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40" w:lineRule="exact"/>
        <w:ind w:left="144"/>
        <w:rPr>
          <w:sz w:val="4"/>
        </w:rPr>
      </w:pPr>
      <w:r>
        <w:rPr>
          <w:position w:val="0"/>
          <w:sz w:val="4"/>
        </w:rPr>
        <mc:AlternateContent>
          <mc:Choice Requires="wps">
            <w:drawing>
              <wp:inline distT="0" distB="0" distL="0" distR="0">
                <wp:extent cx="7312659" cy="26034"/>
                <wp:effectExtent l="0" t="0" r="0" b="0"/>
                <wp:docPr id="1" name="Group 1"/>
                <wp:cNvGraphicFramePr>
                  <a:graphicFrameLocks/>
                </wp:cNvGraphicFramePr>
                <a:graphic>
                  <a:graphicData uri="http://schemas.microsoft.com/office/word/2010/wordprocessingGroup">
                    <wpg:wgp>
                      <wpg:cNvPr id="1" name="Group 1"/>
                      <wpg:cNvGrpSpPr/>
                      <wpg:grpSpPr>
                        <a:xfrm>
                          <a:off x="0" y="0"/>
                          <a:ext cx="7312659" cy="26034"/>
                          <a:chExt cx="7312659" cy="26034"/>
                        </a:xfrm>
                      </wpg:grpSpPr>
                      <wps:wsp>
                        <wps:cNvPr id="2" name="Graphic 2"/>
                        <wps:cNvSpPr/>
                        <wps:spPr>
                          <a:xfrm>
                            <a:off x="-12" y="0"/>
                            <a:ext cx="7312659" cy="26034"/>
                          </a:xfrm>
                          <a:custGeom>
                            <a:avLst/>
                            <a:gdLst/>
                            <a:ahLst/>
                            <a:cxnLst/>
                            <a:rect l="l" t="t" r="r" b="b"/>
                            <a:pathLst>
                              <a:path w="7312659" h="26034">
                                <a:moveTo>
                                  <a:pt x="7312342" y="0"/>
                                </a:moveTo>
                                <a:lnTo>
                                  <a:pt x="7295197" y="0"/>
                                </a:lnTo>
                                <a:lnTo>
                                  <a:pt x="77152" y="0"/>
                                </a:lnTo>
                                <a:lnTo>
                                  <a:pt x="0" y="0"/>
                                </a:lnTo>
                                <a:lnTo>
                                  <a:pt x="0" y="25717"/>
                                </a:lnTo>
                                <a:lnTo>
                                  <a:pt x="77152" y="25717"/>
                                </a:lnTo>
                                <a:lnTo>
                                  <a:pt x="7295197" y="25717"/>
                                </a:lnTo>
                                <a:lnTo>
                                  <a:pt x="7312342" y="25717"/>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050pt;mso-position-horizontal-relative:char;mso-position-vertical-relative:line" id="docshapegroup1" coordorigin="0,0" coordsize="11516,41">
                <v:shape style="position:absolute;left:-1;top:0;width:11516;height:41" id="docshape2" coordorigin="0,0" coordsize="11516,41" path="m11515,0l11488,0,121,0,0,0,0,40,121,40,11488,40,11515,40,11515,0xe" filled="true" fillcolor="#000000" stroked="false">
                  <v:path arrowok="t"/>
                  <v:fill type="solid"/>
                </v:shape>
              </v:group>
            </w:pict>
          </mc:Fallback>
        </mc:AlternateContent>
      </w:r>
      <w:r>
        <w:rPr>
          <w:position w:val="0"/>
          <w:sz w:val="4"/>
        </w:rPr>
      </w:r>
    </w:p>
    <w:p>
      <w:pPr>
        <w:pStyle w:val="BodyText"/>
        <w:rPr>
          <w:sz w:val="12"/>
        </w:rPr>
      </w:pPr>
      <w:r>
        <w:rPr/>
        <mc:AlternateContent>
          <mc:Choice Requires="wps">
            <w:drawing>
              <wp:anchor distT="0" distB="0" distL="0" distR="0" allowOverlap="1" layoutInCell="1" locked="0" behindDoc="1" simplePos="0" relativeHeight="487588352">
                <wp:simplePos x="0" y="0"/>
                <wp:positionH relativeFrom="page">
                  <wp:posOffset>231444</wp:posOffset>
                </wp:positionH>
                <wp:positionV relativeFrom="paragraph">
                  <wp:posOffset>102869</wp:posOffset>
                </wp:positionV>
                <wp:extent cx="7312659" cy="1714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7312659" cy="17145"/>
                        </a:xfrm>
                        <a:custGeom>
                          <a:avLst/>
                          <a:gdLst/>
                          <a:ahLst/>
                          <a:cxnLst/>
                          <a:rect l="l" t="t" r="r" b="b"/>
                          <a:pathLst>
                            <a:path w="7312659" h="17145">
                              <a:moveTo>
                                <a:pt x="7312342" y="0"/>
                              </a:moveTo>
                              <a:lnTo>
                                <a:pt x="7295197" y="0"/>
                              </a:lnTo>
                              <a:lnTo>
                                <a:pt x="77152" y="0"/>
                              </a:lnTo>
                              <a:lnTo>
                                <a:pt x="0" y="0"/>
                              </a:lnTo>
                              <a:lnTo>
                                <a:pt x="0" y="17145"/>
                              </a:lnTo>
                              <a:lnTo>
                                <a:pt x="77152" y="17145"/>
                              </a:lnTo>
                              <a:lnTo>
                                <a:pt x="7295197"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8.099965pt;width:575.8pt;height:1.35pt;mso-position-horizontal-relative:page;mso-position-vertical-relative:paragraph;z-index:-15728128;mso-wrap-distance-left:0;mso-wrap-distance-right:0" id="docshape3" coordorigin="364,162" coordsize="11516,27" path="m11880,162l11853,162,486,162,364,162,364,189,486,189,11853,189,11880,189,11880,162xe" filled="true" fillcolor="#000000" stroked="false">
                <v:path arrowok="t"/>
                <v:fill type="solid"/>
                <w10:wrap type="topAndBottom"/>
              </v:shape>
            </w:pict>
          </mc:Fallback>
        </mc:AlternateContent>
      </w:r>
    </w:p>
    <w:p>
      <w:pPr>
        <w:pStyle w:val="Heading4"/>
        <w:spacing w:line="205" w:lineRule="exact" w:before="142"/>
        <w:ind w:left="24"/>
        <w:jc w:val="center"/>
      </w:pPr>
      <w:r>
        <w:rPr/>
        <w:t>UNITED</w:t>
      </w:r>
      <w:r>
        <w:rPr>
          <w:spacing w:val="-1"/>
        </w:rPr>
        <w:t> </w:t>
      </w:r>
      <w:r>
        <w:rPr>
          <w:spacing w:val="-2"/>
        </w:rPr>
        <w:t>STATES</w:t>
      </w:r>
    </w:p>
    <w:p>
      <w:pPr>
        <w:spacing w:line="205" w:lineRule="exact" w:before="0"/>
        <w:ind w:left="24" w:right="0" w:firstLine="0"/>
        <w:jc w:val="center"/>
        <w:rPr>
          <w:b/>
          <w:sz w:val="18"/>
        </w:rPr>
      </w:pPr>
      <w:r>
        <w:rPr>
          <w:b/>
          <w:sz w:val="18"/>
        </w:rPr>
        <w:t>SECURITIES</w:t>
      </w:r>
      <w:r>
        <w:rPr>
          <w:b/>
          <w:spacing w:val="-10"/>
          <w:sz w:val="18"/>
        </w:rPr>
        <w:t> </w:t>
      </w:r>
      <w:r>
        <w:rPr>
          <w:b/>
          <w:sz w:val="18"/>
        </w:rPr>
        <w:t>AND</w:t>
      </w:r>
      <w:r>
        <w:rPr>
          <w:b/>
          <w:spacing w:val="-1"/>
          <w:sz w:val="18"/>
        </w:rPr>
        <w:t> </w:t>
      </w:r>
      <w:r>
        <w:rPr>
          <w:b/>
          <w:sz w:val="18"/>
        </w:rPr>
        <w:t>EXCHANGE</w:t>
      </w:r>
      <w:r>
        <w:rPr>
          <w:b/>
          <w:spacing w:val="-1"/>
          <w:sz w:val="18"/>
        </w:rPr>
        <w:t> </w:t>
      </w:r>
      <w:r>
        <w:rPr>
          <w:b/>
          <w:spacing w:val="-2"/>
          <w:sz w:val="18"/>
        </w:rPr>
        <w:t>COMMISSION</w:t>
      </w:r>
    </w:p>
    <w:p>
      <w:pPr>
        <w:spacing w:before="1"/>
        <w:ind w:left="24" w:right="0" w:firstLine="0"/>
        <w:jc w:val="center"/>
        <w:rPr>
          <w:b/>
          <w:sz w:val="16"/>
        </w:rPr>
      </w:pPr>
      <w:r>
        <w:rPr>
          <w:b/>
          <w:sz w:val="16"/>
        </w:rPr>
        <w:t>Washington,</w:t>
      </w:r>
      <w:r>
        <w:rPr>
          <w:b/>
          <w:spacing w:val="1"/>
          <w:sz w:val="16"/>
        </w:rPr>
        <w:t> </w:t>
      </w:r>
      <w:r>
        <w:rPr>
          <w:b/>
          <w:sz w:val="16"/>
        </w:rPr>
        <w:t>D.C.</w:t>
      </w:r>
      <w:r>
        <w:rPr>
          <w:b/>
          <w:spacing w:val="1"/>
          <w:sz w:val="16"/>
        </w:rPr>
        <w:t> </w:t>
      </w:r>
      <w:r>
        <w:rPr>
          <w:b/>
          <w:spacing w:val="-2"/>
          <w:sz w:val="16"/>
        </w:rPr>
        <w:t>20549</w:t>
      </w:r>
    </w:p>
    <w:p>
      <w:pPr>
        <w:pStyle w:val="BodyText"/>
        <w:spacing w:before="7"/>
        <w:rPr>
          <w:b/>
          <w:sz w:val="6"/>
        </w:rPr>
      </w:pPr>
      <w:r>
        <w:rPr/>
        <mc:AlternateContent>
          <mc:Choice Requires="wps">
            <w:drawing>
              <wp:anchor distT="0" distB="0" distL="0" distR="0" allowOverlap="1" layoutInCell="1" locked="0" behindDoc="1" simplePos="0" relativeHeight="487588864">
                <wp:simplePos x="0" y="0"/>
                <wp:positionH relativeFrom="page">
                  <wp:posOffset>3214674</wp:posOffset>
                </wp:positionH>
                <wp:positionV relativeFrom="paragraph">
                  <wp:posOffset>63838</wp:posOffset>
                </wp:positionV>
                <wp:extent cx="1346200" cy="1714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346200" cy="17145"/>
                        </a:xfrm>
                        <a:custGeom>
                          <a:avLst/>
                          <a:gdLst/>
                          <a:ahLst/>
                          <a:cxnLst/>
                          <a:rect l="l" t="t" r="r" b="b"/>
                          <a:pathLst>
                            <a:path w="1346200" h="17145">
                              <a:moveTo>
                                <a:pt x="1345882" y="0"/>
                              </a:moveTo>
                              <a:lnTo>
                                <a:pt x="1328737" y="0"/>
                              </a:lnTo>
                              <a:lnTo>
                                <a:pt x="17145" y="0"/>
                              </a:lnTo>
                              <a:lnTo>
                                <a:pt x="0" y="0"/>
                              </a:lnTo>
                              <a:lnTo>
                                <a:pt x="0" y="17145"/>
                              </a:lnTo>
                              <a:lnTo>
                                <a:pt x="17145" y="17145"/>
                              </a:lnTo>
                              <a:lnTo>
                                <a:pt x="1328737" y="17145"/>
                              </a:lnTo>
                              <a:lnTo>
                                <a:pt x="1345882" y="17145"/>
                              </a:lnTo>
                              <a:lnTo>
                                <a:pt x="13458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3.124008pt;margin-top:5.026633pt;width:106pt;height:1.35pt;mso-position-horizontal-relative:page;mso-position-vertical-relative:paragraph;z-index:-15727616;mso-wrap-distance-left:0;mso-wrap-distance-right:0" id="docshape4" coordorigin="5062,101" coordsize="2120,27" path="m7182,101l7155,101,5089,101,5062,101,5062,128,5089,128,7155,128,7182,128,7182,101xe" filled="true" fillcolor="#000000" stroked="false">
                <v:path arrowok="t"/>
                <v:fill type="solid"/>
                <w10:wrap type="topAndBottom"/>
              </v:shape>
            </w:pict>
          </mc:Fallback>
        </mc:AlternateContent>
      </w:r>
    </w:p>
    <w:p>
      <w:pPr>
        <w:spacing w:before="79"/>
        <w:ind w:left="24" w:right="0" w:firstLine="0"/>
        <w:jc w:val="center"/>
        <w:rPr>
          <w:b/>
          <w:sz w:val="19"/>
        </w:rPr>
      </w:pPr>
      <w:r>
        <w:rPr>
          <w:b/>
          <w:w w:val="105"/>
          <w:sz w:val="19"/>
        </w:rPr>
        <w:t>FORM</w:t>
      </w:r>
      <w:r>
        <w:rPr>
          <w:b/>
          <w:spacing w:val="-10"/>
          <w:w w:val="105"/>
          <w:sz w:val="19"/>
        </w:rPr>
        <w:t> </w:t>
      </w:r>
      <w:r>
        <w:rPr>
          <w:b/>
          <w:w w:val="105"/>
          <w:sz w:val="19"/>
        </w:rPr>
        <w:t>10-</w:t>
      </w:r>
      <w:r>
        <w:rPr>
          <w:b/>
          <w:spacing w:val="-10"/>
          <w:w w:val="105"/>
          <w:sz w:val="19"/>
        </w:rPr>
        <w:t>K</w:t>
      </w:r>
    </w:p>
    <w:p>
      <w:pPr>
        <w:spacing w:before="214"/>
        <w:ind w:left="644" w:right="0" w:firstLine="0"/>
        <w:jc w:val="left"/>
        <w:rPr>
          <w:sz w:val="16"/>
        </w:rPr>
      </w:pPr>
      <w:r>
        <w:rPr>
          <w:sz w:val="16"/>
        </w:rPr>
        <w:t>(Mark</w:t>
      </w:r>
      <w:r>
        <w:rPr>
          <w:spacing w:val="2"/>
          <w:sz w:val="16"/>
        </w:rPr>
        <w:t> </w:t>
      </w:r>
      <w:r>
        <w:rPr>
          <w:spacing w:val="-4"/>
          <w:sz w:val="16"/>
        </w:rPr>
        <w:t>One)</w:t>
      </w:r>
    </w:p>
    <w:p>
      <w:pPr>
        <w:tabs>
          <w:tab w:pos="643" w:val="left" w:leader="none"/>
        </w:tabs>
        <w:spacing w:before="59"/>
        <w:ind w:left="175" w:right="0" w:firstLine="0"/>
        <w:jc w:val="left"/>
        <w:rPr>
          <w:b/>
          <w:sz w:val="16"/>
        </w:rPr>
      </w:pPr>
      <w:r>
        <w:rPr>
          <w:position w:val="-3"/>
        </w:rPr>
        <w:drawing>
          <wp:inline distT="0" distB="0" distL="0" distR="0">
            <wp:extent cx="91922" cy="91922"/>
            <wp:effectExtent l="0" t="0" r="0" b="0"/>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91922" cy="91922"/>
                    </a:xfrm>
                    <a:prstGeom prst="rect">
                      <a:avLst/>
                    </a:prstGeom>
                  </pic:spPr>
                </pic:pic>
              </a:graphicData>
            </a:graphic>
          </wp:inline>
        </w:drawing>
      </w:r>
      <w:r>
        <w:rPr>
          <w:position w:val="-3"/>
        </w:rPr>
      </w:r>
      <w:r>
        <w:rPr>
          <w:sz w:val="20"/>
        </w:rPr>
        <w:tab/>
      </w:r>
      <w:r>
        <w:rPr>
          <w:b/>
          <w:sz w:val="16"/>
        </w:rPr>
        <w:t>ANNUAL</w:t>
      </w:r>
      <w:r>
        <w:rPr>
          <w:b/>
          <w:spacing w:val="-6"/>
          <w:sz w:val="16"/>
        </w:rPr>
        <w:t> </w:t>
      </w:r>
      <w:r>
        <w:rPr>
          <w:b/>
          <w:sz w:val="16"/>
        </w:rPr>
        <w:t>REPORT</w:t>
      </w:r>
      <w:r>
        <w:rPr>
          <w:b/>
          <w:spacing w:val="1"/>
          <w:sz w:val="16"/>
        </w:rPr>
        <w:t> </w:t>
      </w:r>
      <w:r>
        <w:rPr>
          <w:b/>
          <w:sz w:val="16"/>
        </w:rPr>
        <w:t>PURSUANT</w:t>
      </w:r>
      <w:r>
        <w:rPr>
          <w:b/>
          <w:spacing w:val="-2"/>
          <w:sz w:val="16"/>
        </w:rPr>
        <w:t> </w:t>
      </w:r>
      <w:r>
        <w:rPr>
          <w:b/>
          <w:sz w:val="16"/>
        </w:rPr>
        <w:t>TO</w:t>
      </w:r>
      <w:r>
        <w:rPr>
          <w:b/>
          <w:spacing w:val="5"/>
          <w:sz w:val="16"/>
        </w:rPr>
        <w:t> </w:t>
      </w:r>
      <w:r>
        <w:rPr>
          <w:b/>
          <w:sz w:val="16"/>
        </w:rPr>
        <w:t>SECTION</w:t>
      </w:r>
      <w:r>
        <w:rPr>
          <w:b/>
          <w:spacing w:val="5"/>
          <w:sz w:val="16"/>
        </w:rPr>
        <w:t> </w:t>
      </w:r>
      <w:r>
        <w:rPr>
          <w:b/>
          <w:sz w:val="16"/>
        </w:rPr>
        <w:t>13</w:t>
      </w:r>
      <w:r>
        <w:rPr>
          <w:b/>
          <w:spacing w:val="5"/>
          <w:sz w:val="16"/>
        </w:rPr>
        <w:t> </w:t>
      </w:r>
      <w:r>
        <w:rPr>
          <w:b/>
          <w:sz w:val="16"/>
        </w:rPr>
        <w:t>OR</w:t>
      </w:r>
      <w:r>
        <w:rPr>
          <w:b/>
          <w:spacing w:val="4"/>
          <w:sz w:val="16"/>
        </w:rPr>
        <w:t> </w:t>
      </w:r>
      <w:r>
        <w:rPr>
          <w:b/>
          <w:sz w:val="16"/>
        </w:rPr>
        <w:t>15(d)</w:t>
      </w:r>
      <w:r>
        <w:rPr>
          <w:b/>
          <w:spacing w:val="5"/>
          <w:sz w:val="16"/>
        </w:rPr>
        <w:t> </w:t>
      </w:r>
      <w:r>
        <w:rPr>
          <w:b/>
          <w:sz w:val="16"/>
        </w:rPr>
        <w:t>OF</w:t>
      </w:r>
      <w:r>
        <w:rPr>
          <w:b/>
          <w:spacing w:val="-5"/>
          <w:sz w:val="16"/>
        </w:rPr>
        <w:t> </w:t>
      </w:r>
      <w:r>
        <w:rPr>
          <w:b/>
          <w:sz w:val="16"/>
        </w:rPr>
        <w:t>THE</w:t>
      </w:r>
      <w:r>
        <w:rPr>
          <w:b/>
          <w:spacing w:val="4"/>
          <w:sz w:val="16"/>
        </w:rPr>
        <w:t> </w:t>
      </w:r>
      <w:r>
        <w:rPr>
          <w:b/>
          <w:sz w:val="16"/>
        </w:rPr>
        <w:t>SECURITIES</w:t>
      </w:r>
      <w:r>
        <w:rPr>
          <w:b/>
          <w:spacing w:val="5"/>
          <w:sz w:val="16"/>
        </w:rPr>
        <w:t> </w:t>
      </w:r>
      <w:r>
        <w:rPr>
          <w:b/>
          <w:sz w:val="16"/>
        </w:rPr>
        <w:t>EXCHANGE</w:t>
      </w:r>
      <w:r>
        <w:rPr>
          <w:b/>
          <w:spacing w:val="-5"/>
          <w:sz w:val="16"/>
        </w:rPr>
        <w:t> </w:t>
      </w:r>
      <w:r>
        <w:rPr>
          <w:b/>
          <w:sz w:val="16"/>
        </w:rPr>
        <w:t>ACT</w:t>
      </w:r>
      <w:r>
        <w:rPr>
          <w:b/>
          <w:spacing w:val="1"/>
          <w:sz w:val="16"/>
        </w:rPr>
        <w:t> </w:t>
      </w:r>
      <w:r>
        <w:rPr>
          <w:b/>
          <w:sz w:val="16"/>
        </w:rPr>
        <w:t>OF</w:t>
      </w:r>
      <w:r>
        <w:rPr>
          <w:b/>
          <w:spacing w:val="-2"/>
          <w:sz w:val="16"/>
        </w:rPr>
        <w:t> </w:t>
      </w:r>
      <w:r>
        <w:rPr>
          <w:b/>
          <w:spacing w:val="-4"/>
          <w:sz w:val="16"/>
        </w:rPr>
        <w:t>1934</w:t>
      </w:r>
    </w:p>
    <w:p>
      <w:pPr>
        <w:spacing w:line="261" w:lineRule="auto" w:before="150"/>
        <w:ind w:left="4502" w:right="4476" w:firstLine="0"/>
        <w:jc w:val="center"/>
        <w:rPr>
          <w:b/>
          <w:sz w:val="14"/>
        </w:rPr>
      </w:pPr>
      <w:r>
        <w:rPr>
          <w:b/>
          <w:sz w:val="14"/>
        </w:rPr>
        <w:t>For the fiscal year ended December 31, </w:t>
      </w:r>
      <w:r>
        <w:rPr>
          <w:b/>
          <w:sz w:val="14"/>
        </w:rPr>
        <w:t>2022</w:t>
      </w:r>
      <w:r>
        <w:rPr>
          <w:b/>
          <w:spacing w:val="40"/>
          <w:sz w:val="14"/>
        </w:rPr>
        <w:t> </w:t>
      </w:r>
      <w:r>
        <w:rPr>
          <w:b/>
          <w:spacing w:val="-6"/>
          <w:sz w:val="14"/>
        </w:rPr>
        <w:t>OR</w:t>
      </w:r>
    </w:p>
    <w:p>
      <w:pPr>
        <w:spacing w:before="35"/>
        <w:ind w:left="643" w:right="0" w:firstLine="0"/>
        <w:jc w:val="left"/>
        <w:rPr>
          <w:b/>
          <w:sz w:val="16"/>
        </w:rPr>
      </w:pPr>
      <w:r>
        <w:rPr/>
        <mc:AlternateContent>
          <mc:Choice Requires="wps">
            <w:drawing>
              <wp:anchor distT="0" distB="0" distL="0" distR="0" allowOverlap="1" layoutInCell="1" locked="0" behindDoc="0" simplePos="0" relativeHeight="15733248">
                <wp:simplePos x="0" y="0"/>
                <wp:positionH relativeFrom="page">
                  <wp:posOffset>251002</wp:posOffset>
                </wp:positionH>
                <wp:positionV relativeFrom="paragraph">
                  <wp:posOffset>52779</wp:posOffset>
                </wp:positionV>
                <wp:extent cx="92075" cy="9271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92075" cy="92710"/>
                        </a:xfrm>
                        <a:custGeom>
                          <a:avLst/>
                          <a:gdLst/>
                          <a:ahLst/>
                          <a:cxnLst/>
                          <a:rect l="l" t="t" r="r" b="b"/>
                          <a:pathLst>
                            <a:path w="92075" h="92710">
                              <a:moveTo>
                                <a:pt x="91922" y="0"/>
                              </a:moveTo>
                              <a:lnTo>
                                <a:pt x="87985" y="0"/>
                              </a:lnTo>
                              <a:lnTo>
                                <a:pt x="87985" y="7620"/>
                              </a:lnTo>
                              <a:lnTo>
                                <a:pt x="87985" y="8140"/>
                              </a:lnTo>
                              <a:lnTo>
                                <a:pt x="87985" y="84848"/>
                              </a:lnTo>
                              <a:lnTo>
                                <a:pt x="87985" y="85090"/>
                              </a:lnTo>
                              <a:lnTo>
                                <a:pt x="84302" y="85090"/>
                              </a:lnTo>
                              <a:lnTo>
                                <a:pt x="84302" y="84848"/>
                              </a:lnTo>
                              <a:lnTo>
                                <a:pt x="87985" y="84848"/>
                              </a:lnTo>
                              <a:lnTo>
                                <a:pt x="87985" y="8140"/>
                              </a:lnTo>
                              <a:lnTo>
                                <a:pt x="84302" y="8140"/>
                              </a:lnTo>
                              <a:lnTo>
                                <a:pt x="84302" y="7620"/>
                              </a:lnTo>
                              <a:lnTo>
                                <a:pt x="87985" y="7620"/>
                              </a:lnTo>
                              <a:lnTo>
                                <a:pt x="87985" y="0"/>
                              </a:lnTo>
                              <a:lnTo>
                                <a:pt x="80378" y="0"/>
                              </a:lnTo>
                              <a:lnTo>
                                <a:pt x="80378" y="12065"/>
                              </a:lnTo>
                              <a:lnTo>
                                <a:pt x="80378" y="80924"/>
                              </a:lnTo>
                              <a:lnTo>
                                <a:pt x="11531" y="80924"/>
                              </a:lnTo>
                              <a:lnTo>
                                <a:pt x="11531" y="12065"/>
                              </a:lnTo>
                              <a:lnTo>
                                <a:pt x="80378" y="12065"/>
                              </a:lnTo>
                              <a:lnTo>
                                <a:pt x="80378" y="0"/>
                              </a:lnTo>
                              <a:lnTo>
                                <a:pt x="0" y="0"/>
                              </a:lnTo>
                              <a:lnTo>
                                <a:pt x="0" y="2540"/>
                              </a:lnTo>
                              <a:lnTo>
                                <a:pt x="0" y="90170"/>
                              </a:lnTo>
                              <a:lnTo>
                                <a:pt x="0" y="92710"/>
                              </a:lnTo>
                              <a:lnTo>
                                <a:pt x="91922" y="92710"/>
                              </a:lnTo>
                              <a:lnTo>
                                <a:pt x="91922" y="90487"/>
                              </a:lnTo>
                              <a:lnTo>
                                <a:pt x="91922" y="90170"/>
                              </a:lnTo>
                              <a:lnTo>
                                <a:pt x="91922" y="2540"/>
                              </a:lnTo>
                              <a:lnTo>
                                <a:pt x="91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764002pt;margin-top:4.155829pt;width:7.25pt;height:7.3pt;mso-position-horizontal-relative:page;mso-position-vertical-relative:paragraph;z-index:15733248" id="docshape5" coordorigin="395,83" coordsize="145,146" path="m540,83l534,83,534,95,534,96,534,217,534,217,528,217,528,217,534,217,534,96,528,96,528,95,534,95,534,83,522,83,522,102,522,211,413,211,413,102,522,102,522,83,395,83,395,87,395,225,395,229,540,229,540,226,540,225,540,87,540,83xe" filled="true" fillcolor="#000000" stroked="false">
                <v:path arrowok="t"/>
                <v:fill type="solid"/>
                <w10:wrap type="none"/>
              </v:shape>
            </w:pict>
          </mc:Fallback>
        </mc:AlternateContent>
      </w:r>
      <w:r>
        <w:rPr>
          <w:b/>
          <w:sz w:val="16"/>
        </w:rPr>
        <w:t>TRANSITION</w:t>
      </w:r>
      <w:r>
        <w:rPr>
          <w:b/>
          <w:spacing w:val="4"/>
          <w:sz w:val="16"/>
        </w:rPr>
        <w:t> </w:t>
      </w:r>
      <w:r>
        <w:rPr>
          <w:b/>
          <w:sz w:val="16"/>
        </w:rPr>
        <w:t>REPORT</w:t>
      </w:r>
      <w:r>
        <w:rPr>
          <w:b/>
          <w:spacing w:val="2"/>
          <w:sz w:val="16"/>
        </w:rPr>
        <w:t> </w:t>
      </w:r>
      <w:r>
        <w:rPr>
          <w:b/>
          <w:sz w:val="16"/>
        </w:rPr>
        <w:t>PURSUANT</w:t>
      </w:r>
      <w:r>
        <w:rPr>
          <w:b/>
          <w:spacing w:val="-2"/>
          <w:sz w:val="16"/>
        </w:rPr>
        <w:t> </w:t>
      </w:r>
      <w:r>
        <w:rPr>
          <w:b/>
          <w:sz w:val="16"/>
        </w:rPr>
        <w:t>TO</w:t>
      </w:r>
      <w:r>
        <w:rPr>
          <w:b/>
          <w:spacing w:val="5"/>
          <w:sz w:val="16"/>
        </w:rPr>
        <w:t> </w:t>
      </w:r>
      <w:r>
        <w:rPr>
          <w:b/>
          <w:sz w:val="16"/>
        </w:rPr>
        <w:t>SECTION</w:t>
      </w:r>
      <w:r>
        <w:rPr>
          <w:b/>
          <w:spacing w:val="5"/>
          <w:sz w:val="16"/>
        </w:rPr>
        <w:t> </w:t>
      </w:r>
      <w:r>
        <w:rPr>
          <w:b/>
          <w:sz w:val="16"/>
        </w:rPr>
        <w:t>13</w:t>
      </w:r>
      <w:r>
        <w:rPr>
          <w:b/>
          <w:spacing w:val="5"/>
          <w:sz w:val="16"/>
        </w:rPr>
        <w:t> </w:t>
      </w:r>
      <w:r>
        <w:rPr>
          <w:b/>
          <w:sz w:val="16"/>
        </w:rPr>
        <w:t>OR</w:t>
      </w:r>
      <w:r>
        <w:rPr>
          <w:b/>
          <w:spacing w:val="4"/>
          <w:sz w:val="16"/>
        </w:rPr>
        <w:t> </w:t>
      </w:r>
      <w:r>
        <w:rPr>
          <w:b/>
          <w:sz w:val="16"/>
        </w:rPr>
        <w:t>15(d)</w:t>
      </w:r>
      <w:r>
        <w:rPr>
          <w:b/>
          <w:spacing w:val="5"/>
          <w:sz w:val="16"/>
        </w:rPr>
        <w:t> </w:t>
      </w:r>
      <w:r>
        <w:rPr>
          <w:b/>
          <w:sz w:val="16"/>
        </w:rPr>
        <w:t>OF</w:t>
      </w:r>
      <w:r>
        <w:rPr>
          <w:b/>
          <w:spacing w:val="-5"/>
          <w:sz w:val="16"/>
        </w:rPr>
        <w:t> </w:t>
      </w:r>
      <w:r>
        <w:rPr>
          <w:b/>
          <w:sz w:val="16"/>
        </w:rPr>
        <w:t>THE</w:t>
      </w:r>
      <w:r>
        <w:rPr>
          <w:b/>
          <w:spacing w:val="5"/>
          <w:sz w:val="16"/>
        </w:rPr>
        <w:t> </w:t>
      </w:r>
      <w:r>
        <w:rPr>
          <w:b/>
          <w:sz w:val="16"/>
        </w:rPr>
        <w:t>SECURITIES</w:t>
      </w:r>
      <w:r>
        <w:rPr>
          <w:b/>
          <w:spacing w:val="5"/>
          <w:sz w:val="16"/>
        </w:rPr>
        <w:t> </w:t>
      </w:r>
      <w:r>
        <w:rPr>
          <w:b/>
          <w:sz w:val="16"/>
        </w:rPr>
        <w:t>EXCHANGE</w:t>
      </w:r>
      <w:r>
        <w:rPr>
          <w:b/>
          <w:spacing w:val="-5"/>
          <w:sz w:val="16"/>
        </w:rPr>
        <w:t> </w:t>
      </w:r>
      <w:r>
        <w:rPr>
          <w:b/>
          <w:sz w:val="16"/>
        </w:rPr>
        <w:t>ACT</w:t>
      </w:r>
      <w:r>
        <w:rPr>
          <w:b/>
          <w:spacing w:val="1"/>
          <w:sz w:val="16"/>
        </w:rPr>
        <w:t> </w:t>
      </w:r>
      <w:r>
        <w:rPr>
          <w:b/>
          <w:sz w:val="16"/>
        </w:rPr>
        <w:t>OF</w:t>
      </w:r>
      <w:r>
        <w:rPr>
          <w:b/>
          <w:spacing w:val="-2"/>
          <w:sz w:val="16"/>
        </w:rPr>
        <w:t> </w:t>
      </w:r>
      <w:r>
        <w:rPr>
          <w:b/>
          <w:spacing w:val="-4"/>
          <w:sz w:val="16"/>
        </w:rPr>
        <w:t>1934</w:t>
      </w:r>
    </w:p>
    <w:p>
      <w:pPr>
        <w:spacing w:before="159"/>
        <w:ind w:left="4895" w:right="4869" w:firstLine="0"/>
        <w:jc w:val="center"/>
        <w:rPr>
          <w:b/>
          <w:sz w:val="14"/>
        </w:rPr>
      </w:pPr>
      <w:r>
        <w:rPr>
          <w:b/>
          <w:sz w:val="14"/>
        </w:rPr>
        <w:t>For the transition period from </w:t>
      </w:r>
      <w:r>
        <w:rPr>
          <w:b/>
          <w:sz w:val="14"/>
        </w:rPr>
        <w:t>to</w:t>
      </w:r>
      <w:r>
        <w:rPr>
          <w:b/>
          <w:spacing w:val="40"/>
          <w:sz w:val="14"/>
        </w:rPr>
        <w:t> </w:t>
      </w:r>
      <w:r>
        <w:rPr>
          <w:b/>
          <w:sz w:val="14"/>
        </w:rPr>
        <w:t>Commission File No. 001-10362</w:t>
      </w:r>
    </w:p>
    <w:p>
      <w:pPr>
        <w:pStyle w:val="BodyText"/>
        <w:spacing w:before="1"/>
        <w:rPr>
          <w:b/>
          <w:sz w:val="7"/>
        </w:rPr>
      </w:pPr>
      <w:r>
        <w:rPr/>
        <mc:AlternateContent>
          <mc:Choice Requires="wps">
            <w:drawing>
              <wp:anchor distT="0" distB="0" distL="0" distR="0" allowOverlap="1" layoutInCell="1" locked="0" behindDoc="1" simplePos="0" relativeHeight="487589376">
                <wp:simplePos x="0" y="0"/>
                <wp:positionH relativeFrom="page">
                  <wp:posOffset>3214674</wp:posOffset>
                </wp:positionH>
                <wp:positionV relativeFrom="paragraph">
                  <wp:posOffset>67411</wp:posOffset>
                </wp:positionV>
                <wp:extent cx="1346200" cy="1714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346200" cy="17145"/>
                        </a:xfrm>
                        <a:custGeom>
                          <a:avLst/>
                          <a:gdLst/>
                          <a:ahLst/>
                          <a:cxnLst/>
                          <a:rect l="l" t="t" r="r" b="b"/>
                          <a:pathLst>
                            <a:path w="1346200" h="17145">
                              <a:moveTo>
                                <a:pt x="1345882" y="0"/>
                              </a:moveTo>
                              <a:lnTo>
                                <a:pt x="1328737" y="0"/>
                              </a:lnTo>
                              <a:lnTo>
                                <a:pt x="17145" y="0"/>
                              </a:lnTo>
                              <a:lnTo>
                                <a:pt x="0" y="0"/>
                              </a:lnTo>
                              <a:lnTo>
                                <a:pt x="0" y="17145"/>
                              </a:lnTo>
                              <a:lnTo>
                                <a:pt x="17145" y="17145"/>
                              </a:lnTo>
                              <a:lnTo>
                                <a:pt x="1328737" y="17145"/>
                              </a:lnTo>
                              <a:lnTo>
                                <a:pt x="1345882" y="17145"/>
                              </a:lnTo>
                              <a:lnTo>
                                <a:pt x="13458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3.124008pt;margin-top:5.307979pt;width:106pt;height:1.35pt;mso-position-horizontal-relative:page;mso-position-vertical-relative:paragraph;z-index:-15727104;mso-wrap-distance-left:0;mso-wrap-distance-right:0" id="docshape6" coordorigin="5062,106" coordsize="2120,27" path="m7182,106l7155,106,5089,106,5062,106,5062,133,5089,133,7155,133,7182,133,7182,106xe" filled="true" fillcolor="#000000" stroked="false">
                <v:path arrowok="t"/>
                <v:fill type="solid"/>
                <w10:wrap type="topAndBottom"/>
              </v:shape>
            </w:pict>
          </mc:Fallback>
        </mc:AlternateContent>
      </w:r>
    </w:p>
    <w:p>
      <w:pPr>
        <w:pStyle w:val="Title"/>
      </w:pPr>
      <w:r>
        <w:rPr/>
        <w:t>MGM</w:t>
      </w:r>
      <w:r>
        <w:rPr>
          <w:spacing w:val="17"/>
        </w:rPr>
        <w:t> </w:t>
      </w:r>
      <w:r>
        <w:rPr/>
        <w:t>Resorts</w:t>
      </w:r>
      <w:r>
        <w:rPr>
          <w:spacing w:val="17"/>
        </w:rPr>
        <w:t> </w:t>
      </w:r>
      <w:r>
        <w:rPr>
          <w:spacing w:val="-2"/>
        </w:rPr>
        <w:t>International</w:t>
      </w:r>
    </w:p>
    <w:p>
      <w:pPr>
        <w:spacing w:before="3"/>
        <w:ind w:left="24" w:right="0" w:firstLine="0"/>
        <w:jc w:val="center"/>
        <w:rPr>
          <w:sz w:val="12"/>
        </w:rPr>
      </w:pPr>
      <w:r>
        <w:rPr>
          <w:w w:val="105"/>
          <w:sz w:val="12"/>
        </w:rPr>
        <w:t>(Exact</w:t>
      </w:r>
      <w:r>
        <w:rPr>
          <w:spacing w:val="-3"/>
          <w:w w:val="105"/>
          <w:sz w:val="12"/>
        </w:rPr>
        <w:t> </w:t>
      </w:r>
      <w:r>
        <w:rPr>
          <w:w w:val="105"/>
          <w:sz w:val="12"/>
        </w:rPr>
        <w:t>name</w:t>
      </w:r>
      <w:r>
        <w:rPr>
          <w:spacing w:val="-3"/>
          <w:w w:val="105"/>
          <w:sz w:val="12"/>
        </w:rPr>
        <w:t> </w:t>
      </w:r>
      <w:r>
        <w:rPr>
          <w:w w:val="105"/>
          <w:sz w:val="12"/>
        </w:rPr>
        <w:t>of</w:t>
      </w:r>
      <w:r>
        <w:rPr>
          <w:spacing w:val="-3"/>
          <w:w w:val="105"/>
          <w:sz w:val="12"/>
        </w:rPr>
        <w:t> </w:t>
      </w:r>
      <w:r>
        <w:rPr>
          <w:w w:val="105"/>
          <w:sz w:val="12"/>
        </w:rPr>
        <w:t>Registrant</w:t>
      </w:r>
      <w:r>
        <w:rPr>
          <w:spacing w:val="-3"/>
          <w:w w:val="105"/>
          <w:sz w:val="12"/>
        </w:rPr>
        <w:t> </w:t>
      </w:r>
      <w:r>
        <w:rPr>
          <w:w w:val="105"/>
          <w:sz w:val="12"/>
        </w:rPr>
        <w:t>as</w:t>
      </w:r>
      <w:r>
        <w:rPr>
          <w:spacing w:val="-3"/>
          <w:w w:val="105"/>
          <w:sz w:val="12"/>
        </w:rPr>
        <w:t> </w:t>
      </w:r>
      <w:r>
        <w:rPr>
          <w:w w:val="105"/>
          <w:sz w:val="12"/>
        </w:rPr>
        <w:t>specified</w:t>
      </w:r>
      <w:r>
        <w:rPr>
          <w:spacing w:val="-3"/>
          <w:w w:val="105"/>
          <w:sz w:val="12"/>
        </w:rPr>
        <w:t> </w:t>
      </w:r>
      <w:r>
        <w:rPr>
          <w:w w:val="105"/>
          <w:sz w:val="12"/>
        </w:rPr>
        <w:t>in</w:t>
      </w:r>
      <w:r>
        <w:rPr>
          <w:spacing w:val="-3"/>
          <w:w w:val="105"/>
          <w:sz w:val="12"/>
        </w:rPr>
        <w:t> </w:t>
      </w:r>
      <w:r>
        <w:rPr>
          <w:w w:val="105"/>
          <w:sz w:val="12"/>
        </w:rPr>
        <w:t>its</w:t>
      </w:r>
      <w:r>
        <w:rPr>
          <w:spacing w:val="-3"/>
          <w:w w:val="105"/>
          <w:sz w:val="12"/>
        </w:rPr>
        <w:t> </w:t>
      </w:r>
      <w:r>
        <w:rPr>
          <w:spacing w:val="-2"/>
          <w:w w:val="105"/>
          <w:sz w:val="12"/>
        </w:rPr>
        <w:t>charter)</w:t>
      </w:r>
    </w:p>
    <w:p>
      <w:pPr>
        <w:tabs>
          <w:tab w:pos="5828" w:val="left" w:leader="none"/>
        </w:tabs>
        <w:spacing w:before="54"/>
        <w:ind w:left="88" w:right="0" w:firstLine="0"/>
        <w:jc w:val="center"/>
        <w:rPr>
          <w:b/>
          <w:sz w:val="16"/>
        </w:rPr>
      </w:pPr>
      <w:r>
        <w:rPr>
          <w:b/>
          <w:spacing w:val="-2"/>
          <w:sz w:val="16"/>
        </w:rPr>
        <w:t>Delaware</w:t>
      </w:r>
      <w:r>
        <w:rPr>
          <w:sz w:val="16"/>
        </w:rPr>
        <w:tab/>
      </w:r>
      <w:r>
        <w:rPr>
          <w:b/>
          <w:sz w:val="16"/>
        </w:rPr>
        <w:t>88-</w:t>
      </w:r>
      <w:r>
        <w:rPr>
          <w:b/>
          <w:spacing w:val="-2"/>
          <w:sz w:val="16"/>
        </w:rPr>
        <w:t>0215232</w:t>
      </w:r>
    </w:p>
    <w:p>
      <w:pPr>
        <w:spacing w:after="0"/>
        <w:jc w:val="center"/>
        <w:rPr>
          <w:sz w:val="16"/>
        </w:rPr>
        <w:sectPr>
          <w:type w:val="continuous"/>
          <w:pgSz w:w="12240" w:h="15840"/>
          <w:pgMar w:top="1040" w:bottom="280" w:left="220" w:right="240"/>
        </w:sectPr>
      </w:pPr>
    </w:p>
    <w:p>
      <w:pPr>
        <w:spacing w:line="235" w:lineRule="auto" w:before="71"/>
        <w:ind w:left="2178" w:right="0" w:firstLine="36"/>
        <w:jc w:val="left"/>
        <w:rPr>
          <w:b/>
          <w:sz w:val="12"/>
        </w:rPr>
      </w:pPr>
      <w:r>
        <w:rPr>
          <w:b/>
          <w:w w:val="105"/>
          <w:sz w:val="12"/>
        </w:rPr>
        <w:t>(State</w:t>
      </w:r>
      <w:r>
        <w:rPr>
          <w:b/>
          <w:spacing w:val="-1"/>
          <w:w w:val="105"/>
          <w:sz w:val="12"/>
        </w:rPr>
        <w:t> </w:t>
      </w:r>
      <w:r>
        <w:rPr>
          <w:b/>
          <w:w w:val="105"/>
          <w:sz w:val="12"/>
        </w:rPr>
        <w:t>or</w:t>
      </w:r>
      <w:r>
        <w:rPr>
          <w:b/>
          <w:spacing w:val="-3"/>
          <w:w w:val="105"/>
          <w:sz w:val="12"/>
        </w:rPr>
        <w:t> </w:t>
      </w:r>
      <w:r>
        <w:rPr>
          <w:b/>
          <w:w w:val="105"/>
          <w:sz w:val="12"/>
        </w:rPr>
        <w:t>other</w:t>
      </w:r>
      <w:r>
        <w:rPr>
          <w:b/>
          <w:spacing w:val="-3"/>
          <w:w w:val="105"/>
          <w:sz w:val="12"/>
        </w:rPr>
        <w:t> </w:t>
      </w:r>
      <w:r>
        <w:rPr>
          <w:b/>
          <w:w w:val="105"/>
          <w:sz w:val="12"/>
        </w:rPr>
        <w:t>jurisdiction</w:t>
      </w:r>
      <w:r>
        <w:rPr>
          <w:b/>
          <w:spacing w:val="-1"/>
          <w:w w:val="105"/>
          <w:sz w:val="12"/>
        </w:rPr>
        <w:t> </w:t>
      </w:r>
      <w:r>
        <w:rPr>
          <w:b/>
          <w:w w:val="105"/>
          <w:sz w:val="12"/>
        </w:rPr>
        <w:t>of</w:t>
      </w:r>
      <w:r>
        <w:rPr>
          <w:b/>
          <w:spacing w:val="40"/>
          <w:w w:val="105"/>
          <w:sz w:val="12"/>
        </w:rPr>
        <w:t> </w:t>
      </w:r>
      <w:r>
        <w:rPr>
          <w:b/>
          <w:w w:val="105"/>
          <w:sz w:val="12"/>
        </w:rPr>
        <w:t>incorporation</w:t>
      </w:r>
      <w:r>
        <w:rPr>
          <w:b/>
          <w:spacing w:val="-5"/>
          <w:w w:val="105"/>
          <w:sz w:val="12"/>
        </w:rPr>
        <w:t> </w:t>
      </w:r>
      <w:r>
        <w:rPr>
          <w:b/>
          <w:w w:val="105"/>
          <w:sz w:val="12"/>
        </w:rPr>
        <w:t>or</w:t>
      </w:r>
      <w:r>
        <w:rPr>
          <w:b/>
          <w:spacing w:val="-7"/>
          <w:w w:val="105"/>
          <w:sz w:val="12"/>
        </w:rPr>
        <w:t> </w:t>
      </w:r>
      <w:r>
        <w:rPr>
          <w:b/>
          <w:spacing w:val="-2"/>
          <w:w w:val="105"/>
          <w:sz w:val="12"/>
        </w:rPr>
        <w:t>organization)</w:t>
      </w:r>
    </w:p>
    <w:p>
      <w:pPr>
        <w:spacing w:line="240" w:lineRule="auto" w:before="0"/>
        <w:rPr>
          <w:b/>
          <w:sz w:val="15"/>
        </w:rPr>
      </w:pPr>
      <w:r>
        <w:rPr/>
        <w:br w:type="column"/>
      </w:r>
      <w:r>
        <w:rPr>
          <w:b/>
          <w:sz w:val="15"/>
        </w:rPr>
      </w:r>
    </w:p>
    <w:p>
      <w:pPr>
        <w:pStyle w:val="BodyText"/>
        <w:spacing w:before="128"/>
        <w:rPr>
          <w:b/>
          <w:sz w:val="15"/>
        </w:rPr>
      </w:pPr>
    </w:p>
    <w:p>
      <w:pPr>
        <w:spacing w:before="0"/>
        <w:ind w:left="91" w:right="0" w:firstLine="0"/>
        <w:jc w:val="center"/>
        <w:rPr>
          <w:b/>
          <w:sz w:val="15"/>
        </w:rPr>
      </w:pPr>
      <w:r>
        <w:rPr>
          <w:b/>
          <w:sz w:val="15"/>
        </w:rPr>
        <w:t>3600 Las</w:t>
      </w:r>
      <w:r>
        <w:rPr>
          <w:b/>
          <w:spacing w:val="-3"/>
          <w:sz w:val="15"/>
        </w:rPr>
        <w:t> </w:t>
      </w:r>
      <w:r>
        <w:rPr>
          <w:b/>
          <w:sz w:val="15"/>
        </w:rPr>
        <w:t>Vegas Boulevard South - Las</w:t>
      </w:r>
      <w:r>
        <w:rPr>
          <w:b/>
          <w:spacing w:val="-2"/>
          <w:sz w:val="15"/>
        </w:rPr>
        <w:t> </w:t>
      </w:r>
      <w:r>
        <w:rPr>
          <w:b/>
          <w:sz w:val="15"/>
        </w:rPr>
        <w:t>Vegas, Nevada </w:t>
      </w:r>
      <w:r>
        <w:rPr>
          <w:b/>
          <w:spacing w:val="-2"/>
          <w:sz w:val="15"/>
        </w:rPr>
        <w:t>89109</w:t>
      </w:r>
    </w:p>
    <w:p>
      <w:pPr>
        <w:spacing w:line="131" w:lineRule="exact" w:before="4"/>
        <w:ind w:left="91" w:right="1" w:firstLine="0"/>
        <w:jc w:val="center"/>
        <w:rPr>
          <w:b/>
          <w:sz w:val="12"/>
        </w:rPr>
      </w:pPr>
      <w:r>
        <w:rPr>
          <w:b/>
          <w:w w:val="105"/>
          <w:sz w:val="12"/>
        </w:rPr>
        <w:t>(Address</w:t>
      </w:r>
      <w:r>
        <w:rPr>
          <w:b/>
          <w:spacing w:val="-5"/>
          <w:w w:val="105"/>
          <w:sz w:val="12"/>
        </w:rPr>
        <w:t> </w:t>
      </w:r>
      <w:r>
        <w:rPr>
          <w:b/>
          <w:w w:val="105"/>
          <w:sz w:val="12"/>
        </w:rPr>
        <w:t>of</w:t>
      </w:r>
      <w:r>
        <w:rPr>
          <w:b/>
          <w:spacing w:val="-4"/>
          <w:w w:val="105"/>
          <w:sz w:val="12"/>
        </w:rPr>
        <w:t> </w:t>
      </w:r>
      <w:r>
        <w:rPr>
          <w:b/>
          <w:w w:val="105"/>
          <w:sz w:val="12"/>
        </w:rPr>
        <w:t>principal</w:t>
      </w:r>
      <w:r>
        <w:rPr>
          <w:b/>
          <w:spacing w:val="-5"/>
          <w:w w:val="105"/>
          <w:sz w:val="12"/>
        </w:rPr>
        <w:t> </w:t>
      </w:r>
      <w:r>
        <w:rPr>
          <w:b/>
          <w:w w:val="105"/>
          <w:sz w:val="12"/>
        </w:rPr>
        <w:t>executive</w:t>
      </w:r>
      <w:r>
        <w:rPr>
          <w:b/>
          <w:spacing w:val="-4"/>
          <w:w w:val="105"/>
          <w:sz w:val="12"/>
        </w:rPr>
        <w:t> </w:t>
      </w:r>
      <w:r>
        <w:rPr>
          <w:b/>
          <w:w w:val="105"/>
          <w:sz w:val="12"/>
        </w:rPr>
        <w:t>offices)</w:t>
      </w:r>
      <w:r>
        <w:rPr>
          <w:b/>
          <w:spacing w:val="-5"/>
          <w:w w:val="105"/>
          <w:sz w:val="12"/>
        </w:rPr>
        <w:t> </w:t>
      </w:r>
      <w:r>
        <w:rPr>
          <w:b/>
          <w:w w:val="105"/>
          <w:sz w:val="12"/>
        </w:rPr>
        <w:t>(Zip</w:t>
      </w:r>
      <w:r>
        <w:rPr>
          <w:b/>
          <w:spacing w:val="-4"/>
          <w:w w:val="105"/>
          <w:sz w:val="12"/>
        </w:rPr>
        <w:t> </w:t>
      </w:r>
      <w:r>
        <w:rPr>
          <w:b/>
          <w:spacing w:val="-2"/>
          <w:w w:val="105"/>
          <w:sz w:val="12"/>
        </w:rPr>
        <w:t>Code)</w:t>
      </w:r>
    </w:p>
    <w:p>
      <w:pPr>
        <w:spacing w:line="177" w:lineRule="exact" w:before="0"/>
        <w:ind w:left="91" w:right="0" w:firstLine="0"/>
        <w:jc w:val="center"/>
        <w:rPr>
          <w:b/>
          <w:sz w:val="16"/>
        </w:rPr>
      </w:pPr>
      <w:r>
        <w:rPr>
          <w:b/>
          <w:sz w:val="16"/>
        </w:rPr>
        <w:t>(702)</w:t>
      </w:r>
      <w:r>
        <w:rPr>
          <w:b/>
          <w:spacing w:val="6"/>
          <w:sz w:val="16"/>
        </w:rPr>
        <w:t> </w:t>
      </w:r>
      <w:r>
        <w:rPr>
          <w:b/>
          <w:sz w:val="16"/>
        </w:rPr>
        <w:t>693-</w:t>
      </w:r>
      <w:r>
        <w:rPr>
          <w:b/>
          <w:spacing w:val="-4"/>
          <w:sz w:val="16"/>
        </w:rPr>
        <w:t>7120</w:t>
      </w:r>
    </w:p>
    <w:p>
      <w:pPr>
        <w:spacing w:before="16"/>
        <w:ind w:left="91" w:right="0" w:firstLine="0"/>
        <w:jc w:val="center"/>
        <w:rPr>
          <w:b/>
          <w:sz w:val="12"/>
        </w:rPr>
      </w:pPr>
      <w:r>
        <w:rPr>
          <w:b/>
          <w:spacing w:val="-2"/>
          <w:w w:val="105"/>
          <w:sz w:val="12"/>
        </w:rPr>
        <w:t>(Registrant’s</w:t>
      </w:r>
      <w:r>
        <w:rPr>
          <w:b/>
          <w:spacing w:val="7"/>
          <w:w w:val="105"/>
          <w:sz w:val="12"/>
        </w:rPr>
        <w:t> </w:t>
      </w:r>
      <w:r>
        <w:rPr>
          <w:b/>
          <w:spacing w:val="-2"/>
          <w:w w:val="105"/>
          <w:sz w:val="12"/>
        </w:rPr>
        <w:t>telephone</w:t>
      </w:r>
      <w:r>
        <w:rPr>
          <w:b/>
          <w:spacing w:val="8"/>
          <w:w w:val="105"/>
          <w:sz w:val="12"/>
        </w:rPr>
        <w:t> </w:t>
      </w:r>
      <w:r>
        <w:rPr>
          <w:b/>
          <w:spacing w:val="-2"/>
          <w:w w:val="105"/>
          <w:sz w:val="12"/>
        </w:rPr>
        <w:t>number,</w:t>
      </w:r>
      <w:r>
        <w:rPr>
          <w:b/>
          <w:spacing w:val="8"/>
          <w:w w:val="105"/>
          <w:sz w:val="12"/>
        </w:rPr>
        <w:t> </w:t>
      </w:r>
      <w:r>
        <w:rPr>
          <w:b/>
          <w:spacing w:val="-2"/>
          <w:w w:val="105"/>
          <w:sz w:val="12"/>
        </w:rPr>
        <w:t>including</w:t>
      </w:r>
      <w:r>
        <w:rPr>
          <w:b/>
          <w:spacing w:val="7"/>
          <w:w w:val="105"/>
          <w:sz w:val="12"/>
        </w:rPr>
        <w:t> </w:t>
      </w:r>
      <w:r>
        <w:rPr>
          <w:b/>
          <w:spacing w:val="-2"/>
          <w:w w:val="105"/>
          <w:sz w:val="12"/>
        </w:rPr>
        <w:t>area</w:t>
      </w:r>
      <w:r>
        <w:rPr>
          <w:b/>
          <w:spacing w:val="8"/>
          <w:w w:val="105"/>
          <w:sz w:val="12"/>
        </w:rPr>
        <w:t> </w:t>
      </w:r>
      <w:r>
        <w:rPr>
          <w:b/>
          <w:spacing w:val="-2"/>
          <w:w w:val="105"/>
          <w:sz w:val="12"/>
        </w:rPr>
        <w:t>code)</w:t>
      </w:r>
    </w:p>
    <w:p>
      <w:pPr>
        <w:spacing w:line="235" w:lineRule="auto" w:before="71"/>
        <w:ind w:left="418" w:right="2480" w:firstLine="38"/>
        <w:jc w:val="left"/>
        <w:rPr>
          <w:b/>
          <w:sz w:val="12"/>
        </w:rPr>
      </w:pPr>
      <w:r>
        <w:rPr/>
        <w:br w:type="column"/>
      </w:r>
      <w:r>
        <w:rPr>
          <w:b/>
          <w:w w:val="105"/>
          <w:sz w:val="12"/>
        </w:rPr>
        <w:t>(I.R.S.</w:t>
      </w:r>
      <w:r>
        <w:rPr>
          <w:b/>
          <w:spacing w:val="-8"/>
          <w:w w:val="105"/>
          <w:sz w:val="12"/>
        </w:rPr>
        <w:t> </w:t>
      </w:r>
      <w:r>
        <w:rPr>
          <w:b/>
          <w:w w:val="105"/>
          <w:sz w:val="12"/>
        </w:rPr>
        <w:t>Employer</w:t>
      </w:r>
      <w:r>
        <w:rPr>
          <w:b/>
          <w:spacing w:val="40"/>
          <w:w w:val="105"/>
          <w:sz w:val="12"/>
        </w:rPr>
        <w:t> </w:t>
      </w:r>
      <w:r>
        <w:rPr>
          <w:b/>
          <w:w w:val="105"/>
          <w:sz w:val="12"/>
        </w:rPr>
        <w:t>Identification</w:t>
      </w:r>
      <w:r>
        <w:rPr>
          <w:b/>
          <w:spacing w:val="-8"/>
          <w:w w:val="105"/>
          <w:sz w:val="12"/>
        </w:rPr>
        <w:t> </w:t>
      </w:r>
      <w:r>
        <w:rPr>
          <w:b/>
          <w:spacing w:val="-4"/>
          <w:w w:val="105"/>
          <w:sz w:val="12"/>
        </w:rPr>
        <w:t>No.)</w:t>
      </w:r>
    </w:p>
    <w:p>
      <w:pPr>
        <w:spacing w:after="0" w:line="235" w:lineRule="auto"/>
        <w:jc w:val="left"/>
        <w:rPr>
          <w:sz w:val="12"/>
        </w:rPr>
        <w:sectPr>
          <w:type w:val="continuous"/>
          <w:pgSz w:w="12240" w:h="15840"/>
          <w:pgMar w:top="1040" w:bottom="280" w:left="220" w:right="240"/>
          <w:cols w:num="3" w:equalWidth="0">
            <w:col w:w="3821" w:space="40"/>
            <w:col w:w="3993" w:space="39"/>
            <w:col w:w="3887"/>
          </w:cols>
        </w:sectPr>
      </w:pPr>
    </w:p>
    <w:p>
      <w:pPr>
        <w:pStyle w:val="BodyText"/>
        <w:spacing w:before="5"/>
        <w:rPr>
          <w:b/>
          <w:sz w:val="9"/>
        </w:rPr>
      </w:pPr>
    </w:p>
    <w:p>
      <w:pPr>
        <w:pStyle w:val="BodyText"/>
        <w:spacing w:line="20" w:lineRule="exact"/>
        <w:ind w:left="4842"/>
        <w:rPr>
          <w:sz w:val="2"/>
        </w:rPr>
      </w:pPr>
      <w:r>
        <w:rPr>
          <w:sz w:val="2"/>
        </w:rPr>
        <mc:AlternateContent>
          <mc:Choice Requires="wps">
            <w:drawing>
              <wp:inline distT="0" distB="0" distL="0" distR="0">
                <wp:extent cx="1346200" cy="8890"/>
                <wp:effectExtent l="0" t="0" r="0" b="0"/>
                <wp:docPr id="8" name="Group 8"/>
                <wp:cNvGraphicFramePr>
                  <a:graphicFrameLocks/>
                </wp:cNvGraphicFramePr>
                <a:graphic>
                  <a:graphicData uri="http://schemas.microsoft.com/office/word/2010/wordprocessingGroup">
                    <wpg:wgp>
                      <wpg:cNvPr id="8" name="Group 8"/>
                      <wpg:cNvGrpSpPr/>
                      <wpg:grpSpPr>
                        <a:xfrm>
                          <a:off x="0" y="0"/>
                          <a:ext cx="1346200" cy="8890"/>
                          <a:chExt cx="1346200" cy="8890"/>
                        </a:xfrm>
                      </wpg:grpSpPr>
                      <wps:wsp>
                        <wps:cNvPr id="9" name="Graphic 9"/>
                        <wps:cNvSpPr/>
                        <wps:spPr>
                          <a:xfrm>
                            <a:off x="-12" y="0"/>
                            <a:ext cx="1346200" cy="8890"/>
                          </a:xfrm>
                          <a:custGeom>
                            <a:avLst/>
                            <a:gdLst/>
                            <a:ahLst/>
                            <a:cxnLst/>
                            <a:rect l="l" t="t" r="r" b="b"/>
                            <a:pathLst>
                              <a:path w="1346200" h="8890">
                                <a:moveTo>
                                  <a:pt x="1345882" y="0"/>
                                </a:moveTo>
                                <a:lnTo>
                                  <a:pt x="1328737" y="0"/>
                                </a:lnTo>
                                <a:lnTo>
                                  <a:pt x="17145" y="0"/>
                                </a:lnTo>
                                <a:lnTo>
                                  <a:pt x="0" y="0"/>
                                </a:lnTo>
                                <a:lnTo>
                                  <a:pt x="0" y="8572"/>
                                </a:lnTo>
                                <a:lnTo>
                                  <a:pt x="17145" y="8572"/>
                                </a:lnTo>
                                <a:lnTo>
                                  <a:pt x="1328737" y="8572"/>
                                </a:lnTo>
                                <a:lnTo>
                                  <a:pt x="1345882" y="8572"/>
                                </a:lnTo>
                                <a:lnTo>
                                  <a:pt x="13458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pt;height:.7pt;mso-position-horizontal-relative:char;mso-position-vertical-relative:line" id="docshapegroup7" coordorigin="0,0" coordsize="2120,14">
                <v:shape style="position:absolute;left:-1;top:0;width:2120;height:14" id="docshape8" coordorigin="0,0" coordsize="2120,14" path="m2119,0l2092,0,27,0,0,0,0,14,27,14,2092,14,2119,14,2119,0xe" filled="true" fillcolor="#000000" stroked="false">
                  <v:path arrowok="t"/>
                  <v:fill type="solid"/>
                </v:shape>
              </v:group>
            </w:pict>
          </mc:Fallback>
        </mc:AlternateContent>
      </w:r>
      <w:r>
        <w:rPr>
          <w:sz w:val="2"/>
        </w:rPr>
      </w:r>
    </w:p>
    <w:p>
      <w:pPr>
        <w:spacing w:before="87"/>
        <w:ind w:left="24" w:right="0" w:firstLine="0"/>
        <w:jc w:val="center"/>
        <w:rPr>
          <w:b/>
          <w:sz w:val="16"/>
        </w:rPr>
      </w:pPr>
      <w:r>
        <w:rPr>
          <w:b/>
          <w:sz w:val="16"/>
        </w:rPr>
        <w:t>Securities</w:t>
      </w:r>
      <w:r>
        <w:rPr>
          <w:b/>
          <w:spacing w:val="3"/>
          <w:sz w:val="16"/>
        </w:rPr>
        <w:t> </w:t>
      </w:r>
      <w:r>
        <w:rPr>
          <w:b/>
          <w:sz w:val="16"/>
        </w:rPr>
        <w:t>registered</w:t>
      </w:r>
      <w:r>
        <w:rPr>
          <w:b/>
          <w:spacing w:val="3"/>
          <w:sz w:val="16"/>
        </w:rPr>
        <w:t> </w:t>
      </w:r>
      <w:r>
        <w:rPr>
          <w:b/>
          <w:sz w:val="16"/>
        </w:rPr>
        <w:t>pursuant</w:t>
      </w:r>
      <w:r>
        <w:rPr>
          <w:b/>
          <w:spacing w:val="4"/>
          <w:sz w:val="16"/>
        </w:rPr>
        <w:t> </w:t>
      </w:r>
      <w:r>
        <w:rPr>
          <w:b/>
          <w:sz w:val="16"/>
        </w:rPr>
        <w:t>to</w:t>
      </w:r>
      <w:r>
        <w:rPr>
          <w:b/>
          <w:spacing w:val="3"/>
          <w:sz w:val="16"/>
        </w:rPr>
        <w:t> </w:t>
      </w:r>
      <w:r>
        <w:rPr>
          <w:b/>
          <w:sz w:val="16"/>
        </w:rPr>
        <w:t>Section</w:t>
      </w:r>
      <w:r>
        <w:rPr>
          <w:b/>
          <w:spacing w:val="4"/>
          <w:sz w:val="16"/>
        </w:rPr>
        <w:t> </w:t>
      </w:r>
      <w:r>
        <w:rPr>
          <w:b/>
          <w:sz w:val="16"/>
        </w:rPr>
        <w:t>12(b)</w:t>
      </w:r>
      <w:r>
        <w:rPr>
          <w:b/>
          <w:spacing w:val="3"/>
          <w:sz w:val="16"/>
        </w:rPr>
        <w:t> </w:t>
      </w:r>
      <w:r>
        <w:rPr>
          <w:b/>
          <w:sz w:val="16"/>
        </w:rPr>
        <w:t>of</w:t>
      </w:r>
      <w:r>
        <w:rPr>
          <w:b/>
          <w:spacing w:val="4"/>
          <w:sz w:val="16"/>
        </w:rPr>
        <w:t> </w:t>
      </w:r>
      <w:r>
        <w:rPr>
          <w:b/>
          <w:sz w:val="16"/>
        </w:rPr>
        <w:t>the</w:t>
      </w:r>
      <w:r>
        <w:rPr>
          <w:b/>
          <w:spacing w:val="-6"/>
          <w:sz w:val="16"/>
        </w:rPr>
        <w:t> </w:t>
      </w:r>
      <w:r>
        <w:rPr>
          <w:b/>
          <w:spacing w:val="-4"/>
          <w:sz w:val="16"/>
        </w:rPr>
        <w:t>Act:</w:t>
      </w:r>
    </w:p>
    <w:p>
      <w:pPr>
        <w:tabs>
          <w:tab w:pos="4642" w:val="left" w:leader="none"/>
          <w:tab w:pos="7700" w:val="left" w:leader="none"/>
        </w:tabs>
        <w:spacing w:before="64"/>
        <w:ind w:left="820" w:right="0" w:firstLine="0"/>
        <w:jc w:val="center"/>
        <w:rPr>
          <w:b/>
          <w:sz w:val="14"/>
        </w:rPr>
      </w:pPr>
      <w:r>
        <w:rPr>
          <w:b/>
          <w:sz w:val="14"/>
        </w:rPr>
        <w:t>Title</w:t>
      </w:r>
      <w:r>
        <w:rPr>
          <w:b/>
          <w:spacing w:val="3"/>
          <w:sz w:val="14"/>
        </w:rPr>
        <w:t> </w:t>
      </w:r>
      <w:r>
        <w:rPr>
          <w:b/>
          <w:sz w:val="14"/>
        </w:rPr>
        <w:t>of</w:t>
      </w:r>
      <w:r>
        <w:rPr>
          <w:b/>
          <w:spacing w:val="3"/>
          <w:sz w:val="14"/>
        </w:rPr>
        <w:t> </w:t>
      </w:r>
      <w:r>
        <w:rPr>
          <w:b/>
          <w:sz w:val="14"/>
        </w:rPr>
        <w:t>each</w:t>
      </w:r>
      <w:r>
        <w:rPr>
          <w:b/>
          <w:spacing w:val="4"/>
          <w:sz w:val="14"/>
        </w:rPr>
        <w:t> </w:t>
      </w:r>
      <w:r>
        <w:rPr>
          <w:b/>
          <w:spacing w:val="-2"/>
          <w:sz w:val="14"/>
        </w:rPr>
        <w:t>class</w:t>
      </w:r>
      <w:r>
        <w:rPr>
          <w:b/>
          <w:sz w:val="14"/>
        </w:rPr>
        <w:tab/>
        <w:t>Trading</w:t>
      </w:r>
      <w:r>
        <w:rPr>
          <w:b/>
          <w:spacing w:val="-2"/>
          <w:sz w:val="14"/>
        </w:rPr>
        <w:t> Symbol(s)</w:t>
      </w:r>
      <w:r>
        <w:rPr>
          <w:b/>
          <w:sz w:val="14"/>
        </w:rPr>
        <w:tab/>
        <w:t>Name</w:t>
      </w:r>
      <w:r>
        <w:rPr>
          <w:b/>
          <w:spacing w:val="5"/>
          <w:sz w:val="14"/>
        </w:rPr>
        <w:t> </w:t>
      </w:r>
      <w:r>
        <w:rPr>
          <w:b/>
          <w:sz w:val="14"/>
        </w:rPr>
        <w:t>of</w:t>
      </w:r>
      <w:r>
        <w:rPr>
          <w:b/>
          <w:spacing w:val="6"/>
          <w:sz w:val="14"/>
        </w:rPr>
        <w:t> </w:t>
      </w:r>
      <w:r>
        <w:rPr>
          <w:b/>
          <w:sz w:val="14"/>
        </w:rPr>
        <w:t>each</w:t>
      </w:r>
      <w:r>
        <w:rPr>
          <w:b/>
          <w:spacing w:val="6"/>
          <w:sz w:val="14"/>
        </w:rPr>
        <w:t> </w:t>
      </w:r>
      <w:r>
        <w:rPr>
          <w:b/>
          <w:sz w:val="14"/>
        </w:rPr>
        <w:t>exchange</w:t>
      </w:r>
      <w:r>
        <w:rPr>
          <w:b/>
          <w:spacing w:val="6"/>
          <w:sz w:val="14"/>
        </w:rPr>
        <w:t> </w:t>
      </w:r>
      <w:r>
        <w:rPr>
          <w:b/>
          <w:sz w:val="14"/>
        </w:rPr>
        <w:t>on</w:t>
      </w:r>
      <w:r>
        <w:rPr>
          <w:b/>
          <w:spacing w:val="6"/>
          <w:sz w:val="14"/>
        </w:rPr>
        <w:t> </w:t>
      </w:r>
      <w:r>
        <w:rPr>
          <w:b/>
          <w:sz w:val="14"/>
        </w:rPr>
        <w:t>which</w:t>
      </w:r>
      <w:r>
        <w:rPr>
          <w:b/>
          <w:spacing w:val="6"/>
          <w:sz w:val="14"/>
        </w:rPr>
        <w:t> </w:t>
      </w:r>
      <w:r>
        <w:rPr>
          <w:b/>
          <w:spacing w:val="-2"/>
          <w:sz w:val="14"/>
        </w:rPr>
        <w:t>registered</w:t>
      </w:r>
    </w:p>
    <w:p>
      <w:pPr>
        <w:tabs>
          <w:tab w:pos="4764" w:val="left" w:leader="none"/>
          <w:tab w:pos="7700" w:val="left" w:leader="none"/>
        </w:tabs>
        <w:spacing w:before="59"/>
        <w:ind w:left="116" w:right="0" w:firstLine="0"/>
        <w:jc w:val="center"/>
        <w:rPr>
          <w:sz w:val="15"/>
        </w:rPr>
      </w:pPr>
      <w:r>
        <w:rPr>
          <w:sz w:val="15"/>
        </w:rPr>
        <w:t>Common</w:t>
      </w:r>
      <w:r>
        <w:rPr>
          <w:spacing w:val="3"/>
          <w:sz w:val="15"/>
        </w:rPr>
        <w:t> </w:t>
      </w:r>
      <w:r>
        <w:rPr>
          <w:sz w:val="15"/>
        </w:rPr>
        <w:t>Stock,</w:t>
      </w:r>
      <w:r>
        <w:rPr>
          <w:spacing w:val="4"/>
          <w:sz w:val="15"/>
        </w:rPr>
        <w:t> </w:t>
      </w:r>
      <w:r>
        <w:rPr>
          <w:sz w:val="15"/>
        </w:rPr>
        <w:t>$0.01</w:t>
      </w:r>
      <w:r>
        <w:rPr>
          <w:spacing w:val="4"/>
          <w:sz w:val="15"/>
        </w:rPr>
        <w:t> </w:t>
      </w:r>
      <w:r>
        <w:rPr>
          <w:sz w:val="15"/>
        </w:rPr>
        <w:t>Par </w:t>
      </w:r>
      <w:r>
        <w:rPr>
          <w:spacing w:val="-2"/>
          <w:sz w:val="15"/>
        </w:rPr>
        <w:t>Value</w:t>
      </w:r>
      <w:r>
        <w:rPr>
          <w:sz w:val="15"/>
        </w:rPr>
        <w:tab/>
      </w:r>
      <w:r>
        <w:rPr>
          <w:spacing w:val="-5"/>
          <w:sz w:val="15"/>
        </w:rPr>
        <w:t>MGM</w:t>
      </w:r>
      <w:r>
        <w:rPr>
          <w:sz w:val="15"/>
        </w:rPr>
        <w:tab/>
        <w:t>New</w:t>
      </w:r>
      <w:r>
        <w:rPr>
          <w:spacing w:val="-6"/>
          <w:sz w:val="15"/>
        </w:rPr>
        <w:t> </w:t>
      </w:r>
      <w:r>
        <w:rPr>
          <w:sz w:val="15"/>
        </w:rPr>
        <w:t>York Stock Exchange </w:t>
      </w:r>
      <w:r>
        <w:rPr>
          <w:spacing w:val="-2"/>
          <w:sz w:val="15"/>
        </w:rPr>
        <w:t>(NYSE)</w:t>
      </w:r>
    </w:p>
    <w:p>
      <w:pPr>
        <w:spacing w:line="244" w:lineRule="auto" w:before="111"/>
        <w:ind w:left="3934" w:right="3907" w:firstLine="0"/>
        <w:jc w:val="center"/>
        <w:rPr>
          <w:b/>
          <w:sz w:val="15"/>
        </w:rPr>
      </w:pPr>
      <w:r>
        <w:rPr>
          <w:b/>
          <w:sz w:val="15"/>
        </w:rPr>
        <w:t>Securities registered pursuant to Section 12(g) of the</w:t>
      </w:r>
      <w:r>
        <w:rPr>
          <w:b/>
          <w:spacing w:val="-6"/>
          <w:sz w:val="15"/>
        </w:rPr>
        <w:t> </w:t>
      </w:r>
      <w:r>
        <w:rPr>
          <w:b/>
          <w:sz w:val="15"/>
        </w:rPr>
        <w:t>Act:</w:t>
      </w:r>
      <w:r>
        <w:rPr>
          <w:b/>
          <w:spacing w:val="40"/>
          <w:sz w:val="15"/>
        </w:rPr>
        <w:t> </w:t>
      </w:r>
      <w:r>
        <w:rPr>
          <w:b/>
          <w:spacing w:val="-4"/>
          <w:sz w:val="15"/>
        </w:rPr>
        <w:t>None</w:t>
      </w:r>
    </w:p>
    <w:p>
      <w:pPr>
        <w:pStyle w:val="BodyText"/>
        <w:spacing w:before="6"/>
        <w:rPr>
          <w:b/>
          <w:sz w:val="6"/>
        </w:rPr>
      </w:pPr>
      <w:r>
        <w:rPr/>
        <mc:AlternateContent>
          <mc:Choice Requires="wps">
            <w:drawing>
              <wp:anchor distT="0" distB="0" distL="0" distR="0" allowOverlap="1" layoutInCell="1" locked="0" behindDoc="1" simplePos="0" relativeHeight="487590400">
                <wp:simplePos x="0" y="0"/>
                <wp:positionH relativeFrom="page">
                  <wp:posOffset>3214674</wp:posOffset>
                </wp:positionH>
                <wp:positionV relativeFrom="paragraph">
                  <wp:posOffset>62975</wp:posOffset>
                </wp:positionV>
                <wp:extent cx="1346200" cy="889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346200" cy="8890"/>
                        </a:xfrm>
                        <a:custGeom>
                          <a:avLst/>
                          <a:gdLst/>
                          <a:ahLst/>
                          <a:cxnLst/>
                          <a:rect l="l" t="t" r="r" b="b"/>
                          <a:pathLst>
                            <a:path w="1346200" h="8890">
                              <a:moveTo>
                                <a:pt x="1345882" y="0"/>
                              </a:moveTo>
                              <a:lnTo>
                                <a:pt x="1328737" y="0"/>
                              </a:lnTo>
                              <a:lnTo>
                                <a:pt x="17145" y="0"/>
                              </a:lnTo>
                              <a:lnTo>
                                <a:pt x="0" y="0"/>
                              </a:lnTo>
                              <a:lnTo>
                                <a:pt x="0" y="8572"/>
                              </a:lnTo>
                              <a:lnTo>
                                <a:pt x="17145" y="8572"/>
                              </a:lnTo>
                              <a:lnTo>
                                <a:pt x="1328737" y="8572"/>
                              </a:lnTo>
                              <a:lnTo>
                                <a:pt x="1345882" y="8572"/>
                              </a:lnTo>
                              <a:lnTo>
                                <a:pt x="13458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3.124008pt;margin-top:4.958696pt;width:106pt;height:.7pt;mso-position-horizontal-relative:page;mso-position-vertical-relative:paragraph;z-index:-15726080;mso-wrap-distance-left:0;mso-wrap-distance-right:0" id="docshape9" coordorigin="5062,99" coordsize="2120,14" path="m7182,99l7155,99,5089,99,5062,99,5062,113,5089,113,7155,113,7182,113,7182,99xe" filled="true" fillcolor="#000000" stroked="false">
                <v:path arrowok="t"/>
                <v:fill type="solid"/>
                <w10:wrap type="topAndBottom"/>
              </v:shape>
            </w:pict>
          </mc:Fallback>
        </mc:AlternateContent>
      </w:r>
    </w:p>
    <w:p>
      <w:pPr>
        <w:spacing w:before="92"/>
        <w:ind w:left="644" w:right="0" w:firstLine="0"/>
        <w:jc w:val="left"/>
        <w:rPr>
          <w:rFonts w:ascii="Segoe UI Symbol" w:hAnsi="Segoe UI Symbol"/>
          <w:sz w:val="14"/>
        </w:rPr>
      </w:pPr>
      <w:r>
        <w:rPr>
          <w:sz w:val="14"/>
        </w:rPr>
        <w:t>Indicate</w:t>
      </w:r>
      <w:r>
        <w:rPr>
          <w:spacing w:val="4"/>
          <w:sz w:val="14"/>
        </w:rPr>
        <w:t> </w:t>
      </w:r>
      <w:r>
        <w:rPr>
          <w:sz w:val="14"/>
        </w:rPr>
        <w:t>by</w:t>
      </w:r>
      <w:r>
        <w:rPr>
          <w:spacing w:val="5"/>
          <w:sz w:val="14"/>
        </w:rPr>
        <w:t> </w:t>
      </w:r>
      <w:r>
        <w:rPr>
          <w:sz w:val="14"/>
        </w:rPr>
        <w:t>check</w:t>
      </w:r>
      <w:r>
        <w:rPr>
          <w:spacing w:val="4"/>
          <w:sz w:val="14"/>
        </w:rPr>
        <w:t> </w:t>
      </w:r>
      <w:r>
        <w:rPr>
          <w:sz w:val="14"/>
        </w:rPr>
        <w:t>mark</w:t>
      </w:r>
      <w:r>
        <w:rPr>
          <w:spacing w:val="5"/>
          <w:sz w:val="14"/>
        </w:rPr>
        <w:t> </w:t>
      </w:r>
      <w:r>
        <w:rPr>
          <w:sz w:val="14"/>
        </w:rPr>
        <w:t>if</w:t>
      </w:r>
      <w:r>
        <w:rPr>
          <w:spacing w:val="4"/>
          <w:sz w:val="14"/>
        </w:rPr>
        <w:t> </w:t>
      </w:r>
      <w:r>
        <w:rPr>
          <w:sz w:val="14"/>
        </w:rPr>
        <w:t>the</w:t>
      </w:r>
      <w:r>
        <w:rPr>
          <w:spacing w:val="5"/>
          <w:sz w:val="14"/>
        </w:rPr>
        <w:t> </w:t>
      </w:r>
      <w:r>
        <w:rPr>
          <w:sz w:val="14"/>
        </w:rPr>
        <w:t>Registrant</w:t>
      </w:r>
      <w:r>
        <w:rPr>
          <w:spacing w:val="4"/>
          <w:sz w:val="14"/>
        </w:rPr>
        <w:t> </w:t>
      </w:r>
      <w:r>
        <w:rPr>
          <w:sz w:val="14"/>
        </w:rPr>
        <w:t>is</w:t>
      </w:r>
      <w:r>
        <w:rPr>
          <w:spacing w:val="5"/>
          <w:sz w:val="14"/>
        </w:rPr>
        <w:t> </w:t>
      </w:r>
      <w:r>
        <w:rPr>
          <w:sz w:val="14"/>
        </w:rPr>
        <w:t>a</w:t>
      </w:r>
      <w:r>
        <w:rPr>
          <w:spacing w:val="4"/>
          <w:sz w:val="14"/>
        </w:rPr>
        <w:t> </w:t>
      </w:r>
      <w:r>
        <w:rPr>
          <w:sz w:val="14"/>
        </w:rPr>
        <w:t>well-known</w:t>
      </w:r>
      <w:r>
        <w:rPr>
          <w:spacing w:val="5"/>
          <w:sz w:val="14"/>
        </w:rPr>
        <w:t> </w:t>
      </w:r>
      <w:r>
        <w:rPr>
          <w:sz w:val="14"/>
        </w:rPr>
        <w:t>seasoned</w:t>
      </w:r>
      <w:r>
        <w:rPr>
          <w:spacing w:val="4"/>
          <w:sz w:val="14"/>
        </w:rPr>
        <w:t> </w:t>
      </w:r>
      <w:r>
        <w:rPr>
          <w:sz w:val="14"/>
        </w:rPr>
        <w:t>issuer,</w:t>
      </w:r>
      <w:r>
        <w:rPr>
          <w:spacing w:val="5"/>
          <w:sz w:val="14"/>
        </w:rPr>
        <w:t> </w:t>
      </w:r>
      <w:r>
        <w:rPr>
          <w:sz w:val="14"/>
        </w:rPr>
        <w:t>as</w:t>
      </w:r>
      <w:r>
        <w:rPr>
          <w:spacing w:val="5"/>
          <w:sz w:val="14"/>
        </w:rPr>
        <w:t> </w:t>
      </w:r>
      <w:r>
        <w:rPr>
          <w:sz w:val="14"/>
        </w:rPr>
        <w:t>defined</w:t>
      </w:r>
      <w:r>
        <w:rPr>
          <w:spacing w:val="4"/>
          <w:sz w:val="14"/>
        </w:rPr>
        <w:t> </w:t>
      </w:r>
      <w:r>
        <w:rPr>
          <w:sz w:val="14"/>
        </w:rPr>
        <w:t>in</w:t>
      </w:r>
      <w:r>
        <w:rPr>
          <w:spacing w:val="5"/>
          <w:sz w:val="14"/>
        </w:rPr>
        <w:t> </w:t>
      </w:r>
      <w:r>
        <w:rPr>
          <w:sz w:val="14"/>
        </w:rPr>
        <w:t>Rule</w:t>
      </w:r>
      <w:r>
        <w:rPr>
          <w:spacing w:val="4"/>
          <w:sz w:val="14"/>
        </w:rPr>
        <w:t> </w:t>
      </w:r>
      <w:r>
        <w:rPr>
          <w:sz w:val="14"/>
        </w:rPr>
        <w:t>405</w:t>
      </w:r>
      <w:r>
        <w:rPr>
          <w:spacing w:val="5"/>
          <w:sz w:val="14"/>
        </w:rPr>
        <w:t> </w:t>
      </w:r>
      <w:r>
        <w:rPr>
          <w:sz w:val="14"/>
        </w:rPr>
        <w:t>of</w:t>
      </w:r>
      <w:r>
        <w:rPr>
          <w:spacing w:val="4"/>
          <w:sz w:val="14"/>
        </w:rPr>
        <w:t> </w:t>
      </w:r>
      <w:r>
        <w:rPr>
          <w:sz w:val="14"/>
        </w:rPr>
        <w:t>the</w:t>
      </w:r>
      <w:r>
        <w:rPr>
          <w:spacing w:val="5"/>
          <w:sz w:val="14"/>
        </w:rPr>
        <w:t> </w:t>
      </w:r>
      <w:r>
        <w:rPr>
          <w:sz w:val="14"/>
        </w:rPr>
        <w:t>Securities</w:t>
      </w:r>
      <w:r>
        <w:rPr>
          <w:spacing w:val="-4"/>
          <w:sz w:val="14"/>
        </w:rPr>
        <w:t> </w:t>
      </w:r>
      <w:r>
        <w:rPr>
          <w:sz w:val="14"/>
        </w:rPr>
        <w:t>Act.</w:t>
      </w:r>
      <w:r>
        <w:rPr>
          <w:spacing w:val="-1"/>
          <w:sz w:val="14"/>
        </w:rPr>
        <w:t> </w:t>
      </w:r>
      <w:r>
        <w:rPr>
          <w:sz w:val="14"/>
        </w:rPr>
        <w:t>Yes</w:t>
      </w:r>
      <w:r>
        <w:rPr>
          <w:spacing w:val="5"/>
          <w:sz w:val="14"/>
        </w:rPr>
        <w:t> </w:t>
      </w:r>
      <w:r>
        <w:rPr>
          <w:rFonts w:ascii="Segoe UI Symbol" w:hAnsi="Segoe UI Symbol"/>
          <w:sz w:val="14"/>
        </w:rPr>
        <w:t>☒</w:t>
      </w:r>
      <w:r>
        <w:rPr>
          <w:rFonts w:ascii="Segoe UI Symbol" w:hAnsi="Segoe UI Symbol"/>
          <w:spacing w:val="2"/>
          <w:sz w:val="14"/>
        </w:rPr>
        <w:t> </w:t>
      </w:r>
      <w:r>
        <w:rPr>
          <w:sz w:val="14"/>
        </w:rPr>
        <w:t>No</w:t>
      </w:r>
      <w:r>
        <w:rPr>
          <w:spacing w:val="5"/>
          <w:sz w:val="14"/>
        </w:rPr>
        <w:t> </w:t>
      </w:r>
      <w:r>
        <w:rPr>
          <w:rFonts w:ascii="Segoe UI Symbol" w:hAnsi="Segoe UI Symbol"/>
          <w:spacing w:val="-10"/>
          <w:sz w:val="14"/>
        </w:rPr>
        <w:t>☐</w:t>
      </w:r>
    </w:p>
    <w:p>
      <w:pPr>
        <w:spacing w:line="184" w:lineRule="exact" w:before="2"/>
        <w:ind w:left="644" w:right="0" w:firstLine="0"/>
        <w:jc w:val="left"/>
        <w:rPr>
          <w:rFonts w:ascii="Segoe UI Symbol" w:hAnsi="Segoe UI Symbol"/>
          <w:sz w:val="14"/>
        </w:rPr>
      </w:pPr>
      <w:r>
        <w:rPr>
          <w:sz w:val="14"/>
        </w:rPr>
        <w:t>Indicate</w:t>
      </w:r>
      <w:r>
        <w:rPr>
          <w:spacing w:val="4"/>
          <w:sz w:val="14"/>
        </w:rPr>
        <w:t> </w:t>
      </w:r>
      <w:r>
        <w:rPr>
          <w:sz w:val="14"/>
        </w:rPr>
        <w:t>by</w:t>
      </w:r>
      <w:r>
        <w:rPr>
          <w:spacing w:val="4"/>
          <w:sz w:val="14"/>
        </w:rPr>
        <w:t> </w:t>
      </w:r>
      <w:r>
        <w:rPr>
          <w:sz w:val="14"/>
        </w:rPr>
        <w:t>check</w:t>
      </w:r>
      <w:r>
        <w:rPr>
          <w:spacing w:val="5"/>
          <w:sz w:val="14"/>
        </w:rPr>
        <w:t> </w:t>
      </w:r>
      <w:r>
        <w:rPr>
          <w:sz w:val="14"/>
        </w:rPr>
        <w:t>mark</w:t>
      </w:r>
      <w:r>
        <w:rPr>
          <w:spacing w:val="4"/>
          <w:sz w:val="14"/>
        </w:rPr>
        <w:t> </w:t>
      </w:r>
      <w:r>
        <w:rPr>
          <w:sz w:val="14"/>
        </w:rPr>
        <w:t>if</w:t>
      </w:r>
      <w:r>
        <w:rPr>
          <w:spacing w:val="5"/>
          <w:sz w:val="14"/>
        </w:rPr>
        <w:t> </w:t>
      </w:r>
      <w:r>
        <w:rPr>
          <w:sz w:val="14"/>
        </w:rPr>
        <w:t>the</w:t>
      </w:r>
      <w:r>
        <w:rPr>
          <w:spacing w:val="4"/>
          <w:sz w:val="14"/>
        </w:rPr>
        <w:t> </w:t>
      </w:r>
      <w:r>
        <w:rPr>
          <w:sz w:val="14"/>
        </w:rPr>
        <w:t>Registrant</w:t>
      </w:r>
      <w:r>
        <w:rPr>
          <w:spacing w:val="5"/>
          <w:sz w:val="14"/>
        </w:rPr>
        <w:t> </w:t>
      </w:r>
      <w:r>
        <w:rPr>
          <w:sz w:val="14"/>
        </w:rPr>
        <w:t>is</w:t>
      </w:r>
      <w:r>
        <w:rPr>
          <w:spacing w:val="4"/>
          <w:sz w:val="14"/>
        </w:rPr>
        <w:t> </w:t>
      </w:r>
      <w:r>
        <w:rPr>
          <w:sz w:val="14"/>
        </w:rPr>
        <w:t>not</w:t>
      </w:r>
      <w:r>
        <w:rPr>
          <w:spacing w:val="5"/>
          <w:sz w:val="14"/>
        </w:rPr>
        <w:t> </w:t>
      </w:r>
      <w:r>
        <w:rPr>
          <w:sz w:val="14"/>
        </w:rPr>
        <w:t>required</w:t>
      </w:r>
      <w:r>
        <w:rPr>
          <w:spacing w:val="4"/>
          <w:sz w:val="14"/>
        </w:rPr>
        <w:t> </w:t>
      </w:r>
      <w:r>
        <w:rPr>
          <w:sz w:val="14"/>
        </w:rPr>
        <w:t>to</w:t>
      </w:r>
      <w:r>
        <w:rPr>
          <w:spacing w:val="5"/>
          <w:sz w:val="14"/>
        </w:rPr>
        <w:t> </w:t>
      </w:r>
      <w:r>
        <w:rPr>
          <w:sz w:val="14"/>
        </w:rPr>
        <w:t>file</w:t>
      </w:r>
      <w:r>
        <w:rPr>
          <w:spacing w:val="4"/>
          <w:sz w:val="14"/>
        </w:rPr>
        <w:t> </w:t>
      </w:r>
      <w:r>
        <w:rPr>
          <w:sz w:val="14"/>
        </w:rPr>
        <w:t>reports</w:t>
      </w:r>
      <w:r>
        <w:rPr>
          <w:spacing w:val="4"/>
          <w:sz w:val="14"/>
        </w:rPr>
        <w:t> </w:t>
      </w:r>
      <w:r>
        <w:rPr>
          <w:sz w:val="14"/>
        </w:rPr>
        <w:t>pursuant</w:t>
      </w:r>
      <w:r>
        <w:rPr>
          <w:spacing w:val="5"/>
          <w:sz w:val="14"/>
        </w:rPr>
        <w:t> </w:t>
      </w:r>
      <w:r>
        <w:rPr>
          <w:sz w:val="14"/>
        </w:rPr>
        <w:t>to</w:t>
      </w:r>
      <w:r>
        <w:rPr>
          <w:spacing w:val="4"/>
          <w:sz w:val="14"/>
        </w:rPr>
        <w:t> </w:t>
      </w:r>
      <w:r>
        <w:rPr>
          <w:sz w:val="14"/>
        </w:rPr>
        <w:t>Section</w:t>
      </w:r>
      <w:r>
        <w:rPr>
          <w:spacing w:val="5"/>
          <w:sz w:val="14"/>
        </w:rPr>
        <w:t> </w:t>
      </w:r>
      <w:r>
        <w:rPr>
          <w:sz w:val="14"/>
        </w:rPr>
        <w:t>13</w:t>
      </w:r>
      <w:r>
        <w:rPr>
          <w:spacing w:val="4"/>
          <w:sz w:val="14"/>
        </w:rPr>
        <w:t> </w:t>
      </w:r>
      <w:r>
        <w:rPr>
          <w:sz w:val="14"/>
        </w:rPr>
        <w:t>or</w:t>
      </w:r>
      <w:r>
        <w:rPr>
          <w:spacing w:val="5"/>
          <w:sz w:val="14"/>
        </w:rPr>
        <w:t> </w:t>
      </w:r>
      <w:r>
        <w:rPr>
          <w:sz w:val="14"/>
        </w:rPr>
        <w:t>Section</w:t>
      </w:r>
      <w:r>
        <w:rPr>
          <w:spacing w:val="4"/>
          <w:sz w:val="14"/>
        </w:rPr>
        <w:t> </w:t>
      </w:r>
      <w:r>
        <w:rPr>
          <w:sz w:val="14"/>
        </w:rPr>
        <w:t>15(d)</w:t>
      </w:r>
      <w:r>
        <w:rPr>
          <w:spacing w:val="5"/>
          <w:sz w:val="14"/>
        </w:rPr>
        <w:t> </w:t>
      </w:r>
      <w:r>
        <w:rPr>
          <w:sz w:val="14"/>
        </w:rPr>
        <w:t>of</w:t>
      </w:r>
      <w:r>
        <w:rPr>
          <w:spacing w:val="4"/>
          <w:sz w:val="14"/>
        </w:rPr>
        <w:t> </w:t>
      </w:r>
      <w:r>
        <w:rPr>
          <w:sz w:val="14"/>
        </w:rPr>
        <w:t>the</w:t>
      </w:r>
      <w:r>
        <w:rPr>
          <w:spacing w:val="-3"/>
          <w:sz w:val="14"/>
        </w:rPr>
        <w:t> </w:t>
      </w:r>
      <w:r>
        <w:rPr>
          <w:sz w:val="14"/>
        </w:rPr>
        <w:t>Act.</w:t>
      </w:r>
      <w:r>
        <w:rPr>
          <w:spacing w:val="-1"/>
          <w:sz w:val="14"/>
        </w:rPr>
        <w:t> </w:t>
      </w:r>
      <w:r>
        <w:rPr>
          <w:sz w:val="14"/>
        </w:rPr>
        <w:t>Yes</w:t>
      </w:r>
      <w:r>
        <w:rPr>
          <w:spacing w:val="5"/>
          <w:sz w:val="14"/>
        </w:rPr>
        <w:t> </w:t>
      </w:r>
      <w:r>
        <w:rPr>
          <w:rFonts w:ascii="Segoe UI Symbol" w:hAnsi="Segoe UI Symbol"/>
          <w:sz w:val="14"/>
        </w:rPr>
        <w:t>☐</w:t>
      </w:r>
      <w:r>
        <w:rPr>
          <w:rFonts w:ascii="Segoe UI Symbol" w:hAnsi="Segoe UI Symbol"/>
          <w:spacing w:val="2"/>
          <w:sz w:val="14"/>
        </w:rPr>
        <w:t> </w:t>
      </w:r>
      <w:r>
        <w:rPr>
          <w:sz w:val="14"/>
        </w:rPr>
        <w:t>No</w:t>
      </w:r>
      <w:r>
        <w:rPr>
          <w:spacing w:val="5"/>
          <w:sz w:val="14"/>
        </w:rPr>
        <w:t> </w:t>
      </w:r>
      <w:r>
        <w:rPr>
          <w:rFonts w:ascii="Segoe UI Symbol" w:hAnsi="Segoe UI Symbol"/>
          <w:spacing w:val="-10"/>
          <w:sz w:val="14"/>
        </w:rPr>
        <w:t>☒</w:t>
      </w:r>
    </w:p>
    <w:p>
      <w:pPr>
        <w:spacing w:line="232" w:lineRule="auto" w:before="2"/>
        <w:ind w:left="144" w:right="118" w:firstLine="499"/>
        <w:jc w:val="left"/>
        <w:rPr>
          <w:rFonts w:ascii="Segoe UI Symbol" w:hAnsi="Segoe UI Symbol"/>
          <w:sz w:val="14"/>
        </w:rPr>
      </w:pPr>
      <w:r>
        <w:rPr>
          <w:sz w:val="14"/>
        </w:rPr>
        <w:t>Indicate</w:t>
      </w:r>
      <w:r>
        <w:rPr>
          <w:spacing w:val="12"/>
          <w:sz w:val="14"/>
        </w:rPr>
        <w:t> </w:t>
      </w:r>
      <w:r>
        <w:rPr>
          <w:sz w:val="14"/>
        </w:rPr>
        <w:t>by</w:t>
      </w:r>
      <w:r>
        <w:rPr>
          <w:spacing w:val="12"/>
          <w:sz w:val="14"/>
        </w:rPr>
        <w:t> </w:t>
      </w:r>
      <w:r>
        <w:rPr>
          <w:sz w:val="14"/>
        </w:rPr>
        <w:t>check</w:t>
      </w:r>
      <w:r>
        <w:rPr>
          <w:spacing w:val="12"/>
          <w:sz w:val="14"/>
        </w:rPr>
        <w:t> </w:t>
      </w:r>
      <w:r>
        <w:rPr>
          <w:sz w:val="14"/>
        </w:rPr>
        <w:t>mark</w:t>
      </w:r>
      <w:r>
        <w:rPr>
          <w:spacing w:val="12"/>
          <w:sz w:val="14"/>
        </w:rPr>
        <w:t> </w:t>
      </w:r>
      <w:r>
        <w:rPr>
          <w:sz w:val="14"/>
        </w:rPr>
        <w:t>whether</w:t>
      </w:r>
      <w:r>
        <w:rPr>
          <w:spacing w:val="12"/>
          <w:sz w:val="14"/>
        </w:rPr>
        <w:t> </w:t>
      </w:r>
      <w:r>
        <w:rPr>
          <w:sz w:val="14"/>
        </w:rPr>
        <w:t>the</w:t>
      </w:r>
      <w:r>
        <w:rPr>
          <w:spacing w:val="12"/>
          <w:sz w:val="14"/>
        </w:rPr>
        <w:t> </w:t>
      </w:r>
      <w:r>
        <w:rPr>
          <w:sz w:val="14"/>
        </w:rPr>
        <w:t>Registrant</w:t>
      </w:r>
      <w:r>
        <w:rPr>
          <w:spacing w:val="12"/>
          <w:sz w:val="14"/>
        </w:rPr>
        <w:t> </w:t>
      </w:r>
      <w:r>
        <w:rPr>
          <w:sz w:val="14"/>
        </w:rPr>
        <w:t>(1)</w:t>
      </w:r>
      <w:r>
        <w:rPr>
          <w:spacing w:val="12"/>
          <w:sz w:val="14"/>
        </w:rPr>
        <w:t> </w:t>
      </w:r>
      <w:r>
        <w:rPr>
          <w:sz w:val="14"/>
        </w:rPr>
        <w:t>has</w:t>
      </w:r>
      <w:r>
        <w:rPr>
          <w:spacing w:val="12"/>
          <w:sz w:val="14"/>
        </w:rPr>
        <w:t> </w:t>
      </w:r>
      <w:r>
        <w:rPr>
          <w:sz w:val="14"/>
        </w:rPr>
        <w:t>filed</w:t>
      </w:r>
      <w:r>
        <w:rPr>
          <w:spacing w:val="12"/>
          <w:sz w:val="14"/>
        </w:rPr>
        <w:t> </w:t>
      </w:r>
      <w:r>
        <w:rPr>
          <w:sz w:val="14"/>
        </w:rPr>
        <w:t>all</w:t>
      </w:r>
      <w:r>
        <w:rPr>
          <w:spacing w:val="12"/>
          <w:sz w:val="14"/>
        </w:rPr>
        <w:t> </w:t>
      </w:r>
      <w:r>
        <w:rPr>
          <w:sz w:val="14"/>
        </w:rPr>
        <w:t>reports</w:t>
      </w:r>
      <w:r>
        <w:rPr>
          <w:spacing w:val="12"/>
          <w:sz w:val="14"/>
        </w:rPr>
        <w:t> </w:t>
      </w:r>
      <w:r>
        <w:rPr>
          <w:sz w:val="14"/>
        </w:rPr>
        <w:t>required</w:t>
      </w:r>
      <w:r>
        <w:rPr>
          <w:spacing w:val="12"/>
          <w:sz w:val="14"/>
        </w:rPr>
        <w:t> </w:t>
      </w:r>
      <w:r>
        <w:rPr>
          <w:sz w:val="14"/>
        </w:rPr>
        <w:t>to</w:t>
      </w:r>
      <w:r>
        <w:rPr>
          <w:spacing w:val="12"/>
          <w:sz w:val="14"/>
        </w:rPr>
        <w:t> </w:t>
      </w:r>
      <w:r>
        <w:rPr>
          <w:sz w:val="14"/>
        </w:rPr>
        <w:t>be</w:t>
      </w:r>
      <w:r>
        <w:rPr>
          <w:spacing w:val="12"/>
          <w:sz w:val="14"/>
        </w:rPr>
        <w:t> </w:t>
      </w:r>
      <w:r>
        <w:rPr>
          <w:sz w:val="14"/>
        </w:rPr>
        <w:t>filed</w:t>
      </w:r>
      <w:r>
        <w:rPr>
          <w:spacing w:val="12"/>
          <w:sz w:val="14"/>
        </w:rPr>
        <w:t> </w:t>
      </w:r>
      <w:r>
        <w:rPr>
          <w:sz w:val="14"/>
        </w:rPr>
        <w:t>by</w:t>
      </w:r>
      <w:r>
        <w:rPr>
          <w:spacing w:val="12"/>
          <w:sz w:val="14"/>
        </w:rPr>
        <w:t> </w:t>
      </w:r>
      <w:r>
        <w:rPr>
          <w:sz w:val="14"/>
        </w:rPr>
        <w:t>Section</w:t>
      </w:r>
      <w:r>
        <w:rPr>
          <w:spacing w:val="12"/>
          <w:sz w:val="14"/>
        </w:rPr>
        <w:t> </w:t>
      </w:r>
      <w:r>
        <w:rPr>
          <w:sz w:val="14"/>
        </w:rPr>
        <w:t>13</w:t>
      </w:r>
      <w:r>
        <w:rPr>
          <w:spacing w:val="12"/>
          <w:sz w:val="14"/>
        </w:rPr>
        <w:t> </w:t>
      </w:r>
      <w:r>
        <w:rPr>
          <w:sz w:val="14"/>
        </w:rPr>
        <w:t>or</w:t>
      </w:r>
      <w:r>
        <w:rPr>
          <w:spacing w:val="12"/>
          <w:sz w:val="14"/>
        </w:rPr>
        <w:t> </w:t>
      </w:r>
      <w:r>
        <w:rPr>
          <w:sz w:val="14"/>
        </w:rPr>
        <w:t>15(d)</w:t>
      </w:r>
      <w:r>
        <w:rPr>
          <w:spacing w:val="12"/>
          <w:sz w:val="14"/>
        </w:rPr>
        <w:t> </w:t>
      </w:r>
      <w:r>
        <w:rPr>
          <w:sz w:val="14"/>
        </w:rPr>
        <w:t>of</w:t>
      </w:r>
      <w:r>
        <w:rPr>
          <w:spacing w:val="12"/>
          <w:sz w:val="14"/>
        </w:rPr>
        <w:t> </w:t>
      </w:r>
      <w:r>
        <w:rPr>
          <w:sz w:val="14"/>
        </w:rPr>
        <w:t>the</w:t>
      </w:r>
      <w:r>
        <w:rPr>
          <w:spacing w:val="12"/>
          <w:sz w:val="14"/>
        </w:rPr>
        <w:t> </w:t>
      </w:r>
      <w:r>
        <w:rPr>
          <w:sz w:val="14"/>
        </w:rPr>
        <w:t>Securities</w:t>
      </w:r>
      <w:r>
        <w:rPr>
          <w:spacing w:val="12"/>
          <w:sz w:val="14"/>
        </w:rPr>
        <w:t> </w:t>
      </w:r>
      <w:r>
        <w:rPr>
          <w:sz w:val="14"/>
        </w:rPr>
        <w:t>Exchange Act</w:t>
      </w:r>
      <w:r>
        <w:rPr>
          <w:spacing w:val="12"/>
          <w:sz w:val="14"/>
        </w:rPr>
        <w:t> </w:t>
      </w:r>
      <w:r>
        <w:rPr>
          <w:sz w:val="14"/>
        </w:rPr>
        <w:t>of</w:t>
      </w:r>
      <w:r>
        <w:rPr>
          <w:spacing w:val="12"/>
          <w:sz w:val="14"/>
        </w:rPr>
        <w:t> </w:t>
      </w:r>
      <w:r>
        <w:rPr>
          <w:sz w:val="14"/>
        </w:rPr>
        <w:t>1934</w:t>
      </w:r>
      <w:r>
        <w:rPr>
          <w:spacing w:val="12"/>
          <w:sz w:val="14"/>
        </w:rPr>
        <w:t> </w:t>
      </w:r>
      <w:r>
        <w:rPr>
          <w:sz w:val="14"/>
        </w:rPr>
        <w:t>during</w:t>
      </w:r>
      <w:r>
        <w:rPr>
          <w:spacing w:val="12"/>
          <w:sz w:val="14"/>
        </w:rPr>
        <w:t> </w:t>
      </w:r>
      <w:r>
        <w:rPr>
          <w:sz w:val="14"/>
        </w:rPr>
        <w:t>the</w:t>
      </w:r>
      <w:r>
        <w:rPr>
          <w:spacing w:val="12"/>
          <w:sz w:val="14"/>
        </w:rPr>
        <w:t> </w:t>
      </w:r>
      <w:r>
        <w:rPr>
          <w:sz w:val="14"/>
        </w:rPr>
        <w:t>preceding</w:t>
      </w:r>
      <w:r>
        <w:rPr>
          <w:spacing w:val="12"/>
          <w:sz w:val="14"/>
        </w:rPr>
        <w:t> </w:t>
      </w:r>
      <w:r>
        <w:rPr>
          <w:sz w:val="14"/>
        </w:rPr>
        <w:t>12</w:t>
      </w:r>
      <w:r>
        <w:rPr>
          <w:spacing w:val="12"/>
          <w:sz w:val="14"/>
        </w:rPr>
        <w:t> </w:t>
      </w:r>
      <w:r>
        <w:rPr>
          <w:sz w:val="14"/>
        </w:rPr>
        <w:t>months</w:t>
      </w:r>
      <w:r>
        <w:rPr>
          <w:spacing w:val="12"/>
          <w:sz w:val="14"/>
        </w:rPr>
        <w:t> </w:t>
      </w:r>
      <w:r>
        <w:rPr>
          <w:sz w:val="14"/>
        </w:rPr>
        <w:t>(or</w:t>
      </w:r>
      <w:r>
        <w:rPr>
          <w:spacing w:val="40"/>
          <w:sz w:val="14"/>
        </w:rPr>
        <w:t> </w:t>
      </w:r>
      <w:r>
        <w:rPr>
          <w:sz w:val="14"/>
        </w:rPr>
        <w:t>for</w:t>
      </w:r>
      <w:r>
        <w:rPr>
          <w:spacing w:val="12"/>
          <w:sz w:val="14"/>
        </w:rPr>
        <w:t> </w:t>
      </w:r>
      <w:r>
        <w:rPr>
          <w:sz w:val="14"/>
        </w:rPr>
        <w:t>such</w:t>
      </w:r>
      <w:r>
        <w:rPr>
          <w:spacing w:val="12"/>
          <w:sz w:val="14"/>
        </w:rPr>
        <w:t> </w:t>
      </w:r>
      <w:r>
        <w:rPr>
          <w:sz w:val="14"/>
        </w:rPr>
        <w:t>shorter</w:t>
      </w:r>
      <w:r>
        <w:rPr>
          <w:spacing w:val="11"/>
          <w:sz w:val="14"/>
        </w:rPr>
        <w:t> </w:t>
      </w:r>
      <w:r>
        <w:rPr>
          <w:sz w:val="14"/>
        </w:rPr>
        <w:t>period</w:t>
      </w:r>
      <w:r>
        <w:rPr>
          <w:spacing w:val="12"/>
          <w:sz w:val="14"/>
        </w:rPr>
        <w:t> </w:t>
      </w:r>
      <w:r>
        <w:rPr>
          <w:sz w:val="14"/>
        </w:rPr>
        <w:t>that</w:t>
      </w:r>
      <w:r>
        <w:rPr>
          <w:spacing w:val="12"/>
          <w:sz w:val="14"/>
        </w:rPr>
        <w:t> </w:t>
      </w:r>
      <w:r>
        <w:rPr>
          <w:sz w:val="14"/>
        </w:rPr>
        <w:t>the</w:t>
      </w:r>
      <w:r>
        <w:rPr>
          <w:spacing w:val="11"/>
          <w:sz w:val="14"/>
        </w:rPr>
        <w:t> </w:t>
      </w:r>
      <w:r>
        <w:rPr>
          <w:sz w:val="14"/>
        </w:rPr>
        <w:t>Registrant</w:t>
      </w:r>
      <w:r>
        <w:rPr>
          <w:spacing w:val="12"/>
          <w:sz w:val="14"/>
        </w:rPr>
        <w:t> </w:t>
      </w:r>
      <w:r>
        <w:rPr>
          <w:sz w:val="14"/>
        </w:rPr>
        <w:t>was</w:t>
      </w:r>
      <w:r>
        <w:rPr>
          <w:spacing w:val="12"/>
          <w:sz w:val="14"/>
        </w:rPr>
        <w:t> </w:t>
      </w:r>
      <w:r>
        <w:rPr>
          <w:sz w:val="14"/>
        </w:rPr>
        <w:t>required</w:t>
      </w:r>
      <w:r>
        <w:rPr>
          <w:spacing w:val="11"/>
          <w:sz w:val="14"/>
        </w:rPr>
        <w:t> </w:t>
      </w:r>
      <w:r>
        <w:rPr>
          <w:sz w:val="14"/>
        </w:rPr>
        <w:t>to</w:t>
      </w:r>
      <w:r>
        <w:rPr>
          <w:spacing w:val="12"/>
          <w:sz w:val="14"/>
        </w:rPr>
        <w:t> </w:t>
      </w:r>
      <w:r>
        <w:rPr>
          <w:sz w:val="14"/>
        </w:rPr>
        <w:t>file</w:t>
      </w:r>
      <w:r>
        <w:rPr>
          <w:spacing w:val="12"/>
          <w:sz w:val="14"/>
        </w:rPr>
        <w:t> </w:t>
      </w:r>
      <w:r>
        <w:rPr>
          <w:sz w:val="14"/>
        </w:rPr>
        <w:t>such</w:t>
      </w:r>
      <w:r>
        <w:rPr>
          <w:spacing w:val="11"/>
          <w:sz w:val="14"/>
        </w:rPr>
        <w:t> </w:t>
      </w:r>
      <w:r>
        <w:rPr>
          <w:sz w:val="14"/>
        </w:rPr>
        <w:t>reports),</w:t>
      </w:r>
      <w:r>
        <w:rPr>
          <w:spacing w:val="12"/>
          <w:sz w:val="14"/>
        </w:rPr>
        <w:t> </w:t>
      </w:r>
      <w:r>
        <w:rPr>
          <w:sz w:val="14"/>
        </w:rPr>
        <w:t>and</w:t>
      </w:r>
      <w:r>
        <w:rPr>
          <w:spacing w:val="12"/>
          <w:sz w:val="14"/>
        </w:rPr>
        <w:t> </w:t>
      </w:r>
      <w:r>
        <w:rPr>
          <w:sz w:val="14"/>
        </w:rPr>
        <w:t>(2)</w:t>
      </w:r>
      <w:r>
        <w:rPr>
          <w:spacing w:val="11"/>
          <w:sz w:val="14"/>
        </w:rPr>
        <w:t> </w:t>
      </w:r>
      <w:r>
        <w:rPr>
          <w:sz w:val="14"/>
        </w:rPr>
        <w:t>has</w:t>
      </w:r>
      <w:r>
        <w:rPr>
          <w:spacing w:val="12"/>
          <w:sz w:val="14"/>
        </w:rPr>
        <w:t> </w:t>
      </w:r>
      <w:r>
        <w:rPr>
          <w:sz w:val="14"/>
        </w:rPr>
        <w:t>been</w:t>
      </w:r>
      <w:r>
        <w:rPr>
          <w:spacing w:val="12"/>
          <w:sz w:val="14"/>
        </w:rPr>
        <w:t> </w:t>
      </w:r>
      <w:r>
        <w:rPr>
          <w:sz w:val="14"/>
        </w:rPr>
        <w:t>subject</w:t>
      </w:r>
      <w:r>
        <w:rPr>
          <w:spacing w:val="11"/>
          <w:sz w:val="14"/>
        </w:rPr>
        <w:t> </w:t>
      </w:r>
      <w:r>
        <w:rPr>
          <w:sz w:val="14"/>
        </w:rPr>
        <w:t>to</w:t>
      </w:r>
      <w:r>
        <w:rPr>
          <w:spacing w:val="12"/>
          <w:sz w:val="14"/>
        </w:rPr>
        <w:t> </w:t>
      </w:r>
      <w:r>
        <w:rPr>
          <w:sz w:val="14"/>
        </w:rPr>
        <w:t>such</w:t>
      </w:r>
      <w:r>
        <w:rPr>
          <w:spacing w:val="12"/>
          <w:sz w:val="14"/>
        </w:rPr>
        <w:t> </w:t>
      </w:r>
      <w:r>
        <w:rPr>
          <w:sz w:val="14"/>
        </w:rPr>
        <w:t>filing</w:t>
      </w:r>
      <w:r>
        <w:rPr>
          <w:spacing w:val="11"/>
          <w:sz w:val="14"/>
        </w:rPr>
        <w:t> </w:t>
      </w:r>
      <w:r>
        <w:rPr>
          <w:sz w:val="14"/>
        </w:rPr>
        <w:t>requirements</w:t>
      </w:r>
      <w:r>
        <w:rPr>
          <w:spacing w:val="12"/>
          <w:sz w:val="14"/>
        </w:rPr>
        <w:t> </w:t>
      </w:r>
      <w:r>
        <w:rPr>
          <w:sz w:val="14"/>
        </w:rPr>
        <w:t>for</w:t>
      </w:r>
      <w:r>
        <w:rPr>
          <w:spacing w:val="12"/>
          <w:sz w:val="14"/>
        </w:rPr>
        <w:t> </w:t>
      </w:r>
      <w:r>
        <w:rPr>
          <w:sz w:val="14"/>
        </w:rPr>
        <w:t>the</w:t>
      </w:r>
      <w:r>
        <w:rPr>
          <w:spacing w:val="11"/>
          <w:sz w:val="14"/>
        </w:rPr>
        <w:t> </w:t>
      </w:r>
      <w:r>
        <w:rPr>
          <w:sz w:val="14"/>
        </w:rPr>
        <w:t>past</w:t>
      </w:r>
      <w:r>
        <w:rPr>
          <w:spacing w:val="12"/>
          <w:sz w:val="14"/>
        </w:rPr>
        <w:t> </w:t>
      </w:r>
      <w:r>
        <w:rPr>
          <w:sz w:val="14"/>
        </w:rPr>
        <w:t>90</w:t>
      </w:r>
      <w:r>
        <w:rPr>
          <w:spacing w:val="12"/>
          <w:sz w:val="14"/>
        </w:rPr>
        <w:t> </w:t>
      </w:r>
      <w:r>
        <w:rPr>
          <w:sz w:val="14"/>
        </w:rPr>
        <w:t>days: Yes</w:t>
      </w:r>
      <w:r>
        <w:rPr>
          <w:spacing w:val="12"/>
          <w:sz w:val="14"/>
        </w:rPr>
        <w:t> </w:t>
      </w:r>
      <w:r>
        <w:rPr>
          <w:rFonts w:ascii="Segoe UI Symbol" w:hAnsi="Segoe UI Symbol"/>
          <w:sz w:val="14"/>
        </w:rPr>
        <w:t>☒ </w:t>
      </w:r>
      <w:r>
        <w:rPr>
          <w:sz w:val="14"/>
        </w:rPr>
        <w:t>No</w:t>
      </w:r>
      <w:r>
        <w:rPr>
          <w:spacing w:val="13"/>
          <w:sz w:val="14"/>
        </w:rPr>
        <w:t> </w:t>
      </w:r>
      <w:r>
        <w:rPr>
          <w:rFonts w:ascii="Segoe UI Symbol" w:hAnsi="Segoe UI Symbol"/>
          <w:sz w:val="14"/>
        </w:rPr>
        <w:t>☐</w:t>
      </w:r>
    </w:p>
    <w:p>
      <w:pPr>
        <w:spacing w:line="232" w:lineRule="auto" w:before="15"/>
        <w:ind w:left="144" w:right="0" w:firstLine="499"/>
        <w:jc w:val="left"/>
        <w:rPr>
          <w:rFonts w:ascii="Segoe UI Symbol" w:hAnsi="Segoe UI Symbol"/>
          <w:sz w:val="14"/>
        </w:rPr>
      </w:pPr>
      <w:r>
        <w:rPr>
          <w:sz w:val="14"/>
        </w:rPr>
        <w:t>Indicate</w:t>
      </w:r>
      <w:r>
        <w:rPr>
          <w:spacing w:val="21"/>
          <w:sz w:val="14"/>
        </w:rPr>
        <w:t> </w:t>
      </w:r>
      <w:r>
        <w:rPr>
          <w:sz w:val="14"/>
        </w:rPr>
        <w:t>by</w:t>
      </w:r>
      <w:r>
        <w:rPr>
          <w:spacing w:val="21"/>
          <w:sz w:val="14"/>
        </w:rPr>
        <w:t> </w:t>
      </w:r>
      <w:r>
        <w:rPr>
          <w:sz w:val="14"/>
        </w:rPr>
        <w:t>check</w:t>
      </w:r>
      <w:r>
        <w:rPr>
          <w:spacing w:val="21"/>
          <w:sz w:val="14"/>
        </w:rPr>
        <w:t> </w:t>
      </w:r>
      <w:r>
        <w:rPr>
          <w:sz w:val="14"/>
        </w:rPr>
        <w:t>mark</w:t>
      </w:r>
      <w:r>
        <w:rPr>
          <w:spacing w:val="21"/>
          <w:sz w:val="14"/>
        </w:rPr>
        <w:t> </w:t>
      </w:r>
      <w:r>
        <w:rPr>
          <w:sz w:val="14"/>
        </w:rPr>
        <w:t>whether</w:t>
      </w:r>
      <w:r>
        <w:rPr>
          <w:spacing w:val="21"/>
          <w:sz w:val="14"/>
        </w:rPr>
        <w:t> </w:t>
      </w:r>
      <w:r>
        <w:rPr>
          <w:sz w:val="14"/>
        </w:rPr>
        <w:t>the</w:t>
      </w:r>
      <w:r>
        <w:rPr>
          <w:spacing w:val="21"/>
          <w:sz w:val="14"/>
        </w:rPr>
        <w:t> </w:t>
      </w:r>
      <w:r>
        <w:rPr>
          <w:sz w:val="14"/>
        </w:rPr>
        <w:t>Registrant</w:t>
      </w:r>
      <w:r>
        <w:rPr>
          <w:spacing w:val="21"/>
          <w:sz w:val="14"/>
        </w:rPr>
        <w:t> </w:t>
      </w:r>
      <w:r>
        <w:rPr>
          <w:sz w:val="14"/>
        </w:rPr>
        <w:t>has</w:t>
      </w:r>
      <w:r>
        <w:rPr>
          <w:spacing w:val="21"/>
          <w:sz w:val="14"/>
        </w:rPr>
        <w:t> </w:t>
      </w:r>
      <w:r>
        <w:rPr>
          <w:sz w:val="14"/>
        </w:rPr>
        <w:t>submitted</w:t>
      </w:r>
      <w:r>
        <w:rPr>
          <w:spacing w:val="21"/>
          <w:sz w:val="14"/>
        </w:rPr>
        <w:t> </w:t>
      </w:r>
      <w:r>
        <w:rPr>
          <w:sz w:val="14"/>
        </w:rPr>
        <w:t>electronically</w:t>
      </w:r>
      <w:r>
        <w:rPr>
          <w:spacing w:val="21"/>
          <w:sz w:val="14"/>
        </w:rPr>
        <w:t> </w:t>
      </w:r>
      <w:r>
        <w:rPr>
          <w:sz w:val="14"/>
        </w:rPr>
        <w:t>every</w:t>
      </w:r>
      <w:r>
        <w:rPr>
          <w:spacing w:val="21"/>
          <w:sz w:val="14"/>
        </w:rPr>
        <w:t> </w:t>
      </w:r>
      <w:r>
        <w:rPr>
          <w:sz w:val="14"/>
        </w:rPr>
        <w:t>Interactive</w:t>
      </w:r>
      <w:r>
        <w:rPr>
          <w:spacing w:val="21"/>
          <w:sz w:val="14"/>
        </w:rPr>
        <w:t> </w:t>
      </w:r>
      <w:r>
        <w:rPr>
          <w:sz w:val="14"/>
        </w:rPr>
        <w:t>Data</w:t>
      </w:r>
      <w:r>
        <w:rPr>
          <w:spacing w:val="21"/>
          <w:sz w:val="14"/>
        </w:rPr>
        <w:t> </w:t>
      </w:r>
      <w:r>
        <w:rPr>
          <w:sz w:val="14"/>
        </w:rPr>
        <w:t>File</w:t>
      </w:r>
      <w:r>
        <w:rPr>
          <w:spacing w:val="21"/>
          <w:sz w:val="14"/>
        </w:rPr>
        <w:t> </w:t>
      </w:r>
      <w:r>
        <w:rPr>
          <w:sz w:val="14"/>
        </w:rPr>
        <w:t>required</w:t>
      </w:r>
      <w:r>
        <w:rPr>
          <w:spacing w:val="21"/>
          <w:sz w:val="14"/>
        </w:rPr>
        <w:t> </w:t>
      </w:r>
      <w:r>
        <w:rPr>
          <w:sz w:val="14"/>
        </w:rPr>
        <w:t>to</w:t>
      </w:r>
      <w:r>
        <w:rPr>
          <w:spacing w:val="21"/>
          <w:sz w:val="14"/>
        </w:rPr>
        <w:t> </w:t>
      </w:r>
      <w:r>
        <w:rPr>
          <w:sz w:val="14"/>
        </w:rPr>
        <w:t>be</w:t>
      </w:r>
      <w:r>
        <w:rPr>
          <w:spacing w:val="21"/>
          <w:sz w:val="14"/>
        </w:rPr>
        <w:t> </w:t>
      </w:r>
      <w:r>
        <w:rPr>
          <w:sz w:val="14"/>
        </w:rPr>
        <w:t>submitted</w:t>
      </w:r>
      <w:r>
        <w:rPr>
          <w:spacing w:val="21"/>
          <w:sz w:val="14"/>
        </w:rPr>
        <w:t> </w:t>
      </w:r>
      <w:r>
        <w:rPr>
          <w:sz w:val="14"/>
        </w:rPr>
        <w:t>pursuant</w:t>
      </w:r>
      <w:r>
        <w:rPr>
          <w:spacing w:val="21"/>
          <w:sz w:val="14"/>
        </w:rPr>
        <w:t> </w:t>
      </w:r>
      <w:r>
        <w:rPr>
          <w:sz w:val="14"/>
        </w:rPr>
        <w:t>to</w:t>
      </w:r>
      <w:r>
        <w:rPr>
          <w:spacing w:val="21"/>
          <w:sz w:val="14"/>
        </w:rPr>
        <w:t> </w:t>
      </w:r>
      <w:r>
        <w:rPr>
          <w:sz w:val="14"/>
        </w:rPr>
        <w:t>Rule</w:t>
      </w:r>
      <w:r>
        <w:rPr>
          <w:spacing w:val="21"/>
          <w:sz w:val="14"/>
        </w:rPr>
        <w:t> </w:t>
      </w:r>
      <w:r>
        <w:rPr>
          <w:sz w:val="14"/>
        </w:rPr>
        <w:t>405</w:t>
      </w:r>
      <w:r>
        <w:rPr>
          <w:spacing w:val="21"/>
          <w:sz w:val="14"/>
        </w:rPr>
        <w:t> </w:t>
      </w:r>
      <w:r>
        <w:rPr>
          <w:sz w:val="14"/>
        </w:rPr>
        <w:t>of</w:t>
      </w:r>
      <w:r>
        <w:rPr>
          <w:spacing w:val="21"/>
          <w:sz w:val="14"/>
        </w:rPr>
        <w:t> </w:t>
      </w:r>
      <w:r>
        <w:rPr>
          <w:sz w:val="14"/>
        </w:rPr>
        <w:t>Regulation</w:t>
      </w:r>
      <w:r>
        <w:rPr>
          <w:spacing w:val="21"/>
          <w:sz w:val="14"/>
        </w:rPr>
        <w:t> </w:t>
      </w:r>
      <w:r>
        <w:rPr>
          <w:sz w:val="14"/>
        </w:rPr>
        <w:t>S-T</w:t>
      </w:r>
      <w:r>
        <w:rPr>
          <w:spacing w:val="18"/>
          <w:sz w:val="14"/>
        </w:rPr>
        <w:t> </w:t>
      </w:r>
      <w:r>
        <w:rPr>
          <w:sz w:val="14"/>
        </w:rPr>
        <w:t>(§232.405</w:t>
      </w:r>
      <w:r>
        <w:rPr>
          <w:spacing w:val="21"/>
          <w:sz w:val="14"/>
        </w:rPr>
        <w:t> </w:t>
      </w:r>
      <w:r>
        <w:rPr>
          <w:sz w:val="14"/>
        </w:rPr>
        <w:t>of</w:t>
      </w:r>
      <w:r>
        <w:rPr>
          <w:spacing w:val="21"/>
          <w:sz w:val="14"/>
        </w:rPr>
        <w:t> </w:t>
      </w:r>
      <w:r>
        <w:rPr>
          <w:sz w:val="14"/>
        </w:rPr>
        <w:t>this</w:t>
      </w:r>
      <w:r>
        <w:rPr>
          <w:spacing w:val="40"/>
          <w:sz w:val="14"/>
        </w:rPr>
        <w:t> </w:t>
      </w:r>
      <w:r>
        <w:rPr>
          <w:sz w:val="14"/>
        </w:rPr>
        <w:t>chapter) during the preceding 12 months (or for such shorter period that the registrant was required to submit such files). Yes</w:t>
      </w:r>
      <w:r>
        <w:rPr>
          <w:spacing w:val="15"/>
          <w:sz w:val="14"/>
        </w:rPr>
        <w:t> </w:t>
      </w:r>
      <w:r>
        <w:rPr>
          <w:rFonts w:ascii="Segoe UI Symbol" w:hAnsi="Segoe UI Symbol"/>
          <w:sz w:val="14"/>
        </w:rPr>
        <w:t>☒ </w:t>
      </w:r>
      <w:r>
        <w:rPr>
          <w:sz w:val="14"/>
        </w:rPr>
        <w:t>No</w:t>
      </w:r>
      <w:r>
        <w:rPr>
          <w:spacing w:val="15"/>
          <w:sz w:val="14"/>
        </w:rPr>
        <w:t> </w:t>
      </w:r>
      <w:r>
        <w:rPr>
          <w:rFonts w:ascii="Segoe UI Symbol" w:hAnsi="Segoe UI Symbol"/>
          <w:sz w:val="14"/>
        </w:rPr>
        <w:t>☐</w:t>
      </w:r>
    </w:p>
    <w:p>
      <w:pPr>
        <w:spacing w:line="242" w:lineRule="auto" w:before="0" w:after="52"/>
        <w:ind w:left="144" w:right="0" w:firstLine="499"/>
        <w:jc w:val="left"/>
        <w:rPr>
          <w:sz w:val="14"/>
        </w:rPr>
      </w:pPr>
      <w:r>
        <w:rPr>
          <w:sz w:val="14"/>
        </w:rPr>
        <w:t>Indicate</w:t>
      </w:r>
      <w:r>
        <w:rPr>
          <w:spacing w:val="13"/>
          <w:sz w:val="14"/>
        </w:rPr>
        <w:t> </w:t>
      </w:r>
      <w:r>
        <w:rPr>
          <w:sz w:val="14"/>
        </w:rPr>
        <w:t>by</w:t>
      </w:r>
      <w:r>
        <w:rPr>
          <w:spacing w:val="13"/>
          <w:sz w:val="14"/>
        </w:rPr>
        <w:t> </w:t>
      </w:r>
      <w:r>
        <w:rPr>
          <w:sz w:val="14"/>
        </w:rPr>
        <w:t>check</w:t>
      </w:r>
      <w:r>
        <w:rPr>
          <w:spacing w:val="13"/>
          <w:sz w:val="14"/>
        </w:rPr>
        <w:t> </w:t>
      </w:r>
      <w:r>
        <w:rPr>
          <w:sz w:val="14"/>
        </w:rPr>
        <w:t>mark</w:t>
      </w:r>
      <w:r>
        <w:rPr>
          <w:spacing w:val="13"/>
          <w:sz w:val="14"/>
        </w:rPr>
        <w:t> </w:t>
      </w:r>
      <w:r>
        <w:rPr>
          <w:sz w:val="14"/>
        </w:rPr>
        <w:t>whether</w:t>
      </w:r>
      <w:r>
        <w:rPr>
          <w:spacing w:val="13"/>
          <w:sz w:val="14"/>
        </w:rPr>
        <w:t> </w:t>
      </w:r>
      <w:r>
        <w:rPr>
          <w:sz w:val="14"/>
        </w:rPr>
        <w:t>the</w:t>
      </w:r>
      <w:r>
        <w:rPr>
          <w:spacing w:val="13"/>
          <w:sz w:val="14"/>
        </w:rPr>
        <w:t> </w:t>
      </w:r>
      <w:r>
        <w:rPr>
          <w:sz w:val="14"/>
        </w:rPr>
        <w:t>Registrant</w:t>
      </w:r>
      <w:r>
        <w:rPr>
          <w:spacing w:val="13"/>
          <w:sz w:val="14"/>
        </w:rPr>
        <w:t> </w:t>
      </w:r>
      <w:r>
        <w:rPr>
          <w:sz w:val="14"/>
        </w:rPr>
        <w:t>is</w:t>
      </w:r>
      <w:r>
        <w:rPr>
          <w:spacing w:val="13"/>
          <w:sz w:val="14"/>
        </w:rPr>
        <w:t> </w:t>
      </w:r>
      <w:r>
        <w:rPr>
          <w:sz w:val="14"/>
        </w:rPr>
        <w:t>a</w:t>
      </w:r>
      <w:r>
        <w:rPr>
          <w:spacing w:val="13"/>
          <w:sz w:val="14"/>
        </w:rPr>
        <w:t> </w:t>
      </w:r>
      <w:r>
        <w:rPr>
          <w:sz w:val="14"/>
        </w:rPr>
        <w:t>large</w:t>
      </w:r>
      <w:r>
        <w:rPr>
          <w:spacing w:val="13"/>
          <w:sz w:val="14"/>
        </w:rPr>
        <w:t> </w:t>
      </w:r>
      <w:r>
        <w:rPr>
          <w:sz w:val="14"/>
        </w:rPr>
        <w:t>accelerated</w:t>
      </w:r>
      <w:r>
        <w:rPr>
          <w:spacing w:val="13"/>
          <w:sz w:val="14"/>
        </w:rPr>
        <w:t> </w:t>
      </w:r>
      <w:r>
        <w:rPr>
          <w:sz w:val="14"/>
        </w:rPr>
        <w:t>filer,</w:t>
      </w:r>
      <w:r>
        <w:rPr>
          <w:spacing w:val="13"/>
          <w:sz w:val="14"/>
        </w:rPr>
        <w:t> </w:t>
      </w:r>
      <w:r>
        <w:rPr>
          <w:sz w:val="14"/>
        </w:rPr>
        <w:t>an</w:t>
      </w:r>
      <w:r>
        <w:rPr>
          <w:spacing w:val="13"/>
          <w:sz w:val="14"/>
        </w:rPr>
        <w:t> </w:t>
      </w:r>
      <w:r>
        <w:rPr>
          <w:sz w:val="14"/>
        </w:rPr>
        <w:t>accelerated</w:t>
      </w:r>
      <w:r>
        <w:rPr>
          <w:spacing w:val="13"/>
          <w:sz w:val="14"/>
        </w:rPr>
        <w:t> </w:t>
      </w:r>
      <w:r>
        <w:rPr>
          <w:sz w:val="14"/>
        </w:rPr>
        <w:t>filer,</w:t>
      </w:r>
      <w:r>
        <w:rPr>
          <w:spacing w:val="13"/>
          <w:sz w:val="14"/>
        </w:rPr>
        <w:t> </w:t>
      </w:r>
      <w:r>
        <w:rPr>
          <w:sz w:val="14"/>
        </w:rPr>
        <w:t>a</w:t>
      </w:r>
      <w:r>
        <w:rPr>
          <w:spacing w:val="13"/>
          <w:sz w:val="14"/>
        </w:rPr>
        <w:t> </w:t>
      </w:r>
      <w:r>
        <w:rPr>
          <w:sz w:val="14"/>
        </w:rPr>
        <w:t>non-accelerated</w:t>
      </w:r>
      <w:r>
        <w:rPr>
          <w:spacing w:val="13"/>
          <w:sz w:val="14"/>
        </w:rPr>
        <w:t> </w:t>
      </w:r>
      <w:r>
        <w:rPr>
          <w:sz w:val="14"/>
        </w:rPr>
        <w:t>filer,</w:t>
      </w:r>
      <w:r>
        <w:rPr>
          <w:spacing w:val="13"/>
          <w:sz w:val="14"/>
        </w:rPr>
        <w:t> </w:t>
      </w:r>
      <w:r>
        <w:rPr>
          <w:sz w:val="14"/>
        </w:rPr>
        <w:t>a</w:t>
      </w:r>
      <w:r>
        <w:rPr>
          <w:spacing w:val="13"/>
          <w:sz w:val="14"/>
        </w:rPr>
        <w:t> </w:t>
      </w:r>
      <w:r>
        <w:rPr>
          <w:sz w:val="14"/>
        </w:rPr>
        <w:t>smaller</w:t>
      </w:r>
      <w:r>
        <w:rPr>
          <w:spacing w:val="13"/>
          <w:sz w:val="14"/>
        </w:rPr>
        <w:t> </w:t>
      </w:r>
      <w:r>
        <w:rPr>
          <w:sz w:val="14"/>
        </w:rPr>
        <w:t>reporting</w:t>
      </w:r>
      <w:r>
        <w:rPr>
          <w:spacing w:val="13"/>
          <w:sz w:val="14"/>
        </w:rPr>
        <w:t> </w:t>
      </w:r>
      <w:r>
        <w:rPr>
          <w:sz w:val="14"/>
        </w:rPr>
        <w:t>company,</w:t>
      </w:r>
      <w:r>
        <w:rPr>
          <w:spacing w:val="13"/>
          <w:sz w:val="14"/>
        </w:rPr>
        <w:t> </w:t>
      </w:r>
      <w:r>
        <w:rPr>
          <w:sz w:val="14"/>
        </w:rPr>
        <w:t>or</w:t>
      </w:r>
      <w:r>
        <w:rPr>
          <w:spacing w:val="13"/>
          <w:sz w:val="14"/>
        </w:rPr>
        <w:t> </w:t>
      </w:r>
      <w:r>
        <w:rPr>
          <w:sz w:val="14"/>
        </w:rPr>
        <w:t>an</w:t>
      </w:r>
      <w:r>
        <w:rPr>
          <w:spacing w:val="13"/>
          <w:sz w:val="14"/>
        </w:rPr>
        <w:t> </w:t>
      </w:r>
      <w:r>
        <w:rPr>
          <w:sz w:val="14"/>
        </w:rPr>
        <w:t>emerging</w:t>
      </w:r>
      <w:r>
        <w:rPr>
          <w:spacing w:val="13"/>
          <w:sz w:val="14"/>
        </w:rPr>
        <w:t> </w:t>
      </w:r>
      <w:r>
        <w:rPr>
          <w:sz w:val="14"/>
        </w:rPr>
        <w:t>growth</w:t>
      </w:r>
      <w:r>
        <w:rPr>
          <w:spacing w:val="13"/>
          <w:sz w:val="14"/>
        </w:rPr>
        <w:t> </w:t>
      </w:r>
      <w:r>
        <w:rPr>
          <w:sz w:val="14"/>
        </w:rPr>
        <w:t>company.</w:t>
      </w:r>
      <w:r>
        <w:rPr>
          <w:spacing w:val="13"/>
          <w:sz w:val="14"/>
        </w:rPr>
        <w:t> </w:t>
      </w:r>
      <w:r>
        <w:rPr>
          <w:sz w:val="14"/>
        </w:rPr>
        <w:t>See</w:t>
      </w:r>
      <w:r>
        <w:rPr>
          <w:spacing w:val="13"/>
          <w:sz w:val="14"/>
        </w:rPr>
        <w:t> </w:t>
      </w:r>
      <w:r>
        <w:rPr>
          <w:sz w:val="14"/>
        </w:rPr>
        <w:t>the</w:t>
      </w:r>
      <w:r>
        <w:rPr>
          <w:spacing w:val="40"/>
          <w:sz w:val="14"/>
        </w:rPr>
        <w:t> </w:t>
      </w:r>
      <w:r>
        <w:rPr>
          <w:sz w:val="14"/>
        </w:rPr>
        <w:t>definitions</w:t>
      </w:r>
      <w:r>
        <w:rPr>
          <w:spacing w:val="16"/>
          <w:sz w:val="14"/>
        </w:rPr>
        <w:t> </w:t>
      </w:r>
      <w:r>
        <w:rPr>
          <w:sz w:val="14"/>
        </w:rPr>
        <w:t>of</w:t>
      </w:r>
      <w:r>
        <w:rPr>
          <w:spacing w:val="16"/>
          <w:sz w:val="14"/>
        </w:rPr>
        <w:t> </w:t>
      </w:r>
      <w:r>
        <w:rPr>
          <w:sz w:val="14"/>
        </w:rPr>
        <w:t>“large</w:t>
      </w:r>
      <w:r>
        <w:rPr>
          <w:spacing w:val="16"/>
          <w:sz w:val="14"/>
        </w:rPr>
        <w:t> </w:t>
      </w:r>
      <w:r>
        <w:rPr>
          <w:sz w:val="14"/>
        </w:rPr>
        <w:t>accelerated</w:t>
      </w:r>
      <w:r>
        <w:rPr>
          <w:spacing w:val="16"/>
          <w:sz w:val="14"/>
        </w:rPr>
        <w:t> </w:t>
      </w:r>
      <w:r>
        <w:rPr>
          <w:sz w:val="14"/>
        </w:rPr>
        <w:t>filer,”</w:t>
      </w:r>
      <w:r>
        <w:rPr>
          <w:spacing w:val="16"/>
          <w:sz w:val="14"/>
        </w:rPr>
        <w:t> </w:t>
      </w:r>
      <w:r>
        <w:rPr>
          <w:sz w:val="14"/>
        </w:rPr>
        <w:t>“accelerated</w:t>
      </w:r>
      <w:r>
        <w:rPr>
          <w:spacing w:val="16"/>
          <w:sz w:val="14"/>
        </w:rPr>
        <w:t> </w:t>
      </w:r>
      <w:r>
        <w:rPr>
          <w:sz w:val="14"/>
        </w:rPr>
        <w:t>filer,”</w:t>
      </w:r>
      <w:r>
        <w:rPr>
          <w:spacing w:val="16"/>
          <w:sz w:val="14"/>
        </w:rPr>
        <w:t> </w:t>
      </w:r>
      <w:r>
        <w:rPr>
          <w:sz w:val="14"/>
        </w:rPr>
        <w:t>“smaller</w:t>
      </w:r>
      <w:r>
        <w:rPr>
          <w:spacing w:val="16"/>
          <w:sz w:val="14"/>
        </w:rPr>
        <w:t> </w:t>
      </w:r>
      <w:r>
        <w:rPr>
          <w:sz w:val="14"/>
        </w:rPr>
        <w:t>reporting</w:t>
      </w:r>
      <w:r>
        <w:rPr>
          <w:spacing w:val="16"/>
          <w:sz w:val="14"/>
        </w:rPr>
        <w:t> </w:t>
      </w:r>
      <w:r>
        <w:rPr>
          <w:sz w:val="14"/>
        </w:rPr>
        <w:t>company,”</w:t>
      </w:r>
      <w:r>
        <w:rPr>
          <w:spacing w:val="16"/>
          <w:sz w:val="14"/>
        </w:rPr>
        <w:t> </w:t>
      </w:r>
      <w:r>
        <w:rPr>
          <w:sz w:val="14"/>
        </w:rPr>
        <w:t>and</w:t>
      </w:r>
      <w:r>
        <w:rPr>
          <w:spacing w:val="16"/>
          <w:sz w:val="14"/>
        </w:rPr>
        <w:t> </w:t>
      </w:r>
      <w:r>
        <w:rPr>
          <w:sz w:val="14"/>
        </w:rPr>
        <w:t>“emerging</w:t>
      </w:r>
      <w:r>
        <w:rPr>
          <w:spacing w:val="16"/>
          <w:sz w:val="14"/>
        </w:rPr>
        <w:t> </w:t>
      </w:r>
      <w:r>
        <w:rPr>
          <w:sz w:val="14"/>
        </w:rPr>
        <w:t>growth</w:t>
      </w:r>
      <w:r>
        <w:rPr>
          <w:spacing w:val="16"/>
          <w:sz w:val="14"/>
        </w:rPr>
        <w:t> </w:t>
      </w:r>
      <w:r>
        <w:rPr>
          <w:sz w:val="14"/>
        </w:rPr>
        <w:t>company”</w:t>
      </w:r>
      <w:r>
        <w:rPr>
          <w:spacing w:val="16"/>
          <w:sz w:val="14"/>
        </w:rPr>
        <w:t> </w:t>
      </w:r>
      <w:r>
        <w:rPr>
          <w:sz w:val="14"/>
        </w:rPr>
        <w:t>in</w:t>
      </w:r>
      <w:r>
        <w:rPr>
          <w:spacing w:val="16"/>
          <w:sz w:val="14"/>
        </w:rPr>
        <w:t> </w:t>
      </w:r>
      <w:r>
        <w:rPr>
          <w:sz w:val="14"/>
        </w:rPr>
        <w:t>Rule</w:t>
      </w:r>
      <w:r>
        <w:rPr>
          <w:spacing w:val="16"/>
          <w:sz w:val="14"/>
        </w:rPr>
        <w:t> </w:t>
      </w:r>
      <w:r>
        <w:rPr>
          <w:sz w:val="14"/>
        </w:rPr>
        <w:t>12b-2</w:t>
      </w:r>
      <w:r>
        <w:rPr>
          <w:spacing w:val="16"/>
          <w:sz w:val="14"/>
        </w:rPr>
        <w:t> </w:t>
      </w:r>
      <w:r>
        <w:rPr>
          <w:sz w:val="14"/>
        </w:rPr>
        <w:t>of</w:t>
      </w:r>
      <w:r>
        <w:rPr>
          <w:spacing w:val="16"/>
          <w:sz w:val="14"/>
        </w:rPr>
        <w:t> </w:t>
      </w:r>
      <w:r>
        <w:rPr>
          <w:sz w:val="14"/>
        </w:rPr>
        <w:t>the</w:t>
      </w:r>
      <w:r>
        <w:rPr>
          <w:spacing w:val="16"/>
          <w:sz w:val="14"/>
        </w:rPr>
        <w:t> </w:t>
      </w:r>
      <w:r>
        <w:rPr>
          <w:sz w:val="14"/>
        </w:rPr>
        <w:t>Exchange Act.</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5"/>
        <w:gridCol w:w="2154"/>
        <w:gridCol w:w="3604"/>
        <w:gridCol w:w="2096"/>
      </w:tblGrid>
      <w:tr>
        <w:trPr>
          <w:trHeight w:val="203" w:hRule="atLeast"/>
        </w:trPr>
        <w:tc>
          <w:tcPr>
            <w:tcW w:w="3545" w:type="dxa"/>
          </w:tcPr>
          <w:p>
            <w:pPr>
              <w:pStyle w:val="TableParagraph"/>
              <w:spacing w:before="11"/>
              <w:ind w:left="50"/>
              <w:rPr>
                <w:sz w:val="14"/>
              </w:rPr>
            </w:pPr>
            <w:r>
              <w:rPr>
                <w:sz w:val="14"/>
              </w:rPr>
              <w:t>Large</w:t>
            </w:r>
            <w:r>
              <w:rPr>
                <w:spacing w:val="8"/>
                <w:sz w:val="14"/>
              </w:rPr>
              <w:t> </w:t>
            </w:r>
            <w:r>
              <w:rPr>
                <w:sz w:val="14"/>
              </w:rPr>
              <w:t>accelerated</w:t>
            </w:r>
            <w:r>
              <w:rPr>
                <w:spacing w:val="8"/>
                <w:sz w:val="14"/>
              </w:rPr>
              <w:t> </w:t>
            </w:r>
            <w:r>
              <w:rPr>
                <w:spacing w:val="-2"/>
                <w:sz w:val="14"/>
              </w:rPr>
              <w:t>filer</w:t>
            </w:r>
          </w:p>
        </w:tc>
        <w:tc>
          <w:tcPr>
            <w:tcW w:w="2154" w:type="dxa"/>
          </w:tcPr>
          <w:p>
            <w:pPr>
              <w:pStyle w:val="TableParagraph"/>
              <w:spacing w:line="179" w:lineRule="exact" w:before="4"/>
              <w:ind w:right="104"/>
              <w:jc w:val="right"/>
              <w:rPr>
                <w:rFonts w:ascii="Segoe UI Symbol" w:hAnsi="Segoe UI Symbol"/>
                <w:sz w:val="14"/>
              </w:rPr>
            </w:pPr>
            <w:r>
              <w:rPr>
                <w:rFonts w:ascii="Segoe UI Symbol" w:hAnsi="Segoe UI Symbol"/>
                <w:spacing w:val="-10"/>
                <w:sz w:val="14"/>
              </w:rPr>
              <w:t>☒</w:t>
            </w:r>
          </w:p>
        </w:tc>
        <w:tc>
          <w:tcPr>
            <w:tcW w:w="3604" w:type="dxa"/>
          </w:tcPr>
          <w:p>
            <w:pPr>
              <w:pStyle w:val="TableParagraph"/>
              <w:spacing w:before="11"/>
              <w:ind w:left="107"/>
              <w:rPr>
                <w:sz w:val="14"/>
              </w:rPr>
            </w:pPr>
            <w:r>
              <w:rPr>
                <w:sz w:val="14"/>
              </w:rPr>
              <w:t>Accelerated</w:t>
            </w:r>
            <w:r>
              <w:rPr>
                <w:spacing w:val="13"/>
                <w:sz w:val="14"/>
              </w:rPr>
              <w:t> </w:t>
            </w:r>
            <w:r>
              <w:rPr>
                <w:spacing w:val="-2"/>
                <w:sz w:val="14"/>
              </w:rPr>
              <w:t>filer</w:t>
            </w:r>
          </w:p>
        </w:tc>
        <w:tc>
          <w:tcPr>
            <w:tcW w:w="2096" w:type="dxa"/>
          </w:tcPr>
          <w:p>
            <w:pPr>
              <w:pStyle w:val="TableParagraph"/>
              <w:spacing w:line="179" w:lineRule="exact" w:before="4"/>
              <w:ind w:right="47"/>
              <w:jc w:val="right"/>
              <w:rPr>
                <w:rFonts w:ascii="Segoe UI Symbol" w:hAnsi="Segoe UI Symbol"/>
                <w:sz w:val="14"/>
              </w:rPr>
            </w:pPr>
            <w:r>
              <w:rPr>
                <w:rFonts w:ascii="Segoe UI Symbol" w:hAnsi="Segoe UI Symbol"/>
                <w:spacing w:val="-10"/>
                <w:sz w:val="14"/>
              </w:rPr>
              <w:t>☐</w:t>
            </w:r>
          </w:p>
        </w:tc>
      </w:tr>
      <w:tr>
        <w:trPr>
          <w:trHeight w:val="215" w:hRule="atLeast"/>
        </w:trPr>
        <w:tc>
          <w:tcPr>
            <w:tcW w:w="3545" w:type="dxa"/>
          </w:tcPr>
          <w:p>
            <w:pPr>
              <w:pStyle w:val="TableParagraph"/>
              <w:spacing w:before="23"/>
              <w:ind w:left="50"/>
              <w:rPr>
                <w:sz w:val="14"/>
              </w:rPr>
            </w:pPr>
            <w:r>
              <w:rPr>
                <w:sz w:val="14"/>
              </w:rPr>
              <w:t>Non-accelerated</w:t>
            </w:r>
            <w:r>
              <w:rPr>
                <w:spacing w:val="18"/>
                <w:sz w:val="14"/>
              </w:rPr>
              <w:t> </w:t>
            </w:r>
            <w:r>
              <w:rPr>
                <w:spacing w:val="-2"/>
                <w:sz w:val="14"/>
              </w:rPr>
              <w:t>filer</w:t>
            </w:r>
          </w:p>
        </w:tc>
        <w:tc>
          <w:tcPr>
            <w:tcW w:w="2154" w:type="dxa"/>
          </w:tcPr>
          <w:p>
            <w:pPr>
              <w:pStyle w:val="TableParagraph"/>
              <w:spacing w:line="179" w:lineRule="exact" w:before="16"/>
              <w:ind w:right="104"/>
              <w:jc w:val="right"/>
              <w:rPr>
                <w:rFonts w:ascii="Segoe UI Symbol" w:hAnsi="Segoe UI Symbol"/>
                <w:sz w:val="14"/>
              </w:rPr>
            </w:pPr>
            <w:r>
              <w:rPr>
                <w:rFonts w:ascii="Segoe UI Symbol" w:hAnsi="Segoe UI Symbol"/>
                <w:spacing w:val="-10"/>
                <w:sz w:val="14"/>
              </w:rPr>
              <w:t>☐</w:t>
            </w:r>
          </w:p>
        </w:tc>
        <w:tc>
          <w:tcPr>
            <w:tcW w:w="3604" w:type="dxa"/>
          </w:tcPr>
          <w:p>
            <w:pPr>
              <w:pStyle w:val="TableParagraph"/>
              <w:spacing w:before="23"/>
              <w:ind w:left="107"/>
              <w:rPr>
                <w:sz w:val="14"/>
              </w:rPr>
            </w:pPr>
            <w:r>
              <w:rPr>
                <w:sz w:val="14"/>
              </w:rPr>
              <w:t>Smaller</w:t>
            </w:r>
            <w:r>
              <w:rPr>
                <w:spacing w:val="9"/>
                <w:sz w:val="14"/>
              </w:rPr>
              <w:t> </w:t>
            </w:r>
            <w:r>
              <w:rPr>
                <w:sz w:val="14"/>
              </w:rPr>
              <w:t>reporting</w:t>
            </w:r>
            <w:r>
              <w:rPr>
                <w:spacing w:val="9"/>
                <w:sz w:val="14"/>
              </w:rPr>
              <w:t> </w:t>
            </w:r>
            <w:r>
              <w:rPr>
                <w:spacing w:val="-2"/>
                <w:sz w:val="14"/>
              </w:rPr>
              <w:t>company</w:t>
            </w:r>
          </w:p>
        </w:tc>
        <w:tc>
          <w:tcPr>
            <w:tcW w:w="2096" w:type="dxa"/>
          </w:tcPr>
          <w:p>
            <w:pPr>
              <w:pStyle w:val="TableParagraph"/>
              <w:spacing w:line="179" w:lineRule="exact" w:before="16"/>
              <w:ind w:right="47"/>
              <w:jc w:val="right"/>
              <w:rPr>
                <w:rFonts w:ascii="Segoe UI Symbol" w:hAnsi="Segoe UI Symbol"/>
                <w:sz w:val="14"/>
              </w:rPr>
            </w:pPr>
            <w:r>
              <w:rPr>
                <w:rFonts w:ascii="Segoe UI Symbol" w:hAnsi="Segoe UI Symbol"/>
                <w:spacing w:val="-10"/>
                <w:sz w:val="14"/>
              </w:rPr>
              <w:t>☐</w:t>
            </w:r>
          </w:p>
        </w:tc>
      </w:tr>
      <w:tr>
        <w:trPr>
          <w:trHeight w:val="203" w:hRule="atLeast"/>
        </w:trPr>
        <w:tc>
          <w:tcPr>
            <w:tcW w:w="3545" w:type="dxa"/>
          </w:tcPr>
          <w:p>
            <w:pPr>
              <w:pStyle w:val="TableParagraph"/>
              <w:spacing w:line="160" w:lineRule="exact" w:before="23"/>
              <w:ind w:left="50"/>
              <w:rPr>
                <w:sz w:val="14"/>
              </w:rPr>
            </w:pPr>
            <w:r>
              <w:rPr>
                <w:sz w:val="14"/>
              </w:rPr>
              <w:t>Emerging</w:t>
            </w:r>
            <w:r>
              <w:rPr>
                <w:spacing w:val="7"/>
                <w:sz w:val="14"/>
              </w:rPr>
              <w:t> </w:t>
            </w:r>
            <w:r>
              <w:rPr>
                <w:sz w:val="14"/>
              </w:rPr>
              <w:t>growth</w:t>
            </w:r>
            <w:r>
              <w:rPr>
                <w:spacing w:val="8"/>
                <w:sz w:val="14"/>
              </w:rPr>
              <w:t> </w:t>
            </w:r>
            <w:r>
              <w:rPr>
                <w:spacing w:val="-2"/>
                <w:sz w:val="14"/>
              </w:rPr>
              <w:t>company</w:t>
            </w:r>
          </w:p>
        </w:tc>
        <w:tc>
          <w:tcPr>
            <w:tcW w:w="2154" w:type="dxa"/>
          </w:tcPr>
          <w:p>
            <w:pPr>
              <w:pStyle w:val="TableParagraph"/>
              <w:spacing w:line="167" w:lineRule="exact" w:before="16"/>
              <w:ind w:right="104"/>
              <w:jc w:val="right"/>
              <w:rPr>
                <w:rFonts w:ascii="Segoe UI Symbol" w:hAnsi="Segoe UI Symbol"/>
                <w:sz w:val="14"/>
              </w:rPr>
            </w:pPr>
            <w:r>
              <w:rPr>
                <w:rFonts w:ascii="Segoe UI Symbol" w:hAnsi="Segoe UI Symbol"/>
                <w:spacing w:val="-10"/>
                <w:sz w:val="14"/>
              </w:rPr>
              <w:t>☐</w:t>
            </w:r>
          </w:p>
        </w:tc>
        <w:tc>
          <w:tcPr>
            <w:tcW w:w="3604" w:type="dxa"/>
          </w:tcPr>
          <w:p>
            <w:pPr>
              <w:pStyle w:val="TableParagraph"/>
              <w:spacing w:before="0"/>
              <w:rPr>
                <w:sz w:val="14"/>
              </w:rPr>
            </w:pPr>
          </w:p>
        </w:tc>
        <w:tc>
          <w:tcPr>
            <w:tcW w:w="2096" w:type="dxa"/>
          </w:tcPr>
          <w:p>
            <w:pPr>
              <w:pStyle w:val="TableParagraph"/>
              <w:spacing w:before="0"/>
              <w:rPr>
                <w:sz w:val="14"/>
              </w:rPr>
            </w:pPr>
          </w:p>
        </w:tc>
      </w:tr>
    </w:tbl>
    <w:p>
      <w:pPr>
        <w:pStyle w:val="BodyText"/>
        <w:spacing w:before="2"/>
        <w:rPr>
          <w:sz w:val="14"/>
        </w:rPr>
      </w:pPr>
    </w:p>
    <w:p>
      <w:pPr>
        <w:spacing w:line="232" w:lineRule="auto" w:before="0"/>
        <w:ind w:left="144" w:right="0" w:firstLine="499"/>
        <w:jc w:val="left"/>
        <w:rPr>
          <w:rFonts w:ascii="Segoe UI Symbol" w:hAnsi="Segoe UI Symbol"/>
          <w:sz w:val="14"/>
        </w:rPr>
      </w:pPr>
      <w:r>
        <w:rPr>
          <w:sz w:val="14"/>
        </w:rPr>
        <w:t>If</w:t>
      </w:r>
      <w:r>
        <w:rPr>
          <w:spacing w:val="20"/>
          <w:sz w:val="14"/>
        </w:rPr>
        <w:t> </w:t>
      </w:r>
      <w:r>
        <w:rPr>
          <w:sz w:val="14"/>
        </w:rPr>
        <w:t>an</w:t>
      </w:r>
      <w:r>
        <w:rPr>
          <w:spacing w:val="20"/>
          <w:sz w:val="14"/>
        </w:rPr>
        <w:t> </w:t>
      </w:r>
      <w:r>
        <w:rPr>
          <w:sz w:val="14"/>
        </w:rPr>
        <w:t>emerging</w:t>
      </w:r>
      <w:r>
        <w:rPr>
          <w:spacing w:val="20"/>
          <w:sz w:val="14"/>
        </w:rPr>
        <w:t> </w:t>
      </w:r>
      <w:r>
        <w:rPr>
          <w:sz w:val="14"/>
        </w:rPr>
        <w:t>growth</w:t>
      </w:r>
      <w:r>
        <w:rPr>
          <w:spacing w:val="20"/>
          <w:sz w:val="14"/>
        </w:rPr>
        <w:t> </w:t>
      </w:r>
      <w:r>
        <w:rPr>
          <w:sz w:val="14"/>
        </w:rPr>
        <w:t>company,</w:t>
      </w:r>
      <w:r>
        <w:rPr>
          <w:spacing w:val="20"/>
          <w:sz w:val="14"/>
        </w:rPr>
        <w:t> </w:t>
      </w:r>
      <w:r>
        <w:rPr>
          <w:sz w:val="14"/>
        </w:rPr>
        <w:t>indicate</w:t>
      </w:r>
      <w:r>
        <w:rPr>
          <w:spacing w:val="20"/>
          <w:sz w:val="14"/>
        </w:rPr>
        <w:t> </w:t>
      </w:r>
      <w:r>
        <w:rPr>
          <w:sz w:val="14"/>
        </w:rPr>
        <w:t>by</w:t>
      </w:r>
      <w:r>
        <w:rPr>
          <w:spacing w:val="20"/>
          <w:sz w:val="14"/>
        </w:rPr>
        <w:t> </w:t>
      </w:r>
      <w:r>
        <w:rPr>
          <w:sz w:val="14"/>
        </w:rPr>
        <w:t>check</w:t>
      </w:r>
      <w:r>
        <w:rPr>
          <w:spacing w:val="20"/>
          <w:sz w:val="14"/>
        </w:rPr>
        <w:t> </w:t>
      </w:r>
      <w:r>
        <w:rPr>
          <w:sz w:val="14"/>
        </w:rPr>
        <w:t>mark</w:t>
      </w:r>
      <w:r>
        <w:rPr>
          <w:spacing w:val="20"/>
          <w:sz w:val="14"/>
        </w:rPr>
        <w:t> </w:t>
      </w:r>
      <w:r>
        <w:rPr>
          <w:sz w:val="14"/>
        </w:rPr>
        <w:t>if</w:t>
      </w:r>
      <w:r>
        <w:rPr>
          <w:spacing w:val="20"/>
          <w:sz w:val="14"/>
        </w:rPr>
        <w:t> </w:t>
      </w:r>
      <w:r>
        <w:rPr>
          <w:sz w:val="14"/>
        </w:rPr>
        <w:t>the</w:t>
      </w:r>
      <w:r>
        <w:rPr>
          <w:spacing w:val="20"/>
          <w:sz w:val="14"/>
        </w:rPr>
        <w:t> </w:t>
      </w:r>
      <w:r>
        <w:rPr>
          <w:sz w:val="14"/>
        </w:rPr>
        <w:t>registrant</w:t>
      </w:r>
      <w:r>
        <w:rPr>
          <w:spacing w:val="20"/>
          <w:sz w:val="14"/>
        </w:rPr>
        <w:t> </w:t>
      </w:r>
      <w:r>
        <w:rPr>
          <w:sz w:val="14"/>
        </w:rPr>
        <w:t>has</w:t>
      </w:r>
      <w:r>
        <w:rPr>
          <w:spacing w:val="20"/>
          <w:sz w:val="14"/>
        </w:rPr>
        <w:t> </w:t>
      </w:r>
      <w:r>
        <w:rPr>
          <w:sz w:val="14"/>
        </w:rPr>
        <w:t>elected</w:t>
      </w:r>
      <w:r>
        <w:rPr>
          <w:spacing w:val="20"/>
          <w:sz w:val="14"/>
        </w:rPr>
        <w:t> </w:t>
      </w:r>
      <w:r>
        <w:rPr>
          <w:sz w:val="14"/>
        </w:rPr>
        <w:t>not</w:t>
      </w:r>
      <w:r>
        <w:rPr>
          <w:spacing w:val="20"/>
          <w:sz w:val="14"/>
        </w:rPr>
        <w:t> </w:t>
      </w:r>
      <w:r>
        <w:rPr>
          <w:sz w:val="14"/>
        </w:rPr>
        <w:t>to</w:t>
      </w:r>
      <w:r>
        <w:rPr>
          <w:spacing w:val="20"/>
          <w:sz w:val="14"/>
        </w:rPr>
        <w:t> </w:t>
      </w:r>
      <w:r>
        <w:rPr>
          <w:sz w:val="14"/>
        </w:rPr>
        <w:t>use</w:t>
      </w:r>
      <w:r>
        <w:rPr>
          <w:spacing w:val="20"/>
          <w:sz w:val="14"/>
        </w:rPr>
        <w:t> </w:t>
      </w:r>
      <w:r>
        <w:rPr>
          <w:sz w:val="14"/>
        </w:rPr>
        <w:t>the</w:t>
      </w:r>
      <w:r>
        <w:rPr>
          <w:spacing w:val="20"/>
          <w:sz w:val="14"/>
        </w:rPr>
        <w:t> </w:t>
      </w:r>
      <w:r>
        <w:rPr>
          <w:sz w:val="14"/>
        </w:rPr>
        <w:t>extended</w:t>
      </w:r>
      <w:r>
        <w:rPr>
          <w:spacing w:val="20"/>
          <w:sz w:val="14"/>
        </w:rPr>
        <w:t> </w:t>
      </w:r>
      <w:r>
        <w:rPr>
          <w:sz w:val="14"/>
        </w:rPr>
        <w:t>transition</w:t>
      </w:r>
      <w:r>
        <w:rPr>
          <w:spacing w:val="20"/>
          <w:sz w:val="14"/>
        </w:rPr>
        <w:t> </w:t>
      </w:r>
      <w:r>
        <w:rPr>
          <w:sz w:val="14"/>
        </w:rPr>
        <w:t>period</w:t>
      </w:r>
      <w:r>
        <w:rPr>
          <w:spacing w:val="20"/>
          <w:sz w:val="14"/>
        </w:rPr>
        <w:t> </w:t>
      </w:r>
      <w:r>
        <w:rPr>
          <w:sz w:val="14"/>
        </w:rPr>
        <w:t>for</w:t>
      </w:r>
      <w:r>
        <w:rPr>
          <w:spacing w:val="20"/>
          <w:sz w:val="14"/>
        </w:rPr>
        <w:t> </w:t>
      </w:r>
      <w:r>
        <w:rPr>
          <w:sz w:val="14"/>
        </w:rPr>
        <w:t>complying</w:t>
      </w:r>
      <w:r>
        <w:rPr>
          <w:spacing w:val="20"/>
          <w:sz w:val="14"/>
        </w:rPr>
        <w:t> </w:t>
      </w:r>
      <w:r>
        <w:rPr>
          <w:sz w:val="14"/>
        </w:rPr>
        <w:t>with</w:t>
      </w:r>
      <w:r>
        <w:rPr>
          <w:spacing w:val="20"/>
          <w:sz w:val="14"/>
        </w:rPr>
        <w:t> </w:t>
      </w:r>
      <w:r>
        <w:rPr>
          <w:sz w:val="14"/>
        </w:rPr>
        <w:t>any</w:t>
      </w:r>
      <w:r>
        <w:rPr>
          <w:spacing w:val="20"/>
          <w:sz w:val="14"/>
        </w:rPr>
        <w:t> </w:t>
      </w:r>
      <w:r>
        <w:rPr>
          <w:sz w:val="14"/>
        </w:rPr>
        <w:t>new</w:t>
      </w:r>
      <w:r>
        <w:rPr>
          <w:spacing w:val="20"/>
          <w:sz w:val="14"/>
        </w:rPr>
        <w:t> </w:t>
      </w:r>
      <w:r>
        <w:rPr>
          <w:sz w:val="14"/>
        </w:rPr>
        <w:t>or</w:t>
      </w:r>
      <w:r>
        <w:rPr>
          <w:spacing w:val="20"/>
          <w:sz w:val="14"/>
        </w:rPr>
        <w:t> </w:t>
      </w:r>
      <w:r>
        <w:rPr>
          <w:sz w:val="14"/>
        </w:rPr>
        <w:t>revised</w:t>
      </w:r>
      <w:r>
        <w:rPr>
          <w:spacing w:val="20"/>
          <w:sz w:val="14"/>
        </w:rPr>
        <w:t> </w:t>
      </w:r>
      <w:r>
        <w:rPr>
          <w:sz w:val="14"/>
        </w:rPr>
        <w:t>financial</w:t>
      </w:r>
      <w:r>
        <w:rPr>
          <w:spacing w:val="20"/>
          <w:sz w:val="14"/>
        </w:rPr>
        <w:t> </w:t>
      </w:r>
      <w:r>
        <w:rPr>
          <w:sz w:val="14"/>
        </w:rPr>
        <w:t>accounting</w:t>
      </w:r>
      <w:r>
        <w:rPr>
          <w:spacing w:val="40"/>
          <w:sz w:val="14"/>
        </w:rPr>
        <w:t> </w:t>
      </w:r>
      <w:r>
        <w:rPr>
          <w:sz w:val="14"/>
        </w:rPr>
        <w:t>standards provided pursuant to Section 13(a) of the Exchange Act. </w:t>
      </w:r>
      <w:r>
        <w:rPr>
          <w:rFonts w:ascii="Segoe UI Symbol" w:hAnsi="Segoe UI Symbol"/>
          <w:sz w:val="14"/>
        </w:rPr>
        <w:t>☐</w:t>
      </w:r>
    </w:p>
    <w:p>
      <w:pPr>
        <w:spacing w:line="235" w:lineRule="auto" w:before="38"/>
        <w:ind w:left="144" w:right="0" w:firstLine="499"/>
        <w:jc w:val="left"/>
        <w:rPr>
          <w:rFonts w:ascii="Segoe UI Symbol" w:hAnsi="Segoe UI Symbol"/>
          <w:sz w:val="14"/>
        </w:rPr>
      </w:pPr>
      <w:r>
        <w:rPr>
          <w:sz w:val="14"/>
        </w:rPr>
        <w:t>Indicate</w:t>
      </w:r>
      <w:r>
        <w:rPr>
          <w:spacing w:val="19"/>
          <w:sz w:val="14"/>
        </w:rPr>
        <w:t> </w:t>
      </w:r>
      <w:r>
        <w:rPr>
          <w:sz w:val="14"/>
        </w:rPr>
        <w:t>by</w:t>
      </w:r>
      <w:r>
        <w:rPr>
          <w:spacing w:val="19"/>
          <w:sz w:val="14"/>
        </w:rPr>
        <w:t> </w:t>
      </w:r>
      <w:r>
        <w:rPr>
          <w:sz w:val="14"/>
        </w:rPr>
        <w:t>check</w:t>
      </w:r>
      <w:r>
        <w:rPr>
          <w:spacing w:val="19"/>
          <w:sz w:val="14"/>
        </w:rPr>
        <w:t> </w:t>
      </w:r>
      <w:r>
        <w:rPr>
          <w:sz w:val="14"/>
        </w:rPr>
        <w:t>mark</w:t>
      </w:r>
      <w:r>
        <w:rPr>
          <w:spacing w:val="19"/>
          <w:sz w:val="14"/>
        </w:rPr>
        <w:t> </w:t>
      </w:r>
      <w:r>
        <w:rPr>
          <w:sz w:val="14"/>
        </w:rPr>
        <w:t>whether</w:t>
      </w:r>
      <w:r>
        <w:rPr>
          <w:spacing w:val="19"/>
          <w:sz w:val="14"/>
        </w:rPr>
        <w:t> </w:t>
      </w:r>
      <w:r>
        <w:rPr>
          <w:sz w:val="14"/>
        </w:rPr>
        <w:t>the</w:t>
      </w:r>
      <w:r>
        <w:rPr>
          <w:spacing w:val="19"/>
          <w:sz w:val="14"/>
        </w:rPr>
        <w:t> </w:t>
      </w:r>
      <w:r>
        <w:rPr>
          <w:sz w:val="14"/>
        </w:rPr>
        <w:t>registrant</w:t>
      </w:r>
      <w:r>
        <w:rPr>
          <w:spacing w:val="19"/>
          <w:sz w:val="14"/>
        </w:rPr>
        <w:t> </w:t>
      </w:r>
      <w:r>
        <w:rPr>
          <w:sz w:val="14"/>
        </w:rPr>
        <w:t>has</w:t>
      </w:r>
      <w:r>
        <w:rPr>
          <w:spacing w:val="19"/>
          <w:sz w:val="14"/>
        </w:rPr>
        <w:t> </w:t>
      </w:r>
      <w:r>
        <w:rPr>
          <w:sz w:val="14"/>
        </w:rPr>
        <w:t>filed</w:t>
      </w:r>
      <w:r>
        <w:rPr>
          <w:spacing w:val="19"/>
          <w:sz w:val="14"/>
        </w:rPr>
        <w:t> </w:t>
      </w:r>
      <w:r>
        <w:rPr>
          <w:sz w:val="14"/>
        </w:rPr>
        <w:t>a</w:t>
      </w:r>
      <w:r>
        <w:rPr>
          <w:spacing w:val="19"/>
          <w:sz w:val="14"/>
        </w:rPr>
        <w:t> </w:t>
      </w:r>
      <w:r>
        <w:rPr>
          <w:sz w:val="14"/>
        </w:rPr>
        <w:t>report</w:t>
      </w:r>
      <w:r>
        <w:rPr>
          <w:spacing w:val="19"/>
          <w:sz w:val="14"/>
        </w:rPr>
        <w:t> </w:t>
      </w:r>
      <w:r>
        <w:rPr>
          <w:sz w:val="14"/>
        </w:rPr>
        <w:t>on</w:t>
      </w:r>
      <w:r>
        <w:rPr>
          <w:spacing w:val="19"/>
          <w:sz w:val="14"/>
        </w:rPr>
        <w:t> </w:t>
      </w:r>
      <w:r>
        <w:rPr>
          <w:sz w:val="14"/>
        </w:rPr>
        <w:t>and</w:t>
      </w:r>
      <w:r>
        <w:rPr>
          <w:spacing w:val="19"/>
          <w:sz w:val="14"/>
        </w:rPr>
        <w:t> </w:t>
      </w:r>
      <w:r>
        <w:rPr>
          <w:sz w:val="14"/>
        </w:rPr>
        <w:t>attestation</w:t>
      </w:r>
      <w:r>
        <w:rPr>
          <w:spacing w:val="19"/>
          <w:sz w:val="14"/>
        </w:rPr>
        <w:t> </w:t>
      </w:r>
      <w:r>
        <w:rPr>
          <w:sz w:val="14"/>
        </w:rPr>
        <w:t>to</w:t>
      </w:r>
      <w:r>
        <w:rPr>
          <w:spacing w:val="19"/>
          <w:sz w:val="14"/>
        </w:rPr>
        <w:t> </w:t>
      </w:r>
      <w:r>
        <w:rPr>
          <w:sz w:val="14"/>
        </w:rPr>
        <w:t>its</w:t>
      </w:r>
      <w:r>
        <w:rPr>
          <w:spacing w:val="19"/>
          <w:sz w:val="14"/>
        </w:rPr>
        <w:t> </w:t>
      </w:r>
      <w:r>
        <w:rPr>
          <w:sz w:val="14"/>
        </w:rPr>
        <w:t>management’s</w:t>
      </w:r>
      <w:r>
        <w:rPr>
          <w:spacing w:val="19"/>
          <w:sz w:val="14"/>
        </w:rPr>
        <w:t> </w:t>
      </w:r>
      <w:r>
        <w:rPr>
          <w:sz w:val="14"/>
        </w:rPr>
        <w:t>assessment</w:t>
      </w:r>
      <w:r>
        <w:rPr>
          <w:spacing w:val="19"/>
          <w:sz w:val="14"/>
        </w:rPr>
        <w:t> </w:t>
      </w:r>
      <w:r>
        <w:rPr>
          <w:sz w:val="14"/>
        </w:rPr>
        <w:t>of</w:t>
      </w:r>
      <w:r>
        <w:rPr>
          <w:spacing w:val="19"/>
          <w:sz w:val="14"/>
        </w:rPr>
        <w:t> </w:t>
      </w:r>
      <w:r>
        <w:rPr>
          <w:sz w:val="14"/>
        </w:rPr>
        <w:t>the</w:t>
      </w:r>
      <w:r>
        <w:rPr>
          <w:spacing w:val="19"/>
          <w:sz w:val="14"/>
        </w:rPr>
        <w:t> </w:t>
      </w:r>
      <w:r>
        <w:rPr>
          <w:sz w:val="14"/>
        </w:rPr>
        <w:t>e</w:t>
      </w:r>
      <w:r>
        <w:rPr>
          <w:rFonts w:ascii="Palatino Linotype" w:hAnsi="Palatino Linotype"/>
          <w:sz w:val="14"/>
        </w:rPr>
        <w:t>ff</w:t>
      </w:r>
      <w:r>
        <w:rPr>
          <w:sz w:val="14"/>
        </w:rPr>
        <w:t>ectiveness</w:t>
      </w:r>
      <w:r>
        <w:rPr>
          <w:spacing w:val="19"/>
          <w:sz w:val="14"/>
        </w:rPr>
        <w:t> </w:t>
      </w:r>
      <w:r>
        <w:rPr>
          <w:sz w:val="14"/>
        </w:rPr>
        <w:t>of</w:t>
      </w:r>
      <w:r>
        <w:rPr>
          <w:spacing w:val="19"/>
          <w:sz w:val="14"/>
        </w:rPr>
        <w:t> </w:t>
      </w:r>
      <w:r>
        <w:rPr>
          <w:sz w:val="14"/>
        </w:rPr>
        <w:t>its</w:t>
      </w:r>
      <w:r>
        <w:rPr>
          <w:spacing w:val="19"/>
          <w:sz w:val="14"/>
        </w:rPr>
        <w:t> </w:t>
      </w:r>
      <w:r>
        <w:rPr>
          <w:sz w:val="14"/>
        </w:rPr>
        <w:t>internal</w:t>
      </w:r>
      <w:r>
        <w:rPr>
          <w:spacing w:val="19"/>
          <w:sz w:val="14"/>
        </w:rPr>
        <w:t> </w:t>
      </w:r>
      <w:r>
        <w:rPr>
          <w:sz w:val="14"/>
        </w:rPr>
        <w:t>control</w:t>
      </w:r>
      <w:r>
        <w:rPr>
          <w:spacing w:val="19"/>
          <w:sz w:val="14"/>
        </w:rPr>
        <w:t> </w:t>
      </w:r>
      <w:r>
        <w:rPr>
          <w:sz w:val="14"/>
        </w:rPr>
        <w:t>over</w:t>
      </w:r>
      <w:r>
        <w:rPr>
          <w:spacing w:val="19"/>
          <w:sz w:val="14"/>
        </w:rPr>
        <w:t> </w:t>
      </w:r>
      <w:r>
        <w:rPr>
          <w:sz w:val="14"/>
        </w:rPr>
        <w:t>financial</w:t>
      </w:r>
      <w:r>
        <w:rPr>
          <w:spacing w:val="19"/>
          <w:sz w:val="14"/>
        </w:rPr>
        <w:t> </w:t>
      </w:r>
      <w:r>
        <w:rPr>
          <w:sz w:val="14"/>
        </w:rPr>
        <w:t>reporting</w:t>
      </w:r>
      <w:r>
        <w:rPr>
          <w:spacing w:val="19"/>
          <w:sz w:val="14"/>
        </w:rPr>
        <w:t> </w:t>
      </w:r>
      <w:r>
        <w:rPr>
          <w:sz w:val="14"/>
        </w:rPr>
        <w:t>under</w:t>
      </w:r>
      <w:r>
        <w:rPr>
          <w:spacing w:val="40"/>
          <w:sz w:val="14"/>
        </w:rPr>
        <w:t> </w:t>
      </w:r>
      <w:r>
        <w:rPr>
          <w:sz w:val="14"/>
        </w:rPr>
        <w:t>Section</w:t>
      </w:r>
      <w:r>
        <w:rPr>
          <w:spacing w:val="15"/>
          <w:sz w:val="14"/>
        </w:rPr>
        <w:t> </w:t>
      </w:r>
      <w:r>
        <w:rPr>
          <w:sz w:val="14"/>
        </w:rPr>
        <w:t>404(b)</w:t>
      </w:r>
      <w:r>
        <w:rPr>
          <w:spacing w:val="15"/>
          <w:sz w:val="14"/>
        </w:rPr>
        <w:t> </w:t>
      </w:r>
      <w:r>
        <w:rPr>
          <w:sz w:val="14"/>
        </w:rPr>
        <w:t>of</w:t>
      </w:r>
      <w:r>
        <w:rPr>
          <w:spacing w:val="15"/>
          <w:sz w:val="14"/>
        </w:rPr>
        <w:t> </w:t>
      </w:r>
      <w:r>
        <w:rPr>
          <w:sz w:val="14"/>
        </w:rPr>
        <w:t>the</w:t>
      </w:r>
      <w:r>
        <w:rPr>
          <w:spacing w:val="15"/>
          <w:sz w:val="14"/>
        </w:rPr>
        <w:t> </w:t>
      </w:r>
      <w:r>
        <w:rPr>
          <w:sz w:val="14"/>
        </w:rPr>
        <w:t>Sarbanes-Oxley Act</w:t>
      </w:r>
      <w:r>
        <w:rPr>
          <w:spacing w:val="15"/>
          <w:sz w:val="14"/>
        </w:rPr>
        <w:t> </w:t>
      </w:r>
      <w:r>
        <w:rPr>
          <w:sz w:val="14"/>
        </w:rPr>
        <w:t>(15</w:t>
      </w:r>
      <w:r>
        <w:rPr>
          <w:spacing w:val="15"/>
          <w:sz w:val="14"/>
        </w:rPr>
        <w:t> </w:t>
      </w:r>
      <w:r>
        <w:rPr>
          <w:sz w:val="14"/>
        </w:rPr>
        <w:t>U.S.C.</w:t>
      </w:r>
      <w:r>
        <w:rPr>
          <w:spacing w:val="15"/>
          <w:sz w:val="14"/>
        </w:rPr>
        <w:t> </w:t>
      </w:r>
      <w:r>
        <w:rPr>
          <w:sz w:val="14"/>
        </w:rPr>
        <w:t>7262(b))</w:t>
      </w:r>
      <w:r>
        <w:rPr>
          <w:spacing w:val="15"/>
          <w:sz w:val="14"/>
        </w:rPr>
        <w:t> </w:t>
      </w:r>
      <w:r>
        <w:rPr>
          <w:sz w:val="14"/>
        </w:rPr>
        <w:t>by</w:t>
      </w:r>
      <w:r>
        <w:rPr>
          <w:spacing w:val="15"/>
          <w:sz w:val="14"/>
        </w:rPr>
        <w:t> </w:t>
      </w:r>
      <w:r>
        <w:rPr>
          <w:sz w:val="14"/>
        </w:rPr>
        <w:t>the</w:t>
      </w:r>
      <w:r>
        <w:rPr>
          <w:spacing w:val="15"/>
          <w:sz w:val="14"/>
        </w:rPr>
        <w:t> </w:t>
      </w:r>
      <w:r>
        <w:rPr>
          <w:sz w:val="14"/>
        </w:rPr>
        <w:t>registered</w:t>
      </w:r>
      <w:r>
        <w:rPr>
          <w:spacing w:val="15"/>
          <w:sz w:val="14"/>
        </w:rPr>
        <w:t> </w:t>
      </w:r>
      <w:r>
        <w:rPr>
          <w:sz w:val="14"/>
        </w:rPr>
        <w:t>public</w:t>
      </w:r>
      <w:r>
        <w:rPr>
          <w:spacing w:val="15"/>
          <w:sz w:val="14"/>
        </w:rPr>
        <w:t> </w:t>
      </w:r>
      <w:r>
        <w:rPr>
          <w:sz w:val="14"/>
        </w:rPr>
        <w:t>accounting</w:t>
      </w:r>
      <w:r>
        <w:rPr>
          <w:spacing w:val="15"/>
          <w:sz w:val="14"/>
        </w:rPr>
        <w:t> </w:t>
      </w:r>
      <w:r>
        <w:rPr>
          <w:sz w:val="14"/>
        </w:rPr>
        <w:t>firm</w:t>
      </w:r>
      <w:r>
        <w:rPr>
          <w:spacing w:val="15"/>
          <w:sz w:val="14"/>
        </w:rPr>
        <w:t> </w:t>
      </w:r>
      <w:r>
        <w:rPr>
          <w:sz w:val="14"/>
        </w:rPr>
        <w:t>that</w:t>
      </w:r>
      <w:r>
        <w:rPr>
          <w:spacing w:val="15"/>
          <w:sz w:val="14"/>
        </w:rPr>
        <w:t> </w:t>
      </w:r>
      <w:r>
        <w:rPr>
          <w:sz w:val="14"/>
        </w:rPr>
        <w:t>prepared</w:t>
      </w:r>
      <w:r>
        <w:rPr>
          <w:spacing w:val="15"/>
          <w:sz w:val="14"/>
        </w:rPr>
        <w:t> </w:t>
      </w:r>
      <w:r>
        <w:rPr>
          <w:sz w:val="14"/>
        </w:rPr>
        <w:t>or</w:t>
      </w:r>
      <w:r>
        <w:rPr>
          <w:spacing w:val="15"/>
          <w:sz w:val="14"/>
        </w:rPr>
        <w:t> </w:t>
      </w:r>
      <w:r>
        <w:rPr>
          <w:sz w:val="14"/>
        </w:rPr>
        <w:t>issued</w:t>
      </w:r>
      <w:r>
        <w:rPr>
          <w:spacing w:val="15"/>
          <w:sz w:val="14"/>
        </w:rPr>
        <w:t> </w:t>
      </w:r>
      <w:r>
        <w:rPr>
          <w:sz w:val="14"/>
        </w:rPr>
        <w:t>its</w:t>
      </w:r>
      <w:r>
        <w:rPr>
          <w:spacing w:val="15"/>
          <w:sz w:val="14"/>
        </w:rPr>
        <w:t> </w:t>
      </w:r>
      <w:r>
        <w:rPr>
          <w:sz w:val="14"/>
        </w:rPr>
        <w:t>audit</w:t>
      </w:r>
      <w:r>
        <w:rPr>
          <w:spacing w:val="15"/>
          <w:sz w:val="14"/>
        </w:rPr>
        <w:t> </w:t>
      </w:r>
      <w:r>
        <w:rPr>
          <w:sz w:val="14"/>
        </w:rPr>
        <w:t>report.</w:t>
      </w:r>
      <w:r>
        <w:rPr>
          <w:spacing w:val="17"/>
          <w:sz w:val="14"/>
        </w:rPr>
        <w:t> </w:t>
      </w:r>
      <w:r>
        <w:rPr>
          <w:rFonts w:ascii="Segoe UI Symbol" w:hAnsi="Segoe UI Symbol"/>
          <w:sz w:val="14"/>
        </w:rPr>
        <w:t>☒</w:t>
      </w:r>
    </w:p>
    <w:p>
      <w:pPr>
        <w:spacing w:line="184" w:lineRule="exact" w:before="44"/>
        <w:ind w:left="644" w:right="0" w:firstLine="0"/>
        <w:jc w:val="left"/>
        <w:rPr>
          <w:rFonts w:ascii="Segoe UI Symbol" w:hAnsi="Segoe UI Symbol"/>
          <w:sz w:val="14"/>
        </w:rPr>
      </w:pPr>
      <w:r>
        <w:rPr>
          <w:sz w:val="14"/>
        </w:rPr>
        <w:t>Indicate</w:t>
      </w:r>
      <w:r>
        <w:rPr>
          <w:spacing w:val="4"/>
          <w:sz w:val="14"/>
        </w:rPr>
        <w:t> </w:t>
      </w:r>
      <w:r>
        <w:rPr>
          <w:sz w:val="14"/>
        </w:rPr>
        <w:t>by</w:t>
      </w:r>
      <w:r>
        <w:rPr>
          <w:spacing w:val="5"/>
          <w:sz w:val="14"/>
        </w:rPr>
        <w:t> </w:t>
      </w:r>
      <w:r>
        <w:rPr>
          <w:sz w:val="14"/>
        </w:rPr>
        <w:t>check</w:t>
      </w:r>
      <w:r>
        <w:rPr>
          <w:spacing w:val="4"/>
          <w:sz w:val="14"/>
        </w:rPr>
        <w:t> </w:t>
      </w:r>
      <w:r>
        <w:rPr>
          <w:sz w:val="14"/>
        </w:rPr>
        <w:t>mark</w:t>
      </w:r>
      <w:r>
        <w:rPr>
          <w:spacing w:val="5"/>
          <w:sz w:val="14"/>
        </w:rPr>
        <w:t> </w:t>
      </w:r>
      <w:r>
        <w:rPr>
          <w:sz w:val="14"/>
        </w:rPr>
        <w:t>whether</w:t>
      </w:r>
      <w:r>
        <w:rPr>
          <w:spacing w:val="4"/>
          <w:sz w:val="14"/>
        </w:rPr>
        <w:t> </w:t>
      </w:r>
      <w:r>
        <w:rPr>
          <w:sz w:val="14"/>
        </w:rPr>
        <w:t>the</w:t>
      </w:r>
      <w:r>
        <w:rPr>
          <w:spacing w:val="5"/>
          <w:sz w:val="14"/>
        </w:rPr>
        <w:t> </w:t>
      </w:r>
      <w:r>
        <w:rPr>
          <w:sz w:val="14"/>
        </w:rPr>
        <w:t>Registrant</w:t>
      </w:r>
      <w:r>
        <w:rPr>
          <w:spacing w:val="4"/>
          <w:sz w:val="14"/>
        </w:rPr>
        <w:t> </w:t>
      </w:r>
      <w:r>
        <w:rPr>
          <w:sz w:val="14"/>
        </w:rPr>
        <w:t>is</w:t>
      </w:r>
      <w:r>
        <w:rPr>
          <w:spacing w:val="5"/>
          <w:sz w:val="14"/>
        </w:rPr>
        <w:t> </w:t>
      </w:r>
      <w:r>
        <w:rPr>
          <w:sz w:val="14"/>
        </w:rPr>
        <w:t>a</w:t>
      </w:r>
      <w:r>
        <w:rPr>
          <w:spacing w:val="5"/>
          <w:sz w:val="14"/>
        </w:rPr>
        <w:t> </w:t>
      </w:r>
      <w:r>
        <w:rPr>
          <w:sz w:val="14"/>
        </w:rPr>
        <w:t>shell</w:t>
      </w:r>
      <w:r>
        <w:rPr>
          <w:spacing w:val="4"/>
          <w:sz w:val="14"/>
        </w:rPr>
        <w:t> </w:t>
      </w:r>
      <w:r>
        <w:rPr>
          <w:sz w:val="14"/>
        </w:rPr>
        <w:t>company</w:t>
      </w:r>
      <w:r>
        <w:rPr>
          <w:spacing w:val="5"/>
          <w:sz w:val="14"/>
        </w:rPr>
        <w:t> </w:t>
      </w:r>
      <w:r>
        <w:rPr>
          <w:sz w:val="14"/>
        </w:rPr>
        <w:t>(as</w:t>
      </w:r>
      <w:r>
        <w:rPr>
          <w:spacing w:val="4"/>
          <w:sz w:val="14"/>
        </w:rPr>
        <w:t> </w:t>
      </w:r>
      <w:r>
        <w:rPr>
          <w:sz w:val="14"/>
        </w:rPr>
        <w:t>defined</w:t>
      </w:r>
      <w:r>
        <w:rPr>
          <w:spacing w:val="5"/>
          <w:sz w:val="14"/>
        </w:rPr>
        <w:t> </w:t>
      </w:r>
      <w:r>
        <w:rPr>
          <w:sz w:val="14"/>
        </w:rPr>
        <w:t>in</w:t>
      </w:r>
      <w:r>
        <w:rPr>
          <w:spacing w:val="4"/>
          <w:sz w:val="14"/>
        </w:rPr>
        <w:t> </w:t>
      </w:r>
      <w:r>
        <w:rPr>
          <w:sz w:val="14"/>
        </w:rPr>
        <w:t>Rule</w:t>
      </w:r>
      <w:r>
        <w:rPr>
          <w:spacing w:val="5"/>
          <w:sz w:val="14"/>
        </w:rPr>
        <w:t> </w:t>
      </w:r>
      <w:r>
        <w:rPr>
          <w:sz w:val="14"/>
        </w:rPr>
        <w:t>12b-2</w:t>
      </w:r>
      <w:r>
        <w:rPr>
          <w:spacing w:val="4"/>
          <w:sz w:val="14"/>
        </w:rPr>
        <w:t> </w:t>
      </w:r>
      <w:r>
        <w:rPr>
          <w:sz w:val="14"/>
        </w:rPr>
        <w:t>of</w:t>
      </w:r>
      <w:r>
        <w:rPr>
          <w:spacing w:val="5"/>
          <w:sz w:val="14"/>
        </w:rPr>
        <w:t> </w:t>
      </w:r>
      <w:r>
        <w:rPr>
          <w:sz w:val="14"/>
        </w:rPr>
        <w:t>the</w:t>
      </w:r>
      <w:r>
        <w:rPr>
          <w:spacing w:val="-3"/>
          <w:sz w:val="14"/>
        </w:rPr>
        <w:t> </w:t>
      </w:r>
      <w:r>
        <w:rPr>
          <w:sz w:val="14"/>
        </w:rPr>
        <w:t>Act):</w:t>
      </w:r>
      <w:r>
        <w:rPr>
          <w:spacing w:val="-1"/>
          <w:sz w:val="14"/>
        </w:rPr>
        <w:t> </w:t>
      </w:r>
      <w:r>
        <w:rPr>
          <w:sz w:val="14"/>
        </w:rPr>
        <w:t>Yes</w:t>
      </w:r>
      <w:r>
        <w:rPr>
          <w:spacing w:val="5"/>
          <w:sz w:val="14"/>
        </w:rPr>
        <w:t> </w:t>
      </w:r>
      <w:r>
        <w:rPr>
          <w:rFonts w:ascii="Segoe UI Symbol" w:hAnsi="Segoe UI Symbol"/>
          <w:sz w:val="14"/>
        </w:rPr>
        <w:t>☐</w:t>
      </w:r>
      <w:r>
        <w:rPr>
          <w:rFonts w:ascii="Segoe UI Symbol" w:hAnsi="Segoe UI Symbol"/>
          <w:spacing w:val="2"/>
          <w:sz w:val="14"/>
        </w:rPr>
        <w:t> </w:t>
      </w:r>
      <w:r>
        <w:rPr>
          <w:sz w:val="14"/>
        </w:rPr>
        <w:t>No</w:t>
      </w:r>
      <w:r>
        <w:rPr>
          <w:spacing w:val="6"/>
          <w:sz w:val="14"/>
        </w:rPr>
        <w:t> </w:t>
      </w:r>
      <w:r>
        <w:rPr>
          <w:rFonts w:ascii="Segoe UI Symbol" w:hAnsi="Segoe UI Symbol"/>
          <w:spacing w:val="-10"/>
          <w:sz w:val="14"/>
        </w:rPr>
        <w:t>☒</w:t>
      </w:r>
    </w:p>
    <w:p>
      <w:pPr>
        <w:spacing w:line="252" w:lineRule="auto" w:before="0"/>
        <w:ind w:left="144" w:right="118" w:firstLine="499"/>
        <w:jc w:val="both"/>
        <w:rPr>
          <w:sz w:val="14"/>
        </w:rPr>
      </w:pPr>
      <w:r>
        <w:rPr>
          <w:sz w:val="14"/>
        </w:rPr>
        <w:t>The</w:t>
      </w:r>
      <w:r>
        <w:rPr>
          <w:spacing w:val="21"/>
          <w:sz w:val="14"/>
        </w:rPr>
        <w:t> </w:t>
      </w:r>
      <w:r>
        <w:rPr>
          <w:sz w:val="14"/>
        </w:rPr>
        <w:t>aggregate</w:t>
      </w:r>
      <w:r>
        <w:rPr>
          <w:spacing w:val="21"/>
          <w:sz w:val="14"/>
        </w:rPr>
        <w:t> </w:t>
      </w:r>
      <w:r>
        <w:rPr>
          <w:sz w:val="14"/>
        </w:rPr>
        <w:t>market</w:t>
      </w:r>
      <w:r>
        <w:rPr>
          <w:spacing w:val="21"/>
          <w:sz w:val="14"/>
        </w:rPr>
        <w:t> </w:t>
      </w:r>
      <w:r>
        <w:rPr>
          <w:sz w:val="14"/>
        </w:rPr>
        <w:t>value</w:t>
      </w:r>
      <w:r>
        <w:rPr>
          <w:spacing w:val="21"/>
          <w:sz w:val="14"/>
        </w:rPr>
        <w:t> </w:t>
      </w:r>
      <w:r>
        <w:rPr>
          <w:sz w:val="14"/>
        </w:rPr>
        <w:t>of</w:t>
      </w:r>
      <w:r>
        <w:rPr>
          <w:spacing w:val="21"/>
          <w:sz w:val="14"/>
        </w:rPr>
        <w:t> </w:t>
      </w:r>
      <w:r>
        <w:rPr>
          <w:sz w:val="14"/>
        </w:rPr>
        <w:t>the</w:t>
      </w:r>
      <w:r>
        <w:rPr>
          <w:spacing w:val="21"/>
          <w:sz w:val="14"/>
        </w:rPr>
        <w:t> </w:t>
      </w:r>
      <w:r>
        <w:rPr>
          <w:sz w:val="14"/>
        </w:rPr>
        <w:t>Registrant’s</w:t>
      </w:r>
      <w:r>
        <w:rPr>
          <w:spacing w:val="21"/>
          <w:sz w:val="14"/>
        </w:rPr>
        <w:t> </w:t>
      </w:r>
      <w:r>
        <w:rPr>
          <w:sz w:val="14"/>
        </w:rPr>
        <w:t>Common</w:t>
      </w:r>
      <w:r>
        <w:rPr>
          <w:spacing w:val="21"/>
          <w:sz w:val="14"/>
        </w:rPr>
        <w:t> </w:t>
      </w:r>
      <w:r>
        <w:rPr>
          <w:sz w:val="14"/>
        </w:rPr>
        <w:t>Stock</w:t>
      </w:r>
      <w:r>
        <w:rPr>
          <w:spacing w:val="21"/>
          <w:sz w:val="14"/>
        </w:rPr>
        <w:t> </w:t>
      </w:r>
      <w:r>
        <w:rPr>
          <w:sz w:val="14"/>
        </w:rPr>
        <w:t>held</w:t>
      </w:r>
      <w:r>
        <w:rPr>
          <w:spacing w:val="21"/>
          <w:sz w:val="14"/>
        </w:rPr>
        <w:t> </w:t>
      </w:r>
      <w:r>
        <w:rPr>
          <w:sz w:val="14"/>
        </w:rPr>
        <w:t>by</w:t>
      </w:r>
      <w:r>
        <w:rPr>
          <w:spacing w:val="21"/>
          <w:sz w:val="14"/>
        </w:rPr>
        <w:t> </w:t>
      </w:r>
      <w:r>
        <w:rPr>
          <w:sz w:val="14"/>
        </w:rPr>
        <w:t>non-affiliates</w:t>
      </w:r>
      <w:r>
        <w:rPr>
          <w:spacing w:val="21"/>
          <w:sz w:val="14"/>
        </w:rPr>
        <w:t> </w:t>
      </w:r>
      <w:r>
        <w:rPr>
          <w:sz w:val="14"/>
        </w:rPr>
        <w:t>of</w:t>
      </w:r>
      <w:r>
        <w:rPr>
          <w:spacing w:val="21"/>
          <w:sz w:val="14"/>
        </w:rPr>
        <w:t> </w:t>
      </w:r>
      <w:r>
        <w:rPr>
          <w:sz w:val="14"/>
        </w:rPr>
        <w:t>the</w:t>
      </w:r>
      <w:r>
        <w:rPr>
          <w:spacing w:val="21"/>
          <w:sz w:val="14"/>
        </w:rPr>
        <w:t> </w:t>
      </w:r>
      <w:r>
        <w:rPr>
          <w:sz w:val="14"/>
        </w:rPr>
        <w:t>Registrant</w:t>
      </w:r>
      <w:r>
        <w:rPr>
          <w:spacing w:val="21"/>
          <w:sz w:val="14"/>
        </w:rPr>
        <w:t> </w:t>
      </w:r>
      <w:r>
        <w:rPr>
          <w:sz w:val="14"/>
        </w:rPr>
        <w:t>as</w:t>
      </w:r>
      <w:r>
        <w:rPr>
          <w:spacing w:val="21"/>
          <w:sz w:val="14"/>
        </w:rPr>
        <w:t> </w:t>
      </w:r>
      <w:r>
        <w:rPr>
          <w:sz w:val="14"/>
        </w:rPr>
        <w:t>of</w:t>
      </w:r>
      <w:r>
        <w:rPr>
          <w:spacing w:val="21"/>
          <w:sz w:val="14"/>
        </w:rPr>
        <w:t> </w:t>
      </w:r>
      <w:r>
        <w:rPr>
          <w:sz w:val="14"/>
        </w:rPr>
        <w:t>June</w:t>
      </w:r>
      <w:r>
        <w:rPr>
          <w:spacing w:val="21"/>
          <w:sz w:val="14"/>
        </w:rPr>
        <w:t> </w:t>
      </w:r>
      <w:r>
        <w:rPr>
          <w:sz w:val="14"/>
        </w:rPr>
        <w:t>30,</w:t>
      </w:r>
      <w:r>
        <w:rPr>
          <w:spacing w:val="21"/>
          <w:sz w:val="14"/>
        </w:rPr>
        <w:t> </w:t>
      </w:r>
      <w:r>
        <w:rPr>
          <w:sz w:val="14"/>
        </w:rPr>
        <w:t>2022</w:t>
      </w:r>
      <w:r>
        <w:rPr>
          <w:spacing w:val="21"/>
          <w:sz w:val="14"/>
        </w:rPr>
        <w:t> </w:t>
      </w:r>
      <w:r>
        <w:rPr>
          <w:sz w:val="14"/>
        </w:rPr>
        <w:t>(based</w:t>
      </w:r>
      <w:r>
        <w:rPr>
          <w:spacing w:val="21"/>
          <w:sz w:val="14"/>
        </w:rPr>
        <w:t> </w:t>
      </w:r>
      <w:r>
        <w:rPr>
          <w:sz w:val="14"/>
        </w:rPr>
        <w:t>on</w:t>
      </w:r>
      <w:r>
        <w:rPr>
          <w:spacing w:val="21"/>
          <w:sz w:val="14"/>
        </w:rPr>
        <w:t> </w:t>
      </w:r>
      <w:r>
        <w:rPr>
          <w:sz w:val="14"/>
        </w:rPr>
        <w:t>the</w:t>
      </w:r>
      <w:r>
        <w:rPr>
          <w:spacing w:val="21"/>
          <w:sz w:val="14"/>
        </w:rPr>
        <w:t> </w:t>
      </w:r>
      <w:r>
        <w:rPr>
          <w:sz w:val="14"/>
        </w:rPr>
        <w:t>closing</w:t>
      </w:r>
      <w:r>
        <w:rPr>
          <w:spacing w:val="21"/>
          <w:sz w:val="14"/>
        </w:rPr>
        <w:t> </w:t>
      </w:r>
      <w:r>
        <w:rPr>
          <w:sz w:val="14"/>
        </w:rPr>
        <w:t>price</w:t>
      </w:r>
      <w:r>
        <w:rPr>
          <w:spacing w:val="21"/>
          <w:sz w:val="14"/>
        </w:rPr>
        <w:t> </w:t>
      </w:r>
      <w:r>
        <w:rPr>
          <w:sz w:val="14"/>
        </w:rPr>
        <w:t>on</w:t>
      </w:r>
      <w:r>
        <w:rPr>
          <w:spacing w:val="21"/>
          <w:sz w:val="14"/>
        </w:rPr>
        <w:t> </w:t>
      </w:r>
      <w:r>
        <w:rPr>
          <w:sz w:val="14"/>
        </w:rPr>
        <w:t>the</w:t>
      </w:r>
      <w:r>
        <w:rPr>
          <w:spacing w:val="21"/>
          <w:sz w:val="14"/>
        </w:rPr>
        <w:t> </w:t>
      </w:r>
      <w:r>
        <w:rPr>
          <w:sz w:val="14"/>
        </w:rPr>
        <w:t>New York</w:t>
      </w:r>
      <w:r>
        <w:rPr>
          <w:spacing w:val="21"/>
          <w:sz w:val="14"/>
        </w:rPr>
        <w:t> </w:t>
      </w:r>
      <w:r>
        <w:rPr>
          <w:sz w:val="14"/>
        </w:rPr>
        <w:t>Stock</w:t>
      </w:r>
      <w:r>
        <w:rPr>
          <w:spacing w:val="21"/>
          <w:sz w:val="14"/>
        </w:rPr>
        <w:t> </w:t>
      </w:r>
      <w:r>
        <w:rPr>
          <w:sz w:val="14"/>
        </w:rPr>
        <w:t>Exchange</w:t>
      </w:r>
      <w:r>
        <w:rPr>
          <w:spacing w:val="40"/>
          <w:sz w:val="14"/>
        </w:rPr>
        <w:t> </w:t>
      </w:r>
      <w:r>
        <w:rPr>
          <w:sz w:val="14"/>
        </w:rPr>
        <w:t>Composite</w:t>
      </w:r>
      <w:r>
        <w:rPr>
          <w:spacing w:val="14"/>
          <w:sz w:val="14"/>
        </w:rPr>
        <w:t> </w:t>
      </w:r>
      <w:r>
        <w:rPr>
          <w:sz w:val="14"/>
        </w:rPr>
        <w:t>Tape</w:t>
      </w:r>
      <w:r>
        <w:rPr>
          <w:spacing w:val="16"/>
          <w:sz w:val="14"/>
        </w:rPr>
        <w:t> </w:t>
      </w:r>
      <w:r>
        <w:rPr>
          <w:sz w:val="14"/>
        </w:rPr>
        <w:t>on</w:t>
      </w:r>
      <w:r>
        <w:rPr>
          <w:spacing w:val="16"/>
          <w:sz w:val="14"/>
        </w:rPr>
        <w:t> </w:t>
      </w:r>
      <w:r>
        <w:rPr>
          <w:sz w:val="14"/>
        </w:rPr>
        <w:t>June</w:t>
      </w:r>
      <w:r>
        <w:rPr>
          <w:spacing w:val="16"/>
          <w:sz w:val="14"/>
        </w:rPr>
        <w:t> </w:t>
      </w:r>
      <w:r>
        <w:rPr>
          <w:sz w:val="14"/>
        </w:rPr>
        <w:t>30,</w:t>
      </w:r>
      <w:r>
        <w:rPr>
          <w:spacing w:val="16"/>
          <w:sz w:val="14"/>
        </w:rPr>
        <w:t> </w:t>
      </w:r>
      <w:r>
        <w:rPr>
          <w:sz w:val="14"/>
        </w:rPr>
        <w:t>2022)</w:t>
      </w:r>
      <w:r>
        <w:rPr>
          <w:spacing w:val="16"/>
          <w:sz w:val="14"/>
        </w:rPr>
        <w:t> </w:t>
      </w:r>
      <w:r>
        <w:rPr>
          <w:sz w:val="14"/>
        </w:rPr>
        <w:t>was</w:t>
      </w:r>
      <w:r>
        <w:rPr>
          <w:spacing w:val="16"/>
          <w:sz w:val="14"/>
        </w:rPr>
        <w:t> </w:t>
      </w:r>
      <w:r>
        <w:rPr>
          <w:sz w:val="14"/>
        </w:rPr>
        <w:t>$8.2</w:t>
      </w:r>
      <w:r>
        <w:rPr>
          <w:spacing w:val="16"/>
          <w:sz w:val="14"/>
        </w:rPr>
        <w:t> </w:t>
      </w:r>
      <w:r>
        <w:rPr>
          <w:sz w:val="14"/>
        </w:rPr>
        <w:t>billion.</w:t>
      </w:r>
      <w:r>
        <w:rPr>
          <w:spacing w:val="16"/>
          <w:sz w:val="14"/>
        </w:rPr>
        <w:t> </w:t>
      </w:r>
      <w:r>
        <w:rPr>
          <w:sz w:val="14"/>
        </w:rPr>
        <w:t>Shares</w:t>
      </w:r>
      <w:r>
        <w:rPr>
          <w:spacing w:val="16"/>
          <w:sz w:val="14"/>
        </w:rPr>
        <w:t> </w:t>
      </w:r>
      <w:r>
        <w:rPr>
          <w:sz w:val="14"/>
        </w:rPr>
        <w:t>of</w:t>
      </w:r>
      <w:r>
        <w:rPr>
          <w:spacing w:val="16"/>
          <w:sz w:val="14"/>
        </w:rPr>
        <w:t> </w:t>
      </w:r>
      <w:r>
        <w:rPr>
          <w:sz w:val="14"/>
        </w:rPr>
        <w:t>common</w:t>
      </w:r>
      <w:r>
        <w:rPr>
          <w:spacing w:val="16"/>
          <w:sz w:val="14"/>
        </w:rPr>
        <w:t> </w:t>
      </w:r>
      <w:r>
        <w:rPr>
          <w:sz w:val="14"/>
        </w:rPr>
        <w:t>stock</w:t>
      </w:r>
      <w:r>
        <w:rPr>
          <w:spacing w:val="16"/>
          <w:sz w:val="14"/>
        </w:rPr>
        <w:t> </w:t>
      </w:r>
      <w:r>
        <w:rPr>
          <w:sz w:val="14"/>
        </w:rPr>
        <w:t>held</w:t>
      </w:r>
      <w:r>
        <w:rPr>
          <w:spacing w:val="16"/>
          <w:sz w:val="14"/>
        </w:rPr>
        <w:t> </w:t>
      </w:r>
      <w:r>
        <w:rPr>
          <w:sz w:val="14"/>
        </w:rPr>
        <w:t>by</w:t>
      </w:r>
      <w:r>
        <w:rPr>
          <w:spacing w:val="16"/>
          <w:sz w:val="14"/>
        </w:rPr>
        <w:t> </w:t>
      </w:r>
      <w:r>
        <w:rPr>
          <w:sz w:val="14"/>
        </w:rPr>
        <w:t>each</w:t>
      </w:r>
      <w:r>
        <w:rPr>
          <w:spacing w:val="16"/>
          <w:sz w:val="14"/>
        </w:rPr>
        <w:t> </w:t>
      </w:r>
      <w:r>
        <w:rPr>
          <w:sz w:val="14"/>
        </w:rPr>
        <w:t>officer</w:t>
      </w:r>
      <w:r>
        <w:rPr>
          <w:spacing w:val="16"/>
          <w:sz w:val="14"/>
        </w:rPr>
        <w:t> </w:t>
      </w:r>
      <w:r>
        <w:rPr>
          <w:sz w:val="14"/>
        </w:rPr>
        <w:t>and</w:t>
      </w:r>
      <w:r>
        <w:rPr>
          <w:spacing w:val="16"/>
          <w:sz w:val="14"/>
        </w:rPr>
        <w:t> </w:t>
      </w:r>
      <w:r>
        <w:rPr>
          <w:sz w:val="14"/>
        </w:rPr>
        <w:t>director</w:t>
      </w:r>
      <w:r>
        <w:rPr>
          <w:spacing w:val="16"/>
          <w:sz w:val="14"/>
        </w:rPr>
        <w:t> </w:t>
      </w:r>
      <w:r>
        <w:rPr>
          <w:sz w:val="14"/>
        </w:rPr>
        <w:t>and</w:t>
      </w:r>
      <w:r>
        <w:rPr>
          <w:spacing w:val="16"/>
          <w:sz w:val="14"/>
        </w:rPr>
        <w:t> </w:t>
      </w:r>
      <w:r>
        <w:rPr>
          <w:sz w:val="14"/>
        </w:rPr>
        <w:t>by</w:t>
      </w:r>
      <w:r>
        <w:rPr>
          <w:spacing w:val="16"/>
          <w:sz w:val="14"/>
        </w:rPr>
        <w:t> </w:t>
      </w:r>
      <w:r>
        <w:rPr>
          <w:sz w:val="14"/>
        </w:rPr>
        <w:t>each</w:t>
      </w:r>
      <w:r>
        <w:rPr>
          <w:spacing w:val="16"/>
          <w:sz w:val="14"/>
        </w:rPr>
        <w:t> </w:t>
      </w:r>
      <w:r>
        <w:rPr>
          <w:sz w:val="14"/>
        </w:rPr>
        <w:t>person</w:t>
      </w:r>
      <w:r>
        <w:rPr>
          <w:spacing w:val="16"/>
          <w:sz w:val="14"/>
        </w:rPr>
        <w:t> </w:t>
      </w:r>
      <w:r>
        <w:rPr>
          <w:sz w:val="14"/>
        </w:rPr>
        <w:t>who</w:t>
      </w:r>
      <w:r>
        <w:rPr>
          <w:spacing w:val="16"/>
          <w:sz w:val="14"/>
        </w:rPr>
        <w:t> </w:t>
      </w:r>
      <w:r>
        <w:rPr>
          <w:sz w:val="14"/>
        </w:rPr>
        <w:t>owns</w:t>
      </w:r>
      <w:r>
        <w:rPr>
          <w:spacing w:val="16"/>
          <w:sz w:val="14"/>
        </w:rPr>
        <w:t> </w:t>
      </w:r>
      <w:r>
        <w:rPr>
          <w:sz w:val="14"/>
        </w:rPr>
        <w:t>10%</w:t>
      </w:r>
      <w:r>
        <w:rPr>
          <w:spacing w:val="16"/>
          <w:sz w:val="14"/>
        </w:rPr>
        <w:t> </w:t>
      </w:r>
      <w:r>
        <w:rPr>
          <w:sz w:val="14"/>
        </w:rPr>
        <w:t>or</w:t>
      </w:r>
      <w:r>
        <w:rPr>
          <w:spacing w:val="16"/>
          <w:sz w:val="14"/>
        </w:rPr>
        <w:t> </w:t>
      </w:r>
      <w:r>
        <w:rPr>
          <w:sz w:val="14"/>
        </w:rPr>
        <w:t>more</w:t>
      </w:r>
      <w:r>
        <w:rPr>
          <w:spacing w:val="16"/>
          <w:sz w:val="14"/>
        </w:rPr>
        <w:t> </w:t>
      </w:r>
      <w:r>
        <w:rPr>
          <w:sz w:val="14"/>
        </w:rPr>
        <w:t>of</w:t>
      </w:r>
      <w:r>
        <w:rPr>
          <w:spacing w:val="16"/>
          <w:sz w:val="14"/>
        </w:rPr>
        <w:t> </w:t>
      </w:r>
      <w:r>
        <w:rPr>
          <w:sz w:val="14"/>
        </w:rPr>
        <w:t>the</w:t>
      </w:r>
      <w:r>
        <w:rPr>
          <w:spacing w:val="16"/>
          <w:sz w:val="14"/>
        </w:rPr>
        <w:t> </w:t>
      </w:r>
      <w:r>
        <w:rPr>
          <w:sz w:val="14"/>
        </w:rPr>
        <w:t>outstanding</w:t>
      </w:r>
      <w:r>
        <w:rPr>
          <w:spacing w:val="16"/>
          <w:sz w:val="14"/>
        </w:rPr>
        <w:t> </w:t>
      </w:r>
      <w:r>
        <w:rPr>
          <w:sz w:val="14"/>
        </w:rPr>
        <w:t>common</w:t>
      </w:r>
      <w:r>
        <w:rPr>
          <w:spacing w:val="16"/>
          <w:sz w:val="14"/>
        </w:rPr>
        <w:t> </w:t>
      </w:r>
      <w:r>
        <w:rPr>
          <w:sz w:val="14"/>
        </w:rPr>
        <w:t>shares</w:t>
      </w:r>
      <w:r>
        <w:rPr>
          <w:spacing w:val="16"/>
          <w:sz w:val="14"/>
        </w:rPr>
        <w:t> </w:t>
      </w:r>
      <w:r>
        <w:rPr>
          <w:sz w:val="14"/>
        </w:rPr>
        <w:t>have</w:t>
      </w:r>
      <w:r>
        <w:rPr>
          <w:spacing w:val="40"/>
          <w:sz w:val="14"/>
        </w:rPr>
        <w:t> </w:t>
      </w:r>
      <w:r>
        <w:rPr>
          <w:sz w:val="14"/>
        </w:rPr>
        <w:t>been</w:t>
      </w:r>
      <w:r>
        <w:rPr>
          <w:spacing w:val="17"/>
          <w:sz w:val="14"/>
        </w:rPr>
        <w:t> </w:t>
      </w:r>
      <w:r>
        <w:rPr>
          <w:sz w:val="14"/>
        </w:rPr>
        <w:t>excluded. As</w:t>
      </w:r>
      <w:r>
        <w:rPr>
          <w:spacing w:val="17"/>
          <w:sz w:val="14"/>
        </w:rPr>
        <w:t> </w:t>
      </w:r>
      <w:r>
        <w:rPr>
          <w:sz w:val="14"/>
        </w:rPr>
        <w:t>of</w:t>
      </w:r>
      <w:r>
        <w:rPr>
          <w:spacing w:val="17"/>
          <w:sz w:val="14"/>
        </w:rPr>
        <w:t> </w:t>
      </w:r>
      <w:r>
        <w:rPr>
          <w:sz w:val="14"/>
        </w:rPr>
        <w:t>February</w:t>
      </w:r>
      <w:r>
        <w:rPr>
          <w:spacing w:val="17"/>
          <w:sz w:val="14"/>
        </w:rPr>
        <w:t> </w:t>
      </w:r>
      <w:r>
        <w:rPr>
          <w:sz w:val="14"/>
        </w:rPr>
        <w:t>22,</w:t>
      </w:r>
      <w:r>
        <w:rPr>
          <w:spacing w:val="17"/>
          <w:sz w:val="14"/>
        </w:rPr>
        <w:t> </w:t>
      </w:r>
      <w:r>
        <w:rPr>
          <w:sz w:val="14"/>
        </w:rPr>
        <w:t>2023,</w:t>
      </w:r>
      <w:r>
        <w:rPr>
          <w:spacing w:val="17"/>
          <w:sz w:val="14"/>
        </w:rPr>
        <w:t> </w:t>
      </w:r>
      <w:r>
        <w:rPr>
          <w:sz w:val="14"/>
        </w:rPr>
        <w:t>373,913,450</w:t>
      </w:r>
      <w:r>
        <w:rPr>
          <w:spacing w:val="17"/>
          <w:sz w:val="14"/>
        </w:rPr>
        <w:t> </w:t>
      </w:r>
      <w:r>
        <w:rPr>
          <w:sz w:val="14"/>
        </w:rPr>
        <w:t>shares</w:t>
      </w:r>
      <w:r>
        <w:rPr>
          <w:spacing w:val="17"/>
          <w:sz w:val="14"/>
        </w:rPr>
        <w:t> </w:t>
      </w:r>
      <w:r>
        <w:rPr>
          <w:sz w:val="14"/>
        </w:rPr>
        <w:t>of</w:t>
      </w:r>
      <w:r>
        <w:rPr>
          <w:spacing w:val="17"/>
          <w:sz w:val="14"/>
        </w:rPr>
        <w:t> </w:t>
      </w:r>
      <w:r>
        <w:rPr>
          <w:sz w:val="14"/>
        </w:rPr>
        <w:t>Registrant’s</w:t>
      </w:r>
      <w:r>
        <w:rPr>
          <w:spacing w:val="17"/>
          <w:sz w:val="14"/>
        </w:rPr>
        <w:t> </w:t>
      </w:r>
      <w:r>
        <w:rPr>
          <w:sz w:val="14"/>
        </w:rPr>
        <w:t>Common</w:t>
      </w:r>
      <w:r>
        <w:rPr>
          <w:spacing w:val="17"/>
          <w:sz w:val="14"/>
        </w:rPr>
        <w:t> </w:t>
      </w:r>
      <w:r>
        <w:rPr>
          <w:sz w:val="14"/>
        </w:rPr>
        <w:t>Stock,</w:t>
      </w:r>
      <w:r>
        <w:rPr>
          <w:spacing w:val="17"/>
          <w:sz w:val="14"/>
        </w:rPr>
        <w:t> </w:t>
      </w:r>
      <w:r>
        <w:rPr>
          <w:sz w:val="14"/>
        </w:rPr>
        <w:t>$0.01</w:t>
      </w:r>
      <w:r>
        <w:rPr>
          <w:spacing w:val="17"/>
          <w:sz w:val="14"/>
        </w:rPr>
        <w:t> </w:t>
      </w:r>
      <w:r>
        <w:rPr>
          <w:sz w:val="14"/>
        </w:rPr>
        <w:t>par</w:t>
      </w:r>
      <w:r>
        <w:rPr>
          <w:spacing w:val="17"/>
          <w:sz w:val="14"/>
        </w:rPr>
        <w:t> </w:t>
      </w:r>
      <w:r>
        <w:rPr>
          <w:sz w:val="14"/>
        </w:rPr>
        <w:t>value,</w:t>
      </w:r>
      <w:r>
        <w:rPr>
          <w:spacing w:val="17"/>
          <w:sz w:val="14"/>
        </w:rPr>
        <w:t> </w:t>
      </w:r>
      <w:r>
        <w:rPr>
          <w:sz w:val="14"/>
        </w:rPr>
        <w:t>were</w:t>
      </w:r>
      <w:r>
        <w:rPr>
          <w:spacing w:val="17"/>
          <w:sz w:val="14"/>
        </w:rPr>
        <w:t> </w:t>
      </w:r>
      <w:r>
        <w:rPr>
          <w:sz w:val="14"/>
        </w:rPr>
        <w:t>outstanding.</w:t>
      </w:r>
    </w:p>
    <w:p>
      <w:pPr>
        <w:spacing w:line="153" w:lineRule="exact" w:before="0"/>
        <w:ind w:left="524" w:right="0" w:firstLine="0"/>
        <w:jc w:val="center"/>
        <w:rPr>
          <w:b/>
          <w:sz w:val="14"/>
        </w:rPr>
      </w:pPr>
      <w:r>
        <w:rPr>
          <w:b/>
          <w:sz w:val="14"/>
        </w:rPr>
        <w:t>DOCUMENTS</w:t>
      </w:r>
      <w:r>
        <w:rPr>
          <w:b/>
          <w:spacing w:val="11"/>
          <w:sz w:val="14"/>
        </w:rPr>
        <w:t> </w:t>
      </w:r>
      <w:r>
        <w:rPr>
          <w:b/>
          <w:sz w:val="14"/>
        </w:rPr>
        <w:t>INCORPORATED</w:t>
      </w:r>
      <w:r>
        <w:rPr>
          <w:b/>
          <w:spacing w:val="12"/>
          <w:sz w:val="14"/>
        </w:rPr>
        <w:t> </w:t>
      </w:r>
      <w:r>
        <w:rPr>
          <w:b/>
          <w:sz w:val="14"/>
        </w:rPr>
        <w:t>BY</w:t>
      </w:r>
      <w:r>
        <w:rPr>
          <w:b/>
          <w:spacing w:val="6"/>
          <w:sz w:val="14"/>
        </w:rPr>
        <w:t> </w:t>
      </w:r>
      <w:r>
        <w:rPr>
          <w:b/>
          <w:spacing w:val="-2"/>
          <w:sz w:val="14"/>
        </w:rPr>
        <w:t>REFERENCE</w:t>
      </w:r>
    </w:p>
    <w:p>
      <w:pPr>
        <w:pStyle w:val="BodyText"/>
        <w:spacing w:before="53"/>
        <w:rPr>
          <w:b/>
          <w:sz w:val="14"/>
        </w:rPr>
      </w:pPr>
    </w:p>
    <w:p>
      <w:pPr>
        <w:spacing w:before="1"/>
        <w:ind w:left="644" w:right="0" w:firstLine="0"/>
        <w:jc w:val="left"/>
        <w:rPr>
          <w:sz w:val="14"/>
        </w:rPr>
      </w:pPr>
      <w:r>
        <w:rPr>
          <w:sz w:val="14"/>
        </w:rPr>
        <w:t>Portions</w:t>
      </w:r>
      <w:r>
        <w:rPr>
          <w:spacing w:val="6"/>
          <w:sz w:val="14"/>
        </w:rPr>
        <w:t> </w:t>
      </w:r>
      <w:r>
        <w:rPr>
          <w:sz w:val="14"/>
        </w:rPr>
        <w:t>of</w:t>
      </w:r>
      <w:r>
        <w:rPr>
          <w:spacing w:val="6"/>
          <w:sz w:val="14"/>
        </w:rPr>
        <w:t> </w:t>
      </w:r>
      <w:r>
        <w:rPr>
          <w:sz w:val="14"/>
        </w:rPr>
        <w:t>the</w:t>
      </w:r>
      <w:r>
        <w:rPr>
          <w:spacing w:val="7"/>
          <w:sz w:val="14"/>
        </w:rPr>
        <w:t> </w:t>
      </w:r>
      <w:r>
        <w:rPr>
          <w:sz w:val="14"/>
        </w:rPr>
        <w:t>Registrant’s</w:t>
      </w:r>
      <w:r>
        <w:rPr>
          <w:spacing w:val="6"/>
          <w:sz w:val="14"/>
        </w:rPr>
        <w:t> </w:t>
      </w:r>
      <w:r>
        <w:rPr>
          <w:sz w:val="14"/>
        </w:rPr>
        <w:t>definitive</w:t>
      </w:r>
      <w:r>
        <w:rPr>
          <w:spacing w:val="7"/>
          <w:sz w:val="14"/>
        </w:rPr>
        <w:t> </w:t>
      </w:r>
      <w:r>
        <w:rPr>
          <w:sz w:val="14"/>
        </w:rPr>
        <w:t>Proxy</w:t>
      </w:r>
      <w:r>
        <w:rPr>
          <w:spacing w:val="6"/>
          <w:sz w:val="14"/>
        </w:rPr>
        <w:t> </w:t>
      </w:r>
      <w:r>
        <w:rPr>
          <w:sz w:val="14"/>
        </w:rPr>
        <w:t>Statement</w:t>
      </w:r>
      <w:r>
        <w:rPr>
          <w:spacing w:val="7"/>
          <w:sz w:val="14"/>
        </w:rPr>
        <w:t> </w:t>
      </w:r>
      <w:r>
        <w:rPr>
          <w:sz w:val="14"/>
        </w:rPr>
        <w:t>for</w:t>
      </w:r>
      <w:r>
        <w:rPr>
          <w:spacing w:val="6"/>
          <w:sz w:val="14"/>
        </w:rPr>
        <w:t> </w:t>
      </w:r>
      <w:r>
        <w:rPr>
          <w:sz w:val="14"/>
        </w:rPr>
        <w:t>its</w:t>
      </w:r>
      <w:r>
        <w:rPr>
          <w:spacing w:val="7"/>
          <w:sz w:val="14"/>
        </w:rPr>
        <w:t> </w:t>
      </w:r>
      <w:r>
        <w:rPr>
          <w:sz w:val="14"/>
        </w:rPr>
        <w:t>2023</w:t>
      </w:r>
      <w:r>
        <w:rPr>
          <w:spacing w:val="-2"/>
          <w:sz w:val="14"/>
        </w:rPr>
        <w:t> </w:t>
      </w:r>
      <w:r>
        <w:rPr>
          <w:sz w:val="14"/>
        </w:rPr>
        <w:t>Annual</w:t>
      </w:r>
      <w:r>
        <w:rPr>
          <w:spacing w:val="6"/>
          <w:sz w:val="14"/>
        </w:rPr>
        <w:t> </w:t>
      </w:r>
      <w:r>
        <w:rPr>
          <w:sz w:val="14"/>
        </w:rPr>
        <w:t>Meeting</w:t>
      </w:r>
      <w:r>
        <w:rPr>
          <w:spacing w:val="7"/>
          <w:sz w:val="14"/>
        </w:rPr>
        <w:t> </w:t>
      </w:r>
      <w:r>
        <w:rPr>
          <w:sz w:val="14"/>
        </w:rPr>
        <w:t>of</w:t>
      </w:r>
      <w:r>
        <w:rPr>
          <w:spacing w:val="6"/>
          <w:sz w:val="14"/>
        </w:rPr>
        <w:t> </w:t>
      </w:r>
      <w:r>
        <w:rPr>
          <w:sz w:val="14"/>
        </w:rPr>
        <w:t>Stockholders</w:t>
      </w:r>
      <w:r>
        <w:rPr>
          <w:spacing w:val="7"/>
          <w:sz w:val="14"/>
        </w:rPr>
        <w:t> </w:t>
      </w:r>
      <w:r>
        <w:rPr>
          <w:sz w:val="14"/>
        </w:rPr>
        <w:t>are</w:t>
      </w:r>
      <w:r>
        <w:rPr>
          <w:spacing w:val="6"/>
          <w:sz w:val="14"/>
        </w:rPr>
        <w:t> </w:t>
      </w:r>
      <w:r>
        <w:rPr>
          <w:sz w:val="14"/>
        </w:rPr>
        <w:t>incorporated</w:t>
      </w:r>
      <w:r>
        <w:rPr>
          <w:spacing w:val="7"/>
          <w:sz w:val="14"/>
        </w:rPr>
        <w:t> </w:t>
      </w:r>
      <w:r>
        <w:rPr>
          <w:sz w:val="14"/>
        </w:rPr>
        <w:t>by</w:t>
      </w:r>
      <w:r>
        <w:rPr>
          <w:spacing w:val="6"/>
          <w:sz w:val="14"/>
        </w:rPr>
        <w:t> </w:t>
      </w:r>
      <w:r>
        <w:rPr>
          <w:sz w:val="14"/>
        </w:rPr>
        <w:t>reference</w:t>
      </w:r>
      <w:r>
        <w:rPr>
          <w:spacing w:val="7"/>
          <w:sz w:val="14"/>
        </w:rPr>
        <w:t> </w:t>
      </w:r>
      <w:r>
        <w:rPr>
          <w:sz w:val="14"/>
        </w:rPr>
        <w:t>into</w:t>
      </w:r>
      <w:r>
        <w:rPr>
          <w:spacing w:val="6"/>
          <w:sz w:val="14"/>
        </w:rPr>
        <w:t> </w:t>
      </w:r>
      <w:r>
        <w:rPr>
          <w:sz w:val="14"/>
        </w:rPr>
        <w:t>Part</w:t>
      </w:r>
      <w:r>
        <w:rPr>
          <w:spacing w:val="7"/>
          <w:sz w:val="14"/>
        </w:rPr>
        <w:t> </w:t>
      </w:r>
      <w:r>
        <w:rPr>
          <w:sz w:val="14"/>
        </w:rPr>
        <w:t>III</w:t>
      </w:r>
      <w:r>
        <w:rPr>
          <w:spacing w:val="6"/>
          <w:sz w:val="14"/>
        </w:rPr>
        <w:t> </w:t>
      </w:r>
      <w:r>
        <w:rPr>
          <w:sz w:val="14"/>
        </w:rPr>
        <w:t>of</w:t>
      </w:r>
      <w:r>
        <w:rPr>
          <w:spacing w:val="6"/>
          <w:sz w:val="14"/>
        </w:rPr>
        <w:t> </w:t>
      </w:r>
      <w:r>
        <w:rPr>
          <w:sz w:val="14"/>
        </w:rPr>
        <w:t>this</w:t>
      </w:r>
      <w:r>
        <w:rPr>
          <w:spacing w:val="7"/>
          <w:sz w:val="14"/>
        </w:rPr>
        <w:t> </w:t>
      </w:r>
      <w:r>
        <w:rPr>
          <w:sz w:val="14"/>
        </w:rPr>
        <w:t>Form</w:t>
      </w:r>
      <w:r>
        <w:rPr>
          <w:spacing w:val="6"/>
          <w:sz w:val="14"/>
        </w:rPr>
        <w:t> </w:t>
      </w:r>
      <w:r>
        <w:rPr>
          <w:sz w:val="14"/>
        </w:rPr>
        <w:t>10-</w:t>
      </w:r>
      <w:r>
        <w:rPr>
          <w:spacing w:val="-5"/>
          <w:sz w:val="14"/>
        </w:rPr>
        <w:t>K.</w:t>
      </w:r>
    </w:p>
    <w:p>
      <w:pPr>
        <w:pStyle w:val="BodyText"/>
        <w:spacing w:before="9"/>
        <w:rPr>
          <w:sz w:val="5"/>
        </w:rPr>
      </w:pPr>
      <w:r>
        <w:rPr/>
        <mc:AlternateContent>
          <mc:Choice Requires="wps">
            <w:drawing>
              <wp:anchor distT="0" distB="0" distL="0" distR="0" allowOverlap="1" layoutInCell="1" locked="0" behindDoc="1" simplePos="0" relativeHeight="487590912">
                <wp:simplePos x="0" y="0"/>
                <wp:positionH relativeFrom="page">
                  <wp:posOffset>231444</wp:posOffset>
                </wp:positionH>
                <wp:positionV relativeFrom="paragraph">
                  <wp:posOffset>57906</wp:posOffset>
                </wp:positionV>
                <wp:extent cx="7312659" cy="889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7312659" cy="8890"/>
                        </a:xfrm>
                        <a:custGeom>
                          <a:avLst/>
                          <a:gdLst/>
                          <a:ahLst/>
                          <a:cxnLst/>
                          <a:rect l="l" t="t" r="r" b="b"/>
                          <a:pathLst>
                            <a:path w="7312659" h="8890">
                              <a:moveTo>
                                <a:pt x="7312342" y="0"/>
                              </a:moveTo>
                              <a:lnTo>
                                <a:pt x="7295197" y="0"/>
                              </a:lnTo>
                              <a:lnTo>
                                <a:pt x="77152" y="0"/>
                              </a:lnTo>
                              <a:lnTo>
                                <a:pt x="0" y="0"/>
                              </a:lnTo>
                              <a:lnTo>
                                <a:pt x="0" y="8572"/>
                              </a:lnTo>
                              <a:lnTo>
                                <a:pt x="77152" y="8572"/>
                              </a:lnTo>
                              <a:lnTo>
                                <a:pt x="7295197"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4.559528pt;width:575.8pt;height:.7pt;mso-position-horizontal-relative:page;mso-position-vertical-relative:paragraph;z-index:-15725568;mso-wrap-distance-left:0;mso-wrap-distance-right:0" id="docshape10" coordorigin="364,91" coordsize="11516,14" path="m11880,91l11853,91,486,91,364,91,364,105,486,105,11853,105,11880,105,11880,9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231444</wp:posOffset>
                </wp:positionH>
                <wp:positionV relativeFrom="paragraph">
                  <wp:posOffset>143631</wp:posOffset>
                </wp:positionV>
                <wp:extent cx="7312659" cy="26034"/>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7312659" cy="26034"/>
                        </a:xfrm>
                        <a:custGeom>
                          <a:avLst/>
                          <a:gdLst/>
                          <a:ahLst/>
                          <a:cxnLst/>
                          <a:rect l="l" t="t" r="r" b="b"/>
                          <a:pathLst>
                            <a:path w="7312659" h="26034">
                              <a:moveTo>
                                <a:pt x="7312342" y="0"/>
                              </a:moveTo>
                              <a:lnTo>
                                <a:pt x="7295197" y="0"/>
                              </a:lnTo>
                              <a:lnTo>
                                <a:pt x="77152" y="0"/>
                              </a:lnTo>
                              <a:lnTo>
                                <a:pt x="0" y="0"/>
                              </a:lnTo>
                              <a:lnTo>
                                <a:pt x="0" y="25717"/>
                              </a:lnTo>
                              <a:lnTo>
                                <a:pt x="77152" y="25717"/>
                              </a:lnTo>
                              <a:lnTo>
                                <a:pt x="7295197" y="25717"/>
                              </a:lnTo>
                              <a:lnTo>
                                <a:pt x="7312342" y="2571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1.309528pt;width:575.8pt;height:2.050pt;mso-position-horizontal-relative:page;mso-position-vertical-relative:paragraph;z-index:-15725056;mso-wrap-distance-left:0;mso-wrap-distance-right:0" id="docshape11" coordorigin="364,226" coordsize="11516,41" path="m11880,226l11853,226,486,226,364,226,364,267,486,267,11853,267,11880,267,11880,226xe" filled="true" fillcolor="#000000" stroked="false">
                <v:path arrowok="t"/>
                <v:fill type="solid"/>
                <w10:wrap type="topAndBottom"/>
              </v:shape>
            </w:pict>
          </mc:Fallback>
        </mc:AlternateContent>
      </w:r>
    </w:p>
    <w:p>
      <w:pPr>
        <w:pStyle w:val="BodyText"/>
        <w:spacing w:before="5"/>
        <w:rPr>
          <w:sz w:val="8"/>
        </w:rPr>
      </w:pPr>
    </w:p>
    <w:p>
      <w:pPr>
        <w:pStyle w:val="BodyText"/>
        <w:rPr>
          <w:sz w:val="20"/>
        </w:rPr>
      </w:pPr>
    </w:p>
    <w:p>
      <w:pPr>
        <w:pStyle w:val="BodyText"/>
        <w:rPr>
          <w:sz w:val="20"/>
        </w:rPr>
      </w:pPr>
    </w:p>
    <w:p>
      <w:pPr>
        <w:pStyle w:val="BodyText"/>
        <w:spacing w:before="163"/>
        <w:rPr>
          <w:sz w:val="20"/>
        </w:rPr>
      </w:pPr>
      <w:r>
        <w:rPr/>
        <mc:AlternateContent>
          <mc:Choice Requires="wps">
            <w:drawing>
              <wp:anchor distT="0" distB="0" distL="0" distR="0" allowOverlap="1" layoutInCell="1" locked="0" behindDoc="1" simplePos="0" relativeHeight="487591936">
                <wp:simplePos x="0" y="0"/>
                <wp:positionH relativeFrom="page">
                  <wp:posOffset>231457</wp:posOffset>
                </wp:positionH>
                <wp:positionV relativeFrom="paragraph">
                  <wp:posOffset>264782</wp:posOffset>
                </wp:positionV>
                <wp:extent cx="7312659" cy="171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7312659" cy="17145"/>
                          <a:chExt cx="7312659" cy="17145"/>
                        </a:xfrm>
                      </wpg:grpSpPr>
                      <wps:wsp>
                        <wps:cNvPr id="14" name="Graphic 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5" name="Graphic 15"/>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6" name="Graphic 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0.849024pt;width:575.8pt;height:1.35pt;mso-position-horizontal-relative:page;mso-position-vertical-relative:paragraph;z-index:-15724544;mso-wrap-distance-left:0;mso-wrap-distance-right:0" id="docshapegroup12" coordorigin="364,417" coordsize="11516,27">
                <v:rect style="position:absolute;left:364;top:416;width:11516;height:14" id="docshape13" filled="true" fillcolor="#999999" stroked="false">
                  <v:fill type="solid"/>
                </v:rect>
                <v:shape style="position:absolute;left:364;top:416;width:11516;height:27" id="docshape14" coordorigin="364,417" coordsize="11516,27" path="m11880,417l11866,430,364,430,364,444,11866,444,11880,444,11880,430,11880,417xe" filled="true" fillcolor="#ededed" stroked="false">
                  <v:path arrowok="t"/>
                  <v:fill type="solid"/>
                </v:shape>
                <v:shape style="position:absolute;left:364;top:416;width:14;height:27" id="docshape15" coordorigin="364,417" coordsize="14,27" path="m364,444l364,417,378,417,378,430,364,444xe" filled="true" fillcolor="#999999" stroked="false">
                  <v:path arrowok="t"/>
                  <v:fill type="solid"/>
                </v:shape>
                <w10:wrap type="topAndBottom"/>
              </v:group>
            </w:pict>
          </mc:Fallback>
        </mc:AlternateContent>
      </w:r>
    </w:p>
    <w:p>
      <w:pPr>
        <w:spacing w:after="0"/>
        <w:rPr>
          <w:sz w:val="20"/>
        </w:rPr>
        <w:sectPr>
          <w:type w:val="continuous"/>
          <w:pgSz w:w="12240" w:h="15840"/>
          <w:pgMar w:top="1040" w:bottom="280" w:left="220" w:right="2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3554"/>
        <w:gridCol w:w="5610"/>
        <w:gridCol w:w="1525"/>
      </w:tblGrid>
      <w:tr>
        <w:trPr>
          <w:trHeight w:val="223" w:hRule="atLeast"/>
        </w:trPr>
        <w:tc>
          <w:tcPr>
            <w:tcW w:w="4411" w:type="dxa"/>
            <w:gridSpan w:val="2"/>
            <w:vMerge w:val="restart"/>
          </w:tcPr>
          <w:p>
            <w:pPr>
              <w:pStyle w:val="TableParagraph"/>
              <w:spacing w:before="0"/>
              <w:rPr>
                <w:sz w:val="16"/>
              </w:rPr>
            </w:pPr>
          </w:p>
        </w:tc>
        <w:tc>
          <w:tcPr>
            <w:tcW w:w="5610" w:type="dxa"/>
          </w:tcPr>
          <w:p>
            <w:pPr>
              <w:pStyle w:val="TableParagraph"/>
              <w:spacing w:line="199" w:lineRule="exact" w:before="0"/>
              <w:ind w:right="2850"/>
              <w:jc w:val="center"/>
              <w:rPr>
                <w:b/>
                <w:sz w:val="18"/>
              </w:rPr>
            </w:pPr>
            <w:r>
              <w:rPr>
                <w:b/>
                <w:sz w:val="18"/>
              </w:rPr>
              <w:t>TABLE</w:t>
            </w:r>
            <w:r>
              <w:rPr>
                <w:b/>
                <w:spacing w:val="-11"/>
                <w:sz w:val="18"/>
              </w:rPr>
              <w:t> </w:t>
            </w:r>
            <w:r>
              <w:rPr>
                <w:b/>
                <w:sz w:val="18"/>
              </w:rPr>
              <w:t>OF</w:t>
            </w:r>
            <w:r>
              <w:rPr>
                <w:b/>
                <w:spacing w:val="-11"/>
                <w:sz w:val="18"/>
              </w:rPr>
              <w:t> </w:t>
            </w:r>
            <w:r>
              <w:rPr>
                <w:b/>
                <w:spacing w:val="-2"/>
                <w:sz w:val="18"/>
              </w:rPr>
              <w:t>CONTENTS</w:t>
            </w:r>
          </w:p>
        </w:tc>
        <w:tc>
          <w:tcPr>
            <w:tcW w:w="1525" w:type="dxa"/>
          </w:tcPr>
          <w:p>
            <w:pPr>
              <w:pStyle w:val="TableParagraph"/>
              <w:spacing w:before="0"/>
              <w:rPr>
                <w:sz w:val="14"/>
              </w:rPr>
            </w:pPr>
          </w:p>
        </w:tc>
      </w:tr>
      <w:tr>
        <w:trPr>
          <w:trHeight w:val="219" w:hRule="atLeast"/>
        </w:trPr>
        <w:tc>
          <w:tcPr>
            <w:tcW w:w="4411" w:type="dxa"/>
            <w:gridSpan w:val="2"/>
            <w:vMerge/>
            <w:tcBorders>
              <w:top w:val="nil"/>
            </w:tcBorders>
          </w:tcPr>
          <w:p>
            <w:pPr>
              <w:rPr>
                <w:sz w:val="2"/>
                <w:szCs w:val="2"/>
              </w:rPr>
            </w:pPr>
          </w:p>
        </w:tc>
        <w:tc>
          <w:tcPr>
            <w:tcW w:w="5610" w:type="dxa"/>
          </w:tcPr>
          <w:p>
            <w:pPr>
              <w:pStyle w:val="TableParagraph"/>
              <w:spacing w:before="0"/>
              <w:rPr>
                <w:sz w:val="14"/>
              </w:rPr>
            </w:pPr>
          </w:p>
        </w:tc>
        <w:tc>
          <w:tcPr>
            <w:tcW w:w="1525" w:type="dxa"/>
            <w:tcBorders>
              <w:bottom w:val="single" w:sz="6" w:space="0" w:color="000000"/>
            </w:tcBorders>
          </w:tcPr>
          <w:p>
            <w:pPr>
              <w:pStyle w:val="TableParagraph"/>
              <w:spacing w:before="22"/>
              <w:ind w:left="3" w:right="4"/>
              <w:jc w:val="center"/>
              <w:rPr>
                <w:b/>
                <w:sz w:val="14"/>
              </w:rPr>
            </w:pPr>
            <w:r>
              <w:rPr>
                <w:b/>
                <w:spacing w:val="-4"/>
                <w:sz w:val="14"/>
              </w:rPr>
              <w:t>Page</w:t>
            </w:r>
          </w:p>
        </w:tc>
      </w:tr>
      <w:tr>
        <w:trPr>
          <w:trHeight w:val="262" w:hRule="atLeast"/>
        </w:trPr>
        <w:tc>
          <w:tcPr>
            <w:tcW w:w="4411" w:type="dxa"/>
            <w:gridSpan w:val="2"/>
            <w:vMerge/>
            <w:tcBorders>
              <w:top w:val="nil"/>
            </w:tcBorders>
          </w:tcPr>
          <w:p>
            <w:pPr>
              <w:rPr>
                <w:sz w:val="2"/>
                <w:szCs w:val="2"/>
              </w:rPr>
            </w:pPr>
          </w:p>
        </w:tc>
        <w:tc>
          <w:tcPr>
            <w:tcW w:w="5610" w:type="dxa"/>
          </w:tcPr>
          <w:p>
            <w:pPr>
              <w:pStyle w:val="TableParagraph"/>
              <w:spacing w:before="20"/>
              <w:ind w:right="2850"/>
              <w:jc w:val="center"/>
              <w:rPr>
                <w:b/>
                <w:sz w:val="18"/>
              </w:rPr>
            </w:pPr>
            <w:r>
              <w:rPr>
                <w:b/>
                <w:spacing w:val="-5"/>
                <w:sz w:val="18"/>
              </w:rPr>
              <w:t>PART </w:t>
            </w:r>
            <w:r>
              <w:rPr>
                <w:b/>
                <w:spacing w:val="-10"/>
                <w:sz w:val="18"/>
              </w:rPr>
              <w:t>I</w:t>
            </w:r>
          </w:p>
        </w:tc>
        <w:tc>
          <w:tcPr>
            <w:tcW w:w="1525" w:type="dxa"/>
            <w:tcBorders>
              <w:top w:val="single" w:sz="6" w:space="0" w:color="000000"/>
            </w:tcBorders>
          </w:tcPr>
          <w:p>
            <w:pPr>
              <w:pStyle w:val="TableParagraph"/>
              <w:spacing w:before="0"/>
              <w:rPr>
                <w:sz w:val="16"/>
              </w:rPr>
            </w:pPr>
          </w:p>
        </w:tc>
      </w:tr>
      <w:tr>
        <w:trPr>
          <w:trHeight w:val="263" w:hRule="atLeast"/>
        </w:trPr>
        <w:tc>
          <w:tcPr>
            <w:tcW w:w="857" w:type="dxa"/>
          </w:tcPr>
          <w:p>
            <w:pPr>
              <w:pStyle w:val="TableParagraph"/>
              <w:spacing w:before="27"/>
              <w:ind w:left="50"/>
              <w:rPr>
                <w:sz w:val="18"/>
              </w:rPr>
            </w:pPr>
            <w:r>
              <w:rPr>
                <w:sz w:val="18"/>
              </w:rPr>
              <w:t>Item</w:t>
            </w:r>
            <w:r>
              <w:rPr>
                <w:spacing w:val="-1"/>
                <w:sz w:val="18"/>
              </w:rPr>
              <w:t> </w:t>
            </w:r>
            <w:r>
              <w:rPr>
                <w:spacing w:val="-5"/>
                <w:sz w:val="18"/>
              </w:rPr>
              <w:t>1.</w:t>
            </w:r>
          </w:p>
        </w:tc>
        <w:tc>
          <w:tcPr>
            <w:tcW w:w="3554" w:type="dxa"/>
          </w:tcPr>
          <w:p>
            <w:pPr>
              <w:pStyle w:val="TableParagraph"/>
              <w:spacing w:before="27"/>
              <w:ind w:left="167"/>
              <w:rPr>
                <w:sz w:val="18"/>
              </w:rPr>
            </w:pPr>
            <w:hyperlink w:history="true" w:anchor="_bookmark0">
              <w:r>
                <w:rPr>
                  <w:color w:val="0000FF"/>
                  <w:spacing w:val="-2"/>
                  <w:sz w:val="18"/>
                  <w:u w:val="single" w:color="0000FF"/>
                </w:rPr>
                <w:t>Business</w:t>
              </w:r>
            </w:hyperlink>
          </w:p>
        </w:tc>
        <w:tc>
          <w:tcPr>
            <w:tcW w:w="5610" w:type="dxa"/>
          </w:tcPr>
          <w:p>
            <w:pPr>
              <w:pStyle w:val="TableParagraph"/>
              <w:spacing w:before="0"/>
              <w:rPr>
                <w:sz w:val="16"/>
              </w:rPr>
            </w:pPr>
          </w:p>
        </w:tc>
        <w:tc>
          <w:tcPr>
            <w:tcW w:w="1525" w:type="dxa"/>
          </w:tcPr>
          <w:p>
            <w:pPr>
              <w:pStyle w:val="TableParagraph"/>
              <w:spacing w:before="27"/>
              <w:ind w:left="3" w:right="4"/>
              <w:jc w:val="center"/>
              <w:rPr>
                <w:sz w:val="18"/>
              </w:rPr>
            </w:pPr>
            <w:hyperlink w:history="true" w:anchor="_bookmark0">
              <w:r>
                <w:rPr>
                  <w:spacing w:val="-10"/>
                  <w:sz w:val="18"/>
                </w:rPr>
                <w:t>1</w:t>
              </w:r>
            </w:hyperlink>
          </w:p>
        </w:tc>
      </w:tr>
      <w:tr>
        <w:trPr>
          <w:trHeight w:val="256" w:hRule="atLeast"/>
        </w:trPr>
        <w:tc>
          <w:tcPr>
            <w:tcW w:w="857" w:type="dxa"/>
          </w:tcPr>
          <w:p>
            <w:pPr>
              <w:pStyle w:val="TableParagraph"/>
              <w:ind w:left="50"/>
              <w:rPr>
                <w:sz w:val="18"/>
              </w:rPr>
            </w:pPr>
            <w:r>
              <w:rPr>
                <w:sz w:val="18"/>
              </w:rPr>
              <w:t>Item</w:t>
            </w:r>
            <w:r>
              <w:rPr>
                <w:spacing w:val="-1"/>
                <w:sz w:val="18"/>
              </w:rPr>
              <w:t> </w:t>
            </w:r>
            <w:r>
              <w:rPr>
                <w:spacing w:val="-5"/>
                <w:sz w:val="18"/>
              </w:rPr>
              <w:t>1A.</w:t>
            </w:r>
          </w:p>
        </w:tc>
        <w:tc>
          <w:tcPr>
            <w:tcW w:w="3554" w:type="dxa"/>
          </w:tcPr>
          <w:p>
            <w:pPr>
              <w:pStyle w:val="TableParagraph"/>
              <w:ind w:left="167"/>
              <w:rPr>
                <w:sz w:val="18"/>
              </w:rPr>
            </w:pPr>
            <w:hyperlink w:history="true" w:anchor="_bookmark1">
              <w:r>
                <w:rPr>
                  <w:color w:val="0000FF"/>
                  <w:sz w:val="18"/>
                  <w:u w:val="single" w:color="0000FF"/>
                </w:rPr>
                <w:t>Risk</w:t>
              </w:r>
              <w:r>
                <w:rPr>
                  <w:color w:val="0000FF"/>
                  <w:spacing w:val="-1"/>
                  <w:sz w:val="18"/>
                  <w:u w:val="single" w:color="0000FF"/>
                </w:rPr>
                <w:t> </w:t>
              </w:r>
              <w:r>
                <w:rPr>
                  <w:color w:val="0000FF"/>
                  <w:spacing w:val="-2"/>
                  <w:sz w:val="18"/>
                  <w:u w:val="single" w:color="0000FF"/>
                </w:rPr>
                <w:t>Factors</w:t>
              </w:r>
            </w:hyperlink>
          </w:p>
        </w:tc>
        <w:tc>
          <w:tcPr>
            <w:tcW w:w="5610" w:type="dxa"/>
          </w:tcPr>
          <w:p>
            <w:pPr>
              <w:pStyle w:val="TableParagraph"/>
              <w:spacing w:before="0"/>
              <w:rPr>
                <w:sz w:val="16"/>
              </w:rPr>
            </w:pPr>
          </w:p>
        </w:tc>
        <w:tc>
          <w:tcPr>
            <w:tcW w:w="1525" w:type="dxa"/>
          </w:tcPr>
          <w:p>
            <w:pPr>
              <w:pStyle w:val="TableParagraph"/>
              <w:ind w:left="3" w:right="4"/>
              <w:jc w:val="center"/>
              <w:rPr>
                <w:sz w:val="18"/>
              </w:rPr>
            </w:pPr>
            <w:hyperlink w:history="true" w:anchor="_bookmark1">
              <w:r>
                <w:rPr>
                  <w:spacing w:val="-5"/>
                  <w:sz w:val="18"/>
                </w:rPr>
                <w:t>13</w:t>
              </w:r>
            </w:hyperlink>
          </w:p>
        </w:tc>
      </w:tr>
      <w:tr>
        <w:trPr>
          <w:trHeight w:val="256" w:hRule="atLeast"/>
        </w:trPr>
        <w:tc>
          <w:tcPr>
            <w:tcW w:w="857" w:type="dxa"/>
          </w:tcPr>
          <w:p>
            <w:pPr>
              <w:pStyle w:val="TableParagraph"/>
              <w:ind w:left="50"/>
              <w:rPr>
                <w:sz w:val="18"/>
              </w:rPr>
            </w:pPr>
            <w:r>
              <w:rPr>
                <w:sz w:val="18"/>
              </w:rPr>
              <w:t>Item</w:t>
            </w:r>
            <w:r>
              <w:rPr>
                <w:spacing w:val="-1"/>
                <w:sz w:val="18"/>
              </w:rPr>
              <w:t> </w:t>
            </w:r>
            <w:r>
              <w:rPr>
                <w:spacing w:val="-5"/>
                <w:sz w:val="18"/>
              </w:rPr>
              <w:t>1B.</w:t>
            </w:r>
          </w:p>
        </w:tc>
        <w:tc>
          <w:tcPr>
            <w:tcW w:w="3554" w:type="dxa"/>
          </w:tcPr>
          <w:p>
            <w:pPr>
              <w:pStyle w:val="TableParagraph"/>
              <w:ind w:left="167"/>
              <w:rPr>
                <w:sz w:val="18"/>
              </w:rPr>
            </w:pPr>
            <w:hyperlink w:history="true" w:anchor="_bookmark2">
              <w:r>
                <w:rPr>
                  <w:color w:val="0000FF"/>
                  <w:sz w:val="18"/>
                  <w:u w:val="single" w:color="0000FF"/>
                </w:rPr>
                <w:t>Unresolved</w:t>
              </w:r>
              <w:r>
                <w:rPr>
                  <w:color w:val="0000FF"/>
                  <w:spacing w:val="-5"/>
                  <w:sz w:val="18"/>
                  <w:u w:val="single" w:color="0000FF"/>
                </w:rPr>
                <w:t> </w:t>
              </w:r>
              <w:r>
                <w:rPr>
                  <w:color w:val="0000FF"/>
                  <w:sz w:val="18"/>
                  <w:u w:val="single" w:color="0000FF"/>
                </w:rPr>
                <w:t>Staff</w:t>
              </w:r>
              <w:r>
                <w:rPr>
                  <w:color w:val="0000FF"/>
                  <w:spacing w:val="-3"/>
                  <w:sz w:val="18"/>
                  <w:u w:val="single" w:color="0000FF"/>
                </w:rPr>
                <w:t> </w:t>
              </w:r>
              <w:r>
                <w:rPr>
                  <w:color w:val="0000FF"/>
                  <w:spacing w:val="-2"/>
                  <w:sz w:val="18"/>
                  <w:u w:val="single" w:color="0000FF"/>
                </w:rPr>
                <w:t>Comments</w:t>
              </w:r>
            </w:hyperlink>
          </w:p>
        </w:tc>
        <w:tc>
          <w:tcPr>
            <w:tcW w:w="5610" w:type="dxa"/>
          </w:tcPr>
          <w:p>
            <w:pPr>
              <w:pStyle w:val="TableParagraph"/>
              <w:spacing w:before="0"/>
              <w:rPr>
                <w:sz w:val="16"/>
              </w:rPr>
            </w:pPr>
          </w:p>
        </w:tc>
        <w:tc>
          <w:tcPr>
            <w:tcW w:w="1525" w:type="dxa"/>
          </w:tcPr>
          <w:p>
            <w:pPr>
              <w:pStyle w:val="TableParagraph"/>
              <w:ind w:left="3" w:right="4"/>
              <w:jc w:val="center"/>
              <w:rPr>
                <w:sz w:val="18"/>
              </w:rPr>
            </w:pPr>
            <w:hyperlink w:history="true" w:anchor="_bookmark2">
              <w:r>
                <w:rPr>
                  <w:spacing w:val="-5"/>
                  <w:sz w:val="18"/>
                </w:rPr>
                <w:t>27</w:t>
              </w:r>
            </w:hyperlink>
          </w:p>
        </w:tc>
      </w:tr>
      <w:tr>
        <w:trPr>
          <w:trHeight w:val="256" w:hRule="atLeast"/>
        </w:trPr>
        <w:tc>
          <w:tcPr>
            <w:tcW w:w="857" w:type="dxa"/>
          </w:tcPr>
          <w:p>
            <w:pPr>
              <w:pStyle w:val="TableParagraph"/>
              <w:ind w:left="50"/>
              <w:rPr>
                <w:sz w:val="18"/>
              </w:rPr>
            </w:pPr>
            <w:r>
              <w:rPr>
                <w:sz w:val="18"/>
              </w:rPr>
              <w:t>Item</w:t>
            </w:r>
            <w:r>
              <w:rPr>
                <w:spacing w:val="-1"/>
                <w:sz w:val="18"/>
              </w:rPr>
              <w:t> </w:t>
            </w:r>
            <w:r>
              <w:rPr>
                <w:spacing w:val="-5"/>
                <w:sz w:val="18"/>
              </w:rPr>
              <w:t>2.</w:t>
            </w:r>
          </w:p>
        </w:tc>
        <w:tc>
          <w:tcPr>
            <w:tcW w:w="3554" w:type="dxa"/>
          </w:tcPr>
          <w:p>
            <w:pPr>
              <w:pStyle w:val="TableParagraph"/>
              <w:ind w:left="167"/>
              <w:rPr>
                <w:sz w:val="18"/>
              </w:rPr>
            </w:pPr>
            <w:hyperlink w:history="true" w:anchor="_bookmark3">
              <w:r>
                <w:rPr>
                  <w:color w:val="0000FF"/>
                  <w:spacing w:val="-2"/>
                  <w:sz w:val="18"/>
                  <w:u w:val="single" w:color="0000FF"/>
                </w:rPr>
                <w:t>Properties</w:t>
              </w:r>
            </w:hyperlink>
          </w:p>
        </w:tc>
        <w:tc>
          <w:tcPr>
            <w:tcW w:w="5610" w:type="dxa"/>
          </w:tcPr>
          <w:p>
            <w:pPr>
              <w:pStyle w:val="TableParagraph"/>
              <w:spacing w:before="0"/>
              <w:rPr>
                <w:sz w:val="16"/>
              </w:rPr>
            </w:pPr>
          </w:p>
        </w:tc>
        <w:tc>
          <w:tcPr>
            <w:tcW w:w="1525" w:type="dxa"/>
          </w:tcPr>
          <w:p>
            <w:pPr>
              <w:pStyle w:val="TableParagraph"/>
              <w:ind w:left="3" w:right="4"/>
              <w:jc w:val="center"/>
              <w:rPr>
                <w:sz w:val="18"/>
              </w:rPr>
            </w:pPr>
            <w:hyperlink w:history="true" w:anchor="_bookmark3">
              <w:r>
                <w:rPr>
                  <w:spacing w:val="-5"/>
                  <w:sz w:val="18"/>
                </w:rPr>
                <w:t>28</w:t>
              </w:r>
            </w:hyperlink>
          </w:p>
        </w:tc>
      </w:tr>
      <w:tr>
        <w:trPr>
          <w:trHeight w:val="256" w:hRule="atLeast"/>
        </w:trPr>
        <w:tc>
          <w:tcPr>
            <w:tcW w:w="857" w:type="dxa"/>
          </w:tcPr>
          <w:p>
            <w:pPr>
              <w:pStyle w:val="TableParagraph"/>
              <w:ind w:left="50"/>
              <w:rPr>
                <w:sz w:val="18"/>
              </w:rPr>
            </w:pPr>
            <w:r>
              <w:rPr>
                <w:sz w:val="18"/>
              </w:rPr>
              <w:t>Item</w:t>
            </w:r>
            <w:r>
              <w:rPr>
                <w:spacing w:val="-1"/>
                <w:sz w:val="18"/>
              </w:rPr>
              <w:t> </w:t>
            </w:r>
            <w:r>
              <w:rPr>
                <w:spacing w:val="-5"/>
                <w:sz w:val="18"/>
              </w:rPr>
              <w:t>3.</w:t>
            </w:r>
          </w:p>
        </w:tc>
        <w:tc>
          <w:tcPr>
            <w:tcW w:w="3554" w:type="dxa"/>
          </w:tcPr>
          <w:p>
            <w:pPr>
              <w:pStyle w:val="TableParagraph"/>
              <w:ind w:left="167"/>
              <w:rPr>
                <w:sz w:val="18"/>
              </w:rPr>
            </w:pPr>
            <w:r>
              <w:rPr/>
              <mc:AlternateContent>
                <mc:Choice Requires="wps">
                  <w:drawing>
                    <wp:anchor distT="0" distB="0" distL="0" distR="0" allowOverlap="1" layoutInCell="1" locked="0" behindDoc="1" simplePos="0" relativeHeight="477634560">
                      <wp:simplePos x="0" y="0"/>
                      <wp:positionH relativeFrom="column">
                        <wp:posOffset>915116</wp:posOffset>
                      </wp:positionH>
                      <wp:positionV relativeFrom="paragraph">
                        <wp:posOffset>128617</wp:posOffset>
                      </wp:positionV>
                      <wp:extent cx="38735" cy="889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8735" cy="8890"/>
                                <a:chExt cx="38735" cy="8890"/>
                              </a:xfrm>
                            </wpg:grpSpPr>
                            <wps:wsp>
                              <wps:cNvPr id="18" name="Graphic 18"/>
                              <wps:cNvSpPr/>
                              <wps:spPr>
                                <a:xfrm>
                                  <a:off x="-6" y="0"/>
                                  <a:ext cx="38735" cy="8890"/>
                                </a:xfrm>
                                <a:custGeom>
                                  <a:avLst/>
                                  <a:gdLst/>
                                  <a:ahLst/>
                                  <a:cxnLst/>
                                  <a:rect l="l" t="t" r="r" b="b"/>
                                  <a:pathLst>
                                    <a:path w="38735" h="8890">
                                      <a:moveTo>
                                        <a:pt x="38608" y="0"/>
                                      </a:moveTo>
                                      <a:lnTo>
                                        <a:pt x="0" y="0"/>
                                      </a:lnTo>
                                      <a:lnTo>
                                        <a:pt x="0" y="8572"/>
                                      </a:lnTo>
                                      <a:lnTo>
                                        <a:pt x="38608" y="8572"/>
                                      </a:lnTo>
                                      <a:lnTo>
                                        <a:pt x="38608"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72.056381pt;margin-top:10.127356pt;width:3.05pt;height:.7pt;mso-position-horizontal-relative:column;mso-position-vertical-relative:paragraph;z-index:-25681920" id="docshapegroup16" coordorigin="1441,203" coordsize="61,14">
                      <v:rect style="position:absolute;left:1441;top:202;width:61;height:14" id="docshape17" filled="true" fillcolor="#0000ff" stroked="false">
                        <v:fill type="solid"/>
                      </v:rect>
                      <w10:wrap type="none"/>
                    </v:group>
                  </w:pict>
                </mc:Fallback>
              </mc:AlternateContent>
            </w:r>
            <w:hyperlink w:history="true" w:anchor="_bookmark4">
              <w:r>
                <w:rPr>
                  <w:color w:val="0000FF"/>
                  <w:sz w:val="18"/>
                  <w:u w:val="single" w:color="0000FF"/>
                </w:rPr>
                <w:t>Legal</w:t>
              </w:r>
              <w:r>
                <w:rPr>
                  <w:color w:val="0000FF"/>
                  <w:spacing w:val="-1"/>
                  <w:sz w:val="18"/>
                  <w:u w:val="single" w:color="0000FF"/>
                </w:rPr>
                <w:t> </w:t>
              </w:r>
              <w:r>
                <w:rPr>
                  <w:color w:val="0000FF"/>
                  <w:spacing w:val="-2"/>
                  <w:sz w:val="18"/>
                  <w:u w:val="single" w:color="0000FF"/>
                </w:rPr>
                <w:t>Proceedin</w:t>
              </w:r>
              <w:r>
                <w:rPr>
                  <w:color w:val="0000FF"/>
                  <w:spacing w:val="-2"/>
                  <w:sz w:val="18"/>
                </w:rPr>
                <w:t>gs</w:t>
              </w:r>
            </w:hyperlink>
          </w:p>
        </w:tc>
        <w:tc>
          <w:tcPr>
            <w:tcW w:w="5610" w:type="dxa"/>
          </w:tcPr>
          <w:p>
            <w:pPr>
              <w:pStyle w:val="TableParagraph"/>
              <w:spacing w:before="0"/>
              <w:rPr>
                <w:sz w:val="16"/>
              </w:rPr>
            </w:pPr>
          </w:p>
        </w:tc>
        <w:tc>
          <w:tcPr>
            <w:tcW w:w="1525" w:type="dxa"/>
          </w:tcPr>
          <w:p>
            <w:pPr>
              <w:pStyle w:val="TableParagraph"/>
              <w:ind w:left="3" w:right="4"/>
              <w:jc w:val="center"/>
              <w:rPr>
                <w:sz w:val="18"/>
              </w:rPr>
            </w:pPr>
            <w:hyperlink w:history="true" w:anchor="_bookmark4">
              <w:r>
                <w:rPr>
                  <w:spacing w:val="-5"/>
                  <w:sz w:val="18"/>
                </w:rPr>
                <w:t>29</w:t>
              </w:r>
            </w:hyperlink>
          </w:p>
        </w:tc>
      </w:tr>
      <w:tr>
        <w:trPr>
          <w:trHeight w:val="227" w:hRule="atLeast"/>
        </w:trPr>
        <w:tc>
          <w:tcPr>
            <w:tcW w:w="857" w:type="dxa"/>
          </w:tcPr>
          <w:p>
            <w:pPr>
              <w:pStyle w:val="TableParagraph"/>
              <w:spacing w:line="187" w:lineRule="exact"/>
              <w:ind w:left="50"/>
              <w:rPr>
                <w:sz w:val="18"/>
              </w:rPr>
            </w:pPr>
            <w:r>
              <w:rPr>
                <w:sz w:val="18"/>
              </w:rPr>
              <w:t>Item</w:t>
            </w:r>
            <w:r>
              <w:rPr>
                <w:spacing w:val="-1"/>
                <w:sz w:val="18"/>
              </w:rPr>
              <w:t> </w:t>
            </w:r>
            <w:r>
              <w:rPr>
                <w:spacing w:val="-5"/>
                <w:sz w:val="18"/>
              </w:rPr>
              <w:t>4.</w:t>
            </w:r>
          </w:p>
        </w:tc>
        <w:tc>
          <w:tcPr>
            <w:tcW w:w="3554" w:type="dxa"/>
          </w:tcPr>
          <w:p>
            <w:pPr>
              <w:pStyle w:val="TableParagraph"/>
              <w:spacing w:line="187" w:lineRule="exact"/>
              <w:ind w:left="167"/>
              <w:rPr>
                <w:sz w:val="18"/>
              </w:rPr>
            </w:pPr>
            <w:hyperlink w:history="true" w:anchor="_bookmark5">
              <w:r>
                <w:rPr>
                  <w:color w:val="0000FF"/>
                  <w:sz w:val="18"/>
                  <w:u w:val="single" w:color="0000FF"/>
                </w:rPr>
                <w:t>Mine</w:t>
              </w:r>
              <w:r>
                <w:rPr>
                  <w:color w:val="0000FF"/>
                  <w:spacing w:val="-12"/>
                  <w:sz w:val="18"/>
                  <w:u w:val="single" w:color="0000FF"/>
                </w:rPr>
                <w:t> </w:t>
              </w:r>
              <w:r>
                <w:rPr>
                  <w:color w:val="0000FF"/>
                  <w:sz w:val="18"/>
                  <w:u w:val="single" w:color="0000FF"/>
                </w:rPr>
                <w:t>Safe</w:t>
              </w:r>
              <w:r>
                <w:rPr>
                  <w:color w:val="0000FF"/>
                  <w:sz w:val="18"/>
                </w:rPr>
                <w:t>ty</w:t>
              </w:r>
              <w:r>
                <w:rPr>
                  <w:color w:val="0000FF"/>
                  <w:spacing w:val="10"/>
                  <w:sz w:val="18"/>
                  <w:u w:val="single" w:color="0000FF"/>
                </w:rPr>
                <w:t> </w:t>
              </w:r>
              <w:r>
                <w:rPr>
                  <w:color w:val="0000FF"/>
                  <w:spacing w:val="-2"/>
                  <w:sz w:val="18"/>
                  <w:u w:val="single" w:color="0000FF"/>
                </w:rPr>
                <w:t>Disclosures</w:t>
              </w:r>
            </w:hyperlink>
          </w:p>
        </w:tc>
        <w:tc>
          <w:tcPr>
            <w:tcW w:w="5610" w:type="dxa"/>
          </w:tcPr>
          <w:p>
            <w:pPr>
              <w:pStyle w:val="TableParagraph"/>
              <w:spacing w:before="0"/>
              <w:rPr>
                <w:sz w:val="16"/>
              </w:rPr>
            </w:pPr>
          </w:p>
        </w:tc>
        <w:tc>
          <w:tcPr>
            <w:tcW w:w="1525" w:type="dxa"/>
          </w:tcPr>
          <w:p>
            <w:pPr>
              <w:pStyle w:val="TableParagraph"/>
              <w:spacing w:line="187" w:lineRule="exact"/>
              <w:ind w:left="3" w:right="4"/>
              <w:jc w:val="center"/>
              <w:rPr>
                <w:sz w:val="18"/>
              </w:rPr>
            </w:pPr>
            <w:hyperlink w:history="true" w:anchor="_bookmark5">
              <w:r>
                <w:rPr>
                  <w:spacing w:val="-5"/>
                  <w:sz w:val="18"/>
                </w:rPr>
                <w:t>29</w:t>
              </w:r>
            </w:hyperlink>
          </w:p>
        </w:tc>
      </w:tr>
      <w:tr>
        <w:trPr>
          <w:trHeight w:val="269" w:hRule="atLeast"/>
        </w:trPr>
        <w:tc>
          <w:tcPr>
            <w:tcW w:w="857" w:type="dxa"/>
          </w:tcPr>
          <w:p>
            <w:pPr>
              <w:pStyle w:val="TableParagraph"/>
              <w:spacing w:before="0"/>
              <w:rPr>
                <w:sz w:val="16"/>
              </w:rPr>
            </w:pPr>
          </w:p>
        </w:tc>
        <w:tc>
          <w:tcPr>
            <w:tcW w:w="3554" w:type="dxa"/>
          </w:tcPr>
          <w:p>
            <w:pPr>
              <w:pStyle w:val="TableParagraph"/>
              <w:spacing w:before="0"/>
              <w:rPr>
                <w:sz w:val="16"/>
              </w:rPr>
            </w:pPr>
          </w:p>
        </w:tc>
        <w:tc>
          <w:tcPr>
            <w:tcW w:w="5610" w:type="dxa"/>
          </w:tcPr>
          <w:p>
            <w:pPr>
              <w:pStyle w:val="TableParagraph"/>
              <w:spacing w:line="187" w:lineRule="exact" w:before="63"/>
              <w:ind w:right="2850"/>
              <w:jc w:val="center"/>
              <w:rPr>
                <w:b/>
                <w:sz w:val="18"/>
              </w:rPr>
            </w:pPr>
            <w:r>
              <w:rPr>
                <w:b/>
                <w:spacing w:val="-5"/>
                <w:sz w:val="18"/>
              </w:rPr>
              <w:t>PART II</w:t>
            </w:r>
          </w:p>
        </w:tc>
        <w:tc>
          <w:tcPr>
            <w:tcW w:w="1525" w:type="dxa"/>
          </w:tcPr>
          <w:p>
            <w:pPr>
              <w:pStyle w:val="TableParagraph"/>
              <w:spacing w:before="0"/>
              <w:rPr>
                <w:sz w:val="16"/>
              </w:rPr>
            </w:pPr>
          </w:p>
        </w:tc>
      </w:tr>
      <w:tr>
        <w:trPr>
          <w:trHeight w:val="285" w:hRule="atLeast"/>
        </w:trPr>
        <w:tc>
          <w:tcPr>
            <w:tcW w:w="857" w:type="dxa"/>
          </w:tcPr>
          <w:p>
            <w:pPr>
              <w:pStyle w:val="TableParagraph"/>
              <w:spacing w:before="49"/>
              <w:ind w:left="50"/>
              <w:rPr>
                <w:sz w:val="18"/>
              </w:rPr>
            </w:pPr>
            <w:r>
              <w:rPr>
                <w:sz w:val="18"/>
              </w:rPr>
              <w:t>Item</w:t>
            </w:r>
            <w:r>
              <w:rPr>
                <w:spacing w:val="-1"/>
                <w:sz w:val="18"/>
              </w:rPr>
              <w:t> </w:t>
            </w:r>
            <w:r>
              <w:rPr>
                <w:spacing w:val="-5"/>
                <w:sz w:val="18"/>
              </w:rPr>
              <w:t>5.</w:t>
            </w:r>
          </w:p>
        </w:tc>
        <w:tc>
          <w:tcPr>
            <w:tcW w:w="9164" w:type="dxa"/>
            <w:gridSpan w:val="2"/>
          </w:tcPr>
          <w:p>
            <w:pPr>
              <w:pStyle w:val="TableParagraph"/>
              <w:spacing w:before="49"/>
              <w:ind w:left="167"/>
              <w:rPr>
                <w:sz w:val="18"/>
              </w:rPr>
            </w:pPr>
            <w:hyperlink w:history="true" w:anchor="_bookmark6">
              <w:r>
                <w:rPr>
                  <w:color w:val="0000FF"/>
                  <w:sz w:val="18"/>
                  <w:u w:val="single" w:color="0000FF"/>
                </w:rPr>
                <w:t>Market</w:t>
              </w:r>
              <w:r>
                <w:rPr>
                  <w:color w:val="0000FF"/>
                  <w:spacing w:val="-10"/>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Registrant's</w:t>
              </w:r>
              <w:r>
                <w:rPr>
                  <w:color w:val="0000FF"/>
                  <w:spacing w:val="-5"/>
                  <w:sz w:val="18"/>
                  <w:u w:val="single" w:color="0000FF"/>
                </w:rPr>
                <w:t> </w:t>
              </w:r>
              <w:r>
                <w:rPr>
                  <w:color w:val="0000FF"/>
                  <w:sz w:val="18"/>
                  <w:u w:val="single" w:color="0000FF"/>
                </w:rPr>
                <w:t>Common</w:t>
              </w:r>
              <w:r>
                <w:rPr>
                  <w:color w:val="0000FF"/>
                  <w:spacing w:val="-6"/>
                  <w:sz w:val="18"/>
                  <w:u w:val="single" w:color="0000FF"/>
                </w:rPr>
                <w:t> </w:t>
              </w:r>
              <w:r>
                <w:rPr>
                  <w:color w:val="0000FF"/>
                  <w:sz w:val="18"/>
                  <w:u w:val="single" w:color="0000FF"/>
                </w:rPr>
                <w:t>Equi</w:t>
              </w:r>
              <w:r>
                <w:rPr>
                  <w:color w:val="0000FF"/>
                  <w:sz w:val="18"/>
                </w:rPr>
                <w:t>ty</w:t>
              </w:r>
              <w:r>
                <w:rPr>
                  <w:color w:val="0000FF"/>
                  <w:spacing w:val="-27"/>
                  <w:sz w:val="18"/>
                  <w:u w:val="single" w:color="0000FF"/>
                </w:rPr>
                <w:t> </w:t>
              </w:r>
              <w:r>
                <w:rPr>
                  <w:color w:val="0000FF"/>
                  <w:sz w:val="18"/>
                </w:rPr>
                <w:t>,</w:t>
              </w:r>
              <w:r>
                <w:rPr>
                  <w:color w:val="0000FF"/>
                  <w:spacing w:val="-5"/>
                  <w:sz w:val="18"/>
                  <w:u w:val="single" w:color="0000FF"/>
                </w:rPr>
                <w:t> </w:t>
              </w:r>
              <w:r>
                <w:rPr>
                  <w:color w:val="0000FF"/>
                  <w:sz w:val="18"/>
                  <w:u w:val="single" w:color="0000FF"/>
                </w:rPr>
                <w:t>Related</w:t>
              </w:r>
              <w:r>
                <w:rPr>
                  <w:color w:val="0000FF"/>
                  <w:spacing w:val="-6"/>
                  <w:sz w:val="18"/>
                  <w:u w:val="single" w:color="0000FF"/>
                </w:rPr>
                <w:t> </w:t>
              </w:r>
              <w:r>
                <w:rPr>
                  <w:color w:val="0000FF"/>
                  <w:sz w:val="18"/>
                  <w:u w:val="single" w:color="0000FF"/>
                </w:rPr>
                <w:t>Stockholder</w:t>
              </w:r>
              <w:r>
                <w:rPr>
                  <w:color w:val="0000FF"/>
                  <w:spacing w:val="-5"/>
                  <w:sz w:val="18"/>
                  <w:u w:val="single" w:color="0000FF"/>
                </w:rPr>
                <w:t> </w:t>
              </w:r>
              <w:r>
                <w:rPr>
                  <w:color w:val="0000FF"/>
                  <w:sz w:val="18"/>
                  <w:u w:val="single" w:color="0000FF"/>
                </w:rPr>
                <w:t>Matters</w:t>
              </w:r>
              <w:r>
                <w:rPr>
                  <w:color w:val="0000FF"/>
                  <w:spacing w:val="-5"/>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Issuer</w:t>
              </w:r>
              <w:r>
                <w:rPr>
                  <w:color w:val="0000FF"/>
                  <w:spacing w:val="-5"/>
                  <w:sz w:val="18"/>
                  <w:u w:val="single" w:color="0000FF"/>
                </w:rPr>
                <w:t> </w:t>
              </w:r>
              <w:r>
                <w:rPr>
                  <w:color w:val="0000FF"/>
                  <w:sz w:val="18"/>
                  <w:u w:val="single" w:color="0000FF"/>
                </w:rPr>
                <w:t>Purchases</w:t>
              </w:r>
              <w:r>
                <w:rPr>
                  <w:color w:val="0000FF"/>
                  <w:spacing w:val="-6"/>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Equi</w:t>
              </w:r>
              <w:r>
                <w:rPr>
                  <w:color w:val="0000FF"/>
                  <w:sz w:val="18"/>
                </w:rPr>
                <w:t>ty</w:t>
              </w:r>
              <w:r>
                <w:rPr>
                  <w:color w:val="0000FF"/>
                  <w:spacing w:val="23"/>
                  <w:sz w:val="18"/>
                  <w:u w:val="single" w:color="0000FF"/>
                </w:rPr>
                <w:t> </w:t>
              </w:r>
              <w:r>
                <w:rPr>
                  <w:color w:val="0000FF"/>
                  <w:spacing w:val="-2"/>
                  <w:sz w:val="18"/>
                  <w:u w:val="single" w:color="0000FF"/>
                </w:rPr>
                <w:t>Securities</w:t>
              </w:r>
            </w:hyperlink>
          </w:p>
        </w:tc>
        <w:tc>
          <w:tcPr>
            <w:tcW w:w="1525" w:type="dxa"/>
          </w:tcPr>
          <w:p>
            <w:pPr>
              <w:pStyle w:val="TableParagraph"/>
              <w:spacing w:before="49"/>
              <w:ind w:left="3" w:right="4"/>
              <w:jc w:val="center"/>
              <w:rPr>
                <w:sz w:val="18"/>
              </w:rPr>
            </w:pPr>
            <w:hyperlink w:history="true" w:anchor="_bookmark6">
              <w:r>
                <w:rPr>
                  <w:spacing w:val="-5"/>
                  <w:sz w:val="18"/>
                </w:rPr>
                <w:t>30</w:t>
              </w:r>
            </w:hyperlink>
          </w:p>
        </w:tc>
      </w:tr>
      <w:tr>
        <w:trPr>
          <w:trHeight w:val="256" w:hRule="atLeast"/>
        </w:trPr>
        <w:tc>
          <w:tcPr>
            <w:tcW w:w="857" w:type="dxa"/>
          </w:tcPr>
          <w:p>
            <w:pPr>
              <w:pStyle w:val="TableParagraph"/>
              <w:ind w:left="50"/>
              <w:rPr>
                <w:sz w:val="18"/>
              </w:rPr>
            </w:pPr>
            <w:r>
              <w:rPr>
                <w:sz w:val="18"/>
              </w:rPr>
              <w:t>Item</w:t>
            </w:r>
            <w:r>
              <w:rPr>
                <w:spacing w:val="-1"/>
                <w:sz w:val="18"/>
              </w:rPr>
              <w:t> </w:t>
            </w:r>
            <w:r>
              <w:rPr>
                <w:spacing w:val="-5"/>
                <w:sz w:val="18"/>
              </w:rPr>
              <w:t>6.</w:t>
            </w:r>
          </w:p>
        </w:tc>
        <w:tc>
          <w:tcPr>
            <w:tcW w:w="9164" w:type="dxa"/>
            <w:gridSpan w:val="2"/>
          </w:tcPr>
          <w:p>
            <w:pPr>
              <w:pStyle w:val="TableParagraph"/>
              <w:ind w:left="167"/>
              <w:rPr>
                <w:sz w:val="18"/>
              </w:rPr>
            </w:pPr>
            <w:hyperlink w:history="true" w:anchor="_bookmark7">
              <w:r>
                <w:rPr>
                  <w:color w:val="0000FF"/>
                  <w:spacing w:val="-2"/>
                  <w:sz w:val="18"/>
                  <w:u w:val="single" w:color="0000FF"/>
                </w:rPr>
                <w:t>Reserved</w:t>
              </w:r>
            </w:hyperlink>
          </w:p>
        </w:tc>
        <w:tc>
          <w:tcPr>
            <w:tcW w:w="1525" w:type="dxa"/>
          </w:tcPr>
          <w:p>
            <w:pPr>
              <w:pStyle w:val="TableParagraph"/>
              <w:ind w:left="3" w:right="4"/>
              <w:jc w:val="center"/>
              <w:rPr>
                <w:sz w:val="18"/>
              </w:rPr>
            </w:pPr>
            <w:hyperlink w:history="true" w:anchor="_bookmark7">
              <w:r>
                <w:rPr>
                  <w:spacing w:val="-5"/>
                  <w:sz w:val="18"/>
                </w:rPr>
                <w:t>32</w:t>
              </w:r>
            </w:hyperlink>
          </w:p>
        </w:tc>
      </w:tr>
      <w:tr>
        <w:trPr>
          <w:trHeight w:val="256" w:hRule="atLeast"/>
        </w:trPr>
        <w:tc>
          <w:tcPr>
            <w:tcW w:w="857" w:type="dxa"/>
          </w:tcPr>
          <w:p>
            <w:pPr>
              <w:pStyle w:val="TableParagraph"/>
              <w:ind w:left="50"/>
              <w:rPr>
                <w:sz w:val="18"/>
              </w:rPr>
            </w:pPr>
            <w:r>
              <w:rPr>
                <w:sz w:val="18"/>
              </w:rPr>
              <w:t>Item</w:t>
            </w:r>
            <w:r>
              <w:rPr>
                <w:spacing w:val="-1"/>
                <w:sz w:val="18"/>
              </w:rPr>
              <w:t> </w:t>
            </w:r>
            <w:r>
              <w:rPr>
                <w:spacing w:val="-5"/>
                <w:sz w:val="18"/>
              </w:rPr>
              <w:t>7.</w:t>
            </w:r>
          </w:p>
        </w:tc>
        <w:tc>
          <w:tcPr>
            <w:tcW w:w="9164" w:type="dxa"/>
            <w:gridSpan w:val="2"/>
          </w:tcPr>
          <w:p>
            <w:pPr>
              <w:pStyle w:val="TableParagraph"/>
              <w:ind w:left="167"/>
              <w:rPr>
                <w:sz w:val="18"/>
              </w:rPr>
            </w:pPr>
            <w:hyperlink w:history="true" w:anchor="_bookmark8">
              <w:r>
                <w:rPr>
                  <w:color w:val="0000FF"/>
                  <w:sz w:val="18"/>
                  <w:u w:val="single" w:color="0000FF"/>
                </w:rPr>
                <w:t>Management's</w:t>
              </w:r>
              <w:r>
                <w:rPr>
                  <w:color w:val="0000FF"/>
                  <w:spacing w:val="-10"/>
                  <w:sz w:val="18"/>
                  <w:u w:val="single" w:color="0000FF"/>
                </w:rPr>
                <w:t> </w:t>
              </w:r>
              <w:r>
                <w:rPr>
                  <w:color w:val="0000FF"/>
                  <w:sz w:val="18"/>
                  <w:u w:val="single" w:color="0000FF"/>
                </w:rPr>
                <w:t>Discussion</w:t>
              </w:r>
              <w:r>
                <w:rPr>
                  <w:color w:val="0000FF"/>
                  <w:spacing w:val="-4"/>
                  <w:sz w:val="18"/>
                  <w:u w:val="single" w:color="0000FF"/>
                </w:rPr>
                <w:t> </w:t>
              </w:r>
              <w:r>
                <w:rPr>
                  <w:color w:val="0000FF"/>
                  <w:sz w:val="18"/>
                  <w:u w:val="single" w:color="0000FF"/>
                </w:rPr>
                <w:t>and</w:t>
              </w:r>
              <w:r>
                <w:rPr>
                  <w:color w:val="0000FF"/>
                  <w:spacing w:val="-11"/>
                  <w:sz w:val="18"/>
                  <w:u w:val="single" w:color="0000FF"/>
                </w:rPr>
                <w:t> </w:t>
              </w:r>
              <w:r>
                <w:rPr>
                  <w:color w:val="0000FF"/>
                  <w:sz w:val="18"/>
                  <w:u w:val="single" w:color="0000FF"/>
                </w:rPr>
                <w:t>Ana</w:t>
              </w:r>
              <w:r>
                <w:rPr>
                  <w:color w:val="0000FF"/>
                  <w:sz w:val="18"/>
                </w:rPr>
                <w:t>ly</w:t>
              </w:r>
              <w:r>
                <w:rPr>
                  <w:color w:val="0000FF"/>
                  <w:spacing w:val="-15"/>
                  <w:sz w:val="18"/>
                  <w:u w:val="single" w:color="0000FF"/>
                </w:rPr>
                <w:t> </w:t>
              </w:r>
              <w:r>
                <w:rPr>
                  <w:color w:val="0000FF"/>
                  <w:sz w:val="18"/>
                  <w:u w:val="single" w:color="0000FF"/>
                </w:rPr>
                <w:t>sis</w:t>
              </w:r>
              <w:r>
                <w:rPr>
                  <w:color w:val="0000FF"/>
                  <w:spacing w:val="-4"/>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Financial</w:t>
              </w:r>
              <w:r>
                <w:rPr>
                  <w:color w:val="0000FF"/>
                  <w:spacing w:val="-4"/>
                  <w:sz w:val="18"/>
                  <w:u w:val="single" w:color="0000FF"/>
                </w:rPr>
                <w:t> </w:t>
              </w:r>
              <w:r>
                <w:rPr>
                  <w:color w:val="0000FF"/>
                  <w:sz w:val="18"/>
                  <w:u w:val="single" w:color="0000FF"/>
                </w:rPr>
                <w:t>Condition</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Results</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pacing w:val="-2"/>
                  <w:sz w:val="18"/>
                  <w:u w:val="single" w:color="0000FF"/>
                </w:rPr>
                <w:t>Operations</w:t>
              </w:r>
            </w:hyperlink>
          </w:p>
        </w:tc>
        <w:tc>
          <w:tcPr>
            <w:tcW w:w="1525" w:type="dxa"/>
          </w:tcPr>
          <w:p>
            <w:pPr>
              <w:pStyle w:val="TableParagraph"/>
              <w:ind w:left="3" w:right="4"/>
              <w:jc w:val="center"/>
              <w:rPr>
                <w:sz w:val="18"/>
              </w:rPr>
            </w:pPr>
            <w:hyperlink w:history="true" w:anchor="_bookmark8">
              <w:r>
                <w:rPr>
                  <w:spacing w:val="-5"/>
                  <w:sz w:val="18"/>
                </w:rPr>
                <w:t>32</w:t>
              </w:r>
            </w:hyperlink>
          </w:p>
        </w:tc>
      </w:tr>
      <w:tr>
        <w:trPr>
          <w:trHeight w:val="263" w:hRule="atLeast"/>
        </w:trPr>
        <w:tc>
          <w:tcPr>
            <w:tcW w:w="857" w:type="dxa"/>
          </w:tcPr>
          <w:p>
            <w:pPr>
              <w:pStyle w:val="TableParagraph"/>
              <w:ind w:left="50"/>
              <w:rPr>
                <w:sz w:val="18"/>
              </w:rPr>
            </w:pPr>
            <w:r>
              <w:rPr>
                <w:sz w:val="18"/>
              </w:rPr>
              <w:t>Item</w:t>
            </w:r>
            <w:r>
              <w:rPr>
                <w:spacing w:val="-1"/>
                <w:sz w:val="18"/>
              </w:rPr>
              <w:t> </w:t>
            </w:r>
            <w:r>
              <w:rPr>
                <w:spacing w:val="-5"/>
                <w:sz w:val="18"/>
              </w:rPr>
              <w:t>7A.</w:t>
            </w:r>
          </w:p>
        </w:tc>
        <w:tc>
          <w:tcPr>
            <w:tcW w:w="9164" w:type="dxa"/>
            <w:gridSpan w:val="2"/>
          </w:tcPr>
          <w:p>
            <w:pPr>
              <w:pStyle w:val="TableParagraph"/>
              <w:ind w:left="167"/>
              <w:rPr>
                <w:sz w:val="18"/>
              </w:rPr>
            </w:pPr>
            <w:hyperlink w:history="true" w:anchor="_bookmark9">
              <w:r>
                <w:rPr>
                  <w:color w:val="0000FF"/>
                  <w:sz w:val="18"/>
                  <w:u w:val="single" w:color="0000FF"/>
                </w:rPr>
                <w:t>Q</w:t>
              </w:r>
              <w:r>
                <w:rPr>
                  <w:color w:val="0000FF"/>
                  <w:spacing w:val="-33"/>
                  <w:sz w:val="18"/>
                  <w:u w:val="single" w:color="0000FF"/>
                </w:rPr>
                <w:t> </w:t>
              </w:r>
              <w:r>
                <w:rPr>
                  <w:color w:val="0000FF"/>
                  <w:sz w:val="18"/>
                  <w:u w:val="single" w:color="0000FF"/>
                </w:rPr>
                <w:t>uantitative</w:t>
              </w:r>
              <w:r>
                <w:rPr>
                  <w:color w:val="0000FF"/>
                  <w:spacing w:val="-10"/>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Q</w:t>
              </w:r>
              <w:r>
                <w:rPr>
                  <w:color w:val="0000FF"/>
                  <w:spacing w:val="-33"/>
                  <w:sz w:val="18"/>
                  <w:u w:val="single" w:color="0000FF"/>
                </w:rPr>
                <w:t> </w:t>
              </w:r>
              <w:r>
                <w:rPr>
                  <w:color w:val="0000FF"/>
                  <w:sz w:val="18"/>
                  <w:u w:val="single" w:color="0000FF"/>
                </w:rPr>
                <w:t>ualitative</w:t>
              </w:r>
              <w:r>
                <w:rPr>
                  <w:color w:val="0000FF"/>
                  <w:spacing w:val="-5"/>
                  <w:sz w:val="18"/>
                  <w:u w:val="single" w:color="0000FF"/>
                </w:rPr>
                <w:t> </w:t>
              </w:r>
              <w:r>
                <w:rPr>
                  <w:color w:val="0000FF"/>
                  <w:sz w:val="18"/>
                  <w:u w:val="single" w:color="0000FF"/>
                </w:rPr>
                <w:t>Disclosures</w:t>
              </w:r>
              <w:r>
                <w:rPr>
                  <w:color w:val="0000FF"/>
                  <w:spacing w:val="-11"/>
                  <w:sz w:val="18"/>
                  <w:u w:val="single" w:color="0000FF"/>
                </w:rPr>
                <w:t> </w:t>
              </w:r>
              <w:r>
                <w:rPr>
                  <w:color w:val="0000FF"/>
                  <w:sz w:val="18"/>
                  <w:u w:val="single" w:color="0000FF"/>
                </w:rPr>
                <w:t>About</w:t>
              </w:r>
              <w:r>
                <w:rPr>
                  <w:color w:val="0000FF"/>
                  <w:spacing w:val="-5"/>
                  <w:sz w:val="18"/>
                  <w:u w:val="single" w:color="0000FF"/>
                </w:rPr>
                <w:t> </w:t>
              </w:r>
              <w:r>
                <w:rPr>
                  <w:color w:val="0000FF"/>
                  <w:sz w:val="18"/>
                  <w:u w:val="single" w:color="0000FF"/>
                </w:rPr>
                <w:t>Market</w:t>
              </w:r>
              <w:r>
                <w:rPr>
                  <w:color w:val="0000FF"/>
                  <w:spacing w:val="-5"/>
                  <w:sz w:val="18"/>
                  <w:u w:val="single" w:color="0000FF"/>
                </w:rPr>
                <w:t> </w:t>
              </w:r>
              <w:r>
                <w:rPr>
                  <w:color w:val="0000FF"/>
                  <w:spacing w:val="-4"/>
                  <w:sz w:val="18"/>
                  <w:u w:val="single" w:color="0000FF"/>
                </w:rPr>
                <w:t>Risk</w:t>
              </w:r>
            </w:hyperlink>
          </w:p>
        </w:tc>
        <w:tc>
          <w:tcPr>
            <w:tcW w:w="1525" w:type="dxa"/>
          </w:tcPr>
          <w:p>
            <w:pPr>
              <w:pStyle w:val="TableParagraph"/>
              <w:ind w:left="3" w:right="4"/>
              <w:jc w:val="center"/>
              <w:rPr>
                <w:sz w:val="18"/>
              </w:rPr>
            </w:pPr>
            <w:hyperlink w:history="true" w:anchor="_bookmark9">
              <w:r>
                <w:rPr>
                  <w:spacing w:val="-5"/>
                  <w:sz w:val="18"/>
                </w:rPr>
                <w:t>51</w:t>
              </w:r>
            </w:hyperlink>
          </w:p>
        </w:tc>
      </w:tr>
      <w:tr>
        <w:trPr>
          <w:trHeight w:val="263" w:hRule="atLeast"/>
        </w:trPr>
        <w:tc>
          <w:tcPr>
            <w:tcW w:w="857" w:type="dxa"/>
          </w:tcPr>
          <w:p>
            <w:pPr>
              <w:pStyle w:val="TableParagraph"/>
              <w:spacing w:before="27"/>
              <w:ind w:left="50"/>
              <w:rPr>
                <w:sz w:val="18"/>
              </w:rPr>
            </w:pPr>
            <w:r>
              <w:rPr>
                <w:sz w:val="18"/>
              </w:rPr>
              <w:t>Item</w:t>
            </w:r>
            <w:r>
              <w:rPr>
                <w:spacing w:val="-1"/>
                <w:sz w:val="18"/>
              </w:rPr>
              <w:t> </w:t>
            </w:r>
            <w:r>
              <w:rPr>
                <w:spacing w:val="-5"/>
                <w:sz w:val="18"/>
              </w:rPr>
              <w:t>8.</w:t>
            </w:r>
          </w:p>
        </w:tc>
        <w:tc>
          <w:tcPr>
            <w:tcW w:w="9164" w:type="dxa"/>
            <w:gridSpan w:val="2"/>
          </w:tcPr>
          <w:p>
            <w:pPr>
              <w:pStyle w:val="TableParagraph"/>
              <w:spacing w:before="27"/>
              <w:ind w:left="167"/>
              <w:rPr>
                <w:sz w:val="18"/>
              </w:rPr>
            </w:pPr>
            <w:hyperlink w:history="true" w:anchor="_bookmark10">
              <w:r>
                <w:rPr>
                  <w:color w:val="0000FF"/>
                  <w:spacing w:val="-2"/>
                  <w:sz w:val="18"/>
                  <w:u w:val="single" w:color="0000FF"/>
                </w:rPr>
                <w:t>Financial</w:t>
              </w:r>
              <w:r>
                <w:rPr>
                  <w:color w:val="0000FF"/>
                  <w:spacing w:val="-9"/>
                  <w:sz w:val="18"/>
                  <w:u w:val="single" w:color="0000FF"/>
                </w:rPr>
                <w:t> </w:t>
              </w:r>
              <w:r>
                <w:rPr>
                  <w:color w:val="0000FF"/>
                  <w:spacing w:val="-2"/>
                  <w:sz w:val="18"/>
                  <w:u w:val="single" w:color="0000FF"/>
                </w:rPr>
                <w:t>Statements</w:t>
              </w:r>
              <w:r>
                <w:rPr>
                  <w:color w:val="0000FF"/>
                  <w:spacing w:val="-8"/>
                  <w:sz w:val="18"/>
                  <w:u w:val="single" w:color="0000FF"/>
                </w:rPr>
                <w:t> </w:t>
              </w:r>
              <w:r>
                <w:rPr>
                  <w:color w:val="0000FF"/>
                  <w:spacing w:val="-2"/>
                  <w:sz w:val="18"/>
                  <w:u w:val="single" w:color="0000FF"/>
                </w:rPr>
                <w:t>and</w:t>
              </w:r>
              <w:r>
                <w:rPr>
                  <w:color w:val="0000FF"/>
                  <w:spacing w:val="-9"/>
                  <w:sz w:val="18"/>
                  <w:u w:val="single" w:color="0000FF"/>
                </w:rPr>
                <w:t> </w:t>
              </w:r>
              <w:r>
                <w:rPr>
                  <w:color w:val="0000FF"/>
                  <w:spacing w:val="-2"/>
                  <w:sz w:val="18"/>
                  <w:u w:val="single" w:color="0000FF"/>
                </w:rPr>
                <w:t>Su</w:t>
              </w:r>
              <w:r>
                <w:rPr>
                  <w:color w:val="0000FF"/>
                  <w:spacing w:val="-2"/>
                  <w:sz w:val="18"/>
                </w:rPr>
                <w:t>p</w:t>
              </w:r>
              <w:r>
                <w:rPr>
                  <w:color w:val="0000FF"/>
                  <w:spacing w:val="-9"/>
                  <w:sz w:val="18"/>
                  <w:u w:val="single" w:color="0000FF"/>
                </w:rPr>
                <w:t> </w:t>
              </w:r>
              <w:r>
                <w:rPr>
                  <w:color w:val="0000FF"/>
                  <w:spacing w:val="-2"/>
                  <w:sz w:val="18"/>
                </w:rPr>
                <w:t>p</w:t>
              </w:r>
              <w:r>
                <w:rPr>
                  <w:color w:val="0000FF"/>
                  <w:spacing w:val="-9"/>
                  <w:sz w:val="18"/>
                  <w:u w:val="single" w:color="0000FF"/>
                </w:rPr>
                <w:t> </w:t>
              </w:r>
              <w:r>
                <w:rPr>
                  <w:color w:val="0000FF"/>
                  <w:spacing w:val="-2"/>
                  <w:sz w:val="18"/>
                  <w:u w:val="single" w:color="0000FF"/>
                </w:rPr>
                <w:t>lementary</w:t>
              </w:r>
              <w:r>
                <w:rPr>
                  <w:color w:val="0000FF"/>
                  <w:spacing w:val="18"/>
                  <w:sz w:val="18"/>
                  <w:u w:val="single" w:color="0000FF"/>
                </w:rPr>
                <w:t> </w:t>
              </w:r>
              <w:r>
                <w:rPr>
                  <w:color w:val="0000FF"/>
                  <w:spacing w:val="-4"/>
                  <w:sz w:val="18"/>
                  <w:u w:val="single" w:color="0000FF"/>
                </w:rPr>
                <w:t>Data</w:t>
              </w:r>
            </w:hyperlink>
          </w:p>
        </w:tc>
        <w:tc>
          <w:tcPr>
            <w:tcW w:w="1525" w:type="dxa"/>
          </w:tcPr>
          <w:p>
            <w:pPr>
              <w:pStyle w:val="TableParagraph"/>
              <w:spacing w:before="27"/>
              <w:ind w:left="3" w:right="4"/>
              <w:jc w:val="center"/>
              <w:rPr>
                <w:sz w:val="18"/>
              </w:rPr>
            </w:pPr>
            <w:hyperlink w:history="true" w:anchor="_bookmark10">
              <w:r>
                <w:rPr>
                  <w:spacing w:val="-5"/>
                  <w:sz w:val="18"/>
                </w:rPr>
                <w:t>52</w:t>
              </w:r>
            </w:hyperlink>
          </w:p>
        </w:tc>
      </w:tr>
      <w:tr>
        <w:trPr>
          <w:trHeight w:val="256" w:hRule="atLeast"/>
        </w:trPr>
        <w:tc>
          <w:tcPr>
            <w:tcW w:w="857" w:type="dxa"/>
          </w:tcPr>
          <w:p>
            <w:pPr>
              <w:pStyle w:val="TableParagraph"/>
              <w:spacing w:before="0"/>
              <w:rPr>
                <w:sz w:val="16"/>
              </w:rPr>
            </w:pPr>
          </w:p>
        </w:tc>
        <w:tc>
          <w:tcPr>
            <w:tcW w:w="9164" w:type="dxa"/>
            <w:gridSpan w:val="2"/>
          </w:tcPr>
          <w:p>
            <w:pPr>
              <w:pStyle w:val="TableParagraph"/>
              <w:ind w:left="167"/>
              <w:rPr>
                <w:sz w:val="18"/>
              </w:rPr>
            </w:pPr>
            <w:hyperlink w:history="true" w:anchor="_bookmark12">
              <w:r>
                <w:rPr>
                  <w:color w:val="0000FF"/>
                  <w:sz w:val="18"/>
                  <w:u w:val="single" w:color="0000FF"/>
                </w:rPr>
                <w:t>Consolidated</w:t>
              </w:r>
              <w:r>
                <w:rPr>
                  <w:color w:val="0000FF"/>
                  <w:spacing w:val="-1"/>
                  <w:sz w:val="18"/>
                  <w:u w:val="single" w:color="0000FF"/>
                </w:rPr>
                <w:t> </w:t>
              </w:r>
              <w:r>
                <w:rPr>
                  <w:color w:val="0000FF"/>
                  <w:sz w:val="18"/>
                  <w:u w:val="single" w:color="0000FF"/>
                </w:rPr>
                <w:t>Financial</w:t>
              </w:r>
              <w:r>
                <w:rPr>
                  <w:color w:val="0000FF"/>
                  <w:spacing w:val="-1"/>
                  <w:sz w:val="18"/>
                  <w:u w:val="single" w:color="0000FF"/>
                </w:rPr>
                <w:t> </w:t>
              </w:r>
              <w:r>
                <w:rPr>
                  <w:color w:val="0000FF"/>
                  <w:spacing w:val="-2"/>
                  <w:sz w:val="18"/>
                  <w:u w:val="single" w:color="0000FF"/>
                </w:rPr>
                <w:t>Statements</w:t>
              </w:r>
            </w:hyperlink>
          </w:p>
        </w:tc>
        <w:tc>
          <w:tcPr>
            <w:tcW w:w="1525" w:type="dxa"/>
          </w:tcPr>
          <w:p>
            <w:pPr>
              <w:pStyle w:val="TableParagraph"/>
              <w:ind w:left="3" w:right="4"/>
              <w:jc w:val="center"/>
              <w:rPr>
                <w:sz w:val="18"/>
              </w:rPr>
            </w:pPr>
            <w:hyperlink w:history="true" w:anchor="_bookmark12">
              <w:r>
                <w:rPr>
                  <w:spacing w:val="-5"/>
                  <w:sz w:val="18"/>
                </w:rPr>
                <w:t>57</w:t>
              </w:r>
            </w:hyperlink>
          </w:p>
        </w:tc>
      </w:tr>
      <w:tr>
        <w:trPr>
          <w:trHeight w:val="256" w:hRule="atLeast"/>
        </w:trPr>
        <w:tc>
          <w:tcPr>
            <w:tcW w:w="857" w:type="dxa"/>
          </w:tcPr>
          <w:p>
            <w:pPr>
              <w:pStyle w:val="TableParagraph"/>
              <w:spacing w:before="0"/>
              <w:rPr>
                <w:sz w:val="16"/>
              </w:rPr>
            </w:pPr>
          </w:p>
        </w:tc>
        <w:tc>
          <w:tcPr>
            <w:tcW w:w="9164" w:type="dxa"/>
            <w:gridSpan w:val="2"/>
          </w:tcPr>
          <w:p>
            <w:pPr>
              <w:pStyle w:val="TableParagraph"/>
              <w:ind w:left="167"/>
              <w:rPr>
                <w:sz w:val="18"/>
              </w:rPr>
            </w:pPr>
            <w:hyperlink w:history="true" w:anchor="_bookmark18">
              <w:r>
                <w:rPr>
                  <w:color w:val="0000FF"/>
                  <w:sz w:val="18"/>
                  <w:u w:val="single" w:color="0000FF"/>
                </w:rPr>
                <w:t>Notes</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Consolidated</w:t>
              </w:r>
              <w:r>
                <w:rPr>
                  <w:color w:val="0000FF"/>
                  <w:spacing w:val="-1"/>
                  <w:sz w:val="18"/>
                  <w:u w:val="single" w:color="0000FF"/>
                </w:rPr>
                <w:t> </w:t>
              </w:r>
              <w:r>
                <w:rPr>
                  <w:color w:val="0000FF"/>
                  <w:sz w:val="18"/>
                  <w:u w:val="single" w:color="0000FF"/>
                </w:rPr>
                <w:t>Financial</w:t>
              </w:r>
              <w:r>
                <w:rPr>
                  <w:color w:val="0000FF"/>
                  <w:spacing w:val="-1"/>
                  <w:sz w:val="18"/>
                  <w:u w:val="single" w:color="0000FF"/>
                </w:rPr>
                <w:t> </w:t>
              </w:r>
              <w:r>
                <w:rPr>
                  <w:color w:val="0000FF"/>
                  <w:spacing w:val="-2"/>
                  <w:sz w:val="18"/>
                  <w:u w:val="single" w:color="0000FF"/>
                </w:rPr>
                <w:t>Statements</w:t>
              </w:r>
            </w:hyperlink>
          </w:p>
        </w:tc>
        <w:tc>
          <w:tcPr>
            <w:tcW w:w="1525" w:type="dxa"/>
          </w:tcPr>
          <w:p>
            <w:pPr>
              <w:pStyle w:val="TableParagraph"/>
              <w:ind w:left="3" w:right="4"/>
              <w:jc w:val="center"/>
              <w:rPr>
                <w:sz w:val="18"/>
              </w:rPr>
            </w:pPr>
            <w:hyperlink w:history="true" w:anchor="_bookmark18">
              <w:r>
                <w:rPr>
                  <w:spacing w:val="-5"/>
                  <w:sz w:val="18"/>
                </w:rPr>
                <w:t>62</w:t>
              </w:r>
            </w:hyperlink>
          </w:p>
        </w:tc>
      </w:tr>
      <w:tr>
        <w:trPr>
          <w:trHeight w:val="256" w:hRule="atLeast"/>
        </w:trPr>
        <w:tc>
          <w:tcPr>
            <w:tcW w:w="857" w:type="dxa"/>
          </w:tcPr>
          <w:p>
            <w:pPr>
              <w:pStyle w:val="TableParagraph"/>
              <w:ind w:left="50"/>
              <w:rPr>
                <w:sz w:val="18"/>
              </w:rPr>
            </w:pPr>
            <w:r>
              <w:rPr>
                <w:sz w:val="18"/>
              </w:rPr>
              <w:t>Item</w:t>
            </w:r>
            <w:r>
              <w:rPr>
                <w:spacing w:val="-1"/>
                <w:sz w:val="18"/>
              </w:rPr>
              <w:t> </w:t>
            </w:r>
            <w:r>
              <w:rPr>
                <w:spacing w:val="-5"/>
                <w:sz w:val="18"/>
              </w:rPr>
              <w:t>9.</w:t>
            </w:r>
          </w:p>
        </w:tc>
        <w:tc>
          <w:tcPr>
            <w:tcW w:w="9164" w:type="dxa"/>
            <w:gridSpan w:val="2"/>
          </w:tcPr>
          <w:p>
            <w:pPr>
              <w:pStyle w:val="TableParagraph"/>
              <w:ind w:left="167"/>
              <w:rPr>
                <w:sz w:val="18"/>
              </w:rPr>
            </w:pPr>
            <w:hyperlink w:history="true" w:anchor="_bookmark19">
              <w:r>
                <w:rPr>
                  <w:color w:val="0000FF"/>
                  <w:sz w:val="18"/>
                  <w:u w:val="single" w:color="0000FF"/>
                </w:rPr>
                <w:t>Changes</w:t>
              </w:r>
              <w:r>
                <w:rPr>
                  <w:color w:val="0000FF"/>
                  <w:spacing w:val="-3"/>
                  <w:sz w:val="18"/>
                  <w:u w:val="single" w:color="0000FF"/>
                </w:rPr>
                <w:t> </w:t>
              </w:r>
              <w:r>
                <w:rPr>
                  <w:color w:val="0000FF"/>
                  <w:sz w:val="18"/>
                  <w:u w:val="single" w:color="0000FF"/>
                </w:rPr>
                <w:t>in and Disagreements with</w:t>
              </w:r>
              <w:r>
                <w:rPr>
                  <w:color w:val="0000FF"/>
                  <w:spacing w:val="-9"/>
                  <w:sz w:val="18"/>
                  <w:u w:val="single" w:color="0000FF"/>
                </w:rPr>
                <w:t> </w:t>
              </w:r>
              <w:r>
                <w:rPr>
                  <w:color w:val="0000FF"/>
                  <w:sz w:val="18"/>
                  <w:u w:val="single" w:color="0000FF"/>
                </w:rPr>
                <w:t>Accountants on</w:t>
              </w:r>
              <w:r>
                <w:rPr>
                  <w:color w:val="0000FF"/>
                  <w:spacing w:val="-9"/>
                  <w:sz w:val="18"/>
                  <w:u w:val="single" w:color="0000FF"/>
                </w:rPr>
                <w:t> </w:t>
              </w:r>
              <w:r>
                <w:rPr>
                  <w:color w:val="0000FF"/>
                  <w:sz w:val="18"/>
                  <w:u w:val="single" w:color="0000FF"/>
                </w:rPr>
                <w:t>Accounting</w:t>
              </w:r>
              <w:r>
                <w:rPr>
                  <w:color w:val="0000FF"/>
                  <w:spacing w:val="-9"/>
                  <w:sz w:val="18"/>
                  <w:u w:val="single" w:color="0000FF"/>
                </w:rPr>
                <w:t> </w:t>
              </w:r>
              <w:r>
                <w:rPr>
                  <w:color w:val="0000FF"/>
                  <w:sz w:val="18"/>
                  <w:u w:val="single" w:color="0000FF"/>
                </w:rPr>
                <w:t>and Financial </w:t>
              </w:r>
              <w:r>
                <w:rPr>
                  <w:color w:val="0000FF"/>
                  <w:spacing w:val="-2"/>
                  <w:sz w:val="18"/>
                  <w:u w:val="single" w:color="0000FF"/>
                </w:rPr>
                <w:t>Disclosure</w:t>
              </w:r>
            </w:hyperlink>
          </w:p>
        </w:tc>
        <w:tc>
          <w:tcPr>
            <w:tcW w:w="1525" w:type="dxa"/>
          </w:tcPr>
          <w:p>
            <w:pPr>
              <w:pStyle w:val="TableParagraph"/>
              <w:ind w:left="3" w:right="4"/>
              <w:jc w:val="center"/>
              <w:rPr>
                <w:sz w:val="18"/>
              </w:rPr>
            </w:pPr>
            <w:hyperlink w:history="true" w:anchor="_bookmark19">
              <w:r>
                <w:rPr>
                  <w:spacing w:val="-5"/>
                  <w:sz w:val="18"/>
                </w:rPr>
                <w:t>100</w:t>
              </w:r>
            </w:hyperlink>
          </w:p>
        </w:tc>
      </w:tr>
      <w:tr>
        <w:trPr>
          <w:trHeight w:val="263" w:hRule="atLeast"/>
        </w:trPr>
        <w:tc>
          <w:tcPr>
            <w:tcW w:w="857" w:type="dxa"/>
          </w:tcPr>
          <w:p>
            <w:pPr>
              <w:pStyle w:val="TableParagraph"/>
              <w:ind w:left="50"/>
              <w:rPr>
                <w:sz w:val="18"/>
              </w:rPr>
            </w:pPr>
            <w:r>
              <w:rPr>
                <w:sz w:val="18"/>
              </w:rPr>
              <w:t>Item</w:t>
            </w:r>
            <w:r>
              <w:rPr>
                <w:spacing w:val="-1"/>
                <w:sz w:val="18"/>
              </w:rPr>
              <w:t> </w:t>
            </w:r>
            <w:r>
              <w:rPr>
                <w:spacing w:val="-5"/>
                <w:sz w:val="18"/>
              </w:rPr>
              <w:t>9A.</w:t>
            </w:r>
          </w:p>
        </w:tc>
        <w:tc>
          <w:tcPr>
            <w:tcW w:w="9164" w:type="dxa"/>
            <w:gridSpan w:val="2"/>
          </w:tcPr>
          <w:p>
            <w:pPr>
              <w:pStyle w:val="TableParagraph"/>
              <w:ind w:left="167"/>
              <w:rPr>
                <w:sz w:val="18"/>
              </w:rPr>
            </w:pPr>
            <w:hyperlink w:history="true" w:anchor="_bookmark20">
              <w:r>
                <w:rPr>
                  <w:color w:val="0000FF"/>
                  <w:sz w:val="18"/>
                  <w:u w:val="single" w:color="0000FF"/>
                </w:rPr>
                <w:t>Controls</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pacing w:val="-2"/>
                  <w:sz w:val="18"/>
                  <w:u w:val="single" w:color="0000FF"/>
                </w:rPr>
                <w:t>Procedures</w:t>
              </w:r>
            </w:hyperlink>
          </w:p>
        </w:tc>
        <w:tc>
          <w:tcPr>
            <w:tcW w:w="1525" w:type="dxa"/>
          </w:tcPr>
          <w:p>
            <w:pPr>
              <w:pStyle w:val="TableParagraph"/>
              <w:ind w:left="3" w:right="4"/>
              <w:jc w:val="center"/>
              <w:rPr>
                <w:sz w:val="18"/>
              </w:rPr>
            </w:pPr>
            <w:hyperlink w:history="true" w:anchor="_bookmark20">
              <w:r>
                <w:rPr>
                  <w:spacing w:val="-5"/>
                  <w:sz w:val="18"/>
                </w:rPr>
                <w:t>100</w:t>
              </w:r>
            </w:hyperlink>
          </w:p>
        </w:tc>
      </w:tr>
      <w:tr>
        <w:trPr>
          <w:trHeight w:val="263" w:hRule="atLeast"/>
        </w:trPr>
        <w:tc>
          <w:tcPr>
            <w:tcW w:w="857" w:type="dxa"/>
          </w:tcPr>
          <w:p>
            <w:pPr>
              <w:pStyle w:val="TableParagraph"/>
              <w:spacing w:before="27"/>
              <w:ind w:left="50"/>
              <w:rPr>
                <w:sz w:val="18"/>
              </w:rPr>
            </w:pPr>
            <w:r>
              <w:rPr>
                <w:sz w:val="18"/>
              </w:rPr>
              <w:t>Item</w:t>
            </w:r>
            <w:r>
              <w:rPr>
                <w:spacing w:val="-1"/>
                <w:sz w:val="18"/>
              </w:rPr>
              <w:t> </w:t>
            </w:r>
            <w:r>
              <w:rPr>
                <w:spacing w:val="-5"/>
                <w:sz w:val="18"/>
              </w:rPr>
              <w:t>9B.</w:t>
            </w:r>
          </w:p>
        </w:tc>
        <w:tc>
          <w:tcPr>
            <w:tcW w:w="9164" w:type="dxa"/>
            <w:gridSpan w:val="2"/>
          </w:tcPr>
          <w:p>
            <w:pPr>
              <w:pStyle w:val="TableParagraph"/>
              <w:spacing w:before="27"/>
              <w:ind w:left="167"/>
              <w:rPr>
                <w:sz w:val="18"/>
              </w:rPr>
            </w:pPr>
            <w:hyperlink w:history="true" w:anchor="_bookmark21">
              <w:r>
                <w:rPr>
                  <w:color w:val="0000FF"/>
                  <w:sz w:val="18"/>
                  <w:u w:val="single" w:color="0000FF"/>
                </w:rPr>
                <w:t>Other</w:t>
              </w:r>
              <w:r>
                <w:rPr>
                  <w:color w:val="0000FF"/>
                  <w:spacing w:val="-1"/>
                  <w:sz w:val="18"/>
                  <w:u w:val="single" w:color="0000FF"/>
                </w:rPr>
                <w:t> </w:t>
              </w:r>
              <w:r>
                <w:rPr>
                  <w:color w:val="0000FF"/>
                  <w:spacing w:val="-2"/>
                  <w:sz w:val="18"/>
                  <w:u w:val="single" w:color="0000FF"/>
                </w:rPr>
                <w:t>Information</w:t>
              </w:r>
            </w:hyperlink>
          </w:p>
        </w:tc>
        <w:tc>
          <w:tcPr>
            <w:tcW w:w="1525" w:type="dxa"/>
          </w:tcPr>
          <w:p>
            <w:pPr>
              <w:pStyle w:val="TableParagraph"/>
              <w:spacing w:before="27"/>
              <w:ind w:left="3" w:right="4"/>
              <w:jc w:val="center"/>
              <w:rPr>
                <w:sz w:val="18"/>
              </w:rPr>
            </w:pPr>
            <w:hyperlink w:history="true" w:anchor="_bookmark21">
              <w:r>
                <w:rPr>
                  <w:spacing w:val="-5"/>
                  <w:sz w:val="18"/>
                </w:rPr>
                <w:t>101</w:t>
              </w:r>
            </w:hyperlink>
          </w:p>
        </w:tc>
      </w:tr>
      <w:tr>
        <w:trPr>
          <w:trHeight w:val="227" w:hRule="atLeast"/>
        </w:trPr>
        <w:tc>
          <w:tcPr>
            <w:tcW w:w="857" w:type="dxa"/>
          </w:tcPr>
          <w:p>
            <w:pPr>
              <w:pStyle w:val="TableParagraph"/>
              <w:spacing w:line="187" w:lineRule="exact"/>
              <w:ind w:left="50"/>
              <w:rPr>
                <w:sz w:val="18"/>
              </w:rPr>
            </w:pPr>
            <w:r>
              <w:rPr>
                <w:sz w:val="18"/>
              </w:rPr>
              <w:t>Item</w:t>
            </w:r>
            <w:r>
              <w:rPr>
                <w:spacing w:val="-1"/>
                <w:sz w:val="18"/>
              </w:rPr>
              <w:t> </w:t>
            </w:r>
            <w:r>
              <w:rPr>
                <w:spacing w:val="-5"/>
                <w:sz w:val="18"/>
              </w:rPr>
              <w:t>9C.</w:t>
            </w:r>
          </w:p>
        </w:tc>
        <w:tc>
          <w:tcPr>
            <w:tcW w:w="9164" w:type="dxa"/>
            <w:gridSpan w:val="2"/>
          </w:tcPr>
          <w:p>
            <w:pPr>
              <w:pStyle w:val="TableParagraph"/>
              <w:spacing w:line="187" w:lineRule="exact"/>
              <w:ind w:left="167"/>
              <w:rPr>
                <w:sz w:val="18"/>
              </w:rPr>
            </w:pPr>
            <w:hyperlink w:history="true" w:anchor="_bookmark22">
              <w:r>
                <w:rPr>
                  <w:color w:val="0000FF"/>
                  <w:sz w:val="18"/>
                  <w:u w:val="single" w:color="0000FF"/>
                </w:rPr>
                <w:t>Disclosure</w:t>
              </w:r>
              <w:r>
                <w:rPr>
                  <w:color w:val="0000FF"/>
                  <w:spacing w:val="-2"/>
                  <w:sz w:val="18"/>
                  <w:u w:val="single" w:color="0000FF"/>
                </w:rPr>
                <w:t> </w:t>
              </w:r>
              <w:r>
                <w:rPr>
                  <w:color w:val="0000FF"/>
                  <w:sz w:val="18"/>
                  <w:u w:val="single" w:color="0000FF"/>
                </w:rPr>
                <w:t>Regarding</w:t>
              </w:r>
              <w:r>
                <w:rPr>
                  <w:color w:val="0000FF"/>
                  <w:spacing w:val="-9"/>
                  <w:sz w:val="18"/>
                  <w:u w:val="single" w:color="0000FF"/>
                </w:rPr>
                <w:t> </w:t>
              </w:r>
              <w:r>
                <w:rPr>
                  <w:color w:val="0000FF"/>
                  <w:sz w:val="18"/>
                  <w:u w:val="single" w:color="0000FF"/>
                </w:rPr>
                <w:t>Fore</w:t>
              </w:r>
              <w:r>
                <w:rPr>
                  <w:color w:val="0000FF"/>
                  <w:sz w:val="18"/>
                </w:rPr>
                <w:t>ig</w:t>
              </w:r>
              <w:r>
                <w:rPr>
                  <w:color w:val="0000FF"/>
                  <w:sz w:val="18"/>
                  <w:u w:val="single" w:color="0000FF"/>
                </w:rPr>
                <w:t>n</w:t>
              </w:r>
              <w:r>
                <w:rPr>
                  <w:color w:val="0000FF"/>
                  <w:spacing w:val="1"/>
                  <w:sz w:val="18"/>
                  <w:u w:val="single" w:color="0000FF"/>
                </w:rPr>
                <w:t> </w:t>
              </w:r>
              <w:r>
                <w:rPr>
                  <w:color w:val="0000FF"/>
                  <w:sz w:val="18"/>
                  <w:u w:val="single" w:color="0000FF"/>
                </w:rPr>
                <w:t>Jurisdictions that</w:t>
              </w:r>
              <w:r>
                <w:rPr>
                  <w:color w:val="0000FF"/>
                  <w:spacing w:val="1"/>
                  <w:sz w:val="18"/>
                  <w:u w:val="single" w:color="0000FF"/>
                </w:rPr>
                <w:t> </w:t>
              </w:r>
              <w:r>
                <w:rPr>
                  <w:color w:val="0000FF"/>
                  <w:sz w:val="18"/>
                  <w:u w:val="single" w:color="0000FF"/>
                </w:rPr>
                <w:t>Prevent</w:t>
              </w:r>
              <w:r>
                <w:rPr>
                  <w:color w:val="0000FF"/>
                  <w:spacing w:val="1"/>
                  <w:sz w:val="18"/>
                  <w:u w:val="single" w:color="0000FF"/>
                </w:rPr>
                <w:t> </w:t>
              </w:r>
              <w:r>
                <w:rPr>
                  <w:color w:val="0000FF"/>
                  <w:spacing w:val="-2"/>
                  <w:sz w:val="18"/>
                  <w:u w:val="single" w:color="0000FF"/>
                </w:rPr>
                <w:t>Inspections</w:t>
              </w:r>
            </w:hyperlink>
          </w:p>
        </w:tc>
        <w:tc>
          <w:tcPr>
            <w:tcW w:w="1525" w:type="dxa"/>
          </w:tcPr>
          <w:p>
            <w:pPr>
              <w:pStyle w:val="TableParagraph"/>
              <w:spacing w:line="187" w:lineRule="exact"/>
              <w:ind w:left="3" w:right="4"/>
              <w:jc w:val="center"/>
              <w:rPr>
                <w:sz w:val="18"/>
              </w:rPr>
            </w:pPr>
            <w:hyperlink w:history="true" w:anchor="_bookmark22">
              <w:r>
                <w:rPr>
                  <w:spacing w:val="-5"/>
                  <w:sz w:val="18"/>
                </w:rPr>
                <w:t>101</w:t>
              </w:r>
            </w:hyperlink>
          </w:p>
        </w:tc>
      </w:tr>
      <w:tr>
        <w:trPr>
          <w:trHeight w:val="256" w:hRule="atLeast"/>
        </w:trPr>
        <w:tc>
          <w:tcPr>
            <w:tcW w:w="857" w:type="dxa"/>
          </w:tcPr>
          <w:p>
            <w:pPr>
              <w:pStyle w:val="TableParagraph"/>
              <w:spacing w:before="0"/>
              <w:rPr>
                <w:sz w:val="16"/>
              </w:rPr>
            </w:pPr>
          </w:p>
        </w:tc>
        <w:tc>
          <w:tcPr>
            <w:tcW w:w="3554" w:type="dxa"/>
          </w:tcPr>
          <w:p>
            <w:pPr>
              <w:pStyle w:val="TableParagraph"/>
              <w:spacing w:before="0"/>
              <w:rPr>
                <w:sz w:val="16"/>
              </w:rPr>
            </w:pPr>
          </w:p>
        </w:tc>
        <w:tc>
          <w:tcPr>
            <w:tcW w:w="5610" w:type="dxa"/>
          </w:tcPr>
          <w:p>
            <w:pPr>
              <w:pStyle w:val="TableParagraph"/>
              <w:spacing w:line="187" w:lineRule="exact" w:before="49"/>
              <w:ind w:right="2850"/>
              <w:jc w:val="center"/>
              <w:rPr>
                <w:b/>
                <w:sz w:val="18"/>
              </w:rPr>
            </w:pPr>
            <w:r>
              <w:rPr>
                <w:b/>
                <w:spacing w:val="-5"/>
                <w:sz w:val="18"/>
              </w:rPr>
              <w:t>PART III</w:t>
            </w:r>
          </w:p>
        </w:tc>
        <w:tc>
          <w:tcPr>
            <w:tcW w:w="1525" w:type="dxa"/>
          </w:tcPr>
          <w:p>
            <w:pPr>
              <w:pStyle w:val="TableParagraph"/>
              <w:spacing w:before="0"/>
              <w:rPr>
                <w:sz w:val="16"/>
              </w:rPr>
            </w:pPr>
          </w:p>
        </w:tc>
      </w:tr>
      <w:tr>
        <w:trPr>
          <w:trHeight w:val="285" w:hRule="atLeast"/>
        </w:trPr>
        <w:tc>
          <w:tcPr>
            <w:tcW w:w="857" w:type="dxa"/>
          </w:tcPr>
          <w:p>
            <w:pPr>
              <w:pStyle w:val="TableParagraph"/>
              <w:spacing w:before="49"/>
              <w:ind w:left="50"/>
              <w:rPr>
                <w:sz w:val="18"/>
              </w:rPr>
            </w:pPr>
            <w:r>
              <w:rPr>
                <w:sz w:val="18"/>
              </w:rPr>
              <w:t>Item</w:t>
            </w:r>
            <w:r>
              <w:rPr>
                <w:spacing w:val="-1"/>
                <w:sz w:val="18"/>
              </w:rPr>
              <w:t> </w:t>
            </w:r>
            <w:r>
              <w:rPr>
                <w:spacing w:val="-5"/>
                <w:sz w:val="18"/>
              </w:rPr>
              <w:t>10.</w:t>
            </w:r>
          </w:p>
        </w:tc>
        <w:tc>
          <w:tcPr>
            <w:tcW w:w="9164" w:type="dxa"/>
            <w:gridSpan w:val="2"/>
          </w:tcPr>
          <w:p>
            <w:pPr>
              <w:pStyle w:val="TableParagraph"/>
              <w:spacing w:before="49"/>
              <w:ind w:left="167"/>
              <w:rPr>
                <w:sz w:val="18"/>
              </w:rPr>
            </w:pPr>
            <w:hyperlink w:history="true" w:anchor="_bookmark23">
              <w:r>
                <w:rPr>
                  <w:color w:val="0000FF"/>
                  <w:sz w:val="18"/>
                  <w:u w:val="single" w:color="0000FF"/>
                </w:rPr>
                <w:t>Directors,</w:t>
              </w:r>
              <w:r>
                <w:rPr>
                  <w:color w:val="0000FF"/>
                  <w:spacing w:val="-2"/>
                  <w:sz w:val="18"/>
                  <w:u w:val="single" w:color="0000FF"/>
                </w:rPr>
                <w:t> </w:t>
              </w:r>
              <w:r>
                <w:rPr>
                  <w:color w:val="0000FF"/>
                  <w:sz w:val="18"/>
                  <w:u w:val="single" w:color="0000FF"/>
                </w:rPr>
                <w:t>Executive</w:t>
              </w:r>
              <w:r>
                <w:rPr>
                  <w:color w:val="0000FF"/>
                  <w:spacing w:val="-2"/>
                  <w:sz w:val="18"/>
                  <w:u w:val="single" w:color="0000FF"/>
                </w:rPr>
                <w:t> </w:t>
              </w:r>
              <w:r>
                <w:rPr>
                  <w:color w:val="0000FF"/>
                  <w:sz w:val="18"/>
                  <w:u w:val="single" w:color="0000FF"/>
                </w:rPr>
                <w:t>Officers</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Corporate</w:t>
              </w:r>
              <w:r>
                <w:rPr>
                  <w:color w:val="0000FF"/>
                  <w:spacing w:val="-1"/>
                  <w:sz w:val="18"/>
                  <w:u w:val="single" w:color="0000FF"/>
                </w:rPr>
                <w:t> </w:t>
              </w:r>
              <w:r>
                <w:rPr>
                  <w:color w:val="0000FF"/>
                  <w:spacing w:val="-2"/>
                  <w:sz w:val="18"/>
                  <w:u w:val="single" w:color="0000FF"/>
                </w:rPr>
                <w:t>Governance</w:t>
              </w:r>
            </w:hyperlink>
          </w:p>
        </w:tc>
        <w:tc>
          <w:tcPr>
            <w:tcW w:w="1525" w:type="dxa"/>
          </w:tcPr>
          <w:p>
            <w:pPr>
              <w:pStyle w:val="TableParagraph"/>
              <w:spacing w:before="49"/>
              <w:ind w:left="3" w:right="4"/>
              <w:jc w:val="center"/>
              <w:rPr>
                <w:sz w:val="18"/>
              </w:rPr>
            </w:pPr>
            <w:hyperlink w:history="true" w:anchor="_bookmark23">
              <w:r>
                <w:rPr>
                  <w:spacing w:val="-5"/>
                  <w:sz w:val="18"/>
                </w:rPr>
                <w:t>102</w:t>
              </w:r>
            </w:hyperlink>
          </w:p>
        </w:tc>
      </w:tr>
      <w:tr>
        <w:trPr>
          <w:trHeight w:val="256" w:hRule="atLeast"/>
        </w:trPr>
        <w:tc>
          <w:tcPr>
            <w:tcW w:w="857" w:type="dxa"/>
          </w:tcPr>
          <w:p>
            <w:pPr>
              <w:pStyle w:val="TableParagraph"/>
              <w:ind w:left="50"/>
              <w:rPr>
                <w:sz w:val="18"/>
              </w:rPr>
            </w:pPr>
            <w:r>
              <w:rPr>
                <w:sz w:val="18"/>
              </w:rPr>
              <w:t>Item</w:t>
            </w:r>
            <w:r>
              <w:rPr>
                <w:spacing w:val="-1"/>
                <w:sz w:val="18"/>
              </w:rPr>
              <w:t> </w:t>
            </w:r>
            <w:r>
              <w:rPr>
                <w:spacing w:val="-5"/>
                <w:sz w:val="18"/>
              </w:rPr>
              <w:t>11.</w:t>
            </w:r>
          </w:p>
        </w:tc>
        <w:tc>
          <w:tcPr>
            <w:tcW w:w="9164" w:type="dxa"/>
            <w:gridSpan w:val="2"/>
          </w:tcPr>
          <w:p>
            <w:pPr>
              <w:pStyle w:val="TableParagraph"/>
              <w:ind w:left="167"/>
              <w:rPr>
                <w:sz w:val="18"/>
              </w:rPr>
            </w:pPr>
            <w:hyperlink w:history="true" w:anchor="_bookmark24">
              <w:r>
                <w:rPr>
                  <w:color w:val="0000FF"/>
                  <w:sz w:val="18"/>
                  <w:u w:val="single" w:color="0000FF"/>
                </w:rPr>
                <w:t>Executive</w:t>
              </w:r>
              <w:r>
                <w:rPr>
                  <w:color w:val="0000FF"/>
                  <w:spacing w:val="-3"/>
                  <w:sz w:val="18"/>
                  <w:u w:val="single" w:color="0000FF"/>
                </w:rPr>
                <w:t> </w:t>
              </w:r>
              <w:r>
                <w:rPr>
                  <w:color w:val="0000FF"/>
                  <w:spacing w:val="-2"/>
                  <w:sz w:val="18"/>
                  <w:u w:val="single" w:color="0000FF"/>
                </w:rPr>
                <w:t>Compensation</w:t>
              </w:r>
            </w:hyperlink>
          </w:p>
        </w:tc>
        <w:tc>
          <w:tcPr>
            <w:tcW w:w="1525" w:type="dxa"/>
          </w:tcPr>
          <w:p>
            <w:pPr>
              <w:pStyle w:val="TableParagraph"/>
              <w:ind w:left="3" w:right="4"/>
              <w:jc w:val="center"/>
              <w:rPr>
                <w:sz w:val="18"/>
              </w:rPr>
            </w:pPr>
            <w:hyperlink w:history="true" w:anchor="_bookmark24">
              <w:r>
                <w:rPr>
                  <w:spacing w:val="-5"/>
                  <w:sz w:val="18"/>
                </w:rPr>
                <w:t>102</w:t>
              </w:r>
            </w:hyperlink>
          </w:p>
        </w:tc>
      </w:tr>
      <w:tr>
        <w:trPr>
          <w:trHeight w:val="263" w:hRule="atLeast"/>
        </w:trPr>
        <w:tc>
          <w:tcPr>
            <w:tcW w:w="857" w:type="dxa"/>
          </w:tcPr>
          <w:p>
            <w:pPr>
              <w:pStyle w:val="TableParagraph"/>
              <w:ind w:left="50"/>
              <w:rPr>
                <w:sz w:val="18"/>
              </w:rPr>
            </w:pPr>
            <w:r>
              <w:rPr>
                <w:sz w:val="18"/>
              </w:rPr>
              <w:t>Item</w:t>
            </w:r>
            <w:r>
              <w:rPr>
                <w:spacing w:val="-1"/>
                <w:sz w:val="18"/>
              </w:rPr>
              <w:t> </w:t>
            </w:r>
            <w:r>
              <w:rPr>
                <w:spacing w:val="-5"/>
                <w:sz w:val="18"/>
              </w:rPr>
              <w:t>12.</w:t>
            </w:r>
          </w:p>
        </w:tc>
        <w:tc>
          <w:tcPr>
            <w:tcW w:w="9164" w:type="dxa"/>
            <w:gridSpan w:val="2"/>
          </w:tcPr>
          <w:p>
            <w:pPr>
              <w:pStyle w:val="TableParagraph"/>
              <w:ind w:left="167"/>
              <w:rPr>
                <w:sz w:val="18"/>
              </w:rPr>
            </w:pPr>
            <w:hyperlink w:history="true" w:anchor="_bookmark25">
              <w:r>
                <w:rPr>
                  <w:color w:val="0000FF"/>
                  <w:sz w:val="18"/>
                  <w:u w:val="single" w:color="0000FF"/>
                </w:rPr>
                <w:t>Securi</w:t>
              </w:r>
              <w:r>
                <w:rPr>
                  <w:color w:val="0000FF"/>
                  <w:sz w:val="18"/>
                </w:rPr>
                <w:t>ty</w:t>
              </w:r>
              <w:r>
                <w:rPr>
                  <w:color w:val="0000FF"/>
                  <w:spacing w:val="23"/>
                  <w:sz w:val="18"/>
                  <w:u w:val="single" w:color="0000FF"/>
                </w:rPr>
                <w:t> </w:t>
              </w:r>
              <w:r>
                <w:rPr>
                  <w:color w:val="0000FF"/>
                  <w:sz w:val="18"/>
                  <w:u w:val="single" w:color="0000FF"/>
                </w:rPr>
                <w:t>Ownership</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Certain</w:t>
              </w:r>
              <w:r>
                <w:rPr>
                  <w:color w:val="0000FF"/>
                  <w:spacing w:val="-4"/>
                  <w:sz w:val="18"/>
                  <w:u w:val="single" w:color="0000FF"/>
                </w:rPr>
                <w:t> </w:t>
              </w:r>
              <w:r>
                <w:rPr>
                  <w:color w:val="0000FF"/>
                  <w:sz w:val="18"/>
                  <w:u w:val="single" w:color="0000FF"/>
                </w:rPr>
                <w:t>Beneficial</w:t>
              </w:r>
              <w:r>
                <w:rPr>
                  <w:color w:val="0000FF"/>
                  <w:spacing w:val="-4"/>
                  <w:sz w:val="18"/>
                  <w:u w:val="single" w:color="0000FF"/>
                </w:rPr>
                <w:t> </w:t>
              </w:r>
              <w:r>
                <w:rPr>
                  <w:color w:val="0000FF"/>
                  <w:sz w:val="18"/>
                  <w:u w:val="single" w:color="0000FF"/>
                </w:rPr>
                <w:t>Owners</w:t>
              </w:r>
              <w:r>
                <w:rPr>
                  <w:color w:val="0000FF"/>
                  <w:spacing w:val="-3"/>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Management</w:t>
              </w:r>
              <w:r>
                <w:rPr>
                  <w:color w:val="0000FF"/>
                  <w:spacing w:val="-4"/>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Related</w:t>
              </w:r>
              <w:r>
                <w:rPr>
                  <w:color w:val="0000FF"/>
                  <w:spacing w:val="-4"/>
                  <w:sz w:val="18"/>
                  <w:u w:val="single" w:color="0000FF"/>
                </w:rPr>
                <w:t> </w:t>
              </w:r>
              <w:r>
                <w:rPr>
                  <w:color w:val="0000FF"/>
                  <w:sz w:val="18"/>
                  <w:u w:val="single" w:color="0000FF"/>
                </w:rPr>
                <w:t>Stockholder</w:t>
              </w:r>
              <w:r>
                <w:rPr>
                  <w:color w:val="0000FF"/>
                  <w:spacing w:val="-3"/>
                  <w:sz w:val="18"/>
                  <w:u w:val="single" w:color="0000FF"/>
                </w:rPr>
                <w:t> </w:t>
              </w:r>
              <w:r>
                <w:rPr>
                  <w:color w:val="0000FF"/>
                  <w:spacing w:val="-2"/>
                  <w:sz w:val="18"/>
                  <w:u w:val="single" w:color="0000FF"/>
                </w:rPr>
                <w:t>Matters</w:t>
              </w:r>
            </w:hyperlink>
          </w:p>
        </w:tc>
        <w:tc>
          <w:tcPr>
            <w:tcW w:w="1525" w:type="dxa"/>
          </w:tcPr>
          <w:p>
            <w:pPr>
              <w:pStyle w:val="TableParagraph"/>
              <w:ind w:left="3" w:right="4"/>
              <w:jc w:val="center"/>
              <w:rPr>
                <w:sz w:val="18"/>
              </w:rPr>
            </w:pPr>
            <w:hyperlink w:history="true" w:anchor="_bookmark25">
              <w:r>
                <w:rPr>
                  <w:spacing w:val="-5"/>
                  <w:sz w:val="18"/>
                </w:rPr>
                <w:t>102</w:t>
              </w:r>
            </w:hyperlink>
          </w:p>
        </w:tc>
      </w:tr>
      <w:tr>
        <w:trPr>
          <w:trHeight w:val="263" w:hRule="atLeast"/>
        </w:trPr>
        <w:tc>
          <w:tcPr>
            <w:tcW w:w="857" w:type="dxa"/>
          </w:tcPr>
          <w:p>
            <w:pPr>
              <w:pStyle w:val="TableParagraph"/>
              <w:spacing w:before="27"/>
              <w:ind w:left="50"/>
              <w:rPr>
                <w:sz w:val="18"/>
              </w:rPr>
            </w:pPr>
            <w:r>
              <w:rPr>
                <w:sz w:val="18"/>
              </w:rPr>
              <w:t>Item</w:t>
            </w:r>
            <w:r>
              <w:rPr>
                <w:spacing w:val="-1"/>
                <w:sz w:val="18"/>
              </w:rPr>
              <w:t> </w:t>
            </w:r>
            <w:r>
              <w:rPr>
                <w:spacing w:val="-5"/>
                <w:sz w:val="18"/>
              </w:rPr>
              <w:t>13.</w:t>
            </w:r>
          </w:p>
        </w:tc>
        <w:tc>
          <w:tcPr>
            <w:tcW w:w="9164" w:type="dxa"/>
            <w:gridSpan w:val="2"/>
          </w:tcPr>
          <w:p>
            <w:pPr>
              <w:pStyle w:val="TableParagraph"/>
              <w:spacing w:before="27"/>
              <w:ind w:left="167"/>
              <w:rPr>
                <w:sz w:val="18"/>
              </w:rPr>
            </w:pPr>
            <w:hyperlink w:history="true" w:anchor="_bookmark26">
              <w:r>
                <w:rPr>
                  <w:color w:val="0000FF"/>
                  <w:sz w:val="18"/>
                  <w:u w:val="single" w:color="0000FF"/>
                </w:rPr>
                <w:t>Certain</w:t>
              </w:r>
              <w:r>
                <w:rPr>
                  <w:color w:val="0000FF"/>
                  <w:spacing w:val="-2"/>
                  <w:sz w:val="18"/>
                  <w:u w:val="single" w:color="0000FF"/>
                </w:rPr>
                <w:t> </w:t>
              </w:r>
              <w:r>
                <w:rPr>
                  <w:color w:val="0000FF"/>
                  <w:sz w:val="18"/>
                  <w:u w:val="single" w:color="0000FF"/>
                </w:rPr>
                <w:t>Relationships</w:t>
              </w:r>
              <w:r>
                <w:rPr>
                  <w:color w:val="0000FF"/>
                  <w:spacing w:val="-3"/>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Related</w:t>
              </w:r>
              <w:r>
                <w:rPr>
                  <w:color w:val="0000FF"/>
                  <w:spacing w:val="-4"/>
                  <w:sz w:val="18"/>
                  <w:u w:val="single" w:color="0000FF"/>
                </w:rPr>
                <w:t> </w:t>
              </w:r>
              <w:r>
                <w:rPr>
                  <w:color w:val="0000FF"/>
                  <w:sz w:val="18"/>
                  <w:u w:val="single" w:color="0000FF"/>
                </w:rPr>
                <w:t>Transactions,</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Director</w:t>
              </w:r>
              <w:r>
                <w:rPr>
                  <w:color w:val="0000FF"/>
                  <w:spacing w:val="-2"/>
                  <w:sz w:val="18"/>
                  <w:u w:val="single" w:color="0000FF"/>
                </w:rPr>
                <w:t> Independence</w:t>
              </w:r>
            </w:hyperlink>
          </w:p>
        </w:tc>
        <w:tc>
          <w:tcPr>
            <w:tcW w:w="1525" w:type="dxa"/>
          </w:tcPr>
          <w:p>
            <w:pPr>
              <w:pStyle w:val="TableParagraph"/>
              <w:spacing w:before="27"/>
              <w:ind w:left="3" w:right="4"/>
              <w:jc w:val="center"/>
              <w:rPr>
                <w:sz w:val="18"/>
              </w:rPr>
            </w:pPr>
            <w:hyperlink w:history="true" w:anchor="_bookmark26">
              <w:r>
                <w:rPr>
                  <w:spacing w:val="-5"/>
                  <w:sz w:val="18"/>
                </w:rPr>
                <w:t>102</w:t>
              </w:r>
            </w:hyperlink>
          </w:p>
        </w:tc>
      </w:tr>
      <w:tr>
        <w:trPr>
          <w:trHeight w:val="227" w:hRule="atLeast"/>
        </w:trPr>
        <w:tc>
          <w:tcPr>
            <w:tcW w:w="857" w:type="dxa"/>
          </w:tcPr>
          <w:p>
            <w:pPr>
              <w:pStyle w:val="TableParagraph"/>
              <w:spacing w:line="187" w:lineRule="exact"/>
              <w:ind w:left="50"/>
              <w:rPr>
                <w:sz w:val="18"/>
              </w:rPr>
            </w:pPr>
            <w:r>
              <w:rPr>
                <w:sz w:val="18"/>
              </w:rPr>
              <w:t>Item</w:t>
            </w:r>
            <w:r>
              <w:rPr>
                <w:spacing w:val="-1"/>
                <w:sz w:val="18"/>
              </w:rPr>
              <w:t> </w:t>
            </w:r>
            <w:r>
              <w:rPr>
                <w:spacing w:val="-5"/>
                <w:sz w:val="18"/>
              </w:rPr>
              <w:t>14.</w:t>
            </w:r>
          </w:p>
        </w:tc>
        <w:tc>
          <w:tcPr>
            <w:tcW w:w="9164" w:type="dxa"/>
            <w:gridSpan w:val="2"/>
          </w:tcPr>
          <w:p>
            <w:pPr>
              <w:pStyle w:val="TableParagraph"/>
              <w:spacing w:line="187" w:lineRule="exact"/>
              <w:ind w:left="167"/>
              <w:rPr>
                <w:sz w:val="18"/>
              </w:rPr>
            </w:pPr>
            <w:hyperlink w:history="true" w:anchor="_bookmark27">
              <w:r>
                <w:rPr>
                  <w:color w:val="0000FF"/>
                  <w:sz w:val="18"/>
                  <w:u w:val="single" w:color="0000FF"/>
                </w:rPr>
                <w:t>Principal</w:t>
              </w:r>
              <w:r>
                <w:rPr>
                  <w:color w:val="0000FF"/>
                  <w:spacing w:val="-8"/>
                  <w:sz w:val="18"/>
                  <w:u w:val="single" w:color="0000FF"/>
                </w:rPr>
                <w:t> </w:t>
              </w:r>
              <w:r>
                <w:rPr>
                  <w:color w:val="0000FF"/>
                  <w:sz w:val="18"/>
                  <w:u w:val="single" w:color="0000FF"/>
                </w:rPr>
                <w:t>Accounting</w:t>
              </w:r>
              <w:r>
                <w:rPr>
                  <w:color w:val="0000FF"/>
                  <w:spacing w:val="-9"/>
                  <w:sz w:val="18"/>
                  <w:u w:val="single" w:color="0000FF"/>
                </w:rPr>
                <w:t> </w:t>
              </w:r>
              <w:r>
                <w:rPr>
                  <w:color w:val="0000FF"/>
                  <w:sz w:val="18"/>
                  <w:u w:val="single" w:color="0000FF"/>
                </w:rPr>
                <w:t>Fees</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pacing w:val="-2"/>
                  <w:sz w:val="18"/>
                  <w:u w:val="single" w:color="0000FF"/>
                </w:rPr>
                <w:t>Services</w:t>
              </w:r>
            </w:hyperlink>
          </w:p>
        </w:tc>
        <w:tc>
          <w:tcPr>
            <w:tcW w:w="1525" w:type="dxa"/>
          </w:tcPr>
          <w:p>
            <w:pPr>
              <w:pStyle w:val="TableParagraph"/>
              <w:spacing w:line="187" w:lineRule="exact"/>
              <w:ind w:left="3" w:right="4"/>
              <w:jc w:val="center"/>
              <w:rPr>
                <w:sz w:val="18"/>
              </w:rPr>
            </w:pPr>
            <w:hyperlink w:history="true" w:anchor="_bookmark27">
              <w:r>
                <w:rPr>
                  <w:spacing w:val="-5"/>
                  <w:sz w:val="18"/>
                </w:rPr>
                <w:t>102</w:t>
              </w:r>
            </w:hyperlink>
          </w:p>
        </w:tc>
      </w:tr>
      <w:tr>
        <w:trPr>
          <w:trHeight w:val="256" w:hRule="atLeast"/>
        </w:trPr>
        <w:tc>
          <w:tcPr>
            <w:tcW w:w="857" w:type="dxa"/>
          </w:tcPr>
          <w:p>
            <w:pPr>
              <w:pStyle w:val="TableParagraph"/>
              <w:spacing w:before="0"/>
              <w:rPr>
                <w:sz w:val="16"/>
              </w:rPr>
            </w:pPr>
          </w:p>
        </w:tc>
        <w:tc>
          <w:tcPr>
            <w:tcW w:w="3554" w:type="dxa"/>
          </w:tcPr>
          <w:p>
            <w:pPr>
              <w:pStyle w:val="TableParagraph"/>
              <w:spacing w:before="0"/>
              <w:rPr>
                <w:sz w:val="16"/>
              </w:rPr>
            </w:pPr>
          </w:p>
        </w:tc>
        <w:tc>
          <w:tcPr>
            <w:tcW w:w="5610" w:type="dxa"/>
          </w:tcPr>
          <w:p>
            <w:pPr>
              <w:pStyle w:val="TableParagraph"/>
              <w:spacing w:line="187" w:lineRule="exact" w:before="49"/>
              <w:ind w:right="2850"/>
              <w:jc w:val="center"/>
              <w:rPr>
                <w:b/>
                <w:sz w:val="18"/>
              </w:rPr>
            </w:pPr>
            <w:r>
              <w:rPr>
                <w:b/>
                <w:spacing w:val="-5"/>
                <w:sz w:val="18"/>
              </w:rPr>
              <w:t>PART IV</w:t>
            </w:r>
          </w:p>
        </w:tc>
        <w:tc>
          <w:tcPr>
            <w:tcW w:w="1525" w:type="dxa"/>
          </w:tcPr>
          <w:p>
            <w:pPr>
              <w:pStyle w:val="TableParagraph"/>
              <w:spacing w:before="0"/>
              <w:rPr>
                <w:sz w:val="16"/>
              </w:rPr>
            </w:pPr>
          </w:p>
        </w:tc>
      </w:tr>
      <w:tr>
        <w:trPr>
          <w:trHeight w:val="285" w:hRule="atLeast"/>
        </w:trPr>
        <w:tc>
          <w:tcPr>
            <w:tcW w:w="857" w:type="dxa"/>
          </w:tcPr>
          <w:p>
            <w:pPr>
              <w:pStyle w:val="TableParagraph"/>
              <w:spacing w:before="49"/>
              <w:ind w:left="50"/>
              <w:rPr>
                <w:sz w:val="18"/>
              </w:rPr>
            </w:pPr>
            <w:r>
              <w:rPr>
                <w:sz w:val="18"/>
              </w:rPr>
              <w:t>Item</w:t>
            </w:r>
            <w:r>
              <w:rPr>
                <w:spacing w:val="-1"/>
                <w:sz w:val="18"/>
              </w:rPr>
              <w:t> </w:t>
            </w:r>
            <w:r>
              <w:rPr>
                <w:spacing w:val="-5"/>
                <w:sz w:val="18"/>
              </w:rPr>
              <w:t>15.</w:t>
            </w:r>
          </w:p>
        </w:tc>
        <w:tc>
          <w:tcPr>
            <w:tcW w:w="3554" w:type="dxa"/>
          </w:tcPr>
          <w:p>
            <w:pPr>
              <w:pStyle w:val="TableParagraph"/>
              <w:spacing w:before="49"/>
              <w:ind w:left="167"/>
              <w:rPr>
                <w:sz w:val="18"/>
              </w:rPr>
            </w:pPr>
            <w:hyperlink w:history="true" w:anchor="_bookmark28">
              <w:r>
                <w:rPr>
                  <w:color w:val="0000FF"/>
                  <w:sz w:val="18"/>
                  <w:u w:val="single" w:color="0000FF"/>
                </w:rPr>
                <w:t>Exhibits,</w:t>
              </w:r>
              <w:r>
                <w:rPr>
                  <w:color w:val="0000FF"/>
                  <w:spacing w:val="-1"/>
                  <w:sz w:val="18"/>
                  <w:u w:val="single" w:color="0000FF"/>
                </w:rPr>
                <w:t> </w:t>
              </w:r>
              <w:r>
                <w:rPr>
                  <w:color w:val="0000FF"/>
                  <w:sz w:val="18"/>
                  <w:u w:val="single" w:color="0000FF"/>
                </w:rPr>
                <w:t>Financial</w:t>
              </w:r>
              <w:r>
                <w:rPr>
                  <w:color w:val="0000FF"/>
                  <w:spacing w:val="-1"/>
                  <w:sz w:val="18"/>
                  <w:u w:val="single" w:color="0000FF"/>
                </w:rPr>
                <w:t> </w:t>
              </w:r>
              <w:r>
                <w:rPr>
                  <w:color w:val="0000FF"/>
                  <w:sz w:val="18"/>
                  <w:u w:val="single" w:color="0000FF"/>
                </w:rPr>
                <w:t>Statements</w:t>
              </w:r>
              <w:r>
                <w:rPr>
                  <w:color w:val="0000FF"/>
                  <w:spacing w:val="-1"/>
                  <w:sz w:val="18"/>
                  <w:u w:val="single" w:color="0000FF"/>
                </w:rPr>
                <w:t> </w:t>
              </w:r>
              <w:r>
                <w:rPr>
                  <w:color w:val="0000FF"/>
                  <w:spacing w:val="-2"/>
                  <w:sz w:val="18"/>
                  <w:u w:val="single" w:color="0000FF"/>
                </w:rPr>
                <w:t>Schedules</w:t>
              </w:r>
            </w:hyperlink>
          </w:p>
        </w:tc>
        <w:tc>
          <w:tcPr>
            <w:tcW w:w="7135" w:type="dxa"/>
            <w:gridSpan w:val="2"/>
          </w:tcPr>
          <w:p>
            <w:pPr>
              <w:pStyle w:val="TableParagraph"/>
              <w:spacing w:before="49"/>
              <w:ind w:right="626"/>
              <w:jc w:val="right"/>
              <w:rPr>
                <w:sz w:val="18"/>
              </w:rPr>
            </w:pPr>
            <w:hyperlink w:history="true" w:anchor="_bookmark28">
              <w:r>
                <w:rPr>
                  <w:spacing w:val="-5"/>
                  <w:sz w:val="18"/>
                </w:rPr>
                <w:t>103</w:t>
              </w:r>
            </w:hyperlink>
          </w:p>
        </w:tc>
      </w:tr>
      <w:tr>
        <w:trPr>
          <w:trHeight w:val="263" w:hRule="atLeast"/>
        </w:trPr>
        <w:tc>
          <w:tcPr>
            <w:tcW w:w="857" w:type="dxa"/>
          </w:tcPr>
          <w:p>
            <w:pPr>
              <w:pStyle w:val="TableParagraph"/>
              <w:ind w:left="50"/>
              <w:rPr>
                <w:sz w:val="18"/>
              </w:rPr>
            </w:pPr>
            <w:r>
              <w:rPr>
                <w:sz w:val="18"/>
              </w:rPr>
              <w:t>Item</w:t>
            </w:r>
            <w:r>
              <w:rPr>
                <w:spacing w:val="-1"/>
                <w:sz w:val="18"/>
              </w:rPr>
              <w:t> </w:t>
            </w:r>
            <w:r>
              <w:rPr>
                <w:spacing w:val="-5"/>
                <w:sz w:val="18"/>
              </w:rPr>
              <w:t>16.</w:t>
            </w:r>
          </w:p>
        </w:tc>
        <w:tc>
          <w:tcPr>
            <w:tcW w:w="3554" w:type="dxa"/>
          </w:tcPr>
          <w:p>
            <w:pPr>
              <w:pStyle w:val="TableParagraph"/>
              <w:ind w:left="167"/>
              <w:rPr>
                <w:sz w:val="18"/>
              </w:rPr>
            </w:pPr>
            <w:r>
              <w:rPr/>
              <mc:AlternateContent>
                <mc:Choice Requires="wps">
                  <w:drawing>
                    <wp:anchor distT="0" distB="0" distL="0" distR="0" allowOverlap="1" layoutInCell="1" locked="0" behindDoc="1" simplePos="0" relativeHeight="477635072">
                      <wp:simplePos x="0" y="0"/>
                      <wp:positionH relativeFrom="column">
                        <wp:posOffset>1071292</wp:posOffset>
                      </wp:positionH>
                      <wp:positionV relativeFrom="paragraph">
                        <wp:posOffset>128617</wp:posOffset>
                      </wp:positionV>
                      <wp:extent cx="19685" cy="889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9685" cy="8890"/>
                                <a:chExt cx="19685" cy="8890"/>
                              </a:xfrm>
                            </wpg:grpSpPr>
                            <wps:wsp>
                              <wps:cNvPr id="20" name="Graphic 20"/>
                              <wps:cNvSpPr/>
                              <wps:spPr>
                                <a:xfrm>
                                  <a:off x="-10" y="0"/>
                                  <a:ext cx="19685" cy="8890"/>
                                </a:xfrm>
                                <a:custGeom>
                                  <a:avLst/>
                                  <a:gdLst/>
                                  <a:ahLst/>
                                  <a:cxnLst/>
                                  <a:rect l="l" t="t" r="r" b="b"/>
                                  <a:pathLst>
                                    <a:path w="19685" h="8890">
                                      <a:moveTo>
                                        <a:pt x="19189" y="0"/>
                                      </a:moveTo>
                                      <a:lnTo>
                                        <a:pt x="0" y="0"/>
                                      </a:lnTo>
                                      <a:lnTo>
                                        <a:pt x="0" y="8572"/>
                                      </a:lnTo>
                                      <a:lnTo>
                                        <a:pt x="19189" y="8572"/>
                                      </a:lnTo>
                                      <a:lnTo>
                                        <a:pt x="19189"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84.353714pt;margin-top:10.127347pt;width:1.55pt;height:.7pt;mso-position-horizontal-relative:column;mso-position-vertical-relative:paragraph;z-index:-25681408" id="docshapegroup18" coordorigin="1687,203" coordsize="31,14">
                      <v:rect style="position:absolute;left:1687;top:202;width:31;height:14" id="docshape19" filled="true" fillcolor="#0000ff" stroked="false">
                        <v:fill type="solid"/>
                      </v:rect>
                      <w10:wrap type="none"/>
                    </v:group>
                  </w:pict>
                </mc:Fallback>
              </mc:AlternateContent>
            </w:r>
            <w:hyperlink w:history="true" w:anchor="_bookmark29">
              <w:r>
                <w:rPr>
                  <w:color w:val="0000FF"/>
                  <w:sz w:val="18"/>
                  <w:u w:val="single" w:color="0000FF"/>
                </w:rPr>
                <w:t>Form</w:t>
              </w:r>
              <w:r>
                <w:rPr>
                  <w:color w:val="0000FF"/>
                  <w:spacing w:val="-1"/>
                  <w:sz w:val="18"/>
                  <w:u w:val="single" w:color="0000FF"/>
                </w:rPr>
                <w:t> </w:t>
              </w:r>
              <w:r>
                <w:rPr>
                  <w:color w:val="0000FF"/>
                  <w:sz w:val="18"/>
                  <w:u w:val="single" w:color="0000FF"/>
                </w:rPr>
                <w:t>10-K</w:t>
              </w:r>
              <w:r>
                <w:rPr>
                  <w:color w:val="0000FF"/>
                  <w:spacing w:val="-1"/>
                  <w:sz w:val="18"/>
                  <w:u w:val="single" w:color="0000FF"/>
                </w:rPr>
                <w:t> </w:t>
              </w:r>
              <w:r>
                <w:rPr>
                  <w:color w:val="0000FF"/>
                  <w:spacing w:val="-2"/>
                  <w:sz w:val="18"/>
                  <w:u w:val="single" w:color="0000FF"/>
                </w:rPr>
                <w:t>Summary</w:t>
              </w:r>
            </w:hyperlink>
          </w:p>
        </w:tc>
        <w:tc>
          <w:tcPr>
            <w:tcW w:w="7135" w:type="dxa"/>
            <w:gridSpan w:val="2"/>
          </w:tcPr>
          <w:p>
            <w:pPr>
              <w:pStyle w:val="TableParagraph"/>
              <w:ind w:right="626"/>
              <w:jc w:val="right"/>
              <w:rPr>
                <w:sz w:val="18"/>
              </w:rPr>
            </w:pPr>
            <w:hyperlink w:history="true" w:anchor="_bookmark29">
              <w:r>
                <w:rPr>
                  <w:spacing w:val="-5"/>
                  <w:sz w:val="18"/>
                </w:rPr>
                <w:t>108</w:t>
              </w:r>
            </w:hyperlink>
          </w:p>
        </w:tc>
      </w:tr>
      <w:tr>
        <w:trPr>
          <w:trHeight w:val="234" w:hRule="atLeast"/>
        </w:trPr>
        <w:tc>
          <w:tcPr>
            <w:tcW w:w="857" w:type="dxa"/>
          </w:tcPr>
          <w:p>
            <w:pPr>
              <w:pStyle w:val="TableParagraph"/>
              <w:spacing w:before="0"/>
              <w:rPr>
                <w:sz w:val="16"/>
              </w:rPr>
            </w:pPr>
          </w:p>
        </w:tc>
        <w:tc>
          <w:tcPr>
            <w:tcW w:w="3554" w:type="dxa"/>
          </w:tcPr>
          <w:p>
            <w:pPr>
              <w:pStyle w:val="TableParagraph"/>
              <w:spacing w:line="187" w:lineRule="exact" w:before="27"/>
              <w:ind w:left="167"/>
              <w:rPr>
                <w:sz w:val="18"/>
              </w:rPr>
            </w:pPr>
            <w:hyperlink w:history="true" w:anchor="_bookmark30">
              <w:r>
                <w:rPr>
                  <w:color w:val="0000FF"/>
                  <w:spacing w:val="-2"/>
                  <w:sz w:val="18"/>
                  <w:u w:val="single" w:color="0000FF"/>
                </w:rPr>
                <w:t>S</w:t>
              </w:r>
              <w:r>
                <w:rPr>
                  <w:color w:val="0000FF"/>
                  <w:spacing w:val="-2"/>
                  <w:sz w:val="18"/>
                </w:rPr>
                <w:t>ig</w:t>
              </w:r>
              <w:r>
                <w:rPr>
                  <w:color w:val="0000FF"/>
                  <w:spacing w:val="-2"/>
                  <w:sz w:val="18"/>
                  <w:u w:val="single" w:color="0000FF"/>
                </w:rPr>
                <w:t>natures</w:t>
              </w:r>
            </w:hyperlink>
          </w:p>
        </w:tc>
        <w:tc>
          <w:tcPr>
            <w:tcW w:w="7135" w:type="dxa"/>
            <w:gridSpan w:val="2"/>
          </w:tcPr>
          <w:p>
            <w:pPr>
              <w:pStyle w:val="TableParagraph"/>
              <w:spacing w:line="187" w:lineRule="exact" w:before="27"/>
              <w:ind w:right="626"/>
              <w:jc w:val="right"/>
              <w:rPr>
                <w:sz w:val="18"/>
              </w:rPr>
            </w:pPr>
            <w:hyperlink w:history="true" w:anchor="_bookmark30">
              <w:r>
                <w:rPr>
                  <w:spacing w:val="-5"/>
                  <w:sz w:val="18"/>
                </w:rPr>
                <w:t>109</w:t>
              </w:r>
            </w:hyperlink>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81"/>
        <w:rPr>
          <w:sz w:val="20"/>
        </w:rPr>
      </w:pPr>
      <w:r>
        <w:rPr/>
        <mc:AlternateContent>
          <mc:Choice Requires="wps">
            <w:drawing>
              <wp:anchor distT="0" distB="0" distL="0" distR="0" allowOverlap="1" layoutInCell="1" locked="0" behindDoc="1" simplePos="0" relativeHeight="487592960">
                <wp:simplePos x="0" y="0"/>
                <wp:positionH relativeFrom="page">
                  <wp:posOffset>231457</wp:posOffset>
                </wp:positionH>
                <wp:positionV relativeFrom="paragraph">
                  <wp:posOffset>212774</wp:posOffset>
                </wp:positionV>
                <wp:extent cx="7312659" cy="1714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7312659" cy="17145"/>
                          <a:chExt cx="7312659" cy="17145"/>
                        </a:xfrm>
                      </wpg:grpSpPr>
                      <wps:wsp>
                        <wps:cNvPr id="22" name="Graphic 2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3" name="Graphic 23"/>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 name="Graphic 2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753899pt;width:575.8pt;height:1.35pt;mso-position-horizontal-relative:page;mso-position-vertical-relative:paragraph;z-index:-15723520;mso-wrap-distance-left:0;mso-wrap-distance-right:0" id="docshapegroup20" coordorigin="364,335" coordsize="11516,27">
                <v:rect style="position:absolute;left:364;top:335;width:11516;height:14" id="docshape21" filled="true" fillcolor="#999999" stroked="false">
                  <v:fill type="solid"/>
                </v:rect>
                <v:shape style="position:absolute;left:364;top:335;width:11516;height:27" id="docshape22" coordorigin="364,335" coordsize="11516,27" path="m11880,335l11866,349,364,349,364,362,11866,362,11880,362,11880,349,11880,335xe" filled="true" fillcolor="#ededed" stroked="false">
                  <v:path arrowok="t"/>
                  <v:fill type="solid"/>
                </v:shape>
                <v:shape style="position:absolute;left:364;top:335;width:14;height:27" id="docshape23" coordorigin="364,335" coordsize="14,27" path="m364,362l364,335,378,335,378,349,364,362xe" filled="true" fillcolor="#999999" stroked="false">
                  <v:path arrowok="t"/>
                  <v:fill type="solid"/>
                </v:shape>
                <w10:wrap type="topAndBottom"/>
              </v:group>
            </w:pict>
          </mc:Fallback>
        </mc:AlternateContent>
      </w:r>
    </w:p>
    <w:p>
      <w:pPr>
        <w:spacing w:after="0"/>
        <w:rPr>
          <w:sz w:val="20"/>
        </w:rPr>
        <w:sectPr>
          <w:pgSz w:w="12240" w:h="15840"/>
          <w:pgMar w:top="1260" w:bottom="280" w:left="220" w:right="240"/>
        </w:sectPr>
      </w:pPr>
    </w:p>
    <w:p>
      <w:pPr>
        <w:pStyle w:val="Heading4"/>
        <w:spacing w:before="79"/>
        <w:ind w:left="24"/>
        <w:jc w:val="center"/>
      </w:pPr>
      <w:r>
        <w:rPr>
          <w:spacing w:val="-5"/>
        </w:rPr>
        <w:t>PART </w:t>
      </w:r>
      <w:r>
        <w:rPr>
          <w:spacing w:val="-10"/>
        </w:rPr>
        <w:t>I</w:t>
      </w:r>
    </w:p>
    <w:p>
      <w:pPr>
        <w:pStyle w:val="BodyText"/>
        <w:spacing w:before="4"/>
        <w:rPr>
          <w:b/>
        </w:rPr>
      </w:pPr>
    </w:p>
    <w:p>
      <w:pPr>
        <w:spacing w:before="0"/>
        <w:ind w:left="144" w:right="0" w:firstLine="0"/>
        <w:jc w:val="left"/>
        <w:rPr>
          <w:b/>
          <w:sz w:val="18"/>
        </w:rPr>
      </w:pPr>
      <w:bookmarkStart w:name="_bookmark0" w:id="1"/>
      <w:bookmarkEnd w:id="1"/>
      <w:r>
        <w:rPr/>
      </w:r>
      <w:r>
        <w:rPr>
          <w:b/>
          <w:sz w:val="18"/>
        </w:rPr>
        <w:t>ITEM</w:t>
      </w:r>
      <w:r>
        <w:rPr>
          <w:b/>
          <w:spacing w:val="-1"/>
          <w:sz w:val="18"/>
        </w:rPr>
        <w:t> </w:t>
      </w:r>
      <w:r>
        <w:rPr>
          <w:b/>
          <w:sz w:val="18"/>
        </w:rPr>
        <w:t>1.</w:t>
      </w:r>
      <w:r>
        <w:rPr>
          <w:b/>
          <w:spacing w:val="44"/>
          <w:sz w:val="18"/>
        </w:rPr>
        <w:t>  </w:t>
      </w:r>
      <w:r>
        <w:rPr>
          <w:b/>
          <w:spacing w:val="-2"/>
          <w:sz w:val="18"/>
        </w:rPr>
        <w:t>BUSINESS</w:t>
      </w:r>
    </w:p>
    <w:p>
      <w:pPr>
        <w:pStyle w:val="BodyText"/>
        <w:spacing w:before="5"/>
        <w:rPr>
          <w:b/>
        </w:rPr>
      </w:pPr>
    </w:p>
    <w:p>
      <w:pPr>
        <w:spacing w:line="242" w:lineRule="auto" w:before="0"/>
        <w:ind w:left="144" w:right="118" w:firstLine="499"/>
        <w:jc w:val="both"/>
        <w:rPr>
          <w:i/>
          <w:sz w:val="18"/>
        </w:rPr>
      </w:pPr>
      <w:r>
        <w:rPr>
          <w:i/>
          <w:sz w:val="18"/>
        </w:rPr>
        <w:t>MGM Resorts International is referred to as the “Company,” “MGM Resorts,” or the “Registrant,” and together with its subsidiaries may also be referred to as “we,” “us” or “our.” MGM China Holdings Limited together with its subsidiaries is referred to as “MGM China.” Except where the </w:t>
      </w:r>
      <w:r>
        <w:rPr>
          <w:i/>
          <w:sz w:val="18"/>
        </w:rPr>
        <w:t>context indicates otherwise, “MGP” refers to MGM Growth Properties LLC together with its consolidated subsidiaries.</w:t>
      </w:r>
    </w:p>
    <w:p>
      <w:pPr>
        <w:pStyle w:val="BodyText"/>
        <w:spacing w:before="2"/>
        <w:rPr>
          <w:i/>
        </w:rPr>
      </w:pPr>
    </w:p>
    <w:p>
      <w:pPr>
        <w:pStyle w:val="Heading5"/>
        <w:spacing w:before="1"/>
        <w:jc w:val="left"/>
      </w:pPr>
      <w:r>
        <w:rPr>
          <w:spacing w:val="-2"/>
        </w:rPr>
        <w:t>Overview</w:t>
      </w:r>
    </w:p>
    <w:p>
      <w:pPr>
        <w:pStyle w:val="BodyText"/>
        <w:spacing w:before="17"/>
        <w:rPr>
          <w:b/>
        </w:rPr>
      </w:pPr>
    </w:p>
    <w:p>
      <w:pPr>
        <w:pStyle w:val="BodyText"/>
        <w:spacing w:before="1"/>
        <w:ind w:left="144" w:right="118" w:firstLine="499"/>
        <w:jc w:val="both"/>
      </w:pPr>
      <w:r>
        <w:rPr/>
        <w:t>MGM Resorts International is a Delaware corporation incorporated in 1986 that acts largely as a holding company and, through subsidiaries, is a </w:t>
      </w:r>
      <w:r>
        <w:rPr/>
        <w:t>global gaming</w:t>
      </w:r>
      <w:r>
        <w:rPr>
          <w:spacing w:val="-3"/>
        </w:rPr>
        <w:t> </w:t>
      </w:r>
      <w:r>
        <w:rPr/>
        <w:t>and</w:t>
      </w:r>
      <w:r>
        <w:rPr>
          <w:spacing w:val="-3"/>
        </w:rPr>
        <w:t> </w:t>
      </w:r>
      <w:r>
        <w:rPr/>
        <w:t>entertainment</w:t>
      </w:r>
      <w:r>
        <w:rPr>
          <w:spacing w:val="-3"/>
        </w:rPr>
        <w:t> </w:t>
      </w:r>
      <w:r>
        <w:rPr/>
        <w:t>company</w:t>
      </w:r>
      <w:r>
        <w:rPr>
          <w:spacing w:val="-3"/>
        </w:rPr>
        <w:t> </w:t>
      </w:r>
      <w:r>
        <w:rPr/>
        <w:t>with</w:t>
      </w:r>
      <w:r>
        <w:rPr>
          <w:spacing w:val="-3"/>
        </w:rPr>
        <w:t> </w:t>
      </w:r>
      <w:r>
        <w:rPr/>
        <w:t>domestic</w:t>
      </w:r>
      <w:r>
        <w:rPr>
          <w:spacing w:val="-3"/>
        </w:rPr>
        <w:t> </w:t>
      </w:r>
      <w:r>
        <w:rPr/>
        <w:t>and</w:t>
      </w:r>
      <w:r>
        <w:rPr>
          <w:spacing w:val="-3"/>
        </w:rPr>
        <w:t> </w:t>
      </w:r>
      <w:r>
        <w:rPr/>
        <w:t>international</w:t>
      </w:r>
      <w:r>
        <w:rPr>
          <w:spacing w:val="-3"/>
        </w:rPr>
        <w:t> </w:t>
      </w:r>
      <w:r>
        <w:rPr/>
        <w:t>locations</w:t>
      </w:r>
      <w:r>
        <w:rPr>
          <w:spacing w:val="-3"/>
        </w:rPr>
        <w:t> </w:t>
      </w:r>
      <w:r>
        <w:rPr/>
        <w:t>featuring</w:t>
      </w:r>
      <w:r>
        <w:rPr>
          <w:spacing w:val="-3"/>
        </w:rPr>
        <w:t> </w:t>
      </w:r>
      <w:r>
        <w:rPr/>
        <w:t>best-in-class</w:t>
      </w:r>
      <w:r>
        <w:rPr>
          <w:spacing w:val="-3"/>
        </w:rPr>
        <w:t> </w:t>
      </w:r>
      <w:r>
        <w:rPr/>
        <w:t>hotels</w:t>
      </w:r>
      <w:r>
        <w:rPr>
          <w:spacing w:val="-3"/>
        </w:rPr>
        <w:t> </w:t>
      </w:r>
      <w:r>
        <w:rPr/>
        <w:t>and</w:t>
      </w:r>
      <w:r>
        <w:rPr>
          <w:spacing w:val="-3"/>
        </w:rPr>
        <w:t> </w:t>
      </w:r>
      <w:r>
        <w:rPr/>
        <w:t>casinos,</w:t>
      </w:r>
      <w:r>
        <w:rPr>
          <w:spacing w:val="-3"/>
        </w:rPr>
        <w:t> </w:t>
      </w:r>
      <w:r>
        <w:rPr/>
        <w:t>state-of-the-art</w:t>
      </w:r>
      <w:r>
        <w:rPr>
          <w:spacing w:val="-3"/>
        </w:rPr>
        <w:t> </w:t>
      </w:r>
      <w:r>
        <w:rPr/>
        <w:t>meeting</w:t>
      </w:r>
      <w:r>
        <w:rPr>
          <w:spacing w:val="-3"/>
        </w:rPr>
        <w:t> </w:t>
      </w:r>
      <w:r>
        <w:rPr/>
        <w:t>and</w:t>
      </w:r>
      <w:r>
        <w:rPr>
          <w:spacing w:val="-3"/>
        </w:rPr>
        <w:t> </w:t>
      </w:r>
      <w:r>
        <w:rPr/>
        <w:t>conference spaces,</w:t>
      </w:r>
      <w:r>
        <w:rPr>
          <w:spacing w:val="-1"/>
        </w:rPr>
        <w:t> </w:t>
      </w:r>
      <w:r>
        <w:rPr/>
        <w:t>incredible</w:t>
      </w:r>
      <w:r>
        <w:rPr>
          <w:spacing w:val="-1"/>
        </w:rPr>
        <w:t> </w:t>
      </w:r>
      <w:r>
        <w:rPr/>
        <w:t>live</w:t>
      </w:r>
      <w:r>
        <w:rPr>
          <w:spacing w:val="-1"/>
        </w:rPr>
        <w:t> </w:t>
      </w:r>
      <w:r>
        <w:rPr/>
        <w:t>and</w:t>
      </w:r>
      <w:r>
        <w:rPr>
          <w:spacing w:val="-1"/>
        </w:rPr>
        <w:t> </w:t>
      </w:r>
      <w:r>
        <w:rPr/>
        <w:t>theatrical</w:t>
      </w:r>
      <w:r>
        <w:rPr>
          <w:spacing w:val="-1"/>
        </w:rPr>
        <w:t> </w:t>
      </w:r>
      <w:r>
        <w:rPr/>
        <w:t>entertainment</w:t>
      </w:r>
      <w:r>
        <w:rPr>
          <w:spacing w:val="-1"/>
        </w:rPr>
        <w:t> </w:t>
      </w:r>
      <w:r>
        <w:rPr/>
        <w:t>experiences,</w:t>
      </w:r>
      <w:r>
        <w:rPr>
          <w:spacing w:val="-1"/>
        </w:rPr>
        <w:t> </w:t>
      </w:r>
      <w:r>
        <w:rPr/>
        <w:t>and</w:t>
      </w:r>
      <w:r>
        <w:rPr>
          <w:spacing w:val="-1"/>
        </w:rPr>
        <w:t> </w:t>
      </w:r>
      <w:r>
        <w:rPr/>
        <w:t>an</w:t>
      </w:r>
      <w:r>
        <w:rPr>
          <w:spacing w:val="-1"/>
        </w:rPr>
        <w:t> </w:t>
      </w:r>
      <w:r>
        <w:rPr/>
        <w:t>extensive</w:t>
      </w:r>
      <w:r>
        <w:rPr>
          <w:spacing w:val="-1"/>
        </w:rPr>
        <w:t> </w:t>
      </w:r>
      <w:r>
        <w:rPr/>
        <w:t>array</w:t>
      </w:r>
      <w:r>
        <w:rPr>
          <w:spacing w:val="-1"/>
        </w:rPr>
        <w:t> </w:t>
      </w:r>
      <w:r>
        <w:rPr/>
        <w:t>of</w:t>
      </w:r>
      <w:r>
        <w:rPr>
          <w:spacing w:val="-1"/>
        </w:rPr>
        <w:t> </w:t>
      </w:r>
      <w:r>
        <w:rPr/>
        <w:t>restaurant,</w:t>
      </w:r>
      <w:r>
        <w:rPr>
          <w:spacing w:val="-1"/>
        </w:rPr>
        <w:t> </w:t>
      </w:r>
      <w:r>
        <w:rPr/>
        <w:t>nightlife</w:t>
      </w:r>
      <w:r>
        <w:rPr>
          <w:spacing w:val="-1"/>
        </w:rPr>
        <w:t> </w:t>
      </w:r>
      <w:r>
        <w:rPr/>
        <w:t>and</w:t>
      </w:r>
      <w:r>
        <w:rPr>
          <w:spacing w:val="-1"/>
        </w:rPr>
        <w:t> </w:t>
      </w:r>
      <w:r>
        <w:rPr/>
        <w:t>retail</w:t>
      </w:r>
      <w:r>
        <w:rPr>
          <w:spacing w:val="-1"/>
        </w:rPr>
        <w:t> </w:t>
      </w:r>
      <w:r>
        <w:rPr/>
        <w:t>offerings,</w:t>
      </w:r>
      <w:r>
        <w:rPr>
          <w:spacing w:val="-1"/>
        </w:rPr>
        <w:t> </w:t>
      </w:r>
      <w:r>
        <w:rPr/>
        <w:t>and</w:t>
      </w:r>
      <w:r>
        <w:rPr>
          <w:spacing w:val="-1"/>
        </w:rPr>
        <w:t> </w:t>
      </w:r>
      <w:r>
        <w:rPr/>
        <w:t>sports</w:t>
      </w:r>
      <w:r>
        <w:rPr>
          <w:spacing w:val="-1"/>
        </w:rPr>
        <w:t> </w:t>
      </w:r>
      <w:r>
        <w:rPr/>
        <w:t>betting</w:t>
      </w:r>
      <w:r>
        <w:rPr>
          <w:spacing w:val="-1"/>
        </w:rPr>
        <w:t> </w:t>
      </w:r>
      <w:r>
        <w:rPr/>
        <w:t>and</w:t>
      </w:r>
      <w:r>
        <w:rPr>
          <w:spacing w:val="-1"/>
        </w:rPr>
        <w:t> </w:t>
      </w:r>
      <w:r>
        <w:rPr/>
        <w:t>online gaming operations.</w:t>
      </w:r>
    </w:p>
    <w:p>
      <w:pPr>
        <w:pStyle w:val="BodyText"/>
        <w:spacing w:before="6"/>
      </w:pPr>
    </w:p>
    <w:p>
      <w:pPr>
        <w:pStyle w:val="BodyText"/>
        <w:spacing w:line="237" w:lineRule="auto"/>
        <w:ind w:left="144" w:right="118" w:firstLine="499"/>
        <w:jc w:val="both"/>
      </w:pPr>
      <w:r>
        <w:rPr/>
        <w:t>We believe we operate several of the finest casino resorts in the world and we continually reinvest in our resorts to maintain our competitive </w:t>
      </w:r>
      <w:r>
        <w:rPr/>
        <w:t>advantage. We make significant investments in our resorts through newly remodeled hotel rooms, restaurants, entertainment and nightlife offerings, as well as other new features and amenities. We believe we operate the highest quality resorts in each of the markets in which we operate. Ensuring our resorts are the premier resorts in their respective markets requires capital investments to maintain the best possible experiences for our guests.</w:t>
      </w:r>
      <w:r>
        <w:rPr>
          <w:spacing w:val="-2"/>
        </w:rPr>
        <w:t> </w:t>
      </w:r>
      <w:r>
        <w:rPr/>
        <w:t>We also believe that through our online gaming operations, we can create a scaled global online gaming business.</w:t>
      </w:r>
    </w:p>
    <w:p>
      <w:pPr>
        <w:pStyle w:val="BodyText"/>
        <w:spacing w:before="22"/>
      </w:pPr>
    </w:p>
    <w:p>
      <w:pPr>
        <w:pStyle w:val="BodyText"/>
        <w:spacing w:line="249" w:lineRule="auto"/>
        <w:ind w:left="144" w:right="118" w:firstLine="499"/>
        <w:jc w:val="both"/>
      </w:pPr>
      <w:r>
        <w:rPr/>
        <w:t>As of December 31, 2022, we operate 17 domestic casino resorts and, through our 56% controlling interest in MGM China Holdings Limited (together with its subsidiaries, “MGM China”), which owns MGM Grand Paradise, S.A. (“MGM Grand Paradise”), operate two casino resorts in Macau. We also have global</w:t>
      </w:r>
      <w:r>
        <w:rPr>
          <w:spacing w:val="-2"/>
        </w:rPr>
        <w:t> </w:t>
      </w:r>
      <w:r>
        <w:rPr/>
        <w:t>online</w:t>
      </w:r>
      <w:r>
        <w:rPr>
          <w:spacing w:val="-2"/>
        </w:rPr>
        <w:t> </w:t>
      </w:r>
      <w:r>
        <w:rPr/>
        <w:t>gaming</w:t>
      </w:r>
      <w:r>
        <w:rPr>
          <w:spacing w:val="-2"/>
        </w:rPr>
        <w:t> </w:t>
      </w:r>
      <w:r>
        <w:rPr/>
        <w:t>operations</w:t>
      </w:r>
      <w:r>
        <w:rPr>
          <w:spacing w:val="-2"/>
        </w:rPr>
        <w:t> </w:t>
      </w:r>
      <w:r>
        <w:rPr/>
        <w:t>through</w:t>
      </w:r>
      <w:r>
        <w:rPr>
          <w:spacing w:val="-2"/>
        </w:rPr>
        <w:t> </w:t>
      </w:r>
      <w:r>
        <w:rPr/>
        <w:t>our</w:t>
      </w:r>
      <w:r>
        <w:rPr>
          <w:spacing w:val="-2"/>
        </w:rPr>
        <w:t> </w:t>
      </w:r>
      <w:r>
        <w:rPr/>
        <w:t>consolidated</w:t>
      </w:r>
      <w:r>
        <w:rPr>
          <w:spacing w:val="-2"/>
        </w:rPr>
        <w:t> </w:t>
      </w:r>
      <w:r>
        <w:rPr/>
        <w:t>subsidiary</w:t>
      </w:r>
      <w:r>
        <w:rPr>
          <w:spacing w:val="-2"/>
        </w:rPr>
        <w:t> </w:t>
      </w:r>
      <w:r>
        <w:rPr/>
        <w:t>LeoVegas</w:t>
      </w:r>
      <w:r>
        <w:rPr>
          <w:spacing w:val="-11"/>
        </w:rPr>
        <w:t> </w:t>
      </w:r>
      <w:r>
        <w:rPr/>
        <w:t>AB</w:t>
      </w:r>
      <w:r>
        <w:rPr>
          <w:spacing w:val="-2"/>
        </w:rPr>
        <w:t> </w:t>
      </w:r>
      <w:r>
        <w:rPr/>
        <w:t>(“LeoVegas”)</w:t>
      </w:r>
      <w:r>
        <w:rPr>
          <w:spacing w:val="-2"/>
        </w:rPr>
        <w:t> </w:t>
      </w:r>
      <w:r>
        <w:rPr/>
        <w:t>and</w:t>
      </w:r>
      <w:r>
        <w:rPr>
          <w:spacing w:val="-2"/>
        </w:rPr>
        <w:t> </w:t>
      </w:r>
      <w:r>
        <w:rPr/>
        <w:t>our</w:t>
      </w:r>
      <w:r>
        <w:rPr>
          <w:spacing w:val="-2"/>
        </w:rPr>
        <w:t> </w:t>
      </w:r>
      <w:r>
        <w:rPr/>
        <w:t>unconsolidated</w:t>
      </w:r>
      <w:r>
        <w:rPr>
          <w:spacing w:val="-2"/>
        </w:rPr>
        <w:t> </w:t>
      </w:r>
      <w:r>
        <w:rPr/>
        <w:t>50%</w:t>
      </w:r>
      <w:r>
        <w:rPr>
          <w:spacing w:val="-2"/>
        </w:rPr>
        <w:t> </w:t>
      </w:r>
      <w:r>
        <w:rPr/>
        <w:t>owned</w:t>
      </w:r>
      <w:r>
        <w:rPr>
          <w:spacing w:val="-2"/>
        </w:rPr>
        <w:t> </w:t>
      </w:r>
      <w:r>
        <w:rPr/>
        <w:t>venture,</w:t>
      </w:r>
      <w:r>
        <w:rPr>
          <w:spacing w:val="-2"/>
        </w:rPr>
        <w:t> </w:t>
      </w:r>
      <w:r>
        <w:rPr/>
        <w:t>BetMGM,</w:t>
      </w:r>
      <w:r>
        <w:rPr>
          <w:spacing w:val="-2"/>
        </w:rPr>
        <w:t> </w:t>
      </w:r>
      <w:r>
        <w:rPr/>
        <w:t>LLC </w:t>
      </w:r>
      <w:r>
        <w:rPr>
          <w:spacing w:val="-2"/>
        </w:rPr>
        <w:t>(“BetMGM”).</w:t>
      </w:r>
    </w:p>
    <w:p>
      <w:pPr>
        <w:pStyle w:val="BodyText"/>
        <w:spacing w:before="12"/>
      </w:pPr>
    </w:p>
    <w:p>
      <w:pPr>
        <w:pStyle w:val="BodyText"/>
        <w:spacing w:line="249" w:lineRule="auto"/>
        <w:ind w:left="144" w:right="118" w:firstLine="499"/>
        <w:jc w:val="both"/>
      </w:pPr>
      <w:r>
        <w:rPr/>
        <w:t>We lease the real estate assets of our domestic resorts pursuant to triple-net lease agreements, as further discussed in Note 11. Prior to the closing of the VICI Transaction (defined below), MGM Growth Properties LLC (“MGP”), was a consolidated subsidiary of ours and, through its subsidiary MGM Growth Properties Operating Partnership LP (“MGP OP”), was the landlord of certain of our domestic properties pursuant to an intercompany master </w:t>
      </w:r>
      <w:r>
        <w:rPr/>
        <w:t>lease</w:t>
      </w:r>
      <w:r>
        <w:rPr>
          <w:spacing w:val="40"/>
        </w:rPr>
        <w:t> </w:t>
      </w:r>
      <w:r>
        <w:rPr>
          <w:spacing w:val="-2"/>
        </w:rPr>
        <w:t>arrangement.</w:t>
      </w:r>
    </w:p>
    <w:p>
      <w:pPr>
        <w:pStyle w:val="BodyText"/>
        <w:spacing w:before="12"/>
      </w:pPr>
    </w:p>
    <w:p>
      <w:pPr>
        <w:spacing w:before="0"/>
        <w:ind w:left="394" w:right="0" w:firstLine="0"/>
        <w:jc w:val="left"/>
        <w:rPr>
          <w:i/>
          <w:sz w:val="18"/>
        </w:rPr>
      </w:pPr>
      <w:r>
        <w:rPr>
          <w:i/>
          <w:sz w:val="18"/>
        </w:rPr>
        <w:t>Business</w:t>
      </w:r>
      <w:r>
        <w:rPr>
          <w:i/>
          <w:spacing w:val="-3"/>
          <w:sz w:val="18"/>
        </w:rPr>
        <w:t> </w:t>
      </w:r>
      <w:r>
        <w:rPr>
          <w:i/>
          <w:spacing w:val="-2"/>
          <w:sz w:val="18"/>
        </w:rPr>
        <w:t>Developments</w:t>
      </w:r>
    </w:p>
    <w:p>
      <w:pPr>
        <w:pStyle w:val="BodyText"/>
        <w:spacing w:before="4"/>
        <w:rPr>
          <w:i/>
        </w:rPr>
      </w:pPr>
    </w:p>
    <w:p>
      <w:pPr>
        <w:pStyle w:val="BodyText"/>
        <w:spacing w:before="1"/>
        <w:ind w:left="144" w:right="118" w:firstLine="499"/>
        <w:jc w:val="both"/>
      </w:pPr>
      <w:r>
        <w:rPr/>
        <w:t>In recent years, in furtherance of our vision to be the world’s premier gaming entertainment company, we have implemented an asset-light business model,</w:t>
      </w:r>
      <w:r>
        <w:rPr>
          <w:spacing w:val="-2"/>
        </w:rPr>
        <w:t> </w:t>
      </w:r>
      <w:r>
        <w:rPr/>
        <w:t>which</w:t>
      </w:r>
      <w:r>
        <w:rPr>
          <w:spacing w:val="-2"/>
        </w:rPr>
        <w:t> </w:t>
      </w:r>
      <w:r>
        <w:rPr/>
        <w:t>has</w:t>
      </w:r>
      <w:r>
        <w:rPr>
          <w:spacing w:val="-2"/>
        </w:rPr>
        <w:t> </w:t>
      </w:r>
      <w:r>
        <w:rPr/>
        <w:t>involved</w:t>
      </w:r>
      <w:r>
        <w:rPr>
          <w:spacing w:val="-2"/>
        </w:rPr>
        <w:t> </w:t>
      </w:r>
      <w:r>
        <w:rPr/>
        <w:t>a</w:t>
      </w:r>
      <w:r>
        <w:rPr>
          <w:spacing w:val="-2"/>
        </w:rPr>
        <w:t> </w:t>
      </w:r>
      <w:r>
        <w:rPr/>
        <w:t>comprehensive</w:t>
      </w:r>
      <w:r>
        <w:rPr>
          <w:spacing w:val="-2"/>
        </w:rPr>
        <w:t> </w:t>
      </w:r>
      <w:r>
        <w:rPr/>
        <w:t>review</w:t>
      </w:r>
      <w:r>
        <w:rPr>
          <w:spacing w:val="-2"/>
        </w:rPr>
        <w:t> </w:t>
      </w:r>
      <w:r>
        <w:rPr/>
        <w:t>of</w:t>
      </w:r>
      <w:r>
        <w:rPr>
          <w:spacing w:val="-2"/>
        </w:rPr>
        <w:t> </w:t>
      </w:r>
      <w:r>
        <w:rPr/>
        <w:t>our</w:t>
      </w:r>
      <w:r>
        <w:rPr>
          <w:spacing w:val="-2"/>
        </w:rPr>
        <w:t> </w:t>
      </w:r>
      <w:r>
        <w:rPr/>
        <w:t>owned</w:t>
      </w:r>
      <w:r>
        <w:rPr>
          <w:spacing w:val="-2"/>
        </w:rPr>
        <w:t> </w:t>
      </w:r>
      <w:r>
        <w:rPr/>
        <w:t>real</w:t>
      </w:r>
      <w:r>
        <w:rPr>
          <w:spacing w:val="-2"/>
        </w:rPr>
        <w:t> </w:t>
      </w:r>
      <w:r>
        <w:rPr/>
        <w:t>estate</w:t>
      </w:r>
      <w:r>
        <w:rPr>
          <w:spacing w:val="-2"/>
        </w:rPr>
        <w:t> </w:t>
      </w:r>
      <w:r>
        <w:rPr/>
        <w:t>assets</w:t>
      </w:r>
      <w:r>
        <w:rPr>
          <w:spacing w:val="-2"/>
        </w:rPr>
        <w:t> </w:t>
      </w:r>
      <w:r>
        <w:rPr/>
        <w:t>to</w:t>
      </w:r>
      <w:r>
        <w:rPr>
          <w:spacing w:val="-2"/>
        </w:rPr>
        <w:t> </w:t>
      </w:r>
      <w:r>
        <w:rPr/>
        <w:t>find</w:t>
      </w:r>
      <w:r>
        <w:rPr>
          <w:spacing w:val="-2"/>
        </w:rPr>
        <w:t> </w:t>
      </w:r>
      <w:r>
        <w:rPr/>
        <w:t>opportunities</w:t>
      </w:r>
      <w:r>
        <w:rPr>
          <w:spacing w:val="-2"/>
        </w:rPr>
        <w:t> </w:t>
      </w:r>
      <w:r>
        <w:rPr/>
        <w:t>to</w:t>
      </w:r>
      <w:r>
        <w:rPr>
          <w:spacing w:val="-2"/>
        </w:rPr>
        <w:t> </w:t>
      </w:r>
      <w:r>
        <w:rPr/>
        <w:t>monetize</w:t>
      </w:r>
      <w:r>
        <w:rPr>
          <w:spacing w:val="-2"/>
        </w:rPr>
        <w:t> </w:t>
      </w:r>
      <w:r>
        <w:rPr/>
        <w:t>those</w:t>
      </w:r>
      <w:r>
        <w:rPr>
          <w:spacing w:val="-2"/>
        </w:rPr>
        <w:t> </w:t>
      </w:r>
      <w:r>
        <w:rPr/>
        <w:t>assets</w:t>
      </w:r>
      <w:r>
        <w:rPr>
          <w:spacing w:val="-2"/>
        </w:rPr>
        <w:t> </w:t>
      </w:r>
      <w:r>
        <w:rPr/>
        <w:t>efficiently</w:t>
      </w:r>
      <w:r>
        <w:rPr>
          <w:spacing w:val="-2"/>
        </w:rPr>
        <w:t> </w:t>
      </w:r>
      <w:r>
        <w:rPr/>
        <w:t>and</w:t>
      </w:r>
      <w:r>
        <w:rPr>
          <w:spacing w:val="-2"/>
        </w:rPr>
        <w:t> </w:t>
      </w:r>
      <w:r>
        <w:rPr/>
        <w:t>allow</w:t>
      </w:r>
      <w:r>
        <w:rPr>
          <w:spacing w:val="-2"/>
        </w:rPr>
        <w:t> </w:t>
      </w:r>
      <w:r>
        <w:rPr/>
        <w:t>unlocked capital to be redeployed towards balance sheet improvements, new growth opportunities, and to return value to our shareholders. At the same time, we have continued to focus on key growth opportunities that align with our vision, particularly by investing in U.S. online sports betting and iGaming </w:t>
      </w:r>
      <w:r>
        <w:rPr/>
        <w:t>through</w:t>
      </w:r>
      <w:r>
        <w:rPr>
          <w:spacing w:val="40"/>
        </w:rPr>
        <w:t> </w:t>
      </w:r>
      <w:r>
        <w:rPr/>
        <w:t>BetMGM, acquiring LeoVegas to expand our global online presence, expanding our digital capabilities, and seeking to diversify our Asia operations with development efforts in Japan.</w:t>
      </w:r>
    </w:p>
    <w:p>
      <w:pPr>
        <w:pStyle w:val="BodyText"/>
        <w:spacing w:before="9"/>
      </w:pPr>
    </w:p>
    <w:p>
      <w:pPr>
        <w:pStyle w:val="BodyText"/>
        <w:spacing w:line="242" w:lineRule="auto"/>
        <w:ind w:left="144" w:right="118" w:firstLine="499"/>
        <w:jc w:val="both"/>
      </w:pPr>
      <w:r>
        <w:rPr/>
        <w:t>As</w:t>
      </w:r>
      <w:r>
        <w:rPr>
          <w:spacing w:val="-2"/>
        </w:rPr>
        <w:t> </w:t>
      </w:r>
      <w:r>
        <w:rPr/>
        <w:t>part</w:t>
      </w:r>
      <w:r>
        <w:rPr>
          <w:spacing w:val="-2"/>
        </w:rPr>
        <w:t> </w:t>
      </w:r>
      <w:r>
        <w:rPr/>
        <w:t>of</w:t>
      </w:r>
      <w:r>
        <w:rPr>
          <w:spacing w:val="-2"/>
        </w:rPr>
        <w:t> </w:t>
      </w:r>
      <w:r>
        <w:rPr/>
        <w:t>that</w:t>
      </w:r>
      <w:r>
        <w:rPr>
          <w:spacing w:val="-2"/>
        </w:rPr>
        <w:t> </w:t>
      </w:r>
      <w:r>
        <w:rPr/>
        <w:t>business</w:t>
      </w:r>
      <w:r>
        <w:rPr>
          <w:spacing w:val="-2"/>
        </w:rPr>
        <w:t> </w:t>
      </w:r>
      <w:r>
        <w:rPr/>
        <w:t>strategy,</w:t>
      </w:r>
      <w:r>
        <w:rPr>
          <w:spacing w:val="-2"/>
        </w:rPr>
        <w:t> </w:t>
      </w:r>
      <w:r>
        <w:rPr/>
        <w:t>we</w:t>
      </w:r>
      <w:r>
        <w:rPr>
          <w:spacing w:val="-2"/>
        </w:rPr>
        <w:t> </w:t>
      </w:r>
      <w:r>
        <w:rPr/>
        <w:t>have</w:t>
      </w:r>
      <w:r>
        <w:rPr>
          <w:spacing w:val="-2"/>
        </w:rPr>
        <w:t> </w:t>
      </w:r>
      <w:r>
        <w:rPr/>
        <w:t>sought</w:t>
      </w:r>
      <w:r>
        <w:rPr>
          <w:spacing w:val="-2"/>
        </w:rPr>
        <w:t> </w:t>
      </w:r>
      <w:r>
        <w:rPr/>
        <w:t>and</w:t>
      </w:r>
      <w:r>
        <w:rPr>
          <w:spacing w:val="-2"/>
        </w:rPr>
        <w:t> </w:t>
      </w:r>
      <w:r>
        <w:rPr/>
        <w:t>executed</w:t>
      </w:r>
      <w:r>
        <w:rPr>
          <w:spacing w:val="-2"/>
        </w:rPr>
        <w:t> </w:t>
      </w:r>
      <w:r>
        <w:rPr/>
        <w:t>on</w:t>
      </w:r>
      <w:r>
        <w:rPr>
          <w:spacing w:val="-2"/>
        </w:rPr>
        <w:t> </w:t>
      </w:r>
      <w:r>
        <w:rPr/>
        <w:t>opportunities</w:t>
      </w:r>
      <w:r>
        <w:rPr>
          <w:spacing w:val="-2"/>
        </w:rPr>
        <w:t> </w:t>
      </w:r>
      <w:r>
        <w:rPr/>
        <w:t>to</w:t>
      </w:r>
      <w:r>
        <w:rPr>
          <w:spacing w:val="-2"/>
        </w:rPr>
        <w:t> </w:t>
      </w:r>
      <w:r>
        <w:rPr/>
        <w:t>invest</w:t>
      </w:r>
      <w:r>
        <w:rPr>
          <w:spacing w:val="-2"/>
        </w:rPr>
        <w:t> </w:t>
      </w:r>
      <w:r>
        <w:rPr/>
        <w:t>in</w:t>
      </w:r>
      <w:r>
        <w:rPr>
          <w:spacing w:val="-2"/>
        </w:rPr>
        <w:t> </w:t>
      </w:r>
      <w:r>
        <w:rPr/>
        <w:t>our</w:t>
      </w:r>
      <w:r>
        <w:rPr>
          <w:spacing w:val="-2"/>
        </w:rPr>
        <w:t> </w:t>
      </w:r>
      <w:r>
        <w:rPr/>
        <w:t>growth</w:t>
      </w:r>
      <w:r>
        <w:rPr>
          <w:spacing w:val="-2"/>
        </w:rPr>
        <w:t> </w:t>
      </w:r>
      <w:r>
        <w:rPr/>
        <w:t>areas,</w:t>
      </w:r>
      <w:r>
        <w:rPr>
          <w:spacing w:val="-2"/>
        </w:rPr>
        <w:t> </w:t>
      </w:r>
      <w:r>
        <w:rPr/>
        <w:t>divest</w:t>
      </w:r>
      <w:r>
        <w:rPr>
          <w:spacing w:val="-2"/>
        </w:rPr>
        <w:t> </w:t>
      </w:r>
      <w:r>
        <w:rPr/>
        <w:t>our</w:t>
      </w:r>
      <w:r>
        <w:rPr>
          <w:spacing w:val="-2"/>
        </w:rPr>
        <w:t> </w:t>
      </w:r>
      <w:r>
        <w:rPr/>
        <w:t>real</w:t>
      </w:r>
      <w:r>
        <w:rPr>
          <w:spacing w:val="-2"/>
        </w:rPr>
        <w:t> </w:t>
      </w:r>
      <w:r>
        <w:rPr/>
        <w:t>estate</w:t>
      </w:r>
      <w:r>
        <w:rPr>
          <w:spacing w:val="-2"/>
        </w:rPr>
        <w:t> </w:t>
      </w:r>
      <w:r>
        <w:rPr/>
        <w:t>assets,</w:t>
      </w:r>
      <w:r>
        <w:rPr>
          <w:spacing w:val="-2"/>
        </w:rPr>
        <w:t> </w:t>
      </w:r>
      <w:r>
        <w:rPr/>
        <w:t>and</w:t>
      </w:r>
      <w:r>
        <w:rPr>
          <w:spacing w:val="-2"/>
        </w:rPr>
        <w:t> </w:t>
      </w:r>
      <w:r>
        <w:rPr/>
        <w:t>acquire,</w:t>
      </w:r>
      <w:r>
        <w:rPr>
          <w:spacing w:val="-2"/>
        </w:rPr>
        <w:t> </w:t>
      </w:r>
      <w:r>
        <w:rPr/>
        <w:t>or enter into venture transactions, with respect to online gaming and the operations of integrated casino, hotel, and entertainment resorts, including through the following transactions:</w:t>
      </w:r>
    </w:p>
    <w:p>
      <w:pPr>
        <w:pStyle w:val="BodyText"/>
        <w:spacing w:before="2"/>
      </w:pPr>
    </w:p>
    <w:p>
      <w:pPr>
        <w:pStyle w:val="ListParagraph"/>
        <w:numPr>
          <w:ilvl w:val="0"/>
          <w:numId w:val="1"/>
        </w:numPr>
        <w:tabs>
          <w:tab w:pos="792" w:val="left" w:leader="none"/>
        </w:tabs>
        <w:spacing w:line="242" w:lineRule="auto" w:before="1" w:after="0"/>
        <w:ind w:left="792" w:right="118" w:hanging="324"/>
        <w:jc w:val="both"/>
        <w:rPr>
          <w:sz w:val="18"/>
        </w:rPr>
      </w:pPr>
      <w:r>
        <w:rPr>
          <w:sz w:val="18"/>
        </w:rPr>
        <w:t>In July 2018, we and Entain plc (“Entain”) formed BetMGM. In connection with its formation, we provided BetMGM with exclusive access to all </w:t>
      </w:r>
      <w:r>
        <w:rPr>
          <w:sz w:val="18"/>
        </w:rPr>
        <w:t>of our domestic land based and online sports betting, major tournament poker, and online gaming operations and Entain provided BetMGM with exclusive access to its technology in the United States.</w:t>
      </w:r>
    </w:p>
    <w:p>
      <w:pPr>
        <w:pStyle w:val="BodyText"/>
        <w:spacing w:before="2"/>
      </w:pPr>
    </w:p>
    <w:p>
      <w:pPr>
        <w:pStyle w:val="ListParagraph"/>
        <w:numPr>
          <w:ilvl w:val="0"/>
          <w:numId w:val="1"/>
        </w:numPr>
        <w:tabs>
          <w:tab w:pos="792" w:val="left" w:leader="none"/>
        </w:tabs>
        <w:spacing w:line="242" w:lineRule="auto" w:before="0" w:after="0"/>
        <w:ind w:left="792" w:right="118" w:hanging="324"/>
        <w:jc w:val="both"/>
        <w:rPr>
          <w:sz w:val="18"/>
        </w:rPr>
      </w:pPr>
      <w:r>
        <w:rPr>
          <w:sz w:val="18"/>
        </w:rPr>
        <w:t>In January 2019, we acquired the real property and operations associated with Empire City Casino's racetrack and casino (“Empire City”) for </w:t>
      </w:r>
      <w:r>
        <w:rPr>
          <w:sz w:val="18"/>
        </w:rPr>
        <w:t>total consideration</w:t>
      </w:r>
      <w:r>
        <w:rPr>
          <w:spacing w:val="-2"/>
          <w:sz w:val="18"/>
        </w:rPr>
        <w:t> </w:t>
      </w:r>
      <w:r>
        <w:rPr>
          <w:sz w:val="18"/>
        </w:rPr>
        <w:t>of</w:t>
      </w:r>
      <w:r>
        <w:rPr>
          <w:spacing w:val="-2"/>
          <w:sz w:val="18"/>
        </w:rPr>
        <w:t> </w:t>
      </w:r>
      <w:r>
        <w:rPr>
          <w:sz w:val="18"/>
        </w:rPr>
        <w:t>approximately</w:t>
      </w:r>
      <w:r>
        <w:rPr>
          <w:spacing w:val="-2"/>
          <w:sz w:val="18"/>
        </w:rPr>
        <w:t> </w:t>
      </w:r>
      <w:r>
        <w:rPr>
          <w:sz w:val="18"/>
        </w:rPr>
        <w:t>$865</w:t>
      </w:r>
      <w:r>
        <w:rPr>
          <w:spacing w:val="-2"/>
          <w:sz w:val="18"/>
        </w:rPr>
        <w:t> </w:t>
      </w:r>
      <w:r>
        <w:rPr>
          <w:sz w:val="18"/>
        </w:rPr>
        <w:t>million.</w:t>
      </w:r>
      <w:r>
        <w:rPr>
          <w:spacing w:val="-2"/>
          <w:sz w:val="18"/>
        </w:rPr>
        <w:t> </w:t>
      </w:r>
      <w:r>
        <w:rPr>
          <w:sz w:val="18"/>
        </w:rPr>
        <w:t>Subsequently,</w:t>
      </w:r>
      <w:r>
        <w:rPr>
          <w:spacing w:val="-2"/>
          <w:sz w:val="18"/>
        </w:rPr>
        <w:t> </w:t>
      </w:r>
      <w:r>
        <w:rPr>
          <w:sz w:val="18"/>
        </w:rPr>
        <w:t>MGP</w:t>
      </w:r>
      <w:r>
        <w:rPr>
          <w:spacing w:val="-9"/>
          <w:sz w:val="18"/>
        </w:rPr>
        <w:t> </w:t>
      </w:r>
      <w:r>
        <w:rPr>
          <w:sz w:val="18"/>
        </w:rPr>
        <w:t>acquired</w:t>
      </w:r>
      <w:r>
        <w:rPr>
          <w:spacing w:val="-2"/>
          <w:sz w:val="18"/>
        </w:rPr>
        <w:t> </w:t>
      </w:r>
      <w:r>
        <w:rPr>
          <w:sz w:val="18"/>
        </w:rPr>
        <w:t>Empire</w:t>
      </w:r>
      <w:r>
        <w:rPr>
          <w:spacing w:val="-2"/>
          <w:sz w:val="18"/>
        </w:rPr>
        <w:t> </w:t>
      </w:r>
      <w:r>
        <w:rPr>
          <w:sz w:val="18"/>
        </w:rPr>
        <w:t>City’s</w:t>
      </w:r>
      <w:r>
        <w:rPr>
          <w:spacing w:val="-2"/>
          <w:sz w:val="18"/>
        </w:rPr>
        <w:t> </w:t>
      </w:r>
      <w:r>
        <w:rPr>
          <w:sz w:val="18"/>
        </w:rPr>
        <w:t>developed</w:t>
      </w:r>
      <w:r>
        <w:rPr>
          <w:spacing w:val="-2"/>
          <w:sz w:val="18"/>
        </w:rPr>
        <w:t> </w:t>
      </w:r>
      <w:r>
        <w:rPr>
          <w:sz w:val="18"/>
        </w:rPr>
        <w:t>real</w:t>
      </w:r>
      <w:r>
        <w:rPr>
          <w:spacing w:val="-2"/>
          <w:sz w:val="18"/>
        </w:rPr>
        <w:t> </w:t>
      </w:r>
      <w:r>
        <w:rPr>
          <w:sz w:val="18"/>
        </w:rPr>
        <w:t>property</w:t>
      </w:r>
      <w:r>
        <w:rPr>
          <w:spacing w:val="-2"/>
          <w:sz w:val="18"/>
        </w:rPr>
        <w:t> </w:t>
      </w:r>
      <w:r>
        <w:rPr>
          <w:sz w:val="18"/>
        </w:rPr>
        <w:t>from</w:t>
      </w:r>
      <w:r>
        <w:rPr>
          <w:spacing w:val="-2"/>
          <w:sz w:val="18"/>
        </w:rPr>
        <w:t> </w:t>
      </w:r>
      <w:r>
        <w:rPr>
          <w:sz w:val="18"/>
        </w:rPr>
        <w:t>us</w:t>
      </w:r>
      <w:r>
        <w:rPr>
          <w:spacing w:val="-2"/>
          <w:sz w:val="18"/>
        </w:rPr>
        <w:t> </w:t>
      </w:r>
      <w:r>
        <w:rPr>
          <w:sz w:val="18"/>
        </w:rPr>
        <w:t>and</w:t>
      </w:r>
      <w:r>
        <w:rPr>
          <w:spacing w:val="-2"/>
          <w:sz w:val="18"/>
        </w:rPr>
        <w:t> </w:t>
      </w:r>
      <w:r>
        <w:rPr>
          <w:sz w:val="18"/>
        </w:rPr>
        <w:t>Empire</w:t>
      </w:r>
      <w:r>
        <w:rPr>
          <w:spacing w:val="-2"/>
          <w:sz w:val="18"/>
        </w:rPr>
        <w:t> </w:t>
      </w:r>
      <w:r>
        <w:rPr>
          <w:sz w:val="18"/>
        </w:rPr>
        <w:t>City</w:t>
      </w:r>
      <w:r>
        <w:rPr>
          <w:spacing w:val="-2"/>
          <w:sz w:val="18"/>
        </w:rPr>
        <w:t> </w:t>
      </w:r>
      <w:r>
        <w:rPr>
          <w:sz w:val="18"/>
        </w:rPr>
        <w:t>was</w:t>
      </w:r>
      <w:r>
        <w:rPr>
          <w:spacing w:val="-2"/>
          <w:sz w:val="18"/>
        </w:rPr>
        <w:t> </w:t>
      </w:r>
      <w:r>
        <w:rPr>
          <w:sz w:val="18"/>
        </w:rPr>
        <w:t>added to the master lease with MGP.</w:t>
      </w:r>
    </w:p>
    <w:p>
      <w:pPr>
        <w:pStyle w:val="BodyText"/>
        <w:spacing w:before="7"/>
      </w:pPr>
    </w:p>
    <w:p>
      <w:pPr>
        <w:pStyle w:val="ListParagraph"/>
        <w:numPr>
          <w:ilvl w:val="0"/>
          <w:numId w:val="1"/>
        </w:numPr>
        <w:tabs>
          <w:tab w:pos="792" w:val="left" w:leader="none"/>
        </w:tabs>
        <w:spacing w:line="235" w:lineRule="auto" w:before="0" w:after="0"/>
        <w:ind w:left="792" w:right="118" w:hanging="324"/>
        <w:jc w:val="both"/>
        <w:rPr>
          <w:sz w:val="18"/>
        </w:rPr>
      </w:pPr>
      <w:r>
        <w:rPr>
          <w:sz w:val="18"/>
        </w:rPr>
        <w:t>In</w:t>
      </w:r>
      <w:r>
        <w:rPr>
          <w:spacing w:val="-1"/>
          <w:sz w:val="18"/>
        </w:rPr>
        <w:t> </w:t>
      </w:r>
      <w:r>
        <w:rPr>
          <w:sz w:val="18"/>
        </w:rPr>
        <w:t>March</w:t>
      </w:r>
      <w:r>
        <w:rPr>
          <w:spacing w:val="-1"/>
          <w:sz w:val="18"/>
        </w:rPr>
        <w:t> </w:t>
      </w:r>
      <w:r>
        <w:rPr>
          <w:sz w:val="18"/>
        </w:rPr>
        <w:t>2019,</w:t>
      </w:r>
      <w:r>
        <w:rPr>
          <w:spacing w:val="-1"/>
          <w:sz w:val="18"/>
        </w:rPr>
        <w:t> </w:t>
      </w:r>
      <w:r>
        <w:rPr>
          <w:sz w:val="18"/>
        </w:rPr>
        <w:t>we</w:t>
      </w:r>
      <w:r>
        <w:rPr>
          <w:spacing w:val="-1"/>
          <w:sz w:val="18"/>
        </w:rPr>
        <w:t> </w:t>
      </w:r>
      <w:r>
        <w:rPr>
          <w:sz w:val="18"/>
        </w:rPr>
        <w:t>entered</w:t>
      </w:r>
      <w:r>
        <w:rPr>
          <w:spacing w:val="-1"/>
          <w:sz w:val="18"/>
        </w:rPr>
        <w:t> </w:t>
      </w:r>
      <w:r>
        <w:rPr>
          <w:sz w:val="18"/>
        </w:rPr>
        <w:t>into</w:t>
      </w:r>
      <w:r>
        <w:rPr>
          <w:spacing w:val="-1"/>
          <w:sz w:val="18"/>
        </w:rPr>
        <w:t> </w:t>
      </w:r>
      <w:r>
        <w:rPr>
          <w:sz w:val="18"/>
        </w:rPr>
        <w:t>an</w:t>
      </w:r>
      <w:r>
        <w:rPr>
          <w:spacing w:val="-1"/>
          <w:sz w:val="18"/>
        </w:rPr>
        <w:t> </w:t>
      </w:r>
      <w:r>
        <w:rPr>
          <w:sz w:val="18"/>
        </w:rPr>
        <w:t>amendment</w:t>
      </w:r>
      <w:r>
        <w:rPr>
          <w:spacing w:val="-1"/>
          <w:sz w:val="18"/>
        </w:rPr>
        <w:t> </w:t>
      </w:r>
      <w:r>
        <w:rPr>
          <w:sz w:val="18"/>
        </w:rPr>
        <w:t>to</w:t>
      </w:r>
      <w:r>
        <w:rPr>
          <w:spacing w:val="-1"/>
          <w:sz w:val="18"/>
        </w:rPr>
        <w:t> </w:t>
      </w:r>
      <w:r>
        <w:rPr>
          <w:sz w:val="18"/>
        </w:rPr>
        <w:t>the</w:t>
      </w:r>
      <w:r>
        <w:rPr>
          <w:spacing w:val="-1"/>
          <w:sz w:val="18"/>
        </w:rPr>
        <w:t> </w:t>
      </w:r>
      <w:r>
        <w:rPr>
          <w:sz w:val="18"/>
        </w:rPr>
        <w:t>master</w:t>
      </w:r>
      <w:r>
        <w:rPr>
          <w:spacing w:val="-1"/>
          <w:sz w:val="18"/>
        </w:rPr>
        <w:t> </w:t>
      </w:r>
      <w:r>
        <w:rPr>
          <w:sz w:val="18"/>
        </w:rPr>
        <w:t>lease</w:t>
      </w:r>
      <w:r>
        <w:rPr>
          <w:spacing w:val="-1"/>
          <w:sz w:val="18"/>
        </w:rPr>
        <w:t> </w:t>
      </w:r>
      <w:r>
        <w:rPr>
          <w:sz w:val="18"/>
        </w:rPr>
        <w:t>with</w:t>
      </w:r>
      <w:r>
        <w:rPr>
          <w:spacing w:val="-1"/>
          <w:sz w:val="18"/>
        </w:rPr>
        <w:t> </w:t>
      </w:r>
      <w:r>
        <w:rPr>
          <w:sz w:val="18"/>
        </w:rPr>
        <w:t>MGP</w:t>
      </w:r>
      <w:r>
        <w:rPr>
          <w:spacing w:val="-8"/>
          <w:sz w:val="18"/>
        </w:rPr>
        <w:t> </w:t>
      </w:r>
      <w:r>
        <w:rPr>
          <w:sz w:val="18"/>
        </w:rPr>
        <w:t>with</w:t>
      </w:r>
      <w:r>
        <w:rPr>
          <w:spacing w:val="-1"/>
          <w:sz w:val="18"/>
        </w:rPr>
        <w:t> </w:t>
      </w:r>
      <w:r>
        <w:rPr>
          <w:sz w:val="18"/>
        </w:rPr>
        <w:t>respect</w:t>
      </w:r>
      <w:r>
        <w:rPr>
          <w:spacing w:val="-1"/>
          <w:sz w:val="18"/>
        </w:rPr>
        <w:t> </w:t>
      </w:r>
      <w:r>
        <w:rPr>
          <w:sz w:val="18"/>
        </w:rPr>
        <w:t>to</w:t>
      </w:r>
      <w:r>
        <w:rPr>
          <w:spacing w:val="-1"/>
          <w:sz w:val="18"/>
        </w:rPr>
        <w:t> </w:t>
      </w:r>
      <w:r>
        <w:rPr>
          <w:sz w:val="18"/>
        </w:rPr>
        <w:t>improvements</w:t>
      </w:r>
      <w:r>
        <w:rPr>
          <w:spacing w:val="-1"/>
          <w:sz w:val="18"/>
        </w:rPr>
        <w:t> </w:t>
      </w:r>
      <w:r>
        <w:rPr>
          <w:sz w:val="18"/>
        </w:rPr>
        <w:t>made</w:t>
      </w:r>
      <w:r>
        <w:rPr>
          <w:spacing w:val="-1"/>
          <w:sz w:val="18"/>
        </w:rPr>
        <w:t> </w:t>
      </w:r>
      <w:r>
        <w:rPr>
          <w:sz w:val="18"/>
        </w:rPr>
        <w:t>by</w:t>
      </w:r>
      <w:r>
        <w:rPr>
          <w:spacing w:val="-1"/>
          <w:sz w:val="18"/>
        </w:rPr>
        <w:t> </w:t>
      </w:r>
      <w:r>
        <w:rPr>
          <w:sz w:val="18"/>
        </w:rPr>
        <w:t>us</w:t>
      </w:r>
      <w:r>
        <w:rPr>
          <w:spacing w:val="-1"/>
          <w:sz w:val="18"/>
        </w:rPr>
        <w:t> </w:t>
      </w:r>
      <w:r>
        <w:rPr>
          <w:sz w:val="18"/>
        </w:rPr>
        <w:t>related</w:t>
      </w:r>
      <w:r>
        <w:rPr>
          <w:spacing w:val="-1"/>
          <w:sz w:val="18"/>
        </w:rPr>
        <w:t> </w:t>
      </w:r>
      <w:r>
        <w:rPr>
          <w:sz w:val="18"/>
        </w:rPr>
        <w:t>to</w:t>
      </w:r>
      <w:r>
        <w:rPr>
          <w:spacing w:val="-1"/>
          <w:sz w:val="18"/>
        </w:rPr>
        <w:t> </w:t>
      </w:r>
      <w:r>
        <w:rPr>
          <w:sz w:val="18"/>
        </w:rPr>
        <w:t>the</w:t>
      </w:r>
      <w:r>
        <w:rPr>
          <w:spacing w:val="-1"/>
          <w:sz w:val="18"/>
        </w:rPr>
        <w:t> </w:t>
      </w:r>
      <w:r>
        <w:rPr>
          <w:sz w:val="18"/>
        </w:rPr>
        <w:t>rebranding</w:t>
      </w:r>
      <w:r>
        <w:rPr>
          <w:spacing w:val="-1"/>
          <w:sz w:val="18"/>
        </w:rPr>
        <w:t> </w:t>
      </w:r>
      <w:r>
        <w:rPr>
          <w:sz w:val="18"/>
        </w:rPr>
        <w:t>of</w:t>
      </w:r>
      <w:r>
        <w:rPr>
          <w:spacing w:val="-1"/>
          <w:sz w:val="18"/>
        </w:rPr>
        <w:t> </w:t>
      </w:r>
      <w:r>
        <w:rPr>
          <w:sz w:val="18"/>
        </w:rPr>
        <w:t>the Park MGM and NoMad Las Vegas property.</w:t>
      </w:r>
    </w:p>
    <w:p>
      <w:pPr>
        <w:pStyle w:val="BodyText"/>
      </w:pPr>
    </w:p>
    <w:p>
      <w:pPr>
        <w:pStyle w:val="BodyText"/>
        <w:spacing w:before="189"/>
      </w:pPr>
    </w:p>
    <w:p>
      <w:pPr>
        <w:pStyle w:val="BodyText"/>
        <w:ind w:left="24"/>
        <w:jc w:val="center"/>
      </w:pPr>
      <w:r>
        <w:rPr>
          <w:spacing w:val="-10"/>
        </w:rPr>
        <w:t>1</w:t>
      </w:r>
    </w:p>
    <w:p>
      <w:pPr>
        <w:pStyle w:val="BodyText"/>
        <w:spacing w:before="3"/>
        <w:rPr>
          <w:sz w:val="6"/>
        </w:rPr>
      </w:pPr>
      <w:r>
        <w:rPr/>
        <mc:AlternateContent>
          <mc:Choice Requires="wps">
            <w:drawing>
              <wp:anchor distT="0" distB="0" distL="0" distR="0" allowOverlap="1" layoutInCell="1" locked="0" behindDoc="1" simplePos="0" relativeHeight="487594496">
                <wp:simplePos x="0" y="0"/>
                <wp:positionH relativeFrom="page">
                  <wp:posOffset>231457</wp:posOffset>
                </wp:positionH>
                <wp:positionV relativeFrom="paragraph">
                  <wp:posOffset>60956</wp:posOffset>
                </wp:positionV>
                <wp:extent cx="7312659" cy="1714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7312659" cy="17145"/>
                          <a:chExt cx="7312659" cy="17145"/>
                        </a:xfrm>
                      </wpg:grpSpPr>
                      <wps:wsp>
                        <wps:cNvPr id="26" name="Graphic 2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7" name="Graphic 27"/>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 name="Graphic 2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21984;mso-wrap-distance-left:0;mso-wrap-distance-right:0" id="docshapegroup24" coordorigin="364,96" coordsize="11516,27">
                <v:rect style="position:absolute;left:364;top:96;width:11516;height:14" id="docshape25" filled="true" fillcolor="#999999" stroked="false">
                  <v:fill type="solid"/>
                </v:rect>
                <v:shape style="position:absolute;left:364;top:96;width:11516;height:27" id="docshape26" coordorigin="364,96" coordsize="11516,27" path="m11880,96l11866,110,364,110,364,123,11866,123,11880,123,11880,110,11880,96xe" filled="true" fillcolor="#ededed" stroked="false">
                  <v:path arrowok="t"/>
                  <v:fill type="solid"/>
                </v:shape>
                <v:shape style="position:absolute;left:364;top:96;width:14;height:27" id="docshape2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ListParagraph"/>
        <w:numPr>
          <w:ilvl w:val="0"/>
          <w:numId w:val="1"/>
        </w:numPr>
        <w:tabs>
          <w:tab w:pos="792" w:val="left" w:leader="none"/>
        </w:tabs>
        <w:spacing w:line="240" w:lineRule="auto" w:before="79" w:after="0"/>
        <w:ind w:left="792" w:right="118" w:hanging="324"/>
        <w:jc w:val="both"/>
        <w:rPr>
          <w:color w:val="202529"/>
          <w:sz w:val="18"/>
        </w:rPr>
      </w:pPr>
      <w:r>
        <w:rPr>
          <w:sz w:val="18"/>
        </w:rPr>
        <w:t>In </w:t>
      </w:r>
      <w:r>
        <w:rPr>
          <w:color w:val="202529"/>
          <w:sz w:val="18"/>
        </w:rPr>
        <w:t>November 2019, the venture that is 5% owned by a subsidiary of ours and 95% owned by a subsidiary of Blackstone Real Estate Investment</w:t>
      </w:r>
      <w:r>
        <w:rPr>
          <w:color w:val="202529"/>
          <w:spacing w:val="-1"/>
          <w:sz w:val="18"/>
        </w:rPr>
        <w:t> </w:t>
      </w:r>
      <w:r>
        <w:rPr>
          <w:color w:val="202529"/>
          <w:sz w:val="18"/>
        </w:rPr>
        <w:t>Trust, Inc. (“BREIT”, such venture, the “Bellagio BREIT Venture”) was formed, which acquired the Bellagio real estate assets from us for total consideration of $4.25 billion, and leased such assets back to us pursuant to a lease agreement. </w:t>
      </w:r>
      <w:r>
        <w:rPr>
          <w:sz w:val="18"/>
        </w:rPr>
        <w:t>Refer to Note 11 for additional information relating </w:t>
      </w:r>
      <w:r>
        <w:rPr>
          <w:sz w:val="18"/>
        </w:rPr>
        <w:t>to the lease and Note 12 for the guarantee entered into in connection with the transaction.</w:t>
      </w:r>
    </w:p>
    <w:p>
      <w:pPr>
        <w:pStyle w:val="BodyText"/>
        <w:spacing w:before="4"/>
      </w:pPr>
    </w:p>
    <w:p>
      <w:pPr>
        <w:pStyle w:val="ListParagraph"/>
        <w:numPr>
          <w:ilvl w:val="0"/>
          <w:numId w:val="1"/>
        </w:numPr>
        <w:tabs>
          <w:tab w:pos="792" w:val="left" w:leader="none"/>
        </w:tabs>
        <w:spacing w:line="240" w:lineRule="auto" w:before="0" w:after="0"/>
        <w:ind w:left="792" w:right="0" w:hanging="324"/>
        <w:jc w:val="left"/>
        <w:rPr>
          <w:color w:val="202529"/>
          <w:sz w:val="18"/>
        </w:rPr>
      </w:pPr>
      <w:r>
        <w:rPr>
          <w:color w:val="202529"/>
          <w:sz w:val="18"/>
        </w:rPr>
        <w:t>In</w:t>
      </w:r>
      <w:r>
        <w:rPr>
          <w:color w:val="202529"/>
          <w:spacing w:val="-3"/>
          <w:sz w:val="18"/>
        </w:rPr>
        <w:t> </w:t>
      </w:r>
      <w:r>
        <w:rPr>
          <w:color w:val="202529"/>
          <w:sz w:val="18"/>
        </w:rPr>
        <w:t>December</w:t>
      </w:r>
      <w:r>
        <w:rPr>
          <w:color w:val="202529"/>
          <w:spacing w:val="-2"/>
          <w:sz w:val="18"/>
        </w:rPr>
        <w:t> </w:t>
      </w:r>
      <w:r>
        <w:rPr>
          <w:color w:val="202529"/>
          <w:sz w:val="18"/>
        </w:rPr>
        <w:t>2019,</w:t>
      </w:r>
      <w:r>
        <w:rPr>
          <w:color w:val="202529"/>
          <w:spacing w:val="-2"/>
          <w:sz w:val="18"/>
        </w:rPr>
        <w:t> </w:t>
      </w:r>
      <w:r>
        <w:rPr>
          <w:color w:val="202529"/>
          <w:sz w:val="18"/>
        </w:rPr>
        <w:t>we</w:t>
      </w:r>
      <w:r>
        <w:rPr>
          <w:color w:val="202529"/>
          <w:spacing w:val="-2"/>
          <w:sz w:val="18"/>
        </w:rPr>
        <w:t> </w:t>
      </w:r>
      <w:r>
        <w:rPr>
          <w:color w:val="202529"/>
          <w:sz w:val="18"/>
        </w:rPr>
        <w:t>completed</w:t>
      </w:r>
      <w:r>
        <w:rPr>
          <w:color w:val="202529"/>
          <w:spacing w:val="-2"/>
          <w:sz w:val="18"/>
        </w:rPr>
        <w:t> </w:t>
      </w:r>
      <w:r>
        <w:rPr>
          <w:color w:val="202529"/>
          <w:sz w:val="18"/>
        </w:rPr>
        <w:t>the</w:t>
      </w:r>
      <w:r>
        <w:rPr>
          <w:color w:val="202529"/>
          <w:spacing w:val="-3"/>
          <w:sz w:val="18"/>
        </w:rPr>
        <w:t> </w:t>
      </w:r>
      <w:r>
        <w:rPr>
          <w:color w:val="202529"/>
          <w:sz w:val="18"/>
        </w:rPr>
        <w:t>sale</w:t>
      </w:r>
      <w:r>
        <w:rPr>
          <w:color w:val="202529"/>
          <w:spacing w:val="-2"/>
          <w:sz w:val="18"/>
        </w:rPr>
        <w:t> </w:t>
      </w:r>
      <w:r>
        <w:rPr>
          <w:color w:val="202529"/>
          <w:sz w:val="18"/>
        </w:rPr>
        <w:t>of</w:t>
      </w:r>
      <w:r>
        <w:rPr>
          <w:color w:val="202529"/>
          <w:spacing w:val="-2"/>
          <w:sz w:val="18"/>
        </w:rPr>
        <w:t> </w:t>
      </w:r>
      <w:r>
        <w:rPr>
          <w:color w:val="202529"/>
          <w:sz w:val="18"/>
        </w:rPr>
        <w:t>Circus</w:t>
      </w:r>
      <w:r>
        <w:rPr>
          <w:color w:val="202529"/>
          <w:spacing w:val="-2"/>
          <w:sz w:val="18"/>
        </w:rPr>
        <w:t> </w:t>
      </w:r>
      <w:r>
        <w:rPr>
          <w:color w:val="202529"/>
          <w:sz w:val="18"/>
        </w:rPr>
        <w:t>Circus</w:t>
      </w:r>
      <w:r>
        <w:rPr>
          <w:color w:val="202529"/>
          <w:spacing w:val="-2"/>
          <w:sz w:val="18"/>
        </w:rPr>
        <w:t> </w:t>
      </w:r>
      <w:r>
        <w:rPr>
          <w:color w:val="202529"/>
          <w:sz w:val="18"/>
        </w:rPr>
        <w:t>Las</w:t>
      </w:r>
      <w:r>
        <w:rPr>
          <w:color w:val="202529"/>
          <w:spacing w:val="-5"/>
          <w:sz w:val="18"/>
        </w:rPr>
        <w:t> </w:t>
      </w:r>
      <w:r>
        <w:rPr>
          <w:color w:val="202529"/>
          <w:sz w:val="18"/>
        </w:rPr>
        <w:t>Vegas</w:t>
      </w:r>
      <w:r>
        <w:rPr>
          <w:color w:val="202529"/>
          <w:spacing w:val="-3"/>
          <w:sz w:val="18"/>
        </w:rPr>
        <w:t> </w:t>
      </w:r>
      <w:r>
        <w:rPr>
          <w:color w:val="202529"/>
          <w:sz w:val="18"/>
        </w:rPr>
        <w:t>and</w:t>
      </w:r>
      <w:r>
        <w:rPr>
          <w:color w:val="202529"/>
          <w:spacing w:val="-2"/>
          <w:sz w:val="18"/>
        </w:rPr>
        <w:t> </w:t>
      </w:r>
      <w:r>
        <w:rPr>
          <w:color w:val="202529"/>
          <w:sz w:val="18"/>
        </w:rPr>
        <w:t>adjacent</w:t>
      </w:r>
      <w:r>
        <w:rPr>
          <w:color w:val="202529"/>
          <w:spacing w:val="-2"/>
          <w:sz w:val="18"/>
        </w:rPr>
        <w:t> </w:t>
      </w:r>
      <w:r>
        <w:rPr>
          <w:color w:val="202529"/>
          <w:sz w:val="18"/>
        </w:rPr>
        <w:t>land</w:t>
      </w:r>
      <w:r>
        <w:rPr>
          <w:color w:val="202529"/>
          <w:spacing w:val="-2"/>
          <w:sz w:val="18"/>
        </w:rPr>
        <w:t> </w:t>
      </w:r>
      <w:r>
        <w:rPr>
          <w:color w:val="202529"/>
          <w:sz w:val="18"/>
        </w:rPr>
        <w:t>for</w:t>
      </w:r>
      <w:r>
        <w:rPr>
          <w:color w:val="202529"/>
          <w:spacing w:val="-2"/>
          <w:sz w:val="18"/>
        </w:rPr>
        <w:t> </w:t>
      </w:r>
      <w:r>
        <w:rPr>
          <w:color w:val="202529"/>
          <w:sz w:val="18"/>
        </w:rPr>
        <w:t>$825</w:t>
      </w:r>
      <w:r>
        <w:rPr>
          <w:color w:val="202529"/>
          <w:spacing w:val="-2"/>
          <w:sz w:val="18"/>
        </w:rPr>
        <w:t> million.</w:t>
      </w:r>
    </w:p>
    <w:p>
      <w:pPr>
        <w:pStyle w:val="BodyText"/>
        <w:spacing w:before="20"/>
      </w:pPr>
    </w:p>
    <w:p>
      <w:pPr>
        <w:pStyle w:val="ListParagraph"/>
        <w:numPr>
          <w:ilvl w:val="0"/>
          <w:numId w:val="1"/>
        </w:numPr>
        <w:tabs>
          <w:tab w:pos="792" w:val="left" w:leader="none"/>
        </w:tabs>
        <w:spacing w:line="237" w:lineRule="auto" w:before="0" w:after="0"/>
        <w:ind w:left="792" w:right="118" w:hanging="324"/>
        <w:jc w:val="both"/>
        <w:rPr>
          <w:sz w:val="18"/>
        </w:rPr>
      </w:pPr>
      <w:r>
        <w:rPr>
          <w:color w:val="202529"/>
          <w:sz w:val="18"/>
        </w:rPr>
        <w:t>On February 14, 2020, we completed a series of transactions (collectively the “MGM Grand Las Vegas and Mandalay Bay transaction”) pursuant to which the real estate assets of MGM Grand Las Vegas and Mandalay Bay (including Mandalay Place) were contributed to the newly formed </w:t>
      </w:r>
      <w:r>
        <w:rPr>
          <w:sz w:val="18"/>
        </w:rPr>
        <w:t>venture that was 50.1% owned by a subsidiary of MGP</w:t>
      </w:r>
      <w:r>
        <w:rPr>
          <w:spacing w:val="-1"/>
          <w:sz w:val="18"/>
        </w:rPr>
        <w:t> </w:t>
      </w:r>
      <w:r>
        <w:rPr>
          <w:sz w:val="18"/>
        </w:rPr>
        <w:t>OP</w:t>
      </w:r>
      <w:r>
        <w:rPr>
          <w:spacing w:val="-1"/>
          <w:sz w:val="18"/>
        </w:rPr>
        <w:t> </w:t>
      </w:r>
      <w:r>
        <w:rPr>
          <w:sz w:val="18"/>
        </w:rPr>
        <w:t>and 49.9% by a subsidiary of BREIT (such venture, the “VICI BREIT Venture”) </w:t>
      </w:r>
      <w:r>
        <w:rPr>
          <w:color w:val="202529"/>
          <w:sz w:val="18"/>
        </w:rPr>
        <w:t>in exchange for total consideration of $4.6 billion. See Note 1 for further discussion on the transaction and Note 12 for the guarantee entered into in connection with the transaction.</w:t>
      </w:r>
    </w:p>
    <w:p>
      <w:pPr>
        <w:pStyle w:val="BodyText"/>
        <w:spacing w:before="12"/>
      </w:pPr>
    </w:p>
    <w:p>
      <w:pPr>
        <w:pStyle w:val="ListParagraph"/>
        <w:numPr>
          <w:ilvl w:val="0"/>
          <w:numId w:val="1"/>
        </w:numPr>
        <w:tabs>
          <w:tab w:pos="792" w:val="left" w:leader="none"/>
        </w:tabs>
        <w:spacing w:line="235" w:lineRule="auto" w:before="0" w:after="0"/>
        <w:ind w:left="792" w:right="118" w:hanging="324"/>
        <w:jc w:val="both"/>
        <w:rPr>
          <w:sz w:val="18"/>
        </w:rPr>
      </w:pPr>
      <w:r>
        <w:rPr>
          <w:color w:val="202529"/>
          <w:sz w:val="18"/>
        </w:rPr>
        <w:t>In connection with the MGM Grand Las Vegas and Mandalay Bay transaction, VICI BREIT Venture entered into a lease with us for the real </w:t>
      </w:r>
      <w:r>
        <w:rPr>
          <w:color w:val="202529"/>
          <w:sz w:val="18"/>
        </w:rPr>
        <w:t>estate assets of Mandalay Bay and MGM Grand Las Vegas.</w:t>
      </w:r>
      <w:r>
        <w:rPr>
          <w:color w:val="202529"/>
          <w:spacing w:val="-6"/>
          <w:sz w:val="18"/>
        </w:rPr>
        <w:t> </w:t>
      </w:r>
      <w:r>
        <w:rPr>
          <w:color w:val="202529"/>
          <w:sz w:val="18"/>
        </w:rPr>
        <w:t>Additionally, the master lease with MGP</w:t>
      </w:r>
      <w:r>
        <w:rPr>
          <w:color w:val="202529"/>
          <w:spacing w:val="-3"/>
          <w:sz w:val="18"/>
        </w:rPr>
        <w:t> </w:t>
      </w:r>
      <w:r>
        <w:rPr>
          <w:color w:val="202529"/>
          <w:sz w:val="18"/>
        </w:rPr>
        <w:t>was modified to remove the Mandalay Bay property.</w:t>
      </w:r>
    </w:p>
    <w:p>
      <w:pPr>
        <w:pStyle w:val="BodyText"/>
        <w:spacing w:before="18"/>
      </w:pPr>
    </w:p>
    <w:p>
      <w:pPr>
        <w:pStyle w:val="ListParagraph"/>
        <w:numPr>
          <w:ilvl w:val="0"/>
          <w:numId w:val="1"/>
        </w:numPr>
        <w:tabs>
          <w:tab w:pos="792" w:val="left" w:leader="none"/>
        </w:tabs>
        <w:spacing w:line="240" w:lineRule="auto" w:before="1" w:after="0"/>
        <w:ind w:left="792" w:right="118" w:hanging="324"/>
        <w:jc w:val="both"/>
        <w:rPr>
          <w:sz w:val="18"/>
        </w:rPr>
      </w:pPr>
      <w:r>
        <w:rPr>
          <w:color w:val="202529"/>
          <w:sz w:val="18"/>
        </w:rPr>
        <w:t>Also, on January 14, 2020, we, MGP</w:t>
      </w:r>
      <w:r>
        <w:rPr>
          <w:color w:val="202529"/>
          <w:spacing w:val="-1"/>
          <w:sz w:val="18"/>
        </w:rPr>
        <w:t> </w:t>
      </w:r>
      <w:r>
        <w:rPr>
          <w:color w:val="202529"/>
          <w:sz w:val="18"/>
        </w:rPr>
        <w:t>OP, and MGP</w:t>
      </w:r>
      <w:r>
        <w:rPr>
          <w:color w:val="202529"/>
          <w:spacing w:val="-1"/>
          <w:sz w:val="18"/>
        </w:rPr>
        <w:t> </w:t>
      </w:r>
      <w:r>
        <w:rPr>
          <w:color w:val="202529"/>
          <w:sz w:val="18"/>
        </w:rPr>
        <w:t>entered into a waiver agreement pursuant to which approximately 30 million MGP</w:t>
      </w:r>
      <w:r>
        <w:rPr>
          <w:color w:val="202529"/>
          <w:spacing w:val="-1"/>
          <w:sz w:val="18"/>
        </w:rPr>
        <w:t> </w:t>
      </w:r>
      <w:r>
        <w:rPr>
          <w:color w:val="202529"/>
          <w:sz w:val="18"/>
        </w:rPr>
        <w:t>OP</w:t>
      </w:r>
      <w:r>
        <w:rPr>
          <w:color w:val="202529"/>
          <w:spacing w:val="-1"/>
          <w:sz w:val="18"/>
        </w:rPr>
        <w:t> </w:t>
      </w:r>
      <w:r>
        <w:rPr>
          <w:color w:val="202529"/>
          <w:sz w:val="18"/>
        </w:rPr>
        <w:t>units that we held were redeemed for $700 million on May 18, 2020 and approximately 24 million MGP</w:t>
      </w:r>
      <w:r>
        <w:rPr>
          <w:color w:val="202529"/>
          <w:spacing w:val="-5"/>
          <w:sz w:val="18"/>
        </w:rPr>
        <w:t> </w:t>
      </w:r>
      <w:r>
        <w:rPr>
          <w:color w:val="202529"/>
          <w:sz w:val="18"/>
        </w:rPr>
        <w:t>OP</w:t>
      </w:r>
      <w:r>
        <w:rPr>
          <w:color w:val="202529"/>
          <w:spacing w:val="-5"/>
          <w:sz w:val="18"/>
        </w:rPr>
        <w:t> </w:t>
      </w:r>
      <w:r>
        <w:rPr>
          <w:color w:val="202529"/>
          <w:sz w:val="18"/>
        </w:rPr>
        <w:t>units that we held were redeemed for $700 </w:t>
      </w:r>
      <w:r>
        <w:rPr>
          <w:color w:val="202529"/>
          <w:sz w:val="18"/>
        </w:rPr>
        <w:t>million on December 2, 2020. As a result, the waiver terminated in accordance with its terms. Refer to Note 1 for further information regarding this transaction, which eliminates in consolidation.</w:t>
      </w:r>
    </w:p>
    <w:p>
      <w:pPr>
        <w:pStyle w:val="BodyText"/>
        <w:spacing w:before="4"/>
      </w:pPr>
    </w:p>
    <w:p>
      <w:pPr>
        <w:pStyle w:val="ListParagraph"/>
        <w:numPr>
          <w:ilvl w:val="0"/>
          <w:numId w:val="1"/>
        </w:numPr>
        <w:tabs>
          <w:tab w:pos="792" w:val="left" w:leader="none"/>
        </w:tabs>
        <w:spacing w:line="242" w:lineRule="auto" w:before="0" w:after="0"/>
        <w:ind w:left="792" w:right="118" w:hanging="324"/>
        <w:jc w:val="both"/>
        <w:rPr>
          <w:color w:val="202529"/>
          <w:sz w:val="18"/>
        </w:rPr>
      </w:pPr>
      <w:r>
        <w:rPr>
          <w:color w:val="202529"/>
          <w:sz w:val="18"/>
        </w:rPr>
        <w:t>On March 4, 2021, we delivered a notice of redemption to MGP covering approximately 37 million MGP OP units that we held which was satisfied with aggregate cash proceeds of approximately $1.2 billion, using cash on hand together with the proceeds from MGP’s issuance of Class</w:t>
      </w:r>
      <w:r>
        <w:rPr>
          <w:color w:val="202529"/>
          <w:spacing w:val="-1"/>
          <w:sz w:val="18"/>
        </w:rPr>
        <w:t> </w:t>
      </w:r>
      <w:r>
        <w:rPr>
          <w:color w:val="202529"/>
          <w:sz w:val="18"/>
        </w:rPr>
        <w:t>A</w:t>
      </w:r>
      <w:r>
        <w:rPr>
          <w:color w:val="202529"/>
          <w:spacing w:val="-1"/>
          <w:sz w:val="18"/>
        </w:rPr>
        <w:t> </w:t>
      </w:r>
      <w:r>
        <w:rPr>
          <w:color w:val="202529"/>
          <w:sz w:val="18"/>
        </w:rPr>
        <w:t>shares. See Note 13 for information regarding this transaction, which eliminated in consolidation.</w:t>
      </w:r>
    </w:p>
    <w:p>
      <w:pPr>
        <w:pStyle w:val="BodyText"/>
        <w:spacing w:before="6"/>
      </w:pPr>
    </w:p>
    <w:p>
      <w:pPr>
        <w:pStyle w:val="ListParagraph"/>
        <w:numPr>
          <w:ilvl w:val="0"/>
          <w:numId w:val="1"/>
        </w:numPr>
        <w:tabs>
          <w:tab w:pos="792" w:val="left" w:leader="none"/>
        </w:tabs>
        <w:spacing w:line="235" w:lineRule="auto" w:before="0" w:after="0"/>
        <w:ind w:left="792" w:right="118" w:hanging="324"/>
        <w:jc w:val="both"/>
        <w:rPr>
          <w:color w:val="202529"/>
          <w:sz w:val="18"/>
        </w:rPr>
      </w:pPr>
      <w:r>
        <w:rPr>
          <w:color w:val="202529"/>
          <w:sz w:val="18"/>
        </w:rPr>
        <w:t>On September 27, 2021, we completed the acquisition of the remaining 50% ownership interest in CityCenter Holdings, LLC (“CityCenter”) for cash consideration of $2.125 billion. Refer to Note 4 for additional information on this acquisition.</w:t>
      </w:r>
    </w:p>
    <w:p>
      <w:pPr>
        <w:pStyle w:val="BodyText"/>
        <w:spacing w:before="22"/>
      </w:pPr>
    </w:p>
    <w:p>
      <w:pPr>
        <w:pStyle w:val="ListParagraph"/>
        <w:numPr>
          <w:ilvl w:val="0"/>
          <w:numId w:val="1"/>
        </w:numPr>
        <w:tabs>
          <w:tab w:pos="792" w:val="left" w:leader="none"/>
        </w:tabs>
        <w:spacing w:line="235" w:lineRule="auto" w:before="0" w:after="0"/>
        <w:ind w:left="792" w:right="118" w:hanging="324"/>
        <w:jc w:val="both"/>
        <w:rPr>
          <w:color w:val="202529"/>
          <w:sz w:val="18"/>
        </w:rPr>
      </w:pPr>
      <w:r>
        <w:rPr>
          <w:color w:val="202529"/>
          <w:sz w:val="18"/>
        </w:rPr>
        <w:t>On September 28, 2021, we sold the real estate assets of Aria and Vdara to funds managed by The Blackstone Group Inc. (“Blackstone”) for cash consideration of $3.89 billion and entered into a lease through which the real property is leased back to a subsidiary of ours. Refer to Note 11 </w:t>
      </w:r>
      <w:r>
        <w:rPr>
          <w:color w:val="202529"/>
          <w:sz w:val="18"/>
        </w:rPr>
        <w:t>for discussion of the lease agreement.</w:t>
      </w:r>
    </w:p>
    <w:p>
      <w:pPr>
        <w:pStyle w:val="BodyText"/>
        <w:spacing w:before="18"/>
      </w:pPr>
    </w:p>
    <w:p>
      <w:pPr>
        <w:pStyle w:val="ListParagraph"/>
        <w:numPr>
          <w:ilvl w:val="0"/>
          <w:numId w:val="1"/>
        </w:numPr>
        <w:tabs>
          <w:tab w:pos="792" w:val="left" w:leader="none"/>
        </w:tabs>
        <w:spacing w:line="240" w:lineRule="auto" w:before="0" w:after="0"/>
        <w:ind w:left="792" w:right="117" w:hanging="324"/>
        <w:jc w:val="both"/>
        <w:rPr>
          <w:color w:val="202529"/>
          <w:sz w:val="18"/>
        </w:rPr>
      </w:pPr>
      <w:r>
        <w:rPr>
          <w:color w:val="202529"/>
          <w:sz w:val="18"/>
        </w:rPr>
        <w:t>On September 28, 2021, we announced that we, together </w:t>
      </w:r>
      <w:r>
        <w:rPr>
          <w:sz w:val="18"/>
        </w:rPr>
        <w:t>with our venture partner, ORIX Corporation (“ORIX”), were selected by Osaka as </w:t>
      </w:r>
      <w:r>
        <w:rPr>
          <w:sz w:val="18"/>
        </w:rPr>
        <w:t>the region’s integrated resort partner. In December 2021, we and ORIX formed a venture, through which we bid to develop one of Japan's first integrated resorts. </w:t>
      </w:r>
      <w:r>
        <w:rPr>
          <w:color w:val="202529"/>
          <w:sz w:val="18"/>
        </w:rPr>
        <w:t>On</w:t>
      </w:r>
      <w:r>
        <w:rPr>
          <w:color w:val="202529"/>
          <w:spacing w:val="-8"/>
          <w:sz w:val="18"/>
        </w:rPr>
        <w:t> </w:t>
      </w:r>
      <w:r>
        <w:rPr>
          <w:color w:val="202529"/>
          <w:sz w:val="18"/>
        </w:rPr>
        <w:t>April 27, 2022, we, together with Osaka prefecture/city and our partners at ORIX, submitted an</w:t>
      </w:r>
      <w:r>
        <w:rPr>
          <w:color w:val="202529"/>
          <w:spacing w:val="-8"/>
          <w:sz w:val="18"/>
        </w:rPr>
        <w:t> </w:t>
      </w:r>
      <w:r>
        <w:rPr>
          <w:color w:val="202529"/>
          <w:sz w:val="18"/>
        </w:rPr>
        <w:t>Area Development Plan to Japan’s central </w:t>
      </w:r>
      <w:r>
        <w:rPr>
          <w:color w:val="202529"/>
          <w:spacing w:val="-2"/>
          <w:sz w:val="18"/>
        </w:rPr>
        <w:t>government.</w:t>
      </w:r>
    </w:p>
    <w:p>
      <w:pPr>
        <w:pStyle w:val="BodyText"/>
        <w:spacing w:before="5"/>
      </w:pPr>
    </w:p>
    <w:p>
      <w:pPr>
        <w:pStyle w:val="ListParagraph"/>
        <w:numPr>
          <w:ilvl w:val="0"/>
          <w:numId w:val="1"/>
        </w:numPr>
        <w:tabs>
          <w:tab w:pos="792" w:val="left" w:leader="none"/>
        </w:tabs>
        <w:spacing w:line="242" w:lineRule="auto" w:before="0" w:after="0"/>
        <w:ind w:left="792" w:right="118" w:hanging="324"/>
        <w:jc w:val="both"/>
        <w:rPr>
          <w:color w:val="202529"/>
          <w:sz w:val="18"/>
        </w:rPr>
      </w:pPr>
      <w:r>
        <w:rPr>
          <w:color w:val="202529"/>
          <w:sz w:val="18"/>
        </w:rPr>
        <w:t>On October 29, 2021, MGP</w:t>
      </w:r>
      <w:r>
        <w:rPr>
          <w:color w:val="202529"/>
          <w:spacing w:val="-3"/>
          <w:sz w:val="18"/>
        </w:rPr>
        <w:t> </w:t>
      </w:r>
      <w:r>
        <w:rPr>
          <w:color w:val="202529"/>
          <w:sz w:val="18"/>
        </w:rPr>
        <w:t>acquired the real estate assets of MGM Springfield from us for cash consideration of $400 million and MGM Springfield was added to the master lease with MGP. Transactions with MGP, including transactions under the master lease with MGP, have been eliminated </w:t>
      </w:r>
      <w:r>
        <w:rPr>
          <w:color w:val="202529"/>
          <w:sz w:val="18"/>
        </w:rPr>
        <w:t>in our consolidation of MGP.</w:t>
      </w:r>
    </w:p>
    <w:p>
      <w:pPr>
        <w:pStyle w:val="BodyText"/>
        <w:spacing w:before="3"/>
      </w:pPr>
    </w:p>
    <w:p>
      <w:pPr>
        <w:pStyle w:val="ListParagraph"/>
        <w:numPr>
          <w:ilvl w:val="0"/>
          <w:numId w:val="1"/>
        </w:numPr>
        <w:tabs>
          <w:tab w:pos="792" w:val="left" w:leader="none"/>
        </w:tabs>
        <w:spacing w:line="240" w:lineRule="auto" w:before="0" w:after="0"/>
        <w:ind w:left="792" w:right="118" w:hanging="324"/>
        <w:jc w:val="both"/>
        <w:rPr>
          <w:color w:val="202529"/>
          <w:sz w:val="18"/>
        </w:rPr>
      </w:pPr>
      <w:r>
        <w:rPr>
          <w:sz w:val="18"/>
        </w:rPr>
        <w:t>On</w:t>
      </w:r>
      <w:r>
        <w:rPr>
          <w:spacing w:val="-3"/>
          <w:sz w:val="18"/>
        </w:rPr>
        <w:t> </w:t>
      </w:r>
      <w:r>
        <w:rPr>
          <w:sz w:val="18"/>
        </w:rPr>
        <w:t>April 29, 2022, we completed a series of transactions with VICI Properties, Inc. (“VICI”) and MGP whereby VICI acquired MGP in a stock-</w:t>
      </w:r>
      <w:r>
        <w:rPr>
          <w:sz w:val="18"/>
        </w:rPr>
        <w:t>for- stock</w:t>
      </w:r>
      <w:r>
        <w:rPr>
          <w:spacing w:val="-2"/>
          <w:sz w:val="18"/>
        </w:rPr>
        <w:t> </w:t>
      </w:r>
      <w:r>
        <w:rPr>
          <w:sz w:val="18"/>
        </w:rPr>
        <w:t>transaction</w:t>
      </w:r>
      <w:r>
        <w:rPr>
          <w:spacing w:val="-2"/>
          <w:sz w:val="18"/>
        </w:rPr>
        <w:t> </w:t>
      </w:r>
      <w:r>
        <w:rPr>
          <w:sz w:val="18"/>
        </w:rPr>
        <w:t>(such</w:t>
      </w:r>
      <w:r>
        <w:rPr>
          <w:spacing w:val="-2"/>
          <w:sz w:val="18"/>
        </w:rPr>
        <w:t> </w:t>
      </w:r>
      <w:r>
        <w:rPr>
          <w:sz w:val="18"/>
        </w:rPr>
        <w:t>transaction,</w:t>
      </w:r>
      <w:r>
        <w:rPr>
          <w:spacing w:val="-2"/>
          <w:sz w:val="18"/>
        </w:rPr>
        <w:t> </w:t>
      </w:r>
      <w:r>
        <w:rPr>
          <w:sz w:val="18"/>
        </w:rPr>
        <w:t>the</w:t>
      </w:r>
      <w:r>
        <w:rPr>
          <w:spacing w:val="-2"/>
          <w:sz w:val="18"/>
        </w:rPr>
        <w:t> </w:t>
      </w:r>
      <w:r>
        <w:rPr>
          <w:sz w:val="18"/>
        </w:rPr>
        <w:t>“VICI</w:t>
      </w:r>
      <w:r>
        <w:rPr>
          <w:spacing w:val="-5"/>
          <w:sz w:val="18"/>
        </w:rPr>
        <w:t> </w:t>
      </w:r>
      <w:r>
        <w:rPr>
          <w:sz w:val="18"/>
        </w:rPr>
        <w:t>Transaction”).</w:t>
      </w:r>
      <w:r>
        <w:rPr>
          <w:spacing w:val="-2"/>
          <w:sz w:val="18"/>
        </w:rPr>
        <w:t> </w:t>
      </w:r>
      <w:r>
        <w:rPr>
          <w:sz w:val="18"/>
        </w:rPr>
        <w:t>MGP</w:t>
      </w:r>
      <w:r>
        <w:rPr>
          <w:spacing w:val="-8"/>
          <w:sz w:val="18"/>
        </w:rPr>
        <w:t> </w:t>
      </w:r>
      <w:r>
        <w:rPr>
          <w:sz w:val="18"/>
        </w:rPr>
        <w:t>Class</w:t>
      </w:r>
      <w:r>
        <w:rPr>
          <w:spacing w:val="-12"/>
          <w:sz w:val="18"/>
        </w:rPr>
        <w:t> </w:t>
      </w:r>
      <w:r>
        <w:rPr>
          <w:sz w:val="18"/>
        </w:rPr>
        <w:t>A</w:t>
      </w:r>
      <w:r>
        <w:rPr>
          <w:spacing w:val="-11"/>
          <w:sz w:val="18"/>
        </w:rPr>
        <w:t> </w:t>
      </w:r>
      <w:r>
        <w:rPr>
          <w:sz w:val="18"/>
        </w:rPr>
        <w:t>shareholders</w:t>
      </w:r>
      <w:r>
        <w:rPr>
          <w:spacing w:val="-2"/>
          <w:sz w:val="18"/>
        </w:rPr>
        <w:t> </w:t>
      </w:r>
      <w:r>
        <w:rPr>
          <w:sz w:val="18"/>
        </w:rPr>
        <w:t>received</w:t>
      </w:r>
      <w:r>
        <w:rPr>
          <w:spacing w:val="-2"/>
          <w:sz w:val="18"/>
        </w:rPr>
        <w:t> </w:t>
      </w:r>
      <w:r>
        <w:rPr>
          <w:sz w:val="18"/>
        </w:rPr>
        <w:t>1.366</w:t>
      </w:r>
      <w:r>
        <w:rPr>
          <w:spacing w:val="-2"/>
          <w:sz w:val="18"/>
        </w:rPr>
        <w:t> </w:t>
      </w:r>
      <w:r>
        <w:rPr>
          <w:sz w:val="18"/>
        </w:rPr>
        <w:t>shares</w:t>
      </w:r>
      <w:r>
        <w:rPr>
          <w:spacing w:val="-2"/>
          <w:sz w:val="18"/>
        </w:rPr>
        <w:t> </w:t>
      </w:r>
      <w:r>
        <w:rPr>
          <w:sz w:val="18"/>
        </w:rPr>
        <w:t>of</w:t>
      </w:r>
      <w:r>
        <w:rPr>
          <w:spacing w:val="-2"/>
          <w:sz w:val="18"/>
        </w:rPr>
        <w:t> </w:t>
      </w:r>
      <w:r>
        <w:rPr>
          <w:sz w:val="18"/>
        </w:rPr>
        <w:t>newly</w:t>
      </w:r>
      <w:r>
        <w:rPr>
          <w:spacing w:val="-2"/>
          <w:sz w:val="18"/>
        </w:rPr>
        <w:t> </w:t>
      </w:r>
      <w:r>
        <w:rPr>
          <w:sz w:val="18"/>
        </w:rPr>
        <w:t>issued</w:t>
      </w:r>
      <w:r>
        <w:rPr>
          <w:spacing w:val="-5"/>
          <w:sz w:val="18"/>
        </w:rPr>
        <w:t> </w:t>
      </w:r>
      <w:r>
        <w:rPr>
          <w:sz w:val="18"/>
        </w:rPr>
        <w:t>VICI</w:t>
      </w:r>
      <w:r>
        <w:rPr>
          <w:spacing w:val="-2"/>
          <w:sz w:val="18"/>
        </w:rPr>
        <w:t> </w:t>
      </w:r>
      <w:r>
        <w:rPr>
          <w:sz w:val="18"/>
        </w:rPr>
        <w:t>stock</w:t>
      </w:r>
      <w:r>
        <w:rPr>
          <w:spacing w:val="-2"/>
          <w:sz w:val="18"/>
        </w:rPr>
        <w:t> </w:t>
      </w:r>
      <w:r>
        <w:rPr>
          <w:sz w:val="18"/>
        </w:rPr>
        <w:t>in</w:t>
      </w:r>
      <w:r>
        <w:rPr>
          <w:spacing w:val="-2"/>
          <w:sz w:val="18"/>
        </w:rPr>
        <w:t> </w:t>
      </w:r>
      <w:r>
        <w:rPr>
          <w:sz w:val="18"/>
        </w:rPr>
        <w:t>exchange for each MGP Class A share outstanding and we received 1.366 units of VICI Properties OP LLC (“VICI OP”) in exchange for each MGP OP unit held by us. In connection with the exchange, VICI OP redeemed the majority of our VICI OP units, with us retaining an approximate 1% ownership interest in VICI OP. MGP’s Class B share that was held by us was cancelled. We no longer hold a controlling interest in MGP and deconsolidated MGP upon the closing of the VICI Transaction. Refer to Note 4 for further discussion of the VICI Transactions. In connection with the VICI Transaction, we entered into an amended and restated master lease with VICI. Refer to Note 11 for further discussion of the lease.</w:t>
      </w:r>
    </w:p>
    <w:p>
      <w:pPr>
        <w:pStyle w:val="BodyText"/>
      </w:pPr>
    </w:p>
    <w:p>
      <w:pPr>
        <w:pStyle w:val="BodyText"/>
      </w:pPr>
    </w:p>
    <w:p>
      <w:pPr>
        <w:pStyle w:val="BodyText"/>
        <w:spacing w:before="198"/>
      </w:pPr>
    </w:p>
    <w:p>
      <w:pPr>
        <w:pStyle w:val="BodyText"/>
        <w:ind w:left="24"/>
        <w:jc w:val="center"/>
      </w:pPr>
      <w:r>
        <w:rPr>
          <w:spacing w:val="-10"/>
        </w:rPr>
        <w:t>2</w:t>
      </w:r>
    </w:p>
    <w:p>
      <w:pPr>
        <w:pStyle w:val="BodyText"/>
        <w:spacing w:before="3"/>
        <w:rPr>
          <w:sz w:val="6"/>
        </w:rPr>
      </w:pPr>
      <w:r>
        <w:rPr/>
        <mc:AlternateContent>
          <mc:Choice Requires="wps">
            <w:drawing>
              <wp:anchor distT="0" distB="0" distL="0" distR="0" allowOverlap="1" layoutInCell="1" locked="0" behindDoc="1" simplePos="0" relativeHeight="487595008">
                <wp:simplePos x="0" y="0"/>
                <wp:positionH relativeFrom="page">
                  <wp:posOffset>231457</wp:posOffset>
                </wp:positionH>
                <wp:positionV relativeFrom="paragraph">
                  <wp:posOffset>60956</wp:posOffset>
                </wp:positionV>
                <wp:extent cx="7312659" cy="1714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7312659" cy="17145"/>
                          <a:chExt cx="7312659" cy="17145"/>
                        </a:xfrm>
                      </wpg:grpSpPr>
                      <wps:wsp>
                        <wps:cNvPr id="30" name="Graphic 3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1" name="Graphic 31"/>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 name="Graphic 3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21472;mso-wrap-distance-left:0;mso-wrap-distance-right:0" id="docshapegroup28" coordorigin="364,96" coordsize="11516,27">
                <v:rect style="position:absolute;left:364;top:96;width:11516;height:14" id="docshape29" filled="true" fillcolor="#999999" stroked="false">
                  <v:fill type="solid"/>
                </v:rect>
                <v:shape style="position:absolute;left:364;top:96;width:11516;height:27" id="docshape30" coordorigin="364,96" coordsize="11516,27" path="m11880,96l11866,109,364,109,364,123,11866,123,11880,123,11880,109,11880,96xe" filled="true" fillcolor="#ededed" stroked="false">
                  <v:path arrowok="t"/>
                  <v:fill type="solid"/>
                </v:shape>
                <v:shape style="position:absolute;left:364;top:96;width:14;height:27" id="docshape3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ListParagraph"/>
        <w:numPr>
          <w:ilvl w:val="0"/>
          <w:numId w:val="1"/>
        </w:numPr>
        <w:tabs>
          <w:tab w:pos="792" w:val="left" w:leader="none"/>
        </w:tabs>
        <w:spacing w:line="235" w:lineRule="auto" w:before="66" w:after="0"/>
        <w:ind w:left="792" w:right="118" w:hanging="324"/>
        <w:jc w:val="both"/>
        <w:rPr>
          <w:sz w:val="18"/>
        </w:rPr>
      </w:pPr>
      <w:r>
        <w:rPr>
          <w:sz w:val="18"/>
        </w:rPr>
        <w:t>On May 17, 2022, we acquired the operations of</w:t>
      </w:r>
      <w:r>
        <w:rPr>
          <w:spacing w:val="-2"/>
          <w:sz w:val="18"/>
        </w:rPr>
        <w:t> </w:t>
      </w:r>
      <w:r>
        <w:rPr>
          <w:sz w:val="18"/>
        </w:rPr>
        <w:t>The Cosmopolitan of Las</w:t>
      </w:r>
      <w:r>
        <w:rPr>
          <w:spacing w:val="-2"/>
          <w:sz w:val="18"/>
        </w:rPr>
        <w:t> </w:t>
      </w:r>
      <w:r>
        <w:rPr>
          <w:sz w:val="18"/>
        </w:rPr>
        <w:t>Vegas (“The Cosmopolitan”) for cash consideration of $1.625 billion, plus working capital adjustments for a total purchase price of approximately $1.7 billion.</w:t>
      </w:r>
      <w:r>
        <w:rPr>
          <w:spacing w:val="-10"/>
          <w:sz w:val="18"/>
        </w:rPr>
        <w:t> </w:t>
      </w:r>
      <w:r>
        <w:rPr>
          <w:sz w:val="18"/>
        </w:rPr>
        <w:t>Additionally, we entered into a lease agreement for the real estate assets of The Cosmopolitan. See Note 4 and Note 11 for discussion of the transaction and lease, respectively.</w:t>
      </w:r>
    </w:p>
    <w:p>
      <w:pPr>
        <w:pStyle w:val="BodyText"/>
        <w:spacing w:before="21"/>
      </w:pPr>
    </w:p>
    <w:p>
      <w:pPr>
        <w:pStyle w:val="ListParagraph"/>
        <w:numPr>
          <w:ilvl w:val="0"/>
          <w:numId w:val="1"/>
        </w:numPr>
        <w:tabs>
          <w:tab w:pos="792" w:val="left" w:leader="none"/>
        </w:tabs>
        <w:spacing w:line="235" w:lineRule="auto" w:before="1" w:after="0"/>
        <w:ind w:left="792" w:right="118" w:hanging="324"/>
        <w:jc w:val="both"/>
        <w:rPr>
          <w:sz w:val="18"/>
        </w:rPr>
      </w:pPr>
      <w:r>
        <w:rPr>
          <w:sz w:val="18"/>
        </w:rPr>
        <w:t>On September 7, 2022, we acquired LeoVegas through a tender offer at a cash price of SEK 61 per share, for a total fair value of equity </w:t>
      </w:r>
      <w:r>
        <w:rPr>
          <w:sz w:val="18"/>
        </w:rPr>
        <w:t>interests acquired of approximately $556 million, inclusive of cash settlement of equity awards. See Note 4 for discussion of this transaction.</w:t>
      </w:r>
    </w:p>
    <w:p>
      <w:pPr>
        <w:pStyle w:val="BodyText"/>
        <w:spacing w:before="4"/>
      </w:pPr>
    </w:p>
    <w:p>
      <w:pPr>
        <w:pStyle w:val="ListParagraph"/>
        <w:numPr>
          <w:ilvl w:val="0"/>
          <w:numId w:val="1"/>
        </w:numPr>
        <w:tabs>
          <w:tab w:pos="792" w:val="left" w:leader="none"/>
        </w:tabs>
        <w:spacing w:line="249" w:lineRule="auto" w:before="0" w:after="0"/>
        <w:ind w:left="792" w:right="118" w:hanging="324"/>
        <w:jc w:val="both"/>
        <w:rPr>
          <w:sz w:val="18"/>
        </w:rPr>
      </w:pPr>
      <w:r>
        <w:rPr>
          <w:sz w:val="18"/>
        </w:rPr>
        <w:t>On December 16, 2022, we were awarded a new gaming concession, which permits the operation of games of chance or other games in casinos in Macau, commencing on January 1, 2023.</w:t>
      </w:r>
    </w:p>
    <w:p>
      <w:pPr>
        <w:pStyle w:val="ListParagraph"/>
        <w:numPr>
          <w:ilvl w:val="0"/>
          <w:numId w:val="1"/>
        </w:numPr>
        <w:tabs>
          <w:tab w:pos="792" w:val="left" w:leader="none"/>
        </w:tabs>
        <w:spacing w:line="242" w:lineRule="auto" w:before="204" w:after="0"/>
        <w:ind w:left="792" w:right="118" w:hanging="324"/>
        <w:jc w:val="both"/>
        <w:rPr>
          <w:sz w:val="18"/>
        </w:rPr>
      </w:pPr>
      <w:r>
        <w:rPr>
          <w:sz w:val="18"/>
        </w:rPr>
        <w:t>On December 19, 2022, we completed the sale of the operations of The Mirage to an affiliate of Seminole Hard Rock Entertainment, Inc. ("Hard Rock") for cash consideration of $1.075 billion, subject to certain purchase price adjustments.</w:t>
      </w:r>
      <w:r>
        <w:rPr>
          <w:spacing w:val="-7"/>
          <w:sz w:val="18"/>
        </w:rPr>
        <w:t> </w:t>
      </w:r>
      <w:r>
        <w:rPr>
          <w:sz w:val="18"/>
        </w:rPr>
        <w:t>At closing, the master lease with</w:t>
      </w:r>
      <w:r>
        <w:rPr>
          <w:spacing w:val="-1"/>
          <w:sz w:val="18"/>
        </w:rPr>
        <w:t> </w:t>
      </w:r>
      <w:r>
        <w:rPr>
          <w:sz w:val="18"/>
        </w:rPr>
        <w:t>VICI was amended </w:t>
      </w:r>
      <w:r>
        <w:rPr>
          <w:sz w:val="18"/>
        </w:rPr>
        <w:t>to remove The Mirage and reflect a $90 million reduction in annual cash rent. Refer to Note 4 for further discussion of this transaction.</w:t>
      </w:r>
    </w:p>
    <w:p>
      <w:pPr>
        <w:pStyle w:val="BodyText"/>
        <w:spacing w:before="3"/>
      </w:pPr>
    </w:p>
    <w:p>
      <w:pPr>
        <w:pStyle w:val="ListParagraph"/>
        <w:numPr>
          <w:ilvl w:val="0"/>
          <w:numId w:val="1"/>
        </w:numPr>
        <w:tabs>
          <w:tab w:pos="792" w:val="left" w:leader="none"/>
        </w:tabs>
        <w:spacing w:line="240" w:lineRule="auto" w:before="0" w:after="0"/>
        <w:ind w:left="792" w:right="118" w:hanging="324"/>
        <w:jc w:val="both"/>
        <w:rPr>
          <w:sz w:val="18"/>
        </w:rPr>
      </w:pPr>
      <w:r>
        <w:rPr>
          <w:sz w:val="18"/>
        </w:rPr>
        <w:t>On February 15, 2023, we completed the sale of the operations of Gold Strike Tunica to CNE Gaming Holdings, LLC (“CNE”), a subsidiary of Cherokee Nation Business, for cash consideration of $450 million, subject to certain purchase price adjustments. At closing, the master lease with VICI was amended to remove Gold Strike</w:t>
      </w:r>
      <w:r>
        <w:rPr>
          <w:spacing w:val="-3"/>
          <w:sz w:val="18"/>
        </w:rPr>
        <w:t> </w:t>
      </w:r>
      <w:r>
        <w:rPr>
          <w:sz w:val="18"/>
        </w:rPr>
        <w:t>Tunica and reflect a $40 million reduction in annual cash rent. Refer to Note 4 for further discussion of this </w:t>
      </w:r>
      <w:r>
        <w:rPr>
          <w:spacing w:val="-2"/>
          <w:sz w:val="18"/>
        </w:rPr>
        <w:t>transaction.</w:t>
      </w:r>
    </w:p>
    <w:p>
      <w:pPr>
        <w:pStyle w:val="BodyText"/>
        <w:spacing w:before="5"/>
      </w:pPr>
    </w:p>
    <w:p>
      <w:pPr>
        <w:pStyle w:val="BodyText"/>
        <w:spacing w:line="242" w:lineRule="auto"/>
        <w:ind w:left="144" w:right="118" w:firstLine="499"/>
        <w:jc w:val="both"/>
      </w:pPr>
      <w:r>
        <w:rPr/>
        <w:t>For additional information relating to our acquisitions, divestitures, venture transactions, and other arrangements, including those referred to above, </w:t>
      </w:r>
      <w:r>
        <w:rPr/>
        <w:t>see “Item 7. Management’s Discussion and Analysis of Financial Condition and Results of Operations,” as well as the notes to our consolidated financial statements specified above.</w:t>
      </w:r>
    </w:p>
    <w:p>
      <w:pPr>
        <w:pStyle w:val="BodyText"/>
        <w:spacing w:before="3"/>
      </w:pPr>
    </w:p>
    <w:p>
      <w:pPr>
        <w:pStyle w:val="BodyText"/>
        <w:ind w:left="144" w:right="118" w:firstLine="499"/>
        <w:jc w:val="both"/>
      </w:pPr>
      <w:r>
        <w:rPr>
          <w:b/>
          <w:color w:val="202529"/>
        </w:rPr>
        <w:t>Impact of COVID-19. </w:t>
      </w:r>
      <w:r>
        <w:rPr>
          <w:color w:val="202529"/>
        </w:rPr>
        <w:t>See “Item 7. Management's Discussion and Analysis of Financial Condition and Results of Operations — Description of our business and key performance indicators — Impact of COVID-19” for more information about the effect of the COVID-19 pandemic on our business and our recovery. For a discussion of the risks to our business resulting from COVID-19, see “Item 1A. Risk Factors — Risks Related to Our Business, Industry, and Market Conditions.”</w:t>
      </w:r>
    </w:p>
    <w:p>
      <w:pPr>
        <w:pStyle w:val="BodyText"/>
        <w:spacing w:before="18"/>
      </w:pPr>
    </w:p>
    <w:p>
      <w:pPr>
        <w:pStyle w:val="Heading5"/>
        <w:ind w:left="644"/>
        <w:jc w:val="left"/>
      </w:pPr>
      <w:r>
        <w:rPr/>
        <w:t>Resort</w:t>
      </w:r>
      <w:r>
        <w:rPr>
          <w:spacing w:val="-1"/>
        </w:rPr>
        <w:t> </w:t>
      </w:r>
      <w:r>
        <w:rPr>
          <w:spacing w:val="-2"/>
        </w:rPr>
        <w:t>Operations</w:t>
      </w:r>
    </w:p>
    <w:p>
      <w:pPr>
        <w:pStyle w:val="BodyText"/>
        <w:spacing w:before="4"/>
        <w:rPr>
          <w:b/>
        </w:rPr>
      </w:pPr>
    </w:p>
    <w:p>
      <w:pPr>
        <w:spacing w:before="0"/>
        <w:ind w:left="394" w:right="0" w:firstLine="0"/>
        <w:jc w:val="left"/>
        <w:rPr>
          <w:i/>
          <w:sz w:val="18"/>
        </w:rPr>
      </w:pPr>
      <w:r>
        <w:rPr>
          <w:i/>
          <w:spacing w:val="-2"/>
          <w:sz w:val="18"/>
        </w:rPr>
        <w:t>General</w:t>
      </w:r>
    </w:p>
    <w:p>
      <w:pPr>
        <w:pStyle w:val="BodyText"/>
        <w:spacing w:before="5"/>
        <w:rPr>
          <w:i/>
        </w:rPr>
      </w:pPr>
    </w:p>
    <w:p>
      <w:pPr>
        <w:pStyle w:val="BodyText"/>
        <w:spacing w:line="242" w:lineRule="auto"/>
        <w:ind w:left="144" w:right="118" w:firstLine="499"/>
        <w:jc w:val="both"/>
      </w:pPr>
      <w:r>
        <w:rPr/>
        <w:t>Most of our revenue is cash-based, through customers wagering with cash or paying for non-gaming services with cash or credit cards. We rely on </w:t>
      </w:r>
      <w:r>
        <w:rPr/>
        <w:t>the ability</w:t>
      </w:r>
      <w:r>
        <w:rPr>
          <w:spacing w:val="-2"/>
        </w:rPr>
        <w:t> </w:t>
      </w:r>
      <w:r>
        <w:rPr/>
        <w:t>of</w:t>
      </w:r>
      <w:r>
        <w:rPr>
          <w:spacing w:val="-2"/>
        </w:rPr>
        <w:t> </w:t>
      </w:r>
      <w:r>
        <w:rPr/>
        <w:t>our</w:t>
      </w:r>
      <w:r>
        <w:rPr>
          <w:spacing w:val="-2"/>
        </w:rPr>
        <w:t> </w:t>
      </w:r>
      <w:r>
        <w:rPr/>
        <w:t>resorts</w:t>
      </w:r>
      <w:r>
        <w:rPr>
          <w:spacing w:val="-2"/>
        </w:rPr>
        <w:t> </w:t>
      </w:r>
      <w:r>
        <w:rPr/>
        <w:t>to</w:t>
      </w:r>
      <w:r>
        <w:rPr>
          <w:spacing w:val="-2"/>
        </w:rPr>
        <w:t> </w:t>
      </w:r>
      <w:r>
        <w:rPr/>
        <w:t>generate</w:t>
      </w:r>
      <w:r>
        <w:rPr>
          <w:spacing w:val="-2"/>
        </w:rPr>
        <w:t> </w:t>
      </w:r>
      <w:r>
        <w:rPr/>
        <w:t>operating</w:t>
      </w:r>
      <w:r>
        <w:rPr>
          <w:spacing w:val="-2"/>
        </w:rPr>
        <w:t> </w:t>
      </w:r>
      <w:r>
        <w:rPr/>
        <w:t>cash</w:t>
      </w:r>
      <w:r>
        <w:rPr>
          <w:spacing w:val="-2"/>
        </w:rPr>
        <w:t> </w:t>
      </w:r>
      <w:r>
        <w:rPr/>
        <w:t>flow</w:t>
      </w:r>
      <w:r>
        <w:rPr>
          <w:spacing w:val="-2"/>
        </w:rPr>
        <w:t> </w:t>
      </w:r>
      <w:r>
        <w:rPr/>
        <w:t>to</w:t>
      </w:r>
      <w:r>
        <w:rPr>
          <w:spacing w:val="-2"/>
        </w:rPr>
        <w:t> </w:t>
      </w:r>
      <w:r>
        <w:rPr/>
        <w:t>fund</w:t>
      </w:r>
      <w:r>
        <w:rPr>
          <w:spacing w:val="-2"/>
        </w:rPr>
        <w:t> </w:t>
      </w:r>
      <w:r>
        <w:rPr/>
        <w:t>capital</w:t>
      </w:r>
      <w:r>
        <w:rPr>
          <w:spacing w:val="-2"/>
        </w:rPr>
        <w:t> </w:t>
      </w:r>
      <w:r>
        <w:rPr/>
        <w:t>expenditures,</w:t>
      </w:r>
      <w:r>
        <w:rPr>
          <w:spacing w:val="-2"/>
        </w:rPr>
        <w:t> </w:t>
      </w:r>
      <w:r>
        <w:rPr/>
        <w:t>provide</w:t>
      </w:r>
      <w:r>
        <w:rPr>
          <w:spacing w:val="-2"/>
        </w:rPr>
        <w:t> </w:t>
      </w:r>
      <w:r>
        <w:rPr/>
        <w:t>excess</w:t>
      </w:r>
      <w:r>
        <w:rPr>
          <w:spacing w:val="-2"/>
        </w:rPr>
        <w:t> </w:t>
      </w:r>
      <w:r>
        <w:rPr/>
        <w:t>cash</w:t>
      </w:r>
      <w:r>
        <w:rPr>
          <w:spacing w:val="-2"/>
        </w:rPr>
        <w:t> </w:t>
      </w:r>
      <w:r>
        <w:rPr/>
        <w:t>flow</w:t>
      </w:r>
      <w:r>
        <w:rPr>
          <w:spacing w:val="-2"/>
        </w:rPr>
        <w:t> </w:t>
      </w:r>
      <w:r>
        <w:rPr/>
        <w:t>for</w:t>
      </w:r>
      <w:r>
        <w:rPr>
          <w:spacing w:val="-2"/>
        </w:rPr>
        <w:t> </w:t>
      </w:r>
      <w:r>
        <w:rPr/>
        <w:t>future</w:t>
      </w:r>
      <w:r>
        <w:rPr>
          <w:spacing w:val="-2"/>
        </w:rPr>
        <w:t> </w:t>
      </w:r>
      <w:r>
        <w:rPr/>
        <w:t>development,</w:t>
      </w:r>
      <w:r>
        <w:rPr>
          <w:spacing w:val="-2"/>
        </w:rPr>
        <w:t> </w:t>
      </w:r>
      <w:r>
        <w:rPr/>
        <w:t>acquisitions</w:t>
      </w:r>
      <w:r>
        <w:rPr>
          <w:spacing w:val="-2"/>
        </w:rPr>
        <w:t> </w:t>
      </w:r>
      <w:r>
        <w:rPr/>
        <w:t>or</w:t>
      </w:r>
      <w:r>
        <w:rPr>
          <w:spacing w:val="-2"/>
        </w:rPr>
        <w:t> </w:t>
      </w:r>
      <w:r>
        <w:rPr/>
        <w:t>investments, and repay debt financings.</w:t>
      </w:r>
    </w:p>
    <w:p>
      <w:pPr>
        <w:pStyle w:val="BodyText"/>
        <w:spacing w:before="3"/>
      </w:pPr>
    </w:p>
    <w:p>
      <w:pPr>
        <w:pStyle w:val="BodyText"/>
        <w:ind w:left="144" w:right="118" w:firstLine="499"/>
        <w:jc w:val="both"/>
      </w:pPr>
      <w:r>
        <w:rPr/>
        <w:t>Our results of operations do not tend to be seasonal in nature as all of our casino resorts, except as otherwise described related to the impact of COVID- 19, typically operate 24 hours a day, every day of the year, with the exception of Empire City, which operates 20 hours a day, every day of the year, though </w:t>
      </w:r>
      <w:r>
        <w:rPr/>
        <w:t>a variety of factors may affect the results of any interim period, including the timing of major conventions, Far East baccarat volumes, the timing of</w:t>
      </w:r>
      <w:r>
        <w:rPr>
          <w:spacing w:val="40"/>
        </w:rPr>
        <w:t> </w:t>
      </w:r>
      <w:r>
        <w:rPr/>
        <w:t>entertainment and sports events, the amount and timing of marketing and special events for our high-end gaming customers, and the level of play during major holidays, including New Year and Lunar New Year. Our primary casino and hotel operations are owned and managed by us. Other resort amenities may be owned and operated by us, owned by us but managed by third parties for a fee, or leased to third parties.</w:t>
      </w:r>
      <w:r>
        <w:rPr>
          <w:spacing w:val="-1"/>
        </w:rPr>
        <w:t> </w:t>
      </w:r>
      <w:r>
        <w:rPr/>
        <w:t>We also lease space to third-party retail and food and beverage operators, particularly for branding opportunities.</w:t>
      </w:r>
    </w:p>
    <w:p>
      <w:pPr>
        <w:pStyle w:val="BodyText"/>
        <w:spacing w:before="4"/>
      </w:pPr>
    </w:p>
    <w:p>
      <w:pPr>
        <w:pStyle w:val="BodyText"/>
        <w:spacing w:line="249" w:lineRule="auto"/>
        <w:ind w:left="144" w:right="118" w:firstLine="499"/>
        <w:jc w:val="both"/>
      </w:pPr>
      <w:r>
        <w:rPr/>
        <w:t>As of December 31, 2022, we have three reportable segments: Las Vegas Strip Resorts, Regional Operations, and MGM China, as generally </w:t>
      </w:r>
      <w:r>
        <w:rPr/>
        <w:t>described below. See Note 17 for detailed financial information about our reportable segments.</w:t>
      </w:r>
    </w:p>
    <w:p>
      <w:pPr>
        <w:spacing w:before="204"/>
        <w:ind w:left="511" w:right="0" w:firstLine="0"/>
        <w:jc w:val="left"/>
        <w:rPr>
          <w:i/>
          <w:sz w:val="18"/>
        </w:rPr>
      </w:pPr>
      <w:r>
        <w:rPr>
          <w:i/>
          <w:sz w:val="18"/>
        </w:rPr>
        <w:t>Las</w:t>
      </w:r>
      <w:r>
        <w:rPr>
          <w:i/>
          <w:spacing w:val="-5"/>
          <w:sz w:val="18"/>
        </w:rPr>
        <w:t> </w:t>
      </w:r>
      <w:r>
        <w:rPr>
          <w:i/>
          <w:sz w:val="18"/>
        </w:rPr>
        <w:t>Vegas</w:t>
      </w:r>
      <w:r>
        <w:rPr>
          <w:i/>
          <w:spacing w:val="-4"/>
          <w:sz w:val="18"/>
        </w:rPr>
        <w:t> </w:t>
      </w:r>
      <w:r>
        <w:rPr>
          <w:i/>
          <w:sz w:val="18"/>
        </w:rPr>
        <w:t>Strip</w:t>
      </w:r>
      <w:r>
        <w:rPr>
          <w:i/>
          <w:spacing w:val="-4"/>
          <w:sz w:val="18"/>
        </w:rPr>
        <w:t> </w:t>
      </w:r>
      <w:r>
        <w:rPr>
          <w:i/>
          <w:sz w:val="18"/>
        </w:rPr>
        <w:t>Resorts</w:t>
      </w:r>
      <w:r>
        <w:rPr>
          <w:i/>
          <w:spacing w:val="-5"/>
          <w:sz w:val="18"/>
        </w:rPr>
        <w:t> </w:t>
      </w:r>
      <w:r>
        <w:rPr>
          <w:i/>
          <w:sz w:val="18"/>
        </w:rPr>
        <w:t>and</w:t>
      </w:r>
      <w:r>
        <w:rPr>
          <w:i/>
          <w:spacing w:val="-4"/>
          <w:sz w:val="18"/>
        </w:rPr>
        <w:t> </w:t>
      </w:r>
      <w:r>
        <w:rPr>
          <w:i/>
          <w:sz w:val="18"/>
        </w:rPr>
        <w:t>Regional</w:t>
      </w:r>
      <w:r>
        <w:rPr>
          <w:i/>
          <w:spacing w:val="-4"/>
          <w:sz w:val="18"/>
        </w:rPr>
        <w:t> </w:t>
      </w:r>
      <w:r>
        <w:rPr>
          <w:i/>
          <w:spacing w:val="-2"/>
          <w:sz w:val="18"/>
        </w:rPr>
        <w:t>Operations</w:t>
      </w:r>
    </w:p>
    <w:p>
      <w:pPr>
        <w:pStyle w:val="BodyText"/>
        <w:spacing w:line="235" w:lineRule="auto" w:before="188"/>
        <w:ind w:left="144" w:right="118" w:firstLine="499"/>
        <w:jc w:val="both"/>
      </w:pPr>
      <w:r>
        <w:rPr>
          <w:b/>
        </w:rPr>
        <w:t>Las Vegas Strip Resorts. </w:t>
      </w:r>
      <w:r>
        <w:rPr/>
        <w:t>Las Vegas Strip Resorts consists of the following casino resorts: Aria (including Vdara) (upon its acquisition in September 2021), Bellagio, The Cosmopolitan (upon its acquisition in May 2022), MGM Grand Las Vegas (including The Signature), Mandalay Bay (including </w:t>
      </w:r>
      <w:r>
        <w:rPr/>
        <w:t>Delano and Four Seasons), The Mirage (until its</w:t>
      </w:r>
    </w:p>
    <w:p>
      <w:pPr>
        <w:pStyle w:val="BodyText"/>
      </w:pPr>
    </w:p>
    <w:p>
      <w:pPr>
        <w:pStyle w:val="BodyText"/>
        <w:spacing w:before="189"/>
      </w:pPr>
    </w:p>
    <w:p>
      <w:pPr>
        <w:pStyle w:val="BodyText"/>
        <w:ind w:left="24"/>
        <w:jc w:val="center"/>
      </w:pPr>
      <w:r>
        <w:rPr>
          <w:spacing w:val="-10"/>
        </w:rPr>
        <w:t>3</w:t>
      </w:r>
    </w:p>
    <w:p>
      <w:pPr>
        <w:pStyle w:val="BodyText"/>
        <w:spacing w:before="3"/>
        <w:rPr>
          <w:sz w:val="6"/>
        </w:rPr>
      </w:pPr>
      <w:r>
        <w:rPr/>
        <mc:AlternateContent>
          <mc:Choice Requires="wps">
            <w:drawing>
              <wp:anchor distT="0" distB="0" distL="0" distR="0" allowOverlap="1" layoutInCell="1" locked="0" behindDoc="1" simplePos="0" relativeHeight="487595520">
                <wp:simplePos x="0" y="0"/>
                <wp:positionH relativeFrom="page">
                  <wp:posOffset>231457</wp:posOffset>
                </wp:positionH>
                <wp:positionV relativeFrom="paragraph">
                  <wp:posOffset>60956</wp:posOffset>
                </wp:positionV>
                <wp:extent cx="7312659" cy="1714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7312659" cy="17145"/>
                          <a:chExt cx="7312659" cy="17145"/>
                        </a:xfrm>
                      </wpg:grpSpPr>
                      <wps:wsp>
                        <wps:cNvPr id="34" name="Graphic 3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5" name="Graphic 35"/>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 name="Graphic 3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20960;mso-wrap-distance-left:0;mso-wrap-distance-right:0" id="docshapegroup32" coordorigin="364,96" coordsize="11516,27">
                <v:rect style="position:absolute;left:364;top:96;width:11516;height:14" id="docshape33" filled="true" fillcolor="#999999" stroked="false">
                  <v:fill type="solid"/>
                </v:rect>
                <v:shape style="position:absolute;left:364;top:96;width:11516;height:27" id="docshape34" coordorigin="364,96" coordsize="11516,27" path="m11880,96l11866,110,364,110,364,123,11866,123,11880,123,11880,110,11880,96xe" filled="true" fillcolor="#ededed" stroked="false">
                  <v:path arrowok="t"/>
                  <v:fill type="solid"/>
                </v:shape>
                <v:shape style="position:absolute;left:364;top:96;width:14;height:27" id="docshape3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78"/>
        <w:ind w:left="144"/>
      </w:pPr>
      <w:r>
        <w:rPr/>
        <w:t>disposition</w:t>
      </w:r>
      <w:r>
        <w:rPr>
          <w:spacing w:val="-7"/>
        </w:rPr>
        <w:t> </w:t>
      </w:r>
      <w:r>
        <w:rPr/>
        <w:t>in</w:t>
      </w:r>
      <w:r>
        <w:rPr>
          <w:spacing w:val="-4"/>
        </w:rPr>
        <w:t> </w:t>
      </w:r>
      <w:r>
        <w:rPr/>
        <w:t>December</w:t>
      </w:r>
      <w:r>
        <w:rPr>
          <w:spacing w:val="-4"/>
        </w:rPr>
        <w:t> </w:t>
      </w:r>
      <w:r>
        <w:rPr/>
        <w:t>2022),</w:t>
      </w:r>
      <w:r>
        <w:rPr>
          <w:spacing w:val="-4"/>
        </w:rPr>
        <w:t> </w:t>
      </w:r>
      <w:r>
        <w:rPr/>
        <w:t>Luxor,</w:t>
      </w:r>
      <w:r>
        <w:rPr>
          <w:spacing w:val="-4"/>
        </w:rPr>
        <w:t> </w:t>
      </w:r>
      <w:r>
        <w:rPr/>
        <w:t>New</w:t>
      </w:r>
      <w:r>
        <w:rPr>
          <w:spacing w:val="-9"/>
        </w:rPr>
        <w:t> </w:t>
      </w:r>
      <w:r>
        <w:rPr/>
        <w:t>York-New</w:t>
      </w:r>
      <w:r>
        <w:rPr>
          <w:spacing w:val="-10"/>
        </w:rPr>
        <w:t> </w:t>
      </w:r>
      <w:r>
        <w:rPr/>
        <w:t>York</w:t>
      </w:r>
      <w:r>
        <w:rPr>
          <w:spacing w:val="-4"/>
        </w:rPr>
        <w:t> </w:t>
      </w:r>
      <w:r>
        <w:rPr/>
        <w:t>(including</w:t>
      </w:r>
      <w:r>
        <w:rPr>
          <w:spacing w:val="-7"/>
        </w:rPr>
        <w:t> </w:t>
      </w:r>
      <w:r>
        <w:rPr/>
        <w:t>The</w:t>
      </w:r>
      <w:r>
        <w:rPr>
          <w:spacing w:val="-4"/>
        </w:rPr>
        <w:t> </w:t>
      </w:r>
      <w:r>
        <w:rPr/>
        <w:t>Park),</w:t>
      </w:r>
      <w:r>
        <w:rPr>
          <w:spacing w:val="-4"/>
        </w:rPr>
        <w:t> </w:t>
      </w:r>
      <w:r>
        <w:rPr/>
        <w:t>Excalibur,</w:t>
      </w:r>
      <w:r>
        <w:rPr>
          <w:spacing w:val="-4"/>
        </w:rPr>
        <w:t> </w:t>
      </w:r>
      <w:r>
        <w:rPr/>
        <w:t>and</w:t>
      </w:r>
      <w:r>
        <w:rPr>
          <w:spacing w:val="-4"/>
        </w:rPr>
        <w:t> </w:t>
      </w:r>
      <w:r>
        <w:rPr/>
        <w:t>Park</w:t>
      </w:r>
      <w:r>
        <w:rPr>
          <w:spacing w:val="-4"/>
        </w:rPr>
        <w:t> </w:t>
      </w:r>
      <w:r>
        <w:rPr/>
        <w:t>MGM</w:t>
      </w:r>
      <w:r>
        <w:rPr>
          <w:spacing w:val="-4"/>
        </w:rPr>
        <w:t> </w:t>
      </w:r>
      <w:r>
        <w:rPr/>
        <w:t>(including</w:t>
      </w:r>
      <w:r>
        <w:rPr>
          <w:spacing w:val="-5"/>
        </w:rPr>
        <w:t> </w:t>
      </w:r>
      <w:r>
        <w:rPr/>
        <w:t>NoMad</w:t>
      </w:r>
      <w:r>
        <w:rPr>
          <w:spacing w:val="-4"/>
        </w:rPr>
        <w:t> </w:t>
      </w:r>
      <w:r>
        <w:rPr/>
        <w:t>Las</w:t>
      </w:r>
      <w:r>
        <w:rPr>
          <w:spacing w:val="-6"/>
        </w:rPr>
        <w:t> </w:t>
      </w:r>
      <w:r>
        <w:rPr>
          <w:spacing w:val="-2"/>
        </w:rPr>
        <w:t>Vegas).</w:t>
      </w:r>
    </w:p>
    <w:p>
      <w:pPr>
        <w:pStyle w:val="BodyText"/>
        <w:spacing w:before="185"/>
        <w:ind w:left="144" w:right="118" w:firstLine="499"/>
        <w:jc w:val="both"/>
      </w:pPr>
      <w:r>
        <w:rPr>
          <w:b/>
        </w:rPr>
        <w:t>Regional Operations. </w:t>
      </w:r>
      <w:r>
        <w:rPr/>
        <w:t>Regional Operations consists of the following casino resorts: MGM Grand Detroit in Detroit, Michigan; Beau Rivage in Biloxi, Mississippi; Gold Strike</w:t>
      </w:r>
      <w:r>
        <w:rPr>
          <w:spacing w:val="-3"/>
        </w:rPr>
        <w:t> </w:t>
      </w:r>
      <w:r>
        <w:rPr/>
        <w:t>Tunica in</w:t>
      </w:r>
      <w:r>
        <w:rPr>
          <w:spacing w:val="-3"/>
        </w:rPr>
        <w:t> </w:t>
      </w:r>
      <w:r>
        <w:rPr/>
        <w:t>Tunica, Mississippi (until its disposition in February 2023); Borgata in</w:t>
      </w:r>
      <w:r>
        <w:rPr>
          <w:spacing w:val="-9"/>
        </w:rPr>
        <w:t> </w:t>
      </w:r>
      <w:r>
        <w:rPr/>
        <w:t>Atlantic City, New Jersey; MGM National Harbor </w:t>
      </w:r>
      <w:r>
        <w:rPr/>
        <w:t>in Prince George’s County, Maryland; MGM Springfield in Springfield, Massachusetts; Empire City in Yonkers, New York; and MGM Northfield Park in Northfield Park, Ohio.</w:t>
      </w:r>
    </w:p>
    <w:p>
      <w:pPr>
        <w:pStyle w:val="BodyText"/>
        <w:spacing w:before="4"/>
      </w:pPr>
    </w:p>
    <w:p>
      <w:pPr>
        <w:pStyle w:val="BodyText"/>
        <w:spacing w:line="242" w:lineRule="auto"/>
        <w:ind w:left="144" w:right="118" w:firstLine="499"/>
        <w:jc w:val="both"/>
      </w:pPr>
      <w:r>
        <w:rPr/>
        <w:t>Over half of the net revenue from our Las Vegas Strip Resorts is typically derived from non-gaming operations, including hotel, food and beverage, entertainment and other non-gaming amenities and the majority of the net revenue from our Regional Operations is typically derived from gaming operations. Our long-term strategy continues to be to market to different customers and utilize our significant convention and meeting facilities to allow us to </w:t>
      </w:r>
      <w:r>
        <w:rPr/>
        <w:t>maximize hotel occupancy and customer volumes, which also leads to better labor utilization. Our operating results are highly dependent on the volume of customers at our properties, which in turn affects the price we can charge for our hotel rooms and other amenities.</w:t>
      </w:r>
    </w:p>
    <w:p>
      <w:pPr>
        <w:pStyle w:val="BodyText"/>
        <w:spacing w:before="7"/>
      </w:pPr>
    </w:p>
    <w:p>
      <w:pPr>
        <w:pStyle w:val="BodyText"/>
        <w:spacing w:line="235" w:lineRule="auto"/>
        <w:ind w:left="144" w:right="118" w:firstLine="499"/>
        <w:jc w:val="both"/>
      </w:pPr>
      <w:r>
        <w:rPr/>
        <w:t>Our casino operations feature a variety of slots and table games. In addition, we provide our premium players access to high-limit rooms and </w:t>
      </w:r>
      <w:r>
        <w:rPr/>
        <w:t>lounge experiences where players may enjoy an upscale atmosphere.</w:t>
      </w:r>
    </w:p>
    <w:p>
      <w:pPr>
        <w:pStyle w:val="BodyText"/>
        <w:spacing w:before="18"/>
      </w:pPr>
    </w:p>
    <w:p>
      <w:pPr>
        <w:spacing w:before="0"/>
        <w:ind w:left="511" w:right="0" w:firstLine="0"/>
        <w:jc w:val="left"/>
        <w:rPr>
          <w:i/>
          <w:sz w:val="18"/>
        </w:rPr>
      </w:pPr>
      <w:r>
        <w:rPr>
          <w:i/>
          <w:sz w:val="18"/>
        </w:rPr>
        <w:t>MGM</w:t>
      </w:r>
      <w:r>
        <w:rPr>
          <w:i/>
          <w:spacing w:val="-1"/>
          <w:sz w:val="18"/>
        </w:rPr>
        <w:t> </w:t>
      </w:r>
      <w:r>
        <w:rPr>
          <w:i/>
          <w:spacing w:val="-2"/>
          <w:sz w:val="18"/>
        </w:rPr>
        <w:t>China</w:t>
      </w:r>
    </w:p>
    <w:p>
      <w:pPr>
        <w:pStyle w:val="BodyText"/>
        <w:spacing w:before="6"/>
        <w:rPr>
          <w:i/>
        </w:rPr>
      </w:pPr>
    </w:p>
    <w:p>
      <w:pPr>
        <w:pStyle w:val="BodyText"/>
        <w:spacing w:line="237" w:lineRule="auto" w:before="1"/>
        <w:ind w:left="144" w:right="118" w:firstLine="499"/>
        <w:jc w:val="both"/>
      </w:pPr>
      <w:r>
        <w:rPr/>
        <w:t>We own approximately 56% of MGM China, which owns MGM Grand Paradise, the Macau company that owns and operates the MGM Macau and MGM Cotai casino resorts and holds the related gaming concession and land concessions. We believe our ownership interest in MGM China plays an</w:t>
      </w:r>
      <w:r>
        <w:rPr>
          <w:spacing w:val="40"/>
        </w:rPr>
        <w:t> </w:t>
      </w:r>
      <w:r>
        <w:rPr/>
        <w:t>important role in extending our reach internationally and will foster future growth and profitability. Although visitation during 2020, 2021, and 2022 was significantly reduced by the COVID-19 pandemic, we expect the long-term future growth of the Asian gaming market to drive additional visitation at MGM Macau and MGM Cotai.</w:t>
      </w:r>
    </w:p>
    <w:p>
      <w:pPr>
        <w:pStyle w:val="BodyText"/>
        <w:spacing w:before="12"/>
      </w:pPr>
    </w:p>
    <w:p>
      <w:pPr>
        <w:pStyle w:val="BodyText"/>
        <w:spacing w:line="235" w:lineRule="auto"/>
        <w:ind w:left="144" w:right="118" w:firstLine="499"/>
        <w:jc w:val="both"/>
      </w:pPr>
      <w:r>
        <w:rPr/>
        <w:t>Our current MGM China operations relate to MGM Macau and MGM Cotai, discussed further below. MGM China’s revenues are generated primarily from gaming operations, which are conducted under a gaming concession held by MGM Grand Paradise, a subsidiary of MGM China. Gaming in Macau is currently administered by the Macau Government through concessions awarded to six different concessionaires.</w:t>
      </w:r>
    </w:p>
    <w:p>
      <w:pPr>
        <w:pStyle w:val="BodyText"/>
        <w:spacing w:before="4"/>
      </w:pPr>
    </w:p>
    <w:p>
      <w:pPr>
        <w:spacing w:before="0"/>
        <w:ind w:left="0" w:right="9226" w:firstLine="0"/>
        <w:jc w:val="center"/>
        <w:rPr>
          <w:i/>
          <w:sz w:val="18"/>
        </w:rPr>
      </w:pPr>
      <w:r>
        <w:rPr>
          <w:i/>
          <w:sz w:val="18"/>
        </w:rPr>
        <w:t>Corporate</w:t>
      </w:r>
      <w:r>
        <w:rPr>
          <w:i/>
          <w:spacing w:val="-1"/>
          <w:sz w:val="18"/>
        </w:rPr>
        <w:t> </w:t>
      </w:r>
      <w:r>
        <w:rPr>
          <w:i/>
          <w:sz w:val="18"/>
        </w:rPr>
        <w:t>and</w:t>
      </w:r>
      <w:r>
        <w:rPr>
          <w:i/>
          <w:spacing w:val="-1"/>
          <w:sz w:val="18"/>
        </w:rPr>
        <w:t> </w:t>
      </w:r>
      <w:r>
        <w:rPr>
          <w:i/>
          <w:spacing w:val="-2"/>
          <w:sz w:val="18"/>
        </w:rPr>
        <w:t>Other</w:t>
      </w:r>
    </w:p>
    <w:p>
      <w:pPr>
        <w:pStyle w:val="BodyText"/>
        <w:spacing w:before="22"/>
        <w:rPr>
          <w:i/>
        </w:rPr>
      </w:pPr>
    </w:p>
    <w:p>
      <w:pPr>
        <w:pStyle w:val="BodyText"/>
        <w:spacing w:line="235" w:lineRule="auto"/>
        <w:ind w:left="144" w:right="118" w:firstLine="499"/>
        <w:jc w:val="both"/>
      </w:pPr>
      <w:r>
        <w:rPr/>
        <w:t>We</w:t>
      </w:r>
      <w:r>
        <w:rPr>
          <w:spacing w:val="-3"/>
        </w:rPr>
        <w:t> </w:t>
      </w:r>
      <w:r>
        <w:rPr/>
        <w:t>have</w:t>
      </w:r>
      <w:r>
        <w:rPr>
          <w:spacing w:val="-3"/>
        </w:rPr>
        <w:t> </w:t>
      </w:r>
      <w:r>
        <w:rPr/>
        <w:t>additional</w:t>
      </w:r>
      <w:r>
        <w:rPr>
          <w:spacing w:val="-3"/>
        </w:rPr>
        <w:t> </w:t>
      </w:r>
      <w:r>
        <w:rPr/>
        <w:t>business</w:t>
      </w:r>
      <w:r>
        <w:rPr>
          <w:spacing w:val="-3"/>
        </w:rPr>
        <w:t> </w:t>
      </w:r>
      <w:r>
        <w:rPr/>
        <w:t>activities</w:t>
      </w:r>
      <w:r>
        <w:rPr>
          <w:spacing w:val="-3"/>
        </w:rPr>
        <w:t> </w:t>
      </w:r>
      <w:r>
        <w:rPr/>
        <w:t>including</w:t>
      </w:r>
      <w:r>
        <w:rPr>
          <w:spacing w:val="-3"/>
        </w:rPr>
        <w:t> </w:t>
      </w:r>
      <w:r>
        <w:rPr/>
        <w:t>LeoVegas,</w:t>
      </w:r>
      <w:r>
        <w:rPr>
          <w:spacing w:val="-3"/>
        </w:rPr>
        <w:t> </w:t>
      </w:r>
      <w:r>
        <w:rPr/>
        <w:t>our</w:t>
      </w:r>
      <w:r>
        <w:rPr>
          <w:spacing w:val="-3"/>
        </w:rPr>
        <w:t> </w:t>
      </w:r>
      <w:r>
        <w:rPr/>
        <w:t>investments</w:t>
      </w:r>
      <w:r>
        <w:rPr>
          <w:spacing w:val="-3"/>
        </w:rPr>
        <w:t> </w:t>
      </w:r>
      <w:r>
        <w:rPr/>
        <w:t>in</w:t>
      </w:r>
      <w:r>
        <w:rPr>
          <w:spacing w:val="-3"/>
        </w:rPr>
        <w:t> </w:t>
      </w:r>
      <w:r>
        <w:rPr/>
        <w:t>unconsolidated</w:t>
      </w:r>
      <w:r>
        <w:rPr>
          <w:spacing w:val="-3"/>
        </w:rPr>
        <w:t> </w:t>
      </w:r>
      <w:r>
        <w:rPr/>
        <w:t>affiliates,</w:t>
      </w:r>
      <w:r>
        <w:rPr>
          <w:spacing w:val="-3"/>
        </w:rPr>
        <w:t> </w:t>
      </w:r>
      <w:r>
        <w:rPr/>
        <w:t>including</w:t>
      </w:r>
      <w:r>
        <w:rPr>
          <w:spacing w:val="-3"/>
        </w:rPr>
        <w:t> </w:t>
      </w:r>
      <w:r>
        <w:rPr/>
        <w:t>BetMGM,</w:t>
      </w:r>
      <w:r>
        <w:rPr>
          <w:spacing w:val="-3"/>
        </w:rPr>
        <w:t> </w:t>
      </w:r>
      <w:r>
        <w:rPr/>
        <w:t>and</w:t>
      </w:r>
      <w:r>
        <w:rPr>
          <w:spacing w:val="-3"/>
        </w:rPr>
        <w:t> </w:t>
      </w:r>
      <w:r>
        <w:rPr/>
        <w:t>certain</w:t>
      </w:r>
      <w:r>
        <w:rPr>
          <w:spacing w:val="-3"/>
        </w:rPr>
        <w:t> </w:t>
      </w:r>
      <w:r>
        <w:rPr/>
        <w:t>other</w:t>
      </w:r>
      <w:r>
        <w:rPr>
          <w:spacing w:val="-3"/>
        </w:rPr>
        <w:t> </w:t>
      </w:r>
      <w:r>
        <w:rPr/>
        <w:t>corporate and management operations.</w:t>
      </w:r>
    </w:p>
    <w:p>
      <w:pPr>
        <w:pStyle w:val="BodyText"/>
        <w:spacing w:before="5"/>
      </w:pPr>
    </w:p>
    <w:p>
      <w:pPr>
        <w:pStyle w:val="Heading5"/>
        <w:ind w:left="88" w:right="9407"/>
      </w:pPr>
      <w:r>
        <w:rPr/>
        <w:t>Customers</w:t>
      </w:r>
      <w:r>
        <w:rPr>
          <w:spacing w:val="-1"/>
        </w:rPr>
        <w:t> </w:t>
      </w:r>
      <w:r>
        <w:rPr/>
        <w:t>and</w:t>
      </w:r>
      <w:r>
        <w:rPr>
          <w:spacing w:val="-1"/>
        </w:rPr>
        <w:t> </w:t>
      </w:r>
      <w:r>
        <w:rPr>
          <w:spacing w:val="-2"/>
        </w:rPr>
        <w:t>Competition</w:t>
      </w:r>
    </w:p>
    <w:p>
      <w:pPr>
        <w:pStyle w:val="BodyText"/>
        <w:spacing w:before="18"/>
        <w:rPr>
          <w:b/>
        </w:rPr>
      </w:pPr>
    </w:p>
    <w:p>
      <w:pPr>
        <w:pStyle w:val="BodyText"/>
        <w:ind w:left="144" w:right="118" w:firstLine="499"/>
        <w:jc w:val="both"/>
      </w:pPr>
      <w:r>
        <w:rPr/>
        <w:t>Our properties operate in highly competitive environments. We compete against gaming companies, as well as other hospitality companies in the markets in which we operate, neighboring markets, and in other parts of the world, including non-gaming resort destinations such as Hawaii. Our </w:t>
      </w:r>
      <w:r>
        <w:rPr/>
        <w:t>gaming operations compete to a lesser extent with state-sponsored lotteries, off-track wagering, card parlors, iGaming and other forms of legalized gaming in the</w:t>
      </w:r>
      <w:r>
        <w:rPr>
          <w:spacing w:val="40"/>
        </w:rPr>
        <w:t> </w:t>
      </w:r>
      <w:r>
        <w:rPr/>
        <w:t>United States and internationally. For further discussion of the potential impact of competitive conditions on our business, see “Item 1A. Risk Factors — Risks Related to our Business, Industry, and Market Conditions — We face significant competition with respect to destination travel locations generally and with respect to our peers in the industries in which we compete, including increased competition through online sports betting and iGaming, and failure to compete effectively could materially adversely affect our business, financial condition, results of operations and cash flows.”</w:t>
      </w:r>
    </w:p>
    <w:p>
      <w:pPr>
        <w:pStyle w:val="BodyText"/>
        <w:spacing w:before="4"/>
      </w:pPr>
    </w:p>
    <w:p>
      <w:pPr>
        <w:pStyle w:val="BodyText"/>
        <w:spacing w:line="205" w:lineRule="exact"/>
        <w:ind w:left="644"/>
      </w:pPr>
      <w:r>
        <w:rPr/>
        <w:t>Our</w:t>
      </w:r>
      <w:r>
        <w:rPr>
          <w:spacing w:val="-1"/>
        </w:rPr>
        <w:t> </w:t>
      </w:r>
      <w:r>
        <w:rPr/>
        <w:t>primary</w:t>
      </w:r>
      <w:r>
        <w:rPr>
          <w:spacing w:val="-1"/>
        </w:rPr>
        <w:t> </w:t>
      </w:r>
      <w:r>
        <w:rPr/>
        <w:t>methods</w:t>
      </w:r>
      <w:r>
        <w:rPr>
          <w:spacing w:val="-1"/>
        </w:rPr>
        <w:t> </w:t>
      </w:r>
      <w:r>
        <w:rPr/>
        <w:t>of</w:t>
      </w:r>
      <w:r>
        <w:rPr>
          <w:spacing w:val="-1"/>
        </w:rPr>
        <w:t> </w:t>
      </w:r>
      <w:r>
        <w:rPr/>
        <w:t>successful</w:t>
      </w:r>
      <w:r>
        <w:rPr>
          <w:spacing w:val="-1"/>
        </w:rPr>
        <w:t> </w:t>
      </w:r>
      <w:r>
        <w:rPr/>
        <w:t>competition</w:t>
      </w:r>
      <w:r>
        <w:rPr>
          <w:spacing w:val="-1"/>
        </w:rPr>
        <w:t> </w:t>
      </w:r>
      <w:r>
        <w:rPr>
          <w:spacing w:val="-2"/>
        </w:rPr>
        <w:t>include:</w:t>
      </w:r>
    </w:p>
    <w:p>
      <w:pPr>
        <w:pStyle w:val="ListParagraph"/>
        <w:numPr>
          <w:ilvl w:val="0"/>
          <w:numId w:val="1"/>
        </w:numPr>
        <w:tabs>
          <w:tab w:pos="792" w:val="left" w:leader="none"/>
        </w:tabs>
        <w:spacing w:line="205" w:lineRule="exact" w:before="0" w:after="0"/>
        <w:ind w:left="792" w:right="0" w:hanging="324"/>
        <w:jc w:val="left"/>
        <w:rPr>
          <w:sz w:val="18"/>
        </w:rPr>
      </w:pPr>
      <w:r>
        <w:rPr>
          <w:sz w:val="18"/>
        </w:rPr>
        <w:t>Locating</w:t>
      </w:r>
      <w:r>
        <w:rPr>
          <w:spacing w:val="-1"/>
          <w:sz w:val="18"/>
        </w:rPr>
        <w:t> </w:t>
      </w:r>
      <w:r>
        <w:rPr>
          <w:sz w:val="18"/>
        </w:rPr>
        <w:t>our</w:t>
      </w:r>
      <w:r>
        <w:rPr>
          <w:spacing w:val="-1"/>
          <w:sz w:val="18"/>
        </w:rPr>
        <w:t> </w:t>
      </w:r>
      <w:r>
        <w:rPr>
          <w:sz w:val="18"/>
        </w:rPr>
        <w:t>resorts</w:t>
      </w:r>
      <w:r>
        <w:rPr>
          <w:spacing w:val="-1"/>
          <w:sz w:val="18"/>
        </w:rPr>
        <w:t> </w:t>
      </w:r>
      <w:r>
        <w:rPr>
          <w:sz w:val="18"/>
        </w:rPr>
        <w:t>in</w:t>
      </w:r>
      <w:r>
        <w:rPr>
          <w:spacing w:val="-1"/>
          <w:sz w:val="18"/>
        </w:rPr>
        <w:t> </w:t>
      </w:r>
      <w:r>
        <w:rPr>
          <w:sz w:val="18"/>
        </w:rPr>
        <w:t>desirable</w:t>
      </w:r>
      <w:r>
        <w:rPr>
          <w:spacing w:val="-1"/>
          <w:sz w:val="18"/>
        </w:rPr>
        <w:t> </w:t>
      </w:r>
      <w:r>
        <w:rPr>
          <w:sz w:val="18"/>
        </w:rPr>
        <w:t>leisure</w:t>
      </w:r>
      <w:r>
        <w:rPr>
          <w:spacing w:val="-1"/>
          <w:sz w:val="18"/>
        </w:rPr>
        <w:t> </w:t>
      </w:r>
      <w:r>
        <w:rPr>
          <w:sz w:val="18"/>
        </w:rPr>
        <w:t>and</w:t>
      </w:r>
      <w:r>
        <w:rPr>
          <w:spacing w:val="-1"/>
          <w:sz w:val="18"/>
        </w:rPr>
        <w:t> </w:t>
      </w:r>
      <w:r>
        <w:rPr>
          <w:sz w:val="18"/>
        </w:rPr>
        <w:t>business</w:t>
      </w:r>
      <w:r>
        <w:rPr>
          <w:spacing w:val="-1"/>
          <w:sz w:val="18"/>
        </w:rPr>
        <w:t> </w:t>
      </w:r>
      <w:r>
        <w:rPr>
          <w:sz w:val="18"/>
        </w:rPr>
        <w:t>travel</w:t>
      </w:r>
      <w:r>
        <w:rPr>
          <w:spacing w:val="-1"/>
          <w:sz w:val="18"/>
        </w:rPr>
        <w:t> </w:t>
      </w:r>
      <w:r>
        <w:rPr>
          <w:sz w:val="18"/>
        </w:rPr>
        <w:t>markets</w:t>
      </w:r>
      <w:r>
        <w:rPr>
          <w:spacing w:val="-1"/>
          <w:sz w:val="18"/>
        </w:rPr>
        <w:t> </w:t>
      </w:r>
      <w:r>
        <w:rPr>
          <w:sz w:val="18"/>
        </w:rPr>
        <w:t>and</w:t>
      </w:r>
      <w:r>
        <w:rPr>
          <w:spacing w:val="-1"/>
          <w:sz w:val="18"/>
        </w:rPr>
        <w:t> </w:t>
      </w:r>
      <w:r>
        <w:rPr>
          <w:sz w:val="18"/>
        </w:rPr>
        <w:t>operating</w:t>
      </w:r>
      <w:r>
        <w:rPr>
          <w:spacing w:val="-1"/>
          <w:sz w:val="18"/>
        </w:rPr>
        <w:t> </w:t>
      </w:r>
      <w:r>
        <w:rPr>
          <w:sz w:val="18"/>
        </w:rPr>
        <w:t>at</w:t>
      </w:r>
      <w:r>
        <w:rPr>
          <w:spacing w:val="-1"/>
          <w:sz w:val="18"/>
        </w:rPr>
        <w:t> </w:t>
      </w:r>
      <w:r>
        <w:rPr>
          <w:sz w:val="18"/>
        </w:rPr>
        <w:t>superior</w:t>
      </w:r>
      <w:r>
        <w:rPr>
          <w:spacing w:val="-1"/>
          <w:sz w:val="18"/>
        </w:rPr>
        <w:t> </w:t>
      </w:r>
      <w:r>
        <w:rPr>
          <w:sz w:val="18"/>
        </w:rPr>
        <w:t>sites</w:t>
      </w:r>
      <w:r>
        <w:rPr>
          <w:spacing w:val="-1"/>
          <w:sz w:val="18"/>
        </w:rPr>
        <w:t> </w:t>
      </w:r>
      <w:r>
        <w:rPr>
          <w:sz w:val="18"/>
        </w:rPr>
        <w:t>within</w:t>
      </w:r>
      <w:r>
        <w:rPr>
          <w:spacing w:val="-1"/>
          <w:sz w:val="18"/>
        </w:rPr>
        <w:t> </w:t>
      </w:r>
      <w:r>
        <w:rPr>
          <w:sz w:val="18"/>
        </w:rPr>
        <w:t>those</w:t>
      </w:r>
      <w:r>
        <w:rPr>
          <w:spacing w:val="-1"/>
          <w:sz w:val="18"/>
        </w:rPr>
        <w:t> </w:t>
      </w:r>
      <w:r>
        <w:rPr>
          <w:spacing w:val="-2"/>
          <w:sz w:val="18"/>
        </w:rPr>
        <w:t>markets;</w:t>
      </w:r>
    </w:p>
    <w:p>
      <w:pPr>
        <w:pStyle w:val="ListParagraph"/>
        <w:numPr>
          <w:ilvl w:val="0"/>
          <w:numId w:val="1"/>
        </w:numPr>
        <w:tabs>
          <w:tab w:pos="792" w:val="left" w:leader="none"/>
        </w:tabs>
        <w:spacing w:line="235" w:lineRule="auto" w:before="13" w:after="0"/>
        <w:ind w:left="792" w:right="480" w:hanging="324"/>
        <w:jc w:val="left"/>
        <w:rPr>
          <w:sz w:val="18"/>
        </w:rPr>
      </w:pPr>
      <w:r>
        <w:rPr>
          <w:sz w:val="18"/>
        </w:rPr>
        <w:t>Constructing</w:t>
      </w:r>
      <w:r>
        <w:rPr>
          <w:spacing w:val="-3"/>
          <w:sz w:val="18"/>
        </w:rPr>
        <w:t> </w:t>
      </w:r>
      <w:r>
        <w:rPr>
          <w:sz w:val="18"/>
        </w:rPr>
        <w:t>and</w:t>
      </w:r>
      <w:r>
        <w:rPr>
          <w:spacing w:val="-3"/>
          <w:sz w:val="18"/>
        </w:rPr>
        <w:t> </w:t>
      </w:r>
      <w:r>
        <w:rPr>
          <w:sz w:val="18"/>
        </w:rPr>
        <w:t>maintaining</w:t>
      </w:r>
      <w:r>
        <w:rPr>
          <w:spacing w:val="-3"/>
          <w:sz w:val="18"/>
        </w:rPr>
        <w:t> </w:t>
      </w:r>
      <w:r>
        <w:rPr>
          <w:sz w:val="18"/>
        </w:rPr>
        <w:t>high-quality</w:t>
      </w:r>
      <w:r>
        <w:rPr>
          <w:spacing w:val="-3"/>
          <w:sz w:val="18"/>
        </w:rPr>
        <w:t> </w:t>
      </w:r>
      <w:r>
        <w:rPr>
          <w:sz w:val="18"/>
        </w:rPr>
        <w:t>resorts</w:t>
      </w:r>
      <w:r>
        <w:rPr>
          <w:spacing w:val="-3"/>
          <w:sz w:val="18"/>
        </w:rPr>
        <w:t> </w:t>
      </w:r>
      <w:r>
        <w:rPr>
          <w:sz w:val="18"/>
        </w:rPr>
        <w:t>and</w:t>
      </w:r>
      <w:r>
        <w:rPr>
          <w:spacing w:val="-3"/>
          <w:sz w:val="18"/>
        </w:rPr>
        <w:t> </w:t>
      </w:r>
      <w:r>
        <w:rPr>
          <w:sz w:val="18"/>
        </w:rPr>
        <w:t>facilities,</w:t>
      </w:r>
      <w:r>
        <w:rPr>
          <w:spacing w:val="-3"/>
          <w:sz w:val="18"/>
        </w:rPr>
        <w:t> </w:t>
      </w:r>
      <w:r>
        <w:rPr>
          <w:sz w:val="18"/>
        </w:rPr>
        <w:t>including</w:t>
      </w:r>
      <w:r>
        <w:rPr>
          <w:spacing w:val="-3"/>
          <w:sz w:val="18"/>
        </w:rPr>
        <w:t> </w:t>
      </w:r>
      <w:r>
        <w:rPr>
          <w:sz w:val="18"/>
        </w:rPr>
        <w:t>luxurious</w:t>
      </w:r>
      <w:r>
        <w:rPr>
          <w:spacing w:val="-3"/>
          <w:sz w:val="18"/>
        </w:rPr>
        <w:t> </w:t>
      </w:r>
      <w:r>
        <w:rPr>
          <w:sz w:val="18"/>
        </w:rPr>
        <w:t>guestrooms,</w:t>
      </w:r>
      <w:r>
        <w:rPr>
          <w:spacing w:val="-3"/>
          <w:sz w:val="18"/>
        </w:rPr>
        <w:t> </w:t>
      </w:r>
      <w:r>
        <w:rPr>
          <w:sz w:val="18"/>
        </w:rPr>
        <w:t>state-of-the-art</w:t>
      </w:r>
      <w:r>
        <w:rPr>
          <w:spacing w:val="-3"/>
          <w:sz w:val="18"/>
        </w:rPr>
        <w:t> </w:t>
      </w:r>
      <w:r>
        <w:rPr>
          <w:sz w:val="18"/>
        </w:rPr>
        <w:t>convention</w:t>
      </w:r>
      <w:r>
        <w:rPr>
          <w:spacing w:val="-3"/>
          <w:sz w:val="18"/>
        </w:rPr>
        <w:t> </w:t>
      </w:r>
      <w:r>
        <w:rPr>
          <w:sz w:val="18"/>
        </w:rPr>
        <w:t>facilities</w:t>
      </w:r>
      <w:r>
        <w:rPr>
          <w:spacing w:val="-3"/>
          <w:sz w:val="18"/>
        </w:rPr>
        <w:t> </w:t>
      </w:r>
      <w:r>
        <w:rPr>
          <w:sz w:val="18"/>
        </w:rPr>
        <w:t>and</w:t>
      </w:r>
      <w:r>
        <w:rPr>
          <w:spacing w:val="-3"/>
          <w:sz w:val="18"/>
        </w:rPr>
        <w:t> </w:t>
      </w:r>
      <w:r>
        <w:rPr>
          <w:sz w:val="18"/>
        </w:rPr>
        <w:t>premier dining, entertainment, retail and other amenities;</w:t>
      </w:r>
    </w:p>
    <w:p>
      <w:pPr>
        <w:pStyle w:val="ListParagraph"/>
        <w:numPr>
          <w:ilvl w:val="0"/>
          <w:numId w:val="1"/>
        </w:numPr>
        <w:tabs>
          <w:tab w:pos="792" w:val="left" w:leader="none"/>
        </w:tabs>
        <w:spacing w:line="203" w:lineRule="exact" w:before="0" w:after="0"/>
        <w:ind w:left="792" w:right="0" w:hanging="324"/>
        <w:jc w:val="left"/>
        <w:rPr>
          <w:sz w:val="18"/>
        </w:rPr>
      </w:pPr>
      <w:r>
        <w:rPr>
          <w:sz w:val="18"/>
        </w:rPr>
        <w:t>Recruiting,</w:t>
      </w:r>
      <w:r>
        <w:rPr>
          <w:spacing w:val="-1"/>
          <w:sz w:val="18"/>
        </w:rPr>
        <w:t> </w:t>
      </w:r>
      <w:r>
        <w:rPr>
          <w:sz w:val="18"/>
        </w:rPr>
        <w:t>training</w:t>
      </w:r>
      <w:r>
        <w:rPr>
          <w:spacing w:val="-1"/>
          <w:sz w:val="18"/>
        </w:rPr>
        <w:t> </w:t>
      </w:r>
      <w:r>
        <w:rPr>
          <w:sz w:val="18"/>
        </w:rPr>
        <w:t>and</w:t>
      </w:r>
      <w:r>
        <w:rPr>
          <w:spacing w:val="-1"/>
          <w:sz w:val="18"/>
        </w:rPr>
        <w:t> </w:t>
      </w:r>
      <w:r>
        <w:rPr>
          <w:sz w:val="18"/>
        </w:rPr>
        <w:t>retaining</w:t>
      </w:r>
      <w:r>
        <w:rPr>
          <w:spacing w:val="-1"/>
          <w:sz w:val="18"/>
        </w:rPr>
        <w:t> </w:t>
      </w:r>
      <w:r>
        <w:rPr>
          <w:sz w:val="18"/>
        </w:rPr>
        <w:t>well-qualified</w:t>
      </w:r>
      <w:r>
        <w:rPr>
          <w:spacing w:val="-1"/>
          <w:sz w:val="18"/>
        </w:rPr>
        <w:t> </w:t>
      </w:r>
      <w:r>
        <w:rPr>
          <w:sz w:val="18"/>
        </w:rPr>
        <w:t>and</w:t>
      </w:r>
      <w:r>
        <w:rPr>
          <w:spacing w:val="-1"/>
          <w:sz w:val="18"/>
        </w:rPr>
        <w:t> </w:t>
      </w:r>
      <w:r>
        <w:rPr>
          <w:sz w:val="18"/>
        </w:rPr>
        <w:t>motivated</w:t>
      </w:r>
      <w:r>
        <w:rPr>
          <w:spacing w:val="-1"/>
          <w:sz w:val="18"/>
        </w:rPr>
        <w:t> </w:t>
      </w:r>
      <w:r>
        <w:rPr>
          <w:sz w:val="18"/>
        </w:rPr>
        <w:t>employees</w:t>
      </w:r>
      <w:r>
        <w:rPr>
          <w:spacing w:val="-1"/>
          <w:sz w:val="18"/>
        </w:rPr>
        <w:t> </w:t>
      </w:r>
      <w:r>
        <w:rPr>
          <w:sz w:val="18"/>
        </w:rPr>
        <w:t>who</w:t>
      </w:r>
      <w:r>
        <w:rPr>
          <w:spacing w:val="-1"/>
          <w:sz w:val="18"/>
        </w:rPr>
        <w:t> </w:t>
      </w:r>
      <w:r>
        <w:rPr>
          <w:sz w:val="18"/>
        </w:rPr>
        <w:t>provide</w:t>
      </w:r>
      <w:r>
        <w:rPr>
          <w:spacing w:val="-1"/>
          <w:sz w:val="18"/>
        </w:rPr>
        <w:t> </w:t>
      </w:r>
      <w:r>
        <w:rPr>
          <w:sz w:val="18"/>
        </w:rPr>
        <w:t>superior</w:t>
      </w:r>
      <w:r>
        <w:rPr>
          <w:spacing w:val="-1"/>
          <w:sz w:val="18"/>
        </w:rPr>
        <w:t> </w:t>
      </w:r>
      <w:r>
        <w:rPr>
          <w:sz w:val="18"/>
        </w:rPr>
        <w:t>customer</w:t>
      </w:r>
      <w:r>
        <w:rPr>
          <w:spacing w:val="-1"/>
          <w:sz w:val="18"/>
        </w:rPr>
        <w:t> </w:t>
      </w:r>
      <w:r>
        <w:rPr>
          <w:spacing w:val="-2"/>
          <w:sz w:val="18"/>
        </w:rPr>
        <w:t>service;</w:t>
      </w:r>
    </w:p>
    <w:p>
      <w:pPr>
        <w:pStyle w:val="ListParagraph"/>
        <w:numPr>
          <w:ilvl w:val="0"/>
          <w:numId w:val="1"/>
        </w:numPr>
        <w:tabs>
          <w:tab w:pos="792" w:val="left" w:leader="none"/>
        </w:tabs>
        <w:spacing w:line="205" w:lineRule="exact" w:before="9" w:after="0"/>
        <w:ind w:left="792" w:right="0" w:hanging="324"/>
        <w:jc w:val="left"/>
        <w:rPr>
          <w:sz w:val="18"/>
        </w:rPr>
      </w:pPr>
      <w:r>
        <w:rPr>
          <w:sz w:val="18"/>
        </w:rPr>
        <w:t>Providing</w:t>
      </w:r>
      <w:r>
        <w:rPr>
          <w:spacing w:val="-1"/>
          <w:sz w:val="18"/>
        </w:rPr>
        <w:t> </w:t>
      </w:r>
      <w:r>
        <w:rPr>
          <w:sz w:val="18"/>
        </w:rPr>
        <w:t>unique,</w:t>
      </w:r>
      <w:r>
        <w:rPr>
          <w:spacing w:val="-1"/>
          <w:sz w:val="18"/>
        </w:rPr>
        <w:t> </w:t>
      </w:r>
      <w:r>
        <w:rPr>
          <w:sz w:val="18"/>
        </w:rPr>
        <w:t>“must-see”</w:t>
      </w:r>
      <w:r>
        <w:rPr>
          <w:spacing w:val="-1"/>
          <w:sz w:val="18"/>
        </w:rPr>
        <w:t> </w:t>
      </w:r>
      <w:r>
        <w:rPr>
          <w:sz w:val="18"/>
        </w:rPr>
        <w:t>entertainment</w:t>
      </w:r>
      <w:r>
        <w:rPr>
          <w:spacing w:val="-1"/>
          <w:sz w:val="18"/>
        </w:rPr>
        <w:t> </w:t>
      </w:r>
      <w:r>
        <w:rPr>
          <w:spacing w:val="-2"/>
          <w:sz w:val="18"/>
        </w:rPr>
        <w:t>attractions;</w:t>
      </w:r>
    </w:p>
    <w:p>
      <w:pPr>
        <w:pStyle w:val="ListParagraph"/>
        <w:numPr>
          <w:ilvl w:val="0"/>
          <w:numId w:val="1"/>
        </w:numPr>
        <w:tabs>
          <w:tab w:pos="792" w:val="left" w:leader="none"/>
        </w:tabs>
        <w:spacing w:line="203" w:lineRule="exact" w:before="0" w:after="0"/>
        <w:ind w:left="792" w:right="0" w:hanging="324"/>
        <w:jc w:val="left"/>
        <w:rPr>
          <w:sz w:val="18"/>
        </w:rPr>
      </w:pPr>
      <w:r>
        <w:rPr>
          <w:sz w:val="18"/>
        </w:rPr>
        <w:t>Investing</w:t>
      </w:r>
      <w:r>
        <w:rPr>
          <w:spacing w:val="-2"/>
          <w:sz w:val="18"/>
        </w:rPr>
        <w:t> </w:t>
      </w:r>
      <w:r>
        <w:rPr>
          <w:sz w:val="18"/>
        </w:rPr>
        <w:t>in</w:t>
      </w:r>
      <w:r>
        <w:rPr>
          <w:spacing w:val="-1"/>
          <w:sz w:val="18"/>
        </w:rPr>
        <w:t> </w:t>
      </w:r>
      <w:r>
        <w:rPr>
          <w:sz w:val="18"/>
        </w:rPr>
        <w:t>digital</w:t>
      </w:r>
      <w:r>
        <w:rPr>
          <w:spacing w:val="-2"/>
          <w:sz w:val="18"/>
        </w:rPr>
        <w:t> </w:t>
      </w:r>
      <w:r>
        <w:rPr>
          <w:sz w:val="18"/>
        </w:rPr>
        <w:t>offerings</w:t>
      </w:r>
      <w:r>
        <w:rPr>
          <w:spacing w:val="-1"/>
          <w:sz w:val="18"/>
        </w:rPr>
        <w:t> </w:t>
      </w:r>
      <w:r>
        <w:rPr>
          <w:sz w:val="18"/>
        </w:rPr>
        <w:t>and</w:t>
      </w:r>
      <w:r>
        <w:rPr>
          <w:spacing w:val="-2"/>
          <w:sz w:val="18"/>
        </w:rPr>
        <w:t> </w:t>
      </w:r>
      <w:r>
        <w:rPr>
          <w:sz w:val="18"/>
        </w:rPr>
        <w:t>opportunities</w:t>
      </w:r>
      <w:r>
        <w:rPr>
          <w:spacing w:val="-1"/>
          <w:sz w:val="18"/>
        </w:rPr>
        <w:t> </w:t>
      </w:r>
      <w:r>
        <w:rPr>
          <w:sz w:val="18"/>
        </w:rPr>
        <w:t>domestically</w:t>
      </w:r>
      <w:r>
        <w:rPr>
          <w:spacing w:val="-2"/>
          <w:sz w:val="18"/>
        </w:rPr>
        <w:t> </w:t>
      </w:r>
      <w:r>
        <w:rPr>
          <w:sz w:val="18"/>
        </w:rPr>
        <w:t>and</w:t>
      </w:r>
      <w:r>
        <w:rPr>
          <w:spacing w:val="-1"/>
          <w:sz w:val="18"/>
        </w:rPr>
        <w:t> </w:t>
      </w:r>
      <w:r>
        <w:rPr>
          <w:sz w:val="18"/>
        </w:rPr>
        <w:t>abroad;</w:t>
      </w:r>
      <w:r>
        <w:rPr>
          <w:spacing w:val="-1"/>
          <w:sz w:val="18"/>
        </w:rPr>
        <w:t> </w:t>
      </w:r>
      <w:r>
        <w:rPr>
          <w:spacing w:val="-5"/>
          <w:sz w:val="18"/>
        </w:rPr>
        <w:t>and</w:t>
      </w:r>
    </w:p>
    <w:p>
      <w:pPr>
        <w:pStyle w:val="ListParagraph"/>
        <w:numPr>
          <w:ilvl w:val="0"/>
          <w:numId w:val="1"/>
        </w:numPr>
        <w:tabs>
          <w:tab w:pos="792" w:val="left" w:leader="none"/>
        </w:tabs>
        <w:spacing w:line="205" w:lineRule="exact" w:before="0" w:after="0"/>
        <w:ind w:left="792" w:right="0" w:hanging="324"/>
        <w:jc w:val="left"/>
        <w:rPr>
          <w:sz w:val="18"/>
        </w:rPr>
      </w:pPr>
      <w:r>
        <w:rPr>
          <w:sz w:val="18"/>
        </w:rPr>
        <w:t>Developing</w:t>
      </w:r>
      <w:r>
        <w:rPr>
          <w:spacing w:val="-1"/>
          <w:sz w:val="18"/>
        </w:rPr>
        <w:t> </w:t>
      </w:r>
      <w:r>
        <w:rPr>
          <w:sz w:val="18"/>
        </w:rPr>
        <w:t>distinctive</w:t>
      </w:r>
      <w:r>
        <w:rPr>
          <w:spacing w:val="-1"/>
          <w:sz w:val="18"/>
        </w:rPr>
        <w:t> </w:t>
      </w:r>
      <w:r>
        <w:rPr>
          <w:sz w:val="18"/>
        </w:rPr>
        <w:t>and</w:t>
      </w:r>
      <w:r>
        <w:rPr>
          <w:spacing w:val="-1"/>
          <w:sz w:val="18"/>
        </w:rPr>
        <w:t> </w:t>
      </w:r>
      <w:r>
        <w:rPr>
          <w:sz w:val="18"/>
        </w:rPr>
        <w:t>memorable</w:t>
      </w:r>
      <w:r>
        <w:rPr>
          <w:spacing w:val="-1"/>
          <w:sz w:val="18"/>
        </w:rPr>
        <w:t> </w:t>
      </w:r>
      <w:r>
        <w:rPr>
          <w:sz w:val="18"/>
        </w:rPr>
        <w:t>marketing,</w:t>
      </w:r>
      <w:r>
        <w:rPr>
          <w:spacing w:val="-1"/>
          <w:sz w:val="18"/>
        </w:rPr>
        <w:t> </w:t>
      </w:r>
      <w:r>
        <w:rPr>
          <w:sz w:val="18"/>
        </w:rPr>
        <w:t>promotional</w:t>
      </w:r>
      <w:r>
        <w:rPr>
          <w:spacing w:val="-1"/>
          <w:sz w:val="18"/>
        </w:rPr>
        <w:t> </w:t>
      </w:r>
      <w:r>
        <w:rPr>
          <w:sz w:val="18"/>
        </w:rPr>
        <w:t>and</w:t>
      </w:r>
      <w:r>
        <w:rPr>
          <w:spacing w:val="-1"/>
          <w:sz w:val="18"/>
        </w:rPr>
        <w:t> </w:t>
      </w:r>
      <w:r>
        <w:rPr>
          <w:sz w:val="18"/>
        </w:rPr>
        <w:t>customer</w:t>
      </w:r>
      <w:r>
        <w:rPr>
          <w:spacing w:val="-1"/>
          <w:sz w:val="18"/>
        </w:rPr>
        <w:t> </w:t>
      </w:r>
      <w:r>
        <w:rPr>
          <w:sz w:val="18"/>
        </w:rPr>
        <w:t>loyalty</w:t>
      </w:r>
      <w:r>
        <w:rPr>
          <w:spacing w:val="-1"/>
          <w:sz w:val="18"/>
        </w:rPr>
        <w:t> </w:t>
      </w:r>
      <w:r>
        <w:rPr>
          <w:spacing w:val="-2"/>
          <w:sz w:val="18"/>
        </w:rPr>
        <w:t>programs.</w:t>
      </w:r>
    </w:p>
    <w:p>
      <w:pPr>
        <w:pStyle w:val="BodyText"/>
      </w:pPr>
    </w:p>
    <w:p>
      <w:pPr>
        <w:pStyle w:val="BodyText"/>
      </w:pPr>
    </w:p>
    <w:p>
      <w:pPr>
        <w:pStyle w:val="BodyText"/>
        <w:spacing w:before="198"/>
      </w:pPr>
    </w:p>
    <w:p>
      <w:pPr>
        <w:pStyle w:val="BodyText"/>
        <w:ind w:left="24"/>
        <w:jc w:val="center"/>
      </w:pPr>
      <w:r>
        <w:rPr>
          <w:spacing w:val="-10"/>
        </w:rPr>
        <w:t>4</w:t>
      </w:r>
    </w:p>
    <w:p>
      <w:pPr>
        <w:pStyle w:val="BodyText"/>
        <w:spacing w:before="3"/>
        <w:rPr>
          <w:sz w:val="6"/>
        </w:rPr>
      </w:pPr>
      <w:r>
        <w:rPr/>
        <mc:AlternateContent>
          <mc:Choice Requires="wps">
            <w:drawing>
              <wp:anchor distT="0" distB="0" distL="0" distR="0" allowOverlap="1" layoutInCell="1" locked="0" behindDoc="1" simplePos="0" relativeHeight="487596032">
                <wp:simplePos x="0" y="0"/>
                <wp:positionH relativeFrom="page">
                  <wp:posOffset>231457</wp:posOffset>
                </wp:positionH>
                <wp:positionV relativeFrom="paragraph">
                  <wp:posOffset>60956</wp:posOffset>
                </wp:positionV>
                <wp:extent cx="7312659" cy="1714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7312659" cy="17145"/>
                          <a:chExt cx="7312659" cy="17145"/>
                        </a:xfrm>
                      </wpg:grpSpPr>
                      <wps:wsp>
                        <wps:cNvPr id="38" name="Graphic 3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9" name="Graphic 39"/>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 name="Graphic 4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20448;mso-wrap-distance-left:0;mso-wrap-distance-right:0" id="docshapegroup36" coordorigin="364,96" coordsize="11516,27">
                <v:rect style="position:absolute;left:364;top:96;width:11516;height:14" id="docshape37" filled="true" fillcolor="#999999" stroked="false">
                  <v:fill type="solid"/>
                </v:rect>
                <v:shape style="position:absolute;left:364;top:96;width:11516;height:27" id="docshape38" coordorigin="364,96" coordsize="11516,27" path="m11880,96l11866,110,364,110,364,123,11866,123,11880,123,11880,110,11880,96xe" filled="true" fillcolor="#ededed" stroked="false">
                  <v:path arrowok="t"/>
                  <v:fill type="solid"/>
                </v:shape>
                <v:shape style="position:absolute;left:364;top:96;width:14;height:27" id="docshape3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360" w:bottom="280" w:left="220" w:right="240"/>
        </w:sectPr>
      </w:pPr>
    </w:p>
    <w:p>
      <w:pPr>
        <w:spacing w:before="63"/>
        <w:ind w:left="511" w:right="0" w:firstLine="0"/>
        <w:jc w:val="left"/>
        <w:rPr>
          <w:i/>
          <w:sz w:val="18"/>
        </w:rPr>
      </w:pPr>
      <w:r>
        <w:rPr>
          <w:i/>
          <w:sz w:val="18"/>
        </w:rPr>
        <w:t>Las</w:t>
      </w:r>
      <w:r>
        <w:rPr>
          <w:i/>
          <w:spacing w:val="-5"/>
          <w:sz w:val="18"/>
        </w:rPr>
        <w:t> </w:t>
      </w:r>
      <w:r>
        <w:rPr>
          <w:i/>
          <w:sz w:val="18"/>
        </w:rPr>
        <w:t>Vegas</w:t>
      </w:r>
      <w:r>
        <w:rPr>
          <w:i/>
          <w:spacing w:val="-4"/>
          <w:sz w:val="18"/>
        </w:rPr>
        <w:t> </w:t>
      </w:r>
      <w:r>
        <w:rPr>
          <w:i/>
          <w:sz w:val="18"/>
        </w:rPr>
        <w:t>Strip</w:t>
      </w:r>
      <w:r>
        <w:rPr>
          <w:i/>
          <w:spacing w:val="-4"/>
          <w:sz w:val="18"/>
        </w:rPr>
        <w:t> </w:t>
      </w:r>
      <w:r>
        <w:rPr>
          <w:i/>
          <w:sz w:val="18"/>
        </w:rPr>
        <w:t>Resorts</w:t>
      </w:r>
      <w:r>
        <w:rPr>
          <w:i/>
          <w:spacing w:val="-5"/>
          <w:sz w:val="18"/>
        </w:rPr>
        <w:t> </w:t>
      </w:r>
      <w:r>
        <w:rPr>
          <w:i/>
          <w:sz w:val="18"/>
        </w:rPr>
        <w:t>and</w:t>
      </w:r>
      <w:r>
        <w:rPr>
          <w:i/>
          <w:spacing w:val="-4"/>
          <w:sz w:val="18"/>
        </w:rPr>
        <w:t> </w:t>
      </w:r>
      <w:r>
        <w:rPr>
          <w:i/>
          <w:sz w:val="18"/>
        </w:rPr>
        <w:t>Regional</w:t>
      </w:r>
      <w:r>
        <w:rPr>
          <w:i/>
          <w:spacing w:val="-4"/>
          <w:sz w:val="18"/>
        </w:rPr>
        <w:t> </w:t>
      </w:r>
      <w:r>
        <w:rPr>
          <w:i/>
          <w:spacing w:val="-2"/>
          <w:sz w:val="18"/>
        </w:rPr>
        <w:t>Operations</w:t>
      </w:r>
    </w:p>
    <w:p>
      <w:pPr>
        <w:pStyle w:val="BodyText"/>
        <w:spacing w:before="4"/>
        <w:rPr>
          <w:i/>
        </w:rPr>
      </w:pPr>
    </w:p>
    <w:p>
      <w:pPr>
        <w:pStyle w:val="BodyText"/>
        <w:ind w:left="144" w:right="118" w:firstLine="499"/>
        <w:jc w:val="both"/>
      </w:pPr>
      <w:r>
        <w:rPr/>
        <w:t>Our customers include premium gaming customers; leisure and wholesale travel customers; business travelers, and group customers, including conventions, trade associations, and small meetings.</w:t>
      </w:r>
      <w:r>
        <w:rPr>
          <w:spacing w:val="-1"/>
        </w:rPr>
        <w:t> </w:t>
      </w:r>
      <w:r>
        <w:rPr/>
        <w:t>We have a diverse portfolio of properties, which appeal to the upper end of each market segment and also cater to leisure and value-oriented tour and travel customers. Many of our properties have significant convention and meeting space which we utilize to drive business to our properties during midweek and off-peak periods.</w:t>
      </w:r>
    </w:p>
    <w:p>
      <w:pPr>
        <w:pStyle w:val="BodyText"/>
        <w:spacing w:before="20"/>
      </w:pPr>
    </w:p>
    <w:p>
      <w:pPr>
        <w:pStyle w:val="BodyText"/>
        <w:spacing w:line="237" w:lineRule="auto"/>
        <w:ind w:left="144" w:right="118" w:firstLine="499"/>
        <w:jc w:val="both"/>
      </w:pPr>
      <w:r>
        <w:rPr/>
        <w:t>Our Las Vegas casino resorts compete for customers with a large number of other hotel casinos in the Las Vegas area, including major hotel casinos on or</w:t>
      </w:r>
      <w:r>
        <w:rPr>
          <w:spacing w:val="-2"/>
        </w:rPr>
        <w:t> </w:t>
      </w:r>
      <w:r>
        <w:rPr/>
        <w:t>near</w:t>
      </w:r>
      <w:r>
        <w:rPr>
          <w:spacing w:val="-2"/>
        </w:rPr>
        <w:t> </w:t>
      </w:r>
      <w:r>
        <w:rPr/>
        <w:t>the</w:t>
      </w:r>
      <w:r>
        <w:rPr>
          <w:spacing w:val="-2"/>
        </w:rPr>
        <w:t> </w:t>
      </w:r>
      <w:r>
        <w:rPr/>
        <w:t>Las</w:t>
      </w:r>
      <w:r>
        <w:rPr>
          <w:spacing w:val="-5"/>
        </w:rPr>
        <w:t> </w:t>
      </w:r>
      <w:r>
        <w:rPr/>
        <w:t>Vegas</w:t>
      </w:r>
      <w:r>
        <w:rPr>
          <w:spacing w:val="-2"/>
        </w:rPr>
        <w:t> </w:t>
      </w:r>
      <w:r>
        <w:rPr/>
        <w:t>Strip,</w:t>
      </w:r>
      <w:r>
        <w:rPr>
          <w:spacing w:val="-2"/>
        </w:rPr>
        <w:t> </w:t>
      </w:r>
      <w:r>
        <w:rPr/>
        <w:t>major</w:t>
      </w:r>
      <w:r>
        <w:rPr>
          <w:spacing w:val="-2"/>
        </w:rPr>
        <w:t> </w:t>
      </w:r>
      <w:r>
        <w:rPr/>
        <w:t>hotel</w:t>
      </w:r>
      <w:r>
        <w:rPr>
          <w:spacing w:val="-2"/>
        </w:rPr>
        <w:t> </w:t>
      </w:r>
      <w:r>
        <w:rPr/>
        <w:t>casinos</w:t>
      </w:r>
      <w:r>
        <w:rPr>
          <w:spacing w:val="-2"/>
        </w:rPr>
        <w:t> </w:t>
      </w:r>
      <w:r>
        <w:rPr/>
        <w:t>in</w:t>
      </w:r>
      <w:r>
        <w:rPr>
          <w:spacing w:val="-2"/>
        </w:rPr>
        <w:t> </w:t>
      </w:r>
      <w:r>
        <w:rPr/>
        <w:t>the</w:t>
      </w:r>
      <w:r>
        <w:rPr>
          <w:spacing w:val="-2"/>
        </w:rPr>
        <w:t> </w:t>
      </w:r>
      <w:r>
        <w:rPr/>
        <w:t>downtown</w:t>
      </w:r>
      <w:r>
        <w:rPr>
          <w:spacing w:val="-2"/>
        </w:rPr>
        <w:t> </w:t>
      </w:r>
      <w:r>
        <w:rPr/>
        <w:t>area,</w:t>
      </w:r>
      <w:r>
        <w:rPr>
          <w:spacing w:val="-2"/>
        </w:rPr>
        <w:t> </w:t>
      </w:r>
      <w:r>
        <w:rPr/>
        <w:t>which</w:t>
      </w:r>
      <w:r>
        <w:rPr>
          <w:spacing w:val="-2"/>
        </w:rPr>
        <w:t> </w:t>
      </w:r>
      <w:r>
        <w:rPr/>
        <w:t>is</w:t>
      </w:r>
      <w:r>
        <w:rPr>
          <w:spacing w:val="-2"/>
        </w:rPr>
        <w:t> </w:t>
      </w:r>
      <w:r>
        <w:rPr/>
        <w:t>about</w:t>
      </w:r>
      <w:r>
        <w:rPr>
          <w:spacing w:val="-2"/>
        </w:rPr>
        <w:t> </w:t>
      </w:r>
      <w:r>
        <w:rPr/>
        <w:t>five</w:t>
      </w:r>
      <w:r>
        <w:rPr>
          <w:spacing w:val="-2"/>
        </w:rPr>
        <w:t> </w:t>
      </w:r>
      <w:r>
        <w:rPr/>
        <w:t>miles</w:t>
      </w:r>
      <w:r>
        <w:rPr>
          <w:spacing w:val="-2"/>
        </w:rPr>
        <w:t> </w:t>
      </w:r>
      <w:r>
        <w:rPr/>
        <w:t>from</w:t>
      </w:r>
      <w:r>
        <w:rPr>
          <w:spacing w:val="-2"/>
        </w:rPr>
        <w:t> </w:t>
      </w:r>
      <w:r>
        <w:rPr/>
        <w:t>the</w:t>
      </w:r>
      <w:r>
        <w:rPr>
          <w:spacing w:val="-2"/>
        </w:rPr>
        <w:t> </w:t>
      </w:r>
      <w:r>
        <w:rPr/>
        <w:t>center</w:t>
      </w:r>
      <w:r>
        <w:rPr>
          <w:spacing w:val="-2"/>
        </w:rPr>
        <w:t> </w:t>
      </w:r>
      <w:r>
        <w:rPr/>
        <w:t>of</w:t>
      </w:r>
      <w:r>
        <w:rPr>
          <w:spacing w:val="-2"/>
        </w:rPr>
        <w:t> </w:t>
      </w:r>
      <w:r>
        <w:rPr/>
        <w:t>the</w:t>
      </w:r>
      <w:r>
        <w:rPr>
          <w:spacing w:val="-2"/>
        </w:rPr>
        <w:t> </w:t>
      </w:r>
      <w:r>
        <w:rPr/>
        <w:t>Las</w:t>
      </w:r>
      <w:r>
        <w:rPr>
          <w:spacing w:val="-5"/>
        </w:rPr>
        <w:t> </w:t>
      </w:r>
      <w:r>
        <w:rPr/>
        <w:t>Vegas</w:t>
      </w:r>
      <w:r>
        <w:rPr>
          <w:spacing w:val="-2"/>
        </w:rPr>
        <w:t> </w:t>
      </w:r>
      <w:r>
        <w:rPr/>
        <w:t>Strip,</w:t>
      </w:r>
      <w:r>
        <w:rPr>
          <w:spacing w:val="-2"/>
        </w:rPr>
        <w:t> </w:t>
      </w:r>
      <w:r>
        <w:rPr/>
        <w:t>and</w:t>
      </w:r>
      <w:r>
        <w:rPr>
          <w:spacing w:val="-2"/>
        </w:rPr>
        <w:t> </w:t>
      </w:r>
      <w:r>
        <w:rPr/>
        <w:t>several</w:t>
      </w:r>
      <w:r>
        <w:rPr>
          <w:spacing w:val="-2"/>
        </w:rPr>
        <w:t> </w:t>
      </w:r>
      <w:r>
        <w:rPr/>
        <w:t>major</w:t>
      </w:r>
      <w:r>
        <w:rPr>
          <w:spacing w:val="-2"/>
        </w:rPr>
        <w:t> </w:t>
      </w:r>
      <w:r>
        <w:rPr/>
        <w:t>hotel casinos elsewhere in the Las Vegas area. Our Las Vegas Strip Resorts also compete, in part, with each other. Major competitors, including new entrants, have either</w:t>
      </w:r>
      <w:r>
        <w:rPr>
          <w:spacing w:val="-2"/>
        </w:rPr>
        <w:t> </w:t>
      </w:r>
      <w:r>
        <w:rPr/>
        <w:t>recently</w:t>
      </w:r>
      <w:r>
        <w:rPr>
          <w:spacing w:val="-2"/>
        </w:rPr>
        <w:t> </w:t>
      </w:r>
      <w:r>
        <w:rPr/>
        <w:t>expanded</w:t>
      </w:r>
      <w:r>
        <w:rPr>
          <w:spacing w:val="-2"/>
        </w:rPr>
        <w:t> </w:t>
      </w:r>
      <w:r>
        <w:rPr/>
        <w:t>their</w:t>
      </w:r>
      <w:r>
        <w:rPr>
          <w:spacing w:val="-2"/>
        </w:rPr>
        <w:t> </w:t>
      </w:r>
      <w:r>
        <w:rPr/>
        <w:t>hotel</w:t>
      </w:r>
      <w:r>
        <w:rPr>
          <w:spacing w:val="-2"/>
        </w:rPr>
        <w:t> </w:t>
      </w:r>
      <w:r>
        <w:rPr/>
        <w:t>room</w:t>
      </w:r>
      <w:r>
        <w:rPr>
          <w:spacing w:val="-2"/>
        </w:rPr>
        <w:t> </w:t>
      </w:r>
      <w:r>
        <w:rPr/>
        <w:t>capacity</w:t>
      </w:r>
      <w:r>
        <w:rPr>
          <w:spacing w:val="-2"/>
        </w:rPr>
        <w:t> </w:t>
      </w:r>
      <w:r>
        <w:rPr/>
        <w:t>and</w:t>
      </w:r>
      <w:r>
        <w:rPr>
          <w:spacing w:val="-2"/>
        </w:rPr>
        <w:t> </w:t>
      </w:r>
      <w:r>
        <w:rPr/>
        <w:t>convention</w:t>
      </w:r>
      <w:r>
        <w:rPr>
          <w:spacing w:val="-2"/>
        </w:rPr>
        <w:t> </w:t>
      </w:r>
      <w:r>
        <w:rPr/>
        <w:t>space</w:t>
      </w:r>
      <w:r>
        <w:rPr>
          <w:spacing w:val="-2"/>
        </w:rPr>
        <w:t> </w:t>
      </w:r>
      <w:r>
        <w:rPr/>
        <w:t>offerings,</w:t>
      </w:r>
      <w:r>
        <w:rPr>
          <w:spacing w:val="-2"/>
        </w:rPr>
        <w:t> </w:t>
      </w:r>
      <w:r>
        <w:rPr/>
        <w:t>or</w:t>
      </w:r>
      <w:r>
        <w:rPr>
          <w:spacing w:val="-2"/>
        </w:rPr>
        <w:t> </w:t>
      </w:r>
      <w:r>
        <w:rPr/>
        <w:t>have</w:t>
      </w:r>
      <w:r>
        <w:rPr>
          <w:spacing w:val="-2"/>
        </w:rPr>
        <w:t> </w:t>
      </w:r>
      <w:r>
        <w:rPr/>
        <w:t>plans</w:t>
      </w:r>
      <w:r>
        <w:rPr>
          <w:spacing w:val="-2"/>
        </w:rPr>
        <w:t> </w:t>
      </w:r>
      <w:r>
        <w:rPr/>
        <w:t>to</w:t>
      </w:r>
      <w:r>
        <w:rPr>
          <w:spacing w:val="-2"/>
        </w:rPr>
        <w:t> </w:t>
      </w:r>
      <w:r>
        <w:rPr/>
        <w:t>expand</w:t>
      </w:r>
      <w:r>
        <w:rPr>
          <w:spacing w:val="-2"/>
        </w:rPr>
        <w:t> </w:t>
      </w:r>
      <w:r>
        <w:rPr/>
        <w:t>their</w:t>
      </w:r>
      <w:r>
        <w:rPr>
          <w:spacing w:val="-2"/>
        </w:rPr>
        <w:t> </w:t>
      </w:r>
      <w:r>
        <w:rPr/>
        <w:t>capacity</w:t>
      </w:r>
      <w:r>
        <w:rPr>
          <w:spacing w:val="-2"/>
        </w:rPr>
        <w:t> </w:t>
      </w:r>
      <w:r>
        <w:rPr/>
        <w:t>or</w:t>
      </w:r>
      <w:r>
        <w:rPr>
          <w:spacing w:val="-2"/>
        </w:rPr>
        <w:t> </w:t>
      </w:r>
      <w:r>
        <w:rPr/>
        <w:t>construct</w:t>
      </w:r>
      <w:r>
        <w:rPr>
          <w:spacing w:val="-2"/>
        </w:rPr>
        <w:t> </w:t>
      </w:r>
      <w:r>
        <w:rPr/>
        <w:t>new</w:t>
      </w:r>
      <w:r>
        <w:rPr>
          <w:spacing w:val="-2"/>
        </w:rPr>
        <w:t> </w:t>
      </w:r>
      <w:r>
        <w:rPr/>
        <w:t>resorts</w:t>
      </w:r>
      <w:r>
        <w:rPr>
          <w:spacing w:val="-2"/>
        </w:rPr>
        <w:t> </w:t>
      </w:r>
      <w:r>
        <w:rPr/>
        <w:t>in</w:t>
      </w:r>
      <w:r>
        <w:rPr>
          <w:spacing w:val="-2"/>
        </w:rPr>
        <w:t> </w:t>
      </w:r>
      <w:r>
        <w:rPr/>
        <w:t>Las</w:t>
      </w:r>
      <w:r>
        <w:rPr>
          <w:spacing w:val="-5"/>
        </w:rPr>
        <w:t> </w:t>
      </w:r>
      <w:r>
        <w:rPr/>
        <w:t>Vegas. Also, the growth of gaming in areas outside Las Vegas has increased the competition faced by our operations in Las Vegas.</w:t>
      </w:r>
    </w:p>
    <w:p>
      <w:pPr>
        <w:pStyle w:val="BodyText"/>
        <w:spacing w:before="9"/>
      </w:pPr>
    </w:p>
    <w:p>
      <w:pPr>
        <w:pStyle w:val="BodyText"/>
        <w:spacing w:line="242" w:lineRule="auto"/>
        <w:ind w:left="144" w:right="118" w:firstLine="499"/>
        <w:jc w:val="both"/>
      </w:pPr>
      <w:r>
        <w:rPr/>
        <w:t>Outside Nevada, our resorts primarily compete with other hotel casinos in their markets and for customers in surrounding regional gaming markets, where location is a critical factor to success. In addition, we compete with gaming operations in surrounding jurisdictions and other leisure destinations in each </w:t>
      </w:r>
      <w:r>
        <w:rPr>
          <w:spacing w:val="-2"/>
        </w:rPr>
        <w:t>region.</w:t>
      </w:r>
    </w:p>
    <w:p>
      <w:pPr>
        <w:pStyle w:val="BodyText"/>
        <w:spacing w:before="2"/>
      </w:pPr>
    </w:p>
    <w:p>
      <w:pPr>
        <w:spacing w:before="1"/>
        <w:ind w:left="511" w:right="0" w:firstLine="0"/>
        <w:jc w:val="left"/>
        <w:rPr>
          <w:i/>
          <w:sz w:val="18"/>
        </w:rPr>
      </w:pPr>
      <w:r>
        <w:rPr>
          <w:i/>
          <w:sz w:val="18"/>
        </w:rPr>
        <w:t>MGM</w:t>
      </w:r>
      <w:r>
        <w:rPr>
          <w:i/>
          <w:spacing w:val="-1"/>
          <w:sz w:val="18"/>
        </w:rPr>
        <w:t> </w:t>
      </w:r>
      <w:r>
        <w:rPr>
          <w:i/>
          <w:spacing w:val="-2"/>
          <w:sz w:val="18"/>
        </w:rPr>
        <w:t>China</w:t>
      </w:r>
    </w:p>
    <w:p>
      <w:pPr>
        <w:pStyle w:val="BodyText"/>
        <w:spacing w:before="19"/>
        <w:rPr>
          <w:i/>
        </w:rPr>
      </w:pPr>
    </w:p>
    <w:p>
      <w:pPr>
        <w:pStyle w:val="BodyText"/>
        <w:spacing w:line="237" w:lineRule="auto"/>
        <w:ind w:left="144" w:right="118" w:firstLine="499"/>
        <w:jc w:val="both"/>
      </w:pPr>
      <w:r>
        <w:rPr/>
        <w:t>The Macau gaming market has historically had three primary customer bases: VIP gaming operations, main floor gaming operations and slot </w:t>
      </w:r>
      <w:r>
        <w:rPr/>
        <w:t>machine operations.</w:t>
      </w:r>
      <w:r>
        <w:rPr>
          <w:spacing w:val="-4"/>
        </w:rPr>
        <w:t> </w:t>
      </w:r>
      <w:r>
        <w:rPr/>
        <w:t>VIP</w:t>
      </w:r>
      <w:r>
        <w:rPr>
          <w:spacing w:val="-6"/>
        </w:rPr>
        <w:t> </w:t>
      </w:r>
      <w:r>
        <w:rPr/>
        <w:t>gaming</w:t>
      </w:r>
      <w:r>
        <w:rPr>
          <w:spacing w:val="-1"/>
        </w:rPr>
        <w:t> </w:t>
      </w:r>
      <w:r>
        <w:rPr/>
        <w:t>at</w:t>
      </w:r>
      <w:r>
        <w:rPr>
          <w:spacing w:val="-1"/>
        </w:rPr>
        <w:t> </w:t>
      </w:r>
      <w:r>
        <w:rPr/>
        <w:t>MGM</w:t>
      </w:r>
      <w:r>
        <w:rPr>
          <w:spacing w:val="-1"/>
        </w:rPr>
        <w:t> </w:t>
      </w:r>
      <w:r>
        <w:rPr/>
        <w:t>China</w:t>
      </w:r>
      <w:r>
        <w:rPr>
          <w:spacing w:val="-1"/>
        </w:rPr>
        <w:t> </w:t>
      </w:r>
      <w:r>
        <w:rPr/>
        <w:t>is</w:t>
      </w:r>
      <w:r>
        <w:rPr>
          <w:spacing w:val="-1"/>
        </w:rPr>
        <w:t> </w:t>
      </w:r>
      <w:r>
        <w:rPr/>
        <w:t>conducted</w:t>
      </w:r>
      <w:r>
        <w:rPr>
          <w:spacing w:val="-1"/>
        </w:rPr>
        <w:t> </w:t>
      </w:r>
      <w:r>
        <w:rPr/>
        <w:t>through</w:t>
      </w:r>
      <w:r>
        <w:rPr>
          <w:spacing w:val="-1"/>
        </w:rPr>
        <w:t> </w:t>
      </w:r>
      <w:r>
        <w:rPr/>
        <w:t>the</w:t>
      </w:r>
      <w:r>
        <w:rPr>
          <w:spacing w:val="-1"/>
        </w:rPr>
        <w:t> </w:t>
      </w:r>
      <w:r>
        <w:rPr/>
        <w:t>use</w:t>
      </w:r>
      <w:r>
        <w:rPr>
          <w:spacing w:val="-1"/>
        </w:rPr>
        <w:t> </w:t>
      </w:r>
      <w:r>
        <w:rPr/>
        <w:t>of</w:t>
      </w:r>
      <w:r>
        <w:rPr>
          <w:spacing w:val="-1"/>
        </w:rPr>
        <w:t> </w:t>
      </w:r>
      <w:r>
        <w:rPr/>
        <w:t>special</w:t>
      </w:r>
      <w:r>
        <w:rPr>
          <w:spacing w:val="-1"/>
        </w:rPr>
        <w:t> </w:t>
      </w:r>
      <w:r>
        <w:rPr/>
        <w:t>purpose</w:t>
      </w:r>
      <w:r>
        <w:rPr>
          <w:spacing w:val="-1"/>
        </w:rPr>
        <w:t> </w:t>
      </w:r>
      <w:r>
        <w:rPr/>
        <w:t>nonnegotiable</w:t>
      </w:r>
      <w:r>
        <w:rPr>
          <w:spacing w:val="-1"/>
        </w:rPr>
        <w:t> </w:t>
      </w:r>
      <w:r>
        <w:rPr/>
        <w:t>gaming</w:t>
      </w:r>
      <w:r>
        <w:rPr>
          <w:spacing w:val="-1"/>
        </w:rPr>
        <w:t> </w:t>
      </w:r>
      <w:r>
        <w:rPr/>
        <w:t>chips.</w:t>
      </w:r>
      <w:r>
        <w:rPr>
          <w:spacing w:val="-4"/>
        </w:rPr>
        <w:t> </w:t>
      </w:r>
      <w:r>
        <w:rPr/>
        <w:t>The</w:t>
      </w:r>
      <w:r>
        <w:rPr>
          <w:spacing w:val="-1"/>
        </w:rPr>
        <w:t> </w:t>
      </w:r>
      <w:r>
        <w:rPr/>
        <w:t>nonnegotiable</w:t>
      </w:r>
      <w:r>
        <w:rPr>
          <w:spacing w:val="-1"/>
        </w:rPr>
        <w:t> </w:t>
      </w:r>
      <w:r>
        <w:rPr/>
        <w:t>chips</w:t>
      </w:r>
      <w:r>
        <w:rPr>
          <w:spacing w:val="-1"/>
        </w:rPr>
        <w:t> </w:t>
      </w:r>
      <w:r>
        <w:rPr/>
        <w:t>allow</w:t>
      </w:r>
      <w:r>
        <w:rPr>
          <w:spacing w:val="-1"/>
        </w:rPr>
        <w:t> </w:t>
      </w:r>
      <w:r>
        <w:rPr/>
        <w:t>us</w:t>
      </w:r>
      <w:r>
        <w:rPr>
          <w:spacing w:val="-1"/>
        </w:rPr>
        <w:t> </w:t>
      </w:r>
      <w:r>
        <w:rPr/>
        <w:t>to</w:t>
      </w:r>
      <w:r>
        <w:rPr>
          <w:spacing w:val="-1"/>
        </w:rPr>
        <w:t> </w:t>
      </w:r>
      <w:r>
        <w:rPr/>
        <w:t>track the amount of wagering conducted to determine VIP gaming play. VIP commissions are based on a percentage of rolling chip turnover and are recorded as a reduction of casino revenue. Main floor players do not receive commissions.</w:t>
      </w:r>
      <w:r>
        <w:rPr>
          <w:spacing w:val="-2"/>
        </w:rPr>
        <w:t> </w:t>
      </w:r>
      <w:r>
        <w:rPr/>
        <w:t>We have focused our business on main floor gaming operations and, accordingly, VIP</w:t>
      </w:r>
      <w:r>
        <w:rPr>
          <w:spacing w:val="-1"/>
        </w:rPr>
        <w:t> </w:t>
      </w:r>
      <w:r>
        <w:rPr/>
        <w:t>gaming operations were not a significant source of revenue in 2022 and we do not expect VIP</w:t>
      </w:r>
      <w:r>
        <w:rPr>
          <w:spacing w:val="-1"/>
        </w:rPr>
        <w:t> </w:t>
      </w:r>
      <w:r>
        <w:rPr/>
        <w:t>gaming operations to be a significant source of revenue in future years. The majority of MGM China's casino revenue has been provided by main floor gaming operations in recent years and we expect this customer base will be the primary source of growth in the future. We offer amenities to attract players such as premium gaming lounges and stadium-style electronic table games terminals, which include both table games and slots to create a dedicated exclusive gaming space for premium main floor players’</w:t>
      </w:r>
      <w:r>
        <w:rPr>
          <w:spacing w:val="-7"/>
        </w:rPr>
        <w:t> </w:t>
      </w:r>
      <w:r>
        <w:rPr/>
        <w:t>use, as well as non-gaming amenities, such as The Mansion and MGM Cotai Emerald Villa to attract ultra-high end customers.</w:t>
      </w:r>
    </w:p>
    <w:p>
      <w:pPr>
        <w:pStyle w:val="BodyText"/>
        <w:spacing w:before="25"/>
      </w:pPr>
    </w:p>
    <w:p>
      <w:pPr>
        <w:pStyle w:val="BodyText"/>
        <w:spacing w:line="223" w:lineRule="auto"/>
        <w:ind w:left="144" w:right="118" w:firstLine="499"/>
        <w:jc w:val="both"/>
      </w:pPr>
      <w:r>
        <w:rPr/>
        <w:t>In December 2021, we suspended operations with our primary gaming promoters indefinitely. Prior to December 2021, we had externally sourced VIP gaming play through external gaming promoters who assisted VIP players with their travel and entertainment arrangements. Gaming promoters </w:t>
      </w:r>
      <w:r>
        <w:rPr/>
        <w:t>purchased special purpose nonnegotiable gaming chips and, in turn, they sold these chips to their players. Gaming promoters were compensated through payment of revenue-sharing arrangements based on a percentage of the gross table games win and through payment of a percentage of rolling chip turnover. They also received an allowance based on a percentage of the table games turnover they generated, which could be applied to hotel rooms, food and beverage and other discretionary customer-related expenses. Gaming promoter commissions were recorded as a reduction of casino revenue.</w:t>
      </w:r>
    </w:p>
    <w:p>
      <w:pPr>
        <w:pStyle w:val="BodyText"/>
        <w:spacing w:before="6"/>
      </w:pPr>
    </w:p>
    <w:p>
      <w:pPr>
        <w:pStyle w:val="BodyText"/>
        <w:spacing w:line="235" w:lineRule="auto"/>
        <w:ind w:left="144" w:right="118" w:firstLine="499"/>
        <w:jc w:val="both"/>
      </w:pPr>
      <w:r>
        <w:rPr/>
        <w:t>Our key competitors in Macau include five other gaming concessionaires. We also encounter competition from major gaming centers located in </w:t>
      </w:r>
      <w:r>
        <w:rPr/>
        <w:t>other areas of</w:t>
      </w:r>
      <w:r>
        <w:rPr>
          <w:spacing w:val="-6"/>
        </w:rPr>
        <w:t> </w:t>
      </w:r>
      <w:r>
        <w:rPr/>
        <w:t>Asia and around the world including, but not limited to, Singapore, South Korea, Vietnam, Cambodia, the Philippines,</w:t>
      </w:r>
      <w:r>
        <w:rPr>
          <w:spacing w:val="-6"/>
        </w:rPr>
        <w:t> </w:t>
      </w:r>
      <w:r>
        <w:rPr/>
        <w:t>Australia, and Las Vegas.</w:t>
      </w:r>
    </w:p>
    <w:p>
      <w:pPr>
        <w:pStyle w:val="BodyText"/>
        <w:spacing w:before="19"/>
      </w:pPr>
    </w:p>
    <w:p>
      <w:pPr>
        <w:pStyle w:val="Heading5"/>
        <w:jc w:val="left"/>
      </w:pPr>
      <w:r>
        <w:rPr>
          <w:spacing w:val="-2"/>
        </w:rPr>
        <w:t>Marketing</w:t>
      </w:r>
    </w:p>
    <w:p>
      <w:pPr>
        <w:pStyle w:val="BodyText"/>
        <w:spacing w:before="6"/>
        <w:rPr>
          <w:b/>
        </w:rPr>
      </w:pPr>
    </w:p>
    <w:p>
      <w:pPr>
        <w:pStyle w:val="BodyText"/>
        <w:spacing w:line="237" w:lineRule="auto"/>
        <w:ind w:left="144" w:right="118" w:firstLine="499"/>
        <w:jc w:val="both"/>
      </w:pPr>
      <w:r>
        <w:rPr/>
        <w:t>Our marketing efforts are conducted through various means, including our loyalty programs. We advertise on radio, television, internet and billboards and in newspapers and magazines in selected cities throughout the United States and overseas, as well as by direct mail, email and through the use of </w:t>
      </w:r>
      <w:r>
        <w:rPr/>
        <w:t>social media.</w:t>
      </w:r>
      <w:r>
        <w:rPr>
          <w:spacing w:val="-3"/>
        </w:rPr>
        <w:t> </w:t>
      </w:r>
      <w:r>
        <w:rPr/>
        <w:t>We also advertise through our regional marketing offices located in major U.S. and foreign cities. Our direct marketing efforts utilize advanced analytic techniques that identify customer preferences and help predict future customer behavior, allowing us to make more relevant offers to customers, influence incremental visits, and help build lasting customer relationships.</w:t>
      </w:r>
    </w:p>
    <w:p>
      <w:pPr>
        <w:pStyle w:val="BodyText"/>
        <w:spacing w:before="12"/>
      </w:pPr>
    </w:p>
    <w:p>
      <w:pPr>
        <w:pStyle w:val="BodyText"/>
        <w:spacing w:line="235" w:lineRule="auto"/>
        <w:ind w:left="144" w:right="118" w:firstLine="499"/>
        <w:jc w:val="both"/>
      </w:pPr>
      <w:r>
        <w:rPr/>
        <w:t>MGM Rewards, our customer loyalty program, is a tiered program and allows customers to qualify for benefits across our participating resorts and in both gaming and non-gaming areas, encouraging customers to keep their total spend within our casino resorts. As members advance through tiers, a host of member benefits are unlocked including priority access, exclusive events and experiences, and the opportunity to redeem MGM Rewards for hotel stays, food and beverage,</w:t>
      </w:r>
    </w:p>
    <w:p>
      <w:pPr>
        <w:pStyle w:val="BodyText"/>
      </w:pPr>
    </w:p>
    <w:p>
      <w:pPr>
        <w:pStyle w:val="BodyText"/>
        <w:spacing w:before="189"/>
      </w:pPr>
    </w:p>
    <w:p>
      <w:pPr>
        <w:pStyle w:val="BodyText"/>
        <w:ind w:left="24"/>
        <w:jc w:val="center"/>
      </w:pPr>
      <w:r>
        <w:rPr>
          <w:spacing w:val="-10"/>
        </w:rPr>
        <w:t>5</w:t>
      </w:r>
    </w:p>
    <w:p>
      <w:pPr>
        <w:pStyle w:val="BodyText"/>
        <w:spacing w:before="3"/>
        <w:rPr>
          <w:sz w:val="6"/>
        </w:rPr>
      </w:pPr>
      <w:r>
        <w:rPr/>
        <mc:AlternateContent>
          <mc:Choice Requires="wps">
            <w:drawing>
              <wp:anchor distT="0" distB="0" distL="0" distR="0" allowOverlap="1" layoutInCell="1" locked="0" behindDoc="1" simplePos="0" relativeHeight="487596544">
                <wp:simplePos x="0" y="0"/>
                <wp:positionH relativeFrom="page">
                  <wp:posOffset>231457</wp:posOffset>
                </wp:positionH>
                <wp:positionV relativeFrom="paragraph">
                  <wp:posOffset>60956</wp:posOffset>
                </wp:positionV>
                <wp:extent cx="7312659" cy="1714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7312659" cy="17145"/>
                          <a:chExt cx="7312659" cy="17145"/>
                        </a:xfrm>
                      </wpg:grpSpPr>
                      <wps:wsp>
                        <wps:cNvPr id="42" name="Graphic 4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3" name="Graphic 43"/>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4" name="Graphic 4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9936;mso-wrap-distance-left:0;mso-wrap-distance-right:0" id="docshapegroup40" coordorigin="364,96" coordsize="11516,27">
                <v:rect style="position:absolute;left:364;top:96;width:11516;height:14" id="docshape41" filled="true" fillcolor="#999999" stroked="false">
                  <v:fill type="solid"/>
                </v:rect>
                <v:shape style="position:absolute;left:364;top:96;width:11516;height:27" id="docshape42" coordorigin="364,96" coordsize="11516,27" path="m11880,96l11866,110,364,110,364,123,11866,123,11880,123,11880,110,11880,96xe" filled="true" fillcolor="#ededed" stroked="false">
                  <v:path arrowok="t"/>
                  <v:fill type="solid"/>
                </v:shape>
                <v:shape style="position:absolute;left:364;top:96;width:14;height:27" id="docshape4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35" w:lineRule="auto" w:before="73"/>
        <w:ind w:left="144" w:right="118"/>
        <w:jc w:val="both"/>
      </w:pPr>
      <w:r>
        <w:rPr/>
        <w:t>and other MGM Resorts experiences. We also offer the Golden Lion Club for gaming focused customers, in addition to M life Rewards, at MGM China. The structured rewards systems based on member value and tier level ensure that customers can progressively access the full range of services that the </w:t>
      </w:r>
      <w:r>
        <w:rPr/>
        <w:t>resorts provide. Our loyalty programs focus on building a rewarding relationship with our customers, encouraging members to increase both visitation and spend.</w:t>
      </w:r>
    </w:p>
    <w:p>
      <w:pPr>
        <w:pStyle w:val="BodyText"/>
        <w:spacing w:before="17"/>
      </w:pPr>
    </w:p>
    <w:p>
      <w:pPr>
        <w:pStyle w:val="Heading5"/>
        <w:spacing w:before="1"/>
        <w:jc w:val="left"/>
      </w:pPr>
      <w:r>
        <w:rPr>
          <w:spacing w:val="-2"/>
        </w:rPr>
        <w:t>Strategy</w:t>
      </w:r>
    </w:p>
    <w:p>
      <w:pPr>
        <w:pStyle w:val="BodyText"/>
        <w:spacing w:before="4"/>
        <w:rPr>
          <w:b/>
        </w:rPr>
      </w:pPr>
    </w:p>
    <w:p>
      <w:pPr>
        <w:pStyle w:val="BodyText"/>
        <w:ind w:left="144" w:right="118" w:firstLine="499"/>
        <w:jc w:val="both"/>
      </w:pPr>
      <w:r>
        <w:rPr/>
        <w:t>We strive to be a leader in the global gaming, entertainment and hospitality industry that delivers extraordinary entertainment across a portfolio </w:t>
      </w:r>
      <w:r>
        <w:rPr/>
        <w:t>of properties</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and</w:t>
      </w:r>
      <w:r>
        <w:rPr>
          <w:spacing w:val="-1"/>
        </w:rPr>
        <w:t> </w:t>
      </w:r>
      <w:r>
        <w:rPr/>
        <w:t>Macau.</w:t>
      </w:r>
      <w:r>
        <w:rPr>
          <w:spacing w:val="-4"/>
        </w:rPr>
        <w:t> </w:t>
      </w:r>
      <w:r>
        <w:rPr/>
        <w:t>The</w:t>
      </w:r>
      <w:r>
        <w:rPr>
          <w:spacing w:val="-1"/>
        </w:rPr>
        <w:t> </w:t>
      </w:r>
      <w:r>
        <w:rPr/>
        <w:t>quality</w:t>
      </w:r>
      <w:r>
        <w:rPr>
          <w:spacing w:val="-1"/>
        </w:rPr>
        <w:t> </w:t>
      </w:r>
      <w:r>
        <w:rPr/>
        <w:t>of</w:t>
      </w:r>
      <w:r>
        <w:rPr>
          <w:spacing w:val="-1"/>
        </w:rPr>
        <w:t> </w:t>
      </w:r>
      <w:r>
        <w:rPr/>
        <w:t>our</w:t>
      </w:r>
      <w:r>
        <w:rPr>
          <w:spacing w:val="-1"/>
        </w:rPr>
        <w:t> </w:t>
      </w:r>
      <w:r>
        <w:rPr/>
        <w:t>properties</w:t>
      </w:r>
      <w:r>
        <w:rPr>
          <w:spacing w:val="-1"/>
        </w:rPr>
        <w:t> </w:t>
      </w:r>
      <w:r>
        <w:rPr/>
        <w:t>and</w:t>
      </w:r>
      <w:r>
        <w:rPr>
          <w:spacing w:val="-1"/>
        </w:rPr>
        <w:t> </w:t>
      </w:r>
      <w:r>
        <w:rPr/>
        <w:t>amenities</w:t>
      </w:r>
      <w:r>
        <w:rPr>
          <w:spacing w:val="-1"/>
        </w:rPr>
        <w:t> </w:t>
      </w:r>
      <w:r>
        <w:rPr/>
        <w:t>is</w:t>
      </w:r>
      <w:r>
        <w:rPr>
          <w:spacing w:val="-1"/>
        </w:rPr>
        <w:t> </w:t>
      </w:r>
      <w:r>
        <w:rPr/>
        <w:t>evidenced</w:t>
      </w:r>
      <w:r>
        <w:rPr>
          <w:spacing w:val="-1"/>
        </w:rPr>
        <w:t> </w:t>
      </w:r>
      <w:r>
        <w:rPr/>
        <w:t>by</w:t>
      </w:r>
      <w:r>
        <w:rPr>
          <w:spacing w:val="-1"/>
        </w:rPr>
        <w:t> </w:t>
      </w:r>
      <w:r>
        <w:rPr/>
        <w:t>our</w:t>
      </w:r>
      <w:r>
        <w:rPr>
          <w:spacing w:val="-1"/>
        </w:rPr>
        <w:t> </w:t>
      </w:r>
      <w:r>
        <w:rPr/>
        <w:t>success</w:t>
      </w:r>
      <w:r>
        <w:rPr>
          <w:spacing w:val="-1"/>
        </w:rPr>
        <w:t> </w:t>
      </w:r>
      <w:r>
        <w:rPr/>
        <w:t>in</w:t>
      </w:r>
      <w:r>
        <w:rPr>
          <w:spacing w:val="-1"/>
        </w:rPr>
        <w:t> </w:t>
      </w:r>
      <w:r>
        <w:rPr/>
        <w:t>winning</w:t>
      </w:r>
      <w:r>
        <w:rPr>
          <w:spacing w:val="-1"/>
        </w:rPr>
        <w:t> </w:t>
      </w:r>
      <w:r>
        <w:rPr/>
        <w:t>numerous</w:t>
      </w:r>
      <w:r>
        <w:rPr>
          <w:spacing w:val="-1"/>
        </w:rPr>
        <w:t> </w:t>
      </w:r>
      <w:r>
        <w:rPr/>
        <w:t>awards,</w:t>
      </w:r>
      <w:r>
        <w:rPr>
          <w:spacing w:val="-1"/>
        </w:rPr>
        <w:t> </w:t>
      </w:r>
      <w:r>
        <w:rPr/>
        <w:t>both</w:t>
      </w:r>
      <w:r>
        <w:rPr>
          <w:spacing w:val="-1"/>
        </w:rPr>
        <w:t> </w:t>
      </w:r>
      <w:r>
        <w:rPr/>
        <w:t>domestic and globally, including several Four and Five Diamond designations from the American Automobile Association, multiple Four and Five Star designations from Forbes Travel Guide and numerous certifications of our Corporate Social Responsibility efforts.</w:t>
      </w:r>
    </w:p>
    <w:p>
      <w:pPr>
        <w:pStyle w:val="BodyText"/>
        <w:spacing w:before="8"/>
      </w:pPr>
    </w:p>
    <w:p>
      <w:pPr>
        <w:spacing w:line="235" w:lineRule="auto" w:before="0"/>
        <w:ind w:left="144" w:right="118" w:firstLine="499"/>
        <w:jc w:val="left"/>
        <w:rPr>
          <w:sz w:val="18"/>
        </w:rPr>
      </w:pPr>
      <w:r>
        <w:rPr>
          <w:sz w:val="18"/>
        </w:rPr>
        <w:t>In order to achieve our vision of becoming </w:t>
      </w:r>
      <w:r>
        <w:rPr>
          <w:b/>
          <w:sz w:val="18"/>
          <w:u w:val="single"/>
        </w:rPr>
        <w:t>the world's premier</w:t>
      </w:r>
      <w:r>
        <w:rPr>
          <w:b/>
          <w:sz w:val="18"/>
        </w:rPr>
        <w:t> g</w:t>
      </w:r>
      <w:r>
        <w:rPr>
          <w:b/>
          <w:sz w:val="18"/>
          <w:u w:val="single"/>
        </w:rPr>
        <w:t>aming</w:t>
      </w:r>
      <w:r>
        <w:rPr>
          <w:b/>
          <w:spacing w:val="-32"/>
          <w:sz w:val="18"/>
        </w:rPr>
        <w:t> </w:t>
      </w:r>
      <w:r>
        <w:rPr>
          <w:b/>
          <w:spacing w:val="-4"/>
          <w:sz w:val="18"/>
          <w:u w:val="single"/>
        </w:rPr>
        <w:t> </w:t>
      </w:r>
      <w:r>
        <w:rPr>
          <w:b/>
          <w:sz w:val="18"/>
          <w:u w:val="single"/>
        </w:rPr>
        <w:t>entertainment company</w:t>
      </w:r>
      <w:r>
        <w:rPr>
          <w:sz w:val="18"/>
        </w:rPr>
        <w:t>, we developed our strategic plan, which centers on five pillars:</w:t>
      </w:r>
    </w:p>
    <w:p>
      <w:pPr>
        <w:pStyle w:val="ListParagraph"/>
        <w:numPr>
          <w:ilvl w:val="0"/>
          <w:numId w:val="1"/>
        </w:numPr>
        <w:tabs>
          <w:tab w:pos="792" w:val="left" w:leader="none"/>
        </w:tabs>
        <w:spacing w:line="205" w:lineRule="exact" w:before="10" w:after="0"/>
        <w:ind w:left="792" w:right="0" w:hanging="324"/>
        <w:jc w:val="left"/>
        <w:rPr>
          <w:sz w:val="18"/>
        </w:rPr>
      </w:pPr>
      <w:r>
        <w:rPr>
          <w:b/>
          <w:sz w:val="18"/>
        </w:rPr>
        <w:t>Strong</w:t>
      </w:r>
      <w:r>
        <w:rPr>
          <w:b/>
          <w:spacing w:val="-2"/>
          <w:sz w:val="18"/>
        </w:rPr>
        <w:t> </w:t>
      </w:r>
      <w:r>
        <w:rPr>
          <w:b/>
          <w:sz w:val="18"/>
        </w:rPr>
        <w:t>People</w:t>
      </w:r>
      <w:r>
        <w:rPr>
          <w:b/>
          <w:spacing w:val="-1"/>
          <w:sz w:val="18"/>
        </w:rPr>
        <w:t> </w:t>
      </w:r>
      <w:r>
        <w:rPr>
          <w:b/>
          <w:sz w:val="18"/>
        </w:rPr>
        <w:t>and</w:t>
      </w:r>
      <w:r>
        <w:rPr>
          <w:b/>
          <w:spacing w:val="-2"/>
          <w:sz w:val="18"/>
        </w:rPr>
        <w:t> </w:t>
      </w:r>
      <w:r>
        <w:rPr>
          <w:b/>
          <w:sz w:val="18"/>
        </w:rPr>
        <w:t>Culture. </w:t>
      </w:r>
      <w:r>
        <w:rPr>
          <w:sz w:val="18"/>
        </w:rPr>
        <w:t>Recruit,</w:t>
      </w:r>
      <w:r>
        <w:rPr>
          <w:spacing w:val="-1"/>
          <w:sz w:val="18"/>
        </w:rPr>
        <w:t> </w:t>
      </w:r>
      <w:r>
        <w:rPr>
          <w:sz w:val="18"/>
        </w:rPr>
        <w:t>develop</w:t>
      </w:r>
      <w:r>
        <w:rPr>
          <w:spacing w:val="-2"/>
          <w:sz w:val="18"/>
        </w:rPr>
        <w:t> </w:t>
      </w:r>
      <w:r>
        <w:rPr>
          <w:sz w:val="18"/>
        </w:rPr>
        <w:t>and</w:t>
      </w:r>
      <w:r>
        <w:rPr>
          <w:spacing w:val="-1"/>
          <w:sz w:val="18"/>
        </w:rPr>
        <w:t> </w:t>
      </w:r>
      <w:r>
        <w:rPr>
          <w:sz w:val="18"/>
        </w:rPr>
        <w:t>retain</w:t>
      </w:r>
      <w:r>
        <w:rPr>
          <w:spacing w:val="-1"/>
          <w:sz w:val="18"/>
        </w:rPr>
        <w:t> </w:t>
      </w:r>
      <w:r>
        <w:rPr>
          <w:sz w:val="18"/>
        </w:rPr>
        <w:t>the</w:t>
      </w:r>
      <w:r>
        <w:rPr>
          <w:spacing w:val="-2"/>
          <w:sz w:val="18"/>
        </w:rPr>
        <w:t> </w:t>
      </w:r>
      <w:r>
        <w:rPr>
          <w:sz w:val="18"/>
        </w:rPr>
        <w:t>best</w:t>
      </w:r>
      <w:r>
        <w:rPr>
          <w:spacing w:val="-1"/>
          <w:sz w:val="18"/>
        </w:rPr>
        <w:t> </w:t>
      </w:r>
      <w:r>
        <w:rPr>
          <w:sz w:val="18"/>
        </w:rPr>
        <w:t>talent.</w:t>
      </w:r>
      <w:r>
        <w:rPr>
          <w:spacing w:val="-1"/>
          <w:sz w:val="18"/>
        </w:rPr>
        <w:t> </w:t>
      </w:r>
      <w:r>
        <w:rPr>
          <w:sz w:val="18"/>
        </w:rPr>
        <w:t>Foster</w:t>
      </w:r>
      <w:r>
        <w:rPr>
          <w:spacing w:val="-2"/>
          <w:sz w:val="18"/>
        </w:rPr>
        <w:t> </w:t>
      </w:r>
      <w:r>
        <w:rPr>
          <w:sz w:val="18"/>
        </w:rPr>
        <w:t>a</w:t>
      </w:r>
      <w:r>
        <w:rPr>
          <w:spacing w:val="-1"/>
          <w:sz w:val="18"/>
        </w:rPr>
        <w:t> </w:t>
      </w:r>
      <w:r>
        <w:rPr>
          <w:sz w:val="18"/>
        </w:rPr>
        <w:t>culture</w:t>
      </w:r>
      <w:r>
        <w:rPr>
          <w:spacing w:val="-2"/>
          <w:sz w:val="18"/>
        </w:rPr>
        <w:t> </w:t>
      </w:r>
      <w:r>
        <w:rPr>
          <w:sz w:val="18"/>
        </w:rPr>
        <w:t>of</w:t>
      </w:r>
      <w:r>
        <w:rPr>
          <w:spacing w:val="-1"/>
          <w:sz w:val="18"/>
        </w:rPr>
        <w:t> </w:t>
      </w:r>
      <w:r>
        <w:rPr>
          <w:sz w:val="18"/>
        </w:rPr>
        <w:t>diversity</w:t>
      </w:r>
      <w:r>
        <w:rPr>
          <w:spacing w:val="-1"/>
          <w:sz w:val="18"/>
        </w:rPr>
        <w:t> </w:t>
      </w:r>
      <w:r>
        <w:rPr>
          <w:sz w:val="18"/>
        </w:rPr>
        <w:t>and</w:t>
      </w:r>
      <w:r>
        <w:rPr>
          <w:spacing w:val="-2"/>
          <w:sz w:val="18"/>
        </w:rPr>
        <w:t> </w:t>
      </w:r>
      <w:r>
        <w:rPr>
          <w:sz w:val="18"/>
        </w:rPr>
        <w:t>inclusion.</w:t>
      </w:r>
      <w:r>
        <w:rPr>
          <w:spacing w:val="-1"/>
          <w:sz w:val="18"/>
        </w:rPr>
        <w:t> </w:t>
      </w:r>
      <w:r>
        <w:rPr>
          <w:sz w:val="18"/>
        </w:rPr>
        <w:t>Invest</w:t>
      </w:r>
      <w:r>
        <w:rPr>
          <w:spacing w:val="-1"/>
          <w:sz w:val="18"/>
        </w:rPr>
        <w:t> </w:t>
      </w:r>
      <w:r>
        <w:rPr>
          <w:sz w:val="18"/>
        </w:rPr>
        <w:t>in</w:t>
      </w:r>
      <w:r>
        <w:rPr>
          <w:spacing w:val="-2"/>
          <w:sz w:val="18"/>
        </w:rPr>
        <w:t> </w:t>
      </w:r>
      <w:r>
        <w:rPr>
          <w:sz w:val="18"/>
        </w:rPr>
        <w:t>the</w:t>
      </w:r>
      <w:r>
        <w:rPr>
          <w:spacing w:val="-1"/>
          <w:sz w:val="18"/>
        </w:rPr>
        <w:t> </w:t>
      </w:r>
      <w:r>
        <w:rPr>
          <w:sz w:val="18"/>
        </w:rPr>
        <w:t>employee</w:t>
      </w:r>
      <w:r>
        <w:rPr>
          <w:spacing w:val="-1"/>
          <w:sz w:val="18"/>
        </w:rPr>
        <w:t> </w:t>
      </w:r>
      <w:r>
        <w:rPr>
          <w:spacing w:val="-2"/>
          <w:sz w:val="18"/>
        </w:rPr>
        <w:t>experience.</w:t>
      </w:r>
    </w:p>
    <w:p>
      <w:pPr>
        <w:pStyle w:val="ListParagraph"/>
        <w:numPr>
          <w:ilvl w:val="0"/>
          <w:numId w:val="1"/>
        </w:numPr>
        <w:tabs>
          <w:tab w:pos="792" w:val="left" w:leader="none"/>
        </w:tabs>
        <w:spacing w:line="235" w:lineRule="auto" w:before="1" w:after="0"/>
        <w:ind w:left="792" w:right="118" w:hanging="324"/>
        <w:jc w:val="left"/>
        <w:rPr>
          <w:sz w:val="18"/>
        </w:rPr>
      </w:pPr>
      <w:r>
        <w:rPr>
          <w:b/>
          <w:sz w:val="18"/>
        </w:rPr>
        <w:t>Customer-Centric</w:t>
      </w:r>
      <w:r>
        <w:rPr>
          <w:b/>
          <w:spacing w:val="33"/>
          <w:sz w:val="18"/>
        </w:rPr>
        <w:t> </w:t>
      </w:r>
      <w:r>
        <w:rPr>
          <w:b/>
          <w:sz w:val="18"/>
        </w:rPr>
        <w:t>Model</w:t>
      </w:r>
      <w:r>
        <w:rPr>
          <w:b/>
          <w:i/>
          <w:sz w:val="18"/>
        </w:rPr>
        <w:t>.</w:t>
      </w:r>
      <w:r>
        <w:rPr>
          <w:b/>
          <w:i/>
          <w:spacing w:val="33"/>
          <w:sz w:val="18"/>
        </w:rPr>
        <w:t> </w:t>
      </w:r>
      <w:r>
        <w:rPr>
          <w:sz w:val="18"/>
        </w:rPr>
        <w:t>Leverage</w:t>
      </w:r>
      <w:r>
        <w:rPr>
          <w:spacing w:val="33"/>
          <w:sz w:val="18"/>
        </w:rPr>
        <w:t> </w:t>
      </w:r>
      <w:r>
        <w:rPr>
          <w:sz w:val="18"/>
        </w:rPr>
        <w:t>a</w:t>
      </w:r>
      <w:r>
        <w:rPr>
          <w:spacing w:val="33"/>
          <w:sz w:val="18"/>
        </w:rPr>
        <w:t> </w:t>
      </w:r>
      <w:r>
        <w:rPr>
          <w:sz w:val="18"/>
        </w:rPr>
        <w:t>customer-centric</w:t>
      </w:r>
      <w:r>
        <w:rPr>
          <w:spacing w:val="33"/>
          <w:sz w:val="18"/>
        </w:rPr>
        <w:t> </w:t>
      </w:r>
      <w:r>
        <w:rPr>
          <w:sz w:val="18"/>
        </w:rPr>
        <w:t>model</w:t>
      </w:r>
      <w:r>
        <w:rPr>
          <w:spacing w:val="33"/>
          <w:sz w:val="18"/>
        </w:rPr>
        <w:t> </w:t>
      </w:r>
      <w:r>
        <w:rPr>
          <w:sz w:val="18"/>
        </w:rPr>
        <w:t>reinforced</w:t>
      </w:r>
      <w:r>
        <w:rPr>
          <w:spacing w:val="33"/>
          <w:sz w:val="18"/>
        </w:rPr>
        <w:t> </w:t>
      </w:r>
      <w:r>
        <w:rPr>
          <w:sz w:val="18"/>
        </w:rPr>
        <w:t>by</w:t>
      </w:r>
      <w:r>
        <w:rPr>
          <w:spacing w:val="33"/>
          <w:sz w:val="18"/>
        </w:rPr>
        <w:t> </w:t>
      </w:r>
      <w:r>
        <w:rPr>
          <w:sz w:val="18"/>
        </w:rPr>
        <w:t>a</w:t>
      </w:r>
      <w:r>
        <w:rPr>
          <w:spacing w:val="33"/>
          <w:sz w:val="18"/>
        </w:rPr>
        <w:t> </w:t>
      </w:r>
      <w:r>
        <w:rPr>
          <w:sz w:val="18"/>
        </w:rPr>
        <w:t>strong</w:t>
      </w:r>
      <w:r>
        <w:rPr>
          <w:spacing w:val="33"/>
          <w:sz w:val="18"/>
        </w:rPr>
        <w:t> </w:t>
      </w:r>
      <w:r>
        <w:rPr>
          <w:sz w:val="18"/>
        </w:rPr>
        <w:t>brand</w:t>
      </w:r>
      <w:r>
        <w:rPr>
          <w:spacing w:val="33"/>
          <w:sz w:val="18"/>
        </w:rPr>
        <w:t> </w:t>
      </w:r>
      <w:r>
        <w:rPr>
          <w:sz w:val="18"/>
        </w:rPr>
        <w:t>and</w:t>
      </w:r>
      <w:r>
        <w:rPr>
          <w:spacing w:val="33"/>
          <w:sz w:val="18"/>
        </w:rPr>
        <w:t> </w:t>
      </w:r>
      <w:r>
        <w:rPr>
          <w:sz w:val="18"/>
        </w:rPr>
        <w:t>deep</w:t>
      </w:r>
      <w:r>
        <w:rPr>
          <w:spacing w:val="33"/>
          <w:sz w:val="18"/>
        </w:rPr>
        <w:t> </w:t>
      </w:r>
      <w:r>
        <w:rPr>
          <w:sz w:val="18"/>
        </w:rPr>
        <w:t>customer</w:t>
      </w:r>
      <w:r>
        <w:rPr>
          <w:spacing w:val="33"/>
          <w:sz w:val="18"/>
        </w:rPr>
        <w:t> </w:t>
      </w:r>
      <w:r>
        <w:rPr>
          <w:sz w:val="18"/>
        </w:rPr>
        <w:t>insights</w:t>
      </w:r>
      <w:r>
        <w:rPr>
          <w:spacing w:val="33"/>
          <w:sz w:val="18"/>
        </w:rPr>
        <w:t> </w:t>
      </w:r>
      <w:r>
        <w:rPr>
          <w:sz w:val="18"/>
        </w:rPr>
        <w:t>to</w:t>
      </w:r>
      <w:r>
        <w:rPr>
          <w:spacing w:val="33"/>
          <w:sz w:val="18"/>
        </w:rPr>
        <w:t> </w:t>
      </w:r>
      <w:r>
        <w:rPr>
          <w:sz w:val="18"/>
        </w:rPr>
        <w:t>provide</w:t>
      </w:r>
      <w:r>
        <w:rPr>
          <w:spacing w:val="33"/>
          <w:sz w:val="18"/>
        </w:rPr>
        <w:t> </w:t>
      </w:r>
      <w:r>
        <w:rPr>
          <w:sz w:val="18"/>
        </w:rPr>
        <w:t>unmatched entertainment experiences for our guests and drive top-line growth.</w:t>
      </w:r>
    </w:p>
    <w:p>
      <w:pPr>
        <w:pStyle w:val="ListParagraph"/>
        <w:numPr>
          <w:ilvl w:val="0"/>
          <w:numId w:val="1"/>
        </w:numPr>
        <w:tabs>
          <w:tab w:pos="792" w:val="left" w:leader="none"/>
        </w:tabs>
        <w:spacing w:line="235" w:lineRule="auto" w:before="13" w:after="0"/>
        <w:ind w:left="792" w:right="118" w:hanging="324"/>
        <w:jc w:val="left"/>
        <w:rPr>
          <w:sz w:val="18"/>
        </w:rPr>
      </w:pPr>
      <w:r>
        <w:rPr>
          <w:b/>
          <w:sz w:val="18"/>
        </w:rPr>
        <w:t>Operational Excellence</w:t>
      </w:r>
      <w:r>
        <w:rPr>
          <w:b/>
          <w:i/>
          <w:sz w:val="18"/>
        </w:rPr>
        <w:t>. </w:t>
      </w:r>
      <w:r>
        <w:rPr>
          <w:sz w:val="18"/>
        </w:rPr>
        <w:t>Operating model refinement to diversify business mix, maximize operating efficiencies and expand margins. Enhancement of digital capabilities to strengthen customer loyalty.</w:t>
      </w:r>
    </w:p>
    <w:p>
      <w:pPr>
        <w:pStyle w:val="ListParagraph"/>
        <w:numPr>
          <w:ilvl w:val="0"/>
          <w:numId w:val="1"/>
        </w:numPr>
        <w:tabs>
          <w:tab w:pos="792" w:val="left" w:leader="none"/>
        </w:tabs>
        <w:spacing w:line="249" w:lineRule="auto" w:before="0" w:after="0"/>
        <w:ind w:left="792" w:right="118" w:hanging="324"/>
        <w:jc w:val="left"/>
        <w:rPr>
          <w:b/>
          <w:sz w:val="18"/>
        </w:rPr>
      </w:pPr>
      <w:r>
        <w:rPr>
          <w:b/>
          <w:sz w:val="18"/>
        </w:rPr>
        <w:t>Disciplined Capital</w:t>
      </w:r>
      <w:r>
        <w:rPr>
          <w:b/>
          <w:spacing w:val="-2"/>
          <w:sz w:val="18"/>
        </w:rPr>
        <w:t> </w:t>
      </w:r>
      <w:r>
        <w:rPr>
          <w:b/>
          <w:sz w:val="18"/>
        </w:rPr>
        <w:t>Allocation to Maximize Shareholder Value. </w:t>
      </w:r>
      <w:r>
        <w:rPr>
          <w:sz w:val="18"/>
        </w:rPr>
        <w:t>Pursuit of targeted, attractive ROI opportunities that align to our strategic vision. Focus on shareholder returns. Fortify balance sheet.</w:t>
      </w:r>
    </w:p>
    <w:p>
      <w:pPr>
        <w:pStyle w:val="ListParagraph"/>
        <w:numPr>
          <w:ilvl w:val="0"/>
          <w:numId w:val="1"/>
        </w:numPr>
        <w:tabs>
          <w:tab w:pos="792" w:val="left" w:leader="none"/>
        </w:tabs>
        <w:spacing w:line="235" w:lineRule="auto" w:before="0" w:after="0"/>
        <w:ind w:left="792" w:right="118" w:hanging="324"/>
        <w:jc w:val="left"/>
        <w:rPr>
          <w:sz w:val="18"/>
        </w:rPr>
      </w:pPr>
      <w:r>
        <w:rPr>
          <w:b/>
          <w:sz w:val="18"/>
        </w:rPr>
        <w:t>Gaming</w:t>
      </w:r>
      <w:r>
        <w:rPr>
          <w:b/>
          <w:spacing w:val="40"/>
          <w:sz w:val="18"/>
        </w:rPr>
        <w:t> </w:t>
      </w:r>
      <w:r>
        <w:rPr>
          <w:b/>
          <w:sz w:val="18"/>
        </w:rPr>
        <w:t>Entertainment.</w:t>
      </w:r>
      <w:r>
        <w:rPr>
          <w:b/>
          <w:spacing w:val="40"/>
          <w:sz w:val="18"/>
        </w:rPr>
        <w:t> </w:t>
      </w:r>
      <w:r>
        <w:rPr>
          <w:sz w:val="18"/>
        </w:rPr>
        <w:t>Innovate</w:t>
      </w:r>
      <w:r>
        <w:rPr>
          <w:spacing w:val="40"/>
          <w:sz w:val="18"/>
        </w:rPr>
        <w:t> </w:t>
      </w:r>
      <w:r>
        <w:rPr>
          <w:sz w:val="18"/>
        </w:rPr>
        <w:t>our</w:t>
      </w:r>
      <w:r>
        <w:rPr>
          <w:spacing w:val="40"/>
          <w:sz w:val="18"/>
        </w:rPr>
        <w:t> </w:t>
      </w:r>
      <w:r>
        <w:rPr>
          <w:sz w:val="18"/>
        </w:rPr>
        <w:t>gaming</w:t>
      </w:r>
      <w:r>
        <w:rPr>
          <w:spacing w:val="40"/>
          <w:sz w:val="18"/>
        </w:rPr>
        <w:t> </w:t>
      </w:r>
      <w:r>
        <w:rPr>
          <w:sz w:val="18"/>
        </w:rPr>
        <w:t>entertainment</w:t>
      </w:r>
      <w:r>
        <w:rPr>
          <w:spacing w:val="40"/>
          <w:sz w:val="18"/>
        </w:rPr>
        <w:t> </w:t>
      </w:r>
      <w:r>
        <w:rPr>
          <w:sz w:val="18"/>
        </w:rPr>
        <w:t>product</w:t>
      </w:r>
      <w:r>
        <w:rPr>
          <w:spacing w:val="40"/>
          <w:sz w:val="18"/>
        </w:rPr>
        <w:t> </w:t>
      </w:r>
      <w:r>
        <w:rPr>
          <w:sz w:val="18"/>
        </w:rPr>
        <w:t>to</w:t>
      </w:r>
      <w:r>
        <w:rPr>
          <w:spacing w:val="40"/>
          <w:sz w:val="18"/>
        </w:rPr>
        <w:t> </w:t>
      </w:r>
      <w:r>
        <w:rPr>
          <w:sz w:val="18"/>
        </w:rPr>
        <w:t>drive</w:t>
      </w:r>
      <w:r>
        <w:rPr>
          <w:spacing w:val="40"/>
          <w:sz w:val="18"/>
        </w:rPr>
        <w:t> </w:t>
      </w:r>
      <w:r>
        <w:rPr>
          <w:sz w:val="18"/>
        </w:rPr>
        <w:t>continued</w:t>
      </w:r>
      <w:r>
        <w:rPr>
          <w:spacing w:val="40"/>
          <w:sz w:val="18"/>
        </w:rPr>
        <w:t> </w:t>
      </w:r>
      <w:r>
        <w:rPr>
          <w:sz w:val="18"/>
        </w:rPr>
        <w:t>premium</w:t>
      </w:r>
      <w:r>
        <w:rPr>
          <w:spacing w:val="40"/>
          <w:sz w:val="18"/>
        </w:rPr>
        <w:t> </w:t>
      </w:r>
      <w:r>
        <w:rPr>
          <w:sz w:val="18"/>
        </w:rPr>
        <w:t>positioning</w:t>
      </w:r>
      <w:r>
        <w:rPr>
          <w:spacing w:val="40"/>
          <w:sz w:val="18"/>
        </w:rPr>
        <w:t> </w:t>
      </w:r>
      <w:r>
        <w:rPr>
          <w:sz w:val="18"/>
        </w:rPr>
        <w:t>and</w:t>
      </w:r>
      <w:r>
        <w:rPr>
          <w:spacing w:val="40"/>
          <w:sz w:val="18"/>
        </w:rPr>
        <w:t> </w:t>
      </w:r>
      <w:r>
        <w:rPr>
          <w:sz w:val="18"/>
        </w:rPr>
        <w:t>competitive</w:t>
      </w:r>
      <w:r>
        <w:rPr>
          <w:spacing w:val="40"/>
          <w:sz w:val="18"/>
        </w:rPr>
        <w:t> </w:t>
      </w:r>
      <w:r>
        <w:rPr>
          <w:sz w:val="18"/>
        </w:rPr>
        <w:t>differentiation. Distribute our product offering to serve the broadest total addressable market possible.</w:t>
      </w:r>
    </w:p>
    <w:p>
      <w:pPr>
        <w:pStyle w:val="BodyText"/>
        <w:spacing w:before="199"/>
        <w:ind w:left="644"/>
      </w:pPr>
      <w:r>
        <w:rPr/>
        <w:t>The</w:t>
      </w:r>
      <w:r>
        <w:rPr>
          <w:spacing w:val="-2"/>
        </w:rPr>
        <w:t> </w:t>
      </w:r>
      <w:r>
        <w:rPr/>
        <w:t>strategic</w:t>
      </w:r>
      <w:r>
        <w:rPr>
          <w:spacing w:val="-1"/>
        </w:rPr>
        <w:t> </w:t>
      </w:r>
      <w:r>
        <w:rPr/>
        <w:t>plan</w:t>
      </w:r>
      <w:r>
        <w:rPr>
          <w:spacing w:val="-1"/>
        </w:rPr>
        <w:t> </w:t>
      </w:r>
      <w:r>
        <w:rPr/>
        <w:t>was</w:t>
      </w:r>
      <w:r>
        <w:rPr>
          <w:spacing w:val="-1"/>
        </w:rPr>
        <w:t> </w:t>
      </w:r>
      <w:r>
        <w:rPr/>
        <w:t>developed</w:t>
      </w:r>
      <w:r>
        <w:rPr>
          <w:spacing w:val="-2"/>
        </w:rPr>
        <w:t> </w:t>
      </w:r>
      <w:r>
        <w:rPr/>
        <w:t>with</w:t>
      </w:r>
      <w:r>
        <w:rPr>
          <w:spacing w:val="-1"/>
        </w:rPr>
        <w:t> </w:t>
      </w:r>
      <w:r>
        <w:rPr/>
        <w:t>the</w:t>
      </w:r>
      <w:r>
        <w:rPr>
          <w:spacing w:val="-1"/>
        </w:rPr>
        <w:t> </w:t>
      </w:r>
      <w:r>
        <w:rPr/>
        <w:t>intent</w:t>
      </w:r>
      <w:r>
        <w:rPr>
          <w:spacing w:val="-1"/>
        </w:rPr>
        <w:t> </w:t>
      </w:r>
      <w:r>
        <w:rPr/>
        <w:t>to</w:t>
      </w:r>
      <w:r>
        <w:rPr>
          <w:spacing w:val="-2"/>
        </w:rPr>
        <w:t> </w:t>
      </w:r>
      <w:r>
        <w:rPr/>
        <w:t>regularly</w:t>
      </w:r>
      <w:r>
        <w:rPr>
          <w:spacing w:val="-1"/>
        </w:rPr>
        <w:t> </w:t>
      </w:r>
      <w:r>
        <w:rPr/>
        <w:t>revisit,</w:t>
      </w:r>
      <w:r>
        <w:rPr>
          <w:spacing w:val="-1"/>
        </w:rPr>
        <w:t> </w:t>
      </w:r>
      <w:r>
        <w:rPr/>
        <w:t>measure,</w:t>
      </w:r>
      <w:r>
        <w:rPr>
          <w:spacing w:val="-1"/>
        </w:rPr>
        <w:t> </w:t>
      </w:r>
      <w:r>
        <w:rPr/>
        <w:t>and</w:t>
      </w:r>
      <w:r>
        <w:rPr>
          <w:spacing w:val="-2"/>
        </w:rPr>
        <w:t> </w:t>
      </w:r>
      <w:r>
        <w:rPr/>
        <w:t>reevaluate</w:t>
      </w:r>
      <w:r>
        <w:rPr>
          <w:spacing w:val="-1"/>
        </w:rPr>
        <w:t> </w:t>
      </w:r>
      <w:r>
        <w:rPr/>
        <w:t>for</w:t>
      </w:r>
      <w:r>
        <w:rPr>
          <w:spacing w:val="-1"/>
        </w:rPr>
        <w:t> </w:t>
      </w:r>
      <w:r>
        <w:rPr/>
        <w:t>emerging</w:t>
      </w:r>
      <w:r>
        <w:rPr>
          <w:spacing w:val="-1"/>
        </w:rPr>
        <w:t> </w:t>
      </w:r>
      <w:r>
        <w:rPr>
          <w:spacing w:val="-2"/>
        </w:rPr>
        <w:t>opportunities.</w:t>
      </w:r>
    </w:p>
    <w:p>
      <w:pPr>
        <w:pStyle w:val="BodyText"/>
        <w:spacing w:before="4"/>
      </w:pPr>
    </w:p>
    <w:p>
      <w:pPr>
        <w:pStyle w:val="BodyText"/>
        <w:spacing w:line="242" w:lineRule="auto"/>
        <w:ind w:left="144" w:right="118" w:firstLine="499"/>
        <w:jc w:val="both"/>
      </w:pPr>
      <w:r>
        <w:rPr/>
        <w:t>In allocating resources, our financial strategy is focused on managing a proper mix of investments in our existing properties, strategic growth opportunities, debt repayment and shareholder returns. We believe there are reasonable investments for us to make in new initiatives and at our current </w:t>
      </w:r>
      <w:r>
        <w:rPr/>
        <w:t>resorts that will provide profitable returns.</w:t>
      </w:r>
    </w:p>
    <w:p>
      <w:pPr>
        <w:pStyle w:val="BodyText"/>
        <w:spacing w:before="3"/>
      </w:pPr>
    </w:p>
    <w:p>
      <w:pPr>
        <w:pStyle w:val="BodyText"/>
        <w:spacing w:line="242" w:lineRule="auto"/>
        <w:ind w:left="144" w:right="118" w:firstLine="499"/>
        <w:jc w:val="both"/>
      </w:pPr>
      <w:r>
        <w:rPr/>
        <w:t>We regularly evaluate targeted opportunities that provide an attractive return on investment in domestic and international markets, including the ownership, management and operation of gaming facilities and accessing new markets for iGaming and online sports betting, including our acquisition of LeoVegas. We also leverage our management expertise and well-recognized brands through strategic partnerships and international expansion opportunities.</w:t>
      </w:r>
    </w:p>
    <w:p>
      <w:pPr>
        <w:pStyle w:val="BodyText"/>
        <w:spacing w:before="3"/>
      </w:pPr>
    </w:p>
    <w:p>
      <w:pPr>
        <w:pStyle w:val="BodyText"/>
        <w:spacing w:line="242" w:lineRule="auto"/>
        <w:ind w:left="144" w:right="118" w:firstLine="499"/>
        <w:jc w:val="both"/>
      </w:pPr>
      <w:r>
        <w:rPr/>
        <w:t>We continue to maximize the benefits of our operating model by driving optimization of our Centers of Excellence and enabling best in class </w:t>
      </w:r>
      <w:r>
        <w:rPr/>
        <w:t>operations through adjustments within corporate and property business units. In addition, we have implemented several improvement and cost cutting initiatives</w:t>
      </w:r>
      <w:r>
        <w:rPr>
          <w:spacing w:val="40"/>
        </w:rPr>
        <w:t> </w:t>
      </w:r>
      <w:r>
        <w:rPr/>
        <w:t>comprised of labor, sourcing, and revenue programs that have further improved our operating model and have positioned us as a stronger company.</w:t>
      </w:r>
    </w:p>
    <w:p>
      <w:pPr>
        <w:pStyle w:val="BodyText"/>
        <w:spacing w:line="232" w:lineRule="auto" w:before="201"/>
        <w:ind w:left="144" w:right="118" w:firstLine="499"/>
        <w:jc w:val="both"/>
      </w:pPr>
      <w:r>
        <w:rPr/>
        <w:t>We have continued to focus on our key growth opportunities of developing an integrated resort in Japan, investing in BetMGM, investing </w:t>
      </w:r>
      <w:r>
        <w:rPr/>
        <w:t>in</w:t>
      </w:r>
      <w:r>
        <w:rPr>
          <w:spacing w:val="40"/>
        </w:rPr>
        <w:t> </w:t>
      </w:r>
      <w:r>
        <w:rPr/>
        <w:t>international digital opportunities through our acquisition of LeoVegas, and exploring a full-scale commercial gaming opportunity in New</w:t>
      </w:r>
      <w:r>
        <w:rPr>
          <w:spacing w:val="-3"/>
        </w:rPr>
        <w:t> </w:t>
      </w:r>
      <w:r>
        <w:rPr/>
        <w:t>York. In September 2021, we, together with our venture partner, ORIX, were selected by Osaka as the region’s integrated resort partner. This selection marks an important step in our</w:t>
      </w:r>
      <w:r>
        <w:rPr>
          <w:spacing w:val="-1"/>
        </w:rPr>
        <w:t> </w:t>
      </w:r>
      <w:r>
        <w:rPr/>
        <w:t>long-term</w:t>
      </w:r>
      <w:r>
        <w:rPr>
          <w:spacing w:val="-1"/>
        </w:rPr>
        <w:t> </w:t>
      </w:r>
      <w:r>
        <w:rPr/>
        <w:t>bid</w:t>
      </w:r>
      <w:r>
        <w:rPr>
          <w:spacing w:val="-1"/>
        </w:rPr>
        <w:t> </w:t>
      </w:r>
      <w:r>
        <w:rPr/>
        <w:t>to</w:t>
      </w:r>
      <w:r>
        <w:rPr>
          <w:spacing w:val="-1"/>
        </w:rPr>
        <w:t> </w:t>
      </w:r>
      <w:r>
        <w:rPr/>
        <w:t>develop</w:t>
      </w:r>
      <w:r>
        <w:rPr>
          <w:spacing w:val="-1"/>
        </w:rPr>
        <w:t> </w:t>
      </w:r>
      <w:r>
        <w:rPr/>
        <w:t>one</w:t>
      </w:r>
      <w:r>
        <w:rPr>
          <w:spacing w:val="-1"/>
        </w:rPr>
        <w:t> </w:t>
      </w:r>
      <w:r>
        <w:rPr/>
        <w:t>of</w:t>
      </w:r>
      <w:r>
        <w:rPr>
          <w:spacing w:val="-1"/>
        </w:rPr>
        <w:t> </w:t>
      </w:r>
      <w:r>
        <w:rPr/>
        <w:t>Japan’s</w:t>
      </w:r>
      <w:r>
        <w:rPr>
          <w:spacing w:val="-1"/>
        </w:rPr>
        <w:t> </w:t>
      </w:r>
      <w:r>
        <w:rPr/>
        <w:t>first</w:t>
      </w:r>
      <w:r>
        <w:rPr>
          <w:spacing w:val="-1"/>
        </w:rPr>
        <w:t> </w:t>
      </w:r>
      <w:r>
        <w:rPr/>
        <w:t>integrated</w:t>
      </w:r>
      <w:r>
        <w:rPr>
          <w:spacing w:val="-1"/>
        </w:rPr>
        <w:t> </w:t>
      </w:r>
      <w:r>
        <w:rPr/>
        <w:t>casino</w:t>
      </w:r>
      <w:r>
        <w:rPr>
          <w:spacing w:val="-1"/>
        </w:rPr>
        <w:t> </w:t>
      </w:r>
      <w:r>
        <w:rPr/>
        <w:t>resorts.</w:t>
      </w:r>
      <w:r>
        <w:rPr>
          <w:spacing w:val="-1"/>
        </w:rPr>
        <w:t> </w:t>
      </w:r>
      <w:r>
        <w:rPr/>
        <w:t>In</w:t>
      </w:r>
      <w:r>
        <w:rPr>
          <w:spacing w:val="-10"/>
        </w:rPr>
        <w:t> </w:t>
      </w:r>
      <w:r>
        <w:rPr/>
        <w:t>April</w:t>
      </w:r>
      <w:r>
        <w:rPr>
          <w:spacing w:val="-1"/>
        </w:rPr>
        <w:t> </w:t>
      </w:r>
      <w:r>
        <w:rPr/>
        <w:t>2022,</w:t>
      </w:r>
      <w:r>
        <w:rPr>
          <w:spacing w:val="-1"/>
        </w:rPr>
        <w:t> </w:t>
      </w:r>
      <w:r>
        <w:rPr/>
        <w:t>we</w:t>
      </w:r>
      <w:r>
        <w:rPr>
          <w:spacing w:val="-1"/>
        </w:rPr>
        <w:t> </w:t>
      </w:r>
      <w:r>
        <w:rPr/>
        <w:t>submitted</w:t>
      </w:r>
      <w:r>
        <w:rPr>
          <w:spacing w:val="-1"/>
        </w:rPr>
        <w:t> </w:t>
      </w:r>
      <w:r>
        <w:rPr/>
        <w:t>an</w:t>
      </w:r>
      <w:r>
        <w:rPr>
          <w:spacing w:val="-1"/>
        </w:rPr>
        <w:t> </w:t>
      </w:r>
      <w:r>
        <w:rPr/>
        <w:t>area</w:t>
      </w:r>
      <w:r>
        <w:rPr>
          <w:spacing w:val="-1"/>
        </w:rPr>
        <w:t> </w:t>
      </w:r>
      <w:r>
        <w:rPr/>
        <w:t>development</w:t>
      </w:r>
      <w:r>
        <w:rPr>
          <w:spacing w:val="-1"/>
        </w:rPr>
        <w:t> </w:t>
      </w:r>
      <w:r>
        <w:rPr/>
        <w:t>plan</w:t>
      </w:r>
      <w:r>
        <w:rPr>
          <w:spacing w:val="-1"/>
        </w:rPr>
        <w:t> </w:t>
      </w:r>
      <w:r>
        <w:rPr/>
        <w:t>to</w:t>
      </w:r>
      <w:r>
        <w:rPr>
          <w:spacing w:val="-1"/>
        </w:rPr>
        <w:t> </w:t>
      </w:r>
      <w:r>
        <w:rPr/>
        <w:t>the</w:t>
      </w:r>
      <w:r>
        <w:rPr>
          <w:spacing w:val="-1"/>
        </w:rPr>
        <w:t> </w:t>
      </w:r>
      <w:r>
        <w:rPr/>
        <w:t>central</w:t>
      </w:r>
      <w:r>
        <w:rPr>
          <w:spacing w:val="-1"/>
        </w:rPr>
        <w:t> </w:t>
      </w:r>
      <w:r>
        <w:rPr/>
        <w:t>government</w:t>
      </w:r>
      <w:r>
        <w:rPr>
          <w:spacing w:val="-1"/>
        </w:rPr>
        <w:t> </w:t>
      </w:r>
      <w:r>
        <w:rPr/>
        <w:t>and are currently awaiting a decision.</w:t>
      </w:r>
      <w:r>
        <w:rPr>
          <w:spacing w:val="-3"/>
        </w:rPr>
        <w:t> </w:t>
      </w:r>
      <w:r>
        <w:rPr/>
        <w:t>As it relates to BetMGM, we believe that BetMGM is positioned as a long-term leader in the U.S. online sports betting and iGaming</w:t>
      </w:r>
      <w:r>
        <w:rPr>
          <w:spacing w:val="-1"/>
        </w:rPr>
        <w:t> </w:t>
      </w:r>
      <w:r>
        <w:rPr/>
        <w:t>industries.</w:t>
      </w:r>
      <w:r>
        <w:rPr>
          <w:spacing w:val="-11"/>
        </w:rPr>
        <w:t> </w:t>
      </w:r>
      <w:r>
        <w:rPr/>
        <w:t>As</w:t>
      </w:r>
      <w:r>
        <w:rPr>
          <w:spacing w:val="-1"/>
        </w:rPr>
        <w:t> </w:t>
      </w:r>
      <w:r>
        <w:rPr/>
        <w:t>part</w:t>
      </w:r>
      <w:r>
        <w:rPr>
          <w:spacing w:val="-1"/>
        </w:rPr>
        <w:t> </w:t>
      </w:r>
      <w:r>
        <w:rPr/>
        <w:t>of</w:t>
      </w:r>
      <w:r>
        <w:rPr>
          <w:spacing w:val="-1"/>
        </w:rPr>
        <w:t> </w:t>
      </w:r>
      <w:r>
        <w:rPr/>
        <w:t>our</w:t>
      </w:r>
      <w:r>
        <w:rPr>
          <w:spacing w:val="-1"/>
        </w:rPr>
        <w:t> </w:t>
      </w:r>
      <w:r>
        <w:rPr/>
        <w:t>commitment</w:t>
      </w:r>
      <w:r>
        <w:rPr>
          <w:spacing w:val="-1"/>
        </w:rPr>
        <w:t> </w:t>
      </w:r>
      <w:r>
        <w:rPr/>
        <w:t>to</w:t>
      </w:r>
      <w:r>
        <w:rPr>
          <w:spacing w:val="-1"/>
        </w:rPr>
        <w:t> </w:t>
      </w:r>
      <w:r>
        <w:rPr/>
        <w:t>the</w:t>
      </w:r>
      <w:r>
        <w:rPr>
          <w:spacing w:val="-1"/>
        </w:rPr>
        <w:t> </w:t>
      </w:r>
      <w:r>
        <w:rPr/>
        <w:t>success</w:t>
      </w:r>
      <w:r>
        <w:rPr>
          <w:spacing w:val="-1"/>
        </w:rPr>
        <w:t> </w:t>
      </w:r>
      <w:r>
        <w:rPr/>
        <w:t>of</w:t>
      </w:r>
      <w:r>
        <w:rPr>
          <w:spacing w:val="-1"/>
        </w:rPr>
        <w:t> </w:t>
      </w:r>
      <w:r>
        <w:rPr/>
        <w:t>BetMGM,</w:t>
      </w:r>
      <w:r>
        <w:rPr>
          <w:spacing w:val="-1"/>
        </w:rPr>
        <w:t> </w:t>
      </w:r>
      <w:r>
        <w:rPr/>
        <w:t>we</w:t>
      </w:r>
      <w:r>
        <w:rPr>
          <w:spacing w:val="-1"/>
        </w:rPr>
        <w:t> </w:t>
      </w:r>
      <w:r>
        <w:rPr/>
        <w:t>have</w:t>
      </w:r>
      <w:r>
        <w:rPr>
          <w:spacing w:val="-1"/>
        </w:rPr>
        <w:t> </w:t>
      </w:r>
      <w:r>
        <w:rPr/>
        <w:t>integrated</w:t>
      </w:r>
      <w:r>
        <w:rPr>
          <w:spacing w:val="-1"/>
        </w:rPr>
        <w:t> </w:t>
      </w:r>
      <w:r>
        <w:rPr/>
        <w:t>our</w:t>
      </w:r>
      <w:r>
        <w:rPr>
          <w:spacing w:val="-1"/>
        </w:rPr>
        <w:t> </w:t>
      </w:r>
      <w:r>
        <w:rPr/>
        <w:t>MGM</w:t>
      </w:r>
      <w:r>
        <w:rPr>
          <w:spacing w:val="-1"/>
        </w:rPr>
        <w:t> </w:t>
      </w:r>
      <w:r>
        <w:rPr/>
        <w:t>Rewards</w:t>
      </w:r>
      <w:r>
        <w:rPr>
          <w:spacing w:val="-1"/>
        </w:rPr>
        <w:t> </w:t>
      </w:r>
      <w:r>
        <w:rPr/>
        <w:t>program</w:t>
      </w:r>
      <w:r>
        <w:rPr>
          <w:spacing w:val="-1"/>
        </w:rPr>
        <w:t> </w:t>
      </w:r>
      <w:r>
        <w:rPr/>
        <w:t>with</w:t>
      </w:r>
      <w:r>
        <w:rPr>
          <w:spacing w:val="-1"/>
        </w:rPr>
        <w:t> </w:t>
      </w:r>
      <w:r>
        <w:rPr/>
        <w:t>BetMGM</w:t>
      </w:r>
      <w:r>
        <w:rPr>
          <w:spacing w:val="-1"/>
        </w:rPr>
        <w:t> </w:t>
      </w:r>
      <w:r>
        <w:rPr/>
        <w:t>and</w:t>
      </w:r>
      <w:r>
        <w:rPr>
          <w:spacing w:val="-1"/>
        </w:rPr>
        <w:t> </w:t>
      </w:r>
      <w:r>
        <w:rPr/>
        <w:t>have</w:t>
      </w:r>
      <w:r>
        <w:rPr>
          <w:spacing w:val="-1"/>
        </w:rPr>
        <w:t> </w:t>
      </w:r>
      <w:r>
        <w:rPr/>
        <w:t>BetMGM branded on-property sportsbooks and kiosks to drive higher value customers at lower acquisition costs through a robust omni-channel strategy. Further, we continue to explore bringing full-scale commercial gaming to Empire City in New York. In January 2023, a request for application for three downstate commercial gaming licenses was released, to which we expect to respond.</w:t>
      </w:r>
    </w:p>
    <w:p>
      <w:pPr>
        <w:pStyle w:val="BodyText"/>
        <w:spacing w:before="20"/>
      </w:pPr>
    </w:p>
    <w:p>
      <w:pPr>
        <w:pStyle w:val="Heading5"/>
        <w:jc w:val="left"/>
      </w:pPr>
      <w:r>
        <w:rPr>
          <w:spacing w:val="-2"/>
        </w:rPr>
        <w:t>Technology</w:t>
      </w:r>
    </w:p>
    <w:p>
      <w:pPr>
        <w:pStyle w:val="BodyText"/>
        <w:spacing w:before="13"/>
        <w:rPr>
          <w:b/>
        </w:rPr>
      </w:pPr>
    </w:p>
    <w:p>
      <w:pPr>
        <w:pStyle w:val="BodyText"/>
        <w:spacing w:line="228" w:lineRule="auto"/>
        <w:ind w:left="144" w:right="118" w:firstLine="499"/>
        <w:jc w:val="both"/>
      </w:pPr>
      <w:r>
        <w:rPr/>
        <w:t>We believe technology, digital and advanced data science/analytics capabilities are critical to optimizing customer experience and loyalty, employee productivity and engagement, operational efficiency and revenue growth.</w:t>
      </w:r>
      <w:r>
        <w:rPr>
          <w:spacing w:val="-1"/>
        </w:rPr>
        <w:t> </w:t>
      </w:r>
      <w:r>
        <w:rPr/>
        <w:t>We are focused on using these capabilities to achieve specific goals of creating ‘only at MGM’ differentiation through unique content and</w:t>
      </w:r>
    </w:p>
    <w:p>
      <w:pPr>
        <w:pStyle w:val="BodyText"/>
      </w:pPr>
    </w:p>
    <w:p>
      <w:pPr>
        <w:pStyle w:val="BodyText"/>
        <w:spacing w:before="202"/>
      </w:pPr>
    </w:p>
    <w:p>
      <w:pPr>
        <w:pStyle w:val="BodyText"/>
        <w:spacing w:before="1"/>
        <w:ind w:left="24"/>
        <w:jc w:val="center"/>
      </w:pPr>
      <w:r>
        <w:rPr>
          <w:spacing w:val="-10"/>
        </w:rPr>
        <w:t>6</w:t>
      </w:r>
    </w:p>
    <w:p>
      <w:pPr>
        <w:pStyle w:val="BodyText"/>
        <w:spacing w:before="2"/>
        <w:rPr>
          <w:sz w:val="6"/>
        </w:rPr>
      </w:pPr>
      <w:r>
        <w:rPr/>
        <mc:AlternateContent>
          <mc:Choice Requires="wps">
            <w:drawing>
              <wp:anchor distT="0" distB="0" distL="0" distR="0" allowOverlap="1" layoutInCell="1" locked="0" behindDoc="1" simplePos="0" relativeHeight="487597056">
                <wp:simplePos x="0" y="0"/>
                <wp:positionH relativeFrom="page">
                  <wp:posOffset>231457</wp:posOffset>
                </wp:positionH>
                <wp:positionV relativeFrom="paragraph">
                  <wp:posOffset>60321</wp:posOffset>
                </wp:positionV>
                <wp:extent cx="7312659" cy="1714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7312659" cy="17145"/>
                          <a:chExt cx="7312659" cy="17145"/>
                        </a:xfrm>
                      </wpg:grpSpPr>
                      <wps:wsp>
                        <wps:cNvPr id="46" name="Graphic 4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7" name="Graphic 47"/>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8" name="Graphic 4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719424;mso-wrap-distance-left:0;mso-wrap-distance-right:0" id="docshapegroup44" coordorigin="364,95" coordsize="11516,27">
                <v:rect style="position:absolute;left:364;top:95;width:11516;height:14" id="docshape45" filled="true" fillcolor="#999999" stroked="false">
                  <v:fill type="solid"/>
                </v:rect>
                <v:shape style="position:absolute;left:364;top:95;width:11516;height:27" id="docshape46" coordorigin="364,95" coordsize="11516,27" path="m11880,95l11866,109,364,109,364,122,11866,122,11880,122,11880,109,11880,95xe" filled="true" fillcolor="#ededed" stroked="false">
                  <v:path arrowok="t"/>
                  <v:fill type="solid"/>
                </v:shape>
                <v:shape style="position:absolute;left:364;top:95;width:14;height:27" id="docshape47" coordorigin="364,95" coordsize="14,27" path="m364,122l364,95,378,95,378,108,364,122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32" w:lineRule="auto" w:before="74"/>
        <w:ind w:left="144" w:right="118"/>
        <w:jc w:val="both"/>
      </w:pPr>
      <w:r>
        <w:rPr/>
        <w:t>experiences, establishing a perennial engagement with our guests for increased loyalty, digital diversification through enhanced e-commerce and seamless integration of the physical integrated resorts business with digital casino and sports betting businesses, creating cross-property experiences and promotions </w:t>
      </w:r>
      <w:r>
        <w:rPr/>
        <w:t>in Las Vegas to provide much better value to the consumer, enhancing our data driven decisioning capabilities in all aspects of our business for faster decision making, and optimizing our operations and employee productivity and experience through digitization.</w:t>
      </w:r>
      <w:r>
        <w:rPr>
          <w:spacing w:val="-7"/>
        </w:rPr>
        <w:t> </w:t>
      </w:r>
      <w:r>
        <w:rPr/>
        <w:t>Additionally, this year we have deployed a new loyalty technology platform that allows customers to earn points through gaming and non-gaming activities, and we have enabled bundling technology capabilities to sell packages customized to a customer segment.</w:t>
      </w:r>
    </w:p>
    <w:p>
      <w:pPr>
        <w:pStyle w:val="BodyText"/>
        <w:spacing w:before="14"/>
      </w:pPr>
    </w:p>
    <w:p>
      <w:pPr>
        <w:pStyle w:val="Heading5"/>
        <w:spacing w:before="1"/>
        <w:jc w:val="left"/>
      </w:pPr>
      <w:r>
        <w:rPr/>
        <w:t>Environmental</w:t>
      </w:r>
      <w:r>
        <w:rPr>
          <w:spacing w:val="-5"/>
        </w:rPr>
        <w:t> </w:t>
      </w:r>
      <w:r>
        <w:rPr>
          <w:spacing w:val="-2"/>
        </w:rPr>
        <w:t>Sustainability</w:t>
      </w:r>
    </w:p>
    <w:p>
      <w:pPr>
        <w:pStyle w:val="BodyText"/>
        <w:spacing w:before="17"/>
        <w:rPr>
          <w:b/>
        </w:rPr>
      </w:pPr>
    </w:p>
    <w:p>
      <w:pPr>
        <w:pStyle w:val="BodyText"/>
        <w:spacing w:line="220" w:lineRule="auto" w:before="1"/>
        <w:ind w:left="144" w:right="118" w:firstLine="499"/>
        <w:jc w:val="both"/>
      </w:pPr>
      <w:r>
        <w:rPr/>
        <w:t>At MGM Resorts, we have had a long-standing commitment to environmental and social responsibility. For over a decade, we have had a </w:t>
      </w:r>
      <w:r>
        <w:rPr/>
        <w:t>dedicated board committee focused on Corporate Social Responsibility (“CSR”). In 2019, we had bolstered governance of these areas by uniting our key pillars of Diversity,</w:t>
      </w:r>
      <w:r>
        <w:rPr>
          <w:spacing w:val="-2"/>
        </w:rPr>
        <w:t> </w:t>
      </w:r>
      <w:r>
        <w:rPr/>
        <w:t>Equity</w:t>
      </w:r>
      <w:r>
        <w:rPr>
          <w:spacing w:val="-2"/>
        </w:rPr>
        <w:t> </w:t>
      </w:r>
      <w:r>
        <w:rPr/>
        <w:t>and</w:t>
      </w:r>
      <w:r>
        <w:rPr>
          <w:spacing w:val="-2"/>
        </w:rPr>
        <w:t> </w:t>
      </w:r>
      <w:r>
        <w:rPr/>
        <w:t>Inclusion,</w:t>
      </w:r>
      <w:r>
        <w:rPr>
          <w:spacing w:val="-2"/>
        </w:rPr>
        <w:t> </w:t>
      </w:r>
      <w:r>
        <w:rPr/>
        <w:t>Philanthropy</w:t>
      </w:r>
      <w:r>
        <w:rPr>
          <w:spacing w:val="-2"/>
        </w:rPr>
        <w:t> </w:t>
      </w:r>
      <w:r>
        <w:rPr/>
        <w:t>and</w:t>
      </w:r>
      <w:r>
        <w:rPr>
          <w:spacing w:val="-2"/>
        </w:rPr>
        <w:t> </w:t>
      </w:r>
      <w:r>
        <w:rPr/>
        <w:t>Community</w:t>
      </w:r>
      <w:r>
        <w:rPr>
          <w:spacing w:val="-2"/>
        </w:rPr>
        <w:t> </w:t>
      </w:r>
      <w:r>
        <w:rPr/>
        <w:t>Engagement</w:t>
      </w:r>
      <w:r>
        <w:rPr>
          <w:spacing w:val="-2"/>
        </w:rPr>
        <w:t> </w:t>
      </w:r>
      <w:r>
        <w:rPr/>
        <w:t>and</w:t>
      </w:r>
      <w:r>
        <w:rPr>
          <w:spacing w:val="-2"/>
        </w:rPr>
        <w:t> </w:t>
      </w:r>
      <w:r>
        <w:rPr/>
        <w:t>Environmental</w:t>
      </w:r>
      <w:r>
        <w:rPr>
          <w:spacing w:val="-2"/>
        </w:rPr>
        <w:t> </w:t>
      </w:r>
      <w:r>
        <w:rPr/>
        <w:t>Sustainability</w:t>
      </w:r>
      <w:r>
        <w:rPr>
          <w:spacing w:val="-2"/>
        </w:rPr>
        <w:t> </w:t>
      </w:r>
      <w:r>
        <w:rPr/>
        <w:t>under</w:t>
      </w:r>
      <w:r>
        <w:rPr>
          <w:spacing w:val="-2"/>
        </w:rPr>
        <w:t> </w:t>
      </w:r>
      <w:r>
        <w:rPr/>
        <w:t>one</w:t>
      </w:r>
      <w:r>
        <w:rPr>
          <w:spacing w:val="-2"/>
        </w:rPr>
        <w:t> </w:t>
      </w:r>
      <w:r>
        <w:rPr/>
        <w:t>Executive</w:t>
      </w:r>
      <w:r>
        <w:rPr>
          <w:spacing w:val="-2"/>
        </w:rPr>
        <w:t> </w:t>
      </w:r>
      <w:r>
        <w:rPr/>
        <w:t>Committee-level</w:t>
      </w:r>
      <w:r>
        <w:rPr>
          <w:spacing w:val="-2"/>
        </w:rPr>
        <w:t> </w:t>
      </w:r>
      <w:r>
        <w:rPr/>
        <w:t>leader</w:t>
      </w:r>
      <w:r>
        <w:rPr>
          <w:spacing w:val="-2"/>
        </w:rPr>
        <w:t> </w:t>
      </w:r>
      <w:r>
        <w:rPr/>
        <w:t>who manages the MGM Resorts Social Impact and Sustainability Center of Excellence, reports directly to the Chief Executive Officer and President, and serves as liaison to the CSR and Sustainability board committee. This leader also oversees the Human Resources function, and is thus able to integrate Environmental, Social and Governance (“ESG”) considerations more deeply into the core culture of our organization through proactive management of our human and social capital initiatives.</w:t>
      </w:r>
    </w:p>
    <w:p>
      <w:pPr>
        <w:spacing w:before="206"/>
        <w:ind w:left="511" w:right="0" w:firstLine="0"/>
        <w:jc w:val="left"/>
        <w:rPr>
          <w:i/>
          <w:sz w:val="18"/>
        </w:rPr>
      </w:pPr>
      <w:r>
        <w:rPr>
          <w:i/>
          <w:sz w:val="18"/>
        </w:rPr>
        <w:t>ESG</w:t>
      </w:r>
      <w:r>
        <w:rPr>
          <w:i/>
          <w:spacing w:val="-1"/>
          <w:sz w:val="18"/>
        </w:rPr>
        <w:t> </w:t>
      </w:r>
      <w:r>
        <w:rPr>
          <w:i/>
          <w:spacing w:val="-2"/>
          <w:sz w:val="18"/>
        </w:rPr>
        <w:t>Reporting</w:t>
      </w:r>
    </w:p>
    <w:p>
      <w:pPr>
        <w:pStyle w:val="BodyText"/>
        <w:spacing w:before="19"/>
        <w:rPr>
          <w:i/>
        </w:rPr>
      </w:pPr>
    </w:p>
    <w:p>
      <w:pPr>
        <w:pStyle w:val="BodyText"/>
        <w:spacing w:line="218" w:lineRule="auto"/>
        <w:ind w:left="144" w:right="118" w:firstLine="499"/>
        <w:jc w:val="both"/>
      </w:pPr>
      <w:r>
        <w:rPr/>
        <w:t>Throughout 2022, we continued our progress on key ESG initiatives and enhanced our disclosures, supporting our commitment to MGM’s Focused on What Matters platform and the UN Sustainable Development Goals. Our most recent Social Impact &amp; Sustainability Report built on the robust disclosures of 2021 to illustrate progress across our public social impact and sustainability goals, and we expect to publish a new report in 2023 detailing progress made in </w:t>
      </w:r>
      <w:r>
        <w:rPr>
          <w:spacing w:val="-2"/>
        </w:rPr>
        <w:t>2022.</w:t>
      </w:r>
    </w:p>
    <w:p>
      <w:pPr>
        <w:pStyle w:val="BodyText"/>
        <w:spacing w:before="22"/>
      </w:pPr>
    </w:p>
    <w:p>
      <w:pPr>
        <w:pStyle w:val="BodyText"/>
        <w:spacing w:line="223" w:lineRule="auto"/>
        <w:ind w:left="144" w:right="118" w:firstLine="499"/>
        <w:jc w:val="both"/>
      </w:pPr>
      <w:r>
        <w:rPr/>
        <w:t>Our reporting in 2022 contributed to the growing list of disclosures and frameworks to which we align with our first Task Force on Climate-related Financial Disclosures report (published in May 2022). This report adds to our work to publish disclosures aligned with the Global Reporting Initiative and Sustainability Accounting Standards Board Hotels &amp; Lodging and Casinos &amp; Gaming Sector Standards. As our catalog of reports aligned to leading ESG frameworks</w:t>
      </w:r>
      <w:r>
        <w:rPr>
          <w:spacing w:val="-1"/>
        </w:rPr>
        <w:t> </w:t>
      </w:r>
      <w:r>
        <w:rPr/>
        <w:t>has</w:t>
      </w:r>
      <w:r>
        <w:rPr>
          <w:spacing w:val="-1"/>
        </w:rPr>
        <w:t> </w:t>
      </w:r>
      <w:r>
        <w:rPr/>
        <w:t>grown,</w:t>
      </w:r>
      <w:r>
        <w:rPr>
          <w:spacing w:val="-1"/>
        </w:rPr>
        <w:t> </w:t>
      </w:r>
      <w:r>
        <w:rPr/>
        <w:t>we</w:t>
      </w:r>
      <w:r>
        <w:rPr>
          <w:spacing w:val="-1"/>
        </w:rPr>
        <w:t> </w:t>
      </w:r>
      <w:r>
        <w:rPr/>
        <w:t>have</w:t>
      </w:r>
      <w:r>
        <w:rPr>
          <w:spacing w:val="-1"/>
        </w:rPr>
        <w:t> </w:t>
      </w:r>
      <w:r>
        <w:rPr/>
        <w:t>updated</w:t>
      </w:r>
      <w:r>
        <w:rPr>
          <w:spacing w:val="-1"/>
        </w:rPr>
        <w:t> </w:t>
      </w:r>
      <w:r>
        <w:rPr/>
        <w:t>our</w:t>
      </w:r>
      <w:r>
        <w:rPr>
          <w:spacing w:val="-1"/>
        </w:rPr>
        <w:t> </w:t>
      </w:r>
      <w:r>
        <w:rPr/>
        <w:t>website</w:t>
      </w:r>
      <w:r>
        <w:rPr>
          <w:spacing w:val="-1"/>
        </w:rPr>
        <w:t> </w:t>
      </w:r>
      <w:r>
        <w:rPr/>
        <w:t>to</w:t>
      </w:r>
      <w:r>
        <w:rPr>
          <w:spacing w:val="-1"/>
        </w:rPr>
        <w:t> </w:t>
      </w:r>
      <w:r>
        <w:rPr/>
        <w:t>efficiently</w:t>
      </w:r>
      <w:r>
        <w:rPr>
          <w:spacing w:val="-1"/>
        </w:rPr>
        <w:t> </w:t>
      </w:r>
      <w:r>
        <w:rPr/>
        <w:t>present</w:t>
      </w:r>
      <w:r>
        <w:rPr>
          <w:spacing w:val="-1"/>
        </w:rPr>
        <w:t> </w:t>
      </w:r>
      <w:r>
        <w:rPr/>
        <w:t>these</w:t>
      </w:r>
      <w:r>
        <w:rPr>
          <w:spacing w:val="-1"/>
        </w:rPr>
        <w:t> </w:t>
      </w:r>
      <w:r>
        <w:rPr/>
        <w:t>disclosures</w:t>
      </w:r>
      <w:r>
        <w:rPr>
          <w:spacing w:val="-1"/>
        </w:rPr>
        <w:t> </w:t>
      </w:r>
      <w:r>
        <w:rPr/>
        <w:t>and</w:t>
      </w:r>
      <w:r>
        <w:rPr>
          <w:spacing w:val="-1"/>
        </w:rPr>
        <w:t> </w:t>
      </w:r>
      <w:r>
        <w:rPr/>
        <w:t>policies</w:t>
      </w:r>
      <w:r>
        <w:rPr>
          <w:spacing w:val="-1"/>
        </w:rPr>
        <w:t> </w:t>
      </w:r>
      <w:r>
        <w:rPr/>
        <w:t>at</w:t>
      </w:r>
      <w:r>
        <w:rPr>
          <w:spacing w:val="-1"/>
        </w:rPr>
        <w:t> </w:t>
      </w:r>
      <w:r>
        <w:rPr/>
        <w:t>mgmresorts.com/esg.</w:t>
      </w:r>
      <w:r>
        <w:rPr>
          <w:spacing w:val="-3"/>
        </w:rPr>
        <w:t> </w:t>
      </w:r>
      <w:r>
        <w:rPr/>
        <w:t>The</w:t>
      </w:r>
      <w:r>
        <w:rPr>
          <w:spacing w:val="-1"/>
        </w:rPr>
        <w:t> </w:t>
      </w:r>
      <w:r>
        <w:rPr/>
        <w:t>content</w:t>
      </w:r>
      <w:r>
        <w:rPr>
          <w:spacing w:val="-1"/>
        </w:rPr>
        <w:t> </w:t>
      </w:r>
      <w:r>
        <w:rPr/>
        <w:t>on</w:t>
      </w:r>
      <w:r>
        <w:rPr>
          <w:spacing w:val="-1"/>
        </w:rPr>
        <w:t> </w:t>
      </w:r>
      <w:r>
        <w:rPr/>
        <w:t>this</w:t>
      </w:r>
      <w:r>
        <w:rPr>
          <w:spacing w:val="-1"/>
        </w:rPr>
        <w:t> </w:t>
      </w:r>
      <w:r>
        <w:rPr/>
        <w:t>website</w:t>
      </w:r>
      <w:r>
        <w:rPr>
          <w:spacing w:val="-1"/>
        </w:rPr>
        <w:t> </w:t>
      </w:r>
      <w:r>
        <w:rPr/>
        <w:t>is for informational purposes only and such content is not incorporated by reference into this</w:t>
      </w:r>
      <w:r>
        <w:rPr>
          <w:spacing w:val="-3"/>
        </w:rPr>
        <w:t> </w:t>
      </w:r>
      <w:r>
        <w:rPr/>
        <w:t>Annual Report on Form 10-K.</w:t>
      </w:r>
    </w:p>
    <w:p>
      <w:pPr>
        <w:spacing w:before="200"/>
        <w:ind w:left="511" w:right="0" w:firstLine="0"/>
        <w:jc w:val="left"/>
        <w:rPr>
          <w:i/>
          <w:sz w:val="18"/>
        </w:rPr>
      </w:pPr>
      <w:r>
        <w:rPr>
          <w:i/>
          <w:sz w:val="18"/>
        </w:rPr>
        <w:t>Energy</w:t>
      </w:r>
      <w:r>
        <w:rPr>
          <w:i/>
          <w:spacing w:val="-5"/>
          <w:sz w:val="18"/>
        </w:rPr>
        <w:t> </w:t>
      </w:r>
      <w:r>
        <w:rPr>
          <w:i/>
          <w:sz w:val="18"/>
        </w:rPr>
        <w:t>&amp;</w:t>
      </w:r>
      <w:r>
        <w:rPr>
          <w:i/>
          <w:spacing w:val="-4"/>
          <w:sz w:val="18"/>
        </w:rPr>
        <w:t> </w:t>
      </w:r>
      <w:r>
        <w:rPr>
          <w:i/>
          <w:spacing w:val="-2"/>
          <w:sz w:val="18"/>
        </w:rPr>
        <w:t>Carbon</w:t>
      </w:r>
    </w:p>
    <w:p>
      <w:pPr>
        <w:pStyle w:val="BodyText"/>
        <w:spacing w:line="235" w:lineRule="auto" w:before="202"/>
        <w:ind w:left="144" w:right="118" w:firstLine="499"/>
        <w:jc w:val="both"/>
      </w:pPr>
      <w:r>
        <w:rPr/>
        <w:t>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was</w:t>
      </w:r>
      <w:r>
        <w:rPr>
          <w:spacing w:val="-1"/>
        </w:rPr>
        <w:t> </w:t>
      </w:r>
      <w:r>
        <w:rPr/>
        <w:t>the</w:t>
      </w:r>
      <w:r>
        <w:rPr>
          <w:spacing w:val="-1"/>
        </w:rPr>
        <w:t> </w:t>
      </w:r>
      <w:r>
        <w:rPr/>
        <w:t>first</w:t>
      </w:r>
      <w:r>
        <w:rPr>
          <w:spacing w:val="-1"/>
        </w:rPr>
        <w:t> </w:t>
      </w:r>
      <w:r>
        <w:rPr/>
        <w:t>full</w:t>
      </w:r>
      <w:r>
        <w:rPr>
          <w:spacing w:val="-1"/>
        </w:rPr>
        <w:t> </w:t>
      </w:r>
      <w:r>
        <w:rPr/>
        <w:t>calendar</w:t>
      </w:r>
      <w:r>
        <w:rPr>
          <w:spacing w:val="-1"/>
        </w:rPr>
        <w:t> </w:t>
      </w:r>
      <w:r>
        <w:rPr/>
        <w:t>year</w:t>
      </w:r>
      <w:r>
        <w:rPr>
          <w:spacing w:val="-1"/>
        </w:rPr>
        <w:t> </w:t>
      </w:r>
      <w:r>
        <w:rPr/>
        <w:t>of</w:t>
      </w:r>
      <w:r>
        <w:rPr>
          <w:spacing w:val="-1"/>
        </w:rPr>
        <w:t> </w:t>
      </w:r>
      <w:r>
        <w:rPr/>
        <w:t>operation</w:t>
      </w:r>
      <w:r>
        <w:rPr>
          <w:spacing w:val="-1"/>
        </w:rPr>
        <w:t> </w:t>
      </w:r>
      <w:r>
        <w:rPr/>
        <w:t>for</w:t>
      </w:r>
      <w:r>
        <w:rPr>
          <w:spacing w:val="-1"/>
        </w:rPr>
        <w:t> </w:t>
      </w:r>
      <w:r>
        <w:rPr/>
        <w:t>our</w:t>
      </w:r>
      <w:r>
        <w:rPr>
          <w:spacing w:val="-1"/>
        </w:rPr>
        <w:t> </w:t>
      </w:r>
      <w:r>
        <w:rPr/>
        <w:t>Mega</w:t>
      </w:r>
      <w:r>
        <w:rPr>
          <w:spacing w:val="-1"/>
        </w:rPr>
        <w:t> </w:t>
      </w:r>
      <w:r>
        <w:rPr/>
        <w:t>Solar</w:t>
      </w:r>
      <w:r>
        <w:rPr>
          <w:spacing w:val="-10"/>
        </w:rPr>
        <w:t> </w:t>
      </w:r>
      <w:r>
        <w:rPr/>
        <w:t>Array</w:t>
      </w:r>
      <w:r>
        <w:rPr>
          <w:spacing w:val="-1"/>
        </w:rPr>
        <w:t> </w:t>
      </w:r>
      <w:r>
        <w:rPr/>
        <w:t>(“Mega</w:t>
      </w:r>
      <w:r>
        <w:rPr>
          <w:spacing w:val="-10"/>
        </w:rPr>
        <w:t> </w:t>
      </w:r>
      <w:r>
        <w:rPr/>
        <w:t>Array”)</w:t>
      </w:r>
      <w:r>
        <w:rPr>
          <w:spacing w:val="-1"/>
        </w:rPr>
        <w:t> </w:t>
      </w:r>
      <w:r>
        <w:rPr/>
        <w:t>which,</w:t>
      </w:r>
      <w:r>
        <w:rPr>
          <w:spacing w:val="-1"/>
        </w:rPr>
        <w:t> </w:t>
      </w:r>
      <w:r>
        <w:rPr/>
        <w:t>on</w:t>
      </w:r>
      <w:r>
        <w:rPr>
          <w:spacing w:val="-1"/>
        </w:rPr>
        <w:t> </w:t>
      </w:r>
      <w:r>
        <w:rPr/>
        <w:t>average,</w:t>
      </w:r>
      <w:r>
        <w:rPr>
          <w:spacing w:val="-1"/>
        </w:rPr>
        <w:t> </w:t>
      </w:r>
      <w:r>
        <w:rPr/>
        <w:t>has</w:t>
      </w:r>
      <w:r>
        <w:rPr>
          <w:spacing w:val="-1"/>
        </w:rPr>
        <w:t> </w:t>
      </w:r>
      <w:r>
        <w:rPr/>
        <w:t>met</w:t>
      </w:r>
      <w:r>
        <w:rPr>
          <w:spacing w:val="-1"/>
        </w:rPr>
        <w:t> </w:t>
      </w:r>
      <w:r>
        <w:rPr/>
        <w:t>or exceeded our production expectations. We believe that the solar energy produced by the Mega</w:t>
      </w:r>
      <w:r>
        <w:rPr>
          <w:spacing w:val="-6"/>
        </w:rPr>
        <w:t> </w:t>
      </w:r>
      <w:r>
        <w:rPr/>
        <w:t>Array will play a key role in meeting our climate goals:</w:t>
      </w:r>
    </w:p>
    <w:p>
      <w:pPr>
        <w:pStyle w:val="ListParagraph"/>
        <w:numPr>
          <w:ilvl w:val="0"/>
          <w:numId w:val="1"/>
        </w:numPr>
        <w:tabs>
          <w:tab w:pos="792" w:val="left" w:leader="none"/>
        </w:tabs>
        <w:spacing w:line="198" w:lineRule="exact" w:before="198" w:after="0"/>
        <w:ind w:left="792" w:right="0" w:hanging="324"/>
        <w:jc w:val="left"/>
        <w:rPr>
          <w:sz w:val="18"/>
        </w:rPr>
      </w:pPr>
      <w:r>
        <w:rPr>
          <w:sz w:val="18"/>
        </w:rPr>
        <w:t>45%</w:t>
      </w:r>
      <w:r>
        <w:rPr>
          <w:spacing w:val="-1"/>
          <w:sz w:val="18"/>
        </w:rPr>
        <w:t> </w:t>
      </w:r>
      <w:r>
        <w:rPr>
          <w:sz w:val="18"/>
        </w:rPr>
        <w:t>reduction</w:t>
      </w:r>
      <w:r>
        <w:rPr>
          <w:spacing w:val="-1"/>
          <w:sz w:val="18"/>
        </w:rPr>
        <w:t> </w:t>
      </w:r>
      <w:r>
        <w:rPr>
          <w:sz w:val="18"/>
        </w:rPr>
        <w:t>in</w:t>
      </w:r>
      <w:r>
        <w:rPr>
          <w:spacing w:val="-1"/>
          <w:sz w:val="18"/>
        </w:rPr>
        <w:t> </w:t>
      </w:r>
      <w:r>
        <w:rPr>
          <w:sz w:val="18"/>
        </w:rPr>
        <w:t>Scope</w:t>
      </w:r>
      <w:r>
        <w:rPr>
          <w:spacing w:val="-1"/>
          <w:sz w:val="18"/>
        </w:rPr>
        <w:t> </w:t>
      </w:r>
      <w:r>
        <w:rPr>
          <w:sz w:val="18"/>
        </w:rPr>
        <w:t>1</w:t>
      </w:r>
      <w:r>
        <w:rPr>
          <w:spacing w:val="-1"/>
          <w:sz w:val="18"/>
        </w:rPr>
        <w:t> </w:t>
      </w:r>
      <w:r>
        <w:rPr>
          <w:sz w:val="18"/>
        </w:rPr>
        <w:t>&amp;</w:t>
      </w:r>
      <w:r>
        <w:rPr>
          <w:spacing w:val="-1"/>
          <w:sz w:val="18"/>
        </w:rPr>
        <w:t> </w:t>
      </w:r>
      <w:r>
        <w:rPr>
          <w:sz w:val="18"/>
        </w:rPr>
        <w:t>2</w:t>
      </w:r>
      <w:r>
        <w:rPr>
          <w:spacing w:val="-1"/>
          <w:sz w:val="18"/>
        </w:rPr>
        <w:t> </w:t>
      </w:r>
      <w:r>
        <w:rPr>
          <w:sz w:val="18"/>
        </w:rPr>
        <w:t>carbon</w:t>
      </w:r>
      <w:r>
        <w:rPr>
          <w:spacing w:val="-1"/>
          <w:sz w:val="18"/>
        </w:rPr>
        <w:t> </w:t>
      </w:r>
      <w:r>
        <w:rPr>
          <w:sz w:val="18"/>
        </w:rPr>
        <w:t>emissions</w:t>
      </w:r>
      <w:r>
        <w:rPr>
          <w:spacing w:val="-1"/>
          <w:sz w:val="18"/>
        </w:rPr>
        <w:t> </w:t>
      </w:r>
      <w:r>
        <w:rPr>
          <w:sz w:val="18"/>
        </w:rPr>
        <w:t>intensity</w:t>
      </w:r>
      <w:r>
        <w:rPr>
          <w:spacing w:val="-1"/>
          <w:sz w:val="18"/>
        </w:rPr>
        <w:t> </w:t>
      </w:r>
      <w:r>
        <w:rPr>
          <w:sz w:val="18"/>
        </w:rPr>
        <w:t>(pounds</w:t>
      </w:r>
      <w:r>
        <w:rPr>
          <w:spacing w:val="-1"/>
          <w:sz w:val="18"/>
        </w:rPr>
        <w:t> </w:t>
      </w:r>
      <w:r>
        <w:rPr>
          <w:sz w:val="18"/>
        </w:rPr>
        <w:t>of</w:t>
      </w:r>
      <w:r>
        <w:rPr>
          <w:spacing w:val="-1"/>
          <w:sz w:val="18"/>
        </w:rPr>
        <w:t> </w:t>
      </w:r>
      <w:r>
        <w:rPr>
          <w:sz w:val="18"/>
        </w:rPr>
        <w:t>carbon</w:t>
      </w:r>
      <w:r>
        <w:rPr>
          <w:spacing w:val="-1"/>
          <w:sz w:val="18"/>
        </w:rPr>
        <w:t> </w:t>
      </w:r>
      <w:r>
        <w:rPr>
          <w:sz w:val="18"/>
        </w:rPr>
        <w:t>dioxide</w:t>
      </w:r>
      <w:r>
        <w:rPr>
          <w:spacing w:val="-1"/>
          <w:sz w:val="18"/>
        </w:rPr>
        <w:t> </w:t>
      </w:r>
      <w:r>
        <w:rPr>
          <w:sz w:val="18"/>
        </w:rPr>
        <w:t>equivalent</w:t>
      </w:r>
      <w:r>
        <w:rPr>
          <w:spacing w:val="-1"/>
          <w:sz w:val="18"/>
        </w:rPr>
        <w:t> </w:t>
      </w:r>
      <w:r>
        <w:rPr>
          <w:sz w:val="18"/>
        </w:rPr>
        <w:t>per</w:t>
      </w:r>
      <w:r>
        <w:rPr>
          <w:spacing w:val="-1"/>
          <w:sz w:val="18"/>
        </w:rPr>
        <w:t> </w:t>
      </w:r>
      <w:r>
        <w:rPr>
          <w:sz w:val="18"/>
        </w:rPr>
        <w:t>square</w:t>
      </w:r>
      <w:r>
        <w:rPr>
          <w:spacing w:val="-1"/>
          <w:sz w:val="18"/>
        </w:rPr>
        <w:t> </w:t>
      </w:r>
      <w:r>
        <w:rPr>
          <w:sz w:val="18"/>
        </w:rPr>
        <w:t>foot;</w:t>
      </w:r>
      <w:r>
        <w:rPr>
          <w:spacing w:val="-1"/>
          <w:sz w:val="18"/>
        </w:rPr>
        <w:t> </w:t>
      </w:r>
      <w:r>
        <w:rPr>
          <w:sz w:val="18"/>
        </w:rPr>
        <w:t>2007</w:t>
      </w:r>
      <w:r>
        <w:rPr>
          <w:spacing w:val="-1"/>
          <w:sz w:val="18"/>
        </w:rPr>
        <w:t> </w:t>
      </w:r>
      <w:r>
        <w:rPr>
          <w:sz w:val="18"/>
        </w:rPr>
        <w:t>baseline)</w:t>
      </w:r>
      <w:r>
        <w:rPr>
          <w:spacing w:val="-1"/>
          <w:sz w:val="18"/>
        </w:rPr>
        <w:t> </w:t>
      </w:r>
      <w:r>
        <w:rPr>
          <w:sz w:val="18"/>
        </w:rPr>
        <w:t>by</w:t>
      </w:r>
      <w:r>
        <w:rPr>
          <w:spacing w:val="-1"/>
          <w:sz w:val="18"/>
        </w:rPr>
        <w:t> </w:t>
      </w:r>
      <w:r>
        <w:rPr>
          <w:spacing w:val="-2"/>
          <w:sz w:val="18"/>
        </w:rPr>
        <w:t>2025;</w:t>
      </w:r>
    </w:p>
    <w:p>
      <w:pPr>
        <w:pStyle w:val="ListParagraph"/>
        <w:numPr>
          <w:ilvl w:val="0"/>
          <w:numId w:val="1"/>
        </w:numPr>
        <w:tabs>
          <w:tab w:pos="792" w:val="left" w:leader="none"/>
        </w:tabs>
        <w:spacing w:line="189" w:lineRule="exact" w:before="0" w:after="0"/>
        <w:ind w:left="792" w:right="0" w:hanging="324"/>
        <w:jc w:val="left"/>
        <w:rPr>
          <w:sz w:val="18"/>
        </w:rPr>
      </w:pPr>
      <w:r>
        <w:rPr>
          <w:sz w:val="18"/>
        </w:rPr>
        <w:t>50%</w:t>
      </w:r>
      <w:r>
        <w:rPr>
          <w:spacing w:val="-1"/>
          <w:sz w:val="18"/>
        </w:rPr>
        <w:t> </w:t>
      </w:r>
      <w:r>
        <w:rPr>
          <w:sz w:val="18"/>
        </w:rPr>
        <w:t>reduction</w:t>
      </w:r>
      <w:r>
        <w:rPr>
          <w:spacing w:val="-1"/>
          <w:sz w:val="18"/>
        </w:rPr>
        <w:t> </w:t>
      </w:r>
      <w:r>
        <w:rPr>
          <w:sz w:val="18"/>
        </w:rPr>
        <w:t>in</w:t>
      </w:r>
      <w:r>
        <w:rPr>
          <w:spacing w:val="-1"/>
          <w:sz w:val="18"/>
        </w:rPr>
        <w:t> </w:t>
      </w:r>
      <w:r>
        <w:rPr>
          <w:sz w:val="18"/>
        </w:rPr>
        <w:t>absolute</w:t>
      </w:r>
      <w:r>
        <w:rPr>
          <w:spacing w:val="-1"/>
          <w:sz w:val="18"/>
        </w:rPr>
        <w:t> </w:t>
      </w:r>
      <w:r>
        <w:rPr>
          <w:sz w:val="18"/>
        </w:rPr>
        <w:t>Scope</w:t>
      </w:r>
      <w:r>
        <w:rPr>
          <w:spacing w:val="-1"/>
          <w:sz w:val="18"/>
        </w:rPr>
        <w:t> </w:t>
      </w:r>
      <w:r>
        <w:rPr>
          <w:sz w:val="18"/>
        </w:rPr>
        <w:t>1</w:t>
      </w:r>
      <w:r>
        <w:rPr>
          <w:spacing w:val="-1"/>
          <w:sz w:val="18"/>
        </w:rPr>
        <w:t> </w:t>
      </w:r>
      <w:r>
        <w:rPr>
          <w:sz w:val="18"/>
        </w:rPr>
        <w:t>&amp;</w:t>
      </w:r>
      <w:r>
        <w:rPr>
          <w:spacing w:val="-1"/>
          <w:sz w:val="18"/>
        </w:rPr>
        <w:t> </w:t>
      </w:r>
      <w:r>
        <w:rPr>
          <w:sz w:val="18"/>
        </w:rPr>
        <w:t>2</w:t>
      </w:r>
      <w:r>
        <w:rPr>
          <w:spacing w:val="-1"/>
          <w:sz w:val="18"/>
        </w:rPr>
        <w:t> </w:t>
      </w:r>
      <w:r>
        <w:rPr>
          <w:sz w:val="18"/>
        </w:rPr>
        <w:t>carbon</w:t>
      </w:r>
      <w:r>
        <w:rPr>
          <w:spacing w:val="-1"/>
          <w:sz w:val="18"/>
        </w:rPr>
        <w:t> </w:t>
      </w:r>
      <w:r>
        <w:rPr>
          <w:sz w:val="18"/>
        </w:rPr>
        <w:t>emissions</w:t>
      </w:r>
      <w:r>
        <w:rPr>
          <w:spacing w:val="-1"/>
          <w:sz w:val="18"/>
        </w:rPr>
        <w:t> </w:t>
      </w:r>
      <w:r>
        <w:rPr>
          <w:sz w:val="18"/>
        </w:rPr>
        <w:t>(metric</w:t>
      </w:r>
      <w:r>
        <w:rPr>
          <w:spacing w:val="-1"/>
          <w:sz w:val="18"/>
        </w:rPr>
        <w:t> </w:t>
      </w:r>
      <w:r>
        <w:rPr>
          <w:sz w:val="18"/>
        </w:rPr>
        <w:t>tons</w:t>
      </w:r>
      <w:r>
        <w:rPr>
          <w:spacing w:val="-1"/>
          <w:sz w:val="18"/>
        </w:rPr>
        <w:t> </w:t>
      </w:r>
      <w:r>
        <w:rPr>
          <w:sz w:val="18"/>
        </w:rPr>
        <w:t>of</w:t>
      </w:r>
      <w:r>
        <w:rPr>
          <w:spacing w:val="-1"/>
          <w:sz w:val="18"/>
        </w:rPr>
        <w:t> </w:t>
      </w:r>
      <w:r>
        <w:rPr>
          <w:sz w:val="18"/>
        </w:rPr>
        <w:t>carbon</w:t>
      </w:r>
      <w:r>
        <w:rPr>
          <w:spacing w:val="-1"/>
          <w:sz w:val="18"/>
        </w:rPr>
        <w:t> </w:t>
      </w:r>
      <w:r>
        <w:rPr>
          <w:sz w:val="18"/>
        </w:rPr>
        <w:t>dioxide</w:t>
      </w:r>
      <w:r>
        <w:rPr>
          <w:spacing w:val="-1"/>
          <w:sz w:val="18"/>
        </w:rPr>
        <w:t> </w:t>
      </w:r>
      <w:r>
        <w:rPr>
          <w:sz w:val="18"/>
        </w:rPr>
        <w:t>equivalent;</w:t>
      </w:r>
      <w:r>
        <w:rPr>
          <w:spacing w:val="-1"/>
          <w:sz w:val="18"/>
        </w:rPr>
        <w:t> </w:t>
      </w:r>
      <w:r>
        <w:rPr>
          <w:sz w:val="18"/>
        </w:rPr>
        <w:t>2019</w:t>
      </w:r>
      <w:r>
        <w:rPr>
          <w:spacing w:val="-1"/>
          <w:sz w:val="18"/>
        </w:rPr>
        <w:t> </w:t>
      </w:r>
      <w:r>
        <w:rPr>
          <w:sz w:val="18"/>
        </w:rPr>
        <w:t>baseline)</w:t>
      </w:r>
      <w:r>
        <w:rPr>
          <w:spacing w:val="-1"/>
          <w:sz w:val="18"/>
        </w:rPr>
        <w:t> </w:t>
      </w:r>
      <w:r>
        <w:rPr>
          <w:sz w:val="18"/>
        </w:rPr>
        <w:t>by</w:t>
      </w:r>
      <w:r>
        <w:rPr>
          <w:spacing w:val="-1"/>
          <w:sz w:val="18"/>
        </w:rPr>
        <w:t> </w:t>
      </w:r>
      <w:r>
        <w:rPr>
          <w:sz w:val="18"/>
        </w:rPr>
        <w:t>2030;</w:t>
      </w:r>
      <w:r>
        <w:rPr>
          <w:spacing w:val="-1"/>
          <w:sz w:val="18"/>
        </w:rPr>
        <w:t> </w:t>
      </w:r>
      <w:r>
        <w:rPr>
          <w:spacing w:val="-5"/>
          <w:sz w:val="18"/>
        </w:rPr>
        <w:t>and</w:t>
      </w:r>
    </w:p>
    <w:p>
      <w:pPr>
        <w:pStyle w:val="ListParagraph"/>
        <w:numPr>
          <w:ilvl w:val="0"/>
          <w:numId w:val="1"/>
        </w:numPr>
        <w:tabs>
          <w:tab w:pos="792" w:val="left" w:leader="none"/>
        </w:tabs>
        <w:spacing w:line="198" w:lineRule="exact" w:before="0" w:after="0"/>
        <w:ind w:left="792" w:right="0" w:hanging="324"/>
        <w:jc w:val="left"/>
        <w:rPr>
          <w:sz w:val="18"/>
        </w:rPr>
      </w:pPr>
      <w:r>
        <w:rPr>
          <w:sz w:val="18"/>
        </w:rPr>
        <w:t>100%</w:t>
      </w:r>
      <w:r>
        <w:rPr>
          <w:spacing w:val="-1"/>
          <w:sz w:val="18"/>
        </w:rPr>
        <w:t> </w:t>
      </w:r>
      <w:r>
        <w:rPr>
          <w:sz w:val="18"/>
        </w:rPr>
        <w:t>renewable</w:t>
      </w:r>
      <w:r>
        <w:rPr>
          <w:spacing w:val="-1"/>
          <w:sz w:val="18"/>
        </w:rPr>
        <w:t> </w:t>
      </w:r>
      <w:r>
        <w:rPr>
          <w:sz w:val="18"/>
        </w:rPr>
        <w:t>electricity</w:t>
      </w:r>
      <w:r>
        <w:rPr>
          <w:spacing w:val="-1"/>
          <w:sz w:val="18"/>
        </w:rPr>
        <w:t> </w:t>
      </w:r>
      <w:r>
        <w:rPr>
          <w:sz w:val="18"/>
        </w:rPr>
        <w:t>purchased</w:t>
      </w:r>
      <w:r>
        <w:rPr>
          <w:spacing w:val="-1"/>
          <w:sz w:val="18"/>
        </w:rPr>
        <w:t> </w:t>
      </w:r>
      <w:r>
        <w:rPr>
          <w:sz w:val="18"/>
        </w:rPr>
        <w:t>in</w:t>
      </w:r>
      <w:r>
        <w:rPr>
          <w:spacing w:val="-1"/>
          <w:sz w:val="18"/>
        </w:rPr>
        <w:t> </w:t>
      </w:r>
      <w:r>
        <w:rPr>
          <w:sz w:val="18"/>
        </w:rPr>
        <w:t>U.S.</w:t>
      </w:r>
      <w:r>
        <w:rPr>
          <w:spacing w:val="-1"/>
          <w:sz w:val="18"/>
        </w:rPr>
        <w:t> </w:t>
      </w:r>
      <w:r>
        <w:rPr>
          <w:sz w:val="18"/>
        </w:rPr>
        <w:t>and</w:t>
      </w:r>
      <w:r>
        <w:rPr>
          <w:spacing w:val="-1"/>
          <w:sz w:val="18"/>
        </w:rPr>
        <w:t> </w:t>
      </w:r>
      <w:r>
        <w:rPr>
          <w:sz w:val="18"/>
        </w:rPr>
        <w:t>80%</w:t>
      </w:r>
      <w:r>
        <w:rPr>
          <w:spacing w:val="-1"/>
          <w:sz w:val="18"/>
        </w:rPr>
        <w:t> </w:t>
      </w:r>
      <w:r>
        <w:rPr>
          <w:sz w:val="18"/>
        </w:rPr>
        <w:t>purchased</w:t>
      </w:r>
      <w:r>
        <w:rPr>
          <w:spacing w:val="-1"/>
          <w:sz w:val="18"/>
        </w:rPr>
        <w:t> </w:t>
      </w:r>
      <w:r>
        <w:rPr>
          <w:sz w:val="18"/>
        </w:rPr>
        <w:t>globally</w:t>
      </w:r>
      <w:r>
        <w:rPr>
          <w:spacing w:val="-1"/>
          <w:sz w:val="18"/>
        </w:rPr>
        <w:t> </w:t>
      </w:r>
      <w:r>
        <w:rPr>
          <w:sz w:val="18"/>
        </w:rPr>
        <w:t>by</w:t>
      </w:r>
      <w:r>
        <w:rPr>
          <w:spacing w:val="-1"/>
          <w:sz w:val="18"/>
        </w:rPr>
        <w:t> </w:t>
      </w:r>
      <w:r>
        <w:rPr>
          <w:spacing w:val="-2"/>
          <w:sz w:val="18"/>
        </w:rPr>
        <w:t>2030.</w:t>
      </w:r>
    </w:p>
    <w:p>
      <w:pPr>
        <w:pStyle w:val="BodyText"/>
        <w:spacing w:before="8"/>
      </w:pPr>
    </w:p>
    <w:p>
      <w:pPr>
        <w:pStyle w:val="BodyText"/>
        <w:spacing w:line="235" w:lineRule="auto"/>
        <w:ind w:left="144" w:right="118" w:firstLine="499"/>
        <w:jc w:val="both"/>
      </w:pPr>
      <w:r>
        <w:rPr/>
        <w:t>In addition, we have committed to reduce its value chain emissions with a goal to reduce carbon emissions across our significant Scope 3 categories by 30% by 2030.</w:t>
      </w:r>
    </w:p>
    <w:p>
      <w:pPr>
        <w:spacing w:before="198"/>
        <w:ind w:left="511" w:right="0" w:firstLine="0"/>
        <w:jc w:val="left"/>
        <w:rPr>
          <w:i/>
          <w:sz w:val="18"/>
        </w:rPr>
      </w:pPr>
      <w:r>
        <w:rPr>
          <w:i/>
          <w:spacing w:val="-2"/>
          <w:sz w:val="18"/>
        </w:rPr>
        <w:t>Water</w:t>
      </w:r>
    </w:p>
    <w:p>
      <w:pPr>
        <w:pStyle w:val="BodyText"/>
        <w:spacing w:before="17"/>
        <w:rPr>
          <w:i/>
        </w:rPr>
      </w:pPr>
    </w:p>
    <w:p>
      <w:pPr>
        <w:pStyle w:val="BodyText"/>
        <w:spacing w:line="223" w:lineRule="auto"/>
        <w:ind w:left="144" w:right="118" w:firstLine="499"/>
        <w:jc w:val="both"/>
      </w:pPr>
      <w:r>
        <w:rPr/>
        <w:t>We are committed to using water responsibly across our operations and supply chain and we aim to drive long-term water efficiency by optimizing</w:t>
      </w:r>
      <w:r>
        <w:rPr>
          <w:spacing w:val="40"/>
        </w:rPr>
        <w:t> </w:t>
      </w:r>
      <w:r>
        <w:rPr/>
        <w:t>water systems and implementing water conservation measures. In 2022, we developed a global water policy to codify our commitment to water </w:t>
      </w:r>
      <w:r>
        <w:rPr/>
        <w:t>stewardship</w:t>
      </w:r>
      <w:r>
        <w:rPr>
          <w:spacing w:val="40"/>
        </w:rPr>
        <w:t> </w:t>
      </w:r>
      <w:r>
        <w:rPr/>
        <w:t>and a strategic framework for addressing water use. In addition, we enhanced our water-related disclosures by participating in the 2022 CDP Water Security Questionnaire and achieved an “A”, CDP’s highest score.</w:t>
      </w:r>
    </w:p>
    <w:p>
      <w:pPr>
        <w:pStyle w:val="BodyText"/>
        <w:spacing w:before="10"/>
      </w:pPr>
    </w:p>
    <w:p>
      <w:pPr>
        <w:pStyle w:val="Heading5"/>
        <w:jc w:val="left"/>
      </w:pPr>
      <w:r>
        <w:rPr>
          <w:spacing w:val="-2"/>
        </w:rPr>
        <w:t>Trademarks</w:t>
      </w:r>
    </w:p>
    <w:p>
      <w:pPr>
        <w:pStyle w:val="BodyText"/>
        <w:spacing w:before="4"/>
        <w:rPr>
          <w:b/>
        </w:rPr>
      </w:pPr>
    </w:p>
    <w:p>
      <w:pPr>
        <w:pStyle w:val="BodyText"/>
        <w:spacing w:before="1"/>
        <w:ind w:left="144" w:right="118" w:firstLine="499"/>
        <w:jc w:val="both"/>
      </w:pPr>
      <w:r>
        <w:rPr/>
        <w:t>Our principal intellectual property consists of trademarks for, among others,</w:t>
      </w:r>
      <w:r>
        <w:rPr>
          <w:spacing w:val="-4"/>
        </w:rPr>
        <w:t> </w:t>
      </w:r>
      <w:r>
        <w:rPr/>
        <w:t>Aria, Vdara, Bellagio, The Cosmopolitan, Borgata, Mandalay Bay, </w:t>
      </w:r>
      <w:r>
        <w:rPr/>
        <w:t>MGM, MGM</w:t>
      </w:r>
      <w:r>
        <w:rPr>
          <w:spacing w:val="-6"/>
        </w:rPr>
        <w:t> </w:t>
      </w:r>
      <w:r>
        <w:rPr/>
        <w:t>Grand,</w:t>
      </w:r>
      <w:r>
        <w:rPr>
          <w:spacing w:val="-6"/>
        </w:rPr>
        <w:t> </w:t>
      </w:r>
      <w:r>
        <w:rPr/>
        <w:t>MGM</w:t>
      </w:r>
      <w:r>
        <w:rPr>
          <w:spacing w:val="-6"/>
        </w:rPr>
        <w:t> </w:t>
      </w:r>
      <w:r>
        <w:rPr/>
        <w:t>Resorts</w:t>
      </w:r>
      <w:r>
        <w:rPr>
          <w:spacing w:val="-6"/>
        </w:rPr>
        <w:t> </w:t>
      </w:r>
      <w:r>
        <w:rPr/>
        <w:t>International,</w:t>
      </w:r>
      <w:r>
        <w:rPr>
          <w:spacing w:val="-6"/>
        </w:rPr>
        <w:t> </w:t>
      </w:r>
      <w:r>
        <w:rPr/>
        <w:t>Luxor,</w:t>
      </w:r>
      <w:r>
        <w:rPr>
          <w:spacing w:val="-6"/>
        </w:rPr>
        <w:t> </w:t>
      </w:r>
      <w:r>
        <w:rPr/>
        <w:t>Excalibur,</w:t>
      </w:r>
      <w:r>
        <w:rPr>
          <w:spacing w:val="-6"/>
        </w:rPr>
        <w:t> </w:t>
      </w:r>
      <w:r>
        <w:rPr/>
        <w:t>New</w:t>
      </w:r>
      <w:r>
        <w:rPr>
          <w:spacing w:val="-12"/>
        </w:rPr>
        <w:t> </w:t>
      </w:r>
      <w:r>
        <w:rPr/>
        <w:t>York-New</w:t>
      </w:r>
      <w:r>
        <w:rPr>
          <w:spacing w:val="-11"/>
        </w:rPr>
        <w:t> </w:t>
      </w:r>
      <w:r>
        <w:rPr/>
        <w:t>York,</w:t>
      </w:r>
      <w:r>
        <w:rPr>
          <w:spacing w:val="-5"/>
        </w:rPr>
        <w:t> </w:t>
      </w:r>
      <w:r>
        <w:rPr/>
        <w:t>Beau</w:t>
      </w:r>
      <w:r>
        <w:rPr>
          <w:spacing w:val="-6"/>
        </w:rPr>
        <w:t> </w:t>
      </w:r>
      <w:r>
        <w:rPr/>
        <w:t>Rivage,</w:t>
      </w:r>
      <w:r>
        <w:rPr>
          <w:spacing w:val="-6"/>
        </w:rPr>
        <w:t> </w:t>
      </w:r>
      <w:r>
        <w:rPr/>
        <w:t>Empire</w:t>
      </w:r>
      <w:r>
        <w:rPr>
          <w:spacing w:val="-6"/>
        </w:rPr>
        <w:t> </w:t>
      </w:r>
      <w:r>
        <w:rPr/>
        <w:t>City,</w:t>
      </w:r>
      <w:r>
        <w:rPr>
          <w:spacing w:val="-6"/>
        </w:rPr>
        <w:t> </w:t>
      </w:r>
      <w:r>
        <w:rPr/>
        <w:t>and</w:t>
      </w:r>
      <w:r>
        <w:rPr>
          <w:spacing w:val="-6"/>
        </w:rPr>
        <w:t> </w:t>
      </w:r>
      <w:r>
        <w:rPr/>
        <w:t>LeoVegas,</w:t>
      </w:r>
      <w:r>
        <w:rPr>
          <w:spacing w:val="-6"/>
        </w:rPr>
        <w:t> </w:t>
      </w:r>
      <w:r>
        <w:rPr/>
        <w:t>all</w:t>
      </w:r>
      <w:r>
        <w:rPr>
          <w:spacing w:val="-6"/>
        </w:rPr>
        <w:t> </w:t>
      </w:r>
      <w:r>
        <w:rPr/>
        <w:t>of</w:t>
      </w:r>
      <w:r>
        <w:rPr>
          <w:spacing w:val="-6"/>
        </w:rPr>
        <w:t> </w:t>
      </w:r>
      <w:r>
        <w:rPr/>
        <w:t>which</w:t>
      </w:r>
      <w:r>
        <w:rPr>
          <w:spacing w:val="-6"/>
        </w:rPr>
        <w:t> </w:t>
      </w:r>
      <w:r>
        <w:rPr/>
        <w:t>have</w:t>
      </w:r>
      <w:r>
        <w:rPr>
          <w:spacing w:val="-6"/>
        </w:rPr>
        <w:t> </w:t>
      </w:r>
      <w:r>
        <w:rPr/>
        <w:t>been</w:t>
      </w:r>
      <w:r>
        <w:rPr>
          <w:spacing w:val="-6"/>
        </w:rPr>
        <w:t> </w:t>
      </w:r>
      <w:r>
        <w:rPr/>
        <w:t>registered or allowed in various classes in the United States and Europe, as applicable. In addition, we have also registered or applied to register numerous other trademarks, such as The Mirage, in connection with our properties, facilities and development projects in the United States</w:t>
      </w:r>
    </w:p>
    <w:p>
      <w:pPr>
        <w:pStyle w:val="BodyText"/>
      </w:pPr>
    </w:p>
    <w:p>
      <w:pPr>
        <w:pStyle w:val="BodyText"/>
        <w:spacing w:before="188"/>
      </w:pPr>
    </w:p>
    <w:p>
      <w:pPr>
        <w:pStyle w:val="BodyText"/>
        <w:spacing w:before="1"/>
        <w:ind w:left="24"/>
        <w:jc w:val="center"/>
      </w:pPr>
      <w:r>
        <w:rPr>
          <w:spacing w:val="-10"/>
        </w:rPr>
        <w:t>7</w:t>
      </w:r>
    </w:p>
    <w:p>
      <w:pPr>
        <w:pStyle w:val="BodyText"/>
        <w:spacing w:before="3"/>
        <w:rPr>
          <w:sz w:val="6"/>
        </w:rPr>
      </w:pPr>
      <w:r>
        <w:rPr/>
        <mc:AlternateContent>
          <mc:Choice Requires="wps">
            <w:drawing>
              <wp:anchor distT="0" distB="0" distL="0" distR="0" allowOverlap="1" layoutInCell="1" locked="0" behindDoc="1" simplePos="0" relativeHeight="487597568">
                <wp:simplePos x="0" y="0"/>
                <wp:positionH relativeFrom="page">
                  <wp:posOffset>231457</wp:posOffset>
                </wp:positionH>
                <wp:positionV relativeFrom="paragraph">
                  <wp:posOffset>60985</wp:posOffset>
                </wp:positionV>
                <wp:extent cx="7312659" cy="1714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7312659" cy="17145"/>
                          <a:chExt cx="7312659" cy="17145"/>
                        </a:xfrm>
                      </wpg:grpSpPr>
                      <wps:wsp>
                        <wps:cNvPr id="50" name="Graphic 5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1" name="Graphic 51"/>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2" name="Graphic 5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203pt;width:575.8pt;height:1.35pt;mso-position-horizontal-relative:page;mso-position-vertical-relative:paragraph;z-index:-15718912;mso-wrap-distance-left:0;mso-wrap-distance-right:0" id="docshapegroup48" coordorigin="364,96" coordsize="11516,27">
                <v:rect style="position:absolute;left:364;top:96;width:11516;height:14" id="docshape49" filled="true" fillcolor="#999999" stroked="false">
                  <v:fill type="solid"/>
                </v:rect>
                <v:shape style="position:absolute;left:364;top:96;width:11516;height:27" id="docshape50" coordorigin="364,96" coordsize="11516,27" path="m11880,96l11866,110,364,110,364,123,11866,123,11880,123,11880,110,11880,96xe" filled="true" fillcolor="#ededed" stroked="false">
                  <v:path arrowok="t"/>
                  <v:fill type="solid"/>
                </v:shape>
                <v:shape style="position:absolute;left:364;top:96;width:14;height:27" id="docshape51"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37" w:lineRule="auto" w:before="64"/>
        <w:ind w:left="144" w:right="118"/>
        <w:jc w:val="both"/>
      </w:pPr>
      <w:r>
        <w:rPr/>
        <w:t>and in various other foreign jurisdictions. These trademarks are brand names under which we market our properties and services. We consider these brand names</w:t>
      </w:r>
      <w:r>
        <w:rPr>
          <w:spacing w:val="-1"/>
        </w:rPr>
        <w:t> </w:t>
      </w:r>
      <w:r>
        <w:rPr/>
        <w:t>to</w:t>
      </w:r>
      <w:r>
        <w:rPr>
          <w:spacing w:val="-1"/>
        </w:rPr>
        <w:t> </w:t>
      </w:r>
      <w:r>
        <w:rPr/>
        <w:t>be</w:t>
      </w:r>
      <w:r>
        <w:rPr>
          <w:spacing w:val="-1"/>
        </w:rPr>
        <w:t> </w:t>
      </w:r>
      <w:r>
        <w:rPr/>
        <w:t>important</w:t>
      </w:r>
      <w:r>
        <w:rPr>
          <w:spacing w:val="-1"/>
        </w:rPr>
        <w:t> </w:t>
      </w:r>
      <w:r>
        <w:rPr/>
        <w:t>to</w:t>
      </w:r>
      <w:r>
        <w:rPr>
          <w:spacing w:val="-1"/>
        </w:rPr>
        <w:t> </w:t>
      </w:r>
      <w:r>
        <w:rPr/>
        <w:t>our</w:t>
      </w:r>
      <w:r>
        <w:rPr>
          <w:spacing w:val="-1"/>
        </w:rPr>
        <w:t> </w:t>
      </w:r>
      <w:r>
        <w:rPr/>
        <w:t>business</w:t>
      </w:r>
      <w:r>
        <w:rPr>
          <w:spacing w:val="-1"/>
        </w:rPr>
        <w:t> </w:t>
      </w:r>
      <w:r>
        <w:rPr/>
        <w:t>since</w:t>
      </w:r>
      <w:r>
        <w:rPr>
          <w:spacing w:val="-1"/>
        </w:rPr>
        <w:t> </w:t>
      </w:r>
      <w:r>
        <w:rPr/>
        <w:t>they</w:t>
      </w:r>
      <w:r>
        <w:rPr>
          <w:spacing w:val="-1"/>
        </w:rPr>
        <w:t> </w:t>
      </w:r>
      <w:r>
        <w:rPr/>
        <w:t>have</w:t>
      </w:r>
      <w:r>
        <w:rPr>
          <w:spacing w:val="-1"/>
        </w:rPr>
        <w:t> </w:t>
      </w:r>
      <w:r>
        <w:rPr/>
        <w:t>the</w:t>
      </w:r>
      <w:r>
        <w:rPr>
          <w:spacing w:val="-1"/>
        </w:rPr>
        <w:t> </w:t>
      </w:r>
      <w:r>
        <w:rPr/>
        <w:t>effect</w:t>
      </w:r>
      <w:r>
        <w:rPr>
          <w:spacing w:val="-1"/>
        </w:rPr>
        <w:t> </w:t>
      </w:r>
      <w:r>
        <w:rPr/>
        <w:t>of</w:t>
      </w:r>
      <w:r>
        <w:rPr>
          <w:spacing w:val="-1"/>
        </w:rPr>
        <w:t> </w:t>
      </w:r>
      <w:r>
        <w:rPr/>
        <w:t>developing</w:t>
      </w:r>
      <w:r>
        <w:rPr>
          <w:spacing w:val="-1"/>
        </w:rPr>
        <w:t> </w:t>
      </w:r>
      <w:r>
        <w:rPr/>
        <w:t>brand</w:t>
      </w:r>
      <w:r>
        <w:rPr>
          <w:spacing w:val="-1"/>
        </w:rPr>
        <w:t> </w:t>
      </w:r>
      <w:r>
        <w:rPr/>
        <w:t>identification.</w:t>
      </w:r>
      <w:r>
        <w:rPr>
          <w:spacing w:val="-4"/>
        </w:rPr>
        <w:t> </w:t>
      </w:r>
      <w:r>
        <w:rPr/>
        <w:t>We</w:t>
      </w:r>
      <w:r>
        <w:rPr>
          <w:spacing w:val="-1"/>
        </w:rPr>
        <w:t> </w:t>
      </w:r>
      <w:r>
        <w:rPr/>
        <w:t>believe</w:t>
      </w:r>
      <w:r>
        <w:rPr>
          <w:spacing w:val="-1"/>
        </w:rPr>
        <w:t> </w:t>
      </w:r>
      <w:r>
        <w:rPr/>
        <w:t>that</w:t>
      </w:r>
      <w:r>
        <w:rPr>
          <w:spacing w:val="-1"/>
        </w:rPr>
        <w:t> </w:t>
      </w:r>
      <w:r>
        <w:rPr/>
        <w:t>the</w:t>
      </w:r>
      <w:r>
        <w:rPr>
          <w:spacing w:val="-1"/>
        </w:rPr>
        <w:t> </w:t>
      </w:r>
      <w:r>
        <w:rPr/>
        <w:t>name</w:t>
      </w:r>
      <w:r>
        <w:rPr>
          <w:spacing w:val="-1"/>
        </w:rPr>
        <w:t> </w:t>
      </w:r>
      <w:r>
        <w:rPr/>
        <w:t>recognition,</w:t>
      </w:r>
      <w:r>
        <w:rPr>
          <w:spacing w:val="-1"/>
        </w:rPr>
        <w:t> </w:t>
      </w:r>
      <w:r>
        <w:rPr/>
        <w:t>reputation</w:t>
      </w:r>
      <w:r>
        <w:rPr>
          <w:spacing w:val="-1"/>
        </w:rPr>
        <w:t> </w:t>
      </w:r>
      <w:r>
        <w:rPr/>
        <w:t>and</w:t>
      </w:r>
      <w:r>
        <w:rPr>
          <w:spacing w:val="-1"/>
        </w:rPr>
        <w:t> </w:t>
      </w:r>
      <w:r>
        <w:rPr/>
        <w:t>image that we have developed attract customers to our facilities. Once granted, our trademark registrations are of perpetual duration so long as they are used and periodically</w:t>
      </w:r>
      <w:r>
        <w:rPr>
          <w:spacing w:val="-1"/>
        </w:rPr>
        <w:t> </w:t>
      </w:r>
      <w:r>
        <w:rPr/>
        <w:t>renewed.</w:t>
      </w:r>
      <w:r>
        <w:rPr>
          <w:spacing w:val="-1"/>
        </w:rPr>
        <w:t> </w:t>
      </w:r>
      <w:r>
        <w:rPr/>
        <w:t>It</w:t>
      </w:r>
      <w:r>
        <w:rPr>
          <w:spacing w:val="-1"/>
        </w:rPr>
        <w:t> </w:t>
      </w:r>
      <w:r>
        <w:rPr/>
        <w:t>is</w:t>
      </w:r>
      <w:r>
        <w:rPr>
          <w:spacing w:val="-1"/>
        </w:rPr>
        <w:t> </w:t>
      </w:r>
      <w:r>
        <w:rPr/>
        <w:t>our</w:t>
      </w:r>
      <w:r>
        <w:rPr>
          <w:spacing w:val="-1"/>
        </w:rPr>
        <w:t> </w:t>
      </w:r>
      <w:r>
        <w:rPr/>
        <w:t>intent</w:t>
      </w:r>
      <w:r>
        <w:rPr>
          <w:spacing w:val="-1"/>
        </w:rPr>
        <w:t> </w:t>
      </w:r>
      <w:r>
        <w:rPr/>
        <w:t>to</w:t>
      </w:r>
      <w:r>
        <w:rPr>
          <w:spacing w:val="-1"/>
        </w:rPr>
        <w:t> </w:t>
      </w:r>
      <w:r>
        <w:rPr/>
        <w:t>pursue</w:t>
      </w:r>
      <w:r>
        <w:rPr>
          <w:spacing w:val="-1"/>
        </w:rPr>
        <w:t> </w:t>
      </w:r>
      <w:r>
        <w:rPr/>
        <w:t>and</w:t>
      </w:r>
      <w:r>
        <w:rPr>
          <w:spacing w:val="-1"/>
        </w:rPr>
        <w:t> </w:t>
      </w:r>
      <w:r>
        <w:rPr/>
        <w:t>maintain</w:t>
      </w:r>
      <w:r>
        <w:rPr>
          <w:spacing w:val="-1"/>
        </w:rPr>
        <w:t> </w:t>
      </w:r>
      <w:r>
        <w:rPr/>
        <w:t>our</w:t>
      </w:r>
      <w:r>
        <w:rPr>
          <w:spacing w:val="-1"/>
        </w:rPr>
        <w:t> </w:t>
      </w:r>
      <w:r>
        <w:rPr/>
        <w:t>trademark</w:t>
      </w:r>
      <w:r>
        <w:rPr>
          <w:spacing w:val="-1"/>
        </w:rPr>
        <w:t> </w:t>
      </w:r>
      <w:r>
        <w:rPr/>
        <w:t>registrations</w:t>
      </w:r>
      <w:r>
        <w:rPr>
          <w:spacing w:val="-1"/>
        </w:rPr>
        <w:t> </w:t>
      </w:r>
      <w:r>
        <w:rPr/>
        <w:t>consistent</w:t>
      </w:r>
      <w:r>
        <w:rPr>
          <w:spacing w:val="-1"/>
        </w:rPr>
        <w:t> </w:t>
      </w:r>
      <w:r>
        <w:rPr/>
        <w:t>with</w:t>
      </w:r>
      <w:r>
        <w:rPr>
          <w:spacing w:val="-1"/>
        </w:rPr>
        <w:t> </w:t>
      </w:r>
      <w:r>
        <w:rPr/>
        <w:t>our</w:t>
      </w:r>
      <w:r>
        <w:rPr>
          <w:spacing w:val="-1"/>
        </w:rPr>
        <w:t> </w:t>
      </w:r>
      <w:r>
        <w:rPr/>
        <w:t>goals</w:t>
      </w:r>
      <w:r>
        <w:rPr>
          <w:spacing w:val="-1"/>
        </w:rPr>
        <w:t> </w:t>
      </w:r>
      <w:r>
        <w:rPr/>
        <w:t>for</w:t>
      </w:r>
      <w:r>
        <w:rPr>
          <w:spacing w:val="-1"/>
        </w:rPr>
        <w:t> </w:t>
      </w:r>
      <w:r>
        <w:rPr/>
        <w:t>brand</w:t>
      </w:r>
      <w:r>
        <w:rPr>
          <w:spacing w:val="-1"/>
        </w:rPr>
        <w:t> </w:t>
      </w:r>
      <w:r>
        <w:rPr/>
        <w:t>development</w:t>
      </w:r>
      <w:r>
        <w:rPr>
          <w:spacing w:val="-1"/>
        </w:rPr>
        <w:t> </w:t>
      </w:r>
      <w:r>
        <w:rPr/>
        <w:t>and</w:t>
      </w:r>
      <w:r>
        <w:rPr>
          <w:spacing w:val="-1"/>
        </w:rPr>
        <w:t> </w:t>
      </w:r>
      <w:r>
        <w:rPr/>
        <w:t>identification,</w:t>
      </w:r>
      <w:r>
        <w:rPr>
          <w:spacing w:val="-1"/>
        </w:rPr>
        <w:t> </w:t>
      </w:r>
      <w:r>
        <w:rPr/>
        <w:t>and enforcement of our trademark rights.</w:t>
      </w:r>
    </w:p>
    <w:p>
      <w:pPr>
        <w:pStyle w:val="BodyText"/>
        <w:spacing w:before="9"/>
      </w:pPr>
    </w:p>
    <w:p>
      <w:pPr>
        <w:pStyle w:val="Heading5"/>
        <w:jc w:val="both"/>
      </w:pPr>
      <w:r>
        <w:rPr/>
        <w:t>Human</w:t>
      </w:r>
      <w:r>
        <w:rPr>
          <w:spacing w:val="-1"/>
        </w:rPr>
        <w:t> </w:t>
      </w:r>
      <w:r>
        <w:rPr>
          <w:spacing w:val="-2"/>
        </w:rPr>
        <w:t>Capital</w:t>
      </w:r>
    </w:p>
    <w:p>
      <w:pPr>
        <w:pStyle w:val="BodyText"/>
        <w:spacing w:before="18"/>
        <w:rPr>
          <w:b/>
        </w:rPr>
      </w:pPr>
    </w:p>
    <w:p>
      <w:pPr>
        <w:pStyle w:val="BodyText"/>
        <w:spacing w:line="220" w:lineRule="auto"/>
        <w:ind w:left="144" w:right="118" w:firstLine="499"/>
        <w:jc w:val="both"/>
      </w:pPr>
      <w:r>
        <w:rPr/>
        <w:t>We are focused on fostering a people-driven culture exemplified by how we lead and uphold the following core values: Captivate Our</w:t>
      </w:r>
      <w:r>
        <w:rPr>
          <w:spacing w:val="-10"/>
        </w:rPr>
        <w:t> </w:t>
      </w:r>
      <w:r>
        <w:rPr/>
        <w:t>Audience, Inspire Excellence, Champion Inclusion, and Win Together, to create an engaged and diverse workforce. Our long-term people strategy is designed to enhance </w:t>
      </w:r>
      <w:r>
        <w:rPr/>
        <w:t>talent attraction and development to support business objectives, guest experience, community engagement, and financial goals. Our workforce development strategies support local hiring and developing a robust workforce in the local communities in which we operate through veteran support, community training and employment, fulfilling local hiring commitments (where applicable), and through internship and management development programs. In response to labor demands and agile staffing requirements, we have significantly streamlined our recruitment processes for faster sourcing and recruitment to meet business and operational needs.</w:t>
      </w:r>
    </w:p>
    <w:p>
      <w:pPr>
        <w:pStyle w:val="BodyText"/>
        <w:spacing w:before="26"/>
      </w:pPr>
    </w:p>
    <w:p>
      <w:pPr>
        <w:spacing w:before="0"/>
        <w:ind w:left="394" w:right="0" w:firstLine="0"/>
        <w:jc w:val="left"/>
        <w:rPr>
          <w:i/>
          <w:sz w:val="18"/>
        </w:rPr>
      </w:pPr>
      <w:r>
        <w:rPr>
          <w:i/>
          <w:sz w:val="18"/>
        </w:rPr>
        <w:t>Growth</w:t>
      </w:r>
      <w:r>
        <w:rPr>
          <w:i/>
          <w:spacing w:val="-5"/>
          <w:sz w:val="18"/>
        </w:rPr>
        <w:t> </w:t>
      </w:r>
      <w:r>
        <w:rPr>
          <w:i/>
          <w:sz w:val="18"/>
        </w:rPr>
        <w:t>and</w:t>
      </w:r>
      <w:r>
        <w:rPr>
          <w:i/>
          <w:spacing w:val="-4"/>
          <w:sz w:val="18"/>
        </w:rPr>
        <w:t> </w:t>
      </w:r>
      <w:r>
        <w:rPr>
          <w:i/>
          <w:spacing w:val="-2"/>
          <w:sz w:val="18"/>
        </w:rPr>
        <w:t>Development</w:t>
      </w:r>
    </w:p>
    <w:p>
      <w:pPr>
        <w:pStyle w:val="BodyText"/>
        <w:spacing w:before="3"/>
        <w:rPr>
          <w:i/>
        </w:rPr>
      </w:pPr>
    </w:p>
    <w:p>
      <w:pPr>
        <w:pStyle w:val="BodyText"/>
        <w:spacing w:line="223" w:lineRule="auto"/>
        <w:ind w:left="144" w:right="118" w:firstLine="499"/>
        <w:jc w:val="both"/>
      </w:pPr>
      <w:r>
        <w:rPr/>
        <w:t>We invest significant resources to develop the talent needed, now and in the future, to continue to be a premier employer of choice across the gaming, hospitality, and entertainment industries. We are committed to a culture of continuous learning where employees, at all levels, are engaged in developing their knowledge, skills, and abilities and we support the long-term career aspirations of our employees through education and professional/personal development.</w:t>
      </w:r>
      <w:r>
        <w:rPr>
          <w:spacing w:val="40"/>
        </w:rPr>
        <w:t> </w:t>
      </w:r>
      <w:r>
        <w:rPr/>
        <w:t>We</w:t>
      </w:r>
      <w:r>
        <w:rPr>
          <w:spacing w:val="-3"/>
        </w:rPr>
        <w:t> </w:t>
      </w:r>
      <w:r>
        <w:rPr/>
        <w:t>continue</w:t>
      </w:r>
      <w:r>
        <w:rPr>
          <w:spacing w:val="-3"/>
        </w:rPr>
        <w:t> </w:t>
      </w:r>
      <w:r>
        <w:rPr/>
        <w:t>to</w:t>
      </w:r>
      <w:r>
        <w:rPr>
          <w:spacing w:val="-3"/>
        </w:rPr>
        <w:t> </w:t>
      </w:r>
      <w:r>
        <w:rPr/>
        <w:t>introduce</w:t>
      </w:r>
      <w:r>
        <w:rPr>
          <w:spacing w:val="-3"/>
        </w:rPr>
        <w:t> </w:t>
      </w:r>
      <w:r>
        <w:rPr/>
        <w:t>new</w:t>
      </w:r>
      <w:r>
        <w:rPr>
          <w:spacing w:val="-3"/>
        </w:rPr>
        <w:t> </w:t>
      </w:r>
      <w:r>
        <w:rPr/>
        <w:t>learning</w:t>
      </w:r>
      <w:r>
        <w:rPr>
          <w:spacing w:val="-3"/>
        </w:rPr>
        <w:t> </w:t>
      </w:r>
      <w:r>
        <w:rPr/>
        <w:t>and</w:t>
      </w:r>
      <w:r>
        <w:rPr>
          <w:spacing w:val="-3"/>
        </w:rPr>
        <w:t> </w:t>
      </w:r>
      <w:r>
        <w:rPr/>
        <w:t>development</w:t>
      </w:r>
      <w:r>
        <w:rPr>
          <w:spacing w:val="-3"/>
        </w:rPr>
        <w:t> </w:t>
      </w:r>
      <w:r>
        <w:rPr/>
        <w:t>initiatives</w:t>
      </w:r>
      <w:r>
        <w:rPr>
          <w:spacing w:val="-3"/>
        </w:rPr>
        <w:t> </w:t>
      </w:r>
      <w:r>
        <w:rPr/>
        <w:t>focused</w:t>
      </w:r>
      <w:r>
        <w:rPr>
          <w:spacing w:val="-3"/>
        </w:rPr>
        <w:t> </w:t>
      </w:r>
      <w:r>
        <w:rPr/>
        <w:t>on</w:t>
      </w:r>
      <w:r>
        <w:rPr>
          <w:spacing w:val="-3"/>
        </w:rPr>
        <w:t> </w:t>
      </w:r>
      <w:r>
        <w:rPr/>
        <w:t>a</w:t>
      </w:r>
      <w:r>
        <w:rPr>
          <w:spacing w:val="-3"/>
        </w:rPr>
        <w:t> </w:t>
      </w:r>
      <w:r>
        <w:rPr/>
        <w:t>broad</w:t>
      </w:r>
      <w:r>
        <w:rPr>
          <w:spacing w:val="-3"/>
        </w:rPr>
        <w:t> </w:t>
      </w:r>
      <w:r>
        <w:rPr/>
        <w:t>range</w:t>
      </w:r>
      <w:r>
        <w:rPr>
          <w:spacing w:val="-3"/>
        </w:rPr>
        <w:t> </w:t>
      </w:r>
      <w:r>
        <w:rPr/>
        <w:t>of</w:t>
      </w:r>
      <w:r>
        <w:rPr>
          <w:spacing w:val="-3"/>
        </w:rPr>
        <w:t> </w:t>
      </w:r>
      <w:r>
        <w:rPr/>
        <w:t>employee</w:t>
      </w:r>
      <w:r>
        <w:rPr>
          <w:spacing w:val="-3"/>
        </w:rPr>
        <w:t> </w:t>
      </w:r>
      <w:r>
        <w:rPr/>
        <w:t>segments.</w:t>
      </w:r>
      <w:r>
        <w:rPr>
          <w:spacing w:val="-6"/>
        </w:rPr>
        <w:t> </w:t>
      </w:r>
      <w:r>
        <w:rPr/>
        <w:t>We</w:t>
      </w:r>
      <w:r>
        <w:rPr>
          <w:spacing w:val="-3"/>
        </w:rPr>
        <w:t> </w:t>
      </w:r>
      <w:r>
        <w:rPr/>
        <w:t>offer</w:t>
      </w:r>
      <w:r>
        <w:rPr>
          <w:spacing w:val="-3"/>
        </w:rPr>
        <w:t> </w:t>
      </w:r>
      <w:r>
        <w:rPr/>
        <w:t>tuition</w:t>
      </w:r>
      <w:r>
        <w:rPr>
          <w:spacing w:val="-3"/>
        </w:rPr>
        <w:t> </w:t>
      </w:r>
      <w:r>
        <w:rPr/>
        <w:t>reimbursement,</w:t>
      </w:r>
      <w:r>
        <w:rPr>
          <w:spacing w:val="-3"/>
        </w:rPr>
        <w:t> </w:t>
      </w:r>
      <w:r>
        <w:rPr/>
        <w:t>contribute toward student loan debt repayment, and have partnered with the Nevada System of Higher Education to allow employees to earn a degree online free of</w:t>
      </w:r>
      <w:r>
        <w:rPr>
          <w:spacing w:val="40"/>
        </w:rPr>
        <w:t> </w:t>
      </w:r>
      <w:r>
        <w:rPr/>
        <w:t>charge for all credit hours. Over the past year we have introduced several new talent management and development initiatives including a sabbatical program for our director level and above employees and enhanced employee recognition and onboarding programs applicable across all levels.</w:t>
      </w:r>
    </w:p>
    <w:p>
      <w:pPr>
        <w:pStyle w:val="BodyText"/>
        <w:spacing w:before="13"/>
      </w:pPr>
    </w:p>
    <w:p>
      <w:pPr>
        <w:spacing w:before="0"/>
        <w:ind w:left="394" w:right="0" w:firstLine="0"/>
        <w:jc w:val="left"/>
        <w:rPr>
          <w:i/>
          <w:sz w:val="18"/>
        </w:rPr>
      </w:pPr>
      <w:r>
        <w:rPr>
          <w:i/>
          <w:sz w:val="18"/>
        </w:rPr>
        <w:t>Diversity,</w:t>
      </w:r>
      <w:r>
        <w:rPr>
          <w:i/>
          <w:spacing w:val="-6"/>
          <w:sz w:val="18"/>
        </w:rPr>
        <w:t> </w:t>
      </w:r>
      <w:r>
        <w:rPr>
          <w:i/>
          <w:sz w:val="18"/>
        </w:rPr>
        <w:t>Equity,</w:t>
      </w:r>
      <w:r>
        <w:rPr>
          <w:i/>
          <w:spacing w:val="-6"/>
          <w:sz w:val="18"/>
        </w:rPr>
        <w:t> </w:t>
      </w:r>
      <w:r>
        <w:rPr>
          <w:i/>
          <w:sz w:val="18"/>
        </w:rPr>
        <w:t>and</w:t>
      </w:r>
      <w:r>
        <w:rPr>
          <w:i/>
          <w:spacing w:val="-6"/>
          <w:sz w:val="18"/>
        </w:rPr>
        <w:t> </w:t>
      </w:r>
      <w:r>
        <w:rPr>
          <w:i/>
          <w:sz w:val="18"/>
        </w:rPr>
        <w:t>Inclusion</w:t>
      </w:r>
      <w:r>
        <w:rPr>
          <w:i/>
          <w:spacing w:val="-6"/>
          <w:sz w:val="18"/>
        </w:rPr>
        <w:t> </w:t>
      </w:r>
      <w:r>
        <w:rPr>
          <w:i/>
          <w:spacing w:val="-2"/>
          <w:sz w:val="18"/>
        </w:rPr>
        <w:t>(“DE&amp;I”)</w:t>
      </w:r>
    </w:p>
    <w:p>
      <w:pPr>
        <w:pStyle w:val="BodyText"/>
        <w:spacing w:before="3"/>
        <w:rPr>
          <w:i/>
        </w:rPr>
      </w:pPr>
    </w:p>
    <w:p>
      <w:pPr>
        <w:pStyle w:val="BodyText"/>
        <w:spacing w:line="223" w:lineRule="auto"/>
        <w:ind w:left="144" w:right="118" w:firstLine="499"/>
        <w:jc w:val="both"/>
      </w:pPr>
      <w:r>
        <w:rPr/>
        <w:t>Our approach to DE&amp;I is anchored by our corporate and people strategies and a social impact and sustainability approach that centers on embracing humanity. A comprehensive framework lays out four strategic pillars to guide our work: invest in people; build an inclusive culture; grow business </w:t>
      </w:r>
      <w:r>
        <w:rPr/>
        <w:t>and customer engagement and supplier diversity; and enhance marketplace leadership and community relations.</w:t>
      </w:r>
      <w:r>
        <w:rPr>
          <w:spacing w:val="-8"/>
        </w:rPr>
        <w:t> </w:t>
      </w:r>
      <w:r>
        <w:rPr/>
        <w:t>As part of our commitment, we have committed to the following four long-range 2025 goals: (1) ensure that all employees have equal access to leadership opportunities, (2) spend at least 10% of our biddable procurement with diverse suppliers, (3) expand our Supplier Diversity Mentorship Program to achieve 150 graduates and (4) train 100% of management employees on social impact and sustainability policies and goals. In connection with each goal, we have established robust key performance indicators, which are tracked and published in our annual Social Impact and Sustainability Report and reviewed internally with management and our CSR &amp; Sustainability Committee of the Board of Directors. In addition, we have detailed internal Human Capital workforce reports, which include demographic and diversity data, and are reviewed with the CSR &amp; Sustainability Committee of the Board, executive management, and leadership teams on a regular basis.</w:t>
      </w:r>
    </w:p>
    <w:p>
      <w:pPr>
        <w:pStyle w:val="BodyText"/>
        <w:spacing w:before="23"/>
      </w:pPr>
    </w:p>
    <w:p>
      <w:pPr>
        <w:pStyle w:val="BodyText"/>
        <w:spacing w:line="235" w:lineRule="auto"/>
        <w:ind w:left="144" w:right="118" w:firstLine="499"/>
        <w:jc w:val="both"/>
      </w:pPr>
      <w:r>
        <w:rPr/>
        <w:t>Internally, we use multiple channels to facilitate communication and to continuously advance one of our core values, Champion Inclusion.</w:t>
      </w:r>
      <w:r>
        <w:rPr>
          <w:spacing w:val="-4"/>
        </w:rPr>
        <w:t> </w:t>
      </w:r>
      <w:r>
        <w:rPr/>
        <w:t>The </w:t>
      </w:r>
      <w:r>
        <w:rPr/>
        <w:t>channels include but are not limited to open forums with executives, employee engagement surveys with detailed action planning, and employee network groups.</w:t>
      </w:r>
    </w:p>
    <w:p>
      <w:pPr>
        <w:pStyle w:val="BodyText"/>
        <w:spacing w:before="3"/>
      </w:pPr>
    </w:p>
    <w:p>
      <w:pPr>
        <w:pStyle w:val="BodyText"/>
        <w:spacing w:line="223" w:lineRule="auto"/>
        <w:ind w:left="144" w:right="118" w:firstLine="499"/>
        <w:jc w:val="both"/>
      </w:pPr>
      <w:r>
        <w:rPr/>
        <w:t>Work in the area of diversity, equity, and inclusion is advanced through a range of programs and initiatives which include employee education </w:t>
      </w:r>
      <w:r>
        <w:rPr/>
        <w:t>and training, community partnerships, recruitment and talent development, advocacy, engagement and outreach and through internal groups like our Supplier Diversity and ESG task forces. Responsibility is driven and led by our Chief People, Inclusion and Sustainability Officer, who reports directly to the Chief Executive Officer and President, and is supported by a centralized Diversity and Inclusion team and the Human Resources department.</w:t>
      </w:r>
    </w:p>
    <w:p>
      <w:pPr>
        <w:pStyle w:val="BodyText"/>
      </w:pPr>
    </w:p>
    <w:p>
      <w:pPr>
        <w:pStyle w:val="BodyText"/>
      </w:pPr>
    </w:p>
    <w:p>
      <w:pPr>
        <w:pStyle w:val="BodyText"/>
        <w:spacing w:before="204"/>
      </w:pPr>
    </w:p>
    <w:p>
      <w:pPr>
        <w:pStyle w:val="BodyText"/>
        <w:ind w:left="24"/>
        <w:jc w:val="center"/>
      </w:pPr>
      <w:r>
        <w:rPr>
          <w:spacing w:val="-10"/>
        </w:rPr>
        <w:t>8</w:t>
      </w:r>
    </w:p>
    <w:p>
      <w:pPr>
        <w:pStyle w:val="BodyText"/>
        <w:spacing w:before="3"/>
        <w:rPr>
          <w:sz w:val="6"/>
        </w:rPr>
      </w:pPr>
      <w:r>
        <w:rPr/>
        <mc:AlternateContent>
          <mc:Choice Requires="wps">
            <w:drawing>
              <wp:anchor distT="0" distB="0" distL="0" distR="0" allowOverlap="1" layoutInCell="1" locked="0" behindDoc="1" simplePos="0" relativeHeight="487598080">
                <wp:simplePos x="0" y="0"/>
                <wp:positionH relativeFrom="page">
                  <wp:posOffset>231457</wp:posOffset>
                </wp:positionH>
                <wp:positionV relativeFrom="paragraph">
                  <wp:posOffset>60956</wp:posOffset>
                </wp:positionV>
                <wp:extent cx="7312659" cy="1714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7312659" cy="17145"/>
                          <a:chExt cx="7312659" cy="17145"/>
                        </a:xfrm>
                      </wpg:grpSpPr>
                      <wps:wsp>
                        <wps:cNvPr id="54" name="Graphic 5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5" name="Graphic 55"/>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6" name="Graphic 5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8400;mso-wrap-distance-left:0;mso-wrap-distance-right:0" id="docshapegroup52" coordorigin="364,96" coordsize="11516,27">
                <v:rect style="position:absolute;left:364;top:96;width:11516;height:14" id="docshape53" filled="true" fillcolor="#999999" stroked="false">
                  <v:fill type="solid"/>
                </v:rect>
                <v:shape style="position:absolute;left:364;top:96;width:11516;height:27" id="docshape54" coordorigin="364,96" coordsize="11516,27" path="m11880,96l11866,110,364,110,364,123,11866,123,11880,123,11880,110,11880,96xe" filled="true" fillcolor="#ededed" stroked="false">
                  <v:path arrowok="t"/>
                  <v:fill type="solid"/>
                </v:shape>
                <v:shape style="position:absolute;left:364;top:96;width:14;height:27" id="docshape5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spacing w:before="63"/>
        <w:ind w:left="394" w:right="0" w:firstLine="0"/>
        <w:jc w:val="left"/>
        <w:rPr>
          <w:i/>
          <w:sz w:val="18"/>
        </w:rPr>
      </w:pPr>
      <w:r>
        <w:rPr>
          <w:i/>
          <w:sz w:val="18"/>
        </w:rPr>
        <w:t>Health,</w:t>
      </w:r>
      <w:r>
        <w:rPr>
          <w:i/>
          <w:spacing w:val="-5"/>
          <w:sz w:val="18"/>
        </w:rPr>
        <w:t> </w:t>
      </w:r>
      <w:r>
        <w:rPr>
          <w:i/>
          <w:sz w:val="18"/>
        </w:rPr>
        <w:t>Safety,</w:t>
      </w:r>
      <w:r>
        <w:rPr>
          <w:i/>
          <w:spacing w:val="-4"/>
          <w:sz w:val="18"/>
        </w:rPr>
        <w:t> </w:t>
      </w:r>
      <w:r>
        <w:rPr>
          <w:i/>
          <w:sz w:val="18"/>
        </w:rPr>
        <w:t>and</w:t>
      </w:r>
      <w:r>
        <w:rPr>
          <w:i/>
          <w:spacing w:val="-4"/>
          <w:sz w:val="18"/>
        </w:rPr>
        <w:t> </w:t>
      </w:r>
      <w:r>
        <w:rPr>
          <w:i/>
          <w:spacing w:val="-2"/>
          <w:sz w:val="18"/>
        </w:rPr>
        <w:t>Wellness</w:t>
      </w:r>
    </w:p>
    <w:p>
      <w:pPr>
        <w:pStyle w:val="BodyText"/>
        <w:spacing w:before="2"/>
        <w:rPr>
          <w:i/>
        </w:rPr>
      </w:pPr>
    </w:p>
    <w:p>
      <w:pPr>
        <w:pStyle w:val="BodyText"/>
        <w:spacing w:line="223" w:lineRule="auto"/>
        <w:ind w:left="144" w:right="118" w:firstLine="499"/>
        <w:jc w:val="both"/>
      </w:pPr>
      <w:r>
        <w:rPr/>
        <w:t>To promote our culture of overall employee health and wellness we provide benefits, tools and resources to help maintain or improve </w:t>
      </w:r>
      <w:r>
        <w:rPr/>
        <w:t>physical, emotional, and financial health. We continue to align benefit offerings to the needs of a diverse workforce across an expanded regional presence and leverage innovative digital solutions to expand access to health and wellness resources, including the recent launch of the World of Wellbeing (WOW), our holistic approach that focuses on the whole person. In addition, in 2022, we continued to ensure our employees’</w:t>
      </w:r>
      <w:r>
        <w:rPr>
          <w:spacing w:val="-6"/>
        </w:rPr>
        <w:t> </w:t>
      </w:r>
      <w:r>
        <w:rPr/>
        <w:t>continued health, safety, and wellness in response to </w:t>
      </w:r>
      <w:r>
        <w:rPr>
          <w:spacing w:val="-2"/>
        </w:rPr>
        <w:t>COVID-19.</w:t>
      </w:r>
    </w:p>
    <w:p>
      <w:pPr>
        <w:pStyle w:val="BodyText"/>
        <w:spacing w:before="7"/>
      </w:pPr>
    </w:p>
    <w:p>
      <w:pPr>
        <w:spacing w:before="0"/>
        <w:ind w:left="394" w:right="0" w:firstLine="0"/>
        <w:jc w:val="left"/>
        <w:rPr>
          <w:i/>
          <w:sz w:val="18"/>
        </w:rPr>
      </w:pPr>
      <w:r>
        <w:rPr>
          <w:i/>
          <w:sz w:val="18"/>
        </w:rPr>
        <w:t>Community</w:t>
      </w:r>
      <w:r>
        <w:rPr>
          <w:i/>
          <w:spacing w:val="-3"/>
          <w:sz w:val="18"/>
        </w:rPr>
        <w:t> </w:t>
      </w:r>
      <w:r>
        <w:rPr>
          <w:i/>
          <w:sz w:val="18"/>
        </w:rPr>
        <w:t>Engagement</w:t>
      </w:r>
      <w:r>
        <w:rPr>
          <w:i/>
          <w:spacing w:val="-1"/>
          <w:sz w:val="18"/>
        </w:rPr>
        <w:t> </w:t>
      </w:r>
      <w:r>
        <w:rPr>
          <w:i/>
          <w:sz w:val="18"/>
        </w:rPr>
        <w:t>and</w:t>
      </w:r>
      <w:r>
        <w:rPr>
          <w:i/>
          <w:spacing w:val="-1"/>
          <w:sz w:val="18"/>
        </w:rPr>
        <w:t> </w:t>
      </w:r>
      <w:r>
        <w:rPr>
          <w:i/>
          <w:spacing w:val="-2"/>
          <w:sz w:val="18"/>
        </w:rPr>
        <w:t>Philanthropy</w:t>
      </w:r>
    </w:p>
    <w:p>
      <w:pPr>
        <w:pStyle w:val="BodyText"/>
        <w:spacing w:before="20"/>
        <w:rPr>
          <w:i/>
        </w:rPr>
      </w:pPr>
    </w:p>
    <w:p>
      <w:pPr>
        <w:pStyle w:val="BodyText"/>
        <w:spacing w:line="237" w:lineRule="auto"/>
        <w:ind w:left="144" w:right="118" w:firstLine="499"/>
        <w:jc w:val="both"/>
      </w:pPr>
      <w:r>
        <w:rPr/>
        <w:t>Our philanthropic focus centers around: </w:t>
      </w:r>
      <w:r>
        <w:rPr>
          <w:i/>
        </w:rPr>
        <w:t>Embracing Humanity and Protecting the Planet</w:t>
      </w:r>
      <w:r>
        <w:rPr/>
        <w:t>. We organize our major programs and initiatives under </w:t>
      </w:r>
      <w:r>
        <w:rPr/>
        <w:t>the pillars of </w:t>
      </w:r>
      <w:r>
        <w:rPr>
          <w:i/>
        </w:rPr>
        <w:t>caring for one another </w:t>
      </w:r>
      <w:r>
        <w:rPr/>
        <w:t>and </w:t>
      </w:r>
      <w:r>
        <w:rPr>
          <w:i/>
        </w:rPr>
        <w:t>investing in our communities</w:t>
      </w:r>
      <w:r>
        <w:rPr/>
        <w:t>. We established the MGM Resorts Foundation in 2002 as an engagement opportunity for employees to contribute to charitable causes, which provides two types of grants (1) the Employee Emergency Grant, which benefits our employees, and (2)</w:t>
      </w:r>
      <w:r>
        <w:rPr>
          <w:spacing w:val="40"/>
        </w:rPr>
        <w:t> </w:t>
      </w:r>
      <w:r>
        <w:rPr/>
        <w:t>the Community Grant, which benefits local communities. We endeavor to care for our communities through volunteerism and philanthropy and encourage all our employees to volunteer through a variety of programs. In addition, we offer opportunities for our employees to give back to their communities, including through programs such as VolunteerREWARDS, which provides employees with opportunities to earn grant money to the non-profit of choice based on volunteer hours.</w:t>
      </w:r>
    </w:p>
    <w:p>
      <w:pPr>
        <w:pStyle w:val="BodyText"/>
        <w:spacing w:before="17"/>
      </w:pPr>
    </w:p>
    <w:p>
      <w:pPr>
        <w:spacing w:before="0"/>
        <w:ind w:left="394" w:right="0" w:firstLine="0"/>
        <w:jc w:val="left"/>
        <w:rPr>
          <w:i/>
          <w:sz w:val="18"/>
        </w:rPr>
      </w:pPr>
      <w:r>
        <w:rPr>
          <w:i/>
          <w:sz w:val="18"/>
        </w:rPr>
        <w:t>Employees</w:t>
      </w:r>
      <w:r>
        <w:rPr>
          <w:i/>
          <w:spacing w:val="-1"/>
          <w:sz w:val="18"/>
        </w:rPr>
        <w:t> </w:t>
      </w:r>
      <w:r>
        <w:rPr>
          <w:i/>
          <w:sz w:val="18"/>
        </w:rPr>
        <w:t>and</w:t>
      </w:r>
      <w:r>
        <w:rPr>
          <w:i/>
          <w:spacing w:val="-1"/>
          <w:sz w:val="18"/>
        </w:rPr>
        <w:t> </w:t>
      </w:r>
      <w:r>
        <w:rPr>
          <w:i/>
          <w:sz w:val="18"/>
        </w:rPr>
        <w:t>Labor</w:t>
      </w:r>
      <w:r>
        <w:rPr>
          <w:i/>
          <w:spacing w:val="-1"/>
          <w:sz w:val="18"/>
        </w:rPr>
        <w:t> </w:t>
      </w:r>
      <w:r>
        <w:rPr>
          <w:i/>
          <w:spacing w:val="-2"/>
          <w:sz w:val="18"/>
        </w:rPr>
        <w:t>Relations</w:t>
      </w:r>
    </w:p>
    <w:p>
      <w:pPr>
        <w:pStyle w:val="BodyText"/>
        <w:spacing w:line="232" w:lineRule="auto" w:before="203"/>
        <w:ind w:left="144" w:right="118" w:firstLine="499"/>
        <w:jc w:val="both"/>
      </w:pPr>
      <w:r>
        <w:rPr/>
        <w:t>As of December 31, 2022, we had approximately 46,000 full-time and 18,000 part-time employees domestically. In addition, we had approximately 10,000</w:t>
      </w:r>
      <w:r>
        <w:rPr>
          <w:spacing w:val="-2"/>
        </w:rPr>
        <w:t> </w:t>
      </w:r>
      <w:r>
        <w:rPr/>
        <w:t>and</w:t>
      </w:r>
      <w:r>
        <w:rPr>
          <w:spacing w:val="-2"/>
        </w:rPr>
        <w:t> </w:t>
      </w:r>
      <w:r>
        <w:rPr/>
        <w:t>1,000</w:t>
      </w:r>
      <w:r>
        <w:rPr>
          <w:spacing w:val="-2"/>
        </w:rPr>
        <w:t> </w:t>
      </w:r>
      <w:r>
        <w:rPr/>
        <w:t>employees</w:t>
      </w:r>
      <w:r>
        <w:rPr>
          <w:spacing w:val="-2"/>
        </w:rPr>
        <w:t> </w:t>
      </w:r>
      <w:r>
        <w:rPr/>
        <w:t>at</w:t>
      </w:r>
      <w:r>
        <w:rPr>
          <w:spacing w:val="-2"/>
        </w:rPr>
        <w:t> </w:t>
      </w:r>
      <w:r>
        <w:rPr/>
        <w:t>MGM</w:t>
      </w:r>
      <w:r>
        <w:rPr>
          <w:spacing w:val="-2"/>
        </w:rPr>
        <w:t> </w:t>
      </w:r>
      <w:r>
        <w:rPr/>
        <w:t>China</w:t>
      </w:r>
      <w:r>
        <w:rPr>
          <w:spacing w:val="-2"/>
        </w:rPr>
        <w:t> </w:t>
      </w:r>
      <w:r>
        <w:rPr/>
        <w:t>and</w:t>
      </w:r>
      <w:r>
        <w:rPr>
          <w:spacing w:val="-2"/>
        </w:rPr>
        <w:t> </w:t>
      </w:r>
      <w:r>
        <w:rPr/>
        <w:t>LeoVegas,</w:t>
      </w:r>
      <w:r>
        <w:rPr>
          <w:spacing w:val="-2"/>
        </w:rPr>
        <w:t> </w:t>
      </w:r>
      <w:r>
        <w:rPr/>
        <w:t>respectively.</w:t>
      </w:r>
      <w:r>
        <w:rPr>
          <w:spacing w:val="-5"/>
        </w:rPr>
        <w:t> </w:t>
      </w:r>
      <w:r>
        <w:rPr/>
        <w:t>We</w:t>
      </w:r>
      <w:r>
        <w:rPr>
          <w:spacing w:val="-2"/>
        </w:rPr>
        <w:t> </w:t>
      </w:r>
      <w:r>
        <w:rPr/>
        <w:t>had</w:t>
      </w:r>
      <w:r>
        <w:rPr>
          <w:spacing w:val="-2"/>
        </w:rPr>
        <w:t> </w:t>
      </w:r>
      <w:r>
        <w:rPr/>
        <w:t>collective</w:t>
      </w:r>
      <w:r>
        <w:rPr>
          <w:spacing w:val="-2"/>
        </w:rPr>
        <w:t> </w:t>
      </w:r>
      <w:r>
        <w:rPr/>
        <w:t>bargaining</w:t>
      </w:r>
      <w:r>
        <w:rPr>
          <w:spacing w:val="-2"/>
        </w:rPr>
        <w:t> </w:t>
      </w:r>
      <w:r>
        <w:rPr/>
        <w:t>agreements</w:t>
      </w:r>
      <w:r>
        <w:rPr>
          <w:spacing w:val="-2"/>
        </w:rPr>
        <w:t> </w:t>
      </w:r>
      <w:r>
        <w:rPr/>
        <w:t>with</w:t>
      </w:r>
      <w:r>
        <w:rPr>
          <w:spacing w:val="-2"/>
        </w:rPr>
        <w:t> </w:t>
      </w:r>
      <w:r>
        <w:rPr/>
        <w:t>unions</w:t>
      </w:r>
      <w:r>
        <w:rPr>
          <w:spacing w:val="-2"/>
        </w:rPr>
        <w:t> </w:t>
      </w:r>
      <w:r>
        <w:rPr/>
        <w:t>covering</w:t>
      </w:r>
      <w:r>
        <w:rPr>
          <w:spacing w:val="-2"/>
        </w:rPr>
        <w:t> </w:t>
      </w:r>
      <w:r>
        <w:rPr/>
        <w:t>approximately</w:t>
      </w:r>
      <w:r>
        <w:rPr>
          <w:spacing w:val="-2"/>
        </w:rPr>
        <w:t> </w:t>
      </w:r>
      <w:r>
        <w:rPr/>
        <w:t>38,000 of our employees as of December 31, 2022. Collective bargaining agreements covering multiple bargaining units at our Regional Operations and Las Vegas Strip Resorts are scheduled to expire in 2023. This includes agreements with the Local Joint Executive Board of Las Vegas for eight of our Las Vegas Strip resorts and covering approximately 22,000 bargaining unit employees in Las Vegas; those agreements are scheduled to expire May 31, 2023. Additionally, collective bargaining agreements covering all bargaining units at Beau Rivage in Mississippi, two bargaining units at MGM Grand Detroit, the front services, parking, warehouse and facilities bargaining units at MGM National Harbor, transportation bargaining units in Las Vegas, all bargaining units at MGM Northfield</w:t>
      </w:r>
      <w:r>
        <w:rPr>
          <w:spacing w:val="-2"/>
        </w:rPr>
        <w:t> </w:t>
      </w:r>
      <w:r>
        <w:rPr/>
        <w:t>Park,</w:t>
      </w:r>
      <w:r>
        <w:rPr>
          <w:spacing w:val="-2"/>
        </w:rPr>
        <w:t> </w:t>
      </w:r>
      <w:r>
        <w:rPr/>
        <w:t>and</w:t>
      </w:r>
      <w:r>
        <w:rPr>
          <w:spacing w:val="-2"/>
        </w:rPr>
        <w:t> </w:t>
      </w:r>
      <w:r>
        <w:rPr/>
        <w:t>a</w:t>
      </w:r>
      <w:r>
        <w:rPr>
          <w:spacing w:val="-2"/>
        </w:rPr>
        <w:t> </w:t>
      </w:r>
      <w:r>
        <w:rPr/>
        <w:t>number</w:t>
      </w:r>
      <w:r>
        <w:rPr>
          <w:spacing w:val="-2"/>
        </w:rPr>
        <w:t> </w:t>
      </w:r>
      <w:r>
        <w:rPr/>
        <w:t>of</w:t>
      </w:r>
      <w:r>
        <w:rPr>
          <w:spacing w:val="-2"/>
        </w:rPr>
        <w:t> </w:t>
      </w:r>
      <w:r>
        <w:rPr/>
        <w:t>smaller</w:t>
      </w:r>
      <w:r>
        <w:rPr>
          <w:spacing w:val="-2"/>
        </w:rPr>
        <w:t> </w:t>
      </w:r>
      <w:r>
        <w:rPr/>
        <w:t>bargaining</w:t>
      </w:r>
      <w:r>
        <w:rPr>
          <w:spacing w:val="-2"/>
        </w:rPr>
        <w:t> </w:t>
      </w:r>
      <w:r>
        <w:rPr/>
        <w:t>units</w:t>
      </w:r>
      <w:r>
        <w:rPr>
          <w:spacing w:val="-2"/>
        </w:rPr>
        <w:t> </w:t>
      </w:r>
      <w:r>
        <w:rPr/>
        <w:t>in</w:t>
      </w:r>
      <w:r>
        <w:rPr>
          <w:spacing w:val="-2"/>
        </w:rPr>
        <w:t> </w:t>
      </w:r>
      <w:r>
        <w:rPr/>
        <w:t>both</w:t>
      </w:r>
      <w:r>
        <w:rPr>
          <w:spacing w:val="-2"/>
        </w:rPr>
        <w:t> </w:t>
      </w:r>
      <w:r>
        <w:rPr/>
        <w:t>Las</w:t>
      </w:r>
      <w:r>
        <w:rPr>
          <w:spacing w:val="-4"/>
        </w:rPr>
        <w:t> </w:t>
      </w:r>
      <w:r>
        <w:rPr/>
        <w:t>Vegas</w:t>
      </w:r>
      <w:r>
        <w:rPr>
          <w:spacing w:val="-2"/>
        </w:rPr>
        <w:t> </w:t>
      </w:r>
      <w:r>
        <w:rPr/>
        <w:t>and</w:t>
      </w:r>
      <w:r>
        <w:rPr>
          <w:spacing w:val="-2"/>
        </w:rPr>
        <w:t> </w:t>
      </w:r>
      <w:r>
        <w:rPr/>
        <w:t>regional</w:t>
      </w:r>
      <w:r>
        <w:rPr>
          <w:spacing w:val="-2"/>
        </w:rPr>
        <w:t> </w:t>
      </w:r>
      <w:r>
        <w:rPr/>
        <w:t>resorts</w:t>
      </w:r>
      <w:r>
        <w:rPr>
          <w:spacing w:val="-2"/>
        </w:rPr>
        <w:t> </w:t>
      </w:r>
      <w:r>
        <w:rPr/>
        <w:t>are</w:t>
      </w:r>
      <w:r>
        <w:rPr>
          <w:spacing w:val="-2"/>
        </w:rPr>
        <w:t> </w:t>
      </w:r>
      <w:r>
        <w:rPr/>
        <w:t>expiring</w:t>
      </w:r>
      <w:r>
        <w:rPr>
          <w:spacing w:val="-2"/>
        </w:rPr>
        <w:t> </w:t>
      </w:r>
      <w:r>
        <w:rPr/>
        <w:t>in</w:t>
      </w:r>
      <w:r>
        <w:rPr>
          <w:spacing w:val="-2"/>
        </w:rPr>
        <w:t> </w:t>
      </w:r>
      <w:r>
        <w:rPr/>
        <w:t>2023.</w:t>
      </w:r>
      <w:r>
        <w:rPr>
          <w:spacing w:val="-2"/>
        </w:rPr>
        <w:t> </w:t>
      </w:r>
      <w:r>
        <w:rPr/>
        <w:t>Negotiations</w:t>
      </w:r>
      <w:r>
        <w:rPr>
          <w:spacing w:val="-2"/>
        </w:rPr>
        <w:t> </w:t>
      </w:r>
      <w:r>
        <w:rPr/>
        <w:t>for</w:t>
      </w:r>
      <w:r>
        <w:rPr>
          <w:spacing w:val="-2"/>
        </w:rPr>
        <w:t> </w:t>
      </w:r>
      <w:r>
        <w:rPr/>
        <w:t>successor</w:t>
      </w:r>
      <w:r>
        <w:rPr>
          <w:spacing w:val="-2"/>
        </w:rPr>
        <w:t> </w:t>
      </w:r>
      <w:r>
        <w:rPr/>
        <w:t>contracts</w:t>
      </w:r>
      <w:r>
        <w:rPr>
          <w:spacing w:val="-2"/>
        </w:rPr>
        <w:t> </w:t>
      </w:r>
      <w:r>
        <w:rPr/>
        <w:t>will be scheduled with our employees’ collective bargaining representatives as contract expiration dates approach and will continue throughout 2023. As of December 31, 2022, none of the employees of MGM China or LeoVegas are part of a labor union and the MGM China resorts and LeoVegas are not party to any collective bargaining agreements.</w:t>
      </w:r>
    </w:p>
    <w:p>
      <w:pPr>
        <w:pStyle w:val="BodyText"/>
        <w:spacing w:before="23"/>
      </w:pPr>
    </w:p>
    <w:p>
      <w:pPr>
        <w:pStyle w:val="Heading5"/>
        <w:jc w:val="left"/>
      </w:pPr>
      <w:r>
        <w:rPr/>
        <w:t>Government</w:t>
      </w:r>
      <w:r>
        <w:rPr>
          <w:spacing w:val="-1"/>
        </w:rPr>
        <w:t> </w:t>
      </w:r>
      <w:r>
        <w:rPr/>
        <w:t>Regulation</w:t>
      </w:r>
      <w:r>
        <w:rPr>
          <w:spacing w:val="-1"/>
        </w:rPr>
        <w:t> </w:t>
      </w:r>
      <w:r>
        <w:rPr/>
        <w:t>and</w:t>
      </w:r>
      <w:r>
        <w:rPr>
          <w:spacing w:val="-1"/>
        </w:rPr>
        <w:t> </w:t>
      </w:r>
      <w:r>
        <w:rPr>
          <w:spacing w:val="-2"/>
        </w:rPr>
        <w:t>Licensing</w:t>
      </w:r>
    </w:p>
    <w:p>
      <w:pPr>
        <w:pStyle w:val="BodyText"/>
        <w:spacing w:before="18"/>
        <w:rPr>
          <w:b/>
        </w:rPr>
      </w:pPr>
    </w:p>
    <w:p>
      <w:pPr>
        <w:pStyle w:val="BodyText"/>
        <w:ind w:left="144" w:right="118" w:firstLine="499"/>
        <w:jc w:val="both"/>
      </w:pPr>
      <w:r>
        <w:rPr/>
        <w:t>The gaming industry is highly regulated, and we must maintain our licenses and pay gaming taxes to continue our operations. Each of our casinos and our online operations are subject to extensive regulation under the laws, rules and regulations of the jurisdiction in which it is located or operates. These </w:t>
      </w:r>
      <w:r>
        <w:rPr/>
        <w:t>laws, rules and regulations generally concern the responsibility, financial stability and character of the owners, managers, and persons with financial interest in the gaming operations. Violations of laws in one jurisdiction could result in disciplinary action in other jurisdictions.</w:t>
      </w:r>
    </w:p>
    <w:p>
      <w:pPr>
        <w:pStyle w:val="BodyText"/>
        <w:spacing w:before="8"/>
      </w:pPr>
    </w:p>
    <w:p>
      <w:pPr>
        <w:pStyle w:val="BodyText"/>
        <w:spacing w:line="235" w:lineRule="auto"/>
        <w:ind w:left="144" w:right="118" w:firstLine="499"/>
        <w:jc w:val="both"/>
      </w:pPr>
      <w:r>
        <w:rPr/>
        <w:t>A</w:t>
      </w:r>
      <w:r>
        <w:rPr>
          <w:spacing w:val="-5"/>
        </w:rPr>
        <w:t> </w:t>
      </w:r>
      <w:r>
        <w:rPr/>
        <w:t>more detailed description of the gaming regulations to which we are subject is contained in Exhibit 99.1 to this</w:t>
      </w:r>
      <w:r>
        <w:rPr>
          <w:spacing w:val="-5"/>
        </w:rPr>
        <w:t> </w:t>
      </w:r>
      <w:r>
        <w:rPr/>
        <w:t>Annual Report on Form 10-K, which Exhibit is incorporated herein by reference.</w:t>
      </w:r>
    </w:p>
    <w:p>
      <w:pPr>
        <w:pStyle w:val="BodyText"/>
        <w:spacing w:before="19"/>
      </w:pPr>
    </w:p>
    <w:p>
      <w:pPr>
        <w:pStyle w:val="BodyText"/>
        <w:ind w:left="144" w:right="118" w:firstLine="499"/>
        <w:jc w:val="both"/>
      </w:pPr>
      <w:r>
        <w:rPr/>
        <w:t>Our businesses are subject to various federal, state, local and foreign laws and regulations affecting businesses in general. These laws and regulations include, but are not limited to, restrictions and conditions concerning alcoholic beverages, smoking, employees, currency transactions, taxation, zoning and building codes (including regulations under the Americans with Disabilities Act, which requires all public accommodations to meet certain </w:t>
      </w:r>
      <w:r>
        <w:rPr/>
        <w:t>federal</w:t>
      </w:r>
      <w:r>
        <w:rPr>
          <w:spacing w:val="40"/>
        </w:rPr>
        <w:t> </w:t>
      </w:r>
      <w:r>
        <w:rPr/>
        <w:t>requirements related to access and use by persons with disabilities), construction, land use and marketing and advertising. We also deal with significant amounts of cash in our operations and are subject to various reporting and anti-money laundering regulations. Such laws and regulations could change or could be interpreted differently in the future, or new laws and regulations could be enacted. Material changes, new laws or regulations, or material differences in interpretations by courts or governmental authorities could adversely affect our operating results.</w:t>
      </w:r>
    </w:p>
    <w:p>
      <w:pPr>
        <w:pStyle w:val="BodyText"/>
        <w:spacing w:before="4"/>
      </w:pPr>
    </w:p>
    <w:p>
      <w:pPr>
        <w:pStyle w:val="BodyText"/>
        <w:spacing w:line="242" w:lineRule="auto" w:before="1"/>
        <w:ind w:left="144" w:right="118" w:firstLine="499"/>
        <w:jc w:val="both"/>
      </w:pPr>
      <w:r>
        <w:rPr/>
        <w:t>In addition, we are subject to certain federal, state and local environmental laws, regulations and ordinances, including the Clean Air Act, the Clean Water</w:t>
      </w:r>
      <w:r>
        <w:rPr>
          <w:spacing w:val="-4"/>
        </w:rPr>
        <w:t> </w:t>
      </w:r>
      <w:r>
        <w:rPr/>
        <w:t>Act, the Resource Conservation Recovery</w:t>
      </w:r>
      <w:r>
        <w:rPr>
          <w:spacing w:val="-4"/>
        </w:rPr>
        <w:t> </w:t>
      </w:r>
      <w:r>
        <w:rPr/>
        <w:t>Act, the Comprehensive Environmental Response, Compensation and Liability</w:t>
      </w:r>
      <w:r>
        <w:rPr>
          <w:spacing w:val="-4"/>
        </w:rPr>
        <w:t> </w:t>
      </w:r>
      <w:r>
        <w:rPr/>
        <w:t>Act and the Oil Pollution</w:t>
      </w:r>
      <w:r>
        <w:rPr>
          <w:spacing w:val="-4"/>
        </w:rPr>
        <w:t> </w:t>
      </w:r>
      <w:r>
        <w:rPr/>
        <w:t>Act of 1990. Under various federal, state and local laws and regulations, an owner or operator of real property may be held liable for the costs of removal or</w:t>
      </w:r>
    </w:p>
    <w:p>
      <w:pPr>
        <w:pStyle w:val="BodyText"/>
      </w:pPr>
    </w:p>
    <w:p>
      <w:pPr>
        <w:pStyle w:val="BodyText"/>
        <w:spacing w:before="187"/>
      </w:pPr>
    </w:p>
    <w:p>
      <w:pPr>
        <w:pStyle w:val="BodyText"/>
        <w:ind w:left="24"/>
        <w:jc w:val="center"/>
      </w:pPr>
      <w:r>
        <w:rPr>
          <w:spacing w:val="-10"/>
        </w:rPr>
        <w:t>9</w:t>
      </w:r>
    </w:p>
    <w:p>
      <w:pPr>
        <w:pStyle w:val="BodyText"/>
        <w:spacing w:before="3"/>
        <w:rPr>
          <w:sz w:val="6"/>
        </w:rPr>
      </w:pPr>
      <w:r>
        <w:rPr/>
        <mc:AlternateContent>
          <mc:Choice Requires="wps">
            <w:drawing>
              <wp:anchor distT="0" distB="0" distL="0" distR="0" allowOverlap="1" layoutInCell="1" locked="0" behindDoc="1" simplePos="0" relativeHeight="487598592">
                <wp:simplePos x="0" y="0"/>
                <wp:positionH relativeFrom="page">
                  <wp:posOffset>231457</wp:posOffset>
                </wp:positionH>
                <wp:positionV relativeFrom="paragraph">
                  <wp:posOffset>60956</wp:posOffset>
                </wp:positionV>
                <wp:extent cx="7312659" cy="17145"/>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7312659" cy="17145"/>
                          <a:chExt cx="7312659" cy="17145"/>
                        </a:xfrm>
                      </wpg:grpSpPr>
                      <wps:wsp>
                        <wps:cNvPr id="58" name="Graphic 5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9" name="Graphic 59"/>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0" name="Graphic 6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7888;mso-wrap-distance-left:0;mso-wrap-distance-right:0" id="docshapegroup56" coordorigin="364,96" coordsize="11516,27">
                <v:rect style="position:absolute;left:364;top:96;width:11516;height:14" id="docshape57" filled="true" fillcolor="#999999" stroked="false">
                  <v:fill type="solid"/>
                </v:rect>
                <v:shape style="position:absolute;left:364;top:96;width:11516;height:27" id="docshape58" coordorigin="364,96" coordsize="11516,27" path="m11880,96l11866,110,364,110,364,123,11866,123,11880,123,11880,110,11880,96xe" filled="true" fillcolor="#ededed" stroked="false">
                  <v:path arrowok="t"/>
                  <v:fill type="solid"/>
                </v:shape>
                <v:shape style="position:absolute;left:364;top:96;width:14;height:27" id="docshape5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2" w:lineRule="auto" w:before="69"/>
        <w:ind w:left="144" w:right="118"/>
        <w:jc w:val="both"/>
      </w:pPr>
      <w:r>
        <w:rPr/>
        <w:t>remediation of certain hazardous or toxic substances or wastes located on its property, regardless of whether or not the present owner or operator knows of, or</w:t>
      </w:r>
      <w:r>
        <w:rPr>
          <w:spacing w:val="40"/>
        </w:rPr>
        <w:t> </w:t>
      </w:r>
      <w:r>
        <w:rPr/>
        <w:t>is</w:t>
      </w:r>
      <w:r>
        <w:rPr>
          <w:spacing w:val="-2"/>
        </w:rPr>
        <w:t> </w:t>
      </w:r>
      <w:r>
        <w:rPr/>
        <w:t>responsible</w:t>
      </w:r>
      <w:r>
        <w:rPr>
          <w:spacing w:val="-2"/>
        </w:rPr>
        <w:t> </w:t>
      </w:r>
      <w:r>
        <w:rPr/>
        <w:t>for,</w:t>
      </w:r>
      <w:r>
        <w:rPr>
          <w:spacing w:val="-2"/>
        </w:rPr>
        <w:t> </w:t>
      </w:r>
      <w:r>
        <w:rPr/>
        <w:t>the</w:t>
      </w:r>
      <w:r>
        <w:rPr>
          <w:spacing w:val="-2"/>
        </w:rPr>
        <w:t> </w:t>
      </w:r>
      <w:r>
        <w:rPr/>
        <w:t>presence</w:t>
      </w:r>
      <w:r>
        <w:rPr>
          <w:spacing w:val="-2"/>
        </w:rPr>
        <w:t> </w:t>
      </w:r>
      <w:r>
        <w:rPr/>
        <w:t>of</w:t>
      </w:r>
      <w:r>
        <w:rPr>
          <w:spacing w:val="-2"/>
        </w:rPr>
        <w:t> </w:t>
      </w:r>
      <w:r>
        <w:rPr/>
        <w:t>such</w:t>
      </w:r>
      <w:r>
        <w:rPr>
          <w:spacing w:val="-2"/>
        </w:rPr>
        <w:t> </w:t>
      </w:r>
      <w:r>
        <w:rPr/>
        <w:t>substances</w:t>
      </w:r>
      <w:r>
        <w:rPr>
          <w:spacing w:val="-2"/>
        </w:rPr>
        <w:t> </w:t>
      </w:r>
      <w:r>
        <w:rPr/>
        <w:t>or</w:t>
      </w:r>
      <w:r>
        <w:rPr>
          <w:spacing w:val="-2"/>
        </w:rPr>
        <w:t> </w:t>
      </w:r>
      <w:r>
        <w:rPr/>
        <w:t>wastes.</w:t>
      </w:r>
      <w:r>
        <w:rPr>
          <w:spacing w:val="-5"/>
        </w:rPr>
        <w:t> </w:t>
      </w:r>
      <w:r>
        <w:rPr/>
        <w:t>We</w:t>
      </w:r>
      <w:r>
        <w:rPr>
          <w:spacing w:val="-2"/>
        </w:rPr>
        <w:t> </w:t>
      </w:r>
      <w:r>
        <w:rPr/>
        <w:t>have</w:t>
      </w:r>
      <w:r>
        <w:rPr>
          <w:spacing w:val="-2"/>
        </w:rPr>
        <w:t> </w:t>
      </w:r>
      <w:r>
        <w:rPr/>
        <w:t>not</w:t>
      </w:r>
      <w:r>
        <w:rPr>
          <w:spacing w:val="-2"/>
        </w:rPr>
        <w:t> </w:t>
      </w:r>
      <w:r>
        <w:rPr/>
        <w:t>identified</w:t>
      </w:r>
      <w:r>
        <w:rPr>
          <w:spacing w:val="-2"/>
        </w:rPr>
        <w:t> </w:t>
      </w:r>
      <w:r>
        <w:rPr/>
        <w:t>any</w:t>
      </w:r>
      <w:r>
        <w:rPr>
          <w:spacing w:val="-2"/>
        </w:rPr>
        <w:t> </w:t>
      </w:r>
      <w:r>
        <w:rPr/>
        <w:t>issues</w:t>
      </w:r>
      <w:r>
        <w:rPr>
          <w:spacing w:val="-2"/>
        </w:rPr>
        <w:t> </w:t>
      </w:r>
      <w:r>
        <w:rPr/>
        <w:t>associated</w:t>
      </w:r>
      <w:r>
        <w:rPr>
          <w:spacing w:val="-2"/>
        </w:rPr>
        <w:t> </w:t>
      </w:r>
      <w:r>
        <w:rPr/>
        <w:t>with</w:t>
      </w:r>
      <w:r>
        <w:rPr>
          <w:spacing w:val="-2"/>
        </w:rPr>
        <w:t> </w:t>
      </w:r>
      <w:r>
        <w:rPr/>
        <w:t>our</w:t>
      </w:r>
      <w:r>
        <w:rPr>
          <w:spacing w:val="-2"/>
        </w:rPr>
        <w:t> </w:t>
      </w:r>
      <w:r>
        <w:rPr/>
        <w:t>properties</w:t>
      </w:r>
      <w:r>
        <w:rPr>
          <w:spacing w:val="-2"/>
        </w:rPr>
        <w:t> </w:t>
      </w:r>
      <w:r>
        <w:rPr/>
        <w:t>that</w:t>
      </w:r>
      <w:r>
        <w:rPr>
          <w:spacing w:val="-2"/>
        </w:rPr>
        <w:t> </w:t>
      </w:r>
      <w:r>
        <w:rPr/>
        <w:t>could</w:t>
      </w:r>
      <w:r>
        <w:rPr>
          <w:spacing w:val="-2"/>
        </w:rPr>
        <w:t> </w:t>
      </w:r>
      <w:r>
        <w:rPr/>
        <w:t>reasonably</w:t>
      </w:r>
      <w:r>
        <w:rPr>
          <w:spacing w:val="-2"/>
        </w:rPr>
        <w:t> </w:t>
      </w:r>
      <w:r>
        <w:rPr/>
        <w:t>be</w:t>
      </w:r>
      <w:r>
        <w:rPr>
          <w:spacing w:val="-2"/>
        </w:rPr>
        <w:t> </w:t>
      </w:r>
      <w:r>
        <w:rPr/>
        <w:t>expected to have an adverse effect on us or the results of our operations.</w:t>
      </w:r>
    </w:p>
    <w:p>
      <w:pPr>
        <w:pStyle w:val="BodyText"/>
        <w:spacing w:before="6"/>
      </w:pPr>
    </w:p>
    <w:p>
      <w:pPr>
        <w:pStyle w:val="BodyText"/>
        <w:spacing w:line="235" w:lineRule="auto"/>
        <w:ind w:left="144" w:right="118" w:firstLine="499"/>
        <w:jc w:val="both"/>
      </w:pPr>
      <w:r>
        <w:rPr/>
        <w:t>For a discussion of potential risks to our business relating to regulatory matters, including due to the potential impact of legislative and regulatory changes, please see “Item 1A. Risk Factors — Risks Related to Legal and Regulatory Matters and Changes in Public Policy.”</w:t>
      </w:r>
    </w:p>
    <w:p>
      <w:pPr>
        <w:pStyle w:val="BodyText"/>
        <w:spacing w:before="19"/>
      </w:pPr>
    </w:p>
    <w:p>
      <w:pPr>
        <w:pStyle w:val="Heading5"/>
        <w:jc w:val="both"/>
      </w:pPr>
      <w:r>
        <w:rPr/>
        <w:t>Cautionary</w:t>
      </w:r>
      <w:r>
        <w:rPr>
          <w:spacing w:val="-1"/>
        </w:rPr>
        <w:t> </w:t>
      </w:r>
      <w:r>
        <w:rPr/>
        <w:t>Statement</w:t>
      </w:r>
      <w:r>
        <w:rPr>
          <w:spacing w:val="-1"/>
        </w:rPr>
        <w:t> </w:t>
      </w:r>
      <w:r>
        <w:rPr/>
        <w:t>Concerning</w:t>
      </w:r>
      <w:r>
        <w:rPr>
          <w:spacing w:val="-1"/>
        </w:rPr>
        <w:t> </w:t>
      </w:r>
      <w:r>
        <w:rPr/>
        <w:t>Forward-Looking</w:t>
      </w:r>
      <w:r>
        <w:rPr>
          <w:spacing w:val="-1"/>
        </w:rPr>
        <w:t> </w:t>
      </w:r>
      <w:r>
        <w:rPr>
          <w:spacing w:val="-2"/>
        </w:rPr>
        <w:t>Statements</w:t>
      </w:r>
    </w:p>
    <w:p>
      <w:pPr>
        <w:pStyle w:val="BodyText"/>
        <w:spacing w:before="4"/>
        <w:rPr>
          <w:b/>
        </w:rPr>
      </w:pPr>
    </w:p>
    <w:p>
      <w:pPr>
        <w:pStyle w:val="BodyText"/>
        <w:ind w:left="144" w:right="118" w:firstLine="499"/>
        <w:jc w:val="both"/>
      </w:pPr>
      <w:r>
        <w:rPr/>
        <w:t>This Form 10-K and our 2022 Annual Report to Stockholders contain “forward-looking statements” within the meaning of the U.S. Private Securities Litigation Reform Act of 1995. Forward-looking statements can be identified by words such as “anticipates,” “intends,” “plans,” “seeks,” </w:t>
      </w:r>
      <w:r>
        <w:rPr/>
        <w:t>“believes,” “estimates,” “expects,” “will,” “may” and similar references to future periods. Examples of forward-looking statements include, but are not limited to, statements we make regarding the impact of COVID-19 on our business, expectations regarding the impact of macroeconomic trends on our business, our ability to execute on ongoing and future strategic initiatives, including the development of an integrated resort in Japan and investments we make in online sports betting and iGaming, our expectations regarding our intent to respond to the request for application for a downstate commercial gaming license in New York, amounts we will spend on capital expenditures and investments, our expectations with respect to future share repurchases and cash dividends on our common stock, dividends and distributions we will receive from MGM China, our ability to achieve the benefits of our cost savings initiatives, amounts projected to be realized as deferred tax assets, and our ability to achieve our public social impact and sustainability goals. The foregoing is not a complete list</w:t>
      </w:r>
      <w:r>
        <w:rPr>
          <w:spacing w:val="40"/>
        </w:rPr>
        <w:t> </w:t>
      </w:r>
      <w:r>
        <w:rPr/>
        <w:t>of all forward-looking statements we make.</w:t>
      </w:r>
    </w:p>
    <w:p>
      <w:pPr>
        <w:pStyle w:val="BodyText"/>
        <w:spacing w:before="5"/>
      </w:pPr>
    </w:p>
    <w:p>
      <w:pPr>
        <w:pStyle w:val="BodyText"/>
        <w:ind w:left="144" w:right="118" w:firstLine="499"/>
        <w:jc w:val="both"/>
      </w:pPr>
      <w:r>
        <w:rPr/>
        <w:t>Forward-looking statements are based on our current expectations and assumptions regarding our business, the economy and other future conditions. Because forward-looking statements relate to the future, they are subject to inherent uncertainties, risks, and changes in circumstances that are difficult to predict. Our actual results may differ materially from those contemplated by the forward-looking statements. They are neither statements of historical fact </w:t>
      </w:r>
      <w:r>
        <w:rPr/>
        <w:t>nor guarantees or assurances of future performance. Therefore, we caution you against relying on any of these forward-looking statements. Important factors that could cause actual results to differ materially from those in the forward-looking statements include, but are not limited to, regional, national or global political, economic, business, competitive, market, and regulatory conditions and the following:</w:t>
      </w:r>
    </w:p>
    <w:p>
      <w:pPr>
        <w:pStyle w:val="BodyText"/>
        <w:spacing w:before="9"/>
      </w:pPr>
    </w:p>
    <w:p>
      <w:pPr>
        <w:pStyle w:val="ListParagraph"/>
        <w:numPr>
          <w:ilvl w:val="0"/>
          <w:numId w:val="2"/>
        </w:numPr>
        <w:tabs>
          <w:tab w:pos="792" w:val="left" w:leader="none"/>
        </w:tabs>
        <w:spacing w:line="242" w:lineRule="auto" w:before="0" w:after="0"/>
        <w:ind w:left="792" w:right="118" w:hanging="324"/>
        <w:jc w:val="both"/>
        <w:rPr>
          <w:sz w:val="18"/>
        </w:rPr>
      </w:pPr>
      <w:r>
        <w:rPr>
          <w:sz w:val="18"/>
        </w:rPr>
        <w:t>our substantial indebtedness and significant financial commitments, including the fixed component of our rent payments under our triple-net </w:t>
      </w:r>
      <w:r>
        <w:rPr>
          <w:sz w:val="18"/>
        </w:rPr>
        <w:t>leases</w:t>
      </w:r>
      <w:r>
        <w:rPr>
          <w:spacing w:val="40"/>
          <w:sz w:val="18"/>
        </w:rPr>
        <w:t> </w:t>
      </w:r>
      <w:r>
        <w:rPr>
          <w:sz w:val="18"/>
        </w:rPr>
        <w:t>and guarantees we provide of the indebtedness of Bellagio BREIT</w:t>
      </w:r>
      <w:r>
        <w:rPr>
          <w:spacing w:val="-3"/>
          <w:sz w:val="18"/>
        </w:rPr>
        <w:t> </w:t>
      </w:r>
      <w:r>
        <w:rPr>
          <w:sz w:val="18"/>
        </w:rPr>
        <w:t>Venture and VICI BREIT</w:t>
      </w:r>
      <w:r>
        <w:rPr>
          <w:spacing w:val="-3"/>
          <w:sz w:val="18"/>
        </w:rPr>
        <w:t> </w:t>
      </w:r>
      <w:r>
        <w:rPr>
          <w:sz w:val="18"/>
        </w:rPr>
        <w:t>Venture could adversely affect our development options and financial results and impact our ability to satisfy our obligations;</w:t>
      </w:r>
    </w:p>
    <w:p>
      <w:pPr>
        <w:pStyle w:val="ListParagraph"/>
        <w:numPr>
          <w:ilvl w:val="0"/>
          <w:numId w:val="2"/>
        </w:numPr>
        <w:tabs>
          <w:tab w:pos="792" w:val="left" w:leader="none"/>
        </w:tabs>
        <w:spacing w:line="249" w:lineRule="auto" w:before="0" w:after="0"/>
        <w:ind w:left="792" w:right="118" w:hanging="324"/>
        <w:jc w:val="both"/>
        <w:rPr>
          <w:sz w:val="18"/>
        </w:rPr>
      </w:pPr>
      <w:r>
        <w:rPr>
          <w:sz w:val="18"/>
        </w:rPr>
        <w:t>current and future economic, capital and credit market conditions could adversely affect our ability to service our substantial indebtedness and significant financial commitments, including the fixed components of our rent payments, and to make planned expenditures;</w:t>
      </w:r>
    </w:p>
    <w:p>
      <w:pPr>
        <w:pStyle w:val="ListParagraph"/>
        <w:numPr>
          <w:ilvl w:val="0"/>
          <w:numId w:val="2"/>
        </w:numPr>
        <w:tabs>
          <w:tab w:pos="792" w:val="left" w:leader="none"/>
        </w:tabs>
        <w:spacing w:line="235" w:lineRule="auto" w:before="0" w:after="0"/>
        <w:ind w:left="792" w:right="118" w:hanging="324"/>
        <w:jc w:val="both"/>
        <w:rPr>
          <w:sz w:val="18"/>
        </w:rPr>
      </w:pPr>
      <w:r>
        <w:rPr>
          <w:sz w:val="18"/>
        </w:rPr>
        <w:t>restrictions and limitations in the agreements governing our senior credit facility and other senior indebtedness could significantly affect our ability </w:t>
      </w:r>
      <w:r>
        <w:rPr>
          <w:sz w:val="18"/>
        </w:rPr>
        <w:t>to operate our business, as well as significantly affect our liquidity;</w:t>
      </w:r>
    </w:p>
    <w:p>
      <w:pPr>
        <w:pStyle w:val="ListParagraph"/>
        <w:numPr>
          <w:ilvl w:val="0"/>
          <w:numId w:val="2"/>
        </w:numPr>
        <w:tabs>
          <w:tab w:pos="792" w:val="left" w:leader="none"/>
        </w:tabs>
        <w:spacing w:line="235" w:lineRule="auto" w:before="0" w:after="0"/>
        <w:ind w:left="792" w:right="118" w:hanging="324"/>
        <w:jc w:val="both"/>
        <w:rPr>
          <w:sz w:val="18"/>
        </w:rPr>
      </w:pPr>
      <w:r>
        <w:rPr>
          <w:sz w:val="18"/>
        </w:rPr>
        <w:t>the fact that we are required to pay a significant portion of our cash flows as rent, which could adversely affect our ability to fund our operations </w:t>
      </w:r>
      <w:r>
        <w:rPr>
          <w:sz w:val="18"/>
        </w:rPr>
        <w:t>and growth, service our indebtedness and limit our ability to react to competitive and economic changes;</w:t>
      </w:r>
    </w:p>
    <w:p>
      <w:pPr>
        <w:pStyle w:val="ListParagraph"/>
        <w:numPr>
          <w:ilvl w:val="0"/>
          <w:numId w:val="2"/>
        </w:numPr>
        <w:tabs>
          <w:tab w:pos="792" w:val="left" w:leader="none"/>
        </w:tabs>
        <w:spacing w:line="249" w:lineRule="auto" w:before="0" w:after="0"/>
        <w:ind w:left="792" w:right="118" w:hanging="324"/>
        <w:jc w:val="both"/>
        <w:rPr>
          <w:sz w:val="18"/>
        </w:rPr>
      </w:pPr>
      <w:r>
        <w:rPr>
          <w:sz w:val="18"/>
        </w:rPr>
        <w:t>significant competition we face with respect to destination travel locations generally and with respect to our peers in the industries in which we </w:t>
      </w:r>
      <w:r>
        <w:rPr>
          <w:spacing w:val="-2"/>
          <w:sz w:val="18"/>
        </w:rPr>
        <w:t>compete;</w:t>
      </w:r>
    </w:p>
    <w:p>
      <w:pPr>
        <w:pStyle w:val="ListParagraph"/>
        <w:numPr>
          <w:ilvl w:val="0"/>
          <w:numId w:val="2"/>
        </w:numPr>
        <w:tabs>
          <w:tab w:pos="792" w:val="left" w:leader="none"/>
        </w:tabs>
        <w:spacing w:line="235" w:lineRule="auto" w:before="0" w:after="0"/>
        <w:ind w:left="792" w:right="118" w:hanging="324"/>
        <w:jc w:val="both"/>
        <w:rPr>
          <w:sz w:val="18"/>
        </w:rPr>
      </w:pPr>
      <w:r>
        <w:rPr>
          <w:sz w:val="18"/>
        </w:rPr>
        <w:t>the impact on our business of economic and market conditions in the jurisdictions in which we operate and in the locations in which our customers </w:t>
      </w:r>
      <w:r>
        <w:rPr>
          <w:spacing w:val="-2"/>
          <w:sz w:val="18"/>
        </w:rPr>
        <w:t>reside;</w:t>
      </w:r>
    </w:p>
    <w:p>
      <w:pPr>
        <w:pStyle w:val="ListParagraph"/>
        <w:numPr>
          <w:ilvl w:val="0"/>
          <w:numId w:val="2"/>
        </w:numPr>
        <w:tabs>
          <w:tab w:pos="792" w:val="left" w:leader="none"/>
        </w:tabs>
        <w:spacing w:line="235" w:lineRule="auto" w:before="0" w:after="0"/>
        <w:ind w:left="792" w:right="118" w:hanging="324"/>
        <w:jc w:val="both"/>
        <w:rPr>
          <w:sz w:val="18"/>
        </w:rPr>
      </w:pPr>
      <w:r>
        <w:rPr>
          <w:sz w:val="18"/>
        </w:rPr>
        <w:t>the fact that we suspended our payment of ongoing regular dividends to our stockholders, and may not elect to resume paying dividends in </w:t>
      </w:r>
      <w:r>
        <w:rPr>
          <w:sz w:val="18"/>
        </w:rPr>
        <w:t>the foreseeable future or at all;</w:t>
      </w:r>
    </w:p>
    <w:p>
      <w:pPr>
        <w:pStyle w:val="ListParagraph"/>
        <w:numPr>
          <w:ilvl w:val="0"/>
          <w:numId w:val="2"/>
        </w:numPr>
        <w:tabs>
          <w:tab w:pos="792" w:val="left" w:leader="none"/>
        </w:tabs>
        <w:spacing w:line="242" w:lineRule="auto" w:before="0" w:after="0"/>
        <w:ind w:left="792" w:right="118" w:hanging="324"/>
        <w:jc w:val="both"/>
        <w:rPr>
          <w:sz w:val="18"/>
        </w:rPr>
      </w:pPr>
      <w:r>
        <w:rPr>
          <w:sz w:val="18"/>
        </w:rPr>
        <w:t>all</w:t>
      </w:r>
      <w:r>
        <w:rPr>
          <w:spacing w:val="-3"/>
          <w:sz w:val="18"/>
        </w:rPr>
        <w:t> </w:t>
      </w:r>
      <w:r>
        <w:rPr>
          <w:sz w:val="18"/>
        </w:rPr>
        <w:t>of</w:t>
      </w:r>
      <w:r>
        <w:rPr>
          <w:spacing w:val="-3"/>
          <w:sz w:val="18"/>
        </w:rPr>
        <w:t> </w:t>
      </w:r>
      <w:r>
        <w:rPr>
          <w:sz w:val="18"/>
        </w:rPr>
        <w:t>our</w:t>
      </w:r>
      <w:r>
        <w:rPr>
          <w:spacing w:val="-3"/>
          <w:sz w:val="18"/>
        </w:rPr>
        <w:t> </w:t>
      </w:r>
      <w:r>
        <w:rPr>
          <w:sz w:val="18"/>
        </w:rPr>
        <w:t>domestic</w:t>
      </w:r>
      <w:r>
        <w:rPr>
          <w:spacing w:val="-3"/>
          <w:sz w:val="18"/>
        </w:rPr>
        <w:t> </w:t>
      </w:r>
      <w:r>
        <w:rPr>
          <w:sz w:val="18"/>
        </w:rPr>
        <w:t>gaming</w:t>
      </w:r>
      <w:r>
        <w:rPr>
          <w:spacing w:val="-3"/>
          <w:sz w:val="18"/>
        </w:rPr>
        <w:t> </w:t>
      </w:r>
      <w:r>
        <w:rPr>
          <w:sz w:val="18"/>
        </w:rPr>
        <w:t>facilities</w:t>
      </w:r>
      <w:r>
        <w:rPr>
          <w:spacing w:val="-3"/>
          <w:sz w:val="18"/>
        </w:rPr>
        <w:t> </w:t>
      </w:r>
      <w:r>
        <w:rPr>
          <w:sz w:val="18"/>
        </w:rPr>
        <w:t>are</w:t>
      </w:r>
      <w:r>
        <w:rPr>
          <w:spacing w:val="-3"/>
          <w:sz w:val="18"/>
        </w:rPr>
        <w:t> </w:t>
      </w:r>
      <w:r>
        <w:rPr>
          <w:sz w:val="18"/>
        </w:rPr>
        <w:t>leased</w:t>
      </w:r>
      <w:r>
        <w:rPr>
          <w:spacing w:val="-3"/>
          <w:sz w:val="18"/>
        </w:rPr>
        <w:t> </w:t>
      </w:r>
      <w:r>
        <w:rPr>
          <w:sz w:val="18"/>
        </w:rPr>
        <w:t>and</w:t>
      </w:r>
      <w:r>
        <w:rPr>
          <w:spacing w:val="-3"/>
          <w:sz w:val="18"/>
        </w:rPr>
        <w:t> </w:t>
      </w:r>
      <w:r>
        <w:rPr>
          <w:sz w:val="18"/>
        </w:rPr>
        <w:t>could</w:t>
      </w:r>
      <w:r>
        <w:rPr>
          <w:spacing w:val="-3"/>
          <w:sz w:val="18"/>
        </w:rPr>
        <w:t> </w:t>
      </w:r>
      <w:r>
        <w:rPr>
          <w:sz w:val="18"/>
        </w:rPr>
        <w:t>experience</w:t>
      </w:r>
      <w:r>
        <w:rPr>
          <w:spacing w:val="-3"/>
          <w:sz w:val="18"/>
        </w:rPr>
        <w:t> </w:t>
      </w:r>
      <w:r>
        <w:rPr>
          <w:sz w:val="18"/>
        </w:rPr>
        <w:t>risks</w:t>
      </w:r>
      <w:r>
        <w:rPr>
          <w:spacing w:val="-3"/>
          <w:sz w:val="18"/>
        </w:rPr>
        <w:t> </w:t>
      </w:r>
      <w:r>
        <w:rPr>
          <w:sz w:val="18"/>
        </w:rPr>
        <w:t>associated</w:t>
      </w:r>
      <w:r>
        <w:rPr>
          <w:spacing w:val="-3"/>
          <w:sz w:val="18"/>
        </w:rPr>
        <w:t> </w:t>
      </w:r>
      <w:r>
        <w:rPr>
          <w:sz w:val="18"/>
        </w:rPr>
        <w:t>with</w:t>
      </w:r>
      <w:r>
        <w:rPr>
          <w:spacing w:val="-3"/>
          <w:sz w:val="18"/>
        </w:rPr>
        <w:t> </w:t>
      </w:r>
      <w:r>
        <w:rPr>
          <w:sz w:val="18"/>
        </w:rPr>
        <w:t>leased</w:t>
      </w:r>
      <w:r>
        <w:rPr>
          <w:spacing w:val="-3"/>
          <w:sz w:val="18"/>
        </w:rPr>
        <w:t> </w:t>
      </w:r>
      <w:r>
        <w:rPr>
          <w:sz w:val="18"/>
        </w:rPr>
        <w:t>property,</w:t>
      </w:r>
      <w:r>
        <w:rPr>
          <w:spacing w:val="-3"/>
          <w:sz w:val="18"/>
        </w:rPr>
        <w:t> </w:t>
      </w:r>
      <w:r>
        <w:rPr>
          <w:sz w:val="18"/>
        </w:rPr>
        <w:t>including</w:t>
      </w:r>
      <w:r>
        <w:rPr>
          <w:spacing w:val="-3"/>
          <w:sz w:val="18"/>
        </w:rPr>
        <w:t> </w:t>
      </w:r>
      <w:r>
        <w:rPr>
          <w:sz w:val="18"/>
        </w:rPr>
        <w:t>risks</w:t>
      </w:r>
      <w:r>
        <w:rPr>
          <w:spacing w:val="-3"/>
          <w:sz w:val="18"/>
        </w:rPr>
        <w:t> </w:t>
      </w:r>
      <w:r>
        <w:rPr>
          <w:sz w:val="18"/>
        </w:rPr>
        <w:t>relating</w:t>
      </w:r>
      <w:r>
        <w:rPr>
          <w:spacing w:val="-3"/>
          <w:sz w:val="18"/>
        </w:rPr>
        <w:t> </w:t>
      </w:r>
      <w:r>
        <w:rPr>
          <w:sz w:val="18"/>
        </w:rPr>
        <w:t>to</w:t>
      </w:r>
      <w:r>
        <w:rPr>
          <w:spacing w:val="-3"/>
          <w:sz w:val="18"/>
        </w:rPr>
        <w:t> </w:t>
      </w:r>
      <w:r>
        <w:rPr>
          <w:sz w:val="18"/>
        </w:rPr>
        <w:t>lease</w:t>
      </w:r>
      <w:r>
        <w:rPr>
          <w:spacing w:val="-3"/>
          <w:sz w:val="18"/>
        </w:rPr>
        <w:t> </w:t>
      </w:r>
      <w:r>
        <w:rPr>
          <w:sz w:val="18"/>
        </w:rPr>
        <w:t>termination, lease extensions, charges and our relationship with the lessor, which could have a material adverse effect on our business, financial position or results of operations;</w:t>
      </w:r>
    </w:p>
    <w:p>
      <w:pPr>
        <w:pStyle w:val="ListParagraph"/>
        <w:numPr>
          <w:ilvl w:val="0"/>
          <w:numId w:val="2"/>
        </w:numPr>
        <w:tabs>
          <w:tab w:pos="792" w:val="left" w:leader="none"/>
        </w:tabs>
        <w:spacing w:line="249" w:lineRule="auto" w:before="0" w:after="0"/>
        <w:ind w:left="792" w:right="118" w:hanging="324"/>
        <w:jc w:val="both"/>
        <w:rPr>
          <w:sz w:val="18"/>
        </w:rPr>
      </w:pPr>
      <w:r>
        <w:rPr>
          <w:sz w:val="18"/>
        </w:rPr>
        <w:t>financial, operational, regulatory or other potential challenges that may arise with respect to landlords under our master leases may adversely </w:t>
      </w:r>
      <w:r>
        <w:rPr>
          <w:sz w:val="18"/>
        </w:rPr>
        <w:t>impair our operations;</w:t>
      </w:r>
    </w:p>
    <w:p>
      <w:pPr>
        <w:pStyle w:val="ListParagraph"/>
        <w:numPr>
          <w:ilvl w:val="0"/>
          <w:numId w:val="2"/>
        </w:numPr>
        <w:tabs>
          <w:tab w:pos="792" w:val="left" w:leader="none"/>
        </w:tabs>
        <w:spacing w:line="193" w:lineRule="exact" w:before="0" w:after="0"/>
        <w:ind w:left="792" w:right="0" w:hanging="324"/>
        <w:jc w:val="both"/>
        <w:rPr>
          <w:sz w:val="18"/>
        </w:rPr>
      </w:pPr>
      <w:r>
        <w:rPr>
          <w:sz w:val="18"/>
        </w:rPr>
        <w:t>the</w:t>
      </w:r>
      <w:r>
        <w:rPr>
          <w:spacing w:val="-5"/>
          <w:sz w:val="18"/>
        </w:rPr>
        <w:t> </w:t>
      </w:r>
      <w:r>
        <w:rPr>
          <w:sz w:val="18"/>
        </w:rPr>
        <w:t>concentration</w:t>
      </w:r>
      <w:r>
        <w:rPr>
          <w:spacing w:val="-2"/>
          <w:sz w:val="18"/>
        </w:rPr>
        <w:t> </w:t>
      </w:r>
      <w:r>
        <w:rPr>
          <w:sz w:val="18"/>
        </w:rPr>
        <w:t>of</w:t>
      </w:r>
      <w:r>
        <w:rPr>
          <w:spacing w:val="-3"/>
          <w:sz w:val="18"/>
        </w:rPr>
        <w:t> </w:t>
      </w:r>
      <w:r>
        <w:rPr>
          <w:sz w:val="18"/>
        </w:rPr>
        <w:t>a</w:t>
      </w:r>
      <w:r>
        <w:rPr>
          <w:spacing w:val="-2"/>
          <w:sz w:val="18"/>
        </w:rPr>
        <w:t> </w:t>
      </w:r>
      <w:r>
        <w:rPr>
          <w:sz w:val="18"/>
        </w:rPr>
        <w:t>significant</w:t>
      </w:r>
      <w:r>
        <w:rPr>
          <w:spacing w:val="-2"/>
          <w:sz w:val="18"/>
        </w:rPr>
        <w:t> </w:t>
      </w:r>
      <w:r>
        <w:rPr>
          <w:sz w:val="18"/>
        </w:rPr>
        <w:t>number</w:t>
      </w:r>
      <w:r>
        <w:rPr>
          <w:spacing w:val="-3"/>
          <w:sz w:val="18"/>
        </w:rPr>
        <w:t> </w:t>
      </w:r>
      <w:r>
        <w:rPr>
          <w:sz w:val="18"/>
        </w:rPr>
        <w:t>of</w:t>
      </w:r>
      <w:r>
        <w:rPr>
          <w:spacing w:val="-2"/>
          <w:sz w:val="18"/>
        </w:rPr>
        <w:t> </w:t>
      </w:r>
      <w:r>
        <w:rPr>
          <w:sz w:val="18"/>
        </w:rPr>
        <w:t>our</w:t>
      </w:r>
      <w:r>
        <w:rPr>
          <w:spacing w:val="-2"/>
          <w:sz w:val="18"/>
        </w:rPr>
        <w:t> </w:t>
      </w:r>
      <w:r>
        <w:rPr>
          <w:sz w:val="18"/>
        </w:rPr>
        <w:t>major</w:t>
      </w:r>
      <w:r>
        <w:rPr>
          <w:spacing w:val="-3"/>
          <w:sz w:val="18"/>
        </w:rPr>
        <w:t> </w:t>
      </w:r>
      <w:r>
        <w:rPr>
          <w:sz w:val="18"/>
        </w:rPr>
        <w:t>gaming</w:t>
      </w:r>
      <w:r>
        <w:rPr>
          <w:spacing w:val="-2"/>
          <w:sz w:val="18"/>
        </w:rPr>
        <w:t> </w:t>
      </w:r>
      <w:r>
        <w:rPr>
          <w:sz w:val="18"/>
        </w:rPr>
        <w:t>resorts</w:t>
      </w:r>
      <w:r>
        <w:rPr>
          <w:spacing w:val="-2"/>
          <w:sz w:val="18"/>
        </w:rPr>
        <w:t> </w:t>
      </w:r>
      <w:r>
        <w:rPr>
          <w:sz w:val="18"/>
        </w:rPr>
        <w:t>on</w:t>
      </w:r>
      <w:r>
        <w:rPr>
          <w:spacing w:val="-3"/>
          <w:sz w:val="18"/>
        </w:rPr>
        <w:t> </w:t>
      </w:r>
      <w:r>
        <w:rPr>
          <w:sz w:val="18"/>
        </w:rPr>
        <w:t>the</w:t>
      </w:r>
      <w:r>
        <w:rPr>
          <w:spacing w:val="-2"/>
          <w:sz w:val="18"/>
        </w:rPr>
        <w:t> </w:t>
      </w:r>
      <w:r>
        <w:rPr>
          <w:sz w:val="18"/>
        </w:rPr>
        <w:t>Las</w:t>
      </w:r>
      <w:r>
        <w:rPr>
          <w:spacing w:val="-5"/>
          <w:sz w:val="18"/>
        </w:rPr>
        <w:t> </w:t>
      </w:r>
      <w:r>
        <w:rPr>
          <w:sz w:val="18"/>
        </w:rPr>
        <w:t>Vegas</w:t>
      </w:r>
      <w:r>
        <w:rPr>
          <w:spacing w:val="-2"/>
          <w:sz w:val="18"/>
        </w:rPr>
        <w:t> Strip;</w:t>
      </w:r>
    </w:p>
    <w:p>
      <w:pPr>
        <w:pStyle w:val="ListParagraph"/>
        <w:numPr>
          <w:ilvl w:val="0"/>
          <w:numId w:val="2"/>
        </w:numPr>
        <w:tabs>
          <w:tab w:pos="792" w:val="left" w:leader="none"/>
        </w:tabs>
        <w:spacing w:line="205" w:lineRule="exact" w:before="0" w:after="0"/>
        <w:ind w:left="792" w:right="0" w:hanging="324"/>
        <w:jc w:val="both"/>
        <w:rPr>
          <w:sz w:val="18"/>
        </w:rPr>
      </w:pPr>
      <w:r>
        <w:rPr>
          <w:sz w:val="18"/>
        </w:rPr>
        <w:t>the</w:t>
      </w:r>
      <w:r>
        <w:rPr>
          <w:spacing w:val="-2"/>
          <w:sz w:val="18"/>
        </w:rPr>
        <w:t> </w:t>
      </w:r>
      <w:r>
        <w:rPr>
          <w:sz w:val="18"/>
        </w:rPr>
        <w:t>fact</w:t>
      </w:r>
      <w:r>
        <w:rPr>
          <w:spacing w:val="-1"/>
          <w:sz w:val="18"/>
        </w:rPr>
        <w:t> </w:t>
      </w:r>
      <w:r>
        <w:rPr>
          <w:sz w:val="18"/>
        </w:rPr>
        <w:t>that</w:t>
      </w:r>
      <w:r>
        <w:rPr>
          <w:spacing w:val="-1"/>
          <w:sz w:val="18"/>
        </w:rPr>
        <w:t> </w:t>
      </w:r>
      <w:r>
        <w:rPr>
          <w:sz w:val="18"/>
        </w:rPr>
        <w:t>we</w:t>
      </w:r>
      <w:r>
        <w:rPr>
          <w:spacing w:val="-1"/>
          <w:sz w:val="18"/>
        </w:rPr>
        <w:t> </w:t>
      </w:r>
      <w:r>
        <w:rPr>
          <w:sz w:val="18"/>
        </w:rPr>
        <w:t>extend</w:t>
      </w:r>
      <w:r>
        <w:rPr>
          <w:spacing w:val="-1"/>
          <w:sz w:val="18"/>
        </w:rPr>
        <w:t> </w:t>
      </w:r>
      <w:r>
        <w:rPr>
          <w:sz w:val="18"/>
        </w:rPr>
        <w:t>credit</w:t>
      </w:r>
      <w:r>
        <w:rPr>
          <w:spacing w:val="-2"/>
          <w:sz w:val="18"/>
        </w:rPr>
        <w:t> </w:t>
      </w:r>
      <w:r>
        <w:rPr>
          <w:sz w:val="18"/>
        </w:rPr>
        <w:t>to</w:t>
      </w:r>
      <w:r>
        <w:rPr>
          <w:spacing w:val="-1"/>
          <w:sz w:val="18"/>
        </w:rPr>
        <w:t> </w:t>
      </w:r>
      <w:r>
        <w:rPr>
          <w:sz w:val="18"/>
        </w:rPr>
        <w:t>a</w:t>
      </w:r>
      <w:r>
        <w:rPr>
          <w:spacing w:val="-1"/>
          <w:sz w:val="18"/>
        </w:rPr>
        <w:t> </w:t>
      </w:r>
      <w:r>
        <w:rPr>
          <w:sz w:val="18"/>
        </w:rPr>
        <w:t>large</w:t>
      </w:r>
      <w:r>
        <w:rPr>
          <w:spacing w:val="-1"/>
          <w:sz w:val="18"/>
        </w:rPr>
        <w:t> </w:t>
      </w:r>
      <w:r>
        <w:rPr>
          <w:sz w:val="18"/>
        </w:rPr>
        <w:t>portion</w:t>
      </w:r>
      <w:r>
        <w:rPr>
          <w:spacing w:val="-1"/>
          <w:sz w:val="18"/>
        </w:rPr>
        <w:t> </w:t>
      </w:r>
      <w:r>
        <w:rPr>
          <w:sz w:val="18"/>
        </w:rPr>
        <w:t>of</w:t>
      </w:r>
      <w:r>
        <w:rPr>
          <w:spacing w:val="-1"/>
          <w:sz w:val="18"/>
        </w:rPr>
        <w:t> </w:t>
      </w:r>
      <w:r>
        <w:rPr>
          <w:sz w:val="18"/>
        </w:rPr>
        <w:t>our</w:t>
      </w:r>
      <w:r>
        <w:rPr>
          <w:spacing w:val="-2"/>
          <w:sz w:val="18"/>
        </w:rPr>
        <w:t> </w:t>
      </w:r>
      <w:r>
        <w:rPr>
          <w:sz w:val="18"/>
        </w:rPr>
        <w:t>customers</w:t>
      </w:r>
      <w:r>
        <w:rPr>
          <w:spacing w:val="-1"/>
          <w:sz w:val="18"/>
        </w:rPr>
        <w:t> </w:t>
      </w:r>
      <w:r>
        <w:rPr>
          <w:sz w:val="18"/>
        </w:rPr>
        <w:t>and</w:t>
      </w:r>
      <w:r>
        <w:rPr>
          <w:spacing w:val="-1"/>
          <w:sz w:val="18"/>
        </w:rPr>
        <w:t> </w:t>
      </w:r>
      <w:r>
        <w:rPr>
          <w:sz w:val="18"/>
        </w:rPr>
        <w:t>we</w:t>
      </w:r>
      <w:r>
        <w:rPr>
          <w:spacing w:val="-1"/>
          <w:sz w:val="18"/>
        </w:rPr>
        <w:t> </w:t>
      </w:r>
      <w:r>
        <w:rPr>
          <w:sz w:val="18"/>
        </w:rPr>
        <w:t>may</w:t>
      </w:r>
      <w:r>
        <w:rPr>
          <w:spacing w:val="-1"/>
          <w:sz w:val="18"/>
        </w:rPr>
        <w:t> </w:t>
      </w:r>
      <w:r>
        <w:rPr>
          <w:sz w:val="18"/>
        </w:rPr>
        <w:t>not</w:t>
      </w:r>
      <w:r>
        <w:rPr>
          <w:spacing w:val="-1"/>
          <w:sz w:val="18"/>
        </w:rPr>
        <w:t> </w:t>
      </w:r>
      <w:r>
        <w:rPr>
          <w:sz w:val="18"/>
        </w:rPr>
        <w:t>be</w:t>
      </w:r>
      <w:r>
        <w:rPr>
          <w:spacing w:val="-2"/>
          <w:sz w:val="18"/>
        </w:rPr>
        <w:t> </w:t>
      </w:r>
      <w:r>
        <w:rPr>
          <w:sz w:val="18"/>
        </w:rPr>
        <w:t>able</w:t>
      </w:r>
      <w:r>
        <w:rPr>
          <w:spacing w:val="-1"/>
          <w:sz w:val="18"/>
        </w:rPr>
        <w:t> </w:t>
      </w:r>
      <w:r>
        <w:rPr>
          <w:sz w:val="18"/>
        </w:rPr>
        <w:t>to</w:t>
      </w:r>
      <w:r>
        <w:rPr>
          <w:spacing w:val="-1"/>
          <w:sz w:val="18"/>
        </w:rPr>
        <w:t> </w:t>
      </w:r>
      <w:r>
        <w:rPr>
          <w:sz w:val="18"/>
        </w:rPr>
        <w:t>collect</w:t>
      </w:r>
      <w:r>
        <w:rPr>
          <w:spacing w:val="-1"/>
          <w:sz w:val="18"/>
        </w:rPr>
        <w:t> </w:t>
      </w:r>
      <w:r>
        <w:rPr>
          <w:sz w:val="18"/>
        </w:rPr>
        <w:t>such</w:t>
      </w:r>
      <w:r>
        <w:rPr>
          <w:spacing w:val="-1"/>
          <w:sz w:val="18"/>
        </w:rPr>
        <w:t> </w:t>
      </w:r>
      <w:r>
        <w:rPr>
          <w:sz w:val="18"/>
        </w:rPr>
        <w:t>gaming</w:t>
      </w:r>
      <w:r>
        <w:rPr>
          <w:spacing w:val="-1"/>
          <w:sz w:val="18"/>
        </w:rPr>
        <w:t> </w:t>
      </w:r>
      <w:r>
        <w:rPr>
          <w:spacing w:val="-2"/>
          <w:sz w:val="18"/>
        </w:rPr>
        <w:t>receivables;</w:t>
      </w:r>
    </w:p>
    <w:p>
      <w:pPr>
        <w:pStyle w:val="ListParagraph"/>
        <w:numPr>
          <w:ilvl w:val="0"/>
          <w:numId w:val="2"/>
        </w:numPr>
        <w:tabs>
          <w:tab w:pos="792" w:val="left" w:leader="none"/>
        </w:tabs>
        <w:spacing w:line="240" w:lineRule="auto" w:before="0" w:after="0"/>
        <w:ind w:left="792" w:right="0" w:hanging="324"/>
        <w:jc w:val="both"/>
        <w:rPr>
          <w:sz w:val="18"/>
        </w:rPr>
      </w:pPr>
      <w:r>
        <w:rPr>
          <w:sz w:val="18"/>
        </w:rPr>
        <w:t>the</w:t>
      </w:r>
      <w:r>
        <w:rPr>
          <w:spacing w:val="-2"/>
          <w:sz w:val="18"/>
        </w:rPr>
        <w:t> </w:t>
      </w:r>
      <w:r>
        <w:rPr>
          <w:sz w:val="18"/>
        </w:rPr>
        <w:t>potential</w:t>
      </w:r>
      <w:r>
        <w:rPr>
          <w:spacing w:val="-1"/>
          <w:sz w:val="18"/>
        </w:rPr>
        <w:t> </w:t>
      </w:r>
      <w:r>
        <w:rPr>
          <w:sz w:val="18"/>
        </w:rPr>
        <w:t>occurrence</w:t>
      </w:r>
      <w:r>
        <w:rPr>
          <w:spacing w:val="-1"/>
          <w:sz w:val="18"/>
        </w:rPr>
        <w:t> </w:t>
      </w:r>
      <w:r>
        <w:rPr>
          <w:sz w:val="18"/>
        </w:rPr>
        <w:t>of</w:t>
      </w:r>
      <w:r>
        <w:rPr>
          <w:spacing w:val="-1"/>
          <w:sz w:val="18"/>
        </w:rPr>
        <w:t> </w:t>
      </w:r>
      <w:r>
        <w:rPr>
          <w:sz w:val="18"/>
        </w:rPr>
        <w:t>impairments</w:t>
      </w:r>
      <w:r>
        <w:rPr>
          <w:spacing w:val="-2"/>
          <w:sz w:val="18"/>
        </w:rPr>
        <w:t> </w:t>
      </w:r>
      <w:r>
        <w:rPr>
          <w:sz w:val="18"/>
        </w:rPr>
        <w:t>to</w:t>
      </w:r>
      <w:r>
        <w:rPr>
          <w:spacing w:val="-1"/>
          <w:sz w:val="18"/>
        </w:rPr>
        <w:t> </w:t>
      </w:r>
      <w:r>
        <w:rPr>
          <w:sz w:val="18"/>
        </w:rPr>
        <w:t>goodwill,</w:t>
      </w:r>
      <w:r>
        <w:rPr>
          <w:spacing w:val="-1"/>
          <w:sz w:val="18"/>
        </w:rPr>
        <w:t> </w:t>
      </w:r>
      <w:r>
        <w:rPr>
          <w:sz w:val="18"/>
        </w:rPr>
        <w:t>indefinite-lived</w:t>
      </w:r>
      <w:r>
        <w:rPr>
          <w:spacing w:val="-1"/>
          <w:sz w:val="18"/>
        </w:rPr>
        <w:t> </w:t>
      </w:r>
      <w:r>
        <w:rPr>
          <w:sz w:val="18"/>
        </w:rPr>
        <w:t>intangible</w:t>
      </w:r>
      <w:r>
        <w:rPr>
          <w:spacing w:val="-1"/>
          <w:sz w:val="18"/>
        </w:rPr>
        <w:t> </w:t>
      </w:r>
      <w:r>
        <w:rPr>
          <w:sz w:val="18"/>
        </w:rPr>
        <w:t>assets</w:t>
      </w:r>
      <w:r>
        <w:rPr>
          <w:spacing w:val="-2"/>
          <w:sz w:val="18"/>
        </w:rPr>
        <w:t> </w:t>
      </w:r>
      <w:r>
        <w:rPr>
          <w:sz w:val="18"/>
        </w:rPr>
        <w:t>or</w:t>
      </w:r>
      <w:r>
        <w:rPr>
          <w:spacing w:val="-1"/>
          <w:sz w:val="18"/>
        </w:rPr>
        <w:t> </w:t>
      </w:r>
      <w:r>
        <w:rPr>
          <w:sz w:val="18"/>
        </w:rPr>
        <w:t>long-lived</w:t>
      </w:r>
      <w:r>
        <w:rPr>
          <w:spacing w:val="-1"/>
          <w:sz w:val="18"/>
        </w:rPr>
        <w:t> </w:t>
      </w:r>
      <w:r>
        <w:rPr>
          <w:sz w:val="18"/>
        </w:rPr>
        <w:t>assets</w:t>
      </w:r>
      <w:r>
        <w:rPr>
          <w:spacing w:val="-1"/>
          <w:sz w:val="18"/>
        </w:rPr>
        <w:t> </w:t>
      </w:r>
      <w:r>
        <w:rPr>
          <w:sz w:val="18"/>
        </w:rPr>
        <w:t>which</w:t>
      </w:r>
      <w:r>
        <w:rPr>
          <w:spacing w:val="-2"/>
          <w:sz w:val="18"/>
        </w:rPr>
        <w:t> </w:t>
      </w:r>
      <w:r>
        <w:rPr>
          <w:sz w:val="18"/>
        </w:rPr>
        <w:t>could</w:t>
      </w:r>
      <w:r>
        <w:rPr>
          <w:spacing w:val="-1"/>
          <w:sz w:val="18"/>
        </w:rPr>
        <w:t> </w:t>
      </w:r>
      <w:r>
        <w:rPr>
          <w:sz w:val="18"/>
        </w:rPr>
        <w:t>negatively</w:t>
      </w:r>
      <w:r>
        <w:rPr>
          <w:spacing w:val="-1"/>
          <w:sz w:val="18"/>
        </w:rPr>
        <w:t> </w:t>
      </w:r>
      <w:r>
        <w:rPr>
          <w:sz w:val="18"/>
        </w:rPr>
        <w:t>affect</w:t>
      </w:r>
      <w:r>
        <w:rPr>
          <w:spacing w:val="-1"/>
          <w:sz w:val="18"/>
        </w:rPr>
        <w:t> </w:t>
      </w:r>
      <w:r>
        <w:rPr>
          <w:sz w:val="18"/>
        </w:rPr>
        <w:t>future</w:t>
      </w:r>
      <w:r>
        <w:rPr>
          <w:spacing w:val="-1"/>
          <w:sz w:val="18"/>
        </w:rPr>
        <w:t> </w:t>
      </w:r>
      <w:r>
        <w:rPr>
          <w:spacing w:val="-2"/>
          <w:sz w:val="18"/>
        </w:rPr>
        <w:t>profits;</w:t>
      </w:r>
    </w:p>
    <w:p>
      <w:pPr>
        <w:pStyle w:val="BodyText"/>
      </w:pPr>
    </w:p>
    <w:p>
      <w:pPr>
        <w:pStyle w:val="BodyText"/>
        <w:spacing w:before="186"/>
      </w:pPr>
    </w:p>
    <w:p>
      <w:pPr>
        <w:pStyle w:val="BodyText"/>
        <w:ind w:left="24"/>
        <w:jc w:val="center"/>
      </w:pPr>
      <w:r>
        <w:rPr>
          <w:spacing w:val="-5"/>
        </w:rPr>
        <w:t>10</w:t>
      </w:r>
    </w:p>
    <w:p>
      <w:pPr>
        <w:pStyle w:val="BodyText"/>
        <w:spacing w:before="3"/>
        <w:rPr>
          <w:sz w:val="6"/>
        </w:rPr>
      </w:pPr>
      <w:r>
        <w:rPr/>
        <mc:AlternateContent>
          <mc:Choice Requires="wps">
            <w:drawing>
              <wp:anchor distT="0" distB="0" distL="0" distR="0" allowOverlap="1" layoutInCell="1" locked="0" behindDoc="1" simplePos="0" relativeHeight="487599104">
                <wp:simplePos x="0" y="0"/>
                <wp:positionH relativeFrom="page">
                  <wp:posOffset>231457</wp:posOffset>
                </wp:positionH>
                <wp:positionV relativeFrom="paragraph">
                  <wp:posOffset>60956</wp:posOffset>
                </wp:positionV>
                <wp:extent cx="7312659" cy="17145"/>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7312659" cy="17145"/>
                          <a:chExt cx="7312659" cy="17145"/>
                        </a:xfrm>
                      </wpg:grpSpPr>
                      <wps:wsp>
                        <wps:cNvPr id="62" name="Graphic 6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3" name="Graphic 63"/>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4" name="Graphic 6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7376;mso-wrap-distance-left:0;mso-wrap-distance-right:0" id="docshapegroup60" coordorigin="364,96" coordsize="11516,27">
                <v:rect style="position:absolute;left:364;top:96;width:11516;height:14" id="docshape61" filled="true" fillcolor="#999999" stroked="false">
                  <v:fill type="solid"/>
                </v:rect>
                <v:shape style="position:absolute;left:364;top:96;width:11516;height:27" id="docshape62" coordorigin="364,96" coordsize="11516,27" path="m11880,96l11866,109,364,109,364,123,11866,123,11880,123,11880,109,11880,96xe" filled="true" fillcolor="#ededed" stroked="false">
                  <v:path arrowok="t"/>
                  <v:fill type="solid"/>
                </v:shape>
                <v:shape style="position:absolute;left:364;top:96;width:14;height:27" id="docshape6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ListParagraph"/>
        <w:numPr>
          <w:ilvl w:val="0"/>
          <w:numId w:val="2"/>
        </w:numPr>
        <w:tabs>
          <w:tab w:pos="792" w:val="left" w:leader="none"/>
        </w:tabs>
        <w:spacing w:line="249" w:lineRule="auto" w:before="69" w:after="0"/>
        <w:ind w:left="792" w:right="118" w:hanging="324"/>
        <w:jc w:val="left"/>
        <w:rPr>
          <w:sz w:val="18"/>
        </w:rPr>
      </w:pPr>
      <w:r>
        <w:rPr>
          <w:sz w:val="18"/>
        </w:rPr>
        <w:t>the susceptibility of leisure and business travel, especially travel by air, to global geopolitical events, such as terrorist attacks, other acts of violence, acts of war or hostility or outbreaks of infectious disease (including the COVID-19 pandemic);</w:t>
      </w:r>
    </w:p>
    <w:p>
      <w:pPr>
        <w:pStyle w:val="ListParagraph"/>
        <w:numPr>
          <w:ilvl w:val="0"/>
          <w:numId w:val="2"/>
        </w:numPr>
        <w:tabs>
          <w:tab w:pos="792" w:val="left" w:leader="none"/>
        </w:tabs>
        <w:spacing w:line="193" w:lineRule="exact" w:before="0" w:after="0"/>
        <w:ind w:left="792" w:right="0" w:hanging="324"/>
        <w:jc w:val="left"/>
        <w:rPr>
          <w:sz w:val="18"/>
        </w:rPr>
      </w:pPr>
      <w:r>
        <w:rPr>
          <w:sz w:val="18"/>
        </w:rPr>
        <w:t>the</w:t>
      </w:r>
      <w:r>
        <w:rPr>
          <w:spacing w:val="-1"/>
          <w:sz w:val="18"/>
        </w:rPr>
        <w:t> </w:t>
      </w:r>
      <w:r>
        <w:rPr>
          <w:sz w:val="18"/>
        </w:rPr>
        <w:t>fact</w:t>
      </w:r>
      <w:r>
        <w:rPr>
          <w:spacing w:val="-1"/>
          <w:sz w:val="18"/>
        </w:rPr>
        <w:t> </w:t>
      </w:r>
      <w:r>
        <w:rPr>
          <w:sz w:val="18"/>
        </w:rPr>
        <w:t>that</w:t>
      </w:r>
      <w:r>
        <w:rPr>
          <w:spacing w:val="-1"/>
          <w:sz w:val="18"/>
        </w:rPr>
        <w:t> </w:t>
      </w:r>
      <w:r>
        <w:rPr>
          <w:sz w:val="18"/>
        </w:rPr>
        <w:t>co-investing</w:t>
      </w:r>
      <w:r>
        <w:rPr>
          <w:spacing w:val="-1"/>
          <w:sz w:val="18"/>
        </w:rPr>
        <w:t> </w:t>
      </w:r>
      <w:r>
        <w:rPr>
          <w:sz w:val="18"/>
        </w:rPr>
        <w:t>in</w:t>
      </w:r>
      <w:r>
        <w:rPr>
          <w:spacing w:val="-1"/>
          <w:sz w:val="18"/>
        </w:rPr>
        <w:t> </w:t>
      </w:r>
      <w:r>
        <w:rPr>
          <w:sz w:val="18"/>
        </w:rPr>
        <w:t>properties</w:t>
      </w:r>
      <w:r>
        <w:rPr>
          <w:spacing w:val="-1"/>
          <w:sz w:val="18"/>
        </w:rPr>
        <w:t> </w:t>
      </w:r>
      <w:r>
        <w:rPr>
          <w:sz w:val="18"/>
        </w:rPr>
        <w:t>or</w:t>
      </w:r>
      <w:r>
        <w:rPr>
          <w:spacing w:val="-1"/>
          <w:sz w:val="18"/>
        </w:rPr>
        <w:t> </w:t>
      </w:r>
      <w:r>
        <w:rPr>
          <w:sz w:val="18"/>
        </w:rPr>
        <w:t>businesses,</w:t>
      </w:r>
      <w:r>
        <w:rPr>
          <w:spacing w:val="-1"/>
          <w:sz w:val="18"/>
        </w:rPr>
        <w:t> </w:t>
      </w:r>
      <w:r>
        <w:rPr>
          <w:sz w:val="18"/>
        </w:rPr>
        <w:t>including</w:t>
      </w:r>
      <w:r>
        <w:rPr>
          <w:spacing w:val="-1"/>
          <w:sz w:val="18"/>
        </w:rPr>
        <w:t> </w:t>
      </w:r>
      <w:r>
        <w:rPr>
          <w:sz w:val="18"/>
        </w:rPr>
        <w:t>our</w:t>
      </w:r>
      <w:r>
        <w:rPr>
          <w:spacing w:val="-1"/>
          <w:sz w:val="18"/>
        </w:rPr>
        <w:t> </w:t>
      </w:r>
      <w:r>
        <w:rPr>
          <w:sz w:val="18"/>
        </w:rPr>
        <w:t>investment</w:t>
      </w:r>
      <w:r>
        <w:rPr>
          <w:spacing w:val="-1"/>
          <w:sz w:val="18"/>
        </w:rPr>
        <w:t> </w:t>
      </w:r>
      <w:r>
        <w:rPr>
          <w:sz w:val="18"/>
        </w:rPr>
        <w:t>in</w:t>
      </w:r>
      <w:r>
        <w:rPr>
          <w:spacing w:val="-1"/>
          <w:sz w:val="18"/>
        </w:rPr>
        <w:t> </w:t>
      </w:r>
      <w:r>
        <w:rPr>
          <w:sz w:val="18"/>
        </w:rPr>
        <w:t>BetMGM,</w:t>
      </w:r>
      <w:r>
        <w:rPr>
          <w:spacing w:val="-1"/>
          <w:sz w:val="18"/>
        </w:rPr>
        <w:t> </w:t>
      </w:r>
      <w:r>
        <w:rPr>
          <w:sz w:val="18"/>
        </w:rPr>
        <w:t>decreases</w:t>
      </w:r>
      <w:r>
        <w:rPr>
          <w:spacing w:val="-1"/>
          <w:sz w:val="18"/>
        </w:rPr>
        <w:t> </w:t>
      </w:r>
      <w:r>
        <w:rPr>
          <w:sz w:val="18"/>
        </w:rPr>
        <w:t>our</w:t>
      </w:r>
      <w:r>
        <w:rPr>
          <w:spacing w:val="-1"/>
          <w:sz w:val="18"/>
        </w:rPr>
        <w:t> </w:t>
      </w:r>
      <w:r>
        <w:rPr>
          <w:sz w:val="18"/>
        </w:rPr>
        <w:t>ability</w:t>
      </w:r>
      <w:r>
        <w:rPr>
          <w:spacing w:val="-1"/>
          <w:sz w:val="18"/>
        </w:rPr>
        <w:t> </w:t>
      </w:r>
      <w:r>
        <w:rPr>
          <w:sz w:val="18"/>
        </w:rPr>
        <w:t>to</w:t>
      </w:r>
      <w:r>
        <w:rPr>
          <w:spacing w:val="-1"/>
          <w:sz w:val="18"/>
        </w:rPr>
        <w:t> </w:t>
      </w:r>
      <w:r>
        <w:rPr>
          <w:sz w:val="18"/>
        </w:rPr>
        <w:t>manage</w:t>
      </w:r>
      <w:r>
        <w:rPr>
          <w:spacing w:val="-1"/>
          <w:sz w:val="18"/>
        </w:rPr>
        <w:t> </w:t>
      </w:r>
      <w:r>
        <w:rPr>
          <w:spacing w:val="-2"/>
          <w:sz w:val="18"/>
        </w:rPr>
        <w:t>risk;</w:t>
      </w:r>
    </w:p>
    <w:p>
      <w:pPr>
        <w:pStyle w:val="ListParagraph"/>
        <w:numPr>
          <w:ilvl w:val="0"/>
          <w:numId w:val="2"/>
        </w:numPr>
        <w:tabs>
          <w:tab w:pos="792" w:val="left" w:leader="none"/>
        </w:tabs>
        <w:spacing w:line="205" w:lineRule="exact" w:before="0" w:after="0"/>
        <w:ind w:left="792" w:right="0" w:hanging="324"/>
        <w:jc w:val="left"/>
        <w:rPr>
          <w:sz w:val="18"/>
        </w:rPr>
      </w:pPr>
      <w:r>
        <w:rPr>
          <w:sz w:val="18"/>
        </w:rPr>
        <w:t>the</w:t>
      </w:r>
      <w:r>
        <w:rPr>
          <w:spacing w:val="-1"/>
          <w:sz w:val="18"/>
        </w:rPr>
        <w:t> </w:t>
      </w:r>
      <w:r>
        <w:rPr>
          <w:sz w:val="18"/>
        </w:rPr>
        <w:t>fact</w:t>
      </w:r>
      <w:r>
        <w:rPr>
          <w:spacing w:val="-1"/>
          <w:sz w:val="18"/>
        </w:rPr>
        <w:t> </w:t>
      </w:r>
      <w:r>
        <w:rPr>
          <w:sz w:val="18"/>
        </w:rPr>
        <w:t>that</w:t>
      </w:r>
      <w:r>
        <w:rPr>
          <w:spacing w:val="-1"/>
          <w:sz w:val="18"/>
        </w:rPr>
        <w:t> </w:t>
      </w:r>
      <w:r>
        <w:rPr>
          <w:sz w:val="18"/>
        </w:rPr>
        <w:t>future</w:t>
      </w:r>
      <w:r>
        <w:rPr>
          <w:spacing w:val="-1"/>
          <w:sz w:val="18"/>
        </w:rPr>
        <w:t> </w:t>
      </w:r>
      <w:r>
        <w:rPr>
          <w:sz w:val="18"/>
        </w:rPr>
        <w:t>construction,</w:t>
      </w:r>
      <w:r>
        <w:rPr>
          <w:spacing w:val="-1"/>
          <w:sz w:val="18"/>
        </w:rPr>
        <w:t> </w:t>
      </w:r>
      <w:r>
        <w:rPr>
          <w:sz w:val="18"/>
        </w:rPr>
        <w:t>development,</w:t>
      </w:r>
      <w:r>
        <w:rPr>
          <w:spacing w:val="-1"/>
          <w:sz w:val="18"/>
        </w:rPr>
        <w:t> </w:t>
      </w:r>
      <w:r>
        <w:rPr>
          <w:sz w:val="18"/>
        </w:rPr>
        <w:t>or</w:t>
      </w:r>
      <w:r>
        <w:rPr>
          <w:spacing w:val="-1"/>
          <w:sz w:val="18"/>
        </w:rPr>
        <w:t> </w:t>
      </w:r>
      <w:r>
        <w:rPr>
          <w:sz w:val="18"/>
        </w:rPr>
        <w:t>expansion</w:t>
      </w:r>
      <w:r>
        <w:rPr>
          <w:spacing w:val="-1"/>
          <w:sz w:val="18"/>
        </w:rPr>
        <w:t> </w:t>
      </w:r>
      <w:r>
        <w:rPr>
          <w:sz w:val="18"/>
        </w:rPr>
        <w:t>projects</w:t>
      </w:r>
      <w:r>
        <w:rPr>
          <w:spacing w:val="-1"/>
          <w:sz w:val="18"/>
        </w:rPr>
        <w:t> </w:t>
      </w:r>
      <w:r>
        <w:rPr>
          <w:sz w:val="18"/>
        </w:rPr>
        <w:t>will</w:t>
      </w:r>
      <w:r>
        <w:rPr>
          <w:spacing w:val="-1"/>
          <w:sz w:val="18"/>
        </w:rPr>
        <w:t> </w:t>
      </w:r>
      <w:r>
        <w:rPr>
          <w:sz w:val="18"/>
        </w:rPr>
        <w:t>be</w:t>
      </w:r>
      <w:r>
        <w:rPr>
          <w:spacing w:val="-1"/>
          <w:sz w:val="18"/>
        </w:rPr>
        <w:t> </w:t>
      </w:r>
      <w:r>
        <w:rPr>
          <w:sz w:val="18"/>
        </w:rPr>
        <w:t>subject</w:t>
      </w:r>
      <w:r>
        <w:rPr>
          <w:spacing w:val="-1"/>
          <w:sz w:val="18"/>
        </w:rPr>
        <w:t> </w:t>
      </w:r>
      <w:r>
        <w:rPr>
          <w:sz w:val="18"/>
        </w:rPr>
        <w:t>to</w:t>
      </w:r>
      <w:r>
        <w:rPr>
          <w:spacing w:val="-1"/>
          <w:sz w:val="18"/>
        </w:rPr>
        <w:t> </w:t>
      </w:r>
      <w:r>
        <w:rPr>
          <w:sz w:val="18"/>
        </w:rPr>
        <w:t>significant</w:t>
      </w:r>
      <w:r>
        <w:rPr>
          <w:spacing w:val="-1"/>
          <w:sz w:val="18"/>
        </w:rPr>
        <w:t> </w:t>
      </w:r>
      <w:r>
        <w:rPr>
          <w:sz w:val="18"/>
        </w:rPr>
        <w:t>development</w:t>
      </w:r>
      <w:r>
        <w:rPr>
          <w:spacing w:val="-1"/>
          <w:sz w:val="18"/>
        </w:rPr>
        <w:t> </w:t>
      </w:r>
      <w:r>
        <w:rPr>
          <w:sz w:val="18"/>
        </w:rPr>
        <w:t>and</w:t>
      </w:r>
      <w:r>
        <w:rPr>
          <w:spacing w:val="-1"/>
          <w:sz w:val="18"/>
        </w:rPr>
        <w:t> </w:t>
      </w:r>
      <w:r>
        <w:rPr>
          <w:sz w:val="18"/>
        </w:rPr>
        <w:t>construction</w:t>
      </w:r>
      <w:r>
        <w:rPr>
          <w:spacing w:val="-1"/>
          <w:sz w:val="18"/>
        </w:rPr>
        <w:t> </w:t>
      </w:r>
      <w:r>
        <w:rPr>
          <w:spacing w:val="-2"/>
          <w:sz w:val="18"/>
        </w:rPr>
        <w:t>risks;</w:t>
      </w:r>
    </w:p>
    <w:p>
      <w:pPr>
        <w:pStyle w:val="ListParagraph"/>
        <w:numPr>
          <w:ilvl w:val="0"/>
          <w:numId w:val="2"/>
        </w:numPr>
        <w:tabs>
          <w:tab w:pos="792" w:val="left" w:leader="none"/>
        </w:tabs>
        <w:spacing w:line="235" w:lineRule="auto" w:before="13" w:after="0"/>
        <w:ind w:left="792" w:right="118" w:hanging="324"/>
        <w:jc w:val="left"/>
        <w:rPr>
          <w:sz w:val="18"/>
        </w:rPr>
      </w:pPr>
      <w:r>
        <w:rPr>
          <w:sz w:val="18"/>
        </w:rPr>
        <w:t>the fact that our insurance coverage may not be adequate to cover all possible losses that our properties could suffer, our insurance costs may increase and we may not be able to obtain similar insurance coverage in the future;</w:t>
      </w:r>
    </w:p>
    <w:p>
      <w:pPr>
        <w:pStyle w:val="ListParagraph"/>
        <w:numPr>
          <w:ilvl w:val="0"/>
          <w:numId w:val="2"/>
        </w:numPr>
        <w:tabs>
          <w:tab w:pos="792" w:val="left" w:leader="none"/>
        </w:tabs>
        <w:spacing w:line="203" w:lineRule="exact" w:before="0" w:after="0"/>
        <w:ind w:left="792" w:right="0" w:hanging="324"/>
        <w:jc w:val="left"/>
        <w:rPr>
          <w:sz w:val="18"/>
        </w:rPr>
      </w:pPr>
      <w:r>
        <w:rPr>
          <w:sz w:val="18"/>
        </w:rPr>
        <w:t>the</w:t>
      </w:r>
      <w:r>
        <w:rPr>
          <w:spacing w:val="-2"/>
          <w:sz w:val="18"/>
        </w:rPr>
        <w:t> </w:t>
      </w:r>
      <w:r>
        <w:rPr>
          <w:sz w:val="18"/>
        </w:rPr>
        <w:t>fact</w:t>
      </w:r>
      <w:r>
        <w:rPr>
          <w:spacing w:val="-1"/>
          <w:sz w:val="18"/>
        </w:rPr>
        <w:t> </w:t>
      </w:r>
      <w:r>
        <w:rPr>
          <w:sz w:val="18"/>
        </w:rPr>
        <w:t>that</w:t>
      </w:r>
      <w:r>
        <w:rPr>
          <w:spacing w:val="-1"/>
          <w:sz w:val="18"/>
        </w:rPr>
        <w:t> </w:t>
      </w:r>
      <w:r>
        <w:rPr>
          <w:sz w:val="18"/>
        </w:rPr>
        <w:t>a</w:t>
      </w:r>
      <w:r>
        <w:rPr>
          <w:spacing w:val="-1"/>
          <w:sz w:val="18"/>
        </w:rPr>
        <w:t> </w:t>
      </w:r>
      <w:r>
        <w:rPr>
          <w:sz w:val="18"/>
        </w:rPr>
        <w:t>failure</w:t>
      </w:r>
      <w:r>
        <w:rPr>
          <w:spacing w:val="-1"/>
          <w:sz w:val="18"/>
        </w:rPr>
        <w:t> </w:t>
      </w:r>
      <w:r>
        <w:rPr>
          <w:sz w:val="18"/>
        </w:rPr>
        <w:t>to</w:t>
      </w:r>
      <w:r>
        <w:rPr>
          <w:spacing w:val="-1"/>
          <w:sz w:val="18"/>
        </w:rPr>
        <w:t> </w:t>
      </w:r>
      <w:r>
        <w:rPr>
          <w:sz w:val="18"/>
        </w:rPr>
        <w:t>protect</w:t>
      </w:r>
      <w:r>
        <w:rPr>
          <w:spacing w:val="-2"/>
          <w:sz w:val="18"/>
        </w:rPr>
        <w:t> </w:t>
      </w:r>
      <w:r>
        <w:rPr>
          <w:sz w:val="18"/>
        </w:rPr>
        <w:t>our</w:t>
      </w:r>
      <w:r>
        <w:rPr>
          <w:spacing w:val="-1"/>
          <w:sz w:val="18"/>
        </w:rPr>
        <w:t> </w:t>
      </w:r>
      <w:r>
        <w:rPr>
          <w:sz w:val="18"/>
        </w:rPr>
        <w:t>trademarks</w:t>
      </w:r>
      <w:r>
        <w:rPr>
          <w:spacing w:val="-1"/>
          <w:sz w:val="18"/>
        </w:rPr>
        <w:t> </w:t>
      </w:r>
      <w:r>
        <w:rPr>
          <w:sz w:val="18"/>
        </w:rPr>
        <w:t>could</w:t>
      </w:r>
      <w:r>
        <w:rPr>
          <w:spacing w:val="-1"/>
          <w:sz w:val="18"/>
        </w:rPr>
        <w:t> </w:t>
      </w:r>
      <w:r>
        <w:rPr>
          <w:sz w:val="18"/>
        </w:rPr>
        <w:t>have</w:t>
      </w:r>
      <w:r>
        <w:rPr>
          <w:spacing w:val="-1"/>
          <w:sz w:val="18"/>
        </w:rPr>
        <w:t> </w:t>
      </w:r>
      <w:r>
        <w:rPr>
          <w:sz w:val="18"/>
        </w:rPr>
        <w:t>a</w:t>
      </w:r>
      <w:r>
        <w:rPr>
          <w:spacing w:val="-1"/>
          <w:sz w:val="18"/>
        </w:rPr>
        <w:t> </w:t>
      </w:r>
      <w:r>
        <w:rPr>
          <w:sz w:val="18"/>
        </w:rPr>
        <w:t>negative</w:t>
      </w:r>
      <w:r>
        <w:rPr>
          <w:spacing w:val="-2"/>
          <w:sz w:val="18"/>
        </w:rPr>
        <w:t> </w:t>
      </w:r>
      <w:r>
        <w:rPr>
          <w:sz w:val="18"/>
        </w:rPr>
        <w:t>impact</w:t>
      </w:r>
      <w:r>
        <w:rPr>
          <w:spacing w:val="-1"/>
          <w:sz w:val="18"/>
        </w:rPr>
        <w:t> </w:t>
      </w:r>
      <w:r>
        <w:rPr>
          <w:sz w:val="18"/>
        </w:rPr>
        <w:t>on</w:t>
      </w:r>
      <w:r>
        <w:rPr>
          <w:spacing w:val="-1"/>
          <w:sz w:val="18"/>
        </w:rPr>
        <w:t> </w:t>
      </w:r>
      <w:r>
        <w:rPr>
          <w:sz w:val="18"/>
        </w:rPr>
        <w:t>the</w:t>
      </w:r>
      <w:r>
        <w:rPr>
          <w:spacing w:val="-1"/>
          <w:sz w:val="18"/>
        </w:rPr>
        <w:t> </w:t>
      </w:r>
      <w:r>
        <w:rPr>
          <w:sz w:val="18"/>
        </w:rPr>
        <w:t>value</w:t>
      </w:r>
      <w:r>
        <w:rPr>
          <w:spacing w:val="-1"/>
          <w:sz w:val="18"/>
        </w:rPr>
        <w:t> </w:t>
      </w:r>
      <w:r>
        <w:rPr>
          <w:sz w:val="18"/>
        </w:rPr>
        <w:t>of</w:t>
      </w:r>
      <w:r>
        <w:rPr>
          <w:spacing w:val="-1"/>
          <w:sz w:val="18"/>
        </w:rPr>
        <w:t> </w:t>
      </w:r>
      <w:r>
        <w:rPr>
          <w:sz w:val="18"/>
        </w:rPr>
        <w:t>our</w:t>
      </w:r>
      <w:r>
        <w:rPr>
          <w:spacing w:val="-2"/>
          <w:sz w:val="18"/>
        </w:rPr>
        <w:t> </w:t>
      </w:r>
      <w:r>
        <w:rPr>
          <w:sz w:val="18"/>
        </w:rPr>
        <w:t>brand</w:t>
      </w:r>
      <w:r>
        <w:rPr>
          <w:spacing w:val="-1"/>
          <w:sz w:val="18"/>
        </w:rPr>
        <w:t> </w:t>
      </w:r>
      <w:r>
        <w:rPr>
          <w:sz w:val="18"/>
        </w:rPr>
        <w:t>names</w:t>
      </w:r>
      <w:r>
        <w:rPr>
          <w:spacing w:val="-1"/>
          <w:sz w:val="18"/>
        </w:rPr>
        <w:t> </w:t>
      </w:r>
      <w:r>
        <w:rPr>
          <w:sz w:val="18"/>
        </w:rPr>
        <w:t>and</w:t>
      </w:r>
      <w:r>
        <w:rPr>
          <w:spacing w:val="-1"/>
          <w:sz w:val="18"/>
        </w:rPr>
        <w:t> </w:t>
      </w:r>
      <w:r>
        <w:rPr>
          <w:sz w:val="18"/>
        </w:rPr>
        <w:t>adversely</w:t>
      </w:r>
      <w:r>
        <w:rPr>
          <w:spacing w:val="-1"/>
          <w:sz w:val="18"/>
        </w:rPr>
        <w:t> </w:t>
      </w:r>
      <w:r>
        <w:rPr>
          <w:sz w:val="18"/>
        </w:rPr>
        <w:t>affect</w:t>
      </w:r>
      <w:r>
        <w:rPr>
          <w:spacing w:val="-1"/>
          <w:sz w:val="18"/>
        </w:rPr>
        <w:t> </w:t>
      </w:r>
      <w:r>
        <w:rPr>
          <w:sz w:val="18"/>
        </w:rPr>
        <w:t>our</w:t>
      </w:r>
      <w:r>
        <w:rPr>
          <w:spacing w:val="-1"/>
          <w:sz w:val="18"/>
        </w:rPr>
        <w:t> </w:t>
      </w:r>
      <w:r>
        <w:rPr>
          <w:spacing w:val="-2"/>
          <w:sz w:val="18"/>
        </w:rPr>
        <w:t>business;</w:t>
      </w:r>
    </w:p>
    <w:p>
      <w:pPr>
        <w:pStyle w:val="ListParagraph"/>
        <w:numPr>
          <w:ilvl w:val="0"/>
          <w:numId w:val="2"/>
        </w:numPr>
        <w:tabs>
          <w:tab w:pos="792" w:val="left" w:leader="none"/>
        </w:tabs>
        <w:spacing w:line="205" w:lineRule="exact" w:before="9" w:after="0"/>
        <w:ind w:left="792" w:right="0" w:hanging="324"/>
        <w:jc w:val="left"/>
        <w:rPr>
          <w:sz w:val="18"/>
        </w:rPr>
      </w:pPr>
      <w:r>
        <w:rPr>
          <w:sz w:val="18"/>
        </w:rPr>
        <w:t>the</w:t>
      </w:r>
      <w:r>
        <w:rPr>
          <w:spacing w:val="-4"/>
          <w:sz w:val="18"/>
        </w:rPr>
        <w:t> </w:t>
      </w:r>
      <w:r>
        <w:rPr>
          <w:sz w:val="18"/>
        </w:rPr>
        <w:t>fact</w:t>
      </w:r>
      <w:r>
        <w:rPr>
          <w:spacing w:val="-1"/>
          <w:sz w:val="18"/>
        </w:rPr>
        <w:t> </w:t>
      </w:r>
      <w:r>
        <w:rPr>
          <w:sz w:val="18"/>
        </w:rPr>
        <w:t>that</w:t>
      </w:r>
      <w:r>
        <w:rPr>
          <w:spacing w:val="-1"/>
          <w:sz w:val="18"/>
        </w:rPr>
        <w:t> </w:t>
      </w:r>
      <w:r>
        <w:rPr>
          <w:sz w:val="18"/>
        </w:rPr>
        <w:t>a</w:t>
      </w:r>
      <w:r>
        <w:rPr>
          <w:spacing w:val="-2"/>
          <w:sz w:val="18"/>
        </w:rPr>
        <w:t> </w:t>
      </w:r>
      <w:r>
        <w:rPr>
          <w:sz w:val="18"/>
        </w:rPr>
        <w:t>significant</w:t>
      </w:r>
      <w:r>
        <w:rPr>
          <w:spacing w:val="-1"/>
          <w:sz w:val="18"/>
        </w:rPr>
        <w:t> </w:t>
      </w:r>
      <w:r>
        <w:rPr>
          <w:sz w:val="18"/>
        </w:rPr>
        <w:t>portion</w:t>
      </w:r>
      <w:r>
        <w:rPr>
          <w:spacing w:val="-1"/>
          <w:sz w:val="18"/>
        </w:rPr>
        <w:t> </w:t>
      </w:r>
      <w:r>
        <w:rPr>
          <w:sz w:val="18"/>
        </w:rPr>
        <w:t>of</w:t>
      </w:r>
      <w:r>
        <w:rPr>
          <w:spacing w:val="-1"/>
          <w:sz w:val="18"/>
        </w:rPr>
        <w:t> </w:t>
      </w:r>
      <w:r>
        <w:rPr>
          <w:sz w:val="18"/>
        </w:rPr>
        <w:t>our</w:t>
      </w:r>
      <w:r>
        <w:rPr>
          <w:spacing w:val="-2"/>
          <w:sz w:val="18"/>
        </w:rPr>
        <w:t> </w:t>
      </w:r>
      <w:r>
        <w:rPr>
          <w:sz w:val="18"/>
        </w:rPr>
        <w:t>labor</w:t>
      </w:r>
      <w:r>
        <w:rPr>
          <w:spacing w:val="-1"/>
          <w:sz w:val="18"/>
        </w:rPr>
        <w:t> </w:t>
      </w:r>
      <w:r>
        <w:rPr>
          <w:sz w:val="18"/>
        </w:rPr>
        <w:t>force</w:t>
      </w:r>
      <w:r>
        <w:rPr>
          <w:spacing w:val="-1"/>
          <w:sz w:val="18"/>
        </w:rPr>
        <w:t> </w:t>
      </w:r>
      <w:r>
        <w:rPr>
          <w:sz w:val="18"/>
        </w:rPr>
        <w:t>is</w:t>
      </w:r>
      <w:r>
        <w:rPr>
          <w:spacing w:val="-1"/>
          <w:sz w:val="18"/>
        </w:rPr>
        <w:t> </w:t>
      </w:r>
      <w:r>
        <w:rPr>
          <w:sz w:val="18"/>
        </w:rPr>
        <w:t>covered</w:t>
      </w:r>
      <w:r>
        <w:rPr>
          <w:spacing w:val="-2"/>
          <w:sz w:val="18"/>
        </w:rPr>
        <w:t> </w:t>
      </w:r>
      <w:r>
        <w:rPr>
          <w:sz w:val="18"/>
        </w:rPr>
        <w:t>by</w:t>
      </w:r>
      <w:r>
        <w:rPr>
          <w:spacing w:val="-1"/>
          <w:sz w:val="18"/>
        </w:rPr>
        <w:t> </w:t>
      </w:r>
      <w:r>
        <w:rPr>
          <w:sz w:val="18"/>
        </w:rPr>
        <w:t>collective</w:t>
      </w:r>
      <w:r>
        <w:rPr>
          <w:spacing w:val="-1"/>
          <w:sz w:val="18"/>
        </w:rPr>
        <w:t> </w:t>
      </w:r>
      <w:r>
        <w:rPr>
          <w:sz w:val="18"/>
        </w:rPr>
        <w:t>bargaining</w:t>
      </w:r>
      <w:r>
        <w:rPr>
          <w:spacing w:val="-1"/>
          <w:sz w:val="18"/>
        </w:rPr>
        <w:t> </w:t>
      </w:r>
      <w:r>
        <w:rPr>
          <w:spacing w:val="-2"/>
          <w:sz w:val="18"/>
        </w:rPr>
        <w:t>agreements;</w:t>
      </w:r>
    </w:p>
    <w:p>
      <w:pPr>
        <w:pStyle w:val="ListParagraph"/>
        <w:numPr>
          <w:ilvl w:val="0"/>
          <w:numId w:val="2"/>
        </w:numPr>
        <w:tabs>
          <w:tab w:pos="792" w:val="left" w:leader="none"/>
        </w:tabs>
        <w:spacing w:line="203" w:lineRule="exact" w:before="0" w:after="0"/>
        <w:ind w:left="792" w:right="0" w:hanging="324"/>
        <w:jc w:val="left"/>
        <w:rPr>
          <w:sz w:val="18"/>
        </w:rPr>
      </w:pPr>
      <w:r>
        <w:rPr>
          <w:sz w:val="18"/>
        </w:rPr>
        <w:t>the</w:t>
      </w:r>
      <w:r>
        <w:rPr>
          <w:spacing w:val="-2"/>
          <w:sz w:val="18"/>
        </w:rPr>
        <w:t> </w:t>
      </w:r>
      <w:r>
        <w:rPr>
          <w:sz w:val="18"/>
        </w:rPr>
        <w:t>sensitivity</w:t>
      </w:r>
      <w:r>
        <w:rPr>
          <w:spacing w:val="-1"/>
          <w:sz w:val="18"/>
        </w:rPr>
        <w:t> </w:t>
      </w:r>
      <w:r>
        <w:rPr>
          <w:sz w:val="18"/>
        </w:rPr>
        <w:t>of</w:t>
      </w:r>
      <w:r>
        <w:rPr>
          <w:spacing w:val="-2"/>
          <w:sz w:val="18"/>
        </w:rPr>
        <w:t> </w:t>
      </w:r>
      <w:r>
        <w:rPr>
          <w:sz w:val="18"/>
        </w:rPr>
        <w:t>our</w:t>
      </w:r>
      <w:r>
        <w:rPr>
          <w:spacing w:val="-1"/>
          <w:sz w:val="18"/>
        </w:rPr>
        <w:t> </w:t>
      </w:r>
      <w:r>
        <w:rPr>
          <w:sz w:val="18"/>
        </w:rPr>
        <w:t>business</w:t>
      </w:r>
      <w:r>
        <w:rPr>
          <w:spacing w:val="-2"/>
          <w:sz w:val="18"/>
        </w:rPr>
        <w:t> </w:t>
      </w:r>
      <w:r>
        <w:rPr>
          <w:sz w:val="18"/>
        </w:rPr>
        <w:t>to</w:t>
      </w:r>
      <w:r>
        <w:rPr>
          <w:spacing w:val="-1"/>
          <w:sz w:val="18"/>
        </w:rPr>
        <w:t> </w:t>
      </w:r>
      <w:r>
        <w:rPr>
          <w:sz w:val="18"/>
        </w:rPr>
        <w:t>energy</w:t>
      </w:r>
      <w:r>
        <w:rPr>
          <w:spacing w:val="-2"/>
          <w:sz w:val="18"/>
        </w:rPr>
        <w:t> </w:t>
      </w:r>
      <w:r>
        <w:rPr>
          <w:sz w:val="18"/>
        </w:rPr>
        <w:t>prices</w:t>
      </w:r>
      <w:r>
        <w:rPr>
          <w:spacing w:val="-1"/>
          <w:sz w:val="18"/>
        </w:rPr>
        <w:t> </w:t>
      </w:r>
      <w:r>
        <w:rPr>
          <w:sz w:val="18"/>
        </w:rPr>
        <w:t>and</w:t>
      </w:r>
      <w:r>
        <w:rPr>
          <w:spacing w:val="-1"/>
          <w:sz w:val="18"/>
        </w:rPr>
        <w:t> </w:t>
      </w:r>
      <w:r>
        <w:rPr>
          <w:sz w:val="18"/>
        </w:rPr>
        <w:t>a</w:t>
      </w:r>
      <w:r>
        <w:rPr>
          <w:spacing w:val="-2"/>
          <w:sz w:val="18"/>
        </w:rPr>
        <w:t> </w:t>
      </w:r>
      <w:r>
        <w:rPr>
          <w:sz w:val="18"/>
        </w:rPr>
        <w:t>rise</w:t>
      </w:r>
      <w:r>
        <w:rPr>
          <w:spacing w:val="-1"/>
          <w:sz w:val="18"/>
        </w:rPr>
        <w:t> </w:t>
      </w:r>
      <w:r>
        <w:rPr>
          <w:sz w:val="18"/>
        </w:rPr>
        <w:t>in</w:t>
      </w:r>
      <w:r>
        <w:rPr>
          <w:spacing w:val="-2"/>
          <w:sz w:val="18"/>
        </w:rPr>
        <w:t> </w:t>
      </w:r>
      <w:r>
        <w:rPr>
          <w:sz w:val="18"/>
        </w:rPr>
        <w:t>energy</w:t>
      </w:r>
      <w:r>
        <w:rPr>
          <w:spacing w:val="-1"/>
          <w:sz w:val="18"/>
        </w:rPr>
        <w:t> </w:t>
      </w:r>
      <w:r>
        <w:rPr>
          <w:sz w:val="18"/>
        </w:rPr>
        <w:t>prices</w:t>
      </w:r>
      <w:r>
        <w:rPr>
          <w:spacing w:val="-2"/>
          <w:sz w:val="18"/>
        </w:rPr>
        <w:t> </w:t>
      </w:r>
      <w:r>
        <w:rPr>
          <w:sz w:val="18"/>
        </w:rPr>
        <w:t>could</w:t>
      </w:r>
      <w:r>
        <w:rPr>
          <w:spacing w:val="-1"/>
          <w:sz w:val="18"/>
        </w:rPr>
        <w:t> </w:t>
      </w:r>
      <w:r>
        <w:rPr>
          <w:sz w:val="18"/>
        </w:rPr>
        <w:t>harm</w:t>
      </w:r>
      <w:r>
        <w:rPr>
          <w:spacing w:val="-2"/>
          <w:sz w:val="18"/>
        </w:rPr>
        <w:t> </w:t>
      </w:r>
      <w:r>
        <w:rPr>
          <w:sz w:val="18"/>
        </w:rPr>
        <w:t>our</w:t>
      </w:r>
      <w:r>
        <w:rPr>
          <w:spacing w:val="-1"/>
          <w:sz w:val="18"/>
        </w:rPr>
        <w:t> </w:t>
      </w:r>
      <w:r>
        <w:rPr>
          <w:sz w:val="18"/>
        </w:rPr>
        <w:t>operating</w:t>
      </w:r>
      <w:r>
        <w:rPr>
          <w:spacing w:val="-1"/>
          <w:sz w:val="18"/>
        </w:rPr>
        <w:t> </w:t>
      </w:r>
      <w:r>
        <w:rPr>
          <w:spacing w:val="-2"/>
          <w:sz w:val="18"/>
        </w:rPr>
        <w:t>results;</w:t>
      </w:r>
    </w:p>
    <w:p>
      <w:pPr>
        <w:pStyle w:val="ListParagraph"/>
        <w:numPr>
          <w:ilvl w:val="0"/>
          <w:numId w:val="2"/>
        </w:numPr>
        <w:tabs>
          <w:tab w:pos="792" w:val="left" w:leader="none"/>
        </w:tabs>
        <w:spacing w:line="249" w:lineRule="auto" w:before="0" w:after="0"/>
        <w:ind w:left="792" w:right="118" w:hanging="324"/>
        <w:jc w:val="left"/>
        <w:rPr>
          <w:sz w:val="18"/>
        </w:rPr>
      </w:pPr>
      <w:r>
        <w:rPr>
          <w:sz w:val="18"/>
        </w:rPr>
        <w:t>the potential failure of future efforts to expand through investments in other businesses and properties or through alliances or acquisitions, or to </w:t>
      </w:r>
      <w:r>
        <w:rPr>
          <w:sz w:val="18"/>
        </w:rPr>
        <w:t>divest some of our properties and other assets;</w:t>
      </w:r>
    </w:p>
    <w:p>
      <w:pPr>
        <w:pStyle w:val="ListParagraph"/>
        <w:numPr>
          <w:ilvl w:val="0"/>
          <w:numId w:val="2"/>
        </w:numPr>
        <w:tabs>
          <w:tab w:pos="792" w:val="left" w:leader="none"/>
        </w:tabs>
        <w:spacing w:line="235" w:lineRule="auto" w:before="0" w:after="0"/>
        <w:ind w:left="792" w:right="118" w:hanging="324"/>
        <w:jc w:val="left"/>
        <w:rPr>
          <w:sz w:val="18"/>
        </w:rPr>
      </w:pPr>
      <w:r>
        <w:rPr>
          <w:sz w:val="18"/>
        </w:rPr>
        <w:t>the potential that failure to maintain the integrity of our computer systems and internal customer information could result in damage to our reputation and/or subject us to fines, payment of damages, lawsuits or other restrictions on our use or transfer of data;</w:t>
      </w:r>
    </w:p>
    <w:p>
      <w:pPr>
        <w:pStyle w:val="ListParagraph"/>
        <w:numPr>
          <w:ilvl w:val="0"/>
          <w:numId w:val="2"/>
        </w:numPr>
        <w:tabs>
          <w:tab w:pos="792" w:val="left" w:leader="none"/>
        </w:tabs>
        <w:spacing w:line="205" w:lineRule="exact" w:before="0" w:after="0"/>
        <w:ind w:left="792" w:right="0" w:hanging="324"/>
        <w:jc w:val="left"/>
        <w:rPr>
          <w:sz w:val="18"/>
        </w:rPr>
      </w:pPr>
      <w:r>
        <w:rPr>
          <w:sz w:val="18"/>
        </w:rPr>
        <w:t>the</w:t>
      </w:r>
      <w:r>
        <w:rPr>
          <w:spacing w:val="-3"/>
          <w:sz w:val="18"/>
        </w:rPr>
        <w:t> </w:t>
      </w:r>
      <w:r>
        <w:rPr>
          <w:sz w:val="18"/>
        </w:rPr>
        <w:t>potential</w:t>
      </w:r>
      <w:r>
        <w:rPr>
          <w:spacing w:val="-1"/>
          <w:sz w:val="18"/>
        </w:rPr>
        <w:t> </w:t>
      </w:r>
      <w:r>
        <w:rPr>
          <w:sz w:val="18"/>
        </w:rPr>
        <w:t>reputational</w:t>
      </w:r>
      <w:r>
        <w:rPr>
          <w:spacing w:val="-1"/>
          <w:sz w:val="18"/>
        </w:rPr>
        <w:t> </w:t>
      </w:r>
      <w:r>
        <w:rPr>
          <w:sz w:val="18"/>
        </w:rPr>
        <w:t>harm</w:t>
      </w:r>
      <w:r>
        <w:rPr>
          <w:spacing w:val="-1"/>
          <w:sz w:val="18"/>
        </w:rPr>
        <w:t> </w:t>
      </w:r>
      <w:r>
        <w:rPr>
          <w:sz w:val="18"/>
        </w:rPr>
        <w:t>as</w:t>
      </w:r>
      <w:r>
        <w:rPr>
          <w:spacing w:val="-1"/>
          <w:sz w:val="18"/>
        </w:rPr>
        <w:t> </w:t>
      </w:r>
      <w:r>
        <w:rPr>
          <w:sz w:val="18"/>
        </w:rPr>
        <w:t>a</w:t>
      </w:r>
      <w:r>
        <w:rPr>
          <w:spacing w:val="-1"/>
          <w:sz w:val="18"/>
        </w:rPr>
        <w:t> </w:t>
      </w:r>
      <w:r>
        <w:rPr>
          <w:sz w:val="18"/>
        </w:rPr>
        <w:t>result</w:t>
      </w:r>
      <w:r>
        <w:rPr>
          <w:spacing w:val="-1"/>
          <w:sz w:val="18"/>
        </w:rPr>
        <w:t> </w:t>
      </w:r>
      <w:r>
        <w:rPr>
          <w:sz w:val="18"/>
        </w:rPr>
        <w:t>of</w:t>
      </w:r>
      <w:r>
        <w:rPr>
          <w:spacing w:val="-1"/>
          <w:sz w:val="18"/>
        </w:rPr>
        <w:t> </w:t>
      </w:r>
      <w:r>
        <w:rPr>
          <w:sz w:val="18"/>
        </w:rPr>
        <w:t>increased</w:t>
      </w:r>
      <w:r>
        <w:rPr>
          <w:spacing w:val="-1"/>
          <w:sz w:val="18"/>
        </w:rPr>
        <w:t> </w:t>
      </w:r>
      <w:r>
        <w:rPr>
          <w:sz w:val="18"/>
        </w:rPr>
        <w:t>scrutiny</w:t>
      </w:r>
      <w:r>
        <w:rPr>
          <w:spacing w:val="-1"/>
          <w:sz w:val="18"/>
        </w:rPr>
        <w:t> </w:t>
      </w:r>
      <w:r>
        <w:rPr>
          <w:sz w:val="18"/>
        </w:rPr>
        <w:t>related</w:t>
      </w:r>
      <w:r>
        <w:rPr>
          <w:spacing w:val="-1"/>
          <w:sz w:val="18"/>
        </w:rPr>
        <w:t> </w:t>
      </w:r>
      <w:r>
        <w:rPr>
          <w:sz w:val="18"/>
        </w:rPr>
        <w:t>to</w:t>
      </w:r>
      <w:r>
        <w:rPr>
          <w:spacing w:val="-1"/>
          <w:sz w:val="18"/>
        </w:rPr>
        <w:t> </w:t>
      </w:r>
      <w:r>
        <w:rPr>
          <w:sz w:val="18"/>
        </w:rPr>
        <w:t>our</w:t>
      </w:r>
      <w:r>
        <w:rPr>
          <w:spacing w:val="-1"/>
          <w:sz w:val="18"/>
        </w:rPr>
        <w:t> </w:t>
      </w:r>
      <w:r>
        <w:rPr>
          <w:sz w:val="18"/>
        </w:rPr>
        <w:t>corporate</w:t>
      </w:r>
      <w:r>
        <w:rPr>
          <w:spacing w:val="-1"/>
          <w:sz w:val="18"/>
        </w:rPr>
        <w:t> </w:t>
      </w:r>
      <w:r>
        <w:rPr>
          <w:sz w:val="18"/>
        </w:rPr>
        <w:t>social</w:t>
      </w:r>
      <w:r>
        <w:rPr>
          <w:spacing w:val="-1"/>
          <w:sz w:val="18"/>
        </w:rPr>
        <w:t> </w:t>
      </w:r>
      <w:r>
        <w:rPr>
          <w:sz w:val="18"/>
        </w:rPr>
        <w:t>responsibility</w:t>
      </w:r>
      <w:r>
        <w:rPr>
          <w:spacing w:val="-1"/>
          <w:sz w:val="18"/>
        </w:rPr>
        <w:t> </w:t>
      </w:r>
      <w:r>
        <w:rPr>
          <w:spacing w:val="-2"/>
          <w:sz w:val="18"/>
        </w:rPr>
        <w:t>efforts;</w:t>
      </w:r>
    </w:p>
    <w:p>
      <w:pPr>
        <w:pStyle w:val="ListParagraph"/>
        <w:numPr>
          <w:ilvl w:val="0"/>
          <w:numId w:val="2"/>
        </w:numPr>
        <w:tabs>
          <w:tab w:pos="792" w:val="left" w:leader="none"/>
        </w:tabs>
        <w:spacing w:line="203" w:lineRule="exact" w:before="0" w:after="0"/>
        <w:ind w:left="792" w:right="0" w:hanging="324"/>
        <w:jc w:val="left"/>
        <w:rPr>
          <w:sz w:val="18"/>
        </w:rPr>
      </w:pPr>
      <w:r>
        <w:rPr>
          <w:sz w:val="18"/>
        </w:rPr>
        <w:t>the</w:t>
      </w:r>
      <w:r>
        <w:rPr>
          <w:spacing w:val="-1"/>
          <w:sz w:val="18"/>
        </w:rPr>
        <w:t> </w:t>
      </w:r>
      <w:r>
        <w:rPr>
          <w:sz w:val="18"/>
        </w:rPr>
        <w:t>possibility</w:t>
      </w:r>
      <w:r>
        <w:rPr>
          <w:spacing w:val="-1"/>
          <w:sz w:val="18"/>
        </w:rPr>
        <w:t> </w:t>
      </w:r>
      <w:r>
        <w:rPr>
          <w:sz w:val="18"/>
        </w:rPr>
        <w:t>that</w:t>
      </w:r>
      <w:r>
        <w:rPr>
          <w:spacing w:val="-1"/>
          <w:sz w:val="18"/>
        </w:rPr>
        <w:t> </w:t>
      </w:r>
      <w:r>
        <w:rPr>
          <w:sz w:val="18"/>
        </w:rPr>
        <w:t>we</w:t>
      </w:r>
      <w:r>
        <w:rPr>
          <w:spacing w:val="-1"/>
          <w:sz w:val="18"/>
        </w:rPr>
        <w:t> </w:t>
      </w:r>
      <w:r>
        <w:rPr>
          <w:sz w:val="18"/>
        </w:rPr>
        <w:t>may</w:t>
      </w:r>
      <w:r>
        <w:rPr>
          <w:spacing w:val="-1"/>
          <w:sz w:val="18"/>
        </w:rPr>
        <w:t> </w:t>
      </w:r>
      <w:r>
        <w:rPr>
          <w:sz w:val="18"/>
        </w:rPr>
        <w:t>not</w:t>
      </w:r>
      <w:r>
        <w:rPr>
          <w:spacing w:val="-1"/>
          <w:sz w:val="18"/>
        </w:rPr>
        <w:t> </w:t>
      </w:r>
      <w:r>
        <w:rPr>
          <w:sz w:val="18"/>
        </w:rPr>
        <w:t>achieve</w:t>
      </w:r>
      <w:r>
        <w:rPr>
          <w:spacing w:val="-1"/>
          <w:sz w:val="18"/>
        </w:rPr>
        <w:t> </w:t>
      </w:r>
      <w:r>
        <w:rPr>
          <w:sz w:val="18"/>
        </w:rPr>
        <w:t>our</w:t>
      </w:r>
      <w:r>
        <w:rPr>
          <w:spacing w:val="-1"/>
          <w:sz w:val="18"/>
        </w:rPr>
        <w:t> </w:t>
      </w:r>
      <w:r>
        <w:rPr>
          <w:sz w:val="18"/>
        </w:rPr>
        <w:t>ESG</w:t>
      </w:r>
      <w:r>
        <w:rPr>
          <w:spacing w:val="-1"/>
          <w:sz w:val="18"/>
        </w:rPr>
        <w:t> </w:t>
      </w:r>
      <w:r>
        <w:rPr>
          <w:sz w:val="18"/>
        </w:rPr>
        <w:t>related</w:t>
      </w:r>
      <w:r>
        <w:rPr>
          <w:spacing w:val="-1"/>
          <w:sz w:val="18"/>
        </w:rPr>
        <w:t> </w:t>
      </w:r>
      <w:r>
        <w:rPr>
          <w:sz w:val="18"/>
        </w:rPr>
        <w:t>goals</w:t>
      </w:r>
      <w:r>
        <w:rPr>
          <w:spacing w:val="-1"/>
          <w:sz w:val="18"/>
        </w:rPr>
        <w:t> </w:t>
      </w:r>
      <w:r>
        <w:rPr>
          <w:sz w:val="18"/>
        </w:rPr>
        <w:t>or</w:t>
      </w:r>
      <w:r>
        <w:rPr>
          <w:spacing w:val="-1"/>
          <w:sz w:val="18"/>
        </w:rPr>
        <w:t> </w:t>
      </w:r>
      <w:r>
        <w:rPr>
          <w:sz w:val="18"/>
        </w:rPr>
        <w:t>that</w:t>
      </w:r>
      <w:r>
        <w:rPr>
          <w:spacing w:val="-1"/>
          <w:sz w:val="18"/>
        </w:rPr>
        <w:t> </w:t>
      </w:r>
      <w:r>
        <w:rPr>
          <w:sz w:val="18"/>
        </w:rPr>
        <w:t>our</w:t>
      </w:r>
      <w:r>
        <w:rPr>
          <w:spacing w:val="-1"/>
          <w:sz w:val="18"/>
        </w:rPr>
        <w:t> </w:t>
      </w:r>
      <w:r>
        <w:rPr>
          <w:sz w:val="18"/>
        </w:rPr>
        <w:t>ESG</w:t>
      </w:r>
      <w:r>
        <w:rPr>
          <w:spacing w:val="-1"/>
          <w:sz w:val="18"/>
        </w:rPr>
        <w:t> </w:t>
      </w:r>
      <w:r>
        <w:rPr>
          <w:sz w:val="18"/>
        </w:rPr>
        <w:t>initiatives</w:t>
      </w:r>
      <w:r>
        <w:rPr>
          <w:spacing w:val="-1"/>
          <w:sz w:val="18"/>
        </w:rPr>
        <w:t> </w:t>
      </w:r>
      <w:r>
        <w:rPr>
          <w:sz w:val="18"/>
        </w:rPr>
        <w:t>may</w:t>
      </w:r>
      <w:r>
        <w:rPr>
          <w:spacing w:val="-1"/>
          <w:sz w:val="18"/>
        </w:rPr>
        <w:t> </w:t>
      </w:r>
      <w:r>
        <w:rPr>
          <w:sz w:val="18"/>
        </w:rPr>
        <w:t>not</w:t>
      </w:r>
      <w:r>
        <w:rPr>
          <w:spacing w:val="-1"/>
          <w:sz w:val="18"/>
        </w:rPr>
        <w:t> </w:t>
      </w:r>
      <w:r>
        <w:rPr>
          <w:sz w:val="18"/>
        </w:rPr>
        <w:t>result</w:t>
      </w:r>
      <w:r>
        <w:rPr>
          <w:spacing w:val="-1"/>
          <w:sz w:val="18"/>
        </w:rPr>
        <w:t> </w:t>
      </w:r>
      <w:r>
        <w:rPr>
          <w:sz w:val="18"/>
        </w:rPr>
        <w:t>in</w:t>
      </w:r>
      <w:r>
        <w:rPr>
          <w:spacing w:val="-1"/>
          <w:sz w:val="18"/>
        </w:rPr>
        <w:t> </w:t>
      </w:r>
      <w:r>
        <w:rPr>
          <w:sz w:val="18"/>
        </w:rPr>
        <w:t>their</w:t>
      </w:r>
      <w:r>
        <w:rPr>
          <w:spacing w:val="-1"/>
          <w:sz w:val="18"/>
        </w:rPr>
        <w:t> </w:t>
      </w:r>
      <w:r>
        <w:rPr>
          <w:sz w:val="18"/>
        </w:rPr>
        <w:t>intended</w:t>
      </w:r>
      <w:r>
        <w:rPr>
          <w:spacing w:val="-1"/>
          <w:sz w:val="18"/>
        </w:rPr>
        <w:t> </w:t>
      </w:r>
      <w:r>
        <w:rPr>
          <w:sz w:val="18"/>
        </w:rPr>
        <w:t>or</w:t>
      </w:r>
      <w:r>
        <w:rPr>
          <w:spacing w:val="-1"/>
          <w:sz w:val="18"/>
        </w:rPr>
        <w:t> </w:t>
      </w:r>
      <w:r>
        <w:rPr>
          <w:sz w:val="18"/>
        </w:rPr>
        <w:t>anticipated</w:t>
      </w:r>
      <w:r>
        <w:rPr>
          <w:spacing w:val="-1"/>
          <w:sz w:val="18"/>
        </w:rPr>
        <w:t> </w:t>
      </w:r>
      <w:r>
        <w:rPr>
          <w:spacing w:val="-2"/>
          <w:sz w:val="18"/>
        </w:rPr>
        <w:t>benefits;</w:t>
      </w:r>
    </w:p>
    <w:p>
      <w:pPr>
        <w:pStyle w:val="ListParagraph"/>
        <w:numPr>
          <w:ilvl w:val="0"/>
          <w:numId w:val="2"/>
        </w:numPr>
        <w:tabs>
          <w:tab w:pos="792" w:val="left" w:leader="none"/>
        </w:tabs>
        <w:spacing w:line="205" w:lineRule="exact" w:before="0" w:after="0"/>
        <w:ind w:left="792" w:right="0" w:hanging="324"/>
        <w:jc w:val="left"/>
        <w:rPr>
          <w:sz w:val="18"/>
        </w:rPr>
      </w:pPr>
      <w:r>
        <w:rPr>
          <w:sz w:val="18"/>
        </w:rPr>
        <w:t>extreme</w:t>
      </w:r>
      <w:r>
        <w:rPr>
          <w:spacing w:val="-1"/>
          <w:sz w:val="18"/>
        </w:rPr>
        <w:t> </w:t>
      </w:r>
      <w:r>
        <w:rPr>
          <w:sz w:val="18"/>
        </w:rPr>
        <w:t>weather</w:t>
      </w:r>
      <w:r>
        <w:rPr>
          <w:spacing w:val="-1"/>
          <w:sz w:val="18"/>
        </w:rPr>
        <w:t> </w:t>
      </w:r>
      <w:r>
        <w:rPr>
          <w:sz w:val="18"/>
        </w:rPr>
        <w:t>conditions</w:t>
      </w:r>
      <w:r>
        <w:rPr>
          <w:spacing w:val="-1"/>
          <w:sz w:val="18"/>
        </w:rPr>
        <w:t> </w:t>
      </w:r>
      <w:r>
        <w:rPr>
          <w:sz w:val="18"/>
        </w:rPr>
        <w:t>or</w:t>
      </w:r>
      <w:r>
        <w:rPr>
          <w:spacing w:val="-1"/>
          <w:sz w:val="18"/>
        </w:rPr>
        <w:t> </w:t>
      </w:r>
      <w:r>
        <w:rPr>
          <w:sz w:val="18"/>
        </w:rPr>
        <w:t>climate</w:t>
      </w:r>
      <w:r>
        <w:rPr>
          <w:spacing w:val="-1"/>
          <w:sz w:val="18"/>
        </w:rPr>
        <w:t> </w:t>
      </w:r>
      <w:r>
        <w:rPr>
          <w:sz w:val="18"/>
        </w:rPr>
        <w:t>change</w:t>
      </w:r>
      <w:r>
        <w:rPr>
          <w:spacing w:val="-1"/>
          <w:sz w:val="18"/>
        </w:rPr>
        <w:t> </w:t>
      </w:r>
      <w:r>
        <w:rPr>
          <w:sz w:val="18"/>
        </w:rPr>
        <w:t>may</w:t>
      </w:r>
      <w:r>
        <w:rPr>
          <w:spacing w:val="-1"/>
          <w:sz w:val="18"/>
        </w:rPr>
        <w:t> </w:t>
      </w:r>
      <w:r>
        <w:rPr>
          <w:sz w:val="18"/>
        </w:rPr>
        <w:t>cause</w:t>
      </w:r>
      <w:r>
        <w:rPr>
          <w:spacing w:val="-1"/>
          <w:sz w:val="18"/>
        </w:rPr>
        <w:t> </w:t>
      </w:r>
      <w:r>
        <w:rPr>
          <w:sz w:val="18"/>
        </w:rPr>
        <w:t>property</w:t>
      </w:r>
      <w:r>
        <w:rPr>
          <w:spacing w:val="-1"/>
          <w:sz w:val="18"/>
        </w:rPr>
        <w:t> </w:t>
      </w:r>
      <w:r>
        <w:rPr>
          <w:sz w:val="18"/>
        </w:rPr>
        <w:t>damage</w:t>
      </w:r>
      <w:r>
        <w:rPr>
          <w:spacing w:val="-1"/>
          <w:sz w:val="18"/>
        </w:rPr>
        <w:t> </w:t>
      </w:r>
      <w:r>
        <w:rPr>
          <w:sz w:val="18"/>
        </w:rPr>
        <w:t>or</w:t>
      </w:r>
      <w:r>
        <w:rPr>
          <w:spacing w:val="-1"/>
          <w:sz w:val="18"/>
        </w:rPr>
        <w:t> </w:t>
      </w:r>
      <w:r>
        <w:rPr>
          <w:sz w:val="18"/>
        </w:rPr>
        <w:t>interrupt</w:t>
      </w:r>
      <w:r>
        <w:rPr>
          <w:spacing w:val="-1"/>
          <w:sz w:val="18"/>
        </w:rPr>
        <w:t> </w:t>
      </w:r>
      <w:r>
        <w:rPr>
          <w:spacing w:val="-2"/>
          <w:sz w:val="18"/>
        </w:rPr>
        <w:t>business;</w:t>
      </w:r>
    </w:p>
    <w:p>
      <w:pPr>
        <w:pStyle w:val="ListParagraph"/>
        <w:numPr>
          <w:ilvl w:val="0"/>
          <w:numId w:val="2"/>
        </w:numPr>
        <w:tabs>
          <w:tab w:pos="792" w:val="left" w:leader="none"/>
        </w:tabs>
        <w:spacing w:line="205" w:lineRule="exact" w:before="7" w:after="0"/>
        <w:ind w:left="792" w:right="0" w:hanging="324"/>
        <w:jc w:val="left"/>
        <w:rPr>
          <w:sz w:val="18"/>
        </w:rPr>
      </w:pPr>
      <w:r>
        <w:rPr>
          <w:sz w:val="18"/>
        </w:rPr>
        <w:t>water</w:t>
      </w:r>
      <w:r>
        <w:rPr>
          <w:spacing w:val="-1"/>
          <w:sz w:val="18"/>
        </w:rPr>
        <w:t> </w:t>
      </w:r>
      <w:r>
        <w:rPr>
          <w:sz w:val="18"/>
        </w:rPr>
        <w:t>scarcity</w:t>
      </w:r>
      <w:r>
        <w:rPr>
          <w:spacing w:val="-1"/>
          <w:sz w:val="18"/>
        </w:rPr>
        <w:t> </w:t>
      </w:r>
      <w:r>
        <w:rPr>
          <w:sz w:val="18"/>
        </w:rPr>
        <w:t>could</w:t>
      </w:r>
      <w:r>
        <w:rPr>
          <w:spacing w:val="-1"/>
          <w:sz w:val="18"/>
        </w:rPr>
        <w:t> </w:t>
      </w:r>
      <w:r>
        <w:rPr>
          <w:sz w:val="18"/>
        </w:rPr>
        <w:t>negatively</w:t>
      </w:r>
      <w:r>
        <w:rPr>
          <w:spacing w:val="-1"/>
          <w:sz w:val="18"/>
        </w:rPr>
        <w:t> </w:t>
      </w:r>
      <w:r>
        <w:rPr>
          <w:sz w:val="18"/>
        </w:rPr>
        <w:t>impact</w:t>
      </w:r>
      <w:r>
        <w:rPr>
          <w:spacing w:val="-1"/>
          <w:sz w:val="18"/>
        </w:rPr>
        <w:t> </w:t>
      </w:r>
      <w:r>
        <w:rPr>
          <w:sz w:val="18"/>
        </w:rPr>
        <w:t>our</w:t>
      </w:r>
      <w:r>
        <w:rPr>
          <w:spacing w:val="-1"/>
          <w:sz w:val="18"/>
        </w:rPr>
        <w:t> </w:t>
      </w:r>
      <w:r>
        <w:rPr>
          <w:spacing w:val="-2"/>
          <w:sz w:val="18"/>
        </w:rPr>
        <w:t>operations;</w:t>
      </w:r>
    </w:p>
    <w:p>
      <w:pPr>
        <w:pStyle w:val="ListParagraph"/>
        <w:numPr>
          <w:ilvl w:val="0"/>
          <w:numId w:val="2"/>
        </w:numPr>
        <w:tabs>
          <w:tab w:pos="792" w:val="left" w:leader="none"/>
        </w:tabs>
        <w:spacing w:line="235" w:lineRule="auto" w:before="1" w:after="0"/>
        <w:ind w:left="792" w:right="118" w:hanging="324"/>
        <w:jc w:val="left"/>
        <w:rPr>
          <w:sz w:val="18"/>
        </w:rPr>
      </w:pPr>
      <w:r>
        <w:rPr>
          <w:sz w:val="18"/>
        </w:rPr>
        <w:t>the fact that our businesses are subject to extensive regulation and the cost of compliance or failure to comply with such regulations could </w:t>
      </w:r>
      <w:r>
        <w:rPr>
          <w:sz w:val="18"/>
        </w:rPr>
        <w:t>adversely affect our business;</w:t>
      </w:r>
    </w:p>
    <w:p>
      <w:pPr>
        <w:pStyle w:val="ListParagraph"/>
        <w:numPr>
          <w:ilvl w:val="0"/>
          <w:numId w:val="2"/>
        </w:numPr>
        <w:tabs>
          <w:tab w:pos="792" w:val="left" w:leader="none"/>
        </w:tabs>
        <w:spacing w:line="249" w:lineRule="auto" w:before="0" w:after="0"/>
        <w:ind w:left="792" w:right="118" w:hanging="324"/>
        <w:jc w:val="left"/>
        <w:rPr>
          <w:sz w:val="18"/>
        </w:rPr>
      </w:pPr>
      <w:r>
        <w:rPr>
          <w:sz w:val="18"/>
        </w:rPr>
        <w:t>the risks associated with doing business outside of the United States and the impact of any potential violations of the Foreign Corrupt Practices</w:t>
      </w:r>
      <w:r>
        <w:rPr>
          <w:spacing w:val="-8"/>
          <w:sz w:val="18"/>
        </w:rPr>
        <w:t> </w:t>
      </w:r>
      <w:r>
        <w:rPr>
          <w:sz w:val="18"/>
        </w:rPr>
        <w:t>Act or other similar anti-corruption laws;</w:t>
      </w:r>
    </w:p>
    <w:p>
      <w:pPr>
        <w:pStyle w:val="ListParagraph"/>
        <w:numPr>
          <w:ilvl w:val="0"/>
          <w:numId w:val="2"/>
        </w:numPr>
        <w:tabs>
          <w:tab w:pos="792" w:val="left" w:leader="none"/>
        </w:tabs>
        <w:spacing w:line="193" w:lineRule="exact" w:before="0" w:after="0"/>
        <w:ind w:left="792" w:right="0" w:hanging="324"/>
        <w:jc w:val="left"/>
        <w:rPr>
          <w:sz w:val="18"/>
        </w:rPr>
      </w:pPr>
      <w:r>
        <w:rPr>
          <w:sz w:val="18"/>
        </w:rPr>
        <w:t>increases</w:t>
      </w:r>
      <w:r>
        <w:rPr>
          <w:spacing w:val="-3"/>
          <w:sz w:val="18"/>
        </w:rPr>
        <w:t> </w:t>
      </w:r>
      <w:r>
        <w:rPr>
          <w:sz w:val="18"/>
        </w:rPr>
        <w:t>in</w:t>
      </w:r>
      <w:r>
        <w:rPr>
          <w:spacing w:val="-1"/>
          <w:sz w:val="18"/>
        </w:rPr>
        <w:t> </w:t>
      </w:r>
      <w:r>
        <w:rPr>
          <w:sz w:val="18"/>
        </w:rPr>
        <w:t>gaming</w:t>
      </w:r>
      <w:r>
        <w:rPr>
          <w:spacing w:val="-1"/>
          <w:sz w:val="18"/>
        </w:rPr>
        <w:t> </w:t>
      </w:r>
      <w:r>
        <w:rPr>
          <w:sz w:val="18"/>
        </w:rPr>
        <w:t>taxes</w:t>
      </w:r>
      <w:r>
        <w:rPr>
          <w:spacing w:val="-1"/>
          <w:sz w:val="18"/>
        </w:rPr>
        <w:t> </w:t>
      </w:r>
      <w:r>
        <w:rPr>
          <w:sz w:val="18"/>
        </w:rPr>
        <w:t>and</w:t>
      </w:r>
      <w:r>
        <w:rPr>
          <w:spacing w:val="-1"/>
          <w:sz w:val="18"/>
        </w:rPr>
        <w:t> </w:t>
      </w:r>
      <w:r>
        <w:rPr>
          <w:sz w:val="18"/>
        </w:rPr>
        <w:t>fees</w:t>
      </w:r>
      <w:r>
        <w:rPr>
          <w:spacing w:val="-1"/>
          <w:sz w:val="18"/>
        </w:rPr>
        <w:t> </w:t>
      </w:r>
      <w:r>
        <w:rPr>
          <w:sz w:val="18"/>
        </w:rPr>
        <w:t>in</w:t>
      </w:r>
      <w:r>
        <w:rPr>
          <w:spacing w:val="-1"/>
          <w:sz w:val="18"/>
        </w:rPr>
        <w:t> </w:t>
      </w:r>
      <w:r>
        <w:rPr>
          <w:sz w:val="18"/>
        </w:rPr>
        <w:t>the</w:t>
      </w:r>
      <w:r>
        <w:rPr>
          <w:spacing w:val="-1"/>
          <w:sz w:val="18"/>
        </w:rPr>
        <w:t> </w:t>
      </w:r>
      <w:r>
        <w:rPr>
          <w:sz w:val="18"/>
        </w:rPr>
        <w:t>jurisdictions</w:t>
      </w:r>
      <w:r>
        <w:rPr>
          <w:spacing w:val="-1"/>
          <w:sz w:val="18"/>
        </w:rPr>
        <w:t> </w:t>
      </w:r>
      <w:r>
        <w:rPr>
          <w:sz w:val="18"/>
        </w:rPr>
        <w:t>in</w:t>
      </w:r>
      <w:r>
        <w:rPr>
          <w:spacing w:val="-1"/>
          <w:sz w:val="18"/>
        </w:rPr>
        <w:t> </w:t>
      </w:r>
      <w:r>
        <w:rPr>
          <w:sz w:val="18"/>
        </w:rPr>
        <w:t>which</w:t>
      </w:r>
      <w:r>
        <w:rPr>
          <w:spacing w:val="-1"/>
          <w:sz w:val="18"/>
        </w:rPr>
        <w:t> </w:t>
      </w:r>
      <w:r>
        <w:rPr>
          <w:sz w:val="18"/>
        </w:rPr>
        <w:t>we</w:t>
      </w:r>
      <w:r>
        <w:rPr>
          <w:spacing w:val="-1"/>
          <w:sz w:val="18"/>
        </w:rPr>
        <w:t> </w:t>
      </w:r>
      <w:r>
        <w:rPr>
          <w:spacing w:val="-2"/>
          <w:sz w:val="18"/>
        </w:rPr>
        <w:t>operate;</w:t>
      </w:r>
    </w:p>
    <w:p>
      <w:pPr>
        <w:pStyle w:val="ListParagraph"/>
        <w:numPr>
          <w:ilvl w:val="0"/>
          <w:numId w:val="2"/>
        </w:numPr>
        <w:tabs>
          <w:tab w:pos="792" w:val="left" w:leader="none"/>
        </w:tabs>
        <w:spacing w:line="249" w:lineRule="auto" w:before="0" w:after="0"/>
        <w:ind w:left="792" w:right="118" w:hanging="324"/>
        <w:jc w:val="left"/>
        <w:rPr>
          <w:sz w:val="18"/>
        </w:rPr>
      </w:pPr>
      <w:r>
        <w:rPr>
          <w:sz w:val="18"/>
        </w:rPr>
        <w:t>our ability to recognize our foreign tax credit deferred tax asset and the variability of the valuation allowance we may apply against such deferred </w:t>
      </w:r>
      <w:r>
        <w:rPr>
          <w:sz w:val="18"/>
        </w:rPr>
        <w:t>tax </w:t>
      </w:r>
      <w:r>
        <w:rPr>
          <w:spacing w:val="-2"/>
          <w:sz w:val="18"/>
        </w:rPr>
        <w:t>asset;</w:t>
      </w:r>
    </w:p>
    <w:p>
      <w:pPr>
        <w:pStyle w:val="ListParagraph"/>
        <w:numPr>
          <w:ilvl w:val="0"/>
          <w:numId w:val="2"/>
        </w:numPr>
        <w:tabs>
          <w:tab w:pos="792" w:val="left" w:leader="none"/>
        </w:tabs>
        <w:spacing w:line="193" w:lineRule="exact" w:before="0" w:after="0"/>
        <w:ind w:left="792" w:right="0" w:hanging="324"/>
        <w:jc w:val="left"/>
        <w:rPr>
          <w:sz w:val="18"/>
        </w:rPr>
      </w:pPr>
      <w:r>
        <w:rPr>
          <w:sz w:val="18"/>
        </w:rPr>
        <w:t>changes</w:t>
      </w:r>
      <w:r>
        <w:rPr>
          <w:spacing w:val="-1"/>
          <w:sz w:val="18"/>
        </w:rPr>
        <w:t> </w:t>
      </w:r>
      <w:r>
        <w:rPr>
          <w:sz w:val="18"/>
        </w:rPr>
        <w:t>to</w:t>
      </w:r>
      <w:r>
        <w:rPr>
          <w:spacing w:val="-1"/>
          <w:sz w:val="18"/>
        </w:rPr>
        <w:t> </w:t>
      </w:r>
      <w:r>
        <w:rPr>
          <w:sz w:val="18"/>
        </w:rPr>
        <w:t>fiscal</w:t>
      </w:r>
      <w:r>
        <w:rPr>
          <w:spacing w:val="-1"/>
          <w:sz w:val="18"/>
        </w:rPr>
        <w:t> </w:t>
      </w:r>
      <w:r>
        <w:rPr>
          <w:sz w:val="18"/>
        </w:rPr>
        <w:t>and</w:t>
      </w:r>
      <w:r>
        <w:rPr>
          <w:spacing w:val="-1"/>
          <w:sz w:val="18"/>
        </w:rPr>
        <w:t> </w:t>
      </w:r>
      <w:r>
        <w:rPr>
          <w:sz w:val="18"/>
        </w:rPr>
        <w:t>tax</w:t>
      </w:r>
      <w:r>
        <w:rPr>
          <w:spacing w:val="-1"/>
          <w:sz w:val="18"/>
        </w:rPr>
        <w:t> </w:t>
      </w:r>
      <w:r>
        <w:rPr>
          <w:spacing w:val="-2"/>
          <w:sz w:val="18"/>
        </w:rPr>
        <w:t>policies;</w:t>
      </w:r>
    </w:p>
    <w:p>
      <w:pPr>
        <w:pStyle w:val="ListParagraph"/>
        <w:numPr>
          <w:ilvl w:val="0"/>
          <w:numId w:val="2"/>
        </w:numPr>
        <w:tabs>
          <w:tab w:pos="792" w:val="left" w:leader="none"/>
        </w:tabs>
        <w:spacing w:line="205" w:lineRule="exact" w:before="0" w:after="0"/>
        <w:ind w:left="792" w:right="0" w:hanging="324"/>
        <w:jc w:val="left"/>
        <w:rPr>
          <w:sz w:val="18"/>
        </w:rPr>
      </w:pPr>
      <w:r>
        <w:rPr>
          <w:sz w:val="18"/>
        </w:rPr>
        <w:t>risks</w:t>
      </w:r>
      <w:r>
        <w:rPr>
          <w:spacing w:val="-1"/>
          <w:sz w:val="18"/>
        </w:rPr>
        <w:t> </w:t>
      </w:r>
      <w:r>
        <w:rPr>
          <w:sz w:val="18"/>
        </w:rPr>
        <w:t>related</w:t>
      </w:r>
      <w:r>
        <w:rPr>
          <w:spacing w:val="-1"/>
          <w:sz w:val="18"/>
        </w:rPr>
        <w:t> </w:t>
      </w:r>
      <w:r>
        <w:rPr>
          <w:sz w:val="18"/>
        </w:rPr>
        <w:t>to</w:t>
      </w:r>
      <w:r>
        <w:rPr>
          <w:spacing w:val="-1"/>
          <w:sz w:val="18"/>
        </w:rPr>
        <w:t> </w:t>
      </w:r>
      <w:r>
        <w:rPr>
          <w:sz w:val="18"/>
        </w:rPr>
        <w:t>pending</w:t>
      </w:r>
      <w:r>
        <w:rPr>
          <w:spacing w:val="-1"/>
          <w:sz w:val="18"/>
        </w:rPr>
        <w:t> </w:t>
      </w:r>
      <w:r>
        <w:rPr>
          <w:sz w:val="18"/>
        </w:rPr>
        <w:t>claims</w:t>
      </w:r>
      <w:r>
        <w:rPr>
          <w:spacing w:val="-1"/>
          <w:sz w:val="18"/>
        </w:rPr>
        <w:t> </w:t>
      </w:r>
      <w:r>
        <w:rPr>
          <w:sz w:val="18"/>
        </w:rPr>
        <w:t>that</w:t>
      </w:r>
      <w:r>
        <w:rPr>
          <w:spacing w:val="-1"/>
          <w:sz w:val="18"/>
        </w:rPr>
        <w:t> </w:t>
      </w:r>
      <w:r>
        <w:rPr>
          <w:sz w:val="18"/>
        </w:rPr>
        <w:t>have</w:t>
      </w:r>
      <w:r>
        <w:rPr>
          <w:spacing w:val="-1"/>
          <w:sz w:val="18"/>
        </w:rPr>
        <w:t> </w:t>
      </w:r>
      <w:r>
        <w:rPr>
          <w:sz w:val="18"/>
        </w:rPr>
        <w:t>been,</w:t>
      </w:r>
      <w:r>
        <w:rPr>
          <w:spacing w:val="-1"/>
          <w:sz w:val="18"/>
        </w:rPr>
        <w:t> </w:t>
      </w:r>
      <w:r>
        <w:rPr>
          <w:sz w:val="18"/>
        </w:rPr>
        <w:t>or</w:t>
      </w:r>
      <w:r>
        <w:rPr>
          <w:spacing w:val="-1"/>
          <w:sz w:val="18"/>
        </w:rPr>
        <w:t> </w:t>
      </w:r>
      <w:r>
        <w:rPr>
          <w:sz w:val="18"/>
        </w:rPr>
        <w:t>future</w:t>
      </w:r>
      <w:r>
        <w:rPr>
          <w:spacing w:val="-1"/>
          <w:sz w:val="18"/>
        </w:rPr>
        <w:t> </w:t>
      </w:r>
      <w:r>
        <w:rPr>
          <w:sz w:val="18"/>
        </w:rPr>
        <w:t>claims</w:t>
      </w:r>
      <w:r>
        <w:rPr>
          <w:spacing w:val="-1"/>
          <w:sz w:val="18"/>
        </w:rPr>
        <w:t> </w:t>
      </w:r>
      <w:r>
        <w:rPr>
          <w:sz w:val="18"/>
        </w:rPr>
        <w:t>that</w:t>
      </w:r>
      <w:r>
        <w:rPr>
          <w:spacing w:val="-1"/>
          <w:sz w:val="18"/>
        </w:rPr>
        <w:t> </w:t>
      </w:r>
      <w:r>
        <w:rPr>
          <w:sz w:val="18"/>
        </w:rPr>
        <w:t>may</w:t>
      </w:r>
      <w:r>
        <w:rPr>
          <w:spacing w:val="-1"/>
          <w:sz w:val="18"/>
        </w:rPr>
        <w:t> </w:t>
      </w:r>
      <w:r>
        <w:rPr>
          <w:sz w:val="18"/>
        </w:rPr>
        <w:t>be</w:t>
      </w:r>
      <w:r>
        <w:rPr>
          <w:spacing w:val="-1"/>
          <w:sz w:val="18"/>
        </w:rPr>
        <w:t> </w:t>
      </w:r>
      <w:r>
        <w:rPr>
          <w:sz w:val="18"/>
        </w:rPr>
        <w:t>brought</w:t>
      </w:r>
      <w:r>
        <w:rPr>
          <w:spacing w:val="-1"/>
          <w:sz w:val="18"/>
        </w:rPr>
        <w:t> </w:t>
      </w:r>
      <w:r>
        <w:rPr>
          <w:sz w:val="18"/>
        </w:rPr>
        <w:t>against</w:t>
      </w:r>
      <w:r>
        <w:rPr>
          <w:spacing w:val="-1"/>
          <w:sz w:val="18"/>
        </w:rPr>
        <w:t> </w:t>
      </w:r>
      <w:r>
        <w:rPr>
          <w:spacing w:val="-5"/>
          <w:sz w:val="18"/>
        </w:rPr>
        <w:t>us;</w:t>
      </w:r>
    </w:p>
    <w:p>
      <w:pPr>
        <w:pStyle w:val="ListParagraph"/>
        <w:numPr>
          <w:ilvl w:val="0"/>
          <w:numId w:val="2"/>
        </w:numPr>
        <w:tabs>
          <w:tab w:pos="792" w:val="left" w:leader="none"/>
        </w:tabs>
        <w:spacing w:line="235" w:lineRule="auto" w:before="6" w:after="0"/>
        <w:ind w:left="792" w:right="118" w:hanging="324"/>
        <w:jc w:val="both"/>
        <w:rPr>
          <w:sz w:val="18"/>
        </w:rPr>
      </w:pPr>
      <w:r>
        <w:rPr>
          <w:sz w:val="18"/>
        </w:rPr>
        <w:t>disruptions in the availability of our computer systems, through cyber-attacks or otherwise, which could impact our ability to service our customers and adversely affect our sales and the results of operations;</w:t>
      </w:r>
    </w:p>
    <w:p>
      <w:pPr>
        <w:pStyle w:val="ListParagraph"/>
        <w:numPr>
          <w:ilvl w:val="0"/>
          <w:numId w:val="2"/>
        </w:numPr>
        <w:tabs>
          <w:tab w:pos="792" w:val="left" w:leader="none"/>
        </w:tabs>
        <w:spacing w:line="249" w:lineRule="auto" w:before="0" w:after="0"/>
        <w:ind w:left="792" w:right="118" w:hanging="324"/>
        <w:jc w:val="both"/>
        <w:rPr>
          <w:sz w:val="18"/>
        </w:rPr>
      </w:pPr>
      <w:r>
        <w:rPr>
          <w:sz w:val="18"/>
        </w:rPr>
        <w:t>the global COVID-19 pandemic has continued to materially impact MGM China’s business, financial results and liquidity, and such impact </w:t>
      </w:r>
      <w:r>
        <w:rPr>
          <w:sz w:val="18"/>
        </w:rPr>
        <w:t>could worsen and last for an unknown period of time;</w:t>
      </w:r>
    </w:p>
    <w:p>
      <w:pPr>
        <w:pStyle w:val="ListParagraph"/>
        <w:numPr>
          <w:ilvl w:val="0"/>
          <w:numId w:val="2"/>
        </w:numPr>
        <w:tabs>
          <w:tab w:pos="792" w:val="left" w:leader="none"/>
        </w:tabs>
        <w:spacing w:line="235" w:lineRule="auto" w:before="0" w:after="0"/>
        <w:ind w:left="792" w:right="118" w:hanging="324"/>
        <w:jc w:val="both"/>
        <w:rPr>
          <w:sz w:val="18"/>
        </w:rPr>
      </w:pPr>
      <w:r>
        <w:rPr>
          <w:sz w:val="18"/>
        </w:rPr>
        <w:t>restrictions on our ability to have any interest or involvement in gaming businesses in mainland China, Macau, Hong Kong and Taiwan, other </w:t>
      </w:r>
      <w:r>
        <w:rPr>
          <w:sz w:val="18"/>
        </w:rPr>
        <w:t>than through MGM China;</w:t>
      </w:r>
    </w:p>
    <w:p>
      <w:pPr>
        <w:pStyle w:val="ListParagraph"/>
        <w:numPr>
          <w:ilvl w:val="0"/>
          <w:numId w:val="2"/>
        </w:numPr>
        <w:tabs>
          <w:tab w:pos="792" w:val="left" w:leader="none"/>
        </w:tabs>
        <w:spacing w:line="240" w:lineRule="auto" w:before="0" w:after="0"/>
        <w:ind w:left="792" w:right="118" w:hanging="324"/>
        <w:jc w:val="both"/>
        <w:rPr>
          <w:sz w:val="18"/>
        </w:rPr>
      </w:pPr>
      <w:r>
        <w:rPr>
          <w:sz w:val="18"/>
        </w:rPr>
        <w:t>the ability of the Macau government to (i) terminate MGM Grand Paradise’s concession under certain circumstances without compensating </w:t>
      </w:r>
      <w:r>
        <w:rPr>
          <w:sz w:val="18"/>
        </w:rPr>
        <w:t>MGM Grand Paradise, (ii) from the eighth year of MGM Grand Paradise’s concession, redeem the concession by providing MGM Grand Paradise at least one year’s prior notice and subject to the payment of reasonable and fair damages or indemnity to MGM Grand Paradise, or (iii) refuse to grant MGM Grand Paradise an extension of the concession in 2032; and</w:t>
      </w:r>
    </w:p>
    <w:p>
      <w:pPr>
        <w:pStyle w:val="ListParagraph"/>
        <w:numPr>
          <w:ilvl w:val="0"/>
          <w:numId w:val="2"/>
        </w:numPr>
        <w:tabs>
          <w:tab w:pos="792" w:val="left" w:leader="none"/>
        </w:tabs>
        <w:spacing w:line="203" w:lineRule="exact" w:before="0" w:after="0"/>
        <w:ind w:left="792" w:right="0" w:hanging="324"/>
        <w:jc w:val="both"/>
        <w:rPr>
          <w:sz w:val="18"/>
        </w:rPr>
      </w:pPr>
      <w:r>
        <w:rPr>
          <w:sz w:val="18"/>
        </w:rPr>
        <w:t>the</w:t>
      </w:r>
      <w:r>
        <w:rPr>
          <w:spacing w:val="-4"/>
          <w:sz w:val="18"/>
        </w:rPr>
        <w:t> </w:t>
      </w:r>
      <w:r>
        <w:rPr>
          <w:sz w:val="18"/>
        </w:rPr>
        <w:t>potential</w:t>
      </w:r>
      <w:r>
        <w:rPr>
          <w:spacing w:val="-1"/>
          <w:sz w:val="18"/>
        </w:rPr>
        <w:t> </w:t>
      </w:r>
      <w:r>
        <w:rPr>
          <w:sz w:val="18"/>
        </w:rPr>
        <w:t>for</w:t>
      </w:r>
      <w:r>
        <w:rPr>
          <w:spacing w:val="-1"/>
          <w:sz w:val="18"/>
        </w:rPr>
        <w:t> </w:t>
      </w:r>
      <w:r>
        <w:rPr>
          <w:sz w:val="18"/>
        </w:rPr>
        <w:t>conflicts</w:t>
      </w:r>
      <w:r>
        <w:rPr>
          <w:spacing w:val="-1"/>
          <w:sz w:val="18"/>
        </w:rPr>
        <w:t> </w:t>
      </w:r>
      <w:r>
        <w:rPr>
          <w:sz w:val="18"/>
        </w:rPr>
        <w:t>of</w:t>
      </w:r>
      <w:r>
        <w:rPr>
          <w:spacing w:val="-1"/>
          <w:sz w:val="18"/>
        </w:rPr>
        <w:t> </w:t>
      </w:r>
      <w:r>
        <w:rPr>
          <w:sz w:val="18"/>
        </w:rPr>
        <w:t>interest</w:t>
      </w:r>
      <w:r>
        <w:rPr>
          <w:spacing w:val="-2"/>
          <w:sz w:val="18"/>
        </w:rPr>
        <w:t> </w:t>
      </w:r>
      <w:r>
        <w:rPr>
          <w:sz w:val="18"/>
        </w:rPr>
        <w:t>to</w:t>
      </w:r>
      <w:r>
        <w:rPr>
          <w:spacing w:val="-1"/>
          <w:sz w:val="18"/>
        </w:rPr>
        <w:t> </w:t>
      </w:r>
      <w:r>
        <w:rPr>
          <w:sz w:val="18"/>
        </w:rPr>
        <w:t>arise</w:t>
      </w:r>
      <w:r>
        <w:rPr>
          <w:spacing w:val="-1"/>
          <w:sz w:val="18"/>
        </w:rPr>
        <w:t> </w:t>
      </w:r>
      <w:r>
        <w:rPr>
          <w:sz w:val="18"/>
        </w:rPr>
        <w:t>because</w:t>
      </w:r>
      <w:r>
        <w:rPr>
          <w:spacing w:val="-1"/>
          <w:sz w:val="18"/>
        </w:rPr>
        <w:t> </w:t>
      </w:r>
      <w:r>
        <w:rPr>
          <w:sz w:val="18"/>
        </w:rPr>
        <w:t>certain</w:t>
      </w:r>
      <w:r>
        <w:rPr>
          <w:spacing w:val="-1"/>
          <w:sz w:val="18"/>
        </w:rPr>
        <w:t> </w:t>
      </w:r>
      <w:r>
        <w:rPr>
          <w:sz w:val="18"/>
        </w:rPr>
        <w:t>of</w:t>
      </w:r>
      <w:r>
        <w:rPr>
          <w:spacing w:val="-2"/>
          <w:sz w:val="18"/>
        </w:rPr>
        <w:t> </w:t>
      </w:r>
      <w:r>
        <w:rPr>
          <w:sz w:val="18"/>
        </w:rPr>
        <w:t>our</w:t>
      </w:r>
      <w:r>
        <w:rPr>
          <w:spacing w:val="-1"/>
          <w:sz w:val="18"/>
        </w:rPr>
        <w:t> </w:t>
      </w:r>
      <w:r>
        <w:rPr>
          <w:sz w:val="18"/>
        </w:rPr>
        <w:t>directors</w:t>
      </w:r>
      <w:r>
        <w:rPr>
          <w:spacing w:val="-1"/>
          <w:sz w:val="18"/>
        </w:rPr>
        <w:t> </w:t>
      </w:r>
      <w:r>
        <w:rPr>
          <w:sz w:val="18"/>
        </w:rPr>
        <w:t>and</w:t>
      </w:r>
      <w:r>
        <w:rPr>
          <w:spacing w:val="-1"/>
          <w:sz w:val="18"/>
        </w:rPr>
        <w:t> </w:t>
      </w:r>
      <w:r>
        <w:rPr>
          <w:sz w:val="18"/>
        </w:rPr>
        <w:t>officers</w:t>
      </w:r>
      <w:r>
        <w:rPr>
          <w:spacing w:val="-1"/>
          <w:sz w:val="18"/>
        </w:rPr>
        <w:t> </w:t>
      </w:r>
      <w:r>
        <w:rPr>
          <w:sz w:val="18"/>
        </w:rPr>
        <w:t>are</w:t>
      </w:r>
      <w:r>
        <w:rPr>
          <w:spacing w:val="-2"/>
          <w:sz w:val="18"/>
        </w:rPr>
        <w:t> </w:t>
      </w:r>
      <w:r>
        <w:rPr>
          <w:sz w:val="18"/>
        </w:rPr>
        <w:t>also</w:t>
      </w:r>
      <w:r>
        <w:rPr>
          <w:spacing w:val="-1"/>
          <w:sz w:val="18"/>
        </w:rPr>
        <w:t> </w:t>
      </w:r>
      <w:r>
        <w:rPr>
          <w:sz w:val="18"/>
        </w:rPr>
        <w:t>directors</w:t>
      </w:r>
      <w:r>
        <w:rPr>
          <w:spacing w:val="-1"/>
          <w:sz w:val="18"/>
        </w:rPr>
        <w:t> </w:t>
      </w:r>
      <w:r>
        <w:rPr>
          <w:sz w:val="18"/>
        </w:rPr>
        <w:t>of</w:t>
      </w:r>
      <w:r>
        <w:rPr>
          <w:spacing w:val="-1"/>
          <w:sz w:val="18"/>
        </w:rPr>
        <w:t> </w:t>
      </w:r>
      <w:r>
        <w:rPr>
          <w:sz w:val="18"/>
        </w:rPr>
        <w:t>MGM</w:t>
      </w:r>
      <w:r>
        <w:rPr>
          <w:spacing w:val="-1"/>
          <w:sz w:val="18"/>
        </w:rPr>
        <w:t> </w:t>
      </w:r>
      <w:r>
        <w:rPr>
          <w:spacing w:val="-2"/>
          <w:sz w:val="18"/>
        </w:rPr>
        <w:t>China.</w:t>
      </w:r>
    </w:p>
    <w:p>
      <w:pPr>
        <w:pStyle w:val="BodyText"/>
        <w:spacing w:before="1"/>
      </w:pPr>
    </w:p>
    <w:p>
      <w:pPr>
        <w:pStyle w:val="BodyText"/>
        <w:spacing w:line="242" w:lineRule="auto" w:before="1"/>
        <w:ind w:left="144" w:right="118" w:firstLine="499"/>
        <w:jc w:val="both"/>
      </w:pPr>
      <w:r>
        <w:rPr/>
        <w:t>Any</w:t>
      </w:r>
      <w:r>
        <w:rPr>
          <w:spacing w:val="-2"/>
        </w:rPr>
        <w:t> </w:t>
      </w:r>
      <w:r>
        <w:rPr/>
        <w:t>forward-looking</w:t>
      </w:r>
      <w:r>
        <w:rPr>
          <w:spacing w:val="-2"/>
        </w:rPr>
        <w:t> </w:t>
      </w:r>
      <w:r>
        <w:rPr/>
        <w:t>statement</w:t>
      </w:r>
      <w:r>
        <w:rPr>
          <w:spacing w:val="-2"/>
        </w:rPr>
        <w:t> </w:t>
      </w:r>
      <w:r>
        <w:rPr/>
        <w:t>made</w:t>
      </w:r>
      <w:r>
        <w:rPr>
          <w:spacing w:val="-2"/>
        </w:rPr>
        <w:t> </w:t>
      </w:r>
      <w:r>
        <w:rPr/>
        <w:t>by</w:t>
      </w:r>
      <w:r>
        <w:rPr>
          <w:spacing w:val="-2"/>
        </w:rPr>
        <w:t> </w:t>
      </w:r>
      <w:r>
        <w:rPr/>
        <w:t>us</w:t>
      </w:r>
      <w:r>
        <w:rPr>
          <w:spacing w:val="-2"/>
        </w:rPr>
        <w:t> </w:t>
      </w:r>
      <w:r>
        <w:rPr/>
        <w:t>in</w:t>
      </w:r>
      <w:r>
        <w:rPr>
          <w:spacing w:val="-2"/>
        </w:rPr>
        <w:t> </w:t>
      </w:r>
      <w:r>
        <w:rPr/>
        <w:t>this</w:t>
      </w:r>
      <w:r>
        <w:rPr>
          <w:spacing w:val="-2"/>
        </w:rPr>
        <w:t> </w:t>
      </w:r>
      <w:r>
        <w:rPr/>
        <w:t>Form</w:t>
      </w:r>
      <w:r>
        <w:rPr>
          <w:spacing w:val="-2"/>
        </w:rPr>
        <w:t> </w:t>
      </w:r>
      <w:r>
        <w:rPr/>
        <w:t>10-K</w:t>
      </w:r>
      <w:r>
        <w:rPr>
          <w:spacing w:val="-2"/>
        </w:rPr>
        <w:t> </w:t>
      </w:r>
      <w:r>
        <w:rPr/>
        <w:t>or</w:t>
      </w:r>
      <w:r>
        <w:rPr>
          <w:spacing w:val="-2"/>
        </w:rPr>
        <w:t> </w:t>
      </w:r>
      <w:r>
        <w:rPr/>
        <w:t>our</w:t>
      </w:r>
      <w:r>
        <w:rPr>
          <w:spacing w:val="-2"/>
        </w:rPr>
        <w:t> </w:t>
      </w:r>
      <w:r>
        <w:rPr/>
        <w:t>2022</w:t>
      </w:r>
      <w:r>
        <w:rPr>
          <w:spacing w:val="-11"/>
        </w:rPr>
        <w:t> </w:t>
      </w:r>
      <w:r>
        <w:rPr/>
        <w:t>Annual</w:t>
      </w:r>
      <w:r>
        <w:rPr>
          <w:spacing w:val="-2"/>
        </w:rPr>
        <w:t> </w:t>
      </w:r>
      <w:r>
        <w:rPr/>
        <w:t>Report</w:t>
      </w:r>
      <w:r>
        <w:rPr>
          <w:spacing w:val="-2"/>
        </w:rPr>
        <w:t> </w:t>
      </w:r>
      <w:r>
        <w:rPr/>
        <w:t>to</w:t>
      </w:r>
      <w:r>
        <w:rPr>
          <w:spacing w:val="-2"/>
        </w:rPr>
        <w:t> </w:t>
      </w:r>
      <w:r>
        <w:rPr/>
        <w:t>Stockholders</w:t>
      </w:r>
      <w:r>
        <w:rPr>
          <w:spacing w:val="-2"/>
        </w:rPr>
        <w:t> </w:t>
      </w:r>
      <w:r>
        <w:rPr/>
        <w:t>speaks</w:t>
      </w:r>
      <w:r>
        <w:rPr>
          <w:spacing w:val="-2"/>
        </w:rPr>
        <w:t> </w:t>
      </w:r>
      <w:r>
        <w:rPr/>
        <w:t>only</w:t>
      </w:r>
      <w:r>
        <w:rPr>
          <w:spacing w:val="-2"/>
        </w:rPr>
        <w:t> </w:t>
      </w:r>
      <w:r>
        <w:rPr/>
        <w:t>as</w:t>
      </w:r>
      <w:r>
        <w:rPr>
          <w:spacing w:val="-2"/>
        </w:rPr>
        <w:t> </w:t>
      </w:r>
      <w:r>
        <w:rPr/>
        <w:t>of</w:t>
      </w:r>
      <w:r>
        <w:rPr>
          <w:spacing w:val="-2"/>
        </w:rPr>
        <w:t> </w:t>
      </w:r>
      <w:r>
        <w:rPr/>
        <w:t>the</w:t>
      </w:r>
      <w:r>
        <w:rPr>
          <w:spacing w:val="-2"/>
        </w:rPr>
        <w:t> </w:t>
      </w:r>
      <w:r>
        <w:rPr/>
        <w:t>date</w:t>
      </w:r>
      <w:r>
        <w:rPr>
          <w:spacing w:val="-2"/>
        </w:rPr>
        <w:t> </w:t>
      </w:r>
      <w:r>
        <w:rPr/>
        <w:t>on</w:t>
      </w:r>
      <w:r>
        <w:rPr>
          <w:spacing w:val="-2"/>
        </w:rPr>
        <w:t> </w:t>
      </w:r>
      <w:r>
        <w:rPr/>
        <w:t>which</w:t>
      </w:r>
      <w:r>
        <w:rPr>
          <w:spacing w:val="-2"/>
        </w:rPr>
        <w:t> </w:t>
      </w:r>
      <w:r>
        <w:rPr/>
        <w:t>it</w:t>
      </w:r>
      <w:r>
        <w:rPr>
          <w:spacing w:val="-2"/>
        </w:rPr>
        <w:t> </w:t>
      </w:r>
      <w:r>
        <w:rPr/>
        <w:t>is</w:t>
      </w:r>
      <w:r>
        <w:rPr>
          <w:spacing w:val="-2"/>
        </w:rPr>
        <w:t> </w:t>
      </w:r>
      <w:r>
        <w:rPr/>
        <w:t>made. Factors</w:t>
      </w:r>
      <w:r>
        <w:rPr>
          <w:spacing w:val="-1"/>
        </w:rPr>
        <w:t> </w:t>
      </w:r>
      <w:r>
        <w:rPr/>
        <w:t>or</w:t>
      </w:r>
      <w:r>
        <w:rPr>
          <w:spacing w:val="-1"/>
        </w:rPr>
        <w:t> </w:t>
      </w:r>
      <w:r>
        <w:rPr/>
        <w:t>events</w:t>
      </w:r>
      <w:r>
        <w:rPr>
          <w:spacing w:val="-1"/>
        </w:rPr>
        <w:t> </w:t>
      </w:r>
      <w:r>
        <w:rPr/>
        <w:t>that</w:t>
      </w:r>
      <w:r>
        <w:rPr>
          <w:spacing w:val="-1"/>
        </w:rPr>
        <w:t> </w:t>
      </w:r>
      <w:r>
        <w:rPr/>
        <w:t>could</w:t>
      </w:r>
      <w:r>
        <w:rPr>
          <w:spacing w:val="-1"/>
        </w:rPr>
        <w:t> </w:t>
      </w:r>
      <w:r>
        <w:rPr/>
        <w:t>cause</w:t>
      </w:r>
      <w:r>
        <w:rPr>
          <w:spacing w:val="-1"/>
        </w:rPr>
        <w:t> </w:t>
      </w:r>
      <w:r>
        <w:rPr/>
        <w:t>our</w:t>
      </w:r>
      <w:r>
        <w:rPr>
          <w:spacing w:val="-1"/>
        </w:rPr>
        <w:t> </w:t>
      </w:r>
      <w:r>
        <w:rPr/>
        <w:t>actual</w:t>
      </w:r>
      <w:r>
        <w:rPr>
          <w:spacing w:val="-1"/>
        </w:rPr>
        <w:t> </w:t>
      </w:r>
      <w:r>
        <w:rPr/>
        <w:t>results</w:t>
      </w:r>
      <w:r>
        <w:rPr>
          <w:spacing w:val="-1"/>
        </w:rPr>
        <w:t> </w:t>
      </w:r>
      <w:r>
        <w:rPr/>
        <w:t>to</w:t>
      </w:r>
      <w:r>
        <w:rPr>
          <w:spacing w:val="-1"/>
        </w:rPr>
        <w:t> </w:t>
      </w:r>
      <w:r>
        <w:rPr/>
        <w:t>differ</w:t>
      </w:r>
      <w:r>
        <w:rPr>
          <w:spacing w:val="-1"/>
        </w:rPr>
        <w:t> </w:t>
      </w:r>
      <w:r>
        <w:rPr/>
        <w:t>may</w:t>
      </w:r>
      <w:r>
        <w:rPr>
          <w:spacing w:val="-1"/>
        </w:rPr>
        <w:t> </w:t>
      </w:r>
      <w:r>
        <w:rPr/>
        <w:t>emerge</w:t>
      </w:r>
      <w:r>
        <w:rPr>
          <w:spacing w:val="-1"/>
        </w:rPr>
        <w:t> </w:t>
      </w:r>
      <w:r>
        <w:rPr/>
        <w:t>from</w:t>
      </w:r>
      <w:r>
        <w:rPr>
          <w:spacing w:val="-1"/>
        </w:rPr>
        <w:t> </w:t>
      </w:r>
      <w:r>
        <w:rPr/>
        <w:t>time</w:t>
      </w:r>
      <w:r>
        <w:rPr>
          <w:spacing w:val="-1"/>
        </w:rPr>
        <w:t> </w:t>
      </w:r>
      <w:r>
        <w:rPr/>
        <w:t>to</w:t>
      </w:r>
      <w:r>
        <w:rPr>
          <w:spacing w:val="-1"/>
        </w:rPr>
        <w:t> </w:t>
      </w:r>
      <w:r>
        <w:rPr/>
        <w:t>time,</w:t>
      </w:r>
      <w:r>
        <w:rPr>
          <w:spacing w:val="-1"/>
        </w:rPr>
        <w:t> </w:t>
      </w:r>
      <w:r>
        <w:rPr/>
        <w:t>and</w:t>
      </w:r>
      <w:r>
        <w:rPr>
          <w:spacing w:val="-1"/>
        </w:rPr>
        <w:t> </w:t>
      </w:r>
      <w:r>
        <w:rPr/>
        <w:t>it</w:t>
      </w:r>
      <w:r>
        <w:rPr>
          <w:spacing w:val="-1"/>
        </w:rPr>
        <w:t> </w:t>
      </w:r>
      <w:r>
        <w:rPr/>
        <w:t>is</w:t>
      </w:r>
      <w:r>
        <w:rPr>
          <w:spacing w:val="-1"/>
        </w:rPr>
        <w:t> </w:t>
      </w:r>
      <w:r>
        <w:rPr/>
        <w:t>not</w:t>
      </w:r>
      <w:r>
        <w:rPr>
          <w:spacing w:val="-1"/>
        </w:rPr>
        <w:t> </w:t>
      </w:r>
      <w:r>
        <w:rPr/>
        <w:t>possible</w:t>
      </w:r>
      <w:r>
        <w:rPr>
          <w:spacing w:val="-1"/>
        </w:rPr>
        <w:t> </w:t>
      </w:r>
      <w:r>
        <w:rPr/>
        <w:t>for</w:t>
      </w:r>
      <w:r>
        <w:rPr>
          <w:spacing w:val="-1"/>
        </w:rPr>
        <w:t> </w:t>
      </w:r>
      <w:r>
        <w:rPr/>
        <w:t>us</w:t>
      </w:r>
      <w:r>
        <w:rPr>
          <w:spacing w:val="-1"/>
        </w:rPr>
        <w:t> </w:t>
      </w:r>
      <w:r>
        <w:rPr/>
        <w:t>to</w:t>
      </w:r>
      <w:r>
        <w:rPr>
          <w:spacing w:val="-1"/>
        </w:rPr>
        <w:t> </w:t>
      </w:r>
      <w:r>
        <w:rPr/>
        <w:t>predict</w:t>
      </w:r>
      <w:r>
        <w:rPr>
          <w:spacing w:val="-1"/>
        </w:rPr>
        <w:t> </w:t>
      </w:r>
      <w:r>
        <w:rPr/>
        <w:t>all</w:t>
      </w:r>
      <w:r>
        <w:rPr>
          <w:spacing w:val="-1"/>
        </w:rPr>
        <w:t> </w:t>
      </w:r>
      <w:r>
        <w:rPr/>
        <w:t>of</w:t>
      </w:r>
      <w:r>
        <w:rPr>
          <w:spacing w:val="-1"/>
        </w:rPr>
        <w:t> </w:t>
      </w:r>
      <w:r>
        <w:rPr/>
        <w:t>them.</w:t>
      </w:r>
      <w:r>
        <w:rPr>
          <w:spacing w:val="-3"/>
        </w:rPr>
        <w:t> </w:t>
      </w:r>
      <w:r>
        <w:rPr/>
        <w:t>We</w:t>
      </w:r>
      <w:r>
        <w:rPr>
          <w:spacing w:val="-1"/>
        </w:rPr>
        <w:t> </w:t>
      </w:r>
      <w:r>
        <w:rPr/>
        <w:t>undertake</w:t>
      </w:r>
      <w:r>
        <w:rPr>
          <w:spacing w:val="-1"/>
        </w:rPr>
        <w:t> </w:t>
      </w:r>
      <w:r>
        <w:rPr/>
        <w:t>no obligation to publicly update any forward-looking statement, whether as a result of new information, future developments or otherwise, except as may be required by law. If we update one or more forward-looking statements, no inference should be made that we will make additional updates with respect to those or other forward-looking statements.</w:t>
      </w:r>
    </w:p>
    <w:p>
      <w:pPr>
        <w:pStyle w:val="BodyText"/>
        <w:spacing w:before="3"/>
      </w:pPr>
    </w:p>
    <w:p>
      <w:pPr>
        <w:pStyle w:val="BodyText"/>
        <w:ind w:left="144" w:right="118" w:firstLine="499"/>
        <w:jc w:val="both"/>
      </w:pPr>
      <w:r>
        <w:rPr/>
        <w:t>You should also be aware that while we from time to time communicate with securities analysts, we do not disclose to them any material non-</w:t>
      </w:r>
      <w:r>
        <w:rPr/>
        <w:t>public information, internal forecasts or other confidential business information. Therefore, you should not assume that we agree with any statement or report issued by any analyst, irrespective of the content of the statement or report. To the extent that reports issued by securities analysts contain projections, forecasts or opinions, those reports are not our responsibility and are not endorsed by us.</w:t>
      </w:r>
    </w:p>
    <w:p>
      <w:pPr>
        <w:pStyle w:val="BodyText"/>
      </w:pPr>
    </w:p>
    <w:p>
      <w:pPr>
        <w:pStyle w:val="BodyText"/>
      </w:pPr>
    </w:p>
    <w:p>
      <w:pPr>
        <w:pStyle w:val="BodyText"/>
        <w:spacing w:before="198"/>
      </w:pPr>
    </w:p>
    <w:p>
      <w:pPr>
        <w:pStyle w:val="BodyText"/>
        <w:ind w:left="24"/>
        <w:jc w:val="center"/>
      </w:pPr>
      <w:r>
        <w:rPr>
          <w:spacing w:val="-5"/>
        </w:rPr>
        <w:t>11</w:t>
      </w:r>
    </w:p>
    <w:p>
      <w:pPr>
        <w:pStyle w:val="BodyText"/>
        <w:spacing w:before="3"/>
        <w:rPr>
          <w:sz w:val="6"/>
        </w:rPr>
      </w:pPr>
      <w:r>
        <w:rPr/>
        <mc:AlternateContent>
          <mc:Choice Requires="wps">
            <w:drawing>
              <wp:anchor distT="0" distB="0" distL="0" distR="0" allowOverlap="1" layoutInCell="1" locked="0" behindDoc="1" simplePos="0" relativeHeight="487599616">
                <wp:simplePos x="0" y="0"/>
                <wp:positionH relativeFrom="page">
                  <wp:posOffset>231457</wp:posOffset>
                </wp:positionH>
                <wp:positionV relativeFrom="paragraph">
                  <wp:posOffset>60956</wp:posOffset>
                </wp:positionV>
                <wp:extent cx="7312659" cy="1714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7312659" cy="17145"/>
                          <a:chExt cx="7312659" cy="17145"/>
                        </a:xfrm>
                      </wpg:grpSpPr>
                      <wps:wsp>
                        <wps:cNvPr id="66" name="Graphic 6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7" name="Graphic 67"/>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8" name="Graphic 6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6864;mso-wrap-distance-left:0;mso-wrap-distance-right:0" id="docshapegroup64" coordorigin="364,96" coordsize="11516,27">
                <v:rect style="position:absolute;left:364;top:96;width:11516;height:14" id="docshape65" filled="true" fillcolor="#999999" stroked="false">
                  <v:fill type="solid"/>
                </v:rect>
                <v:shape style="position:absolute;left:364;top:96;width:11516;height:27" id="docshape66" coordorigin="364,96" coordsize="11516,27" path="m11880,96l11866,110,364,110,364,123,11866,123,11880,123,11880,110,11880,96xe" filled="true" fillcolor="#ededed" stroked="false">
                  <v:path arrowok="t"/>
                  <v:fill type="solid"/>
                </v:shape>
                <v:shape style="position:absolute;left:364;top:96;width:14;height:27" id="docshape6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5"/>
        <w:spacing w:before="63"/>
        <w:jc w:val="left"/>
      </w:pPr>
      <w:r>
        <w:rPr/>
        <w:t>Information</w:t>
      </w:r>
      <w:r>
        <w:rPr>
          <w:spacing w:val="-1"/>
        </w:rPr>
        <w:t> </w:t>
      </w:r>
      <w:r>
        <w:rPr/>
        <w:t>about</w:t>
      </w:r>
      <w:r>
        <w:rPr>
          <w:spacing w:val="-1"/>
        </w:rPr>
        <w:t> </w:t>
      </w:r>
      <w:r>
        <w:rPr/>
        <w:t>our</w:t>
      </w:r>
      <w:r>
        <w:rPr>
          <w:spacing w:val="-4"/>
        </w:rPr>
        <w:t> </w:t>
      </w:r>
      <w:r>
        <w:rPr/>
        <w:t>Executive</w:t>
      </w:r>
      <w:r>
        <w:rPr>
          <w:spacing w:val="-1"/>
        </w:rPr>
        <w:t> </w:t>
      </w:r>
      <w:r>
        <w:rPr>
          <w:spacing w:val="-2"/>
        </w:rPr>
        <w:t>Officers</w:t>
      </w:r>
    </w:p>
    <w:p>
      <w:pPr>
        <w:pStyle w:val="BodyText"/>
        <w:spacing w:before="7"/>
        <w:rPr>
          <w:b/>
        </w:rPr>
      </w:pPr>
    </w:p>
    <w:p>
      <w:pPr>
        <w:pStyle w:val="BodyText"/>
        <w:spacing w:line="235" w:lineRule="auto" w:before="1"/>
        <w:ind w:left="144" w:right="118" w:firstLine="499"/>
        <w:jc w:val="both"/>
      </w:pPr>
      <w:r>
        <w:rPr/>
        <w:t>The following table sets forth, as of February 24, 2023, the name, age and position of each of our executive officers. Executive officers are elected by and serve at the pleasure of the Board of Directors.</w:t>
      </w:r>
    </w:p>
    <w:p>
      <w:pPr>
        <w:pStyle w:val="BodyText"/>
        <w:spacing w:before="57"/>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6"/>
        <w:gridCol w:w="1745"/>
        <w:gridCol w:w="6835"/>
      </w:tblGrid>
      <w:tr>
        <w:trPr>
          <w:trHeight w:val="227" w:hRule="atLeast"/>
        </w:trPr>
        <w:tc>
          <w:tcPr>
            <w:tcW w:w="2936" w:type="dxa"/>
            <w:tcBorders>
              <w:bottom w:val="single" w:sz="6" w:space="0" w:color="000000"/>
            </w:tcBorders>
          </w:tcPr>
          <w:p>
            <w:pPr>
              <w:pStyle w:val="TableParagraph"/>
              <w:spacing w:line="199" w:lineRule="exact" w:before="0"/>
              <w:ind w:left="349"/>
              <w:jc w:val="center"/>
              <w:rPr>
                <w:b/>
                <w:sz w:val="18"/>
              </w:rPr>
            </w:pPr>
            <w:r>
              <w:rPr>
                <w:b/>
                <w:spacing w:val="-4"/>
                <w:sz w:val="18"/>
              </w:rPr>
              <w:t>Name</w:t>
            </w:r>
          </w:p>
        </w:tc>
        <w:tc>
          <w:tcPr>
            <w:tcW w:w="1745" w:type="dxa"/>
            <w:tcBorders>
              <w:bottom w:val="single" w:sz="6" w:space="0" w:color="000000"/>
            </w:tcBorders>
          </w:tcPr>
          <w:p>
            <w:pPr>
              <w:pStyle w:val="TableParagraph"/>
              <w:spacing w:line="199" w:lineRule="exact" w:before="0"/>
              <w:ind w:right="375"/>
              <w:jc w:val="right"/>
              <w:rPr>
                <w:b/>
                <w:sz w:val="18"/>
              </w:rPr>
            </w:pPr>
            <w:r>
              <w:rPr>
                <w:b/>
                <w:spacing w:val="-5"/>
                <w:sz w:val="18"/>
              </w:rPr>
              <w:t>Age</w:t>
            </w:r>
          </w:p>
        </w:tc>
        <w:tc>
          <w:tcPr>
            <w:tcW w:w="6835" w:type="dxa"/>
            <w:tcBorders>
              <w:bottom w:val="single" w:sz="6" w:space="0" w:color="000000"/>
            </w:tcBorders>
          </w:tcPr>
          <w:p>
            <w:pPr>
              <w:pStyle w:val="TableParagraph"/>
              <w:spacing w:line="199" w:lineRule="exact" w:before="0"/>
              <w:ind w:left="340"/>
              <w:jc w:val="center"/>
              <w:rPr>
                <w:b/>
                <w:sz w:val="18"/>
              </w:rPr>
            </w:pPr>
            <w:r>
              <w:rPr>
                <w:b/>
                <w:spacing w:val="-2"/>
                <w:sz w:val="18"/>
              </w:rPr>
              <w:t>Position</w:t>
            </w:r>
          </w:p>
        </w:tc>
      </w:tr>
      <w:tr>
        <w:trPr>
          <w:trHeight w:val="255" w:hRule="atLeast"/>
        </w:trPr>
        <w:tc>
          <w:tcPr>
            <w:tcW w:w="2936" w:type="dxa"/>
            <w:tcBorders>
              <w:top w:val="single" w:sz="6" w:space="0" w:color="000000"/>
            </w:tcBorders>
            <w:shd w:val="clear" w:color="auto" w:fill="CCEDFF"/>
          </w:tcPr>
          <w:p>
            <w:pPr>
              <w:pStyle w:val="TableParagraph"/>
              <w:spacing w:before="20"/>
              <w:ind w:left="35"/>
              <w:rPr>
                <w:sz w:val="18"/>
              </w:rPr>
            </w:pPr>
            <w:r>
              <w:rPr>
                <w:sz w:val="18"/>
              </w:rPr>
              <w:t>William</w:t>
            </w:r>
            <w:r>
              <w:rPr>
                <w:spacing w:val="-5"/>
                <w:sz w:val="18"/>
              </w:rPr>
              <w:t> </w:t>
            </w:r>
            <w:r>
              <w:rPr>
                <w:sz w:val="18"/>
              </w:rPr>
              <w:t>J.</w:t>
            </w:r>
            <w:r>
              <w:rPr>
                <w:spacing w:val="-5"/>
                <w:sz w:val="18"/>
              </w:rPr>
              <w:t> </w:t>
            </w:r>
            <w:r>
              <w:rPr>
                <w:spacing w:val="-2"/>
                <w:sz w:val="18"/>
              </w:rPr>
              <w:t>Hornbuckle</w:t>
            </w:r>
          </w:p>
        </w:tc>
        <w:tc>
          <w:tcPr>
            <w:tcW w:w="1745" w:type="dxa"/>
            <w:tcBorders>
              <w:top w:val="single" w:sz="6" w:space="0" w:color="000000"/>
            </w:tcBorders>
            <w:shd w:val="clear" w:color="auto" w:fill="CCEDFF"/>
          </w:tcPr>
          <w:p>
            <w:pPr>
              <w:pStyle w:val="TableParagraph"/>
              <w:spacing w:before="20"/>
              <w:ind w:right="435"/>
              <w:jc w:val="right"/>
              <w:rPr>
                <w:sz w:val="18"/>
              </w:rPr>
            </w:pPr>
            <w:r>
              <w:rPr>
                <w:spacing w:val="-5"/>
                <w:sz w:val="18"/>
              </w:rPr>
              <w:t>65</w:t>
            </w:r>
          </w:p>
        </w:tc>
        <w:tc>
          <w:tcPr>
            <w:tcW w:w="6835" w:type="dxa"/>
            <w:tcBorders>
              <w:top w:val="single" w:sz="6" w:space="0" w:color="000000"/>
            </w:tcBorders>
            <w:shd w:val="clear" w:color="auto" w:fill="CCEDFF"/>
          </w:tcPr>
          <w:p>
            <w:pPr>
              <w:pStyle w:val="TableParagraph"/>
              <w:spacing w:before="20"/>
              <w:ind w:left="376"/>
              <w:rPr>
                <w:sz w:val="18"/>
              </w:rPr>
            </w:pPr>
            <w:r>
              <w:rPr>
                <w:sz w:val="18"/>
              </w:rPr>
              <w:t>Chief</w:t>
            </w:r>
            <w:r>
              <w:rPr>
                <w:spacing w:val="-2"/>
                <w:sz w:val="18"/>
              </w:rPr>
              <w:t> </w:t>
            </w:r>
            <w:r>
              <w:rPr>
                <w:sz w:val="18"/>
              </w:rPr>
              <w:t>Executive</w:t>
            </w:r>
            <w:r>
              <w:rPr>
                <w:spacing w:val="-2"/>
                <w:sz w:val="18"/>
              </w:rPr>
              <w:t> </w:t>
            </w:r>
            <w:r>
              <w:rPr>
                <w:sz w:val="18"/>
              </w:rPr>
              <w:t>Officer</w:t>
            </w:r>
            <w:r>
              <w:rPr>
                <w:spacing w:val="-2"/>
                <w:sz w:val="18"/>
              </w:rPr>
              <w:t> </w:t>
            </w:r>
            <w:r>
              <w:rPr>
                <w:sz w:val="18"/>
              </w:rPr>
              <w:t>and</w:t>
            </w:r>
            <w:r>
              <w:rPr>
                <w:spacing w:val="-2"/>
                <w:sz w:val="18"/>
              </w:rPr>
              <w:t> President</w:t>
            </w:r>
          </w:p>
        </w:tc>
      </w:tr>
      <w:tr>
        <w:trPr>
          <w:trHeight w:val="256" w:hRule="atLeast"/>
        </w:trPr>
        <w:tc>
          <w:tcPr>
            <w:tcW w:w="2936" w:type="dxa"/>
          </w:tcPr>
          <w:p>
            <w:pPr>
              <w:pStyle w:val="TableParagraph"/>
              <w:ind w:left="35"/>
              <w:rPr>
                <w:sz w:val="18"/>
              </w:rPr>
            </w:pPr>
            <w:r>
              <w:rPr>
                <w:sz w:val="18"/>
              </w:rPr>
              <w:t>Corey</w:t>
            </w:r>
            <w:r>
              <w:rPr>
                <w:spacing w:val="-1"/>
                <w:sz w:val="18"/>
              </w:rPr>
              <w:t> </w:t>
            </w:r>
            <w:r>
              <w:rPr>
                <w:sz w:val="18"/>
              </w:rPr>
              <w:t>I.</w:t>
            </w:r>
            <w:r>
              <w:rPr>
                <w:spacing w:val="-1"/>
                <w:sz w:val="18"/>
              </w:rPr>
              <w:t> </w:t>
            </w:r>
            <w:r>
              <w:rPr>
                <w:spacing w:val="-2"/>
                <w:sz w:val="18"/>
              </w:rPr>
              <w:t>Sanders</w:t>
            </w:r>
          </w:p>
        </w:tc>
        <w:tc>
          <w:tcPr>
            <w:tcW w:w="1745" w:type="dxa"/>
          </w:tcPr>
          <w:p>
            <w:pPr>
              <w:pStyle w:val="TableParagraph"/>
              <w:ind w:right="435"/>
              <w:jc w:val="right"/>
              <w:rPr>
                <w:sz w:val="18"/>
              </w:rPr>
            </w:pPr>
            <w:r>
              <w:rPr>
                <w:spacing w:val="-5"/>
                <w:sz w:val="18"/>
              </w:rPr>
              <w:t>59</w:t>
            </w:r>
          </w:p>
        </w:tc>
        <w:tc>
          <w:tcPr>
            <w:tcW w:w="6835" w:type="dxa"/>
          </w:tcPr>
          <w:p>
            <w:pPr>
              <w:pStyle w:val="TableParagraph"/>
              <w:ind w:left="376"/>
              <w:rPr>
                <w:sz w:val="18"/>
              </w:rPr>
            </w:pPr>
            <w:r>
              <w:rPr>
                <w:sz w:val="18"/>
              </w:rPr>
              <w:t>Chief</w:t>
            </w:r>
            <w:r>
              <w:rPr>
                <w:spacing w:val="-1"/>
                <w:sz w:val="18"/>
              </w:rPr>
              <w:t> </w:t>
            </w:r>
            <w:r>
              <w:rPr>
                <w:sz w:val="18"/>
              </w:rPr>
              <w:t>Operating</w:t>
            </w:r>
            <w:r>
              <w:rPr>
                <w:spacing w:val="-1"/>
                <w:sz w:val="18"/>
              </w:rPr>
              <w:t> </w:t>
            </w:r>
            <w:r>
              <w:rPr>
                <w:spacing w:val="-2"/>
                <w:sz w:val="18"/>
              </w:rPr>
              <w:t>Officer</w:t>
            </w:r>
          </w:p>
        </w:tc>
      </w:tr>
      <w:tr>
        <w:trPr>
          <w:trHeight w:val="256" w:hRule="atLeast"/>
        </w:trPr>
        <w:tc>
          <w:tcPr>
            <w:tcW w:w="2936" w:type="dxa"/>
            <w:shd w:val="clear" w:color="auto" w:fill="CCEDFF"/>
          </w:tcPr>
          <w:p>
            <w:pPr>
              <w:pStyle w:val="TableParagraph"/>
              <w:ind w:left="35"/>
              <w:rPr>
                <w:sz w:val="18"/>
              </w:rPr>
            </w:pPr>
            <w:r>
              <w:rPr>
                <w:sz w:val="18"/>
              </w:rPr>
              <w:t>Jonathan</w:t>
            </w:r>
            <w:r>
              <w:rPr>
                <w:spacing w:val="-1"/>
                <w:sz w:val="18"/>
              </w:rPr>
              <w:t> </w:t>
            </w:r>
            <w:r>
              <w:rPr>
                <w:sz w:val="18"/>
              </w:rPr>
              <w:t>S.</w:t>
            </w:r>
            <w:r>
              <w:rPr>
                <w:spacing w:val="-1"/>
                <w:sz w:val="18"/>
              </w:rPr>
              <w:t> </w:t>
            </w:r>
            <w:r>
              <w:rPr>
                <w:spacing w:val="-2"/>
                <w:sz w:val="18"/>
              </w:rPr>
              <w:t>Halkyard</w:t>
            </w:r>
          </w:p>
        </w:tc>
        <w:tc>
          <w:tcPr>
            <w:tcW w:w="1745" w:type="dxa"/>
            <w:shd w:val="clear" w:color="auto" w:fill="CCEDFF"/>
          </w:tcPr>
          <w:p>
            <w:pPr>
              <w:pStyle w:val="TableParagraph"/>
              <w:ind w:right="435"/>
              <w:jc w:val="right"/>
              <w:rPr>
                <w:sz w:val="18"/>
              </w:rPr>
            </w:pPr>
            <w:r>
              <w:rPr>
                <w:spacing w:val="-5"/>
                <w:sz w:val="18"/>
              </w:rPr>
              <w:t>58</w:t>
            </w:r>
          </w:p>
        </w:tc>
        <w:tc>
          <w:tcPr>
            <w:tcW w:w="6835" w:type="dxa"/>
            <w:shd w:val="clear" w:color="auto" w:fill="CCEDFF"/>
          </w:tcPr>
          <w:p>
            <w:pPr>
              <w:pStyle w:val="TableParagraph"/>
              <w:ind w:left="376"/>
              <w:rPr>
                <w:sz w:val="18"/>
              </w:rPr>
            </w:pPr>
            <w:r>
              <w:rPr>
                <w:sz w:val="18"/>
              </w:rPr>
              <w:t>Chief</w:t>
            </w:r>
            <w:r>
              <w:rPr>
                <w:spacing w:val="-3"/>
                <w:sz w:val="18"/>
              </w:rPr>
              <w:t> </w:t>
            </w:r>
            <w:r>
              <w:rPr>
                <w:sz w:val="18"/>
              </w:rPr>
              <w:t>Financial</w:t>
            </w:r>
            <w:r>
              <w:rPr>
                <w:spacing w:val="-2"/>
                <w:sz w:val="18"/>
              </w:rPr>
              <w:t> </w:t>
            </w:r>
            <w:r>
              <w:rPr>
                <w:sz w:val="18"/>
              </w:rPr>
              <w:t>Officer</w:t>
            </w:r>
            <w:r>
              <w:rPr>
                <w:spacing w:val="-2"/>
                <w:sz w:val="18"/>
              </w:rPr>
              <w:t> </w:t>
            </w:r>
            <w:r>
              <w:rPr>
                <w:sz w:val="18"/>
              </w:rPr>
              <w:t>and</w:t>
            </w:r>
            <w:r>
              <w:rPr>
                <w:spacing w:val="-4"/>
                <w:sz w:val="18"/>
              </w:rPr>
              <w:t> </w:t>
            </w:r>
            <w:r>
              <w:rPr>
                <w:spacing w:val="-2"/>
                <w:sz w:val="18"/>
              </w:rPr>
              <w:t>Treasurer</w:t>
            </w:r>
          </w:p>
        </w:tc>
      </w:tr>
      <w:tr>
        <w:trPr>
          <w:trHeight w:val="269" w:hRule="atLeast"/>
        </w:trPr>
        <w:tc>
          <w:tcPr>
            <w:tcW w:w="2936" w:type="dxa"/>
          </w:tcPr>
          <w:p>
            <w:pPr>
              <w:pStyle w:val="TableParagraph"/>
              <w:ind w:left="35"/>
              <w:rPr>
                <w:sz w:val="18"/>
              </w:rPr>
            </w:pPr>
            <w:r>
              <w:rPr>
                <w:sz w:val="18"/>
              </w:rPr>
              <w:t>John</w:t>
            </w:r>
            <w:r>
              <w:rPr>
                <w:spacing w:val="-1"/>
                <w:sz w:val="18"/>
              </w:rPr>
              <w:t> </w:t>
            </w:r>
            <w:r>
              <w:rPr>
                <w:sz w:val="18"/>
              </w:rPr>
              <w:t>M.</w:t>
            </w:r>
            <w:r>
              <w:rPr>
                <w:spacing w:val="-1"/>
                <w:sz w:val="18"/>
              </w:rPr>
              <w:t> </w:t>
            </w:r>
            <w:r>
              <w:rPr>
                <w:spacing w:val="-2"/>
                <w:sz w:val="18"/>
              </w:rPr>
              <w:t>McManus</w:t>
            </w:r>
          </w:p>
        </w:tc>
        <w:tc>
          <w:tcPr>
            <w:tcW w:w="1745" w:type="dxa"/>
          </w:tcPr>
          <w:p>
            <w:pPr>
              <w:pStyle w:val="TableParagraph"/>
              <w:ind w:right="435"/>
              <w:jc w:val="right"/>
              <w:rPr>
                <w:sz w:val="18"/>
              </w:rPr>
            </w:pPr>
            <w:r>
              <w:rPr>
                <w:spacing w:val="-5"/>
                <w:sz w:val="18"/>
              </w:rPr>
              <w:t>55</w:t>
            </w:r>
          </w:p>
        </w:tc>
        <w:tc>
          <w:tcPr>
            <w:tcW w:w="6835" w:type="dxa"/>
          </w:tcPr>
          <w:p>
            <w:pPr>
              <w:pStyle w:val="TableParagraph"/>
              <w:ind w:left="376"/>
              <w:rPr>
                <w:sz w:val="18"/>
              </w:rPr>
            </w:pPr>
            <w:r>
              <w:rPr>
                <w:sz w:val="18"/>
              </w:rPr>
              <w:t>Chief</w:t>
            </w:r>
            <w:r>
              <w:rPr>
                <w:spacing w:val="-2"/>
                <w:sz w:val="18"/>
              </w:rPr>
              <w:t> </w:t>
            </w:r>
            <w:r>
              <w:rPr>
                <w:sz w:val="18"/>
              </w:rPr>
              <w:t>Legal</w:t>
            </w:r>
            <w:r>
              <w:rPr>
                <w:spacing w:val="-2"/>
                <w:sz w:val="18"/>
              </w:rPr>
              <w:t> </w:t>
            </w:r>
            <w:r>
              <w:rPr>
                <w:sz w:val="18"/>
              </w:rPr>
              <w:t>and</w:t>
            </w:r>
            <w:r>
              <w:rPr>
                <w:spacing w:val="-10"/>
                <w:sz w:val="18"/>
              </w:rPr>
              <w:t> </w:t>
            </w:r>
            <w:r>
              <w:rPr>
                <w:sz w:val="18"/>
              </w:rPr>
              <w:t>Administrative</w:t>
            </w:r>
            <w:r>
              <w:rPr>
                <w:spacing w:val="-2"/>
                <w:sz w:val="18"/>
              </w:rPr>
              <w:t> </w:t>
            </w:r>
            <w:r>
              <w:rPr>
                <w:sz w:val="18"/>
              </w:rPr>
              <w:t>Officer</w:t>
            </w:r>
            <w:r>
              <w:rPr>
                <w:spacing w:val="-2"/>
                <w:sz w:val="18"/>
              </w:rPr>
              <w:t> </w:t>
            </w:r>
            <w:r>
              <w:rPr>
                <w:sz w:val="18"/>
              </w:rPr>
              <w:t>and</w:t>
            </w:r>
            <w:r>
              <w:rPr>
                <w:spacing w:val="-1"/>
                <w:sz w:val="18"/>
              </w:rPr>
              <w:t> </w:t>
            </w:r>
            <w:r>
              <w:rPr>
                <w:spacing w:val="-2"/>
                <w:sz w:val="18"/>
              </w:rPr>
              <w:t>Secretary</w:t>
            </w:r>
          </w:p>
        </w:tc>
      </w:tr>
      <w:tr>
        <w:trPr>
          <w:trHeight w:val="256" w:hRule="atLeast"/>
        </w:trPr>
        <w:tc>
          <w:tcPr>
            <w:tcW w:w="2936" w:type="dxa"/>
            <w:shd w:val="clear" w:color="auto" w:fill="CCEDFF"/>
          </w:tcPr>
          <w:p>
            <w:pPr>
              <w:pStyle w:val="TableParagraph"/>
              <w:ind w:left="35"/>
              <w:rPr>
                <w:sz w:val="18"/>
              </w:rPr>
            </w:pPr>
            <w:r>
              <w:rPr>
                <w:sz w:val="18"/>
              </w:rPr>
              <w:t>Gary</w:t>
            </w:r>
            <w:r>
              <w:rPr>
                <w:spacing w:val="-1"/>
                <w:sz w:val="18"/>
              </w:rPr>
              <w:t> </w:t>
            </w:r>
            <w:r>
              <w:rPr>
                <w:sz w:val="18"/>
              </w:rPr>
              <w:t>M.</w:t>
            </w:r>
            <w:r>
              <w:rPr>
                <w:spacing w:val="-1"/>
                <w:sz w:val="18"/>
              </w:rPr>
              <w:t> </w:t>
            </w:r>
            <w:r>
              <w:rPr>
                <w:spacing w:val="-2"/>
                <w:sz w:val="18"/>
              </w:rPr>
              <w:t>Fritz</w:t>
            </w:r>
          </w:p>
        </w:tc>
        <w:tc>
          <w:tcPr>
            <w:tcW w:w="1745" w:type="dxa"/>
            <w:shd w:val="clear" w:color="auto" w:fill="CCEDFF"/>
          </w:tcPr>
          <w:p>
            <w:pPr>
              <w:pStyle w:val="TableParagraph"/>
              <w:ind w:right="435"/>
              <w:jc w:val="right"/>
              <w:rPr>
                <w:sz w:val="18"/>
              </w:rPr>
            </w:pPr>
            <w:r>
              <w:rPr>
                <w:spacing w:val="-5"/>
                <w:sz w:val="18"/>
              </w:rPr>
              <w:t>49</w:t>
            </w:r>
          </w:p>
        </w:tc>
        <w:tc>
          <w:tcPr>
            <w:tcW w:w="6835" w:type="dxa"/>
            <w:shd w:val="clear" w:color="auto" w:fill="CCEDFF"/>
          </w:tcPr>
          <w:p>
            <w:pPr>
              <w:pStyle w:val="TableParagraph"/>
              <w:ind w:left="376"/>
              <w:rPr>
                <w:sz w:val="18"/>
              </w:rPr>
            </w:pPr>
            <w:r>
              <w:rPr>
                <w:sz w:val="18"/>
              </w:rPr>
              <w:t>President,</w:t>
            </w:r>
            <w:r>
              <w:rPr>
                <w:spacing w:val="-1"/>
                <w:sz w:val="18"/>
              </w:rPr>
              <w:t> </w:t>
            </w:r>
            <w:r>
              <w:rPr>
                <w:sz w:val="18"/>
              </w:rPr>
              <w:t>MGM</w:t>
            </w:r>
            <w:r>
              <w:rPr>
                <w:spacing w:val="-1"/>
                <w:sz w:val="18"/>
              </w:rPr>
              <w:t> </w:t>
            </w:r>
            <w:r>
              <w:rPr>
                <w:sz w:val="18"/>
              </w:rPr>
              <w:t>Resorts</w:t>
            </w:r>
            <w:r>
              <w:rPr>
                <w:spacing w:val="-1"/>
                <w:sz w:val="18"/>
              </w:rPr>
              <w:t> </w:t>
            </w:r>
            <w:r>
              <w:rPr>
                <w:sz w:val="18"/>
              </w:rPr>
              <w:t>International</w:t>
            </w:r>
            <w:r>
              <w:rPr>
                <w:spacing w:val="-1"/>
                <w:sz w:val="18"/>
              </w:rPr>
              <w:t> </w:t>
            </w:r>
            <w:r>
              <w:rPr>
                <w:spacing w:val="-2"/>
                <w:sz w:val="18"/>
              </w:rPr>
              <w:t>Interactive</w:t>
            </w:r>
          </w:p>
        </w:tc>
      </w:tr>
    </w:tbl>
    <w:p>
      <w:pPr>
        <w:pStyle w:val="BodyText"/>
        <w:spacing w:before="87"/>
      </w:pPr>
    </w:p>
    <w:p>
      <w:pPr>
        <w:pStyle w:val="BodyText"/>
        <w:ind w:left="144" w:right="118" w:firstLine="499"/>
        <w:jc w:val="both"/>
      </w:pPr>
      <w:r>
        <w:rPr/>
        <w:t>Mr. Hornbuckle has served as Chief Executive Officer since July 2020 and as President since December 2012. He served as Acting Chief </w:t>
      </w:r>
      <w:r>
        <w:rPr/>
        <w:t>Executive Officer from March 2020 to July 2020, as Chief Operating Officer from March 2019 to March 2020, as President and Chief Customer Development Officer from December 2018 to February 2019, as Chief Marketing Officer from</w:t>
      </w:r>
      <w:r>
        <w:rPr>
          <w:spacing w:val="-8"/>
        </w:rPr>
        <w:t> </w:t>
      </w:r>
      <w:r>
        <w:rPr/>
        <w:t>August 2009 to</w:t>
      </w:r>
      <w:r>
        <w:rPr>
          <w:spacing w:val="-8"/>
        </w:rPr>
        <w:t> </w:t>
      </w:r>
      <w:r>
        <w:rPr/>
        <w:t>August 2014 and President and Chief Operating Officer of Mandalay Bay Resort &amp; Casino from April 2005 to August 2009.</w:t>
      </w:r>
    </w:p>
    <w:p>
      <w:pPr>
        <w:pStyle w:val="BodyText"/>
        <w:spacing w:before="18"/>
      </w:pPr>
    </w:p>
    <w:p>
      <w:pPr>
        <w:pStyle w:val="BodyText"/>
        <w:ind w:left="144" w:right="118" w:firstLine="499"/>
        <w:jc w:val="both"/>
      </w:pPr>
      <w:r>
        <w:rPr/>
        <w:t>Mr. Sanders has served as Chief Operating Officer since December 2020. Previously, he served as Chief Financial Officer and Treasurer from </w:t>
      </w:r>
      <w:r>
        <w:rPr/>
        <w:t>March 2019</w:t>
      </w:r>
      <w:r>
        <w:rPr>
          <w:spacing w:val="-1"/>
        </w:rPr>
        <w:t> </w:t>
      </w:r>
      <w:r>
        <w:rPr/>
        <w:t>to</w:t>
      </w:r>
      <w:r>
        <w:rPr>
          <w:spacing w:val="-1"/>
        </w:rPr>
        <w:t> </w:t>
      </w:r>
      <w:r>
        <w:rPr/>
        <w:t>January</w:t>
      </w:r>
      <w:r>
        <w:rPr>
          <w:spacing w:val="-1"/>
        </w:rPr>
        <w:t> </w:t>
      </w:r>
      <w:r>
        <w:rPr/>
        <w:t>2021,</w:t>
      </w:r>
      <w:r>
        <w:rPr>
          <w:spacing w:val="-1"/>
        </w:rPr>
        <w:t> </w:t>
      </w:r>
      <w:r>
        <w:rPr/>
        <w:t>as</w:t>
      </w:r>
      <w:r>
        <w:rPr>
          <w:spacing w:val="-1"/>
        </w:rPr>
        <w:t> </w:t>
      </w:r>
      <w:r>
        <w:rPr/>
        <w:t>Chief</w:t>
      </w:r>
      <w:r>
        <w:rPr>
          <w:spacing w:val="-1"/>
        </w:rPr>
        <w:t> </w:t>
      </w:r>
      <w:r>
        <w:rPr/>
        <w:t>Operating</w:t>
      </w:r>
      <w:r>
        <w:rPr>
          <w:spacing w:val="-1"/>
        </w:rPr>
        <w:t> </w:t>
      </w:r>
      <w:r>
        <w:rPr/>
        <w:t>Officer</w:t>
      </w:r>
      <w:r>
        <w:rPr>
          <w:spacing w:val="-1"/>
        </w:rPr>
        <w:t> </w:t>
      </w:r>
      <w:r>
        <w:rPr/>
        <w:t>from</w:t>
      </w:r>
      <w:r>
        <w:rPr>
          <w:spacing w:val="-1"/>
        </w:rPr>
        <w:t> </w:t>
      </w:r>
      <w:r>
        <w:rPr/>
        <w:t>September</w:t>
      </w:r>
      <w:r>
        <w:rPr>
          <w:spacing w:val="-1"/>
        </w:rPr>
        <w:t> </w:t>
      </w:r>
      <w:r>
        <w:rPr/>
        <w:t>2010</w:t>
      </w:r>
      <w:r>
        <w:rPr>
          <w:spacing w:val="-1"/>
        </w:rPr>
        <w:t> </w:t>
      </w:r>
      <w:r>
        <w:rPr/>
        <w:t>through</w:t>
      </w:r>
      <w:r>
        <w:rPr>
          <w:spacing w:val="-1"/>
        </w:rPr>
        <w:t> </w:t>
      </w:r>
      <w:r>
        <w:rPr/>
        <w:t>February</w:t>
      </w:r>
      <w:r>
        <w:rPr>
          <w:spacing w:val="-1"/>
        </w:rPr>
        <w:t> </w:t>
      </w:r>
      <w:r>
        <w:rPr/>
        <w:t>2019,</w:t>
      </w:r>
      <w:r>
        <w:rPr>
          <w:spacing w:val="-1"/>
        </w:rPr>
        <w:t> </w:t>
      </w:r>
      <w:r>
        <w:rPr/>
        <w:t>as</w:t>
      </w:r>
      <w:r>
        <w:rPr>
          <w:spacing w:val="-1"/>
        </w:rPr>
        <w:t> </w:t>
      </w:r>
      <w:r>
        <w:rPr/>
        <w:t>Chief</w:t>
      </w:r>
      <w:r>
        <w:rPr>
          <w:spacing w:val="-1"/>
        </w:rPr>
        <w:t> </w:t>
      </w:r>
      <w:r>
        <w:rPr/>
        <w:t>Operating</w:t>
      </w:r>
      <w:r>
        <w:rPr>
          <w:spacing w:val="-1"/>
        </w:rPr>
        <w:t> </w:t>
      </w:r>
      <w:r>
        <w:rPr/>
        <w:t>Officer</w:t>
      </w:r>
      <w:r>
        <w:rPr>
          <w:spacing w:val="-1"/>
        </w:rPr>
        <w:t> </w:t>
      </w:r>
      <w:r>
        <w:rPr/>
        <w:t>for</w:t>
      </w:r>
      <w:r>
        <w:rPr>
          <w:spacing w:val="-1"/>
        </w:rPr>
        <w:t> </w:t>
      </w:r>
      <w:r>
        <w:rPr/>
        <w:t>the</w:t>
      </w:r>
      <w:r>
        <w:rPr>
          <w:spacing w:val="-1"/>
        </w:rPr>
        <w:t> </w:t>
      </w:r>
      <w:r>
        <w:rPr/>
        <w:t>Company’s</w:t>
      </w:r>
      <w:r>
        <w:rPr>
          <w:spacing w:val="-1"/>
        </w:rPr>
        <w:t> </w:t>
      </w:r>
      <w:r>
        <w:rPr/>
        <w:t>Core</w:t>
      </w:r>
      <w:r>
        <w:rPr>
          <w:spacing w:val="-1"/>
        </w:rPr>
        <w:t> </w:t>
      </w:r>
      <w:r>
        <w:rPr/>
        <w:t>Brand</w:t>
      </w:r>
      <w:r>
        <w:rPr>
          <w:spacing w:val="-1"/>
        </w:rPr>
        <w:t> </w:t>
      </w:r>
      <w:r>
        <w:rPr/>
        <w:t>and Regional Properties from</w:t>
      </w:r>
      <w:r>
        <w:rPr>
          <w:spacing w:val="-9"/>
        </w:rPr>
        <w:t> </w:t>
      </w:r>
      <w:r>
        <w:rPr/>
        <w:t>August 2009 to September 2010, as Executive</w:t>
      </w:r>
      <w:r>
        <w:rPr>
          <w:spacing w:val="-2"/>
        </w:rPr>
        <w:t> </w:t>
      </w:r>
      <w:r>
        <w:rPr/>
        <w:t>Vice President—Operations from</w:t>
      </w:r>
      <w:r>
        <w:rPr>
          <w:spacing w:val="-9"/>
        </w:rPr>
        <w:t> </w:t>
      </w:r>
      <w:r>
        <w:rPr/>
        <w:t>August 2007 to</w:t>
      </w:r>
      <w:r>
        <w:rPr>
          <w:spacing w:val="-9"/>
        </w:rPr>
        <w:t> </w:t>
      </w:r>
      <w:r>
        <w:rPr/>
        <w:t>August 2009, and as Executive</w:t>
      </w:r>
      <w:r>
        <w:rPr>
          <w:spacing w:val="-2"/>
        </w:rPr>
        <w:t> </w:t>
      </w:r>
      <w:r>
        <w:rPr/>
        <w:t>Vice President and Chief Financial Officer for MGM Grand Resorts from</w:t>
      </w:r>
      <w:r>
        <w:rPr>
          <w:spacing w:val="-1"/>
        </w:rPr>
        <w:t> </w:t>
      </w:r>
      <w:r>
        <w:rPr/>
        <w:t>April 2005 to</w:t>
      </w:r>
      <w:r>
        <w:rPr>
          <w:spacing w:val="-1"/>
        </w:rPr>
        <w:t> </w:t>
      </w:r>
      <w:r>
        <w:rPr/>
        <w:t>August 2007.</w:t>
      </w:r>
    </w:p>
    <w:p>
      <w:pPr>
        <w:pStyle w:val="BodyText"/>
        <w:spacing w:before="5"/>
      </w:pPr>
    </w:p>
    <w:p>
      <w:pPr>
        <w:pStyle w:val="BodyText"/>
        <w:ind w:left="144" w:right="118" w:firstLine="499"/>
        <w:jc w:val="both"/>
      </w:pPr>
      <w:r>
        <w:rPr/>
        <w:t>Mr. Halkyard has served as Chief Financial Officer and Treasurer since January 2021. Prior to joining the Company, Mr. Halkyard served as President and Chief Executive Officer of Extended Stay</w:t>
      </w:r>
      <w:r>
        <w:rPr>
          <w:spacing w:val="-1"/>
        </w:rPr>
        <w:t> </w:t>
      </w:r>
      <w:r>
        <w:rPr/>
        <w:t>America, Inc. ("Extended Stay") and its paired-share REIT, ESH Hospitality, Inc., from January 2018 </w:t>
      </w:r>
      <w:r>
        <w:rPr/>
        <w:t>through November 2019, as Chief Financial Officer of Extended Stay from January 2015 through December 2017, and as Chief Operating Officer of Extended Stay from</w:t>
      </w:r>
      <w:r>
        <w:rPr>
          <w:spacing w:val="-3"/>
        </w:rPr>
        <w:t> </w:t>
      </w:r>
      <w:r>
        <w:rPr/>
        <w:t>September</w:t>
      </w:r>
      <w:r>
        <w:rPr>
          <w:spacing w:val="-3"/>
        </w:rPr>
        <w:t> </w:t>
      </w:r>
      <w:r>
        <w:rPr/>
        <w:t>2013</w:t>
      </w:r>
      <w:r>
        <w:rPr>
          <w:spacing w:val="-3"/>
        </w:rPr>
        <w:t> </w:t>
      </w:r>
      <w:r>
        <w:rPr/>
        <w:t>through</w:t>
      </w:r>
      <w:r>
        <w:rPr>
          <w:spacing w:val="-3"/>
        </w:rPr>
        <w:t> </w:t>
      </w:r>
      <w:r>
        <w:rPr/>
        <w:t>January</w:t>
      </w:r>
      <w:r>
        <w:rPr>
          <w:spacing w:val="-3"/>
        </w:rPr>
        <w:t> </w:t>
      </w:r>
      <w:r>
        <w:rPr/>
        <w:t>2015.</w:t>
      </w:r>
      <w:r>
        <w:rPr>
          <w:spacing w:val="-3"/>
        </w:rPr>
        <w:t> </w:t>
      </w:r>
      <w:r>
        <w:rPr/>
        <w:t>Prior</w:t>
      </w:r>
      <w:r>
        <w:rPr>
          <w:spacing w:val="-3"/>
        </w:rPr>
        <w:t> </w:t>
      </w:r>
      <w:r>
        <w:rPr/>
        <w:t>to</w:t>
      </w:r>
      <w:r>
        <w:rPr>
          <w:spacing w:val="-3"/>
        </w:rPr>
        <w:t> </w:t>
      </w:r>
      <w:r>
        <w:rPr/>
        <w:t>joining</w:t>
      </w:r>
      <w:r>
        <w:rPr>
          <w:spacing w:val="-3"/>
        </w:rPr>
        <w:t> </w:t>
      </w:r>
      <w:r>
        <w:rPr/>
        <w:t>Extended</w:t>
      </w:r>
      <w:r>
        <w:rPr>
          <w:spacing w:val="-3"/>
        </w:rPr>
        <w:t> </w:t>
      </w:r>
      <w:r>
        <w:rPr/>
        <w:t>Stay,</w:t>
      </w:r>
      <w:r>
        <w:rPr>
          <w:spacing w:val="-3"/>
        </w:rPr>
        <w:t> </w:t>
      </w:r>
      <w:r>
        <w:rPr/>
        <w:t>Mr.</w:t>
      </w:r>
      <w:r>
        <w:rPr>
          <w:spacing w:val="-3"/>
        </w:rPr>
        <w:t> </w:t>
      </w:r>
      <w:r>
        <w:rPr/>
        <w:t>Halkyard</w:t>
      </w:r>
      <w:r>
        <w:rPr>
          <w:spacing w:val="-3"/>
        </w:rPr>
        <w:t> </w:t>
      </w:r>
      <w:r>
        <w:rPr/>
        <w:t>served</w:t>
      </w:r>
      <w:r>
        <w:rPr>
          <w:spacing w:val="-3"/>
        </w:rPr>
        <w:t> </w:t>
      </w:r>
      <w:r>
        <w:rPr/>
        <w:t>as</w:t>
      </w:r>
      <w:r>
        <w:rPr>
          <w:spacing w:val="-3"/>
        </w:rPr>
        <w:t> </w:t>
      </w:r>
      <w:r>
        <w:rPr/>
        <w:t>Chief</w:t>
      </w:r>
      <w:r>
        <w:rPr>
          <w:spacing w:val="-3"/>
        </w:rPr>
        <w:t> </w:t>
      </w:r>
      <w:r>
        <w:rPr/>
        <w:t>Financial</w:t>
      </w:r>
      <w:r>
        <w:rPr>
          <w:spacing w:val="-3"/>
        </w:rPr>
        <w:t> </w:t>
      </w:r>
      <w:r>
        <w:rPr/>
        <w:t>Officer</w:t>
      </w:r>
      <w:r>
        <w:rPr>
          <w:spacing w:val="-3"/>
        </w:rPr>
        <w:t> </w:t>
      </w:r>
      <w:r>
        <w:rPr/>
        <w:t>of</w:t>
      </w:r>
      <w:r>
        <w:rPr>
          <w:spacing w:val="-3"/>
        </w:rPr>
        <w:t> </w:t>
      </w:r>
      <w:r>
        <w:rPr/>
        <w:t>NV</w:t>
      </w:r>
      <w:r>
        <w:rPr>
          <w:spacing w:val="-6"/>
        </w:rPr>
        <w:t> </w:t>
      </w:r>
      <w:r>
        <w:rPr/>
        <w:t>Energy,</w:t>
      </w:r>
      <w:r>
        <w:rPr>
          <w:spacing w:val="-3"/>
        </w:rPr>
        <w:t> </w:t>
      </w:r>
      <w:r>
        <w:rPr/>
        <w:t>Inc.</w:t>
      </w:r>
      <w:r>
        <w:rPr>
          <w:spacing w:val="-3"/>
        </w:rPr>
        <w:t> </w:t>
      </w:r>
      <w:r>
        <w:rPr/>
        <w:t>from</w:t>
      </w:r>
      <w:r>
        <w:rPr>
          <w:spacing w:val="-3"/>
        </w:rPr>
        <w:t> </w:t>
      </w:r>
      <w:r>
        <w:rPr/>
        <w:t>July</w:t>
      </w:r>
      <w:r>
        <w:rPr>
          <w:spacing w:val="-3"/>
        </w:rPr>
        <w:t> </w:t>
      </w:r>
      <w:r>
        <w:rPr/>
        <w:t>2012 through September 2013 and, prior to that, he served in various executive, finance and managerial roles at Caesars Entertainment Inc. since 1999, including as Chief Financial Officer from 2006 through 2012.</w:t>
      </w:r>
    </w:p>
    <w:p>
      <w:pPr>
        <w:pStyle w:val="BodyText"/>
        <w:spacing w:before="9"/>
      </w:pPr>
    </w:p>
    <w:p>
      <w:pPr>
        <w:pStyle w:val="BodyText"/>
        <w:ind w:left="144" w:right="118" w:firstLine="499"/>
        <w:jc w:val="both"/>
      </w:pPr>
      <w:r>
        <w:rPr/>
        <w:t>Mr. McManus has served as Chief Legal and Administrative Officer and Secretary since September 2022. He served as Executive Vice </w:t>
      </w:r>
      <w:r>
        <w:rPr/>
        <w:t>President, General Counsel and Secretary from July 2010 to August 2022, as Acting General Counsel from December 2009 to July 2010, as a senior member of the Company’s Corporate Legal Department from July 2008 to December 2009, and he served as counsel to various MGM operating subsidiaries from May 2001 to July 2008.</w:t>
      </w:r>
    </w:p>
    <w:p>
      <w:pPr>
        <w:pStyle w:val="BodyText"/>
        <w:spacing w:line="235" w:lineRule="auto" w:before="201"/>
        <w:ind w:left="144" w:right="118" w:firstLine="499"/>
        <w:jc w:val="both"/>
      </w:pPr>
      <w:r>
        <w:rPr/>
        <w:t>Mr. Fritz has served as President, MGM Resorts International Interactive since October 2022. From November 2021 until October 2022, he served </w:t>
      </w:r>
      <w:r>
        <w:rPr/>
        <w:t>as Managing Director, Digital Mergers &amp; Acquisitions. Prior to joining the Company, Mr. Fritz served as the sole member of Amanogawa, LLC, a consulting services company he owned. From 2020 until 2022, Amanogawa, LLC was retained by IAC to help lead and manage its interests in the gaming sector. He served as the President and Chief Growth Officer for TripAdvisor, Inc. from 2016 to 2020.</w:t>
      </w:r>
    </w:p>
    <w:p>
      <w:pPr>
        <w:pStyle w:val="BodyText"/>
        <w:spacing w:before="18"/>
      </w:pPr>
    </w:p>
    <w:p>
      <w:pPr>
        <w:pStyle w:val="Heading5"/>
        <w:jc w:val="left"/>
      </w:pPr>
      <w:r>
        <w:rPr>
          <w:spacing w:val="-2"/>
        </w:rPr>
        <w:t>Available</w:t>
      </w:r>
      <w:r>
        <w:rPr>
          <w:spacing w:val="3"/>
        </w:rPr>
        <w:t> </w:t>
      </w:r>
      <w:r>
        <w:rPr>
          <w:spacing w:val="-2"/>
        </w:rPr>
        <w:t>Information</w:t>
      </w:r>
    </w:p>
    <w:p>
      <w:pPr>
        <w:pStyle w:val="BodyText"/>
        <w:spacing w:before="4"/>
        <w:rPr>
          <w:b/>
        </w:rPr>
      </w:pPr>
    </w:p>
    <w:p>
      <w:pPr>
        <w:pStyle w:val="BodyText"/>
        <w:spacing w:line="242" w:lineRule="auto" w:before="1"/>
        <w:ind w:left="144" w:right="118" w:firstLine="499"/>
        <w:jc w:val="both"/>
      </w:pPr>
      <w:r>
        <w:rPr/>
        <w:t>We maintain a website at </w:t>
      </w:r>
      <w:hyperlink r:id="rId6">
        <w:r>
          <w:rPr>
            <w:u w:val="single"/>
          </w:rPr>
          <w:t>www.mgmresorts.com</w:t>
        </w:r>
      </w:hyperlink>
      <w:r>
        <w:rPr/>
        <w:t> that includes financial and other information for investors. We provide access to our SEC </w:t>
      </w:r>
      <w:r>
        <w:rPr/>
        <w:t>filings, including our annual report on Form 10-K and quarterly reports on Form 10-Q (including related filings in XBRL format), filed and furnished current reports</w:t>
      </w:r>
      <w:r>
        <w:rPr>
          <w:spacing w:val="40"/>
        </w:rPr>
        <w:t> </w:t>
      </w:r>
      <w:r>
        <w:rPr/>
        <w:t>on Form 8-K, and amendments to those reports on our website, free of charge, through a link to the SEC’s EDGAR database.</w:t>
      </w:r>
      <w:r>
        <w:rPr>
          <w:spacing w:val="-1"/>
        </w:rPr>
        <w:t> </w:t>
      </w:r>
      <w:r>
        <w:rPr/>
        <w:t>Through that link, our filings are available as soon as reasonably practicable after we file or furnish the documents with the SEC. These filings are also available on the SEC’s website at </w:t>
      </w:r>
      <w:hyperlink r:id="rId7">
        <w:r>
          <w:rPr>
            <w:spacing w:val="-2"/>
            <w:u w:val="single"/>
          </w:rPr>
          <w:t>www.sec</w:t>
        </w:r>
        <w:r>
          <w:rPr>
            <w:spacing w:val="-2"/>
          </w:rPr>
          <w:t>.g</w:t>
        </w:r>
        <w:r>
          <w:rPr>
            <w:spacing w:val="-2"/>
            <w:u w:val="single"/>
          </w:rPr>
          <w:t>ov</w:t>
        </w:r>
        <w:r>
          <w:rPr>
            <w:spacing w:val="-2"/>
          </w:rPr>
          <w:t>.</w:t>
        </w:r>
      </w:hyperlink>
    </w:p>
    <w:p>
      <w:pPr>
        <w:pStyle w:val="BodyText"/>
        <w:spacing w:before="6"/>
      </w:pPr>
    </w:p>
    <w:p>
      <w:pPr>
        <w:pStyle w:val="BodyText"/>
        <w:spacing w:line="235" w:lineRule="auto"/>
        <w:ind w:left="144" w:right="118" w:firstLine="499"/>
        <w:jc w:val="both"/>
      </w:pPr>
      <w:r>
        <w:rPr/>
        <w:t>Because of the time differences between Macau and the United States, we also use our corporate website as a means of posting important </w:t>
      </w:r>
      <w:r>
        <w:rPr/>
        <w:t>information about MGM China.</w:t>
      </w:r>
    </w:p>
    <w:p>
      <w:pPr>
        <w:pStyle w:val="BodyText"/>
        <w:spacing w:before="22"/>
      </w:pPr>
    </w:p>
    <w:p>
      <w:pPr>
        <w:pStyle w:val="BodyText"/>
        <w:spacing w:line="235" w:lineRule="auto"/>
        <w:ind w:left="144" w:right="118" w:firstLine="499"/>
        <w:jc w:val="both"/>
      </w:pPr>
      <w:r>
        <w:rPr/>
        <w:t>References</w:t>
      </w:r>
      <w:r>
        <w:rPr>
          <w:spacing w:val="-2"/>
        </w:rPr>
        <w:t> </w:t>
      </w:r>
      <w:r>
        <w:rPr/>
        <w:t>in</w:t>
      </w:r>
      <w:r>
        <w:rPr>
          <w:spacing w:val="-2"/>
        </w:rPr>
        <w:t> </w:t>
      </w:r>
      <w:r>
        <w:rPr/>
        <w:t>this</w:t>
      </w:r>
      <w:r>
        <w:rPr>
          <w:spacing w:val="-2"/>
        </w:rPr>
        <w:t> </w:t>
      </w:r>
      <w:r>
        <w:rPr/>
        <w:t>document</w:t>
      </w:r>
      <w:r>
        <w:rPr>
          <w:spacing w:val="-2"/>
        </w:rPr>
        <w:t> </w:t>
      </w:r>
      <w:r>
        <w:rPr/>
        <w:t>to</w:t>
      </w:r>
      <w:r>
        <w:rPr>
          <w:spacing w:val="-2"/>
        </w:rPr>
        <w:t> </w:t>
      </w:r>
      <w:r>
        <w:rPr/>
        <w:t>our</w:t>
      </w:r>
      <w:r>
        <w:rPr>
          <w:spacing w:val="-2"/>
        </w:rPr>
        <w:t> </w:t>
      </w:r>
      <w:r>
        <w:rPr/>
        <w:t>website</w:t>
      </w:r>
      <w:r>
        <w:rPr>
          <w:spacing w:val="-2"/>
        </w:rPr>
        <w:t> </w:t>
      </w:r>
      <w:r>
        <w:rPr/>
        <w:t>address</w:t>
      </w:r>
      <w:r>
        <w:rPr>
          <w:spacing w:val="-2"/>
        </w:rPr>
        <w:t> </w:t>
      </w:r>
      <w:r>
        <w:rPr/>
        <w:t>do</w:t>
      </w:r>
      <w:r>
        <w:rPr>
          <w:spacing w:val="-2"/>
        </w:rPr>
        <w:t> </w:t>
      </w:r>
      <w:r>
        <w:rPr/>
        <w:t>not</w:t>
      </w:r>
      <w:r>
        <w:rPr>
          <w:spacing w:val="-2"/>
        </w:rPr>
        <w:t> </w:t>
      </w:r>
      <w:r>
        <w:rPr/>
        <w:t>incorporate</w:t>
      </w:r>
      <w:r>
        <w:rPr>
          <w:spacing w:val="-2"/>
        </w:rPr>
        <w:t> </w:t>
      </w:r>
      <w:r>
        <w:rPr/>
        <w:t>by</w:t>
      </w:r>
      <w:r>
        <w:rPr>
          <w:spacing w:val="-2"/>
        </w:rPr>
        <w:t> </w:t>
      </w:r>
      <w:r>
        <w:rPr/>
        <w:t>reference</w:t>
      </w:r>
      <w:r>
        <w:rPr>
          <w:spacing w:val="-2"/>
        </w:rPr>
        <w:t> </w:t>
      </w:r>
      <w:r>
        <w:rPr/>
        <w:t>the</w:t>
      </w:r>
      <w:r>
        <w:rPr>
          <w:spacing w:val="-2"/>
        </w:rPr>
        <w:t> </w:t>
      </w:r>
      <w:r>
        <w:rPr/>
        <w:t>information</w:t>
      </w:r>
      <w:r>
        <w:rPr>
          <w:spacing w:val="-2"/>
        </w:rPr>
        <w:t> </w:t>
      </w:r>
      <w:r>
        <w:rPr/>
        <w:t>contained</w:t>
      </w:r>
      <w:r>
        <w:rPr>
          <w:spacing w:val="-2"/>
        </w:rPr>
        <w:t> </w:t>
      </w:r>
      <w:r>
        <w:rPr/>
        <w:t>on</w:t>
      </w:r>
      <w:r>
        <w:rPr>
          <w:spacing w:val="-2"/>
        </w:rPr>
        <w:t> </w:t>
      </w:r>
      <w:r>
        <w:rPr/>
        <w:t>the</w:t>
      </w:r>
      <w:r>
        <w:rPr>
          <w:spacing w:val="-2"/>
        </w:rPr>
        <w:t> </w:t>
      </w:r>
      <w:r>
        <w:rPr/>
        <w:t>websites</w:t>
      </w:r>
      <w:r>
        <w:rPr>
          <w:spacing w:val="-2"/>
        </w:rPr>
        <w:t> </w:t>
      </w:r>
      <w:r>
        <w:rPr/>
        <w:t>into</w:t>
      </w:r>
      <w:r>
        <w:rPr>
          <w:spacing w:val="-2"/>
        </w:rPr>
        <w:t> </w:t>
      </w:r>
      <w:r>
        <w:rPr/>
        <w:t>this</w:t>
      </w:r>
      <w:r>
        <w:rPr>
          <w:spacing w:val="-12"/>
        </w:rPr>
        <w:t> </w:t>
      </w:r>
      <w:r>
        <w:rPr/>
        <w:t>Annual</w:t>
      </w:r>
      <w:r>
        <w:rPr>
          <w:spacing w:val="-1"/>
        </w:rPr>
        <w:t> </w:t>
      </w:r>
      <w:r>
        <w:rPr/>
        <w:t>Report</w:t>
      </w:r>
      <w:r>
        <w:rPr>
          <w:spacing w:val="-2"/>
        </w:rPr>
        <w:t> </w:t>
      </w:r>
      <w:r>
        <w:rPr/>
        <w:t>on Form 10-K.</w:t>
      </w:r>
    </w:p>
    <w:p>
      <w:pPr>
        <w:pStyle w:val="BodyText"/>
      </w:pPr>
    </w:p>
    <w:p>
      <w:pPr>
        <w:pStyle w:val="BodyText"/>
      </w:pPr>
    </w:p>
    <w:p>
      <w:pPr>
        <w:pStyle w:val="BodyText"/>
      </w:pPr>
    </w:p>
    <w:p>
      <w:pPr>
        <w:pStyle w:val="BodyText"/>
      </w:pPr>
    </w:p>
    <w:p>
      <w:pPr>
        <w:pStyle w:val="BodyText"/>
      </w:pPr>
    </w:p>
    <w:p>
      <w:pPr>
        <w:pStyle w:val="BodyText"/>
        <w:spacing w:before="1"/>
        <w:ind w:left="24"/>
        <w:jc w:val="center"/>
      </w:pPr>
      <w:bookmarkStart w:name="_bookmark1" w:id="2"/>
      <w:bookmarkEnd w:id="2"/>
      <w:r>
        <w:rPr/>
      </w:r>
      <w:r>
        <w:rPr>
          <w:spacing w:val="-5"/>
        </w:rPr>
        <w:t>12</w:t>
      </w:r>
    </w:p>
    <w:p>
      <w:pPr>
        <w:pStyle w:val="BodyText"/>
        <w:spacing w:before="2"/>
        <w:rPr>
          <w:sz w:val="6"/>
        </w:rPr>
      </w:pPr>
      <w:r>
        <w:rPr/>
        <mc:AlternateContent>
          <mc:Choice Requires="wps">
            <w:drawing>
              <wp:anchor distT="0" distB="0" distL="0" distR="0" allowOverlap="1" layoutInCell="1" locked="0" behindDoc="1" simplePos="0" relativeHeight="487600128">
                <wp:simplePos x="0" y="0"/>
                <wp:positionH relativeFrom="page">
                  <wp:posOffset>231457</wp:posOffset>
                </wp:positionH>
                <wp:positionV relativeFrom="paragraph">
                  <wp:posOffset>60321</wp:posOffset>
                </wp:positionV>
                <wp:extent cx="7312659" cy="17145"/>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7312659" cy="17145"/>
                          <a:chExt cx="7312659" cy="17145"/>
                        </a:xfrm>
                      </wpg:grpSpPr>
                      <wps:wsp>
                        <wps:cNvPr id="70" name="Graphic 7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1" name="Graphic 71"/>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2" name="Graphic 7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716352;mso-wrap-distance-left:0;mso-wrap-distance-right:0" id="docshapegroup68" coordorigin="364,95" coordsize="11516,27">
                <v:rect style="position:absolute;left:364;top:95;width:11516;height:14" id="docshape69" filled="true" fillcolor="#999999" stroked="false">
                  <v:fill type="solid"/>
                </v:rect>
                <v:shape style="position:absolute;left:364;top:95;width:11516;height:27" id="docshape70" coordorigin="364,95" coordsize="11516,27" path="m11880,95l11866,109,364,109,364,122,11866,122,11880,122,11880,109,11880,95xe" filled="true" fillcolor="#ededed" stroked="false">
                  <v:path arrowok="t"/>
                  <v:fill type="solid"/>
                </v:shape>
                <v:shape style="position:absolute;left:364;top:95;width:14;height:27" id="docshape71" coordorigin="364,95" coordsize="14,27" path="m364,122l364,95,378,95,378,108,364,122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4"/>
        <w:spacing w:before="63"/>
      </w:pPr>
      <w:r>
        <w:rPr/>
        <w:t>ITEM</w:t>
      </w:r>
      <w:r>
        <w:rPr>
          <w:spacing w:val="-1"/>
        </w:rPr>
        <w:t> </w:t>
      </w:r>
      <w:r>
        <w:rPr/>
        <w:t>1A.</w:t>
      </w:r>
      <w:r>
        <w:rPr>
          <w:spacing w:val="44"/>
        </w:rPr>
        <w:t>  </w:t>
      </w:r>
      <w:r>
        <w:rPr/>
        <w:t>RISK </w:t>
      </w:r>
      <w:r>
        <w:rPr>
          <w:spacing w:val="-2"/>
        </w:rPr>
        <w:t>FACTORS</w:t>
      </w:r>
    </w:p>
    <w:p>
      <w:pPr>
        <w:pStyle w:val="BodyText"/>
        <w:spacing w:before="4"/>
        <w:rPr>
          <w:b/>
        </w:rPr>
      </w:pPr>
    </w:p>
    <w:p>
      <w:pPr>
        <w:pStyle w:val="BodyText"/>
        <w:spacing w:line="242" w:lineRule="auto"/>
        <w:ind w:left="144" w:right="118" w:firstLine="499"/>
        <w:jc w:val="both"/>
      </w:pPr>
      <w:r>
        <w:rPr/>
        <w:t>You should be aware that the occurrence of any of the events described in this section and elsewhere in this report or in any other of our filings with the SEC could have a material adverse effect on our business, financial position, results of operations and cash flows. In evaluating us, you should </w:t>
      </w:r>
      <w:r>
        <w:rPr/>
        <w:t>consider carefully, among other things, the risks described below.</w:t>
      </w:r>
    </w:p>
    <w:p>
      <w:pPr>
        <w:pStyle w:val="BodyText"/>
        <w:spacing w:before="3"/>
      </w:pPr>
    </w:p>
    <w:p>
      <w:pPr>
        <w:pStyle w:val="Heading5"/>
        <w:jc w:val="left"/>
      </w:pPr>
      <w:r>
        <w:rPr/>
        <w:t>Summary</w:t>
      </w:r>
      <w:r>
        <w:rPr>
          <w:spacing w:val="-1"/>
        </w:rPr>
        <w:t> </w:t>
      </w:r>
      <w:r>
        <w:rPr/>
        <w:t>of</w:t>
      </w:r>
      <w:r>
        <w:rPr>
          <w:spacing w:val="-1"/>
        </w:rPr>
        <w:t> </w:t>
      </w:r>
      <w:r>
        <w:rPr/>
        <w:t>Risk</w:t>
      </w:r>
      <w:r>
        <w:rPr>
          <w:spacing w:val="-1"/>
        </w:rPr>
        <w:t> </w:t>
      </w:r>
      <w:r>
        <w:rPr>
          <w:spacing w:val="-2"/>
        </w:rPr>
        <w:t>Factors</w:t>
      </w:r>
    </w:p>
    <w:p>
      <w:pPr>
        <w:pStyle w:val="BodyText"/>
        <w:spacing w:before="4"/>
        <w:rPr>
          <w:b/>
        </w:rPr>
      </w:pPr>
    </w:p>
    <w:p>
      <w:pPr>
        <w:pStyle w:val="BodyText"/>
        <w:spacing w:before="1"/>
        <w:ind w:left="644"/>
      </w:pPr>
      <w:r>
        <w:rPr/>
        <w:t>The</w:t>
      </w:r>
      <w:r>
        <w:rPr>
          <w:spacing w:val="-2"/>
        </w:rPr>
        <w:t> </w:t>
      </w:r>
      <w:r>
        <w:rPr/>
        <w:t>following</w:t>
      </w:r>
      <w:r>
        <w:rPr>
          <w:spacing w:val="-1"/>
        </w:rPr>
        <w:t> </w:t>
      </w:r>
      <w:r>
        <w:rPr/>
        <w:t>is</w:t>
      </w:r>
      <w:r>
        <w:rPr>
          <w:spacing w:val="-1"/>
        </w:rPr>
        <w:t> </w:t>
      </w:r>
      <w:r>
        <w:rPr/>
        <w:t>a</w:t>
      </w:r>
      <w:r>
        <w:rPr>
          <w:spacing w:val="-1"/>
        </w:rPr>
        <w:t> </w:t>
      </w:r>
      <w:r>
        <w:rPr/>
        <w:t>summary</w:t>
      </w:r>
      <w:r>
        <w:rPr>
          <w:spacing w:val="-2"/>
        </w:rPr>
        <w:t> </w:t>
      </w:r>
      <w:r>
        <w:rPr/>
        <w:t>of</w:t>
      </w:r>
      <w:r>
        <w:rPr>
          <w:spacing w:val="-1"/>
        </w:rPr>
        <w:t> </w:t>
      </w:r>
      <w:r>
        <w:rPr/>
        <w:t>the</w:t>
      </w:r>
      <w:r>
        <w:rPr>
          <w:spacing w:val="-1"/>
        </w:rPr>
        <w:t> </w:t>
      </w:r>
      <w:r>
        <w:rPr/>
        <w:t>principal</w:t>
      </w:r>
      <w:r>
        <w:rPr>
          <w:spacing w:val="-1"/>
        </w:rPr>
        <w:t> </w:t>
      </w:r>
      <w:r>
        <w:rPr/>
        <w:t>risks</w:t>
      </w:r>
      <w:r>
        <w:rPr>
          <w:spacing w:val="-1"/>
        </w:rPr>
        <w:t> </w:t>
      </w:r>
      <w:r>
        <w:rPr/>
        <w:t>that</w:t>
      </w:r>
      <w:r>
        <w:rPr>
          <w:spacing w:val="-2"/>
        </w:rPr>
        <w:t> </w:t>
      </w:r>
      <w:r>
        <w:rPr/>
        <w:t>could</w:t>
      </w:r>
      <w:r>
        <w:rPr>
          <w:spacing w:val="-1"/>
        </w:rPr>
        <w:t> </w:t>
      </w:r>
      <w:r>
        <w:rPr/>
        <w:t>adversely</w:t>
      </w:r>
      <w:r>
        <w:rPr>
          <w:spacing w:val="-1"/>
        </w:rPr>
        <w:t> </w:t>
      </w:r>
      <w:r>
        <w:rPr/>
        <w:t>affect</w:t>
      </w:r>
      <w:r>
        <w:rPr>
          <w:spacing w:val="-1"/>
        </w:rPr>
        <w:t> </w:t>
      </w:r>
      <w:r>
        <w:rPr/>
        <w:t>our</w:t>
      </w:r>
      <w:r>
        <w:rPr>
          <w:spacing w:val="-2"/>
        </w:rPr>
        <w:t> </w:t>
      </w:r>
      <w:r>
        <w:rPr/>
        <w:t>business,</w:t>
      </w:r>
      <w:r>
        <w:rPr>
          <w:spacing w:val="-1"/>
        </w:rPr>
        <w:t> </w:t>
      </w:r>
      <w:r>
        <w:rPr/>
        <w:t>operations</w:t>
      </w:r>
      <w:r>
        <w:rPr>
          <w:spacing w:val="-1"/>
        </w:rPr>
        <w:t> </w:t>
      </w:r>
      <w:r>
        <w:rPr/>
        <w:t>and</w:t>
      </w:r>
      <w:r>
        <w:rPr>
          <w:spacing w:val="-1"/>
        </w:rPr>
        <w:t> </w:t>
      </w:r>
      <w:r>
        <w:rPr/>
        <w:t>financial</w:t>
      </w:r>
      <w:r>
        <w:rPr>
          <w:spacing w:val="-1"/>
        </w:rPr>
        <w:t> </w:t>
      </w:r>
      <w:r>
        <w:rPr>
          <w:spacing w:val="-2"/>
        </w:rPr>
        <w:t>results.</w:t>
      </w:r>
    </w:p>
    <w:p>
      <w:pPr>
        <w:pStyle w:val="BodyText"/>
        <w:spacing w:before="17"/>
      </w:pPr>
    </w:p>
    <w:p>
      <w:pPr>
        <w:pStyle w:val="Heading6"/>
        <w:spacing w:before="1"/>
        <w:ind w:left="511"/>
        <w:jc w:val="left"/>
      </w:pPr>
      <w:r>
        <w:rPr/>
        <w:t>Risks</w:t>
      </w:r>
      <w:r>
        <w:rPr>
          <w:spacing w:val="-1"/>
        </w:rPr>
        <w:t> </w:t>
      </w:r>
      <w:r>
        <w:rPr/>
        <w:t>Related</w:t>
      </w:r>
      <w:r>
        <w:rPr>
          <w:spacing w:val="-1"/>
        </w:rPr>
        <w:t> </w:t>
      </w:r>
      <w:r>
        <w:rPr/>
        <w:t>to</w:t>
      </w:r>
      <w:r>
        <w:rPr>
          <w:spacing w:val="-1"/>
        </w:rPr>
        <w:t> </w:t>
      </w:r>
      <w:r>
        <w:rPr/>
        <w:t>Our</w:t>
      </w:r>
      <w:r>
        <w:rPr>
          <w:spacing w:val="-1"/>
        </w:rPr>
        <w:t> </w:t>
      </w:r>
      <w:r>
        <w:rPr/>
        <w:t>Substantial</w:t>
      </w:r>
      <w:r>
        <w:rPr>
          <w:spacing w:val="-1"/>
        </w:rPr>
        <w:t> </w:t>
      </w:r>
      <w:r>
        <w:rPr/>
        <w:t>Financial</w:t>
      </w:r>
      <w:r>
        <w:rPr>
          <w:spacing w:val="-1"/>
        </w:rPr>
        <w:t> </w:t>
      </w:r>
      <w:r>
        <w:rPr>
          <w:spacing w:val="-2"/>
        </w:rPr>
        <w:t>Commitments</w:t>
      </w:r>
    </w:p>
    <w:p>
      <w:pPr>
        <w:pStyle w:val="BodyText"/>
        <w:spacing w:before="4"/>
        <w:rPr>
          <w:b/>
          <w:i/>
        </w:rPr>
      </w:pPr>
    </w:p>
    <w:p>
      <w:pPr>
        <w:pStyle w:val="ListParagraph"/>
        <w:numPr>
          <w:ilvl w:val="0"/>
          <w:numId w:val="2"/>
        </w:numPr>
        <w:tabs>
          <w:tab w:pos="792" w:val="left" w:leader="none"/>
        </w:tabs>
        <w:spacing w:line="242" w:lineRule="auto" w:before="0" w:after="0"/>
        <w:ind w:left="792" w:right="118" w:hanging="324"/>
        <w:jc w:val="both"/>
        <w:rPr>
          <w:sz w:val="18"/>
        </w:rPr>
      </w:pPr>
      <w:r>
        <w:rPr>
          <w:sz w:val="18"/>
        </w:rPr>
        <w:t>Our substantial indebtedness and significant financial commitments, including the fixed component of our rent payments and guarantees we </w:t>
      </w:r>
      <w:r>
        <w:rPr>
          <w:sz w:val="18"/>
        </w:rPr>
        <w:t>provide</w:t>
      </w:r>
      <w:r>
        <w:rPr>
          <w:spacing w:val="40"/>
          <w:sz w:val="18"/>
        </w:rPr>
        <w:t> </w:t>
      </w:r>
      <w:r>
        <w:rPr>
          <w:sz w:val="18"/>
        </w:rPr>
        <w:t>on the indebtedness of Bellagio BREIT Venture and VICI BREIT Venture could adversely affect our operations and financial results and impact our ability to satisfy our obligations.</w:t>
      </w:r>
    </w:p>
    <w:p>
      <w:pPr>
        <w:pStyle w:val="ListParagraph"/>
        <w:numPr>
          <w:ilvl w:val="0"/>
          <w:numId w:val="2"/>
        </w:numPr>
        <w:tabs>
          <w:tab w:pos="792" w:val="left" w:leader="none"/>
        </w:tabs>
        <w:spacing w:line="235" w:lineRule="auto" w:before="0" w:after="0"/>
        <w:ind w:left="792" w:right="118" w:hanging="324"/>
        <w:jc w:val="both"/>
        <w:rPr>
          <w:sz w:val="18"/>
        </w:rPr>
      </w:pPr>
      <w:r>
        <w:rPr>
          <w:sz w:val="18"/>
        </w:rPr>
        <w:t>Current and future economic, capital and credit market conditions could adversely affect our ability to service our substantial indebtedness and significant financial commitments or make planned expenditures.</w:t>
      </w:r>
    </w:p>
    <w:p>
      <w:pPr>
        <w:pStyle w:val="ListParagraph"/>
        <w:numPr>
          <w:ilvl w:val="0"/>
          <w:numId w:val="2"/>
        </w:numPr>
        <w:tabs>
          <w:tab w:pos="792" w:val="left" w:leader="none"/>
        </w:tabs>
        <w:spacing w:line="235" w:lineRule="auto" w:before="10" w:after="0"/>
        <w:ind w:left="792" w:right="118" w:hanging="324"/>
        <w:jc w:val="both"/>
        <w:rPr>
          <w:sz w:val="18"/>
        </w:rPr>
      </w:pPr>
      <w:r>
        <w:rPr>
          <w:sz w:val="18"/>
        </w:rPr>
        <w:t>The</w:t>
      </w:r>
      <w:r>
        <w:rPr>
          <w:spacing w:val="-2"/>
          <w:sz w:val="18"/>
        </w:rPr>
        <w:t> </w:t>
      </w:r>
      <w:r>
        <w:rPr>
          <w:sz w:val="18"/>
        </w:rPr>
        <w:t>agreements</w:t>
      </w:r>
      <w:r>
        <w:rPr>
          <w:spacing w:val="-2"/>
          <w:sz w:val="18"/>
        </w:rPr>
        <w:t> </w:t>
      </w:r>
      <w:r>
        <w:rPr>
          <w:sz w:val="18"/>
        </w:rPr>
        <w:t>governing</w:t>
      </w:r>
      <w:r>
        <w:rPr>
          <w:spacing w:val="-2"/>
          <w:sz w:val="18"/>
        </w:rPr>
        <w:t> </w:t>
      </w:r>
      <w:r>
        <w:rPr>
          <w:sz w:val="18"/>
        </w:rPr>
        <w:t>our</w:t>
      </w:r>
      <w:r>
        <w:rPr>
          <w:spacing w:val="-2"/>
          <w:sz w:val="18"/>
        </w:rPr>
        <w:t> </w:t>
      </w:r>
      <w:r>
        <w:rPr>
          <w:sz w:val="18"/>
        </w:rPr>
        <w:t>senior</w:t>
      </w:r>
      <w:r>
        <w:rPr>
          <w:spacing w:val="-2"/>
          <w:sz w:val="18"/>
        </w:rPr>
        <w:t> </w:t>
      </w:r>
      <w:r>
        <w:rPr>
          <w:sz w:val="18"/>
        </w:rPr>
        <w:t>credit</w:t>
      </w:r>
      <w:r>
        <w:rPr>
          <w:spacing w:val="-2"/>
          <w:sz w:val="18"/>
        </w:rPr>
        <w:t> </w:t>
      </w:r>
      <w:r>
        <w:rPr>
          <w:sz w:val="18"/>
        </w:rPr>
        <w:t>facility</w:t>
      </w:r>
      <w:r>
        <w:rPr>
          <w:spacing w:val="-2"/>
          <w:sz w:val="18"/>
        </w:rPr>
        <w:t> </w:t>
      </w:r>
      <w:r>
        <w:rPr>
          <w:sz w:val="18"/>
        </w:rPr>
        <w:t>and</w:t>
      </w:r>
      <w:r>
        <w:rPr>
          <w:spacing w:val="-2"/>
          <w:sz w:val="18"/>
        </w:rPr>
        <w:t> </w:t>
      </w:r>
      <w:r>
        <w:rPr>
          <w:sz w:val="18"/>
        </w:rPr>
        <w:t>other</w:t>
      </w:r>
      <w:r>
        <w:rPr>
          <w:spacing w:val="-2"/>
          <w:sz w:val="18"/>
        </w:rPr>
        <w:t> </w:t>
      </w:r>
      <w:r>
        <w:rPr>
          <w:sz w:val="18"/>
        </w:rPr>
        <w:t>senior</w:t>
      </w:r>
      <w:r>
        <w:rPr>
          <w:spacing w:val="-2"/>
          <w:sz w:val="18"/>
        </w:rPr>
        <w:t> </w:t>
      </w:r>
      <w:r>
        <w:rPr>
          <w:sz w:val="18"/>
        </w:rPr>
        <w:t>indebtedness</w:t>
      </w:r>
      <w:r>
        <w:rPr>
          <w:spacing w:val="-2"/>
          <w:sz w:val="18"/>
        </w:rPr>
        <w:t> </w:t>
      </w:r>
      <w:r>
        <w:rPr>
          <w:sz w:val="18"/>
        </w:rPr>
        <w:t>contain</w:t>
      </w:r>
      <w:r>
        <w:rPr>
          <w:spacing w:val="-2"/>
          <w:sz w:val="18"/>
        </w:rPr>
        <w:t> </w:t>
      </w:r>
      <w:r>
        <w:rPr>
          <w:sz w:val="18"/>
        </w:rPr>
        <w:t>restrictions</w:t>
      </w:r>
      <w:r>
        <w:rPr>
          <w:spacing w:val="-2"/>
          <w:sz w:val="18"/>
        </w:rPr>
        <w:t> </w:t>
      </w:r>
      <w:r>
        <w:rPr>
          <w:sz w:val="18"/>
        </w:rPr>
        <w:t>and</w:t>
      </w:r>
      <w:r>
        <w:rPr>
          <w:spacing w:val="-2"/>
          <w:sz w:val="18"/>
        </w:rPr>
        <w:t> </w:t>
      </w:r>
      <w:r>
        <w:rPr>
          <w:sz w:val="18"/>
        </w:rPr>
        <w:t>limitations</w:t>
      </w:r>
      <w:r>
        <w:rPr>
          <w:spacing w:val="-2"/>
          <w:sz w:val="18"/>
        </w:rPr>
        <w:t> </w:t>
      </w:r>
      <w:r>
        <w:rPr>
          <w:sz w:val="18"/>
        </w:rPr>
        <w:t>that</w:t>
      </w:r>
      <w:r>
        <w:rPr>
          <w:spacing w:val="-2"/>
          <w:sz w:val="18"/>
        </w:rPr>
        <w:t> </w:t>
      </w:r>
      <w:r>
        <w:rPr>
          <w:sz w:val="18"/>
        </w:rPr>
        <w:t>could</w:t>
      </w:r>
      <w:r>
        <w:rPr>
          <w:spacing w:val="-2"/>
          <w:sz w:val="18"/>
        </w:rPr>
        <w:t> </w:t>
      </w:r>
      <w:r>
        <w:rPr>
          <w:sz w:val="18"/>
        </w:rPr>
        <w:t>significantly</w:t>
      </w:r>
      <w:r>
        <w:rPr>
          <w:spacing w:val="-2"/>
          <w:sz w:val="18"/>
        </w:rPr>
        <w:t> </w:t>
      </w:r>
      <w:r>
        <w:rPr>
          <w:sz w:val="18"/>
        </w:rPr>
        <w:t>affect</w:t>
      </w:r>
      <w:r>
        <w:rPr>
          <w:spacing w:val="-2"/>
          <w:sz w:val="18"/>
        </w:rPr>
        <w:t> </w:t>
      </w:r>
      <w:r>
        <w:rPr>
          <w:sz w:val="18"/>
        </w:rPr>
        <w:t>our ability to operate our business, as well as significantly affect our liquidity, and therefore could adversely affect our results of operations.</w:t>
      </w:r>
    </w:p>
    <w:p>
      <w:pPr>
        <w:pStyle w:val="ListParagraph"/>
        <w:numPr>
          <w:ilvl w:val="0"/>
          <w:numId w:val="2"/>
        </w:numPr>
        <w:tabs>
          <w:tab w:pos="792" w:val="left" w:leader="none"/>
        </w:tabs>
        <w:spacing w:line="249" w:lineRule="auto" w:before="0" w:after="0"/>
        <w:ind w:left="792" w:right="118" w:hanging="324"/>
        <w:jc w:val="both"/>
        <w:rPr>
          <w:sz w:val="18"/>
        </w:rPr>
      </w:pPr>
      <w:r>
        <w:rPr>
          <w:sz w:val="18"/>
        </w:rPr>
        <w:t>We are required to pay a significant portion of our cash flows as rent, which could adversely affect our ability to fund our operations and </w:t>
      </w:r>
      <w:r>
        <w:rPr>
          <w:sz w:val="18"/>
        </w:rPr>
        <w:t>growth initiatives, service our indebtedness and limit our ability to react to competitive and economic changes.</w:t>
      </w:r>
    </w:p>
    <w:p>
      <w:pPr>
        <w:pStyle w:val="Heading6"/>
        <w:spacing w:before="200"/>
        <w:ind w:left="511"/>
        <w:jc w:val="left"/>
      </w:pPr>
      <w:r>
        <w:rPr/>
        <w:t>Risks</w:t>
      </w:r>
      <w:r>
        <w:rPr>
          <w:spacing w:val="-4"/>
        </w:rPr>
        <w:t> </w:t>
      </w:r>
      <w:r>
        <w:rPr/>
        <w:t>Related</w:t>
      </w:r>
      <w:r>
        <w:rPr>
          <w:spacing w:val="-2"/>
        </w:rPr>
        <w:t> </w:t>
      </w:r>
      <w:r>
        <w:rPr/>
        <w:t>to</w:t>
      </w:r>
      <w:r>
        <w:rPr>
          <w:spacing w:val="-2"/>
        </w:rPr>
        <w:t> </w:t>
      </w:r>
      <w:r>
        <w:rPr/>
        <w:t>Our</w:t>
      </w:r>
      <w:r>
        <w:rPr>
          <w:spacing w:val="-2"/>
        </w:rPr>
        <w:t> </w:t>
      </w:r>
      <w:r>
        <w:rPr/>
        <w:t>Business,</w:t>
      </w:r>
      <w:r>
        <w:rPr>
          <w:spacing w:val="-2"/>
        </w:rPr>
        <w:t> </w:t>
      </w:r>
      <w:r>
        <w:rPr/>
        <w:t>Industry,</w:t>
      </w:r>
      <w:r>
        <w:rPr>
          <w:spacing w:val="-2"/>
        </w:rPr>
        <w:t> </w:t>
      </w:r>
      <w:r>
        <w:rPr/>
        <w:t>and</w:t>
      </w:r>
      <w:r>
        <w:rPr>
          <w:spacing w:val="-2"/>
        </w:rPr>
        <w:t> </w:t>
      </w:r>
      <w:r>
        <w:rPr/>
        <w:t>Market</w:t>
      </w:r>
      <w:r>
        <w:rPr>
          <w:spacing w:val="-1"/>
        </w:rPr>
        <w:t> </w:t>
      </w:r>
      <w:r>
        <w:rPr>
          <w:spacing w:val="-2"/>
        </w:rPr>
        <w:t>Conditions</w:t>
      </w:r>
    </w:p>
    <w:p>
      <w:pPr>
        <w:pStyle w:val="BodyText"/>
        <w:spacing w:before="4"/>
        <w:rPr>
          <w:b/>
          <w:i/>
        </w:rPr>
      </w:pPr>
    </w:p>
    <w:p>
      <w:pPr>
        <w:pStyle w:val="ListParagraph"/>
        <w:numPr>
          <w:ilvl w:val="0"/>
          <w:numId w:val="2"/>
        </w:numPr>
        <w:tabs>
          <w:tab w:pos="792" w:val="left" w:leader="none"/>
        </w:tabs>
        <w:spacing w:line="242" w:lineRule="auto" w:before="1" w:after="0"/>
        <w:ind w:left="792" w:right="119" w:hanging="324"/>
        <w:jc w:val="both"/>
        <w:rPr>
          <w:sz w:val="18"/>
        </w:rPr>
      </w:pPr>
      <w:r>
        <w:rPr>
          <w:sz w:val="18"/>
        </w:rPr>
        <w:t>We face significant competition with respect to destination travel locations generally and with respect to our peers in the industries in which </w:t>
      </w:r>
      <w:r>
        <w:rPr>
          <w:sz w:val="18"/>
        </w:rPr>
        <w:t>we compete, including increased competition through online sports betting and iGaming, and failure to compete effectively could materially adversely affect our business, financial condition, results of operations and cash flows.</w:t>
      </w:r>
    </w:p>
    <w:p>
      <w:pPr>
        <w:pStyle w:val="ListParagraph"/>
        <w:numPr>
          <w:ilvl w:val="0"/>
          <w:numId w:val="2"/>
        </w:numPr>
        <w:tabs>
          <w:tab w:pos="792" w:val="left" w:leader="none"/>
        </w:tabs>
        <w:spacing w:line="249" w:lineRule="auto" w:before="0" w:after="0"/>
        <w:ind w:left="792" w:right="118" w:hanging="324"/>
        <w:jc w:val="both"/>
        <w:rPr>
          <w:sz w:val="18"/>
        </w:rPr>
      </w:pPr>
      <w:r>
        <w:rPr>
          <w:sz w:val="18"/>
        </w:rPr>
        <w:t>Our business is affected by economic and market conditions in the jurisdictions in which we operate and in the locations in which our customers</w:t>
      </w:r>
      <w:r>
        <w:rPr>
          <w:spacing w:val="40"/>
          <w:sz w:val="18"/>
        </w:rPr>
        <w:t> </w:t>
      </w:r>
      <w:r>
        <w:rPr>
          <w:spacing w:val="-2"/>
          <w:sz w:val="18"/>
        </w:rPr>
        <w:t>reside.</w:t>
      </w:r>
    </w:p>
    <w:p>
      <w:pPr>
        <w:pStyle w:val="ListParagraph"/>
        <w:numPr>
          <w:ilvl w:val="0"/>
          <w:numId w:val="2"/>
        </w:numPr>
        <w:tabs>
          <w:tab w:pos="792" w:val="left" w:leader="none"/>
        </w:tabs>
        <w:spacing w:line="235" w:lineRule="auto" w:before="0" w:after="0"/>
        <w:ind w:left="792" w:right="118" w:hanging="324"/>
        <w:jc w:val="both"/>
        <w:rPr>
          <w:sz w:val="18"/>
        </w:rPr>
      </w:pPr>
      <w:r>
        <w:rPr>
          <w:sz w:val="18"/>
        </w:rPr>
        <w:t>We have suspended our payment of ongoing regular dividends to our stockholders, and may not elect to resume paying dividends in the </w:t>
      </w:r>
      <w:r>
        <w:rPr>
          <w:sz w:val="18"/>
        </w:rPr>
        <w:t>foreseeable future or at all.</w:t>
      </w:r>
    </w:p>
    <w:p>
      <w:pPr>
        <w:pStyle w:val="ListParagraph"/>
        <w:numPr>
          <w:ilvl w:val="0"/>
          <w:numId w:val="2"/>
        </w:numPr>
        <w:tabs>
          <w:tab w:pos="792" w:val="left" w:leader="none"/>
        </w:tabs>
        <w:spacing w:line="242" w:lineRule="auto" w:before="0" w:after="0"/>
        <w:ind w:left="792" w:right="118" w:hanging="324"/>
        <w:jc w:val="both"/>
        <w:rPr>
          <w:sz w:val="18"/>
        </w:rPr>
      </w:pPr>
      <w:r>
        <w:rPr>
          <w:sz w:val="18"/>
        </w:rPr>
        <w:t>All of our domestic gaming facilities are leased and could experience risks associated with leased property, including risks relating to lease termination, lease extensions, charges and our relationship with the lessor, which could have a material adverse effect on our business, </w:t>
      </w:r>
      <w:r>
        <w:rPr>
          <w:sz w:val="18"/>
        </w:rPr>
        <w:t>financial position or results of operations.</w:t>
      </w:r>
    </w:p>
    <w:p>
      <w:pPr>
        <w:pStyle w:val="ListParagraph"/>
        <w:numPr>
          <w:ilvl w:val="0"/>
          <w:numId w:val="2"/>
        </w:numPr>
        <w:tabs>
          <w:tab w:pos="792" w:val="left" w:leader="none"/>
        </w:tabs>
        <w:spacing w:line="249" w:lineRule="auto" w:before="0" w:after="0"/>
        <w:ind w:left="792" w:right="118" w:hanging="324"/>
        <w:jc w:val="both"/>
        <w:rPr>
          <w:sz w:val="18"/>
        </w:rPr>
      </w:pPr>
      <w:r>
        <w:rPr>
          <w:sz w:val="18"/>
        </w:rPr>
        <w:t>Because a significant number of our major gaming resorts are concentrated on the Las Vegas Strip, we are subject to greater risks than a gaming company that is more geographically diversified.</w:t>
      </w:r>
    </w:p>
    <w:p>
      <w:pPr>
        <w:pStyle w:val="ListParagraph"/>
        <w:numPr>
          <w:ilvl w:val="0"/>
          <w:numId w:val="2"/>
        </w:numPr>
        <w:tabs>
          <w:tab w:pos="792" w:val="left" w:leader="none"/>
        </w:tabs>
        <w:spacing w:line="193" w:lineRule="exact" w:before="0" w:after="0"/>
        <w:ind w:left="792" w:right="0" w:hanging="324"/>
        <w:jc w:val="both"/>
        <w:rPr>
          <w:sz w:val="18"/>
        </w:rPr>
      </w:pPr>
      <w:r>
        <w:rPr>
          <w:sz w:val="18"/>
        </w:rPr>
        <w:t>We</w:t>
      </w:r>
      <w:r>
        <w:rPr>
          <w:spacing w:val="-4"/>
          <w:sz w:val="18"/>
        </w:rPr>
        <w:t> </w:t>
      </w:r>
      <w:r>
        <w:rPr>
          <w:sz w:val="18"/>
        </w:rPr>
        <w:t>extend</w:t>
      </w:r>
      <w:r>
        <w:rPr>
          <w:spacing w:val="-2"/>
          <w:sz w:val="18"/>
        </w:rPr>
        <w:t> </w:t>
      </w:r>
      <w:r>
        <w:rPr>
          <w:sz w:val="18"/>
        </w:rPr>
        <w:t>credit</w:t>
      </w:r>
      <w:r>
        <w:rPr>
          <w:spacing w:val="-2"/>
          <w:sz w:val="18"/>
        </w:rPr>
        <w:t> </w:t>
      </w:r>
      <w:r>
        <w:rPr>
          <w:sz w:val="18"/>
        </w:rPr>
        <w:t>to</w:t>
      </w:r>
      <w:r>
        <w:rPr>
          <w:spacing w:val="-2"/>
          <w:sz w:val="18"/>
        </w:rPr>
        <w:t> </w:t>
      </w:r>
      <w:r>
        <w:rPr>
          <w:sz w:val="18"/>
        </w:rPr>
        <w:t>a</w:t>
      </w:r>
      <w:r>
        <w:rPr>
          <w:spacing w:val="-2"/>
          <w:sz w:val="18"/>
        </w:rPr>
        <w:t> </w:t>
      </w:r>
      <w:r>
        <w:rPr>
          <w:sz w:val="18"/>
        </w:rPr>
        <w:t>large</w:t>
      </w:r>
      <w:r>
        <w:rPr>
          <w:spacing w:val="-2"/>
          <w:sz w:val="18"/>
        </w:rPr>
        <w:t> </w:t>
      </w:r>
      <w:r>
        <w:rPr>
          <w:sz w:val="18"/>
        </w:rPr>
        <w:t>portion</w:t>
      </w:r>
      <w:r>
        <w:rPr>
          <w:spacing w:val="-2"/>
          <w:sz w:val="18"/>
        </w:rPr>
        <w:t> </w:t>
      </w:r>
      <w:r>
        <w:rPr>
          <w:sz w:val="18"/>
        </w:rPr>
        <w:t>of</w:t>
      </w:r>
      <w:r>
        <w:rPr>
          <w:spacing w:val="-2"/>
          <w:sz w:val="18"/>
        </w:rPr>
        <w:t> </w:t>
      </w:r>
      <w:r>
        <w:rPr>
          <w:sz w:val="18"/>
        </w:rPr>
        <w:t>our</w:t>
      </w:r>
      <w:r>
        <w:rPr>
          <w:spacing w:val="-2"/>
          <w:sz w:val="18"/>
        </w:rPr>
        <w:t> </w:t>
      </w:r>
      <w:r>
        <w:rPr>
          <w:sz w:val="18"/>
        </w:rPr>
        <w:t>customers</w:t>
      </w:r>
      <w:r>
        <w:rPr>
          <w:spacing w:val="-2"/>
          <w:sz w:val="18"/>
        </w:rPr>
        <w:t> </w:t>
      </w:r>
      <w:r>
        <w:rPr>
          <w:sz w:val="18"/>
        </w:rPr>
        <w:t>and</w:t>
      </w:r>
      <w:r>
        <w:rPr>
          <w:spacing w:val="-2"/>
          <w:sz w:val="18"/>
        </w:rPr>
        <w:t> </w:t>
      </w:r>
      <w:r>
        <w:rPr>
          <w:sz w:val="18"/>
        </w:rPr>
        <w:t>we</w:t>
      </w:r>
      <w:r>
        <w:rPr>
          <w:spacing w:val="-2"/>
          <w:sz w:val="18"/>
        </w:rPr>
        <w:t> </w:t>
      </w:r>
      <w:r>
        <w:rPr>
          <w:sz w:val="18"/>
        </w:rPr>
        <w:t>may</w:t>
      </w:r>
      <w:r>
        <w:rPr>
          <w:spacing w:val="-2"/>
          <w:sz w:val="18"/>
        </w:rPr>
        <w:t> </w:t>
      </w:r>
      <w:r>
        <w:rPr>
          <w:sz w:val="18"/>
        </w:rPr>
        <w:t>not</w:t>
      </w:r>
      <w:r>
        <w:rPr>
          <w:spacing w:val="-2"/>
          <w:sz w:val="18"/>
        </w:rPr>
        <w:t> </w:t>
      </w:r>
      <w:r>
        <w:rPr>
          <w:sz w:val="18"/>
        </w:rPr>
        <w:t>be</w:t>
      </w:r>
      <w:r>
        <w:rPr>
          <w:spacing w:val="-2"/>
          <w:sz w:val="18"/>
        </w:rPr>
        <w:t> </w:t>
      </w:r>
      <w:r>
        <w:rPr>
          <w:sz w:val="18"/>
        </w:rPr>
        <w:t>able</w:t>
      </w:r>
      <w:r>
        <w:rPr>
          <w:spacing w:val="-2"/>
          <w:sz w:val="18"/>
        </w:rPr>
        <w:t> </w:t>
      </w:r>
      <w:r>
        <w:rPr>
          <w:sz w:val="18"/>
        </w:rPr>
        <w:t>to</w:t>
      </w:r>
      <w:r>
        <w:rPr>
          <w:spacing w:val="-2"/>
          <w:sz w:val="18"/>
        </w:rPr>
        <w:t> </w:t>
      </w:r>
      <w:r>
        <w:rPr>
          <w:sz w:val="18"/>
        </w:rPr>
        <w:t>collect</w:t>
      </w:r>
      <w:r>
        <w:rPr>
          <w:spacing w:val="-2"/>
          <w:sz w:val="18"/>
        </w:rPr>
        <w:t> </w:t>
      </w:r>
      <w:r>
        <w:rPr>
          <w:sz w:val="18"/>
        </w:rPr>
        <w:t>gaming</w:t>
      </w:r>
      <w:r>
        <w:rPr>
          <w:spacing w:val="-2"/>
          <w:sz w:val="18"/>
        </w:rPr>
        <w:t> receivables.</w:t>
      </w:r>
    </w:p>
    <w:p>
      <w:pPr>
        <w:pStyle w:val="ListParagraph"/>
        <w:numPr>
          <w:ilvl w:val="0"/>
          <w:numId w:val="2"/>
        </w:numPr>
        <w:tabs>
          <w:tab w:pos="792" w:val="left" w:leader="none"/>
        </w:tabs>
        <w:spacing w:line="205" w:lineRule="exact" w:before="0" w:after="0"/>
        <w:ind w:left="792" w:right="0" w:hanging="324"/>
        <w:jc w:val="both"/>
        <w:rPr>
          <w:sz w:val="18"/>
        </w:rPr>
      </w:pPr>
      <w:r>
        <w:rPr>
          <w:sz w:val="18"/>
        </w:rPr>
        <w:t>We</w:t>
      </w:r>
      <w:r>
        <w:rPr>
          <w:spacing w:val="-3"/>
          <w:sz w:val="18"/>
        </w:rPr>
        <w:t> </w:t>
      </w:r>
      <w:r>
        <w:rPr>
          <w:sz w:val="18"/>
        </w:rPr>
        <w:t>may</w:t>
      </w:r>
      <w:r>
        <w:rPr>
          <w:spacing w:val="-2"/>
          <w:sz w:val="18"/>
        </w:rPr>
        <w:t> </w:t>
      </w:r>
      <w:r>
        <w:rPr>
          <w:sz w:val="18"/>
        </w:rPr>
        <w:t>incur</w:t>
      </w:r>
      <w:r>
        <w:rPr>
          <w:spacing w:val="-2"/>
          <w:sz w:val="18"/>
        </w:rPr>
        <w:t> </w:t>
      </w:r>
      <w:r>
        <w:rPr>
          <w:sz w:val="18"/>
        </w:rPr>
        <w:t>impairments</w:t>
      </w:r>
      <w:r>
        <w:rPr>
          <w:spacing w:val="-2"/>
          <w:sz w:val="18"/>
        </w:rPr>
        <w:t> </w:t>
      </w:r>
      <w:r>
        <w:rPr>
          <w:sz w:val="18"/>
        </w:rPr>
        <w:t>to</w:t>
      </w:r>
      <w:r>
        <w:rPr>
          <w:spacing w:val="-2"/>
          <w:sz w:val="18"/>
        </w:rPr>
        <w:t> </w:t>
      </w:r>
      <w:r>
        <w:rPr>
          <w:sz w:val="18"/>
        </w:rPr>
        <w:t>goodwill,</w:t>
      </w:r>
      <w:r>
        <w:rPr>
          <w:spacing w:val="-2"/>
          <w:sz w:val="18"/>
        </w:rPr>
        <w:t> </w:t>
      </w:r>
      <w:r>
        <w:rPr>
          <w:sz w:val="18"/>
        </w:rPr>
        <w:t>indefinite-lived</w:t>
      </w:r>
      <w:r>
        <w:rPr>
          <w:spacing w:val="-2"/>
          <w:sz w:val="18"/>
        </w:rPr>
        <w:t> </w:t>
      </w:r>
      <w:r>
        <w:rPr>
          <w:sz w:val="18"/>
        </w:rPr>
        <w:t>intangible</w:t>
      </w:r>
      <w:r>
        <w:rPr>
          <w:spacing w:val="-2"/>
          <w:sz w:val="18"/>
        </w:rPr>
        <w:t> </w:t>
      </w:r>
      <w:r>
        <w:rPr>
          <w:sz w:val="18"/>
        </w:rPr>
        <w:t>assets,</w:t>
      </w:r>
      <w:r>
        <w:rPr>
          <w:spacing w:val="-2"/>
          <w:sz w:val="18"/>
        </w:rPr>
        <w:t> </w:t>
      </w:r>
      <w:r>
        <w:rPr>
          <w:sz w:val="18"/>
        </w:rPr>
        <w:t>or</w:t>
      </w:r>
      <w:r>
        <w:rPr>
          <w:spacing w:val="-2"/>
          <w:sz w:val="18"/>
        </w:rPr>
        <w:t> </w:t>
      </w:r>
      <w:r>
        <w:rPr>
          <w:sz w:val="18"/>
        </w:rPr>
        <w:t>long-lived</w:t>
      </w:r>
      <w:r>
        <w:rPr>
          <w:spacing w:val="-2"/>
          <w:sz w:val="18"/>
        </w:rPr>
        <w:t> </w:t>
      </w:r>
      <w:r>
        <w:rPr>
          <w:sz w:val="18"/>
        </w:rPr>
        <w:t>assets</w:t>
      </w:r>
      <w:r>
        <w:rPr>
          <w:spacing w:val="-2"/>
          <w:sz w:val="18"/>
        </w:rPr>
        <w:t> </w:t>
      </w:r>
      <w:r>
        <w:rPr>
          <w:sz w:val="18"/>
        </w:rPr>
        <w:t>which</w:t>
      </w:r>
      <w:r>
        <w:rPr>
          <w:spacing w:val="-2"/>
          <w:sz w:val="18"/>
        </w:rPr>
        <w:t> </w:t>
      </w:r>
      <w:r>
        <w:rPr>
          <w:sz w:val="18"/>
        </w:rPr>
        <w:t>could</w:t>
      </w:r>
      <w:r>
        <w:rPr>
          <w:spacing w:val="-2"/>
          <w:sz w:val="18"/>
        </w:rPr>
        <w:t> </w:t>
      </w:r>
      <w:r>
        <w:rPr>
          <w:sz w:val="18"/>
        </w:rPr>
        <w:t>negatively</w:t>
      </w:r>
      <w:r>
        <w:rPr>
          <w:spacing w:val="-2"/>
          <w:sz w:val="18"/>
        </w:rPr>
        <w:t> </w:t>
      </w:r>
      <w:r>
        <w:rPr>
          <w:sz w:val="18"/>
        </w:rPr>
        <w:t>affect</w:t>
      </w:r>
      <w:r>
        <w:rPr>
          <w:spacing w:val="-2"/>
          <w:sz w:val="18"/>
        </w:rPr>
        <w:t> </w:t>
      </w:r>
      <w:r>
        <w:rPr>
          <w:sz w:val="18"/>
        </w:rPr>
        <w:t>our</w:t>
      </w:r>
      <w:r>
        <w:rPr>
          <w:spacing w:val="-2"/>
          <w:sz w:val="18"/>
        </w:rPr>
        <w:t> </w:t>
      </w:r>
      <w:r>
        <w:rPr>
          <w:sz w:val="18"/>
        </w:rPr>
        <w:t>future</w:t>
      </w:r>
      <w:r>
        <w:rPr>
          <w:spacing w:val="-2"/>
          <w:sz w:val="18"/>
        </w:rPr>
        <w:t> profits.</w:t>
      </w:r>
    </w:p>
    <w:p>
      <w:pPr>
        <w:pStyle w:val="ListParagraph"/>
        <w:numPr>
          <w:ilvl w:val="0"/>
          <w:numId w:val="2"/>
        </w:numPr>
        <w:tabs>
          <w:tab w:pos="792" w:val="left" w:leader="none"/>
        </w:tabs>
        <w:spacing w:line="235" w:lineRule="auto" w:before="0" w:after="0"/>
        <w:ind w:left="792" w:right="118" w:hanging="324"/>
        <w:jc w:val="both"/>
        <w:rPr>
          <w:sz w:val="18"/>
        </w:rPr>
      </w:pPr>
      <w:r>
        <w:rPr>
          <w:sz w:val="18"/>
        </w:rPr>
        <w:t>Leisure and business travel, especially travel by air, are particularly susceptible to global geopolitical events, such as terrorist attacks, other acts of violence or acts of war or hostility or the outbreak of infectious diseases.</w:t>
      </w:r>
    </w:p>
    <w:p>
      <w:pPr>
        <w:pStyle w:val="ListParagraph"/>
        <w:numPr>
          <w:ilvl w:val="0"/>
          <w:numId w:val="2"/>
        </w:numPr>
        <w:tabs>
          <w:tab w:pos="792" w:val="left" w:leader="none"/>
        </w:tabs>
        <w:spacing w:line="203" w:lineRule="exact" w:before="0" w:after="0"/>
        <w:ind w:left="792" w:right="0" w:hanging="324"/>
        <w:jc w:val="both"/>
        <w:rPr>
          <w:sz w:val="18"/>
        </w:rPr>
      </w:pPr>
      <w:r>
        <w:rPr>
          <w:sz w:val="18"/>
        </w:rPr>
        <w:t>Co-investing</w:t>
      </w:r>
      <w:r>
        <w:rPr>
          <w:spacing w:val="-1"/>
          <w:sz w:val="18"/>
        </w:rPr>
        <w:t> </w:t>
      </w:r>
      <w:r>
        <w:rPr>
          <w:sz w:val="18"/>
        </w:rPr>
        <w:t>in</w:t>
      </w:r>
      <w:r>
        <w:rPr>
          <w:spacing w:val="-1"/>
          <w:sz w:val="18"/>
        </w:rPr>
        <w:t> </w:t>
      </w:r>
      <w:r>
        <w:rPr>
          <w:sz w:val="18"/>
        </w:rPr>
        <w:t>properties</w:t>
      </w:r>
      <w:r>
        <w:rPr>
          <w:spacing w:val="-1"/>
          <w:sz w:val="18"/>
        </w:rPr>
        <w:t> </w:t>
      </w:r>
      <w:r>
        <w:rPr>
          <w:sz w:val="18"/>
        </w:rPr>
        <w:t>or</w:t>
      </w:r>
      <w:r>
        <w:rPr>
          <w:spacing w:val="-1"/>
          <w:sz w:val="18"/>
        </w:rPr>
        <w:t> </w:t>
      </w:r>
      <w:r>
        <w:rPr>
          <w:sz w:val="18"/>
        </w:rPr>
        <w:t>businesses,</w:t>
      </w:r>
      <w:r>
        <w:rPr>
          <w:spacing w:val="-1"/>
          <w:sz w:val="18"/>
        </w:rPr>
        <w:t> </w:t>
      </w:r>
      <w:r>
        <w:rPr>
          <w:sz w:val="18"/>
        </w:rPr>
        <w:t>including</w:t>
      </w:r>
      <w:r>
        <w:rPr>
          <w:spacing w:val="-1"/>
          <w:sz w:val="18"/>
        </w:rPr>
        <w:t> </w:t>
      </w:r>
      <w:r>
        <w:rPr>
          <w:sz w:val="18"/>
        </w:rPr>
        <w:t>our</w:t>
      </w:r>
      <w:r>
        <w:rPr>
          <w:spacing w:val="-1"/>
          <w:sz w:val="18"/>
        </w:rPr>
        <w:t> </w:t>
      </w:r>
      <w:r>
        <w:rPr>
          <w:sz w:val="18"/>
        </w:rPr>
        <w:t>investment</w:t>
      </w:r>
      <w:r>
        <w:rPr>
          <w:spacing w:val="-1"/>
          <w:sz w:val="18"/>
        </w:rPr>
        <w:t> </w:t>
      </w:r>
      <w:r>
        <w:rPr>
          <w:sz w:val="18"/>
        </w:rPr>
        <w:t>in</w:t>
      </w:r>
      <w:r>
        <w:rPr>
          <w:spacing w:val="-1"/>
          <w:sz w:val="18"/>
        </w:rPr>
        <w:t> </w:t>
      </w:r>
      <w:r>
        <w:rPr>
          <w:sz w:val="18"/>
        </w:rPr>
        <w:t>BetMGM,</w:t>
      </w:r>
      <w:r>
        <w:rPr>
          <w:spacing w:val="-1"/>
          <w:sz w:val="18"/>
        </w:rPr>
        <w:t> </w:t>
      </w:r>
      <w:r>
        <w:rPr>
          <w:sz w:val="18"/>
        </w:rPr>
        <w:t>decreases</w:t>
      </w:r>
      <w:r>
        <w:rPr>
          <w:spacing w:val="-1"/>
          <w:sz w:val="18"/>
        </w:rPr>
        <w:t> </w:t>
      </w:r>
      <w:r>
        <w:rPr>
          <w:sz w:val="18"/>
        </w:rPr>
        <w:t>our</w:t>
      </w:r>
      <w:r>
        <w:rPr>
          <w:spacing w:val="-1"/>
          <w:sz w:val="18"/>
        </w:rPr>
        <w:t> </w:t>
      </w:r>
      <w:r>
        <w:rPr>
          <w:sz w:val="18"/>
        </w:rPr>
        <w:t>ability</w:t>
      </w:r>
      <w:r>
        <w:rPr>
          <w:spacing w:val="-1"/>
          <w:sz w:val="18"/>
        </w:rPr>
        <w:t> </w:t>
      </w:r>
      <w:r>
        <w:rPr>
          <w:sz w:val="18"/>
        </w:rPr>
        <w:t>to</w:t>
      </w:r>
      <w:r>
        <w:rPr>
          <w:spacing w:val="-1"/>
          <w:sz w:val="18"/>
        </w:rPr>
        <w:t> </w:t>
      </w:r>
      <w:r>
        <w:rPr>
          <w:sz w:val="18"/>
        </w:rPr>
        <w:t>manage</w:t>
      </w:r>
      <w:r>
        <w:rPr>
          <w:spacing w:val="-1"/>
          <w:sz w:val="18"/>
        </w:rPr>
        <w:t> </w:t>
      </w:r>
      <w:r>
        <w:rPr>
          <w:spacing w:val="-2"/>
          <w:sz w:val="18"/>
        </w:rPr>
        <w:t>risk.</w:t>
      </w:r>
    </w:p>
    <w:p>
      <w:pPr>
        <w:pStyle w:val="ListParagraph"/>
        <w:numPr>
          <w:ilvl w:val="0"/>
          <w:numId w:val="2"/>
        </w:numPr>
        <w:tabs>
          <w:tab w:pos="792" w:val="left" w:leader="none"/>
        </w:tabs>
        <w:spacing w:line="235" w:lineRule="auto" w:before="0" w:after="0"/>
        <w:ind w:left="792" w:right="118" w:hanging="324"/>
        <w:jc w:val="left"/>
        <w:rPr>
          <w:sz w:val="18"/>
        </w:rPr>
      </w:pPr>
      <w:r>
        <w:rPr>
          <w:sz w:val="18"/>
        </w:rPr>
        <w:t>Any</w:t>
      </w:r>
      <w:r>
        <w:rPr>
          <w:spacing w:val="-1"/>
          <w:sz w:val="18"/>
        </w:rPr>
        <w:t> </w:t>
      </w:r>
      <w:r>
        <w:rPr>
          <w:sz w:val="18"/>
        </w:rPr>
        <w:t>of</w:t>
      </w:r>
      <w:r>
        <w:rPr>
          <w:spacing w:val="-1"/>
          <w:sz w:val="18"/>
        </w:rPr>
        <w:t> </w:t>
      </w:r>
      <w:r>
        <w:rPr>
          <w:sz w:val="18"/>
        </w:rPr>
        <w:t>our</w:t>
      </w:r>
      <w:r>
        <w:rPr>
          <w:spacing w:val="-1"/>
          <w:sz w:val="18"/>
        </w:rPr>
        <w:t> </w:t>
      </w:r>
      <w:r>
        <w:rPr>
          <w:sz w:val="18"/>
        </w:rPr>
        <w:t>future</w:t>
      </w:r>
      <w:r>
        <w:rPr>
          <w:spacing w:val="-1"/>
          <w:sz w:val="18"/>
        </w:rPr>
        <w:t> </w:t>
      </w:r>
      <w:r>
        <w:rPr>
          <w:sz w:val="18"/>
        </w:rPr>
        <w:t>construction,</w:t>
      </w:r>
      <w:r>
        <w:rPr>
          <w:spacing w:val="-1"/>
          <w:sz w:val="18"/>
        </w:rPr>
        <w:t> </w:t>
      </w:r>
      <w:r>
        <w:rPr>
          <w:sz w:val="18"/>
        </w:rPr>
        <w:t>development</w:t>
      </w:r>
      <w:r>
        <w:rPr>
          <w:spacing w:val="-1"/>
          <w:sz w:val="18"/>
        </w:rPr>
        <w:t> </w:t>
      </w:r>
      <w:r>
        <w:rPr>
          <w:sz w:val="18"/>
        </w:rPr>
        <w:t>or</w:t>
      </w:r>
      <w:r>
        <w:rPr>
          <w:spacing w:val="-1"/>
          <w:sz w:val="18"/>
        </w:rPr>
        <w:t> </w:t>
      </w:r>
      <w:r>
        <w:rPr>
          <w:sz w:val="18"/>
        </w:rPr>
        <w:t>expansion</w:t>
      </w:r>
      <w:r>
        <w:rPr>
          <w:spacing w:val="-1"/>
          <w:sz w:val="18"/>
        </w:rPr>
        <w:t> </w:t>
      </w:r>
      <w:r>
        <w:rPr>
          <w:sz w:val="18"/>
        </w:rPr>
        <w:t>projects</w:t>
      </w:r>
      <w:r>
        <w:rPr>
          <w:spacing w:val="-1"/>
          <w:sz w:val="18"/>
        </w:rPr>
        <w:t> </w:t>
      </w:r>
      <w:r>
        <w:rPr>
          <w:sz w:val="18"/>
        </w:rPr>
        <w:t>will</w:t>
      </w:r>
      <w:r>
        <w:rPr>
          <w:spacing w:val="-1"/>
          <w:sz w:val="18"/>
        </w:rPr>
        <w:t> </w:t>
      </w:r>
      <w:r>
        <w:rPr>
          <w:sz w:val="18"/>
        </w:rPr>
        <w:t>be</w:t>
      </w:r>
      <w:r>
        <w:rPr>
          <w:spacing w:val="-1"/>
          <w:sz w:val="18"/>
        </w:rPr>
        <w:t> </w:t>
      </w:r>
      <w:r>
        <w:rPr>
          <w:sz w:val="18"/>
        </w:rPr>
        <w:t>subject</w:t>
      </w:r>
      <w:r>
        <w:rPr>
          <w:spacing w:val="-1"/>
          <w:sz w:val="18"/>
        </w:rPr>
        <w:t> </w:t>
      </w:r>
      <w:r>
        <w:rPr>
          <w:sz w:val="18"/>
        </w:rPr>
        <w:t>to</w:t>
      </w:r>
      <w:r>
        <w:rPr>
          <w:spacing w:val="-1"/>
          <w:sz w:val="18"/>
        </w:rPr>
        <w:t> </w:t>
      </w:r>
      <w:r>
        <w:rPr>
          <w:sz w:val="18"/>
        </w:rPr>
        <w:t>significant</w:t>
      </w:r>
      <w:r>
        <w:rPr>
          <w:spacing w:val="-1"/>
          <w:sz w:val="18"/>
        </w:rPr>
        <w:t> </w:t>
      </w:r>
      <w:r>
        <w:rPr>
          <w:sz w:val="18"/>
        </w:rPr>
        <w:t>development</w:t>
      </w:r>
      <w:r>
        <w:rPr>
          <w:spacing w:val="-1"/>
          <w:sz w:val="18"/>
        </w:rPr>
        <w:t> </w:t>
      </w:r>
      <w:r>
        <w:rPr>
          <w:sz w:val="18"/>
        </w:rPr>
        <w:t>and</w:t>
      </w:r>
      <w:r>
        <w:rPr>
          <w:spacing w:val="-1"/>
          <w:sz w:val="18"/>
        </w:rPr>
        <w:t> </w:t>
      </w:r>
      <w:r>
        <w:rPr>
          <w:sz w:val="18"/>
        </w:rPr>
        <w:t>construction</w:t>
      </w:r>
      <w:r>
        <w:rPr>
          <w:spacing w:val="-1"/>
          <w:sz w:val="18"/>
        </w:rPr>
        <w:t> </w:t>
      </w:r>
      <w:r>
        <w:rPr>
          <w:sz w:val="18"/>
        </w:rPr>
        <w:t>risks,</w:t>
      </w:r>
      <w:r>
        <w:rPr>
          <w:spacing w:val="-1"/>
          <w:sz w:val="18"/>
        </w:rPr>
        <w:t> </w:t>
      </w:r>
      <w:r>
        <w:rPr>
          <w:sz w:val="18"/>
        </w:rPr>
        <w:t>which</w:t>
      </w:r>
      <w:r>
        <w:rPr>
          <w:spacing w:val="-1"/>
          <w:sz w:val="18"/>
        </w:rPr>
        <w:t> </w:t>
      </w:r>
      <w:r>
        <w:rPr>
          <w:sz w:val="18"/>
        </w:rPr>
        <w:t>could</w:t>
      </w:r>
      <w:r>
        <w:rPr>
          <w:spacing w:val="-1"/>
          <w:sz w:val="18"/>
        </w:rPr>
        <w:t> </w:t>
      </w:r>
      <w:r>
        <w:rPr>
          <w:sz w:val="18"/>
        </w:rPr>
        <w:t>have a material adverse impact on related project timetables, costs and our ability to complete the projects.</w:t>
      </w:r>
    </w:p>
    <w:p>
      <w:pPr>
        <w:pStyle w:val="ListParagraph"/>
        <w:numPr>
          <w:ilvl w:val="0"/>
          <w:numId w:val="2"/>
        </w:numPr>
        <w:tabs>
          <w:tab w:pos="792" w:val="left" w:leader="none"/>
        </w:tabs>
        <w:spacing w:line="249" w:lineRule="auto" w:before="0" w:after="0"/>
        <w:ind w:left="792" w:right="118" w:hanging="324"/>
        <w:jc w:val="left"/>
        <w:rPr>
          <w:sz w:val="18"/>
        </w:rPr>
      </w:pPr>
      <w:r>
        <w:rPr>
          <w:sz w:val="18"/>
        </w:rPr>
        <w:t>Our insurance coverage may not be adequate to cover all possible losses that our properties could suffer. In addition, our insurance costs may </w:t>
      </w:r>
      <w:r>
        <w:rPr>
          <w:sz w:val="18"/>
        </w:rPr>
        <w:t>increase and we may not be able to obtain similar insurance coverage in the future.</w:t>
      </w:r>
    </w:p>
    <w:p>
      <w:pPr>
        <w:pStyle w:val="ListParagraph"/>
        <w:numPr>
          <w:ilvl w:val="0"/>
          <w:numId w:val="2"/>
        </w:numPr>
        <w:tabs>
          <w:tab w:pos="792" w:val="left" w:leader="none"/>
        </w:tabs>
        <w:spacing w:line="193" w:lineRule="exact" w:before="0" w:after="0"/>
        <w:ind w:left="792" w:right="0" w:hanging="324"/>
        <w:jc w:val="left"/>
        <w:rPr>
          <w:sz w:val="18"/>
        </w:rPr>
      </w:pPr>
      <w:r>
        <w:rPr>
          <w:sz w:val="18"/>
        </w:rPr>
        <w:t>Any</w:t>
      </w:r>
      <w:r>
        <w:rPr>
          <w:spacing w:val="-2"/>
          <w:sz w:val="18"/>
        </w:rPr>
        <w:t> </w:t>
      </w:r>
      <w:r>
        <w:rPr>
          <w:sz w:val="18"/>
        </w:rPr>
        <w:t>failure</w:t>
      </w:r>
      <w:r>
        <w:rPr>
          <w:spacing w:val="-1"/>
          <w:sz w:val="18"/>
        </w:rPr>
        <w:t> </w:t>
      </w:r>
      <w:r>
        <w:rPr>
          <w:sz w:val="18"/>
        </w:rPr>
        <w:t>to</w:t>
      </w:r>
      <w:r>
        <w:rPr>
          <w:spacing w:val="-1"/>
          <w:sz w:val="18"/>
        </w:rPr>
        <w:t> </w:t>
      </w:r>
      <w:r>
        <w:rPr>
          <w:sz w:val="18"/>
        </w:rPr>
        <w:t>protect</w:t>
      </w:r>
      <w:r>
        <w:rPr>
          <w:spacing w:val="-1"/>
          <w:sz w:val="18"/>
        </w:rPr>
        <w:t> </w:t>
      </w:r>
      <w:r>
        <w:rPr>
          <w:sz w:val="18"/>
        </w:rPr>
        <w:t>our</w:t>
      </w:r>
      <w:r>
        <w:rPr>
          <w:spacing w:val="-1"/>
          <w:sz w:val="18"/>
        </w:rPr>
        <w:t> </w:t>
      </w:r>
      <w:r>
        <w:rPr>
          <w:sz w:val="18"/>
        </w:rPr>
        <w:t>trademarks</w:t>
      </w:r>
      <w:r>
        <w:rPr>
          <w:spacing w:val="-2"/>
          <w:sz w:val="18"/>
        </w:rPr>
        <w:t> </w:t>
      </w:r>
      <w:r>
        <w:rPr>
          <w:sz w:val="18"/>
        </w:rPr>
        <w:t>could</w:t>
      </w:r>
      <w:r>
        <w:rPr>
          <w:spacing w:val="-1"/>
          <w:sz w:val="18"/>
        </w:rPr>
        <w:t> </w:t>
      </w:r>
      <w:r>
        <w:rPr>
          <w:sz w:val="18"/>
        </w:rPr>
        <w:t>have</w:t>
      </w:r>
      <w:r>
        <w:rPr>
          <w:spacing w:val="-1"/>
          <w:sz w:val="18"/>
        </w:rPr>
        <w:t> </w:t>
      </w:r>
      <w:r>
        <w:rPr>
          <w:sz w:val="18"/>
        </w:rPr>
        <w:t>a</w:t>
      </w:r>
      <w:r>
        <w:rPr>
          <w:spacing w:val="-1"/>
          <w:sz w:val="18"/>
        </w:rPr>
        <w:t> </w:t>
      </w:r>
      <w:r>
        <w:rPr>
          <w:sz w:val="18"/>
        </w:rPr>
        <w:t>negative</w:t>
      </w:r>
      <w:r>
        <w:rPr>
          <w:spacing w:val="-1"/>
          <w:sz w:val="18"/>
        </w:rPr>
        <w:t> </w:t>
      </w:r>
      <w:r>
        <w:rPr>
          <w:sz w:val="18"/>
        </w:rPr>
        <w:t>impact</w:t>
      </w:r>
      <w:r>
        <w:rPr>
          <w:spacing w:val="-1"/>
          <w:sz w:val="18"/>
        </w:rPr>
        <w:t> </w:t>
      </w:r>
      <w:r>
        <w:rPr>
          <w:sz w:val="18"/>
        </w:rPr>
        <w:t>on</w:t>
      </w:r>
      <w:r>
        <w:rPr>
          <w:spacing w:val="-2"/>
          <w:sz w:val="18"/>
        </w:rPr>
        <w:t> </w:t>
      </w:r>
      <w:r>
        <w:rPr>
          <w:sz w:val="18"/>
        </w:rPr>
        <w:t>the</w:t>
      </w:r>
      <w:r>
        <w:rPr>
          <w:spacing w:val="-1"/>
          <w:sz w:val="18"/>
        </w:rPr>
        <w:t> </w:t>
      </w:r>
      <w:r>
        <w:rPr>
          <w:sz w:val="18"/>
        </w:rPr>
        <w:t>value</w:t>
      </w:r>
      <w:r>
        <w:rPr>
          <w:spacing w:val="-1"/>
          <w:sz w:val="18"/>
        </w:rPr>
        <w:t> </w:t>
      </w:r>
      <w:r>
        <w:rPr>
          <w:sz w:val="18"/>
        </w:rPr>
        <w:t>of</w:t>
      </w:r>
      <w:r>
        <w:rPr>
          <w:spacing w:val="-1"/>
          <w:sz w:val="18"/>
        </w:rPr>
        <w:t> </w:t>
      </w:r>
      <w:r>
        <w:rPr>
          <w:sz w:val="18"/>
        </w:rPr>
        <w:t>our</w:t>
      </w:r>
      <w:r>
        <w:rPr>
          <w:spacing w:val="-1"/>
          <w:sz w:val="18"/>
        </w:rPr>
        <w:t> </w:t>
      </w:r>
      <w:r>
        <w:rPr>
          <w:sz w:val="18"/>
        </w:rPr>
        <w:t>brand</w:t>
      </w:r>
      <w:r>
        <w:rPr>
          <w:spacing w:val="-2"/>
          <w:sz w:val="18"/>
        </w:rPr>
        <w:t> </w:t>
      </w:r>
      <w:r>
        <w:rPr>
          <w:sz w:val="18"/>
        </w:rPr>
        <w:t>names</w:t>
      </w:r>
      <w:r>
        <w:rPr>
          <w:spacing w:val="-1"/>
          <w:sz w:val="18"/>
        </w:rPr>
        <w:t> </w:t>
      </w:r>
      <w:r>
        <w:rPr>
          <w:sz w:val="18"/>
        </w:rPr>
        <w:t>and</w:t>
      </w:r>
      <w:r>
        <w:rPr>
          <w:spacing w:val="-1"/>
          <w:sz w:val="18"/>
        </w:rPr>
        <w:t> </w:t>
      </w:r>
      <w:r>
        <w:rPr>
          <w:sz w:val="18"/>
        </w:rPr>
        <w:t>adversely</w:t>
      </w:r>
      <w:r>
        <w:rPr>
          <w:spacing w:val="-1"/>
          <w:sz w:val="18"/>
        </w:rPr>
        <w:t> </w:t>
      </w:r>
      <w:r>
        <w:rPr>
          <w:sz w:val="18"/>
        </w:rPr>
        <w:t>affect</w:t>
      </w:r>
      <w:r>
        <w:rPr>
          <w:spacing w:val="-1"/>
          <w:sz w:val="18"/>
        </w:rPr>
        <w:t> </w:t>
      </w:r>
      <w:r>
        <w:rPr>
          <w:sz w:val="18"/>
        </w:rPr>
        <w:t>our</w:t>
      </w:r>
      <w:r>
        <w:rPr>
          <w:spacing w:val="-1"/>
          <w:sz w:val="18"/>
        </w:rPr>
        <w:t> </w:t>
      </w:r>
      <w:r>
        <w:rPr>
          <w:spacing w:val="-2"/>
          <w:sz w:val="18"/>
        </w:rPr>
        <w:t>business.</w:t>
      </w:r>
    </w:p>
    <w:p>
      <w:pPr>
        <w:pStyle w:val="ListParagraph"/>
        <w:numPr>
          <w:ilvl w:val="0"/>
          <w:numId w:val="2"/>
        </w:numPr>
        <w:tabs>
          <w:tab w:pos="792" w:val="left" w:leader="none"/>
        </w:tabs>
        <w:spacing w:line="205" w:lineRule="exact" w:before="0" w:after="0"/>
        <w:ind w:left="792" w:right="0" w:hanging="324"/>
        <w:jc w:val="left"/>
        <w:rPr>
          <w:sz w:val="18"/>
        </w:rPr>
      </w:pPr>
      <w:r>
        <w:rPr>
          <w:sz w:val="18"/>
        </w:rPr>
        <w:t>A</w:t>
      </w:r>
      <w:r>
        <w:rPr>
          <w:spacing w:val="-13"/>
          <w:sz w:val="18"/>
        </w:rPr>
        <w:t> </w:t>
      </w:r>
      <w:r>
        <w:rPr>
          <w:sz w:val="18"/>
        </w:rPr>
        <w:t>significant</w:t>
      </w:r>
      <w:r>
        <w:rPr>
          <w:spacing w:val="-1"/>
          <w:sz w:val="18"/>
        </w:rPr>
        <w:t> </w:t>
      </w:r>
      <w:r>
        <w:rPr>
          <w:sz w:val="18"/>
        </w:rPr>
        <w:t>portion</w:t>
      </w:r>
      <w:r>
        <w:rPr>
          <w:spacing w:val="-1"/>
          <w:sz w:val="18"/>
        </w:rPr>
        <w:t> </w:t>
      </w:r>
      <w:r>
        <w:rPr>
          <w:sz w:val="18"/>
        </w:rPr>
        <w:t>of</w:t>
      </w:r>
      <w:r>
        <w:rPr>
          <w:spacing w:val="-2"/>
          <w:sz w:val="18"/>
        </w:rPr>
        <w:t> </w:t>
      </w:r>
      <w:r>
        <w:rPr>
          <w:sz w:val="18"/>
        </w:rPr>
        <w:t>our</w:t>
      </w:r>
      <w:r>
        <w:rPr>
          <w:spacing w:val="-1"/>
          <w:sz w:val="18"/>
        </w:rPr>
        <w:t> </w:t>
      </w:r>
      <w:r>
        <w:rPr>
          <w:sz w:val="18"/>
        </w:rPr>
        <w:t>labor</w:t>
      </w:r>
      <w:r>
        <w:rPr>
          <w:spacing w:val="-1"/>
          <w:sz w:val="18"/>
        </w:rPr>
        <w:t> </w:t>
      </w:r>
      <w:r>
        <w:rPr>
          <w:sz w:val="18"/>
        </w:rPr>
        <w:t>force</w:t>
      </w:r>
      <w:r>
        <w:rPr>
          <w:spacing w:val="-2"/>
          <w:sz w:val="18"/>
        </w:rPr>
        <w:t> </w:t>
      </w:r>
      <w:r>
        <w:rPr>
          <w:sz w:val="18"/>
        </w:rPr>
        <w:t>is</w:t>
      </w:r>
      <w:r>
        <w:rPr>
          <w:spacing w:val="-1"/>
          <w:sz w:val="18"/>
        </w:rPr>
        <w:t> </w:t>
      </w:r>
      <w:r>
        <w:rPr>
          <w:sz w:val="18"/>
        </w:rPr>
        <w:t>covered</w:t>
      </w:r>
      <w:r>
        <w:rPr>
          <w:spacing w:val="-1"/>
          <w:sz w:val="18"/>
        </w:rPr>
        <w:t> </w:t>
      </w:r>
      <w:r>
        <w:rPr>
          <w:sz w:val="18"/>
        </w:rPr>
        <w:t>by</w:t>
      </w:r>
      <w:r>
        <w:rPr>
          <w:spacing w:val="-2"/>
          <w:sz w:val="18"/>
        </w:rPr>
        <w:t> </w:t>
      </w:r>
      <w:r>
        <w:rPr>
          <w:sz w:val="18"/>
        </w:rPr>
        <w:t>collective</w:t>
      </w:r>
      <w:r>
        <w:rPr>
          <w:spacing w:val="-1"/>
          <w:sz w:val="18"/>
        </w:rPr>
        <w:t> </w:t>
      </w:r>
      <w:r>
        <w:rPr>
          <w:sz w:val="18"/>
        </w:rPr>
        <w:t>bargaining</w:t>
      </w:r>
      <w:r>
        <w:rPr>
          <w:spacing w:val="-1"/>
          <w:sz w:val="18"/>
        </w:rPr>
        <w:t> </w:t>
      </w:r>
      <w:r>
        <w:rPr>
          <w:spacing w:val="-2"/>
          <w:sz w:val="18"/>
        </w:rPr>
        <w:t>agreements.</w:t>
      </w:r>
    </w:p>
    <w:p>
      <w:pPr>
        <w:pStyle w:val="ListParagraph"/>
        <w:numPr>
          <w:ilvl w:val="0"/>
          <w:numId w:val="2"/>
        </w:numPr>
        <w:tabs>
          <w:tab w:pos="792" w:val="left" w:leader="none"/>
        </w:tabs>
        <w:spacing w:line="205" w:lineRule="exact" w:before="4" w:after="0"/>
        <w:ind w:left="792" w:right="0" w:hanging="324"/>
        <w:jc w:val="left"/>
        <w:rPr>
          <w:sz w:val="18"/>
        </w:rPr>
      </w:pPr>
      <w:r>
        <w:rPr>
          <w:sz w:val="18"/>
        </w:rPr>
        <w:t>Our</w:t>
      </w:r>
      <w:r>
        <w:rPr>
          <w:spacing w:val="-2"/>
          <w:sz w:val="18"/>
        </w:rPr>
        <w:t> </w:t>
      </w:r>
      <w:r>
        <w:rPr>
          <w:sz w:val="18"/>
        </w:rPr>
        <w:t>business</w:t>
      </w:r>
      <w:r>
        <w:rPr>
          <w:spacing w:val="-1"/>
          <w:sz w:val="18"/>
        </w:rPr>
        <w:t> </w:t>
      </w:r>
      <w:r>
        <w:rPr>
          <w:sz w:val="18"/>
        </w:rPr>
        <w:t>is</w:t>
      </w:r>
      <w:r>
        <w:rPr>
          <w:spacing w:val="-2"/>
          <w:sz w:val="18"/>
        </w:rPr>
        <w:t> </w:t>
      </w:r>
      <w:r>
        <w:rPr>
          <w:sz w:val="18"/>
        </w:rPr>
        <w:t>particularly</w:t>
      </w:r>
      <w:r>
        <w:rPr>
          <w:spacing w:val="-1"/>
          <w:sz w:val="18"/>
        </w:rPr>
        <w:t> </w:t>
      </w:r>
      <w:r>
        <w:rPr>
          <w:sz w:val="18"/>
        </w:rPr>
        <w:t>sensitive</w:t>
      </w:r>
      <w:r>
        <w:rPr>
          <w:spacing w:val="-2"/>
          <w:sz w:val="18"/>
        </w:rPr>
        <w:t> </w:t>
      </w:r>
      <w:r>
        <w:rPr>
          <w:sz w:val="18"/>
        </w:rPr>
        <w:t>to</w:t>
      </w:r>
      <w:r>
        <w:rPr>
          <w:spacing w:val="-1"/>
          <w:sz w:val="18"/>
        </w:rPr>
        <w:t> </w:t>
      </w:r>
      <w:r>
        <w:rPr>
          <w:sz w:val="18"/>
        </w:rPr>
        <w:t>energy</w:t>
      </w:r>
      <w:r>
        <w:rPr>
          <w:spacing w:val="-2"/>
          <w:sz w:val="18"/>
        </w:rPr>
        <w:t> </w:t>
      </w:r>
      <w:r>
        <w:rPr>
          <w:sz w:val="18"/>
        </w:rPr>
        <w:t>prices</w:t>
      </w:r>
      <w:r>
        <w:rPr>
          <w:spacing w:val="-1"/>
          <w:sz w:val="18"/>
        </w:rPr>
        <w:t> </w:t>
      </w:r>
      <w:r>
        <w:rPr>
          <w:sz w:val="18"/>
        </w:rPr>
        <w:t>and</w:t>
      </w:r>
      <w:r>
        <w:rPr>
          <w:spacing w:val="-1"/>
          <w:sz w:val="18"/>
        </w:rPr>
        <w:t> </w:t>
      </w:r>
      <w:r>
        <w:rPr>
          <w:sz w:val="18"/>
        </w:rPr>
        <w:t>a</w:t>
      </w:r>
      <w:r>
        <w:rPr>
          <w:spacing w:val="-2"/>
          <w:sz w:val="18"/>
        </w:rPr>
        <w:t> </w:t>
      </w:r>
      <w:r>
        <w:rPr>
          <w:sz w:val="18"/>
        </w:rPr>
        <w:t>rise</w:t>
      </w:r>
      <w:r>
        <w:rPr>
          <w:spacing w:val="-1"/>
          <w:sz w:val="18"/>
        </w:rPr>
        <w:t> </w:t>
      </w:r>
      <w:r>
        <w:rPr>
          <w:sz w:val="18"/>
        </w:rPr>
        <w:t>in</w:t>
      </w:r>
      <w:r>
        <w:rPr>
          <w:spacing w:val="-2"/>
          <w:sz w:val="18"/>
        </w:rPr>
        <w:t> </w:t>
      </w:r>
      <w:r>
        <w:rPr>
          <w:sz w:val="18"/>
        </w:rPr>
        <w:t>energy</w:t>
      </w:r>
      <w:r>
        <w:rPr>
          <w:spacing w:val="-1"/>
          <w:sz w:val="18"/>
        </w:rPr>
        <w:t> </w:t>
      </w:r>
      <w:r>
        <w:rPr>
          <w:sz w:val="18"/>
        </w:rPr>
        <w:t>prices</w:t>
      </w:r>
      <w:r>
        <w:rPr>
          <w:spacing w:val="-2"/>
          <w:sz w:val="18"/>
        </w:rPr>
        <w:t> </w:t>
      </w:r>
      <w:r>
        <w:rPr>
          <w:sz w:val="18"/>
        </w:rPr>
        <w:t>could</w:t>
      </w:r>
      <w:r>
        <w:rPr>
          <w:spacing w:val="-1"/>
          <w:sz w:val="18"/>
        </w:rPr>
        <w:t> </w:t>
      </w:r>
      <w:r>
        <w:rPr>
          <w:sz w:val="18"/>
        </w:rPr>
        <w:t>harm</w:t>
      </w:r>
      <w:r>
        <w:rPr>
          <w:spacing w:val="-2"/>
          <w:sz w:val="18"/>
        </w:rPr>
        <w:t> </w:t>
      </w:r>
      <w:r>
        <w:rPr>
          <w:sz w:val="18"/>
        </w:rPr>
        <w:t>our</w:t>
      </w:r>
      <w:r>
        <w:rPr>
          <w:spacing w:val="-1"/>
          <w:sz w:val="18"/>
        </w:rPr>
        <w:t> </w:t>
      </w:r>
      <w:r>
        <w:rPr>
          <w:sz w:val="18"/>
        </w:rPr>
        <w:t>operating</w:t>
      </w:r>
      <w:r>
        <w:rPr>
          <w:spacing w:val="-1"/>
          <w:sz w:val="18"/>
        </w:rPr>
        <w:t> </w:t>
      </w:r>
      <w:r>
        <w:rPr>
          <w:spacing w:val="-2"/>
          <w:sz w:val="18"/>
        </w:rPr>
        <w:t>results.</w:t>
      </w:r>
    </w:p>
    <w:p>
      <w:pPr>
        <w:pStyle w:val="ListParagraph"/>
        <w:numPr>
          <w:ilvl w:val="0"/>
          <w:numId w:val="2"/>
        </w:numPr>
        <w:tabs>
          <w:tab w:pos="792" w:val="left" w:leader="none"/>
        </w:tabs>
        <w:spacing w:line="235" w:lineRule="auto" w:before="1" w:after="0"/>
        <w:ind w:left="792" w:right="118" w:hanging="324"/>
        <w:jc w:val="left"/>
        <w:rPr>
          <w:sz w:val="18"/>
        </w:rPr>
      </w:pPr>
      <w:r>
        <w:rPr>
          <w:sz w:val="18"/>
        </w:rPr>
        <w:t>We may seek to expand through investments in other businesses and properties or through alliances or acquisitions, and we may also seek to divest</w:t>
      </w:r>
      <w:r>
        <w:rPr>
          <w:spacing w:val="80"/>
          <w:sz w:val="18"/>
        </w:rPr>
        <w:t> </w:t>
      </w:r>
      <w:r>
        <w:rPr>
          <w:sz w:val="18"/>
        </w:rPr>
        <w:t>some of our properties and other assets, any of which may be unsuccessful.</w:t>
      </w:r>
    </w:p>
    <w:p>
      <w:pPr>
        <w:pStyle w:val="BodyText"/>
      </w:pPr>
    </w:p>
    <w:p>
      <w:pPr>
        <w:pStyle w:val="BodyText"/>
        <w:spacing w:before="190"/>
      </w:pPr>
    </w:p>
    <w:p>
      <w:pPr>
        <w:pStyle w:val="BodyText"/>
        <w:ind w:left="24"/>
        <w:jc w:val="center"/>
      </w:pPr>
      <w:r>
        <w:rPr>
          <w:spacing w:val="-5"/>
        </w:rPr>
        <w:t>13</w:t>
      </w:r>
    </w:p>
    <w:p>
      <w:pPr>
        <w:pStyle w:val="BodyText"/>
        <w:spacing w:before="3"/>
        <w:rPr>
          <w:sz w:val="6"/>
        </w:rPr>
      </w:pPr>
      <w:r>
        <w:rPr/>
        <mc:AlternateContent>
          <mc:Choice Requires="wps">
            <w:drawing>
              <wp:anchor distT="0" distB="0" distL="0" distR="0" allowOverlap="1" layoutInCell="1" locked="0" behindDoc="1" simplePos="0" relativeHeight="487600640">
                <wp:simplePos x="0" y="0"/>
                <wp:positionH relativeFrom="page">
                  <wp:posOffset>231457</wp:posOffset>
                </wp:positionH>
                <wp:positionV relativeFrom="paragraph">
                  <wp:posOffset>60956</wp:posOffset>
                </wp:positionV>
                <wp:extent cx="7312659" cy="1714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7312659" cy="17145"/>
                          <a:chExt cx="7312659" cy="17145"/>
                        </a:xfrm>
                      </wpg:grpSpPr>
                      <wps:wsp>
                        <wps:cNvPr id="74" name="Graphic 7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5" name="Graphic 75"/>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6" name="Graphic 7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5840;mso-wrap-distance-left:0;mso-wrap-distance-right:0" id="docshapegroup72" coordorigin="364,96" coordsize="11516,27">
                <v:rect style="position:absolute;left:364;top:96;width:11516;height:14" id="docshape73" filled="true" fillcolor="#999999" stroked="false">
                  <v:fill type="solid"/>
                </v:rect>
                <v:shape style="position:absolute;left:364;top:96;width:11516;height:27" id="docshape74" coordorigin="364,96" coordsize="11516,27" path="m11880,96l11866,110,364,110,364,123,11866,123,11880,123,11880,110,11880,96xe" filled="true" fillcolor="#ededed" stroked="false">
                  <v:path arrowok="t"/>
                  <v:fill type="solid"/>
                </v:shape>
                <v:shape style="position:absolute;left:364;top:96;width:14;height:27" id="docshape7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ListParagraph"/>
        <w:numPr>
          <w:ilvl w:val="0"/>
          <w:numId w:val="2"/>
        </w:numPr>
        <w:tabs>
          <w:tab w:pos="792" w:val="left" w:leader="none"/>
        </w:tabs>
        <w:spacing w:line="235" w:lineRule="auto" w:before="66" w:after="0"/>
        <w:ind w:left="792" w:right="118" w:hanging="324"/>
        <w:jc w:val="left"/>
        <w:rPr>
          <w:sz w:val="18"/>
        </w:rPr>
      </w:pPr>
      <w:r>
        <w:rPr>
          <w:sz w:val="18"/>
        </w:rPr>
        <w:t>The failure to maintain the integrity of our computer systems and customer information could result in damage to our reputation and/or subject us to fines, payment of damages, lawsuits and restrictions on our use of data.</w:t>
      </w:r>
    </w:p>
    <w:p>
      <w:pPr>
        <w:pStyle w:val="ListParagraph"/>
        <w:numPr>
          <w:ilvl w:val="0"/>
          <w:numId w:val="2"/>
        </w:numPr>
        <w:tabs>
          <w:tab w:pos="792" w:val="left" w:leader="none"/>
        </w:tabs>
        <w:spacing w:line="205" w:lineRule="exact" w:before="9" w:after="0"/>
        <w:ind w:left="792" w:right="0" w:hanging="324"/>
        <w:jc w:val="left"/>
        <w:rPr>
          <w:sz w:val="18"/>
        </w:rPr>
      </w:pPr>
      <w:r>
        <w:rPr>
          <w:sz w:val="18"/>
        </w:rPr>
        <w:t>We</w:t>
      </w:r>
      <w:r>
        <w:rPr>
          <w:spacing w:val="-5"/>
          <w:sz w:val="18"/>
        </w:rPr>
        <w:t> </w:t>
      </w:r>
      <w:r>
        <w:rPr>
          <w:sz w:val="18"/>
        </w:rPr>
        <w:t>are</w:t>
      </w:r>
      <w:r>
        <w:rPr>
          <w:spacing w:val="-2"/>
          <w:sz w:val="18"/>
        </w:rPr>
        <w:t> </w:t>
      </w:r>
      <w:r>
        <w:rPr>
          <w:sz w:val="18"/>
        </w:rPr>
        <w:t>subject</w:t>
      </w:r>
      <w:r>
        <w:rPr>
          <w:spacing w:val="-3"/>
          <w:sz w:val="18"/>
        </w:rPr>
        <w:t> </w:t>
      </w:r>
      <w:r>
        <w:rPr>
          <w:sz w:val="18"/>
        </w:rPr>
        <w:t>to</w:t>
      </w:r>
      <w:r>
        <w:rPr>
          <w:spacing w:val="-2"/>
          <w:sz w:val="18"/>
        </w:rPr>
        <w:t> </w:t>
      </w:r>
      <w:r>
        <w:rPr>
          <w:sz w:val="18"/>
        </w:rPr>
        <w:t>risks</w:t>
      </w:r>
      <w:r>
        <w:rPr>
          <w:spacing w:val="-2"/>
          <w:sz w:val="18"/>
        </w:rPr>
        <w:t> </w:t>
      </w:r>
      <w:r>
        <w:rPr>
          <w:sz w:val="18"/>
        </w:rPr>
        <w:t>related</w:t>
      </w:r>
      <w:r>
        <w:rPr>
          <w:spacing w:val="-3"/>
          <w:sz w:val="18"/>
        </w:rPr>
        <w:t> </w:t>
      </w:r>
      <w:r>
        <w:rPr>
          <w:sz w:val="18"/>
        </w:rPr>
        <w:t>to</w:t>
      </w:r>
      <w:r>
        <w:rPr>
          <w:spacing w:val="-2"/>
          <w:sz w:val="18"/>
        </w:rPr>
        <w:t> </w:t>
      </w:r>
      <w:r>
        <w:rPr>
          <w:sz w:val="18"/>
        </w:rPr>
        <w:t>corporate</w:t>
      </w:r>
      <w:r>
        <w:rPr>
          <w:spacing w:val="-2"/>
          <w:sz w:val="18"/>
        </w:rPr>
        <w:t> </w:t>
      </w:r>
      <w:r>
        <w:rPr>
          <w:sz w:val="18"/>
        </w:rPr>
        <w:t>social</w:t>
      </w:r>
      <w:r>
        <w:rPr>
          <w:spacing w:val="-3"/>
          <w:sz w:val="18"/>
        </w:rPr>
        <w:t> </w:t>
      </w:r>
      <w:r>
        <w:rPr>
          <w:sz w:val="18"/>
        </w:rPr>
        <w:t>responsibility</w:t>
      </w:r>
      <w:r>
        <w:rPr>
          <w:spacing w:val="-2"/>
          <w:sz w:val="18"/>
        </w:rPr>
        <w:t> </w:t>
      </w:r>
      <w:r>
        <w:rPr>
          <w:sz w:val="18"/>
        </w:rPr>
        <w:t>and</w:t>
      </w:r>
      <w:r>
        <w:rPr>
          <w:spacing w:val="-2"/>
          <w:sz w:val="18"/>
        </w:rPr>
        <w:t> reputation.</w:t>
      </w:r>
    </w:p>
    <w:p>
      <w:pPr>
        <w:pStyle w:val="ListParagraph"/>
        <w:numPr>
          <w:ilvl w:val="0"/>
          <w:numId w:val="2"/>
        </w:numPr>
        <w:tabs>
          <w:tab w:pos="792" w:val="left" w:leader="none"/>
        </w:tabs>
        <w:spacing w:line="203" w:lineRule="exact" w:before="0" w:after="0"/>
        <w:ind w:left="792" w:right="0" w:hanging="324"/>
        <w:jc w:val="left"/>
        <w:rPr>
          <w:sz w:val="18"/>
        </w:rPr>
      </w:pPr>
      <w:r>
        <w:rPr>
          <w:sz w:val="18"/>
        </w:rPr>
        <w:t>We</w:t>
      </w:r>
      <w:r>
        <w:rPr>
          <w:spacing w:val="-5"/>
          <w:sz w:val="18"/>
        </w:rPr>
        <w:t> </w:t>
      </w:r>
      <w:r>
        <w:rPr>
          <w:sz w:val="18"/>
        </w:rPr>
        <w:t>are</w:t>
      </w:r>
      <w:r>
        <w:rPr>
          <w:spacing w:val="-2"/>
          <w:sz w:val="18"/>
        </w:rPr>
        <w:t> </w:t>
      </w:r>
      <w:r>
        <w:rPr>
          <w:sz w:val="18"/>
        </w:rPr>
        <w:t>subject</w:t>
      </w:r>
      <w:r>
        <w:rPr>
          <w:spacing w:val="-3"/>
          <w:sz w:val="18"/>
        </w:rPr>
        <w:t> </w:t>
      </w:r>
      <w:r>
        <w:rPr>
          <w:sz w:val="18"/>
        </w:rPr>
        <w:t>to</w:t>
      </w:r>
      <w:r>
        <w:rPr>
          <w:spacing w:val="-2"/>
          <w:sz w:val="18"/>
        </w:rPr>
        <w:t> </w:t>
      </w:r>
      <w:r>
        <w:rPr>
          <w:sz w:val="18"/>
        </w:rPr>
        <w:t>risks</w:t>
      </w:r>
      <w:r>
        <w:rPr>
          <w:spacing w:val="-3"/>
          <w:sz w:val="18"/>
        </w:rPr>
        <w:t> </w:t>
      </w:r>
      <w:r>
        <w:rPr>
          <w:sz w:val="18"/>
        </w:rPr>
        <w:t>and</w:t>
      </w:r>
      <w:r>
        <w:rPr>
          <w:spacing w:val="-2"/>
          <w:sz w:val="18"/>
        </w:rPr>
        <w:t> </w:t>
      </w:r>
      <w:r>
        <w:rPr>
          <w:sz w:val="18"/>
        </w:rPr>
        <w:t>costs</w:t>
      </w:r>
      <w:r>
        <w:rPr>
          <w:spacing w:val="-3"/>
          <w:sz w:val="18"/>
        </w:rPr>
        <w:t> </w:t>
      </w:r>
      <w:r>
        <w:rPr>
          <w:sz w:val="18"/>
        </w:rPr>
        <w:t>related</w:t>
      </w:r>
      <w:r>
        <w:rPr>
          <w:spacing w:val="-2"/>
          <w:sz w:val="18"/>
        </w:rPr>
        <w:t> </w:t>
      </w:r>
      <w:r>
        <w:rPr>
          <w:sz w:val="18"/>
        </w:rPr>
        <w:t>to</w:t>
      </w:r>
      <w:r>
        <w:rPr>
          <w:spacing w:val="-3"/>
          <w:sz w:val="18"/>
        </w:rPr>
        <w:t> </w:t>
      </w:r>
      <w:r>
        <w:rPr>
          <w:sz w:val="18"/>
        </w:rPr>
        <w:t>climate</w:t>
      </w:r>
      <w:r>
        <w:rPr>
          <w:spacing w:val="-2"/>
          <w:sz w:val="18"/>
        </w:rPr>
        <w:t> change.</w:t>
      </w:r>
    </w:p>
    <w:p>
      <w:pPr>
        <w:pStyle w:val="ListParagraph"/>
        <w:numPr>
          <w:ilvl w:val="0"/>
          <w:numId w:val="2"/>
        </w:numPr>
        <w:tabs>
          <w:tab w:pos="792" w:val="left" w:leader="none"/>
        </w:tabs>
        <w:spacing w:line="205" w:lineRule="exact" w:before="0" w:after="0"/>
        <w:ind w:left="792" w:right="0" w:hanging="324"/>
        <w:jc w:val="left"/>
        <w:rPr>
          <w:sz w:val="18"/>
        </w:rPr>
      </w:pPr>
      <w:r>
        <w:rPr>
          <w:sz w:val="18"/>
        </w:rPr>
        <w:t>Water</w:t>
      </w:r>
      <w:r>
        <w:rPr>
          <w:spacing w:val="-6"/>
          <w:sz w:val="18"/>
        </w:rPr>
        <w:t> </w:t>
      </w:r>
      <w:r>
        <w:rPr>
          <w:sz w:val="18"/>
        </w:rPr>
        <w:t>scarcity</w:t>
      </w:r>
      <w:r>
        <w:rPr>
          <w:spacing w:val="-3"/>
          <w:sz w:val="18"/>
        </w:rPr>
        <w:t> </w:t>
      </w:r>
      <w:r>
        <w:rPr>
          <w:sz w:val="18"/>
        </w:rPr>
        <w:t>could</w:t>
      </w:r>
      <w:r>
        <w:rPr>
          <w:spacing w:val="-4"/>
          <w:sz w:val="18"/>
        </w:rPr>
        <w:t> </w:t>
      </w:r>
      <w:r>
        <w:rPr>
          <w:sz w:val="18"/>
        </w:rPr>
        <w:t>negatively</w:t>
      </w:r>
      <w:r>
        <w:rPr>
          <w:spacing w:val="-3"/>
          <w:sz w:val="18"/>
        </w:rPr>
        <w:t> </w:t>
      </w:r>
      <w:r>
        <w:rPr>
          <w:sz w:val="18"/>
        </w:rPr>
        <w:t>impact</w:t>
      </w:r>
      <w:r>
        <w:rPr>
          <w:spacing w:val="-4"/>
          <w:sz w:val="18"/>
        </w:rPr>
        <w:t> </w:t>
      </w:r>
      <w:r>
        <w:rPr>
          <w:sz w:val="18"/>
        </w:rPr>
        <w:t>our</w:t>
      </w:r>
      <w:r>
        <w:rPr>
          <w:spacing w:val="-3"/>
          <w:sz w:val="18"/>
        </w:rPr>
        <w:t> </w:t>
      </w:r>
      <w:r>
        <w:rPr>
          <w:spacing w:val="-2"/>
          <w:sz w:val="18"/>
        </w:rPr>
        <w:t>operations.</w:t>
      </w:r>
    </w:p>
    <w:p>
      <w:pPr>
        <w:pStyle w:val="BodyText"/>
        <w:spacing w:before="18"/>
      </w:pPr>
    </w:p>
    <w:p>
      <w:pPr>
        <w:pStyle w:val="Heading6"/>
        <w:spacing w:before="1"/>
        <w:ind w:left="511"/>
        <w:jc w:val="left"/>
      </w:pPr>
      <w:r>
        <w:rPr/>
        <w:t>Risks</w:t>
      </w:r>
      <w:r>
        <w:rPr>
          <w:spacing w:val="-1"/>
        </w:rPr>
        <w:t> </w:t>
      </w:r>
      <w:r>
        <w:rPr/>
        <w:t>Related</w:t>
      </w:r>
      <w:r>
        <w:rPr>
          <w:spacing w:val="-1"/>
        </w:rPr>
        <w:t> </w:t>
      </w:r>
      <w:r>
        <w:rPr/>
        <w:t>to</w:t>
      </w:r>
      <w:r>
        <w:rPr>
          <w:spacing w:val="-1"/>
        </w:rPr>
        <w:t> </w:t>
      </w:r>
      <w:r>
        <w:rPr/>
        <w:t>Legal</w:t>
      </w:r>
      <w:r>
        <w:rPr>
          <w:spacing w:val="-1"/>
        </w:rPr>
        <w:t> </w:t>
      </w:r>
      <w:r>
        <w:rPr/>
        <w:t>and</w:t>
      </w:r>
      <w:r>
        <w:rPr>
          <w:spacing w:val="-1"/>
        </w:rPr>
        <w:t> </w:t>
      </w:r>
      <w:r>
        <w:rPr/>
        <w:t>Regulatory</w:t>
      </w:r>
      <w:r>
        <w:rPr>
          <w:spacing w:val="-1"/>
        </w:rPr>
        <w:t> </w:t>
      </w:r>
      <w:r>
        <w:rPr/>
        <w:t>Matters</w:t>
      </w:r>
      <w:r>
        <w:rPr>
          <w:spacing w:val="-1"/>
        </w:rPr>
        <w:t> </w:t>
      </w:r>
      <w:r>
        <w:rPr/>
        <w:t>and</w:t>
      </w:r>
      <w:r>
        <w:rPr>
          <w:spacing w:val="-1"/>
        </w:rPr>
        <w:t> </w:t>
      </w:r>
      <w:r>
        <w:rPr/>
        <w:t>Changes</w:t>
      </w:r>
      <w:r>
        <w:rPr>
          <w:spacing w:val="-1"/>
        </w:rPr>
        <w:t> </w:t>
      </w:r>
      <w:r>
        <w:rPr/>
        <w:t>in</w:t>
      </w:r>
      <w:r>
        <w:rPr>
          <w:spacing w:val="-1"/>
        </w:rPr>
        <w:t> </w:t>
      </w:r>
      <w:r>
        <w:rPr/>
        <w:t>Public</w:t>
      </w:r>
      <w:r>
        <w:rPr>
          <w:spacing w:val="-1"/>
        </w:rPr>
        <w:t> </w:t>
      </w:r>
      <w:r>
        <w:rPr>
          <w:spacing w:val="-2"/>
        </w:rPr>
        <w:t>Policy</w:t>
      </w:r>
    </w:p>
    <w:p>
      <w:pPr>
        <w:pStyle w:val="BodyText"/>
        <w:spacing w:before="7"/>
        <w:rPr>
          <w:b/>
          <w:i/>
        </w:rPr>
      </w:pPr>
    </w:p>
    <w:p>
      <w:pPr>
        <w:pStyle w:val="ListParagraph"/>
        <w:numPr>
          <w:ilvl w:val="0"/>
          <w:numId w:val="2"/>
        </w:numPr>
        <w:tabs>
          <w:tab w:pos="792" w:val="left" w:leader="none"/>
        </w:tabs>
        <w:spacing w:line="235" w:lineRule="auto" w:before="0" w:after="0"/>
        <w:ind w:left="792" w:right="118" w:hanging="324"/>
        <w:jc w:val="left"/>
        <w:rPr>
          <w:sz w:val="18"/>
        </w:rPr>
      </w:pPr>
      <w:r>
        <w:rPr>
          <w:sz w:val="18"/>
        </w:rPr>
        <w:t>Our</w:t>
      </w:r>
      <w:r>
        <w:rPr>
          <w:spacing w:val="16"/>
          <w:sz w:val="18"/>
        </w:rPr>
        <w:t> </w:t>
      </w:r>
      <w:r>
        <w:rPr>
          <w:sz w:val="18"/>
        </w:rPr>
        <w:t>businesses</w:t>
      </w:r>
      <w:r>
        <w:rPr>
          <w:spacing w:val="16"/>
          <w:sz w:val="18"/>
        </w:rPr>
        <w:t> </w:t>
      </w:r>
      <w:r>
        <w:rPr>
          <w:sz w:val="18"/>
        </w:rPr>
        <w:t>are</w:t>
      </w:r>
      <w:r>
        <w:rPr>
          <w:spacing w:val="16"/>
          <w:sz w:val="18"/>
        </w:rPr>
        <w:t> </w:t>
      </w:r>
      <w:r>
        <w:rPr>
          <w:sz w:val="18"/>
        </w:rPr>
        <w:t>subject</w:t>
      </w:r>
      <w:r>
        <w:rPr>
          <w:spacing w:val="16"/>
          <w:sz w:val="18"/>
        </w:rPr>
        <w:t> </w:t>
      </w:r>
      <w:r>
        <w:rPr>
          <w:sz w:val="18"/>
        </w:rPr>
        <w:t>to</w:t>
      </w:r>
      <w:r>
        <w:rPr>
          <w:spacing w:val="16"/>
          <w:sz w:val="18"/>
        </w:rPr>
        <w:t> </w:t>
      </w:r>
      <w:r>
        <w:rPr>
          <w:sz w:val="18"/>
        </w:rPr>
        <w:t>extensive</w:t>
      </w:r>
      <w:r>
        <w:rPr>
          <w:spacing w:val="16"/>
          <w:sz w:val="18"/>
        </w:rPr>
        <w:t> </w:t>
      </w:r>
      <w:r>
        <w:rPr>
          <w:sz w:val="18"/>
        </w:rPr>
        <w:t>regulation</w:t>
      </w:r>
      <w:r>
        <w:rPr>
          <w:spacing w:val="16"/>
          <w:sz w:val="18"/>
        </w:rPr>
        <w:t> </w:t>
      </w:r>
      <w:r>
        <w:rPr>
          <w:sz w:val="18"/>
        </w:rPr>
        <w:t>and</w:t>
      </w:r>
      <w:r>
        <w:rPr>
          <w:spacing w:val="16"/>
          <w:sz w:val="18"/>
        </w:rPr>
        <w:t> </w:t>
      </w:r>
      <w:r>
        <w:rPr>
          <w:sz w:val="18"/>
        </w:rPr>
        <w:t>the</w:t>
      </w:r>
      <w:r>
        <w:rPr>
          <w:spacing w:val="16"/>
          <w:sz w:val="18"/>
        </w:rPr>
        <w:t> </w:t>
      </w:r>
      <w:r>
        <w:rPr>
          <w:sz w:val="18"/>
        </w:rPr>
        <w:t>cost</w:t>
      </w:r>
      <w:r>
        <w:rPr>
          <w:spacing w:val="16"/>
          <w:sz w:val="18"/>
        </w:rPr>
        <w:t> </w:t>
      </w:r>
      <w:r>
        <w:rPr>
          <w:sz w:val="18"/>
        </w:rPr>
        <w:t>of</w:t>
      </w:r>
      <w:r>
        <w:rPr>
          <w:spacing w:val="16"/>
          <w:sz w:val="18"/>
        </w:rPr>
        <w:t> </w:t>
      </w:r>
      <w:r>
        <w:rPr>
          <w:sz w:val="18"/>
        </w:rPr>
        <w:t>compliance</w:t>
      </w:r>
      <w:r>
        <w:rPr>
          <w:spacing w:val="16"/>
          <w:sz w:val="18"/>
        </w:rPr>
        <w:t> </w:t>
      </w:r>
      <w:r>
        <w:rPr>
          <w:sz w:val="18"/>
        </w:rPr>
        <w:t>or</w:t>
      </w:r>
      <w:r>
        <w:rPr>
          <w:spacing w:val="16"/>
          <w:sz w:val="18"/>
        </w:rPr>
        <w:t> </w:t>
      </w:r>
      <w:r>
        <w:rPr>
          <w:sz w:val="18"/>
        </w:rPr>
        <w:t>failure</w:t>
      </w:r>
      <w:r>
        <w:rPr>
          <w:spacing w:val="16"/>
          <w:sz w:val="18"/>
        </w:rPr>
        <w:t> </w:t>
      </w:r>
      <w:r>
        <w:rPr>
          <w:sz w:val="18"/>
        </w:rPr>
        <w:t>to</w:t>
      </w:r>
      <w:r>
        <w:rPr>
          <w:spacing w:val="16"/>
          <w:sz w:val="18"/>
        </w:rPr>
        <w:t> </w:t>
      </w:r>
      <w:r>
        <w:rPr>
          <w:sz w:val="18"/>
        </w:rPr>
        <w:t>comply</w:t>
      </w:r>
      <w:r>
        <w:rPr>
          <w:spacing w:val="16"/>
          <w:sz w:val="18"/>
        </w:rPr>
        <w:t> </w:t>
      </w:r>
      <w:r>
        <w:rPr>
          <w:sz w:val="18"/>
        </w:rPr>
        <w:t>with</w:t>
      </w:r>
      <w:r>
        <w:rPr>
          <w:spacing w:val="16"/>
          <w:sz w:val="18"/>
        </w:rPr>
        <w:t> </w:t>
      </w:r>
      <w:r>
        <w:rPr>
          <w:sz w:val="18"/>
        </w:rPr>
        <w:t>such</w:t>
      </w:r>
      <w:r>
        <w:rPr>
          <w:spacing w:val="16"/>
          <w:sz w:val="18"/>
        </w:rPr>
        <w:t> </w:t>
      </w:r>
      <w:r>
        <w:rPr>
          <w:sz w:val="18"/>
        </w:rPr>
        <w:t>regulations</w:t>
      </w:r>
      <w:r>
        <w:rPr>
          <w:spacing w:val="16"/>
          <w:sz w:val="18"/>
        </w:rPr>
        <w:t> </w:t>
      </w:r>
      <w:r>
        <w:rPr>
          <w:sz w:val="18"/>
        </w:rPr>
        <w:t>may</w:t>
      </w:r>
      <w:r>
        <w:rPr>
          <w:spacing w:val="16"/>
          <w:sz w:val="18"/>
        </w:rPr>
        <w:t> </w:t>
      </w:r>
      <w:r>
        <w:rPr>
          <w:sz w:val="18"/>
        </w:rPr>
        <w:t>adversely</w:t>
      </w:r>
      <w:r>
        <w:rPr>
          <w:spacing w:val="16"/>
          <w:sz w:val="18"/>
        </w:rPr>
        <w:t> </w:t>
      </w:r>
      <w:r>
        <w:rPr>
          <w:sz w:val="18"/>
        </w:rPr>
        <w:t>affect</w:t>
      </w:r>
      <w:r>
        <w:rPr>
          <w:spacing w:val="16"/>
          <w:sz w:val="18"/>
        </w:rPr>
        <w:t> </w:t>
      </w:r>
      <w:r>
        <w:rPr>
          <w:sz w:val="18"/>
        </w:rPr>
        <w:t>our business and results of operations.</w:t>
      </w:r>
    </w:p>
    <w:p>
      <w:pPr>
        <w:pStyle w:val="ListParagraph"/>
        <w:numPr>
          <w:ilvl w:val="0"/>
          <w:numId w:val="2"/>
        </w:numPr>
        <w:tabs>
          <w:tab w:pos="792" w:val="left" w:leader="none"/>
        </w:tabs>
        <w:spacing w:line="205" w:lineRule="exact" w:before="10" w:after="0"/>
        <w:ind w:left="792" w:right="0" w:hanging="324"/>
        <w:jc w:val="left"/>
        <w:rPr>
          <w:sz w:val="18"/>
        </w:rPr>
      </w:pPr>
      <w:r>
        <w:rPr>
          <w:sz w:val="18"/>
        </w:rPr>
        <w:t>Any</w:t>
      </w:r>
      <w:r>
        <w:rPr>
          <w:spacing w:val="-1"/>
          <w:sz w:val="18"/>
        </w:rPr>
        <w:t> </w:t>
      </w:r>
      <w:r>
        <w:rPr>
          <w:sz w:val="18"/>
        </w:rPr>
        <w:t>violation</w:t>
      </w:r>
      <w:r>
        <w:rPr>
          <w:spacing w:val="-1"/>
          <w:sz w:val="18"/>
        </w:rPr>
        <w:t> </w:t>
      </w:r>
      <w:r>
        <w:rPr>
          <w:sz w:val="18"/>
        </w:rPr>
        <w:t>of</w:t>
      </w:r>
      <w:r>
        <w:rPr>
          <w:spacing w:val="-1"/>
          <w:sz w:val="18"/>
        </w:rPr>
        <w:t> </w:t>
      </w:r>
      <w:r>
        <w:rPr>
          <w:sz w:val="18"/>
        </w:rPr>
        <w:t>the</w:t>
      </w:r>
      <w:r>
        <w:rPr>
          <w:spacing w:val="-1"/>
          <w:sz w:val="18"/>
        </w:rPr>
        <w:t> </w:t>
      </w:r>
      <w:r>
        <w:rPr>
          <w:sz w:val="18"/>
        </w:rPr>
        <w:t>Foreign</w:t>
      </w:r>
      <w:r>
        <w:rPr>
          <w:spacing w:val="-1"/>
          <w:sz w:val="18"/>
        </w:rPr>
        <w:t> </w:t>
      </w:r>
      <w:r>
        <w:rPr>
          <w:sz w:val="18"/>
        </w:rPr>
        <w:t>Corrupt</w:t>
      </w:r>
      <w:r>
        <w:rPr>
          <w:spacing w:val="-1"/>
          <w:sz w:val="18"/>
        </w:rPr>
        <w:t> </w:t>
      </w:r>
      <w:r>
        <w:rPr>
          <w:sz w:val="18"/>
        </w:rPr>
        <w:t>Practices</w:t>
      </w:r>
      <w:r>
        <w:rPr>
          <w:spacing w:val="-10"/>
          <w:sz w:val="18"/>
        </w:rPr>
        <w:t> </w:t>
      </w:r>
      <w:r>
        <w:rPr>
          <w:sz w:val="18"/>
        </w:rPr>
        <w:t>Act</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similar</w:t>
      </w:r>
      <w:r>
        <w:rPr>
          <w:spacing w:val="-1"/>
          <w:sz w:val="18"/>
        </w:rPr>
        <w:t> </w:t>
      </w:r>
      <w:r>
        <w:rPr>
          <w:sz w:val="18"/>
        </w:rPr>
        <w:t>anti-corruption</w:t>
      </w:r>
      <w:r>
        <w:rPr>
          <w:spacing w:val="-1"/>
          <w:sz w:val="18"/>
        </w:rPr>
        <w:t> </w:t>
      </w:r>
      <w:r>
        <w:rPr>
          <w:sz w:val="18"/>
        </w:rPr>
        <w:t>laws</w:t>
      </w:r>
      <w:r>
        <w:rPr>
          <w:spacing w:val="-1"/>
          <w:sz w:val="18"/>
        </w:rPr>
        <w:t> </w:t>
      </w:r>
      <w:r>
        <w:rPr>
          <w:sz w:val="18"/>
        </w:rPr>
        <w:t>could</w:t>
      </w:r>
      <w:r>
        <w:rPr>
          <w:spacing w:val="-1"/>
          <w:sz w:val="18"/>
        </w:rPr>
        <w:t> </w:t>
      </w:r>
      <w:r>
        <w:rPr>
          <w:sz w:val="18"/>
        </w:rPr>
        <w:t>have</w:t>
      </w:r>
      <w:r>
        <w:rPr>
          <w:spacing w:val="-1"/>
          <w:sz w:val="18"/>
        </w:rPr>
        <w:t> </w:t>
      </w:r>
      <w:r>
        <w:rPr>
          <w:sz w:val="18"/>
        </w:rPr>
        <w:t>a</w:t>
      </w:r>
      <w:r>
        <w:rPr>
          <w:spacing w:val="-1"/>
          <w:sz w:val="18"/>
        </w:rPr>
        <w:t> </w:t>
      </w:r>
      <w:r>
        <w:rPr>
          <w:sz w:val="18"/>
        </w:rPr>
        <w:t>negative</w:t>
      </w:r>
      <w:r>
        <w:rPr>
          <w:spacing w:val="-1"/>
          <w:sz w:val="18"/>
        </w:rPr>
        <w:t> </w:t>
      </w:r>
      <w:r>
        <w:rPr>
          <w:sz w:val="18"/>
        </w:rPr>
        <w:t>impact</w:t>
      </w:r>
      <w:r>
        <w:rPr>
          <w:spacing w:val="-1"/>
          <w:sz w:val="18"/>
        </w:rPr>
        <w:t> </w:t>
      </w:r>
      <w:r>
        <w:rPr>
          <w:sz w:val="18"/>
        </w:rPr>
        <w:t>on</w:t>
      </w:r>
      <w:r>
        <w:rPr>
          <w:spacing w:val="-1"/>
          <w:sz w:val="18"/>
        </w:rPr>
        <w:t> </w:t>
      </w:r>
      <w:r>
        <w:rPr>
          <w:spacing w:val="-5"/>
          <w:sz w:val="18"/>
        </w:rPr>
        <w:t>us.</w:t>
      </w:r>
    </w:p>
    <w:p>
      <w:pPr>
        <w:pStyle w:val="ListParagraph"/>
        <w:numPr>
          <w:ilvl w:val="0"/>
          <w:numId w:val="2"/>
        </w:numPr>
        <w:tabs>
          <w:tab w:pos="792" w:val="left" w:leader="none"/>
        </w:tabs>
        <w:spacing w:line="203" w:lineRule="exact" w:before="0" w:after="0"/>
        <w:ind w:left="792" w:right="0" w:hanging="324"/>
        <w:jc w:val="left"/>
        <w:rPr>
          <w:sz w:val="18"/>
        </w:rPr>
      </w:pPr>
      <w:r>
        <w:rPr>
          <w:sz w:val="18"/>
        </w:rPr>
        <w:t>If</w:t>
      </w:r>
      <w:r>
        <w:rPr>
          <w:spacing w:val="-3"/>
          <w:sz w:val="18"/>
        </w:rPr>
        <w:t> </w:t>
      </w:r>
      <w:r>
        <w:rPr>
          <w:sz w:val="18"/>
        </w:rPr>
        <w:t>the</w:t>
      </w:r>
      <w:r>
        <w:rPr>
          <w:spacing w:val="-1"/>
          <w:sz w:val="18"/>
        </w:rPr>
        <w:t> </w:t>
      </w:r>
      <w:r>
        <w:rPr>
          <w:sz w:val="18"/>
        </w:rPr>
        <w:t>jurisdictions</w:t>
      </w:r>
      <w:r>
        <w:rPr>
          <w:spacing w:val="-1"/>
          <w:sz w:val="18"/>
        </w:rPr>
        <w:t> </w:t>
      </w:r>
      <w:r>
        <w:rPr>
          <w:sz w:val="18"/>
        </w:rPr>
        <w:t>in</w:t>
      </w:r>
      <w:r>
        <w:rPr>
          <w:spacing w:val="-1"/>
          <w:sz w:val="18"/>
        </w:rPr>
        <w:t> </w:t>
      </w:r>
      <w:r>
        <w:rPr>
          <w:sz w:val="18"/>
        </w:rPr>
        <w:t>which</w:t>
      </w:r>
      <w:r>
        <w:rPr>
          <w:spacing w:val="-1"/>
          <w:sz w:val="18"/>
        </w:rPr>
        <w:t> </w:t>
      </w:r>
      <w:r>
        <w:rPr>
          <w:sz w:val="18"/>
        </w:rPr>
        <w:t>we</w:t>
      </w:r>
      <w:r>
        <w:rPr>
          <w:spacing w:val="-1"/>
          <w:sz w:val="18"/>
        </w:rPr>
        <w:t> </w:t>
      </w:r>
      <w:r>
        <w:rPr>
          <w:sz w:val="18"/>
        </w:rPr>
        <w:t>operate</w:t>
      </w:r>
      <w:r>
        <w:rPr>
          <w:spacing w:val="-1"/>
          <w:sz w:val="18"/>
        </w:rPr>
        <w:t> </w:t>
      </w:r>
      <w:r>
        <w:rPr>
          <w:sz w:val="18"/>
        </w:rPr>
        <w:t>increase</w:t>
      </w:r>
      <w:r>
        <w:rPr>
          <w:spacing w:val="-1"/>
          <w:sz w:val="18"/>
        </w:rPr>
        <w:t> </w:t>
      </w:r>
      <w:r>
        <w:rPr>
          <w:sz w:val="18"/>
        </w:rPr>
        <w:t>gaming</w:t>
      </w:r>
      <w:r>
        <w:rPr>
          <w:spacing w:val="-1"/>
          <w:sz w:val="18"/>
        </w:rPr>
        <w:t> </w:t>
      </w:r>
      <w:r>
        <w:rPr>
          <w:sz w:val="18"/>
        </w:rPr>
        <w:t>taxes</w:t>
      </w:r>
      <w:r>
        <w:rPr>
          <w:spacing w:val="-1"/>
          <w:sz w:val="18"/>
        </w:rPr>
        <w:t> </w:t>
      </w:r>
      <w:r>
        <w:rPr>
          <w:sz w:val="18"/>
        </w:rPr>
        <w:t>and</w:t>
      </w:r>
      <w:r>
        <w:rPr>
          <w:spacing w:val="-1"/>
          <w:sz w:val="18"/>
        </w:rPr>
        <w:t> </w:t>
      </w:r>
      <w:r>
        <w:rPr>
          <w:sz w:val="18"/>
        </w:rPr>
        <w:t>fees,</w:t>
      </w:r>
      <w:r>
        <w:rPr>
          <w:spacing w:val="-1"/>
          <w:sz w:val="18"/>
        </w:rPr>
        <w:t> </w:t>
      </w:r>
      <w:r>
        <w:rPr>
          <w:sz w:val="18"/>
        </w:rPr>
        <w:t>as</w:t>
      </w:r>
      <w:r>
        <w:rPr>
          <w:spacing w:val="-1"/>
          <w:sz w:val="18"/>
        </w:rPr>
        <w:t> </w:t>
      </w:r>
      <w:r>
        <w:rPr>
          <w:sz w:val="18"/>
        </w:rPr>
        <w:t>well</w:t>
      </w:r>
      <w:r>
        <w:rPr>
          <w:spacing w:val="-1"/>
          <w:sz w:val="18"/>
        </w:rPr>
        <w:t> </w:t>
      </w:r>
      <w:r>
        <w:rPr>
          <w:sz w:val="18"/>
        </w:rPr>
        <w:t>as</w:t>
      </w:r>
      <w:r>
        <w:rPr>
          <w:spacing w:val="-1"/>
          <w:sz w:val="18"/>
        </w:rPr>
        <w:t> </w:t>
      </w:r>
      <w:r>
        <w:rPr>
          <w:sz w:val="18"/>
        </w:rPr>
        <w:t>other</w:t>
      </w:r>
      <w:r>
        <w:rPr>
          <w:spacing w:val="-1"/>
          <w:sz w:val="18"/>
        </w:rPr>
        <w:t> </w:t>
      </w:r>
      <w:r>
        <w:rPr>
          <w:sz w:val="18"/>
        </w:rPr>
        <w:t>taxes</w:t>
      </w:r>
      <w:r>
        <w:rPr>
          <w:spacing w:val="-1"/>
          <w:sz w:val="18"/>
        </w:rPr>
        <w:t> </w:t>
      </w:r>
      <w:r>
        <w:rPr>
          <w:sz w:val="18"/>
        </w:rPr>
        <w:t>and</w:t>
      </w:r>
      <w:r>
        <w:rPr>
          <w:spacing w:val="-1"/>
          <w:sz w:val="18"/>
        </w:rPr>
        <w:t> </w:t>
      </w:r>
      <w:r>
        <w:rPr>
          <w:sz w:val="18"/>
        </w:rPr>
        <w:t>fees,</w:t>
      </w:r>
      <w:r>
        <w:rPr>
          <w:spacing w:val="-1"/>
          <w:sz w:val="18"/>
        </w:rPr>
        <w:t> </w:t>
      </w:r>
      <w:r>
        <w:rPr>
          <w:sz w:val="18"/>
        </w:rPr>
        <w:t>our</w:t>
      </w:r>
      <w:r>
        <w:rPr>
          <w:spacing w:val="-1"/>
          <w:sz w:val="18"/>
        </w:rPr>
        <w:t> </w:t>
      </w:r>
      <w:r>
        <w:rPr>
          <w:sz w:val="18"/>
        </w:rPr>
        <w:t>results</w:t>
      </w:r>
      <w:r>
        <w:rPr>
          <w:spacing w:val="-1"/>
          <w:sz w:val="18"/>
        </w:rPr>
        <w:t> </w:t>
      </w:r>
      <w:r>
        <w:rPr>
          <w:sz w:val="18"/>
        </w:rPr>
        <w:t>could</w:t>
      </w:r>
      <w:r>
        <w:rPr>
          <w:spacing w:val="-1"/>
          <w:sz w:val="18"/>
        </w:rPr>
        <w:t> </w:t>
      </w:r>
      <w:r>
        <w:rPr>
          <w:sz w:val="18"/>
        </w:rPr>
        <w:t>be</w:t>
      </w:r>
      <w:r>
        <w:rPr>
          <w:spacing w:val="-1"/>
          <w:sz w:val="18"/>
        </w:rPr>
        <w:t> </w:t>
      </w:r>
      <w:r>
        <w:rPr>
          <w:sz w:val="18"/>
        </w:rPr>
        <w:t>adversely</w:t>
      </w:r>
      <w:r>
        <w:rPr>
          <w:spacing w:val="-1"/>
          <w:sz w:val="18"/>
        </w:rPr>
        <w:t> </w:t>
      </w:r>
      <w:r>
        <w:rPr>
          <w:spacing w:val="-2"/>
          <w:sz w:val="18"/>
        </w:rPr>
        <w:t>affected.</w:t>
      </w:r>
    </w:p>
    <w:p>
      <w:pPr>
        <w:pStyle w:val="ListParagraph"/>
        <w:numPr>
          <w:ilvl w:val="0"/>
          <w:numId w:val="2"/>
        </w:numPr>
        <w:tabs>
          <w:tab w:pos="792" w:val="left" w:leader="none"/>
        </w:tabs>
        <w:spacing w:line="249" w:lineRule="auto" w:before="0" w:after="0"/>
        <w:ind w:left="792" w:right="118" w:hanging="324"/>
        <w:jc w:val="left"/>
        <w:rPr>
          <w:sz w:val="18"/>
        </w:rPr>
      </w:pPr>
      <w:r>
        <w:rPr>
          <w:sz w:val="18"/>
        </w:rPr>
        <w:t>The</w:t>
      </w:r>
      <w:r>
        <w:rPr>
          <w:spacing w:val="17"/>
          <w:sz w:val="18"/>
        </w:rPr>
        <w:t> </w:t>
      </w:r>
      <w:r>
        <w:rPr>
          <w:sz w:val="18"/>
        </w:rPr>
        <w:t>future</w:t>
      </w:r>
      <w:r>
        <w:rPr>
          <w:spacing w:val="17"/>
          <w:sz w:val="18"/>
        </w:rPr>
        <w:t> </w:t>
      </w:r>
      <w:r>
        <w:rPr>
          <w:sz w:val="18"/>
        </w:rPr>
        <w:t>recognition</w:t>
      </w:r>
      <w:r>
        <w:rPr>
          <w:spacing w:val="17"/>
          <w:sz w:val="18"/>
        </w:rPr>
        <w:t> </w:t>
      </w:r>
      <w:r>
        <w:rPr>
          <w:sz w:val="18"/>
        </w:rPr>
        <w:t>of</w:t>
      </w:r>
      <w:r>
        <w:rPr>
          <w:spacing w:val="17"/>
          <w:sz w:val="18"/>
        </w:rPr>
        <w:t> </w:t>
      </w:r>
      <w:r>
        <w:rPr>
          <w:sz w:val="18"/>
        </w:rPr>
        <w:t>our</w:t>
      </w:r>
      <w:r>
        <w:rPr>
          <w:spacing w:val="17"/>
          <w:sz w:val="18"/>
        </w:rPr>
        <w:t> </w:t>
      </w:r>
      <w:r>
        <w:rPr>
          <w:sz w:val="18"/>
        </w:rPr>
        <w:t>foreign</w:t>
      </w:r>
      <w:r>
        <w:rPr>
          <w:spacing w:val="17"/>
          <w:sz w:val="18"/>
        </w:rPr>
        <w:t> </w:t>
      </w:r>
      <w:r>
        <w:rPr>
          <w:sz w:val="18"/>
        </w:rPr>
        <w:t>tax</w:t>
      </w:r>
      <w:r>
        <w:rPr>
          <w:spacing w:val="17"/>
          <w:sz w:val="18"/>
        </w:rPr>
        <w:t> </w:t>
      </w:r>
      <w:r>
        <w:rPr>
          <w:sz w:val="18"/>
        </w:rPr>
        <w:t>credit</w:t>
      </w:r>
      <w:r>
        <w:rPr>
          <w:spacing w:val="17"/>
          <w:sz w:val="18"/>
        </w:rPr>
        <w:t> </w:t>
      </w:r>
      <w:r>
        <w:rPr>
          <w:sz w:val="18"/>
        </w:rPr>
        <w:t>deferred</w:t>
      </w:r>
      <w:r>
        <w:rPr>
          <w:spacing w:val="17"/>
          <w:sz w:val="18"/>
        </w:rPr>
        <w:t> </w:t>
      </w:r>
      <w:r>
        <w:rPr>
          <w:sz w:val="18"/>
        </w:rPr>
        <w:t>tax</w:t>
      </w:r>
      <w:r>
        <w:rPr>
          <w:spacing w:val="17"/>
          <w:sz w:val="18"/>
        </w:rPr>
        <w:t> </w:t>
      </w:r>
      <w:r>
        <w:rPr>
          <w:sz w:val="18"/>
        </w:rPr>
        <w:t>asset</w:t>
      </w:r>
      <w:r>
        <w:rPr>
          <w:spacing w:val="17"/>
          <w:sz w:val="18"/>
        </w:rPr>
        <w:t> </w:t>
      </w:r>
      <w:r>
        <w:rPr>
          <w:sz w:val="18"/>
        </w:rPr>
        <w:t>is</w:t>
      </w:r>
      <w:r>
        <w:rPr>
          <w:spacing w:val="17"/>
          <w:sz w:val="18"/>
        </w:rPr>
        <w:t> </w:t>
      </w:r>
      <w:r>
        <w:rPr>
          <w:sz w:val="18"/>
        </w:rPr>
        <w:t>uncertain,</w:t>
      </w:r>
      <w:r>
        <w:rPr>
          <w:spacing w:val="17"/>
          <w:sz w:val="18"/>
        </w:rPr>
        <w:t> </w:t>
      </w:r>
      <w:r>
        <w:rPr>
          <w:sz w:val="18"/>
        </w:rPr>
        <w:t>and</w:t>
      </w:r>
      <w:r>
        <w:rPr>
          <w:spacing w:val="17"/>
          <w:sz w:val="18"/>
        </w:rPr>
        <w:t> </w:t>
      </w:r>
      <w:r>
        <w:rPr>
          <w:sz w:val="18"/>
        </w:rPr>
        <w:t>the</w:t>
      </w:r>
      <w:r>
        <w:rPr>
          <w:spacing w:val="17"/>
          <w:sz w:val="18"/>
        </w:rPr>
        <w:t> </w:t>
      </w:r>
      <w:r>
        <w:rPr>
          <w:sz w:val="18"/>
        </w:rPr>
        <w:t>amount</w:t>
      </w:r>
      <w:r>
        <w:rPr>
          <w:spacing w:val="17"/>
          <w:sz w:val="18"/>
        </w:rPr>
        <w:t> </w:t>
      </w:r>
      <w:r>
        <w:rPr>
          <w:sz w:val="18"/>
        </w:rPr>
        <w:t>of</w:t>
      </w:r>
      <w:r>
        <w:rPr>
          <w:spacing w:val="17"/>
          <w:sz w:val="18"/>
        </w:rPr>
        <w:t> </w:t>
      </w:r>
      <w:r>
        <w:rPr>
          <w:sz w:val="18"/>
        </w:rPr>
        <w:t>valuation</w:t>
      </w:r>
      <w:r>
        <w:rPr>
          <w:spacing w:val="17"/>
          <w:sz w:val="18"/>
        </w:rPr>
        <w:t> </w:t>
      </w:r>
      <w:r>
        <w:rPr>
          <w:sz w:val="18"/>
        </w:rPr>
        <w:t>allowance</w:t>
      </w:r>
      <w:r>
        <w:rPr>
          <w:spacing w:val="17"/>
          <w:sz w:val="18"/>
        </w:rPr>
        <w:t> </w:t>
      </w:r>
      <w:r>
        <w:rPr>
          <w:sz w:val="18"/>
        </w:rPr>
        <w:t>we</w:t>
      </w:r>
      <w:r>
        <w:rPr>
          <w:spacing w:val="17"/>
          <w:sz w:val="18"/>
        </w:rPr>
        <w:t> </w:t>
      </w:r>
      <w:r>
        <w:rPr>
          <w:sz w:val="18"/>
        </w:rPr>
        <w:t>may</w:t>
      </w:r>
      <w:r>
        <w:rPr>
          <w:spacing w:val="17"/>
          <w:sz w:val="18"/>
        </w:rPr>
        <w:t> </w:t>
      </w:r>
      <w:r>
        <w:rPr>
          <w:sz w:val="18"/>
        </w:rPr>
        <w:t>apply</w:t>
      </w:r>
      <w:r>
        <w:rPr>
          <w:spacing w:val="17"/>
          <w:sz w:val="18"/>
        </w:rPr>
        <w:t> </w:t>
      </w:r>
      <w:r>
        <w:rPr>
          <w:sz w:val="18"/>
        </w:rPr>
        <w:t>against</w:t>
      </w:r>
      <w:r>
        <w:rPr>
          <w:spacing w:val="17"/>
          <w:sz w:val="18"/>
        </w:rPr>
        <w:t> </w:t>
      </w:r>
      <w:r>
        <w:rPr>
          <w:sz w:val="18"/>
        </w:rPr>
        <w:t>such deferred tax asset may change materially in future periods.</w:t>
      </w:r>
    </w:p>
    <w:p>
      <w:pPr>
        <w:pStyle w:val="ListParagraph"/>
        <w:numPr>
          <w:ilvl w:val="0"/>
          <w:numId w:val="2"/>
        </w:numPr>
        <w:tabs>
          <w:tab w:pos="792" w:val="left" w:leader="none"/>
        </w:tabs>
        <w:spacing w:line="195" w:lineRule="exact" w:before="0" w:after="0"/>
        <w:ind w:left="792" w:right="0" w:hanging="324"/>
        <w:jc w:val="left"/>
        <w:rPr>
          <w:sz w:val="18"/>
        </w:rPr>
      </w:pPr>
      <w:r>
        <w:rPr>
          <w:sz w:val="18"/>
        </w:rPr>
        <w:t>We</w:t>
      </w:r>
      <w:r>
        <w:rPr>
          <w:spacing w:val="-2"/>
          <w:sz w:val="18"/>
        </w:rPr>
        <w:t> </w:t>
      </w:r>
      <w:r>
        <w:rPr>
          <w:sz w:val="18"/>
        </w:rPr>
        <w:t>face</w:t>
      </w:r>
      <w:r>
        <w:rPr>
          <w:spacing w:val="-2"/>
          <w:sz w:val="18"/>
        </w:rPr>
        <w:t> </w:t>
      </w:r>
      <w:r>
        <w:rPr>
          <w:sz w:val="18"/>
        </w:rPr>
        <w:t>risks</w:t>
      </w:r>
      <w:r>
        <w:rPr>
          <w:spacing w:val="-2"/>
          <w:sz w:val="18"/>
        </w:rPr>
        <w:t> </w:t>
      </w:r>
      <w:r>
        <w:rPr>
          <w:sz w:val="18"/>
        </w:rPr>
        <w:t>related</w:t>
      </w:r>
      <w:r>
        <w:rPr>
          <w:spacing w:val="-2"/>
          <w:sz w:val="18"/>
        </w:rPr>
        <w:t> </w:t>
      </w:r>
      <w:r>
        <w:rPr>
          <w:sz w:val="18"/>
        </w:rPr>
        <w:t>to</w:t>
      </w:r>
      <w:r>
        <w:rPr>
          <w:spacing w:val="-2"/>
          <w:sz w:val="18"/>
        </w:rPr>
        <w:t> </w:t>
      </w:r>
      <w:r>
        <w:rPr>
          <w:sz w:val="18"/>
        </w:rPr>
        <w:t>pending</w:t>
      </w:r>
      <w:r>
        <w:rPr>
          <w:spacing w:val="-1"/>
          <w:sz w:val="18"/>
        </w:rPr>
        <w:t> </w:t>
      </w:r>
      <w:r>
        <w:rPr>
          <w:sz w:val="18"/>
        </w:rPr>
        <w:t>claims</w:t>
      </w:r>
      <w:r>
        <w:rPr>
          <w:spacing w:val="-2"/>
          <w:sz w:val="18"/>
        </w:rPr>
        <w:t> </w:t>
      </w:r>
      <w:r>
        <w:rPr>
          <w:sz w:val="18"/>
        </w:rPr>
        <w:t>that</w:t>
      </w:r>
      <w:r>
        <w:rPr>
          <w:spacing w:val="-2"/>
          <w:sz w:val="18"/>
        </w:rPr>
        <w:t> </w:t>
      </w:r>
      <w:r>
        <w:rPr>
          <w:sz w:val="18"/>
        </w:rPr>
        <w:t>have</w:t>
      </w:r>
      <w:r>
        <w:rPr>
          <w:spacing w:val="-2"/>
          <w:sz w:val="18"/>
        </w:rPr>
        <w:t> </w:t>
      </w:r>
      <w:r>
        <w:rPr>
          <w:sz w:val="18"/>
        </w:rPr>
        <w:t>been,</w:t>
      </w:r>
      <w:r>
        <w:rPr>
          <w:spacing w:val="-2"/>
          <w:sz w:val="18"/>
        </w:rPr>
        <w:t> </w:t>
      </w:r>
      <w:r>
        <w:rPr>
          <w:sz w:val="18"/>
        </w:rPr>
        <w:t>or</w:t>
      </w:r>
      <w:r>
        <w:rPr>
          <w:spacing w:val="-2"/>
          <w:sz w:val="18"/>
        </w:rPr>
        <w:t> </w:t>
      </w:r>
      <w:r>
        <w:rPr>
          <w:sz w:val="18"/>
        </w:rPr>
        <w:t>future</w:t>
      </w:r>
      <w:r>
        <w:rPr>
          <w:spacing w:val="-1"/>
          <w:sz w:val="18"/>
        </w:rPr>
        <w:t> </w:t>
      </w:r>
      <w:r>
        <w:rPr>
          <w:sz w:val="18"/>
        </w:rPr>
        <w:t>claims</w:t>
      </w:r>
      <w:r>
        <w:rPr>
          <w:spacing w:val="-2"/>
          <w:sz w:val="18"/>
        </w:rPr>
        <w:t> </w:t>
      </w:r>
      <w:r>
        <w:rPr>
          <w:sz w:val="18"/>
        </w:rPr>
        <w:t>that</w:t>
      </w:r>
      <w:r>
        <w:rPr>
          <w:spacing w:val="-2"/>
          <w:sz w:val="18"/>
        </w:rPr>
        <w:t> </w:t>
      </w:r>
      <w:r>
        <w:rPr>
          <w:sz w:val="18"/>
        </w:rPr>
        <w:t>may</w:t>
      </w:r>
      <w:r>
        <w:rPr>
          <w:spacing w:val="-2"/>
          <w:sz w:val="18"/>
        </w:rPr>
        <w:t> </w:t>
      </w:r>
      <w:r>
        <w:rPr>
          <w:sz w:val="18"/>
        </w:rPr>
        <w:t>be,</w:t>
      </w:r>
      <w:r>
        <w:rPr>
          <w:spacing w:val="-2"/>
          <w:sz w:val="18"/>
        </w:rPr>
        <w:t> </w:t>
      </w:r>
      <w:r>
        <w:rPr>
          <w:sz w:val="18"/>
        </w:rPr>
        <w:t>brought</w:t>
      </w:r>
      <w:r>
        <w:rPr>
          <w:spacing w:val="-2"/>
          <w:sz w:val="18"/>
        </w:rPr>
        <w:t> </w:t>
      </w:r>
      <w:r>
        <w:rPr>
          <w:sz w:val="18"/>
        </w:rPr>
        <w:t>against</w:t>
      </w:r>
      <w:r>
        <w:rPr>
          <w:spacing w:val="-1"/>
          <w:sz w:val="18"/>
        </w:rPr>
        <w:t> </w:t>
      </w:r>
      <w:r>
        <w:rPr>
          <w:spacing w:val="-5"/>
          <w:sz w:val="18"/>
        </w:rPr>
        <w:t>us.</w:t>
      </w:r>
    </w:p>
    <w:p>
      <w:pPr>
        <w:pStyle w:val="BodyText"/>
        <w:spacing w:before="2"/>
      </w:pPr>
    </w:p>
    <w:p>
      <w:pPr>
        <w:pStyle w:val="Heading6"/>
        <w:ind w:left="511"/>
        <w:jc w:val="left"/>
      </w:pPr>
      <w:r>
        <w:rPr/>
        <w:t>Risks</w:t>
      </w:r>
      <w:r>
        <w:rPr>
          <w:spacing w:val="-1"/>
        </w:rPr>
        <w:t> </w:t>
      </w:r>
      <w:r>
        <w:rPr/>
        <w:t>Related</w:t>
      </w:r>
      <w:r>
        <w:rPr>
          <w:spacing w:val="-1"/>
        </w:rPr>
        <w:t> </w:t>
      </w:r>
      <w:r>
        <w:rPr/>
        <w:t>to</w:t>
      </w:r>
      <w:r>
        <w:rPr>
          <w:spacing w:val="-1"/>
        </w:rPr>
        <w:t> </w:t>
      </w:r>
      <w:r>
        <w:rPr/>
        <w:t>Our</w:t>
      </w:r>
      <w:r>
        <w:rPr>
          <w:spacing w:val="-1"/>
        </w:rPr>
        <w:t> </w:t>
      </w:r>
      <w:r>
        <w:rPr/>
        <w:t>Macau</w:t>
      </w:r>
      <w:r>
        <w:rPr>
          <w:spacing w:val="-1"/>
        </w:rPr>
        <w:t> </w:t>
      </w:r>
      <w:r>
        <w:rPr>
          <w:spacing w:val="-2"/>
        </w:rPr>
        <w:t>Operations</w:t>
      </w:r>
    </w:p>
    <w:p>
      <w:pPr>
        <w:pStyle w:val="BodyText"/>
        <w:spacing w:before="21"/>
        <w:rPr>
          <w:b/>
          <w:i/>
        </w:rPr>
      </w:pPr>
    </w:p>
    <w:p>
      <w:pPr>
        <w:pStyle w:val="ListParagraph"/>
        <w:numPr>
          <w:ilvl w:val="0"/>
          <w:numId w:val="2"/>
        </w:numPr>
        <w:tabs>
          <w:tab w:pos="792" w:val="left" w:leader="none"/>
        </w:tabs>
        <w:spacing w:line="235" w:lineRule="auto" w:before="1" w:after="0"/>
        <w:ind w:left="792" w:right="118" w:hanging="324"/>
        <w:jc w:val="left"/>
        <w:rPr>
          <w:sz w:val="18"/>
        </w:rPr>
      </w:pPr>
      <w:r>
        <w:rPr>
          <w:sz w:val="18"/>
        </w:rPr>
        <w:t>The global COVID-19 pandemic has continued to materially impact MGM China’s business, financial results and liquidity, and such impact </w:t>
      </w:r>
      <w:r>
        <w:rPr>
          <w:sz w:val="18"/>
        </w:rPr>
        <w:t>could</w:t>
      </w:r>
      <w:r>
        <w:rPr>
          <w:spacing w:val="80"/>
          <w:w w:val="150"/>
          <w:sz w:val="18"/>
        </w:rPr>
        <w:t> </w:t>
      </w:r>
      <w:r>
        <w:rPr>
          <w:sz w:val="18"/>
        </w:rPr>
        <w:t>worsen and last for an unknown period of time.</w:t>
      </w:r>
    </w:p>
    <w:p>
      <w:pPr>
        <w:pStyle w:val="ListParagraph"/>
        <w:numPr>
          <w:ilvl w:val="0"/>
          <w:numId w:val="2"/>
        </w:numPr>
        <w:tabs>
          <w:tab w:pos="792" w:val="left" w:leader="none"/>
        </w:tabs>
        <w:spacing w:line="249" w:lineRule="auto" w:before="0" w:after="0"/>
        <w:ind w:left="792" w:right="118" w:hanging="324"/>
        <w:jc w:val="left"/>
        <w:rPr>
          <w:sz w:val="18"/>
        </w:rPr>
      </w:pPr>
      <w:r>
        <w:rPr>
          <w:sz w:val="18"/>
        </w:rPr>
        <w:t>We have agreed not to have any interest or involvement in gaming businesses in China, Macau, Hong Kong and Taiwan, other than through </w:t>
      </w:r>
      <w:r>
        <w:rPr>
          <w:sz w:val="18"/>
        </w:rPr>
        <w:t>MGM</w:t>
      </w:r>
      <w:r>
        <w:rPr>
          <w:spacing w:val="80"/>
          <w:sz w:val="18"/>
        </w:rPr>
        <w:t> </w:t>
      </w:r>
      <w:r>
        <w:rPr>
          <w:spacing w:val="-2"/>
          <w:sz w:val="18"/>
        </w:rPr>
        <w:t>China.</w:t>
      </w:r>
    </w:p>
    <w:p>
      <w:pPr>
        <w:pStyle w:val="ListParagraph"/>
        <w:numPr>
          <w:ilvl w:val="0"/>
          <w:numId w:val="2"/>
        </w:numPr>
        <w:tabs>
          <w:tab w:pos="792" w:val="left" w:leader="none"/>
        </w:tabs>
        <w:spacing w:line="235" w:lineRule="auto" w:before="0" w:after="0"/>
        <w:ind w:left="792" w:right="118" w:hanging="324"/>
        <w:jc w:val="left"/>
        <w:rPr>
          <w:rFonts w:ascii="Arial" w:hAnsi="Arial"/>
          <w:sz w:val="18"/>
        </w:rPr>
      </w:pPr>
      <w:r>
        <w:rPr>
          <w:sz w:val="18"/>
        </w:rPr>
        <w:t>The</w:t>
      </w:r>
      <w:r>
        <w:rPr>
          <w:spacing w:val="36"/>
          <w:sz w:val="18"/>
        </w:rPr>
        <w:t> </w:t>
      </w:r>
      <w:r>
        <w:rPr>
          <w:sz w:val="18"/>
        </w:rPr>
        <w:t>Macau</w:t>
      </w:r>
      <w:r>
        <w:rPr>
          <w:spacing w:val="36"/>
          <w:sz w:val="18"/>
        </w:rPr>
        <w:t> </w:t>
      </w:r>
      <w:r>
        <w:rPr>
          <w:sz w:val="18"/>
        </w:rPr>
        <w:t>government</w:t>
      </w:r>
      <w:r>
        <w:rPr>
          <w:spacing w:val="36"/>
          <w:sz w:val="18"/>
        </w:rPr>
        <w:t> </w:t>
      </w:r>
      <w:r>
        <w:rPr>
          <w:sz w:val="18"/>
        </w:rPr>
        <w:t>can</w:t>
      </w:r>
      <w:r>
        <w:rPr>
          <w:spacing w:val="36"/>
          <w:sz w:val="18"/>
        </w:rPr>
        <w:t> </w:t>
      </w:r>
      <w:r>
        <w:rPr>
          <w:sz w:val="18"/>
        </w:rPr>
        <w:t>(i)</w:t>
      </w:r>
      <w:r>
        <w:rPr>
          <w:spacing w:val="36"/>
          <w:sz w:val="18"/>
        </w:rPr>
        <w:t> </w:t>
      </w:r>
      <w:r>
        <w:rPr>
          <w:sz w:val="18"/>
        </w:rPr>
        <w:t>terminate</w:t>
      </w:r>
      <w:r>
        <w:rPr>
          <w:spacing w:val="36"/>
          <w:sz w:val="18"/>
        </w:rPr>
        <w:t> </w:t>
      </w:r>
      <w:r>
        <w:rPr>
          <w:sz w:val="18"/>
        </w:rPr>
        <w:t>MGM</w:t>
      </w:r>
      <w:r>
        <w:rPr>
          <w:spacing w:val="36"/>
          <w:sz w:val="18"/>
        </w:rPr>
        <w:t> </w:t>
      </w:r>
      <w:r>
        <w:rPr>
          <w:sz w:val="18"/>
        </w:rPr>
        <w:t>Grand</w:t>
      </w:r>
      <w:r>
        <w:rPr>
          <w:spacing w:val="36"/>
          <w:sz w:val="18"/>
        </w:rPr>
        <w:t> </w:t>
      </w:r>
      <w:r>
        <w:rPr>
          <w:sz w:val="18"/>
        </w:rPr>
        <w:t>Paradise’s</w:t>
      </w:r>
      <w:r>
        <w:rPr>
          <w:spacing w:val="36"/>
          <w:sz w:val="18"/>
        </w:rPr>
        <w:t> </w:t>
      </w:r>
      <w:r>
        <w:rPr>
          <w:sz w:val="18"/>
        </w:rPr>
        <w:t>concession</w:t>
      </w:r>
      <w:r>
        <w:rPr>
          <w:spacing w:val="36"/>
          <w:sz w:val="18"/>
        </w:rPr>
        <w:t> </w:t>
      </w:r>
      <w:r>
        <w:rPr>
          <w:sz w:val="18"/>
        </w:rPr>
        <w:t>under</w:t>
      </w:r>
      <w:r>
        <w:rPr>
          <w:spacing w:val="36"/>
          <w:sz w:val="18"/>
        </w:rPr>
        <w:t> </w:t>
      </w:r>
      <w:r>
        <w:rPr>
          <w:sz w:val="18"/>
        </w:rPr>
        <w:t>certain</w:t>
      </w:r>
      <w:r>
        <w:rPr>
          <w:spacing w:val="36"/>
          <w:sz w:val="18"/>
        </w:rPr>
        <w:t> </w:t>
      </w:r>
      <w:r>
        <w:rPr>
          <w:sz w:val="18"/>
        </w:rPr>
        <w:t>circumstances</w:t>
      </w:r>
      <w:r>
        <w:rPr>
          <w:spacing w:val="36"/>
          <w:sz w:val="18"/>
        </w:rPr>
        <w:t> </w:t>
      </w:r>
      <w:r>
        <w:rPr>
          <w:sz w:val="18"/>
        </w:rPr>
        <w:t>without</w:t>
      </w:r>
      <w:r>
        <w:rPr>
          <w:spacing w:val="36"/>
          <w:sz w:val="18"/>
        </w:rPr>
        <w:t> </w:t>
      </w:r>
      <w:r>
        <w:rPr>
          <w:sz w:val="18"/>
        </w:rPr>
        <w:t>compensating</w:t>
      </w:r>
      <w:r>
        <w:rPr>
          <w:spacing w:val="36"/>
          <w:sz w:val="18"/>
        </w:rPr>
        <w:t> </w:t>
      </w:r>
      <w:r>
        <w:rPr>
          <w:sz w:val="18"/>
        </w:rPr>
        <w:t>MGM</w:t>
      </w:r>
      <w:r>
        <w:rPr>
          <w:spacing w:val="36"/>
          <w:sz w:val="18"/>
        </w:rPr>
        <w:t> </w:t>
      </w:r>
      <w:r>
        <w:rPr>
          <w:sz w:val="18"/>
        </w:rPr>
        <w:t>Grand Paradise,</w:t>
      </w:r>
      <w:r>
        <w:rPr>
          <w:spacing w:val="19"/>
          <w:sz w:val="18"/>
        </w:rPr>
        <w:t> </w:t>
      </w:r>
      <w:r>
        <w:rPr>
          <w:sz w:val="18"/>
        </w:rPr>
        <w:t>(ii)</w:t>
      </w:r>
      <w:r>
        <w:rPr>
          <w:spacing w:val="19"/>
          <w:sz w:val="18"/>
        </w:rPr>
        <w:t> </w:t>
      </w:r>
      <w:r>
        <w:rPr>
          <w:sz w:val="18"/>
        </w:rPr>
        <w:t>from</w:t>
      </w:r>
      <w:r>
        <w:rPr>
          <w:spacing w:val="19"/>
          <w:sz w:val="18"/>
        </w:rPr>
        <w:t> </w:t>
      </w:r>
      <w:r>
        <w:rPr>
          <w:sz w:val="18"/>
        </w:rPr>
        <w:t>the</w:t>
      </w:r>
      <w:r>
        <w:rPr>
          <w:spacing w:val="19"/>
          <w:sz w:val="18"/>
        </w:rPr>
        <w:t> </w:t>
      </w:r>
      <w:r>
        <w:rPr>
          <w:sz w:val="18"/>
        </w:rPr>
        <w:t>eighth</w:t>
      </w:r>
      <w:r>
        <w:rPr>
          <w:spacing w:val="19"/>
          <w:sz w:val="18"/>
        </w:rPr>
        <w:t> </w:t>
      </w:r>
      <w:r>
        <w:rPr>
          <w:sz w:val="18"/>
        </w:rPr>
        <w:t>year</w:t>
      </w:r>
      <w:r>
        <w:rPr>
          <w:spacing w:val="19"/>
          <w:sz w:val="18"/>
        </w:rPr>
        <w:t> </w:t>
      </w:r>
      <w:r>
        <w:rPr>
          <w:sz w:val="18"/>
        </w:rPr>
        <w:t>of</w:t>
      </w:r>
      <w:r>
        <w:rPr>
          <w:spacing w:val="19"/>
          <w:sz w:val="18"/>
        </w:rPr>
        <w:t> </w:t>
      </w:r>
      <w:r>
        <w:rPr>
          <w:sz w:val="18"/>
        </w:rPr>
        <w:t>MGM</w:t>
      </w:r>
      <w:r>
        <w:rPr>
          <w:spacing w:val="19"/>
          <w:sz w:val="18"/>
        </w:rPr>
        <w:t> </w:t>
      </w:r>
      <w:r>
        <w:rPr>
          <w:sz w:val="18"/>
        </w:rPr>
        <w:t>Grand</w:t>
      </w:r>
      <w:r>
        <w:rPr>
          <w:spacing w:val="19"/>
          <w:sz w:val="18"/>
        </w:rPr>
        <w:t> </w:t>
      </w:r>
      <w:r>
        <w:rPr>
          <w:sz w:val="18"/>
        </w:rPr>
        <w:t>Paradise’s</w:t>
      </w:r>
      <w:r>
        <w:rPr>
          <w:spacing w:val="19"/>
          <w:sz w:val="18"/>
        </w:rPr>
        <w:t> </w:t>
      </w:r>
      <w:r>
        <w:rPr>
          <w:sz w:val="18"/>
        </w:rPr>
        <w:t>concession,</w:t>
      </w:r>
      <w:r>
        <w:rPr>
          <w:spacing w:val="19"/>
          <w:sz w:val="18"/>
        </w:rPr>
        <w:t> </w:t>
      </w:r>
      <w:r>
        <w:rPr>
          <w:sz w:val="18"/>
        </w:rPr>
        <w:t>redeem</w:t>
      </w:r>
      <w:r>
        <w:rPr>
          <w:spacing w:val="19"/>
          <w:sz w:val="18"/>
        </w:rPr>
        <w:t> </w:t>
      </w:r>
      <w:r>
        <w:rPr>
          <w:sz w:val="18"/>
        </w:rPr>
        <w:t>the</w:t>
      </w:r>
      <w:r>
        <w:rPr>
          <w:spacing w:val="19"/>
          <w:sz w:val="18"/>
        </w:rPr>
        <w:t> </w:t>
      </w:r>
      <w:r>
        <w:rPr>
          <w:sz w:val="18"/>
        </w:rPr>
        <w:t>concession</w:t>
      </w:r>
      <w:r>
        <w:rPr>
          <w:spacing w:val="19"/>
          <w:sz w:val="18"/>
        </w:rPr>
        <w:t> </w:t>
      </w:r>
      <w:r>
        <w:rPr>
          <w:sz w:val="18"/>
        </w:rPr>
        <w:t>by</w:t>
      </w:r>
      <w:r>
        <w:rPr>
          <w:spacing w:val="19"/>
          <w:sz w:val="18"/>
        </w:rPr>
        <w:t> </w:t>
      </w:r>
      <w:r>
        <w:rPr>
          <w:sz w:val="18"/>
        </w:rPr>
        <w:t>providing</w:t>
      </w:r>
      <w:r>
        <w:rPr>
          <w:spacing w:val="19"/>
          <w:sz w:val="18"/>
        </w:rPr>
        <w:t> </w:t>
      </w:r>
      <w:r>
        <w:rPr>
          <w:sz w:val="18"/>
        </w:rPr>
        <w:t>MGM</w:t>
      </w:r>
      <w:r>
        <w:rPr>
          <w:spacing w:val="19"/>
          <w:sz w:val="18"/>
        </w:rPr>
        <w:t> </w:t>
      </w:r>
      <w:r>
        <w:rPr>
          <w:sz w:val="18"/>
        </w:rPr>
        <w:t>Grand</w:t>
      </w:r>
      <w:r>
        <w:rPr>
          <w:spacing w:val="19"/>
          <w:sz w:val="18"/>
        </w:rPr>
        <w:t> </w:t>
      </w:r>
      <w:r>
        <w:rPr>
          <w:sz w:val="18"/>
        </w:rPr>
        <w:t>Paradise</w:t>
      </w:r>
      <w:r>
        <w:rPr>
          <w:spacing w:val="19"/>
          <w:sz w:val="18"/>
        </w:rPr>
        <w:t> </w:t>
      </w:r>
      <w:r>
        <w:rPr>
          <w:sz w:val="18"/>
        </w:rPr>
        <w:t>at</w:t>
      </w:r>
      <w:r>
        <w:rPr>
          <w:spacing w:val="19"/>
          <w:sz w:val="18"/>
        </w:rPr>
        <w:t> </w:t>
      </w:r>
      <w:r>
        <w:rPr>
          <w:sz w:val="18"/>
        </w:rPr>
        <w:t>least</w:t>
      </w:r>
      <w:r>
        <w:rPr>
          <w:spacing w:val="19"/>
          <w:sz w:val="18"/>
        </w:rPr>
        <w:t> </w:t>
      </w:r>
      <w:r>
        <w:rPr>
          <w:sz w:val="18"/>
        </w:rPr>
        <w:t>one</w:t>
      </w:r>
    </w:p>
    <w:p>
      <w:pPr>
        <w:pStyle w:val="BodyText"/>
        <w:spacing w:line="235" w:lineRule="auto"/>
        <w:ind w:left="792"/>
      </w:pPr>
      <w:r>
        <w:rPr/>
        <w:t>year’s</w:t>
      </w:r>
      <w:r>
        <w:rPr>
          <w:spacing w:val="12"/>
        </w:rPr>
        <w:t> </w:t>
      </w:r>
      <w:r>
        <w:rPr/>
        <w:t>prior</w:t>
      </w:r>
      <w:r>
        <w:rPr>
          <w:spacing w:val="12"/>
        </w:rPr>
        <w:t> </w:t>
      </w:r>
      <w:r>
        <w:rPr/>
        <w:t>notice</w:t>
      </w:r>
      <w:r>
        <w:rPr>
          <w:spacing w:val="12"/>
        </w:rPr>
        <w:t> </w:t>
      </w:r>
      <w:r>
        <w:rPr/>
        <w:t>and</w:t>
      </w:r>
      <w:r>
        <w:rPr>
          <w:spacing w:val="12"/>
        </w:rPr>
        <w:t> </w:t>
      </w:r>
      <w:r>
        <w:rPr/>
        <w:t>subject</w:t>
      </w:r>
      <w:r>
        <w:rPr>
          <w:spacing w:val="12"/>
        </w:rPr>
        <w:t> </w:t>
      </w:r>
      <w:r>
        <w:rPr/>
        <w:t>to</w:t>
      </w:r>
      <w:r>
        <w:rPr>
          <w:spacing w:val="12"/>
        </w:rPr>
        <w:t> </w:t>
      </w:r>
      <w:r>
        <w:rPr/>
        <w:t>the</w:t>
      </w:r>
      <w:r>
        <w:rPr>
          <w:spacing w:val="12"/>
        </w:rPr>
        <w:t> </w:t>
      </w:r>
      <w:r>
        <w:rPr/>
        <w:t>payment</w:t>
      </w:r>
      <w:r>
        <w:rPr>
          <w:spacing w:val="12"/>
        </w:rPr>
        <w:t> </w:t>
      </w:r>
      <w:r>
        <w:rPr/>
        <w:t>of</w:t>
      </w:r>
      <w:r>
        <w:rPr>
          <w:spacing w:val="12"/>
        </w:rPr>
        <w:t> </w:t>
      </w:r>
      <w:r>
        <w:rPr/>
        <w:t>reasonable</w:t>
      </w:r>
      <w:r>
        <w:rPr>
          <w:spacing w:val="12"/>
        </w:rPr>
        <w:t> </w:t>
      </w:r>
      <w:r>
        <w:rPr/>
        <w:t>and</w:t>
      </w:r>
      <w:r>
        <w:rPr>
          <w:spacing w:val="12"/>
        </w:rPr>
        <w:t> </w:t>
      </w:r>
      <w:r>
        <w:rPr/>
        <w:t>fair</w:t>
      </w:r>
      <w:r>
        <w:rPr>
          <w:spacing w:val="12"/>
        </w:rPr>
        <w:t> </w:t>
      </w:r>
      <w:r>
        <w:rPr/>
        <w:t>damages</w:t>
      </w:r>
      <w:r>
        <w:rPr>
          <w:spacing w:val="12"/>
        </w:rPr>
        <w:t> </w:t>
      </w:r>
      <w:r>
        <w:rPr/>
        <w:t>or</w:t>
      </w:r>
      <w:r>
        <w:rPr>
          <w:spacing w:val="12"/>
        </w:rPr>
        <w:t> </w:t>
      </w:r>
      <w:r>
        <w:rPr/>
        <w:t>indemnity</w:t>
      </w:r>
      <w:r>
        <w:rPr>
          <w:spacing w:val="12"/>
        </w:rPr>
        <w:t> </w:t>
      </w:r>
      <w:r>
        <w:rPr/>
        <w:t>to</w:t>
      </w:r>
      <w:r>
        <w:rPr>
          <w:spacing w:val="12"/>
        </w:rPr>
        <w:t> </w:t>
      </w:r>
      <w:r>
        <w:rPr/>
        <w:t>MGM</w:t>
      </w:r>
      <w:r>
        <w:rPr>
          <w:spacing w:val="12"/>
        </w:rPr>
        <w:t> </w:t>
      </w:r>
      <w:r>
        <w:rPr/>
        <w:t>Grand</w:t>
      </w:r>
      <w:r>
        <w:rPr>
          <w:spacing w:val="12"/>
        </w:rPr>
        <w:t> </w:t>
      </w:r>
      <w:r>
        <w:rPr/>
        <w:t>Paradise</w:t>
      </w:r>
      <w:r>
        <w:rPr>
          <w:rFonts w:ascii="Arial" w:hAnsi="Arial"/>
        </w:rPr>
        <w:t>,</w:t>
      </w:r>
      <w:r>
        <w:rPr>
          <w:rFonts w:ascii="Arial" w:hAnsi="Arial"/>
          <w:spacing w:val="12"/>
        </w:rPr>
        <w:t> </w:t>
      </w:r>
      <w:r>
        <w:rPr/>
        <w:t>or</w:t>
      </w:r>
      <w:r>
        <w:rPr>
          <w:spacing w:val="12"/>
        </w:rPr>
        <w:t> </w:t>
      </w:r>
      <w:r>
        <w:rPr/>
        <w:t>(iii)</w:t>
      </w:r>
      <w:r>
        <w:rPr>
          <w:spacing w:val="12"/>
        </w:rPr>
        <w:t> </w:t>
      </w:r>
      <w:r>
        <w:rPr/>
        <w:t>refuse</w:t>
      </w:r>
      <w:r>
        <w:rPr>
          <w:spacing w:val="12"/>
        </w:rPr>
        <w:t> </w:t>
      </w:r>
      <w:r>
        <w:rPr/>
        <w:t>to</w:t>
      </w:r>
      <w:r>
        <w:rPr>
          <w:spacing w:val="12"/>
        </w:rPr>
        <w:t> </w:t>
      </w:r>
      <w:r>
        <w:rPr/>
        <w:t>grant</w:t>
      </w:r>
      <w:r>
        <w:rPr>
          <w:spacing w:val="12"/>
        </w:rPr>
        <w:t> </w:t>
      </w:r>
      <w:r>
        <w:rPr/>
        <w:t>MGM Grand Paradise an extension of the concession in 2032.</w:t>
      </w:r>
    </w:p>
    <w:p>
      <w:pPr>
        <w:pStyle w:val="ListParagraph"/>
        <w:numPr>
          <w:ilvl w:val="0"/>
          <w:numId w:val="2"/>
        </w:numPr>
        <w:tabs>
          <w:tab w:pos="792" w:val="left" w:leader="none"/>
        </w:tabs>
        <w:spacing w:line="203" w:lineRule="exact" w:before="0" w:after="0"/>
        <w:ind w:left="792" w:right="0" w:hanging="324"/>
        <w:jc w:val="left"/>
        <w:rPr>
          <w:sz w:val="18"/>
        </w:rPr>
      </w:pPr>
      <w:r>
        <w:rPr>
          <w:sz w:val="18"/>
        </w:rPr>
        <w:t>We</w:t>
      </w:r>
      <w:r>
        <w:rPr>
          <w:spacing w:val="-5"/>
          <w:sz w:val="18"/>
        </w:rPr>
        <w:t> </w:t>
      </w:r>
      <w:r>
        <w:rPr>
          <w:sz w:val="18"/>
        </w:rPr>
        <w:t>are</w:t>
      </w:r>
      <w:r>
        <w:rPr>
          <w:spacing w:val="-2"/>
          <w:sz w:val="18"/>
        </w:rPr>
        <w:t> </w:t>
      </w:r>
      <w:r>
        <w:rPr>
          <w:sz w:val="18"/>
        </w:rPr>
        <w:t>subject</w:t>
      </w:r>
      <w:r>
        <w:rPr>
          <w:spacing w:val="-2"/>
          <w:sz w:val="18"/>
        </w:rPr>
        <w:t> </w:t>
      </w:r>
      <w:r>
        <w:rPr>
          <w:sz w:val="18"/>
        </w:rPr>
        <w:t>to</w:t>
      </w:r>
      <w:r>
        <w:rPr>
          <w:spacing w:val="-2"/>
          <w:sz w:val="18"/>
        </w:rPr>
        <w:t> </w:t>
      </w:r>
      <w:r>
        <w:rPr>
          <w:sz w:val="18"/>
        </w:rPr>
        <w:t>risks</w:t>
      </w:r>
      <w:r>
        <w:rPr>
          <w:spacing w:val="-2"/>
          <w:sz w:val="18"/>
        </w:rPr>
        <w:t> </w:t>
      </w:r>
      <w:r>
        <w:rPr>
          <w:sz w:val="18"/>
        </w:rPr>
        <w:t>associated</w:t>
      </w:r>
      <w:r>
        <w:rPr>
          <w:spacing w:val="-2"/>
          <w:sz w:val="18"/>
        </w:rPr>
        <w:t> </w:t>
      </w:r>
      <w:r>
        <w:rPr>
          <w:sz w:val="18"/>
        </w:rPr>
        <w:t>with</w:t>
      </w:r>
      <w:r>
        <w:rPr>
          <w:spacing w:val="-3"/>
          <w:sz w:val="18"/>
        </w:rPr>
        <w:t> </w:t>
      </w:r>
      <w:r>
        <w:rPr>
          <w:sz w:val="18"/>
        </w:rPr>
        <w:t>doing</w:t>
      </w:r>
      <w:r>
        <w:rPr>
          <w:spacing w:val="-2"/>
          <w:sz w:val="18"/>
        </w:rPr>
        <w:t> </w:t>
      </w:r>
      <w:r>
        <w:rPr>
          <w:sz w:val="18"/>
        </w:rPr>
        <w:t>business</w:t>
      </w:r>
      <w:r>
        <w:rPr>
          <w:spacing w:val="-2"/>
          <w:sz w:val="18"/>
        </w:rPr>
        <w:t> </w:t>
      </w:r>
      <w:r>
        <w:rPr>
          <w:sz w:val="18"/>
        </w:rPr>
        <w:t>outside</w:t>
      </w:r>
      <w:r>
        <w:rPr>
          <w:spacing w:val="-2"/>
          <w:sz w:val="18"/>
        </w:rPr>
        <w:t> </w:t>
      </w:r>
      <w:r>
        <w:rPr>
          <w:sz w:val="18"/>
        </w:rPr>
        <w:t>of</w:t>
      </w:r>
      <w:r>
        <w:rPr>
          <w:spacing w:val="-2"/>
          <w:sz w:val="18"/>
        </w:rPr>
        <w:t> </w:t>
      </w:r>
      <w:r>
        <w:rPr>
          <w:sz w:val="18"/>
        </w:rPr>
        <w:t>the</w:t>
      </w:r>
      <w:r>
        <w:rPr>
          <w:spacing w:val="-2"/>
          <w:sz w:val="18"/>
        </w:rPr>
        <w:t> </w:t>
      </w:r>
      <w:r>
        <w:rPr>
          <w:sz w:val="18"/>
        </w:rPr>
        <w:t>United</w:t>
      </w:r>
      <w:r>
        <w:rPr>
          <w:spacing w:val="-2"/>
          <w:sz w:val="18"/>
        </w:rPr>
        <w:t> States.</w:t>
      </w:r>
    </w:p>
    <w:p>
      <w:pPr>
        <w:pStyle w:val="ListParagraph"/>
        <w:numPr>
          <w:ilvl w:val="0"/>
          <w:numId w:val="2"/>
        </w:numPr>
        <w:tabs>
          <w:tab w:pos="792" w:val="left" w:leader="none"/>
        </w:tabs>
        <w:spacing w:line="235" w:lineRule="auto" w:before="10" w:after="0"/>
        <w:ind w:left="792" w:right="118" w:hanging="324"/>
        <w:jc w:val="left"/>
        <w:rPr>
          <w:sz w:val="18"/>
        </w:rPr>
      </w:pPr>
      <w:r>
        <w:rPr>
          <w:sz w:val="18"/>
        </w:rPr>
        <w:t>Conflicts of interest may arise because certain of our directors and officers are also directors of MGM China, the holding company for MGM Grand Paradise which owns and operates MGM Macau and MGM Cotai.</w:t>
      </w:r>
    </w:p>
    <w:p>
      <w:pPr>
        <w:pStyle w:val="BodyText"/>
        <w:spacing w:before="5"/>
      </w:pPr>
    </w:p>
    <w:p>
      <w:pPr>
        <w:pStyle w:val="BodyText"/>
        <w:ind w:left="644"/>
      </w:pPr>
      <w:r>
        <w:rPr/>
        <w:t>For</w:t>
      </w:r>
      <w:r>
        <w:rPr>
          <w:spacing w:val="-1"/>
        </w:rPr>
        <w:t> </w:t>
      </w:r>
      <w:r>
        <w:rPr/>
        <w:t>a</w:t>
      </w:r>
      <w:r>
        <w:rPr>
          <w:spacing w:val="-1"/>
        </w:rPr>
        <w:t> </w:t>
      </w:r>
      <w:r>
        <w:rPr/>
        <w:t>more</w:t>
      </w:r>
      <w:r>
        <w:rPr>
          <w:spacing w:val="-1"/>
        </w:rPr>
        <w:t> </w:t>
      </w:r>
      <w:r>
        <w:rPr/>
        <w:t>complete</w:t>
      </w:r>
      <w:r>
        <w:rPr>
          <w:spacing w:val="-1"/>
        </w:rPr>
        <w:t> </w:t>
      </w:r>
      <w:r>
        <w:rPr/>
        <w:t>discussion</w:t>
      </w:r>
      <w:r>
        <w:rPr>
          <w:spacing w:val="-1"/>
        </w:rPr>
        <w:t> </w:t>
      </w:r>
      <w:r>
        <w:rPr/>
        <w:t>of</w:t>
      </w:r>
      <w:r>
        <w:rPr>
          <w:spacing w:val="-1"/>
        </w:rPr>
        <w:t> </w:t>
      </w:r>
      <w:r>
        <w:rPr/>
        <w:t>the</w:t>
      </w:r>
      <w:r>
        <w:rPr>
          <w:spacing w:val="-1"/>
        </w:rPr>
        <w:t> </w:t>
      </w:r>
      <w:r>
        <w:rPr/>
        <w:t>material</w:t>
      </w:r>
      <w:r>
        <w:rPr>
          <w:spacing w:val="-1"/>
        </w:rPr>
        <w:t> </w:t>
      </w:r>
      <w:r>
        <w:rPr/>
        <w:t>risks</w:t>
      </w:r>
      <w:r>
        <w:rPr>
          <w:spacing w:val="-1"/>
        </w:rPr>
        <w:t> </w:t>
      </w:r>
      <w:r>
        <w:rPr/>
        <w:t>facing</w:t>
      </w:r>
      <w:r>
        <w:rPr>
          <w:spacing w:val="-1"/>
        </w:rPr>
        <w:t> </w:t>
      </w:r>
      <w:r>
        <w:rPr/>
        <w:t>our</w:t>
      </w:r>
      <w:r>
        <w:rPr>
          <w:spacing w:val="-1"/>
        </w:rPr>
        <w:t> </w:t>
      </w:r>
      <w:r>
        <w:rPr/>
        <w:t>business,</w:t>
      </w:r>
      <w:r>
        <w:rPr>
          <w:spacing w:val="-1"/>
        </w:rPr>
        <w:t> </w:t>
      </w:r>
      <w:r>
        <w:rPr/>
        <w:t>please</w:t>
      </w:r>
      <w:r>
        <w:rPr>
          <w:spacing w:val="-1"/>
        </w:rPr>
        <w:t> </w:t>
      </w:r>
      <w:r>
        <w:rPr/>
        <w:t>see</w:t>
      </w:r>
      <w:r>
        <w:rPr>
          <w:spacing w:val="-1"/>
        </w:rPr>
        <w:t> </w:t>
      </w:r>
      <w:r>
        <w:rPr>
          <w:spacing w:val="-2"/>
        </w:rPr>
        <w:t>below.</w:t>
      </w:r>
    </w:p>
    <w:p>
      <w:pPr>
        <w:pStyle w:val="BodyText"/>
        <w:spacing w:before="18"/>
      </w:pPr>
    </w:p>
    <w:p>
      <w:pPr>
        <w:pStyle w:val="Heading5"/>
        <w:jc w:val="left"/>
      </w:pPr>
      <w:r>
        <w:rPr/>
        <w:t>Risks</w:t>
      </w:r>
      <w:r>
        <w:rPr>
          <w:spacing w:val="-3"/>
        </w:rPr>
        <w:t> </w:t>
      </w:r>
      <w:r>
        <w:rPr/>
        <w:t>Related</w:t>
      </w:r>
      <w:r>
        <w:rPr>
          <w:spacing w:val="-1"/>
        </w:rPr>
        <w:t> </w:t>
      </w:r>
      <w:r>
        <w:rPr/>
        <w:t>to</w:t>
      </w:r>
      <w:r>
        <w:rPr>
          <w:spacing w:val="-1"/>
        </w:rPr>
        <w:t> </w:t>
      </w:r>
      <w:r>
        <w:rPr/>
        <w:t>Our</w:t>
      </w:r>
      <w:r>
        <w:rPr>
          <w:spacing w:val="-4"/>
        </w:rPr>
        <w:t> </w:t>
      </w:r>
      <w:r>
        <w:rPr/>
        <w:t>Substantial</w:t>
      </w:r>
      <w:r>
        <w:rPr>
          <w:spacing w:val="-1"/>
        </w:rPr>
        <w:t> </w:t>
      </w:r>
      <w:r>
        <w:rPr/>
        <w:t>Financial</w:t>
      </w:r>
      <w:r>
        <w:rPr>
          <w:spacing w:val="-1"/>
        </w:rPr>
        <w:t> </w:t>
      </w:r>
      <w:r>
        <w:rPr>
          <w:spacing w:val="-2"/>
        </w:rPr>
        <w:t>Commitments</w:t>
      </w:r>
    </w:p>
    <w:p>
      <w:pPr>
        <w:pStyle w:val="BodyText"/>
        <w:spacing w:before="5"/>
        <w:rPr>
          <w:b/>
        </w:rPr>
      </w:pPr>
    </w:p>
    <w:p>
      <w:pPr>
        <w:spacing w:line="240" w:lineRule="auto" w:before="0"/>
        <w:ind w:left="144" w:right="118" w:firstLine="499"/>
        <w:jc w:val="both"/>
        <w:rPr>
          <w:sz w:val="18"/>
        </w:rPr>
      </w:pPr>
      <w:r>
        <w:rPr>
          <w:b/>
          <w:i/>
          <w:sz w:val="18"/>
        </w:rPr>
        <w:t>Our substantial indebtedness and significant financial commitments, including the fixed component of our rent payments and guarantees we</w:t>
      </w:r>
      <w:r>
        <w:rPr>
          <w:b/>
          <w:i/>
          <w:spacing w:val="40"/>
          <w:sz w:val="18"/>
        </w:rPr>
        <w:t> </w:t>
      </w:r>
      <w:r>
        <w:rPr>
          <w:b/>
          <w:i/>
          <w:sz w:val="18"/>
        </w:rPr>
        <w:t>provide of the indebtedness of Bellagio BREIT Venture and VICI BREIT Venture could adversely affect our operations and financial results and impact our ability to satisfy our obligations</w:t>
      </w:r>
      <w:r>
        <w:rPr>
          <w:b/>
          <w:sz w:val="18"/>
        </w:rPr>
        <w:t>. </w:t>
      </w:r>
      <w:r>
        <w:rPr>
          <w:sz w:val="18"/>
        </w:rPr>
        <w:t>As of December 31, 2022, we had approximately $8.8 billion of principal amount of indebtedness outstanding on a consolidated basis, including $4.2 billion of outstanding indebtedness of MGM China. Any increase in the interest rates applicable to our existing or future borrowings would increase the cost of our indebtedness and reduce the cash flow available to fund our other liquidity needs. We do not guarantee </w:t>
      </w:r>
      <w:r>
        <w:rPr>
          <w:sz w:val="18"/>
        </w:rPr>
        <w:t>MGM China’s obligations under its debt agreements and, to the extent MGM China was to cease to produce cash flow sufficient to service its indebtedness, our</w:t>
      </w:r>
      <w:r>
        <w:rPr>
          <w:spacing w:val="40"/>
          <w:sz w:val="18"/>
        </w:rPr>
        <w:t> </w:t>
      </w:r>
      <w:r>
        <w:rPr>
          <w:sz w:val="18"/>
        </w:rPr>
        <w:t>ability to make additional investments into MGM China is limited by the covenants in our existing senior credit facility.</w:t>
      </w:r>
    </w:p>
    <w:p>
      <w:pPr>
        <w:pStyle w:val="BodyText"/>
        <w:spacing w:before="4"/>
      </w:pPr>
    </w:p>
    <w:p>
      <w:pPr>
        <w:pStyle w:val="BodyText"/>
        <w:spacing w:before="1"/>
        <w:ind w:left="644"/>
      </w:pPr>
      <w:r>
        <w:rPr/>
        <w:t>In</w:t>
      </w:r>
      <w:r>
        <w:rPr>
          <w:spacing w:val="-1"/>
        </w:rPr>
        <w:t> </w:t>
      </w:r>
      <w:r>
        <w:rPr/>
        <w:t>addition,</w:t>
      </w:r>
      <w:r>
        <w:rPr>
          <w:spacing w:val="-1"/>
        </w:rPr>
        <w:t> </w:t>
      </w:r>
      <w:r>
        <w:rPr/>
        <w:t>our</w:t>
      </w:r>
      <w:r>
        <w:rPr>
          <w:spacing w:val="-1"/>
        </w:rPr>
        <w:t> </w:t>
      </w:r>
      <w:r>
        <w:rPr/>
        <w:t>substantial</w:t>
      </w:r>
      <w:r>
        <w:rPr>
          <w:spacing w:val="-1"/>
        </w:rPr>
        <w:t> </w:t>
      </w:r>
      <w:r>
        <w:rPr/>
        <w:t>indebtedness</w:t>
      </w:r>
      <w:r>
        <w:rPr>
          <w:spacing w:val="-1"/>
        </w:rPr>
        <w:t> </w:t>
      </w:r>
      <w:r>
        <w:rPr/>
        <w:t>and</w:t>
      </w:r>
      <w:r>
        <w:rPr>
          <w:spacing w:val="-1"/>
        </w:rPr>
        <w:t> </w:t>
      </w:r>
      <w:r>
        <w:rPr/>
        <w:t>significant</w:t>
      </w:r>
      <w:r>
        <w:rPr>
          <w:spacing w:val="-1"/>
        </w:rPr>
        <w:t> </w:t>
      </w:r>
      <w:r>
        <w:rPr/>
        <w:t>financial</w:t>
      </w:r>
      <w:r>
        <w:rPr>
          <w:spacing w:val="-1"/>
        </w:rPr>
        <w:t> </w:t>
      </w:r>
      <w:r>
        <w:rPr/>
        <w:t>commitments</w:t>
      </w:r>
      <w:r>
        <w:rPr>
          <w:spacing w:val="-1"/>
        </w:rPr>
        <w:t> </w:t>
      </w:r>
      <w:r>
        <w:rPr/>
        <w:t>could</w:t>
      </w:r>
      <w:r>
        <w:rPr>
          <w:spacing w:val="-1"/>
        </w:rPr>
        <w:t> </w:t>
      </w:r>
      <w:r>
        <w:rPr/>
        <w:t>have</w:t>
      </w:r>
      <w:r>
        <w:rPr>
          <w:spacing w:val="-1"/>
        </w:rPr>
        <w:t> </w:t>
      </w:r>
      <w:r>
        <w:rPr/>
        <w:t>important</w:t>
      </w:r>
      <w:r>
        <w:rPr>
          <w:spacing w:val="-1"/>
        </w:rPr>
        <w:t> </w:t>
      </w:r>
      <w:r>
        <w:rPr/>
        <w:t>negative</w:t>
      </w:r>
      <w:r>
        <w:rPr>
          <w:spacing w:val="-1"/>
        </w:rPr>
        <w:t> </w:t>
      </w:r>
      <w:r>
        <w:rPr/>
        <w:t>consequences</w:t>
      </w:r>
      <w:r>
        <w:rPr>
          <w:spacing w:val="-1"/>
        </w:rPr>
        <w:t> </w:t>
      </w:r>
      <w:r>
        <w:rPr/>
        <w:t>on</w:t>
      </w:r>
      <w:r>
        <w:rPr>
          <w:spacing w:val="-1"/>
        </w:rPr>
        <w:t> </w:t>
      </w:r>
      <w:r>
        <w:rPr/>
        <w:t>us,</w:t>
      </w:r>
      <w:r>
        <w:rPr>
          <w:spacing w:val="-1"/>
        </w:rPr>
        <w:t> </w:t>
      </w:r>
      <w:r>
        <w:rPr>
          <w:spacing w:val="-2"/>
        </w:rPr>
        <w:t>including:</w:t>
      </w:r>
    </w:p>
    <w:p>
      <w:pPr>
        <w:pStyle w:val="BodyText"/>
        <w:spacing w:before="17"/>
      </w:pPr>
    </w:p>
    <w:p>
      <w:pPr>
        <w:pStyle w:val="ListParagraph"/>
        <w:numPr>
          <w:ilvl w:val="0"/>
          <w:numId w:val="2"/>
        </w:numPr>
        <w:tabs>
          <w:tab w:pos="792" w:val="left" w:leader="none"/>
        </w:tabs>
        <w:spacing w:line="205" w:lineRule="exact" w:before="1" w:after="0"/>
        <w:ind w:left="792" w:right="0" w:hanging="324"/>
        <w:jc w:val="left"/>
        <w:rPr>
          <w:sz w:val="18"/>
        </w:rPr>
      </w:pPr>
      <w:r>
        <w:rPr>
          <w:sz w:val="18"/>
        </w:rPr>
        <w:t>increasing</w:t>
      </w:r>
      <w:r>
        <w:rPr>
          <w:spacing w:val="-1"/>
          <w:sz w:val="18"/>
        </w:rPr>
        <w:t> </w:t>
      </w:r>
      <w:r>
        <w:rPr>
          <w:sz w:val="18"/>
        </w:rPr>
        <w:t>our</w:t>
      </w:r>
      <w:r>
        <w:rPr>
          <w:spacing w:val="-1"/>
          <w:sz w:val="18"/>
        </w:rPr>
        <w:t> </w:t>
      </w:r>
      <w:r>
        <w:rPr>
          <w:sz w:val="18"/>
        </w:rPr>
        <w:t>exposure</w:t>
      </w:r>
      <w:r>
        <w:rPr>
          <w:spacing w:val="-1"/>
          <w:sz w:val="18"/>
        </w:rPr>
        <w:t> </w:t>
      </w:r>
      <w:r>
        <w:rPr>
          <w:sz w:val="18"/>
        </w:rPr>
        <w:t>to</w:t>
      </w:r>
      <w:r>
        <w:rPr>
          <w:spacing w:val="-1"/>
          <w:sz w:val="18"/>
        </w:rPr>
        <w:t> </w:t>
      </w:r>
      <w:r>
        <w:rPr>
          <w:sz w:val="18"/>
        </w:rPr>
        <w:t>general</w:t>
      </w:r>
      <w:r>
        <w:rPr>
          <w:spacing w:val="-1"/>
          <w:sz w:val="18"/>
        </w:rPr>
        <w:t> </w:t>
      </w:r>
      <w:r>
        <w:rPr>
          <w:sz w:val="18"/>
        </w:rPr>
        <w:t>adverse</w:t>
      </w:r>
      <w:r>
        <w:rPr>
          <w:spacing w:val="-1"/>
          <w:sz w:val="18"/>
        </w:rPr>
        <w:t> </w:t>
      </w:r>
      <w:r>
        <w:rPr>
          <w:sz w:val="18"/>
        </w:rPr>
        <w:t>economic</w:t>
      </w:r>
      <w:r>
        <w:rPr>
          <w:spacing w:val="-1"/>
          <w:sz w:val="18"/>
        </w:rPr>
        <w:t> </w:t>
      </w:r>
      <w:r>
        <w:rPr>
          <w:sz w:val="18"/>
        </w:rPr>
        <w:t>and</w:t>
      </w:r>
      <w:r>
        <w:rPr>
          <w:spacing w:val="-1"/>
          <w:sz w:val="18"/>
        </w:rPr>
        <w:t> </w:t>
      </w:r>
      <w:r>
        <w:rPr>
          <w:sz w:val="18"/>
        </w:rPr>
        <w:t>industry</w:t>
      </w:r>
      <w:r>
        <w:rPr>
          <w:spacing w:val="-1"/>
          <w:sz w:val="18"/>
        </w:rPr>
        <w:t> </w:t>
      </w:r>
      <w:r>
        <w:rPr>
          <w:spacing w:val="-2"/>
          <w:sz w:val="18"/>
        </w:rPr>
        <w:t>conditions;</w:t>
      </w:r>
    </w:p>
    <w:p>
      <w:pPr>
        <w:pStyle w:val="ListParagraph"/>
        <w:numPr>
          <w:ilvl w:val="0"/>
          <w:numId w:val="2"/>
        </w:numPr>
        <w:tabs>
          <w:tab w:pos="792" w:val="left" w:leader="none"/>
        </w:tabs>
        <w:spacing w:line="202" w:lineRule="exact" w:before="0" w:after="0"/>
        <w:ind w:left="792" w:right="0" w:hanging="324"/>
        <w:jc w:val="left"/>
        <w:rPr>
          <w:sz w:val="18"/>
        </w:rPr>
      </w:pPr>
      <w:r>
        <w:rPr>
          <w:sz w:val="18"/>
        </w:rPr>
        <w:t>limiting</w:t>
      </w:r>
      <w:r>
        <w:rPr>
          <w:spacing w:val="-4"/>
          <w:sz w:val="18"/>
        </w:rPr>
        <w:t> </w:t>
      </w:r>
      <w:r>
        <w:rPr>
          <w:sz w:val="18"/>
        </w:rPr>
        <w:t>our</w:t>
      </w:r>
      <w:r>
        <w:rPr>
          <w:spacing w:val="-2"/>
          <w:sz w:val="18"/>
        </w:rPr>
        <w:t> </w:t>
      </w:r>
      <w:r>
        <w:rPr>
          <w:sz w:val="18"/>
        </w:rPr>
        <w:t>flexibility</w:t>
      </w:r>
      <w:r>
        <w:rPr>
          <w:spacing w:val="-1"/>
          <w:sz w:val="18"/>
        </w:rPr>
        <w:t> </w:t>
      </w:r>
      <w:r>
        <w:rPr>
          <w:sz w:val="18"/>
        </w:rPr>
        <w:t>to</w:t>
      </w:r>
      <w:r>
        <w:rPr>
          <w:spacing w:val="-2"/>
          <w:sz w:val="18"/>
        </w:rPr>
        <w:t> </w:t>
      </w:r>
      <w:r>
        <w:rPr>
          <w:sz w:val="18"/>
        </w:rPr>
        <w:t>plan</w:t>
      </w:r>
      <w:r>
        <w:rPr>
          <w:spacing w:val="-1"/>
          <w:sz w:val="18"/>
        </w:rPr>
        <w:t> </w:t>
      </w:r>
      <w:r>
        <w:rPr>
          <w:sz w:val="18"/>
        </w:rPr>
        <w:t>for,</w:t>
      </w:r>
      <w:r>
        <w:rPr>
          <w:spacing w:val="-2"/>
          <w:sz w:val="18"/>
        </w:rPr>
        <w:t> </w:t>
      </w:r>
      <w:r>
        <w:rPr>
          <w:sz w:val="18"/>
        </w:rPr>
        <w:t>or</w:t>
      </w:r>
      <w:r>
        <w:rPr>
          <w:spacing w:val="-1"/>
          <w:sz w:val="18"/>
        </w:rPr>
        <w:t> </w:t>
      </w:r>
      <w:r>
        <w:rPr>
          <w:sz w:val="18"/>
        </w:rPr>
        <w:t>react</w:t>
      </w:r>
      <w:r>
        <w:rPr>
          <w:spacing w:val="-2"/>
          <w:sz w:val="18"/>
        </w:rPr>
        <w:t> </w:t>
      </w:r>
      <w:r>
        <w:rPr>
          <w:sz w:val="18"/>
        </w:rPr>
        <w:t>to,</w:t>
      </w:r>
      <w:r>
        <w:rPr>
          <w:spacing w:val="-2"/>
          <w:sz w:val="18"/>
        </w:rPr>
        <w:t> </w:t>
      </w:r>
      <w:r>
        <w:rPr>
          <w:sz w:val="18"/>
        </w:rPr>
        <w:t>changes</w:t>
      </w:r>
      <w:r>
        <w:rPr>
          <w:spacing w:val="-1"/>
          <w:sz w:val="18"/>
        </w:rPr>
        <w:t> </w:t>
      </w:r>
      <w:r>
        <w:rPr>
          <w:sz w:val="18"/>
        </w:rPr>
        <w:t>in</w:t>
      </w:r>
      <w:r>
        <w:rPr>
          <w:spacing w:val="-2"/>
          <w:sz w:val="18"/>
        </w:rPr>
        <w:t> </w:t>
      </w:r>
      <w:r>
        <w:rPr>
          <w:sz w:val="18"/>
        </w:rPr>
        <w:t>our</w:t>
      </w:r>
      <w:r>
        <w:rPr>
          <w:spacing w:val="-1"/>
          <w:sz w:val="18"/>
        </w:rPr>
        <w:t> </w:t>
      </w:r>
      <w:r>
        <w:rPr>
          <w:sz w:val="18"/>
        </w:rPr>
        <w:t>business</w:t>
      </w:r>
      <w:r>
        <w:rPr>
          <w:spacing w:val="-2"/>
          <w:sz w:val="18"/>
        </w:rPr>
        <w:t> </w:t>
      </w:r>
      <w:r>
        <w:rPr>
          <w:sz w:val="18"/>
        </w:rPr>
        <w:t>and</w:t>
      </w:r>
      <w:r>
        <w:rPr>
          <w:spacing w:val="-1"/>
          <w:sz w:val="18"/>
        </w:rPr>
        <w:t> </w:t>
      </w:r>
      <w:r>
        <w:rPr>
          <w:spacing w:val="-2"/>
          <w:sz w:val="18"/>
        </w:rPr>
        <w:t>industry;</w:t>
      </w:r>
    </w:p>
    <w:p>
      <w:pPr>
        <w:pStyle w:val="ListParagraph"/>
        <w:numPr>
          <w:ilvl w:val="0"/>
          <w:numId w:val="2"/>
        </w:numPr>
        <w:tabs>
          <w:tab w:pos="792" w:val="left" w:leader="none"/>
        </w:tabs>
        <w:spacing w:line="249" w:lineRule="auto" w:before="0" w:after="0"/>
        <w:ind w:left="792" w:right="118" w:hanging="324"/>
        <w:jc w:val="left"/>
        <w:rPr>
          <w:sz w:val="18"/>
        </w:rPr>
      </w:pPr>
      <w:r>
        <w:rPr>
          <w:sz w:val="18"/>
        </w:rPr>
        <w:t>limiting</w:t>
      </w:r>
      <w:r>
        <w:rPr>
          <w:spacing w:val="19"/>
          <w:sz w:val="18"/>
        </w:rPr>
        <w:t> </w:t>
      </w:r>
      <w:r>
        <w:rPr>
          <w:sz w:val="18"/>
        </w:rPr>
        <w:t>our</w:t>
      </w:r>
      <w:r>
        <w:rPr>
          <w:spacing w:val="19"/>
          <w:sz w:val="18"/>
        </w:rPr>
        <w:t> </w:t>
      </w:r>
      <w:r>
        <w:rPr>
          <w:sz w:val="18"/>
        </w:rPr>
        <w:t>ability</w:t>
      </w:r>
      <w:r>
        <w:rPr>
          <w:spacing w:val="19"/>
          <w:sz w:val="18"/>
        </w:rPr>
        <w:t> </w:t>
      </w:r>
      <w:r>
        <w:rPr>
          <w:sz w:val="18"/>
        </w:rPr>
        <w:t>to</w:t>
      </w:r>
      <w:r>
        <w:rPr>
          <w:spacing w:val="19"/>
          <w:sz w:val="18"/>
        </w:rPr>
        <w:t> </w:t>
      </w:r>
      <w:r>
        <w:rPr>
          <w:sz w:val="18"/>
        </w:rPr>
        <w:t>borrow</w:t>
      </w:r>
      <w:r>
        <w:rPr>
          <w:spacing w:val="19"/>
          <w:sz w:val="18"/>
        </w:rPr>
        <w:t> </w:t>
      </w:r>
      <w:r>
        <w:rPr>
          <w:sz w:val="18"/>
        </w:rPr>
        <w:t>additional</w:t>
      </w:r>
      <w:r>
        <w:rPr>
          <w:spacing w:val="19"/>
          <w:sz w:val="18"/>
        </w:rPr>
        <w:t> </w:t>
      </w:r>
      <w:r>
        <w:rPr>
          <w:sz w:val="18"/>
        </w:rPr>
        <w:t>funds</w:t>
      </w:r>
      <w:r>
        <w:rPr>
          <w:spacing w:val="19"/>
          <w:sz w:val="18"/>
        </w:rPr>
        <w:t> </w:t>
      </w:r>
      <w:r>
        <w:rPr>
          <w:sz w:val="18"/>
        </w:rPr>
        <w:t>for</w:t>
      </w:r>
      <w:r>
        <w:rPr>
          <w:spacing w:val="19"/>
          <w:sz w:val="18"/>
        </w:rPr>
        <w:t> </w:t>
      </w:r>
      <w:r>
        <w:rPr>
          <w:sz w:val="18"/>
        </w:rPr>
        <w:t>working</w:t>
      </w:r>
      <w:r>
        <w:rPr>
          <w:spacing w:val="19"/>
          <w:sz w:val="18"/>
        </w:rPr>
        <w:t> </w:t>
      </w:r>
      <w:r>
        <w:rPr>
          <w:sz w:val="18"/>
        </w:rPr>
        <w:t>capital</w:t>
      </w:r>
      <w:r>
        <w:rPr>
          <w:spacing w:val="19"/>
          <w:sz w:val="18"/>
        </w:rPr>
        <w:t> </w:t>
      </w:r>
      <w:r>
        <w:rPr>
          <w:sz w:val="18"/>
        </w:rPr>
        <w:t>requirements,</w:t>
      </w:r>
      <w:r>
        <w:rPr>
          <w:spacing w:val="19"/>
          <w:sz w:val="18"/>
        </w:rPr>
        <w:t> </w:t>
      </w:r>
      <w:r>
        <w:rPr>
          <w:sz w:val="18"/>
        </w:rPr>
        <w:t>capital</w:t>
      </w:r>
      <w:r>
        <w:rPr>
          <w:spacing w:val="19"/>
          <w:sz w:val="18"/>
        </w:rPr>
        <w:t> </w:t>
      </w:r>
      <w:r>
        <w:rPr>
          <w:sz w:val="18"/>
        </w:rPr>
        <w:t>expenditures,</w:t>
      </w:r>
      <w:r>
        <w:rPr>
          <w:spacing w:val="19"/>
          <w:sz w:val="18"/>
        </w:rPr>
        <w:t> </w:t>
      </w:r>
      <w:r>
        <w:rPr>
          <w:sz w:val="18"/>
        </w:rPr>
        <w:t>debt</w:t>
      </w:r>
      <w:r>
        <w:rPr>
          <w:spacing w:val="19"/>
          <w:sz w:val="18"/>
        </w:rPr>
        <w:t> </w:t>
      </w:r>
      <w:r>
        <w:rPr>
          <w:sz w:val="18"/>
        </w:rPr>
        <w:t>service</w:t>
      </w:r>
      <w:r>
        <w:rPr>
          <w:spacing w:val="19"/>
          <w:sz w:val="18"/>
        </w:rPr>
        <w:t> </w:t>
      </w:r>
      <w:r>
        <w:rPr>
          <w:sz w:val="18"/>
        </w:rPr>
        <w:t>requirements,</w:t>
      </w:r>
      <w:r>
        <w:rPr>
          <w:spacing w:val="19"/>
          <w:sz w:val="18"/>
        </w:rPr>
        <w:t> </w:t>
      </w:r>
      <w:r>
        <w:rPr>
          <w:sz w:val="18"/>
        </w:rPr>
        <w:t>execution</w:t>
      </w:r>
      <w:r>
        <w:rPr>
          <w:spacing w:val="19"/>
          <w:sz w:val="18"/>
        </w:rPr>
        <w:t> </w:t>
      </w:r>
      <w:r>
        <w:rPr>
          <w:sz w:val="18"/>
        </w:rPr>
        <w:t>of</w:t>
      </w:r>
      <w:r>
        <w:rPr>
          <w:spacing w:val="19"/>
          <w:sz w:val="18"/>
        </w:rPr>
        <w:t> </w:t>
      </w:r>
      <w:r>
        <w:rPr>
          <w:sz w:val="18"/>
        </w:rPr>
        <w:t>our business strategy (including returning value to our shareholders) or other general operating requirements;</w:t>
      </w:r>
    </w:p>
    <w:p>
      <w:pPr>
        <w:pStyle w:val="ListParagraph"/>
        <w:numPr>
          <w:ilvl w:val="0"/>
          <w:numId w:val="2"/>
        </w:numPr>
        <w:tabs>
          <w:tab w:pos="792" w:val="left" w:leader="none"/>
        </w:tabs>
        <w:spacing w:line="193" w:lineRule="exact" w:before="0" w:after="0"/>
        <w:ind w:left="792" w:right="0" w:hanging="324"/>
        <w:jc w:val="left"/>
        <w:rPr>
          <w:sz w:val="18"/>
        </w:rPr>
      </w:pPr>
      <w:r>
        <w:rPr>
          <w:sz w:val="18"/>
        </w:rPr>
        <w:t>making</w:t>
      </w:r>
      <w:r>
        <w:rPr>
          <w:spacing w:val="-4"/>
          <w:sz w:val="18"/>
        </w:rPr>
        <w:t> </w:t>
      </w:r>
      <w:r>
        <w:rPr>
          <w:sz w:val="18"/>
        </w:rPr>
        <w:t>it</w:t>
      </w:r>
      <w:r>
        <w:rPr>
          <w:spacing w:val="-1"/>
          <w:sz w:val="18"/>
        </w:rPr>
        <w:t> </w:t>
      </w:r>
      <w:r>
        <w:rPr>
          <w:sz w:val="18"/>
        </w:rPr>
        <w:t>more</w:t>
      </w:r>
      <w:r>
        <w:rPr>
          <w:spacing w:val="-1"/>
          <w:sz w:val="18"/>
        </w:rPr>
        <w:t> </w:t>
      </w:r>
      <w:r>
        <w:rPr>
          <w:sz w:val="18"/>
        </w:rPr>
        <w:t>difficult</w:t>
      </w:r>
      <w:r>
        <w:rPr>
          <w:spacing w:val="-2"/>
          <w:sz w:val="18"/>
        </w:rPr>
        <w:t> </w:t>
      </w:r>
      <w:r>
        <w:rPr>
          <w:sz w:val="18"/>
        </w:rPr>
        <w:t>for</w:t>
      </w:r>
      <w:r>
        <w:rPr>
          <w:spacing w:val="-1"/>
          <w:sz w:val="18"/>
        </w:rPr>
        <w:t> </w:t>
      </w:r>
      <w:r>
        <w:rPr>
          <w:sz w:val="18"/>
        </w:rPr>
        <w:t>us</w:t>
      </w:r>
      <w:r>
        <w:rPr>
          <w:spacing w:val="-1"/>
          <w:sz w:val="18"/>
        </w:rPr>
        <w:t> </w:t>
      </w:r>
      <w:r>
        <w:rPr>
          <w:sz w:val="18"/>
        </w:rPr>
        <w:t>to</w:t>
      </w:r>
      <w:r>
        <w:rPr>
          <w:spacing w:val="-2"/>
          <w:sz w:val="18"/>
        </w:rPr>
        <w:t> </w:t>
      </w:r>
      <w:r>
        <w:rPr>
          <w:sz w:val="18"/>
        </w:rPr>
        <w:t>make</w:t>
      </w:r>
      <w:r>
        <w:rPr>
          <w:spacing w:val="-1"/>
          <w:sz w:val="18"/>
        </w:rPr>
        <w:t> </w:t>
      </w:r>
      <w:r>
        <w:rPr>
          <w:sz w:val="18"/>
        </w:rPr>
        <w:t>payments</w:t>
      </w:r>
      <w:r>
        <w:rPr>
          <w:spacing w:val="-1"/>
          <w:sz w:val="18"/>
        </w:rPr>
        <w:t> </w:t>
      </w:r>
      <w:r>
        <w:rPr>
          <w:sz w:val="18"/>
        </w:rPr>
        <w:t>on</w:t>
      </w:r>
      <w:r>
        <w:rPr>
          <w:spacing w:val="-2"/>
          <w:sz w:val="18"/>
        </w:rPr>
        <w:t> </w:t>
      </w:r>
      <w:r>
        <w:rPr>
          <w:sz w:val="18"/>
        </w:rPr>
        <w:t>our</w:t>
      </w:r>
      <w:r>
        <w:rPr>
          <w:spacing w:val="-1"/>
          <w:sz w:val="18"/>
        </w:rPr>
        <w:t> </w:t>
      </w:r>
      <w:r>
        <w:rPr>
          <w:sz w:val="18"/>
        </w:rPr>
        <w:t>indebtedness;</w:t>
      </w:r>
      <w:r>
        <w:rPr>
          <w:spacing w:val="-1"/>
          <w:sz w:val="18"/>
        </w:rPr>
        <w:t> </w:t>
      </w:r>
      <w:r>
        <w:rPr>
          <w:spacing w:val="-5"/>
          <w:sz w:val="18"/>
        </w:rPr>
        <w:t>or</w:t>
      </w:r>
    </w:p>
    <w:p>
      <w:pPr>
        <w:pStyle w:val="ListParagraph"/>
        <w:numPr>
          <w:ilvl w:val="0"/>
          <w:numId w:val="2"/>
        </w:numPr>
        <w:tabs>
          <w:tab w:pos="792" w:val="left" w:leader="none"/>
        </w:tabs>
        <w:spacing w:line="205" w:lineRule="exact" w:before="0" w:after="0"/>
        <w:ind w:left="792" w:right="0" w:hanging="324"/>
        <w:jc w:val="left"/>
        <w:rPr>
          <w:sz w:val="18"/>
        </w:rPr>
      </w:pPr>
      <w:r>
        <w:rPr>
          <w:sz w:val="18"/>
        </w:rPr>
        <w:t>placing</w:t>
      </w:r>
      <w:r>
        <w:rPr>
          <w:spacing w:val="-1"/>
          <w:sz w:val="18"/>
        </w:rPr>
        <w:t> </w:t>
      </w:r>
      <w:r>
        <w:rPr>
          <w:sz w:val="18"/>
        </w:rPr>
        <w:t>us</w:t>
      </w:r>
      <w:r>
        <w:rPr>
          <w:spacing w:val="-1"/>
          <w:sz w:val="18"/>
        </w:rPr>
        <w:t> </w:t>
      </w:r>
      <w:r>
        <w:rPr>
          <w:sz w:val="18"/>
        </w:rPr>
        <w:t>at</w:t>
      </w:r>
      <w:r>
        <w:rPr>
          <w:spacing w:val="-1"/>
          <w:sz w:val="18"/>
        </w:rPr>
        <w:t> </w:t>
      </w:r>
      <w:r>
        <w:rPr>
          <w:sz w:val="18"/>
        </w:rPr>
        <w:t>a</w:t>
      </w:r>
      <w:r>
        <w:rPr>
          <w:spacing w:val="-1"/>
          <w:sz w:val="18"/>
        </w:rPr>
        <w:t> </w:t>
      </w:r>
      <w:r>
        <w:rPr>
          <w:sz w:val="18"/>
        </w:rPr>
        <w:t>competitive</w:t>
      </w:r>
      <w:r>
        <w:rPr>
          <w:spacing w:val="-1"/>
          <w:sz w:val="18"/>
        </w:rPr>
        <w:t> </w:t>
      </w:r>
      <w:r>
        <w:rPr>
          <w:sz w:val="18"/>
        </w:rPr>
        <w:t>disadvantage</w:t>
      </w:r>
      <w:r>
        <w:rPr>
          <w:spacing w:val="-1"/>
          <w:sz w:val="18"/>
        </w:rPr>
        <w:t> </w:t>
      </w:r>
      <w:r>
        <w:rPr>
          <w:sz w:val="18"/>
        </w:rPr>
        <w:t>compared</w:t>
      </w:r>
      <w:r>
        <w:rPr>
          <w:spacing w:val="-1"/>
          <w:sz w:val="18"/>
        </w:rPr>
        <w:t> </w:t>
      </w:r>
      <w:r>
        <w:rPr>
          <w:sz w:val="18"/>
        </w:rPr>
        <w:t>to</w:t>
      </w:r>
      <w:r>
        <w:rPr>
          <w:spacing w:val="-1"/>
          <w:sz w:val="18"/>
        </w:rPr>
        <w:t> </w:t>
      </w:r>
      <w:r>
        <w:rPr>
          <w:sz w:val="18"/>
        </w:rPr>
        <w:t>less-leveraged</w:t>
      </w:r>
      <w:r>
        <w:rPr>
          <w:spacing w:val="-1"/>
          <w:sz w:val="18"/>
        </w:rPr>
        <w:t> </w:t>
      </w:r>
      <w:r>
        <w:rPr>
          <w:spacing w:val="-2"/>
          <w:sz w:val="18"/>
        </w:rPr>
        <w:t>competitors.</w:t>
      </w:r>
    </w:p>
    <w:p>
      <w:pPr>
        <w:pStyle w:val="BodyText"/>
        <w:spacing w:before="2"/>
      </w:pPr>
    </w:p>
    <w:p>
      <w:pPr>
        <w:pStyle w:val="BodyText"/>
        <w:spacing w:line="242" w:lineRule="auto"/>
        <w:ind w:left="144" w:right="118" w:firstLine="499"/>
        <w:jc w:val="both"/>
      </w:pPr>
      <w:r>
        <w:rPr>
          <w:color w:val="202529"/>
        </w:rPr>
        <w:t>We currently also provide shortfall guarantees of the $3.01 billion and $3.0 billion principal amount of indebtedness (and any interest accrued and unpaid thereon) of Bellagio BREIT</w:t>
      </w:r>
      <w:r>
        <w:rPr>
          <w:color w:val="202529"/>
          <w:spacing w:val="-5"/>
        </w:rPr>
        <w:t> </w:t>
      </w:r>
      <w:r>
        <w:rPr>
          <w:color w:val="202529"/>
        </w:rPr>
        <w:t>Venture and</w:t>
      </w:r>
      <w:r>
        <w:rPr>
          <w:color w:val="202529"/>
          <w:spacing w:val="-3"/>
        </w:rPr>
        <w:t> </w:t>
      </w:r>
      <w:r>
        <w:rPr>
          <w:color w:val="202529"/>
        </w:rPr>
        <w:t>VICI BREIT</w:t>
      </w:r>
      <w:r>
        <w:rPr>
          <w:color w:val="202529"/>
          <w:spacing w:val="-5"/>
        </w:rPr>
        <w:t> </w:t>
      </w:r>
      <w:r>
        <w:rPr>
          <w:color w:val="202529"/>
        </w:rPr>
        <w:t>Venture, respectively.</w:t>
      </w:r>
      <w:r>
        <w:rPr>
          <w:color w:val="202529"/>
          <w:spacing w:val="-3"/>
        </w:rPr>
        <w:t> </w:t>
      </w:r>
      <w:r>
        <w:rPr>
          <w:color w:val="202529"/>
        </w:rPr>
        <w:t>The terms of each guarantee provide that, after the lenders have exhausted certain remedies to collect on the obligations under</w:t>
      </w:r>
    </w:p>
    <w:p>
      <w:pPr>
        <w:pStyle w:val="BodyText"/>
      </w:pPr>
    </w:p>
    <w:p>
      <w:pPr>
        <w:pStyle w:val="BodyText"/>
        <w:spacing w:before="187"/>
      </w:pPr>
    </w:p>
    <w:p>
      <w:pPr>
        <w:pStyle w:val="BodyText"/>
        <w:ind w:left="24"/>
        <w:jc w:val="center"/>
      </w:pPr>
      <w:r>
        <w:rPr>
          <w:spacing w:val="-5"/>
        </w:rPr>
        <w:t>14</w:t>
      </w:r>
    </w:p>
    <w:p>
      <w:pPr>
        <w:pStyle w:val="BodyText"/>
        <w:spacing w:before="3"/>
        <w:rPr>
          <w:sz w:val="6"/>
        </w:rPr>
      </w:pPr>
      <w:r>
        <w:rPr/>
        <mc:AlternateContent>
          <mc:Choice Requires="wps">
            <w:drawing>
              <wp:anchor distT="0" distB="0" distL="0" distR="0" allowOverlap="1" layoutInCell="1" locked="0" behindDoc="1" simplePos="0" relativeHeight="487601152">
                <wp:simplePos x="0" y="0"/>
                <wp:positionH relativeFrom="page">
                  <wp:posOffset>231457</wp:posOffset>
                </wp:positionH>
                <wp:positionV relativeFrom="paragraph">
                  <wp:posOffset>60956</wp:posOffset>
                </wp:positionV>
                <wp:extent cx="7312659" cy="1714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7312659" cy="17145"/>
                          <a:chExt cx="7312659" cy="17145"/>
                        </a:xfrm>
                      </wpg:grpSpPr>
                      <wps:wsp>
                        <wps:cNvPr id="78" name="Graphic 7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9" name="Graphic 79"/>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0" name="Graphic 8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5328;mso-wrap-distance-left:0;mso-wrap-distance-right:0" id="docshapegroup76" coordorigin="364,96" coordsize="11516,27">
                <v:rect style="position:absolute;left:364;top:96;width:11516;height:14" id="docshape77" filled="true" fillcolor="#999999" stroked="false">
                  <v:fill type="solid"/>
                </v:rect>
                <v:shape style="position:absolute;left:364;top:96;width:11516;height:27" id="docshape78" coordorigin="364,96" coordsize="11516,27" path="m11880,96l11866,110,364,110,364,123,11866,123,11880,123,11880,110,11880,96xe" filled="true" fillcolor="#ededed" stroked="false">
                  <v:path arrowok="t"/>
                  <v:fill type="solid"/>
                </v:shape>
                <v:shape style="position:absolute;left:364;top:96;width:14;height:27" id="docshape7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63"/>
        <w:ind w:left="144" w:right="118"/>
        <w:jc w:val="both"/>
      </w:pPr>
      <w:r>
        <w:rPr>
          <w:color w:val="202529"/>
        </w:rPr>
        <w:t>the underlying indebtedness, we would then be responsible for any shortfall between the value of the collateral and the debt obligation, which amount may be material, and we may not have sufficient cash on hand to fund any such obligation to the extent it is triggered in the future. If we do not have sufficient cash </w:t>
      </w:r>
      <w:r>
        <w:rPr>
          <w:color w:val="202529"/>
        </w:rPr>
        <w:t>on hand, we may need to raise capital, including incurring additional indebtedness, in order to satisfy our obligation.</w:t>
      </w:r>
      <w:r>
        <w:rPr>
          <w:color w:val="202529"/>
          <w:spacing w:val="-3"/>
        </w:rPr>
        <w:t> </w:t>
      </w:r>
      <w:r>
        <w:rPr>
          <w:color w:val="202529"/>
        </w:rPr>
        <w:t>There can be no assurance that any financing will be available to us, or, if available, will be on terms that are satisfactory to us.</w:t>
      </w:r>
    </w:p>
    <w:p>
      <w:pPr>
        <w:pStyle w:val="BodyText"/>
        <w:spacing w:line="232" w:lineRule="auto" w:before="203"/>
        <w:ind w:left="144" w:right="118" w:firstLine="499"/>
        <w:jc w:val="both"/>
      </w:pPr>
      <w:r>
        <w:rPr>
          <w:color w:val="202529"/>
        </w:rPr>
        <w:t>Under the terms of MGM Grand Paradise’s concession, MGM Grand Paradise is required to implement certain investments in gaming and non-gaming projects, for which the non-gaming commitment is subject to increase if market-wide Macau annual gross gaming revenue reaches a specified level.</w:t>
      </w:r>
      <w:r>
        <w:rPr>
          <w:color w:val="202529"/>
          <w:spacing w:val="-1"/>
        </w:rPr>
        <w:t> </w:t>
      </w:r>
      <w:r>
        <w:rPr>
          <w:color w:val="202529"/>
        </w:rPr>
        <w:t>There </w:t>
      </w:r>
      <w:r>
        <w:rPr>
          <w:color w:val="202529"/>
        </w:rPr>
        <w:t>can be no assurance, however, that MGM Grand Paradise will have sufficient cash on hand to fund these obligations, including any increased investment amounts to the extent they are triggered in the future, or that it would be able to obtain financing to fund these obligations on satisfactory terms or at all. If MGM Grand Paradise is unable to satisfy its investment commitments, its concession contract may be subject to termination by the Macau government. See “—Risks</w:t>
      </w:r>
      <w:r>
        <w:rPr>
          <w:color w:val="202529"/>
          <w:spacing w:val="40"/>
        </w:rPr>
        <w:t> </w:t>
      </w:r>
      <w:r>
        <w:rPr>
          <w:color w:val="202529"/>
        </w:rPr>
        <w:t>Related to Our Macau Operations—The Macau government can (i) terminate MGM Grand Paradise’s concession under certain circumstances without compensating MGM Grand Paradise, (ii) from the eighth year of MGM Grand Paradise’s concession, redeem the concession by providing MGM Grand Paradise at least one year’s prior notice and subject to the payment of reasonable and fair damages or indemnity to MGM Grand Paradise, or (iii) refuse to</w:t>
      </w:r>
      <w:r>
        <w:rPr>
          <w:color w:val="202529"/>
          <w:spacing w:val="40"/>
        </w:rPr>
        <w:t> </w:t>
      </w:r>
      <w:r>
        <w:rPr>
          <w:color w:val="202529"/>
        </w:rPr>
        <w:t>grant MGM Grand Paradise an extension of the concession in 2032.”</w:t>
      </w:r>
    </w:p>
    <w:p>
      <w:pPr>
        <w:pStyle w:val="BodyText"/>
        <w:spacing w:before="19"/>
      </w:pPr>
    </w:p>
    <w:p>
      <w:pPr>
        <w:pStyle w:val="BodyText"/>
        <w:spacing w:line="242" w:lineRule="auto"/>
        <w:ind w:left="144" w:right="118" w:firstLine="499"/>
        <w:jc w:val="both"/>
      </w:pPr>
      <w:r>
        <w:rPr/>
        <w:t>Moreover, our businesses are capital intensive. For our owned, leased and managed resorts to remain attractive and competitive, we must periodically invest significant capital to keep the properties well-maintained, modernized and refurbished. The leases for our operating properties have fixed </w:t>
      </w:r>
      <w:r>
        <w:rPr/>
        <w:t>rental</w:t>
      </w:r>
      <w:r>
        <w:rPr>
          <w:spacing w:val="40"/>
        </w:rPr>
        <w:t> </w:t>
      </w:r>
      <w:r>
        <w:rPr/>
        <w:t>payments (with annual escalators) and also require us to apply a percentage of net revenues generated at the leased properties to capital expenditures at those properties. Such investments require an ongoing supply of cash and, to the extent that we cannot fund expenditures from cash generated by operations, funds must be borrowed or otherwise obtained. Similarly, development projects, including any potential future development of an integrated resort in Japan, strategic initiatives, including positioning BetMGM as a leader in online sports betting and iGaming, investments in the growth of our international digital gaming business, and acquisitions could require significant capital commitments, the incurrence of additional debt, guarantees of third-party debt or the incurrence of contingent liabilities, any or all of which could have an adverse effect on our business, financial condition, results of operations and cash flows.</w:t>
      </w:r>
    </w:p>
    <w:p>
      <w:pPr>
        <w:pStyle w:val="BodyText"/>
        <w:spacing w:line="232" w:lineRule="auto" w:before="196"/>
        <w:ind w:left="144" w:right="119" w:firstLine="499"/>
        <w:jc w:val="both"/>
      </w:pPr>
      <w:r>
        <w:rPr>
          <w:b/>
          <w:i/>
        </w:rPr>
        <w:t>Current and future economic, capital and credit market conditions could adversely affect our ability to service our substantial indebtedness </w:t>
      </w:r>
      <w:r>
        <w:rPr>
          <w:b/>
          <w:i/>
        </w:rPr>
        <w:t>and significant financial commitments or make planned expenditures</w:t>
      </w:r>
      <w:r>
        <w:rPr>
          <w:b/>
        </w:rPr>
        <w:t>. </w:t>
      </w:r>
      <w:r>
        <w:rPr/>
        <w:t>Our ability to make payments on our substantial indebtedness and other significant financial commitments, including the rent payments under our leases, and to fund planned or committed capital expenditures and other investments depends on our</w:t>
      </w:r>
      <w:r>
        <w:rPr>
          <w:spacing w:val="-3"/>
        </w:rPr>
        <w:t> </w:t>
      </w:r>
      <w:r>
        <w:rPr/>
        <w:t>ability</w:t>
      </w:r>
      <w:r>
        <w:rPr>
          <w:spacing w:val="-3"/>
        </w:rPr>
        <w:t> </w:t>
      </w:r>
      <w:r>
        <w:rPr/>
        <w:t>to</w:t>
      </w:r>
      <w:r>
        <w:rPr>
          <w:spacing w:val="-3"/>
        </w:rPr>
        <w:t> </w:t>
      </w:r>
      <w:r>
        <w:rPr/>
        <w:t>generate</w:t>
      </w:r>
      <w:r>
        <w:rPr>
          <w:spacing w:val="-3"/>
        </w:rPr>
        <w:t> </w:t>
      </w:r>
      <w:r>
        <w:rPr/>
        <w:t>cash</w:t>
      </w:r>
      <w:r>
        <w:rPr>
          <w:spacing w:val="-3"/>
        </w:rPr>
        <w:t> </w:t>
      </w:r>
      <w:r>
        <w:rPr/>
        <w:t>flow,</w:t>
      </w:r>
      <w:r>
        <w:rPr>
          <w:spacing w:val="-3"/>
        </w:rPr>
        <w:t> </w:t>
      </w:r>
      <w:r>
        <w:rPr/>
        <w:t>receive</w:t>
      </w:r>
      <w:r>
        <w:rPr>
          <w:spacing w:val="-3"/>
        </w:rPr>
        <w:t> </w:t>
      </w:r>
      <w:r>
        <w:rPr/>
        <w:t>distributions</w:t>
      </w:r>
      <w:r>
        <w:rPr>
          <w:spacing w:val="-3"/>
        </w:rPr>
        <w:t> </w:t>
      </w:r>
      <w:r>
        <w:rPr/>
        <w:t>from</w:t>
      </w:r>
      <w:r>
        <w:rPr>
          <w:spacing w:val="-3"/>
        </w:rPr>
        <w:t> </w:t>
      </w:r>
      <w:r>
        <w:rPr/>
        <w:t>our</w:t>
      </w:r>
      <w:r>
        <w:rPr>
          <w:spacing w:val="-3"/>
        </w:rPr>
        <w:t> </w:t>
      </w:r>
      <w:r>
        <w:rPr/>
        <w:t>unconsolidated</w:t>
      </w:r>
      <w:r>
        <w:rPr>
          <w:spacing w:val="-3"/>
        </w:rPr>
        <w:t> </w:t>
      </w:r>
      <w:r>
        <w:rPr/>
        <w:t>affiliates</w:t>
      </w:r>
      <w:r>
        <w:rPr>
          <w:spacing w:val="-3"/>
        </w:rPr>
        <w:t> </w:t>
      </w:r>
      <w:r>
        <w:rPr/>
        <w:t>and</w:t>
      </w:r>
      <w:r>
        <w:rPr>
          <w:spacing w:val="-3"/>
        </w:rPr>
        <w:t> </w:t>
      </w:r>
      <w:r>
        <w:rPr/>
        <w:t>subsidiaries</w:t>
      </w:r>
      <w:r>
        <w:rPr>
          <w:spacing w:val="-3"/>
        </w:rPr>
        <w:t> </w:t>
      </w:r>
      <w:r>
        <w:rPr/>
        <w:t>(including</w:t>
      </w:r>
      <w:r>
        <w:rPr>
          <w:spacing w:val="-3"/>
        </w:rPr>
        <w:t> </w:t>
      </w:r>
      <w:r>
        <w:rPr/>
        <w:t>MGM</w:t>
      </w:r>
      <w:r>
        <w:rPr>
          <w:spacing w:val="-3"/>
        </w:rPr>
        <w:t> </w:t>
      </w:r>
      <w:r>
        <w:rPr/>
        <w:t>China),</w:t>
      </w:r>
      <w:r>
        <w:rPr>
          <w:spacing w:val="-3"/>
        </w:rPr>
        <w:t> </w:t>
      </w:r>
      <w:r>
        <w:rPr/>
        <w:t>and</w:t>
      </w:r>
      <w:r>
        <w:rPr>
          <w:spacing w:val="-3"/>
        </w:rPr>
        <w:t> </w:t>
      </w:r>
      <w:r>
        <w:rPr/>
        <w:t>borrow</w:t>
      </w:r>
      <w:r>
        <w:rPr>
          <w:spacing w:val="-3"/>
        </w:rPr>
        <w:t> </w:t>
      </w:r>
      <w:r>
        <w:rPr/>
        <w:t>under</w:t>
      </w:r>
      <w:r>
        <w:rPr>
          <w:spacing w:val="-3"/>
        </w:rPr>
        <w:t> </w:t>
      </w:r>
      <w:r>
        <w:rPr/>
        <w:t>our</w:t>
      </w:r>
      <w:r>
        <w:rPr>
          <w:spacing w:val="-3"/>
        </w:rPr>
        <w:t> </w:t>
      </w:r>
      <w:r>
        <w:rPr/>
        <w:t>senior credit facility or incur new indebtedness. If regional and national economic conditions deteriorate, including in connection with a recession, revenues from our operations could decline as consumer spending levels decrease and we could fail to generate cash sufficient to fund our liquidity needs or satisfy the financial and other restrictive covenants in our debt and lease instruments. If we fail to generate cash sufficient to fund our liquidity needs or satisfy the financial and other</w:t>
      </w:r>
      <w:r>
        <w:rPr>
          <w:spacing w:val="-1"/>
        </w:rPr>
        <w:t> </w:t>
      </w:r>
      <w:r>
        <w:rPr/>
        <w:t>covenants</w:t>
      </w:r>
      <w:r>
        <w:rPr>
          <w:spacing w:val="-1"/>
        </w:rPr>
        <w:t> </w:t>
      </w:r>
      <w:r>
        <w:rPr/>
        <w:t>in</w:t>
      </w:r>
      <w:r>
        <w:rPr>
          <w:spacing w:val="-1"/>
        </w:rPr>
        <w:t> </w:t>
      </w:r>
      <w:r>
        <w:rPr/>
        <w:t>our</w:t>
      </w:r>
      <w:r>
        <w:rPr>
          <w:spacing w:val="-1"/>
        </w:rPr>
        <w:t> </w:t>
      </w:r>
      <w:r>
        <w:rPr/>
        <w:t>debt</w:t>
      </w:r>
      <w:r>
        <w:rPr>
          <w:spacing w:val="-1"/>
        </w:rPr>
        <w:t> </w:t>
      </w:r>
      <w:r>
        <w:rPr/>
        <w:t>and</w:t>
      </w:r>
      <w:r>
        <w:rPr>
          <w:spacing w:val="-1"/>
        </w:rPr>
        <w:t> </w:t>
      </w:r>
      <w:r>
        <w:rPr/>
        <w:t>lease</w:t>
      </w:r>
      <w:r>
        <w:rPr>
          <w:spacing w:val="-1"/>
        </w:rPr>
        <w:t> </w:t>
      </w:r>
      <w:r>
        <w:rPr/>
        <w:t>instruments,</w:t>
      </w:r>
      <w:r>
        <w:rPr>
          <w:spacing w:val="-1"/>
        </w:rPr>
        <w:t> </w:t>
      </w:r>
      <w:r>
        <w:rPr/>
        <w:t>we</w:t>
      </w:r>
      <w:r>
        <w:rPr>
          <w:spacing w:val="-1"/>
        </w:rPr>
        <w:t> </w:t>
      </w:r>
      <w:r>
        <w:rPr/>
        <w:t>cannot</w:t>
      </w:r>
      <w:r>
        <w:rPr>
          <w:spacing w:val="-1"/>
        </w:rPr>
        <w:t> </w:t>
      </w:r>
      <w:r>
        <w:rPr/>
        <w:t>assure</w:t>
      </w:r>
      <w:r>
        <w:rPr>
          <w:spacing w:val="-1"/>
        </w:rPr>
        <w:t> </w:t>
      </w:r>
      <w:r>
        <w:rPr/>
        <w:t>you</w:t>
      </w:r>
      <w:r>
        <w:rPr>
          <w:spacing w:val="-1"/>
        </w:rPr>
        <w:t> </w:t>
      </w:r>
      <w:r>
        <w:rPr/>
        <w:t>that</w:t>
      </w:r>
      <w:r>
        <w:rPr>
          <w:spacing w:val="-1"/>
        </w:rPr>
        <w:t> </w:t>
      </w:r>
      <w:r>
        <w:rPr/>
        <w:t>future</w:t>
      </w:r>
      <w:r>
        <w:rPr>
          <w:spacing w:val="-1"/>
        </w:rPr>
        <w:t> </w:t>
      </w:r>
      <w:r>
        <w:rPr/>
        <w:t>borrowings</w:t>
      </w:r>
      <w:r>
        <w:rPr>
          <w:spacing w:val="-1"/>
        </w:rPr>
        <w:t> </w:t>
      </w:r>
      <w:r>
        <w:rPr/>
        <w:t>will</w:t>
      </w:r>
      <w:r>
        <w:rPr>
          <w:spacing w:val="-1"/>
        </w:rPr>
        <w:t> </w:t>
      </w:r>
      <w:r>
        <w:rPr/>
        <w:t>be</w:t>
      </w:r>
      <w:r>
        <w:rPr>
          <w:spacing w:val="-1"/>
        </w:rPr>
        <w:t> </w:t>
      </w:r>
      <w:r>
        <w:rPr/>
        <w:t>available</w:t>
      </w:r>
      <w:r>
        <w:rPr>
          <w:spacing w:val="-1"/>
        </w:rPr>
        <w:t> </w:t>
      </w:r>
      <w:r>
        <w:rPr/>
        <w:t>to</w:t>
      </w:r>
      <w:r>
        <w:rPr>
          <w:spacing w:val="-1"/>
        </w:rPr>
        <w:t> </w:t>
      </w:r>
      <w:r>
        <w:rPr/>
        <w:t>us</w:t>
      </w:r>
      <w:r>
        <w:rPr>
          <w:spacing w:val="-1"/>
        </w:rPr>
        <w:t> </w:t>
      </w:r>
      <w:r>
        <w:rPr/>
        <w:t>under</w:t>
      </w:r>
      <w:r>
        <w:rPr>
          <w:spacing w:val="-1"/>
        </w:rPr>
        <w:t> </w:t>
      </w:r>
      <w:r>
        <w:rPr/>
        <w:t>our</w:t>
      </w:r>
      <w:r>
        <w:rPr>
          <w:spacing w:val="-1"/>
        </w:rPr>
        <w:t> </w:t>
      </w:r>
      <w:r>
        <w:rPr/>
        <w:t>senior</w:t>
      </w:r>
      <w:r>
        <w:rPr>
          <w:spacing w:val="-1"/>
        </w:rPr>
        <w:t> </w:t>
      </w:r>
      <w:r>
        <w:rPr/>
        <w:t>secured</w:t>
      </w:r>
      <w:r>
        <w:rPr>
          <w:spacing w:val="-1"/>
        </w:rPr>
        <w:t> </w:t>
      </w:r>
      <w:r>
        <w:rPr/>
        <w:t>credit</w:t>
      </w:r>
      <w:r>
        <w:rPr>
          <w:spacing w:val="-1"/>
        </w:rPr>
        <w:t> </w:t>
      </w:r>
      <w:r>
        <w:rPr/>
        <w:t>facility</w:t>
      </w:r>
      <w:r>
        <w:rPr>
          <w:spacing w:val="-1"/>
        </w:rPr>
        <w:t> </w:t>
      </w:r>
      <w:r>
        <w:rPr/>
        <w:t>in an amount sufficient to enable us to pay our indebtedness or fund our other liquidity needs or that we will be able to access the capital markets in the future to borrow additional debt on terms favorable to us, or at all.</w:t>
      </w:r>
    </w:p>
    <w:p>
      <w:pPr>
        <w:pStyle w:val="BodyText"/>
        <w:spacing w:before="21"/>
      </w:pPr>
    </w:p>
    <w:p>
      <w:pPr>
        <w:pStyle w:val="BodyText"/>
        <w:spacing w:line="242" w:lineRule="auto"/>
        <w:ind w:left="144" w:right="118" w:firstLine="499"/>
        <w:jc w:val="both"/>
      </w:pPr>
      <w:r>
        <w:rPr/>
        <w:t>In addition, we have a significant amount of indebtedness maturing in 2023, and thereafter. Our ability to fund or timely refinance and replace our indebtedness will depend upon the economic and credit market conditions discussed above. If we are unable to fund or refinance our indebtedness on a timely basis, we might be forced to seek alternate forms of financing, dispose of assets or minimize capital expenditures and other investments.</w:t>
      </w:r>
      <w:r>
        <w:rPr>
          <w:spacing w:val="-1"/>
        </w:rPr>
        <w:t> </w:t>
      </w:r>
      <w:r>
        <w:rPr/>
        <w:t>There is no assurance that any of these alternatives would be available to us, if at all, on satisfactory terms, on terms that would not be disadvantageous to us, or on terms that would not require us to breach the terms and conditions of our existing or future debt agreements or leases.</w:t>
      </w:r>
    </w:p>
    <w:p>
      <w:pPr>
        <w:pStyle w:val="BodyText"/>
        <w:spacing w:before="3"/>
      </w:pPr>
    </w:p>
    <w:p>
      <w:pPr>
        <w:spacing w:line="242" w:lineRule="auto" w:before="0"/>
        <w:ind w:left="144" w:right="118" w:firstLine="499"/>
        <w:jc w:val="both"/>
        <w:rPr>
          <w:sz w:val="18"/>
        </w:rPr>
      </w:pPr>
      <w:r>
        <w:rPr>
          <w:b/>
          <w:i/>
          <w:sz w:val="18"/>
        </w:rPr>
        <w:t>The agreements governing our senior credit facility and other senior indebtedness contain restrictions and limitations that could significantly </w:t>
      </w:r>
      <w:r>
        <w:rPr>
          <w:b/>
          <w:i/>
          <w:sz w:val="18"/>
        </w:rPr>
        <w:t>affect our ability to operate our business, as well as significantly affect our liquidity, and therefore could adversely affect our results of operations</w:t>
      </w:r>
      <w:r>
        <w:rPr>
          <w:b/>
          <w:sz w:val="18"/>
        </w:rPr>
        <w:t>. </w:t>
      </w:r>
      <w:r>
        <w:rPr>
          <w:sz w:val="18"/>
        </w:rPr>
        <w:t>Covenants governing our senior secured credit facility and certain of our debt securities restrict, among other things, our ability to:</w:t>
      </w:r>
    </w:p>
    <w:p>
      <w:pPr>
        <w:pStyle w:val="BodyText"/>
        <w:spacing w:before="3"/>
      </w:pPr>
    </w:p>
    <w:p>
      <w:pPr>
        <w:pStyle w:val="ListParagraph"/>
        <w:numPr>
          <w:ilvl w:val="0"/>
          <w:numId w:val="2"/>
        </w:numPr>
        <w:tabs>
          <w:tab w:pos="792" w:val="left" w:leader="none"/>
        </w:tabs>
        <w:spacing w:line="205" w:lineRule="exact" w:before="0" w:after="0"/>
        <w:ind w:left="792" w:right="0" w:hanging="324"/>
        <w:jc w:val="left"/>
        <w:rPr>
          <w:sz w:val="18"/>
        </w:rPr>
      </w:pPr>
      <w:r>
        <w:rPr>
          <w:sz w:val="18"/>
        </w:rPr>
        <w:t>pay</w:t>
      </w:r>
      <w:r>
        <w:rPr>
          <w:spacing w:val="-4"/>
          <w:sz w:val="18"/>
        </w:rPr>
        <w:t> </w:t>
      </w:r>
      <w:r>
        <w:rPr>
          <w:sz w:val="18"/>
        </w:rPr>
        <w:t>dividends</w:t>
      </w:r>
      <w:r>
        <w:rPr>
          <w:spacing w:val="-2"/>
          <w:sz w:val="18"/>
        </w:rPr>
        <w:t> </w:t>
      </w:r>
      <w:r>
        <w:rPr>
          <w:sz w:val="18"/>
        </w:rPr>
        <w:t>or</w:t>
      </w:r>
      <w:r>
        <w:rPr>
          <w:spacing w:val="-2"/>
          <w:sz w:val="18"/>
        </w:rPr>
        <w:t> </w:t>
      </w:r>
      <w:r>
        <w:rPr>
          <w:sz w:val="18"/>
        </w:rPr>
        <w:t>distributions,</w:t>
      </w:r>
      <w:r>
        <w:rPr>
          <w:spacing w:val="-2"/>
          <w:sz w:val="18"/>
        </w:rPr>
        <w:t> </w:t>
      </w:r>
      <w:r>
        <w:rPr>
          <w:sz w:val="18"/>
        </w:rPr>
        <w:t>repurchase</w:t>
      </w:r>
      <w:r>
        <w:rPr>
          <w:spacing w:val="-2"/>
          <w:sz w:val="18"/>
        </w:rPr>
        <w:t> </w:t>
      </w:r>
      <w:r>
        <w:rPr>
          <w:sz w:val="18"/>
        </w:rPr>
        <w:t>equity,</w:t>
      </w:r>
      <w:r>
        <w:rPr>
          <w:spacing w:val="-2"/>
          <w:sz w:val="18"/>
        </w:rPr>
        <w:t> </w:t>
      </w:r>
      <w:r>
        <w:rPr>
          <w:sz w:val="18"/>
        </w:rPr>
        <w:t>prepay</w:t>
      </w:r>
      <w:r>
        <w:rPr>
          <w:spacing w:val="-2"/>
          <w:sz w:val="18"/>
        </w:rPr>
        <w:t> </w:t>
      </w:r>
      <w:r>
        <w:rPr>
          <w:sz w:val="18"/>
        </w:rPr>
        <w:t>certain</w:t>
      </w:r>
      <w:r>
        <w:rPr>
          <w:spacing w:val="-2"/>
          <w:sz w:val="18"/>
        </w:rPr>
        <w:t> </w:t>
      </w:r>
      <w:r>
        <w:rPr>
          <w:sz w:val="18"/>
        </w:rPr>
        <w:t>debt</w:t>
      </w:r>
      <w:r>
        <w:rPr>
          <w:spacing w:val="-2"/>
          <w:sz w:val="18"/>
        </w:rPr>
        <w:t> </w:t>
      </w:r>
      <w:r>
        <w:rPr>
          <w:sz w:val="18"/>
        </w:rPr>
        <w:t>or</w:t>
      </w:r>
      <w:r>
        <w:rPr>
          <w:spacing w:val="-2"/>
          <w:sz w:val="18"/>
        </w:rPr>
        <w:t> </w:t>
      </w:r>
      <w:r>
        <w:rPr>
          <w:sz w:val="18"/>
        </w:rPr>
        <w:t>make</w:t>
      </w:r>
      <w:r>
        <w:rPr>
          <w:spacing w:val="-2"/>
          <w:sz w:val="18"/>
        </w:rPr>
        <w:t> </w:t>
      </w:r>
      <w:r>
        <w:rPr>
          <w:sz w:val="18"/>
        </w:rPr>
        <w:t>certain</w:t>
      </w:r>
      <w:r>
        <w:rPr>
          <w:spacing w:val="-2"/>
          <w:sz w:val="18"/>
        </w:rPr>
        <w:t> investments;</w:t>
      </w:r>
    </w:p>
    <w:p>
      <w:pPr>
        <w:pStyle w:val="ListParagraph"/>
        <w:numPr>
          <w:ilvl w:val="0"/>
          <w:numId w:val="2"/>
        </w:numPr>
        <w:tabs>
          <w:tab w:pos="792" w:val="left" w:leader="none"/>
        </w:tabs>
        <w:spacing w:line="205" w:lineRule="exact" w:before="0" w:after="0"/>
        <w:ind w:left="792" w:right="0" w:hanging="324"/>
        <w:jc w:val="left"/>
        <w:rPr>
          <w:sz w:val="18"/>
        </w:rPr>
      </w:pPr>
      <w:r>
        <w:rPr>
          <w:sz w:val="18"/>
        </w:rPr>
        <w:t>incur</w:t>
      </w:r>
      <w:r>
        <w:rPr>
          <w:spacing w:val="-1"/>
          <w:sz w:val="18"/>
        </w:rPr>
        <w:t> </w:t>
      </w:r>
      <w:r>
        <w:rPr>
          <w:sz w:val="18"/>
        </w:rPr>
        <w:t>additional</w:t>
      </w:r>
      <w:r>
        <w:rPr>
          <w:spacing w:val="-1"/>
          <w:sz w:val="18"/>
        </w:rPr>
        <w:t> </w:t>
      </w:r>
      <w:r>
        <w:rPr>
          <w:spacing w:val="-2"/>
          <w:sz w:val="18"/>
        </w:rPr>
        <w:t>debt;</w:t>
      </w:r>
    </w:p>
    <w:p>
      <w:pPr>
        <w:pStyle w:val="ListParagraph"/>
        <w:numPr>
          <w:ilvl w:val="0"/>
          <w:numId w:val="2"/>
        </w:numPr>
        <w:tabs>
          <w:tab w:pos="792" w:val="left" w:leader="none"/>
        </w:tabs>
        <w:spacing w:line="205" w:lineRule="exact" w:before="9" w:after="0"/>
        <w:ind w:left="792" w:right="0" w:hanging="324"/>
        <w:jc w:val="left"/>
        <w:rPr>
          <w:sz w:val="18"/>
        </w:rPr>
      </w:pPr>
      <w:r>
        <w:rPr>
          <w:sz w:val="18"/>
        </w:rPr>
        <w:t>incur</w:t>
      </w:r>
      <w:r>
        <w:rPr>
          <w:spacing w:val="-1"/>
          <w:sz w:val="18"/>
        </w:rPr>
        <w:t> </w:t>
      </w:r>
      <w:r>
        <w:rPr>
          <w:sz w:val="18"/>
        </w:rPr>
        <w:t>liens</w:t>
      </w:r>
      <w:r>
        <w:rPr>
          <w:spacing w:val="-1"/>
          <w:sz w:val="18"/>
        </w:rPr>
        <w:t> </w:t>
      </w:r>
      <w:r>
        <w:rPr>
          <w:sz w:val="18"/>
        </w:rPr>
        <w:t>on</w:t>
      </w:r>
      <w:r>
        <w:rPr>
          <w:spacing w:val="-1"/>
          <w:sz w:val="18"/>
        </w:rPr>
        <w:t> </w:t>
      </w:r>
      <w:r>
        <w:rPr>
          <w:spacing w:val="-2"/>
          <w:sz w:val="18"/>
        </w:rPr>
        <w:t>assets;</w:t>
      </w:r>
    </w:p>
    <w:p>
      <w:pPr>
        <w:pStyle w:val="ListParagraph"/>
        <w:numPr>
          <w:ilvl w:val="0"/>
          <w:numId w:val="2"/>
        </w:numPr>
        <w:tabs>
          <w:tab w:pos="792" w:val="left" w:leader="none"/>
        </w:tabs>
        <w:spacing w:line="203" w:lineRule="exact" w:before="0" w:after="0"/>
        <w:ind w:left="792" w:right="0" w:hanging="324"/>
        <w:jc w:val="left"/>
        <w:rPr>
          <w:sz w:val="18"/>
        </w:rPr>
      </w:pPr>
      <w:r>
        <w:rPr>
          <w:sz w:val="18"/>
        </w:rPr>
        <w:t>sell</w:t>
      </w:r>
      <w:r>
        <w:rPr>
          <w:spacing w:val="-1"/>
          <w:sz w:val="18"/>
        </w:rPr>
        <w:t> </w:t>
      </w:r>
      <w:r>
        <w:rPr>
          <w:sz w:val="18"/>
        </w:rPr>
        <w:t>assets</w:t>
      </w:r>
      <w:r>
        <w:rPr>
          <w:spacing w:val="-1"/>
          <w:sz w:val="18"/>
        </w:rPr>
        <w:t> </w:t>
      </w:r>
      <w:r>
        <w:rPr>
          <w:sz w:val="18"/>
        </w:rPr>
        <w:t>or</w:t>
      </w:r>
      <w:r>
        <w:rPr>
          <w:spacing w:val="-1"/>
          <w:sz w:val="18"/>
        </w:rPr>
        <w:t> </w:t>
      </w:r>
      <w:r>
        <w:rPr>
          <w:sz w:val="18"/>
        </w:rPr>
        <w:t>consolidate</w:t>
      </w:r>
      <w:r>
        <w:rPr>
          <w:spacing w:val="-1"/>
          <w:sz w:val="18"/>
        </w:rPr>
        <w:t> </w:t>
      </w:r>
      <w:r>
        <w:rPr>
          <w:sz w:val="18"/>
        </w:rPr>
        <w:t>with</w:t>
      </w:r>
      <w:r>
        <w:rPr>
          <w:spacing w:val="-1"/>
          <w:sz w:val="18"/>
        </w:rPr>
        <w:t> </w:t>
      </w:r>
      <w:r>
        <w:rPr>
          <w:sz w:val="18"/>
        </w:rPr>
        <w:t>another</w:t>
      </w:r>
      <w:r>
        <w:rPr>
          <w:spacing w:val="-1"/>
          <w:sz w:val="18"/>
        </w:rPr>
        <w:t> </w:t>
      </w:r>
      <w:r>
        <w:rPr>
          <w:sz w:val="18"/>
        </w:rPr>
        <w:t>company</w:t>
      </w:r>
      <w:r>
        <w:rPr>
          <w:spacing w:val="-1"/>
          <w:sz w:val="18"/>
        </w:rPr>
        <w:t> </w:t>
      </w:r>
      <w:r>
        <w:rPr>
          <w:sz w:val="18"/>
        </w:rPr>
        <w:t>or</w:t>
      </w:r>
      <w:r>
        <w:rPr>
          <w:spacing w:val="-1"/>
          <w:sz w:val="18"/>
        </w:rPr>
        <w:t> </w:t>
      </w:r>
      <w:r>
        <w:rPr>
          <w:sz w:val="18"/>
        </w:rPr>
        <w:t>sell</w:t>
      </w:r>
      <w:r>
        <w:rPr>
          <w:spacing w:val="-1"/>
          <w:sz w:val="18"/>
        </w:rPr>
        <w:t> </w:t>
      </w:r>
      <w:r>
        <w:rPr>
          <w:sz w:val="18"/>
        </w:rPr>
        <w:t>all</w:t>
      </w:r>
      <w:r>
        <w:rPr>
          <w:spacing w:val="-1"/>
          <w:sz w:val="18"/>
        </w:rPr>
        <w:t> </w:t>
      </w:r>
      <w:r>
        <w:rPr>
          <w:sz w:val="18"/>
        </w:rPr>
        <w:t>or</w:t>
      </w:r>
      <w:r>
        <w:rPr>
          <w:spacing w:val="-1"/>
          <w:sz w:val="18"/>
        </w:rPr>
        <w:t> </w:t>
      </w:r>
      <w:r>
        <w:rPr>
          <w:sz w:val="18"/>
        </w:rPr>
        <w:t>substantially</w:t>
      </w:r>
      <w:r>
        <w:rPr>
          <w:spacing w:val="-1"/>
          <w:sz w:val="18"/>
        </w:rPr>
        <w:t> </w:t>
      </w:r>
      <w:r>
        <w:rPr>
          <w:sz w:val="18"/>
        </w:rPr>
        <w:t>all</w:t>
      </w:r>
      <w:r>
        <w:rPr>
          <w:spacing w:val="-1"/>
          <w:sz w:val="18"/>
        </w:rPr>
        <w:t> </w:t>
      </w:r>
      <w:r>
        <w:rPr>
          <w:sz w:val="18"/>
        </w:rPr>
        <w:t>of</w:t>
      </w:r>
      <w:r>
        <w:rPr>
          <w:spacing w:val="-1"/>
          <w:sz w:val="18"/>
        </w:rPr>
        <w:t> </w:t>
      </w:r>
      <w:r>
        <w:rPr>
          <w:sz w:val="18"/>
        </w:rPr>
        <w:t>our</w:t>
      </w:r>
      <w:r>
        <w:rPr>
          <w:spacing w:val="-1"/>
          <w:sz w:val="18"/>
        </w:rPr>
        <w:t> </w:t>
      </w:r>
      <w:r>
        <w:rPr>
          <w:spacing w:val="-2"/>
          <w:sz w:val="18"/>
        </w:rPr>
        <w:t>assets;</w:t>
      </w:r>
    </w:p>
    <w:p>
      <w:pPr>
        <w:pStyle w:val="ListParagraph"/>
        <w:numPr>
          <w:ilvl w:val="0"/>
          <w:numId w:val="2"/>
        </w:numPr>
        <w:tabs>
          <w:tab w:pos="792" w:val="left" w:leader="none"/>
        </w:tabs>
        <w:spacing w:line="205" w:lineRule="exact" w:before="0" w:after="0"/>
        <w:ind w:left="792" w:right="0" w:hanging="324"/>
        <w:jc w:val="left"/>
        <w:rPr>
          <w:sz w:val="18"/>
        </w:rPr>
      </w:pPr>
      <w:r>
        <w:rPr>
          <w:sz w:val="18"/>
        </w:rPr>
        <w:t>enter</w:t>
      </w:r>
      <w:r>
        <w:rPr>
          <w:spacing w:val="-1"/>
          <w:sz w:val="18"/>
        </w:rPr>
        <w:t> </w:t>
      </w:r>
      <w:r>
        <w:rPr>
          <w:sz w:val="18"/>
        </w:rPr>
        <w:t>into</w:t>
      </w:r>
      <w:r>
        <w:rPr>
          <w:spacing w:val="-1"/>
          <w:sz w:val="18"/>
        </w:rPr>
        <w:t> </w:t>
      </w:r>
      <w:r>
        <w:rPr>
          <w:sz w:val="18"/>
        </w:rPr>
        <w:t>transactions</w:t>
      </w:r>
      <w:r>
        <w:rPr>
          <w:spacing w:val="-1"/>
          <w:sz w:val="18"/>
        </w:rPr>
        <w:t> </w:t>
      </w:r>
      <w:r>
        <w:rPr>
          <w:sz w:val="18"/>
        </w:rPr>
        <w:t>with</w:t>
      </w:r>
      <w:r>
        <w:rPr>
          <w:spacing w:val="-1"/>
          <w:sz w:val="18"/>
        </w:rPr>
        <w:t> </w:t>
      </w:r>
      <w:r>
        <w:rPr>
          <w:spacing w:val="-2"/>
          <w:sz w:val="18"/>
        </w:rPr>
        <w:t>affiliates;</w:t>
      </w:r>
    </w:p>
    <w:p>
      <w:pPr>
        <w:pStyle w:val="BodyText"/>
      </w:pPr>
    </w:p>
    <w:p>
      <w:pPr>
        <w:pStyle w:val="BodyText"/>
        <w:spacing w:before="189"/>
      </w:pPr>
    </w:p>
    <w:p>
      <w:pPr>
        <w:pStyle w:val="BodyText"/>
        <w:ind w:left="24"/>
        <w:jc w:val="center"/>
      </w:pPr>
      <w:r>
        <w:rPr>
          <w:spacing w:val="-5"/>
        </w:rPr>
        <w:t>15</w:t>
      </w:r>
    </w:p>
    <w:p>
      <w:pPr>
        <w:pStyle w:val="BodyText"/>
        <w:spacing w:before="3"/>
        <w:rPr>
          <w:sz w:val="6"/>
        </w:rPr>
      </w:pPr>
      <w:r>
        <w:rPr/>
        <mc:AlternateContent>
          <mc:Choice Requires="wps">
            <w:drawing>
              <wp:anchor distT="0" distB="0" distL="0" distR="0" allowOverlap="1" layoutInCell="1" locked="0" behindDoc="1" simplePos="0" relativeHeight="487601664">
                <wp:simplePos x="0" y="0"/>
                <wp:positionH relativeFrom="page">
                  <wp:posOffset>231457</wp:posOffset>
                </wp:positionH>
                <wp:positionV relativeFrom="paragraph">
                  <wp:posOffset>60956</wp:posOffset>
                </wp:positionV>
                <wp:extent cx="7312659" cy="1714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7312659" cy="17145"/>
                          <a:chExt cx="7312659" cy="17145"/>
                        </a:xfrm>
                      </wpg:grpSpPr>
                      <wps:wsp>
                        <wps:cNvPr id="82" name="Graphic 8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3" name="Graphic 83"/>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4" name="Graphic 8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4816;mso-wrap-distance-left:0;mso-wrap-distance-right:0" id="docshapegroup80" coordorigin="364,96" coordsize="11516,27">
                <v:rect style="position:absolute;left:364;top:96;width:11516;height:14" id="docshape81" filled="true" fillcolor="#999999" stroked="false">
                  <v:fill type="solid"/>
                </v:rect>
                <v:shape style="position:absolute;left:364;top:96;width:11516;height:27" id="docshape82" coordorigin="364,96" coordsize="11516,27" path="m11880,96l11866,110,364,110,364,123,11866,123,11880,123,11880,110,11880,96xe" filled="true" fillcolor="#ededed" stroked="false">
                  <v:path arrowok="t"/>
                  <v:fill type="solid"/>
                </v:shape>
                <v:shape style="position:absolute;left:364;top:96;width:14;height:27" id="docshape8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ListParagraph"/>
        <w:numPr>
          <w:ilvl w:val="0"/>
          <w:numId w:val="2"/>
        </w:numPr>
        <w:tabs>
          <w:tab w:pos="792" w:val="left" w:leader="none"/>
        </w:tabs>
        <w:spacing w:line="205" w:lineRule="exact" w:before="63" w:after="0"/>
        <w:ind w:left="792" w:right="0" w:hanging="324"/>
        <w:jc w:val="left"/>
        <w:rPr>
          <w:sz w:val="18"/>
        </w:rPr>
      </w:pPr>
      <w:r>
        <w:rPr>
          <w:sz w:val="18"/>
        </w:rPr>
        <w:t>allow</w:t>
      </w:r>
      <w:r>
        <w:rPr>
          <w:spacing w:val="-1"/>
          <w:sz w:val="18"/>
        </w:rPr>
        <w:t> </w:t>
      </w:r>
      <w:r>
        <w:rPr>
          <w:sz w:val="18"/>
        </w:rPr>
        <w:t>certain</w:t>
      </w:r>
      <w:r>
        <w:rPr>
          <w:spacing w:val="-1"/>
          <w:sz w:val="18"/>
        </w:rPr>
        <w:t> </w:t>
      </w:r>
      <w:r>
        <w:rPr>
          <w:sz w:val="18"/>
        </w:rPr>
        <w:t>subsidiaries</w:t>
      </w:r>
      <w:r>
        <w:rPr>
          <w:spacing w:val="-1"/>
          <w:sz w:val="18"/>
        </w:rPr>
        <w:t> </w:t>
      </w:r>
      <w:r>
        <w:rPr>
          <w:sz w:val="18"/>
        </w:rPr>
        <w:t>to</w:t>
      </w:r>
      <w:r>
        <w:rPr>
          <w:spacing w:val="-1"/>
          <w:sz w:val="18"/>
        </w:rPr>
        <w:t> </w:t>
      </w:r>
      <w:r>
        <w:rPr>
          <w:sz w:val="18"/>
        </w:rPr>
        <w:t>transfer</w:t>
      </w:r>
      <w:r>
        <w:rPr>
          <w:spacing w:val="-1"/>
          <w:sz w:val="18"/>
        </w:rPr>
        <w:t> </w:t>
      </w:r>
      <w:r>
        <w:rPr>
          <w:sz w:val="18"/>
        </w:rPr>
        <w:t>assets</w:t>
      </w:r>
      <w:r>
        <w:rPr>
          <w:spacing w:val="-1"/>
          <w:sz w:val="18"/>
        </w:rPr>
        <w:t> </w:t>
      </w:r>
      <w:r>
        <w:rPr>
          <w:sz w:val="18"/>
        </w:rPr>
        <w:t>or</w:t>
      </w:r>
      <w:r>
        <w:rPr>
          <w:spacing w:val="-1"/>
          <w:sz w:val="18"/>
        </w:rPr>
        <w:t> </w:t>
      </w:r>
      <w:r>
        <w:rPr>
          <w:sz w:val="18"/>
        </w:rPr>
        <w:t>enter</w:t>
      </w:r>
      <w:r>
        <w:rPr>
          <w:spacing w:val="-1"/>
          <w:sz w:val="18"/>
        </w:rPr>
        <w:t> </w:t>
      </w:r>
      <w:r>
        <w:rPr>
          <w:sz w:val="18"/>
        </w:rPr>
        <w:t>into</w:t>
      </w:r>
      <w:r>
        <w:rPr>
          <w:spacing w:val="-1"/>
          <w:sz w:val="18"/>
        </w:rPr>
        <w:t> </w:t>
      </w:r>
      <w:r>
        <w:rPr>
          <w:sz w:val="18"/>
        </w:rPr>
        <w:t>certain</w:t>
      </w:r>
      <w:r>
        <w:rPr>
          <w:spacing w:val="-1"/>
          <w:sz w:val="18"/>
        </w:rPr>
        <w:t> </w:t>
      </w:r>
      <w:r>
        <w:rPr>
          <w:sz w:val="18"/>
        </w:rPr>
        <w:t>agreements;</w:t>
      </w:r>
      <w:r>
        <w:rPr>
          <w:spacing w:val="-1"/>
          <w:sz w:val="18"/>
        </w:rPr>
        <w:t> </w:t>
      </w:r>
      <w:r>
        <w:rPr>
          <w:spacing w:val="-5"/>
          <w:sz w:val="18"/>
        </w:rPr>
        <w:t>and</w:t>
      </w:r>
    </w:p>
    <w:p>
      <w:pPr>
        <w:pStyle w:val="ListParagraph"/>
        <w:numPr>
          <w:ilvl w:val="0"/>
          <w:numId w:val="2"/>
        </w:numPr>
        <w:tabs>
          <w:tab w:pos="792" w:val="left" w:leader="none"/>
        </w:tabs>
        <w:spacing w:line="205" w:lineRule="exact" w:before="0" w:after="0"/>
        <w:ind w:left="792" w:right="0" w:hanging="324"/>
        <w:jc w:val="left"/>
        <w:rPr>
          <w:sz w:val="18"/>
        </w:rPr>
      </w:pPr>
      <w:r>
        <w:rPr>
          <w:sz w:val="18"/>
        </w:rPr>
        <w:t>enter</w:t>
      </w:r>
      <w:r>
        <w:rPr>
          <w:spacing w:val="-1"/>
          <w:sz w:val="18"/>
        </w:rPr>
        <w:t> </w:t>
      </w:r>
      <w:r>
        <w:rPr>
          <w:sz w:val="18"/>
        </w:rPr>
        <w:t>into</w:t>
      </w:r>
      <w:r>
        <w:rPr>
          <w:spacing w:val="-1"/>
          <w:sz w:val="18"/>
        </w:rPr>
        <w:t> </w:t>
      </w:r>
      <w:r>
        <w:rPr>
          <w:sz w:val="18"/>
        </w:rPr>
        <w:t>sale</w:t>
      </w:r>
      <w:r>
        <w:rPr>
          <w:spacing w:val="-1"/>
          <w:sz w:val="18"/>
        </w:rPr>
        <w:t> </w:t>
      </w:r>
      <w:r>
        <w:rPr>
          <w:sz w:val="18"/>
        </w:rPr>
        <w:t>and</w:t>
      </w:r>
      <w:r>
        <w:rPr>
          <w:spacing w:val="-1"/>
          <w:sz w:val="18"/>
        </w:rPr>
        <w:t> </w:t>
      </w:r>
      <w:r>
        <w:rPr>
          <w:sz w:val="18"/>
        </w:rPr>
        <w:t>lease-back</w:t>
      </w:r>
      <w:r>
        <w:rPr>
          <w:spacing w:val="-1"/>
          <w:sz w:val="18"/>
        </w:rPr>
        <w:t> </w:t>
      </w:r>
      <w:r>
        <w:rPr>
          <w:spacing w:val="-2"/>
          <w:sz w:val="18"/>
        </w:rPr>
        <w:t>transactions.</w:t>
      </w:r>
    </w:p>
    <w:p>
      <w:pPr>
        <w:pStyle w:val="BodyText"/>
        <w:spacing w:before="4"/>
      </w:pPr>
    </w:p>
    <w:p>
      <w:pPr>
        <w:pStyle w:val="BodyText"/>
        <w:ind w:left="144" w:right="118" w:firstLine="499"/>
        <w:jc w:val="both"/>
      </w:pPr>
      <w:r>
        <w:rPr/>
        <w:t>Our ability to comply with these provisions may be affected by events beyond our control. The breach of any such covenants or obligations not otherwise</w:t>
      </w:r>
      <w:r>
        <w:rPr>
          <w:spacing w:val="-1"/>
        </w:rPr>
        <w:t> </w:t>
      </w:r>
      <w:r>
        <w:rPr/>
        <w:t>waived</w:t>
      </w:r>
      <w:r>
        <w:rPr>
          <w:spacing w:val="-1"/>
        </w:rPr>
        <w:t> </w:t>
      </w:r>
      <w:r>
        <w:rPr/>
        <w:t>or</w:t>
      </w:r>
      <w:r>
        <w:rPr>
          <w:spacing w:val="-1"/>
        </w:rPr>
        <w:t> </w:t>
      </w:r>
      <w:r>
        <w:rPr/>
        <w:t>cured</w:t>
      </w:r>
      <w:r>
        <w:rPr>
          <w:spacing w:val="-1"/>
        </w:rPr>
        <w:t> </w:t>
      </w:r>
      <w:r>
        <w:rPr/>
        <w:t>could</w:t>
      </w:r>
      <w:r>
        <w:rPr>
          <w:spacing w:val="-1"/>
        </w:rPr>
        <w:t> </w:t>
      </w:r>
      <w:r>
        <w:rPr/>
        <w:t>result</w:t>
      </w:r>
      <w:r>
        <w:rPr>
          <w:spacing w:val="-1"/>
        </w:rPr>
        <w:t> </w:t>
      </w:r>
      <w:r>
        <w:rPr/>
        <w:t>in</w:t>
      </w:r>
      <w:r>
        <w:rPr>
          <w:spacing w:val="-1"/>
        </w:rPr>
        <w:t> </w:t>
      </w:r>
      <w:r>
        <w:rPr/>
        <w:t>a</w:t>
      </w:r>
      <w:r>
        <w:rPr>
          <w:spacing w:val="-1"/>
        </w:rPr>
        <w:t> </w:t>
      </w:r>
      <w:r>
        <w:rPr/>
        <w:t>default</w:t>
      </w:r>
      <w:r>
        <w:rPr>
          <w:spacing w:val="-1"/>
        </w:rPr>
        <w:t> </w:t>
      </w:r>
      <w:r>
        <w:rPr/>
        <w:t>under</w:t>
      </w:r>
      <w:r>
        <w:rPr>
          <w:spacing w:val="-1"/>
        </w:rPr>
        <w:t> </w:t>
      </w:r>
      <w:r>
        <w:rPr/>
        <w:t>the</w:t>
      </w:r>
      <w:r>
        <w:rPr>
          <w:spacing w:val="-1"/>
        </w:rPr>
        <w:t> </w:t>
      </w:r>
      <w:r>
        <w:rPr/>
        <w:t>applicable</w:t>
      </w:r>
      <w:r>
        <w:rPr>
          <w:spacing w:val="-1"/>
        </w:rPr>
        <w:t> </w:t>
      </w:r>
      <w:r>
        <w:rPr/>
        <w:t>debt</w:t>
      </w:r>
      <w:r>
        <w:rPr>
          <w:spacing w:val="-1"/>
        </w:rPr>
        <w:t> </w:t>
      </w:r>
      <w:r>
        <w:rPr/>
        <w:t>obligations</w:t>
      </w:r>
      <w:r>
        <w:rPr>
          <w:spacing w:val="-1"/>
        </w:rPr>
        <w:t> </w:t>
      </w:r>
      <w:r>
        <w:rPr/>
        <w:t>and</w:t>
      </w:r>
      <w:r>
        <w:rPr>
          <w:spacing w:val="-1"/>
        </w:rPr>
        <w:t> </w:t>
      </w:r>
      <w:r>
        <w:rPr/>
        <w:t>could</w:t>
      </w:r>
      <w:r>
        <w:rPr>
          <w:spacing w:val="-1"/>
        </w:rPr>
        <w:t> </w:t>
      </w:r>
      <w:r>
        <w:rPr/>
        <w:t>trigger</w:t>
      </w:r>
      <w:r>
        <w:rPr>
          <w:spacing w:val="-1"/>
        </w:rPr>
        <w:t> </w:t>
      </w:r>
      <w:r>
        <w:rPr/>
        <w:t>acceleration</w:t>
      </w:r>
      <w:r>
        <w:rPr>
          <w:spacing w:val="-1"/>
        </w:rPr>
        <w:t> </w:t>
      </w:r>
      <w:r>
        <w:rPr/>
        <w:t>of</w:t>
      </w:r>
      <w:r>
        <w:rPr>
          <w:spacing w:val="-1"/>
        </w:rPr>
        <w:t> </w:t>
      </w:r>
      <w:r>
        <w:rPr/>
        <w:t>those</w:t>
      </w:r>
      <w:r>
        <w:rPr>
          <w:spacing w:val="-1"/>
        </w:rPr>
        <w:t> </w:t>
      </w:r>
      <w:r>
        <w:rPr/>
        <w:t>obligations,</w:t>
      </w:r>
      <w:r>
        <w:rPr>
          <w:spacing w:val="-1"/>
        </w:rPr>
        <w:t> </w:t>
      </w:r>
      <w:r>
        <w:rPr/>
        <w:t>which</w:t>
      </w:r>
      <w:r>
        <w:rPr>
          <w:spacing w:val="-1"/>
        </w:rPr>
        <w:t> </w:t>
      </w:r>
      <w:r>
        <w:rPr/>
        <w:t>in</w:t>
      </w:r>
      <w:r>
        <w:rPr>
          <w:spacing w:val="-1"/>
        </w:rPr>
        <w:t> </w:t>
      </w:r>
      <w:r>
        <w:rPr/>
        <w:t>turn</w:t>
      </w:r>
      <w:r>
        <w:rPr>
          <w:spacing w:val="-1"/>
        </w:rPr>
        <w:t> </w:t>
      </w:r>
      <w:r>
        <w:rPr/>
        <w:t>could trigger cross-defaults under other agreements governing our long-term indebtedness. Any default under our senior credit facility or the indentures could adversely affect our growth, our financial condition, our results of operations and our ability to make payments on our debt and other financial commitments.</w:t>
      </w:r>
    </w:p>
    <w:p>
      <w:pPr>
        <w:pStyle w:val="BodyText"/>
        <w:spacing w:before="18"/>
      </w:pPr>
    </w:p>
    <w:p>
      <w:pPr>
        <w:pStyle w:val="BodyText"/>
        <w:ind w:left="144" w:right="118" w:firstLine="499"/>
        <w:jc w:val="both"/>
      </w:pPr>
      <w:r>
        <w:rPr/>
        <w:t>In addition, MGM China has issued debt securities and is a borrower under credit facilities, all of which contain covenants that restrict the borrower’s ability to engage in certain transactions, require MGM China to satisfy certain financial covenants and impose certain operating and financial restrictions on MGM China and its subsidiaries. These restrictions include, among other things, limitations on MGM China’s ability to pay dividends or distributions to </w:t>
      </w:r>
      <w:r>
        <w:rPr/>
        <w:t>us, incur additional debt, make investments or engage in other businesses, merge or consolidate with other companies, or transfer or sell assets.</w:t>
      </w:r>
    </w:p>
    <w:p>
      <w:pPr>
        <w:pStyle w:val="BodyText"/>
        <w:spacing w:before="8"/>
      </w:pPr>
    </w:p>
    <w:p>
      <w:pPr>
        <w:pStyle w:val="Heading6"/>
        <w:spacing w:line="235" w:lineRule="auto"/>
        <w:ind w:left="144" w:right="118" w:firstLine="499"/>
        <w:jc w:val="both"/>
        <w:rPr>
          <w:b w:val="0"/>
          <w:i w:val="0"/>
        </w:rPr>
      </w:pPr>
      <w:r>
        <w:rPr/>
        <w:t>We are required to pay a significant portion of our cash flows as rent, which could adversely affect our ability to fund our operations and growth initiatives,</w:t>
      </w:r>
      <w:r>
        <w:rPr>
          <w:spacing w:val="13"/>
        </w:rPr>
        <w:t> </w:t>
      </w:r>
      <w:r>
        <w:rPr/>
        <w:t>service</w:t>
      </w:r>
      <w:r>
        <w:rPr>
          <w:spacing w:val="13"/>
        </w:rPr>
        <w:t> </w:t>
      </w:r>
      <w:r>
        <w:rPr/>
        <w:t>our</w:t>
      </w:r>
      <w:r>
        <w:rPr>
          <w:spacing w:val="14"/>
        </w:rPr>
        <w:t> </w:t>
      </w:r>
      <w:r>
        <w:rPr/>
        <w:t>indebtedness</w:t>
      </w:r>
      <w:r>
        <w:rPr>
          <w:spacing w:val="13"/>
        </w:rPr>
        <w:t> </w:t>
      </w:r>
      <w:r>
        <w:rPr/>
        <w:t>and</w:t>
      </w:r>
      <w:r>
        <w:rPr>
          <w:spacing w:val="13"/>
        </w:rPr>
        <w:t> </w:t>
      </w:r>
      <w:r>
        <w:rPr/>
        <w:t>limit</w:t>
      </w:r>
      <w:r>
        <w:rPr>
          <w:spacing w:val="14"/>
        </w:rPr>
        <w:t> </w:t>
      </w:r>
      <w:r>
        <w:rPr/>
        <w:t>our</w:t>
      </w:r>
      <w:r>
        <w:rPr>
          <w:spacing w:val="13"/>
        </w:rPr>
        <w:t> </w:t>
      </w:r>
      <w:r>
        <w:rPr/>
        <w:t>ability</w:t>
      </w:r>
      <w:r>
        <w:rPr>
          <w:spacing w:val="13"/>
        </w:rPr>
        <w:t> </w:t>
      </w:r>
      <w:r>
        <w:rPr/>
        <w:t>to</w:t>
      </w:r>
      <w:r>
        <w:rPr>
          <w:spacing w:val="14"/>
        </w:rPr>
        <w:t> </w:t>
      </w:r>
      <w:r>
        <w:rPr/>
        <w:t>react</w:t>
      </w:r>
      <w:r>
        <w:rPr>
          <w:spacing w:val="13"/>
        </w:rPr>
        <w:t> </w:t>
      </w:r>
      <w:r>
        <w:rPr/>
        <w:t>to</w:t>
      </w:r>
      <w:r>
        <w:rPr>
          <w:spacing w:val="13"/>
        </w:rPr>
        <w:t> </w:t>
      </w:r>
      <w:r>
        <w:rPr/>
        <w:t>competitive</w:t>
      </w:r>
      <w:r>
        <w:rPr>
          <w:spacing w:val="14"/>
        </w:rPr>
        <w:t> </w:t>
      </w:r>
      <w:r>
        <w:rPr/>
        <w:t>and</w:t>
      </w:r>
      <w:r>
        <w:rPr>
          <w:spacing w:val="13"/>
        </w:rPr>
        <w:t> </w:t>
      </w:r>
      <w:r>
        <w:rPr/>
        <w:t>economic</w:t>
      </w:r>
      <w:r>
        <w:rPr>
          <w:spacing w:val="13"/>
        </w:rPr>
        <w:t> </w:t>
      </w:r>
      <w:r>
        <w:rPr/>
        <w:t>changes</w:t>
      </w:r>
      <w:r>
        <w:rPr>
          <w:i w:val="0"/>
        </w:rPr>
        <w:t>.</w:t>
      </w:r>
      <w:r>
        <w:rPr>
          <w:i w:val="0"/>
          <w:spacing w:val="11"/>
        </w:rPr>
        <w:t> </w:t>
      </w:r>
      <w:r>
        <w:rPr>
          <w:b w:val="0"/>
          <w:i w:val="0"/>
        </w:rPr>
        <w:t>We</w:t>
      </w:r>
      <w:r>
        <w:rPr>
          <w:b w:val="0"/>
          <w:i w:val="0"/>
          <w:spacing w:val="13"/>
        </w:rPr>
        <w:t> </w:t>
      </w:r>
      <w:r>
        <w:rPr>
          <w:b w:val="0"/>
          <w:i w:val="0"/>
        </w:rPr>
        <w:t>are</w:t>
      </w:r>
      <w:r>
        <w:rPr>
          <w:b w:val="0"/>
          <w:i w:val="0"/>
          <w:spacing w:val="13"/>
        </w:rPr>
        <w:t> </w:t>
      </w:r>
      <w:r>
        <w:rPr>
          <w:b w:val="0"/>
          <w:i w:val="0"/>
        </w:rPr>
        <w:t>required</w:t>
      </w:r>
      <w:r>
        <w:rPr>
          <w:b w:val="0"/>
          <w:i w:val="0"/>
          <w:spacing w:val="14"/>
        </w:rPr>
        <w:t> </w:t>
      </w:r>
      <w:r>
        <w:rPr>
          <w:b w:val="0"/>
          <w:i w:val="0"/>
        </w:rPr>
        <w:t>to</w:t>
      </w:r>
      <w:r>
        <w:rPr>
          <w:b w:val="0"/>
          <w:i w:val="0"/>
          <w:spacing w:val="13"/>
        </w:rPr>
        <w:t> </w:t>
      </w:r>
      <w:r>
        <w:rPr>
          <w:b w:val="0"/>
          <w:i w:val="0"/>
        </w:rPr>
        <w:t>make</w:t>
      </w:r>
      <w:r>
        <w:rPr>
          <w:b w:val="0"/>
          <w:i w:val="0"/>
          <w:spacing w:val="13"/>
        </w:rPr>
        <w:t> </w:t>
      </w:r>
      <w:r>
        <w:rPr>
          <w:b w:val="0"/>
          <w:i w:val="0"/>
        </w:rPr>
        <w:t>annual</w:t>
      </w:r>
      <w:r>
        <w:rPr>
          <w:b w:val="0"/>
          <w:i w:val="0"/>
          <w:spacing w:val="14"/>
        </w:rPr>
        <w:t> </w:t>
      </w:r>
      <w:r>
        <w:rPr>
          <w:b w:val="0"/>
          <w:i w:val="0"/>
        </w:rPr>
        <w:t>rent</w:t>
      </w:r>
      <w:r>
        <w:rPr>
          <w:b w:val="0"/>
          <w:i w:val="0"/>
          <w:spacing w:val="13"/>
        </w:rPr>
        <w:t> </w:t>
      </w:r>
      <w:r>
        <w:rPr>
          <w:b w:val="0"/>
          <w:i w:val="0"/>
        </w:rPr>
        <w:t>payments</w:t>
      </w:r>
      <w:r>
        <w:rPr>
          <w:b w:val="0"/>
          <w:i w:val="0"/>
          <w:spacing w:val="14"/>
        </w:rPr>
        <w:t> </w:t>
      </w:r>
      <w:r>
        <w:rPr>
          <w:b w:val="0"/>
          <w:i w:val="0"/>
          <w:spacing w:val="-5"/>
        </w:rPr>
        <w:t>of</w:t>
      </w:r>
    </w:p>
    <w:p>
      <w:pPr>
        <w:pStyle w:val="BodyText"/>
        <w:spacing w:before="10"/>
        <w:ind w:left="144" w:right="118"/>
        <w:jc w:val="both"/>
      </w:pPr>
      <w:r>
        <w:rPr/>
        <w:t>$1.7 billion, in the aggregate, under the triple-net lease agreements, which leases are also subject to annual escalators as described elsewhere in this Annual Report on Form 10-K. The leases also require us to spend a certain amount on capital expenditures at the leased properties. In addition, each of the leases obligates us to comply with certain financial covenants which, if not met, will require us to deposit cash collateral or issue letters of credit for the benefit of </w:t>
      </w:r>
      <w:r>
        <w:rPr/>
        <w:t>the applicable landlord equal to 6 months or 1 year of rent, as applicable to the circumstances, under the VICI lease, 1 year of rent under the Mandalay Bay and MGM Grand Las</w:t>
      </w:r>
      <w:r>
        <w:rPr>
          <w:spacing w:val="-1"/>
        </w:rPr>
        <w:t> </w:t>
      </w:r>
      <w:r>
        <w:rPr/>
        <w:t>Vegas lease, the</w:t>
      </w:r>
      <w:r>
        <w:rPr>
          <w:spacing w:val="-7"/>
        </w:rPr>
        <w:t> </w:t>
      </w:r>
      <w:r>
        <w:rPr/>
        <w:t>Aria and</w:t>
      </w:r>
      <w:r>
        <w:rPr>
          <w:spacing w:val="-1"/>
        </w:rPr>
        <w:t> </w:t>
      </w:r>
      <w:r>
        <w:rPr/>
        <w:t>Vdara lease, and</w:t>
      </w:r>
      <w:r>
        <w:rPr>
          <w:spacing w:val="-1"/>
        </w:rPr>
        <w:t> </w:t>
      </w:r>
      <w:r>
        <w:rPr/>
        <w:t>The Cosmopolitan lease, and 2 years of rent under the Bellagio lease.</w:t>
      </w:r>
      <w:r>
        <w:rPr>
          <w:spacing w:val="-7"/>
        </w:rPr>
        <w:t> </w:t>
      </w:r>
      <w:r>
        <w:rPr/>
        <w:t>As a result of the foregoing rent and capital expenditure obligations, our ability to fund our operations, raise capital, make acquisitions, make investments, service our debt and otherwise respond to competitive and economic changes may be adversely affected. For example, our obligations under the leases may:</w:t>
      </w:r>
    </w:p>
    <w:p>
      <w:pPr>
        <w:pStyle w:val="BodyText"/>
        <w:spacing w:before="4"/>
      </w:pPr>
    </w:p>
    <w:p>
      <w:pPr>
        <w:pStyle w:val="ListParagraph"/>
        <w:numPr>
          <w:ilvl w:val="0"/>
          <w:numId w:val="2"/>
        </w:numPr>
        <w:tabs>
          <w:tab w:pos="792" w:val="left" w:leader="none"/>
        </w:tabs>
        <w:spacing w:line="205" w:lineRule="exact" w:before="0" w:after="0"/>
        <w:ind w:left="792" w:right="0" w:hanging="324"/>
        <w:jc w:val="left"/>
        <w:rPr>
          <w:sz w:val="18"/>
        </w:rPr>
      </w:pPr>
      <w:r>
        <w:rPr>
          <w:sz w:val="18"/>
        </w:rPr>
        <w:t>make</w:t>
      </w:r>
      <w:r>
        <w:rPr>
          <w:spacing w:val="-2"/>
          <w:sz w:val="18"/>
        </w:rPr>
        <w:t> </w:t>
      </w:r>
      <w:r>
        <w:rPr>
          <w:sz w:val="18"/>
        </w:rPr>
        <w:t>it</w:t>
      </w:r>
      <w:r>
        <w:rPr>
          <w:spacing w:val="-1"/>
          <w:sz w:val="18"/>
        </w:rPr>
        <w:t> </w:t>
      </w:r>
      <w:r>
        <w:rPr>
          <w:sz w:val="18"/>
        </w:rPr>
        <w:t>more</w:t>
      </w:r>
      <w:r>
        <w:rPr>
          <w:spacing w:val="-1"/>
          <w:sz w:val="18"/>
        </w:rPr>
        <w:t> </w:t>
      </w:r>
      <w:r>
        <w:rPr>
          <w:sz w:val="18"/>
        </w:rPr>
        <w:t>difficult</w:t>
      </w:r>
      <w:r>
        <w:rPr>
          <w:spacing w:val="-1"/>
          <w:sz w:val="18"/>
        </w:rPr>
        <w:t> </w:t>
      </w:r>
      <w:r>
        <w:rPr>
          <w:sz w:val="18"/>
        </w:rPr>
        <w:t>for</w:t>
      </w:r>
      <w:r>
        <w:rPr>
          <w:spacing w:val="-2"/>
          <w:sz w:val="18"/>
        </w:rPr>
        <w:t> </w:t>
      </w:r>
      <w:r>
        <w:rPr>
          <w:sz w:val="18"/>
        </w:rPr>
        <w:t>us</w:t>
      </w:r>
      <w:r>
        <w:rPr>
          <w:spacing w:val="-1"/>
          <w:sz w:val="18"/>
        </w:rPr>
        <w:t> </w:t>
      </w:r>
      <w:r>
        <w:rPr>
          <w:sz w:val="18"/>
        </w:rPr>
        <w:t>to</w:t>
      </w:r>
      <w:r>
        <w:rPr>
          <w:spacing w:val="-1"/>
          <w:sz w:val="18"/>
        </w:rPr>
        <w:t> </w:t>
      </w:r>
      <w:r>
        <w:rPr>
          <w:sz w:val="18"/>
        </w:rPr>
        <w:t>satisfy</w:t>
      </w:r>
      <w:r>
        <w:rPr>
          <w:spacing w:val="-1"/>
          <w:sz w:val="18"/>
        </w:rPr>
        <w:t> </w:t>
      </w:r>
      <w:r>
        <w:rPr>
          <w:sz w:val="18"/>
        </w:rPr>
        <w:t>our</w:t>
      </w:r>
      <w:r>
        <w:rPr>
          <w:spacing w:val="-1"/>
          <w:sz w:val="18"/>
        </w:rPr>
        <w:t> </w:t>
      </w:r>
      <w:r>
        <w:rPr>
          <w:sz w:val="18"/>
        </w:rPr>
        <w:t>obligations</w:t>
      </w:r>
      <w:r>
        <w:rPr>
          <w:spacing w:val="-2"/>
          <w:sz w:val="18"/>
        </w:rPr>
        <w:t> </w:t>
      </w:r>
      <w:r>
        <w:rPr>
          <w:sz w:val="18"/>
        </w:rPr>
        <w:t>with</w:t>
      </w:r>
      <w:r>
        <w:rPr>
          <w:spacing w:val="-1"/>
          <w:sz w:val="18"/>
        </w:rPr>
        <w:t> </w:t>
      </w:r>
      <w:r>
        <w:rPr>
          <w:sz w:val="18"/>
        </w:rPr>
        <w:t>respect</w:t>
      </w:r>
      <w:r>
        <w:rPr>
          <w:spacing w:val="-1"/>
          <w:sz w:val="18"/>
        </w:rPr>
        <w:t> </w:t>
      </w:r>
      <w:r>
        <w:rPr>
          <w:sz w:val="18"/>
        </w:rPr>
        <w:t>to</w:t>
      </w:r>
      <w:r>
        <w:rPr>
          <w:spacing w:val="-1"/>
          <w:sz w:val="18"/>
        </w:rPr>
        <w:t> </w:t>
      </w:r>
      <w:r>
        <w:rPr>
          <w:sz w:val="18"/>
        </w:rPr>
        <w:t>our</w:t>
      </w:r>
      <w:r>
        <w:rPr>
          <w:spacing w:val="-1"/>
          <w:sz w:val="18"/>
        </w:rPr>
        <w:t> </w:t>
      </w:r>
      <w:r>
        <w:rPr>
          <w:sz w:val="18"/>
        </w:rPr>
        <w:t>indebtedness</w:t>
      </w:r>
      <w:r>
        <w:rPr>
          <w:spacing w:val="-2"/>
          <w:sz w:val="18"/>
        </w:rPr>
        <w:t> </w:t>
      </w:r>
      <w:r>
        <w:rPr>
          <w:sz w:val="18"/>
        </w:rPr>
        <w:t>and</w:t>
      </w:r>
      <w:r>
        <w:rPr>
          <w:spacing w:val="-1"/>
          <w:sz w:val="18"/>
        </w:rPr>
        <w:t> </w:t>
      </w:r>
      <w:r>
        <w:rPr>
          <w:sz w:val="18"/>
        </w:rPr>
        <w:t>to</w:t>
      </w:r>
      <w:r>
        <w:rPr>
          <w:spacing w:val="-1"/>
          <w:sz w:val="18"/>
        </w:rPr>
        <w:t> </w:t>
      </w:r>
      <w:r>
        <w:rPr>
          <w:sz w:val="18"/>
        </w:rPr>
        <w:t>obtain</w:t>
      </w:r>
      <w:r>
        <w:rPr>
          <w:spacing w:val="-1"/>
          <w:sz w:val="18"/>
        </w:rPr>
        <w:t> </w:t>
      </w:r>
      <w:r>
        <w:rPr>
          <w:sz w:val="18"/>
        </w:rPr>
        <w:t>additional</w:t>
      </w:r>
      <w:r>
        <w:rPr>
          <w:spacing w:val="-1"/>
          <w:sz w:val="18"/>
        </w:rPr>
        <w:t> </w:t>
      </w:r>
      <w:r>
        <w:rPr>
          <w:spacing w:val="-2"/>
          <w:sz w:val="18"/>
        </w:rPr>
        <w:t>indebtedness;</w:t>
      </w:r>
    </w:p>
    <w:p>
      <w:pPr>
        <w:pStyle w:val="ListParagraph"/>
        <w:numPr>
          <w:ilvl w:val="0"/>
          <w:numId w:val="2"/>
        </w:numPr>
        <w:tabs>
          <w:tab w:pos="792" w:val="left" w:leader="none"/>
        </w:tabs>
        <w:spacing w:line="205" w:lineRule="exact" w:before="0" w:after="0"/>
        <w:ind w:left="792" w:right="0" w:hanging="324"/>
        <w:jc w:val="left"/>
        <w:rPr>
          <w:sz w:val="18"/>
        </w:rPr>
      </w:pPr>
      <w:r>
        <w:rPr>
          <w:sz w:val="18"/>
        </w:rPr>
        <w:t>increase</w:t>
      </w:r>
      <w:r>
        <w:rPr>
          <w:spacing w:val="-1"/>
          <w:sz w:val="18"/>
        </w:rPr>
        <w:t> </w:t>
      </w:r>
      <w:r>
        <w:rPr>
          <w:sz w:val="18"/>
        </w:rPr>
        <w:t>our</w:t>
      </w:r>
      <w:r>
        <w:rPr>
          <w:spacing w:val="-1"/>
          <w:sz w:val="18"/>
        </w:rPr>
        <w:t> </w:t>
      </w:r>
      <w:r>
        <w:rPr>
          <w:sz w:val="18"/>
        </w:rPr>
        <w:t>vulnerability</w:t>
      </w:r>
      <w:r>
        <w:rPr>
          <w:spacing w:val="-1"/>
          <w:sz w:val="18"/>
        </w:rPr>
        <w:t> </w:t>
      </w:r>
      <w:r>
        <w:rPr>
          <w:sz w:val="18"/>
        </w:rPr>
        <w:t>to</w:t>
      </w:r>
      <w:r>
        <w:rPr>
          <w:spacing w:val="-1"/>
          <w:sz w:val="18"/>
        </w:rPr>
        <w:t> </w:t>
      </w:r>
      <w:r>
        <w:rPr>
          <w:sz w:val="18"/>
        </w:rPr>
        <w:t>general</w:t>
      </w:r>
      <w:r>
        <w:rPr>
          <w:spacing w:val="-1"/>
          <w:sz w:val="18"/>
        </w:rPr>
        <w:t> </w:t>
      </w:r>
      <w:r>
        <w:rPr>
          <w:sz w:val="18"/>
        </w:rPr>
        <w:t>adverse</w:t>
      </w:r>
      <w:r>
        <w:rPr>
          <w:spacing w:val="-1"/>
          <w:sz w:val="18"/>
        </w:rPr>
        <w:t> </w:t>
      </w:r>
      <w:r>
        <w:rPr>
          <w:sz w:val="18"/>
        </w:rPr>
        <w:t>economic</w:t>
      </w:r>
      <w:r>
        <w:rPr>
          <w:spacing w:val="-1"/>
          <w:sz w:val="18"/>
        </w:rPr>
        <w:t> </w:t>
      </w:r>
      <w:r>
        <w:rPr>
          <w:sz w:val="18"/>
        </w:rPr>
        <w:t>and</w:t>
      </w:r>
      <w:r>
        <w:rPr>
          <w:spacing w:val="-1"/>
          <w:sz w:val="18"/>
        </w:rPr>
        <w:t> </w:t>
      </w:r>
      <w:r>
        <w:rPr>
          <w:sz w:val="18"/>
        </w:rPr>
        <w:t>industry</w:t>
      </w:r>
      <w:r>
        <w:rPr>
          <w:spacing w:val="-1"/>
          <w:sz w:val="18"/>
        </w:rPr>
        <w:t> </w:t>
      </w:r>
      <w:r>
        <w:rPr>
          <w:sz w:val="18"/>
        </w:rPr>
        <w:t>conditions</w:t>
      </w:r>
      <w:r>
        <w:rPr>
          <w:spacing w:val="-1"/>
          <w:sz w:val="18"/>
        </w:rPr>
        <w:t> </w:t>
      </w:r>
      <w:r>
        <w:rPr>
          <w:sz w:val="18"/>
        </w:rPr>
        <w:t>or</w:t>
      </w:r>
      <w:r>
        <w:rPr>
          <w:spacing w:val="-1"/>
          <w:sz w:val="18"/>
        </w:rPr>
        <w:t> </w:t>
      </w:r>
      <w:r>
        <w:rPr>
          <w:sz w:val="18"/>
        </w:rPr>
        <w:t>a</w:t>
      </w:r>
      <w:r>
        <w:rPr>
          <w:spacing w:val="-1"/>
          <w:sz w:val="18"/>
        </w:rPr>
        <w:t> </w:t>
      </w:r>
      <w:r>
        <w:rPr>
          <w:sz w:val="18"/>
        </w:rPr>
        <w:t>downturn</w:t>
      </w:r>
      <w:r>
        <w:rPr>
          <w:spacing w:val="-1"/>
          <w:sz w:val="18"/>
        </w:rPr>
        <w:t> </w:t>
      </w:r>
      <w:r>
        <w:rPr>
          <w:sz w:val="18"/>
        </w:rPr>
        <w:t>in</w:t>
      </w:r>
      <w:r>
        <w:rPr>
          <w:spacing w:val="-1"/>
          <w:sz w:val="18"/>
        </w:rPr>
        <w:t> </w:t>
      </w:r>
      <w:r>
        <w:rPr>
          <w:sz w:val="18"/>
        </w:rPr>
        <w:t>our</w:t>
      </w:r>
      <w:r>
        <w:rPr>
          <w:spacing w:val="-1"/>
          <w:sz w:val="18"/>
        </w:rPr>
        <w:t> </w:t>
      </w:r>
      <w:r>
        <w:rPr>
          <w:spacing w:val="-2"/>
          <w:sz w:val="18"/>
        </w:rPr>
        <w:t>business;</w:t>
      </w:r>
    </w:p>
    <w:p>
      <w:pPr>
        <w:pStyle w:val="ListParagraph"/>
        <w:numPr>
          <w:ilvl w:val="0"/>
          <w:numId w:val="2"/>
        </w:numPr>
        <w:tabs>
          <w:tab w:pos="792" w:val="left" w:leader="none"/>
        </w:tabs>
        <w:spacing w:line="235" w:lineRule="auto" w:before="13" w:after="0"/>
        <w:ind w:left="792" w:right="118" w:hanging="324"/>
        <w:jc w:val="left"/>
        <w:rPr>
          <w:sz w:val="18"/>
        </w:rPr>
      </w:pPr>
      <w:r>
        <w:rPr>
          <w:sz w:val="18"/>
        </w:rPr>
        <w:t>require</w:t>
      </w:r>
      <w:r>
        <w:rPr>
          <w:spacing w:val="11"/>
          <w:sz w:val="18"/>
        </w:rPr>
        <w:t> </w:t>
      </w:r>
      <w:r>
        <w:rPr>
          <w:sz w:val="18"/>
        </w:rPr>
        <w:t>us</w:t>
      </w:r>
      <w:r>
        <w:rPr>
          <w:spacing w:val="11"/>
          <w:sz w:val="18"/>
        </w:rPr>
        <w:t> </w:t>
      </w:r>
      <w:r>
        <w:rPr>
          <w:sz w:val="18"/>
        </w:rPr>
        <w:t>to</w:t>
      </w:r>
      <w:r>
        <w:rPr>
          <w:spacing w:val="11"/>
          <w:sz w:val="18"/>
        </w:rPr>
        <w:t> </w:t>
      </w:r>
      <w:r>
        <w:rPr>
          <w:sz w:val="18"/>
        </w:rPr>
        <w:t>dedicate</w:t>
      </w:r>
      <w:r>
        <w:rPr>
          <w:spacing w:val="11"/>
          <w:sz w:val="18"/>
        </w:rPr>
        <w:t> </w:t>
      </w:r>
      <w:r>
        <w:rPr>
          <w:sz w:val="18"/>
        </w:rPr>
        <w:t>a</w:t>
      </w:r>
      <w:r>
        <w:rPr>
          <w:spacing w:val="11"/>
          <w:sz w:val="18"/>
        </w:rPr>
        <w:t> </w:t>
      </w:r>
      <w:r>
        <w:rPr>
          <w:sz w:val="18"/>
        </w:rPr>
        <w:t>substantial</w:t>
      </w:r>
      <w:r>
        <w:rPr>
          <w:spacing w:val="11"/>
          <w:sz w:val="18"/>
        </w:rPr>
        <w:t> </w:t>
      </w:r>
      <w:r>
        <w:rPr>
          <w:sz w:val="18"/>
        </w:rPr>
        <w:t>portion</w:t>
      </w:r>
      <w:r>
        <w:rPr>
          <w:spacing w:val="11"/>
          <w:sz w:val="18"/>
        </w:rPr>
        <w:t> </w:t>
      </w:r>
      <w:r>
        <w:rPr>
          <w:sz w:val="18"/>
        </w:rPr>
        <w:t>of</w:t>
      </w:r>
      <w:r>
        <w:rPr>
          <w:spacing w:val="11"/>
          <w:sz w:val="18"/>
        </w:rPr>
        <w:t> </w:t>
      </w:r>
      <w:r>
        <w:rPr>
          <w:sz w:val="18"/>
        </w:rPr>
        <w:t>our</w:t>
      </w:r>
      <w:r>
        <w:rPr>
          <w:spacing w:val="11"/>
          <w:sz w:val="18"/>
        </w:rPr>
        <w:t> </w:t>
      </w:r>
      <w:r>
        <w:rPr>
          <w:sz w:val="18"/>
        </w:rPr>
        <w:t>cash</w:t>
      </w:r>
      <w:r>
        <w:rPr>
          <w:spacing w:val="11"/>
          <w:sz w:val="18"/>
        </w:rPr>
        <w:t> </w:t>
      </w:r>
      <w:r>
        <w:rPr>
          <w:sz w:val="18"/>
        </w:rPr>
        <w:t>flow</w:t>
      </w:r>
      <w:r>
        <w:rPr>
          <w:spacing w:val="11"/>
          <w:sz w:val="18"/>
        </w:rPr>
        <w:t> </w:t>
      </w:r>
      <w:r>
        <w:rPr>
          <w:sz w:val="18"/>
        </w:rPr>
        <w:t>from</w:t>
      </w:r>
      <w:r>
        <w:rPr>
          <w:spacing w:val="11"/>
          <w:sz w:val="18"/>
        </w:rPr>
        <w:t> </w:t>
      </w:r>
      <w:r>
        <w:rPr>
          <w:sz w:val="18"/>
        </w:rPr>
        <w:t>operations</w:t>
      </w:r>
      <w:r>
        <w:rPr>
          <w:spacing w:val="11"/>
          <w:sz w:val="18"/>
        </w:rPr>
        <w:t> </w:t>
      </w:r>
      <w:r>
        <w:rPr>
          <w:sz w:val="18"/>
        </w:rPr>
        <w:t>to</w:t>
      </w:r>
      <w:r>
        <w:rPr>
          <w:spacing w:val="11"/>
          <w:sz w:val="18"/>
        </w:rPr>
        <w:t> </w:t>
      </w:r>
      <w:r>
        <w:rPr>
          <w:sz w:val="18"/>
        </w:rPr>
        <w:t>making</w:t>
      </w:r>
      <w:r>
        <w:rPr>
          <w:spacing w:val="11"/>
          <w:sz w:val="18"/>
        </w:rPr>
        <w:t> </w:t>
      </w:r>
      <w:r>
        <w:rPr>
          <w:sz w:val="18"/>
        </w:rPr>
        <w:t>rent</w:t>
      </w:r>
      <w:r>
        <w:rPr>
          <w:spacing w:val="11"/>
          <w:sz w:val="18"/>
        </w:rPr>
        <w:t> </w:t>
      </w:r>
      <w:r>
        <w:rPr>
          <w:sz w:val="18"/>
        </w:rPr>
        <w:t>payments,</w:t>
      </w:r>
      <w:r>
        <w:rPr>
          <w:spacing w:val="11"/>
          <w:sz w:val="18"/>
        </w:rPr>
        <w:t> </w:t>
      </w:r>
      <w:r>
        <w:rPr>
          <w:sz w:val="18"/>
        </w:rPr>
        <w:t>thereby</w:t>
      </w:r>
      <w:r>
        <w:rPr>
          <w:spacing w:val="11"/>
          <w:sz w:val="18"/>
        </w:rPr>
        <w:t> </w:t>
      </w:r>
      <w:r>
        <w:rPr>
          <w:sz w:val="18"/>
        </w:rPr>
        <w:t>reducing</w:t>
      </w:r>
      <w:r>
        <w:rPr>
          <w:spacing w:val="11"/>
          <w:sz w:val="18"/>
        </w:rPr>
        <w:t> </w:t>
      </w:r>
      <w:r>
        <w:rPr>
          <w:sz w:val="18"/>
        </w:rPr>
        <w:t>the</w:t>
      </w:r>
      <w:r>
        <w:rPr>
          <w:spacing w:val="11"/>
          <w:sz w:val="18"/>
        </w:rPr>
        <w:t> </w:t>
      </w:r>
      <w:r>
        <w:rPr>
          <w:sz w:val="18"/>
        </w:rPr>
        <w:t>availability</w:t>
      </w:r>
      <w:r>
        <w:rPr>
          <w:spacing w:val="11"/>
          <w:sz w:val="18"/>
        </w:rPr>
        <w:t> </w:t>
      </w:r>
      <w:r>
        <w:rPr>
          <w:sz w:val="18"/>
        </w:rPr>
        <w:t>of</w:t>
      </w:r>
      <w:r>
        <w:rPr>
          <w:spacing w:val="11"/>
          <w:sz w:val="18"/>
        </w:rPr>
        <w:t> </w:t>
      </w:r>
      <w:r>
        <w:rPr>
          <w:sz w:val="18"/>
        </w:rPr>
        <w:t>our</w:t>
      </w:r>
      <w:r>
        <w:rPr>
          <w:spacing w:val="11"/>
          <w:sz w:val="18"/>
        </w:rPr>
        <w:t> </w:t>
      </w:r>
      <w:r>
        <w:rPr>
          <w:sz w:val="18"/>
        </w:rPr>
        <w:t>cash flow to fund working capital, capital expenditures, development projects, pay dividends, repurchase shares and other general corporate purposes;</w:t>
      </w:r>
    </w:p>
    <w:p>
      <w:pPr>
        <w:pStyle w:val="ListParagraph"/>
        <w:numPr>
          <w:ilvl w:val="0"/>
          <w:numId w:val="2"/>
        </w:numPr>
        <w:tabs>
          <w:tab w:pos="792" w:val="left" w:leader="none"/>
        </w:tabs>
        <w:spacing w:line="203" w:lineRule="exact" w:before="0" w:after="0"/>
        <w:ind w:left="792" w:right="0" w:hanging="324"/>
        <w:jc w:val="left"/>
        <w:rPr>
          <w:sz w:val="18"/>
        </w:rPr>
      </w:pPr>
      <w:r>
        <w:rPr>
          <w:sz w:val="18"/>
        </w:rPr>
        <w:t>limit</w:t>
      </w:r>
      <w:r>
        <w:rPr>
          <w:spacing w:val="-4"/>
          <w:sz w:val="18"/>
        </w:rPr>
        <w:t> </w:t>
      </w:r>
      <w:r>
        <w:rPr>
          <w:sz w:val="18"/>
        </w:rPr>
        <w:t>our</w:t>
      </w:r>
      <w:r>
        <w:rPr>
          <w:spacing w:val="-1"/>
          <w:sz w:val="18"/>
        </w:rPr>
        <w:t> </w:t>
      </w:r>
      <w:r>
        <w:rPr>
          <w:sz w:val="18"/>
        </w:rPr>
        <w:t>flexibility</w:t>
      </w:r>
      <w:r>
        <w:rPr>
          <w:spacing w:val="-2"/>
          <w:sz w:val="18"/>
        </w:rPr>
        <w:t> </w:t>
      </w:r>
      <w:r>
        <w:rPr>
          <w:sz w:val="18"/>
        </w:rPr>
        <w:t>in</w:t>
      </w:r>
      <w:r>
        <w:rPr>
          <w:spacing w:val="-1"/>
          <w:sz w:val="18"/>
        </w:rPr>
        <w:t> </w:t>
      </w:r>
      <w:r>
        <w:rPr>
          <w:sz w:val="18"/>
        </w:rPr>
        <w:t>planning</w:t>
      </w:r>
      <w:r>
        <w:rPr>
          <w:spacing w:val="-2"/>
          <w:sz w:val="18"/>
        </w:rPr>
        <w:t> </w:t>
      </w:r>
      <w:r>
        <w:rPr>
          <w:sz w:val="18"/>
        </w:rPr>
        <w:t>for,</w:t>
      </w:r>
      <w:r>
        <w:rPr>
          <w:spacing w:val="-1"/>
          <w:sz w:val="18"/>
        </w:rPr>
        <w:t> </w:t>
      </w:r>
      <w:r>
        <w:rPr>
          <w:sz w:val="18"/>
        </w:rPr>
        <w:t>or</w:t>
      </w:r>
      <w:r>
        <w:rPr>
          <w:spacing w:val="-1"/>
          <w:sz w:val="18"/>
        </w:rPr>
        <w:t> </w:t>
      </w:r>
      <w:r>
        <w:rPr>
          <w:sz w:val="18"/>
        </w:rPr>
        <w:t>reacting</w:t>
      </w:r>
      <w:r>
        <w:rPr>
          <w:spacing w:val="-2"/>
          <w:sz w:val="18"/>
        </w:rPr>
        <w:t> </w:t>
      </w:r>
      <w:r>
        <w:rPr>
          <w:sz w:val="18"/>
        </w:rPr>
        <w:t>to,</w:t>
      </w:r>
      <w:r>
        <w:rPr>
          <w:spacing w:val="-1"/>
          <w:sz w:val="18"/>
        </w:rPr>
        <w:t> </w:t>
      </w:r>
      <w:r>
        <w:rPr>
          <w:sz w:val="18"/>
        </w:rPr>
        <w:t>changes</w:t>
      </w:r>
      <w:r>
        <w:rPr>
          <w:spacing w:val="-2"/>
          <w:sz w:val="18"/>
        </w:rPr>
        <w:t> </w:t>
      </w:r>
      <w:r>
        <w:rPr>
          <w:sz w:val="18"/>
        </w:rPr>
        <w:t>in</w:t>
      </w:r>
      <w:r>
        <w:rPr>
          <w:spacing w:val="-1"/>
          <w:sz w:val="18"/>
        </w:rPr>
        <w:t> </w:t>
      </w:r>
      <w:r>
        <w:rPr>
          <w:sz w:val="18"/>
        </w:rPr>
        <w:t>our</w:t>
      </w:r>
      <w:r>
        <w:rPr>
          <w:spacing w:val="-2"/>
          <w:sz w:val="18"/>
        </w:rPr>
        <w:t> </w:t>
      </w:r>
      <w:r>
        <w:rPr>
          <w:sz w:val="18"/>
        </w:rPr>
        <w:t>business</w:t>
      </w:r>
      <w:r>
        <w:rPr>
          <w:spacing w:val="-1"/>
          <w:sz w:val="18"/>
        </w:rPr>
        <w:t> </w:t>
      </w:r>
      <w:r>
        <w:rPr>
          <w:sz w:val="18"/>
        </w:rPr>
        <w:t>and</w:t>
      </w:r>
      <w:r>
        <w:rPr>
          <w:spacing w:val="-1"/>
          <w:sz w:val="18"/>
        </w:rPr>
        <w:t> </w:t>
      </w:r>
      <w:r>
        <w:rPr>
          <w:sz w:val="18"/>
        </w:rPr>
        <w:t>the</w:t>
      </w:r>
      <w:r>
        <w:rPr>
          <w:spacing w:val="-2"/>
          <w:sz w:val="18"/>
        </w:rPr>
        <w:t> </w:t>
      </w:r>
      <w:r>
        <w:rPr>
          <w:sz w:val="18"/>
        </w:rPr>
        <w:t>industry</w:t>
      </w:r>
      <w:r>
        <w:rPr>
          <w:spacing w:val="-1"/>
          <w:sz w:val="18"/>
        </w:rPr>
        <w:t> </w:t>
      </w:r>
      <w:r>
        <w:rPr>
          <w:sz w:val="18"/>
        </w:rPr>
        <w:t>in</w:t>
      </w:r>
      <w:r>
        <w:rPr>
          <w:spacing w:val="-2"/>
          <w:sz w:val="18"/>
        </w:rPr>
        <w:t> </w:t>
      </w:r>
      <w:r>
        <w:rPr>
          <w:sz w:val="18"/>
        </w:rPr>
        <w:t>which</w:t>
      </w:r>
      <w:r>
        <w:rPr>
          <w:spacing w:val="-1"/>
          <w:sz w:val="18"/>
        </w:rPr>
        <w:t> </w:t>
      </w:r>
      <w:r>
        <w:rPr>
          <w:sz w:val="18"/>
        </w:rPr>
        <w:t>we</w:t>
      </w:r>
      <w:r>
        <w:rPr>
          <w:spacing w:val="-1"/>
          <w:sz w:val="18"/>
        </w:rPr>
        <w:t> </w:t>
      </w:r>
      <w:r>
        <w:rPr>
          <w:spacing w:val="-2"/>
          <w:sz w:val="18"/>
        </w:rPr>
        <w:t>operate;</w:t>
      </w:r>
    </w:p>
    <w:p>
      <w:pPr>
        <w:pStyle w:val="ListParagraph"/>
        <w:numPr>
          <w:ilvl w:val="0"/>
          <w:numId w:val="2"/>
        </w:numPr>
        <w:tabs>
          <w:tab w:pos="792" w:val="left" w:leader="none"/>
        </w:tabs>
        <w:spacing w:line="205" w:lineRule="exact" w:before="9" w:after="0"/>
        <w:ind w:left="792" w:right="0" w:hanging="324"/>
        <w:jc w:val="left"/>
        <w:rPr>
          <w:sz w:val="18"/>
        </w:rPr>
      </w:pPr>
      <w:r>
        <w:rPr>
          <w:sz w:val="18"/>
        </w:rPr>
        <w:t>restrict</w:t>
      </w:r>
      <w:r>
        <w:rPr>
          <w:spacing w:val="-1"/>
          <w:sz w:val="18"/>
        </w:rPr>
        <w:t> </w:t>
      </w:r>
      <w:r>
        <w:rPr>
          <w:sz w:val="18"/>
        </w:rPr>
        <w:t>our</w:t>
      </w:r>
      <w:r>
        <w:rPr>
          <w:spacing w:val="-1"/>
          <w:sz w:val="18"/>
        </w:rPr>
        <w:t> </w:t>
      </w:r>
      <w:r>
        <w:rPr>
          <w:sz w:val="18"/>
        </w:rPr>
        <w:t>ability</w:t>
      </w:r>
      <w:r>
        <w:rPr>
          <w:spacing w:val="-1"/>
          <w:sz w:val="18"/>
        </w:rPr>
        <w:t> </w:t>
      </w:r>
      <w:r>
        <w:rPr>
          <w:sz w:val="18"/>
        </w:rPr>
        <w:t>to</w:t>
      </w:r>
      <w:r>
        <w:rPr>
          <w:spacing w:val="-1"/>
          <w:sz w:val="18"/>
        </w:rPr>
        <w:t> </w:t>
      </w:r>
      <w:r>
        <w:rPr>
          <w:sz w:val="18"/>
        </w:rPr>
        <w:t>make</w:t>
      </w:r>
      <w:r>
        <w:rPr>
          <w:spacing w:val="-1"/>
          <w:sz w:val="18"/>
        </w:rPr>
        <w:t> </w:t>
      </w:r>
      <w:r>
        <w:rPr>
          <w:sz w:val="18"/>
        </w:rPr>
        <w:t>acquisitions,</w:t>
      </w:r>
      <w:r>
        <w:rPr>
          <w:spacing w:val="-1"/>
          <w:sz w:val="18"/>
        </w:rPr>
        <w:t> </w:t>
      </w:r>
      <w:r>
        <w:rPr>
          <w:sz w:val="18"/>
        </w:rPr>
        <w:t>divestitures</w:t>
      </w:r>
      <w:r>
        <w:rPr>
          <w:spacing w:val="-1"/>
          <w:sz w:val="18"/>
        </w:rPr>
        <w:t> </w:t>
      </w:r>
      <w:r>
        <w:rPr>
          <w:sz w:val="18"/>
        </w:rPr>
        <w:t>and</w:t>
      </w:r>
      <w:r>
        <w:rPr>
          <w:spacing w:val="-1"/>
          <w:sz w:val="18"/>
        </w:rPr>
        <w:t> </w:t>
      </w:r>
      <w:r>
        <w:rPr>
          <w:sz w:val="18"/>
        </w:rPr>
        <w:t>engage</w:t>
      </w:r>
      <w:r>
        <w:rPr>
          <w:spacing w:val="-1"/>
          <w:sz w:val="18"/>
        </w:rPr>
        <w:t> </w:t>
      </w:r>
      <w:r>
        <w:rPr>
          <w:sz w:val="18"/>
        </w:rPr>
        <w:t>in</w:t>
      </w:r>
      <w:r>
        <w:rPr>
          <w:spacing w:val="-1"/>
          <w:sz w:val="18"/>
        </w:rPr>
        <w:t> </w:t>
      </w:r>
      <w:r>
        <w:rPr>
          <w:sz w:val="18"/>
        </w:rPr>
        <w:t>other</w:t>
      </w:r>
      <w:r>
        <w:rPr>
          <w:spacing w:val="-1"/>
          <w:sz w:val="18"/>
        </w:rPr>
        <w:t> </w:t>
      </w:r>
      <w:r>
        <w:rPr>
          <w:sz w:val="18"/>
        </w:rPr>
        <w:t>significant</w:t>
      </w:r>
      <w:r>
        <w:rPr>
          <w:spacing w:val="-1"/>
          <w:sz w:val="18"/>
        </w:rPr>
        <w:t> </w:t>
      </w:r>
      <w:r>
        <w:rPr>
          <w:sz w:val="18"/>
        </w:rPr>
        <w:t>transactions;</w:t>
      </w:r>
      <w:r>
        <w:rPr>
          <w:spacing w:val="-1"/>
          <w:sz w:val="18"/>
        </w:rPr>
        <w:t> </w:t>
      </w:r>
      <w:r>
        <w:rPr>
          <w:spacing w:val="-5"/>
          <w:sz w:val="18"/>
        </w:rPr>
        <w:t>and</w:t>
      </w:r>
    </w:p>
    <w:p>
      <w:pPr>
        <w:pStyle w:val="ListParagraph"/>
        <w:numPr>
          <w:ilvl w:val="0"/>
          <w:numId w:val="2"/>
        </w:numPr>
        <w:tabs>
          <w:tab w:pos="792" w:val="left" w:leader="none"/>
        </w:tabs>
        <w:spacing w:line="205" w:lineRule="exact" w:before="0" w:after="0"/>
        <w:ind w:left="792" w:right="0" w:hanging="324"/>
        <w:jc w:val="left"/>
        <w:rPr>
          <w:sz w:val="18"/>
        </w:rPr>
      </w:pPr>
      <w:r>
        <w:rPr>
          <w:sz w:val="18"/>
        </w:rPr>
        <w:t>cause</w:t>
      </w:r>
      <w:r>
        <w:rPr>
          <w:spacing w:val="-1"/>
          <w:sz w:val="18"/>
        </w:rPr>
        <w:t> </w:t>
      </w:r>
      <w:r>
        <w:rPr>
          <w:sz w:val="18"/>
        </w:rPr>
        <w:t>us</w:t>
      </w:r>
      <w:r>
        <w:rPr>
          <w:spacing w:val="-1"/>
          <w:sz w:val="18"/>
        </w:rPr>
        <w:t> </w:t>
      </w:r>
      <w:r>
        <w:rPr>
          <w:sz w:val="18"/>
        </w:rPr>
        <w:t>to</w:t>
      </w:r>
      <w:r>
        <w:rPr>
          <w:spacing w:val="-1"/>
          <w:sz w:val="18"/>
        </w:rPr>
        <w:t> </w:t>
      </w:r>
      <w:r>
        <w:rPr>
          <w:sz w:val="18"/>
        </w:rPr>
        <w:t>lose</w:t>
      </w:r>
      <w:r>
        <w:rPr>
          <w:spacing w:val="-1"/>
          <w:sz w:val="18"/>
        </w:rPr>
        <w:t> </w:t>
      </w:r>
      <w:r>
        <w:rPr>
          <w:sz w:val="18"/>
        </w:rPr>
        <w:t>our</w:t>
      </w:r>
      <w:r>
        <w:rPr>
          <w:spacing w:val="-1"/>
          <w:sz w:val="18"/>
        </w:rPr>
        <w:t> </w:t>
      </w:r>
      <w:r>
        <w:rPr>
          <w:sz w:val="18"/>
        </w:rPr>
        <w:t>rights</w:t>
      </w:r>
      <w:r>
        <w:rPr>
          <w:spacing w:val="-1"/>
          <w:sz w:val="18"/>
        </w:rPr>
        <w:t> </w:t>
      </w:r>
      <w:r>
        <w:rPr>
          <w:sz w:val="18"/>
        </w:rPr>
        <w:t>with</w:t>
      </w:r>
      <w:r>
        <w:rPr>
          <w:spacing w:val="-1"/>
          <w:sz w:val="18"/>
        </w:rPr>
        <w:t> </w:t>
      </w:r>
      <w:r>
        <w:rPr>
          <w:sz w:val="18"/>
        </w:rPr>
        <w:t>respect</w:t>
      </w:r>
      <w:r>
        <w:rPr>
          <w:spacing w:val="-1"/>
          <w:sz w:val="18"/>
        </w:rPr>
        <w:t> </w:t>
      </w:r>
      <w:r>
        <w:rPr>
          <w:sz w:val="18"/>
        </w:rPr>
        <w:t>to</w:t>
      </w:r>
      <w:r>
        <w:rPr>
          <w:spacing w:val="-1"/>
          <w:sz w:val="18"/>
        </w:rPr>
        <w:t> </w:t>
      </w:r>
      <w:r>
        <w:rPr>
          <w:sz w:val="18"/>
        </w:rPr>
        <w:t>the</w:t>
      </w:r>
      <w:r>
        <w:rPr>
          <w:spacing w:val="-1"/>
          <w:sz w:val="18"/>
        </w:rPr>
        <w:t> </w:t>
      </w:r>
      <w:r>
        <w:rPr>
          <w:sz w:val="18"/>
        </w:rPr>
        <w:t>applicable</w:t>
      </w:r>
      <w:r>
        <w:rPr>
          <w:spacing w:val="-1"/>
          <w:sz w:val="18"/>
        </w:rPr>
        <w:t> </w:t>
      </w:r>
      <w:r>
        <w:rPr>
          <w:sz w:val="18"/>
        </w:rPr>
        <w:t>leased</w:t>
      </w:r>
      <w:r>
        <w:rPr>
          <w:spacing w:val="-1"/>
          <w:sz w:val="18"/>
        </w:rPr>
        <w:t> </w:t>
      </w:r>
      <w:r>
        <w:rPr>
          <w:sz w:val="18"/>
        </w:rPr>
        <w:t>properties</w:t>
      </w:r>
      <w:r>
        <w:rPr>
          <w:spacing w:val="-1"/>
          <w:sz w:val="18"/>
        </w:rPr>
        <w:t> </w:t>
      </w:r>
      <w:r>
        <w:rPr>
          <w:sz w:val="18"/>
        </w:rPr>
        <w:t>if</w:t>
      </w:r>
      <w:r>
        <w:rPr>
          <w:spacing w:val="-1"/>
          <w:sz w:val="18"/>
        </w:rPr>
        <w:t> </w:t>
      </w:r>
      <w:r>
        <w:rPr>
          <w:sz w:val="18"/>
        </w:rPr>
        <w:t>we</w:t>
      </w:r>
      <w:r>
        <w:rPr>
          <w:spacing w:val="-1"/>
          <w:sz w:val="18"/>
        </w:rPr>
        <w:t> </w:t>
      </w:r>
      <w:r>
        <w:rPr>
          <w:sz w:val="18"/>
        </w:rPr>
        <w:t>fail</w:t>
      </w:r>
      <w:r>
        <w:rPr>
          <w:spacing w:val="-1"/>
          <w:sz w:val="18"/>
        </w:rPr>
        <w:t> </w:t>
      </w:r>
      <w:r>
        <w:rPr>
          <w:sz w:val="18"/>
        </w:rPr>
        <w:t>to</w:t>
      </w:r>
      <w:r>
        <w:rPr>
          <w:spacing w:val="-1"/>
          <w:sz w:val="18"/>
        </w:rPr>
        <w:t> </w:t>
      </w:r>
      <w:r>
        <w:rPr>
          <w:sz w:val="18"/>
        </w:rPr>
        <w:t>pay</w:t>
      </w:r>
      <w:r>
        <w:rPr>
          <w:spacing w:val="-1"/>
          <w:sz w:val="18"/>
        </w:rPr>
        <w:t> </w:t>
      </w:r>
      <w:r>
        <w:rPr>
          <w:sz w:val="18"/>
        </w:rPr>
        <w:t>rent</w:t>
      </w:r>
      <w:r>
        <w:rPr>
          <w:spacing w:val="-1"/>
          <w:sz w:val="18"/>
        </w:rPr>
        <w:t> </w:t>
      </w:r>
      <w:r>
        <w:rPr>
          <w:sz w:val="18"/>
        </w:rPr>
        <w:t>or</w:t>
      </w:r>
      <w:r>
        <w:rPr>
          <w:spacing w:val="-1"/>
          <w:sz w:val="18"/>
        </w:rPr>
        <w:t> </w:t>
      </w:r>
      <w:r>
        <w:rPr>
          <w:sz w:val="18"/>
        </w:rPr>
        <w:t>other</w:t>
      </w:r>
      <w:r>
        <w:rPr>
          <w:spacing w:val="-1"/>
          <w:sz w:val="18"/>
        </w:rPr>
        <w:t> </w:t>
      </w:r>
      <w:r>
        <w:rPr>
          <w:sz w:val="18"/>
        </w:rPr>
        <w:t>amounts</w:t>
      </w:r>
      <w:r>
        <w:rPr>
          <w:spacing w:val="-1"/>
          <w:sz w:val="18"/>
        </w:rPr>
        <w:t> </w:t>
      </w:r>
      <w:r>
        <w:rPr>
          <w:sz w:val="18"/>
        </w:rPr>
        <w:t>or</w:t>
      </w:r>
      <w:r>
        <w:rPr>
          <w:spacing w:val="-1"/>
          <w:sz w:val="18"/>
        </w:rPr>
        <w:t> </w:t>
      </w:r>
      <w:r>
        <w:rPr>
          <w:sz w:val="18"/>
        </w:rPr>
        <w:t>otherwise</w:t>
      </w:r>
      <w:r>
        <w:rPr>
          <w:spacing w:val="-1"/>
          <w:sz w:val="18"/>
        </w:rPr>
        <w:t> </w:t>
      </w:r>
      <w:r>
        <w:rPr>
          <w:sz w:val="18"/>
        </w:rPr>
        <w:t>default</w:t>
      </w:r>
      <w:r>
        <w:rPr>
          <w:spacing w:val="-1"/>
          <w:sz w:val="18"/>
        </w:rPr>
        <w:t> </w:t>
      </w:r>
      <w:r>
        <w:rPr>
          <w:sz w:val="18"/>
        </w:rPr>
        <w:t>on</w:t>
      </w:r>
      <w:r>
        <w:rPr>
          <w:spacing w:val="-1"/>
          <w:sz w:val="18"/>
        </w:rPr>
        <w:t> </w:t>
      </w:r>
      <w:r>
        <w:rPr>
          <w:sz w:val="18"/>
        </w:rPr>
        <w:t>the</w:t>
      </w:r>
      <w:r>
        <w:rPr>
          <w:spacing w:val="-1"/>
          <w:sz w:val="18"/>
        </w:rPr>
        <w:t> </w:t>
      </w:r>
      <w:r>
        <w:rPr>
          <w:spacing w:val="-2"/>
          <w:sz w:val="18"/>
        </w:rPr>
        <w:t>leases.</w:t>
      </w:r>
    </w:p>
    <w:p>
      <w:pPr>
        <w:pStyle w:val="BodyText"/>
        <w:spacing w:before="4"/>
      </w:pPr>
    </w:p>
    <w:p>
      <w:pPr>
        <w:pStyle w:val="BodyText"/>
        <w:ind w:left="644"/>
      </w:pPr>
      <w:r>
        <w:rPr/>
        <w:t>Any</w:t>
      </w:r>
      <w:r>
        <w:rPr>
          <w:spacing w:val="-2"/>
        </w:rPr>
        <w:t> </w:t>
      </w:r>
      <w:r>
        <w:rPr/>
        <w:t>of</w:t>
      </w:r>
      <w:r>
        <w:rPr>
          <w:spacing w:val="-1"/>
        </w:rPr>
        <w:t> </w:t>
      </w:r>
      <w:r>
        <w:rPr/>
        <w:t>the</w:t>
      </w:r>
      <w:r>
        <w:rPr>
          <w:spacing w:val="-1"/>
        </w:rPr>
        <w:t> </w:t>
      </w:r>
      <w:r>
        <w:rPr/>
        <w:t>above</w:t>
      </w:r>
      <w:r>
        <w:rPr>
          <w:spacing w:val="-1"/>
        </w:rPr>
        <w:t> </w:t>
      </w:r>
      <w:r>
        <w:rPr/>
        <w:t>factors</w:t>
      </w:r>
      <w:r>
        <w:rPr>
          <w:spacing w:val="-1"/>
        </w:rPr>
        <w:t> </w:t>
      </w:r>
      <w:r>
        <w:rPr/>
        <w:t>could</w:t>
      </w:r>
      <w:r>
        <w:rPr>
          <w:spacing w:val="-2"/>
        </w:rPr>
        <w:t> </w:t>
      </w:r>
      <w:r>
        <w:rPr/>
        <w:t>have</w:t>
      </w:r>
      <w:r>
        <w:rPr>
          <w:spacing w:val="-1"/>
        </w:rPr>
        <w:t> </w:t>
      </w:r>
      <w:r>
        <w:rPr/>
        <w:t>a</w:t>
      </w:r>
      <w:r>
        <w:rPr>
          <w:spacing w:val="-1"/>
        </w:rPr>
        <w:t> </w:t>
      </w:r>
      <w:r>
        <w:rPr/>
        <w:t>material</w:t>
      </w:r>
      <w:r>
        <w:rPr>
          <w:spacing w:val="-1"/>
        </w:rPr>
        <w:t> </w:t>
      </w:r>
      <w:r>
        <w:rPr/>
        <w:t>adverse</w:t>
      </w:r>
      <w:r>
        <w:rPr>
          <w:spacing w:val="-1"/>
        </w:rPr>
        <w:t> </w:t>
      </w:r>
      <w:r>
        <w:rPr/>
        <w:t>effect</w:t>
      </w:r>
      <w:r>
        <w:rPr>
          <w:spacing w:val="-2"/>
        </w:rPr>
        <w:t> </w:t>
      </w:r>
      <w:r>
        <w:rPr/>
        <w:t>on</w:t>
      </w:r>
      <w:r>
        <w:rPr>
          <w:spacing w:val="-1"/>
        </w:rPr>
        <w:t> </w:t>
      </w:r>
      <w:r>
        <w:rPr/>
        <w:t>our</w:t>
      </w:r>
      <w:r>
        <w:rPr>
          <w:spacing w:val="-1"/>
        </w:rPr>
        <w:t> </w:t>
      </w:r>
      <w:r>
        <w:rPr/>
        <w:t>business,</w:t>
      </w:r>
      <w:r>
        <w:rPr>
          <w:spacing w:val="-1"/>
        </w:rPr>
        <w:t> </w:t>
      </w:r>
      <w:r>
        <w:rPr/>
        <w:t>financial</w:t>
      </w:r>
      <w:r>
        <w:rPr>
          <w:spacing w:val="-1"/>
        </w:rPr>
        <w:t> </w:t>
      </w:r>
      <w:r>
        <w:rPr/>
        <w:t>condition,</w:t>
      </w:r>
      <w:r>
        <w:rPr>
          <w:spacing w:val="-2"/>
        </w:rPr>
        <w:t> </w:t>
      </w:r>
      <w:r>
        <w:rPr/>
        <w:t>results</w:t>
      </w:r>
      <w:r>
        <w:rPr>
          <w:spacing w:val="-1"/>
        </w:rPr>
        <w:t> </w:t>
      </w:r>
      <w:r>
        <w:rPr/>
        <w:t>of</w:t>
      </w:r>
      <w:r>
        <w:rPr>
          <w:spacing w:val="-1"/>
        </w:rPr>
        <w:t> </w:t>
      </w:r>
      <w:r>
        <w:rPr/>
        <w:t>operations</w:t>
      </w:r>
      <w:r>
        <w:rPr>
          <w:spacing w:val="-1"/>
        </w:rPr>
        <w:t> </w:t>
      </w:r>
      <w:r>
        <w:rPr/>
        <w:t>and</w:t>
      </w:r>
      <w:r>
        <w:rPr>
          <w:spacing w:val="-1"/>
        </w:rPr>
        <w:t> </w:t>
      </w:r>
      <w:r>
        <w:rPr/>
        <w:t>cash</w:t>
      </w:r>
      <w:r>
        <w:rPr>
          <w:spacing w:val="-1"/>
        </w:rPr>
        <w:t> </w:t>
      </w:r>
      <w:r>
        <w:rPr>
          <w:spacing w:val="-2"/>
        </w:rPr>
        <w:t>flows.</w:t>
      </w:r>
    </w:p>
    <w:p>
      <w:pPr>
        <w:pStyle w:val="BodyText"/>
      </w:pPr>
    </w:p>
    <w:p>
      <w:pPr>
        <w:pStyle w:val="BodyText"/>
      </w:pPr>
    </w:p>
    <w:p>
      <w:pPr>
        <w:pStyle w:val="BodyText"/>
        <w:spacing w:before="198"/>
      </w:pPr>
    </w:p>
    <w:p>
      <w:pPr>
        <w:pStyle w:val="BodyText"/>
        <w:ind w:left="24"/>
        <w:jc w:val="center"/>
      </w:pPr>
      <w:r>
        <w:rPr>
          <w:spacing w:val="-5"/>
        </w:rPr>
        <w:t>16</w:t>
      </w:r>
    </w:p>
    <w:p>
      <w:pPr>
        <w:pStyle w:val="BodyText"/>
        <w:spacing w:before="3"/>
        <w:rPr>
          <w:sz w:val="6"/>
        </w:rPr>
      </w:pPr>
      <w:r>
        <w:rPr/>
        <mc:AlternateContent>
          <mc:Choice Requires="wps">
            <w:drawing>
              <wp:anchor distT="0" distB="0" distL="0" distR="0" allowOverlap="1" layoutInCell="1" locked="0" behindDoc="1" simplePos="0" relativeHeight="487602176">
                <wp:simplePos x="0" y="0"/>
                <wp:positionH relativeFrom="page">
                  <wp:posOffset>231457</wp:posOffset>
                </wp:positionH>
                <wp:positionV relativeFrom="paragraph">
                  <wp:posOffset>60956</wp:posOffset>
                </wp:positionV>
                <wp:extent cx="7312659" cy="1714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7312659" cy="17145"/>
                          <a:chExt cx="7312659" cy="17145"/>
                        </a:xfrm>
                      </wpg:grpSpPr>
                      <wps:wsp>
                        <wps:cNvPr id="86" name="Graphic 8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7" name="Graphic 87"/>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8" name="Graphic 8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4304;mso-wrap-distance-left:0;mso-wrap-distance-right:0" id="docshapegroup84" coordorigin="364,96" coordsize="11516,27">
                <v:rect style="position:absolute;left:364;top:96;width:11516;height:14" id="docshape85" filled="true" fillcolor="#999999" stroked="false">
                  <v:fill type="solid"/>
                </v:rect>
                <v:shape style="position:absolute;left:364;top:96;width:11516;height:27" id="docshape86" coordorigin="364,96" coordsize="11516,27" path="m11880,96l11866,110,364,110,364,123,11866,123,11880,123,11880,110,11880,96xe" filled="true" fillcolor="#ededed" stroked="false">
                  <v:path arrowok="t"/>
                  <v:fill type="solid"/>
                </v:shape>
                <v:shape style="position:absolute;left:364;top:96;width:14;height:27" id="docshape8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5"/>
        <w:spacing w:before="63"/>
        <w:jc w:val="left"/>
      </w:pPr>
      <w:r>
        <w:rPr/>
        <w:t>Risks</w:t>
      </w:r>
      <w:r>
        <w:rPr>
          <w:spacing w:val="-5"/>
        </w:rPr>
        <w:t> </w:t>
      </w:r>
      <w:r>
        <w:rPr/>
        <w:t>Related</w:t>
      </w:r>
      <w:r>
        <w:rPr>
          <w:spacing w:val="-2"/>
        </w:rPr>
        <w:t> </w:t>
      </w:r>
      <w:r>
        <w:rPr/>
        <w:t>to</w:t>
      </w:r>
      <w:r>
        <w:rPr>
          <w:spacing w:val="-2"/>
        </w:rPr>
        <w:t> </w:t>
      </w:r>
      <w:r>
        <w:rPr/>
        <w:t>Our</w:t>
      </w:r>
      <w:r>
        <w:rPr>
          <w:spacing w:val="-5"/>
        </w:rPr>
        <w:t> </w:t>
      </w:r>
      <w:r>
        <w:rPr/>
        <w:t>Business,</w:t>
      </w:r>
      <w:r>
        <w:rPr>
          <w:spacing w:val="-3"/>
        </w:rPr>
        <w:t> </w:t>
      </w:r>
      <w:r>
        <w:rPr/>
        <w:t>Industry,</w:t>
      </w:r>
      <w:r>
        <w:rPr>
          <w:spacing w:val="-2"/>
        </w:rPr>
        <w:t> </w:t>
      </w:r>
      <w:r>
        <w:rPr/>
        <w:t>and</w:t>
      </w:r>
      <w:r>
        <w:rPr>
          <w:spacing w:val="-2"/>
        </w:rPr>
        <w:t> </w:t>
      </w:r>
      <w:r>
        <w:rPr/>
        <w:t>Market</w:t>
      </w:r>
      <w:r>
        <w:rPr>
          <w:spacing w:val="-2"/>
        </w:rPr>
        <w:t> Conditions</w:t>
      </w:r>
    </w:p>
    <w:p>
      <w:pPr>
        <w:pStyle w:val="BodyText"/>
        <w:spacing w:before="4"/>
        <w:rPr>
          <w:b/>
        </w:rPr>
      </w:pPr>
    </w:p>
    <w:p>
      <w:pPr>
        <w:pStyle w:val="BodyText"/>
        <w:ind w:left="144" w:right="118" w:firstLine="499"/>
        <w:jc w:val="both"/>
      </w:pPr>
      <w:r>
        <w:rPr>
          <w:b/>
          <w:i/>
        </w:rPr>
        <w:t>We face significant competition with respect to destination travel locations generally and with respect to our peers in the industries in which we compete, including increased competition through online sports betting and iGaming, and failure to compete effectively could materially adversely affect our business, financial condition, results of operations and cash flows</w:t>
      </w:r>
      <w:r>
        <w:rPr>
          <w:b/>
        </w:rPr>
        <w:t>.</w:t>
      </w:r>
      <w:r>
        <w:rPr>
          <w:b/>
          <w:spacing w:val="-2"/>
        </w:rPr>
        <w:t> </w:t>
      </w:r>
      <w:r>
        <w:rPr/>
        <w:t>The hotel, resort, entertainment, and gaming industries are highly competitive.</w:t>
      </w:r>
      <w:r>
        <w:rPr>
          <w:spacing w:val="-2"/>
        </w:rPr>
        <w:t> </w:t>
      </w:r>
      <w:r>
        <w:rPr/>
        <w:t>We </w:t>
      </w:r>
      <w:r>
        <w:rPr/>
        <w:t>do not</w:t>
      </w:r>
      <w:r>
        <w:rPr>
          <w:spacing w:val="-1"/>
        </w:rPr>
        <w:t> </w:t>
      </w:r>
      <w:r>
        <w:rPr/>
        <w:t>believe</w:t>
      </w:r>
      <w:r>
        <w:rPr>
          <w:spacing w:val="-1"/>
        </w:rPr>
        <w:t> </w:t>
      </w:r>
      <w:r>
        <w:rPr/>
        <w:t>that</w:t>
      </w:r>
      <w:r>
        <w:rPr>
          <w:spacing w:val="-1"/>
        </w:rPr>
        <w:t> </w:t>
      </w:r>
      <w:r>
        <w:rPr/>
        <w:t>our</w:t>
      </w:r>
      <w:r>
        <w:rPr>
          <w:spacing w:val="-1"/>
        </w:rPr>
        <w:t> </w:t>
      </w:r>
      <w:r>
        <w:rPr/>
        <w:t>competition</w:t>
      </w:r>
      <w:r>
        <w:rPr>
          <w:spacing w:val="-1"/>
        </w:rPr>
        <w:t> </w:t>
      </w:r>
      <w:r>
        <w:rPr/>
        <w:t>is</w:t>
      </w:r>
      <w:r>
        <w:rPr>
          <w:spacing w:val="-1"/>
        </w:rPr>
        <w:t> </w:t>
      </w:r>
      <w:r>
        <w:rPr/>
        <w:t>limited</w:t>
      </w:r>
      <w:r>
        <w:rPr>
          <w:spacing w:val="-1"/>
        </w:rPr>
        <w:t> </w:t>
      </w:r>
      <w:r>
        <w:rPr/>
        <w:t>to</w:t>
      </w:r>
      <w:r>
        <w:rPr>
          <w:spacing w:val="-1"/>
        </w:rPr>
        <w:t> </w:t>
      </w:r>
      <w:r>
        <w:rPr/>
        <w:t>a</w:t>
      </w:r>
      <w:r>
        <w:rPr>
          <w:spacing w:val="-1"/>
        </w:rPr>
        <w:t> </w:t>
      </w:r>
      <w:r>
        <w:rPr/>
        <w:t>particular</w:t>
      </w:r>
      <w:r>
        <w:rPr>
          <w:spacing w:val="-1"/>
        </w:rPr>
        <w:t> </w:t>
      </w:r>
      <w:r>
        <w:rPr/>
        <w:t>geographic</w:t>
      </w:r>
      <w:r>
        <w:rPr>
          <w:spacing w:val="-1"/>
        </w:rPr>
        <w:t> </w:t>
      </w:r>
      <w:r>
        <w:rPr/>
        <w:t>area,</w:t>
      </w:r>
      <w:r>
        <w:rPr>
          <w:spacing w:val="-1"/>
        </w:rPr>
        <w:t> </w:t>
      </w:r>
      <w:r>
        <w:rPr/>
        <w:t>and</w:t>
      </w:r>
      <w:r>
        <w:rPr>
          <w:spacing w:val="-1"/>
        </w:rPr>
        <w:t> </w:t>
      </w:r>
      <w:r>
        <w:rPr/>
        <w:t>hotel,</w:t>
      </w:r>
      <w:r>
        <w:rPr>
          <w:spacing w:val="-1"/>
        </w:rPr>
        <w:t> </w:t>
      </w:r>
      <w:r>
        <w:rPr/>
        <w:t>resort,</w:t>
      </w:r>
      <w:r>
        <w:rPr>
          <w:spacing w:val="-1"/>
        </w:rPr>
        <w:t> </w:t>
      </w:r>
      <w:r>
        <w:rPr/>
        <w:t>entertainment,</w:t>
      </w:r>
      <w:r>
        <w:rPr>
          <w:spacing w:val="-1"/>
        </w:rPr>
        <w:t> </w:t>
      </w:r>
      <w:r>
        <w:rPr/>
        <w:t>and</w:t>
      </w:r>
      <w:r>
        <w:rPr>
          <w:spacing w:val="-1"/>
        </w:rPr>
        <w:t> </w:t>
      </w:r>
      <w:r>
        <w:rPr/>
        <w:t>gaming</w:t>
      </w:r>
      <w:r>
        <w:rPr>
          <w:spacing w:val="-1"/>
        </w:rPr>
        <w:t> </w:t>
      </w:r>
      <w:r>
        <w:rPr/>
        <w:t>operations</w:t>
      </w:r>
      <w:r>
        <w:rPr>
          <w:spacing w:val="-1"/>
        </w:rPr>
        <w:t> </w:t>
      </w:r>
      <w:r>
        <w:rPr/>
        <w:t>in</w:t>
      </w:r>
      <w:r>
        <w:rPr>
          <w:spacing w:val="-1"/>
        </w:rPr>
        <w:t> </w:t>
      </w:r>
      <w:r>
        <w:rPr/>
        <w:t>other</w:t>
      </w:r>
      <w:r>
        <w:rPr>
          <w:spacing w:val="-1"/>
        </w:rPr>
        <w:t> </w:t>
      </w:r>
      <w:r>
        <w:rPr/>
        <w:t>states</w:t>
      </w:r>
      <w:r>
        <w:rPr>
          <w:spacing w:val="-1"/>
        </w:rPr>
        <w:t> </w:t>
      </w:r>
      <w:r>
        <w:rPr/>
        <w:t>or</w:t>
      </w:r>
      <w:r>
        <w:rPr>
          <w:spacing w:val="-1"/>
        </w:rPr>
        <w:t> </w:t>
      </w:r>
      <w:r>
        <w:rPr/>
        <w:t>countries,</w:t>
      </w:r>
      <w:r>
        <w:rPr>
          <w:spacing w:val="-1"/>
        </w:rPr>
        <w:t> </w:t>
      </w:r>
      <w:r>
        <w:rPr/>
        <w:t>as well as the increased availability of online sports betting and iGaming, could attract our customers. To the extent that new casinos enter our markets or hotel room capacity is expanded by others in major destination locations, competition will increase. Major competitors, including potential new entrants, may also expand their hotel room capacity, expand their range of amenities, improve their level of service, or construct new resorts in Las Vegas, Macau or in the domestic regional markets in which we operate, all of which could attract our customers. Also, the growth of retail gaming in areas outside Las Vegas has increased the competition faced by our operations in Las Vegas and elsewhere. For instance, local referendums were recently passed to allow retail gaming in Virginia</w:t>
      </w:r>
      <w:r>
        <w:rPr>
          <w:spacing w:val="-1"/>
        </w:rPr>
        <w:t> </w:t>
      </w:r>
      <w:r>
        <w:rPr/>
        <w:t>and</w:t>
      </w:r>
      <w:r>
        <w:rPr>
          <w:spacing w:val="-1"/>
        </w:rPr>
        <w:t> </w:t>
      </w:r>
      <w:r>
        <w:rPr/>
        <w:t>Nebraska,</w:t>
      </w:r>
      <w:r>
        <w:rPr>
          <w:spacing w:val="-1"/>
        </w:rPr>
        <w:t> </w:t>
      </w:r>
      <w:r>
        <w:rPr/>
        <w:t>with</w:t>
      </w:r>
      <w:r>
        <w:rPr>
          <w:spacing w:val="-1"/>
        </w:rPr>
        <w:t> </w:t>
      </w:r>
      <w:r>
        <w:rPr/>
        <w:t>active</w:t>
      </w:r>
      <w:r>
        <w:rPr>
          <w:spacing w:val="-1"/>
        </w:rPr>
        <w:t> </w:t>
      </w:r>
      <w:r>
        <w:rPr/>
        <w:t>lobbying</w:t>
      </w:r>
      <w:r>
        <w:rPr>
          <w:spacing w:val="-1"/>
        </w:rPr>
        <w:t> </w:t>
      </w:r>
      <w:r>
        <w:rPr/>
        <w:t>occurring</w:t>
      </w:r>
      <w:r>
        <w:rPr>
          <w:spacing w:val="-1"/>
        </w:rPr>
        <w:t> </w:t>
      </w:r>
      <w:r>
        <w:rPr/>
        <w:t>in</w:t>
      </w:r>
      <w:r>
        <w:rPr>
          <w:spacing w:val="-1"/>
        </w:rPr>
        <w:t> </w:t>
      </w:r>
      <w:r>
        <w:rPr/>
        <w:t>additional</w:t>
      </w:r>
      <w:r>
        <w:rPr>
          <w:spacing w:val="-1"/>
        </w:rPr>
        <w:t> </w:t>
      </w:r>
      <w:r>
        <w:rPr/>
        <w:t>states.</w:t>
      </w:r>
      <w:r>
        <w:rPr>
          <w:spacing w:val="-5"/>
        </w:rPr>
        <w:t> </w:t>
      </w:r>
      <w:r>
        <w:rPr/>
        <w:t>While</w:t>
      </w:r>
      <w:r>
        <w:rPr>
          <w:spacing w:val="-1"/>
        </w:rPr>
        <w:t> </w:t>
      </w:r>
      <w:r>
        <w:rPr/>
        <w:t>we</w:t>
      </w:r>
      <w:r>
        <w:rPr>
          <w:spacing w:val="-1"/>
        </w:rPr>
        <w:t> </w:t>
      </w:r>
      <w:r>
        <w:rPr/>
        <w:t>believe</w:t>
      </w:r>
      <w:r>
        <w:rPr>
          <w:spacing w:val="-1"/>
        </w:rPr>
        <w:t> </w:t>
      </w:r>
      <w:r>
        <w:rPr/>
        <w:t>our</w:t>
      </w:r>
      <w:r>
        <w:rPr>
          <w:spacing w:val="-1"/>
        </w:rPr>
        <w:t> </w:t>
      </w:r>
      <w:r>
        <w:rPr/>
        <w:t>principal</w:t>
      </w:r>
      <w:r>
        <w:rPr>
          <w:spacing w:val="-1"/>
        </w:rPr>
        <w:t> </w:t>
      </w:r>
      <w:r>
        <w:rPr/>
        <w:t>competitors</w:t>
      </w:r>
      <w:r>
        <w:rPr>
          <w:spacing w:val="-1"/>
        </w:rPr>
        <w:t> </w:t>
      </w:r>
      <w:r>
        <w:rPr/>
        <w:t>are</w:t>
      </w:r>
      <w:r>
        <w:rPr>
          <w:spacing w:val="-1"/>
        </w:rPr>
        <w:t> </w:t>
      </w:r>
      <w:r>
        <w:rPr/>
        <w:t>major</w:t>
      </w:r>
      <w:r>
        <w:rPr>
          <w:spacing w:val="-1"/>
        </w:rPr>
        <w:t> </w:t>
      </w:r>
      <w:r>
        <w:rPr/>
        <w:t>gaming</w:t>
      </w:r>
      <w:r>
        <w:rPr>
          <w:spacing w:val="-1"/>
        </w:rPr>
        <w:t> </w:t>
      </w:r>
      <w:r>
        <w:rPr/>
        <w:t>and</w:t>
      </w:r>
      <w:r>
        <w:rPr>
          <w:spacing w:val="-1"/>
        </w:rPr>
        <w:t> </w:t>
      </w:r>
      <w:r>
        <w:rPr/>
        <w:t>hospitality</w:t>
      </w:r>
      <w:r>
        <w:rPr>
          <w:spacing w:val="-1"/>
        </w:rPr>
        <w:t> </w:t>
      </w:r>
      <w:r>
        <w:rPr/>
        <w:t>resorts with</w:t>
      </w:r>
      <w:r>
        <w:rPr>
          <w:spacing w:val="-1"/>
        </w:rPr>
        <w:t> </w:t>
      </w:r>
      <w:r>
        <w:rPr/>
        <w:t>well-established</w:t>
      </w:r>
      <w:r>
        <w:rPr>
          <w:spacing w:val="-1"/>
        </w:rPr>
        <w:t> </w:t>
      </w:r>
      <w:r>
        <w:rPr/>
        <w:t>and</w:t>
      </w:r>
      <w:r>
        <w:rPr>
          <w:spacing w:val="-1"/>
        </w:rPr>
        <w:t> </w:t>
      </w:r>
      <w:r>
        <w:rPr/>
        <w:t>recognized</w:t>
      </w:r>
      <w:r>
        <w:rPr>
          <w:spacing w:val="-1"/>
        </w:rPr>
        <w:t> </w:t>
      </w:r>
      <w:r>
        <w:rPr/>
        <w:t>brands,</w:t>
      </w:r>
      <w:r>
        <w:rPr>
          <w:spacing w:val="-1"/>
        </w:rPr>
        <w:t> </w:t>
      </w:r>
      <w:r>
        <w:rPr/>
        <w:t>we</w:t>
      </w:r>
      <w:r>
        <w:rPr>
          <w:spacing w:val="-1"/>
        </w:rPr>
        <w:t> </w:t>
      </w:r>
      <w:r>
        <w:rPr/>
        <w:t>also</w:t>
      </w:r>
      <w:r>
        <w:rPr>
          <w:spacing w:val="-1"/>
        </w:rPr>
        <w:t> </w:t>
      </w:r>
      <w:r>
        <w:rPr/>
        <w:t>compete</w:t>
      </w:r>
      <w:r>
        <w:rPr>
          <w:spacing w:val="-1"/>
        </w:rPr>
        <w:t> </w:t>
      </w:r>
      <w:r>
        <w:rPr/>
        <w:t>against</w:t>
      </w:r>
      <w:r>
        <w:rPr>
          <w:spacing w:val="-1"/>
        </w:rPr>
        <w:t> </w:t>
      </w:r>
      <w:r>
        <w:rPr/>
        <w:t>smaller</w:t>
      </w:r>
      <w:r>
        <w:rPr>
          <w:spacing w:val="-1"/>
        </w:rPr>
        <w:t> </w:t>
      </w:r>
      <w:r>
        <w:rPr/>
        <w:t>hotel</w:t>
      </w:r>
      <w:r>
        <w:rPr>
          <w:spacing w:val="-1"/>
        </w:rPr>
        <w:t> </w:t>
      </w:r>
      <w:r>
        <w:rPr/>
        <w:t>offerings</w:t>
      </w:r>
      <w:r>
        <w:rPr>
          <w:spacing w:val="-1"/>
        </w:rPr>
        <w:t> </w:t>
      </w:r>
      <w:r>
        <w:rPr/>
        <w:t>and</w:t>
      </w:r>
      <w:r>
        <w:rPr>
          <w:spacing w:val="-1"/>
        </w:rPr>
        <w:t> </w:t>
      </w:r>
      <w:r>
        <w:rPr/>
        <w:t>peer-to-peer</w:t>
      </w:r>
      <w:r>
        <w:rPr>
          <w:spacing w:val="-1"/>
        </w:rPr>
        <w:t> </w:t>
      </w:r>
      <w:r>
        <w:rPr/>
        <w:t>inventory</w:t>
      </w:r>
      <w:r>
        <w:rPr>
          <w:spacing w:val="-1"/>
        </w:rPr>
        <w:t> </w:t>
      </w:r>
      <w:r>
        <w:rPr/>
        <w:t>sources,</w:t>
      </w:r>
      <w:r>
        <w:rPr>
          <w:spacing w:val="-1"/>
        </w:rPr>
        <w:t> </w:t>
      </w:r>
      <w:r>
        <w:rPr/>
        <w:t>which</w:t>
      </w:r>
      <w:r>
        <w:rPr>
          <w:spacing w:val="-1"/>
        </w:rPr>
        <w:t> </w:t>
      </w:r>
      <w:r>
        <w:rPr/>
        <w:t>allow</w:t>
      </w:r>
      <w:r>
        <w:rPr>
          <w:spacing w:val="-1"/>
        </w:rPr>
        <w:t> </w:t>
      </w:r>
      <w:r>
        <w:rPr/>
        <w:t>travelers</w:t>
      </w:r>
      <w:r>
        <w:rPr>
          <w:spacing w:val="-1"/>
        </w:rPr>
        <w:t> </w:t>
      </w:r>
      <w:r>
        <w:rPr/>
        <w:t>to</w:t>
      </w:r>
      <w:r>
        <w:rPr>
          <w:spacing w:val="-1"/>
        </w:rPr>
        <w:t> </w:t>
      </w:r>
      <w:r>
        <w:rPr/>
        <w:t>book short-term rentals of homes and apartments from owners. We expect that we will continue to face increased competition from new channels of distribution, innovations in consumer-facing technology platforms and other transformations in the travel industry that could impact our ability to attract and retain customers and related business.</w:t>
      </w:r>
    </w:p>
    <w:p>
      <w:pPr>
        <w:pStyle w:val="BodyText"/>
        <w:spacing w:before="14"/>
      </w:pPr>
    </w:p>
    <w:p>
      <w:pPr>
        <w:pStyle w:val="BodyText"/>
        <w:ind w:left="144" w:right="118" w:firstLine="499"/>
        <w:jc w:val="both"/>
      </w:pPr>
      <w:r>
        <w:rPr/>
        <w:t>We have also seen significant expansion across the United States in legalized forms of iGaming and online sports betting and expect additional jurisdictions will likely legalize iGaming and online sports betting in the future. We participate in the domestic iGaming and online sports betting </w:t>
      </w:r>
      <w:r>
        <w:rPr/>
        <w:t>market through our venture, BetMGM, which faces significant competition from other industry participants as well as the broader gaming and entertainment</w:t>
      </w:r>
      <w:r>
        <w:rPr>
          <w:spacing w:val="40"/>
        </w:rPr>
        <w:t> </w:t>
      </w:r>
      <w:r>
        <w:rPr/>
        <w:t>industries.</w:t>
      </w:r>
      <w:r>
        <w:rPr>
          <w:spacing w:val="-1"/>
        </w:rPr>
        <w:t> </w:t>
      </w:r>
      <w:r>
        <w:rPr/>
        <w:t>If</w:t>
      </w:r>
      <w:r>
        <w:rPr>
          <w:spacing w:val="-1"/>
        </w:rPr>
        <w:t> </w:t>
      </w:r>
      <w:r>
        <w:rPr/>
        <w:t>BetMGM</w:t>
      </w:r>
      <w:r>
        <w:rPr>
          <w:spacing w:val="-1"/>
        </w:rPr>
        <w:t> </w:t>
      </w:r>
      <w:r>
        <w:rPr/>
        <w:t>is</w:t>
      </w:r>
      <w:r>
        <w:rPr>
          <w:spacing w:val="-1"/>
        </w:rPr>
        <w:t> </w:t>
      </w:r>
      <w:r>
        <w:rPr/>
        <w:t>unable</w:t>
      </w:r>
      <w:r>
        <w:rPr>
          <w:spacing w:val="-1"/>
        </w:rPr>
        <w:t> </w:t>
      </w:r>
      <w:r>
        <w:rPr/>
        <w:t>to</w:t>
      </w:r>
      <w:r>
        <w:rPr>
          <w:spacing w:val="-1"/>
        </w:rPr>
        <w:t> </w:t>
      </w:r>
      <w:r>
        <w:rPr/>
        <w:t>sustain</w:t>
      </w:r>
      <w:r>
        <w:rPr>
          <w:spacing w:val="-1"/>
        </w:rPr>
        <w:t> </w:t>
      </w:r>
      <w:r>
        <w:rPr/>
        <w:t>or</w:t>
      </w:r>
      <w:r>
        <w:rPr>
          <w:spacing w:val="-1"/>
        </w:rPr>
        <w:t> </w:t>
      </w:r>
      <w:r>
        <w:rPr/>
        <w:t>grow</w:t>
      </w:r>
      <w:r>
        <w:rPr>
          <w:spacing w:val="-1"/>
        </w:rPr>
        <w:t> </w:t>
      </w:r>
      <w:r>
        <w:rPr/>
        <w:t>interest</w:t>
      </w:r>
      <w:r>
        <w:rPr>
          <w:spacing w:val="-1"/>
        </w:rPr>
        <w:t> </w:t>
      </w:r>
      <w:r>
        <w:rPr/>
        <w:t>in</w:t>
      </w:r>
      <w:r>
        <w:rPr>
          <w:spacing w:val="-1"/>
        </w:rPr>
        <w:t> </w:t>
      </w:r>
      <w:r>
        <w:rPr/>
        <w:t>its</w:t>
      </w:r>
      <w:r>
        <w:rPr>
          <w:spacing w:val="-1"/>
        </w:rPr>
        <w:t> </w:t>
      </w:r>
      <w:r>
        <w:rPr/>
        <w:t>offerings</w:t>
      </w:r>
      <w:r>
        <w:rPr>
          <w:spacing w:val="-1"/>
        </w:rPr>
        <w:t> </w:t>
      </w:r>
      <w:r>
        <w:rPr/>
        <w:t>it</w:t>
      </w:r>
      <w:r>
        <w:rPr>
          <w:spacing w:val="-1"/>
        </w:rPr>
        <w:t> </w:t>
      </w:r>
      <w:r>
        <w:rPr/>
        <w:t>may</w:t>
      </w:r>
      <w:r>
        <w:rPr>
          <w:spacing w:val="-1"/>
        </w:rPr>
        <w:t> </w:t>
      </w:r>
      <w:r>
        <w:rPr/>
        <w:t>not</w:t>
      </w:r>
      <w:r>
        <w:rPr>
          <w:spacing w:val="-1"/>
        </w:rPr>
        <w:t> </w:t>
      </w:r>
      <w:r>
        <w:rPr/>
        <w:t>be</w:t>
      </w:r>
      <w:r>
        <w:rPr>
          <w:spacing w:val="-1"/>
        </w:rPr>
        <w:t> </w:t>
      </w:r>
      <w:r>
        <w:rPr/>
        <w:t>able</w:t>
      </w:r>
      <w:r>
        <w:rPr>
          <w:spacing w:val="-1"/>
        </w:rPr>
        <w:t> </w:t>
      </w:r>
      <w:r>
        <w:rPr/>
        <w:t>to</w:t>
      </w:r>
      <w:r>
        <w:rPr>
          <w:spacing w:val="-1"/>
        </w:rPr>
        <w:t> </w:t>
      </w:r>
      <w:r>
        <w:rPr/>
        <w:t>gain</w:t>
      </w:r>
      <w:r>
        <w:rPr>
          <w:spacing w:val="-1"/>
        </w:rPr>
        <w:t> </w:t>
      </w:r>
      <w:r>
        <w:rPr/>
        <w:t>the</w:t>
      </w:r>
      <w:r>
        <w:rPr>
          <w:spacing w:val="-1"/>
        </w:rPr>
        <w:t> </w:t>
      </w:r>
      <w:r>
        <w:rPr/>
        <w:t>scale</w:t>
      </w:r>
      <w:r>
        <w:rPr>
          <w:spacing w:val="-1"/>
        </w:rPr>
        <w:t> </w:t>
      </w:r>
      <w:r>
        <w:rPr/>
        <w:t>necessary</w:t>
      </w:r>
      <w:r>
        <w:rPr>
          <w:spacing w:val="-1"/>
        </w:rPr>
        <w:t> </w:t>
      </w:r>
      <w:r>
        <w:rPr/>
        <w:t>to</w:t>
      </w:r>
      <w:r>
        <w:rPr>
          <w:spacing w:val="-1"/>
        </w:rPr>
        <w:t> </w:t>
      </w:r>
      <w:r>
        <w:rPr/>
        <w:t>successfully</w:t>
      </w:r>
      <w:r>
        <w:rPr>
          <w:spacing w:val="-1"/>
        </w:rPr>
        <w:t> </w:t>
      </w:r>
      <w:r>
        <w:rPr/>
        <w:t>compete</w:t>
      </w:r>
      <w:r>
        <w:rPr>
          <w:spacing w:val="-1"/>
        </w:rPr>
        <w:t> </w:t>
      </w:r>
      <w:r>
        <w:rPr/>
        <w:t>in</w:t>
      </w:r>
      <w:r>
        <w:rPr>
          <w:spacing w:val="-1"/>
        </w:rPr>
        <w:t> </w:t>
      </w:r>
      <w:r>
        <w:rPr/>
        <w:t>the</w:t>
      </w:r>
      <w:r>
        <w:rPr>
          <w:spacing w:val="-1"/>
        </w:rPr>
        <w:t> </w:t>
      </w:r>
      <w:r>
        <w:rPr/>
        <w:t>growing market</w:t>
      </w:r>
      <w:r>
        <w:rPr>
          <w:spacing w:val="-1"/>
        </w:rPr>
        <w:t> </w:t>
      </w:r>
      <w:r>
        <w:rPr/>
        <w:t>and,</w:t>
      </w:r>
      <w:r>
        <w:rPr>
          <w:spacing w:val="-1"/>
        </w:rPr>
        <w:t> </w:t>
      </w:r>
      <w:r>
        <w:rPr/>
        <w:t>as</w:t>
      </w:r>
      <w:r>
        <w:rPr>
          <w:spacing w:val="-1"/>
        </w:rPr>
        <w:t> </w:t>
      </w:r>
      <w:r>
        <w:rPr/>
        <w:t>a</w:t>
      </w:r>
      <w:r>
        <w:rPr>
          <w:spacing w:val="-1"/>
        </w:rPr>
        <w:t> </w:t>
      </w:r>
      <w:r>
        <w:rPr/>
        <w:t>result,</w:t>
      </w:r>
      <w:r>
        <w:rPr>
          <w:spacing w:val="-1"/>
        </w:rPr>
        <w:t> </w:t>
      </w:r>
      <w:r>
        <w:rPr/>
        <w:t>we</w:t>
      </w:r>
      <w:r>
        <w:rPr>
          <w:spacing w:val="-1"/>
        </w:rPr>
        <w:t> </w:t>
      </w:r>
      <w:r>
        <w:rPr/>
        <w:t>may</w:t>
      </w:r>
      <w:r>
        <w:rPr>
          <w:spacing w:val="-1"/>
        </w:rPr>
        <w:t> </w:t>
      </w:r>
      <w:r>
        <w:rPr/>
        <w:t>not</w:t>
      </w:r>
      <w:r>
        <w:rPr>
          <w:spacing w:val="-1"/>
        </w:rPr>
        <w:t> </w:t>
      </w:r>
      <w:r>
        <w:rPr/>
        <w:t>receive</w:t>
      </w:r>
      <w:r>
        <w:rPr>
          <w:spacing w:val="-1"/>
        </w:rPr>
        <w:t> </w:t>
      </w:r>
      <w:r>
        <w:rPr/>
        <w:t>the</w:t>
      </w:r>
      <w:r>
        <w:rPr>
          <w:spacing w:val="-1"/>
        </w:rPr>
        <w:t> </w:t>
      </w:r>
      <w:r>
        <w:rPr/>
        <w:t>anticipated</w:t>
      </w:r>
      <w:r>
        <w:rPr>
          <w:spacing w:val="-1"/>
        </w:rPr>
        <w:t> </w:t>
      </w:r>
      <w:r>
        <w:rPr/>
        <w:t>benefits</w:t>
      </w:r>
      <w:r>
        <w:rPr>
          <w:spacing w:val="-1"/>
        </w:rPr>
        <w:t> </w:t>
      </w:r>
      <w:r>
        <w:rPr/>
        <w:t>from</w:t>
      </w:r>
      <w:r>
        <w:rPr>
          <w:spacing w:val="-1"/>
        </w:rPr>
        <w:t> </w:t>
      </w:r>
      <w:r>
        <w:rPr/>
        <w:t>our</w:t>
      </w:r>
      <w:r>
        <w:rPr>
          <w:spacing w:val="-1"/>
        </w:rPr>
        <w:t> </w:t>
      </w:r>
      <w:r>
        <w:rPr/>
        <w:t>investment.</w:t>
      </w:r>
      <w:r>
        <w:rPr>
          <w:spacing w:val="-1"/>
        </w:rPr>
        <w:t> </w:t>
      </w:r>
      <w:r>
        <w:rPr/>
        <w:t>In</w:t>
      </w:r>
      <w:r>
        <w:rPr>
          <w:spacing w:val="-1"/>
        </w:rPr>
        <w:t> </w:t>
      </w:r>
      <w:r>
        <w:rPr/>
        <w:t>addition,</w:t>
      </w:r>
      <w:r>
        <w:rPr>
          <w:spacing w:val="-1"/>
        </w:rPr>
        <w:t> </w:t>
      </w:r>
      <w:r>
        <w:rPr/>
        <w:t>the</w:t>
      </w:r>
      <w:r>
        <w:rPr>
          <w:spacing w:val="-1"/>
        </w:rPr>
        <w:t> </w:t>
      </w:r>
      <w:r>
        <w:rPr/>
        <w:t>expansion</w:t>
      </w:r>
      <w:r>
        <w:rPr>
          <w:spacing w:val="-1"/>
        </w:rPr>
        <w:t> </w:t>
      </w:r>
      <w:r>
        <w:rPr/>
        <w:t>of</w:t>
      </w:r>
      <w:r>
        <w:rPr>
          <w:spacing w:val="-1"/>
        </w:rPr>
        <w:t> </w:t>
      </w:r>
      <w:r>
        <w:rPr/>
        <w:t>iGaming,</w:t>
      </w:r>
      <w:r>
        <w:rPr>
          <w:spacing w:val="-1"/>
        </w:rPr>
        <w:t> </w:t>
      </w:r>
      <w:r>
        <w:rPr/>
        <w:t>online</w:t>
      </w:r>
      <w:r>
        <w:rPr>
          <w:spacing w:val="-1"/>
        </w:rPr>
        <w:t> </w:t>
      </w:r>
      <w:r>
        <w:rPr/>
        <w:t>sports</w:t>
      </w:r>
      <w:r>
        <w:rPr>
          <w:spacing w:val="-1"/>
        </w:rPr>
        <w:t> </w:t>
      </w:r>
      <w:r>
        <w:rPr/>
        <w:t>betting,</w:t>
      </w:r>
      <w:r>
        <w:rPr>
          <w:spacing w:val="-1"/>
        </w:rPr>
        <w:t> </w:t>
      </w:r>
      <w:r>
        <w:rPr/>
        <w:t>and</w:t>
      </w:r>
      <w:r>
        <w:rPr>
          <w:spacing w:val="-1"/>
        </w:rPr>
        <w:t> </w:t>
      </w:r>
      <w:r>
        <w:rPr/>
        <w:t>other types of gaming may further compete with our land-based operations by reducing customer visitation and spend at our properties.</w:t>
      </w:r>
    </w:p>
    <w:p>
      <w:pPr>
        <w:pStyle w:val="BodyText"/>
      </w:pPr>
    </w:p>
    <w:p>
      <w:pPr>
        <w:pStyle w:val="BodyText"/>
        <w:spacing w:line="232" w:lineRule="auto" w:before="1"/>
        <w:ind w:left="144" w:right="118" w:firstLine="499"/>
        <w:jc w:val="both"/>
      </w:pPr>
      <w:r>
        <w:rPr/>
        <w:t>In addition, competition could increase if changes in gaming restrictions in the United States and elsewhere are enacted, including the addition of new gaming</w:t>
      </w:r>
      <w:r>
        <w:rPr>
          <w:spacing w:val="-1"/>
        </w:rPr>
        <w:t> </w:t>
      </w:r>
      <w:r>
        <w:rPr/>
        <w:t>establishments</w:t>
      </w:r>
      <w:r>
        <w:rPr>
          <w:spacing w:val="-1"/>
        </w:rPr>
        <w:t> </w:t>
      </w:r>
      <w:r>
        <w:rPr/>
        <w:t>located</w:t>
      </w:r>
      <w:r>
        <w:rPr>
          <w:spacing w:val="-1"/>
        </w:rPr>
        <w:t> </w:t>
      </w:r>
      <w:r>
        <w:rPr/>
        <w:t>closer</w:t>
      </w:r>
      <w:r>
        <w:rPr>
          <w:spacing w:val="-1"/>
        </w:rPr>
        <w:t> </w:t>
      </w:r>
      <w:r>
        <w:rPr/>
        <w:t>to</w:t>
      </w:r>
      <w:r>
        <w:rPr>
          <w:spacing w:val="-1"/>
        </w:rPr>
        <w:t> </w:t>
      </w:r>
      <w:r>
        <w:rPr/>
        <w:t>our</w:t>
      </w:r>
      <w:r>
        <w:rPr>
          <w:spacing w:val="-1"/>
        </w:rPr>
        <w:t> </w:t>
      </w:r>
      <w:r>
        <w:rPr/>
        <w:t>customers</w:t>
      </w:r>
      <w:r>
        <w:rPr>
          <w:spacing w:val="-1"/>
        </w:rPr>
        <w:t> </w:t>
      </w:r>
      <w:r>
        <w:rPr/>
        <w:t>than</w:t>
      </w:r>
      <w:r>
        <w:rPr>
          <w:spacing w:val="-1"/>
        </w:rPr>
        <w:t> </w:t>
      </w:r>
      <w:r>
        <w:rPr/>
        <w:t>our</w:t>
      </w:r>
      <w:r>
        <w:rPr>
          <w:spacing w:val="-1"/>
        </w:rPr>
        <w:t> </w:t>
      </w:r>
      <w:r>
        <w:rPr/>
        <w:t>casinos.</w:t>
      </w:r>
      <w:r>
        <w:rPr>
          <w:spacing w:val="-1"/>
        </w:rPr>
        <w:t> </w:t>
      </w:r>
      <w:r>
        <w:rPr/>
        <w:t>For</w:t>
      </w:r>
      <w:r>
        <w:rPr>
          <w:spacing w:val="-1"/>
        </w:rPr>
        <w:t> </w:t>
      </w:r>
      <w:r>
        <w:rPr/>
        <w:t>example,</w:t>
      </w:r>
      <w:r>
        <w:rPr>
          <w:spacing w:val="-1"/>
        </w:rPr>
        <w:t> </w:t>
      </w:r>
      <w:r>
        <w:rPr/>
        <w:t>while</w:t>
      </w:r>
      <w:r>
        <w:rPr>
          <w:spacing w:val="-1"/>
        </w:rPr>
        <w:t> </w:t>
      </w:r>
      <w:r>
        <w:rPr/>
        <w:t>our</w:t>
      </w:r>
      <w:r>
        <w:rPr>
          <w:spacing w:val="-1"/>
        </w:rPr>
        <w:t> </w:t>
      </w:r>
      <w:r>
        <w:rPr/>
        <w:t>Macau</w:t>
      </w:r>
      <w:r>
        <w:rPr>
          <w:spacing w:val="-1"/>
        </w:rPr>
        <w:t> </w:t>
      </w:r>
      <w:r>
        <w:rPr/>
        <w:t>operations</w:t>
      </w:r>
      <w:r>
        <w:rPr>
          <w:spacing w:val="-1"/>
        </w:rPr>
        <w:t> </w:t>
      </w:r>
      <w:r>
        <w:rPr/>
        <w:t>compete</w:t>
      </w:r>
      <w:r>
        <w:rPr>
          <w:spacing w:val="-1"/>
        </w:rPr>
        <w:t> </w:t>
      </w:r>
      <w:r>
        <w:rPr/>
        <w:t>to</w:t>
      </w:r>
      <w:r>
        <w:rPr>
          <w:spacing w:val="-1"/>
        </w:rPr>
        <w:t> </w:t>
      </w:r>
      <w:r>
        <w:rPr/>
        <w:t>some</w:t>
      </w:r>
      <w:r>
        <w:rPr>
          <w:spacing w:val="-1"/>
        </w:rPr>
        <w:t> </w:t>
      </w:r>
      <w:r>
        <w:rPr/>
        <w:t>extent</w:t>
      </w:r>
      <w:r>
        <w:rPr>
          <w:spacing w:val="-1"/>
        </w:rPr>
        <w:t> </w:t>
      </w:r>
      <w:r>
        <w:rPr/>
        <w:t>with</w:t>
      </w:r>
      <w:r>
        <w:rPr>
          <w:spacing w:val="-1"/>
        </w:rPr>
        <w:t> </w:t>
      </w:r>
      <w:r>
        <w:rPr/>
        <w:t>casinos</w:t>
      </w:r>
      <w:r>
        <w:rPr>
          <w:spacing w:val="-1"/>
        </w:rPr>
        <w:t> </w:t>
      </w:r>
      <w:r>
        <w:rPr/>
        <w:t>located elsewhere in or near Asia, certain areas in the region have legalized casino gaming (including Japan) and others (such as Taiwan and Thailand) may legalize casino gaming (or iGaming) in the future. Furthermore, currently MGM Grand Paradise holds one of only six gaming concessions authorized by the </w:t>
      </w:r>
      <w:r>
        <w:rPr/>
        <w:t>Macau government to operate casinos in Macau. If the Macau government were to allow additional competitors to operate in Macau through the grant of additional concessions or if current concessionaires open additional facilities, we would face increased competition. Similarly, as a result of Macau’s Gaming Inspection and</w:t>
      </w:r>
      <w:r>
        <w:rPr>
          <w:spacing w:val="-2"/>
        </w:rPr>
        <w:t> </w:t>
      </w:r>
      <w:r>
        <w:rPr/>
        <w:t>Co-ordination</w:t>
      </w:r>
      <w:r>
        <w:rPr>
          <w:spacing w:val="-2"/>
        </w:rPr>
        <w:t> </w:t>
      </w:r>
      <w:r>
        <w:rPr/>
        <w:t>Bureau</w:t>
      </w:r>
      <w:r>
        <w:rPr>
          <w:spacing w:val="-2"/>
        </w:rPr>
        <w:t> </w:t>
      </w:r>
      <w:r>
        <w:rPr/>
        <w:t>increasing</w:t>
      </w:r>
      <w:r>
        <w:rPr>
          <w:spacing w:val="-2"/>
        </w:rPr>
        <w:t> </w:t>
      </w:r>
      <w:r>
        <w:rPr/>
        <w:t>scrutiny</w:t>
      </w:r>
      <w:r>
        <w:rPr>
          <w:spacing w:val="-2"/>
        </w:rPr>
        <w:t> </w:t>
      </w:r>
      <w:r>
        <w:rPr/>
        <w:t>and</w:t>
      </w:r>
      <w:r>
        <w:rPr>
          <w:spacing w:val="-2"/>
        </w:rPr>
        <w:t> </w:t>
      </w:r>
      <w:r>
        <w:rPr/>
        <w:t>restrictions</w:t>
      </w:r>
      <w:r>
        <w:rPr>
          <w:spacing w:val="-2"/>
        </w:rPr>
        <w:t> </w:t>
      </w:r>
      <w:r>
        <w:rPr/>
        <w:t>imposed</w:t>
      </w:r>
      <w:r>
        <w:rPr>
          <w:spacing w:val="-2"/>
        </w:rPr>
        <w:t> </w:t>
      </w:r>
      <w:r>
        <w:rPr/>
        <w:t>on</w:t>
      </w:r>
      <w:r>
        <w:rPr>
          <w:spacing w:val="-2"/>
        </w:rPr>
        <w:t> </w:t>
      </w:r>
      <w:r>
        <w:rPr/>
        <w:t>gaming</w:t>
      </w:r>
      <w:r>
        <w:rPr>
          <w:spacing w:val="-2"/>
        </w:rPr>
        <w:t> </w:t>
      </w:r>
      <w:r>
        <w:rPr/>
        <w:t>promoters,</w:t>
      </w:r>
      <w:r>
        <w:rPr>
          <w:spacing w:val="-2"/>
        </w:rPr>
        <w:t> </w:t>
      </w:r>
      <w:r>
        <w:rPr/>
        <w:t>we</w:t>
      </w:r>
      <w:r>
        <w:rPr>
          <w:spacing w:val="-2"/>
        </w:rPr>
        <w:t> </w:t>
      </w:r>
      <w:r>
        <w:rPr/>
        <w:t>along</w:t>
      </w:r>
      <w:r>
        <w:rPr>
          <w:spacing w:val="-2"/>
        </w:rPr>
        <w:t> </w:t>
      </w:r>
      <w:r>
        <w:rPr/>
        <w:t>with</w:t>
      </w:r>
      <w:r>
        <w:rPr>
          <w:spacing w:val="-2"/>
        </w:rPr>
        <w:t> </w:t>
      </w:r>
      <w:r>
        <w:rPr/>
        <w:t>certain</w:t>
      </w:r>
      <w:r>
        <w:rPr>
          <w:spacing w:val="-2"/>
        </w:rPr>
        <w:t> </w:t>
      </w:r>
      <w:r>
        <w:rPr/>
        <w:t>other</w:t>
      </w:r>
      <w:r>
        <w:rPr>
          <w:spacing w:val="-2"/>
        </w:rPr>
        <w:t> </w:t>
      </w:r>
      <w:r>
        <w:rPr/>
        <w:t>casino</w:t>
      </w:r>
      <w:r>
        <w:rPr>
          <w:spacing w:val="-2"/>
        </w:rPr>
        <w:t> </w:t>
      </w:r>
      <w:r>
        <w:rPr/>
        <w:t>operators</w:t>
      </w:r>
      <w:r>
        <w:rPr>
          <w:spacing w:val="-2"/>
        </w:rPr>
        <w:t> </w:t>
      </w:r>
      <w:r>
        <w:rPr/>
        <w:t>in</w:t>
      </w:r>
      <w:r>
        <w:rPr>
          <w:spacing w:val="-2"/>
        </w:rPr>
        <w:t> </w:t>
      </w:r>
      <w:r>
        <w:rPr/>
        <w:t>Macau,</w:t>
      </w:r>
      <w:r>
        <w:rPr>
          <w:spacing w:val="-2"/>
        </w:rPr>
        <w:t> </w:t>
      </w:r>
      <w:r>
        <w:rPr/>
        <w:t>suspended our primary gaming promoters, which has led to substantial declines in revenues from gaming promoters. As a result, we expect competition for the mass market segment amongst Macau operators will grow and if we are unable to maintain and further develop our mass market business and replace revenue previously obtained through use of gaming promoters, our business, financial condition, results of operations and cash flows could be adversely affected.</w:t>
      </w:r>
    </w:p>
    <w:p>
      <w:pPr>
        <w:pStyle w:val="BodyText"/>
        <w:spacing w:before="21"/>
      </w:pPr>
    </w:p>
    <w:p>
      <w:pPr>
        <w:pStyle w:val="BodyText"/>
        <w:ind w:left="144" w:right="118" w:firstLine="499"/>
        <w:jc w:val="both"/>
      </w:pPr>
      <w:r>
        <w:rPr/>
        <w:t>Most jurisdictions where casino gaming is currently permitted place numerical and/or geographical limitations on the issuance of new gaming licenses. Although a number of jurisdictions in the United States and foreign countries are considering legalizing or expanding casino gaming, in some cases new</w:t>
      </w:r>
      <w:r>
        <w:rPr>
          <w:spacing w:val="40"/>
        </w:rPr>
        <w:t> </w:t>
      </w:r>
      <w:r>
        <w:rPr/>
        <w:t>gaming operations may be restricted to specific locations and we expect that there will be intense competition for any attractive new opportunities (which may include acquisitions of existing properties) that do arise.</w:t>
      </w:r>
    </w:p>
    <w:p>
      <w:pPr>
        <w:pStyle w:val="BodyText"/>
        <w:spacing w:before="4"/>
      </w:pPr>
    </w:p>
    <w:p>
      <w:pPr>
        <w:pStyle w:val="BodyText"/>
        <w:spacing w:line="242" w:lineRule="auto"/>
        <w:ind w:left="144" w:right="118" w:firstLine="499"/>
        <w:jc w:val="both"/>
      </w:pPr>
      <w:r>
        <w:rPr/>
        <w:t>In addition to competition with other hotels, resorts and casinos, we compete with destination travel locations outside of the markets in which we operate.</w:t>
      </w:r>
      <w:r>
        <w:rPr>
          <w:spacing w:val="-2"/>
        </w:rPr>
        <w:t> </w:t>
      </w:r>
      <w:r>
        <w:rPr/>
        <w:t>Our</w:t>
      </w:r>
      <w:r>
        <w:rPr>
          <w:spacing w:val="-2"/>
        </w:rPr>
        <w:t> </w:t>
      </w:r>
      <w:r>
        <w:rPr/>
        <w:t>failure</w:t>
      </w:r>
      <w:r>
        <w:rPr>
          <w:spacing w:val="-2"/>
        </w:rPr>
        <w:t> </w:t>
      </w:r>
      <w:r>
        <w:rPr/>
        <w:t>to</w:t>
      </w:r>
      <w:r>
        <w:rPr>
          <w:spacing w:val="-2"/>
        </w:rPr>
        <w:t> </w:t>
      </w:r>
      <w:r>
        <w:rPr/>
        <w:t>compete</w:t>
      </w:r>
      <w:r>
        <w:rPr>
          <w:spacing w:val="-2"/>
        </w:rPr>
        <w:t> </w:t>
      </w:r>
      <w:r>
        <w:rPr/>
        <w:t>successfully</w:t>
      </w:r>
      <w:r>
        <w:rPr>
          <w:spacing w:val="-2"/>
        </w:rPr>
        <w:t> </w:t>
      </w:r>
      <w:r>
        <w:rPr/>
        <w:t>in</w:t>
      </w:r>
      <w:r>
        <w:rPr>
          <w:spacing w:val="-2"/>
        </w:rPr>
        <w:t> </w:t>
      </w:r>
      <w:r>
        <w:rPr/>
        <w:t>our</w:t>
      </w:r>
      <w:r>
        <w:rPr>
          <w:spacing w:val="-2"/>
        </w:rPr>
        <w:t> </w:t>
      </w:r>
      <w:r>
        <w:rPr/>
        <w:t>various</w:t>
      </w:r>
      <w:r>
        <w:rPr>
          <w:spacing w:val="-2"/>
        </w:rPr>
        <w:t> </w:t>
      </w:r>
      <w:r>
        <w:rPr/>
        <w:t>markets</w:t>
      </w:r>
      <w:r>
        <w:rPr>
          <w:spacing w:val="-2"/>
        </w:rPr>
        <w:t> </w:t>
      </w:r>
      <w:r>
        <w:rPr/>
        <w:t>and</w:t>
      </w:r>
      <w:r>
        <w:rPr>
          <w:spacing w:val="-2"/>
        </w:rPr>
        <w:t> </w:t>
      </w:r>
      <w:r>
        <w:rPr/>
        <w:t>to</w:t>
      </w:r>
      <w:r>
        <w:rPr>
          <w:spacing w:val="-2"/>
        </w:rPr>
        <w:t> </w:t>
      </w:r>
      <w:r>
        <w:rPr/>
        <w:t>continue</w:t>
      </w:r>
      <w:r>
        <w:rPr>
          <w:spacing w:val="-2"/>
        </w:rPr>
        <w:t> </w:t>
      </w:r>
      <w:r>
        <w:rPr/>
        <w:t>to</w:t>
      </w:r>
      <w:r>
        <w:rPr>
          <w:spacing w:val="-2"/>
        </w:rPr>
        <w:t> </w:t>
      </w:r>
      <w:r>
        <w:rPr/>
        <w:t>attract</w:t>
      </w:r>
      <w:r>
        <w:rPr>
          <w:spacing w:val="-2"/>
        </w:rPr>
        <w:t> </w:t>
      </w:r>
      <w:r>
        <w:rPr/>
        <w:t>customers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business,</w:t>
      </w:r>
      <w:r>
        <w:rPr>
          <w:spacing w:val="-2"/>
        </w:rPr>
        <w:t> </w:t>
      </w:r>
      <w:r>
        <w:rPr/>
        <w:t>financial</w:t>
      </w:r>
      <w:r>
        <w:rPr>
          <w:spacing w:val="-2"/>
        </w:rPr>
        <w:t> </w:t>
      </w:r>
      <w:r>
        <w:rPr/>
        <w:t>condition, results of operations and cash flows.</w:t>
      </w:r>
    </w:p>
    <w:p>
      <w:pPr>
        <w:pStyle w:val="BodyText"/>
        <w:spacing w:before="3"/>
      </w:pPr>
    </w:p>
    <w:p>
      <w:pPr>
        <w:pStyle w:val="BodyText"/>
        <w:ind w:left="144" w:right="118" w:firstLine="499"/>
        <w:jc w:val="both"/>
      </w:pPr>
      <w:r>
        <w:rPr>
          <w:b/>
          <w:i/>
        </w:rPr>
        <w:t>Our business is affected by economic and market conditions in the jurisdictions in which we operate and in the locations in which our </w:t>
      </w:r>
      <w:r>
        <w:rPr>
          <w:b/>
          <w:i/>
        </w:rPr>
        <w:t>customers reside</w:t>
      </w:r>
      <w:r>
        <w:rPr>
          <w:b/>
        </w:rPr>
        <w:t>. </w:t>
      </w:r>
      <w:r>
        <w:rPr/>
        <w:t>Our business is particularly sensitive to reductions in discretionary consumer spending and corporate spending on conventions, trade shows and</w:t>
      </w:r>
      <w:r>
        <w:rPr>
          <w:spacing w:val="40"/>
        </w:rPr>
        <w:t> </w:t>
      </w:r>
      <w:r>
        <w:rPr/>
        <w:t>business</w:t>
      </w:r>
      <w:r>
        <w:rPr>
          <w:spacing w:val="-4"/>
        </w:rPr>
        <w:t> </w:t>
      </w:r>
      <w:r>
        <w:rPr/>
        <w:t>development.</w:t>
      </w:r>
      <w:r>
        <w:rPr>
          <w:spacing w:val="-12"/>
        </w:rPr>
        <w:t> </w:t>
      </w:r>
      <w:r>
        <w:rPr/>
        <w:t>Adverse</w:t>
      </w:r>
      <w:r>
        <w:rPr>
          <w:spacing w:val="-2"/>
        </w:rPr>
        <w:t> </w:t>
      </w:r>
      <w:r>
        <w:rPr/>
        <w:t>macroeconomic</w:t>
      </w:r>
      <w:r>
        <w:rPr>
          <w:spacing w:val="-3"/>
        </w:rPr>
        <w:t> </w:t>
      </w:r>
      <w:r>
        <w:rPr/>
        <w:t>conditions,</w:t>
      </w:r>
      <w:r>
        <w:rPr>
          <w:spacing w:val="-3"/>
        </w:rPr>
        <w:t> </w:t>
      </w:r>
      <w:r>
        <w:rPr/>
        <w:t>including</w:t>
      </w:r>
      <w:r>
        <w:rPr>
          <w:spacing w:val="-3"/>
        </w:rPr>
        <w:t> </w:t>
      </w:r>
      <w:r>
        <w:rPr/>
        <w:t>inflation,</w:t>
      </w:r>
      <w:r>
        <w:rPr>
          <w:spacing w:val="-3"/>
        </w:rPr>
        <w:t> </w:t>
      </w:r>
      <w:r>
        <w:rPr/>
        <w:t>economic</w:t>
      </w:r>
      <w:r>
        <w:rPr>
          <w:spacing w:val="-3"/>
        </w:rPr>
        <w:t> </w:t>
      </w:r>
      <w:r>
        <w:rPr/>
        <w:t>contraction,</w:t>
      </w:r>
      <w:r>
        <w:rPr>
          <w:spacing w:val="-3"/>
        </w:rPr>
        <w:t> </w:t>
      </w:r>
      <w:r>
        <w:rPr/>
        <w:t>economic</w:t>
      </w:r>
      <w:r>
        <w:rPr>
          <w:spacing w:val="-3"/>
        </w:rPr>
        <w:t> </w:t>
      </w:r>
      <w:r>
        <w:rPr/>
        <w:t>uncertainty</w:t>
      </w:r>
      <w:r>
        <w:rPr>
          <w:spacing w:val="-3"/>
        </w:rPr>
        <w:t> </w:t>
      </w:r>
      <w:r>
        <w:rPr/>
        <w:t>or</w:t>
      </w:r>
      <w:r>
        <w:rPr>
          <w:spacing w:val="-3"/>
        </w:rPr>
        <w:t> </w:t>
      </w:r>
      <w:r>
        <w:rPr/>
        <w:t>the</w:t>
      </w:r>
      <w:r>
        <w:rPr>
          <w:spacing w:val="-3"/>
        </w:rPr>
        <w:t> </w:t>
      </w:r>
      <w:r>
        <w:rPr/>
        <w:t>perception</w:t>
      </w:r>
      <w:r>
        <w:rPr>
          <w:spacing w:val="-3"/>
        </w:rPr>
        <w:t> </w:t>
      </w:r>
      <w:r>
        <w:rPr/>
        <w:t>by</w:t>
      </w:r>
      <w:r>
        <w:rPr>
          <w:spacing w:val="-3"/>
        </w:rPr>
        <w:t> </w:t>
      </w:r>
      <w:r>
        <w:rPr/>
        <w:t>our</w:t>
      </w:r>
      <w:r>
        <w:rPr>
          <w:spacing w:val="-3"/>
        </w:rPr>
        <w:t> </w:t>
      </w:r>
      <w:r>
        <w:rPr/>
        <w:t>customers of weak or weakening economic conditions may cause a decline in demand for hotels, casino resorts, trade shows and conventions, and for the type of luxury amenities we offer. In addition, changes in discretionary consumer spending or consumer preferences could be driven by factors such as the increased cost of travel, an unstable job market, perceived or actual</w:t>
      </w:r>
    </w:p>
    <w:p>
      <w:pPr>
        <w:pStyle w:val="BodyText"/>
      </w:pPr>
    </w:p>
    <w:p>
      <w:pPr>
        <w:pStyle w:val="BodyText"/>
        <w:spacing w:before="194"/>
      </w:pPr>
    </w:p>
    <w:p>
      <w:pPr>
        <w:pStyle w:val="BodyText"/>
        <w:ind w:left="24"/>
        <w:jc w:val="center"/>
      </w:pPr>
      <w:r>
        <w:rPr>
          <w:spacing w:val="-5"/>
        </w:rPr>
        <w:t>17</w:t>
      </w:r>
    </w:p>
    <w:p>
      <w:pPr>
        <w:pStyle w:val="BodyText"/>
        <w:spacing w:before="3"/>
        <w:rPr>
          <w:sz w:val="6"/>
        </w:rPr>
      </w:pPr>
      <w:r>
        <w:rPr/>
        <mc:AlternateContent>
          <mc:Choice Requires="wps">
            <w:drawing>
              <wp:anchor distT="0" distB="0" distL="0" distR="0" allowOverlap="1" layoutInCell="1" locked="0" behindDoc="1" simplePos="0" relativeHeight="487602688">
                <wp:simplePos x="0" y="0"/>
                <wp:positionH relativeFrom="page">
                  <wp:posOffset>231457</wp:posOffset>
                </wp:positionH>
                <wp:positionV relativeFrom="paragraph">
                  <wp:posOffset>60956</wp:posOffset>
                </wp:positionV>
                <wp:extent cx="7312659" cy="17145"/>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7312659" cy="17145"/>
                          <a:chExt cx="7312659" cy="17145"/>
                        </a:xfrm>
                      </wpg:grpSpPr>
                      <wps:wsp>
                        <wps:cNvPr id="90" name="Graphic 9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1" name="Graphic 91"/>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2" name="Graphic 9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3792;mso-wrap-distance-left:0;mso-wrap-distance-right:0" id="docshapegroup88" coordorigin="364,96" coordsize="11516,27">
                <v:rect style="position:absolute;left:364;top:96;width:11516;height:14" id="docshape89" filled="true" fillcolor="#999999" stroked="false">
                  <v:fill type="solid"/>
                </v:rect>
                <v:shape style="position:absolute;left:364;top:96;width:11516;height:27" id="docshape90" coordorigin="364,96" coordsize="11516,27" path="m11880,96l11866,110,364,110,364,123,11866,123,11880,123,11880,110,11880,96xe" filled="true" fillcolor="#ededed" stroked="false">
                  <v:path arrowok="t"/>
                  <v:fill type="solid"/>
                </v:shape>
                <v:shape style="position:absolute;left:364;top:96;width:14;height:27" id="docshape9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37" w:lineRule="auto" w:before="64"/>
        <w:ind w:left="144" w:right="118"/>
        <w:jc w:val="both"/>
      </w:pPr>
      <w:r>
        <w:rPr/>
        <w:t>disposable consumer income and wealth, outbreaks of contagious diseases or fears of war and acts of terrorism or other acts of violence. Consumer </w:t>
      </w:r>
      <w:r>
        <w:rPr/>
        <w:t>preferences also evolve over time due to a variety of factors, including demographic changes, which, for instance, have resulted in recent growth in consumer demand for non-gaming offerings. Our success depends in part on our ability to anticipate the preferences of consumers and timely react to these trends, and any failure to do so may negatively impact our results of operations. In particular, Aria, Bellagio, MGM Grand Las Vegas, and The Cosmopolitan may be affected by economic conditions in the Far East, and all of our Nevada resorts are affected by economic conditions in the United States, and California in particular. A recession, economic slowdown or any other significant economic condition, including continued or increased inflationary pressures, affecting consumers, corporations, or the supply chain, generally is likely to cause a reduction in visitation to our resorts, which would adversely affect our operating results. In addition, adverse market conditions may impact the labor market and cause disruptions to the global supply chain. If we are unable to hire and retain sufficient employees to operate our properties or procure necessary supplies, our business, results of operations and reputation could be negatively impacted.</w:t>
      </w:r>
    </w:p>
    <w:p>
      <w:pPr>
        <w:pStyle w:val="BodyText"/>
        <w:spacing w:before="26"/>
      </w:pPr>
    </w:p>
    <w:p>
      <w:pPr>
        <w:pStyle w:val="BodyText"/>
        <w:ind w:left="144" w:right="118" w:firstLine="499"/>
        <w:jc w:val="both"/>
      </w:pPr>
      <w:r>
        <w:rPr/>
        <w:t>In addition, since we expect a significant number of customers to come to MGM Macau and MGM Cotai (and, to a lesser extent, our domestic properties) from mainland China, general economic, regulatory, geopolitical and market conditions in China could impact our financial prospects. </w:t>
      </w:r>
      <w:r>
        <w:rPr/>
        <w:t>Any slowdown in economic growth or changes to China’s current restrictions on travel and currency conversion or movements, including continued market impacts from the COVID-19 outbreak and market impacts resulting from China’s anti-corruption campaign and related tightening of liquidity provided by non-bank lending entities and cross-border currency monitoring (including increased restrictions on Union Pay withdrawals and other</w:t>
      </w:r>
      <w:r>
        <w:rPr>
          <w:spacing w:val="-3"/>
        </w:rPr>
        <w:t> </w:t>
      </w:r>
      <w:r>
        <w:rPr/>
        <w:t>ATM limits on the withdrawal of patacas and facial recognition technology on ATM machines in Macau to strictly enforce the "know your customer" regulations for mainland Chinese bank cardholders), could disrupt the number of visitors from mainland China and/or the amounts they are willing to spend at our properties. It is unclear whether these and other measures will continue to be in effect, become more restrictive, or be readopted in the future. These developments have had, and any future policy developments that may be implemented may have, the effect of reducing the number of visitors to Macau from mainland China, which could adversely impact tourism and the gaming industry in Macau.</w:t>
      </w:r>
    </w:p>
    <w:p>
      <w:pPr>
        <w:pStyle w:val="BodyText"/>
        <w:spacing w:before="172"/>
        <w:ind w:left="144" w:right="118" w:firstLine="499"/>
        <w:jc w:val="both"/>
      </w:pPr>
      <w:r>
        <w:rPr/>
        <w:t>Furthermore, our operations in Macau may be impacted by competition for limited labor resources and our ability to retain and hire employees. </w:t>
      </w:r>
      <w:r>
        <w:rPr/>
        <w:t>We compete with a large number of casino resorts for a limited number of employees and we anticipate that such competition will grow in light of the opening of new developments in Macau. While we seek employees from outside of Macau to adequately staff our resorts, certain Macau government policies limit our ability to import labor in certain job classifications (for instance, the Macau government requires that we only hire Macau residents as dealers in our casinos) and any future government policies that freeze or cancel our ability to import labor could cause labor costs to increase. Finally, because additional gaming or non-gaming projects have commenced operations and other projects are under construction, the existing transportation infrastructure may need to be expanded to accommodate increased visitation to Macau. If transportation facilities to and from Macau are inadequate to meet the demands of an increased volume of customers visiting Macau, the desirability of Macau as a travel destination, as well as the results of operations at our developments in Macau, could be negatively impacted.</w:t>
      </w:r>
    </w:p>
    <w:p>
      <w:pPr>
        <w:pStyle w:val="BodyText"/>
        <w:spacing w:line="235" w:lineRule="auto" w:before="206"/>
        <w:ind w:left="144" w:right="117" w:firstLine="499"/>
        <w:jc w:val="both"/>
      </w:pPr>
      <w:r>
        <w:rPr>
          <w:b/>
          <w:i/>
        </w:rPr>
        <w:t>We have suspended our payment of ongoing regular dividends to our stockholders, and may not elect to resume paying dividends in the </w:t>
      </w:r>
      <w:r>
        <w:rPr>
          <w:b/>
          <w:i/>
        </w:rPr>
        <w:t>foreseeable future or at all. </w:t>
      </w:r>
      <w:r>
        <w:rPr/>
        <w:t>On February 8, 2023, we announced that our Board of Directors had determined to suspend our ongoing regular dividends in order to focus on our preferred method of returning value to shareholders through our share repurchase plan. Our future resumption of dividend payments, if any, would be subject to the sole discretion of our Board of Directors, and our ability to pay any dividends in the future could be limited by a variety of factors, including our holding company structure, existing and future debt agreements entered into by us or our subsidiaries, state law requirements, our future liquidity position, potential alternative uses of cash, general economic conditions and expected future financial results, in addition to other factors, some of which may be beyond our control.</w:t>
      </w:r>
      <w:r>
        <w:rPr>
          <w:spacing w:val="-1"/>
        </w:rPr>
        <w:t> </w:t>
      </w:r>
      <w:r>
        <w:rPr/>
        <w:t>Accordingly, there can be no assurance that we will resume paying dividends in the foreseeable future or at all, which could adversely affect the market price of our common stock.</w:t>
      </w:r>
    </w:p>
    <w:p>
      <w:pPr>
        <w:pStyle w:val="BodyText"/>
        <w:spacing w:before="7"/>
      </w:pPr>
    </w:p>
    <w:p>
      <w:pPr>
        <w:spacing w:line="232" w:lineRule="auto" w:before="1"/>
        <w:ind w:left="144" w:right="118" w:firstLine="499"/>
        <w:jc w:val="both"/>
        <w:rPr>
          <w:sz w:val="18"/>
        </w:rPr>
      </w:pPr>
      <w:r>
        <w:rPr>
          <w:b/>
          <w:i/>
          <w:sz w:val="18"/>
        </w:rPr>
        <w:t>All of our domestic gaming facilities are leased and could experience risks associated with leased property, including risks relating to lease termination, lease extensions, charges and our relationship with the lessor, which could have a material adverse effect on our business, financial position or results of operations.</w:t>
      </w:r>
      <w:r>
        <w:rPr>
          <w:b/>
          <w:i/>
          <w:spacing w:val="-10"/>
          <w:sz w:val="18"/>
        </w:rPr>
        <w:t> </w:t>
      </w:r>
      <w:r>
        <w:rPr>
          <w:sz w:val="18"/>
        </w:rPr>
        <w:t>All of our domestic properties are subject to triple-net leases that, in addition to rent, require us to pay: (1) all facility maintenance, (2) all insurance required in connection with the leased properties and the business conducted on the leased properties, (3) taxes levied on or with respect to </w:t>
      </w:r>
      <w:r>
        <w:rPr>
          <w:sz w:val="18"/>
        </w:rPr>
        <w:t>the leased properties (other than taxes on the income of the lessor), (4) all capital expenditures, and (5) all utilities and other services necessary or appropriate for the leased properties and the business conducted on the leased properties. We are responsible for paying these expenses notwithstanding the fact that many of the benefits received in exchange for such costs shall accrue in part to the landlords as the owners of the associated facilities. Furthermore, our obligation to</w:t>
      </w:r>
      <w:r>
        <w:rPr>
          <w:spacing w:val="40"/>
          <w:sz w:val="18"/>
        </w:rPr>
        <w:t> </w:t>
      </w:r>
      <w:r>
        <w:rPr>
          <w:sz w:val="18"/>
        </w:rPr>
        <w:t>pay rent as well as the other costs described above is absolute in virtually all circumstances, regardless of the performance of the properties and other circumstances that might abate rent in leases that now place these risks on the</w:t>
      </w:r>
    </w:p>
    <w:p>
      <w:pPr>
        <w:pStyle w:val="BodyText"/>
      </w:pPr>
    </w:p>
    <w:p>
      <w:pPr>
        <w:pStyle w:val="BodyText"/>
        <w:spacing w:before="203"/>
      </w:pPr>
    </w:p>
    <w:p>
      <w:pPr>
        <w:pStyle w:val="BodyText"/>
        <w:spacing w:before="1"/>
        <w:ind w:left="24"/>
        <w:jc w:val="center"/>
      </w:pPr>
      <w:r>
        <w:rPr>
          <w:spacing w:val="-5"/>
        </w:rPr>
        <w:t>18</w:t>
      </w:r>
    </w:p>
    <w:p>
      <w:pPr>
        <w:pStyle w:val="BodyText"/>
        <w:spacing w:before="3"/>
        <w:rPr>
          <w:sz w:val="6"/>
        </w:rPr>
      </w:pPr>
      <w:r>
        <w:rPr/>
        <mc:AlternateContent>
          <mc:Choice Requires="wps">
            <w:drawing>
              <wp:anchor distT="0" distB="0" distL="0" distR="0" allowOverlap="1" layoutInCell="1" locked="0" behindDoc="1" simplePos="0" relativeHeight="487603200">
                <wp:simplePos x="0" y="0"/>
                <wp:positionH relativeFrom="page">
                  <wp:posOffset>231457</wp:posOffset>
                </wp:positionH>
                <wp:positionV relativeFrom="paragraph">
                  <wp:posOffset>60973</wp:posOffset>
                </wp:positionV>
                <wp:extent cx="7312659" cy="1714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7312659" cy="17145"/>
                          <a:chExt cx="7312659" cy="17145"/>
                        </a:xfrm>
                      </wpg:grpSpPr>
                      <wps:wsp>
                        <wps:cNvPr id="94" name="Graphic 9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5" name="Graphic 95"/>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6" name="Graphic 9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107pt;width:575.8pt;height:1.35pt;mso-position-horizontal-relative:page;mso-position-vertical-relative:paragraph;z-index:-15713280;mso-wrap-distance-left:0;mso-wrap-distance-right:0" id="docshapegroup92" coordorigin="364,96" coordsize="11516,27">
                <v:rect style="position:absolute;left:364;top:96;width:11516;height:14" id="docshape93" filled="true" fillcolor="#999999" stroked="false">
                  <v:fill type="solid"/>
                </v:rect>
                <v:shape style="position:absolute;left:364;top:96;width:11516;height:27" id="docshape94" coordorigin="364,96" coordsize="11516,27" path="m11880,96l11866,110,364,110,364,123,11866,123,11880,123,11880,110,11880,96xe" filled="true" fillcolor="#ededed" stroked="false">
                  <v:path arrowok="t"/>
                  <v:fill type="solid"/>
                </v:shape>
                <v:shape style="position:absolute;left:364;top:96;width:14;height:27" id="docshape95"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35" w:lineRule="auto" w:before="79"/>
        <w:ind w:left="144"/>
      </w:pPr>
      <w:r>
        <w:rPr/>
        <w:t>tenant, such as certain events of casualty and condemnation. Finally, our leases limit our ability to cease operations at our properties, subject to certain limited </w:t>
      </w:r>
      <w:r>
        <w:rPr>
          <w:spacing w:val="-2"/>
        </w:rPr>
        <w:t>exceptions.</w:t>
      </w:r>
    </w:p>
    <w:p>
      <w:pPr>
        <w:pStyle w:val="BodyText"/>
        <w:spacing w:before="18"/>
      </w:pPr>
    </w:p>
    <w:p>
      <w:pPr>
        <w:pStyle w:val="BodyText"/>
        <w:ind w:left="144" w:right="118" w:firstLine="499"/>
        <w:jc w:val="both"/>
      </w:pPr>
      <w:r>
        <w:rPr>
          <w:b/>
          <w:i/>
        </w:rPr>
        <w:t>Because a significant number of our major gaming resorts are concentrated on the Las Vegas Strip, we are subject to greater risks than a gaming company that is more geographically diversified</w:t>
      </w:r>
      <w:r>
        <w:rPr>
          <w:b/>
        </w:rPr>
        <w:t>. </w:t>
      </w:r>
      <w:r>
        <w:rPr/>
        <w:t>Given that a significant number of our major resorts are concentrated on the Las Vegas Strip, our business may be significantly affected by risks common to the Las Vegas tourism industry. For example, the cost and availability of air services and the impact of </w:t>
      </w:r>
      <w:r>
        <w:rPr/>
        <w:t>any events that disrupt air travel to and from Las Vegas can adversely affect our business. We cannot control the number or frequency of flights to or from Las Vegas, but we rely on air traffic for a significant portion of our visitors. Reductions in flights by major airlines as a result of higher fuel prices, lower demand, or otherwise, can impact the number of visitors to our resorts. Additionally, there is one principal interstate highway between Las Vegas and Southern California, where a large number of our customers reside. Capacity constraints of that highway or any other traffic disruptions may also affect the number of customers who visit our facilities.</w:t>
      </w:r>
    </w:p>
    <w:p>
      <w:pPr>
        <w:pStyle w:val="BodyText"/>
        <w:spacing w:before="14"/>
      </w:pPr>
    </w:p>
    <w:p>
      <w:pPr>
        <w:pStyle w:val="BodyText"/>
        <w:ind w:left="144" w:right="118" w:firstLine="499"/>
        <w:jc w:val="both"/>
      </w:pPr>
      <w:r>
        <w:rPr>
          <w:b/>
          <w:i/>
        </w:rPr>
        <w:t>We extend credit to a large portion of our customers and we may not be able to collect gaming receivables</w:t>
      </w:r>
      <w:r>
        <w:rPr>
          <w:b/>
        </w:rPr>
        <w:t>. </w:t>
      </w:r>
      <w:r>
        <w:rPr/>
        <w:t>We conduct a portion of our gaming activities on a credit basis through the issuance of markers which are unsecured instruments. Table games players typically are issued more markers than slot players, and high-end players typically are issued more markers than patrons who tend to wager lower amounts. High-end gaming is more volatile than </w:t>
      </w:r>
      <w:r>
        <w:rPr/>
        <w:t>other forms of gaming, and variances in win-loss results attributable to high-end gaming may have a significant positive or negative impact on cash flow and</w:t>
      </w:r>
      <w:r>
        <w:rPr>
          <w:spacing w:val="40"/>
        </w:rPr>
        <w:t> </w:t>
      </w:r>
      <w:r>
        <w:rPr/>
        <w:t>earnings</w:t>
      </w:r>
      <w:r>
        <w:rPr>
          <w:spacing w:val="-2"/>
        </w:rPr>
        <w:t> </w:t>
      </w:r>
      <w:r>
        <w:rPr/>
        <w:t>in</w:t>
      </w:r>
      <w:r>
        <w:rPr>
          <w:spacing w:val="-2"/>
        </w:rPr>
        <w:t> </w:t>
      </w:r>
      <w:r>
        <w:rPr/>
        <w:t>a</w:t>
      </w:r>
      <w:r>
        <w:rPr>
          <w:spacing w:val="-2"/>
        </w:rPr>
        <w:t> </w:t>
      </w:r>
      <w:r>
        <w:rPr/>
        <w:t>particular</w:t>
      </w:r>
      <w:r>
        <w:rPr>
          <w:spacing w:val="-2"/>
        </w:rPr>
        <w:t> </w:t>
      </w:r>
      <w:r>
        <w:rPr/>
        <w:t>quarter.</w:t>
      </w:r>
      <w:r>
        <w:rPr>
          <w:spacing w:val="-2"/>
        </w:rPr>
        <w:t> </w:t>
      </w:r>
      <w:r>
        <w:rPr/>
        <w:t>Furthermore,</w:t>
      </w:r>
      <w:r>
        <w:rPr>
          <w:spacing w:val="-2"/>
        </w:rPr>
        <w:t> </w:t>
      </w:r>
      <w:r>
        <w:rPr/>
        <w:t>the</w:t>
      </w:r>
      <w:r>
        <w:rPr>
          <w:spacing w:val="-2"/>
        </w:rPr>
        <w:t> </w:t>
      </w:r>
      <w:r>
        <w:rPr/>
        <w:t>loss</w:t>
      </w:r>
      <w:r>
        <w:rPr>
          <w:spacing w:val="-2"/>
        </w:rPr>
        <w:t> </w:t>
      </w:r>
      <w:r>
        <w:rPr/>
        <w:t>or</w:t>
      </w:r>
      <w:r>
        <w:rPr>
          <w:spacing w:val="-2"/>
        </w:rPr>
        <w:t> </w:t>
      </w:r>
      <w:r>
        <w:rPr/>
        <w:t>a</w:t>
      </w:r>
      <w:r>
        <w:rPr>
          <w:spacing w:val="-2"/>
        </w:rPr>
        <w:t> </w:t>
      </w:r>
      <w:r>
        <w:rPr/>
        <w:t>reduction</w:t>
      </w:r>
      <w:r>
        <w:rPr>
          <w:spacing w:val="-2"/>
        </w:rPr>
        <w:t> </w:t>
      </w:r>
      <w:r>
        <w:rPr/>
        <w:t>in</w:t>
      </w:r>
      <w:r>
        <w:rPr>
          <w:spacing w:val="-2"/>
        </w:rPr>
        <w:t> </w:t>
      </w:r>
      <w:r>
        <w:rPr/>
        <w:t>the</w:t>
      </w:r>
      <w:r>
        <w:rPr>
          <w:spacing w:val="-2"/>
        </w:rPr>
        <w:t> </w:t>
      </w:r>
      <w:r>
        <w:rPr/>
        <w:t>play</w:t>
      </w:r>
      <w:r>
        <w:rPr>
          <w:spacing w:val="-2"/>
        </w:rPr>
        <w:t> </w:t>
      </w:r>
      <w:r>
        <w:rPr/>
        <w:t>of</w:t>
      </w:r>
      <w:r>
        <w:rPr>
          <w:spacing w:val="-2"/>
        </w:rPr>
        <w:t> </w:t>
      </w:r>
      <w:r>
        <w:rPr/>
        <w:t>the</w:t>
      </w:r>
      <w:r>
        <w:rPr>
          <w:spacing w:val="-2"/>
        </w:rPr>
        <w:t> </w:t>
      </w:r>
      <w:r>
        <w:rPr/>
        <w:t>most</w:t>
      </w:r>
      <w:r>
        <w:rPr>
          <w:spacing w:val="-2"/>
        </w:rPr>
        <w:t> </w:t>
      </w:r>
      <w:r>
        <w:rPr/>
        <w:t>significant</w:t>
      </w:r>
      <w:r>
        <w:rPr>
          <w:spacing w:val="-2"/>
        </w:rPr>
        <w:t> </w:t>
      </w:r>
      <w:r>
        <w:rPr/>
        <w:t>of</w:t>
      </w:r>
      <w:r>
        <w:rPr>
          <w:spacing w:val="-2"/>
        </w:rPr>
        <w:t> </w:t>
      </w:r>
      <w:r>
        <w:rPr/>
        <w:t>these</w:t>
      </w:r>
      <w:r>
        <w:rPr>
          <w:spacing w:val="-2"/>
        </w:rPr>
        <w:t> </w:t>
      </w:r>
      <w:r>
        <w:rPr/>
        <w:t>high-end</w:t>
      </w:r>
      <w:r>
        <w:rPr>
          <w:spacing w:val="-2"/>
        </w:rPr>
        <w:t> </w:t>
      </w:r>
      <w:r>
        <w:rPr/>
        <w:t>customers</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 on our business, financial condition, results of operations and cash flows. We issue markers to those customers whose level of play and financial resources warrant, in the opinion of management, an extension of credit. Uncollectible receivables from high-end customers could have a significant impact on our</w:t>
      </w:r>
      <w:r>
        <w:rPr>
          <w:spacing w:val="40"/>
        </w:rPr>
        <w:t> </w:t>
      </w:r>
      <w:r>
        <w:rPr/>
        <w:t>results of operations.</w:t>
      </w:r>
    </w:p>
    <w:p>
      <w:pPr>
        <w:pStyle w:val="BodyText"/>
      </w:pPr>
    </w:p>
    <w:p>
      <w:pPr>
        <w:pStyle w:val="BodyText"/>
        <w:ind w:left="144" w:right="118" w:firstLine="499"/>
        <w:jc w:val="both"/>
      </w:pPr>
      <w:r>
        <w:rPr/>
        <w:t>While gaming debts evidenced by markers and judgments on gaming debts are enforceable under the current laws of Nevada, and Nevada judgments on gaming</w:t>
      </w:r>
      <w:r>
        <w:rPr>
          <w:spacing w:val="-2"/>
        </w:rPr>
        <w:t> </w:t>
      </w:r>
      <w:r>
        <w:rPr/>
        <w:t>debts</w:t>
      </w:r>
      <w:r>
        <w:rPr>
          <w:spacing w:val="-2"/>
        </w:rPr>
        <w:t> </w:t>
      </w:r>
      <w:r>
        <w:rPr/>
        <w:t>are</w:t>
      </w:r>
      <w:r>
        <w:rPr>
          <w:spacing w:val="-2"/>
        </w:rPr>
        <w:t> </w:t>
      </w:r>
      <w:r>
        <w:rPr/>
        <w:t>enforceable</w:t>
      </w:r>
      <w:r>
        <w:rPr>
          <w:spacing w:val="-2"/>
        </w:rPr>
        <w:t> </w:t>
      </w:r>
      <w:r>
        <w:rPr/>
        <w:t>in</w:t>
      </w:r>
      <w:r>
        <w:rPr>
          <w:spacing w:val="-2"/>
        </w:rPr>
        <w:t> </w:t>
      </w:r>
      <w:r>
        <w:rPr/>
        <w:t>all</w:t>
      </w:r>
      <w:r>
        <w:rPr>
          <w:spacing w:val="-2"/>
        </w:rPr>
        <w:t> </w:t>
      </w:r>
      <w:r>
        <w:rPr/>
        <w:t>states</w:t>
      </w:r>
      <w:r>
        <w:rPr>
          <w:spacing w:val="-2"/>
        </w:rPr>
        <w:t> </w:t>
      </w:r>
      <w:r>
        <w:rPr/>
        <w:t>under</w:t>
      </w:r>
      <w:r>
        <w:rPr>
          <w:spacing w:val="-2"/>
        </w:rPr>
        <w:t> </w:t>
      </w:r>
      <w:r>
        <w:rPr/>
        <w:t>the</w:t>
      </w:r>
      <w:r>
        <w:rPr>
          <w:spacing w:val="-2"/>
        </w:rPr>
        <w:t> </w:t>
      </w:r>
      <w:r>
        <w:rPr/>
        <w:t>Full</w:t>
      </w:r>
      <w:r>
        <w:rPr>
          <w:spacing w:val="-2"/>
        </w:rPr>
        <w:t> </w:t>
      </w:r>
      <w:r>
        <w:rPr/>
        <w:t>Faith</w:t>
      </w:r>
      <w:r>
        <w:rPr>
          <w:spacing w:val="-2"/>
        </w:rPr>
        <w:t> </w:t>
      </w:r>
      <w:r>
        <w:rPr/>
        <w:t>and</w:t>
      </w:r>
      <w:r>
        <w:rPr>
          <w:spacing w:val="-2"/>
        </w:rPr>
        <w:t> </w:t>
      </w:r>
      <w:r>
        <w:rPr/>
        <w:t>Credit</w:t>
      </w:r>
      <w:r>
        <w:rPr>
          <w:spacing w:val="-2"/>
        </w:rPr>
        <w:t> </w:t>
      </w:r>
      <w:r>
        <w:rPr/>
        <w:t>Clause</w:t>
      </w:r>
      <w:r>
        <w:rPr>
          <w:spacing w:val="-2"/>
        </w:rPr>
        <w:t> </w:t>
      </w:r>
      <w:r>
        <w:rPr/>
        <w:t>of</w:t>
      </w:r>
      <w:r>
        <w:rPr>
          <w:spacing w:val="-2"/>
        </w:rPr>
        <w:t> </w:t>
      </w:r>
      <w:r>
        <w:rPr/>
        <w:t>the</w:t>
      </w:r>
      <w:r>
        <w:rPr>
          <w:spacing w:val="-2"/>
        </w:rPr>
        <w:t> </w:t>
      </w:r>
      <w:r>
        <w:rPr/>
        <w:t>U.S.</w:t>
      </w:r>
      <w:r>
        <w:rPr>
          <w:spacing w:val="-2"/>
        </w:rPr>
        <w:t> </w:t>
      </w:r>
      <w:r>
        <w:rPr/>
        <w:t>Constitution,</w:t>
      </w:r>
      <w:r>
        <w:rPr>
          <w:spacing w:val="-2"/>
        </w:rPr>
        <w:t> </w:t>
      </w:r>
      <w:r>
        <w:rPr/>
        <w:t>other</w:t>
      </w:r>
      <w:r>
        <w:rPr>
          <w:spacing w:val="-2"/>
        </w:rPr>
        <w:t> </w:t>
      </w:r>
      <w:r>
        <w:rPr/>
        <w:t>jurisdictions</w:t>
      </w:r>
      <w:r>
        <w:rPr>
          <w:spacing w:val="-2"/>
        </w:rPr>
        <w:t> </w:t>
      </w:r>
      <w:r>
        <w:rPr/>
        <w:t>may</w:t>
      </w:r>
      <w:r>
        <w:rPr>
          <w:spacing w:val="-2"/>
        </w:rPr>
        <w:t> </w:t>
      </w:r>
      <w:r>
        <w:rPr/>
        <w:t>determine</w:t>
      </w:r>
      <w:r>
        <w:rPr>
          <w:spacing w:val="-2"/>
        </w:rPr>
        <w:t> </w:t>
      </w:r>
      <w:r>
        <w:rPr/>
        <w:t>that</w:t>
      </w:r>
      <w:r>
        <w:rPr>
          <w:spacing w:val="-2"/>
        </w:rPr>
        <w:t> </w:t>
      </w:r>
      <w:r>
        <w:rPr/>
        <w:t>enforcement</w:t>
      </w:r>
      <w:r>
        <w:rPr>
          <w:spacing w:val="-2"/>
        </w:rPr>
        <w:t> </w:t>
      </w:r>
      <w:r>
        <w:rPr/>
        <w:t>of gaming debts is against public policy.</w:t>
      </w:r>
      <w:r>
        <w:rPr>
          <w:spacing w:val="-6"/>
        </w:rPr>
        <w:t> </w:t>
      </w:r>
      <w:r>
        <w:rPr/>
        <w:t>Although courts of some foreign nations will enforce gaming debts directly and the assets in the U.S. of foreign debtors may be reached to satisfy a judgment, judgments on gaming debts from United States courts are not binding on the courts of many foreign nations.</w:t>
      </w:r>
    </w:p>
    <w:p>
      <w:pPr>
        <w:pStyle w:val="BodyText"/>
        <w:spacing w:before="18"/>
      </w:pPr>
    </w:p>
    <w:p>
      <w:pPr>
        <w:pStyle w:val="BodyText"/>
        <w:ind w:left="144" w:right="118" w:firstLine="499"/>
        <w:jc w:val="both"/>
      </w:pPr>
      <w:r>
        <w:rPr/>
        <w:t>Furthermore, we expect that MGM China will be able to enforce its gaming debts only in a limited number of jurisdictions, including Macau. To </w:t>
      </w:r>
      <w:r>
        <w:rPr/>
        <w:t>the extent MGM China gaming customers are from other jurisdictions, MGM China may not have access to a forum in which it will be able to collect all of its gaming receivables because, among other reasons, courts of many jurisdictions do not enforce gaming debts and MGM China may encounter forums that will refuse to enforce such debts. Moreover, under applicable law, MGM China remains obligated to pay taxes on uncollectible winnings from customers.</w:t>
      </w:r>
    </w:p>
    <w:p>
      <w:pPr>
        <w:pStyle w:val="BodyText"/>
        <w:spacing w:before="8"/>
      </w:pPr>
    </w:p>
    <w:p>
      <w:pPr>
        <w:pStyle w:val="BodyText"/>
        <w:spacing w:line="235" w:lineRule="auto"/>
        <w:ind w:left="144" w:right="118" w:firstLine="499"/>
        <w:jc w:val="both"/>
      </w:pPr>
      <w:r>
        <w:rPr/>
        <w:t>Even where gaming debts are enforceable, they may not be collectible. Our inability to collect gaming debts could have a significant negative impact on our operating results.</w:t>
      </w:r>
    </w:p>
    <w:p>
      <w:pPr>
        <w:pStyle w:val="BodyText"/>
        <w:spacing w:before="20"/>
      </w:pPr>
    </w:p>
    <w:p>
      <w:pPr>
        <w:pStyle w:val="BodyText"/>
        <w:spacing w:line="237" w:lineRule="auto"/>
        <w:ind w:left="144" w:right="118" w:firstLine="499"/>
        <w:jc w:val="both"/>
      </w:pPr>
      <w:r>
        <w:rPr>
          <w:b/>
          <w:i/>
        </w:rPr>
        <w:t>We may incur impairments to goodwill, indefinite-lived intangible assets, or long-lived assets which could negatively affect our future profits</w:t>
      </w:r>
      <w:r>
        <w:rPr>
          <w:b/>
        </w:rPr>
        <w:t>. </w:t>
      </w:r>
      <w:r>
        <w:rPr/>
        <w:t>We review our goodwill, intangible assets and long-lived assets on an annual basis and during interim reporting periods in accordance with the </w:t>
      </w:r>
      <w:r>
        <w:rPr/>
        <w:t>authoritative guidance. Significant negative trends, reduced estimates of future cash flows, disruptions to our business, slower growth rates or lack of growth have resulted</w:t>
      </w:r>
      <w:r>
        <w:rPr>
          <w:spacing w:val="40"/>
        </w:rPr>
        <w:t> </w:t>
      </w:r>
      <w:r>
        <w:rPr/>
        <w:t>in write-downs and impairment charges in the past and, if one or more of such events occurs in the future, additional impairment charges or write-downs may be required in future periods. If we are required to record additional impairment charges or write-downs, this could have a material adverse impact on our consolidated results of operations.</w:t>
      </w:r>
    </w:p>
    <w:p>
      <w:pPr>
        <w:pStyle w:val="BodyText"/>
        <w:spacing w:before="22"/>
      </w:pPr>
    </w:p>
    <w:p>
      <w:pPr>
        <w:spacing w:line="237" w:lineRule="auto" w:before="0"/>
        <w:ind w:left="144" w:right="118" w:firstLine="499"/>
        <w:jc w:val="both"/>
        <w:rPr>
          <w:sz w:val="18"/>
        </w:rPr>
      </w:pPr>
      <w:r>
        <w:rPr>
          <w:b/>
          <w:i/>
          <w:sz w:val="18"/>
        </w:rPr>
        <w:t>Leisure and business travel</w:t>
      </w:r>
      <w:r>
        <w:rPr>
          <w:b/>
          <w:sz w:val="18"/>
        </w:rPr>
        <w:t>, </w:t>
      </w:r>
      <w:r>
        <w:rPr>
          <w:b/>
          <w:i/>
          <w:sz w:val="18"/>
        </w:rPr>
        <w:t>especially travel by air</w:t>
      </w:r>
      <w:r>
        <w:rPr>
          <w:b/>
          <w:sz w:val="18"/>
        </w:rPr>
        <w:t>, </w:t>
      </w:r>
      <w:r>
        <w:rPr>
          <w:b/>
          <w:i/>
          <w:sz w:val="18"/>
        </w:rPr>
        <w:t>are particularly susceptible to global geopolitical events</w:t>
      </w:r>
      <w:r>
        <w:rPr>
          <w:b/>
          <w:sz w:val="18"/>
        </w:rPr>
        <w:t>, </w:t>
      </w:r>
      <w:r>
        <w:rPr>
          <w:b/>
          <w:i/>
          <w:sz w:val="18"/>
        </w:rPr>
        <w:t>such as terrorist attacks, other acts of violence</w:t>
      </w:r>
      <w:r>
        <w:rPr>
          <w:b/>
          <w:i/>
          <w:spacing w:val="-1"/>
          <w:sz w:val="18"/>
        </w:rPr>
        <w:t> </w:t>
      </w:r>
      <w:r>
        <w:rPr>
          <w:b/>
          <w:i/>
          <w:sz w:val="18"/>
        </w:rPr>
        <w:t>or</w:t>
      </w:r>
      <w:r>
        <w:rPr>
          <w:b/>
          <w:i/>
          <w:spacing w:val="-1"/>
          <w:sz w:val="18"/>
        </w:rPr>
        <w:t> </w:t>
      </w:r>
      <w:r>
        <w:rPr>
          <w:b/>
          <w:i/>
          <w:sz w:val="18"/>
        </w:rPr>
        <w:t>acts</w:t>
      </w:r>
      <w:r>
        <w:rPr>
          <w:b/>
          <w:i/>
          <w:spacing w:val="-1"/>
          <w:sz w:val="18"/>
        </w:rPr>
        <w:t> </w:t>
      </w:r>
      <w:r>
        <w:rPr>
          <w:b/>
          <w:i/>
          <w:sz w:val="18"/>
        </w:rPr>
        <w:t>of</w:t>
      </w:r>
      <w:r>
        <w:rPr>
          <w:b/>
          <w:i/>
          <w:spacing w:val="-1"/>
          <w:sz w:val="18"/>
        </w:rPr>
        <w:t> </w:t>
      </w:r>
      <w:r>
        <w:rPr>
          <w:b/>
          <w:i/>
          <w:sz w:val="18"/>
        </w:rPr>
        <w:t>war</w:t>
      </w:r>
      <w:r>
        <w:rPr>
          <w:b/>
          <w:i/>
          <w:spacing w:val="-1"/>
          <w:sz w:val="18"/>
        </w:rPr>
        <w:t> </w:t>
      </w:r>
      <w:r>
        <w:rPr>
          <w:b/>
          <w:i/>
          <w:sz w:val="18"/>
        </w:rPr>
        <w:t>or</w:t>
      </w:r>
      <w:r>
        <w:rPr>
          <w:b/>
          <w:i/>
          <w:spacing w:val="-1"/>
          <w:sz w:val="18"/>
        </w:rPr>
        <w:t> </w:t>
      </w:r>
      <w:r>
        <w:rPr>
          <w:b/>
          <w:i/>
          <w:sz w:val="18"/>
        </w:rPr>
        <w:t>hostility</w:t>
      </w:r>
      <w:r>
        <w:rPr>
          <w:b/>
          <w:i/>
          <w:spacing w:val="-1"/>
          <w:sz w:val="18"/>
        </w:rPr>
        <w:t> </w:t>
      </w:r>
      <w:r>
        <w:rPr>
          <w:b/>
          <w:i/>
          <w:sz w:val="18"/>
        </w:rPr>
        <w:t>or</w:t>
      </w:r>
      <w:r>
        <w:rPr>
          <w:b/>
          <w:i/>
          <w:spacing w:val="-1"/>
          <w:sz w:val="18"/>
        </w:rPr>
        <w:t> </w:t>
      </w:r>
      <w:r>
        <w:rPr>
          <w:b/>
          <w:i/>
          <w:sz w:val="18"/>
        </w:rPr>
        <w:t>the</w:t>
      </w:r>
      <w:r>
        <w:rPr>
          <w:b/>
          <w:i/>
          <w:spacing w:val="-1"/>
          <w:sz w:val="18"/>
        </w:rPr>
        <w:t> </w:t>
      </w:r>
      <w:r>
        <w:rPr>
          <w:b/>
          <w:i/>
          <w:sz w:val="18"/>
        </w:rPr>
        <w:t>outbreak</w:t>
      </w:r>
      <w:r>
        <w:rPr>
          <w:b/>
          <w:i/>
          <w:spacing w:val="-1"/>
          <w:sz w:val="18"/>
        </w:rPr>
        <w:t> </w:t>
      </w:r>
      <w:r>
        <w:rPr>
          <w:b/>
          <w:i/>
          <w:sz w:val="18"/>
        </w:rPr>
        <w:t>of</w:t>
      </w:r>
      <w:r>
        <w:rPr>
          <w:b/>
          <w:i/>
          <w:spacing w:val="-1"/>
          <w:sz w:val="18"/>
        </w:rPr>
        <w:t> </w:t>
      </w:r>
      <w:r>
        <w:rPr>
          <w:b/>
          <w:i/>
          <w:sz w:val="18"/>
        </w:rPr>
        <w:t>infectious</w:t>
      </w:r>
      <w:r>
        <w:rPr>
          <w:b/>
          <w:i/>
          <w:spacing w:val="-1"/>
          <w:sz w:val="18"/>
        </w:rPr>
        <w:t> </w:t>
      </w:r>
      <w:r>
        <w:rPr>
          <w:b/>
          <w:i/>
          <w:sz w:val="18"/>
        </w:rPr>
        <w:t>diseases</w:t>
      </w:r>
      <w:r>
        <w:rPr>
          <w:b/>
          <w:sz w:val="18"/>
        </w:rPr>
        <w:t>.</w:t>
      </w:r>
      <w:r>
        <w:rPr>
          <w:b/>
          <w:spacing w:val="-1"/>
          <w:sz w:val="18"/>
        </w:rPr>
        <w:t> </w:t>
      </w:r>
      <w:r>
        <w:rPr>
          <w:sz w:val="18"/>
        </w:rPr>
        <w:t>We</w:t>
      </w:r>
      <w:r>
        <w:rPr>
          <w:spacing w:val="-1"/>
          <w:sz w:val="18"/>
        </w:rPr>
        <w:t> </w:t>
      </w:r>
      <w:r>
        <w:rPr>
          <w:sz w:val="18"/>
        </w:rPr>
        <w:t>are</w:t>
      </w:r>
      <w:r>
        <w:rPr>
          <w:spacing w:val="-1"/>
          <w:sz w:val="18"/>
        </w:rPr>
        <w:t> </w:t>
      </w:r>
      <w:r>
        <w:rPr>
          <w:sz w:val="18"/>
        </w:rPr>
        <w:t>dependent</w:t>
      </w:r>
      <w:r>
        <w:rPr>
          <w:spacing w:val="-1"/>
          <w:sz w:val="18"/>
        </w:rPr>
        <w:t> </w:t>
      </w:r>
      <w:r>
        <w:rPr>
          <w:sz w:val="18"/>
        </w:rPr>
        <w:t>on</w:t>
      </w:r>
      <w:r>
        <w:rPr>
          <w:spacing w:val="-1"/>
          <w:sz w:val="18"/>
        </w:rPr>
        <w:t> </w:t>
      </w:r>
      <w:r>
        <w:rPr>
          <w:sz w:val="18"/>
        </w:rPr>
        <w:t>the</w:t>
      </w:r>
      <w:r>
        <w:rPr>
          <w:spacing w:val="-1"/>
          <w:sz w:val="18"/>
        </w:rPr>
        <w:t> </w:t>
      </w:r>
      <w:r>
        <w:rPr>
          <w:sz w:val="18"/>
        </w:rPr>
        <w:t>willingness</w:t>
      </w:r>
      <w:r>
        <w:rPr>
          <w:spacing w:val="-1"/>
          <w:sz w:val="18"/>
        </w:rPr>
        <w:t> </w:t>
      </w:r>
      <w:r>
        <w:rPr>
          <w:sz w:val="18"/>
        </w:rPr>
        <w:t>of</w:t>
      </w:r>
      <w:r>
        <w:rPr>
          <w:spacing w:val="-1"/>
          <w:sz w:val="18"/>
        </w:rPr>
        <w:t> </w:t>
      </w:r>
      <w:r>
        <w:rPr>
          <w:sz w:val="18"/>
        </w:rPr>
        <w:t>our</w:t>
      </w:r>
      <w:r>
        <w:rPr>
          <w:spacing w:val="-1"/>
          <w:sz w:val="18"/>
        </w:rPr>
        <w:t> </w:t>
      </w:r>
      <w:r>
        <w:rPr>
          <w:sz w:val="18"/>
        </w:rPr>
        <w:t>customers</w:t>
      </w:r>
      <w:r>
        <w:rPr>
          <w:spacing w:val="-1"/>
          <w:sz w:val="18"/>
        </w:rPr>
        <w:t> </w:t>
      </w:r>
      <w:r>
        <w:rPr>
          <w:sz w:val="18"/>
        </w:rPr>
        <w:t>to</w:t>
      </w:r>
      <w:r>
        <w:rPr>
          <w:spacing w:val="-1"/>
          <w:sz w:val="18"/>
        </w:rPr>
        <w:t> </w:t>
      </w:r>
      <w:r>
        <w:rPr>
          <w:sz w:val="18"/>
        </w:rPr>
        <w:t>travel</w:t>
      </w:r>
      <w:r>
        <w:rPr>
          <w:spacing w:val="-1"/>
          <w:sz w:val="18"/>
        </w:rPr>
        <w:t> </w:t>
      </w:r>
      <w:r>
        <w:rPr>
          <w:sz w:val="18"/>
        </w:rPr>
        <w:t>by</w:t>
      </w:r>
      <w:r>
        <w:rPr>
          <w:spacing w:val="-1"/>
          <w:sz w:val="18"/>
        </w:rPr>
        <w:t> </w:t>
      </w:r>
      <w:r>
        <w:rPr>
          <w:sz w:val="18"/>
        </w:rPr>
        <w:t>air.</w:t>
      </w:r>
      <w:r>
        <w:rPr>
          <w:spacing w:val="-1"/>
          <w:sz w:val="18"/>
        </w:rPr>
        <w:t> </w:t>
      </w:r>
      <w:r>
        <w:rPr>
          <w:sz w:val="18"/>
        </w:rPr>
        <w:t>Since</w:t>
      </w:r>
      <w:r>
        <w:rPr>
          <w:spacing w:val="-1"/>
          <w:sz w:val="18"/>
        </w:rPr>
        <w:t> </w:t>
      </w:r>
      <w:r>
        <w:rPr>
          <w:sz w:val="18"/>
        </w:rPr>
        <w:t>most</w:t>
      </w:r>
      <w:r>
        <w:rPr>
          <w:spacing w:val="-1"/>
          <w:sz w:val="18"/>
        </w:rPr>
        <w:t> </w:t>
      </w:r>
      <w:r>
        <w:rPr>
          <w:sz w:val="18"/>
        </w:rPr>
        <w:t>of our customers travel by air to our Las Vegas and Macau properties, any terrorist act or other acts of violence, outbreak of hostilities, escalation of war, or </w:t>
      </w:r>
      <w:r>
        <w:rPr>
          <w:sz w:val="18"/>
        </w:rPr>
        <w:t>any actual or perceived threat to the security of travel by air, could adversely affect our financial condition, results of operations and cash flows. In addition, the outbreak of infectious diseases, such as COVID-19, may severely disrupt domestic and international travel.</w:t>
      </w:r>
    </w:p>
    <w:p>
      <w:pPr>
        <w:pStyle w:val="BodyText"/>
        <w:spacing w:before="12"/>
      </w:pPr>
    </w:p>
    <w:p>
      <w:pPr>
        <w:pStyle w:val="BodyText"/>
        <w:spacing w:line="235" w:lineRule="auto"/>
        <w:ind w:left="144" w:right="118" w:firstLine="499"/>
        <w:jc w:val="both"/>
      </w:pPr>
      <w:r>
        <w:rPr/>
        <w:t>Furthermore, although we have been able to purchase some insurance coverage for certain types of terrorist acts, insurance coverage against </w:t>
      </w:r>
      <w:r>
        <w:rPr/>
        <w:t>physical loss or business interruption resulting from war and some forms of terrorism continues to be unavailable.</w:t>
      </w:r>
    </w:p>
    <w:p>
      <w:pPr>
        <w:pStyle w:val="BodyText"/>
      </w:pPr>
    </w:p>
    <w:p>
      <w:pPr>
        <w:pStyle w:val="BodyText"/>
        <w:spacing w:before="189"/>
      </w:pPr>
    </w:p>
    <w:p>
      <w:pPr>
        <w:pStyle w:val="BodyText"/>
        <w:spacing w:before="1"/>
        <w:ind w:left="24"/>
        <w:jc w:val="center"/>
      </w:pPr>
      <w:r>
        <w:rPr>
          <w:spacing w:val="-5"/>
        </w:rPr>
        <w:t>19</w:t>
      </w:r>
    </w:p>
    <w:p>
      <w:pPr>
        <w:pStyle w:val="BodyText"/>
        <w:spacing w:before="3"/>
        <w:rPr>
          <w:sz w:val="6"/>
        </w:rPr>
      </w:pPr>
      <w:r>
        <w:rPr/>
        <mc:AlternateContent>
          <mc:Choice Requires="wps">
            <w:drawing>
              <wp:anchor distT="0" distB="0" distL="0" distR="0" allowOverlap="1" layoutInCell="1" locked="0" behindDoc="1" simplePos="0" relativeHeight="487603712">
                <wp:simplePos x="0" y="0"/>
                <wp:positionH relativeFrom="page">
                  <wp:posOffset>231457</wp:posOffset>
                </wp:positionH>
                <wp:positionV relativeFrom="paragraph">
                  <wp:posOffset>60979</wp:posOffset>
                </wp:positionV>
                <wp:extent cx="7312659" cy="17145"/>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7312659" cy="17145"/>
                          <a:chExt cx="7312659" cy="17145"/>
                        </a:xfrm>
                      </wpg:grpSpPr>
                      <wps:wsp>
                        <wps:cNvPr id="98" name="Graphic 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9" name="Graphic 99"/>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0" name="Graphic 1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1565pt;width:575.8pt;height:1.35pt;mso-position-horizontal-relative:page;mso-position-vertical-relative:paragraph;z-index:-15712768;mso-wrap-distance-left:0;mso-wrap-distance-right:0" id="docshapegroup96" coordorigin="364,96" coordsize="11516,27">
                <v:rect style="position:absolute;left:364;top:96;width:11516;height:14" id="docshape97" filled="true" fillcolor="#999999" stroked="false">
                  <v:fill type="solid"/>
                </v:rect>
                <v:shape style="position:absolute;left:364;top:96;width:11516;height:27" id="docshape98" coordorigin="364,96" coordsize="11516,27" path="m11880,96l11866,110,364,110,364,123,11866,123,11880,123,11880,110,11880,96xe" filled="true" fillcolor="#ededed" stroked="false">
                  <v:path arrowok="t"/>
                  <v:fill type="solid"/>
                </v:shape>
                <v:shape style="position:absolute;left:364;top:96;width:14;height:27" id="docshape99"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160" w:bottom="280" w:left="220" w:right="240"/>
        </w:sectPr>
      </w:pPr>
    </w:p>
    <w:p>
      <w:pPr>
        <w:pStyle w:val="BodyText"/>
        <w:spacing w:before="79"/>
        <w:ind w:left="144" w:right="117" w:firstLine="499"/>
        <w:jc w:val="both"/>
      </w:pPr>
      <w:r>
        <w:rPr>
          <w:b/>
          <w:i/>
        </w:rPr>
        <w:t>Co-investing in properties or businesses, including our investment in BetMGM, decreases our ability to manage risk</w:t>
      </w:r>
      <w:r>
        <w:rPr>
          <w:b/>
        </w:rPr>
        <w:t>. </w:t>
      </w:r>
      <w:r>
        <w:rPr/>
        <w:t>In addition to acquiring </w:t>
      </w:r>
      <w:r>
        <w:rPr/>
        <w:t>or developing hotels and resorts or acquiring companies that complement our business directly, we have from time to time invested, and expect to continue to invest, in properties or businesses as a co-investor. Co-investors often have shared control over the operation of the property or business. Therefore, the operation of such properties or businesses is subject to inherent risk due to the shared nature of the enterprise and the need to reach agreements on material matters. Furthermore, the occurrence of risks that adversely affect the businesses of our joint ventures or other unconsolidated affiliates could reduce the value of our investments in such entities, impair their ability to make any potential future distributions to us or require that we make additional capital contributions</w:t>
      </w:r>
      <w:r>
        <w:rPr>
          <w:spacing w:val="40"/>
        </w:rPr>
        <w:t> </w:t>
      </w:r>
      <w:r>
        <w:rPr/>
        <w:t>to them. The shared nature of control over such ventures may limit our ability to directly manage these risks.</w:t>
      </w:r>
    </w:p>
    <w:p>
      <w:pPr>
        <w:pStyle w:val="BodyText"/>
        <w:spacing w:before="4"/>
      </w:pPr>
    </w:p>
    <w:p>
      <w:pPr>
        <w:pStyle w:val="BodyText"/>
        <w:ind w:left="144" w:right="118" w:firstLine="499"/>
        <w:jc w:val="both"/>
      </w:pPr>
      <w:r>
        <w:rPr/>
        <w:t>In addition, investments with other investors may involve risks such as the possibility that the co-investor might become bankrupt or not have the financial resources to meet its obligations, or have economic or business interests or goals that are inconsistent with our business interests or goals, or be in a position to take action contrary to our instructions or requests or contrary to our policies or objectives. Consequently, actions by a co-investor might subject </w:t>
      </w:r>
      <w:r>
        <w:rPr/>
        <w:t>the properties or businesses owned by such entities to additional risk. Further, we may be unable to take action without the approval of our co-investors, or our co- investors could take actions binding on the property without our consent.</w:t>
      </w:r>
      <w:r>
        <w:rPr>
          <w:spacing w:val="-2"/>
        </w:rPr>
        <w:t> </w:t>
      </w:r>
      <w:r>
        <w:rPr/>
        <w:t>Additionally, should a co-investor become bankrupt, we could become liable for its share of liabilities.</w:t>
      </w:r>
    </w:p>
    <w:p>
      <w:pPr>
        <w:pStyle w:val="BodyText"/>
        <w:spacing w:line="235" w:lineRule="auto" w:before="206"/>
        <w:ind w:left="144" w:right="118" w:firstLine="499"/>
        <w:jc w:val="both"/>
      </w:pPr>
      <w:r>
        <w:rPr/>
        <w:t>For example, we share control of BetMGM with Entain with all major operating, investing and financial activities requiring the consent of both members. Disagreements between us and Entain could arise in the future, including with respect to the amount and timing of capital contributions. If we </w:t>
      </w:r>
      <w:r>
        <w:rPr/>
        <w:t>and Entain</w:t>
      </w:r>
      <w:r>
        <w:rPr>
          <w:spacing w:val="-1"/>
        </w:rPr>
        <w:t> </w:t>
      </w:r>
      <w:r>
        <w:rPr/>
        <w:t>are</w:t>
      </w:r>
      <w:r>
        <w:rPr>
          <w:spacing w:val="-1"/>
        </w:rPr>
        <w:t> </w:t>
      </w:r>
      <w:r>
        <w:rPr/>
        <w:t>unable</w:t>
      </w:r>
      <w:r>
        <w:rPr>
          <w:spacing w:val="-1"/>
        </w:rPr>
        <w:t> </w:t>
      </w:r>
      <w:r>
        <w:rPr/>
        <w:t>to</w:t>
      </w:r>
      <w:r>
        <w:rPr>
          <w:spacing w:val="-1"/>
        </w:rPr>
        <w:t> </w:t>
      </w:r>
      <w:r>
        <w:rPr/>
        <w:t>support</w:t>
      </w:r>
      <w:r>
        <w:rPr>
          <w:spacing w:val="-1"/>
        </w:rPr>
        <w:t> </w:t>
      </w:r>
      <w:r>
        <w:rPr/>
        <w:t>the</w:t>
      </w:r>
      <w:r>
        <w:rPr>
          <w:spacing w:val="-1"/>
        </w:rPr>
        <w:t> </w:t>
      </w:r>
      <w:r>
        <w:rPr/>
        <w:t>future</w:t>
      </w:r>
      <w:r>
        <w:rPr>
          <w:spacing w:val="-1"/>
        </w:rPr>
        <w:t> </w:t>
      </w:r>
      <w:r>
        <w:rPr/>
        <w:t>funding</w:t>
      </w:r>
      <w:r>
        <w:rPr>
          <w:spacing w:val="-1"/>
        </w:rPr>
        <w:t> </w:t>
      </w:r>
      <w:r>
        <w:rPr/>
        <w:t>of</w:t>
      </w:r>
      <w:r>
        <w:rPr>
          <w:spacing w:val="-1"/>
        </w:rPr>
        <w:t> </w:t>
      </w:r>
      <w:r>
        <w:rPr/>
        <w:t>BetMGM,</w:t>
      </w:r>
      <w:r>
        <w:rPr>
          <w:spacing w:val="-1"/>
        </w:rPr>
        <w:t> </w:t>
      </w:r>
      <w:r>
        <w:rPr/>
        <w:t>then</w:t>
      </w:r>
      <w:r>
        <w:rPr>
          <w:spacing w:val="-1"/>
        </w:rPr>
        <w:t> </w:t>
      </w:r>
      <w:r>
        <w:rPr/>
        <w:t>BetMGM</w:t>
      </w:r>
      <w:r>
        <w:rPr>
          <w:spacing w:val="-1"/>
        </w:rPr>
        <w:t> </w:t>
      </w:r>
      <w:r>
        <w:rPr/>
        <w:t>may</w:t>
      </w:r>
      <w:r>
        <w:rPr>
          <w:spacing w:val="-1"/>
        </w:rPr>
        <w:t> </w:t>
      </w:r>
      <w:r>
        <w:rPr/>
        <w:t>not</w:t>
      </w:r>
      <w:r>
        <w:rPr>
          <w:spacing w:val="-1"/>
        </w:rPr>
        <w:t> </w:t>
      </w:r>
      <w:r>
        <w:rPr/>
        <w:t>have</w:t>
      </w:r>
      <w:r>
        <w:rPr>
          <w:spacing w:val="-1"/>
        </w:rPr>
        <w:t> </w:t>
      </w:r>
      <w:r>
        <w:rPr/>
        <w:t>the</w:t>
      </w:r>
      <w:r>
        <w:rPr>
          <w:spacing w:val="-1"/>
        </w:rPr>
        <w:t> </w:t>
      </w:r>
      <w:r>
        <w:rPr/>
        <w:t>resources</w:t>
      </w:r>
      <w:r>
        <w:rPr>
          <w:spacing w:val="-1"/>
        </w:rPr>
        <w:t> </w:t>
      </w:r>
      <w:r>
        <w:rPr/>
        <w:t>to</w:t>
      </w:r>
      <w:r>
        <w:rPr>
          <w:spacing w:val="-1"/>
        </w:rPr>
        <w:t> </w:t>
      </w:r>
      <w:r>
        <w:rPr/>
        <w:t>execute</w:t>
      </w:r>
      <w:r>
        <w:rPr>
          <w:spacing w:val="-1"/>
        </w:rPr>
        <w:t> </w:t>
      </w:r>
      <w:r>
        <w:rPr/>
        <w:t>on</w:t>
      </w:r>
      <w:r>
        <w:rPr>
          <w:spacing w:val="-1"/>
        </w:rPr>
        <w:t> </w:t>
      </w:r>
      <w:r>
        <w:rPr/>
        <w:t>the</w:t>
      </w:r>
      <w:r>
        <w:rPr>
          <w:spacing w:val="-1"/>
        </w:rPr>
        <w:t> </w:t>
      </w:r>
      <w:r>
        <w:rPr/>
        <w:t>development</w:t>
      </w:r>
      <w:r>
        <w:rPr>
          <w:spacing w:val="-1"/>
        </w:rPr>
        <w:t> </w:t>
      </w:r>
      <w:r>
        <w:rPr/>
        <w:t>or</w:t>
      </w:r>
      <w:r>
        <w:rPr>
          <w:spacing w:val="-1"/>
        </w:rPr>
        <w:t> </w:t>
      </w:r>
      <w:r>
        <w:rPr/>
        <w:t>implementation</w:t>
      </w:r>
      <w:r>
        <w:rPr>
          <w:spacing w:val="-1"/>
        </w:rPr>
        <w:t> </w:t>
      </w:r>
      <w:r>
        <w:rPr/>
        <w:t>of</w:t>
      </w:r>
      <w:r>
        <w:rPr>
          <w:spacing w:val="-1"/>
        </w:rPr>
        <w:t> </w:t>
      </w:r>
      <w:r>
        <w:rPr/>
        <w:t>its strategies, including funding efforts to increase its market share, which could result in us not receiving the anticipated benefits from our investment. Finally, if we are awarded a concession to develop an integrated casino resort in Japan, we would do so in a consortium with ORIX and other local investors.</w:t>
      </w:r>
      <w:r>
        <w:rPr>
          <w:spacing w:val="-8"/>
        </w:rPr>
        <w:t> </w:t>
      </w:r>
      <w:r>
        <w:rPr/>
        <w:t>As a result, we could be subject to additional risks related to being unable to directly control development activities or the timing of development completion, which may impact our ability to complete the project on our anticipated timeline, or at all, or within the agreed upon specifications.</w:t>
      </w:r>
    </w:p>
    <w:p>
      <w:pPr>
        <w:pStyle w:val="BodyText"/>
        <w:spacing w:before="19"/>
      </w:pPr>
    </w:p>
    <w:p>
      <w:pPr>
        <w:spacing w:line="237" w:lineRule="auto" w:before="0"/>
        <w:ind w:left="144" w:right="118" w:firstLine="499"/>
        <w:jc w:val="both"/>
        <w:rPr>
          <w:sz w:val="18"/>
        </w:rPr>
      </w:pPr>
      <w:r>
        <w:rPr>
          <w:b/>
          <w:i/>
          <w:sz w:val="18"/>
        </w:rPr>
        <w:t>Any of our future construction, development or expansion projects will be subject to significant development and construction risks, which could have a material adverse impact on related project timetables, costs and our ability to complete the projects</w:t>
      </w:r>
      <w:r>
        <w:rPr>
          <w:b/>
          <w:sz w:val="18"/>
        </w:rPr>
        <w:t>. </w:t>
      </w:r>
      <w:r>
        <w:rPr>
          <w:sz w:val="18"/>
        </w:rPr>
        <w:t>Although our business model is primarily </w:t>
      </w:r>
      <w:r>
        <w:rPr>
          <w:sz w:val="18"/>
        </w:rPr>
        <w:t>asset- light, we intend to continue to evaluate opportunities for future construction, development or expansion projects.</w:t>
      </w:r>
      <w:r>
        <w:rPr>
          <w:spacing w:val="-5"/>
          <w:sz w:val="18"/>
        </w:rPr>
        <w:t> </w:t>
      </w:r>
      <w:r>
        <w:rPr>
          <w:sz w:val="18"/>
        </w:rPr>
        <w:t>Any of our future construction, development or expansion projects, such as our proposed integrated resort in Japan and the potential for full-scale commercial gaming at Empire City, will be subject to a number of risks, including:</w:t>
      </w:r>
    </w:p>
    <w:p>
      <w:pPr>
        <w:pStyle w:val="BodyText"/>
        <w:spacing w:before="8"/>
      </w:pPr>
    </w:p>
    <w:p>
      <w:pPr>
        <w:pStyle w:val="ListParagraph"/>
        <w:numPr>
          <w:ilvl w:val="0"/>
          <w:numId w:val="3"/>
        </w:numPr>
        <w:tabs>
          <w:tab w:pos="792" w:val="left" w:leader="none"/>
        </w:tabs>
        <w:spacing w:line="240" w:lineRule="auto" w:before="0" w:after="0"/>
        <w:ind w:left="792" w:right="0" w:hanging="324"/>
        <w:jc w:val="left"/>
        <w:rPr>
          <w:sz w:val="18"/>
        </w:rPr>
      </w:pPr>
      <w:r>
        <w:rPr>
          <w:sz w:val="18"/>
        </w:rPr>
        <w:t>lack</w:t>
      </w:r>
      <w:r>
        <w:rPr>
          <w:spacing w:val="-4"/>
          <w:sz w:val="18"/>
        </w:rPr>
        <w:t> </w:t>
      </w:r>
      <w:r>
        <w:rPr>
          <w:sz w:val="18"/>
        </w:rPr>
        <w:t>of</w:t>
      </w:r>
      <w:r>
        <w:rPr>
          <w:spacing w:val="-1"/>
          <w:sz w:val="18"/>
        </w:rPr>
        <w:t> </w:t>
      </w:r>
      <w:r>
        <w:rPr>
          <w:sz w:val="18"/>
        </w:rPr>
        <w:t>sufficient,</w:t>
      </w:r>
      <w:r>
        <w:rPr>
          <w:spacing w:val="-2"/>
          <w:sz w:val="18"/>
        </w:rPr>
        <w:t> </w:t>
      </w:r>
      <w:r>
        <w:rPr>
          <w:sz w:val="18"/>
        </w:rPr>
        <w:t>or</w:t>
      </w:r>
      <w:r>
        <w:rPr>
          <w:spacing w:val="-1"/>
          <w:sz w:val="18"/>
        </w:rPr>
        <w:t> </w:t>
      </w:r>
      <w:r>
        <w:rPr>
          <w:sz w:val="18"/>
        </w:rPr>
        <w:t>delays</w:t>
      </w:r>
      <w:r>
        <w:rPr>
          <w:spacing w:val="-2"/>
          <w:sz w:val="18"/>
        </w:rPr>
        <w:t> </w:t>
      </w:r>
      <w:r>
        <w:rPr>
          <w:sz w:val="18"/>
        </w:rPr>
        <w:t>in</w:t>
      </w:r>
      <w:r>
        <w:rPr>
          <w:spacing w:val="-1"/>
          <w:sz w:val="18"/>
        </w:rPr>
        <w:t> </w:t>
      </w:r>
      <w:r>
        <w:rPr>
          <w:sz w:val="18"/>
        </w:rPr>
        <w:t>the</w:t>
      </w:r>
      <w:r>
        <w:rPr>
          <w:spacing w:val="-2"/>
          <w:sz w:val="18"/>
        </w:rPr>
        <w:t> </w:t>
      </w:r>
      <w:r>
        <w:rPr>
          <w:sz w:val="18"/>
        </w:rPr>
        <w:t>availability</w:t>
      </w:r>
      <w:r>
        <w:rPr>
          <w:spacing w:val="-1"/>
          <w:sz w:val="18"/>
        </w:rPr>
        <w:t> </w:t>
      </w:r>
      <w:r>
        <w:rPr>
          <w:sz w:val="18"/>
        </w:rPr>
        <w:t>of,</w:t>
      </w:r>
      <w:r>
        <w:rPr>
          <w:spacing w:val="-1"/>
          <w:sz w:val="18"/>
        </w:rPr>
        <w:t> </w:t>
      </w:r>
      <w:r>
        <w:rPr>
          <w:spacing w:val="-2"/>
          <w:sz w:val="18"/>
        </w:rPr>
        <w:t>financing;</w:t>
      </w:r>
    </w:p>
    <w:p>
      <w:pPr>
        <w:pStyle w:val="ListParagraph"/>
        <w:numPr>
          <w:ilvl w:val="0"/>
          <w:numId w:val="3"/>
        </w:numPr>
        <w:tabs>
          <w:tab w:pos="792" w:val="left" w:leader="none"/>
        </w:tabs>
        <w:spacing w:line="205" w:lineRule="exact" w:before="9" w:after="0"/>
        <w:ind w:left="792" w:right="0" w:hanging="324"/>
        <w:jc w:val="left"/>
        <w:rPr>
          <w:sz w:val="18"/>
        </w:rPr>
      </w:pPr>
      <w:r>
        <w:rPr>
          <w:sz w:val="18"/>
        </w:rPr>
        <w:t>changes</w:t>
      </w:r>
      <w:r>
        <w:rPr>
          <w:spacing w:val="-1"/>
          <w:sz w:val="18"/>
        </w:rPr>
        <w:t> </w:t>
      </w:r>
      <w:r>
        <w:rPr>
          <w:sz w:val="18"/>
        </w:rPr>
        <w:t>to</w:t>
      </w:r>
      <w:r>
        <w:rPr>
          <w:spacing w:val="-1"/>
          <w:sz w:val="18"/>
        </w:rPr>
        <w:t> </w:t>
      </w:r>
      <w:r>
        <w:rPr>
          <w:sz w:val="18"/>
        </w:rPr>
        <w:t>plans</w:t>
      </w:r>
      <w:r>
        <w:rPr>
          <w:spacing w:val="-1"/>
          <w:sz w:val="18"/>
        </w:rPr>
        <w:t> </w:t>
      </w:r>
      <w:r>
        <w:rPr>
          <w:sz w:val="18"/>
        </w:rPr>
        <w:t>and</w:t>
      </w:r>
      <w:r>
        <w:rPr>
          <w:spacing w:val="-1"/>
          <w:sz w:val="18"/>
        </w:rPr>
        <w:t> </w:t>
      </w:r>
      <w:r>
        <w:rPr>
          <w:spacing w:val="-2"/>
          <w:sz w:val="18"/>
        </w:rPr>
        <w:t>specifications;</w:t>
      </w:r>
    </w:p>
    <w:p>
      <w:pPr>
        <w:pStyle w:val="ListParagraph"/>
        <w:numPr>
          <w:ilvl w:val="0"/>
          <w:numId w:val="3"/>
        </w:numPr>
        <w:tabs>
          <w:tab w:pos="792" w:val="left" w:leader="none"/>
        </w:tabs>
        <w:spacing w:line="203" w:lineRule="exact" w:before="0" w:after="0"/>
        <w:ind w:left="792" w:right="0" w:hanging="324"/>
        <w:jc w:val="left"/>
        <w:rPr>
          <w:sz w:val="18"/>
        </w:rPr>
      </w:pPr>
      <w:r>
        <w:rPr>
          <w:sz w:val="18"/>
        </w:rPr>
        <w:t>engineering</w:t>
      </w:r>
      <w:r>
        <w:rPr>
          <w:spacing w:val="-1"/>
          <w:sz w:val="18"/>
        </w:rPr>
        <w:t> </w:t>
      </w:r>
      <w:r>
        <w:rPr>
          <w:sz w:val="18"/>
        </w:rPr>
        <w:t>problems,</w:t>
      </w:r>
      <w:r>
        <w:rPr>
          <w:spacing w:val="-1"/>
          <w:sz w:val="18"/>
        </w:rPr>
        <w:t> </w:t>
      </w:r>
      <w:r>
        <w:rPr>
          <w:sz w:val="18"/>
        </w:rPr>
        <w:t>including</w:t>
      </w:r>
      <w:r>
        <w:rPr>
          <w:spacing w:val="-1"/>
          <w:sz w:val="18"/>
        </w:rPr>
        <w:t> </w:t>
      </w:r>
      <w:r>
        <w:rPr>
          <w:sz w:val="18"/>
        </w:rPr>
        <w:t>defective</w:t>
      </w:r>
      <w:r>
        <w:rPr>
          <w:spacing w:val="-1"/>
          <w:sz w:val="18"/>
        </w:rPr>
        <w:t> </w:t>
      </w:r>
      <w:r>
        <w:rPr>
          <w:sz w:val="18"/>
        </w:rPr>
        <w:t>plans</w:t>
      </w:r>
      <w:r>
        <w:rPr>
          <w:spacing w:val="-1"/>
          <w:sz w:val="18"/>
        </w:rPr>
        <w:t> </w:t>
      </w:r>
      <w:r>
        <w:rPr>
          <w:sz w:val="18"/>
        </w:rPr>
        <w:t>and</w:t>
      </w:r>
      <w:r>
        <w:rPr>
          <w:spacing w:val="-1"/>
          <w:sz w:val="18"/>
        </w:rPr>
        <w:t> </w:t>
      </w:r>
      <w:r>
        <w:rPr>
          <w:spacing w:val="-2"/>
          <w:sz w:val="18"/>
        </w:rPr>
        <w:t>specifications;</w:t>
      </w:r>
    </w:p>
    <w:p>
      <w:pPr>
        <w:pStyle w:val="ListParagraph"/>
        <w:numPr>
          <w:ilvl w:val="0"/>
          <w:numId w:val="3"/>
        </w:numPr>
        <w:tabs>
          <w:tab w:pos="792" w:val="left" w:leader="none"/>
        </w:tabs>
        <w:spacing w:line="205" w:lineRule="exact" w:before="0" w:after="0"/>
        <w:ind w:left="792" w:right="0" w:hanging="324"/>
        <w:jc w:val="left"/>
        <w:rPr>
          <w:sz w:val="18"/>
        </w:rPr>
      </w:pPr>
      <w:r>
        <w:rPr>
          <w:sz w:val="18"/>
        </w:rPr>
        <w:t>shortages</w:t>
      </w:r>
      <w:r>
        <w:rPr>
          <w:spacing w:val="-5"/>
          <w:sz w:val="18"/>
        </w:rPr>
        <w:t> </w:t>
      </w:r>
      <w:r>
        <w:rPr>
          <w:sz w:val="18"/>
        </w:rPr>
        <w:t>of,</w:t>
      </w:r>
      <w:r>
        <w:rPr>
          <w:spacing w:val="-2"/>
          <w:sz w:val="18"/>
        </w:rPr>
        <w:t> </w:t>
      </w:r>
      <w:r>
        <w:rPr>
          <w:sz w:val="18"/>
        </w:rPr>
        <w:t>and</w:t>
      </w:r>
      <w:r>
        <w:rPr>
          <w:spacing w:val="-2"/>
          <w:sz w:val="18"/>
        </w:rPr>
        <w:t> </w:t>
      </w:r>
      <w:r>
        <w:rPr>
          <w:sz w:val="18"/>
        </w:rPr>
        <w:t>price</w:t>
      </w:r>
      <w:r>
        <w:rPr>
          <w:spacing w:val="-3"/>
          <w:sz w:val="18"/>
        </w:rPr>
        <w:t> </w:t>
      </w:r>
      <w:r>
        <w:rPr>
          <w:sz w:val="18"/>
        </w:rPr>
        <w:t>increases</w:t>
      </w:r>
      <w:r>
        <w:rPr>
          <w:spacing w:val="-2"/>
          <w:sz w:val="18"/>
        </w:rPr>
        <w:t> </w:t>
      </w:r>
      <w:r>
        <w:rPr>
          <w:sz w:val="18"/>
        </w:rPr>
        <w:t>in,</w:t>
      </w:r>
      <w:r>
        <w:rPr>
          <w:spacing w:val="-2"/>
          <w:sz w:val="18"/>
        </w:rPr>
        <w:t> </w:t>
      </w:r>
      <w:r>
        <w:rPr>
          <w:sz w:val="18"/>
        </w:rPr>
        <w:t>energy,</w:t>
      </w:r>
      <w:r>
        <w:rPr>
          <w:spacing w:val="-3"/>
          <w:sz w:val="18"/>
        </w:rPr>
        <w:t> </w:t>
      </w:r>
      <w:r>
        <w:rPr>
          <w:sz w:val="18"/>
        </w:rPr>
        <w:t>materials</w:t>
      </w:r>
      <w:r>
        <w:rPr>
          <w:spacing w:val="-2"/>
          <w:sz w:val="18"/>
        </w:rPr>
        <w:t> </w:t>
      </w:r>
      <w:r>
        <w:rPr>
          <w:sz w:val="18"/>
        </w:rPr>
        <w:t>and</w:t>
      </w:r>
      <w:r>
        <w:rPr>
          <w:spacing w:val="-2"/>
          <w:sz w:val="18"/>
        </w:rPr>
        <w:t> </w:t>
      </w:r>
      <w:r>
        <w:rPr>
          <w:sz w:val="18"/>
        </w:rPr>
        <w:t>skilled</w:t>
      </w:r>
      <w:r>
        <w:rPr>
          <w:spacing w:val="-3"/>
          <w:sz w:val="18"/>
        </w:rPr>
        <w:t> </w:t>
      </w:r>
      <w:r>
        <w:rPr>
          <w:sz w:val="18"/>
        </w:rPr>
        <w:t>and</w:t>
      </w:r>
      <w:r>
        <w:rPr>
          <w:spacing w:val="-2"/>
          <w:sz w:val="18"/>
        </w:rPr>
        <w:t> </w:t>
      </w:r>
      <w:r>
        <w:rPr>
          <w:sz w:val="18"/>
        </w:rPr>
        <w:t>unskilled</w:t>
      </w:r>
      <w:r>
        <w:rPr>
          <w:spacing w:val="-2"/>
          <w:sz w:val="18"/>
        </w:rPr>
        <w:t> labor;</w:t>
      </w:r>
    </w:p>
    <w:p>
      <w:pPr>
        <w:pStyle w:val="ListParagraph"/>
        <w:numPr>
          <w:ilvl w:val="0"/>
          <w:numId w:val="3"/>
        </w:numPr>
        <w:tabs>
          <w:tab w:pos="792" w:val="left" w:leader="none"/>
        </w:tabs>
        <w:spacing w:line="205" w:lineRule="exact" w:before="10" w:after="0"/>
        <w:ind w:left="792" w:right="0" w:hanging="324"/>
        <w:jc w:val="left"/>
        <w:rPr>
          <w:sz w:val="18"/>
        </w:rPr>
      </w:pPr>
      <w:r>
        <w:rPr>
          <w:sz w:val="18"/>
        </w:rPr>
        <w:t>pricing</w:t>
      </w:r>
      <w:r>
        <w:rPr>
          <w:spacing w:val="-1"/>
          <w:sz w:val="18"/>
        </w:rPr>
        <w:t> </w:t>
      </w:r>
      <w:r>
        <w:rPr>
          <w:sz w:val="18"/>
        </w:rPr>
        <w:t>inflation,</w:t>
      </w:r>
      <w:r>
        <w:rPr>
          <w:spacing w:val="-1"/>
          <w:sz w:val="18"/>
        </w:rPr>
        <w:t> </w:t>
      </w:r>
      <w:r>
        <w:rPr>
          <w:sz w:val="18"/>
        </w:rPr>
        <w:t>including</w:t>
      </w:r>
      <w:r>
        <w:rPr>
          <w:spacing w:val="-1"/>
          <w:sz w:val="18"/>
        </w:rPr>
        <w:t> </w:t>
      </w:r>
      <w:r>
        <w:rPr>
          <w:sz w:val="18"/>
        </w:rPr>
        <w:t>wage</w:t>
      </w:r>
      <w:r>
        <w:rPr>
          <w:spacing w:val="-1"/>
          <w:sz w:val="18"/>
        </w:rPr>
        <w:t> </w:t>
      </w:r>
      <w:r>
        <w:rPr>
          <w:sz w:val="18"/>
        </w:rPr>
        <w:t>inflation,</w:t>
      </w:r>
      <w:r>
        <w:rPr>
          <w:spacing w:val="-1"/>
          <w:sz w:val="18"/>
        </w:rPr>
        <w:t> </w:t>
      </w:r>
      <w:r>
        <w:rPr>
          <w:sz w:val="18"/>
        </w:rPr>
        <w:t>in</w:t>
      </w:r>
      <w:r>
        <w:rPr>
          <w:spacing w:val="-1"/>
          <w:sz w:val="18"/>
        </w:rPr>
        <w:t> </w:t>
      </w:r>
      <w:r>
        <w:rPr>
          <w:sz w:val="18"/>
        </w:rPr>
        <w:t>key</w:t>
      </w:r>
      <w:r>
        <w:rPr>
          <w:spacing w:val="-1"/>
          <w:sz w:val="18"/>
        </w:rPr>
        <w:t> </w:t>
      </w:r>
      <w:r>
        <w:rPr>
          <w:sz w:val="18"/>
        </w:rPr>
        <w:t>supply</w:t>
      </w:r>
      <w:r>
        <w:rPr>
          <w:spacing w:val="-1"/>
          <w:sz w:val="18"/>
        </w:rPr>
        <w:t> </w:t>
      </w:r>
      <w:r>
        <w:rPr>
          <w:spacing w:val="-2"/>
          <w:sz w:val="18"/>
        </w:rPr>
        <w:t>markets;</w:t>
      </w:r>
    </w:p>
    <w:p>
      <w:pPr>
        <w:pStyle w:val="ListParagraph"/>
        <w:numPr>
          <w:ilvl w:val="0"/>
          <w:numId w:val="3"/>
        </w:numPr>
        <w:tabs>
          <w:tab w:pos="792" w:val="left" w:leader="none"/>
        </w:tabs>
        <w:spacing w:line="203" w:lineRule="exact" w:before="0" w:after="0"/>
        <w:ind w:left="792" w:right="0" w:hanging="324"/>
        <w:jc w:val="left"/>
        <w:rPr>
          <w:sz w:val="18"/>
        </w:rPr>
      </w:pPr>
      <w:r>
        <w:rPr>
          <w:sz w:val="18"/>
        </w:rPr>
        <w:t>delays</w:t>
      </w:r>
      <w:r>
        <w:rPr>
          <w:spacing w:val="-1"/>
          <w:sz w:val="18"/>
        </w:rPr>
        <w:t> </w:t>
      </w:r>
      <w:r>
        <w:rPr>
          <w:sz w:val="18"/>
        </w:rPr>
        <w:t>in</w:t>
      </w:r>
      <w:r>
        <w:rPr>
          <w:spacing w:val="-1"/>
          <w:sz w:val="18"/>
        </w:rPr>
        <w:t> </w:t>
      </w:r>
      <w:r>
        <w:rPr>
          <w:sz w:val="18"/>
        </w:rPr>
        <w:t>obtaining</w:t>
      </w:r>
      <w:r>
        <w:rPr>
          <w:spacing w:val="-1"/>
          <w:sz w:val="18"/>
        </w:rPr>
        <w:t> </w:t>
      </w:r>
      <w:r>
        <w:rPr>
          <w:sz w:val="18"/>
        </w:rPr>
        <w:t>or</w:t>
      </w:r>
      <w:r>
        <w:rPr>
          <w:spacing w:val="-1"/>
          <w:sz w:val="18"/>
        </w:rPr>
        <w:t> </w:t>
      </w:r>
      <w:r>
        <w:rPr>
          <w:sz w:val="18"/>
        </w:rPr>
        <w:t>inability</w:t>
      </w:r>
      <w:r>
        <w:rPr>
          <w:spacing w:val="-1"/>
          <w:sz w:val="18"/>
        </w:rPr>
        <w:t> </w:t>
      </w:r>
      <w:r>
        <w:rPr>
          <w:sz w:val="18"/>
        </w:rPr>
        <w:t>to</w:t>
      </w:r>
      <w:r>
        <w:rPr>
          <w:spacing w:val="-1"/>
          <w:sz w:val="18"/>
        </w:rPr>
        <w:t> </w:t>
      </w:r>
      <w:r>
        <w:rPr>
          <w:sz w:val="18"/>
        </w:rPr>
        <w:t>obtain</w:t>
      </w:r>
      <w:r>
        <w:rPr>
          <w:spacing w:val="-1"/>
          <w:sz w:val="18"/>
        </w:rPr>
        <w:t> </w:t>
      </w:r>
      <w:r>
        <w:rPr>
          <w:sz w:val="18"/>
        </w:rPr>
        <w:t>necessary</w:t>
      </w:r>
      <w:r>
        <w:rPr>
          <w:spacing w:val="-1"/>
          <w:sz w:val="18"/>
        </w:rPr>
        <w:t> </w:t>
      </w:r>
      <w:r>
        <w:rPr>
          <w:sz w:val="18"/>
        </w:rPr>
        <w:t>permits,</w:t>
      </w:r>
      <w:r>
        <w:rPr>
          <w:spacing w:val="-1"/>
          <w:sz w:val="18"/>
        </w:rPr>
        <w:t> </w:t>
      </w:r>
      <w:r>
        <w:rPr>
          <w:sz w:val="18"/>
        </w:rPr>
        <w:t>licenses</w:t>
      </w:r>
      <w:r>
        <w:rPr>
          <w:spacing w:val="-1"/>
          <w:sz w:val="18"/>
        </w:rPr>
        <w:t> </w:t>
      </w:r>
      <w:r>
        <w:rPr>
          <w:sz w:val="18"/>
        </w:rPr>
        <w:t>and</w:t>
      </w:r>
      <w:r>
        <w:rPr>
          <w:spacing w:val="-1"/>
          <w:sz w:val="18"/>
        </w:rPr>
        <w:t> </w:t>
      </w:r>
      <w:r>
        <w:rPr>
          <w:spacing w:val="-2"/>
          <w:sz w:val="18"/>
        </w:rPr>
        <w:t>approvals;</w:t>
      </w:r>
    </w:p>
    <w:p>
      <w:pPr>
        <w:pStyle w:val="ListParagraph"/>
        <w:numPr>
          <w:ilvl w:val="0"/>
          <w:numId w:val="3"/>
        </w:numPr>
        <w:tabs>
          <w:tab w:pos="792" w:val="left" w:leader="none"/>
        </w:tabs>
        <w:spacing w:line="249" w:lineRule="auto" w:before="0" w:after="0"/>
        <w:ind w:left="792" w:right="118" w:hanging="324"/>
        <w:jc w:val="left"/>
        <w:rPr>
          <w:sz w:val="18"/>
        </w:rPr>
      </w:pPr>
      <w:r>
        <w:rPr>
          <w:sz w:val="18"/>
        </w:rPr>
        <w:t>changes in laws and regulations, or in the interpretation and enforcement of laws and regulations, applicable to gaming, leisure, residential, real estate development or construction projects;</w:t>
      </w:r>
    </w:p>
    <w:p>
      <w:pPr>
        <w:pStyle w:val="ListParagraph"/>
        <w:numPr>
          <w:ilvl w:val="0"/>
          <w:numId w:val="3"/>
        </w:numPr>
        <w:tabs>
          <w:tab w:pos="792" w:val="left" w:leader="none"/>
        </w:tabs>
        <w:spacing w:line="193" w:lineRule="exact" w:before="0" w:after="0"/>
        <w:ind w:left="792" w:right="0" w:hanging="324"/>
        <w:jc w:val="left"/>
        <w:rPr>
          <w:sz w:val="18"/>
        </w:rPr>
      </w:pPr>
      <w:r>
        <w:rPr>
          <w:sz w:val="18"/>
        </w:rPr>
        <w:t>labor</w:t>
      </w:r>
      <w:r>
        <w:rPr>
          <w:spacing w:val="-1"/>
          <w:sz w:val="18"/>
        </w:rPr>
        <w:t> </w:t>
      </w:r>
      <w:r>
        <w:rPr>
          <w:sz w:val="18"/>
        </w:rPr>
        <w:t>disputes</w:t>
      </w:r>
      <w:r>
        <w:rPr>
          <w:spacing w:val="-1"/>
          <w:sz w:val="18"/>
        </w:rPr>
        <w:t> </w:t>
      </w:r>
      <w:r>
        <w:rPr>
          <w:sz w:val="18"/>
        </w:rPr>
        <w:t>or</w:t>
      </w:r>
      <w:r>
        <w:rPr>
          <w:spacing w:val="-1"/>
          <w:sz w:val="18"/>
        </w:rPr>
        <w:t> </w:t>
      </w:r>
      <w:r>
        <w:rPr>
          <w:sz w:val="18"/>
        </w:rPr>
        <w:t>work</w:t>
      </w:r>
      <w:r>
        <w:rPr>
          <w:spacing w:val="-1"/>
          <w:sz w:val="18"/>
        </w:rPr>
        <w:t> </w:t>
      </w:r>
      <w:r>
        <w:rPr>
          <w:spacing w:val="-2"/>
          <w:sz w:val="18"/>
        </w:rPr>
        <w:t>stoppages;</w:t>
      </w:r>
    </w:p>
    <w:p>
      <w:pPr>
        <w:pStyle w:val="ListParagraph"/>
        <w:numPr>
          <w:ilvl w:val="0"/>
          <w:numId w:val="3"/>
        </w:numPr>
        <w:tabs>
          <w:tab w:pos="792" w:val="left" w:leader="none"/>
        </w:tabs>
        <w:spacing w:line="205" w:lineRule="exact" w:before="0" w:after="0"/>
        <w:ind w:left="792" w:right="0" w:hanging="324"/>
        <w:jc w:val="left"/>
        <w:rPr>
          <w:sz w:val="18"/>
        </w:rPr>
      </w:pPr>
      <w:r>
        <w:rPr>
          <w:sz w:val="18"/>
        </w:rPr>
        <w:t>availability</w:t>
      </w:r>
      <w:r>
        <w:rPr>
          <w:spacing w:val="-1"/>
          <w:sz w:val="18"/>
        </w:rPr>
        <w:t> </w:t>
      </w:r>
      <w:r>
        <w:rPr>
          <w:sz w:val="18"/>
        </w:rPr>
        <w:t>of</w:t>
      </w:r>
      <w:r>
        <w:rPr>
          <w:spacing w:val="-1"/>
          <w:sz w:val="18"/>
        </w:rPr>
        <w:t> </w:t>
      </w:r>
      <w:r>
        <w:rPr>
          <w:sz w:val="18"/>
        </w:rPr>
        <w:t>qualified</w:t>
      </w:r>
      <w:r>
        <w:rPr>
          <w:spacing w:val="-1"/>
          <w:sz w:val="18"/>
        </w:rPr>
        <w:t> </w:t>
      </w:r>
      <w:r>
        <w:rPr>
          <w:sz w:val="18"/>
        </w:rPr>
        <w:t>contractors</w:t>
      </w:r>
      <w:r>
        <w:rPr>
          <w:spacing w:val="-1"/>
          <w:sz w:val="18"/>
        </w:rPr>
        <w:t> </w:t>
      </w:r>
      <w:r>
        <w:rPr>
          <w:sz w:val="18"/>
        </w:rPr>
        <w:t>and</w:t>
      </w:r>
      <w:r>
        <w:rPr>
          <w:spacing w:val="-1"/>
          <w:sz w:val="18"/>
        </w:rPr>
        <w:t> </w:t>
      </w:r>
      <w:r>
        <w:rPr>
          <w:spacing w:val="-2"/>
          <w:sz w:val="18"/>
        </w:rPr>
        <w:t>subcontractors;</w:t>
      </w:r>
    </w:p>
    <w:p>
      <w:pPr>
        <w:pStyle w:val="ListParagraph"/>
        <w:numPr>
          <w:ilvl w:val="0"/>
          <w:numId w:val="3"/>
        </w:numPr>
        <w:tabs>
          <w:tab w:pos="792" w:val="left" w:leader="none"/>
        </w:tabs>
        <w:spacing w:line="205" w:lineRule="exact" w:before="6" w:after="0"/>
        <w:ind w:left="792" w:right="0" w:hanging="324"/>
        <w:jc w:val="left"/>
        <w:rPr>
          <w:sz w:val="18"/>
        </w:rPr>
      </w:pPr>
      <w:r>
        <w:rPr>
          <w:sz w:val="18"/>
        </w:rPr>
        <w:t>disputes</w:t>
      </w:r>
      <w:r>
        <w:rPr>
          <w:spacing w:val="-1"/>
          <w:sz w:val="18"/>
        </w:rPr>
        <w:t> </w:t>
      </w:r>
      <w:r>
        <w:rPr>
          <w:sz w:val="18"/>
        </w:rPr>
        <w:t>with</w:t>
      </w:r>
      <w:r>
        <w:rPr>
          <w:spacing w:val="-1"/>
          <w:sz w:val="18"/>
        </w:rPr>
        <w:t> </w:t>
      </w:r>
      <w:r>
        <w:rPr>
          <w:sz w:val="18"/>
        </w:rPr>
        <w:t>and</w:t>
      </w:r>
      <w:r>
        <w:rPr>
          <w:spacing w:val="-1"/>
          <w:sz w:val="18"/>
        </w:rPr>
        <w:t> </w:t>
      </w:r>
      <w:r>
        <w:rPr>
          <w:sz w:val="18"/>
        </w:rPr>
        <w:t>defaults</w:t>
      </w:r>
      <w:r>
        <w:rPr>
          <w:spacing w:val="-1"/>
          <w:sz w:val="18"/>
        </w:rPr>
        <w:t> </w:t>
      </w:r>
      <w:r>
        <w:rPr>
          <w:sz w:val="18"/>
        </w:rPr>
        <w:t>by</w:t>
      </w:r>
      <w:r>
        <w:rPr>
          <w:spacing w:val="-1"/>
          <w:sz w:val="18"/>
        </w:rPr>
        <w:t> </w:t>
      </w:r>
      <w:r>
        <w:rPr>
          <w:sz w:val="18"/>
        </w:rPr>
        <w:t>contractors</w:t>
      </w:r>
      <w:r>
        <w:rPr>
          <w:spacing w:val="-1"/>
          <w:sz w:val="18"/>
        </w:rPr>
        <w:t> </w:t>
      </w:r>
      <w:r>
        <w:rPr>
          <w:sz w:val="18"/>
        </w:rPr>
        <w:t>and</w:t>
      </w:r>
      <w:r>
        <w:rPr>
          <w:spacing w:val="-1"/>
          <w:sz w:val="18"/>
        </w:rPr>
        <w:t> </w:t>
      </w:r>
      <w:r>
        <w:rPr>
          <w:spacing w:val="-2"/>
          <w:sz w:val="18"/>
        </w:rPr>
        <w:t>subcontractors;</w:t>
      </w:r>
    </w:p>
    <w:p>
      <w:pPr>
        <w:pStyle w:val="ListParagraph"/>
        <w:numPr>
          <w:ilvl w:val="0"/>
          <w:numId w:val="3"/>
        </w:numPr>
        <w:tabs>
          <w:tab w:pos="792" w:val="left" w:leader="none"/>
        </w:tabs>
        <w:spacing w:line="203" w:lineRule="exact" w:before="0" w:after="0"/>
        <w:ind w:left="792" w:right="0" w:hanging="324"/>
        <w:jc w:val="left"/>
        <w:rPr>
          <w:sz w:val="18"/>
        </w:rPr>
      </w:pPr>
      <w:r>
        <w:rPr>
          <w:sz w:val="18"/>
        </w:rPr>
        <w:t>personal</w:t>
      </w:r>
      <w:r>
        <w:rPr>
          <w:spacing w:val="-1"/>
          <w:sz w:val="18"/>
        </w:rPr>
        <w:t> </w:t>
      </w:r>
      <w:r>
        <w:rPr>
          <w:sz w:val="18"/>
        </w:rPr>
        <w:t>injuries</w:t>
      </w:r>
      <w:r>
        <w:rPr>
          <w:spacing w:val="-1"/>
          <w:sz w:val="18"/>
        </w:rPr>
        <w:t> </w:t>
      </w:r>
      <w:r>
        <w:rPr>
          <w:sz w:val="18"/>
        </w:rPr>
        <w:t>to</w:t>
      </w:r>
      <w:r>
        <w:rPr>
          <w:spacing w:val="-1"/>
          <w:sz w:val="18"/>
        </w:rPr>
        <w:t> </w:t>
      </w:r>
      <w:r>
        <w:rPr>
          <w:sz w:val="18"/>
        </w:rPr>
        <w:t>workers</w:t>
      </w:r>
      <w:r>
        <w:rPr>
          <w:spacing w:val="-1"/>
          <w:sz w:val="18"/>
        </w:rPr>
        <w:t> </w:t>
      </w:r>
      <w:r>
        <w:rPr>
          <w:sz w:val="18"/>
        </w:rPr>
        <w:t>and</w:t>
      </w:r>
      <w:r>
        <w:rPr>
          <w:spacing w:val="-1"/>
          <w:sz w:val="18"/>
        </w:rPr>
        <w:t> </w:t>
      </w:r>
      <w:r>
        <w:rPr>
          <w:sz w:val="18"/>
        </w:rPr>
        <w:t>other</w:t>
      </w:r>
      <w:r>
        <w:rPr>
          <w:spacing w:val="-1"/>
          <w:sz w:val="18"/>
        </w:rPr>
        <w:t> </w:t>
      </w:r>
      <w:r>
        <w:rPr>
          <w:spacing w:val="-2"/>
          <w:sz w:val="18"/>
        </w:rPr>
        <w:t>persons;</w:t>
      </w:r>
    </w:p>
    <w:p>
      <w:pPr>
        <w:pStyle w:val="ListParagraph"/>
        <w:numPr>
          <w:ilvl w:val="0"/>
          <w:numId w:val="3"/>
        </w:numPr>
        <w:tabs>
          <w:tab w:pos="792" w:val="left" w:leader="none"/>
        </w:tabs>
        <w:spacing w:line="205" w:lineRule="exact" w:before="0" w:after="0"/>
        <w:ind w:left="792" w:right="0" w:hanging="324"/>
        <w:jc w:val="left"/>
        <w:rPr>
          <w:sz w:val="18"/>
        </w:rPr>
      </w:pPr>
      <w:r>
        <w:rPr>
          <w:sz w:val="18"/>
        </w:rPr>
        <w:t>environmental,</w:t>
      </w:r>
      <w:r>
        <w:rPr>
          <w:spacing w:val="-1"/>
          <w:sz w:val="18"/>
        </w:rPr>
        <w:t> </w:t>
      </w:r>
      <w:r>
        <w:rPr>
          <w:sz w:val="18"/>
        </w:rPr>
        <w:t>health</w:t>
      </w:r>
      <w:r>
        <w:rPr>
          <w:spacing w:val="-1"/>
          <w:sz w:val="18"/>
        </w:rPr>
        <w:t> </w:t>
      </w:r>
      <w:r>
        <w:rPr>
          <w:sz w:val="18"/>
        </w:rPr>
        <w:t>and</w:t>
      </w:r>
      <w:r>
        <w:rPr>
          <w:spacing w:val="-1"/>
          <w:sz w:val="18"/>
        </w:rPr>
        <w:t> </w:t>
      </w:r>
      <w:r>
        <w:rPr>
          <w:sz w:val="18"/>
        </w:rPr>
        <w:t>safety</w:t>
      </w:r>
      <w:r>
        <w:rPr>
          <w:spacing w:val="-1"/>
          <w:sz w:val="18"/>
        </w:rPr>
        <w:t> </w:t>
      </w:r>
      <w:r>
        <w:rPr>
          <w:sz w:val="18"/>
        </w:rPr>
        <w:t>issues,</w:t>
      </w:r>
      <w:r>
        <w:rPr>
          <w:spacing w:val="-1"/>
          <w:sz w:val="18"/>
        </w:rPr>
        <w:t> </w:t>
      </w:r>
      <w:r>
        <w:rPr>
          <w:sz w:val="18"/>
        </w:rPr>
        <w:t>including</w:t>
      </w:r>
      <w:r>
        <w:rPr>
          <w:spacing w:val="-1"/>
          <w:sz w:val="18"/>
        </w:rPr>
        <w:t> </w:t>
      </w:r>
      <w:r>
        <w:rPr>
          <w:sz w:val="18"/>
        </w:rPr>
        <w:t>site</w:t>
      </w:r>
      <w:r>
        <w:rPr>
          <w:spacing w:val="-1"/>
          <w:sz w:val="18"/>
        </w:rPr>
        <w:t> </w:t>
      </w:r>
      <w:r>
        <w:rPr>
          <w:sz w:val="18"/>
        </w:rPr>
        <w:t>accidents</w:t>
      </w:r>
      <w:r>
        <w:rPr>
          <w:spacing w:val="-1"/>
          <w:sz w:val="18"/>
        </w:rPr>
        <w:t> </w:t>
      </w:r>
      <w:r>
        <w:rPr>
          <w:sz w:val="18"/>
        </w:rPr>
        <w:t>and</w:t>
      </w:r>
      <w:r>
        <w:rPr>
          <w:spacing w:val="-1"/>
          <w:sz w:val="18"/>
        </w:rPr>
        <w:t> </w:t>
      </w:r>
      <w:r>
        <w:rPr>
          <w:sz w:val="18"/>
        </w:rPr>
        <w:t>the</w:t>
      </w:r>
      <w:r>
        <w:rPr>
          <w:spacing w:val="-1"/>
          <w:sz w:val="18"/>
        </w:rPr>
        <w:t> </w:t>
      </w:r>
      <w:r>
        <w:rPr>
          <w:sz w:val="18"/>
        </w:rPr>
        <w:t>spread</w:t>
      </w:r>
      <w:r>
        <w:rPr>
          <w:spacing w:val="-1"/>
          <w:sz w:val="18"/>
        </w:rPr>
        <w:t> </w:t>
      </w:r>
      <w:r>
        <w:rPr>
          <w:sz w:val="18"/>
        </w:rPr>
        <w:t>of</w:t>
      </w:r>
      <w:r>
        <w:rPr>
          <w:spacing w:val="-1"/>
          <w:sz w:val="18"/>
        </w:rPr>
        <w:t> </w:t>
      </w:r>
      <w:r>
        <w:rPr>
          <w:spacing w:val="-2"/>
          <w:sz w:val="18"/>
        </w:rPr>
        <w:t>viruses;</w:t>
      </w:r>
    </w:p>
    <w:p>
      <w:pPr>
        <w:pStyle w:val="ListParagraph"/>
        <w:numPr>
          <w:ilvl w:val="0"/>
          <w:numId w:val="3"/>
        </w:numPr>
        <w:tabs>
          <w:tab w:pos="792" w:val="left" w:leader="none"/>
        </w:tabs>
        <w:spacing w:line="205" w:lineRule="exact" w:before="9" w:after="0"/>
        <w:ind w:left="792" w:right="0" w:hanging="324"/>
        <w:jc w:val="left"/>
        <w:rPr>
          <w:sz w:val="18"/>
        </w:rPr>
      </w:pPr>
      <w:r>
        <w:rPr>
          <w:sz w:val="18"/>
        </w:rPr>
        <w:t>weather</w:t>
      </w:r>
      <w:r>
        <w:rPr>
          <w:spacing w:val="-1"/>
          <w:sz w:val="18"/>
        </w:rPr>
        <w:t> </w:t>
      </w:r>
      <w:r>
        <w:rPr>
          <w:sz w:val="18"/>
        </w:rPr>
        <w:t>interferences</w:t>
      </w:r>
      <w:r>
        <w:rPr>
          <w:spacing w:val="-1"/>
          <w:sz w:val="18"/>
        </w:rPr>
        <w:t> </w:t>
      </w:r>
      <w:r>
        <w:rPr>
          <w:sz w:val="18"/>
        </w:rPr>
        <w:t>or</w:t>
      </w:r>
      <w:r>
        <w:rPr>
          <w:spacing w:val="-1"/>
          <w:sz w:val="18"/>
        </w:rPr>
        <w:t> </w:t>
      </w:r>
      <w:r>
        <w:rPr>
          <w:spacing w:val="-2"/>
          <w:sz w:val="18"/>
        </w:rPr>
        <w:t>delays;</w:t>
      </w:r>
    </w:p>
    <w:p>
      <w:pPr>
        <w:pStyle w:val="ListParagraph"/>
        <w:numPr>
          <w:ilvl w:val="0"/>
          <w:numId w:val="3"/>
        </w:numPr>
        <w:tabs>
          <w:tab w:pos="792" w:val="left" w:leader="none"/>
        </w:tabs>
        <w:spacing w:line="203" w:lineRule="exact" w:before="0" w:after="0"/>
        <w:ind w:left="792" w:right="0" w:hanging="324"/>
        <w:jc w:val="left"/>
        <w:rPr>
          <w:sz w:val="18"/>
        </w:rPr>
      </w:pPr>
      <w:r>
        <w:rPr>
          <w:sz w:val="18"/>
        </w:rPr>
        <w:t>fires,</w:t>
      </w:r>
      <w:r>
        <w:rPr>
          <w:spacing w:val="-1"/>
          <w:sz w:val="18"/>
        </w:rPr>
        <w:t> </w:t>
      </w:r>
      <w:r>
        <w:rPr>
          <w:sz w:val="18"/>
        </w:rPr>
        <w:t>typhoons</w:t>
      </w:r>
      <w:r>
        <w:rPr>
          <w:spacing w:val="-1"/>
          <w:sz w:val="18"/>
        </w:rPr>
        <w:t> </w:t>
      </w:r>
      <w:r>
        <w:rPr>
          <w:sz w:val="18"/>
        </w:rPr>
        <w:t>and</w:t>
      </w:r>
      <w:r>
        <w:rPr>
          <w:spacing w:val="-1"/>
          <w:sz w:val="18"/>
        </w:rPr>
        <w:t> </w:t>
      </w:r>
      <w:r>
        <w:rPr>
          <w:sz w:val="18"/>
        </w:rPr>
        <w:t>other</w:t>
      </w:r>
      <w:r>
        <w:rPr>
          <w:spacing w:val="-1"/>
          <w:sz w:val="18"/>
        </w:rPr>
        <w:t> </w:t>
      </w:r>
      <w:r>
        <w:rPr>
          <w:sz w:val="18"/>
        </w:rPr>
        <w:t>natural</w:t>
      </w:r>
      <w:r>
        <w:rPr>
          <w:spacing w:val="-1"/>
          <w:sz w:val="18"/>
        </w:rPr>
        <w:t> </w:t>
      </w:r>
      <w:r>
        <w:rPr>
          <w:spacing w:val="-2"/>
          <w:sz w:val="18"/>
        </w:rPr>
        <w:t>disasters;</w:t>
      </w:r>
    </w:p>
    <w:p>
      <w:pPr>
        <w:pStyle w:val="ListParagraph"/>
        <w:numPr>
          <w:ilvl w:val="0"/>
          <w:numId w:val="3"/>
        </w:numPr>
        <w:tabs>
          <w:tab w:pos="792" w:val="left" w:leader="none"/>
        </w:tabs>
        <w:spacing w:line="205" w:lineRule="exact" w:before="0" w:after="0"/>
        <w:ind w:left="792" w:right="0" w:hanging="324"/>
        <w:jc w:val="left"/>
        <w:rPr>
          <w:sz w:val="18"/>
        </w:rPr>
      </w:pPr>
      <w:r>
        <w:rPr>
          <w:sz w:val="18"/>
        </w:rPr>
        <w:t>geological,</w:t>
      </w:r>
      <w:r>
        <w:rPr>
          <w:spacing w:val="-1"/>
          <w:sz w:val="18"/>
        </w:rPr>
        <w:t> </w:t>
      </w:r>
      <w:r>
        <w:rPr>
          <w:sz w:val="18"/>
        </w:rPr>
        <w:t>construction,</w:t>
      </w:r>
      <w:r>
        <w:rPr>
          <w:spacing w:val="-1"/>
          <w:sz w:val="18"/>
        </w:rPr>
        <w:t> </w:t>
      </w:r>
      <w:r>
        <w:rPr>
          <w:sz w:val="18"/>
        </w:rPr>
        <w:t>excavation,</w:t>
      </w:r>
      <w:r>
        <w:rPr>
          <w:spacing w:val="-1"/>
          <w:sz w:val="18"/>
        </w:rPr>
        <w:t> </w:t>
      </w:r>
      <w:r>
        <w:rPr>
          <w:sz w:val="18"/>
        </w:rPr>
        <w:t>regulatory</w:t>
      </w:r>
      <w:r>
        <w:rPr>
          <w:spacing w:val="-1"/>
          <w:sz w:val="18"/>
        </w:rPr>
        <w:t> </w:t>
      </w:r>
      <w:r>
        <w:rPr>
          <w:sz w:val="18"/>
        </w:rPr>
        <w:t>and</w:t>
      </w:r>
      <w:r>
        <w:rPr>
          <w:spacing w:val="-1"/>
          <w:sz w:val="18"/>
        </w:rPr>
        <w:t> </w:t>
      </w:r>
      <w:r>
        <w:rPr>
          <w:sz w:val="18"/>
        </w:rPr>
        <w:t>equipment</w:t>
      </w:r>
      <w:r>
        <w:rPr>
          <w:spacing w:val="-1"/>
          <w:sz w:val="18"/>
        </w:rPr>
        <w:t> </w:t>
      </w:r>
      <w:r>
        <w:rPr>
          <w:sz w:val="18"/>
        </w:rPr>
        <w:t>problems;</w:t>
      </w:r>
      <w:r>
        <w:rPr>
          <w:spacing w:val="-1"/>
          <w:sz w:val="18"/>
        </w:rPr>
        <w:t> </w:t>
      </w:r>
      <w:r>
        <w:rPr>
          <w:spacing w:val="-5"/>
          <w:sz w:val="18"/>
        </w:rPr>
        <w:t>and</w:t>
      </w:r>
    </w:p>
    <w:p>
      <w:pPr>
        <w:pStyle w:val="ListParagraph"/>
        <w:numPr>
          <w:ilvl w:val="0"/>
          <w:numId w:val="3"/>
        </w:numPr>
        <w:tabs>
          <w:tab w:pos="792" w:val="left" w:leader="none"/>
        </w:tabs>
        <w:spacing w:line="240" w:lineRule="auto" w:before="9" w:after="0"/>
        <w:ind w:left="792" w:right="0" w:hanging="324"/>
        <w:jc w:val="left"/>
        <w:rPr>
          <w:sz w:val="18"/>
        </w:rPr>
      </w:pPr>
      <w:r>
        <w:rPr>
          <w:sz w:val="18"/>
        </w:rPr>
        <w:t>other</w:t>
      </w:r>
      <w:r>
        <w:rPr>
          <w:spacing w:val="-1"/>
          <w:sz w:val="18"/>
        </w:rPr>
        <w:t> </w:t>
      </w:r>
      <w:r>
        <w:rPr>
          <w:sz w:val="18"/>
        </w:rPr>
        <w:t>unanticipated</w:t>
      </w:r>
      <w:r>
        <w:rPr>
          <w:spacing w:val="-1"/>
          <w:sz w:val="18"/>
        </w:rPr>
        <w:t> </w:t>
      </w:r>
      <w:r>
        <w:rPr>
          <w:sz w:val="18"/>
        </w:rPr>
        <w:t>circumstances</w:t>
      </w:r>
      <w:r>
        <w:rPr>
          <w:spacing w:val="-1"/>
          <w:sz w:val="18"/>
        </w:rPr>
        <w:t> </w:t>
      </w:r>
      <w:r>
        <w:rPr>
          <w:sz w:val="18"/>
        </w:rPr>
        <w:t>or</w:t>
      </w:r>
      <w:r>
        <w:rPr>
          <w:spacing w:val="-1"/>
          <w:sz w:val="18"/>
        </w:rPr>
        <w:t> </w:t>
      </w:r>
      <w:r>
        <w:rPr>
          <w:sz w:val="18"/>
        </w:rPr>
        <w:t>cost</w:t>
      </w:r>
      <w:r>
        <w:rPr>
          <w:spacing w:val="-1"/>
          <w:sz w:val="18"/>
        </w:rPr>
        <w:t> </w:t>
      </w:r>
      <w:r>
        <w:rPr>
          <w:spacing w:val="-2"/>
          <w:sz w:val="18"/>
        </w:rPr>
        <w:t>increases.</w:t>
      </w:r>
    </w:p>
    <w:p>
      <w:pPr>
        <w:pStyle w:val="BodyText"/>
        <w:spacing w:before="6"/>
      </w:pPr>
    </w:p>
    <w:p>
      <w:pPr>
        <w:pStyle w:val="BodyText"/>
        <w:spacing w:line="237" w:lineRule="auto" w:before="1"/>
        <w:ind w:left="144" w:right="118" w:firstLine="499"/>
        <w:jc w:val="both"/>
      </w:pPr>
      <w:r>
        <w:rPr/>
        <w:t>The occurrence of any of these development and construction risks could increase the total costs, delay or prevent the construction, development, expansion or opening or otherwise affect the design and features of any future projects which we might undertake. In addition, the regulatory approvals associated with our development projects may require us to open future casino resorts by a certain specified time and to the extent we are unable to meet those deadlines, and any such deadlines are not extended, we may lose our regulatory approval to open a casino resort in a proposed jurisdiction, or incur </w:t>
      </w:r>
      <w:r>
        <w:rPr/>
        <w:t>payment penalties in connection with any delays which could have an adverse effect on our business, financial condition, results of operations and cash flows.</w:t>
      </w:r>
    </w:p>
    <w:p>
      <w:pPr>
        <w:pStyle w:val="BodyText"/>
      </w:pPr>
    </w:p>
    <w:p>
      <w:pPr>
        <w:pStyle w:val="BodyText"/>
        <w:spacing w:before="193"/>
      </w:pPr>
    </w:p>
    <w:p>
      <w:pPr>
        <w:pStyle w:val="BodyText"/>
        <w:ind w:left="24"/>
        <w:jc w:val="center"/>
      </w:pPr>
      <w:r>
        <w:rPr>
          <w:spacing w:val="-5"/>
        </w:rPr>
        <w:t>20</w:t>
      </w:r>
    </w:p>
    <w:p>
      <w:pPr>
        <w:pStyle w:val="BodyText"/>
        <w:spacing w:before="3"/>
        <w:rPr>
          <w:sz w:val="6"/>
        </w:rPr>
      </w:pPr>
      <w:r>
        <w:rPr/>
        <mc:AlternateContent>
          <mc:Choice Requires="wps">
            <w:drawing>
              <wp:anchor distT="0" distB="0" distL="0" distR="0" allowOverlap="1" layoutInCell="1" locked="0" behindDoc="1" simplePos="0" relativeHeight="487604224">
                <wp:simplePos x="0" y="0"/>
                <wp:positionH relativeFrom="page">
                  <wp:posOffset>231457</wp:posOffset>
                </wp:positionH>
                <wp:positionV relativeFrom="paragraph">
                  <wp:posOffset>60956</wp:posOffset>
                </wp:positionV>
                <wp:extent cx="7312659" cy="1714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7312659" cy="17145"/>
                          <a:chExt cx="7312659" cy="17145"/>
                        </a:xfrm>
                      </wpg:grpSpPr>
                      <wps:wsp>
                        <wps:cNvPr id="102" name="Graphic 10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3" name="Graphic 103"/>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4" name="Graphic 10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2256;mso-wrap-distance-left:0;mso-wrap-distance-right:0" id="docshapegroup100" coordorigin="364,96" coordsize="11516,27">
                <v:rect style="position:absolute;left:364;top:96;width:11516;height:14" id="docshape101" filled="true" fillcolor="#999999" stroked="false">
                  <v:fill type="solid"/>
                </v:rect>
                <v:shape style="position:absolute;left:364;top:96;width:11516;height:27" id="docshape102" coordorigin="364,96" coordsize="11516,27" path="m11880,96l11866,110,364,110,364,123,11866,123,11880,123,11880,110,11880,96xe" filled="true" fillcolor="#ededed" stroked="false">
                  <v:path arrowok="t"/>
                  <v:fill type="solid"/>
                </v:shape>
                <v:shape style="position:absolute;left:364;top:96;width:14;height:27" id="docshape10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BodyText"/>
        <w:spacing w:line="235" w:lineRule="auto" w:before="82"/>
        <w:ind w:left="144" w:right="118" w:firstLine="499"/>
        <w:jc w:val="both"/>
      </w:pPr>
      <w:r>
        <w:rPr/>
        <w:t>We also make significant capital expenditures to maintain and upgrade our resorts, which may disrupt operations and displace revenue at the </w:t>
      </w:r>
      <w:r>
        <w:rPr/>
        <w:t>properties, including revenue lost while rooms, restaurants and meeting spaces are under renovation and out of service.</w:t>
      </w:r>
    </w:p>
    <w:p>
      <w:pPr>
        <w:pStyle w:val="BodyText"/>
        <w:spacing w:before="18"/>
      </w:pPr>
    </w:p>
    <w:p>
      <w:pPr>
        <w:pStyle w:val="BodyText"/>
        <w:ind w:left="144" w:right="117" w:firstLine="499"/>
        <w:jc w:val="both"/>
      </w:pPr>
      <w:r>
        <w:rPr>
          <w:b/>
          <w:i/>
        </w:rPr>
        <w:t>Our insurance coverage may not be adequate to cover all possible losses that our properties could suffer. In addition, our insurance costs may increase and we may not be able to obtain similar insurance coverage in the future</w:t>
      </w:r>
      <w:r>
        <w:rPr>
          <w:b/>
        </w:rPr>
        <w:t>. </w:t>
      </w:r>
      <w:r>
        <w:rPr/>
        <w:t>Although we have “all risk” property insurance coverage for our operating properties, which covers damage caused by a casualty loss (such as fire, natural disasters, or terrorism or other acts of violence), each policy </w:t>
      </w:r>
      <w:r>
        <w:rPr/>
        <w:t>has certain exclusions. In addition, our property insurance coverage is in an amount that may be significantly less than the expected replacement cost of rebuilding the facilities if there was a total loss. Our level of insurance coverage also may not be adequate to cover all losses in the event of a major casualty. In addition, certain casualty events, such as labor strikes, nuclear events, acts of war, loss of income due to cancellation of room reservations or conventions due to fear of terrorism or other acts of violence, loss of electrical power due to catastrophic events, rolling blackouts or otherwise, deterioration or corrosion, insect or</w:t>
      </w:r>
      <w:r>
        <w:rPr>
          <w:spacing w:val="40"/>
        </w:rPr>
        <w:t> </w:t>
      </w:r>
      <w:r>
        <w:rPr/>
        <w:t>animal damage, and pollution, may not be covered at all under our policies. Therefore, certain acts could expose us to substantial uninsured losses.</w:t>
      </w:r>
    </w:p>
    <w:p>
      <w:pPr>
        <w:pStyle w:val="BodyText"/>
      </w:pPr>
    </w:p>
    <w:p>
      <w:pPr>
        <w:pStyle w:val="BodyText"/>
        <w:spacing w:before="1"/>
        <w:ind w:left="144" w:right="118" w:firstLine="499"/>
        <w:jc w:val="both"/>
      </w:pPr>
      <w:r>
        <w:rPr/>
        <w:t>In</w:t>
      </w:r>
      <w:r>
        <w:rPr>
          <w:spacing w:val="-2"/>
        </w:rPr>
        <w:t> </w:t>
      </w:r>
      <w:r>
        <w:rPr/>
        <w:t>addition</w:t>
      </w:r>
      <w:r>
        <w:rPr>
          <w:spacing w:val="-2"/>
        </w:rPr>
        <w:t> </w:t>
      </w:r>
      <w:r>
        <w:rPr/>
        <w:t>to</w:t>
      </w:r>
      <w:r>
        <w:rPr>
          <w:spacing w:val="-2"/>
        </w:rPr>
        <w:t> </w:t>
      </w:r>
      <w:r>
        <w:rPr/>
        <w:t>the</w:t>
      </w:r>
      <w:r>
        <w:rPr>
          <w:spacing w:val="-2"/>
        </w:rPr>
        <w:t> </w:t>
      </w:r>
      <w:r>
        <w:rPr/>
        <w:t>damage</w:t>
      </w:r>
      <w:r>
        <w:rPr>
          <w:spacing w:val="-2"/>
        </w:rPr>
        <w:t> </w:t>
      </w:r>
      <w:r>
        <w:rPr/>
        <w:t>caused</w:t>
      </w:r>
      <w:r>
        <w:rPr>
          <w:spacing w:val="-2"/>
        </w:rPr>
        <w:t> </w:t>
      </w:r>
      <w:r>
        <w:rPr/>
        <w:t>to</w:t>
      </w:r>
      <w:r>
        <w:rPr>
          <w:spacing w:val="-2"/>
        </w:rPr>
        <w:t> </w:t>
      </w:r>
      <w:r>
        <w:rPr/>
        <w:t>our</w:t>
      </w:r>
      <w:r>
        <w:rPr>
          <w:spacing w:val="-2"/>
        </w:rPr>
        <w:t> </w:t>
      </w:r>
      <w:r>
        <w:rPr/>
        <w:t>properties</w:t>
      </w:r>
      <w:r>
        <w:rPr>
          <w:spacing w:val="-2"/>
        </w:rPr>
        <w:t> </w:t>
      </w:r>
      <w:r>
        <w:rPr/>
        <w:t>by</w:t>
      </w:r>
      <w:r>
        <w:rPr>
          <w:spacing w:val="-2"/>
        </w:rPr>
        <w:t> </w:t>
      </w:r>
      <w:r>
        <w:rPr/>
        <w:t>a</w:t>
      </w:r>
      <w:r>
        <w:rPr>
          <w:spacing w:val="-2"/>
        </w:rPr>
        <w:t> </w:t>
      </w:r>
      <w:r>
        <w:rPr/>
        <w:t>casualty</w:t>
      </w:r>
      <w:r>
        <w:rPr>
          <w:spacing w:val="-2"/>
        </w:rPr>
        <w:t> </w:t>
      </w:r>
      <w:r>
        <w:rPr/>
        <w:t>loss,</w:t>
      </w:r>
      <w:r>
        <w:rPr>
          <w:spacing w:val="-2"/>
        </w:rPr>
        <w:t> </w:t>
      </w:r>
      <w:r>
        <w:rPr/>
        <w:t>we</w:t>
      </w:r>
      <w:r>
        <w:rPr>
          <w:spacing w:val="-2"/>
        </w:rPr>
        <w:t> </w:t>
      </w:r>
      <w:r>
        <w:rPr/>
        <w:t>may</w:t>
      </w:r>
      <w:r>
        <w:rPr>
          <w:spacing w:val="-2"/>
        </w:rPr>
        <w:t> </w:t>
      </w:r>
      <w:r>
        <w:rPr/>
        <w:t>suffer</w:t>
      </w:r>
      <w:r>
        <w:rPr>
          <w:spacing w:val="-2"/>
        </w:rPr>
        <w:t> </w:t>
      </w:r>
      <w:r>
        <w:rPr/>
        <w:t>business</w:t>
      </w:r>
      <w:r>
        <w:rPr>
          <w:spacing w:val="-2"/>
        </w:rPr>
        <w:t> </w:t>
      </w:r>
      <w:r>
        <w:rPr/>
        <w:t>disruption</w:t>
      </w:r>
      <w:r>
        <w:rPr>
          <w:spacing w:val="-2"/>
        </w:rPr>
        <w:t> </w:t>
      </w:r>
      <w:r>
        <w:rPr/>
        <w:t>as</w:t>
      </w:r>
      <w:r>
        <w:rPr>
          <w:spacing w:val="-2"/>
        </w:rPr>
        <w:t> </w:t>
      </w:r>
      <w:r>
        <w:rPr/>
        <w:t>a</w:t>
      </w:r>
      <w:r>
        <w:rPr>
          <w:spacing w:val="-2"/>
        </w:rPr>
        <w:t> </w:t>
      </w:r>
      <w:r>
        <w:rPr/>
        <w:t>result</w:t>
      </w:r>
      <w:r>
        <w:rPr>
          <w:spacing w:val="-2"/>
        </w:rPr>
        <w:t> </w:t>
      </w:r>
      <w:r>
        <w:rPr/>
        <w:t>of</w:t>
      </w:r>
      <w:r>
        <w:rPr>
          <w:spacing w:val="-2"/>
        </w:rPr>
        <w:t> </w:t>
      </w:r>
      <w:r>
        <w:rPr/>
        <w:t>these</w:t>
      </w:r>
      <w:r>
        <w:rPr>
          <w:spacing w:val="-2"/>
        </w:rPr>
        <w:t> </w:t>
      </w:r>
      <w:r>
        <w:rPr/>
        <w:t>events</w:t>
      </w:r>
      <w:r>
        <w:rPr>
          <w:spacing w:val="-2"/>
        </w:rPr>
        <w:t> </w:t>
      </w:r>
      <w:r>
        <w:rPr/>
        <w:t>or</w:t>
      </w:r>
      <w:r>
        <w:rPr>
          <w:spacing w:val="-2"/>
        </w:rPr>
        <w:t> </w:t>
      </w:r>
      <w:r>
        <w:rPr/>
        <w:t>be</w:t>
      </w:r>
      <w:r>
        <w:rPr>
          <w:spacing w:val="-2"/>
        </w:rPr>
        <w:t> </w:t>
      </w:r>
      <w:r>
        <w:rPr/>
        <w:t>subject</w:t>
      </w:r>
      <w:r>
        <w:rPr>
          <w:spacing w:val="-2"/>
        </w:rPr>
        <w:t> </w:t>
      </w:r>
      <w:r>
        <w:rPr/>
        <w:t>to</w:t>
      </w:r>
      <w:r>
        <w:rPr>
          <w:spacing w:val="-2"/>
        </w:rPr>
        <w:t> </w:t>
      </w:r>
      <w:r>
        <w:rPr/>
        <w:t>claims by third parties that may be injured or harmed. While we carry business interruption insurance and general liability insurance, this insurance may not </w:t>
      </w:r>
      <w:r>
        <w:rPr/>
        <w:t>be adequate</w:t>
      </w:r>
      <w:r>
        <w:rPr>
          <w:spacing w:val="-2"/>
        </w:rPr>
        <w:t> </w:t>
      </w:r>
      <w:r>
        <w:rPr/>
        <w:t>to</w:t>
      </w:r>
      <w:r>
        <w:rPr>
          <w:spacing w:val="-2"/>
        </w:rPr>
        <w:t> </w:t>
      </w:r>
      <w:r>
        <w:rPr/>
        <w:t>cover</w:t>
      </w:r>
      <w:r>
        <w:rPr>
          <w:spacing w:val="-2"/>
        </w:rPr>
        <w:t> </w:t>
      </w:r>
      <w:r>
        <w:rPr/>
        <w:t>all</w:t>
      </w:r>
      <w:r>
        <w:rPr>
          <w:spacing w:val="-2"/>
        </w:rPr>
        <w:t> </w:t>
      </w:r>
      <w:r>
        <w:rPr/>
        <w:t>losses</w:t>
      </w:r>
      <w:r>
        <w:rPr>
          <w:spacing w:val="-2"/>
        </w:rPr>
        <w:t> </w:t>
      </w:r>
      <w:r>
        <w:rPr/>
        <w:t>in</w:t>
      </w:r>
      <w:r>
        <w:rPr>
          <w:spacing w:val="-2"/>
        </w:rPr>
        <w:t> </w:t>
      </w:r>
      <w:r>
        <w:rPr/>
        <w:t>any</w:t>
      </w:r>
      <w:r>
        <w:rPr>
          <w:spacing w:val="-2"/>
        </w:rPr>
        <w:t> </w:t>
      </w:r>
      <w:r>
        <w:rPr/>
        <w:t>such</w:t>
      </w:r>
      <w:r>
        <w:rPr>
          <w:spacing w:val="-2"/>
        </w:rPr>
        <w:t> </w:t>
      </w:r>
      <w:r>
        <w:rPr/>
        <w:t>event.</w:t>
      </w:r>
      <w:r>
        <w:rPr>
          <w:spacing w:val="-2"/>
        </w:rPr>
        <w:t> </w:t>
      </w:r>
      <w:r>
        <w:rPr/>
        <w:t>Furthermore,</w:t>
      </w:r>
      <w:r>
        <w:rPr>
          <w:spacing w:val="-2"/>
        </w:rPr>
        <w:t> </w:t>
      </w:r>
      <w:r>
        <w:rPr/>
        <w:t>our</w:t>
      </w:r>
      <w:r>
        <w:rPr>
          <w:spacing w:val="-2"/>
        </w:rPr>
        <w:t> </w:t>
      </w:r>
      <w:r>
        <w:rPr/>
        <w:t>leases</w:t>
      </w:r>
      <w:r>
        <w:rPr>
          <w:spacing w:val="-2"/>
        </w:rPr>
        <w:t> </w:t>
      </w:r>
      <w:r>
        <w:rPr/>
        <w:t>covering</w:t>
      </w:r>
      <w:r>
        <w:rPr>
          <w:spacing w:val="-2"/>
        </w:rPr>
        <w:t> </w:t>
      </w:r>
      <w:r>
        <w:rPr/>
        <w:t>the</w:t>
      </w:r>
      <w:r>
        <w:rPr>
          <w:spacing w:val="-2"/>
        </w:rPr>
        <w:t> </w:t>
      </w:r>
      <w:r>
        <w:rPr/>
        <w:t>MGM</w:t>
      </w:r>
      <w:r>
        <w:rPr>
          <w:spacing w:val="-2"/>
        </w:rPr>
        <w:t> </w:t>
      </w:r>
      <w:r>
        <w:rPr/>
        <w:t>Grand</w:t>
      </w:r>
      <w:r>
        <w:rPr>
          <w:spacing w:val="-2"/>
        </w:rPr>
        <w:t> </w:t>
      </w:r>
      <w:r>
        <w:rPr/>
        <w:t>Las</w:t>
      </w:r>
      <w:r>
        <w:rPr>
          <w:spacing w:val="-5"/>
        </w:rPr>
        <w:t> </w:t>
      </w:r>
      <w:r>
        <w:rPr/>
        <w:t>Vegas</w:t>
      </w:r>
      <w:r>
        <w:rPr>
          <w:spacing w:val="-2"/>
        </w:rPr>
        <w:t> </w:t>
      </w:r>
      <w:r>
        <w:rPr/>
        <w:t>&amp;</w:t>
      </w:r>
      <w:r>
        <w:rPr>
          <w:spacing w:val="-2"/>
        </w:rPr>
        <w:t> </w:t>
      </w:r>
      <w:r>
        <w:rPr/>
        <w:t>Mandalay</w:t>
      </w:r>
      <w:r>
        <w:rPr>
          <w:spacing w:val="-2"/>
        </w:rPr>
        <w:t> </w:t>
      </w:r>
      <w:r>
        <w:rPr/>
        <w:t>Bay,</w:t>
      </w:r>
      <w:r>
        <w:rPr>
          <w:spacing w:val="-2"/>
        </w:rPr>
        <w:t> </w:t>
      </w:r>
      <w:r>
        <w:rPr/>
        <w:t>Bellagio,</w:t>
      </w:r>
      <w:r>
        <w:rPr>
          <w:spacing w:val="-11"/>
        </w:rPr>
        <w:t> </w:t>
      </w:r>
      <w:r>
        <w:rPr/>
        <w:t>Aria</w:t>
      </w:r>
      <w:r>
        <w:rPr>
          <w:spacing w:val="-2"/>
        </w:rPr>
        <w:t> </w:t>
      </w:r>
      <w:r>
        <w:rPr/>
        <w:t>&amp;</w:t>
      </w:r>
      <w:r>
        <w:rPr>
          <w:spacing w:val="-5"/>
        </w:rPr>
        <w:t> </w:t>
      </w:r>
      <w:r>
        <w:rPr/>
        <w:t>Vdara,</w:t>
      </w:r>
      <w:r>
        <w:rPr>
          <w:spacing w:val="-2"/>
        </w:rPr>
        <w:t> </w:t>
      </w:r>
      <w:r>
        <w:rPr/>
        <w:t>and</w:t>
      </w:r>
      <w:r>
        <w:rPr>
          <w:spacing w:val="-5"/>
        </w:rPr>
        <w:t> </w:t>
      </w:r>
      <w:r>
        <w:rPr/>
        <w:t>The Cosmopolitan all require us to maintain specified insurance coverage. We cannot assure you that we will continue to be able to obtain the types and limits of insurance coverage required by these leases and, to the extent such required insurance coverage cannot be obtained at commercially reasonable cost or at all, then we would need to obtain amendments to the leases or face a default by the applicable tenant under the lease, which could have material adverse effect on our business.</w:t>
      </w:r>
    </w:p>
    <w:p>
      <w:pPr>
        <w:pStyle w:val="BodyText"/>
        <w:spacing w:before="21"/>
      </w:pPr>
    </w:p>
    <w:p>
      <w:pPr>
        <w:pStyle w:val="BodyText"/>
        <w:spacing w:line="235" w:lineRule="auto"/>
        <w:ind w:left="144" w:right="118" w:firstLine="499"/>
        <w:jc w:val="both"/>
      </w:pPr>
      <w:r>
        <w:rPr/>
        <w:t>We renew our insurance policies on an annual basis. The cost of coverage may become so high that we may need to further reduce our policy limits, further increase our deductibles or self-insured retentions, or agree to certain exclusions from our coverage.</w:t>
      </w:r>
    </w:p>
    <w:p>
      <w:pPr>
        <w:pStyle w:val="BodyText"/>
        <w:spacing w:before="5"/>
      </w:pPr>
    </w:p>
    <w:p>
      <w:pPr>
        <w:pStyle w:val="BodyText"/>
        <w:ind w:left="144" w:right="118" w:firstLine="499"/>
        <w:jc w:val="both"/>
      </w:pPr>
      <w:r>
        <w:rPr>
          <w:b/>
          <w:i/>
        </w:rPr>
        <w:t>Any failure to protect our trademarks could have a negative impact on the value of our brand names and adversely affect our business</w:t>
      </w:r>
      <w:r>
        <w:rPr>
          <w:b/>
        </w:rPr>
        <w:t>. </w:t>
      </w:r>
      <w:r>
        <w:rPr/>
        <w:t>The development of intellectual property is part of our overall business strategy, and we regard our intellectual property to be an important element of our success. While our business as a whole is not substantially dependent on any one trademark or combination of several of our trademarks or other intellectual property, we seek to establish and maintain our proprietary rights in our business operations through the use of trademarks. We file applications for, and obtain trademarks in, the United States and in foreign countries where we believe filing for such protection is appropriate. Despite our efforts to protect our</w:t>
      </w:r>
      <w:r>
        <w:rPr>
          <w:spacing w:val="40"/>
        </w:rPr>
        <w:t> </w:t>
      </w:r>
      <w:r>
        <w:rPr/>
        <w:t>proprietary rights, parties may infringe our trademarks and our rights may be invalidated or unenforceable. The laws of some foreign countries do not protect proprietary rights to as great an extent as the laws of the United States. Monitoring the unauthorized use of our intellectual property is difficult. Litigation may be necessary to enforce our intellectual property rights or to determine the validity and scope of the proprietary rights of others. Litigation of this type could result in substantial costs and diversion of resource.</w:t>
      </w:r>
      <w:r>
        <w:rPr>
          <w:spacing w:val="-3"/>
        </w:rPr>
        <w:t> </w:t>
      </w:r>
      <w:r>
        <w:rPr/>
        <w:t>We cannot assure you that all of the steps we have taken to protect our trademarks in the United States and foreign countries will be adequate to prevent imitation of our trademarks by others.</w:t>
      </w:r>
      <w:r>
        <w:rPr>
          <w:spacing w:val="-2"/>
        </w:rPr>
        <w:t> </w:t>
      </w:r>
      <w:r>
        <w:rPr/>
        <w:t>The unauthorized use or reproduction of our trademarks could diminish the value of our brand and its market acceptance, competitive advantages or goodwill, which could adversely affect our business.</w:t>
      </w:r>
    </w:p>
    <w:p>
      <w:pPr>
        <w:pStyle w:val="BodyText"/>
      </w:pPr>
    </w:p>
    <w:p>
      <w:pPr>
        <w:pStyle w:val="BodyText"/>
        <w:ind w:left="144" w:right="118" w:firstLine="499"/>
        <w:jc w:val="both"/>
      </w:pPr>
      <w:r>
        <w:rPr>
          <w:b/>
          <w:i/>
        </w:rPr>
        <w:t>A significant portion of our labor force is covered by collective bargaining agreements. </w:t>
      </w:r>
      <w:r>
        <w:rPr/>
        <w:t>Work stoppages and other labor problems could negatively affect our business and results of operations. As of December 31, 2022, approximately 38,000 of our employees are covered by collective </w:t>
      </w:r>
      <w:r>
        <w:rPr/>
        <w:t>bargaining agreements. The collective bargaining agreements covering most of our Las Vegas union employees expire in 2023. A prolonged dispute with the covered employees or any labor unrest, strikes or other business interruptions in connection with labor negotiations or otherwise could have an adverse impact on our operations, and adverse publicity in the marketplace related to union messaging could further harm our reputation and reduce customer demand for our</w:t>
      </w:r>
      <w:r>
        <w:rPr>
          <w:spacing w:val="40"/>
        </w:rPr>
        <w:t> </w:t>
      </w:r>
      <w:r>
        <w:rPr/>
        <w:t>services.</w:t>
      </w:r>
      <w:r>
        <w:rPr>
          <w:spacing w:val="-3"/>
        </w:rPr>
        <w:t> </w:t>
      </w:r>
      <w:r>
        <w:rPr/>
        <w:t>Also, wage and/or benefit increases resulting from new labor agreements may be significant and could also have an adverse impact on our results of operations. To the extent that our non-union employees seek union representation or elect union representation, we would have exposure to risks associated with representation proceedings, labor negotiations and/or economic impacts of newly negotiated labor agreements. Furthermore, we may have, or acquire in the</w:t>
      </w:r>
      <w:r>
        <w:rPr>
          <w:spacing w:val="-3"/>
        </w:rPr>
        <w:t> </w:t>
      </w:r>
      <w:r>
        <w:rPr/>
        <w:t>future,</w:t>
      </w:r>
      <w:r>
        <w:rPr>
          <w:spacing w:val="-3"/>
        </w:rPr>
        <w:t> </w:t>
      </w:r>
      <w:r>
        <w:rPr/>
        <w:t>multi-employer</w:t>
      </w:r>
      <w:r>
        <w:rPr>
          <w:spacing w:val="-3"/>
        </w:rPr>
        <w:t> </w:t>
      </w:r>
      <w:r>
        <w:rPr/>
        <w:t>plans</w:t>
      </w:r>
      <w:r>
        <w:rPr>
          <w:spacing w:val="-3"/>
        </w:rPr>
        <w:t> </w:t>
      </w:r>
      <w:r>
        <w:rPr/>
        <w:t>that</w:t>
      </w:r>
      <w:r>
        <w:rPr>
          <w:spacing w:val="-3"/>
        </w:rPr>
        <w:t> </w:t>
      </w:r>
      <w:r>
        <w:rPr/>
        <w:t>are</w:t>
      </w:r>
      <w:r>
        <w:rPr>
          <w:spacing w:val="-3"/>
        </w:rPr>
        <w:t> </w:t>
      </w:r>
      <w:r>
        <w:rPr/>
        <w:t>classified</w:t>
      </w:r>
      <w:r>
        <w:rPr>
          <w:spacing w:val="-3"/>
        </w:rPr>
        <w:t> </w:t>
      </w:r>
      <w:r>
        <w:rPr/>
        <w:t>as</w:t>
      </w:r>
      <w:r>
        <w:rPr>
          <w:spacing w:val="-3"/>
        </w:rPr>
        <w:t> </w:t>
      </w:r>
      <w:r>
        <w:rPr/>
        <w:t>“endangered,”</w:t>
      </w:r>
      <w:r>
        <w:rPr>
          <w:spacing w:val="-3"/>
        </w:rPr>
        <w:t> </w:t>
      </w:r>
      <w:r>
        <w:rPr/>
        <w:t>“seriously</w:t>
      </w:r>
      <w:r>
        <w:rPr>
          <w:spacing w:val="-3"/>
        </w:rPr>
        <w:t> </w:t>
      </w:r>
      <w:r>
        <w:rPr/>
        <w:t>endangered,”</w:t>
      </w:r>
      <w:r>
        <w:rPr>
          <w:spacing w:val="-3"/>
        </w:rPr>
        <w:t> </w:t>
      </w:r>
      <w:r>
        <w:rPr/>
        <w:t>or</w:t>
      </w:r>
      <w:r>
        <w:rPr>
          <w:spacing w:val="-3"/>
        </w:rPr>
        <w:t> </w:t>
      </w:r>
      <w:r>
        <w:rPr/>
        <w:t>“critical”</w:t>
      </w:r>
      <w:r>
        <w:rPr>
          <w:spacing w:val="-3"/>
        </w:rPr>
        <w:t> </w:t>
      </w:r>
      <w:r>
        <w:rPr/>
        <w:t>status.</w:t>
      </w:r>
      <w:r>
        <w:rPr>
          <w:spacing w:val="-3"/>
        </w:rPr>
        <w:t> </w:t>
      </w:r>
      <w:r>
        <w:rPr/>
        <w:t>For</w:t>
      </w:r>
      <w:r>
        <w:rPr>
          <w:spacing w:val="-3"/>
        </w:rPr>
        <w:t> </w:t>
      </w:r>
      <w:r>
        <w:rPr/>
        <w:t>instance,</w:t>
      </w:r>
      <w:r>
        <w:rPr>
          <w:spacing w:val="-3"/>
        </w:rPr>
        <w:t> </w:t>
      </w:r>
      <w:r>
        <w:rPr/>
        <w:t>Borgata’s</w:t>
      </w:r>
      <w:r>
        <w:rPr>
          <w:spacing w:val="-3"/>
        </w:rPr>
        <w:t> </w:t>
      </w:r>
      <w:r>
        <w:rPr/>
        <w:t>most</w:t>
      </w:r>
      <w:r>
        <w:rPr>
          <w:spacing w:val="-3"/>
        </w:rPr>
        <w:t> </w:t>
      </w:r>
      <w:r>
        <w:rPr/>
        <w:t>significant</w:t>
      </w:r>
      <w:r>
        <w:rPr>
          <w:spacing w:val="-3"/>
        </w:rPr>
        <w:t> </w:t>
      </w:r>
      <w:r>
        <w:rPr/>
        <w:t>plan</w:t>
      </w:r>
      <w:r>
        <w:rPr>
          <w:spacing w:val="-3"/>
        </w:rPr>
        <w:t> </w:t>
      </w:r>
      <w:r>
        <w:rPr/>
        <w:t>is the Legacy Plan of the UNITE HERE Retirement Fund, which has been listed in “critical status” and is subject to a rehabilitation plan. Plans in these classifications must adopt measures to improve their funded status through a funding improvement or rehabilitation plan, which may require additional contributions from employers (which may take the form of a surcharge on benefit</w:t>
      </w:r>
    </w:p>
    <w:p>
      <w:pPr>
        <w:pStyle w:val="BodyText"/>
      </w:pPr>
    </w:p>
    <w:p>
      <w:pPr>
        <w:pStyle w:val="BodyText"/>
        <w:spacing w:before="194"/>
      </w:pPr>
    </w:p>
    <w:p>
      <w:pPr>
        <w:pStyle w:val="BodyText"/>
        <w:ind w:left="24"/>
        <w:jc w:val="center"/>
      </w:pPr>
      <w:r>
        <w:rPr>
          <w:spacing w:val="-5"/>
        </w:rPr>
        <w:t>21</w:t>
      </w:r>
    </w:p>
    <w:p>
      <w:pPr>
        <w:pStyle w:val="BodyText"/>
        <w:spacing w:before="3"/>
        <w:rPr>
          <w:sz w:val="6"/>
        </w:rPr>
      </w:pPr>
      <w:r>
        <w:rPr/>
        <mc:AlternateContent>
          <mc:Choice Requires="wps">
            <w:drawing>
              <wp:anchor distT="0" distB="0" distL="0" distR="0" allowOverlap="1" layoutInCell="1" locked="0" behindDoc="1" simplePos="0" relativeHeight="487604736">
                <wp:simplePos x="0" y="0"/>
                <wp:positionH relativeFrom="page">
                  <wp:posOffset>231457</wp:posOffset>
                </wp:positionH>
                <wp:positionV relativeFrom="paragraph">
                  <wp:posOffset>60956</wp:posOffset>
                </wp:positionV>
                <wp:extent cx="7312659" cy="1714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7312659" cy="17145"/>
                          <a:chExt cx="7312659" cy="17145"/>
                        </a:xfrm>
                      </wpg:grpSpPr>
                      <wps:wsp>
                        <wps:cNvPr id="106" name="Graphic 1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7" name="Graphic 107"/>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8" name="Graphic 1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1744;mso-wrap-distance-left:0;mso-wrap-distance-right:0" id="docshapegroup104" coordorigin="364,96" coordsize="11516,27">
                <v:rect style="position:absolute;left:364;top:96;width:11516;height:14" id="docshape105" filled="true" fillcolor="#999999" stroked="false">
                  <v:fill type="solid"/>
                </v:rect>
                <v:shape style="position:absolute;left:364;top:96;width:11516;height:27" id="docshape106" coordorigin="364,96" coordsize="11516,27" path="m11880,96l11866,110,364,110,364,123,11866,123,11880,123,11880,110,11880,96xe" filled="true" fillcolor="#ededed" stroked="false">
                  <v:path arrowok="t"/>
                  <v:fill type="solid"/>
                </v:shape>
                <v:shape style="position:absolute;left:364;top:96;width:14;height:27" id="docshape10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BodyText"/>
        <w:spacing w:line="242" w:lineRule="auto" w:before="69"/>
        <w:ind w:left="144" w:right="118"/>
        <w:jc w:val="both"/>
      </w:pPr>
      <w:r>
        <w:rPr/>
        <w:t>contributions) and/or modifications to retiree benefits. In addition, while Borgata has no current intention to withdraw from these plans, a withdrawal in the future could result in the incurrence of a contingent liability that would be payable in an amount and at such time (or over a period of time) that would vary based on a number of factors at the time of (and after) withdrawal.</w:t>
      </w:r>
      <w:r>
        <w:rPr>
          <w:spacing w:val="-4"/>
        </w:rPr>
        <w:t> </w:t>
      </w:r>
      <w:r>
        <w:rPr/>
        <w:t>Any such additional costs may be significant.</w:t>
      </w:r>
    </w:p>
    <w:p>
      <w:pPr>
        <w:pStyle w:val="BodyText"/>
        <w:spacing w:before="3"/>
      </w:pPr>
    </w:p>
    <w:p>
      <w:pPr>
        <w:spacing w:line="240" w:lineRule="auto" w:before="0"/>
        <w:ind w:left="144" w:right="117" w:firstLine="499"/>
        <w:jc w:val="both"/>
        <w:rPr>
          <w:sz w:val="18"/>
        </w:rPr>
      </w:pPr>
      <w:r>
        <w:rPr>
          <w:b/>
          <w:i/>
          <w:sz w:val="18"/>
        </w:rPr>
        <w:t>Our business is particularly sensitive to energy prices and a rise in energy prices could harm our operating results</w:t>
      </w:r>
      <w:r>
        <w:rPr>
          <w:b/>
          <w:sz w:val="18"/>
        </w:rPr>
        <w:t>. </w:t>
      </w:r>
      <w:r>
        <w:rPr>
          <w:sz w:val="18"/>
        </w:rPr>
        <w:t>We are a large consumer of electricity and other energy and, therefore, higher energy prices may have an adverse effect on our results of operations.</w:t>
      </w:r>
      <w:r>
        <w:rPr>
          <w:spacing w:val="-9"/>
          <w:sz w:val="18"/>
        </w:rPr>
        <w:t> </w:t>
      </w:r>
      <w:r>
        <w:rPr>
          <w:sz w:val="18"/>
        </w:rPr>
        <w:t>Accordingly, increases in energy </w:t>
      </w:r>
      <w:r>
        <w:rPr>
          <w:sz w:val="18"/>
        </w:rPr>
        <w:t>costs may have a negative impact on our operating results. Additionally, higher electricity and gasoline prices that affect our customers may result in reduced visitation to our resorts and a reduction in our revenues.</w:t>
      </w:r>
    </w:p>
    <w:p>
      <w:pPr>
        <w:pStyle w:val="BodyText"/>
        <w:spacing w:before="18"/>
      </w:pPr>
    </w:p>
    <w:p>
      <w:pPr>
        <w:spacing w:line="240" w:lineRule="auto" w:before="0"/>
        <w:ind w:left="144" w:right="118" w:firstLine="499"/>
        <w:jc w:val="both"/>
        <w:rPr>
          <w:sz w:val="18"/>
        </w:rPr>
      </w:pPr>
      <w:r>
        <w:rPr>
          <w:b/>
          <w:i/>
          <w:sz w:val="18"/>
        </w:rPr>
        <w:t>We may seek to expand through investments in other businesses and properties or through alliances or acquisitions, and we may also seek to divest some of our properties and other assets, any of which may be unsuccessful</w:t>
      </w:r>
      <w:r>
        <w:rPr>
          <w:b/>
          <w:sz w:val="18"/>
        </w:rPr>
        <w:t>. </w:t>
      </w:r>
      <w:r>
        <w:rPr>
          <w:sz w:val="18"/>
        </w:rPr>
        <w:t>We intend to consider strategic and complementary acquisitions and </w:t>
      </w:r>
      <w:r>
        <w:rPr>
          <w:sz w:val="18"/>
        </w:rPr>
        <w:t>investments in other businesses, properties or other assets. Furthermore, we may pursue any of these opportunities in alliance with third parties. Acquisitions and investments in businesses, properties or assets, as well as these alliances, are subject to risks that could affect our business, including risks related to:</w:t>
      </w:r>
    </w:p>
    <w:p>
      <w:pPr>
        <w:pStyle w:val="BodyText"/>
        <w:spacing w:before="4"/>
      </w:pPr>
    </w:p>
    <w:p>
      <w:pPr>
        <w:pStyle w:val="ListParagraph"/>
        <w:numPr>
          <w:ilvl w:val="0"/>
          <w:numId w:val="3"/>
        </w:numPr>
        <w:tabs>
          <w:tab w:pos="792" w:val="left" w:leader="none"/>
        </w:tabs>
        <w:spacing w:line="205" w:lineRule="exact" w:before="1" w:after="0"/>
        <w:ind w:left="792" w:right="0" w:hanging="324"/>
        <w:jc w:val="left"/>
        <w:rPr>
          <w:sz w:val="18"/>
        </w:rPr>
      </w:pPr>
      <w:r>
        <w:rPr>
          <w:sz w:val="18"/>
        </w:rPr>
        <w:t>spending</w:t>
      </w:r>
      <w:r>
        <w:rPr>
          <w:spacing w:val="-1"/>
          <w:sz w:val="18"/>
        </w:rPr>
        <w:t> </w:t>
      </w:r>
      <w:r>
        <w:rPr>
          <w:sz w:val="18"/>
        </w:rPr>
        <w:t>cash</w:t>
      </w:r>
      <w:r>
        <w:rPr>
          <w:spacing w:val="-1"/>
          <w:sz w:val="18"/>
        </w:rPr>
        <w:t> </w:t>
      </w:r>
      <w:r>
        <w:rPr>
          <w:sz w:val="18"/>
        </w:rPr>
        <w:t>and</w:t>
      </w:r>
      <w:r>
        <w:rPr>
          <w:spacing w:val="-1"/>
          <w:sz w:val="18"/>
        </w:rPr>
        <w:t> </w:t>
      </w:r>
      <w:r>
        <w:rPr>
          <w:sz w:val="18"/>
        </w:rPr>
        <w:t>incurring</w:t>
      </w:r>
      <w:r>
        <w:rPr>
          <w:spacing w:val="-1"/>
          <w:sz w:val="18"/>
        </w:rPr>
        <w:t> </w:t>
      </w:r>
      <w:r>
        <w:rPr>
          <w:spacing w:val="-2"/>
          <w:sz w:val="18"/>
        </w:rPr>
        <w:t>debt;</w:t>
      </w:r>
    </w:p>
    <w:p>
      <w:pPr>
        <w:pStyle w:val="ListParagraph"/>
        <w:numPr>
          <w:ilvl w:val="0"/>
          <w:numId w:val="3"/>
        </w:numPr>
        <w:tabs>
          <w:tab w:pos="792" w:val="left" w:leader="none"/>
        </w:tabs>
        <w:spacing w:line="205" w:lineRule="exact" w:before="0" w:after="0"/>
        <w:ind w:left="792" w:right="0" w:hanging="324"/>
        <w:jc w:val="left"/>
        <w:rPr>
          <w:sz w:val="18"/>
        </w:rPr>
      </w:pPr>
      <w:r>
        <w:rPr>
          <w:sz w:val="18"/>
        </w:rPr>
        <w:t>assuming</w:t>
      </w:r>
      <w:r>
        <w:rPr>
          <w:spacing w:val="-1"/>
          <w:sz w:val="18"/>
        </w:rPr>
        <w:t> </w:t>
      </w:r>
      <w:r>
        <w:rPr>
          <w:sz w:val="18"/>
        </w:rPr>
        <w:t>contingent</w:t>
      </w:r>
      <w:r>
        <w:rPr>
          <w:spacing w:val="-1"/>
          <w:sz w:val="18"/>
        </w:rPr>
        <w:t> </w:t>
      </w:r>
      <w:r>
        <w:rPr>
          <w:spacing w:val="-2"/>
          <w:sz w:val="18"/>
        </w:rPr>
        <w:t>liabilities;</w:t>
      </w:r>
    </w:p>
    <w:p>
      <w:pPr>
        <w:pStyle w:val="ListParagraph"/>
        <w:numPr>
          <w:ilvl w:val="0"/>
          <w:numId w:val="3"/>
        </w:numPr>
        <w:tabs>
          <w:tab w:pos="792" w:val="left" w:leader="none"/>
        </w:tabs>
        <w:spacing w:line="205" w:lineRule="exact" w:before="9" w:after="0"/>
        <w:ind w:left="792" w:right="0" w:hanging="324"/>
        <w:jc w:val="left"/>
        <w:rPr>
          <w:sz w:val="18"/>
        </w:rPr>
      </w:pPr>
      <w:r>
        <w:rPr>
          <w:sz w:val="18"/>
        </w:rPr>
        <w:t>unanticipated</w:t>
      </w:r>
      <w:r>
        <w:rPr>
          <w:spacing w:val="-1"/>
          <w:sz w:val="18"/>
        </w:rPr>
        <w:t> </w:t>
      </w:r>
      <w:r>
        <w:rPr>
          <w:sz w:val="18"/>
        </w:rPr>
        <w:t>issues</w:t>
      </w:r>
      <w:r>
        <w:rPr>
          <w:spacing w:val="-1"/>
          <w:sz w:val="18"/>
        </w:rPr>
        <w:t> </w:t>
      </w:r>
      <w:r>
        <w:rPr>
          <w:sz w:val="18"/>
        </w:rPr>
        <w:t>in</w:t>
      </w:r>
      <w:r>
        <w:rPr>
          <w:spacing w:val="-1"/>
          <w:sz w:val="18"/>
        </w:rPr>
        <w:t> </w:t>
      </w:r>
      <w:r>
        <w:rPr>
          <w:sz w:val="18"/>
        </w:rPr>
        <w:t>integrating</w:t>
      </w:r>
      <w:r>
        <w:rPr>
          <w:spacing w:val="-1"/>
          <w:sz w:val="18"/>
        </w:rPr>
        <w:t> </w:t>
      </w:r>
      <w:r>
        <w:rPr>
          <w:sz w:val="18"/>
        </w:rPr>
        <w:t>information,</w:t>
      </w:r>
      <w:r>
        <w:rPr>
          <w:spacing w:val="-1"/>
          <w:sz w:val="18"/>
        </w:rPr>
        <w:t> </w:t>
      </w:r>
      <w:r>
        <w:rPr>
          <w:sz w:val="18"/>
        </w:rPr>
        <w:t>communications</w:t>
      </w:r>
      <w:r>
        <w:rPr>
          <w:spacing w:val="-1"/>
          <w:sz w:val="18"/>
        </w:rPr>
        <w:t> </w:t>
      </w:r>
      <w:r>
        <w:rPr>
          <w:sz w:val="18"/>
        </w:rPr>
        <w:t>and</w:t>
      </w:r>
      <w:r>
        <w:rPr>
          <w:spacing w:val="-1"/>
          <w:sz w:val="18"/>
        </w:rPr>
        <w:t> </w:t>
      </w:r>
      <w:r>
        <w:rPr>
          <w:sz w:val="18"/>
        </w:rPr>
        <w:t>other</w:t>
      </w:r>
      <w:r>
        <w:rPr>
          <w:spacing w:val="-1"/>
          <w:sz w:val="18"/>
        </w:rPr>
        <w:t> </w:t>
      </w:r>
      <w:r>
        <w:rPr>
          <w:spacing w:val="-2"/>
          <w:sz w:val="18"/>
        </w:rPr>
        <w:t>systems;</w:t>
      </w:r>
    </w:p>
    <w:p>
      <w:pPr>
        <w:pStyle w:val="ListParagraph"/>
        <w:numPr>
          <w:ilvl w:val="0"/>
          <w:numId w:val="3"/>
        </w:numPr>
        <w:tabs>
          <w:tab w:pos="792" w:val="left" w:leader="none"/>
        </w:tabs>
        <w:spacing w:line="203" w:lineRule="exact" w:before="0" w:after="0"/>
        <w:ind w:left="792" w:right="0" w:hanging="324"/>
        <w:jc w:val="left"/>
        <w:rPr>
          <w:sz w:val="18"/>
        </w:rPr>
      </w:pPr>
      <w:r>
        <w:rPr>
          <w:sz w:val="18"/>
        </w:rPr>
        <w:t>unanticipated</w:t>
      </w:r>
      <w:r>
        <w:rPr>
          <w:spacing w:val="-1"/>
          <w:sz w:val="18"/>
        </w:rPr>
        <w:t> </w:t>
      </w:r>
      <w:r>
        <w:rPr>
          <w:sz w:val="18"/>
        </w:rPr>
        <w:t>incompatibility</w:t>
      </w:r>
      <w:r>
        <w:rPr>
          <w:spacing w:val="-1"/>
          <w:sz w:val="18"/>
        </w:rPr>
        <w:t> </w:t>
      </w:r>
      <w:r>
        <w:rPr>
          <w:sz w:val="18"/>
        </w:rPr>
        <w:t>of</w:t>
      </w:r>
      <w:r>
        <w:rPr>
          <w:spacing w:val="-1"/>
          <w:sz w:val="18"/>
        </w:rPr>
        <w:t> </w:t>
      </w:r>
      <w:r>
        <w:rPr>
          <w:sz w:val="18"/>
        </w:rPr>
        <w:t>purchasing,</w:t>
      </w:r>
      <w:r>
        <w:rPr>
          <w:spacing w:val="-1"/>
          <w:sz w:val="18"/>
        </w:rPr>
        <w:t> </w:t>
      </w:r>
      <w:r>
        <w:rPr>
          <w:sz w:val="18"/>
        </w:rPr>
        <w:t>logistics,</w:t>
      </w:r>
      <w:r>
        <w:rPr>
          <w:spacing w:val="-1"/>
          <w:sz w:val="18"/>
        </w:rPr>
        <w:t> </w:t>
      </w:r>
      <w:r>
        <w:rPr>
          <w:sz w:val="18"/>
        </w:rPr>
        <w:t>marketing</w:t>
      </w:r>
      <w:r>
        <w:rPr>
          <w:spacing w:val="-1"/>
          <w:sz w:val="18"/>
        </w:rPr>
        <w:t> </w:t>
      </w:r>
      <w:r>
        <w:rPr>
          <w:sz w:val="18"/>
        </w:rPr>
        <w:t>and</w:t>
      </w:r>
      <w:r>
        <w:rPr>
          <w:spacing w:val="-1"/>
          <w:sz w:val="18"/>
        </w:rPr>
        <w:t> </w:t>
      </w:r>
      <w:r>
        <w:rPr>
          <w:sz w:val="18"/>
        </w:rPr>
        <w:t>administration</w:t>
      </w:r>
      <w:r>
        <w:rPr>
          <w:spacing w:val="-1"/>
          <w:sz w:val="18"/>
        </w:rPr>
        <w:t> </w:t>
      </w:r>
      <w:r>
        <w:rPr>
          <w:spacing w:val="-2"/>
          <w:sz w:val="18"/>
        </w:rPr>
        <w:t>methods;</w:t>
      </w:r>
    </w:p>
    <w:p>
      <w:pPr>
        <w:pStyle w:val="ListParagraph"/>
        <w:numPr>
          <w:ilvl w:val="0"/>
          <w:numId w:val="3"/>
        </w:numPr>
        <w:tabs>
          <w:tab w:pos="792" w:val="left" w:leader="none"/>
        </w:tabs>
        <w:spacing w:line="205" w:lineRule="exact" w:before="0" w:after="0"/>
        <w:ind w:left="792" w:right="0" w:hanging="324"/>
        <w:jc w:val="left"/>
        <w:rPr>
          <w:sz w:val="18"/>
        </w:rPr>
      </w:pPr>
      <w:r>
        <w:rPr>
          <w:sz w:val="18"/>
        </w:rPr>
        <w:t>retaining</w:t>
      </w:r>
      <w:r>
        <w:rPr>
          <w:spacing w:val="-1"/>
          <w:sz w:val="18"/>
        </w:rPr>
        <w:t> </w:t>
      </w:r>
      <w:r>
        <w:rPr>
          <w:sz w:val="18"/>
        </w:rPr>
        <w:t>key</w:t>
      </w:r>
      <w:r>
        <w:rPr>
          <w:spacing w:val="-1"/>
          <w:sz w:val="18"/>
        </w:rPr>
        <w:t> </w:t>
      </w:r>
      <w:r>
        <w:rPr>
          <w:sz w:val="18"/>
        </w:rPr>
        <w:t>employees;</w:t>
      </w:r>
      <w:r>
        <w:rPr>
          <w:spacing w:val="-1"/>
          <w:sz w:val="18"/>
        </w:rPr>
        <w:t> </w:t>
      </w:r>
      <w:r>
        <w:rPr>
          <w:spacing w:val="-5"/>
          <w:sz w:val="18"/>
        </w:rPr>
        <w:t>and</w:t>
      </w:r>
    </w:p>
    <w:p>
      <w:pPr>
        <w:pStyle w:val="ListParagraph"/>
        <w:numPr>
          <w:ilvl w:val="0"/>
          <w:numId w:val="3"/>
        </w:numPr>
        <w:tabs>
          <w:tab w:pos="792" w:val="left" w:leader="none"/>
        </w:tabs>
        <w:spacing w:line="240" w:lineRule="auto" w:before="9" w:after="0"/>
        <w:ind w:left="792" w:right="0" w:hanging="324"/>
        <w:jc w:val="left"/>
        <w:rPr>
          <w:sz w:val="18"/>
        </w:rPr>
      </w:pPr>
      <w:r>
        <w:rPr>
          <w:sz w:val="18"/>
        </w:rPr>
        <w:t>consolidating</w:t>
      </w:r>
      <w:r>
        <w:rPr>
          <w:spacing w:val="-1"/>
          <w:sz w:val="18"/>
        </w:rPr>
        <w:t> </w:t>
      </w:r>
      <w:r>
        <w:rPr>
          <w:sz w:val="18"/>
        </w:rPr>
        <w:t>corporate</w:t>
      </w:r>
      <w:r>
        <w:rPr>
          <w:spacing w:val="-1"/>
          <w:sz w:val="18"/>
        </w:rPr>
        <w:t> </w:t>
      </w:r>
      <w:r>
        <w:rPr>
          <w:sz w:val="18"/>
        </w:rPr>
        <w:t>and</w:t>
      </w:r>
      <w:r>
        <w:rPr>
          <w:spacing w:val="-1"/>
          <w:sz w:val="18"/>
        </w:rPr>
        <w:t> </w:t>
      </w:r>
      <w:r>
        <w:rPr>
          <w:sz w:val="18"/>
        </w:rPr>
        <w:t>administrative</w:t>
      </w:r>
      <w:r>
        <w:rPr>
          <w:spacing w:val="-1"/>
          <w:sz w:val="18"/>
        </w:rPr>
        <w:t> </w:t>
      </w:r>
      <w:r>
        <w:rPr>
          <w:spacing w:val="-2"/>
          <w:sz w:val="18"/>
        </w:rPr>
        <w:t>infrastructures.</w:t>
      </w:r>
    </w:p>
    <w:p>
      <w:pPr>
        <w:pStyle w:val="BodyText"/>
        <w:spacing w:before="4"/>
      </w:pPr>
    </w:p>
    <w:p>
      <w:pPr>
        <w:pStyle w:val="BodyText"/>
        <w:ind w:left="144" w:right="118" w:firstLine="499"/>
        <w:jc w:val="both"/>
      </w:pPr>
      <w:r>
        <w:rPr/>
        <w:t>We cannot assure you that we will be able to identify opportunities or complete transactions on commercially reasonable terms or at all. In </w:t>
      </w:r>
      <w:r>
        <w:rPr/>
        <w:t>addition,</w:t>
      </w:r>
      <w:r>
        <w:rPr>
          <w:spacing w:val="40"/>
        </w:rPr>
        <w:t> </w:t>
      </w:r>
      <w:r>
        <w:rPr/>
        <w:t>even if we are able to identify any such opportunities and complete transactions, we cannot assure you that we will realize the anticipated synergies and</w:t>
      </w:r>
      <w:r>
        <w:rPr>
          <w:spacing w:val="40"/>
        </w:rPr>
        <w:t> </w:t>
      </w:r>
      <w:r>
        <w:rPr/>
        <w:t>benefits of our acquisitions or that they will be accretive to our results of operations. Our estimates and assumptions regarding expected synergies and benefits of our acquisitions could materially change, including as a result of factors beyond our control, and could delay, decrease or eliminate the expected accretive effect of the acquisitions. In addition, even if we are able to successfully integrate new assets and businesses, the integration of such assets and businesses may result in unanticipated costs, competitive responses, loss of customer or other business relationships and the diversion of management attention, and the expansion of our operations in general, whether through acquisition, development or internal growth, could also cause us to incur substantial costs, including legal, professional and consulting fees.</w:t>
      </w:r>
    </w:p>
    <w:p>
      <w:pPr>
        <w:pStyle w:val="BodyText"/>
        <w:spacing w:before="14"/>
      </w:pPr>
    </w:p>
    <w:p>
      <w:pPr>
        <w:pStyle w:val="BodyText"/>
        <w:ind w:left="144" w:right="118" w:firstLine="499"/>
        <w:jc w:val="both"/>
      </w:pPr>
      <w:r>
        <w:rPr/>
        <w:t>In addition, we periodically review our business to identify properties or other assets that we believe either are non-core, no longer complement our business,</w:t>
      </w:r>
      <w:r>
        <w:rPr>
          <w:spacing w:val="-2"/>
        </w:rPr>
        <w:t> </w:t>
      </w:r>
      <w:r>
        <w:rPr/>
        <w:t>are</w:t>
      </w:r>
      <w:r>
        <w:rPr>
          <w:spacing w:val="-2"/>
        </w:rPr>
        <w:t> </w:t>
      </w:r>
      <w:r>
        <w:rPr/>
        <w:t>in</w:t>
      </w:r>
      <w:r>
        <w:rPr>
          <w:spacing w:val="-2"/>
        </w:rPr>
        <w:t> </w:t>
      </w:r>
      <w:r>
        <w:rPr/>
        <w:t>markets</w:t>
      </w:r>
      <w:r>
        <w:rPr>
          <w:spacing w:val="-2"/>
        </w:rPr>
        <w:t> </w:t>
      </w:r>
      <w:r>
        <w:rPr/>
        <w:t>which</w:t>
      </w:r>
      <w:r>
        <w:rPr>
          <w:spacing w:val="-2"/>
        </w:rPr>
        <w:t> </w:t>
      </w:r>
      <w:r>
        <w:rPr/>
        <w:t>may</w:t>
      </w:r>
      <w:r>
        <w:rPr>
          <w:spacing w:val="-2"/>
        </w:rPr>
        <w:t> </w:t>
      </w:r>
      <w:r>
        <w:rPr/>
        <w:t>not</w:t>
      </w:r>
      <w:r>
        <w:rPr>
          <w:spacing w:val="-2"/>
        </w:rPr>
        <w:t> </w:t>
      </w:r>
      <w:r>
        <w:rPr/>
        <w:t>benefit</w:t>
      </w:r>
      <w:r>
        <w:rPr>
          <w:spacing w:val="-2"/>
        </w:rPr>
        <w:t> </w:t>
      </w:r>
      <w:r>
        <w:rPr/>
        <w:t>us</w:t>
      </w:r>
      <w:r>
        <w:rPr>
          <w:spacing w:val="-2"/>
        </w:rPr>
        <w:t> </w:t>
      </w:r>
      <w:r>
        <w:rPr/>
        <w:t>as</w:t>
      </w:r>
      <w:r>
        <w:rPr>
          <w:spacing w:val="-2"/>
        </w:rPr>
        <w:t> </w:t>
      </w:r>
      <w:r>
        <w:rPr/>
        <w:t>much</w:t>
      </w:r>
      <w:r>
        <w:rPr>
          <w:spacing w:val="-2"/>
        </w:rPr>
        <w:t> </w:t>
      </w:r>
      <w:r>
        <w:rPr/>
        <w:t>as</w:t>
      </w:r>
      <w:r>
        <w:rPr>
          <w:spacing w:val="-2"/>
        </w:rPr>
        <w:t> </w:t>
      </w:r>
      <w:r>
        <w:rPr/>
        <w:t>other</w:t>
      </w:r>
      <w:r>
        <w:rPr>
          <w:spacing w:val="-2"/>
        </w:rPr>
        <w:t> </w:t>
      </w:r>
      <w:r>
        <w:rPr/>
        <w:t>markets</w:t>
      </w:r>
      <w:r>
        <w:rPr>
          <w:spacing w:val="-2"/>
        </w:rPr>
        <w:t> </w:t>
      </w:r>
      <w:r>
        <w:rPr/>
        <w:t>or</w:t>
      </w:r>
      <w:r>
        <w:rPr>
          <w:spacing w:val="-2"/>
        </w:rPr>
        <w:t> </w:t>
      </w:r>
      <w:r>
        <w:rPr/>
        <w:t>could</w:t>
      </w:r>
      <w:r>
        <w:rPr>
          <w:spacing w:val="-2"/>
        </w:rPr>
        <w:t> </w:t>
      </w:r>
      <w:r>
        <w:rPr/>
        <w:t>be</w:t>
      </w:r>
      <w:r>
        <w:rPr>
          <w:spacing w:val="-2"/>
        </w:rPr>
        <w:t> </w:t>
      </w:r>
      <w:r>
        <w:rPr/>
        <w:t>sold</w:t>
      </w:r>
      <w:r>
        <w:rPr>
          <w:spacing w:val="-2"/>
        </w:rPr>
        <w:t> </w:t>
      </w:r>
      <w:r>
        <w:rPr/>
        <w:t>at</w:t>
      </w:r>
      <w:r>
        <w:rPr>
          <w:spacing w:val="-2"/>
        </w:rPr>
        <w:t> </w:t>
      </w:r>
      <w:r>
        <w:rPr/>
        <w:t>significant</w:t>
      </w:r>
      <w:r>
        <w:rPr>
          <w:spacing w:val="-2"/>
        </w:rPr>
        <w:t> </w:t>
      </w:r>
      <w:r>
        <w:rPr/>
        <w:t>premiums.</w:t>
      </w:r>
      <w:r>
        <w:rPr>
          <w:spacing w:val="-2"/>
        </w:rPr>
        <w:t> </w:t>
      </w:r>
      <w:r>
        <w:rPr/>
        <w:t>From</w:t>
      </w:r>
      <w:r>
        <w:rPr>
          <w:spacing w:val="-2"/>
        </w:rPr>
        <w:t> </w:t>
      </w:r>
      <w:r>
        <w:rPr/>
        <w:t>time</w:t>
      </w:r>
      <w:r>
        <w:rPr>
          <w:spacing w:val="-2"/>
        </w:rPr>
        <w:t> </w:t>
      </w:r>
      <w:r>
        <w:rPr/>
        <w:t>to</w:t>
      </w:r>
      <w:r>
        <w:rPr>
          <w:spacing w:val="-2"/>
        </w:rPr>
        <w:t> </w:t>
      </w:r>
      <w:r>
        <w:rPr/>
        <w:t>time,</w:t>
      </w:r>
      <w:r>
        <w:rPr>
          <w:spacing w:val="-2"/>
        </w:rPr>
        <w:t> </w:t>
      </w:r>
      <w:r>
        <w:rPr/>
        <w:t>we</w:t>
      </w:r>
      <w:r>
        <w:rPr>
          <w:spacing w:val="-2"/>
        </w:rPr>
        <w:t> </w:t>
      </w:r>
      <w:r>
        <w:rPr/>
        <w:t>may</w:t>
      </w:r>
      <w:r>
        <w:rPr>
          <w:spacing w:val="-2"/>
        </w:rPr>
        <w:t> </w:t>
      </w:r>
      <w:r>
        <w:rPr/>
        <w:t>attempt</w:t>
      </w:r>
      <w:r>
        <w:rPr>
          <w:spacing w:val="-2"/>
        </w:rPr>
        <w:t> </w:t>
      </w:r>
      <w:r>
        <w:rPr/>
        <w:t>to</w:t>
      </w:r>
      <w:r>
        <w:rPr>
          <w:spacing w:val="-2"/>
        </w:rPr>
        <w:t> </w:t>
      </w:r>
      <w:r>
        <w:rPr/>
        <w:t>sell these</w:t>
      </w:r>
      <w:r>
        <w:rPr>
          <w:spacing w:val="-2"/>
        </w:rPr>
        <w:t> </w:t>
      </w:r>
      <w:r>
        <w:rPr/>
        <w:t>identified</w:t>
      </w:r>
      <w:r>
        <w:rPr>
          <w:spacing w:val="-2"/>
        </w:rPr>
        <w:t> </w:t>
      </w:r>
      <w:r>
        <w:rPr/>
        <w:t>properties</w:t>
      </w:r>
      <w:r>
        <w:rPr>
          <w:spacing w:val="-2"/>
        </w:rPr>
        <w:t> </w:t>
      </w:r>
      <w:r>
        <w:rPr/>
        <w:t>and</w:t>
      </w:r>
      <w:r>
        <w:rPr>
          <w:spacing w:val="-2"/>
        </w:rPr>
        <w:t> </w:t>
      </w:r>
      <w:r>
        <w:rPr/>
        <w:t>assets.</w:t>
      </w:r>
      <w:r>
        <w:rPr>
          <w:spacing w:val="-5"/>
        </w:rPr>
        <w:t> </w:t>
      </w:r>
      <w:r>
        <w:rPr/>
        <w:t>There</w:t>
      </w:r>
      <w:r>
        <w:rPr>
          <w:spacing w:val="-2"/>
        </w:rPr>
        <w:t> </w:t>
      </w:r>
      <w:r>
        <w:rPr/>
        <w:t>can</w:t>
      </w:r>
      <w:r>
        <w:rPr>
          <w:spacing w:val="-2"/>
        </w:rPr>
        <w:t> </w:t>
      </w:r>
      <w:r>
        <w:rPr/>
        <w:t>be</w:t>
      </w:r>
      <w:r>
        <w:rPr>
          <w:spacing w:val="-2"/>
        </w:rPr>
        <w:t> </w:t>
      </w:r>
      <w:r>
        <w:rPr/>
        <w:t>no</w:t>
      </w:r>
      <w:r>
        <w:rPr>
          <w:spacing w:val="-2"/>
        </w:rPr>
        <w:t> </w:t>
      </w:r>
      <w:r>
        <w:rPr/>
        <w:t>assurance,</w:t>
      </w:r>
      <w:r>
        <w:rPr>
          <w:spacing w:val="-2"/>
        </w:rPr>
        <w:t> </w:t>
      </w:r>
      <w:r>
        <w:rPr/>
        <w:t>however,</w:t>
      </w:r>
      <w:r>
        <w:rPr>
          <w:spacing w:val="-2"/>
        </w:rPr>
        <w:t> </w:t>
      </w:r>
      <w:r>
        <w:rPr/>
        <w:t>that</w:t>
      </w:r>
      <w:r>
        <w:rPr>
          <w:spacing w:val="-2"/>
        </w:rPr>
        <w:t> </w:t>
      </w:r>
      <w:r>
        <w:rPr/>
        <w:t>we</w:t>
      </w:r>
      <w:r>
        <w:rPr>
          <w:spacing w:val="-2"/>
        </w:rPr>
        <w:t> </w:t>
      </w:r>
      <w:r>
        <w:rPr/>
        <w:t>will</w:t>
      </w:r>
      <w:r>
        <w:rPr>
          <w:spacing w:val="-2"/>
        </w:rPr>
        <w:t> </w:t>
      </w:r>
      <w:r>
        <w:rPr/>
        <w:t>be</w:t>
      </w:r>
      <w:r>
        <w:rPr>
          <w:spacing w:val="-2"/>
        </w:rPr>
        <w:t> </w:t>
      </w:r>
      <w:r>
        <w:rPr/>
        <w:t>able</w:t>
      </w:r>
      <w:r>
        <w:rPr>
          <w:spacing w:val="-2"/>
        </w:rPr>
        <w:t> </w:t>
      </w:r>
      <w:r>
        <w:rPr/>
        <w:t>to</w:t>
      </w:r>
      <w:r>
        <w:rPr>
          <w:spacing w:val="-2"/>
        </w:rPr>
        <w:t> </w:t>
      </w:r>
      <w:r>
        <w:rPr/>
        <w:t>complete</w:t>
      </w:r>
      <w:r>
        <w:rPr>
          <w:spacing w:val="-2"/>
        </w:rPr>
        <w:t> </w:t>
      </w:r>
      <w:r>
        <w:rPr/>
        <w:t>dispositions</w:t>
      </w:r>
      <w:r>
        <w:rPr>
          <w:spacing w:val="-2"/>
        </w:rPr>
        <w:t> </w:t>
      </w:r>
      <w:r>
        <w:rPr/>
        <w:t>on</w:t>
      </w:r>
      <w:r>
        <w:rPr>
          <w:spacing w:val="-2"/>
        </w:rPr>
        <w:t> </w:t>
      </w:r>
      <w:r>
        <w:rPr/>
        <w:t>commercially</w:t>
      </w:r>
      <w:r>
        <w:rPr>
          <w:spacing w:val="-2"/>
        </w:rPr>
        <w:t> </w:t>
      </w:r>
      <w:r>
        <w:rPr/>
        <w:t>reasonable</w:t>
      </w:r>
      <w:r>
        <w:rPr>
          <w:spacing w:val="-2"/>
        </w:rPr>
        <w:t> </w:t>
      </w:r>
      <w:r>
        <w:rPr/>
        <w:t>terms</w:t>
      </w:r>
      <w:r>
        <w:rPr>
          <w:spacing w:val="-2"/>
        </w:rPr>
        <w:t> </w:t>
      </w:r>
      <w:r>
        <w:rPr/>
        <w:t>or</w:t>
      </w:r>
      <w:r>
        <w:rPr>
          <w:spacing w:val="-2"/>
        </w:rPr>
        <w:t> </w:t>
      </w:r>
      <w:r>
        <w:rPr/>
        <w:t>at </w:t>
      </w:r>
      <w:r>
        <w:rPr>
          <w:spacing w:val="-4"/>
        </w:rPr>
        <w:t>all.</w:t>
      </w:r>
    </w:p>
    <w:p>
      <w:pPr>
        <w:pStyle w:val="BodyText"/>
        <w:spacing w:line="232" w:lineRule="auto" w:before="203"/>
        <w:ind w:left="144" w:right="118" w:firstLine="499"/>
        <w:jc w:val="both"/>
      </w:pPr>
      <w:r>
        <w:rPr>
          <w:b/>
          <w:i/>
        </w:rPr>
        <w:t>The failure to maintain the integrity of our computer systems and customer information could result in damage to our reputation and/or subject us</w:t>
      </w:r>
      <w:r>
        <w:rPr>
          <w:b/>
          <w:i/>
          <w:spacing w:val="40"/>
        </w:rPr>
        <w:t> </w:t>
      </w:r>
      <w:r>
        <w:rPr>
          <w:b/>
          <w:i/>
        </w:rPr>
        <w:t>to fines, payment of damages, lawsuits and restrictions on our use of data. </w:t>
      </w:r>
      <w:r>
        <w:rPr/>
        <w:t>We collect and process information relating to our employees, guests, and others for various business purposes, including marketing and promotional purposes. The collection and use of personal data are governed by privacy laws and regulations enacted by the various states, the United States and other jurisdictions around the world. Privacy laws and regulations continue to evolve and on occasion may be inconsistent (or conflict) between jurisdictions. Various federal, state and foreign legislative or regulatory bodies may enact or adopt new or additional laws and regulations concerning privacy, data retention, data transfer, and data protection. For example, California enacted a comprehensive </w:t>
      </w:r>
      <w:r>
        <w:rPr/>
        <w:t>privacy law, known as the California Consumer Privacy</w:t>
      </w:r>
      <w:r>
        <w:rPr>
          <w:spacing w:val="-7"/>
        </w:rPr>
        <w:t> </w:t>
      </w:r>
      <w:r>
        <w:rPr/>
        <w:t>Act of 2018 (“CCPA”), which went into effect on January 1, 2020 and provides some of the strongest privacy requirements in the United States. The CCPA</w:t>
      </w:r>
      <w:r>
        <w:rPr>
          <w:spacing w:val="-3"/>
        </w:rPr>
        <w:t> </w:t>
      </w:r>
      <w:r>
        <w:rPr/>
        <w:t>was amended by the California Privacy Rights</w:t>
      </w:r>
      <w:r>
        <w:rPr>
          <w:spacing w:val="-3"/>
        </w:rPr>
        <w:t> </w:t>
      </w:r>
      <w:r>
        <w:rPr/>
        <w:t>Act with the changes going into effect in 2023. In addition, new privacy requirements will go into effect in 2023 in Colorado, Connecticut, Utah, and Virginia. Outside the United States, the European Union has adopted a data protection regulation known as the General Data Protection Regulation, which became fully enforceable in May 2018, that provides data subjects with significant privacy-related rights and imposes operational and compliance requirements on organizations with significant penalties for non-compliance. Other jurisdictions including Canada and China have also amended or adopted new privacy laws and/or requirements which often include similar requirements and obligations. There may be risks and uncertainties associated with these and other privacy laws and regulations including their interpretation and implementation, as well as the potential extraterritorial effect of certain privacy laws and regulations.</w:t>
      </w:r>
    </w:p>
    <w:p>
      <w:pPr>
        <w:pStyle w:val="BodyText"/>
      </w:pPr>
    </w:p>
    <w:p>
      <w:pPr>
        <w:pStyle w:val="BodyText"/>
      </w:pPr>
    </w:p>
    <w:p>
      <w:pPr>
        <w:pStyle w:val="BodyText"/>
      </w:pPr>
    </w:p>
    <w:p>
      <w:pPr>
        <w:pStyle w:val="BodyText"/>
        <w:spacing w:before="15"/>
      </w:pPr>
    </w:p>
    <w:p>
      <w:pPr>
        <w:pStyle w:val="BodyText"/>
        <w:ind w:left="24"/>
        <w:jc w:val="center"/>
      </w:pPr>
      <w:r>
        <w:rPr>
          <w:spacing w:val="-5"/>
        </w:rPr>
        <w:t>22</w:t>
      </w:r>
    </w:p>
    <w:p>
      <w:pPr>
        <w:pStyle w:val="BodyText"/>
        <w:spacing w:before="3"/>
        <w:rPr>
          <w:sz w:val="6"/>
        </w:rPr>
      </w:pPr>
      <w:r>
        <w:rPr/>
        <mc:AlternateContent>
          <mc:Choice Requires="wps">
            <w:drawing>
              <wp:anchor distT="0" distB="0" distL="0" distR="0" allowOverlap="1" layoutInCell="1" locked="0" behindDoc="1" simplePos="0" relativeHeight="487605248">
                <wp:simplePos x="0" y="0"/>
                <wp:positionH relativeFrom="page">
                  <wp:posOffset>231457</wp:posOffset>
                </wp:positionH>
                <wp:positionV relativeFrom="paragraph">
                  <wp:posOffset>61031</wp:posOffset>
                </wp:positionV>
                <wp:extent cx="7312659" cy="17145"/>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7312659" cy="17145"/>
                          <a:chExt cx="7312659" cy="17145"/>
                        </a:xfrm>
                      </wpg:grpSpPr>
                      <wps:wsp>
                        <wps:cNvPr id="110" name="Graphic 1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1" name="Graphic 111"/>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2" name="Graphic 1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5613pt;width:575.8pt;height:1.35pt;mso-position-horizontal-relative:page;mso-position-vertical-relative:paragraph;z-index:-15711232;mso-wrap-distance-left:0;mso-wrap-distance-right:0" id="docshapegroup108" coordorigin="364,96" coordsize="11516,27">
                <v:rect style="position:absolute;left:364;top:96;width:11516;height:14" id="docshape109" filled="true" fillcolor="#999999" stroked="false">
                  <v:fill type="solid"/>
                </v:rect>
                <v:shape style="position:absolute;left:364;top:96;width:11516;height:27" id="docshape110" coordorigin="364,96" coordsize="11516,27" path="m11880,96l11866,110,364,110,364,123,11866,123,11880,123,11880,110,11880,96xe" filled="true" fillcolor="#ededed" stroked="false">
                  <v:path arrowok="t"/>
                  <v:fill type="solid"/>
                </v:shape>
                <v:shape style="position:absolute;left:364;top:96;width:14;height:27" id="docshape111"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before="69"/>
        <w:ind w:left="144" w:right="118" w:firstLine="499"/>
        <w:jc w:val="both"/>
        <w:rPr>
          <w:i/>
        </w:rPr>
      </w:pPr>
      <w:r>
        <w:rPr/>
        <w:t>Compliance with applicable privacy laws and regulations may increase our operating costs and/or adversely impact our ability to market our products, properties and services to our guests. In addition, non-compliance with applicable privacy laws and regulations by us (or in some circumstances </w:t>
      </w:r>
      <w:r>
        <w:rPr/>
        <w:t>non- compliance by third parties engaged by us), including accidental loss, inadvertent disclosure, unapproved dissemination or a breach of security on systems storing our data may result in damage to our reputation and/or subject us to fines, payment of damages, lawsuits or restrictions on our use or transfer of data. We rely on proprietary and commercially available systems, software, and tools to provide security for processing of customer and employee information, such as payment card and other confidential or proprietary information. Our data security measures are reviewed and evaluated regularly; however, they might not protect us against increasingly sophisticated and aggressive threats. In addition, while we maintain cyber risk insurance to assist in the cost of recovery from a significant cyber event, such coverage may not be sufficient</w:t>
      </w:r>
      <w:r>
        <w:rPr>
          <w:i/>
          <w:color w:val="1F497D"/>
        </w:rPr>
        <w:t>.</w:t>
      </w:r>
    </w:p>
    <w:p>
      <w:pPr>
        <w:pStyle w:val="BodyText"/>
        <w:spacing w:before="15"/>
        <w:rPr>
          <w:i/>
        </w:rPr>
      </w:pPr>
    </w:p>
    <w:p>
      <w:pPr>
        <w:pStyle w:val="BodyText"/>
        <w:spacing w:line="237" w:lineRule="auto"/>
        <w:ind w:left="144" w:right="118" w:firstLine="499"/>
        <w:jc w:val="both"/>
      </w:pPr>
      <w:r>
        <w:rPr/>
        <w:t>We also rely extensively on computer systems to process transactions, maintain information and manage our businesses. Disruptions in the availability</w:t>
      </w:r>
      <w:r>
        <w:rPr>
          <w:spacing w:val="40"/>
        </w:rPr>
        <w:t> </w:t>
      </w:r>
      <w:r>
        <w:rPr/>
        <w:t>of our computer systems, through cyber-attacks or otherwise, could impact our ability to service our customers and adversely affect our sales and the results of operations. For instance, there has been an increase in criminal cyber security attacks against companies where customer and company information has </w:t>
      </w:r>
      <w:r>
        <w:rPr/>
        <w:t>been compromised and company data has been destroyed. Our information systems and data, including those we maintain with our third-party service providers, have been subject to cyber security breaches in the past and may be subject to cyber security breaches in the future. In addition, our third-party information system</w:t>
      </w:r>
      <w:r>
        <w:rPr>
          <w:spacing w:val="-2"/>
        </w:rPr>
        <w:t> </w:t>
      </w:r>
      <w:r>
        <w:rPr/>
        <w:t>service</w:t>
      </w:r>
      <w:r>
        <w:rPr>
          <w:spacing w:val="-1"/>
        </w:rPr>
        <w:t> </w:t>
      </w:r>
      <w:r>
        <w:rPr/>
        <w:t>providers</w:t>
      </w:r>
      <w:r>
        <w:rPr>
          <w:spacing w:val="-1"/>
        </w:rPr>
        <w:t> </w:t>
      </w:r>
      <w:r>
        <w:rPr/>
        <w:t>face</w:t>
      </w:r>
      <w:r>
        <w:rPr>
          <w:spacing w:val="-1"/>
        </w:rPr>
        <w:t> </w:t>
      </w:r>
      <w:r>
        <w:rPr/>
        <w:t>risks</w:t>
      </w:r>
      <w:r>
        <w:rPr>
          <w:spacing w:val="-1"/>
        </w:rPr>
        <w:t> </w:t>
      </w:r>
      <w:r>
        <w:rPr/>
        <w:t>relating</w:t>
      </w:r>
      <w:r>
        <w:rPr>
          <w:spacing w:val="-1"/>
        </w:rPr>
        <w:t> </w:t>
      </w:r>
      <w:r>
        <w:rPr/>
        <w:t>to</w:t>
      </w:r>
      <w:r>
        <w:rPr>
          <w:spacing w:val="-1"/>
        </w:rPr>
        <w:t> </w:t>
      </w:r>
      <w:r>
        <w:rPr/>
        <w:t>cyber</w:t>
      </w:r>
      <w:r>
        <w:rPr>
          <w:spacing w:val="-1"/>
        </w:rPr>
        <w:t> </w:t>
      </w:r>
      <w:r>
        <w:rPr/>
        <w:t>security</w:t>
      </w:r>
      <w:r>
        <w:rPr>
          <w:spacing w:val="-1"/>
        </w:rPr>
        <w:t> </w:t>
      </w:r>
      <w:r>
        <w:rPr/>
        <w:t>similar</w:t>
      </w:r>
      <w:r>
        <w:rPr>
          <w:spacing w:val="-1"/>
        </w:rPr>
        <w:t> </w:t>
      </w:r>
      <w:r>
        <w:rPr/>
        <w:t>to</w:t>
      </w:r>
      <w:r>
        <w:rPr>
          <w:spacing w:val="-1"/>
        </w:rPr>
        <w:t> </w:t>
      </w:r>
      <w:r>
        <w:rPr/>
        <w:t>ours,</w:t>
      </w:r>
      <w:r>
        <w:rPr>
          <w:spacing w:val="-1"/>
        </w:rPr>
        <w:t> </w:t>
      </w:r>
      <w:r>
        <w:rPr/>
        <w:t>and</w:t>
      </w:r>
      <w:r>
        <w:rPr>
          <w:spacing w:val="-1"/>
        </w:rPr>
        <w:t> </w:t>
      </w:r>
      <w:r>
        <w:rPr/>
        <w:t>we</w:t>
      </w:r>
      <w:r>
        <w:rPr>
          <w:spacing w:val="-1"/>
        </w:rPr>
        <w:t> </w:t>
      </w:r>
      <w:r>
        <w:rPr/>
        <w:t>do</w:t>
      </w:r>
      <w:r>
        <w:rPr>
          <w:spacing w:val="-1"/>
        </w:rPr>
        <w:t> </w:t>
      </w:r>
      <w:r>
        <w:rPr/>
        <w:t>not</w:t>
      </w:r>
      <w:r>
        <w:rPr>
          <w:spacing w:val="-1"/>
        </w:rPr>
        <w:t> </w:t>
      </w:r>
      <w:r>
        <w:rPr/>
        <w:t>directly</w:t>
      </w:r>
      <w:r>
        <w:rPr>
          <w:spacing w:val="-1"/>
        </w:rPr>
        <w:t> </w:t>
      </w:r>
      <w:r>
        <w:rPr/>
        <w:t>control</w:t>
      </w:r>
      <w:r>
        <w:rPr>
          <w:spacing w:val="-1"/>
        </w:rPr>
        <w:t> </w:t>
      </w:r>
      <w:r>
        <w:rPr/>
        <w:t>any</w:t>
      </w:r>
      <w:r>
        <w:rPr>
          <w:spacing w:val="-1"/>
        </w:rPr>
        <w:t> </w:t>
      </w:r>
      <w:r>
        <w:rPr/>
        <w:t>of</w:t>
      </w:r>
      <w:r>
        <w:rPr>
          <w:spacing w:val="-1"/>
        </w:rPr>
        <w:t> </w:t>
      </w:r>
      <w:r>
        <w:rPr/>
        <w:t>such</w:t>
      </w:r>
      <w:r>
        <w:rPr>
          <w:spacing w:val="-1"/>
        </w:rPr>
        <w:t> </w:t>
      </w:r>
      <w:r>
        <w:rPr/>
        <w:t>parties’</w:t>
      </w:r>
      <w:r>
        <w:rPr>
          <w:spacing w:val="-12"/>
        </w:rPr>
        <w:t> </w:t>
      </w:r>
      <w:r>
        <w:rPr/>
        <w:t>information security</w:t>
      </w:r>
      <w:r>
        <w:rPr>
          <w:spacing w:val="-1"/>
        </w:rPr>
        <w:t> </w:t>
      </w:r>
      <w:r>
        <w:rPr/>
        <w:t>operations. A</w:t>
      </w:r>
      <w:r>
        <w:rPr>
          <w:spacing w:val="-1"/>
        </w:rPr>
        <w:t> </w:t>
      </w:r>
      <w:r>
        <w:rPr/>
        <w:t>significant theft, loss or fraudulent use of customer or company data maintained by us or by a third-party service provider could have an adverse effect on</w:t>
      </w:r>
      <w:r>
        <w:rPr>
          <w:spacing w:val="40"/>
        </w:rPr>
        <w:t> </w:t>
      </w:r>
      <w:r>
        <w:rPr/>
        <w:t>our reputation, cause a material disruption to our operations, and result in remediation expenses, regulatory penalties and litigation by customers and other parties whose information was subject to such attacks, all of which could have a material adverse effect on our business, results of operations and cash flows.</w:t>
      </w:r>
    </w:p>
    <w:p>
      <w:pPr>
        <w:pStyle w:val="BodyText"/>
        <w:spacing w:before="26"/>
      </w:pPr>
    </w:p>
    <w:p>
      <w:pPr>
        <w:pStyle w:val="BodyText"/>
        <w:spacing w:line="220" w:lineRule="auto" w:before="1"/>
        <w:ind w:left="144" w:right="118" w:firstLine="499"/>
        <w:jc w:val="both"/>
      </w:pPr>
      <w:r>
        <w:rPr>
          <w:b/>
          <w:i/>
        </w:rPr>
        <w:t>We are subject to risks related to corporate social responsibility and reputation. </w:t>
      </w:r>
      <w:r>
        <w:rPr/>
        <w:t>Many factors influence our reputation and the value of our brands including the perception held by our customers, business partners, other key stakeholders and the communities in which we do business. Our business faces increasing scrutiny related to environmental, social and governance factors and risk of damage to our reputation and the value of our brands if we fail to </w:t>
      </w:r>
      <w:r>
        <w:rPr/>
        <w:t>act responsibly</w:t>
      </w:r>
      <w:r>
        <w:rPr>
          <w:spacing w:val="-2"/>
        </w:rPr>
        <w:t> </w:t>
      </w:r>
      <w:r>
        <w:rPr/>
        <w:t>in</w:t>
      </w:r>
      <w:r>
        <w:rPr>
          <w:spacing w:val="-2"/>
        </w:rPr>
        <w:t> </w:t>
      </w:r>
      <w:r>
        <w:rPr/>
        <w:t>several</w:t>
      </w:r>
      <w:r>
        <w:rPr>
          <w:spacing w:val="-2"/>
        </w:rPr>
        <w:t> </w:t>
      </w:r>
      <w:r>
        <w:rPr/>
        <w:t>areas</w:t>
      </w:r>
      <w:r>
        <w:rPr>
          <w:spacing w:val="-2"/>
        </w:rPr>
        <w:t> </w:t>
      </w:r>
      <w:r>
        <w:rPr/>
        <w:t>including</w:t>
      </w:r>
      <w:r>
        <w:rPr>
          <w:spacing w:val="-2"/>
        </w:rPr>
        <w:t> </w:t>
      </w:r>
      <w:r>
        <w:rPr/>
        <w:t>diversity</w:t>
      </w:r>
      <w:r>
        <w:rPr>
          <w:spacing w:val="-2"/>
        </w:rPr>
        <w:t> </w:t>
      </w:r>
      <w:r>
        <w:rPr/>
        <w:t>and</w:t>
      </w:r>
      <w:r>
        <w:rPr>
          <w:spacing w:val="-2"/>
        </w:rPr>
        <w:t> </w:t>
      </w:r>
      <w:r>
        <w:rPr/>
        <w:t>inclusion,</w:t>
      </w:r>
      <w:r>
        <w:rPr>
          <w:spacing w:val="-2"/>
        </w:rPr>
        <w:t> </w:t>
      </w:r>
      <w:r>
        <w:rPr/>
        <w:t>community</w:t>
      </w:r>
      <w:r>
        <w:rPr>
          <w:spacing w:val="-2"/>
        </w:rPr>
        <w:t> </w:t>
      </w:r>
      <w:r>
        <w:rPr/>
        <w:t>engagement</w:t>
      </w:r>
      <w:r>
        <w:rPr>
          <w:spacing w:val="-2"/>
        </w:rPr>
        <w:t> </w:t>
      </w:r>
      <w:r>
        <w:rPr/>
        <w:t>and</w:t>
      </w:r>
      <w:r>
        <w:rPr>
          <w:spacing w:val="-2"/>
        </w:rPr>
        <w:t> </w:t>
      </w:r>
      <w:r>
        <w:rPr/>
        <w:t>philanthropy,</w:t>
      </w:r>
      <w:r>
        <w:rPr>
          <w:spacing w:val="-2"/>
        </w:rPr>
        <w:t> </w:t>
      </w:r>
      <w:r>
        <w:rPr/>
        <w:t>environmental</w:t>
      </w:r>
      <w:r>
        <w:rPr>
          <w:spacing w:val="-2"/>
        </w:rPr>
        <w:t> </w:t>
      </w:r>
      <w:r>
        <w:rPr/>
        <w:t>sustainability,</w:t>
      </w:r>
      <w:r>
        <w:rPr>
          <w:spacing w:val="-2"/>
        </w:rPr>
        <w:t> </w:t>
      </w:r>
      <w:r>
        <w:rPr/>
        <w:t>plastic</w:t>
      </w:r>
      <w:r>
        <w:rPr>
          <w:spacing w:val="-2"/>
        </w:rPr>
        <w:t> </w:t>
      </w:r>
      <w:r>
        <w:rPr/>
        <w:t>pollution,</w:t>
      </w:r>
      <w:r>
        <w:rPr>
          <w:spacing w:val="-2"/>
        </w:rPr>
        <w:t> </w:t>
      </w:r>
      <w:r>
        <w:rPr/>
        <w:t>climate change, responsible gaming, supply chain management, workplace conduct, human rights, and many others, some of which may be unforeseen.</w:t>
      </w:r>
      <w:r>
        <w:rPr>
          <w:spacing w:val="-1"/>
        </w:rPr>
        <w:t> </w:t>
      </w:r>
      <w:r>
        <w:rPr/>
        <w:t>Any harm to our reputation could further impact employee engagement and retention and the willingness of customers and our partners to do business with us, which could have a material adverse effect on our business, results of operations and cash flows.</w:t>
      </w:r>
    </w:p>
    <w:p>
      <w:pPr>
        <w:pStyle w:val="BodyText"/>
        <w:spacing w:before="24"/>
      </w:pPr>
    </w:p>
    <w:p>
      <w:pPr>
        <w:pStyle w:val="BodyText"/>
        <w:spacing w:line="223" w:lineRule="auto"/>
        <w:ind w:left="144" w:right="118" w:firstLine="499"/>
        <w:jc w:val="both"/>
      </w:pPr>
      <w:r>
        <w:rPr>
          <w:b/>
          <w:i/>
        </w:rPr>
        <w:t>We are subject to risks and costs related to climate change. </w:t>
      </w:r>
      <w:r>
        <w:rPr/>
        <w:t>Extreme weather conditions, potentially exacerbated by climate change, may cause</w:t>
      </w:r>
      <w:r>
        <w:rPr>
          <w:spacing w:val="40"/>
        </w:rPr>
        <w:t> </w:t>
      </w:r>
      <w:r>
        <w:rPr/>
        <w:t>property damage or interrupt business, which could harm our business and results of operations. Certain of our properties are located in areas that may be subject to extreme weather conditions, including, but not limited to, hurricanes, floods, tornados, wildfires, and winter storms in the United States and severe typhoons</w:t>
      </w:r>
      <w:r>
        <w:rPr>
          <w:spacing w:val="-1"/>
        </w:rPr>
        <w:t> </w:t>
      </w:r>
      <w:r>
        <w:rPr/>
        <w:t>in</w:t>
      </w:r>
      <w:r>
        <w:rPr>
          <w:spacing w:val="-1"/>
        </w:rPr>
        <w:t> </w:t>
      </w:r>
      <w:r>
        <w:rPr/>
        <w:t>Macau.</w:t>
      </w:r>
      <w:r>
        <w:rPr>
          <w:spacing w:val="-1"/>
        </w:rPr>
        <w:t> </w:t>
      </w:r>
      <w:r>
        <w:rPr/>
        <w:t>Such</w:t>
      </w:r>
      <w:r>
        <w:rPr>
          <w:spacing w:val="-1"/>
        </w:rPr>
        <w:t> </w:t>
      </w:r>
      <w:r>
        <w:rPr/>
        <w:t>extreme</w:t>
      </w:r>
      <w:r>
        <w:rPr>
          <w:spacing w:val="-1"/>
        </w:rPr>
        <w:t> </w:t>
      </w:r>
      <w:r>
        <w:rPr/>
        <w:t>weather</w:t>
      </w:r>
      <w:r>
        <w:rPr>
          <w:spacing w:val="-1"/>
        </w:rPr>
        <w:t> </w:t>
      </w:r>
      <w:r>
        <w:rPr/>
        <w:t>conditions</w:t>
      </w:r>
      <w:r>
        <w:rPr>
          <w:spacing w:val="-1"/>
        </w:rPr>
        <w:t> </w:t>
      </w:r>
      <w:r>
        <w:rPr/>
        <w:t>may</w:t>
      </w:r>
      <w:r>
        <w:rPr>
          <w:spacing w:val="-1"/>
        </w:rPr>
        <w:t> </w:t>
      </w:r>
      <w:r>
        <w:rPr/>
        <w:t>interrupt</w:t>
      </w:r>
      <w:r>
        <w:rPr>
          <w:spacing w:val="-1"/>
        </w:rPr>
        <w:t> </w:t>
      </w:r>
      <w:r>
        <w:rPr/>
        <w:t>our</w:t>
      </w:r>
      <w:r>
        <w:rPr>
          <w:spacing w:val="-1"/>
        </w:rPr>
        <w:t> </w:t>
      </w:r>
      <w:r>
        <w:rPr/>
        <w:t>operations</w:t>
      </w:r>
      <w:r>
        <w:rPr>
          <w:spacing w:val="-1"/>
        </w:rPr>
        <w:t> </w:t>
      </w:r>
      <w:r>
        <w:rPr/>
        <w:t>or</w:t>
      </w:r>
      <w:r>
        <w:rPr>
          <w:spacing w:val="-1"/>
        </w:rPr>
        <w:t> </w:t>
      </w:r>
      <w:r>
        <w:rPr/>
        <w:t>the</w:t>
      </w:r>
      <w:r>
        <w:rPr>
          <w:spacing w:val="-1"/>
        </w:rPr>
        <w:t> </w:t>
      </w:r>
      <w:r>
        <w:rPr/>
        <w:t>operations</w:t>
      </w:r>
      <w:r>
        <w:rPr>
          <w:spacing w:val="-1"/>
        </w:rPr>
        <w:t> </w:t>
      </w:r>
      <w:r>
        <w:rPr/>
        <w:t>of</w:t>
      </w:r>
      <w:r>
        <w:rPr>
          <w:spacing w:val="-1"/>
        </w:rPr>
        <w:t> </w:t>
      </w:r>
      <w:r>
        <w:rPr/>
        <w:t>critical</w:t>
      </w:r>
      <w:r>
        <w:rPr>
          <w:spacing w:val="-1"/>
        </w:rPr>
        <w:t> </w:t>
      </w:r>
      <w:r>
        <w:rPr/>
        <w:t>suppliers,</w:t>
      </w:r>
      <w:r>
        <w:rPr>
          <w:spacing w:val="-1"/>
        </w:rPr>
        <w:t> </w:t>
      </w:r>
      <w:r>
        <w:rPr/>
        <w:t>damage</w:t>
      </w:r>
      <w:r>
        <w:rPr>
          <w:spacing w:val="-1"/>
        </w:rPr>
        <w:t> </w:t>
      </w:r>
      <w:r>
        <w:rPr/>
        <w:t>our</w:t>
      </w:r>
      <w:r>
        <w:rPr>
          <w:spacing w:val="-1"/>
        </w:rPr>
        <w:t> </w:t>
      </w:r>
      <w:r>
        <w:rPr/>
        <w:t>properties,</w:t>
      </w:r>
      <w:r>
        <w:rPr>
          <w:spacing w:val="-1"/>
        </w:rPr>
        <w:t> </w:t>
      </w:r>
      <w:r>
        <w:rPr/>
        <w:t>and</w:t>
      </w:r>
      <w:r>
        <w:rPr>
          <w:spacing w:val="-1"/>
        </w:rPr>
        <w:t> </w:t>
      </w:r>
      <w:r>
        <w:rPr/>
        <w:t>reduce</w:t>
      </w:r>
      <w:r>
        <w:rPr>
          <w:spacing w:val="-1"/>
        </w:rPr>
        <w:t> </w:t>
      </w:r>
      <w:r>
        <w:rPr/>
        <w:t>the number of customers who visit our facilities in such areas. In addition, our operations or the operations of critical suppliers could be adversely impacted by a drought or other cause of water stress or shortage.</w:t>
      </w:r>
      <w:r>
        <w:rPr>
          <w:spacing w:val="-9"/>
        </w:rPr>
        <w:t> </w:t>
      </w:r>
      <w:r>
        <w:rPr/>
        <w:t>A</w:t>
      </w:r>
      <w:r>
        <w:rPr>
          <w:spacing w:val="-9"/>
        </w:rPr>
        <w:t> </w:t>
      </w:r>
      <w:r>
        <w:rPr/>
        <w:t>severe drought of extensive duration experienced in Las</w:t>
      </w:r>
      <w:r>
        <w:rPr>
          <w:spacing w:val="-3"/>
        </w:rPr>
        <w:t> </w:t>
      </w:r>
      <w:r>
        <w:rPr/>
        <w:t>Vegas or in the other regions in which we operate or source critical supplies could adversely affect our business. Although we maintain both property and business interruption insurance coverage for certain extreme weather conditions, such coverage is subject to deductibles and limits on maximum benefits, including limitation on the coverage period for business interruption, and we cannot assure you that we will be able to fully insure such losses or fully collect, if at all, on claims resulting from such extreme weather </w:t>
      </w:r>
      <w:r>
        <w:rPr>
          <w:spacing w:val="-2"/>
        </w:rPr>
        <w:t>conditions.</w:t>
      </w:r>
    </w:p>
    <w:p>
      <w:pPr>
        <w:pStyle w:val="BodyText"/>
        <w:spacing w:line="225" w:lineRule="auto" w:before="206"/>
        <w:ind w:left="144" w:right="118" w:firstLine="499"/>
        <w:jc w:val="both"/>
      </w:pPr>
      <w:r>
        <w:rPr/>
        <w:t>Furthermore,</w:t>
      </w:r>
      <w:r>
        <w:rPr>
          <w:spacing w:val="-1"/>
        </w:rPr>
        <w:t> </w:t>
      </w:r>
      <w:r>
        <w:rPr/>
        <w:t>such</w:t>
      </w:r>
      <w:r>
        <w:rPr>
          <w:spacing w:val="-1"/>
        </w:rPr>
        <w:t> </w:t>
      </w:r>
      <w:r>
        <w:rPr/>
        <w:t>extreme</w:t>
      </w:r>
      <w:r>
        <w:rPr>
          <w:spacing w:val="-1"/>
        </w:rPr>
        <w:t> </w:t>
      </w:r>
      <w:r>
        <w:rPr/>
        <w:t>weather</w:t>
      </w:r>
      <w:r>
        <w:rPr>
          <w:spacing w:val="-1"/>
        </w:rPr>
        <w:t> </w:t>
      </w:r>
      <w:r>
        <w:rPr/>
        <w:t>conditions</w:t>
      </w:r>
      <w:r>
        <w:rPr>
          <w:spacing w:val="-1"/>
        </w:rPr>
        <w:t> </w:t>
      </w:r>
      <w:r>
        <w:rPr/>
        <w:t>may</w:t>
      </w:r>
      <w:r>
        <w:rPr>
          <w:spacing w:val="-1"/>
        </w:rPr>
        <w:t> </w:t>
      </w:r>
      <w:r>
        <w:rPr/>
        <w:t>result</w:t>
      </w:r>
      <w:r>
        <w:rPr>
          <w:spacing w:val="-1"/>
        </w:rPr>
        <w:t> </w:t>
      </w:r>
      <w:r>
        <w:rPr/>
        <w:t>in</w:t>
      </w:r>
      <w:r>
        <w:rPr>
          <w:spacing w:val="-1"/>
        </w:rPr>
        <w:t> </w:t>
      </w:r>
      <w:r>
        <w:rPr/>
        <w:t>reduced</w:t>
      </w:r>
      <w:r>
        <w:rPr>
          <w:spacing w:val="-1"/>
        </w:rPr>
        <w:t> </w:t>
      </w:r>
      <w:r>
        <w:rPr/>
        <w:t>availability</w:t>
      </w:r>
      <w:r>
        <w:rPr>
          <w:spacing w:val="-1"/>
        </w:rPr>
        <w:t> </w:t>
      </w:r>
      <w:r>
        <w:rPr/>
        <w:t>or</w:t>
      </w:r>
      <w:r>
        <w:rPr>
          <w:spacing w:val="-1"/>
        </w:rPr>
        <w:t> </w:t>
      </w:r>
      <w:r>
        <w:rPr/>
        <w:t>increased</w:t>
      </w:r>
      <w:r>
        <w:rPr>
          <w:spacing w:val="-1"/>
        </w:rPr>
        <w:t> </w:t>
      </w:r>
      <w:r>
        <w:rPr/>
        <w:t>price</w:t>
      </w:r>
      <w:r>
        <w:rPr>
          <w:spacing w:val="-1"/>
        </w:rPr>
        <w:t> </w:t>
      </w:r>
      <w:r>
        <w:rPr/>
        <w:t>volatility</w:t>
      </w:r>
      <w:r>
        <w:rPr>
          <w:spacing w:val="-1"/>
        </w:rPr>
        <w:t> </w:t>
      </w:r>
      <w:r>
        <w:rPr/>
        <w:t>of</w:t>
      </w:r>
      <w:r>
        <w:rPr>
          <w:spacing w:val="-1"/>
        </w:rPr>
        <w:t> </w:t>
      </w:r>
      <w:r>
        <w:rPr/>
        <w:t>certain</w:t>
      </w:r>
      <w:r>
        <w:rPr>
          <w:spacing w:val="-1"/>
        </w:rPr>
        <w:t> </w:t>
      </w:r>
      <w:r>
        <w:rPr/>
        <w:t>critical</w:t>
      </w:r>
      <w:r>
        <w:rPr>
          <w:spacing w:val="-1"/>
        </w:rPr>
        <w:t> </w:t>
      </w:r>
      <w:r>
        <w:rPr/>
        <w:t>supplies,</w:t>
      </w:r>
      <w:r>
        <w:rPr>
          <w:spacing w:val="-1"/>
        </w:rPr>
        <w:t> </w:t>
      </w:r>
      <w:r>
        <w:rPr/>
        <w:t>may</w:t>
      </w:r>
      <w:r>
        <w:rPr>
          <w:spacing w:val="-1"/>
        </w:rPr>
        <w:t> </w:t>
      </w:r>
      <w:r>
        <w:rPr/>
        <w:t>interrupt</w:t>
      </w:r>
      <w:r>
        <w:rPr>
          <w:spacing w:val="-1"/>
        </w:rPr>
        <w:t> </w:t>
      </w:r>
      <w:r>
        <w:rPr/>
        <w:t>or impede access to our affected properties, and may cause visits to our affected properties to decrease for an indefinite period. Additionally, many states and municipalities have begun to adopt laws and policies on climate change and emission reduction targets. Changes in federal, state, and local legislation and regulation</w:t>
      </w:r>
      <w:r>
        <w:rPr>
          <w:spacing w:val="-1"/>
        </w:rPr>
        <w:t> </w:t>
      </w:r>
      <w:r>
        <w:rPr/>
        <w:t>based</w:t>
      </w:r>
      <w:r>
        <w:rPr>
          <w:spacing w:val="-1"/>
        </w:rPr>
        <w:t> </w:t>
      </w:r>
      <w:r>
        <w:rPr/>
        <w:t>on</w:t>
      </w:r>
      <w:r>
        <w:rPr>
          <w:spacing w:val="-1"/>
        </w:rPr>
        <w:t> </w:t>
      </w:r>
      <w:r>
        <w:rPr/>
        <w:t>concerns</w:t>
      </w:r>
      <w:r>
        <w:rPr>
          <w:spacing w:val="-1"/>
        </w:rPr>
        <w:t> </w:t>
      </w:r>
      <w:r>
        <w:rPr/>
        <w:t>about</w:t>
      </w:r>
      <w:r>
        <w:rPr>
          <w:spacing w:val="-1"/>
        </w:rPr>
        <w:t> </w:t>
      </w:r>
      <w:r>
        <w:rPr/>
        <w:t>climate</w:t>
      </w:r>
      <w:r>
        <w:rPr>
          <w:spacing w:val="-1"/>
        </w:rPr>
        <w:t> </w:t>
      </w:r>
      <w:r>
        <w:rPr/>
        <w:t>change</w:t>
      </w:r>
      <w:r>
        <w:rPr>
          <w:spacing w:val="-1"/>
        </w:rPr>
        <w:t> </w:t>
      </w:r>
      <w:r>
        <w:rPr/>
        <w:t>could</w:t>
      </w:r>
      <w:r>
        <w:rPr>
          <w:spacing w:val="-1"/>
        </w:rPr>
        <w:t> </w:t>
      </w:r>
      <w:r>
        <w:rPr/>
        <w:t>result</w:t>
      </w:r>
      <w:r>
        <w:rPr>
          <w:spacing w:val="-1"/>
        </w:rPr>
        <w:t> </w:t>
      </w:r>
      <w:r>
        <w:rPr/>
        <w:t>in</w:t>
      </w:r>
      <w:r>
        <w:rPr>
          <w:spacing w:val="-1"/>
        </w:rPr>
        <w:t> </w:t>
      </w:r>
      <w:r>
        <w:rPr/>
        <w:t>increased</w:t>
      </w:r>
      <w:r>
        <w:rPr>
          <w:spacing w:val="-1"/>
        </w:rPr>
        <w:t> </w:t>
      </w:r>
      <w:r>
        <w:rPr/>
        <w:t>regulatory</w:t>
      </w:r>
      <w:r>
        <w:rPr>
          <w:spacing w:val="-1"/>
        </w:rPr>
        <w:t> </w:t>
      </w:r>
      <w:r>
        <w:rPr/>
        <w:t>costs,</w:t>
      </w:r>
      <w:r>
        <w:rPr>
          <w:spacing w:val="-1"/>
        </w:rPr>
        <w:t> </w:t>
      </w:r>
      <w:r>
        <w:rPr/>
        <w:t>which</w:t>
      </w:r>
      <w:r>
        <w:rPr>
          <w:spacing w:val="-1"/>
        </w:rPr>
        <w:t> </w:t>
      </w:r>
      <w:r>
        <w:rPr/>
        <w:t>may</w:t>
      </w:r>
      <w:r>
        <w:rPr>
          <w:spacing w:val="-1"/>
        </w:rPr>
        <w:t> </w:t>
      </w:r>
      <w:r>
        <w:rPr/>
        <w:t>include</w:t>
      </w:r>
      <w:r>
        <w:rPr>
          <w:spacing w:val="-1"/>
        </w:rPr>
        <w:t> </w:t>
      </w:r>
      <w:r>
        <w:rPr/>
        <w:t>capital</w:t>
      </w:r>
      <w:r>
        <w:rPr>
          <w:spacing w:val="-1"/>
        </w:rPr>
        <w:t> </w:t>
      </w:r>
      <w:r>
        <w:rPr/>
        <w:t>expenditures</w:t>
      </w:r>
      <w:r>
        <w:rPr>
          <w:spacing w:val="-1"/>
        </w:rPr>
        <w:t> </w:t>
      </w:r>
      <w:r>
        <w:rPr/>
        <w:t>on</w:t>
      </w:r>
      <w:r>
        <w:rPr>
          <w:spacing w:val="-1"/>
        </w:rPr>
        <w:t> </w:t>
      </w:r>
      <w:r>
        <w:rPr/>
        <w:t>our</w:t>
      </w:r>
      <w:r>
        <w:rPr>
          <w:spacing w:val="-1"/>
        </w:rPr>
        <w:t> </w:t>
      </w:r>
      <w:r>
        <w:rPr/>
        <w:t>existing</w:t>
      </w:r>
      <w:r>
        <w:rPr>
          <w:spacing w:val="-1"/>
        </w:rPr>
        <w:t> </w:t>
      </w:r>
      <w:r>
        <w:rPr/>
        <w:t>properties to ensure compliance with any new or updated regulations, which may potentially adversely affect our operations. There can be no assurance that the potential impacts of climate change and severe weather will not have a material adverse effect on our properties, results of operations, cash flows or business.</w:t>
      </w:r>
    </w:p>
    <w:p>
      <w:pPr>
        <w:pStyle w:val="BodyText"/>
        <w:spacing w:line="232" w:lineRule="auto" w:before="205"/>
        <w:ind w:left="144" w:right="118" w:firstLine="499"/>
        <w:jc w:val="both"/>
      </w:pPr>
      <w:r>
        <w:rPr>
          <w:b/>
          <w:i/>
        </w:rPr>
        <w:t>Water scarcity could negatively impact our operations. </w:t>
      </w:r>
      <w:r>
        <w:rPr/>
        <w:t>Water is critical to the prosperity of the communities we serve and the ecosystems in which </w:t>
      </w:r>
      <w:r>
        <w:rPr/>
        <w:t>we operate.</w:t>
      </w:r>
      <w:r>
        <w:rPr>
          <w:spacing w:val="-2"/>
        </w:rPr>
        <w:t> </w:t>
      </w:r>
      <w:r>
        <w:rPr/>
        <w:t>Water is also a limited resource in many parts of the world, including Las</w:t>
      </w:r>
      <w:r>
        <w:rPr>
          <w:spacing w:val="-2"/>
        </w:rPr>
        <w:t> </w:t>
      </w:r>
      <w:r>
        <w:rPr/>
        <w:t>Vegas where the majority of our properties are located.</w:t>
      </w:r>
      <w:r>
        <w:rPr>
          <w:spacing w:val="-2"/>
        </w:rPr>
        <w:t> </w:t>
      </w:r>
      <w:r>
        <w:rPr/>
        <w:t>Water availability is facing unprecedented challenges from overexploitation, the effects of climate change, and increasing demand for food and other consumer and industrial products whose manufacturing processes require water.</w:t>
      </w:r>
      <w:r>
        <w:rPr>
          <w:spacing w:val="-7"/>
        </w:rPr>
        <w:t> </w:t>
      </w:r>
      <w:r>
        <w:rPr/>
        <w:t>As the demand for water continues to increase in the areas in which we operate, and as water becomes scarcer and the quality of available water deteriorates, our operations may incur higher costs or face capacity constraints and the possibility of reputational damage, which could adversely affect our profitability.</w:t>
      </w:r>
    </w:p>
    <w:p>
      <w:pPr>
        <w:pStyle w:val="BodyText"/>
      </w:pPr>
    </w:p>
    <w:p>
      <w:pPr>
        <w:pStyle w:val="BodyText"/>
        <w:spacing w:before="199"/>
      </w:pPr>
    </w:p>
    <w:p>
      <w:pPr>
        <w:pStyle w:val="BodyText"/>
        <w:ind w:left="24"/>
        <w:jc w:val="center"/>
      </w:pPr>
      <w:r>
        <w:rPr>
          <w:spacing w:val="-5"/>
        </w:rPr>
        <w:t>23</w:t>
      </w:r>
    </w:p>
    <w:p>
      <w:pPr>
        <w:pStyle w:val="BodyText"/>
        <w:spacing w:before="3"/>
        <w:rPr>
          <w:sz w:val="6"/>
        </w:rPr>
      </w:pPr>
      <w:r>
        <w:rPr/>
        <mc:AlternateContent>
          <mc:Choice Requires="wps">
            <w:drawing>
              <wp:anchor distT="0" distB="0" distL="0" distR="0" allowOverlap="1" layoutInCell="1" locked="0" behindDoc="1" simplePos="0" relativeHeight="487605760">
                <wp:simplePos x="0" y="0"/>
                <wp:positionH relativeFrom="page">
                  <wp:posOffset>231457</wp:posOffset>
                </wp:positionH>
                <wp:positionV relativeFrom="paragraph">
                  <wp:posOffset>61035</wp:posOffset>
                </wp:positionV>
                <wp:extent cx="7312659" cy="1714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7312659" cy="17145"/>
                          <a:chExt cx="7312659" cy="17145"/>
                        </a:xfrm>
                      </wpg:grpSpPr>
                      <wps:wsp>
                        <wps:cNvPr id="114" name="Graphic 1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5" name="Graphic 115"/>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5915pt;width:575.8pt;height:1.35pt;mso-position-horizontal-relative:page;mso-position-vertical-relative:paragraph;z-index:-15710720;mso-wrap-distance-left:0;mso-wrap-distance-right:0" id="docshapegroup112" coordorigin="364,96" coordsize="11516,27">
                <v:rect style="position:absolute;left:364;top:96;width:11516;height:14" id="docshape113" filled="true" fillcolor="#999999" stroked="false">
                  <v:fill type="solid"/>
                </v:rect>
                <v:shape style="position:absolute;left:364;top:96;width:11516;height:27" id="docshape114" coordorigin="364,96" coordsize="11516,27" path="m11880,96l11866,110,364,110,364,123,11866,123,11880,123,11880,110,11880,96xe" filled="true" fillcolor="#ededed" stroked="false">
                  <v:path arrowok="t"/>
                  <v:fill type="solid"/>
                </v:shape>
                <v:shape style="position:absolute;left:364;top:96;width:14;height:27" id="docshape115"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5"/>
        <w:spacing w:before="79"/>
        <w:ind w:left="0" w:right="5729"/>
        <w:jc w:val="right"/>
      </w:pPr>
      <w:r>
        <w:rPr/>
        <w:t>Risks</w:t>
      </w:r>
      <w:r>
        <w:rPr>
          <w:spacing w:val="-1"/>
        </w:rPr>
        <w:t> </w:t>
      </w:r>
      <w:r>
        <w:rPr/>
        <w:t>Related</w:t>
      </w:r>
      <w:r>
        <w:rPr>
          <w:spacing w:val="-1"/>
        </w:rPr>
        <w:t> </w:t>
      </w:r>
      <w:r>
        <w:rPr/>
        <w:t>to</w:t>
      </w:r>
      <w:r>
        <w:rPr>
          <w:spacing w:val="-1"/>
        </w:rPr>
        <w:t> </w:t>
      </w:r>
      <w:r>
        <w:rPr/>
        <w:t>Legal</w:t>
      </w:r>
      <w:r>
        <w:rPr>
          <w:spacing w:val="-1"/>
        </w:rPr>
        <w:t> </w:t>
      </w:r>
      <w:r>
        <w:rPr/>
        <w:t>and</w:t>
      </w:r>
      <w:r>
        <w:rPr>
          <w:spacing w:val="-1"/>
        </w:rPr>
        <w:t> </w:t>
      </w:r>
      <w:r>
        <w:rPr/>
        <w:t>Regulatory</w:t>
      </w:r>
      <w:r>
        <w:rPr>
          <w:spacing w:val="-1"/>
        </w:rPr>
        <w:t> </w:t>
      </w:r>
      <w:r>
        <w:rPr/>
        <w:t>Matters</w:t>
      </w:r>
      <w:r>
        <w:rPr>
          <w:spacing w:val="-1"/>
        </w:rPr>
        <w:t> </w:t>
      </w:r>
      <w:r>
        <w:rPr/>
        <w:t>and</w:t>
      </w:r>
      <w:r>
        <w:rPr>
          <w:spacing w:val="-1"/>
        </w:rPr>
        <w:t> </w:t>
      </w:r>
      <w:r>
        <w:rPr/>
        <w:t>Changes</w:t>
      </w:r>
      <w:r>
        <w:rPr>
          <w:spacing w:val="-1"/>
        </w:rPr>
        <w:t> </w:t>
      </w:r>
      <w:r>
        <w:rPr/>
        <w:t>in</w:t>
      </w:r>
      <w:r>
        <w:rPr>
          <w:spacing w:val="-1"/>
        </w:rPr>
        <w:t> </w:t>
      </w:r>
      <w:r>
        <w:rPr/>
        <w:t>Public</w:t>
      </w:r>
      <w:r>
        <w:rPr>
          <w:spacing w:val="-1"/>
        </w:rPr>
        <w:t> </w:t>
      </w:r>
      <w:r>
        <w:rPr>
          <w:spacing w:val="-2"/>
        </w:rPr>
        <w:t>Policy</w:t>
      </w:r>
    </w:p>
    <w:p>
      <w:pPr>
        <w:pStyle w:val="BodyText"/>
        <w:spacing w:before="4"/>
        <w:rPr>
          <w:b/>
        </w:rPr>
      </w:pPr>
    </w:p>
    <w:p>
      <w:pPr>
        <w:pStyle w:val="BodyText"/>
        <w:ind w:left="144" w:right="118" w:firstLine="499"/>
        <w:jc w:val="both"/>
      </w:pPr>
      <w:r>
        <w:rPr>
          <w:b/>
          <w:i/>
        </w:rPr>
        <w:t>Our businesses are subject to extensive regulation and the cost of compliance or failure to comply with such regulations may adversely affect our business and results of operations</w:t>
      </w:r>
      <w:r>
        <w:rPr>
          <w:b/>
        </w:rPr>
        <w:t>. </w:t>
      </w:r>
      <w:r>
        <w:rPr/>
        <w:t>Our ownership and operation of gaming operations is subject to extensive regulation by the countries, states and provinces in which we operate. These laws, regulations and ordinances vary from jurisdiction to jurisdiction, but generally concern the responsibility, financial </w:t>
      </w:r>
      <w:r>
        <w:rPr/>
        <w:t>stability and</w:t>
      </w:r>
      <w:r>
        <w:rPr>
          <w:spacing w:val="-2"/>
        </w:rPr>
        <w:t> </w:t>
      </w:r>
      <w:r>
        <w:rPr/>
        <w:t>character</w:t>
      </w:r>
      <w:r>
        <w:rPr>
          <w:spacing w:val="-2"/>
        </w:rPr>
        <w:t> </w:t>
      </w:r>
      <w:r>
        <w:rPr/>
        <w:t>of</w:t>
      </w:r>
      <w:r>
        <w:rPr>
          <w:spacing w:val="-2"/>
        </w:rPr>
        <w:t> </w:t>
      </w:r>
      <w:r>
        <w:rPr/>
        <w:t>the</w:t>
      </w:r>
      <w:r>
        <w:rPr>
          <w:spacing w:val="-2"/>
        </w:rPr>
        <w:t> </w:t>
      </w:r>
      <w:r>
        <w:rPr/>
        <w:t>owners</w:t>
      </w:r>
      <w:r>
        <w:rPr>
          <w:spacing w:val="-2"/>
        </w:rPr>
        <w:t> </w:t>
      </w:r>
      <w:r>
        <w:rPr/>
        <w:t>and</w:t>
      </w:r>
      <w:r>
        <w:rPr>
          <w:spacing w:val="-2"/>
        </w:rPr>
        <w:t> </w:t>
      </w:r>
      <w:r>
        <w:rPr/>
        <w:t>managers</w:t>
      </w:r>
      <w:r>
        <w:rPr>
          <w:spacing w:val="-2"/>
        </w:rPr>
        <w:t> </w:t>
      </w:r>
      <w:r>
        <w:rPr/>
        <w:t>of</w:t>
      </w:r>
      <w:r>
        <w:rPr>
          <w:spacing w:val="-2"/>
        </w:rPr>
        <w:t> </w:t>
      </w:r>
      <w:r>
        <w:rPr/>
        <w:t>gaming</w:t>
      </w:r>
      <w:r>
        <w:rPr>
          <w:spacing w:val="-2"/>
        </w:rPr>
        <w:t> </w:t>
      </w:r>
      <w:r>
        <w:rPr/>
        <w:t>operations</w:t>
      </w:r>
      <w:r>
        <w:rPr>
          <w:spacing w:val="-2"/>
        </w:rPr>
        <w:t> </w:t>
      </w:r>
      <w:r>
        <w:rPr/>
        <w:t>as</w:t>
      </w:r>
      <w:r>
        <w:rPr>
          <w:spacing w:val="-2"/>
        </w:rPr>
        <w:t> </w:t>
      </w:r>
      <w:r>
        <w:rPr/>
        <w:t>well</w:t>
      </w:r>
      <w:r>
        <w:rPr>
          <w:spacing w:val="-2"/>
        </w:rPr>
        <w:t> </w:t>
      </w:r>
      <w:r>
        <w:rPr/>
        <w:t>as</w:t>
      </w:r>
      <w:r>
        <w:rPr>
          <w:spacing w:val="-2"/>
        </w:rPr>
        <w:t> </w:t>
      </w:r>
      <w:r>
        <w:rPr/>
        <w:t>persons</w:t>
      </w:r>
      <w:r>
        <w:rPr>
          <w:spacing w:val="-2"/>
        </w:rPr>
        <w:t> </w:t>
      </w:r>
      <w:r>
        <w:rPr/>
        <w:t>financially</w:t>
      </w:r>
      <w:r>
        <w:rPr>
          <w:spacing w:val="-2"/>
        </w:rPr>
        <w:t> </w:t>
      </w:r>
      <w:r>
        <w:rPr/>
        <w:t>interested</w:t>
      </w:r>
      <w:r>
        <w:rPr>
          <w:spacing w:val="-2"/>
        </w:rPr>
        <w:t> </w:t>
      </w:r>
      <w:r>
        <w:rPr/>
        <w:t>or</w:t>
      </w:r>
      <w:r>
        <w:rPr>
          <w:spacing w:val="-2"/>
        </w:rPr>
        <w:t> </w:t>
      </w:r>
      <w:r>
        <w:rPr/>
        <w:t>involved</w:t>
      </w:r>
      <w:r>
        <w:rPr>
          <w:spacing w:val="-2"/>
        </w:rPr>
        <w:t> </w:t>
      </w:r>
      <w:r>
        <w:rPr/>
        <w:t>in</w:t>
      </w:r>
      <w:r>
        <w:rPr>
          <w:spacing w:val="-2"/>
        </w:rPr>
        <w:t> </w:t>
      </w:r>
      <w:r>
        <w:rPr/>
        <w:t>gaming</w:t>
      </w:r>
      <w:r>
        <w:rPr>
          <w:spacing w:val="-2"/>
        </w:rPr>
        <w:t> </w:t>
      </w:r>
      <w:r>
        <w:rPr/>
        <w:t>operations.</w:t>
      </w:r>
      <w:r>
        <w:rPr>
          <w:spacing w:val="-11"/>
        </w:rPr>
        <w:t> </w:t>
      </w:r>
      <w:r>
        <w:rPr/>
        <w:t>As</w:t>
      </w:r>
      <w:r>
        <w:rPr>
          <w:spacing w:val="-2"/>
        </w:rPr>
        <w:t> </w:t>
      </w:r>
      <w:r>
        <w:rPr/>
        <w:t>such,</w:t>
      </w:r>
      <w:r>
        <w:rPr>
          <w:spacing w:val="-2"/>
        </w:rPr>
        <w:t> </w:t>
      </w:r>
      <w:r>
        <w:rPr/>
        <w:t>our</w:t>
      </w:r>
      <w:r>
        <w:rPr>
          <w:spacing w:val="-2"/>
        </w:rPr>
        <w:t> </w:t>
      </w:r>
      <w:r>
        <w:rPr/>
        <w:t>gaming regulators can require us to disassociate ourselves from suppliers or business partners found unsuitable by the regulators or, alternatively, cease operations in that jurisdiction. In addition, unsuitable activity on our part or on the part of our domestic or foreign unconsolidated affiliates or subsidiaries in any jurisdiction could have a negative effect on our ability to continue operating in other jurisdictions.</w:t>
      </w:r>
      <w:r>
        <w:rPr>
          <w:spacing w:val="-1"/>
        </w:rPr>
        <w:t> </w:t>
      </w:r>
      <w:r>
        <w:rPr/>
        <w:t>The regulatory environment in any particular jurisdiction may change in the future and any such change could have a material adverse effect on our results of operations. Furthermore, our iGaming and online sports betting initiatives may be particularly subject to risks related to potential changes in the regulatory and enforcement environment as a result of the continued development of regulatory</w:t>
      </w:r>
      <w:r>
        <w:rPr>
          <w:spacing w:val="-2"/>
        </w:rPr>
        <w:t> </w:t>
      </w:r>
      <w:r>
        <w:rPr/>
        <w:t>schemes</w:t>
      </w:r>
      <w:r>
        <w:rPr>
          <w:spacing w:val="-2"/>
        </w:rPr>
        <w:t> </w:t>
      </w:r>
      <w:r>
        <w:rPr/>
        <w:t>in</w:t>
      </w:r>
      <w:r>
        <w:rPr>
          <w:spacing w:val="-2"/>
        </w:rPr>
        <w:t> </w:t>
      </w:r>
      <w:r>
        <w:rPr/>
        <w:t>this</w:t>
      </w:r>
      <w:r>
        <w:rPr>
          <w:spacing w:val="-2"/>
        </w:rPr>
        <w:t> </w:t>
      </w:r>
      <w:r>
        <w:rPr/>
        <w:t>industry</w:t>
      </w:r>
      <w:r>
        <w:rPr>
          <w:spacing w:val="-2"/>
        </w:rPr>
        <w:t> </w:t>
      </w:r>
      <w:r>
        <w:rPr/>
        <w:t>in</w:t>
      </w:r>
      <w:r>
        <w:rPr>
          <w:spacing w:val="-2"/>
        </w:rPr>
        <w:t> </w:t>
      </w:r>
      <w:r>
        <w:rPr/>
        <w:t>the</w:t>
      </w:r>
      <w:r>
        <w:rPr>
          <w:spacing w:val="-2"/>
        </w:rPr>
        <w:t> </w:t>
      </w:r>
      <w:r>
        <w:rPr/>
        <w:t>U.S.</w:t>
      </w:r>
      <w:r>
        <w:rPr>
          <w:spacing w:val="-2"/>
        </w:rPr>
        <w:t> </w:t>
      </w:r>
      <w:r>
        <w:rPr/>
        <w:t>and</w:t>
      </w:r>
      <w:r>
        <w:rPr>
          <w:spacing w:val="-2"/>
        </w:rPr>
        <w:t> </w:t>
      </w:r>
      <w:r>
        <w:rPr/>
        <w:t>internationally.</w:t>
      </w:r>
      <w:r>
        <w:rPr>
          <w:spacing w:val="-2"/>
        </w:rPr>
        <w:t> </w:t>
      </w:r>
      <w:r>
        <w:rPr/>
        <w:t>For</w:t>
      </w:r>
      <w:r>
        <w:rPr>
          <w:spacing w:val="-2"/>
        </w:rPr>
        <w:t> </w:t>
      </w:r>
      <w:r>
        <w:rPr/>
        <w:t>a</w:t>
      </w:r>
      <w:r>
        <w:rPr>
          <w:spacing w:val="-2"/>
        </w:rPr>
        <w:t> </w:t>
      </w:r>
      <w:r>
        <w:rPr/>
        <w:t>summary</w:t>
      </w:r>
      <w:r>
        <w:rPr>
          <w:spacing w:val="-2"/>
        </w:rPr>
        <w:t> </w:t>
      </w:r>
      <w:r>
        <w:rPr/>
        <w:t>of</w:t>
      </w:r>
      <w:r>
        <w:rPr>
          <w:spacing w:val="-2"/>
        </w:rPr>
        <w:t> </w:t>
      </w:r>
      <w:r>
        <w:rPr/>
        <w:t>gaming</w:t>
      </w:r>
      <w:r>
        <w:rPr>
          <w:spacing w:val="-2"/>
        </w:rPr>
        <w:t> </w:t>
      </w:r>
      <w:r>
        <w:rPr/>
        <w:t>and</w:t>
      </w:r>
      <w:r>
        <w:rPr>
          <w:spacing w:val="-2"/>
        </w:rPr>
        <w:t> </w:t>
      </w:r>
      <w:r>
        <w:rPr/>
        <w:t>other</w:t>
      </w:r>
      <w:r>
        <w:rPr>
          <w:spacing w:val="-2"/>
        </w:rPr>
        <w:t> </w:t>
      </w:r>
      <w:r>
        <w:rPr/>
        <w:t>regulations</w:t>
      </w:r>
      <w:r>
        <w:rPr>
          <w:spacing w:val="-2"/>
        </w:rPr>
        <w:t> </w:t>
      </w:r>
      <w:r>
        <w:rPr/>
        <w:t>that</w:t>
      </w:r>
      <w:r>
        <w:rPr>
          <w:spacing w:val="-2"/>
        </w:rPr>
        <w:t> </w:t>
      </w:r>
      <w:r>
        <w:rPr/>
        <w:t>affect</w:t>
      </w:r>
      <w:r>
        <w:rPr>
          <w:spacing w:val="-2"/>
        </w:rPr>
        <w:t> </w:t>
      </w:r>
      <w:r>
        <w:rPr/>
        <w:t>our</w:t>
      </w:r>
      <w:r>
        <w:rPr>
          <w:spacing w:val="-2"/>
        </w:rPr>
        <w:t> </w:t>
      </w:r>
      <w:r>
        <w:rPr/>
        <w:t>business,</w:t>
      </w:r>
      <w:r>
        <w:rPr>
          <w:spacing w:val="-2"/>
        </w:rPr>
        <w:t> </w:t>
      </w:r>
      <w:r>
        <w:rPr/>
        <w:t>see</w:t>
      </w:r>
      <w:r>
        <w:rPr>
          <w:spacing w:val="-2"/>
        </w:rPr>
        <w:t> </w:t>
      </w:r>
      <w:r>
        <w:rPr/>
        <w:t>“Regulation</w:t>
      </w:r>
      <w:r>
        <w:rPr>
          <w:spacing w:val="-2"/>
        </w:rPr>
        <w:t> </w:t>
      </w:r>
      <w:r>
        <w:rPr/>
        <w:t>and Licensing” and Exhibit 99.1 to this Annual Report on Form 10-K.</w:t>
      </w:r>
    </w:p>
    <w:p>
      <w:pPr>
        <w:pStyle w:val="BodyText"/>
        <w:spacing w:before="15"/>
      </w:pPr>
    </w:p>
    <w:p>
      <w:pPr>
        <w:pStyle w:val="BodyText"/>
        <w:spacing w:line="237" w:lineRule="auto" w:before="1"/>
        <w:ind w:left="144" w:right="118" w:firstLine="499"/>
        <w:jc w:val="both"/>
      </w:pPr>
      <w:r>
        <w:rPr/>
        <w:t>Further, our directors, officers, key employees and investors in our properties and iGaming and online sports betting initiatives must meet approval standards of certain state and foreign regulatory authorities. If such regulatory authorities were to find such a person or investor unsuitable, we would be required to sever our relationship with that person or the investor may be required to dispose of his, her or its interest. Regulatory authorities may also conduct investigations into the conduct or associations of our directors, officers, key employees or investors to ensure compliance with applicable standards. Certain public and private issuances of securities, borrowings under credit agreements, guarantees of indebtedness and other transactions also require the approval of certain regulatory authorities.</w:t>
      </w:r>
    </w:p>
    <w:p>
      <w:pPr>
        <w:pStyle w:val="BodyText"/>
        <w:spacing w:before="21"/>
      </w:pPr>
    </w:p>
    <w:p>
      <w:pPr>
        <w:pStyle w:val="BodyText"/>
        <w:spacing w:line="237" w:lineRule="auto"/>
        <w:ind w:left="144" w:right="118" w:firstLine="499"/>
        <w:jc w:val="both"/>
      </w:pPr>
      <w:r>
        <w:rPr/>
        <w:t>Macau</w:t>
      </w:r>
      <w:r>
        <w:rPr>
          <w:spacing w:val="-1"/>
        </w:rPr>
        <w:t> </w:t>
      </w:r>
      <w:r>
        <w:rPr/>
        <w:t>laws</w:t>
      </w:r>
      <w:r>
        <w:rPr>
          <w:spacing w:val="-1"/>
        </w:rPr>
        <w:t> </w:t>
      </w:r>
      <w:r>
        <w:rPr/>
        <w:t>and</w:t>
      </w:r>
      <w:r>
        <w:rPr>
          <w:spacing w:val="-1"/>
        </w:rPr>
        <w:t> </w:t>
      </w:r>
      <w:r>
        <w:rPr/>
        <w:t>regulations</w:t>
      </w:r>
      <w:r>
        <w:rPr>
          <w:spacing w:val="-1"/>
        </w:rPr>
        <w:t> </w:t>
      </w:r>
      <w:r>
        <w:rPr/>
        <w:t>concerning</w:t>
      </w:r>
      <w:r>
        <w:rPr>
          <w:spacing w:val="-1"/>
        </w:rPr>
        <w:t> </w:t>
      </w:r>
      <w:r>
        <w:rPr/>
        <w:t>gaming</w:t>
      </w:r>
      <w:r>
        <w:rPr>
          <w:spacing w:val="-1"/>
        </w:rPr>
        <w:t> </w:t>
      </w:r>
      <w:r>
        <w:rPr/>
        <w:t>and</w:t>
      </w:r>
      <w:r>
        <w:rPr>
          <w:spacing w:val="-1"/>
        </w:rPr>
        <w:t> </w:t>
      </w:r>
      <w:r>
        <w:rPr/>
        <w:t>gaming</w:t>
      </w:r>
      <w:r>
        <w:rPr>
          <w:spacing w:val="-1"/>
        </w:rPr>
        <w:t> </w:t>
      </w:r>
      <w:r>
        <w:rPr/>
        <w:t>concessions</w:t>
      </w:r>
      <w:r>
        <w:rPr>
          <w:spacing w:val="-1"/>
        </w:rPr>
        <w:t> </w:t>
      </w:r>
      <w:r>
        <w:rPr/>
        <w:t>are</w:t>
      </w:r>
      <w:r>
        <w:rPr>
          <w:spacing w:val="-1"/>
        </w:rPr>
        <w:t> </w:t>
      </w:r>
      <w:r>
        <w:rPr/>
        <w:t>complex,</w:t>
      </w:r>
      <w:r>
        <w:rPr>
          <w:spacing w:val="-1"/>
        </w:rPr>
        <w:t> </w:t>
      </w:r>
      <w:r>
        <w:rPr/>
        <w:t>and</w:t>
      </w:r>
      <w:r>
        <w:rPr>
          <w:spacing w:val="-1"/>
        </w:rPr>
        <w:t> </w:t>
      </w:r>
      <w:r>
        <w:rPr/>
        <w:t>a</w:t>
      </w:r>
      <w:r>
        <w:rPr>
          <w:spacing w:val="-1"/>
        </w:rPr>
        <w:t> </w:t>
      </w:r>
      <w:r>
        <w:rPr/>
        <w:t>court</w:t>
      </w:r>
      <w:r>
        <w:rPr>
          <w:spacing w:val="-1"/>
        </w:rPr>
        <w:t> </w:t>
      </w:r>
      <w:r>
        <w:rPr/>
        <w:t>or</w:t>
      </w:r>
      <w:r>
        <w:rPr>
          <w:spacing w:val="-1"/>
        </w:rPr>
        <w:t> </w:t>
      </w:r>
      <w:r>
        <w:rPr/>
        <w:t>administrative</w:t>
      </w:r>
      <w:r>
        <w:rPr>
          <w:spacing w:val="-1"/>
        </w:rPr>
        <w:t> </w:t>
      </w:r>
      <w:r>
        <w:rPr/>
        <w:t>or</w:t>
      </w:r>
      <w:r>
        <w:rPr>
          <w:spacing w:val="-1"/>
        </w:rPr>
        <w:t> </w:t>
      </w:r>
      <w:r>
        <w:rPr/>
        <w:t>regulatory</w:t>
      </w:r>
      <w:r>
        <w:rPr>
          <w:spacing w:val="-1"/>
        </w:rPr>
        <w:t> </w:t>
      </w:r>
      <w:r>
        <w:rPr/>
        <w:t>body</w:t>
      </w:r>
      <w:r>
        <w:rPr>
          <w:spacing w:val="-1"/>
        </w:rPr>
        <w:t> </w:t>
      </w:r>
      <w:r>
        <w:rPr/>
        <w:t>may</w:t>
      </w:r>
      <w:r>
        <w:rPr>
          <w:spacing w:val="-1"/>
        </w:rPr>
        <w:t> </w:t>
      </w:r>
      <w:r>
        <w:rPr/>
        <w:t>in</w:t>
      </w:r>
      <w:r>
        <w:rPr>
          <w:spacing w:val="-1"/>
        </w:rPr>
        <w:t> </w:t>
      </w:r>
      <w:r>
        <w:rPr/>
        <w:t>the</w:t>
      </w:r>
      <w:r>
        <w:rPr>
          <w:spacing w:val="-1"/>
        </w:rPr>
        <w:t> </w:t>
      </w:r>
      <w:r>
        <w:rPr/>
        <w:t>future render an interpretation of these laws and regulations, or issue new or modified regulations, that differ from MGM China’s interpretation, which could have a material adverse effect on its business, financial condition and results of operations. In addition, MGM Grand Paradise's activities in Macau are subject to administrative review and approval by various government agencies. We cannot assure you that MGM Grand Paradise will be able to obtain all necessary approvals, and any such failure to do so may materially affect its long-term business strategy and operations. Macau laws permit redress to the courts with respect to administrative actions; however, to date such redress is largely untested in relation to gaming issues.</w:t>
      </w:r>
    </w:p>
    <w:p>
      <w:pPr>
        <w:pStyle w:val="BodyText"/>
        <w:spacing w:before="18"/>
      </w:pPr>
    </w:p>
    <w:p>
      <w:pPr>
        <w:pStyle w:val="BodyText"/>
        <w:spacing w:line="223" w:lineRule="auto"/>
        <w:ind w:left="144" w:right="118" w:firstLine="499"/>
        <w:jc w:val="both"/>
      </w:pPr>
      <w:r>
        <w:rPr/>
        <w:t>In addition to gaming regulations, we are also subject to various federal, state, local and foreign laws and regulations affecting businesses in </w:t>
      </w:r>
      <w:r>
        <w:rPr/>
        <w:t>general. These laws and regulations include, but are not limited to, restrictions and conditions concerning alcoholic beverages, environmental matters, smoking, employees, currency transactions, taxation, zoning and building codes, and marketing and advertising. For instance, we are subject to certain federal, state and local environmental laws, regulations and ordinances, including the Clean Air Act, the Clean Water Act, the Resource Conservation Recovery Act, the Comprehensive Environmental Response, Compensation and Liability Act, the Energy Policy Act, the Safe Drinking Water Act, Renewable Portfolio Standards, the Oil Pollution</w:t>
      </w:r>
      <w:r>
        <w:rPr>
          <w:spacing w:val="-5"/>
        </w:rPr>
        <w:t> </w:t>
      </w:r>
      <w:r>
        <w:rPr/>
        <w:t>Act of 1990, and many others. Under various federal, state and local environmental laws and regulations, an owner or operator of real property may be held liable for the costs of removal or remediation of certain hazardous or toxic substances or wastes located on its property, regardless of whether</w:t>
      </w:r>
      <w:r>
        <w:rPr>
          <w:spacing w:val="-2"/>
        </w:rPr>
        <w:t> </w:t>
      </w:r>
      <w:r>
        <w:rPr/>
        <w:t>or</w:t>
      </w:r>
      <w:r>
        <w:rPr>
          <w:spacing w:val="-2"/>
        </w:rPr>
        <w:t> </w:t>
      </w:r>
      <w:r>
        <w:rPr/>
        <w:t>not</w:t>
      </w:r>
      <w:r>
        <w:rPr>
          <w:spacing w:val="-2"/>
        </w:rPr>
        <w:t> </w:t>
      </w:r>
      <w:r>
        <w:rPr/>
        <w:t>the</w:t>
      </w:r>
      <w:r>
        <w:rPr>
          <w:spacing w:val="-2"/>
        </w:rPr>
        <w:t> </w:t>
      </w:r>
      <w:r>
        <w:rPr/>
        <w:t>present</w:t>
      </w:r>
      <w:r>
        <w:rPr>
          <w:spacing w:val="-2"/>
        </w:rPr>
        <w:t> </w:t>
      </w:r>
      <w:r>
        <w:rPr/>
        <w:t>owner</w:t>
      </w:r>
      <w:r>
        <w:rPr>
          <w:spacing w:val="-2"/>
        </w:rPr>
        <w:t> </w:t>
      </w:r>
      <w:r>
        <w:rPr/>
        <w:t>or</w:t>
      </w:r>
      <w:r>
        <w:rPr>
          <w:spacing w:val="-2"/>
        </w:rPr>
        <w:t> </w:t>
      </w:r>
      <w:r>
        <w:rPr/>
        <w:t>operator</w:t>
      </w:r>
      <w:r>
        <w:rPr>
          <w:spacing w:val="-2"/>
        </w:rPr>
        <w:t> </w:t>
      </w:r>
      <w:r>
        <w:rPr/>
        <w:t>knows</w:t>
      </w:r>
      <w:r>
        <w:rPr>
          <w:spacing w:val="-2"/>
        </w:rPr>
        <w:t> </w:t>
      </w:r>
      <w:r>
        <w:rPr/>
        <w:t>of,</w:t>
      </w:r>
      <w:r>
        <w:rPr>
          <w:spacing w:val="-2"/>
        </w:rPr>
        <w:t> </w:t>
      </w:r>
      <w:r>
        <w:rPr/>
        <w:t>or</w:t>
      </w:r>
      <w:r>
        <w:rPr>
          <w:spacing w:val="-2"/>
        </w:rPr>
        <w:t> </w:t>
      </w:r>
      <w:r>
        <w:rPr/>
        <w:t>is</w:t>
      </w:r>
      <w:r>
        <w:rPr>
          <w:spacing w:val="-2"/>
        </w:rPr>
        <w:t> </w:t>
      </w:r>
      <w:r>
        <w:rPr/>
        <w:t>responsible</w:t>
      </w:r>
      <w:r>
        <w:rPr>
          <w:spacing w:val="-2"/>
        </w:rPr>
        <w:t> </w:t>
      </w:r>
      <w:r>
        <w:rPr/>
        <w:t>for,</w:t>
      </w:r>
      <w:r>
        <w:rPr>
          <w:spacing w:val="-2"/>
        </w:rPr>
        <w:t> </w:t>
      </w:r>
      <w:r>
        <w:rPr/>
        <w:t>the</w:t>
      </w:r>
      <w:r>
        <w:rPr>
          <w:spacing w:val="-2"/>
        </w:rPr>
        <w:t> </w:t>
      </w:r>
      <w:r>
        <w:rPr/>
        <w:t>presence</w:t>
      </w:r>
      <w:r>
        <w:rPr>
          <w:spacing w:val="-2"/>
        </w:rPr>
        <w:t> </w:t>
      </w:r>
      <w:r>
        <w:rPr/>
        <w:t>of</w:t>
      </w:r>
      <w:r>
        <w:rPr>
          <w:spacing w:val="-2"/>
        </w:rPr>
        <w:t> </w:t>
      </w:r>
      <w:r>
        <w:rPr/>
        <w:t>such</w:t>
      </w:r>
      <w:r>
        <w:rPr>
          <w:spacing w:val="-2"/>
        </w:rPr>
        <w:t> </w:t>
      </w:r>
      <w:r>
        <w:rPr/>
        <w:t>substances</w:t>
      </w:r>
      <w:r>
        <w:rPr>
          <w:spacing w:val="-2"/>
        </w:rPr>
        <w:t> </w:t>
      </w:r>
      <w:r>
        <w:rPr/>
        <w:t>or</w:t>
      </w:r>
      <w:r>
        <w:rPr>
          <w:spacing w:val="-2"/>
        </w:rPr>
        <w:t> </w:t>
      </w:r>
      <w:r>
        <w:rPr/>
        <w:t>wastes.</w:t>
      </w:r>
      <w:r>
        <w:rPr>
          <w:spacing w:val="-2"/>
        </w:rPr>
        <w:t> </w:t>
      </w:r>
      <w:r>
        <w:rPr/>
        <w:t>Such</w:t>
      </w:r>
      <w:r>
        <w:rPr>
          <w:spacing w:val="-2"/>
        </w:rPr>
        <w:t> </w:t>
      </w:r>
      <w:r>
        <w:rPr/>
        <w:t>laws</w:t>
      </w:r>
      <w:r>
        <w:rPr>
          <w:spacing w:val="-2"/>
        </w:rPr>
        <w:t> </w:t>
      </w:r>
      <w:r>
        <w:rPr/>
        <w:t>and</w:t>
      </w:r>
      <w:r>
        <w:rPr>
          <w:spacing w:val="-2"/>
        </w:rPr>
        <w:t> </w:t>
      </w:r>
      <w:r>
        <w:rPr/>
        <w:t>regulations</w:t>
      </w:r>
      <w:r>
        <w:rPr>
          <w:spacing w:val="-2"/>
        </w:rPr>
        <w:t> </w:t>
      </w:r>
      <w:r>
        <w:rPr/>
        <w:t>could</w:t>
      </w:r>
      <w:r>
        <w:rPr>
          <w:spacing w:val="-2"/>
        </w:rPr>
        <w:t> </w:t>
      </w:r>
      <w:r>
        <w:rPr/>
        <w:t>change or could be interpreted differently in the future, or new laws and regulations could be enacted. In addition, effective January 1, 2019, smoking in casinos in Macau, including MGM Macau and MGM Cotai, is only permitted inside specially ventilated smoking rooms, rather than outside smoking areas or VIP</w:t>
      </w:r>
      <w:r>
        <w:rPr>
          <w:spacing w:val="-4"/>
        </w:rPr>
        <w:t> </w:t>
      </w:r>
      <w:r>
        <w:rPr/>
        <w:t>areas. The likelihood or outcome of similar legislation in other jurisdictions and referendums in the future cannot be predicted, though any smoking ban would be expected to negatively impact our financial performance.</w:t>
      </w:r>
    </w:p>
    <w:p>
      <w:pPr>
        <w:pStyle w:val="BodyText"/>
        <w:spacing w:before="11"/>
      </w:pPr>
    </w:p>
    <w:p>
      <w:pPr>
        <w:pStyle w:val="BodyText"/>
        <w:spacing w:line="237" w:lineRule="auto"/>
        <w:ind w:left="144" w:right="118" w:firstLine="499"/>
        <w:jc w:val="both"/>
      </w:pPr>
      <w:r>
        <w:rPr/>
        <w:t>We also deal with significant amounts of cash in our operations and are subject to recordkeeping and reporting obligations as required by various anti- money laundering laws and regulations. For instance, we are subject to regulation under the Currency and Foreign Transactions Reporting Act of </w:t>
      </w:r>
      <w:r>
        <w:rPr/>
        <w:t>1970, commonly known as the “Bank Secrecy Act”, which, among other things, requires us to report to the Internal Revenue Service (“IRS”) any currency transactions in excess of $10,000 that occur within a 24-hour gaming day, including identification of the individual(s) involved in the currency transaction.</w:t>
      </w:r>
      <w:r>
        <w:rPr>
          <w:spacing w:val="-2"/>
        </w:rPr>
        <w:t> </w:t>
      </w:r>
      <w:r>
        <w:rPr/>
        <w:t>We are also required to report certain suspicious activity where we know, suspect or have reason to suspect transactions, among other things, involve funds from illegal activity or are intended to evade federal regulations or avoid reporting requirements or have no business or lawful purpose. In addition, under the Bank Secrecy</w:t>
      </w:r>
      <w:r>
        <w:rPr>
          <w:spacing w:val="-7"/>
        </w:rPr>
        <w:t> </w:t>
      </w:r>
      <w:r>
        <w:rPr/>
        <w:t>Act we are subject to various other rules and regulations involving reporting, recordkeeping and retention. Our compliance with the Bank Secrecy</w:t>
      </w:r>
      <w:r>
        <w:rPr>
          <w:spacing w:val="-7"/>
        </w:rPr>
        <w:t> </w:t>
      </w:r>
      <w:r>
        <w:rPr/>
        <w:t>Act is subject to periodic examinations by the IRS.</w:t>
      </w:r>
      <w:r>
        <w:rPr>
          <w:spacing w:val="-3"/>
        </w:rPr>
        <w:t> </w:t>
      </w:r>
      <w:r>
        <w:rPr/>
        <w:t>Any such laws and regulations could change or could be interpreted differently in the future, or new laws and regulations could be enacted. Any violations of the anti-money</w:t>
      </w:r>
    </w:p>
    <w:p>
      <w:pPr>
        <w:pStyle w:val="BodyText"/>
      </w:pPr>
    </w:p>
    <w:p>
      <w:pPr>
        <w:pStyle w:val="BodyText"/>
        <w:spacing w:before="197"/>
      </w:pPr>
    </w:p>
    <w:p>
      <w:pPr>
        <w:pStyle w:val="BodyText"/>
        <w:ind w:right="5785"/>
        <w:jc w:val="right"/>
      </w:pPr>
      <w:r>
        <w:rPr>
          <w:spacing w:val="-5"/>
        </w:rPr>
        <w:t>24</w:t>
      </w:r>
    </w:p>
    <w:p>
      <w:pPr>
        <w:pStyle w:val="BodyText"/>
        <w:spacing w:before="3"/>
        <w:rPr>
          <w:sz w:val="6"/>
        </w:rPr>
      </w:pPr>
      <w:r>
        <w:rPr/>
        <mc:AlternateContent>
          <mc:Choice Requires="wps">
            <w:drawing>
              <wp:anchor distT="0" distB="0" distL="0" distR="0" allowOverlap="1" layoutInCell="1" locked="0" behindDoc="1" simplePos="0" relativeHeight="487606272">
                <wp:simplePos x="0" y="0"/>
                <wp:positionH relativeFrom="page">
                  <wp:posOffset>231457</wp:posOffset>
                </wp:positionH>
                <wp:positionV relativeFrom="paragraph">
                  <wp:posOffset>60956</wp:posOffset>
                </wp:positionV>
                <wp:extent cx="7312659" cy="17145"/>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7312659" cy="17145"/>
                          <a:chExt cx="7312659" cy="17145"/>
                        </a:xfrm>
                      </wpg:grpSpPr>
                      <wps:wsp>
                        <wps:cNvPr id="118" name="Graphic 11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9" name="Graphic 119"/>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0" name="Graphic 12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0208;mso-wrap-distance-left:0;mso-wrap-distance-right:0" id="docshapegroup116" coordorigin="364,96" coordsize="11516,27">
                <v:rect style="position:absolute;left:364;top:96;width:11516;height:14" id="docshape117" filled="true" fillcolor="#999999" stroked="false">
                  <v:fill type="solid"/>
                </v:rect>
                <v:shape style="position:absolute;left:364;top:96;width:11516;height:27" id="docshape118" coordorigin="364,96" coordsize="11516,27" path="m11880,96l11866,110,364,110,364,123,11866,123,11880,123,11880,110,11880,96xe" filled="true" fillcolor="#ededed" stroked="false">
                  <v:path arrowok="t"/>
                  <v:fill type="solid"/>
                </v:shape>
                <v:shape style="position:absolute;left:364;top:96;width:14;height:27" id="docshape11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BodyText"/>
        <w:spacing w:line="235" w:lineRule="auto" w:before="66"/>
        <w:ind w:left="144"/>
      </w:pPr>
      <w:r>
        <w:rPr/>
        <w:t>laundering</w:t>
      </w:r>
      <w:r>
        <w:rPr>
          <w:spacing w:val="14"/>
        </w:rPr>
        <w:t> </w:t>
      </w:r>
      <w:r>
        <w:rPr/>
        <w:t>laws,</w:t>
      </w:r>
      <w:r>
        <w:rPr>
          <w:spacing w:val="14"/>
        </w:rPr>
        <w:t> </w:t>
      </w:r>
      <w:r>
        <w:rPr/>
        <w:t>including</w:t>
      </w:r>
      <w:r>
        <w:rPr>
          <w:spacing w:val="14"/>
        </w:rPr>
        <w:t> </w:t>
      </w:r>
      <w:r>
        <w:rPr/>
        <w:t>the</w:t>
      </w:r>
      <w:r>
        <w:rPr>
          <w:spacing w:val="14"/>
        </w:rPr>
        <w:t> </w:t>
      </w:r>
      <w:r>
        <w:rPr/>
        <w:t>Bank</w:t>
      </w:r>
      <w:r>
        <w:rPr>
          <w:spacing w:val="14"/>
        </w:rPr>
        <w:t> </w:t>
      </w:r>
      <w:r>
        <w:rPr/>
        <w:t>Secrecy Act,</w:t>
      </w:r>
      <w:r>
        <w:rPr>
          <w:spacing w:val="14"/>
        </w:rPr>
        <w:t> </w:t>
      </w:r>
      <w:r>
        <w:rPr/>
        <w:t>or</w:t>
      </w:r>
      <w:r>
        <w:rPr>
          <w:spacing w:val="14"/>
        </w:rPr>
        <w:t> </w:t>
      </w:r>
      <w:r>
        <w:rPr/>
        <w:t>regulations</w:t>
      </w:r>
      <w:r>
        <w:rPr>
          <w:spacing w:val="14"/>
        </w:rPr>
        <w:t> </w:t>
      </w:r>
      <w:r>
        <w:rPr/>
        <w:t>by</w:t>
      </w:r>
      <w:r>
        <w:rPr>
          <w:spacing w:val="14"/>
        </w:rPr>
        <w:t> </w:t>
      </w:r>
      <w:r>
        <w:rPr/>
        <w:t>any</w:t>
      </w:r>
      <w:r>
        <w:rPr>
          <w:spacing w:val="14"/>
        </w:rPr>
        <w:t> </w:t>
      </w:r>
      <w:r>
        <w:rPr/>
        <w:t>of</w:t>
      </w:r>
      <w:r>
        <w:rPr>
          <w:spacing w:val="14"/>
        </w:rPr>
        <w:t> </w:t>
      </w:r>
      <w:r>
        <w:rPr/>
        <w:t>our</w:t>
      </w:r>
      <w:r>
        <w:rPr>
          <w:spacing w:val="14"/>
        </w:rPr>
        <w:t> </w:t>
      </w:r>
      <w:r>
        <w:rPr/>
        <w:t>properties</w:t>
      </w:r>
      <w:r>
        <w:rPr>
          <w:spacing w:val="14"/>
        </w:rPr>
        <w:t> </w:t>
      </w:r>
      <w:r>
        <w:rPr/>
        <w:t>could</w:t>
      </w:r>
      <w:r>
        <w:rPr>
          <w:spacing w:val="14"/>
        </w:rPr>
        <w:t> </w:t>
      </w:r>
      <w:r>
        <w:rPr/>
        <w:t>have</w:t>
      </w:r>
      <w:r>
        <w:rPr>
          <w:spacing w:val="14"/>
        </w:rPr>
        <w:t> </w:t>
      </w:r>
      <w:r>
        <w:rPr/>
        <w:t>an</w:t>
      </w:r>
      <w:r>
        <w:rPr>
          <w:spacing w:val="14"/>
        </w:rPr>
        <w:t> </w:t>
      </w:r>
      <w:r>
        <w:rPr/>
        <w:t>adverse</w:t>
      </w:r>
      <w:r>
        <w:rPr>
          <w:spacing w:val="14"/>
        </w:rPr>
        <w:t> </w:t>
      </w:r>
      <w:r>
        <w:rPr/>
        <w:t>effect</w:t>
      </w:r>
      <w:r>
        <w:rPr>
          <w:spacing w:val="14"/>
        </w:rPr>
        <w:t> </w:t>
      </w:r>
      <w:r>
        <w:rPr/>
        <w:t>on</w:t>
      </w:r>
      <w:r>
        <w:rPr>
          <w:spacing w:val="14"/>
        </w:rPr>
        <w:t> </w:t>
      </w:r>
      <w:r>
        <w:rPr/>
        <w:t>our</w:t>
      </w:r>
      <w:r>
        <w:rPr>
          <w:spacing w:val="14"/>
        </w:rPr>
        <w:t> </w:t>
      </w:r>
      <w:r>
        <w:rPr/>
        <w:t>financial</w:t>
      </w:r>
      <w:r>
        <w:rPr>
          <w:spacing w:val="14"/>
        </w:rPr>
        <w:t> </w:t>
      </w:r>
      <w:r>
        <w:rPr/>
        <w:t>condition,</w:t>
      </w:r>
      <w:r>
        <w:rPr>
          <w:spacing w:val="14"/>
        </w:rPr>
        <w:t> </w:t>
      </w:r>
      <w:r>
        <w:rPr/>
        <w:t>results</w:t>
      </w:r>
      <w:r>
        <w:rPr>
          <w:spacing w:val="14"/>
        </w:rPr>
        <w:t> </w:t>
      </w:r>
      <w:r>
        <w:rPr/>
        <w:t>of operations or cash flows.</w:t>
      </w:r>
    </w:p>
    <w:p>
      <w:pPr>
        <w:pStyle w:val="BodyText"/>
        <w:spacing w:before="20"/>
      </w:pPr>
    </w:p>
    <w:p>
      <w:pPr>
        <w:pStyle w:val="BodyText"/>
        <w:spacing w:line="237" w:lineRule="auto"/>
        <w:ind w:left="144" w:right="118" w:firstLine="499"/>
        <w:jc w:val="both"/>
      </w:pPr>
      <w:r>
        <w:rPr/>
        <w:t>Furthermore, the COVID-19 pandemic has resulted in governments, public institutions and other organizations imposing or recommending restrictions on various activities or other actions to combat its spread. See “—The global COVID-19 pandemic has continued to materially impact our business, financial results and liquidity, and such impact could worsen and last for an unknown period of time.” In addition to the pandemic-related restrictions that resulted in </w:t>
      </w:r>
      <w:r>
        <w:rPr/>
        <w:t>the temporary closures of our properties during 2020, governmental or other COVID-19-related restrictions have been extended or reimposed from time-to-time and new restrictions may be imposed in the future.</w:t>
      </w:r>
    </w:p>
    <w:p>
      <w:pPr>
        <w:pStyle w:val="BodyText"/>
        <w:spacing w:before="9"/>
      </w:pPr>
    </w:p>
    <w:p>
      <w:pPr>
        <w:pStyle w:val="BodyText"/>
        <w:ind w:left="144" w:right="117" w:firstLine="499"/>
        <w:jc w:val="both"/>
      </w:pPr>
      <w:r>
        <w:rPr>
          <w:b/>
          <w:i/>
        </w:rPr>
        <w:t>Any violation of the Foreign Corrupt Practices Act or any other similar anti-corruption laws could have a negative impact on us</w:t>
      </w:r>
      <w:r>
        <w:rPr>
          <w:b/>
        </w:rPr>
        <w:t>. </w:t>
      </w:r>
      <w:r>
        <w:rPr/>
        <w:t>Historically, a significant portion of our revenue was derived from operations outside the United States, which exposes us to complex foreign and U.S. regulations inherent in doing cross-border business and in each of the countries in which we transact business. We are subject to compliance with the United States Foreign </w:t>
      </w:r>
      <w:r>
        <w:rPr/>
        <w:t>Corrupt Practices</w:t>
      </w:r>
      <w:r>
        <w:rPr>
          <w:spacing w:val="-11"/>
        </w:rPr>
        <w:t> </w:t>
      </w:r>
      <w:r>
        <w:rPr/>
        <w:t>Act</w:t>
      </w:r>
      <w:r>
        <w:rPr>
          <w:spacing w:val="-3"/>
        </w:rPr>
        <w:t> </w:t>
      </w:r>
      <w:r>
        <w:rPr/>
        <w:t>(“FCPA”)</w:t>
      </w:r>
      <w:r>
        <w:rPr>
          <w:spacing w:val="-3"/>
        </w:rPr>
        <w:t> </w:t>
      </w:r>
      <w:r>
        <w:rPr/>
        <w:t>and</w:t>
      </w:r>
      <w:r>
        <w:rPr>
          <w:spacing w:val="-3"/>
        </w:rPr>
        <w:t> </w:t>
      </w:r>
      <w:r>
        <w:rPr/>
        <w:t>other</w:t>
      </w:r>
      <w:r>
        <w:rPr>
          <w:spacing w:val="-3"/>
        </w:rPr>
        <w:t> </w:t>
      </w:r>
      <w:r>
        <w:rPr/>
        <w:t>similar</w:t>
      </w:r>
      <w:r>
        <w:rPr>
          <w:spacing w:val="-3"/>
        </w:rPr>
        <w:t> </w:t>
      </w:r>
      <w:r>
        <w:rPr/>
        <w:t>anti-corruption</w:t>
      </w:r>
      <w:r>
        <w:rPr>
          <w:spacing w:val="-3"/>
        </w:rPr>
        <w:t> </w:t>
      </w:r>
      <w:r>
        <w:rPr/>
        <w:t>laws,</w:t>
      </w:r>
      <w:r>
        <w:rPr>
          <w:spacing w:val="-3"/>
        </w:rPr>
        <w:t> </w:t>
      </w:r>
      <w:r>
        <w:rPr/>
        <w:t>which</w:t>
      </w:r>
      <w:r>
        <w:rPr>
          <w:spacing w:val="-3"/>
        </w:rPr>
        <w:t> </w:t>
      </w:r>
      <w:r>
        <w:rPr/>
        <w:t>generally</w:t>
      </w:r>
      <w:r>
        <w:rPr>
          <w:spacing w:val="-3"/>
        </w:rPr>
        <w:t> </w:t>
      </w:r>
      <w:r>
        <w:rPr/>
        <w:t>prohibit</w:t>
      </w:r>
      <w:r>
        <w:rPr>
          <w:spacing w:val="-3"/>
        </w:rPr>
        <w:t> </w:t>
      </w:r>
      <w:r>
        <w:rPr/>
        <w:t>companies</w:t>
      </w:r>
      <w:r>
        <w:rPr>
          <w:spacing w:val="-3"/>
        </w:rPr>
        <w:t> </w:t>
      </w:r>
      <w:r>
        <w:rPr/>
        <w:t>and</w:t>
      </w:r>
      <w:r>
        <w:rPr>
          <w:spacing w:val="-3"/>
        </w:rPr>
        <w:t> </w:t>
      </w:r>
      <w:r>
        <w:rPr/>
        <w:t>their</w:t>
      </w:r>
      <w:r>
        <w:rPr>
          <w:spacing w:val="-3"/>
        </w:rPr>
        <w:t> </w:t>
      </w:r>
      <w:r>
        <w:rPr/>
        <w:t>intermediaries</w:t>
      </w:r>
      <w:r>
        <w:rPr>
          <w:spacing w:val="-3"/>
        </w:rPr>
        <w:t> </w:t>
      </w:r>
      <w:r>
        <w:rPr/>
        <w:t>from</w:t>
      </w:r>
      <w:r>
        <w:rPr>
          <w:spacing w:val="-3"/>
        </w:rPr>
        <w:t> </w:t>
      </w:r>
      <w:r>
        <w:rPr/>
        <w:t>making</w:t>
      </w:r>
      <w:r>
        <w:rPr>
          <w:spacing w:val="-3"/>
        </w:rPr>
        <w:t> </w:t>
      </w:r>
      <w:r>
        <w:rPr/>
        <w:t>improper</w:t>
      </w:r>
      <w:r>
        <w:rPr>
          <w:spacing w:val="-3"/>
        </w:rPr>
        <w:t> </w:t>
      </w:r>
      <w:r>
        <w:rPr/>
        <w:t>payments</w:t>
      </w:r>
      <w:r>
        <w:rPr>
          <w:spacing w:val="-3"/>
        </w:rPr>
        <w:t> </w:t>
      </w:r>
      <w:r>
        <w:rPr/>
        <w:t>to foreign government officials for the purpose of obtaining or retaining business. While our employees and agents are required to comply with these laws, we cannot be sure that our internal policies and procedures will always protect us from violations of these laws, despite our commitment to legal compliance and corporate ethics. Violations of these laws by us or our non-controlled ventures may result in severe criminal and civil sanctions as well as other penalties</w:t>
      </w:r>
      <w:r>
        <w:rPr>
          <w:spacing w:val="40"/>
        </w:rPr>
        <w:t> </w:t>
      </w:r>
      <w:r>
        <w:rPr/>
        <w:t>against us, and the SEC and U.S. Department of Justice continue to vigorously pursue enforcement of the FCPA.</w:t>
      </w:r>
      <w:r>
        <w:rPr>
          <w:spacing w:val="-3"/>
        </w:rPr>
        <w:t> </w:t>
      </w:r>
      <w:r>
        <w:rPr/>
        <w:t>The occurrence or allegation of these types of risks may adversely affect our business, performance, prospects, value, financial condition, and results of operations.</w:t>
      </w:r>
    </w:p>
    <w:p>
      <w:pPr>
        <w:pStyle w:val="BodyText"/>
        <w:spacing w:before="9"/>
      </w:pPr>
    </w:p>
    <w:p>
      <w:pPr>
        <w:pStyle w:val="BodyText"/>
        <w:ind w:left="144" w:right="118" w:firstLine="499"/>
        <w:jc w:val="both"/>
      </w:pPr>
      <w:r>
        <w:rPr>
          <w:b/>
          <w:i/>
        </w:rPr>
        <w:t>If the jurisdictions in which we operate increase gaming taxes and fees, as well as other taxes and fees, our results could be adversely affected</w:t>
      </w:r>
      <w:r>
        <w:rPr>
          <w:b/>
        </w:rPr>
        <w:t>. </w:t>
      </w:r>
      <w:r>
        <w:rPr/>
        <w:t>Federal, state and local authorities domestically and internationally raise a significant amount of revenue through taxes and fees, including taxes and fees </w:t>
      </w:r>
      <w:r>
        <w:rPr/>
        <w:t>on gaming activities. From time to time, legislators and government officials have proposed changes in tax laws, or in the administration of such laws, affecting</w:t>
      </w:r>
      <w:r>
        <w:rPr>
          <w:spacing w:val="40"/>
        </w:rPr>
        <w:t> </w:t>
      </w:r>
      <w:r>
        <w:rPr/>
        <w:t>the gaming industry. Periods of economic downturn or uncertainty and budget deficits may intensify such efforts to raise revenues through increases in gaming or other taxes, the imposition of new taxes or changes to tax laws that result in increased taxes to us. If the jurisdictions in which we operate were to increase taxes, impose new taxes or change existing tax laws, our financial condition and results of operations could be materially adversely affected.</w:t>
      </w:r>
    </w:p>
    <w:p>
      <w:pPr>
        <w:pStyle w:val="BodyText"/>
        <w:spacing w:before="9"/>
      </w:pPr>
    </w:p>
    <w:p>
      <w:pPr>
        <w:pStyle w:val="BodyText"/>
        <w:spacing w:line="242" w:lineRule="auto"/>
        <w:ind w:left="144" w:right="118" w:firstLine="499"/>
        <w:jc w:val="both"/>
      </w:pPr>
      <w:r>
        <w:rPr>
          <w:b/>
          <w:i/>
        </w:rPr>
        <w:t>The future recognition of our foreign tax credit deferred tax asset is uncertain, and the amount of valuation allowance we may apply against </w:t>
      </w:r>
      <w:r>
        <w:rPr>
          <w:b/>
          <w:i/>
        </w:rPr>
        <w:t>such deferred tax asset may change materially in future periods. </w:t>
      </w:r>
      <w:r>
        <w:rPr/>
        <w:t>We currently have significant deferred tax assets resulting from foreign tax credit carryforwards that</w:t>
      </w:r>
      <w:r>
        <w:rPr>
          <w:spacing w:val="-1"/>
        </w:rPr>
        <w:t> </w:t>
      </w:r>
      <w:r>
        <w:rPr/>
        <w:t>are</w:t>
      </w:r>
      <w:r>
        <w:rPr>
          <w:spacing w:val="-1"/>
        </w:rPr>
        <w:t> </w:t>
      </w:r>
      <w:r>
        <w:rPr/>
        <w:t>available</w:t>
      </w:r>
      <w:r>
        <w:rPr>
          <w:spacing w:val="-1"/>
        </w:rPr>
        <w:t> </w:t>
      </w:r>
      <w:r>
        <w:rPr/>
        <w:t>to</w:t>
      </w:r>
      <w:r>
        <w:rPr>
          <w:spacing w:val="-1"/>
        </w:rPr>
        <w:t> </w:t>
      </w:r>
      <w:r>
        <w:rPr/>
        <w:t>reduce</w:t>
      </w:r>
      <w:r>
        <w:rPr>
          <w:spacing w:val="-1"/>
        </w:rPr>
        <w:t> </w:t>
      </w:r>
      <w:r>
        <w:rPr/>
        <w:t>taxes</w:t>
      </w:r>
      <w:r>
        <w:rPr>
          <w:spacing w:val="-1"/>
        </w:rPr>
        <w:t> </w:t>
      </w:r>
      <w:r>
        <w:rPr/>
        <w:t>attributable</w:t>
      </w:r>
      <w:r>
        <w:rPr>
          <w:spacing w:val="-1"/>
        </w:rPr>
        <w:t> </w:t>
      </w:r>
      <w:r>
        <w:rPr/>
        <w:t>to</w:t>
      </w:r>
      <w:r>
        <w:rPr>
          <w:spacing w:val="-1"/>
        </w:rPr>
        <w:t> </w:t>
      </w:r>
      <w:r>
        <w:rPr/>
        <w:t>potential</w:t>
      </w:r>
      <w:r>
        <w:rPr>
          <w:spacing w:val="-1"/>
        </w:rPr>
        <w:t> </w:t>
      </w:r>
      <w:r>
        <w:rPr/>
        <w:t>taxable</w:t>
      </w:r>
      <w:r>
        <w:rPr>
          <w:spacing w:val="-1"/>
        </w:rPr>
        <w:t> </w:t>
      </w:r>
      <w:r>
        <w:rPr/>
        <w:t>foreign-sourced</w:t>
      </w:r>
      <w:r>
        <w:rPr>
          <w:spacing w:val="-1"/>
        </w:rPr>
        <w:t> </w:t>
      </w:r>
      <w:r>
        <w:rPr/>
        <w:t>income</w:t>
      </w:r>
      <w:r>
        <w:rPr>
          <w:spacing w:val="-1"/>
        </w:rPr>
        <w:t> </w:t>
      </w:r>
      <w:r>
        <w:rPr/>
        <w:t>in</w:t>
      </w:r>
      <w:r>
        <w:rPr>
          <w:spacing w:val="-1"/>
        </w:rPr>
        <w:t> </w:t>
      </w:r>
      <w:r>
        <w:rPr/>
        <w:t>future</w:t>
      </w:r>
      <w:r>
        <w:rPr>
          <w:spacing w:val="-1"/>
        </w:rPr>
        <w:t> </w:t>
      </w:r>
      <w:r>
        <w:rPr/>
        <w:t>periods,</w:t>
      </w:r>
      <w:r>
        <w:rPr>
          <w:spacing w:val="-1"/>
        </w:rPr>
        <w:t> </w:t>
      </w:r>
      <w:r>
        <w:rPr/>
        <w:t>including</w:t>
      </w:r>
      <w:r>
        <w:rPr>
          <w:spacing w:val="-1"/>
        </w:rPr>
        <w:t> </w:t>
      </w:r>
      <w:r>
        <w:rPr/>
        <w:t>the</w:t>
      </w:r>
      <w:r>
        <w:rPr>
          <w:spacing w:val="-1"/>
        </w:rPr>
        <w:t> </w:t>
      </w:r>
      <w:r>
        <w:rPr/>
        <w:t>recapture</w:t>
      </w:r>
      <w:r>
        <w:rPr>
          <w:spacing w:val="-1"/>
        </w:rPr>
        <w:t> </w:t>
      </w:r>
      <w:r>
        <w:rPr/>
        <w:t>of</w:t>
      </w:r>
      <w:r>
        <w:rPr>
          <w:spacing w:val="-1"/>
        </w:rPr>
        <w:t> </w:t>
      </w:r>
      <w:r>
        <w:rPr/>
        <w:t>overall</w:t>
      </w:r>
      <w:r>
        <w:rPr>
          <w:spacing w:val="-1"/>
        </w:rPr>
        <w:t> </w:t>
      </w:r>
      <w:r>
        <w:rPr/>
        <w:t>domestic</w:t>
      </w:r>
      <w:r>
        <w:rPr>
          <w:spacing w:val="-1"/>
        </w:rPr>
        <w:t> </w:t>
      </w:r>
      <w:r>
        <w:rPr/>
        <w:t>losses</w:t>
      </w:r>
      <w:r>
        <w:rPr>
          <w:spacing w:val="-1"/>
        </w:rPr>
        <w:t> </w:t>
      </w:r>
      <w:r>
        <w:rPr/>
        <w:t>to the extent of 50 percent of U.S. taxable income per year. We evaluate our foreign tax credit deferred tax asset for recoverability and record a valuation allowance to the extent that we determine it is not more likely than not such asset will be recovered. This evaluation is based on all available evidence, including assumptions concerning future U.S. operating profits and foreign source income. As a result, significant judgment is required in assessing the</w:t>
      </w:r>
      <w:r>
        <w:rPr>
          <w:spacing w:val="40"/>
        </w:rPr>
        <w:t> </w:t>
      </w:r>
      <w:r>
        <w:rPr/>
        <w:t>possible need for a valuation allowance and changes to our assumptions could result in a material change in the valuation allowance with a corresponding impact on the provision for income taxes in the period including such change.</w:t>
      </w:r>
    </w:p>
    <w:p>
      <w:pPr>
        <w:pStyle w:val="BodyText"/>
        <w:spacing w:before="204"/>
        <w:ind w:left="144" w:right="118" w:firstLine="499"/>
        <w:jc w:val="both"/>
      </w:pPr>
      <w:r>
        <w:rPr>
          <w:b/>
          <w:i/>
        </w:rPr>
        <w:t>We</w:t>
      </w:r>
      <w:r>
        <w:rPr>
          <w:b/>
          <w:i/>
          <w:spacing w:val="-2"/>
        </w:rPr>
        <w:t> </w:t>
      </w:r>
      <w:r>
        <w:rPr>
          <w:b/>
          <w:i/>
        </w:rPr>
        <w:t>face</w:t>
      </w:r>
      <w:r>
        <w:rPr>
          <w:b/>
          <w:i/>
          <w:spacing w:val="-2"/>
        </w:rPr>
        <w:t> </w:t>
      </w:r>
      <w:r>
        <w:rPr>
          <w:b/>
          <w:i/>
        </w:rPr>
        <w:t>risks</w:t>
      </w:r>
      <w:r>
        <w:rPr>
          <w:b/>
          <w:i/>
          <w:spacing w:val="-2"/>
        </w:rPr>
        <w:t> </w:t>
      </w:r>
      <w:r>
        <w:rPr>
          <w:b/>
          <w:i/>
        </w:rPr>
        <w:t>related</w:t>
      </w:r>
      <w:r>
        <w:rPr>
          <w:b/>
          <w:i/>
          <w:spacing w:val="-2"/>
        </w:rPr>
        <w:t> </w:t>
      </w:r>
      <w:r>
        <w:rPr>
          <w:b/>
          <w:i/>
        </w:rPr>
        <w:t>to</w:t>
      </w:r>
      <w:r>
        <w:rPr>
          <w:b/>
          <w:i/>
          <w:spacing w:val="-2"/>
        </w:rPr>
        <w:t> </w:t>
      </w:r>
      <w:r>
        <w:rPr>
          <w:b/>
          <w:i/>
        </w:rPr>
        <w:t>pending</w:t>
      </w:r>
      <w:r>
        <w:rPr>
          <w:b/>
          <w:i/>
          <w:spacing w:val="-2"/>
        </w:rPr>
        <w:t> </w:t>
      </w:r>
      <w:r>
        <w:rPr>
          <w:b/>
          <w:i/>
        </w:rPr>
        <w:t>claims</w:t>
      </w:r>
      <w:r>
        <w:rPr>
          <w:b/>
          <w:i/>
          <w:spacing w:val="-2"/>
        </w:rPr>
        <w:t> </w:t>
      </w:r>
      <w:r>
        <w:rPr>
          <w:b/>
          <w:i/>
        </w:rPr>
        <w:t>that</w:t>
      </w:r>
      <w:r>
        <w:rPr>
          <w:b/>
          <w:i/>
          <w:spacing w:val="-2"/>
        </w:rPr>
        <w:t> </w:t>
      </w:r>
      <w:r>
        <w:rPr>
          <w:b/>
          <w:i/>
        </w:rPr>
        <w:t>have</w:t>
      </w:r>
      <w:r>
        <w:rPr>
          <w:b/>
          <w:i/>
          <w:spacing w:val="-2"/>
        </w:rPr>
        <w:t> </w:t>
      </w:r>
      <w:r>
        <w:rPr>
          <w:b/>
          <w:i/>
        </w:rPr>
        <w:t>been</w:t>
      </w:r>
      <w:r>
        <w:rPr>
          <w:b/>
        </w:rPr>
        <w:t>,</w:t>
      </w:r>
      <w:r>
        <w:rPr>
          <w:b/>
          <w:spacing w:val="-2"/>
        </w:rPr>
        <w:t> </w:t>
      </w:r>
      <w:r>
        <w:rPr>
          <w:b/>
          <w:i/>
        </w:rPr>
        <w:t>or</w:t>
      </w:r>
      <w:r>
        <w:rPr>
          <w:b/>
          <w:i/>
          <w:spacing w:val="-2"/>
        </w:rPr>
        <w:t> </w:t>
      </w:r>
      <w:r>
        <w:rPr>
          <w:b/>
          <w:i/>
        </w:rPr>
        <w:t>future</w:t>
      </w:r>
      <w:r>
        <w:rPr>
          <w:b/>
          <w:i/>
          <w:spacing w:val="-2"/>
        </w:rPr>
        <w:t> </w:t>
      </w:r>
      <w:r>
        <w:rPr>
          <w:b/>
          <w:i/>
        </w:rPr>
        <w:t>claims</w:t>
      </w:r>
      <w:r>
        <w:rPr>
          <w:b/>
          <w:i/>
          <w:spacing w:val="-2"/>
        </w:rPr>
        <w:t> </w:t>
      </w:r>
      <w:r>
        <w:rPr>
          <w:b/>
          <w:i/>
        </w:rPr>
        <w:t>that</w:t>
      </w:r>
      <w:r>
        <w:rPr>
          <w:b/>
          <w:i/>
          <w:spacing w:val="-2"/>
        </w:rPr>
        <w:t> </w:t>
      </w:r>
      <w:r>
        <w:rPr>
          <w:b/>
          <w:i/>
        </w:rPr>
        <w:t>may</w:t>
      </w:r>
      <w:r>
        <w:rPr>
          <w:b/>
          <w:i/>
          <w:spacing w:val="-2"/>
        </w:rPr>
        <w:t> </w:t>
      </w:r>
      <w:r>
        <w:rPr>
          <w:b/>
          <w:i/>
        </w:rPr>
        <w:t>be</w:t>
      </w:r>
      <w:r>
        <w:rPr>
          <w:b/>
        </w:rPr>
        <w:t>,</w:t>
      </w:r>
      <w:r>
        <w:rPr>
          <w:b/>
          <w:spacing w:val="-2"/>
        </w:rPr>
        <w:t> </w:t>
      </w:r>
      <w:r>
        <w:rPr>
          <w:b/>
          <w:i/>
        </w:rPr>
        <w:t>brought</w:t>
      </w:r>
      <w:r>
        <w:rPr>
          <w:b/>
          <w:i/>
          <w:spacing w:val="-2"/>
        </w:rPr>
        <w:t> </w:t>
      </w:r>
      <w:r>
        <w:rPr>
          <w:b/>
          <w:i/>
        </w:rPr>
        <w:t>against</w:t>
      </w:r>
      <w:r>
        <w:rPr>
          <w:b/>
          <w:i/>
          <w:spacing w:val="-2"/>
        </w:rPr>
        <w:t> </w:t>
      </w:r>
      <w:r>
        <w:rPr>
          <w:b/>
          <w:i/>
        </w:rPr>
        <w:t>us</w:t>
      </w:r>
      <w:r>
        <w:rPr>
          <w:b/>
        </w:rPr>
        <w:t>.</w:t>
      </w:r>
      <w:r>
        <w:rPr>
          <w:b/>
          <w:spacing w:val="-2"/>
        </w:rPr>
        <w:t> </w:t>
      </w:r>
      <w:r>
        <w:rPr/>
        <w:t>Claims</w:t>
      </w:r>
      <w:r>
        <w:rPr>
          <w:spacing w:val="-2"/>
        </w:rPr>
        <w:t> </w:t>
      </w:r>
      <w:r>
        <w:rPr/>
        <w:t>have</w:t>
      </w:r>
      <w:r>
        <w:rPr>
          <w:spacing w:val="-2"/>
        </w:rPr>
        <w:t> </w:t>
      </w:r>
      <w:r>
        <w:rPr/>
        <w:t>been</w:t>
      </w:r>
      <w:r>
        <w:rPr>
          <w:spacing w:val="-2"/>
        </w:rPr>
        <w:t> </w:t>
      </w:r>
      <w:r>
        <w:rPr/>
        <w:t>brought</w:t>
      </w:r>
      <w:r>
        <w:rPr>
          <w:spacing w:val="-2"/>
        </w:rPr>
        <w:t> </w:t>
      </w:r>
      <w:r>
        <w:rPr/>
        <w:t>against</w:t>
      </w:r>
      <w:r>
        <w:rPr>
          <w:spacing w:val="-2"/>
        </w:rPr>
        <w:t> </w:t>
      </w:r>
      <w:r>
        <w:rPr/>
        <w:t>us</w:t>
      </w:r>
      <w:r>
        <w:rPr>
          <w:spacing w:val="-2"/>
        </w:rPr>
        <w:t> </w:t>
      </w:r>
      <w:r>
        <w:rPr/>
        <w:t>and</w:t>
      </w:r>
      <w:r>
        <w:rPr>
          <w:spacing w:val="-2"/>
        </w:rPr>
        <w:t> </w:t>
      </w:r>
      <w:r>
        <w:rPr/>
        <w:t>our subsidiaries</w:t>
      </w:r>
      <w:r>
        <w:rPr>
          <w:spacing w:val="-1"/>
        </w:rPr>
        <w:t> </w:t>
      </w:r>
      <w:r>
        <w:rPr/>
        <w:t>in</w:t>
      </w:r>
      <w:r>
        <w:rPr>
          <w:spacing w:val="-1"/>
        </w:rPr>
        <w:t> </w:t>
      </w:r>
      <w:r>
        <w:rPr/>
        <w:t>various</w:t>
      </w:r>
      <w:r>
        <w:rPr>
          <w:spacing w:val="-1"/>
        </w:rPr>
        <w:t> </w:t>
      </w:r>
      <w:r>
        <w:rPr/>
        <w:t>legal</w:t>
      </w:r>
      <w:r>
        <w:rPr>
          <w:spacing w:val="-1"/>
        </w:rPr>
        <w:t> </w:t>
      </w:r>
      <w:r>
        <w:rPr/>
        <w:t>proceedings,</w:t>
      </w:r>
      <w:r>
        <w:rPr>
          <w:spacing w:val="-1"/>
        </w:rPr>
        <w:t> </w:t>
      </w:r>
      <w:r>
        <w:rPr/>
        <w:t>and</w:t>
      </w:r>
      <w:r>
        <w:rPr>
          <w:spacing w:val="-1"/>
        </w:rPr>
        <w:t> </w:t>
      </w:r>
      <w:r>
        <w:rPr/>
        <w:t>additional</w:t>
      </w:r>
      <w:r>
        <w:rPr>
          <w:spacing w:val="-1"/>
        </w:rPr>
        <w:t> </w:t>
      </w:r>
      <w:r>
        <w:rPr/>
        <w:t>legal</w:t>
      </w:r>
      <w:r>
        <w:rPr>
          <w:spacing w:val="-1"/>
        </w:rPr>
        <w:t> </w:t>
      </w:r>
      <w:r>
        <w:rPr/>
        <w:t>and</w:t>
      </w:r>
      <w:r>
        <w:rPr>
          <w:spacing w:val="-1"/>
        </w:rPr>
        <w:t> </w:t>
      </w:r>
      <w:r>
        <w:rPr/>
        <w:t>tax</w:t>
      </w:r>
      <w:r>
        <w:rPr>
          <w:spacing w:val="-1"/>
        </w:rPr>
        <w:t> </w:t>
      </w:r>
      <w:r>
        <w:rPr/>
        <w:t>claims</w:t>
      </w:r>
      <w:r>
        <w:rPr>
          <w:spacing w:val="-1"/>
        </w:rPr>
        <w:t> </w:t>
      </w:r>
      <w:r>
        <w:rPr/>
        <w:t>arise</w:t>
      </w:r>
      <w:r>
        <w:rPr>
          <w:spacing w:val="-1"/>
        </w:rPr>
        <w:t> </w:t>
      </w:r>
      <w:r>
        <w:rPr/>
        <w:t>from</w:t>
      </w:r>
      <w:r>
        <w:rPr>
          <w:spacing w:val="-1"/>
        </w:rPr>
        <w:t> </w:t>
      </w:r>
      <w:r>
        <w:rPr/>
        <w:t>time</w:t>
      </w:r>
      <w:r>
        <w:rPr>
          <w:spacing w:val="-1"/>
        </w:rPr>
        <w:t> </w:t>
      </w:r>
      <w:r>
        <w:rPr/>
        <w:t>to</w:t>
      </w:r>
      <w:r>
        <w:rPr>
          <w:spacing w:val="-1"/>
        </w:rPr>
        <w:t> </w:t>
      </w:r>
      <w:r>
        <w:rPr/>
        <w:t>time.</w:t>
      </w:r>
      <w:r>
        <w:rPr>
          <w:spacing w:val="-4"/>
        </w:rPr>
        <w:t> </w:t>
      </w:r>
      <w:r>
        <w:rPr/>
        <w:t>We</w:t>
      </w:r>
      <w:r>
        <w:rPr>
          <w:spacing w:val="-1"/>
        </w:rPr>
        <w:t> </w:t>
      </w:r>
      <w:r>
        <w:rPr/>
        <w:t>may</w:t>
      </w:r>
      <w:r>
        <w:rPr>
          <w:spacing w:val="-1"/>
        </w:rPr>
        <w:t> </w:t>
      </w:r>
      <w:r>
        <w:rPr/>
        <w:t>not</w:t>
      </w:r>
      <w:r>
        <w:rPr>
          <w:spacing w:val="-1"/>
        </w:rPr>
        <w:t> </w:t>
      </w:r>
      <w:r>
        <w:rPr/>
        <w:t>be</w:t>
      </w:r>
      <w:r>
        <w:rPr>
          <w:spacing w:val="-1"/>
        </w:rPr>
        <w:t> </w:t>
      </w:r>
      <w:r>
        <w:rPr/>
        <w:t>successful</w:t>
      </w:r>
      <w:r>
        <w:rPr>
          <w:spacing w:val="-1"/>
        </w:rPr>
        <w:t> </w:t>
      </w:r>
      <w:r>
        <w:rPr/>
        <w:t>in</w:t>
      </w:r>
      <w:r>
        <w:rPr>
          <w:spacing w:val="-1"/>
        </w:rPr>
        <w:t> </w:t>
      </w:r>
      <w:r>
        <w:rPr/>
        <w:t>the</w:t>
      </w:r>
      <w:r>
        <w:rPr>
          <w:spacing w:val="-1"/>
        </w:rPr>
        <w:t> </w:t>
      </w:r>
      <w:r>
        <w:rPr/>
        <w:t>defense</w:t>
      </w:r>
      <w:r>
        <w:rPr>
          <w:spacing w:val="-1"/>
        </w:rPr>
        <w:t> </w:t>
      </w:r>
      <w:r>
        <w:rPr/>
        <w:t>or</w:t>
      </w:r>
      <w:r>
        <w:rPr>
          <w:spacing w:val="-1"/>
        </w:rPr>
        <w:t> </w:t>
      </w:r>
      <w:r>
        <w:rPr/>
        <w:t>prosecution</w:t>
      </w:r>
      <w:r>
        <w:rPr>
          <w:spacing w:val="-1"/>
        </w:rPr>
        <w:t> </w:t>
      </w:r>
      <w:r>
        <w:rPr/>
        <w:t>of our</w:t>
      </w:r>
      <w:r>
        <w:rPr>
          <w:spacing w:val="-1"/>
        </w:rPr>
        <w:t> </w:t>
      </w:r>
      <w:r>
        <w:rPr/>
        <w:t>current</w:t>
      </w:r>
      <w:r>
        <w:rPr>
          <w:spacing w:val="-1"/>
        </w:rPr>
        <w:t> </w:t>
      </w:r>
      <w:r>
        <w:rPr/>
        <w:t>or</w:t>
      </w:r>
      <w:r>
        <w:rPr>
          <w:spacing w:val="-1"/>
        </w:rPr>
        <w:t> </w:t>
      </w:r>
      <w:r>
        <w:rPr/>
        <w:t>future</w:t>
      </w:r>
      <w:r>
        <w:rPr>
          <w:spacing w:val="-1"/>
        </w:rPr>
        <w:t> </w:t>
      </w:r>
      <w:r>
        <w:rPr/>
        <w:t>legal</w:t>
      </w:r>
      <w:r>
        <w:rPr>
          <w:spacing w:val="-1"/>
        </w:rPr>
        <w:t> </w:t>
      </w:r>
      <w:r>
        <w:rPr/>
        <w:t>proceedings,</w:t>
      </w:r>
      <w:r>
        <w:rPr>
          <w:spacing w:val="-1"/>
        </w:rPr>
        <w:t> </w:t>
      </w:r>
      <w:r>
        <w:rPr/>
        <w:t>which</w:t>
      </w:r>
      <w:r>
        <w:rPr>
          <w:spacing w:val="-1"/>
        </w:rPr>
        <w:t> </w:t>
      </w:r>
      <w:r>
        <w:rPr/>
        <w:t>could</w:t>
      </w:r>
      <w:r>
        <w:rPr>
          <w:spacing w:val="-1"/>
        </w:rPr>
        <w:t> </w:t>
      </w:r>
      <w:r>
        <w:rPr/>
        <w:t>result</w:t>
      </w:r>
      <w:r>
        <w:rPr>
          <w:spacing w:val="-1"/>
        </w:rPr>
        <w:t> </w:t>
      </w:r>
      <w:r>
        <w:rPr/>
        <w:t>in</w:t>
      </w:r>
      <w:r>
        <w:rPr>
          <w:spacing w:val="-1"/>
        </w:rPr>
        <w:t> </w:t>
      </w:r>
      <w:r>
        <w:rPr/>
        <w:t>settlements</w:t>
      </w:r>
      <w:r>
        <w:rPr>
          <w:spacing w:val="-1"/>
        </w:rPr>
        <w:t> </w:t>
      </w:r>
      <w:r>
        <w:rPr/>
        <w:t>or</w:t>
      </w:r>
      <w:r>
        <w:rPr>
          <w:spacing w:val="-1"/>
        </w:rPr>
        <w:t> </w:t>
      </w:r>
      <w:r>
        <w:rPr/>
        <w:t>damages</w:t>
      </w:r>
      <w:r>
        <w:rPr>
          <w:spacing w:val="-1"/>
        </w:rPr>
        <w:t> </w:t>
      </w:r>
      <w:r>
        <w:rPr/>
        <w:t>that</w:t>
      </w:r>
      <w:r>
        <w:rPr>
          <w:spacing w:val="-1"/>
        </w:rPr>
        <w:t> </w:t>
      </w:r>
      <w:r>
        <w:rPr/>
        <w:t>could</w:t>
      </w:r>
      <w:r>
        <w:rPr>
          <w:spacing w:val="-1"/>
        </w:rPr>
        <w:t> </w:t>
      </w:r>
      <w:r>
        <w:rPr/>
        <w:t>significantly</w:t>
      </w:r>
      <w:r>
        <w:rPr>
          <w:spacing w:val="-1"/>
        </w:rPr>
        <w:t> </w:t>
      </w:r>
      <w:r>
        <w:rPr/>
        <w:t>impact</w:t>
      </w:r>
      <w:r>
        <w:rPr>
          <w:spacing w:val="-1"/>
        </w:rPr>
        <w:t> </w:t>
      </w:r>
      <w:r>
        <w:rPr/>
        <w:t>our</w:t>
      </w:r>
      <w:r>
        <w:rPr>
          <w:spacing w:val="-1"/>
        </w:rPr>
        <w:t> </w:t>
      </w:r>
      <w:r>
        <w:rPr/>
        <w:t>business,</w:t>
      </w:r>
      <w:r>
        <w:rPr>
          <w:spacing w:val="-1"/>
        </w:rPr>
        <w:t> </w:t>
      </w:r>
      <w:r>
        <w:rPr/>
        <w:t>financial</w:t>
      </w:r>
      <w:r>
        <w:rPr>
          <w:spacing w:val="-1"/>
        </w:rPr>
        <w:t> </w:t>
      </w:r>
      <w:r>
        <w:rPr/>
        <w:t>condition,</w:t>
      </w:r>
      <w:r>
        <w:rPr>
          <w:spacing w:val="-1"/>
        </w:rPr>
        <w:t> </w:t>
      </w:r>
      <w:r>
        <w:rPr/>
        <w:t>results</w:t>
      </w:r>
      <w:r>
        <w:rPr>
          <w:spacing w:val="-1"/>
        </w:rPr>
        <w:t> </w:t>
      </w:r>
      <w:r>
        <w:rPr/>
        <w:t>of operations and reputation. Please see the further discussion in “Legal Proceedings” and Note 12 in the accompanying consolidated financial statements.</w:t>
      </w:r>
    </w:p>
    <w:p>
      <w:pPr>
        <w:pStyle w:val="BodyText"/>
        <w:spacing w:before="5"/>
      </w:pPr>
    </w:p>
    <w:p>
      <w:pPr>
        <w:pStyle w:val="Heading5"/>
        <w:jc w:val="left"/>
      </w:pPr>
      <w:r>
        <w:rPr/>
        <w:t>Risks</w:t>
      </w:r>
      <w:r>
        <w:rPr>
          <w:spacing w:val="-1"/>
        </w:rPr>
        <w:t> </w:t>
      </w:r>
      <w:r>
        <w:rPr/>
        <w:t>Related</w:t>
      </w:r>
      <w:r>
        <w:rPr>
          <w:spacing w:val="-1"/>
        </w:rPr>
        <w:t> </w:t>
      </w:r>
      <w:r>
        <w:rPr/>
        <w:t>to</w:t>
      </w:r>
      <w:r>
        <w:rPr>
          <w:spacing w:val="-1"/>
        </w:rPr>
        <w:t> </w:t>
      </w:r>
      <w:r>
        <w:rPr/>
        <w:t>Our</w:t>
      </w:r>
      <w:r>
        <w:rPr>
          <w:spacing w:val="-4"/>
        </w:rPr>
        <w:t> </w:t>
      </w:r>
      <w:r>
        <w:rPr/>
        <w:t>Macau</w:t>
      </w:r>
      <w:r>
        <w:rPr>
          <w:spacing w:val="-1"/>
        </w:rPr>
        <w:t> </w:t>
      </w:r>
      <w:r>
        <w:rPr>
          <w:spacing w:val="-2"/>
        </w:rPr>
        <w:t>Operations</w:t>
      </w:r>
    </w:p>
    <w:p>
      <w:pPr>
        <w:pStyle w:val="BodyText"/>
        <w:spacing w:before="9"/>
        <w:rPr>
          <w:b/>
        </w:rPr>
      </w:pPr>
    </w:p>
    <w:p>
      <w:pPr>
        <w:pStyle w:val="BodyText"/>
        <w:spacing w:line="232" w:lineRule="auto"/>
        <w:ind w:left="144" w:right="118" w:firstLine="499"/>
        <w:jc w:val="both"/>
      </w:pPr>
      <w:r>
        <w:rPr>
          <w:b/>
          <w:i/>
        </w:rPr>
        <w:t>The global COVID-19 pandemic has continued to materially impact MGM China’s business, financial results and liquidity, and such impact could worsen and last for an unknown period of time. </w:t>
      </w:r>
      <w:r>
        <w:rPr/>
        <w:t>Our properties in Macau were open during the first half of 2022, however, gaming operations were temporarily suspended on July 11, 2022 due to an increase in the number of COVID-19 cases in Macau and resumed on July 23, 2022, subject to certain continuing health safeguards. On October 30, 2022, a COVID-19 case was identified as connected to MGM Cotai. All guests and staff were isolated </w:t>
      </w:r>
      <w:r>
        <w:rPr/>
        <w:t>until November 1, 2022 and all gaming, hotel, restaurant, and retail operations were suspended with limited operations expected to resume beginning November 3, 2022. More broadly, electronic applications for individual and group travel visas to Macau resumed on November 1, 2022, however, certain travel and entry restrictions in Macau and mainland China remained in place at the time, including COVID-19 testing and certain quarantine requirements, which significantly</w:t>
      </w:r>
    </w:p>
    <w:p>
      <w:pPr>
        <w:pStyle w:val="BodyText"/>
      </w:pPr>
    </w:p>
    <w:p>
      <w:pPr>
        <w:pStyle w:val="BodyText"/>
        <w:spacing w:before="201"/>
      </w:pPr>
    </w:p>
    <w:p>
      <w:pPr>
        <w:pStyle w:val="BodyText"/>
        <w:ind w:left="24"/>
        <w:jc w:val="center"/>
      </w:pPr>
      <w:r>
        <w:rPr>
          <w:spacing w:val="-5"/>
        </w:rPr>
        <w:t>25</w:t>
      </w:r>
    </w:p>
    <w:p>
      <w:pPr>
        <w:pStyle w:val="BodyText"/>
        <w:spacing w:before="3"/>
        <w:rPr>
          <w:sz w:val="6"/>
        </w:rPr>
      </w:pPr>
      <w:r>
        <w:rPr/>
        <mc:AlternateContent>
          <mc:Choice Requires="wps">
            <w:drawing>
              <wp:anchor distT="0" distB="0" distL="0" distR="0" allowOverlap="1" layoutInCell="1" locked="0" behindDoc="1" simplePos="0" relativeHeight="487606784">
                <wp:simplePos x="0" y="0"/>
                <wp:positionH relativeFrom="page">
                  <wp:posOffset>231457</wp:posOffset>
                </wp:positionH>
                <wp:positionV relativeFrom="paragraph">
                  <wp:posOffset>60956</wp:posOffset>
                </wp:positionV>
                <wp:extent cx="7312659" cy="17145"/>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7312659" cy="17145"/>
                          <a:chExt cx="7312659" cy="17145"/>
                        </a:xfrm>
                      </wpg:grpSpPr>
                      <wps:wsp>
                        <wps:cNvPr id="122" name="Graphic 12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3" name="Graphic 123"/>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4" name="Graphic 12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9696;mso-wrap-distance-left:0;mso-wrap-distance-right:0" id="docshapegroup120" coordorigin="364,96" coordsize="11516,27">
                <v:rect style="position:absolute;left:364;top:96;width:11516;height:14" id="docshape121" filled="true" fillcolor="#999999" stroked="false">
                  <v:fill type="solid"/>
                </v:rect>
                <v:shape style="position:absolute;left:364;top:96;width:11516;height:27" id="docshape122" coordorigin="364,96" coordsize="11516,27" path="m11880,96l11866,110,364,110,364,123,11866,123,11880,123,11880,110,11880,96xe" filled="true" fillcolor="#ededed" stroked="false">
                  <v:path arrowok="t"/>
                  <v:fill type="solid"/>
                </v:shape>
                <v:shape style="position:absolute;left:364;top:96;width:14;height:27" id="docshape12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35" w:lineRule="auto" w:before="79"/>
        <w:ind w:left="144" w:right="118"/>
        <w:jc w:val="both"/>
      </w:pPr>
      <w:r>
        <w:rPr/>
        <w:t>impacted visitation to our Macau properties. Beginning in December 2022, Macau and mainland China started unwinding testing and quarantine requirements as well as travel and entry restrictions associated with the “dynamic zero” COVID-19 policy. On January 8, 2023, Macau lifted the majority of its COVID-19 pandemic travel and quarantine restrictions with the exception of overseas visitors travelling from outside of mainland China, Hong Kong and Taiwan being required</w:t>
      </w:r>
      <w:r>
        <w:rPr>
          <w:spacing w:val="-2"/>
        </w:rPr>
        <w:t> </w:t>
      </w:r>
      <w:r>
        <w:rPr/>
        <w:t>to</w:t>
      </w:r>
      <w:r>
        <w:rPr>
          <w:spacing w:val="-2"/>
        </w:rPr>
        <w:t> </w:t>
      </w:r>
      <w:r>
        <w:rPr/>
        <w:t>present</w:t>
      </w:r>
      <w:r>
        <w:rPr>
          <w:spacing w:val="-2"/>
        </w:rPr>
        <w:t> </w:t>
      </w:r>
      <w:r>
        <w:rPr/>
        <w:t>a</w:t>
      </w:r>
      <w:r>
        <w:rPr>
          <w:spacing w:val="-2"/>
        </w:rPr>
        <w:t> </w:t>
      </w:r>
      <w:r>
        <w:rPr/>
        <w:t>negative</w:t>
      </w:r>
      <w:r>
        <w:rPr>
          <w:spacing w:val="-2"/>
        </w:rPr>
        <w:t> </w:t>
      </w:r>
      <w:r>
        <w:rPr/>
        <w:t>nucleic</w:t>
      </w:r>
      <w:r>
        <w:rPr>
          <w:spacing w:val="-2"/>
        </w:rPr>
        <w:t> </w:t>
      </w:r>
      <w:r>
        <w:rPr/>
        <w:t>acid</w:t>
      </w:r>
      <w:r>
        <w:rPr>
          <w:spacing w:val="-2"/>
        </w:rPr>
        <w:t> </w:t>
      </w:r>
      <w:r>
        <w:rPr/>
        <w:t>test</w:t>
      </w:r>
      <w:r>
        <w:rPr>
          <w:spacing w:val="-2"/>
        </w:rPr>
        <w:t> </w:t>
      </w:r>
      <w:r>
        <w:rPr/>
        <w:t>or</w:t>
      </w:r>
      <w:r>
        <w:rPr>
          <w:spacing w:val="-2"/>
        </w:rPr>
        <w:t> </w:t>
      </w:r>
      <w:r>
        <w:rPr/>
        <w:t>rapid</w:t>
      </w:r>
      <w:r>
        <w:rPr>
          <w:spacing w:val="-2"/>
        </w:rPr>
        <w:t> </w:t>
      </w:r>
      <w:r>
        <w:rPr/>
        <w:t>antigen</w:t>
      </w:r>
      <w:r>
        <w:rPr>
          <w:spacing w:val="-2"/>
        </w:rPr>
        <w:t> </w:t>
      </w:r>
      <w:r>
        <w:rPr/>
        <w:t>test</w:t>
      </w:r>
      <w:r>
        <w:rPr>
          <w:spacing w:val="-2"/>
        </w:rPr>
        <w:t> </w:t>
      </w:r>
      <w:r>
        <w:rPr/>
        <w:t>result</w:t>
      </w:r>
      <w:r>
        <w:rPr>
          <w:spacing w:val="-2"/>
        </w:rPr>
        <w:t> </w:t>
      </w:r>
      <w:r>
        <w:rPr/>
        <w:t>in</w:t>
      </w:r>
      <w:r>
        <w:rPr>
          <w:spacing w:val="-2"/>
        </w:rPr>
        <w:t> </w:t>
      </w:r>
      <w:r>
        <w:rPr/>
        <w:t>place</w:t>
      </w:r>
      <w:r>
        <w:rPr>
          <w:spacing w:val="-2"/>
        </w:rPr>
        <w:t> </w:t>
      </w:r>
      <w:r>
        <w:rPr/>
        <w:t>until</w:t>
      </w:r>
      <w:r>
        <w:rPr>
          <w:spacing w:val="-2"/>
        </w:rPr>
        <w:t> </w:t>
      </w:r>
      <w:r>
        <w:rPr/>
        <w:t>February</w:t>
      </w:r>
      <w:r>
        <w:rPr>
          <w:spacing w:val="-2"/>
        </w:rPr>
        <w:t> </w:t>
      </w:r>
      <w:r>
        <w:rPr/>
        <w:t>6,</w:t>
      </w:r>
      <w:r>
        <w:rPr>
          <w:spacing w:val="-2"/>
        </w:rPr>
        <w:t> </w:t>
      </w:r>
      <w:r>
        <w:rPr/>
        <w:t>2023</w:t>
      </w:r>
      <w:r>
        <w:rPr>
          <w:spacing w:val="-2"/>
        </w:rPr>
        <w:t> </w:t>
      </w:r>
      <w:r>
        <w:rPr/>
        <w:t>when</w:t>
      </w:r>
      <w:r>
        <w:rPr>
          <w:spacing w:val="-2"/>
        </w:rPr>
        <w:t> </w:t>
      </w:r>
      <w:r>
        <w:rPr/>
        <w:t>all</w:t>
      </w:r>
      <w:r>
        <w:rPr>
          <w:spacing w:val="-2"/>
        </w:rPr>
        <w:t> </w:t>
      </w:r>
      <w:r>
        <w:rPr/>
        <w:t>remaining</w:t>
      </w:r>
      <w:r>
        <w:rPr>
          <w:spacing w:val="-2"/>
        </w:rPr>
        <w:t> </w:t>
      </w:r>
      <w:r>
        <w:rPr/>
        <w:t>COVID-19</w:t>
      </w:r>
      <w:r>
        <w:rPr>
          <w:spacing w:val="-2"/>
        </w:rPr>
        <w:t> </w:t>
      </w:r>
      <w:r>
        <w:rPr/>
        <w:t>travel</w:t>
      </w:r>
      <w:r>
        <w:rPr>
          <w:spacing w:val="-2"/>
        </w:rPr>
        <w:t> </w:t>
      </w:r>
      <w:r>
        <w:rPr/>
        <w:t>restrictions</w:t>
      </w:r>
      <w:r>
        <w:rPr>
          <w:spacing w:val="-2"/>
        </w:rPr>
        <w:t> </w:t>
      </w:r>
      <w:r>
        <w:rPr/>
        <w:t>were removed. Although COVID-19 measures have not been reimplemented to date, the extent and timing of further closures of MGM China’s </w:t>
      </w:r>
      <w:r>
        <w:rPr/>
        <w:t>properties, limitations of operations, or whether further travel restrictions to or from Macau will be reimplemented is uncertain if there is an increase or continued spread</w:t>
      </w:r>
      <w:r>
        <w:rPr>
          <w:spacing w:val="40"/>
        </w:rPr>
        <w:t> </w:t>
      </w:r>
      <w:r>
        <w:rPr/>
        <w:t>of COVID-19.</w:t>
      </w:r>
    </w:p>
    <w:p>
      <w:pPr>
        <w:pStyle w:val="BodyText"/>
        <w:spacing w:before="17"/>
      </w:pPr>
    </w:p>
    <w:p>
      <w:pPr>
        <w:pStyle w:val="BodyText"/>
        <w:ind w:left="144" w:right="118" w:firstLine="567"/>
        <w:jc w:val="both"/>
      </w:pPr>
      <w:r>
        <w:rPr/>
        <w:t>The extent to which the COVID-19 pandemic and new variants continue to impact our business, results of operations, and financial results, including the duration and magnitude of such effects, will depend on numerous evolving factors that we may not be able to accurately predict or assess. In addition, we may also face unforeseen liability or be subject to additional obligations as a result of the COVID-19 pandemic, including as a result of claims alleging exposure to COVID-19 in connection with our operations or facilities or to the extent we are subject to a governmental enforcement action as a result of </w:t>
      </w:r>
      <w:r>
        <w:rPr/>
        <w:t>health and</w:t>
      </w:r>
      <w:r>
        <w:rPr>
          <w:spacing w:val="-2"/>
        </w:rPr>
        <w:t> </w:t>
      </w:r>
      <w:r>
        <w:rPr/>
        <w:t>safety</w:t>
      </w:r>
      <w:r>
        <w:rPr>
          <w:spacing w:val="-2"/>
        </w:rPr>
        <w:t> </w:t>
      </w:r>
      <w:r>
        <w:rPr/>
        <w:t>compliance.</w:t>
      </w:r>
      <w:r>
        <w:rPr>
          <w:spacing w:val="-12"/>
        </w:rPr>
        <w:t> </w:t>
      </w:r>
      <w:r>
        <w:rPr/>
        <w:t>As</w:t>
      </w:r>
      <w:r>
        <w:rPr>
          <w:spacing w:val="-1"/>
        </w:rPr>
        <w:t> </w:t>
      </w:r>
      <w:r>
        <w:rPr/>
        <w:t>a</w:t>
      </w:r>
      <w:r>
        <w:rPr>
          <w:spacing w:val="-2"/>
        </w:rPr>
        <w:t> </w:t>
      </w:r>
      <w:r>
        <w:rPr/>
        <w:t>result</w:t>
      </w:r>
      <w:r>
        <w:rPr>
          <w:spacing w:val="-2"/>
        </w:rPr>
        <w:t> </w:t>
      </w:r>
      <w:r>
        <w:rPr/>
        <w:t>of</w:t>
      </w:r>
      <w:r>
        <w:rPr>
          <w:spacing w:val="-2"/>
        </w:rPr>
        <w:t> </w:t>
      </w:r>
      <w:r>
        <w:rPr/>
        <w:t>the</w:t>
      </w:r>
      <w:r>
        <w:rPr>
          <w:spacing w:val="-2"/>
        </w:rPr>
        <w:t> </w:t>
      </w:r>
      <w:r>
        <w:rPr/>
        <w:t>foregoing,</w:t>
      </w:r>
      <w:r>
        <w:rPr>
          <w:spacing w:val="-2"/>
        </w:rPr>
        <w:t> </w:t>
      </w:r>
      <w:r>
        <w:rPr/>
        <w:t>we</w:t>
      </w:r>
      <w:r>
        <w:rPr>
          <w:spacing w:val="-2"/>
        </w:rPr>
        <w:t> </w:t>
      </w:r>
      <w:r>
        <w:rPr/>
        <w:t>cannot</w:t>
      </w:r>
      <w:r>
        <w:rPr>
          <w:spacing w:val="-2"/>
        </w:rPr>
        <w:t> </w:t>
      </w:r>
      <w:r>
        <w:rPr/>
        <w:t>predict</w:t>
      </w:r>
      <w:r>
        <w:rPr>
          <w:spacing w:val="-2"/>
        </w:rPr>
        <w:t> </w:t>
      </w:r>
      <w:r>
        <w:rPr/>
        <w:t>the</w:t>
      </w:r>
      <w:r>
        <w:rPr>
          <w:spacing w:val="-2"/>
        </w:rPr>
        <w:t> </w:t>
      </w:r>
      <w:r>
        <w:rPr/>
        <w:t>ultimate</w:t>
      </w:r>
      <w:r>
        <w:rPr>
          <w:spacing w:val="-2"/>
        </w:rPr>
        <w:t> </w:t>
      </w:r>
      <w:r>
        <w:rPr/>
        <w:t>scope,</w:t>
      </w:r>
      <w:r>
        <w:rPr>
          <w:spacing w:val="-2"/>
        </w:rPr>
        <w:t> </w:t>
      </w:r>
      <w:r>
        <w:rPr/>
        <w:t>duration</w:t>
      </w:r>
      <w:r>
        <w:rPr>
          <w:spacing w:val="-2"/>
        </w:rPr>
        <w:t> </w:t>
      </w:r>
      <w:r>
        <w:rPr/>
        <w:t>and</w:t>
      </w:r>
      <w:r>
        <w:rPr>
          <w:spacing w:val="-2"/>
        </w:rPr>
        <w:t> </w:t>
      </w:r>
      <w:r>
        <w:rPr/>
        <w:t>impact</w:t>
      </w:r>
      <w:r>
        <w:rPr>
          <w:spacing w:val="-2"/>
        </w:rPr>
        <w:t> </w:t>
      </w:r>
      <w:r>
        <w:rPr/>
        <w:t>the</w:t>
      </w:r>
      <w:r>
        <w:rPr>
          <w:spacing w:val="-2"/>
        </w:rPr>
        <w:t> </w:t>
      </w:r>
      <w:r>
        <w:rPr/>
        <w:t>COVID-19</w:t>
      </w:r>
      <w:r>
        <w:rPr>
          <w:spacing w:val="-2"/>
        </w:rPr>
        <w:t> </w:t>
      </w:r>
      <w:r>
        <w:rPr/>
        <w:t>pandemic</w:t>
      </w:r>
      <w:r>
        <w:rPr>
          <w:spacing w:val="-2"/>
        </w:rPr>
        <w:t> </w:t>
      </w:r>
      <w:r>
        <w:rPr/>
        <w:t>will</w:t>
      </w:r>
      <w:r>
        <w:rPr>
          <w:spacing w:val="-2"/>
        </w:rPr>
        <w:t> </w:t>
      </w:r>
      <w:r>
        <w:rPr/>
        <w:t>have</w:t>
      </w:r>
      <w:r>
        <w:rPr>
          <w:spacing w:val="-2"/>
        </w:rPr>
        <w:t> </w:t>
      </w:r>
      <w:r>
        <w:rPr/>
        <w:t>on</w:t>
      </w:r>
      <w:r>
        <w:rPr>
          <w:spacing w:val="-2"/>
        </w:rPr>
        <w:t> </w:t>
      </w:r>
      <w:r>
        <w:rPr/>
        <w:t>our</w:t>
      </w:r>
      <w:r>
        <w:rPr>
          <w:spacing w:val="-2"/>
        </w:rPr>
        <w:t> </w:t>
      </w:r>
      <w:r>
        <w:rPr/>
        <w:t>results of operations, but it may continue to have a material impact on our business, financial condition, liquidity, results of operations (including revenues and profitability) and stock price.</w:t>
      </w:r>
    </w:p>
    <w:p>
      <w:pPr>
        <w:pStyle w:val="BodyText"/>
        <w:spacing w:before="4"/>
      </w:pPr>
    </w:p>
    <w:p>
      <w:pPr>
        <w:pStyle w:val="BodyText"/>
        <w:ind w:left="144" w:right="118" w:firstLine="499"/>
        <w:jc w:val="both"/>
      </w:pPr>
      <w:r>
        <w:rPr>
          <w:b/>
          <w:i/>
        </w:rPr>
        <w:t>We have agreed not to have any interest or involvement in gaming businesses in China, Macau, Hong Kong and Taiwan, other than through </w:t>
      </w:r>
      <w:r>
        <w:rPr>
          <w:b/>
          <w:i/>
        </w:rPr>
        <w:t>MGM China</w:t>
      </w:r>
      <w:r>
        <w:rPr>
          <w:b/>
        </w:rPr>
        <w:t>.</w:t>
      </w:r>
      <w:r>
        <w:rPr>
          <w:b/>
          <w:spacing w:val="-2"/>
        </w:rPr>
        <w:t> </w:t>
      </w:r>
      <w:r>
        <w:rPr/>
        <w:t>In</w:t>
      </w:r>
      <w:r>
        <w:rPr>
          <w:spacing w:val="-2"/>
        </w:rPr>
        <w:t> </w:t>
      </w:r>
      <w:r>
        <w:rPr/>
        <w:t>connection</w:t>
      </w:r>
      <w:r>
        <w:rPr>
          <w:spacing w:val="-2"/>
        </w:rPr>
        <w:t> </w:t>
      </w:r>
      <w:r>
        <w:rPr/>
        <w:t>with</w:t>
      </w:r>
      <w:r>
        <w:rPr>
          <w:spacing w:val="-2"/>
        </w:rPr>
        <w:t> </w:t>
      </w:r>
      <w:r>
        <w:rPr/>
        <w:t>the</w:t>
      </w:r>
      <w:r>
        <w:rPr>
          <w:spacing w:val="-2"/>
        </w:rPr>
        <w:t> </w:t>
      </w:r>
      <w:r>
        <w:rPr/>
        <w:t>gaming</w:t>
      </w:r>
      <w:r>
        <w:rPr>
          <w:spacing w:val="-2"/>
        </w:rPr>
        <w:t> </w:t>
      </w:r>
      <w:r>
        <w:rPr/>
        <w:t>concession,</w:t>
      </w:r>
      <w:r>
        <w:rPr>
          <w:spacing w:val="-2"/>
        </w:rPr>
        <w:t> </w:t>
      </w:r>
      <w:r>
        <w:rPr/>
        <w:t>we</w:t>
      </w:r>
      <w:r>
        <w:rPr>
          <w:spacing w:val="-2"/>
        </w:rPr>
        <w:t> </w:t>
      </w:r>
      <w:r>
        <w:rPr/>
        <w:t>entered</w:t>
      </w:r>
      <w:r>
        <w:rPr>
          <w:spacing w:val="-2"/>
        </w:rPr>
        <w:t> </w:t>
      </w:r>
      <w:r>
        <w:rPr/>
        <w:t>into</w:t>
      </w:r>
      <w:r>
        <w:rPr>
          <w:spacing w:val="-2"/>
        </w:rPr>
        <w:t> </w:t>
      </w:r>
      <w:r>
        <w:rPr/>
        <w:t>a</w:t>
      </w:r>
      <w:r>
        <w:rPr>
          <w:spacing w:val="-5"/>
        </w:rPr>
        <w:t> </w:t>
      </w:r>
      <w:r>
        <w:rPr/>
        <w:t>Third</w:t>
      </w:r>
      <w:r>
        <w:rPr>
          <w:spacing w:val="-2"/>
        </w:rPr>
        <w:t> </w:t>
      </w:r>
      <w:r>
        <w:rPr/>
        <w:t>Renewed</w:t>
      </w:r>
      <w:r>
        <w:rPr>
          <w:spacing w:val="-2"/>
        </w:rPr>
        <w:t> </w:t>
      </w:r>
      <w:r>
        <w:rPr/>
        <w:t>Deed</w:t>
      </w:r>
      <w:r>
        <w:rPr>
          <w:spacing w:val="-2"/>
        </w:rPr>
        <w:t> </w:t>
      </w:r>
      <w:r>
        <w:rPr/>
        <w:t>of</w:t>
      </w:r>
      <w:r>
        <w:rPr>
          <w:spacing w:val="-2"/>
        </w:rPr>
        <w:t> </w:t>
      </w:r>
      <w:r>
        <w:rPr/>
        <w:t>Non-Compete</w:t>
      </w:r>
      <w:r>
        <w:rPr>
          <w:spacing w:val="-2"/>
        </w:rPr>
        <w:t> </w:t>
      </w:r>
      <w:r>
        <w:rPr/>
        <w:t>Undertakings</w:t>
      </w:r>
      <w:r>
        <w:rPr>
          <w:spacing w:val="-2"/>
        </w:rPr>
        <w:t> </w:t>
      </w:r>
      <w:r>
        <w:rPr/>
        <w:t>with</w:t>
      </w:r>
      <w:r>
        <w:rPr>
          <w:spacing w:val="-2"/>
        </w:rPr>
        <w:t> </w:t>
      </w:r>
      <w:r>
        <w:rPr/>
        <w:t>MGM</w:t>
      </w:r>
      <w:r>
        <w:rPr>
          <w:spacing w:val="-2"/>
        </w:rPr>
        <w:t> </w:t>
      </w:r>
      <w:r>
        <w:rPr/>
        <w:t>China</w:t>
      </w:r>
      <w:r>
        <w:rPr>
          <w:spacing w:val="-2"/>
        </w:rPr>
        <w:t> </w:t>
      </w:r>
      <w:r>
        <w:rPr/>
        <w:t>and</w:t>
      </w:r>
      <w:r>
        <w:rPr>
          <w:spacing w:val="-2"/>
        </w:rPr>
        <w:t> </w:t>
      </w:r>
      <w:r>
        <w:rPr/>
        <w:t>Ms.</w:t>
      </w:r>
      <w:r>
        <w:rPr>
          <w:spacing w:val="-2"/>
        </w:rPr>
        <w:t> </w:t>
      </w:r>
      <w:r>
        <w:rPr/>
        <w:t>Ho,</w:t>
      </w:r>
      <w:r>
        <w:rPr>
          <w:spacing w:val="-2"/>
        </w:rPr>
        <w:t> </w:t>
      </w:r>
      <w:r>
        <w:rPr/>
        <w:t>Pansy Catilina Chiu King (“Ms. Ho”), pursuant to which we are restricted from having any interest or involvement in gaming businesses in the People’s Republic of China, Macau, Hong Kong and Taiwan, other than through MGM China. While gaming is currently prohibited in China, Hong Kong and Taiwan, if it is legalized in the future our ability to compete in these locations could be limited until the earliest of (i) the date MGM China’s ordinary shares cease to be listed on The Stock Exchange of Hong Kong Limited or (ii) the last day of MGM Grand Paradise's concession for operation of casino games (or any extension thereof); or (iii) the date when our ownership of MGM China shares is less than 15% of the then-issued share capital of MGM China.</w:t>
      </w:r>
    </w:p>
    <w:p>
      <w:pPr>
        <w:spacing w:line="232" w:lineRule="auto" w:before="204"/>
        <w:ind w:left="144" w:right="118" w:firstLine="499"/>
        <w:jc w:val="both"/>
        <w:rPr>
          <w:sz w:val="18"/>
        </w:rPr>
      </w:pPr>
      <w:r>
        <w:rPr>
          <w:b/>
          <w:i/>
          <w:sz w:val="18"/>
        </w:rPr>
        <w:t>The Macau government can (i) terminate MGM Grand Paradise’s concession under certain circumstances without compensating MGM Grand Paradise</w:t>
      </w:r>
      <w:r>
        <w:rPr>
          <w:b/>
          <w:sz w:val="18"/>
        </w:rPr>
        <w:t>, </w:t>
      </w:r>
      <w:r>
        <w:rPr>
          <w:b/>
          <w:i/>
          <w:sz w:val="18"/>
        </w:rPr>
        <w:t>(ii) from the eighth year of MGM Grand Paradise’s concession, redeem the concession by providing MGM Grand Paradise at least one year’s prior notice and subject to the payment of reasonable and fair damages or indemnity to MGM Grand Paradise, or (iii) refuse to grant MGM </w:t>
      </w:r>
      <w:r>
        <w:rPr>
          <w:b/>
          <w:i/>
          <w:sz w:val="18"/>
        </w:rPr>
        <w:t>Grand Paradise an extension of the concession in 2032</w:t>
      </w:r>
      <w:r>
        <w:rPr>
          <w:b/>
          <w:sz w:val="18"/>
        </w:rPr>
        <w:t>. </w:t>
      </w:r>
      <w:r>
        <w:rPr>
          <w:sz w:val="18"/>
        </w:rPr>
        <w:t>The Macau government has the right to unilaterally terminate the concession for endangering the national security of China or Macau by MGM Grand Paradise, failure of MGM Grand Paradise to perform its obligations, for the public interest or lack of appropriate qualifications</w:t>
      </w:r>
      <w:r>
        <w:rPr>
          <w:spacing w:val="-2"/>
          <w:sz w:val="18"/>
        </w:rPr>
        <w:t> </w:t>
      </w:r>
      <w:r>
        <w:rPr>
          <w:sz w:val="18"/>
        </w:rPr>
        <w:t>of</w:t>
      </w:r>
      <w:r>
        <w:rPr>
          <w:spacing w:val="-2"/>
          <w:sz w:val="18"/>
        </w:rPr>
        <w:t> </w:t>
      </w:r>
      <w:r>
        <w:rPr>
          <w:sz w:val="18"/>
        </w:rPr>
        <w:t>MGM</w:t>
      </w:r>
      <w:r>
        <w:rPr>
          <w:spacing w:val="-2"/>
          <w:sz w:val="18"/>
        </w:rPr>
        <w:t> </w:t>
      </w:r>
      <w:r>
        <w:rPr>
          <w:sz w:val="18"/>
        </w:rPr>
        <w:t>Grand</w:t>
      </w:r>
      <w:r>
        <w:rPr>
          <w:spacing w:val="-2"/>
          <w:sz w:val="18"/>
        </w:rPr>
        <w:t> </w:t>
      </w:r>
      <w:r>
        <w:rPr>
          <w:sz w:val="18"/>
        </w:rPr>
        <w:t>Paradise</w:t>
      </w:r>
      <w:r>
        <w:rPr>
          <w:spacing w:val="-2"/>
          <w:sz w:val="18"/>
        </w:rPr>
        <w:t> </w:t>
      </w:r>
      <w:r>
        <w:rPr>
          <w:sz w:val="18"/>
        </w:rPr>
        <w:t>under</w:t>
      </w:r>
      <w:r>
        <w:rPr>
          <w:spacing w:val="-2"/>
          <w:sz w:val="18"/>
        </w:rPr>
        <w:t> </w:t>
      </w:r>
      <w:r>
        <w:rPr>
          <w:sz w:val="18"/>
        </w:rPr>
        <w:t>the</w:t>
      </w:r>
      <w:r>
        <w:rPr>
          <w:spacing w:val="-2"/>
          <w:sz w:val="18"/>
        </w:rPr>
        <w:t> </w:t>
      </w:r>
      <w:r>
        <w:rPr>
          <w:sz w:val="18"/>
        </w:rPr>
        <w:t>gaming</w:t>
      </w:r>
      <w:r>
        <w:rPr>
          <w:spacing w:val="-2"/>
          <w:sz w:val="18"/>
        </w:rPr>
        <w:t> </w:t>
      </w:r>
      <w:r>
        <w:rPr>
          <w:sz w:val="18"/>
        </w:rPr>
        <w:t>law.</w:t>
      </w:r>
      <w:r>
        <w:rPr>
          <w:spacing w:val="-2"/>
          <w:sz w:val="18"/>
        </w:rPr>
        <w:t> </w:t>
      </w:r>
      <w:r>
        <w:rPr>
          <w:sz w:val="18"/>
        </w:rPr>
        <w:t>From</w:t>
      </w:r>
      <w:r>
        <w:rPr>
          <w:spacing w:val="-2"/>
          <w:sz w:val="18"/>
        </w:rPr>
        <w:t> </w:t>
      </w:r>
      <w:r>
        <w:rPr>
          <w:sz w:val="18"/>
        </w:rPr>
        <w:t>the</w:t>
      </w:r>
      <w:r>
        <w:rPr>
          <w:spacing w:val="-2"/>
          <w:sz w:val="18"/>
        </w:rPr>
        <w:t> </w:t>
      </w:r>
      <w:r>
        <w:rPr>
          <w:sz w:val="18"/>
        </w:rPr>
        <w:t>eighth</w:t>
      </w:r>
      <w:r>
        <w:rPr>
          <w:spacing w:val="-2"/>
          <w:sz w:val="18"/>
        </w:rPr>
        <w:t> </w:t>
      </w:r>
      <w:r>
        <w:rPr>
          <w:sz w:val="18"/>
        </w:rPr>
        <w:t>year</w:t>
      </w:r>
      <w:r>
        <w:rPr>
          <w:spacing w:val="-2"/>
          <w:sz w:val="18"/>
        </w:rPr>
        <w:t> </w:t>
      </w:r>
      <w:r>
        <w:rPr>
          <w:sz w:val="18"/>
        </w:rPr>
        <w:t>of</w:t>
      </w:r>
      <w:r>
        <w:rPr>
          <w:spacing w:val="-2"/>
          <w:sz w:val="18"/>
        </w:rPr>
        <w:t> </w:t>
      </w:r>
      <w:r>
        <w:rPr>
          <w:sz w:val="18"/>
        </w:rPr>
        <w:t>MGM</w:t>
      </w:r>
      <w:r>
        <w:rPr>
          <w:spacing w:val="-2"/>
          <w:sz w:val="18"/>
        </w:rPr>
        <w:t> </w:t>
      </w:r>
      <w:r>
        <w:rPr>
          <w:sz w:val="18"/>
        </w:rPr>
        <w:t>Grand</w:t>
      </w:r>
      <w:r>
        <w:rPr>
          <w:spacing w:val="-2"/>
          <w:sz w:val="18"/>
        </w:rPr>
        <w:t> </w:t>
      </w:r>
      <w:r>
        <w:rPr>
          <w:sz w:val="18"/>
        </w:rPr>
        <w:t>Paradise’s</w:t>
      </w:r>
      <w:r>
        <w:rPr>
          <w:spacing w:val="-2"/>
          <w:sz w:val="18"/>
        </w:rPr>
        <w:t> </w:t>
      </w:r>
      <w:r>
        <w:rPr>
          <w:sz w:val="18"/>
        </w:rPr>
        <w:t>concession,</w:t>
      </w:r>
      <w:r>
        <w:rPr>
          <w:spacing w:val="-2"/>
          <w:sz w:val="18"/>
        </w:rPr>
        <w:t> </w:t>
      </w:r>
      <w:r>
        <w:rPr>
          <w:sz w:val="18"/>
        </w:rPr>
        <w:t>the</w:t>
      </w:r>
      <w:r>
        <w:rPr>
          <w:spacing w:val="-2"/>
          <w:sz w:val="18"/>
        </w:rPr>
        <w:t> </w:t>
      </w:r>
      <w:r>
        <w:rPr>
          <w:sz w:val="18"/>
        </w:rPr>
        <w:t>Macau</w:t>
      </w:r>
      <w:r>
        <w:rPr>
          <w:spacing w:val="-2"/>
          <w:sz w:val="18"/>
        </w:rPr>
        <w:t> </w:t>
      </w:r>
      <w:r>
        <w:rPr>
          <w:sz w:val="18"/>
        </w:rPr>
        <w:t>government</w:t>
      </w:r>
      <w:r>
        <w:rPr>
          <w:spacing w:val="-2"/>
          <w:sz w:val="18"/>
        </w:rPr>
        <w:t> </w:t>
      </w:r>
      <w:r>
        <w:rPr>
          <w:sz w:val="18"/>
        </w:rPr>
        <w:t>may</w:t>
      </w:r>
      <w:r>
        <w:rPr>
          <w:spacing w:val="-2"/>
          <w:sz w:val="18"/>
        </w:rPr>
        <w:t> </w:t>
      </w:r>
      <w:r>
        <w:rPr>
          <w:sz w:val="18"/>
        </w:rPr>
        <w:t>redeem the</w:t>
      </w:r>
      <w:r>
        <w:rPr>
          <w:spacing w:val="-2"/>
          <w:sz w:val="18"/>
        </w:rPr>
        <w:t> </w:t>
      </w:r>
      <w:r>
        <w:rPr>
          <w:sz w:val="18"/>
        </w:rPr>
        <w:t>concession</w:t>
      </w:r>
      <w:r>
        <w:rPr>
          <w:spacing w:val="-2"/>
          <w:sz w:val="18"/>
        </w:rPr>
        <w:t> </w:t>
      </w:r>
      <w:r>
        <w:rPr>
          <w:sz w:val="18"/>
        </w:rPr>
        <w:t>by</w:t>
      </w:r>
      <w:r>
        <w:rPr>
          <w:spacing w:val="-2"/>
          <w:sz w:val="18"/>
        </w:rPr>
        <w:t> </w:t>
      </w:r>
      <w:r>
        <w:rPr>
          <w:sz w:val="18"/>
        </w:rPr>
        <w:t>providing</w:t>
      </w:r>
      <w:r>
        <w:rPr>
          <w:spacing w:val="-2"/>
          <w:sz w:val="18"/>
        </w:rPr>
        <w:t> </w:t>
      </w:r>
      <w:r>
        <w:rPr>
          <w:sz w:val="18"/>
        </w:rPr>
        <w:t>MGM</w:t>
      </w:r>
      <w:r>
        <w:rPr>
          <w:spacing w:val="-2"/>
          <w:sz w:val="18"/>
        </w:rPr>
        <w:t> </w:t>
      </w:r>
      <w:r>
        <w:rPr>
          <w:sz w:val="18"/>
        </w:rPr>
        <w:t>Grand</w:t>
      </w:r>
      <w:r>
        <w:rPr>
          <w:spacing w:val="-2"/>
          <w:sz w:val="18"/>
        </w:rPr>
        <w:t> </w:t>
      </w:r>
      <w:r>
        <w:rPr>
          <w:sz w:val="18"/>
        </w:rPr>
        <w:t>Paradise</w:t>
      </w:r>
      <w:r>
        <w:rPr>
          <w:spacing w:val="-2"/>
          <w:sz w:val="18"/>
        </w:rPr>
        <w:t> </w:t>
      </w:r>
      <w:r>
        <w:rPr>
          <w:sz w:val="18"/>
        </w:rPr>
        <w:t>with</w:t>
      </w:r>
      <w:r>
        <w:rPr>
          <w:spacing w:val="-2"/>
          <w:sz w:val="18"/>
        </w:rPr>
        <w:t> </w:t>
      </w:r>
      <w:r>
        <w:rPr>
          <w:sz w:val="18"/>
        </w:rPr>
        <w:t>at</w:t>
      </w:r>
      <w:r>
        <w:rPr>
          <w:spacing w:val="-2"/>
          <w:sz w:val="18"/>
        </w:rPr>
        <w:t> </w:t>
      </w:r>
      <w:r>
        <w:rPr>
          <w:sz w:val="18"/>
        </w:rPr>
        <w:t>least</w:t>
      </w:r>
      <w:r>
        <w:rPr>
          <w:spacing w:val="-2"/>
          <w:sz w:val="18"/>
        </w:rPr>
        <w:t> </w:t>
      </w:r>
      <w:r>
        <w:rPr>
          <w:sz w:val="18"/>
        </w:rPr>
        <w:t>one</w:t>
      </w:r>
      <w:r>
        <w:rPr>
          <w:spacing w:val="-2"/>
          <w:sz w:val="18"/>
        </w:rPr>
        <w:t> </w:t>
      </w:r>
      <w:r>
        <w:rPr>
          <w:sz w:val="18"/>
        </w:rPr>
        <w:t>year</w:t>
      </w:r>
      <w:r>
        <w:rPr>
          <w:spacing w:val="-2"/>
          <w:sz w:val="18"/>
        </w:rPr>
        <w:t> </w:t>
      </w:r>
      <w:r>
        <w:rPr>
          <w:sz w:val="18"/>
        </w:rPr>
        <w:t>of</w:t>
      </w:r>
      <w:r>
        <w:rPr>
          <w:spacing w:val="-2"/>
          <w:sz w:val="18"/>
        </w:rPr>
        <w:t> </w:t>
      </w:r>
      <w:r>
        <w:rPr>
          <w:sz w:val="18"/>
        </w:rPr>
        <w:t>advance</w:t>
      </w:r>
      <w:r>
        <w:rPr>
          <w:spacing w:val="-2"/>
          <w:sz w:val="18"/>
        </w:rPr>
        <w:t> </w:t>
      </w:r>
      <w:r>
        <w:rPr>
          <w:sz w:val="18"/>
        </w:rPr>
        <w:t>notice.</w:t>
      </w:r>
      <w:r>
        <w:rPr>
          <w:spacing w:val="-2"/>
          <w:sz w:val="18"/>
        </w:rPr>
        <w:t> </w:t>
      </w:r>
      <w:r>
        <w:rPr>
          <w:sz w:val="18"/>
        </w:rPr>
        <w:t>In</w:t>
      </w:r>
      <w:r>
        <w:rPr>
          <w:spacing w:val="-2"/>
          <w:sz w:val="18"/>
        </w:rPr>
        <w:t> </w:t>
      </w:r>
      <w:r>
        <w:rPr>
          <w:sz w:val="18"/>
        </w:rPr>
        <w:t>the</w:t>
      </w:r>
      <w:r>
        <w:rPr>
          <w:spacing w:val="-2"/>
          <w:sz w:val="18"/>
        </w:rPr>
        <w:t> </w:t>
      </w:r>
      <w:r>
        <w:rPr>
          <w:sz w:val="18"/>
        </w:rPr>
        <w:t>event</w:t>
      </w:r>
      <w:r>
        <w:rPr>
          <w:spacing w:val="-2"/>
          <w:sz w:val="18"/>
        </w:rPr>
        <w:t> </w:t>
      </w:r>
      <w:r>
        <w:rPr>
          <w:sz w:val="18"/>
        </w:rPr>
        <w:t>the</w:t>
      </w:r>
      <w:r>
        <w:rPr>
          <w:spacing w:val="-2"/>
          <w:sz w:val="18"/>
        </w:rPr>
        <w:t> </w:t>
      </w:r>
      <w:r>
        <w:rPr>
          <w:sz w:val="18"/>
        </w:rPr>
        <w:t>Macau</w:t>
      </w:r>
      <w:r>
        <w:rPr>
          <w:spacing w:val="-2"/>
          <w:sz w:val="18"/>
        </w:rPr>
        <w:t> </w:t>
      </w:r>
      <w:r>
        <w:rPr>
          <w:sz w:val="18"/>
        </w:rPr>
        <w:t>government</w:t>
      </w:r>
      <w:r>
        <w:rPr>
          <w:spacing w:val="-2"/>
          <w:sz w:val="18"/>
        </w:rPr>
        <w:t> </w:t>
      </w:r>
      <w:r>
        <w:rPr>
          <w:sz w:val="18"/>
        </w:rPr>
        <w:t>exercises</w:t>
      </w:r>
      <w:r>
        <w:rPr>
          <w:spacing w:val="-2"/>
          <w:sz w:val="18"/>
        </w:rPr>
        <w:t> </w:t>
      </w:r>
      <w:r>
        <w:rPr>
          <w:sz w:val="18"/>
        </w:rPr>
        <w:t>this</w:t>
      </w:r>
      <w:r>
        <w:rPr>
          <w:spacing w:val="-2"/>
          <w:sz w:val="18"/>
        </w:rPr>
        <w:t> </w:t>
      </w:r>
      <w:r>
        <w:rPr>
          <w:sz w:val="18"/>
        </w:rPr>
        <w:t>redemption</w:t>
      </w:r>
      <w:r>
        <w:rPr>
          <w:spacing w:val="-2"/>
          <w:sz w:val="18"/>
        </w:rPr>
        <w:t> </w:t>
      </w:r>
      <w:r>
        <w:rPr>
          <w:sz w:val="18"/>
        </w:rPr>
        <w:t>right, MGM Grand Paradise is entitled to reasonable and fair damages or indemnity. Upon such termination, all of MGM Grand Paradise’s casino area premises and gaming-related equipment, with the exception of those which have been temporarily transferred to MGM Grand Paradise by the Macau government for use in accordance with the concession contract, would be transferred automatically to the Macau government without compensation to MGM Grand Paradise, and we would cease to generate any revenues from these operations. We cannot assure you that MGM Grand Paradise will perform all of its obligations under the concession contract in a way that satisfies the requirements of the Macau government.</w:t>
      </w:r>
    </w:p>
    <w:p>
      <w:pPr>
        <w:pStyle w:val="BodyText"/>
        <w:spacing w:before="14"/>
      </w:pPr>
    </w:p>
    <w:p>
      <w:pPr>
        <w:pStyle w:val="BodyText"/>
        <w:spacing w:line="235" w:lineRule="auto"/>
        <w:ind w:left="144" w:right="118" w:firstLine="499"/>
        <w:jc w:val="both"/>
      </w:pPr>
      <w:r>
        <w:rPr/>
        <w:t>Under the terms of MGM Grand Paradise’s concession, MGM Grand Paradise is required to implement certain investments in gaming and non-gaming projects, with a committed investment amount of MOP 16.7 billion (approximately $2.1 billion as of December 31, 2022), of which MOP 15 </w:t>
      </w:r>
      <w:r>
        <w:rPr/>
        <w:t>billion (approximately $1.9 billion as of December 31, 2022) is in non-gaming projects, and which is subject to increases of up to 20% in future years in the event that market-wide</w:t>
      </w:r>
      <w:r>
        <w:rPr>
          <w:spacing w:val="-1"/>
        </w:rPr>
        <w:t> </w:t>
      </w:r>
      <w:r>
        <w:rPr/>
        <w:t>Macau</w:t>
      </w:r>
      <w:r>
        <w:rPr>
          <w:spacing w:val="-1"/>
        </w:rPr>
        <w:t> </w:t>
      </w:r>
      <w:r>
        <w:rPr/>
        <w:t>annual</w:t>
      </w:r>
      <w:r>
        <w:rPr>
          <w:spacing w:val="-1"/>
        </w:rPr>
        <w:t> </w:t>
      </w:r>
      <w:r>
        <w:rPr/>
        <w:t>gross</w:t>
      </w:r>
      <w:r>
        <w:rPr>
          <w:spacing w:val="-1"/>
        </w:rPr>
        <w:t> </w:t>
      </w:r>
      <w:r>
        <w:rPr/>
        <w:t>gaming</w:t>
      </w:r>
      <w:r>
        <w:rPr>
          <w:spacing w:val="-1"/>
        </w:rPr>
        <w:t> </w:t>
      </w:r>
      <w:r>
        <w:rPr/>
        <w:t>revenue</w:t>
      </w:r>
      <w:r>
        <w:rPr>
          <w:spacing w:val="-1"/>
        </w:rPr>
        <w:t> </w:t>
      </w:r>
      <w:r>
        <w:rPr/>
        <w:t>reaches</w:t>
      </w:r>
      <w:r>
        <w:rPr>
          <w:spacing w:val="-1"/>
        </w:rPr>
        <w:t> </w:t>
      </w:r>
      <w:r>
        <w:rPr/>
        <w:t>MOP</w:t>
      </w:r>
      <w:r>
        <w:rPr>
          <w:spacing w:val="-8"/>
        </w:rPr>
        <w:t> </w:t>
      </w:r>
      <w:r>
        <w:rPr/>
        <w:t>180</w:t>
      </w:r>
      <w:r>
        <w:rPr>
          <w:spacing w:val="-1"/>
        </w:rPr>
        <w:t> </w:t>
      </w:r>
      <w:r>
        <w:rPr/>
        <w:t>billion</w:t>
      </w:r>
      <w:r>
        <w:rPr>
          <w:spacing w:val="-1"/>
        </w:rPr>
        <w:t> </w:t>
      </w:r>
      <w:r>
        <w:rPr/>
        <w:t>(approximately</w:t>
      </w:r>
      <w:r>
        <w:rPr>
          <w:spacing w:val="-1"/>
        </w:rPr>
        <w:t> </w:t>
      </w:r>
      <w:r>
        <w:rPr/>
        <w:t>$22.4</w:t>
      </w:r>
      <w:r>
        <w:rPr>
          <w:spacing w:val="-1"/>
        </w:rPr>
        <w:t> </w:t>
      </w:r>
      <w:r>
        <w:rPr/>
        <w:t>billion</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2022).</w:t>
      </w:r>
      <w:r>
        <w:rPr>
          <w:spacing w:val="-4"/>
        </w:rPr>
        <w:t> </w:t>
      </w:r>
      <w:r>
        <w:rPr/>
        <w:t>There</w:t>
      </w:r>
      <w:r>
        <w:rPr>
          <w:spacing w:val="-1"/>
        </w:rPr>
        <w:t> </w:t>
      </w:r>
      <w:r>
        <w:rPr/>
        <w:t>can</w:t>
      </w:r>
      <w:r>
        <w:rPr>
          <w:spacing w:val="-1"/>
        </w:rPr>
        <w:t> </w:t>
      </w:r>
      <w:r>
        <w:rPr/>
        <w:t>be</w:t>
      </w:r>
      <w:r>
        <w:rPr>
          <w:spacing w:val="-1"/>
        </w:rPr>
        <w:t> </w:t>
      </w:r>
      <w:r>
        <w:rPr/>
        <w:t>no</w:t>
      </w:r>
      <w:r>
        <w:rPr>
          <w:spacing w:val="-1"/>
        </w:rPr>
        <w:t> </w:t>
      </w:r>
      <w:r>
        <w:rPr/>
        <w:t>assurance, however, that MGM Grand Paradise will have sufficient cash on hand to fund these obligations, or that it will be able to obtain financing to fund these obligations on satisfactory terms or at all. If MGM Grand Paradise is unable to satisfy its investment commitments, its concession contract may be subject to termination by the Macau government.</w:t>
      </w:r>
    </w:p>
    <w:p>
      <w:pPr>
        <w:pStyle w:val="BodyText"/>
        <w:spacing w:before="18"/>
      </w:pPr>
    </w:p>
    <w:p>
      <w:pPr>
        <w:pStyle w:val="BodyText"/>
        <w:spacing w:line="237" w:lineRule="auto" w:before="1"/>
        <w:ind w:left="144" w:right="118" w:firstLine="499"/>
        <w:jc w:val="both"/>
      </w:pPr>
      <w:r>
        <w:rPr/>
        <w:t>Furthermore, under the concession contract, MGM Grand Paradise is obligated to comply with any laws and regulations that the Macau </w:t>
      </w:r>
      <w:r>
        <w:rPr/>
        <w:t>government might promulgate in the future. We cannot assure you that MGM Grand Paradise will be able to comply with these laws and regulations or other requirements of MGM Grand Paradise’s concession contract, or that these laws and regulations or other requirements would not adversely affect our ability to construct or operate our Macau businesses. If any disagreement arises between MGM Grand Paradise and the Macau government regarding the interpretation of, or MGM Grand Paradise’s compliance with, a provision of the concession contract, MGM</w:t>
      </w:r>
    </w:p>
    <w:p>
      <w:pPr>
        <w:pStyle w:val="BodyText"/>
      </w:pPr>
    </w:p>
    <w:p>
      <w:pPr>
        <w:pStyle w:val="BodyText"/>
        <w:spacing w:before="193"/>
      </w:pPr>
    </w:p>
    <w:p>
      <w:pPr>
        <w:pStyle w:val="BodyText"/>
        <w:ind w:left="24"/>
        <w:jc w:val="center"/>
      </w:pPr>
      <w:r>
        <w:rPr>
          <w:spacing w:val="-5"/>
        </w:rPr>
        <w:t>26</w:t>
      </w:r>
    </w:p>
    <w:p>
      <w:pPr>
        <w:pStyle w:val="BodyText"/>
        <w:spacing w:before="3"/>
        <w:rPr>
          <w:sz w:val="6"/>
        </w:rPr>
      </w:pPr>
      <w:r>
        <w:rPr/>
        <mc:AlternateContent>
          <mc:Choice Requires="wps">
            <w:drawing>
              <wp:anchor distT="0" distB="0" distL="0" distR="0" allowOverlap="1" layoutInCell="1" locked="0" behindDoc="1" simplePos="0" relativeHeight="487607296">
                <wp:simplePos x="0" y="0"/>
                <wp:positionH relativeFrom="page">
                  <wp:posOffset>231457</wp:posOffset>
                </wp:positionH>
                <wp:positionV relativeFrom="paragraph">
                  <wp:posOffset>60956</wp:posOffset>
                </wp:positionV>
                <wp:extent cx="7312659" cy="17145"/>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7312659" cy="17145"/>
                          <a:chExt cx="7312659" cy="17145"/>
                        </a:xfrm>
                      </wpg:grpSpPr>
                      <wps:wsp>
                        <wps:cNvPr id="126" name="Graphic 12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7" name="Graphic 127"/>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8" name="Graphic 12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9184;mso-wrap-distance-left:0;mso-wrap-distance-right:0" id="docshapegroup124" coordorigin="364,96" coordsize="11516,27">
                <v:rect style="position:absolute;left:364;top:96;width:11516;height:14" id="docshape125" filled="true" fillcolor="#999999" stroked="false">
                  <v:fill type="solid"/>
                </v:rect>
                <v:shape style="position:absolute;left:364;top:95;width:11516;height:27" id="docshape126" coordorigin="364,96" coordsize="11516,27" path="m11880,96l11866,109,364,109,364,123,11866,123,11880,123,11880,109,11880,96xe" filled="true" fillcolor="#ededed" stroked="false">
                  <v:path arrowok="t"/>
                  <v:fill type="solid"/>
                </v:shape>
                <v:shape style="position:absolute;left:364;top:96;width:14;height:27" id="docshape12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60" w:bottom="280" w:left="220" w:right="240"/>
        </w:sectPr>
      </w:pPr>
    </w:p>
    <w:p>
      <w:pPr>
        <w:pStyle w:val="BodyText"/>
        <w:spacing w:line="237" w:lineRule="auto" w:before="64"/>
        <w:ind w:left="144" w:right="118"/>
        <w:jc w:val="both"/>
      </w:pPr>
      <w:r>
        <w:rPr/>
        <w:t>Grand Paradise will be relying on a consultation and negotiation process with the Macau government. During any consultation or negotiation, MGM </w:t>
      </w:r>
      <w:r>
        <w:rPr/>
        <w:t>Grand Paradise will be obligated to comply with the terms of the concession contract as interpreted by the Macau government. Currently, there is no precedent concerning how the Macau government will treat the termination of a concession upon the occurrence of any of the circumstances mentioned above. The loss</w:t>
      </w:r>
      <w:r>
        <w:rPr>
          <w:spacing w:val="40"/>
        </w:rPr>
        <w:t> </w:t>
      </w:r>
      <w:r>
        <w:rPr/>
        <w:t>of the concession would require us to cease conducting gaming operations in Macau, which would have a material adverse effect on our business, financial condition, results of operations and cash flows.</w:t>
      </w:r>
    </w:p>
    <w:p>
      <w:pPr>
        <w:pStyle w:val="BodyText"/>
        <w:spacing w:line="235" w:lineRule="auto" w:before="206"/>
        <w:ind w:left="144" w:right="118" w:firstLine="499"/>
        <w:jc w:val="both"/>
      </w:pPr>
      <w:r>
        <w:rPr/>
        <w:t>In addition, the concession contract expires on December 31, 2032.</w:t>
      </w:r>
      <w:r>
        <w:rPr>
          <w:spacing w:val="-2"/>
        </w:rPr>
        <w:t> </w:t>
      </w:r>
      <w:r>
        <w:rPr/>
        <w:t>We cannot assure you that MGM Grand Paradise will be able to obtain an extension of</w:t>
      </w:r>
      <w:r>
        <w:rPr>
          <w:spacing w:val="-1"/>
        </w:rPr>
        <w:t> </w:t>
      </w:r>
      <w:r>
        <w:rPr/>
        <w:t>the</w:t>
      </w:r>
      <w:r>
        <w:rPr>
          <w:spacing w:val="-1"/>
        </w:rPr>
        <w:t> </w:t>
      </w:r>
      <w:r>
        <w:rPr/>
        <w:t>concession</w:t>
      </w:r>
      <w:r>
        <w:rPr>
          <w:spacing w:val="-1"/>
        </w:rPr>
        <w:t> </w:t>
      </w:r>
      <w:r>
        <w:rPr/>
        <w:t>contract</w:t>
      </w:r>
      <w:r>
        <w:rPr>
          <w:spacing w:val="-1"/>
        </w:rPr>
        <w:t> </w:t>
      </w:r>
      <w:r>
        <w:rPr/>
        <w:t>upon</w:t>
      </w:r>
      <w:r>
        <w:rPr>
          <w:spacing w:val="-1"/>
        </w:rPr>
        <w:t> </w:t>
      </w:r>
      <w:r>
        <w:rPr/>
        <w:t>its</w:t>
      </w:r>
      <w:r>
        <w:rPr>
          <w:spacing w:val="-1"/>
        </w:rPr>
        <w:t> </w:t>
      </w:r>
      <w:r>
        <w:rPr/>
        <w:t>expiration</w:t>
      </w:r>
      <w:r>
        <w:rPr>
          <w:spacing w:val="-1"/>
        </w:rPr>
        <w:t> </w:t>
      </w:r>
      <w:r>
        <w:rPr/>
        <w:t>or</w:t>
      </w:r>
      <w:r>
        <w:rPr>
          <w:spacing w:val="-1"/>
        </w:rPr>
        <w:t> </w:t>
      </w:r>
      <w:r>
        <w:rPr/>
        <w:t>be</w:t>
      </w:r>
      <w:r>
        <w:rPr>
          <w:spacing w:val="-1"/>
        </w:rPr>
        <w:t> </w:t>
      </w:r>
      <w:r>
        <w:rPr/>
        <w:t>awarded</w:t>
      </w:r>
      <w:r>
        <w:rPr>
          <w:spacing w:val="-1"/>
        </w:rPr>
        <w:t> </w:t>
      </w:r>
      <w:r>
        <w:rPr/>
        <w:t>a</w:t>
      </w:r>
      <w:r>
        <w:rPr>
          <w:spacing w:val="-1"/>
        </w:rPr>
        <w:t> </w:t>
      </w:r>
      <w:r>
        <w:rPr/>
        <w:t>new</w:t>
      </w:r>
      <w:r>
        <w:rPr>
          <w:spacing w:val="-1"/>
        </w:rPr>
        <w:t> </w:t>
      </w:r>
      <w:r>
        <w:rPr/>
        <w:t>gaming</w:t>
      </w:r>
      <w:r>
        <w:rPr>
          <w:spacing w:val="-1"/>
        </w:rPr>
        <w:t> </w:t>
      </w:r>
      <w:r>
        <w:rPr/>
        <w:t>concession</w:t>
      </w:r>
      <w:r>
        <w:rPr>
          <w:spacing w:val="-1"/>
        </w:rPr>
        <w:t> </w:t>
      </w:r>
      <w:r>
        <w:rPr/>
        <w:t>on</w:t>
      </w:r>
      <w:r>
        <w:rPr>
          <w:spacing w:val="-1"/>
        </w:rPr>
        <w:t> </w:t>
      </w:r>
      <w:r>
        <w:rPr/>
        <w:t>terms</w:t>
      </w:r>
      <w:r>
        <w:rPr>
          <w:spacing w:val="-1"/>
        </w:rPr>
        <w:t> </w:t>
      </w:r>
      <w:r>
        <w:rPr/>
        <w:t>favorable</w:t>
      </w:r>
      <w:r>
        <w:rPr>
          <w:spacing w:val="-1"/>
        </w:rPr>
        <w:t> </w:t>
      </w:r>
      <w:r>
        <w:rPr/>
        <w:t>to</w:t>
      </w:r>
      <w:r>
        <w:rPr>
          <w:spacing w:val="-1"/>
        </w:rPr>
        <w:t> </w:t>
      </w:r>
      <w:r>
        <w:rPr/>
        <w:t>MGM</w:t>
      </w:r>
      <w:r>
        <w:rPr>
          <w:spacing w:val="-1"/>
        </w:rPr>
        <w:t> </w:t>
      </w:r>
      <w:r>
        <w:rPr/>
        <w:t>Grand</w:t>
      </w:r>
      <w:r>
        <w:rPr>
          <w:spacing w:val="-1"/>
        </w:rPr>
        <w:t> </w:t>
      </w:r>
      <w:r>
        <w:rPr/>
        <w:t>Paradise</w:t>
      </w:r>
      <w:r>
        <w:rPr>
          <w:spacing w:val="-1"/>
        </w:rPr>
        <w:t> </w:t>
      </w:r>
      <w:r>
        <w:rPr/>
        <w:t>or</w:t>
      </w:r>
      <w:r>
        <w:rPr>
          <w:spacing w:val="-1"/>
        </w:rPr>
        <w:t> </w:t>
      </w:r>
      <w:r>
        <w:rPr/>
        <w:t>at</w:t>
      </w:r>
      <w:r>
        <w:rPr>
          <w:spacing w:val="-1"/>
        </w:rPr>
        <w:t> </w:t>
      </w:r>
      <w:r>
        <w:rPr/>
        <w:t>all.</w:t>
      </w:r>
      <w:r>
        <w:rPr>
          <w:spacing w:val="-4"/>
        </w:rPr>
        <w:t> </w:t>
      </w:r>
      <w:r>
        <w:rPr/>
        <w:t>We</w:t>
      </w:r>
      <w:r>
        <w:rPr>
          <w:spacing w:val="-1"/>
        </w:rPr>
        <w:t> </w:t>
      </w:r>
      <w:r>
        <w:rPr/>
        <w:t>cannot</w:t>
      </w:r>
      <w:r>
        <w:rPr>
          <w:spacing w:val="-1"/>
        </w:rPr>
        <w:t> </w:t>
      </w:r>
      <w:r>
        <w:rPr/>
        <w:t>provide any assurances on the terms associated with any potential future extension, which could include additional fees or other financial commitments that may have an adverse impact on the financial position of MGM Grand Paradise. We also cannot assure you that if the concession is redeemed by the Macau government, the compensation paid to MGM Grand Paradise will be adequate to compensate for the loss of future revenues.</w:t>
      </w:r>
    </w:p>
    <w:p>
      <w:pPr>
        <w:pStyle w:val="BodyText"/>
        <w:spacing w:before="17"/>
      </w:pPr>
    </w:p>
    <w:p>
      <w:pPr>
        <w:spacing w:line="242" w:lineRule="auto" w:before="0"/>
        <w:ind w:left="144" w:right="118" w:firstLine="499"/>
        <w:jc w:val="both"/>
        <w:rPr>
          <w:sz w:val="18"/>
        </w:rPr>
      </w:pPr>
      <w:r>
        <w:rPr>
          <w:b/>
          <w:i/>
          <w:sz w:val="18"/>
        </w:rPr>
        <w:t>We are subject to risks associated with doing business outside of the United States</w:t>
      </w:r>
      <w:r>
        <w:rPr>
          <w:b/>
          <w:sz w:val="18"/>
        </w:rPr>
        <w:t>. </w:t>
      </w:r>
      <w:r>
        <w:rPr>
          <w:sz w:val="18"/>
        </w:rPr>
        <w:t>Our operations outside of the United States are subject to risks that are</w:t>
      </w:r>
      <w:r>
        <w:rPr>
          <w:spacing w:val="-2"/>
          <w:sz w:val="18"/>
        </w:rPr>
        <w:t> </w:t>
      </w:r>
      <w:r>
        <w:rPr>
          <w:sz w:val="18"/>
        </w:rPr>
        <w:t>inherent</w:t>
      </w:r>
      <w:r>
        <w:rPr>
          <w:spacing w:val="-2"/>
          <w:sz w:val="18"/>
        </w:rPr>
        <w:t> </w:t>
      </w:r>
      <w:r>
        <w:rPr>
          <w:sz w:val="18"/>
        </w:rPr>
        <w:t>in</w:t>
      </w:r>
      <w:r>
        <w:rPr>
          <w:spacing w:val="-2"/>
          <w:sz w:val="18"/>
        </w:rPr>
        <w:t> </w:t>
      </w:r>
      <w:r>
        <w:rPr>
          <w:sz w:val="18"/>
        </w:rPr>
        <w:t>conducting</w:t>
      </w:r>
      <w:r>
        <w:rPr>
          <w:spacing w:val="-2"/>
          <w:sz w:val="18"/>
        </w:rPr>
        <w:t> </w:t>
      </w:r>
      <w:r>
        <w:rPr>
          <w:sz w:val="18"/>
        </w:rPr>
        <w:t>business</w:t>
      </w:r>
      <w:r>
        <w:rPr>
          <w:spacing w:val="-2"/>
          <w:sz w:val="18"/>
        </w:rPr>
        <w:t> </w:t>
      </w:r>
      <w:r>
        <w:rPr>
          <w:sz w:val="18"/>
        </w:rPr>
        <w:t>under</w:t>
      </w:r>
      <w:r>
        <w:rPr>
          <w:spacing w:val="-2"/>
          <w:sz w:val="18"/>
        </w:rPr>
        <w:t> </w:t>
      </w:r>
      <w:r>
        <w:rPr>
          <w:sz w:val="18"/>
        </w:rPr>
        <w:t>non-United</w:t>
      </w:r>
      <w:r>
        <w:rPr>
          <w:spacing w:val="-2"/>
          <w:sz w:val="18"/>
        </w:rPr>
        <w:t> </w:t>
      </w:r>
      <w:r>
        <w:rPr>
          <w:sz w:val="18"/>
        </w:rPr>
        <w:t>States</w:t>
      </w:r>
      <w:r>
        <w:rPr>
          <w:spacing w:val="-2"/>
          <w:sz w:val="18"/>
        </w:rPr>
        <w:t> </w:t>
      </w:r>
      <w:r>
        <w:rPr>
          <w:sz w:val="18"/>
        </w:rPr>
        <w:t>laws,</w:t>
      </w:r>
      <w:r>
        <w:rPr>
          <w:spacing w:val="-2"/>
          <w:sz w:val="18"/>
        </w:rPr>
        <w:t> </w:t>
      </w:r>
      <w:r>
        <w:rPr>
          <w:sz w:val="18"/>
        </w:rPr>
        <w:t>regulations</w:t>
      </w:r>
      <w:r>
        <w:rPr>
          <w:spacing w:val="-2"/>
          <w:sz w:val="18"/>
        </w:rPr>
        <w:t> </w:t>
      </w:r>
      <w:r>
        <w:rPr>
          <w:sz w:val="18"/>
        </w:rPr>
        <w:t>and</w:t>
      </w:r>
      <w:r>
        <w:rPr>
          <w:spacing w:val="-2"/>
          <w:sz w:val="18"/>
        </w:rPr>
        <w:t> </w:t>
      </w:r>
      <w:r>
        <w:rPr>
          <w:sz w:val="18"/>
        </w:rPr>
        <w:t>customs.</w:t>
      </w:r>
      <w:r>
        <w:rPr>
          <w:spacing w:val="-2"/>
          <w:sz w:val="18"/>
        </w:rPr>
        <w:t> </w:t>
      </w:r>
      <w:r>
        <w:rPr>
          <w:sz w:val="18"/>
        </w:rPr>
        <w:t>In</w:t>
      </w:r>
      <w:r>
        <w:rPr>
          <w:spacing w:val="-2"/>
          <w:sz w:val="18"/>
        </w:rPr>
        <w:t> </w:t>
      </w:r>
      <w:r>
        <w:rPr>
          <w:sz w:val="18"/>
        </w:rPr>
        <w:t>particular,</w:t>
      </w:r>
      <w:r>
        <w:rPr>
          <w:spacing w:val="-2"/>
          <w:sz w:val="18"/>
        </w:rPr>
        <w:t> </w:t>
      </w:r>
      <w:r>
        <w:rPr>
          <w:sz w:val="18"/>
        </w:rPr>
        <w:t>the</w:t>
      </w:r>
      <w:r>
        <w:rPr>
          <w:spacing w:val="-2"/>
          <w:sz w:val="18"/>
        </w:rPr>
        <w:t> </w:t>
      </w:r>
      <w:r>
        <w:rPr>
          <w:sz w:val="18"/>
        </w:rPr>
        <w:t>risks</w:t>
      </w:r>
      <w:r>
        <w:rPr>
          <w:spacing w:val="-2"/>
          <w:sz w:val="18"/>
        </w:rPr>
        <w:t> </w:t>
      </w:r>
      <w:r>
        <w:rPr>
          <w:sz w:val="18"/>
        </w:rPr>
        <w:t>associated</w:t>
      </w:r>
      <w:r>
        <w:rPr>
          <w:spacing w:val="-2"/>
          <w:sz w:val="18"/>
        </w:rPr>
        <w:t> </w:t>
      </w:r>
      <w:r>
        <w:rPr>
          <w:sz w:val="18"/>
        </w:rPr>
        <w:t>with</w:t>
      </w:r>
      <w:r>
        <w:rPr>
          <w:spacing w:val="-2"/>
          <w:sz w:val="18"/>
        </w:rPr>
        <w:t> </w:t>
      </w:r>
      <w:r>
        <w:rPr>
          <w:sz w:val="18"/>
        </w:rPr>
        <w:t>the</w:t>
      </w:r>
      <w:r>
        <w:rPr>
          <w:spacing w:val="-2"/>
          <w:sz w:val="18"/>
        </w:rPr>
        <w:t> </w:t>
      </w:r>
      <w:r>
        <w:rPr>
          <w:sz w:val="18"/>
        </w:rPr>
        <w:t>operation</w:t>
      </w:r>
      <w:r>
        <w:rPr>
          <w:spacing w:val="-2"/>
          <w:sz w:val="18"/>
        </w:rPr>
        <w:t> </w:t>
      </w:r>
      <w:r>
        <w:rPr>
          <w:sz w:val="18"/>
        </w:rPr>
        <w:t>of</w:t>
      </w:r>
      <w:r>
        <w:rPr>
          <w:spacing w:val="-2"/>
          <w:sz w:val="18"/>
        </w:rPr>
        <w:t> </w:t>
      </w:r>
      <w:r>
        <w:rPr>
          <w:sz w:val="18"/>
        </w:rPr>
        <w:t>MGM</w:t>
      </w:r>
      <w:r>
        <w:rPr>
          <w:spacing w:val="-2"/>
          <w:sz w:val="18"/>
        </w:rPr>
        <w:t> </w:t>
      </w:r>
      <w:r>
        <w:rPr>
          <w:sz w:val="18"/>
        </w:rPr>
        <w:t>China or any future operations in which we may engage in any other foreign territories, include:</w:t>
      </w:r>
    </w:p>
    <w:p>
      <w:pPr>
        <w:pStyle w:val="BodyText"/>
        <w:spacing w:before="3"/>
      </w:pPr>
    </w:p>
    <w:p>
      <w:pPr>
        <w:pStyle w:val="ListParagraph"/>
        <w:numPr>
          <w:ilvl w:val="0"/>
          <w:numId w:val="4"/>
        </w:numPr>
        <w:tabs>
          <w:tab w:pos="792" w:val="left" w:leader="none"/>
        </w:tabs>
        <w:spacing w:line="205" w:lineRule="exact" w:before="0" w:after="0"/>
        <w:ind w:left="792" w:right="0" w:hanging="324"/>
        <w:jc w:val="left"/>
        <w:rPr>
          <w:sz w:val="18"/>
        </w:rPr>
      </w:pPr>
      <w:r>
        <w:rPr>
          <w:sz w:val="18"/>
        </w:rPr>
        <w:t>changes</w:t>
      </w:r>
      <w:r>
        <w:rPr>
          <w:spacing w:val="-1"/>
          <w:sz w:val="18"/>
        </w:rPr>
        <w:t> </w:t>
      </w:r>
      <w:r>
        <w:rPr>
          <w:sz w:val="18"/>
        </w:rPr>
        <w:t>in</w:t>
      </w:r>
      <w:r>
        <w:rPr>
          <w:spacing w:val="-1"/>
          <w:sz w:val="18"/>
        </w:rPr>
        <w:t> </w:t>
      </w:r>
      <w:r>
        <w:rPr>
          <w:sz w:val="18"/>
        </w:rPr>
        <w:t>laws</w:t>
      </w:r>
      <w:r>
        <w:rPr>
          <w:spacing w:val="-1"/>
          <w:sz w:val="18"/>
        </w:rPr>
        <w:t> </w:t>
      </w:r>
      <w:r>
        <w:rPr>
          <w:sz w:val="18"/>
        </w:rPr>
        <w:t>and</w:t>
      </w:r>
      <w:r>
        <w:rPr>
          <w:spacing w:val="-1"/>
          <w:sz w:val="18"/>
        </w:rPr>
        <w:t> </w:t>
      </w:r>
      <w:r>
        <w:rPr>
          <w:sz w:val="18"/>
        </w:rPr>
        <w:t>policies</w:t>
      </w:r>
      <w:r>
        <w:rPr>
          <w:spacing w:val="-1"/>
          <w:sz w:val="18"/>
        </w:rPr>
        <w:t> </w:t>
      </w:r>
      <w:r>
        <w:rPr>
          <w:sz w:val="18"/>
        </w:rPr>
        <w:t>that</w:t>
      </w:r>
      <w:r>
        <w:rPr>
          <w:spacing w:val="-1"/>
          <w:sz w:val="18"/>
        </w:rPr>
        <w:t> </w:t>
      </w:r>
      <w:r>
        <w:rPr>
          <w:sz w:val="18"/>
        </w:rPr>
        <w:t>govern</w:t>
      </w:r>
      <w:r>
        <w:rPr>
          <w:spacing w:val="-1"/>
          <w:sz w:val="18"/>
        </w:rPr>
        <w:t> </w:t>
      </w:r>
      <w:r>
        <w:rPr>
          <w:sz w:val="18"/>
        </w:rPr>
        <w:t>operations</w:t>
      </w:r>
      <w:r>
        <w:rPr>
          <w:spacing w:val="-1"/>
          <w:sz w:val="18"/>
        </w:rPr>
        <w:t> </w:t>
      </w:r>
      <w:r>
        <w:rPr>
          <w:sz w:val="18"/>
        </w:rPr>
        <w:t>of</w:t>
      </w:r>
      <w:r>
        <w:rPr>
          <w:spacing w:val="-1"/>
          <w:sz w:val="18"/>
        </w:rPr>
        <w:t> </w:t>
      </w:r>
      <w:r>
        <w:rPr>
          <w:sz w:val="18"/>
        </w:rPr>
        <w:t>companies</w:t>
      </w:r>
      <w:r>
        <w:rPr>
          <w:spacing w:val="-1"/>
          <w:sz w:val="18"/>
        </w:rPr>
        <w:t> </w:t>
      </w:r>
      <w:r>
        <w:rPr>
          <w:sz w:val="18"/>
        </w:rPr>
        <w:t>in</w:t>
      </w:r>
      <w:r>
        <w:rPr>
          <w:spacing w:val="-1"/>
          <w:sz w:val="18"/>
        </w:rPr>
        <w:t> </w:t>
      </w:r>
      <w:r>
        <w:rPr>
          <w:sz w:val="18"/>
        </w:rPr>
        <w:t>Macau</w:t>
      </w:r>
      <w:r>
        <w:rPr>
          <w:spacing w:val="-1"/>
          <w:sz w:val="18"/>
        </w:rPr>
        <w:t> </w:t>
      </w:r>
      <w:r>
        <w:rPr>
          <w:sz w:val="18"/>
        </w:rPr>
        <w:t>or</w:t>
      </w:r>
      <w:r>
        <w:rPr>
          <w:spacing w:val="-1"/>
          <w:sz w:val="18"/>
        </w:rPr>
        <w:t> </w:t>
      </w:r>
      <w:r>
        <w:rPr>
          <w:sz w:val="18"/>
        </w:rPr>
        <w:t>other</w:t>
      </w:r>
      <w:r>
        <w:rPr>
          <w:spacing w:val="-1"/>
          <w:sz w:val="18"/>
        </w:rPr>
        <w:t> </w:t>
      </w:r>
      <w:r>
        <w:rPr>
          <w:sz w:val="18"/>
        </w:rPr>
        <w:t>foreign</w:t>
      </w:r>
      <w:r>
        <w:rPr>
          <w:spacing w:val="-1"/>
          <w:sz w:val="18"/>
        </w:rPr>
        <w:t> </w:t>
      </w:r>
      <w:r>
        <w:rPr>
          <w:spacing w:val="-2"/>
          <w:sz w:val="18"/>
        </w:rPr>
        <w:t>jurisdictions;</w:t>
      </w:r>
    </w:p>
    <w:p>
      <w:pPr>
        <w:pStyle w:val="ListParagraph"/>
        <w:numPr>
          <w:ilvl w:val="0"/>
          <w:numId w:val="4"/>
        </w:numPr>
        <w:tabs>
          <w:tab w:pos="792" w:val="left" w:leader="none"/>
        </w:tabs>
        <w:spacing w:line="205" w:lineRule="exact" w:before="0" w:after="0"/>
        <w:ind w:left="792" w:right="0" w:hanging="324"/>
        <w:jc w:val="left"/>
        <w:rPr>
          <w:sz w:val="18"/>
        </w:rPr>
      </w:pPr>
      <w:r>
        <w:rPr>
          <w:sz w:val="18"/>
        </w:rPr>
        <w:t>changes</w:t>
      </w:r>
      <w:r>
        <w:rPr>
          <w:spacing w:val="-1"/>
          <w:sz w:val="18"/>
        </w:rPr>
        <w:t> </w:t>
      </w:r>
      <w:r>
        <w:rPr>
          <w:sz w:val="18"/>
        </w:rPr>
        <w:t>in</w:t>
      </w:r>
      <w:r>
        <w:rPr>
          <w:spacing w:val="-1"/>
          <w:sz w:val="18"/>
        </w:rPr>
        <w:t> </w:t>
      </w:r>
      <w:r>
        <w:rPr>
          <w:sz w:val="18"/>
        </w:rPr>
        <w:t>non-United</w:t>
      </w:r>
      <w:r>
        <w:rPr>
          <w:spacing w:val="-1"/>
          <w:sz w:val="18"/>
        </w:rPr>
        <w:t> </w:t>
      </w:r>
      <w:r>
        <w:rPr>
          <w:sz w:val="18"/>
        </w:rPr>
        <w:t>States</w:t>
      </w:r>
      <w:r>
        <w:rPr>
          <w:spacing w:val="-1"/>
          <w:sz w:val="18"/>
        </w:rPr>
        <w:t> </w:t>
      </w:r>
      <w:r>
        <w:rPr>
          <w:sz w:val="18"/>
        </w:rPr>
        <w:t>government</w:t>
      </w:r>
      <w:r>
        <w:rPr>
          <w:spacing w:val="-1"/>
          <w:sz w:val="18"/>
        </w:rPr>
        <w:t> </w:t>
      </w:r>
      <w:r>
        <w:rPr>
          <w:spacing w:val="-2"/>
          <w:sz w:val="18"/>
        </w:rPr>
        <w:t>programs;</w:t>
      </w:r>
    </w:p>
    <w:p>
      <w:pPr>
        <w:pStyle w:val="ListParagraph"/>
        <w:numPr>
          <w:ilvl w:val="0"/>
          <w:numId w:val="4"/>
        </w:numPr>
        <w:tabs>
          <w:tab w:pos="792" w:val="left" w:leader="none"/>
        </w:tabs>
        <w:spacing w:line="235" w:lineRule="auto" w:before="13" w:after="0"/>
        <w:ind w:left="792" w:right="118" w:hanging="324"/>
        <w:jc w:val="left"/>
        <w:rPr>
          <w:sz w:val="18"/>
        </w:rPr>
      </w:pPr>
      <w:r>
        <w:rPr>
          <w:sz w:val="18"/>
        </w:rPr>
        <w:t>possible failure by our employees or agents to comply with anti-bribery laws such as the United States Foreign Corrupt Practices</w:t>
      </w:r>
      <w:r>
        <w:rPr>
          <w:spacing w:val="-8"/>
          <w:sz w:val="18"/>
        </w:rPr>
        <w:t> </w:t>
      </w:r>
      <w:r>
        <w:rPr>
          <w:sz w:val="18"/>
        </w:rPr>
        <w:t>Act and similar anti- bribery laws in other jurisdictions;</w:t>
      </w:r>
    </w:p>
    <w:p>
      <w:pPr>
        <w:pStyle w:val="ListParagraph"/>
        <w:numPr>
          <w:ilvl w:val="0"/>
          <w:numId w:val="4"/>
        </w:numPr>
        <w:tabs>
          <w:tab w:pos="792" w:val="left" w:leader="none"/>
        </w:tabs>
        <w:spacing w:line="203" w:lineRule="exact" w:before="0" w:after="0"/>
        <w:ind w:left="792" w:right="0" w:hanging="324"/>
        <w:jc w:val="left"/>
        <w:rPr>
          <w:sz w:val="18"/>
        </w:rPr>
      </w:pPr>
      <w:r>
        <w:rPr>
          <w:sz w:val="18"/>
        </w:rPr>
        <w:t>general</w:t>
      </w:r>
      <w:r>
        <w:rPr>
          <w:spacing w:val="-1"/>
          <w:sz w:val="18"/>
        </w:rPr>
        <w:t> </w:t>
      </w:r>
      <w:r>
        <w:rPr>
          <w:sz w:val="18"/>
        </w:rPr>
        <w:t>economic</w:t>
      </w:r>
      <w:r>
        <w:rPr>
          <w:spacing w:val="-1"/>
          <w:sz w:val="18"/>
        </w:rPr>
        <w:t> </w:t>
      </w:r>
      <w:r>
        <w:rPr>
          <w:sz w:val="18"/>
        </w:rPr>
        <w:t>conditions</w:t>
      </w:r>
      <w:r>
        <w:rPr>
          <w:spacing w:val="-1"/>
          <w:sz w:val="18"/>
        </w:rPr>
        <w:t> </w:t>
      </w:r>
      <w:r>
        <w:rPr>
          <w:sz w:val="18"/>
        </w:rPr>
        <w:t>and</w:t>
      </w:r>
      <w:r>
        <w:rPr>
          <w:spacing w:val="-1"/>
          <w:sz w:val="18"/>
        </w:rPr>
        <w:t> </w:t>
      </w:r>
      <w:r>
        <w:rPr>
          <w:sz w:val="18"/>
        </w:rPr>
        <w:t>policies</w:t>
      </w:r>
      <w:r>
        <w:rPr>
          <w:spacing w:val="-1"/>
          <w:sz w:val="18"/>
        </w:rPr>
        <w:t> </w:t>
      </w:r>
      <w:r>
        <w:rPr>
          <w:sz w:val="18"/>
        </w:rPr>
        <w:t>in</w:t>
      </w:r>
      <w:r>
        <w:rPr>
          <w:spacing w:val="-1"/>
          <w:sz w:val="18"/>
        </w:rPr>
        <w:t> </w:t>
      </w:r>
      <w:r>
        <w:rPr>
          <w:sz w:val="18"/>
        </w:rPr>
        <w:t>China,</w:t>
      </w:r>
      <w:r>
        <w:rPr>
          <w:spacing w:val="-1"/>
          <w:sz w:val="18"/>
        </w:rPr>
        <w:t> </w:t>
      </w:r>
      <w:r>
        <w:rPr>
          <w:sz w:val="18"/>
        </w:rPr>
        <w:t>including</w:t>
      </w:r>
      <w:r>
        <w:rPr>
          <w:spacing w:val="-1"/>
          <w:sz w:val="18"/>
        </w:rPr>
        <w:t> </w:t>
      </w:r>
      <w:r>
        <w:rPr>
          <w:sz w:val="18"/>
        </w:rPr>
        <w:t>restrictions</w:t>
      </w:r>
      <w:r>
        <w:rPr>
          <w:spacing w:val="-1"/>
          <w:sz w:val="18"/>
        </w:rPr>
        <w:t> </w:t>
      </w:r>
      <w:r>
        <w:rPr>
          <w:sz w:val="18"/>
        </w:rPr>
        <w:t>on</w:t>
      </w:r>
      <w:r>
        <w:rPr>
          <w:spacing w:val="-1"/>
          <w:sz w:val="18"/>
        </w:rPr>
        <w:t> </w:t>
      </w:r>
      <w:r>
        <w:rPr>
          <w:sz w:val="18"/>
        </w:rPr>
        <w:t>travel</w:t>
      </w:r>
      <w:r>
        <w:rPr>
          <w:spacing w:val="-1"/>
          <w:sz w:val="18"/>
        </w:rPr>
        <w:t> </w:t>
      </w:r>
      <w:r>
        <w:rPr>
          <w:sz w:val="18"/>
        </w:rPr>
        <w:t>and</w:t>
      </w:r>
      <w:r>
        <w:rPr>
          <w:spacing w:val="-1"/>
          <w:sz w:val="18"/>
        </w:rPr>
        <w:t> </w:t>
      </w:r>
      <w:r>
        <w:rPr>
          <w:sz w:val="18"/>
        </w:rPr>
        <w:t>currency</w:t>
      </w:r>
      <w:r>
        <w:rPr>
          <w:spacing w:val="-1"/>
          <w:sz w:val="18"/>
        </w:rPr>
        <w:t> </w:t>
      </w:r>
      <w:r>
        <w:rPr>
          <w:spacing w:val="-2"/>
          <w:sz w:val="18"/>
        </w:rPr>
        <w:t>movements;</w:t>
      </w:r>
    </w:p>
    <w:p>
      <w:pPr>
        <w:pStyle w:val="ListParagraph"/>
        <w:numPr>
          <w:ilvl w:val="0"/>
          <w:numId w:val="4"/>
        </w:numPr>
        <w:tabs>
          <w:tab w:pos="792" w:val="left" w:leader="none"/>
        </w:tabs>
        <w:spacing w:line="205" w:lineRule="exact" w:before="9" w:after="0"/>
        <w:ind w:left="792" w:right="0" w:hanging="324"/>
        <w:jc w:val="left"/>
        <w:rPr>
          <w:sz w:val="18"/>
        </w:rPr>
      </w:pPr>
      <w:r>
        <w:rPr>
          <w:sz w:val="18"/>
        </w:rPr>
        <w:t>difficulty</w:t>
      </w:r>
      <w:r>
        <w:rPr>
          <w:spacing w:val="-4"/>
          <w:sz w:val="18"/>
        </w:rPr>
        <w:t> </w:t>
      </w:r>
      <w:r>
        <w:rPr>
          <w:sz w:val="18"/>
        </w:rPr>
        <w:t>in</w:t>
      </w:r>
      <w:r>
        <w:rPr>
          <w:spacing w:val="-2"/>
          <w:sz w:val="18"/>
        </w:rPr>
        <w:t> </w:t>
      </w:r>
      <w:r>
        <w:rPr>
          <w:sz w:val="18"/>
        </w:rPr>
        <w:t>establishing,</w:t>
      </w:r>
      <w:r>
        <w:rPr>
          <w:spacing w:val="-2"/>
          <w:sz w:val="18"/>
        </w:rPr>
        <w:t> </w:t>
      </w:r>
      <w:r>
        <w:rPr>
          <w:sz w:val="18"/>
        </w:rPr>
        <w:t>staffing</w:t>
      </w:r>
      <w:r>
        <w:rPr>
          <w:spacing w:val="-2"/>
          <w:sz w:val="18"/>
        </w:rPr>
        <w:t> </w:t>
      </w:r>
      <w:r>
        <w:rPr>
          <w:sz w:val="18"/>
        </w:rPr>
        <w:t>and</w:t>
      </w:r>
      <w:r>
        <w:rPr>
          <w:spacing w:val="-2"/>
          <w:sz w:val="18"/>
        </w:rPr>
        <w:t> </w:t>
      </w:r>
      <w:r>
        <w:rPr>
          <w:sz w:val="18"/>
        </w:rPr>
        <w:t>managing</w:t>
      </w:r>
      <w:r>
        <w:rPr>
          <w:spacing w:val="-2"/>
          <w:sz w:val="18"/>
        </w:rPr>
        <w:t> </w:t>
      </w:r>
      <w:r>
        <w:rPr>
          <w:sz w:val="18"/>
        </w:rPr>
        <w:t>non-United</w:t>
      </w:r>
      <w:r>
        <w:rPr>
          <w:spacing w:val="-2"/>
          <w:sz w:val="18"/>
        </w:rPr>
        <w:t> </w:t>
      </w:r>
      <w:r>
        <w:rPr>
          <w:sz w:val="18"/>
        </w:rPr>
        <w:t>States</w:t>
      </w:r>
      <w:r>
        <w:rPr>
          <w:spacing w:val="-2"/>
          <w:sz w:val="18"/>
        </w:rPr>
        <w:t> operations;</w:t>
      </w:r>
    </w:p>
    <w:p>
      <w:pPr>
        <w:pStyle w:val="ListParagraph"/>
        <w:numPr>
          <w:ilvl w:val="0"/>
          <w:numId w:val="4"/>
        </w:numPr>
        <w:tabs>
          <w:tab w:pos="792" w:val="left" w:leader="none"/>
        </w:tabs>
        <w:spacing w:line="203" w:lineRule="exact" w:before="0" w:after="0"/>
        <w:ind w:left="792" w:right="0" w:hanging="324"/>
        <w:jc w:val="left"/>
        <w:rPr>
          <w:sz w:val="18"/>
        </w:rPr>
      </w:pPr>
      <w:r>
        <w:rPr>
          <w:sz w:val="18"/>
        </w:rPr>
        <w:t>different</w:t>
      </w:r>
      <w:r>
        <w:rPr>
          <w:spacing w:val="-5"/>
          <w:sz w:val="18"/>
        </w:rPr>
        <w:t> </w:t>
      </w:r>
      <w:r>
        <w:rPr>
          <w:sz w:val="18"/>
        </w:rPr>
        <w:t>labor</w:t>
      </w:r>
      <w:r>
        <w:rPr>
          <w:spacing w:val="-3"/>
          <w:sz w:val="18"/>
        </w:rPr>
        <w:t> </w:t>
      </w:r>
      <w:r>
        <w:rPr>
          <w:spacing w:val="-2"/>
          <w:sz w:val="18"/>
        </w:rPr>
        <w:t>regulations;</w:t>
      </w:r>
    </w:p>
    <w:p>
      <w:pPr>
        <w:pStyle w:val="ListParagraph"/>
        <w:numPr>
          <w:ilvl w:val="0"/>
          <w:numId w:val="4"/>
        </w:numPr>
        <w:tabs>
          <w:tab w:pos="792" w:val="left" w:leader="none"/>
        </w:tabs>
        <w:spacing w:line="205" w:lineRule="exact" w:before="0" w:after="0"/>
        <w:ind w:left="792" w:right="0" w:hanging="324"/>
        <w:jc w:val="left"/>
        <w:rPr>
          <w:sz w:val="18"/>
        </w:rPr>
      </w:pPr>
      <w:r>
        <w:rPr>
          <w:sz w:val="18"/>
        </w:rPr>
        <w:t>changes</w:t>
      </w:r>
      <w:r>
        <w:rPr>
          <w:spacing w:val="-1"/>
          <w:sz w:val="18"/>
        </w:rPr>
        <w:t> </w:t>
      </w:r>
      <w:r>
        <w:rPr>
          <w:sz w:val="18"/>
        </w:rPr>
        <w:t>in</w:t>
      </w:r>
      <w:r>
        <w:rPr>
          <w:spacing w:val="-1"/>
          <w:sz w:val="18"/>
        </w:rPr>
        <w:t> </w:t>
      </w:r>
      <w:r>
        <w:rPr>
          <w:sz w:val="18"/>
        </w:rPr>
        <w:t>environmental,</w:t>
      </w:r>
      <w:r>
        <w:rPr>
          <w:spacing w:val="-1"/>
          <w:sz w:val="18"/>
        </w:rPr>
        <w:t> </w:t>
      </w:r>
      <w:r>
        <w:rPr>
          <w:sz w:val="18"/>
        </w:rPr>
        <w:t>health</w:t>
      </w:r>
      <w:r>
        <w:rPr>
          <w:spacing w:val="-1"/>
          <w:sz w:val="18"/>
        </w:rPr>
        <w:t> </w:t>
      </w:r>
      <w:r>
        <w:rPr>
          <w:sz w:val="18"/>
        </w:rPr>
        <w:t>and</w:t>
      </w:r>
      <w:r>
        <w:rPr>
          <w:spacing w:val="-1"/>
          <w:sz w:val="18"/>
        </w:rPr>
        <w:t> </w:t>
      </w:r>
      <w:r>
        <w:rPr>
          <w:sz w:val="18"/>
        </w:rPr>
        <w:t>safety</w:t>
      </w:r>
      <w:r>
        <w:rPr>
          <w:spacing w:val="-1"/>
          <w:sz w:val="18"/>
        </w:rPr>
        <w:t> </w:t>
      </w:r>
      <w:r>
        <w:rPr>
          <w:spacing w:val="-2"/>
          <w:sz w:val="18"/>
        </w:rPr>
        <w:t>laws;</w:t>
      </w:r>
    </w:p>
    <w:p>
      <w:pPr>
        <w:pStyle w:val="ListParagraph"/>
        <w:numPr>
          <w:ilvl w:val="0"/>
          <w:numId w:val="4"/>
        </w:numPr>
        <w:tabs>
          <w:tab w:pos="792" w:val="left" w:leader="none"/>
        </w:tabs>
        <w:spacing w:line="205" w:lineRule="exact" w:before="9" w:after="0"/>
        <w:ind w:left="792" w:right="0" w:hanging="324"/>
        <w:jc w:val="left"/>
        <w:rPr>
          <w:sz w:val="18"/>
        </w:rPr>
      </w:pPr>
      <w:r>
        <w:rPr>
          <w:sz w:val="18"/>
        </w:rPr>
        <w:t>outbreaks</w:t>
      </w:r>
      <w:r>
        <w:rPr>
          <w:spacing w:val="-1"/>
          <w:sz w:val="18"/>
        </w:rPr>
        <w:t> </w:t>
      </w:r>
      <w:r>
        <w:rPr>
          <w:sz w:val="18"/>
        </w:rPr>
        <w:t>of</w:t>
      </w:r>
      <w:r>
        <w:rPr>
          <w:spacing w:val="-1"/>
          <w:sz w:val="18"/>
        </w:rPr>
        <w:t> </w:t>
      </w:r>
      <w:r>
        <w:rPr>
          <w:sz w:val="18"/>
        </w:rPr>
        <w:t>diseases</w:t>
      </w:r>
      <w:r>
        <w:rPr>
          <w:spacing w:val="-1"/>
          <w:sz w:val="18"/>
        </w:rPr>
        <w:t> </w:t>
      </w:r>
      <w:r>
        <w:rPr>
          <w:sz w:val="18"/>
        </w:rPr>
        <w:t>or</w:t>
      </w:r>
      <w:r>
        <w:rPr>
          <w:spacing w:val="-1"/>
          <w:sz w:val="18"/>
        </w:rPr>
        <w:t> </w:t>
      </w:r>
      <w:r>
        <w:rPr>
          <w:sz w:val="18"/>
        </w:rPr>
        <w:t>epidemics,</w:t>
      </w:r>
      <w:r>
        <w:rPr>
          <w:spacing w:val="-1"/>
          <w:sz w:val="18"/>
        </w:rPr>
        <w:t> </w:t>
      </w:r>
      <w:r>
        <w:rPr>
          <w:sz w:val="18"/>
        </w:rPr>
        <w:t>including</w:t>
      </w:r>
      <w:r>
        <w:rPr>
          <w:spacing w:val="-1"/>
          <w:sz w:val="18"/>
        </w:rPr>
        <w:t> </w:t>
      </w:r>
      <w:r>
        <w:rPr>
          <w:sz w:val="18"/>
        </w:rPr>
        <w:t>the</w:t>
      </w:r>
      <w:r>
        <w:rPr>
          <w:spacing w:val="-1"/>
          <w:sz w:val="18"/>
        </w:rPr>
        <w:t> </w:t>
      </w:r>
      <w:r>
        <w:rPr>
          <w:sz w:val="18"/>
        </w:rPr>
        <w:t>COVID-19</w:t>
      </w:r>
      <w:r>
        <w:rPr>
          <w:spacing w:val="-1"/>
          <w:sz w:val="18"/>
        </w:rPr>
        <w:t> </w:t>
      </w:r>
      <w:r>
        <w:rPr>
          <w:spacing w:val="-2"/>
          <w:sz w:val="18"/>
        </w:rPr>
        <w:t>pandemic;</w:t>
      </w:r>
    </w:p>
    <w:p>
      <w:pPr>
        <w:pStyle w:val="ListParagraph"/>
        <w:numPr>
          <w:ilvl w:val="0"/>
          <w:numId w:val="4"/>
        </w:numPr>
        <w:tabs>
          <w:tab w:pos="792" w:val="left" w:leader="none"/>
        </w:tabs>
        <w:spacing w:line="203" w:lineRule="exact" w:before="0" w:after="0"/>
        <w:ind w:left="792" w:right="0" w:hanging="324"/>
        <w:jc w:val="left"/>
        <w:rPr>
          <w:sz w:val="18"/>
        </w:rPr>
      </w:pPr>
      <w:r>
        <w:rPr>
          <w:sz w:val="18"/>
        </w:rPr>
        <w:t>potentially</w:t>
      </w:r>
      <w:r>
        <w:rPr>
          <w:spacing w:val="-1"/>
          <w:sz w:val="18"/>
        </w:rPr>
        <w:t> </w:t>
      </w:r>
      <w:r>
        <w:rPr>
          <w:sz w:val="18"/>
        </w:rPr>
        <w:t>negative</w:t>
      </w:r>
      <w:r>
        <w:rPr>
          <w:spacing w:val="-1"/>
          <w:sz w:val="18"/>
        </w:rPr>
        <w:t> </w:t>
      </w:r>
      <w:r>
        <w:rPr>
          <w:sz w:val="18"/>
        </w:rPr>
        <w:t>consequences</w:t>
      </w:r>
      <w:r>
        <w:rPr>
          <w:spacing w:val="-1"/>
          <w:sz w:val="18"/>
        </w:rPr>
        <w:t> </w:t>
      </w:r>
      <w:r>
        <w:rPr>
          <w:sz w:val="18"/>
        </w:rPr>
        <w:t>from</w:t>
      </w:r>
      <w:r>
        <w:rPr>
          <w:spacing w:val="-1"/>
          <w:sz w:val="18"/>
        </w:rPr>
        <w:t> </w:t>
      </w:r>
      <w:r>
        <w:rPr>
          <w:sz w:val="18"/>
        </w:rPr>
        <w:t>changes</w:t>
      </w:r>
      <w:r>
        <w:rPr>
          <w:spacing w:val="-1"/>
          <w:sz w:val="18"/>
        </w:rPr>
        <w:t> </w:t>
      </w:r>
      <w:r>
        <w:rPr>
          <w:sz w:val="18"/>
        </w:rPr>
        <w:t>in</w:t>
      </w:r>
      <w:r>
        <w:rPr>
          <w:spacing w:val="-1"/>
          <w:sz w:val="18"/>
        </w:rPr>
        <w:t> </w:t>
      </w:r>
      <w:r>
        <w:rPr>
          <w:sz w:val="18"/>
        </w:rPr>
        <w:t>or</w:t>
      </w:r>
      <w:r>
        <w:rPr>
          <w:spacing w:val="-1"/>
          <w:sz w:val="18"/>
        </w:rPr>
        <w:t> </w:t>
      </w:r>
      <w:r>
        <w:rPr>
          <w:sz w:val="18"/>
        </w:rPr>
        <w:t>interpretations</w:t>
      </w:r>
      <w:r>
        <w:rPr>
          <w:spacing w:val="-1"/>
          <w:sz w:val="18"/>
        </w:rPr>
        <w:t> </w:t>
      </w:r>
      <w:r>
        <w:rPr>
          <w:sz w:val="18"/>
        </w:rPr>
        <w:t>of</w:t>
      </w:r>
      <w:r>
        <w:rPr>
          <w:spacing w:val="-1"/>
          <w:sz w:val="18"/>
        </w:rPr>
        <w:t> </w:t>
      </w:r>
      <w:r>
        <w:rPr>
          <w:sz w:val="18"/>
        </w:rPr>
        <w:t>tax</w:t>
      </w:r>
      <w:r>
        <w:rPr>
          <w:spacing w:val="-1"/>
          <w:sz w:val="18"/>
        </w:rPr>
        <w:t> </w:t>
      </w:r>
      <w:r>
        <w:rPr>
          <w:spacing w:val="-2"/>
          <w:sz w:val="18"/>
        </w:rPr>
        <w:t>laws;</w:t>
      </w:r>
    </w:p>
    <w:p>
      <w:pPr>
        <w:pStyle w:val="ListParagraph"/>
        <w:numPr>
          <w:ilvl w:val="0"/>
          <w:numId w:val="4"/>
        </w:numPr>
        <w:tabs>
          <w:tab w:pos="792" w:val="left" w:leader="none"/>
        </w:tabs>
        <w:spacing w:line="205" w:lineRule="exact" w:before="0" w:after="0"/>
        <w:ind w:left="792" w:right="0" w:hanging="324"/>
        <w:jc w:val="left"/>
        <w:rPr>
          <w:sz w:val="18"/>
        </w:rPr>
      </w:pPr>
      <w:r>
        <w:rPr>
          <w:sz w:val="18"/>
        </w:rPr>
        <w:t>political</w:t>
      </w:r>
      <w:r>
        <w:rPr>
          <w:spacing w:val="-1"/>
          <w:sz w:val="18"/>
        </w:rPr>
        <w:t> </w:t>
      </w:r>
      <w:r>
        <w:rPr>
          <w:sz w:val="18"/>
        </w:rPr>
        <w:t>instability</w:t>
      </w:r>
      <w:r>
        <w:rPr>
          <w:spacing w:val="-1"/>
          <w:sz w:val="18"/>
        </w:rPr>
        <w:t> </w:t>
      </w:r>
      <w:r>
        <w:rPr>
          <w:sz w:val="18"/>
        </w:rPr>
        <w:t>and</w:t>
      </w:r>
      <w:r>
        <w:rPr>
          <w:spacing w:val="-1"/>
          <w:sz w:val="18"/>
        </w:rPr>
        <w:t> </w:t>
      </w:r>
      <w:r>
        <w:rPr>
          <w:sz w:val="18"/>
        </w:rPr>
        <w:t>actual</w:t>
      </w:r>
      <w:r>
        <w:rPr>
          <w:spacing w:val="-1"/>
          <w:sz w:val="18"/>
        </w:rPr>
        <w:t> </w:t>
      </w:r>
      <w:r>
        <w:rPr>
          <w:sz w:val="18"/>
        </w:rPr>
        <w:t>or</w:t>
      </w:r>
      <w:r>
        <w:rPr>
          <w:spacing w:val="-1"/>
          <w:sz w:val="18"/>
        </w:rPr>
        <w:t> </w:t>
      </w:r>
      <w:r>
        <w:rPr>
          <w:sz w:val="18"/>
        </w:rPr>
        <w:t>anticipated</w:t>
      </w:r>
      <w:r>
        <w:rPr>
          <w:spacing w:val="-1"/>
          <w:sz w:val="18"/>
        </w:rPr>
        <w:t> </w:t>
      </w:r>
      <w:r>
        <w:rPr>
          <w:sz w:val="18"/>
        </w:rPr>
        <w:t>military</w:t>
      </w:r>
      <w:r>
        <w:rPr>
          <w:spacing w:val="-1"/>
          <w:sz w:val="18"/>
        </w:rPr>
        <w:t> </w:t>
      </w:r>
      <w:r>
        <w:rPr>
          <w:sz w:val="18"/>
        </w:rPr>
        <w:t>and</w:t>
      </w:r>
      <w:r>
        <w:rPr>
          <w:spacing w:val="-1"/>
          <w:sz w:val="18"/>
        </w:rPr>
        <w:t> </w:t>
      </w:r>
      <w:r>
        <w:rPr>
          <w:sz w:val="18"/>
        </w:rPr>
        <w:t>political</w:t>
      </w:r>
      <w:r>
        <w:rPr>
          <w:spacing w:val="-1"/>
          <w:sz w:val="18"/>
        </w:rPr>
        <w:t> </w:t>
      </w:r>
      <w:r>
        <w:rPr>
          <w:spacing w:val="-2"/>
          <w:sz w:val="18"/>
        </w:rPr>
        <w:t>conflicts;</w:t>
      </w:r>
    </w:p>
    <w:p>
      <w:pPr>
        <w:pStyle w:val="ListParagraph"/>
        <w:numPr>
          <w:ilvl w:val="0"/>
          <w:numId w:val="4"/>
        </w:numPr>
        <w:tabs>
          <w:tab w:pos="792" w:val="left" w:leader="none"/>
        </w:tabs>
        <w:spacing w:line="205" w:lineRule="exact" w:before="9" w:after="0"/>
        <w:ind w:left="792" w:right="0" w:hanging="324"/>
        <w:jc w:val="left"/>
        <w:rPr>
          <w:sz w:val="18"/>
        </w:rPr>
      </w:pPr>
      <w:r>
        <w:rPr>
          <w:sz w:val="18"/>
        </w:rPr>
        <w:t>economic</w:t>
      </w:r>
      <w:r>
        <w:rPr>
          <w:spacing w:val="-1"/>
          <w:sz w:val="18"/>
        </w:rPr>
        <w:t> </w:t>
      </w:r>
      <w:r>
        <w:rPr>
          <w:sz w:val="18"/>
        </w:rPr>
        <w:t>instability</w:t>
      </w:r>
      <w:r>
        <w:rPr>
          <w:spacing w:val="-1"/>
          <w:sz w:val="18"/>
        </w:rPr>
        <w:t> </w:t>
      </w:r>
      <w:r>
        <w:rPr>
          <w:sz w:val="18"/>
        </w:rPr>
        <w:t>and</w:t>
      </w:r>
      <w:r>
        <w:rPr>
          <w:spacing w:val="-1"/>
          <w:sz w:val="18"/>
        </w:rPr>
        <w:t> </w:t>
      </w:r>
      <w:r>
        <w:rPr>
          <w:sz w:val="18"/>
        </w:rPr>
        <w:t>inflation,</w:t>
      </w:r>
      <w:r>
        <w:rPr>
          <w:spacing w:val="-1"/>
          <w:sz w:val="18"/>
        </w:rPr>
        <w:t> </w:t>
      </w:r>
      <w:r>
        <w:rPr>
          <w:sz w:val="18"/>
        </w:rPr>
        <w:t>recession</w:t>
      </w:r>
      <w:r>
        <w:rPr>
          <w:spacing w:val="-1"/>
          <w:sz w:val="18"/>
        </w:rPr>
        <w:t> </w:t>
      </w:r>
      <w:r>
        <w:rPr>
          <w:sz w:val="18"/>
        </w:rPr>
        <w:t>or</w:t>
      </w:r>
      <w:r>
        <w:rPr>
          <w:spacing w:val="-1"/>
          <w:sz w:val="18"/>
        </w:rPr>
        <w:t> </w:t>
      </w:r>
      <w:r>
        <w:rPr>
          <w:sz w:val="18"/>
        </w:rPr>
        <w:t>interest</w:t>
      </w:r>
      <w:r>
        <w:rPr>
          <w:spacing w:val="-1"/>
          <w:sz w:val="18"/>
        </w:rPr>
        <w:t> </w:t>
      </w:r>
      <w:r>
        <w:rPr>
          <w:sz w:val="18"/>
        </w:rPr>
        <w:t>rate</w:t>
      </w:r>
      <w:r>
        <w:rPr>
          <w:spacing w:val="-1"/>
          <w:sz w:val="18"/>
        </w:rPr>
        <w:t> </w:t>
      </w:r>
      <w:r>
        <w:rPr>
          <w:sz w:val="18"/>
        </w:rPr>
        <w:t>fluctuations;</w:t>
      </w:r>
      <w:r>
        <w:rPr>
          <w:spacing w:val="-1"/>
          <w:sz w:val="18"/>
        </w:rPr>
        <w:t> </w:t>
      </w:r>
      <w:r>
        <w:rPr>
          <w:spacing w:val="-5"/>
          <w:sz w:val="18"/>
        </w:rPr>
        <w:t>and</w:t>
      </w:r>
    </w:p>
    <w:p>
      <w:pPr>
        <w:pStyle w:val="ListParagraph"/>
        <w:numPr>
          <w:ilvl w:val="0"/>
          <w:numId w:val="4"/>
        </w:numPr>
        <w:tabs>
          <w:tab w:pos="792" w:val="left" w:leader="none"/>
        </w:tabs>
        <w:spacing w:line="205" w:lineRule="exact" w:before="0" w:after="0"/>
        <w:ind w:left="792" w:right="0" w:hanging="324"/>
        <w:jc w:val="left"/>
        <w:rPr>
          <w:sz w:val="18"/>
        </w:rPr>
      </w:pPr>
      <w:r>
        <w:rPr>
          <w:sz w:val="18"/>
        </w:rPr>
        <w:t>uncertainties</w:t>
      </w:r>
      <w:r>
        <w:rPr>
          <w:spacing w:val="-1"/>
          <w:sz w:val="18"/>
        </w:rPr>
        <w:t> </w:t>
      </w:r>
      <w:r>
        <w:rPr>
          <w:sz w:val="18"/>
        </w:rPr>
        <w:t>regarding</w:t>
      </w:r>
      <w:r>
        <w:rPr>
          <w:spacing w:val="-1"/>
          <w:sz w:val="18"/>
        </w:rPr>
        <w:t> </w:t>
      </w:r>
      <w:r>
        <w:rPr>
          <w:sz w:val="18"/>
        </w:rPr>
        <w:t>judicial</w:t>
      </w:r>
      <w:r>
        <w:rPr>
          <w:spacing w:val="-1"/>
          <w:sz w:val="18"/>
        </w:rPr>
        <w:t> </w:t>
      </w:r>
      <w:r>
        <w:rPr>
          <w:sz w:val="18"/>
        </w:rPr>
        <w:t>systems</w:t>
      </w:r>
      <w:r>
        <w:rPr>
          <w:spacing w:val="-1"/>
          <w:sz w:val="18"/>
        </w:rPr>
        <w:t> </w:t>
      </w:r>
      <w:r>
        <w:rPr>
          <w:sz w:val="18"/>
        </w:rPr>
        <w:t>and</w:t>
      </w:r>
      <w:r>
        <w:rPr>
          <w:spacing w:val="-1"/>
          <w:sz w:val="18"/>
        </w:rPr>
        <w:t> </w:t>
      </w:r>
      <w:r>
        <w:rPr>
          <w:spacing w:val="-2"/>
          <w:sz w:val="18"/>
        </w:rPr>
        <w:t>procedures.</w:t>
      </w:r>
    </w:p>
    <w:p>
      <w:pPr>
        <w:pStyle w:val="BodyText"/>
        <w:spacing w:before="4"/>
      </w:pPr>
    </w:p>
    <w:p>
      <w:pPr>
        <w:pStyle w:val="BodyText"/>
        <w:ind w:left="144" w:right="118" w:firstLine="366"/>
        <w:jc w:val="both"/>
      </w:pPr>
      <w:r>
        <w:rPr/>
        <w:t>These risks, individually or in the aggregate, could have an adverse effect on our business, financial condition, results of operations and cash flows. </w:t>
      </w:r>
      <w:r>
        <w:rPr/>
        <w:t>We</w:t>
      </w:r>
      <w:r>
        <w:rPr>
          <w:spacing w:val="40"/>
        </w:rPr>
        <w:t> </w:t>
      </w:r>
      <w:r>
        <w:rPr/>
        <w:t>are also exposed to a variety of market risks, including the effects of changes in foreign currency exchange rates. If the United States dollar strengthens in relation to the currencies of other countries, our United States dollar reported income from sources where revenue is denominated in the currencies of other such countries will decrease.</w:t>
      </w:r>
    </w:p>
    <w:p>
      <w:pPr>
        <w:pStyle w:val="BodyText"/>
        <w:spacing w:before="20"/>
      </w:pPr>
    </w:p>
    <w:p>
      <w:pPr>
        <w:spacing w:line="237" w:lineRule="auto" w:before="0"/>
        <w:ind w:left="144" w:right="118" w:firstLine="499"/>
        <w:jc w:val="both"/>
        <w:rPr>
          <w:sz w:val="18"/>
        </w:rPr>
      </w:pPr>
      <w:r>
        <w:rPr>
          <w:b/>
          <w:i/>
          <w:sz w:val="18"/>
        </w:rPr>
        <w:t>Conflicts</w:t>
      </w:r>
      <w:r>
        <w:rPr>
          <w:b/>
          <w:i/>
          <w:spacing w:val="-1"/>
          <w:sz w:val="18"/>
        </w:rPr>
        <w:t> </w:t>
      </w:r>
      <w:r>
        <w:rPr>
          <w:b/>
          <w:i/>
          <w:sz w:val="18"/>
        </w:rPr>
        <w:t>of</w:t>
      </w:r>
      <w:r>
        <w:rPr>
          <w:b/>
          <w:i/>
          <w:spacing w:val="-1"/>
          <w:sz w:val="18"/>
        </w:rPr>
        <w:t> </w:t>
      </w:r>
      <w:r>
        <w:rPr>
          <w:b/>
          <w:i/>
          <w:sz w:val="18"/>
        </w:rPr>
        <w:t>interest</w:t>
      </w:r>
      <w:r>
        <w:rPr>
          <w:b/>
          <w:i/>
          <w:spacing w:val="-1"/>
          <w:sz w:val="18"/>
        </w:rPr>
        <w:t> </w:t>
      </w:r>
      <w:r>
        <w:rPr>
          <w:b/>
          <w:i/>
          <w:sz w:val="18"/>
        </w:rPr>
        <w:t>may</w:t>
      </w:r>
      <w:r>
        <w:rPr>
          <w:b/>
          <w:i/>
          <w:spacing w:val="-1"/>
          <w:sz w:val="18"/>
        </w:rPr>
        <w:t> </w:t>
      </w:r>
      <w:r>
        <w:rPr>
          <w:b/>
          <w:i/>
          <w:sz w:val="18"/>
        </w:rPr>
        <w:t>arise</w:t>
      </w:r>
      <w:r>
        <w:rPr>
          <w:b/>
          <w:i/>
          <w:spacing w:val="-1"/>
          <w:sz w:val="18"/>
        </w:rPr>
        <w:t> </w:t>
      </w:r>
      <w:r>
        <w:rPr>
          <w:b/>
          <w:i/>
          <w:sz w:val="18"/>
        </w:rPr>
        <w:t>because</w:t>
      </w:r>
      <w:r>
        <w:rPr>
          <w:b/>
          <w:i/>
          <w:spacing w:val="-1"/>
          <w:sz w:val="18"/>
        </w:rPr>
        <w:t> </w:t>
      </w:r>
      <w:r>
        <w:rPr>
          <w:b/>
          <w:i/>
          <w:sz w:val="18"/>
        </w:rPr>
        <w:t>certain</w:t>
      </w:r>
      <w:r>
        <w:rPr>
          <w:b/>
          <w:i/>
          <w:spacing w:val="-1"/>
          <w:sz w:val="18"/>
        </w:rPr>
        <w:t> </w:t>
      </w:r>
      <w:r>
        <w:rPr>
          <w:b/>
          <w:i/>
          <w:sz w:val="18"/>
        </w:rPr>
        <w:t>of</w:t>
      </w:r>
      <w:r>
        <w:rPr>
          <w:b/>
          <w:i/>
          <w:spacing w:val="-1"/>
          <w:sz w:val="18"/>
        </w:rPr>
        <w:t> </w:t>
      </w:r>
      <w:r>
        <w:rPr>
          <w:b/>
          <w:i/>
          <w:sz w:val="18"/>
        </w:rPr>
        <w:t>our</w:t>
      </w:r>
      <w:r>
        <w:rPr>
          <w:b/>
          <w:i/>
          <w:spacing w:val="-1"/>
          <w:sz w:val="18"/>
        </w:rPr>
        <w:t> </w:t>
      </w:r>
      <w:r>
        <w:rPr>
          <w:b/>
          <w:i/>
          <w:sz w:val="18"/>
        </w:rPr>
        <w:t>directors</w:t>
      </w:r>
      <w:r>
        <w:rPr>
          <w:b/>
          <w:i/>
          <w:spacing w:val="-1"/>
          <w:sz w:val="18"/>
        </w:rPr>
        <w:t> </w:t>
      </w:r>
      <w:r>
        <w:rPr>
          <w:b/>
          <w:i/>
          <w:sz w:val="18"/>
        </w:rPr>
        <w:t>and</w:t>
      </w:r>
      <w:r>
        <w:rPr>
          <w:b/>
          <w:i/>
          <w:spacing w:val="-1"/>
          <w:sz w:val="18"/>
        </w:rPr>
        <w:t> </w:t>
      </w:r>
      <w:r>
        <w:rPr>
          <w:b/>
          <w:i/>
          <w:sz w:val="18"/>
        </w:rPr>
        <w:t>officers</w:t>
      </w:r>
      <w:r>
        <w:rPr>
          <w:b/>
          <w:i/>
          <w:spacing w:val="-1"/>
          <w:sz w:val="18"/>
        </w:rPr>
        <w:t> </w:t>
      </w:r>
      <w:r>
        <w:rPr>
          <w:b/>
          <w:i/>
          <w:sz w:val="18"/>
        </w:rPr>
        <w:t>are</w:t>
      </w:r>
      <w:r>
        <w:rPr>
          <w:b/>
          <w:i/>
          <w:spacing w:val="-1"/>
          <w:sz w:val="18"/>
        </w:rPr>
        <w:t> </w:t>
      </w:r>
      <w:r>
        <w:rPr>
          <w:b/>
          <w:i/>
          <w:sz w:val="18"/>
        </w:rPr>
        <w:t>also</w:t>
      </w:r>
      <w:r>
        <w:rPr>
          <w:b/>
          <w:i/>
          <w:spacing w:val="-1"/>
          <w:sz w:val="18"/>
        </w:rPr>
        <w:t> </w:t>
      </w:r>
      <w:r>
        <w:rPr>
          <w:b/>
          <w:i/>
          <w:sz w:val="18"/>
        </w:rPr>
        <w:t>directors</w:t>
      </w:r>
      <w:r>
        <w:rPr>
          <w:b/>
          <w:i/>
          <w:spacing w:val="-1"/>
          <w:sz w:val="18"/>
        </w:rPr>
        <w:t> </w:t>
      </w:r>
      <w:r>
        <w:rPr>
          <w:b/>
          <w:i/>
          <w:sz w:val="18"/>
        </w:rPr>
        <w:t>of</w:t>
      </w:r>
      <w:r>
        <w:rPr>
          <w:b/>
          <w:i/>
          <w:spacing w:val="-1"/>
          <w:sz w:val="18"/>
        </w:rPr>
        <w:t> </w:t>
      </w:r>
      <w:r>
        <w:rPr>
          <w:b/>
          <w:i/>
          <w:sz w:val="18"/>
        </w:rPr>
        <w:t>MGM</w:t>
      </w:r>
      <w:r>
        <w:rPr>
          <w:b/>
          <w:i/>
          <w:spacing w:val="-1"/>
          <w:sz w:val="18"/>
        </w:rPr>
        <w:t> </w:t>
      </w:r>
      <w:r>
        <w:rPr>
          <w:b/>
          <w:i/>
          <w:sz w:val="18"/>
        </w:rPr>
        <w:t>China</w:t>
      </w:r>
      <w:r>
        <w:rPr>
          <w:b/>
          <w:sz w:val="18"/>
        </w:rPr>
        <w:t>, </w:t>
      </w:r>
      <w:r>
        <w:rPr>
          <w:b/>
          <w:i/>
          <w:sz w:val="18"/>
        </w:rPr>
        <w:t>the</w:t>
      </w:r>
      <w:r>
        <w:rPr>
          <w:b/>
          <w:i/>
          <w:spacing w:val="-1"/>
          <w:sz w:val="18"/>
        </w:rPr>
        <w:t> </w:t>
      </w:r>
      <w:r>
        <w:rPr>
          <w:b/>
          <w:i/>
          <w:sz w:val="18"/>
        </w:rPr>
        <w:t>holding</w:t>
      </w:r>
      <w:r>
        <w:rPr>
          <w:b/>
          <w:i/>
          <w:spacing w:val="-1"/>
          <w:sz w:val="18"/>
        </w:rPr>
        <w:t> </w:t>
      </w:r>
      <w:r>
        <w:rPr>
          <w:b/>
          <w:i/>
          <w:sz w:val="18"/>
        </w:rPr>
        <w:t>company</w:t>
      </w:r>
      <w:r>
        <w:rPr>
          <w:b/>
          <w:i/>
          <w:spacing w:val="-1"/>
          <w:sz w:val="18"/>
        </w:rPr>
        <w:t> </w:t>
      </w:r>
      <w:r>
        <w:rPr>
          <w:b/>
          <w:i/>
          <w:sz w:val="18"/>
        </w:rPr>
        <w:t>for</w:t>
      </w:r>
      <w:r>
        <w:rPr>
          <w:b/>
          <w:i/>
          <w:spacing w:val="-1"/>
          <w:sz w:val="18"/>
        </w:rPr>
        <w:t> </w:t>
      </w:r>
      <w:r>
        <w:rPr>
          <w:b/>
          <w:i/>
          <w:sz w:val="18"/>
        </w:rPr>
        <w:t>MGM</w:t>
      </w:r>
      <w:r>
        <w:rPr>
          <w:b/>
          <w:i/>
          <w:spacing w:val="-1"/>
          <w:sz w:val="18"/>
        </w:rPr>
        <w:t> </w:t>
      </w:r>
      <w:r>
        <w:rPr>
          <w:b/>
          <w:i/>
          <w:sz w:val="18"/>
        </w:rPr>
        <w:t>Grand Paradise which owns and operates MGM Macau and MGM Cotai</w:t>
      </w:r>
      <w:r>
        <w:rPr>
          <w:b/>
          <w:sz w:val="18"/>
        </w:rPr>
        <w:t>. </w:t>
      </w:r>
      <w:r>
        <w:rPr>
          <w:sz w:val="18"/>
        </w:rPr>
        <w:t>As a result of the initial public offering of shares of MGM China common stock in 2011, MGM China has stockholders who are not affiliated with us, and we and certain of our officers and directors who also serve as officers and/or directors of MGM China may have conflicting fiduciary obligations to our stockholders and to the minority stockholders of MGM China. Decisions that could have different implications for us and MGM China, including contractual arrangements that we have entered into or may in the future enter into with MGM China, may give rise to the appearance of a potential conflict of interest or an actual conflict of interest.</w:t>
      </w:r>
    </w:p>
    <w:p>
      <w:pPr>
        <w:pStyle w:val="BodyText"/>
        <w:spacing w:before="20"/>
      </w:pPr>
    </w:p>
    <w:p>
      <w:pPr>
        <w:pStyle w:val="Heading4"/>
        <w:jc w:val="both"/>
      </w:pPr>
      <w:bookmarkStart w:name="_bookmark2" w:id="3"/>
      <w:bookmarkEnd w:id="3"/>
      <w:r>
        <w:rPr>
          <w:b w:val="0"/>
        </w:rPr>
      </w:r>
      <w:r>
        <w:rPr/>
        <w:t>ITEM</w:t>
      </w:r>
      <w:r>
        <w:rPr>
          <w:spacing w:val="-6"/>
        </w:rPr>
        <w:t> </w:t>
      </w:r>
      <w:r>
        <w:rPr/>
        <w:t>1B.</w:t>
      </w:r>
      <w:r>
        <w:rPr>
          <w:spacing w:val="35"/>
        </w:rPr>
        <w:t>  </w:t>
      </w:r>
      <w:r>
        <w:rPr/>
        <w:t>UNRESOLVED</w:t>
      </w:r>
      <w:r>
        <w:rPr>
          <w:spacing w:val="-5"/>
        </w:rPr>
        <w:t> </w:t>
      </w:r>
      <w:r>
        <w:rPr/>
        <w:t>STAFF</w:t>
      </w:r>
      <w:r>
        <w:rPr>
          <w:spacing w:val="-10"/>
        </w:rPr>
        <w:t> </w:t>
      </w:r>
      <w:r>
        <w:rPr>
          <w:spacing w:val="-2"/>
        </w:rPr>
        <w:t>COMMENTS</w:t>
      </w:r>
    </w:p>
    <w:p>
      <w:pPr>
        <w:pStyle w:val="BodyText"/>
        <w:spacing w:before="4"/>
        <w:rPr>
          <w:b/>
        </w:rPr>
      </w:pPr>
    </w:p>
    <w:p>
      <w:pPr>
        <w:pStyle w:val="BodyText"/>
        <w:ind w:left="644"/>
      </w:pPr>
      <w:r>
        <w:rPr>
          <w:spacing w:val="-2"/>
        </w:rPr>
        <w:t>None.</w:t>
      </w:r>
    </w:p>
    <w:p>
      <w:pPr>
        <w:pStyle w:val="BodyText"/>
      </w:pPr>
    </w:p>
    <w:p>
      <w:pPr>
        <w:pStyle w:val="BodyText"/>
      </w:pPr>
    </w:p>
    <w:p>
      <w:pPr>
        <w:pStyle w:val="BodyText"/>
        <w:spacing w:before="198"/>
      </w:pPr>
    </w:p>
    <w:p>
      <w:pPr>
        <w:pStyle w:val="BodyText"/>
        <w:ind w:left="24"/>
        <w:jc w:val="center"/>
      </w:pPr>
      <w:r>
        <w:rPr>
          <w:spacing w:val="-5"/>
        </w:rPr>
        <w:t>27</w:t>
      </w:r>
    </w:p>
    <w:p>
      <w:pPr>
        <w:pStyle w:val="BodyText"/>
        <w:spacing w:before="3"/>
        <w:rPr>
          <w:sz w:val="6"/>
        </w:rPr>
      </w:pPr>
      <w:r>
        <w:rPr/>
        <mc:AlternateContent>
          <mc:Choice Requires="wps">
            <w:drawing>
              <wp:anchor distT="0" distB="0" distL="0" distR="0" allowOverlap="1" layoutInCell="1" locked="0" behindDoc="1" simplePos="0" relativeHeight="487607808">
                <wp:simplePos x="0" y="0"/>
                <wp:positionH relativeFrom="page">
                  <wp:posOffset>231457</wp:posOffset>
                </wp:positionH>
                <wp:positionV relativeFrom="paragraph">
                  <wp:posOffset>60956</wp:posOffset>
                </wp:positionV>
                <wp:extent cx="7312659" cy="17145"/>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7312659" cy="17145"/>
                          <a:chExt cx="7312659" cy="17145"/>
                        </a:xfrm>
                      </wpg:grpSpPr>
                      <wps:wsp>
                        <wps:cNvPr id="130" name="Graphic 13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31" name="Graphic 131"/>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32" name="Graphic 13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8672;mso-wrap-distance-left:0;mso-wrap-distance-right:0" id="docshapegroup128" coordorigin="364,96" coordsize="11516,27">
                <v:rect style="position:absolute;left:364;top:96;width:11516;height:14" id="docshape129" filled="true" fillcolor="#999999" stroked="false">
                  <v:fill type="solid"/>
                </v:rect>
                <v:shape style="position:absolute;left:364;top:95;width:11516;height:27" id="docshape130" coordorigin="364,96" coordsize="11516,27" path="m11880,96l11866,109,364,109,364,123,11866,123,11880,123,11880,109,11880,96xe" filled="true" fillcolor="#ededed" stroked="false">
                  <v:path arrowok="t"/>
                  <v:fill type="solid"/>
                </v:shape>
                <v:shape style="position:absolute;left:364;top:96;width:14;height:27" id="docshape13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4"/>
        <w:spacing w:before="79"/>
      </w:pPr>
      <w:bookmarkStart w:name="_bookmark3" w:id="4"/>
      <w:bookmarkEnd w:id="4"/>
      <w:r>
        <w:rPr>
          <w:b w:val="0"/>
        </w:rPr>
      </w:r>
      <w:r>
        <w:rPr/>
        <w:t>ITEM</w:t>
      </w:r>
      <w:r>
        <w:rPr>
          <w:spacing w:val="-1"/>
        </w:rPr>
        <w:t> </w:t>
      </w:r>
      <w:r>
        <w:rPr/>
        <w:t>2.</w:t>
      </w:r>
      <w:r>
        <w:rPr>
          <w:spacing w:val="44"/>
        </w:rPr>
        <w:t>  </w:t>
      </w:r>
      <w:r>
        <w:rPr>
          <w:spacing w:val="-2"/>
        </w:rPr>
        <w:t>PROPERTIES</w:t>
      </w:r>
    </w:p>
    <w:p>
      <w:pPr>
        <w:pStyle w:val="BodyText"/>
        <w:spacing w:before="4"/>
        <w:rPr>
          <w:b/>
        </w:rPr>
      </w:pPr>
    </w:p>
    <w:p>
      <w:pPr>
        <w:pStyle w:val="BodyText"/>
        <w:ind w:left="644"/>
      </w:pPr>
      <w:r>
        <w:rPr/>
        <w:t>We</w:t>
      </w:r>
      <w:r>
        <w:rPr>
          <w:spacing w:val="-5"/>
        </w:rPr>
        <w:t> </w:t>
      </w:r>
      <w:r>
        <w:rPr/>
        <w:t>have</w:t>
      </w:r>
      <w:r>
        <w:rPr>
          <w:spacing w:val="-2"/>
        </w:rPr>
        <w:t> </w:t>
      </w:r>
      <w:r>
        <w:rPr/>
        <w:t>provided</w:t>
      </w:r>
      <w:r>
        <w:rPr>
          <w:spacing w:val="-2"/>
        </w:rPr>
        <w:t> </w:t>
      </w:r>
      <w:r>
        <w:rPr/>
        <w:t>certain</w:t>
      </w:r>
      <w:r>
        <w:rPr>
          <w:spacing w:val="-2"/>
        </w:rPr>
        <w:t> </w:t>
      </w:r>
      <w:r>
        <w:rPr/>
        <w:t>information</w:t>
      </w:r>
      <w:r>
        <w:rPr>
          <w:spacing w:val="-2"/>
        </w:rPr>
        <w:t> </w:t>
      </w:r>
      <w:r>
        <w:rPr/>
        <w:t>below</w:t>
      </w:r>
      <w:r>
        <w:rPr>
          <w:spacing w:val="-2"/>
        </w:rPr>
        <w:t> </w:t>
      </w:r>
      <w:r>
        <w:rPr/>
        <w:t>about</w:t>
      </w:r>
      <w:r>
        <w:rPr>
          <w:spacing w:val="-3"/>
        </w:rPr>
        <w:t> </w:t>
      </w:r>
      <w:r>
        <w:rPr/>
        <w:t>our</w:t>
      </w:r>
      <w:r>
        <w:rPr>
          <w:spacing w:val="-2"/>
        </w:rPr>
        <w:t> </w:t>
      </w:r>
      <w:r>
        <w:rPr/>
        <w:t>resorts</w:t>
      </w:r>
      <w:r>
        <w:rPr>
          <w:spacing w:val="-2"/>
        </w:rPr>
        <w:t> </w:t>
      </w:r>
      <w:r>
        <w:rPr/>
        <w:t>as</w:t>
      </w:r>
      <w:r>
        <w:rPr>
          <w:spacing w:val="-2"/>
        </w:rPr>
        <w:t> </w:t>
      </w:r>
      <w:r>
        <w:rPr/>
        <w:t>of</w:t>
      </w:r>
      <w:r>
        <w:rPr>
          <w:spacing w:val="-2"/>
        </w:rPr>
        <w:t> </w:t>
      </w:r>
      <w:r>
        <w:rPr/>
        <w:t>December</w:t>
      </w:r>
      <w:r>
        <w:rPr>
          <w:spacing w:val="-2"/>
        </w:rPr>
        <w:t> </w:t>
      </w:r>
      <w:r>
        <w:rPr/>
        <w:t>31,</w:t>
      </w:r>
      <w:r>
        <w:rPr>
          <w:spacing w:val="-2"/>
        </w:rPr>
        <w:t> 2022.</w:t>
      </w:r>
    </w:p>
    <w:p>
      <w:pPr>
        <w:pStyle w:val="BodyText"/>
        <w:spacing w:before="3"/>
        <w:rPr>
          <w:sz w:val="16"/>
        </w:rPr>
      </w:pPr>
    </w:p>
    <w:p>
      <w:pPr>
        <w:spacing w:after="0"/>
        <w:rPr>
          <w:sz w:val="16"/>
        </w:rPr>
        <w:sectPr>
          <w:pgSz w:w="12240" w:h="15840"/>
          <w:pgMar w:top="1400" w:bottom="280" w:left="220" w:right="240"/>
        </w:sectPr>
      </w:pPr>
    </w:p>
    <w:p>
      <w:pPr>
        <w:pStyle w:val="Heading5"/>
        <w:spacing w:line="235" w:lineRule="auto" w:before="96"/>
        <w:ind w:left="5414" w:firstLine="215"/>
        <w:jc w:val="left"/>
      </w:pPr>
      <w:r>
        <w:rPr/>
        <w:t>Number</w:t>
      </w:r>
      <w:r>
        <w:rPr>
          <w:spacing w:val="-4"/>
        </w:rPr>
        <w:t> </w:t>
      </w:r>
      <w:r>
        <w:rPr/>
        <w:t>of </w:t>
      </w:r>
      <w:r>
        <w:rPr>
          <w:spacing w:val="-2"/>
        </w:rPr>
        <w:t>Guestrooms</w:t>
      </w:r>
      <w:r>
        <w:rPr>
          <w:spacing w:val="-10"/>
        </w:rPr>
        <w:t> </w:t>
      </w:r>
      <w:r>
        <w:rPr>
          <w:spacing w:val="-2"/>
        </w:rPr>
        <w:t>and</w:t>
      </w:r>
    </w:p>
    <w:p>
      <w:pPr>
        <w:spacing w:line="235" w:lineRule="auto" w:before="96"/>
        <w:ind w:left="392" w:right="3552" w:firstLine="50"/>
        <w:jc w:val="left"/>
        <w:rPr>
          <w:b/>
          <w:sz w:val="18"/>
        </w:rPr>
      </w:pPr>
      <w:r>
        <w:rPr/>
        <w:br w:type="column"/>
      </w:r>
      <w:r>
        <w:rPr>
          <w:b/>
          <w:spacing w:val="-2"/>
          <w:sz w:val="18"/>
        </w:rPr>
        <w:t>Approximate </w:t>
      </w:r>
      <w:r>
        <w:rPr>
          <w:b/>
          <w:sz w:val="18"/>
        </w:rPr>
        <w:t>Casino</w:t>
      </w:r>
      <w:r>
        <w:rPr>
          <w:b/>
          <w:spacing w:val="-5"/>
          <w:sz w:val="18"/>
        </w:rPr>
        <w:t> </w:t>
      </w:r>
      <w:r>
        <w:rPr>
          <w:b/>
          <w:spacing w:val="-2"/>
          <w:sz w:val="18"/>
        </w:rPr>
        <w:t>Square</w:t>
      </w:r>
    </w:p>
    <w:p>
      <w:pPr>
        <w:spacing w:after="0" w:line="235" w:lineRule="auto"/>
        <w:jc w:val="left"/>
        <w:rPr>
          <w:sz w:val="18"/>
        </w:rPr>
        <w:sectPr>
          <w:type w:val="continuous"/>
          <w:pgSz w:w="12240" w:h="15840"/>
          <w:pgMar w:top="1040" w:bottom="280" w:left="220" w:right="240"/>
          <w:cols w:num="2" w:equalWidth="0">
            <w:col w:w="6676" w:space="40"/>
            <w:col w:w="5064"/>
          </w:cols>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8"/>
        <w:gridCol w:w="930"/>
        <w:gridCol w:w="749"/>
        <w:gridCol w:w="1666"/>
        <w:gridCol w:w="887"/>
        <w:gridCol w:w="527"/>
        <w:gridCol w:w="1540"/>
      </w:tblGrid>
      <w:tr>
        <w:trPr>
          <w:trHeight w:val="272" w:hRule="atLeast"/>
        </w:trPr>
        <w:tc>
          <w:tcPr>
            <w:tcW w:w="5208" w:type="dxa"/>
            <w:tcBorders>
              <w:bottom w:val="single" w:sz="6" w:space="0" w:color="000000"/>
            </w:tcBorders>
          </w:tcPr>
          <w:p>
            <w:pPr>
              <w:pStyle w:val="TableParagraph"/>
              <w:spacing w:before="9"/>
              <w:ind w:left="93"/>
              <w:rPr>
                <w:b/>
                <w:sz w:val="18"/>
              </w:rPr>
            </w:pPr>
            <w:r>
              <w:rPr>
                <w:b/>
                <w:sz w:val="18"/>
              </w:rPr>
              <w:t>Name</w:t>
            </w:r>
            <w:r>
              <w:rPr>
                <w:b/>
                <w:spacing w:val="-1"/>
                <w:sz w:val="18"/>
              </w:rPr>
              <w:t> </w:t>
            </w:r>
            <w:r>
              <w:rPr>
                <w:b/>
                <w:sz w:val="18"/>
              </w:rPr>
              <w:t>and</w:t>
            </w:r>
            <w:r>
              <w:rPr>
                <w:b/>
                <w:spacing w:val="-1"/>
                <w:sz w:val="18"/>
              </w:rPr>
              <w:t> </w:t>
            </w:r>
            <w:r>
              <w:rPr>
                <w:b/>
                <w:spacing w:val="-2"/>
                <w:sz w:val="18"/>
              </w:rPr>
              <w:t>Location</w:t>
            </w:r>
          </w:p>
        </w:tc>
        <w:tc>
          <w:tcPr>
            <w:tcW w:w="930" w:type="dxa"/>
            <w:tcBorders>
              <w:bottom w:val="single" w:sz="6" w:space="0" w:color="000000"/>
            </w:tcBorders>
          </w:tcPr>
          <w:p>
            <w:pPr>
              <w:pStyle w:val="TableParagraph"/>
              <w:spacing w:before="9"/>
              <w:ind w:left="462"/>
              <w:rPr>
                <w:b/>
                <w:sz w:val="18"/>
              </w:rPr>
            </w:pPr>
            <w:r>
              <w:rPr>
                <w:b/>
                <w:spacing w:val="-2"/>
                <w:sz w:val="18"/>
              </w:rPr>
              <w:t>Suites</w:t>
            </w:r>
          </w:p>
        </w:tc>
        <w:tc>
          <w:tcPr>
            <w:tcW w:w="749" w:type="dxa"/>
            <w:tcBorders>
              <w:bottom w:val="single" w:sz="6" w:space="0" w:color="000000"/>
            </w:tcBorders>
          </w:tcPr>
          <w:p>
            <w:pPr>
              <w:pStyle w:val="TableParagraph"/>
              <w:spacing w:before="0"/>
              <w:rPr>
                <w:sz w:val="16"/>
              </w:rPr>
            </w:pPr>
          </w:p>
        </w:tc>
        <w:tc>
          <w:tcPr>
            <w:tcW w:w="1666" w:type="dxa"/>
            <w:tcBorders>
              <w:bottom w:val="single" w:sz="6" w:space="0" w:color="000000"/>
            </w:tcBorders>
          </w:tcPr>
          <w:p>
            <w:pPr>
              <w:pStyle w:val="TableParagraph"/>
              <w:spacing w:line="216" w:lineRule="exact" w:before="0"/>
              <w:ind w:left="248"/>
              <w:rPr>
                <w:b/>
                <w:sz w:val="14"/>
              </w:rPr>
            </w:pPr>
            <w:r>
              <w:rPr>
                <w:b/>
                <w:spacing w:val="-2"/>
                <w:sz w:val="18"/>
              </w:rPr>
              <w:t>Footage</w:t>
            </w:r>
            <w:r>
              <w:rPr>
                <w:b/>
                <w:spacing w:val="-2"/>
                <w:position w:val="8"/>
                <w:sz w:val="14"/>
              </w:rPr>
              <w:t>(1)</w:t>
            </w:r>
          </w:p>
        </w:tc>
        <w:tc>
          <w:tcPr>
            <w:tcW w:w="887" w:type="dxa"/>
            <w:tcBorders>
              <w:bottom w:val="single" w:sz="6" w:space="0" w:color="000000"/>
            </w:tcBorders>
          </w:tcPr>
          <w:p>
            <w:pPr>
              <w:pStyle w:val="TableParagraph"/>
              <w:spacing w:line="203" w:lineRule="exact" w:before="0"/>
              <w:ind w:left="293"/>
              <w:rPr>
                <w:b/>
                <w:sz w:val="14"/>
              </w:rPr>
            </w:pPr>
            <w:r>
              <w:rPr>
                <w:b/>
                <w:sz w:val="18"/>
              </w:rPr>
              <w:t>Slots </w:t>
            </w:r>
            <w:r>
              <w:rPr>
                <w:b/>
                <w:spacing w:val="-5"/>
                <w:position w:val="7"/>
                <w:sz w:val="14"/>
              </w:rPr>
              <w:t>(2)</w:t>
            </w:r>
          </w:p>
        </w:tc>
        <w:tc>
          <w:tcPr>
            <w:tcW w:w="527" w:type="dxa"/>
            <w:tcBorders>
              <w:bottom w:val="single" w:sz="6" w:space="0" w:color="000000"/>
            </w:tcBorders>
          </w:tcPr>
          <w:p>
            <w:pPr>
              <w:pStyle w:val="TableParagraph"/>
              <w:spacing w:before="0"/>
              <w:rPr>
                <w:sz w:val="16"/>
              </w:rPr>
            </w:pPr>
          </w:p>
        </w:tc>
        <w:tc>
          <w:tcPr>
            <w:tcW w:w="1540" w:type="dxa"/>
            <w:tcBorders>
              <w:bottom w:val="single" w:sz="6" w:space="0" w:color="000000"/>
            </w:tcBorders>
          </w:tcPr>
          <w:p>
            <w:pPr>
              <w:pStyle w:val="TableParagraph"/>
              <w:spacing w:line="216" w:lineRule="exact" w:before="0"/>
              <w:ind w:right="63"/>
              <w:jc w:val="right"/>
              <w:rPr>
                <w:b/>
                <w:sz w:val="14"/>
              </w:rPr>
            </w:pPr>
            <w:r>
              <w:rPr>
                <w:b/>
                <w:sz w:val="18"/>
              </w:rPr>
              <w:t>Gaming</w:t>
            </w:r>
            <w:r>
              <w:rPr>
                <w:b/>
                <w:spacing w:val="-12"/>
                <w:sz w:val="18"/>
              </w:rPr>
              <w:t> </w:t>
            </w:r>
            <w:r>
              <w:rPr>
                <w:b/>
                <w:sz w:val="18"/>
              </w:rPr>
              <w:t>Tables</w:t>
            </w:r>
            <w:r>
              <w:rPr>
                <w:b/>
                <w:spacing w:val="-9"/>
                <w:sz w:val="18"/>
              </w:rPr>
              <w:t> </w:t>
            </w:r>
            <w:r>
              <w:rPr>
                <w:b/>
                <w:spacing w:val="-5"/>
                <w:position w:val="8"/>
                <w:sz w:val="14"/>
              </w:rPr>
              <w:t>(3)</w:t>
            </w:r>
          </w:p>
        </w:tc>
      </w:tr>
      <w:tr>
        <w:trPr>
          <w:trHeight w:val="255" w:hRule="atLeast"/>
        </w:trPr>
        <w:tc>
          <w:tcPr>
            <w:tcW w:w="5208" w:type="dxa"/>
            <w:tcBorders>
              <w:top w:val="single" w:sz="6" w:space="0" w:color="000000"/>
            </w:tcBorders>
            <w:shd w:val="clear" w:color="auto" w:fill="CCEDFF"/>
          </w:tcPr>
          <w:p>
            <w:pPr>
              <w:pStyle w:val="TableParagraph"/>
              <w:spacing w:line="198" w:lineRule="exact" w:before="0"/>
              <w:ind w:left="17"/>
              <w:rPr>
                <w:b/>
                <w:sz w:val="18"/>
              </w:rPr>
            </w:pPr>
            <w:r>
              <w:rPr>
                <w:b/>
                <w:sz w:val="18"/>
              </w:rPr>
              <w:t>Las</w:t>
            </w:r>
            <w:r>
              <w:rPr>
                <w:b/>
                <w:spacing w:val="-10"/>
                <w:sz w:val="18"/>
              </w:rPr>
              <w:t> </w:t>
            </w:r>
            <w:r>
              <w:rPr>
                <w:b/>
                <w:sz w:val="18"/>
              </w:rPr>
              <w:t>Vegas</w:t>
            </w:r>
            <w:r>
              <w:rPr>
                <w:b/>
                <w:spacing w:val="-7"/>
                <w:sz w:val="18"/>
              </w:rPr>
              <w:t> </w:t>
            </w:r>
            <w:r>
              <w:rPr>
                <w:b/>
                <w:sz w:val="18"/>
              </w:rPr>
              <w:t>Strip</w:t>
            </w:r>
            <w:r>
              <w:rPr>
                <w:b/>
                <w:spacing w:val="-6"/>
                <w:sz w:val="18"/>
              </w:rPr>
              <w:t> </w:t>
            </w:r>
            <w:r>
              <w:rPr>
                <w:b/>
                <w:spacing w:val="-2"/>
                <w:sz w:val="18"/>
              </w:rPr>
              <w:t>Resorts:</w:t>
            </w:r>
          </w:p>
        </w:tc>
        <w:tc>
          <w:tcPr>
            <w:tcW w:w="930" w:type="dxa"/>
            <w:tcBorders>
              <w:top w:val="single" w:sz="6" w:space="0" w:color="000000"/>
            </w:tcBorders>
            <w:shd w:val="clear" w:color="auto" w:fill="CCEDFF"/>
          </w:tcPr>
          <w:p>
            <w:pPr>
              <w:pStyle w:val="TableParagraph"/>
              <w:spacing w:before="0"/>
              <w:rPr>
                <w:sz w:val="16"/>
              </w:rPr>
            </w:pPr>
          </w:p>
        </w:tc>
        <w:tc>
          <w:tcPr>
            <w:tcW w:w="749" w:type="dxa"/>
            <w:tcBorders>
              <w:top w:val="single" w:sz="6" w:space="0" w:color="000000"/>
            </w:tcBorders>
            <w:shd w:val="clear" w:color="auto" w:fill="CCEDFF"/>
          </w:tcPr>
          <w:p>
            <w:pPr>
              <w:pStyle w:val="TableParagraph"/>
              <w:spacing w:before="0"/>
              <w:rPr>
                <w:sz w:val="16"/>
              </w:rPr>
            </w:pPr>
          </w:p>
        </w:tc>
        <w:tc>
          <w:tcPr>
            <w:tcW w:w="1666" w:type="dxa"/>
            <w:tcBorders>
              <w:top w:val="single" w:sz="6" w:space="0" w:color="000000"/>
            </w:tcBorders>
            <w:shd w:val="clear" w:color="auto" w:fill="CCEDFF"/>
          </w:tcPr>
          <w:p>
            <w:pPr>
              <w:pStyle w:val="TableParagraph"/>
              <w:spacing w:before="0"/>
              <w:rPr>
                <w:sz w:val="16"/>
              </w:rPr>
            </w:pPr>
          </w:p>
        </w:tc>
        <w:tc>
          <w:tcPr>
            <w:tcW w:w="887" w:type="dxa"/>
            <w:tcBorders>
              <w:top w:val="single" w:sz="6" w:space="0" w:color="000000"/>
            </w:tcBorders>
            <w:shd w:val="clear" w:color="auto" w:fill="CCEDFF"/>
          </w:tcPr>
          <w:p>
            <w:pPr>
              <w:pStyle w:val="TableParagraph"/>
              <w:spacing w:before="0"/>
              <w:rPr>
                <w:sz w:val="16"/>
              </w:rPr>
            </w:pPr>
          </w:p>
        </w:tc>
        <w:tc>
          <w:tcPr>
            <w:tcW w:w="527" w:type="dxa"/>
            <w:tcBorders>
              <w:top w:val="single" w:sz="6" w:space="0" w:color="000000"/>
            </w:tcBorders>
            <w:shd w:val="clear" w:color="auto" w:fill="CCEDFF"/>
          </w:tcPr>
          <w:p>
            <w:pPr>
              <w:pStyle w:val="TableParagraph"/>
              <w:spacing w:before="0"/>
              <w:rPr>
                <w:sz w:val="16"/>
              </w:rPr>
            </w:pPr>
          </w:p>
        </w:tc>
        <w:tc>
          <w:tcPr>
            <w:tcW w:w="1540" w:type="dxa"/>
            <w:tcBorders>
              <w:top w:val="single" w:sz="6" w:space="0" w:color="000000"/>
            </w:tcBorders>
            <w:shd w:val="clear" w:color="auto" w:fill="CCEDFF"/>
          </w:tcPr>
          <w:p>
            <w:pPr>
              <w:pStyle w:val="TableParagraph"/>
              <w:spacing w:before="0"/>
              <w:rPr>
                <w:sz w:val="16"/>
              </w:rPr>
            </w:pPr>
          </w:p>
        </w:tc>
      </w:tr>
      <w:tr>
        <w:trPr>
          <w:trHeight w:val="256" w:hRule="atLeast"/>
        </w:trPr>
        <w:tc>
          <w:tcPr>
            <w:tcW w:w="5208" w:type="dxa"/>
          </w:tcPr>
          <w:p>
            <w:pPr>
              <w:pStyle w:val="TableParagraph"/>
              <w:spacing w:line="199" w:lineRule="exact" w:before="0"/>
              <w:ind w:left="217"/>
              <w:rPr>
                <w:sz w:val="18"/>
              </w:rPr>
            </w:pPr>
            <w:r>
              <w:rPr>
                <w:spacing w:val="-2"/>
                <w:sz w:val="18"/>
              </w:rPr>
              <w:t>Aria</w:t>
            </w:r>
            <w:r>
              <w:rPr>
                <w:spacing w:val="-2"/>
                <w:sz w:val="18"/>
                <w:vertAlign w:val="superscript"/>
              </w:rPr>
              <w:t>(4)</w:t>
            </w:r>
          </w:p>
        </w:tc>
        <w:tc>
          <w:tcPr>
            <w:tcW w:w="930" w:type="dxa"/>
          </w:tcPr>
          <w:p>
            <w:pPr>
              <w:pStyle w:val="TableParagraph"/>
              <w:spacing w:before="0"/>
              <w:rPr>
                <w:sz w:val="16"/>
              </w:rPr>
            </w:pPr>
          </w:p>
        </w:tc>
        <w:tc>
          <w:tcPr>
            <w:tcW w:w="749" w:type="dxa"/>
          </w:tcPr>
          <w:p>
            <w:pPr>
              <w:pStyle w:val="TableParagraph"/>
              <w:spacing w:line="199" w:lineRule="exact" w:before="0"/>
              <w:ind w:right="242"/>
              <w:jc w:val="right"/>
              <w:rPr>
                <w:sz w:val="18"/>
              </w:rPr>
            </w:pPr>
            <w:r>
              <w:rPr>
                <w:spacing w:val="-2"/>
                <w:sz w:val="18"/>
              </w:rPr>
              <w:t>5,497</w:t>
            </w:r>
          </w:p>
        </w:tc>
        <w:tc>
          <w:tcPr>
            <w:tcW w:w="1666" w:type="dxa"/>
          </w:tcPr>
          <w:p>
            <w:pPr>
              <w:pStyle w:val="TableParagraph"/>
              <w:spacing w:line="199" w:lineRule="exact" w:before="0"/>
              <w:ind w:right="284"/>
              <w:jc w:val="right"/>
              <w:rPr>
                <w:sz w:val="18"/>
              </w:rPr>
            </w:pPr>
            <w:r>
              <w:rPr>
                <w:spacing w:val="-2"/>
                <w:sz w:val="18"/>
              </w:rPr>
              <w:t>145,000</w:t>
            </w:r>
          </w:p>
        </w:tc>
        <w:tc>
          <w:tcPr>
            <w:tcW w:w="887" w:type="dxa"/>
          </w:tcPr>
          <w:p>
            <w:pPr>
              <w:pStyle w:val="TableParagraph"/>
              <w:spacing w:before="0"/>
              <w:rPr>
                <w:sz w:val="16"/>
              </w:rPr>
            </w:pPr>
          </w:p>
        </w:tc>
        <w:tc>
          <w:tcPr>
            <w:tcW w:w="527" w:type="dxa"/>
          </w:tcPr>
          <w:p>
            <w:pPr>
              <w:pStyle w:val="TableParagraph"/>
              <w:spacing w:line="199" w:lineRule="exact" w:before="0"/>
              <w:ind w:right="95"/>
              <w:jc w:val="right"/>
              <w:rPr>
                <w:sz w:val="18"/>
              </w:rPr>
            </w:pPr>
            <w:r>
              <w:rPr>
                <w:spacing w:val="-2"/>
                <w:sz w:val="18"/>
              </w:rPr>
              <w:t>1,246</w:t>
            </w:r>
          </w:p>
        </w:tc>
        <w:tc>
          <w:tcPr>
            <w:tcW w:w="1540" w:type="dxa"/>
          </w:tcPr>
          <w:p>
            <w:pPr>
              <w:pStyle w:val="TableParagraph"/>
              <w:spacing w:line="199" w:lineRule="exact" w:before="0"/>
              <w:ind w:right="7"/>
              <w:jc w:val="right"/>
              <w:rPr>
                <w:sz w:val="18"/>
              </w:rPr>
            </w:pPr>
            <w:r>
              <w:rPr>
                <w:spacing w:val="-5"/>
                <w:sz w:val="18"/>
              </w:rPr>
              <w:t>141</w:t>
            </w:r>
          </w:p>
        </w:tc>
      </w:tr>
      <w:tr>
        <w:trPr>
          <w:trHeight w:val="256" w:hRule="atLeast"/>
        </w:trPr>
        <w:tc>
          <w:tcPr>
            <w:tcW w:w="5208" w:type="dxa"/>
            <w:shd w:val="clear" w:color="auto" w:fill="CCEDFF"/>
          </w:tcPr>
          <w:p>
            <w:pPr>
              <w:pStyle w:val="TableParagraph"/>
              <w:spacing w:line="199" w:lineRule="exact" w:before="0"/>
              <w:ind w:left="217"/>
              <w:rPr>
                <w:sz w:val="18"/>
              </w:rPr>
            </w:pPr>
            <w:r>
              <w:rPr>
                <w:spacing w:val="-2"/>
                <w:sz w:val="18"/>
              </w:rPr>
              <w:t>Bellagio</w:t>
            </w:r>
          </w:p>
        </w:tc>
        <w:tc>
          <w:tcPr>
            <w:tcW w:w="930" w:type="dxa"/>
            <w:shd w:val="clear" w:color="auto" w:fill="CCEDFF"/>
          </w:tcPr>
          <w:p>
            <w:pPr>
              <w:pStyle w:val="TableParagraph"/>
              <w:spacing w:before="0"/>
              <w:rPr>
                <w:sz w:val="16"/>
              </w:rPr>
            </w:pPr>
          </w:p>
        </w:tc>
        <w:tc>
          <w:tcPr>
            <w:tcW w:w="749" w:type="dxa"/>
            <w:shd w:val="clear" w:color="auto" w:fill="CCEDFF"/>
          </w:tcPr>
          <w:p>
            <w:pPr>
              <w:pStyle w:val="TableParagraph"/>
              <w:spacing w:line="199" w:lineRule="exact" w:before="0"/>
              <w:ind w:right="242"/>
              <w:jc w:val="right"/>
              <w:rPr>
                <w:sz w:val="18"/>
              </w:rPr>
            </w:pPr>
            <w:r>
              <w:rPr>
                <w:spacing w:val="-2"/>
                <w:sz w:val="18"/>
              </w:rPr>
              <w:t>3,933</w:t>
            </w:r>
          </w:p>
        </w:tc>
        <w:tc>
          <w:tcPr>
            <w:tcW w:w="1666" w:type="dxa"/>
            <w:shd w:val="clear" w:color="auto" w:fill="CCEDFF"/>
          </w:tcPr>
          <w:p>
            <w:pPr>
              <w:pStyle w:val="TableParagraph"/>
              <w:spacing w:line="199" w:lineRule="exact" w:before="0"/>
              <w:ind w:right="284"/>
              <w:jc w:val="right"/>
              <w:rPr>
                <w:sz w:val="18"/>
              </w:rPr>
            </w:pPr>
            <w:r>
              <w:rPr>
                <w:spacing w:val="-2"/>
                <w:sz w:val="18"/>
              </w:rPr>
              <w:t>157,000</w:t>
            </w:r>
          </w:p>
        </w:tc>
        <w:tc>
          <w:tcPr>
            <w:tcW w:w="887" w:type="dxa"/>
            <w:shd w:val="clear" w:color="auto" w:fill="CCEDFF"/>
          </w:tcPr>
          <w:p>
            <w:pPr>
              <w:pStyle w:val="TableParagraph"/>
              <w:spacing w:before="0"/>
              <w:rPr>
                <w:sz w:val="16"/>
              </w:rPr>
            </w:pPr>
          </w:p>
        </w:tc>
        <w:tc>
          <w:tcPr>
            <w:tcW w:w="527" w:type="dxa"/>
            <w:shd w:val="clear" w:color="auto" w:fill="CCEDFF"/>
          </w:tcPr>
          <w:p>
            <w:pPr>
              <w:pStyle w:val="TableParagraph"/>
              <w:spacing w:line="199" w:lineRule="exact" w:before="0"/>
              <w:ind w:right="95"/>
              <w:jc w:val="right"/>
              <w:rPr>
                <w:sz w:val="18"/>
              </w:rPr>
            </w:pPr>
            <w:r>
              <w:rPr>
                <w:spacing w:val="-2"/>
                <w:sz w:val="18"/>
              </w:rPr>
              <w:t>1,284</w:t>
            </w:r>
          </w:p>
        </w:tc>
        <w:tc>
          <w:tcPr>
            <w:tcW w:w="1540" w:type="dxa"/>
            <w:shd w:val="clear" w:color="auto" w:fill="CCEDFF"/>
          </w:tcPr>
          <w:p>
            <w:pPr>
              <w:pStyle w:val="TableParagraph"/>
              <w:spacing w:line="199" w:lineRule="exact" w:before="0"/>
              <w:ind w:right="7"/>
              <w:jc w:val="right"/>
              <w:rPr>
                <w:sz w:val="18"/>
              </w:rPr>
            </w:pPr>
            <w:r>
              <w:rPr>
                <w:spacing w:val="-5"/>
                <w:sz w:val="18"/>
              </w:rPr>
              <w:t>151</w:t>
            </w:r>
          </w:p>
        </w:tc>
      </w:tr>
      <w:tr>
        <w:trPr>
          <w:trHeight w:val="269" w:hRule="atLeast"/>
        </w:trPr>
        <w:tc>
          <w:tcPr>
            <w:tcW w:w="5208" w:type="dxa"/>
          </w:tcPr>
          <w:p>
            <w:pPr>
              <w:pStyle w:val="TableParagraph"/>
              <w:spacing w:line="199" w:lineRule="exact" w:before="0"/>
              <w:ind w:left="217"/>
              <w:rPr>
                <w:sz w:val="18"/>
              </w:rPr>
            </w:pPr>
            <w:r>
              <w:rPr>
                <w:sz w:val="18"/>
              </w:rPr>
              <w:t>The</w:t>
            </w:r>
            <w:r>
              <w:rPr>
                <w:spacing w:val="-1"/>
                <w:sz w:val="18"/>
              </w:rPr>
              <w:t> </w:t>
            </w:r>
            <w:r>
              <w:rPr>
                <w:spacing w:val="-2"/>
                <w:sz w:val="18"/>
              </w:rPr>
              <w:t>Cosmopolitan</w:t>
            </w:r>
          </w:p>
        </w:tc>
        <w:tc>
          <w:tcPr>
            <w:tcW w:w="930" w:type="dxa"/>
          </w:tcPr>
          <w:p>
            <w:pPr>
              <w:pStyle w:val="TableParagraph"/>
              <w:spacing w:before="0"/>
              <w:rPr>
                <w:sz w:val="16"/>
              </w:rPr>
            </w:pPr>
          </w:p>
        </w:tc>
        <w:tc>
          <w:tcPr>
            <w:tcW w:w="749" w:type="dxa"/>
          </w:tcPr>
          <w:p>
            <w:pPr>
              <w:pStyle w:val="TableParagraph"/>
              <w:spacing w:line="199" w:lineRule="exact" w:before="0"/>
              <w:ind w:right="242"/>
              <w:jc w:val="right"/>
              <w:rPr>
                <w:sz w:val="18"/>
              </w:rPr>
            </w:pPr>
            <w:r>
              <w:rPr>
                <w:spacing w:val="-2"/>
                <w:sz w:val="18"/>
              </w:rPr>
              <w:t>3,082</w:t>
            </w:r>
          </w:p>
        </w:tc>
        <w:tc>
          <w:tcPr>
            <w:tcW w:w="1666" w:type="dxa"/>
          </w:tcPr>
          <w:p>
            <w:pPr>
              <w:pStyle w:val="TableParagraph"/>
              <w:spacing w:line="199" w:lineRule="exact" w:before="0"/>
              <w:ind w:right="284"/>
              <w:jc w:val="right"/>
              <w:rPr>
                <w:sz w:val="18"/>
              </w:rPr>
            </w:pPr>
            <w:r>
              <w:rPr>
                <w:spacing w:val="-2"/>
                <w:sz w:val="18"/>
              </w:rPr>
              <w:t>112,000</w:t>
            </w:r>
          </w:p>
        </w:tc>
        <w:tc>
          <w:tcPr>
            <w:tcW w:w="887" w:type="dxa"/>
          </w:tcPr>
          <w:p>
            <w:pPr>
              <w:pStyle w:val="TableParagraph"/>
              <w:spacing w:before="0"/>
              <w:rPr>
                <w:sz w:val="16"/>
              </w:rPr>
            </w:pPr>
          </w:p>
        </w:tc>
        <w:tc>
          <w:tcPr>
            <w:tcW w:w="527" w:type="dxa"/>
          </w:tcPr>
          <w:p>
            <w:pPr>
              <w:pStyle w:val="TableParagraph"/>
              <w:spacing w:line="199" w:lineRule="exact" w:before="0"/>
              <w:ind w:right="95"/>
              <w:jc w:val="right"/>
              <w:rPr>
                <w:sz w:val="18"/>
              </w:rPr>
            </w:pPr>
            <w:r>
              <w:rPr>
                <w:spacing w:val="-2"/>
                <w:sz w:val="18"/>
              </w:rPr>
              <w:t>1,300</w:t>
            </w:r>
          </w:p>
        </w:tc>
        <w:tc>
          <w:tcPr>
            <w:tcW w:w="1540" w:type="dxa"/>
          </w:tcPr>
          <w:p>
            <w:pPr>
              <w:pStyle w:val="TableParagraph"/>
              <w:spacing w:line="199" w:lineRule="exact" w:before="0"/>
              <w:ind w:right="7"/>
              <w:jc w:val="right"/>
              <w:rPr>
                <w:sz w:val="18"/>
              </w:rPr>
            </w:pPr>
            <w:r>
              <w:rPr>
                <w:spacing w:val="-5"/>
                <w:sz w:val="18"/>
              </w:rPr>
              <w:t>110</w:t>
            </w:r>
          </w:p>
        </w:tc>
      </w:tr>
      <w:tr>
        <w:trPr>
          <w:trHeight w:val="269" w:hRule="atLeast"/>
        </w:trPr>
        <w:tc>
          <w:tcPr>
            <w:tcW w:w="5208" w:type="dxa"/>
            <w:shd w:val="clear" w:color="auto" w:fill="CCEDFF"/>
          </w:tcPr>
          <w:p>
            <w:pPr>
              <w:pStyle w:val="TableParagraph"/>
              <w:spacing w:line="213" w:lineRule="exact" w:before="0"/>
              <w:ind w:left="217"/>
              <w:rPr>
                <w:sz w:val="14"/>
              </w:rPr>
            </w:pPr>
            <w:r>
              <w:rPr>
                <w:sz w:val="18"/>
              </w:rPr>
              <w:t>MGM</w:t>
            </w:r>
            <w:r>
              <w:rPr>
                <w:spacing w:val="-7"/>
                <w:sz w:val="18"/>
              </w:rPr>
              <w:t> </w:t>
            </w:r>
            <w:r>
              <w:rPr>
                <w:sz w:val="18"/>
              </w:rPr>
              <w:t>Grand</w:t>
            </w:r>
            <w:r>
              <w:rPr>
                <w:spacing w:val="-6"/>
                <w:sz w:val="18"/>
              </w:rPr>
              <w:t> </w:t>
            </w:r>
            <w:r>
              <w:rPr>
                <w:sz w:val="18"/>
              </w:rPr>
              <w:t>Las</w:t>
            </w:r>
            <w:r>
              <w:rPr>
                <w:spacing w:val="-8"/>
                <w:sz w:val="18"/>
              </w:rPr>
              <w:t> </w:t>
            </w:r>
            <w:r>
              <w:rPr>
                <w:sz w:val="18"/>
              </w:rPr>
              <w:t>Vegas</w:t>
            </w:r>
            <w:r>
              <w:rPr>
                <w:spacing w:val="-5"/>
                <w:sz w:val="18"/>
              </w:rPr>
              <w:t> </w:t>
            </w:r>
            <w:r>
              <w:rPr>
                <w:spacing w:val="-5"/>
                <w:position w:val="8"/>
                <w:sz w:val="14"/>
              </w:rPr>
              <w:t>(5)</w:t>
            </w:r>
          </w:p>
        </w:tc>
        <w:tc>
          <w:tcPr>
            <w:tcW w:w="930" w:type="dxa"/>
            <w:shd w:val="clear" w:color="auto" w:fill="CCEDFF"/>
          </w:tcPr>
          <w:p>
            <w:pPr>
              <w:pStyle w:val="TableParagraph"/>
              <w:spacing w:before="0"/>
              <w:rPr>
                <w:sz w:val="16"/>
              </w:rPr>
            </w:pPr>
          </w:p>
        </w:tc>
        <w:tc>
          <w:tcPr>
            <w:tcW w:w="749" w:type="dxa"/>
            <w:shd w:val="clear" w:color="auto" w:fill="CCEDFF"/>
          </w:tcPr>
          <w:p>
            <w:pPr>
              <w:pStyle w:val="TableParagraph"/>
              <w:spacing w:before="5"/>
              <w:ind w:right="242"/>
              <w:jc w:val="right"/>
              <w:rPr>
                <w:sz w:val="18"/>
              </w:rPr>
            </w:pPr>
            <w:r>
              <w:rPr>
                <w:spacing w:val="-2"/>
                <w:sz w:val="18"/>
              </w:rPr>
              <w:t>6,731</w:t>
            </w:r>
          </w:p>
        </w:tc>
        <w:tc>
          <w:tcPr>
            <w:tcW w:w="1666" w:type="dxa"/>
            <w:shd w:val="clear" w:color="auto" w:fill="CCEDFF"/>
          </w:tcPr>
          <w:p>
            <w:pPr>
              <w:pStyle w:val="TableParagraph"/>
              <w:spacing w:before="5"/>
              <w:ind w:right="284"/>
              <w:jc w:val="right"/>
              <w:rPr>
                <w:sz w:val="18"/>
              </w:rPr>
            </w:pPr>
            <w:r>
              <w:rPr>
                <w:spacing w:val="-2"/>
                <w:sz w:val="18"/>
              </w:rPr>
              <w:t>144,000</w:t>
            </w:r>
          </w:p>
        </w:tc>
        <w:tc>
          <w:tcPr>
            <w:tcW w:w="887" w:type="dxa"/>
            <w:shd w:val="clear" w:color="auto" w:fill="CCEDFF"/>
          </w:tcPr>
          <w:p>
            <w:pPr>
              <w:pStyle w:val="TableParagraph"/>
              <w:spacing w:before="0"/>
              <w:rPr>
                <w:sz w:val="16"/>
              </w:rPr>
            </w:pPr>
          </w:p>
        </w:tc>
        <w:tc>
          <w:tcPr>
            <w:tcW w:w="527" w:type="dxa"/>
            <w:shd w:val="clear" w:color="auto" w:fill="CCEDFF"/>
          </w:tcPr>
          <w:p>
            <w:pPr>
              <w:pStyle w:val="TableParagraph"/>
              <w:spacing w:before="5"/>
              <w:ind w:right="95"/>
              <w:jc w:val="right"/>
              <w:rPr>
                <w:sz w:val="18"/>
              </w:rPr>
            </w:pPr>
            <w:r>
              <w:rPr>
                <w:spacing w:val="-2"/>
                <w:sz w:val="18"/>
              </w:rPr>
              <w:t>1,303</w:t>
            </w:r>
          </w:p>
        </w:tc>
        <w:tc>
          <w:tcPr>
            <w:tcW w:w="1540" w:type="dxa"/>
            <w:shd w:val="clear" w:color="auto" w:fill="CCEDFF"/>
          </w:tcPr>
          <w:p>
            <w:pPr>
              <w:pStyle w:val="TableParagraph"/>
              <w:spacing w:before="5"/>
              <w:ind w:right="7"/>
              <w:jc w:val="right"/>
              <w:rPr>
                <w:sz w:val="18"/>
              </w:rPr>
            </w:pPr>
            <w:r>
              <w:rPr>
                <w:spacing w:val="-5"/>
                <w:sz w:val="18"/>
              </w:rPr>
              <w:t>97</w:t>
            </w:r>
          </w:p>
        </w:tc>
      </w:tr>
      <w:tr>
        <w:trPr>
          <w:trHeight w:val="269" w:hRule="atLeast"/>
        </w:trPr>
        <w:tc>
          <w:tcPr>
            <w:tcW w:w="5208" w:type="dxa"/>
          </w:tcPr>
          <w:p>
            <w:pPr>
              <w:pStyle w:val="TableParagraph"/>
              <w:spacing w:line="213" w:lineRule="exact" w:before="0"/>
              <w:ind w:left="217"/>
              <w:rPr>
                <w:sz w:val="14"/>
              </w:rPr>
            </w:pPr>
            <w:r>
              <w:rPr>
                <w:sz w:val="18"/>
              </w:rPr>
              <w:t>Mandalay</w:t>
            </w:r>
            <w:r>
              <w:rPr>
                <w:spacing w:val="-1"/>
                <w:sz w:val="18"/>
              </w:rPr>
              <w:t> </w:t>
            </w:r>
            <w:r>
              <w:rPr>
                <w:sz w:val="18"/>
              </w:rPr>
              <w:t>Bay </w:t>
            </w:r>
            <w:r>
              <w:rPr>
                <w:spacing w:val="-5"/>
                <w:position w:val="8"/>
                <w:sz w:val="14"/>
              </w:rPr>
              <w:t>(6)</w:t>
            </w:r>
          </w:p>
        </w:tc>
        <w:tc>
          <w:tcPr>
            <w:tcW w:w="930" w:type="dxa"/>
          </w:tcPr>
          <w:p>
            <w:pPr>
              <w:pStyle w:val="TableParagraph"/>
              <w:spacing w:before="0"/>
              <w:rPr>
                <w:sz w:val="16"/>
              </w:rPr>
            </w:pPr>
          </w:p>
        </w:tc>
        <w:tc>
          <w:tcPr>
            <w:tcW w:w="749" w:type="dxa"/>
          </w:tcPr>
          <w:p>
            <w:pPr>
              <w:pStyle w:val="TableParagraph"/>
              <w:spacing w:before="5"/>
              <w:ind w:right="242"/>
              <w:jc w:val="right"/>
              <w:rPr>
                <w:sz w:val="18"/>
              </w:rPr>
            </w:pPr>
            <w:r>
              <w:rPr>
                <w:spacing w:val="-2"/>
                <w:sz w:val="18"/>
              </w:rPr>
              <w:t>4,750</w:t>
            </w:r>
          </w:p>
        </w:tc>
        <w:tc>
          <w:tcPr>
            <w:tcW w:w="1666" w:type="dxa"/>
          </w:tcPr>
          <w:p>
            <w:pPr>
              <w:pStyle w:val="TableParagraph"/>
              <w:spacing w:before="5"/>
              <w:ind w:right="284"/>
              <w:jc w:val="right"/>
              <w:rPr>
                <w:sz w:val="18"/>
              </w:rPr>
            </w:pPr>
            <w:r>
              <w:rPr>
                <w:spacing w:val="-2"/>
                <w:sz w:val="18"/>
              </w:rPr>
              <w:t>154,000</w:t>
            </w:r>
          </w:p>
        </w:tc>
        <w:tc>
          <w:tcPr>
            <w:tcW w:w="887" w:type="dxa"/>
          </w:tcPr>
          <w:p>
            <w:pPr>
              <w:pStyle w:val="TableParagraph"/>
              <w:spacing w:before="0"/>
              <w:rPr>
                <w:sz w:val="16"/>
              </w:rPr>
            </w:pPr>
          </w:p>
        </w:tc>
        <w:tc>
          <w:tcPr>
            <w:tcW w:w="527" w:type="dxa"/>
          </w:tcPr>
          <w:p>
            <w:pPr>
              <w:pStyle w:val="TableParagraph"/>
              <w:spacing w:before="5"/>
              <w:ind w:right="95"/>
              <w:jc w:val="right"/>
              <w:rPr>
                <w:sz w:val="18"/>
              </w:rPr>
            </w:pPr>
            <w:r>
              <w:rPr>
                <w:spacing w:val="-2"/>
                <w:sz w:val="18"/>
              </w:rPr>
              <w:t>1,009</w:t>
            </w:r>
          </w:p>
        </w:tc>
        <w:tc>
          <w:tcPr>
            <w:tcW w:w="1540" w:type="dxa"/>
          </w:tcPr>
          <w:p>
            <w:pPr>
              <w:pStyle w:val="TableParagraph"/>
              <w:spacing w:before="5"/>
              <w:ind w:right="7"/>
              <w:jc w:val="right"/>
              <w:rPr>
                <w:sz w:val="18"/>
              </w:rPr>
            </w:pPr>
            <w:r>
              <w:rPr>
                <w:spacing w:val="-5"/>
                <w:sz w:val="18"/>
              </w:rPr>
              <w:t>69</w:t>
            </w:r>
          </w:p>
        </w:tc>
      </w:tr>
      <w:tr>
        <w:trPr>
          <w:trHeight w:val="269" w:hRule="atLeast"/>
        </w:trPr>
        <w:tc>
          <w:tcPr>
            <w:tcW w:w="5208" w:type="dxa"/>
            <w:shd w:val="clear" w:color="auto" w:fill="CCEDFF"/>
          </w:tcPr>
          <w:p>
            <w:pPr>
              <w:pStyle w:val="TableParagraph"/>
              <w:spacing w:line="199" w:lineRule="exact" w:before="0"/>
              <w:ind w:left="217"/>
              <w:rPr>
                <w:sz w:val="18"/>
              </w:rPr>
            </w:pPr>
            <w:r>
              <w:rPr>
                <w:spacing w:val="-2"/>
                <w:sz w:val="18"/>
              </w:rPr>
              <w:t>Luxor</w:t>
            </w:r>
          </w:p>
        </w:tc>
        <w:tc>
          <w:tcPr>
            <w:tcW w:w="930" w:type="dxa"/>
            <w:shd w:val="clear" w:color="auto" w:fill="CCEDFF"/>
          </w:tcPr>
          <w:p>
            <w:pPr>
              <w:pStyle w:val="TableParagraph"/>
              <w:spacing w:before="0"/>
              <w:rPr>
                <w:sz w:val="16"/>
              </w:rPr>
            </w:pPr>
          </w:p>
        </w:tc>
        <w:tc>
          <w:tcPr>
            <w:tcW w:w="749" w:type="dxa"/>
            <w:shd w:val="clear" w:color="auto" w:fill="CCEDFF"/>
          </w:tcPr>
          <w:p>
            <w:pPr>
              <w:pStyle w:val="TableParagraph"/>
              <w:spacing w:line="199" w:lineRule="exact" w:before="0"/>
              <w:ind w:right="242"/>
              <w:jc w:val="right"/>
              <w:rPr>
                <w:sz w:val="18"/>
              </w:rPr>
            </w:pPr>
            <w:r>
              <w:rPr>
                <w:spacing w:val="-2"/>
                <w:sz w:val="18"/>
              </w:rPr>
              <w:t>4,397</w:t>
            </w:r>
          </w:p>
        </w:tc>
        <w:tc>
          <w:tcPr>
            <w:tcW w:w="1666" w:type="dxa"/>
            <w:shd w:val="clear" w:color="auto" w:fill="CCEDFF"/>
          </w:tcPr>
          <w:p>
            <w:pPr>
              <w:pStyle w:val="TableParagraph"/>
              <w:spacing w:line="199" w:lineRule="exact" w:before="0"/>
              <w:ind w:right="284"/>
              <w:jc w:val="right"/>
              <w:rPr>
                <w:sz w:val="18"/>
              </w:rPr>
            </w:pPr>
            <w:r>
              <w:rPr>
                <w:spacing w:val="-2"/>
                <w:sz w:val="18"/>
              </w:rPr>
              <w:t>104,000</w:t>
            </w:r>
          </w:p>
        </w:tc>
        <w:tc>
          <w:tcPr>
            <w:tcW w:w="887" w:type="dxa"/>
            <w:shd w:val="clear" w:color="auto" w:fill="CCEDFF"/>
          </w:tcPr>
          <w:p>
            <w:pPr>
              <w:pStyle w:val="TableParagraph"/>
              <w:spacing w:before="0"/>
              <w:rPr>
                <w:sz w:val="16"/>
              </w:rPr>
            </w:pPr>
          </w:p>
        </w:tc>
        <w:tc>
          <w:tcPr>
            <w:tcW w:w="527" w:type="dxa"/>
            <w:shd w:val="clear" w:color="auto" w:fill="CCEDFF"/>
          </w:tcPr>
          <w:p>
            <w:pPr>
              <w:pStyle w:val="TableParagraph"/>
              <w:spacing w:line="199" w:lineRule="exact" w:before="0"/>
              <w:ind w:right="95"/>
              <w:jc w:val="right"/>
              <w:rPr>
                <w:sz w:val="18"/>
              </w:rPr>
            </w:pPr>
            <w:r>
              <w:rPr>
                <w:spacing w:val="-5"/>
                <w:sz w:val="18"/>
              </w:rPr>
              <w:t>805</w:t>
            </w:r>
          </w:p>
        </w:tc>
        <w:tc>
          <w:tcPr>
            <w:tcW w:w="1540" w:type="dxa"/>
            <w:shd w:val="clear" w:color="auto" w:fill="CCEDFF"/>
          </w:tcPr>
          <w:p>
            <w:pPr>
              <w:pStyle w:val="TableParagraph"/>
              <w:spacing w:line="199" w:lineRule="exact" w:before="0"/>
              <w:ind w:right="7"/>
              <w:jc w:val="right"/>
              <w:rPr>
                <w:sz w:val="18"/>
              </w:rPr>
            </w:pPr>
            <w:r>
              <w:rPr>
                <w:spacing w:val="-5"/>
                <w:sz w:val="18"/>
              </w:rPr>
              <w:t>48</w:t>
            </w:r>
          </w:p>
        </w:tc>
      </w:tr>
      <w:tr>
        <w:trPr>
          <w:trHeight w:val="256" w:hRule="atLeast"/>
        </w:trPr>
        <w:tc>
          <w:tcPr>
            <w:tcW w:w="5208" w:type="dxa"/>
          </w:tcPr>
          <w:p>
            <w:pPr>
              <w:pStyle w:val="TableParagraph"/>
              <w:spacing w:line="199" w:lineRule="exact" w:before="0"/>
              <w:ind w:left="217"/>
              <w:rPr>
                <w:sz w:val="18"/>
              </w:rPr>
            </w:pPr>
            <w:r>
              <w:rPr>
                <w:spacing w:val="-2"/>
                <w:sz w:val="18"/>
              </w:rPr>
              <w:t>Excalibur</w:t>
            </w:r>
          </w:p>
        </w:tc>
        <w:tc>
          <w:tcPr>
            <w:tcW w:w="930" w:type="dxa"/>
          </w:tcPr>
          <w:p>
            <w:pPr>
              <w:pStyle w:val="TableParagraph"/>
              <w:spacing w:before="0"/>
              <w:rPr>
                <w:sz w:val="16"/>
              </w:rPr>
            </w:pPr>
          </w:p>
        </w:tc>
        <w:tc>
          <w:tcPr>
            <w:tcW w:w="749" w:type="dxa"/>
          </w:tcPr>
          <w:p>
            <w:pPr>
              <w:pStyle w:val="TableParagraph"/>
              <w:spacing w:line="199" w:lineRule="exact" w:before="0"/>
              <w:ind w:right="242"/>
              <w:jc w:val="right"/>
              <w:rPr>
                <w:sz w:val="18"/>
              </w:rPr>
            </w:pPr>
            <w:r>
              <w:rPr>
                <w:spacing w:val="-2"/>
                <w:sz w:val="18"/>
              </w:rPr>
              <w:t>3,981</w:t>
            </w:r>
          </w:p>
        </w:tc>
        <w:tc>
          <w:tcPr>
            <w:tcW w:w="1666" w:type="dxa"/>
          </w:tcPr>
          <w:p>
            <w:pPr>
              <w:pStyle w:val="TableParagraph"/>
              <w:spacing w:line="199" w:lineRule="exact" w:before="0"/>
              <w:ind w:right="284"/>
              <w:jc w:val="right"/>
              <w:rPr>
                <w:sz w:val="18"/>
              </w:rPr>
            </w:pPr>
            <w:r>
              <w:rPr>
                <w:spacing w:val="-2"/>
                <w:sz w:val="18"/>
              </w:rPr>
              <w:t>96,000</w:t>
            </w:r>
          </w:p>
        </w:tc>
        <w:tc>
          <w:tcPr>
            <w:tcW w:w="887" w:type="dxa"/>
          </w:tcPr>
          <w:p>
            <w:pPr>
              <w:pStyle w:val="TableParagraph"/>
              <w:spacing w:before="0"/>
              <w:rPr>
                <w:sz w:val="16"/>
              </w:rPr>
            </w:pPr>
          </w:p>
        </w:tc>
        <w:tc>
          <w:tcPr>
            <w:tcW w:w="527" w:type="dxa"/>
          </w:tcPr>
          <w:p>
            <w:pPr>
              <w:pStyle w:val="TableParagraph"/>
              <w:spacing w:line="199" w:lineRule="exact" w:before="0"/>
              <w:ind w:right="95"/>
              <w:jc w:val="right"/>
              <w:rPr>
                <w:sz w:val="18"/>
              </w:rPr>
            </w:pPr>
            <w:r>
              <w:rPr>
                <w:spacing w:val="-5"/>
                <w:sz w:val="18"/>
              </w:rPr>
              <w:t>909</w:t>
            </w:r>
          </w:p>
        </w:tc>
        <w:tc>
          <w:tcPr>
            <w:tcW w:w="1540" w:type="dxa"/>
          </w:tcPr>
          <w:p>
            <w:pPr>
              <w:pStyle w:val="TableParagraph"/>
              <w:spacing w:line="199" w:lineRule="exact" w:before="0"/>
              <w:ind w:right="7"/>
              <w:jc w:val="right"/>
              <w:rPr>
                <w:sz w:val="18"/>
              </w:rPr>
            </w:pPr>
            <w:r>
              <w:rPr>
                <w:spacing w:val="-5"/>
                <w:sz w:val="18"/>
              </w:rPr>
              <w:t>42</w:t>
            </w:r>
          </w:p>
        </w:tc>
      </w:tr>
      <w:tr>
        <w:trPr>
          <w:trHeight w:val="256" w:hRule="atLeast"/>
        </w:trPr>
        <w:tc>
          <w:tcPr>
            <w:tcW w:w="5208" w:type="dxa"/>
            <w:shd w:val="clear" w:color="auto" w:fill="CCEDFF"/>
          </w:tcPr>
          <w:p>
            <w:pPr>
              <w:pStyle w:val="TableParagraph"/>
              <w:spacing w:line="199" w:lineRule="exact" w:before="0"/>
              <w:ind w:left="217"/>
              <w:rPr>
                <w:sz w:val="18"/>
              </w:rPr>
            </w:pPr>
            <w:r>
              <w:rPr>
                <w:spacing w:val="-2"/>
                <w:sz w:val="18"/>
              </w:rPr>
              <w:t>New</w:t>
            </w:r>
            <w:r>
              <w:rPr>
                <w:spacing w:val="-6"/>
                <w:sz w:val="18"/>
              </w:rPr>
              <w:t> </w:t>
            </w:r>
            <w:r>
              <w:rPr>
                <w:spacing w:val="-2"/>
                <w:sz w:val="18"/>
              </w:rPr>
              <w:t>York-New</w:t>
            </w:r>
            <w:r>
              <w:rPr>
                <w:spacing w:val="-5"/>
                <w:sz w:val="18"/>
              </w:rPr>
              <w:t> </w:t>
            </w:r>
            <w:r>
              <w:rPr>
                <w:spacing w:val="-4"/>
                <w:sz w:val="18"/>
              </w:rPr>
              <w:t>York</w:t>
            </w:r>
          </w:p>
        </w:tc>
        <w:tc>
          <w:tcPr>
            <w:tcW w:w="930" w:type="dxa"/>
            <w:shd w:val="clear" w:color="auto" w:fill="CCEDFF"/>
          </w:tcPr>
          <w:p>
            <w:pPr>
              <w:pStyle w:val="TableParagraph"/>
              <w:spacing w:before="0"/>
              <w:rPr>
                <w:sz w:val="16"/>
              </w:rPr>
            </w:pPr>
          </w:p>
        </w:tc>
        <w:tc>
          <w:tcPr>
            <w:tcW w:w="749" w:type="dxa"/>
            <w:shd w:val="clear" w:color="auto" w:fill="CCEDFF"/>
          </w:tcPr>
          <w:p>
            <w:pPr>
              <w:pStyle w:val="TableParagraph"/>
              <w:spacing w:line="199" w:lineRule="exact" w:before="0"/>
              <w:ind w:right="242"/>
              <w:jc w:val="right"/>
              <w:rPr>
                <w:sz w:val="18"/>
              </w:rPr>
            </w:pPr>
            <w:r>
              <w:rPr>
                <w:spacing w:val="-2"/>
                <w:sz w:val="18"/>
              </w:rPr>
              <w:t>2,024</w:t>
            </w:r>
          </w:p>
        </w:tc>
        <w:tc>
          <w:tcPr>
            <w:tcW w:w="1666" w:type="dxa"/>
            <w:shd w:val="clear" w:color="auto" w:fill="CCEDFF"/>
          </w:tcPr>
          <w:p>
            <w:pPr>
              <w:pStyle w:val="TableParagraph"/>
              <w:spacing w:line="199" w:lineRule="exact" w:before="0"/>
              <w:ind w:right="284"/>
              <w:jc w:val="right"/>
              <w:rPr>
                <w:sz w:val="18"/>
              </w:rPr>
            </w:pPr>
            <w:r>
              <w:rPr>
                <w:spacing w:val="-2"/>
                <w:sz w:val="18"/>
              </w:rPr>
              <w:t>81,000</w:t>
            </w:r>
          </w:p>
        </w:tc>
        <w:tc>
          <w:tcPr>
            <w:tcW w:w="887" w:type="dxa"/>
            <w:shd w:val="clear" w:color="auto" w:fill="CCEDFF"/>
          </w:tcPr>
          <w:p>
            <w:pPr>
              <w:pStyle w:val="TableParagraph"/>
              <w:spacing w:before="0"/>
              <w:rPr>
                <w:sz w:val="16"/>
              </w:rPr>
            </w:pPr>
          </w:p>
        </w:tc>
        <w:tc>
          <w:tcPr>
            <w:tcW w:w="527" w:type="dxa"/>
            <w:shd w:val="clear" w:color="auto" w:fill="CCEDFF"/>
          </w:tcPr>
          <w:p>
            <w:pPr>
              <w:pStyle w:val="TableParagraph"/>
              <w:spacing w:line="199" w:lineRule="exact" w:before="0"/>
              <w:ind w:right="95"/>
              <w:jc w:val="right"/>
              <w:rPr>
                <w:sz w:val="18"/>
              </w:rPr>
            </w:pPr>
            <w:r>
              <w:rPr>
                <w:spacing w:val="-5"/>
                <w:sz w:val="18"/>
              </w:rPr>
              <w:t>878</w:t>
            </w:r>
          </w:p>
        </w:tc>
        <w:tc>
          <w:tcPr>
            <w:tcW w:w="1540" w:type="dxa"/>
            <w:shd w:val="clear" w:color="auto" w:fill="CCEDFF"/>
          </w:tcPr>
          <w:p>
            <w:pPr>
              <w:pStyle w:val="TableParagraph"/>
              <w:spacing w:line="199" w:lineRule="exact" w:before="0"/>
              <w:ind w:right="7"/>
              <w:jc w:val="right"/>
              <w:rPr>
                <w:sz w:val="18"/>
              </w:rPr>
            </w:pPr>
            <w:r>
              <w:rPr>
                <w:spacing w:val="-5"/>
                <w:sz w:val="18"/>
              </w:rPr>
              <w:t>54</w:t>
            </w:r>
          </w:p>
        </w:tc>
      </w:tr>
      <w:tr>
        <w:trPr>
          <w:trHeight w:val="269" w:hRule="atLeast"/>
        </w:trPr>
        <w:tc>
          <w:tcPr>
            <w:tcW w:w="5208" w:type="dxa"/>
          </w:tcPr>
          <w:p>
            <w:pPr>
              <w:pStyle w:val="TableParagraph"/>
              <w:spacing w:line="213" w:lineRule="exact" w:before="0"/>
              <w:ind w:left="217"/>
              <w:rPr>
                <w:sz w:val="14"/>
              </w:rPr>
            </w:pPr>
            <w:r>
              <w:rPr>
                <w:sz w:val="18"/>
              </w:rPr>
              <w:t>Park</w:t>
            </w:r>
            <w:r>
              <w:rPr>
                <w:spacing w:val="-1"/>
                <w:sz w:val="18"/>
              </w:rPr>
              <w:t> </w:t>
            </w:r>
            <w:r>
              <w:rPr>
                <w:sz w:val="18"/>
              </w:rPr>
              <w:t>MGM </w:t>
            </w:r>
            <w:r>
              <w:rPr>
                <w:spacing w:val="-5"/>
                <w:position w:val="8"/>
                <w:sz w:val="14"/>
              </w:rPr>
              <w:t>(7)</w:t>
            </w:r>
          </w:p>
        </w:tc>
        <w:tc>
          <w:tcPr>
            <w:tcW w:w="930" w:type="dxa"/>
            <w:tcBorders>
              <w:bottom w:val="single" w:sz="6" w:space="0" w:color="000000"/>
            </w:tcBorders>
          </w:tcPr>
          <w:p>
            <w:pPr>
              <w:pStyle w:val="TableParagraph"/>
              <w:spacing w:before="0"/>
              <w:rPr>
                <w:sz w:val="16"/>
              </w:rPr>
            </w:pPr>
          </w:p>
        </w:tc>
        <w:tc>
          <w:tcPr>
            <w:tcW w:w="749" w:type="dxa"/>
            <w:tcBorders>
              <w:bottom w:val="single" w:sz="6" w:space="0" w:color="000000"/>
            </w:tcBorders>
          </w:tcPr>
          <w:p>
            <w:pPr>
              <w:pStyle w:val="TableParagraph"/>
              <w:spacing w:before="5"/>
              <w:ind w:right="242"/>
              <w:jc w:val="right"/>
              <w:rPr>
                <w:sz w:val="18"/>
              </w:rPr>
            </w:pPr>
            <w:r>
              <w:rPr>
                <w:spacing w:val="-2"/>
                <w:sz w:val="18"/>
              </w:rPr>
              <w:t>2,898</w:t>
            </w:r>
          </w:p>
        </w:tc>
        <w:tc>
          <w:tcPr>
            <w:tcW w:w="1666" w:type="dxa"/>
            <w:tcBorders>
              <w:bottom w:val="single" w:sz="6" w:space="0" w:color="000000"/>
            </w:tcBorders>
          </w:tcPr>
          <w:p>
            <w:pPr>
              <w:pStyle w:val="TableParagraph"/>
              <w:spacing w:before="5"/>
              <w:ind w:right="284"/>
              <w:jc w:val="right"/>
              <w:rPr>
                <w:sz w:val="18"/>
              </w:rPr>
            </w:pPr>
            <w:r>
              <w:rPr>
                <w:spacing w:val="-2"/>
                <w:sz w:val="18"/>
              </w:rPr>
              <w:t>67,000</w:t>
            </w:r>
          </w:p>
        </w:tc>
        <w:tc>
          <w:tcPr>
            <w:tcW w:w="887" w:type="dxa"/>
            <w:tcBorders>
              <w:bottom w:val="single" w:sz="6" w:space="0" w:color="000000"/>
            </w:tcBorders>
          </w:tcPr>
          <w:p>
            <w:pPr>
              <w:pStyle w:val="TableParagraph"/>
              <w:spacing w:before="0"/>
              <w:rPr>
                <w:sz w:val="16"/>
              </w:rPr>
            </w:pPr>
          </w:p>
        </w:tc>
        <w:tc>
          <w:tcPr>
            <w:tcW w:w="527" w:type="dxa"/>
            <w:tcBorders>
              <w:bottom w:val="single" w:sz="6" w:space="0" w:color="000000"/>
            </w:tcBorders>
          </w:tcPr>
          <w:p>
            <w:pPr>
              <w:pStyle w:val="TableParagraph"/>
              <w:spacing w:before="5"/>
              <w:ind w:right="95"/>
              <w:jc w:val="right"/>
              <w:rPr>
                <w:sz w:val="18"/>
              </w:rPr>
            </w:pPr>
            <w:r>
              <w:rPr>
                <w:spacing w:val="-5"/>
                <w:sz w:val="18"/>
              </w:rPr>
              <w:t>761</w:t>
            </w:r>
          </w:p>
        </w:tc>
        <w:tc>
          <w:tcPr>
            <w:tcW w:w="1540" w:type="dxa"/>
            <w:tcBorders>
              <w:bottom w:val="single" w:sz="6" w:space="0" w:color="000000"/>
            </w:tcBorders>
          </w:tcPr>
          <w:p>
            <w:pPr>
              <w:pStyle w:val="TableParagraph"/>
              <w:spacing w:before="5"/>
              <w:ind w:right="7"/>
              <w:jc w:val="right"/>
              <w:rPr>
                <w:sz w:val="18"/>
              </w:rPr>
            </w:pPr>
            <w:r>
              <w:rPr>
                <w:spacing w:val="-5"/>
                <w:sz w:val="18"/>
              </w:rPr>
              <w:t>64</w:t>
            </w:r>
          </w:p>
        </w:tc>
      </w:tr>
      <w:tr>
        <w:trPr>
          <w:trHeight w:val="254" w:hRule="atLeast"/>
        </w:trPr>
        <w:tc>
          <w:tcPr>
            <w:tcW w:w="5208" w:type="dxa"/>
            <w:shd w:val="clear" w:color="auto" w:fill="CCEDFF"/>
          </w:tcPr>
          <w:p>
            <w:pPr>
              <w:pStyle w:val="TableParagraph"/>
              <w:spacing w:line="185" w:lineRule="exact" w:before="0"/>
              <w:ind w:left="462"/>
              <w:rPr>
                <w:sz w:val="18"/>
              </w:rPr>
            </w:pPr>
            <w:r>
              <w:rPr>
                <w:spacing w:val="-2"/>
                <w:sz w:val="18"/>
              </w:rPr>
              <w:t>Subtotal</w:t>
            </w:r>
          </w:p>
        </w:tc>
        <w:tc>
          <w:tcPr>
            <w:tcW w:w="930" w:type="dxa"/>
            <w:tcBorders>
              <w:top w:val="single" w:sz="6" w:space="0" w:color="000000"/>
              <w:bottom w:val="single" w:sz="6" w:space="0" w:color="000000"/>
            </w:tcBorders>
            <w:shd w:val="clear" w:color="auto" w:fill="CCEDFF"/>
          </w:tcPr>
          <w:p>
            <w:pPr>
              <w:pStyle w:val="TableParagraph"/>
              <w:spacing w:before="0"/>
              <w:rPr>
                <w:sz w:val="16"/>
              </w:rPr>
            </w:pPr>
          </w:p>
        </w:tc>
        <w:tc>
          <w:tcPr>
            <w:tcW w:w="749" w:type="dxa"/>
            <w:tcBorders>
              <w:top w:val="single" w:sz="6" w:space="0" w:color="000000"/>
              <w:bottom w:val="single" w:sz="6" w:space="0" w:color="000000"/>
            </w:tcBorders>
            <w:shd w:val="clear" w:color="auto" w:fill="CCEDFF"/>
          </w:tcPr>
          <w:p>
            <w:pPr>
              <w:pStyle w:val="TableParagraph"/>
              <w:spacing w:line="198" w:lineRule="exact" w:before="0"/>
              <w:ind w:right="242"/>
              <w:jc w:val="right"/>
              <w:rPr>
                <w:sz w:val="18"/>
              </w:rPr>
            </w:pPr>
            <w:r>
              <w:rPr>
                <w:spacing w:val="-2"/>
                <w:sz w:val="18"/>
              </w:rPr>
              <w:t>37,293</w:t>
            </w:r>
          </w:p>
        </w:tc>
        <w:tc>
          <w:tcPr>
            <w:tcW w:w="1666" w:type="dxa"/>
            <w:tcBorders>
              <w:top w:val="single" w:sz="6" w:space="0" w:color="000000"/>
              <w:bottom w:val="single" w:sz="6" w:space="0" w:color="000000"/>
            </w:tcBorders>
            <w:shd w:val="clear" w:color="auto" w:fill="CCEDFF"/>
          </w:tcPr>
          <w:p>
            <w:pPr>
              <w:pStyle w:val="TableParagraph"/>
              <w:spacing w:line="198" w:lineRule="exact" w:before="0"/>
              <w:ind w:right="284"/>
              <w:jc w:val="right"/>
              <w:rPr>
                <w:sz w:val="18"/>
              </w:rPr>
            </w:pPr>
            <w:r>
              <w:rPr>
                <w:spacing w:val="-2"/>
                <w:sz w:val="18"/>
              </w:rPr>
              <w:t>1,060,000</w:t>
            </w:r>
          </w:p>
        </w:tc>
        <w:tc>
          <w:tcPr>
            <w:tcW w:w="887" w:type="dxa"/>
            <w:tcBorders>
              <w:top w:val="single" w:sz="6" w:space="0" w:color="000000"/>
              <w:bottom w:val="single" w:sz="6" w:space="0" w:color="000000"/>
            </w:tcBorders>
            <w:shd w:val="clear" w:color="auto" w:fill="CCEDFF"/>
          </w:tcPr>
          <w:p>
            <w:pPr>
              <w:pStyle w:val="TableParagraph"/>
              <w:spacing w:before="0"/>
              <w:rPr>
                <w:sz w:val="16"/>
              </w:rPr>
            </w:pPr>
          </w:p>
        </w:tc>
        <w:tc>
          <w:tcPr>
            <w:tcW w:w="527" w:type="dxa"/>
            <w:tcBorders>
              <w:top w:val="single" w:sz="6" w:space="0" w:color="000000"/>
              <w:bottom w:val="single" w:sz="6" w:space="0" w:color="000000"/>
            </w:tcBorders>
            <w:shd w:val="clear" w:color="auto" w:fill="CCEDFF"/>
          </w:tcPr>
          <w:p>
            <w:pPr>
              <w:pStyle w:val="TableParagraph"/>
              <w:spacing w:line="198" w:lineRule="exact" w:before="0"/>
              <w:ind w:right="95"/>
              <w:jc w:val="right"/>
              <w:rPr>
                <w:sz w:val="18"/>
              </w:rPr>
            </w:pPr>
            <w:r>
              <w:rPr>
                <w:spacing w:val="-2"/>
                <w:sz w:val="18"/>
              </w:rPr>
              <w:t>9,495</w:t>
            </w:r>
          </w:p>
        </w:tc>
        <w:tc>
          <w:tcPr>
            <w:tcW w:w="1540" w:type="dxa"/>
            <w:tcBorders>
              <w:top w:val="single" w:sz="6" w:space="0" w:color="000000"/>
              <w:bottom w:val="single" w:sz="6" w:space="0" w:color="000000"/>
            </w:tcBorders>
            <w:shd w:val="clear" w:color="auto" w:fill="CCEDFF"/>
          </w:tcPr>
          <w:p>
            <w:pPr>
              <w:pStyle w:val="TableParagraph"/>
              <w:spacing w:line="198" w:lineRule="exact" w:before="0"/>
              <w:ind w:right="7"/>
              <w:jc w:val="right"/>
              <w:rPr>
                <w:sz w:val="18"/>
              </w:rPr>
            </w:pPr>
            <w:r>
              <w:rPr>
                <w:spacing w:val="-5"/>
                <w:sz w:val="18"/>
              </w:rPr>
              <w:t>776</w:t>
            </w:r>
          </w:p>
        </w:tc>
      </w:tr>
      <w:tr>
        <w:trPr>
          <w:trHeight w:val="255" w:hRule="atLeast"/>
        </w:trPr>
        <w:tc>
          <w:tcPr>
            <w:tcW w:w="5208" w:type="dxa"/>
          </w:tcPr>
          <w:p>
            <w:pPr>
              <w:pStyle w:val="TableParagraph"/>
              <w:spacing w:line="185" w:lineRule="exact" w:before="0"/>
              <w:ind w:left="17"/>
              <w:rPr>
                <w:b/>
                <w:sz w:val="18"/>
              </w:rPr>
            </w:pPr>
            <w:r>
              <w:rPr>
                <w:b/>
                <w:sz w:val="18"/>
              </w:rPr>
              <w:t>Regional</w:t>
            </w:r>
            <w:r>
              <w:rPr>
                <w:b/>
                <w:spacing w:val="-1"/>
                <w:sz w:val="18"/>
              </w:rPr>
              <w:t> </w:t>
            </w:r>
            <w:r>
              <w:rPr>
                <w:b/>
                <w:spacing w:val="-2"/>
                <w:sz w:val="18"/>
              </w:rPr>
              <w:t>Operations:</w:t>
            </w:r>
          </w:p>
        </w:tc>
        <w:tc>
          <w:tcPr>
            <w:tcW w:w="930" w:type="dxa"/>
            <w:tcBorders>
              <w:top w:val="single" w:sz="6" w:space="0" w:color="000000"/>
            </w:tcBorders>
          </w:tcPr>
          <w:p>
            <w:pPr>
              <w:pStyle w:val="TableParagraph"/>
              <w:spacing w:before="0"/>
              <w:rPr>
                <w:sz w:val="16"/>
              </w:rPr>
            </w:pPr>
          </w:p>
        </w:tc>
        <w:tc>
          <w:tcPr>
            <w:tcW w:w="749" w:type="dxa"/>
            <w:tcBorders>
              <w:top w:val="single" w:sz="6" w:space="0" w:color="000000"/>
            </w:tcBorders>
          </w:tcPr>
          <w:p>
            <w:pPr>
              <w:pStyle w:val="TableParagraph"/>
              <w:spacing w:before="0"/>
              <w:rPr>
                <w:sz w:val="16"/>
              </w:rPr>
            </w:pPr>
          </w:p>
        </w:tc>
        <w:tc>
          <w:tcPr>
            <w:tcW w:w="1666" w:type="dxa"/>
            <w:tcBorders>
              <w:top w:val="single" w:sz="6" w:space="0" w:color="000000"/>
            </w:tcBorders>
          </w:tcPr>
          <w:p>
            <w:pPr>
              <w:pStyle w:val="TableParagraph"/>
              <w:spacing w:before="0"/>
              <w:rPr>
                <w:sz w:val="16"/>
              </w:rPr>
            </w:pPr>
          </w:p>
        </w:tc>
        <w:tc>
          <w:tcPr>
            <w:tcW w:w="887" w:type="dxa"/>
            <w:tcBorders>
              <w:top w:val="single" w:sz="6" w:space="0" w:color="000000"/>
            </w:tcBorders>
          </w:tcPr>
          <w:p>
            <w:pPr>
              <w:pStyle w:val="TableParagraph"/>
              <w:spacing w:before="0"/>
              <w:rPr>
                <w:sz w:val="16"/>
              </w:rPr>
            </w:pPr>
          </w:p>
        </w:tc>
        <w:tc>
          <w:tcPr>
            <w:tcW w:w="527" w:type="dxa"/>
            <w:tcBorders>
              <w:top w:val="single" w:sz="6" w:space="0" w:color="000000"/>
            </w:tcBorders>
          </w:tcPr>
          <w:p>
            <w:pPr>
              <w:pStyle w:val="TableParagraph"/>
              <w:spacing w:before="0"/>
              <w:rPr>
                <w:sz w:val="16"/>
              </w:rPr>
            </w:pPr>
          </w:p>
        </w:tc>
        <w:tc>
          <w:tcPr>
            <w:tcW w:w="1540" w:type="dxa"/>
            <w:tcBorders>
              <w:top w:val="single" w:sz="6" w:space="0" w:color="000000"/>
            </w:tcBorders>
          </w:tcPr>
          <w:p>
            <w:pPr>
              <w:pStyle w:val="TableParagraph"/>
              <w:spacing w:before="0"/>
              <w:rPr>
                <w:sz w:val="16"/>
              </w:rPr>
            </w:pPr>
          </w:p>
        </w:tc>
      </w:tr>
      <w:tr>
        <w:trPr>
          <w:trHeight w:val="269" w:hRule="atLeast"/>
        </w:trPr>
        <w:tc>
          <w:tcPr>
            <w:tcW w:w="5208" w:type="dxa"/>
            <w:shd w:val="clear" w:color="auto" w:fill="CCEDFF"/>
          </w:tcPr>
          <w:p>
            <w:pPr>
              <w:pStyle w:val="TableParagraph"/>
              <w:spacing w:line="213" w:lineRule="exact" w:before="0"/>
              <w:ind w:left="217"/>
              <w:rPr>
                <w:sz w:val="14"/>
              </w:rPr>
            </w:pPr>
            <w:r>
              <w:rPr>
                <w:sz w:val="18"/>
              </w:rPr>
              <w:t>MGM</w:t>
            </w:r>
            <w:r>
              <w:rPr>
                <w:spacing w:val="-1"/>
                <w:sz w:val="18"/>
              </w:rPr>
              <w:t> </w:t>
            </w:r>
            <w:r>
              <w:rPr>
                <w:sz w:val="18"/>
              </w:rPr>
              <w:t>Grand</w:t>
            </w:r>
            <w:r>
              <w:rPr>
                <w:spacing w:val="-1"/>
                <w:sz w:val="18"/>
              </w:rPr>
              <w:t> </w:t>
            </w:r>
            <w:r>
              <w:rPr>
                <w:sz w:val="18"/>
              </w:rPr>
              <w:t>Detroit</w:t>
            </w:r>
            <w:r>
              <w:rPr>
                <w:spacing w:val="-1"/>
                <w:sz w:val="18"/>
              </w:rPr>
              <w:t> </w:t>
            </w:r>
            <w:r>
              <w:rPr>
                <w:sz w:val="18"/>
              </w:rPr>
              <w:t>(Detroit,</w:t>
            </w:r>
            <w:r>
              <w:rPr>
                <w:spacing w:val="-1"/>
                <w:sz w:val="18"/>
              </w:rPr>
              <w:t> </w:t>
            </w:r>
            <w:r>
              <w:rPr>
                <w:sz w:val="18"/>
              </w:rPr>
              <w:t>Michigan) </w:t>
            </w:r>
            <w:r>
              <w:rPr>
                <w:spacing w:val="-5"/>
                <w:position w:val="8"/>
                <w:sz w:val="14"/>
              </w:rPr>
              <w:t>(8)</w:t>
            </w:r>
          </w:p>
        </w:tc>
        <w:tc>
          <w:tcPr>
            <w:tcW w:w="930" w:type="dxa"/>
            <w:shd w:val="clear" w:color="auto" w:fill="CCEDFF"/>
          </w:tcPr>
          <w:p>
            <w:pPr>
              <w:pStyle w:val="TableParagraph"/>
              <w:spacing w:before="0"/>
              <w:rPr>
                <w:sz w:val="16"/>
              </w:rPr>
            </w:pPr>
          </w:p>
        </w:tc>
        <w:tc>
          <w:tcPr>
            <w:tcW w:w="749" w:type="dxa"/>
            <w:shd w:val="clear" w:color="auto" w:fill="CCEDFF"/>
          </w:tcPr>
          <w:p>
            <w:pPr>
              <w:pStyle w:val="TableParagraph"/>
              <w:spacing w:before="5"/>
              <w:ind w:right="242"/>
              <w:jc w:val="right"/>
              <w:rPr>
                <w:sz w:val="18"/>
              </w:rPr>
            </w:pPr>
            <w:r>
              <w:rPr>
                <w:spacing w:val="-5"/>
                <w:sz w:val="18"/>
              </w:rPr>
              <w:t>400</w:t>
            </w:r>
          </w:p>
        </w:tc>
        <w:tc>
          <w:tcPr>
            <w:tcW w:w="1666" w:type="dxa"/>
            <w:shd w:val="clear" w:color="auto" w:fill="CCEDFF"/>
          </w:tcPr>
          <w:p>
            <w:pPr>
              <w:pStyle w:val="TableParagraph"/>
              <w:spacing w:before="5"/>
              <w:ind w:right="284"/>
              <w:jc w:val="right"/>
              <w:rPr>
                <w:sz w:val="18"/>
              </w:rPr>
            </w:pPr>
            <w:r>
              <w:rPr>
                <w:spacing w:val="-2"/>
                <w:sz w:val="18"/>
              </w:rPr>
              <w:t>147,000</w:t>
            </w:r>
          </w:p>
        </w:tc>
        <w:tc>
          <w:tcPr>
            <w:tcW w:w="887" w:type="dxa"/>
            <w:shd w:val="clear" w:color="auto" w:fill="CCEDFF"/>
          </w:tcPr>
          <w:p>
            <w:pPr>
              <w:pStyle w:val="TableParagraph"/>
              <w:spacing w:before="0"/>
              <w:rPr>
                <w:sz w:val="16"/>
              </w:rPr>
            </w:pPr>
          </w:p>
        </w:tc>
        <w:tc>
          <w:tcPr>
            <w:tcW w:w="527" w:type="dxa"/>
            <w:shd w:val="clear" w:color="auto" w:fill="CCEDFF"/>
          </w:tcPr>
          <w:p>
            <w:pPr>
              <w:pStyle w:val="TableParagraph"/>
              <w:spacing w:before="5"/>
              <w:ind w:right="95"/>
              <w:jc w:val="right"/>
              <w:rPr>
                <w:sz w:val="18"/>
              </w:rPr>
            </w:pPr>
            <w:r>
              <w:rPr>
                <w:spacing w:val="-2"/>
                <w:sz w:val="18"/>
              </w:rPr>
              <w:t>2,692</w:t>
            </w:r>
          </w:p>
        </w:tc>
        <w:tc>
          <w:tcPr>
            <w:tcW w:w="1540" w:type="dxa"/>
            <w:shd w:val="clear" w:color="auto" w:fill="CCEDFF"/>
          </w:tcPr>
          <w:p>
            <w:pPr>
              <w:pStyle w:val="TableParagraph"/>
              <w:spacing w:before="5"/>
              <w:ind w:right="7"/>
              <w:jc w:val="right"/>
              <w:rPr>
                <w:sz w:val="18"/>
              </w:rPr>
            </w:pPr>
            <w:r>
              <w:rPr>
                <w:spacing w:val="-5"/>
                <w:sz w:val="18"/>
              </w:rPr>
              <w:t>151</w:t>
            </w:r>
          </w:p>
        </w:tc>
      </w:tr>
      <w:tr>
        <w:trPr>
          <w:trHeight w:val="269" w:hRule="atLeast"/>
        </w:trPr>
        <w:tc>
          <w:tcPr>
            <w:tcW w:w="5208" w:type="dxa"/>
          </w:tcPr>
          <w:p>
            <w:pPr>
              <w:pStyle w:val="TableParagraph"/>
              <w:spacing w:line="199" w:lineRule="exact" w:before="0"/>
              <w:ind w:left="217"/>
              <w:rPr>
                <w:sz w:val="18"/>
              </w:rPr>
            </w:pPr>
            <w:r>
              <w:rPr>
                <w:sz w:val="18"/>
              </w:rPr>
              <w:t>Beau</w:t>
            </w:r>
            <w:r>
              <w:rPr>
                <w:spacing w:val="-3"/>
                <w:sz w:val="18"/>
              </w:rPr>
              <w:t> </w:t>
            </w:r>
            <w:r>
              <w:rPr>
                <w:sz w:val="18"/>
              </w:rPr>
              <w:t>Rivage</w:t>
            </w:r>
            <w:r>
              <w:rPr>
                <w:spacing w:val="-1"/>
                <w:sz w:val="18"/>
              </w:rPr>
              <w:t> </w:t>
            </w:r>
            <w:r>
              <w:rPr>
                <w:sz w:val="18"/>
              </w:rPr>
              <w:t>(Biloxi,</w:t>
            </w:r>
            <w:r>
              <w:rPr>
                <w:spacing w:val="-1"/>
                <w:sz w:val="18"/>
              </w:rPr>
              <w:t> </w:t>
            </w:r>
            <w:r>
              <w:rPr>
                <w:spacing w:val="-2"/>
                <w:sz w:val="18"/>
              </w:rPr>
              <w:t>Mississippi)</w:t>
            </w:r>
          </w:p>
        </w:tc>
        <w:tc>
          <w:tcPr>
            <w:tcW w:w="930" w:type="dxa"/>
          </w:tcPr>
          <w:p>
            <w:pPr>
              <w:pStyle w:val="TableParagraph"/>
              <w:spacing w:before="0"/>
              <w:rPr>
                <w:sz w:val="16"/>
              </w:rPr>
            </w:pPr>
          </w:p>
        </w:tc>
        <w:tc>
          <w:tcPr>
            <w:tcW w:w="749" w:type="dxa"/>
          </w:tcPr>
          <w:p>
            <w:pPr>
              <w:pStyle w:val="TableParagraph"/>
              <w:spacing w:line="199" w:lineRule="exact" w:before="0"/>
              <w:ind w:right="242"/>
              <w:jc w:val="right"/>
              <w:rPr>
                <w:sz w:val="18"/>
              </w:rPr>
            </w:pPr>
            <w:r>
              <w:rPr>
                <w:spacing w:val="-2"/>
                <w:sz w:val="18"/>
              </w:rPr>
              <w:t>1,739</w:t>
            </w:r>
          </w:p>
        </w:tc>
        <w:tc>
          <w:tcPr>
            <w:tcW w:w="1666" w:type="dxa"/>
          </w:tcPr>
          <w:p>
            <w:pPr>
              <w:pStyle w:val="TableParagraph"/>
              <w:spacing w:line="199" w:lineRule="exact" w:before="0"/>
              <w:ind w:right="284"/>
              <w:jc w:val="right"/>
              <w:rPr>
                <w:sz w:val="18"/>
              </w:rPr>
            </w:pPr>
            <w:r>
              <w:rPr>
                <w:spacing w:val="-2"/>
                <w:sz w:val="18"/>
              </w:rPr>
              <w:t>90,000</w:t>
            </w:r>
          </w:p>
        </w:tc>
        <w:tc>
          <w:tcPr>
            <w:tcW w:w="887" w:type="dxa"/>
          </w:tcPr>
          <w:p>
            <w:pPr>
              <w:pStyle w:val="TableParagraph"/>
              <w:spacing w:before="0"/>
              <w:rPr>
                <w:sz w:val="16"/>
              </w:rPr>
            </w:pPr>
          </w:p>
        </w:tc>
        <w:tc>
          <w:tcPr>
            <w:tcW w:w="527" w:type="dxa"/>
          </w:tcPr>
          <w:p>
            <w:pPr>
              <w:pStyle w:val="TableParagraph"/>
              <w:spacing w:line="199" w:lineRule="exact" w:before="0"/>
              <w:ind w:right="95"/>
              <w:jc w:val="right"/>
              <w:rPr>
                <w:sz w:val="18"/>
              </w:rPr>
            </w:pPr>
            <w:r>
              <w:rPr>
                <w:spacing w:val="-2"/>
                <w:sz w:val="18"/>
              </w:rPr>
              <w:t>1,455</w:t>
            </w:r>
          </w:p>
        </w:tc>
        <w:tc>
          <w:tcPr>
            <w:tcW w:w="1540" w:type="dxa"/>
          </w:tcPr>
          <w:p>
            <w:pPr>
              <w:pStyle w:val="TableParagraph"/>
              <w:spacing w:line="199" w:lineRule="exact" w:before="0"/>
              <w:ind w:right="7"/>
              <w:jc w:val="right"/>
              <w:rPr>
                <w:sz w:val="18"/>
              </w:rPr>
            </w:pPr>
            <w:r>
              <w:rPr>
                <w:spacing w:val="-5"/>
                <w:sz w:val="18"/>
              </w:rPr>
              <w:t>78</w:t>
            </w:r>
          </w:p>
        </w:tc>
      </w:tr>
      <w:tr>
        <w:trPr>
          <w:trHeight w:val="256" w:hRule="atLeast"/>
        </w:trPr>
        <w:tc>
          <w:tcPr>
            <w:tcW w:w="5208" w:type="dxa"/>
            <w:shd w:val="clear" w:color="auto" w:fill="CCEDFF"/>
          </w:tcPr>
          <w:p>
            <w:pPr>
              <w:pStyle w:val="TableParagraph"/>
              <w:spacing w:line="199" w:lineRule="exact" w:before="0"/>
              <w:ind w:left="217"/>
              <w:rPr>
                <w:sz w:val="18"/>
              </w:rPr>
            </w:pPr>
            <w:r>
              <w:rPr>
                <w:sz w:val="18"/>
              </w:rPr>
              <w:t>Gold</w:t>
            </w:r>
            <w:r>
              <w:rPr>
                <w:spacing w:val="-5"/>
                <w:sz w:val="18"/>
              </w:rPr>
              <w:t> </w:t>
            </w:r>
            <w:r>
              <w:rPr>
                <w:sz w:val="18"/>
              </w:rPr>
              <w:t>Strike</w:t>
            </w:r>
            <w:r>
              <w:rPr>
                <w:spacing w:val="-7"/>
                <w:sz w:val="18"/>
              </w:rPr>
              <w:t> </w:t>
            </w:r>
            <w:r>
              <w:rPr>
                <w:sz w:val="18"/>
              </w:rPr>
              <w:t>Tunica</w:t>
            </w:r>
            <w:r>
              <w:rPr>
                <w:spacing w:val="-5"/>
                <w:sz w:val="18"/>
              </w:rPr>
              <w:t> </w:t>
            </w:r>
            <w:r>
              <w:rPr>
                <w:sz w:val="18"/>
              </w:rPr>
              <w:t>(Tunica,</w:t>
            </w:r>
            <w:r>
              <w:rPr>
                <w:spacing w:val="-4"/>
                <w:sz w:val="18"/>
              </w:rPr>
              <w:t> </w:t>
            </w:r>
            <w:r>
              <w:rPr>
                <w:spacing w:val="-2"/>
                <w:sz w:val="18"/>
              </w:rPr>
              <w:t>Mississippi)</w:t>
            </w:r>
          </w:p>
        </w:tc>
        <w:tc>
          <w:tcPr>
            <w:tcW w:w="930" w:type="dxa"/>
            <w:shd w:val="clear" w:color="auto" w:fill="CCEDFF"/>
          </w:tcPr>
          <w:p>
            <w:pPr>
              <w:pStyle w:val="TableParagraph"/>
              <w:spacing w:before="0"/>
              <w:rPr>
                <w:sz w:val="16"/>
              </w:rPr>
            </w:pPr>
          </w:p>
        </w:tc>
        <w:tc>
          <w:tcPr>
            <w:tcW w:w="749" w:type="dxa"/>
            <w:shd w:val="clear" w:color="auto" w:fill="CCEDFF"/>
          </w:tcPr>
          <w:p>
            <w:pPr>
              <w:pStyle w:val="TableParagraph"/>
              <w:spacing w:line="199" w:lineRule="exact" w:before="0"/>
              <w:ind w:right="242"/>
              <w:jc w:val="right"/>
              <w:rPr>
                <w:sz w:val="18"/>
              </w:rPr>
            </w:pPr>
            <w:r>
              <w:rPr>
                <w:spacing w:val="-2"/>
                <w:sz w:val="18"/>
              </w:rPr>
              <w:t>1,109</w:t>
            </w:r>
          </w:p>
        </w:tc>
        <w:tc>
          <w:tcPr>
            <w:tcW w:w="1666" w:type="dxa"/>
            <w:shd w:val="clear" w:color="auto" w:fill="CCEDFF"/>
          </w:tcPr>
          <w:p>
            <w:pPr>
              <w:pStyle w:val="TableParagraph"/>
              <w:spacing w:line="199" w:lineRule="exact" w:before="0"/>
              <w:ind w:right="284"/>
              <w:jc w:val="right"/>
              <w:rPr>
                <w:sz w:val="18"/>
              </w:rPr>
            </w:pPr>
            <w:r>
              <w:rPr>
                <w:spacing w:val="-2"/>
                <w:sz w:val="18"/>
              </w:rPr>
              <w:t>59,000</w:t>
            </w:r>
          </w:p>
        </w:tc>
        <w:tc>
          <w:tcPr>
            <w:tcW w:w="887" w:type="dxa"/>
            <w:shd w:val="clear" w:color="auto" w:fill="CCEDFF"/>
          </w:tcPr>
          <w:p>
            <w:pPr>
              <w:pStyle w:val="TableParagraph"/>
              <w:spacing w:before="0"/>
              <w:rPr>
                <w:sz w:val="16"/>
              </w:rPr>
            </w:pPr>
          </w:p>
        </w:tc>
        <w:tc>
          <w:tcPr>
            <w:tcW w:w="527" w:type="dxa"/>
            <w:shd w:val="clear" w:color="auto" w:fill="CCEDFF"/>
          </w:tcPr>
          <w:p>
            <w:pPr>
              <w:pStyle w:val="TableParagraph"/>
              <w:spacing w:line="199" w:lineRule="exact" w:before="0"/>
              <w:ind w:right="95"/>
              <w:jc w:val="right"/>
              <w:rPr>
                <w:sz w:val="18"/>
              </w:rPr>
            </w:pPr>
            <w:r>
              <w:rPr>
                <w:spacing w:val="-2"/>
                <w:sz w:val="18"/>
              </w:rPr>
              <w:t>1,149</w:t>
            </w:r>
          </w:p>
        </w:tc>
        <w:tc>
          <w:tcPr>
            <w:tcW w:w="1540" w:type="dxa"/>
            <w:shd w:val="clear" w:color="auto" w:fill="CCEDFF"/>
          </w:tcPr>
          <w:p>
            <w:pPr>
              <w:pStyle w:val="TableParagraph"/>
              <w:spacing w:line="199" w:lineRule="exact" w:before="0"/>
              <w:ind w:right="7"/>
              <w:jc w:val="right"/>
              <w:rPr>
                <w:sz w:val="18"/>
              </w:rPr>
            </w:pPr>
            <w:r>
              <w:rPr>
                <w:spacing w:val="-5"/>
                <w:sz w:val="18"/>
              </w:rPr>
              <w:t>61</w:t>
            </w:r>
          </w:p>
        </w:tc>
      </w:tr>
      <w:tr>
        <w:trPr>
          <w:trHeight w:val="256" w:hRule="atLeast"/>
        </w:trPr>
        <w:tc>
          <w:tcPr>
            <w:tcW w:w="5208" w:type="dxa"/>
          </w:tcPr>
          <w:p>
            <w:pPr>
              <w:pStyle w:val="TableParagraph"/>
              <w:spacing w:line="199" w:lineRule="exact" w:before="0"/>
              <w:ind w:left="217"/>
              <w:rPr>
                <w:sz w:val="18"/>
              </w:rPr>
            </w:pPr>
            <w:r>
              <w:rPr>
                <w:sz w:val="18"/>
              </w:rPr>
              <w:t>Borgata</w:t>
            </w:r>
            <w:r>
              <w:rPr>
                <w:spacing w:val="-5"/>
                <w:sz w:val="18"/>
              </w:rPr>
              <w:t> </w:t>
            </w:r>
            <w:r>
              <w:rPr>
                <w:sz w:val="18"/>
              </w:rPr>
              <w:t>(Atlantic</w:t>
            </w:r>
            <w:r>
              <w:rPr>
                <w:spacing w:val="-5"/>
                <w:sz w:val="18"/>
              </w:rPr>
              <w:t> </w:t>
            </w:r>
            <w:r>
              <w:rPr>
                <w:sz w:val="18"/>
              </w:rPr>
              <w:t>City,</w:t>
            </w:r>
            <w:r>
              <w:rPr>
                <w:spacing w:val="-5"/>
                <w:sz w:val="18"/>
              </w:rPr>
              <w:t> </w:t>
            </w:r>
            <w:r>
              <w:rPr>
                <w:sz w:val="18"/>
              </w:rPr>
              <w:t>New</w:t>
            </w:r>
            <w:r>
              <w:rPr>
                <w:spacing w:val="-5"/>
                <w:sz w:val="18"/>
              </w:rPr>
              <w:t> </w:t>
            </w:r>
            <w:r>
              <w:rPr>
                <w:spacing w:val="-2"/>
                <w:sz w:val="18"/>
              </w:rPr>
              <w:t>Jersey)</w:t>
            </w:r>
          </w:p>
        </w:tc>
        <w:tc>
          <w:tcPr>
            <w:tcW w:w="930" w:type="dxa"/>
          </w:tcPr>
          <w:p>
            <w:pPr>
              <w:pStyle w:val="TableParagraph"/>
              <w:spacing w:before="0"/>
              <w:rPr>
                <w:sz w:val="16"/>
              </w:rPr>
            </w:pPr>
          </w:p>
        </w:tc>
        <w:tc>
          <w:tcPr>
            <w:tcW w:w="749" w:type="dxa"/>
          </w:tcPr>
          <w:p>
            <w:pPr>
              <w:pStyle w:val="TableParagraph"/>
              <w:spacing w:line="199" w:lineRule="exact" w:before="0"/>
              <w:ind w:right="242"/>
              <w:jc w:val="right"/>
              <w:rPr>
                <w:sz w:val="18"/>
              </w:rPr>
            </w:pPr>
            <w:r>
              <w:rPr>
                <w:spacing w:val="-2"/>
                <w:sz w:val="18"/>
              </w:rPr>
              <w:t>2,767</w:t>
            </w:r>
          </w:p>
        </w:tc>
        <w:tc>
          <w:tcPr>
            <w:tcW w:w="1666" w:type="dxa"/>
          </w:tcPr>
          <w:p>
            <w:pPr>
              <w:pStyle w:val="TableParagraph"/>
              <w:spacing w:line="199" w:lineRule="exact" w:before="0"/>
              <w:ind w:right="284"/>
              <w:jc w:val="right"/>
              <w:rPr>
                <w:sz w:val="18"/>
              </w:rPr>
            </w:pPr>
            <w:r>
              <w:rPr>
                <w:spacing w:val="-2"/>
                <w:sz w:val="18"/>
              </w:rPr>
              <w:t>218,000</w:t>
            </w:r>
          </w:p>
        </w:tc>
        <w:tc>
          <w:tcPr>
            <w:tcW w:w="887" w:type="dxa"/>
          </w:tcPr>
          <w:p>
            <w:pPr>
              <w:pStyle w:val="TableParagraph"/>
              <w:spacing w:before="0"/>
              <w:rPr>
                <w:sz w:val="16"/>
              </w:rPr>
            </w:pPr>
          </w:p>
        </w:tc>
        <w:tc>
          <w:tcPr>
            <w:tcW w:w="527" w:type="dxa"/>
          </w:tcPr>
          <w:p>
            <w:pPr>
              <w:pStyle w:val="TableParagraph"/>
              <w:spacing w:line="199" w:lineRule="exact" w:before="0"/>
              <w:ind w:right="95"/>
              <w:jc w:val="right"/>
              <w:rPr>
                <w:sz w:val="18"/>
              </w:rPr>
            </w:pPr>
            <w:r>
              <w:rPr>
                <w:spacing w:val="-2"/>
                <w:sz w:val="18"/>
              </w:rPr>
              <w:t>2,493</w:t>
            </w:r>
          </w:p>
        </w:tc>
        <w:tc>
          <w:tcPr>
            <w:tcW w:w="1540" w:type="dxa"/>
          </w:tcPr>
          <w:p>
            <w:pPr>
              <w:pStyle w:val="TableParagraph"/>
              <w:spacing w:line="199" w:lineRule="exact" w:before="0"/>
              <w:ind w:right="7"/>
              <w:jc w:val="right"/>
              <w:rPr>
                <w:sz w:val="18"/>
              </w:rPr>
            </w:pPr>
            <w:r>
              <w:rPr>
                <w:spacing w:val="-5"/>
                <w:sz w:val="18"/>
              </w:rPr>
              <w:t>163</w:t>
            </w:r>
          </w:p>
        </w:tc>
      </w:tr>
      <w:tr>
        <w:trPr>
          <w:trHeight w:val="269" w:hRule="atLeast"/>
        </w:trPr>
        <w:tc>
          <w:tcPr>
            <w:tcW w:w="5208" w:type="dxa"/>
            <w:shd w:val="clear" w:color="auto" w:fill="CCEDFF"/>
          </w:tcPr>
          <w:p>
            <w:pPr>
              <w:pStyle w:val="TableParagraph"/>
              <w:spacing w:line="213" w:lineRule="exact" w:before="0"/>
              <w:ind w:left="217"/>
              <w:rPr>
                <w:sz w:val="14"/>
              </w:rPr>
            </w:pPr>
            <w:r>
              <w:rPr>
                <w:sz w:val="18"/>
              </w:rPr>
              <w:t>MGM</w:t>
            </w:r>
            <w:r>
              <w:rPr>
                <w:spacing w:val="-4"/>
                <w:sz w:val="18"/>
              </w:rPr>
              <w:t> </w:t>
            </w:r>
            <w:r>
              <w:rPr>
                <w:sz w:val="18"/>
              </w:rPr>
              <w:t>National</w:t>
            </w:r>
            <w:r>
              <w:rPr>
                <w:spacing w:val="-3"/>
                <w:sz w:val="18"/>
              </w:rPr>
              <w:t> </w:t>
            </w:r>
            <w:r>
              <w:rPr>
                <w:sz w:val="18"/>
              </w:rPr>
              <w:t>Harbor</w:t>
            </w:r>
            <w:r>
              <w:rPr>
                <w:spacing w:val="-3"/>
                <w:sz w:val="18"/>
              </w:rPr>
              <w:t> </w:t>
            </w:r>
            <w:r>
              <w:rPr>
                <w:sz w:val="18"/>
              </w:rPr>
              <w:t>(Prince</w:t>
            </w:r>
            <w:r>
              <w:rPr>
                <w:spacing w:val="-4"/>
                <w:sz w:val="18"/>
              </w:rPr>
              <w:t> </w:t>
            </w:r>
            <w:r>
              <w:rPr>
                <w:sz w:val="18"/>
              </w:rPr>
              <w:t>George's</w:t>
            </w:r>
            <w:r>
              <w:rPr>
                <w:spacing w:val="-3"/>
                <w:sz w:val="18"/>
              </w:rPr>
              <w:t> </w:t>
            </w:r>
            <w:r>
              <w:rPr>
                <w:sz w:val="18"/>
              </w:rPr>
              <w:t>County,</w:t>
            </w:r>
            <w:r>
              <w:rPr>
                <w:spacing w:val="-3"/>
                <w:sz w:val="18"/>
              </w:rPr>
              <w:t> </w:t>
            </w:r>
            <w:r>
              <w:rPr>
                <w:sz w:val="18"/>
              </w:rPr>
              <w:t>Maryland)</w:t>
            </w:r>
            <w:r>
              <w:rPr>
                <w:spacing w:val="-2"/>
                <w:sz w:val="18"/>
              </w:rPr>
              <w:t> </w:t>
            </w:r>
            <w:r>
              <w:rPr>
                <w:spacing w:val="-5"/>
                <w:position w:val="8"/>
                <w:sz w:val="14"/>
              </w:rPr>
              <w:t>(9)</w:t>
            </w:r>
          </w:p>
        </w:tc>
        <w:tc>
          <w:tcPr>
            <w:tcW w:w="930" w:type="dxa"/>
            <w:shd w:val="clear" w:color="auto" w:fill="CCEDFF"/>
          </w:tcPr>
          <w:p>
            <w:pPr>
              <w:pStyle w:val="TableParagraph"/>
              <w:spacing w:before="0"/>
              <w:rPr>
                <w:sz w:val="16"/>
              </w:rPr>
            </w:pPr>
          </w:p>
        </w:tc>
        <w:tc>
          <w:tcPr>
            <w:tcW w:w="749" w:type="dxa"/>
            <w:shd w:val="clear" w:color="auto" w:fill="CCEDFF"/>
          </w:tcPr>
          <w:p>
            <w:pPr>
              <w:pStyle w:val="TableParagraph"/>
              <w:spacing w:before="5"/>
              <w:ind w:right="242"/>
              <w:jc w:val="right"/>
              <w:rPr>
                <w:sz w:val="18"/>
              </w:rPr>
            </w:pPr>
            <w:r>
              <w:rPr>
                <w:spacing w:val="-5"/>
                <w:sz w:val="18"/>
              </w:rPr>
              <w:t>308</w:t>
            </w:r>
          </w:p>
        </w:tc>
        <w:tc>
          <w:tcPr>
            <w:tcW w:w="1666" w:type="dxa"/>
            <w:shd w:val="clear" w:color="auto" w:fill="CCEDFF"/>
          </w:tcPr>
          <w:p>
            <w:pPr>
              <w:pStyle w:val="TableParagraph"/>
              <w:spacing w:before="5"/>
              <w:ind w:right="284"/>
              <w:jc w:val="right"/>
              <w:rPr>
                <w:sz w:val="18"/>
              </w:rPr>
            </w:pPr>
            <w:r>
              <w:rPr>
                <w:spacing w:val="-2"/>
                <w:sz w:val="18"/>
              </w:rPr>
              <w:t>154,000</w:t>
            </w:r>
          </w:p>
        </w:tc>
        <w:tc>
          <w:tcPr>
            <w:tcW w:w="887" w:type="dxa"/>
            <w:shd w:val="clear" w:color="auto" w:fill="CCEDFF"/>
          </w:tcPr>
          <w:p>
            <w:pPr>
              <w:pStyle w:val="TableParagraph"/>
              <w:spacing w:before="0"/>
              <w:rPr>
                <w:sz w:val="16"/>
              </w:rPr>
            </w:pPr>
          </w:p>
        </w:tc>
        <w:tc>
          <w:tcPr>
            <w:tcW w:w="527" w:type="dxa"/>
            <w:shd w:val="clear" w:color="auto" w:fill="CCEDFF"/>
          </w:tcPr>
          <w:p>
            <w:pPr>
              <w:pStyle w:val="TableParagraph"/>
              <w:spacing w:before="5"/>
              <w:ind w:right="95"/>
              <w:jc w:val="right"/>
              <w:rPr>
                <w:sz w:val="18"/>
              </w:rPr>
            </w:pPr>
            <w:r>
              <w:rPr>
                <w:spacing w:val="-2"/>
                <w:sz w:val="18"/>
              </w:rPr>
              <w:t>2,086</w:t>
            </w:r>
          </w:p>
        </w:tc>
        <w:tc>
          <w:tcPr>
            <w:tcW w:w="1540" w:type="dxa"/>
            <w:shd w:val="clear" w:color="auto" w:fill="CCEDFF"/>
          </w:tcPr>
          <w:p>
            <w:pPr>
              <w:pStyle w:val="TableParagraph"/>
              <w:spacing w:before="5"/>
              <w:ind w:right="7"/>
              <w:jc w:val="right"/>
              <w:rPr>
                <w:sz w:val="18"/>
              </w:rPr>
            </w:pPr>
            <w:r>
              <w:rPr>
                <w:spacing w:val="-5"/>
                <w:sz w:val="18"/>
              </w:rPr>
              <w:t>157</w:t>
            </w:r>
          </w:p>
        </w:tc>
      </w:tr>
      <w:tr>
        <w:trPr>
          <w:trHeight w:val="283" w:hRule="atLeast"/>
        </w:trPr>
        <w:tc>
          <w:tcPr>
            <w:tcW w:w="5208" w:type="dxa"/>
          </w:tcPr>
          <w:p>
            <w:pPr>
              <w:pStyle w:val="TableParagraph"/>
              <w:spacing w:line="213" w:lineRule="exact" w:before="0"/>
              <w:ind w:left="217"/>
              <w:rPr>
                <w:sz w:val="14"/>
              </w:rPr>
            </w:pPr>
            <w:r>
              <w:rPr>
                <w:sz w:val="18"/>
              </w:rPr>
              <w:t>MGM</w:t>
            </w:r>
            <w:r>
              <w:rPr>
                <w:spacing w:val="-1"/>
                <w:sz w:val="18"/>
              </w:rPr>
              <w:t> </w:t>
            </w:r>
            <w:r>
              <w:rPr>
                <w:sz w:val="18"/>
              </w:rPr>
              <w:t>Springfield</w:t>
            </w:r>
            <w:r>
              <w:rPr>
                <w:spacing w:val="-1"/>
                <w:sz w:val="18"/>
              </w:rPr>
              <w:t> </w:t>
            </w:r>
            <w:r>
              <w:rPr>
                <w:sz w:val="18"/>
              </w:rPr>
              <w:t>(Springfield,</w:t>
            </w:r>
            <w:r>
              <w:rPr>
                <w:spacing w:val="-1"/>
                <w:sz w:val="18"/>
              </w:rPr>
              <w:t> </w:t>
            </w:r>
            <w:r>
              <w:rPr>
                <w:spacing w:val="-2"/>
                <w:sz w:val="18"/>
              </w:rPr>
              <w:t>Massachusetts)</w:t>
            </w:r>
            <w:r>
              <w:rPr>
                <w:spacing w:val="-2"/>
                <w:position w:val="7"/>
                <w:sz w:val="14"/>
              </w:rPr>
              <w:t>(10)</w:t>
            </w:r>
          </w:p>
        </w:tc>
        <w:tc>
          <w:tcPr>
            <w:tcW w:w="930" w:type="dxa"/>
          </w:tcPr>
          <w:p>
            <w:pPr>
              <w:pStyle w:val="TableParagraph"/>
              <w:spacing w:before="0"/>
              <w:rPr>
                <w:sz w:val="16"/>
              </w:rPr>
            </w:pPr>
          </w:p>
        </w:tc>
        <w:tc>
          <w:tcPr>
            <w:tcW w:w="749" w:type="dxa"/>
          </w:tcPr>
          <w:p>
            <w:pPr>
              <w:pStyle w:val="TableParagraph"/>
              <w:spacing w:before="5"/>
              <w:ind w:right="242"/>
              <w:jc w:val="right"/>
              <w:rPr>
                <w:sz w:val="18"/>
              </w:rPr>
            </w:pPr>
            <w:r>
              <w:rPr>
                <w:spacing w:val="-5"/>
                <w:sz w:val="18"/>
              </w:rPr>
              <w:t>240</w:t>
            </w:r>
          </w:p>
        </w:tc>
        <w:tc>
          <w:tcPr>
            <w:tcW w:w="1666" w:type="dxa"/>
          </w:tcPr>
          <w:p>
            <w:pPr>
              <w:pStyle w:val="TableParagraph"/>
              <w:spacing w:before="5"/>
              <w:ind w:right="284"/>
              <w:jc w:val="right"/>
              <w:rPr>
                <w:sz w:val="18"/>
              </w:rPr>
            </w:pPr>
            <w:r>
              <w:rPr>
                <w:spacing w:val="-2"/>
                <w:sz w:val="18"/>
              </w:rPr>
              <w:t>106,000</w:t>
            </w:r>
          </w:p>
        </w:tc>
        <w:tc>
          <w:tcPr>
            <w:tcW w:w="887" w:type="dxa"/>
          </w:tcPr>
          <w:p>
            <w:pPr>
              <w:pStyle w:val="TableParagraph"/>
              <w:spacing w:before="0"/>
              <w:rPr>
                <w:sz w:val="16"/>
              </w:rPr>
            </w:pPr>
          </w:p>
        </w:tc>
        <w:tc>
          <w:tcPr>
            <w:tcW w:w="527" w:type="dxa"/>
          </w:tcPr>
          <w:p>
            <w:pPr>
              <w:pStyle w:val="TableParagraph"/>
              <w:spacing w:before="5"/>
              <w:ind w:right="95"/>
              <w:jc w:val="right"/>
              <w:rPr>
                <w:sz w:val="18"/>
              </w:rPr>
            </w:pPr>
            <w:r>
              <w:rPr>
                <w:spacing w:val="-2"/>
                <w:sz w:val="18"/>
              </w:rPr>
              <w:t>1,469</w:t>
            </w:r>
          </w:p>
        </w:tc>
        <w:tc>
          <w:tcPr>
            <w:tcW w:w="1540" w:type="dxa"/>
          </w:tcPr>
          <w:p>
            <w:pPr>
              <w:pStyle w:val="TableParagraph"/>
              <w:spacing w:before="5"/>
              <w:ind w:right="7"/>
              <w:jc w:val="right"/>
              <w:rPr>
                <w:sz w:val="18"/>
              </w:rPr>
            </w:pPr>
            <w:r>
              <w:rPr>
                <w:spacing w:val="-5"/>
                <w:sz w:val="18"/>
              </w:rPr>
              <w:t>48</w:t>
            </w:r>
          </w:p>
        </w:tc>
      </w:tr>
      <w:tr>
        <w:trPr>
          <w:trHeight w:val="256" w:hRule="atLeast"/>
        </w:trPr>
        <w:tc>
          <w:tcPr>
            <w:tcW w:w="5208" w:type="dxa"/>
            <w:shd w:val="clear" w:color="auto" w:fill="CCEDFF"/>
          </w:tcPr>
          <w:p>
            <w:pPr>
              <w:pStyle w:val="TableParagraph"/>
              <w:spacing w:line="199" w:lineRule="exact" w:before="0"/>
              <w:ind w:left="217"/>
              <w:rPr>
                <w:sz w:val="18"/>
              </w:rPr>
            </w:pPr>
            <w:r>
              <w:rPr>
                <w:sz w:val="18"/>
              </w:rPr>
              <w:t>MGM</w:t>
            </w:r>
            <w:r>
              <w:rPr>
                <w:spacing w:val="-1"/>
                <w:sz w:val="18"/>
              </w:rPr>
              <w:t> </w:t>
            </w:r>
            <w:r>
              <w:rPr>
                <w:sz w:val="18"/>
              </w:rPr>
              <w:t>Northfield</w:t>
            </w:r>
            <w:r>
              <w:rPr>
                <w:spacing w:val="-1"/>
                <w:sz w:val="18"/>
              </w:rPr>
              <w:t> </w:t>
            </w:r>
            <w:r>
              <w:rPr>
                <w:sz w:val="18"/>
              </w:rPr>
              <w:t>Park</w:t>
            </w:r>
            <w:r>
              <w:rPr>
                <w:spacing w:val="-1"/>
                <w:sz w:val="18"/>
              </w:rPr>
              <w:t> </w:t>
            </w:r>
            <w:r>
              <w:rPr>
                <w:sz w:val="18"/>
              </w:rPr>
              <w:t>(Northfield,</w:t>
            </w:r>
            <w:r>
              <w:rPr>
                <w:spacing w:val="-1"/>
                <w:sz w:val="18"/>
              </w:rPr>
              <w:t> </w:t>
            </w:r>
            <w:r>
              <w:rPr>
                <w:spacing w:val="-2"/>
                <w:sz w:val="18"/>
              </w:rPr>
              <w:t>Ohio)</w:t>
            </w:r>
          </w:p>
        </w:tc>
        <w:tc>
          <w:tcPr>
            <w:tcW w:w="930" w:type="dxa"/>
            <w:shd w:val="clear" w:color="auto" w:fill="CCEDFF"/>
          </w:tcPr>
          <w:p>
            <w:pPr>
              <w:pStyle w:val="TableParagraph"/>
              <w:spacing w:before="0"/>
              <w:rPr>
                <w:sz w:val="16"/>
              </w:rPr>
            </w:pPr>
          </w:p>
        </w:tc>
        <w:tc>
          <w:tcPr>
            <w:tcW w:w="749" w:type="dxa"/>
            <w:shd w:val="clear" w:color="auto" w:fill="CCEDFF"/>
          </w:tcPr>
          <w:p>
            <w:pPr>
              <w:pStyle w:val="TableParagraph"/>
              <w:spacing w:line="181" w:lineRule="exact" w:before="0"/>
              <w:ind w:right="242"/>
              <w:jc w:val="right"/>
              <w:rPr>
                <w:sz w:val="16"/>
              </w:rPr>
            </w:pPr>
            <w:r>
              <w:rPr>
                <w:spacing w:val="-10"/>
                <w:sz w:val="16"/>
              </w:rPr>
              <w:t>—</w:t>
            </w:r>
          </w:p>
        </w:tc>
        <w:tc>
          <w:tcPr>
            <w:tcW w:w="1666" w:type="dxa"/>
            <w:shd w:val="clear" w:color="auto" w:fill="CCEDFF"/>
          </w:tcPr>
          <w:p>
            <w:pPr>
              <w:pStyle w:val="TableParagraph"/>
              <w:spacing w:line="199" w:lineRule="exact" w:before="0"/>
              <w:ind w:right="284"/>
              <w:jc w:val="right"/>
              <w:rPr>
                <w:sz w:val="18"/>
              </w:rPr>
            </w:pPr>
            <w:r>
              <w:rPr>
                <w:spacing w:val="-2"/>
                <w:sz w:val="18"/>
              </w:rPr>
              <w:t>74,000</w:t>
            </w:r>
          </w:p>
        </w:tc>
        <w:tc>
          <w:tcPr>
            <w:tcW w:w="887" w:type="dxa"/>
            <w:shd w:val="clear" w:color="auto" w:fill="CCEDFF"/>
          </w:tcPr>
          <w:p>
            <w:pPr>
              <w:pStyle w:val="TableParagraph"/>
              <w:spacing w:before="0"/>
              <w:rPr>
                <w:sz w:val="16"/>
              </w:rPr>
            </w:pPr>
          </w:p>
        </w:tc>
        <w:tc>
          <w:tcPr>
            <w:tcW w:w="527" w:type="dxa"/>
            <w:shd w:val="clear" w:color="auto" w:fill="CCEDFF"/>
          </w:tcPr>
          <w:p>
            <w:pPr>
              <w:pStyle w:val="TableParagraph"/>
              <w:spacing w:line="199" w:lineRule="exact" w:before="0"/>
              <w:ind w:right="95"/>
              <w:jc w:val="right"/>
              <w:rPr>
                <w:sz w:val="18"/>
              </w:rPr>
            </w:pPr>
            <w:r>
              <w:rPr>
                <w:spacing w:val="-2"/>
                <w:sz w:val="18"/>
              </w:rPr>
              <w:t>1,533</w:t>
            </w:r>
          </w:p>
        </w:tc>
        <w:tc>
          <w:tcPr>
            <w:tcW w:w="1540" w:type="dxa"/>
            <w:shd w:val="clear" w:color="auto" w:fill="CCEDFF"/>
          </w:tcPr>
          <w:p>
            <w:pPr>
              <w:pStyle w:val="TableParagraph"/>
              <w:spacing w:line="181" w:lineRule="exact" w:before="0"/>
              <w:ind w:right="7"/>
              <w:jc w:val="right"/>
              <w:rPr>
                <w:sz w:val="16"/>
              </w:rPr>
            </w:pPr>
            <w:r>
              <w:rPr>
                <w:spacing w:val="-10"/>
                <w:sz w:val="16"/>
              </w:rPr>
              <w:t>—</w:t>
            </w:r>
          </w:p>
        </w:tc>
      </w:tr>
      <w:tr>
        <w:trPr>
          <w:trHeight w:val="255" w:hRule="atLeast"/>
        </w:trPr>
        <w:tc>
          <w:tcPr>
            <w:tcW w:w="5208" w:type="dxa"/>
          </w:tcPr>
          <w:p>
            <w:pPr>
              <w:pStyle w:val="TableParagraph"/>
              <w:spacing w:line="199" w:lineRule="exact" w:before="0"/>
              <w:ind w:left="217"/>
              <w:rPr>
                <w:sz w:val="18"/>
              </w:rPr>
            </w:pPr>
            <w:r>
              <w:rPr>
                <w:sz w:val="18"/>
              </w:rPr>
              <w:t>Empire</w:t>
            </w:r>
            <w:r>
              <w:rPr>
                <w:spacing w:val="-6"/>
                <w:sz w:val="18"/>
              </w:rPr>
              <w:t> </w:t>
            </w:r>
            <w:r>
              <w:rPr>
                <w:sz w:val="18"/>
              </w:rPr>
              <w:t>City</w:t>
            </w:r>
            <w:r>
              <w:rPr>
                <w:spacing w:val="-6"/>
                <w:sz w:val="18"/>
              </w:rPr>
              <w:t> </w:t>
            </w:r>
            <w:r>
              <w:rPr>
                <w:sz w:val="18"/>
              </w:rPr>
              <w:t>(Yonkers,</w:t>
            </w:r>
            <w:r>
              <w:rPr>
                <w:spacing w:val="-6"/>
                <w:sz w:val="18"/>
              </w:rPr>
              <w:t> </w:t>
            </w:r>
            <w:r>
              <w:rPr>
                <w:sz w:val="18"/>
              </w:rPr>
              <w:t>New</w:t>
            </w:r>
            <w:r>
              <w:rPr>
                <w:spacing w:val="-11"/>
                <w:sz w:val="18"/>
              </w:rPr>
              <w:t> </w:t>
            </w:r>
            <w:r>
              <w:rPr>
                <w:spacing w:val="-2"/>
                <w:sz w:val="18"/>
              </w:rPr>
              <w:t>York)</w:t>
            </w:r>
          </w:p>
        </w:tc>
        <w:tc>
          <w:tcPr>
            <w:tcW w:w="930" w:type="dxa"/>
            <w:tcBorders>
              <w:bottom w:val="single" w:sz="6" w:space="0" w:color="000000"/>
            </w:tcBorders>
          </w:tcPr>
          <w:p>
            <w:pPr>
              <w:pStyle w:val="TableParagraph"/>
              <w:spacing w:before="0"/>
              <w:rPr>
                <w:sz w:val="16"/>
              </w:rPr>
            </w:pPr>
          </w:p>
        </w:tc>
        <w:tc>
          <w:tcPr>
            <w:tcW w:w="749" w:type="dxa"/>
            <w:tcBorders>
              <w:bottom w:val="single" w:sz="6" w:space="0" w:color="000000"/>
            </w:tcBorders>
          </w:tcPr>
          <w:p>
            <w:pPr>
              <w:pStyle w:val="TableParagraph"/>
              <w:spacing w:line="181" w:lineRule="exact" w:before="0"/>
              <w:ind w:right="242"/>
              <w:jc w:val="right"/>
              <w:rPr>
                <w:sz w:val="16"/>
              </w:rPr>
            </w:pPr>
            <w:r>
              <w:rPr>
                <w:spacing w:val="-10"/>
                <w:sz w:val="16"/>
              </w:rPr>
              <w:t>—</w:t>
            </w:r>
          </w:p>
        </w:tc>
        <w:tc>
          <w:tcPr>
            <w:tcW w:w="1666" w:type="dxa"/>
            <w:tcBorders>
              <w:bottom w:val="single" w:sz="6" w:space="0" w:color="000000"/>
            </w:tcBorders>
          </w:tcPr>
          <w:p>
            <w:pPr>
              <w:pStyle w:val="TableParagraph"/>
              <w:spacing w:line="199" w:lineRule="exact" w:before="0"/>
              <w:ind w:right="284"/>
              <w:jc w:val="right"/>
              <w:rPr>
                <w:sz w:val="18"/>
              </w:rPr>
            </w:pPr>
            <w:r>
              <w:rPr>
                <w:spacing w:val="-2"/>
                <w:sz w:val="18"/>
              </w:rPr>
              <w:t>137,000</w:t>
            </w:r>
          </w:p>
        </w:tc>
        <w:tc>
          <w:tcPr>
            <w:tcW w:w="887" w:type="dxa"/>
            <w:tcBorders>
              <w:bottom w:val="single" w:sz="6" w:space="0" w:color="000000"/>
            </w:tcBorders>
          </w:tcPr>
          <w:p>
            <w:pPr>
              <w:pStyle w:val="TableParagraph"/>
              <w:spacing w:before="0"/>
              <w:rPr>
                <w:sz w:val="16"/>
              </w:rPr>
            </w:pPr>
          </w:p>
        </w:tc>
        <w:tc>
          <w:tcPr>
            <w:tcW w:w="527" w:type="dxa"/>
            <w:tcBorders>
              <w:bottom w:val="single" w:sz="6" w:space="0" w:color="000000"/>
            </w:tcBorders>
          </w:tcPr>
          <w:p>
            <w:pPr>
              <w:pStyle w:val="TableParagraph"/>
              <w:spacing w:line="199" w:lineRule="exact" w:before="0"/>
              <w:ind w:right="95"/>
              <w:jc w:val="right"/>
              <w:rPr>
                <w:sz w:val="18"/>
              </w:rPr>
            </w:pPr>
            <w:r>
              <w:rPr>
                <w:spacing w:val="-2"/>
                <w:sz w:val="18"/>
              </w:rPr>
              <w:t>4,562</w:t>
            </w:r>
          </w:p>
        </w:tc>
        <w:tc>
          <w:tcPr>
            <w:tcW w:w="1540" w:type="dxa"/>
            <w:tcBorders>
              <w:bottom w:val="single" w:sz="6" w:space="0" w:color="000000"/>
            </w:tcBorders>
          </w:tcPr>
          <w:p>
            <w:pPr>
              <w:pStyle w:val="TableParagraph"/>
              <w:spacing w:line="181" w:lineRule="exact" w:before="0"/>
              <w:ind w:right="7"/>
              <w:jc w:val="right"/>
              <w:rPr>
                <w:sz w:val="16"/>
              </w:rPr>
            </w:pPr>
            <w:r>
              <w:rPr>
                <w:spacing w:val="-10"/>
                <w:sz w:val="16"/>
              </w:rPr>
              <w:t>—</w:t>
            </w:r>
          </w:p>
        </w:tc>
      </w:tr>
      <w:tr>
        <w:trPr>
          <w:trHeight w:val="254" w:hRule="atLeast"/>
        </w:trPr>
        <w:tc>
          <w:tcPr>
            <w:tcW w:w="5208" w:type="dxa"/>
            <w:shd w:val="clear" w:color="auto" w:fill="CCEDFF"/>
          </w:tcPr>
          <w:p>
            <w:pPr>
              <w:pStyle w:val="TableParagraph"/>
              <w:spacing w:line="198" w:lineRule="exact" w:before="0"/>
              <w:ind w:left="462"/>
              <w:rPr>
                <w:sz w:val="18"/>
              </w:rPr>
            </w:pPr>
            <w:r>
              <w:rPr>
                <w:spacing w:val="-2"/>
                <w:sz w:val="18"/>
              </w:rPr>
              <w:t>Subtotal</w:t>
            </w:r>
          </w:p>
        </w:tc>
        <w:tc>
          <w:tcPr>
            <w:tcW w:w="1679" w:type="dxa"/>
            <w:gridSpan w:val="2"/>
            <w:tcBorders>
              <w:top w:val="single" w:sz="6" w:space="0" w:color="000000"/>
              <w:bottom w:val="single" w:sz="6" w:space="0" w:color="000000"/>
            </w:tcBorders>
            <w:shd w:val="clear" w:color="auto" w:fill="CCEDFF"/>
          </w:tcPr>
          <w:p>
            <w:pPr>
              <w:pStyle w:val="TableParagraph"/>
              <w:spacing w:line="198" w:lineRule="exact" w:before="0"/>
              <w:ind w:left="1029"/>
              <w:rPr>
                <w:sz w:val="18"/>
              </w:rPr>
            </w:pPr>
            <w:r>
              <w:rPr>
                <w:spacing w:val="-2"/>
                <w:sz w:val="18"/>
              </w:rPr>
              <w:t>6,563</w:t>
            </w:r>
          </w:p>
        </w:tc>
        <w:tc>
          <w:tcPr>
            <w:tcW w:w="1666" w:type="dxa"/>
            <w:tcBorders>
              <w:top w:val="single" w:sz="6" w:space="0" w:color="000000"/>
              <w:bottom w:val="single" w:sz="6" w:space="0" w:color="000000"/>
            </w:tcBorders>
            <w:shd w:val="clear" w:color="auto" w:fill="CCEDFF"/>
          </w:tcPr>
          <w:p>
            <w:pPr>
              <w:pStyle w:val="TableParagraph"/>
              <w:spacing w:line="198" w:lineRule="exact" w:before="0"/>
              <w:ind w:right="284"/>
              <w:jc w:val="right"/>
              <w:rPr>
                <w:sz w:val="18"/>
              </w:rPr>
            </w:pPr>
            <w:r>
              <w:rPr>
                <w:spacing w:val="-2"/>
                <w:sz w:val="18"/>
              </w:rPr>
              <w:t>985,000</w:t>
            </w:r>
          </w:p>
        </w:tc>
        <w:tc>
          <w:tcPr>
            <w:tcW w:w="1414" w:type="dxa"/>
            <w:gridSpan w:val="2"/>
            <w:tcBorders>
              <w:top w:val="single" w:sz="6" w:space="0" w:color="000000"/>
              <w:bottom w:val="single" w:sz="6" w:space="0" w:color="000000"/>
            </w:tcBorders>
            <w:shd w:val="clear" w:color="auto" w:fill="CCEDFF"/>
          </w:tcPr>
          <w:p>
            <w:pPr>
              <w:pStyle w:val="TableParagraph"/>
              <w:spacing w:line="198" w:lineRule="exact" w:before="0"/>
              <w:ind w:left="821"/>
              <w:rPr>
                <w:sz w:val="18"/>
              </w:rPr>
            </w:pPr>
            <w:r>
              <w:rPr>
                <w:spacing w:val="-2"/>
                <w:sz w:val="18"/>
              </w:rPr>
              <w:t>17,439</w:t>
            </w:r>
          </w:p>
        </w:tc>
        <w:tc>
          <w:tcPr>
            <w:tcW w:w="1540" w:type="dxa"/>
            <w:tcBorders>
              <w:top w:val="single" w:sz="6" w:space="0" w:color="000000"/>
              <w:bottom w:val="single" w:sz="6" w:space="0" w:color="000000"/>
            </w:tcBorders>
            <w:shd w:val="clear" w:color="auto" w:fill="CCEDFF"/>
          </w:tcPr>
          <w:p>
            <w:pPr>
              <w:pStyle w:val="TableParagraph"/>
              <w:spacing w:line="198" w:lineRule="exact" w:before="0"/>
              <w:ind w:right="7"/>
              <w:jc w:val="right"/>
              <w:rPr>
                <w:sz w:val="18"/>
              </w:rPr>
            </w:pPr>
            <w:r>
              <w:rPr>
                <w:spacing w:val="-5"/>
                <w:sz w:val="18"/>
              </w:rPr>
              <w:t>658</w:t>
            </w:r>
          </w:p>
        </w:tc>
      </w:tr>
      <w:tr>
        <w:trPr>
          <w:trHeight w:val="255" w:hRule="atLeast"/>
        </w:trPr>
        <w:tc>
          <w:tcPr>
            <w:tcW w:w="5208" w:type="dxa"/>
          </w:tcPr>
          <w:p>
            <w:pPr>
              <w:pStyle w:val="TableParagraph"/>
              <w:spacing w:line="198" w:lineRule="exact" w:before="0"/>
              <w:ind w:left="17"/>
              <w:rPr>
                <w:b/>
                <w:sz w:val="18"/>
              </w:rPr>
            </w:pPr>
            <w:r>
              <w:rPr>
                <w:b/>
                <w:sz w:val="18"/>
              </w:rPr>
              <w:t>MGM</w:t>
            </w:r>
            <w:r>
              <w:rPr>
                <w:b/>
                <w:spacing w:val="-1"/>
                <w:sz w:val="18"/>
              </w:rPr>
              <w:t> </w:t>
            </w:r>
            <w:r>
              <w:rPr>
                <w:b/>
                <w:spacing w:val="-2"/>
                <w:sz w:val="18"/>
              </w:rPr>
              <w:t>China:</w:t>
            </w:r>
          </w:p>
        </w:tc>
        <w:tc>
          <w:tcPr>
            <w:tcW w:w="1679" w:type="dxa"/>
            <w:gridSpan w:val="2"/>
            <w:tcBorders>
              <w:top w:val="single" w:sz="6" w:space="0" w:color="000000"/>
            </w:tcBorders>
          </w:tcPr>
          <w:p>
            <w:pPr>
              <w:pStyle w:val="TableParagraph"/>
              <w:spacing w:before="0"/>
              <w:rPr>
                <w:sz w:val="16"/>
              </w:rPr>
            </w:pPr>
          </w:p>
        </w:tc>
        <w:tc>
          <w:tcPr>
            <w:tcW w:w="1666" w:type="dxa"/>
            <w:tcBorders>
              <w:top w:val="single" w:sz="6" w:space="0" w:color="000000"/>
            </w:tcBorders>
          </w:tcPr>
          <w:p>
            <w:pPr>
              <w:pStyle w:val="TableParagraph"/>
              <w:spacing w:before="0"/>
              <w:rPr>
                <w:sz w:val="16"/>
              </w:rPr>
            </w:pPr>
          </w:p>
        </w:tc>
        <w:tc>
          <w:tcPr>
            <w:tcW w:w="1414" w:type="dxa"/>
            <w:gridSpan w:val="2"/>
            <w:tcBorders>
              <w:top w:val="single" w:sz="6" w:space="0" w:color="000000"/>
            </w:tcBorders>
          </w:tcPr>
          <w:p>
            <w:pPr>
              <w:pStyle w:val="TableParagraph"/>
              <w:spacing w:before="0"/>
              <w:rPr>
                <w:sz w:val="16"/>
              </w:rPr>
            </w:pPr>
          </w:p>
        </w:tc>
        <w:tc>
          <w:tcPr>
            <w:tcW w:w="1540" w:type="dxa"/>
            <w:tcBorders>
              <w:top w:val="single" w:sz="6" w:space="0" w:color="000000"/>
            </w:tcBorders>
          </w:tcPr>
          <w:p>
            <w:pPr>
              <w:pStyle w:val="TableParagraph"/>
              <w:spacing w:before="0"/>
              <w:rPr>
                <w:sz w:val="16"/>
              </w:rPr>
            </w:pPr>
          </w:p>
        </w:tc>
      </w:tr>
      <w:tr>
        <w:trPr>
          <w:trHeight w:val="283" w:hRule="atLeast"/>
        </w:trPr>
        <w:tc>
          <w:tcPr>
            <w:tcW w:w="5208" w:type="dxa"/>
            <w:shd w:val="clear" w:color="auto" w:fill="CCEDFF"/>
          </w:tcPr>
          <w:p>
            <w:pPr>
              <w:pStyle w:val="TableParagraph"/>
              <w:spacing w:before="2"/>
              <w:ind w:left="217"/>
              <w:rPr>
                <w:sz w:val="18"/>
              </w:rPr>
            </w:pPr>
            <w:r>
              <w:rPr>
                <w:sz w:val="18"/>
              </w:rPr>
              <w:t>MGM</w:t>
            </w:r>
            <w:r>
              <w:rPr>
                <w:spacing w:val="-1"/>
                <w:sz w:val="18"/>
              </w:rPr>
              <w:t> </w:t>
            </w:r>
            <w:r>
              <w:rPr>
                <w:sz w:val="18"/>
              </w:rPr>
              <w:t>Macau </w:t>
            </w:r>
            <w:r>
              <w:rPr>
                <w:rFonts w:ascii="Calibri" w:hAnsi="Calibri"/>
                <w:sz w:val="18"/>
              </w:rPr>
              <w:t>–</w:t>
            </w:r>
            <w:r>
              <w:rPr>
                <w:rFonts w:ascii="Calibri" w:hAnsi="Calibri"/>
                <w:spacing w:val="4"/>
                <w:sz w:val="18"/>
              </w:rPr>
              <w:t> </w:t>
            </w:r>
            <w:r>
              <w:rPr>
                <w:sz w:val="18"/>
              </w:rPr>
              <w:t>55.95%</w:t>
            </w:r>
            <w:r>
              <w:rPr>
                <w:spacing w:val="-1"/>
                <w:sz w:val="18"/>
              </w:rPr>
              <w:t> </w:t>
            </w:r>
            <w:r>
              <w:rPr>
                <w:sz w:val="18"/>
              </w:rPr>
              <w:t>owned</w:t>
            </w:r>
            <w:r>
              <w:rPr>
                <w:spacing w:val="-1"/>
                <w:sz w:val="18"/>
              </w:rPr>
              <w:t> </w:t>
            </w:r>
            <w:r>
              <w:rPr>
                <w:sz w:val="18"/>
              </w:rPr>
              <w:t>(Macau</w:t>
            </w:r>
            <w:r>
              <w:rPr>
                <w:spacing w:val="-1"/>
                <w:sz w:val="18"/>
              </w:rPr>
              <w:t> </w:t>
            </w:r>
            <w:r>
              <w:rPr>
                <w:spacing w:val="-2"/>
                <w:sz w:val="18"/>
              </w:rPr>
              <w:t>S.A.R.)</w:t>
            </w:r>
          </w:p>
        </w:tc>
        <w:tc>
          <w:tcPr>
            <w:tcW w:w="1679" w:type="dxa"/>
            <w:gridSpan w:val="2"/>
            <w:shd w:val="clear" w:color="auto" w:fill="CCEDFF"/>
          </w:tcPr>
          <w:p>
            <w:pPr>
              <w:pStyle w:val="TableParagraph"/>
              <w:spacing w:before="19"/>
              <w:ind w:right="242"/>
              <w:jc w:val="right"/>
              <w:rPr>
                <w:sz w:val="18"/>
              </w:rPr>
            </w:pPr>
            <w:r>
              <w:rPr>
                <w:spacing w:val="-5"/>
                <w:sz w:val="18"/>
              </w:rPr>
              <w:t>585</w:t>
            </w:r>
          </w:p>
        </w:tc>
        <w:tc>
          <w:tcPr>
            <w:tcW w:w="1666" w:type="dxa"/>
            <w:shd w:val="clear" w:color="auto" w:fill="CCEDFF"/>
          </w:tcPr>
          <w:p>
            <w:pPr>
              <w:pStyle w:val="TableParagraph"/>
              <w:spacing w:before="19"/>
              <w:ind w:right="284"/>
              <w:jc w:val="right"/>
              <w:rPr>
                <w:sz w:val="18"/>
              </w:rPr>
            </w:pPr>
            <w:r>
              <w:rPr>
                <w:spacing w:val="-2"/>
                <w:sz w:val="18"/>
              </w:rPr>
              <w:t>251,000</w:t>
            </w:r>
          </w:p>
        </w:tc>
        <w:tc>
          <w:tcPr>
            <w:tcW w:w="1414" w:type="dxa"/>
            <w:gridSpan w:val="2"/>
            <w:shd w:val="clear" w:color="auto" w:fill="CCEDFF"/>
          </w:tcPr>
          <w:p>
            <w:pPr>
              <w:pStyle w:val="TableParagraph"/>
              <w:spacing w:before="19"/>
              <w:ind w:right="95"/>
              <w:jc w:val="right"/>
              <w:rPr>
                <w:sz w:val="18"/>
              </w:rPr>
            </w:pPr>
            <w:r>
              <w:rPr>
                <w:spacing w:val="-5"/>
                <w:sz w:val="18"/>
              </w:rPr>
              <w:t>926</w:t>
            </w:r>
          </w:p>
        </w:tc>
        <w:tc>
          <w:tcPr>
            <w:tcW w:w="1540" w:type="dxa"/>
            <w:shd w:val="clear" w:color="auto" w:fill="CCEDFF"/>
          </w:tcPr>
          <w:p>
            <w:pPr>
              <w:pStyle w:val="TableParagraph"/>
              <w:spacing w:before="19"/>
              <w:ind w:right="7"/>
              <w:jc w:val="right"/>
              <w:rPr>
                <w:sz w:val="18"/>
              </w:rPr>
            </w:pPr>
            <w:r>
              <w:rPr>
                <w:spacing w:val="-5"/>
                <w:sz w:val="18"/>
              </w:rPr>
              <w:t>294</w:t>
            </w:r>
          </w:p>
        </w:tc>
      </w:tr>
      <w:tr>
        <w:trPr>
          <w:trHeight w:val="255" w:hRule="atLeast"/>
        </w:trPr>
        <w:tc>
          <w:tcPr>
            <w:tcW w:w="5208" w:type="dxa"/>
          </w:tcPr>
          <w:p>
            <w:pPr>
              <w:pStyle w:val="TableParagraph"/>
              <w:spacing w:line="199" w:lineRule="exact" w:before="0"/>
              <w:ind w:left="217"/>
              <w:rPr>
                <w:sz w:val="18"/>
              </w:rPr>
            </w:pPr>
            <w:r>
              <w:rPr>
                <w:sz w:val="18"/>
              </w:rPr>
              <w:t>MGM</w:t>
            </w:r>
            <w:r>
              <w:rPr>
                <w:spacing w:val="-1"/>
                <w:sz w:val="18"/>
              </w:rPr>
              <w:t> </w:t>
            </w:r>
            <w:r>
              <w:rPr>
                <w:sz w:val="18"/>
              </w:rPr>
              <w:t>Cotai</w:t>
            </w:r>
            <w:r>
              <w:rPr>
                <w:spacing w:val="-1"/>
                <w:sz w:val="18"/>
              </w:rPr>
              <w:t> </w:t>
            </w:r>
            <w:r>
              <w:rPr>
                <w:sz w:val="18"/>
              </w:rPr>
              <w:t>–</w:t>
            </w:r>
            <w:r>
              <w:rPr>
                <w:spacing w:val="-1"/>
                <w:sz w:val="18"/>
              </w:rPr>
              <w:t> </w:t>
            </w:r>
            <w:r>
              <w:rPr>
                <w:sz w:val="18"/>
              </w:rPr>
              <w:t>55.95%</w:t>
            </w:r>
            <w:r>
              <w:rPr>
                <w:spacing w:val="-1"/>
                <w:sz w:val="18"/>
              </w:rPr>
              <w:t> </w:t>
            </w:r>
            <w:r>
              <w:rPr>
                <w:sz w:val="18"/>
              </w:rPr>
              <w:t>owned</w:t>
            </w:r>
            <w:r>
              <w:rPr>
                <w:spacing w:val="-1"/>
                <w:sz w:val="18"/>
              </w:rPr>
              <w:t> </w:t>
            </w:r>
            <w:r>
              <w:rPr>
                <w:sz w:val="18"/>
              </w:rPr>
              <w:t>(Macau</w:t>
            </w:r>
            <w:r>
              <w:rPr>
                <w:spacing w:val="-1"/>
                <w:sz w:val="18"/>
              </w:rPr>
              <w:t> </w:t>
            </w:r>
            <w:r>
              <w:rPr>
                <w:spacing w:val="-2"/>
                <w:sz w:val="18"/>
              </w:rPr>
              <w:t>S.A.R.)</w:t>
            </w:r>
          </w:p>
        </w:tc>
        <w:tc>
          <w:tcPr>
            <w:tcW w:w="1679" w:type="dxa"/>
            <w:gridSpan w:val="2"/>
            <w:tcBorders>
              <w:bottom w:val="single" w:sz="6" w:space="0" w:color="000000"/>
            </w:tcBorders>
          </w:tcPr>
          <w:p>
            <w:pPr>
              <w:pStyle w:val="TableParagraph"/>
              <w:spacing w:line="199" w:lineRule="exact" w:before="0"/>
              <w:ind w:left="1029"/>
              <w:rPr>
                <w:sz w:val="18"/>
              </w:rPr>
            </w:pPr>
            <w:r>
              <w:rPr>
                <w:spacing w:val="-2"/>
                <w:sz w:val="18"/>
              </w:rPr>
              <w:t>1,418</w:t>
            </w:r>
          </w:p>
        </w:tc>
        <w:tc>
          <w:tcPr>
            <w:tcW w:w="1666" w:type="dxa"/>
            <w:tcBorders>
              <w:bottom w:val="single" w:sz="6" w:space="0" w:color="000000"/>
            </w:tcBorders>
          </w:tcPr>
          <w:p>
            <w:pPr>
              <w:pStyle w:val="TableParagraph"/>
              <w:spacing w:line="199" w:lineRule="exact" w:before="0"/>
              <w:ind w:right="284"/>
              <w:jc w:val="right"/>
              <w:rPr>
                <w:sz w:val="18"/>
              </w:rPr>
            </w:pPr>
            <w:r>
              <w:rPr>
                <w:spacing w:val="-2"/>
                <w:sz w:val="18"/>
              </w:rPr>
              <w:t>264,000</w:t>
            </w:r>
          </w:p>
        </w:tc>
        <w:tc>
          <w:tcPr>
            <w:tcW w:w="1414" w:type="dxa"/>
            <w:gridSpan w:val="2"/>
            <w:tcBorders>
              <w:bottom w:val="single" w:sz="6" w:space="0" w:color="000000"/>
            </w:tcBorders>
          </w:tcPr>
          <w:p>
            <w:pPr>
              <w:pStyle w:val="TableParagraph"/>
              <w:spacing w:line="199" w:lineRule="exact" w:before="0"/>
              <w:ind w:right="95"/>
              <w:jc w:val="right"/>
              <w:rPr>
                <w:sz w:val="18"/>
              </w:rPr>
            </w:pPr>
            <w:r>
              <w:rPr>
                <w:spacing w:val="-5"/>
                <w:sz w:val="18"/>
              </w:rPr>
              <w:t>934</w:t>
            </w:r>
          </w:p>
        </w:tc>
        <w:tc>
          <w:tcPr>
            <w:tcW w:w="1540" w:type="dxa"/>
            <w:tcBorders>
              <w:bottom w:val="single" w:sz="6" w:space="0" w:color="000000"/>
            </w:tcBorders>
          </w:tcPr>
          <w:p>
            <w:pPr>
              <w:pStyle w:val="TableParagraph"/>
              <w:spacing w:line="199" w:lineRule="exact" w:before="0"/>
              <w:ind w:right="7"/>
              <w:jc w:val="right"/>
              <w:rPr>
                <w:sz w:val="18"/>
              </w:rPr>
            </w:pPr>
            <w:r>
              <w:rPr>
                <w:spacing w:val="-5"/>
                <w:sz w:val="18"/>
              </w:rPr>
              <w:t>258</w:t>
            </w:r>
          </w:p>
        </w:tc>
      </w:tr>
      <w:tr>
        <w:trPr>
          <w:trHeight w:val="254" w:hRule="atLeast"/>
        </w:trPr>
        <w:tc>
          <w:tcPr>
            <w:tcW w:w="5208" w:type="dxa"/>
            <w:shd w:val="clear" w:color="auto" w:fill="CCEDFF"/>
          </w:tcPr>
          <w:p>
            <w:pPr>
              <w:pStyle w:val="TableParagraph"/>
              <w:spacing w:line="185" w:lineRule="exact" w:before="0"/>
              <w:ind w:left="462"/>
              <w:rPr>
                <w:sz w:val="18"/>
              </w:rPr>
            </w:pPr>
            <w:r>
              <w:rPr>
                <w:spacing w:val="-2"/>
                <w:sz w:val="18"/>
              </w:rPr>
              <w:t>Subtotal</w:t>
            </w:r>
          </w:p>
        </w:tc>
        <w:tc>
          <w:tcPr>
            <w:tcW w:w="1679" w:type="dxa"/>
            <w:gridSpan w:val="2"/>
            <w:tcBorders>
              <w:top w:val="single" w:sz="6" w:space="0" w:color="000000"/>
              <w:bottom w:val="single" w:sz="6" w:space="0" w:color="000000"/>
            </w:tcBorders>
            <w:shd w:val="clear" w:color="auto" w:fill="CCEDFF"/>
          </w:tcPr>
          <w:p>
            <w:pPr>
              <w:pStyle w:val="TableParagraph"/>
              <w:spacing w:line="198" w:lineRule="exact" w:before="0"/>
              <w:ind w:left="1029"/>
              <w:rPr>
                <w:sz w:val="18"/>
              </w:rPr>
            </w:pPr>
            <w:r>
              <w:rPr>
                <w:spacing w:val="-2"/>
                <w:sz w:val="18"/>
              </w:rPr>
              <w:t>2,003</w:t>
            </w:r>
          </w:p>
        </w:tc>
        <w:tc>
          <w:tcPr>
            <w:tcW w:w="1666" w:type="dxa"/>
            <w:tcBorders>
              <w:top w:val="single" w:sz="6" w:space="0" w:color="000000"/>
              <w:bottom w:val="single" w:sz="6" w:space="0" w:color="000000"/>
            </w:tcBorders>
            <w:shd w:val="clear" w:color="auto" w:fill="CCEDFF"/>
          </w:tcPr>
          <w:p>
            <w:pPr>
              <w:pStyle w:val="TableParagraph"/>
              <w:spacing w:line="198" w:lineRule="exact" w:before="0"/>
              <w:ind w:right="284"/>
              <w:jc w:val="right"/>
              <w:rPr>
                <w:sz w:val="18"/>
              </w:rPr>
            </w:pPr>
            <w:r>
              <w:rPr/>
              <mc:AlternateContent>
                <mc:Choice Requires="wps">
                  <w:drawing>
                    <wp:anchor distT="0" distB="0" distL="0" distR="0" allowOverlap="1" layoutInCell="1" locked="0" behindDoc="1" simplePos="0" relativeHeight="477650944">
                      <wp:simplePos x="0" y="0"/>
                      <wp:positionH relativeFrom="column">
                        <wp:posOffset>948868</wp:posOffset>
                      </wp:positionH>
                      <wp:positionV relativeFrom="paragraph">
                        <wp:posOffset>315614</wp:posOffset>
                      </wp:positionV>
                      <wp:extent cx="951865" cy="3429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951865" cy="34290"/>
                                <a:chExt cx="951865" cy="34290"/>
                              </a:xfrm>
                            </wpg:grpSpPr>
                            <wps:wsp>
                              <wps:cNvPr id="134" name="Graphic 134"/>
                              <wps:cNvSpPr/>
                              <wps:spPr>
                                <a:xfrm>
                                  <a:off x="-12" y="-3"/>
                                  <a:ext cx="951865" cy="34290"/>
                                </a:xfrm>
                                <a:custGeom>
                                  <a:avLst/>
                                  <a:gdLst/>
                                  <a:ahLst/>
                                  <a:cxnLst/>
                                  <a:rect l="l" t="t" r="r" b="b"/>
                                  <a:pathLst>
                                    <a:path w="951865" h="34290">
                                      <a:moveTo>
                                        <a:pt x="951547" y="25717"/>
                                      </a:moveTo>
                                      <a:lnTo>
                                        <a:pt x="934402" y="25717"/>
                                      </a:lnTo>
                                      <a:lnTo>
                                        <a:pt x="68580" y="25717"/>
                                      </a:lnTo>
                                      <a:lnTo>
                                        <a:pt x="0" y="25717"/>
                                      </a:lnTo>
                                      <a:lnTo>
                                        <a:pt x="0" y="34290"/>
                                      </a:lnTo>
                                      <a:lnTo>
                                        <a:pt x="68580" y="34290"/>
                                      </a:lnTo>
                                      <a:lnTo>
                                        <a:pt x="934402" y="34290"/>
                                      </a:lnTo>
                                      <a:lnTo>
                                        <a:pt x="951547" y="34290"/>
                                      </a:lnTo>
                                      <a:lnTo>
                                        <a:pt x="951547" y="25717"/>
                                      </a:lnTo>
                                      <a:close/>
                                    </a:path>
                                    <a:path w="951865" h="34290">
                                      <a:moveTo>
                                        <a:pt x="951547" y="0"/>
                                      </a:moveTo>
                                      <a:lnTo>
                                        <a:pt x="934402" y="0"/>
                                      </a:lnTo>
                                      <a:lnTo>
                                        <a:pt x="68580" y="0"/>
                                      </a:lnTo>
                                      <a:lnTo>
                                        <a:pt x="0" y="0"/>
                                      </a:lnTo>
                                      <a:lnTo>
                                        <a:pt x="0" y="8572"/>
                                      </a:lnTo>
                                      <a:lnTo>
                                        <a:pt x="68580" y="8572"/>
                                      </a:lnTo>
                                      <a:lnTo>
                                        <a:pt x="934402" y="8572"/>
                                      </a:lnTo>
                                      <a:lnTo>
                                        <a:pt x="951547" y="8572"/>
                                      </a:lnTo>
                                      <a:lnTo>
                                        <a:pt x="951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4.714073pt;margin-top:24.851557pt;width:74.95pt;height:2.7pt;mso-position-horizontal-relative:column;mso-position-vertical-relative:paragraph;z-index:-25665536" id="docshapegroup132" coordorigin="1494,497" coordsize="1499,54">
                      <v:shape style="position:absolute;left:1494;top:497;width:1499;height:54" id="docshape133" coordorigin="1494,497" coordsize="1499,54" path="m2993,538l2966,538,1602,538,1494,538,1494,551,1602,551,2966,551,2993,551,2993,538xm2993,497l2966,497,1602,497,1494,497,1494,511,1602,511,2966,511,2993,511,2993,497xe" filled="true" fillcolor="#000000" stroked="false">
                        <v:path arrowok="t"/>
                        <v:fill type="solid"/>
                      </v:shape>
                      <w10:wrap type="none"/>
                    </v:group>
                  </w:pict>
                </mc:Fallback>
              </mc:AlternateContent>
            </w:r>
            <w:r>
              <w:rPr>
                <w:spacing w:val="-2"/>
                <w:sz w:val="18"/>
              </w:rPr>
              <w:t>515,000</w:t>
            </w:r>
          </w:p>
        </w:tc>
        <w:tc>
          <w:tcPr>
            <w:tcW w:w="1414" w:type="dxa"/>
            <w:gridSpan w:val="2"/>
            <w:tcBorders>
              <w:top w:val="single" w:sz="6" w:space="0" w:color="000000"/>
              <w:bottom w:val="single" w:sz="6" w:space="0" w:color="000000"/>
            </w:tcBorders>
            <w:shd w:val="clear" w:color="auto" w:fill="CCEDFF"/>
          </w:tcPr>
          <w:p>
            <w:pPr>
              <w:pStyle w:val="TableParagraph"/>
              <w:spacing w:line="198" w:lineRule="exact" w:before="0"/>
              <w:ind w:left="911"/>
              <w:rPr>
                <w:sz w:val="18"/>
              </w:rPr>
            </w:pPr>
            <w:r>
              <w:rPr>
                <w:spacing w:val="-2"/>
                <w:sz w:val="18"/>
              </w:rPr>
              <w:t>1,860</w:t>
            </w:r>
          </w:p>
        </w:tc>
        <w:tc>
          <w:tcPr>
            <w:tcW w:w="1540" w:type="dxa"/>
            <w:tcBorders>
              <w:top w:val="single" w:sz="6" w:space="0" w:color="000000"/>
              <w:bottom w:val="single" w:sz="6" w:space="0" w:color="000000"/>
            </w:tcBorders>
            <w:shd w:val="clear" w:color="auto" w:fill="CCEDFF"/>
          </w:tcPr>
          <w:p>
            <w:pPr>
              <w:pStyle w:val="TableParagraph"/>
              <w:spacing w:line="198" w:lineRule="exact" w:before="0"/>
              <w:ind w:right="7"/>
              <w:jc w:val="right"/>
              <w:rPr>
                <w:sz w:val="18"/>
              </w:rPr>
            </w:pPr>
            <w:r>
              <w:rPr>
                <w:spacing w:val="-5"/>
                <w:sz w:val="18"/>
              </w:rPr>
              <w:t>552</w:t>
            </w:r>
          </w:p>
        </w:tc>
      </w:tr>
      <w:tr>
        <w:trPr>
          <w:trHeight w:val="512" w:hRule="atLeast"/>
        </w:trPr>
        <w:tc>
          <w:tcPr>
            <w:tcW w:w="5208" w:type="dxa"/>
          </w:tcPr>
          <w:p>
            <w:pPr>
              <w:pStyle w:val="TableParagraph"/>
              <w:spacing w:line="198" w:lineRule="exact" w:before="0"/>
              <w:ind w:left="462"/>
              <w:rPr>
                <w:sz w:val="18"/>
              </w:rPr>
            </w:pPr>
            <w:r>
              <w:rPr/>
              <mc:AlternateContent>
                <mc:Choice Requires="wps">
                  <w:drawing>
                    <wp:anchor distT="0" distB="0" distL="0" distR="0" allowOverlap="1" layoutInCell="1" locked="0" behindDoc="1" simplePos="0" relativeHeight="477651968">
                      <wp:simplePos x="0" y="0"/>
                      <wp:positionH relativeFrom="column">
                        <wp:posOffset>0</wp:posOffset>
                      </wp:positionH>
                      <wp:positionV relativeFrom="paragraph">
                        <wp:posOffset>298469</wp:posOffset>
                      </wp:positionV>
                      <wp:extent cx="1946275" cy="889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946275" cy="8890"/>
                                <a:chExt cx="1946275" cy="8890"/>
                              </a:xfrm>
                            </wpg:grpSpPr>
                            <wps:wsp>
                              <wps:cNvPr id="136" name="Graphic 136"/>
                              <wps:cNvSpPr/>
                              <wps:spPr>
                                <a:xfrm>
                                  <a:off x="-12" y="-3"/>
                                  <a:ext cx="1946275" cy="8890"/>
                                </a:xfrm>
                                <a:custGeom>
                                  <a:avLst/>
                                  <a:gdLst/>
                                  <a:ahLst/>
                                  <a:cxnLst/>
                                  <a:rect l="l" t="t" r="r" b="b"/>
                                  <a:pathLst>
                                    <a:path w="1946275" h="8890">
                                      <a:moveTo>
                                        <a:pt x="1945957" y="0"/>
                                      </a:moveTo>
                                      <a:lnTo>
                                        <a:pt x="1928812" y="0"/>
                                      </a:lnTo>
                                      <a:lnTo>
                                        <a:pt x="17145" y="0"/>
                                      </a:lnTo>
                                      <a:lnTo>
                                        <a:pt x="0" y="0"/>
                                      </a:lnTo>
                                      <a:lnTo>
                                        <a:pt x="0" y="8572"/>
                                      </a:lnTo>
                                      <a:lnTo>
                                        <a:pt x="17145" y="8572"/>
                                      </a:lnTo>
                                      <a:lnTo>
                                        <a:pt x="1928812" y="8572"/>
                                      </a:lnTo>
                                      <a:lnTo>
                                        <a:pt x="1945957" y="8572"/>
                                      </a:lnTo>
                                      <a:lnTo>
                                        <a:pt x="19459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3.501556pt;width:153.25pt;height:.7pt;mso-position-horizontal-relative:column;mso-position-vertical-relative:paragraph;z-index:-25664512" id="docshapegroup134" coordorigin="0,470" coordsize="3065,14">
                      <v:shape style="position:absolute;left:-1;top:470;width:3065;height:14" id="docshape135" coordorigin="0,470" coordsize="3065,14" path="m3064,470l3037,470,27,470,0,470,0,484,27,484,3037,484,3064,484,3064,470xe" filled="true" fillcolor="#000000" stroked="false">
                        <v:path arrowok="t"/>
                        <v:fill type="solid"/>
                      </v:shape>
                      <w10:wrap type="none"/>
                    </v:group>
                  </w:pict>
                </mc:Fallback>
              </mc:AlternateContent>
            </w:r>
            <w:r>
              <w:rPr>
                <w:sz w:val="18"/>
              </w:rPr>
              <w:t>Grand</w:t>
            </w:r>
            <w:r>
              <w:rPr>
                <w:spacing w:val="-1"/>
                <w:sz w:val="18"/>
              </w:rPr>
              <w:t> </w:t>
            </w:r>
            <w:r>
              <w:rPr>
                <w:spacing w:val="-2"/>
                <w:sz w:val="18"/>
              </w:rPr>
              <w:t>total</w:t>
            </w:r>
          </w:p>
        </w:tc>
        <w:tc>
          <w:tcPr>
            <w:tcW w:w="1679" w:type="dxa"/>
            <w:gridSpan w:val="2"/>
            <w:tcBorders>
              <w:top w:val="single" w:sz="6" w:space="0" w:color="000000"/>
            </w:tcBorders>
          </w:tcPr>
          <w:p>
            <w:pPr>
              <w:pStyle w:val="TableParagraph"/>
              <w:spacing w:line="198" w:lineRule="exact" w:before="0"/>
              <w:ind w:left="939"/>
              <w:rPr>
                <w:sz w:val="18"/>
              </w:rPr>
            </w:pPr>
            <w:r>
              <w:rPr/>
              <mc:AlternateContent>
                <mc:Choice Requires="wps">
                  <w:drawing>
                    <wp:anchor distT="0" distB="0" distL="0" distR="0" allowOverlap="1" layoutInCell="1" locked="0" behindDoc="1" simplePos="0" relativeHeight="477649920">
                      <wp:simplePos x="0" y="0"/>
                      <wp:positionH relativeFrom="column">
                        <wp:posOffset>-41194</wp:posOffset>
                      </wp:positionH>
                      <wp:positionV relativeFrom="paragraph">
                        <wp:posOffset>144164</wp:posOffset>
                      </wp:positionV>
                      <wp:extent cx="960119" cy="3429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960119" cy="34290"/>
                                <a:chExt cx="960119" cy="34290"/>
                              </a:xfrm>
                            </wpg:grpSpPr>
                            <wps:wsp>
                              <wps:cNvPr id="138" name="Graphic 138"/>
                              <wps:cNvSpPr/>
                              <wps:spPr>
                                <a:xfrm>
                                  <a:off x="-12" y="-3"/>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43678pt;margin-top:11.351558pt;width:75.6pt;height:2.7pt;mso-position-horizontal-relative:column;mso-position-vertical-relative:paragraph;z-index:-25666560" id="docshapegroup136" coordorigin="-65,227" coordsize="1512,54">
                      <v:shape style="position:absolute;left:-65;top:227;width:1512;height:54" id="docshape137" coordorigin="-65,227" coordsize="1512,54" path="m1447,268l1420,268,43,268,-65,268,-65,281,43,281,1420,281,1447,281,1447,268xm1447,227l1420,227,43,227,-65,227,-65,241,43,241,1420,241,1447,241,1447,227xe" filled="true" fillcolor="#000000" stroked="false">
                        <v:path arrowok="t"/>
                        <v:fill type="solid"/>
                      </v:shape>
                      <w10:wrap type="none"/>
                    </v:group>
                  </w:pict>
                </mc:Fallback>
              </mc:AlternateContent>
            </w:r>
            <w:r>
              <w:rPr>
                <w:spacing w:val="-2"/>
                <w:sz w:val="18"/>
              </w:rPr>
              <w:t>45,859</w:t>
            </w:r>
          </w:p>
        </w:tc>
        <w:tc>
          <w:tcPr>
            <w:tcW w:w="1666" w:type="dxa"/>
            <w:tcBorders>
              <w:top w:val="single" w:sz="6" w:space="0" w:color="000000"/>
            </w:tcBorders>
          </w:tcPr>
          <w:p>
            <w:pPr>
              <w:pStyle w:val="TableParagraph"/>
              <w:spacing w:line="198" w:lineRule="exact" w:before="0"/>
              <w:ind w:right="284"/>
              <w:jc w:val="right"/>
              <w:rPr>
                <w:sz w:val="18"/>
              </w:rPr>
            </w:pPr>
            <w:r>
              <w:rPr/>
              <mc:AlternateContent>
                <mc:Choice Requires="wps">
                  <w:drawing>
                    <wp:anchor distT="0" distB="0" distL="0" distR="0" allowOverlap="1" layoutInCell="1" locked="0" behindDoc="1" simplePos="0" relativeHeight="477650432">
                      <wp:simplePos x="0" y="0"/>
                      <wp:positionH relativeFrom="column">
                        <wp:posOffset>-79831</wp:posOffset>
                      </wp:positionH>
                      <wp:positionV relativeFrom="paragraph">
                        <wp:posOffset>144164</wp:posOffset>
                      </wp:positionV>
                      <wp:extent cx="969010" cy="3429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969010" cy="34290"/>
                                <a:chExt cx="969010" cy="34290"/>
                              </a:xfrm>
                            </wpg:grpSpPr>
                            <wps:wsp>
                              <wps:cNvPr id="140" name="Graphic 140"/>
                              <wps:cNvSpPr/>
                              <wps:spPr>
                                <a:xfrm>
                                  <a:off x="-12" y="-3"/>
                                  <a:ext cx="969010" cy="34290"/>
                                </a:xfrm>
                                <a:custGeom>
                                  <a:avLst/>
                                  <a:gdLst/>
                                  <a:ahLst/>
                                  <a:cxnLst/>
                                  <a:rect l="l" t="t" r="r" b="b"/>
                                  <a:pathLst>
                                    <a:path w="969010" h="34290">
                                      <a:moveTo>
                                        <a:pt x="968692" y="25717"/>
                                      </a:moveTo>
                                      <a:lnTo>
                                        <a:pt x="942975" y="25717"/>
                                      </a:lnTo>
                                      <a:lnTo>
                                        <a:pt x="68580" y="25717"/>
                                      </a:lnTo>
                                      <a:lnTo>
                                        <a:pt x="0" y="25717"/>
                                      </a:lnTo>
                                      <a:lnTo>
                                        <a:pt x="0" y="34290"/>
                                      </a:lnTo>
                                      <a:lnTo>
                                        <a:pt x="68580" y="34290"/>
                                      </a:lnTo>
                                      <a:lnTo>
                                        <a:pt x="942975" y="34290"/>
                                      </a:lnTo>
                                      <a:lnTo>
                                        <a:pt x="968692" y="34290"/>
                                      </a:lnTo>
                                      <a:lnTo>
                                        <a:pt x="968692" y="25717"/>
                                      </a:lnTo>
                                      <a:close/>
                                    </a:path>
                                    <a:path w="969010" h="34290">
                                      <a:moveTo>
                                        <a:pt x="968692" y="0"/>
                                      </a:moveTo>
                                      <a:lnTo>
                                        <a:pt x="942975" y="0"/>
                                      </a:lnTo>
                                      <a:lnTo>
                                        <a:pt x="68580" y="0"/>
                                      </a:lnTo>
                                      <a:lnTo>
                                        <a:pt x="0" y="0"/>
                                      </a:lnTo>
                                      <a:lnTo>
                                        <a:pt x="0" y="8572"/>
                                      </a:lnTo>
                                      <a:lnTo>
                                        <a:pt x="68580" y="8572"/>
                                      </a:lnTo>
                                      <a:lnTo>
                                        <a:pt x="942975"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285923pt;margin-top:11.351558pt;width:76.3pt;height:2.7pt;mso-position-horizontal-relative:column;mso-position-vertical-relative:paragraph;z-index:-25666048" id="docshapegroup138" coordorigin="-126,227" coordsize="1526,54">
                      <v:shape style="position:absolute;left:-126;top:227;width:1526;height:54" id="docshape139" coordorigin="-126,227" coordsize="1526,54" path="m1400,268l1359,268,-18,268,-126,268,-126,281,-18,281,1359,281,1400,281,1400,268xm1400,227l1359,227,-18,227,-126,227,-126,241,-18,241,1359,241,1400,241,1400,227xe" filled="true" fillcolor="#000000" stroked="false">
                        <v:path arrowok="t"/>
                        <v:fill type="solid"/>
                      </v:shape>
                      <w10:wrap type="none"/>
                    </v:group>
                  </w:pict>
                </mc:Fallback>
              </mc:AlternateContent>
            </w:r>
            <w:r>
              <w:rPr>
                <w:spacing w:val="-2"/>
                <w:sz w:val="18"/>
              </w:rPr>
              <w:t>2,560,000</w:t>
            </w:r>
          </w:p>
        </w:tc>
        <w:tc>
          <w:tcPr>
            <w:tcW w:w="1414" w:type="dxa"/>
            <w:gridSpan w:val="2"/>
            <w:tcBorders>
              <w:top w:val="single" w:sz="6" w:space="0" w:color="000000"/>
            </w:tcBorders>
          </w:tcPr>
          <w:p>
            <w:pPr>
              <w:pStyle w:val="TableParagraph"/>
              <w:spacing w:line="198" w:lineRule="exact" w:before="0"/>
              <w:ind w:left="821"/>
              <w:rPr>
                <w:sz w:val="18"/>
              </w:rPr>
            </w:pPr>
            <w:r>
              <w:rPr>
                <w:spacing w:val="-2"/>
                <w:sz w:val="18"/>
              </w:rPr>
              <w:t>28,794</w:t>
            </w:r>
          </w:p>
        </w:tc>
        <w:tc>
          <w:tcPr>
            <w:tcW w:w="1540" w:type="dxa"/>
            <w:tcBorders>
              <w:top w:val="single" w:sz="6" w:space="0" w:color="000000"/>
            </w:tcBorders>
          </w:tcPr>
          <w:p>
            <w:pPr>
              <w:pStyle w:val="TableParagraph"/>
              <w:spacing w:line="198" w:lineRule="exact" w:before="0"/>
              <w:ind w:right="7"/>
              <w:jc w:val="right"/>
              <w:rPr>
                <w:sz w:val="18"/>
              </w:rPr>
            </w:pPr>
            <w:r>
              <w:rPr/>
              <mc:AlternateContent>
                <mc:Choice Requires="wps">
                  <w:drawing>
                    <wp:anchor distT="0" distB="0" distL="0" distR="0" allowOverlap="1" layoutInCell="1" locked="0" behindDoc="1" simplePos="0" relativeHeight="477651456">
                      <wp:simplePos x="0" y="0"/>
                      <wp:positionH relativeFrom="column">
                        <wp:posOffset>18774</wp:posOffset>
                      </wp:positionH>
                      <wp:positionV relativeFrom="paragraph">
                        <wp:posOffset>144164</wp:posOffset>
                      </wp:positionV>
                      <wp:extent cx="960119" cy="3429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960119" cy="34290"/>
                                <a:chExt cx="960119" cy="34290"/>
                              </a:xfrm>
                            </wpg:grpSpPr>
                            <wps:wsp>
                              <wps:cNvPr id="142" name="Graphic 142"/>
                              <wps:cNvSpPr/>
                              <wps:spPr>
                                <a:xfrm>
                                  <a:off x="-11" y="-3"/>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8272pt;margin-top:11.351558pt;width:75.6pt;height:2.7pt;mso-position-horizontal-relative:column;mso-position-vertical-relative:paragraph;z-index:-25665024" id="docshapegroup140" coordorigin="30,227" coordsize="1512,54">
                      <v:shape style="position:absolute;left:29;top:227;width:1512;height:54" id="docshape141" coordorigin="30,227" coordsize="1512,54" path="m1542,268l1515,268,138,268,30,268,30,281,138,281,1515,281,1542,281,1542,268xm1542,227l1515,227,138,227,30,227,30,241,138,241,1515,241,1542,241,1542,227xe" filled="true" fillcolor="#000000" stroked="false">
                        <v:path arrowok="t"/>
                        <v:fill type="solid"/>
                      </v:shape>
                      <w10:wrap type="none"/>
                    </v:group>
                  </w:pict>
                </mc:Fallback>
              </mc:AlternateContent>
            </w:r>
            <w:r>
              <w:rPr>
                <w:spacing w:val="-2"/>
                <w:sz w:val="18"/>
              </w:rPr>
              <w:t>1,986</w:t>
            </w:r>
          </w:p>
        </w:tc>
      </w:tr>
    </w:tbl>
    <w:p>
      <w:pPr>
        <w:pStyle w:val="ListParagraph"/>
        <w:numPr>
          <w:ilvl w:val="0"/>
          <w:numId w:val="5"/>
        </w:numPr>
        <w:tabs>
          <w:tab w:pos="792" w:val="left" w:leader="none"/>
        </w:tabs>
        <w:spacing w:line="240" w:lineRule="auto" w:before="89" w:after="0"/>
        <w:ind w:left="792" w:right="241" w:hanging="324"/>
        <w:jc w:val="left"/>
        <w:rPr>
          <w:sz w:val="14"/>
        </w:rPr>
      </w:pPr>
      <w:r>
        <w:rPr>
          <w:sz w:val="14"/>
        </w:rPr>
        <w:t>Casino</w:t>
      </w:r>
      <w:r>
        <w:rPr>
          <w:spacing w:val="9"/>
          <w:sz w:val="14"/>
        </w:rPr>
        <w:t> </w:t>
      </w:r>
      <w:r>
        <w:rPr>
          <w:sz w:val="14"/>
        </w:rPr>
        <w:t>square</w:t>
      </w:r>
      <w:r>
        <w:rPr>
          <w:spacing w:val="9"/>
          <w:sz w:val="14"/>
        </w:rPr>
        <w:t> </w:t>
      </w:r>
      <w:r>
        <w:rPr>
          <w:sz w:val="14"/>
        </w:rPr>
        <w:t>footage</w:t>
      </w:r>
      <w:r>
        <w:rPr>
          <w:spacing w:val="9"/>
          <w:sz w:val="14"/>
        </w:rPr>
        <w:t> </w:t>
      </w:r>
      <w:r>
        <w:rPr>
          <w:sz w:val="14"/>
        </w:rPr>
        <w:t>is</w:t>
      </w:r>
      <w:r>
        <w:rPr>
          <w:spacing w:val="9"/>
          <w:sz w:val="14"/>
        </w:rPr>
        <w:t> </w:t>
      </w:r>
      <w:r>
        <w:rPr>
          <w:sz w:val="14"/>
        </w:rPr>
        <w:t>approximate</w:t>
      </w:r>
      <w:r>
        <w:rPr>
          <w:spacing w:val="9"/>
          <w:sz w:val="14"/>
        </w:rPr>
        <w:t> </w:t>
      </w:r>
      <w:r>
        <w:rPr>
          <w:sz w:val="14"/>
        </w:rPr>
        <w:t>and</w:t>
      </w:r>
      <w:r>
        <w:rPr>
          <w:spacing w:val="9"/>
          <w:sz w:val="14"/>
        </w:rPr>
        <w:t> </w:t>
      </w:r>
      <w:r>
        <w:rPr>
          <w:sz w:val="14"/>
        </w:rPr>
        <w:t>includes</w:t>
      </w:r>
      <w:r>
        <w:rPr>
          <w:spacing w:val="9"/>
          <w:sz w:val="14"/>
        </w:rPr>
        <w:t> </w:t>
      </w:r>
      <w:r>
        <w:rPr>
          <w:sz w:val="14"/>
        </w:rPr>
        <w:t>the</w:t>
      </w:r>
      <w:r>
        <w:rPr>
          <w:spacing w:val="9"/>
          <w:sz w:val="14"/>
        </w:rPr>
        <w:t> </w:t>
      </w:r>
      <w:r>
        <w:rPr>
          <w:sz w:val="14"/>
        </w:rPr>
        <w:t>gaming</w:t>
      </w:r>
      <w:r>
        <w:rPr>
          <w:spacing w:val="9"/>
          <w:sz w:val="14"/>
        </w:rPr>
        <w:t> </w:t>
      </w:r>
      <w:r>
        <w:rPr>
          <w:sz w:val="14"/>
        </w:rPr>
        <w:t>floor,</w:t>
      </w:r>
      <w:r>
        <w:rPr>
          <w:spacing w:val="9"/>
          <w:sz w:val="14"/>
        </w:rPr>
        <w:t> </w:t>
      </w:r>
      <w:r>
        <w:rPr>
          <w:sz w:val="14"/>
        </w:rPr>
        <w:t>race</w:t>
      </w:r>
      <w:r>
        <w:rPr>
          <w:spacing w:val="9"/>
          <w:sz w:val="14"/>
        </w:rPr>
        <w:t> </w:t>
      </w:r>
      <w:r>
        <w:rPr>
          <w:sz w:val="14"/>
        </w:rPr>
        <w:t>and</w:t>
      </w:r>
      <w:r>
        <w:rPr>
          <w:spacing w:val="9"/>
          <w:sz w:val="14"/>
        </w:rPr>
        <w:t> </w:t>
      </w:r>
      <w:r>
        <w:rPr>
          <w:sz w:val="14"/>
        </w:rPr>
        <w:t>sports,</w:t>
      </w:r>
      <w:r>
        <w:rPr>
          <w:spacing w:val="9"/>
          <w:sz w:val="14"/>
        </w:rPr>
        <w:t> </w:t>
      </w:r>
      <w:r>
        <w:rPr>
          <w:sz w:val="14"/>
        </w:rPr>
        <w:t>high</w:t>
      </w:r>
      <w:r>
        <w:rPr>
          <w:spacing w:val="9"/>
          <w:sz w:val="14"/>
        </w:rPr>
        <w:t> </w:t>
      </w:r>
      <w:r>
        <w:rPr>
          <w:sz w:val="14"/>
        </w:rPr>
        <w:t>limit</w:t>
      </w:r>
      <w:r>
        <w:rPr>
          <w:spacing w:val="9"/>
          <w:sz w:val="14"/>
        </w:rPr>
        <w:t> </w:t>
      </w:r>
      <w:r>
        <w:rPr>
          <w:sz w:val="14"/>
        </w:rPr>
        <w:t>areas</w:t>
      </w:r>
      <w:r>
        <w:rPr>
          <w:spacing w:val="9"/>
          <w:sz w:val="14"/>
        </w:rPr>
        <w:t> </w:t>
      </w:r>
      <w:r>
        <w:rPr>
          <w:sz w:val="14"/>
        </w:rPr>
        <w:t>and</w:t>
      </w:r>
      <w:r>
        <w:rPr>
          <w:spacing w:val="9"/>
          <w:sz w:val="14"/>
        </w:rPr>
        <w:t> </w:t>
      </w:r>
      <w:r>
        <w:rPr>
          <w:sz w:val="14"/>
        </w:rPr>
        <w:t>casino</w:t>
      </w:r>
      <w:r>
        <w:rPr>
          <w:spacing w:val="9"/>
          <w:sz w:val="14"/>
        </w:rPr>
        <w:t> </w:t>
      </w:r>
      <w:r>
        <w:rPr>
          <w:sz w:val="14"/>
        </w:rPr>
        <w:t>specific</w:t>
      </w:r>
      <w:r>
        <w:rPr>
          <w:spacing w:val="9"/>
          <w:sz w:val="14"/>
        </w:rPr>
        <w:t> </w:t>
      </w:r>
      <w:r>
        <w:rPr>
          <w:sz w:val="14"/>
        </w:rPr>
        <w:t>walkways,</w:t>
      </w:r>
      <w:r>
        <w:rPr>
          <w:spacing w:val="9"/>
          <w:sz w:val="14"/>
        </w:rPr>
        <w:t> </w:t>
      </w:r>
      <w:r>
        <w:rPr>
          <w:sz w:val="14"/>
        </w:rPr>
        <w:t>and</w:t>
      </w:r>
      <w:r>
        <w:rPr>
          <w:spacing w:val="9"/>
          <w:sz w:val="14"/>
        </w:rPr>
        <w:t> </w:t>
      </w:r>
      <w:r>
        <w:rPr>
          <w:sz w:val="14"/>
        </w:rPr>
        <w:t>excludes</w:t>
      </w:r>
      <w:r>
        <w:rPr>
          <w:spacing w:val="9"/>
          <w:sz w:val="14"/>
        </w:rPr>
        <w:t> </w:t>
      </w:r>
      <w:r>
        <w:rPr>
          <w:sz w:val="14"/>
        </w:rPr>
        <w:t>casino</w:t>
      </w:r>
      <w:r>
        <w:rPr>
          <w:spacing w:val="9"/>
          <w:sz w:val="14"/>
        </w:rPr>
        <w:t> </w:t>
      </w:r>
      <w:r>
        <w:rPr>
          <w:sz w:val="14"/>
        </w:rPr>
        <w:t>cage</w:t>
      </w:r>
      <w:r>
        <w:rPr>
          <w:spacing w:val="9"/>
          <w:sz w:val="14"/>
        </w:rPr>
        <w:t> </w:t>
      </w:r>
      <w:r>
        <w:rPr>
          <w:sz w:val="14"/>
        </w:rPr>
        <w:t>and</w:t>
      </w:r>
      <w:r>
        <w:rPr>
          <w:spacing w:val="9"/>
          <w:sz w:val="14"/>
        </w:rPr>
        <w:t> </w:t>
      </w:r>
      <w:r>
        <w:rPr>
          <w:sz w:val="14"/>
        </w:rPr>
        <w:t>other</w:t>
      </w:r>
      <w:r>
        <w:rPr>
          <w:spacing w:val="9"/>
          <w:sz w:val="14"/>
        </w:rPr>
        <w:t> </w:t>
      </w:r>
      <w:r>
        <w:rPr>
          <w:sz w:val="14"/>
        </w:rPr>
        <w:t>non-gaming</w:t>
      </w:r>
      <w:r>
        <w:rPr>
          <w:spacing w:val="9"/>
          <w:sz w:val="14"/>
        </w:rPr>
        <w:t> </w:t>
      </w:r>
      <w:r>
        <w:rPr>
          <w:sz w:val="14"/>
        </w:rPr>
        <w:t>space</w:t>
      </w:r>
      <w:r>
        <w:rPr>
          <w:spacing w:val="40"/>
          <w:sz w:val="14"/>
        </w:rPr>
        <w:t> </w:t>
      </w:r>
      <w:r>
        <w:rPr>
          <w:sz w:val="14"/>
        </w:rPr>
        <w:t>within the casino area, such as lounges.</w:t>
      </w:r>
    </w:p>
    <w:p>
      <w:pPr>
        <w:pStyle w:val="ListParagraph"/>
        <w:numPr>
          <w:ilvl w:val="0"/>
          <w:numId w:val="5"/>
        </w:numPr>
        <w:tabs>
          <w:tab w:pos="791" w:val="left" w:leader="none"/>
        </w:tabs>
        <w:spacing w:line="240" w:lineRule="auto" w:before="2" w:after="0"/>
        <w:ind w:left="791" w:right="0" w:hanging="323"/>
        <w:jc w:val="left"/>
        <w:rPr>
          <w:sz w:val="14"/>
        </w:rPr>
      </w:pPr>
      <w:r>
        <w:rPr>
          <w:sz w:val="14"/>
        </w:rPr>
        <w:t>Includes</w:t>
      </w:r>
      <w:r>
        <w:rPr>
          <w:spacing w:val="7"/>
          <w:sz w:val="14"/>
        </w:rPr>
        <w:t> </w:t>
      </w:r>
      <w:r>
        <w:rPr>
          <w:sz w:val="14"/>
        </w:rPr>
        <w:t>slot</w:t>
      </w:r>
      <w:r>
        <w:rPr>
          <w:spacing w:val="7"/>
          <w:sz w:val="14"/>
        </w:rPr>
        <w:t> </w:t>
      </w:r>
      <w:r>
        <w:rPr>
          <w:sz w:val="14"/>
        </w:rPr>
        <w:t>machines,</w:t>
      </w:r>
      <w:r>
        <w:rPr>
          <w:spacing w:val="7"/>
          <w:sz w:val="14"/>
        </w:rPr>
        <w:t> </w:t>
      </w:r>
      <w:r>
        <w:rPr>
          <w:sz w:val="14"/>
        </w:rPr>
        <w:t>video</w:t>
      </w:r>
      <w:r>
        <w:rPr>
          <w:spacing w:val="8"/>
          <w:sz w:val="14"/>
        </w:rPr>
        <w:t> </w:t>
      </w:r>
      <w:r>
        <w:rPr>
          <w:sz w:val="14"/>
        </w:rPr>
        <w:t>poker</w:t>
      </w:r>
      <w:r>
        <w:rPr>
          <w:spacing w:val="7"/>
          <w:sz w:val="14"/>
        </w:rPr>
        <w:t> </w:t>
      </w:r>
      <w:r>
        <w:rPr>
          <w:sz w:val="14"/>
        </w:rPr>
        <w:t>machines</w:t>
      </w:r>
      <w:r>
        <w:rPr>
          <w:spacing w:val="7"/>
          <w:sz w:val="14"/>
        </w:rPr>
        <w:t> </w:t>
      </w:r>
      <w:r>
        <w:rPr>
          <w:sz w:val="14"/>
        </w:rPr>
        <w:t>and</w:t>
      </w:r>
      <w:r>
        <w:rPr>
          <w:spacing w:val="8"/>
          <w:sz w:val="14"/>
        </w:rPr>
        <w:t> </w:t>
      </w:r>
      <w:r>
        <w:rPr>
          <w:sz w:val="14"/>
        </w:rPr>
        <w:t>other</w:t>
      </w:r>
      <w:r>
        <w:rPr>
          <w:spacing w:val="7"/>
          <w:sz w:val="14"/>
        </w:rPr>
        <w:t> </w:t>
      </w:r>
      <w:r>
        <w:rPr>
          <w:sz w:val="14"/>
        </w:rPr>
        <w:t>electronic</w:t>
      </w:r>
      <w:r>
        <w:rPr>
          <w:spacing w:val="7"/>
          <w:sz w:val="14"/>
        </w:rPr>
        <w:t> </w:t>
      </w:r>
      <w:r>
        <w:rPr>
          <w:sz w:val="14"/>
        </w:rPr>
        <w:t>gaming</w:t>
      </w:r>
      <w:r>
        <w:rPr>
          <w:spacing w:val="8"/>
          <w:sz w:val="14"/>
        </w:rPr>
        <w:t> </w:t>
      </w:r>
      <w:r>
        <w:rPr>
          <w:sz w:val="14"/>
        </w:rPr>
        <w:t>devices</w:t>
      </w:r>
      <w:r>
        <w:rPr>
          <w:spacing w:val="7"/>
          <w:sz w:val="14"/>
        </w:rPr>
        <w:t> </w:t>
      </w:r>
      <w:r>
        <w:rPr>
          <w:sz w:val="14"/>
        </w:rPr>
        <w:t>in</w:t>
      </w:r>
      <w:r>
        <w:rPr>
          <w:spacing w:val="7"/>
          <w:sz w:val="14"/>
        </w:rPr>
        <w:t> </w:t>
      </w:r>
      <w:r>
        <w:rPr>
          <w:spacing w:val="-2"/>
          <w:sz w:val="14"/>
        </w:rPr>
        <w:t>service.</w:t>
      </w:r>
    </w:p>
    <w:p>
      <w:pPr>
        <w:pStyle w:val="ListParagraph"/>
        <w:numPr>
          <w:ilvl w:val="0"/>
          <w:numId w:val="5"/>
        </w:numPr>
        <w:tabs>
          <w:tab w:pos="791" w:val="left" w:leader="none"/>
        </w:tabs>
        <w:spacing w:line="240" w:lineRule="auto" w:before="15" w:after="0"/>
        <w:ind w:left="791" w:right="0" w:hanging="323"/>
        <w:jc w:val="left"/>
        <w:rPr>
          <w:sz w:val="14"/>
        </w:rPr>
      </w:pPr>
      <w:r>
        <w:rPr>
          <w:sz w:val="14"/>
        </w:rPr>
        <w:t>Includes</w:t>
      </w:r>
      <w:r>
        <w:rPr>
          <w:spacing w:val="6"/>
          <w:sz w:val="14"/>
        </w:rPr>
        <w:t> </w:t>
      </w:r>
      <w:r>
        <w:rPr>
          <w:sz w:val="14"/>
        </w:rPr>
        <w:t>blackjack</w:t>
      </w:r>
      <w:r>
        <w:rPr>
          <w:spacing w:val="7"/>
          <w:sz w:val="14"/>
        </w:rPr>
        <w:t> </w:t>
      </w:r>
      <w:r>
        <w:rPr>
          <w:sz w:val="14"/>
        </w:rPr>
        <w:t>(“21”),</w:t>
      </w:r>
      <w:r>
        <w:rPr>
          <w:spacing w:val="7"/>
          <w:sz w:val="14"/>
        </w:rPr>
        <w:t> </w:t>
      </w:r>
      <w:r>
        <w:rPr>
          <w:sz w:val="14"/>
        </w:rPr>
        <w:t>baccarat,</w:t>
      </w:r>
      <w:r>
        <w:rPr>
          <w:spacing w:val="7"/>
          <w:sz w:val="14"/>
        </w:rPr>
        <w:t> </w:t>
      </w:r>
      <w:r>
        <w:rPr>
          <w:sz w:val="14"/>
        </w:rPr>
        <w:t>craps,</w:t>
      </w:r>
      <w:r>
        <w:rPr>
          <w:spacing w:val="7"/>
          <w:sz w:val="14"/>
        </w:rPr>
        <w:t> </w:t>
      </w:r>
      <w:r>
        <w:rPr>
          <w:sz w:val="14"/>
        </w:rPr>
        <w:t>roulette</w:t>
      </w:r>
      <w:r>
        <w:rPr>
          <w:spacing w:val="7"/>
          <w:sz w:val="14"/>
        </w:rPr>
        <w:t> </w:t>
      </w:r>
      <w:r>
        <w:rPr>
          <w:sz w:val="14"/>
        </w:rPr>
        <w:t>and</w:t>
      </w:r>
      <w:r>
        <w:rPr>
          <w:spacing w:val="7"/>
          <w:sz w:val="14"/>
        </w:rPr>
        <w:t> </w:t>
      </w:r>
      <w:r>
        <w:rPr>
          <w:sz w:val="14"/>
        </w:rPr>
        <w:t>other</w:t>
      </w:r>
      <w:r>
        <w:rPr>
          <w:spacing w:val="7"/>
          <w:sz w:val="14"/>
        </w:rPr>
        <w:t> </w:t>
      </w:r>
      <w:r>
        <w:rPr>
          <w:sz w:val="14"/>
        </w:rPr>
        <w:t>table</w:t>
      </w:r>
      <w:r>
        <w:rPr>
          <w:spacing w:val="7"/>
          <w:sz w:val="14"/>
        </w:rPr>
        <w:t> </w:t>
      </w:r>
      <w:r>
        <w:rPr>
          <w:sz w:val="14"/>
        </w:rPr>
        <w:t>games</w:t>
      </w:r>
      <w:r>
        <w:rPr>
          <w:spacing w:val="6"/>
          <w:sz w:val="14"/>
        </w:rPr>
        <w:t> </w:t>
      </w:r>
      <w:r>
        <w:rPr>
          <w:sz w:val="14"/>
        </w:rPr>
        <w:t>in</w:t>
      </w:r>
      <w:r>
        <w:rPr>
          <w:spacing w:val="7"/>
          <w:sz w:val="14"/>
        </w:rPr>
        <w:t> </w:t>
      </w:r>
      <w:r>
        <w:rPr>
          <w:sz w:val="14"/>
        </w:rPr>
        <w:t>service;</w:t>
      </w:r>
      <w:r>
        <w:rPr>
          <w:spacing w:val="7"/>
          <w:sz w:val="14"/>
        </w:rPr>
        <w:t> </w:t>
      </w:r>
      <w:r>
        <w:rPr>
          <w:sz w:val="14"/>
        </w:rPr>
        <w:t>does</w:t>
      </w:r>
      <w:r>
        <w:rPr>
          <w:spacing w:val="7"/>
          <w:sz w:val="14"/>
        </w:rPr>
        <w:t> </w:t>
      </w:r>
      <w:r>
        <w:rPr>
          <w:sz w:val="14"/>
        </w:rPr>
        <w:t>not</w:t>
      </w:r>
      <w:r>
        <w:rPr>
          <w:spacing w:val="7"/>
          <w:sz w:val="14"/>
        </w:rPr>
        <w:t> </w:t>
      </w:r>
      <w:r>
        <w:rPr>
          <w:sz w:val="14"/>
        </w:rPr>
        <w:t>include</w:t>
      </w:r>
      <w:r>
        <w:rPr>
          <w:spacing w:val="7"/>
          <w:sz w:val="14"/>
        </w:rPr>
        <w:t> </w:t>
      </w:r>
      <w:r>
        <w:rPr>
          <w:spacing w:val="-2"/>
          <w:sz w:val="14"/>
        </w:rPr>
        <w:t>poker.</w:t>
      </w:r>
    </w:p>
    <w:p>
      <w:pPr>
        <w:pStyle w:val="ListParagraph"/>
        <w:numPr>
          <w:ilvl w:val="0"/>
          <w:numId w:val="5"/>
        </w:numPr>
        <w:tabs>
          <w:tab w:pos="791" w:val="left" w:leader="none"/>
        </w:tabs>
        <w:spacing w:line="240" w:lineRule="auto" w:before="1" w:after="0"/>
        <w:ind w:left="791" w:right="0" w:hanging="323"/>
        <w:jc w:val="left"/>
        <w:rPr>
          <w:sz w:val="14"/>
        </w:rPr>
      </w:pPr>
      <w:r>
        <w:rPr>
          <w:sz w:val="14"/>
        </w:rPr>
        <w:t>Includes</w:t>
      </w:r>
      <w:r>
        <w:rPr>
          <w:spacing w:val="8"/>
          <w:sz w:val="14"/>
        </w:rPr>
        <w:t> </w:t>
      </w:r>
      <w:r>
        <w:rPr>
          <w:sz w:val="14"/>
        </w:rPr>
        <w:t>1,495</w:t>
      </w:r>
      <w:r>
        <w:rPr>
          <w:spacing w:val="9"/>
          <w:sz w:val="14"/>
        </w:rPr>
        <w:t> </w:t>
      </w:r>
      <w:r>
        <w:rPr>
          <w:sz w:val="14"/>
        </w:rPr>
        <w:t>condominium-hotel</w:t>
      </w:r>
      <w:r>
        <w:rPr>
          <w:spacing w:val="9"/>
          <w:sz w:val="14"/>
        </w:rPr>
        <w:t> </w:t>
      </w:r>
      <w:r>
        <w:rPr>
          <w:sz w:val="14"/>
        </w:rPr>
        <w:t>units</w:t>
      </w:r>
      <w:r>
        <w:rPr>
          <w:spacing w:val="9"/>
          <w:sz w:val="14"/>
        </w:rPr>
        <w:t> </w:t>
      </w:r>
      <w:r>
        <w:rPr>
          <w:sz w:val="14"/>
        </w:rPr>
        <w:t>at</w:t>
      </w:r>
      <w:r>
        <w:rPr>
          <w:spacing w:val="6"/>
          <w:sz w:val="14"/>
        </w:rPr>
        <w:t> </w:t>
      </w:r>
      <w:r>
        <w:rPr>
          <w:sz w:val="14"/>
        </w:rPr>
        <w:t>Vdara,</w:t>
      </w:r>
      <w:r>
        <w:rPr>
          <w:spacing w:val="9"/>
          <w:sz w:val="14"/>
        </w:rPr>
        <w:t> </w:t>
      </w:r>
      <w:r>
        <w:rPr>
          <w:sz w:val="14"/>
        </w:rPr>
        <w:t>which</w:t>
      </w:r>
      <w:r>
        <w:rPr>
          <w:spacing w:val="9"/>
          <w:sz w:val="14"/>
        </w:rPr>
        <w:t> </w:t>
      </w:r>
      <w:r>
        <w:rPr>
          <w:sz w:val="14"/>
        </w:rPr>
        <w:t>are</w:t>
      </w:r>
      <w:r>
        <w:rPr>
          <w:spacing w:val="9"/>
          <w:sz w:val="14"/>
        </w:rPr>
        <w:t> </w:t>
      </w:r>
      <w:r>
        <w:rPr>
          <w:sz w:val="14"/>
        </w:rPr>
        <w:t>predominantly</w:t>
      </w:r>
      <w:r>
        <w:rPr>
          <w:spacing w:val="9"/>
          <w:sz w:val="14"/>
        </w:rPr>
        <w:t> </w:t>
      </w:r>
      <w:r>
        <w:rPr>
          <w:sz w:val="14"/>
        </w:rPr>
        <w:t>utilized</w:t>
      </w:r>
      <w:r>
        <w:rPr>
          <w:spacing w:val="8"/>
          <w:sz w:val="14"/>
        </w:rPr>
        <w:t> </w:t>
      </w:r>
      <w:r>
        <w:rPr>
          <w:sz w:val="14"/>
        </w:rPr>
        <w:t>as</w:t>
      </w:r>
      <w:r>
        <w:rPr>
          <w:spacing w:val="9"/>
          <w:sz w:val="14"/>
        </w:rPr>
        <w:t> </w:t>
      </w:r>
      <w:r>
        <w:rPr>
          <w:sz w:val="14"/>
        </w:rPr>
        <w:t>company-owned</w:t>
      </w:r>
      <w:r>
        <w:rPr>
          <w:spacing w:val="9"/>
          <w:sz w:val="14"/>
        </w:rPr>
        <w:t> </w:t>
      </w:r>
      <w:r>
        <w:rPr>
          <w:sz w:val="14"/>
        </w:rPr>
        <w:t>hotel</w:t>
      </w:r>
      <w:r>
        <w:rPr>
          <w:spacing w:val="9"/>
          <w:sz w:val="14"/>
        </w:rPr>
        <w:t> </w:t>
      </w:r>
      <w:r>
        <w:rPr>
          <w:spacing w:val="-2"/>
          <w:sz w:val="14"/>
        </w:rPr>
        <w:t>rooms.</w:t>
      </w:r>
    </w:p>
    <w:p>
      <w:pPr>
        <w:pStyle w:val="ListParagraph"/>
        <w:numPr>
          <w:ilvl w:val="0"/>
          <w:numId w:val="5"/>
        </w:numPr>
        <w:tabs>
          <w:tab w:pos="791" w:val="left" w:leader="none"/>
        </w:tabs>
        <w:spacing w:line="240" w:lineRule="auto" w:before="1" w:after="0"/>
        <w:ind w:left="791" w:right="0" w:hanging="323"/>
        <w:jc w:val="left"/>
        <w:rPr>
          <w:sz w:val="14"/>
        </w:rPr>
      </w:pPr>
      <w:r>
        <w:rPr>
          <w:sz w:val="14"/>
        </w:rPr>
        <w:t>Includes</w:t>
      </w:r>
      <w:r>
        <w:rPr>
          <w:spacing w:val="6"/>
          <w:sz w:val="14"/>
        </w:rPr>
        <w:t> </w:t>
      </w:r>
      <w:r>
        <w:rPr>
          <w:sz w:val="14"/>
        </w:rPr>
        <w:t>1,728</w:t>
      </w:r>
      <w:r>
        <w:rPr>
          <w:spacing w:val="6"/>
          <w:sz w:val="14"/>
        </w:rPr>
        <w:t> </w:t>
      </w:r>
      <w:r>
        <w:rPr>
          <w:sz w:val="14"/>
        </w:rPr>
        <w:t>rooms</w:t>
      </w:r>
      <w:r>
        <w:rPr>
          <w:spacing w:val="6"/>
          <w:sz w:val="14"/>
        </w:rPr>
        <w:t> </w:t>
      </w:r>
      <w:r>
        <w:rPr>
          <w:sz w:val="14"/>
        </w:rPr>
        <w:t>at</w:t>
      </w:r>
      <w:r>
        <w:rPr>
          <w:spacing w:val="3"/>
          <w:sz w:val="14"/>
        </w:rPr>
        <w:t> </w:t>
      </w:r>
      <w:r>
        <w:rPr>
          <w:sz w:val="14"/>
        </w:rPr>
        <w:t>The</w:t>
      </w:r>
      <w:r>
        <w:rPr>
          <w:spacing w:val="6"/>
          <w:sz w:val="14"/>
        </w:rPr>
        <w:t> </w:t>
      </w:r>
      <w:r>
        <w:rPr>
          <w:sz w:val="14"/>
        </w:rPr>
        <w:t>Signature</w:t>
      </w:r>
      <w:r>
        <w:rPr>
          <w:spacing w:val="7"/>
          <w:sz w:val="14"/>
        </w:rPr>
        <w:t> </w:t>
      </w:r>
      <w:r>
        <w:rPr>
          <w:sz w:val="14"/>
        </w:rPr>
        <w:t>at</w:t>
      </w:r>
      <w:r>
        <w:rPr>
          <w:spacing w:val="6"/>
          <w:sz w:val="14"/>
        </w:rPr>
        <w:t> </w:t>
      </w:r>
      <w:r>
        <w:rPr>
          <w:sz w:val="14"/>
        </w:rPr>
        <w:t>MGM</w:t>
      </w:r>
      <w:r>
        <w:rPr>
          <w:spacing w:val="6"/>
          <w:sz w:val="14"/>
        </w:rPr>
        <w:t> </w:t>
      </w:r>
      <w:r>
        <w:rPr>
          <w:sz w:val="14"/>
        </w:rPr>
        <w:t>Grand</w:t>
      </w:r>
      <w:r>
        <w:rPr>
          <w:spacing w:val="6"/>
          <w:sz w:val="14"/>
        </w:rPr>
        <w:t> </w:t>
      </w:r>
      <w:r>
        <w:rPr>
          <w:sz w:val="14"/>
        </w:rPr>
        <w:t>Las</w:t>
      </w:r>
      <w:r>
        <w:rPr>
          <w:spacing w:val="3"/>
          <w:sz w:val="14"/>
        </w:rPr>
        <w:t> </w:t>
      </w:r>
      <w:r>
        <w:rPr>
          <w:spacing w:val="-2"/>
          <w:sz w:val="14"/>
        </w:rPr>
        <w:t>Vegas.</w:t>
      </w:r>
    </w:p>
    <w:p>
      <w:pPr>
        <w:pStyle w:val="ListParagraph"/>
        <w:numPr>
          <w:ilvl w:val="0"/>
          <w:numId w:val="5"/>
        </w:numPr>
        <w:tabs>
          <w:tab w:pos="791" w:val="left" w:leader="none"/>
        </w:tabs>
        <w:spacing w:line="240" w:lineRule="auto" w:before="1" w:after="0"/>
        <w:ind w:left="791" w:right="0" w:hanging="323"/>
        <w:jc w:val="left"/>
        <w:rPr>
          <w:sz w:val="14"/>
        </w:rPr>
      </w:pPr>
      <w:r>
        <w:rPr>
          <w:sz w:val="14"/>
        </w:rPr>
        <w:t>Includes</w:t>
      </w:r>
      <w:r>
        <w:rPr>
          <w:spacing w:val="5"/>
          <w:sz w:val="14"/>
        </w:rPr>
        <w:t> </w:t>
      </w:r>
      <w:r>
        <w:rPr>
          <w:sz w:val="14"/>
        </w:rPr>
        <w:t>1,117</w:t>
      </w:r>
      <w:r>
        <w:rPr>
          <w:spacing w:val="5"/>
          <w:sz w:val="14"/>
        </w:rPr>
        <w:t> </w:t>
      </w:r>
      <w:r>
        <w:rPr>
          <w:sz w:val="14"/>
        </w:rPr>
        <w:t>rooms</w:t>
      </w:r>
      <w:r>
        <w:rPr>
          <w:spacing w:val="5"/>
          <w:sz w:val="14"/>
        </w:rPr>
        <w:t> </w:t>
      </w:r>
      <w:r>
        <w:rPr>
          <w:sz w:val="14"/>
        </w:rPr>
        <w:t>at</w:t>
      </w:r>
      <w:r>
        <w:rPr>
          <w:spacing w:val="5"/>
          <w:sz w:val="14"/>
        </w:rPr>
        <w:t> </w:t>
      </w:r>
      <w:r>
        <w:rPr>
          <w:sz w:val="14"/>
        </w:rPr>
        <w:t>the</w:t>
      </w:r>
      <w:r>
        <w:rPr>
          <w:spacing w:val="5"/>
          <w:sz w:val="14"/>
        </w:rPr>
        <w:t> </w:t>
      </w:r>
      <w:r>
        <w:rPr>
          <w:sz w:val="14"/>
        </w:rPr>
        <w:t>Delano</w:t>
      </w:r>
      <w:r>
        <w:rPr>
          <w:spacing w:val="5"/>
          <w:sz w:val="14"/>
        </w:rPr>
        <w:t> </w:t>
      </w:r>
      <w:r>
        <w:rPr>
          <w:sz w:val="14"/>
        </w:rPr>
        <w:t>and</w:t>
      </w:r>
      <w:r>
        <w:rPr>
          <w:spacing w:val="5"/>
          <w:sz w:val="14"/>
        </w:rPr>
        <w:t> </w:t>
      </w:r>
      <w:r>
        <w:rPr>
          <w:sz w:val="14"/>
        </w:rPr>
        <w:t>424</w:t>
      </w:r>
      <w:r>
        <w:rPr>
          <w:spacing w:val="5"/>
          <w:sz w:val="14"/>
        </w:rPr>
        <w:t> </w:t>
      </w:r>
      <w:r>
        <w:rPr>
          <w:sz w:val="14"/>
        </w:rPr>
        <w:t>rooms</w:t>
      </w:r>
      <w:r>
        <w:rPr>
          <w:spacing w:val="5"/>
          <w:sz w:val="14"/>
        </w:rPr>
        <w:t> </w:t>
      </w:r>
      <w:r>
        <w:rPr>
          <w:sz w:val="14"/>
        </w:rPr>
        <w:t>at</w:t>
      </w:r>
      <w:r>
        <w:rPr>
          <w:spacing w:val="5"/>
          <w:sz w:val="14"/>
        </w:rPr>
        <w:t> </w:t>
      </w:r>
      <w:r>
        <w:rPr>
          <w:sz w:val="14"/>
        </w:rPr>
        <w:t>the</w:t>
      </w:r>
      <w:r>
        <w:rPr>
          <w:spacing w:val="5"/>
          <w:sz w:val="14"/>
        </w:rPr>
        <w:t> </w:t>
      </w:r>
      <w:r>
        <w:rPr>
          <w:sz w:val="14"/>
        </w:rPr>
        <w:t>Four</w:t>
      </w:r>
      <w:r>
        <w:rPr>
          <w:spacing w:val="5"/>
          <w:sz w:val="14"/>
        </w:rPr>
        <w:t> </w:t>
      </w:r>
      <w:r>
        <w:rPr>
          <w:sz w:val="14"/>
        </w:rPr>
        <w:t>Seasons</w:t>
      </w:r>
      <w:r>
        <w:rPr>
          <w:spacing w:val="5"/>
          <w:sz w:val="14"/>
        </w:rPr>
        <w:t> </w:t>
      </w:r>
      <w:r>
        <w:rPr>
          <w:spacing w:val="-2"/>
          <w:sz w:val="14"/>
        </w:rPr>
        <w:t>Hotel.</w:t>
      </w:r>
    </w:p>
    <w:p>
      <w:pPr>
        <w:pStyle w:val="ListParagraph"/>
        <w:numPr>
          <w:ilvl w:val="0"/>
          <w:numId w:val="5"/>
        </w:numPr>
        <w:tabs>
          <w:tab w:pos="791" w:val="left" w:leader="none"/>
        </w:tabs>
        <w:spacing w:line="240" w:lineRule="auto" w:before="14" w:after="0"/>
        <w:ind w:left="791" w:right="0" w:hanging="323"/>
        <w:jc w:val="left"/>
        <w:rPr>
          <w:sz w:val="14"/>
        </w:rPr>
      </w:pPr>
      <w:r>
        <w:rPr>
          <w:sz w:val="14"/>
        </w:rPr>
        <w:t>Includes</w:t>
      </w:r>
      <w:r>
        <w:rPr>
          <w:spacing w:val="5"/>
          <w:sz w:val="14"/>
        </w:rPr>
        <w:t> </w:t>
      </w:r>
      <w:r>
        <w:rPr>
          <w:sz w:val="14"/>
        </w:rPr>
        <w:t>293</w:t>
      </w:r>
      <w:r>
        <w:rPr>
          <w:spacing w:val="6"/>
          <w:sz w:val="14"/>
        </w:rPr>
        <w:t> </w:t>
      </w:r>
      <w:r>
        <w:rPr>
          <w:sz w:val="14"/>
        </w:rPr>
        <w:t>rooms</w:t>
      </w:r>
      <w:r>
        <w:rPr>
          <w:spacing w:val="6"/>
          <w:sz w:val="14"/>
        </w:rPr>
        <w:t> </w:t>
      </w:r>
      <w:r>
        <w:rPr>
          <w:sz w:val="14"/>
        </w:rPr>
        <w:t>at</w:t>
      </w:r>
      <w:r>
        <w:rPr>
          <w:spacing w:val="6"/>
          <w:sz w:val="14"/>
        </w:rPr>
        <w:t> </w:t>
      </w:r>
      <w:r>
        <w:rPr>
          <w:sz w:val="14"/>
        </w:rPr>
        <w:t>NoMad</w:t>
      </w:r>
      <w:r>
        <w:rPr>
          <w:spacing w:val="6"/>
          <w:sz w:val="14"/>
        </w:rPr>
        <w:t> </w:t>
      </w:r>
      <w:r>
        <w:rPr>
          <w:sz w:val="14"/>
        </w:rPr>
        <w:t>Las</w:t>
      </w:r>
      <w:r>
        <w:rPr>
          <w:spacing w:val="4"/>
          <w:sz w:val="14"/>
        </w:rPr>
        <w:t> </w:t>
      </w:r>
      <w:r>
        <w:rPr>
          <w:spacing w:val="-2"/>
          <w:sz w:val="14"/>
        </w:rPr>
        <w:t>Vegas.</w:t>
      </w:r>
    </w:p>
    <w:p>
      <w:pPr>
        <w:pStyle w:val="ListParagraph"/>
        <w:numPr>
          <w:ilvl w:val="0"/>
          <w:numId w:val="5"/>
        </w:numPr>
        <w:tabs>
          <w:tab w:pos="791" w:val="left" w:leader="none"/>
        </w:tabs>
        <w:spacing w:line="240" w:lineRule="auto" w:before="1" w:after="0"/>
        <w:ind w:left="791" w:right="0" w:hanging="323"/>
        <w:jc w:val="left"/>
        <w:rPr>
          <w:sz w:val="14"/>
        </w:rPr>
      </w:pPr>
      <w:r>
        <w:rPr>
          <w:sz w:val="14"/>
        </w:rPr>
        <w:t>Our</w:t>
      </w:r>
      <w:r>
        <w:rPr>
          <w:spacing w:val="6"/>
          <w:sz w:val="14"/>
        </w:rPr>
        <w:t> </w:t>
      </w:r>
      <w:r>
        <w:rPr>
          <w:sz w:val="14"/>
        </w:rPr>
        <w:t>local</w:t>
      </w:r>
      <w:r>
        <w:rPr>
          <w:spacing w:val="7"/>
          <w:sz w:val="14"/>
        </w:rPr>
        <w:t> </w:t>
      </w:r>
      <w:r>
        <w:rPr>
          <w:sz w:val="14"/>
        </w:rPr>
        <w:t>investors</w:t>
      </w:r>
      <w:r>
        <w:rPr>
          <w:spacing w:val="6"/>
          <w:sz w:val="14"/>
        </w:rPr>
        <w:t> </w:t>
      </w:r>
      <w:r>
        <w:rPr>
          <w:sz w:val="14"/>
        </w:rPr>
        <w:t>have</w:t>
      </w:r>
      <w:r>
        <w:rPr>
          <w:spacing w:val="7"/>
          <w:sz w:val="14"/>
        </w:rPr>
        <w:t> </w:t>
      </w:r>
      <w:r>
        <w:rPr>
          <w:sz w:val="14"/>
        </w:rPr>
        <w:t>an</w:t>
      </w:r>
      <w:r>
        <w:rPr>
          <w:spacing w:val="7"/>
          <w:sz w:val="14"/>
        </w:rPr>
        <w:t> </w:t>
      </w:r>
      <w:r>
        <w:rPr>
          <w:sz w:val="14"/>
        </w:rPr>
        <w:t>ownership</w:t>
      </w:r>
      <w:r>
        <w:rPr>
          <w:spacing w:val="6"/>
          <w:sz w:val="14"/>
        </w:rPr>
        <w:t> </w:t>
      </w:r>
      <w:r>
        <w:rPr>
          <w:sz w:val="14"/>
        </w:rPr>
        <w:t>interest</w:t>
      </w:r>
      <w:r>
        <w:rPr>
          <w:spacing w:val="7"/>
          <w:sz w:val="14"/>
        </w:rPr>
        <w:t> </w:t>
      </w:r>
      <w:r>
        <w:rPr>
          <w:sz w:val="14"/>
        </w:rPr>
        <w:t>of</w:t>
      </w:r>
      <w:r>
        <w:rPr>
          <w:spacing w:val="7"/>
          <w:sz w:val="14"/>
        </w:rPr>
        <w:t> </w:t>
      </w:r>
      <w:r>
        <w:rPr>
          <w:sz w:val="14"/>
        </w:rPr>
        <w:t>approximately</w:t>
      </w:r>
      <w:r>
        <w:rPr>
          <w:spacing w:val="6"/>
          <w:sz w:val="14"/>
        </w:rPr>
        <w:t> </w:t>
      </w:r>
      <w:r>
        <w:rPr>
          <w:sz w:val="14"/>
        </w:rPr>
        <w:t>3%</w:t>
      </w:r>
      <w:r>
        <w:rPr>
          <w:spacing w:val="7"/>
          <w:sz w:val="14"/>
        </w:rPr>
        <w:t> </w:t>
      </w:r>
      <w:r>
        <w:rPr>
          <w:sz w:val="14"/>
        </w:rPr>
        <w:t>of</w:t>
      </w:r>
      <w:r>
        <w:rPr>
          <w:spacing w:val="7"/>
          <w:sz w:val="14"/>
        </w:rPr>
        <w:t> </w:t>
      </w:r>
      <w:r>
        <w:rPr>
          <w:sz w:val="14"/>
        </w:rPr>
        <w:t>MGM</w:t>
      </w:r>
      <w:r>
        <w:rPr>
          <w:spacing w:val="6"/>
          <w:sz w:val="14"/>
        </w:rPr>
        <w:t> </w:t>
      </w:r>
      <w:r>
        <w:rPr>
          <w:sz w:val="14"/>
        </w:rPr>
        <w:t>Grand</w:t>
      </w:r>
      <w:r>
        <w:rPr>
          <w:spacing w:val="7"/>
          <w:sz w:val="14"/>
        </w:rPr>
        <w:t> </w:t>
      </w:r>
      <w:r>
        <w:rPr>
          <w:spacing w:val="-2"/>
          <w:sz w:val="14"/>
        </w:rPr>
        <w:t>Detroit.</w:t>
      </w:r>
    </w:p>
    <w:p>
      <w:pPr>
        <w:pStyle w:val="ListParagraph"/>
        <w:numPr>
          <w:ilvl w:val="0"/>
          <w:numId w:val="5"/>
        </w:numPr>
        <w:tabs>
          <w:tab w:pos="792" w:val="left" w:leader="none"/>
        </w:tabs>
        <w:spacing w:line="240" w:lineRule="auto" w:before="2" w:after="0"/>
        <w:ind w:left="792" w:right="343" w:hanging="324"/>
        <w:jc w:val="left"/>
        <w:rPr>
          <w:sz w:val="14"/>
        </w:rPr>
      </w:pPr>
      <w:r>
        <w:rPr>
          <w:sz w:val="14"/>
        </w:rPr>
        <w:t>Our</w:t>
      </w:r>
      <w:r>
        <w:rPr>
          <w:spacing w:val="9"/>
          <w:sz w:val="14"/>
        </w:rPr>
        <w:t> </w:t>
      </w:r>
      <w:r>
        <w:rPr>
          <w:sz w:val="14"/>
        </w:rPr>
        <w:t>local</w:t>
      </w:r>
      <w:r>
        <w:rPr>
          <w:spacing w:val="9"/>
          <w:sz w:val="14"/>
        </w:rPr>
        <w:t> </w:t>
      </w:r>
      <w:r>
        <w:rPr>
          <w:sz w:val="14"/>
        </w:rPr>
        <w:t>investors</w:t>
      </w:r>
      <w:r>
        <w:rPr>
          <w:spacing w:val="9"/>
          <w:sz w:val="14"/>
        </w:rPr>
        <w:t> </w:t>
      </w:r>
      <w:r>
        <w:rPr>
          <w:sz w:val="14"/>
        </w:rPr>
        <w:t>have</w:t>
      </w:r>
      <w:r>
        <w:rPr>
          <w:spacing w:val="9"/>
          <w:sz w:val="14"/>
        </w:rPr>
        <w:t> </w:t>
      </w:r>
      <w:r>
        <w:rPr>
          <w:sz w:val="14"/>
        </w:rPr>
        <w:t>a</w:t>
      </w:r>
      <w:r>
        <w:rPr>
          <w:spacing w:val="9"/>
          <w:sz w:val="14"/>
        </w:rPr>
        <w:t> </w:t>
      </w:r>
      <w:r>
        <w:rPr>
          <w:sz w:val="14"/>
        </w:rPr>
        <w:t>non-voting</w:t>
      </w:r>
      <w:r>
        <w:rPr>
          <w:spacing w:val="9"/>
          <w:sz w:val="14"/>
        </w:rPr>
        <w:t> </w:t>
      </w:r>
      <w:r>
        <w:rPr>
          <w:sz w:val="14"/>
        </w:rPr>
        <w:t>economic</w:t>
      </w:r>
      <w:r>
        <w:rPr>
          <w:spacing w:val="9"/>
          <w:sz w:val="14"/>
        </w:rPr>
        <w:t> </w:t>
      </w:r>
      <w:r>
        <w:rPr>
          <w:sz w:val="14"/>
        </w:rPr>
        <w:t>interest</w:t>
      </w:r>
      <w:r>
        <w:rPr>
          <w:spacing w:val="9"/>
          <w:sz w:val="14"/>
        </w:rPr>
        <w:t> </w:t>
      </w:r>
      <w:r>
        <w:rPr>
          <w:sz w:val="14"/>
        </w:rPr>
        <w:t>in</w:t>
      </w:r>
      <w:r>
        <w:rPr>
          <w:spacing w:val="9"/>
          <w:sz w:val="14"/>
        </w:rPr>
        <w:t> </w:t>
      </w:r>
      <w:r>
        <w:rPr>
          <w:sz w:val="14"/>
        </w:rPr>
        <w:t>MGM</w:t>
      </w:r>
      <w:r>
        <w:rPr>
          <w:spacing w:val="9"/>
          <w:sz w:val="14"/>
        </w:rPr>
        <w:t> </w:t>
      </w:r>
      <w:r>
        <w:rPr>
          <w:sz w:val="14"/>
        </w:rPr>
        <w:t>National</w:t>
      </w:r>
      <w:r>
        <w:rPr>
          <w:spacing w:val="9"/>
          <w:sz w:val="14"/>
        </w:rPr>
        <w:t> </w:t>
      </w:r>
      <w:r>
        <w:rPr>
          <w:sz w:val="14"/>
        </w:rPr>
        <w:t>Harbor.</w:t>
      </w:r>
      <w:r>
        <w:rPr>
          <w:spacing w:val="9"/>
          <w:sz w:val="14"/>
        </w:rPr>
        <w:t> </w:t>
      </w:r>
      <w:r>
        <w:rPr>
          <w:sz w:val="14"/>
        </w:rPr>
        <w:t>Refer</w:t>
      </w:r>
      <w:r>
        <w:rPr>
          <w:spacing w:val="9"/>
          <w:sz w:val="14"/>
        </w:rPr>
        <w:t> </w:t>
      </w:r>
      <w:r>
        <w:rPr>
          <w:sz w:val="14"/>
        </w:rPr>
        <w:t>to</w:t>
      </w:r>
      <w:r>
        <w:rPr>
          <w:spacing w:val="9"/>
          <w:sz w:val="14"/>
        </w:rPr>
        <w:t> </w:t>
      </w:r>
      <w:r>
        <w:rPr>
          <w:sz w:val="14"/>
        </w:rPr>
        <w:t>Note</w:t>
      </w:r>
      <w:r>
        <w:rPr>
          <w:spacing w:val="9"/>
          <w:sz w:val="14"/>
        </w:rPr>
        <w:t> </w:t>
      </w:r>
      <w:r>
        <w:rPr>
          <w:sz w:val="14"/>
        </w:rPr>
        <w:t>2</w:t>
      </w:r>
      <w:r>
        <w:rPr>
          <w:spacing w:val="9"/>
          <w:sz w:val="14"/>
        </w:rPr>
        <w:t> </w:t>
      </w:r>
      <w:r>
        <w:rPr>
          <w:sz w:val="14"/>
        </w:rPr>
        <w:t>in</w:t>
      </w:r>
      <w:r>
        <w:rPr>
          <w:spacing w:val="9"/>
          <w:sz w:val="14"/>
        </w:rPr>
        <w:t> </w:t>
      </w:r>
      <w:r>
        <w:rPr>
          <w:sz w:val="14"/>
        </w:rPr>
        <w:t>the</w:t>
      </w:r>
      <w:r>
        <w:rPr>
          <w:spacing w:val="9"/>
          <w:sz w:val="14"/>
        </w:rPr>
        <w:t> </w:t>
      </w:r>
      <w:r>
        <w:rPr>
          <w:sz w:val="14"/>
        </w:rPr>
        <w:t>accompanying</w:t>
      </w:r>
      <w:r>
        <w:rPr>
          <w:spacing w:val="9"/>
          <w:sz w:val="14"/>
        </w:rPr>
        <w:t> </w:t>
      </w:r>
      <w:r>
        <w:rPr>
          <w:sz w:val="14"/>
        </w:rPr>
        <w:t>consolidated</w:t>
      </w:r>
      <w:r>
        <w:rPr>
          <w:spacing w:val="9"/>
          <w:sz w:val="14"/>
        </w:rPr>
        <w:t> </w:t>
      </w:r>
      <w:r>
        <w:rPr>
          <w:sz w:val="14"/>
        </w:rPr>
        <w:t>financial</w:t>
      </w:r>
      <w:r>
        <w:rPr>
          <w:spacing w:val="9"/>
          <w:sz w:val="14"/>
        </w:rPr>
        <w:t> </w:t>
      </w:r>
      <w:r>
        <w:rPr>
          <w:sz w:val="14"/>
        </w:rPr>
        <w:t>statements</w:t>
      </w:r>
      <w:r>
        <w:rPr>
          <w:spacing w:val="9"/>
          <w:sz w:val="14"/>
        </w:rPr>
        <w:t> </w:t>
      </w:r>
      <w:r>
        <w:rPr>
          <w:sz w:val="14"/>
        </w:rPr>
        <w:t>for</w:t>
      </w:r>
      <w:r>
        <w:rPr>
          <w:spacing w:val="9"/>
          <w:sz w:val="14"/>
        </w:rPr>
        <w:t> </w:t>
      </w:r>
      <w:r>
        <w:rPr>
          <w:sz w:val="14"/>
        </w:rPr>
        <w:t>further</w:t>
      </w:r>
      <w:r>
        <w:rPr>
          <w:spacing w:val="9"/>
          <w:sz w:val="14"/>
        </w:rPr>
        <w:t> </w:t>
      </w:r>
      <w:r>
        <w:rPr>
          <w:sz w:val="14"/>
        </w:rPr>
        <w:t>description</w:t>
      </w:r>
      <w:r>
        <w:rPr>
          <w:spacing w:val="9"/>
          <w:sz w:val="14"/>
        </w:rPr>
        <w:t> </w:t>
      </w:r>
      <w:r>
        <w:rPr>
          <w:sz w:val="14"/>
        </w:rPr>
        <w:t>of</w:t>
      </w:r>
      <w:r>
        <w:rPr>
          <w:spacing w:val="9"/>
          <w:sz w:val="14"/>
        </w:rPr>
        <w:t> </w:t>
      </w:r>
      <w:r>
        <w:rPr>
          <w:sz w:val="14"/>
        </w:rPr>
        <w:t>such</w:t>
      </w:r>
      <w:r>
        <w:rPr>
          <w:spacing w:val="40"/>
          <w:sz w:val="14"/>
        </w:rPr>
        <w:t> </w:t>
      </w:r>
      <w:r>
        <w:rPr>
          <w:spacing w:val="-2"/>
          <w:sz w:val="14"/>
        </w:rPr>
        <w:t>interest.</w:t>
      </w:r>
    </w:p>
    <w:p>
      <w:pPr>
        <w:pStyle w:val="ListParagraph"/>
        <w:numPr>
          <w:ilvl w:val="0"/>
          <w:numId w:val="5"/>
        </w:numPr>
        <w:tabs>
          <w:tab w:pos="791" w:val="left" w:leader="none"/>
        </w:tabs>
        <w:spacing w:line="240" w:lineRule="auto" w:before="15" w:after="0"/>
        <w:ind w:left="791" w:right="0" w:hanging="323"/>
        <w:jc w:val="left"/>
        <w:rPr>
          <w:sz w:val="14"/>
        </w:rPr>
      </w:pPr>
      <w:r>
        <w:rPr>
          <w:sz w:val="14"/>
        </w:rPr>
        <w:t>Our</w:t>
      </w:r>
      <w:r>
        <w:rPr>
          <w:spacing w:val="6"/>
          <w:sz w:val="14"/>
        </w:rPr>
        <w:t> </w:t>
      </w:r>
      <w:r>
        <w:rPr>
          <w:sz w:val="14"/>
        </w:rPr>
        <w:t>local</w:t>
      </w:r>
      <w:r>
        <w:rPr>
          <w:spacing w:val="6"/>
          <w:sz w:val="14"/>
        </w:rPr>
        <w:t> </w:t>
      </w:r>
      <w:r>
        <w:rPr>
          <w:sz w:val="14"/>
        </w:rPr>
        <w:t>investor</w:t>
      </w:r>
      <w:r>
        <w:rPr>
          <w:spacing w:val="7"/>
          <w:sz w:val="14"/>
        </w:rPr>
        <w:t> </w:t>
      </w:r>
      <w:r>
        <w:rPr>
          <w:sz w:val="14"/>
        </w:rPr>
        <w:t>has</w:t>
      </w:r>
      <w:r>
        <w:rPr>
          <w:spacing w:val="6"/>
          <w:sz w:val="14"/>
        </w:rPr>
        <w:t> </w:t>
      </w:r>
      <w:r>
        <w:rPr>
          <w:sz w:val="14"/>
        </w:rPr>
        <w:t>a</w:t>
      </w:r>
      <w:r>
        <w:rPr>
          <w:spacing w:val="7"/>
          <w:sz w:val="14"/>
        </w:rPr>
        <w:t> </w:t>
      </w:r>
      <w:r>
        <w:rPr>
          <w:sz w:val="14"/>
        </w:rPr>
        <w:t>non-voting</w:t>
      </w:r>
      <w:r>
        <w:rPr>
          <w:spacing w:val="6"/>
          <w:sz w:val="14"/>
        </w:rPr>
        <w:t> </w:t>
      </w:r>
      <w:r>
        <w:rPr>
          <w:sz w:val="14"/>
        </w:rPr>
        <w:t>economic</w:t>
      </w:r>
      <w:r>
        <w:rPr>
          <w:spacing w:val="7"/>
          <w:sz w:val="14"/>
        </w:rPr>
        <w:t> </w:t>
      </w:r>
      <w:r>
        <w:rPr>
          <w:sz w:val="14"/>
        </w:rPr>
        <w:t>interest</w:t>
      </w:r>
      <w:r>
        <w:rPr>
          <w:spacing w:val="6"/>
          <w:sz w:val="14"/>
        </w:rPr>
        <w:t> </w:t>
      </w:r>
      <w:r>
        <w:rPr>
          <w:sz w:val="14"/>
        </w:rPr>
        <w:t>in</w:t>
      </w:r>
      <w:r>
        <w:rPr>
          <w:spacing w:val="6"/>
          <w:sz w:val="14"/>
        </w:rPr>
        <w:t> </w:t>
      </w:r>
      <w:r>
        <w:rPr>
          <w:sz w:val="14"/>
        </w:rPr>
        <w:t>MGM</w:t>
      </w:r>
      <w:r>
        <w:rPr>
          <w:spacing w:val="7"/>
          <w:sz w:val="14"/>
        </w:rPr>
        <w:t> </w:t>
      </w:r>
      <w:r>
        <w:rPr>
          <w:spacing w:val="-2"/>
          <w:sz w:val="14"/>
        </w:rPr>
        <w:t>Springfield.</w:t>
      </w:r>
    </w:p>
    <w:p>
      <w:pPr>
        <w:pStyle w:val="BodyText"/>
      </w:pPr>
    </w:p>
    <w:p>
      <w:pPr>
        <w:pStyle w:val="BodyText"/>
      </w:pPr>
    </w:p>
    <w:p>
      <w:pPr>
        <w:pStyle w:val="BodyText"/>
      </w:pPr>
    </w:p>
    <w:p>
      <w:pPr>
        <w:pStyle w:val="BodyText"/>
      </w:pPr>
    </w:p>
    <w:p>
      <w:pPr>
        <w:pStyle w:val="BodyText"/>
        <w:ind w:left="24"/>
        <w:jc w:val="center"/>
      </w:pPr>
      <w:r>
        <w:rPr>
          <w:spacing w:val="-5"/>
        </w:rPr>
        <w:t>28</w:t>
      </w:r>
    </w:p>
    <w:p>
      <w:pPr>
        <w:pStyle w:val="BodyText"/>
        <w:spacing w:before="3"/>
        <w:rPr>
          <w:sz w:val="6"/>
        </w:rPr>
      </w:pPr>
      <w:r>
        <w:rPr/>
        <mc:AlternateContent>
          <mc:Choice Requires="wps">
            <w:drawing>
              <wp:anchor distT="0" distB="0" distL="0" distR="0" allowOverlap="1" layoutInCell="1" locked="0" behindDoc="1" simplePos="0" relativeHeight="487608320">
                <wp:simplePos x="0" y="0"/>
                <wp:positionH relativeFrom="page">
                  <wp:posOffset>231457</wp:posOffset>
                </wp:positionH>
                <wp:positionV relativeFrom="paragraph">
                  <wp:posOffset>61061</wp:posOffset>
                </wp:positionV>
                <wp:extent cx="7312659" cy="17145"/>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7312659" cy="17145"/>
                          <a:chExt cx="7312659" cy="17145"/>
                        </a:xfrm>
                      </wpg:grpSpPr>
                      <wps:wsp>
                        <wps:cNvPr id="144" name="Graphic 14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45" name="Graphic 145"/>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46" name="Graphic 14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7981pt;width:575.8pt;height:1.35pt;mso-position-horizontal-relative:page;mso-position-vertical-relative:paragraph;z-index:-15708160;mso-wrap-distance-left:0;mso-wrap-distance-right:0" id="docshapegroup142" coordorigin="364,96" coordsize="11516,27">
                <v:rect style="position:absolute;left:364;top:96;width:11516;height:14" id="docshape143" filled="true" fillcolor="#999999" stroked="false">
                  <v:fill type="solid"/>
                </v:rect>
                <v:shape style="position:absolute;left:364;top:96;width:11516;height:27" id="docshape144" coordorigin="364,96" coordsize="11516,27" path="m11880,96l11866,110,364,110,364,123,11866,123,11880,123,11880,110,11880,96xe" filled="true" fillcolor="#ededed" stroked="false">
                  <v:path arrowok="t"/>
                  <v:fill type="solid"/>
                </v:shape>
                <v:shape style="position:absolute;left:364;top:96;width:14;height:27" id="docshape145"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Heading4"/>
        <w:spacing w:before="81"/>
      </w:pPr>
      <w:bookmarkStart w:name="_bookmark4" w:id="5"/>
      <w:bookmarkEnd w:id="5"/>
      <w:r>
        <w:rPr>
          <w:b w:val="0"/>
        </w:rPr>
      </w:r>
      <w:r>
        <w:rPr/>
        <w:t>ITEM</w:t>
      </w:r>
      <w:r>
        <w:rPr>
          <w:spacing w:val="-1"/>
        </w:rPr>
        <w:t> </w:t>
      </w:r>
      <w:r>
        <w:rPr/>
        <w:t>3.</w:t>
      </w:r>
      <w:r>
        <w:rPr>
          <w:spacing w:val="44"/>
        </w:rPr>
        <w:t>  </w:t>
      </w:r>
      <w:r>
        <w:rPr/>
        <w:t>LEGAL</w:t>
      </w:r>
      <w:r>
        <w:rPr>
          <w:spacing w:val="-9"/>
        </w:rPr>
        <w:t> </w:t>
      </w:r>
      <w:r>
        <w:rPr>
          <w:spacing w:val="-2"/>
        </w:rPr>
        <w:t>PROCEEDINGS</w:t>
      </w:r>
    </w:p>
    <w:p>
      <w:pPr>
        <w:pStyle w:val="BodyText"/>
        <w:spacing w:before="18"/>
        <w:rPr>
          <w:b/>
        </w:rPr>
      </w:pPr>
    </w:p>
    <w:p>
      <w:pPr>
        <w:spacing w:before="0"/>
        <w:ind w:left="644" w:right="0" w:firstLine="0"/>
        <w:jc w:val="left"/>
        <w:rPr>
          <w:sz w:val="18"/>
        </w:rPr>
      </w:pPr>
      <w:r>
        <w:rPr>
          <w:sz w:val="18"/>
        </w:rPr>
        <w:t>See</w:t>
      </w:r>
      <w:r>
        <w:rPr>
          <w:spacing w:val="-1"/>
          <w:sz w:val="18"/>
        </w:rPr>
        <w:t> </w:t>
      </w:r>
      <w:r>
        <w:rPr>
          <w:sz w:val="18"/>
        </w:rPr>
        <w:t>discussion</w:t>
      </w:r>
      <w:r>
        <w:rPr>
          <w:spacing w:val="-1"/>
          <w:sz w:val="18"/>
        </w:rPr>
        <w:t> </w:t>
      </w:r>
      <w:r>
        <w:rPr>
          <w:sz w:val="18"/>
        </w:rPr>
        <w:t>of</w:t>
      </w:r>
      <w:r>
        <w:rPr>
          <w:spacing w:val="-1"/>
          <w:sz w:val="18"/>
        </w:rPr>
        <w:t> </w:t>
      </w:r>
      <w:r>
        <w:rPr>
          <w:sz w:val="18"/>
        </w:rPr>
        <w:t>legal</w:t>
      </w:r>
      <w:r>
        <w:rPr>
          <w:spacing w:val="-1"/>
          <w:sz w:val="18"/>
        </w:rPr>
        <w:t> </w:t>
      </w:r>
      <w:r>
        <w:rPr>
          <w:sz w:val="18"/>
        </w:rPr>
        <w:t>proceedings</w:t>
      </w:r>
      <w:r>
        <w:rPr>
          <w:spacing w:val="-1"/>
          <w:sz w:val="18"/>
        </w:rPr>
        <w:t> </w:t>
      </w:r>
      <w:r>
        <w:rPr>
          <w:sz w:val="18"/>
        </w:rPr>
        <w:t>in</w:t>
      </w:r>
      <w:r>
        <w:rPr>
          <w:spacing w:val="-1"/>
          <w:sz w:val="18"/>
        </w:rPr>
        <w:t> </w:t>
      </w:r>
      <w:r>
        <w:rPr>
          <w:sz w:val="18"/>
        </w:rPr>
        <w:t>Note</w:t>
      </w:r>
      <w:r>
        <w:rPr>
          <w:spacing w:val="-1"/>
          <w:sz w:val="18"/>
        </w:rPr>
        <w:t> </w:t>
      </w:r>
      <w:r>
        <w:rPr>
          <w:sz w:val="18"/>
        </w:rPr>
        <w:t>12</w:t>
      </w:r>
      <w:r>
        <w:rPr>
          <w:spacing w:val="-1"/>
          <w:sz w:val="18"/>
        </w:rPr>
        <w:t> </w:t>
      </w:r>
      <w:r>
        <w:rPr>
          <w:sz w:val="18"/>
        </w:rPr>
        <w:t>– </w:t>
      </w:r>
      <w:r>
        <w:rPr>
          <w:i/>
          <w:sz w:val="18"/>
        </w:rPr>
        <w:t>Commitments</w:t>
      </w:r>
      <w:r>
        <w:rPr>
          <w:i/>
          <w:spacing w:val="-1"/>
          <w:sz w:val="18"/>
        </w:rPr>
        <w:t> </w:t>
      </w:r>
      <w:r>
        <w:rPr>
          <w:i/>
          <w:sz w:val="18"/>
        </w:rPr>
        <w:t>and</w:t>
      </w:r>
      <w:r>
        <w:rPr>
          <w:i/>
          <w:spacing w:val="-1"/>
          <w:sz w:val="18"/>
        </w:rPr>
        <w:t> </w:t>
      </w:r>
      <w:r>
        <w:rPr>
          <w:i/>
          <w:sz w:val="18"/>
        </w:rPr>
        <w:t>Contingencies </w:t>
      </w:r>
      <w:r>
        <w:rPr>
          <w:sz w:val="18"/>
        </w:rPr>
        <w:t>in</w:t>
      </w:r>
      <w:r>
        <w:rPr>
          <w:spacing w:val="-1"/>
          <w:sz w:val="18"/>
        </w:rPr>
        <w:t> </w:t>
      </w:r>
      <w:r>
        <w:rPr>
          <w:sz w:val="18"/>
        </w:rPr>
        <w:t>the</w:t>
      </w:r>
      <w:r>
        <w:rPr>
          <w:spacing w:val="-1"/>
          <w:sz w:val="18"/>
        </w:rPr>
        <w:t> </w:t>
      </w:r>
      <w:r>
        <w:rPr>
          <w:sz w:val="18"/>
        </w:rPr>
        <w:t>accompanying</w:t>
      </w:r>
      <w:r>
        <w:rPr>
          <w:spacing w:val="-1"/>
          <w:sz w:val="18"/>
        </w:rPr>
        <w:t> </w:t>
      </w:r>
      <w:r>
        <w:rPr>
          <w:sz w:val="18"/>
        </w:rPr>
        <w:t>consolidated</w:t>
      </w:r>
      <w:r>
        <w:rPr>
          <w:spacing w:val="-1"/>
          <w:sz w:val="18"/>
        </w:rPr>
        <w:t> </w:t>
      </w:r>
      <w:r>
        <w:rPr>
          <w:sz w:val="18"/>
        </w:rPr>
        <w:t>financial</w:t>
      </w:r>
      <w:r>
        <w:rPr>
          <w:spacing w:val="-1"/>
          <w:sz w:val="18"/>
        </w:rPr>
        <w:t> </w:t>
      </w:r>
      <w:r>
        <w:rPr>
          <w:spacing w:val="-2"/>
          <w:sz w:val="18"/>
        </w:rPr>
        <w:t>statements.</w:t>
      </w:r>
    </w:p>
    <w:p>
      <w:pPr>
        <w:pStyle w:val="BodyText"/>
        <w:spacing w:before="5"/>
      </w:pPr>
    </w:p>
    <w:p>
      <w:pPr>
        <w:pStyle w:val="Heading4"/>
      </w:pPr>
      <w:bookmarkStart w:name="_bookmark5" w:id="6"/>
      <w:bookmarkEnd w:id="6"/>
      <w:r>
        <w:rPr>
          <w:b w:val="0"/>
        </w:rPr>
      </w:r>
      <w:r>
        <w:rPr/>
        <w:t>ITEM</w:t>
      </w:r>
      <w:r>
        <w:rPr>
          <w:spacing w:val="-1"/>
        </w:rPr>
        <w:t> </w:t>
      </w:r>
      <w:r>
        <w:rPr/>
        <w:t>4.</w:t>
      </w:r>
      <w:r>
        <w:rPr>
          <w:spacing w:val="44"/>
        </w:rPr>
        <w:t>  </w:t>
      </w:r>
      <w:r>
        <w:rPr/>
        <w:t>MINE SAFETY</w:t>
      </w:r>
      <w:r>
        <w:rPr>
          <w:spacing w:val="-7"/>
        </w:rPr>
        <w:t> </w:t>
      </w:r>
      <w:r>
        <w:rPr>
          <w:spacing w:val="-2"/>
        </w:rPr>
        <w:t>DISCLOSURES</w:t>
      </w:r>
    </w:p>
    <w:p>
      <w:pPr>
        <w:pStyle w:val="BodyText"/>
        <w:spacing w:before="4"/>
        <w:rPr>
          <w:b/>
        </w:rPr>
      </w:pPr>
    </w:p>
    <w:p>
      <w:pPr>
        <w:pStyle w:val="BodyText"/>
        <w:ind w:left="644"/>
      </w:pPr>
      <w:r>
        <w:rPr/>
        <w:t>Not</w:t>
      </w:r>
      <w:r>
        <w:rPr>
          <w:spacing w:val="-1"/>
        </w:rPr>
        <w:t> </w:t>
      </w:r>
      <w:r>
        <w:rPr>
          <w:spacing w:val="-2"/>
        </w:rPr>
        <w:t>applicable.</w:t>
      </w:r>
    </w:p>
    <w:p>
      <w:pPr>
        <w:pStyle w:val="BodyText"/>
      </w:pPr>
    </w:p>
    <w:p>
      <w:pPr>
        <w:pStyle w:val="BodyText"/>
      </w:pPr>
    </w:p>
    <w:p>
      <w:pPr>
        <w:pStyle w:val="BodyText"/>
        <w:spacing w:before="198"/>
      </w:pPr>
    </w:p>
    <w:p>
      <w:pPr>
        <w:pStyle w:val="BodyText"/>
        <w:ind w:left="24"/>
        <w:jc w:val="center"/>
      </w:pPr>
      <w:r>
        <w:rPr>
          <w:spacing w:val="-5"/>
        </w:rPr>
        <w:t>29</w:t>
      </w:r>
    </w:p>
    <w:p>
      <w:pPr>
        <w:pStyle w:val="BodyText"/>
        <w:spacing w:before="3"/>
        <w:rPr>
          <w:sz w:val="6"/>
        </w:rPr>
      </w:pPr>
      <w:r>
        <w:rPr/>
        <mc:AlternateContent>
          <mc:Choice Requires="wps">
            <w:drawing>
              <wp:anchor distT="0" distB="0" distL="0" distR="0" allowOverlap="1" layoutInCell="1" locked="0" behindDoc="1" simplePos="0" relativeHeight="487611392">
                <wp:simplePos x="0" y="0"/>
                <wp:positionH relativeFrom="page">
                  <wp:posOffset>231457</wp:posOffset>
                </wp:positionH>
                <wp:positionV relativeFrom="paragraph">
                  <wp:posOffset>60956</wp:posOffset>
                </wp:positionV>
                <wp:extent cx="7312659" cy="17145"/>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7312659" cy="17145"/>
                          <a:chExt cx="7312659" cy="17145"/>
                        </a:xfrm>
                      </wpg:grpSpPr>
                      <wps:wsp>
                        <wps:cNvPr id="148" name="Graphic 14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49" name="Graphic 149"/>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50" name="Graphic 15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5088;mso-wrap-distance-left:0;mso-wrap-distance-right:0" id="docshapegroup146" coordorigin="364,96" coordsize="11516,27">
                <v:rect style="position:absolute;left:364;top:96;width:11516;height:14" id="docshape147" filled="true" fillcolor="#999999" stroked="false">
                  <v:fill type="solid"/>
                </v:rect>
                <v:shape style="position:absolute;left:364;top:95;width:11516;height:27" id="docshape148" coordorigin="364,96" coordsize="11516,27" path="m11880,96l11866,109,364,109,364,123,11866,123,11880,123,11880,109,11880,96xe" filled="true" fillcolor="#ededed" stroked="false">
                  <v:path arrowok="t"/>
                  <v:fill type="solid"/>
                </v:shape>
                <v:shape style="position:absolute;left:364;top:96;width:14;height:27" id="docshape14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600" w:bottom="280" w:left="220" w:right="240"/>
        </w:sectPr>
      </w:pPr>
    </w:p>
    <w:p>
      <w:pPr>
        <w:pStyle w:val="Heading4"/>
        <w:spacing w:before="63"/>
        <w:ind w:left="24"/>
        <w:jc w:val="center"/>
      </w:pPr>
      <w:r>
        <w:rPr>
          <w:spacing w:val="-5"/>
        </w:rPr>
        <w:t>PART II</w:t>
      </w:r>
    </w:p>
    <w:p>
      <w:pPr>
        <w:pStyle w:val="BodyText"/>
        <w:spacing w:before="4"/>
        <w:rPr>
          <w:b/>
        </w:rPr>
      </w:pPr>
    </w:p>
    <w:p>
      <w:pPr>
        <w:spacing w:line="249" w:lineRule="auto" w:before="0"/>
        <w:ind w:left="144" w:right="0" w:firstLine="0"/>
        <w:jc w:val="left"/>
        <w:rPr>
          <w:b/>
          <w:sz w:val="18"/>
        </w:rPr>
      </w:pPr>
      <w:bookmarkStart w:name="_bookmark6" w:id="7"/>
      <w:bookmarkEnd w:id="7"/>
      <w:r>
        <w:rPr/>
      </w:r>
      <w:r>
        <w:rPr>
          <w:b/>
          <w:sz w:val="18"/>
        </w:rPr>
        <w:t>ITEM</w:t>
      </w:r>
      <w:r>
        <w:rPr>
          <w:b/>
          <w:spacing w:val="-9"/>
          <w:sz w:val="18"/>
        </w:rPr>
        <w:t> </w:t>
      </w:r>
      <w:r>
        <w:rPr>
          <w:b/>
          <w:sz w:val="18"/>
        </w:rPr>
        <w:t>5.</w:t>
      </w:r>
      <w:r>
        <w:rPr>
          <w:b/>
          <w:spacing w:val="80"/>
          <w:w w:val="150"/>
          <w:sz w:val="18"/>
        </w:rPr>
        <w:t> </w:t>
      </w:r>
      <w:r>
        <w:rPr>
          <w:b/>
          <w:sz w:val="18"/>
        </w:rPr>
        <w:t>MARKET</w:t>
      </w:r>
      <w:r>
        <w:rPr>
          <w:b/>
          <w:spacing w:val="-9"/>
          <w:sz w:val="18"/>
        </w:rPr>
        <w:t> </w:t>
      </w:r>
      <w:r>
        <w:rPr>
          <w:b/>
          <w:sz w:val="18"/>
        </w:rPr>
        <w:t>FOR</w:t>
      </w:r>
      <w:r>
        <w:rPr>
          <w:b/>
          <w:spacing w:val="-6"/>
          <w:sz w:val="18"/>
        </w:rPr>
        <w:t> </w:t>
      </w:r>
      <w:r>
        <w:rPr>
          <w:b/>
          <w:sz w:val="18"/>
        </w:rPr>
        <w:t>REGISTRANT’S</w:t>
      </w:r>
      <w:r>
        <w:rPr>
          <w:b/>
          <w:spacing w:val="-6"/>
          <w:sz w:val="18"/>
        </w:rPr>
        <w:t> </w:t>
      </w:r>
      <w:r>
        <w:rPr>
          <w:b/>
          <w:sz w:val="18"/>
        </w:rPr>
        <w:t>COMMON</w:t>
      </w:r>
      <w:r>
        <w:rPr>
          <w:b/>
          <w:spacing w:val="-6"/>
          <w:sz w:val="18"/>
        </w:rPr>
        <w:t> </w:t>
      </w:r>
      <w:r>
        <w:rPr>
          <w:b/>
          <w:sz w:val="18"/>
        </w:rPr>
        <w:t>EQUITY,</w:t>
      </w:r>
      <w:r>
        <w:rPr>
          <w:b/>
          <w:spacing w:val="-6"/>
          <w:sz w:val="18"/>
        </w:rPr>
        <w:t> </w:t>
      </w:r>
      <w:r>
        <w:rPr>
          <w:b/>
          <w:sz w:val="18"/>
        </w:rPr>
        <w:t>RELATED</w:t>
      </w:r>
      <w:r>
        <w:rPr>
          <w:b/>
          <w:spacing w:val="-6"/>
          <w:sz w:val="18"/>
        </w:rPr>
        <w:t> </w:t>
      </w:r>
      <w:r>
        <w:rPr>
          <w:b/>
          <w:sz w:val="18"/>
        </w:rPr>
        <w:t>STOCKHOLDER</w:t>
      </w:r>
      <w:r>
        <w:rPr>
          <w:b/>
          <w:spacing w:val="-6"/>
          <w:sz w:val="18"/>
        </w:rPr>
        <w:t> </w:t>
      </w:r>
      <w:r>
        <w:rPr>
          <w:b/>
          <w:sz w:val="18"/>
        </w:rPr>
        <w:t>MATTERS</w:t>
      </w:r>
      <w:r>
        <w:rPr>
          <w:b/>
          <w:spacing w:val="-12"/>
          <w:sz w:val="18"/>
        </w:rPr>
        <w:t> </w:t>
      </w:r>
      <w:r>
        <w:rPr>
          <w:b/>
          <w:sz w:val="18"/>
        </w:rPr>
        <w:t>AND</w:t>
      </w:r>
      <w:r>
        <w:rPr>
          <w:b/>
          <w:spacing w:val="-5"/>
          <w:sz w:val="18"/>
        </w:rPr>
        <w:t> </w:t>
      </w:r>
      <w:r>
        <w:rPr>
          <w:b/>
          <w:sz w:val="18"/>
        </w:rPr>
        <w:t>ISSUER</w:t>
      </w:r>
      <w:r>
        <w:rPr>
          <w:b/>
          <w:spacing w:val="-6"/>
          <w:sz w:val="18"/>
        </w:rPr>
        <w:t> </w:t>
      </w:r>
      <w:r>
        <w:rPr>
          <w:b/>
          <w:sz w:val="18"/>
        </w:rPr>
        <w:t>PURCHASES</w:t>
      </w:r>
      <w:r>
        <w:rPr>
          <w:b/>
          <w:spacing w:val="-6"/>
          <w:sz w:val="18"/>
        </w:rPr>
        <w:t> </w:t>
      </w:r>
      <w:r>
        <w:rPr>
          <w:b/>
          <w:sz w:val="18"/>
        </w:rPr>
        <w:t>OF EQUITY</w:t>
      </w:r>
      <w:r>
        <w:rPr>
          <w:b/>
          <w:spacing w:val="-10"/>
          <w:sz w:val="18"/>
        </w:rPr>
        <w:t> </w:t>
      </w:r>
      <w:r>
        <w:rPr>
          <w:b/>
          <w:sz w:val="18"/>
        </w:rPr>
        <w:t>SECURITIES</w:t>
      </w:r>
    </w:p>
    <w:p>
      <w:pPr>
        <w:pStyle w:val="Heading5"/>
        <w:spacing w:before="204"/>
        <w:jc w:val="left"/>
      </w:pPr>
      <w:r>
        <w:rPr/>
        <w:t>Common</w:t>
      </w:r>
      <w:r>
        <w:rPr>
          <w:spacing w:val="-1"/>
        </w:rPr>
        <w:t> </w:t>
      </w:r>
      <w:r>
        <w:rPr/>
        <w:t>Stock</w:t>
      </w:r>
      <w:r>
        <w:rPr>
          <w:spacing w:val="-1"/>
        </w:rPr>
        <w:t> </w:t>
      </w:r>
      <w:r>
        <w:rPr>
          <w:spacing w:val="-2"/>
        </w:rPr>
        <w:t>Information</w:t>
      </w:r>
    </w:p>
    <w:p>
      <w:pPr>
        <w:pStyle w:val="BodyText"/>
        <w:spacing w:before="5"/>
        <w:rPr>
          <w:b/>
        </w:rPr>
      </w:pPr>
    </w:p>
    <w:p>
      <w:pPr>
        <w:pStyle w:val="BodyText"/>
        <w:spacing w:line="501" w:lineRule="auto"/>
        <w:ind w:left="644" w:right="3497"/>
      </w:pPr>
      <w:r>
        <w:rPr/>
        <w:t>Our</w:t>
      </w:r>
      <w:r>
        <w:rPr>
          <w:spacing w:val="-4"/>
        </w:rPr>
        <w:t> </w:t>
      </w:r>
      <w:r>
        <w:rPr/>
        <w:t>common</w:t>
      </w:r>
      <w:r>
        <w:rPr>
          <w:spacing w:val="-4"/>
        </w:rPr>
        <w:t> </w:t>
      </w:r>
      <w:r>
        <w:rPr/>
        <w:t>stock</w:t>
      </w:r>
      <w:r>
        <w:rPr>
          <w:spacing w:val="-4"/>
        </w:rPr>
        <w:t> </w:t>
      </w:r>
      <w:r>
        <w:rPr/>
        <w:t>is</w:t>
      </w:r>
      <w:r>
        <w:rPr>
          <w:spacing w:val="-4"/>
        </w:rPr>
        <w:t> </w:t>
      </w:r>
      <w:r>
        <w:rPr/>
        <w:t>traded</w:t>
      </w:r>
      <w:r>
        <w:rPr>
          <w:spacing w:val="-4"/>
        </w:rPr>
        <w:t> </w:t>
      </w:r>
      <w:r>
        <w:rPr/>
        <w:t>on</w:t>
      </w:r>
      <w:r>
        <w:rPr>
          <w:spacing w:val="-4"/>
        </w:rPr>
        <w:t> </w:t>
      </w:r>
      <w:r>
        <w:rPr/>
        <w:t>the</w:t>
      </w:r>
      <w:r>
        <w:rPr>
          <w:spacing w:val="-4"/>
        </w:rPr>
        <w:t> </w:t>
      </w:r>
      <w:r>
        <w:rPr/>
        <w:t>New</w:t>
      </w:r>
      <w:r>
        <w:rPr>
          <w:spacing w:val="-10"/>
        </w:rPr>
        <w:t> </w:t>
      </w:r>
      <w:r>
        <w:rPr/>
        <w:t>York</w:t>
      </w:r>
      <w:r>
        <w:rPr>
          <w:spacing w:val="-4"/>
        </w:rPr>
        <w:t> </w:t>
      </w:r>
      <w:r>
        <w:rPr/>
        <w:t>Stock</w:t>
      </w:r>
      <w:r>
        <w:rPr>
          <w:spacing w:val="-4"/>
        </w:rPr>
        <w:t> </w:t>
      </w:r>
      <w:r>
        <w:rPr/>
        <w:t>Exchange</w:t>
      </w:r>
      <w:r>
        <w:rPr>
          <w:spacing w:val="-4"/>
        </w:rPr>
        <w:t> </w:t>
      </w:r>
      <w:r>
        <w:rPr/>
        <w:t>(“NYSE”)</w:t>
      </w:r>
      <w:r>
        <w:rPr>
          <w:spacing w:val="-4"/>
        </w:rPr>
        <w:t> </w:t>
      </w:r>
      <w:r>
        <w:rPr/>
        <w:t>under</w:t>
      </w:r>
      <w:r>
        <w:rPr>
          <w:spacing w:val="-4"/>
        </w:rPr>
        <w:t> </w:t>
      </w:r>
      <w:r>
        <w:rPr/>
        <w:t>the</w:t>
      </w:r>
      <w:r>
        <w:rPr>
          <w:spacing w:val="-4"/>
        </w:rPr>
        <w:t> </w:t>
      </w:r>
      <w:r>
        <w:rPr/>
        <w:t>symbol</w:t>
      </w:r>
      <w:r>
        <w:rPr>
          <w:spacing w:val="-4"/>
        </w:rPr>
        <w:t> </w:t>
      </w:r>
      <w:r>
        <w:rPr/>
        <w:t>“MGM.” There were approximately 3,143 record holders of our common stock as of February 22, 2023.</w:t>
      </w:r>
    </w:p>
    <w:p>
      <w:pPr>
        <w:pStyle w:val="Heading5"/>
        <w:spacing w:line="192" w:lineRule="exact"/>
        <w:jc w:val="left"/>
      </w:pPr>
      <w:r>
        <w:rPr/>
        <w:t>Dividend</w:t>
      </w:r>
      <w:r>
        <w:rPr>
          <w:spacing w:val="-1"/>
        </w:rPr>
        <w:t> </w:t>
      </w:r>
      <w:r>
        <w:rPr>
          <w:spacing w:val="-2"/>
        </w:rPr>
        <w:t>Policy</w:t>
      </w:r>
    </w:p>
    <w:p>
      <w:pPr>
        <w:pStyle w:val="BodyText"/>
        <w:spacing w:line="235" w:lineRule="auto" w:before="201"/>
        <w:ind w:left="144" w:right="118" w:firstLine="499"/>
        <w:jc w:val="both"/>
      </w:pPr>
      <w:r>
        <w:rPr/>
        <w:t>We implemented a dividend program in February 2017 pursuant to which it has paid regular quarterly dividends. In the second quarter of 2020, </w:t>
      </w:r>
      <w:r>
        <w:rPr/>
        <w:t>we reduced our annual dividend to $0.01 per share in light of the impact of the COVID-19 pandemic on our operations at that time. We maintained an annual dividend</w:t>
      </w:r>
      <w:r>
        <w:rPr>
          <w:spacing w:val="-1"/>
        </w:rPr>
        <w:t> </w:t>
      </w:r>
      <w:r>
        <w:rPr/>
        <w:t>of</w:t>
      </w:r>
      <w:r>
        <w:rPr>
          <w:spacing w:val="-1"/>
        </w:rPr>
        <w:t> </w:t>
      </w:r>
      <w:r>
        <w:rPr/>
        <w:t>$0.01</w:t>
      </w:r>
      <w:r>
        <w:rPr>
          <w:spacing w:val="-1"/>
        </w:rPr>
        <w:t> </w:t>
      </w:r>
      <w:r>
        <w:rPr/>
        <w:t>per</w:t>
      </w:r>
      <w:r>
        <w:rPr>
          <w:spacing w:val="-1"/>
        </w:rPr>
        <w:t> </w:t>
      </w:r>
      <w:r>
        <w:rPr/>
        <w:t>share</w:t>
      </w:r>
      <w:r>
        <w:rPr>
          <w:spacing w:val="-1"/>
        </w:rPr>
        <w:t> </w:t>
      </w:r>
      <w:r>
        <w:rPr/>
        <w:t>throughout</w:t>
      </w:r>
      <w:r>
        <w:rPr>
          <w:spacing w:val="-1"/>
        </w:rPr>
        <w:t> </w:t>
      </w:r>
      <w:r>
        <w:rPr/>
        <w:t>2022.</w:t>
      </w:r>
      <w:r>
        <w:rPr>
          <w:spacing w:val="-1"/>
        </w:rPr>
        <w:t> </w:t>
      </w:r>
      <w:r>
        <w:rPr/>
        <w:t>On</w:t>
      </w:r>
      <w:r>
        <w:rPr>
          <w:spacing w:val="-1"/>
        </w:rPr>
        <w:t> </w:t>
      </w:r>
      <w:r>
        <w:rPr/>
        <w:t>February</w:t>
      </w:r>
      <w:r>
        <w:rPr>
          <w:spacing w:val="-1"/>
        </w:rPr>
        <w:t> </w:t>
      </w:r>
      <w:r>
        <w:rPr/>
        <w:t>8,</w:t>
      </w:r>
      <w:r>
        <w:rPr>
          <w:spacing w:val="-1"/>
        </w:rPr>
        <w:t> </w:t>
      </w:r>
      <w:r>
        <w:rPr/>
        <w:t>2023,</w:t>
      </w:r>
      <w:r>
        <w:rPr>
          <w:spacing w:val="-1"/>
        </w:rPr>
        <w:t> </w:t>
      </w:r>
      <w:r>
        <w:rPr/>
        <w:t>we</w:t>
      </w:r>
      <w:r>
        <w:rPr>
          <w:spacing w:val="-1"/>
        </w:rPr>
        <w:t> </w:t>
      </w:r>
      <w:r>
        <w:rPr/>
        <w:t>announced</w:t>
      </w:r>
      <w:r>
        <w:rPr>
          <w:spacing w:val="-1"/>
        </w:rPr>
        <w:t> </w:t>
      </w:r>
      <w:r>
        <w:rPr/>
        <w:t>that</w:t>
      </w:r>
      <w:r>
        <w:rPr>
          <w:spacing w:val="-1"/>
        </w:rPr>
        <w:t> </w:t>
      </w:r>
      <w:r>
        <w:rPr/>
        <w:t>the</w:t>
      </w:r>
      <w:r>
        <w:rPr>
          <w:spacing w:val="-1"/>
        </w:rPr>
        <w:t> </w:t>
      </w:r>
      <w:r>
        <w:rPr/>
        <w:t>Board</w:t>
      </w:r>
      <w:r>
        <w:rPr>
          <w:spacing w:val="-1"/>
        </w:rPr>
        <w:t> </w:t>
      </w:r>
      <w:r>
        <w:rPr/>
        <w:t>of</w:t>
      </w:r>
      <w:r>
        <w:rPr>
          <w:spacing w:val="-1"/>
        </w:rPr>
        <w:t> </w:t>
      </w:r>
      <w:r>
        <w:rPr/>
        <w:t>Directors</w:t>
      </w:r>
      <w:r>
        <w:rPr>
          <w:spacing w:val="-1"/>
        </w:rPr>
        <w:t> </w:t>
      </w:r>
      <w:r>
        <w:rPr/>
        <w:t>has</w:t>
      </w:r>
      <w:r>
        <w:rPr>
          <w:spacing w:val="-1"/>
        </w:rPr>
        <w:t> </w:t>
      </w:r>
      <w:r>
        <w:rPr/>
        <w:t>determined</w:t>
      </w:r>
      <w:r>
        <w:rPr>
          <w:spacing w:val="-1"/>
        </w:rPr>
        <w:t> </w:t>
      </w:r>
      <w:r>
        <w:rPr/>
        <w:t>to</w:t>
      </w:r>
      <w:r>
        <w:rPr>
          <w:spacing w:val="-1"/>
        </w:rPr>
        <w:t> </w:t>
      </w:r>
      <w:r>
        <w:rPr/>
        <w:t>suspend</w:t>
      </w:r>
      <w:r>
        <w:rPr>
          <w:spacing w:val="-1"/>
        </w:rPr>
        <w:t> </w:t>
      </w:r>
      <w:r>
        <w:rPr/>
        <w:t>the</w:t>
      </w:r>
      <w:r>
        <w:rPr>
          <w:spacing w:val="-1"/>
        </w:rPr>
        <w:t> </w:t>
      </w:r>
      <w:r>
        <w:rPr/>
        <w:t>ongoing</w:t>
      </w:r>
      <w:r>
        <w:rPr>
          <w:spacing w:val="-1"/>
        </w:rPr>
        <w:t> </w:t>
      </w:r>
      <w:r>
        <w:rPr/>
        <w:t>dividends in light of our current preferred method of returning value to shareholders through our share repurchase plan. To the extent we determine to reinstate the dividend in the future, the amount, declaration and payment of any future dividends will be subject to the discretion of our Board of Directors who will</w:t>
      </w:r>
      <w:r>
        <w:rPr>
          <w:spacing w:val="40"/>
        </w:rPr>
        <w:t> </w:t>
      </w:r>
      <w:r>
        <w:rPr/>
        <w:t>evaluate our dividend policy from time to time based on factors it deems relevant, and the contractual limitations described below.</w:t>
      </w:r>
    </w:p>
    <w:p>
      <w:pPr>
        <w:pStyle w:val="BodyText"/>
        <w:spacing w:before="17"/>
      </w:pPr>
    </w:p>
    <w:p>
      <w:pPr>
        <w:pStyle w:val="Heading5"/>
        <w:jc w:val="left"/>
      </w:pPr>
      <w:r>
        <w:rPr/>
        <w:t>Purchases</w:t>
      </w:r>
      <w:r>
        <w:rPr>
          <w:spacing w:val="-2"/>
        </w:rPr>
        <w:t> </w:t>
      </w:r>
      <w:r>
        <w:rPr/>
        <w:t>of</w:t>
      </w:r>
      <w:r>
        <w:rPr>
          <w:spacing w:val="-2"/>
        </w:rPr>
        <w:t> </w:t>
      </w:r>
      <w:r>
        <w:rPr/>
        <w:t>Equity</w:t>
      </w:r>
      <w:r>
        <w:rPr>
          <w:spacing w:val="-1"/>
        </w:rPr>
        <w:t> </w:t>
      </w:r>
      <w:r>
        <w:rPr/>
        <w:t>Securities</w:t>
      </w:r>
      <w:r>
        <w:rPr>
          <w:spacing w:val="-2"/>
        </w:rPr>
        <w:t> </w:t>
      </w:r>
      <w:r>
        <w:rPr/>
        <w:t>by</w:t>
      </w:r>
      <w:r>
        <w:rPr>
          <w:spacing w:val="-2"/>
        </w:rPr>
        <w:t> </w:t>
      </w:r>
      <w:r>
        <w:rPr/>
        <w:t>the</w:t>
      </w:r>
      <w:r>
        <w:rPr>
          <w:spacing w:val="-1"/>
        </w:rPr>
        <w:t> </w:t>
      </w:r>
      <w:r>
        <w:rPr>
          <w:spacing w:val="-2"/>
        </w:rPr>
        <w:t>Issuer</w:t>
      </w:r>
    </w:p>
    <w:p>
      <w:pPr>
        <w:pStyle w:val="BodyText"/>
        <w:spacing w:before="5"/>
        <w:rPr>
          <w:b/>
        </w:rPr>
      </w:pPr>
    </w:p>
    <w:p>
      <w:pPr>
        <w:pStyle w:val="BodyText"/>
        <w:ind w:left="644"/>
      </w:pPr>
      <w:r>
        <w:rPr/>
        <w:t>The</w:t>
      </w:r>
      <w:r>
        <w:rPr>
          <w:spacing w:val="-1"/>
        </w:rPr>
        <w:t> </w:t>
      </w:r>
      <w:r>
        <w:rPr/>
        <w:t>following</w:t>
      </w:r>
      <w:r>
        <w:rPr>
          <w:spacing w:val="-1"/>
        </w:rPr>
        <w:t> </w:t>
      </w:r>
      <w:r>
        <w:rPr/>
        <w:t>table</w:t>
      </w:r>
      <w:r>
        <w:rPr>
          <w:spacing w:val="-1"/>
        </w:rPr>
        <w:t> </w:t>
      </w:r>
      <w:r>
        <w:rPr/>
        <w:t>provides</w:t>
      </w:r>
      <w:r>
        <w:rPr>
          <w:spacing w:val="-1"/>
        </w:rPr>
        <w:t> </w:t>
      </w:r>
      <w:r>
        <w:rPr/>
        <w:t>information</w:t>
      </w:r>
      <w:r>
        <w:rPr>
          <w:spacing w:val="-1"/>
        </w:rPr>
        <w:t> </w:t>
      </w:r>
      <w:r>
        <w:rPr/>
        <w:t>about</w:t>
      </w:r>
      <w:r>
        <w:rPr>
          <w:spacing w:val="-1"/>
        </w:rPr>
        <w:t> </w:t>
      </w:r>
      <w:r>
        <w:rPr/>
        <w:t>share</w:t>
      </w:r>
      <w:r>
        <w:rPr>
          <w:spacing w:val="-1"/>
        </w:rPr>
        <w:t> </w:t>
      </w:r>
      <w:r>
        <w:rPr/>
        <w:t>repurchases</w:t>
      </w:r>
      <w:r>
        <w:rPr>
          <w:spacing w:val="-1"/>
        </w:rPr>
        <w:t> </w:t>
      </w:r>
      <w:r>
        <w:rPr/>
        <w:t>of</w:t>
      </w:r>
      <w:r>
        <w:rPr>
          <w:spacing w:val="-1"/>
        </w:rPr>
        <w:t> </w:t>
      </w:r>
      <w:r>
        <w:rPr/>
        <w:t>our</w:t>
      </w:r>
      <w:r>
        <w:rPr>
          <w:spacing w:val="-1"/>
        </w:rPr>
        <w:t> </w:t>
      </w:r>
      <w:r>
        <w:rPr/>
        <w:t>common</w:t>
      </w:r>
      <w:r>
        <w:rPr>
          <w:spacing w:val="-1"/>
        </w:rPr>
        <w:t> </w:t>
      </w:r>
      <w:r>
        <w:rPr/>
        <w:t>stock</w:t>
      </w:r>
      <w:r>
        <w:rPr>
          <w:spacing w:val="-1"/>
        </w:rPr>
        <w:t> </w:t>
      </w:r>
      <w:r>
        <w:rPr/>
        <w:t>during</w:t>
      </w:r>
      <w:r>
        <w:rPr>
          <w:spacing w:val="-1"/>
        </w:rPr>
        <w:t> </w:t>
      </w:r>
      <w:r>
        <w:rPr/>
        <w:t>the</w:t>
      </w:r>
      <w:r>
        <w:rPr>
          <w:spacing w:val="-1"/>
        </w:rPr>
        <w:t> </w:t>
      </w:r>
      <w:r>
        <w:rPr/>
        <w:t>quarter</w:t>
      </w:r>
      <w:r>
        <w:rPr>
          <w:spacing w:val="-1"/>
        </w:rPr>
        <w:t> </w:t>
      </w:r>
      <w:r>
        <w:rPr/>
        <w:t>ended</w:t>
      </w:r>
      <w:r>
        <w:rPr>
          <w:spacing w:val="-1"/>
        </w:rPr>
        <w:t> </w:t>
      </w:r>
      <w:r>
        <w:rPr/>
        <w:t>December</w:t>
      </w:r>
      <w:r>
        <w:rPr>
          <w:spacing w:val="-1"/>
        </w:rPr>
        <w:t> </w:t>
      </w:r>
      <w:r>
        <w:rPr/>
        <w:t>31,</w:t>
      </w:r>
      <w:r>
        <w:rPr>
          <w:spacing w:val="-1"/>
        </w:rPr>
        <w:t> </w:t>
      </w:r>
      <w:r>
        <w:rPr>
          <w:spacing w:val="-2"/>
        </w:rPr>
        <w:t>2022:</w:t>
      </w:r>
    </w:p>
    <w:p>
      <w:pPr>
        <w:spacing w:line="197" w:lineRule="exact" w:before="36"/>
        <w:ind w:left="10219" w:right="0" w:firstLine="0"/>
        <w:jc w:val="left"/>
        <w:rPr>
          <w:b/>
          <w:sz w:val="18"/>
        </w:rPr>
      </w:pPr>
      <w:r>
        <w:rPr>
          <w:b/>
          <w:spacing w:val="-2"/>
          <w:sz w:val="18"/>
        </w:rPr>
        <w:t>Dollar</w:t>
      </w:r>
      <w:r>
        <w:rPr>
          <w:b/>
          <w:spacing w:val="-5"/>
          <w:sz w:val="18"/>
        </w:rPr>
        <w:t> </w:t>
      </w:r>
      <w:r>
        <w:rPr>
          <w:b/>
          <w:spacing w:val="-2"/>
          <w:sz w:val="18"/>
        </w:rPr>
        <w:t>Value</w:t>
      </w:r>
      <w:r>
        <w:rPr>
          <w:b/>
          <w:spacing w:val="2"/>
          <w:sz w:val="18"/>
        </w:rPr>
        <w:t> </w:t>
      </w:r>
      <w:r>
        <w:rPr>
          <w:b/>
          <w:spacing w:val="-5"/>
          <w:sz w:val="18"/>
        </w:rPr>
        <w:t>of</w:t>
      </w:r>
    </w:p>
    <w:p>
      <w:pPr>
        <w:spacing w:after="0" w:line="197" w:lineRule="exact"/>
        <w:jc w:val="left"/>
        <w:rPr>
          <w:sz w:val="18"/>
        </w:rPr>
        <w:sectPr>
          <w:pgSz w:w="12240" w:h="15840"/>
          <w:pgMar w:top="1200" w:bottom="280" w:left="220" w:right="240"/>
        </w:sectPr>
      </w:pPr>
    </w:p>
    <w:p>
      <w:pPr>
        <w:spacing w:line="204" w:lineRule="auto" w:before="17"/>
        <w:ind w:left="8187" w:right="0" w:firstLine="151"/>
        <w:jc w:val="left"/>
        <w:rPr>
          <w:b/>
          <w:sz w:val="18"/>
        </w:rPr>
      </w:pPr>
      <w:r>
        <w:rPr>
          <w:b/>
          <w:sz w:val="18"/>
        </w:rPr>
        <w:t>Total Number of Shares</w:t>
      </w:r>
      <w:r>
        <w:rPr>
          <w:b/>
          <w:spacing w:val="-12"/>
          <w:sz w:val="18"/>
        </w:rPr>
        <w:t> </w:t>
      </w:r>
      <w:r>
        <w:rPr>
          <w:b/>
          <w:sz w:val="18"/>
        </w:rPr>
        <w:t>Purchased</w:t>
      </w:r>
      <w:r>
        <w:rPr>
          <w:b/>
          <w:spacing w:val="-11"/>
          <w:sz w:val="18"/>
        </w:rPr>
        <w:t> </w:t>
      </w:r>
      <w:r>
        <w:rPr>
          <w:b/>
          <w:sz w:val="18"/>
        </w:rPr>
        <w:t>as</w:t>
      </w:r>
    </w:p>
    <w:p>
      <w:pPr>
        <w:spacing w:line="204" w:lineRule="auto" w:before="17"/>
        <w:ind w:left="214" w:right="196" w:firstLine="5"/>
        <w:jc w:val="left"/>
        <w:rPr>
          <w:b/>
          <w:sz w:val="18"/>
        </w:rPr>
      </w:pPr>
      <w:r>
        <w:rPr/>
        <w:br w:type="column"/>
      </w:r>
      <w:r>
        <w:rPr>
          <w:b/>
          <w:sz w:val="18"/>
        </w:rPr>
        <w:t>Shares</w:t>
      </w:r>
      <w:r>
        <w:rPr>
          <w:b/>
          <w:spacing w:val="-12"/>
          <w:sz w:val="18"/>
        </w:rPr>
        <w:t> </w:t>
      </w:r>
      <w:r>
        <w:rPr>
          <w:b/>
          <w:sz w:val="18"/>
        </w:rPr>
        <w:t>that</w:t>
      </w:r>
      <w:r>
        <w:rPr>
          <w:b/>
          <w:spacing w:val="-11"/>
          <w:sz w:val="18"/>
        </w:rPr>
        <w:t> </w:t>
      </w:r>
      <w:r>
        <w:rPr>
          <w:b/>
          <w:sz w:val="18"/>
        </w:rPr>
        <w:t>May</w:t>
      </w:r>
      <w:r>
        <w:rPr>
          <w:b/>
          <w:spacing w:val="-11"/>
          <w:sz w:val="18"/>
        </w:rPr>
        <w:t> </w:t>
      </w:r>
      <w:r>
        <w:rPr>
          <w:b/>
          <w:sz w:val="18"/>
        </w:rPr>
        <w:t>Yet be</w:t>
      </w:r>
      <w:r>
        <w:rPr>
          <w:b/>
          <w:spacing w:val="-3"/>
          <w:sz w:val="18"/>
        </w:rPr>
        <w:t> </w:t>
      </w:r>
      <w:r>
        <w:rPr>
          <w:b/>
          <w:sz w:val="18"/>
        </w:rPr>
        <w:t>Purchased</w:t>
      </w:r>
      <w:r>
        <w:rPr>
          <w:b/>
          <w:spacing w:val="-3"/>
          <w:sz w:val="18"/>
        </w:rPr>
        <w:t> </w:t>
      </w:r>
      <w:r>
        <w:rPr>
          <w:b/>
          <w:spacing w:val="-2"/>
          <w:sz w:val="18"/>
        </w:rPr>
        <w:t>Under</w:t>
      </w:r>
    </w:p>
    <w:p>
      <w:pPr>
        <w:spacing w:after="0" w:line="204" w:lineRule="auto"/>
        <w:jc w:val="left"/>
        <w:rPr>
          <w:sz w:val="18"/>
        </w:rPr>
        <w:sectPr>
          <w:type w:val="continuous"/>
          <w:pgSz w:w="12240" w:h="15840"/>
          <w:pgMar w:top="1040" w:bottom="280" w:left="220" w:right="240"/>
          <w:cols w:num="2" w:equalWidth="0">
            <w:col w:w="9761" w:space="40"/>
            <w:col w:w="1979"/>
          </w:cols>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6"/>
        <w:gridCol w:w="2287"/>
        <w:gridCol w:w="1836"/>
        <w:gridCol w:w="1812"/>
        <w:gridCol w:w="1793"/>
      </w:tblGrid>
      <w:tr>
        <w:trPr>
          <w:trHeight w:val="402" w:hRule="atLeast"/>
        </w:trPr>
        <w:tc>
          <w:tcPr>
            <w:tcW w:w="3786" w:type="dxa"/>
          </w:tcPr>
          <w:p>
            <w:pPr>
              <w:pStyle w:val="TableParagraph"/>
              <w:spacing w:before="163"/>
              <w:ind w:left="17"/>
              <w:rPr>
                <w:b/>
                <w:sz w:val="18"/>
              </w:rPr>
            </w:pPr>
            <w:r>
              <w:rPr>
                <w:b/>
                <w:spacing w:val="-2"/>
                <w:sz w:val="18"/>
              </w:rPr>
              <w:t>Period</w:t>
            </w:r>
          </w:p>
        </w:tc>
        <w:tc>
          <w:tcPr>
            <w:tcW w:w="2287" w:type="dxa"/>
            <w:tcBorders>
              <w:bottom w:val="single" w:sz="6" w:space="0" w:color="000000"/>
            </w:tcBorders>
          </w:tcPr>
          <w:p>
            <w:pPr>
              <w:pStyle w:val="TableParagraph"/>
              <w:spacing w:line="218" w:lineRule="auto" w:before="0"/>
              <w:ind w:left="719" w:right="195" w:firstLine="49"/>
              <w:rPr>
                <w:b/>
                <w:sz w:val="18"/>
              </w:rPr>
            </w:pPr>
            <w:r>
              <w:rPr>
                <w:b/>
                <w:sz w:val="18"/>
              </w:rPr>
              <w:t>Total</w:t>
            </w:r>
            <w:r>
              <w:rPr>
                <w:b/>
                <w:spacing w:val="-3"/>
                <w:sz w:val="18"/>
              </w:rPr>
              <w:t> </w:t>
            </w:r>
            <w:r>
              <w:rPr>
                <w:b/>
                <w:sz w:val="18"/>
              </w:rPr>
              <w:t>Number</w:t>
            </w:r>
            <w:r>
              <w:rPr>
                <w:b/>
                <w:spacing w:val="-6"/>
                <w:sz w:val="18"/>
              </w:rPr>
              <w:t> </w:t>
            </w:r>
            <w:r>
              <w:rPr>
                <w:b/>
                <w:sz w:val="18"/>
              </w:rPr>
              <w:t>of Shares</w:t>
            </w:r>
            <w:r>
              <w:rPr>
                <w:b/>
                <w:spacing w:val="-5"/>
                <w:sz w:val="18"/>
              </w:rPr>
              <w:t> </w:t>
            </w:r>
            <w:r>
              <w:rPr>
                <w:b/>
                <w:spacing w:val="-2"/>
                <w:sz w:val="18"/>
              </w:rPr>
              <w:t>Purchased</w:t>
            </w:r>
          </w:p>
        </w:tc>
        <w:tc>
          <w:tcPr>
            <w:tcW w:w="1836" w:type="dxa"/>
            <w:tcBorders>
              <w:bottom w:val="single" w:sz="6" w:space="0" w:color="000000"/>
            </w:tcBorders>
          </w:tcPr>
          <w:p>
            <w:pPr>
              <w:pStyle w:val="TableParagraph"/>
              <w:spacing w:line="218" w:lineRule="auto" w:before="0"/>
              <w:ind w:left="561" w:right="165" w:hanging="359"/>
              <w:rPr>
                <w:b/>
                <w:sz w:val="18"/>
              </w:rPr>
            </w:pPr>
            <w:r>
              <w:rPr>
                <w:b/>
                <w:sz w:val="18"/>
              </w:rPr>
              <w:t>Average</w:t>
            </w:r>
            <w:r>
              <w:rPr>
                <w:b/>
                <w:spacing w:val="-12"/>
                <w:sz w:val="18"/>
              </w:rPr>
              <w:t> </w:t>
            </w:r>
            <w:r>
              <w:rPr>
                <w:b/>
                <w:sz w:val="18"/>
              </w:rPr>
              <w:t>Price</w:t>
            </w:r>
            <w:r>
              <w:rPr>
                <w:b/>
                <w:spacing w:val="-11"/>
                <w:sz w:val="18"/>
              </w:rPr>
              <w:t> </w:t>
            </w:r>
            <w:r>
              <w:rPr>
                <w:b/>
                <w:sz w:val="18"/>
              </w:rPr>
              <w:t>Paid per</w:t>
            </w:r>
            <w:r>
              <w:rPr>
                <w:b/>
                <w:spacing w:val="-4"/>
                <w:sz w:val="18"/>
              </w:rPr>
              <w:t> </w:t>
            </w:r>
            <w:r>
              <w:rPr>
                <w:b/>
                <w:sz w:val="18"/>
              </w:rPr>
              <w:t>Share</w:t>
            </w:r>
          </w:p>
        </w:tc>
        <w:tc>
          <w:tcPr>
            <w:tcW w:w="1812" w:type="dxa"/>
            <w:tcBorders>
              <w:bottom w:val="single" w:sz="6" w:space="0" w:color="000000"/>
            </w:tcBorders>
          </w:tcPr>
          <w:p>
            <w:pPr>
              <w:pStyle w:val="TableParagraph"/>
              <w:spacing w:line="218" w:lineRule="auto" w:before="0"/>
              <w:ind w:left="114" w:right="75" w:firstLine="133"/>
              <w:rPr>
                <w:b/>
                <w:sz w:val="18"/>
              </w:rPr>
            </w:pPr>
            <w:r>
              <w:rPr>
                <w:b/>
                <w:sz w:val="18"/>
              </w:rPr>
              <w:t>Part of a Publicly Announced</w:t>
            </w:r>
            <w:r>
              <w:rPr>
                <w:b/>
                <w:spacing w:val="-12"/>
                <w:sz w:val="18"/>
              </w:rPr>
              <w:t> </w:t>
            </w:r>
            <w:r>
              <w:rPr>
                <w:b/>
                <w:sz w:val="18"/>
              </w:rPr>
              <w:t>Program</w:t>
            </w:r>
          </w:p>
        </w:tc>
        <w:tc>
          <w:tcPr>
            <w:tcW w:w="1793" w:type="dxa"/>
            <w:tcBorders>
              <w:bottom w:val="single" w:sz="6" w:space="0" w:color="000000"/>
            </w:tcBorders>
          </w:tcPr>
          <w:p>
            <w:pPr>
              <w:pStyle w:val="TableParagraph"/>
              <w:spacing w:line="172" w:lineRule="exact" w:before="0"/>
              <w:ind w:left="446"/>
              <w:rPr>
                <w:b/>
                <w:sz w:val="18"/>
              </w:rPr>
            </w:pPr>
            <w:r>
              <w:rPr>
                <w:b/>
                <w:sz w:val="18"/>
              </w:rPr>
              <w:t>the</w:t>
            </w:r>
            <w:r>
              <w:rPr>
                <w:b/>
                <w:spacing w:val="-1"/>
                <w:sz w:val="18"/>
              </w:rPr>
              <w:t> </w:t>
            </w:r>
            <w:r>
              <w:rPr>
                <w:b/>
                <w:spacing w:val="-2"/>
                <w:sz w:val="18"/>
              </w:rPr>
              <w:t>Program</w:t>
            </w:r>
          </w:p>
          <w:p>
            <w:pPr>
              <w:pStyle w:val="TableParagraph"/>
              <w:spacing w:line="198" w:lineRule="exact" w:before="0"/>
              <w:ind w:left="384"/>
              <w:rPr>
                <w:b/>
                <w:i/>
                <w:sz w:val="18"/>
              </w:rPr>
            </w:pPr>
            <w:r>
              <w:rPr>
                <w:b/>
                <w:i/>
                <w:sz w:val="18"/>
              </w:rPr>
              <w:t>(In</w:t>
            </w:r>
            <w:r>
              <w:rPr>
                <w:b/>
                <w:i/>
                <w:spacing w:val="-1"/>
                <w:sz w:val="18"/>
              </w:rPr>
              <w:t> </w:t>
            </w:r>
            <w:r>
              <w:rPr>
                <w:b/>
                <w:i/>
                <w:spacing w:val="-2"/>
                <w:sz w:val="18"/>
              </w:rPr>
              <w:t>thousands)</w:t>
            </w:r>
          </w:p>
        </w:tc>
      </w:tr>
      <w:tr>
        <w:trPr>
          <w:trHeight w:val="242" w:hRule="atLeast"/>
        </w:trPr>
        <w:tc>
          <w:tcPr>
            <w:tcW w:w="3786" w:type="dxa"/>
            <w:shd w:val="clear" w:color="auto" w:fill="CCEDFF"/>
          </w:tcPr>
          <w:p>
            <w:pPr>
              <w:pStyle w:val="TableParagraph"/>
              <w:spacing w:line="196" w:lineRule="exact" w:before="0"/>
              <w:ind w:left="17"/>
              <w:rPr>
                <w:sz w:val="18"/>
              </w:rPr>
            </w:pPr>
            <w:r>
              <w:rPr>
                <w:sz w:val="18"/>
              </w:rPr>
              <w:t>October</w:t>
            </w:r>
            <w:r>
              <w:rPr>
                <w:spacing w:val="-1"/>
                <w:sz w:val="18"/>
              </w:rPr>
              <w:t> </w:t>
            </w:r>
            <w:r>
              <w:rPr>
                <w:sz w:val="18"/>
              </w:rPr>
              <w:t>1,</w:t>
            </w:r>
            <w:r>
              <w:rPr>
                <w:spacing w:val="-1"/>
                <w:sz w:val="18"/>
              </w:rPr>
              <w:t> </w:t>
            </w:r>
            <w:r>
              <w:rPr>
                <w:sz w:val="18"/>
              </w:rPr>
              <w:t>2022</w:t>
            </w:r>
            <w:r>
              <w:rPr>
                <w:spacing w:val="-1"/>
                <w:sz w:val="18"/>
              </w:rPr>
              <w:t> </w:t>
            </w:r>
            <w:r>
              <w:rPr>
                <w:sz w:val="18"/>
              </w:rPr>
              <w:t>—</w:t>
            </w:r>
            <w:r>
              <w:rPr>
                <w:spacing w:val="-1"/>
                <w:sz w:val="18"/>
              </w:rPr>
              <w:t> </w:t>
            </w:r>
            <w:r>
              <w:rPr>
                <w:sz w:val="18"/>
              </w:rPr>
              <w:t>October</w:t>
            </w:r>
            <w:r>
              <w:rPr>
                <w:spacing w:val="-1"/>
                <w:sz w:val="18"/>
              </w:rPr>
              <w:t> </w:t>
            </w:r>
            <w:r>
              <w:rPr>
                <w:sz w:val="18"/>
              </w:rPr>
              <w:t>31,</w:t>
            </w:r>
            <w:r>
              <w:rPr>
                <w:spacing w:val="-1"/>
                <w:sz w:val="18"/>
              </w:rPr>
              <w:t> </w:t>
            </w:r>
            <w:r>
              <w:rPr>
                <w:spacing w:val="-4"/>
                <w:sz w:val="18"/>
              </w:rPr>
              <w:t>2022</w:t>
            </w:r>
          </w:p>
        </w:tc>
        <w:tc>
          <w:tcPr>
            <w:tcW w:w="2287" w:type="dxa"/>
            <w:tcBorders>
              <w:top w:val="single" w:sz="6" w:space="0" w:color="000000"/>
            </w:tcBorders>
            <w:shd w:val="clear" w:color="auto" w:fill="CCEDFF"/>
          </w:tcPr>
          <w:p>
            <w:pPr>
              <w:pStyle w:val="TableParagraph"/>
              <w:spacing w:line="196" w:lineRule="exact" w:before="0"/>
              <w:ind w:right="93"/>
              <w:jc w:val="right"/>
              <w:rPr>
                <w:sz w:val="18"/>
              </w:rPr>
            </w:pPr>
            <w:r>
              <w:rPr>
                <w:spacing w:val="-2"/>
                <w:sz w:val="18"/>
              </w:rPr>
              <w:t>5,727,219</w:t>
            </w:r>
          </w:p>
        </w:tc>
        <w:tc>
          <w:tcPr>
            <w:tcW w:w="1836" w:type="dxa"/>
            <w:tcBorders>
              <w:top w:val="single" w:sz="6" w:space="0" w:color="000000"/>
            </w:tcBorders>
            <w:shd w:val="clear" w:color="auto" w:fill="CCEDFF"/>
          </w:tcPr>
          <w:p>
            <w:pPr>
              <w:pStyle w:val="TableParagraph"/>
              <w:tabs>
                <w:tab w:pos="1221" w:val="left" w:leader="none"/>
              </w:tabs>
              <w:spacing w:line="196" w:lineRule="exact" w:before="0"/>
              <w:ind w:right="16"/>
              <w:jc w:val="center"/>
              <w:rPr>
                <w:sz w:val="18"/>
              </w:rPr>
            </w:pPr>
            <w:r>
              <w:rPr>
                <w:spacing w:val="-10"/>
                <w:sz w:val="18"/>
              </w:rPr>
              <w:t>$</w:t>
            </w:r>
            <w:r>
              <w:rPr>
                <w:sz w:val="18"/>
              </w:rPr>
              <w:tab/>
            </w:r>
            <w:r>
              <w:rPr>
                <w:spacing w:val="-2"/>
                <w:sz w:val="18"/>
              </w:rPr>
              <w:t>31.74</w:t>
            </w:r>
          </w:p>
        </w:tc>
        <w:tc>
          <w:tcPr>
            <w:tcW w:w="1812" w:type="dxa"/>
            <w:tcBorders>
              <w:top w:val="single" w:sz="6" w:space="0" w:color="000000"/>
            </w:tcBorders>
            <w:shd w:val="clear" w:color="auto" w:fill="CCEDFF"/>
          </w:tcPr>
          <w:p>
            <w:pPr>
              <w:pStyle w:val="TableParagraph"/>
              <w:spacing w:line="196" w:lineRule="exact" w:before="0"/>
              <w:ind w:right="100"/>
              <w:jc w:val="right"/>
              <w:rPr>
                <w:sz w:val="18"/>
              </w:rPr>
            </w:pPr>
            <w:r>
              <w:rPr>
                <w:spacing w:val="-2"/>
                <w:sz w:val="18"/>
              </w:rPr>
              <w:t>5,727,219</w:t>
            </w:r>
          </w:p>
        </w:tc>
        <w:tc>
          <w:tcPr>
            <w:tcW w:w="1793" w:type="dxa"/>
            <w:tcBorders>
              <w:top w:val="single" w:sz="6" w:space="0" w:color="000000"/>
            </w:tcBorders>
            <w:shd w:val="clear" w:color="auto" w:fill="CCEDFF"/>
          </w:tcPr>
          <w:p>
            <w:pPr>
              <w:pStyle w:val="TableParagraph"/>
              <w:tabs>
                <w:tab w:pos="1061" w:val="left" w:leader="none"/>
              </w:tabs>
              <w:spacing w:line="196" w:lineRule="exact" w:before="0"/>
              <w:ind w:left="14"/>
              <w:jc w:val="center"/>
              <w:rPr>
                <w:sz w:val="18"/>
              </w:rPr>
            </w:pPr>
            <w:r>
              <w:rPr>
                <w:spacing w:val="-10"/>
                <w:sz w:val="18"/>
              </w:rPr>
              <w:t>$</w:t>
            </w:r>
            <w:r>
              <w:rPr>
                <w:sz w:val="18"/>
              </w:rPr>
              <w:tab/>
            </w:r>
            <w:r>
              <w:rPr>
                <w:spacing w:val="-2"/>
                <w:sz w:val="18"/>
              </w:rPr>
              <w:t>645,485</w:t>
            </w:r>
          </w:p>
        </w:tc>
      </w:tr>
      <w:tr>
        <w:trPr>
          <w:trHeight w:val="229" w:hRule="atLeast"/>
        </w:trPr>
        <w:tc>
          <w:tcPr>
            <w:tcW w:w="3786" w:type="dxa"/>
          </w:tcPr>
          <w:p>
            <w:pPr>
              <w:pStyle w:val="TableParagraph"/>
              <w:spacing w:line="197" w:lineRule="exact" w:before="0"/>
              <w:ind w:left="17"/>
              <w:rPr>
                <w:sz w:val="18"/>
              </w:rPr>
            </w:pPr>
            <w:r>
              <w:rPr>
                <w:sz w:val="18"/>
              </w:rPr>
              <w:t>November</w:t>
            </w:r>
            <w:r>
              <w:rPr>
                <w:spacing w:val="-1"/>
                <w:sz w:val="18"/>
              </w:rPr>
              <w:t> </w:t>
            </w:r>
            <w:r>
              <w:rPr>
                <w:sz w:val="18"/>
              </w:rPr>
              <w:t>1,</w:t>
            </w:r>
            <w:r>
              <w:rPr>
                <w:spacing w:val="-1"/>
                <w:sz w:val="18"/>
              </w:rPr>
              <w:t> </w:t>
            </w:r>
            <w:r>
              <w:rPr>
                <w:sz w:val="18"/>
              </w:rPr>
              <w:t>2022</w:t>
            </w:r>
            <w:r>
              <w:rPr>
                <w:spacing w:val="-1"/>
                <w:sz w:val="18"/>
              </w:rPr>
              <w:t> </w:t>
            </w:r>
            <w:r>
              <w:rPr>
                <w:sz w:val="18"/>
              </w:rPr>
              <w:t>—</w:t>
            </w:r>
            <w:r>
              <w:rPr>
                <w:spacing w:val="-1"/>
                <w:sz w:val="18"/>
              </w:rPr>
              <w:t> </w:t>
            </w:r>
            <w:r>
              <w:rPr>
                <w:sz w:val="18"/>
              </w:rPr>
              <w:t>November</w:t>
            </w:r>
            <w:r>
              <w:rPr>
                <w:spacing w:val="-1"/>
                <w:sz w:val="18"/>
              </w:rPr>
              <w:t> </w:t>
            </w:r>
            <w:r>
              <w:rPr>
                <w:sz w:val="18"/>
              </w:rPr>
              <w:t>30,</w:t>
            </w:r>
            <w:r>
              <w:rPr>
                <w:spacing w:val="-1"/>
                <w:sz w:val="18"/>
              </w:rPr>
              <w:t> </w:t>
            </w:r>
            <w:r>
              <w:rPr>
                <w:spacing w:val="-4"/>
                <w:sz w:val="18"/>
              </w:rPr>
              <w:t>2022</w:t>
            </w:r>
          </w:p>
        </w:tc>
        <w:tc>
          <w:tcPr>
            <w:tcW w:w="2287" w:type="dxa"/>
          </w:tcPr>
          <w:p>
            <w:pPr>
              <w:pStyle w:val="TableParagraph"/>
              <w:spacing w:line="197" w:lineRule="exact" w:before="0"/>
              <w:ind w:right="93"/>
              <w:jc w:val="right"/>
              <w:rPr>
                <w:sz w:val="18"/>
              </w:rPr>
            </w:pPr>
            <w:r>
              <w:rPr>
                <w:spacing w:val="-2"/>
                <w:sz w:val="18"/>
              </w:rPr>
              <w:t>1,259,233</w:t>
            </w:r>
          </w:p>
        </w:tc>
        <w:tc>
          <w:tcPr>
            <w:tcW w:w="1836" w:type="dxa"/>
          </w:tcPr>
          <w:p>
            <w:pPr>
              <w:pStyle w:val="TableParagraph"/>
              <w:tabs>
                <w:tab w:pos="1221" w:val="left" w:leader="none"/>
              </w:tabs>
              <w:spacing w:line="197" w:lineRule="exact" w:before="0"/>
              <w:ind w:right="16"/>
              <w:jc w:val="center"/>
              <w:rPr>
                <w:sz w:val="18"/>
              </w:rPr>
            </w:pPr>
            <w:r>
              <w:rPr>
                <w:spacing w:val="-10"/>
                <w:sz w:val="18"/>
              </w:rPr>
              <w:t>$</w:t>
            </w:r>
            <w:r>
              <w:rPr>
                <w:sz w:val="18"/>
              </w:rPr>
              <w:tab/>
            </w:r>
            <w:r>
              <w:rPr>
                <w:spacing w:val="-2"/>
                <w:sz w:val="18"/>
              </w:rPr>
              <w:t>33.65</w:t>
            </w:r>
          </w:p>
        </w:tc>
        <w:tc>
          <w:tcPr>
            <w:tcW w:w="1812" w:type="dxa"/>
          </w:tcPr>
          <w:p>
            <w:pPr>
              <w:pStyle w:val="TableParagraph"/>
              <w:spacing w:line="197" w:lineRule="exact" w:before="0"/>
              <w:ind w:right="100"/>
              <w:jc w:val="right"/>
              <w:rPr>
                <w:sz w:val="18"/>
              </w:rPr>
            </w:pPr>
            <w:r>
              <w:rPr>
                <w:spacing w:val="-2"/>
                <w:sz w:val="18"/>
              </w:rPr>
              <w:t>1,259,233</w:t>
            </w:r>
          </w:p>
        </w:tc>
        <w:tc>
          <w:tcPr>
            <w:tcW w:w="1793" w:type="dxa"/>
          </w:tcPr>
          <w:p>
            <w:pPr>
              <w:pStyle w:val="TableParagraph"/>
              <w:tabs>
                <w:tab w:pos="1061" w:val="left" w:leader="none"/>
              </w:tabs>
              <w:spacing w:line="197" w:lineRule="exact" w:before="0"/>
              <w:ind w:left="14"/>
              <w:jc w:val="center"/>
              <w:rPr>
                <w:sz w:val="18"/>
              </w:rPr>
            </w:pPr>
            <w:r>
              <w:rPr>
                <w:spacing w:val="-10"/>
                <w:sz w:val="18"/>
              </w:rPr>
              <w:t>$</w:t>
            </w:r>
            <w:r>
              <w:rPr>
                <w:sz w:val="18"/>
              </w:rPr>
              <w:tab/>
            </w:r>
            <w:r>
              <w:rPr>
                <w:spacing w:val="-2"/>
                <w:sz w:val="18"/>
              </w:rPr>
              <w:t>603,108</w:t>
            </w:r>
          </w:p>
        </w:tc>
      </w:tr>
      <w:tr>
        <w:trPr>
          <w:trHeight w:val="229" w:hRule="atLeast"/>
        </w:trPr>
        <w:tc>
          <w:tcPr>
            <w:tcW w:w="3786" w:type="dxa"/>
            <w:shd w:val="clear" w:color="auto" w:fill="CCEDFF"/>
          </w:tcPr>
          <w:p>
            <w:pPr>
              <w:pStyle w:val="TableParagraph"/>
              <w:spacing w:line="197" w:lineRule="exact" w:before="0"/>
              <w:ind w:left="17"/>
              <w:rPr>
                <w:sz w:val="18"/>
              </w:rPr>
            </w:pPr>
            <w:r>
              <w:rPr>
                <w:sz w:val="18"/>
              </w:rPr>
              <w:t>December</w:t>
            </w:r>
            <w:r>
              <w:rPr>
                <w:spacing w:val="-1"/>
                <w:sz w:val="18"/>
              </w:rPr>
              <w:t> </w:t>
            </w:r>
            <w:r>
              <w:rPr>
                <w:sz w:val="18"/>
              </w:rPr>
              <w:t>1,</w:t>
            </w:r>
            <w:r>
              <w:rPr>
                <w:spacing w:val="-1"/>
                <w:sz w:val="18"/>
              </w:rPr>
              <w:t> </w:t>
            </w:r>
            <w:r>
              <w:rPr>
                <w:sz w:val="18"/>
              </w:rPr>
              <w:t>2022</w:t>
            </w:r>
            <w:r>
              <w:rPr>
                <w:spacing w:val="-1"/>
                <w:sz w:val="18"/>
              </w:rPr>
              <w:t> </w:t>
            </w:r>
            <w:r>
              <w:rPr>
                <w:sz w:val="18"/>
              </w:rPr>
              <w:t>—</w:t>
            </w:r>
            <w:r>
              <w:rPr>
                <w:spacing w:val="-1"/>
                <w:sz w:val="18"/>
              </w:rPr>
              <w:t> </w:t>
            </w:r>
            <w:r>
              <w:rPr>
                <w:sz w:val="18"/>
              </w:rPr>
              <w:t>December</w:t>
            </w:r>
            <w:r>
              <w:rPr>
                <w:spacing w:val="-1"/>
                <w:sz w:val="18"/>
              </w:rPr>
              <w:t> </w:t>
            </w:r>
            <w:r>
              <w:rPr>
                <w:sz w:val="18"/>
              </w:rPr>
              <w:t>31,</w:t>
            </w:r>
            <w:r>
              <w:rPr>
                <w:spacing w:val="-1"/>
                <w:sz w:val="18"/>
              </w:rPr>
              <w:t> </w:t>
            </w:r>
            <w:r>
              <w:rPr>
                <w:spacing w:val="-4"/>
                <w:sz w:val="18"/>
              </w:rPr>
              <w:t>2022</w:t>
            </w:r>
          </w:p>
        </w:tc>
        <w:tc>
          <w:tcPr>
            <w:tcW w:w="2287" w:type="dxa"/>
            <w:shd w:val="clear" w:color="auto" w:fill="CCEDFF"/>
          </w:tcPr>
          <w:p>
            <w:pPr>
              <w:pStyle w:val="TableParagraph"/>
              <w:spacing w:line="197" w:lineRule="exact" w:before="0"/>
              <w:ind w:right="93"/>
              <w:jc w:val="right"/>
              <w:rPr>
                <w:sz w:val="18"/>
              </w:rPr>
            </w:pPr>
            <w:r>
              <w:rPr>
                <w:spacing w:val="-2"/>
                <w:sz w:val="18"/>
              </w:rPr>
              <w:t>3,700,000</w:t>
            </w:r>
          </w:p>
        </w:tc>
        <w:tc>
          <w:tcPr>
            <w:tcW w:w="1836" w:type="dxa"/>
            <w:shd w:val="clear" w:color="auto" w:fill="CCEDFF"/>
          </w:tcPr>
          <w:p>
            <w:pPr>
              <w:pStyle w:val="TableParagraph"/>
              <w:tabs>
                <w:tab w:pos="1221" w:val="left" w:leader="none"/>
              </w:tabs>
              <w:spacing w:line="197" w:lineRule="exact" w:before="0"/>
              <w:ind w:right="16"/>
              <w:jc w:val="center"/>
              <w:rPr>
                <w:sz w:val="18"/>
              </w:rPr>
            </w:pPr>
            <w:r>
              <w:rPr>
                <w:spacing w:val="-10"/>
                <w:sz w:val="18"/>
              </w:rPr>
              <w:t>$</w:t>
            </w:r>
            <w:r>
              <w:rPr>
                <w:sz w:val="18"/>
              </w:rPr>
              <w:tab/>
            </w:r>
            <w:r>
              <w:rPr>
                <w:spacing w:val="-2"/>
                <w:sz w:val="18"/>
              </w:rPr>
              <w:t>34.61</w:t>
            </w:r>
          </w:p>
        </w:tc>
        <w:tc>
          <w:tcPr>
            <w:tcW w:w="1812" w:type="dxa"/>
            <w:shd w:val="clear" w:color="auto" w:fill="CCEDFF"/>
          </w:tcPr>
          <w:p>
            <w:pPr>
              <w:pStyle w:val="TableParagraph"/>
              <w:spacing w:line="197" w:lineRule="exact" w:before="0"/>
              <w:ind w:right="100"/>
              <w:jc w:val="right"/>
              <w:rPr>
                <w:sz w:val="18"/>
              </w:rPr>
            </w:pPr>
            <w:r>
              <w:rPr>
                <w:spacing w:val="-2"/>
                <w:sz w:val="18"/>
              </w:rPr>
              <w:t>3,700,000</w:t>
            </w:r>
          </w:p>
        </w:tc>
        <w:tc>
          <w:tcPr>
            <w:tcW w:w="1793" w:type="dxa"/>
            <w:shd w:val="clear" w:color="auto" w:fill="CCEDFF"/>
          </w:tcPr>
          <w:p>
            <w:pPr>
              <w:pStyle w:val="TableParagraph"/>
              <w:tabs>
                <w:tab w:pos="1061" w:val="left" w:leader="none"/>
              </w:tabs>
              <w:spacing w:line="197" w:lineRule="exact" w:before="0"/>
              <w:ind w:left="14"/>
              <w:jc w:val="center"/>
              <w:rPr>
                <w:sz w:val="18"/>
              </w:rPr>
            </w:pPr>
            <w:r>
              <w:rPr>
                <w:spacing w:val="-10"/>
                <w:sz w:val="18"/>
              </w:rPr>
              <w:t>$</w:t>
            </w:r>
            <w:r>
              <w:rPr>
                <w:sz w:val="18"/>
              </w:rPr>
              <w:tab/>
            </w:r>
            <w:r>
              <w:rPr>
                <w:spacing w:val="-2"/>
                <w:sz w:val="18"/>
              </w:rPr>
              <w:t>475,049</w:t>
            </w:r>
          </w:p>
        </w:tc>
      </w:tr>
    </w:tbl>
    <w:p>
      <w:pPr>
        <w:pStyle w:val="BodyText"/>
        <w:spacing w:before="81"/>
        <w:rPr>
          <w:b/>
        </w:rPr>
      </w:pPr>
    </w:p>
    <w:p>
      <w:pPr>
        <w:pStyle w:val="BodyText"/>
        <w:spacing w:line="249" w:lineRule="auto"/>
        <w:ind w:left="144" w:right="118" w:firstLine="499"/>
        <w:jc w:val="both"/>
      </w:pPr>
      <w:r>
        <w:rPr/>
        <w:t>In March 2022, we announced that the Board of Directors authorized a $2.0 billion stock repurchase plan and in February 2023, we announced that </w:t>
      </w:r>
      <w:r>
        <w:rPr/>
        <w:t>the Board of Directors had authorized a $2.0 billion stock repurchase plan. Under the stock repurchase plans, we may repurchase shares from time to time in the open market or in privately negotiated agreements. Repurchases of common stock may also be made under a Rule 10b5-1 plan, which would permit common stock to be purchased when we might otherwise be precluded from doing so under insider trading laws. The timing, volume and nature of stock repurchases</w:t>
      </w:r>
      <w:r>
        <w:rPr>
          <w:spacing w:val="40"/>
        </w:rPr>
        <w:t> </w:t>
      </w:r>
      <w:r>
        <w:rPr/>
        <w:t>will be at the sole discretion of management, dependent on market conditions, applicable securities laws, and other factors, and may be suspended or discontinued at any time. All shares we repurchased during the quarter ended December 31, 2022 were purchased pursuant to our publicly announced stock repurchase plans and have been retired.</w:t>
      </w:r>
    </w:p>
    <w:p>
      <w:pPr>
        <w:pStyle w:val="BodyText"/>
      </w:pPr>
    </w:p>
    <w:p>
      <w:pPr>
        <w:pStyle w:val="BodyText"/>
      </w:pPr>
    </w:p>
    <w:p>
      <w:pPr>
        <w:pStyle w:val="BodyText"/>
      </w:pPr>
    </w:p>
    <w:p>
      <w:pPr>
        <w:pStyle w:val="BodyText"/>
        <w:spacing w:before="1"/>
      </w:pPr>
    </w:p>
    <w:p>
      <w:pPr>
        <w:pStyle w:val="BodyText"/>
        <w:ind w:left="24"/>
        <w:jc w:val="center"/>
      </w:pPr>
      <w:r>
        <w:rPr>
          <w:spacing w:val="-5"/>
        </w:rPr>
        <w:t>30</w:t>
      </w:r>
    </w:p>
    <w:p>
      <w:pPr>
        <w:pStyle w:val="BodyText"/>
        <w:spacing w:before="3"/>
        <w:rPr>
          <w:sz w:val="6"/>
        </w:rPr>
      </w:pPr>
      <w:r>
        <w:rPr/>
        <mc:AlternateContent>
          <mc:Choice Requires="wps">
            <w:drawing>
              <wp:anchor distT="0" distB="0" distL="0" distR="0" allowOverlap="1" layoutInCell="1" locked="0" behindDoc="1" simplePos="0" relativeHeight="487611904">
                <wp:simplePos x="0" y="0"/>
                <wp:positionH relativeFrom="page">
                  <wp:posOffset>231457</wp:posOffset>
                </wp:positionH>
                <wp:positionV relativeFrom="paragraph">
                  <wp:posOffset>60956</wp:posOffset>
                </wp:positionV>
                <wp:extent cx="7312659" cy="17145"/>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7312659" cy="17145"/>
                          <a:chExt cx="7312659" cy="17145"/>
                        </a:xfrm>
                      </wpg:grpSpPr>
                      <wps:wsp>
                        <wps:cNvPr id="152" name="Graphic 15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53" name="Graphic 153"/>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54" name="Graphic 15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4576;mso-wrap-distance-left:0;mso-wrap-distance-right:0" id="docshapegroup150" coordorigin="364,96" coordsize="11516,27">
                <v:rect style="position:absolute;left:364;top:96;width:11516;height:14" id="docshape151" filled="true" fillcolor="#999999" stroked="false">
                  <v:fill type="solid"/>
                </v:rect>
                <v:shape style="position:absolute;left:364;top:95;width:11516;height:27" id="docshape152" coordorigin="364,96" coordsize="11516,27" path="m11880,96l11866,109,364,109,364,123,11866,123,11880,123,11880,109,11880,96xe" filled="true" fillcolor="#ededed" stroked="false">
                  <v:path arrowok="t"/>
                  <v:fill type="solid"/>
                </v:shape>
                <v:shape style="position:absolute;left:364;top:96;width:14;height:27" id="docshape153"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Heading4"/>
        <w:spacing w:before="69"/>
        <w:ind w:left="24"/>
        <w:jc w:val="center"/>
      </w:pPr>
      <w:r>
        <w:rPr/>
        <w:t>PERFORMANCE</w:t>
      </w:r>
      <w:r>
        <w:rPr>
          <w:spacing w:val="-1"/>
        </w:rPr>
        <w:t> </w:t>
      </w:r>
      <w:r>
        <w:rPr>
          <w:spacing w:val="-2"/>
        </w:rPr>
        <w:t>GRAPH</w:t>
      </w:r>
    </w:p>
    <w:p>
      <w:pPr>
        <w:pStyle w:val="BodyText"/>
        <w:spacing w:before="18"/>
        <w:rPr>
          <w:b/>
        </w:rPr>
      </w:pPr>
    </w:p>
    <w:p>
      <w:pPr>
        <w:pStyle w:val="BodyText"/>
        <w:ind w:left="144" w:right="118" w:firstLine="499"/>
        <w:jc w:val="both"/>
      </w:pPr>
      <w:r>
        <w:rPr/>
        <w:t>The graph below matches our cumulative 5-year total shareholder return on common stock with the cumulative total returns of the Dow Jones US</w:t>
      </w:r>
      <w:r>
        <w:rPr>
          <w:spacing w:val="-1"/>
        </w:rPr>
        <w:t> </w:t>
      </w:r>
      <w:r>
        <w:rPr/>
        <w:t>Total Return index, the S&amp;P</w:t>
      </w:r>
      <w:r>
        <w:rPr>
          <w:spacing w:val="-4"/>
        </w:rPr>
        <w:t> </w:t>
      </w:r>
      <w:r>
        <w:rPr/>
        <w:t>500 index and the Dow Jones US Gambling index.</w:t>
      </w:r>
      <w:r>
        <w:rPr>
          <w:spacing w:val="-1"/>
        </w:rPr>
        <w:t> </w:t>
      </w:r>
      <w:r>
        <w:rPr/>
        <w:t>The graph tracks the performance of a $100 investment in our common stock and in each index (with the reinvestment of all dividends as required by the SEC) from December 31, 2017 to December 31, 2022. The return shown on the graph is not necessarily indicative of future performance.</w:t>
      </w:r>
    </w:p>
    <w:p>
      <w:pPr>
        <w:pStyle w:val="BodyText"/>
        <w:spacing w:before="5"/>
      </w:pPr>
    </w:p>
    <w:p>
      <w:pPr>
        <w:pStyle w:val="BodyText"/>
        <w:spacing w:line="242" w:lineRule="auto"/>
        <w:ind w:left="144" w:right="118" w:firstLine="499"/>
        <w:jc w:val="both"/>
      </w:pPr>
      <w:r>
        <w:rPr/>
        <w:t>The following performance graph shall not be deemed to be "filed" for purposes of Section 18 of the Exchange Act, nor shall this information be incorporated by reference into any future filing under the Securities Act or the Exchange Act, except to the extent that we specifically incorporate it </w:t>
      </w:r>
      <w:r>
        <w:rPr/>
        <w:t>by reference into a filing.</w:t>
      </w:r>
    </w:p>
    <w:p>
      <w:pPr>
        <w:pStyle w:val="BodyText"/>
        <w:spacing w:before="2"/>
        <w:rPr>
          <w:sz w:val="6"/>
        </w:rPr>
      </w:pPr>
      <w:r>
        <w:rPr/>
        <w:drawing>
          <wp:anchor distT="0" distB="0" distL="0" distR="0" allowOverlap="1" layoutInCell="1" locked="0" behindDoc="1" simplePos="0" relativeHeight="487612416">
            <wp:simplePos x="0" y="0"/>
            <wp:positionH relativeFrom="page">
              <wp:posOffset>1864908</wp:posOffset>
            </wp:positionH>
            <wp:positionV relativeFrom="paragraph">
              <wp:posOffset>60660</wp:posOffset>
            </wp:positionV>
            <wp:extent cx="4321732" cy="3901440"/>
            <wp:effectExtent l="0" t="0" r="0" b="0"/>
            <wp:wrapTopAndBottom/>
            <wp:docPr id="155" name="Image 155"/>
            <wp:cNvGraphicFramePr>
              <a:graphicFrameLocks/>
            </wp:cNvGraphicFramePr>
            <a:graphic>
              <a:graphicData uri="http://schemas.openxmlformats.org/drawingml/2006/picture">
                <pic:pic>
                  <pic:nvPicPr>
                    <pic:cNvPr id="155" name="Image 155"/>
                    <pic:cNvPicPr/>
                  </pic:nvPicPr>
                  <pic:blipFill>
                    <a:blip r:embed="rId8" cstate="print"/>
                    <a:stretch>
                      <a:fillRect/>
                    </a:stretch>
                  </pic:blipFill>
                  <pic:spPr>
                    <a:xfrm>
                      <a:off x="0" y="0"/>
                      <a:ext cx="4321732" cy="3901440"/>
                    </a:xfrm>
                    <a:prstGeom prst="rect">
                      <a:avLst/>
                    </a:prstGeom>
                  </pic:spPr>
                </pic:pic>
              </a:graphicData>
            </a:graphic>
          </wp:anchor>
        </w:drawing>
      </w:r>
    </w:p>
    <w:p>
      <w:pPr>
        <w:pStyle w:val="BodyText"/>
        <w:spacing w:before="9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8"/>
        <w:gridCol w:w="2559"/>
        <w:gridCol w:w="1138"/>
        <w:gridCol w:w="1174"/>
        <w:gridCol w:w="1174"/>
        <w:gridCol w:w="1174"/>
        <w:gridCol w:w="827"/>
      </w:tblGrid>
      <w:tr>
        <w:trPr>
          <w:trHeight w:val="200" w:hRule="atLeast"/>
        </w:trPr>
        <w:tc>
          <w:tcPr>
            <w:tcW w:w="3468" w:type="dxa"/>
            <w:tcBorders>
              <w:top w:val="single" w:sz="6" w:space="0" w:color="000000"/>
              <w:bottom w:val="single" w:sz="6" w:space="0" w:color="000000"/>
            </w:tcBorders>
          </w:tcPr>
          <w:p>
            <w:pPr>
              <w:pStyle w:val="TableParagraph"/>
              <w:spacing w:before="0"/>
              <w:rPr>
                <w:sz w:val="14"/>
              </w:rPr>
            </w:pPr>
          </w:p>
        </w:tc>
        <w:tc>
          <w:tcPr>
            <w:tcW w:w="2559" w:type="dxa"/>
            <w:tcBorders>
              <w:top w:val="single" w:sz="6" w:space="0" w:color="000000"/>
              <w:bottom w:val="single" w:sz="6" w:space="0" w:color="000000"/>
            </w:tcBorders>
          </w:tcPr>
          <w:p>
            <w:pPr>
              <w:pStyle w:val="TableParagraph"/>
              <w:spacing w:before="3"/>
              <w:ind w:right="400"/>
              <w:jc w:val="right"/>
              <w:rPr>
                <w:b/>
                <w:sz w:val="14"/>
              </w:rPr>
            </w:pPr>
            <w:r>
              <w:rPr>
                <w:b/>
                <w:spacing w:val="-2"/>
                <w:sz w:val="14"/>
              </w:rPr>
              <w:t>12/17</w:t>
            </w:r>
          </w:p>
        </w:tc>
        <w:tc>
          <w:tcPr>
            <w:tcW w:w="1138" w:type="dxa"/>
            <w:tcBorders>
              <w:top w:val="single" w:sz="6" w:space="0" w:color="000000"/>
              <w:bottom w:val="single" w:sz="6" w:space="0" w:color="000000"/>
            </w:tcBorders>
          </w:tcPr>
          <w:p>
            <w:pPr>
              <w:pStyle w:val="TableParagraph"/>
              <w:spacing w:before="3"/>
              <w:ind w:left="83" w:right="8"/>
              <w:jc w:val="center"/>
              <w:rPr>
                <w:b/>
                <w:sz w:val="14"/>
              </w:rPr>
            </w:pPr>
            <w:r>
              <w:rPr>
                <w:b/>
                <w:spacing w:val="-2"/>
                <w:sz w:val="14"/>
              </w:rPr>
              <w:t>12/18</w:t>
            </w:r>
          </w:p>
        </w:tc>
        <w:tc>
          <w:tcPr>
            <w:tcW w:w="1174" w:type="dxa"/>
            <w:tcBorders>
              <w:top w:val="single" w:sz="6" w:space="0" w:color="000000"/>
              <w:bottom w:val="single" w:sz="6" w:space="0" w:color="000000"/>
            </w:tcBorders>
          </w:tcPr>
          <w:p>
            <w:pPr>
              <w:pStyle w:val="TableParagraph"/>
              <w:spacing w:before="3"/>
              <w:ind w:right="364"/>
              <w:jc w:val="right"/>
              <w:rPr>
                <w:b/>
                <w:sz w:val="14"/>
              </w:rPr>
            </w:pPr>
            <w:r>
              <w:rPr>
                <w:b/>
                <w:spacing w:val="-2"/>
                <w:sz w:val="14"/>
              </w:rPr>
              <w:t>12/19</w:t>
            </w:r>
          </w:p>
        </w:tc>
        <w:tc>
          <w:tcPr>
            <w:tcW w:w="1174" w:type="dxa"/>
            <w:tcBorders>
              <w:top w:val="single" w:sz="6" w:space="0" w:color="000000"/>
              <w:bottom w:val="single" w:sz="6" w:space="0" w:color="000000"/>
            </w:tcBorders>
          </w:tcPr>
          <w:p>
            <w:pPr>
              <w:pStyle w:val="TableParagraph"/>
              <w:spacing w:before="3"/>
              <w:ind w:left="156" w:right="43"/>
              <w:jc w:val="center"/>
              <w:rPr>
                <w:b/>
                <w:sz w:val="14"/>
              </w:rPr>
            </w:pPr>
            <w:r>
              <w:rPr>
                <w:b/>
                <w:spacing w:val="-2"/>
                <w:sz w:val="14"/>
              </w:rPr>
              <w:t>12/20</w:t>
            </w:r>
          </w:p>
        </w:tc>
        <w:tc>
          <w:tcPr>
            <w:tcW w:w="1174" w:type="dxa"/>
            <w:tcBorders>
              <w:top w:val="single" w:sz="6" w:space="0" w:color="000000"/>
              <w:bottom w:val="single" w:sz="6" w:space="0" w:color="000000"/>
            </w:tcBorders>
          </w:tcPr>
          <w:p>
            <w:pPr>
              <w:pStyle w:val="TableParagraph"/>
              <w:spacing w:before="3"/>
              <w:ind w:right="364"/>
              <w:jc w:val="right"/>
              <w:rPr>
                <w:b/>
                <w:sz w:val="14"/>
              </w:rPr>
            </w:pPr>
            <w:r>
              <w:rPr>
                <w:b/>
                <w:spacing w:val="-2"/>
                <w:sz w:val="14"/>
              </w:rPr>
              <w:t>12/21</w:t>
            </w:r>
          </w:p>
        </w:tc>
        <w:tc>
          <w:tcPr>
            <w:tcW w:w="827" w:type="dxa"/>
            <w:tcBorders>
              <w:top w:val="single" w:sz="6" w:space="0" w:color="000000"/>
              <w:bottom w:val="single" w:sz="6" w:space="0" w:color="000000"/>
            </w:tcBorders>
          </w:tcPr>
          <w:p>
            <w:pPr>
              <w:pStyle w:val="TableParagraph"/>
              <w:spacing w:before="3"/>
              <w:ind w:right="14"/>
              <w:jc w:val="right"/>
              <w:rPr>
                <w:b/>
                <w:sz w:val="14"/>
              </w:rPr>
            </w:pPr>
            <w:r>
              <w:rPr>
                <w:b/>
                <w:spacing w:val="-2"/>
                <w:sz w:val="14"/>
              </w:rPr>
              <w:t>12/22</w:t>
            </w:r>
          </w:p>
        </w:tc>
      </w:tr>
      <w:tr>
        <w:trPr>
          <w:trHeight w:val="389" w:hRule="atLeast"/>
        </w:trPr>
        <w:tc>
          <w:tcPr>
            <w:tcW w:w="3468" w:type="dxa"/>
            <w:tcBorders>
              <w:top w:val="single" w:sz="6" w:space="0" w:color="000000"/>
            </w:tcBorders>
          </w:tcPr>
          <w:p>
            <w:pPr>
              <w:pStyle w:val="TableParagraph"/>
              <w:spacing w:before="45"/>
              <w:rPr>
                <w:sz w:val="14"/>
              </w:rPr>
            </w:pPr>
          </w:p>
          <w:p>
            <w:pPr>
              <w:pStyle w:val="TableParagraph"/>
              <w:spacing w:before="0"/>
              <w:ind w:left="17"/>
              <w:rPr>
                <w:b/>
                <w:sz w:val="14"/>
              </w:rPr>
            </w:pPr>
            <w:r>
              <w:rPr>
                <w:b/>
                <w:sz w:val="14"/>
              </w:rPr>
              <w:t>MGM</w:t>
            </w:r>
            <w:r>
              <w:rPr>
                <w:b/>
                <w:spacing w:val="8"/>
                <w:sz w:val="14"/>
              </w:rPr>
              <w:t> </w:t>
            </w:r>
            <w:r>
              <w:rPr>
                <w:b/>
                <w:sz w:val="14"/>
              </w:rPr>
              <w:t>Resorts</w:t>
            </w:r>
            <w:r>
              <w:rPr>
                <w:b/>
                <w:spacing w:val="8"/>
                <w:sz w:val="14"/>
              </w:rPr>
              <w:t> </w:t>
            </w:r>
            <w:r>
              <w:rPr>
                <w:b/>
                <w:spacing w:val="-2"/>
                <w:sz w:val="14"/>
              </w:rPr>
              <w:t>International</w:t>
            </w:r>
          </w:p>
        </w:tc>
        <w:tc>
          <w:tcPr>
            <w:tcW w:w="2559" w:type="dxa"/>
            <w:tcBorders>
              <w:top w:val="single" w:sz="6" w:space="0" w:color="000000"/>
            </w:tcBorders>
          </w:tcPr>
          <w:p>
            <w:pPr>
              <w:pStyle w:val="TableParagraph"/>
              <w:spacing w:before="45"/>
              <w:rPr>
                <w:sz w:val="14"/>
              </w:rPr>
            </w:pPr>
          </w:p>
          <w:p>
            <w:pPr>
              <w:pStyle w:val="TableParagraph"/>
              <w:spacing w:before="0"/>
              <w:ind w:right="445"/>
              <w:jc w:val="right"/>
              <w:rPr>
                <w:b/>
                <w:sz w:val="14"/>
              </w:rPr>
            </w:pPr>
            <w:r>
              <w:rPr>
                <w:b/>
                <w:spacing w:val="-2"/>
                <w:sz w:val="14"/>
              </w:rPr>
              <w:t>100.00</w:t>
            </w:r>
          </w:p>
        </w:tc>
        <w:tc>
          <w:tcPr>
            <w:tcW w:w="1138" w:type="dxa"/>
            <w:tcBorders>
              <w:top w:val="single" w:sz="6" w:space="0" w:color="000000"/>
            </w:tcBorders>
          </w:tcPr>
          <w:p>
            <w:pPr>
              <w:pStyle w:val="TableParagraph"/>
              <w:spacing w:before="45"/>
              <w:rPr>
                <w:sz w:val="14"/>
              </w:rPr>
            </w:pPr>
          </w:p>
          <w:p>
            <w:pPr>
              <w:pStyle w:val="TableParagraph"/>
              <w:spacing w:before="0"/>
              <w:ind w:left="75" w:right="83"/>
              <w:jc w:val="center"/>
              <w:rPr>
                <w:b/>
                <w:sz w:val="14"/>
              </w:rPr>
            </w:pPr>
            <w:r>
              <w:rPr>
                <w:b/>
                <w:spacing w:val="-2"/>
                <w:sz w:val="14"/>
              </w:rPr>
              <w:t>73.85</w:t>
            </w:r>
          </w:p>
        </w:tc>
        <w:tc>
          <w:tcPr>
            <w:tcW w:w="1174" w:type="dxa"/>
            <w:tcBorders>
              <w:top w:val="single" w:sz="6" w:space="0" w:color="000000"/>
            </w:tcBorders>
          </w:tcPr>
          <w:p>
            <w:pPr>
              <w:pStyle w:val="TableParagraph"/>
              <w:spacing w:before="45"/>
              <w:rPr>
                <w:sz w:val="14"/>
              </w:rPr>
            </w:pPr>
          </w:p>
          <w:p>
            <w:pPr>
              <w:pStyle w:val="TableParagraph"/>
              <w:spacing w:before="0"/>
              <w:ind w:right="409"/>
              <w:jc w:val="right"/>
              <w:rPr>
                <w:b/>
                <w:sz w:val="14"/>
              </w:rPr>
            </w:pPr>
            <w:r>
              <w:rPr>
                <w:b/>
                <w:spacing w:val="-2"/>
                <w:sz w:val="14"/>
              </w:rPr>
              <w:t>103.16</w:t>
            </w:r>
          </w:p>
        </w:tc>
        <w:tc>
          <w:tcPr>
            <w:tcW w:w="1174" w:type="dxa"/>
            <w:tcBorders>
              <w:top w:val="single" w:sz="6" w:space="0" w:color="000000"/>
            </w:tcBorders>
          </w:tcPr>
          <w:p>
            <w:pPr>
              <w:pStyle w:val="TableParagraph"/>
              <w:spacing w:before="45"/>
              <w:rPr>
                <w:sz w:val="14"/>
              </w:rPr>
            </w:pPr>
          </w:p>
          <w:p>
            <w:pPr>
              <w:pStyle w:val="TableParagraph"/>
              <w:spacing w:before="0"/>
              <w:ind w:left="113" w:right="87"/>
              <w:jc w:val="center"/>
              <w:rPr>
                <w:b/>
                <w:sz w:val="14"/>
              </w:rPr>
            </w:pPr>
            <w:r>
              <w:rPr>
                <w:b/>
                <w:spacing w:val="-2"/>
                <w:sz w:val="14"/>
              </w:rPr>
              <w:t>98.55</w:t>
            </w:r>
          </w:p>
        </w:tc>
        <w:tc>
          <w:tcPr>
            <w:tcW w:w="1174" w:type="dxa"/>
            <w:tcBorders>
              <w:top w:val="single" w:sz="6" w:space="0" w:color="000000"/>
            </w:tcBorders>
          </w:tcPr>
          <w:p>
            <w:pPr>
              <w:pStyle w:val="TableParagraph"/>
              <w:spacing w:before="45"/>
              <w:rPr>
                <w:sz w:val="14"/>
              </w:rPr>
            </w:pPr>
          </w:p>
          <w:p>
            <w:pPr>
              <w:pStyle w:val="TableParagraph"/>
              <w:spacing w:before="0"/>
              <w:ind w:right="409"/>
              <w:jc w:val="right"/>
              <w:rPr>
                <w:b/>
                <w:sz w:val="14"/>
              </w:rPr>
            </w:pPr>
            <w:r>
              <w:rPr>
                <w:b/>
                <w:spacing w:val="-2"/>
                <w:sz w:val="14"/>
              </w:rPr>
              <w:t>140.40</w:t>
            </w:r>
          </w:p>
        </w:tc>
        <w:tc>
          <w:tcPr>
            <w:tcW w:w="827" w:type="dxa"/>
            <w:tcBorders>
              <w:top w:val="single" w:sz="6" w:space="0" w:color="000000"/>
            </w:tcBorders>
          </w:tcPr>
          <w:p>
            <w:pPr>
              <w:pStyle w:val="TableParagraph"/>
              <w:spacing w:before="45"/>
              <w:rPr>
                <w:sz w:val="14"/>
              </w:rPr>
            </w:pPr>
          </w:p>
          <w:p>
            <w:pPr>
              <w:pStyle w:val="TableParagraph"/>
              <w:spacing w:before="0"/>
              <w:ind w:right="61"/>
              <w:jc w:val="right"/>
              <w:rPr>
                <w:b/>
                <w:sz w:val="14"/>
              </w:rPr>
            </w:pPr>
            <w:r>
              <w:rPr>
                <w:b/>
                <w:spacing w:val="-2"/>
                <w:sz w:val="14"/>
              </w:rPr>
              <w:t>104.93</w:t>
            </w:r>
          </w:p>
        </w:tc>
      </w:tr>
      <w:tr>
        <w:trPr>
          <w:trHeight w:val="195" w:hRule="atLeast"/>
        </w:trPr>
        <w:tc>
          <w:tcPr>
            <w:tcW w:w="3468" w:type="dxa"/>
          </w:tcPr>
          <w:p>
            <w:pPr>
              <w:pStyle w:val="TableParagraph"/>
              <w:spacing w:line="157" w:lineRule="exact" w:before="19"/>
              <w:ind w:left="17"/>
              <w:rPr>
                <w:b/>
                <w:sz w:val="14"/>
              </w:rPr>
            </w:pPr>
            <w:r>
              <w:rPr>
                <w:b/>
                <w:sz w:val="14"/>
              </w:rPr>
              <w:t>Dow</w:t>
            </w:r>
            <w:r>
              <w:rPr>
                <w:b/>
                <w:spacing w:val="2"/>
                <w:sz w:val="14"/>
              </w:rPr>
              <w:t> </w:t>
            </w:r>
            <w:r>
              <w:rPr>
                <w:b/>
                <w:sz w:val="14"/>
              </w:rPr>
              <w:t>Jones</w:t>
            </w:r>
            <w:r>
              <w:rPr>
                <w:b/>
                <w:spacing w:val="2"/>
                <w:sz w:val="14"/>
              </w:rPr>
              <w:t> </w:t>
            </w:r>
            <w:r>
              <w:rPr>
                <w:b/>
                <w:sz w:val="14"/>
              </w:rPr>
              <w:t>US Total</w:t>
            </w:r>
            <w:r>
              <w:rPr>
                <w:b/>
                <w:spacing w:val="2"/>
                <w:sz w:val="14"/>
              </w:rPr>
              <w:t> </w:t>
            </w:r>
            <w:r>
              <w:rPr>
                <w:b/>
                <w:spacing w:val="-2"/>
                <w:sz w:val="14"/>
              </w:rPr>
              <w:t>Return</w:t>
            </w:r>
          </w:p>
        </w:tc>
        <w:tc>
          <w:tcPr>
            <w:tcW w:w="2559" w:type="dxa"/>
          </w:tcPr>
          <w:p>
            <w:pPr>
              <w:pStyle w:val="TableParagraph"/>
              <w:spacing w:line="157" w:lineRule="exact" w:before="19"/>
              <w:ind w:right="445"/>
              <w:jc w:val="right"/>
              <w:rPr>
                <w:b/>
                <w:sz w:val="14"/>
              </w:rPr>
            </w:pPr>
            <w:r>
              <w:rPr>
                <w:b/>
                <w:spacing w:val="-2"/>
                <w:sz w:val="14"/>
              </w:rPr>
              <w:t>100.00</w:t>
            </w:r>
          </w:p>
        </w:tc>
        <w:tc>
          <w:tcPr>
            <w:tcW w:w="1138" w:type="dxa"/>
          </w:tcPr>
          <w:p>
            <w:pPr>
              <w:pStyle w:val="TableParagraph"/>
              <w:spacing w:line="157" w:lineRule="exact" w:before="19"/>
              <w:ind w:left="75" w:right="83"/>
              <w:jc w:val="center"/>
              <w:rPr>
                <w:b/>
                <w:sz w:val="14"/>
              </w:rPr>
            </w:pPr>
            <w:r>
              <w:rPr>
                <w:b/>
                <w:spacing w:val="-2"/>
                <w:sz w:val="14"/>
              </w:rPr>
              <w:t>95.03</w:t>
            </w:r>
          </w:p>
        </w:tc>
        <w:tc>
          <w:tcPr>
            <w:tcW w:w="1174" w:type="dxa"/>
          </w:tcPr>
          <w:p>
            <w:pPr>
              <w:pStyle w:val="TableParagraph"/>
              <w:spacing w:line="157" w:lineRule="exact" w:before="19"/>
              <w:ind w:right="409"/>
              <w:jc w:val="right"/>
              <w:rPr>
                <w:b/>
                <w:sz w:val="14"/>
              </w:rPr>
            </w:pPr>
            <w:r>
              <w:rPr>
                <w:b/>
                <w:spacing w:val="-2"/>
                <w:sz w:val="14"/>
              </w:rPr>
              <w:t>124.62</w:t>
            </w:r>
          </w:p>
        </w:tc>
        <w:tc>
          <w:tcPr>
            <w:tcW w:w="1174" w:type="dxa"/>
          </w:tcPr>
          <w:p>
            <w:pPr>
              <w:pStyle w:val="TableParagraph"/>
              <w:spacing w:line="157" w:lineRule="exact" w:before="19"/>
              <w:ind w:left="113" w:right="156"/>
              <w:jc w:val="center"/>
              <w:rPr>
                <w:b/>
                <w:sz w:val="14"/>
              </w:rPr>
            </w:pPr>
            <w:r>
              <w:rPr>
                <w:b/>
                <w:spacing w:val="-2"/>
                <w:sz w:val="14"/>
              </w:rPr>
              <w:t>150.05</w:t>
            </w:r>
          </w:p>
        </w:tc>
        <w:tc>
          <w:tcPr>
            <w:tcW w:w="1174" w:type="dxa"/>
          </w:tcPr>
          <w:p>
            <w:pPr>
              <w:pStyle w:val="TableParagraph"/>
              <w:spacing w:line="157" w:lineRule="exact" w:before="19"/>
              <w:ind w:right="409"/>
              <w:jc w:val="right"/>
              <w:rPr>
                <w:b/>
                <w:sz w:val="14"/>
              </w:rPr>
            </w:pPr>
            <w:r>
              <w:rPr>
                <w:b/>
                <w:spacing w:val="-2"/>
                <w:sz w:val="14"/>
              </w:rPr>
              <w:t>189.81</w:t>
            </w:r>
          </w:p>
        </w:tc>
        <w:tc>
          <w:tcPr>
            <w:tcW w:w="827" w:type="dxa"/>
          </w:tcPr>
          <w:p>
            <w:pPr>
              <w:pStyle w:val="TableParagraph"/>
              <w:spacing w:line="157" w:lineRule="exact" w:before="19"/>
              <w:ind w:right="61"/>
              <w:jc w:val="right"/>
              <w:rPr>
                <w:b/>
                <w:sz w:val="14"/>
              </w:rPr>
            </w:pPr>
            <w:r>
              <w:rPr>
                <w:b/>
                <w:spacing w:val="-2"/>
                <w:sz w:val="14"/>
              </w:rPr>
              <w:t>152.98</w:t>
            </w:r>
          </w:p>
        </w:tc>
      </w:tr>
      <w:tr>
        <w:trPr>
          <w:trHeight w:val="195" w:hRule="atLeast"/>
        </w:trPr>
        <w:tc>
          <w:tcPr>
            <w:tcW w:w="3468" w:type="dxa"/>
          </w:tcPr>
          <w:p>
            <w:pPr>
              <w:pStyle w:val="TableParagraph"/>
              <w:spacing w:before="12"/>
              <w:ind w:left="17"/>
              <w:rPr>
                <w:b/>
                <w:sz w:val="14"/>
              </w:rPr>
            </w:pPr>
            <w:r>
              <w:rPr>
                <w:b/>
                <w:sz w:val="14"/>
              </w:rPr>
              <w:t>S&amp;P</w:t>
            </w:r>
            <w:r>
              <w:rPr>
                <w:b/>
                <w:spacing w:val="-2"/>
                <w:sz w:val="14"/>
              </w:rPr>
              <w:t> </w:t>
            </w:r>
            <w:r>
              <w:rPr>
                <w:b/>
                <w:spacing w:val="-5"/>
                <w:sz w:val="14"/>
              </w:rPr>
              <w:t>500</w:t>
            </w:r>
          </w:p>
        </w:tc>
        <w:tc>
          <w:tcPr>
            <w:tcW w:w="2559" w:type="dxa"/>
          </w:tcPr>
          <w:p>
            <w:pPr>
              <w:pStyle w:val="TableParagraph"/>
              <w:spacing w:before="12"/>
              <w:ind w:right="445"/>
              <w:jc w:val="right"/>
              <w:rPr>
                <w:b/>
                <w:sz w:val="14"/>
              </w:rPr>
            </w:pPr>
            <w:r>
              <w:rPr>
                <w:b/>
                <w:spacing w:val="-2"/>
                <w:sz w:val="14"/>
              </w:rPr>
              <w:t>100.00</w:t>
            </w:r>
          </w:p>
        </w:tc>
        <w:tc>
          <w:tcPr>
            <w:tcW w:w="1138" w:type="dxa"/>
          </w:tcPr>
          <w:p>
            <w:pPr>
              <w:pStyle w:val="TableParagraph"/>
              <w:spacing w:before="12"/>
              <w:ind w:left="75" w:right="83"/>
              <w:jc w:val="center"/>
              <w:rPr>
                <w:b/>
                <w:sz w:val="14"/>
              </w:rPr>
            </w:pPr>
            <w:r>
              <w:rPr>
                <w:b/>
                <w:spacing w:val="-2"/>
                <w:sz w:val="14"/>
              </w:rPr>
              <w:t>95.62</w:t>
            </w:r>
          </w:p>
        </w:tc>
        <w:tc>
          <w:tcPr>
            <w:tcW w:w="1174" w:type="dxa"/>
          </w:tcPr>
          <w:p>
            <w:pPr>
              <w:pStyle w:val="TableParagraph"/>
              <w:spacing w:before="12"/>
              <w:ind w:right="409"/>
              <w:jc w:val="right"/>
              <w:rPr>
                <w:b/>
                <w:sz w:val="14"/>
              </w:rPr>
            </w:pPr>
            <w:r>
              <w:rPr>
                <w:b/>
                <w:spacing w:val="-2"/>
                <w:sz w:val="14"/>
              </w:rPr>
              <w:t>125.72</w:t>
            </w:r>
          </w:p>
        </w:tc>
        <w:tc>
          <w:tcPr>
            <w:tcW w:w="1174" w:type="dxa"/>
          </w:tcPr>
          <w:p>
            <w:pPr>
              <w:pStyle w:val="TableParagraph"/>
              <w:spacing w:before="12"/>
              <w:ind w:left="113" w:right="156"/>
              <w:jc w:val="center"/>
              <w:rPr>
                <w:b/>
                <w:sz w:val="14"/>
              </w:rPr>
            </w:pPr>
            <w:r>
              <w:rPr>
                <w:b/>
                <w:spacing w:val="-2"/>
                <w:sz w:val="14"/>
              </w:rPr>
              <w:t>148.85</w:t>
            </w:r>
          </w:p>
        </w:tc>
        <w:tc>
          <w:tcPr>
            <w:tcW w:w="1174" w:type="dxa"/>
          </w:tcPr>
          <w:p>
            <w:pPr>
              <w:pStyle w:val="TableParagraph"/>
              <w:spacing w:before="12"/>
              <w:ind w:right="409"/>
              <w:jc w:val="right"/>
              <w:rPr>
                <w:b/>
                <w:sz w:val="14"/>
              </w:rPr>
            </w:pPr>
            <w:r>
              <w:rPr>
                <w:b/>
                <w:spacing w:val="-2"/>
                <w:sz w:val="14"/>
              </w:rPr>
              <w:t>191.58</w:t>
            </w:r>
          </w:p>
        </w:tc>
        <w:tc>
          <w:tcPr>
            <w:tcW w:w="827" w:type="dxa"/>
          </w:tcPr>
          <w:p>
            <w:pPr>
              <w:pStyle w:val="TableParagraph"/>
              <w:spacing w:before="12"/>
              <w:ind w:right="61"/>
              <w:jc w:val="right"/>
              <w:rPr>
                <w:b/>
                <w:sz w:val="14"/>
              </w:rPr>
            </w:pPr>
            <w:r>
              <w:rPr>
                <w:b/>
                <w:spacing w:val="-2"/>
                <w:sz w:val="14"/>
              </w:rPr>
              <w:t>156.89</w:t>
            </w:r>
          </w:p>
        </w:tc>
      </w:tr>
      <w:tr>
        <w:trPr>
          <w:trHeight w:val="180" w:hRule="atLeast"/>
        </w:trPr>
        <w:tc>
          <w:tcPr>
            <w:tcW w:w="3468" w:type="dxa"/>
          </w:tcPr>
          <w:p>
            <w:pPr>
              <w:pStyle w:val="TableParagraph"/>
              <w:spacing w:line="142" w:lineRule="exact" w:before="19"/>
              <w:ind w:left="17"/>
              <w:rPr>
                <w:b/>
                <w:sz w:val="14"/>
              </w:rPr>
            </w:pPr>
            <w:r>
              <w:rPr>
                <w:b/>
                <w:sz w:val="14"/>
              </w:rPr>
              <w:t>Dow</w:t>
            </w:r>
            <w:r>
              <w:rPr>
                <w:b/>
                <w:spacing w:val="5"/>
                <w:sz w:val="14"/>
              </w:rPr>
              <w:t> </w:t>
            </w:r>
            <w:r>
              <w:rPr>
                <w:b/>
                <w:sz w:val="14"/>
              </w:rPr>
              <w:t>Jones</w:t>
            </w:r>
            <w:r>
              <w:rPr>
                <w:b/>
                <w:spacing w:val="5"/>
                <w:sz w:val="14"/>
              </w:rPr>
              <w:t> </w:t>
            </w:r>
            <w:r>
              <w:rPr>
                <w:b/>
                <w:sz w:val="14"/>
              </w:rPr>
              <w:t>US</w:t>
            </w:r>
            <w:r>
              <w:rPr>
                <w:b/>
                <w:spacing w:val="5"/>
                <w:sz w:val="14"/>
              </w:rPr>
              <w:t> </w:t>
            </w:r>
            <w:r>
              <w:rPr>
                <w:b/>
                <w:spacing w:val="-2"/>
                <w:sz w:val="14"/>
              </w:rPr>
              <w:t>Gambling</w:t>
            </w:r>
          </w:p>
        </w:tc>
        <w:tc>
          <w:tcPr>
            <w:tcW w:w="2559" w:type="dxa"/>
          </w:tcPr>
          <w:p>
            <w:pPr>
              <w:pStyle w:val="TableParagraph"/>
              <w:spacing w:line="142" w:lineRule="exact" w:before="19"/>
              <w:ind w:right="445"/>
              <w:jc w:val="right"/>
              <w:rPr>
                <w:b/>
                <w:sz w:val="14"/>
              </w:rPr>
            </w:pPr>
            <w:r>
              <w:rPr>
                <w:b/>
                <w:spacing w:val="-2"/>
                <w:sz w:val="14"/>
              </w:rPr>
              <w:t>100.00</w:t>
            </w:r>
          </w:p>
        </w:tc>
        <w:tc>
          <w:tcPr>
            <w:tcW w:w="1138" w:type="dxa"/>
          </w:tcPr>
          <w:p>
            <w:pPr>
              <w:pStyle w:val="TableParagraph"/>
              <w:spacing w:line="142" w:lineRule="exact" w:before="19"/>
              <w:ind w:left="75" w:right="83"/>
              <w:jc w:val="center"/>
              <w:rPr>
                <w:b/>
                <w:sz w:val="14"/>
              </w:rPr>
            </w:pPr>
            <w:r>
              <w:rPr>
                <w:b/>
                <w:spacing w:val="-2"/>
                <w:sz w:val="14"/>
              </w:rPr>
              <w:t>69.38</w:t>
            </w:r>
          </w:p>
        </w:tc>
        <w:tc>
          <w:tcPr>
            <w:tcW w:w="1174" w:type="dxa"/>
          </w:tcPr>
          <w:p>
            <w:pPr>
              <w:pStyle w:val="TableParagraph"/>
              <w:spacing w:line="142" w:lineRule="exact" w:before="19"/>
              <w:ind w:right="409"/>
              <w:jc w:val="right"/>
              <w:rPr>
                <w:b/>
                <w:sz w:val="14"/>
              </w:rPr>
            </w:pPr>
            <w:r>
              <w:rPr>
                <w:b/>
                <w:spacing w:val="-2"/>
                <w:sz w:val="14"/>
              </w:rPr>
              <w:t>102.38</w:t>
            </w:r>
          </w:p>
        </w:tc>
        <w:tc>
          <w:tcPr>
            <w:tcW w:w="1174" w:type="dxa"/>
          </w:tcPr>
          <w:p>
            <w:pPr>
              <w:pStyle w:val="TableParagraph"/>
              <w:spacing w:line="142" w:lineRule="exact" w:before="19"/>
              <w:ind w:left="113" w:right="87"/>
              <w:jc w:val="center"/>
              <w:rPr>
                <w:b/>
                <w:sz w:val="14"/>
              </w:rPr>
            </w:pPr>
            <w:r>
              <w:rPr>
                <w:b/>
                <w:spacing w:val="-2"/>
                <w:sz w:val="14"/>
              </w:rPr>
              <w:t>91.80</w:t>
            </w:r>
          </w:p>
        </w:tc>
        <w:tc>
          <w:tcPr>
            <w:tcW w:w="1174" w:type="dxa"/>
          </w:tcPr>
          <w:p>
            <w:pPr>
              <w:pStyle w:val="TableParagraph"/>
              <w:spacing w:line="142" w:lineRule="exact" w:before="19"/>
              <w:ind w:right="409"/>
              <w:jc w:val="right"/>
              <w:rPr>
                <w:b/>
                <w:sz w:val="14"/>
              </w:rPr>
            </w:pPr>
            <w:r>
              <w:rPr>
                <w:b/>
                <w:spacing w:val="-2"/>
                <w:sz w:val="14"/>
              </w:rPr>
              <w:t>80.03</w:t>
            </w:r>
          </w:p>
        </w:tc>
        <w:tc>
          <w:tcPr>
            <w:tcW w:w="827" w:type="dxa"/>
          </w:tcPr>
          <w:p>
            <w:pPr>
              <w:pStyle w:val="TableParagraph"/>
              <w:spacing w:line="142" w:lineRule="exact" w:before="19"/>
              <w:ind w:right="61"/>
              <w:jc w:val="right"/>
              <w:rPr>
                <w:b/>
                <w:sz w:val="14"/>
              </w:rPr>
            </w:pPr>
            <w:r>
              <w:rPr>
                <w:b/>
                <w:spacing w:val="-2"/>
                <w:sz w:val="14"/>
              </w:rPr>
              <w:t>59.67</w:t>
            </w:r>
          </w:p>
        </w:tc>
      </w:tr>
    </w:tbl>
    <w:p>
      <w:pPr>
        <w:spacing w:before="134"/>
        <w:ind w:left="24" w:right="0" w:firstLine="0"/>
        <w:jc w:val="center"/>
        <w:rPr>
          <w:i/>
          <w:sz w:val="18"/>
        </w:rPr>
      </w:pPr>
      <w:r>
        <w:rPr>
          <w:i/>
          <w:sz w:val="18"/>
        </w:rPr>
        <w:t>The</w:t>
      </w:r>
      <w:r>
        <w:rPr>
          <w:i/>
          <w:spacing w:val="-2"/>
          <w:sz w:val="18"/>
        </w:rPr>
        <w:t> </w:t>
      </w:r>
      <w:r>
        <w:rPr>
          <w:i/>
          <w:sz w:val="18"/>
        </w:rPr>
        <w:t>stock</w:t>
      </w:r>
      <w:r>
        <w:rPr>
          <w:i/>
          <w:spacing w:val="-1"/>
          <w:sz w:val="18"/>
        </w:rPr>
        <w:t> </w:t>
      </w:r>
      <w:r>
        <w:rPr>
          <w:i/>
          <w:sz w:val="18"/>
        </w:rPr>
        <w:t>price</w:t>
      </w:r>
      <w:r>
        <w:rPr>
          <w:i/>
          <w:spacing w:val="-2"/>
          <w:sz w:val="18"/>
        </w:rPr>
        <w:t> </w:t>
      </w:r>
      <w:r>
        <w:rPr>
          <w:i/>
          <w:sz w:val="18"/>
        </w:rPr>
        <w:t>performance</w:t>
      </w:r>
      <w:r>
        <w:rPr>
          <w:i/>
          <w:spacing w:val="-1"/>
          <w:sz w:val="18"/>
        </w:rPr>
        <w:t> </w:t>
      </w:r>
      <w:r>
        <w:rPr>
          <w:i/>
          <w:sz w:val="18"/>
        </w:rPr>
        <w:t>included</w:t>
      </w:r>
      <w:r>
        <w:rPr>
          <w:i/>
          <w:spacing w:val="-2"/>
          <w:sz w:val="18"/>
        </w:rPr>
        <w:t> </w:t>
      </w:r>
      <w:r>
        <w:rPr>
          <w:i/>
          <w:sz w:val="18"/>
        </w:rPr>
        <w:t>in</w:t>
      </w:r>
      <w:r>
        <w:rPr>
          <w:i/>
          <w:spacing w:val="-1"/>
          <w:sz w:val="18"/>
        </w:rPr>
        <w:t> </w:t>
      </w:r>
      <w:r>
        <w:rPr>
          <w:i/>
          <w:sz w:val="18"/>
        </w:rPr>
        <w:t>this</w:t>
      </w:r>
      <w:r>
        <w:rPr>
          <w:i/>
          <w:spacing w:val="-2"/>
          <w:sz w:val="18"/>
        </w:rPr>
        <w:t> </w:t>
      </w:r>
      <w:r>
        <w:rPr>
          <w:i/>
          <w:sz w:val="18"/>
        </w:rPr>
        <w:t>graph</w:t>
      </w:r>
      <w:r>
        <w:rPr>
          <w:i/>
          <w:spacing w:val="-1"/>
          <w:sz w:val="18"/>
        </w:rPr>
        <w:t> </w:t>
      </w:r>
      <w:r>
        <w:rPr>
          <w:i/>
          <w:sz w:val="18"/>
        </w:rPr>
        <w:t>is</w:t>
      </w:r>
      <w:r>
        <w:rPr>
          <w:i/>
          <w:spacing w:val="-1"/>
          <w:sz w:val="18"/>
        </w:rPr>
        <w:t> </w:t>
      </w:r>
      <w:r>
        <w:rPr>
          <w:i/>
          <w:sz w:val="18"/>
        </w:rPr>
        <w:t>not</w:t>
      </w:r>
      <w:r>
        <w:rPr>
          <w:i/>
          <w:spacing w:val="-2"/>
          <w:sz w:val="18"/>
        </w:rPr>
        <w:t> </w:t>
      </w:r>
      <w:r>
        <w:rPr>
          <w:i/>
          <w:sz w:val="18"/>
        </w:rPr>
        <w:t>necessarily</w:t>
      </w:r>
      <w:r>
        <w:rPr>
          <w:i/>
          <w:spacing w:val="-1"/>
          <w:sz w:val="18"/>
        </w:rPr>
        <w:t> </w:t>
      </w:r>
      <w:r>
        <w:rPr>
          <w:i/>
          <w:sz w:val="18"/>
        </w:rPr>
        <w:t>indicative</w:t>
      </w:r>
      <w:r>
        <w:rPr>
          <w:i/>
          <w:spacing w:val="-2"/>
          <w:sz w:val="18"/>
        </w:rPr>
        <w:t> </w:t>
      </w:r>
      <w:r>
        <w:rPr>
          <w:i/>
          <w:sz w:val="18"/>
        </w:rPr>
        <w:t>of</w:t>
      </w:r>
      <w:r>
        <w:rPr>
          <w:i/>
          <w:spacing w:val="-1"/>
          <w:sz w:val="18"/>
        </w:rPr>
        <w:t> </w:t>
      </w:r>
      <w:r>
        <w:rPr>
          <w:i/>
          <w:sz w:val="18"/>
        </w:rPr>
        <w:t>future</w:t>
      </w:r>
      <w:r>
        <w:rPr>
          <w:i/>
          <w:spacing w:val="-2"/>
          <w:sz w:val="18"/>
        </w:rPr>
        <w:t> </w:t>
      </w:r>
      <w:r>
        <w:rPr>
          <w:i/>
          <w:sz w:val="18"/>
        </w:rPr>
        <w:t>stock</w:t>
      </w:r>
      <w:r>
        <w:rPr>
          <w:i/>
          <w:spacing w:val="-1"/>
          <w:sz w:val="18"/>
        </w:rPr>
        <w:t> </w:t>
      </w:r>
      <w:r>
        <w:rPr>
          <w:i/>
          <w:sz w:val="18"/>
        </w:rPr>
        <w:t>price</w:t>
      </w:r>
      <w:r>
        <w:rPr>
          <w:i/>
          <w:spacing w:val="-1"/>
          <w:sz w:val="18"/>
        </w:rPr>
        <w:t> </w:t>
      </w:r>
      <w:r>
        <w:rPr>
          <w:i/>
          <w:spacing w:val="-2"/>
          <w:sz w:val="18"/>
        </w:rPr>
        <w:t>performance.</w:t>
      </w:r>
    </w:p>
    <w:p>
      <w:pPr>
        <w:pStyle w:val="BodyText"/>
        <w:rPr>
          <w:i/>
        </w:rPr>
      </w:pPr>
    </w:p>
    <w:p>
      <w:pPr>
        <w:pStyle w:val="BodyText"/>
        <w:rPr>
          <w:i/>
        </w:rPr>
      </w:pPr>
    </w:p>
    <w:p>
      <w:pPr>
        <w:pStyle w:val="BodyText"/>
        <w:spacing w:before="198"/>
        <w:rPr>
          <w:i/>
        </w:rPr>
      </w:pPr>
    </w:p>
    <w:p>
      <w:pPr>
        <w:pStyle w:val="BodyText"/>
        <w:ind w:left="24"/>
        <w:jc w:val="center"/>
      </w:pPr>
      <w:bookmarkStart w:name="_bookmark7" w:id="8"/>
      <w:bookmarkEnd w:id="8"/>
      <w:r>
        <w:rPr/>
      </w:r>
      <w:r>
        <w:rPr>
          <w:spacing w:val="-5"/>
        </w:rPr>
        <w:t>31</w:t>
      </w:r>
    </w:p>
    <w:p>
      <w:pPr>
        <w:pStyle w:val="BodyText"/>
        <w:spacing w:before="3"/>
        <w:rPr>
          <w:sz w:val="6"/>
        </w:rPr>
      </w:pPr>
      <w:r>
        <w:rPr/>
        <mc:AlternateContent>
          <mc:Choice Requires="wps">
            <w:drawing>
              <wp:anchor distT="0" distB="0" distL="0" distR="0" allowOverlap="1" layoutInCell="1" locked="0" behindDoc="1" simplePos="0" relativeHeight="487612928">
                <wp:simplePos x="0" y="0"/>
                <wp:positionH relativeFrom="page">
                  <wp:posOffset>231457</wp:posOffset>
                </wp:positionH>
                <wp:positionV relativeFrom="paragraph">
                  <wp:posOffset>60956</wp:posOffset>
                </wp:positionV>
                <wp:extent cx="7312659" cy="17145"/>
                <wp:effectExtent l="0" t="0" r="0" b="0"/>
                <wp:wrapTopAndBottom/>
                <wp:docPr id="156" name="Group 156"/>
                <wp:cNvGraphicFramePr>
                  <a:graphicFrameLocks/>
                </wp:cNvGraphicFramePr>
                <a:graphic>
                  <a:graphicData uri="http://schemas.microsoft.com/office/word/2010/wordprocessingGroup">
                    <wpg:wgp>
                      <wpg:cNvPr id="156" name="Group 156"/>
                      <wpg:cNvGrpSpPr/>
                      <wpg:grpSpPr>
                        <a:xfrm>
                          <a:off x="0" y="0"/>
                          <a:ext cx="7312659" cy="17145"/>
                          <a:chExt cx="7312659" cy="17145"/>
                        </a:xfrm>
                      </wpg:grpSpPr>
                      <wps:wsp>
                        <wps:cNvPr id="157" name="Graphic 15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58" name="Graphic 158"/>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59" name="Graphic 15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3552;mso-wrap-distance-left:0;mso-wrap-distance-right:0" id="docshapegroup154" coordorigin="364,96" coordsize="11516,27">
                <v:rect style="position:absolute;left:364;top:96;width:11516;height:14" id="docshape155" filled="true" fillcolor="#999999" stroked="false">
                  <v:fill type="solid"/>
                </v:rect>
                <v:shape style="position:absolute;left:364;top:95;width:11516;height:27" id="docshape156" coordorigin="364,96" coordsize="11516,27" path="m11880,96l11866,109,364,109,364,123,11866,123,11880,123,11880,109,11880,96xe" filled="true" fillcolor="#ededed" stroked="false">
                  <v:path arrowok="t"/>
                  <v:fill type="solid"/>
                </v:shape>
                <v:shape style="position:absolute;left:364;top:96;width:14;height:27" id="docshape15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4"/>
        <w:spacing w:before="69"/>
      </w:pPr>
      <w:r>
        <w:rPr/>
        <w:t>ITEM</w:t>
      </w:r>
      <w:r>
        <w:rPr>
          <w:spacing w:val="-1"/>
        </w:rPr>
        <w:t> </w:t>
      </w:r>
      <w:r>
        <w:rPr/>
        <w:t>6.</w:t>
      </w:r>
      <w:r>
        <w:rPr>
          <w:spacing w:val="44"/>
        </w:rPr>
        <w:t>  </w:t>
      </w:r>
      <w:r>
        <w:rPr>
          <w:spacing w:val="-2"/>
        </w:rPr>
        <w:t>RESERVED</w:t>
      </w:r>
    </w:p>
    <w:p>
      <w:pPr>
        <w:pStyle w:val="BodyText"/>
        <w:rPr>
          <w:b/>
        </w:rPr>
      </w:pPr>
    </w:p>
    <w:p>
      <w:pPr>
        <w:pStyle w:val="BodyText"/>
        <w:spacing w:before="27"/>
        <w:rPr>
          <w:b/>
        </w:rPr>
      </w:pPr>
    </w:p>
    <w:p>
      <w:pPr>
        <w:spacing w:before="0"/>
        <w:ind w:left="144" w:right="0" w:firstLine="0"/>
        <w:jc w:val="left"/>
        <w:rPr>
          <w:b/>
          <w:sz w:val="18"/>
        </w:rPr>
      </w:pPr>
      <w:bookmarkStart w:name="_bookmark8" w:id="9"/>
      <w:bookmarkEnd w:id="9"/>
      <w:r>
        <w:rPr/>
      </w:r>
      <w:r>
        <w:rPr>
          <w:b/>
          <w:sz w:val="18"/>
        </w:rPr>
        <w:t>ITEM</w:t>
      </w:r>
      <w:r>
        <w:rPr>
          <w:b/>
          <w:spacing w:val="-9"/>
          <w:sz w:val="18"/>
        </w:rPr>
        <w:t> </w:t>
      </w:r>
      <w:r>
        <w:rPr>
          <w:b/>
          <w:sz w:val="18"/>
        </w:rPr>
        <w:t>7.</w:t>
      </w:r>
      <w:r>
        <w:rPr>
          <w:b/>
          <w:spacing w:val="39"/>
          <w:sz w:val="18"/>
        </w:rPr>
        <w:t>  </w:t>
      </w:r>
      <w:r>
        <w:rPr>
          <w:b/>
          <w:sz w:val="18"/>
        </w:rPr>
        <w:t>MANAGEMENT’S</w:t>
      </w:r>
      <w:r>
        <w:rPr>
          <w:b/>
          <w:spacing w:val="-2"/>
          <w:sz w:val="18"/>
        </w:rPr>
        <w:t> </w:t>
      </w:r>
      <w:r>
        <w:rPr>
          <w:b/>
          <w:sz w:val="18"/>
        </w:rPr>
        <w:t>DISCUSSION</w:t>
      </w:r>
      <w:r>
        <w:rPr>
          <w:b/>
          <w:spacing w:val="-11"/>
          <w:sz w:val="18"/>
        </w:rPr>
        <w:t> </w:t>
      </w:r>
      <w:r>
        <w:rPr>
          <w:b/>
          <w:sz w:val="18"/>
        </w:rPr>
        <w:t>AND</w:t>
      </w:r>
      <w:r>
        <w:rPr>
          <w:b/>
          <w:spacing w:val="-11"/>
          <w:sz w:val="18"/>
        </w:rPr>
        <w:t> </w:t>
      </w:r>
      <w:r>
        <w:rPr>
          <w:b/>
          <w:sz w:val="18"/>
        </w:rPr>
        <w:t>ANALYSIS</w:t>
      </w:r>
      <w:r>
        <w:rPr>
          <w:b/>
          <w:spacing w:val="-4"/>
          <w:sz w:val="18"/>
        </w:rPr>
        <w:t> </w:t>
      </w:r>
      <w:r>
        <w:rPr>
          <w:b/>
          <w:sz w:val="18"/>
        </w:rPr>
        <w:t>OF</w:t>
      </w:r>
      <w:r>
        <w:rPr>
          <w:b/>
          <w:spacing w:val="-9"/>
          <w:sz w:val="18"/>
        </w:rPr>
        <w:t> </w:t>
      </w:r>
      <w:r>
        <w:rPr>
          <w:b/>
          <w:sz w:val="18"/>
        </w:rPr>
        <w:t>FINANCIAL</w:t>
      </w:r>
      <w:r>
        <w:rPr>
          <w:b/>
          <w:spacing w:val="-11"/>
          <w:sz w:val="18"/>
        </w:rPr>
        <w:t> </w:t>
      </w:r>
      <w:r>
        <w:rPr>
          <w:b/>
          <w:sz w:val="18"/>
        </w:rPr>
        <w:t>CONDITION</w:t>
      </w:r>
      <w:r>
        <w:rPr>
          <w:b/>
          <w:spacing w:val="-12"/>
          <w:sz w:val="18"/>
        </w:rPr>
        <w:t> </w:t>
      </w:r>
      <w:r>
        <w:rPr>
          <w:b/>
          <w:sz w:val="18"/>
        </w:rPr>
        <w:t>AND</w:t>
      </w:r>
      <w:r>
        <w:rPr>
          <w:b/>
          <w:spacing w:val="-3"/>
          <w:sz w:val="18"/>
        </w:rPr>
        <w:t> </w:t>
      </w:r>
      <w:r>
        <w:rPr>
          <w:b/>
          <w:sz w:val="18"/>
        </w:rPr>
        <w:t>RESULTS</w:t>
      </w:r>
      <w:r>
        <w:rPr>
          <w:b/>
          <w:spacing w:val="-3"/>
          <w:sz w:val="18"/>
        </w:rPr>
        <w:t> </w:t>
      </w:r>
      <w:r>
        <w:rPr>
          <w:b/>
          <w:sz w:val="18"/>
        </w:rPr>
        <w:t>OF</w:t>
      </w:r>
      <w:r>
        <w:rPr>
          <w:b/>
          <w:spacing w:val="-9"/>
          <w:sz w:val="18"/>
        </w:rPr>
        <w:t> </w:t>
      </w:r>
      <w:r>
        <w:rPr>
          <w:b/>
          <w:spacing w:val="-2"/>
          <w:sz w:val="18"/>
        </w:rPr>
        <w:t>OPERATIONS</w:t>
      </w:r>
    </w:p>
    <w:p>
      <w:pPr>
        <w:pStyle w:val="BodyText"/>
        <w:spacing w:before="5"/>
        <w:rPr>
          <w:b/>
        </w:rPr>
      </w:pPr>
    </w:p>
    <w:p>
      <w:pPr>
        <w:pStyle w:val="BodyText"/>
        <w:ind w:left="144" w:right="117" w:firstLine="499"/>
        <w:jc w:val="both"/>
      </w:pPr>
      <w:r>
        <w:rPr/>
        <w:t>This</w:t>
      </w:r>
      <w:r>
        <w:rPr>
          <w:spacing w:val="40"/>
        </w:rPr>
        <w:t> </w:t>
      </w:r>
      <w:r>
        <w:rPr/>
        <w:t>management’s</w:t>
      </w:r>
      <w:r>
        <w:rPr>
          <w:spacing w:val="40"/>
        </w:rPr>
        <w:t> </w:t>
      </w:r>
      <w:r>
        <w:rPr/>
        <w:t>discussion</w:t>
      </w:r>
      <w:r>
        <w:rPr>
          <w:spacing w:val="40"/>
        </w:rPr>
        <w:t> </w:t>
      </w:r>
      <w:r>
        <w:rPr/>
        <w:t>and</w:t>
      </w:r>
      <w:r>
        <w:rPr>
          <w:spacing w:val="40"/>
        </w:rPr>
        <w:t> </w:t>
      </w:r>
      <w:r>
        <w:rPr/>
        <w:t>analysis</w:t>
      </w:r>
      <w:r>
        <w:rPr>
          <w:spacing w:val="40"/>
        </w:rPr>
        <w:t> </w:t>
      </w:r>
      <w:r>
        <w:rPr/>
        <w:t>of</w:t>
      </w:r>
      <w:r>
        <w:rPr>
          <w:spacing w:val="40"/>
        </w:rPr>
        <w:t> </w:t>
      </w:r>
      <w:r>
        <w:rPr/>
        <w:t>financial</w:t>
      </w:r>
      <w:r>
        <w:rPr>
          <w:spacing w:val="40"/>
        </w:rPr>
        <w:t> </w:t>
      </w:r>
      <w:r>
        <w:rPr/>
        <w:t>condition</w:t>
      </w:r>
      <w:r>
        <w:rPr>
          <w:spacing w:val="40"/>
        </w:rPr>
        <w:t> </w:t>
      </w:r>
      <w:r>
        <w:rPr/>
        <w:t>and</w:t>
      </w:r>
      <w:r>
        <w:rPr>
          <w:spacing w:val="40"/>
        </w:rPr>
        <w:t> </w:t>
      </w:r>
      <w:r>
        <w:rPr/>
        <w:t>results</w:t>
      </w:r>
      <w:r>
        <w:rPr>
          <w:spacing w:val="40"/>
        </w:rPr>
        <w:t> </w:t>
      </w:r>
      <w:r>
        <w:rPr/>
        <w:t>of</w:t>
      </w:r>
      <w:r>
        <w:rPr>
          <w:spacing w:val="40"/>
        </w:rPr>
        <w:t> </w:t>
      </w:r>
      <w:r>
        <w:rPr/>
        <w:t>operations</w:t>
      </w:r>
      <w:r>
        <w:rPr>
          <w:spacing w:val="40"/>
        </w:rPr>
        <w:t> </w:t>
      </w:r>
      <w:r>
        <w:rPr/>
        <w:t>includes</w:t>
      </w:r>
      <w:r>
        <w:rPr>
          <w:spacing w:val="40"/>
        </w:rPr>
        <w:t> </w:t>
      </w:r>
      <w:r>
        <w:rPr/>
        <w:t>discussion</w:t>
      </w:r>
      <w:r>
        <w:rPr>
          <w:spacing w:val="40"/>
        </w:rPr>
        <w:t> </w:t>
      </w:r>
      <w:r>
        <w:rPr/>
        <w:t>as</w:t>
      </w:r>
      <w:r>
        <w:rPr>
          <w:spacing w:val="40"/>
        </w:rPr>
        <w:t> </w:t>
      </w:r>
      <w:r>
        <w:rPr/>
        <w:t>of</w:t>
      </w:r>
      <w:r>
        <w:rPr>
          <w:spacing w:val="40"/>
        </w:rPr>
        <w:t> </w:t>
      </w:r>
      <w:r>
        <w:rPr/>
        <w:t>and</w:t>
      </w:r>
      <w:r>
        <w:rPr>
          <w:spacing w:val="40"/>
        </w:rPr>
        <w:t> </w:t>
      </w:r>
      <w:r>
        <w:rPr/>
        <w:t>for</w:t>
      </w:r>
      <w:r>
        <w:rPr>
          <w:spacing w:val="40"/>
        </w:rPr>
        <w:t> </w:t>
      </w:r>
      <w:r>
        <w:rPr/>
        <w:t>the</w:t>
      </w:r>
      <w:r>
        <w:rPr>
          <w:spacing w:val="40"/>
        </w:rPr>
        <w:t> </w:t>
      </w:r>
      <w:r>
        <w:rPr/>
        <w:t>year</w:t>
      </w:r>
      <w:r>
        <w:rPr>
          <w:spacing w:val="40"/>
        </w:rPr>
        <w:t> </w:t>
      </w:r>
      <w:r>
        <w:rPr/>
        <w:t>ended December</w:t>
      </w:r>
      <w:r>
        <w:rPr>
          <w:spacing w:val="-1"/>
        </w:rPr>
        <w:t> </w:t>
      </w:r>
      <w:r>
        <w:rPr/>
        <w:t>31,</w:t>
      </w:r>
      <w:r>
        <w:rPr>
          <w:spacing w:val="-1"/>
        </w:rPr>
        <w:t> </w:t>
      </w:r>
      <w:r>
        <w:rPr/>
        <w:t>2022</w:t>
      </w:r>
      <w:r>
        <w:rPr>
          <w:spacing w:val="-1"/>
        </w:rPr>
        <w:t> </w:t>
      </w:r>
      <w:r>
        <w:rPr/>
        <w:t>compared</w:t>
      </w:r>
      <w:r>
        <w:rPr>
          <w:spacing w:val="-1"/>
        </w:rPr>
        <w:t> </w:t>
      </w:r>
      <w:r>
        <w:rPr/>
        <w:t>to</w:t>
      </w:r>
      <w:r>
        <w:rPr>
          <w:spacing w:val="-1"/>
        </w:rPr>
        <w:t> </w:t>
      </w:r>
      <w:r>
        <w:rPr/>
        <w:t>December</w:t>
      </w:r>
      <w:r>
        <w:rPr>
          <w:spacing w:val="-1"/>
        </w:rPr>
        <w:t> </w:t>
      </w:r>
      <w:r>
        <w:rPr/>
        <w:t>31,</w:t>
      </w:r>
      <w:r>
        <w:rPr>
          <w:spacing w:val="-1"/>
        </w:rPr>
        <w:t> </w:t>
      </w:r>
      <w:r>
        <w:rPr/>
        <w:t>2021.</w:t>
      </w:r>
      <w:r>
        <w:rPr>
          <w:spacing w:val="-1"/>
        </w:rPr>
        <w:t> </w:t>
      </w:r>
      <w:r>
        <w:rPr/>
        <w:t>Discussion</w:t>
      </w:r>
      <w:r>
        <w:rPr>
          <w:spacing w:val="-1"/>
        </w:rPr>
        <w:t> </w:t>
      </w:r>
      <w:r>
        <w:rPr/>
        <w:t>of</w:t>
      </w:r>
      <w:r>
        <w:rPr>
          <w:spacing w:val="-1"/>
        </w:rPr>
        <w:t> </w:t>
      </w:r>
      <w:r>
        <w:rPr/>
        <w:t>our</w:t>
      </w:r>
      <w:r>
        <w:rPr>
          <w:spacing w:val="-1"/>
        </w:rPr>
        <w:t> </w:t>
      </w:r>
      <w:r>
        <w:rPr/>
        <w:t>financial</w:t>
      </w:r>
      <w:r>
        <w:rPr>
          <w:spacing w:val="-1"/>
        </w:rPr>
        <w:t> </w:t>
      </w:r>
      <w:r>
        <w:rPr/>
        <w:t>condition</w:t>
      </w:r>
      <w:r>
        <w:rPr>
          <w:spacing w:val="-1"/>
        </w:rPr>
        <w:t> </w:t>
      </w:r>
      <w:r>
        <w:rPr/>
        <w:t>and</w:t>
      </w:r>
      <w:r>
        <w:rPr>
          <w:spacing w:val="-1"/>
        </w:rPr>
        <w:t> </w:t>
      </w:r>
      <w:r>
        <w:rPr/>
        <w:t>results</w:t>
      </w:r>
      <w:r>
        <w:rPr>
          <w:spacing w:val="-1"/>
        </w:rPr>
        <w:t> </w:t>
      </w:r>
      <w:r>
        <w:rPr/>
        <w:t>of</w:t>
      </w:r>
      <w:r>
        <w:rPr>
          <w:spacing w:val="-1"/>
        </w:rPr>
        <w:t> </w:t>
      </w:r>
      <w:r>
        <w:rPr/>
        <w:t>operations</w:t>
      </w:r>
      <w:r>
        <w:rPr>
          <w:spacing w:val="-1"/>
        </w:rPr>
        <w:t> </w:t>
      </w:r>
      <w:r>
        <w:rPr/>
        <w:t>as</w:t>
      </w:r>
      <w:r>
        <w:rPr>
          <w:spacing w:val="-1"/>
        </w:rPr>
        <w:t> </w:t>
      </w:r>
      <w:r>
        <w:rPr/>
        <w:t>of</w:t>
      </w:r>
      <w:r>
        <w:rPr>
          <w:spacing w:val="-1"/>
        </w:rPr>
        <w:t> </w:t>
      </w:r>
      <w:r>
        <w:rPr/>
        <w:t>and</w:t>
      </w:r>
      <w:r>
        <w:rPr>
          <w:spacing w:val="-1"/>
        </w:rPr>
        <w:t> </w:t>
      </w:r>
      <w:r>
        <w:rPr/>
        <w:t>for</w:t>
      </w:r>
      <w:r>
        <w:rPr>
          <w:spacing w:val="-1"/>
        </w:rPr>
        <w:t> </w:t>
      </w:r>
      <w:r>
        <w:rPr/>
        <w:t>the</w:t>
      </w:r>
      <w:r>
        <w:rPr>
          <w:spacing w:val="-1"/>
        </w:rPr>
        <w:t> </w:t>
      </w:r>
      <w:r>
        <w:rPr/>
        <w:t>year</w:t>
      </w:r>
      <w:r>
        <w:rPr>
          <w:spacing w:val="-1"/>
        </w:rPr>
        <w:t> </w:t>
      </w:r>
      <w:r>
        <w:rPr/>
        <w:t>ended</w:t>
      </w:r>
      <w:r>
        <w:rPr>
          <w:spacing w:val="-1"/>
        </w:rPr>
        <w:t> </w:t>
      </w:r>
      <w:r>
        <w:rPr/>
        <w:t>December</w:t>
      </w:r>
      <w:r>
        <w:rPr>
          <w:spacing w:val="-1"/>
        </w:rPr>
        <w:t> </w:t>
      </w:r>
      <w:r>
        <w:rPr/>
        <w:t>31, 2021 compared to December 31, 2020 can be found in our</w:t>
      </w:r>
      <w:r>
        <w:rPr>
          <w:spacing w:val="-8"/>
        </w:rPr>
        <w:t> </w:t>
      </w:r>
      <w:r>
        <w:rPr/>
        <w:t>Annual Report on Form 10-K </w:t>
      </w:r>
      <w:r>
        <w:rPr>
          <w:color w:val="202529"/>
        </w:rPr>
        <w:t>for the fiscal year ended December 31, 2021, filed with the Securities and Exchange Commission (“SEC”) on February 25, 2022.</w:t>
      </w:r>
    </w:p>
    <w:p>
      <w:pPr>
        <w:pStyle w:val="BodyText"/>
        <w:spacing w:before="4"/>
      </w:pPr>
    </w:p>
    <w:p>
      <w:pPr>
        <w:pStyle w:val="Heading5"/>
        <w:jc w:val="left"/>
      </w:pPr>
      <w:r>
        <w:rPr/>
        <w:t>Description</w:t>
      </w:r>
      <w:r>
        <w:rPr>
          <w:spacing w:val="-1"/>
        </w:rPr>
        <w:t> </w:t>
      </w:r>
      <w:r>
        <w:rPr/>
        <w:t>of</w:t>
      </w:r>
      <w:r>
        <w:rPr>
          <w:spacing w:val="-1"/>
        </w:rPr>
        <w:t> </w:t>
      </w:r>
      <w:r>
        <w:rPr/>
        <w:t>our</w:t>
      </w:r>
      <w:r>
        <w:rPr>
          <w:spacing w:val="-4"/>
        </w:rPr>
        <w:t> </w:t>
      </w:r>
      <w:r>
        <w:rPr/>
        <w:t>business</w:t>
      </w:r>
      <w:r>
        <w:rPr>
          <w:spacing w:val="-1"/>
        </w:rPr>
        <w:t> </w:t>
      </w:r>
      <w:r>
        <w:rPr/>
        <w:t>and</w:t>
      </w:r>
      <w:r>
        <w:rPr>
          <w:spacing w:val="-1"/>
        </w:rPr>
        <w:t> </w:t>
      </w:r>
      <w:r>
        <w:rPr/>
        <w:t>key</w:t>
      </w:r>
      <w:r>
        <w:rPr>
          <w:spacing w:val="-1"/>
        </w:rPr>
        <w:t> </w:t>
      </w:r>
      <w:r>
        <w:rPr/>
        <w:t>performance</w:t>
      </w:r>
      <w:r>
        <w:rPr>
          <w:spacing w:val="-1"/>
        </w:rPr>
        <w:t> </w:t>
      </w:r>
      <w:r>
        <w:rPr>
          <w:spacing w:val="-2"/>
        </w:rPr>
        <w:t>indicators</w:t>
      </w:r>
    </w:p>
    <w:p>
      <w:pPr>
        <w:pStyle w:val="BodyText"/>
        <w:spacing w:before="18"/>
        <w:rPr>
          <w:b/>
        </w:rPr>
      </w:pPr>
    </w:p>
    <w:p>
      <w:pPr>
        <w:pStyle w:val="BodyText"/>
        <w:ind w:left="144" w:right="118" w:firstLine="499"/>
        <w:jc w:val="both"/>
      </w:pPr>
      <w:r>
        <w:rPr/>
        <w:t>Our primary business is the operation of casino resorts, which offer gaming, hotel, convention, dining, entertainment, retail and other resort amenities. We operate several of the finest casino resorts in the world and we continually reinvest in our resorts to maintain our competitive advantage. Most of </w:t>
      </w:r>
      <w:r>
        <w:rPr/>
        <w:t>our revenue is cash-based, through customers wagering with cash or paying for non-gaming services with cash or credit cards.</w:t>
      </w:r>
      <w:r>
        <w:rPr>
          <w:spacing w:val="-2"/>
        </w:rPr>
        <w:t> </w:t>
      </w:r>
      <w:r>
        <w:rPr/>
        <w:t>We rely on the ability of our resorts to generate operating cash flow to pay rent, fund capital expenditures, provide excess cash flow for future development, repay debt financings, and return capital to our shareholders. We lease the real estate assets of our domestic resorts pursuant to triple-net lease agreements and make significant investments in our resorts through newly remodeled hotel rooms, restaurants, entertainment and nightlife offerings, as well as other new features and amenities.</w:t>
      </w:r>
      <w:r>
        <w:rPr>
          <w:spacing w:val="-1"/>
        </w:rPr>
        <w:t> </w:t>
      </w:r>
      <w:r>
        <w:rPr/>
        <w:t>We also offer online gaming and sports betting through LeoVegas, our consolidated subsidiary, as well as through BetMGM, our unconsolidated affiliate.</w:t>
      </w:r>
    </w:p>
    <w:p>
      <w:pPr>
        <w:pStyle w:val="BodyText"/>
        <w:spacing w:before="5"/>
      </w:pPr>
    </w:p>
    <w:p>
      <w:pPr>
        <w:pStyle w:val="BodyText"/>
        <w:spacing w:line="242" w:lineRule="auto"/>
        <w:ind w:left="144" w:right="118" w:firstLine="499"/>
        <w:jc w:val="both"/>
      </w:pPr>
      <w:r>
        <w:rPr/>
        <w:t>Our results of operations are affected by decisions we make related to our capital allocation, our access to capital and our cost of capital. While we continue to be focused on maintaining a strong balance sheet with adequate liquidity and returning capital to shareholders, we are also dedicated to </w:t>
      </w:r>
      <w:r>
        <w:rPr/>
        <w:t>capitalizing on strategic development or initiatives.</w:t>
      </w:r>
    </w:p>
    <w:p>
      <w:pPr>
        <w:pStyle w:val="BodyText"/>
        <w:spacing w:before="3"/>
      </w:pPr>
    </w:p>
    <w:p>
      <w:pPr>
        <w:pStyle w:val="BodyText"/>
        <w:ind w:left="144" w:right="118" w:firstLine="499"/>
        <w:jc w:val="both"/>
      </w:pPr>
      <w:r>
        <w:rPr/>
        <w:t>Our results of operations do not tend to be seasonal in nature, though a variety of factors may affect the results of any interim period, including the timing of major conventions, Far East baccarat volumes, the amount and timing of marketing and special events for our high-end gaming customers, and the level of play during major holidays, including New Year and Lunar New Year. While our results do not depend on key individual customers, a significant portion of our operating income is generated from high-end gaming customers, which can cause variability in our results. In addition, our success in marketing to customer groups such as convention customers and the financial health of customer segments such as business travelers or high-end gaming customers from a</w:t>
      </w:r>
      <w:r>
        <w:rPr>
          <w:spacing w:val="-1"/>
        </w:rPr>
        <w:t> </w:t>
      </w:r>
      <w:r>
        <w:rPr/>
        <w:t>specific</w:t>
      </w:r>
      <w:r>
        <w:rPr>
          <w:spacing w:val="-1"/>
        </w:rPr>
        <w:t> </w:t>
      </w:r>
      <w:r>
        <w:rPr/>
        <w:t>country</w:t>
      </w:r>
      <w:r>
        <w:rPr>
          <w:spacing w:val="-1"/>
        </w:rPr>
        <w:t> </w:t>
      </w:r>
      <w:r>
        <w:rPr/>
        <w:t>or</w:t>
      </w:r>
      <w:r>
        <w:rPr>
          <w:spacing w:val="-1"/>
        </w:rPr>
        <w:t> </w:t>
      </w:r>
      <w:r>
        <w:rPr/>
        <w:t>region</w:t>
      </w:r>
      <w:r>
        <w:rPr>
          <w:spacing w:val="-1"/>
        </w:rPr>
        <w:t> </w:t>
      </w:r>
      <w:r>
        <w:rPr/>
        <w:t>can</w:t>
      </w:r>
      <w:r>
        <w:rPr>
          <w:spacing w:val="-1"/>
        </w:rPr>
        <w:t> </w:t>
      </w:r>
      <w:r>
        <w:rPr/>
        <w:t>affect</w:t>
      </w:r>
      <w:r>
        <w:rPr>
          <w:spacing w:val="-1"/>
        </w:rPr>
        <w:t> </w:t>
      </w:r>
      <w:r>
        <w:rPr/>
        <w:t>our</w:t>
      </w:r>
      <w:r>
        <w:rPr>
          <w:spacing w:val="-1"/>
        </w:rPr>
        <w:t> </w:t>
      </w:r>
      <w:r>
        <w:rPr/>
        <w:t>results.</w:t>
      </w:r>
      <w:r>
        <w:rPr>
          <w:spacing w:val="-1"/>
        </w:rPr>
        <w:t> </w:t>
      </w:r>
      <w:r>
        <w:rPr/>
        <w:t>Our</w:t>
      </w:r>
      <w:r>
        <w:rPr>
          <w:spacing w:val="-1"/>
        </w:rPr>
        <w:t> </w:t>
      </w:r>
      <w:r>
        <w:rPr/>
        <w:t>results</w:t>
      </w:r>
      <w:r>
        <w:rPr>
          <w:spacing w:val="-1"/>
        </w:rPr>
        <w:t> </w:t>
      </w:r>
      <w:r>
        <w:rPr/>
        <w:t>will</w:t>
      </w:r>
      <w:r>
        <w:rPr>
          <w:spacing w:val="-1"/>
        </w:rPr>
        <w:t> </w:t>
      </w:r>
      <w:r>
        <w:rPr/>
        <w:t>also</w:t>
      </w:r>
      <w:r>
        <w:rPr>
          <w:spacing w:val="-1"/>
        </w:rPr>
        <w:t> </w:t>
      </w:r>
      <w:r>
        <w:rPr/>
        <w:t>depend</w:t>
      </w:r>
      <w:r>
        <w:rPr>
          <w:spacing w:val="-1"/>
        </w:rPr>
        <w:t> </w:t>
      </w:r>
      <w:r>
        <w:rPr/>
        <w:t>upon</w:t>
      </w:r>
      <w:r>
        <w:rPr>
          <w:spacing w:val="-1"/>
        </w:rPr>
        <w:t> </w:t>
      </w:r>
      <w:r>
        <w:rPr/>
        <w:t>our</w:t>
      </w:r>
      <w:r>
        <w:rPr>
          <w:spacing w:val="-1"/>
        </w:rPr>
        <w:t> </w:t>
      </w:r>
      <w:r>
        <w:rPr/>
        <w:t>ability</w:t>
      </w:r>
      <w:r>
        <w:rPr>
          <w:spacing w:val="-1"/>
        </w:rPr>
        <w:t> </w:t>
      </w:r>
      <w:r>
        <w:rPr/>
        <w:t>to</w:t>
      </w:r>
      <w:r>
        <w:rPr>
          <w:spacing w:val="-1"/>
        </w:rPr>
        <w:t> </w:t>
      </w:r>
      <w:r>
        <w:rPr/>
        <w:t>expand</w:t>
      </w:r>
      <w:r>
        <w:rPr>
          <w:spacing w:val="-1"/>
        </w:rPr>
        <w:t> </w:t>
      </w:r>
      <w:r>
        <w:rPr/>
        <w:t>our</w:t>
      </w:r>
      <w:r>
        <w:rPr>
          <w:spacing w:val="-1"/>
        </w:rPr>
        <w:t> </w:t>
      </w:r>
      <w:r>
        <w:rPr/>
        <w:t>ownership,</w:t>
      </w:r>
      <w:r>
        <w:rPr>
          <w:spacing w:val="-1"/>
        </w:rPr>
        <w:t> </w:t>
      </w:r>
      <w:r>
        <w:rPr/>
        <w:t>management</w:t>
      </w:r>
      <w:r>
        <w:rPr>
          <w:spacing w:val="-1"/>
        </w:rPr>
        <w:t> </w:t>
      </w:r>
      <w:r>
        <w:rPr/>
        <w:t>and</w:t>
      </w:r>
      <w:r>
        <w:rPr>
          <w:spacing w:val="-1"/>
        </w:rPr>
        <w:t> </w:t>
      </w:r>
      <w:r>
        <w:rPr/>
        <w:t>operation</w:t>
      </w:r>
      <w:r>
        <w:rPr>
          <w:spacing w:val="-1"/>
        </w:rPr>
        <w:t> </w:t>
      </w:r>
      <w:r>
        <w:rPr/>
        <w:t>of</w:t>
      </w:r>
      <w:r>
        <w:rPr>
          <w:spacing w:val="-1"/>
        </w:rPr>
        <w:t> </w:t>
      </w:r>
      <w:r>
        <w:rPr/>
        <w:t>gaming facilities and accessing new markets for iGaming and online sports betting.</w:t>
      </w:r>
    </w:p>
    <w:p>
      <w:pPr>
        <w:pStyle w:val="BodyText"/>
        <w:spacing w:before="4"/>
      </w:pPr>
    </w:p>
    <w:p>
      <w:pPr>
        <w:spacing w:before="1"/>
        <w:ind w:left="394" w:right="0" w:firstLine="0"/>
        <w:jc w:val="left"/>
        <w:rPr>
          <w:i/>
          <w:sz w:val="18"/>
        </w:rPr>
      </w:pPr>
      <w:r>
        <w:rPr>
          <w:i/>
          <w:sz w:val="18"/>
        </w:rPr>
        <w:t>Impact</w:t>
      </w:r>
      <w:r>
        <w:rPr>
          <w:i/>
          <w:spacing w:val="-1"/>
          <w:sz w:val="18"/>
        </w:rPr>
        <w:t> </w:t>
      </w:r>
      <w:r>
        <w:rPr>
          <w:i/>
          <w:sz w:val="18"/>
        </w:rPr>
        <w:t>of</w:t>
      </w:r>
      <w:r>
        <w:rPr>
          <w:i/>
          <w:spacing w:val="-1"/>
          <w:sz w:val="18"/>
        </w:rPr>
        <w:t> </w:t>
      </w:r>
      <w:r>
        <w:rPr>
          <w:i/>
          <w:sz w:val="18"/>
        </w:rPr>
        <w:t>COVID-</w:t>
      </w:r>
      <w:r>
        <w:rPr>
          <w:i/>
          <w:spacing w:val="-5"/>
          <w:sz w:val="18"/>
        </w:rPr>
        <w:t>19</w:t>
      </w:r>
    </w:p>
    <w:p>
      <w:pPr>
        <w:pStyle w:val="BodyText"/>
        <w:spacing w:before="19"/>
        <w:rPr>
          <w:i/>
        </w:rPr>
      </w:pPr>
    </w:p>
    <w:p>
      <w:pPr>
        <w:pStyle w:val="BodyText"/>
        <w:spacing w:line="237" w:lineRule="auto"/>
        <w:ind w:left="144" w:right="119" w:firstLine="499"/>
        <w:jc w:val="both"/>
      </w:pPr>
      <w:r>
        <w:rPr/>
        <w:t>The spread of COVID-19 and developments surrounding the global pandemic have had a significant impact on our business, financial condition, </w:t>
      </w:r>
      <w:r>
        <w:rPr/>
        <w:t>results of operations and cash flows in 2020, 2021 and 2022 and may continue to impact our business thereafter. In March 2020, all of our domestic properties were temporarily closed pursuant to state and local government restrictions imposed as a result of COVID-19.</w:t>
      </w:r>
      <w:r>
        <w:rPr>
          <w:spacing w:val="-1"/>
        </w:rPr>
        <w:t> </w:t>
      </w:r>
      <w:r>
        <w:rPr/>
        <w:t>Throughout the second and third quarters of 2020, all of our properties that were temporarily closed re-opened to the public, with temporary re-closures and re-openings occurring for certain of our properties or portions thereof into the first quarter of 2021. Upon re-opening, the properties continued to operate without certain amenities and subject to certain occupancy limitations, with restrictions varying by jurisdiction. Beginning in the latter part of the first quarter of 2021 and continuing into the second quarter of 2021, our domestic jurisdictions eased and removed prior operating restrictions, including capacity and occupancy limits, as well as social distancing policies. As of December 31, 2022, all of our domestic properties were open and not subject to operating restrictions; however, travel and business volume were negatively affected in the early part of the first quarter of 2022 due to the spread of the omicron variant.</w:t>
      </w:r>
    </w:p>
    <w:p>
      <w:pPr>
        <w:pStyle w:val="BodyText"/>
        <w:spacing w:before="28"/>
      </w:pPr>
    </w:p>
    <w:p>
      <w:pPr>
        <w:pStyle w:val="BodyText"/>
        <w:spacing w:line="237" w:lineRule="auto"/>
        <w:ind w:left="144" w:right="118" w:firstLine="499"/>
        <w:jc w:val="both"/>
      </w:pPr>
      <w:r>
        <w:rPr/>
        <w:t>In Macau, following a temporary closure of our properties on February 5, 2020, operations resumed on February 20, 2020, subject to certain </w:t>
      </w:r>
      <w:r>
        <w:rPr/>
        <w:t>health safeguards, such as limiting the number of seats available at each table game, slot machine spacing, reduced operating hours at a number of restaurants and bars, temperature checks, and mask protection. The issuance of tourist visas (including the individual visit scheme) for residents of Zhuhai, Guangdong Province and all other provinces in mainland China to travel to Macau resumed on</w:t>
      </w:r>
      <w:r>
        <w:rPr>
          <w:spacing w:val="-1"/>
        </w:rPr>
        <w:t> </w:t>
      </w:r>
      <w:r>
        <w:rPr/>
        <w:t>August 12, 2020,</w:t>
      </w:r>
      <w:r>
        <w:rPr>
          <w:spacing w:val="-1"/>
        </w:rPr>
        <w:t> </w:t>
      </w:r>
      <w:r>
        <w:rPr/>
        <w:t>August 26, 2020 and September 23, 2020, respectively, however several travel and entry restrictions in Macau, Hong Kong and mainland China remained in place (including the temporary suspension of ferry</w:t>
      </w:r>
      <w:r>
        <w:rPr>
          <w:spacing w:val="40"/>
        </w:rPr>
        <w:t> </w:t>
      </w:r>
      <w:r>
        <w:rPr/>
        <w:t>services between Hong Kong and Macau, the negative nucleic acid test result</w:t>
      </w:r>
    </w:p>
    <w:p>
      <w:pPr>
        <w:pStyle w:val="BodyText"/>
      </w:pPr>
    </w:p>
    <w:p>
      <w:pPr>
        <w:pStyle w:val="BodyText"/>
        <w:spacing w:before="191"/>
      </w:pPr>
    </w:p>
    <w:p>
      <w:pPr>
        <w:pStyle w:val="BodyText"/>
        <w:ind w:left="24"/>
        <w:jc w:val="center"/>
      </w:pPr>
      <w:r>
        <w:rPr>
          <w:spacing w:val="-5"/>
        </w:rPr>
        <w:t>32</w:t>
      </w:r>
    </w:p>
    <w:p>
      <w:pPr>
        <w:pStyle w:val="BodyText"/>
        <w:spacing w:before="3"/>
        <w:rPr>
          <w:sz w:val="6"/>
        </w:rPr>
      </w:pPr>
      <w:r>
        <w:rPr/>
        <mc:AlternateContent>
          <mc:Choice Requires="wps">
            <w:drawing>
              <wp:anchor distT="0" distB="0" distL="0" distR="0" allowOverlap="1" layoutInCell="1" locked="0" behindDoc="1" simplePos="0" relativeHeight="487613440">
                <wp:simplePos x="0" y="0"/>
                <wp:positionH relativeFrom="page">
                  <wp:posOffset>231457</wp:posOffset>
                </wp:positionH>
                <wp:positionV relativeFrom="paragraph">
                  <wp:posOffset>60956</wp:posOffset>
                </wp:positionV>
                <wp:extent cx="7312659" cy="17145"/>
                <wp:effectExtent l="0" t="0" r="0" b="0"/>
                <wp:wrapTopAndBottom/>
                <wp:docPr id="160" name="Group 160"/>
                <wp:cNvGraphicFramePr>
                  <a:graphicFrameLocks/>
                </wp:cNvGraphicFramePr>
                <a:graphic>
                  <a:graphicData uri="http://schemas.microsoft.com/office/word/2010/wordprocessingGroup">
                    <wpg:wgp>
                      <wpg:cNvPr id="160" name="Group 160"/>
                      <wpg:cNvGrpSpPr/>
                      <wpg:grpSpPr>
                        <a:xfrm>
                          <a:off x="0" y="0"/>
                          <a:ext cx="7312659" cy="17145"/>
                          <a:chExt cx="7312659" cy="17145"/>
                        </a:xfrm>
                      </wpg:grpSpPr>
                      <wps:wsp>
                        <wps:cNvPr id="161" name="Graphic 16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62" name="Graphic 162"/>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63" name="Graphic 16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3040;mso-wrap-distance-left:0;mso-wrap-distance-right:0" id="docshapegroup158" coordorigin="364,96" coordsize="11516,27">
                <v:rect style="position:absolute;left:364;top:96;width:11516;height:14" id="docshape159" filled="true" fillcolor="#999999" stroked="false">
                  <v:fill type="solid"/>
                </v:rect>
                <v:shape style="position:absolute;left:364;top:96;width:11516;height:27" id="docshape160" coordorigin="364,96" coordsize="11516,27" path="m11880,96l11866,109,364,109,364,123,11866,123,11880,123,11880,109,11880,96xe" filled="true" fillcolor="#ededed" stroked="false">
                  <v:path arrowok="t"/>
                  <v:fill type="solid"/>
                </v:shape>
                <v:shape style="position:absolute;left:364;top:96;width:14;height:27" id="docshape16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35" w:lineRule="auto" w:before="66"/>
        <w:ind w:left="144" w:right="118"/>
      </w:pPr>
      <w:r>
        <w:rPr/>
        <w:t>certificate, and mandatory quarantine requirements for returning residents, for visitors from Hong Kong, Taiwan, and certain regions in mainland China, </w:t>
      </w:r>
      <w:r>
        <w:rPr/>
        <w:t>and</w:t>
      </w:r>
      <w:r>
        <w:rPr>
          <w:spacing w:val="40"/>
        </w:rPr>
        <w:t> </w:t>
      </w:r>
      <w:r>
        <w:rPr/>
        <w:t>bans on entry on other visitors), which significantly impacted visitation to our Macau properties.</w:t>
      </w:r>
    </w:p>
    <w:p>
      <w:pPr>
        <w:pStyle w:val="BodyText"/>
        <w:spacing w:before="20"/>
      </w:pPr>
    </w:p>
    <w:p>
      <w:pPr>
        <w:pStyle w:val="BodyText"/>
        <w:spacing w:line="237" w:lineRule="auto"/>
        <w:ind w:left="144" w:right="118" w:firstLine="499"/>
        <w:jc w:val="both"/>
      </w:pPr>
      <w:r>
        <w:rPr/>
        <w:t>In the third and fourth quarters of 2021, local COVID-19 cases were identified in Macau. Upon such occurrences, a state of immediate prevention was declared and mass mandatory nucleic acid testing was imposed in Macau, the validity period of negative test results for re-entry into mainland China was shortened and quarantine requirements were imposed, certain events were cancelled or suspended, and in some instances, certain entertainment and leisure facilities were closed throughout Macau. Gaming operations were temporarily suspended on July 11, 2022 due to an increase in the number of COVID-19</w:t>
      </w:r>
      <w:r>
        <w:rPr>
          <w:spacing w:val="40"/>
        </w:rPr>
        <w:t> </w:t>
      </w:r>
      <w:r>
        <w:rPr/>
        <w:t>cases in Macau and resumed on July 23, 2022, subject to certain continuing health safeguards, with most restaurants and bars and certain retail </w:t>
      </w:r>
      <w:r>
        <w:rPr/>
        <w:t>outlets remaining closed. On October 30, 2022, a COVID-19 case was identified as connected to MGM Cotai.</w:t>
      </w:r>
      <w:r>
        <w:rPr>
          <w:spacing w:val="-3"/>
        </w:rPr>
        <w:t> </w:t>
      </w:r>
      <w:r>
        <w:rPr/>
        <w:t>All guests and staff at MGM Cotai were isolated until November 1, 2022 and all gaming, hotel, restaurant, and retail operations were suspended with limited operations resumed beginning November 3, 2022.</w:t>
      </w:r>
    </w:p>
    <w:p>
      <w:pPr>
        <w:pStyle w:val="BodyText"/>
        <w:spacing w:before="17"/>
      </w:pPr>
    </w:p>
    <w:p>
      <w:pPr>
        <w:pStyle w:val="BodyText"/>
        <w:spacing w:before="1"/>
        <w:ind w:left="144" w:right="118" w:firstLine="499"/>
        <w:jc w:val="both"/>
      </w:pPr>
      <w:r>
        <w:rPr/>
        <w:t>More broadly, electronic applications for individual and group travel visas to Macau resumed on November 1, 2022, however, certain travel and entry restrictions in Macau and mainland China remained in place at the time, including COVID-19 testing and certain quarantine requirements, which </w:t>
      </w:r>
      <w:r>
        <w:rPr/>
        <w:t>significantly impacted visitation to our Macau properties. Beginning in December 2022, Macau and mainland China started to unwind testing and quarantine requirements</w:t>
      </w:r>
      <w:r>
        <w:rPr>
          <w:spacing w:val="40"/>
        </w:rPr>
        <w:t> </w:t>
      </w:r>
      <w:r>
        <w:rPr/>
        <w:t>as well as travel and entry restrictions associated with the “dynamic zero” COVID-19 policy. On January 8, 2023, Macau lifted the majority of its COVID-19 pandemic travel and quarantine restrictions with the exception of overseas visitors travelling from outside of mainland China, Hong Kong and Taiwan being required</w:t>
      </w:r>
      <w:r>
        <w:rPr>
          <w:spacing w:val="-2"/>
        </w:rPr>
        <w:t> </w:t>
      </w:r>
      <w:r>
        <w:rPr/>
        <w:t>to</w:t>
      </w:r>
      <w:r>
        <w:rPr>
          <w:spacing w:val="-2"/>
        </w:rPr>
        <w:t> </w:t>
      </w:r>
      <w:r>
        <w:rPr/>
        <w:t>present</w:t>
      </w:r>
      <w:r>
        <w:rPr>
          <w:spacing w:val="-2"/>
        </w:rPr>
        <w:t> </w:t>
      </w:r>
      <w:r>
        <w:rPr/>
        <w:t>a</w:t>
      </w:r>
      <w:r>
        <w:rPr>
          <w:spacing w:val="-2"/>
        </w:rPr>
        <w:t> </w:t>
      </w:r>
      <w:r>
        <w:rPr/>
        <w:t>negative</w:t>
      </w:r>
      <w:r>
        <w:rPr>
          <w:spacing w:val="-2"/>
        </w:rPr>
        <w:t> </w:t>
      </w:r>
      <w:r>
        <w:rPr/>
        <w:t>nucleic</w:t>
      </w:r>
      <w:r>
        <w:rPr>
          <w:spacing w:val="-2"/>
        </w:rPr>
        <w:t> </w:t>
      </w:r>
      <w:r>
        <w:rPr/>
        <w:t>acid</w:t>
      </w:r>
      <w:r>
        <w:rPr>
          <w:spacing w:val="-2"/>
        </w:rPr>
        <w:t> </w:t>
      </w:r>
      <w:r>
        <w:rPr/>
        <w:t>test</w:t>
      </w:r>
      <w:r>
        <w:rPr>
          <w:spacing w:val="-2"/>
        </w:rPr>
        <w:t> </w:t>
      </w:r>
      <w:r>
        <w:rPr/>
        <w:t>or</w:t>
      </w:r>
      <w:r>
        <w:rPr>
          <w:spacing w:val="-2"/>
        </w:rPr>
        <w:t> </w:t>
      </w:r>
      <w:r>
        <w:rPr/>
        <w:t>rapid</w:t>
      </w:r>
      <w:r>
        <w:rPr>
          <w:spacing w:val="-2"/>
        </w:rPr>
        <w:t> </w:t>
      </w:r>
      <w:r>
        <w:rPr/>
        <w:t>antigen</w:t>
      </w:r>
      <w:r>
        <w:rPr>
          <w:spacing w:val="-2"/>
        </w:rPr>
        <w:t> </w:t>
      </w:r>
      <w:r>
        <w:rPr/>
        <w:t>test</w:t>
      </w:r>
      <w:r>
        <w:rPr>
          <w:spacing w:val="-2"/>
        </w:rPr>
        <w:t> </w:t>
      </w:r>
      <w:r>
        <w:rPr/>
        <w:t>result</w:t>
      </w:r>
      <w:r>
        <w:rPr>
          <w:spacing w:val="-2"/>
        </w:rPr>
        <w:t> </w:t>
      </w:r>
      <w:r>
        <w:rPr/>
        <w:t>in</w:t>
      </w:r>
      <w:r>
        <w:rPr>
          <w:spacing w:val="-2"/>
        </w:rPr>
        <w:t> </w:t>
      </w:r>
      <w:r>
        <w:rPr/>
        <w:t>place</w:t>
      </w:r>
      <w:r>
        <w:rPr>
          <w:spacing w:val="-2"/>
        </w:rPr>
        <w:t> </w:t>
      </w:r>
      <w:r>
        <w:rPr/>
        <w:t>until</w:t>
      </w:r>
      <w:r>
        <w:rPr>
          <w:spacing w:val="-2"/>
        </w:rPr>
        <w:t> </w:t>
      </w:r>
      <w:r>
        <w:rPr/>
        <w:t>February</w:t>
      </w:r>
      <w:r>
        <w:rPr>
          <w:spacing w:val="-2"/>
        </w:rPr>
        <w:t> </w:t>
      </w:r>
      <w:r>
        <w:rPr/>
        <w:t>6,</w:t>
      </w:r>
      <w:r>
        <w:rPr>
          <w:spacing w:val="-2"/>
        </w:rPr>
        <w:t> </w:t>
      </w:r>
      <w:r>
        <w:rPr/>
        <w:t>2023</w:t>
      </w:r>
      <w:r>
        <w:rPr>
          <w:spacing w:val="-2"/>
        </w:rPr>
        <w:t> </w:t>
      </w:r>
      <w:r>
        <w:rPr/>
        <w:t>when</w:t>
      </w:r>
      <w:r>
        <w:rPr>
          <w:spacing w:val="-2"/>
        </w:rPr>
        <w:t> </w:t>
      </w:r>
      <w:r>
        <w:rPr/>
        <w:t>all</w:t>
      </w:r>
      <w:r>
        <w:rPr>
          <w:spacing w:val="-2"/>
        </w:rPr>
        <w:t> </w:t>
      </w:r>
      <w:r>
        <w:rPr/>
        <w:t>remaining</w:t>
      </w:r>
      <w:r>
        <w:rPr>
          <w:spacing w:val="-2"/>
        </w:rPr>
        <w:t> </w:t>
      </w:r>
      <w:r>
        <w:rPr/>
        <w:t>COVID-19</w:t>
      </w:r>
      <w:r>
        <w:rPr>
          <w:spacing w:val="-2"/>
        </w:rPr>
        <w:t> </w:t>
      </w:r>
      <w:r>
        <w:rPr/>
        <w:t>travel</w:t>
      </w:r>
      <w:r>
        <w:rPr>
          <w:spacing w:val="-2"/>
        </w:rPr>
        <w:t> </w:t>
      </w:r>
      <w:r>
        <w:rPr/>
        <w:t>restrictions</w:t>
      </w:r>
      <w:r>
        <w:rPr>
          <w:spacing w:val="-2"/>
        </w:rPr>
        <w:t> </w:t>
      </w:r>
      <w:r>
        <w:rPr/>
        <w:t>were </w:t>
      </w:r>
      <w:r>
        <w:rPr>
          <w:spacing w:val="-2"/>
        </w:rPr>
        <w:t>removed.</w:t>
      </w:r>
    </w:p>
    <w:p>
      <w:pPr>
        <w:pStyle w:val="BodyText"/>
        <w:spacing w:before="4"/>
      </w:pPr>
    </w:p>
    <w:p>
      <w:pPr>
        <w:spacing w:before="0"/>
        <w:ind w:left="394" w:right="0" w:firstLine="0"/>
        <w:jc w:val="left"/>
        <w:rPr>
          <w:i/>
          <w:sz w:val="18"/>
        </w:rPr>
      </w:pPr>
      <w:r>
        <w:rPr>
          <w:i/>
          <w:spacing w:val="-2"/>
          <w:sz w:val="18"/>
        </w:rPr>
        <w:t>Visitation</w:t>
      </w:r>
      <w:r>
        <w:rPr>
          <w:i/>
          <w:spacing w:val="5"/>
          <w:sz w:val="18"/>
        </w:rPr>
        <w:t> </w:t>
      </w:r>
      <w:r>
        <w:rPr>
          <w:i/>
          <w:spacing w:val="-2"/>
          <w:sz w:val="18"/>
        </w:rPr>
        <w:t>Statistics</w:t>
      </w:r>
    </w:p>
    <w:p>
      <w:pPr>
        <w:pStyle w:val="BodyText"/>
        <w:spacing w:before="5"/>
        <w:rPr>
          <w:i/>
        </w:rPr>
      </w:pPr>
    </w:p>
    <w:p>
      <w:pPr>
        <w:pStyle w:val="BodyText"/>
        <w:ind w:left="144" w:right="118" w:firstLine="499"/>
        <w:jc w:val="both"/>
      </w:pPr>
      <w:r>
        <w:rPr/>
        <w:t>The Las Vegas Strip segment results of operations are heavily impacted by visitor volume and trends. During the year ended December 31, 2022, Las Vegas</w:t>
      </w:r>
      <w:r>
        <w:rPr>
          <w:spacing w:val="-5"/>
        </w:rPr>
        <w:t> </w:t>
      </w:r>
      <w:r>
        <w:rPr/>
        <w:t>visitor</w:t>
      </w:r>
      <w:r>
        <w:rPr>
          <w:spacing w:val="-4"/>
        </w:rPr>
        <w:t> </w:t>
      </w:r>
      <w:r>
        <w:rPr/>
        <w:t>volume</w:t>
      </w:r>
      <w:r>
        <w:rPr>
          <w:spacing w:val="-4"/>
        </w:rPr>
        <w:t> </w:t>
      </w:r>
      <w:r>
        <w:rPr/>
        <w:t>increased</w:t>
      </w:r>
      <w:r>
        <w:rPr>
          <w:spacing w:val="-4"/>
        </w:rPr>
        <w:t> </w:t>
      </w:r>
      <w:r>
        <w:rPr/>
        <w:t>21%</w:t>
      </w:r>
      <w:r>
        <w:rPr>
          <w:spacing w:val="-4"/>
        </w:rPr>
        <w:t> </w:t>
      </w:r>
      <w:r>
        <w:rPr/>
        <w:t>compared</w:t>
      </w:r>
      <w:r>
        <w:rPr>
          <w:spacing w:val="-4"/>
        </w:rPr>
        <w:t> </w:t>
      </w:r>
      <w:r>
        <w:rPr/>
        <w:t>to</w:t>
      </w:r>
      <w:r>
        <w:rPr>
          <w:spacing w:val="-4"/>
        </w:rPr>
        <w:t> </w:t>
      </w:r>
      <w:r>
        <w:rPr/>
        <w:t>the</w:t>
      </w:r>
      <w:r>
        <w:rPr>
          <w:spacing w:val="-4"/>
        </w:rPr>
        <w:t> </w:t>
      </w:r>
      <w:r>
        <w:rPr/>
        <w:t>prior</w:t>
      </w:r>
      <w:r>
        <w:rPr>
          <w:spacing w:val="-4"/>
        </w:rPr>
        <w:t> </w:t>
      </w:r>
      <w:r>
        <w:rPr/>
        <w:t>year</w:t>
      </w:r>
      <w:r>
        <w:rPr>
          <w:spacing w:val="-4"/>
        </w:rPr>
        <w:t> </w:t>
      </w:r>
      <w:r>
        <w:rPr/>
        <w:t>period</w:t>
      </w:r>
      <w:r>
        <w:rPr>
          <w:spacing w:val="-4"/>
        </w:rPr>
        <w:t> </w:t>
      </w:r>
      <w:r>
        <w:rPr/>
        <w:t>according</w:t>
      </w:r>
      <w:r>
        <w:rPr>
          <w:spacing w:val="-4"/>
        </w:rPr>
        <w:t> </w:t>
      </w:r>
      <w:r>
        <w:rPr/>
        <w:t>to</w:t>
      </w:r>
      <w:r>
        <w:rPr>
          <w:spacing w:val="-4"/>
        </w:rPr>
        <w:t> </w:t>
      </w:r>
      <w:r>
        <w:rPr/>
        <w:t>information</w:t>
      </w:r>
      <w:r>
        <w:rPr>
          <w:spacing w:val="-4"/>
        </w:rPr>
        <w:t> </w:t>
      </w:r>
      <w:r>
        <w:rPr/>
        <w:t>published</w:t>
      </w:r>
      <w:r>
        <w:rPr>
          <w:spacing w:val="-4"/>
        </w:rPr>
        <w:t> </w:t>
      </w:r>
      <w:r>
        <w:rPr/>
        <w:t>by</w:t>
      </w:r>
      <w:r>
        <w:rPr>
          <w:spacing w:val="-4"/>
        </w:rPr>
        <w:t> </w:t>
      </w:r>
      <w:r>
        <w:rPr/>
        <w:t>the</w:t>
      </w:r>
      <w:r>
        <w:rPr>
          <w:spacing w:val="-4"/>
        </w:rPr>
        <w:t> </w:t>
      </w:r>
      <w:r>
        <w:rPr/>
        <w:t>Las</w:t>
      </w:r>
      <w:r>
        <w:rPr>
          <w:spacing w:val="-6"/>
        </w:rPr>
        <w:t> </w:t>
      </w:r>
      <w:r>
        <w:rPr/>
        <w:t>Vegas</w:t>
      </w:r>
      <w:r>
        <w:rPr>
          <w:spacing w:val="-4"/>
        </w:rPr>
        <w:t> </w:t>
      </w:r>
      <w:r>
        <w:rPr/>
        <w:t>Convention</w:t>
      </w:r>
      <w:r>
        <w:rPr>
          <w:spacing w:val="-4"/>
        </w:rPr>
        <w:t> </w:t>
      </w:r>
      <w:r>
        <w:rPr/>
        <w:t>and</w:t>
      </w:r>
      <w:r>
        <w:rPr>
          <w:spacing w:val="-6"/>
        </w:rPr>
        <w:t> </w:t>
      </w:r>
      <w:r>
        <w:rPr/>
        <w:t>Visitors</w:t>
      </w:r>
      <w:r>
        <w:rPr>
          <w:spacing w:val="-12"/>
        </w:rPr>
        <w:t> </w:t>
      </w:r>
      <w:r>
        <w:rPr/>
        <w:t>Authority. The Las Vegas market has had the expansion of convention center, sporting, music, and entertainment events in the current year, which have </w:t>
      </w:r>
      <w:r>
        <w:rPr/>
        <w:t>significantly impacted visitation positively among business and leisure travel.</w:t>
      </w:r>
    </w:p>
    <w:p>
      <w:pPr>
        <w:pStyle w:val="BodyText"/>
        <w:spacing w:before="21"/>
      </w:pPr>
    </w:p>
    <w:p>
      <w:pPr>
        <w:pStyle w:val="BodyText"/>
        <w:spacing w:line="235" w:lineRule="auto"/>
        <w:ind w:left="144" w:right="118" w:firstLine="499"/>
        <w:jc w:val="both"/>
      </w:pPr>
      <w:r>
        <w:rPr/>
        <w:t>The MGM China segment results of operations also are heavily impacted by visitor volume and trends. During the year ended December 31, 2022, Macau visitor arrivals decreased 26% compared to the prior year period according to statistics published by the Statistics and Census Service of the Macau Government, as the current year period was more negatively affected by travel and entry restrictions in Macau than in the prior year period.</w:t>
      </w:r>
    </w:p>
    <w:p>
      <w:pPr>
        <w:pStyle w:val="BodyText"/>
        <w:spacing w:before="22"/>
      </w:pPr>
    </w:p>
    <w:p>
      <w:pPr>
        <w:pStyle w:val="BodyText"/>
        <w:spacing w:line="235" w:lineRule="auto"/>
        <w:ind w:left="144" w:right="118" w:firstLine="499"/>
        <w:jc w:val="both"/>
      </w:pPr>
      <w:r>
        <w:rPr/>
        <w:t>For a discussion of the risks to our business resulting from COVID-19, please see “Item 1A. Risk Factors — Risks Related to Our Business, </w:t>
      </w:r>
      <w:r>
        <w:rPr/>
        <w:t>Industry, and Market Conditions.”</w:t>
      </w:r>
    </w:p>
    <w:p>
      <w:pPr>
        <w:pStyle w:val="BodyText"/>
        <w:spacing w:before="5"/>
      </w:pPr>
    </w:p>
    <w:p>
      <w:pPr>
        <w:spacing w:before="0"/>
        <w:ind w:left="394" w:right="0" w:firstLine="0"/>
        <w:jc w:val="left"/>
        <w:rPr>
          <w:i/>
          <w:sz w:val="18"/>
        </w:rPr>
      </w:pPr>
      <w:r>
        <w:rPr>
          <w:i/>
          <w:sz w:val="18"/>
        </w:rPr>
        <w:t>Other</w:t>
      </w:r>
      <w:r>
        <w:rPr>
          <w:i/>
          <w:spacing w:val="-1"/>
          <w:sz w:val="18"/>
        </w:rPr>
        <w:t> </w:t>
      </w:r>
      <w:r>
        <w:rPr>
          <w:i/>
          <w:spacing w:val="-2"/>
          <w:sz w:val="18"/>
        </w:rPr>
        <w:t>Developments</w:t>
      </w:r>
    </w:p>
    <w:p>
      <w:pPr>
        <w:pStyle w:val="BodyText"/>
        <w:spacing w:before="18"/>
        <w:rPr>
          <w:i/>
        </w:rPr>
      </w:pPr>
    </w:p>
    <w:p>
      <w:pPr>
        <w:pStyle w:val="BodyText"/>
        <w:ind w:left="144" w:right="118" w:firstLine="499"/>
        <w:jc w:val="both"/>
      </w:pPr>
      <w:r>
        <w:rPr>
          <w:color w:val="202529"/>
        </w:rPr>
        <w:t>In February 2020, we completed the MGM Grand Las</w:t>
      </w:r>
      <w:r>
        <w:rPr>
          <w:color w:val="202529"/>
          <w:spacing w:val="-3"/>
        </w:rPr>
        <w:t> </w:t>
      </w:r>
      <w:r>
        <w:rPr>
          <w:color w:val="202529"/>
        </w:rPr>
        <w:t>Vegas and Mandalay Bay transaction pursuant to which the real estate assets of MGM Grand </w:t>
      </w:r>
      <w:r>
        <w:rPr>
          <w:color w:val="202529"/>
        </w:rPr>
        <w:t>Las Vegas and Mandalay Bay (including Mandalay Place) were contributed to VICI BREIT</w:t>
      </w:r>
      <w:r>
        <w:rPr>
          <w:color w:val="202529"/>
          <w:spacing w:val="-3"/>
        </w:rPr>
        <w:t> </w:t>
      </w:r>
      <w:r>
        <w:rPr>
          <w:color w:val="202529"/>
        </w:rPr>
        <w:t>Venture, owned 50.1% by MGP</w:t>
      </w:r>
      <w:r>
        <w:rPr>
          <w:color w:val="202529"/>
          <w:spacing w:val="-3"/>
        </w:rPr>
        <w:t> </w:t>
      </w:r>
      <w:r>
        <w:rPr>
          <w:color w:val="202529"/>
        </w:rPr>
        <w:t>OP</w:t>
      </w:r>
      <w:r>
        <w:rPr>
          <w:color w:val="202529"/>
          <w:spacing w:val="-3"/>
        </w:rPr>
        <w:t> </w:t>
      </w:r>
      <w:r>
        <w:rPr>
          <w:color w:val="202529"/>
        </w:rPr>
        <w:t>(now owned by VICI) and 49.9% by a subsidiary of BREIT. In exchange for the contribution of the real estate assets, MGM and MGP received total consideration of $4.6 billion, which was comprised of $2.5 billion of cash, $1.3 billion of MGP</w:t>
      </w:r>
      <w:r>
        <w:rPr>
          <w:color w:val="202529"/>
          <w:spacing w:val="-1"/>
        </w:rPr>
        <w:t> </w:t>
      </w:r>
      <w:r>
        <w:rPr>
          <w:color w:val="202529"/>
        </w:rPr>
        <w:t>OP’s secured indebtedness assumed by VICI BREIT</w:t>
      </w:r>
      <w:r>
        <w:rPr>
          <w:color w:val="202529"/>
          <w:spacing w:val="-1"/>
        </w:rPr>
        <w:t> </w:t>
      </w:r>
      <w:r>
        <w:rPr>
          <w:color w:val="202529"/>
        </w:rPr>
        <w:t>Venture, and MGP</w:t>
      </w:r>
      <w:r>
        <w:rPr>
          <w:color w:val="202529"/>
          <w:spacing w:val="-1"/>
        </w:rPr>
        <w:t> </w:t>
      </w:r>
      <w:r>
        <w:rPr>
          <w:color w:val="202529"/>
        </w:rPr>
        <w:t>OP’s 50.1% equity interest in VICI BREIT</w:t>
      </w:r>
      <w:r>
        <w:rPr>
          <w:color w:val="202529"/>
          <w:spacing w:val="-3"/>
        </w:rPr>
        <w:t> </w:t>
      </w:r>
      <w:r>
        <w:rPr>
          <w:color w:val="202529"/>
        </w:rPr>
        <w:t>Venture (now owned by VICI). In addition, MGP</w:t>
      </w:r>
      <w:r>
        <w:rPr>
          <w:color w:val="202529"/>
          <w:spacing w:val="-3"/>
        </w:rPr>
        <w:t> </w:t>
      </w:r>
      <w:r>
        <w:rPr>
          <w:color w:val="202529"/>
        </w:rPr>
        <w:t>OP</w:t>
      </w:r>
      <w:r>
        <w:rPr>
          <w:color w:val="202529"/>
          <w:spacing w:val="-3"/>
        </w:rPr>
        <w:t> </w:t>
      </w:r>
      <w:r>
        <w:rPr>
          <w:color w:val="202529"/>
        </w:rPr>
        <w:t>issued approximately 3 million MGP</w:t>
      </w:r>
      <w:r>
        <w:rPr>
          <w:color w:val="202529"/>
          <w:spacing w:val="-3"/>
        </w:rPr>
        <w:t> </w:t>
      </w:r>
      <w:r>
        <w:rPr>
          <w:color w:val="202529"/>
        </w:rPr>
        <w:t>OP</w:t>
      </w:r>
      <w:r>
        <w:rPr>
          <w:color w:val="202529"/>
          <w:spacing w:val="-3"/>
        </w:rPr>
        <w:t> </w:t>
      </w:r>
      <w:r>
        <w:rPr>
          <w:color w:val="202529"/>
        </w:rPr>
        <w:t>units to us representing 5% of the equity value of VICI BREIT Venture. We also provide a shortfall guarantee of the principal amount of indebtedness of VICI BREIT Venture (and any interest accrued and unpaid thereon). On the closing date, BREIT also purchased approximately 5 million MGP</w:t>
      </w:r>
      <w:r>
        <w:rPr>
          <w:color w:val="202529"/>
          <w:spacing w:val="-2"/>
        </w:rPr>
        <w:t> </w:t>
      </w:r>
      <w:r>
        <w:rPr>
          <w:color w:val="202529"/>
        </w:rPr>
        <w:t>Class</w:t>
      </w:r>
      <w:r>
        <w:rPr>
          <w:color w:val="202529"/>
          <w:spacing w:val="-6"/>
        </w:rPr>
        <w:t> </w:t>
      </w:r>
      <w:r>
        <w:rPr>
          <w:color w:val="202529"/>
        </w:rPr>
        <w:t>A</w:t>
      </w:r>
      <w:r>
        <w:rPr>
          <w:color w:val="202529"/>
          <w:spacing w:val="-6"/>
        </w:rPr>
        <w:t> </w:t>
      </w:r>
      <w:r>
        <w:rPr>
          <w:color w:val="202529"/>
        </w:rPr>
        <w:t>shares for $150 million. </w:t>
      </w:r>
      <w:r>
        <w:rPr/>
        <w:t>See Note 1, Note 11, and Note 12 in the accompanying consolidated financial statements for information regarding this transaction, lease agreement, and shortfall guarantee, respectively.</w:t>
      </w:r>
    </w:p>
    <w:p>
      <w:pPr>
        <w:pStyle w:val="BodyText"/>
      </w:pPr>
    </w:p>
    <w:p>
      <w:pPr>
        <w:pStyle w:val="BodyText"/>
        <w:spacing w:line="242" w:lineRule="auto"/>
        <w:ind w:left="144" w:right="118" w:firstLine="499"/>
        <w:jc w:val="both"/>
      </w:pPr>
      <w:r>
        <w:rPr>
          <w:color w:val="202529"/>
        </w:rPr>
        <w:t>In connection with the MGM Grand Las Vegas and Mandalay Bay transaction, the master lease with MGP</w:t>
      </w:r>
      <w:r>
        <w:rPr>
          <w:color w:val="202529"/>
          <w:spacing w:val="-1"/>
        </w:rPr>
        <w:t> </w:t>
      </w:r>
      <w:r>
        <w:rPr>
          <w:color w:val="202529"/>
        </w:rPr>
        <w:t>was modified to remove the Mandalay </w:t>
      </w:r>
      <w:r>
        <w:rPr>
          <w:color w:val="202529"/>
        </w:rPr>
        <w:t>Bay property and VICI BREIT Venture entered into a lease with us for the real estate assets of Mandalay Bay and MGM Grand Las Vegas. See Note 11 for information regarding the MGM Grand Las Vegas and Mandalay Bay lease.</w:t>
      </w:r>
    </w:p>
    <w:p>
      <w:pPr>
        <w:pStyle w:val="BodyText"/>
        <w:spacing w:before="3"/>
      </w:pPr>
    </w:p>
    <w:p>
      <w:pPr>
        <w:pStyle w:val="BodyText"/>
        <w:spacing w:line="242" w:lineRule="auto"/>
        <w:ind w:left="144" w:right="118" w:firstLine="499"/>
        <w:jc w:val="both"/>
      </w:pPr>
      <w:r>
        <w:rPr>
          <w:color w:val="202529"/>
        </w:rPr>
        <w:t>Also, in </w:t>
      </w:r>
      <w:r>
        <w:rPr/>
        <w:t>January 2020, we, MGP</w:t>
      </w:r>
      <w:r>
        <w:rPr>
          <w:spacing w:val="-2"/>
        </w:rPr>
        <w:t> </w:t>
      </w:r>
      <w:r>
        <w:rPr/>
        <w:t>OP, and MGP</w:t>
      </w:r>
      <w:r>
        <w:rPr>
          <w:spacing w:val="-2"/>
        </w:rPr>
        <w:t> </w:t>
      </w:r>
      <w:r>
        <w:rPr/>
        <w:t>entered into an agreement for MGP</w:t>
      </w:r>
      <w:r>
        <w:rPr>
          <w:spacing w:val="-2"/>
        </w:rPr>
        <w:t> </w:t>
      </w:r>
      <w:r>
        <w:rPr/>
        <w:t>OP</w:t>
      </w:r>
      <w:r>
        <w:rPr>
          <w:spacing w:val="-2"/>
        </w:rPr>
        <w:t> </w:t>
      </w:r>
      <w:r>
        <w:rPr/>
        <w:t>to waive its right following the closing of the MGM Grand Las Vegas and Mandalay Bay transaction to issue MGP Class A shares, in lieu of cash, to us in connection with us exercising our right to require MGP OP </w:t>
      </w:r>
      <w:r>
        <w:rPr/>
        <w:t>to redeem the MGP OP units we hold, at a price per unit</w:t>
      </w:r>
    </w:p>
    <w:p>
      <w:pPr>
        <w:pStyle w:val="BodyText"/>
      </w:pPr>
    </w:p>
    <w:p>
      <w:pPr>
        <w:pStyle w:val="BodyText"/>
        <w:spacing w:before="187"/>
      </w:pPr>
    </w:p>
    <w:p>
      <w:pPr>
        <w:pStyle w:val="BodyText"/>
        <w:ind w:left="24"/>
        <w:jc w:val="center"/>
      </w:pPr>
      <w:r>
        <w:rPr>
          <w:spacing w:val="-5"/>
        </w:rPr>
        <w:t>33</w:t>
      </w:r>
    </w:p>
    <w:p>
      <w:pPr>
        <w:pStyle w:val="BodyText"/>
        <w:spacing w:before="3"/>
        <w:rPr>
          <w:sz w:val="6"/>
        </w:rPr>
      </w:pPr>
      <w:r>
        <w:rPr/>
        <mc:AlternateContent>
          <mc:Choice Requires="wps">
            <w:drawing>
              <wp:anchor distT="0" distB="0" distL="0" distR="0" allowOverlap="1" layoutInCell="1" locked="0" behindDoc="1" simplePos="0" relativeHeight="487613952">
                <wp:simplePos x="0" y="0"/>
                <wp:positionH relativeFrom="page">
                  <wp:posOffset>231457</wp:posOffset>
                </wp:positionH>
                <wp:positionV relativeFrom="paragraph">
                  <wp:posOffset>60956</wp:posOffset>
                </wp:positionV>
                <wp:extent cx="7312659" cy="17145"/>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7312659" cy="17145"/>
                          <a:chExt cx="7312659" cy="17145"/>
                        </a:xfrm>
                      </wpg:grpSpPr>
                      <wps:wsp>
                        <wps:cNvPr id="165" name="Graphic 16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66" name="Graphic 166"/>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67" name="Graphic 16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2528;mso-wrap-distance-left:0;mso-wrap-distance-right:0" id="docshapegroup162" coordorigin="364,96" coordsize="11516,27">
                <v:rect style="position:absolute;left:364;top:96;width:11516;height:14" id="docshape163" filled="true" fillcolor="#999999" stroked="false">
                  <v:fill type="solid"/>
                </v:rect>
                <v:shape style="position:absolute;left:364;top:96;width:11516;height:27" id="docshape164" coordorigin="364,96" coordsize="11516,27" path="m11880,96l11866,109,364,109,364,123,11866,123,11880,123,11880,109,11880,96xe" filled="true" fillcolor="#ededed" stroked="false">
                  <v:path arrowok="t"/>
                  <v:fill type="solid"/>
                </v:shape>
                <v:shape style="position:absolute;left:364;top:96;width:14;height:27" id="docshape16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37" w:lineRule="auto" w:before="64"/>
        <w:ind w:left="144" w:right="118"/>
        <w:jc w:val="both"/>
      </w:pPr>
      <w:r>
        <w:rPr/>
        <w:t>equal to a 3% discount to the </w:t>
      </w:r>
      <w:r>
        <w:rPr>
          <w:color w:val="202529"/>
        </w:rPr>
        <w:t>ten day average closing price prior to the date of the notice of redemption</w:t>
      </w:r>
      <w:r>
        <w:rPr/>
        <w:t>. The waiver was </w:t>
      </w:r>
      <w:r>
        <w:rPr>
          <w:color w:val="202529"/>
        </w:rPr>
        <w:t>effective upon closing of </w:t>
      </w:r>
      <w:r>
        <w:rPr>
          <w:color w:val="202529"/>
        </w:rPr>
        <w:t>the transaction on February 14, 2020 and </w:t>
      </w:r>
      <w:r>
        <w:rPr/>
        <w:t>was scheduled to terminate on the earlier of February 14, 2022 or upon our receipt of cash proceeds of $1.4 billion as consideration for the redemption of our MGP OP units. On May 18, 2020 MGP OP redeemed approximately 30 million MGP OP units that we held for $700 million, or $23.10 per unit, and on December 2, 2020, MGP</w:t>
      </w:r>
      <w:r>
        <w:rPr>
          <w:spacing w:val="-4"/>
        </w:rPr>
        <w:t> </w:t>
      </w:r>
      <w:r>
        <w:rPr/>
        <w:t>OP</w:t>
      </w:r>
      <w:r>
        <w:rPr>
          <w:spacing w:val="-4"/>
        </w:rPr>
        <w:t> </w:t>
      </w:r>
      <w:r>
        <w:rPr/>
        <w:t>redeemed approximately 24 million of the MGP</w:t>
      </w:r>
      <w:r>
        <w:rPr>
          <w:spacing w:val="-4"/>
        </w:rPr>
        <w:t> </w:t>
      </w:r>
      <w:r>
        <w:rPr/>
        <w:t>OP</w:t>
      </w:r>
      <w:r>
        <w:rPr>
          <w:spacing w:val="-4"/>
        </w:rPr>
        <w:t> </w:t>
      </w:r>
      <w:r>
        <w:rPr/>
        <w:t>units that we held for the remaining $700 million, or $29.78 per unit.</w:t>
      </w:r>
      <w:r>
        <w:rPr>
          <w:spacing w:val="-2"/>
        </w:rPr>
        <w:t> </w:t>
      </w:r>
      <w:r>
        <w:rPr/>
        <w:t>As a result, the waiver terminated in accordance with its terms.</w:t>
      </w:r>
    </w:p>
    <w:p>
      <w:pPr>
        <w:pStyle w:val="BodyText"/>
        <w:spacing w:before="9"/>
      </w:pPr>
    </w:p>
    <w:p>
      <w:pPr>
        <w:pStyle w:val="BodyText"/>
        <w:spacing w:line="242" w:lineRule="auto"/>
        <w:ind w:left="144" w:right="118" w:firstLine="499"/>
        <w:jc w:val="both"/>
      </w:pPr>
      <w:r>
        <w:rPr/>
        <w:t>In March 2021, we delivered a notice of redemption to MGP</w:t>
      </w:r>
      <w:r>
        <w:rPr>
          <w:spacing w:val="-1"/>
        </w:rPr>
        <w:t> </w:t>
      </w:r>
      <w:r>
        <w:rPr/>
        <w:t>covering approximately 37 million MGP</w:t>
      </w:r>
      <w:r>
        <w:rPr>
          <w:spacing w:val="-1"/>
        </w:rPr>
        <w:t> </w:t>
      </w:r>
      <w:r>
        <w:rPr/>
        <w:t>OP</w:t>
      </w:r>
      <w:r>
        <w:rPr>
          <w:spacing w:val="-1"/>
        </w:rPr>
        <w:t> </w:t>
      </w:r>
      <w:r>
        <w:rPr/>
        <w:t>units that they held which was satisfied with aggregate cash proceeds of approximately $1.2 billion, using cash on hand together with the proceeds from MGP’s issuance of Class</w:t>
      </w:r>
      <w:r>
        <w:rPr>
          <w:spacing w:val="-6"/>
        </w:rPr>
        <w:t> </w:t>
      </w:r>
      <w:r>
        <w:rPr/>
        <w:t>A</w:t>
      </w:r>
      <w:r>
        <w:rPr>
          <w:spacing w:val="-6"/>
        </w:rPr>
        <w:t> </w:t>
      </w:r>
      <w:r>
        <w:rPr/>
        <w:t>shares. See Note 13 in the accompanying consolidated financial statements for information regarding this transaction, which eliminates in consolidation.</w:t>
      </w:r>
    </w:p>
    <w:p>
      <w:pPr>
        <w:pStyle w:val="BodyText"/>
        <w:spacing w:before="3"/>
      </w:pPr>
    </w:p>
    <w:p>
      <w:pPr>
        <w:pStyle w:val="BodyText"/>
        <w:ind w:left="144" w:right="118" w:firstLine="499"/>
        <w:jc w:val="both"/>
      </w:pPr>
      <w:r>
        <w:rPr/>
        <w:t>In September 2021, we completed the acquisition of the remaining 50% ownership interest in CityCenter for cash consideration of $2.125 billion. Upon the closing of the transaction, we own 100% of CityCenter and accordingly no longer account for our interest under the equity method of accounting, and </w:t>
      </w:r>
      <w:r>
        <w:rPr/>
        <w:t>we now consolidate CityCenter in our financial statements. See Note 4 in the accompanying consolidated financial statements for information regarding this </w:t>
      </w:r>
      <w:r>
        <w:rPr>
          <w:spacing w:val="-2"/>
        </w:rPr>
        <w:t>transaction.</w:t>
      </w:r>
    </w:p>
    <w:p>
      <w:pPr>
        <w:pStyle w:val="BodyText"/>
        <w:spacing w:before="21"/>
      </w:pPr>
    </w:p>
    <w:p>
      <w:pPr>
        <w:pStyle w:val="BodyText"/>
        <w:spacing w:line="235" w:lineRule="auto"/>
        <w:ind w:left="144" w:right="118" w:firstLine="499"/>
        <w:jc w:val="both"/>
      </w:pPr>
      <w:r>
        <w:rPr/>
        <w:t>In September 2021, we sold the real estate assets of</w:t>
      </w:r>
      <w:r>
        <w:rPr>
          <w:spacing w:val="-10"/>
        </w:rPr>
        <w:t> </w:t>
      </w:r>
      <w:r>
        <w:rPr/>
        <w:t>Aria and</w:t>
      </w:r>
      <w:r>
        <w:rPr>
          <w:spacing w:val="-3"/>
        </w:rPr>
        <w:t> </w:t>
      </w:r>
      <w:r>
        <w:rPr/>
        <w:t>Vdara for cash consideration of $3.89 billion and entered into a lease pursuant to which we lease back the real property. See Note 11 in the accompanying consolidated financial statements for information regarding this lease.</w:t>
      </w:r>
    </w:p>
    <w:p>
      <w:pPr>
        <w:pStyle w:val="BodyText"/>
        <w:spacing w:before="5"/>
      </w:pPr>
    </w:p>
    <w:p>
      <w:pPr>
        <w:pStyle w:val="BodyText"/>
        <w:spacing w:line="249" w:lineRule="auto"/>
        <w:ind w:left="144" w:right="118" w:firstLine="499"/>
        <w:jc w:val="both"/>
      </w:pPr>
      <w:r>
        <w:rPr/>
        <w:t>In October 2021, MGP acquired the real estate assets of MGM Springfield from us and MGM Springfield was added to the master lease with MGP. </w:t>
      </w:r>
      <w:r>
        <w:rPr>
          <w:color w:val="202529"/>
        </w:rPr>
        <w:t>Transactions with MGP, including transactions under the master lease with MGP, have been eliminated in our consolidation of MGP.</w:t>
      </w:r>
    </w:p>
    <w:p>
      <w:pPr>
        <w:pStyle w:val="BodyText"/>
        <w:spacing w:line="249" w:lineRule="auto" w:before="204"/>
        <w:ind w:left="144" w:right="118" w:firstLine="499"/>
        <w:jc w:val="both"/>
      </w:pPr>
      <w:r>
        <w:rPr/>
        <w:t>In</w:t>
      </w:r>
      <w:r>
        <w:rPr>
          <w:spacing w:val="-3"/>
        </w:rPr>
        <w:t> </w:t>
      </w:r>
      <w:r>
        <w:rPr/>
        <w:t>April 2022, we completed the VICI Transaction in a stock-for-stock transaction. In connection with the transaction, VICI OP redeemed the majority</w:t>
      </w:r>
      <w:r>
        <w:rPr>
          <w:spacing w:val="40"/>
        </w:rPr>
        <w:t> </w:t>
      </w:r>
      <w:r>
        <w:rPr/>
        <w:t>of our</w:t>
      </w:r>
      <w:r>
        <w:rPr>
          <w:spacing w:val="-3"/>
        </w:rPr>
        <w:t> </w:t>
      </w:r>
      <w:r>
        <w:rPr/>
        <w:t>VICI OP</w:t>
      </w:r>
      <w:r>
        <w:rPr>
          <w:spacing w:val="-6"/>
        </w:rPr>
        <w:t> </w:t>
      </w:r>
      <w:r>
        <w:rPr/>
        <w:t>units for cash consideration of $4.4 billion, with us retaining an approximate 1% ownership interest in</w:t>
      </w:r>
      <w:r>
        <w:rPr>
          <w:spacing w:val="-3"/>
        </w:rPr>
        <w:t> </w:t>
      </w:r>
      <w:r>
        <w:rPr/>
        <w:t>VICI OP. MGP’s Class B share that was previously held by us was cancelled. Accordingly, we no longer hold a controlling interest in MGP and deconsolidated MGP upon the closing of the transactions. In connection with the VICI Transaction, we entered into an amended and restated master lease with VICI. See Note 4 and Note 11 in </w:t>
      </w:r>
      <w:r>
        <w:rPr/>
        <w:t>the accompanying consolidated financial statements for discussion of the transaction and lease, respectively.</w:t>
      </w:r>
    </w:p>
    <w:p>
      <w:pPr>
        <w:pStyle w:val="BodyText"/>
        <w:spacing w:before="13"/>
      </w:pPr>
    </w:p>
    <w:p>
      <w:pPr>
        <w:pStyle w:val="BodyText"/>
        <w:spacing w:line="249" w:lineRule="auto"/>
        <w:ind w:left="144" w:right="118" w:firstLine="499"/>
        <w:jc w:val="both"/>
      </w:pPr>
      <w:r>
        <w:rPr/>
        <w:t>In May 2022, we acquired the operations of The Cosmopolitan for cash consideration of $1.625 billion, plus working capital adjustments for a </w:t>
      </w:r>
      <w:r>
        <w:rPr/>
        <w:t>total purchase</w:t>
      </w:r>
      <w:r>
        <w:rPr>
          <w:spacing w:val="-1"/>
        </w:rPr>
        <w:t> </w:t>
      </w:r>
      <w:r>
        <w:rPr/>
        <w:t>price</w:t>
      </w:r>
      <w:r>
        <w:rPr>
          <w:spacing w:val="-1"/>
        </w:rPr>
        <w:t> </w:t>
      </w:r>
      <w:r>
        <w:rPr/>
        <w:t>of</w:t>
      </w:r>
      <w:r>
        <w:rPr>
          <w:spacing w:val="-1"/>
        </w:rPr>
        <w:t> </w:t>
      </w:r>
      <w:r>
        <w:rPr/>
        <w:t>approximately</w:t>
      </w:r>
      <w:r>
        <w:rPr>
          <w:spacing w:val="-1"/>
        </w:rPr>
        <w:t> </w:t>
      </w:r>
      <w:r>
        <w:rPr/>
        <w:t>$1.7</w:t>
      </w:r>
      <w:r>
        <w:rPr>
          <w:spacing w:val="-1"/>
        </w:rPr>
        <w:t> </w:t>
      </w:r>
      <w:r>
        <w:rPr/>
        <w:t>billion.</w:t>
      </w:r>
      <w:r>
        <w:rPr>
          <w:spacing w:val="-11"/>
        </w:rPr>
        <w:t> </w:t>
      </w:r>
      <w:r>
        <w:rPr/>
        <w:t>Additionally,</w:t>
      </w:r>
      <w:r>
        <w:rPr>
          <w:spacing w:val="-1"/>
        </w:rPr>
        <w:t> </w:t>
      </w:r>
      <w:r>
        <w:rPr/>
        <w:t>we</w:t>
      </w:r>
      <w:r>
        <w:rPr>
          <w:spacing w:val="-1"/>
        </w:rPr>
        <w:t> </w:t>
      </w:r>
      <w:r>
        <w:rPr/>
        <w:t>entered</w:t>
      </w:r>
      <w:r>
        <w:rPr>
          <w:spacing w:val="-1"/>
        </w:rPr>
        <w:t> </w:t>
      </w:r>
      <w:r>
        <w:rPr/>
        <w:t>into</w:t>
      </w:r>
      <w:r>
        <w:rPr>
          <w:spacing w:val="-1"/>
        </w:rPr>
        <w:t> </w:t>
      </w:r>
      <w:r>
        <w:rPr/>
        <w:t>a</w:t>
      </w:r>
      <w:r>
        <w:rPr>
          <w:spacing w:val="-1"/>
        </w:rPr>
        <w:t> </w:t>
      </w:r>
      <w:r>
        <w:rPr/>
        <w:t>lease</w:t>
      </w:r>
      <w:r>
        <w:rPr>
          <w:spacing w:val="-1"/>
        </w:rPr>
        <w:t> </w:t>
      </w:r>
      <w:r>
        <w:rPr/>
        <w:t>agreement</w:t>
      </w:r>
      <w:r>
        <w:rPr>
          <w:spacing w:val="-1"/>
        </w:rPr>
        <w:t> </w:t>
      </w:r>
      <w:r>
        <w:rPr/>
        <w:t>for</w:t>
      </w:r>
      <w:r>
        <w:rPr>
          <w:spacing w:val="-1"/>
        </w:rPr>
        <w:t> </w:t>
      </w:r>
      <w:r>
        <w:rPr/>
        <w:t>the</w:t>
      </w:r>
      <w:r>
        <w:rPr>
          <w:spacing w:val="-1"/>
        </w:rPr>
        <w:t> </w:t>
      </w:r>
      <w:r>
        <w:rPr/>
        <w:t>real</w:t>
      </w:r>
      <w:r>
        <w:rPr>
          <w:spacing w:val="-1"/>
        </w:rPr>
        <w:t> </w:t>
      </w:r>
      <w:r>
        <w:rPr/>
        <w:t>estate</w:t>
      </w:r>
      <w:r>
        <w:rPr>
          <w:spacing w:val="-1"/>
        </w:rPr>
        <w:t> </w:t>
      </w:r>
      <w:r>
        <w:rPr/>
        <w:t>assets</w:t>
      </w:r>
      <w:r>
        <w:rPr>
          <w:spacing w:val="-1"/>
        </w:rPr>
        <w:t> </w:t>
      </w:r>
      <w:r>
        <w:rPr/>
        <w:t>of</w:t>
      </w:r>
      <w:r>
        <w:rPr>
          <w:spacing w:val="-1"/>
        </w:rPr>
        <w:t> </w:t>
      </w:r>
      <w:r>
        <w:rPr/>
        <w:t>the</w:t>
      </w:r>
      <w:r>
        <w:rPr>
          <w:spacing w:val="-4"/>
        </w:rPr>
        <w:t> </w:t>
      </w:r>
      <w:r>
        <w:rPr/>
        <w:t>The</w:t>
      </w:r>
      <w:r>
        <w:rPr>
          <w:spacing w:val="-1"/>
        </w:rPr>
        <w:t> </w:t>
      </w:r>
      <w:r>
        <w:rPr/>
        <w:t>Cosmopolitan.</w:t>
      </w:r>
      <w:r>
        <w:rPr>
          <w:spacing w:val="-1"/>
        </w:rPr>
        <w:t> </w:t>
      </w:r>
      <w:r>
        <w:rPr/>
        <w:t>See</w:t>
      </w:r>
      <w:r>
        <w:rPr>
          <w:spacing w:val="-1"/>
        </w:rPr>
        <w:t> </w:t>
      </w:r>
      <w:r>
        <w:rPr/>
        <w:t>Note</w:t>
      </w:r>
      <w:r>
        <w:rPr>
          <w:spacing w:val="-1"/>
        </w:rPr>
        <w:t> </w:t>
      </w:r>
      <w:r>
        <w:rPr/>
        <w:t>4</w:t>
      </w:r>
      <w:r>
        <w:rPr>
          <w:spacing w:val="-1"/>
        </w:rPr>
        <w:t> </w:t>
      </w:r>
      <w:r>
        <w:rPr/>
        <w:t>and Note 11 in the accompanying consolidated financial statements for discussion of the transaction and lease, respectively.</w:t>
      </w:r>
    </w:p>
    <w:p>
      <w:pPr>
        <w:pStyle w:val="BodyText"/>
        <w:spacing w:before="11"/>
      </w:pPr>
    </w:p>
    <w:p>
      <w:pPr>
        <w:pStyle w:val="BodyText"/>
        <w:spacing w:line="249" w:lineRule="auto"/>
        <w:ind w:left="144" w:right="118" w:firstLine="499"/>
        <w:jc w:val="both"/>
      </w:pPr>
      <w:r>
        <w:rPr/>
        <w:t>In June 2022, the Macau government enacted a new gaming law that provides for material changes to the legal form of gaming concessions in Macau, including discontinuing and prohibiting gaming subconcessions subsequent to their expiration, and also includes material changes to the rights and </w:t>
      </w:r>
      <w:r>
        <w:rPr/>
        <w:t>obligations provided for under the new gaming concessions that were awarded in the public tender that concluded in December 2022, such as limiting the term of concessions to a maximum of 10 years. As a result, we reassessed the useful life of the MGM Grand Paradise gaming subconcession intangible asset and reduced the useful life to align with the contractual term of the subconcession, which expired on December 31, 2022, thereby accelerating the recognition of amortization within our statements of operations. See Note 1 and Note 7 in the accompanying consolidated financial statements for further discussion. In December 2022, we were awarded a new gaming concession, which permits the operation of games of chance or other games in casinos in Macau,</w:t>
      </w:r>
      <w:r>
        <w:rPr>
          <w:spacing w:val="40"/>
        </w:rPr>
        <w:t> </w:t>
      </w:r>
      <w:r>
        <w:rPr/>
        <w:t>commencing on January 1, 2023.</w:t>
      </w:r>
    </w:p>
    <w:p>
      <w:pPr>
        <w:pStyle w:val="BodyText"/>
        <w:spacing w:before="15"/>
      </w:pPr>
    </w:p>
    <w:p>
      <w:pPr>
        <w:pStyle w:val="BodyText"/>
        <w:spacing w:line="249" w:lineRule="auto"/>
        <w:ind w:left="144" w:right="118" w:firstLine="499"/>
        <w:jc w:val="both"/>
      </w:pPr>
      <w:r>
        <w:rPr/>
        <w:t>In</w:t>
      </w:r>
      <w:r>
        <w:rPr>
          <w:spacing w:val="-2"/>
        </w:rPr>
        <w:t> </w:t>
      </w:r>
      <w:r>
        <w:rPr/>
        <w:t>September</w:t>
      </w:r>
      <w:r>
        <w:rPr>
          <w:spacing w:val="-2"/>
        </w:rPr>
        <w:t> </w:t>
      </w:r>
      <w:r>
        <w:rPr/>
        <w:t>2022,</w:t>
      </w:r>
      <w:r>
        <w:rPr>
          <w:spacing w:val="-2"/>
        </w:rPr>
        <w:t> </w:t>
      </w:r>
      <w:r>
        <w:rPr/>
        <w:t>we</w:t>
      </w:r>
      <w:r>
        <w:rPr>
          <w:spacing w:val="-2"/>
        </w:rPr>
        <w:t> </w:t>
      </w:r>
      <w:r>
        <w:rPr/>
        <w:t>acquired</w:t>
      </w:r>
      <w:r>
        <w:rPr>
          <w:spacing w:val="-2"/>
        </w:rPr>
        <w:t> </w:t>
      </w:r>
      <w:r>
        <w:rPr/>
        <w:t>LeoVegas</w:t>
      </w:r>
      <w:r>
        <w:rPr>
          <w:spacing w:val="-2"/>
        </w:rPr>
        <w:t> </w:t>
      </w:r>
      <w:r>
        <w:rPr/>
        <w:t>through</w:t>
      </w:r>
      <w:r>
        <w:rPr>
          <w:spacing w:val="-2"/>
        </w:rPr>
        <w:t> </w:t>
      </w:r>
      <w:r>
        <w:rPr/>
        <w:t>a</w:t>
      </w:r>
      <w:r>
        <w:rPr>
          <w:spacing w:val="-2"/>
        </w:rPr>
        <w:t> </w:t>
      </w:r>
      <w:r>
        <w:rPr/>
        <w:t>tender</w:t>
      </w:r>
      <w:r>
        <w:rPr>
          <w:spacing w:val="-2"/>
        </w:rPr>
        <w:t> </w:t>
      </w:r>
      <w:r>
        <w:rPr/>
        <w:t>offer</w:t>
      </w:r>
      <w:r>
        <w:rPr>
          <w:spacing w:val="-2"/>
        </w:rPr>
        <w:t> </w:t>
      </w:r>
      <w:r>
        <w:rPr/>
        <w:t>at</w:t>
      </w:r>
      <w:r>
        <w:rPr>
          <w:spacing w:val="-2"/>
        </w:rPr>
        <w:t> </w:t>
      </w:r>
      <w:r>
        <w:rPr/>
        <w:t>a</w:t>
      </w:r>
      <w:r>
        <w:rPr>
          <w:spacing w:val="-2"/>
        </w:rPr>
        <w:t> </w:t>
      </w:r>
      <w:r>
        <w:rPr/>
        <w:t>cash</w:t>
      </w:r>
      <w:r>
        <w:rPr>
          <w:spacing w:val="-2"/>
        </w:rPr>
        <w:t> </w:t>
      </w:r>
      <w:r>
        <w:rPr/>
        <w:t>price</w:t>
      </w:r>
      <w:r>
        <w:rPr>
          <w:spacing w:val="-2"/>
        </w:rPr>
        <w:t> </w:t>
      </w:r>
      <w:r>
        <w:rPr/>
        <w:t>of</w:t>
      </w:r>
      <w:r>
        <w:rPr>
          <w:spacing w:val="-2"/>
        </w:rPr>
        <w:t> </w:t>
      </w:r>
      <w:r>
        <w:rPr/>
        <w:t>SEK</w:t>
      </w:r>
      <w:r>
        <w:rPr>
          <w:spacing w:val="-2"/>
        </w:rPr>
        <w:t> </w:t>
      </w:r>
      <w:r>
        <w:rPr/>
        <w:t>61</w:t>
      </w:r>
      <w:r>
        <w:rPr>
          <w:spacing w:val="-2"/>
        </w:rPr>
        <w:t> </w:t>
      </w:r>
      <w:r>
        <w:rPr/>
        <w:t>per</w:t>
      </w:r>
      <w:r>
        <w:rPr>
          <w:spacing w:val="-2"/>
        </w:rPr>
        <w:t> </w:t>
      </w:r>
      <w:r>
        <w:rPr/>
        <w:t>share,</w:t>
      </w:r>
      <w:r>
        <w:rPr>
          <w:spacing w:val="-2"/>
        </w:rPr>
        <w:t> </w:t>
      </w:r>
      <w:r>
        <w:rPr/>
        <w:t>for</w:t>
      </w:r>
      <w:r>
        <w:rPr>
          <w:spacing w:val="-2"/>
        </w:rPr>
        <w:t> </w:t>
      </w:r>
      <w:r>
        <w:rPr/>
        <w:t>a</w:t>
      </w:r>
      <w:r>
        <w:rPr>
          <w:spacing w:val="-2"/>
        </w:rPr>
        <w:t> </w:t>
      </w:r>
      <w:r>
        <w:rPr/>
        <w:t>total</w:t>
      </w:r>
      <w:r>
        <w:rPr>
          <w:spacing w:val="-2"/>
        </w:rPr>
        <w:t> </w:t>
      </w:r>
      <w:r>
        <w:rPr/>
        <w:t>fair</w:t>
      </w:r>
      <w:r>
        <w:rPr>
          <w:spacing w:val="-2"/>
        </w:rPr>
        <w:t> </w:t>
      </w:r>
      <w:r>
        <w:rPr/>
        <w:t>value</w:t>
      </w:r>
      <w:r>
        <w:rPr>
          <w:spacing w:val="-2"/>
        </w:rPr>
        <w:t> </w:t>
      </w:r>
      <w:r>
        <w:rPr/>
        <w:t>of</w:t>
      </w:r>
      <w:r>
        <w:rPr>
          <w:spacing w:val="-2"/>
        </w:rPr>
        <w:t> </w:t>
      </w:r>
      <w:r>
        <w:rPr/>
        <w:t>equity</w:t>
      </w:r>
      <w:r>
        <w:rPr>
          <w:spacing w:val="-2"/>
        </w:rPr>
        <w:t> </w:t>
      </w:r>
      <w:r>
        <w:rPr/>
        <w:t>interests</w:t>
      </w:r>
      <w:r>
        <w:rPr>
          <w:spacing w:val="-2"/>
        </w:rPr>
        <w:t> </w:t>
      </w:r>
      <w:r>
        <w:rPr/>
        <w:t>acquired</w:t>
      </w:r>
      <w:r>
        <w:rPr>
          <w:spacing w:val="-2"/>
        </w:rPr>
        <w:t> </w:t>
      </w:r>
      <w:r>
        <w:rPr/>
        <w:t>of approximately $556 million, inclusive of cash settlement of equity awards. See Note 4 in the accompanying consolidated financial statements for discussion of this transaction.</w:t>
      </w:r>
    </w:p>
    <w:p>
      <w:pPr>
        <w:pStyle w:val="BodyText"/>
        <w:spacing w:before="11"/>
      </w:pPr>
    </w:p>
    <w:p>
      <w:pPr>
        <w:pStyle w:val="BodyText"/>
        <w:spacing w:line="249" w:lineRule="auto"/>
        <w:ind w:left="144" w:right="118" w:firstLine="499"/>
        <w:jc w:val="both"/>
      </w:pPr>
      <w:r>
        <w:rPr/>
        <w:t>In December 2022, we completed the sale of the operations of The Mirage to Hard Rock for cash consideration of $1.075 billion, subject to </w:t>
      </w:r>
      <w:r>
        <w:rPr/>
        <w:t>certain purchase price adjustments.</w:t>
      </w:r>
      <w:r>
        <w:rPr>
          <w:spacing w:val="-9"/>
        </w:rPr>
        <w:t> </w:t>
      </w:r>
      <w:r>
        <w:rPr/>
        <w:t>At closing, the master lease with</w:t>
      </w:r>
      <w:r>
        <w:rPr>
          <w:spacing w:val="-2"/>
        </w:rPr>
        <w:t> </w:t>
      </w:r>
      <w:r>
        <w:rPr/>
        <w:t>VICI was amended to remove</w:t>
      </w:r>
      <w:r>
        <w:rPr>
          <w:spacing w:val="-2"/>
        </w:rPr>
        <w:t> </w:t>
      </w:r>
      <w:r>
        <w:rPr/>
        <w:t>The Mirage and reflect a $90 million reduction in annual cash rent. Refer to Note 4 in the accompanying consolidated financial statements for discussion of this transaction.</w:t>
      </w:r>
    </w:p>
    <w:p>
      <w:pPr>
        <w:pStyle w:val="BodyText"/>
      </w:pPr>
    </w:p>
    <w:p>
      <w:pPr>
        <w:pStyle w:val="BodyText"/>
      </w:pPr>
    </w:p>
    <w:p>
      <w:pPr>
        <w:pStyle w:val="BodyText"/>
        <w:spacing w:before="205"/>
      </w:pPr>
    </w:p>
    <w:p>
      <w:pPr>
        <w:pStyle w:val="BodyText"/>
        <w:ind w:left="24"/>
        <w:jc w:val="center"/>
      </w:pPr>
      <w:r>
        <w:rPr>
          <w:spacing w:val="-5"/>
        </w:rPr>
        <w:t>34</w:t>
      </w:r>
    </w:p>
    <w:p>
      <w:pPr>
        <w:pStyle w:val="BodyText"/>
        <w:spacing w:before="3"/>
        <w:rPr>
          <w:sz w:val="6"/>
        </w:rPr>
      </w:pPr>
      <w:r>
        <w:rPr/>
        <mc:AlternateContent>
          <mc:Choice Requires="wps">
            <w:drawing>
              <wp:anchor distT="0" distB="0" distL="0" distR="0" allowOverlap="1" layoutInCell="1" locked="0" behindDoc="1" simplePos="0" relativeHeight="487614464">
                <wp:simplePos x="0" y="0"/>
                <wp:positionH relativeFrom="page">
                  <wp:posOffset>231457</wp:posOffset>
                </wp:positionH>
                <wp:positionV relativeFrom="paragraph">
                  <wp:posOffset>60956</wp:posOffset>
                </wp:positionV>
                <wp:extent cx="7312659" cy="1714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7312659" cy="17145"/>
                          <a:chExt cx="7312659" cy="17145"/>
                        </a:xfrm>
                      </wpg:grpSpPr>
                      <wps:wsp>
                        <wps:cNvPr id="169" name="Graphic 16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70" name="Graphic 170"/>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1" name="Graphic 1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2016;mso-wrap-distance-left:0;mso-wrap-distance-right:0" id="docshapegroup166" coordorigin="364,96" coordsize="11516,27">
                <v:rect style="position:absolute;left:364;top:96;width:11516;height:14" id="docshape167" filled="true" fillcolor="#999999" stroked="false">
                  <v:fill type="solid"/>
                </v:rect>
                <v:shape style="position:absolute;left:364;top:96;width:11516;height:27" id="docshape168" coordorigin="364,96" coordsize="11516,27" path="m11880,96l11866,109,364,109,364,123,11866,123,11880,123,11880,109,11880,96xe" filled="true" fillcolor="#ededed" stroked="false">
                  <v:path arrowok="t"/>
                  <v:fill type="solid"/>
                </v:shape>
                <v:shape style="position:absolute;left:364;top:96;width:14;height:27" id="docshape16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9" w:lineRule="auto" w:before="69"/>
        <w:ind w:left="144" w:right="118" w:firstLine="499"/>
        <w:jc w:val="both"/>
      </w:pPr>
      <w:r>
        <w:rPr/>
        <w:t>In February 2023, we completed the sale of the operations of Gold Strike Tunica to CNE for cash consideration of $450 million, subject to </w:t>
      </w:r>
      <w:r>
        <w:rPr/>
        <w:t>certain purchase price adjustments.</w:t>
      </w:r>
      <w:r>
        <w:rPr>
          <w:spacing w:val="-1"/>
        </w:rPr>
        <w:t> </w:t>
      </w:r>
      <w:r>
        <w:rPr/>
        <w:t>At closing, the master lease with VICI was amended to remove Gold Strike Tunica and reflect a $40 million reduction in annual cash rent. Refer to Note 4 in the accompanying consolidated financial statements for further discussion of this transaction.</w:t>
      </w:r>
    </w:p>
    <w:p>
      <w:pPr>
        <w:pStyle w:val="BodyText"/>
        <w:spacing w:before="11"/>
      </w:pPr>
    </w:p>
    <w:p>
      <w:pPr>
        <w:spacing w:before="0"/>
        <w:ind w:left="394" w:right="0" w:firstLine="0"/>
        <w:jc w:val="left"/>
        <w:rPr>
          <w:i/>
          <w:sz w:val="18"/>
        </w:rPr>
      </w:pPr>
      <w:r>
        <w:rPr>
          <w:i/>
          <w:sz w:val="18"/>
        </w:rPr>
        <w:t>Key</w:t>
      </w:r>
      <w:r>
        <w:rPr>
          <w:i/>
          <w:spacing w:val="-1"/>
          <w:sz w:val="18"/>
        </w:rPr>
        <w:t> </w:t>
      </w:r>
      <w:r>
        <w:rPr>
          <w:i/>
          <w:sz w:val="18"/>
        </w:rPr>
        <w:t>Performance</w:t>
      </w:r>
      <w:r>
        <w:rPr>
          <w:i/>
          <w:spacing w:val="-1"/>
          <w:sz w:val="18"/>
        </w:rPr>
        <w:t> </w:t>
      </w:r>
      <w:r>
        <w:rPr>
          <w:i/>
          <w:spacing w:val="-2"/>
          <w:sz w:val="18"/>
        </w:rPr>
        <w:t>Indicators</w:t>
      </w:r>
    </w:p>
    <w:p>
      <w:pPr>
        <w:pStyle w:val="BodyText"/>
        <w:spacing w:before="18"/>
        <w:rPr>
          <w:i/>
        </w:rPr>
      </w:pPr>
    </w:p>
    <w:p>
      <w:pPr>
        <w:pStyle w:val="BodyText"/>
        <w:ind w:left="644"/>
      </w:pPr>
      <w:r>
        <w:rPr/>
        <w:t>Key</w:t>
      </w:r>
      <w:r>
        <w:rPr>
          <w:spacing w:val="-1"/>
        </w:rPr>
        <w:t> </w:t>
      </w:r>
      <w:r>
        <w:rPr/>
        <w:t>performance</w:t>
      </w:r>
      <w:r>
        <w:rPr>
          <w:spacing w:val="-1"/>
        </w:rPr>
        <w:t> </w:t>
      </w:r>
      <w:r>
        <w:rPr/>
        <w:t>indicators</w:t>
      </w:r>
      <w:r>
        <w:rPr>
          <w:spacing w:val="-1"/>
        </w:rPr>
        <w:t> </w:t>
      </w:r>
      <w:r>
        <w:rPr/>
        <w:t>related</w:t>
      </w:r>
      <w:r>
        <w:rPr>
          <w:spacing w:val="-1"/>
        </w:rPr>
        <w:t> </w:t>
      </w:r>
      <w:r>
        <w:rPr/>
        <w:t>to</w:t>
      </w:r>
      <w:r>
        <w:rPr>
          <w:spacing w:val="-1"/>
        </w:rPr>
        <w:t> </w:t>
      </w:r>
      <w:r>
        <w:rPr/>
        <w:t>gaming</w:t>
      </w:r>
      <w:r>
        <w:rPr>
          <w:spacing w:val="-1"/>
        </w:rPr>
        <w:t> </w:t>
      </w:r>
      <w:r>
        <w:rPr/>
        <w:t>and</w:t>
      </w:r>
      <w:r>
        <w:rPr>
          <w:spacing w:val="-1"/>
        </w:rPr>
        <w:t> </w:t>
      </w:r>
      <w:r>
        <w:rPr/>
        <w:t>hotel</w:t>
      </w:r>
      <w:r>
        <w:rPr>
          <w:spacing w:val="-1"/>
        </w:rPr>
        <w:t> </w:t>
      </w:r>
      <w:r>
        <w:rPr/>
        <w:t>revenue</w:t>
      </w:r>
      <w:r>
        <w:rPr>
          <w:spacing w:val="-1"/>
        </w:rPr>
        <w:t> </w:t>
      </w:r>
      <w:r>
        <w:rPr>
          <w:spacing w:val="-4"/>
        </w:rPr>
        <w:t>are:</w:t>
      </w:r>
    </w:p>
    <w:p>
      <w:pPr>
        <w:pStyle w:val="BodyText"/>
        <w:spacing w:before="22"/>
      </w:pPr>
    </w:p>
    <w:p>
      <w:pPr>
        <w:pStyle w:val="ListParagraph"/>
        <w:numPr>
          <w:ilvl w:val="0"/>
          <w:numId w:val="6"/>
        </w:numPr>
        <w:tabs>
          <w:tab w:pos="792" w:val="left" w:leader="none"/>
        </w:tabs>
        <w:spacing w:line="235" w:lineRule="auto" w:before="0" w:after="0"/>
        <w:ind w:left="792" w:right="118" w:hanging="324"/>
        <w:jc w:val="both"/>
        <w:rPr>
          <w:sz w:val="18"/>
        </w:rPr>
      </w:pPr>
      <w:r>
        <w:rPr>
          <w:sz w:val="18"/>
        </w:rPr>
        <w:t>Gaming revenue indicators: table games drop and slots handle (volume indicators); “win” or “hold” percentage, which is not fully controllable by </w:t>
      </w:r>
      <w:r>
        <w:rPr>
          <w:sz w:val="18"/>
        </w:rPr>
        <w:t>us. Our</w:t>
      </w:r>
      <w:r>
        <w:rPr>
          <w:spacing w:val="-1"/>
          <w:sz w:val="18"/>
        </w:rPr>
        <w:t> </w:t>
      </w:r>
      <w:r>
        <w:rPr>
          <w:sz w:val="18"/>
        </w:rPr>
        <w:t>normal</w:t>
      </w:r>
      <w:r>
        <w:rPr>
          <w:spacing w:val="-1"/>
          <w:sz w:val="18"/>
        </w:rPr>
        <w:t> </w:t>
      </w:r>
      <w:r>
        <w:rPr>
          <w:sz w:val="18"/>
        </w:rPr>
        <w:t>table</w:t>
      </w:r>
      <w:r>
        <w:rPr>
          <w:spacing w:val="-1"/>
          <w:sz w:val="18"/>
        </w:rPr>
        <w:t> </w:t>
      </w:r>
      <w:r>
        <w:rPr>
          <w:sz w:val="18"/>
        </w:rPr>
        <w:t>games</w:t>
      </w:r>
      <w:r>
        <w:rPr>
          <w:spacing w:val="-1"/>
          <w:sz w:val="18"/>
        </w:rPr>
        <w:t> </w:t>
      </w:r>
      <w:r>
        <w:rPr>
          <w:sz w:val="18"/>
        </w:rPr>
        <w:t>hold</w:t>
      </w:r>
      <w:r>
        <w:rPr>
          <w:spacing w:val="-1"/>
          <w:sz w:val="18"/>
        </w:rPr>
        <w:t> </w:t>
      </w:r>
      <w:r>
        <w:rPr>
          <w:sz w:val="18"/>
        </w:rPr>
        <w:t>percentage</w:t>
      </w:r>
      <w:r>
        <w:rPr>
          <w:spacing w:val="-1"/>
          <w:sz w:val="18"/>
        </w:rPr>
        <w:t> </w:t>
      </w:r>
      <w:r>
        <w:rPr>
          <w:sz w:val="18"/>
        </w:rPr>
        <w:t>at</w:t>
      </w:r>
      <w:r>
        <w:rPr>
          <w:spacing w:val="-1"/>
          <w:sz w:val="18"/>
        </w:rPr>
        <w:t> </w:t>
      </w:r>
      <w:r>
        <w:rPr>
          <w:sz w:val="18"/>
        </w:rPr>
        <w:t>our</w:t>
      </w:r>
      <w:r>
        <w:rPr>
          <w:spacing w:val="-1"/>
          <w:sz w:val="18"/>
        </w:rPr>
        <w:t> </w:t>
      </w:r>
      <w:r>
        <w:rPr>
          <w:sz w:val="18"/>
        </w:rPr>
        <w:t>Las</w:t>
      </w:r>
      <w:r>
        <w:rPr>
          <w:spacing w:val="-4"/>
          <w:sz w:val="18"/>
        </w:rPr>
        <w:t> </w:t>
      </w:r>
      <w:r>
        <w:rPr>
          <w:sz w:val="18"/>
        </w:rPr>
        <w:t>Vegas</w:t>
      </w:r>
      <w:r>
        <w:rPr>
          <w:spacing w:val="-1"/>
          <w:sz w:val="18"/>
        </w:rPr>
        <w:t> </w:t>
      </w:r>
      <w:r>
        <w:rPr>
          <w:sz w:val="18"/>
        </w:rPr>
        <w:t>Strip</w:t>
      </w:r>
      <w:r>
        <w:rPr>
          <w:spacing w:val="-1"/>
          <w:sz w:val="18"/>
        </w:rPr>
        <w:t> </w:t>
      </w:r>
      <w:r>
        <w:rPr>
          <w:sz w:val="18"/>
        </w:rPr>
        <w:t>Resorts</w:t>
      </w:r>
      <w:r>
        <w:rPr>
          <w:spacing w:val="-1"/>
          <w:sz w:val="18"/>
        </w:rPr>
        <w:t> </w:t>
      </w:r>
      <w:r>
        <w:rPr>
          <w:sz w:val="18"/>
        </w:rPr>
        <w:t>is</w:t>
      </w:r>
      <w:r>
        <w:rPr>
          <w:spacing w:val="-1"/>
          <w:sz w:val="18"/>
        </w:rPr>
        <w:t> </w:t>
      </w:r>
      <w:r>
        <w:rPr>
          <w:sz w:val="18"/>
        </w:rPr>
        <w:t>in</w:t>
      </w:r>
      <w:r>
        <w:rPr>
          <w:spacing w:val="-1"/>
          <w:sz w:val="18"/>
        </w:rPr>
        <w:t> </w:t>
      </w:r>
      <w:r>
        <w:rPr>
          <w:sz w:val="18"/>
        </w:rPr>
        <w:t>the</w:t>
      </w:r>
      <w:r>
        <w:rPr>
          <w:spacing w:val="-1"/>
          <w:sz w:val="18"/>
        </w:rPr>
        <w:t> </w:t>
      </w:r>
      <w:r>
        <w:rPr>
          <w:sz w:val="18"/>
        </w:rPr>
        <w:t>range</w:t>
      </w:r>
      <w:r>
        <w:rPr>
          <w:spacing w:val="-1"/>
          <w:sz w:val="18"/>
        </w:rPr>
        <w:t> </w:t>
      </w:r>
      <w:r>
        <w:rPr>
          <w:sz w:val="18"/>
        </w:rPr>
        <w:t>of</w:t>
      </w:r>
      <w:r>
        <w:rPr>
          <w:spacing w:val="-1"/>
          <w:sz w:val="18"/>
        </w:rPr>
        <w:t> </w:t>
      </w:r>
      <w:r>
        <w:rPr>
          <w:sz w:val="18"/>
        </w:rPr>
        <w:t>25.0%</w:t>
      </w:r>
      <w:r>
        <w:rPr>
          <w:spacing w:val="-1"/>
          <w:sz w:val="18"/>
        </w:rPr>
        <w:t> </w:t>
      </w:r>
      <w:r>
        <w:rPr>
          <w:sz w:val="18"/>
        </w:rPr>
        <w:t>to</w:t>
      </w:r>
      <w:r>
        <w:rPr>
          <w:spacing w:val="-1"/>
          <w:sz w:val="18"/>
        </w:rPr>
        <w:t> </w:t>
      </w:r>
      <w:r>
        <w:rPr>
          <w:sz w:val="18"/>
        </w:rPr>
        <w:t>35.0%</w:t>
      </w:r>
      <w:r>
        <w:rPr>
          <w:spacing w:val="-1"/>
          <w:sz w:val="18"/>
        </w:rPr>
        <w:t> </w:t>
      </w:r>
      <w:r>
        <w:rPr>
          <w:sz w:val="18"/>
        </w:rPr>
        <w:t>of</w:t>
      </w:r>
      <w:r>
        <w:rPr>
          <w:spacing w:val="-1"/>
          <w:sz w:val="18"/>
        </w:rPr>
        <w:t> </w:t>
      </w:r>
      <w:r>
        <w:rPr>
          <w:sz w:val="18"/>
        </w:rPr>
        <w:t>table</w:t>
      </w:r>
      <w:r>
        <w:rPr>
          <w:spacing w:val="-1"/>
          <w:sz w:val="18"/>
        </w:rPr>
        <w:t> </w:t>
      </w:r>
      <w:r>
        <w:rPr>
          <w:sz w:val="18"/>
        </w:rPr>
        <w:t>games</w:t>
      </w:r>
      <w:r>
        <w:rPr>
          <w:spacing w:val="-1"/>
          <w:sz w:val="18"/>
        </w:rPr>
        <w:t> </w:t>
      </w:r>
      <w:r>
        <w:rPr>
          <w:sz w:val="18"/>
        </w:rPr>
        <w:t>drop</w:t>
      </w:r>
      <w:r>
        <w:rPr>
          <w:spacing w:val="-1"/>
          <w:sz w:val="18"/>
        </w:rPr>
        <w:t> </w:t>
      </w:r>
      <w:r>
        <w:rPr>
          <w:sz w:val="18"/>
        </w:rPr>
        <w:t>for</w:t>
      </w:r>
      <w:r>
        <w:rPr>
          <w:spacing w:val="-1"/>
          <w:sz w:val="18"/>
        </w:rPr>
        <w:t> </w:t>
      </w:r>
      <w:r>
        <w:rPr>
          <w:sz w:val="18"/>
        </w:rPr>
        <w:t>Baccarat</w:t>
      </w:r>
      <w:r>
        <w:rPr>
          <w:spacing w:val="-1"/>
          <w:sz w:val="18"/>
        </w:rPr>
        <w:t> </w:t>
      </w:r>
      <w:r>
        <w:rPr>
          <w:sz w:val="18"/>
        </w:rPr>
        <w:t>and</w:t>
      </w:r>
      <w:r>
        <w:rPr>
          <w:spacing w:val="-1"/>
          <w:sz w:val="18"/>
        </w:rPr>
        <w:t> </w:t>
      </w:r>
      <w:r>
        <w:rPr>
          <w:sz w:val="18"/>
        </w:rPr>
        <w:t>19.0% to 23.0% for non-Baccarat; however, reduced gaming volumes as a result of the COVID-19 pandemic could cause volatility in our hold percentages; </w:t>
      </w:r>
      <w:r>
        <w:rPr>
          <w:spacing w:val="-4"/>
          <w:sz w:val="18"/>
        </w:rPr>
        <w:t>and</w:t>
      </w:r>
    </w:p>
    <w:p>
      <w:pPr>
        <w:pStyle w:val="BodyText"/>
        <w:spacing w:before="17"/>
      </w:pPr>
    </w:p>
    <w:p>
      <w:pPr>
        <w:pStyle w:val="ListParagraph"/>
        <w:numPr>
          <w:ilvl w:val="0"/>
          <w:numId w:val="6"/>
        </w:numPr>
        <w:tabs>
          <w:tab w:pos="792" w:val="left" w:leader="none"/>
        </w:tabs>
        <w:spacing w:line="240" w:lineRule="auto" w:before="1" w:after="0"/>
        <w:ind w:left="792" w:right="118" w:hanging="324"/>
        <w:jc w:val="both"/>
        <w:rPr>
          <w:sz w:val="18"/>
        </w:rPr>
      </w:pPr>
      <w:r>
        <w:rPr>
          <w:sz w:val="18"/>
        </w:rPr>
        <w:t>Hotel revenue indicators (for Las Vegas Strip Resorts): hotel occupancy (a volume indicator); average daily rate (“ADR,” a price indicator); and revenue</w:t>
      </w:r>
      <w:r>
        <w:rPr>
          <w:spacing w:val="-2"/>
          <w:sz w:val="18"/>
        </w:rPr>
        <w:t> </w:t>
      </w:r>
      <w:r>
        <w:rPr>
          <w:sz w:val="18"/>
        </w:rPr>
        <w:t>per</w:t>
      </w:r>
      <w:r>
        <w:rPr>
          <w:spacing w:val="-2"/>
          <w:sz w:val="18"/>
        </w:rPr>
        <w:t> </w:t>
      </w:r>
      <w:r>
        <w:rPr>
          <w:sz w:val="18"/>
        </w:rPr>
        <w:t>available</w:t>
      </w:r>
      <w:r>
        <w:rPr>
          <w:spacing w:val="-2"/>
          <w:sz w:val="18"/>
        </w:rPr>
        <w:t> </w:t>
      </w:r>
      <w:r>
        <w:rPr>
          <w:sz w:val="18"/>
        </w:rPr>
        <w:t>room</w:t>
      </w:r>
      <w:r>
        <w:rPr>
          <w:spacing w:val="-2"/>
          <w:sz w:val="18"/>
        </w:rPr>
        <w:t> </w:t>
      </w:r>
      <w:r>
        <w:rPr>
          <w:sz w:val="18"/>
        </w:rPr>
        <w:t>(“REVPAR,”</w:t>
      </w:r>
      <w:r>
        <w:rPr>
          <w:spacing w:val="-2"/>
          <w:sz w:val="18"/>
        </w:rPr>
        <w:t> </w:t>
      </w:r>
      <w:r>
        <w:rPr>
          <w:sz w:val="18"/>
        </w:rPr>
        <w:t>a</w:t>
      </w:r>
      <w:r>
        <w:rPr>
          <w:spacing w:val="-2"/>
          <w:sz w:val="18"/>
        </w:rPr>
        <w:t> </w:t>
      </w:r>
      <w:r>
        <w:rPr>
          <w:sz w:val="18"/>
        </w:rPr>
        <w:t>summary</w:t>
      </w:r>
      <w:r>
        <w:rPr>
          <w:spacing w:val="-2"/>
          <w:sz w:val="18"/>
        </w:rPr>
        <w:t> </w:t>
      </w:r>
      <w:r>
        <w:rPr>
          <w:sz w:val="18"/>
        </w:rPr>
        <w:t>measure</w:t>
      </w:r>
      <w:r>
        <w:rPr>
          <w:spacing w:val="-2"/>
          <w:sz w:val="18"/>
        </w:rPr>
        <w:t> </w:t>
      </w:r>
      <w:r>
        <w:rPr>
          <w:sz w:val="18"/>
        </w:rPr>
        <w:t>of</w:t>
      </w:r>
      <w:r>
        <w:rPr>
          <w:spacing w:val="-2"/>
          <w:sz w:val="18"/>
        </w:rPr>
        <w:t> </w:t>
      </w:r>
      <w:r>
        <w:rPr>
          <w:sz w:val="18"/>
        </w:rPr>
        <w:t>hotel</w:t>
      </w:r>
      <w:r>
        <w:rPr>
          <w:spacing w:val="-2"/>
          <w:sz w:val="18"/>
        </w:rPr>
        <w:t> </w:t>
      </w:r>
      <w:r>
        <w:rPr>
          <w:sz w:val="18"/>
        </w:rPr>
        <w:t>results,</w:t>
      </w:r>
      <w:r>
        <w:rPr>
          <w:spacing w:val="-2"/>
          <w:sz w:val="18"/>
        </w:rPr>
        <w:t> </w:t>
      </w:r>
      <w:r>
        <w:rPr>
          <w:sz w:val="18"/>
        </w:rPr>
        <w:t>combining</w:t>
      </w:r>
      <w:r>
        <w:rPr>
          <w:spacing w:val="-12"/>
          <w:sz w:val="18"/>
        </w:rPr>
        <w:t> </w:t>
      </w:r>
      <w:r>
        <w:rPr>
          <w:sz w:val="18"/>
        </w:rPr>
        <w:t>ADR</w:t>
      </w:r>
      <w:r>
        <w:rPr>
          <w:spacing w:val="-1"/>
          <w:sz w:val="18"/>
        </w:rPr>
        <w:t> </w:t>
      </w:r>
      <w:r>
        <w:rPr>
          <w:sz w:val="18"/>
        </w:rPr>
        <w:t>and</w:t>
      </w:r>
      <w:r>
        <w:rPr>
          <w:spacing w:val="-2"/>
          <w:sz w:val="18"/>
        </w:rPr>
        <w:t> </w:t>
      </w:r>
      <w:r>
        <w:rPr>
          <w:sz w:val="18"/>
        </w:rPr>
        <w:t>occupancy</w:t>
      </w:r>
      <w:r>
        <w:rPr>
          <w:spacing w:val="-2"/>
          <w:sz w:val="18"/>
        </w:rPr>
        <w:t> </w:t>
      </w:r>
      <w:r>
        <w:rPr>
          <w:sz w:val="18"/>
        </w:rPr>
        <w:t>rate).</w:t>
      </w:r>
      <w:r>
        <w:rPr>
          <w:spacing w:val="-2"/>
          <w:sz w:val="18"/>
        </w:rPr>
        <w:t> </w:t>
      </w:r>
      <w:r>
        <w:rPr>
          <w:sz w:val="18"/>
        </w:rPr>
        <w:t>Our</w:t>
      </w:r>
      <w:r>
        <w:rPr>
          <w:spacing w:val="-2"/>
          <w:sz w:val="18"/>
        </w:rPr>
        <w:t> </w:t>
      </w:r>
      <w:r>
        <w:rPr>
          <w:sz w:val="18"/>
        </w:rPr>
        <w:t>calculation</w:t>
      </w:r>
      <w:r>
        <w:rPr>
          <w:spacing w:val="-2"/>
          <w:sz w:val="18"/>
        </w:rPr>
        <w:t> </w:t>
      </w:r>
      <w:r>
        <w:rPr>
          <w:sz w:val="18"/>
        </w:rPr>
        <w:t>of</w:t>
      </w:r>
      <w:r>
        <w:rPr>
          <w:spacing w:val="-12"/>
          <w:sz w:val="18"/>
        </w:rPr>
        <w:t> </w:t>
      </w:r>
      <w:r>
        <w:rPr>
          <w:sz w:val="18"/>
        </w:rPr>
        <w:t>ADR,</w:t>
      </w:r>
      <w:r>
        <w:rPr>
          <w:spacing w:val="-1"/>
          <w:sz w:val="18"/>
        </w:rPr>
        <w:t> </w:t>
      </w:r>
      <w:r>
        <w:rPr>
          <w:sz w:val="18"/>
        </w:rPr>
        <w:t>which</w:t>
      </w:r>
      <w:r>
        <w:rPr>
          <w:spacing w:val="-2"/>
          <w:sz w:val="18"/>
        </w:rPr>
        <w:t> </w:t>
      </w:r>
      <w:r>
        <w:rPr>
          <w:sz w:val="18"/>
        </w:rPr>
        <w:t>is the average price of occupied rooms per day, includes the impact of complimentary rooms. Complimentary room rates are determined based on standalone selling price. Because the mix of rooms provided on a complimentary basis, particularly to casino customers, includes a disproportionate suite</w:t>
      </w:r>
      <w:r>
        <w:rPr>
          <w:spacing w:val="-2"/>
          <w:sz w:val="18"/>
        </w:rPr>
        <w:t> </w:t>
      </w:r>
      <w:r>
        <w:rPr>
          <w:sz w:val="18"/>
        </w:rPr>
        <w:t>component,</w:t>
      </w:r>
      <w:r>
        <w:rPr>
          <w:spacing w:val="-2"/>
          <w:sz w:val="18"/>
        </w:rPr>
        <w:t> </w:t>
      </w:r>
      <w:r>
        <w:rPr>
          <w:sz w:val="18"/>
        </w:rPr>
        <w:t>the</w:t>
      </w:r>
      <w:r>
        <w:rPr>
          <w:spacing w:val="-2"/>
          <w:sz w:val="18"/>
        </w:rPr>
        <w:t> </w:t>
      </w:r>
      <w:r>
        <w:rPr>
          <w:sz w:val="18"/>
        </w:rPr>
        <w:t>composite</w:t>
      </w:r>
      <w:r>
        <w:rPr>
          <w:spacing w:val="-11"/>
          <w:sz w:val="18"/>
        </w:rPr>
        <w:t> </w:t>
      </w:r>
      <w:r>
        <w:rPr>
          <w:sz w:val="18"/>
        </w:rPr>
        <w:t>ADR</w:t>
      </w:r>
      <w:r>
        <w:rPr>
          <w:spacing w:val="-2"/>
          <w:sz w:val="18"/>
        </w:rPr>
        <w:t> </w:t>
      </w:r>
      <w:r>
        <w:rPr>
          <w:sz w:val="18"/>
        </w:rPr>
        <w:t>including</w:t>
      </w:r>
      <w:r>
        <w:rPr>
          <w:spacing w:val="-2"/>
          <w:sz w:val="18"/>
        </w:rPr>
        <w:t> </w:t>
      </w:r>
      <w:r>
        <w:rPr>
          <w:sz w:val="18"/>
        </w:rPr>
        <w:t>complimentary</w:t>
      </w:r>
      <w:r>
        <w:rPr>
          <w:spacing w:val="-2"/>
          <w:sz w:val="18"/>
        </w:rPr>
        <w:t> </w:t>
      </w:r>
      <w:r>
        <w:rPr>
          <w:sz w:val="18"/>
        </w:rPr>
        <w:t>rooms</w:t>
      </w:r>
      <w:r>
        <w:rPr>
          <w:spacing w:val="-2"/>
          <w:sz w:val="18"/>
        </w:rPr>
        <w:t> </w:t>
      </w:r>
      <w:r>
        <w:rPr>
          <w:sz w:val="18"/>
        </w:rPr>
        <w:t>is</w:t>
      </w:r>
      <w:r>
        <w:rPr>
          <w:spacing w:val="-2"/>
          <w:sz w:val="18"/>
        </w:rPr>
        <w:t> </w:t>
      </w:r>
      <w:r>
        <w:rPr>
          <w:sz w:val="18"/>
        </w:rPr>
        <w:t>slightly</w:t>
      </w:r>
      <w:r>
        <w:rPr>
          <w:spacing w:val="-2"/>
          <w:sz w:val="18"/>
        </w:rPr>
        <w:t> </w:t>
      </w:r>
      <w:r>
        <w:rPr>
          <w:sz w:val="18"/>
        </w:rPr>
        <w:t>higher</w:t>
      </w:r>
      <w:r>
        <w:rPr>
          <w:spacing w:val="-2"/>
          <w:sz w:val="18"/>
        </w:rPr>
        <w:t> </w:t>
      </w:r>
      <w:r>
        <w:rPr>
          <w:sz w:val="18"/>
        </w:rPr>
        <w:t>than</w:t>
      </w:r>
      <w:r>
        <w:rPr>
          <w:spacing w:val="-2"/>
          <w:sz w:val="18"/>
        </w:rPr>
        <w:t> </w:t>
      </w:r>
      <w:r>
        <w:rPr>
          <w:sz w:val="18"/>
        </w:rPr>
        <w:t>the</w:t>
      </w:r>
      <w:r>
        <w:rPr>
          <w:spacing w:val="-11"/>
          <w:sz w:val="18"/>
        </w:rPr>
        <w:t> </w:t>
      </w:r>
      <w:r>
        <w:rPr>
          <w:sz w:val="18"/>
        </w:rPr>
        <w:t>ADR</w:t>
      </w:r>
      <w:r>
        <w:rPr>
          <w:spacing w:val="-2"/>
          <w:sz w:val="18"/>
        </w:rPr>
        <w:t> </w:t>
      </w:r>
      <w:r>
        <w:rPr>
          <w:sz w:val="18"/>
        </w:rPr>
        <w:t>for</w:t>
      </w:r>
      <w:r>
        <w:rPr>
          <w:spacing w:val="-2"/>
          <w:sz w:val="18"/>
        </w:rPr>
        <w:t> </w:t>
      </w:r>
      <w:r>
        <w:rPr>
          <w:sz w:val="18"/>
        </w:rPr>
        <w:t>cash</w:t>
      </w:r>
      <w:r>
        <w:rPr>
          <w:spacing w:val="-2"/>
          <w:sz w:val="18"/>
        </w:rPr>
        <w:t> </w:t>
      </w:r>
      <w:r>
        <w:rPr>
          <w:sz w:val="18"/>
        </w:rPr>
        <w:t>rooms,</w:t>
      </w:r>
      <w:r>
        <w:rPr>
          <w:spacing w:val="-2"/>
          <w:sz w:val="18"/>
        </w:rPr>
        <w:t> </w:t>
      </w:r>
      <w:r>
        <w:rPr>
          <w:sz w:val="18"/>
        </w:rPr>
        <w:t>reflecting</w:t>
      </w:r>
      <w:r>
        <w:rPr>
          <w:spacing w:val="-2"/>
          <w:sz w:val="18"/>
        </w:rPr>
        <w:t> </w:t>
      </w:r>
      <w:r>
        <w:rPr>
          <w:sz w:val="18"/>
        </w:rPr>
        <w:t>the</w:t>
      </w:r>
      <w:r>
        <w:rPr>
          <w:spacing w:val="-2"/>
          <w:sz w:val="18"/>
        </w:rPr>
        <w:t> </w:t>
      </w:r>
      <w:r>
        <w:rPr>
          <w:sz w:val="18"/>
        </w:rPr>
        <w:t>higher</w:t>
      </w:r>
      <w:r>
        <w:rPr>
          <w:spacing w:val="-2"/>
          <w:sz w:val="18"/>
        </w:rPr>
        <w:t> </w:t>
      </w:r>
      <w:r>
        <w:rPr>
          <w:sz w:val="18"/>
        </w:rPr>
        <w:t>retail</w:t>
      </w:r>
      <w:r>
        <w:rPr>
          <w:spacing w:val="-2"/>
          <w:sz w:val="18"/>
        </w:rPr>
        <w:t> </w:t>
      </w:r>
      <w:r>
        <w:rPr>
          <w:sz w:val="18"/>
        </w:rPr>
        <w:t>value of suites. Rooms that were out of service during the years ended December 31, 2021 and 2020 as a result of property closures due to the pandemic were excluded from the available room count when calculating hotel occupancy and REVPAR.</w:t>
      </w:r>
    </w:p>
    <w:p>
      <w:pPr>
        <w:pStyle w:val="BodyText"/>
        <w:spacing w:before="4"/>
      </w:pPr>
    </w:p>
    <w:p>
      <w:pPr>
        <w:pStyle w:val="BodyText"/>
        <w:ind w:left="644"/>
      </w:pPr>
      <w:r>
        <w:rPr/>
        <w:t>Additional</w:t>
      </w:r>
      <w:r>
        <w:rPr>
          <w:spacing w:val="-1"/>
        </w:rPr>
        <w:t> </w:t>
      </w:r>
      <w:r>
        <w:rPr/>
        <w:t>key</w:t>
      </w:r>
      <w:r>
        <w:rPr>
          <w:spacing w:val="-1"/>
        </w:rPr>
        <w:t> </w:t>
      </w:r>
      <w:r>
        <w:rPr/>
        <w:t>performance</w:t>
      </w:r>
      <w:r>
        <w:rPr>
          <w:spacing w:val="-1"/>
        </w:rPr>
        <w:t> </w:t>
      </w:r>
      <w:r>
        <w:rPr/>
        <w:t>indicators</w:t>
      </w:r>
      <w:r>
        <w:rPr>
          <w:spacing w:val="-1"/>
        </w:rPr>
        <w:t> </w:t>
      </w:r>
      <w:r>
        <w:rPr/>
        <w:t>at</w:t>
      </w:r>
      <w:r>
        <w:rPr>
          <w:spacing w:val="-1"/>
        </w:rPr>
        <w:t> </w:t>
      </w:r>
      <w:r>
        <w:rPr/>
        <w:t>MGM</w:t>
      </w:r>
      <w:r>
        <w:rPr>
          <w:spacing w:val="-1"/>
        </w:rPr>
        <w:t> </w:t>
      </w:r>
      <w:r>
        <w:rPr/>
        <w:t>China</w:t>
      </w:r>
      <w:r>
        <w:rPr>
          <w:spacing w:val="-1"/>
        </w:rPr>
        <w:t> </w:t>
      </w:r>
      <w:r>
        <w:rPr>
          <w:spacing w:val="-4"/>
        </w:rPr>
        <w:t>are:</w:t>
      </w:r>
    </w:p>
    <w:p>
      <w:pPr>
        <w:pStyle w:val="BodyText"/>
        <w:spacing w:before="5"/>
      </w:pPr>
    </w:p>
    <w:p>
      <w:pPr>
        <w:pStyle w:val="ListParagraph"/>
        <w:numPr>
          <w:ilvl w:val="0"/>
          <w:numId w:val="6"/>
        </w:numPr>
        <w:tabs>
          <w:tab w:pos="792" w:val="left" w:leader="none"/>
        </w:tabs>
        <w:spacing w:line="240" w:lineRule="auto" w:before="0" w:after="0"/>
        <w:ind w:left="792" w:right="118" w:hanging="324"/>
        <w:jc w:val="both"/>
        <w:rPr>
          <w:sz w:val="18"/>
        </w:rPr>
      </w:pPr>
      <w:r>
        <w:rPr>
          <w:sz w:val="18"/>
        </w:rPr>
        <w:t>Gaming revenue indicators: MGM China utilizes “turnover,” which is the sum of nonnegotiable chip wagers won by MGM China calculated as nonnegotiable chips purchased plus nonnegotiable chips exchanged less nonnegotiable chips returned. Turnover provides a basis for measuring </w:t>
      </w:r>
      <w:r>
        <w:rPr>
          <w:sz w:val="18"/>
        </w:rPr>
        <w:t>VIP casino</w:t>
      </w:r>
      <w:r>
        <w:rPr>
          <w:spacing w:val="-2"/>
          <w:sz w:val="18"/>
        </w:rPr>
        <w:t> </w:t>
      </w:r>
      <w:r>
        <w:rPr>
          <w:sz w:val="18"/>
        </w:rPr>
        <w:t>win</w:t>
      </w:r>
      <w:r>
        <w:rPr>
          <w:spacing w:val="-2"/>
          <w:sz w:val="18"/>
        </w:rPr>
        <w:t> </w:t>
      </w:r>
      <w:r>
        <w:rPr>
          <w:sz w:val="18"/>
        </w:rPr>
        <w:t>percentage.</w:t>
      </w:r>
      <w:r>
        <w:rPr>
          <w:spacing w:val="-5"/>
          <w:sz w:val="18"/>
        </w:rPr>
        <w:t> </w:t>
      </w:r>
      <w:r>
        <w:rPr>
          <w:sz w:val="18"/>
        </w:rPr>
        <w:t>Win</w:t>
      </w:r>
      <w:r>
        <w:rPr>
          <w:spacing w:val="-2"/>
          <w:sz w:val="18"/>
        </w:rPr>
        <w:t> </w:t>
      </w:r>
      <w:r>
        <w:rPr>
          <w:sz w:val="18"/>
        </w:rPr>
        <w:t>for</w:t>
      </w:r>
      <w:r>
        <w:rPr>
          <w:spacing w:val="-5"/>
          <w:sz w:val="18"/>
        </w:rPr>
        <w:t> </w:t>
      </w:r>
      <w:r>
        <w:rPr>
          <w:sz w:val="18"/>
        </w:rPr>
        <w:t>VIP</w:t>
      </w:r>
      <w:r>
        <w:rPr>
          <w:spacing w:val="-8"/>
          <w:sz w:val="18"/>
        </w:rPr>
        <w:t> </w:t>
      </w:r>
      <w:r>
        <w:rPr>
          <w:sz w:val="18"/>
        </w:rPr>
        <w:t>gaming</w:t>
      </w:r>
      <w:r>
        <w:rPr>
          <w:spacing w:val="-2"/>
          <w:sz w:val="18"/>
        </w:rPr>
        <w:t> </w:t>
      </w:r>
      <w:r>
        <w:rPr>
          <w:sz w:val="18"/>
        </w:rPr>
        <w:t>operations</w:t>
      </w:r>
      <w:r>
        <w:rPr>
          <w:spacing w:val="-2"/>
          <w:sz w:val="18"/>
        </w:rPr>
        <w:t> </w:t>
      </w:r>
      <w:r>
        <w:rPr>
          <w:sz w:val="18"/>
        </w:rPr>
        <w:t>at</w:t>
      </w:r>
      <w:r>
        <w:rPr>
          <w:spacing w:val="-2"/>
          <w:sz w:val="18"/>
        </w:rPr>
        <w:t> </w:t>
      </w:r>
      <w:r>
        <w:rPr>
          <w:sz w:val="18"/>
        </w:rPr>
        <w:t>MGM</w:t>
      </w:r>
      <w:r>
        <w:rPr>
          <w:spacing w:val="-2"/>
          <w:sz w:val="18"/>
        </w:rPr>
        <w:t> </w:t>
      </w:r>
      <w:r>
        <w:rPr>
          <w:sz w:val="18"/>
        </w:rPr>
        <w:t>China</w:t>
      </w:r>
      <w:r>
        <w:rPr>
          <w:spacing w:val="-2"/>
          <w:sz w:val="18"/>
        </w:rPr>
        <w:t> </w:t>
      </w:r>
      <w:r>
        <w:rPr>
          <w:sz w:val="18"/>
        </w:rPr>
        <w:t>is</w:t>
      </w:r>
      <w:r>
        <w:rPr>
          <w:spacing w:val="-2"/>
          <w:sz w:val="18"/>
        </w:rPr>
        <w:t> </w:t>
      </w:r>
      <w:r>
        <w:rPr>
          <w:sz w:val="18"/>
        </w:rPr>
        <w:t>typically</w:t>
      </w:r>
      <w:r>
        <w:rPr>
          <w:spacing w:val="-2"/>
          <w:sz w:val="18"/>
        </w:rPr>
        <w:t> </w:t>
      </w:r>
      <w:r>
        <w:rPr>
          <w:sz w:val="18"/>
        </w:rPr>
        <w:t>in</w:t>
      </w:r>
      <w:r>
        <w:rPr>
          <w:spacing w:val="-2"/>
          <w:sz w:val="18"/>
        </w:rPr>
        <w:t> </w:t>
      </w:r>
      <w:r>
        <w:rPr>
          <w:sz w:val="18"/>
        </w:rPr>
        <w:t>the</w:t>
      </w:r>
      <w:r>
        <w:rPr>
          <w:spacing w:val="-2"/>
          <w:sz w:val="18"/>
        </w:rPr>
        <w:t> </w:t>
      </w:r>
      <w:r>
        <w:rPr>
          <w:sz w:val="18"/>
        </w:rPr>
        <w:t>range</w:t>
      </w:r>
      <w:r>
        <w:rPr>
          <w:spacing w:val="-2"/>
          <w:sz w:val="18"/>
        </w:rPr>
        <w:t> </w:t>
      </w:r>
      <w:r>
        <w:rPr>
          <w:sz w:val="18"/>
        </w:rPr>
        <w:t>of</w:t>
      </w:r>
      <w:r>
        <w:rPr>
          <w:spacing w:val="-2"/>
          <w:sz w:val="18"/>
        </w:rPr>
        <w:t> </w:t>
      </w:r>
      <w:r>
        <w:rPr>
          <w:sz w:val="18"/>
        </w:rPr>
        <w:t>2.6%</w:t>
      </w:r>
      <w:r>
        <w:rPr>
          <w:spacing w:val="-2"/>
          <w:sz w:val="18"/>
        </w:rPr>
        <w:t> </w:t>
      </w:r>
      <w:r>
        <w:rPr>
          <w:sz w:val="18"/>
        </w:rPr>
        <w:t>to</w:t>
      </w:r>
      <w:r>
        <w:rPr>
          <w:spacing w:val="-2"/>
          <w:sz w:val="18"/>
        </w:rPr>
        <w:t> </w:t>
      </w:r>
      <w:r>
        <w:rPr>
          <w:sz w:val="18"/>
        </w:rPr>
        <w:t>3.3%</w:t>
      </w:r>
      <w:r>
        <w:rPr>
          <w:spacing w:val="-2"/>
          <w:sz w:val="18"/>
        </w:rPr>
        <w:t> </w:t>
      </w:r>
      <w:r>
        <w:rPr>
          <w:sz w:val="18"/>
        </w:rPr>
        <w:t>of</w:t>
      </w:r>
      <w:r>
        <w:rPr>
          <w:spacing w:val="-2"/>
          <w:sz w:val="18"/>
        </w:rPr>
        <w:t> </w:t>
      </w:r>
      <w:r>
        <w:rPr>
          <w:sz w:val="18"/>
        </w:rPr>
        <w:t>turnover;</w:t>
      </w:r>
      <w:r>
        <w:rPr>
          <w:spacing w:val="-2"/>
          <w:sz w:val="18"/>
        </w:rPr>
        <w:t> </w:t>
      </w:r>
      <w:r>
        <w:rPr>
          <w:sz w:val="18"/>
        </w:rPr>
        <w:t>however,</w:t>
      </w:r>
      <w:r>
        <w:rPr>
          <w:spacing w:val="-2"/>
          <w:sz w:val="18"/>
        </w:rPr>
        <w:t> </w:t>
      </w:r>
      <w:r>
        <w:rPr>
          <w:sz w:val="18"/>
        </w:rPr>
        <w:t>reduced</w:t>
      </w:r>
      <w:r>
        <w:rPr>
          <w:spacing w:val="-2"/>
          <w:sz w:val="18"/>
        </w:rPr>
        <w:t> </w:t>
      </w:r>
      <w:r>
        <w:rPr>
          <w:sz w:val="18"/>
        </w:rPr>
        <w:t>gaming volumes as a result of the pandemic could cause volatility in MGM China’s hold percentages.</w:t>
      </w:r>
    </w:p>
    <w:p>
      <w:pPr>
        <w:pStyle w:val="BodyText"/>
        <w:spacing w:before="18"/>
      </w:pPr>
    </w:p>
    <w:p>
      <w:pPr>
        <w:pStyle w:val="Heading5"/>
        <w:jc w:val="left"/>
      </w:pPr>
      <w:r>
        <w:rPr/>
        <w:t>Results</w:t>
      </w:r>
      <w:r>
        <w:rPr>
          <w:spacing w:val="-1"/>
        </w:rPr>
        <w:t> </w:t>
      </w:r>
      <w:r>
        <w:rPr/>
        <w:t>of</w:t>
      </w:r>
      <w:r>
        <w:rPr>
          <w:spacing w:val="-1"/>
        </w:rPr>
        <w:t> </w:t>
      </w:r>
      <w:r>
        <w:rPr>
          <w:spacing w:val="-2"/>
        </w:rPr>
        <w:t>Operations</w:t>
      </w:r>
    </w:p>
    <w:p>
      <w:pPr>
        <w:pStyle w:val="BodyText"/>
        <w:spacing w:before="4"/>
        <w:rPr>
          <w:b/>
        </w:rPr>
      </w:pPr>
    </w:p>
    <w:p>
      <w:pPr>
        <w:spacing w:before="0"/>
        <w:ind w:left="394" w:right="0" w:firstLine="0"/>
        <w:jc w:val="left"/>
        <w:rPr>
          <w:i/>
          <w:sz w:val="18"/>
        </w:rPr>
      </w:pPr>
      <w:r>
        <w:rPr>
          <w:i/>
          <w:sz w:val="18"/>
        </w:rPr>
        <w:t>Summary</w:t>
      </w:r>
      <w:r>
        <w:rPr>
          <w:i/>
          <w:spacing w:val="-1"/>
          <w:sz w:val="18"/>
        </w:rPr>
        <w:t> </w:t>
      </w:r>
      <w:r>
        <w:rPr>
          <w:i/>
          <w:sz w:val="18"/>
        </w:rPr>
        <w:t>Operating</w:t>
      </w:r>
      <w:r>
        <w:rPr>
          <w:i/>
          <w:spacing w:val="-1"/>
          <w:sz w:val="18"/>
        </w:rPr>
        <w:t> </w:t>
      </w:r>
      <w:r>
        <w:rPr>
          <w:i/>
          <w:spacing w:val="-2"/>
          <w:sz w:val="18"/>
        </w:rPr>
        <w:t>Results</w:t>
      </w:r>
    </w:p>
    <w:p>
      <w:pPr>
        <w:pStyle w:val="BodyText"/>
        <w:spacing w:before="5"/>
        <w:rPr>
          <w:i/>
        </w:rPr>
      </w:pPr>
    </w:p>
    <w:p>
      <w:pPr>
        <w:pStyle w:val="BodyText"/>
        <w:ind w:right="6591"/>
        <w:jc w:val="center"/>
      </w:pPr>
      <w:r>
        <w:rPr/>
        <w:t>The</w:t>
      </w:r>
      <w:r>
        <w:rPr>
          <w:spacing w:val="-1"/>
        </w:rPr>
        <w:t> </w:t>
      </w:r>
      <w:r>
        <w:rPr/>
        <w:t>following</w:t>
      </w:r>
      <w:r>
        <w:rPr>
          <w:spacing w:val="-1"/>
        </w:rPr>
        <w:t> </w:t>
      </w:r>
      <w:r>
        <w:rPr/>
        <w:t>table</w:t>
      </w:r>
      <w:r>
        <w:rPr>
          <w:spacing w:val="-1"/>
        </w:rPr>
        <w:t> </w:t>
      </w:r>
      <w:r>
        <w:rPr/>
        <w:t>summarizes</w:t>
      </w:r>
      <w:r>
        <w:rPr>
          <w:spacing w:val="-1"/>
        </w:rPr>
        <w:t> </w:t>
      </w:r>
      <w:r>
        <w:rPr/>
        <w:t>our</w:t>
      </w:r>
      <w:r>
        <w:rPr>
          <w:spacing w:val="-1"/>
        </w:rPr>
        <w:t> </w:t>
      </w:r>
      <w:r>
        <w:rPr/>
        <w:t>operating</w:t>
      </w:r>
      <w:r>
        <w:rPr>
          <w:spacing w:val="-1"/>
        </w:rPr>
        <w:t> </w:t>
      </w:r>
      <w:r>
        <w:rPr>
          <w:spacing w:val="-2"/>
        </w:rPr>
        <w:t>results:</w:t>
      </w:r>
    </w:p>
    <w:p>
      <w:pPr>
        <w:pStyle w:val="Heading5"/>
        <w:spacing w:before="63"/>
        <w:ind w:left="6741"/>
      </w:pPr>
      <w:r>
        <w:rPr/>
        <mc:AlternateContent>
          <mc:Choice Requires="wps">
            <w:drawing>
              <wp:anchor distT="0" distB="0" distL="0" distR="0" allowOverlap="1" layoutInCell="1" locked="0" behindDoc="1" simplePos="0" relativeHeight="487614976">
                <wp:simplePos x="0" y="0"/>
                <wp:positionH relativeFrom="page">
                  <wp:posOffset>4500550</wp:posOffset>
                </wp:positionH>
                <wp:positionV relativeFrom="paragraph">
                  <wp:posOffset>189750</wp:posOffset>
                </wp:positionV>
                <wp:extent cx="3043555" cy="889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4.941022pt;width:239.625011pt;height:.675pt;mso-position-horizontal-relative:page;mso-position-vertical-relative:paragraph;z-index:-15701504;mso-wrap-distance-left:0;mso-wrap-distance-right:0" id="docshape170"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80" w:val="left" w:leader="none"/>
          <w:tab w:pos="10018" w:val="left" w:leader="none"/>
        </w:tabs>
        <w:spacing w:before="21" w:after="29"/>
        <w:ind w:left="6741"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173" name="Group 173"/>
                <wp:cNvGraphicFramePr>
                  <a:graphicFrameLocks/>
                </wp:cNvGraphicFramePr>
                <a:graphic>
                  <a:graphicData uri="http://schemas.microsoft.com/office/word/2010/wordprocessingGroup">
                    <wpg:wgp>
                      <wpg:cNvPr id="173" name="Group 173"/>
                      <wpg:cNvGrpSpPr/>
                      <wpg:grpSpPr>
                        <a:xfrm>
                          <a:off x="0" y="0"/>
                          <a:ext cx="3043555" cy="8890"/>
                          <a:chExt cx="3043555" cy="8890"/>
                        </a:xfrm>
                      </wpg:grpSpPr>
                      <wps:wsp>
                        <wps:cNvPr id="174" name="Graphic 174"/>
                        <wps:cNvSpPr/>
                        <wps:spPr>
                          <a:xfrm>
                            <a:off x="-12" y="-3"/>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171" coordorigin="0,0" coordsize="4793,14">
                <v:rect style="position:absolute;left:-1;top:0;width:4793;height:14" id="docshape172" filled="true" fillcolor="#000000" stroked="false">
                  <v:fill type="solid"/>
                </v:rect>
              </v:group>
            </w:pict>
          </mc:Fallback>
        </mc:AlternateContent>
      </w:r>
      <w:r>
        <w:rPr>
          <w:sz w:val="2"/>
        </w:rPr>
      </w:r>
    </w:p>
    <w:p>
      <w:pPr>
        <w:spacing w:before="11" w:after="38"/>
        <w:ind w:left="6741"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3"/>
        <w:gridCol w:w="2708"/>
        <w:gridCol w:w="1638"/>
        <w:gridCol w:w="1608"/>
      </w:tblGrid>
      <w:tr>
        <w:trPr>
          <w:trHeight w:val="256" w:hRule="atLeast"/>
        </w:trPr>
        <w:tc>
          <w:tcPr>
            <w:tcW w:w="5563" w:type="dxa"/>
            <w:shd w:val="clear" w:color="auto" w:fill="CCEDFF"/>
          </w:tcPr>
          <w:p>
            <w:pPr>
              <w:pStyle w:val="TableParagraph"/>
              <w:spacing w:line="202" w:lineRule="exact" w:before="34"/>
              <w:ind w:left="17"/>
              <w:rPr>
                <w:sz w:val="18"/>
              </w:rPr>
            </w:pPr>
            <w:r>
              <w:rPr>
                <w:sz w:val="18"/>
              </w:rPr>
              <w:t>Net</w:t>
            </w:r>
            <w:r>
              <w:rPr>
                <w:spacing w:val="-1"/>
                <w:sz w:val="18"/>
              </w:rPr>
              <w:t> </w:t>
            </w:r>
            <w:r>
              <w:rPr>
                <w:spacing w:val="-2"/>
                <w:sz w:val="18"/>
              </w:rPr>
              <w:t>revenues</w:t>
            </w:r>
          </w:p>
        </w:tc>
        <w:tc>
          <w:tcPr>
            <w:tcW w:w="2708" w:type="dxa"/>
            <w:shd w:val="clear" w:color="auto" w:fill="CCEDFF"/>
          </w:tcPr>
          <w:p>
            <w:pPr>
              <w:pStyle w:val="TableParagraph"/>
              <w:tabs>
                <w:tab w:pos="621" w:val="left" w:leader="none"/>
              </w:tabs>
              <w:spacing w:line="202" w:lineRule="exact" w:before="34"/>
              <w:ind w:right="101"/>
              <w:jc w:val="right"/>
              <w:rPr>
                <w:sz w:val="18"/>
              </w:rPr>
            </w:pPr>
            <w:r>
              <w:rPr>
                <w:spacing w:val="-10"/>
                <w:sz w:val="18"/>
              </w:rPr>
              <w:t>$</w:t>
            </w:r>
            <w:r>
              <w:rPr>
                <w:sz w:val="18"/>
              </w:rPr>
              <w:tab/>
            </w:r>
            <w:r>
              <w:rPr>
                <w:spacing w:val="-2"/>
                <w:sz w:val="18"/>
              </w:rPr>
              <w:t>13,127,485</w:t>
            </w:r>
          </w:p>
        </w:tc>
        <w:tc>
          <w:tcPr>
            <w:tcW w:w="1638" w:type="dxa"/>
            <w:shd w:val="clear" w:color="auto" w:fill="CCEDFF"/>
          </w:tcPr>
          <w:p>
            <w:pPr>
              <w:pStyle w:val="TableParagraph"/>
              <w:tabs>
                <w:tab w:pos="710" w:val="left" w:leader="none"/>
              </w:tabs>
              <w:spacing w:line="202" w:lineRule="exact" w:before="34"/>
              <w:ind w:right="102"/>
              <w:jc w:val="right"/>
              <w:rPr>
                <w:sz w:val="18"/>
              </w:rPr>
            </w:pPr>
            <w:r>
              <w:rPr>
                <w:spacing w:val="-10"/>
                <w:sz w:val="18"/>
              </w:rPr>
              <w:t>$</w:t>
            </w:r>
            <w:r>
              <w:rPr>
                <w:sz w:val="18"/>
              </w:rPr>
              <w:tab/>
            </w:r>
            <w:r>
              <w:rPr>
                <w:spacing w:val="-2"/>
                <w:sz w:val="18"/>
              </w:rPr>
              <w:t>9,680,140</w:t>
            </w:r>
          </w:p>
        </w:tc>
        <w:tc>
          <w:tcPr>
            <w:tcW w:w="1608" w:type="dxa"/>
            <w:shd w:val="clear" w:color="auto" w:fill="CFF0FB"/>
          </w:tcPr>
          <w:p>
            <w:pPr>
              <w:pStyle w:val="TableParagraph"/>
              <w:tabs>
                <w:tab w:pos="710" w:val="left" w:leader="none"/>
              </w:tabs>
              <w:ind w:right="72"/>
              <w:jc w:val="right"/>
              <w:rPr>
                <w:sz w:val="18"/>
              </w:rPr>
            </w:pPr>
            <w:r>
              <w:rPr>
                <w:spacing w:val="-10"/>
                <w:sz w:val="18"/>
              </w:rPr>
              <w:t>$</w:t>
            </w:r>
            <w:r>
              <w:rPr>
                <w:sz w:val="18"/>
              </w:rPr>
              <w:tab/>
            </w:r>
            <w:r>
              <w:rPr>
                <w:spacing w:val="-2"/>
                <w:sz w:val="18"/>
              </w:rPr>
              <w:t>5,162,082</w:t>
            </w:r>
          </w:p>
        </w:tc>
      </w:tr>
      <w:tr>
        <w:trPr>
          <w:trHeight w:val="269" w:hRule="atLeast"/>
        </w:trPr>
        <w:tc>
          <w:tcPr>
            <w:tcW w:w="5563" w:type="dxa"/>
          </w:tcPr>
          <w:p>
            <w:pPr>
              <w:pStyle w:val="TableParagraph"/>
              <w:spacing w:before="34"/>
              <w:ind w:left="17"/>
              <w:rPr>
                <w:sz w:val="18"/>
              </w:rPr>
            </w:pPr>
            <w:r>
              <w:rPr>
                <w:sz w:val="18"/>
              </w:rPr>
              <w:t>Operating</w:t>
            </w:r>
            <w:r>
              <w:rPr>
                <w:spacing w:val="-1"/>
                <w:sz w:val="18"/>
              </w:rPr>
              <w:t> </w:t>
            </w:r>
            <w:r>
              <w:rPr>
                <w:sz w:val="18"/>
              </w:rPr>
              <w:t>income</w:t>
            </w:r>
            <w:r>
              <w:rPr>
                <w:spacing w:val="-1"/>
                <w:sz w:val="18"/>
              </w:rPr>
              <w:t> </w:t>
            </w:r>
            <w:r>
              <w:rPr>
                <w:spacing w:val="-2"/>
                <w:sz w:val="18"/>
              </w:rPr>
              <w:t>(loss)</w:t>
            </w:r>
          </w:p>
        </w:tc>
        <w:tc>
          <w:tcPr>
            <w:tcW w:w="2708" w:type="dxa"/>
          </w:tcPr>
          <w:p>
            <w:pPr>
              <w:pStyle w:val="TableParagraph"/>
              <w:spacing w:before="34"/>
              <w:ind w:right="101"/>
              <w:jc w:val="right"/>
              <w:rPr>
                <w:sz w:val="18"/>
              </w:rPr>
            </w:pPr>
            <w:r>
              <w:rPr>
                <w:spacing w:val="-2"/>
                <w:sz w:val="18"/>
              </w:rPr>
              <w:t>1,439,372</w:t>
            </w:r>
          </w:p>
        </w:tc>
        <w:tc>
          <w:tcPr>
            <w:tcW w:w="1638" w:type="dxa"/>
          </w:tcPr>
          <w:p>
            <w:pPr>
              <w:pStyle w:val="TableParagraph"/>
              <w:spacing w:before="34"/>
              <w:ind w:right="102"/>
              <w:jc w:val="right"/>
              <w:rPr>
                <w:sz w:val="18"/>
              </w:rPr>
            </w:pPr>
            <w:r>
              <w:rPr>
                <w:spacing w:val="-2"/>
                <w:sz w:val="18"/>
              </w:rPr>
              <w:t>2,278,699</w:t>
            </w:r>
          </w:p>
        </w:tc>
        <w:tc>
          <w:tcPr>
            <w:tcW w:w="1608" w:type="dxa"/>
          </w:tcPr>
          <w:p>
            <w:pPr>
              <w:pStyle w:val="TableParagraph"/>
              <w:ind w:right="27"/>
              <w:jc w:val="right"/>
              <w:rPr>
                <w:sz w:val="18"/>
              </w:rPr>
            </w:pPr>
            <w:r>
              <w:rPr>
                <w:spacing w:val="-2"/>
                <w:sz w:val="18"/>
              </w:rPr>
              <w:t>(642,434)</w:t>
            </w:r>
          </w:p>
        </w:tc>
      </w:tr>
      <w:tr>
        <w:trPr>
          <w:trHeight w:val="256" w:hRule="atLeast"/>
        </w:trPr>
        <w:tc>
          <w:tcPr>
            <w:tcW w:w="5563" w:type="dxa"/>
            <w:shd w:val="clear" w:color="auto" w:fill="CCEDFF"/>
          </w:tcPr>
          <w:p>
            <w:pPr>
              <w:pStyle w:val="TableParagraph"/>
              <w:spacing w:line="202" w:lineRule="exact" w:before="34"/>
              <w:ind w:left="17"/>
              <w:rPr>
                <w:sz w:val="18"/>
              </w:rPr>
            </w:pPr>
            <w:r>
              <w:rPr>
                <w:sz w:val="18"/>
              </w:rPr>
              <w:t>Net</w:t>
            </w:r>
            <w:r>
              <w:rPr>
                <w:spacing w:val="-1"/>
                <w:sz w:val="18"/>
              </w:rPr>
              <w:t> </w:t>
            </w:r>
            <w:r>
              <w:rPr>
                <w:sz w:val="18"/>
              </w:rPr>
              <w:t>income</w:t>
            </w:r>
            <w:r>
              <w:rPr>
                <w:spacing w:val="-1"/>
                <w:sz w:val="18"/>
              </w:rPr>
              <w:t> </w:t>
            </w:r>
            <w:r>
              <w:rPr>
                <w:spacing w:val="-2"/>
                <w:sz w:val="18"/>
              </w:rPr>
              <w:t>(loss)</w:t>
            </w:r>
          </w:p>
        </w:tc>
        <w:tc>
          <w:tcPr>
            <w:tcW w:w="2708" w:type="dxa"/>
            <w:shd w:val="clear" w:color="auto" w:fill="CCEDFF"/>
          </w:tcPr>
          <w:p>
            <w:pPr>
              <w:pStyle w:val="TableParagraph"/>
              <w:spacing w:line="202" w:lineRule="exact" w:before="34"/>
              <w:ind w:right="101"/>
              <w:jc w:val="right"/>
              <w:rPr>
                <w:sz w:val="18"/>
              </w:rPr>
            </w:pPr>
            <w:r>
              <w:rPr>
                <w:spacing w:val="-2"/>
                <w:sz w:val="18"/>
              </w:rPr>
              <w:t>206,731</w:t>
            </w:r>
          </w:p>
        </w:tc>
        <w:tc>
          <w:tcPr>
            <w:tcW w:w="1638" w:type="dxa"/>
            <w:shd w:val="clear" w:color="auto" w:fill="CCEDFF"/>
          </w:tcPr>
          <w:p>
            <w:pPr>
              <w:pStyle w:val="TableParagraph"/>
              <w:spacing w:line="202" w:lineRule="exact" w:before="34"/>
              <w:ind w:right="102"/>
              <w:jc w:val="right"/>
              <w:rPr>
                <w:sz w:val="18"/>
              </w:rPr>
            </w:pPr>
            <w:r>
              <w:rPr>
                <w:spacing w:val="-2"/>
                <w:sz w:val="18"/>
              </w:rPr>
              <w:t>1,208,389</w:t>
            </w:r>
          </w:p>
        </w:tc>
        <w:tc>
          <w:tcPr>
            <w:tcW w:w="1608" w:type="dxa"/>
            <w:shd w:val="clear" w:color="auto" w:fill="CFF0FB"/>
          </w:tcPr>
          <w:p>
            <w:pPr>
              <w:pStyle w:val="TableParagraph"/>
              <w:ind w:right="27"/>
              <w:jc w:val="right"/>
              <w:rPr>
                <w:sz w:val="18"/>
              </w:rPr>
            </w:pPr>
            <w:r>
              <w:rPr>
                <w:spacing w:val="-2"/>
                <w:sz w:val="18"/>
              </w:rPr>
              <w:t>(1,319,907)</w:t>
            </w:r>
          </w:p>
        </w:tc>
      </w:tr>
      <w:tr>
        <w:trPr>
          <w:trHeight w:val="241" w:hRule="atLeast"/>
        </w:trPr>
        <w:tc>
          <w:tcPr>
            <w:tcW w:w="5563" w:type="dxa"/>
          </w:tcPr>
          <w:p>
            <w:pPr>
              <w:pStyle w:val="TableParagraph"/>
              <w:spacing w:line="187" w:lineRule="exact" w:before="34"/>
              <w:ind w:left="17"/>
              <w:rPr>
                <w:sz w:val="18"/>
              </w:rPr>
            </w:pPr>
            <w:r>
              <w:rPr>
                <w:sz w:val="18"/>
              </w:rPr>
              <w:t>Net</w:t>
            </w:r>
            <w:r>
              <w:rPr>
                <w:spacing w:val="-1"/>
                <w:sz w:val="18"/>
              </w:rPr>
              <w:t> </w:t>
            </w:r>
            <w:r>
              <w:rPr>
                <w:sz w:val="18"/>
              </w:rPr>
              <w:t>income</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tc>
        <w:tc>
          <w:tcPr>
            <w:tcW w:w="2708" w:type="dxa"/>
          </w:tcPr>
          <w:p>
            <w:pPr>
              <w:pStyle w:val="TableParagraph"/>
              <w:spacing w:line="187" w:lineRule="exact" w:before="34"/>
              <w:ind w:right="101"/>
              <w:jc w:val="right"/>
              <w:rPr>
                <w:sz w:val="18"/>
              </w:rPr>
            </w:pPr>
            <w:r>
              <w:rPr>
                <w:spacing w:val="-2"/>
                <w:sz w:val="18"/>
              </w:rPr>
              <w:t>1,473,093</w:t>
            </w:r>
          </w:p>
        </w:tc>
        <w:tc>
          <w:tcPr>
            <w:tcW w:w="1638" w:type="dxa"/>
          </w:tcPr>
          <w:p>
            <w:pPr>
              <w:pStyle w:val="TableParagraph"/>
              <w:spacing w:line="187" w:lineRule="exact" w:before="34"/>
              <w:ind w:right="102"/>
              <w:jc w:val="right"/>
              <w:rPr>
                <w:sz w:val="18"/>
              </w:rPr>
            </w:pPr>
            <w:r>
              <w:rPr>
                <w:spacing w:val="-2"/>
                <w:sz w:val="18"/>
              </w:rPr>
              <w:t>1,254,370</w:t>
            </w:r>
          </w:p>
        </w:tc>
        <w:tc>
          <w:tcPr>
            <w:tcW w:w="1608" w:type="dxa"/>
          </w:tcPr>
          <w:p>
            <w:pPr>
              <w:pStyle w:val="TableParagraph"/>
              <w:spacing w:line="200" w:lineRule="exact"/>
              <w:ind w:right="27"/>
              <w:jc w:val="right"/>
              <w:rPr>
                <w:sz w:val="18"/>
              </w:rPr>
            </w:pPr>
            <w:r>
              <w:rPr>
                <w:spacing w:val="-2"/>
                <w:sz w:val="18"/>
              </w:rPr>
              <w:t>(1,032,724)</w:t>
            </w:r>
          </w:p>
        </w:tc>
      </w:tr>
    </w:tbl>
    <w:p>
      <w:pPr>
        <w:pStyle w:val="BodyText"/>
        <w:spacing w:before="114"/>
        <w:rPr>
          <w:b/>
          <w:i/>
        </w:rPr>
      </w:pPr>
    </w:p>
    <w:p>
      <w:pPr>
        <w:pStyle w:val="BodyText"/>
        <w:spacing w:before="1"/>
        <w:ind w:left="644"/>
      </w:pPr>
      <w:r>
        <w:rPr/>
        <w:t>Certain</w:t>
      </w:r>
      <w:r>
        <w:rPr>
          <w:spacing w:val="-1"/>
        </w:rPr>
        <w:t> </w:t>
      </w:r>
      <w:r>
        <w:rPr/>
        <w:t>of</w:t>
      </w:r>
      <w:r>
        <w:rPr>
          <w:spacing w:val="-1"/>
        </w:rPr>
        <w:t> </w:t>
      </w:r>
      <w:r>
        <w:rPr/>
        <w:t>our</w:t>
      </w:r>
      <w:r>
        <w:rPr>
          <w:spacing w:val="-1"/>
        </w:rPr>
        <w:t> </w:t>
      </w:r>
      <w:r>
        <w:rPr/>
        <w:t>properties</w:t>
      </w:r>
      <w:r>
        <w:rPr>
          <w:spacing w:val="-1"/>
        </w:rPr>
        <w:t> </w:t>
      </w:r>
      <w:r>
        <w:rPr/>
        <w:t>or</w:t>
      </w:r>
      <w:r>
        <w:rPr>
          <w:spacing w:val="-1"/>
        </w:rPr>
        <w:t> </w:t>
      </w:r>
      <w:r>
        <w:rPr/>
        <w:t>portions</w:t>
      </w:r>
      <w:r>
        <w:rPr>
          <w:spacing w:val="-1"/>
        </w:rPr>
        <w:t> </w:t>
      </w:r>
      <w:r>
        <w:rPr/>
        <w:t>thereof</w:t>
      </w:r>
      <w:r>
        <w:rPr>
          <w:spacing w:val="-1"/>
        </w:rPr>
        <w:t> </w:t>
      </w:r>
      <w:r>
        <w:rPr/>
        <w:t>were</w:t>
      </w:r>
      <w:r>
        <w:rPr>
          <w:spacing w:val="-1"/>
        </w:rPr>
        <w:t> </w:t>
      </w:r>
      <w:r>
        <w:rPr/>
        <w:t>temporarily</w:t>
      </w:r>
      <w:r>
        <w:rPr>
          <w:spacing w:val="-1"/>
        </w:rPr>
        <w:t> </w:t>
      </w:r>
      <w:r>
        <w:rPr/>
        <w:t>closed</w:t>
      </w:r>
      <w:r>
        <w:rPr>
          <w:spacing w:val="-1"/>
        </w:rPr>
        <w:t> </w:t>
      </w:r>
      <w:r>
        <w:rPr/>
        <w:t>due</w:t>
      </w:r>
      <w:r>
        <w:rPr>
          <w:spacing w:val="-1"/>
        </w:rPr>
        <w:t> </w:t>
      </w:r>
      <w:r>
        <w:rPr/>
        <w:t>to</w:t>
      </w:r>
      <w:r>
        <w:rPr>
          <w:spacing w:val="-1"/>
        </w:rPr>
        <w:t> </w:t>
      </w:r>
      <w:r>
        <w:rPr/>
        <w:t>COVID-19</w:t>
      </w:r>
      <w:r>
        <w:rPr>
          <w:spacing w:val="-1"/>
        </w:rPr>
        <w:t> </w:t>
      </w:r>
      <w:r>
        <w:rPr/>
        <w:t>during</w:t>
      </w:r>
      <w:r>
        <w:rPr>
          <w:spacing w:val="-1"/>
        </w:rPr>
        <w:t> </w:t>
      </w:r>
      <w:r>
        <w:rPr/>
        <w:t>the</w:t>
      </w:r>
      <w:r>
        <w:rPr>
          <w:spacing w:val="-1"/>
        </w:rPr>
        <w:t> </w:t>
      </w:r>
      <w:r>
        <w:rPr/>
        <w:t>comparative</w:t>
      </w:r>
      <w:r>
        <w:rPr>
          <w:spacing w:val="-1"/>
        </w:rPr>
        <w:t> </w:t>
      </w:r>
      <w:r>
        <w:rPr/>
        <w:t>period</w:t>
      </w:r>
      <w:r>
        <w:rPr>
          <w:spacing w:val="-1"/>
        </w:rPr>
        <w:t> </w:t>
      </w:r>
      <w:r>
        <w:rPr/>
        <w:t>in</w:t>
      </w:r>
      <w:r>
        <w:rPr>
          <w:spacing w:val="-1"/>
        </w:rPr>
        <w:t> </w:t>
      </w:r>
      <w:r>
        <w:rPr/>
        <w:t>2021</w:t>
      </w:r>
      <w:r>
        <w:rPr>
          <w:spacing w:val="-1"/>
        </w:rPr>
        <w:t> </w:t>
      </w:r>
      <w:r>
        <w:rPr/>
        <w:t>as</w:t>
      </w:r>
      <w:r>
        <w:rPr>
          <w:spacing w:val="-1"/>
        </w:rPr>
        <w:t> </w:t>
      </w:r>
      <w:r>
        <w:rPr>
          <w:spacing w:val="-2"/>
        </w:rPr>
        <w:t>follows:</w:t>
      </w:r>
    </w:p>
    <w:p>
      <w:pPr>
        <w:pStyle w:val="BodyText"/>
        <w:spacing w:before="17"/>
      </w:pPr>
    </w:p>
    <w:p>
      <w:pPr>
        <w:pStyle w:val="ListParagraph"/>
        <w:numPr>
          <w:ilvl w:val="0"/>
          <w:numId w:val="7"/>
        </w:numPr>
        <w:tabs>
          <w:tab w:pos="1042" w:val="left" w:leader="none"/>
        </w:tabs>
        <w:spacing w:line="240" w:lineRule="auto" w:before="1" w:after="0"/>
        <w:ind w:left="1042" w:right="0" w:hanging="324"/>
        <w:jc w:val="left"/>
        <w:rPr>
          <w:sz w:val="18"/>
        </w:rPr>
      </w:pPr>
      <w:r>
        <w:rPr>
          <w:sz w:val="18"/>
        </w:rPr>
        <w:t>Park</w:t>
      </w:r>
      <w:r>
        <w:rPr>
          <w:spacing w:val="-1"/>
          <w:sz w:val="18"/>
        </w:rPr>
        <w:t> </w:t>
      </w:r>
      <w:r>
        <w:rPr>
          <w:sz w:val="18"/>
        </w:rPr>
        <w:t>MGM</w:t>
      </w:r>
      <w:r>
        <w:rPr>
          <w:spacing w:val="-1"/>
          <w:sz w:val="18"/>
        </w:rPr>
        <w:t> </w:t>
      </w:r>
      <w:r>
        <w:rPr>
          <w:sz w:val="18"/>
        </w:rPr>
        <w:t>and</w:t>
      </w:r>
      <w:r>
        <w:rPr>
          <w:spacing w:val="-1"/>
          <w:sz w:val="18"/>
        </w:rPr>
        <w:t> </w:t>
      </w:r>
      <w:r>
        <w:rPr>
          <w:sz w:val="18"/>
        </w:rPr>
        <w:t>Mandalay</w:t>
      </w:r>
      <w:r>
        <w:rPr>
          <w:spacing w:val="-1"/>
          <w:sz w:val="18"/>
        </w:rPr>
        <w:t> </w:t>
      </w:r>
      <w:r>
        <w:rPr>
          <w:sz w:val="18"/>
        </w:rPr>
        <w:t>Bay's</w:t>
      </w:r>
      <w:r>
        <w:rPr>
          <w:spacing w:val="-1"/>
          <w:sz w:val="18"/>
        </w:rPr>
        <w:t> </w:t>
      </w:r>
      <w:r>
        <w:rPr>
          <w:sz w:val="18"/>
        </w:rPr>
        <w:t>hotel</w:t>
      </w:r>
      <w:r>
        <w:rPr>
          <w:spacing w:val="-1"/>
          <w:sz w:val="18"/>
        </w:rPr>
        <w:t> </w:t>
      </w:r>
      <w:r>
        <w:rPr>
          <w:sz w:val="18"/>
        </w:rPr>
        <w:t>tower</w:t>
      </w:r>
      <w:r>
        <w:rPr>
          <w:spacing w:val="-1"/>
          <w:sz w:val="18"/>
        </w:rPr>
        <w:t> </w:t>
      </w:r>
      <w:r>
        <w:rPr>
          <w:sz w:val="18"/>
        </w:rPr>
        <w:t>operations</w:t>
      </w:r>
      <w:r>
        <w:rPr>
          <w:spacing w:val="-1"/>
          <w:sz w:val="18"/>
        </w:rPr>
        <w:t> </w:t>
      </w:r>
      <w:r>
        <w:rPr>
          <w:sz w:val="18"/>
        </w:rPr>
        <w:t>were</w:t>
      </w:r>
      <w:r>
        <w:rPr>
          <w:spacing w:val="-1"/>
          <w:sz w:val="18"/>
        </w:rPr>
        <w:t> </w:t>
      </w:r>
      <w:r>
        <w:rPr>
          <w:sz w:val="18"/>
        </w:rPr>
        <w:t>closed</w:t>
      </w:r>
      <w:r>
        <w:rPr>
          <w:spacing w:val="-1"/>
          <w:sz w:val="18"/>
        </w:rPr>
        <w:t> </w:t>
      </w:r>
      <w:r>
        <w:rPr>
          <w:sz w:val="18"/>
        </w:rPr>
        <w:t>midweek</w:t>
      </w:r>
      <w:r>
        <w:rPr>
          <w:spacing w:val="-1"/>
          <w:sz w:val="18"/>
        </w:rPr>
        <w:t> </w:t>
      </w:r>
      <w:r>
        <w:rPr>
          <w:sz w:val="18"/>
        </w:rPr>
        <w:t>and</w:t>
      </w:r>
      <w:r>
        <w:rPr>
          <w:spacing w:val="-1"/>
          <w:sz w:val="18"/>
        </w:rPr>
        <w:t> </w:t>
      </w:r>
      <w:r>
        <w:rPr>
          <w:sz w:val="18"/>
        </w:rPr>
        <w:t>full</w:t>
      </w:r>
      <w:r>
        <w:rPr>
          <w:spacing w:val="-1"/>
          <w:sz w:val="18"/>
        </w:rPr>
        <w:t> </w:t>
      </w:r>
      <w:r>
        <w:rPr>
          <w:sz w:val="18"/>
        </w:rPr>
        <w:t>week</w:t>
      </w:r>
      <w:r>
        <w:rPr>
          <w:spacing w:val="-1"/>
          <w:sz w:val="18"/>
        </w:rPr>
        <w:t> </w:t>
      </w:r>
      <w:r>
        <w:rPr>
          <w:sz w:val="18"/>
        </w:rPr>
        <w:t>hotel</w:t>
      </w:r>
      <w:r>
        <w:rPr>
          <w:spacing w:val="-1"/>
          <w:sz w:val="18"/>
        </w:rPr>
        <w:t> </w:t>
      </w:r>
      <w:r>
        <w:rPr>
          <w:sz w:val="18"/>
        </w:rPr>
        <w:t>operations</w:t>
      </w:r>
      <w:r>
        <w:rPr>
          <w:spacing w:val="-1"/>
          <w:sz w:val="18"/>
        </w:rPr>
        <w:t> </w:t>
      </w:r>
      <w:r>
        <w:rPr>
          <w:sz w:val="18"/>
        </w:rPr>
        <w:t>resumed</w:t>
      </w:r>
      <w:r>
        <w:rPr>
          <w:spacing w:val="-1"/>
          <w:sz w:val="18"/>
        </w:rPr>
        <w:t> </w:t>
      </w:r>
      <w:r>
        <w:rPr>
          <w:sz w:val="18"/>
        </w:rPr>
        <w:t>March</w:t>
      </w:r>
      <w:r>
        <w:rPr>
          <w:spacing w:val="-1"/>
          <w:sz w:val="18"/>
        </w:rPr>
        <w:t> </w:t>
      </w:r>
      <w:r>
        <w:rPr>
          <w:sz w:val="18"/>
        </w:rPr>
        <w:t>3,</w:t>
      </w:r>
      <w:r>
        <w:rPr>
          <w:spacing w:val="-1"/>
          <w:sz w:val="18"/>
        </w:rPr>
        <w:t> </w:t>
      </w:r>
      <w:r>
        <w:rPr>
          <w:spacing w:val="-2"/>
          <w:sz w:val="18"/>
        </w:rPr>
        <w:t>2021.</w:t>
      </w:r>
    </w:p>
    <w:p>
      <w:pPr>
        <w:pStyle w:val="ListParagraph"/>
        <w:numPr>
          <w:ilvl w:val="0"/>
          <w:numId w:val="7"/>
        </w:numPr>
        <w:tabs>
          <w:tab w:pos="1042" w:val="left" w:leader="none"/>
        </w:tabs>
        <w:spacing w:line="249" w:lineRule="auto" w:before="9" w:after="0"/>
        <w:ind w:left="1042" w:right="118" w:hanging="324"/>
        <w:jc w:val="left"/>
        <w:rPr>
          <w:sz w:val="18"/>
        </w:rPr>
      </w:pPr>
      <w:r>
        <w:rPr>
          <w:sz w:val="18"/>
        </w:rPr>
        <w:t>The Mirage's hotel tower operations were closed midweek, with the entire property closed midweek starting January 4, 2021, and re-opened </w:t>
      </w:r>
      <w:r>
        <w:rPr>
          <w:sz w:val="18"/>
        </w:rPr>
        <w:t>on</w:t>
      </w:r>
      <w:r>
        <w:rPr>
          <w:spacing w:val="80"/>
          <w:w w:val="150"/>
          <w:sz w:val="18"/>
        </w:rPr>
        <w:t> </w:t>
      </w:r>
      <w:r>
        <w:rPr>
          <w:sz w:val="18"/>
        </w:rPr>
        <w:t>March 3, 2021.</w:t>
      </w:r>
    </w:p>
    <w:p>
      <w:pPr>
        <w:pStyle w:val="ListParagraph"/>
        <w:numPr>
          <w:ilvl w:val="0"/>
          <w:numId w:val="7"/>
        </w:numPr>
        <w:tabs>
          <w:tab w:pos="1042" w:val="left" w:leader="none"/>
        </w:tabs>
        <w:spacing w:line="249" w:lineRule="auto" w:before="1" w:after="0"/>
        <w:ind w:left="1042" w:right="118" w:hanging="324"/>
        <w:jc w:val="left"/>
        <w:rPr>
          <w:sz w:val="18"/>
        </w:rPr>
      </w:pPr>
      <w:r>
        <w:rPr>
          <w:sz w:val="18"/>
        </w:rPr>
        <w:t>MGM Springfield's hotel was closed and partial hotel operations resumed with midweek closures on March 5, 2021. Full hotel operations </w:t>
      </w:r>
      <w:r>
        <w:rPr>
          <w:sz w:val="18"/>
        </w:rPr>
        <w:t>resumed on December 13, 2021.</w:t>
      </w:r>
    </w:p>
    <w:p>
      <w:pPr>
        <w:pStyle w:val="ListParagraph"/>
        <w:numPr>
          <w:ilvl w:val="0"/>
          <w:numId w:val="7"/>
        </w:numPr>
        <w:tabs>
          <w:tab w:pos="1042" w:val="left" w:leader="none"/>
        </w:tabs>
        <w:spacing w:line="240" w:lineRule="auto" w:before="2" w:after="0"/>
        <w:ind w:left="1042" w:right="0" w:hanging="324"/>
        <w:jc w:val="left"/>
        <w:rPr>
          <w:sz w:val="18"/>
        </w:rPr>
      </w:pPr>
      <w:r>
        <w:rPr>
          <w:sz w:val="18"/>
        </w:rPr>
        <w:t>MGM</w:t>
      </w:r>
      <w:r>
        <w:rPr>
          <w:spacing w:val="-1"/>
          <w:sz w:val="18"/>
        </w:rPr>
        <w:t> </w:t>
      </w:r>
      <w:r>
        <w:rPr>
          <w:sz w:val="18"/>
        </w:rPr>
        <w:t>Grand</w:t>
      </w:r>
      <w:r>
        <w:rPr>
          <w:spacing w:val="-1"/>
          <w:sz w:val="18"/>
        </w:rPr>
        <w:t> </w:t>
      </w:r>
      <w:r>
        <w:rPr>
          <w:sz w:val="18"/>
        </w:rPr>
        <w:t>Detroit's</w:t>
      </w:r>
      <w:r>
        <w:rPr>
          <w:spacing w:val="-1"/>
          <w:sz w:val="18"/>
        </w:rPr>
        <w:t> </w:t>
      </w:r>
      <w:r>
        <w:rPr>
          <w:sz w:val="18"/>
        </w:rPr>
        <w:t>hotel</w:t>
      </w:r>
      <w:r>
        <w:rPr>
          <w:spacing w:val="-1"/>
          <w:sz w:val="18"/>
        </w:rPr>
        <w:t> </w:t>
      </w:r>
      <w:r>
        <w:rPr>
          <w:sz w:val="18"/>
        </w:rPr>
        <w:t>tower</w:t>
      </w:r>
      <w:r>
        <w:rPr>
          <w:spacing w:val="-1"/>
          <w:sz w:val="18"/>
        </w:rPr>
        <w:t> </w:t>
      </w:r>
      <w:r>
        <w:rPr>
          <w:sz w:val="18"/>
        </w:rPr>
        <w:t>operations</w:t>
      </w:r>
      <w:r>
        <w:rPr>
          <w:spacing w:val="-1"/>
          <w:sz w:val="18"/>
        </w:rPr>
        <w:t> </w:t>
      </w:r>
      <w:r>
        <w:rPr>
          <w:sz w:val="18"/>
        </w:rPr>
        <w:t>were</w:t>
      </w:r>
      <w:r>
        <w:rPr>
          <w:spacing w:val="-1"/>
          <w:sz w:val="18"/>
        </w:rPr>
        <w:t> </w:t>
      </w:r>
      <w:r>
        <w:rPr>
          <w:sz w:val="18"/>
        </w:rPr>
        <w:t>closed</w:t>
      </w:r>
      <w:r>
        <w:rPr>
          <w:spacing w:val="-1"/>
          <w:sz w:val="18"/>
        </w:rPr>
        <w:t> </w:t>
      </w:r>
      <w:r>
        <w:rPr>
          <w:sz w:val="18"/>
        </w:rPr>
        <w:t>and</w:t>
      </w:r>
      <w:r>
        <w:rPr>
          <w:spacing w:val="-1"/>
          <w:sz w:val="18"/>
        </w:rPr>
        <w:t> </w:t>
      </w:r>
      <w:r>
        <w:rPr>
          <w:sz w:val="18"/>
        </w:rPr>
        <w:t>resumed</w:t>
      </w:r>
      <w:r>
        <w:rPr>
          <w:spacing w:val="-1"/>
          <w:sz w:val="18"/>
        </w:rPr>
        <w:t> </w:t>
      </w:r>
      <w:r>
        <w:rPr>
          <w:sz w:val="18"/>
        </w:rPr>
        <w:t>on</w:t>
      </w:r>
      <w:r>
        <w:rPr>
          <w:spacing w:val="-1"/>
          <w:sz w:val="18"/>
        </w:rPr>
        <w:t> </w:t>
      </w:r>
      <w:r>
        <w:rPr>
          <w:sz w:val="18"/>
        </w:rPr>
        <w:t>February</w:t>
      </w:r>
      <w:r>
        <w:rPr>
          <w:spacing w:val="-1"/>
          <w:sz w:val="18"/>
        </w:rPr>
        <w:t> </w:t>
      </w:r>
      <w:r>
        <w:rPr>
          <w:sz w:val="18"/>
        </w:rPr>
        <w:t>9,</w:t>
      </w:r>
      <w:r>
        <w:rPr>
          <w:spacing w:val="-1"/>
          <w:sz w:val="18"/>
        </w:rPr>
        <w:t> </w:t>
      </w:r>
      <w:r>
        <w:rPr>
          <w:spacing w:val="-2"/>
          <w:sz w:val="18"/>
        </w:rPr>
        <w:t>2021.</w:t>
      </w:r>
    </w:p>
    <w:p>
      <w:pPr>
        <w:pStyle w:val="BodyText"/>
      </w:pPr>
    </w:p>
    <w:p>
      <w:pPr>
        <w:pStyle w:val="BodyText"/>
        <w:spacing w:before="189"/>
      </w:pPr>
    </w:p>
    <w:p>
      <w:pPr>
        <w:pStyle w:val="BodyText"/>
        <w:ind w:left="24"/>
        <w:jc w:val="center"/>
      </w:pPr>
      <w:r>
        <w:rPr>
          <w:spacing w:val="-5"/>
        </w:rPr>
        <w:t>35</w:t>
      </w:r>
    </w:p>
    <w:p>
      <w:pPr>
        <w:pStyle w:val="BodyText"/>
        <w:spacing w:before="3"/>
        <w:rPr>
          <w:sz w:val="6"/>
        </w:rPr>
      </w:pPr>
      <w:r>
        <w:rPr/>
        <mc:AlternateContent>
          <mc:Choice Requires="wps">
            <w:drawing>
              <wp:anchor distT="0" distB="0" distL="0" distR="0" allowOverlap="1" layoutInCell="1" locked="0" behindDoc="1" simplePos="0" relativeHeight="487616000">
                <wp:simplePos x="0" y="0"/>
                <wp:positionH relativeFrom="page">
                  <wp:posOffset>231457</wp:posOffset>
                </wp:positionH>
                <wp:positionV relativeFrom="paragraph">
                  <wp:posOffset>61019</wp:posOffset>
                </wp:positionV>
                <wp:extent cx="7312659" cy="17145"/>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7312659" cy="17145"/>
                          <a:chExt cx="7312659" cy="17145"/>
                        </a:xfrm>
                      </wpg:grpSpPr>
                      <wps:wsp>
                        <wps:cNvPr id="176" name="Graphic 17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77" name="Graphic 177"/>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8" name="Graphic 1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4674pt;width:575.8pt;height:1.35pt;mso-position-horizontal-relative:page;mso-position-vertical-relative:paragraph;z-index:-15700480;mso-wrap-distance-left:0;mso-wrap-distance-right:0" id="docshapegroup173" coordorigin="364,96" coordsize="11516,27">
                <v:rect style="position:absolute;left:364;top:96;width:11516;height:14" id="docshape174" filled="true" fillcolor="#999999" stroked="false">
                  <v:fill type="solid"/>
                </v:rect>
                <v:shape style="position:absolute;left:364;top:96;width:11516;height:27" id="docshape175" coordorigin="364,96" coordsize="11516,27" path="m11880,96l11866,110,364,110,364,123,11866,123,11880,123,11880,110,11880,96xe" filled="true" fillcolor="#ededed" stroked="false">
                  <v:path arrowok="t"/>
                  <v:fill type="solid"/>
                </v:shape>
                <v:shape style="position:absolute;left:364;top:96;width:14;height:27" id="docshape176"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before="63"/>
        <w:ind w:left="144" w:right="118" w:firstLine="499"/>
        <w:jc w:val="both"/>
      </w:pPr>
      <w:r>
        <w:rPr/>
        <w:t>Consolidated net revenues were $13.1 billion in 2022 compared to $9.7 billion in 2021, an increase of 36%. The current year benefited from </w:t>
      </w:r>
      <w:r>
        <w:rPr/>
        <w:t>the inclusion of the net revenues of</w:t>
      </w:r>
      <w:r>
        <w:rPr>
          <w:spacing w:val="-2"/>
        </w:rPr>
        <w:t> </w:t>
      </w:r>
      <w:r>
        <w:rPr/>
        <w:t>The Cosmopolitan and a full year of net revenues related to</w:t>
      </w:r>
      <w:r>
        <w:rPr>
          <w:spacing w:val="-8"/>
        </w:rPr>
        <w:t> </w:t>
      </w:r>
      <w:r>
        <w:rPr/>
        <w:t>Aria, partially offset by the disposition of</w:t>
      </w:r>
      <w:r>
        <w:rPr>
          <w:spacing w:val="-2"/>
        </w:rPr>
        <w:t> </w:t>
      </w:r>
      <w:r>
        <w:rPr/>
        <w:t>The Mirage.</w:t>
      </w:r>
      <w:r>
        <w:rPr>
          <w:spacing w:val="-2"/>
        </w:rPr>
        <w:t> </w:t>
      </w:r>
      <w:r>
        <w:rPr/>
        <w:t>The current year was initially negatively affected by a decrease in business volume and travel due to the spread of the omicron variant in the early part of the year;</w:t>
      </w:r>
      <w:r>
        <w:rPr>
          <w:spacing w:val="40"/>
        </w:rPr>
        <w:t> </w:t>
      </w:r>
      <w:r>
        <w:rPr/>
        <w:t>however, business volumes subsequently improved at our domestic resorts with a significant increase primarily at our Las Vegas Strip Resorts over the prior year,</w:t>
      </w:r>
      <w:r>
        <w:rPr>
          <w:spacing w:val="-2"/>
        </w:rPr>
        <w:t> </w:t>
      </w:r>
      <w:r>
        <w:rPr/>
        <w:t>which</w:t>
      </w:r>
      <w:r>
        <w:rPr>
          <w:spacing w:val="-2"/>
        </w:rPr>
        <w:t> </w:t>
      </w:r>
      <w:r>
        <w:rPr/>
        <w:t>was</w:t>
      </w:r>
      <w:r>
        <w:rPr>
          <w:spacing w:val="-2"/>
        </w:rPr>
        <w:t> </w:t>
      </w:r>
      <w:r>
        <w:rPr/>
        <w:t>negatively</w:t>
      </w:r>
      <w:r>
        <w:rPr>
          <w:spacing w:val="-2"/>
        </w:rPr>
        <w:t> </w:t>
      </w:r>
      <w:r>
        <w:rPr/>
        <w:t>affected</w:t>
      </w:r>
      <w:r>
        <w:rPr>
          <w:spacing w:val="-2"/>
        </w:rPr>
        <w:t> </w:t>
      </w:r>
      <w:r>
        <w:rPr/>
        <w:t>by</w:t>
      </w:r>
      <w:r>
        <w:rPr>
          <w:spacing w:val="-2"/>
        </w:rPr>
        <w:t> </w:t>
      </w:r>
      <w:r>
        <w:rPr/>
        <w:t>midweek</w:t>
      </w:r>
      <w:r>
        <w:rPr>
          <w:spacing w:val="-2"/>
        </w:rPr>
        <w:t> </w:t>
      </w:r>
      <w:r>
        <w:rPr/>
        <w:t>property</w:t>
      </w:r>
      <w:r>
        <w:rPr>
          <w:spacing w:val="-2"/>
        </w:rPr>
        <w:t> </w:t>
      </w:r>
      <w:r>
        <w:rPr/>
        <w:t>and</w:t>
      </w:r>
      <w:r>
        <w:rPr>
          <w:spacing w:val="-2"/>
        </w:rPr>
        <w:t> </w:t>
      </w:r>
      <w:r>
        <w:rPr/>
        <w:t>hotel</w:t>
      </w:r>
      <w:r>
        <w:rPr>
          <w:spacing w:val="-2"/>
        </w:rPr>
        <w:t> </w:t>
      </w:r>
      <w:r>
        <w:rPr/>
        <w:t>closures,</w:t>
      </w:r>
      <w:r>
        <w:rPr>
          <w:spacing w:val="-2"/>
        </w:rPr>
        <w:t> </w:t>
      </w:r>
      <w:r>
        <w:rPr/>
        <w:t>lower</w:t>
      </w:r>
      <w:r>
        <w:rPr>
          <w:spacing w:val="-2"/>
        </w:rPr>
        <w:t> </w:t>
      </w:r>
      <w:r>
        <w:rPr/>
        <w:t>travel</w:t>
      </w:r>
      <w:r>
        <w:rPr>
          <w:spacing w:val="-2"/>
        </w:rPr>
        <w:t> </w:t>
      </w:r>
      <w:r>
        <w:rPr/>
        <w:t>activity,</w:t>
      </w:r>
      <w:r>
        <w:rPr>
          <w:spacing w:val="-2"/>
        </w:rPr>
        <w:t> </w:t>
      </w:r>
      <w:r>
        <w:rPr/>
        <w:t>and</w:t>
      </w:r>
      <w:r>
        <w:rPr>
          <w:spacing w:val="-2"/>
        </w:rPr>
        <w:t> </w:t>
      </w:r>
      <w:r>
        <w:rPr/>
        <w:t>operational</w:t>
      </w:r>
      <w:r>
        <w:rPr>
          <w:spacing w:val="-2"/>
        </w:rPr>
        <w:t> </w:t>
      </w:r>
      <w:r>
        <w:rPr/>
        <w:t>restrictions</w:t>
      </w:r>
      <w:r>
        <w:rPr>
          <w:spacing w:val="-2"/>
        </w:rPr>
        <w:t> </w:t>
      </w:r>
      <w:r>
        <w:rPr/>
        <w:t>due</w:t>
      </w:r>
      <w:r>
        <w:rPr>
          <w:spacing w:val="-2"/>
        </w:rPr>
        <w:t> </w:t>
      </w:r>
      <w:r>
        <w:rPr/>
        <w:t>to</w:t>
      </w:r>
      <w:r>
        <w:rPr>
          <w:spacing w:val="-2"/>
        </w:rPr>
        <w:t> </w:t>
      </w:r>
      <w:r>
        <w:rPr/>
        <w:t>the</w:t>
      </w:r>
      <w:r>
        <w:rPr>
          <w:spacing w:val="-2"/>
        </w:rPr>
        <w:t> </w:t>
      </w:r>
      <w:r>
        <w:rPr/>
        <w:t>COVID-19</w:t>
      </w:r>
      <w:r>
        <w:rPr>
          <w:spacing w:val="-2"/>
        </w:rPr>
        <w:t> </w:t>
      </w:r>
      <w:r>
        <w:rPr/>
        <w:t>pandemic. At MGM China, the current and prior years were significantly impacted by travel and entry restrictions in Macau with the current year being negatively</w:t>
      </w:r>
      <w:r>
        <w:rPr>
          <w:spacing w:val="40"/>
        </w:rPr>
        <w:t> </w:t>
      </w:r>
      <w:r>
        <w:rPr/>
        <w:t>affected by property closures and more significantly impacted by restrictions related to the COVID-19 pandemic compared to the prior year. As a result, net revenues at our Las Vegas Strip Resorts increased 77%, Regional Operations increased 12%, and MGM China decreased 44% compared to the prior year.</w:t>
      </w:r>
    </w:p>
    <w:p>
      <w:pPr>
        <w:pStyle w:val="BodyText"/>
        <w:spacing w:before="5"/>
      </w:pPr>
    </w:p>
    <w:p>
      <w:pPr>
        <w:pStyle w:val="BodyText"/>
        <w:spacing w:line="232" w:lineRule="auto"/>
        <w:ind w:left="144" w:right="118" w:firstLine="499"/>
        <w:jc w:val="both"/>
      </w:pPr>
      <w:r>
        <w:rPr/>
        <w:t>Consolidated operating income was $1.4 billion in 2022 compared to $2.3 billion in 2021, a decrease of 37%.</w:t>
      </w:r>
      <w:r>
        <w:rPr>
          <w:spacing w:val="-2"/>
        </w:rPr>
        <w:t> </w:t>
      </w:r>
      <w:r>
        <w:rPr/>
        <w:t>The current year period benefited from an increase in gains from transactions and the increase in domestic business volumes discussed above, partially offset by an increase in general and administrative expense, an increase in depreciation and amortization expense, and a decrease in income from unconsolidated affiliates. Gains from transactions in the current year included a $2.3 billion net gain related to the</w:t>
      </w:r>
      <w:r>
        <w:rPr>
          <w:spacing w:val="-3"/>
        </w:rPr>
        <w:t> </w:t>
      </w:r>
      <w:r>
        <w:rPr/>
        <w:t>VICI</w:t>
      </w:r>
      <w:r>
        <w:rPr>
          <w:spacing w:val="-3"/>
        </w:rPr>
        <w:t> </w:t>
      </w:r>
      <w:r>
        <w:rPr/>
        <w:t>Transaction recorded in gain on REIT</w:t>
      </w:r>
      <w:r>
        <w:rPr>
          <w:spacing w:val="-3"/>
        </w:rPr>
        <w:t> </w:t>
      </w:r>
      <w:r>
        <w:rPr/>
        <w:t>transactions, net, and a $1.1 billion net gain related to the sale of the operations of The Mirage recorded within property transactions, net, while the prior year benefited from the $1.6 billion net gain on consolidation of CityCenter.</w:t>
      </w:r>
      <w:r>
        <w:rPr>
          <w:spacing w:val="-1"/>
        </w:rPr>
        <w:t> </w:t>
      </w:r>
      <w:r>
        <w:rPr/>
        <w:t>General</w:t>
      </w:r>
      <w:r>
        <w:rPr>
          <w:spacing w:val="-1"/>
        </w:rPr>
        <w:t> </w:t>
      </w:r>
      <w:r>
        <w:rPr/>
        <w:t>and</w:t>
      </w:r>
      <w:r>
        <w:rPr>
          <w:spacing w:val="-1"/>
        </w:rPr>
        <w:t> </w:t>
      </w:r>
      <w:r>
        <w:rPr/>
        <w:t>administrative</w:t>
      </w:r>
      <w:r>
        <w:rPr>
          <w:spacing w:val="-1"/>
        </w:rPr>
        <w:t> </w:t>
      </w:r>
      <w:r>
        <w:rPr/>
        <w:t>expense</w:t>
      </w:r>
      <w:r>
        <w:rPr>
          <w:spacing w:val="-1"/>
        </w:rPr>
        <w:t> </w:t>
      </w:r>
      <w:r>
        <w:rPr/>
        <w:t>increased</w:t>
      </w:r>
      <w:r>
        <w:rPr>
          <w:spacing w:val="-1"/>
        </w:rPr>
        <w:t> </w:t>
      </w:r>
      <w:r>
        <w:rPr/>
        <w:t>$1.7</w:t>
      </w:r>
      <w:r>
        <w:rPr>
          <w:spacing w:val="-1"/>
        </w:rPr>
        <w:t> </w:t>
      </w:r>
      <w:r>
        <w:rPr/>
        <w:t>billion</w:t>
      </w:r>
      <w:r>
        <w:rPr>
          <w:spacing w:val="-1"/>
        </w:rPr>
        <w:t> </w:t>
      </w:r>
      <w:r>
        <w:rPr/>
        <w:t>primarily</w:t>
      </w:r>
      <w:r>
        <w:rPr>
          <w:spacing w:val="-1"/>
        </w:rPr>
        <w:t> </w:t>
      </w:r>
      <w:r>
        <w:rPr/>
        <w:t>due</w:t>
      </w:r>
      <w:r>
        <w:rPr>
          <w:spacing w:val="-1"/>
        </w:rPr>
        <w:t> </w:t>
      </w:r>
      <w:r>
        <w:rPr/>
        <w:t>to</w:t>
      </w:r>
      <w:r>
        <w:rPr>
          <w:spacing w:val="-1"/>
        </w:rPr>
        <w:t> </w:t>
      </w:r>
      <w:r>
        <w:rPr/>
        <w:t>an</w:t>
      </w:r>
      <w:r>
        <w:rPr>
          <w:spacing w:val="-1"/>
        </w:rPr>
        <w:t> </w:t>
      </w:r>
      <w:r>
        <w:rPr/>
        <w:t>increase</w:t>
      </w:r>
      <w:r>
        <w:rPr>
          <w:spacing w:val="-1"/>
        </w:rPr>
        <w:t> </w:t>
      </w:r>
      <w:r>
        <w:rPr/>
        <w:t>of</w:t>
      </w:r>
      <w:r>
        <w:rPr>
          <w:spacing w:val="-1"/>
        </w:rPr>
        <w:t> </w:t>
      </w:r>
      <w:r>
        <w:rPr/>
        <w:t>rent</w:t>
      </w:r>
      <w:r>
        <w:rPr>
          <w:spacing w:val="-1"/>
        </w:rPr>
        <w:t> </w:t>
      </w:r>
      <w:r>
        <w:rPr/>
        <w:t>expense</w:t>
      </w:r>
      <w:r>
        <w:rPr>
          <w:spacing w:val="-1"/>
        </w:rPr>
        <w:t> </w:t>
      </w:r>
      <w:r>
        <w:rPr/>
        <w:t>of</w:t>
      </w:r>
      <w:r>
        <w:rPr>
          <w:spacing w:val="-1"/>
        </w:rPr>
        <w:t> </w:t>
      </w:r>
      <w:r>
        <w:rPr/>
        <w:t>$1.1</w:t>
      </w:r>
      <w:r>
        <w:rPr>
          <w:spacing w:val="-1"/>
        </w:rPr>
        <w:t> </w:t>
      </w:r>
      <w:r>
        <w:rPr/>
        <w:t>billion</w:t>
      </w:r>
      <w:r>
        <w:rPr>
          <w:spacing w:val="-1"/>
        </w:rPr>
        <w:t> </w:t>
      </w:r>
      <w:r>
        <w:rPr/>
        <w:t>related</w:t>
      </w:r>
      <w:r>
        <w:rPr>
          <w:spacing w:val="-1"/>
        </w:rPr>
        <w:t> </w:t>
      </w:r>
      <w:r>
        <w:rPr/>
        <w:t>to</w:t>
      </w:r>
      <w:r>
        <w:rPr>
          <w:spacing w:val="-1"/>
        </w:rPr>
        <w:t> </w:t>
      </w:r>
      <w:r>
        <w:rPr/>
        <w:t>the</w:t>
      </w:r>
      <w:r>
        <w:rPr>
          <w:spacing w:val="-11"/>
        </w:rPr>
        <w:t> </w:t>
      </w:r>
      <w:r>
        <w:rPr/>
        <w:t>Aria</w:t>
      </w:r>
      <w:r>
        <w:rPr>
          <w:spacing w:val="-1"/>
        </w:rPr>
        <w:t> </w:t>
      </w:r>
      <w:r>
        <w:rPr/>
        <w:t>and</w:t>
      </w:r>
      <w:r>
        <w:rPr>
          <w:spacing w:val="-4"/>
        </w:rPr>
        <w:t> </w:t>
      </w:r>
      <w:r>
        <w:rPr/>
        <w:t>Vdara, VICI, and The Cosmopolitan leases, which commenced in September 2021, April 2022, and May 2022, respectively, as well as other increases, primarily in payroll costs. Depreciation and amortization expense increased $2.3 billion compared to the prior year period, due primarily to an increase of $2.5 billion in amortization expense of the MGM Grand Paradise gaming concession as a result of the change in its useful life.</w:t>
      </w:r>
    </w:p>
    <w:p>
      <w:pPr>
        <w:pStyle w:val="BodyText"/>
        <w:spacing w:before="6"/>
      </w:pPr>
    </w:p>
    <w:p>
      <w:pPr>
        <w:spacing w:before="0"/>
        <w:ind w:left="394" w:right="0" w:firstLine="0"/>
        <w:jc w:val="left"/>
        <w:rPr>
          <w:i/>
          <w:sz w:val="18"/>
        </w:rPr>
      </w:pPr>
      <w:r>
        <w:rPr>
          <w:i/>
          <w:sz w:val="18"/>
        </w:rPr>
        <w:t>Net</w:t>
      </w:r>
      <w:r>
        <w:rPr>
          <w:i/>
          <w:spacing w:val="-1"/>
          <w:sz w:val="18"/>
        </w:rPr>
        <w:t> </w:t>
      </w:r>
      <w:r>
        <w:rPr>
          <w:i/>
          <w:sz w:val="18"/>
        </w:rPr>
        <w:t>Revenues</w:t>
      </w:r>
      <w:r>
        <w:rPr>
          <w:i/>
          <w:spacing w:val="-1"/>
          <w:sz w:val="18"/>
        </w:rPr>
        <w:t> </w:t>
      </w:r>
      <w:r>
        <w:rPr>
          <w:i/>
          <w:sz w:val="18"/>
        </w:rPr>
        <w:t>by</w:t>
      </w:r>
      <w:r>
        <w:rPr>
          <w:i/>
          <w:spacing w:val="-1"/>
          <w:sz w:val="18"/>
        </w:rPr>
        <w:t> </w:t>
      </w:r>
      <w:r>
        <w:rPr>
          <w:i/>
          <w:spacing w:val="-2"/>
          <w:sz w:val="18"/>
        </w:rPr>
        <w:t>Segment</w:t>
      </w:r>
    </w:p>
    <w:p>
      <w:pPr>
        <w:pStyle w:val="BodyText"/>
        <w:spacing w:before="18"/>
        <w:rPr>
          <w:i/>
        </w:rPr>
      </w:pPr>
    </w:p>
    <w:p>
      <w:pPr>
        <w:pStyle w:val="BodyText"/>
        <w:ind w:right="5801"/>
        <w:jc w:val="center"/>
      </w:pPr>
      <w:r>
        <w:rPr/>
        <w:t>The</w:t>
      </w:r>
      <w:r>
        <w:rPr>
          <w:spacing w:val="-1"/>
        </w:rPr>
        <w:t> </w:t>
      </w:r>
      <w:r>
        <w:rPr/>
        <w:t>following</w:t>
      </w:r>
      <w:r>
        <w:rPr>
          <w:spacing w:val="-1"/>
        </w:rPr>
        <w:t> </w:t>
      </w:r>
      <w:r>
        <w:rPr/>
        <w:t>table</w:t>
      </w:r>
      <w:r>
        <w:rPr>
          <w:spacing w:val="-1"/>
        </w:rPr>
        <w:t> </w:t>
      </w:r>
      <w:r>
        <w:rPr/>
        <w:t>presents</w:t>
      </w:r>
      <w:r>
        <w:rPr>
          <w:spacing w:val="-1"/>
        </w:rPr>
        <w:t> </w:t>
      </w:r>
      <w:r>
        <w:rPr/>
        <w:t>a</w:t>
      </w:r>
      <w:r>
        <w:rPr>
          <w:spacing w:val="-1"/>
        </w:rPr>
        <w:t> </w:t>
      </w:r>
      <w:r>
        <w:rPr/>
        <w:t>detail</w:t>
      </w:r>
      <w:r>
        <w:rPr>
          <w:spacing w:val="-1"/>
        </w:rPr>
        <w:t> </w:t>
      </w:r>
      <w:r>
        <w:rPr/>
        <w:t>by</w:t>
      </w:r>
      <w:r>
        <w:rPr>
          <w:spacing w:val="-1"/>
        </w:rPr>
        <w:t> </w:t>
      </w:r>
      <w:r>
        <w:rPr/>
        <w:t>segment</w:t>
      </w:r>
      <w:r>
        <w:rPr>
          <w:spacing w:val="-1"/>
        </w:rPr>
        <w:t> </w:t>
      </w:r>
      <w:r>
        <w:rPr/>
        <w:t>of</w:t>
      </w:r>
      <w:r>
        <w:rPr>
          <w:spacing w:val="-1"/>
        </w:rPr>
        <w:t> </w:t>
      </w:r>
      <w:r>
        <w:rPr/>
        <w:t>net</w:t>
      </w:r>
      <w:r>
        <w:rPr>
          <w:spacing w:val="-1"/>
        </w:rPr>
        <w:t> </w:t>
      </w:r>
      <w:r>
        <w:rPr>
          <w:spacing w:val="-2"/>
        </w:rPr>
        <w:t>revenues:</w:t>
      </w:r>
    </w:p>
    <w:p>
      <w:pPr>
        <w:pStyle w:val="Heading5"/>
        <w:spacing w:before="49"/>
        <w:ind w:left="6742"/>
      </w:pPr>
      <w:r>
        <w:rPr/>
        <mc:AlternateContent>
          <mc:Choice Requires="wps">
            <w:drawing>
              <wp:anchor distT="0" distB="0" distL="0" distR="0" allowOverlap="1" layoutInCell="1" locked="0" behindDoc="1" simplePos="0" relativeHeight="487616512">
                <wp:simplePos x="0" y="0"/>
                <wp:positionH relativeFrom="page">
                  <wp:posOffset>4500550</wp:posOffset>
                </wp:positionH>
                <wp:positionV relativeFrom="paragraph">
                  <wp:posOffset>181160</wp:posOffset>
                </wp:positionV>
                <wp:extent cx="3043555" cy="889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4.264575pt;width:239.625011pt;height:.675pt;mso-position-horizontal-relative:page;mso-position-vertical-relative:paragraph;z-index:-15699968;mso-wrap-distance-left:0;mso-wrap-distance-right:0" id="docshape177"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80" w:val="left" w:leader="none"/>
          <w:tab w:pos="10018" w:val="left" w:leader="none"/>
        </w:tabs>
        <w:spacing w:before="21" w:after="42"/>
        <w:ind w:left="6743"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180" name="Group 180"/>
                <wp:cNvGraphicFramePr>
                  <a:graphicFrameLocks/>
                </wp:cNvGraphicFramePr>
                <a:graphic>
                  <a:graphicData uri="http://schemas.microsoft.com/office/word/2010/wordprocessingGroup">
                    <wpg:wgp>
                      <wpg:cNvPr id="180" name="Group 180"/>
                      <wpg:cNvGrpSpPr/>
                      <wpg:grpSpPr>
                        <a:xfrm>
                          <a:off x="0" y="0"/>
                          <a:ext cx="3043555" cy="8890"/>
                          <a:chExt cx="3043555" cy="8890"/>
                        </a:xfrm>
                      </wpg:grpSpPr>
                      <wps:wsp>
                        <wps:cNvPr id="181" name="Graphic 181"/>
                        <wps:cNvSpPr/>
                        <wps:spPr>
                          <a:xfrm>
                            <a:off x="-12" y="-2"/>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178" coordorigin="0,0" coordsize="4793,14">
                <v:rect style="position:absolute;left:-1;top:0;width:4793;height:14" id="docshape179" filled="true" fillcolor="#000000" stroked="false">
                  <v:fill type="solid"/>
                </v:rect>
              </v:group>
            </w:pict>
          </mc:Fallback>
        </mc:AlternateContent>
      </w:r>
      <w:r>
        <w:rPr>
          <w:sz w:val="2"/>
        </w:rPr>
      </w:r>
    </w:p>
    <w:p>
      <w:pPr>
        <w:spacing w:before="38" w:after="38"/>
        <w:ind w:left="6742"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2"/>
        <w:gridCol w:w="2941"/>
        <w:gridCol w:w="1638"/>
        <w:gridCol w:w="1608"/>
      </w:tblGrid>
      <w:tr>
        <w:trPr>
          <w:trHeight w:val="256" w:hRule="atLeast"/>
        </w:trPr>
        <w:tc>
          <w:tcPr>
            <w:tcW w:w="11519" w:type="dxa"/>
            <w:gridSpan w:val="4"/>
            <w:shd w:val="clear" w:color="auto" w:fill="CCEDFF"/>
          </w:tcPr>
          <w:p>
            <w:pPr>
              <w:pStyle w:val="TableParagraph"/>
              <w:ind w:left="17"/>
              <w:rPr>
                <w:b/>
                <w:sz w:val="18"/>
              </w:rPr>
            </w:pPr>
            <w:r>
              <w:rPr>
                <w:b/>
                <w:sz w:val="18"/>
              </w:rPr>
              <w:t>Las</w:t>
            </w:r>
            <w:r>
              <w:rPr>
                <w:b/>
                <w:spacing w:val="-10"/>
                <w:sz w:val="18"/>
              </w:rPr>
              <w:t> </w:t>
            </w:r>
            <w:r>
              <w:rPr>
                <w:b/>
                <w:sz w:val="18"/>
              </w:rPr>
              <w:t>Vegas</w:t>
            </w:r>
            <w:r>
              <w:rPr>
                <w:b/>
                <w:spacing w:val="-7"/>
                <w:sz w:val="18"/>
              </w:rPr>
              <w:t> </w:t>
            </w:r>
            <w:r>
              <w:rPr>
                <w:b/>
                <w:sz w:val="18"/>
              </w:rPr>
              <w:t>Strip</w:t>
            </w:r>
            <w:r>
              <w:rPr>
                <w:b/>
                <w:spacing w:val="-6"/>
                <w:sz w:val="18"/>
              </w:rPr>
              <w:t> </w:t>
            </w:r>
            <w:r>
              <w:rPr>
                <w:b/>
                <w:spacing w:val="-2"/>
                <w:sz w:val="18"/>
              </w:rPr>
              <w:t>Resorts</w:t>
            </w:r>
          </w:p>
        </w:tc>
      </w:tr>
      <w:tr>
        <w:trPr>
          <w:trHeight w:val="269" w:hRule="atLeast"/>
        </w:trPr>
        <w:tc>
          <w:tcPr>
            <w:tcW w:w="5332" w:type="dxa"/>
          </w:tcPr>
          <w:p>
            <w:pPr>
              <w:pStyle w:val="TableParagraph"/>
              <w:ind w:left="125"/>
              <w:rPr>
                <w:sz w:val="18"/>
              </w:rPr>
            </w:pPr>
            <w:r>
              <w:rPr>
                <w:spacing w:val="-2"/>
                <w:sz w:val="18"/>
              </w:rPr>
              <w:t>Casino</w:t>
            </w:r>
          </w:p>
        </w:tc>
        <w:tc>
          <w:tcPr>
            <w:tcW w:w="2941" w:type="dxa"/>
          </w:tcPr>
          <w:p>
            <w:pPr>
              <w:pStyle w:val="TableParagraph"/>
              <w:tabs>
                <w:tab w:pos="711" w:val="left" w:leader="none"/>
              </w:tabs>
              <w:ind w:right="102"/>
              <w:jc w:val="right"/>
              <w:rPr>
                <w:sz w:val="18"/>
              </w:rPr>
            </w:pPr>
            <w:r>
              <w:rPr>
                <w:spacing w:val="-10"/>
                <w:sz w:val="18"/>
              </w:rPr>
              <w:t>$</w:t>
            </w:r>
            <w:r>
              <w:rPr>
                <w:sz w:val="18"/>
              </w:rPr>
              <w:tab/>
            </w:r>
            <w:r>
              <w:rPr>
                <w:spacing w:val="-2"/>
                <w:sz w:val="18"/>
              </w:rPr>
              <w:t>2,104,096</w:t>
            </w:r>
          </w:p>
        </w:tc>
        <w:tc>
          <w:tcPr>
            <w:tcW w:w="1638" w:type="dxa"/>
          </w:tcPr>
          <w:p>
            <w:pPr>
              <w:pStyle w:val="TableParagraph"/>
              <w:tabs>
                <w:tab w:pos="709" w:val="left" w:leader="none"/>
              </w:tabs>
              <w:ind w:right="103"/>
              <w:jc w:val="right"/>
              <w:rPr>
                <w:sz w:val="18"/>
              </w:rPr>
            </w:pPr>
            <w:r>
              <w:rPr>
                <w:spacing w:val="-10"/>
                <w:sz w:val="18"/>
              </w:rPr>
              <w:t>$</w:t>
            </w:r>
            <w:r>
              <w:rPr>
                <w:sz w:val="18"/>
              </w:rPr>
              <w:tab/>
            </w:r>
            <w:r>
              <w:rPr>
                <w:spacing w:val="-2"/>
                <w:sz w:val="18"/>
              </w:rPr>
              <w:t>1,549,419</w:t>
            </w:r>
          </w:p>
        </w:tc>
        <w:tc>
          <w:tcPr>
            <w:tcW w:w="1608" w:type="dxa"/>
          </w:tcPr>
          <w:p>
            <w:pPr>
              <w:pStyle w:val="TableParagraph"/>
              <w:tabs>
                <w:tab w:pos="845" w:val="left" w:leader="none"/>
              </w:tabs>
              <w:ind w:right="74"/>
              <w:jc w:val="right"/>
              <w:rPr>
                <w:sz w:val="18"/>
              </w:rPr>
            </w:pPr>
            <w:r>
              <w:rPr>
                <w:spacing w:val="-10"/>
                <w:sz w:val="18"/>
              </w:rPr>
              <w:t>$</w:t>
            </w:r>
            <w:r>
              <w:rPr>
                <w:sz w:val="18"/>
              </w:rPr>
              <w:tab/>
            </w:r>
            <w:r>
              <w:rPr>
                <w:spacing w:val="-2"/>
                <w:sz w:val="18"/>
              </w:rPr>
              <w:t>728,254</w:t>
            </w:r>
          </w:p>
        </w:tc>
      </w:tr>
      <w:tr>
        <w:trPr>
          <w:trHeight w:val="256" w:hRule="atLeast"/>
        </w:trPr>
        <w:tc>
          <w:tcPr>
            <w:tcW w:w="5332" w:type="dxa"/>
            <w:shd w:val="clear" w:color="auto" w:fill="CCEDFF"/>
          </w:tcPr>
          <w:p>
            <w:pPr>
              <w:pStyle w:val="TableParagraph"/>
              <w:ind w:left="125"/>
              <w:rPr>
                <w:sz w:val="18"/>
              </w:rPr>
            </w:pPr>
            <w:r>
              <w:rPr>
                <w:spacing w:val="-2"/>
                <w:sz w:val="18"/>
              </w:rPr>
              <w:t>Rooms</w:t>
            </w:r>
          </w:p>
        </w:tc>
        <w:tc>
          <w:tcPr>
            <w:tcW w:w="2941" w:type="dxa"/>
            <w:shd w:val="clear" w:color="auto" w:fill="CCEDFF"/>
          </w:tcPr>
          <w:p>
            <w:pPr>
              <w:pStyle w:val="TableParagraph"/>
              <w:ind w:right="102"/>
              <w:jc w:val="right"/>
              <w:rPr>
                <w:sz w:val="18"/>
              </w:rPr>
            </w:pPr>
            <w:r>
              <w:rPr>
                <w:spacing w:val="-2"/>
                <w:sz w:val="18"/>
              </w:rPr>
              <w:t>2,729,715</w:t>
            </w:r>
          </w:p>
        </w:tc>
        <w:tc>
          <w:tcPr>
            <w:tcW w:w="1638" w:type="dxa"/>
            <w:shd w:val="clear" w:color="auto" w:fill="CCEDFF"/>
          </w:tcPr>
          <w:p>
            <w:pPr>
              <w:pStyle w:val="TableParagraph"/>
              <w:ind w:right="103"/>
              <w:jc w:val="right"/>
              <w:rPr>
                <w:sz w:val="18"/>
              </w:rPr>
            </w:pPr>
            <w:r>
              <w:rPr>
                <w:spacing w:val="-2"/>
                <w:sz w:val="18"/>
              </w:rPr>
              <w:t>1,402,712</w:t>
            </w:r>
          </w:p>
        </w:tc>
        <w:tc>
          <w:tcPr>
            <w:tcW w:w="1608" w:type="dxa"/>
            <w:shd w:val="clear" w:color="auto" w:fill="CCEDFF"/>
          </w:tcPr>
          <w:p>
            <w:pPr>
              <w:pStyle w:val="TableParagraph"/>
              <w:ind w:right="74"/>
              <w:jc w:val="right"/>
              <w:rPr>
                <w:sz w:val="18"/>
              </w:rPr>
            </w:pPr>
            <w:r>
              <w:rPr>
                <w:spacing w:val="-2"/>
                <w:sz w:val="18"/>
              </w:rPr>
              <w:t>662,813</w:t>
            </w:r>
          </w:p>
        </w:tc>
      </w:tr>
      <w:tr>
        <w:trPr>
          <w:trHeight w:val="256" w:hRule="atLeast"/>
        </w:trPr>
        <w:tc>
          <w:tcPr>
            <w:tcW w:w="5332" w:type="dxa"/>
          </w:tcPr>
          <w:p>
            <w:pPr>
              <w:pStyle w:val="TableParagraph"/>
              <w:ind w:left="125"/>
              <w:rPr>
                <w:sz w:val="18"/>
              </w:rPr>
            </w:pPr>
            <w:r>
              <w:rPr>
                <w:sz w:val="18"/>
              </w:rPr>
              <w:t>Food</w:t>
            </w:r>
            <w:r>
              <w:rPr>
                <w:spacing w:val="-1"/>
                <w:sz w:val="18"/>
              </w:rPr>
              <w:t> </w:t>
            </w:r>
            <w:r>
              <w:rPr>
                <w:sz w:val="18"/>
              </w:rPr>
              <w:t>and</w:t>
            </w:r>
            <w:r>
              <w:rPr>
                <w:spacing w:val="-1"/>
                <w:sz w:val="18"/>
              </w:rPr>
              <w:t> </w:t>
            </w:r>
            <w:r>
              <w:rPr>
                <w:spacing w:val="-2"/>
                <w:sz w:val="18"/>
              </w:rPr>
              <w:t>beverage</w:t>
            </w:r>
          </w:p>
        </w:tc>
        <w:tc>
          <w:tcPr>
            <w:tcW w:w="2941" w:type="dxa"/>
          </w:tcPr>
          <w:p>
            <w:pPr>
              <w:pStyle w:val="TableParagraph"/>
              <w:ind w:right="102"/>
              <w:jc w:val="right"/>
              <w:rPr>
                <w:sz w:val="18"/>
              </w:rPr>
            </w:pPr>
            <w:r>
              <w:rPr>
                <w:spacing w:val="-2"/>
                <w:sz w:val="18"/>
              </w:rPr>
              <w:t>2,125,738</w:t>
            </w:r>
          </w:p>
        </w:tc>
        <w:tc>
          <w:tcPr>
            <w:tcW w:w="1638" w:type="dxa"/>
          </w:tcPr>
          <w:p>
            <w:pPr>
              <w:pStyle w:val="TableParagraph"/>
              <w:ind w:right="103"/>
              <w:jc w:val="right"/>
              <w:rPr>
                <w:sz w:val="18"/>
              </w:rPr>
            </w:pPr>
            <w:r>
              <w:rPr>
                <w:spacing w:val="-2"/>
                <w:sz w:val="18"/>
              </w:rPr>
              <w:t>1,015,366</w:t>
            </w:r>
          </w:p>
        </w:tc>
        <w:tc>
          <w:tcPr>
            <w:tcW w:w="1608" w:type="dxa"/>
          </w:tcPr>
          <w:p>
            <w:pPr>
              <w:pStyle w:val="TableParagraph"/>
              <w:ind w:right="74"/>
              <w:jc w:val="right"/>
              <w:rPr>
                <w:sz w:val="18"/>
              </w:rPr>
            </w:pPr>
            <w:r>
              <w:rPr>
                <w:spacing w:val="-2"/>
                <w:sz w:val="18"/>
              </w:rPr>
              <w:t>471,529</w:t>
            </w:r>
          </w:p>
        </w:tc>
      </w:tr>
      <w:tr>
        <w:trPr>
          <w:trHeight w:val="255" w:hRule="atLeast"/>
        </w:trPr>
        <w:tc>
          <w:tcPr>
            <w:tcW w:w="5332" w:type="dxa"/>
            <w:shd w:val="clear" w:color="auto" w:fill="CCEDFF"/>
          </w:tcPr>
          <w:p>
            <w:pPr>
              <w:pStyle w:val="TableParagraph"/>
              <w:ind w:left="125"/>
              <w:rPr>
                <w:sz w:val="18"/>
              </w:rPr>
            </w:pPr>
            <w:r>
              <w:rPr>
                <w:sz w:val="18"/>
              </w:rPr>
              <w:t>Entertainment,</w:t>
            </w:r>
            <w:r>
              <w:rPr>
                <w:spacing w:val="-1"/>
                <w:sz w:val="18"/>
              </w:rPr>
              <w:t> </w:t>
            </w:r>
            <w:r>
              <w:rPr>
                <w:sz w:val="18"/>
              </w:rPr>
              <w:t>retail</w:t>
            </w:r>
            <w:r>
              <w:rPr>
                <w:spacing w:val="-1"/>
                <w:sz w:val="18"/>
              </w:rPr>
              <w:t> </w:t>
            </w:r>
            <w:r>
              <w:rPr>
                <w:sz w:val="18"/>
              </w:rPr>
              <w:t>and</w:t>
            </w:r>
            <w:r>
              <w:rPr>
                <w:spacing w:val="-1"/>
                <w:sz w:val="18"/>
              </w:rPr>
              <w:t> </w:t>
            </w:r>
            <w:r>
              <w:rPr>
                <w:spacing w:val="-2"/>
                <w:sz w:val="18"/>
              </w:rPr>
              <w:t>other</w:t>
            </w:r>
          </w:p>
        </w:tc>
        <w:tc>
          <w:tcPr>
            <w:tcW w:w="2941" w:type="dxa"/>
            <w:tcBorders>
              <w:bottom w:val="single" w:sz="6" w:space="0" w:color="000000"/>
            </w:tcBorders>
            <w:shd w:val="clear" w:color="auto" w:fill="CCEDFF"/>
          </w:tcPr>
          <w:p>
            <w:pPr>
              <w:pStyle w:val="TableParagraph"/>
              <w:ind w:right="102"/>
              <w:jc w:val="right"/>
              <w:rPr>
                <w:sz w:val="18"/>
              </w:rPr>
            </w:pPr>
            <w:r>
              <w:rPr>
                <w:spacing w:val="-2"/>
                <w:sz w:val="18"/>
              </w:rPr>
              <w:t>1,438,823</w:t>
            </w:r>
          </w:p>
        </w:tc>
        <w:tc>
          <w:tcPr>
            <w:tcW w:w="1638" w:type="dxa"/>
            <w:tcBorders>
              <w:bottom w:val="single" w:sz="6" w:space="0" w:color="000000"/>
            </w:tcBorders>
            <w:shd w:val="clear" w:color="auto" w:fill="CCEDFF"/>
          </w:tcPr>
          <w:p>
            <w:pPr>
              <w:pStyle w:val="TableParagraph"/>
              <w:ind w:right="103"/>
              <w:jc w:val="right"/>
              <w:rPr>
                <w:sz w:val="18"/>
              </w:rPr>
            </w:pPr>
            <w:r>
              <w:rPr>
                <w:spacing w:val="-2"/>
                <w:sz w:val="18"/>
              </w:rPr>
              <w:t>769,688</w:t>
            </w:r>
          </w:p>
        </w:tc>
        <w:tc>
          <w:tcPr>
            <w:tcW w:w="1608" w:type="dxa"/>
            <w:tcBorders>
              <w:bottom w:val="single" w:sz="6" w:space="0" w:color="000000"/>
            </w:tcBorders>
            <w:shd w:val="clear" w:color="auto" w:fill="CCEDFF"/>
          </w:tcPr>
          <w:p>
            <w:pPr>
              <w:pStyle w:val="TableParagraph"/>
              <w:ind w:right="74"/>
              <w:jc w:val="right"/>
              <w:rPr>
                <w:sz w:val="18"/>
              </w:rPr>
            </w:pPr>
            <w:r>
              <w:rPr>
                <w:spacing w:val="-2"/>
                <w:sz w:val="18"/>
              </w:rPr>
              <w:t>383,189</w:t>
            </w:r>
          </w:p>
        </w:tc>
      </w:tr>
      <w:tr>
        <w:trPr>
          <w:trHeight w:val="268" w:hRule="atLeast"/>
        </w:trPr>
        <w:tc>
          <w:tcPr>
            <w:tcW w:w="5332" w:type="dxa"/>
          </w:tcPr>
          <w:p>
            <w:pPr>
              <w:pStyle w:val="TableParagraph"/>
              <w:spacing w:before="0"/>
              <w:rPr>
                <w:sz w:val="16"/>
              </w:rPr>
            </w:pPr>
          </w:p>
        </w:tc>
        <w:tc>
          <w:tcPr>
            <w:tcW w:w="2941" w:type="dxa"/>
            <w:tcBorders>
              <w:top w:val="single" w:sz="6" w:space="0" w:color="000000"/>
              <w:bottom w:val="single" w:sz="6" w:space="0" w:color="000000"/>
            </w:tcBorders>
          </w:tcPr>
          <w:p>
            <w:pPr>
              <w:pStyle w:val="TableParagraph"/>
              <w:spacing w:before="20"/>
              <w:ind w:right="102"/>
              <w:jc w:val="right"/>
              <w:rPr>
                <w:sz w:val="18"/>
              </w:rPr>
            </w:pPr>
            <w:r>
              <w:rPr>
                <w:spacing w:val="-2"/>
                <w:sz w:val="18"/>
              </w:rPr>
              <w:t>8,398,372</w:t>
            </w:r>
          </w:p>
        </w:tc>
        <w:tc>
          <w:tcPr>
            <w:tcW w:w="1638" w:type="dxa"/>
            <w:tcBorders>
              <w:top w:val="single" w:sz="6" w:space="0" w:color="000000"/>
              <w:bottom w:val="single" w:sz="6" w:space="0" w:color="000000"/>
            </w:tcBorders>
          </w:tcPr>
          <w:p>
            <w:pPr>
              <w:pStyle w:val="TableParagraph"/>
              <w:spacing w:before="20"/>
              <w:ind w:right="103"/>
              <w:jc w:val="right"/>
              <w:rPr>
                <w:sz w:val="18"/>
              </w:rPr>
            </w:pPr>
            <w:r>
              <w:rPr>
                <w:spacing w:val="-2"/>
                <w:sz w:val="18"/>
              </w:rPr>
              <w:t>4,737,185</w:t>
            </w:r>
          </w:p>
        </w:tc>
        <w:tc>
          <w:tcPr>
            <w:tcW w:w="1608" w:type="dxa"/>
            <w:tcBorders>
              <w:top w:val="single" w:sz="6" w:space="0" w:color="000000"/>
              <w:bottom w:val="single" w:sz="6" w:space="0" w:color="000000"/>
            </w:tcBorders>
          </w:tcPr>
          <w:p>
            <w:pPr>
              <w:pStyle w:val="TableParagraph"/>
              <w:spacing w:before="20"/>
              <w:ind w:right="74"/>
              <w:jc w:val="right"/>
              <w:rPr>
                <w:sz w:val="18"/>
              </w:rPr>
            </w:pPr>
            <w:r>
              <w:rPr>
                <w:spacing w:val="-2"/>
                <w:sz w:val="18"/>
              </w:rPr>
              <w:t>2,245,785</w:t>
            </w:r>
          </w:p>
        </w:tc>
      </w:tr>
      <w:tr>
        <w:trPr>
          <w:trHeight w:val="255" w:hRule="atLeast"/>
        </w:trPr>
        <w:tc>
          <w:tcPr>
            <w:tcW w:w="5332" w:type="dxa"/>
            <w:shd w:val="clear" w:color="auto" w:fill="CCEDFF"/>
          </w:tcPr>
          <w:p>
            <w:pPr>
              <w:pStyle w:val="TableParagraph"/>
              <w:spacing w:before="6"/>
              <w:ind w:left="17"/>
              <w:rPr>
                <w:b/>
                <w:sz w:val="18"/>
              </w:rPr>
            </w:pPr>
            <w:r>
              <w:rPr>
                <w:b/>
                <w:sz w:val="18"/>
              </w:rPr>
              <w:t>Regional</w:t>
            </w:r>
            <w:r>
              <w:rPr>
                <w:b/>
                <w:spacing w:val="-1"/>
                <w:sz w:val="18"/>
              </w:rPr>
              <w:t> </w:t>
            </w:r>
            <w:r>
              <w:rPr>
                <w:b/>
                <w:spacing w:val="-2"/>
                <w:sz w:val="18"/>
              </w:rPr>
              <w:t>Operations</w:t>
            </w:r>
          </w:p>
        </w:tc>
        <w:tc>
          <w:tcPr>
            <w:tcW w:w="2941" w:type="dxa"/>
            <w:tcBorders>
              <w:top w:val="single" w:sz="6" w:space="0" w:color="000000"/>
            </w:tcBorders>
            <w:shd w:val="clear" w:color="auto" w:fill="CCEDFF"/>
          </w:tcPr>
          <w:p>
            <w:pPr>
              <w:pStyle w:val="TableParagraph"/>
              <w:spacing w:before="0"/>
              <w:rPr>
                <w:sz w:val="16"/>
              </w:rPr>
            </w:pPr>
          </w:p>
        </w:tc>
        <w:tc>
          <w:tcPr>
            <w:tcW w:w="1638" w:type="dxa"/>
            <w:tcBorders>
              <w:top w:val="single" w:sz="6" w:space="0" w:color="000000"/>
            </w:tcBorders>
            <w:shd w:val="clear" w:color="auto" w:fill="CCEDFF"/>
          </w:tcPr>
          <w:p>
            <w:pPr>
              <w:pStyle w:val="TableParagraph"/>
              <w:spacing w:before="0"/>
              <w:rPr>
                <w:sz w:val="16"/>
              </w:rPr>
            </w:pPr>
          </w:p>
        </w:tc>
        <w:tc>
          <w:tcPr>
            <w:tcW w:w="1608" w:type="dxa"/>
            <w:tcBorders>
              <w:top w:val="single" w:sz="6" w:space="0" w:color="000000"/>
            </w:tcBorders>
            <w:shd w:val="clear" w:color="auto" w:fill="CCEDFF"/>
          </w:tcPr>
          <w:p>
            <w:pPr>
              <w:pStyle w:val="TableParagraph"/>
              <w:spacing w:before="0"/>
              <w:rPr>
                <w:sz w:val="16"/>
              </w:rPr>
            </w:pPr>
          </w:p>
        </w:tc>
      </w:tr>
      <w:tr>
        <w:trPr>
          <w:trHeight w:val="256" w:hRule="atLeast"/>
        </w:trPr>
        <w:tc>
          <w:tcPr>
            <w:tcW w:w="5332" w:type="dxa"/>
          </w:tcPr>
          <w:p>
            <w:pPr>
              <w:pStyle w:val="TableParagraph"/>
              <w:ind w:left="125"/>
              <w:rPr>
                <w:sz w:val="18"/>
              </w:rPr>
            </w:pPr>
            <w:r>
              <w:rPr>
                <w:spacing w:val="-2"/>
                <w:sz w:val="18"/>
              </w:rPr>
              <w:t>Casino</w:t>
            </w:r>
          </w:p>
        </w:tc>
        <w:tc>
          <w:tcPr>
            <w:tcW w:w="2941" w:type="dxa"/>
          </w:tcPr>
          <w:p>
            <w:pPr>
              <w:pStyle w:val="TableParagraph"/>
              <w:ind w:right="102"/>
              <w:jc w:val="right"/>
              <w:rPr>
                <w:sz w:val="18"/>
              </w:rPr>
            </w:pPr>
            <w:r>
              <w:rPr>
                <w:spacing w:val="-2"/>
                <w:sz w:val="18"/>
              </w:rPr>
              <w:t>2,901,072</w:t>
            </w:r>
          </w:p>
        </w:tc>
        <w:tc>
          <w:tcPr>
            <w:tcW w:w="1638" w:type="dxa"/>
          </w:tcPr>
          <w:p>
            <w:pPr>
              <w:pStyle w:val="TableParagraph"/>
              <w:ind w:right="103"/>
              <w:jc w:val="right"/>
              <w:rPr>
                <w:sz w:val="18"/>
              </w:rPr>
            </w:pPr>
            <w:r>
              <w:rPr>
                <w:spacing w:val="-2"/>
                <w:sz w:val="18"/>
              </w:rPr>
              <w:t>2,721,515</w:t>
            </w:r>
          </w:p>
        </w:tc>
        <w:tc>
          <w:tcPr>
            <w:tcW w:w="1608" w:type="dxa"/>
          </w:tcPr>
          <w:p>
            <w:pPr>
              <w:pStyle w:val="TableParagraph"/>
              <w:ind w:right="74"/>
              <w:jc w:val="right"/>
              <w:rPr>
                <w:sz w:val="18"/>
              </w:rPr>
            </w:pPr>
            <w:r>
              <w:rPr>
                <w:spacing w:val="-2"/>
                <w:sz w:val="18"/>
              </w:rPr>
              <w:t>1,569,193</w:t>
            </w:r>
          </w:p>
        </w:tc>
      </w:tr>
      <w:tr>
        <w:trPr>
          <w:trHeight w:val="269" w:hRule="atLeast"/>
        </w:trPr>
        <w:tc>
          <w:tcPr>
            <w:tcW w:w="5332" w:type="dxa"/>
            <w:shd w:val="clear" w:color="auto" w:fill="CCEDFF"/>
          </w:tcPr>
          <w:p>
            <w:pPr>
              <w:pStyle w:val="TableParagraph"/>
              <w:ind w:left="125"/>
              <w:rPr>
                <w:sz w:val="18"/>
              </w:rPr>
            </w:pPr>
            <w:r>
              <w:rPr>
                <w:spacing w:val="-2"/>
                <w:sz w:val="18"/>
              </w:rPr>
              <w:t>Rooms</w:t>
            </w:r>
          </w:p>
        </w:tc>
        <w:tc>
          <w:tcPr>
            <w:tcW w:w="2941" w:type="dxa"/>
            <w:shd w:val="clear" w:color="auto" w:fill="CCEDFF"/>
          </w:tcPr>
          <w:p>
            <w:pPr>
              <w:pStyle w:val="TableParagraph"/>
              <w:ind w:right="102"/>
              <w:jc w:val="right"/>
              <w:rPr>
                <w:sz w:val="18"/>
              </w:rPr>
            </w:pPr>
            <w:r>
              <w:rPr>
                <w:spacing w:val="-2"/>
                <w:sz w:val="18"/>
              </w:rPr>
              <w:t>284,213</w:t>
            </w:r>
          </w:p>
        </w:tc>
        <w:tc>
          <w:tcPr>
            <w:tcW w:w="1638" w:type="dxa"/>
            <w:shd w:val="clear" w:color="auto" w:fill="CCEDFF"/>
          </w:tcPr>
          <w:p>
            <w:pPr>
              <w:pStyle w:val="TableParagraph"/>
              <w:ind w:right="103"/>
              <w:jc w:val="right"/>
              <w:rPr>
                <w:sz w:val="18"/>
              </w:rPr>
            </w:pPr>
            <w:r>
              <w:rPr>
                <w:spacing w:val="-2"/>
                <w:sz w:val="18"/>
              </w:rPr>
              <w:t>220,828</w:t>
            </w:r>
          </w:p>
        </w:tc>
        <w:tc>
          <w:tcPr>
            <w:tcW w:w="1608" w:type="dxa"/>
            <w:shd w:val="clear" w:color="auto" w:fill="CCEDFF"/>
          </w:tcPr>
          <w:p>
            <w:pPr>
              <w:pStyle w:val="TableParagraph"/>
              <w:ind w:right="74"/>
              <w:jc w:val="right"/>
              <w:rPr>
                <w:sz w:val="18"/>
              </w:rPr>
            </w:pPr>
            <w:r>
              <w:rPr>
                <w:spacing w:val="-2"/>
                <w:sz w:val="18"/>
              </w:rPr>
              <w:t>130,945</w:t>
            </w:r>
          </w:p>
        </w:tc>
      </w:tr>
      <w:tr>
        <w:trPr>
          <w:trHeight w:val="256" w:hRule="atLeast"/>
        </w:trPr>
        <w:tc>
          <w:tcPr>
            <w:tcW w:w="5332" w:type="dxa"/>
          </w:tcPr>
          <w:p>
            <w:pPr>
              <w:pStyle w:val="TableParagraph"/>
              <w:ind w:left="125"/>
              <w:rPr>
                <w:sz w:val="18"/>
              </w:rPr>
            </w:pPr>
            <w:r>
              <w:rPr>
                <w:sz w:val="18"/>
              </w:rPr>
              <w:t>Food</w:t>
            </w:r>
            <w:r>
              <w:rPr>
                <w:spacing w:val="-1"/>
                <w:sz w:val="18"/>
              </w:rPr>
              <w:t> </w:t>
            </w:r>
            <w:r>
              <w:rPr>
                <w:sz w:val="18"/>
              </w:rPr>
              <w:t>and</w:t>
            </w:r>
            <w:r>
              <w:rPr>
                <w:spacing w:val="-1"/>
                <w:sz w:val="18"/>
              </w:rPr>
              <w:t> </w:t>
            </w:r>
            <w:r>
              <w:rPr>
                <w:spacing w:val="-2"/>
                <w:sz w:val="18"/>
              </w:rPr>
              <w:t>beverage</w:t>
            </w:r>
          </w:p>
        </w:tc>
        <w:tc>
          <w:tcPr>
            <w:tcW w:w="2941" w:type="dxa"/>
          </w:tcPr>
          <w:p>
            <w:pPr>
              <w:pStyle w:val="TableParagraph"/>
              <w:ind w:right="102"/>
              <w:jc w:val="right"/>
              <w:rPr>
                <w:sz w:val="18"/>
              </w:rPr>
            </w:pPr>
            <w:r>
              <w:rPr>
                <w:spacing w:val="-2"/>
                <w:sz w:val="18"/>
              </w:rPr>
              <w:t>429,188</w:t>
            </w:r>
          </w:p>
        </w:tc>
        <w:tc>
          <w:tcPr>
            <w:tcW w:w="1638" w:type="dxa"/>
          </w:tcPr>
          <w:p>
            <w:pPr>
              <w:pStyle w:val="TableParagraph"/>
              <w:ind w:right="103"/>
              <w:jc w:val="right"/>
              <w:rPr>
                <w:sz w:val="18"/>
              </w:rPr>
            </w:pPr>
            <w:r>
              <w:rPr>
                <w:spacing w:val="-2"/>
                <w:sz w:val="18"/>
              </w:rPr>
              <w:t>307,750</w:t>
            </w:r>
          </w:p>
        </w:tc>
        <w:tc>
          <w:tcPr>
            <w:tcW w:w="1608" w:type="dxa"/>
          </w:tcPr>
          <w:p>
            <w:pPr>
              <w:pStyle w:val="TableParagraph"/>
              <w:ind w:right="74"/>
              <w:jc w:val="right"/>
              <w:rPr>
                <w:sz w:val="18"/>
              </w:rPr>
            </w:pPr>
            <w:r>
              <w:rPr>
                <w:spacing w:val="-2"/>
                <w:sz w:val="18"/>
              </w:rPr>
              <w:t>184,153</w:t>
            </w:r>
          </w:p>
        </w:tc>
      </w:tr>
      <w:tr>
        <w:trPr>
          <w:trHeight w:val="255" w:hRule="atLeast"/>
        </w:trPr>
        <w:tc>
          <w:tcPr>
            <w:tcW w:w="5332" w:type="dxa"/>
            <w:shd w:val="clear" w:color="auto" w:fill="CCEDFF"/>
          </w:tcPr>
          <w:p>
            <w:pPr>
              <w:pStyle w:val="TableParagraph"/>
              <w:ind w:left="125"/>
              <w:rPr>
                <w:sz w:val="18"/>
              </w:rPr>
            </w:pPr>
            <w:r>
              <w:rPr>
                <w:sz w:val="18"/>
              </w:rPr>
              <w:t>Entertainment,</w:t>
            </w:r>
            <w:r>
              <w:rPr>
                <w:spacing w:val="-5"/>
                <w:sz w:val="18"/>
              </w:rPr>
              <w:t> </w:t>
            </w:r>
            <w:r>
              <w:rPr>
                <w:sz w:val="18"/>
              </w:rPr>
              <w:t>retail</w:t>
            </w:r>
            <w:r>
              <w:rPr>
                <w:spacing w:val="-2"/>
                <w:sz w:val="18"/>
              </w:rPr>
              <w:t> </w:t>
            </w:r>
            <w:r>
              <w:rPr>
                <w:sz w:val="18"/>
              </w:rPr>
              <w:t>and</w:t>
            </w:r>
            <w:r>
              <w:rPr>
                <w:spacing w:val="-2"/>
                <w:sz w:val="18"/>
              </w:rPr>
              <w:t> </w:t>
            </w:r>
            <w:r>
              <w:rPr>
                <w:sz w:val="18"/>
              </w:rPr>
              <w:t>other,</w:t>
            </w:r>
            <w:r>
              <w:rPr>
                <w:spacing w:val="-3"/>
                <w:sz w:val="18"/>
              </w:rPr>
              <w:t> </w:t>
            </w:r>
            <w:r>
              <w:rPr>
                <w:sz w:val="18"/>
              </w:rPr>
              <w:t>and</w:t>
            </w:r>
            <w:r>
              <w:rPr>
                <w:spacing w:val="-2"/>
                <w:sz w:val="18"/>
              </w:rPr>
              <w:t> </w:t>
            </w:r>
            <w:r>
              <w:rPr>
                <w:sz w:val="18"/>
              </w:rPr>
              <w:t>reimbursed</w:t>
            </w:r>
            <w:r>
              <w:rPr>
                <w:spacing w:val="-2"/>
                <w:sz w:val="18"/>
              </w:rPr>
              <w:t> costs</w:t>
            </w:r>
          </w:p>
        </w:tc>
        <w:tc>
          <w:tcPr>
            <w:tcW w:w="2941" w:type="dxa"/>
            <w:tcBorders>
              <w:bottom w:val="single" w:sz="6" w:space="0" w:color="000000"/>
            </w:tcBorders>
            <w:shd w:val="clear" w:color="auto" w:fill="CCEDFF"/>
          </w:tcPr>
          <w:p>
            <w:pPr>
              <w:pStyle w:val="TableParagraph"/>
              <w:ind w:right="102"/>
              <w:jc w:val="right"/>
              <w:rPr>
                <w:sz w:val="18"/>
              </w:rPr>
            </w:pPr>
            <w:r>
              <w:rPr>
                <w:spacing w:val="-2"/>
                <w:sz w:val="18"/>
              </w:rPr>
              <w:t>201,412</w:t>
            </w:r>
          </w:p>
        </w:tc>
        <w:tc>
          <w:tcPr>
            <w:tcW w:w="1638" w:type="dxa"/>
            <w:tcBorders>
              <w:bottom w:val="single" w:sz="6" w:space="0" w:color="000000"/>
            </w:tcBorders>
            <w:shd w:val="clear" w:color="auto" w:fill="CCEDFF"/>
          </w:tcPr>
          <w:p>
            <w:pPr>
              <w:pStyle w:val="TableParagraph"/>
              <w:ind w:right="103"/>
              <w:jc w:val="right"/>
              <w:rPr>
                <w:sz w:val="18"/>
              </w:rPr>
            </w:pPr>
            <w:r>
              <w:rPr>
                <w:spacing w:val="-2"/>
                <w:sz w:val="18"/>
              </w:rPr>
              <w:t>142,270</w:t>
            </w:r>
          </w:p>
        </w:tc>
        <w:tc>
          <w:tcPr>
            <w:tcW w:w="1608" w:type="dxa"/>
            <w:tcBorders>
              <w:bottom w:val="single" w:sz="6" w:space="0" w:color="000000"/>
            </w:tcBorders>
            <w:shd w:val="clear" w:color="auto" w:fill="CCEDFF"/>
          </w:tcPr>
          <w:p>
            <w:pPr>
              <w:pStyle w:val="TableParagraph"/>
              <w:ind w:right="74"/>
              <w:jc w:val="right"/>
              <w:rPr>
                <w:sz w:val="18"/>
              </w:rPr>
            </w:pPr>
            <w:r>
              <w:rPr>
                <w:spacing w:val="-2"/>
                <w:sz w:val="18"/>
              </w:rPr>
              <w:t>82,880</w:t>
            </w:r>
          </w:p>
        </w:tc>
      </w:tr>
      <w:tr>
        <w:trPr>
          <w:trHeight w:val="254" w:hRule="atLeast"/>
        </w:trPr>
        <w:tc>
          <w:tcPr>
            <w:tcW w:w="5332" w:type="dxa"/>
          </w:tcPr>
          <w:p>
            <w:pPr>
              <w:pStyle w:val="TableParagraph"/>
              <w:spacing w:before="0"/>
              <w:rPr>
                <w:sz w:val="16"/>
              </w:rPr>
            </w:pPr>
          </w:p>
        </w:tc>
        <w:tc>
          <w:tcPr>
            <w:tcW w:w="2941" w:type="dxa"/>
            <w:tcBorders>
              <w:top w:val="single" w:sz="6" w:space="0" w:color="000000"/>
              <w:bottom w:val="single" w:sz="12" w:space="0" w:color="000000"/>
            </w:tcBorders>
          </w:tcPr>
          <w:p>
            <w:pPr>
              <w:pStyle w:val="TableParagraph"/>
              <w:spacing w:before="20"/>
              <w:ind w:right="102"/>
              <w:jc w:val="right"/>
              <w:rPr>
                <w:sz w:val="18"/>
              </w:rPr>
            </w:pPr>
            <w:r>
              <w:rPr>
                <w:spacing w:val="-2"/>
                <w:sz w:val="18"/>
              </w:rPr>
              <w:t>3,815,885</w:t>
            </w:r>
          </w:p>
        </w:tc>
        <w:tc>
          <w:tcPr>
            <w:tcW w:w="1638" w:type="dxa"/>
            <w:tcBorders>
              <w:top w:val="single" w:sz="6" w:space="0" w:color="000000"/>
              <w:bottom w:val="single" w:sz="12" w:space="0" w:color="000000"/>
            </w:tcBorders>
          </w:tcPr>
          <w:p>
            <w:pPr>
              <w:pStyle w:val="TableParagraph"/>
              <w:spacing w:before="20"/>
              <w:ind w:right="103"/>
              <w:jc w:val="right"/>
              <w:rPr>
                <w:sz w:val="18"/>
              </w:rPr>
            </w:pPr>
            <w:r>
              <w:rPr>
                <w:spacing w:val="-2"/>
                <w:sz w:val="18"/>
              </w:rPr>
              <w:t>3,392,363</w:t>
            </w:r>
          </w:p>
        </w:tc>
        <w:tc>
          <w:tcPr>
            <w:tcW w:w="1608" w:type="dxa"/>
            <w:tcBorders>
              <w:top w:val="single" w:sz="6" w:space="0" w:color="000000"/>
              <w:bottom w:val="single" w:sz="12" w:space="0" w:color="000000"/>
            </w:tcBorders>
          </w:tcPr>
          <w:p>
            <w:pPr>
              <w:pStyle w:val="TableParagraph"/>
              <w:spacing w:before="20"/>
              <w:ind w:right="74"/>
              <w:jc w:val="right"/>
              <w:rPr>
                <w:sz w:val="18"/>
              </w:rPr>
            </w:pPr>
            <w:r>
              <w:rPr>
                <w:spacing w:val="-2"/>
                <w:sz w:val="18"/>
              </w:rPr>
              <w:t>1,967,171</w:t>
            </w:r>
          </w:p>
        </w:tc>
      </w:tr>
      <w:tr>
        <w:trPr>
          <w:trHeight w:val="254" w:hRule="atLeast"/>
        </w:trPr>
        <w:tc>
          <w:tcPr>
            <w:tcW w:w="5332" w:type="dxa"/>
            <w:shd w:val="clear" w:color="auto" w:fill="CCEDFF"/>
          </w:tcPr>
          <w:p>
            <w:pPr>
              <w:pStyle w:val="TableParagraph"/>
              <w:spacing w:before="6"/>
              <w:ind w:left="17"/>
              <w:rPr>
                <w:b/>
                <w:sz w:val="18"/>
              </w:rPr>
            </w:pPr>
            <w:r>
              <w:rPr>
                <w:b/>
                <w:sz w:val="18"/>
              </w:rPr>
              <w:t>MGM</w:t>
            </w:r>
            <w:r>
              <w:rPr>
                <w:b/>
                <w:spacing w:val="-1"/>
                <w:sz w:val="18"/>
              </w:rPr>
              <w:t> </w:t>
            </w:r>
            <w:r>
              <w:rPr>
                <w:b/>
                <w:spacing w:val="-2"/>
                <w:sz w:val="18"/>
              </w:rPr>
              <w:t>China</w:t>
            </w:r>
          </w:p>
        </w:tc>
        <w:tc>
          <w:tcPr>
            <w:tcW w:w="2941" w:type="dxa"/>
            <w:tcBorders>
              <w:top w:val="single" w:sz="12" w:space="0" w:color="000000"/>
            </w:tcBorders>
            <w:shd w:val="clear" w:color="auto" w:fill="CCEDFF"/>
          </w:tcPr>
          <w:p>
            <w:pPr>
              <w:pStyle w:val="TableParagraph"/>
              <w:spacing w:before="0"/>
              <w:rPr>
                <w:sz w:val="16"/>
              </w:rPr>
            </w:pPr>
          </w:p>
        </w:tc>
        <w:tc>
          <w:tcPr>
            <w:tcW w:w="1638" w:type="dxa"/>
            <w:tcBorders>
              <w:top w:val="single" w:sz="12" w:space="0" w:color="000000"/>
            </w:tcBorders>
            <w:shd w:val="clear" w:color="auto" w:fill="CCEDFF"/>
          </w:tcPr>
          <w:p>
            <w:pPr>
              <w:pStyle w:val="TableParagraph"/>
              <w:spacing w:before="0"/>
              <w:rPr>
                <w:sz w:val="16"/>
              </w:rPr>
            </w:pPr>
          </w:p>
        </w:tc>
        <w:tc>
          <w:tcPr>
            <w:tcW w:w="1608" w:type="dxa"/>
            <w:tcBorders>
              <w:top w:val="single" w:sz="12" w:space="0" w:color="000000"/>
            </w:tcBorders>
            <w:shd w:val="clear" w:color="auto" w:fill="CCEDFF"/>
          </w:tcPr>
          <w:p>
            <w:pPr>
              <w:pStyle w:val="TableParagraph"/>
              <w:spacing w:before="0"/>
              <w:rPr>
                <w:sz w:val="16"/>
              </w:rPr>
            </w:pPr>
          </w:p>
        </w:tc>
      </w:tr>
      <w:tr>
        <w:trPr>
          <w:trHeight w:val="256" w:hRule="atLeast"/>
        </w:trPr>
        <w:tc>
          <w:tcPr>
            <w:tcW w:w="5332" w:type="dxa"/>
          </w:tcPr>
          <w:p>
            <w:pPr>
              <w:pStyle w:val="TableParagraph"/>
              <w:ind w:left="125"/>
              <w:rPr>
                <w:sz w:val="18"/>
              </w:rPr>
            </w:pPr>
            <w:r>
              <w:rPr>
                <w:spacing w:val="-2"/>
                <w:sz w:val="18"/>
              </w:rPr>
              <w:t>Casino</w:t>
            </w:r>
          </w:p>
        </w:tc>
        <w:tc>
          <w:tcPr>
            <w:tcW w:w="2941" w:type="dxa"/>
          </w:tcPr>
          <w:p>
            <w:pPr>
              <w:pStyle w:val="TableParagraph"/>
              <w:ind w:right="102"/>
              <w:jc w:val="right"/>
              <w:rPr>
                <w:sz w:val="18"/>
              </w:rPr>
            </w:pPr>
            <w:r>
              <w:rPr>
                <w:spacing w:val="-2"/>
                <w:sz w:val="18"/>
              </w:rPr>
              <w:t>567,573</w:t>
            </w:r>
          </w:p>
        </w:tc>
        <w:tc>
          <w:tcPr>
            <w:tcW w:w="1638" w:type="dxa"/>
          </w:tcPr>
          <w:p>
            <w:pPr>
              <w:pStyle w:val="TableParagraph"/>
              <w:ind w:right="103"/>
              <w:jc w:val="right"/>
              <w:rPr>
                <w:sz w:val="18"/>
              </w:rPr>
            </w:pPr>
            <w:r>
              <w:rPr>
                <w:spacing w:val="-2"/>
                <w:sz w:val="18"/>
              </w:rPr>
              <w:t>1,057,962</w:t>
            </w:r>
          </w:p>
        </w:tc>
        <w:tc>
          <w:tcPr>
            <w:tcW w:w="1608" w:type="dxa"/>
          </w:tcPr>
          <w:p>
            <w:pPr>
              <w:pStyle w:val="TableParagraph"/>
              <w:ind w:right="74"/>
              <w:jc w:val="right"/>
              <w:rPr>
                <w:sz w:val="18"/>
              </w:rPr>
            </w:pPr>
            <w:r>
              <w:rPr>
                <w:spacing w:val="-2"/>
                <w:sz w:val="18"/>
              </w:rPr>
              <w:t>565,671</w:t>
            </w:r>
          </w:p>
        </w:tc>
      </w:tr>
      <w:tr>
        <w:trPr>
          <w:trHeight w:val="256" w:hRule="atLeast"/>
        </w:trPr>
        <w:tc>
          <w:tcPr>
            <w:tcW w:w="5332" w:type="dxa"/>
            <w:shd w:val="clear" w:color="auto" w:fill="CCEDFF"/>
          </w:tcPr>
          <w:p>
            <w:pPr>
              <w:pStyle w:val="TableParagraph"/>
              <w:ind w:left="125"/>
              <w:rPr>
                <w:sz w:val="18"/>
              </w:rPr>
            </w:pPr>
            <w:r>
              <w:rPr>
                <w:spacing w:val="-2"/>
                <w:sz w:val="18"/>
              </w:rPr>
              <w:t>Rooms</w:t>
            </w:r>
          </w:p>
        </w:tc>
        <w:tc>
          <w:tcPr>
            <w:tcW w:w="2941" w:type="dxa"/>
            <w:shd w:val="clear" w:color="auto" w:fill="CCEDFF"/>
          </w:tcPr>
          <w:p>
            <w:pPr>
              <w:pStyle w:val="TableParagraph"/>
              <w:ind w:right="102"/>
              <w:jc w:val="right"/>
              <w:rPr>
                <w:sz w:val="18"/>
              </w:rPr>
            </w:pPr>
            <w:r>
              <w:rPr>
                <w:spacing w:val="-2"/>
                <w:sz w:val="18"/>
              </w:rPr>
              <w:t>43,216</w:t>
            </w:r>
          </w:p>
        </w:tc>
        <w:tc>
          <w:tcPr>
            <w:tcW w:w="1638" w:type="dxa"/>
            <w:shd w:val="clear" w:color="auto" w:fill="CCEDFF"/>
          </w:tcPr>
          <w:p>
            <w:pPr>
              <w:pStyle w:val="TableParagraph"/>
              <w:ind w:right="103"/>
              <w:jc w:val="right"/>
              <w:rPr>
                <w:sz w:val="18"/>
              </w:rPr>
            </w:pPr>
            <w:r>
              <w:rPr>
                <w:spacing w:val="-2"/>
                <w:sz w:val="18"/>
              </w:rPr>
              <w:t>66,498</w:t>
            </w:r>
          </w:p>
        </w:tc>
        <w:tc>
          <w:tcPr>
            <w:tcW w:w="1608" w:type="dxa"/>
            <w:shd w:val="clear" w:color="auto" w:fill="CCEDFF"/>
          </w:tcPr>
          <w:p>
            <w:pPr>
              <w:pStyle w:val="TableParagraph"/>
              <w:ind w:right="74"/>
              <w:jc w:val="right"/>
              <w:rPr>
                <w:sz w:val="18"/>
              </w:rPr>
            </w:pPr>
            <w:r>
              <w:rPr>
                <w:spacing w:val="-2"/>
                <w:sz w:val="18"/>
              </w:rPr>
              <w:t>36,624</w:t>
            </w:r>
          </w:p>
        </w:tc>
      </w:tr>
      <w:tr>
        <w:trPr>
          <w:trHeight w:val="256" w:hRule="atLeast"/>
        </w:trPr>
        <w:tc>
          <w:tcPr>
            <w:tcW w:w="5332" w:type="dxa"/>
          </w:tcPr>
          <w:p>
            <w:pPr>
              <w:pStyle w:val="TableParagraph"/>
              <w:ind w:left="125"/>
              <w:rPr>
                <w:sz w:val="18"/>
              </w:rPr>
            </w:pPr>
            <w:r>
              <w:rPr>
                <w:sz w:val="18"/>
              </w:rPr>
              <w:t>Food</w:t>
            </w:r>
            <w:r>
              <w:rPr>
                <w:spacing w:val="-1"/>
                <w:sz w:val="18"/>
              </w:rPr>
              <w:t> </w:t>
            </w:r>
            <w:r>
              <w:rPr>
                <w:sz w:val="18"/>
              </w:rPr>
              <w:t>and</w:t>
            </w:r>
            <w:r>
              <w:rPr>
                <w:spacing w:val="-1"/>
                <w:sz w:val="18"/>
              </w:rPr>
              <w:t> </w:t>
            </w:r>
            <w:r>
              <w:rPr>
                <w:spacing w:val="-2"/>
                <w:sz w:val="18"/>
              </w:rPr>
              <w:t>beverage</w:t>
            </w:r>
          </w:p>
        </w:tc>
        <w:tc>
          <w:tcPr>
            <w:tcW w:w="2941" w:type="dxa"/>
          </w:tcPr>
          <w:p>
            <w:pPr>
              <w:pStyle w:val="TableParagraph"/>
              <w:ind w:right="102"/>
              <w:jc w:val="right"/>
              <w:rPr>
                <w:sz w:val="18"/>
              </w:rPr>
            </w:pPr>
            <w:r>
              <w:rPr>
                <w:spacing w:val="-2"/>
                <w:sz w:val="18"/>
              </w:rPr>
              <w:t>49,312</w:t>
            </w:r>
          </w:p>
        </w:tc>
        <w:tc>
          <w:tcPr>
            <w:tcW w:w="1638" w:type="dxa"/>
          </w:tcPr>
          <w:p>
            <w:pPr>
              <w:pStyle w:val="TableParagraph"/>
              <w:ind w:right="103"/>
              <w:jc w:val="right"/>
              <w:rPr>
                <w:sz w:val="18"/>
              </w:rPr>
            </w:pPr>
            <w:r>
              <w:rPr>
                <w:spacing w:val="-2"/>
                <w:sz w:val="18"/>
              </w:rPr>
              <w:t>68,489</w:t>
            </w:r>
          </w:p>
        </w:tc>
        <w:tc>
          <w:tcPr>
            <w:tcW w:w="1608" w:type="dxa"/>
          </w:tcPr>
          <w:p>
            <w:pPr>
              <w:pStyle w:val="TableParagraph"/>
              <w:ind w:right="74"/>
              <w:jc w:val="right"/>
              <w:rPr>
                <w:sz w:val="18"/>
              </w:rPr>
            </w:pPr>
            <w:r>
              <w:rPr>
                <w:spacing w:val="-2"/>
                <w:sz w:val="18"/>
              </w:rPr>
              <w:t>40,284</w:t>
            </w:r>
          </w:p>
        </w:tc>
      </w:tr>
      <w:tr>
        <w:trPr>
          <w:trHeight w:val="269" w:hRule="atLeast"/>
        </w:trPr>
        <w:tc>
          <w:tcPr>
            <w:tcW w:w="5332" w:type="dxa"/>
            <w:shd w:val="clear" w:color="auto" w:fill="CCEDFF"/>
          </w:tcPr>
          <w:p>
            <w:pPr>
              <w:pStyle w:val="TableParagraph"/>
              <w:ind w:left="125"/>
              <w:rPr>
                <w:sz w:val="18"/>
              </w:rPr>
            </w:pPr>
            <w:r>
              <w:rPr>
                <w:sz w:val="18"/>
              </w:rPr>
              <w:t>Entertainment,</w:t>
            </w:r>
            <w:r>
              <w:rPr>
                <w:spacing w:val="-1"/>
                <w:sz w:val="18"/>
              </w:rPr>
              <w:t> </w:t>
            </w:r>
            <w:r>
              <w:rPr>
                <w:sz w:val="18"/>
              </w:rPr>
              <w:t>retail</w:t>
            </w:r>
            <w:r>
              <w:rPr>
                <w:spacing w:val="-1"/>
                <w:sz w:val="18"/>
              </w:rPr>
              <w:t> </w:t>
            </w:r>
            <w:r>
              <w:rPr>
                <w:sz w:val="18"/>
              </w:rPr>
              <w:t>and</w:t>
            </w:r>
            <w:r>
              <w:rPr>
                <w:spacing w:val="-1"/>
                <w:sz w:val="18"/>
              </w:rPr>
              <w:t> </w:t>
            </w:r>
            <w:r>
              <w:rPr>
                <w:spacing w:val="-2"/>
                <w:sz w:val="18"/>
              </w:rPr>
              <w:t>other</w:t>
            </w:r>
          </w:p>
        </w:tc>
        <w:tc>
          <w:tcPr>
            <w:tcW w:w="2941" w:type="dxa"/>
            <w:tcBorders>
              <w:bottom w:val="single" w:sz="6" w:space="0" w:color="000000"/>
            </w:tcBorders>
            <w:shd w:val="clear" w:color="auto" w:fill="CCEDFF"/>
          </w:tcPr>
          <w:p>
            <w:pPr>
              <w:pStyle w:val="TableParagraph"/>
              <w:ind w:right="102"/>
              <w:jc w:val="right"/>
              <w:rPr>
                <w:sz w:val="18"/>
              </w:rPr>
            </w:pPr>
            <w:r>
              <w:rPr>
                <w:spacing w:val="-2"/>
                <w:sz w:val="18"/>
              </w:rPr>
              <w:t>13,492</w:t>
            </w:r>
          </w:p>
        </w:tc>
        <w:tc>
          <w:tcPr>
            <w:tcW w:w="1638" w:type="dxa"/>
            <w:tcBorders>
              <w:bottom w:val="single" w:sz="6" w:space="0" w:color="000000"/>
            </w:tcBorders>
            <w:shd w:val="clear" w:color="auto" w:fill="CCEDFF"/>
          </w:tcPr>
          <w:p>
            <w:pPr>
              <w:pStyle w:val="TableParagraph"/>
              <w:ind w:right="103"/>
              <w:jc w:val="right"/>
              <w:rPr>
                <w:sz w:val="18"/>
              </w:rPr>
            </w:pPr>
            <w:r>
              <w:rPr>
                <w:spacing w:val="-2"/>
                <w:sz w:val="18"/>
              </w:rPr>
              <w:t>17,812</w:t>
            </w:r>
          </w:p>
        </w:tc>
        <w:tc>
          <w:tcPr>
            <w:tcW w:w="1608" w:type="dxa"/>
            <w:tcBorders>
              <w:bottom w:val="single" w:sz="6" w:space="0" w:color="000000"/>
            </w:tcBorders>
            <w:shd w:val="clear" w:color="auto" w:fill="CCEDFF"/>
          </w:tcPr>
          <w:p>
            <w:pPr>
              <w:pStyle w:val="TableParagraph"/>
              <w:ind w:right="74"/>
              <w:jc w:val="right"/>
              <w:rPr>
                <w:sz w:val="18"/>
              </w:rPr>
            </w:pPr>
            <w:r>
              <w:rPr>
                <w:spacing w:val="-2"/>
                <w:sz w:val="18"/>
              </w:rPr>
              <w:t>14,124</w:t>
            </w:r>
          </w:p>
        </w:tc>
      </w:tr>
      <w:tr>
        <w:trPr>
          <w:trHeight w:val="254" w:hRule="atLeast"/>
        </w:trPr>
        <w:tc>
          <w:tcPr>
            <w:tcW w:w="5332" w:type="dxa"/>
          </w:tcPr>
          <w:p>
            <w:pPr>
              <w:pStyle w:val="TableParagraph"/>
              <w:spacing w:before="0"/>
              <w:rPr>
                <w:sz w:val="16"/>
              </w:rPr>
            </w:pPr>
          </w:p>
        </w:tc>
        <w:tc>
          <w:tcPr>
            <w:tcW w:w="2941" w:type="dxa"/>
            <w:tcBorders>
              <w:top w:val="single" w:sz="6" w:space="0" w:color="000000"/>
              <w:bottom w:val="single" w:sz="6" w:space="0" w:color="000000"/>
            </w:tcBorders>
          </w:tcPr>
          <w:p>
            <w:pPr>
              <w:pStyle w:val="TableParagraph"/>
              <w:spacing w:before="20"/>
              <w:ind w:right="102"/>
              <w:jc w:val="right"/>
              <w:rPr>
                <w:sz w:val="18"/>
              </w:rPr>
            </w:pPr>
            <w:r>
              <w:rPr>
                <w:spacing w:val="-2"/>
                <w:sz w:val="18"/>
              </w:rPr>
              <w:t>673,593</w:t>
            </w:r>
          </w:p>
        </w:tc>
        <w:tc>
          <w:tcPr>
            <w:tcW w:w="1638" w:type="dxa"/>
            <w:tcBorders>
              <w:top w:val="single" w:sz="6" w:space="0" w:color="000000"/>
              <w:bottom w:val="single" w:sz="6" w:space="0" w:color="000000"/>
            </w:tcBorders>
          </w:tcPr>
          <w:p>
            <w:pPr>
              <w:pStyle w:val="TableParagraph"/>
              <w:spacing w:before="20"/>
              <w:ind w:right="103"/>
              <w:jc w:val="right"/>
              <w:rPr>
                <w:sz w:val="18"/>
              </w:rPr>
            </w:pPr>
            <w:r>
              <w:rPr>
                <w:spacing w:val="-2"/>
                <w:sz w:val="18"/>
              </w:rPr>
              <w:t>1,210,761</w:t>
            </w:r>
          </w:p>
        </w:tc>
        <w:tc>
          <w:tcPr>
            <w:tcW w:w="1608" w:type="dxa"/>
            <w:tcBorders>
              <w:top w:val="single" w:sz="6" w:space="0" w:color="000000"/>
              <w:bottom w:val="single" w:sz="6" w:space="0" w:color="000000"/>
            </w:tcBorders>
          </w:tcPr>
          <w:p>
            <w:pPr>
              <w:pStyle w:val="TableParagraph"/>
              <w:spacing w:before="20"/>
              <w:ind w:right="74"/>
              <w:jc w:val="right"/>
              <w:rPr>
                <w:sz w:val="18"/>
              </w:rPr>
            </w:pPr>
            <w:r>
              <w:rPr>
                <w:spacing w:val="-2"/>
                <w:sz w:val="18"/>
              </w:rPr>
              <w:t>656,703</w:t>
            </w:r>
          </w:p>
        </w:tc>
      </w:tr>
      <w:tr>
        <w:trPr>
          <w:trHeight w:val="255" w:hRule="atLeast"/>
        </w:trPr>
        <w:tc>
          <w:tcPr>
            <w:tcW w:w="5332" w:type="dxa"/>
            <w:shd w:val="clear" w:color="auto" w:fill="CCEDFF"/>
          </w:tcPr>
          <w:p>
            <w:pPr>
              <w:pStyle w:val="TableParagraph"/>
              <w:spacing w:before="6"/>
              <w:ind w:left="17"/>
              <w:rPr>
                <w:sz w:val="18"/>
              </w:rPr>
            </w:pPr>
            <w:r>
              <w:rPr>
                <w:sz w:val="18"/>
              </w:rPr>
              <w:t>Reportable</w:t>
            </w:r>
            <w:r>
              <w:rPr>
                <w:spacing w:val="-3"/>
                <w:sz w:val="18"/>
              </w:rPr>
              <w:t> </w:t>
            </w:r>
            <w:r>
              <w:rPr>
                <w:sz w:val="18"/>
              </w:rPr>
              <w:t>segment</w:t>
            </w:r>
            <w:r>
              <w:rPr>
                <w:spacing w:val="-1"/>
                <w:sz w:val="18"/>
              </w:rPr>
              <w:t> </w:t>
            </w:r>
            <w:r>
              <w:rPr>
                <w:sz w:val="18"/>
              </w:rPr>
              <w:t>net</w:t>
            </w:r>
            <w:r>
              <w:rPr>
                <w:spacing w:val="-1"/>
                <w:sz w:val="18"/>
              </w:rPr>
              <w:t> </w:t>
            </w:r>
            <w:r>
              <w:rPr>
                <w:spacing w:val="-2"/>
                <w:sz w:val="18"/>
              </w:rPr>
              <w:t>revenues</w:t>
            </w:r>
          </w:p>
        </w:tc>
        <w:tc>
          <w:tcPr>
            <w:tcW w:w="2941" w:type="dxa"/>
            <w:tcBorders>
              <w:top w:val="single" w:sz="6" w:space="0" w:color="000000"/>
            </w:tcBorders>
            <w:shd w:val="clear" w:color="auto" w:fill="CCEDFF"/>
          </w:tcPr>
          <w:p>
            <w:pPr>
              <w:pStyle w:val="TableParagraph"/>
              <w:spacing w:before="20"/>
              <w:ind w:right="102"/>
              <w:jc w:val="right"/>
              <w:rPr>
                <w:sz w:val="18"/>
              </w:rPr>
            </w:pPr>
            <w:r>
              <w:rPr>
                <w:spacing w:val="-2"/>
                <w:sz w:val="18"/>
              </w:rPr>
              <w:t>12,887,850</w:t>
            </w:r>
          </w:p>
        </w:tc>
        <w:tc>
          <w:tcPr>
            <w:tcW w:w="1638" w:type="dxa"/>
            <w:tcBorders>
              <w:top w:val="single" w:sz="6" w:space="0" w:color="000000"/>
            </w:tcBorders>
            <w:shd w:val="clear" w:color="auto" w:fill="CCEDFF"/>
          </w:tcPr>
          <w:p>
            <w:pPr>
              <w:pStyle w:val="TableParagraph"/>
              <w:spacing w:before="20"/>
              <w:ind w:right="103"/>
              <w:jc w:val="right"/>
              <w:rPr>
                <w:sz w:val="18"/>
              </w:rPr>
            </w:pPr>
            <w:r>
              <w:rPr>
                <w:spacing w:val="-2"/>
                <w:sz w:val="18"/>
              </w:rPr>
              <w:t>9,340,309</w:t>
            </w:r>
          </w:p>
        </w:tc>
        <w:tc>
          <w:tcPr>
            <w:tcW w:w="1608" w:type="dxa"/>
            <w:tcBorders>
              <w:top w:val="single" w:sz="6" w:space="0" w:color="000000"/>
            </w:tcBorders>
            <w:shd w:val="clear" w:color="auto" w:fill="CCEDFF"/>
          </w:tcPr>
          <w:p>
            <w:pPr>
              <w:pStyle w:val="TableParagraph"/>
              <w:spacing w:before="20"/>
              <w:ind w:right="74"/>
              <w:jc w:val="right"/>
              <w:rPr>
                <w:sz w:val="18"/>
              </w:rPr>
            </w:pPr>
            <w:r>
              <w:rPr>
                <w:spacing w:val="-2"/>
                <w:sz w:val="18"/>
              </w:rPr>
              <w:t>4,869,659</w:t>
            </w:r>
          </w:p>
        </w:tc>
      </w:tr>
      <w:tr>
        <w:trPr>
          <w:trHeight w:val="254" w:hRule="atLeast"/>
        </w:trPr>
        <w:tc>
          <w:tcPr>
            <w:tcW w:w="8273" w:type="dxa"/>
            <w:gridSpan w:val="2"/>
          </w:tcPr>
          <w:p>
            <w:pPr>
              <w:pStyle w:val="TableParagraph"/>
              <w:tabs>
                <w:tab w:pos="7583" w:val="left" w:leader="none"/>
              </w:tabs>
              <w:ind w:left="217"/>
              <w:rPr>
                <w:sz w:val="18"/>
              </w:rPr>
            </w:pPr>
            <w:r>
              <w:rPr>
                <w:sz w:val="18"/>
              </w:rPr>
              <w:t>Corporate</w:t>
            </w:r>
            <w:r>
              <w:rPr>
                <w:spacing w:val="-1"/>
                <w:sz w:val="18"/>
              </w:rPr>
              <w:t> </w:t>
            </w:r>
            <w:r>
              <w:rPr>
                <w:sz w:val="18"/>
              </w:rPr>
              <w:t>and</w:t>
            </w:r>
            <w:r>
              <w:rPr>
                <w:spacing w:val="-1"/>
                <w:sz w:val="18"/>
              </w:rPr>
              <w:t> </w:t>
            </w:r>
            <w:r>
              <w:rPr>
                <w:spacing w:val="-2"/>
                <w:sz w:val="18"/>
              </w:rPr>
              <w:t>other</w:t>
            </w:r>
            <w:r>
              <w:rPr>
                <w:sz w:val="18"/>
              </w:rPr>
              <w:tab/>
            </w:r>
            <w:r>
              <w:rPr>
                <w:spacing w:val="-2"/>
                <w:sz w:val="18"/>
              </w:rPr>
              <w:t>239,635</w:t>
            </w:r>
          </w:p>
        </w:tc>
        <w:tc>
          <w:tcPr>
            <w:tcW w:w="1638" w:type="dxa"/>
            <w:tcBorders>
              <w:bottom w:val="single" w:sz="12" w:space="0" w:color="000000"/>
            </w:tcBorders>
          </w:tcPr>
          <w:p>
            <w:pPr>
              <w:pStyle w:val="TableParagraph"/>
              <w:ind w:right="103"/>
              <w:jc w:val="right"/>
              <w:rPr>
                <w:sz w:val="18"/>
              </w:rPr>
            </w:pPr>
            <w:r>
              <w:rPr>
                <w:spacing w:val="-2"/>
                <w:sz w:val="18"/>
              </w:rPr>
              <w:t>339,831</w:t>
            </w:r>
          </w:p>
        </w:tc>
        <w:tc>
          <w:tcPr>
            <w:tcW w:w="1608" w:type="dxa"/>
            <w:tcBorders>
              <w:bottom w:val="single" w:sz="12" w:space="0" w:color="000000"/>
            </w:tcBorders>
          </w:tcPr>
          <w:p>
            <w:pPr>
              <w:pStyle w:val="TableParagraph"/>
              <w:ind w:right="74"/>
              <w:jc w:val="right"/>
              <w:rPr>
                <w:sz w:val="18"/>
              </w:rPr>
            </w:pPr>
            <w:r>
              <w:rPr>
                <w:spacing w:val="-2"/>
                <w:sz w:val="18"/>
              </w:rPr>
              <w:t>292,423</w:t>
            </w:r>
          </w:p>
        </w:tc>
      </w:tr>
      <w:tr>
        <w:trPr>
          <w:trHeight w:val="259" w:hRule="atLeast"/>
        </w:trPr>
        <w:tc>
          <w:tcPr>
            <w:tcW w:w="8273" w:type="dxa"/>
            <w:gridSpan w:val="2"/>
            <w:shd w:val="clear" w:color="auto" w:fill="CCEDFF"/>
          </w:tcPr>
          <w:p>
            <w:pPr>
              <w:pStyle w:val="TableParagraph"/>
              <w:tabs>
                <w:tab w:pos="621" w:val="left" w:leader="none"/>
              </w:tabs>
              <w:spacing w:before="19"/>
              <w:ind w:right="102"/>
              <w:jc w:val="right"/>
              <w:rPr>
                <w:sz w:val="18"/>
              </w:rPr>
            </w:pPr>
            <w:r>
              <w:rPr/>
              <mc:AlternateContent>
                <mc:Choice Requires="wps">
                  <w:drawing>
                    <wp:anchor distT="0" distB="0" distL="0" distR="0" allowOverlap="1" layoutInCell="1" locked="0" behindDoc="1" simplePos="0" relativeHeight="477659136">
                      <wp:simplePos x="0" y="0"/>
                      <wp:positionH relativeFrom="column">
                        <wp:posOffset>4269104</wp:posOffset>
                      </wp:positionH>
                      <wp:positionV relativeFrom="paragraph">
                        <wp:posOffset>161649</wp:posOffset>
                      </wp:positionV>
                      <wp:extent cx="960119" cy="3429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960119" cy="34290"/>
                                <a:chExt cx="960119" cy="34290"/>
                              </a:xfrm>
                            </wpg:grpSpPr>
                            <wps:wsp>
                              <wps:cNvPr id="183" name="Graphic 183"/>
                              <wps:cNvSpPr/>
                              <wps:spPr>
                                <a:xfrm>
                                  <a:off x="-12" y="-1"/>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149963pt;margin-top:12.728303pt;width:75.6pt;height:2.7pt;mso-position-horizontal-relative:column;mso-position-vertical-relative:paragraph;z-index:-25657344" id="docshapegroup180" coordorigin="6723,255" coordsize="1512,54">
                      <v:shape style="position:absolute;left:6722;top:254;width:1512;height:54" id="docshape181" coordorigin="6723,255" coordsize="1512,54" path="m8235,295l8208,295,6831,295,6723,295,6723,309,6831,309,8208,309,8235,309,8235,295xm8235,255l8208,255,6831,255,6723,255,6723,268,6831,268,8208,268,8235,268,8235,255xe" filled="true" fillcolor="#000000" stroked="false">
                        <v:path arrowok="t"/>
                        <v:fill type="solid"/>
                      </v:shape>
                      <w10:wrap type="none"/>
                    </v:group>
                  </w:pict>
                </mc:Fallback>
              </mc:AlternateContent>
            </w:r>
            <w:r>
              <w:rPr>
                <w:spacing w:val="-10"/>
                <w:sz w:val="18"/>
              </w:rPr>
              <w:t>$</w:t>
            </w:r>
            <w:r>
              <w:rPr>
                <w:sz w:val="18"/>
              </w:rPr>
              <w:tab/>
            </w:r>
            <w:r>
              <w:rPr>
                <w:spacing w:val="-2"/>
                <w:sz w:val="18"/>
              </w:rPr>
              <w:t>13,127,485</w:t>
            </w:r>
          </w:p>
        </w:tc>
        <w:tc>
          <w:tcPr>
            <w:tcW w:w="1638" w:type="dxa"/>
            <w:tcBorders>
              <w:top w:val="single" w:sz="12" w:space="0" w:color="000000"/>
            </w:tcBorders>
            <w:shd w:val="clear" w:color="auto" w:fill="CCEDFF"/>
          </w:tcPr>
          <w:p>
            <w:pPr>
              <w:pStyle w:val="TableParagraph"/>
              <w:tabs>
                <w:tab w:pos="709" w:val="left" w:leader="none"/>
              </w:tabs>
              <w:spacing w:before="19"/>
              <w:ind w:right="103"/>
              <w:jc w:val="right"/>
              <w:rPr>
                <w:sz w:val="18"/>
              </w:rPr>
            </w:pPr>
            <w:r>
              <w:rPr/>
              <mc:AlternateContent>
                <mc:Choice Requires="wps">
                  <w:drawing>
                    <wp:anchor distT="0" distB="0" distL="0" distR="0" allowOverlap="1" layoutInCell="1" locked="0" behindDoc="1" simplePos="0" relativeHeight="477659648">
                      <wp:simplePos x="0" y="0"/>
                      <wp:positionH relativeFrom="column">
                        <wp:posOffset>53736</wp:posOffset>
                      </wp:positionH>
                      <wp:positionV relativeFrom="paragraph">
                        <wp:posOffset>161649</wp:posOffset>
                      </wp:positionV>
                      <wp:extent cx="969010" cy="3429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969010" cy="34290"/>
                                <a:chExt cx="969010" cy="34290"/>
                              </a:xfrm>
                            </wpg:grpSpPr>
                            <wps:wsp>
                              <wps:cNvPr id="185" name="Graphic 185"/>
                              <wps:cNvSpPr/>
                              <wps:spPr>
                                <a:xfrm>
                                  <a:off x="-12" y="-1"/>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31225pt;margin-top:12.728303pt;width:76.3pt;height:2.7pt;mso-position-horizontal-relative:column;mso-position-vertical-relative:paragraph;z-index:-25656832" id="docshapegroup182" coordorigin="85,255" coordsize="1526,54">
                      <v:shape style="position:absolute;left:84;top:254;width:1526;height:54" id="docshape183" coordorigin="85,255" coordsize="1526,54" path="m1610,295l1583,295,206,295,85,295,85,309,206,309,1583,309,1610,309,1610,295xm1610,255l1583,255,206,255,85,255,85,268,206,268,1583,268,1610,268,1610,255xe" filled="true" fillcolor="#000000" stroked="false">
                        <v:path arrowok="t"/>
                        <v:fill type="solid"/>
                      </v:shape>
                      <w10:wrap type="none"/>
                    </v:group>
                  </w:pict>
                </mc:Fallback>
              </mc:AlternateContent>
            </w:r>
            <w:r>
              <w:rPr>
                <w:spacing w:val="-10"/>
                <w:sz w:val="18"/>
              </w:rPr>
              <w:t>$</w:t>
            </w:r>
            <w:r>
              <w:rPr>
                <w:sz w:val="18"/>
              </w:rPr>
              <w:tab/>
            </w:r>
            <w:r>
              <w:rPr>
                <w:spacing w:val="-2"/>
                <w:sz w:val="18"/>
              </w:rPr>
              <w:t>9,680,140</w:t>
            </w:r>
          </w:p>
        </w:tc>
        <w:tc>
          <w:tcPr>
            <w:tcW w:w="1608" w:type="dxa"/>
            <w:tcBorders>
              <w:top w:val="single" w:sz="12" w:space="0" w:color="000000"/>
              <w:bottom w:val="double" w:sz="6" w:space="0" w:color="000000"/>
            </w:tcBorders>
            <w:shd w:val="clear" w:color="auto" w:fill="CCEDFF"/>
          </w:tcPr>
          <w:p>
            <w:pPr>
              <w:pStyle w:val="TableParagraph"/>
              <w:tabs>
                <w:tab w:pos="710" w:val="left" w:leader="none"/>
              </w:tabs>
              <w:spacing w:before="19"/>
              <w:ind w:right="74"/>
              <w:jc w:val="right"/>
              <w:rPr>
                <w:sz w:val="18"/>
              </w:rPr>
            </w:pPr>
            <w:r>
              <w:rPr>
                <w:spacing w:val="-10"/>
                <w:sz w:val="18"/>
              </w:rPr>
              <w:t>$</w:t>
            </w:r>
            <w:r>
              <w:rPr>
                <w:sz w:val="18"/>
              </w:rPr>
              <w:tab/>
            </w:r>
            <w:r>
              <w:rPr>
                <w:spacing w:val="-2"/>
                <w:sz w:val="18"/>
              </w:rPr>
              <w:t>5,162,082</w:t>
            </w:r>
          </w:p>
        </w:tc>
      </w:tr>
    </w:tbl>
    <w:p>
      <w:pPr>
        <w:pStyle w:val="BodyText"/>
        <w:rPr>
          <w:b/>
          <w:i/>
        </w:rPr>
      </w:pPr>
    </w:p>
    <w:p>
      <w:pPr>
        <w:pStyle w:val="BodyText"/>
        <w:rPr>
          <w:b/>
          <w:i/>
        </w:rPr>
      </w:pPr>
    </w:p>
    <w:p>
      <w:pPr>
        <w:pStyle w:val="BodyText"/>
        <w:rPr>
          <w:b/>
          <w:i/>
        </w:rPr>
      </w:pPr>
    </w:p>
    <w:p>
      <w:pPr>
        <w:pStyle w:val="BodyText"/>
        <w:spacing w:before="88"/>
        <w:rPr>
          <w:b/>
          <w:i/>
        </w:rPr>
      </w:pPr>
    </w:p>
    <w:p>
      <w:pPr>
        <w:pStyle w:val="BodyText"/>
        <w:ind w:left="24"/>
        <w:jc w:val="center"/>
      </w:pPr>
      <w:r>
        <w:rPr>
          <w:spacing w:val="-5"/>
        </w:rPr>
        <w:t>36</w:t>
      </w:r>
    </w:p>
    <w:p>
      <w:pPr>
        <w:pStyle w:val="BodyText"/>
        <w:spacing w:before="3"/>
        <w:rPr>
          <w:sz w:val="6"/>
        </w:rPr>
      </w:pPr>
      <w:r>
        <w:rPr/>
        <mc:AlternateContent>
          <mc:Choice Requires="wps">
            <w:drawing>
              <wp:anchor distT="0" distB="0" distL="0" distR="0" allowOverlap="1" layoutInCell="1" locked="0" behindDoc="1" simplePos="0" relativeHeight="487617536">
                <wp:simplePos x="0" y="0"/>
                <wp:positionH relativeFrom="page">
                  <wp:posOffset>231457</wp:posOffset>
                </wp:positionH>
                <wp:positionV relativeFrom="paragraph">
                  <wp:posOffset>60956</wp:posOffset>
                </wp:positionV>
                <wp:extent cx="7312659" cy="17145"/>
                <wp:effectExtent l="0" t="0" r="0" b="0"/>
                <wp:wrapTopAndBottom/>
                <wp:docPr id="186" name="Group 186"/>
                <wp:cNvGraphicFramePr>
                  <a:graphicFrameLocks/>
                </wp:cNvGraphicFramePr>
                <a:graphic>
                  <a:graphicData uri="http://schemas.microsoft.com/office/word/2010/wordprocessingGroup">
                    <wpg:wgp>
                      <wpg:cNvPr id="186" name="Group 186"/>
                      <wpg:cNvGrpSpPr/>
                      <wpg:grpSpPr>
                        <a:xfrm>
                          <a:off x="0" y="0"/>
                          <a:ext cx="7312659" cy="17145"/>
                          <a:chExt cx="7312659" cy="17145"/>
                        </a:xfrm>
                      </wpg:grpSpPr>
                      <wps:wsp>
                        <wps:cNvPr id="187" name="Graphic 18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88" name="Graphic 188"/>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89" name="Graphic 18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98944;mso-wrap-distance-left:0;mso-wrap-distance-right:0" id="docshapegroup184" coordorigin="364,96" coordsize="11516,27">
                <v:rect style="position:absolute;left:364;top:96;width:11516;height:14" id="docshape185" filled="true" fillcolor="#999999" stroked="false">
                  <v:fill type="solid"/>
                </v:rect>
                <v:shape style="position:absolute;left:364;top:96;width:11516;height:27" id="docshape186" coordorigin="364,96" coordsize="11516,27" path="m11880,96l11866,109,364,109,364,123,11866,123,11880,123,11880,109,11880,96xe" filled="true" fillcolor="#ededed" stroked="false">
                  <v:path arrowok="t"/>
                  <v:fill type="solid"/>
                </v:shape>
                <v:shape style="position:absolute;left:364;top:96;width:14;height:27" id="docshape18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5"/>
        <w:spacing w:before="63"/>
        <w:ind w:left="394"/>
        <w:jc w:val="left"/>
      </w:pPr>
      <w:r>
        <w:rPr/>
        <w:t>Las</w:t>
      </w:r>
      <w:r>
        <w:rPr>
          <w:spacing w:val="-10"/>
        </w:rPr>
        <w:t> </w:t>
      </w:r>
      <w:r>
        <w:rPr/>
        <w:t>Vegas</w:t>
      </w:r>
      <w:r>
        <w:rPr>
          <w:spacing w:val="-7"/>
        </w:rPr>
        <w:t> </w:t>
      </w:r>
      <w:r>
        <w:rPr/>
        <w:t>Strip</w:t>
      </w:r>
      <w:r>
        <w:rPr>
          <w:spacing w:val="-6"/>
        </w:rPr>
        <w:t> </w:t>
      </w:r>
      <w:r>
        <w:rPr>
          <w:spacing w:val="-2"/>
        </w:rPr>
        <w:t>Resorts</w:t>
      </w:r>
    </w:p>
    <w:p>
      <w:pPr>
        <w:pStyle w:val="BodyText"/>
        <w:spacing w:before="6"/>
        <w:rPr>
          <w:b/>
        </w:rPr>
      </w:pPr>
    </w:p>
    <w:p>
      <w:pPr>
        <w:pStyle w:val="BodyText"/>
        <w:spacing w:line="237" w:lineRule="auto"/>
        <w:ind w:left="144" w:right="118" w:firstLine="499"/>
        <w:jc w:val="both"/>
      </w:pPr>
      <w:r>
        <w:rPr/>
        <w:t>Las</w:t>
      </w:r>
      <w:r>
        <w:rPr>
          <w:spacing w:val="-3"/>
        </w:rPr>
        <w:t> </w:t>
      </w:r>
      <w:r>
        <w:rPr/>
        <w:t>Vegas Strip Resorts casino revenue was $2.1 billion in 2022, compared to $1.5 billion in 2021, an increase of 36%, due primarily to the inclusion of The Cosmopolitan and a full year of casino revenue related to</w:t>
      </w:r>
      <w:r>
        <w:rPr>
          <w:spacing w:val="-10"/>
        </w:rPr>
        <w:t> </w:t>
      </w:r>
      <w:r>
        <w:rPr/>
        <w:t>Aria, partially offset by the disposition of</w:t>
      </w:r>
      <w:r>
        <w:rPr>
          <w:spacing w:val="-3"/>
        </w:rPr>
        <w:t> </w:t>
      </w:r>
      <w:r>
        <w:rPr/>
        <w:t>The Mirage, and was negatively affected by a decrease in business volume and travel due to the spread of the omicron variant in the early part of the current year; however, business volumes subsequently </w:t>
      </w:r>
      <w:r>
        <w:rPr/>
        <w:t>improved with a significant increase over the prior year, which was negatively affected by midweek property and hotel closures, lower travel activity, and operational restrictions due to the pandemic.</w:t>
      </w:r>
    </w:p>
    <w:p>
      <w:pPr>
        <w:pStyle w:val="BodyText"/>
        <w:spacing w:before="22"/>
      </w:pPr>
    </w:p>
    <w:p>
      <w:pPr>
        <w:pStyle w:val="BodyText"/>
        <w:ind w:right="4674"/>
        <w:jc w:val="center"/>
      </w:pPr>
      <w:r>
        <w:rPr/>
        <w:t>The</w:t>
      </w:r>
      <w:r>
        <w:rPr>
          <w:spacing w:val="-5"/>
        </w:rPr>
        <w:t> </w:t>
      </w:r>
      <w:r>
        <w:rPr/>
        <w:t>following</w:t>
      </w:r>
      <w:r>
        <w:rPr>
          <w:spacing w:val="-3"/>
        </w:rPr>
        <w:t> </w:t>
      </w:r>
      <w:r>
        <w:rPr/>
        <w:t>table</w:t>
      </w:r>
      <w:r>
        <w:rPr>
          <w:spacing w:val="-3"/>
        </w:rPr>
        <w:t> </w:t>
      </w:r>
      <w:r>
        <w:rPr/>
        <w:t>shows</w:t>
      </w:r>
      <w:r>
        <w:rPr>
          <w:spacing w:val="-2"/>
        </w:rPr>
        <w:t> </w:t>
      </w:r>
      <w:r>
        <w:rPr/>
        <w:t>key</w:t>
      </w:r>
      <w:r>
        <w:rPr>
          <w:spacing w:val="-3"/>
        </w:rPr>
        <w:t> </w:t>
      </w:r>
      <w:r>
        <w:rPr/>
        <w:t>gaming</w:t>
      </w:r>
      <w:r>
        <w:rPr>
          <w:spacing w:val="-3"/>
        </w:rPr>
        <w:t> </w:t>
      </w:r>
      <w:r>
        <w:rPr/>
        <w:t>statistics</w:t>
      </w:r>
      <w:r>
        <w:rPr>
          <w:spacing w:val="-2"/>
        </w:rPr>
        <w:t> </w:t>
      </w:r>
      <w:r>
        <w:rPr/>
        <w:t>for</w:t>
      </w:r>
      <w:r>
        <w:rPr>
          <w:spacing w:val="-3"/>
        </w:rPr>
        <w:t> </w:t>
      </w:r>
      <w:r>
        <w:rPr/>
        <w:t>our</w:t>
      </w:r>
      <w:r>
        <w:rPr>
          <w:spacing w:val="-3"/>
        </w:rPr>
        <w:t> </w:t>
      </w:r>
      <w:r>
        <w:rPr/>
        <w:t>Las</w:t>
      </w:r>
      <w:r>
        <w:rPr>
          <w:spacing w:val="-5"/>
        </w:rPr>
        <w:t> </w:t>
      </w:r>
      <w:r>
        <w:rPr/>
        <w:t>Vegas</w:t>
      </w:r>
      <w:r>
        <w:rPr>
          <w:spacing w:val="-3"/>
        </w:rPr>
        <w:t> </w:t>
      </w:r>
      <w:r>
        <w:rPr/>
        <w:t>Strip</w:t>
      </w:r>
      <w:r>
        <w:rPr>
          <w:spacing w:val="-2"/>
        </w:rPr>
        <w:t> Resorts:</w:t>
      </w:r>
    </w:p>
    <w:p>
      <w:pPr>
        <w:pStyle w:val="Heading5"/>
        <w:spacing w:before="50"/>
        <w:ind w:left="6457"/>
      </w:pPr>
      <w:r>
        <w:rPr/>
        <mc:AlternateContent>
          <mc:Choice Requires="wps">
            <w:drawing>
              <wp:anchor distT="0" distB="0" distL="0" distR="0" allowOverlap="1" layoutInCell="1" locked="0" behindDoc="1" simplePos="0" relativeHeight="487619072">
                <wp:simplePos x="0" y="0"/>
                <wp:positionH relativeFrom="page">
                  <wp:posOffset>4320527</wp:posOffset>
                </wp:positionH>
                <wp:positionV relativeFrom="paragraph">
                  <wp:posOffset>181309</wp:posOffset>
                </wp:positionV>
                <wp:extent cx="1020444" cy="889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1020444" cy="8890"/>
                        </a:xfrm>
                        <a:custGeom>
                          <a:avLst/>
                          <a:gdLst/>
                          <a:ahLst/>
                          <a:cxnLst/>
                          <a:rect l="l" t="t" r="r" b="b"/>
                          <a:pathLst>
                            <a:path w="1020444" h="8890">
                              <a:moveTo>
                                <a:pt x="1020127" y="0"/>
                              </a:moveTo>
                              <a:lnTo>
                                <a:pt x="917257" y="0"/>
                              </a:lnTo>
                              <a:lnTo>
                                <a:pt x="68580" y="0"/>
                              </a:lnTo>
                              <a:lnTo>
                                <a:pt x="0" y="0"/>
                              </a:lnTo>
                              <a:lnTo>
                                <a:pt x="0" y="8572"/>
                              </a:lnTo>
                              <a:lnTo>
                                <a:pt x="68580" y="8572"/>
                              </a:lnTo>
                              <a:lnTo>
                                <a:pt x="917257" y="8572"/>
                              </a:lnTo>
                              <a:lnTo>
                                <a:pt x="1020127" y="8572"/>
                              </a:lnTo>
                              <a:lnTo>
                                <a:pt x="10201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0.199005pt;margin-top:14.276337pt;width:80.350pt;height:.7pt;mso-position-horizontal-relative:page;mso-position-vertical-relative:paragraph;z-index:-15697408;mso-wrap-distance-left:0;mso-wrap-distance-right:0" id="docshape188" coordorigin="6804,286" coordsize="1607,14" path="m8410,286l8248,286,6912,286,6804,286,6804,299,6912,299,8248,299,8410,299,8410,28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5417807</wp:posOffset>
                </wp:positionH>
                <wp:positionV relativeFrom="paragraph">
                  <wp:posOffset>181309</wp:posOffset>
                </wp:positionV>
                <wp:extent cx="1028700" cy="889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1028700" cy="8890"/>
                        </a:xfrm>
                        <a:custGeom>
                          <a:avLst/>
                          <a:gdLst/>
                          <a:ahLst/>
                          <a:cxnLst/>
                          <a:rect l="l" t="t" r="r" b="b"/>
                          <a:pathLst>
                            <a:path w="1028700" h="8890">
                              <a:moveTo>
                                <a:pt x="1028700" y="0"/>
                              </a:moveTo>
                              <a:lnTo>
                                <a:pt x="917257" y="0"/>
                              </a:lnTo>
                              <a:lnTo>
                                <a:pt x="68580" y="0"/>
                              </a:lnTo>
                              <a:lnTo>
                                <a:pt x="0" y="0"/>
                              </a:lnTo>
                              <a:lnTo>
                                <a:pt x="0" y="8572"/>
                              </a:lnTo>
                              <a:lnTo>
                                <a:pt x="68580" y="8572"/>
                              </a:lnTo>
                              <a:lnTo>
                                <a:pt x="917257" y="8572"/>
                              </a:lnTo>
                              <a:lnTo>
                                <a:pt x="1028700" y="8572"/>
                              </a:lnTo>
                              <a:lnTo>
                                <a:pt x="1028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6.59903pt;margin-top:14.276337pt;width:81pt;height:.7pt;mso-position-horizontal-relative:page;mso-position-vertical-relative:paragraph;z-index:-15696896;mso-wrap-distance-left:0;mso-wrap-distance-right:0" id="docshape189" coordorigin="8532,286" coordsize="1620,14" path="m10152,286l9976,286,8640,286,8532,286,8532,299,8640,299,9976,299,10152,299,10152,28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6515087</wp:posOffset>
                </wp:positionH>
                <wp:positionV relativeFrom="paragraph">
                  <wp:posOffset>181309</wp:posOffset>
                </wp:positionV>
                <wp:extent cx="1028700" cy="889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1028700" cy="8890"/>
                        </a:xfrm>
                        <a:custGeom>
                          <a:avLst/>
                          <a:gdLst/>
                          <a:ahLst/>
                          <a:cxnLst/>
                          <a:rect l="l" t="t" r="r" b="b"/>
                          <a:pathLst>
                            <a:path w="1028700" h="8890">
                              <a:moveTo>
                                <a:pt x="1028700" y="0"/>
                              </a:moveTo>
                              <a:lnTo>
                                <a:pt x="917257" y="0"/>
                              </a:lnTo>
                              <a:lnTo>
                                <a:pt x="77152" y="0"/>
                              </a:lnTo>
                              <a:lnTo>
                                <a:pt x="0" y="0"/>
                              </a:lnTo>
                              <a:lnTo>
                                <a:pt x="0" y="8572"/>
                              </a:lnTo>
                              <a:lnTo>
                                <a:pt x="77152" y="8572"/>
                              </a:lnTo>
                              <a:lnTo>
                                <a:pt x="917257" y="8572"/>
                              </a:lnTo>
                              <a:lnTo>
                                <a:pt x="1028700" y="8572"/>
                              </a:lnTo>
                              <a:lnTo>
                                <a:pt x="1028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2.999023pt;margin-top:14.276337pt;width:81pt;height:.7pt;mso-position-horizontal-relative:page;mso-position-vertical-relative:paragraph;z-index:-15696384;mso-wrap-distance-left:0;mso-wrap-distance-right:0" id="docshape190" coordorigin="10260,286" coordsize="1620,14" path="m11880,286l11704,286,10381,286,10260,286,10260,299,10381,299,11704,299,11880,299,11880,286xe" filled="true" fillcolor="#000000" stroked="false">
                <v:path arrowok="t"/>
                <v:fill type="solid"/>
                <w10:wrap type="topAndBottom"/>
              </v:shape>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193" w:val="left" w:leader="none"/>
          <w:tab w:pos="9925" w:val="left" w:leader="none"/>
        </w:tabs>
        <w:spacing w:before="21" w:after="29"/>
        <w:ind w:left="6459"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584"/>
        <w:rPr>
          <w:sz w:val="2"/>
        </w:rPr>
      </w:pPr>
      <w:r>
        <w:rPr>
          <w:sz w:val="2"/>
        </w:rPr>
        <mc:AlternateContent>
          <mc:Choice Requires="wps">
            <w:drawing>
              <wp:inline distT="0" distB="0" distL="0" distR="0">
                <wp:extent cx="3223260" cy="8890"/>
                <wp:effectExtent l="0" t="0" r="0" b="0"/>
                <wp:docPr id="193" name="Group 193"/>
                <wp:cNvGraphicFramePr>
                  <a:graphicFrameLocks/>
                </wp:cNvGraphicFramePr>
                <a:graphic>
                  <a:graphicData uri="http://schemas.microsoft.com/office/word/2010/wordprocessingGroup">
                    <wpg:wgp>
                      <wpg:cNvPr id="193" name="Group 193"/>
                      <wpg:cNvGrpSpPr/>
                      <wpg:grpSpPr>
                        <a:xfrm>
                          <a:off x="0" y="0"/>
                          <a:ext cx="3223260" cy="8890"/>
                          <a:chExt cx="3223260" cy="8890"/>
                        </a:xfrm>
                      </wpg:grpSpPr>
                      <wps:wsp>
                        <wps:cNvPr id="194" name="Graphic 194"/>
                        <wps:cNvSpPr/>
                        <wps:spPr>
                          <a:xfrm>
                            <a:off x="-12" y="-2"/>
                            <a:ext cx="3223260" cy="8890"/>
                          </a:xfrm>
                          <a:custGeom>
                            <a:avLst/>
                            <a:gdLst/>
                            <a:ahLst/>
                            <a:cxnLst/>
                            <a:rect l="l" t="t" r="r" b="b"/>
                            <a:pathLst>
                              <a:path w="3223260" h="8890">
                                <a:moveTo>
                                  <a:pt x="3223260" y="0"/>
                                </a:moveTo>
                                <a:lnTo>
                                  <a:pt x="3223260" y="0"/>
                                </a:lnTo>
                                <a:lnTo>
                                  <a:pt x="0" y="0"/>
                                </a:lnTo>
                                <a:lnTo>
                                  <a:pt x="0" y="8572"/>
                                </a:lnTo>
                                <a:lnTo>
                                  <a:pt x="3223260" y="8572"/>
                                </a:lnTo>
                                <a:lnTo>
                                  <a:pt x="32232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3.8pt;height:.7pt;mso-position-horizontal-relative:char;mso-position-vertical-relative:line" id="docshapegroup191" coordorigin="0,0" coordsize="5076,14">
                <v:rect style="position:absolute;left:-1;top:0;width:5076;height:14" id="docshape192" filled="true" fillcolor="#000000" stroked="false">
                  <v:fill type="solid"/>
                </v:rect>
              </v:group>
            </w:pict>
          </mc:Fallback>
        </mc:AlternateContent>
      </w:r>
      <w:r>
        <w:rPr>
          <w:sz w:val="2"/>
        </w:rPr>
      </w:r>
    </w:p>
    <w:p>
      <w:pPr>
        <w:spacing w:before="11" w:after="51"/>
        <w:ind w:left="6457" w:right="0" w:firstLine="0"/>
        <w:jc w:val="center"/>
        <w:rPr>
          <w:b/>
          <w:i/>
          <w:sz w:val="14"/>
        </w:rPr>
      </w:pPr>
      <w:r>
        <w:rPr>
          <w:b/>
          <w:i/>
          <w:sz w:val="14"/>
        </w:rPr>
        <w:t>(Dollars</w:t>
      </w:r>
      <w:r>
        <w:rPr>
          <w:b/>
          <w:i/>
          <w:spacing w:val="5"/>
          <w:sz w:val="14"/>
        </w:rPr>
        <w:t> </w:t>
      </w:r>
      <w:r>
        <w:rPr>
          <w:b/>
          <w:i/>
          <w:sz w:val="14"/>
        </w:rPr>
        <w:t>in</w:t>
      </w:r>
      <w:r>
        <w:rPr>
          <w:b/>
          <w:i/>
          <w:spacing w:val="6"/>
          <w:sz w:val="14"/>
        </w:rPr>
        <w:t> </w:t>
      </w:r>
      <w:r>
        <w:rPr>
          <w:b/>
          <w:i/>
          <w:spacing w:val="-2"/>
          <w:sz w:val="14"/>
        </w:rPr>
        <w:t>millions)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5"/>
        <w:gridCol w:w="4134"/>
        <w:gridCol w:w="2222"/>
        <w:gridCol w:w="1183"/>
      </w:tblGrid>
      <w:tr>
        <w:trPr>
          <w:trHeight w:val="256" w:hRule="atLeast"/>
        </w:trPr>
        <w:tc>
          <w:tcPr>
            <w:tcW w:w="3975" w:type="dxa"/>
            <w:shd w:val="clear" w:color="auto" w:fill="CCEDFF"/>
          </w:tcPr>
          <w:p>
            <w:pPr>
              <w:pStyle w:val="TableParagraph"/>
              <w:ind w:left="17"/>
              <w:rPr>
                <w:sz w:val="18"/>
              </w:rPr>
            </w:pPr>
            <w:r>
              <w:rPr>
                <w:sz w:val="18"/>
              </w:rPr>
              <w:t>Table</w:t>
            </w:r>
            <w:r>
              <w:rPr>
                <w:spacing w:val="-8"/>
                <w:sz w:val="18"/>
              </w:rPr>
              <w:t> </w:t>
            </w:r>
            <w:r>
              <w:rPr>
                <w:sz w:val="18"/>
              </w:rPr>
              <w:t>Games</w:t>
            </w:r>
            <w:r>
              <w:rPr>
                <w:spacing w:val="-7"/>
                <w:sz w:val="18"/>
              </w:rPr>
              <w:t> </w:t>
            </w:r>
            <w:r>
              <w:rPr>
                <w:spacing w:val="-4"/>
                <w:sz w:val="18"/>
              </w:rPr>
              <w:t>Drop</w:t>
            </w:r>
          </w:p>
        </w:tc>
        <w:tc>
          <w:tcPr>
            <w:tcW w:w="4134" w:type="dxa"/>
            <w:shd w:val="clear" w:color="auto" w:fill="CCEDFF"/>
          </w:tcPr>
          <w:p>
            <w:pPr>
              <w:pStyle w:val="TableParagraph"/>
              <w:tabs>
                <w:tab w:pos="3458" w:val="left" w:leader="none"/>
              </w:tabs>
              <w:ind w:left="2476"/>
              <w:rPr>
                <w:sz w:val="18"/>
              </w:rPr>
            </w:pPr>
            <w:r>
              <w:rPr>
                <w:spacing w:val="-10"/>
                <w:sz w:val="18"/>
              </w:rPr>
              <w:t>$</w:t>
            </w:r>
            <w:r>
              <w:rPr>
                <w:sz w:val="18"/>
              </w:rPr>
              <w:tab/>
            </w:r>
            <w:r>
              <w:rPr>
                <w:spacing w:val="-2"/>
                <w:sz w:val="18"/>
              </w:rPr>
              <w:t>5,804</w:t>
            </w:r>
          </w:p>
        </w:tc>
        <w:tc>
          <w:tcPr>
            <w:tcW w:w="2222" w:type="dxa"/>
            <w:shd w:val="clear" w:color="auto" w:fill="CCEDFF"/>
          </w:tcPr>
          <w:p>
            <w:pPr>
              <w:pStyle w:val="TableParagraph"/>
              <w:tabs>
                <w:tab w:pos="1058" w:val="left" w:leader="none"/>
                <w:tab w:pos="1810" w:val="left" w:leader="none"/>
              </w:tabs>
              <w:ind w:left="76"/>
              <w:rPr>
                <w:sz w:val="18"/>
              </w:rPr>
            </w:pPr>
            <w:r>
              <w:rPr>
                <w:spacing w:val="-10"/>
                <w:sz w:val="18"/>
              </w:rPr>
              <w:t>$</w:t>
            </w:r>
            <w:r>
              <w:rPr>
                <w:sz w:val="18"/>
              </w:rPr>
              <w:tab/>
            </w:r>
            <w:r>
              <w:rPr>
                <w:spacing w:val="-2"/>
                <w:sz w:val="18"/>
              </w:rPr>
              <w:t>3,597</w:t>
            </w:r>
            <w:r>
              <w:rPr>
                <w:sz w:val="18"/>
              </w:rPr>
              <w:tab/>
            </w:r>
            <w:r>
              <w:rPr>
                <w:spacing w:val="-10"/>
                <w:sz w:val="18"/>
              </w:rPr>
              <w:t>$</w:t>
            </w:r>
          </w:p>
        </w:tc>
        <w:tc>
          <w:tcPr>
            <w:tcW w:w="1183" w:type="dxa"/>
            <w:shd w:val="clear" w:color="auto" w:fill="CCEDFF"/>
          </w:tcPr>
          <w:p>
            <w:pPr>
              <w:pStyle w:val="TableParagraph"/>
              <w:ind w:left="565"/>
              <w:rPr>
                <w:sz w:val="18"/>
              </w:rPr>
            </w:pPr>
            <w:r>
              <w:rPr>
                <w:spacing w:val="-2"/>
                <w:sz w:val="18"/>
              </w:rPr>
              <w:t>2,001</w:t>
            </w:r>
          </w:p>
        </w:tc>
      </w:tr>
      <w:tr>
        <w:trPr>
          <w:trHeight w:val="256" w:hRule="atLeast"/>
        </w:trPr>
        <w:tc>
          <w:tcPr>
            <w:tcW w:w="3975" w:type="dxa"/>
          </w:tcPr>
          <w:p>
            <w:pPr>
              <w:pStyle w:val="TableParagraph"/>
              <w:ind w:left="17"/>
              <w:rPr>
                <w:sz w:val="18"/>
              </w:rPr>
            </w:pPr>
            <w:r>
              <w:rPr>
                <w:sz w:val="18"/>
              </w:rPr>
              <w:t>Table</w:t>
            </w:r>
            <w:r>
              <w:rPr>
                <w:spacing w:val="-10"/>
                <w:sz w:val="18"/>
              </w:rPr>
              <w:t> </w:t>
            </w:r>
            <w:r>
              <w:rPr>
                <w:sz w:val="18"/>
              </w:rPr>
              <w:t>Games</w:t>
            </w:r>
            <w:r>
              <w:rPr>
                <w:spacing w:val="-10"/>
                <w:sz w:val="18"/>
              </w:rPr>
              <w:t> </w:t>
            </w:r>
            <w:r>
              <w:rPr>
                <w:spacing w:val="-5"/>
                <w:sz w:val="18"/>
              </w:rPr>
              <w:t>Win</w:t>
            </w:r>
          </w:p>
        </w:tc>
        <w:tc>
          <w:tcPr>
            <w:tcW w:w="4134" w:type="dxa"/>
          </w:tcPr>
          <w:p>
            <w:pPr>
              <w:pStyle w:val="TableParagraph"/>
              <w:tabs>
                <w:tab w:pos="3458" w:val="left" w:leader="none"/>
              </w:tabs>
              <w:ind w:left="2476"/>
              <w:rPr>
                <w:sz w:val="18"/>
              </w:rPr>
            </w:pPr>
            <w:r>
              <w:rPr>
                <w:spacing w:val="-10"/>
                <w:sz w:val="18"/>
              </w:rPr>
              <w:t>$</w:t>
            </w:r>
            <w:r>
              <w:rPr>
                <w:sz w:val="18"/>
              </w:rPr>
              <w:tab/>
            </w:r>
            <w:r>
              <w:rPr>
                <w:spacing w:val="-2"/>
                <w:sz w:val="18"/>
              </w:rPr>
              <w:t>1,391</w:t>
            </w:r>
          </w:p>
        </w:tc>
        <w:tc>
          <w:tcPr>
            <w:tcW w:w="2222" w:type="dxa"/>
          </w:tcPr>
          <w:p>
            <w:pPr>
              <w:pStyle w:val="TableParagraph"/>
              <w:tabs>
                <w:tab w:pos="1193" w:val="left" w:leader="none"/>
                <w:tab w:pos="1810" w:val="left" w:leader="none"/>
              </w:tabs>
              <w:ind w:left="76"/>
              <w:rPr>
                <w:sz w:val="18"/>
              </w:rPr>
            </w:pPr>
            <w:r>
              <w:rPr>
                <w:spacing w:val="-10"/>
                <w:sz w:val="18"/>
              </w:rPr>
              <w:t>$</w:t>
            </w:r>
            <w:r>
              <w:rPr>
                <w:sz w:val="18"/>
              </w:rPr>
              <w:tab/>
            </w:r>
            <w:r>
              <w:rPr>
                <w:spacing w:val="-5"/>
                <w:sz w:val="18"/>
              </w:rPr>
              <w:t>885</w:t>
            </w:r>
            <w:r>
              <w:rPr>
                <w:sz w:val="18"/>
              </w:rPr>
              <w:tab/>
            </w:r>
            <w:r>
              <w:rPr>
                <w:spacing w:val="-10"/>
                <w:sz w:val="18"/>
              </w:rPr>
              <w:t>$</w:t>
            </w:r>
          </w:p>
        </w:tc>
        <w:tc>
          <w:tcPr>
            <w:tcW w:w="1183" w:type="dxa"/>
          </w:tcPr>
          <w:p>
            <w:pPr>
              <w:pStyle w:val="TableParagraph"/>
              <w:ind w:left="700"/>
              <w:rPr>
                <w:sz w:val="18"/>
              </w:rPr>
            </w:pPr>
            <w:r>
              <w:rPr>
                <w:spacing w:val="-5"/>
                <w:sz w:val="18"/>
              </w:rPr>
              <w:t>470</w:t>
            </w:r>
          </w:p>
        </w:tc>
      </w:tr>
      <w:tr>
        <w:trPr>
          <w:trHeight w:val="256" w:hRule="atLeast"/>
        </w:trPr>
        <w:tc>
          <w:tcPr>
            <w:tcW w:w="3975" w:type="dxa"/>
            <w:shd w:val="clear" w:color="auto" w:fill="CCEDFF"/>
          </w:tcPr>
          <w:p>
            <w:pPr>
              <w:pStyle w:val="TableParagraph"/>
              <w:ind w:left="17"/>
              <w:rPr>
                <w:sz w:val="18"/>
              </w:rPr>
            </w:pPr>
            <w:r>
              <w:rPr>
                <w:sz w:val="18"/>
              </w:rPr>
              <w:t>Table</w:t>
            </w:r>
            <w:r>
              <w:rPr>
                <w:spacing w:val="-9"/>
                <w:sz w:val="18"/>
              </w:rPr>
              <w:t> </w:t>
            </w:r>
            <w:r>
              <w:rPr>
                <w:sz w:val="18"/>
              </w:rPr>
              <w:t>Games</w:t>
            </w:r>
            <w:r>
              <w:rPr>
                <w:spacing w:val="-10"/>
                <w:sz w:val="18"/>
              </w:rPr>
              <w:t> </w:t>
            </w:r>
            <w:r>
              <w:rPr>
                <w:sz w:val="18"/>
              </w:rPr>
              <w:t>Win</w:t>
            </w:r>
            <w:r>
              <w:rPr>
                <w:spacing w:val="-8"/>
                <w:sz w:val="18"/>
              </w:rPr>
              <w:t> </w:t>
            </w:r>
            <w:r>
              <w:rPr>
                <w:spacing w:val="-10"/>
                <w:sz w:val="18"/>
              </w:rPr>
              <w:t>%</w:t>
            </w:r>
          </w:p>
        </w:tc>
        <w:tc>
          <w:tcPr>
            <w:tcW w:w="4134" w:type="dxa"/>
            <w:shd w:val="clear" w:color="auto" w:fill="CCEDFF"/>
          </w:tcPr>
          <w:p>
            <w:pPr>
              <w:pStyle w:val="TableParagraph"/>
              <w:ind w:right="73"/>
              <w:jc w:val="right"/>
              <w:rPr>
                <w:sz w:val="18"/>
              </w:rPr>
            </w:pPr>
            <w:r>
              <w:rPr>
                <w:sz w:val="18"/>
              </w:rPr>
              <w:t>24.0 </w:t>
            </w:r>
            <w:r>
              <w:rPr>
                <w:spacing w:val="-10"/>
                <w:sz w:val="18"/>
              </w:rPr>
              <w:t>%</w:t>
            </w:r>
          </w:p>
        </w:tc>
        <w:tc>
          <w:tcPr>
            <w:tcW w:w="2222" w:type="dxa"/>
            <w:shd w:val="clear" w:color="auto" w:fill="CCEDFF"/>
          </w:tcPr>
          <w:p>
            <w:pPr>
              <w:pStyle w:val="TableParagraph"/>
              <w:ind w:left="1148"/>
              <w:rPr>
                <w:sz w:val="18"/>
              </w:rPr>
            </w:pPr>
            <w:r>
              <w:rPr>
                <w:sz w:val="18"/>
              </w:rPr>
              <w:t>24.6 </w:t>
            </w:r>
            <w:r>
              <w:rPr>
                <w:spacing w:val="-10"/>
                <w:sz w:val="18"/>
              </w:rPr>
              <w:t>%</w:t>
            </w:r>
          </w:p>
        </w:tc>
        <w:tc>
          <w:tcPr>
            <w:tcW w:w="1183" w:type="dxa"/>
            <w:shd w:val="clear" w:color="auto" w:fill="CCEDFF"/>
          </w:tcPr>
          <w:p>
            <w:pPr>
              <w:pStyle w:val="TableParagraph"/>
              <w:ind w:right="14"/>
              <w:jc w:val="right"/>
              <w:rPr>
                <w:sz w:val="18"/>
              </w:rPr>
            </w:pPr>
            <w:r>
              <w:rPr>
                <w:sz w:val="18"/>
              </w:rPr>
              <w:t>23.5</w:t>
            </w:r>
            <w:r>
              <w:rPr>
                <w:spacing w:val="1"/>
                <w:sz w:val="18"/>
              </w:rPr>
              <w:t> </w:t>
            </w:r>
            <w:r>
              <w:rPr>
                <w:spacing w:val="-10"/>
                <w:sz w:val="18"/>
              </w:rPr>
              <w:t>%</w:t>
            </w:r>
          </w:p>
        </w:tc>
      </w:tr>
      <w:tr>
        <w:trPr>
          <w:trHeight w:val="256" w:hRule="atLeast"/>
        </w:trPr>
        <w:tc>
          <w:tcPr>
            <w:tcW w:w="3975" w:type="dxa"/>
          </w:tcPr>
          <w:p>
            <w:pPr>
              <w:pStyle w:val="TableParagraph"/>
              <w:ind w:left="17"/>
              <w:rPr>
                <w:sz w:val="18"/>
              </w:rPr>
            </w:pPr>
            <w:r>
              <w:rPr>
                <w:sz w:val="18"/>
              </w:rPr>
              <w:t>Slots</w:t>
            </w:r>
            <w:r>
              <w:rPr>
                <w:spacing w:val="-1"/>
                <w:sz w:val="18"/>
              </w:rPr>
              <w:t> </w:t>
            </w:r>
            <w:r>
              <w:rPr>
                <w:spacing w:val="-2"/>
                <w:sz w:val="18"/>
              </w:rPr>
              <w:t>Handle</w:t>
            </w:r>
          </w:p>
        </w:tc>
        <w:tc>
          <w:tcPr>
            <w:tcW w:w="4134" w:type="dxa"/>
          </w:tcPr>
          <w:p>
            <w:pPr>
              <w:pStyle w:val="TableParagraph"/>
              <w:tabs>
                <w:tab w:pos="3368" w:val="left" w:leader="none"/>
              </w:tabs>
              <w:ind w:left="2476"/>
              <w:rPr>
                <w:sz w:val="18"/>
              </w:rPr>
            </w:pPr>
            <w:r>
              <w:rPr>
                <w:spacing w:val="-10"/>
                <w:sz w:val="18"/>
              </w:rPr>
              <w:t>$</w:t>
            </w:r>
            <w:r>
              <w:rPr>
                <w:sz w:val="18"/>
              </w:rPr>
              <w:tab/>
            </w:r>
            <w:r>
              <w:rPr>
                <w:spacing w:val="-2"/>
                <w:sz w:val="18"/>
              </w:rPr>
              <w:t>22,812</w:t>
            </w:r>
          </w:p>
        </w:tc>
        <w:tc>
          <w:tcPr>
            <w:tcW w:w="2222" w:type="dxa"/>
          </w:tcPr>
          <w:p>
            <w:pPr>
              <w:pStyle w:val="TableParagraph"/>
              <w:tabs>
                <w:tab w:pos="968" w:val="left" w:leader="none"/>
                <w:tab w:pos="1810" w:val="left" w:leader="none"/>
              </w:tabs>
              <w:ind w:left="76"/>
              <w:rPr>
                <w:sz w:val="18"/>
              </w:rPr>
            </w:pPr>
            <w:r>
              <w:rPr>
                <w:spacing w:val="-10"/>
                <w:sz w:val="18"/>
              </w:rPr>
              <w:t>$</w:t>
            </w:r>
            <w:r>
              <w:rPr>
                <w:sz w:val="18"/>
              </w:rPr>
              <w:tab/>
            </w:r>
            <w:r>
              <w:rPr>
                <w:spacing w:val="-2"/>
                <w:sz w:val="18"/>
              </w:rPr>
              <w:t>15,089</w:t>
            </w:r>
            <w:r>
              <w:rPr>
                <w:sz w:val="18"/>
              </w:rPr>
              <w:tab/>
            </w:r>
            <w:r>
              <w:rPr>
                <w:spacing w:val="-10"/>
                <w:sz w:val="18"/>
              </w:rPr>
              <w:t>$</w:t>
            </w:r>
          </w:p>
        </w:tc>
        <w:tc>
          <w:tcPr>
            <w:tcW w:w="1183" w:type="dxa"/>
          </w:tcPr>
          <w:p>
            <w:pPr>
              <w:pStyle w:val="TableParagraph"/>
              <w:ind w:left="565"/>
              <w:rPr>
                <w:sz w:val="18"/>
              </w:rPr>
            </w:pPr>
            <w:r>
              <w:rPr>
                <w:spacing w:val="-2"/>
                <w:sz w:val="18"/>
              </w:rPr>
              <w:t>6,904</w:t>
            </w:r>
          </w:p>
        </w:tc>
      </w:tr>
      <w:tr>
        <w:trPr>
          <w:trHeight w:val="256" w:hRule="atLeast"/>
        </w:trPr>
        <w:tc>
          <w:tcPr>
            <w:tcW w:w="3975" w:type="dxa"/>
            <w:shd w:val="clear" w:color="auto" w:fill="CCEDFF"/>
          </w:tcPr>
          <w:p>
            <w:pPr>
              <w:pStyle w:val="TableParagraph"/>
              <w:ind w:left="17"/>
              <w:rPr>
                <w:sz w:val="18"/>
              </w:rPr>
            </w:pPr>
            <w:r>
              <w:rPr>
                <w:sz w:val="18"/>
              </w:rPr>
              <w:t>Slots</w:t>
            </w:r>
            <w:r>
              <w:rPr>
                <w:spacing w:val="-4"/>
                <w:sz w:val="18"/>
              </w:rPr>
              <w:t> </w:t>
            </w:r>
            <w:r>
              <w:rPr>
                <w:spacing w:val="-5"/>
                <w:sz w:val="18"/>
              </w:rPr>
              <w:t>Win</w:t>
            </w:r>
          </w:p>
        </w:tc>
        <w:tc>
          <w:tcPr>
            <w:tcW w:w="4134" w:type="dxa"/>
            <w:shd w:val="clear" w:color="auto" w:fill="CCEDFF"/>
          </w:tcPr>
          <w:p>
            <w:pPr>
              <w:pStyle w:val="TableParagraph"/>
              <w:tabs>
                <w:tab w:pos="3458" w:val="left" w:leader="none"/>
              </w:tabs>
              <w:ind w:left="2476"/>
              <w:rPr>
                <w:sz w:val="18"/>
              </w:rPr>
            </w:pPr>
            <w:r>
              <w:rPr>
                <w:spacing w:val="-10"/>
                <w:sz w:val="18"/>
              </w:rPr>
              <w:t>$</w:t>
            </w:r>
            <w:r>
              <w:rPr>
                <w:sz w:val="18"/>
              </w:rPr>
              <w:tab/>
            </w:r>
            <w:r>
              <w:rPr>
                <w:spacing w:val="-2"/>
                <w:sz w:val="18"/>
              </w:rPr>
              <w:t>2,127</w:t>
            </w:r>
          </w:p>
        </w:tc>
        <w:tc>
          <w:tcPr>
            <w:tcW w:w="2222" w:type="dxa"/>
            <w:shd w:val="clear" w:color="auto" w:fill="CCEDFF"/>
          </w:tcPr>
          <w:p>
            <w:pPr>
              <w:pStyle w:val="TableParagraph"/>
              <w:tabs>
                <w:tab w:pos="1058" w:val="left" w:leader="none"/>
                <w:tab w:pos="1810" w:val="left" w:leader="none"/>
              </w:tabs>
              <w:ind w:left="76"/>
              <w:rPr>
                <w:sz w:val="18"/>
              </w:rPr>
            </w:pPr>
            <w:r>
              <w:rPr>
                <w:spacing w:val="-10"/>
                <w:sz w:val="18"/>
              </w:rPr>
              <w:t>$</w:t>
            </w:r>
            <w:r>
              <w:rPr>
                <w:sz w:val="18"/>
              </w:rPr>
              <w:tab/>
            </w:r>
            <w:r>
              <w:rPr>
                <w:spacing w:val="-2"/>
                <w:sz w:val="18"/>
              </w:rPr>
              <w:t>1,417</w:t>
            </w:r>
            <w:r>
              <w:rPr>
                <w:sz w:val="18"/>
              </w:rPr>
              <w:tab/>
            </w:r>
            <w:r>
              <w:rPr>
                <w:spacing w:val="-10"/>
                <w:sz w:val="18"/>
              </w:rPr>
              <w:t>$</w:t>
            </w:r>
          </w:p>
        </w:tc>
        <w:tc>
          <w:tcPr>
            <w:tcW w:w="1183" w:type="dxa"/>
            <w:shd w:val="clear" w:color="auto" w:fill="CCEDFF"/>
          </w:tcPr>
          <w:p>
            <w:pPr>
              <w:pStyle w:val="TableParagraph"/>
              <w:ind w:left="700"/>
              <w:rPr>
                <w:sz w:val="18"/>
              </w:rPr>
            </w:pPr>
            <w:r>
              <w:rPr>
                <w:spacing w:val="-5"/>
                <w:sz w:val="18"/>
              </w:rPr>
              <w:t>649</w:t>
            </w:r>
          </w:p>
        </w:tc>
      </w:tr>
      <w:tr>
        <w:trPr>
          <w:trHeight w:val="227" w:hRule="atLeast"/>
        </w:trPr>
        <w:tc>
          <w:tcPr>
            <w:tcW w:w="3975" w:type="dxa"/>
          </w:tcPr>
          <w:p>
            <w:pPr>
              <w:pStyle w:val="TableParagraph"/>
              <w:spacing w:line="187" w:lineRule="exact"/>
              <w:ind w:left="17"/>
              <w:rPr>
                <w:sz w:val="18"/>
              </w:rPr>
            </w:pPr>
            <w:r>
              <w:rPr>
                <w:sz w:val="18"/>
              </w:rPr>
              <w:t>Slots</w:t>
            </w:r>
            <w:r>
              <w:rPr>
                <w:spacing w:val="-1"/>
                <w:sz w:val="18"/>
              </w:rPr>
              <w:t> </w:t>
            </w:r>
            <w:r>
              <w:rPr>
                <w:sz w:val="18"/>
              </w:rPr>
              <w:t>Hold</w:t>
            </w:r>
            <w:r>
              <w:rPr>
                <w:spacing w:val="-1"/>
                <w:sz w:val="18"/>
              </w:rPr>
              <w:t> </w:t>
            </w:r>
            <w:r>
              <w:rPr>
                <w:spacing w:val="-10"/>
                <w:sz w:val="18"/>
              </w:rPr>
              <w:t>%</w:t>
            </w:r>
          </w:p>
        </w:tc>
        <w:tc>
          <w:tcPr>
            <w:tcW w:w="4134" w:type="dxa"/>
          </w:tcPr>
          <w:p>
            <w:pPr>
              <w:pStyle w:val="TableParagraph"/>
              <w:spacing w:line="187" w:lineRule="exact"/>
              <w:ind w:right="73"/>
              <w:jc w:val="right"/>
              <w:rPr>
                <w:sz w:val="18"/>
              </w:rPr>
            </w:pPr>
            <w:r>
              <w:rPr>
                <w:sz w:val="18"/>
              </w:rPr>
              <w:t>9.3 </w:t>
            </w:r>
            <w:r>
              <w:rPr>
                <w:spacing w:val="-10"/>
                <w:sz w:val="18"/>
              </w:rPr>
              <w:t>%</w:t>
            </w:r>
          </w:p>
        </w:tc>
        <w:tc>
          <w:tcPr>
            <w:tcW w:w="2222" w:type="dxa"/>
          </w:tcPr>
          <w:p>
            <w:pPr>
              <w:pStyle w:val="TableParagraph"/>
              <w:spacing w:line="187" w:lineRule="exact"/>
              <w:ind w:left="1238"/>
              <w:rPr>
                <w:sz w:val="18"/>
              </w:rPr>
            </w:pPr>
            <w:r>
              <w:rPr>
                <w:sz w:val="18"/>
              </w:rPr>
              <w:t>9.4 </w:t>
            </w:r>
            <w:r>
              <w:rPr>
                <w:spacing w:val="-10"/>
                <w:sz w:val="18"/>
              </w:rPr>
              <w:t>%</w:t>
            </w:r>
          </w:p>
        </w:tc>
        <w:tc>
          <w:tcPr>
            <w:tcW w:w="1183" w:type="dxa"/>
          </w:tcPr>
          <w:p>
            <w:pPr>
              <w:pStyle w:val="TableParagraph"/>
              <w:spacing w:line="187" w:lineRule="exact"/>
              <w:ind w:right="14"/>
              <w:jc w:val="right"/>
              <w:rPr>
                <w:sz w:val="18"/>
              </w:rPr>
            </w:pPr>
            <w:r>
              <w:rPr>
                <w:sz w:val="18"/>
              </w:rPr>
              <w:t>9.4</w:t>
            </w:r>
            <w:r>
              <w:rPr>
                <w:spacing w:val="1"/>
                <w:sz w:val="18"/>
              </w:rPr>
              <w:t> </w:t>
            </w:r>
            <w:r>
              <w:rPr>
                <w:spacing w:val="-10"/>
                <w:sz w:val="18"/>
              </w:rPr>
              <w:t>%</w:t>
            </w:r>
          </w:p>
        </w:tc>
      </w:tr>
    </w:tbl>
    <w:p>
      <w:pPr>
        <w:pStyle w:val="BodyText"/>
        <w:spacing w:before="129"/>
        <w:rPr>
          <w:b/>
          <w:i/>
        </w:rPr>
      </w:pPr>
    </w:p>
    <w:p>
      <w:pPr>
        <w:pStyle w:val="BodyText"/>
        <w:ind w:left="144" w:right="118" w:firstLine="499"/>
        <w:jc w:val="both"/>
      </w:pPr>
      <w:r>
        <w:rPr/>
        <w:t>Las</w:t>
      </w:r>
      <w:r>
        <w:rPr>
          <w:spacing w:val="-1"/>
        </w:rPr>
        <w:t> </w:t>
      </w:r>
      <w:r>
        <w:rPr/>
        <w:t>Vegas Strip Resorts rooms revenue was $2.7 billion in 2022, compared to $1.4 billion in 2021, an increase of 95%.</w:t>
      </w:r>
      <w:r>
        <w:rPr>
          <w:spacing w:val="-1"/>
        </w:rPr>
        <w:t> </w:t>
      </w:r>
      <w:r>
        <w:rPr/>
        <w:t>The current year benefited </w:t>
      </w:r>
      <w:r>
        <w:rPr/>
        <w:t>from the inclusion of The Cosmopolitan and a full year of revenues from</w:t>
      </w:r>
      <w:r>
        <w:rPr>
          <w:spacing w:val="-3"/>
        </w:rPr>
        <w:t> </w:t>
      </w:r>
      <w:r>
        <w:rPr/>
        <w:t>Aria, partially offset by the disposition of The Mirage.</w:t>
      </w:r>
      <w:r>
        <w:rPr>
          <w:spacing w:val="-3"/>
        </w:rPr>
        <w:t> </w:t>
      </w:r>
      <w:r>
        <w:rPr/>
        <w:t>Although operations were initially negatively affected by the omicron variant in the early part of the year, REVPAR increased significantly due to an increase in occupancy and</w:t>
      </w:r>
      <w:r>
        <w:rPr>
          <w:spacing w:val="-8"/>
        </w:rPr>
        <w:t> </w:t>
      </w:r>
      <w:r>
        <w:rPr/>
        <w:t>ADR as business volume and travel activity improved in the current year.</w:t>
      </w:r>
    </w:p>
    <w:p>
      <w:pPr>
        <w:pStyle w:val="BodyText"/>
        <w:spacing w:before="18"/>
      </w:pPr>
    </w:p>
    <w:p>
      <w:pPr>
        <w:pStyle w:val="BodyText"/>
        <w:ind w:left="644"/>
      </w:pPr>
      <w:r>
        <w:rPr/>
        <w:t>The</w:t>
      </w:r>
      <w:r>
        <w:rPr>
          <w:spacing w:val="-5"/>
        </w:rPr>
        <w:t> </w:t>
      </w:r>
      <w:r>
        <w:rPr/>
        <w:t>following</w:t>
      </w:r>
      <w:r>
        <w:rPr>
          <w:spacing w:val="-3"/>
        </w:rPr>
        <w:t> </w:t>
      </w:r>
      <w:r>
        <w:rPr/>
        <w:t>table</w:t>
      </w:r>
      <w:r>
        <w:rPr>
          <w:spacing w:val="-3"/>
        </w:rPr>
        <w:t> </w:t>
      </w:r>
      <w:r>
        <w:rPr/>
        <w:t>shows</w:t>
      </w:r>
      <w:r>
        <w:rPr>
          <w:spacing w:val="-2"/>
        </w:rPr>
        <w:t> </w:t>
      </w:r>
      <w:r>
        <w:rPr/>
        <w:t>key</w:t>
      </w:r>
      <w:r>
        <w:rPr>
          <w:spacing w:val="-3"/>
        </w:rPr>
        <w:t> </w:t>
      </w:r>
      <w:r>
        <w:rPr/>
        <w:t>hotel</w:t>
      </w:r>
      <w:r>
        <w:rPr>
          <w:spacing w:val="-3"/>
        </w:rPr>
        <w:t> </w:t>
      </w:r>
      <w:r>
        <w:rPr/>
        <w:t>statistics</w:t>
      </w:r>
      <w:r>
        <w:rPr>
          <w:spacing w:val="-2"/>
        </w:rPr>
        <w:t> </w:t>
      </w:r>
      <w:r>
        <w:rPr/>
        <w:t>for</w:t>
      </w:r>
      <w:r>
        <w:rPr>
          <w:spacing w:val="-3"/>
        </w:rPr>
        <w:t> </w:t>
      </w:r>
      <w:r>
        <w:rPr/>
        <w:t>our</w:t>
      </w:r>
      <w:r>
        <w:rPr>
          <w:spacing w:val="-3"/>
        </w:rPr>
        <w:t> </w:t>
      </w:r>
      <w:r>
        <w:rPr/>
        <w:t>Las</w:t>
      </w:r>
      <w:r>
        <w:rPr>
          <w:spacing w:val="-5"/>
        </w:rPr>
        <w:t> </w:t>
      </w:r>
      <w:r>
        <w:rPr/>
        <w:t>Vegas</w:t>
      </w:r>
      <w:r>
        <w:rPr>
          <w:spacing w:val="-3"/>
        </w:rPr>
        <w:t> </w:t>
      </w:r>
      <w:r>
        <w:rPr/>
        <w:t>Strip</w:t>
      </w:r>
      <w:r>
        <w:rPr>
          <w:spacing w:val="-2"/>
        </w:rPr>
        <w:t> Resorts:</w:t>
      </w:r>
    </w:p>
    <w:p>
      <w:pPr>
        <w:pStyle w:val="BodyText"/>
        <w:spacing w:before="59"/>
      </w:pPr>
    </w:p>
    <w:p>
      <w:pPr>
        <w:pStyle w:val="Heading5"/>
        <w:ind w:left="6491"/>
      </w:pPr>
      <w:r>
        <w:rPr/>
        <mc:AlternateContent>
          <mc:Choice Requires="wps">
            <w:drawing>
              <wp:anchor distT="0" distB="0" distL="0" distR="0" allowOverlap="1" layoutInCell="1" locked="0" behindDoc="1" simplePos="0" relativeHeight="487621120">
                <wp:simplePos x="0" y="0"/>
                <wp:positionH relativeFrom="page">
                  <wp:posOffset>4337672</wp:posOffset>
                </wp:positionH>
                <wp:positionV relativeFrom="paragraph">
                  <wp:posOffset>149629</wp:posOffset>
                </wp:positionV>
                <wp:extent cx="3206115" cy="889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3206115" cy="8890"/>
                        </a:xfrm>
                        <a:custGeom>
                          <a:avLst/>
                          <a:gdLst/>
                          <a:ahLst/>
                          <a:cxnLst/>
                          <a:rect l="l" t="t" r="r" b="b"/>
                          <a:pathLst>
                            <a:path w="3206115" h="8890">
                              <a:moveTo>
                                <a:pt x="3206115" y="0"/>
                              </a:moveTo>
                              <a:lnTo>
                                <a:pt x="3206115" y="0"/>
                              </a:lnTo>
                              <a:lnTo>
                                <a:pt x="0" y="0"/>
                              </a:lnTo>
                              <a:lnTo>
                                <a:pt x="0" y="8572"/>
                              </a:lnTo>
                              <a:lnTo>
                                <a:pt x="3206115" y="8572"/>
                              </a:lnTo>
                              <a:lnTo>
                                <a:pt x="32061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1.549011pt;margin-top:11.781883pt;width:252.450012pt;height:.675pt;mso-position-horizontal-relative:page;mso-position-vertical-relative:paragraph;z-index:-15695360;mso-wrap-distance-left:0;mso-wrap-distance-right:0" id="docshape193"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211" w:val="left" w:leader="none"/>
          <w:tab w:pos="9932" w:val="left" w:leader="none"/>
        </w:tabs>
        <w:spacing w:before="21" w:after="35"/>
        <w:ind w:left="6490"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8"/>
        <w:gridCol w:w="3312"/>
        <w:gridCol w:w="1720"/>
        <w:gridCol w:w="1664"/>
      </w:tblGrid>
      <w:tr>
        <w:trPr>
          <w:trHeight w:val="269" w:hRule="atLeast"/>
        </w:trPr>
        <w:tc>
          <w:tcPr>
            <w:tcW w:w="4818" w:type="dxa"/>
            <w:shd w:val="clear" w:color="auto" w:fill="CFF0FB"/>
          </w:tcPr>
          <w:p>
            <w:pPr>
              <w:pStyle w:val="TableParagraph"/>
              <w:spacing w:before="20"/>
              <w:ind w:left="17"/>
              <w:rPr>
                <w:sz w:val="18"/>
              </w:rPr>
            </w:pPr>
            <w:r>
              <w:rPr>
                <w:spacing w:val="-2"/>
                <w:sz w:val="18"/>
              </w:rPr>
              <w:t>Occupancy</w:t>
            </w:r>
            <w:r>
              <w:rPr>
                <w:spacing w:val="-2"/>
                <w:sz w:val="18"/>
                <w:vertAlign w:val="superscript"/>
              </w:rPr>
              <w:t>(1)</w:t>
            </w:r>
          </w:p>
        </w:tc>
        <w:tc>
          <w:tcPr>
            <w:tcW w:w="3312" w:type="dxa"/>
            <w:tcBorders>
              <w:top w:val="single" w:sz="6" w:space="0" w:color="000000"/>
            </w:tcBorders>
            <w:shd w:val="clear" w:color="auto" w:fill="CFF0FB"/>
          </w:tcPr>
          <w:p>
            <w:pPr>
              <w:pStyle w:val="TableParagraph"/>
              <w:spacing w:before="20"/>
              <w:ind w:right="73"/>
              <w:jc w:val="right"/>
              <w:rPr>
                <w:sz w:val="18"/>
              </w:rPr>
            </w:pPr>
            <w:r>
              <w:rPr>
                <w:sz w:val="18"/>
              </w:rPr>
              <w:t>89 </w:t>
            </w:r>
            <w:r>
              <w:rPr>
                <w:spacing w:val="-10"/>
                <w:sz w:val="18"/>
              </w:rPr>
              <w:t>%</w:t>
            </w:r>
          </w:p>
        </w:tc>
        <w:tc>
          <w:tcPr>
            <w:tcW w:w="1720" w:type="dxa"/>
            <w:tcBorders>
              <w:top w:val="single" w:sz="6" w:space="0" w:color="000000"/>
            </w:tcBorders>
            <w:shd w:val="clear" w:color="auto" w:fill="CFF0FB"/>
          </w:tcPr>
          <w:p>
            <w:pPr>
              <w:pStyle w:val="TableParagraph"/>
              <w:spacing w:before="20"/>
              <w:ind w:right="73"/>
              <w:jc w:val="right"/>
              <w:rPr>
                <w:sz w:val="18"/>
              </w:rPr>
            </w:pPr>
            <w:r>
              <w:rPr>
                <w:sz w:val="18"/>
              </w:rPr>
              <w:t>74 </w:t>
            </w:r>
            <w:r>
              <w:rPr>
                <w:spacing w:val="-10"/>
                <w:sz w:val="18"/>
              </w:rPr>
              <w:t>%</w:t>
            </w:r>
          </w:p>
        </w:tc>
        <w:tc>
          <w:tcPr>
            <w:tcW w:w="1664" w:type="dxa"/>
            <w:tcBorders>
              <w:top w:val="single" w:sz="6" w:space="0" w:color="000000"/>
            </w:tcBorders>
            <w:shd w:val="clear" w:color="auto" w:fill="CFF0FB"/>
          </w:tcPr>
          <w:p>
            <w:pPr>
              <w:pStyle w:val="TableParagraph"/>
              <w:spacing w:before="20"/>
              <w:ind w:right="14"/>
              <w:jc w:val="right"/>
              <w:rPr>
                <w:sz w:val="18"/>
              </w:rPr>
            </w:pPr>
            <w:r>
              <w:rPr>
                <w:sz w:val="18"/>
              </w:rPr>
              <w:t>55</w:t>
            </w:r>
            <w:r>
              <w:rPr>
                <w:spacing w:val="1"/>
                <w:sz w:val="18"/>
              </w:rPr>
              <w:t> </w:t>
            </w:r>
            <w:r>
              <w:rPr>
                <w:spacing w:val="-10"/>
                <w:sz w:val="18"/>
              </w:rPr>
              <w:t>%</w:t>
            </w:r>
          </w:p>
        </w:tc>
      </w:tr>
      <w:tr>
        <w:trPr>
          <w:trHeight w:val="266" w:hRule="atLeast"/>
        </w:trPr>
        <w:tc>
          <w:tcPr>
            <w:tcW w:w="4818" w:type="dxa"/>
          </w:tcPr>
          <w:p>
            <w:pPr>
              <w:pStyle w:val="TableParagraph"/>
              <w:spacing w:before="34"/>
              <w:ind w:left="17"/>
              <w:rPr>
                <w:sz w:val="18"/>
              </w:rPr>
            </w:pPr>
            <w:r>
              <w:rPr>
                <w:sz w:val="18"/>
              </w:rPr>
              <w:t>Average</w:t>
            </w:r>
            <w:r>
              <w:rPr>
                <w:spacing w:val="-6"/>
                <w:sz w:val="18"/>
              </w:rPr>
              <w:t> </w:t>
            </w:r>
            <w:r>
              <w:rPr>
                <w:sz w:val="18"/>
              </w:rPr>
              <w:t>Daily</w:t>
            </w:r>
            <w:r>
              <w:rPr>
                <w:spacing w:val="-6"/>
                <w:sz w:val="18"/>
              </w:rPr>
              <w:t> </w:t>
            </w:r>
            <w:r>
              <w:rPr>
                <w:sz w:val="18"/>
              </w:rPr>
              <w:t>Rate</w:t>
            </w:r>
            <w:r>
              <w:rPr>
                <w:spacing w:val="-5"/>
                <w:sz w:val="18"/>
              </w:rPr>
              <w:t> </w:t>
            </w:r>
            <w:r>
              <w:rPr>
                <w:spacing w:val="-2"/>
                <w:sz w:val="18"/>
              </w:rPr>
              <w:t>(ADR)</w:t>
            </w:r>
          </w:p>
        </w:tc>
        <w:tc>
          <w:tcPr>
            <w:tcW w:w="3312" w:type="dxa"/>
          </w:tcPr>
          <w:p>
            <w:pPr>
              <w:pStyle w:val="TableParagraph"/>
              <w:tabs>
                <w:tab w:pos="2771" w:val="left" w:leader="none"/>
              </w:tabs>
              <w:spacing w:before="34"/>
              <w:ind w:left="1667"/>
              <w:rPr>
                <w:sz w:val="18"/>
              </w:rPr>
            </w:pPr>
            <w:r>
              <w:rPr>
                <w:spacing w:val="-10"/>
                <w:sz w:val="18"/>
              </w:rPr>
              <w:t>$</w:t>
            </w:r>
            <w:r>
              <w:rPr>
                <w:sz w:val="18"/>
              </w:rPr>
              <w:tab/>
            </w:r>
            <w:r>
              <w:rPr>
                <w:spacing w:val="-5"/>
                <w:sz w:val="18"/>
              </w:rPr>
              <w:t>229</w:t>
            </w:r>
          </w:p>
        </w:tc>
        <w:tc>
          <w:tcPr>
            <w:tcW w:w="1720" w:type="dxa"/>
          </w:tcPr>
          <w:p>
            <w:pPr>
              <w:pStyle w:val="TableParagraph"/>
              <w:tabs>
                <w:tab w:pos="1180" w:val="left" w:leader="none"/>
              </w:tabs>
              <w:spacing w:before="34"/>
              <w:ind w:left="75"/>
              <w:rPr>
                <w:sz w:val="18"/>
              </w:rPr>
            </w:pPr>
            <w:r>
              <w:rPr>
                <w:spacing w:val="-10"/>
                <w:sz w:val="18"/>
              </w:rPr>
              <w:t>$</w:t>
            </w:r>
            <w:r>
              <w:rPr>
                <w:sz w:val="18"/>
              </w:rPr>
              <w:tab/>
            </w:r>
            <w:r>
              <w:rPr>
                <w:spacing w:val="-5"/>
                <w:sz w:val="18"/>
              </w:rPr>
              <w:t>173</w:t>
            </w:r>
          </w:p>
        </w:tc>
        <w:tc>
          <w:tcPr>
            <w:tcW w:w="1664" w:type="dxa"/>
          </w:tcPr>
          <w:p>
            <w:pPr>
              <w:pStyle w:val="TableParagraph"/>
              <w:tabs>
                <w:tab w:pos="1181" w:val="left" w:leader="none"/>
              </w:tabs>
              <w:spacing w:before="34"/>
              <w:ind w:left="76"/>
              <w:rPr>
                <w:sz w:val="18"/>
              </w:rPr>
            </w:pPr>
            <w:r>
              <w:rPr>
                <w:spacing w:val="-10"/>
                <w:sz w:val="18"/>
              </w:rPr>
              <w:t>$</w:t>
            </w:r>
            <w:r>
              <w:rPr>
                <w:sz w:val="18"/>
              </w:rPr>
              <w:tab/>
            </w:r>
            <w:r>
              <w:rPr>
                <w:spacing w:val="-5"/>
                <w:sz w:val="18"/>
              </w:rPr>
              <w:t>161</w:t>
            </w:r>
          </w:p>
        </w:tc>
      </w:tr>
      <w:tr>
        <w:trPr>
          <w:trHeight w:val="273" w:hRule="atLeast"/>
        </w:trPr>
        <w:tc>
          <w:tcPr>
            <w:tcW w:w="4818" w:type="dxa"/>
            <w:shd w:val="clear" w:color="auto" w:fill="CFF0FB"/>
          </w:tcPr>
          <w:p>
            <w:pPr>
              <w:pStyle w:val="TableParagraph"/>
              <w:spacing w:line="241" w:lineRule="exact" w:before="0"/>
              <w:ind w:left="17"/>
              <w:rPr>
                <w:sz w:val="14"/>
              </w:rPr>
            </w:pPr>
            <w:r>
              <w:rPr>
                <w:sz w:val="18"/>
              </w:rPr>
              <w:t>Revenue</w:t>
            </w:r>
            <w:r>
              <w:rPr>
                <w:spacing w:val="-9"/>
                <w:sz w:val="18"/>
              </w:rPr>
              <w:t> </w:t>
            </w:r>
            <w:r>
              <w:rPr>
                <w:sz w:val="18"/>
              </w:rPr>
              <w:t>per</w:t>
            </w:r>
            <w:r>
              <w:rPr>
                <w:spacing w:val="-11"/>
                <w:sz w:val="18"/>
              </w:rPr>
              <w:t> </w:t>
            </w:r>
            <w:r>
              <w:rPr>
                <w:sz w:val="18"/>
              </w:rPr>
              <w:t>Available</w:t>
            </w:r>
            <w:r>
              <w:rPr>
                <w:spacing w:val="-5"/>
                <w:sz w:val="18"/>
              </w:rPr>
              <w:t> </w:t>
            </w:r>
            <w:r>
              <w:rPr>
                <w:sz w:val="18"/>
              </w:rPr>
              <w:t>Room</w:t>
            </w:r>
            <w:r>
              <w:rPr>
                <w:spacing w:val="-4"/>
                <w:sz w:val="18"/>
              </w:rPr>
              <w:t> </w:t>
            </w:r>
            <w:r>
              <w:rPr>
                <w:spacing w:val="-2"/>
                <w:sz w:val="18"/>
              </w:rPr>
              <w:t>(REVPAR)</w:t>
            </w:r>
            <w:r>
              <w:rPr>
                <w:spacing w:val="-2"/>
                <w:position w:val="8"/>
                <w:sz w:val="14"/>
              </w:rPr>
              <w:t>(1)</w:t>
            </w:r>
          </w:p>
        </w:tc>
        <w:tc>
          <w:tcPr>
            <w:tcW w:w="3312" w:type="dxa"/>
            <w:shd w:val="clear" w:color="auto" w:fill="CFF0FB"/>
          </w:tcPr>
          <w:p>
            <w:pPr>
              <w:pStyle w:val="TableParagraph"/>
              <w:tabs>
                <w:tab w:pos="2771" w:val="left" w:leader="none"/>
              </w:tabs>
              <w:spacing w:before="34"/>
              <w:ind w:left="1667"/>
              <w:rPr>
                <w:sz w:val="18"/>
              </w:rPr>
            </w:pPr>
            <w:r>
              <w:rPr>
                <w:spacing w:val="-10"/>
                <w:sz w:val="18"/>
              </w:rPr>
              <w:t>$</w:t>
            </w:r>
            <w:r>
              <w:rPr>
                <w:sz w:val="18"/>
              </w:rPr>
              <w:tab/>
            </w:r>
            <w:r>
              <w:rPr>
                <w:spacing w:val="-5"/>
                <w:sz w:val="18"/>
              </w:rPr>
              <w:t>203</w:t>
            </w:r>
          </w:p>
        </w:tc>
        <w:tc>
          <w:tcPr>
            <w:tcW w:w="1720" w:type="dxa"/>
            <w:shd w:val="clear" w:color="auto" w:fill="CFF0FB"/>
          </w:tcPr>
          <w:p>
            <w:pPr>
              <w:pStyle w:val="TableParagraph"/>
              <w:tabs>
                <w:tab w:pos="1180" w:val="left" w:leader="none"/>
              </w:tabs>
              <w:spacing w:before="34"/>
              <w:ind w:left="75"/>
              <w:rPr>
                <w:sz w:val="18"/>
              </w:rPr>
            </w:pPr>
            <w:r>
              <w:rPr>
                <w:spacing w:val="-10"/>
                <w:sz w:val="18"/>
              </w:rPr>
              <w:t>$</w:t>
            </w:r>
            <w:r>
              <w:rPr>
                <w:sz w:val="18"/>
              </w:rPr>
              <w:tab/>
            </w:r>
            <w:r>
              <w:rPr>
                <w:spacing w:val="-5"/>
                <w:sz w:val="18"/>
              </w:rPr>
              <w:t>128</w:t>
            </w:r>
          </w:p>
        </w:tc>
        <w:tc>
          <w:tcPr>
            <w:tcW w:w="1664" w:type="dxa"/>
            <w:shd w:val="clear" w:color="auto" w:fill="CFF0FB"/>
          </w:tcPr>
          <w:p>
            <w:pPr>
              <w:pStyle w:val="TableParagraph"/>
              <w:tabs>
                <w:tab w:pos="1270" w:val="left" w:leader="none"/>
              </w:tabs>
              <w:spacing w:before="34"/>
              <w:ind w:left="76"/>
              <w:rPr>
                <w:sz w:val="18"/>
              </w:rPr>
            </w:pPr>
            <w:r>
              <w:rPr>
                <w:spacing w:val="-10"/>
                <w:sz w:val="18"/>
              </w:rPr>
              <w:t>$</w:t>
            </w:r>
            <w:r>
              <w:rPr>
                <w:sz w:val="18"/>
              </w:rPr>
              <w:tab/>
            </w:r>
            <w:r>
              <w:rPr>
                <w:spacing w:val="-5"/>
                <w:sz w:val="18"/>
              </w:rPr>
              <w:t>88</w:t>
            </w:r>
          </w:p>
        </w:tc>
      </w:tr>
    </w:tbl>
    <w:p>
      <w:pPr>
        <w:spacing w:before="79"/>
        <w:ind w:left="792" w:right="370" w:hanging="324"/>
        <w:jc w:val="left"/>
        <w:rPr>
          <w:sz w:val="14"/>
        </w:rPr>
      </w:pPr>
      <w:r>
        <w:rPr>
          <w:sz w:val="14"/>
        </w:rPr>
        <w:t>(1)</w:t>
      </w:r>
      <w:r>
        <w:rPr>
          <w:spacing w:val="60"/>
          <w:sz w:val="14"/>
        </w:rPr>
        <w:t>  </w:t>
      </w:r>
      <w:r>
        <w:rPr>
          <w:sz w:val="14"/>
        </w:rPr>
        <w:t>Rooms</w:t>
      </w:r>
      <w:r>
        <w:rPr>
          <w:spacing w:val="7"/>
          <w:sz w:val="14"/>
        </w:rPr>
        <w:t> </w:t>
      </w:r>
      <w:r>
        <w:rPr>
          <w:sz w:val="14"/>
        </w:rPr>
        <w:t>that</w:t>
      </w:r>
      <w:r>
        <w:rPr>
          <w:spacing w:val="7"/>
          <w:sz w:val="14"/>
        </w:rPr>
        <w:t> </w:t>
      </w:r>
      <w:r>
        <w:rPr>
          <w:sz w:val="14"/>
        </w:rPr>
        <w:t>were</w:t>
      </w:r>
      <w:r>
        <w:rPr>
          <w:spacing w:val="7"/>
          <w:sz w:val="14"/>
        </w:rPr>
        <w:t> </w:t>
      </w:r>
      <w:r>
        <w:rPr>
          <w:sz w:val="14"/>
        </w:rPr>
        <w:t>out</w:t>
      </w:r>
      <w:r>
        <w:rPr>
          <w:spacing w:val="7"/>
          <w:sz w:val="14"/>
        </w:rPr>
        <w:t> </w:t>
      </w:r>
      <w:r>
        <w:rPr>
          <w:sz w:val="14"/>
        </w:rPr>
        <w:t>of</w:t>
      </w:r>
      <w:r>
        <w:rPr>
          <w:spacing w:val="7"/>
          <w:sz w:val="14"/>
        </w:rPr>
        <w:t> </w:t>
      </w:r>
      <w:r>
        <w:rPr>
          <w:sz w:val="14"/>
        </w:rPr>
        <w:t>service,</w:t>
      </w:r>
      <w:r>
        <w:rPr>
          <w:spacing w:val="7"/>
          <w:sz w:val="14"/>
        </w:rPr>
        <w:t> </w:t>
      </w:r>
      <w:r>
        <w:rPr>
          <w:sz w:val="14"/>
        </w:rPr>
        <w:t>including</w:t>
      </w:r>
      <w:r>
        <w:rPr>
          <w:spacing w:val="7"/>
          <w:sz w:val="14"/>
        </w:rPr>
        <w:t> </w:t>
      </w:r>
      <w:r>
        <w:rPr>
          <w:sz w:val="14"/>
        </w:rPr>
        <w:t>full</w:t>
      </w:r>
      <w:r>
        <w:rPr>
          <w:spacing w:val="7"/>
          <w:sz w:val="14"/>
        </w:rPr>
        <w:t> </w:t>
      </w:r>
      <w:r>
        <w:rPr>
          <w:sz w:val="14"/>
        </w:rPr>
        <w:t>and</w:t>
      </w:r>
      <w:r>
        <w:rPr>
          <w:spacing w:val="7"/>
          <w:sz w:val="14"/>
        </w:rPr>
        <w:t> </w:t>
      </w:r>
      <w:r>
        <w:rPr>
          <w:sz w:val="14"/>
        </w:rPr>
        <w:t>midweek</w:t>
      </w:r>
      <w:r>
        <w:rPr>
          <w:spacing w:val="7"/>
          <w:sz w:val="14"/>
        </w:rPr>
        <w:t> </w:t>
      </w:r>
      <w:r>
        <w:rPr>
          <w:sz w:val="14"/>
        </w:rPr>
        <w:t>closures,</w:t>
      </w:r>
      <w:r>
        <w:rPr>
          <w:spacing w:val="7"/>
          <w:sz w:val="14"/>
        </w:rPr>
        <w:t> </w:t>
      </w:r>
      <w:r>
        <w:rPr>
          <w:sz w:val="14"/>
        </w:rPr>
        <w:t>during</w:t>
      </w:r>
      <w:r>
        <w:rPr>
          <w:spacing w:val="7"/>
          <w:sz w:val="14"/>
        </w:rPr>
        <w:t> </w:t>
      </w:r>
      <w:r>
        <w:rPr>
          <w:sz w:val="14"/>
        </w:rPr>
        <w:t>the</w:t>
      </w:r>
      <w:r>
        <w:rPr>
          <w:spacing w:val="7"/>
          <w:sz w:val="14"/>
        </w:rPr>
        <w:t> </w:t>
      </w:r>
      <w:r>
        <w:rPr>
          <w:sz w:val="14"/>
        </w:rPr>
        <w:t>years</w:t>
      </w:r>
      <w:r>
        <w:rPr>
          <w:spacing w:val="7"/>
          <w:sz w:val="14"/>
        </w:rPr>
        <w:t> </w:t>
      </w:r>
      <w:r>
        <w:rPr>
          <w:sz w:val="14"/>
        </w:rPr>
        <w:t>ended</w:t>
      </w:r>
      <w:r>
        <w:rPr>
          <w:spacing w:val="7"/>
          <w:sz w:val="14"/>
        </w:rPr>
        <w:t> </w:t>
      </w:r>
      <w:r>
        <w:rPr>
          <w:sz w:val="14"/>
        </w:rPr>
        <w:t>December</w:t>
      </w:r>
      <w:r>
        <w:rPr>
          <w:spacing w:val="7"/>
          <w:sz w:val="14"/>
        </w:rPr>
        <w:t> </w:t>
      </w:r>
      <w:r>
        <w:rPr>
          <w:sz w:val="14"/>
        </w:rPr>
        <w:t>31,</w:t>
      </w:r>
      <w:r>
        <w:rPr>
          <w:spacing w:val="7"/>
          <w:sz w:val="14"/>
        </w:rPr>
        <w:t> </w:t>
      </w:r>
      <w:r>
        <w:rPr>
          <w:sz w:val="14"/>
        </w:rPr>
        <w:t>2021</w:t>
      </w:r>
      <w:r>
        <w:rPr>
          <w:spacing w:val="7"/>
          <w:sz w:val="14"/>
        </w:rPr>
        <w:t> </w:t>
      </w:r>
      <w:r>
        <w:rPr>
          <w:sz w:val="14"/>
        </w:rPr>
        <w:t>and</w:t>
      </w:r>
      <w:r>
        <w:rPr>
          <w:spacing w:val="7"/>
          <w:sz w:val="14"/>
        </w:rPr>
        <w:t> </w:t>
      </w:r>
      <w:r>
        <w:rPr>
          <w:sz w:val="14"/>
        </w:rPr>
        <w:t>2020</w:t>
      </w:r>
      <w:r>
        <w:rPr>
          <w:spacing w:val="7"/>
          <w:sz w:val="14"/>
        </w:rPr>
        <w:t> </w:t>
      </w:r>
      <w:r>
        <w:rPr>
          <w:sz w:val="14"/>
        </w:rPr>
        <w:t>due</w:t>
      </w:r>
      <w:r>
        <w:rPr>
          <w:spacing w:val="7"/>
          <w:sz w:val="14"/>
        </w:rPr>
        <w:t> </w:t>
      </w:r>
      <w:r>
        <w:rPr>
          <w:sz w:val="14"/>
        </w:rPr>
        <w:t>to</w:t>
      </w:r>
      <w:r>
        <w:rPr>
          <w:spacing w:val="7"/>
          <w:sz w:val="14"/>
        </w:rPr>
        <w:t> </w:t>
      </w:r>
      <w:r>
        <w:rPr>
          <w:sz w:val="14"/>
        </w:rPr>
        <w:t>the</w:t>
      </w:r>
      <w:r>
        <w:rPr>
          <w:spacing w:val="7"/>
          <w:sz w:val="14"/>
        </w:rPr>
        <w:t> </w:t>
      </w:r>
      <w:r>
        <w:rPr>
          <w:sz w:val="14"/>
        </w:rPr>
        <w:t>COVID-19</w:t>
      </w:r>
      <w:r>
        <w:rPr>
          <w:spacing w:val="7"/>
          <w:sz w:val="14"/>
        </w:rPr>
        <w:t> </w:t>
      </w:r>
      <w:r>
        <w:rPr>
          <w:sz w:val="14"/>
        </w:rPr>
        <w:t>pandemic</w:t>
      </w:r>
      <w:r>
        <w:rPr>
          <w:spacing w:val="7"/>
          <w:sz w:val="14"/>
        </w:rPr>
        <w:t> </w:t>
      </w:r>
      <w:r>
        <w:rPr>
          <w:sz w:val="14"/>
        </w:rPr>
        <w:t>were</w:t>
      </w:r>
      <w:r>
        <w:rPr>
          <w:spacing w:val="7"/>
          <w:sz w:val="14"/>
        </w:rPr>
        <w:t> </w:t>
      </w:r>
      <w:r>
        <w:rPr>
          <w:sz w:val="14"/>
        </w:rPr>
        <w:t>excluded</w:t>
      </w:r>
      <w:r>
        <w:rPr>
          <w:spacing w:val="7"/>
          <w:sz w:val="14"/>
        </w:rPr>
        <w:t> </w:t>
      </w:r>
      <w:r>
        <w:rPr>
          <w:sz w:val="14"/>
        </w:rPr>
        <w:t>from</w:t>
      </w:r>
      <w:r>
        <w:rPr>
          <w:spacing w:val="7"/>
          <w:sz w:val="14"/>
        </w:rPr>
        <w:t> </w:t>
      </w:r>
      <w:r>
        <w:rPr>
          <w:sz w:val="14"/>
        </w:rPr>
        <w:t>the</w:t>
      </w:r>
      <w:r>
        <w:rPr>
          <w:spacing w:val="40"/>
          <w:sz w:val="14"/>
        </w:rPr>
        <w:t> </w:t>
      </w:r>
      <w:r>
        <w:rPr>
          <w:sz w:val="14"/>
        </w:rPr>
        <w:t>available room count when calculating hotel occupancy and REVPAR.</w:t>
      </w:r>
    </w:p>
    <w:p>
      <w:pPr>
        <w:pStyle w:val="BodyText"/>
        <w:spacing w:before="60"/>
        <w:rPr>
          <w:sz w:val="14"/>
        </w:rPr>
      </w:pPr>
    </w:p>
    <w:p>
      <w:pPr>
        <w:pStyle w:val="BodyText"/>
        <w:ind w:left="144" w:right="118" w:firstLine="499"/>
        <w:jc w:val="both"/>
      </w:pPr>
      <w:r>
        <w:rPr/>
        <w:t>Las</w:t>
      </w:r>
      <w:r>
        <w:rPr>
          <w:spacing w:val="-7"/>
        </w:rPr>
        <w:t> </w:t>
      </w:r>
      <w:r>
        <w:rPr/>
        <w:t>Vegas</w:t>
      </w:r>
      <w:r>
        <w:rPr>
          <w:spacing w:val="-3"/>
        </w:rPr>
        <w:t> </w:t>
      </w:r>
      <w:r>
        <w:rPr/>
        <w:t>Strip</w:t>
      </w:r>
      <w:r>
        <w:rPr>
          <w:spacing w:val="-3"/>
        </w:rPr>
        <w:t> </w:t>
      </w:r>
      <w:r>
        <w:rPr/>
        <w:t>Resorts</w:t>
      </w:r>
      <w:r>
        <w:rPr>
          <w:spacing w:val="-3"/>
        </w:rPr>
        <w:t> </w:t>
      </w:r>
      <w:r>
        <w:rPr/>
        <w:t>food</w:t>
      </w:r>
      <w:r>
        <w:rPr>
          <w:spacing w:val="-3"/>
        </w:rPr>
        <w:t> </w:t>
      </w:r>
      <w:r>
        <w:rPr/>
        <w:t>and</w:t>
      </w:r>
      <w:r>
        <w:rPr>
          <w:spacing w:val="-3"/>
        </w:rPr>
        <w:t> </w:t>
      </w:r>
      <w:r>
        <w:rPr/>
        <w:t>beverage</w:t>
      </w:r>
      <w:r>
        <w:rPr>
          <w:spacing w:val="-3"/>
        </w:rPr>
        <w:t> </w:t>
      </w:r>
      <w:r>
        <w:rPr/>
        <w:t>revenue</w:t>
      </w:r>
      <w:r>
        <w:rPr>
          <w:spacing w:val="-3"/>
        </w:rPr>
        <w:t> </w:t>
      </w:r>
      <w:r>
        <w:rPr/>
        <w:t>was</w:t>
      </w:r>
      <w:r>
        <w:rPr>
          <w:spacing w:val="-3"/>
        </w:rPr>
        <w:t> </w:t>
      </w:r>
      <w:r>
        <w:rPr/>
        <w:t>$2.1</w:t>
      </w:r>
      <w:r>
        <w:rPr>
          <w:spacing w:val="-3"/>
        </w:rPr>
        <w:t> </w:t>
      </w:r>
      <w:r>
        <w:rPr/>
        <w:t>billion</w:t>
      </w:r>
      <w:r>
        <w:rPr>
          <w:spacing w:val="-3"/>
        </w:rPr>
        <w:t> </w:t>
      </w:r>
      <w:r>
        <w:rPr/>
        <w:t>in</w:t>
      </w:r>
      <w:r>
        <w:rPr>
          <w:spacing w:val="-3"/>
        </w:rPr>
        <w:t> </w:t>
      </w:r>
      <w:r>
        <w:rPr/>
        <w:t>2022,</w:t>
      </w:r>
      <w:r>
        <w:rPr>
          <w:spacing w:val="-3"/>
        </w:rPr>
        <w:t> </w:t>
      </w:r>
      <w:r>
        <w:rPr/>
        <w:t>compared</w:t>
      </w:r>
      <w:r>
        <w:rPr>
          <w:spacing w:val="-3"/>
        </w:rPr>
        <w:t> </w:t>
      </w:r>
      <w:r>
        <w:rPr/>
        <w:t>to</w:t>
      </w:r>
      <w:r>
        <w:rPr>
          <w:spacing w:val="-3"/>
        </w:rPr>
        <w:t> </w:t>
      </w:r>
      <w:r>
        <w:rPr/>
        <w:t>$1.0</w:t>
      </w:r>
      <w:r>
        <w:rPr>
          <w:spacing w:val="-3"/>
        </w:rPr>
        <w:t> </w:t>
      </w:r>
      <w:r>
        <w:rPr/>
        <w:t>billion</w:t>
      </w:r>
      <w:r>
        <w:rPr>
          <w:spacing w:val="-3"/>
        </w:rPr>
        <w:t> </w:t>
      </w:r>
      <w:r>
        <w:rPr/>
        <w:t>in</w:t>
      </w:r>
      <w:r>
        <w:rPr>
          <w:spacing w:val="-3"/>
        </w:rPr>
        <w:t> </w:t>
      </w:r>
      <w:r>
        <w:rPr/>
        <w:t>2021,</w:t>
      </w:r>
      <w:r>
        <w:rPr>
          <w:spacing w:val="-3"/>
        </w:rPr>
        <w:t> </w:t>
      </w:r>
      <w:r>
        <w:rPr/>
        <w:t>an</w:t>
      </w:r>
      <w:r>
        <w:rPr>
          <w:spacing w:val="-3"/>
        </w:rPr>
        <w:t> </w:t>
      </w:r>
      <w:r>
        <w:rPr/>
        <w:t>increase</w:t>
      </w:r>
      <w:r>
        <w:rPr>
          <w:spacing w:val="-3"/>
        </w:rPr>
        <w:t> </w:t>
      </w:r>
      <w:r>
        <w:rPr/>
        <w:t>of</w:t>
      </w:r>
      <w:r>
        <w:rPr>
          <w:spacing w:val="-3"/>
        </w:rPr>
        <w:t> </w:t>
      </w:r>
      <w:r>
        <w:rPr/>
        <w:t>109%,</w:t>
      </w:r>
      <w:r>
        <w:rPr>
          <w:spacing w:val="-3"/>
        </w:rPr>
        <w:t> </w:t>
      </w:r>
      <w:r>
        <w:rPr/>
        <w:t>and</w:t>
      </w:r>
      <w:r>
        <w:rPr>
          <w:spacing w:val="-3"/>
        </w:rPr>
        <w:t> </w:t>
      </w:r>
      <w:r>
        <w:rPr/>
        <w:t>Las</w:t>
      </w:r>
      <w:r>
        <w:rPr>
          <w:spacing w:val="-7"/>
        </w:rPr>
        <w:t> </w:t>
      </w:r>
      <w:r>
        <w:rPr/>
        <w:t>Vegas</w:t>
      </w:r>
      <w:r>
        <w:rPr>
          <w:spacing w:val="-3"/>
        </w:rPr>
        <w:t> </w:t>
      </w:r>
      <w:r>
        <w:rPr/>
        <w:t>Strip Resorts entertainment, retail and other revenue was $1.4 billion in 2022, compared to $770 million in 2021, an increase of 87%, due primarily to the inclusion of</w:t>
      </w:r>
      <w:r>
        <w:rPr>
          <w:spacing w:val="-1"/>
        </w:rPr>
        <w:t> </w:t>
      </w:r>
      <w:r>
        <w:rPr/>
        <w:t>The Cosmopolitan and a full year of revenues from</w:t>
      </w:r>
      <w:r>
        <w:rPr>
          <w:spacing w:val="-8"/>
        </w:rPr>
        <w:t> </w:t>
      </w:r>
      <w:r>
        <w:rPr/>
        <w:t>Aria, partially offset by the disposition of</w:t>
      </w:r>
      <w:r>
        <w:rPr>
          <w:spacing w:val="-1"/>
        </w:rPr>
        <w:t> </w:t>
      </w:r>
      <w:r>
        <w:rPr/>
        <w:t>The Mirage.</w:t>
      </w:r>
      <w:r>
        <w:rPr>
          <w:spacing w:val="-1"/>
        </w:rPr>
        <w:t> </w:t>
      </w:r>
      <w:r>
        <w:rPr/>
        <w:t>The current year was initially negatively affected by the omicron variant in the early part of the year; however, business volume and travel activity subsequently improved with a significant increase over the prior year, which was negatively impacted by temporary midweek property and hotel tower closures at certain properties, lower business and travel activity,</w:t>
      </w:r>
      <w:r>
        <w:rPr>
          <w:spacing w:val="40"/>
        </w:rPr>
        <w:t> </w:t>
      </w:r>
      <w:r>
        <w:rPr/>
        <w:t>and operational restrictions related to the pandemic.</w:t>
      </w:r>
    </w:p>
    <w:p>
      <w:pPr>
        <w:pStyle w:val="BodyText"/>
        <w:spacing w:before="9"/>
      </w:pPr>
    </w:p>
    <w:p>
      <w:pPr>
        <w:pStyle w:val="Heading5"/>
        <w:ind w:left="394"/>
        <w:jc w:val="left"/>
      </w:pPr>
      <w:r>
        <w:rPr/>
        <w:t>Regional</w:t>
      </w:r>
      <w:r>
        <w:rPr>
          <w:spacing w:val="-1"/>
        </w:rPr>
        <w:t> </w:t>
      </w:r>
      <w:r>
        <w:rPr>
          <w:spacing w:val="-2"/>
        </w:rPr>
        <w:t>Operations</w:t>
      </w:r>
    </w:p>
    <w:p>
      <w:pPr>
        <w:pStyle w:val="BodyText"/>
        <w:spacing w:before="21"/>
        <w:rPr>
          <w:b/>
        </w:rPr>
      </w:pPr>
    </w:p>
    <w:p>
      <w:pPr>
        <w:pStyle w:val="BodyText"/>
        <w:spacing w:line="235" w:lineRule="auto"/>
        <w:ind w:left="144" w:right="118" w:firstLine="499"/>
        <w:jc w:val="both"/>
      </w:pPr>
      <w:r>
        <w:rPr/>
        <w:t>Regional Operations casino revenue was $2.9 billion in 2022, compared to $2.7 billion in 2021, an increase of 7%, due primarily to table game win increasing 18% over the prior year and slots win increasing 9% over the prior year, as the prior year was negatively affected by midweek hotel closures </w:t>
      </w:r>
      <w:r>
        <w:rPr/>
        <w:t>at certain properties and operational restrictions related to the pandemic primarily during the first quarter of 2021.</w:t>
      </w:r>
    </w:p>
    <w:p>
      <w:pPr>
        <w:pStyle w:val="BodyText"/>
      </w:pPr>
    </w:p>
    <w:p>
      <w:pPr>
        <w:pStyle w:val="BodyText"/>
      </w:pPr>
    </w:p>
    <w:p>
      <w:pPr>
        <w:pStyle w:val="BodyText"/>
        <w:spacing w:before="198"/>
      </w:pPr>
    </w:p>
    <w:p>
      <w:pPr>
        <w:pStyle w:val="BodyText"/>
        <w:spacing w:before="1"/>
        <w:ind w:left="24"/>
        <w:jc w:val="center"/>
      </w:pPr>
      <w:r>
        <w:rPr>
          <w:spacing w:val="-5"/>
        </w:rPr>
        <w:t>37</w:t>
      </w:r>
    </w:p>
    <w:p>
      <w:pPr>
        <w:pStyle w:val="BodyText"/>
        <w:spacing w:before="3"/>
        <w:rPr>
          <w:sz w:val="6"/>
        </w:rPr>
      </w:pPr>
      <w:r>
        <w:rPr/>
        <mc:AlternateContent>
          <mc:Choice Requires="wps">
            <w:drawing>
              <wp:anchor distT="0" distB="0" distL="0" distR="0" allowOverlap="1" layoutInCell="1" locked="0" behindDoc="1" simplePos="0" relativeHeight="487621632">
                <wp:simplePos x="0" y="0"/>
                <wp:positionH relativeFrom="page">
                  <wp:posOffset>231457</wp:posOffset>
                </wp:positionH>
                <wp:positionV relativeFrom="paragraph">
                  <wp:posOffset>60954</wp:posOffset>
                </wp:positionV>
                <wp:extent cx="7312659" cy="17145"/>
                <wp:effectExtent l="0" t="0" r="0" b="0"/>
                <wp:wrapTopAndBottom/>
                <wp:docPr id="196" name="Group 196"/>
                <wp:cNvGraphicFramePr>
                  <a:graphicFrameLocks/>
                </wp:cNvGraphicFramePr>
                <a:graphic>
                  <a:graphicData uri="http://schemas.microsoft.com/office/word/2010/wordprocessingGroup">
                    <wpg:wgp>
                      <wpg:cNvPr id="196" name="Group 196"/>
                      <wpg:cNvGrpSpPr/>
                      <wpg:grpSpPr>
                        <a:xfrm>
                          <a:off x="0" y="0"/>
                          <a:ext cx="7312659" cy="17145"/>
                          <a:chExt cx="7312659" cy="17145"/>
                        </a:xfrm>
                      </wpg:grpSpPr>
                      <wps:wsp>
                        <wps:cNvPr id="197" name="Graphic 19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98" name="Graphic 198"/>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99" name="Graphic 19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542pt;width:575.8pt;height:1.35pt;mso-position-horizontal-relative:page;mso-position-vertical-relative:paragraph;z-index:-15694848;mso-wrap-distance-left:0;mso-wrap-distance-right:0" id="docshapegroup194" coordorigin="364,96" coordsize="11516,27">
                <v:rect style="position:absolute;left:364;top:96;width:11516;height:14" id="docshape195" filled="true" fillcolor="#999999" stroked="false">
                  <v:fill type="solid"/>
                </v:rect>
                <v:shape style="position:absolute;left:364;top:95;width:11516;height:27" id="docshape196" coordorigin="364,96" coordsize="11516,27" path="m11880,96l11866,109,364,109,364,123,11866,123,11880,123,11880,109,11880,96xe" filled="true" fillcolor="#ededed" stroked="false">
                  <v:path arrowok="t"/>
                  <v:fill type="solid"/>
                </v:shape>
                <v:shape style="position:absolute;left:364;top:96;width:14;height:27" id="docshape19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63"/>
        <w:ind w:right="4901"/>
        <w:jc w:val="center"/>
      </w:pPr>
      <w:r>
        <w:rPr/>
        <w:t>The</w:t>
      </w:r>
      <w:r>
        <w:rPr>
          <w:spacing w:val="-1"/>
        </w:rPr>
        <w:t> </w:t>
      </w:r>
      <w:r>
        <w:rPr/>
        <w:t>following</w:t>
      </w:r>
      <w:r>
        <w:rPr>
          <w:spacing w:val="-1"/>
        </w:rPr>
        <w:t> </w:t>
      </w:r>
      <w:r>
        <w:rPr/>
        <w:t>table</w:t>
      </w:r>
      <w:r>
        <w:rPr>
          <w:spacing w:val="-1"/>
        </w:rPr>
        <w:t> </w:t>
      </w:r>
      <w:r>
        <w:rPr/>
        <w:t>shows</w:t>
      </w:r>
      <w:r>
        <w:rPr>
          <w:spacing w:val="-1"/>
        </w:rPr>
        <w:t> </w:t>
      </w:r>
      <w:r>
        <w:rPr/>
        <w:t>key</w:t>
      </w:r>
      <w:r>
        <w:rPr>
          <w:spacing w:val="-1"/>
        </w:rPr>
        <w:t> </w:t>
      </w:r>
      <w:r>
        <w:rPr/>
        <w:t>gaming</w:t>
      </w:r>
      <w:r>
        <w:rPr>
          <w:spacing w:val="-1"/>
        </w:rPr>
        <w:t> </w:t>
      </w:r>
      <w:r>
        <w:rPr/>
        <w:t>statistics</w:t>
      </w:r>
      <w:r>
        <w:rPr>
          <w:spacing w:val="-1"/>
        </w:rPr>
        <w:t> </w:t>
      </w:r>
      <w:r>
        <w:rPr/>
        <w:t>for</w:t>
      </w:r>
      <w:r>
        <w:rPr>
          <w:spacing w:val="-1"/>
        </w:rPr>
        <w:t> </w:t>
      </w:r>
      <w:r>
        <w:rPr/>
        <w:t>our</w:t>
      </w:r>
      <w:r>
        <w:rPr>
          <w:spacing w:val="-1"/>
        </w:rPr>
        <w:t> </w:t>
      </w:r>
      <w:r>
        <w:rPr/>
        <w:t>Regional</w:t>
      </w:r>
      <w:r>
        <w:rPr>
          <w:spacing w:val="-1"/>
        </w:rPr>
        <w:t> </w:t>
      </w:r>
      <w:r>
        <w:rPr>
          <w:spacing w:val="-2"/>
        </w:rPr>
        <w:t>Operations:</w:t>
      </w:r>
    </w:p>
    <w:p>
      <w:pPr>
        <w:pStyle w:val="Heading5"/>
        <w:spacing w:before="49"/>
        <w:ind w:left="6453"/>
      </w:pPr>
      <w:r>
        <w:rPr/>
        <mc:AlternateContent>
          <mc:Choice Requires="wps">
            <w:drawing>
              <wp:anchor distT="0" distB="0" distL="0" distR="0" allowOverlap="1" layoutInCell="1" locked="0" behindDoc="1" simplePos="0" relativeHeight="487622144">
                <wp:simplePos x="0" y="0"/>
                <wp:positionH relativeFrom="page">
                  <wp:posOffset>4311955</wp:posOffset>
                </wp:positionH>
                <wp:positionV relativeFrom="paragraph">
                  <wp:posOffset>180998</wp:posOffset>
                </wp:positionV>
                <wp:extent cx="3232150" cy="889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3232150" cy="8890"/>
                        </a:xfrm>
                        <a:custGeom>
                          <a:avLst/>
                          <a:gdLst/>
                          <a:ahLst/>
                          <a:cxnLst/>
                          <a:rect l="l" t="t" r="r" b="b"/>
                          <a:pathLst>
                            <a:path w="3232150" h="8890">
                              <a:moveTo>
                                <a:pt x="3231832" y="0"/>
                              </a:moveTo>
                              <a:lnTo>
                                <a:pt x="3231832" y="0"/>
                              </a:lnTo>
                              <a:lnTo>
                                <a:pt x="0" y="0"/>
                              </a:lnTo>
                              <a:lnTo>
                                <a:pt x="0" y="8572"/>
                              </a:lnTo>
                              <a:lnTo>
                                <a:pt x="3231832" y="8572"/>
                              </a:lnTo>
                              <a:lnTo>
                                <a:pt x="32318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524017pt;margin-top:14.251845pt;width:254.475012pt;height:.675pt;mso-position-horizontal-relative:page;mso-position-vertical-relative:paragraph;z-index:-15694336;mso-wrap-distance-left:0;mso-wrap-distance-right:0" id="docshape198"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185" w:val="left" w:leader="none"/>
          <w:tab w:pos="9919" w:val="left" w:leader="none"/>
        </w:tabs>
        <w:spacing w:before="21" w:after="42"/>
        <w:ind w:left="6452"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570"/>
        <w:rPr>
          <w:sz w:val="2"/>
        </w:rPr>
      </w:pPr>
      <w:r>
        <w:rPr>
          <w:sz w:val="2"/>
        </w:rPr>
        <mc:AlternateContent>
          <mc:Choice Requires="wps">
            <w:drawing>
              <wp:inline distT="0" distB="0" distL="0" distR="0">
                <wp:extent cx="3232150" cy="8890"/>
                <wp:effectExtent l="0" t="0" r="0" b="0"/>
                <wp:docPr id="201" name="Group 201"/>
                <wp:cNvGraphicFramePr>
                  <a:graphicFrameLocks/>
                </wp:cNvGraphicFramePr>
                <a:graphic>
                  <a:graphicData uri="http://schemas.microsoft.com/office/word/2010/wordprocessingGroup">
                    <wpg:wgp>
                      <wpg:cNvPr id="201" name="Group 201"/>
                      <wpg:cNvGrpSpPr/>
                      <wpg:grpSpPr>
                        <a:xfrm>
                          <a:off x="0" y="0"/>
                          <a:ext cx="3232150" cy="8890"/>
                          <a:chExt cx="3232150" cy="8890"/>
                        </a:xfrm>
                      </wpg:grpSpPr>
                      <wps:wsp>
                        <wps:cNvPr id="202" name="Graphic 202"/>
                        <wps:cNvSpPr/>
                        <wps:spPr>
                          <a:xfrm>
                            <a:off x="-12" y="-1"/>
                            <a:ext cx="3232150" cy="8890"/>
                          </a:xfrm>
                          <a:custGeom>
                            <a:avLst/>
                            <a:gdLst/>
                            <a:ahLst/>
                            <a:cxnLst/>
                            <a:rect l="l" t="t" r="r" b="b"/>
                            <a:pathLst>
                              <a:path w="3232150" h="8890">
                                <a:moveTo>
                                  <a:pt x="3231832" y="0"/>
                                </a:moveTo>
                                <a:lnTo>
                                  <a:pt x="3231832" y="0"/>
                                </a:lnTo>
                                <a:lnTo>
                                  <a:pt x="0" y="0"/>
                                </a:lnTo>
                                <a:lnTo>
                                  <a:pt x="0" y="8572"/>
                                </a:lnTo>
                                <a:lnTo>
                                  <a:pt x="3231832" y="8572"/>
                                </a:lnTo>
                                <a:lnTo>
                                  <a:pt x="32318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4.5pt;height:.7pt;mso-position-horizontal-relative:char;mso-position-vertical-relative:line" id="docshapegroup199" coordorigin="0,0" coordsize="5090,14">
                <v:rect style="position:absolute;left:-1;top:0;width:5090;height:14" id="docshape200" filled="true" fillcolor="#000000" stroked="false">
                  <v:fill type="solid"/>
                </v:rect>
              </v:group>
            </w:pict>
          </mc:Fallback>
        </mc:AlternateContent>
      </w:r>
      <w:r>
        <w:rPr>
          <w:sz w:val="2"/>
        </w:rPr>
      </w:r>
    </w:p>
    <w:p>
      <w:pPr>
        <w:spacing w:before="11" w:after="38"/>
        <w:ind w:left="6453" w:right="0" w:firstLine="0"/>
        <w:jc w:val="center"/>
        <w:rPr>
          <w:b/>
          <w:i/>
          <w:sz w:val="14"/>
        </w:rPr>
      </w:pPr>
      <w:r>
        <w:rPr>
          <w:b/>
          <w:i/>
          <w:sz w:val="14"/>
        </w:rPr>
        <w:t>(Dollars</w:t>
      </w:r>
      <w:r>
        <w:rPr>
          <w:b/>
          <w:i/>
          <w:spacing w:val="5"/>
          <w:sz w:val="14"/>
        </w:rPr>
        <w:t> </w:t>
      </w:r>
      <w:r>
        <w:rPr>
          <w:b/>
          <w:i/>
          <w:sz w:val="14"/>
        </w:rPr>
        <w:t>in</w:t>
      </w:r>
      <w:r>
        <w:rPr>
          <w:b/>
          <w:i/>
          <w:spacing w:val="6"/>
          <w:sz w:val="14"/>
        </w:rPr>
        <w:t> </w:t>
      </w:r>
      <w:r>
        <w:rPr>
          <w:b/>
          <w:i/>
          <w:spacing w:val="-2"/>
          <w:sz w:val="14"/>
        </w:rPr>
        <w:t>millions)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3"/>
        <w:gridCol w:w="4132"/>
        <w:gridCol w:w="1734"/>
        <w:gridCol w:w="1678"/>
      </w:tblGrid>
      <w:tr>
        <w:trPr>
          <w:trHeight w:val="256" w:hRule="atLeast"/>
        </w:trPr>
        <w:tc>
          <w:tcPr>
            <w:tcW w:w="3973" w:type="dxa"/>
            <w:shd w:val="clear" w:color="auto" w:fill="CCEDFF"/>
          </w:tcPr>
          <w:p>
            <w:pPr>
              <w:pStyle w:val="TableParagraph"/>
              <w:ind w:left="17"/>
              <w:rPr>
                <w:sz w:val="18"/>
              </w:rPr>
            </w:pPr>
            <w:r>
              <w:rPr>
                <w:sz w:val="18"/>
              </w:rPr>
              <w:t>Table</w:t>
            </w:r>
            <w:r>
              <w:rPr>
                <w:spacing w:val="-8"/>
                <w:sz w:val="18"/>
              </w:rPr>
              <w:t> </w:t>
            </w:r>
            <w:r>
              <w:rPr>
                <w:sz w:val="18"/>
              </w:rPr>
              <w:t>Games</w:t>
            </w:r>
            <w:r>
              <w:rPr>
                <w:spacing w:val="-7"/>
                <w:sz w:val="18"/>
              </w:rPr>
              <w:t> </w:t>
            </w:r>
            <w:r>
              <w:rPr>
                <w:spacing w:val="-4"/>
                <w:sz w:val="18"/>
              </w:rPr>
              <w:t>Drop</w:t>
            </w:r>
          </w:p>
        </w:tc>
        <w:tc>
          <w:tcPr>
            <w:tcW w:w="4132" w:type="dxa"/>
            <w:shd w:val="clear" w:color="auto" w:fill="CCEDFF"/>
          </w:tcPr>
          <w:p>
            <w:pPr>
              <w:pStyle w:val="TableParagraph"/>
              <w:tabs>
                <w:tab w:pos="3455" w:val="left" w:leader="none"/>
              </w:tabs>
              <w:ind w:left="2474"/>
              <w:rPr>
                <w:sz w:val="18"/>
              </w:rPr>
            </w:pPr>
            <w:r>
              <w:rPr>
                <w:spacing w:val="-10"/>
                <w:sz w:val="18"/>
              </w:rPr>
              <w:t>$</w:t>
            </w:r>
            <w:r>
              <w:rPr>
                <w:sz w:val="18"/>
              </w:rPr>
              <w:tab/>
            </w:r>
            <w:r>
              <w:rPr>
                <w:spacing w:val="-2"/>
                <w:sz w:val="18"/>
              </w:rPr>
              <w:t>4,469</w:t>
            </w:r>
          </w:p>
        </w:tc>
        <w:tc>
          <w:tcPr>
            <w:tcW w:w="1734" w:type="dxa"/>
            <w:shd w:val="clear" w:color="auto" w:fill="CCEDFF"/>
          </w:tcPr>
          <w:p>
            <w:pPr>
              <w:pStyle w:val="TableParagraph"/>
              <w:tabs>
                <w:tab w:pos="1057" w:val="left" w:leader="none"/>
              </w:tabs>
              <w:ind w:left="75"/>
              <w:rPr>
                <w:sz w:val="18"/>
              </w:rPr>
            </w:pPr>
            <w:r>
              <w:rPr>
                <w:spacing w:val="-10"/>
                <w:sz w:val="18"/>
              </w:rPr>
              <w:t>$</w:t>
            </w:r>
            <w:r>
              <w:rPr>
                <w:sz w:val="18"/>
              </w:rPr>
              <w:tab/>
            </w:r>
            <w:r>
              <w:rPr>
                <w:spacing w:val="-2"/>
                <w:sz w:val="18"/>
              </w:rPr>
              <w:t>3,980</w:t>
            </w:r>
          </w:p>
        </w:tc>
        <w:tc>
          <w:tcPr>
            <w:tcW w:w="1678" w:type="dxa"/>
            <w:shd w:val="clear" w:color="auto" w:fill="CCEDFF"/>
          </w:tcPr>
          <w:p>
            <w:pPr>
              <w:pStyle w:val="TableParagraph"/>
              <w:tabs>
                <w:tab w:pos="1056" w:val="left" w:leader="none"/>
              </w:tabs>
              <w:ind w:left="74"/>
              <w:rPr>
                <w:sz w:val="18"/>
              </w:rPr>
            </w:pPr>
            <w:r>
              <w:rPr>
                <w:spacing w:val="-10"/>
                <w:sz w:val="18"/>
              </w:rPr>
              <w:t>$</w:t>
            </w:r>
            <w:r>
              <w:rPr>
                <w:sz w:val="18"/>
              </w:rPr>
              <w:tab/>
            </w:r>
            <w:r>
              <w:rPr>
                <w:spacing w:val="-2"/>
                <w:sz w:val="18"/>
              </w:rPr>
              <w:t>2,422</w:t>
            </w:r>
          </w:p>
        </w:tc>
      </w:tr>
      <w:tr>
        <w:trPr>
          <w:trHeight w:val="256" w:hRule="atLeast"/>
        </w:trPr>
        <w:tc>
          <w:tcPr>
            <w:tcW w:w="3973" w:type="dxa"/>
          </w:tcPr>
          <w:p>
            <w:pPr>
              <w:pStyle w:val="TableParagraph"/>
              <w:ind w:left="17"/>
              <w:rPr>
                <w:sz w:val="18"/>
              </w:rPr>
            </w:pPr>
            <w:r>
              <w:rPr>
                <w:sz w:val="18"/>
              </w:rPr>
              <w:t>Table</w:t>
            </w:r>
            <w:r>
              <w:rPr>
                <w:spacing w:val="-10"/>
                <w:sz w:val="18"/>
              </w:rPr>
              <w:t> </w:t>
            </w:r>
            <w:r>
              <w:rPr>
                <w:sz w:val="18"/>
              </w:rPr>
              <w:t>Games</w:t>
            </w:r>
            <w:r>
              <w:rPr>
                <w:spacing w:val="-10"/>
                <w:sz w:val="18"/>
              </w:rPr>
              <w:t> </w:t>
            </w:r>
            <w:r>
              <w:rPr>
                <w:spacing w:val="-5"/>
                <w:sz w:val="18"/>
              </w:rPr>
              <w:t>Win</w:t>
            </w:r>
          </w:p>
        </w:tc>
        <w:tc>
          <w:tcPr>
            <w:tcW w:w="4132" w:type="dxa"/>
          </w:tcPr>
          <w:p>
            <w:pPr>
              <w:pStyle w:val="TableParagraph"/>
              <w:tabs>
                <w:tab w:pos="3590" w:val="left" w:leader="none"/>
              </w:tabs>
              <w:ind w:left="2474"/>
              <w:rPr>
                <w:sz w:val="18"/>
              </w:rPr>
            </w:pPr>
            <w:r>
              <w:rPr>
                <w:spacing w:val="-10"/>
                <w:sz w:val="18"/>
              </w:rPr>
              <w:t>$</w:t>
            </w:r>
            <w:r>
              <w:rPr>
                <w:sz w:val="18"/>
              </w:rPr>
              <w:tab/>
            </w:r>
            <w:r>
              <w:rPr>
                <w:spacing w:val="-5"/>
                <w:sz w:val="18"/>
              </w:rPr>
              <w:t>933</w:t>
            </w:r>
          </w:p>
        </w:tc>
        <w:tc>
          <w:tcPr>
            <w:tcW w:w="1734" w:type="dxa"/>
          </w:tcPr>
          <w:p>
            <w:pPr>
              <w:pStyle w:val="TableParagraph"/>
              <w:tabs>
                <w:tab w:pos="1192" w:val="left" w:leader="none"/>
              </w:tabs>
              <w:ind w:left="75"/>
              <w:rPr>
                <w:sz w:val="18"/>
              </w:rPr>
            </w:pPr>
            <w:r>
              <w:rPr>
                <w:spacing w:val="-10"/>
                <w:sz w:val="18"/>
              </w:rPr>
              <w:t>$</w:t>
            </w:r>
            <w:r>
              <w:rPr>
                <w:sz w:val="18"/>
              </w:rPr>
              <w:tab/>
            </w:r>
            <w:r>
              <w:rPr>
                <w:spacing w:val="-5"/>
                <w:sz w:val="18"/>
              </w:rPr>
              <w:t>788</w:t>
            </w:r>
          </w:p>
        </w:tc>
        <w:tc>
          <w:tcPr>
            <w:tcW w:w="1678" w:type="dxa"/>
          </w:tcPr>
          <w:p>
            <w:pPr>
              <w:pStyle w:val="TableParagraph"/>
              <w:tabs>
                <w:tab w:pos="1191" w:val="left" w:leader="none"/>
              </w:tabs>
              <w:ind w:left="74"/>
              <w:rPr>
                <w:sz w:val="18"/>
              </w:rPr>
            </w:pPr>
            <w:r>
              <w:rPr>
                <w:spacing w:val="-10"/>
                <w:sz w:val="18"/>
              </w:rPr>
              <w:t>$</w:t>
            </w:r>
            <w:r>
              <w:rPr>
                <w:sz w:val="18"/>
              </w:rPr>
              <w:tab/>
            </w:r>
            <w:r>
              <w:rPr>
                <w:spacing w:val="-5"/>
                <w:sz w:val="18"/>
              </w:rPr>
              <w:t>488</w:t>
            </w:r>
          </w:p>
        </w:tc>
      </w:tr>
      <w:tr>
        <w:trPr>
          <w:trHeight w:val="256" w:hRule="atLeast"/>
        </w:trPr>
        <w:tc>
          <w:tcPr>
            <w:tcW w:w="3973" w:type="dxa"/>
            <w:shd w:val="clear" w:color="auto" w:fill="CCEDFF"/>
          </w:tcPr>
          <w:p>
            <w:pPr>
              <w:pStyle w:val="TableParagraph"/>
              <w:ind w:left="17"/>
              <w:rPr>
                <w:sz w:val="18"/>
              </w:rPr>
            </w:pPr>
            <w:r>
              <w:rPr>
                <w:sz w:val="18"/>
              </w:rPr>
              <w:t>Table</w:t>
            </w:r>
            <w:r>
              <w:rPr>
                <w:spacing w:val="-9"/>
                <w:sz w:val="18"/>
              </w:rPr>
              <w:t> </w:t>
            </w:r>
            <w:r>
              <w:rPr>
                <w:sz w:val="18"/>
              </w:rPr>
              <w:t>Games</w:t>
            </w:r>
            <w:r>
              <w:rPr>
                <w:spacing w:val="-10"/>
                <w:sz w:val="18"/>
              </w:rPr>
              <w:t> </w:t>
            </w:r>
            <w:r>
              <w:rPr>
                <w:sz w:val="18"/>
              </w:rPr>
              <w:t>Win</w:t>
            </w:r>
            <w:r>
              <w:rPr>
                <w:spacing w:val="-8"/>
                <w:sz w:val="18"/>
              </w:rPr>
              <w:t> </w:t>
            </w:r>
            <w:r>
              <w:rPr>
                <w:spacing w:val="-10"/>
                <w:sz w:val="18"/>
              </w:rPr>
              <w:t>%</w:t>
            </w:r>
          </w:p>
        </w:tc>
        <w:tc>
          <w:tcPr>
            <w:tcW w:w="4132" w:type="dxa"/>
            <w:shd w:val="clear" w:color="auto" w:fill="CCEDFF"/>
          </w:tcPr>
          <w:p>
            <w:pPr>
              <w:pStyle w:val="TableParagraph"/>
              <w:ind w:right="74"/>
              <w:jc w:val="right"/>
              <w:rPr>
                <w:sz w:val="18"/>
              </w:rPr>
            </w:pPr>
            <w:r>
              <w:rPr>
                <w:sz w:val="18"/>
              </w:rPr>
              <w:t>20.9 </w:t>
            </w:r>
            <w:r>
              <w:rPr>
                <w:spacing w:val="-10"/>
                <w:sz w:val="18"/>
              </w:rPr>
              <w:t>%</w:t>
            </w:r>
          </w:p>
        </w:tc>
        <w:tc>
          <w:tcPr>
            <w:tcW w:w="1734" w:type="dxa"/>
            <w:shd w:val="clear" w:color="auto" w:fill="CCEDFF"/>
          </w:tcPr>
          <w:p>
            <w:pPr>
              <w:pStyle w:val="TableParagraph"/>
              <w:ind w:right="74"/>
              <w:jc w:val="right"/>
              <w:rPr>
                <w:sz w:val="18"/>
              </w:rPr>
            </w:pPr>
            <w:r>
              <w:rPr>
                <w:sz w:val="18"/>
              </w:rPr>
              <w:t>19.8 </w:t>
            </w:r>
            <w:r>
              <w:rPr>
                <w:spacing w:val="-10"/>
                <w:sz w:val="18"/>
              </w:rPr>
              <w:t>%</w:t>
            </w:r>
          </w:p>
        </w:tc>
        <w:tc>
          <w:tcPr>
            <w:tcW w:w="1678" w:type="dxa"/>
            <w:shd w:val="clear" w:color="auto" w:fill="CCEDFF"/>
          </w:tcPr>
          <w:p>
            <w:pPr>
              <w:pStyle w:val="TableParagraph"/>
              <w:ind w:right="17"/>
              <w:jc w:val="right"/>
              <w:rPr>
                <w:sz w:val="18"/>
              </w:rPr>
            </w:pPr>
            <w:r>
              <w:rPr>
                <w:sz w:val="18"/>
              </w:rPr>
              <w:t>20.1</w:t>
            </w:r>
            <w:r>
              <w:rPr>
                <w:spacing w:val="1"/>
                <w:sz w:val="18"/>
              </w:rPr>
              <w:t> </w:t>
            </w:r>
            <w:r>
              <w:rPr>
                <w:spacing w:val="-10"/>
                <w:sz w:val="18"/>
              </w:rPr>
              <w:t>%</w:t>
            </w:r>
          </w:p>
        </w:tc>
      </w:tr>
      <w:tr>
        <w:trPr>
          <w:trHeight w:val="269" w:hRule="atLeast"/>
        </w:trPr>
        <w:tc>
          <w:tcPr>
            <w:tcW w:w="3973" w:type="dxa"/>
          </w:tcPr>
          <w:p>
            <w:pPr>
              <w:pStyle w:val="TableParagraph"/>
              <w:ind w:left="17"/>
              <w:rPr>
                <w:sz w:val="18"/>
              </w:rPr>
            </w:pPr>
            <w:r>
              <w:rPr>
                <w:sz w:val="18"/>
              </w:rPr>
              <w:t>Slots</w:t>
            </w:r>
            <w:r>
              <w:rPr>
                <w:spacing w:val="-1"/>
                <w:sz w:val="18"/>
              </w:rPr>
              <w:t> </w:t>
            </w:r>
            <w:r>
              <w:rPr>
                <w:spacing w:val="-2"/>
                <w:sz w:val="18"/>
              </w:rPr>
              <w:t>Handle</w:t>
            </w:r>
          </w:p>
        </w:tc>
        <w:tc>
          <w:tcPr>
            <w:tcW w:w="4132" w:type="dxa"/>
          </w:tcPr>
          <w:p>
            <w:pPr>
              <w:pStyle w:val="TableParagraph"/>
              <w:tabs>
                <w:tab w:pos="3365" w:val="left" w:leader="none"/>
              </w:tabs>
              <w:ind w:left="2474"/>
              <w:rPr>
                <w:sz w:val="18"/>
              </w:rPr>
            </w:pPr>
            <w:r>
              <w:rPr>
                <w:spacing w:val="-10"/>
                <w:sz w:val="18"/>
              </w:rPr>
              <w:t>$</w:t>
            </w:r>
            <w:r>
              <w:rPr>
                <w:sz w:val="18"/>
              </w:rPr>
              <w:tab/>
            </w:r>
            <w:r>
              <w:rPr>
                <w:spacing w:val="-2"/>
                <w:sz w:val="18"/>
              </w:rPr>
              <w:t>28,226</w:t>
            </w:r>
          </w:p>
        </w:tc>
        <w:tc>
          <w:tcPr>
            <w:tcW w:w="1734" w:type="dxa"/>
          </w:tcPr>
          <w:p>
            <w:pPr>
              <w:pStyle w:val="TableParagraph"/>
              <w:tabs>
                <w:tab w:pos="967" w:val="left" w:leader="none"/>
              </w:tabs>
              <w:ind w:left="75"/>
              <w:rPr>
                <w:sz w:val="18"/>
              </w:rPr>
            </w:pPr>
            <w:r>
              <w:rPr>
                <w:spacing w:val="-10"/>
                <w:sz w:val="18"/>
              </w:rPr>
              <w:t>$</w:t>
            </w:r>
            <w:r>
              <w:rPr>
                <w:sz w:val="18"/>
              </w:rPr>
              <w:tab/>
            </w:r>
            <w:r>
              <w:rPr>
                <w:spacing w:val="-2"/>
                <w:sz w:val="18"/>
              </w:rPr>
              <w:t>25,566</w:t>
            </w:r>
          </w:p>
        </w:tc>
        <w:tc>
          <w:tcPr>
            <w:tcW w:w="1678" w:type="dxa"/>
          </w:tcPr>
          <w:p>
            <w:pPr>
              <w:pStyle w:val="TableParagraph"/>
              <w:tabs>
                <w:tab w:pos="966" w:val="left" w:leader="none"/>
              </w:tabs>
              <w:ind w:left="74"/>
              <w:rPr>
                <w:sz w:val="18"/>
              </w:rPr>
            </w:pPr>
            <w:r>
              <w:rPr>
                <w:spacing w:val="-10"/>
                <w:sz w:val="18"/>
              </w:rPr>
              <w:t>$</w:t>
            </w:r>
            <w:r>
              <w:rPr>
                <w:sz w:val="18"/>
              </w:rPr>
              <w:tab/>
            </w:r>
            <w:r>
              <w:rPr>
                <w:spacing w:val="-2"/>
                <w:sz w:val="18"/>
              </w:rPr>
              <w:t>14,527</w:t>
            </w:r>
          </w:p>
        </w:tc>
      </w:tr>
      <w:tr>
        <w:trPr>
          <w:trHeight w:val="256" w:hRule="atLeast"/>
        </w:trPr>
        <w:tc>
          <w:tcPr>
            <w:tcW w:w="3973" w:type="dxa"/>
            <w:shd w:val="clear" w:color="auto" w:fill="CCEDFF"/>
          </w:tcPr>
          <w:p>
            <w:pPr>
              <w:pStyle w:val="TableParagraph"/>
              <w:ind w:left="17"/>
              <w:rPr>
                <w:sz w:val="18"/>
              </w:rPr>
            </w:pPr>
            <w:r>
              <w:rPr>
                <w:sz w:val="18"/>
              </w:rPr>
              <w:t>Slots</w:t>
            </w:r>
            <w:r>
              <w:rPr>
                <w:spacing w:val="-4"/>
                <w:sz w:val="18"/>
              </w:rPr>
              <w:t> </w:t>
            </w:r>
            <w:r>
              <w:rPr>
                <w:spacing w:val="-5"/>
                <w:sz w:val="18"/>
              </w:rPr>
              <w:t>Win</w:t>
            </w:r>
          </w:p>
        </w:tc>
        <w:tc>
          <w:tcPr>
            <w:tcW w:w="4132" w:type="dxa"/>
            <w:shd w:val="clear" w:color="auto" w:fill="CCEDFF"/>
          </w:tcPr>
          <w:p>
            <w:pPr>
              <w:pStyle w:val="TableParagraph"/>
              <w:tabs>
                <w:tab w:pos="3455" w:val="left" w:leader="none"/>
              </w:tabs>
              <w:ind w:left="2474"/>
              <w:rPr>
                <w:sz w:val="18"/>
              </w:rPr>
            </w:pPr>
            <w:r>
              <w:rPr>
                <w:spacing w:val="-10"/>
                <w:sz w:val="18"/>
              </w:rPr>
              <w:t>$</w:t>
            </w:r>
            <w:r>
              <w:rPr>
                <w:sz w:val="18"/>
              </w:rPr>
              <w:tab/>
            </w:r>
            <w:r>
              <w:rPr>
                <w:spacing w:val="-2"/>
                <w:sz w:val="18"/>
              </w:rPr>
              <w:t>2,692</w:t>
            </w:r>
          </w:p>
        </w:tc>
        <w:tc>
          <w:tcPr>
            <w:tcW w:w="1734" w:type="dxa"/>
            <w:shd w:val="clear" w:color="auto" w:fill="CCEDFF"/>
          </w:tcPr>
          <w:p>
            <w:pPr>
              <w:pStyle w:val="TableParagraph"/>
              <w:tabs>
                <w:tab w:pos="1057" w:val="left" w:leader="none"/>
              </w:tabs>
              <w:ind w:left="75"/>
              <w:rPr>
                <w:sz w:val="18"/>
              </w:rPr>
            </w:pPr>
            <w:r>
              <w:rPr>
                <w:spacing w:val="-10"/>
                <w:sz w:val="18"/>
              </w:rPr>
              <w:t>$</w:t>
            </w:r>
            <w:r>
              <w:rPr>
                <w:sz w:val="18"/>
              </w:rPr>
              <w:tab/>
            </w:r>
            <w:r>
              <w:rPr>
                <w:spacing w:val="-2"/>
                <w:sz w:val="18"/>
              </w:rPr>
              <w:t>2,462</w:t>
            </w:r>
          </w:p>
        </w:tc>
        <w:tc>
          <w:tcPr>
            <w:tcW w:w="1678" w:type="dxa"/>
            <w:shd w:val="clear" w:color="auto" w:fill="CCEDFF"/>
          </w:tcPr>
          <w:p>
            <w:pPr>
              <w:pStyle w:val="TableParagraph"/>
              <w:tabs>
                <w:tab w:pos="1056" w:val="left" w:leader="none"/>
              </w:tabs>
              <w:ind w:left="74"/>
              <w:rPr>
                <w:sz w:val="18"/>
              </w:rPr>
            </w:pPr>
            <w:r>
              <w:rPr>
                <w:spacing w:val="-10"/>
                <w:sz w:val="18"/>
              </w:rPr>
              <w:t>$</w:t>
            </w:r>
            <w:r>
              <w:rPr>
                <w:sz w:val="18"/>
              </w:rPr>
              <w:tab/>
            </w:r>
            <w:r>
              <w:rPr>
                <w:spacing w:val="-2"/>
                <w:sz w:val="18"/>
              </w:rPr>
              <w:t>1,405</w:t>
            </w:r>
          </w:p>
        </w:tc>
      </w:tr>
      <w:tr>
        <w:trPr>
          <w:trHeight w:val="227" w:hRule="atLeast"/>
        </w:trPr>
        <w:tc>
          <w:tcPr>
            <w:tcW w:w="3973" w:type="dxa"/>
          </w:tcPr>
          <w:p>
            <w:pPr>
              <w:pStyle w:val="TableParagraph"/>
              <w:spacing w:line="187" w:lineRule="exact"/>
              <w:ind w:left="17"/>
              <w:rPr>
                <w:sz w:val="18"/>
              </w:rPr>
            </w:pPr>
            <w:r>
              <w:rPr>
                <w:sz w:val="18"/>
              </w:rPr>
              <w:t>Slots</w:t>
            </w:r>
            <w:r>
              <w:rPr>
                <w:spacing w:val="-1"/>
                <w:sz w:val="18"/>
              </w:rPr>
              <w:t> </w:t>
            </w:r>
            <w:r>
              <w:rPr>
                <w:sz w:val="18"/>
              </w:rPr>
              <w:t>Hold</w:t>
            </w:r>
            <w:r>
              <w:rPr>
                <w:spacing w:val="-1"/>
                <w:sz w:val="18"/>
              </w:rPr>
              <w:t> </w:t>
            </w:r>
            <w:r>
              <w:rPr>
                <w:spacing w:val="-10"/>
                <w:sz w:val="18"/>
              </w:rPr>
              <w:t>%</w:t>
            </w:r>
          </w:p>
        </w:tc>
        <w:tc>
          <w:tcPr>
            <w:tcW w:w="4132" w:type="dxa"/>
          </w:tcPr>
          <w:p>
            <w:pPr>
              <w:pStyle w:val="TableParagraph"/>
              <w:spacing w:line="187" w:lineRule="exact"/>
              <w:ind w:right="74"/>
              <w:jc w:val="right"/>
              <w:rPr>
                <w:sz w:val="18"/>
              </w:rPr>
            </w:pPr>
            <w:r>
              <w:rPr>
                <w:sz w:val="18"/>
              </w:rPr>
              <w:t>9.5 </w:t>
            </w:r>
            <w:r>
              <w:rPr>
                <w:spacing w:val="-10"/>
                <w:sz w:val="18"/>
              </w:rPr>
              <w:t>%</w:t>
            </w:r>
          </w:p>
        </w:tc>
        <w:tc>
          <w:tcPr>
            <w:tcW w:w="1734" w:type="dxa"/>
          </w:tcPr>
          <w:p>
            <w:pPr>
              <w:pStyle w:val="TableParagraph"/>
              <w:spacing w:line="187" w:lineRule="exact"/>
              <w:ind w:right="74"/>
              <w:jc w:val="right"/>
              <w:rPr>
                <w:sz w:val="18"/>
              </w:rPr>
            </w:pPr>
            <w:r>
              <w:rPr>
                <w:sz w:val="18"/>
              </w:rPr>
              <w:t>9.6 </w:t>
            </w:r>
            <w:r>
              <w:rPr>
                <w:spacing w:val="-10"/>
                <w:sz w:val="18"/>
              </w:rPr>
              <w:t>%</w:t>
            </w:r>
          </w:p>
        </w:tc>
        <w:tc>
          <w:tcPr>
            <w:tcW w:w="1678" w:type="dxa"/>
          </w:tcPr>
          <w:p>
            <w:pPr>
              <w:pStyle w:val="TableParagraph"/>
              <w:spacing w:line="187" w:lineRule="exact"/>
              <w:ind w:right="17"/>
              <w:jc w:val="right"/>
              <w:rPr>
                <w:sz w:val="18"/>
              </w:rPr>
            </w:pPr>
            <w:r>
              <w:rPr>
                <w:sz w:val="18"/>
              </w:rPr>
              <w:t>9.7</w:t>
            </w:r>
            <w:r>
              <w:rPr>
                <w:spacing w:val="1"/>
                <w:sz w:val="18"/>
              </w:rPr>
              <w:t> </w:t>
            </w:r>
            <w:r>
              <w:rPr>
                <w:spacing w:val="-10"/>
                <w:sz w:val="18"/>
              </w:rPr>
              <w:t>%</w:t>
            </w:r>
          </w:p>
        </w:tc>
      </w:tr>
    </w:tbl>
    <w:p>
      <w:pPr>
        <w:pStyle w:val="BodyText"/>
        <w:spacing w:before="133"/>
        <w:rPr>
          <w:b/>
          <w:i/>
        </w:rPr>
      </w:pPr>
    </w:p>
    <w:p>
      <w:pPr>
        <w:pStyle w:val="BodyText"/>
        <w:spacing w:line="235" w:lineRule="auto"/>
        <w:ind w:left="144" w:right="118" w:firstLine="486"/>
        <w:jc w:val="both"/>
      </w:pPr>
      <w:r>
        <w:rPr/>
        <w:t>Regional Operations rooms revenue was $284 million in 2022, compared to $221 million in 2021, an increase of 29%, due to an increase in </w:t>
      </w:r>
      <w:r>
        <w:rPr/>
        <w:t>business volume</w:t>
      </w:r>
      <w:r>
        <w:rPr>
          <w:spacing w:val="-2"/>
        </w:rPr>
        <w:t> </w:t>
      </w:r>
      <w:r>
        <w:rPr/>
        <w:t>and</w:t>
      </w:r>
      <w:r>
        <w:rPr>
          <w:spacing w:val="-2"/>
        </w:rPr>
        <w:t> </w:t>
      </w:r>
      <w:r>
        <w:rPr/>
        <w:t>travel</w:t>
      </w:r>
      <w:r>
        <w:rPr>
          <w:spacing w:val="-2"/>
        </w:rPr>
        <w:t> </w:t>
      </w:r>
      <w:r>
        <w:rPr/>
        <w:t>activity</w:t>
      </w:r>
      <w:r>
        <w:rPr>
          <w:spacing w:val="-2"/>
        </w:rPr>
        <w:t> </w:t>
      </w:r>
      <w:r>
        <w:rPr/>
        <w:t>over</w:t>
      </w:r>
      <w:r>
        <w:rPr>
          <w:spacing w:val="-2"/>
        </w:rPr>
        <w:t> </w:t>
      </w:r>
      <w:r>
        <w:rPr/>
        <w:t>the</w:t>
      </w:r>
      <w:r>
        <w:rPr>
          <w:spacing w:val="-2"/>
        </w:rPr>
        <w:t> </w:t>
      </w:r>
      <w:r>
        <w:rPr/>
        <w:t>prior</w:t>
      </w:r>
      <w:r>
        <w:rPr>
          <w:spacing w:val="-2"/>
        </w:rPr>
        <w:t> </w:t>
      </w:r>
      <w:r>
        <w:rPr/>
        <w:t>year,</w:t>
      </w:r>
      <w:r>
        <w:rPr>
          <w:spacing w:val="-2"/>
        </w:rPr>
        <w:t> </w:t>
      </w:r>
      <w:r>
        <w:rPr/>
        <w:t>which</w:t>
      </w:r>
      <w:r>
        <w:rPr>
          <w:spacing w:val="-2"/>
        </w:rPr>
        <w:t> </w:t>
      </w:r>
      <w:r>
        <w:rPr/>
        <w:t>was</w:t>
      </w:r>
      <w:r>
        <w:rPr>
          <w:spacing w:val="-2"/>
        </w:rPr>
        <w:t> </w:t>
      </w:r>
      <w:r>
        <w:rPr/>
        <w:t>negatively</w:t>
      </w:r>
      <w:r>
        <w:rPr>
          <w:spacing w:val="-2"/>
        </w:rPr>
        <w:t> </w:t>
      </w:r>
      <w:r>
        <w:rPr/>
        <w:t>affected</w:t>
      </w:r>
      <w:r>
        <w:rPr>
          <w:spacing w:val="-2"/>
        </w:rPr>
        <w:t> </w:t>
      </w:r>
      <w:r>
        <w:rPr/>
        <w:t>by</w:t>
      </w:r>
      <w:r>
        <w:rPr>
          <w:spacing w:val="-2"/>
        </w:rPr>
        <w:t> </w:t>
      </w:r>
      <w:r>
        <w:rPr/>
        <w:t>midweek</w:t>
      </w:r>
      <w:r>
        <w:rPr>
          <w:spacing w:val="-2"/>
        </w:rPr>
        <w:t> </w:t>
      </w:r>
      <w:r>
        <w:rPr/>
        <w:t>hotel</w:t>
      </w:r>
      <w:r>
        <w:rPr>
          <w:spacing w:val="-2"/>
        </w:rPr>
        <w:t> </w:t>
      </w:r>
      <w:r>
        <w:rPr/>
        <w:t>closures</w:t>
      </w:r>
      <w:r>
        <w:rPr>
          <w:spacing w:val="-2"/>
        </w:rPr>
        <w:t> </w:t>
      </w:r>
      <w:r>
        <w:rPr/>
        <w:t>at</w:t>
      </w:r>
      <w:r>
        <w:rPr>
          <w:spacing w:val="-2"/>
        </w:rPr>
        <w:t> </w:t>
      </w:r>
      <w:r>
        <w:rPr/>
        <w:t>certain</w:t>
      </w:r>
      <w:r>
        <w:rPr>
          <w:spacing w:val="-2"/>
        </w:rPr>
        <w:t> </w:t>
      </w:r>
      <w:r>
        <w:rPr/>
        <w:t>properties</w:t>
      </w:r>
      <w:r>
        <w:rPr>
          <w:spacing w:val="-2"/>
        </w:rPr>
        <w:t> </w:t>
      </w:r>
      <w:r>
        <w:rPr/>
        <w:t>and</w:t>
      </w:r>
      <w:r>
        <w:rPr>
          <w:spacing w:val="-2"/>
        </w:rPr>
        <w:t> </w:t>
      </w:r>
      <w:r>
        <w:rPr/>
        <w:t>operational</w:t>
      </w:r>
      <w:r>
        <w:rPr>
          <w:spacing w:val="-2"/>
        </w:rPr>
        <w:t> </w:t>
      </w:r>
      <w:r>
        <w:rPr/>
        <w:t>restrictions</w:t>
      </w:r>
      <w:r>
        <w:rPr>
          <w:spacing w:val="-2"/>
        </w:rPr>
        <w:t> </w:t>
      </w:r>
      <w:r>
        <w:rPr/>
        <w:t>related to the pandemic primarily during the first quarter of 2021.</w:t>
      </w:r>
    </w:p>
    <w:p>
      <w:pPr>
        <w:pStyle w:val="BodyText"/>
        <w:spacing w:before="21"/>
      </w:pPr>
    </w:p>
    <w:p>
      <w:pPr>
        <w:pStyle w:val="BodyText"/>
        <w:spacing w:line="235" w:lineRule="auto" w:before="1"/>
        <w:ind w:left="144" w:right="118" w:firstLine="499"/>
        <w:jc w:val="both"/>
      </w:pPr>
      <w:r>
        <w:rPr/>
        <w:t>Regional Operations food and beverage revenue was $429 million in 2022, compared to $308 million in 2021, an increase of 39%, and Regional Operations entertainment, retail and other, and reimbursed costs revenue was $201 million in 2022, compared to $142 million in 2021, an increase of 42%, </w:t>
      </w:r>
      <w:r>
        <w:rPr/>
        <w:t>due primarily to increased business volume and the prior year period being negatively affected by operational restrictions related to pandemic.</w:t>
      </w:r>
    </w:p>
    <w:p>
      <w:pPr>
        <w:pStyle w:val="BodyText"/>
        <w:spacing w:before="17"/>
      </w:pPr>
    </w:p>
    <w:p>
      <w:pPr>
        <w:pStyle w:val="Heading5"/>
        <w:spacing w:before="1"/>
        <w:ind w:left="394"/>
        <w:jc w:val="left"/>
      </w:pPr>
      <w:r>
        <w:rPr/>
        <w:t>MGM</w:t>
      </w:r>
      <w:r>
        <w:rPr>
          <w:spacing w:val="-1"/>
        </w:rPr>
        <w:t> </w:t>
      </w:r>
      <w:r>
        <w:rPr>
          <w:spacing w:val="-2"/>
        </w:rPr>
        <w:t>China</w:t>
      </w:r>
    </w:p>
    <w:p>
      <w:pPr>
        <w:pStyle w:val="BodyText"/>
        <w:spacing w:before="4"/>
        <w:rPr>
          <w:b/>
        </w:rPr>
      </w:pPr>
    </w:p>
    <w:p>
      <w:pPr>
        <w:pStyle w:val="BodyText"/>
        <w:ind w:left="644"/>
      </w:pPr>
      <w:r>
        <w:rPr/>
        <w:t>The</w:t>
      </w:r>
      <w:r>
        <w:rPr>
          <w:spacing w:val="-1"/>
        </w:rPr>
        <w:t> </w:t>
      </w:r>
      <w:r>
        <w:rPr/>
        <w:t>following</w:t>
      </w:r>
      <w:r>
        <w:rPr>
          <w:spacing w:val="-1"/>
        </w:rPr>
        <w:t> </w:t>
      </w:r>
      <w:r>
        <w:rPr/>
        <w:t>table</w:t>
      </w:r>
      <w:r>
        <w:rPr>
          <w:spacing w:val="-1"/>
        </w:rPr>
        <w:t> </w:t>
      </w:r>
      <w:r>
        <w:rPr/>
        <w:t>shows</w:t>
      </w:r>
      <w:r>
        <w:rPr>
          <w:spacing w:val="-1"/>
        </w:rPr>
        <w:t> </w:t>
      </w:r>
      <w:r>
        <w:rPr/>
        <w:t>key</w:t>
      </w:r>
      <w:r>
        <w:rPr>
          <w:spacing w:val="-1"/>
        </w:rPr>
        <w:t> </w:t>
      </w:r>
      <w:r>
        <w:rPr/>
        <w:t>gaming</w:t>
      </w:r>
      <w:r>
        <w:rPr>
          <w:spacing w:val="-1"/>
        </w:rPr>
        <w:t> </w:t>
      </w:r>
      <w:r>
        <w:rPr/>
        <w:t>statistics</w:t>
      </w:r>
      <w:r>
        <w:rPr>
          <w:spacing w:val="-1"/>
        </w:rPr>
        <w:t> </w:t>
      </w:r>
      <w:r>
        <w:rPr/>
        <w:t>for</w:t>
      </w:r>
      <w:r>
        <w:rPr>
          <w:spacing w:val="-1"/>
        </w:rPr>
        <w:t> </w:t>
      </w:r>
      <w:r>
        <w:rPr/>
        <w:t>MGM</w:t>
      </w:r>
      <w:r>
        <w:rPr>
          <w:spacing w:val="-1"/>
        </w:rPr>
        <w:t> </w:t>
      </w:r>
      <w:r>
        <w:rPr>
          <w:spacing w:val="-2"/>
        </w:rPr>
        <w:t>China:</w:t>
      </w:r>
    </w:p>
    <w:p>
      <w:pPr>
        <w:pStyle w:val="BodyText"/>
        <w:spacing w:before="59"/>
      </w:pPr>
    </w:p>
    <w:p>
      <w:pPr>
        <w:pStyle w:val="Heading5"/>
        <w:ind w:left="6468"/>
      </w:pPr>
      <w:r>
        <w:rPr/>
        <mc:AlternateContent>
          <mc:Choice Requires="wps">
            <w:drawing>
              <wp:anchor distT="0" distB="0" distL="0" distR="0" allowOverlap="1" layoutInCell="1" locked="0" behindDoc="1" simplePos="0" relativeHeight="487623168">
                <wp:simplePos x="0" y="0"/>
                <wp:positionH relativeFrom="page">
                  <wp:posOffset>4320527</wp:posOffset>
                </wp:positionH>
                <wp:positionV relativeFrom="paragraph">
                  <wp:posOffset>149582</wp:posOffset>
                </wp:positionV>
                <wp:extent cx="3223260" cy="889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3223260" cy="8890"/>
                        </a:xfrm>
                        <a:custGeom>
                          <a:avLst/>
                          <a:gdLst/>
                          <a:ahLst/>
                          <a:cxnLst/>
                          <a:rect l="l" t="t" r="r" b="b"/>
                          <a:pathLst>
                            <a:path w="3223260" h="8890">
                              <a:moveTo>
                                <a:pt x="3223260" y="0"/>
                              </a:moveTo>
                              <a:lnTo>
                                <a:pt x="3223260" y="0"/>
                              </a:lnTo>
                              <a:lnTo>
                                <a:pt x="0" y="0"/>
                              </a:lnTo>
                              <a:lnTo>
                                <a:pt x="0" y="8572"/>
                              </a:lnTo>
                              <a:lnTo>
                                <a:pt x="3223260" y="8572"/>
                              </a:lnTo>
                              <a:lnTo>
                                <a:pt x="32232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0.199005pt;margin-top:11.778183pt;width:253.800012pt;height:.675pt;mso-position-horizontal-relative:page;mso-position-vertical-relative:paragraph;z-index:-15693312;mso-wrap-distance-left:0;mso-wrap-distance-right:0" id="docshape201"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195" w:val="left" w:leader="none"/>
          <w:tab w:pos="9925" w:val="left" w:leader="none"/>
        </w:tabs>
        <w:spacing w:before="21" w:after="42"/>
        <w:ind w:left="6467"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584"/>
        <w:rPr>
          <w:sz w:val="2"/>
        </w:rPr>
      </w:pPr>
      <w:r>
        <w:rPr>
          <w:sz w:val="2"/>
        </w:rPr>
        <mc:AlternateContent>
          <mc:Choice Requires="wps">
            <w:drawing>
              <wp:inline distT="0" distB="0" distL="0" distR="0">
                <wp:extent cx="3223260" cy="8890"/>
                <wp:effectExtent l="0" t="0" r="0" b="0"/>
                <wp:docPr id="204" name="Group 204"/>
                <wp:cNvGraphicFramePr>
                  <a:graphicFrameLocks/>
                </wp:cNvGraphicFramePr>
                <a:graphic>
                  <a:graphicData uri="http://schemas.microsoft.com/office/word/2010/wordprocessingGroup">
                    <wpg:wgp>
                      <wpg:cNvPr id="204" name="Group 204"/>
                      <wpg:cNvGrpSpPr/>
                      <wpg:grpSpPr>
                        <a:xfrm>
                          <a:off x="0" y="0"/>
                          <a:ext cx="3223260" cy="8890"/>
                          <a:chExt cx="3223260" cy="8890"/>
                        </a:xfrm>
                      </wpg:grpSpPr>
                      <wps:wsp>
                        <wps:cNvPr id="205" name="Graphic 205"/>
                        <wps:cNvSpPr/>
                        <wps:spPr>
                          <a:xfrm>
                            <a:off x="-12" y="-1"/>
                            <a:ext cx="3223260" cy="8890"/>
                          </a:xfrm>
                          <a:custGeom>
                            <a:avLst/>
                            <a:gdLst/>
                            <a:ahLst/>
                            <a:cxnLst/>
                            <a:rect l="l" t="t" r="r" b="b"/>
                            <a:pathLst>
                              <a:path w="3223260" h="8890">
                                <a:moveTo>
                                  <a:pt x="3223260" y="0"/>
                                </a:moveTo>
                                <a:lnTo>
                                  <a:pt x="3223260" y="0"/>
                                </a:lnTo>
                                <a:lnTo>
                                  <a:pt x="0" y="0"/>
                                </a:lnTo>
                                <a:lnTo>
                                  <a:pt x="0" y="8572"/>
                                </a:lnTo>
                                <a:lnTo>
                                  <a:pt x="3223260" y="8572"/>
                                </a:lnTo>
                                <a:lnTo>
                                  <a:pt x="32232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3.8pt;height:.7pt;mso-position-horizontal-relative:char;mso-position-vertical-relative:line" id="docshapegroup202" coordorigin="0,0" coordsize="5076,14">
                <v:rect style="position:absolute;left:-1;top:0;width:5076;height:14" id="docshape203" filled="true" fillcolor="#000000" stroked="false">
                  <v:fill type="solid"/>
                </v:rect>
              </v:group>
            </w:pict>
          </mc:Fallback>
        </mc:AlternateContent>
      </w:r>
      <w:r>
        <w:rPr>
          <w:sz w:val="2"/>
        </w:rPr>
      </w:r>
    </w:p>
    <w:p>
      <w:pPr>
        <w:spacing w:before="11" w:after="38"/>
        <w:ind w:left="6468" w:right="0" w:firstLine="0"/>
        <w:jc w:val="center"/>
        <w:rPr>
          <w:b/>
          <w:i/>
          <w:sz w:val="14"/>
        </w:rPr>
      </w:pPr>
      <w:r>
        <w:rPr>
          <w:b/>
          <w:i/>
          <w:sz w:val="14"/>
        </w:rPr>
        <w:t>(Dollars</w:t>
      </w:r>
      <w:r>
        <w:rPr>
          <w:b/>
          <w:i/>
          <w:spacing w:val="5"/>
          <w:sz w:val="14"/>
        </w:rPr>
        <w:t> </w:t>
      </w:r>
      <w:r>
        <w:rPr>
          <w:b/>
          <w:i/>
          <w:sz w:val="14"/>
        </w:rPr>
        <w:t>in</w:t>
      </w:r>
      <w:r>
        <w:rPr>
          <w:b/>
          <w:i/>
          <w:spacing w:val="6"/>
          <w:sz w:val="14"/>
        </w:rPr>
        <w:t> </w:t>
      </w:r>
      <w:r>
        <w:rPr>
          <w:b/>
          <w:i/>
          <w:spacing w:val="-2"/>
          <w:sz w:val="14"/>
        </w:rPr>
        <w:t>millions)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9"/>
        <w:gridCol w:w="2587"/>
        <w:gridCol w:w="1119"/>
        <w:gridCol w:w="609"/>
        <w:gridCol w:w="1119"/>
        <w:gridCol w:w="609"/>
        <w:gridCol w:w="1063"/>
      </w:tblGrid>
      <w:tr>
        <w:trPr>
          <w:trHeight w:val="256" w:hRule="atLeast"/>
        </w:trPr>
        <w:tc>
          <w:tcPr>
            <w:tcW w:w="4409" w:type="dxa"/>
            <w:shd w:val="clear" w:color="auto" w:fill="CCEDFF"/>
          </w:tcPr>
          <w:p>
            <w:pPr>
              <w:pStyle w:val="TableParagraph"/>
              <w:ind w:left="17"/>
              <w:rPr>
                <w:sz w:val="18"/>
              </w:rPr>
            </w:pPr>
            <w:r>
              <w:rPr>
                <w:sz w:val="18"/>
              </w:rPr>
              <w:t>VIP</w:t>
            </w:r>
            <w:r>
              <w:rPr>
                <w:spacing w:val="-12"/>
                <w:sz w:val="18"/>
              </w:rPr>
              <w:t> </w:t>
            </w:r>
            <w:r>
              <w:rPr>
                <w:sz w:val="18"/>
              </w:rPr>
              <w:t>Table</w:t>
            </w:r>
            <w:r>
              <w:rPr>
                <w:spacing w:val="-8"/>
                <w:sz w:val="18"/>
              </w:rPr>
              <w:t> </w:t>
            </w:r>
            <w:r>
              <w:rPr>
                <w:sz w:val="18"/>
              </w:rPr>
              <w:t>Games</w:t>
            </w:r>
            <w:r>
              <w:rPr>
                <w:spacing w:val="-8"/>
                <w:sz w:val="18"/>
              </w:rPr>
              <w:t> </w:t>
            </w:r>
            <w:r>
              <w:rPr>
                <w:spacing w:val="-2"/>
                <w:sz w:val="18"/>
              </w:rPr>
              <w:t>Turnover</w:t>
            </w:r>
          </w:p>
        </w:tc>
        <w:tc>
          <w:tcPr>
            <w:tcW w:w="3706" w:type="dxa"/>
            <w:gridSpan w:val="2"/>
            <w:shd w:val="clear" w:color="auto" w:fill="CCEDFF"/>
          </w:tcPr>
          <w:p>
            <w:pPr>
              <w:pStyle w:val="TableParagraph"/>
              <w:tabs>
                <w:tab w:pos="3030" w:val="left" w:leader="none"/>
              </w:tabs>
              <w:ind w:left="2053"/>
              <w:rPr>
                <w:sz w:val="18"/>
              </w:rPr>
            </w:pPr>
            <w:r>
              <w:rPr>
                <w:spacing w:val="-10"/>
                <w:sz w:val="18"/>
              </w:rPr>
              <w:t>$</w:t>
            </w:r>
            <w:r>
              <w:rPr>
                <w:sz w:val="18"/>
              </w:rPr>
              <w:tab/>
            </w:r>
            <w:r>
              <w:rPr>
                <w:spacing w:val="-2"/>
                <w:sz w:val="18"/>
              </w:rPr>
              <w:t>2,954</w:t>
            </w:r>
          </w:p>
        </w:tc>
        <w:tc>
          <w:tcPr>
            <w:tcW w:w="1728" w:type="dxa"/>
            <w:gridSpan w:val="2"/>
            <w:shd w:val="clear" w:color="auto" w:fill="CCEDFF"/>
          </w:tcPr>
          <w:p>
            <w:pPr>
              <w:pStyle w:val="TableParagraph"/>
              <w:tabs>
                <w:tab w:pos="1052" w:val="left" w:leader="none"/>
              </w:tabs>
              <w:ind w:left="75"/>
              <w:rPr>
                <w:sz w:val="18"/>
              </w:rPr>
            </w:pPr>
            <w:r>
              <w:rPr>
                <w:spacing w:val="-10"/>
                <w:sz w:val="18"/>
              </w:rPr>
              <w:t>$</w:t>
            </w:r>
            <w:r>
              <w:rPr>
                <w:sz w:val="18"/>
              </w:rPr>
              <w:tab/>
            </w:r>
            <w:r>
              <w:rPr>
                <w:spacing w:val="-2"/>
                <w:sz w:val="18"/>
              </w:rPr>
              <w:t>8,499</w:t>
            </w:r>
          </w:p>
        </w:tc>
        <w:tc>
          <w:tcPr>
            <w:tcW w:w="1672" w:type="dxa"/>
            <w:gridSpan w:val="2"/>
            <w:shd w:val="clear" w:color="auto" w:fill="CCEDFF"/>
          </w:tcPr>
          <w:p>
            <w:pPr>
              <w:pStyle w:val="TableParagraph"/>
              <w:tabs>
                <w:tab w:pos="1053" w:val="left" w:leader="none"/>
              </w:tabs>
              <w:ind w:left="75"/>
              <w:rPr>
                <w:sz w:val="18"/>
              </w:rPr>
            </w:pPr>
            <w:r>
              <w:rPr>
                <w:spacing w:val="-10"/>
                <w:sz w:val="18"/>
              </w:rPr>
              <w:t>$</w:t>
            </w:r>
            <w:r>
              <w:rPr>
                <w:sz w:val="18"/>
              </w:rPr>
              <w:tab/>
            </w:r>
            <w:r>
              <w:rPr>
                <w:spacing w:val="-2"/>
                <w:sz w:val="18"/>
              </w:rPr>
              <w:t>7,015</w:t>
            </w:r>
          </w:p>
        </w:tc>
      </w:tr>
      <w:tr>
        <w:trPr>
          <w:trHeight w:val="256" w:hRule="atLeast"/>
        </w:trPr>
        <w:tc>
          <w:tcPr>
            <w:tcW w:w="4409" w:type="dxa"/>
          </w:tcPr>
          <w:p>
            <w:pPr>
              <w:pStyle w:val="TableParagraph"/>
              <w:ind w:left="17"/>
              <w:rPr>
                <w:sz w:val="18"/>
              </w:rPr>
            </w:pPr>
            <w:r>
              <w:rPr>
                <w:sz w:val="18"/>
              </w:rPr>
              <w:t>VIP</w:t>
            </w:r>
            <w:r>
              <w:rPr>
                <w:spacing w:val="-12"/>
                <w:sz w:val="18"/>
              </w:rPr>
              <w:t> </w:t>
            </w:r>
            <w:r>
              <w:rPr>
                <w:sz w:val="18"/>
              </w:rPr>
              <w:t>Table</w:t>
            </w:r>
            <w:r>
              <w:rPr>
                <w:spacing w:val="-8"/>
                <w:sz w:val="18"/>
              </w:rPr>
              <w:t> </w:t>
            </w:r>
            <w:r>
              <w:rPr>
                <w:sz w:val="18"/>
              </w:rPr>
              <w:t>Games</w:t>
            </w:r>
            <w:r>
              <w:rPr>
                <w:spacing w:val="-8"/>
                <w:sz w:val="18"/>
              </w:rPr>
              <w:t> </w:t>
            </w:r>
            <w:r>
              <w:rPr>
                <w:spacing w:val="-5"/>
                <w:sz w:val="18"/>
              </w:rPr>
              <w:t>Win</w:t>
            </w:r>
          </w:p>
        </w:tc>
        <w:tc>
          <w:tcPr>
            <w:tcW w:w="2587" w:type="dxa"/>
          </w:tcPr>
          <w:p>
            <w:pPr>
              <w:pStyle w:val="TableParagraph"/>
              <w:ind w:right="441"/>
              <w:jc w:val="right"/>
              <w:rPr>
                <w:sz w:val="18"/>
              </w:rPr>
            </w:pPr>
            <w:r>
              <w:rPr>
                <w:spacing w:val="-10"/>
                <w:sz w:val="18"/>
              </w:rPr>
              <w:t>$</w:t>
            </w:r>
          </w:p>
        </w:tc>
        <w:tc>
          <w:tcPr>
            <w:tcW w:w="1119" w:type="dxa"/>
          </w:tcPr>
          <w:p>
            <w:pPr>
              <w:pStyle w:val="TableParagraph"/>
              <w:ind w:left="667"/>
              <w:rPr>
                <w:sz w:val="18"/>
              </w:rPr>
            </w:pPr>
            <w:r>
              <w:rPr>
                <w:spacing w:val="-5"/>
                <w:sz w:val="18"/>
              </w:rPr>
              <w:t>74</w:t>
            </w:r>
          </w:p>
        </w:tc>
        <w:tc>
          <w:tcPr>
            <w:tcW w:w="609" w:type="dxa"/>
          </w:tcPr>
          <w:p>
            <w:pPr>
              <w:pStyle w:val="TableParagraph"/>
              <w:ind w:left="75"/>
              <w:rPr>
                <w:sz w:val="18"/>
              </w:rPr>
            </w:pPr>
            <w:r>
              <w:rPr>
                <w:spacing w:val="-10"/>
                <w:sz w:val="18"/>
              </w:rPr>
              <w:t>$</w:t>
            </w:r>
          </w:p>
        </w:tc>
        <w:tc>
          <w:tcPr>
            <w:tcW w:w="1119" w:type="dxa"/>
          </w:tcPr>
          <w:p>
            <w:pPr>
              <w:pStyle w:val="TableParagraph"/>
              <w:ind w:left="578"/>
              <w:rPr>
                <w:sz w:val="18"/>
              </w:rPr>
            </w:pPr>
            <w:r>
              <w:rPr>
                <w:spacing w:val="-5"/>
                <w:sz w:val="18"/>
              </w:rPr>
              <w:t>272</w:t>
            </w:r>
          </w:p>
        </w:tc>
        <w:tc>
          <w:tcPr>
            <w:tcW w:w="609" w:type="dxa"/>
          </w:tcPr>
          <w:p>
            <w:pPr>
              <w:pStyle w:val="TableParagraph"/>
              <w:ind w:left="75"/>
              <w:rPr>
                <w:sz w:val="18"/>
              </w:rPr>
            </w:pPr>
            <w:r>
              <w:rPr>
                <w:spacing w:val="-10"/>
                <w:sz w:val="18"/>
              </w:rPr>
              <w:t>$</w:t>
            </w:r>
          </w:p>
        </w:tc>
        <w:tc>
          <w:tcPr>
            <w:tcW w:w="1063" w:type="dxa"/>
          </w:tcPr>
          <w:p>
            <w:pPr>
              <w:pStyle w:val="TableParagraph"/>
              <w:ind w:left="579"/>
              <w:rPr>
                <w:sz w:val="18"/>
              </w:rPr>
            </w:pPr>
            <w:r>
              <w:rPr>
                <w:spacing w:val="-5"/>
                <w:sz w:val="18"/>
              </w:rPr>
              <w:t>213</w:t>
            </w:r>
          </w:p>
        </w:tc>
      </w:tr>
      <w:tr>
        <w:trPr>
          <w:trHeight w:val="256" w:hRule="atLeast"/>
        </w:trPr>
        <w:tc>
          <w:tcPr>
            <w:tcW w:w="4409" w:type="dxa"/>
            <w:shd w:val="clear" w:color="auto" w:fill="CCEDFF"/>
          </w:tcPr>
          <w:p>
            <w:pPr>
              <w:pStyle w:val="TableParagraph"/>
              <w:ind w:left="17"/>
              <w:rPr>
                <w:sz w:val="18"/>
              </w:rPr>
            </w:pPr>
            <w:r>
              <w:rPr>
                <w:sz w:val="18"/>
              </w:rPr>
              <w:t>VIP</w:t>
            </w:r>
            <w:r>
              <w:rPr>
                <w:spacing w:val="-12"/>
                <w:sz w:val="18"/>
              </w:rPr>
              <w:t> </w:t>
            </w:r>
            <w:r>
              <w:rPr>
                <w:sz w:val="18"/>
              </w:rPr>
              <w:t>Table</w:t>
            </w:r>
            <w:r>
              <w:rPr>
                <w:spacing w:val="-10"/>
                <w:sz w:val="18"/>
              </w:rPr>
              <w:t> </w:t>
            </w:r>
            <w:r>
              <w:rPr>
                <w:sz w:val="18"/>
              </w:rPr>
              <w:t>Games</w:t>
            </w:r>
            <w:r>
              <w:rPr>
                <w:spacing w:val="-9"/>
                <w:sz w:val="18"/>
              </w:rPr>
              <w:t> </w:t>
            </w:r>
            <w:r>
              <w:rPr>
                <w:sz w:val="18"/>
              </w:rPr>
              <w:t>Win</w:t>
            </w:r>
            <w:r>
              <w:rPr>
                <w:spacing w:val="-6"/>
                <w:sz w:val="18"/>
              </w:rPr>
              <w:t> </w:t>
            </w:r>
            <w:r>
              <w:rPr>
                <w:spacing w:val="-10"/>
                <w:sz w:val="18"/>
              </w:rPr>
              <w:t>%</w:t>
            </w:r>
          </w:p>
        </w:tc>
        <w:tc>
          <w:tcPr>
            <w:tcW w:w="2587" w:type="dxa"/>
            <w:shd w:val="clear" w:color="auto" w:fill="CCEDFF"/>
          </w:tcPr>
          <w:p>
            <w:pPr>
              <w:pStyle w:val="TableParagraph"/>
              <w:spacing w:before="0"/>
              <w:rPr>
                <w:sz w:val="16"/>
              </w:rPr>
            </w:pPr>
          </w:p>
        </w:tc>
        <w:tc>
          <w:tcPr>
            <w:tcW w:w="1119" w:type="dxa"/>
            <w:shd w:val="clear" w:color="auto" w:fill="CCEDFF"/>
          </w:tcPr>
          <w:p>
            <w:pPr>
              <w:pStyle w:val="TableParagraph"/>
              <w:ind w:right="74"/>
              <w:jc w:val="right"/>
              <w:rPr>
                <w:sz w:val="18"/>
              </w:rPr>
            </w:pPr>
            <w:r>
              <w:rPr>
                <w:sz w:val="18"/>
              </w:rPr>
              <w:t>2.5 </w:t>
            </w:r>
            <w:r>
              <w:rPr>
                <w:spacing w:val="-10"/>
                <w:sz w:val="18"/>
              </w:rPr>
              <w:t>%</w:t>
            </w:r>
          </w:p>
        </w:tc>
        <w:tc>
          <w:tcPr>
            <w:tcW w:w="609" w:type="dxa"/>
            <w:shd w:val="clear" w:color="auto" w:fill="CCEDFF"/>
          </w:tcPr>
          <w:p>
            <w:pPr>
              <w:pStyle w:val="TableParagraph"/>
              <w:spacing w:before="0"/>
              <w:rPr>
                <w:sz w:val="16"/>
              </w:rPr>
            </w:pPr>
          </w:p>
        </w:tc>
        <w:tc>
          <w:tcPr>
            <w:tcW w:w="1119" w:type="dxa"/>
            <w:shd w:val="clear" w:color="auto" w:fill="CCEDFF"/>
          </w:tcPr>
          <w:p>
            <w:pPr>
              <w:pStyle w:val="TableParagraph"/>
              <w:ind w:right="73"/>
              <w:jc w:val="right"/>
              <w:rPr>
                <w:sz w:val="18"/>
              </w:rPr>
            </w:pPr>
            <w:r>
              <w:rPr>
                <w:sz w:val="18"/>
              </w:rPr>
              <w:t>3.2 </w:t>
            </w:r>
            <w:r>
              <w:rPr>
                <w:spacing w:val="-10"/>
                <w:sz w:val="18"/>
              </w:rPr>
              <w:t>%</w:t>
            </w:r>
          </w:p>
        </w:tc>
        <w:tc>
          <w:tcPr>
            <w:tcW w:w="609" w:type="dxa"/>
            <w:shd w:val="clear" w:color="auto" w:fill="CCEDFF"/>
          </w:tcPr>
          <w:p>
            <w:pPr>
              <w:pStyle w:val="TableParagraph"/>
              <w:spacing w:before="0"/>
              <w:rPr>
                <w:sz w:val="16"/>
              </w:rPr>
            </w:pPr>
          </w:p>
        </w:tc>
        <w:tc>
          <w:tcPr>
            <w:tcW w:w="1063" w:type="dxa"/>
            <w:shd w:val="clear" w:color="auto" w:fill="CCEDFF"/>
          </w:tcPr>
          <w:p>
            <w:pPr>
              <w:pStyle w:val="TableParagraph"/>
              <w:ind w:right="15"/>
              <w:jc w:val="right"/>
              <w:rPr>
                <w:sz w:val="18"/>
              </w:rPr>
            </w:pPr>
            <w:r>
              <w:rPr>
                <w:sz w:val="18"/>
              </w:rPr>
              <w:t>3.0</w:t>
            </w:r>
            <w:r>
              <w:rPr>
                <w:spacing w:val="1"/>
                <w:sz w:val="18"/>
              </w:rPr>
              <w:t> </w:t>
            </w:r>
            <w:r>
              <w:rPr>
                <w:spacing w:val="-10"/>
                <w:sz w:val="18"/>
              </w:rPr>
              <w:t>%</w:t>
            </w:r>
          </w:p>
        </w:tc>
      </w:tr>
      <w:tr>
        <w:trPr>
          <w:trHeight w:val="256" w:hRule="atLeast"/>
        </w:trPr>
        <w:tc>
          <w:tcPr>
            <w:tcW w:w="4409" w:type="dxa"/>
          </w:tcPr>
          <w:p>
            <w:pPr>
              <w:pStyle w:val="TableParagraph"/>
              <w:ind w:left="17"/>
              <w:rPr>
                <w:sz w:val="18"/>
              </w:rPr>
            </w:pPr>
            <w:r>
              <w:rPr>
                <w:sz w:val="18"/>
              </w:rPr>
              <w:t>Main</w:t>
            </w:r>
            <w:r>
              <w:rPr>
                <w:spacing w:val="-5"/>
                <w:sz w:val="18"/>
              </w:rPr>
              <w:t> </w:t>
            </w:r>
            <w:r>
              <w:rPr>
                <w:sz w:val="18"/>
              </w:rPr>
              <w:t>Floor</w:t>
            </w:r>
            <w:r>
              <w:rPr>
                <w:spacing w:val="-7"/>
                <w:sz w:val="18"/>
              </w:rPr>
              <w:t> </w:t>
            </w:r>
            <w:r>
              <w:rPr>
                <w:sz w:val="18"/>
              </w:rPr>
              <w:t>Table</w:t>
            </w:r>
            <w:r>
              <w:rPr>
                <w:spacing w:val="-4"/>
                <w:sz w:val="18"/>
              </w:rPr>
              <w:t> </w:t>
            </w:r>
            <w:r>
              <w:rPr>
                <w:sz w:val="18"/>
              </w:rPr>
              <w:t>Games</w:t>
            </w:r>
            <w:r>
              <w:rPr>
                <w:spacing w:val="-4"/>
                <w:sz w:val="18"/>
              </w:rPr>
              <w:t> Drop</w:t>
            </w:r>
          </w:p>
        </w:tc>
        <w:tc>
          <w:tcPr>
            <w:tcW w:w="2587" w:type="dxa"/>
          </w:tcPr>
          <w:p>
            <w:pPr>
              <w:pStyle w:val="TableParagraph"/>
              <w:ind w:right="441"/>
              <w:jc w:val="right"/>
              <w:rPr>
                <w:sz w:val="18"/>
              </w:rPr>
            </w:pPr>
            <w:r>
              <w:rPr>
                <w:spacing w:val="-10"/>
                <w:sz w:val="18"/>
              </w:rPr>
              <w:t>$</w:t>
            </w:r>
          </w:p>
        </w:tc>
        <w:tc>
          <w:tcPr>
            <w:tcW w:w="1119" w:type="dxa"/>
          </w:tcPr>
          <w:p>
            <w:pPr>
              <w:pStyle w:val="TableParagraph"/>
              <w:ind w:left="443"/>
              <w:rPr>
                <w:sz w:val="18"/>
              </w:rPr>
            </w:pPr>
            <w:r>
              <w:rPr>
                <w:spacing w:val="-2"/>
                <w:sz w:val="18"/>
              </w:rPr>
              <w:t>2,512</w:t>
            </w:r>
          </w:p>
        </w:tc>
        <w:tc>
          <w:tcPr>
            <w:tcW w:w="609" w:type="dxa"/>
          </w:tcPr>
          <w:p>
            <w:pPr>
              <w:pStyle w:val="TableParagraph"/>
              <w:ind w:left="75"/>
              <w:rPr>
                <w:sz w:val="18"/>
              </w:rPr>
            </w:pPr>
            <w:r>
              <w:rPr>
                <w:spacing w:val="-10"/>
                <w:sz w:val="18"/>
              </w:rPr>
              <w:t>$</w:t>
            </w:r>
          </w:p>
        </w:tc>
        <w:tc>
          <w:tcPr>
            <w:tcW w:w="1119" w:type="dxa"/>
          </w:tcPr>
          <w:p>
            <w:pPr>
              <w:pStyle w:val="TableParagraph"/>
              <w:ind w:left="443"/>
              <w:rPr>
                <w:sz w:val="18"/>
              </w:rPr>
            </w:pPr>
            <w:r>
              <w:rPr>
                <w:spacing w:val="-2"/>
                <w:sz w:val="18"/>
              </w:rPr>
              <w:t>4,509</w:t>
            </w:r>
          </w:p>
        </w:tc>
        <w:tc>
          <w:tcPr>
            <w:tcW w:w="609" w:type="dxa"/>
          </w:tcPr>
          <w:p>
            <w:pPr>
              <w:pStyle w:val="TableParagraph"/>
              <w:ind w:left="75"/>
              <w:rPr>
                <w:sz w:val="18"/>
              </w:rPr>
            </w:pPr>
            <w:r>
              <w:rPr>
                <w:spacing w:val="-10"/>
                <w:sz w:val="18"/>
              </w:rPr>
              <w:t>$</w:t>
            </w:r>
          </w:p>
        </w:tc>
        <w:tc>
          <w:tcPr>
            <w:tcW w:w="1063" w:type="dxa"/>
          </w:tcPr>
          <w:p>
            <w:pPr>
              <w:pStyle w:val="TableParagraph"/>
              <w:ind w:left="444"/>
              <w:rPr>
                <w:sz w:val="18"/>
              </w:rPr>
            </w:pPr>
            <w:r>
              <w:rPr>
                <w:spacing w:val="-2"/>
                <w:sz w:val="18"/>
              </w:rPr>
              <w:t>2,037</w:t>
            </w:r>
          </w:p>
        </w:tc>
      </w:tr>
      <w:tr>
        <w:trPr>
          <w:trHeight w:val="269" w:hRule="atLeast"/>
        </w:trPr>
        <w:tc>
          <w:tcPr>
            <w:tcW w:w="4409" w:type="dxa"/>
            <w:shd w:val="clear" w:color="auto" w:fill="CCEDFF"/>
          </w:tcPr>
          <w:p>
            <w:pPr>
              <w:pStyle w:val="TableParagraph"/>
              <w:ind w:left="17"/>
              <w:rPr>
                <w:sz w:val="18"/>
              </w:rPr>
            </w:pPr>
            <w:r>
              <w:rPr>
                <w:sz w:val="18"/>
              </w:rPr>
              <w:t>Main</w:t>
            </w:r>
            <w:r>
              <w:rPr>
                <w:spacing w:val="-7"/>
                <w:sz w:val="18"/>
              </w:rPr>
              <w:t> </w:t>
            </w:r>
            <w:r>
              <w:rPr>
                <w:sz w:val="18"/>
              </w:rPr>
              <w:t>Floor</w:t>
            </w:r>
            <w:r>
              <w:rPr>
                <w:spacing w:val="-7"/>
                <w:sz w:val="18"/>
              </w:rPr>
              <w:t> </w:t>
            </w:r>
            <w:r>
              <w:rPr>
                <w:sz w:val="18"/>
              </w:rPr>
              <w:t>Table</w:t>
            </w:r>
            <w:r>
              <w:rPr>
                <w:spacing w:val="-4"/>
                <w:sz w:val="18"/>
              </w:rPr>
              <w:t> </w:t>
            </w:r>
            <w:r>
              <w:rPr>
                <w:sz w:val="18"/>
              </w:rPr>
              <w:t>Games</w:t>
            </w:r>
            <w:r>
              <w:rPr>
                <w:spacing w:val="-7"/>
                <w:sz w:val="18"/>
              </w:rPr>
              <w:t> </w:t>
            </w:r>
            <w:r>
              <w:rPr>
                <w:spacing w:val="-5"/>
                <w:sz w:val="18"/>
              </w:rPr>
              <w:t>Win</w:t>
            </w:r>
          </w:p>
        </w:tc>
        <w:tc>
          <w:tcPr>
            <w:tcW w:w="2587" w:type="dxa"/>
            <w:shd w:val="clear" w:color="auto" w:fill="CCEDFF"/>
          </w:tcPr>
          <w:p>
            <w:pPr>
              <w:pStyle w:val="TableParagraph"/>
              <w:ind w:right="441"/>
              <w:jc w:val="right"/>
              <w:rPr>
                <w:sz w:val="18"/>
              </w:rPr>
            </w:pPr>
            <w:r>
              <w:rPr>
                <w:spacing w:val="-10"/>
                <w:sz w:val="18"/>
              </w:rPr>
              <w:t>$</w:t>
            </w:r>
          </w:p>
        </w:tc>
        <w:tc>
          <w:tcPr>
            <w:tcW w:w="1119" w:type="dxa"/>
            <w:shd w:val="clear" w:color="auto" w:fill="CCEDFF"/>
          </w:tcPr>
          <w:p>
            <w:pPr>
              <w:pStyle w:val="TableParagraph"/>
              <w:ind w:left="578"/>
              <w:rPr>
                <w:sz w:val="18"/>
              </w:rPr>
            </w:pPr>
            <w:r>
              <w:rPr>
                <w:spacing w:val="-5"/>
                <w:sz w:val="18"/>
              </w:rPr>
              <w:t>572</w:t>
            </w:r>
          </w:p>
        </w:tc>
        <w:tc>
          <w:tcPr>
            <w:tcW w:w="609" w:type="dxa"/>
            <w:shd w:val="clear" w:color="auto" w:fill="CCEDFF"/>
          </w:tcPr>
          <w:p>
            <w:pPr>
              <w:pStyle w:val="TableParagraph"/>
              <w:ind w:left="75"/>
              <w:rPr>
                <w:sz w:val="18"/>
              </w:rPr>
            </w:pPr>
            <w:r>
              <w:rPr>
                <w:spacing w:val="-10"/>
                <w:sz w:val="18"/>
              </w:rPr>
              <w:t>$</w:t>
            </w:r>
          </w:p>
        </w:tc>
        <w:tc>
          <w:tcPr>
            <w:tcW w:w="1119" w:type="dxa"/>
            <w:shd w:val="clear" w:color="auto" w:fill="CCEDFF"/>
          </w:tcPr>
          <w:p>
            <w:pPr>
              <w:pStyle w:val="TableParagraph"/>
              <w:ind w:left="578"/>
              <w:rPr>
                <w:sz w:val="18"/>
              </w:rPr>
            </w:pPr>
            <w:r>
              <w:rPr>
                <w:spacing w:val="-5"/>
                <w:sz w:val="18"/>
              </w:rPr>
              <w:t>966</w:t>
            </w:r>
          </w:p>
        </w:tc>
        <w:tc>
          <w:tcPr>
            <w:tcW w:w="609" w:type="dxa"/>
            <w:shd w:val="clear" w:color="auto" w:fill="CCEDFF"/>
          </w:tcPr>
          <w:p>
            <w:pPr>
              <w:pStyle w:val="TableParagraph"/>
              <w:ind w:left="75"/>
              <w:rPr>
                <w:sz w:val="18"/>
              </w:rPr>
            </w:pPr>
            <w:r>
              <w:rPr>
                <w:spacing w:val="-10"/>
                <w:sz w:val="18"/>
              </w:rPr>
              <w:t>$</w:t>
            </w:r>
          </w:p>
        </w:tc>
        <w:tc>
          <w:tcPr>
            <w:tcW w:w="1063" w:type="dxa"/>
            <w:shd w:val="clear" w:color="auto" w:fill="CCEDFF"/>
          </w:tcPr>
          <w:p>
            <w:pPr>
              <w:pStyle w:val="TableParagraph"/>
              <w:ind w:left="579"/>
              <w:rPr>
                <w:sz w:val="18"/>
              </w:rPr>
            </w:pPr>
            <w:r>
              <w:rPr>
                <w:spacing w:val="-5"/>
                <w:sz w:val="18"/>
              </w:rPr>
              <w:t>467</w:t>
            </w:r>
          </w:p>
        </w:tc>
      </w:tr>
      <w:tr>
        <w:trPr>
          <w:trHeight w:val="227" w:hRule="atLeast"/>
        </w:trPr>
        <w:tc>
          <w:tcPr>
            <w:tcW w:w="4409" w:type="dxa"/>
          </w:tcPr>
          <w:p>
            <w:pPr>
              <w:pStyle w:val="TableParagraph"/>
              <w:spacing w:line="187" w:lineRule="exact"/>
              <w:ind w:left="17"/>
              <w:rPr>
                <w:sz w:val="18"/>
              </w:rPr>
            </w:pPr>
            <w:r>
              <w:rPr>
                <w:sz w:val="18"/>
              </w:rPr>
              <w:t>Main</w:t>
            </w:r>
            <w:r>
              <w:rPr>
                <w:spacing w:val="-8"/>
                <w:sz w:val="18"/>
              </w:rPr>
              <w:t> </w:t>
            </w:r>
            <w:r>
              <w:rPr>
                <w:sz w:val="18"/>
              </w:rPr>
              <w:t>Floor</w:t>
            </w:r>
            <w:r>
              <w:rPr>
                <w:spacing w:val="-8"/>
                <w:sz w:val="18"/>
              </w:rPr>
              <w:t> </w:t>
            </w:r>
            <w:r>
              <w:rPr>
                <w:sz w:val="18"/>
              </w:rPr>
              <w:t>Table</w:t>
            </w:r>
            <w:r>
              <w:rPr>
                <w:spacing w:val="-5"/>
                <w:sz w:val="18"/>
              </w:rPr>
              <w:t> </w:t>
            </w:r>
            <w:r>
              <w:rPr>
                <w:sz w:val="18"/>
              </w:rPr>
              <w:t>Games</w:t>
            </w:r>
            <w:r>
              <w:rPr>
                <w:spacing w:val="-8"/>
                <w:sz w:val="18"/>
              </w:rPr>
              <w:t> </w:t>
            </w:r>
            <w:r>
              <w:rPr>
                <w:sz w:val="18"/>
              </w:rPr>
              <w:t>Win</w:t>
            </w:r>
            <w:r>
              <w:rPr>
                <w:spacing w:val="-5"/>
                <w:sz w:val="18"/>
              </w:rPr>
              <w:t> </w:t>
            </w:r>
            <w:r>
              <w:rPr>
                <w:spacing w:val="-10"/>
                <w:sz w:val="18"/>
              </w:rPr>
              <w:t>%</w:t>
            </w:r>
          </w:p>
        </w:tc>
        <w:tc>
          <w:tcPr>
            <w:tcW w:w="2587" w:type="dxa"/>
          </w:tcPr>
          <w:p>
            <w:pPr>
              <w:pStyle w:val="TableParagraph"/>
              <w:spacing w:before="0"/>
              <w:rPr>
                <w:sz w:val="16"/>
              </w:rPr>
            </w:pPr>
          </w:p>
        </w:tc>
        <w:tc>
          <w:tcPr>
            <w:tcW w:w="1119" w:type="dxa"/>
          </w:tcPr>
          <w:p>
            <w:pPr>
              <w:pStyle w:val="TableParagraph"/>
              <w:spacing w:line="187" w:lineRule="exact"/>
              <w:ind w:right="74"/>
              <w:jc w:val="right"/>
              <w:rPr>
                <w:sz w:val="18"/>
              </w:rPr>
            </w:pPr>
            <w:r>
              <w:rPr>
                <w:sz w:val="18"/>
              </w:rPr>
              <w:t>22.8 </w:t>
            </w:r>
            <w:r>
              <w:rPr>
                <w:spacing w:val="-10"/>
                <w:sz w:val="18"/>
              </w:rPr>
              <w:t>%</w:t>
            </w:r>
          </w:p>
        </w:tc>
        <w:tc>
          <w:tcPr>
            <w:tcW w:w="609" w:type="dxa"/>
          </w:tcPr>
          <w:p>
            <w:pPr>
              <w:pStyle w:val="TableParagraph"/>
              <w:spacing w:before="0"/>
              <w:rPr>
                <w:sz w:val="16"/>
              </w:rPr>
            </w:pPr>
          </w:p>
        </w:tc>
        <w:tc>
          <w:tcPr>
            <w:tcW w:w="1119" w:type="dxa"/>
          </w:tcPr>
          <w:p>
            <w:pPr>
              <w:pStyle w:val="TableParagraph"/>
              <w:spacing w:line="187" w:lineRule="exact"/>
              <w:ind w:right="73"/>
              <w:jc w:val="right"/>
              <w:rPr>
                <w:sz w:val="18"/>
              </w:rPr>
            </w:pPr>
            <w:r>
              <w:rPr>
                <w:sz w:val="18"/>
              </w:rPr>
              <w:t>21.4 </w:t>
            </w:r>
            <w:r>
              <w:rPr>
                <w:spacing w:val="-10"/>
                <w:sz w:val="18"/>
              </w:rPr>
              <w:t>%</w:t>
            </w:r>
          </w:p>
        </w:tc>
        <w:tc>
          <w:tcPr>
            <w:tcW w:w="609" w:type="dxa"/>
          </w:tcPr>
          <w:p>
            <w:pPr>
              <w:pStyle w:val="TableParagraph"/>
              <w:spacing w:before="0"/>
              <w:rPr>
                <w:sz w:val="16"/>
              </w:rPr>
            </w:pPr>
          </w:p>
        </w:tc>
        <w:tc>
          <w:tcPr>
            <w:tcW w:w="1063" w:type="dxa"/>
          </w:tcPr>
          <w:p>
            <w:pPr>
              <w:pStyle w:val="TableParagraph"/>
              <w:spacing w:line="187" w:lineRule="exact"/>
              <w:ind w:right="15"/>
              <w:jc w:val="right"/>
              <w:rPr>
                <w:sz w:val="18"/>
              </w:rPr>
            </w:pPr>
            <w:r>
              <w:rPr>
                <w:sz w:val="18"/>
              </w:rPr>
              <w:t>22.9</w:t>
            </w:r>
            <w:r>
              <w:rPr>
                <w:spacing w:val="1"/>
                <w:sz w:val="18"/>
              </w:rPr>
              <w:t> </w:t>
            </w:r>
            <w:r>
              <w:rPr>
                <w:spacing w:val="-10"/>
                <w:sz w:val="18"/>
              </w:rPr>
              <w:t>%</w:t>
            </w:r>
          </w:p>
        </w:tc>
      </w:tr>
    </w:tbl>
    <w:p>
      <w:pPr>
        <w:pStyle w:val="BodyText"/>
        <w:rPr>
          <w:b/>
          <w:i/>
          <w:sz w:val="14"/>
        </w:rPr>
      </w:pPr>
    </w:p>
    <w:p>
      <w:pPr>
        <w:pStyle w:val="BodyText"/>
        <w:spacing w:before="18"/>
        <w:rPr>
          <w:b/>
          <w:i/>
          <w:sz w:val="14"/>
        </w:rPr>
      </w:pPr>
    </w:p>
    <w:p>
      <w:pPr>
        <w:pStyle w:val="BodyText"/>
        <w:spacing w:line="235" w:lineRule="auto"/>
        <w:ind w:left="144" w:right="118" w:firstLine="499"/>
        <w:jc w:val="both"/>
      </w:pPr>
      <w:r>
        <w:rPr/>
        <w:t>MGM China net revenues were $674 million in 2022, compared to $1.2 billion in 2021, a decrease of 44%, due to the current and prior year being significantly impacted by travel and entry restrictions in Macau with the current year being negatively affected by COVID-19 related property closures </w:t>
      </w:r>
      <w:r>
        <w:rPr/>
        <w:t>and more significantly impacted by restrictions related to the COVID-19 pandemic.</w:t>
      </w:r>
    </w:p>
    <w:p>
      <w:pPr>
        <w:pStyle w:val="BodyText"/>
        <w:spacing w:before="18"/>
      </w:pPr>
    </w:p>
    <w:p>
      <w:pPr>
        <w:pStyle w:val="Heading5"/>
        <w:ind w:left="394"/>
        <w:jc w:val="left"/>
      </w:pPr>
      <w:r>
        <w:rPr/>
        <w:t>Corporate</w:t>
      </w:r>
      <w:r>
        <w:rPr>
          <w:spacing w:val="-1"/>
        </w:rPr>
        <w:t> </w:t>
      </w:r>
      <w:r>
        <w:rPr/>
        <w:t>and</w:t>
      </w:r>
      <w:r>
        <w:rPr>
          <w:spacing w:val="-1"/>
        </w:rPr>
        <w:t> </w:t>
      </w:r>
      <w:r>
        <w:rPr>
          <w:spacing w:val="-2"/>
        </w:rPr>
        <w:t>other</w:t>
      </w:r>
    </w:p>
    <w:p>
      <w:pPr>
        <w:pStyle w:val="BodyText"/>
        <w:spacing w:before="8"/>
        <w:rPr>
          <w:b/>
        </w:rPr>
      </w:pPr>
    </w:p>
    <w:p>
      <w:pPr>
        <w:pStyle w:val="BodyText"/>
        <w:spacing w:line="235" w:lineRule="auto"/>
        <w:ind w:left="144" w:right="118" w:firstLine="499"/>
        <w:jc w:val="both"/>
      </w:pPr>
      <w:r>
        <w:rPr/>
        <w:t>Corporate and other revenue in the current year includes revenues from LeoVegas, other corporate operations, and management services. In the </w:t>
      </w:r>
      <w:r>
        <w:rPr/>
        <w:t>prior year periods, corporate and other revenue also included reimbursed costs revenue related to our CityCenter management agreement (which was terminated</w:t>
      </w:r>
      <w:r>
        <w:rPr>
          <w:spacing w:val="40"/>
        </w:rPr>
        <w:t> </w:t>
      </w:r>
      <w:r>
        <w:rPr/>
        <w:t>upon the acquisition of CityCenter in September 2021).</w:t>
      </w:r>
    </w:p>
    <w:p>
      <w:pPr>
        <w:pStyle w:val="BodyText"/>
        <w:spacing w:before="18"/>
      </w:pPr>
    </w:p>
    <w:p>
      <w:pPr>
        <w:spacing w:before="0"/>
        <w:ind w:left="394" w:right="0" w:firstLine="0"/>
        <w:jc w:val="left"/>
        <w:rPr>
          <w:i/>
          <w:sz w:val="18"/>
        </w:rPr>
      </w:pPr>
      <w:r>
        <w:rPr>
          <w:i/>
          <w:sz w:val="18"/>
        </w:rPr>
        <w:t>Adjusted</w:t>
      </w:r>
      <w:r>
        <w:rPr>
          <w:i/>
          <w:spacing w:val="-3"/>
          <w:sz w:val="18"/>
        </w:rPr>
        <w:t> </w:t>
      </w:r>
      <w:r>
        <w:rPr>
          <w:i/>
          <w:sz w:val="18"/>
        </w:rPr>
        <w:t>Property</w:t>
      </w:r>
      <w:r>
        <w:rPr>
          <w:i/>
          <w:spacing w:val="-2"/>
          <w:sz w:val="18"/>
        </w:rPr>
        <w:t> </w:t>
      </w:r>
      <w:r>
        <w:rPr>
          <w:i/>
          <w:sz w:val="18"/>
        </w:rPr>
        <w:t>EBITDAR</w:t>
      </w:r>
      <w:r>
        <w:rPr>
          <w:i/>
          <w:spacing w:val="-3"/>
          <w:sz w:val="18"/>
        </w:rPr>
        <w:t> </w:t>
      </w:r>
      <w:r>
        <w:rPr>
          <w:i/>
          <w:sz w:val="18"/>
        </w:rPr>
        <w:t>and</w:t>
      </w:r>
      <w:r>
        <w:rPr>
          <w:i/>
          <w:spacing w:val="-5"/>
          <w:sz w:val="18"/>
        </w:rPr>
        <w:t> </w:t>
      </w:r>
      <w:r>
        <w:rPr>
          <w:i/>
          <w:sz w:val="18"/>
        </w:rPr>
        <w:t>Adjusted</w:t>
      </w:r>
      <w:r>
        <w:rPr>
          <w:i/>
          <w:spacing w:val="-2"/>
          <w:sz w:val="18"/>
        </w:rPr>
        <w:t> EBITDAR</w:t>
      </w:r>
    </w:p>
    <w:p>
      <w:pPr>
        <w:pStyle w:val="BodyText"/>
        <w:spacing w:before="5"/>
        <w:rPr>
          <w:i/>
        </w:rPr>
      </w:pPr>
    </w:p>
    <w:p>
      <w:pPr>
        <w:pStyle w:val="BodyText"/>
        <w:spacing w:line="242" w:lineRule="auto"/>
        <w:ind w:left="144" w:right="118" w:firstLine="499"/>
        <w:jc w:val="both"/>
      </w:pPr>
      <w:r>
        <w:rPr/>
        <w:t>The following table presents</w:t>
      </w:r>
      <w:r>
        <w:rPr>
          <w:spacing w:val="-2"/>
        </w:rPr>
        <w:t> </w:t>
      </w:r>
      <w:r>
        <w:rPr/>
        <w:t>Adjusted Property EBITDAR and</w:t>
      </w:r>
      <w:r>
        <w:rPr>
          <w:spacing w:val="-2"/>
        </w:rPr>
        <w:t> </w:t>
      </w:r>
      <w:r>
        <w:rPr/>
        <w:t>Adjusted EBITDAR.</w:t>
      </w:r>
      <w:r>
        <w:rPr>
          <w:spacing w:val="-2"/>
        </w:rPr>
        <w:t> </w:t>
      </w:r>
      <w:r>
        <w:rPr/>
        <w:t>Adjusted Property EBITDAR is our reportable segment </w:t>
      </w:r>
      <w:r>
        <w:rPr/>
        <w:t>generally accepted accounting principles (“GAAP”) measure, which we utilize as the primary profit measure for our reportable segments. See Note 17 to the accompanying consolidated financial statements and</w:t>
      </w:r>
    </w:p>
    <w:p>
      <w:pPr>
        <w:pStyle w:val="BodyText"/>
      </w:pPr>
    </w:p>
    <w:p>
      <w:pPr>
        <w:pStyle w:val="BodyText"/>
        <w:spacing w:before="187"/>
      </w:pPr>
    </w:p>
    <w:p>
      <w:pPr>
        <w:pStyle w:val="BodyText"/>
        <w:ind w:left="24"/>
        <w:jc w:val="center"/>
      </w:pPr>
      <w:r>
        <w:rPr>
          <w:spacing w:val="-5"/>
        </w:rPr>
        <w:t>38</w:t>
      </w:r>
    </w:p>
    <w:p>
      <w:pPr>
        <w:pStyle w:val="BodyText"/>
        <w:spacing w:before="3"/>
        <w:rPr>
          <w:sz w:val="6"/>
        </w:rPr>
      </w:pPr>
      <w:r>
        <w:rPr/>
        <mc:AlternateContent>
          <mc:Choice Requires="wps">
            <w:drawing>
              <wp:anchor distT="0" distB="0" distL="0" distR="0" allowOverlap="1" layoutInCell="1" locked="0" behindDoc="1" simplePos="0" relativeHeight="487624192">
                <wp:simplePos x="0" y="0"/>
                <wp:positionH relativeFrom="page">
                  <wp:posOffset>231457</wp:posOffset>
                </wp:positionH>
                <wp:positionV relativeFrom="paragraph">
                  <wp:posOffset>60956</wp:posOffset>
                </wp:positionV>
                <wp:extent cx="7312659" cy="17145"/>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7312659" cy="17145"/>
                          <a:chExt cx="7312659" cy="17145"/>
                        </a:xfrm>
                      </wpg:grpSpPr>
                      <wps:wsp>
                        <wps:cNvPr id="207" name="Graphic 20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08" name="Graphic 208"/>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09" name="Graphic 20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92288;mso-wrap-distance-left:0;mso-wrap-distance-right:0" id="docshapegroup204" coordorigin="364,96" coordsize="11516,27">
                <v:rect style="position:absolute;left:364;top:96;width:11516;height:14" id="docshape205" filled="true" fillcolor="#999999" stroked="false">
                  <v:fill type="solid"/>
                </v:rect>
                <v:shape style="position:absolute;left:364;top:96;width:11516;height:27" id="docshape206" coordorigin="364,96" coordsize="11516,27" path="m11880,96l11866,109,364,109,364,123,11866,123,11880,123,11880,109,11880,96xe" filled="true" fillcolor="#ededed" stroked="false">
                  <v:path arrowok="t"/>
                  <v:fill type="solid"/>
                </v:shape>
                <v:shape style="position:absolute;left:364;top:96;width:14;height:27" id="docshape20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9" w:lineRule="auto" w:before="69"/>
        <w:ind w:left="144"/>
      </w:pPr>
      <w:r>
        <w:rPr/>
        <w:t>“Reportable</w:t>
      </w:r>
      <w:r>
        <w:rPr>
          <w:spacing w:val="40"/>
        </w:rPr>
        <w:t> </w:t>
      </w:r>
      <w:r>
        <w:rPr/>
        <w:t>Segment</w:t>
      </w:r>
      <w:r>
        <w:rPr>
          <w:spacing w:val="40"/>
        </w:rPr>
        <w:t> </w:t>
      </w:r>
      <w:r>
        <w:rPr/>
        <w:t>GAAP</w:t>
      </w:r>
      <w:r>
        <w:rPr>
          <w:spacing w:val="35"/>
        </w:rPr>
        <w:t> </w:t>
      </w:r>
      <w:r>
        <w:rPr/>
        <w:t>measure”</w:t>
      </w:r>
      <w:r>
        <w:rPr>
          <w:spacing w:val="40"/>
        </w:rPr>
        <w:t> </w:t>
      </w:r>
      <w:r>
        <w:rPr/>
        <w:t>below</w:t>
      </w:r>
      <w:r>
        <w:rPr>
          <w:spacing w:val="40"/>
        </w:rPr>
        <w:t> </w:t>
      </w:r>
      <w:r>
        <w:rPr/>
        <w:t>for</w:t>
      </w:r>
      <w:r>
        <w:rPr>
          <w:spacing w:val="40"/>
        </w:rPr>
        <w:t> </w:t>
      </w:r>
      <w:r>
        <w:rPr/>
        <w:t>additional</w:t>
      </w:r>
      <w:r>
        <w:rPr>
          <w:spacing w:val="40"/>
        </w:rPr>
        <w:t> </w:t>
      </w:r>
      <w:r>
        <w:rPr/>
        <w:t>information.</w:t>
      </w:r>
      <w:r>
        <w:rPr>
          <w:spacing w:val="32"/>
        </w:rPr>
        <w:t> </w:t>
      </w:r>
      <w:r>
        <w:rPr/>
        <w:t>Adjusted</w:t>
      </w:r>
      <w:r>
        <w:rPr>
          <w:spacing w:val="40"/>
        </w:rPr>
        <w:t> </w:t>
      </w:r>
      <w:r>
        <w:rPr/>
        <w:t>EBITDAR</w:t>
      </w:r>
      <w:r>
        <w:rPr>
          <w:spacing w:val="40"/>
        </w:rPr>
        <w:t> </w:t>
      </w:r>
      <w:r>
        <w:rPr/>
        <w:t>is</w:t>
      </w:r>
      <w:r>
        <w:rPr>
          <w:spacing w:val="40"/>
        </w:rPr>
        <w:t> </w:t>
      </w:r>
      <w:r>
        <w:rPr/>
        <w:t>a</w:t>
      </w:r>
      <w:r>
        <w:rPr>
          <w:spacing w:val="40"/>
        </w:rPr>
        <w:t> </w:t>
      </w:r>
      <w:r>
        <w:rPr/>
        <w:t>non-GAAP</w:t>
      </w:r>
      <w:r>
        <w:rPr>
          <w:spacing w:val="35"/>
        </w:rPr>
        <w:t> </w:t>
      </w:r>
      <w:r>
        <w:rPr/>
        <w:t>measure,</w:t>
      </w:r>
      <w:r>
        <w:rPr>
          <w:spacing w:val="40"/>
        </w:rPr>
        <w:t> </w:t>
      </w:r>
      <w:r>
        <w:rPr/>
        <w:t>discussed</w:t>
      </w:r>
      <w:r>
        <w:rPr>
          <w:spacing w:val="40"/>
        </w:rPr>
        <w:t> </w:t>
      </w:r>
      <w:r>
        <w:rPr/>
        <w:t>within</w:t>
      </w:r>
      <w:r>
        <w:rPr>
          <w:spacing w:val="40"/>
        </w:rPr>
        <w:t> </w:t>
      </w:r>
      <w:r>
        <w:rPr/>
        <w:t>“Non-GAAP measures” below.</w:t>
      </w:r>
    </w:p>
    <w:p>
      <w:pPr>
        <w:pStyle w:val="Heading5"/>
        <w:spacing w:before="42" w:after="36"/>
        <w:ind w:left="0" w:right="1519"/>
        <w:jc w:val="right"/>
      </w:pPr>
      <w:r>
        <w:rPr/>
        <w:t>Year</w:t>
      </w:r>
      <w:r>
        <w:rPr>
          <w:spacing w:val="-13"/>
        </w:rPr>
        <w:t> </w:t>
      </w:r>
      <w:r>
        <w:rPr/>
        <w:t>Ended</w:t>
      </w:r>
      <w:r>
        <w:rPr>
          <w:spacing w:val="-8"/>
        </w:rPr>
        <w:t> </w:t>
      </w:r>
      <w:r>
        <w:rPr/>
        <w:t>December</w:t>
      </w:r>
      <w:r>
        <w:rPr>
          <w:spacing w:val="-10"/>
        </w:rPr>
        <w:t> </w:t>
      </w:r>
      <w:r>
        <w:rPr>
          <w:spacing w:val="-5"/>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3"/>
        <w:gridCol w:w="1572"/>
        <w:gridCol w:w="1638"/>
        <w:gridCol w:w="1583"/>
      </w:tblGrid>
      <w:tr>
        <w:trPr>
          <w:trHeight w:val="254" w:hRule="atLeast"/>
        </w:trPr>
        <w:tc>
          <w:tcPr>
            <w:tcW w:w="6723" w:type="dxa"/>
            <w:vMerge w:val="restart"/>
          </w:tcPr>
          <w:p>
            <w:pPr>
              <w:pStyle w:val="TableParagraph"/>
              <w:spacing w:before="0"/>
              <w:rPr>
                <w:sz w:val="16"/>
              </w:rPr>
            </w:pPr>
          </w:p>
        </w:tc>
        <w:tc>
          <w:tcPr>
            <w:tcW w:w="1572" w:type="dxa"/>
            <w:tcBorders>
              <w:top w:val="single" w:sz="6" w:space="0" w:color="000000"/>
              <w:bottom w:val="single" w:sz="6" w:space="0" w:color="000000"/>
            </w:tcBorders>
          </w:tcPr>
          <w:p>
            <w:pPr>
              <w:pStyle w:val="TableParagraph"/>
              <w:spacing w:before="20"/>
              <w:ind w:left="49" w:right="105"/>
              <w:jc w:val="center"/>
              <w:rPr>
                <w:b/>
                <w:sz w:val="18"/>
              </w:rPr>
            </w:pPr>
            <w:r>
              <w:rPr>
                <w:b/>
                <w:spacing w:val="-4"/>
                <w:sz w:val="18"/>
              </w:rPr>
              <w:t>2022</w:t>
            </w:r>
          </w:p>
        </w:tc>
        <w:tc>
          <w:tcPr>
            <w:tcW w:w="1638" w:type="dxa"/>
            <w:tcBorders>
              <w:top w:val="single" w:sz="6" w:space="0" w:color="000000"/>
              <w:bottom w:val="single" w:sz="6" w:space="0" w:color="000000"/>
            </w:tcBorders>
          </w:tcPr>
          <w:p>
            <w:pPr>
              <w:pStyle w:val="TableParagraph"/>
              <w:spacing w:before="20"/>
              <w:ind w:left="8"/>
              <w:jc w:val="center"/>
              <w:rPr>
                <w:b/>
                <w:sz w:val="18"/>
              </w:rPr>
            </w:pPr>
            <w:r>
              <w:rPr>
                <w:b/>
                <w:spacing w:val="-4"/>
                <w:sz w:val="18"/>
              </w:rPr>
              <w:t>2021</w:t>
            </w:r>
          </w:p>
        </w:tc>
        <w:tc>
          <w:tcPr>
            <w:tcW w:w="1583" w:type="dxa"/>
            <w:tcBorders>
              <w:top w:val="single" w:sz="6" w:space="0" w:color="000000"/>
              <w:bottom w:val="single" w:sz="6" w:space="0" w:color="000000"/>
            </w:tcBorders>
          </w:tcPr>
          <w:p>
            <w:pPr>
              <w:pStyle w:val="TableParagraph"/>
              <w:spacing w:before="20"/>
              <w:ind w:left="67" w:right="5"/>
              <w:jc w:val="center"/>
              <w:rPr>
                <w:b/>
                <w:sz w:val="18"/>
              </w:rPr>
            </w:pPr>
            <w:r>
              <w:rPr>
                <w:b/>
                <w:spacing w:val="-4"/>
                <w:sz w:val="18"/>
              </w:rPr>
              <w:t>2020</w:t>
            </w:r>
          </w:p>
        </w:tc>
      </w:tr>
      <w:tr>
        <w:trPr>
          <w:trHeight w:val="228" w:hRule="atLeast"/>
        </w:trPr>
        <w:tc>
          <w:tcPr>
            <w:tcW w:w="6723" w:type="dxa"/>
            <w:vMerge/>
            <w:tcBorders>
              <w:top w:val="nil"/>
            </w:tcBorders>
          </w:tcPr>
          <w:p>
            <w:pPr>
              <w:rPr>
                <w:sz w:val="2"/>
                <w:szCs w:val="2"/>
              </w:rPr>
            </w:pPr>
          </w:p>
        </w:tc>
        <w:tc>
          <w:tcPr>
            <w:tcW w:w="1572" w:type="dxa"/>
            <w:tcBorders>
              <w:top w:val="single" w:sz="6" w:space="0" w:color="000000"/>
            </w:tcBorders>
          </w:tcPr>
          <w:p>
            <w:pPr>
              <w:pStyle w:val="TableParagraph"/>
              <w:spacing w:before="0"/>
              <w:rPr>
                <w:sz w:val="16"/>
              </w:rPr>
            </w:pPr>
          </w:p>
        </w:tc>
        <w:tc>
          <w:tcPr>
            <w:tcW w:w="1638" w:type="dxa"/>
            <w:tcBorders>
              <w:top w:val="single" w:sz="6" w:space="0" w:color="000000"/>
            </w:tcBorders>
          </w:tcPr>
          <w:p>
            <w:pPr>
              <w:pStyle w:val="TableParagraph"/>
              <w:spacing w:before="17"/>
              <w:ind w:left="384"/>
              <w:rPr>
                <w:b/>
                <w:i/>
                <w:sz w:val="14"/>
              </w:rPr>
            </w:pPr>
            <w:r>
              <w:rPr>
                <w:b/>
                <w:i/>
                <w:sz w:val="14"/>
              </w:rPr>
              <w:t>(In</w:t>
            </w:r>
            <w:r>
              <w:rPr>
                <w:b/>
                <w:i/>
                <w:spacing w:val="3"/>
                <w:sz w:val="14"/>
              </w:rPr>
              <w:t> </w:t>
            </w:r>
            <w:r>
              <w:rPr>
                <w:b/>
                <w:i/>
                <w:spacing w:val="-2"/>
                <w:sz w:val="14"/>
              </w:rPr>
              <w:t>thousands)</w:t>
            </w:r>
          </w:p>
        </w:tc>
        <w:tc>
          <w:tcPr>
            <w:tcW w:w="1583" w:type="dxa"/>
            <w:tcBorders>
              <w:top w:val="single" w:sz="6" w:space="0" w:color="000000"/>
            </w:tcBorders>
          </w:tcPr>
          <w:p>
            <w:pPr>
              <w:pStyle w:val="TableParagraph"/>
              <w:spacing w:before="0"/>
              <w:rPr>
                <w:sz w:val="16"/>
              </w:rPr>
            </w:pPr>
          </w:p>
        </w:tc>
      </w:tr>
      <w:tr>
        <w:trPr>
          <w:trHeight w:val="256" w:hRule="atLeast"/>
        </w:trPr>
        <w:tc>
          <w:tcPr>
            <w:tcW w:w="6723" w:type="dxa"/>
            <w:shd w:val="clear" w:color="auto" w:fill="CFF0FB"/>
          </w:tcPr>
          <w:p>
            <w:pPr>
              <w:pStyle w:val="TableParagraph"/>
              <w:ind w:left="17"/>
              <w:rPr>
                <w:sz w:val="18"/>
              </w:rPr>
            </w:pPr>
            <w:r>
              <w:rPr>
                <w:sz w:val="18"/>
              </w:rPr>
              <w:t>Las</w:t>
            </w:r>
            <w:r>
              <w:rPr>
                <w:spacing w:val="-11"/>
                <w:sz w:val="18"/>
              </w:rPr>
              <w:t> </w:t>
            </w:r>
            <w:r>
              <w:rPr>
                <w:sz w:val="18"/>
              </w:rPr>
              <w:t>Vegas</w:t>
            </w:r>
            <w:r>
              <w:rPr>
                <w:spacing w:val="-8"/>
                <w:sz w:val="18"/>
              </w:rPr>
              <w:t> </w:t>
            </w:r>
            <w:r>
              <w:rPr>
                <w:sz w:val="18"/>
              </w:rPr>
              <w:t>Strip</w:t>
            </w:r>
            <w:r>
              <w:rPr>
                <w:spacing w:val="-7"/>
                <w:sz w:val="18"/>
              </w:rPr>
              <w:t> </w:t>
            </w:r>
            <w:r>
              <w:rPr>
                <w:spacing w:val="-2"/>
                <w:sz w:val="18"/>
              </w:rPr>
              <w:t>Resorts</w:t>
            </w:r>
          </w:p>
        </w:tc>
        <w:tc>
          <w:tcPr>
            <w:tcW w:w="1572" w:type="dxa"/>
            <w:shd w:val="clear" w:color="auto" w:fill="CFF0FB"/>
          </w:tcPr>
          <w:p>
            <w:pPr>
              <w:pStyle w:val="TableParagraph"/>
              <w:tabs>
                <w:tab w:pos="710" w:val="left" w:leader="none"/>
              </w:tabs>
              <w:ind w:right="124"/>
              <w:jc w:val="right"/>
              <w:rPr>
                <w:sz w:val="18"/>
              </w:rPr>
            </w:pPr>
            <w:r>
              <w:rPr>
                <w:spacing w:val="-10"/>
                <w:sz w:val="18"/>
              </w:rPr>
              <w:t>$</w:t>
            </w:r>
            <w:r>
              <w:rPr>
                <w:sz w:val="18"/>
              </w:rPr>
              <w:tab/>
            </w:r>
            <w:r>
              <w:rPr>
                <w:spacing w:val="-2"/>
                <w:sz w:val="18"/>
              </w:rPr>
              <w:t>3,142,308</w:t>
            </w:r>
          </w:p>
        </w:tc>
        <w:tc>
          <w:tcPr>
            <w:tcW w:w="1638" w:type="dxa"/>
            <w:shd w:val="clear" w:color="auto" w:fill="CFF0FB"/>
          </w:tcPr>
          <w:p>
            <w:pPr>
              <w:pStyle w:val="TableParagraph"/>
              <w:tabs>
                <w:tab w:pos="717" w:val="left" w:leader="none"/>
              </w:tabs>
              <w:ind w:right="124"/>
              <w:jc w:val="right"/>
              <w:rPr>
                <w:sz w:val="18"/>
              </w:rPr>
            </w:pPr>
            <w:r>
              <w:rPr>
                <w:spacing w:val="-10"/>
                <w:sz w:val="18"/>
              </w:rPr>
              <w:t>$</w:t>
            </w:r>
            <w:r>
              <w:rPr>
                <w:sz w:val="18"/>
              </w:rPr>
              <w:tab/>
            </w:r>
            <w:r>
              <w:rPr>
                <w:spacing w:val="-2"/>
                <w:sz w:val="18"/>
              </w:rPr>
              <w:t>1,738,211</w:t>
            </w:r>
          </w:p>
        </w:tc>
        <w:tc>
          <w:tcPr>
            <w:tcW w:w="1583" w:type="dxa"/>
            <w:shd w:val="clear" w:color="auto" w:fill="CFF0FB"/>
          </w:tcPr>
          <w:p>
            <w:pPr>
              <w:pStyle w:val="TableParagraph"/>
              <w:tabs>
                <w:tab w:pos="843" w:val="left" w:leader="none"/>
              </w:tabs>
              <w:ind w:right="71"/>
              <w:jc w:val="right"/>
              <w:rPr>
                <w:sz w:val="18"/>
              </w:rPr>
            </w:pPr>
            <w:r>
              <w:rPr>
                <w:spacing w:val="-10"/>
                <w:sz w:val="18"/>
              </w:rPr>
              <w:t>$</w:t>
            </w:r>
            <w:r>
              <w:rPr>
                <w:sz w:val="18"/>
              </w:rPr>
              <w:tab/>
            </w:r>
            <w:r>
              <w:rPr>
                <w:spacing w:val="-2"/>
                <w:sz w:val="18"/>
              </w:rPr>
              <w:t>232,188</w:t>
            </w:r>
          </w:p>
        </w:tc>
      </w:tr>
      <w:tr>
        <w:trPr>
          <w:trHeight w:val="256" w:hRule="atLeast"/>
        </w:trPr>
        <w:tc>
          <w:tcPr>
            <w:tcW w:w="6723" w:type="dxa"/>
          </w:tcPr>
          <w:p>
            <w:pPr>
              <w:pStyle w:val="TableParagraph"/>
              <w:ind w:left="17"/>
              <w:rPr>
                <w:sz w:val="18"/>
              </w:rPr>
            </w:pPr>
            <w:r>
              <w:rPr>
                <w:sz w:val="18"/>
              </w:rPr>
              <w:t>Regional</w:t>
            </w:r>
            <w:r>
              <w:rPr>
                <w:spacing w:val="-1"/>
                <w:sz w:val="18"/>
              </w:rPr>
              <w:t> </w:t>
            </w:r>
            <w:r>
              <w:rPr>
                <w:spacing w:val="-2"/>
                <w:sz w:val="18"/>
              </w:rPr>
              <w:t>Operations</w:t>
            </w:r>
          </w:p>
        </w:tc>
        <w:tc>
          <w:tcPr>
            <w:tcW w:w="1572" w:type="dxa"/>
          </w:tcPr>
          <w:p>
            <w:pPr>
              <w:pStyle w:val="TableParagraph"/>
              <w:ind w:right="124"/>
              <w:jc w:val="right"/>
              <w:rPr>
                <w:sz w:val="18"/>
              </w:rPr>
            </w:pPr>
            <w:r>
              <w:rPr>
                <w:spacing w:val="-2"/>
                <w:sz w:val="18"/>
              </w:rPr>
              <w:t>1,294,630</w:t>
            </w:r>
          </w:p>
        </w:tc>
        <w:tc>
          <w:tcPr>
            <w:tcW w:w="1638" w:type="dxa"/>
          </w:tcPr>
          <w:p>
            <w:pPr>
              <w:pStyle w:val="TableParagraph"/>
              <w:ind w:right="124"/>
              <w:jc w:val="right"/>
              <w:rPr>
                <w:sz w:val="18"/>
              </w:rPr>
            </w:pPr>
            <w:r>
              <w:rPr>
                <w:spacing w:val="-2"/>
                <w:sz w:val="18"/>
              </w:rPr>
              <w:t>1,217,814</w:t>
            </w:r>
          </w:p>
        </w:tc>
        <w:tc>
          <w:tcPr>
            <w:tcW w:w="1583" w:type="dxa"/>
          </w:tcPr>
          <w:p>
            <w:pPr>
              <w:pStyle w:val="TableParagraph"/>
              <w:ind w:right="71"/>
              <w:jc w:val="right"/>
              <w:rPr>
                <w:sz w:val="18"/>
              </w:rPr>
            </w:pPr>
            <w:r>
              <w:rPr>
                <w:spacing w:val="-2"/>
                <w:sz w:val="18"/>
              </w:rPr>
              <w:t>343,990</w:t>
            </w:r>
          </w:p>
        </w:tc>
      </w:tr>
      <w:tr>
        <w:trPr>
          <w:trHeight w:val="256" w:hRule="atLeast"/>
        </w:trPr>
        <w:tc>
          <w:tcPr>
            <w:tcW w:w="6723" w:type="dxa"/>
            <w:shd w:val="clear" w:color="auto" w:fill="CFF0FB"/>
          </w:tcPr>
          <w:p>
            <w:pPr>
              <w:pStyle w:val="TableParagraph"/>
              <w:ind w:left="17"/>
              <w:rPr>
                <w:sz w:val="18"/>
              </w:rPr>
            </w:pPr>
            <w:r>
              <w:rPr>
                <w:sz w:val="18"/>
              </w:rPr>
              <w:t>MGM</w:t>
            </w:r>
            <w:r>
              <w:rPr>
                <w:spacing w:val="-1"/>
                <w:sz w:val="18"/>
              </w:rPr>
              <w:t> </w:t>
            </w:r>
            <w:r>
              <w:rPr>
                <w:spacing w:val="-2"/>
                <w:sz w:val="18"/>
              </w:rPr>
              <w:t>China</w:t>
            </w:r>
          </w:p>
        </w:tc>
        <w:tc>
          <w:tcPr>
            <w:tcW w:w="1572" w:type="dxa"/>
            <w:shd w:val="clear" w:color="auto" w:fill="CFF0FB"/>
          </w:tcPr>
          <w:p>
            <w:pPr>
              <w:pStyle w:val="TableParagraph"/>
              <w:ind w:right="79"/>
              <w:jc w:val="right"/>
              <w:rPr>
                <w:sz w:val="18"/>
              </w:rPr>
            </w:pPr>
            <w:r>
              <w:rPr>
                <w:spacing w:val="-2"/>
                <w:sz w:val="18"/>
              </w:rPr>
              <w:t>(203,136)</w:t>
            </w:r>
          </w:p>
        </w:tc>
        <w:tc>
          <w:tcPr>
            <w:tcW w:w="1638" w:type="dxa"/>
            <w:shd w:val="clear" w:color="auto" w:fill="CFF0FB"/>
          </w:tcPr>
          <w:p>
            <w:pPr>
              <w:pStyle w:val="TableParagraph"/>
              <w:ind w:right="124"/>
              <w:jc w:val="right"/>
              <w:rPr>
                <w:sz w:val="18"/>
              </w:rPr>
            </w:pPr>
            <w:r>
              <w:rPr>
                <w:spacing w:val="-2"/>
                <w:sz w:val="18"/>
              </w:rPr>
              <w:t>25,367</w:t>
            </w:r>
          </w:p>
        </w:tc>
        <w:tc>
          <w:tcPr>
            <w:tcW w:w="1583" w:type="dxa"/>
            <w:shd w:val="clear" w:color="auto" w:fill="CFF0FB"/>
          </w:tcPr>
          <w:p>
            <w:pPr>
              <w:pStyle w:val="TableParagraph"/>
              <w:ind w:right="26"/>
              <w:jc w:val="right"/>
              <w:rPr>
                <w:sz w:val="18"/>
              </w:rPr>
            </w:pPr>
            <w:r>
              <w:rPr>
                <w:spacing w:val="-2"/>
                <w:sz w:val="18"/>
              </w:rPr>
              <w:t>(193,832)</w:t>
            </w:r>
          </w:p>
        </w:tc>
      </w:tr>
      <w:tr>
        <w:trPr>
          <w:trHeight w:val="255" w:hRule="atLeast"/>
        </w:trPr>
        <w:tc>
          <w:tcPr>
            <w:tcW w:w="6723" w:type="dxa"/>
          </w:tcPr>
          <w:p>
            <w:pPr>
              <w:pStyle w:val="TableParagraph"/>
              <w:ind w:left="17"/>
              <w:rPr>
                <w:sz w:val="18"/>
              </w:rPr>
            </w:pPr>
            <w:r>
              <w:rPr>
                <w:sz w:val="18"/>
              </w:rPr>
              <w:t>Corporate</w:t>
            </w:r>
            <w:r>
              <w:rPr>
                <w:spacing w:val="-1"/>
                <w:sz w:val="18"/>
              </w:rPr>
              <w:t> </w:t>
            </w:r>
            <w:r>
              <w:rPr>
                <w:sz w:val="18"/>
              </w:rPr>
              <w:t>and</w:t>
            </w:r>
            <w:r>
              <w:rPr>
                <w:spacing w:val="-1"/>
                <w:sz w:val="18"/>
              </w:rPr>
              <w:t> </w:t>
            </w:r>
            <w:r>
              <w:rPr>
                <w:spacing w:val="-2"/>
                <w:sz w:val="18"/>
              </w:rPr>
              <w:t>other</w:t>
            </w:r>
          </w:p>
        </w:tc>
        <w:tc>
          <w:tcPr>
            <w:tcW w:w="1572" w:type="dxa"/>
            <w:tcBorders>
              <w:bottom w:val="single" w:sz="6" w:space="0" w:color="000000"/>
            </w:tcBorders>
          </w:tcPr>
          <w:p>
            <w:pPr>
              <w:pStyle w:val="TableParagraph"/>
              <w:ind w:right="79"/>
              <w:jc w:val="right"/>
              <w:rPr>
                <w:sz w:val="18"/>
              </w:rPr>
            </w:pPr>
            <w:r>
              <w:rPr>
                <w:spacing w:val="-2"/>
                <w:sz w:val="18"/>
              </w:rPr>
              <w:t>(736,548)</w:t>
            </w:r>
          </w:p>
        </w:tc>
        <w:tc>
          <w:tcPr>
            <w:tcW w:w="1638" w:type="dxa"/>
          </w:tcPr>
          <w:p>
            <w:pPr>
              <w:pStyle w:val="TableParagraph"/>
              <w:spacing w:line="201" w:lineRule="exact" w:before="34"/>
              <w:ind w:right="79"/>
              <w:jc w:val="right"/>
              <w:rPr>
                <w:sz w:val="18"/>
              </w:rPr>
            </w:pPr>
            <w:r>
              <w:rPr>
                <w:spacing w:val="-2"/>
                <w:sz w:val="18"/>
              </w:rPr>
              <w:t>(560,309)</w:t>
            </w:r>
          </w:p>
        </w:tc>
        <w:tc>
          <w:tcPr>
            <w:tcW w:w="1583" w:type="dxa"/>
          </w:tcPr>
          <w:p>
            <w:pPr>
              <w:pStyle w:val="TableParagraph"/>
              <w:spacing w:line="201" w:lineRule="exact" w:before="34"/>
              <w:ind w:right="26"/>
              <w:jc w:val="right"/>
              <w:rPr>
                <w:sz w:val="18"/>
              </w:rPr>
            </w:pPr>
            <w:r>
              <w:rPr>
                <w:spacing w:val="-2"/>
                <w:sz w:val="18"/>
              </w:rPr>
              <w:t>(530,843)</w:t>
            </w:r>
          </w:p>
        </w:tc>
      </w:tr>
      <w:tr>
        <w:trPr>
          <w:trHeight w:val="296" w:hRule="atLeast"/>
        </w:trPr>
        <w:tc>
          <w:tcPr>
            <w:tcW w:w="6723" w:type="dxa"/>
            <w:shd w:val="clear" w:color="auto" w:fill="CFF0FB"/>
          </w:tcPr>
          <w:p>
            <w:pPr>
              <w:pStyle w:val="TableParagraph"/>
              <w:spacing w:before="33"/>
              <w:ind w:left="93"/>
              <w:rPr>
                <w:sz w:val="18"/>
              </w:rPr>
            </w:pPr>
            <w:r>
              <w:rPr>
                <w:sz w:val="18"/>
              </w:rPr>
              <w:t>Adjusted</w:t>
            </w:r>
            <w:r>
              <w:rPr>
                <w:spacing w:val="-1"/>
                <w:sz w:val="18"/>
              </w:rPr>
              <w:t> </w:t>
            </w:r>
            <w:r>
              <w:rPr>
                <w:spacing w:val="-2"/>
                <w:sz w:val="18"/>
              </w:rPr>
              <w:t>EBITDAR</w:t>
            </w:r>
          </w:p>
        </w:tc>
        <w:tc>
          <w:tcPr>
            <w:tcW w:w="1572" w:type="dxa"/>
            <w:tcBorders>
              <w:top w:val="single" w:sz="6" w:space="0" w:color="000000"/>
            </w:tcBorders>
            <w:shd w:val="clear" w:color="auto" w:fill="CFF0FB"/>
          </w:tcPr>
          <w:p>
            <w:pPr>
              <w:pStyle w:val="TableParagraph"/>
              <w:tabs>
                <w:tab w:pos="710" w:val="left" w:leader="none"/>
              </w:tabs>
              <w:spacing w:before="20"/>
              <w:ind w:right="124"/>
              <w:jc w:val="right"/>
              <w:rPr>
                <w:sz w:val="18"/>
              </w:rPr>
            </w:pPr>
            <w:r>
              <w:rPr>
                <w:spacing w:val="-10"/>
                <w:sz w:val="18"/>
              </w:rPr>
              <w:t>$</w:t>
            </w:r>
            <w:r>
              <w:rPr>
                <w:sz w:val="18"/>
              </w:rPr>
              <w:tab/>
            </w:r>
            <w:r>
              <w:rPr>
                <w:spacing w:val="-2"/>
                <w:sz w:val="18"/>
              </w:rPr>
              <w:t>3,497,254</w:t>
            </w:r>
          </w:p>
        </w:tc>
        <w:tc>
          <w:tcPr>
            <w:tcW w:w="1638" w:type="dxa"/>
            <w:shd w:val="clear" w:color="auto" w:fill="CFF0FB"/>
          </w:tcPr>
          <w:p>
            <w:pPr>
              <w:pStyle w:val="TableParagraph"/>
              <w:spacing w:before="0"/>
              <w:rPr>
                <w:sz w:val="16"/>
              </w:rPr>
            </w:pPr>
          </w:p>
        </w:tc>
        <w:tc>
          <w:tcPr>
            <w:tcW w:w="1583" w:type="dxa"/>
            <w:shd w:val="clear" w:color="auto" w:fill="CFF0FB"/>
          </w:tcPr>
          <w:p>
            <w:pPr>
              <w:pStyle w:val="TableParagraph"/>
              <w:spacing w:before="0"/>
              <w:rPr>
                <w:sz w:val="16"/>
              </w:rPr>
            </w:pPr>
          </w:p>
        </w:tc>
      </w:tr>
    </w:tbl>
    <w:p>
      <w:pPr>
        <w:pStyle w:val="BodyText"/>
        <w:spacing w:before="107"/>
        <w:rPr>
          <w:b/>
        </w:rPr>
      </w:pPr>
    </w:p>
    <w:p>
      <w:pPr>
        <w:spacing w:before="0"/>
        <w:ind w:left="394" w:right="0" w:firstLine="0"/>
        <w:jc w:val="left"/>
        <w:rPr>
          <w:b/>
          <w:sz w:val="18"/>
        </w:rPr>
      </w:pPr>
      <w:r>
        <w:rPr/>
        <mc:AlternateContent>
          <mc:Choice Requires="wps">
            <w:drawing>
              <wp:anchor distT="0" distB="0" distL="0" distR="0" allowOverlap="1" layoutInCell="1" locked="0" behindDoc="0" simplePos="0" relativeHeight="15766016">
                <wp:simplePos x="0" y="0"/>
                <wp:positionH relativeFrom="page">
                  <wp:posOffset>4500550</wp:posOffset>
                </wp:positionH>
                <wp:positionV relativeFrom="paragraph">
                  <wp:posOffset>-218590</wp:posOffset>
                </wp:positionV>
                <wp:extent cx="960119" cy="3429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4.374023pt;margin-top:-17.211868pt;width:75.6pt;height:2.7pt;mso-position-horizontal-relative:page;mso-position-vertical-relative:paragraph;z-index:15766016" id="docshape208" coordorigin="7087,-344" coordsize="1512,54" path="m8599,-304l8572,-304,7195,-304,7087,-304,7087,-290,7195,-290,8572,-290,8599,-290,8599,-304xm8599,-344l8572,-344,7195,-344,7087,-344,7087,-331,7195,-331,8572,-331,8599,-331,8599,-344xe" filled="true" fillcolor="#000000" stroked="false">
                <v:path arrowok="t"/>
                <v:fill type="solid"/>
                <w10:wrap type="none"/>
              </v:shape>
            </w:pict>
          </mc:Fallback>
        </mc:AlternateContent>
      </w:r>
      <w:r>
        <w:rPr>
          <w:b/>
          <w:sz w:val="18"/>
        </w:rPr>
        <w:t>Las</w:t>
      </w:r>
      <w:r>
        <w:rPr>
          <w:b/>
          <w:spacing w:val="-10"/>
          <w:sz w:val="18"/>
        </w:rPr>
        <w:t> </w:t>
      </w:r>
      <w:r>
        <w:rPr>
          <w:b/>
          <w:sz w:val="18"/>
        </w:rPr>
        <w:t>Vegas</w:t>
      </w:r>
      <w:r>
        <w:rPr>
          <w:b/>
          <w:spacing w:val="-7"/>
          <w:sz w:val="18"/>
        </w:rPr>
        <w:t> </w:t>
      </w:r>
      <w:r>
        <w:rPr>
          <w:b/>
          <w:sz w:val="18"/>
        </w:rPr>
        <w:t>Strip</w:t>
      </w:r>
      <w:r>
        <w:rPr>
          <w:b/>
          <w:spacing w:val="-6"/>
          <w:sz w:val="18"/>
        </w:rPr>
        <w:t> </w:t>
      </w:r>
      <w:r>
        <w:rPr>
          <w:b/>
          <w:spacing w:val="-2"/>
          <w:sz w:val="18"/>
        </w:rPr>
        <w:t>Resorts</w:t>
      </w:r>
    </w:p>
    <w:p>
      <w:pPr>
        <w:pStyle w:val="BodyText"/>
        <w:spacing w:before="22"/>
        <w:rPr>
          <w:b/>
        </w:rPr>
      </w:pPr>
    </w:p>
    <w:p>
      <w:pPr>
        <w:pStyle w:val="BodyText"/>
        <w:spacing w:line="235" w:lineRule="auto"/>
        <w:ind w:left="144" w:right="118" w:firstLine="499"/>
        <w:jc w:val="both"/>
      </w:pPr>
      <w:r>
        <w:rPr/>
        <w:t>Las Vegas Strip Resorts</w:t>
      </w:r>
      <w:r>
        <w:rPr>
          <w:spacing w:val="-3"/>
        </w:rPr>
        <w:t> </w:t>
      </w:r>
      <w:r>
        <w:rPr/>
        <w:t>Adjusted Property EBITDAR was $3.1 billion in 2022 compared to $1.7 billion in 2021, an increase of 81%. Las Vegas Strip Resorts</w:t>
      </w:r>
      <w:r>
        <w:rPr>
          <w:spacing w:val="-12"/>
        </w:rPr>
        <w:t> </w:t>
      </w:r>
      <w:r>
        <w:rPr/>
        <w:t>Adjusted</w:t>
      </w:r>
      <w:r>
        <w:rPr>
          <w:spacing w:val="-2"/>
        </w:rPr>
        <w:t> </w:t>
      </w:r>
      <w:r>
        <w:rPr/>
        <w:t>Property</w:t>
      </w:r>
      <w:r>
        <w:rPr>
          <w:spacing w:val="-2"/>
        </w:rPr>
        <w:t> </w:t>
      </w:r>
      <w:r>
        <w:rPr/>
        <w:t>EBITDAR</w:t>
      </w:r>
      <w:r>
        <w:rPr>
          <w:spacing w:val="-2"/>
        </w:rPr>
        <w:t> </w:t>
      </w:r>
      <w:r>
        <w:rPr/>
        <w:t>margin</w:t>
      </w:r>
      <w:r>
        <w:rPr>
          <w:spacing w:val="-2"/>
        </w:rPr>
        <w:t> </w:t>
      </w:r>
      <w:r>
        <w:rPr/>
        <w:t>increased</w:t>
      </w:r>
      <w:r>
        <w:rPr>
          <w:spacing w:val="-2"/>
        </w:rPr>
        <w:t> </w:t>
      </w:r>
      <w:r>
        <w:rPr/>
        <w:t>to</w:t>
      </w:r>
      <w:r>
        <w:rPr>
          <w:spacing w:val="-2"/>
        </w:rPr>
        <w:t> </w:t>
      </w:r>
      <w:r>
        <w:rPr/>
        <w:t>37.4%</w:t>
      </w:r>
      <w:r>
        <w:rPr>
          <w:spacing w:val="-2"/>
        </w:rPr>
        <w:t> </w:t>
      </w:r>
      <w:r>
        <w:rPr/>
        <w:t>in</w:t>
      </w:r>
      <w:r>
        <w:rPr>
          <w:spacing w:val="-2"/>
        </w:rPr>
        <w:t> </w:t>
      </w:r>
      <w:r>
        <w:rPr/>
        <w:t>2022</w:t>
      </w:r>
      <w:r>
        <w:rPr>
          <w:spacing w:val="-2"/>
        </w:rPr>
        <w:t> </w:t>
      </w:r>
      <w:r>
        <w:rPr/>
        <w:t>compared</w:t>
      </w:r>
      <w:r>
        <w:rPr>
          <w:spacing w:val="-2"/>
        </w:rPr>
        <w:t> </w:t>
      </w:r>
      <w:r>
        <w:rPr/>
        <w:t>to</w:t>
      </w:r>
      <w:r>
        <w:rPr>
          <w:spacing w:val="-2"/>
        </w:rPr>
        <w:t> </w:t>
      </w:r>
      <w:r>
        <w:rPr/>
        <w:t>36.7%</w:t>
      </w:r>
      <w:r>
        <w:rPr>
          <w:spacing w:val="-2"/>
        </w:rPr>
        <w:t> </w:t>
      </w:r>
      <w:r>
        <w:rPr/>
        <w:t>in</w:t>
      </w:r>
      <w:r>
        <w:rPr>
          <w:spacing w:val="-2"/>
        </w:rPr>
        <w:t> </w:t>
      </w:r>
      <w:r>
        <w:rPr/>
        <w:t>2021.</w:t>
      </w:r>
      <w:r>
        <w:rPr>
          <w:spacing w:val="-6"/>
        </w:rPr>
        <w:t> </w:t>
      </w:r>
      <w:r>
        <w:rPr/>
        <w:t>The</w:t>
      </w:r>
      <w:r>
        <w:rPr>
          <w:spacing w:val="-2"/>
        </w:rPr>
        <w:t> </w:t>
      </w:r>
      <w:r>
        <w:rPr/>
        <w:t>current</w:t>
      </w:r>
      <w:r>
        <w:rPr>
          <w:spacing w:val="-2"/>
        </w:rPr>
        <w:t> </w:t>
      </w:r>
      <w:r>
        <w:rPr/>
        <w:t>year</w:t>
      </w:r>
      <w:r>
        <w:rPr>
          <w:spacing w:val="-2"/>
        </w:rPr>
        <w:t> </w:t>
      </w:r>
      <w:r>
        <w:rPr/>
        <w:t>benefited</w:t>
      </w:r>
      <w:r>
        <w:rPr>
          <w:spacing w:val="-2"/>
        </w:rPr>
        <w:t> </w:t>
      </w:r>
      <w:r>
        <w:rPr/>
        <w:t>from</w:t>
      </w:r>
      <w:r>
        <w:rPr>
          <w:spacing w:val="-2"/>
        </w:rPr>
        <w:t> </w:t>
      </w:r>
      <w:r>
        <w:rPr/>
        <w:t>the</w:t>
      </w:r>
      <w:r>
        <w:rPr>
          <w:spacing w:val="-2"/>
        </w:rPr>
        <w:t> </w:t>
      </w:r>
      <w:r>
        <w:rPr/>
        <w:t>increase</w:t>
      </w:r>
      <w:r>
        <w:rPr>
          <w:spacing w:val="-2"/>
        </w:rPr>
        <w:t> </w:t>
      </w:r>
      <w:r>
        <w:rPr/>
        <w:t>in</w:t>
      </w:r>
      <w:r>
        <w:rPr>
          <w:spacing w:val="-2"/>
        </w:rPr>
        <w:t> </w:t>
      </w:r>
      <w:r>
        <w:rPr/>
        <w:t>revenues, partially offset by increases in contribution from lower-margin non-gaming outlets and venues and promotional activities.</w:t>
      </w:r>
    </w:p>
    <w:p>
      <w:pPr>
        <w:pStyle w:val="BodyText"/>
        <w:spacing w:before="18"/>
      </w:pPr>
    </w:p>
    <w:p>
      <w:pPr>
        <w:pStyle w:val="Heading5"/>
        <w:ind w:left="394"/>
        <w:jc w:val="left"/>
      </w:pPr>
      <w:r>
        <w:rPr/>
        <w:t>Regional</w:t>
      </w:r>
      <w:r>
        <w:rPr>
          <w:spacing w:val="-1"/>
        </w:rPr>
        <w:t> </w:t>
      </w:r>
      <w:r>
        <w:rPr>
          <w:spacing w:val="-2"/>
        </w:rPr>
        <w:t>Operations</w:t>
      </w:r>
    </w:p>
    <w:p>
      <w:pPr>
        <w:pStyle w:val="BodyText"/>
        <w:spacing w:before="4"/>
        <w:rPr>
          <w:b/>
        </w:rPr>
      </w:pPr>
    </w:p>
    <w:p>
      <w:pPr>
        <w:pStyle w:val="BodyText"/>
        <w:spacing w:line="242" w:lineRule="auto"/>
        <w:ind w:left="144" w:right="118" w:firstLine="499"/>
        <w:jc w:val="both"/>
      </w:pPr>
      <w:r>
        <w:rPr/>
        <w:t>Regional Operations</w:t>
      </w:r>
      <w:r>
        <w:rPr>
          <w:spacing w:val="-2"/>
        </w:rPr>
        <w:t> </w:t>
      </w:r>
      <w:r>
        <w:rPr/>
        <w:t>Adjusted Property EBITDAR was $1.3 billion in 2022 compared to $1.2 billion in 2021, an increase of 6%. Regional </w:t>
      </w:r>
      <w:r>
        <w:rPr/>
        <w:t>Operations Adjusted Property EBITDAR margin decreased to 33.9% in 2022 compared to 35.9% in 2021. The margin decrease was due primarily to an increase in contribution from lower margin non-gaming outlets and venues.</w:t>
      </w:r>
    </w:p>
    <w:p>
      <w:pPr>
        <w:pStyle w:val="BodyText"/>
        <w:spacing w:before="3"/>
      </w:pPr>
    </w:p>
    <w:p>
      <w:pPr>
        <w:pStyle w:val="Heading5"/>
        <w:ind w:left="394"/>
        <w:jc w:val="left"/>
      </w:pPr>
      <w:r>
        <w:rPr/>
        <w:t>MGM</w:t>
      </w:r>
      <w:r>
        <w:rPr>
          <w:spacing w:val="-1"/>
        </w:rPr>
        <w:t> </w:t>
      </w:r>
      <w:r>
        <w:rPr>
          <w:spacing w:val="-2"/>
        </w:rPr>
        <w:t>China</w:t>
      </w:r>
    </w:p>
    <w:p>
      <w:pPr>
        <w:pStyle w:val="BodyText"/>
        <w:spacing w:before="5"/>
        <w:rPr>
          <w:b/>
        </w:rPr>
      </w:pPr>
    </w:p>
    <w:p>
      <w:pPr>
        <w:pStyle w:val="BodyText"/>
        <w:spacing w:line="242" w:lineRule="auto"/>
        <w:ind w:left="144" w:right="118" w:firstLine="499"/>
        <w:jc w:val="both"/>
      </w:pPr>
      <w:r>
        <w:rPr/>
        <w:t>MGM China’s</w:t>
      </w:r>
      <w:r>
        <w:rPr>
          <w:spacing w:val="-7"/>
        </w:rPr>
        <w:t> </w:t>
      </w:r>
      <w:r>
        <w:rPr/>
        <w:t>Adjusted Property EBITDAR was a loss of $203 million in 2022 compared to</w:t>
      </w:r>
      <w:r>
        <w:rPr>
          <w:spacing w:val="-7"/>
        </w:rPr>
        <w:t> </w:t>
      </w:r>
      <w:r>
        <w:rPr/>
        <w:t>Adjusted Property EBITDAR of $25 million in 2021. </w:t>
      </w:r>
      <w:r>
        <w:rPr/>
        <w:t>The decrease was due primarily the decrease in revenues, discussed above, and the current year period included an $18 million charge related to litigation reserves. License fee expense was $12 million for 2022 and $21 million in the prior year.</w:t>
      </w:r>
    </w:p>
    <w:p>
      <w:pPr>
        <w:pStyle w:val="BodyText"/>
        <w:spacing w:before="3"/>
      </w:pPr>
    </w:p>
    <w:p>
      <w:pPr>
        <w:spacing w:before="0"/>
        <w:ind w:left="387" w:right="0" w:firstLine="0"/>
        <w:jc w:val="left"/>
        <w:rPr>
          <w:i/>
          <w:sz w:val="18"/>
        </w:rPr>
      </w:pPr>
      <w:r>
        <w:rPr>
          <w:i/>
          <w:sz w:val="18"/>
        </w:rPr>
        <w:t>Supplemental</w:t>
      </w:r>
      <w:r>
        <w:rPr>
          <w:i/>
          <w:spacing w:val="-5"/>
          <w:sz w:val="18"/>
        </w:rPr>
        <w:t> </w:t>
      </w:r>
      <w:r>
        <w:rPr>
          <w:i/>
          <w:sz w:val="18"/>
        </w:rPr>
        <w:t>Information</w:t>
      </w:r>
      <w:r>
        <w:rPr>
          <w:i/>
          <w:spacing w:val="-2"/>
          <w:sz w:val="18"/>
        </w:rPr>
        <w:t> </w:t>
      </w:r>
      <w:r>
        <w:rPr>
          <w:i/>
          <w:sz w:val="18"/>
        </w:rPr>
        <w:t>-</w:t>
      </w:r>
      <w:r>
        <w:rPr>
          <w:i/>
          <w:spacing w:val="-2"/>
          <w:sz w:val="18"/>
        </w:rPr>
        <w:t> </w:t>
      </w:r>
      <w:r>
        <w:rPr>
          <w:i/>
          <w:sz w:val="18"/>
        </w:rPr>
        <w:t>Same-store</w:t>
      </w:r>
      <w:r>
        <w:rPr>
          <w:i/>
          <w:spacing w:val="-2"/>
          <w:sz w:val="18"/>
        </w:rPr>
        <w:t> </w:t>
      </w:r>
      <w:r>
        <w:rPr>
          <w:i/>
          <w:sz w:val="18"/>
        </w:rPr>
        <w:t>Results</w:t>
      </w:r>
      <w:r>
        <w:rPr>
          <w:i/>
          <w:spacing w:val="-2"/>
          <w:sz w:val="18"/>
        </w:rPr>
        <w:t> </w:t>
      </w:r>
      <w:r>
        <w:rPr>
          <w:i/>
          <w:sz w:val="18"/>
        </w:rPr>
        <w:t>of</w:t>
      </w:r>
      <w:r>
        <w:rPr>
          <w:i/>
          <w:spacing w:val="-2"/>
          <w:sz w:val="18"/>
        </w:rPr>
        <w:t> Operations</w:t>
      </w:r>
    </w:p>
    <w:p>
      <w:pPr>
        <w:pStyle w:val="BodyText"/>
        <w:spacing w:before="18"/>
        <w:rPr>
          <w:i/>
        </w:rPr>
      </w:pPr>
    </w:p>
    <w:p>
      <w:pPr>
        <w:pStyle w:val="BodyText"/>
        <w:spacing w:line="249" w:lineRule="auto"/>
        <w:ind w:left="144" w:right="118" w:firstLine="499"/>
        <w:jc w:val="both"/>
      </w:pPr>
      <w:r>
        <w:rPr/>
        <w:t>The</w:t>
      </w:r>
      <w:r>
        <w:rPr>
          <w:spacing w:val="-1"/>
        </w:rPr>
        <w:t> </w:t>
      </w:r>
      <w:r>
        <w:rPr/>
        <w:t>following</w:t>
      </w:r>
      <w:r>
        <w:rPr>
          <w:spacing w:val="-1"/>
        </w:rPr>
        <w:t> </w:t>
      </w:r>
      <w:r>
        <w:rPr/>
        <w:t>table</w:t>
      </w:r>
      <w:r>
        <w:rPr>
          <w:spacing w:val="-1"/>
        </w:rPr>
        <w:t> </w:t>
      </w:r>
      <w:r>
        <w:rPr/>
        <w:t>presents</w:t>
      </w:r>
      <w:r>
        <w:rPr>
          <w:spacing w:val="-1"/>
        </w:rPr>
        <w:t> </w:t>
      </w:r>
      <w:r>
        <w:rPr/>
        <w:t>the</w:t>
      </w:r>
      <w:r>
        <w:rPr>
          <w:spacing w:val="-1"/>
        </w:rPr>
        <w:t> </w:t>
      </w:r>
      <w:r>
        <w:rPr/>
        <w:t>financial</w:t>
      </w:r>
      <w:r>
        <w:rPr>
          <w:spacing w:val="-1"/>
        </w:rPr>
        <w:t> </w:t>
      </w:r>
      <w:r>
        <w:rPr/>
        <w:t>results</w:t>
      </w:r>
      <w:r>
        <w:rPr>
          <w:spacing w:val="-1"/>
        </w:rPr>
        <w:t> </w:t>
      </w:r>
      <w:r>
        <w:rPr/>
        <w:t>of</w:t>
      </w:r>
      <w:r>
        <w:rPr>
          <w:spacing w:val="-1"/>
        </w:rPr>
        <w:t> </w:t>
      </w:r>
      <w:r>
        <w:rPr/>
        <w:t>Las</w:t>
      </w:r>
      <w:r>
        <w:rPr>
          <w:spacing w:val="-4"/>
        </w:rPr>
        <w:t> </w:t>
      </w:r>
      <w:r>
        <w:rPr/>
        <w:t>Vegas</w:t>
      </w:r>
      <w:r>
        <w:rPr>
          <w:spacing w:val="-1"/>
        </w:rPr>
        <w:t> </w:t>
      </w:r>
      <w:r>
        <w:rPr/>
        <w:t>Strip</w:t>
      </w:r>
      <w:r>
        <w:rPr>
          <w:spacing w:val="-1"/>
        </w:rPr>
        <w:t> </w:t>
      </w:r>
      <w:r>
        <w:rPr/>
        <w:t>Resorts</w:t>
      </w:r>
      <w:r>
        <w:rPr>
          <w:spacing w:val="-1"/>
        </w:rPr>
        <w:t> </w:t>
      </w:r>
      <w:r>
        <w:rPr/>
        <w:t>on</w:t>
      </w:r>
      <w:r>
        <w:rPr>
          <w:spacing w:val="-1"/>
        </w:rPr>
        <w:t> </w:t>
      </w:r>
      <w:r>
        <w:rPr/>
        <w:t>a</w:t>
      </w:r>
      <w:r>
        <w:rPr>
          <w:spacing w:val="-1"/>
        </w:rPr>
        <w:t> </w:t>
      </w:r>
      <w:r>
        <w:rPr/>
        <w:t>same-store</w:t>
      </w:r>
      <w:r>
        <w:rPr>
          <w:spacing w:val="-1"/>
        </w:rPr>
        <w:t> </w:t>
      </w:r>
      <w:r>
        <w:rPr/>
        <w:t>basis</w:t>
      </w:r>
      <w:r>
        <w:rPr>
          <w:spacing w:val="-1"/>
        </w:rPr>
        <w:t> </w:t>
      </w:r>
      <w:r>
        <w:rPr/>
        <w:t>for</w:t>
      </w:r>
      <w:r>
        <w:rPr>
          <w:spacing w:val="-1"/>
        </w:rPr>
        <w:t> </w:t>
      </w:r>
      <w:r>
        <w:rPr/>
        <w:t>the</w:t>
      </w:r>
      <w:r>
        <w:rPr>
          <w:spacing w:val="-1"/>
        </w:rPr>
        <w:t> </w:t>
      </w:r>
      <w:r>
        <w:rPr/>
        <w:t>periods</w:t>
      </w:r>
      <w:r>
        <w:rPr>
          <w:spacing w:val="-1"/>
        </w:rPr>
        <w:t> </w:t>
      </w:r>
      <w:r>
        <w:rPr/>
        <w:t>presented</w:t>
      </w:r>
      <w:r>
        <w:rPr>
          <w:spacing w:val="-1"/>
        </w:rPr>
        <w:t> </w:t>
      </w:r>
      <w:r>
        <w:rPr/>
        <w:t>below.</w:t>
      </w:r>
      <w:r>
        <w:rPr>
          <w:spacing w:val="-1"/>
        </w:rPr>
        <w:t> </w:t>
      </w:r>
      <w:r>
        <w:rPr/>
        <w:t>Same-Store</w:t>
      </w:r>
      <w:r>
        <w:rPr>
          <w:spacing w:val="-10"/>
        </w:rPr>
        <w:t> </w:t>
      </w:r>
      <w:r>
        <w:rPr/>
        <w:t>Adjusted Property EBITDAR is a non-GAAP measure, discussed within “Non-GAAP measures” below.</w:t>
      </w:r>
    </w:p>
    <w:p>
      <w:pPr>
        <w:spacing w:before="47" w:after="53"/>
        <w:ind w:left="0" w:right="1652" w:firstLine="0"/>
        <w:jc w:val="right"/>
        <w:rPr>
          <w:b/>
          <w:sz w:val="16"/>
        </w:rPr>
      </w:pPr>
      <w:r>
        <w:rPr>
          <w:b/>
          <w:sz w:val="16"/>
        </w:rPr>
        <w:t>Year</w:t>
      </w:r>
      <w:r>
        <w:rPr>
          <w:b/>
          <w:spacing w:val="-5"/>
          <w:sz w:val="16"/>
        </w:rPr>
        <w:t> </w:t>
      </w:r>
      <w:r>
        <w:rPr>
          <w:b/>
          <w:sz w:val="16"/>
        </w:rPr>
        <w:t>Ended</w:t>
      </w:r>
      <w:r>
        <w:rPr>
          <w:b/>
          <w:spacing w:val="-1"/>
          <w:sz w:val="16"/>
        </w:rPr>
        <w:t> </w:t>
      </w:r>
      <w:r>
        <w:rPr>
          <w:b/>
          <w:sz w:val="16"/>
        </w:rPr>
        <w:t>December</w:t>
      </w:r>
      <w:r>
        <w:rPr>
          <w:b/>
          <w:spacing w:val="-4"/>
          <w:sz w:val="16"/>
        </w:rPr>
        <w:t> </w:t>
      </w:r>
      <w:r>
        <w:rPr>
          <w:b/>
          <w:spacing w:val="-5"/>
          <w:sz w:val="16"/>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5"/>
        <w:gridCol w:w="94"/>
        <w:gridCol w:w="1525"/>
        <w:gridCol w:w="94"/>
        <w:gridCol w:w="1569"/>
        <w:gridCol w:w="1576"/>
      </w:tblGrid>
      <w:tr>
        <w:trPr>
          <w:trHeight w:val="241" w:hRule="atLeast"/>
        </w:trPr>
        <w:tc>
          <w:tcPr>
            <w:tcW w:w="6749" w:type="dxa"/>
            <w:gridSpan w:val="2"/>
            <w:vMerge w:val="restart"/>
          </w:tcPr>
          <w:p>
            <w:pPr>
              <w:pStyle w:val="TableParagraph"/>
              <w:spacing w:before="0"/>
              <w:rPr>
                <w:sz w:val="16"/>
              </w:rPr>
            </w:pPr>
          </w:p>
        </w:tc>
        <w:tc>
          <w:tcPr>
            <w:tcW w:w="1525" w:type="dxa"/>
            <w:tcBorders>
              <w:top w:val="single" w:sz="6" w:space="0" w:color="000000"/>
              <w:bottom w:val="single" w:sz="6" w:space="0" w:color="000000"/>
            </w:tcBorders>
          </w:tcPr>
          <w:p>
            <w:pPr>
              <w:pStyle w:val="TableParagraph"/>
              <w:spacing w:before="12"/>
              <w:ind w:left="4" w:right="1"/>
              <w:jc w:val="center"/>
              <w:rPr>
                <w:b/>
                <w:sz w:val="16"/>
              </w:rPr>
            </w:pPr>
            <w:r>
              <w:rPr>
                <w:b/>
                <w:spacing w:val="-4"/>
                <w:sz w:val="16"/>
              </w:rPr>
              <w:t>2022</w:t>
            </w:r>
          </w:p>
        </w:tc>
        <w:tc>
          <w:tcPr>
            <w:tcW w:w="94" w:type="dxa"/>
            <w:tcBorders>
              <w:bottom w:val="single" w:sz="6" w:space="0" w:color="000000"/>
            </w:tcBorders>
          </w:tcPr>
          <w:p>
            <w:pPr>
              <w:pStyle w:val="TableParagraph"/>
              <w:spacing w:before="0"/>
              <w:rPr>
                <w:sz w:val="16"/>
              </w:rPr>
            </w:pPr>
          </w:p>
        </w:tc>
        <w:tc>
          <w:tcPr>
            <w:tcW w:w="1569" w:type="dxa"/>
            <w:tcBorders>
              <w:top w:val="single" w:sz="6" w:space="0" w:color="000000"/>
              <w:bottom w:val="single" w:sz="6" w:space="0" w:color="000000"/>
            </w:tcBorders>
          </w:tcPr>
          <w:p>
            <w:pPr>
              <w:pStyle w:val="TableParagraph"/>
              <w:spacing w:before="12"/>
              <w:ind w:right="35"/>
              <w:jc w:val="center"/>
              <w:rPr>
                <w:b/>
                <w:sz w:val="16"/>
              </w:rPr>
            </w:pPr>
            <w:r>
              <w:rPr>
                <w:b/>
                <w:spacing w:val="-4"/>
                <w:sz w:val="16"/>
              </w:rPr>
              <w:t>2021</w:t>
            </w:r>
          </w:p>
        </w:tc>
        <w:tc>
          <w:tcPr>
            <w:tcW w:w="1576" w:type="dxa"/>
            <w:tcBorders>
              <w:top w:val="single" w:sz="6" w:space="0" w:color="000000"/>
              <w:bottom w:val="single" w:sz="6" w:space="0" w:color="000000"/>
            </w:tcBorders>
          </w:tcPr>
          <w:p>
            <w:pPr>
              <w:pStyle w:val="TableParagraph"/>
              <w:spacing w:before="12"/>
              <w:ind w:left="108" w:right="49"/>
              <w:jc w:val="center"/>
              <w:rPr>
                <w:b/>
                <w:sz w:val="16"/>
              </w:rPr>
            </w:pPr>
            <w:r>
              <w:rPr>
                <w:b/>
                <w:spacing w:val="-4"/>
                <w:sz w:val="16"/>
              </w:rPr>
              <w:t>2020</w:t>
            </w:r>
          </w:p>
        </w:tc>
      </w:tr>
      <w:tr>
        <w:trPr>
          <w:trHeight w:val="215" w:hRule="atLeast"/>
        </w:trPr>
        <w:tc>
          <w:tcPr>
            <w:tcW w:w="6749" w:type="dxa"/>
            <w:gridSpan w:val="2"/>
            <w:vMerge/>
            <w:tcBorders>
              <w:top w:val="nil"/>
            </w:tcBorders>
          </w:tcPr>
          <w:p>
            <w:pPr>
              <w:rPr>
                <w:sz w:val="2"/>
                <w:szCs w:val="2"/>
              </w:rPr>
            </w:pPr>
          </w:p>
        </w:tc>
        <w:tc>
          <w:tcPr>
            <w:tcW w:w="1525" w:type="dxa"/>
            <w:tcBorders>
              <w:top w:val="single" w:sz="6" w:space="0" w:color="000000"/>
            </w:tcBorders>
          </w:tcPr>
          <w:p>
            <w:pPr>
              <w:pStyle w:val="TableParagraph"/>
              <w:spacing w:before="0"/>
              <w:rPr>
                <w:sz w:val="14"/>
              </w:rPr>
            </w:pPr>
          </w:p>
        </w:tc>
        <w:tc>
          <w:tcPr>
            <w:tcW w:w="94" w:type="dxa"/>
            <w:tcBorders>
              <w:top w:val="single" w:sz="6" w:space="0" w:color="000000"/>
            </w:tcBorders>
          </w:tcPr>
          <w:p>
            <w:pPr>
              <w:pStyle w:val="TableParagraph"/>
              <w:spacing w:before="0"/>
              <w:rPr>
                <w:sz w:val="14"/>
              </w:rPr>
            </w:pPr>
          </w:p>
        </w:tc>
        <w:tc>
          <w:tcPr>
            <w:tcW w:w="1569" w:type="dxa"/>
            <w:tcBorders>
              <w:top w:val="single" w:sz="6" w:space="0" w:color="000000"/>
            </w:tcBorders>
          </w:tcPr>
          <w:p>
            <w:pPr>
              <w:pStyle w:val="TableParagraph"/>
              <w:spacing w:before="17"/>
              <w:ind w:left="328"/>
              <w:rPr>
                <w:b/>
                <w:i/>
                <w:sz w:val="14"/>
              </w:rPr>
            </w:pPr>
            <w:r>
              <w:rPr>
                <w:b/>
                <w:i/>
                <w:sz w:val="14"/>
              </w:rPr>
              <w:t>(In</w:t>
            </w:r>
            <w:r>
              <w:rPr>
                <w:b/>
                <w:i/>
                <w:spacing w:val="3"/>
                <w:sz w:val="14"/>
              </w:rPr>
              <w:t> </w:t>
            </w:r>
            <w:r>
              <w:rPr>
                <w:b/>
                <w:i/>
                <w:spacing w:val="-2"/>
                <w:sz w:val="14"/>
              </w:rPr>
              <w:t>thousands)</w:t>
            </w:r>
          </w:p>
        </w:tc>
        <w:tc>
          <w:tcPr>
            <w:tcW w:w="1576" w:type="dxa"/>
            <w:tcBorders>
              <w:top w:val="single" w:sz="6" w:space="0" w:color="000000"/>
            </w:tcBorders>
          </w:tcPr>
          <w:p>
            <w:pPr>
              <w:pStyle w:val="TableParagraph"/>
              <w:spacing w:before="0"/>
              <w:rPr>
                <w:sz w:val="14"/>
              </w:rPr>
            </w:pPr>
          </w:p>
        </w:tc>
      </w:tr>
      <w:tr>
        <w:trPr>
          <w:trHeight w:val="256" w:hRule="atLeast"/>
        </w:trPr>
        <w:tc>
          <w:tcPr>
            <w:tcW w:w="6655" w:type="dxa"/>
            <w:shd w:val="clear" w:color="auto" w:fill="CCEDFF"/>
          </w:tcPr>
          <w:p>
            <w:pPr>
              <w:pStyle w:val="TableParagraph"/>
              <w:ind w:left="17"/>
              <w:rPr>
                <w:sz w:val="18"/>
              </w:rPr>
            </w:pPr>
            <w:r>
              <w:rPr>
                <w:sz w:val="18"/>
              </w:rPr>
              <w:t>Las</w:t>
            </w:r>
            <w:r>
              <w:rPr>
                <w:spacing w:val="-8"/>
                <w:sz w:val="18"/>
              </w:rPr>
              <w:t> </w:t>
            </w:r>
            <w:r>
              <w:rPr>
                <w:sz w:val="18"/>
              </w:rPr>
              <w:t>Vegas</w:t>
            </w:r>
            <w:r>
              <w:rPr>
                <w:spacing w:val="-5"/>
                <w:sz w:val="18"/>
              </w:rPr>
              <w:t> </w:t>
            </w:r>
            <w:r>
              <w:rPr>
                <w:sz w:val="18"/>
              </w:rPr>
              <w:t>Strip</w:t>
            </w:r>
            <w:r>
              <w:rPr>
                <w:spacing w:val="-5"/>
                <w:sz w:val="18"/>
              </w:rPr>
              <w:t> </w:t>
            </w:r>
            <w:r>
              <w:rPr>
                <w:sz w:val="18"/>
              </w:rPr>
              <w:t>Resorts</w:t>
            </w:r>
            <w:r>
              <w:rPr>
                <w:spacing w:val="-5"/>
                <w:sz w:val="18"/>
              </w:rPr>
              <w:t> </w:t>
            </w:r>
            <w:r>
              <w:rPr>
                <w:sz w:val="18"/>
              </w:rPr>
              <w:t>net</w:t>
            </w:r>
            <w:r>
              <w:rPr>
                <w:spacing w:val="-5"/>
                <w:sz w:val="18"/>
              </w:rPr>
              <w:t> </w:t>
            </w:r>
            <w:r>
              <w:rPr>
                <w:spacing w:val="-2"/>
                <w:sz w:val="18"/>
              </w:rPr>
              <w:t>revenues</w:t>
            </w:r>
          </w:p>
        </w:tc>
        <w:tc>
          <w:tcPr>
            <w:tcW w:w="94" w:type="dxa"/>
            <w:shd w:val="clear" w:color="auto" w:fill="CCEDFF"/>
          </w:tcPr>
          <w:p>
            <w:pPr>
              <w:pStyle w:val="TableParagraph"/>
              <w:spacing w:before="0"/>
              <w:rPr>
                <w:sz w:val="16"/>
              </w:rPr>
            </w:pPr>
          </w:p>
        </w:tc>
        <w:tc>
          <w:tcPr>
            <w:tcW w:w="1525" w:type="dxa"/>
            <w:shd w:val="clear" w:color="auto" w:fill="CCEDFF"/>
          </w:tcPr>
          <w:p>
            <w:pPr>
              <w:pStyle w:val="TableParagraph"/>
              <w:tabs>
                <w:tab w:pos="710" w:val="left" w:leader="none"/>
              </w:tabs>
              <w:spacing w:line="202" w:lineRule="exact" w:before="34"/>
              <w:ind w:right="70"/>
              <w:jc w:val="right"/>
              <w:rPr>
                <w:sz w:val="18"/>
              </w:rPr>
            </w:pPr>
            <w:r>
              <w:rPr>
                <w:spacing w:val="-10"/>
                <w:sz w:val="18"/>
              </w:rPr>
              <w:t>$</w:t>
            </w:r>
            <w:r>
              <w:rPr>
                <w:sz w:val="18"/>
              </w:rPr>
              <w:tab/>
            </w:r>
            <w:r>
              <w:rPr>
                <w:spacing w:val="-2"/>
                <w:sz w:val="18"/>
              </w:rPr>
              <w:t>8,398,372</w:t>
            </w:r>
          </w:p>
        </w:tc>
        <w:tc>
          <w:tcPr>
            <w:tcW w:w="94" w:type="dxa"/>
            <w:shd w:val="clear" w:color="auto" w:fill="CCEDFF"/>
          </w:tcPr>
          <w:p>
            <w:pPr>
              <w:pStyle w:val="TableParagraph"/>
              <w:spacing w:before="0"/>
              <w:rPr>
                <w:sz w:val="16"/>
              </w:rPr>
            </w:pPr>
          </w:p>
        </w:tc>
        <w:tc>
          <w:tcPr>
            <w:tcW w:w="1569" w:type="dxa"/>
            <w:shd w:val="clear" w:color="auto" w:fill="CCEDFF"/>
          </w:tcPr>
          <w:p>
            <w:pPr>
              <w:pStyle w:val="TableParagraph"/>
              <w:tabs>
                <w:tab w:pos="710" w:val="left" w:leader="none"/>
              </w:tabs>
              <w:spacing w:line="202" w:lineRule="exact" w:before="34"/>
              <w:ind w:right="113"/>
              <w:jc w:val="right"/>
              <w:rPr>
                <w:sz w:val="18"/>
              </w:rPr>
            </w:pPr>
            <w:r>
              <w:rPr>
                <w:spacing w:val="-10"/>
                <w:sz w:val="18"/>
              </w:rPr>
              <w:t>$</w:t>
            </w:r>
            <w:r>
              <w:rPr>
                <w:sz w:val="18"/>
              </w:rPr>
              <w:tab/>
            </w:r>
            <w:r>
              <w:rPr>
                <w:spacing w:val="-2"/>
                <w:sz w:val="18"/>
              </w:rPr>
              <w:t>4,737,185</w:t>
            </w:r>
          </w:p>
        </w:tc>
        <w:tc>
          <w:tcPr>
            <w:tcW w:w="1576" w:type="dxa"/>
            <w:shd w:val="clear" w:color="auto" w:fill="CCEDFF"/>
          </w:tcPr>
          <w:p>
            <w:pPr>
              <w:pStyle w:val="TableParagraph"/>
              <w:tabs>
                <w:tab w:pos="710" w:val="left" w:leader="none"/>
              </w:tabs>
              <w:spacing w:line="202" w:lineRule="exact" w:before="34"/>
              <w:ind w:right="68"/>
              <w:jc w:val="right"/>
              <w:rPr>
                <w:sz w:val="18"/>
              </w:rPr>
            </w:pPr>
            <w:r>
              <w:rPr>
                <w:spacing w:val="-10"/>
                <w:sz w:val="18"/>
              </w:rPr>
              <w:t>$</w:t>
            </w:r>
            <w:r>
              <w:rPr>
                <w:sz w:val="18"/>
              </w:rPr>
              <w:tab/>
            </w:r>
            <w:r>
              <w:rPr>
                <w:spacing w:val="-2"/>
                <w:sz w:val="18"/>
              </w:rPr>
              <w:t>2,245,785</w:t>
            </w:r>
          </w:p>
        </w:tc>
      </w:tr>
      <w:tr>
        <w:trPr>
          <w:trHeight w:val="256" w:hRule="atLeast"/>
        </w:trPr>
        <w:tc>
          <w:tcPr>
            <w:tcW w:w="6655" w:type="dxa"/>
          </w:tcPr>
          <w:p>
            <w:pPr>
              <w:pStyle w:val="TableParagraph"/>
              <w:ind w:left="17"/>
              <w:rPr>
                <w:sz w:val="11"/>
              </w:rPr>
            </w:pPr>
            <w:r>
              <w:rPr>
                <w:sz w:val="18"/>
              </w:rPr>
              <w:t>Acquisitions </w:t>
            </w:r>
            <w:r>
              <w:rPr>
                <w:spacing w:val="-5"/>
                <w:position w:val="5"/>
                <w:sz w:val="11"/>
              </w:rPr>
              <w:t>(1)</w:t>
            </w:r>
          </w:p>
        </w:tc>
        <w:tc>
          <w:tcPr>
            <w:tcW w:w="94" w:type="dxa"/>
          </w:tcPr>
          <w:p>
            <w:pPr>
              <w:pStyle w:val="TableParagraph"/>
              <w:spacing w:before="0"/>
              <w:rPr>
                <w:sz w:val="16"/>
              </w:rPr>
            </w:pPr>
          </w:p>
        </w:tc>
        <w:tc>
          <w:tcPr>
            <w:tcW w:w="1525" w:type="dxa"/>
          </w:tcPr>
          <w:p>
            <w:pPr>
              <w:pStyle w:val="TableParagraph"/>
              <w:spacing w:line="202" w:lineRule="exact" w:before="34"/>
              <w:ind w:right="25"/>
              <w:jc w:val="right"/>
              <w:rPr>
                <w:sz w:val="18"/>
              </w:rPr>
            </w:pPr>
            <w:r>
              <w:rPr>
                <w:spacing w:val="-2"/>
                <w:sz w:val="18"/>
              </w:rPr>
              <w:t>(2,226,495)</w:t>
            </w:r>
          </w:p>
        </w:tc>
        <w:tc>
          <w:tcPr>
            <w:tcW w:w="94" w:type="dxa"/>
          </w:tcPr>
          <w:p>
            <w:pPr>
              <w:pStyle w:val="TableParagraph"/>
              <w:spacing w:before="0"/>
              <w:rPr>
                <w:sz w:val="16"/>
              </w:rPr>
            </w:pPr>
          </w:p>
        </w:tc>
        <w:tc>
          <w:tcPr>
            <w:tcW w:w="1569" w:type="dxa"/>
          </w:tcPr>
          <w:p>
            <w:pPr>
              <w:pStyle w:val="TableParagraph"/>
              <w:spacing w:line="202" w:lineRule="exact" w:before="34"/>
              <w:ind w:right="68"/>
              <w:jc w:val="right"/>
              <w:rPr>
                <w:sz w:val="18"/>
              </w:rPr>
            </w:pPr>
            <w:r>
              <w:rPr>
                <w:spacing w:val="-2"/>
                <w:sz w:val="18"/>
              </w:rPr>
              <w:t>(366,879)</w:t>
            </w:r>
          </w:p>
        </w:tc>
        <w:tc>
          <w:tcPr>
            <w:tcW w:w="1576" w:type="dxa"/>
          </w:tcPr>
          <w:p>
            <w:pPr>
              <w:pStyle w:val="TableParagraph"/>
              <w:spacing w:line="202" w:lineRule="exact" w:before="34"/>
              <w:ind w:right="68"/>
              <w:jc w:val="right"/>
              <w:rPr>
                <w:sz w:val="18"/>
              </w:rPr>
            </w:pPr>
            <w:r>
              <w:rPr>
                <w:spacing w:val="-10"/>
                <w:sz w:val="18"/>
              </w:rPr>
              <w:t>—</w:t>
            </w:r>
          </w:p>
        </w:tc>
      </w:tr>
      <w:tr>
        <w:trPr>
          <w:trHeight w:val="255" w:hRule="atLeast"/>
        </w:trPr>
        <w:tc>
          <w:tcPr>
            <w:tcW w:w="6655" w:type="dxa"/>
            <w:shd w:val="clear" w:color="auto" w:fill="CCEDFF"/>
          </w:tcPr>
          <w:p>
            <w:pPr>
              <w:pStyle w:val="TableParagraph"/>
              <w:ind w:left="17"/>
              <w:rPr>
                <w:sz w:val="11"/>
              </w:rPr>
            </w:pPr>
            <w:r>
              <w:rPr>
                <w:sz w:val="18"/>
              </w:rPr>
              <w:t>Dispositions </w:t>
            </w:r>
            <w:r>
              <w:rPr>
                <w:spacing w:val="-5"/>
                <w:position w:val="5"/>
                <w:sz w:val="11"/>
              </w:rPr>
              <w:t>(2)</w:t>
            </w:r>
          </w:p>
        </w:tc>
        <w:tc>
          <w:tcPr>
            <w:tcW w:w="94" w:type="dxa"/>
            <w:shd w:val="clear" w:color="auto" w:fill="CCEDFF"/>
          </w:tcPr>
          <w:p>
            <w:pPr>
              <w:pStyle w:val="TableParagraph"/>
              <w:spacing w:before="0"/>
              <w:rPr>
                <w:sz w:val="16"/>
              </w:rPr>
            </w:pPr>
          </w:p>
        </w:tc>
        <w:tc>
          <w:tcPr>
            <w:tcW w:w="1525" w:type="dxa"/>
            <w:tcBorders>
              <w:bottom w:val="single" w:sz="6" w:space="0" w:color="000000"/>
            </w:tcBorders>
            <w:shd w:val="clear" w:color="auto" w:fill="CCEDFF"/>
          </w:tcPr>
          <w:p>
            <w:pPr>
              <w:pStyle w:val="TableParagraph"/>
              <w:spacing w:line="201" w:lineRule="exact" w:before="34"/>
              <w:ind w:right="25"/>
              <w:jc w:val="right"/>
              <w:rPr>
                <w:sz w:val="18"/>
              </w:rPr>
            </w:pPr>
            <w:r>
              <w:rPr>
                <w:spacing w:val="-2"/>
                <w:sz w:val="18"/>
              </w:rPr>
              <w:t>(559,858)</w:t>
            </w:r>
          </w:p>
        </w:tc>
        <w:tc>
          <w:tcPr>
            <w:tcW w:w="94" w:type="dxa"/>
            <w:shd w:val="clear" w:color="auto" w:fill="CCEDFF"/>
          </w:tcPr>
          <w:p>
            <w:pPr>
              <w:pStyle w:val="TableParagraph"/>
              <w:spacing w:before="0"/>
              <w:rPr>
                <w:sz w:val="16"/>
              </w:rPr>
            </w:pPr>
          </w:p>
        </w:tc>
        <w:tc>
          <w:tcPr>
            <w:tcW w:w="1569" w:type="dxa"/>
            <w:tcBorders>
              <w:bottom w:val="single" w:sz="6" w:space="0" w:color="000000"/>
            </w:tcBorders>
            <w:shd w:val="clear" w:color="auto" w:fill="CCEDFF"/>
          </w:tcPr>
          <w:p>
            <w:pPr>
              <w:pStyle w:val="TableParagraph"/>
              <w:spacing w:line="201" w:lineRule="exact" w:before="34"/>
              <w:ind w:right="68"/>
              <w:jc w:val="right"/>
              <w:rPr>
                <w:sz w:val="18"/>
              </w:rPr>
            </w:pPr>
            <w:r>
              <w:rPr>
                <w:spacing w:val="-2"/>
                <w:sz w:val="18"/>
              </w:rPr>
              <w:t>(419,063)</w:t>
            </w:r>
          </w:p>
        </w:tc>
        <w:tc>
          <w:tcPr>
            <w:tcW w:w="1576" w:type="dxa"/>
            <w:tcBorders>
              <w:bottom w:val="single" w:sz="6" w:space="0" w:color="000000"/>
            </w:tcBorders>
            <w:shd w:val="clear" w:color="auto" w:fill="CCEDFF"/>
          </w:tcPr>
          <w:p>
            <w:pPr>
              <w:pStyle w:val="TableParagraph"/>
              <w:spacing w:line="201" w:lineRule="exact" w:before="34"/>
              <w:ind w:right="23"/>
              <w:jc w:val="right"/>
              <w:rPr>
                <w:sz w:val="18"/>
              </w:rPr>
            </w:pPr>
            <w:r>
              <w:rPr>
                <w:spacing w:val="-2"/>
                <w:sz w:val="18"/>
              </w:rPr>
              <w:t>(172,720)</w:t>
            </w:r>
          </w:p>
        </w:tc>
      </w:tr>
      <w:tr>
        <w:trPr>
          <w:trHeight w:val="246" w:hRule="atLeast"/>
        </w:trPr>
        <w:tc>
          <w:tcPr>
            <w:tcW w:w="6655" w:type="dxa"/>
          </w:tcPr>
          <w:p>
            <w:pPr>
              <w:pStyle w:val="TableParagraph"/>
              <w:spacing w:line="207" w:lineRule="exact" w:before="20"/>
              <w:ind w:left="17"/>
              <w:rPr>
                <w:sz w:val="18"/>
              </w:rPr>
            </w:pPr>
            <w:r>
              <w:rPr>
                <w:sz w:val="18"/>
              </w:rPr>
              <w:t>Las</w:t>
            </w:r>
            <w:r>
              <w:rPr>
                <w:spacing w:val="-10"/>
                <w:sz w:val="18"/>
              </w:rPr>
              <w:t> </w:t>
            </w:r>
            <w:r>
              <w:rPr>
                <w:sz w:val="18"/>
              </w:rPr>
              <w:t>Vegas</w:t>
            </w:r>
            <w:r>
              <w:rPr>
                <w:spacing w:val="-4"/>
                <w:sz w:val="18"/>
              </w:rPr>
              <w:t> </w:t>
            </w:r>
            <w:r>
              <w:rPr>
                <w:sz w:val="18"/>
              </w:rPr>
              <w:t>Strip</w:t>
            </w:r>
            <w:r>
              <w:rPr>
                <w:spacing w:val="-4"/>
                <w:sz w:val="18"/>
              </w:rPr>
              <w:t> </w:t>
            </w:r>
            <w:r>
              <w:rPr>
                <w:sz w:val="18"/>
              </w:rPr>
              <w:t>Resorts</w:t>
            </w:r>
            <w:r>
              <w:rPr>
                <w:spacing w:val="-5"/>
                <w:sz w:val="18"/>
              </w:rPr>
              <w:t> </w:t>
            </w:r>
            <w:r>
              <w:rPr>
                <w:sz w:val="18"/>
              </w:rPr>
              <w:t>same-store</w:t>
            </w:r>
            <w:r>
              <w:rPr>
                <w:spacing w:val="-4"/>
                <w:sz w:val="18"/>
              </w:rPr>
              <w:t> </w:t>
            </w:r>
            <w:r>
              <w:rPr>
                <w:sz w:val="18"/>
              </w:rPr>
              <w:t>net</w:t>
            </w:r>
            <w:r>
              <w:rPr>
                <w:spacing w:val="-4"/>
                <w:sz w:val="18"/>
              </w:rPr>
              <w:t> </w:t>
            </w:r>
            <w:r>
              <w:rPr>
                <w:spacing w:val="-2"/>
                <w:sz w:val="18"/>
              </w:rPr>
              <w:t>revenues</w:t>
            </w:r>
          </w:p>
        </w:tc>
        <w:tc>
          <w:tcPr>
            <w:tcW w:w="94" w:type="dxa"/>
          </w:tcPr>
          <w:p>
            <w:pPr>
              <w:pStyle w:val="TableParagraph"/>
              <w:spacing w:before="0"/>
              <w:rPr>
                <w:sz w:val="16"/>
              </w:rPr>
            </w:pPr>
          </w:p>
        </w:tc>
        <w:tc>
          <w:tcPr>
            <w:tcW w:w="1525" w:type="dxa"/>
            <w:tcBorders>
              <w:top w:val="single" w:sz="6" w:space="0" w:color="000000"/>
              <w:bottom w:val="double" w:sz="6" w:space="0" w:color="000000"/>
            </w:tcBorders>
          </w:tcPr>
          <w:p>
            <w:pPr>
              <w:pStyle w:val="TableParagraph"/>
              <w:tabs>
                <w:tab w:pos="710" w:val="left" w:leader="none"/>
              </w:tabs>
              <w:spacing w:before="6"/>
              <w:ind w:right="70"/>
              <w:jc w:val="right"/>
              <w:rPr>
                <w:sz w:val="18"/>
              </w:rPr>
            </w:pPr>
            <w:r>
              <w:rPr>
                <w:spacing w:val="-10"/>
                <w:sz w:val="18"/>
              </w:rPr>
              <w:t>$</w:t>
            </w:r>
            <w:r>
              <w:rPr>
                <w:sz w:val="18"/>
              </w:rPr>
              <w:tab/>
            </w:r>
            <w:r>
              <w:rPr>
                <w:spacing w:val="-2"/>
                <w:sz w:val="18"/>
              </w:rPr>
              <w:t>5,612,019</w:t>
            </w:r>
          </w:p>
        </w:tc>
        <w:tc>
          <w:tcPr>
            <w:tcW w:w="94" w:type="dxa"/>
          </w:tcPr>
          <w:p>
            <w:pPr>
              <w:pStyle w:val="TableParagraph"/>
              <w:spacing w:before="0"/>
              <w:rPr>
                <w:sz w:val="16"/>
              </w:rPr>
            </w:pPr>
          </w:p>
        </w:tc>
        <w:tc>
          <w:tcPr>
            <w:tcW w:w="1569" w:type="dxa"/>
            <w:tcBorders>
              <w:top w:val="single" w:sz="6" w:space="0" w:color="000000"/>
              <w:bottom w:val="double" w:sz="6" w:space="0" w:color="000000"/>
            </w:tcBorders>
          </w:tcPr>
          <w:p>
            <w:pPr>
              <w:pStyle w:val="TableParagraph"/>
              <w:tabs>
                <w:tab w:pos="710" w:val="left" w:leader="none"/>
              </w:tabs>
              <w:spacing w:before="6"/>
              <w:ind w:right="113"/>
              <w:jc w:val="right"/>
              <w:rPr>
                <w:sz w:val="18"/>
              </w:rPr>
            </w:pPr>
            <w:r>
              <w:rPr>
                <w:spacing w:val="-10"/>
                <w:sz w:val="18"/>
              </w:rPr>
              <w:t>$</w:t>
            </w:r>
            <w:r>
              <w:rPr>
                <w:sz w:val="18"/>
              </w:rPr>
              <w:tab/>
            </w:r>
            <w:r>
              <w:rPr>
                <w:spacing w:val="-2"/>
                <w:sz w:val="18"/>
              </w:rPr>
              <w:t>3,951,243</w:t>
            </w:r>
          </w:p>
        </w:tc>
        <w:tc>
          <w:tcPr>
            <w:tcW w:w="1576" w:type="dxa"/>
            <w:tcBorders>
              <w:top w:val="single" w:sz="6" w:space="0" w:color="000000"/>
              <w:bottom w:val="double" w:sz="6" w:space="0" w:color="000000"/>
            </w:tcBorders>
          </w:tcPr>
          <w:p>
            <w:pPr>
              <w:pStyle w:val="TableParagraph"/>
              <w:tabs>
                <w:tab w:pos="710" w:val="left" w:leader="none"/>
              </w:tabs>
              <w:spacing w:before="6"/>
              <w:ind w:right="68"/>
              <w:jc w:val="right"/>
              <w:rPr>
                <w:sz w:val="18"/>
              </w:rPr>
            </w:pPr>
            <w:r>
              <w:rPr>
                <w:spacing w:val="-10"/>
                <w:sz w:val="18"/>
              </w:rPr>
              <w:t>$</w:t>
            </w:r>
            <w:r>
              <w:rPr>
                <w:sz w:val="18"/>
              </w:rPr>
              <w:tab/>
            </w:r>
            <w:r>
              <w:rPr>
                <w:spacing w:val="-2"/>
                <w:sz w:val="18"/>
              </w:rPr>
              <w:t>2,073,065</w:t>
            </w:r>
          </w:p>
        </w:tc>
      </w:tr>
      <w:tr>
        <w:trPr>
          <w:trHeight w:val="247" w:hRule="atLeast"/>
        </w:trPr>
        <w:tc>
          <w:tcPr>
            <w:tcW w:w="6655" w:type="dxa"/>
            <w:shd w:val="clear" w:color="auto" w:fill="CCEDFF"/>
          </w:tcPr>
          <w:p>
            <w:pPr>
              <w:pStyle w:val="TableParagraph"/>
              <w:spacing w:before="0"/>
              <w:rPr>
                <w:sz w:val="16"/>
              </w:rPr>
            </w:pPr>
          </w:p>
        </w:tc>
        <w:tc>
          <w:tcPr>
            <w:tcW w:w="94" w:type="dxa"/>
            <w:shd w:val="clear" w:color="auto" w:fill="CCEDFF"/>
          </w:tcPr>
          <w:p>
            <w:pPr>
              <w:pStyle w:val="TableParagraph"/>
              <w:spacing w:before="0"/>
              <w:rPr>
                <w:sz w:val="16"/>
              </w:rPr>
            </w:pPr>
          </w:p>
        </w:tc>
        <w:tc>
          <w:tcPr>
            <w:tcW w:w="1525" w:type="dxa"/>
            <w:tcBorders>
              <w:top w:val="double" w:sz="6" w:space="0" w:color="000000"/>
            </w:tcBorders>
            <w:shd w:val="clear" w:color="auto" w:fill="CCEDFF"/>
          </w:tcPr>
          <w:p>
            <w:pPr>
              <w:pStyle w:val="TableParagraph"/>
              <w:spacing w:before="0"/>
              <w:rPr>
                <w:sz w:val="16"/>
              </w:rPr>
            </w:pPr>
          </w:p>
        </w:tc>
        <w:tc>
          <w:tcPr>
            <w:tcW w:w="94" w:type="dxa"/>
            <w:shd w:val="clear" w:color="auto" w:fill="CCEDFF"/>
          </w:tcPr>
          <w:p>
            <w:pPr>
              <w:pStyle w:val="TableParagraph"/>
              <w:spacing w:before="0"/>
              <w:rPr>
                <w:sz w:val="16"/>
              </w:rPr>
            </w:pPr>
          </w:p>
        </w:tc>
        <w:tc>
          <w:tcPr>
            <w:tcW w:w="1569" w:type="dxa"/>
            <w:tcBorders>
              <w:top w:val="double" w:sz="6" w:space="0" w:color="000000"/>
            </w:tcBorders>
            <w:shd w:val="clear" w:color="auto" w:fill="CCEDFF"/>
          </w:tcPr>
          <w:p>
            <w:pPr>
              <w:pStyle w:val="TableParagraph"/>
              <w:spacing w:before="0"/>
              <w:rPr>
                <w:sz w:val="16"/>
              </w:rPr>
            </w:pPr>
          </w:p>
        </w:tc>
        <w:tc>
          <w:tcPr>
            <w:tcW w:w="1576" w:type="dxa"/>
            <w:tcBorders>
              <w:top w:val="double" w:sz="6" w:space="0" w:color="000000"/>
            </w:tcBorders>
            <w:shd w:val="clear" w:color="auto" w:fill="CCEDFF"/>
          </w:tcPr>
          <w:p>
            <w:pPr>
              <w:pStyle w:val="TableParagraph"/>
              <w:spacing w:before="0"/>
              <w:rPr>
                <w:sz w:val="16"/>
              </w:rPr>
            </w:pPr>
          </w:p>
        </w:tc>
      </w:tr>
      <w:tr>
        <w:trPr>
          <w:trHeight w:val="256" w:hRule="atLeast"/>
        </w:trPr>
        <w:tc>
          <w:tcPr>
            <w:tcW w:w="6655" w:type="dxa"/>
          </w:tcPr>
          <w:p>
            <w:pPr>
              <w:pStyle w:val="TableParagraph"/>
              <w:ind w:left="17"/>
              <w:rPr>
                <w:sz w:val="18"/>
              </w:rPr>
            </w:pPr>
            <w:r>
              <w:rPr>
                <w:sz w:val="18"/>
              </w:rPr>
              <w:t>Las</w:t>
            </w:r>
            <w:r>
              <w:rPr>
                <w:spacing w:val="-11"/>
                <w:sz w:val="18"/>
              </w:rPr>
              <w:t> </w:t>
            </w:r>
            <w:r>
              <w:rPr>
                <w:sz w:val="18"/>
              </w:rPr>
              <w:t>Vegas</w:t>
            </w:r>
            <w:r>
              <w:rPr>
                <w:spacing w:val="-5"/>
                <w:sz w:val="18"/>
              </w:rPr>
              <w:t> </w:t>
            </w:r>
            <w:r>
              <w:rPr>
                <w:sz w:val="18"/>
              </w:rPr>
              <w:t>Strip</w:t>
            </w:r>
            <w:r>
              <w:rPr>
                <w:spacing w:val="-4"/>
                <w:sz w:val="18"/>
              </w:rPr>
              <w:t> </w:t>
            </w:r>
            <w:r>
              <w:rPr>
                <w:sz w:val="18"/>
              </w:rPr>
              <w:t>Resorts</w:t>
            </w:r>
            <w:r>
              <w:rPr>
                <w:spacing w:val="-12"/>
                <w:sz w:val="18"/>
              </w:rPr>
              <w:t> </w:t>
            </w:r>
            <w:r>
              <w:rPr>
                <w:sz w:val="18"/>
              </w:rPr>
              <w:t>Adjusted</w:t>
            </w:r>
            <w:r>
              <w:rPr>
                <w:spacing w:val="-4"/>
                <w:sz w:val="18"/>
              </w:rPr>
              <w:t> </w:t>
            </w:r>
            <w:r>
              <w:rPr>
                <w:sz w:val="18"/>
              </w:rPr>
              <w:t>Property</w:t>
            </w:r>
            <w:r>
              <w:rPr>
                <w:spacing w:val="-4"/>
                <w:sz w:val="18"/>
              </w:rPr>
              <w:t> </w:t>
            </w:r>
            <w:r>
              <w:rPr>
                <w:spacing w:val="-2"/>
                <w:sz w:val="18"/>
              </w:rPr>
              <w:t>EBITDAR</w:t>
            </w:r>
          </w:p>
        </w:tc>
        <w:tc>
          <w:tcPr>
            <w:tcW w:w="94" w:type="dxa"/>
          </w:tcPr>
          <w:p>
            <w:pPr>
              <w:pStyle w:val="TableParagraph"/>
              <w:spacing w:before="0"/>
              <w:rPr>
                <w:sz w:val="16"/>
              </w:rPr>
            </w:pPr>
          </w:p>
        </w:tc>
        <w:tc>
          <w:tcPr>
            <w:tcW w:w="1525" w:type="dxa"/>
          </w:tcPr>
          <w:p>
            <w:pPr>
              <w:pStyle w:val="TableParagraph"/>
              <w:tabs>
                <w:tab w:pos="710" w:val="left" w:leader="none"/>
              </w:tabs>
              <w:ind w:right="70"/>
              <w:jc w:val="right"/>
              <w:rPr>
                <w:sz w:val="18"/>
              </w:rPr>
            </w:pPr>
            <w:r>
              <w:rPr>
                <w:spacing w:val="-10"/>
                <w:sz w:val="18"/>
              </w:rPr>
              <w:t>$</w:t>
            </w:r>
            <w:r>
              <w:rPr>
                <w:sz w:val="18"/>
              </w:rPr>
              <w:tab/>
            </w:r>
            <w:r>
              <w:rPr>
                <w:spacing w:val="-2"/>
                <w:sz w:val="18"/>
              </w:rPr>
              <w:t>3,142,308</w:t>
            </w:r>
          </w:p>
        </w:tc>
        <w:tc>
          <w:tcPr>
            <w:tcW w:w="94" w:type="dxa"/>
          </w:tcPr>
          <w:p>
            <w:pPr>
              <w:pStyle w:val="TableParagraph"/>
              <w:spacing w:before="0"/>
              <w:rPr>
                <w:sz w:val="16"/>
              </w:rPr>
            </w:pPr>
          </w:p>
        </w:tc>
        <w:tc>
          <w:tcPr>
            <w:tcW w:w="1569" w:type="dxa"/>
          </w:tcPr>
          <w:p>
            <w:pPr>
              <w:pStyle w:val="TableParagraph"/>
              <w:tabs>
                <w:tab w:pos="716" w:val="left" w:leader="none"/>
              </w:tabs>
              <w:ind w:right="113"/>
              <w:jc w:val="right"/>
              <w:rPr>
                <w:sz w:val="18"/>
              </w:rPr>
            </w:pPr>
            <w:r>
              <w:rPr>
                <w:spacing w:val="-10"/>
                <w:sz w:val="18"/>
              </w:rPr>
              <w:t>$</w:t>
            </w:r>
            <w:r>
              <w:rPr>
                <w:sz w:val="18"/>
              </w:rPr>
              <w:tab/>
            </w:r>
            <w:r>
              <w:rPr>
                <w:spacing w:val="-2"/>
                <w:sz w:val="18"/>
              </w:rPr>
              <w:t>1,738,211</w:t>
            </w:r>
          </w:p>
        </w:tc>
        <w:tc>
          <w:tcPr>
            <w:tcW w:w="1576" w:type="dxa"/>
          </w:tcPr>
          <w:p>
            <w:pPr>
              <w:pStyle w:val="TableParagraph"/>
              <w:tabs>
                <w:tab w:pos="845" w:val="left" w:leader="none"/>
              </w:tabs>
              <w:ind w:right="68"/>
              <w:jc w:val="right"/>
              <w:rPr>
                <w:sz w:val="18"/>
              </w:rPr>
            </w:pPr>
            <w:r>
              <w:rPr>
                <w:spacing w:val="-10"/>
                <w:sz w:val="18"/>
              </w:rPr>
              <w:t>$</w:t>
            </w:r>
            <w:r>
              <w:rPr>
                <w:sz w:val="18"/>
              </w:rPr>
              <w:tab/>
            </w:r>
            <w:r>
              <w:rPr>
                <w:spacing w:val="-2"/>
                <w:sz w:val="18"/>
              </w:rPr>
              <w:t>232,188</w:t>
            </w:r>
          </w:p>
        </w:tc>
      </w:tr>
      <w:tr>
        <w:trPr>
          <w:trHeight w:val="256" w:hRule="atLeast"/>
        </w:trPr>
        <w:tc>
          <w:tcPr>
            <w:tcW w:w="6655" w:type="dxa"/>
            <w:shd w:val="clear" w:color="auto" w:fill="CCEDFF"/>
          </w:tcPr>
          <w:p>
            <w:pPr>
              <w:pStyle w:val="TableParagraph"/>
              <w:ind w:left="17"/>
              <w:rPr>
                <w:sz w:val="18"/>
              </w:rPr>
            </w:pPr>
            <w:r>
              <w:rPr>
                <w:sz w:val="18"/>
              </w:rPr>
              <w:t>Acquisitions </w:t>
            </w:r>
            <w:r>
              <w:rPr>
                <w:spacing w:val="-5"/>
                <w:sz w:val="18"/>
                <w:vertAlign w:val="superscript"/>
              </w:rPr>
              <w:t>(1)</w:t>
            </w:r>
          </w:p>
        </w:tc>
        <w:tc>
          <w:tcPr>
            <w:tcW w:w="94" w:type="dxa"/>
            <w:shd w:val="clear" w:color="auto" w:fill="CCEDFF"/>
          </w:tcPr>
          <w:p>
            <w:pPr>
              <w:pStyle w:val="TableParagraph"/>
              <w:spacing w:before="0"/>
              <w:rPr>
                <w:sz w:val="16"/>
              </w:rPr>
            </w:pPr>
          </w:p>
        </w:tc>
        <w:tc>
          <w:tcPr>
            <w:tcW w:w="1525" w:type="dxa"/>
            <w:shd w:val="clear" w:color="auto" w:fill="CCEDFF"/>
          </w:tcPr>
          <w:p>
            <w:pPr>
              <w:pStyle w:val="TableParagraph"/>
              <w:spacing w:line="202" w:lineRule="exact" w:before="34"/>
              <w:ind w:right="25"/>
              <w:jc w:val="right"/>
              <w:rPr>
                <w:sz w:val="18"/>
              </w:rPr>
            </w:pPr>
            <w:r>
              <w:rPr>
                <w:spacing w:val="-2"/>
                <w:sz w:val="18"/>
              </w:rPr>
              <w:t>(908,841)</w:t>
            </w:r>
          </w:p>
        </w:tc>
        <w:tc>
          <w:tcPr>
            <w:tcW w:w="94" w:type="dxa"/>
            <w:shd w:val="clear" w:color="auto" w:fill="CCEDFF"/>
          </w:tcPr>
          <w:p>
            <w:pPr>
              <w:pStyle w:val="TableParagraph"/>
              <w:spacing w:before="0"/>
              <w:rPr>
                <w:sz w:val="16"/>
              </w:rPr>
            </w:pPr>
          </w:p>
        </w:tc>
        <w:tc>
          <w:tcPr>
            <w:tcW w:w="1569" w:type="dxa"/>
            <w:shd w:val="clear" w:color="auto" w:fill="CCEDFF"/>
          </w:tcPr>
          <w:p>
            <w:pPr>
              <w:pStyle w:val="TableParagraph"/>
              <w:spacing w:line="202" w:lineRule="exact" w:before="34"/>
              <w:ind w:right="68"/>
              <w:jc w:val="right"/>
              <w:rPr>
                <w:sz w:val="18"/>
              </w:rPr>
            </w:pPr>
            <w:r>
              <w:rPr>
                <w:spacing w:val="-2"/>
                <w:sz w:val="18"/>
              </w:rPr>
              <w:t>(159,930)</w:t>
            </w:r>
          </w:p>
        </w:tc>
        <w:tc>
          <w:tcPr>
            <w:tcW w:w="1576" w:type="dxa"/>
            <w:shd w:val="clear" w:color="auto" w:fill="CCEDFF"/>
          </w:tcPr>
          <w:p>
            <w:pPr>
              <w:pStyle w:val="TableParagraph"/>
              <w:spacing w:line="202" w:lineRule="exact" w:before="34"/>
              <w:ind w:right="68"/>
              <w:jc w:val="right"/>
              <w:rPr>
                <w:sz w:val="18"/>
              </w:rPr>
            </w:pPr>
            <w:r>
              <w:rPr>
                <w:spacing w:val="-10"/>
                <w:sz w:val="18"/>
              </w:rPr>
              <w:t>—</w:t>
            </w:r>
          </w:p>
        </w:tc>
      </w:tr>
      <w:tr>
        <w:trPr>
          <w:trHeight w:val="241" w:hRule="atLeast"/>
        </w:trPr>
        <w:tc>
          <w:tcPr>
            <w:tcW w:w="6655" w:type="dxa"/>
          </w:tcPr>
          <w:p>
            <w:pPr>
              <w:pStyle w:val="TableParagraph"/>
              <w:spacing w:line="201" w:lineRule="exact"/>
              <w:ind w:left="17"/>
              <w:rPr>
                <w:sz w:val="18"/>
              </w:rPr>
            </w:pPr>
            <w:r>
              <w:rPr>
                <w:sz w:val="18"/>
              </w:rPr>
              <w:t>Dispositions </w:t>
            </w:r>
            <w:r>
              <w:rPr>
                <w:spacing w:val="-5"/>
                <w:sz w:val="18"/>
                <w:vertAlign w:val="superscript"/>
              </w:rPr>
              <w:t>(2)</w:t>
            </w:r>
          </w:p>
        </w:tc>
        <w:tc>
          <w:tcPr>
            <w:tcW w:w="94" w:type="dxa"/>
          </w:tcPr>
          <w:p>
            <w:pPr>
              <w:pStyle w:val="TableParagraph"/>
              <w:spacing w:before="0"/>
              <w:rPr>
                <w:sz w:val="16"/>
              </w:rPr>
            </w:pPr>
          </w:p>
        </w:tc>
        <w:tc>
          <w:tcPr>
            <w:tcW w:w="1525" w:type="dxa"/>
            <w:tcBorders>
              <w:bottom w:val="single" w:sz="12" w:space="0" w:color="000000"/>
            </w:tcBorders>
          </w:tcPr>
          <w:p>
            <w:pPr>
              <w:pStyle w:val="TableParagraph"/>
              <w:spacing w:line="201" w:lineRule="exact"/>
              <w:ind w:right="25"/>
              <w:jc w:val="right"/>
              <w:rPr>
                <w:sz w:val="18"/>
              </w:rPr>
            </w:pPr>
            <w:r>
              <w:rPr>
                <w:spacing w:val="-2"/>
                <w:sz w:val="18"/>
              </w:rPr>
              <w:t>(159,267)</w:t>
            </w:r>
          </w:p>
        </w:tc>
        <w:tc>
          <w:tcPr>
            <w:tcW w:w="94" w:type="dxa"/>
          </w:tcPr>
          <w:p>
            <w:pPr>
              <w:pStyle w:val="TableParagraph"/>
              <w:spacing w:before="0"/>
              <w:rPr>
                <w:sz w:val="16"/>
              </w:rPr>
            </w:pPr>
          </w:p>
        </w:tc>
        <w:tc>
          <w:tcPr>
            <w:tcW w:w="1569" w:type="dxa"/>
            <w:tcBorders>
              <w:bottom w:val="single" w:sz="12" w:space="0" w:color="000000"/>
            </w:tcBorders>
          </w:tcPr>
          <w:p>
            <w:pPr>
              <w:pStyle w:val="TableParagraph"/>
              <w:spacing w:line="201" w:lineRule="exact"/>
              <w:ind w:right="68"/>
              <w:jc w:val="right"/>
              <w:rPr>
                <w:sz w:val="18"/>
              </w:rPr>
            </w:pPr>
            <w:r>
              <w:rPr>
                <w:spacing w:val="-2"/>
                <w:sz w:val="18"/>
              </w:rPr>
              <w:t>(122,127)</w:t>
            </w:r>
          </w:p>
        </w:tc>
        <w:tc>
          <w:tcPr>
            <w:tcW w:w="1576" w:type="dxa"/>
            <w:tcBorders>
              <w:bottom w:val="single" w:sz="12" w:space="0" w:color="000000"/>
            </w:tcBorders>
          </w:tcPr>
          <w:p>
            <w:pPr>
              <w:pStyle w:val="TableParagraph"/>
              <w:spacing w:line="201" w:lineRule="exact"/>
              <w:ind w:right="68"/>
              <w:jc w:val="right"/>
              <w:rPr>
                <w:sz w:val="18"/>
              </w:rPr>
            </w:pPr>
            <w:r>
              <w:rPr>
                <w:spacing w:val="-2"/>
                <w:sz w:val="18"/>
              </w:rPr>
              <w:t>18,354</w:t>
            </w:r>
          </w:p>
        </w:tc>
      </w:tr>
      <w:tr>
        <w:trPr>
          <w:trHeight w:val="232" w:hRule="atLeast"/>
        </w:trPr>
        <w:tc>
          <w:tcPr>
            <w:tcW w:w="6655" w:type="dxa"/>
            <w:shd w:val="clear" w:color="auto" w:fill="CCEDFF"/>
          </w:tcPr>
          <w:p>
            <w:pPr>
              <w:pStyle w:val="TableParagraph"/>
              <w:spacing w:line="207" w:lineRule="exact" w:before="6"/>
              <w:ind w:left="17"/>
              <w:rPr>
                <w:sz w:val="18"/>
              </w:rPr>
            </w:pPr>
            <w:r>
              <w:rPr>
                <w:sz w:val="18"/>
              </w:rPr>
              <w:t>Las</w:t>
            </w:r>
            <w:r>
              <w:rPr>
                <w:spacing w:val="-10"/>
                <w:sz w:val="18"/>
              </w:rPr>
              <w:t> </w:t>
            </w:r>
            <w:r>
              <w:rPr>
                <w:sz w:val="18"/>
              </w:rPr>
              <w:t>Vegas</w:t>
            </w:r>
            <w:r>
              <w:rPr>
                <w:spacing w:val="-4"/>
                <w:sz w:val="18"/>
              </w:rPr>
              <w:t> </w:t>
            </w:r>
            <w:r>
              <w:rPr>
                <w:sz w:val="18"/>
              </w:rPr>
              <w:t>Strip</w:t>
            </w:r>
            <w:r>
              <w:rPr>
                <w:spacing w:val="-4"/>
                <w:sz w:val="18"/>
              </w:rPr>
              <w:t> </w:t>
            </w:r>
            <w:r>
              <w:rPr>
                <w:sz w:val="18"/>
              </w:rPr>
              <w:t>Resorts</w:t>
            </w:r>
            <w:r>
              <w:rPr>
                <w:spacing w:val="-4"/>
                <w:sz w:val="18"/>
              </w:rPr>
              <w:t> </w:t>
            </w:r>
            <w:r>
              <w:rPr>
                <w:sz w:val="18"/>
              </w:rPr>
              <w:t>Same-Store</w:t>
            </w:r>
            <w:r>
              <w:rPr>
                <w:spacing w:val="-12"/>
                <w:sz w:val="18"/>
              </w:rPr>
              <w:t> </w:t>
            </w:r>
            <w:r>
              <w:rPr>
                <w:sz w:val="18"/>
              </w:rPr>
              <w:t>Adjusted</w:t>
            </w:r>
            <w:r>
              <w:rPr>
                <w:spacing w:val="-4"/>
                <w:sz w:val="18"/>
              </w:rPr>
              <w:t> </w:t>
            </w:r>
            <w:r>
              <w:rPr>
                <w:sz w:val="18"/>
              </w:rPr>
              <w:t>Property</w:t>
            </w:r>
            <w:r>
              <w:rPr>
                <w:spacing w:val="-3"/>
                <w:sz w:val="18"/>
              </w:rPr>
              <w:t> </w:t>
            </w:r>
            <w:r>
              <w:rPr>
                <w:spacing w:val="-2"/>
                <w:sz w:val="18"/>
              </w:rPr>
              <w:t>EBITDAR</w:t>
            </w:r>
          </w:p>
        </w:tc>
        <w:tc>
          <w:tcPr>
            <w:tcW w:w="94" w:type="dxa"/>
            <w:shd w:val="clear" w:color="auto" w:fill="CCEDFF"/>
          </w:tcPr>
          <w:p>
            <w:pPr>
              <w:pStyle w:val="TableParagraph"/>
              <w:spacing w:before="0"/>
              <w:rPr>
                <w:sz w:val="16"/>
              </w:rPr>
            </w:pPr>
          </w:p>
        </w:tc>
        <w:tc>
          <w:tcPr>
            <w:tcW w:w="1525" w:type="dxa"/>
            <w:tcBorders>
              <w:top w:val="single" w:sz="12" w:space="0" w:color="000000"/>
              <w:bottom w:val="double" w:sz="6" w:space="0" w:color="000000"/>
            </w:tcBorders>
            <w:shd w:val="clear" w:color="auto" w:fill="CCEDFF"/>
          </w:tcPr>
          <w:p>
            <w:pPr>
              <w:pStyle w:val="TableParagraph"/>
              <w:tabs>
                <w:tab w:pos="710" w:val="left" w:leader="none"/>
              </w:tabs>
              <w:spacing w:line="207" w:lineRule="exact" w:before="6"/>
              <w:ind w:right="70"/>
              <w:jc w:val="right"/>
              <w:rPr>
                <w:sz w:val="18"/>
              </w:rPr>
            </w:pPr>
            <w:r>
              <w:rPr>
                <w:spacing w:val="-10"/>
                <w:sz w:val="18"/>
              </w:rPr>
              <w:t>$</w:t>
            </w:r>
            <w:r>
              <w:rPr>
                <w:sz w:val="18"/>
              </w:rPr>
              <w:tab/>
            </w:r>
            <w:r>
              <w:rPr>
                <w:spacing w:val="-2"/>
                <w:sz w:val="18"/>
              </w:rPr>
              <w:t>2,074,200</w:t>
            </w:r>
          </w:p>
        </w:tc>
        <w:tc>
          <w:tcPr>
            <w:tcW w:w="94" w:type="dxa"/>
            <w:shd w:val="clear" w:color="auto" w:fill="CCEDFF"/>
          </w:tcPr>
          <w:p>
            <w:pPr>
              <w:pStyle w:val="TableParagraph"/>
              <w:spacing w:before="0"/>
              <w:rPr>
                <w:sz w:val="16"/>
              </w:rPr>
            </w:pPr>
          </w:p>
        </w:tc>
        <w:tc>
          <w:tcPr>
            <w:tcW w:w="1569" w:type="dxa"/>
            <w:tcBorders>
              <w:top w:val="single" w:sz="12" w:space="0" w:color="000000"/>
              <w:bottom w:val="double" w:sz="6" w:space="0" w:color="000000"/>
            </w:tcBorders>
            <w:shd w:val="clear" w:color="auto" w:fill="CCEDFF"/>
          </w:tcPr>
          <w:p>
            <w:pPr>
              <w:pStyle w:val="TableParagraph"/>
              <w:tabs>
                <w:tab w:pos="710" w:val="left" w:leader="none"/>
              </w:tabs>
              <w:spacing w:line="207" w:lineRule="exact" w:before="6"/>
              <w:ind w:right="113"/>
              <w:jc w:val="right"/>
              <w:rPr>
                <w:sz w:val="18"/>
              </w:rPr>
            </w:pPr>
            <w:r>
              <w:rPr>
                <w:spacing w:val="-10"/>
                <w:sz w:val="18"/>
              </w:rPr>
              <w:t>$</w:t>
            </w:r>
            <w:r>
              <w:rPr>
                <w:sz w:val="18"/>
              </w:rPr>
              <w:tab/>
            </w:r>
            <w:r>
              <w:rPr>
                <w:spacing w:val="-2"/>
                <w:sz w:val="18"/>
              </w:rPr>
              <w:t>1,456,154</w:t>
            </w:r>
          </w:p>
        </w:tc>
        <w:tc>
          <w:tcPr>
            <w:tcW w:w="1576" w:type="dxa"/>
            <w:tcBorders>
              <w:top w:val="single" w:sz="12" w:space="0" w:color="000000"/>
              <w:bottom w:val="double" w:sz="6" w:space="0" w:color="000000"/>
            </w:tcBorders>
            <w:shd w:val="clear" w:color="auto" w:fill="CCEDFF"/>
          </w:tcPr>
          <w:p>
            <w:pPr>
              <w:pStyle w:val="TableParagraph"/>
              <w:tabs>
                <w:tab w:pos="845" w:val="left" w:leader="none"/>
              </w:tabs>
              <w:spacing w:line="207" w:lineRule="exact" w:before="6"/>
              <w:ind w:right="68"/>
              <w:jc w:val="right"/>
              <w:rPr>
                <w:sz w:val="18"/>
              </w:rPr>
            </w:pPr>
            <w:r>
              <w:rPr>
                <w:spacing w:val="-10"/>
                <w:sz w:val="18"/>
              </w:rPr>
              <w:t>$</w:t>
            </w:r>
            <w:r>
              <w:rPr>
                <w:sz w:val="18"/>
              </w:rPr>
              <w:tab/>
            </w:r>
            <w:r>
              <w:rPr>
                <w:spacing w:val="-2"/>
                <w:sz w:val="18"/>
              </w:rPr>
              <w:t>250,542</w:t>
            </w:r>
          </w:p>
        </w:tc>
      </w:tr>
    </w:tbl>
    <w:p>
      <w:pPr>
        <w:pStyle w:val="ListParagraph"/>
        <w:numPr>
          <w:ilvl w:val="0"/>
          <w:numId w:val="8"/>
        </w:numPr>
        <w:tabs>
          <w:tab w:pos="792" w:val="left" w:leader="none"/>
        </w:tabs>
        <w:spacing w:line="240" w:lineRule="auto" w:before="97" w:after="0"/>
        <w:ind w:left="792" w:right="0" w:hanging="486"/>
        <w:jc w:val="left"/>
        <w:rPr>
          <w:sz w:val="13"/>
        </w:rPr>
      </w:pPr>
      <w:r>
        <w:rPr>
          <w:sz w:val="13"/>
        </w:rPr>
        <w:t>Excludes</w:t>
      </w:r>
      <w:r>
        <w:rPr>
          <w:spacing w:val="11"/>
          <w:sz w:val="13"/>
        </w:rPr>
        <w:t> </w:t>
      </w:r>
      <w:r>
        <w:rPr>
          <w:sz w:val="13"/>
        </w:rPr>
        <w:t>the</w:t>
      </w:r>
      <w:r>
        <w:rPr>
          <w:spacing w:val="12"/>
          <w:sz w:val="13"/>
        </w:rPr>
        <w:t> </w:t>
      </w:r>
      <w:r>
        <w:rPr>
          <w:sz w:val="13"/>
        </w:rPr>
        <w:t>net</w:t>
      </w:r>
      <w:r>
        <w:rPr>
          <w:spacing w:val="12"/>
          <w:sz w:val="13"/>
        </w:rPr>
        <w:t> </w:t>
      </w:r>
      <w:r>
        <w:rPr>
          <w:sz w:val="13"/>
        </w:rPr>
        <w:t>revenues</w:t>
      </w:r>
      <w:r>
        <w:rPr>
          <w:spacing w:val="12"/>
          <w:sz w:val="13"/>
        </w:rPr>
        <w:t> </w:t>
      </w:r>
      <w:r>
        <w:rPr>
          <w:sz w:val="13"/>
        </w:rPr>
        <w:t>and</w:t>
      </w:r>
      <w:r>
        <w:rPr>
          <w:spacing w:val="1"/>
          <w:sz w:val="13"/>
        </w:rPr>
        <w:t> </w:t>
      </w:r>
      <w:r>
        <w:rPr>
          <w:sz w:val="13"/>
        </w:rPr>
        <w:t>Adjusted</w:t>
      </w:r>
      <w:r>
        <w:rPr>
          <w:spacing w:val="12"/>
          <w:sz w:val="13"/>
        </w:rPr>
        <w:t> </w:t>
      </w:r>
      <w:r>
        <w:rPr>
          <w:sz w:val="13"/>
        </w:rPr>
        <w:t>Property</w:t>
      </w:r>
      <w:r>
        <w:rPr>
          <w:spacing w:val="12"/>
          <w:sz w:val="13"/>
        </w:rPr>
        <w:t> </w:t>
      </w:r>
      <w:r>
        <w:rPr>
          <w:sz w:val="13"/>
        </w:rPr>
        <w:t>EBITDAR</w:t>
      </w:r>
      <w:r>
        <w:rPr>
          <w:spacing w:val="12"/>
          <w:sz w:val="13"/>
        </w:rPr>
        <w:t> </w:t>
      </w:r>
      <w:r>
        <w:rPr>
          <w:sz w:val="13"/>
        </w:rPr>
        <w:t>of</w:t>
      </w:r>
      <w:r>
        <w:rPr>
          <w:spacing w:val="8"/>
          <w:sz w:val="13"/>
        </w:rPr>
        <w:t> </w:t>
      </w:r>
      <w:r>
        <w:rPr>
          <w:sz w:val="13"/>
        </w:rPr>
        <w:t>The</w:t>
      </w:r>
      <w:r>
        <w:rPr>
          <w:spacing w:val="12"/>
          <w:sz w:val="13"/>
        </w:rPr>
        <w:t> </w:t>
      </w:r>
      <w:r>
        <w:rPr>
          <w:sz w:val="13"/>
        </w:rPr>
        <w:t>Cosmopolitan</w:t>
      </w:r>
      <w:r>
        <w:rPr>
          <w:spacing w:val="12"/>
          <w:sz w:val="13"/>
        </w:rPr>
        <w:t> </w:t>
      </w:r>
      <w:r>
        <w:rPr>
          <w:sz w:val="13"/>
        </w:rPr>
        <w:t>and</w:t>
      </w:r>
      <w:r>
        <w:rPr>
          <w:spacing w:val="1"/>
          <w:sz w:val="13"/>
        </w:rPr>
        <w:t> </w:t>
      </w:r>
      <w:r>
        <w:rPr>
          <w:spacing w:val="-4"/>
          <w:sz w:val="13"/>
        </w:rPr>
        <w:t>Aria</w:t>
      </w:r>
    </w:p>
    <w:p>
      <w:pPr>
        <w:pStyle w:val="ListParagraph"/>
        <w:numPr>
          <w:ilvl w:val="0"/>
          <w:numId w:val="8"/>
        </w:numPr>
        <w:tabs>
          <w:tab w:pos="792" w:val="left" w:leader="none"/>
        </w:tabs>
        <w:spacing w:line="240" w:lineRule="auto" w:before="13" w:after="0"/>
        <w:ind w:left="792" w:right="0" w:hanging="486"/>
        <w:jc w:val="left"/>
        <w:rPr>
          <w:sz w:val="13"/>
        </w:rPr>
      </w:pPr>
      <w:r>
        <w:rPr>
          <w:w w:val="105"/>
          <w:sz w:val="13"/>
        </w:rPr>
        <w:t>Excludes</w:t>
      </w:r>
      <w:r>
        <w:rPr>
          <w:spacing w:val="-9"/>
          <w:w w:val="105"/>
          <w:sz w:val="13"/>
        </w:rPr>
        <w:t> </w:t>
      </w:r>
      <w:r>
        <w:rPr>
          <w:w w:val="105"/>
          <w:sz w:val="13"/>
        </w:rPr>
        <w:t>the</w:t>
      </w:r>
      <w:r>
        <w:rPr>
          <w:spacing w:val="-9"/>
          <w:w w:val="105"/>
          <w:sz w:val="13"/>
        </w:rPr>
        <w:t> </w:t>
      </w:r>
      <w:r>
        <w:rPr>
          <w:w w:val="105"/>
          <w:sz w:val="13"/>
        </w:rPr>
        <w:t>net</w:t>
      </w:r>
      <w:r>
        <w:rPr>
          <w:spacing w:val="-8"/>
          <w:w w:val="105"/>
          <w:sz w:val="13"/>
        </w:rPr>
        <w:t> </w:t>
      </w:r>
      <w:r>
        <w:rPr>
          <w:w w:val="105"/>
          <w:sz w:val="13"/>
        </w:rPr>
        <w:t>revenues</w:t>
      </w:r>
      <w:r>
        <w:rPr>
          <w:spacing w:val="-9"/>
          <w:w w:val="105"/>
          <w:sz w:val="13"/>
        </w:rPr>
        <w:t> </w:t>
      </w:r>
      <w:r>
        <w:rPr>
          <w:w w:val="105"/>
          <w:sz w:val="13"/>
        </w:rPr>
        <w:t>and</w:t>
      </w:r>
      <w:r>
        <w:rPr>
          <w:spacing w:val="-8"/>
          <w:w w:val="105"/>
          <w:sz w:val="13"/>
        </w:rPr>
        <w:t> </w:t>
      </w:r>
      <w:r>
        <w:rPr>
          <w:w w:val="105"/>
          <w:sz w:val="13"/>
        </w:rPr>
        <w:t>Adjusted</w:t>
      </w:r>
      <w:r>
        <w:rPr>
          <w:spacing w:val="-9"/>
          <w:w w:val="105"/>
          <w:sz w:val="13"/>
        </w:rPr>
        <w:t> </w:t>
      </w:r>
      <w:r>
        <w:rPr>
          <w:w w:val="105"/>
          <w:sz w:val="13"/>
        </w:rPr>
        <w:t>Property</w:t>
      </w:r>
      <w:r>
        <w:rPr>
          <w:spacing w:val="-7"/>
          <w:w w:val="105"/>
          <w:sz w:val="13"/>
        </w:rPr>
        <w:t> </w:t>
      </w:r>
      <w:r>
        <w:rPr>
          <w:w w:val="105"/>
          <w:sz w:val="13"/>
        </w:rPr>
        <w:t>EBITDAR</w:t>
      </w:r>
      <w:r>
        <w:rPr>
          <w:spacing w:val="-8"/>
          <w:w w:val="105"/>
          <w:sz w:val="13"/>
        </w:rPr>
        <w:t> </w:t>
      </w:r>
      <w:r>
        <w:rPr>
          <w:w w:val="105"/>
          <w:sz w:val="13"/>
        </w:rPr>
        <w:t>of</w:t>
      </w:r>
      <w:r>
        <w:rPr>
          <w:spacing w:val="-8"/>
          <w:w w:val="105"/>
          <w:sz w:val="13"/>
        </w:rPr>
        <w:t> </w:t>
      </w:r>
      <w:r>
        <w:rPr>
          <w:w w:val="105"/>
          <w:sz w:val="13"/>
        </w:rPr>
        <w:t>The</w:t>
      </w:r>
      <w:r>
        <w:rPr>
          <w:spacing w:val="-7"/>
          <w:w w:val="105"/>
          <w:sz w:val="13"/>
        </w:rPr>
        <w:t> </w:t>
      </w:r>
      <w:r>
        <w:rPr>
          <w:spacing w:val="-2"/>
          <w:w w:val="105"/>
          <w:sz w:val="13"/>
        </w:rPr>
        <w:t>Mirage</w:t>
      </w:r>
    </w:p>
    <w:p>
      <w:pPr>
        <w:pStyle w:val="BodyText"/>
      </w:pPr>
    </w:p>
    <w:p>
      <w:pPr>
        <w:pStyle w:val="BodyText"/>
      </w:pPr>
    </w:p>
    <w:p>
      <w:pPr>
        <w:pStyle w:val="BodyText"/>
        <w:spacing w:before="195"/>
      </w:pPr>
    </w:p>
    <w:p>
      <w:pPr>
        <w:pStyle w:val="BodyText"/>
        <w:ind w:left="24"/>
        <w:jc w:val="center"/>
      </w:pPr>
      <w:r>
        <w:rPr>
          <w:spacing w:val="-5"/>
        </w:rPr>
        <w:t>39</w:t>
      </w:r>
    </w:p>
    <w:p>
      <w:pPr>
        <w:pStyle w:val="BodyText"/>
        <w:spacing w:before="3"/>
        <w:rPr>
          <w:sz w:val="6"/>
        </w:rPr>
      </w:pPr>
      <w:r>
        <w:rPr/>
        <mc:AlternateContent>
          <mc:Choice Requires="wps">
            <w:drawing>
              <wp:anchor distT="0" distB="0" distL="0" distR="0" allowOverlap="1" layoutInCell="1" locked="0" behindDoc="1" simplePos="0" relativeHeight="487624704">
                <wp:simplePos x="0" y="0"/>
                <wp:positionH relativeFrom="page">
                  <wp:posOffset>231457</wp:posOffset>
                </wp:positionH>
                <wp:positionV relativeFrom="paragraph">
                  <wp:posOffset>60956</wp:posOffset>
                </wp:positionV>
                <wp:extent cx="7312659" cy="17145"/>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7312659" cy="17145"/>
                          <a:chExt cx="7312659" cy="17145"/>
                        </a:xfrm>
                      </wpg:grpSpPr>
                      <wps:wsp>
                        <wps:cNvPr id="212" name="Graphic 21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13" name="Graphic 213"/>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14" name="Graphic 21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91776;mso-wrap-distance-left:0;mso-wrap-distance-right:0" id="docshapegroup209" coordorigin="364,96" coordsize="11516,27">
                <v:rect style="position:absolute;left:364;top:96;width:11516;height:14" id="docshape210" filled="true" fillcolor="#999999" stroked="false">
                  <v:fill type="solid"/>
                </v:rect>
                <v:shape style="position:absolute;left:364;top:96;width:11516;height:27" id="docshape211" coordorigin="364,96" coordsize="11516,27" path="m11880,96l11866,109,364,109,364,123,11866,123,11880,123,11880,109,11880,96xe" filled="true" fillcolor="#ededed" stroked="false">
                  <v:path arrowok="t"/>
                  <v:fill type="solid"/>
                </v:shape>
                <v:shape style="position:absolute;left:364;top:96;width:14;height:27" id="docshape212"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spacing w:before="63"/>
        <w:ind w:left="394" w:right="0" w:firstLine="0"/>
        <w:jc w:val="left"/>
        <w:rPr>
          <w:i/>
          <w:sz w:val="18"/>
        </w:rPr>
      </w:pPr>
      <w:r>
        <w:rPr>
          <w:i/>
          <w:sz w:val="18"/>
        </w:rPr>
        <w:t>Operating</w:t>
      </w:r>
      <w:r>
        <w:rPr>
          <w:i/>
          <w:spacing w:val="-3"/>
          <w:sz w:val="18"/>
        </w:rPr>
        <w:t> </w:t>
      </w:r>
      <w:r>
        <w:rPr>
          <w:i/>
          <w:sz w:val="18"/>
        </w:rPr>
        <w:t>Results</w:t>
      </w:r>
      <w:r>
        <w:rPr>
          <w:i/>
          <w:spacing w:val="-1"/>
          <w:sz w:val="18"/>
        </w:rPr>
        <w:t> </w:t>
      </w:r>
      <w:r>
        <w:rPr>
          <w:i/>
          <w:sz w:val="18"/>
        </w:rPr>
        <w:t>–</w:t>
      </w:r>
      <w:r>
        <w:rPr>
          <w:i/>
          <w:spacing w:val="-1"/>
          <w:sz w:val="18"/>
        </w:rPr>
        <w:t> </w:t>
      </w:r>
      <w:r>
        <w:rPr>
          <w:i/>
          <w:sz w:val="18"/>
        </w:rPr>
        <w:t>Details</w:t>
      </w:r>
      <w:r>
        <w:rPr>
          <w:i/>
          <w:spacing w:val="-1"/>
          <w:sz w:val="18"/>
        </w:rPr>
        <w:t> </w:t>
      </w:r>
      <w:r>
        <w:rPr>
          <w:i/>
          <w:sz w:val="18"/>
        </w:rPr>
        <w:t>of</w:t>
      </w:r>
      <w:r>
        <w:rPr>
          <w:i/>
          <w:spacing w:val="-1"/>
          <w:sz w:val="18"/>
        </w:rPr>
        <w:t> </w:t>
      </w:r>
      <w:r>
        <w:rPr>
          <w:i/>
          <w:sz w:val="18"/>
        </w:rPr>
        <w:t>Certain</w:t>
      </w:r>
      <w:r>
        <w:rPr>
          <w:i/>
          <w:spacing w:val="-1"/>
          <w:sz w:val="18"/>
        </w:rPr>
        <w:t> </w:t>
      </w:r>
      <w:r>
        <w:rPr>
          <w:i/>
          <w:spacing w:val="-2"/>
          <w:sz w:val="18"/>
        </w:rPr>
        <w:t>Charges</w:t>
      </w:r>
    </w:p>
    <w:p>
      <w:pPr>
        <w:pStyle w:val="BodyText"/>
        <w:spacing w:before="4"/>
        <w:rPr>
          <w:i/>
        </w:rPr>
      </w:pPr>
    </w:p>
    <w:p>
      <w:pPr>
        <w:pStyle w:val="BodyText"/>
        <w:ind w:right="6685"/>
        <w:jc w:val="center"/>
      </w:pPr>
      <w:r>
        <w:rPr/>
        <w:t>Property</w:t>
      </w:r>
      <w:r>
        <w:rPr>
          <w:spacing w:val="-1"/>
        </w:rPr>
        <w:t> </w:t>
      </w:r>
      <w:r>
        <w:rPr/>
        <w:t>transactions,</w:t>
      </w:r>
      <w:r>
        <w:rPr>
          <w:spacing w:val="-1"/>
        </w:rPr>
        <w:t> </w:t>
      </w:r>
      <w:r>
        <w:rPr/>
        <w:t>net</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Heading5"/>
        <w:spacing w:before="63"/>
        <w:ind w:left="6746"/>
      </w:pPr>
      <w:r>
        <w:rPr/>
        <mc:AlternateContent>
          <mc:Choice Requires="wps">
            <w:drawing>
              <wp:anchor distT="0" distB="0" distL="0" distR="0" allowOverlap="1" layoutInCell="1" locked="0" behindDoc="1" simplePos="0" relativeHeight="487625728">
                <wp:simplePos x="0" y="0"/>
                <wp:positionH relativeFrom="page">
                  <wp:posOffset>4500550</wp:posOffset>
                </wp:positionH>
                <wp:positionV relativeFrom="paragraph">
                  <wp:posOffset>189910</wp:posOffset>
                </wp:positionV>
                <wp:extent cx="3043555" cy="889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4.953605pt;width:239.625011pt;height:.675pt;mso-position-horizontal-relative:page;mso-position-vertical-relative:paragraph;z-index:-15690752;mso-wrap-distance-left:0;mso-wrap-distance-right:0" id="docshape213"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86" w:val="left" w:leader="none"/>
          <w:tab w:pos="10021" w:val="left" w:leader="none"/>
        </w:tabs>
        <w:spacing w:before="21" w:after="29"/>
        <w:ind w:left="6749"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216" name="Group 216"/>
                <wp:cNvGraphicFramePr>
                  <a:graphicFrameLocks/>
                </wp:cNvGraphicFramePr>
                <a:graphic>
                  <a:graphicData uri="http://schemas.microsoft.com/office/word/2010/wordprocessingGroup">
                    <wpg:wgp>
                      <wpg:cNvPr id="216" name="Group 216"/>
                      <wpg:cNvGrpSpPr/>
                      <wpg:grpSpPr>
                        <a:xfrm>
                          <a:off x="0" y="0"/>
                          <a:ext cx="3043555" cy="8890"/>
                          <a:chExt cx="3043555" cy="8890"/>
                        </a:xfrm>
                      </wpg:grpSpPr>
                      <wps:wsp>
                        <wps:cNvPr id="217" name="Graphic 217"/>
                        <wps:cNvSpPr/>
                        <wps:spPr>
                          <a:xfrm>
                            <a:off x="-12" y="-1"/>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214" coordorigin="0,0" coordsize="4793,14">
                <v:rect style="position:absolute;left:-1;top:0;width:4793;height:14" id="docshape215" filled="true" fillcolor="#000000" stroked="false">
                  <v:fill type="solid"/>
                </v:rect>
              </v:group>
            </w:pict>
          </mc:Fallback>
        </mc:AlternateContent>
      </w:r>
      <w:r>
        <w:rPr>
          <w:sz w:val="2"/>
        </w:rPr>
      </w:r>
    </w:p>
    <w:p>
      <w:pPr>
        <w:spacing w:before="11" w:after="38"/>
        <w:ind w:left="6746"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7"/>
        <w:gridCol w:w="3303"/>
        <w:gridCol w:w="1636"/>
        <w:gridCol w:w="1582"/>
      </w:tblGrid>
      <w:tr>
        <w:trPr>
          <w:trHeight w:val="256" w:hRule="atLeast"/>
        </w:trPr>
        <w:tc>
          <w:tcPr>
            <w:tcW w:w="4997" w:type="dxa"/>
            <w:shd w:val="clear" w:color="auto" w:fill="CCEDFF"/>
          </w:tcPr>
          <w:p>
            <w:pPr>
              <w:pStyle w:val="TableParagraph"/>
              <w:ind w:left="17"/>
              <w:rPr>
                <w:sz w:val="18"/>
              </w:rPr>
            </w:pPr>
            <w:r>
              <w:rPr>
                <w:sz w:val="18"/>
              </w:rPr>
              <w:t>Gain</w:t>
            </w:r>
            <w:r>
              <w:rPr>
                <w:spacing w:val="-1"/>
                <w:sz w:val="18"/>
              </w:rPr>
              <w:t> </w:t>
            </w:r>
            <w:r>
              <w:rPr>
                <w:sz w:val="18"/>
              </w:rPr>
              <w:t>on</w:t>
            </w:r>
            <w:r>
              <w:rPr>
                <w:spacing w:val="-1"/>
                <w:sz w:val="18"/>
              </w:rPr>
              <w:t> </w:t>
            </w:r>
            <w:r>
              <w:rPr>
                <w:sz w:val="18"/>
              </w:rPr>
              <w:t>sale</w:t>
            </w:r>
            <w:r>
              <w:rPr>
                <w:spacing w:val="-1"/>
                <w:sz w:val="18"/>
              </w:rPr>
              <w:t> </w:t>
            </w:r>
            <w:r>
              <w:rPr>
                <w:sz w:val="18"/>
              </w:rPr>
              <w:t>of</w:t>
            </w:r>
            <w:r>
              <w:rPr>
                <w:spacing w:val="-1"/>
                <w:sz w:val="18"/>
              </w:rPr>
              <w:t> </w:t>
            </w:r>
            <w:r>
              <w:rPr>
                <w:sz w:val="18"/>
              </w:rPr>
              <w:t>the</w:t>
            </w:r>
            <w:r>
              <w:rPr>
                <w:spacing w:val="-1"/>
                <w:sz w:val="18"/>
              </w:rPr>
              <w:t> </w:t>
            </w:r>
            <w:r>
              <w:rPr>
                <w:sz w:val="18"/>
              </w:rPr>
              <w:t>operations</w:t>
            </w:r>
            <w:r>
              <w:rPr>
                <w:spacing w:val="-1"/>
                <w:sz w:val="18"/>
              </w:rPr>
              <w:t> </w:t>
            </w:r>
            <w:r>
              <w:rPr>
                <w:sz w:val="18"/>
              </w:rPr>
              <w:t>of</w:t>
            </w:r>
            <w:r>
              <w:rPr>
                <w:spacing w:val="-4"/>
                <w:sz w:val="18"/>
              </w:rPr>
              <w:t> </w:t>
            </w:r>
            <w:r>
              <w:rPr>
                <w:sz w:val="18"/>
              </w:rPr>
              <w:t>The</w:t>
            </w:r>
            <w:r>
              <w:rPr>
                <w:spacing w:val="-1"/>
                <w:sz w:val="18"/>
              </w:rPr>
              <w:t> </w:t>
            </w:r>
            <w:r>
              <w:rPr>
                <w:spacing w:val="-2"/>
                <w:sz w:val="18"/>
              </w:rPr>
              <w:t>Mirage</w:t>
            </w:r>
          </w:p>
        </w:tc>
        <w:tc>
          <w:tcPr>
            <w:tcW w:w="3303" w:type="dxa"/>
            <w:shd w:val="clear" w:color="auto" w:fill="CCEDFF"/>
          </w:tcPr>
          <w:p>
            <w:pPr>
              <w:pStyle w:val="TableParagraph"/>
              <w:tabs>
                <w:tab w:pos="637" w:val="left" w:leader="none"/>
              </w:tabs>
              <w:ind w:right="80"/>
              <w:jc w:val="right"/>
              <w:rPr>
                <w:sz w:val="18"/>
              </w:rPr>
            </w:pPr>
            <w:r>
              <w:rPr>
                <w:spacing w:val="-10"/>
                <w:sz w:val="18"/>
              </w:rPr>
              <w:t>$</w:t>
            </w:r>
            <w:r>
              <w:rPr>
                <w:sz w:val="18"/>
              </w:rPr>
              <w:tab/>
            </w:r>
            <w:r>
              <w:rPr>
                <w:spacing w:val="-2"/>
                <w:sz w:val="18"/>
              </w:rPr>
              <w:t>(1,066,784)</w:t>
            </w:r>
          </w:p>
        </w:tc>
        <w:tc>
          <w:tcPr>
            <w:tcW w:w="1636" w:type="dxa"/>
            <w:shd w:val="clear" w:color="auto" w:fill="CCEDFF"/>
          </w:tcPr>
          <w:p>
            <w:pPr>
              <w:pStyle w:val="TableParagraph"/>
              <w:tabs>
                <w:tab w:pos="1247" w:val="left" w:leader="none"/>
              </w:tabs>
              <w:ind w:right="126"/>
              <w:jc w:val="right"/>
              <w:rPr>
                <w:sz w:val="18"/>
              </w:rPr>
            </w:pPr>
            <w:r>
              <w:rPr>
                <w:spacing w:val="-10"/>
                <w:sz w:val="18"/>
              </w:rPr>
              <w:t>$</w:t>
            </w:r>
            <w:r>
              <w:rPr>
                <w:sz w:val="18"/>
              </w:rPr>
              <w:tab/>
            </w:r>
            <w:r>
              <w:rPr>
                <w:spacing w:val="-10"/>
                <w:sz w:val="18"/>
              </w:rPr>
              <w:t>—</w:t>
            </w:r>
          </w:p>
        </w:tc>
        <w:tc>
          <w:tcPr>
            <w:tcW w:w="1582" w:type="dxa"/>
            <w:shd w:val="clear" w:color="auto" w:fill="CCEDFF"/>
          </w:tcPr>
          <w:p>
            <w:pPr>
              <w:pStyle w:val="TableParagraph"/>
              <w:tabs>
                <w:tab w:pos="1246" w:val="left" w:leader="none"/>
              </w:tabs>
              <w:ind w:right="73"/>
              <w:jc w:val="right"/>
              <w:rPr>
                <w:sz w:val="18"/>
              </w:rPr>
            </w:pPr>
            <w:r>
              <w:rPr>
                <w:spacing w:val="-10"/>
                <w:sz w:val="18"/>
              </w:rPr>
              <w:t>$</w:t>
            </w:r>
            <w:r>
              <w:rPr>
                <w:sz w:val="18"/>
              </w:rPr>
              <w:tab/>
            </w:r>
            <w:r>
              <w:rPr>
                <w:spacing w:val="-10"/>
                <w:sz w:val="18"/>
              </w:rPr>
              <w:t>—</w:t>
            </w:r>
          </w:p>
        </w:tc>
      </w:tr>
      <w:tr>
        <w:trPr>
          <w:trHeight w:val="269" w:hRule="atLeast"/>
        </w:trPr>
        <w:tc>
          <w:tcPr>
            <w:tcW w:w="4997" w:type="dxa"/>
          </w:tcPr>
          <w:p>
            <w:pPr>
              <w:pStyle w:val="TableParagraph"/>
              <w:spacing w:before="34"/>
              <w:ind w:left="17"/>
              <w:rPr>
                <w:sz w:val="18"/>
              </w:rPr>
            </w:pPr>
            <w:r>
              <w:rPr>
                <w:sz w:val="18"/>
              </w:rPr>
              <w:t>Other</w:t>
            </w:r>
            <w:r>
              <w:rPr>
                <w:spacing w:val="-1"/>
                <w:sz w:val="18"/>
              </w:rPr>
              <w:t> </w:t>
            </w:r>
            <w:r>
              <w:rPr>
                <w:sz w:val="18"/>
              </w:rPr>
              <w:t>property</w:t>
            </w:r>
            <w:r>
              <w:rPr>
                <w:spacing w:val="-1"/>
                <w:sz w:val="18"/>
              </w:rPr>
              <w:t> </w:t>
            </w:r>
            <w:r>
              <w:rPr>
                <w:sz w:val="18"/>
              </w:rPr>
              <w:t>transactions,</w:t>
            </w:r>
            <w:r>
              <w:rPr>
                <w:spacing w:val="-1"/>
                <w:sz w:val="18"/>
              </w:rPr>
              <w:t> </w:t>
            </w:r>
            <w:r>
              <w:rPr>
                <w:spacing w:val="-5"/>
                <w:sz w:val="18"/>
              </w:rPr>
              <w:t>net</w:t>
            </w:r>
          </w:p>
        </w:tc>
        <w:tc>
          <w:tcPr>
            <w:tcW w:w="3303" w:type="dxa"/>
            <w:tcBorders>
              <w:bottom w:val="single" w:sz="6" w:space="0" w:color="000000"/>
            </w:tcBorders>
          </w:tcPr>
          <w:p>
            <w:pPr>
              <w:pStyle w:val="TableParagraph"/>
              <w:ind w:right="125"/>
              <w:jc w:val="right"/>
              <w:rPr>
                <w:sz w:val="18"/>
              </w:rPr>
            </w:pPr>
            <w:r>
              <w:rPr>
                <w:spacing w:val="-2"/>
                <w:sz w:val="18"/>
              </w:rPr>
              <w:t>29,787</w:t>
            </w:r>
          </w:p>
        </w:tc>
        <w:tc>
          <w:tcPr>
            <w:tcW w:w="1636" w:type="dxa"/>
            <w:tcBorders>
              <w:bottom w:val="single" w:sz="6" w:space="0" w:color="000000"/>
            </w:tcBorders>
          </w:tcPr>
          <w:p>
            <w:pPr>
              <w:pStyle w:val="TableParagraph"/>
              <w:ind w:right="81"/>
              <w:jc w:val="right"/>
              <w:rPr>
                <w:sz w:val="18"/>
              </w:rPr>
            </w:pPr>
            <w:r>
              <w:rPr>
                <w:spacing w:val="-2"/>
                <w:sz w:val="18"/>
              </w:rPr>
              <w:t>(67,736)</w:t>
            </w:r>
          </w:p>
        </w:tc>
        <w:tc>
          <w:tcPr>
            <w:tcW w:w="1582" w:type="dxa"/>
            <w:tcBorders>
              <w:bottom w:val="single" w:sz="6" w:space="0" w:color="000000"/>
            </w:tcBorders>
          </w:tcPr>
          <w:p>
            <w:pPr>
              <w:pStyle w:val="TableParagraph"/>
              <w:ind w:right="73"/>
              <w:jc w:val="right"/>
              <w:rPr>
                <w:sz w:val="18"/>
              </w:rPr>
            </w:pPr>
            <w:r>
              <w:rPr>
                <w:spacing w:val="-2"/>
                <w:sz w:val="18"/>
              </w:rPr>
              <w:t>93,567</w:t>
            </w:r>
          </w:p>
        </w:tc>
      </w:tr>
      <w:tr>
        <w:trPr>
          <w:trHeight w:val="260" w:hRule="atLeast"/>
        </w:trPr>
        <w:tc>
          <w:tcPr>
            <w:tcW w:w="4997" w:type="dxa"/>
            <w:shd w:val="clear" w:color="auto" w:fill="CCEDFF"/>
          </w:tcPr>
          <w:p>
            <w:pPr>
              <w:pStyle w:val="TableParagraph"/>
              <w:spacing w:before="0"/>
              <w:rPr>
                <w:sz w:val="16"/>
              </w:rPr>
            </w:pPr>
          </w:p>
        </w:tc>
        <w:tc>
          <w:tcPr>
            <w:tcW w:w="3303" w:type="dxa"/>
            <w:tcBorders>
              <w:top w:val="single" w:sz="6" w:space="0" w:color="000000"/>
            </w:tcBorders>
            <w:shd w:val="clear" w:color="auto" w:fill="CCEDFF"/>
          </w:tcPr>
          <w:p>
            <w:pPr>
              <w:pStyle w:val="TableParagraph"/>
              <w:tabs>
                <w:tab w:pos="637" w:val="left" w:leader="none"/>
              </w:tabs>
              <w:spacing w:before="20"/>
              <w:ind w:right="80"/>
              <w:jc w:val="right"/>
              <w:rPr>
                <w:sz w:val="18"/>
              </w:rPr>
            </w:pPr>
            <w:r>
              <w:rPr/>
              <mc:AlternateContent>
                <mc:Choice Requires="wps">
                  <w:drawing>
                    <wp:anchor distT="0" distB="0" distL="0" distR="0" allowOverlap="1" layoutInCell="1" locked="0" behindDoc="1" simplePos="0" relativeHeight="477669376">
                      <wp:simplePos x="0" y="0"/>
                      <wp:positionH relativeFrom="column">
                        <wp:posOffset>1096226</wp:posOffset>
                      </wp:positionH>
                      <wp:positionV relativeFrom="paragraph">
                        <wp:posOffset>162285</wp:posOffset>
                      </wp:positionV>
                      <wp:extent cx="969010" cy="3429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969010" cy="34290"/>
                                <a:chExt cx="969010" cy="34290"/>
                              </a:xfrm>
                            </wpg:grpSpPr>
                            <wps:wsp>
                              <wps:cNvPr id="219" name="Graphic 219"/>
                              <wps:cNvSpPr/>
                              <wps:spPr>
                                <a:xfrm>
                                  <a:off x="-12" y="-1"/>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317062pt;margin-top:12.778393pt;width:76.3pt;height:2.7pt;mso-position-horizontal-relative:column;mso-position-vertical-relative:paragraph;z-index:-25647104" id="docshapegroup216" coordorigin="1726,256" coordsize="1526,54">
                      <v:shape style="position:absolute;left:1726;top:255;width:1526;height:54" id="docshape217" coordorigin="1726,256" coordsize="1526,54" path="m3252,296l3225,296,1834,296,1726,296,1726,310,1834,310,3225,310,3252,310,3252,296xm3252,256l3225,256,1834,256,1726,256,1726,269,1834,269,3225,269,3252,269,3252,256xe" filled="true" fillcolor="#000000" stroked="false">
                        <v:path arrowok="t"/>
                        <v:fill type="solid"/>
                      </v:shape>
                      <w10:wrap type="none"/>
                    </v:group>
                  </w:pict>
                </mc:Fallback>
              </mc:AlternateContent>
            </w:r>
            <w:r>
              <w:rPr>
                <w:spacing w:val="-10"/>
                <w:sz w:val="18"/>
              </w:rPr>
              <w:t>$</w:t>
            </w:r>
            <w:r>
              <w:rPr>
                <w:sz w:val="18"/>
              </w:rPr>
              <w:tab/>
            </w:r>
            <w:r>
              <w:rPr>
                <w:spacing w:val="-2"/>
                <w:sz w:val="18"/>
              </w:rPr>
              <w:t>(1,036,997)</w:t>
            </w:r>
          </w:p>
        </w:tc>
        <w:tc>
          <w:tcPr>
            <w:tcW w:w="1636" w:type="dxa"/>
            <w:tcBorders>
              <w:top w:val="single" w:sz="6" w:space="0" w:color="000000"/>
            </w:tcBorders>
            <w:shd w:val="clear" w:color="auto" w:fill="CCEDFF"/>
          </w:tcPr>
          <w:p>
            <w:pPr>
              <w:pStyle w:val="TableParagraph"/>
              <w:tabs>
                <w:tab w:pos="858" w:val="left" w:leader="none"/>
              </w:tabs>
              <w:spacing w:before="20"/>
              <w:ind w:right="81"/>
              <w:jc w:val="right"/>
              <w:rPr>
                <w:sz w:val="18"/>
              </w:rPr>
            </w:pPr>
            <w:r>
              <w:rPr/>
              <mc:AlternateContent>
                <mc:Choice Requires="wps">
                  <w:drawing>
                    <wp:anchor distT="0" distB="0" distL="0" distR="0" allowOverlap="1" layoutInCell="1" locked="0" behindDoc="1" simplePos="0" relativeHeight="477669888">
                      <wp:simplePos x="0" y="0"/>
                      <wp:positionH relativeFrom="column">
                        <wp:posOffset>36522</wp:posOffset>
                      </wp:positionH>
                      <wp:positionV relativeFrom="paragraph">
                        <wp:posOffset>162285</wp:posOffset>
                      </wp:positionV>
                      <wp:extent cx="969010" cy="3429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969010" cy="34290"/>
                                <a:chExt cx="969010" cy="34290"/>
                              </a:xfrm>
                            </wpg:grpSpPr>
                            <wps:wsp>
                              <wps:cNvPr id="221" name="Graphic 221"/>
                              <wps:cNvSpPr/>
                              <wps:spPr>
                                <a:xfrm>
                                  <a:off x="-12" y="-1"/>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75802pt;margin-top:12.778393pt;width:76.3pt;height:2.7pt;mso-position-horizontal-relative:column;mso-position-vertical-relative:paragraph;z-index:-25646592" id="docshapegroup218" coordorigin="58,256" coordsize="1526,54">
                      <v:shape style="position:absolute;left:57;top:255;width:1526;height:54" id="docshape219" coordorigin="57,256" coordsize="1526,54" path="m1583,296l1556,296,179,296,57,296,57,310,179,310,1556,310,1583,310,1583,296xm1583,256l1556,256,179,256,57,256,57,269,179,269,1556,269,1583,269,1583,256xe" filled="true" fillcolor="#000000" stroked="false">
                        <v:path arrowok="t"/>
                        <v:fill type="solid"/>
                      </v:shape>
                      <w10:wrap type="none"/>
                    </v:group>
                  </w:pict>
                </mc:Fallback>
              </mc:AlternateContent>
            </w:r>
            <w:r>
              <w:rPr>
                <w:spacing w:val="-10"/>
                <w:sz w:val="18"/>
              </w:rPr>
              <w:t>$</w:t>
            </w:r>
            <w:r>
              <w:rPr>
                <w:sz w:val="18"/>
              </w:rPr>
              <w:tab/>
            </w:r>
            <w:r>
              <w:rPr>
                <w:spacing w:val="-2"/>
                <w:sz w:val="18"/>
              </w:rPr>
              <w:t>(67,736)</w:t>
            </w:r>
          </w:p>
        </w:tc>
        <w:tc>
          <w:tcPr>
            <w:tcW w:w="1582" w:type="dxa"/>
            <w:tcBorders>
              <w:top w:val="single" w:sz="6" w:space="0" w:color="000000"/>
              <w:bottom w:val="double" w:sz="6" w:space="0" w:color="000000"/>
            </w:tcBorders>
            <w:shd w:val="clear" w:color="auto" w:fill="CCEDFF"/>
          </w:tcPr>
          <w:p>
            <w:pPr>
              <w:pStyle w:val="TableParagraph"/>
              <w:tabs>
                <w:tab w:pos="931" w:val="left" w:leader="none"/>
              </w:tabs>
              <w:spacing w:before="20"/>
              <w:ind w:right="73"/>
              <w:jc w:val="right"/>
              <w:rPr>
                <w:sz w:val="18"/>
              </w:rPr>
            </w:pPr>
            <w:r>
              <w:rPr>
                <w:spacing w:val="-10"/>
                <w:sz w:val="18"/>
              </w:rPr>
              <w:t>$</w:t>
            </w:r>
            <w:r>
              <w:rPr>
                <w:sz w:val="18"/>
              </w:rPr>
              <w:tab/>
            </w:r>
            <w:r>
              <w:rPr>
                <w:spacing w:val="-2"/>
                <w:sz w:val="18"/>
              </w:rPr>
              <w:t>93,567</w:t>
            </w:r>
          </w:p>
        </w:tc>
      </w:tr>
    </w:tbl>
    <w:p>
      <w:pPr>
        <w:pStyle w:val="BodyText"/>
        <w:spacing w:before="89"/>
        <w:rPr>
          <w:b/>
          <w:i/>
        </w:rPr>
      </w:pPr>
    </w:p>
    <w:p>
      <w:pPr>
        <w:pStyle w:val="BodyText"/>
        <w:ind w:left="644"/>
      </w:pPr>
      <w:r>
        <w:rPr/>
        <w:t>See</w:t>
      </w:r>
      <w:r>
        <w:rPr>
          <w:spacing w:val="-1"/>
        </w:rPr>
        <w:t> </w:t>
      </w:r>
      <w:r>
        <w:rPr/>
        <w:t>Note</w:t>
      </w:r>
      <w:r>
        <w:rPr>
          <w:spacing w:val="-1"/>
        </w:rPr>
        <w:t> </w:t>
      </w:r>
      <w:r>
        <w:rPr/>
        <w:t>16</w:t>
      </w:r>
      <w:r>
        <w:rPr>
          <w:spacing w:val="-1"/>
        </w:rPr>
        <w:t> </w:t>
      </w:r>
      <w:r>
        <w:rPr/>
        <w:t>to</w:t>
      </w:r>
      <w:r>
        <w:rPr>
          <w:spacing w:val="-1"/>
        </w:rPr>
        <w:t> </w:t>
      </w:r>
      <w:r>
        <w:rPr/>
        <w:t>the</w:t>
      </w:r>
      <w:r>
        <w:rPr>
          <w:spacing w:val="-1"/>
        </w:rPr>
        <w:t> </w:t>
      </w:r>
      <w:r>
        <w:rPr/>
        <w:t>accompanying</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discussion</w:t>
      </w:r>
      <w:r>
        <w:rPr>
          <w:spacing w:val="-1"/>
        </w:rPr>
        <w:t> </w:t>
      </w:r>
      <w:r>
        <w:rPr/>
        <w:t>of</w:t>
      </w:r>
      <w:r>
        <w:rPr>
          <w:spacing w:val="-1"/>
        </w:rPr>
        <w:t> </w:t>
      </w:r>
      <w:r>
        <w:rPr/>
        <w:t>property</w:t>
      </w:r>
      <w:r>
        <w:rPr>
          <w:spacing w:val="-1"/>
        </w:rPr>
        <w:t> </w:t>
      </w:r>
      <w:r>
        <w:rPr/>
        <w:t>transactions,</w:t>
      </w:r>
      <w:r>
        <w:rPr>
          <w:spacing w:val="-1"/>
        </w:rPr>
        <w:t> </w:t>
      </w:r>
      <w:r>
        <w:rPr>
          <w:spacing w:val="-4"/>
        </w:rPr>
        <w:t>net.</w:t>
      </w:r>
    </w:p>
    <w:p>
      <w:pPr>
        <w:pStyle w:val="BodyText"/>
        <w:spacing w:before="18"/>
      </w:pPr>
    </w:p>
    <w:p>
      <w:pPr>
        <w:pStyle w:val="Heading5"/>
        <w:ind w:left="394"/>
        <w:jc w:val="left"/>
      </w:pPr>
      <w:r>
        <w:rPr/>
        <w:t>Income</w:t>
      </w:r>
      <w:r>
        <w:rPr>
          <w:spacing w:val="-3"/>
        </w:rPr>
        <w:t> </w:t>
      </w:r>
      <w:r>
        <w:rPr/>
        <w:t>(loss)</w:t>
      </w:r>
      <w:r>
        <w:rPr>
          <w:spacing w:val="-2"/>
        </w:rPr>
        <w:t> </w:t>
      </w:r>
      <w:r>
        <w:rPr/>
        <w:t>from</w:t>
      </w:r>
      <w:r>
        <w:rPr>
          <w:spacing w:val="-2"/>
        </w:rPr>
        <w:t> </w:t>
      </w:r>
      <w:r>
        <w:rPr/>
        <w:t>Unconsolidated</w:t>
      </w:r>
      <w:r>
        <w:rPr>
          <w:spacing w:val="-10"/>
        </w:rPr>
        <w:t> </w:t>
      </w:r>
      <w:r>
        <w:rPr>
          <w:spacing w:val="-2"/>
        </w:rPr>
        <w:t>Affiliates</w:t>
      </w:r>
    </w:p>
    <w:p>
      <w:pPr>
        <w:pStyle w:val="BodyText"/>
        <w:spacing w:before="5"/>
        <w:rPr>
          <w:b/>
        </w:rPr>
      </w:pPr>
    </w:p>
    <w:p>
      <w:pPr>
        <w:pStyle w:val="BodyText"/>
        <w:ind w:left="644"/>
      </w:pPr>
      <w:r>
        <w:rPr/>
        <w:t>The</w:t>
      </w:r>
      <w:r>
        <w:rPr>
          <w:spacing w:val="-1"/>
        </w:rPr>
        <w:t> </w:t>
      </w:r>
      <w:r>
        <w:rPr/>
        <w:t>following</w:t>
      </w:r>
      <w:r>
        <w:rPr>
          <w:spacing w:val="-1"/>
        </w:rPr>
        <w:t> </w:t>
      </w:r>
      <w:r>
        <w:rPr/>
        <w:t>table</w:t>
      </w:r>
      <w:r>
        <w:rPr>
          <w:spacing w:val="-1"/>
        </w:rPr>
        <w:t> </w:t>
      </w:r>
      <w:r>
        <w:rPr/>
        <w:t>summarizes</w:t>
      </w:r>
      <w:r>
        <w:rPr>
          <w:spacing w:val="-1"/>
        </w:rPr>
        <w:t> </w:t>
      </w:r>
      <w:r>
        <w:rPr/>
        <w:t>information</w:t>
      </w:r>
      <w:r>
        <w:rPr>
          <w:spacing w:val="-1"/>
        </w:rPr>
        <w:t> </w:t>
      </w:r>
      <w:r>
        <w:rPr/>
        <w:t>related</w:t>
      </w:r>
      <w:r>
        <w:rPr>
          <w:spacing w:val="-1"/>
        </w:rPr>
        <w:t> </w:t>
      </w:r>
      <w:r>
        <w:rPr/>
        <w:t>to</w:t>
      </w:r>
      <w:r>
        <w:rPr>
          <w:spacing w:val="-1"/>
        </w:rPr>
        <w:t> </w:t>
      </w:r>
      <w:r>
        <w:rPr/>
        <w:t>our</w:t>
      </w:r>
      <w:r>
        <w:rPr>
          <w:spacing w:val="-1"/>
        </w:rPr>
        <w:t> </w:t>
      </w:r>
      <w:r>
        <w:rPr/>
        <w:t>share</w:t>
      </w:r>
      <w:r>
        <w:rPr>
          <w:spacing w:val="-1"/>
        </w:rPr>
        <w:t> </w:t>
      </w:r>
      <w:r>
        <w:rPr/>
        <w:t>of</w:t>
      </w:r>
      <w:r>
        <w:rPr>
          <w:spacing w:val="-1"/>
        </w:rPr>
        <w:t> </w:t>
      </w:r>
      <w:r>
        <w:rPr/>
        <w:t>operating</w:t>
      </w:r>
      <w:r>
        <w:rPr>
          <w:spacing w:val="-1"/>
        </w:rPr>
        <w:t> </w:t>
      </w:r>
      <w:r>
        <w:rPr/>
        <w:t>income</w:t>
      </w:r>
      <w:r>
        <w:rPr>
          <w:spacing w:val="-1"/>
        </w:rPr>
        <w:t> </w:t>
      </w:r>
      <w:r>
        <w:rPr/>
        <w:t>(loss)</w:t>
      </w:r>
      <w:r>
        <w:rPr>
          <w:spacing w:val="-1"/>
        </w:rPr>
        <w:t> </w:t>
      </w:r>
      <w:r>
        <w:rPr/>
        <w:t>from</w:t>
      </w:r>
      <w:r>
        <w:rPr>
          <w:spacing w:val="-1"/>
        </w:rPr>
        <w:t> </w:t>
      </w:r>
      <w:r>
        <w:rPr/>
        <w:t>unconsolidated</w:t>
      </w:r>
      <w:r>
        <w:rPr>
          <w:spacing w:val="-1"/>
        </w:rPr>
        <w:t> </w:t>
      </w:r>
      <w:r>
        <w:rPr>
          <w:spacing w:val="-2"/>
        </w:rPr>
        <w:t>affiliates:</w:t>
      </w:r>
    </w:p>
    <w:p>
      <w:pPr>
        <w:pStyle w:val="Heading5"/>
        <w:spacing w:before="49" w:after="49"/>
        <w:ind w:left="8267"/>
        <w:jc w:val="left"/>
      </w:pPr>
      <w:r>
        <w:rPr/>
        <w:t>Year</w:t>
      </w:r>
      <w:r>
        <w:rPr>
          <w:spacing w:val="-13"/>
        </w:rPr>
        <w:t> </w:t>
      </w:r>
      <w:r>
        <w:rPr/>
        <w:t>Ended</w:t>
      </w:r>
      <w:r>
        <w:rPr>
          <w:spacing w:val="-8"/>
        </w:rPr>
        <w:t> </w:t>
      </w:r>
      <w:r>
        <w:rPr/>
        <w:t>December</w:t>
      </w:r>
      <w:r>
        <w:rPr>
          <w:spacing w:val="-10"/>
        </w:rPr>
        <w:t> </w:t>
      </w:r>
      <w:r>
        <w:rPr>
          <w:spacing w:val="-5"/>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3"/>
        <w:gridCol w:w="1574"/>
        <w:gridCol w:w="1636"/>
        <w:gridCol w:w="1583"/>
      </w:tblGrid>
      <w:tr>
        <w:trPr>
          <w:trHeight w:val="254" w:hRule="atLeast"/>
        </w:trPr>
        <w:tc>
          <w:tcPr>
            <w:tcW w:w="6723" w:type="dxa"/>
            <w:vMerge w:val="restart"/>
          </w:tcPr>
          <w:p>
            <w:pPr>
              <w:pStyle w:val="TableParagraph"/>
              <w:spacing w:before="0"/>
              <w:rPr>
                <w:sz w:val="16"/>
              </w:rPr>
            </w:pPr>
          </w:p>
        </w:tc>
        <w:tc>
          <w:tcPr>
            <w:tcW w:w="1574" w:type="dxa"/>
            <w:tcBorders>
              <w:top w:val="single" w:sz="6" w:space="0" w:color="000000"/>
              <w:bottom w:val="single" w:sz="6" w:space="0" w:color="000000"/>
            </w:tcBorders>
          </w:tcPr>
          <w:p>
            <w:pPr>
              <w:pStyle w:val="TableParagraph"/>
              <w:spacing w:before="20"/>
              <w:ind w:right="53"/>
              <w:jc w:val="center"/>
              <w:rPr>
                <w:b/>
                <w:sz w:val="18"/>
              </w:rPr>
            </w:pPr>
            <w:r>
              <w:rPr>
                <w:b/>
                <w:spacing w:val="-4"/>
                <w:sz w:val="18"/>
              </w:rPr>
              <w:t>2022</w:t>
            </w:r>
          </w:p>
        </w:tc>
        <w:tc>
          <w:tcPr>
            <w:tcW w:w="1636" w:type="dxa"/>
            <w:tcBorders>
              <w:top w:val="single" w:sz="6" w:space="0" w:color="000000"/>
              <w:bottom w:val="single" w:sz="6" w:space="0" w:color="000000"/>
            </w:tcBorders>
          </w:tcPr>
          <w:p>
            <w:pPr>
              <w:pStyle w:val="TableParagraph"/>
              <w:spacing w:before="20"/>
              <w:ind w:left="9" w:right="1"/>
              <w:jc w:val="center"/>
              <w:rPr>
                <w:b/>
                <w:sz w:val="18"/>
              </w:rPr>
            </w:pPr>
            <w:r>
              <w:rPr>
                <w:b/>
                <w:spacing w:val="-4"/>
                <w:sz w:val="18"/>
              </w:rPr>
              <w:t>2021</w:t>
            </w:r>
          </w:p>
        </w:tc>
        <w:tc>
          <w:tcPr>
            <w:tcW w:w="1583" w:type="dxa"/>
            <w:tcBorders>
              <w:top w:val="single" w:sz="6" w:space="0" w:color="000000"/>
              <w:bottom w:val="single" w:sz="6" w:space="0" w:color="000000"/>
            </w:tcBorders>
          </w:tcPr>
          <w:p>
            <w:pPr>
              <w:pStyle w:val="TableParagraph"/>
              <w:spacing w:before="20"/>
              <w:ind w:left="67" w:right="5"/>
              <w:jc w:val="center"/>
              <w:rPr>
                <w:b/>
                <w:sz w:val="18"/>
              </w:rPr>
            </w:pPr>
            <w:r>
              <w:rPr>
                <w:b/>
                <w:spacing w:val="-4"/>
                <w:sz w:val="18"/>
              </w:rPr>
              <w:t>2020</w:t>
            </w:r>
          </w:p>
        </w:tc>
      </w:tr>
      <w:tr>
        <w:trPr>
          <w:trHeight w:val="215" w:hRule="atLeast"/>
        </w:trPr>
        <w:tc>
          <w:tcPr>
            <w:tcW w:w="6723" w:type="dxa"/>
            <w:vMerge/>
            <w:tcBorders>
              <w:top w:val="nil"/>
            </w:tcBorders>
          </w:tcPr>
          <w:p>
            <w:pPr>
              <w:rPr>
                <w:sz w:val="2"/>
                <w:szCs w:val="2"/>
              </w:rPr>
            </w:pPr>
          </w:p>
        </w:tc>
        <w:tc>
          <w:tcPr>
            <w:tcW w:w="1574" w:type="dxa"/>
            <w:tcBorders>
              <w:top w:val="single" w:sz="6" w:space="0" w:color="000000"/>
            </w:tcBorders>
          </w:tcPr>
          <w:p>
            <w:pPr>
              <w:pStyle w:val="TableParagraph"/>
              <w:spacing w:before="0"/>
              <w:rPr>
                <w:sz w:val="14"/>
              </w:rPr>
            </w:pPr>
          </w:p>
        </w:tc>
        <w:tc>
          <w:tcPr>
            <w:tcW w:w="1636" w:type="dxa"/>
            <w:tcBorders>
              <w:top w:val="single" w:sz="6" w:space="0" w:color="000000"/>
            </w:tcBorders>
          </w:tcPr>
          <w:p>
            <w:pPr>
              <w:pStyle w:val="TableParagraph"/>
              <w:spacing w:before="17"/>
              <w:ind w:left="383"/>
              <w:rPr>
                <w:b/>
                <w:i/>
                <w:sz w:val="14"/>
              </w:rPr>
            </w:pPr>
            <w:r>
              <w:rPr>
                <w:b/>
                <w:i/>
                <w:sz w:val="14"/>
              </w:rPr>
              <w:t>(In</w:t>
            </w:r>
            <w:r>
              <w:rPr>
                <w:b/>
                <w:i/>
                <w:spacing w:val="3"/>
                <w:sz w:val="14"/>
              </w:rPr>
              <w:t> </w:t>
            </w:r>
            <w:r>
              <w:rPr>
                <w:b/>
                <w:i/>
                <w:spacing w:val="-2"/>
                <w:sz w:val="14"/>
              </w:rPr>
              <w:t>thousands)</w:t>
            </w:r>
          </w:p>
        </w:tc>
        <w:tc>
          <w:tcPr>
            <w:tcW w:w="1583" w:type="dxa"/>
            <w:tcBorders>
              <w:top w:val="single" w:sz="6" w:space="0" w:color="000000"/>
            </w:tcBorders>
          </w:tcPr>
          <w:p>
            <w:pPr>
              <w:pStyle w:val="TableParagraph"/>
              <w:spacing w:before="0"/>
              <w:rPr>
                <w:sz w:val="14"/>
              </w:rPr>
            </w:pPr>
          </w:p>
        </w:tc>
      </w:tr>
      <w:tr>
        <w:trPr>
          <w:trHeight w:val="256" w:hRule="atLeast"/>
        </w:trPr>
        <w:tc>
          <w:tcPr>
            <w:tcW w:w="6723" w:type="dxa"/>
            <w:shd w:val="clear" w:color="auto" w:fill="CCEDFF"/>
          </w:tcPr>
          <w:p>
            <w:pPr>
              <w:pStyle w:val="TableParagraph"/>
              <w:ind w:left="17"/>
              <w:rPr>
                <w:sz w:val="18"/>
              </w:rPr>
            </w:pPr>
            <w:r>
              <w:rPr>
                <w:sz w:val="18"/>
              </w:rPr>
              <w:t>CityCenter</w:t>
            </w:r>
            <w:r>
              <w:rPr>
                <w:spacing w:val="-1"/>
                <w:sz w:val="18"/>
              </w:rPr>
              <w:t> </w:t>
            </w:r>
            <w:r>
              <w:rPr>
                <w:sz w:val="18"/>
              </w:rPr>
              <w:t>(through</w:t>
            </w:r>
            <w:r>
              <w:rPr>
                <w:spacing w:val="-1"/>
                <w:sz w:val="18"/>
              </w:rPr>
              <w:t> </w:t>
            </w:r>
            <w:r>
              <w:rPr>
                <w:sz w:val="18"/>
              </w:rPr>
              <w:t>September</w:t>
            </w:r>
            <w:r>
              <w:rPr>
                <w:spacing w:val="-1"/>
                <w:sz w:val="18"/>
              </w:rPr>
              <w:t> </w:t>
            </w:r>
            <w:r>
              <w:rPr>
                <w:sz w:val="18"/>
              </w:rPr>
              <w:t>26,</w:t>
            </w:r>
            <w:r>
              <w:rPr>
                <w:spacing w:val="-1"/>
                <w:sz w:val="18"/>
              </w:rPr>
              <w:t> </w:t>
            </w:r>
            <w:r>
              <w:rPr>
                <w:spacing w:val="-2"/>
                <w:sz w:val="18"/>
              </w:rPr>
              <w:t>2021)</w:t>
            </w:r>
          </w:p>
        </w:tc>
        <w:tc>
          <w:tcPr>
            <w:tcW w:w="1574" w:type="dxa"/>
            <w:shd w:val="clear" w:color="auto" w:fill="CCEDFF"/>
          </w:tcPr>
          <w:p>
            <w:pPr>
              <w:pStyle w:val="TableParagraph"/>
              <w:tabs>
                <w:tab w:pos="1249" w:val="left" w:leader="none"/>
              </w:tabs>
              <w:ind w:right="124"/>
              <w:jc w:val="right"/>
              <w:rPr>
                <w:sz w:val="18"/>
              </w:rPr>
            </w:pPr>
            <w:r>
              <w:rPr>
                <w:spacing w:val="-10"/>
                <w:sz w:val="18"/>
              </w:rPr>
              <w:t>$</w:t>
            </w:r>
            <w:r>
              <w:rPr>
                <w:sz w:val="18"/>
              </w:rPr>
              <w:tab/>
            </w:r>
            <w:r>
              <w:rPr>
                <w:spacing w:val="-10"/>
                <w:sz w:val="18"/>
              </w:rPr>
              <w:t>—</w:t>
            </w:r>
          </w:p>
        </w:tc>
        <w:tc>
          <w:tcPr>
            <w:tcW w:w="1636" w:type="dxa"/>
            <w:shd w:val="clear" w:color="auto" w:fill="CCEDFF"/>
          </w:tcPr>
          <w:p>
            <w:pPr>
              <w:pStyle w:val="TableParagraph"/>
              <w:tabs>
                <w:tab w:pos="843" w:val="left" w:leader="none"/>
              </w:tabs>
              <w:ind w:right="124"/>
              <w:jc w:val="right"/>
              <w:rPr>
                <w:sz w:val="18"/>
              </w:rPr>
            </w:pPr>
            <w:r>
              <w:rPr>
                <w:spacing w:val="-10"/>
                <w:sz w:val="18"/>
              </w:rPr>
              <w:t>$</w:t>
            </w:r>
            <w:r>
              <w:rPr>
                <w:sz w:val="18"/>
              </w:rPr>
              <w:tab/>
            </w:r>
            <w:r>
              <w:rPr>
                <w:spacing w:val="-2"/>
                <w:sz w:val="18"/>
              </w:rPr>
              <w:t>128,127</w:t>
            </w:r>
          </w:p>
        </w:tc>
        <w:tc>
          <w:tcPr>
            <w:tcW w:w="1583" w:type="dxa"/>
            <w:shd w:val="clear" w:color="auto" w:fill="CCEDFF"/>
          </w:tcPr>
          <w:p>
            <w:pPr>
              <w:pStyle w:val="TableParagraph"/>
              <w:tabs>
                <w:tab w:pos="858" w:val="left" w:leader="none"/>
              </w:tabs>
              <w:ind w:right="26"/>
              <w:jc w:val="right"/>
              <w:rPr>
                <w:sz w:val="18"/>
              </w:rPr>
            </w:pPr>
            <w:r>
              <w:rPr>
                <w:spacing w:val="-10"/>
                <w:sz w:val="18"/>
              </w:rPr>
              <w:t>$</w:t>
            </w:r>
            <w:r>
              <w:rPr>
                <w:sz w:val="18"/>
              </w:rPr>
              <w:tab/>
            </w:r>
            <w:r>
              <w:rPr>
                <w:spacing w:val="-2"/>
                <w:sz w:val="18"/>
              </w:rPr>
              <w:t>(29,753)</w:t>
            </w:r>
          </w:p>
        </w:tc>
      </w:tr>
      <w:tr>
        <w:trPr>
          <w:trHeight w:val="256" w:hRule="atLeast"/>
        </w:trPr>
        <w:tc>
          <w:tcPr>
            <w:tcW w:w="6723" w:type="dxa"/>
          </w:tcPr>
          <w:p>
            <w:pPr>
              <w:pStyle w:val="TableParagraph"/>
              <w:ind w:left="17"/>
              <w:rPr>
                <w:sz w:val="18"/>
              </w:rPr>
            </w:pPr>
            <w:r>
              <w:rPr>
                <w:sz w:val="18"/>
              </w:rPr>
              <w:t>VICI</w:t>
            </w:r>
            <w:r>
              <w:rPr>
                <w:spacing w:val="-9"/>
                <w:sz w:val="18"/>
              </w:rPr>
              <w:t> </w:t>
            </w:r>
            <w:r>
              <w:rPr>
                <w:sz w:val="18"/>
              </w:rPr>
              <w:t>BREIT</w:t>
            </w:r>
            <w:r>
              <w:rPr>
                <w:spacing w:val="-10"/>
                <w:sz w:val="18"/>
              </w:rPr>
              <w:t> </w:t>
            </w:r>
            <w:r>
              <w:rPr>
                <w:sz w:val="18"/>
              </w:rPr>
              <w:t>Venture</w:t>
            </w:r>
            <w:r>
              <w:rPr>
                <w:spacing w:val="-4"/>
                <w:sz w:val="18"/>
              </w:rPr>
              <w:t> </w:t>
            </w:r>
            <w:r>
              <w:rPr>
                <w:sz w:val="18"/>
              </w:rPr>
              <w:t>(through</w:t>
            </w:r>
            <w:r>
              <w:rPr>
                <w:spacing w:val="-11"/>
                <w:sz w:val="18"/>
              </w:rPr>
              <w:t> </w:t>
            </w:r>
            <w:r>
              <w:rPr>
                <w:sz w:val="18"/>
              </w:rPr>
              <w:t>April</w:t>
            </w:r>
            <w:r>
              <w:rPr>
                <w:spacing w:val="-5"/>
                <w:sz w:val="18"/>
              </w:rPr>
              <w:t> </w:t>
            </w:r>
            <w:r>
              <w:rPr>
                <w:sz w:val="18"/>
              </w:rPr>
              <w:t>29,</w:t>
            </w:r>
            <w:r>
              <w:rPr>
                <w:spacing w:val="-4"/>
                <w:sz w:val="18"/>
              </w:rPr>
              <w:t> </w:t>
            </w:r>
            <w:r>
              <w:rPr>
                <w:spacing w:val="-2"/>
                <w:sz w:val="18"/>
              </w:rPr>
              <w:t>2022)</w:t>
            </w:r>
          </w:p>
        </w:tc>
        <w:tc>
          <w:tcPr>
            <w:tcW w:w="1574" w:type="dxa"/>
          </w:tcPr>
          <w:p>
            <w:pPr>
              <w:pStyle w:val="TableParagraph"/>
              <w:ind w:right="124"/>
              <w:jc w:val="right"/>
              <w:rPr>
                <w:sz w:val="18"/>
              </w:rPr>
            </w:pPr>
            <w:r>
              <w:rPr>
                <w:spacing w:val="-2"/>
                <w:sz w:val="18"/>
              </w:rPr>
              <w:t>51,051</w:t>
            </w:r>
          </w:p>
        </w:tc>
        <w:tc>
          <w:tcPr>
            <w:tcW w:w="1636" w:type="dxa"/>
          </w:tcPr>
          <w:p>
            <w:pPr>
              <w:pStyle w:val="TableParagraph"/>
              <w:ind w:right="124"/>
              <w:jc w:val="right"/>
              <w:rPr>
                <w:sz w:val="18"/>
              </w:rPr>
            </w:pPr>
            <w:r>
              <w:rPr>
                <w:spacing w:val="-2"/>
                <w:sz w:val="18"/>
              </w:rPr>
              <w:t>155,817</w:t>
            </w:r>
          </w:p>
        </w:tc>
        <w:tc>
          <w:tcPr>
            <w:tcW w:w="1583" w:type="dxa"/>
          </w:tcPr>
          <w:p>
            <w:pPr>
              <w:pStyle w:val="TableParagraph"/>
              <w:ind w:right="71"/>
              <w:jc w:val="right"/>
              <w:rPr>
                <w:sz w:val="18"/>
              </w:rPr>
            </w:pPr>
            <w:r>
              <w:rPr>
                <w:spacing w:val="-2"/>
                <w:sz w:val="18"/>
              </w:rPr>
              <w:t>136,755</w:t>
            </w:r>
          </w:p>
        </w:tc>
      </w:tr>
      <w:tr>
        <w:trPr>
          <w:trHeight w:val="269" w:hRule="atLeast"/>
        </w:trPr>
        <w:tc>
          <w:tcPr>
            <w:tcW w:w="6723" w:type="dxa"/>
            <w:shd w:val="clear" w:color="auto" w:fill="CCEDFF"/>
          </w:tcPr>
          <w:p>
            <w:pPr>
              <w:pStyle w:val="TableParagraph"/>
              <w:ind w:left="17"/>
              <w:rPr>
                <w:sz w:val="18"/>
              </w:rPr>
            </w:pPr>
            <w:r>
              <w:rPr>
                <w:spacing w:val="-2"/>
                <w:sz w:val="18"/>
              </w:rPr>
              <w:t>BetMGM</w:t>
            </w:r>
          </w:p>
        </w:tc>
        <w:tc>
          <w:tcPr>
            <w:tcW w:w="1574" w:type="dxa"/>
            <w:shd w:val="clear" w:color="auto" w:fill="CCEDFF"/>
          </w:tcPr>
          <w:p>
            <w:pPr>
              <w:pStyle w:val="TableParagraph"/>
              <w:ind w:right="79"/>
              <w:jc w:val="right"/>
              <w:rPr>
                <w:sz w:val="18"/>
              </w:rPr>
            </w:pPr>
            <w:r>
              <w:rPr>
                <w:spacing w:val="-2"/>
                <w:sz w:val="18"/>
              </w:rPr>
              <w:t>(234,464)</w:t>
            </w:r>
          </w:p>
        </w:tc>
        <w:tc>
          <w:tcPr>
            <w:tcW w:w="1636" w:type="dxa"/>
            <w:shd w:val="clear" w:color="auto" w:fill="CCEDFF"/>
          </w:tcPr>
          <w:p>
            <w:pPr>
              <w:pStyle w:val="TableParagraph"/>
              <w:ind w:right="79"/>
              <w:jc w:val="right"/>
              <w:rPr>
                <w:sz w:val="18"/>
              </w:rPr>
            </w:pPr>
            <w:r>
              <w:rPr>
                <w:spacing w:val="-2"/>
                <w:sz w:val="18"/>
              </w:rPr>
              <w:t>(211,182)</w:t>
            </w:r>
          </w:p>
        </w:tc>
        <w:tc>
          <w:tcPr>
            <w:tcW w:w="1583" w:type="dxa"/>
            <w:shd w:val="clear" w:color="auto" w:fill="CCEDFF"/>
          </w:tcPr>
          <w:p>
            <w:pPr>
              <w:pStyle w:val="TableParagraph"/>
              <w:ind w:right="26"/>
              <w:jc w:val="right"/>
              <w:rPr>
                <w:sz w:val="18"/>
              </w:rPr>
            </w:pPr>
            <w:r>
              <w:rPr>
                <w:spacing w:val="-2"/>
                <w:sz w:val="18"/>
              </w:rPr>
              <w:t>(61,663)</w:t>
            </w:r>
          </w:p>
        </w:tc>
      </w:tr>
      <w:tr>
        <w:trPr>
          <w:trHeight w:val="255" w:hRule="atLeast"/>
        </w:trPr>
        <w:tc>
          <w:tcPr>
            <w:tcW w:w="6723" w:type="dxa"/>
          </w:tcPr>
          <w:p>
            <w:pPr>
              <w:pStyle w:val="TableParagraph"/>
              <w:ind w:left="17"/>
              <w:rPr>
                <w:sz w:val="18"/>
              </w:rPr>
            </w:pPr>
            <w:r>
              <w:rPr>
                <w:spacing w:val="-2"/>
                <w:sz w:val="18"/>
              </w:rPr>
              <w:t>Other</w:t>
            </w:r>
          </w:p>
        </w:tc>
        <w:tc>
          <w:tcPr>
            <w:tcW w:w="1574" w:type="dxa"/>
            <w:tcBorders>
              <w:bottom w:val="single" w:sz="6" w:space="0" w:color="000000"/>
            </w:tcBorders>
          </w:tcPr>
          <w:p>
            <w:pPr>
              <w:pStyle w:val="TableParagraph"/>
              <w:ind w:right="124"/>
              <w:jc w:val="right"/>
              <w:rPr>
                <w:sz w:val="18"/>
              </w:rPr>
            </w:pPr>
            <w:r>
              <w:rPr>
                <w:spacing w:val="-2"/>
                <w:sz w:val="18"/>
              </w:rPr>
              <w:t>23,200</w:t>
            </w:r>
          </w:p>
        </w:tc>
        <w:tc>
          <w:tcPr>
            <w:tcW w:w="1636" w:type="dxa"/>
            <w:tcBorders>
              <w:bottom w:val="single" w:sz="6" w:space="0" w:color="000000"/>
            </w:tcBorders>
          </w:tcPr>
          <w:p>
            <w:pPr>
              <w:pStyle w:val="TableParagraph"/>
              <w:ind w:right="124"/>
              <w:jc w:val="right"/>
              <w:rPr>
                <w:sz w:val="18"/>
              </w:rPr>
            </w:pPr>
            <w:r>
              <w:rPr>
                <w:spacing w:val="-2"/>
                <w:sz w:val="18"/>
              </w:rPr>
              <w:t>12,061</w:t>
            </w:r>
          </w:p>
        </w:tc>
        <w:tc>
          <w:tcPr>
            <w:tcW w:w="1583" w:type="dxa"/>
            <w:tcBorders>
              <w:bottom w:val="single" w:sz="6" w:space="0" w:color="000000"/>
            </w:tcBorders>
          </w:tcPr>
          <w:p>
            <w:pPr>
              <w:pStyle w:val="TableParagraph"/>
              <w:ind w:right="26"/>
              <w:jc w:val="right"/>
              <w:rPr>
                <w:sz w:val="18"/>
              </w:rPr>
            </w:pPr>
            <w:r>
              <w:rPr>
                <w:spacing w:val="-2"/>
                <w:sz w:val="18"/>
              </w:rPr>
              <w:t>(2,401)</w:t>
            </w:r>
          </w:p>
        </w:tc>
      </w:tr>
      <w:tr>
        <w:trPr>
          <w:trHeight w:val="260" w:hRule="atLeast"/>
        </w:trPr>
        <w:tc>
          <w:tcPr>
            <w:tcW w:w="6723" w:type="dxa"/>
            <w:shd w:val="clear" w:color="auto" w:fill="CCEDFF"/>
          </w:tcPr>
          <w:p>
            <w:pPr>
              <w:pStyle w:val="TableParagraph"/>
              <w:spacing w:before="0"/>
              <w:rPr>
                <w:sz w:val="16"/>
              </w:rPr>
            </w:pPr>
          </w:p>
        </w:tc>
        <w:tc>
          <w:tcPr>
            <w:tcW w:w="1574" w:type="dxa"/>
            <w:tcBorders>
              <w:top w:val="single" w:sz="6" w:space="0" w:color="000000"/>
            </w:tcBorders>
            <w:shd w:val="clear" w:color="auto" w:fill="CCEDFF"/>
          </w:tcPr>
          <w:p>
            <w:pPr>
              <w:pStyle w:val="TableParagraph"/>
              <w:tabs>
                <w:tab w:pos="770" w:val="left" w:leader="none"/>
              </w:tabs>
              <w:spacing w:before="20"/>
              <w:ind w:right="79"/>
              <w:jc w:val="right"/>
              <w:rPr>
                <w:sz w:val="18"/>
              </w:rPr>
            </w:pPr>
            <w:r>
              <w:rPr/>
              <mc:AlternateContent>
                <mc:Choice Requires="wps">
                  <w:drawing>
                    <wp:anchor distT="0" distB="0" distL="0" distR="0" allowOverlap="1" layoutInCell="1" locked="0" behindDoc="1" simplePos="0" relativeHeight="477670400">
                      <wp:simplePos x="0" y="0"/>
                      <wp:positionH relativeFrom="column">
                        <wp:posOffset>0</wp:posOffset>
                      </wp:positionH>
                      <wp:positionV relativeFrom="paragraph">
                        <wp:posOffset>162285</wp:posOffset>
                      </wp:positionV>
                      <wp:extent cx="969010" cy="3429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969010" cy="34290"/>
                                <a:chExt cx="969010" cy="34290"/>
                              </a:xfrm>
                            </wpg:grpSpPr>
                            <wps:wsp>
                              <wps:cNvPr id="223" name="Graphic 223"/>
                              <wps:cNvSpPr/>
                              <wps:spPr>
                                <a:xfrm>
                                  <a:off x="-12" y="-1"/>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78411pt;width:76.3pt;height:2.7pt;mso-position-horizontal-relative:column;mso-position-vertical-relative:paragraph;z-index:-25646080" id="docshapegroup220" coordorigin="0,256" coordsize="1526,54">
                      <v:shape style="position:absolute;left:-1;top:255;width:1526;height:54" id="docshape221" coordorigin="0,256" coordsize="1526,54" path="m1525,296l1498,296,108,296,0,296,0,310,108,310,1498,310,1525,310,1525,296xm1525,256l1498,256,108,256,0,256,0,269,108,269,1498,269,1525,269,1525,256xe" filled="true" fillcolor="#000000" stroked="false">
                        <v:path arrowok="t"/>
                        <v:fill type="solid"/>
                      </v:shape>
                      <w10:wrap type="none"/>
                    </v:group>
                  </w:pict>
                </mc:Fallback>
              </mc:AlternateContent>
            </w:r>
            <w:r>
              <w:rPr>
                <w:spacing w:val="-10"/>
                <w:sz w:val="18"/>
              </w:rPr>
              <w:t>$</w:t>
            </w:r>
            <w:r>
              <w:rPr>
                <w:sz w:val="18"/>
              </w:rPr>
              <w:tab/>
            </w:r>
            <w:r>
              <w:rPr>
                <w:spacing w:val="-2"/>
                <w:sz w:val="18"/>
              </w:rPr>
              <w:t>(160,213)</w:t>
            </w:r>
          </w:p>
        </w:tc>
        <w:tc>
          <w:tcPr>
            <w:tcW w:w="1636" w:type="dxa"/>
            <w:tcBorders>
              <w:top w:val="single" w:sz="6" w:space="0" w:color="000000"/>
            </w:tcBorders>
            <w:shd w:val="clear" w:color="auto" w:fill="CCEDFF"/>
          </w:tcPr>
          <w:p>
            <w:pPr>
              <w:pStyle w:val="TableParagraph"/>
              <w:tabs>
                <w:tab w:pos="933" w:val="left" w:leader="none"/>
              </w:tabs>
              <w:spacing w:before="20"/>
              <w:ind w:right="124"/>
              <w:jc w:val="right"/>
              <w:rPr>
                <w:sz w:val="18"/>
              </w:rPr>
            </w:pPr>
            <w:r>
              <w:rPr/>
              <mc:AlternateContent>
                <mc:Choice Requires="wps">
                  <w:drawing>
                    <wp:anchor distT="0" distB="0" distL="0" distR="0" allowOverlap="1" layoutInCell="1" locked="0" behindDoc="1" simplePos="0" relativeHeight="477670912">
                      <wp:simplePos x="0" y="0"/>
                      <wp:positionH relativeFrom="column">
                        <wp:posOffset>37985</wp:posOffset>
                      </wp:positionH>
                      <wp:positionV relativeFrom="paragraph">
                        <wp:posOffset>162285</wp:posOffset>
                      </wp:positionV>
                      <wp:extent cx="969010" cy="3429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969010" cy="34290"/>
                                <a:chExt cx="969010" cy="34290"/>
                              </a:xfrm>
                            </wpg:grpSpPr>
                            <wps:wsp>
                              <wps:cNvPr id="225" name="Graphic 225"/>
                              <wps:cNvSpPr/>
                              <wps:spPr>
                                <a:xfrm>
                                  <a:off x="-12" y="-1"/>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90965pt;margin-top:12.778411pt;width:76.3pt;height:2.7pt;mso-position-horizontal-relative:column;mso-position-vertical-relative:paragraph;z-index:-25645568" id="docshapegroup222" coordorigin="60,256" coordsize="1526,54">
                      <v:shape style="position:absolute;left:59;top:255;width:1526;height:54" id="docshape223" coordorigin="60,256" coordsize="1526,54" path="m1585,296l1558,296,181,296,60,296,60,310,181,310,1558,310,1585,310,1585,296xm1585,256l1558,256,181,256,60,256,60,269,181,269,1558,269,1585,269,1585,256xe" filled="true" fillcolor="#000000" stroked="false">
                        <v:path arrowok="t"/>
                        <v:fill type="solid"/>
                      </v:shape>
                      <w10:wrap type="none"/>
                    </v:group>
                  </w:pict>
                </mc:Fallback>
              </mc:AlternateContent>
            </w:r>
            <w:r>
              <w:rPr>
                <w:spacing w:val="-10"/>
                <w:sz w:val="18"/>
              </w:rPr>
              <w:t>$</w:t>
            </w:r>
            <w:r>
              <w:rPr>
                <w:sz w:val="18"/>
              </w:rPr>
              <w:tab/>
            </w:r>
            <w:r>
              <w:rPr>
                <w:spacing w:val="-2"/>
                <w:sz w:val="18"/>
              </w:rPr>
              <w:t>84,823</w:t>
            </w:r>
          </w:p>
        </w:tc>
        <w:tc>
          <w:tcPr>
            <w:tcW w:w="1583" w:type="dxa"/>
            <w:tcBorders>
              <w:top w:val="single" w:sz="6" w:space="0" w:color="000000"/>
              <w:bottom w:val="double" w:sz="6" w:space="0" w:color="000000"/>
            </w:tcBorders>
            <w:shd w:val="clear" w:color="auto" w:fill="CCEDFF"/>
          </w:tcPr>
          <w:p>
            <w:pPr>
              <w:pStyle w:val="TableParagraph"/>
              <w:tabs>
                <w:tab w:pos="933" w:val="left" w:leader="none"/>
              </w:tabs>
              <w:spacing w:before="20"/>
              <w:ind w:right="71"/>
              <w:jc w:val="right"/>
              <w:rPr>
                <w:sz w:val="18"/>
              </w:rPr>
            </w:pPr>
            <w:r>
              <w:rPr>
                <w:spacing w:val="-10"/>
                <w:sz w:val="18"/>
              </w:rPr>
              <w:t>$</w:t>
            </w:r>
            <w:r>
              <w:rPr>
                <w:sz w:val="18"/>
              </w:rPr>
              <w:tab/>
            </w:r>
            <w:r>
              <w:rPr>
                <w:spacing w:val="-2"/>
                <w:sz w:val="18"/>
              </w:rPr>
              <w:t>42,938</w:t>
            </w:r>
          </w:p>
        </w:tc>
      </w:tr>
    </w:tbl>
    <w:p>
      <w:pPr>
        <w:pStyle w:val="BodyText"/>
        <w:spacing w:before="102"/>
        <w:rPr>
          <w:b/>
        </w:rPr>
      </w:pPr>
    </w:p>
    <w:p>
      <w:pPr>
        <w:pStyle w:val="BodyText"/>
        <w:spacing w:line="235" w:lineRule="auto"/>
        <w:ind w:left="144" w:right="118" w:firstLine="499"/>
        <w:jc w:val="both"/>
      </w:pPr>
      <w:r>
        <w:rPr/>
        <w:t>In June 2021, CityCenter closed the sale of its Harmon land, for which we recorded a $50 million gain within our share of operating income from unconsolidated affiliates.</w:t>
      </w:r>
    </w:p>
    <w:p>
      <w:pPr>
        <w:pStyle w:val="BodyText"/>
        <w:spacing w:before="5"/>
      </w:pPr>
    </w:p>
    <w:p>
      <w:pPr>
        <w:pStyle w:val="BodyText"/>
        <w:spacing w:line="242" w:lineRule="auto"/>
        <w:ind w:left="144" w:right="118" w:firstLine="499"/>
        <w:jc w:val="both"/>
      </w:pPr>
      <w:r>
        <w:rPr/>
        <w:t>In September 2021, we completed the acquisition of the remaining 50% ownership interest in CityCenter and now own 100% of the equity interest </w:t>
      </w:r>
      <w:r>
        <w:rPr/>
        <w:t>in CityCenter.</w:t>
      </w:r>
      <w:r>
        <w:rPr>
          <w:spacing w:val="-11"/>
        </w:rPr>
        <w:t> </w:t>
      </w:r>
      <w:r>
        <w:rPr/>
        <w:t>Accordingly,</w:t>
      </w:r>
      <w:r>
        <w:rPr>
          <w:spacing w:val="-1"/>
        </w:rPr>
        <w:t> </w:t>
      </w:r>
      <w:r>
        <w:rPr/>
        <w:t>we</w:t>
      </w:r>
      <w:r>
        <w:rPr>
          <w:spacing w:val="-1"/>
        </w:rPr>
        <w:t> </w:t>
      </w:r>
      <w:r>
        <w:rPr/>
        <w:t>no</w:t>
      </w:r>
      <w:r>
        <w:rPr>
          <w:spacing w:val="-1"/>
        </w:rPr>
        <w:t> </w:t>
      </w:r>
      <w:r>
        <w:rPr/>
        <w:t>longer</w:t>
      </w:r>
      <w:r>
        <w:rPr>
          <w:spacing w:val="-1"/>
        </w:rPr>
        <w:t> </w:t>
      </w:r>
      <w:r>
        <w:rPr/>
        <w:t>account</w:t>
      </w:r>
      <w:r>
        <w:rPr>
          <w:spacing w:val="-1"/>
        </w:rPr>
        <w:t> </w:t>
      </w:r>
      <w:r>
        <w:rPr/>
        <w:t>for</w:t>
      </w:r>
      <w:r>
        <w:rPr>
          <w:spacing w:val="-1"/>
        </w:rPr>
        <w:t> </w:t>
      </w:r>
      <w:r>
        <w:rPr/>
        <w:t>our</w:t>
      </w:r>
      <w:r>
        <w:rPr>
          <w:spacing w:val="-1"/>
        </w:rPr>
        <w:t> </w:t>
      </w:r>
      <w:r>
        <w:rPr/>
        <w:t>interest</w:t>
      </w:r>
      <w:r>
        <w:rPr>
          <w:spacing w:val="-1"/>
        </w:rPr>
        <w:t> </w:t>
      </w:r>
      <w:r>
        <w:rPr/>
        <w:t>in</w:t>
      </w:r>
      <w:r>
        <w:rPr>
          <w:spacing w:val="-1"/>
        </w:rPr>
        <w:t> </w:t>
      </w:r>
      <w:r>
        <w:rPr/>
        <w:t>CityCenter</w:t>
      </w:r>
      <w:r>
        <w:rPr>
          <w:spacing w:val="-1"/>
        </w:rPr>
        <w:t> </w:t>
      </w:r>
      <w:r>
        <w:rPr/>
        <w:t>under</w:t>
      </w:r>
      <w:r>
        <w:rPr>
          <w:spacing w:val="-1"/>
        </w:rPr>
        <w:t> </w:t>
      </w:r>
      <w:r>
        <w:rPr/>
        <w:t>the</w:t>
      </w:r>
      <w:r>
        <w:rPr>
          <w:spacing w:val="-1"/>
        </w:rPr>
        <w:t> </w:t>
      </w:r>
      <w:r>
        <w:rPr/>
        <w:t>equity</w:t>
      </w:r>
      <w:r>
        <w:rPr>
          <w:spacing w:val="-1"/>
        </w:rPr>
        <w:t> </w:t>
      </w:r>
      <w:r>
        <w:rPr/>
        <w:t>method</w:t>
      </w:r>
      <w:r>
        <w:rPr>
          <w:spacing w:val="-1"/>
        </w:rPr>
        <w:t> </w:t>
      </w:r>
      <w:r>
        <w:rPr/>
        <w:t>of</w:t>
      </w:r>
      <w:r>
        <w:rPr>
          <w:spacing w:val="-1"/>
        </w:rPr>
        <w:t> </w:t>
      </w:r>
      <w:r>
        <w:rPr/>
        <w:t>accounting,</w:t>
      </w:r>
      <w:r>
        <w:rPr>
          <w:spacing w:val="-1"/>
        </w:rPr>
        <w:t> </w:t>
      </w:r>
      <w:r>
        <w:rPr/>
        <w:t>and</w:t>
      </w:r>
      <w:r>
        <w:rPr>
          <w:spacing w:val="-1"/>
        </w:rPr>
        <w:t> </w:t>
      </w:r>
      <w:r>
        <w:rPr/>
        <w:t>we</w:t>
      </w:r>
      <w:r>
        <w:rPr>
          <w:spacing w:val="-1"/>
        </w:rPr>
        <w:t> </w:t>
      </w:r>
      <w:r>
        <w:rPr/>
        <w:t>now</w:t>
      </w:r>
      <w:r>
        <w:rPr>
          <w:spacing w:val="-1"/>
        </w:rPr>
        <w:t> </w:t>
      </w:r>
      <w:r>
        <w:rPr/>
        <w:t>consolidate</w:t>
      </w:r>
      <w:r>
        <w:rPr>
          <w:spacing w:val="-1"/>
        </w:rPr>
        <w:t> </w:t>
      </w:r>
      <w:r>
        <w:rPr/>
        <w:t>CityCenter</w:t>
      </w:r>
      <w:r>
        <w:rPr>
          <w:spacing w:val="-1"/>
        </w:rPr>
        <w:t> </w:t>
      </w:r>
      <w:r>
        <w:rPr/>
        <w:t>in</w:t>
      </w:r>
      <w:r>
        <w:rPr>
          <w:spacing w:val="-1"/>
        </w:rPr>
        <w:t> </w:t>
      </w:r>
      <w:r>
        <w:rPr/>
        <w:t>our financial statements.</w:t>
      </w:r>
    </w:p>
    <w:p>
      <w:pPr>
        <w:pStyle w:val="BodyText"/>
        <w:spacing w:before="2"/>
      </w:pPr>
    </w:p>
    <w:p>
      <w:pPr>
        <w:pStyle w:val="BodyText"/>
        <w:spacing w:line="249" w:lineRule="auto" w:before="1"/>
        <w:ind w:left="144" w:right="118" w:firstLine="499"/>
        <w:jc w:val="both"/>
      </w:pPr>
      <w:r>
        <w:rPr/>
        <w:t>In April 2022, we completed the VICI Transaction pursuant to which the assets and liabilities of MGP were derecognized, which included MGP </w:t>
      </w:r>
      <w:r>
        <w:rPr/>
        <w:t>OP’s investment in the VICI BREIT Venture.</w:t>
      </w:r>
    </w:p>
    <w:p>
      <w:pPr>
        <w:pStyle w:val="BodyText"/>
        <w:spacing w:before="10"/>
      </w:pPr>
    </w:p>
    <w:p>
      <w:pPr>
        <w:pStyle w:val="Heading5"/>
        <w:ind w:left="88" w:right="9852"/>
      </w:pPr>
      <w:r>
        <w:rPr/>
        <w:t>Non-operating</w:t>
      </w:r>
      <w:r>
        <w:rPr>
          <w:spacing w:val="-1"/>
        </w:rPr>
        <w:t> </w:t>
      </w:r>
      <w:r>
        <w:rPr>
          <w:spacing w:val="-2"/>
        </w:rPr>
        <w:t>Results</w:t>
      </w:r>
    </w:p>
    <w:p>
      <w:pPr>
        <w:pStyle w:val="BodyText"/>
        <w:spacing w:before="18"/>
        <w:rPr>
          <w:b/>
        </w:rPr>
      </w:pPr>
    </w:p>
    <w:p>
      <w:pPr>
        <w:spacing w:before="0"/>
        <w:ind w:left="0" w:right="9831" w:firstLine="0"/>
        <w:jc w:val="center"/>
        <w:rPr>
          <w:i/>
          <w:sz w:val="18"/>
        </w:rPr>
      </w:pPr>
      <w:r>
        <w:rPr>
          <w:i/>
          <w:sz w:val="18"/>
        </w:rPr>
        <w:t>Interest</w:t>
      </w:r>
      <w:r>
        <w:rPr>
          <w:i/>
          <w:spacing w:val="-10"/>
          <w:sz w:val="18"/>
        </w:rPr>
        <w:t> </w:t>
      </w:r>
      <w:r>
        <w:rPr>
          <w:i/>
          <w:spacing w:val="-2"/>
          <w:sz w:val="18"/>
        </w:rPr>
        <w:t>expense</w:t>
      </w:r>
    </w:p>
    <w:p>
      <w:pPr>
        <w:pStyle w:val="BodyText"/>
        <w:spacing w:before="4"/>
        <w:rPr>
          <w:i/>
        </w:rPr>
      </w:pPr>
    </w:p>
    <w:p>
      <w:pPr>
        <w:pStyle w:val="BodyText"/>
        <w:spacing w:before="1"/>
        <w:ind w:left="644"/>
      </w:pPr>
      <w:r>
        <w:rPr/>
        <w:t>The</w:t>
      </w:r>
      <w:r>
        <w:rPr>
          <w:spacing w:val="-1"/>
        </w:rPr>
        <w:t> </w:t>
      </w:r>
      <w:r>
        <w:rPr/>
        <w:t>following</w:t>
      </w:r>
      <w:r>
        <w:rPr>
          <w:spacing w:val="-1"/>
        </w:rPr>
        <w:t> </w:t>
      </w:r>
      <w:r>
        <w:rPr/>
        <w:t>table</w:t>
      </w:r>
      <w:r>
        <w:rPr>
          <w:spacing w:val="-1"/>
        </w:rPr>
        <w:t> </w:t>
      </w:r>
      <w:r>
        <w:rPr/>
        <w:t>summarizes</w:t>
      </w:r>
      <w:r>
        <w:rPr>
          <w:spacing w:val="-1"/>
        </w:rPr>
        <w:t> </w:t>
      </w:r>
      <w:r>
        <w:rPr/>
        <w:t>information</w:t>
      </w:r>
      <w:r>
        <w:rPr>
          <w:spacing w:val="-1"/>
        </w:rPr>
        <w:t> </w:t>
      </w:r>
      <w:r>
        <w:rPr/>
        <w:t>related</w:t>
      </w:r>
      <w:r>
        <w:rPr>
          <w:spacing w:val="-1"/>
        </w:rPr>
        <w:t> </w:t>
      </w:r>
      <w:r>
        <w:rPr/>
        <w:t>to</w:t>
      </w:r>
      <w:r>
        <w:rPr>
          <w:spacing w:val="-1"/>
        </w:rPr>
        <w:t> </w:t>
      </w:r>
      <w:r>
        <w:rPr/>
        <w:t>interest</w:t>
      </w:r>
      <w:r>
        <w:rPr>
          <w:spacing w:val="-1"/>
        </w:rPr>
        <w:t> </w:t>
      </w:r>
      <w:r>
        <w:rPr/>
        <w:t>expense,</w:t>
      </w:r>
      <w:r>
        <w:rPr>
          <w:spacing w:val="-1"/>
        </w:rPr>
        <w:t> </w:t>
      </w:r>
      <w:r>
        <w:rPr>
          <w:spacing w:val="-4"/>
        </w:rPr>
        <w:t>net:</w:t>
      </w:r>
    </w:p>
    <w:p>
      <w:pPr>
        <w:pStyle w:val="BodyText"/>
        <w:spacing w:before="58"/>
      </w:pPr>
    </w:p>
    <w:p>
      <w:pPr>
        <w:pStyle w:val="Heading5"/>
        <w:ind w:left="6747"/>
      </w:pPr>
      <w:r>
        <w:rPr/>
        <mc:AlternateContent>
          <mc:Choice Requires="wps">
            <w:drawing>
              <wp:anchor distT="0" distB="0" distL="0" distR="0" allowOverlap="1" layoutInCell="1" locked="0" behindDoc="1" simplePos="0" relativeHeight="487626752">
                <wp:simplePos x="0" y="0"/>
                <wp:positionH relativeFrom="page">
                  <wp:posOffset>4500550</wp:posOffset>
                </wp:positionH>
                <wp:positionV relativeFrom="paragraph">
                  <wp:posOffset>149897</wp:posOffset>
                </wp:positionV>
                <wp:extent cx="3043555" cy="889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1.802924pt;width:239.625011pt;height:.675pt;mso-position-horizontal-relative:page;mso-position-vertical-relative:paragraph;z-index:-15689728;mso-wrap-distance-left:0;mso-wrap-distance-right:0" id="docshape224"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82" w:val="left" w:leader="none"/>
          <w:tab w:pos="10019" w:val="left" w:leader="none"/>
        </w:tabs>
        <w:spacing w:before="21" w:after="42"/>
        <w:ind w:left="6746"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227" name="Group 227"/>
                <wp:cNvGraphicFramePr>
                  <a:graphicFrameLocks/>
                </wp:cNvGraphicFramePr>
                <a:graphic>
                  <a:graphicData uri="http://schemas.microsoft.com/office/word/2010/wordprocessingGroup">
                    <wpg:wgp>
                      <wpg:cNvPr id="227" name="Group 227"/>
                      <wpg:cNvGrpSpPr/>
                      <wpg:grpSpPr>
                        <a:xfrm>
                          <a:off x="0" y="0"/>
                          <a:ext cx="3043555" cy="8890"/>
                          <a:chExt cx="3043555" cy="8890"/>
                        </a:xfrm>
                      </wpg:grpSpPr>
                      <wps:wsp>
                        <wps:cNvPr id="228" name="Graphic 228"/>
                        <wps:cNvSpPr/>
                        <wps:spPr>
                          <a:xfrm>
                            <a:off x="-12"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225" coordorigin="0,0" coordsize="4793,14">
                <v:rect style="position:absolute;left:-1;top:0;width:4793;height:14" id="docshape226" filled="true" fillcolor="#000000" stroked="false">
                  <v:fill type="solid"/>
                </v:rect>
              </v:group>
            </w:pict>
          </mc:Fallback>
        </mc:AlternateContent>
      </w:r>
      <w:r>
        <w:rPr>
          <w:sz w:val="2"/>
        </w:rPr>
      </w:r>
    </w:p>
    <w:p>
      <w:pPr>
        <w:spacing w:before="11" w:after="38"/>
        <w:ind w:left="6747"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3"/>
        <w:gridCol w:w="4123"/>
        <w:gridCol w:w="1636"/>
        <w:gridCol w:w="1584"/>
      </w:tblGrid>
      <w:tr>
        <w:trPr>
          <w:trHeight w:val="256" w:hRule="atLeast"/>
        </w:trPr>
        <w:tc>
          <w:tcPr>
            <w:tcW w:w="4173" w:type="dxa"/>
            <w:shd w:val="clear" w:color="auto" w:fill="CFF0FB"/>
          </w:tcPr>
          <w:p>
            <w:pPr>
              <w:pStyle w:val="TableParagraph"/>
              <w:ind w:left="17"/>
              <w:rPr>
                <w:sz w:val="18"/>
              </w:rPr>
            </w:pPr>
            <w:r>
              <w:rPr>
                <w:sz w:val="18"/>
              </w:rPr>
              <w:t>Total</w:t>
            </w:r>
            <w:r>
              <w:rPr>
                <w:spacing w:val="-8"/>
                <w:sz w:val="18"/>
              </w:rPr>
              <w:t> </w:t>
            </w:r>
            <w:r>
              <w:rPr>
                <w:sz w:val="18"/>
              </w:rPr>
              <w:t>interest</w:t>
            </w:r>
            <w:r>
              <w:rPr>
                <w:spacing w:val="-7"/>
                <w:sz w:val="18"/>
              </w:rPr>
              <w:t> </w:t>
            </w:r>
            <w:r>
              <w:rPr>
                <w:spacing w:val="-2"/>
                <w:sz w:val="18"/>
              </w:rPr>
              <w:t>incurred</w:t>
            </w:r>
          </w:p>
        </w:tc>
        <w:tc>
          <w:tcPr>
            <w:tcW w:w="4123" w:type="dxa"/>
            <w:shd w:val="clear" w:color="auto" w:fill="CFF0FB"/>
          </w:tcPr>
          <w:p>
            <w:pPr>
              <w:pStyle w:val="TableParagraph"/>
              <w:tabs>
                <w:tab w:pos="843" w:val="left" w:leader="none"/>
              </w:tabs>
              <w:ind w:right="124"/>
              <w:jc w:val="right"/>
              <w:rPr>
                <w:sz w:val="18"/>
              </w:rPr>
            </w:pPr>
            <w:r>
              <w:rPr>
                <w:spacing w:val="-10"/>
                <w:sz w:val="18"/>
              </w:rPr>
              <w:t>$</w:t>
            </w:r>
            <w:r>
              <w:rPr>
                <w:sz w:val="18"/>
              </w:rPr>
              <w:tab/>
            </w:r>
            <w:r>
              <w:rPr>
                <w:spacing w:val="-2"/>
                <w:sz w:val="18"/>
              </w:rPr>
              <w:t>595,692</w:t>
            </w:r>
          </w:p>
        </w:tc>
        <w:tc>
          <w:tcPr>
            <w:tcW w:w="1636" w:type="dxa"/>
            <w:shd w:val="clear" w:color="auto" w:fill="CFF0FB"/>
          </w:tcPr>
          <w:p>
            <w:pPr>
              <w:pStyle w:val="TableParagraph"/>
              <w:tabs>
                <w:tab w:pos="843" w:val="left" w:leader="none"/>
              </w:tabs>
              <w:ind w:right="124"/>
              <w:jc w:val="right"/>
              <w:rPr>
                <w:sz w:val="18"/>
              </w:rPr>
            </w:pPr>
            <w:r>
              <w:rPr>
                <w:spacing w:val="-10"/>
                <w:sz w:val="18"/>
              </w:rPr>
              <w:t>$</w:t>
            </w:r>
            <w:r>
              <w:rPr>
                <w:sz w:val="18"/>
              </w:rPr>
              <w:tab/>
            </w:r>
            <w:r>
              <w:rPr>
                <w:spacing w:val="-2"/>
                <w:sz w:val="18"/>
              </w:rPr>
              <w:t>800,156</w:t>
            </w:r>
          </w:p>
        </w:tc>
        <w:tc>
          <w:tcPr>
            <w:tcW w:w="1584" w:type="dxa"/>
            <w:shd w:val="clear" w:color="auto" w:fill="CFF0FB"/>
          </w:tcPr>
          <w:p>
            <w:pPr>
              <w:pStyle w:val="TableParagraph"/>
              <w:tabs>
                <w:tab w:pos="844" w:val="left" w:leader="none"/>
              </w:tabs>
              <w:ind w:right="71"/>
              <w:jc w:val="right"/>
              <w:rPr>
                <w:sz w:val="18"/>
              </w:rPr>
            </w:pPr>
            <w:r>
              <w:rPr>
                <w:spacing w:val="-10"/>
                <w:sz w:val="18"/>
              </w:rPr>
              <w:t>$</w:t>
            </w:r>
            <w:r>
              <w:rPr>
                <w:sz w:val="18"/>
              </w:rPr>
              <w:tab/>
            </w:r>
            <w:r>
              <w:rPr>
                <w:spacing w:val="-2"/>
                <w:sz w:val="18"/>
              </w:rPr>
              <w:t>679,251</w:t>
            </w:r>
          </w:p>
        </w:tc>
      </w:tr>
      <w:tr>
        <w:trPr>
          <w:trHeight w:val="255" w:hRule="atLeast"/>
        </w:trPr>
        <w:tc>
          <w:tcPr>
            <w:tcW w:w="4173" w:type="dxa"/>
          </w:tcPr>
          <w:p>
            <w:pPr>
              <w:pStyle w:val="TableParagraph"/>
              <w:ind w:left="17"/>
              <w:rPr>
                <w:sz w:val="18"/>
              </w:rPr>
            </w:pPr>
            <w:r>
              <w:rPr>
                <w:sz w:val="18"/>
              </w:rPr>
              <w:t>Interest</w:t>
            </w:r>
            <w:r>
              <w:rPr>
                <w:spacing w:val="-1"/>
                <w:sz w:val="18"/>
              </w:rPr>
              <w:t> </w:t>
            </w:r>
            <w:r>
              <w:rPr>
                <w:spacing w:val="-2"/>
                <w:sz w:val="18"/>
              </w:rPr>
              <w:t>capitalized</w:t>
            </w:r>
          </w:p>
        </w:tc>
        <w:tc>
          <w:tcPr>
            <w:tcW w:w="4123" w:type="dxa"/>
            <w:tcBorders>
              <w:bottom w:val="single" w:sz="6" w:space="0" w:color="000000"/>
            </w:tcBorders>
          </w:tcPr>
          <w:p>
            <w:pPr>
              <w:pStyle w:val="TableParagraph"/>
              <w:ind w:right="79"/>
              <w:jc w:val="right"/>
              <w:rPr>
                <w:sz w:val="18"/>
              </w:rPr>
            </w:pPr>
            <w:r>
              <w:rPr>
                <w:spacing w:val="-2"/>
                <w:sz w:val="18"/>
              </w:rPr>
              <w:t>(738)</w:t>
            </w:r>
          </w:p>
        </w:tc>
        <w:tc>
          <w:tcPr>
            <w:tcW w:w="1636" w:type="dxa"/>
            <w:tcBorders>
              <w:bottom w:val="single" w:sz="6" w:space="0" w:color="000000"/>
            </w:tcBorders>
          </w:tcPr>
          <w:p>
            <w:pPr>
              <w:pStyle w:val="TableParagraph"/>
              <w:ind w:right="79"/>
              <w:jc w:val="right"/>
              <w:rPr>
                <w:sz w:val="18"/>
              </w:rPr>
            </w:pPr>
            <w:r>
              <w:rPr>
                <w:spacing w:val="-2"/>
                <w:sz w:val="18"/>
              </w:rPr>
              <w:t>(563)</w:t>
            </w:r>
          </w:p>
        </w:tc>
        <w:tc>
          <w:tcPr>
            <w:tcW w:w="1584" w:type="dxa"/>
            <w:tcBorders>
              <w:bottom w:val="single" w:sz="6" w:space="0" w:color="000000"/>
            </w:tcBorders>
          </w:tcPr>
          <w:p>
            <w:pPr>
              <w:pStyle w:val="TableParagraph"/>
              <w:ind w:right="27"/>
              <w:jc w:val="right"/>
              <w:rPr>
                <w:sz w:val="18"/>
              </w:rPr>
            </w:pPr>
            <w:r>
              <w:rPr>
                <w:spacing w:val="-2"/>
                <w:sz w:val="18"/>
              </w:rPr>
              <w:t>(2,871)</w:t>
            </w:r>
          </w:p>
        </w:tc>
      </w:tr>
      <w:tr>
        <w:trPr>
          <w:trHeight w:val="260" w:hRule="atLeast"/>
        </w:trPr>
        <w:tc>
          <w:tcPr>
            <w:tcW w:w="4173" w:type="dxa"/>
            <w:shd w:val="clear" w:color="auto" w:fill="CFF0FB"/>
          </w:tcPr>
          <w:p>
            <w:pPr>
              <w:pStyle w:val="TableParagraph"/>
              <w:spacing w:before="0"/>
              <w:rPr>
                <w:sz w:val="16"/>
              </w:rPr>
            </w:pPr>
          </w:p>
        </w:tc>
        <w:tc>
          <w:tcPr>
            <w:tcW w:w="4123" w:type="dxa"/>
            <w:tcBorders>
              <w:top w:val="single" w:sz="6" w:space="0" w:color="000000"/>
            </w:tcBorders>
            <w:shd w:val="clear" w:color="auto" w:fill="CFF0FB"/>
          </w:tcPr>
          <w:p>
            <w:pPr>
              <w:pStyle w:val="TableParagraph"/>
              <w:tabs>
                <w:tab w:pos="843" w:val="left" w:leader="none"/>
              </w:tabs>
              <w:spacing w:before="20"/>
              <w:ind w:right="124"/>
              <w:jc w:val="right"/>
              <w:rPr>
                <w:sz w:val="18"/>
              </w:rPr>
            </w:pPr>
            <w:r>
              <w:rPr/>
              <mc:AlternateContent>
                <mc:Choice Requires="wps">
                  <w:drawing>
                    <wp:anchor distT="0" distB="0" distL="0" distR="0" allowOverlap="1" layoutInCell="1" locked="0" behindDoc="1" simplePos="0" relativeHeight="477671424">
                      <wp:simplePos x="0" y="0"/>
                      <wp:positionH relativeFrom="column">
                        <wp:posOffset>1619358</wp:posOffset>
                      </wp:positionH>
                      <wp:positionV relativeFrom="paragraph">
                        <wp:posOffset>162285</wp:posOffset>
                      </wp:positionV>
                      <wp:extent cx="969010" cy="3429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969010" cy="34290"/>
                                <a:chExt cx="969010" cy="34290"/>
                              </a:xfrm>
                            </wpg:grpSpPr>
                            <wps:wsp>
                              <wps:cNvPr id="230" name="Graphic 230"/>
                              <wps:cNvSpPr/>
                              <wps:spPr>
                                <a:xfrm>
                                  <a:off x="-12" y="0"/>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7.508514pt;margin-top:12.778411pt;width:76.3pt;height:2.7pt;mso-position-horizontal-relative:column;mso-position-vertical-relative:paragraph;z-index:-25645056" id="docshapegroup227" coordorigin="2550,256" coordsize="1526,54">
                      <v:shape style="position:absolute;left:2550;top:255;width:1526;height:54" id="docshape228" coordorigin="2550,256" coordsize="1526,54" path="m4076,296l4049,296,2672,296,2550,296,2550,310,2672,310,4049,310,4076,310,4076,296xm4076,256l4049,256,2672,256,2550,256,2550,269,2672,269,4049,269,4076,269,4076,256xe" filled="true" fillcolor="#000000" stroked="false">
                        <v:path arrowok="t"/>
                        <v:fill type="solid"/>
                      </v:shape>
                      <w10:wrap type="none"/>
                    </v:group>
                  </w:pict>
                </mc:Fallback>
              </mc:AlternateContent>
            </w:r>
            <w:r>
              <w:rPr>
                <w:spacing w:val="-10"/>
                <w:sz w:val="18"/>
              </w:rPr>
              <w:t>$</w:t>
            </w:r>
            <w:r>
              <w:rPr>
                <w:sz w:val="18"/>
              </w:rPr>
              <w:tab/>
            </w:r>
            <w:r>
              <w:rPr>
                <w:spacing w:val="-2"/>
                <w:sz w:val="18"/>
              </w:rPr>
              <w:t>594,954</w:t>
            </w:r>
          </w:p>
        </w:tc>
        <w:tc>
          <w:tcPr>
            <w:tcW w:w="1636" w:type="dxa"/>
            <w:tcBorders>
              <w:top w:val="single" w:sz="6" w:space="0" w:color="000000"/>
            </w:tcBorders>
            <w:shd w:val="clear" w:color="auto" w:fill="CFF0FB"/>
          </w:tcPr>
          <w:p>
            <w:pPr>
              <w:pStyle w:val="TableParagraph"/>
              <w:tabs>
                <w:tab w:pos="843" w:val="left" w:leader="none"/>
              </w:tabs>
              <w:spacing w:before="20"/>
              <w:ind w:right="124"/>
              <w:jc w:val="right"/>
              <w:rPr>
                <w:sz w:val="18"/>
              </w:rPr>
            </w:pPr>
            <w:r>
              <w:rPr/>
              <mc:AlternateContent>
                <mc:Choice Requires="wps">
                  <w:drawing>
                    <wp:anchor distT="0" distB="0" distL="0" distR="0" allowOverlap="1" layoutInCell="1" locked="0" behindDoc="1" simplePos="0" relativeHeight="477671936">
                      <wp:simplePos x="0" y="0"/>
                      <wp:positionH relativeFrom="column">
                        <wp:posOffset>38384</wp:posOffset>
                      </wp:positionH>
                      <wp:positionV relativeFrom="paragraph">
                        <wp:posOffset>162285</wp:posOffset>
                      </wp:positionV>
                      <wp:extent cx="969010" cy="3429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969010" cy="34290"/>
                                <a:chExt cx="969010" cy="34290"/>
                              </a:xfrm>
                            </wpg:grpSpPr>
                            <wps:wsp>
                              <wps:cNvPr id="232" name="Graphic 232"/>
                              <wps:cNvSpPr/>
                              <wps:spPr>
                                <a:xfrm>
                                  <a:off x="-12" y="0"/>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22386pt;margin-top:12.778411pt;width:76.3pt;height:2.7pt;mso-position-horizontal-relative:column;mso-position-vertical-relative:paragraph;z-index:-25644544" id="docshapegroup229" coordorigin="60,256" coordsize="1526,54">
                      <v:shape style="position:absolute;left:60;top:255;width:1526;height:54" id="docshape230" coordorigin="60,256" coordsize="1526,54" path="m1586,296l1559,296,182,296,60,296,60,310,182,310,1559,310,1586,310,1586,296xm1586,256l1559,256,182,256,60,256,60,269,182,269,1559,269,1586,269,1586,256xe" filled="true" fillcolor="#000000" stroked="false">
                        <v:path arrowok="t"/>
                        <v:fill type="solid"/>
                      </v:shape>
                      <w10:wrap type="none"/>
                    </v:group>
                  </w:pict>
                </mc:Fallback>
              </mc:AlternateContent>
            </w:r>
            <w:r>
              <w:rPr>
                <w:spacing w:val="-10"/>
                <w:sz w:val="18"/>
              </w:rPr>
              <w:t>$</w:t>
            </w:r>
            <w:r>
              <w:rPr>
                <w:sz w:val="18"/>
              </w:rPr>
              <w:tab/>
            </w:r>
            <w:r>
              <w:rPr>
                <w:spacing w:val="-2"/>
                <w:sz w:val="18"/>
              </w:rPr>
              <w:t>799,593</w:t>
            </w:r>
          </w:p>
        </w:tc>
        <w:tc>
          <w:tcPr>
            <w:tcW w:w="1584" w:type="dxa"/>
            <w:tcBorders>
              <w:top w:val="single" w:sz="6" w:space="0" w:color="000000"/>
              <w:bottom w:val="double" w:sz="6" w:space="0" w:color="000000"/>
            </w:tcBorders>
            <w:shd w:val="clear" w:color="auto" w:fill="CFF0FB"/>
          </w:tcPr>
          <w:p>
            <w:pPr>
              <w:pStyle w:val="TableParagraph"/>
              <w:tabs>
                <w:tab w:pos="844" w:val="left" w:leader="none"/>
              </w:tabs>
              <w:spacing w:before="20"/>
              <w:ind w:right="71"/>
              <w:jc w:val="right"/>
              <w:rPr>
                <w:sz w:val="18"/>
              </w:rPr>
            </w:pPr>
            <w:r>
              <w:rPr>
                <w:spacing w:val="-10"/>
                <w:sz w:val="18"/>
              </w:rPr>
              <w:t>$</w:t>
            </w:r>
            <w:r>
              <w:rPr>
                <w:sz w:val="18"/>
              </w:rPr>
              <w:tab/>
            </w:r>
            <w:r>
              <w:rPr>
                <w:spacing w:val="-2"/>
                <w:sz w:val="18"/>
              </w:rPr>
              <w:t>676,380</w:t>
            </w:r>
          </w:p>
        </w:tc>
      </w:tr>
    </w:tbl>
    <w:p>
      <w:pPr>
        <w:pStyle w:val="BodyText"/>
        <w:spacing w:before="151"/>
        <w:rPr>
          <w:b/>
          <w:i/>
          <w:sz w:val="14"/>
        </w:rPr>
      </w:pPr>
    </w:p>
    <w:p>
      <w:pPr>
        <w:pStyle w:val="BodyText"/>
        <w:spacing w:line="237" w:lineRule="auto"/>
        <w:ind w:left="144" w:right="118" w:firstLine="499"/>
        <w:jc w:val="both"/>
      </w:pPr>
      <w:r>
        <w:rPr/>
        <w:t>Gross interest expense was $596 million in 2022 compared to $800 million in 2021. The decrease from the prior year period is due primarily to a decrease in debt outstanding as a result of the derecognition of MGP OP’s senior notes in connection with the deconsolidation of MGP, partially offset by an increase in the debt outstanding under MGM China’s revolving credit facilities. See Note 9 to the accompanying consolidated financial statements </w:t>
      </w:r>
      <w:r>
        <w:rPr/>
        <w:t>for discussion on long-term debt and see “Liquidity and Capital Resources” for discussion on issuances and repayments of long-term debt and other sources and uses of cash.</w:t>
      </w:r>
    </w:p>
    <w:p>
      <w:pPr>
        <w:pStyle w:val="BodyText"/>
      </w:pPr>
    </w:p>
    <w:p>
      <w:pPr>
        <w:pStyle w:val="BodyText"/>
        <w:spacing w:before="193"/>
      </w:pPr>
    </w:p>
    <w:p>
      <w:pPr>
        <w:pStyle w:val="BodyText"/>
        <w:ind w:left="24"/>
        <w:jc w:val="center"/>
      </w:pPr>
      <w:r>
        <w:rPr>
          <w:spacing w:val="-5"/>
        </w:rPr>
        <w:t>40</w:t>
      </w:r>
    </w:p>
    <w:p>
      <w:pPr>
        <w:pStyle w:val="BodyText"/>
        <w:spacing w:before="3"/>
        <w:rPr>
          <w:sz w:val="6"/>
        </w:rPr>
      </w:pPr>
      <w:r>
        <w:rPr/>
        <mc:AlternateContent>
          <mc:Choice Requires="wps">
            <w:drawing>
              <wp:anchor distT="0" distB="0" distL="0" distR="0" allowOverlap="1" layoutInCell="1" locked="0" behindDoc="1" simplePos="0" relativeHeight="487627776">
                <wp:simplePos x="0" y="0"/>
                <wp:positionH relativeFrom="page">
                  <wp:posOffset>231457</wp:posOffset>
                </wp:positionH>
                <wp:positionV relativeFrom="paragraph">
                  <wp:posOffset>60956</wp:posOffset>
                </wp:positionV>
                <wp:extent cx="7312659" cy="17145"/>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7312659" cy="17145"/>
                          <a:chExt cx="7312659" cy="17145"/>
                        </a:xfrm>
                      </wpg:grpSpPr>
                      <wps:wsp>
                        <wps:cNvPr id="234" name="Graphic 23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35" name="Graphic 235"/>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36" name="Graphic 23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88704;mso-wrap-distance-left:0;mso-wrap-distance-right:0" id="docshapegroup231" coordorigin="364,96" coordsize="11516,27">
                <v:rect style="position:absolute;left:364;top:96;width:11516;height:14" id="docshape232" filled="true" fillcolor="#999999" stroked="false">
                  <v:fill type="solid"/>
                </v:rect>
                <v:shape style="position:absolute;left:364;top:96;width:11516;height:27" id="docshape233" coordorigin="364,96" coordsize="11516,27" path="m11880,96l11866,109,364,109,364,123,11866,123,11880,123,11880,109,11880,96xe" filled="true" fillcolor="#ededed" stroked="false">
                  <v:path arrowok="t"/>
                  <v:fill type="solid"/>
                </v:shape>
                <v:shape style="position:absolute;left:364;top:96;width:14;height:27" id="docshape234"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spacing w:before="79"/>
        <w:ind w:left="394" w:right="0" w:firstLine="0"/>
        <w:jc w:val="left"/>
        <w:rPr>
          <w:i/>
          <w:sz w:val="18"/>
        </w:rPr>
      </w:pPr>
      <w:r>
        <w:rPr>
          <w:i/>
          <w:spacing w:val="-2"/>
          <w:sz w:val="18"/>
        </w:rPr>
        <w:t>Other,</w:t>
      </w:r>
      <w:r>
        <w:rPr>
          <w:i/>
          <w:spacing w:val="-9"/>
          <w:sz w:val="18"/>
        </w:rPr>
        <w:t> </w:t>
      </w:r>
      <w:r>
        <w:rPr>
          <w:i/>
          <w:spacing w:val="-5"/>
          <w:sz w:val="18"/>
        </w:rPr>
        <w:t>net</w:t>
      </w:r>
    </w:p>
    <w:p>
      <w:pPr>
        <w:pStyle w:val="BodyText"/>
        <w:spacing w:before="4"/>
        <w:rPr>
          <w:i/>
        </w:rPr>
      </w:pPr>
    </w:p>
    <w:p>
      <w:pPr>
        <w:pStyle w:val="BodyText"/>
        <w:spacing w:line="242" w:lineRule="auto"/>
        <w:ind w:left="144" w:right="118" w:firstLine="499"/>
        <w:jc w:val="both"/>
      </w:pPr>
      <w:r>
        <w:rPr/>
        <w:t>Other</w:t>
      </w:r>
      <w:r>
        <w:rPr>
          <w:spacing w:val="-1"/>
        </w:rPr>
        <w:t> </w:t>
      </w:r>
      <w:r>
        <w:rPr/>
        <w:t>income,</w:t>
      </w:r>
      <w:r>
        <w:rPr>
          <w:spacing w:val="-1"/>
        </w:rPr>
        <w:t> </w:t>
      </w:r>
      <w:r>
        <w:rPr/>
        <w:t>net</w:t>
      </w:r>
      <w:r>
        <w:rPr>
          <w:spacing w:val="-1"/>
        </w:rPr>
        <w:t> </w:t>
      </w:r>
      <w:r>
        <w:rPr/>
        <w:t>was</w:t>
      </w:r>
      <w:r>
        <w:rPr>
          <w:spacing w:val="-1"/>
        </w:rPr>
        <w:t> </w:t>
      </w:r>
      <w:r>
        <w:rPr/>
        <w:t>$83</w:t>
      </w:r>
      <w:r>
        <w:rPr>
          <w:spacing w:val="-1"/>
        </w:rPr>
        <w:t> </w:t>
      </w:r>
      <w:r>
        <w:rPr/>
        <w:t>million</w:t>
      </w:r>
      <w:r>
        <w:rPr>
          <w:spacing w:val="-1"/>
        </w:rPr>
        <w:t> </w:t>
      </w:r>
      <w:r>
        <w:rPr/>
        <w:t>in</w:t>
      </w:r>
      <w:r>
        <w:rPr>
          <w:spacing w:val="-1"/>
        </w:rPr>
        <w:t> </w:t>
      </w:r>
      <w:r>
        <w:rPr/>
        <w:t>2022</w:t>
      </w:r>
      <w:r>
        <w:rPr>
          <w:spacing w:val="-1"/>
        </w:rPr>
        <w:t> </w:t>
      </w:r>
      <w:r>
        <w:rPr/>
        <w:t>compared</w:t>
      </w:r>
      <w:r>
        <w:rPr>
          <w:spacing w:val="-1"/>
        </w:rPr>
        <w:t> </w:t>
      </w:r>
      <w:r>
        <w:rPr/>
        <w:t>to</w:t>
      </w:r>
      <w:r>
        <w:rPr>
          <w:spacing w:val="-1"/>
        </w:rPr>
        <w:t> </w:t>
      </w:r>
      <w:r>
        <w:rPr/>
        <w:t>$66</w:t>
      </w:r>
      <w:r>
        <w:rPr>
          <w:spacing w:val="-1"/>
        </w:rPr>
        <w:t> </w:t>
      </w:r>
      <w:r>
        <w:rPr/>
        <w:t>million</w:t>
      </w:r>
      <w:r>
        <w:rPr>
          <w:spacing w:val="-1"/>
        </w:rPr>
        <w:t> </w:t>
      </w:r>
      <w:r>
        <w:rPr/>
        <w:t>in</w:t>
      </w:r>
      <w:r>
        <w:rPr>
          <w:spacing w:val="-1"/>
        </w:rPr>
        <w:t> </w:t>
      </w:r>
      <w:r>
        <w:rPr/>
        <w:t>2021.</w:t>
      </w:r>
      <w:r>
        <w:rPr>
          <w:spacing w:val="-4"/>
        </w:rPr>
        <w:t> </w:t>
      </w:r>
      <w:r>
        <w:rPr/>
        <w:t>The</w:t>
      </w:r>
      <w:r>
        <w:rPr>
          <w:spacing w:val="-1"/>
        </w:rPr>
        <w:t> </w:t>
      </w:r>
      <w:r>
        <w:rPr/>
        <w:t>current</w:t>
      </w:r>
      <w:r>
        <w:rPr>
          <w:spacing w:val="-1"/>
        </w:rPr>
        <w:t> </w:t>
      </w:r>
      <w:r>
        <w:rPr/>
        <w:t>and</w:t>
      </w:r>
      <w:r>
        <w:rPr>
          <w:spacing w:val="-1"/>
        </w:rPr>
        <w:t> </w:t>
      </w:r>
      <w:r>
        <w:rPr/>
        <w:t>prior</w:t>
      </w:r>
      <w:r>
        <w:rPr>
          <w:spacing w:val="-1"/>
        </w:rPr>
        <w:t> </w:t>
      </w:r>
      <w:r>
        <w:rPr/>
        <w:t>year</w:t>
      </w:r>
      <w:r>
        <w:rPr>
          <w:spacing w:val="-1"/>
        </w:rPr>
        <w:t> </w:t>
      </w:r>
      <w:r>
        <w:rPr/>
        <w:t>included</w:t>
      </w:r>
      <w:r>
        <w:rPr>
          <w:spacing w:val="-1"/>
        </w:rPr>
        <w:t> </w:t>
      </w:r>
      <w:r>
        <w:rPr/>
        <w:t>interest</w:t>
      </w:r>
      <w:r>
        <w:rPr>
          <w:spacing w:val="-1"/>
        </w:rPr>
        <w:t> </w:t>
      </w:r>
      <w:r>
        <w:rPr/>
        <w:t>income</w:t>
      </w:r>
      <w:r>
        <w:rPr>
          <w:spacing w:val="-1"/>
        </w:rPr>
        <w:t> </w:t>
      </w:r>
      <w:r>
        <w:rPr/>
        <w:t>of</w:t>
      </w:r>
      <w:r>
        <w:rPr>
          <w:spacing w:val="-1"/>
        </w:rPr>
        <w:t> </w:t>
      </w:r>
      <w:r>
        <w:rPr/>
        <w:t>$87</w:t>
      </w:r>
      <w:r>
        <w:rPr>
          <w:spacing w:val="-1"/>
        </w:rPr>
        <w:t> </w:t>
      </w:r>
      <w:r>
        <w:rPr/>
        <w:t>million</w:t>
      </w:r>
      <w:r>
        <w:rPr>
          <w:spacing w:val="-1"/>
        </w:rPr>
        <w:t> </w:t>
      </w:r>
      <w:r>
        <w:rPr/>
        <w:t>and</w:t>
      </w:r>
      <w:r>
        <w:rPr>
          <w:spacing w:val="-1"/>
        </w:rPr>
        <w:t> </w:t>
      </w:r>
      <w:r>
        <w:rPr/>
        <w:t>$22 million, respectively, and a net gain on equity investments of $10 million and $28 million, respectively. The current year income was partially offset by a $12 million loss relating to interest rate swaps, while the prior year included a $39 million gain on interest rate swaps.</w:t>
      </w:r>
    </w:p>
    <w:p>
      <w:pPr>
        <w:pStyle w:val="BodyText"/>
        <w:spacing w:before="3"/>
      </w:pPr>
    </w:p>
    <w:p>
      <w:pPr>
        <w:spacing w:before="0"/>
        <w:ind w:left="394" w:right="0" w:firstLine="0"/>
        <w:jc w:val="left"/>
        <w:rPr>
          <w:i/>
          <w:sz w:val="18"/>
        </w:rPr>
      </w:pPr>
      <w:r>
        <w:rPr>
          <w:i/>
          <w:sz w:val="18"/>
        </w:rPr>
        <w:t>Income</w:t>
      </w:r>
      <w:r>
        <w:rPr>
          <w:i/>
          <w:spacing w:val="-1"/>
          <w:sz w:val="18"/>
        </w:rPr>
        <w:t> </w:t>
      </w:r>
      <w:r>
        <w:rPr>
          <w:i/>
          <w:spacing w:val="-2"/>
          <w:sz w:val="18"/>
        </w:rPr>
        <w:t>taxes</w:t>
      </w:r>
    </w:p>
    <w:p>
      <w:pPr>
        <w:pStyle w:val="BodyText"/>
        <w:spacing w:before="18"/>
        <w:rPr>
          <w:i/>
        </w:rPr>
      </w:pPr>
    </w:p>
    <w:p>
      <w:pPr>
        <w:pStyle w:val="BodyText"/>
        <w:ind w:right="5227"/>
        <w:jc w:val="center"/>
      </w:pPr>
      <w:r>
        <w:rPr/>
        <w:t>The</w:t>
      </w:r>
      <w:r>
        <w:rPr>
          <w:spacing w:val="-1"/>
        </w:rPr>
        <w:t> </w:t>
      </w:r>
      <w:r>
        <w:rPr/>
        <w:t>following</w:t>
      </w:r>
      <w:r>
        <w:rPr>
          <w:spacing w:val="-1"/>
        </w:rPr>
        <w:t> </w:t>
      </w:r>
      <w:r>
        <w:rPr/>
        <w:t>table</w:t>
      </w:r>
      <w:r>
        <w:rPr>
          <w:spacing w:val="-1"/>
        </w:rPr>
        <w:t> </w:t>
      </w:r>
      <w:r>
        <w:rPr/>
        <w:t>summarizes</w:t>
      </w:r>
      <w:r>
        <w:rPr>
          <w:spacing w:val="-1"/>
        </w:rPr>
        <w:t> </w:t>
      </w:r>
      <w:r>
        <w:rPr/>
        <w:t>information</w:t>
      </w:r>
      <w:r>
        <w:rPr>
          <w:spacing w:val="-1"/>
        </w:rPr>
        <w:t> </w:t>
      </w:r>
      <w:r>
        <w:rPr/>
        <w:t>related</w:t>
      </w:r>
      <w:r>
        <w:rPr>
          <w:spacing w:val="-1"/>
        </w:rPr>
        <w:t> </w:t>
      </w:r>
      <w:r>
        <w:rPr/>
        <w:t>to</w:t>
      </w:r>
      <w:r>
        <w:rPr>
          <w:spacing w:val="-1"/>
        </w:rPr>
        <w:t> </w:t>
      </w:r>
      <w:r>
        <w:rPr/>
        <w:t>our</w:t>
      </w:r>
      <w:r>
        <w:rPr>
          <w:spacing w:val="-1"/>
        </w:rPr>
        <w:t> </w:t>
      </w:r>
      <w:r>
        <w:rPr/>
        <w:t>income</w:t>
      </w:r>
      <w:r>
        <w:rPr>
          <w:spacing w:val="-1"/>
        </w:rPr>
        <w:t> </w:t>
      </w:r>
      <w:r>
        <w:rPr>
          <w:spacing w:val="-2"/>
        </w:rPr>
        <w:t>taxes:</w:t>
      </w:r>
    </w:p>
    <w:p>
      <w:pPr>
        <w:pStyle w:val="Heading5"/>
        <w:spacing w:before="50"/>
        <w:ind w:left="6429"/>
      </w:pPr>
      <w:r>
        <w:rPr/>
        <mc:AlternateContent>
          <mc:Choice Requires="wps">
            <w:drawing>
              <wp:anchor distT="0" distB="0" distL="0" distR="0" allowOverlap="1" layoutInCell="1" locked="0" behindDoc="1" simplePos="0" relativeHeight="487631360">
                <wp:simplePos x="0" y="0"/>
                <wp:positionH relativeFrom="page">
                  <wp:posOffset>4294809</wp:posOffset>
                </wp:positionH>
                <wp:positionV relativeFrom="paragraph">
                  <wp:posOffset>181272</wp:posOffset>
                </wp:positionV>
                <wp:extent cx="3249295" cy="889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3249295" cy="8890"/>
                        </a:xfrm>
                        <a:custGeom>
                          <a:avLst/>
                          <a:gdLst/>
                          <a:ahLst/>
                          <a:cxnLst/>
                          <a:rect l="l" t="t" r="r" b="b"/>
                          <a:pathLst>
                            <a:path w="3249295" h="8890">
                              <a:moveTo>
                                <a:pt x="3248977" y="0"/>
                              </a:moveTo>
                              <a:lnTo>
                                <a:pt x="3248977" y="0"/>
                              </a:lnTo>
                              <a:lnTo>
                                <a:pt x="0" y="0"/>
                              </a:lnTo>
                              <a:lnTo>
                                <a:pt x="0" y="8572"/>
                              </a:lnTo>
                              <a:lnTo>
                                <a:pt x="3248977" y="8572"/>
                              </a:lnTo>
                              <a:lnTo>
                                <a:pt x="32489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174011pt;margin-top:14.273408pt;width:255.825012pt;height:.675pt;mso-position-horizontal-relative:page;mso-position-vertical-relative:paragraph;z-index:-15685120;mso-wrap-distance-left:0;mso-wrap-distance-right:0" id="docshape235"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159" w:val="left" w:leader="none"/>
          <w:tab w:pos="9905" w:val="left" w:leader="none"/>
        </w:tabs>
        <w:spacing w:before="21" w:after="29"/>
        <w:ind w:left="6421"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543"/>
        <w:rPr>
          <w:sz w:val="2"/>
        </w:rPr>
      </w:pPr>
      <w:r>
        <w:rPr>
          <w:sz w:val="2"/>
        </w:rPr>
        <mc:AlternateContent>
          <mc:Choice Requires="wps">
            <w:drawing>
              <wp:inline distT="0" distB="0" distL="0" distR="0">
                <wp:extent cx="3249295" cy="8890"/>
                <wp:effectExtent l="0" t="0" r="0" b="0"/>
                <wp:docPr id="238" name="Group 238"/>
                <wp:cNvGraphicFramePr>
                  <a:graphicFrameLocks/>
                </wp:cNvGraphicFramePr>
                <a:graphic>
                  <a:graphicData uri="http://schemas.microsoft.com/office/word/2010/wordprocessingGroup">
                    <wpg:wgp>
                      <wpg:cNvPr id="238" name="Group 238"/>
                      <wpg:cNvGrpSpPr/>
                      <wpg:grpSpPr>
                        <a:xfrm>
                          <a:off x="0" y="0"/>
                          <a:ext cx="3249295" cy="8890"/>
                          <a:chExt cx="3249295" cy="8890"/>
                        </a:xfrm>
                      </wpg:grpSpPr>
                      <wps:wsp>
                        <wps:cNvPr id="239" name="Graphic 239"/>
                        <wps:cNvSpPr/>
                        <wps:spPr>
                          <a:xfrm>
                            <a:off x="-12" y="-2"/>
                            <a:ext cx="3249295" cy="8890"/>
                          </a:xfrm>
                          <a:custGeom>
                            <a:avLst/>
                            <a:gdLst/>
                            <a:ahLst/>
                            <a:cxnLst/>
                            <a:rect l="l" t="t" r="r" b="b"/>
                            <a:pathLst>
                              <a:path w="3249295" h="8890">
                                <a:moveTo>
                                  <a:pt x="3248977" y="0"/>
                                </a:moveTo>
                                <a:lnTo>
                                  <a:pt x="3248977" y="0"/>
                                </a:lnTo>
                                <a:lnTo>
                                  <a:pt x="0" y="0"/>
                                </a:lnTo>
                                <a:lnTo>
                                  <a:pt x="0" y="8572"/>
                                </a:lnTo>
                                <a:lnTo>
                                  <a:pt x="3248977" y="8572"/>
                                </a:lnTo>
                                <a:lnTo>
                                  <a:pt x="32489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5.85pt;height:.7pt;mso-position-horizontal-relative:char;mso-position-vertical-relative:line" id="docshapegroup236" coordorigin="0,0" coordsize="5117,14">
                <v:rect style="position:absolute;left:-1;top:0;width:5117;height:14" id="docshape237" filled="true" fillcolor="#000000" stroked="false">
                  <v:fill type="solid"/>
                </v:rect>
              </v:group>
            </w:pict>
          </mc:Fallback>
        </mc:AlternateContent>
      </w:r>
      <w:r>
        <w:rPr>
          <w:sz w:val="2"/>
        </w:rPr>
      </w:r>
    </w:p>
    <w:p>
      <w:pPr>
        <w:spacing w:before="11" w:after="38"/>
        <w:ind w:left="6428"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1"/>
        <w:gridCol w:w="2728"/>
        <w:gridCol w:w="1742"/>
        <w:gridCol w:w="1691"/>
      </w:tblGrid>
      <w:tr>
        <w:trPr>
          <w:trHeight w:val="269" w:hRule="atLeast"/>
        </w:trPr>
        <w:tc>
          <w:tcPr>
            <w:tcW w:w="5351" w:type="dxa"/>
            <w:shd w:val="clear" w:color="auto" w:fill="CFF0FB"/>
          </w:tcPr>
          <w:p>
            <w:pPr>
              <w:pStyle w:val="TableParagraph"/>
              <w:ind w:left="17"/>
              <w:rPr>
                <w:sz w:val="18"/>
              </w:rPr>
            </w:pPr>
            <w:r>
              <w:rPr>
                <w:sz w:val="18"/>
              </w:rPr>
              <w:t>Income</w:t>
            </w:r>
            <w:r>
              <w:rPr>
                <w:spacing w:val="-1"/>
                <w:sz w:val="18"/>
              </w:rPr>
              <w:t> </w:t>
            </w:r>
            <w:r>
              <w:rPr>
                <w:sz w:val="18"/>
              </w:rPr>
              <w:t>(loss)</w:t>
            </w:r>
            <w:r>
              <w:rPr>
                <w:spacing w:val="-1"/>
                <w:sz w:val="18"/>
              </w:rPr>
              <w:t> </w:t>
            </w:r>
            <w:r>
              <w:rPr>
                <w:sz w:val="18"/>
              </w:rPr>
              <w:t>before</w:t>
            </w:r>
            <w:r>
              <w:rPr>
                <w:spacing w:val="-1"/>
                <w:sz w:val="18"/>
              </w:rPr>
              <w:t> </w:t>
            </w:r>
            <w:r>
              <w:rPr>
                <w:sz w:val="18"/>
              </w:rPr>
              <w:t>income</w:t>
            </w:r>
            <w:r>
              <w:rPr>
                <w:spacing w:val="-1"/>
                <w:sz w:val="18"/>
              </w:rPr>
              <w:t> </w:t>
            </w:r>
            <w:r>
              <w:rPr>
                <w:spacing w:val="-2"/>
                <w:sz w:val="18"/>
              </w:rPr>
              <w:t>taxes</w:t>
            </w:r>
          </w:p>
        </w:tc>
        <w:tc>
          <w:tcPr>
            <w:tcW w:w="2728" w:type="dxa"/>
            <w:shd w:val="clear" w:color="auto" w:fill="CFF0FB"/>
          </w:tcPr>
          <w:p>
            <w:pPr>
              <w:pStyle w:val="TableParagraph"/>
              <w:tabs>
                <w:tab w:pos="1873" w:val="left" w:leader="none"/>
              </w:tabs>
              <w:ind w:left="1071"/>
              <w:rPr>
                <w:sz w:val="18"/>
              </w:rPr>
            </w:pPr>
            <w:r>
              <w:rPr>
                <w:spacing w:val="-10"/>
                <w:sz w:val="18"/>
              </w:rPr>
              <w:t>$</w:t>
            </w:r>
            <w:r>
              <w:rPr>
                <w:sz w:val="18"/>
              </w:rPr>
              <w:tab/>
            </w:r>
            <w:r>
              <w:rPr>
                <w:spacing w:val="-2"/>
                <w:sz w:val="18"/>
              </w:rPr>
              <w:t>903,799</w:t>
            </w:r>
          </w:p>
        </w:tc>
        <w:tc>
          <w:tcPr>
            <w:tcW w:w="1742" w:type="dxa"/>
            <w:shd w:val="clear" w:color="auto" w:fill="CFF0FB"/>
          </w:tcPr>
          <w:p>
            <w:pPr>
              <w:pStyle w:val="TableParagraph"/>
              <w:tabs>
                <w:tab w:pos="754" w:val="left" w:leader="none"/>
              </w:tabs>
              <w:ind w:left="77"/>
              <w:rPr>
                <w:sz w:val="18"/>
              </w:rPr>
            </w:pPr>
            <w:r>
              <w:rPr>
                <w:spacing w:val="-10"/>
                <w:sz w:val="18"/>
              </w:rPr>
              <w:t>$</w:t>
            </w:r>
            <w:r>
              <w:rPr>
                <w:sz w:val="18"/>
              </w:rPr>
              <w:tab/>
            </w:r>
            <w:r>
              <w:rPr>
                <w:spacing w:val="-2"/>
                <w:sz w:val="18"/>
              </w:rPr>
              <w:t>1,461,804</w:t>
            </w:r>
          </w:p>
        </w:tc>
        <w:tc>
          <w:tcPr>
            <w:tcW w:w="1691" w:type="dxa"/>
            <w:shd w:val="clear" w:color="auto" w:fill="CFF0FB"/>
          </w:tcPr>
          <w:p>
            <w:pPr>
              <w:pStyle w:val="TableParagraph"/>
              <w:tabs>
                <w:tab w:pos="692" w:val="left" w:leader="none"/>
              </w:tabs>
              <w:ind w:left="78"/>
              <w:rPr>
                <w:sz w:val="18"/>
              </w:rPr>
            </w:pPr>
            <w:r>
              <w:rPr>
                <w:spacing w:val="-10"/>
                <w:sz w:val="18"/>
              </w:rPr>
              <w:t>$</w:t>
            </w:r>
            <w:r>
              <w:rPr>
                <w:sz w:val="18"/>
              </w:rPr>
              <w:tab/>
            </w:r>
            <w:r>
              <w:rPr>
                <w:spacing w:val="-2"/>
                <w:sz w:val="18"/>
              </w:rPr>
              <w:t>(1,511,479)</w:t>
            </w:r>
          </w:p>
        </w:tc>
      </w:tr>
      <w:tr>
        <w:trPr>
          <w:trHeight w:val="256" w:hRule="atLeast"/>
        </w:trPr>
        <w:tc>
          <w:tcPr>
            <w:tcW w:w="5351" w:type="dxa"/>
          </w:tcPr>
          <w:p>
            <w:pPr>
              <w:pStyle w:val="TableParagraph"/>
              <w:ind w:left="17"/>
              <w:rPr>
                <w:sz w:val="18"/>
              </w:rPr>
            </w:pPr>
            <w:r>
              <w:rPr>
                <w:sz w:val="18"/>
              </w:rPr>
              <w:t>Benefit</w:t>
            </w:r>
            <w:r>
              <w:rPr>
                <w:spacing w:val="-1"/>
                <w:sz w:val="18"/>
              </w:rPr>
              <w:t> </w:t>
            </w:r>
            <w:r>
              <w:rPr>
                <w:sz w:val="18"/>
              </w:rPr>
              <w:t>(provision)</w:t>
            </w:r>
            <w:r>
              <w:rPr>
                <w:spacing w:val="-1"/>
                <w:sz w:val="18"/>
              </w:rPr>
              <w:t> </w:t>
            </w:r>
            <w:r>
              <w:rPr>
                <w:sz w:val="18"/>
              </w:rPr>
              <w:t>for</w:t>
            </w:r>
            <w:r>
              <w:rPr>
                <w:spacing w:val="-1"/>
                <w:sz w:val="18"/>
              </w:rPr>
              <w:t> </w:t>
            </w:r>
            <w:r>
              <w:rPr>
                <w:sz w:val="18"/>
              </w:rPr>
              <w:t>income</w:t>
            </w:r>
            <w:r>
              <w:rPr>
                <w:spacing w:val="-1"/>
                <w:sz w:val="18"/>
              </w:rPr>
              <w:t> </w:t>
            </w:r>
            <w:r>
              <w:rPr>
                <w:spacing w:val="-2"/>
                <w:sz w:val="18"/>
              </w:rPr>
              <w:t>taxes</w:t>
            </w:r>
          </w:p>
        </w:tc>
        <w:tc>
          <w:tcPr>
            <w:tcW w:w="2728" w:type="dxa"/>
          </w:tcPr>
          <w:p>
            <w:pPr>
              <w:pStyle w:val="TableParagraph"/>
              <w:ind w:left="1799"/>
              <w:rPr>
                <w:sz w:val="18"/>
              </w:rPr>
            </w:pPr>
            <w:r>
              <w:rPr>
                <w:spacing w:val="-2"/>
                <w:sz w:val="18"/>
              </w:rPr>
              <w:t>(697,068)</w:t>
            </w:r>
          </w:p>
        </w:tc>
        <w:tc>
          <w:tcPr>
            <w:tcW w:w="1742" w:type="dxa"/>
          </w:tcPr>
          <w:p>
            <w:pPr>
              <w:pStyle w:val="TableParagraph"/>
              <w:ind w:right="220"/>
              <w:jc w:val="right"/>
              <w:rPr>
                <w:sz w:val="18"/>
              </w:rPr>
            </w:pPr>
            <w:r>
              <w:rPr>
                <w:spacing w:val="-2"/>
                <w:sz w:val="18"/>
              </w:rPr>
              <w:t>(253,415)</w:t>
            </w:r>
          </w:p>
        </w:tc>
        <w:tc>
          <w:tcPr>
            <w:tcW w:w="1691" w:type="dxa"/>
          </w:tcPr>
          <w:p>
            <w:pPr>
              <w:pStyle w:val="TableParagraph"/>
              <w:ind w:left="895"/>
              <w:rPr>
                <w:sz w:val="18"/>
              </w:rPr>
            </w:pPr>
            <w:r>
              <w:rPr>
                <w:spacing w:val="-2"/>
                <w:sz w:val="18"/>
              </w:rPr>
              <w:t>191,572</w:t>
            </w:r>
          </w:p>
        </w:tc>
      </w:tr>
      <w:tr>
        <w:trPr>
          <w:trHeight w:val="256" w:hRule="atLeast"/>
        </w:trPr>
        <w:tc>
          <w:tcPr>
            <w:tcW w:w="5351" w:type="dxa"/>
            <w:shd w:val="clear" w:color="auto" w:fill="CFF0FB"/>
          </w:tcPr>
          <w:p>
            <w:pPr>
              <w:pStyle w:val="TableParagraph"/>
              <w:ind w:left="17"/>
              <w:rPr>
                <w:sz w:val="18"/>
              </w:rPr>
            </w:pPr>
            <w:r>
              <w:rPr>
                <w:sz w:val="18"/>
              </w:rPr>
              <w:t>Effective</w:t>
            </w:r>
            <w:r>
              <w:rPr>
                <w:spacing w:val="-3"/>
                <w:sz w:val="18"/>
              </w:rPr>
              <w:t> </w:t>
            </w:r>
            <w:r>
              <w:rPr>
                <w:sz w:val="18"/>
              </w:rPr>
              <w:t>income</w:t>
            </w:r>
            <w:r>
              <w:rPr>
                <w:spacing w:val="-2"/>
                <w:sz w:val="18"/>
              </w:rPr>
              <w:t> </w:t>
            </w:r>
            <w:r>
              <w:rPr>
                <w:sz w:val="18"/>
              </w:rPr>
              <w:t>tax</w:t>
            </w:r>
            <w:r>
              <w:rPr>
                <w:spacing w:val="-2"/>
                <w:sz w:val="18"/>
              </w:rPr>
              <w:t> </w:t>
            </w:r>
            <w:r>
              <w:rPr>
                <w:spacing w:val="-4"/>
                <w:sz w:val="18"/>
              </w:rPr>
              <w:t>rate</w:t>
            </w:r>
          </w:p>
        </w:tc>
        <w:tc>
          <w:tcPr>
            <w:tcW w:w="2728" w:type="dxa"/>
            <w:shd w:val="clear" w:color="auto" w:fill="CFF0FB"/>
          </w:tcPr>
          <w:p>
            <w:pPr>
              <w:pStyle w:val="TableParagraph"/>
              <w:ind w:right="72"/>
              <w:jc w:val="right"/>
              <w:rPr>
                <w:sz w:val="18"/>
              </w:rPr>
            </w:pPr>
            <w:r>
              <w:rPr>
                <w:sz w:val="18"/>
              </w:rPr>
              <w:t>77.1 </w:t>
            </w:r>
            <w:r>
              <w:rPr>
                <w:spacing w:val="-10"/>
                <w:sz w:val="18"/>
              </w:rPr>
              <w:t>%</w:t>
            </w:r>
          </w:p>
        </w:tc>
        <w:tc>
          <w:tcPr>
            <w:tcW w:w="1742" w:type="dxa"/>
            <w:shd w:val="clear" w:color="auto" w:fill="CFF0FB"/>
          </w:tcPr>
          <w:p>
            <w:pPr>
              <w:pStyle w:val="TableParagraph"/>
              <w:ind w:right="71"/>
              <w:jc w:val="right"/>
              <w:rPr>
                <w:sz w:val="18"/>
              </w:rPr>
            </w:pPr>
            <w:r>
              <w:rPr>
                <w:sz w:val="18"/>
              </w:rPr>
              <w:t>17.3 </w:t>
            </w:r>
            <w:r>
              <w:rPr>
                <w:spacing w:val="-10"/>
                <w:sz w:val="18"/>
              </w:rPr>
              <w:t>%</w:t>
            </w:r>
          </w:p>
        </w:tc>
        <w:tc>
          <w:tcPr>
            <w:tcW w:w="1691" w:type="dxa"/>
            <w:shd w:val="clear" w:color="auto" w:fill="CFF0FB"/>
          </w:tcPr>
          <w:p>
            <w:pPr>
              <w:pStyle w:val="TableParagraph"/>
              <w:ind w:right="12"/>
              <w:jc w:val="right"/>
              <w:rPr>
                <w:sz w:val="18"/>
              </w:rPr>
            </w:pPr>
            <w:r>
              <w:rPr>
                <w:sz w:val="18"/>
              </w:rPr>
              <w:t>12.7</w:t>
            </w:r>
            <w:r>
              <w:rPr>
                <w:spacing w:val="1"/>
                <w:sz w:val="18"/>
              </w:rPr>
              <w:t> </w:t>
            </w:r>
            <w:r>
              <w:rPr>
                <w:spacing w:val="-10"/>
                <w:sz w:val="18"/>
              </w:rPr>
              <w:t>%</w:t>
            </w:r>
          </w:p>
        </w:tc>
      </w:tr>
      <w:tr>
        <w:trPr>
          <w:trHeight w:val="227" w:hRule="atLeast"/>
        </w:trPr>
        <w:tc>
          <w:tcPr>
            <w:tcW w:w="5351" w:type="dxa"/>
          </w:tcPr>
          <w:p>
            <w:pPr>
              <w:pStyle w:val="TableParagraph"/>
              <w:spacing w:line="187" w:lineRule="exact"/>
              <w:ind w:left="17"/>
              <w:rPr>
                <w:sz w:val="18"/>
              </w:rPr>
            </w:pPr>
            <w:r>
              <w:rPr>
                <w:sz w:val="18"/>
              </w:rPr>
              <w:t>Federal,</w:t>
            </w:r>
            <w:r>
              <w:rPr>
                <w:spacing w:val="-1"/>
                <w:sz w:val="18"/>
              </w:rPr>
              <w:t> </w:t>
            </w:r>
            <w:r>
              <w:rPr>
                <w:sz w:val="18"/>
              </w:rPr>
              <w:t>state</w:t>
            </w:r>
            <w:r>
              <w:rPr>
                <w:spacing w:val="-1"/>
                <w:sz w:val="18"/>
              </w:rPr>
              <w:t> </w:t>
            </w:r>
            <w:r>
              <w:rPr>
                <w:sz w:val="18"/>
              </w:rPr>
              <w:t>and</w:t>
            </w:r>
            <w:r>
              <w:rPr>
                <w:spacing w:val="-1"/>
                <w:sz w:val="18"/>
              </w:rPr>
              <w:t> </w:t>
            </w:r>
            <w:r>
              <w:rPr>
                <w:sz w:val="18"/>
              </w:rPr>
              <w:t>foreign</w:t>
            </w:r>
            <w:r>
              <w:rPr>
                <w:spacing w:val="-1"/>
                <w:sz w:val="18"/>
              </w:rPr>
              <w:t> </w:t>
            </w:r>
            <w:r>
              <w:rPr>
                <w:sz w:val="18"/>
              </w:rPr>
              <w:t>income</w:t>
            </w:r>
            <w:r>
              <w:rPr>
                <w:spacing w:val="-1"/>
                <w:sz w:val="18"/>
              </w:rPr>
              <w:t> </w:t>
            </w:r>
            <w:r>
              <w:rPr>
                <w:sz w:val="18"/>
              </w:rPr>
              <w:t>taxes</w:t>
            </w:r>
            <w:r>
              <w:rPr>
                <w:spacing w:val="-1"/>
                <w:sz w:val="18"/>
              </w:rPr>
              <w:t> </w:t>
            </w:r>
            <w:r>
              <w:rPr>
                <w:sz w:val="18"/>
              </w:rPr>
              <w:t>paid,</w:t>
            </w:r>
            <w:r>
              <w:rPr>
                <w:spacing w:val="-1"/>
                <w:sz w:val="18"/>
              </w:rPr>
              <w:t> </w:t>
            </w:r>
            <w:r>
              <w:rPr>
                <w:sz w:val="18"/>
              </w:rPr>
              <w:t>net</w:t>
            </w:r>
            <w:r>
              <w:rPr>
                <w:spacing w:val="-1"/>
                <w:sz w:val="18"/>
              </w:rPr>
              <w:t> </w:t>
            </w:r>
            <w:r>
              <w:rPr>
                <w:sz w:val="18"/>
              </w:rPr>
              <w:t>of</w:t>
            </w:r>
            <w:r>
              <w:rPr>
                <w:spacing w:val="-1"/>
                <w:sz w:val="18"/>
              </w:rPr>
              <w:t> </w:t>
            </w:r>
            <w:r>
              <w:rPr>
                <w:spacing w:val="-2"/>
                <w:sz w:val="18"/>
              </w:rPr>
              <w:t>refunds</w:t>
            </w:r>
          </w:p>
        </w:tc>
        <w:tc>
          <w:tcPr>
            <w:tcW w:w="2728" w:type="dxa"/>
          </w:tcPr>
          <w:p>
            <w:pPr>
              <w:pStyle w:val="TableParagraph"/>
              <w:tabs>
                <w:tab w:pos="1963" w:val="left" w:leader="none"/>
              </w:tabs>
              <w:spacing w:line="187" w:lineRule="exact"/>
              <w:ind w:left="1071"/>
              <w:rPr>
                <w:sz w:val="18"/>
              </w:rPr>
            </w:pPr>
            <w:r>
              <w:rPr>
                <w:spacing w:val="-10"/>
                <w:sz w:val="18"/>
              </w:rPr>
              <w:t>$</w:t>
            </w:r>
            <w:r>
              <w:rPr>
                <w:sz w:val="18"/>
              </w:rPr>
              <w:tab/>
            </w:r>
            <w:r>
              <w:rPr>
                <w:spacing w:val="-2"/>
                <w:sz w:val="18"/>
              </w:rPr>
              <w:t>22,955</w:t>
            </w:r>
          </w:p>
        </w:tc>
        <w:tc>
          <w:tcPr>
            <w:tcW w:w="1742" w:type="dxa"/>
          </w:tcPr>
          <w:p>
            <w:pPr>
              <w:pStyle w:val="TableParagraph"/>
              <w:tabs>
                <w:tab w:pos="978" w:val="left" w:leader="none"/>
              </w:tabs>
              <w:spacing w:line="187" w:lineRule="exact"/>
              <w:ind w:left="77"/>
              <w:rPr>
                <w:sz w:val="18"/>
              </w:rPr>
            </w:pPr>
            <w:r>
              <w:rPr>
                <w:spacing w:val="-10"/>
                <w:sz w:val="18"/>
              </w:rPr>
              <w:t>$</w:t>
            </w:r>
            <w:r>
              <w:rPr>
                <w:sz w:val="18"/>
              </w:rPr>
              <w:tab/>
            </w:r>
            <w:r>
              <w:rPr>
                <w:spacing w:val="-2"/>
                <w:sz w:val="18"/>
              </w:rPr>
              <w:t>43,018</w:t>
            </w:r>
          </w:p>
        </w:tc>
        <w:tc>
          <w:tcPr>
            <w:tcW w:w="1691" w:type="dxa"/>
          </w:tcPr>
          <w:p>
            <w:pPr>
              <w:pStyle w:val="TableParagraph"/>
              <w:tabs>
                <w:tab w:pos="1075" w:val="left" w:leader="none"/>
              </w:tabs>
              <w:spacing w:line="187" w:lineRule="exact"/>
              <w:ind w:left="78"/>
              <w:rPr>
                <w:sz w:val="18"/>
              </w:rPr>
            </w:pPr>
            <w:r>
              <w:rPr>
                <w:spacing w:val="-10"/>
                <w:sz w:val="18"/>
              </w:rPr>
              <w:t>$</w:t>
            </w:r>
            <w:r>
              <w:rPr>
                <w:sz w:val="18"/>
              </w:rPr>
              <w:tab/>
            </w:r>
            <w:r>
              <w:rPr>
                <w:spacing w:val="-2"/>
                <w:sz w:val="18"/>
              </w:rPr>
              <w:t>8,543</w:t>
            </w:r>
          </w:p>
        </w:tc>
      </w:tr>
    </w:tbl>
    <w:p>
      <w:pPr>
        <w:pStyle w:val="BodyText"/>
        <w:spacing w:before="130"/>
        <w:rPr>
          <w:b/>
          <w:i/>
        </w:rPr>
      </w:pPr>
    </w:p>
    <w:p>
      <w:pPr>
        <w:pStyle w:val="BodyText"/>
        <w:spacing w:line="237" w:lineRule="auto"/>
        <w:ind w:left="144" w:right="118" w:firstLine="499"/>
        <w:jc w:val="both"/>
      </w:pPr>
      <w:r>
        <w:rPr/>
        <w:t>Our effective rate for 2022 was unfavorably impacted by losses in Macau that we could not benefit and an increase in state deferred tax liabilities as </w:t>
      </w:r>
      <w:r>
        <w:rPr/>
        <w:t>a result of the New Jersey income tax regulation issuance, partially offset by a decrease in Macau deferred tax liabilities resulting from the acceleration of amortization of the MGM Grand Paradise gaming subconcession and the extension of the exemption from the Macau 12% complementary tax to the end of the year as well as the impact of a decrease in state deferred tax liabilities as a result of the VICI Transaction. Our effective rate for 2021 was favorably impacted by the permanent exclusion of a portion of the gain on consolidation of CityCenter, partially offset by the unfavorable impact of losses in Macau that we could not benefit.</w:t>
      </w:r>
    </w:p>
    <w:p>
      <w:pPr>
        <w:pStyle w:val="BodyText"/>
        <w:spacing w:before="20"/>
      </w:pPr>
    </w:p>
    <w:p>
      <w:pPr>
        <w:pStyle w:val="BodyText"/>
        <w:ind w:left="644"/>
      </w:pPr>
      <w:r>
        <w:rPr/>
        <w:t>Cash</w:t>
      </w:r>
      <w:r>
        <w:rPr>
          <w:spacing w:val="-1"/>
        </w:rPr>
        <w:t> </w:t>
      </w:r>
      <w:r>
        <w:rPr/>
        <w:t>taxes</w:t>
      </w:r>
      <w:r>
        <w:rPr>
          <w:spacing w:val="-1"/>
        </w:rPr>
        <w:t> </w:t>
      </w:r>
      <w:r>
        <w:rPr/>
        <w:t>paid</w:t>
      </w:r>
      <w:r>
        <w:rPr>
          <w:spacing w:val="-1"/>
        </w:rPr>
        <w:t> </w:t>
      </w:r>
      <w:r>
        <w:rPr/>
        <w:t>decreased</w:t>
      </w:r>
      <w:r>
        <w:rPr>
          <w:spacing w:val="-1"/>
        </w:rPr>
        <w:t> </w:t>
      </w:r>
      <w:r>
        <w:rPr/>
        <w:t>in</w:t>
      </w:r>
      <w:r>
        <w:rPr>
          <w:spacing w:val="-1"/>
        </w:rPr>
        <w:t> </w:t>
      </w:r>
      <w:r>
        <w:rPr/>
        <w:t>2022</w:t>
      </w:r>
      <w:r>
        <w:rPr>
          <w:spacing w:val="-1"/>
        </w:rPr>
        <w:t> </w:t>
      </w:r>
      <w:r>
        <w:rPr/>
        <w:t>compared</w:t>
      </w:r>
      <w:r>
        <w:rPr>
          <w:spacing w:val="-1"/>
        </w:rPr>
        <w:t> </w:t>
      </w:r>
      <w:r>
        <w:rPr/>
        <w:t>to</w:t>
      </w:r>
      <w:r>
        <w:rPr>
          <w:spacing w:val="-1"/>
        </w:rPr>
        <w:t> </w:t>
      </w:r>
      <w:r>
        <w:rPr/>
        <w:t>2021</w:t>
      </w:r>
      <w:r>
        <w:rPr>
          <w:spacing w:val="-1"/>
        </w:rPr>
        <w:t> </w:t>
      </w:r>
      <w:r>
        <w:rPr/>
        <w:t>primarily</w:t>
      </w:r>
      <w:r>
        <w:rPr>
          <w:spacing w:val="-1"/>
        </w:rPr>
        <w:t> </w:t>
      </w:r>
      <w:r>
        <w:rPr/>
        <w:t>due</w:t>
      </w:r>
      <w:r>
        <w:rPr>
          <w:spacing w:val="-1"/>
        </w:rPr>
        <w:t> </w:t>
      </w:r>
      <w:r>
        <w:rPr/>
        <w:t>to</w:t>
      </w:r>
      <w:r>
        <w:rPr>
          <w:spacing w:val="-1"/>
        </w:rPr>
        <w:t> </w:t>
      </w:r>
      <w:r>
        <w:rPr/>
        <w:t>refunds</w:t>
      </w:r>
      <w:r>
        <w:rPr>
          <w:spacing w:val="-1"/>
        </w:rPr>
        <w:t> </w:t>
      </w:r>
      <w:r>
        <w:rPr/>
        <w:t>received</w:t>
      </w:r>
      <w:r>
        <w:rPr>
          <w:spacing w:val="-1"/>
        </w:rPr>
        <w:t> </w:t>
      </w:r>
      <w:r>
        <w:rPr/>
        <w:t>from</w:t>
      </w:r>
      <w:r>
        <w:rPr>
          <w:spacing w:val="-1"/>
        </w:rPr>
        <w:t> </w:t>
      </w:r>
      <w:r>
        <w:rPr/>
        <w:t>carryback</w:t>
      </w:r>
      <w:r>
        <w:rPr>
          <w:spacing w:val="-1"/>
        </w:rPr>
        <w:t> </w:t>
      </w:r>
      <w:r>
        <w:rPr/>
        <w:t>claims</w:t>
      </w:r>
      <w:r>
        <w:rPr>
          <w:spacing w:val="-1"/>
        </w:rPr>
        <w:t> </w:t>
      </w:r>
      <w:r>
        <w:rPr/>
        <w:t>related</w:t>
      </w:r>
      <w:r>
        <w:rPr>
          <w:spacing w:val="-1"/>
        </w:rPr>
        <w:t> </w:t>
      </w:r>
      <w:r>
        <w:rPr/>
        <w:t>to</w:t>
      </w:r>
      <w:r>
        <w:rPr>
          <w:spacing w:val="-1"/>
        </w:rPr>
        <w:t> </w:t>
      </w:r>
      <w:r>
        <w:rPr/>
        <w:t>losses</w:t>
      </w:r>
      <w:r>
        <w:rPr>
          <w:spacing w:val="-1"/>
        </w:rPr>
        <w:t> </w:t>
      </w:r>
      <w:r>
        <w:rPr/>
        <w:t>incurred</w:t>
      </w:r>
      <w:r>
        <w:rPr>
          <w:spacing w:val="-1"/>
        </w:rPr>
        <w:t> </w:t>
      </w:r>
      <w:r>
        <w:rPr/>
        <w:t>in</w:t>
      </w:r>
      <w:r>
        <w:rPr>
          <w:spacing w:val="-1"/>
        </w:rPr>
        <w:t> </w:t>
      </w:r>
      <w:r>
        <w:rPr>
          <w:spacing w:val="-2"/>
        </w:rPr>
        <w:t>2020.</w:t>
      </w:r>
    </w:p>
    <w:p>
      <w:pPr>
        <w:pStyle w:val="BodyText"/>
        <w:spacing w:before="5"/>
      </w:pPr>
    </w:p>
    <w:p>
      <w:pPr>
        <w:pStyle w:val="Heading5"/>
        <w:jc w:val="left"/>
      </w:pPr>
      <w:r>
        <w:rPr/>
        <w:t>Reportable</w:t>
      </w:r>
      <w:r>
        <w:rPr>
          <w:spacing w:val="-1"/>
        </w:rPr>
        <w:t> </w:t>
      </w:r>
      <w:r>
        <w:rPr/>
        <w:t>Segment</w:t>
      </w:r>
      <w:r>
        <w:rPr>
          <w:spacing w:val="-1"/>
        </w:rPr>
        <w:t> </w:t>
      </w:r>
      <w:r>
        <w:rPr/>
        <w:t>GAAP</w:t>
      </w:r>
      <w:r>
        <w:rPr>
          <w:spacing w:val="-10"/>
        </w:rPr>
        <w:t> </w:t>
      </w:r>
      <w:r>
        <w:rPr>
          <w:spacing w:val="-2"/>
        </w:rPr>
        <w:t>measure</w:t>
      </w:r>
    </w:p>
    <w:p>
      <w:pPr>
        <w:pStyle w:val="BodyText"/>
        <w:spacing w:before="4"/>
        <w:rPr>
          <w:b/>
        </w:rPr>
      </w:pPr>
    </w:p>
    <w:p>
      <w:pPr>
        <w:pStyle w:val="BodyText"/>
        <w:ind w:left="144" w:right="119" w:firstLine="499"/>
        <w:jc w:val="both"/>
      </w:pPr>
      <w:r>
        <w:rPr/>
        <w:t>“Adjusted Property EBITDAR” is our reportable segment GAAP measure, which we utilize as the primary profit measure for our reportable </w:t>
      </w:r>
      <w:r>
        <w:rPr/>
        <w:t>segments and underlying operating segments.</w:t>
      </w:r>
      <w:r>
        <w:rPr>
          <w:spacing w:val="-3"/>
        </w:rPr>
        <w:t> </w:t>
      </w:r>
      <w:r>
        <w:rPr/>
        <w:t>Adjusted Property EBITDAR is a measure defined as earnings before interest and other non-operating income (expense), taxes, depreciation and amortization, preopening and start-up expenses, property transactions, net, gain on REIT transactions, net, restructuring costs (which represents costs related to severance, accelerated stock compensation expense, and consulting fees directly related to the operating model component of the MGM 2020 Plan), rent expense related to triple-net operating leases and ground leases, income from unconsolidated affiliates related to investments in real estate ventures, and also excludes gain on consolidation of CityCenter, net, gain related to CityCenter’s sale of Harmon land recorded within income from unconsolidated affiliates, corporate expense (which includes CEO transition expense and October 1 litigation settlement) and stock compensation expense, which are not allocated to each operating segment, and rent expense related to the master lease with MGP</w:t>
      </w:r>
      <w:r>
        <w:rPr>
          <w:spacing w:val="-3"/>
        </w:rPr>
        <w:t> </w:t>
      </w:r>
      <w:r>
        <w:rPr/>
        <w:t>that eliminated in consolidation. We manage capital allocation, tax planning, stock compensation, and financing decisions at the corporate level. “Adjusted Property EBITDAR margin” is Adjusted Property EBITDAR divided by related segment net revenues.</w:t>
      </w:r>
    </w:p>
    <w:p>
      <w:pPr>
        <w:pStyle w:val="BodyText"/>
        <w:spacing w:before="18"/>
      </w:pPr>
    </w:p>
    <w:p>
      <w:pPr>
        <w:pStyle w:val="Heading5"/>
        <w:jc w:val="left"/>
      </w:pPr>
      <w:r>
        <w:rPr/>
        <w:t>Non-GAAP</w:t>
      </w:r>
      <w:r>
        <w:rPr>
          <w:spacing w:val="-10"/>
        </w:rPr>
        <w:t> </w:t>
      </w:r>
      <w:r>
        <w:rPr>
          <w:spacing w:val="-2"/>
        </w:rPr>
        <w:t>Measures</w:t>
      </w:r>
    </w:p>
    <w:p>
      <w:pPr>
        <w:pStyle w:val="BodyText"/>
        <w:spacing w:before="3"/>
        <w:rPr>
          <w:b/>
        </w:rPr>
      </w:pPr>
    </w:p>
    <w:p>
      <w:pPr>
        <w:pStyle w:val="BodyText"/>
        <w:spacing w:line="223" w:lineRule="auto"/>
        <w:ind w:left="144" w:right="118" w:firstLine="486"/>
        <w:jc w:val="both"/>
      </w:pPr>
      <w:r>
        <w:rPr/>
        <w:t>“Same-Store Adjusted Property EBITDAR” is Adjusted Property EBITDAR further adjusted to exclude the Adjusted Property EBITDAR of acquired operating segments from the date of acquisition through the end of the reporting period and to exclude the</w:t>
      </w:r>
      <w:r>
        <w:rPr>
          <w:spacing w:val="-7"/>
        </w:rPr>
        <w:t> </w:t>
      </w:r>
      <w:r>
        <w:rPr/>
        <w:t>Adjusted Property EBITDAR of disposed </w:t>
      </w:r>
      <w:r>
        <w:rPr/>
        <w:t>operating segments from the beginning of the reporting period through the date of disposition.</w:t>
      </w:r>
      <w:r>
        <w:rPr>
          <w:spacing w:val="-3"/>
        </w:rPr>
        <w:t> </w:t>
      </w:r>
      <w:r>
        <w:rPr/>
        <w:t>Accordingly, we have excluded the</w:t>
      </w:r>
      <w:r>
        <w:rPr>
          <w:spacing w:val="-3"/>
        </w:rPr>
        <w:t> </w:t>
      </w:r>
      <w:r>
        <w:rPr/>
        <w:t>Adjusted Property EBITDAR of The Cosmopolitan for periods subsequent to its acquisition on May 17, 2022,</w:t>
      </w:r>
      <w:r>
        <w:rPr>
          <w:spacing w:val="-9"/>
        </w:rPr>
        <w:t> </w:t>
      </w:r>
      <w:r>
        <w:rPr/>
        <w:t>Aria for periods subsequent to its acquisition on September 27, 2021, and</w:t>
      </w:r>
      <w:r>
        <w:rPr>
          <w:spacing w:val="-2"/>
        </w:rPr>
        <w:t> </w:t>
      </w:r>
      <w:r>
        <w:rPr/>
        <w:t>The Mirage for the periods prior to its disposition on December 19, 2022 in Same-Store</w:t>
      </w:r>
      <w:r>
        <w:rPr>
          <w:spacing w:val="-4"/>
        </w:rPr>
        <w:t> </w:t>
      </w:r>
      <w:r>
        <w:rPr/>
        <w:t>Adjusted Property EBITDAR for the periods indicated, as applicable.</w:t>
      </w:r>
    </w:p>
    <w:p>
      <w:pPr>
        <w:pStyle w:val="BodyText"/>
        <w:spacing w:before="7"/>
      </w:pPr>
    </w:p>
    <w:p>
      <w:pPr>
        <w:pStyle w:val="BodyText"/>
        <w:spacing w:line="249" w:lineRule="auto"/>
        <w:ind w:left="144" w:right="118" w:firstLine="499"/>
        <w:jc w:val="both"/>
      </w:pPr>
      <w:r>
        <w:rPr/>
        <w:t>Same-Store Adjusted Property EBITDAR is a non-GAAP measure and is presented solely as a supplemental disclosure to reported GAAP measures because management believes this measure is useful in providing meaningful</w:t>
      </w:r>
    </w:p>
    <w:p>
      <w:pPr>
        <w:pStyle w:val="BodyText"/>
      </w:pPr>
    </w:p>
    <w:p>
      <w:pPr>
        <w:pStyle w:val="BodyText"/>
        <w:spacing w:before="181"/>
      </w:pPr>
    </w:p>
    <w:p>
      <w:pPr>
        <w:pStyle w:val="BodyText"/>
        <w:spacing w:before="1"/>
        <w:ind w:left="24"/>
        <w:jc w:val="center"/>
      </w:pPr>
      <w:r>
        <w:rPr>
          <w:spacing w:val="-5"/>
        </w:rPr>
        <w:t>41</w:t>
      </w:r>
    </w:p>
    <w:p>
      <w:pPr>
        <w:pStyle w:val="BodyText"/>
        <w:spacing w:before="2"/>
        <w:rPr>
          <w:sz w:val="6"/>
        </w:rPr>
      </w:pPr>
      <w:r>
        <w:rPr/>
        <mc:AlternateContent>
          <mc:Choice Requires="wps">
            <w:drawing>
              <wp:anchor distT="0" distB="0" distL="0" distR="0" allowOverlap="1" layoutInCell="1" locked="0" behindDoc="1" simplePos="0" relativeHeight="487632384">
                <wp:simplePos x="0" y="0"/>
                <wp:positionH relativeFrom="page">
                  <wp:posOffset>231457</wp:posOffset>
                </wp:positionH>
                <wp:positionV relativeFrom="paragraph">
                  <wp:posOffset>60321</wp:posOffset>
                </wp:positionV>
                <wp:extent cx="7312659" cy="17145"/>
                <wp:effectExtent l="0" t="0" r="0" b="0"/>
                <wp:wrapTopAndBottom/>
                <wp:docPr id="240" name="Group 240"/>
                <wp:cNvGraphicFramePr>
                  <a:graphicFrameLocks/>
                </wp:cNvGraphicFramePr>
                <a:graphic>
                  <a:graphicData uri="http://schemas.microsoft.com/office/word/2010/wordprocessingGroup">
                    <wpg:wgp>
                      <wpg:cNvPr id="240" name="Group 240"/>
                      <wpg:cNvGrpSpPr/>
                      <wpg:grpSpPr>
                        <a:xfrm>
                          <a:off x="0" y="0"/>
                          <a:ext cx="7312659" cy="17145"/>
                          <a:chExt cx="7312659" cy="17145"/>
                        </a:xfrm>
                      </wpg:grpSpPr>
                      <wps:wsp>
                        <wps:cNvPr id="241" name="Graphic 24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2" name="Graphic 242"/>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3" name="Graphic 24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684096;mso-wrap-distance-left:0;mso-wrap-distance-right:0" id="docshapegroup238" coordorigin="364,95" coordsize="11516,27">
                <v:rect style="position:absolute;left:364;top:95;width:11516;height:14" id="docshape239" filled="true" fillcolor="#999999" stroked="false">
                  <v:fill type="solid"/>
                </v:rect>
                <v:shape style="position:absolute;left:364;top:95;width:11516;height:27" id="docshape240" coordorigin="364,95" coordsize="11516,27" path="m11880,95l11866,108,364,108,364,122,11866,122,11880,122,11880,108,11880,95xe" filled="true" fillcolor="#ededed" stroked="false">
                  <v:path arrowok="t"/>
                  <v:fill type="solid"/>
                </v:shape>
                <v:shape style="position:absolute;left:364;top:95;width:14;height:27" id="docshape241" coordorigin="364,95" coordsize="14,27" path="m364,122l364,95,378,95,378,108,364,122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BodyText"/>
        <w:spacing w:before="69"/>
        <w:ind w:left="144" w:right="118"/>
        <w:jc w:val="both"/>
      </w:pPr>
      <w:r>
        <w:rPr/>
        <w:t>period-to-period comparisons of the results of our operations for operating segments that were consolidated for the full period presented to assist users of the financial statements in reviewing operating performance over time. Same-Store Adjusted Property EBITDAR should not be viewed as a measure of overall operating performance, considered in isolation, or as an alternative to our reportable segment GAAP measure or net income, or as an alternative to any other measure determined in accordance with generally accepted accounting principles, because this measure is not presented on a GAAP</w:t>
      </w:r>
      <w:r>
        <w:rPr>
          <w:spacing w:val="-2"/>
        </w:rPr>
        <w:t> </w:t>
      </w:r>
      <w:r>
        <w:rPr/>
        <w:t>basis, and is provided </w:t>
      </w:r>
      <w:r>
        <w:rPr/>
        <w:t>for the</w:t>
      </w:r>
      <w:r>
        <w:rPr>
          <w:spacing w:val="-1"/>
        </w:rPr>
        <w:t> </w:t>
      </w:r>
      <w:r>
        <w:rPr/>
        <w:t>limited</w:t>
      </w:r>
      <w:r>
        <w:rPr>
          <w:spacing w:val="-1"/>
        </w:rPr>
        <w:t> </w:t>
      </w:r>
      <w:r>
        <w:rPr/>
        <w:t>purposes</w:t>
      </w:r>
      <w:r>
        <w:rPr>
          <w:spacing w:val="-1"/>
        </w:rPr>
        <w:t> </w:t>
      </w:r>
      <w:r>
        <w:rPr/>
        <w:t>discussed</w:t>
      </w:r>
      <w:r>
        <w:rPr>
          <w:spacing w:val="-1"/>
        </w:rPr>
        <w:t> </w:t>
      </w:r>
      <w:r>
        <w:rPr/>
        <w:t>herein.</w:t>
      </w:r>
      <w:r>
        <w:rPr>
          <w:spacing w:val="-1"/>
        </w:rPr>
        <w:t> </w:t>
      </w:r>
      <w:r>
        <w:rPr/>
        <w:t>In</w:t>
      </w:r>
      <w:r>
        <w:rPr>
          <w:spacing w:val="-1"/>
        </w:rPr>
        <w:t> </w:t>
      </w:r>
      <w:r>
        <w:rPr/>
        <w:t>addition,</w:t>
      </w:r>
      <w:r>
        <w:rPr>
          <w:spacing w:val="-1"/>
        </w:rPr>
        <w:t> </w:t>
      </w:r>
      <w:r>
        <w:rPr/>
        <w:t>Same-Store</w:t>
      </w:r>
      <w:r>
        <w:rPr>
          <w:spacing w:val="-10"/>
        </w:rPr>
        <w:t> </w:t>
      </w:r>
      <w:r>
        <w:rPr/>
        <w:t>Adjusted</w:t>
      </w:r>
      <w:r>
        <w:rPr>
          <w:spacing w:val="-1"/>
        </w:rPr>
        <w:t> </w:t>
      </w:r>
      <w:r>
        <w:rPr/>
        <w:t>Property</w:t>
      </w:r>
      <w:r>
        <w:rPr>
          <w:spacing w:val="-1"/>
        </w:rPr>
        <w:t> </w:t>
      </w:r>
      <w:r>
        <w:rPr/>
        <w:t>EBITDAR</w:t>
      </w:r>
      <w:r>
        <w:rPr>
          <w:spacing w:val="-1"/>
        </w:rPr>
        <w:t> </w:t>
      </w:r>
      <w:r>
        <w:rPr/>
        <w:t>may</w:t>
      </w:r>
      <w:r>
        <w:rPr>
          <w:spacing w:val="-1"/>
        </w:rPr>
        <w:t> </w:t>
      </w:r>
      <w:r>
        <w:rPr/>
        <w:t>not</w:t>
      </w:r>
      <w:r>
        <w:rPr>
          <w:spacing w:val="-1"/>
        </w:rPr>
        <w:t> </w:t>
      </w:r>
      <w:r>
        <w:rPr/>
        <w:t>be</w:t>
      </w:r>
      <w:r>
        <w:rPr>
          <w:spacing w:val="-1"/>
        </w:rPr>
        <w:t> </w:t>
      </w:r>
      <w:r>
        <w:rPr/>
        <w:t>defined</w:t>
      </w:r>
      <w:r>
        <w:rPr>
          <w:spacing w:val="-1"/>
        </w:rPr>
        <w:t> </w:t>
      </w:r>
      <w:r>
        <w:rPr/>
        <w:t>in</w:t>
      </w:r>
      <w:r>
        <w:rPr>
          <w:spacing w:val="-1"/>
        </w:rPr>
        <w:t> </w:t>
      </w:r>
      <w:r>
        <w:rPr/>
        <w:t>the</w:t>
      </w:r>
      <w:r>
        <w:rPr>
          <w:spacing w:val="-1"/>
        </w:rPr>
        <w:t> </w:t>
      </w:r>
      <w:r>
        <w:rPr/>
        <w:t>same</w:t>
      </w:r>
      <w:r>
        <w:rPr>
          <w:spacing w:val="-1"/>
        </w:rPr>
        <w:t> </w:t>
      </w:r>
      <w:r>
        <w:rPr/>
        <w:t>manner</w:t>
      </w:r>
      <w:r>
        <w:rPr>
          <w:spacing w:val="-1"/>
        </w:rPr>
        <w:t> </w:t>
      </w:r>
      <w:r>
        <w:rPr/>
        <w:t>by</w:t>
      </w:r>
      <w:r>
        <w:rPr>
          <w:spacing w:val="-1"/>
        </w:rPr>
        <w:t> </w:t>
      </w:r>
      <w:r>
        <w:rPr/>
        <w:t>all</w:t>
      </w:r>
      <w:r>
        <w:rPr>
          <w:spacing w:val="-1"/>
        </w:rPr>
        <w:t> </w:t>
      </w:r>
      <w:r>
        <w:rPr/>
        <w:t>companies</w:t>
      </w:r>
      <w:r>
        <w:rPr>
          <w:spacing w:val="-1"/>
        </w:rPr>
        <w:t> </w:t>
      </w:r>
      <w:r>
        <w:rPr/>
        <w:t>and,</w:t>
      </w:r>
      <w:r>
        <w:rPr>
          <w:spacing w:val="-1"/>
        </w:rPr>
        <w:t> </w:t>
      </w:r>
      <w:r>
        <w:rPr/>
        <w:t>as</w:t>
      </w:r>
      <w:r>
        <w:rPr>
          <w:spacing w:val="-1"/>
        </w:rPr>
        <w:t> </w:t>
      </w:r>
      <w:r>
        <w:rPr/>
        <w:t>a result, may not be comparable to similarly titled non-GAAP</w:t>
      </w:r>
      <w:r>
        <w:rPr>
          <w:spacing w:val="-1"/>
        </w:rPr>
        <w:t> </w:t>
      </w:r>
      <w:r>
        <w:rPr/>
        <w:t>financial measures of other companies, and such differences may be material.</w:t>
      </w:r>
      <w:r>
        <w:rPr>
          <w:spacing w:val="-4"/>
        </w:rPr>
        <w:t> </w:t>
      </w:r>
      <w:r>
        <w:rPr/>
        <w:t>A</w:t>
      </w:r>
      <w:r>
        <w:rPr>
          <w:spacing w:val="-4"/>
        </w:rPr>
        <w:t> </w:t>
      </w:r>
      <w:r>
        <w:rPr/>
        <w:t>reconciliation of our reportable segment</w:t>
      </w:r>
      <w:r>
        <w:rPr>
          <w:spacing w:val="-2"/>
        </w:rPr>
        <w:t> </w:t>
      </w:r>
      <w:r>
        <w:rPr/>
        <w:t>Adjusted Property EBITDAR GAAP measure to Same-Store</w:t>
      </w:r>
      <w:r>
        <w:rPr>
          <w:spacing w:val="-2"/>
        </w:rPr>
        <w:t> </w:t>
      </w:r>
      <w:r>
        <w:rPr/>
        <w:t>Adjusted Property EBITDAR is included herein.</w:t>
      </w:r>
    </w:p>
    <w:p>
      <w:pPr>
        <w:pStyle w:val="BodyText"/>
        <w:spacing w:before="16"/>
      </w:pPr>
    </w:p>
    <w:p>
      <w:pPr>
        <w:pStyle w:val="BodyText"/>
        <w:spacing w:line="223" w:lineRule="auto" w:before="1"/>
        <w:ind w:left="144" w:right="118" w:firstLine="499"/>
        <w:jc w:val="both"/>
      </w:pPr>
      <w:r>
        <w:rPr/>
        <w:t>“Adjusted EBITDAR” is earnings before interest and other non-operating income (expense), taxes, depreciation and amortization, preopening and </w:t>
      </w:r>
      <w:r>
        <w:rPr/>
        <w:t>start- up expenses, property transactions, net, gain on REIT transactions, net, gain on consolidation of CityCenter, net, CEO transition expense, October 1 litigation settlement, restructuring costs (which represents costs related to severance, accelerated stock compensation expense, and consulting fees directly related to the operating model component of the MGM 2020 Plan), rent expense related to triple-net operating leases and ground leases, gain related to CityCenter’s sale of Harmon land recorded within income from unconsolidated affiliates, and income from unconsolidated affiliates related to investments in real estate ventures.</w:t>
      </w:r>
    </w:p>
    <w:p>
      <w:pPr>
        <w:pStyle w:val="BodyText"/>
        <w:spacing w:before="6"/>
      </w:pPr>
    </w:p>
    <w:p>
      <w:pPr>
        <w:pStyle w:val="BodyText"/>
        <w:ind w:left="144" w:right="118" w:firstLine="499"/>
        <w:jc w:val="both"/>
      </w:pPr>
      <w:r>
        <w:rPr/>
        <w:t>Adjusted</w:t>
      </w:r>
      <w:r>
        <w:rPr>
          <w:spacing w:val="-1"/>
        </w:rPr>
        <w:t> </w:t>
      </w:r>
      <w:r>
        <w:rPr/>
        <w:t>EBITDAR</w:t>
      </w:r>
      <w:r>
        <w:rPr>
          <w:spacing w:val="-1"/>
        </w:rPr>
        <w:t> </w:t>
      </w:r>
      <w:r>
        <w:rPr/>
        <w:t>information</w:t>
      </w:r>
      <w:r>
        <w:rPr>
          <w:spacing w:val="-1"/>
        </w:rPr>
        <w:t> </w:t>
      </w:r>
      <w:r>
        <w:rPr/>
        <w:t>is</w:t>
      </w:r>
      <w:r>
        <w:rPr>
          <w:spacing w:val="-1"/>
        </w:rPr>
        <w:t> </w:t>
      </w:r>
      <w:r>
        <w:rPr/>
        <w:t>a</w:t>
      </w:r>
      <w:r>
        <w:rPr>
          <w:spacing w:val="-1"/>
        </w:rPr>
        <w:t> </w:t>
      </w:r>
      <w:r>
        <w:rPr/>
        <w:t>non-GAAP</w:t>
      </w:r>
      <w:r>
        <w:rPr>
          <w:spacing w:val="-7"/>
        </w:rPr>
        <w:t> </w:t>
      </w:r>
      <w:r>
        <w:rPr/>
        <w:t>measure</w:t>
      </w:r>
      <w:r>
        <w:rPr>
          <w:spacing w:val="-1"/>
        </w:rPr>
        <w:t> </w:t>
      </w:r>
      <w:r>
        <w:rPr/>
        <w:t>that</w:t>
      </w:r>
      <w:r>
        <w:rPr>
          <w:spacing w:val="-1"/>
        </w:rPr>
        <w:t> </w:t>
      </w:r>
      <w:r>
        <w:rPr/>
        <w:t>is</w:t>
      </w:r>
      <w:r>
        <w:rPr>
          <w:spacing w:val="-1"/>
        </w:rPr>
        <w:t> </w:t>
      </w:r>
      <w:r>
        <w:rPr/>
        <w:t>a</w:t>
      </w:r>
      <w:r>
        <w:rPr>
          <w:spacing w:val="-1"/>
        </w:rPr>
        <w:t> </w:t>
      </w:r>
      <w:r>
        <w:rPr/>
        <w:t>valuation</w:t>
      </w:r>
      <w:r>
        <w:rPr>
          <w:spacing w:val="-1"/>
        </w:rPr>
        <w:t> </w:t>
      </w:r>
      <w:r>
        <w:rPr/>
        <w:t>metric,</w:t>
      </w:r>
      <w:r>
        <w:rPr>
          <w:spacing w:val="-1"/>
        </w:rPr>
        <w:t> </w:t>
      </w:r>
      <w:r>
        <w:rPr/>
        <w:t>should</w:t>
      </w:r>
      <w:r>
        <w:rPr>
          <w:spacing w:val="-1"/>
        </w:rPr>
        <w:t> </w:t>
      </w:r>
      <w:r>
        <w:rPr/>
        <w:t>not</w:t>
      </w:r>
      <w:r>
        <w:rPr>
          <w:spacing w:val="-1"/>
        </w:rPr>
        <w:t> </w:t>
      </w:r>
      <w:r>
        <w:rPr/>
        <w:t>be</w:t>
      </w:r>
      <w:r>
        <w:rPr>
          <w:spacing w:val="-1"/>
        </w:rPr>
        <w:t> </w:t>
      </w:r>
      <w:r>
        <w:rPr/>
        <w:t>used</w:t>
      </w:r>
      <w:r>
        <w:rPr>
          <w:spacing w:val="-1"/>
        </w:rPr>
        <w:t> </w:t>
      </w:r>
      <w:r>
        <w:rPr/>
        <w:t>as</w:t>
      </w:r>
      <w:r>
        <w:rPr>
          <w:spacing w:val="-1"/>
        </w:rPr>
        <w:t> </w:t>
      </w:r>
      <w:r>
        <w:rPr/>
        <w:t>an</w:t>
      </w:r>
      <w:r>
        <w:rPr>
          <w:spacing w:val="-1"/>
        </w:rPr>
        <w:t> </w:t>
      </w:r>
      <w:r>
        <w:rPr/>
        <w:t>operating</w:t>
      </w:r>
      <w:r>
        <w:rPr>
          <w:spacing w:val="-1"/>
        </w:rPr>
        <w:t> </w:t>
      </w:r>
      <w:r>
        <w:rPr/>
        <w:t>metric,</w:t>
      </w:r>
      <w:r>
        <w:rPr>
          <w:spacing w:val="-1"/>
        </w:rPr>
        <w:t> </w:t>
      </w:r>
      <w:r>
        <w:rPr/>
        <w:t>and</w:t>
      </w:r>
      <w:r>
        <w:rPr>
          <w:spacing w:val="-1"/>
        </w:rPr>
        <w:t> </w:t>
      </w:r>
      <w:r>
        <w:rPr/>
        <w:t>is</w:t>
      </w:r>
      <w:r>
        <w:rPr>
          <w:spacing w:val="-1"/>
        </w:rPr>
        <w:t> </w:t>
      </w:r>
      <w:r>
        <w:rPr/>
        <w:t>presented</w:t>
      </w:r>
      <w:r>
        <w:rPr>
          <w:spacing w:val="-1"/>
        </w:rPr>
        <w:t> </w:t>
      </w:r>
      <w:r>
        <w:rPr/>
        <w:t>solely</w:t>
      </w:r>
      <w:r>
        <w:rPr>
          <w:spacing w:val="-1"/>
        </w:rPr>
        <w:t> </w:t>
      </w:r>
      <w:r>
        <w:rPr/>
        <w:t>as a supplemental disclosure to reported GAAP</w:t>
      </w:r>
      <w:r>
        <w:rPr>
          <w:spacing w:val="-6"/>
        </w:rPr>
        <w:t> </w:t>
      </w:r>
      <w:r>
        <w:rPr/>
        <w:t>measures because we believe this measure is widely used by analysts, lenders, financial institutions, and investors as a principal basis for the valuation of gaming companies. We believe that while items excluded from Adjusted EBITDAR may be recurring in nature </w:t>
      </w:r>
      <w:r>
        <w:rPr/>
        <w:t>and should not be disregarded in evaluation of our earnings performance, it is useful to exclude such items when analyzing current results and trends. Also, we believe excluded items may not relate specifically to current trends or be indicative of future results. For example, preopening and start-up expenses will be significantly different in periods when we are developing and constructing a major expansion project and will depend on where the current period lies within the development cycle, as well as the size and scope of the project(s). Property transactions, net includes normal recurring disposals, gains and losses on sales</w:t>
      </w:r>
      <w:r>
        <w:rPr>
          <w:spacing w:val="40"/>
        </w:rPr>
        <w:t> </w:t>
      </w:r>
      <w:r>
        <w:rPr/>
        <w:t>of assets related to specific assets within our resorts, but also includes gains or losses on sales of an entire operating resort or a group of resorts and impairment charges on entire asset groups or investments in unconsolidated affiliates, which may not be comparable period over period. In addition, management excludes rent expense related to triple-net operating leases and ground leases. Management believes excluding rent expense related to triple-net operating leases and ground leases provides useful information to analysts, lenders, financial institutions, and investors when valuing us, as well as comparing our results to other gaming companies, without regard to differences in capital structure and leasing arrangements since the operations of other gaming companies may or may not include triple-net operating leases or ground leases. However, as discussed herein,</w:t>
      </w:r>
      <w:r>
        <w:rPr>
          <w:spacing w:val="-9"/>
        </w:rPr>
        <w:t> </w:t>
      </w:r>
      <w:r>
        <w:rPr/>
        <w:t>Adjusted EBITDAR should not be viewed as a measure of overall operating performance, an indicator of our performance, considered in isolation, or construed as an alternative to operating income or net income, or as an alternative to cash flows from operating activities, as a measure of liquidity, or as an alternative to any other measure determined in accordance with generally accepted accounting principles because this measure is not presented on a GAAP</w:t>
      </w:r>
      <w:r>
        <w:rPr>
          <w:spacing w:val="-7"/>
        </w:rPr>
        <w:t> </w:t>
      </w:r>
      <w:r>
        <w:rPr/>
        <w:t>basis and excludes certain expenses, including the rent expense related to our triple-net operating leases and ground leases, and is provided for the limited purposes discussed herein. In addition, other companies in the gaming and hospitality industries that report</w:t>
      </w:r>
      <w:r>
        <w:rPr>
          <w:spacing w:val="-5"/>
        </w:rPr>
        <w:t> </w:t>
      </w:r>
      <w:r>
        <w:rPr/>
        <w:t>Adjusted EBITDAR may calculate</w:t>
      </w:r>
      <w:r>
        <w:rPr>
          <w:spacing w:val="-5"/>
        </w:rPr>
        <w:t> </w:t>
      </w:r>
      <w:r>
        <w:rPr/>
        <w:t>Adjusted EBITDAR in a different manner and such differences may be material. We have significant uses of cash flows, including capital expenditures, interest payments, taxes, triple-net lease and ground lease payments, and debt principal repayments, which are not reflected in</w:t>
      </w:r>
      <w:r>
        <w:rPr>
          <w:spacing w:val="-3"/>
        </w:rPr>
        <w:t> </w:t>
      </w:r>
      <w:r>
        <w:rPr/>
        <w:t>Adjusted EBITDAR.</w:t>
      </w:r>
      <w:r>
        <w:rPr>
          <w:spacing w:val="-3"/>
        </w:rPr>
        <w:t> </w:t>
      </w:r>
      <w:r>
        <w:rPr/>
        <w:t>A</w:t>
      </w:r>
      <w:r>
        <w:rPr>
          <w:spacing w:val="-3"/>
        </w:rPr>
        <w:t> </w:t>
      </w:r>
      <w:r>
        <w:rPr/>
        <w:t>reconciliation of GAAP net income (loss) to</w:t>
      </w:r>
      <w:r>
        <w:rPr>
          <w:spacing w:val="-3"/>
        </w:rPr>
        <w:t> </w:t>
      </w:r>
      <w:r>
        <w:rPr/>
        <w:t>Adjusted EBITDAR is included herein.</w:t>
      </w:r>
    </w:p>
    <w:p>
      <w:pPr>
        <w:pStyle w:val="BodyText"/>
      </w:pPr>
    </w:p>
    <w:p>
      <w:pPr>
        <w:pStyle w:val="BodyText"/>
      </w:pPr>
    </w:p>
    <w:p>
      <w:pPr>
        <w:pStyle w:val="BodyText"/>
        <w:spacing w:before="194"/>
      </w:pPr>
    </w:p>
    <w:p>
      <w:pPr>
        <w:pStyle w:val="BodyText"/>
        <w:ind w:left="24"/>
        <w:jc w:val="center"/>
      </w:pPr>
      <w:r>
        <w:rPr>
          <w:spacing w:val="-5"/>
        </w:rPr>
        <w:t>42</w:t>
      </w:r>
    </w:p>
    <w:p>
      <w:pPr>
        <w:pStyle w:val="BodyText"/>
        <w:spacing w:before="3"/>
        <w:rPr>
          <w:sz w:val="6"/>
        </w:rPr>
      </w:pPr>
      <w:r>
        <w:rPr/>
        <mc:AlternateContent>
          <mc:Choice Requires="wps">
            <w:drawing>
              <wp:anchor distT="0" distB="0" distL="0" distR="0" allowOverlap="1" layoutInCell="1" locked="0" behindDoc="1" simplePos="0" relativeHeight="487632896">
                <wp:simplePos x="0" y="0"/>
                <wp:positionH relativeFrom="page">
                  <wp:posOffset>231457</wp:posOffset>
                </wp:positionH>
                <wp:positionV relativeFrom="paragraph">
                  <wp:posOffset>60956</wp:posOffset>
                </wp:positionV>
                <wp:extent cx="7312659" cy="17145"/>
                <wp:effectExtent l="0" t="0" r="0" b="0"/>
                <wp:wrapTopAndBottom/>
                <wp:docPr id="244" name="Group 244"/>
                <wp:cNvGraphicFramePr>
                  <a:graphicFrameLocks/>
                </wp:cNvGraphicFramePr>
                <a:graphic>
                  <a:graphicData uri="http://schemas.microsoft.com/office/word/2010/wordprocessingGroup">
                    <wpg:wgp>
                      <wpg:cNvPr id="244" name="Group 244"/>
                      <wpg:cNvGrpSpPr/>
                      <wpg:grpSpPr>
                        <a:xfrm>
                          <a:off x="0" y="0"/>
                          <a:ext cx="7312659" cy="17145"/>
                          <a:chExt cx="7312659" cy="17145"/>
                        </a:xfrm>
                      </wpg:grpSpPr>
                      <wps:wsp>
                        <wps:cNvPr id="245" name="Graphic 24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6" name="Graphic 246"/>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7" name="Graphic 24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83584;mso-wrap-distance-left:0;mso-wrap-distance-right:0" id="docshapegroup242" coordorigin="364,96" coordsize="11516,27">
                <v:rect style="position:absolute;left:364;top:96;width:11516;height:14" id="docshape243" filled="true" fillcolor="#999999" stroked="false">
                  <v:fill type="solid"/>
                </v:rect>
                <v:shape style="position:absolute;left:364;top:96;width:11516;height:27" id="docshape244" coordorigin="364,96" coordsize="11516,27" path="m11880,96l11866,109,364,109,364,123,11866,123,11880,123,11880,109,11880,96xe" filled="true" fillcolor="#ededed" stroked="false">
                  <v:path arrowok="t"/>
                  <v:fill type="solid"/>
                </v:shape>
                <v:shape style="position:absolute;left:364;top:96;width:14;height:27" id="docshape24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before="63"/>
        <w:ind w:right="1603"/>
        <w:jc w:val="right"/>
      </w:pPr>
      <w:r>
        <w:rPr/>
        <w:t>The</w:t>
      </w:r>
      <w:r>
        <w:rPr>
          <w:spacing w:val="-1"/>
        </w:rPr>
        <w:t> </w:t>
      </w:r>
      <w:r>
        <w:rPr/>
        <w:t>following</w:t>
      </w:r>
      <w:r>
        <w:rPr>
          <w:spacing w:val="-1"/>
        </w:rPr>
        <w:t> </w:t>
      </w:r>
      <w:r>
        <w:rPr/>
        <w:t>table</w:t>
      </w:r>
      <w:r>
        <w:rPr>
          <w:spacing w:val="-1"/>
        </w:rPr>
        <w:t> </w:t>
      </w:r>
      <w:r>
        <w:rPr/>
        <w:t>presents</w:t>
      </w:r>
      <w:r>
        <w:rPr>
          <w:spacing w:val="-1"/>
        </w:rPr>
        <w:t> </w:t>
      </w:r>
      <w:r>
        <w:rPr/>
        <w:t>a</w:t>
      </w:r>
      <w:r>
        <w:rPr>
          <w:spacing w:val="-1"/>
        </w:rPr>
        <w:t> </w:t>
      </w:r>
      <w:r>
        <w:rPr/>
        <w:t>reconciliation</w:t>
      </w:r>
      <w:r>
        <w:rPr>
          <w:spacing w:val="-1"/>
        </w:rPr>
        <w:t> </w:t>
      </w:r>
      <w:r>
        <w:rPr/>
        <w:t>of</w:t>
      </w:r>
      <w:r>
        <w:rPr>
          <w:spacing w:val="-1"/>
        </w:rPr>
        <w:t> </w:t>
      </w:r>
      <w:r>
        <w:rPr/>
        <w:t>net</w:t>
      </w:r>
      <w:r>
        <w:rPr>
          <w:spacing w:val="-1"/>
        </w:rPr>
        <w:t> </w:t>
      </w:r>
      <w:r>
        <w:rPr/>
        <w:t>income</w:t>
      </w:r>
      <w:r>
        <w:rPr>
          <w:spacing w:val="-1"/>
        </w:rPr>
        <w:t> </w:t>
      </w:r>
      <w:r>
        <w:rPr/>
        <w:t>(loss)</w:t>
      </w:r>
      <w:r>
        <w:rPr>
          <w:spacing w:val="-1"/>
        </w:rPr>
        <w:t> </w:t>
      </w:r>
      <w:r>
        <w:rPr/>
        <w:t>attributable</w:t>
      </w:r>
      <w:r>
        <w:rPr>
          <w:spacing w:val="-1"/>
        </w:rPr>
        <w:t> </w:t>
      </w:r>
      <w:r>
        <w:rPr/>
        <w:t>to</w:t>
      </w:r>
      <w:r>
        <w:rPr>
          <w:spacing w:val="-1"/>
        </w:rPr>
        <w:t> </w:t>
      </w:r>
      <w:r>
        <w:rPr/>
        <w:t>MGM</w:t>
      </w:r>
      <w:r>
        <w:rPr>
          <w:spacing w:val="-1"/>
        </w:rPr>
        <w:t> </w:t>
      </w:r>
      <w:r>
        <w:rPr/>
        <w:t>Resorts</w:t>
      </w:r>
      <w:r>
        <w:rPr>
          <w:spacing w:val="-1"/>
        </w:rPr>
        <w:t> </w:t>
      </w:r>
      <w:r>
        <w:rPr/>
        <w:t>International</w:t>
      </w:r>
      <w:r>
        <w:rPr>
          <w:spacing w:val="-1"/>
        </w:rPr>
        <w:t> </w:t>
      </w:r>
      <w:r>
        <w:rPr/>
        <w:t>to</w:t>
      </w:r>
      <w:r>
        <w:rPr>
          <w:spacing w:val="-10"/>
        </w:rPr>
        <w:t> </w:t>
      </w:r>
      <w:r>
        <w:rPr/>
        <w:t>Adjusted</w:t>
      </w:r>
      <w:r>
        <w:rPr>
          <w:spacing w:val="-1"/>
        </w:rPr>
        <w:t> </w:t>
      </w:r>
      <w:r>
        <w:rPr>
          <w:spacing w:val="-2"/>
        </w:rPr>
        <w:t>EBITDAR:</w:t>
      </w:r>
    </w:p>
    <w:p>
      <w:pPr>
        <w:pStyle w:val="Heading5"/>
        <w:spacing w:before="49" w:after="36"/>
        <w:ind w:left="0" w:right="1519"/>
        <w:jc w:val="right"/>
      </w:pPr>
      <w:r>
        <w:rPr/>
        <w:t>Year</w:t>
      </w:r>
      <w:r>
        <w:rPr>
          <w:spacing w:val="-13"/>
        </w:rPr>
        <w:t> </w:t>
      </w:r>
      <w:r>
        <w:rPr/>
        <w:t>Ended</w:t>
      </w:r>
      <w:r>
        <w:rPr>
          <w:spacing w:val="-8"/>
        </w:rPr>
        <w:t> </w:t>
      </w:r>
      <w:r>
        <w:rPr/>
        <w:t>December</w:t>
      </w:r>
      <w:r>
        <w:rPr>
          <w:spacing w:val="-10"/>
        </w:rPr>
        <w:t> </w:t>
      </w:r>
      <w:r>
        <w:rPr>
          <w:spacing w:val="-5"/>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3"/>
        <w:gridCol w:w="1570"/>
        <w:gridCol w:w="1637"/>
        <w:gridCol w:w="1585"/>
      </w:tblGrid>
      <w:tr>
        <w:trPr>
          <w:trHeight w:val="268" w:hRule="atLeast"/>
        </w:trPr>
        <w:tc>
          <w:tcPr>
            <w:tcW w:w="6723" w:type="dxa"/>
            <w:vMerge w:val="restart"/>
          </w:tcPr>
          <w:p>
            <w:pPr>
              <w:pStyle w:val="TableParagraph"/>
              <w:spacing w:before="0"/>
              <w:rPr>
                <w:sz w:val="18"/>
              </w:rPr>
            </w:pPr>
          </w:p>
        </w:tc>
        <w:tc>
          <w:tcPr>
            <w:tcW w:w="1570" w:type="dxa"/>
            <w:tcBorders>
              <w:top w:val="single" w:sz="6" w:space="0" w:color="000000"/>
              <w:bottom w:val="single" w:sz="6" w:space="0" w:color="000000"/>
            </w:tcBorders>
          </w:tcPr>
          <w:p>
            <w:pPr>
              <w:pStyle w:val="TableParagraph"/>
              <w:spacing w:before="20"/>
              <w:ind w:right="55"/>
              <w:jc w:val="center"/>
              <w:rPr>
                <w:b/>
                <w:sz w:val="18"/>
              </w:rPr>
            </w:pPr>
            <w:r>
              <w:rPr>
                <w:b/>
                <w:spacing w:val="-4"/>
                <w:sz w:val="18"/>
              </w:rPr>
              <w:t>2022</w:t>
            </w:r>
          </w:p>
        </w:tc>
        <w:tc>
          <w:tcPr>
            <w:tcW w:w="1637" w:type="dxa"/>
            <w:tcBorders>
              <w:top w:val="single" w:sz="6" w:space="0" w:color="000000"/>
              <w:bottom w:val="single" w:sz="6" w:space="0" w:color="000000"/>
            </w:tcBorders>
          </w:tcPr>
          <w:p>
            <w:pPr>
              <w:pStyle w:val="TableParagraph"/>
              <w:spacing w:before="20"/>
              <w:ind w:left="9"/>
              <w:jc w:val="center"/>
              <w:rPr>
                <w:b/>
                <w:sz w:val="18"/>
              </w:rPr>
            </w:pPr>
            <w:r>
              <w:rPr>
                <w:b/>
                <w:spacing w:val="-4"/>
                <w:sz w:val="18"/>
              </w:rPr>
              <w:t>2021</w:t>
            </w:r>
          </w:p>
        </w:tc>
        <w:tc>
          <w:tcPr>
            <w:tcW w:w="1585" w:type="dxa"/>
            <w:tcBorders>
              <w:top w:val="single" w:sz="6" w:space="0" w:color="000000"/>
              <w:bottom w:val="single" w:sz="6" w:space="0" w:color="000000"/>
            </w:tcBorders>
          </w:tcPr>
          <w:p>
            <w:pPr>
              <w:pStyle w:val="TableParagraph"/>
              <w:spacing w:before="20"/>
              <w:ind w:left="63"/>
              <w:jc w:val="center"/>
              <w:rPr>
                <w:b/>
                <w:sz w:val="18"/>
              </w:rPr>
            </w:pPr>
            <w:r>
              <w:rPr>
                <w:b/>
                <w:spacing w:val="-4"/>
                <w:sz w:val="18"/>
              </w:rPr>
              <w:t>2020</w:t>
            </w:r>
          </w:p>
        </w:tc>
      </w:tr>
      <w:tr>
        <w:trPr>
          <w:trHeight w:val="255" w:hRule="atLeast"/>
        </w:trPr>
        <w:tc>
          <w:tcPr>
            <w:tcW w:w="6723" w:type="dxa"/>
            <w:vMerge/>
            <w:tcBorders>
              <w:top w:val="nil"/>
            </w:tcBorders>
          </w:tcPr>
          <w:p>
            <w:pPr>
              <w:rPr>
                <w:sz w:val="2"/>
                <w:szCs w:val="2"/>
              </w:rPr>
            </w:pPr>
          </w:p>
        </w:tc>
        <w:tc>
          <w:tcPr>
            <w:tcW w:w="1570" w:type="dxa"/>
            <w:tcBorders>
              <w:top w:val="single" w:sz="6" w:space="0" w:color="000000"/>
            </w:tcBorders>
          </w:tcPr>
          <w:p>
            <w:pPr>
              <w:pStyle w:val="TableParagraph"/>
              <w:spacing w:before="0"/>
              <w:rPr>
                <w:sz w:val="18"/>
              </w:rPr>
            </w:pPr>
          </w:p>
        </w:tc>
        <w:tc>
          <w:tcPr>
            <w:tcW w:w="1637" w:type="dxa"/>
            <w:tcBorders>
              <w:top w:val="single" w:sz="6" w:space="0" w:color="000000"/>
            </w:tcBorders>
          </w:tcPr>
          <w:p>
            <w:pPr>
              <w:pStyle w:val="TableParagraph"/>
              <w:spacing w:before="20"/>
              <w:ind w:left="276"/>
              <w:rPr>
                <w:b/>
                <w:i/>
                <w:sz w:val="18"/>
              </w:rPr>
            </w:pPr>
            <w:r>
              <w:rPr>
                <w:b/>
                <w:i/>
                <w:sz w:val="18"/>
              </w:rPr>
              <w:t>(In</w:t>
            </w:r>
            <w:r>
              <w:rPr>
                <w:b/>
                <w:i/>
                <w:spacing w:val="-1"/>
                <w:sz w:val="18"/>
              </w:rPr>
              <w:t> </w:t>
            </w:r>
            <w:r>
              <w:rPr>
                <w:b/>
                <w:i/>
                <w:spacing w:val="-2"/>
                <w:sz w:val="18"/>
              </w:rPr>
              <w:t>thousands)</w:t>
            </w:r>
          </w:p>
        </w:tc>
        <w:tc>
          <w:tcPr>
            <w:tcW w:w="1585" w:type="dxa"/>
            <w:tcBorders>
              <w:top w:val="single" w:sz="6" w:space="0" w:color="000000"/>
            </w:tcBorders>
          </w:tcPr>
          <w:p>
            <w:pPr>
              <w:pStyle w:val="TableParagraph"/>
              <w:spacing w:before="0"/>
              <w:rPr>
                <w:sz w:val="18"/>
              </w:rPr>
            </w:pPr>
          </w:p>
        </w:tc>
      </w:tr>
      <w:tr>
        <w:trPr>
          <w:trHeight w:val="256" w:hRule="atLeast"/>
        </w:trPr>
        <w:tc>
          <w:tcPr>
            <w:tcW w:w="6723" w:type="dxa"/>
            <w:shd w:val="clear" w:color="auto" w:fill="CCEDFF"/>
          </w:tcPr>
          <w:p>
            <w:pPr>
              <w:pStyle w:val="TableParagraph"/>
              <w:ind w:left="17"/>
              <w:rPr>
                <w:sz w:val="18"/>
              </w:rPr>
            </w:pPr>
            <w:r>
              <w:rPr>
                <w:sz w:val="18"/>
              </w:rPr>
              <w:t>Net</w:t>
            </w:r>
            <w:r>
              <w:rPr>
                <w:spacing w:val="-1"/>
                <w:sz w:val="18"/>
              </w:rPr>
              <w:t> </w:t>
            </w:r>
            <w:r>
              <w:rPr>
                <w:sz w:val="18"/>
              </w:rPr>
              <w:t>income</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tc>
        <w:tc>
          <w:tcPr>
            <w:tcW w:w="1570" w:type="dxa"/>
            <w:shd w:val="clear" w:color="auto" w:fill="CCEDFF"/>
          </w:tcPr>
          <w:p>
            <w:pPr>
              <w:pStyle w:val="TableParagraph"/>
              <w:tabs>
                <w:tab w:pos="709" w:val="left" w:leader="none"/>
              </w:tabs>
              <w:ind w:right="123"/>
              <w:jc w:val="right"/>
              <w:rPr>
                <w:sz w:val="18"/>
              </w:rPr>
            </w:pPr>
            <w:r>
              <w:rPr>
                <w:spacing w:val="-10"/>
                <w:sz w:val="18"/>
              </w:rPr>
              <w:t>$</w:t>
            </w:r>
            <w:r>
              <w:rPr>
                <w:sz w:val="18"/>
              </w:rPr>
              <w:tab/>
            </w:r>
            <w:r>
              <w:rPr>
                <w:spacing w:val="-2"/>
                <w:sz w:val="18"/>
              </w:rPr>
              <w:t>1,473,093</w:t>
            </w:r>
          </w:p>
        </w:tc>
        <w:tc>
          <w:tcPr>
            <w:tcW w:w="1637" w:type="dxa"/>
            <w:shd w:val="clear" w:color="auto" w:fill="CCEDFF"/>
          </w:tcPr>
          <w:p>
            <w:pPr>
              <w:pStyle w:val="TableParagraph"/>
              <w:tabs>
                <w:tab w:pos="709" w:val="left" w:leader="none"/>
              </w:tabs>
              <w:ind w:right="123"/>
              <w:jc w:val="right"/>
              <w:rPr>
                <w:sz w:val="18"/>
              </w:rPr>
            </w:pPr>
            <w:r>
              <w:rPr>
                <w:spacing w:val="-10"/>
                <w:sz w:val="18"/>
              </w:rPr>
              <w:t>$</w:t>
            </w:r>
            <w:r>
              <w:rPr>
                <w:sz w:val="18"/>
              </w:rPr>
              <w:tab/>
            </w:r>
            <w:r>
              <w:rPr>
                <w:spacing w:val="-2"/>
                <w:sz w:val="18"/>
              </w:rPr>
              <w:t>1,254,370</w:t>
            </w:r>
          </w:p>
        </w:tc>
        <w:tc>
          <w:tcPr>
            <w:tcW w:w="1585" w:type="dxa"/>
            <w:shd w:val="clear" w:color="auto" w:fill="CCEDFF"/>
          </w:tcPr>
          <w:p>
            <w:pPr>
              <w:pStyle w:val="TableParagraph"/>
              <w:tabs>
                <w:tab w:pos="636" w:val="left" w:leader="none"/>
              </w:tabs>
              <w:ind w:right="25"/>
              <w:jc w:val="right"/>
              <w:rPr>
                <w:sz w:val="18"/>
              </w:rPr>
            </w:pPr>
            <w:r>
              <w:rPr>
                <w:spacing w:val="-10"/>
                <w:sz w:val="18"/>
              </w:rPr>
              <w:t>$</w:t>
            </w:r>
            <w:r>
              <w:rPr>
                <w:sz w:val="18"/>
              </w:rPr>
              <w:tab/>
            </w:r>
            <w:r>
              <w:rPr>
                <w:spacing w:val="-2"/>
                <w:sz w:val="18"/>
              </w:rPr>
              <w:t>(1,032,724)</w:t>
            </w:r>
          </w:p>
        </w:tc>
      </w:tr>
      <w:tr>
        <w:trPr>
          <w:trHeight w:val="255" w:hRule="atLeast"/>
        </w:trPr>
        <w:tc>
          <w:tcPr>
            <w:tcW w:w="6723" w:type="dxa"/>
          </w:tcPr>
          <w:p>
            <w:pPr>
              <w:pStyle w:val="TableParagraph"/>
              <w:ind w:left="17"/>
              <w:rPr>
                <w:sz w:val="18"/>
              </w:rPr>
            </w:pPr>
            <w:r>
              <w:rPr>
                <w:sz w:val="18"/>
              </w:rPr>
              <w:t>Plus:</w:t>
            </w:r>
            <w:r>
              <w:rPr>
                <w:spacing w:val="-1"/>
                <w:sz w:val="18"/>
              </w:rPr>
              <w:t> </w:t>
            </w:r>
            <w:r>
              <w:rPr>
                <w:sz w:val="18"/>
              </w:rPr>
              <w:t>Net</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noncontrolling</w:t>
            </w:r>
            <w:r>
              <w:rPr>
                <w:spacing w:val="-1"/>
                <w:sz w:val="18"/>
              </w:rPr>
              <w:t> </w:t>
            </w:r>
            <w:r>
              <w:rPr>
                <w:spacing w:val="-2"/>
                <w:sz w:val="18"/>
              </w:rPr>
              <w:t>interests</w:t>
            </w:r>
          </w:p>
        </w:tc>
        <w:tc>
          <w:tcPr>
            <w:tcW w:w="1570" w:type="dxa"/>
            <w:tcBorders>
              <w:bottom w:val="single" w:sz="6" w:space="0" w:color="000000"/>
            </w:tcBorders>
          </w:tcPr>
          <w:p>
            <w:pPr>
              <w:pStyle w:val="TableParagraph"/>
              <w:ind w:right="78"/>
              <w:jc w:val="right"/>
              <w:rPr>
                <w:sz w:val="18"/>
              </w:rPr>
            </w:pPr>
            <w:r>
              <w:rPr>
                <w:spacing w:val="-2"/>
                <w:sz w:val="18"/>
              </w:rPr>
              <w:t>(1,266,362)</w:t>
            </w:r>
          </w:p>
        </w:tc>
        <w:tc>
          <w:tcPr>
            <w:tcW w:w="1637" w:type="dxa"/>
            <w:tcBorders>
              <w:bottom w:val="single" w:sz="6" w:space="0" w:color="000000"/>
            </w:tcBorders>
          </w:tcPr>
          <w:p>
            <w:pPr>
              <w:pStyle w:val="TableParagraph"/>
              <w:ind w:right="79"/>
              <w:jc w:val="right"/>
              <w:rPr>
                <w:sz w:val="18"/>
              </w:rPr>
            </w:pPr>
            <w:r>
              <w:rPr>
                <w:spacing w:val="-2"/>
                <w:sz w:val="18"/>
              </w:rPr>
              <w:t>(45,981)</w:t>
            </w:r>
          </w:p>
        </w:tc>
        <w:tc>
          <w:tcPr>
            <w:tcW w:w="1585" w:type="dxa"/>
            <w:tcBorders>
              <w:bottom w:val="single" w:sz="6" w:space="0" w:color="000000"/>
            </w:tcBorders>
          </w:tcPr>
          <w:p>
            <w:pPr>
              <w:pStyle w:val="TableParagraph"/>
              <w:ind w:right="25"/>
              <w:jc w:val="right"/>
              <w:rPr>
                <w:sz w:val="18"/>
              </w:rPr>
            </w:pPr>
            <w:r>
              <w:rPr>
                <w:spacing w:val="-2"/>
                <w:sz w:val="18"/>
              </w:rPr>
              <w:t>(287,183)</w:t>
            </w:r>
          </w:p>
        </w:tc>
      </w:tr>
      <w:tr>
        <w:trPr>
          <w:trHeight w:val="255" w:hRule="atLeast"/>
        </w:trPr>
        <w:tc>
          <w:tcPr>
            <w:tcW w:w="6723" w:type="dxa"/>
            <w:shd w:val="clear" w:color="auto" w:fill="CCEDFF"/>
          </w:tcPr>
          <w:p>
            <w:pPr>
              <w:pStyle w:val="TableParagraph"/>
              <w:spacing w:before="20"/>
              <w:ind w:left="17"/>
              <w:rPr>
                <w:sz w:val="18"/>
              </w:rPr>
            </w:pPr>
            <w:r>
              <w:rPr>
                <w:sz w:val="18"/>
              </w:rPr>
              <w:t>Net</w:t>
            </w:r>
            <w:r>
              <w:rPr>
                <w:spacing w:val="-1"/>
                <w:sz w:val="18"/>
              </w:rPr>
              <w:t> </w:t>
            </w:r>
            <w:r>
              <w:rPr>
                <w:sz w:val="18"/>
              </w:rPr>
              <w:t>income</w:t>
            </w:r>
            <w:r>
              <w:rPr>
                <w:spacing w:val="-1"/>
                <w:sz w:val="18"/>
              </w:rPr>
              <w:t> </w:t>
            </w:r>
            <w:r>
              <w:rPr>
                <w:spacing w:val="-2"/>
                <w:sz w:val="18"/>
              </w:rPr>
              <w:t>(loss)</w:t>
            </w:r>
          </w:p>
        </w:tc>
        <w:tc>
          <w:tcPr>
            <w:tcW w:w="1570" w:type="dxa"/>
            <w:tcBorders>
              <w:top w:val="single" w:sz="6" w:space="0" w:color="000000"/>
            </w:tcBorders>
            <w:shd w:val="clear" w:color="auto" w:fill="CCEDFF"/>
          </w:tcPr>
          <w:p>
            <w:pPr>
              <w:pStyle w:val="TableParagraph"/>
              <w:spacing w:before="20"/>
              <w:ind w:right="123"/>
              <w:jc w:val="right"/>
              <w:rPr>
                <w:sz w:val="18"/>
              </w:rPr>
            </w:pPr>
            <w:r>
              <w:rPr>
                <w:spacing w:val="-2"/>
                <w:sz w:val="18"/>
              </w:rPr>
              <w:t>206,731</w:t>
            </w:r>
          </w:p>
        </w:tc>
        <w:tc>
          <w:tcPr>
            <w:tcW w:w="1637" w:type="dxa"/>
            <w:tcBorders>
              <w:top w:val="single" w:sz="6" w:space="0" w:color="000000"/>
            </w:tcBorders>
            <w:shd w:val="clear" w:color="auto" w:fill="CCEDFF"/>
          </w:tcPr>
          <w:p>
            <w:pPr>
              <w:pStyle w:val="TableParagraph"/>
              <w:spacing w:before="20"/>
              <w:ind w:right="123"/>
              <w:jc w:val="right"/>
              <w:rPr>
                <w:sz w:val="18"/>
              </w:rPr>
            </w:pPr>
            <w:r>
              <w:rPr>
                <w:spacing w:val="-2"/>
                <w:sz w:val="18"/>
              </w:rPr>
              <w:t>1,208,389</w:t>
            </w:r>
          </w:p>
        </w:tc>
        <w:tc>
          <w:tcPr>
            <w:tcW w:w="1585" w:type="dxa"/>
            <w:tcBorders>
              <w:top w:val="single" w:sz="6" w:space="0" w:color="000000"/>
            </w:tcBorders>
            <w:shd w:val="clear" w:color="auto" w:fill="CCEDFF"/>
          </w:tcPr>
          <w:p>
            <w:pPr>
              <w:pStyle w:val="TableParagraph"/>
              <w:spacing w:before="20"/>
              <w:ind w:right="25"/>
              <w:jc w:val="right"/>
              <w:rPr>
                <w:sz w:val="18"/>
              </w:rPr>
            </w:pPr>
            <w:r>
              <w:rPr>
                <w:spacing w:val="-2"/>
                <w:sz w:val="18"/>
              </w:rPr>
              <w:t>(1,319,907)</w:t>
            </w:r>
          </w:p>
        </w:tc>
      </w:tr>
      <w:tr>
        <w:trPr>
          <w:trHeight w:val="255" w:hRule="atLeast"/>
        </w:trPr>
        <w:tc>
          <w:tcPr>
            <w:tcW w:w="6723" w:type="dxa"/>
          </w:tcPr>
          <w:p>
            <w:pPr>
              <w:pStyle w:val="TableParagraph"/>
              <w:ind w:left="217"/>
              <w:rPr>
                <w:sz w:val="18"/>
              </w:rPr>
            </w:pPr>
            <w:r>
              <w:rPr>
                <w:sz w:val="18"/>
              </w:rPr>
              <w:t>Provision</w:t>
            </w:r>
            <w:r>
              <w:rPr>
                <w:spacing w:val="-1"/>
                <w:sz w:val="18"/>
              </w:rPr>
              <w:t> </w:t>
            </w:r>
            <w:r>
              <w:rPr>
                <w:sz w:val="18"/>
              </w:rPr>
              <w:t>(benefit)</w:t>
            </w:r>
            <w:r>
              <w:rPr>
                <w:spacing w:val="-1"/>
                <w:sz w:val="18"/>
              </w:rPr>
              <w:t> </w:t>
            </w:r>
            <w:r>
              <w:rPr>
                <w:sz w:val="18"/>
              </w:rPr>
              <w:t>for</w:t>
            </w:r>
            <w:r>
              <w:rPr>
                <w:spacing w:val="-1"/>
                <w:sz w:val="18"/>
              </w:rPr>
              <w:t> </w:t>
            </w:r>
            <w:r>
              <w:rPr>
                <w:sz w:val="18"/>
              </w:rPr>
              <w:t>income</w:t>
            </w:r>
            <w:r>
              <w:rPr>
                <w:spacing w:val="-1"/>
                <w:sz w:val="18"/>
              </w:rPr>
              <w:t> </w:t>
            </w:r>
            <w:r>
              <w:rPr>
                <w:spacing w:val="-2"/>
                <w:sz w:val="18"/>
              </w:rPr>
              <w:t>taxes</w:t>
            </w:r>
          </w:p>
        </w:tc>
        <w:tc>
          <w:tcPr>
            <w:tcW w:w="1570" w:type="dxa"/>
            <w:tcBorders>
              <w:bottom w:val="single" w:sz="6" w:space="0" w:color="000000"/>
            </w:tcBorders>
          </w:tcPr>
          <w:p>
            <w:pPr>
              <w:pStyle w:val="TableParagraph"/>
              <w:ind w:right="123"/>
              <w:jc w:val="right"/>
              <w:rPr>
                <w:sz w:val="18"/>
              </w:rPr>
            </w:pPr>
            <w:r>
              <w:rPr>
                <w:spacing w:val="-2"/>
                <w:sz w:val="18"/>
              </w:rPr>
              <w:t>697,068</w:t>
            </w:r>
          </w:p>
        </w:tc>
        <w:tc>
          <w:tcPr>
            <w:tcW w:w="1637" w:type="dxa"/>
            <w:tcBorders>
              <w:bottom w:val="single" w:sz="6" w:space="0" w:color="000000"/>
            </w:tcBorders>
          </w:tcPr>
          <w:p>
            <w:pPr>
              <w:pStyle w:val="TableParagraph"/>
              <w:ind w:right="123"/>
              <w:jc w:val="right"/>
              <w:rPr>
                <w:sz w:val="18"/>
              </w:rPr>
            </w:pPr>
            <w:r>
              <w:rPr>
                <w:spacing w:val="-2"/>
                <w:sz w:val="18"/>
              </w:rPr>
              <w:t>253,415</w:t>
            </w:r>
          </w:p>
        </w:tc>
        <w:tc>
          <w:tcPr>
            <w:tcW w:w="1585" w:type="dxa"/>
            <w:tcBorders>
              <w:bottom w:val="single" w:sz="6" w:space="0" w:color="000000"/>
            </w:tcBorders>
          </w:tcPr>
          <w:p>
            <w:pPr>
              <w:pStyle w:val="TableParagraph"/>
              <w:ind w:right="25"/>
              <w:jc w:val="right"/>
              <w:rPr>
                <w:sz w:val="18"/>
              </w:rPr>
            </w:pPr>
            <w:r>
              <w:rPr>
                <w:spacing w:val="-2"/>
                <w:sz w:val="18"/>
              </w:rPr>
              <w:t>(191,572)</w:t>
            </w:r>
          </w:p>
        </w:tc>
      </w:tr>
      <w:tr>
        <w:trPr>
          <w:trHeight w:val="268" w:hRule="atLeast"/>
        </w:trPr>
        <w:tc>
          <w:tcPr>
            <w:tcW w:w="6723" w:type="dxa"/>
            <w:shd w:val="clear" w:color="auto" w:fill="CCEDFF"/>
          </w:tcPr>
          <w:p>
            <w:pPr>
              <w:pStyle w:val="TableParagraph"/>
              <w:spacing w:before="20"/>
              <w:ind w:left="17"/>
              <w:rPr>
                <w:sz w:val="18"/>
              </w:rPr>
            </w:pPr>
            <w:r>
              <w:rPr>
                <w:sz w:val="18"/>
              </w:rPr>
              <w:t>Income</w:t>
            </w:r>
            <w:r>
              <w:rPr>
                <w:spacing w:val="-1"/>
                <w:sz w:val="18"/>
              </w:rPr>
              <w:t> </w:t>
            </w:r>
            <w:r>
              <w:rPr>
                <w:sz w:val="18"/>
              </w:rPr>
              <w:t>(loss)</w:t>
            </w:r>
            <w:r>
              <w:rPr>
                <w:spacing w:val="-1"/>
                <w:sz w:val="18"/>
              </w:rPr>
              <w:t> </w:t>
            </w:r>
            <w:r>
              <w:rPr>
                <w:sz w:val="18"/>
              </w:rPr>
              <w:t>before</w:t>
            </w:r>
            <w:r>
              <w:rPr>
                <w:spacing w:val="-1"/>
                <w:sz w:val="18"/>
              </w:rPr>
              <w:t> </w:t>
            </w:r>
            <w:r>
              <w:rPr>
                <w:sz w:val="18"/>
              </w:rPr>
              <w:t>income</w:t>
            </w:r>
            <w:r>
              <w:rPr>
                <w:spacing w:val="-1"/>
                <w:sz w:val="18"/>
              </w:rPr>
              <w:t> </w:t>
            </w:r>
            <w:r>
              <w:rPr>
                <w:spacing w:val="-2"/>
                <w:sz w:val="18"/>
              </w:rPr>
              <w:t>taxes</w:t>
            </w:r>
          </w:p>
        </w:tc>
        <w:tc>
          <w:tcPr>
            <w:tcW w:w="1570" w:type="dxa"/>
            <w:tcBorders>
              <w:top w:val="single" w:sz="6" w:space="0" w:color="000000"/>
              <w:bottom w:val="single" w:sz="6" w:space="0" w:color="000000"/>
            </w:tcBorders>
            <w:shd w:val="clear" w:color="auto" w:fill="CCEDFF"/>
          </w:tcPr>
          <w:p>
            <w:pPr>
              <w:pStyle w:val="TableParagraph"/>
              <w:spacing w:before="20"/>
              <w:ind w:right="123"/>
              <w:jc w:val="right"/>
              <w:rPr>
                <w:sz w:val="18"/>
              </w:rPr>
            </w:pPr>
            <w:r>
              <w:rPr>
                <w:spacing w:val="-2"/>
                <w:sz w:val="18"/>
              </w:rPr>
              <w:t>903,799</w:t>
            </w:r>
          </w:p>
        </w:tc>
        <w:tc>
          <w:tcPr>
            <w:tcW w:w="1637" w:type="dxa"/>
            <w:tcBorders>
              <w:top w:val="single" w:sz="6" w:space="0" w:color="000000"/>
              <w:bottom w:val="single" w:sz="6" w:space="0" w:color="000000"/>
            </w:tcBorders>
            <w:shd w:val="clear" w:color="auto" w:fill="CCEDFF"/>
          </w:tcPr>
          <w:p>
            <w:pPr>
              <w:pStyle w:val="TableParagraph"/>
              <w:spacing w:before="20"/>
              <w:ind w:right="123"/>
              <w:jc w:val="right"/>
              <w:rPr>
                <w:sz w:val="18"/>
              </w:rPr>
            </w:pPr>
            <w:r>
              <w:rPr>
                <w:spacing w:val="-2"/>
                <w:sz w:val="18"/>
              </w:rPr>
              <w:t>1,461,804</w:t>
            </w:r>
          </w:p>
        </w:tc>
        <w:tc>
          <w:tcPr>
            <w:tcW w:w="1585" w:type="dxa"/>
            <w:tcBorders>
              <w:top w:val="single" w:sz="6" w:space="0" w:color="000000"/>
              <w:bottom w:val="single" w:sz="6" w:space="0" w:color="000000"/>
            </w:tcBorders>
            <w:shd w:val="clear" w:color="auto" w:fill="CCEDFF"/>
          </w:tcPr>
          <w:p>
            <w:pPr>
              <w:pStyle w:val="TableParagraph"/>
              <w:spacing w:before="20"/>
              <w:ind w:right="25"/>
              <w:jc w:val="right"/>
              <w:rPr>
                <w:sz w:val="18"/>
              </w:rPr>
            </w:pPr>
            <w:r>
              <w:rPr>
                <w:spacing w:val="-2"/>
                <w:sz w:val="18"/>
              </w:rPr>
              <w:t>(1,511,479)</w:t>
            </w:r>
          </w:p>
        </w:tc>
      </w:tr>
      <w:tr>
        <w:trPr>
          <w:trHeight w:val="242" w:hRule="atLeast"/>
        </w:trPr>
        <w:tc>
          <w:tcPr>
            <w:tcW w:w="6723" w:type="dxa"/>
          </w:tcPr>
          <w:p>
            <w:pPr>
              <w:pStyle w:val="TableParagraph"/>
              <w:spacing w:before="6"/>
              <w:ind w:left="17"/>
              <w:rPr>
                <w:sz w:val="18"/>
              </w:rPr>
            </w:pPr>
            <w:r>
              <w:rPr>
                <w:sz w:val="18"/>
              </w:rPr>
              <w:t>Non-operating</w:t>
            </w:r>
            <w:r>
              <w:rPr>
                <w:spacing w:val="-1"/>
                <w:sz w:val="18"/>
              </w:rPr>
              <w:t> </w:t>
            </w:r>
            <w:r>
              <w:rPr>
                <w:sz w:val="18"/>
              </w:rPr>
              <w:t>(income)</w:t>
            </w:r>
            <w:r>
              <w:rPr>
                <w:spacing w:val="-1"/>
                <w:sz w:val="18"/>
              </w:rPr>
              <w:t> </w:t>
            </w:r>
            <w:r>
              <w:rPr>
                <w:spacing w:val="-2"/>
                <w:sz w:val="18"/>
              </w:rPr>
              <w:t>expense</w:t>
            </w:r>
          </w:p>
        </w:tc>
        <w:tc>
          <w:tcPr>
            <w:tcW w:w="1570" w:type="dxa"/>
            <w:tcBorders>
              <w:top w:val="single" w:sz="6" w:space="0" w:color="000000"/>
            </w:tcBorders>
          </w:tcPr>
          <w:p>
            <w:pPr>
              <w:pStyle w:val="TableParagraph"/>
              <w:spacing w:before="0"/>
              <w:rPr>
                <w:sz w:val="16"/>
              </w:rPr>
            </w:pPr>
          </w:p>
        </w:tc>
        <w:tc>
          <w:tcPr>
            <w:tcW w:w="1637" w:type="dxa"/>
            <w:tcBorders>
              <w:top w:val="single" w:sz="6" w:space="0" w:color="000000"/>
            </w:tcBorders>
          </w:tcPr>
          <w:p>
            <w:pPr>
              <w:pStyle w:val="TableParagraph"/>
              <w:spacing w:before="0"/>
              <w:rPr>
                <w:sz w:val="16"/>
              </w:rPr>
            </w:pPr>
          </w:p>
        </w:tc>
        <w:tc>
          <w:tcPr>
            <w:tcW w:w="1585" w:type="dxa"/>
            <w:tcBorders>
              <w:top w:val="single" w:sz="6" w:space="0" w:color="000000"/>
            </w:tcBorders>
          </w:tcPr>
          <w:p>
            <w:pPr>
              <w:pStyle w:val="TableParagraph"/>
              <w:spacing w:before="0"/>
              <w:rPr>
                <w:sz w:val="16"/>
              </w:rPr>
            </w:pPr>
          </w:p>
        </w:tc>
      </w:tr>
      <w:tr>
        <w:trPr>
          <w:trHeight w:val="269" w:hRule="atLeast"/>
        </w:trPr>
        <w:tc>
          <w:tcPr>
            <w:tcW w:w="6723" w:type="dxa"/>
            <w:shd w:val="clear" w:color="auto" w:fill="CCEDFF"/>
          </w:tcPr>
          <w:p>
            <w:pPr>
              <w:pStyle w:val="TableParagraph"/>
              <w:ind w:left="217"/>
              <w:rPr>
                <w:sz w:val="18"/>
              </w:rPr>
            </w:pPr>
            <w:r>
              <w:rPr>
                <w:sz w:val="18"/>
              </w:rPr>
              <w:t>Interest</w:t>
            </w:r>
            <w:r>
              <w:rPr>
                <w:spacing w:val="-3"/>
                <w:sz w:val="18"/>
              </w:rPr>
              <w:t> </w:t>
            </w:r>
            <w:r>
              <w:rPr>
                <w:sz w:val="18"/>
              </w:rPr>
              <w:t>expense,</w:t>
            </w:r>
            <w:r>
              <w:rPr>
                <w:spacing w:val="-1"/>
                <w:sz w:val="18"/>
              </w:rPr>
              <w:t> </w:t>
            </w:r>
            <w:r>
              <w:rPr>
                <w:sz w:val="18"/>
              </w:rPr>
              <w:t>net</w:t>
            </w:r>
            <w:r>
              <w:rPr>
                <w:spacing w:val="-1"/>
                <w:sz w:val="18"/>
              </w:rPr>
              <w:t> </w:t>
            </w:r>
            <w:r>
              <w:rPr>
                <w:sz w:val="18"/>
              </w:rPr>
              <w:t>of</w:t>
            </w:r>
            <w:r>
              <w:rPr>
                <w:spacing w:val="-1"/>
                <w:sz w:val="18"/>
              </w:rPr>
              <w:t> </w:t>
            </w:r>
            <w:r>
              <w:rPr>
                <w:sz w:val="18"/>
              </w:rPr>
              <w:t>amounts</w:t>
            </w:r>
            <w:r>
              <w:rPr>
                <w:spacing w:val="-1"/>
                <w:sz w:val="18"/>
              </w:rPr>
              <w:t> </w:t>
            </w:r>
            <w:r>
              <w:rPr>
                <w:spacing w:val="-2"/>
                <w:sz w:val="18"/>
              </w:rPr>
              <w:t>capitalized</w:t>
            </w:r>
          </w:p>
        </w:tc>
        <w:tc>
          <w:tcPr>
            <w:tcW w:w="1570" w:type="dxa"/>
            <w:shd w:val="clear" w:color="auto" w:fill="CCEDFF"/>
          </w:tcPr>
          <w:p>
            <w:pPr>
              <w:pStyle w:val="TableParagraph"/>
              <w:ind w:right="123"/>
              <w:jc w:val="right"/>
              <w:rPr>
                <w:sz w:val="18"/>
              </w:rPr>
            </w:pPr>
            <w:r>
              <w:rPr>
                <w:spacing w:val="-2"/>
                <w:sz w:val="18"/>
              </w:rPr>
              <w:t>594,954</w:t>
            </w:r>
          </w:p>
        </w:tc>
        <w:tc>
          <w:tcPr>
            <w:tcW w:w="1637" w:type="dxa"/>
            <w:shd w:val="clear" w:color="auto" w:fill="CCEDFF"/>
          </w:tcPr>
          <w:p>
            <w:pPr>
              <w:pStyle w:val="TableParagraph"/>
              <w:ind w:right="123"/>
              <w:jc w:val="right"/>
              <w:rPr>
                <w:sz w:val="18"/>
              </w:rPr>
            </w:pPr>
            <w:r>
              <w:rPr>
                <w:spacing w:val="-2"/>
                <w:sz w:val="18"/>
              </w:rPr>
              <w:t>799,593</w:t>
            </w:r>
          </w:p>
        </w:tc>
        <w:tc>
          <w:tcPr>
            <w:tcW w:w="1585" w:type="dxa"/>
            <w:shd w:val="clear" w:color="auto" w:fill="CCEDFF"/>
          </w:tcPr>
          <w:p>
            <w:pPr>
              <w:pStyle w:val="TableParagraph"/>
              <w:ind w:right="70"/>
              <w:jc w:val="right"/>
              <w:rPr>
                <w:sz w:val="18"/>
              </w:rPr>
            </w:pPr>
            <w:r>
              <w:rPr>
                <w:spacing w:val="-2"/>
                <w:sz w:val="18"/>
              </w:rPr>
              <w:t>676,380</w:t>
            </w:r>
          </w:p>
        </w:tc>
      </w:tr>
      <w:tr>
        <w:trPr>
          <w:trHeight w:val="256" w:hRule="atLeast"/>
        </w:trPr>
        <w:tc>
          <w:tcPr>
            <w:tcW w:w="6723" w:type="dxa"/>
          </w:tcPr>
          <w:p>
            <w:pPr>
              <w:pStyle w:val="TableParagraph"/>
              <w:ind w:left="217"/>
              <w:rPr>
                <w:sz w:val="18"/>
              </w:rPr>
            </w:pPr>
            <w:r>
              <w:rPr>
                <w:sz w:val="18"/>
              </w:rPr>
              <w:t>Non-operating</w:t>
            </w:r>
            <w:r>
              <w:rPr>
                <w:spacing w:val="-1"/>
                <w:sz w:val="18"/>
              </w:rPr>
              <w:t> </w:t>
            </w:r>
            <w:r>
              <w:rPr>
                <w:sz w:val="18"/>
              </w:rPr>
              <w:t>items</w:t>
            </w:r>
            <w:r>
              <w:rPr>
                <w:spacing w:val="-1"/>
                <w:sz w:val="18"/>
              </w:rPr>
              <w:t> </w:t>
            </w:r>
            <w:r>
              <w:rPr>
                <w:sz w:val="18"/>
              </w:rPr>
              <w:t>from</w:t>
            </w:r>
            <w:r>
              <w:rPr>
                <w:spacing w:val="-1"/>
                <w:sz w:val="18"/>
              </w:rPr>
              <w:t> </w:t>
            </w:r>
            <w:r>
              <w:rPr>
                <w:sz w:val="18"/>
              </w:rPr>
              <w:t>unconsolidated</w:t>
            </w:r>
            <w:r>
              <w:rPr>
                <w:spacing w:val="-1"/>
                <w:sz w:val="18"/>
              </w:rPr>
              <w:t> </w:t>
            </w:r>
            <w:r>
              <w:rPr>
                <w:spacing w:val="-2"/>
                <w:sz w:val="18"/>
              </w:rPr>
              <w:t>affiliates</w:t>
            </w:r>
          </w:p>
        </w:tc>
        <w:tc>
          <w:tcPr>
            <w:tcW w:w="1570" w:type="dxa"/>
          </w:tcPr>
          <w:p>
            <w:pPr>
              <w:pStyle w:val="TableParagraph"/>
              <w:ind w:right="123"/>
              <w:jc w:val="right"/>
              <w:rPr>
                <w:sz w:val="18"/>
              </w:rPr>
            </w:pPr>
            <w:r>
              <w:rPr>
                <w:spacing w:val="-2"/>
                <w:sz w:val="18"/>
              </w:rPr>
              <w:t>23,457</w:t>
            </w:r>
          </w:p>
        </w:tc>
        <w:tc>
          <w:tcPr>
            <w:tcW w:w="1637" w:type="dxa"/>
          </w:tcPr>
          <w:p>
            <w:pPr>
              <w:pStyle w:val="TableParagraph"/>
              <w:ind w:right="124"/>
              <w:jc w:val="right"/>
              <w:rPr>
                <w:sz w:val="18"/>
              </w:rPr>
            </w:pPr>
            <w:r>
              <w:rPr>
                <w:spacing w:val="-2"/>
                <w:sz w:val="18"/>
              </w:rPr>
              <w:t>83,243</w:t>
            </w:r>
          </w:p>
        </w:tc>
        <w:tc>
          <w:tcPr>
            <w:tcW w:w="1585" w:type="dxa"/>
          </w:tcPr>
          <w:p>
            <w:pPr>
              <w:pStyle w:val="TableParagraph"/>
              <w:ind w:right="70"/>
              <w:jc w:val="right"/>
              <w:rPr>
                <w:sz w:val="18"/>
              </w:rPr>
            </w:pPr>
            <w:r>
              <w:rPr>
                <w:spacing w:val="-2"/>
                <w:sz w:val="18"/>
              </w:rPr>
              <w:t>103,304</w:t>
            </w:r>
          </w:p>
        </w:tc>
      </w:tr>
      <w:tr>
        <w:trPr>
          <w:trHeight w:val="255" w:hRule="atLeast"/>
        </w:trPr>
        <w:tc>
          <w:tcPr>
            <w:tcW w:w="6723" w:type="dxa"/>
            <w:shd w:val="clear" w:color="auto" w:fill="CCEDFF"/>
          </w:tcPr>
          <w:p>
            <w:pPr>
              <w:pStyle w:val="TableParagraph"/>
              <w:ind w:left="217"/>
              <w:rPr>
                <w:sz w:val="18"/>
              </w:rPr>
            </w:pPr>
            <w:r>
              <w:rPr>
                <w:sz w:val="18"/>
              </w:rPr>
              <w:t>Other,</w:t>
            </w:r>
            <w:r>
              <w:rPr>
                <w:spacing w:val="-9"/>
                <w:sz w:val="18"/>
              </w:rPr>
              <w:t> </w:t>
            </w:r>
            <w:r>
              <w:rPr>
                <w:spacing w:val="-5"/>
                <w:sz w:val="18"/>
              </w:rPr>
              <w:t>net</w:t>
            </w:r>
          </w:p>
        </w:tc>
        <w:tc>
          <w:tcPr>
            <w:tcW w:w="1570" w:type="dxa"/>
            <w:tcBorders>
              <w:bottom w:val="single" w:sz="6" w:space="0" w:color="000000"/>
            </w:tcBorders>
            <w:shd w:val="clear" w:color="auto" w:fill="CCEDFF"/>
          </w:tcPr>
          <w:p>
            <w:pPr>
              <w:pStyle w:val="TableParagraph"/>
              <w:ind w:right="78"/>
              <w:jc w:val="right"/>
              <w:rPr>
                <w:sz w:val="18"/>
              </w:rPr>
            </w:pPr>
            <w:r>
              <w:rPr>
                <w:spacing w:val="-2"/>
                <w:sz w:val="18"/>
              </w:rPr>
              <w:t>(82,838)</w:t>
            </w:r>
          </w:p>
        </w:tc>
        <w:tc>
          <w:tcPr>
            <w:tcW w:w="1637" w:type="dxa"/>
            <w:tcBorders>
              <w:bottom w:val="single" w:sz="6" w:space="0" w:color="000000"/>
            </w:tcBorders>
            <w:shd w:val="clear" w:color="auto" w:fill="CCEDFF"/>
          </w:tcPr>
          <w:p>
            <w:pPr>
              <w:pStyle w:val="TableParagraph"/>
              <w:ind w:right="79"/>
              <w:jc w:val="right"/>
              <w:rPr>
                <w:sz w:val="18"/>
              </w:rPr>
            </w:pPr>
            <w:r>
              <w:rPr>
                <w:spacing w:val="-2"/>
                <w:sz w:val="18"/>
              </w:rPr>
              <w:t>(65,941)</w:t>
            </w:r>
          </w:p>
        </w:tc>
        <w:tc>
          <w:tcPr>
            <w:tcW w:w="1585" w:type="dxa"/>
            <w:tcBorders>
              <w:bottom w:val="single" w:sz="6" w:space="0" w:color="000000"/>
            </w:tcBorders>
            <w:shd w:val="clear" w:color="auto" w:fill="CCEDFF"/>
          </w:tcPr>
          <w:p>
            <w:pPr>
              <w:pStyle w:val="TableParagraph"/>
              <w:ind w:right="70"/>
              <w:jc w:val="right"/>
              <w:rPr>
                <w:sz w:val="18"/>
              </w:rPr>
            </w:pPr>
            <w:r>
              <w:rPr>
                <w:spacing w:val="-2"/>
                <w:sz w:val="18"/>
              </w:rPr>
              <w:t>89,361</w:t>
            </w:r>
          </w:p>
        </w:tc>
      </w:tr>
      <w:tr>
        <w:trPr>
          <w:trHeight w:val="254" w:hRule="atLeast"/>
        </w:trPr>
        <w:tc>
          <w:tcPr>
            <w:tcW w:w="6723" w:type="dxa"/>
          </w:tcPr>
          <w:p>
            <w:pPr>
              <w:pStyle w:val="TableParagraph"/>
              <w:spacing w:before="0"/>
              <w:rPr>
                <w:sz w:val="18"/>
              </w:rPr>
            </w:pPr>
          </w:p>
        </w:tc>
        <w:tc>
          <w:tcPr>
            <w:tcW w:w="1570" w:type="dxa"/>
            <w:tcBorders>
              <w:top w:val="single" w:sz="6" w:space="0" w:color="000000"/>
              <w:bottom w:val="single" w:sz="6" w:space="0" w:color="000000"/>
            </w:tcBorders>
          </w:tcPr>
          <w:p>
            <w:pPr>
              <w:pStyle w:val="TableParagraph"/>
              <w:spacing w:before="20"/>
              <w:ind w:right="123"/>
              <w:jc w:val="right"/>
              <w:rPr>
                <w:sz w:val="18"/>
              </w:rPr>
            </w:pPr>
            <w:r>
              <w:rPr>
                <w:spacing w:val="-2"/>
                <w:sz w:val="18"/>
              </w:rPr>
              <w:t>535,573</w:t>
            </w:r>
          </w:p>
        </w:tc>
        <w:tc>
          <w:tcPr>
            <w:tcW w:w="1637" w:type="dxa"/>
            <w:tcBorders>
              <w:top w:val="single" w:sz="6" w:space="0" w:color="000000"/>
              <w:bottom w:val="single" w:sz="6" w:space="0" w:color="000000"/>
            </w:tcBorders>
          </w:tcPr>
          <w:p>
            <w:pPr>
              <w:pStyle w:val="TableParagraph"/>
              <w:spacing w:before="20"/>
              <w:ind w:right="123"/>
              <w:jc w:val="right"/>
              <w:rPr>
                <w:sz w:val="18"/>
              </w:rPr>
            </w:pPr>
            <w:r>
              <w:rPr>
                <w:spacing w:val="-2"/>
                <w:sz w:val="18"/>
              </w:rPr>
              <w:t>816,895</w:t>
            </w:r>
          </w:p>
        </w:tc>
        <w:tc>
          <w:tcPr>
            <w:tcW w:w="1585" w:type="dxa"/>
            <w:tcBorders>
              <w:top w:val="single" w:sz="6" w:space="0" w:color="000000"/>
              <w:bottom w:val="single" w:sz="6" w:space="0" w:color="000000"/>
            </w:tcBorders>
          </w:tcPr>
          <w:p>
            <w:pPr>
              <w:pStyle w:val="TableParagraph"/>
              <w:spacing w:before="20"/>
              <w:ind w:right="70"/>
              <w:jc w:val="right"/>
              <w:rPr>
                <w:sz w:val="18"/>
              </w:rPr>
            </w:pPr>
            <w:r>
              <w:rPr>
                <w:spacing w:val="-2"/>
                <w:sz w:val="18"/>
              </w:rPr>
              <w:t>869,045</w:t>
            </w:r>
          </w:p>
        </w:tc>
      </w:tr>
      <w:tr>
        <w:trPr>
          <w:trHeight w:val="255" w:hRule="atLeast"/>
        </w:trPr>
        <w:tc>
          <w:tcPr>
            <w:tcW w:w="6723" w:type="dxa"/>
            <w:shd w:val="clear" w:color="auto" w:fill="CCEDFF"/>
          </w:tcPr>
          <w:p>
            <w:pPr>
              <w:pStyle w:val="TableParagraph"/>
              <w:spacing w:before="20"/>
              <w:ind w:left="17"/>
              <w:rPr>
                <w:sz w:val="18"/>
              </w:rPr>
            </w:pPr>
            <w:r>
              <w:rPr>
                <w:sz w:val="18"/>
              </w:rPr>
              <w:t>Operating</w:t>
            </w:r>
            <w:r>
              <w:rPr>
                <w:spacing w:val="-1"/>
                <w:sz w:val="18"/>
              </w:rPr>
              <w:t> </w:t>
            </w:r>
            <w:r>
              <w:rPr>
                <w:sz w:val="18"/>
              </w:rPr>
              <w:t>income</w:t>
            </w:r>
            <w:r>
              <w:rPr>
                <w:spacing w:val="-1"/>
                <w:sz w:val="18"/>
              </w:rPr>
              <w:t> </w:t>
            </w:r>
            <w:r>
              <w:rPr>
                <w:spacing w:val="-2"/>
                <w:sz w:val="18"/>
              </w:rPr>
              <w:t>(loss)</w:t>
            </w:r>
          </w:p>
        </w:tc>
        <w:tc>
          <w:tcPr>
            <w:tcW w:w="1570" w:type="dxa"/>
            <w:tcBorders>
              <w:top w:val="single" w:sz="6" w:space="0" w:color="000000"/>
            </w:tcBorders>
            <w:shd w:val="clear" w:color="auto" w:fill="CCEDFF"/>
          </w:tcPr>
          <w:p>
            <w:pPr>
              <w:pStyle w:val="TableParagraph"/>
              <w:spacing w:before="20"/>
              <w:ind w:right="123"/>
              <w:jc w:val="right"/>
              <w:rPr>
                <w:sz w:val="18"/>
              </w:rPr>
            </w:pPr>
            <w:r>
              <w:rPr>
                <w:spacing w:val="-2"/>
                <w:sz w:val="18"/>
              </w:rPr>
              <w:t>1,439,372</w:t>
            </w:r>
          </w:p>
        </w:tc>
        <w:tc>
          <w:tcPr>
            <w:tcW w:w="1637" w:type="dxa"/>
            <w:tcBorders>
              <w:top w:val="single" w:sz="6" w:space="0" w:color="000000"/>
            </w:tcBorders>
            <w:shd w:val="clear" w:color="auto" w:fill="CCEDFF"/>
          </w:tcPr>
          <w:p>
            <w:pPr>
              <w:pStyle w:val="TableParagraph"/>
              <w:spacing w:before="20"/>
              <w:ind w:right="123"/>
              <w:jc w:val="right"/>
              <w:rPr>
                <w:sz w:val="18"/>
              </w:rPr>
            </w:pPr>
            <w:r>
              <w:rPr>
                <w:spacing w:val="-2"/>
                <w:sz w:val="18"/>
              </w:rPr>
              <w:t>2,278,699</w:t>
            </w:r>
          </w:p>
        </w:tc>
        <w:tc>
          <w:tcPr>
            <w:tcW w:w="1585" w:type="dxa"/>
            <w:tcBorders>
              <w:top w:val="single" w:sz="6" w:space="0" w:color="000000"/>
            </w:tcBorders>
            <w:shd w:val="clear" w:color="auto" w:fill="CCEDFF"/>
          </w:tcPr>
          <w:p>
            <w:pPr>
              <w:pStyle w:val="TableParagraph"/>
              <w:spacing w:before="20"/>
              <w:ind w:right="25"/>
              <w:jc w:val="right"/>
              <w:rPr>
                <w:sz w:val="18"/>
              </w:rPr>
            </w:pPr>
            <w:r>
              <w:rPr>
                <w:spacing w:val="-2"/>
                <w:sz w:val="18"/>
              </w:rPr>
              <w:t>(642,434)</w:t>
            </w:r>
          </w:p>
        </w:tc>
      </w:tr>
      <w:tr>
        <w:trPr>
          <w:trHeight w:val="256" w:hRule="atLeast"/>
        </w:trPr>
        <w:tc>
          <w:tcPr>
            <w:tcW w:w="6723" w:type="dxa"/>
          </w:tcPr>
          <w:p>
            <w:pPr>
              <w:pStyle w:val="TableParagraph"/>
              <w:ind w:left="217"/>
              <w:rPr>
                <w:sz w:val="18"/>
              </w:rPr>
            </w:pPr>
            <w:r>
              <w:rPr>
                <w:sz w:val="18"/>
              </w:rPr>
              <w:t>Preopening</w:t>
            </w:r>
            <w:r>
              <w:rPr>
                <w:spacing w:val="-3"/>
                <w:sz w:val="18"/>
              </w:rPr>
              <w:t> </w:t>
            </w:r>
            <w:r>
              <w:rPr>
                <w:sz w:val="18"/>
              </w:rPr>
              <w:t>and</w:t>
            </w:r>
            <w:r>
              <w:rPr>
                <w:spacing w:val="-1"/>
                <w:sz w:val="18"/>
              </w:rPr>
              <w:t> </w:t>
            </w:r>
            <w:r>
              <w:rPr>
                <w:sz w:val="18"/>
              </w:rPr>
              <w:t>start-up</w:t>
            </w:r>
            <w:r>
              <w:rPr>
                <w:spacing w:val="-1"/>
                <w:sz w:val="18"/>
              </w:rPr>
              <w:t> </w:t>
            </w:r>
            <w:r>
              <w:rPr>
                <w:spacing w:val="-2"/>
                <w:sz w:val="18"/>
              </w:rPr>
              <w:t>expenses</w:t>
            </w:r>
          </w:p>
        </w:tc>
        <w:tc>
          <w:tcPr>
            <w:tcW w:w="1570" w:type="dxa"/>
          </w:tcPr>
          <w:p>
            <w:pPr>
              <w:pStyle w:val="TableParagraph"/>
              <w:ind w:right="123"/>
              <w:jc w:val="right"/>
              <w:rPr>
                <w:sz w:val="18"/>
              </w:rPr>
            </w:pPr>
            <w:r>
              <w:rPr>
                <w:spacing w:val="-2"/>
                <w:sz w:val="18"/>
              </w:rPr>
              <w:t>1,876</w:t>
            </w:r>
          </w:p>
        </w:tc>
        <w:tc>
          <w:tcPr>
            <w:tcW w:w="1637" w:type="dxa"/>
          </w:tcPr>
          <w:p>
            <w:pPr>
              <w:pStyle w:val="TableParagraph"/>
              <w:ind w:right="123"/>
              <w:jc w:val="right"/>
              <w:rPr>
                <w:sz w:val="18"/>
              </w:rPr>
            </w:pPr>
            <w:r>
              <w:rPr>
                <w:spacing w:val="-2"/>
                <w:sz w:val="18"/>
              </w:rPr>
              <w:t>5,094</w:t>
            </w:r>
          </w:p>
        </w:tc>
        <w:tc>
          <w:tcPr>
            <w:tcW w:w="1585" w:type="dxa"/>
          </w:tcPr>
          <w:p>
            <w:pPr>
              <w:pStyle w:val="TableParagraph"/>
              <w:ind w:right="70"/>
              <w:jc w:val="right"/>
              <w:rPr>
                <w:sz w:val="18"/>
              </w:rPr>
            </w:pPr>
            <w:r>
              <w:rPr>
                <w:spacing w:val="-5"/>
                <w:sz w:val="18"/>
              </w:rPr>
              <w:t>84</w:t>
            </w:r>
          </w:p>
        </w:tc>
      </w:tr>
      <w:tr>
        <w:trPr>
          <w:trHeight w:val="269" w:hRule="atLeast"/>
        </w:trPr>
        <w:tc>
          <w:tcPr>
            <w:tcW w:w="6723" w:type="dxa"/>
            <w:shd w:val="clear" w:color="auto" w:fill="CCEDFF"/>
          </w:tcPr>
          <w:p>
            <w:pPr>
              <w:pStyle w:val="TableParagraph"/>
              <w:ind w:left="217"/>
              <w:rPr>
                <w:sz w:val="18"/>
              </w:rPr>
            </w:pPr>
            <w:r>
              <w:rPr>
                <w:sz w:val="18"/>
              </w:rPr>
              <w:t>Property</w:t>
            </w:r>
            <w:r>
              <w:rPr>
                <w:spacing w:val="-1"/>
                <w:sz w:val="18"/>
              </w:rPr>
              <w:t> </w:t>
            </w:r>
            <w:r>
              <w:rPr>
                <w:sz w:val="18"/>
              </w:rPr>
              <w:t>transactions,</w:t>
            </w:r>
            <w:r>
              <w:rPr>
                <w:spacing w:val="-1"/>
                <w:sz w:val="18"/>
              </w:rPr>
              <w:t> </w:t>
            </w:r>
            <w:r>
              <w:rPr>
                <w:spacing w:val="-5"/>
                <w:sz w:val="18"/>
              </w:rPr>
              <w:t>net</w:t>
            </w:r>
          </w:p>
        </w:tc>
        <w:tc>
          <w:tcPr>
            <w:tcW w:w="1570" w:type="dxa"/>
            <w:shd w:val="clear" w:color="auto" w:fill="CCEDFF"/>
          </w:tcPr>
          <w:p>
            <w:pPr>
              <w:pStyle w:val="TableParagraph"/>
              <w:ind w:right="78"/>
              <w:jc w:val="right"/>
              <w:rPr>
                <w:sz w:val="18"/>
              </w:rPr>
            </w:pPr>
            <w:r>
              <w:rPr>
                <w:spacing w:val="-2"/>
                <w:sz w:val="18"/>
              </w:rPr>
              <w:t>(1,036,997)</w:t>
            </w:r>
          </w:p>
        </w:tc>
        <w:tc>
          <w:tcPr>
            <w:tcW w:w="1637" w:type="dxa"/>
            <w:shd w:val="clear" w:color="auto" w:fill="CCEDFF"/>
          </w:tcPr>
          <w:p>
            <w:pPr>
              <w:pStyle w:val="TableParagraph"/>
              <w:ind w:right="79"/>
              <w:jc w:val="right"/>
              <w:rPr>
                <w:sz w:val="18"/>
              </w:rPr>
            </w:pPr>
            <w:r>
              <w:rPr>
                <w:spacing w:val="-2"/>
                <w:sz w:val="18"/>
              </w:rPr>
              <w:t>(67,736)</w:t>
            </w:r>
          </w:p>
        </w:tc>
        <w:tc>
          <w:tcPr>
            <w:tcW w:w="1585" w:type="dxa"/>
            <w:shd w:val="clear" w:color="auto" w:fill="CCEDFF"/>
          </w:tcPr>
          <w:p>
            <w:pPr>
              <w:pStyle w:val="TableParagraph"/>
              <w:ind w:right="70"/>
              <w:jc w:val="right"/>
              <w:rPr>
                <w:sz w:val="18"/>
              </w:rPr>
            </w:pPr>
            <w:r>
              <w:rPr>
                <w:spacing w:val="-2"/>
                <w:sz w:val="18"/>
              </w:rPr>
              <w:t>93,567</w:t>
            </w:r>
          </w:p>
        </w:tc>
      </w:tr>
      <w:tr>
        <w:trPr>
          <w:trHeight w:val="256" w:hRule="atLeast"/>
        </w:trPr>
        <w:tc>
          <w:tcPr>
            <w:tcW w:w="6723" w:type="dxa"/>
          </w:tcPr>
          <w:p>
            <w:pPr>
              <w:pStyle w:val="TableParagraph"/>
              <w:ind w:left="217"/>
              <w:rPr>
                <w:sz w:val="18"/>
              </w:rPr>
            </w:pPr>
            <w:r>
              <w:rPr>
                <w:sz w:val="18"/>
              </w:rPr>
              <w:t>Depreciation</w:t>
            </w:r>
            <w:r>
              <w:rPr>
                <w:spacing w:val="-1"/>
                <w:sz w:val="18"/>
              </w:rPr>
              <w:t> </w:t>
            </w:r>
            <w:r>
              <w:rPr>
                <w:sz w:val="18"/>
              </w:rPr>
              <w:t>and</w:t>
            </w:r>
            <w:r>
              <w:rPr>
                <w:spacing w:val="-1"/>
                <w:sz w:val="18"/>
              </w:rPr>
              <w:t> </w:t>
            </w:r>
            <w:r>
              <w:rPr>
                <w:spacing w:val="-2"/>
                <w:sz w:val="18"/>
              </w:rPr>
              <w:t>amortization</w:t>
            </w:r>
          </w:p>
        </w:tc>
        <w:tc>
          <w:tcPr>
            <w:tcW w:w="1570" w:type="dxa"/>
          </w:tcPr>
          <w:p>
            <w:pPr>
              <w:pStyle w:val="TableParagraph"/>
              <w:ind w:right="123"/>
              <w:jc w:val="right"/>
              <w:rPr>
                <w:sz w:val="18"/>
              </w:rPr>
            </w:pPr>
            <w:r>
              <w:rPr>
                <w:spacing w:val="-2"/>
                <w:sz w:val="18"/>
              </w:rPr>
              <w:t>3,482,050</w:t>
            </w:r>
          </w:p>
        </w:tc>
        <w:tc>
          <w:tcPr>
            <w:tcW w:w="1637" w:type="dxa"/>
          </w:tcPr>
          <w:p>
            <w:pPr>
              <w:pStyle w:val="TableParagraph"/>
              <w:ind w:right="123"/>
              <w:jc w:val="right"/>
              <w:rPr>
                <w:sz w:val="18"/>
              </w:rPr>
            </w:pPr>
            <w:r>
              <w:rPr>
                <w:spacing w:val="-2"/>
                <w:sz w:val="18"/>
              </w:rPr>
              <w:t>1,150,610</w:t>
            </w:r>
          </w:p>
        </w:tc>
        <w:tc>
          <w:tcPr>
            <w:tcW w:w="1585" w:type="dxa"/>
          </w:tcPr>
          <w:p>
            <w:pPr>
              <w:pStyle w:val="TableParagraph"/>
              <w:ind w:right="70"/>
              <w:jc w:val="right"/>
              <w:rPr>
                <w:sz w:val="18"/>
              </w:rPr>
            </w:pPr>
            <w:r>
              <w:rPr>
                <w:spacing w:val="-2"/>
                <w:sz w:val="18"/>
              </w:rPr>
              <w:t>1,210,556</w:t>
            </w:r>
          </w:p>
        </w:tc>
      </w:tr>
      <w:tr>
        <w:trPr>
          <w:trHeight w:val="256" w:hRule="atLeast"/>
        </w:trPr>
        <w:tc>
          <w:tcPr>
            <w:tcW w:w="6723" w:type="dxa"/>
            <w:shd w:val="clear" w:color="auto" w:fill="CCEDFF"/>
          </w:tcPr>
          <w:p>
            <w:pPr>
              <w:pStyle w:val="TableParagraph"/>
              <w:ind w:left="217"/>
              <w:rPr>
                <w:sz w:val="18"/>
              </w:rPr>
            </w:pPr>
            <w:r>
              <w:rPr>
                <w:sz w:val="18"/>
              </w:rPr>
              <w:t>Gain</w:t>
            </w:r>
            <w:r>
              <w:rPr>
                <w:spacing w:val="-1"/>
                <w:sz w:val="18"/>
              </w:rPr>
              <w:t> </w:t>
            </w:r>
            <w:r>
              <w:rPr>
                <w:sz w:val="18"/>
              </w:rPr>
              <w:t>on</w:t>
            </w:r>
            <w:r>
              <w:rPr>
                <w:spacing w:val="-1"/>
                <w:sz w:val="18"/>
              </w:rPr>
              <w:t> </w:t>
            </w:r>
            <w:r>
              <w:rPr>
                <w:sz w:val="18"/>
              </w:rPr>
              <w:t>REIT</w:t>
            </w:r>
            <w:r>
              <w:rPr>
                <w:spacing w:val="-4"/>
                <w:sz w:val="18"/>
              </w:rPr>
              <w:t> </w:t>
            </w:r>
            <w:r>
              <w:rPr>
                <w:sz w:val="18"/>
              </w:rPr>
              <w:t>transactions,</w:t>
            </w:r>
            <w:r>
              <w:rPr>
                <w:spacing w:val="-1"/>
                <w:sz w:val="18"/>
              </w:rPr>
              <w:t> </w:t>
            </w:r>
            <w:r>
              <w:rPr>
                <w:spacing w:val="-5"/>
                <w:sz w:val="18"/>
              </w:rPr>
              <w:t>net</w:t>
            </w:r>
          </w:p>
        </w:tc>
        <w:tc>
          <w:tcPr>
            <w:tcW w:w="1570" w:type="dxa"/>
            <w:shd w:val="clear" w:color="auto" w:fill="CCEDFF"/>
          </w:tcPr>
          <w:p>
            <w:pPr>
              <w:pStyle w:val="TableParagraph"/>
              <w:ind w:right="78"/>
              <w:jc w:val="right"/>
              <w:rPr>
                <w:sz w:val="18"/>
              </w:rPr>
            </w:pPr>
            <w:r>
              <w:rPr>
                <w:spacing w:val="-2"/>
                <w:sz w:val="18"/>
              </w:rPr>
              <w:t>(2,277,747)</w:t>
            </w:r>
          </w:p>
        </w:tc>
        <w:tc>
          <w:tcPr>
            <w:tcW w:w="1637" w:type="dxa"/>
            <w:shd w:val="clear" w:color="auto" w:fill="CCEDFF"/>
          </w:tcPr>
          <w:p>
            <w:pPr>
              <w:pStyle w:val="TableParagraph"/>
              <w:ind w:right="124"/>
              <w:jc w:val="right"/>
              <w:rPr>
                <w:sz w:val="18"/>
              </w:rPr>
            </w:pPr>
            <w:r>
              <w:rPr>
                <w:spacing w:val="-10"/>
                <w:sz w:val="18"/>
              </w:rPr>
              <w:t>—</w:t>
            </w:r>
          </w:p>
        </w:tc>
        <w:tc>
          <w:tcPr>
            <w:tcW w:w="1585" w:type="dxa"/>
            <w:shd w:val="clear" w:color="auto" w:fill="CCEDFF"/>
          </w:tcPr>
          <w:p>
            <w:pPr>
              <w:pStyle w:val="TableParagraph"/>
              <w:ind w:right="25"/>
              <w:jc w:val="right"/>
              <w:rPr>
                <w:sz w:val="18"/>
              </w:rPr>
            </w:pPr>
            <w:r>
              <w:rPr>
                <w:spacing w:val="-2"/>
                <w:sz w:val="18"/>
              </w:rPr>
              <w:t>(1,491,945)</w:t>
            </w:r>
          </w:p>
        </w:tc>
      </w:tr>
      <w:tr>
        <w:trPr>
          <w:trHeight w:val="256" w:hRule="atLeast"/>
        </w:trPr>
        <w:tc>
          <w:tcPr>
            <w:tcW w:w="6723" w:type="dxa"/>
          </w:tcPr>
          <w:p>
            <w:pPr>
              <w:pStyle w:val="TableParagraph"/>
              <w:ind w:left="217"/>
              <w:rPr>
                <w:sz w:val="18"/>
              </w:rPr>
            </w:pPr>
            <w:r>
              <w:rPr>
                <w:sz w:val="18"/>
              </w:rPr>
              <w:t>Gain</w:t>
            </w:r>
            <w:r>
              <w:rPr>
                <w:spacing w:val="-3"/>
                <w:sz w:val="18"/>
              </w:rPr>
              <w:t> </w:t>
            </w:r>
            <w:r>
              <w:rPr>
                <w:sz w:val="18"/>
              </w:rPr>
              <w:t>on</w:t>
            </w:r>
            <w:r>
              <w:rPr>
                <w:spacing w:val="-3"/>
                <w:sz w:val="18"/>
              </w:rPr>
              <w:t> </w:t>
            </w:r>
            <w:r>
              <w:rPr>
                <w:sz w:val="18"/>
              </w:rPr>
              <w:t>consolidation</w:t>
            </w:r>
            <w:r>
              <w:rPr>
                <w:spacing w:val="-2"/>
                <w:sz w:val="18"/>
              </w:rPr>
              <w:t> </w:t>
            </w:r>
            <w:r>
              <w:rPr>
                <w:sz w:val="18"/>
              </w:rPr>
              <w:t>of</w:t>
            </w:r>
            <w:r>
              <w:rPr>
                <w:spacing w:val="-3"/>
                <w:sz w:val="18"/>
              </w:rPr>
              <w:t> </w:t>
            </w:r>
            <w:r>
              <w:rPr>
                <w:sz w:val="18"/>
              </w:rPr>
              <w:t>CityCenter,</w:t>
            </w:r>
            <w:r>
              <w:rPr>
                <w:spacing w:val="-2"/>
                <w:sz w:val="18"/>
              </w:rPr>
              <w:t> </w:t>
            </w:r>
            <w:r>
              <w:rPr>
                <w:spacing w:val="-5"/>
                <w:sz w:val="18"/>
              </w:rPr>
              <w:t>net</w:t>
            </w:r>
          </w:p>
        </w:tc>
        <w:tc>
          <w:tcPr>
            <w:tcW w:w="1570" w:type="dxa"/>
          </w:tcPr>
          <w:p>
            <w:pPr>
              <w:pStyle w:val="TableParagraph"/>
              <w:ind w:right="123"/>
              <w:jc w:val="right"/>
              <w:rPr>
                <w:sz w:val="18"/>
              </w:rPr>
            </w:pPr>
            <w:r>
              <w:rPr>
                <w:spacing w:val="-10"/>
                <w:sz w:val="18"/>
              </w:rPr>
              <w:t>—</w:t>
            </w:r>
          </w:p>
        </w:tc>
        <w:tc>
          <w:tcPr>
            <w:tcW w:w="1637" w:type="dxa"/>
          </w:tcPr>
          <w:p>
            <w:pPr>
              <w:pStyle w:val="TableParagraph"/>
              <w:ind w:right="78"/>
              <w:jc w:val="right"/>
              <w:rPr>
                <w:sz w:val="18"/>
              </w:rPr>
            </w:pPr>
            <w:r>
              <w:rPr>
                <w:spacing w:val="-2"/>
                <w:sz w:val="18"/>
              </w:rPr>
              <w:t>(1,562,329)</w:t>
            </w:r>
          </w:p>
        </w:tc>
        <w:tc>
          <w:tcPr>
            <w:tcW w:w="1585" w:type="dxa"/>
          </w:tcPr>
          <w:p>
            <w:pPr>
              <w:pStyle w:val="TableParagraph"/>
              <w:ind w:right="70"/>
              <w:jc w:val="right"/>
              <w:rPr>
                <w:sz w:val="18"/>
              </w:rPr>
            </w:pPr>
            <w:r>
              <w:rPr>
                <w:spacing w:val="-10"/>
                <w:sz w:val="18"/>
              </w:rPr>
              <w:t>—</w:t>
            </w:r>
          </w:p>
        </w:tc>
      </w:tr>
      <w:tr>
        <w:trPr>
          <w:trHeight w:val="256" w:hRule="atLeast"/>
        </w:trPr>
        <w:tc>
          <w:tcPr>
            <w:tcW w:w="6723" w:type="dxa"/>
            <w:shd w:val="clear" w:color="auto" w:fill="CCEDFF"/>
          </w:tcPr>
          <w:p>
            <w:pPr>
              <w:pStyle w:val="TableParagraph"/>
              <w:ind w:left="217"/>
              <w:rPr>
                <w:sz w:val="18"/>
              </w:rPr>
            </w:pPr>
            <w:r>
              <w:rPr>
                <w:sz w:val="18"/>
              </w:rPr>
              <w:t>CEO</w:t>
            </w:r>
            <w:r>
              <w:rPr>
                <w:spacing w:val="-1"/>
                <w:sz w:val="18"/>
              </w:rPr>
              <w:t> </w:t>
            </w:r>
            <w:r>
              <w:rPr>
                <w:sz w:val="18"/>
              </w:rPr>
              <w:t>transition</w:t>
            </w:r>
            <w:r>
              <w:rPr>
                <w:spacing w:val="-1"/>
                <w:sz w:val="18"/>
              </w:rPr>
              <w:t> </w:t>
            </w:r>
            <w:r>
              <w:rPr>
                <w:spacing w:val="-2"/>
                <w:sz w:val="18"/>
              </w:rPr>
              <w:t>expense</w:t>
            </w:r>
          </w:p>
        </w:tc>
        <w:tc>
          <w:tcPr>
            <w:tcW w:w="1570" w:type="dxa"/>
            <w:shd w:val="clear" w:color="auto" w:fill="CCEDFF"/>
          </w:tcPr>
          <w:p>
            <w:pPr>
              <w:pStyle w:val="TableParagraph"/>
              <w:ind w:right="123"/>
              <w:jc w:val="right"/>
              <w:rPr>
                <w:sz w:val="18"/>
              </w:rPr>
            </w:pPr>
            <w:r>
              <w:rPr>
                <w:spacing w:val="-10"/>
                <w:sz w:val="18"/>
              </w:rPr>
              <w:t>—</w:t>
            </w:r>
          </w:p>
        </w:tc>
        <w:tc>
          <w:tcPr>
            <w:tcW w:w="1637" w:type="dxa"/>
            <w:shd w:val="clear" w:color="auto" w:fill="CCEDFF"/>
          </w:tcPr>
          <w:p>
            <w:pPr>
              <w:pStyle w:val="TableParagraph"/>
              <w:ind w:right="124"/>
              <w:jc w:val="right"/>
              <w:rPr>
                <w:sz w:val="18"/>
              </w:rPr>
            </w:pPr>
            <w:r>
              <w:rPr>
                <w:spacing w:val="-10"/>
                <w:sz w:val="18"/>
              </w:rPr>
              <w:t>—</w:t>
            </w:r>
          </w:p>
        </w:tc>
        <w:tc>
          <w:tcPr>
            <w:tcW w:w="1585" w:type="dxa"/>
            <w:shd w:val="clear" w:color="auto" w:fill="CCEDFF"/>
          </w:tcPr>
          <w:p>
            <w:pPr>
              <w:pStyle w:val="TableParagraph"/>
              <w:ind w:right="70"/>
              <w:jc w:val="right"/>
              <w:rPr>
                <w:sz w:val="18"/>
              </w:rPr>
            </w:pPr>
            <w:r>
              <w:rPr>
                <w:spacing w:val="-2"/>
                <w:sz w:val="18"/>
              </w:rPr>
              <w:t>44,401</w:t>
            </w:r>
          </w:p>
        </w:tc>
      </w:tr>
      <w:tr>
        <w:trPr>
          <w:trHeight w:val="269" w:hRule="atLeast"/>
        </w:trPr>
        <w:tc>
          <w:tcPr>
            <w:tcW w:w="6723" w:type="dxa"/>
          </w:tcPr>
          <w:p>
            <w:pPr>
              <w:pStyle w:val="TableParagraph"/>
              <w:ind w:left="217"/>
              <w:rPr>
                <w:sz w:val="18"/>
              </w:rPr>
            </w:pPr>
            <w:r>
              <w:rPr>
                <w:sz w:val="18"/>
              </w:rPr>
              <w:t>October</w:t>
            </w:r>
            <w:r>
              <w:rPr>
                <w:spacing w:val="-1"/>
                <w:sz w:val="18"/>
              </w:rPr>
              <w:t> </w:t>
            </w:r>
            <w:r>
              <w:rPr>
                <w:sz w:val="18"/>
              </w:rPr>
              <w:t>1</w:t>
            </w:r>
            <w:r>
              <w:rPr>
                <w:spacing w:val="-1"/>
                <w:sz w:val="18"/>
              </w:rPr>
              <w:t> </w:t>
            </w:r>
            <w:r>
              <w:rPr>
                <w:sz w:val="18"/>
              </w:rPr>
              <w:t>litigation</w:t>
            </w:r>
            <w:r>
              <w:rPr>
                <w:spacing w:val="-1"/>
                <w:sz w:val="18"/>
              </w:rPr>
              <w:t> </w:t>
            </w:r>
            <w:r>
              <w:rPr>
                <w:spacing w:val="-2"/>
                <w:sz w:val="18"/>
              </w:rPr>
              <w:t>settlement</w:t>
            </w:r>
          </w:p>
        </w:tc>
        <w:tc>
          <w:tcPr>
            <w:tcW w:w="1570" w:type="dxa"/>
          </w:tcPr>
          <w:p>
            <w:pPr>
              <w:pStyle w:val="TableParagraph"/>
              <w:ind w:right="123"/>
              <w:jc w:val="right"/>
              <w:rPr>
                <w:sz w:val="18"/>
              </w:rPr>
            </w:pPr>
            <w:r>
              <w:rPr>
                <w:spacing w:val="-10"/>
                <w:sz w:val="18"/>
              </w:rPr>
              <w:t>—</w:t>
            </w:r>
          </w:p>
        </w:tc>
        <w:tc>
          <w:tcPr>
            <w:tcW w:w="1637" w:type="dxa"/>
          </w:tcPr>
          <w:p>
            <w:pPr>
              <w:pStyle w:val="TableParagraph"/>
              <w:ind w:right="124"/>
              <w:jc w:val="right"/>
              <w:rPr>
                <w:sz w:val="18"/>
              </w:rPr>
            </w:pPr>
            <w:r>
              <w:rPr>
                <w:spacing w:val="-10"/>
                <w:sz w:val="18"/>
              </w:rPr>
              <w:t>—</w:t>
            </w:r>
          </w:p>
        </w:tc>
        <w:tc>
          <w:tcPr>
            <w:tcW w:w="1585" w:type="dxa"/>
          </w:tcPr>
          <w:p>
            <w:pPr>
              <w:pStyle w:val="TableParagraph"/>
              <w:ind w:right="70"/>
              <w:jc w:val="right"/>
              <w:rPr>
                <w:sz w:val="18"/>
              </w:rPr>
            </w:pPr>
            <w:r>
              <w:rPr>
                <w:spacing w:val="-2"/>
                <w:sz w:val="18"/>
              </w:rPr>
              <w:t>49,000</w:t>
            </w:r>
          </w:p>
        </w:tc>
      </w:tr>
      <w:tr>
        <w:trPr>
          <w:trHeight w:val="256" w:hRule="atLeast"/>
        </w:trPr>
        <w:tc>
          <w:tcPr>
            <w:tcW w:w="6723" w:type="dxa"/>
            <w:shd w:val="clear" w:color="auto" w:fill="CCEDFF"/>
          </w:tcPr>
          <w:p>
            <w:pPr>
              <w:pStyle w:val="TableParagraph"/>
              <w:ind w:left="217"/>
              <w:rPr>
                <w:sz w:val="18"/>
              </w:rPr>
            </w:pPr>
            <w:r>
              <w:rPr>
                <w:spacing w:val="-2"/>
                <w:sz w:val="18"/>
              </w:rPr>
              <w:t>Restructuring</w:t>
            </w:r>
          </w:p>
        </w:tc>
        <w:tc>
          <w:tcPr>
            <w:tcW w:w="1570" w:type="dxa"/>
            <w:shd w:val="clear" w:color="auto" w:fill="CCEDFF"/>
          </w:tcPr>
          <w:p>
            <w:pPr>
              <w:pStyle w:val="TableParagraph"/>
              <w:ind w:right="123"/>
              <w:jc w:val="right"/>
              <w:rPr>
                <w:sz w:val="18"/>
              </w:rPr>
            </w:pPr>
            <w:r>
              <w:rPr>
                <w:spacing w:val="-10"/>
                <w:sz w:val="18"/>
              </w:rPr>
              <w:t>—</w:t>
            </w:r>
          </w:p>
        </w:tc>
        <w:tc>
          <w:tcPr>
            <w:tcW w:w="1637" w:type="dxa"/>
            <w:shd w:val="clear" w:color="auto" w:fill="CCEDFF"/>
          </w:tcPr>
          <w:p>
            <w:pPr>
              <w:pStyle w:val="TableParagraph"/>
              <w:ind w:right="124"/>
              <w:jc w:val="right"/>
              <w:rPr>
                <w:sz w:val="18"/>
              </w:rPr>
            </w:pPr>
            <w:r>
              <w:rPr>
                <w:spacing w:val="-10"/>
                <w:sz w:val="18"/>
              </w:rPr>
              <w:t>—</w:t>
            </w:r>
          </w:p>
        </w:tc>
        <w:tc>
          <w:tcPr>
            <w:tcW w:w="1585" w:type="dxa"/>
            <w:shd w:val="clear" w:color="auto" w:fill="CCEDFF"/>
          </w:tcPr>
          <w:p>
            <w:pPr>
              <w:pStyle w:val="TableParagraph"/>
              <w:ind w:right="70"/>
              <w:jc w:val="right"/>
              <w:rPr>
                <w:sz w:val="18"/>
              </w:rPr>
            </w:pPr>
            <w:r>
              <w:rPr>
                <w:spacing w:val="-2"/>
                <w:sz w:val="18"/>
              </w:rPr>
              <w:t>26,025</w:t>
            </w:r>
          </w:p>
        </w:tc>
      </w:tr>
      <w:tr>
        <w:trPr>
          <w:trHeight w:val="256" w:hRule="atLeast"/>
        </w:trPr>
        <w:tc>
          <w:tcPr>
            <w:tcW w:w="6723" w:type="dxa"/>
          </w:tcPr>
          <w:p>
            <w:pPr>
              <w:pStyle w:val="TableParagraph"/>
              <w:ind w:left="217"/>
              <w:rPr>
                <w:sz w:val="18"/>
              </w:rPr>
            </w:pPr>
            <w:r>
              <w:rPr>
                <w:sz w:val="18"/>
              </w:rPr>
              <w:t>Triple-net</w:t>
            </w:r>
            <w:r>
              <w:rPr>
                <w:spacing w:val="-4"/>
                <w:sz w:val="18"/>
              </w:rPr>
              <w:t> </w:t>
            </w:r>
            <w:r>
              <w:rPr>
                <w:sz w:val="18"/>
              </w:rPr>
              <w:t>operating</w:t>
            </w:r>
            <w:r>
              <w:rPr>
                <w:spacing w:val="-2"/>
                <w:sz w:val="18"/>
              </w:rPr>
              <w:t> </w:t>
            </w:r>
            <w:r>
              <w:rPr>
                <w:sz w:val="18"/>
              </w:rPr>
              <w:t>lease</w:t>
            </w:r>
            <w:r>
              <w:rPr>
                <w:spacing w:val="-2"/>
                <w:sz w:val="18"/>
              </w:rPr>
              <w:t> </w:t>
            </w:r>
            <w:r>
              <w:rPr>
                <w:sz w:val="18"/>
              </w:rPr>
              <w:t>and</w:t>
            </w:r>
            <w:r>
              <w:rPr>
                <w:spacing w:val="-2"/>
                <w:sz w:val="18"/>
              </w:rPr>
              <w:t> </w:t>
            </w:r>
            <w:r>
              <w:rPr>
                <w:sz w:val="18"/>
              </w:rPr>
              <w:t>ground</w:t>
            </w:r>
            <w:r>
              <w:rPr>
                <w:spacing w:val="-2"/>
                <w:sz w:val="18"/>
              </w:rPr>
              <w:t> </w:t>
            </w:r>
            <w:r>
              <w:rPr>
                <w:sz w:val="18"/>
              </w:rPr>
              <w:t>lease</w:t>
            </w:r>
            <w:r>
              <w:rPr>
                <w:spacing w:val="-2"/>
                <w:sz w:val="18"/>
              </w:rPr>
              <w:t> </w:t>
            </w:r>
            <w:r>
              <w:rPr>
                <w:sz w:val="18"/>
              </w:rPr>
              <w:t>rent</w:t>
            </w:r>
            <w:r>
              <w:rPr>
                <w:spacing w:val="-2"/>
                <w:sz w:val="18"/>
              </w:rPr>
              <w:t> expense</w:t>
            </w:r>
          </w:p>
        </w:tc>
        <w:tc>
          <w:tcPr>
            <w:tcW w:w="1570" w:type="dxa"/>
          </w:tcPr>
          <w:p>
            <w:pPr>
              <w:pStyle w:val="TableParagraph"/>
              <w:ind w:right="123"/>
              <w:jc w:val="right"/>
              <w:rPr>
                <w:sz w:val="18"/>
              </w:rPr>
            </w:pPr>
            <w:r>
              <w:rPr>
                <w:spacing w:val="-2"/>
                <w:sz w:val="18"/>
              </w:rPr>
              <w:t>1,950,566</w:t>
            </w:r>
          </w:p>
        </w:tc>
        <w:tc>
          <w:tcPr>
            <w:tcW w:w="1637" w:type="dxa"/>
          </w:tcPr>
          <w:p>
            <w:pPr>
              <w:pStyle w:val="TableParagraph"/>
              <w:ind w:right="123"/>
              <w:jc w:val="right"/>
              <w:rPr>
                <w:sz w:val="18"/>
              </w:rPr>
            </w:pPr>
            <w:r>
              <w:rPr>
                <w:spacing w:val="-2"/>
                <w:sz w:val="18"/>
              </w:rPr>
              <w:t>833,158</w:t>
            </w:r>
          </w:p>
        </w:tc>
        <w:tc>
          <w:tcPr>
            <w:tcW w:w="1585" w:type="dxa"/>
          </w:tcPr>
          <w:p>
            <w:pPr>
              <w:pStyle w:val="TableParagraph"/>
              <w:ind w:right="70"/>
              <w:jc w:val="right"/>
              <w:rPr>
                <w:sz w:val="18"/>
              </w:rPr>
            </w:pPr>
            <w:r>
              <w:rPr>
                <w:spacing w:val="-2"/>
                <w:sz w:val="18"/>
              </w:rPr>
              <w:t>710,683</w:t>
            </w:r>
          </w:p>
        </w:tc>
      </w:tr>
      <w:tr>
        <w:trPr>
          <w:trHeight w:val="256" w:hRule="atLeast"/>
        </w:trPr>
        <w:tc>
          <w:tcPr>
            <w:tcW w:w="6723" w:type="dxa"/>
            <w:shd w:val="clear" w:color="auto" w:fill="CCEDFF"/>
          </w:tcPr>
          <w:p>
            <w:pPr>
              <w:pStyle w:val="TableParagraph"/>
              <w:ind w:left="217"/>
              <w:rPr>
                <w:sz w:val="18"/>
              </w:rPr>
            </w:pPr>
            <w:r>
              <w:rPr>
                <w:sz w:val="18"/>
              </w:rPr>
              <w:t>Gain</w:t>
            </w:r>
            <w:r>
              <w:rPr>
                <w:spacing w:val="-1"/>
                <w:sz w:val="18"/>
              </w:rPr>
              <w:t> </w:t>
            </w:r>
            <w:r>
              <w:rPr>
                <w:sz w:val="18"/>
              </w:rPr>
              <w:t>related</w:t>
            </w:r>
            <w:r>
              <w:rPr>
                <w:spacing w:val="-1"/>
                <w:sz w:val="18"/>
              </w:rPr>
              <w:t> </w:t>
            </w:r>
            <w:r>
              <w:rPr>
                <w:sz w:val="18"/>
              </w:rPr>
              <w:t>to</w:t>
            </w:r>
            <w:r>
              <w:rPr>
                <w:spacing w:val="-1"/>
                <w:sz w:val="18"/>
              </w:rPr>
              <w:t> </w:t>
            </w:r>
            <w:r>
              <w:rPr>
                <w:sz w:val="18"/>
              </w:rPr>
              <w:t>sale</w:t>
            </w:r>
            <w:r>
              <w:rPr>
                <w:spacing w:val="-1"/>
                <w:sz w:val="18"/>
              </w:rPr>
              <w:t> </w:t>
            </w:r>
            <w:r>
              <w:rPr>
                <w:sz w:val="18"/>
              </w:rPr>
              <w:t>of</w:t>
            </w:r>
            <w:r>
              <w:rPr>
                <w:spacing w:val="-1"/>
                <w:sz w:val="18"/>
              </w:rPr>
              <w:t> </w:t>
            </w:r>
            <w:r>
              <w:rPr>
                <w:sz w:val="18"/>
              </w:rPr>
              <w:t>Harmon</w:t>
            </w:r>
            <w:r>
              <w:rPr>
                <w:spacing w:val="-1"/>
                <w:sz w:val="18"/>
              </w:rPr>
              <w:t> </w:t>
            </w:r>
            <w:r>
              <w:rPr>
                <w:sz w:val="18"/>
              </w:rPr>
              <w:t>land</w:t>
            </w:r>
            <w:r>
              <w:rPr>
                <w:spacing w:val="-1"/>
                <w:sz w:val="18"/>
              </w:rPr>
              <w:t> </w:t>
            </w:r>
            <w:r>
              <w:rPr>
                <w:sz w:val="18"/>
              </w:rPr>
              <w:t>-</w:t>
            </w:r>
            <w:r>
              <w:rPr>
                <w:spacing w:val="-1"/>
                <w:sz w:val="18"/>
              </w:rPr>
              <w:t> </w:t>
            </w:r>
            <w:r>
              <w:rPr>
                <w:sz w:val="18"/>
              </w:rPr>
              <w:t>unconsolidated</w:t>
            </w:r>
            <w:r>
              <w:rPr>
                <w:spacing w:val="-1"/>
                <w:sz w:val="18"/>
              </w:rPr>
              <w:t> </w:t>
            </w:r>
            <w:r>
              <w:rPr>
                <w:spacing w:val="-2"/>
                <w:sz w:val="18"/>
              </w:rPr>
              <w:t>affiliate</w:t>
            </w:r>
          </w:p>
        </w:tc>
        <w:tc>
          <w:tcPr>
            <w:tcW w:w="1570" w:type="dxa"/>
            <w:shd w:val="clear" w:color="auto" w:fill="CCEDFF"/>
          </w:tcPr>
          <w:p>
            <w:pPr>
              <w:pStyle w:val="TableParagraph"/>
              <w:ind w:right="123"/>
              <w:jc w:val="right"/>
              <w:rPr>
                <w:sz w:val="18"/>
              </w:rPr>
            </w:pPr>
            <w:r>
              <w:rPr>
                <w:spacing w:val="-10"/>
                <w:sz w:val="18"/>
              </w:rPr>
              <w:t>—</w:t>
            </w:r>
          </w:p>
        </w:tc>
        <w:tc>
          <w:tcPr>
            <w:tcW w:w="1637" w:type="dxa"/>
            <w:shd w:val="clear" w:color="auto" w:fill="CCEDFF"/>
          </w:tcPr>
          <w:p>
            <w:pPr>
              <w:pStyle w:val="TableParagraph"/>
              <w:ind w:right="79"/>
              <w:jc w:val="right"/>
              <w:rPr>
                <w:sz w:val="18"/>
              </w:rPr>
            </w:pPr>
            <w:r>
              <w:rPr>
                <w:spacing w:val="-2"/>
                <w:sz w:val="18"/>
              </w:rPr>
              <w:t>(49,755)</w:t>
            </w:r>
          </w:p>
        </w:tc>
        <w:tc>
          <w:tcPr>
            <w:tcW w:w="1585" w:type="dxa"/>
            <w:shd w:val="clear" w:color="auto" w:fill="CCEDFF"/>
          </w:tcPr>
          <w:p>
            <w:pPr>
              <w:pStyle w:val="TableParagraph"/>
              <w:ind w:right="70"/>
              <w:jc w:val="right"/>
              <w:rPr>
                <w:sz w:val="18"/>
              </w:rPr>
            </w:pPr>
            <w:r>
              <w:rPr>
                <w:spacing w:val="-10"/>
                <w:sz w:val="18"/>
              </w:rPr>
              <w:t>—</w:t>
            </w:r>
          </w:p>
        </w:tc>
      </w:tr>
      <w:tr>
        <w:trPr>
          <w:trHeight w:val="255" w:hRule="atLeast"/>
        </w:trPr>
        <w:tc>
          <w:tcPr>
            <w:tcW w:w="6723" w:type="dxa"/>
          </w:tcPr>
          <w:p>
            <w:pPr>
              <w:pStyle w:val="TableParagraph"/>
              <w:ind w:left="217"/>
              <w:rPr>
                <w:sz w:val="18"/>
              </w:rPr>
            </w:pPr>
            <w:r>
              <w:rPr>
                <w:sz w:val="18"/>
              </w:rPr>
              <w:t>Income</w:t>
            </w:r>
            <w:r>
              <w:rPr>
                <w:spacing w:val="-4"/>
                <w:sz w:val="18"/>
              </w:rPr>
              <w:t> </w:t>
            </w:r>
            <w:r>
              <w:rPr>
                <w:sz w:val="18"/>
              </w:rPr>
              <w:t>from</w:t>
            </w:r>
            <w:r>
              <w:rPr>
                <w:spacing w:val="-1"/>
                <w:sz w:val="18"/>
              </w:rPr>
              <w:t> </w:t>
            </w:r>
            <w:r>
              <w:rPr>
                <w:sz w:val="18"/>
              </w:rPr>
              <w:t>unconsolidated</w:t>
            </w:r>
            <w:r>
              <w:rPr>
                <w:spacing w:val="-2"/>
                <w:sz w:val="18"/>
              </w:rPr>
              <w:t> </w:t>
            </w:r>
            <w:r>
              <w:rPr>
                <w:sz w:val="18"/>
              </w:rPr>
              <w:t>affiliates</w:t>
            </w:r>
            <w:r>
              <w:rPr>
                <w:spacing w:val="-1"/>
                <w:sz w:val="18"/>
              </w:rPr>
              <w:t> </w:t>
            </w:r>
            <w:r>
              <w:rPr>
                <w:sz w:val="18"/>
              </w:rPr>
              <w:t>related</w:t>
            </w:r>
            <w:r>
              <w:rPr>
                <w:spacing w:val="-2"/>
                <w:sz w:val="18"/>
              </w:rPr>
              <w:t> </w:t>
            </w:r>
            <w:r>
              <w:rPr>
                <w:sz w:val="18"/>
              </w:rPr>
              <w:t>to</w:t>
            </w:r>
            <w:r>
              <w:rPr>
                <w:spacing w:val="-1"/>
                <w:sz w:val="18"/>
              </w:rPr>
              <w:t> </w:t>
            </w:r>
            <w:r>
              <w:rPr>
                <w:sz w:val="18"/>
              </w:rPr>
              <w:t>real</w:t>
            </w:r>
            <w:r>
              <w:rPr>
                <w:spacing w:val="-2"/>
                <w:sz w:val="18"/>
              </w:rPr>
              <w:t> </w:t>
            </w:r>
            <w:r>
              <w:rPr>
                <w:sz w:val="18"/>
              </w:rPr>
              <w:t>estate</w:t>
            </w:r>
            <w:r>
              <w:rPr>
                <w:spacing w:val="-1"/>
                <w:sz w:val="18"/>
              </w:rPr>
              <w:t> </w:t>
            </w:r>
            <w:r>
              <w:rPr>
                <w:spacing w:val="-2"/>
                <w:sz w:val="18"/>
              </w:rPr>
              <w:t>ventures</w:t>
            </w:r>
          </w:p>
        </w:tc>
        <w:tc>
          <w:tcPr>
            <w:tcW w:w="1570" w:type="dxa"/>
            <w:tcBorders>
              <w:bottom w:val="single" w:sz="6" w:space="0" w:color="000000"/>
            </w:tcBorders>
          </w:tcPr>
          <w:p>
            <w:pPr>
              <w:pStyle w:val="TableParagraph"/>
              <w:ind w:right="78"/>
              <w:jc w:val="right"/>
              <w:rPr>
                <w:sz w:val="18"/>
              </w:rPr>
            </w:pPr>
            <w:r>
              <w:rPr>
                <w:spacing w:val="-2"/>
                <w:sz w:val="18"/>
              </w:rPr>
              <w:t>(61,866)</w:t>
            </w:r>
          </w:p>
        </w:tc>
        <w:tc>
          <w:tcPr>
            <w:tcW w:w="1637" w:type="dxa"/>
          </w:tcPr>
          <w:p>
            <w:pPr>
              <w:pStyle w:val="TableParagraph"/>
              <w:spacing w:line="201" w:lineRule="exact" w:before="34"/>
              <w:ind w:right="78"/>
              <w:jc w:val="right"/>
              <w:rPr>
                <w:sz w:val="18"/>
              </w:rPr>
            </w:pPr>
            <w:r>
              <w:rPr>
                <w:spacing w:val="-2"/>
                <w:sz w:val="18"/>
              </w:rPr>
              <w:t>(166,658)</w:t>
            </w:r>
          </w:p>
        </w:tc>
        <w:tc>
          <w:tcPr>
            <w:tcW w:w="1585" w:type="dxa"/>
          </w:tcPr>
          <w:p>
            <w:pPr>
              <w:pStyle w:val="TableParagraph"/>
              <w:spacing w:line="201" w:lineRule="exact" w:before="34"/>
              <w:ind w:right="25"/>
              <w:jc w:val="right"/>
              <w:rPr>
                <w:sz w:val="18"/>
              </w:rPr>
            </w:pPr>
            <w:r>
              <w:rPr>
                <w:spacing w:val="-2"/>
                <w:sz w:val="18"/>
              </w:rPr>
              <w:t>(148,434)</w:t>
            </w:r>
          </w:p>
        </w:tc>
      </w:tr>
      <w:tr>
        <w:trPr>
          <w:trHeight w:val="296" w:hRule="atLeast"/>
        </w:trPr>
        <w:tc>
          <w:tcPr>
            <w:tcW w:w="6723" w:type="dxa"/>
            <w:shd w:val="clear" w:color="auto" w:fill="CCEDFF"/>
          </w:tcPr>
          <w:p>
            <w:pPr>
              <w:pStyle w:val="TableParagraph"/>
              <w:spacing w:before="20"/>
              <w:ind w:left="17"/>
              <w:rPr>
                <w:sz w:val="18"/>
              </w:rPr>
            </w:pPr>
            <w:r>
              <w:rPr>
                <w:sz w:val="18"/>
              </w:rPr>
              <w:t>Adjusted</w:t>
            </w:r>
            <w:r>
              <w:rPr>
                <w:spacing w:val="-1"/>
                <w:sz w:val="18"/>
              </w:rPr>
              <w:t> </w:t>
            </w:r>
            <w:r>
              <w:rPr>
                <w:spacing w:val="-2"/>
                <w:sz w:val="18"/>
              </w:rPr>
              <w:t>EBITDAR</w:t>
            </w:r>
          </w:p>
        </w:tc>
        <w:tc>
          <w:tcPr>
            <w:tcW w:w="1570" w:type="dxa"/>
            <w:tcBorders>
              <w:top w:val="single" w:sz="6" w:space="0" w:color="000000"/>
            </w:tcBorders>
            <w:shd w:val="clear" w:color="auto" w:fill="CCEDFF"/>
          </w:tcPr>
          <w:p>
            <w:pPr>
              <w:pStyle w:val="TableParagraph"/>
              <w:tabs>
                <w:tab w:pos="709" w:val="left" w:leader="none"/>
              </w:tabs>
              <w:spacing w:before="20"/>
              <w:ind w:right="123"/>
              <w:jc w:val="right"/>
              <w:rPr>
                <w:sz w:val="18"/>
              </w:rPr>
            </w:pPr>
            <w:r>
              <w:rPr>
                <w:spacing w:val="-10"/>
                <w:sz w:val="18"/>
              </w:rPr>
              <w:t>$</w:t>
            </w:r>
            <w:r>
              <w:rPr>
                <w:sz w:val="18"/>
              </w:rPr>
              <w:tab/>
            </w:r>
            <w:r>
              <w:rPr>
                <w:spacing w:val="-2"/>
                <w:sz w:val="18"/>
              </w:rPr>
              <w:t>3,497,254</w:t>
            </w:r>
          </w:p>
        </w:tc>
        <w:tc>
          <w:tcPr>
            <w:tcW w:w="1637" w:type="dxa"/>
            <w:shd w:val="clear" w:color="auto" w:fill="CCEDFF"/>
          </w:tcPr>
          <w:p>
            <w:pPr>
              <w:pStyle w:val="TableParagraph"/>
              <w:spacing w:before="0"/>
              <w:rPr>
                <w:sz w:val="18"/>
              </w:rPr>
            </w:pPr>
          </w:p>
        </w:tc>
        <w:tc>
          <w:tcPr>
            <w:tcW w:w="1585" w:type="dxa"/>
            <w:shd w:val="clear" w:color="auto" w:fill="CCEDFF"/>
          </w:tcPr>
          <w:p>
            <w:pPr>
              <w:pStyle w:val="TableParagraph"/>
              <w:spacing w:before="0"/>
              <w:rPr>
                <w:sz w:val="18"/>
              </w:rPr>
            </w:pPr>
          </w:p>
        </w:tc>
      </w:tr>
    </w:tbl>
    <w:p>
      <w:pPr>
        <w:pStyle w:val="BodyText"/>
        <w:rPr>
          <w:b/>
        </w:rPr>
      </w:pPr>
    </w:p>
    <w:p>
      <w:pPr>
        <w:pStyle w:val="BodyText"/>
        <w:spacing w:before="128"/>
        <w:rPr>
          <w:b/>
        </w:rPr>
      </w:pPr>
    </w:p>
    <w:p>
      <w:pPr>
        <w:spacing w:before="0"/>
        <w:ind w:left="144" w:right="0" w:firstLine="0"/>
        <w:jc w:val="left"/>
        <w:rPr>
          <w:b/>
          <w:sz w:val="18"/>
        </w:rPr>
      </w:pPr>
      <w:r>
        <w:rPr/>
        <mc:AlternateContent>
          <mc:Choice Requires="wps">
            <w:drawing>
              <wp:anchor distT="0" distB="0" distL="0" distR="0" allowOverlap="1" layoutInCell="1" locked="0" behindDoc="0" simplePos="0" relativeHeight="15774720">
                <wp:simplePos x="0" y="0"/>
                <wp:positionH relativeFrom="page">
                  <wp:posOffset>4500550</wp:posOffset>
                </wp:positionH>
                <wp:positionV relativeFrom="paragraph">
                  <wp:posOffset>-356054</wp:posOffset>
                </wp:positionV>
                <wp:extent cx="960119" cy="3429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4.374023pt;margin-top:-28.035788pt;width:75.6pt;height:2.7pt;mso-position-horizontal-relative:page;mso-position-vertical-relative:paragraph;z-index:15774720" id="docshape246" coordorigin="7087,-561" coordsize="1512,54" path="m8599,-520l8572,-520,7195,-520,7087,-520,7087,-507,7195,-507,8572,-507,8599,-507,8599,-520xm8599,-561l8572,-561,7195,-561,7087,-561,7087,-547,7195,-547,8572,-547,8599,-547,8599,-561xe" filled="true" fillcolor="#000000" stroked="false">
                <v:path arrowok="t"/>
                <v:fill type="solid"/>
                <w10:wrap type="none"/>
              </v:shape>
            </w:pict>
          </mc:Fallback>
        </mc:AlternateContent>
      </w:r>
      <w:r>
        <w:rPr>
          <w:b/>
          <w:sz w:val="18"/>
        </w:rPr>
        <w:t>Guarantor</w:t>
      </w:r>
      <w:r>
        <w:rPr>
          <w:b/>
          <w:spacing w:val="-4"/>
          <w:sz w:val="18"/>
        </w:rPr>
        <w:t> </w:t>
      </w:r>
      <w:r>
        <w:rPr>
          <w:b/>
          <w:sz w:val="18"/>
        </w:rPr>
        <w:t>Financial</w:t>
      </w:r>
      <w:r>
        <w:rPr>
          <w:b/>
          <w:spacing w:val="-1"/>
          <w:sz w:val="18"/>
        </w:rPr>
        <w:t> </w:t>
      </w:r>
      <w:r>
        <w:rPr>
          <w:b/>
          <w:spacing w:val="-2"/>
          <w:sz w:val="18"/>
        </w:rPr>
        <w:t>Information</w:t>
      </w:r>
    </w:p>
    <w:p>
      <w:pPr>
        <w:pStyle w:val="BodyText"/>
        <w:spacing w:before="19"/>
        <w:rPr>
          <w:b/>
        </w:rPr>
      </w:pPr>
    </w:p>
    <w:p>
      <w:pPr>
        <w:pStyle w:val="BodyText"/>
        <w:spacing w:line="237" w:lineRule="auto" w:before="1"/>
        <w:ind w:left="144" w:right="118" w:firstLine="499"/>
        <w:jc w:val="both"/>
      </w:pPr>
      <w:r>
        <w:rPr>
          <w:color w:val="202529"/>
        </w:rPr>
        <w:t>As of December 31, 2022, all of our principal debt arrangements are guaranteed by each of our wholly owned material domestic subsidiaries that guarantee our senior credit facility. Our principal debt arrangements are not guaranteed by MGM Grand Detroit, MGM National Harbor, Blue Tarp reDevelopment, LLC (the entity that operates MGM Springfield), and each of their respective subsidiaries. Our foreign subsidiaries, including LeoVegas, MGM</w:t>
      </w:r>
      <w:r>
        <w:rPr>
          <w:color w:val="202529"/>
          <w:spacing w:val="-2"/>
        </w:rPr>
        <w:t> </w:t>
      </w:r>
      <w:r>
        <w:rPr>
          <w:color w:val="202529"/>
        </w:rPr>
        <w:t>China,</w:t>
      </w:r>
      <w:r>
        <w:rPr>
          <w:color w:val="202529"/>
          <w:spacing w:val="-2"/>
        </w:rPr>
        <w:t> </w:t>
      </w:r>
      <w:r>
        <w:rPr>
          <w:color w:val="202529"/>
        </w:rPr>
        <w:t>and</w:t>
      </w:r>
      <w:r>
        <w:rPr>
          <w:color w:val="202529"/>
          <w:spacing w:val="-2"/>
        </w:rPr>
        <w:t> </w:t>
      </w:r>
      <w:r>
        <w:rPr>
          <w:color w:val="202529"/>
        </w:rPr>
        <w:t>each</w:t>
      </w:r>
      <w:r>
        <w:rPr>
          <w:color w:val="202529"/>
          <w:spacing w:val="-2"/>
        </w:rPr>
        <w:t> </w:t>
      </w:r>
      <w:r>
        <w:rPr>
          <w:color w:val="202529"/>
        </w:rPr>
        <w:t>of</w:t>
      </w:r>
      <w:r>
        <w:rPr>
          <w:color w:val="202529"/>
          <w:spacing w:val="-2"/>
        </w:rPr>
        <w:t> </w:t>
      </w:r>
      <w:r>
        <w:rPr>
          <w:color w:val="202529"/>
        </w:rPr>
        <w:t>their</w:t>
      </w:r>
      <w:r>
        <w:rPr>
          <w:color w:val="202529"/>
          <w:spacing w:val="-2"/>
        </w:rPr>
        <w:t> </w:t>
      </w:r>
      <w:r>
        <w:rPr>
          <w:color w:val="202529"/>
        </w:rPr>
        <w:t>respective</w:t>
      </w:r>
      <w:r>
        <w:rPr>
          <w:color w:val="202529"/>
          <w:spacing w:val="-2"/>
        </w:rPr>
        <w:t> </w:t>
      </w:r>
      <w:r>
        <w:rPr>
          <w:color w:val="202529"/>
        </w:rPr>
        <w:t>subsidiaries,</w:t>
      </w:r>
      <w:r>
        <w:rPr>
          <w:color w:val="202529"/>
          <w:spacing w:val="-2"/>
        </w:rPr>
        <w:t> </w:t>
      </w:r>
      <w:r>
        <w:rPr>
          <w:color w:val="202529"/>
        </w:rPr>
        <w:t>are</w:t>
      </w:r>
      <w:r>
        <w:rPr>
          <w:color w:val="202529"/>
          <w:spacing w:val="-2"/>
        </w:rPr>
        <w:t> </w:t>
      </w:r>
      <w:r>
        <w:rPr>
          <w:color w:val="202529"/>
        </w:rPr>
        <w:t>also</w:t>
      </w:r>
      <w:r>
        <w:rPr>
          <w:color w:val="202529"/>
          <w:spacing w:val="-2"/>
        </w:rPr>
        <w:t> </w:t>
      </w:r>
      <w:r>
        <w:rPr>
          <w:color w:val="202529"/>
        </w:rPr>
        <w:t>not</w:t>
      </w:r>
      <w:r>
        <w:rPr>
          <w:color w:val="202529"/>
          <w:spacing w:val="-2"/>
        </w:rPr>
        <w:t> </w:t>
      </w:r>
      <w:r>
        <w:rPr>
          <w:color w:val="202529"/>
        </w:rPr>
        <w:t>guarantors</w:t>
      </w:r>
      <w:r>
        <w:rPr>
          <w:color w:val="202529"/>
          <w:spacing w:val="-2"/>
        </w:rPr>
        <w:t> </w:t>
      </w:r>
      <w:r>
        <w:rPr>
          <w:color w:val="202529"/>
        </w:rPr>
        <w:t>of</w:t>
      </w:r>
      <w:r>
        <w:rPr>
          <w:color w:val="202529"/>
          <w:spacing w:val="-2"/>
        </w:rPr>
        <w:t> </w:t>
      </w:r>
      <w:r>
        <w:rPr>
          <w:color w:val="202529"/>
        </w:rPr>
        <w:t>our</w:t>
      </w:r>
      <w:r>
        <w:rPr>
          <w:color w:val="202529"/>
          <w:spacing w:val="-2"/>
        </w:rPr>
        <w:t> </w:t>
      </w:r>
      <w:r>
        <w:rPr>
          <w:color w:val="202529"/>
        </w:rPr>
        <w:t>principal</w:t>
      </w:r>
      <w:r>
        <w:rPr>
          <w:color w:val="202529"/>
          <w:spacing w:val="-2"/>
        </w:rPr>
        <w:t> </w:t>
      </w:r>
      <w:r>
        <w:rPr>
          <w:color w:val="202529"/>
        </w:rPr>
        <w:t>debt</w:t>
      </w:r>
      <w:r>
        <w:rPr>
          <w:color w:val="202529"/>
          <w:spacing w:val="-2"/>
        </w:rPr>
        <w:t> </w:t>
      </w:r>
      <w:r>
        <w:rPr>
          <w:color w:val="202529"/>
        </w:rPr>
        <w:t>arrangements.</w:t>
      </w:r>
      <w:r>
        <w:rPr>
          <w:color w:val="202529"/>
          <w:spacing w:val="-2"/>
        </w:rPr>
        <w:t> </w:t>
      </w:r>
      <w:r>
        <w:rPr>
          <w:color w:val="202529"/>
        </w:rPr>
        <w:t>In</w:t>
      </w:r>
      <w:r>
        <w:rPr>
          <w:color w:val="202529"/>
          <w:spacing w:val="-2"/>
        </w:rPr>
        <w:t> </w:t>
      </w:r>
      <w:r>
        <w:rPr>
          <w:color w:val="202529"/>
        </w:rPr>
        <w:t>the</w:t>
      </w:r>
      <w:r>
        <w:rPr>
          <w:color w:val="202529"/>
          <w:spacing w:val="-2"/>
        </w:rPr>
        <w:t> </w:t>
      </w:r>
      <w:r>
        <w:rPr>
          <w:color w:val="202529"/>
        </w:rPr>
        <w:t>event</w:t>
      </w:r>
      <w:r>
        <w:rPr>
          <w:color w:val="202529"/>
          <w:spacing w:val="-2"/>
        </w:rPr>
        <w:t> </w:t>
      </w:r>
      <w:r>
        <w:rPr>
          <w:color w:val="202529"/>
        </w:rPr>
        <w:t>that</w:t>
      </w:r>
      <w:r>
        <w:rPr>
          <w:color w:val="202529"/>
          <w:spacing w:val="-2"/>
        </w:rPr>
        <w:t> </w:t>
      </w:r>
      <w:r>
        <w:rPr>
          <w:color w:val="202529"/>
        </w:rPr>
        <w:t>any</w:t>
      </w:r>
      <w:r>
        <w:rPr>
          <w:color w:val="202529"/>
          <w:spacing w:val="-2"/>
        </w:rPr>
        <w:t> </w:t>
      </w:r>
      <w:r>
        <w:rPr>
          <w:color w:val="202529"/>
        </w:rPr>
        <w:t>subsidiary</w:t>
      </w:r>
      <w:r>
        <w:rPr>
          <w:color w:val="202529"/>
          <w:spacing w:val="-2"/>
        </w:rPr>
        <w:t> </w:t>
      </w:r>
      <w:r>
        <w:rPr>
          <w:color w:val="202529"/>
        </w:rPr>
        <w:t>is</w:t>
      </w:r>
      <w:r>
        <w:rPr>
          <w:color w:val="202529"/>
          <w:spacing w:val="-2"/>
        </w:rPr>
        <w:t> </w:t>
      </w:r>
      <w:r>
        <w:rPr>
          <w:color w:val="202529"/>
        </w:rPr>
        <w:t>no</w:t>
      </w:r>
      <w:r>
        <w:rPr>
          <w:color w:val="202529"/>
          <w:spacing w:val="-2"/>
        </w:rPr>
        <w:t> </w:t>
      </w:r>
      <w:r>
        <w:rPr>
          <w:color w:val="202529"/>
        </w:rPr>
        <w:t>longer</w:t>
      </w:r>
      <w:r>
        <w:rPr>
          <w:color w:val="202529"/>
          <w:spacing w:val="-2"/>
        </w:rPr>
        <w:t> </w:t>
      </w:r>
      <w:r>
        <w:rPr>
          <w:color w:val="202529"/>
        </w:rPr>
        <w:t>a guarantor of our credit facility or any of our future capital markets indebtedness, that subsidiary will be released and relieved of its obligations to guarantee our existing senior notes. The indentures governing the senior notes further provide that in the event of a sale of all or substantially all of the assets of, or capital stock in a subsidiary guarantor then such subsidiary guarantor will be released and relieved of any obligations under its subsidiary guarantee.</w:t>
      </w:r>
    </w:p>
    <w:p>
      <w:pPr>
        <w:pStyle w:val="BodyText"/>
        <w:spacing w:before="19"/>
      </w:pPr>
    </w:p>
    <w:p>
      <w:pPr>
        <w:pStyle w:val="BodyText"/>
        <w:spacing w:line="237" w:lineRule="auto"/>
        <w:ind w:left="144" w:right="118" w:firstLine="499"/>
        <w:jc w:val="both"/>
      </w:pPr>
      <w:r>
        <w:rPr>
          <w:color w:val="202529"/>
        </w:rPr>
        <w:t>The guarantees provided by the subsidiary guarantors rank senior in right of payment to any future subordinated debt of ours or such subsidiary guarantors, junior to any secured indebtedness to the extent of the value of the assets securing such debt and effectively subordinated to any indebtedness and other obligations of our subsidiaries that do not guarantee the senior notes. In addition, the obligations of each subsidiary guarantor under its guarantee is limited so as not to constitute a fraudulent conveyance under applicable law, which may eliminate the subsidiary guarantor’s obligations or reduce </w:t>
      </w:r>
      <w:r>
        <w:rPr>
          <w:color w:val="202529"/>
        </w:rPr>
        <w:t>such obligations to an amount that effectively makes the subsidiary guarantee lack value.</w:t>
      </w:r>
    </w:p>
    <w:p>
      <w:pPr>
        <w:pStyle w:val="BodyText"/>
        <w:spacing w:before="8"/>
      </w:pPr>
    </w:p>
    <w:p>
      <w:pPr>
        <w:pStyle w:val="BodyText"/>
        <w:spacing w:line="242" w:lineRule="auto" w:before="1"/>
        <w:ind w:left="144" w:right="118" w:firstLine="499"/>
        <w:jc w:val="both"/>
      </w:pPr>
      <w:r>
        <w:rPr>
          <w:color w:val="202529"/>
        </w:rPr>
        <w:t>The summarized financial information of us and our guarantor subsidiaries, on a combined basis, is presented below. Prior to the VICI Transaction, certain of our guarantor subsidiaries accounted for the master lease with MGP as an operating lease with the rent expense reflected within the summarized financial information. Additionally, assets held for</w:t>
      </w:r>
    </w:p>
    <w:p>
      <w:pPr>
        <w:pStyle w:val="BodyText"/>
      </w:pPr>
    </w:p>
    <w:p>
      <w:pPr>
        <w:pStyle w:val="BodyText"/>
        <w:spacing w:before="187"/>
      </w:pPr>
    </w:p>
    <w:p>
      <w:pPr>
        <w:pStyle w:val="BodyText"/>
        <w:ind w:left="24"/>
        <w:jc w:val="center"/>
      </w:pPr>
      <w:r>
        <w:rPr>
          <w:spacing w:val="-5"/>
        </w:rPr>
        <w:t>43</w:t>
      </w:r>
    </w:p>
    <w:p>
      <w:pPr>
        <w:pStyle w:val="BodyText"/>
        <w:spacing w:before="3"/>
        <w:rPr>
          <w:sz w:val="6"/>
        </w:rPr>
      </w:pPr>
      <w:r>
        <w:rPr/>
        <mc:AlternateContent>
          <mc:Choice Requires="wps">
            <w:drawing>
              <wp:anchor distT="0" distB="0" distL="0" distR="0" allowOverlap="1" layoutInCell="1" locked="0" behindDoc="1" simplePos="0" relativeHeight="487633408">
                <wp:simplePos x="0" y="0"/>
                <wp:positionH relativeFrom="page">
                  <wp:posOffset>231457</wp:posOffset>
                </wp:positionH>
                <wp:positionV relativeFrom="paragraph">
                  <wp:posOffset>60956</wp:posOffset>
                </wp:positionV>
                <wp:extent cx="7312659" cy="17145"/>
                <wp:effectExtent l="0" t="0" r="0" b="0"/>
                <wp:wrapTopAndBottom/>
                <wp:docPr id="249" name="Group 249"/>
                <wp:cNvGraphicFramePr>
                  <a:graphicFrameLocks/>
                </wp:cNvGraphicFramePr>
                <a:graphic>
                  <a:graphicData uri="http://schemas.microsoft.com/office/word/2010/wordprocessingGroup">
                    <wpg:wgp>
                      <wpg:cNvPr id="249" name="Group 249"/>
                      <wpg:cNvGrpSpPr/>
                      <wpg:grpSpPr>
                        <a:xfrm>
                          <a:off x="0" y="0"/>
                          <a:ext cx="7312659" cy="17145"/>
                          <a:chExt cx="7312659" cy="17145"/>
                        </a:xfrm>
                      </wpg:grpSpPr>
                      <wps:wsp>
                        <wps:cNvPr id="250" name="Graphic 25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51" name="Graphic 251"/>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52" name="Graphic 25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83072;mso-wrap-distance-left:0;mso-wrap-distance-right:0" id="docshapegroup247" coordorigin="364,96" coordsize="11516,27">
                <v:rect style="position:absolute;left:364;top:96;width:11516;height:14" id="docshape248" filled="true" fillcolor="#999999" stroked="false">
                  <v:fill type="solid"/>
                </v:rect>
                <v:shape style="position:absolute;left:364;top:96;width:11516;height:27" id="docshape249" coordorigin="364,96" coordsize="11516,27" path="m11880,96l11866,109,364,109,364,123,11866,123,11880,123,11880,109,11880,96xe" filled="true" fillcolor="#ededed" stroked="false">
                  <v:path arrowok="t"/>
                  <v:fill type="solid"/>
                </v:shape>
                <v:shape style="position:absolute;left:364;top:96;width:14;height:27" id="docshape250"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35" w:lineRule="auto" w:before="66"/>
        <w:ind w:left="144"/>
      </w:pPr>
      <w:r>
        <w:rPr>
          <w:color w:val="202529"/>
        </w:rPr>
        <w:t>sale and liabilities related to assets held for sale associated with Gold Strike</w:t>
      </w:r>
      <w:r>
        <w:rPr>
          <w:color w:val="202529"/>
          <w:spacing w:val="-2"/>
        </w:rPr>
        <w:t> </w:t>
      </w:r>
      <w:r>
        <w:rPr>
          <w:color w:val="202529"/>
        </w:rPr>
        <w:t>Tunica are included within current assets and other current liabilities, </w:t>
      </w:r>
      <w:r>
        <w:rPr>
          <w:color w:val="202529"/>
        </w:rPr>
        <w:t>respectively, within the summarized financial information.</w:t>
      </w:r>
    </w:p>
    <w:p>
      <w:pPr>
        <w:pStyle w:val="BodyText"/>
        <w:spacing w:before="87"/>
        <w:rPr>
          <w:sz w:val="16"/>
        </w:rPr>
      </w:pPr>
    </w:p>
    <w:p>
      <w:pPr>
        <w:spacing w:before="0"/>
        <w:ind w:left="9101" w:right="0" w:firstLine="0"/>
        <w:jc w:val="left"/>
        <w:rPr>
          <w:b/>
          <w:sz w:val="16"/>
        </w:rPr>
      </w:pPr>
      <w:r>
        <w:rPr/>
        <mc:AlternateContent>
          <mc:Choice Requires="wps">
            <w:drawing>
              <wp:anchor distT="0" distB="0" distL="0" distR="0" allowOverlap="1" layoutInCell="1" locked="0" behindDoc="1" simplePos="0" relativeHeight="487634432">
                <wp:simplePos x="0" y="0"/>
                <wp:positionH relativeFrom="page">
                  <wp:posOffset>5126342</wp:posOffset>
                </wp:positionH>
                <wp:positionV relativeFrom="paragraph">
                  <wp:posOffset>146589</wp:posOffset>
                </wp:positionV>
                <wp:extent cx="2409190" cy="8890"/>
                <wp:effectExtent l="0" t="0" r="0" b="0"/>
                <wp:wrapTopAndBottom/>
                <wp:docPr id="253" name="Graphic 253"/>
                <wp:cNvGraphicFramePr>
                  <a:graphicFrameLocks/>
                </wp:cNvGraphicFramePr>
                <a:graphic>
                  <a:graphicData uri="http://schemas.microsoft.com/office/word/2010/wordprocessingShape">
                    <wps:wsp>
                      <wps:cNvPr id="253" name="Graphic 253"/>
                      <wps:cNvSpPr/>
                      <wps:spPr>
                        <a:xfrm>
                          <a:off x="0" y="0"/>
                          <a:ext cx="2409190" cy="8890"/>
                        </a:xfrm>
                        <a:custGeom>
                          <a:avLst/>
                          <a:gdLst/>
                          <a:ahLst/>
                          <a:cxnLst/>
                          <a:rect l="l" t="t" r="r" b="b"/>
                          <a:pathLst>
                            <a:path w="2409190" h="8890">
                              <a:moveTo>
                                <a:pt x="2408872" y="0"/>
                              </a:moveTo>
                              <a:lnTo>
                                <a:pt x="2391727" y="0"/>
                              </a:lnTo>
                              <a:lnTo>
                                <a:pt x="77152" y="0"/>
                              </a:lnTo>
                              <a:lnTo>
                                <a:pt x="0" y="0"/>
                              </a:lnTo>
                              <a:lnTo>
                                <a:pt x="0" y="8572"/>
                              </a:lnTo>
                              <a:lnTo>
                                <a:pt x="77152" y="8572"/>
                              </a:lnTo>
                              <a:lnTo>
                                <a:pt x="2391727" y="8572"/>
                              </a:lnTo>
                              <a:lnTo>
                                <a:pt x="2408872" y="8572"/>
                              </a:lnTo>
                              <a:lnTo>
                                <a:pt x="2408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3.649017pt;margin-top:11.542472pt;width:189.7pt;height:.7pt;mso-position-horizontal-relative:page;mso-position-vertical-relative:paragraph;z-index:-15682048;mso-wrap-distance-left:0;mso-wrap-distance-right:0" id="docshape251" coordorigin="8073,231" coordsize="3794,14" path="m11866,231l11839,231,8194,231,8073,231,8073,244,8194,244,11839,244,11866,244,11866,231xe" filled="true" fillcolor="#000000" stroked="false">
                <v:path arrowok="t"/>
                <v:fill type="solid"/>
                <w10:wrap type="topAndBottom"/>
              </v:shape>
            </w:pict>
          </mc:Fallback>
        </mc:AlternateContent>
      </w:r>
      <w:r>
        <w:rPr>
          <w:b/>
          <w:sz w:val="16"/>
        </w:rPr>
        <w:t>December</w:t>
      </w:r>
      <w:r>
        <w:rPr>
          <w:b/>
          <w:spacing w:val="1"/>
          <w:sz w:val="16"/>
        </w:rPr>
        <w:t> </w:t>
      </w:r>
      <w:r>
        <w:rPr>
          <w:b/>
          <w:sz w:val="16"/>
        </w:rPr>
        <w:t>31,</w:t>
      </w:r>
      <w:r>
        <w:rPr>
          <w:b/>
          <w:spacing w:val="4"/>
          <w:sz w:val="16"/>
        </w:rPr>
        <w:t> </w:t>
      </w:r>
      <w:r>
        <w:rPr>
          <w:b/>
          <w:spacing w:val="-4"/>
          <w:sz w:val="16"/>
        </w:rPr>
        <w:t>2022</w:t>
      </w:r>
    </w:p>
    <w:p>
      <w:pPr>
        <w:tabs>
          <w:tab w:pos="9261" w:val="left" w:leader="none"/>
        </w:tabs>
        <w:spacing w:before="21" w:after="29"/>
        <w:ind w:left="171" w:right="0" w:firstLine="0"/>
        <w:jc w:val="left"/>
        <w:rPr>
          <w:b/>
          <w:i/>
          <w:sz w:val="16"/>
        </w:rPr>
      </w:pPr>
      <w:r>
        <w:rPr>
          <w:b/>
          <w:sz w:val="18"/>
        </w:rPr>
        <w:t>Balance</w:t>
      </w:r>
      <w:r>
        <w:rPr>
          <w:b/>
          <w:spacing w:val="-1"/>
          <w:sz w:val="18"/>
        </w:rPr>
        <w:t> </w:t>
      </w:r>
      <w:r>
        <w:rPr>
          <w:b/>
          <w:spacing w:val="-2"/>
          <w:sz w:val="18"/>
        </w:rPr>
        <w:t>Sheet</w:t>
      </w:r>
      <w:r>
        <w:rPr>
          <w:b/>
          <w:sz w:val="18"/>
        </w:rPr>
        <w:tab/>
      </w:r>
      <w:r>
        <w:rPr>
          <w:b/>
          <w:i/>
          <w:position w:val="1"/>
          <w:sz w:val="16"/>
        </w:rPr>
        <w:t>(In</w:t>
      </w:r>
      <w:r>
        <w:rPr>
          <w:b/>
          <w:i/>
          <w:spacing w:val="2"/>
          <w:position w:val="1"/>
          <w:sz w:val="16"/>
        </w:rPr>
        <w:t> </w:t>
      </w:r>
      <w:r>
        <w:rPr>
          <w:b/>
          <w:i/>
          <w:spacing w:val="-2"/>
          <w:position w:val="1"/>
          <w:sz w:val="16"/>
        </w:rPr>
        <w:t>thousands)</w:t>
      </w:r>
    </w:p>
    <w:p>
      <w:pPr>
        <w:pStyle w:val="BodyText"/>
        <w:ind w:left="144"/>
        <w:rPr>
          <w:sz w:val="20"/>
        </w:rPr>
      </w:pPr>
      <w:r>
        <w:rPr>
          <w:sz w:val="20"/>
        </w:rPr>
        <mc:AlternateContent>
          <mc:Choice Requires="wps">
            <w:drawing>
              <wp:inline distT="0" distB="0" distL="0" distR="0">
                <wp:extent cx="7312659" cy="163195"/>
                <wp:effectExtent l="0" t="0" r="0" b="0"/>
                <wp:docPr id="254" name="Textbox 254"/>
                <wp:cNvGraphicFramePr>
                  <a:graphicFrameLocks/>
                </wp:cNvGraphicFramePr>
                <a:graphic>
                  <a:graphicData uri="http://schemas.microsoft.com/office/word/2010/wordprocessingShape">
                    <wps:wsp>
                      <wps:cNvPr id="254" name="Textbox 254"/>
                      <wps:cNvSpPr txBox="1"/>
                      <wps:spPr>
                        <a:xfrm>
                          <a:off x="0" y="0"/>
                          <a:ext cx="7312659" cy="163195"/>
                        </a:xfrm>
                        <a:prstGeom prst="rect">
                          <a:avLst/>
                        </a:prstGeom>
                        <a:solidFill>
                          <a:srgbClr val="CCEDFF"/>
                        </a:solidFill>
                      </wps:spPr>
                      <wps:txbx>
                        <w:txbxContent>
                          <w:p>
                            <w:pPr>
                              <w:pStyle w:val="BodyText"/>
                              <w:tabs>
                                <w:tab w:pos="7731" w:val="left" w:leader="none"/>
                                <w:tab w:pos="10714" w:val="left" w:leader="none"/>
                              </w:tabs>
                              <w:spacing w:before="21"/>
                              <w:ind w:left="26"/>
                              <w:rPr>
                                <w:color w:val="000000"/>
                              </w:rPr>
                            </w:pPr>
                            <w:r>
                              <w:rPr>
                                <w:color w:val="000000"/>
                              </w:rPr>
                              <w:t>Current</w:t>
                            </w:r>
                            <w:r>
                              <w:rPr>
                                <w:color w:val="000000"/>
                                <w:spacing w:val="-1"/>
                              </w:rPr>
                              <w:t> </w:t>
                            </w:r>
                            <w:r>
                              <w:rPr>
                                <w:color w:val="000000"/>
                                <w:spacing w:val="-2"/>
                              </w:rPr>
                              <w:t>assets</w:t>
                            </w:r>
                            <w:r>
                              <w:rPr>
                                <w:color w:val="000000"/>
                              </w:rPr>
                              <w:tab/>
                            </w:r>
                            <w:r>
                              <w:rPr>
                                <w:color w:val="000000"/>
                                <w:spacing w:val="-10"/>
                              </w:rPr>
                              <w:t>$</w:t>
                            </w:r>
                            <w:r>
                              <w:rPr>
                                <w:color w:val="000000"/>
                              </w:rPr>
                              <w:tab/>
                            </w:r>
                            <w:r>
                              <w:rPr>
                                <w:color w:val="000000"/>
                                <w:spacing w:val="-2"/>
                              </w:rPr>
                              <w:t>6,733,048</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575.8pt;height:12.85pt;mso-position-horizontal-relative:char;mso-position-vertical-relative:line" type="#_x0000_t202" id="docshape252" filled="true" fillcolor="#ccedff" stroked="false">
                <w10:anchorlock/>
                <v:textbox inset="0,0,0,0">
                  <w:txbxContent>
                    <w:p>
                      <w:pPr>
                        <w:pStyle w:val="BodyText"/>
                        <w:tabs>
                          <w:tab w:pos="7731" w:val="left" w:leader="none"/>
                          <w:tab w:pos="10714" w:val="left" w:leader="none"/>
                        </w:tabs>
                        <w:spacing w:before="21"/>
                        <w:ind w:left="26"/>
                        <w:rPr>
                          <w:color w:val="000000"/>
                        </w:rPr>
                      </w:pPr>
                      <w:r>
                        <w:rPr>
                          <w:color w:val="000000"/>
                        </w:rPr>
                        <w:t>Current</w:t>
                      </w:r>
                      <w:r>
                        <w:rPr>
                          <w:color w:val="000000"/>
                          <w:spacing w:val="-1"/>
                        </w:rPr>
                        <w:t> </w:t>
                      </w:r>
                      <w:r>
                        <w:rPr>
                          <w:color w:val="000000"/>
                          <w:spacing w:val="-2"/>
                        </w:rPr>
                        <w:t>assets</w:t>
                      </w:r>
                      <w:r>
                        <w:rPr>
                          <w:color w:val="000000"/>
                        </w:rPr>
                        <w:tab/>
                      </w:r>
                      <w:r>
                        <w:rPr>
                          <w:color w:val="000000"/>
                          <w:spacing w:val="-10"/>
                        </w:rPr>
                        <w:t>$</w:t>
                      </w:r>
                      <w:r>
                        <w:rPr>
                          <w:color w:val="000000"/>
                        </w:rPr>
                        <w:tab/>
                      </w:r>
                      <w:r>
                        <w:rPr>
                          <w:color w:val="000000"/>
                          <w:spacing w:val="-2"/>
                        </w:rPr>
                        <w:t>6,733,048</w:t>
                      </w:r>
                    </w:p>
                  </w:txbxContent>
                </v:textbox>
                <v:fill type="solid"/>
              </v:shape>
            </w:pict>
          </mc:Fallback>
        </mc:AlternateContent>
      </w:r>
      <w:r>
        <w:rPr>
          <w:sz w:val="20"/>
        </w:rPr>
      </w:r>
    </w:p>
    <w:p>
      <w:pPr>
        <w:pStyle w:val="BodyText"/>
        <w:tabs>
          <w:tab w:pos="10768" w:val="left" w:leader="none"/>
        </w:tabs>
        <w:ind w:left="171"/>
      </w:pPr>
      <w:r>
        <w:rPr/>
        <mc:AlternateContent>
          <mc:Choice Requires="wps">
            <w:drawing>
              <wp:anchor distT="0" distB="0" distL="0" distR="0" allowOverlap="1" layoutInCell="1" locked="0" behindDoc="1" simplePos="0" relativeHeight="487635456">
                <wp:simplePos x="0" y="0"/>
                <wp:positionH relativeFrom="page">
                  <wp:posOffset>231457</wp:posOffset>
                </wp:positionH>
                <wp:positionV relativeFrom="paragraph">
                  <wp:posOffset>144779</wp:posOffset>
                </wp:positionV>
                <wp:extent cx="7312659" cy="163195"/>
                <wp:effectExtent l="0" t="0" r="0" b="0"/>
                <wp:wrapTopAndBottom/>
                <wp:docPr id="255" name="Textbox 255"/>
                <wp:cNvGraphicFramePr>
                  <a:graphicFrameLocks/>
                </wp:cNvGraphicFramePr>
                <a:graphic>
                  <a:graphicData uri="http://schemas.microsoft.com/office/word/2010/wordprocessingShape">
                    <wps:wsp>
                      <wps:cNvPr id="255" name="Textbox 255"/>
                      <wps:cNvSpPr txBox="1"/>
                      <wps:spPr>
                        <a:xfrm>
                          <a:off x="0" y="0"/>
                          <a:ext cx="7312659" cy="163195"/>
                        </a:xfrm>
                        <a:prstGeom prst="rect">
                          <a:avLst/>
                        </a:prstGeom>
                        <a:solidFill>
                          <a:srgbClr val="CCEDFF"/>
                        </a:solidFill>
                      </wps:spPr>
                      <wps:txbx>
                        <w:txbxContent>
                          <w:p>
                            <w:pPr>
                              <w:pStyle w:val="BodyText"/>
                              <w:tabs>
                                <w:tab w:pos="10714" w:val="left" w:leader="none"/>
                              </w:tabs>
                              <w:spacing w:before="21"/>
                              <w:ind w:left="26"/>
                              <w:rPr>
                                <w:color w:val="000000"/>
                              </w:rPr>
                            </w:pPr>
                            <w:r>
                              <w:rPr>
                                <w:color w:val="000000"/>
                              </w:rPr>
                              <w:t>Other</w:t>
                            </w:r>
                            <w:r>
                              <w:rPr>
                                <w:color w:val="000000"/>
                                <w:spacing w:val="-1"/>
                              </w:rPr>
                              <w:t> </w:t>
                            </w:r>
                            <w:r>
                              <w:rPr>
                                <w:color w:val="000000"/>
                              </w:rPr>
                              <w:t>current</w:t>
                            </w:r>
                            <w:r>
                              <w:rPr>
                                <w:color w:val="000000"/>
                                <w:spacing w:val="-1"/>
                              </w:rPr>
                              <w:t> </w:t>
                            </w:r>
                            <w:r>
                              <w:rPr>
                                <w:color w:val="000000"/>
                                <w:spacing w:val="-2"/>
                              </w:rPr>
                              <w:t>liabilities</w:t>
                            </w:r>
                            <w:r>
                              <w:rPr>
                                <w:color w:val="000000"/>
                              </w:rPr>
                              <w:tab/>
                            </w:r>
                            <w:r>
                              <w:rPr>
                                <w:color w:val="000000"/>
                                <w:spacing w:val="-2"/>
                              </w:rPr>
                              <w:t>3,892,694</w:t>
                            </w:r>
                          </w:p>
                        </w:txbxContent>
                      </wps:txbx>
                      <wps:bodyPr wrap="square" lIns="0" tIns="0" rIns="0" bIns="0" rtlCol="0">
                        <a:noAutofit/>
                      </wps:bodyPr>
                    </wps:wsp>
                  </a:graphicData>
                </a:graphic>
              </wp:anchor>
            </w:drawing>
          </mc:Choice>
          <mc:Fallback>
            <w:pict>
              <v:shape style="position:absolute;margin-left:18.224997pt;margin-top:11.399998pt;width:575.8pt;height:12.85pt;mso-position-horizontal-relative:page;mso-position-vertical-relative:paragraph;z-index:-15681024;mso-wrap-distance-left:0;mso-wrap-distance-right:0" type="#_x0000_t202" id="docshape253" filled="true" fillcolor="#ccedff" stroked="false">
                <v:textbox inset="0,0,0,0">
                  <w:txbxContent>
                    <w:p>
                      <w:pPr>
                        <w:pStyle w:val="BodyText"/>
                        <w:tabs>
                          <w:tab w:pos="10714" w:val="left" w:leader="none"/>
                        </w:tabs>
                        <w:spacing w:before="21"/>
                        <w:ind w:left="26"/>
                        <w:rPr>
                          <w:color w:val="000000"/>
                        </w:rPr>
                      </w:pPr>
                      <w:r>
                        <w:rPr>
                          <w:color w:val="000000"/>
                        </w:rPr>
                        <w:t>Other</w:t>
                      </w:r>
                      <w:r>
                        <w:rPr>
                          <w:color w:val="000000"/>
                          <w:spacing w:val="-1"/>
                        </w:rPr>
                        <w:t> </w:t>
                      </w:r>
                      <w:r>
                        <w:rPr>
                          <w:color w:val="000000"/>
                        </w:rPr>
                        <w:t>current</w:t>
                      </w:r>
                      <w:r>
                        <w:rPr>
                          <w:color w:val="000000"/>
                          <w:spacing w:val="-1"/>
                        </w:rPr>
                        <w:t> </w:t>
                      </w:r>
                      <w:r>
                        <w:rPr>
                          <w:color w:val="000000"/>
                          <w:spacing w:val="-2"/>
                        </w:rPr>
                        <w:t>liabilities</w:t>
                      </w:r>
                      <w:r>
                        <w:rPr>
                          <w:color w:val="000000"/>
                        </w:rPr>
                        <w:tab/>
                      </w:r>
                      <w:r>
                        <w:rPr>
                          <w:color w:val="000000"/>
                          <w:spacing w:val="-2"/>
                        </w:rPr>
                        <w:t>3,892,694</w:t>
                      </w:r>
                    </w:p>
                  </w:txbxContent>
                </v:textbox>
                <v:fill type="solid"/>
                <w10:wrap type="topAndBottom"/>
              </v:shape>
            </w:pict>
          </mc:Fallback>
        </mc:AlternateContent>
      </w:r>
      <w:r>
        <w:rPr/>
        <w:t>Other</w:t>
      </w:r>
      <w:r>
        <w:rPr>
          <w:spacing w:val="-1"/>
        </w:rPr>
        <w:t> </w:t>
      </w:r>
      <w:r>
        <w:rPr/>
        <w:t>long-term</w:t>
      </w:r>
      <w:r>
        <w:rPr>
          <w:spacing w:val="-1"/>
        </w:rPr>
        <w:t> </w:t>
      </w:r>
      <w:r>
        <w:rPr>
          <w:spacing w:val="-2"/>
        </w:rPr>
        <w:t>assets</w:t>
      </w:r>
      <w:r>
        <w:rPr/>
        <w:tab/>
      </w:r>
      <w:r>
        <w:rPr>
          <w:spacing w:val="-2"/>
        </w:rPr>
        <w:t>28,802,794</w:t>
      </w:r>
    </w:p>
    <w:p>
      <w:pPr>
        <w:pStyle w:val="BodyText"/>
        <w:tabs>
          <w:tab w:pos="10768" w:val="left" w:leader="none"/>
        </w:tabs>
        <w:spacing w:before="21"/>
        <w:ind w:left="171"/>
      </w:pPr>
      <w:r>
        <w:rPr/>
        <w:t>Other</w:t>
      </w:r>
      <w:r>
        <w:rPr>
          <w:spacing w:val="-1"/>
        </w:rPr>
        <w:t> </w:t>
      </w:r>
      <w:r>
        <w:rPr/>
        <w:t>long-term</w:t>
      </w:r>
      <w:r>
        <w:rPr>
          <w:spacing w:val="-1"/>
        </w:rPr>
        <w:t> </w:t>
      </w:r>
      <w:r>
        <w:rPr>
          <w:spacing w:val="-2"/>
        </w:rPr>
        <w:t>liabilities</w:t>
      </w:r>
      <w:r>
        <w:rPr/>
        <w:tab/>
      </w:r>
      <w:r>
        <w:rPr>
          <w:spacing w:val="-2"/>
        </w:rPr>
        <w:t>28,285,295</w:t>
      </w:r>
    </w:p>
    <w:p>
      <w:pPr>
        <w:pStyle w:val="BodyText"/>
        <w:rPr>
          <w:sz w:val="16"/>
        </w:rPr>
      </w:pPr>
    </w:p>
    <w:p>
      <w:pPr>
        <w:pStyle w:val="BodyText"/>
        <w:spacing w:before="24"/>
        <w:rPr>
          <w:sz w:val="16"/>
        </w:rPr>
      </w:pPr>
    </w:p>
    <w:p>
      <w:pPr>
        <w:spacing w:before="0" w:after="53"/>
        <w:ind w:left="0" w:right="935" w:firstLine="0"/>
        <w:jc w:val="right"/>
        <w:rPr>
          <w:b/>
          <w:sz w:val="16"/>
        </w:rPr>
      </w:pPr>
      <w:r>
        <w:rPr>
          <w:b/>
          <w:sz w:val="16"/>
        </w:rPr>
        <w:t>Year</w:t>
      </w:r>
      <w:r>
        <w:rPr>
          <w:b/>
          <w:spacing w:val="-4"/>
          <w:sz w:val="16"/>
        </w:rPr>
        <w:t> </w:t>
      </w:r>
      <w:r>
        <w:rPr>
          <w:b/>
          <w:sz w:val="16"/>
        </w:rPr>
        <w:t>Ended December</w:t>
      </w:r>
      <w:r>
        <w:rPr>
          <w:b/>
          <w:spacing w:val="-3"/>
          <w:sz w:val="16"/>
        </w:rPr>
        <w:t> </w:t>
      </w:r>
      <w:r>
        <w:rPr>
          <w:b/>
          <w:sz w:val="16"/>
        </w:rPr>
        <w:t>31,</w:t>
      </w:r>
      <w:r>
        <w:rPr>
          <w:b/>
          <w:spacing w:val="-1"/>
          <w:sz w:val="16"/>
        </w:rPr>
        <w:t> </w:t>
      </w:r>
      <w:r>
        <w:rPr>
          <w:b/>
          <w:spacing w:val="-4"/>
          <w:sz w:val="16"/>
        </w:rPr>
        <w:t>2022</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5"/>
        <w:gridCol w:w="747"/>
        <w:gridCol w:w="1885"/>
        <w:gridCol w:w="1147"/>
      </w:tblGrid>
      <w:tr>
        <w:trPr>
          <w:trHeight w:val="255" w:hRule="atLeast"/>
        </w:trPr>
        <w:tc>
          <w:tcPr>
            <w:tcW w:w="7735" w:type="dxa"/>
          </w:tcPr>
          <w:p>
            <w:pPr>
              <w:pStyle w:val="TableParagraph"/>
              <w:spacing w:before="6"/>
              <w:ind w:left="26"/>
              <w:rPr>
                <w:b/>
                <w:sz w:val="18"/>
              </w:rPr>
            </w:pPr>
            <w:r>
              <w:rPr>
                <w:b/>
                <w:sz w:val="18"/>
              </w:rPr>
              <w:t>Income</w:t>
            </w:r>
            <w:r>
              <w:rPr>
                <w:b/>
                <w:spacing w:val="-1"/>
                <w:sz w:val="18"/>
              </w:rPr>
              <w:t> </w:t>
            </w:r>
            <w:r>
              <w:rPr>
                <w:b/>
                <w:spacing w:val="-2"/>
                <w:sz w:val="18"/>
              </w:rPr>
              <w:t>Statement</w:t>
            </w:r>
          </w:p>
        </w:tc>
        <w:tc>
          <w:tcPr>
            <w:tcW w:w="747" w:type="dxa"/>
            <w:tcBorders>
              <w:top w:val="single" w:sz="6" w:space="0" w:color="000000"/>
            </w:tcBorders>
          </w:tcPr>
          <w:p>
            <w:pPr>
              <w:pStyle w:val="TableParagraph"/>
              <w:spacing w:before="0"/>
              <w:rPr>
                <w:sz w:val="16"/>
              </w:rPr>
            </w:pPr>
          </w:p>
        </w:tc>
        <w:tc>
          <w:tcPr>
            <w:tcW w:w="1885" w:type="dxa"/>
            <w:tcBorders>
              <w:top w:val="single" w:sz="6" w:space="0" w:color="000000"/>
            </w:tcBorders>
          </w:tcPr>
          <w:p>
            <w:pPr>
              <w:pStyle w:val="TableParagraph"/>
              <w:spacing w:before="12"/>
              <w:ind w:left="644"/>
              <w:rPr>
                <w:b/>
                <w:i/>
                <w:sz w:val="16"/>
              </w:rPr>
            </w:pPr>
            <w:r>
              <w:rPr>
                <w:b/>
                <w:i/>
                <w:sz w:val="16"/>
              </w:rPr>
              <w:t>(In</w:t>
            </w:r>
            <w:r>
              <w:rPr>
                <w:b/>
                <w:i/>
                <w:spacing w:val="2"/>
                <w:sz w:val="16"/>
              </w:rPr>
              <w:t> </w:t>
            </w:r>
            <w:r>
              <w:rPr>
                <w:b/>
                <w:i/>
                <w:spacing w:val="-2"/>
                <w:sz w:val="16"/>
              </w:rPr>
              <w:t>thousands)</w:t>
            </w:r>
          </w:p>
        </w:tc>
        <w:tc>
          <w:tcPr>
            <w:tcW w:w="1147" w:type="dxa"/>
            <w:tcBorders>
              <w:top w:val="single" w:sz="6" w:space="0" w:color="000000"/>
            </w:tcBorders>
          </w:tcPr>
          <w:p>
            <w:pPr>
              <w:pStyle w:val="TableParagraph"/>
              <w:spacing w:before="0"/>
              <w:rPr>
                <w:sz w:val="16"/>
              </w:rPr>
            </w:pPr>
          </w:p>
        </w:tc>
      </w:tr>
      <w:tr>
        <w:trPr>
          <w:trHeight w:val="256" w:hRule="atLeast"/>
        </w:trPr>
        <w:tc>
          <w:tcPr>
            <w:tcW w:w="7735" w:type="dxa"/>
            <w:shd w:val="clear" w:color="auto" w:fill="CFF0FB"/>
          </w:tcPr>
          <w:p>
            <w:pPr>
              <w:pStyle w:val="TableParagraph"/>
              <w:ind w:left="26"/>
              <w:rPr>
                <w:sz w:val="18"/>
              </w:rPr>
            </w:pPr>
            <w:r>
              <w:rPr>
                <w:sz w:val="18"/>
              </w:rPr>
              <w:t>Net</w:t>
            </w:r>
            <w:r>
              <w:rPr>
                <w:spacing w:val="-1"/>
                <w:sz w:val="18"/>
              </w:rPr>
              <w:t> </w:t>
            </w:r>
            <w:r>
              <w:rPr>
                <w:spacing w:val="-2"/>
                <w:sz w:val="18"/>
              </w:rPr>
              <w:t>revenues</w:t>
            </w:r>
          </w:p>
        </w:tc>
        <w:tc>
          <w:tcPr>
            <w:tcW w:w="747" w:type="dxa"/>
            <w:shd w:val="clear" w:color="auto" w:fill="CFF0FB"/>
          </w:tcPr>
          <w:p>
            <w:pPr>
              <w:pStyle w:val="TableParagraph"/>
              <w:ind w:left="14"/>
              <w:rPr>
                <w:sz w:val="18"/>
              </w:rPr>
            </w:pPr>
            <w:r>
              <w:rPr>
                <w:spacing w:val="-10"/>
                <w:sz w:val="18"/>
              </w:rPr>
              <w:t>$</w:t>
            </w:r>
          </w:p>
        </w:tc>
        <w:tc>
          <w:tcPr>
            <w:tcW w:w="1885" w:type="dxa"/>
            <w:shd w:val="clear" w:color="auto" w:fill="CFF0FB"/>
          </w:tcPr>
          <w:p>
            <w:pPr>
              <w:pStyle w:val="TableParagraph"/>
              <w:spacing w:before="0"/>
              <w:rPr>
                <w:sz w:val="16"/>
              </w:rPr>
            </w:pPr>
          </w:p>
        </w:tc>
        <w:tc>
          <w:tcPr>
            <w:tcW w:w="1147" w:type="dxa"/>
            <w:shd w:val="clear" w:color="auto" w:fill="CFF0FB"/>
          </w:tcPr>
          <w:p>
            <w:pPr>
              <w:pStyle w:val="TableParagraph"/>
              <w:ind w:right="77"/>
              <w:jc w:val="right"/>
              <w:rPr>
                <w:sz w:val="18"/>
              </w:rPr>
            </w:pPr>
            <w:r>
              <w:rPr>
                <w:spacing w:val="-2"/>
                <w:sz w:val="18"/>
              </w:rPr>
              <w:t>10,477,542</w:t>
            </w:r>
          </w:p>
        </w:tc>
      </w:tr>
      <w:tr>
        <w:trPr>
          <w:trHeight w:val="256" w:hRule="atLeast"/>
        </w:trPr>
        <w:tc>
          <w:tcPr>
            <w:tcW w:w="7735" w:type="dxa"/>
          </w:tcPr>
          <w:p>
            <w:pPr>
              <w:pStyle w:val="TableParagraph"/>
              <w:ind w:left="26"/>
              <w:rPr>
                <w:sz w:val="18"/>
              </w:rPr>
            </w:pPr>
            <w:r>
              <w:rPr>
                <w:sz w:val="18"/>
              </w:rPr>
              <w:t>MGP</w:t>
            </w:r>
            <w:r>
              <w:rPr>
                <w:spacing w:val="-7"/>
                <w:sz w:val="18"/>
              </w:rPr>
              <w:t> </w:t>
            </w:r>
            <w:r>
              <w:rPr>
                <w:sz w:val="18"/>
              </w:rPr>
              <w:t>master</w:t>
            </w:r>
            <w:r>
              <w:rPr>
                <w:spacing w:val="-1"/>
                <w:sz w:val="18"/>
              </w:rPr>
              <w:t> </w:t>
            </w:r>
            <w:r>
              <w:rPr>
                <w:sz w:val="18"/>
              </w:rPr>
              <w:t>lease</w:t>
            </w:r>
            <w:r>
              <w:rPr>
                <w:spacing w:val="-1"/>
                <w:sz w:val="18"/>
              </w:rPr>
              <w:t> </w:t>
            </w:r>
            <w:r>
              <w:rPr>
                <w:sz w:val="18"/>
              </w:rPr>
              <w:t>rent</w:t>
            </w:r>
            <w:r>
              <w:rPr>
                <w:spacing w:val="-1"/>
                <w:sz w:val="18"/>
              </w:rPr>
              <w:t> </w:t>
            </w:r>
            <w:r>
              <w:rPr>
                <w:spacing w:val="-2"/>
                <w:sz w:val="18"/>
              </w:rPr>
              <w:t>expense</w:t>
            </w:r>
          </w:p>
        </w:tc>
        <w:tc>
          <w:tcPr>
            <w:tcW w:w="747" w:type="dxa"/>
          </w:tcPr>
          <w:p>
            <w:pPr>
              <w:pStyle w:val="TableParagraph"/>
              <w:spacing w:before="0"/>
              <w:rPr>
                <w:sz w:val="16"/>
              </w:rPr>
            </w:pPr>
          </w:p>
        </w:tc>
        <w:tc>
          <w:tcPr>
            <w:tcW w:w="1885" w:type="dxa"/>
          </w:tcPr>
          <w:p>
            <w:pPr>
              <w:pStyle w:val="TableParagraph"/>
              <w:spacing w:before="0"/>
              <w:rPr>
                <w:sz w:val="16"/>
              </w:rPr>
            </w:pPr>
          </w:p>
        </w:tc>
        <w:tc>
          <w:tcPr>
            <w:tcW w:w="1147" w:type="dxa"/>
          </w:tcPr>
          <w:p>
            <w:pPr>
              <w:pStyle w:val="TableParagraph"/>
              <w:ind w:right="77"/>
              <w:jc w:val="right"/>
              <w:rPr>
                <w:sz w:val="18"/>
              </w:rPr>
            </w:pPr>
            <w:r>
              <w:rPr>
                <w:spacing w:val="-2"/>
                <w:sz w:val="18"/>
              </w:rPr>
              <w:t>429,065</w:t>
            </w:r>
          </w:p>
        </w:tc>
      </w:tr>
      <w:tr>
        <w:trPr>
          <w:trHeight w:val="256" w:hRule="atLeast"/>
        </w:trPr>
        <w:tc>
          <w:tcPr>
            <w:tcW w:w="7735" w:type="dxa"/>
            <w:shd w:val="clear" w:color="auto" w:fill="CFF0FB"/>
          </w:tcPr>
          <w:p>
            <w:pPr>
              <w:pStyle w:val="TableParagraph"/>
              <w:ind w:left="26"/>
              <w:rPr>
                <w:sz w:val="18"/>
              </w:rPr>
            </w:pPr>
            <w:r>
              <w:rPr>
                <w:sz w:val="18"/>
              </w:rPr>
              <w:t>Operating</w:t>
            </w:r>
            <w:r>
              <w:rPr>
                <w:spacing w:val="-1"/>
                <w:sz w:val="18"/>
              </w:rPr>
              <w:t> </w:t>
            </w:r>
            <w:r>
              <w:rPr>
                <w:spacing w:val="-2"/>
                <w:sz w:val="18"/>
              </w:rPr>
              <w:t>income</w:t>
            </w:r>
          </w:p>
        </w:tc>
        <w:tc>
          <w:tcPr>
            <w:tcW w:w="747" w:type="dxa"/>
            <w:shd w:val="clear" w:color="auto" w:fill="CFF0FB"/>
          </w:tcPr>
          <w:p>
            <w:pPr>
              <w:pStyle w:val="TableParagraph"/>
              <w:spacing w:before="0"/>
              <w:rPr>
                <w:sz w:val="16"/>
              </w:rPr>
            </w:pPr>
          </w:p>
        </w:tc>
        <w:tc>
          <w:tcPr>
            <w:tcW w:w="1885" w:type="dxa"/>
            <w:shd w:val="clear" w:color="auto" w:fill="CFF0FB"/>
          </w:tcPr>
          <w:p>
            <w:pPr>
              <w:pStyle w:val="TableParagraph"/>
              <w:spacing w:before="0"/>
              <w:rPr>
                <w:sz w:val="16"/>
              </w:rPr>
            </w:pPr>
          </w:p>
        </w:tc>
        <w:tc>
          <w:tcPr>
            <w:tcW w:w="1147" w:type="dxa"/>
            <w:shd w:val="clear" w:color="auto" w:fill="CFF0FB"/>
          </w:tcPr>
          <w:p>
            <w:pPr>
              <w:pStyle w:val="TableParagraph"/>
              <w:ind w:right="77"/>
              <w:jc w:val="right"/>
              <w:rPr>
                <w:sz w:val="18"/>
              </w:rPr>
            </w:pPr>
            <w:r>
              <w:rPr>
                <w:spacing w:val="-2"/>
                <w:sz w:val="18"/>
              </w:rPr>
              <w:t>4,981,058</w:t>
            </w:r>
          </w:p>
        </w:tc>
      </w:tr>
      <w:tr>
        <w:trPr>
          <w:trHeight w:val="256" w:hRule="atLeast"/>
        </w:trPr>
        <w:tc>
          <w:tcPr>
            <w:tcW w:w="7735" w:type="dxa"/>
          </w:tcPr>
          <w:p>
            <w:pPr>
              <w:pStyle w:val="TableParagraph"/>
              <w:ind w:left="26"/>
              <w:rPr>
                <w:sz w:val="18"/>
              </w:rPr>
            </w:pPr>
            <w:r>
              <w:rPr>
                <w:sz w:val="18"/>
              </w:rPr>
              <w:t>Income</w:t>
            </w:r>
            <w:r>
              <w:rPr>
                <w:spacing w:val="-1"/>
                <w:sz w:val="18"/>
              </w:rPr>
              <w:t> </w:t>
            </w:r>
            <w:r>
              <w:rPr>
                <w:sz w:val="18"/>
              </w:rPr>
              <w:t>from</w:t>
            </w:r>
            <w:r>
              <w:rPr>
                <w:spacing w:val="-1"/>
                <w:sz w:val="18"/>
              </w:rPr>
              <w:t> </w:t>
            </w:r>
            <w:r>
              <w:rPr>
                <w:sz w:val="18"/>
              </w:rPr>
              <w:t>continuing</w:t>
            </w:r>
            <w:r>
              <w:rPr>
                <w:spacing w:val="-1"/>
                <w:sz w:val="18"/>
              </w:rPr>
              <w:t> </w:t>
            </w:r>
            <w:r>
              <w:rPr>
                <w:spacing w:val="-2"/>
                <w:sz w:val="18"/>
              </w:rPr>
              <w:t>operations</w:t>
            </w:r>
          </w:p>
        </w:tc>
        <w:tc>
          <w:tcPr>
            <w:tcW w:w="747" w:type="dxa"/>
          </w:tcPr>
          <w:p>
            <w:pPr>
              <w:pStyle w:val="TableParagraph"/>
              <w:spacing w:before="0"/>
              <w:rPr>
                <w:sz w:val="16"/>
              </w:rPr>
            </w:pPr>
          </w:p>
        </w:tc>
        <w:tc>
          <w:tcPr>
            <w:tcW w:w="1885" w:type="dxa"/>
          </w:tcPr>
          <w:p>
            <w:pPr>
              <w:pStyle w:val="TableParagraph"/>
              <w:spacing w:before="0"/>
              <w:rPr>
                <w:sz w:val="16"/>
              </w:rPr>
            </w:pPr>
          </w:p>
        </w:tc>
        <w:tc>
          <w:tcPr>
            <w:tcW w:w="1147" w:type="dxa"/>
          </w:tcPr>
          <w:p>
            <w:pPr>
              <w:pStyle w:val="TableParagraph"/>
              <w:ind w:right="77"/>
              <w:jc w:val="right"/>
              <w:rPr>
                <w:sz w:val="18"/>
              </w:rPr>
            </w:pPr>
            <w:r>
              <w:rPr>
                <w:spacing w:val="-2"/>
                <w:sz w:val="18"/>
              </w:rPr>
              <w:t>2,589,135</w:t>
            </w:r>
          </w:p>
        </w:tc>
      </w:tr>
      <w:tr>
        <w:trPr>
          <w:trHeight w:val="256" w:hRule="atLeast"/>
        </w:trPr>
        <w:tc>
          <w:tcPr>
            <w:tcW w:w="7735" w:type="dxa"/>
            <w:shd w:val="clear" w:color="auto" w:fill="CFF0FB"/>
          </w:tcPr>
          <w:p>
            <w:pPr>
              <w:pStyle w:val="TableParagraph"/>
              <w:ind w:left="26"/>
              <w:rPr>
                <w:sz w:val="18"/>
              </w:rPr>
            </w:pPr>
            <w:r>
              <w:rPr>
                <w:sz w:val="18"/>
              </w:rPr>
              <w:t>Net</w:t>
            </w:r>
            <w:r>
              <w:rPr>
                <w:spacing w:val="-1"/>
                <w:sz w:val="18"/>
              </w:rPr>
              <w:t> </w:t>
            </w:r>
            <w:r>
              <w:rPr>
                <w:spacing w:val="-2"/>
                <w:sz w:val="18"/>
              </w:rPr>
              <w:t>income</w:t>
            </w:r>
          </w:p>
        </w:tc>
        <w:tc>
          <w:tcPr>
            <w:tcW w:w="747" w:type="dxa"/>
            <w:shd w:val="clear" w:color="auto" w:fill="CFF0FB"/>
          </w:tcPr>
          <w:p>
            <w:pPr>
              <w:pStyle w:val="TableParagraph"/>
              <w:spacing w:before="0"/>
              <w:rPr>
                <w:sz w:val="16"/>
              </w:rPr>
            </w:pPr>
          </w:p>
        </w:tc>
        <w:tc>
          <w:tcPr>
            <w:tcW w:w="1885" w:type="dxa"/>
            <w:shd w:val="clear" w:color="auto" w:fill="CFF0FB"/>
          </w:tcPr>
          <w:p>
            <w:pPr>
              <w:pStyle w:val="TableParagraph"/>
              <w:spacing w:before="0"/>
              <w:rPr>
                <w:sz w:val="16"/>
              </w:rPr>
            </w:pPr>
          </w:p>
        </w:tc>
        <w:tc>
          <w:tcPr>
            <w:tcW w:w="1147" w:type="dxa"/>
            <w:shd w:val="clear" w:color="auto" w:fill="CFF0FB"/>
          </w:tcPr>
          <w:p>
            <w:pPr>
              <w:pStyle w:val="TableParagraph"/>
              <w:ind w:right="77"/>
              <w:jc w:val="right"/>
              <w:rPr>
                <w:sz w:val="18"/>
              </w:rPr>
            </w:pPr>
            <w:r>
              <w:rPr>
                <w:spacing w:val="-2"/>
                <w:sz w:val="18"/>
              </w:rPr>
              <w:t>1,668,214</w:t>
            </w:r>
          </w:p>
        </w:tc>
      </w:tr>
      <w:tr>
        <w:trPr>
          <w:trHeight w:val="767" w:hRule="atLeast"/>
        </w:trPr>
        <w:tc>
          <w:tcPr>
            <w:tcW w:w="7735" w:type="dxa"/>
          </w:tcPr>
          <w:p>
            <w:pPr>
              <w:pStyle w:val="TableParagraph"/>
              <w:ind w:left="26"/>
              <w:rPr>
                <w:sz w:val="18"/>
              </w:rPr>
            </w:pPr>
            <w:r>
              <w:rPr>
                <w:sz w:val="18"/>
              </w:rPr>
              <w:t>Net</w:t>
            </w:r>
            <w:r>
              <w:rPr>
                <w:spacing w:val="-1"/>
                <w:sz w:val="18"/>
              </w:rPr>
              <w:t> </w:t>
            </w:r>
            <w:r>
              <w:rPr>
                <w:sz w:val="18"/>
              </w:rPr>
              <w:t>income</w:t>
            </w:r>
            <w:r>
              <w:rPr>
                <w:spacing w:val="-1"/>
                <w:sz w:val="18"/>
              </w:rPr>
              <w:t> </w:t>
            </w:r>
            <w:r>
              <w:rPr>
                <w:sz w:val="18"/>
              </w:rPr>
              <w:t>attributable</w:t>
            </w:r>
            <w:r>
              <w:rPr>
                <w:spacing w:val="-1"/>
                <w:sz w:val="18"/>
              </w:rPr>
              <w:t> </w:t>
            </w:r>
            <w:r>
              <w:rPr>
                <w:sz w:val="18"/>
              </w:rPr>
              <w:t>to</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p>
            <w:pPr>
              <w:pStyle w:val="TableParagraph"/>
              <w:spacing w:before="125"/>
              <w:rPr>
                <w:b/>
                <w:sz w:val="18"/>
              </w:rPr>
            </w:pPr>
          </w:p>
          <w:p>
            <w:pPr>
              <w:pStyle w:val="TableParagraph"/>
              <w:spacing w:line="187" w:lineRule="exact" w:before="1"/>
              <w:rPr>
                <w:b/>
                <w:sz w:val="18"/>
              </w:rPr>
            </w:pPr>
            <w:r>
              <w:rPr>
                <w:b/>
                <w:sz w:val="18"/>
              </w:rPr>
              <w:t>Liquidity</w:t>
            </w:r>
            <w:r>
              <w:rPr>
                <w:b/>
                <w:spacing w:val="-1"/>
                <w:sz w:val="18"/>
              </w:rPr>
              <w:t> </w:t>
            </w:r>
            <w:r>
              <w:rPr>
                <w:b/>
                <w:sz w:val="18"/>
              </w:rPr>
              <w:t>and</w:t>
            </w:r>
            <w:r>
              <w:rPr>
                <w:b/>
                <w:spacing w:val="-1"/>
                <w:sz w:val="18"/>
              </w:rPr>
              <w:t> </w:t>
            </w:r>
            <w:r>
              <w:rPr>
                <w:b/>
                <w:sz w:val="18"/>
              </w:rPr>
              <w:t>Capital</w:t>
            </w:r>
            <w:r>
              <w:rPr>
                <w:b/>
                <w:spacing w:val="-1"/>
                <w:sz w:val="18"/>
              </w:rPr>
              <w:t> </w:t>
            </w:r>
            <w:r>
              <w:rPr>
                <w:b/>
                <w:spacing w:val="-2"/>
                <w:sz w:val="18"/>
              </w:rPr>
              <w:t>Resources</w:t>
            </w:r>
          </w:p>
        </w:tc>
        <w:tc>
          <w:tcPr>
            <w:tcW w:w="747" w:type="dxa"/>
          </w:tcPr>
          <w:p>
            <w:pPr>
              <w:pStyle w:val="TableParagraph"/>
              <w:spacing w:before="0"/>
              <w:rPr>
                <w:sz w:val="16"/>
              </w:rPr>
            </w:pPr>
          </w:p>
        </w:tc>
        <w:tc>
          <w:tcPr>
            <w:tcW w:w="1885" w:type="dxa"/>
          </w:tcPr>
          <w:p>
            <w:pPr>
              <w:pStyle w:val="TableParagraph"/>
              <w:spacing w:before="0"/>
              <w:rPr>
                <w:sz w:val="16"/>
              </w:rPr>
            </w:pPr>
          </w:p>
        </w:tc>
        <w:tc>
          <w:tcPr>
            <w:tcW w:w="1147" w:type="dxa"/>
          </w:tcPr>
          <w:p>
            <w:pPr>
              <w:pStyle w:val="TableParagraph"/>
              <w:ind w:right="77"/>
              <w:jc w:val="right"/>
              <w:rPr>
                <w:sz w:val="18"/>
              </w:rPr>
            </w:pPr>
            <w:r>
              <w:rPr>
                <w:spacing w:val="-2"/>
                <w:sz w:val="18"/>
              </w:rPr>
              <w:t>1,668,214</w:t>
            </w:r>
          </w:p>
        </w:tc>
      </w:tr>
    </w:tbl>
    <w:p>
      <w:pPr>
        <w:pStyle w:val="BodyText"/>
        <w:spacing w:before="14"/>
        <w:rPr>
          <w:b/>
        </w:rPr>
      </w:pPr>
    </w:p>
    <w:p>
      <w:pPr>
        <w:spacing w:before="0"/>
        <w:ind w:left="394" w:right="0" w:firstLine="0"/>
        <w:jc w:val="left"/>
        <w:rPr>
          <w:i/>
          <w:sz w:val="18"/>
        </w:rPr>
      </w:pPr>
      <w:r>
        <w:rPr>
          <w:i/>
          <w:sz w:val="18"/>
        </w:rPr>
        <w:t>Cash</w:t>
      </w:r>
      <w:r>
        <w:rPr>
          <w:i/>
          <w:spacing w:val="-1"/>
          <w:sz w:val="18"/>
        </w:rPr>
        <w:t> </w:t>
      </w:r>
      <w:r>
        <w:rPr>
          <w:i/>
          <w:sz w:val="18"/>
        </w:rPr>
        <w:t>Flows</w:t>
      </w:r>
      <w:r>
        <w:rPr>
          <w:i/>
          <w:spacing w:val="-1"/>
          <w:sz w:val="18"/>
        </w:rPr>
        <w:t> </w:t>
      </w:r>
      <w:r>
        <w:rPr>
          <w:i/>
          <w:sz w:val="18"/>
        </w:rPr>
        <w:t>–</w:t>
      </w:r>
      <w:r>
        <w:rPr>
          <w:i/>
          <w:spacing w:val="-1"/>
          <w:sz w:val="18"/>
        </w:rPr>
        <w:t> </w:t>
      </w:r>
      <w:r>
        <w:rPr>
          <w:i/>
          <w:spacing w:val="-2"/>
          <w:sz w:val="18"/>
        </w:rPr>
        <w:t>Summary</w:t>
      </w:r>
    </w:p>
    <w:p>
      <w:pPr>
        <w:pStyle w:val="BodyText"/>
        <w:spacing w:before="5"/>
        <w:rPr>
          <w:i/>
        </w:rPr>
      </w:pPr>
    </w:p>
    <w:p>
      <w:pPr>
        <w:pStyle w:val="BodyText"/>
        <w:ind w:right="7430"/>
        <w:jc w:val="center"/>
      </w:pPr>
      <w:r>
        <w:rPr/>
        <w:t>Our</w:t>
      </w:r>
      <w:r>
        <w:rPr>
          <w:spacing w:val="-1"/>
        </w:rPr>
        <w:t> </w:t>
      </w:r>
      <w:r>
        <w:rPr/>
        <w:t>cash</w:t>
      </w:r>
      <w:r>
        <w:rPr>
          <w:spacing w:val="-1"/>
        </w:rPr>
        <w:t> </w:t>
      </w:r>
      <w:r>
        <w:rPr/>
        <w:t>flows</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Heading5"/>
        <w:spacing w:before="49"/>
        <w:ind w:left="6774"/>
      </w:pPr>
      <w:r>
        <w:rPr/>
        <mc:AlternateContent>
          <mc:Choice Requires="wps">
            <w:drawing>
              <wp:anchor distT="0" distB="0" distL="0" distR="0" allowOverlap="1" layoutInCell="1" locked="0" behindDoc="1" simplePos="0" relativeHeight="487635968">
                <wp:simplePos x="0" y="0"/>
                <wp:positionH relativeFrom="page">
                  <wp:posOffset>4517695</wp:posOffset>
                </wp:positionH>
                <wp:positionV relativeFrom="paragraph">
                  <wp:posOffset>189749</wp:posOffset>
                </wp:positionV>
                <wp:extent cx="3026410" cy="889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3026410" cy="8890"/>
                        </a:xfrm>
                        <a:custGeom>
                          <a:avLst/>
                          <a:gdLst/>
                          <a:ahLst/>
                          <a:cxnLst/>
                          <a:rect l="l" t="t" r="r" b="b"/>
                          <a:pathLst>
                            <a:path w="3026410" h="8890">
                              <a:moveTo>
                                <a:pt x="3026092" y="0"/>
                              </a:moveTo>
                              <a:lnTo>
                                <a:pt x="3026092" y="0"/>
                              </a:lnTo>
                              <a:lnTo>
                                <a:pt x="0" y="0"/>
                              </a:lnTo>
                              <a:lnTo>
                                <a:pt x="0" y="8572"/>
                              </a:lnTo>
                              <a:lnTo>
                                <a:pt x="3026092" y="8572"/>
                              </a:lnTo>
                              <a:lnTo>
                                <a:pt x="30260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72403pt;margin-top:14.940876pt;width:238.275011pt;height:.675pt;mso-position-horizontal-relative:page;mso-position-vertical-relative:paragraph;z-index:-15680512;mso-wrap-distance-left:0;mso-wrap-distance-right:0" id="docshape254"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94" w:val="left" w:leader="none"/>
          <w:tab w:pos="10016" w:val="left" w:leader="none"/>
        </w:tabs>
        <w:spacing w:before="21" w:after="29"/>
        <w:ind w:left="6773"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94"/>
        <w:rPr>
          <w:sz w:val="2"/>
        </w:rPr>
      </w:pPr>
      <w:r>
        <w:rPr>
          <w:sz w:val="2"/>
        </w:rPr>
        <mc:AlternateContent>
          <mc:Choice Requires="wps">
            <w:drawing>
              <wp:inline distT="0" distB="0" distL="0" distR="0">
                <wp:extent cx="3026410" cy="8890"/>
                <wp:effectExtent l="0" t="0" r="0" b="0"/>
                <wp:docPr id="257" name="Group 257"/>
                <wp:cNvGraphicFramePr>
                  <a:graphicFrameLocks/>
                </wp:cNvGraphicFramePr>
                <a:graphic>
                  <a:graphicData uri="http://schemas.microsoft.com/office/word/2010/wordprocessingGroup">
                    <wpg:wgp>
                      <wpg:cNvPr id="257" name="Group 257"/>
                      <wpg:cNvGrpSpPr/>
                      <wpg:grpSpPr>
                        <a:xfrm>
                          <a:off x="0" y="0"/>
                          <a:ext cx="3026410" cy="8890"/>
                          <a:chExt cx="3026410" cy="8890"/>
                        </a:xfrm>
                      </wpg:grpSpPr>
                      <wps:wsp>
                        <wps:cNvPr id="258" name="Graphic 258"/>
                        <wps:cNvSpPr/>
                        <wps:spPr>
                          <a:xfrm>
                            <a:off x="-12" y="-1"/>
                            <a:ext cx="3026410" cy="8890"/>
                          </a:xfrm>
                          <a:custGeom>
                            <a:avLst/>
                            <a:gdLst/>
                            <a:ahLst/>
                            <a:cxnLst/>
                            <a:rect l="l" t="t" r="r" b="b"/>
                            <a:pathLst>
                              <a:path w="3026410" h="8890">
                                <a:moveTo>
                                  <a:pt x="3026092" y="0"/>
                                </a:moveTo>
                                <a:lnTo>
                                  <a:pt x="3026092" y="0"/>
                                </a:lnTo>
                                <a:lnTo>
                                  <a:pt x="0" y="0"/>
                                </a:lnTo>
                                <a:lnTo>
                                  <a:pt x="0" y="8572"/>
                                </a:lnTo>
                                <a:lnTo>
                                  <a:pt x="3026092" y="8572"/>
                                </a:lnTo>
                                <a:lnTo>
                                  <a:pt x="30260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8.3pt;height:.7pt;mso-position-horizontal-relative:char;mso-position-vertical-relative:line" id="docshapegroup255" coordorigin="0,0" coordsize="4766,14">
                <v:rect style="position:absolute;left:-1;top:0;width:4766;height:14" id="docshape256" filled="true" fillcolor="#000000" stroked="false">
                  <v:fill type="solid"/>
                </v:rect>
              </v:group>
            </w:pict>
          </mc:Fallback>
        </mc:AlternateContent>
      </w:r>
      <w:r>
        <w:rPr>
          <w:sz w:val="2"/>
        </w:rPr>
      </w:r>
    </w:p>
    <w:p>
      <w:pPr>
        <w:pStyle w:val="Heading6"/>
        <w:spacing w:before="14" w:after="29"/>
        <w:ind w:left="6774"/>
      </w:pPr>
      <w:r>
        <w:rPr/>
        <w:t>(In</w:t>
      </w:r>
      <w:r>
        <w:rPr>
          <w:spacing w:val="-1"/>
        </w:rPr>
        <w:t> </w:t>
      </w:r>
      <w:r>
        <w:rPr>
          <w:spacing w:val="-2"/>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0"/>
        <w:gridCol w:w="3107"/>
        <w:gridCol w:w="1621"/>
        <w:gridCol w:w="1578"/>
      </w:tblGrid>
      <w:tr>
        <w:trPr>
          <w:trHeight w:val="256" w:hRule="atLeast"/>
        </w:trPr>
        <w:tc>
          <w:tcPr>
            <w:tcW w:w="5210" w:type="dxa"/>
            <w:shd w:val="clear" w:color="auto" w:fill="CFF0FB"/>
          </w:tcPr>
          <w:p>
            <w:pPr>
              <w:pStyle w:val="TableParagraph"/>
              <w:ind w:left="17"/>
              <w:rPr>
                <w:sz w:val="18"/>
              </w:rPr>
            </w:pPr>
            <w:r>
              <w:rPr>
                <w:sz w:val="18"/>
              </w:rPr>
              <w:t>Net</w:t>
            </w:r>
            <w:r>
              <w:rPr>
                <w:spacing w:val="-1"/>
                <w:sz w:val="18"/>
              </w:rPr>
              <w:t> </w:t>
            </w:r>
            <w:r>
              <w:rPr>
                <w:sz w:val="18"/>
              </w:rPr>
              <w:t>cash</w:t>
            </w:r>
            <w:r>
              <w:rPr>
                <w:spacing w:val="-1"/>
                <w:sz w:val="18"/>
              </w:rPr>
              <w:t> </w:t>
            </w:r>
            <w:r>
              <w:rPr>
                <w:sz w:val="18"/>
              </w:rPr>
              <w:t>provided</w:t>
            </w:r>
            <w:r>
              <w:rPr>
                <w:spacing w:val="-1"/>
                <w:sz w:val="18"/>
              </w:rPr>
              <w:t> </w:t>
            </w:r>
            <w:r>
              <w:rPr>
                <w:sz w:val="18"/>
              </w:rPr>
              <w:t>by</w:t>
            </w:r>
            <w:r>
              <w:rPr>
                <w:spacing w:val="-1"/>
                <w:sz w:val="18"/>
              </w:rPr>
              <w:t> </w:t>
            </w:r>
            <w:r>
              <w:rPr>
                <w:sz w:val="18"/>
              </w:rPr>
              <w:t>(used</w:t>
            </w:r>
            <w:r>
              <w:rPr>
                <w:spacing w:val="-1"/>
                <w:sz w:val="18"/>
              </w:rPr>
              <w:t> </w:t>
            </w:r>
            <w:r>
              <w:rPr>
                <w:sz w:val="18"/>
              </w:rPr>
              <w:t>in)</w:t>
            </w:r>
            <w:r>
              <w:rPr>
                <w:spacing w:val="-1"/>
                <w:sz w:val="18"/>
              </w:rPr>
              <w:t> </w:t>
            </w:r>
            <w:r>
              <w:rPr>
                <w:sz w:val="18"/>
              </w:rPr>
              <w:t>operating</w:t>
            </w:r>
            <w:r>
              <w:rPr>
                <w:spacing w:val="-1"/>
                <w:sz w:val="18"/>
              </w:rPr>
              <w:t> </w:t>
            </w:r>
            <w:r>
              <w:rPr>
                <w:spacing w:val="-2"/>
                <w:sz w:val="18"/>
              </w:rPr>
              <w:t>activities</w:t>
            </w:r>
          </w:p>
        </w:tc>
        <w:tc>
          <w:tcPr>
            <w:tcW w:w="3107" w:type="dxa"/>
            <w:shd w:val="clear" w:color="auto" w:fill="CFF0FB"/>
          </w:tcPr>
          <w:p>
            <w:pPr>
              <w:pStyle w:val="TableParagraph"/>
              <w:tabs>
                <w:tab w:pos="710" w:val="left" w:leader="none"/>
              </w:tabs>
              <w:ind w:right="115"/>
              <w:jc w:val="right"/>
              <w:rPr>
                <w:sz w:val="18"/>
              </w:rPr>
            </w:pPr>
            <w:r>
              <w:rPr>
                <w:spacing w:val="-10"/>
                <w:sz w:val="18"/>
              </w:rPr>
              <w:t>$</w:t>
            </w:r>
            <w:r>
              <w:rPr>
                <w:sz w:val="18"/>
              </w:rPr>
              <w:tab/>
            </w:r>
            <w:r>
              <w:rPr>
                <w:spacing w:val="-2"/>
                <w:sz w:val="18"/>
              </w:rPr>
              <w:t>1,756,462</w:t>
            </w:r>
          </w:p>
        </w:tc>
        <w:tc>
          <w:tcPr>
            <w:tcW w:w="1621" w:type="dxa"/>
            <w:shd w:val="clear" w:color="auto" w:fill="CFF0FB"/>
          </w:tcPr>
          <w:p>
            <w:pPr>
              <w:pStyle w:val="TableParagraph"/>
              <w:tabs>
                <w:tab w:pos="710" w:val="left" w:leader="none"/>
              </w:tabs>
              <w:ind w:right="115"/>
              <w:jc w:val="right"/>
              <w:rPr>
                <w:sz w:val="18"/>
              </w:rPr>
            </w:pPr>
            <w:r>
              <w:rPr>
                <w:spacing w:val="-10"/>
                <w:sz w:val="18"/>
              </w:rPr>
              <w:t>$</w:t>
            </w:r>
            <w:r>
              <w:rPr>
                <w:sz w:val="18"/>
              </w:rPr>
              <w:tab/>
            </w:r>
            <w:r>
              <w:rPr>
                <w:spacing w:val="-2"/>
                <w:sz w:val="18"/>
              </w:rPr>
              <w:t>1,373,423</w:t>
            </w:r>
          </w:p>
        </w:tc>
        <w:tc>
          <w:tcPr>
            <w:tcW w:w="1578" w:type="dxa"/>
            <w:shd w:val="clear" w:color="auto" w:fill="CFF0FB"/>
          </w:tcPr>
          <w:p>
            <w:pPr>
              <w:pStyle w:val="TableParagraph"/>
              <w:tabs>
                <w:tab w:pos="637" w:val="left" w:leader="none"/>
              </w:tabs>
              <w:ind w:right="26"/>
              <w:jc w:val="right"/>
              <w:rPr>
                <w:sz w:val="18"/>
              </w:rPr>
            </w:pPr>
            <w:r>
              <w:rPr>
                <w:spacing w:val="-10"/>
                <w:sz w:val="18"/>
              </w:rPr>
              <w:t>$</w:t>
            </w:r>
            <w:r>
              <w:rPr>
                <w:sz w:val="18"/>
              </w:rPr>
              <w:tab/>
            </w:r>
            <w:r>
              <w:rPr>
                <w:spacing w:val="-2"/>
                <w:sz w:val="18"/>
              </w:rPr>
              <w:t>(1,493,043)</w:t>
            </w:r>
          </w:p>
        </w:tc>
      </w:tr>
      <w:tr>
        <w:trPr>
          <w:trHeight w:val="256" w:hRule="atLeast"/>
        </w:trPr>
        <w:tc>
          <w:tcPr>
            <w:tcW w:w="5210" w:type="dxa"/>
          </w:tcPr>
          <w:p>
            <w:pPr>
              <w:pStyle w:val="TableParagraph"/>
              <w:ind w:left="17"/>
              <w:rPr>
                <w:sz w:val="18"/>
              </w:rPr>
            </w:pPr>
            <w:r>
              <w:rPr>
                <w:sz w:val="18"/>
              </w:rPr>
              <w:t>Net</w:t>
            </w:r>
            <w:r>
              <w:rPr>
                <w:spacing w:val="-1"/>
                <w:sz w:val="18"/>
              </w:rPr>
              <w:t> </w:t>
            </w:r>
            <w:r>
              <w:rPr>
                <w:sz w:val="18"/>
              </w:rPr>
              <w:t>cash</w:t>
            </w:r>
            <w:r>
              <w:rPr>
                <w:spacing w:val="-1"/>
                <w:sz w:val="18"/>
              </w:rPr>
              <w:t> </w:t>
            </w:r>
            <w:r>
              <w:rPr>
                <w:sz w:val="18"/>
              </w:rPr>
              <w:t>provided</w:t>
            </w:r>
            <w:r>
              <w:rPr>
                <w:spacing w:val="-1"/>
                <w:sz w:val="18"/>
              </w:rPr>
              <w:t> </w:t>
            </w:r>
            <w:r>
              <w:rPr>
                <w:sz w:val="18"/>
              </w:rPr>
              <w:t>by</w:t>
            </w:r>
            <w:r>
              <w:rPr>
                <w:spacing w:val="-1"/>
                <w:sz w:val="18"/>
              </w:rPr>
              <w:t> </w:t>
            </w:r>
            <w:r>
              <w:rPr>
                <w:sz w:val="18"/>
              </w:rPr>
              <w:t>investing</w:t>
            </w:r>
            <w:r>
              <w:rPr>
                <w:spacing w:val="-1"/>
                <w:sz w:val="18"/>
              </w:rPr>
              <w:t> </w:t>
            </w:r>
            <w:r>
              <w:rPr>
                <w:spacing w:val="-2"/>
                <w:sz w:val="18"/>
              </w:rPr>
              <w:t>activities</w:t>
            </w:r>
          </w:p>
        </w:tc>
        <w:tc>
          <w:tcPr>
            <w:tcW w:w="3107" w:type="dxa"/>
          </w:tcPr>
          <w:p>
            <w:pPr>
              <w:pStyle w:val="TableParagraph"/>
              <w:ind w:right="115"/>
              <w:jc w:val="right"/>
              <w:rPr>
                <w:sz w:val="18"/>
              </w:rPr>
            </w:pPr>
            <w:r>
              <w:rPr>
                <w:spacing w:val="-2"/>
                <w:sz w:val="18"/>
              </w:rPr>
              <w:t>2,118,181</w:t>
            </w:r>
          </w:p>
        </w:tc>
        <w:tc>
          <w:tcPr>
            <w:tcW w:w="1621" w:type="dxa"/>
          </w:tcPr>
          <w:p>
            <w:pPr>
              <w:pStyle w:val="TableParagraph"/>
              <w:ind w:right="115"/>
              <w:jc w:val="right"/>
              <w:rPr>
                <w:sz w:val="18"/>
              </w:rPr>
            </w:pPr>
            <w:r>
              <w:rPr>
                <w:spacing w:val="-2"/>
                <w:sz w:val="18"/>
              </w:rPr>
              <w:t>1,543,645</w:t>
            </w:r>
          </w:p>
        </w:tc>
        <w:tc>
          <w:tcPr>
            <w:tcW w:w="1578" w:type="dxa"/>
          </w:tcPr>
          <w:p>
            <w:pPr>
              <w:pStyle w:val="TableParagraph"/>
              <w:ind w:right="71"/>
              <w:jc w:val="right"/>
              <w:rPr>
                <w:sz w:val="18"/>
              </w:rPr>
            </w:pPr>
            <w:r>
              <w:rPr>
                <w:spacing w:val="-2"/>
                <w:sz w:val="18"/>
              </w:rPr>
              <w:t>2,159,304</w:t>
            </w:r>
          </w:p>
        </w:tc>
      </w:tr>
      <w:tr>
        <w:trPr>
          <w:trHeight w:val="256" w:hRule="atLeast"/>
        </w:trPr>
        <w:tc>
          <w:tcPr>
            <w:tcW w:w="5210" w:type="dxa"/>
            <w:shd w:val="clear" w:color="auto" w:fill="CFF0FB"/>
          </w:tcPr>
          <w:p>
            <w:pPr>
              <w:pStyle w:val="TableParagraph"/>
              <w:ind w:left="17"/>
              <w:rPr>
                <w:sz w:val="18"/>
              </w:rPr>
            </w:pPr>
            <w:r>
              <w:rPr>
                <w:sz w:val="18"/>
              </w:rPr>
              <w:t>Net</w:t>
            </w:r>
            <w:r>
              <w:rPr>
                <w:spacing w:val="-1"/>
                <w:sz w:val="18"/>
              </w:rPr>
              <w:t> </w:t>
            </w:r>
            <w:r>
              <w:rPr>
                <w:sz w:val="18"/>
              </w:rPr>
              <w:t>cash</w:t>
            </w:r>
            <w:r>
              <w:rPr>
                <w:spacing w:val="-1"/>
                <w:sz w:val="18"/>
              </w:rPr>
              <w:t> </w:t>
            </w:r>
            <w:r>
              <w:rPr>
                <w:sz w:val="18"/>
              </w:rPr>
              <w:t>provided</w:t>
            </w:r>
            <w:r>
              <w:rPr>
                <w:spacing w:val="-1"/>
                <w:sz w:val="18"/>
              </w:rPr>
              <w:t> </w:t>
            </w:r>
            <w:r>
              <w:rPr>
                <w:sz w:val="18"/>
              </w:rPr>
              <w:t>by</w:t>
            </w:r>
            <w:r>
              <w:rPr>
                <w:spacing w:val="-1"/>
                <w:sz w:val="18"/>
              </w:rPr>
              <w:t> </w:t>
            </w:r>
            <w:r>
              <w:rPr>
                <w:sz w:val="18"/>
              </w:rPr>
              <w:t>(used</w:t>
            </w:r>
            <w:r>
              <w:rPr>
                <w:spacing w:val="-1"/>
                <w:sz w:val="18"/>
              </w:rPr>
              <w:t> </w:t>
            </w:r>
            <w:r>
              <w:rPr>
                <w:sz w:val="18"/>
              </w:rPr>
              <w:t>in)</w:t>
            </w:r>
            <w:r>
              <w:rPr>
                <w:spacing w:val="-1"/>
                <w:sz w:val="18"/>
              </w:rPr>
              <w:t> </w:t>
            </w:r>
            <w:r>
              <w:rPr>
                <w:sz w:val="18"/>
              </w:rPr>
              <w:t>financing</w:t>
            </w:r>
            <w:r>
              <w:rPr>
                <w:spacing w:val="-1"/>
                <w:sz w:val="18"/>
              </w:rPr>
              <w:t> </w:t>
            </w:r>
            <w:r>
              <w:rPr>
                <w:spacing w:val="-2"/>
                <w:sz w:val="18"/>
              </w:rPr>
              <w:t>activities</w:t>
            </w:r>
          </w:p>
        </w:tc>
        <w:tc>
          <w:tcPr>
            <w:tcW w:w="3107" w:type="dxa"/>
            <w:shd w:val="clear" w:color="auto" w:fill="CFF0FB"/>
          </w:tcPr>
          <w:p>
            <w:pPr>
              <w:pStyle w:val="TableParagraph"/>
              <w:ind w:right="70"/>
              <w:jc w:val="right"/>
              <w:rPr>
                <w:sz w:val="18"/>
              </w:rPr>
            </w:pPr>
            <w:r>
              <w:rPr>
                <w:spacing w:val="-2"/>
                <w:sz w:val="18"/>
              </w:rPr>
              <w:t>(3,024,302)</w:t>
            </w:r>
          </w:p>
        </w:tc>
        <w:tc>
          <w:tcPr>
            <w:tcW w:w="1621" w:type="dxa"/>
            <w:shd w:val="clear" w:color="auto" w:fill="CFF0FB"/>
          </w:tcPr>
          <w:p>
            <w:pPr>
              <w:pStyle w:val="TableParagraph"/>
              <w:ind w:right="70"/>
              <w:jc w:val="right"/>
              <w:rPr>
                <w:sz w:val="18"/>
              </w:rPr>
            </w:pPr>
            <w:r>
              <w:rPr>
                <w:spacing w:val="-2"/>
                <w:sz w:val="18"/>
              </w:rPr>
              <w:t>(2,814,095)</w:t>
            </w:r>
          </w:p>
        </w:tc>
        <w:tc>
          <w:tcPr>
            <w:tcW w:w="1578" w:type="dxa"/>
            <w:shd w:val="clear" w:color="auto" w:fill="CFF0FB"/>
          </w:tcPr>
          <w:p>
            <w:pPr>
              <w:pStyle w:val="TableParagraph"/>
              <w:ind w:right="71"/>
              <w:jc w:val="right"/>
              <w:rPr>
                <w:sz w:val="18"/>
              </w:rPr>
            </w:pPr>
            <w:r>
              <w:rPr>
                <w:spacing w:val="-2"/>
                <w:sz w:val="18"/>
              </w:rPr>
              <w:t>2,103,427</w:t>
            </w:r>
          </w:p>
        </w:tc>
      </w:tr>
    </w:tbl>
    <w:p>
      <w:pPr>
        <w:pStyle w:val="BodyText"/>
        <w:spacing w:before="98"/>
        <w:rPr>
          <w:b/>
          <w:i/>
        </w:rPr>
      </w:pPr>
    </w:p>
    <w:p>
      <w:pPr>
        <w:spacing w:before="1"/>
        <w:ind w:left="394" w:right="0" w:firstLine="0"/>
        <w:jc w:val="left"/>
        <w:rPr>
          <w:i/>
          <w:sz w:val="18"/>
        </w:rPr>
      </w:pPr>
      <w:r>
        <w:rPr>
          <w:i/>
          <w:sz w:val="18"/>
        </w:rPr>
        <w:t>Cash</w:t>
      </w:r>
      <w:r>
        <w:rPr>
          <w:i/>
          <w:spacing w:val="-1"/>
          <w:sz w:val="18"/>
        </w:rPr>
        <w:t> </w:t>
      </w:r>
      <w:r>
        <w:rPr>
          <w:i/>
          <w:spacing w:val="-2"/>
          <w:sz w:val="18"/>
        </w:rPr>
        <w:t>Flows</w:t>
      </w:r>
    </w:p>
    <w:p>
      <w:pPr>
        <w:pStyle w:val="BodyText"/>
        <w:spacing w:before="4"/>
        <w:rPr>
          <w:i/>
        </w:rPr>
      </w:pPr>
    </w:p>
    <w:p>
      <w:pPr>
        <w:pStyle w:val="BodyText"/>
        <w:spacing w:line="242" w:lineRule="auto"/>
        <w:ind w:left="144" w:right="118" w:firstLine="499"/>
        <w:jc w:val="both"/>
      </w:pPr>
      <w:r>
        <w:rPr>
          <w:b/>
        </w:rPr>
        <w:t>Operating activities.</w:t>
      </w:r>
      <w:r>
        <w:rPr>
          <w:b/>
          <w:spacing w:val="-1"/>
        </w:rPr>
        <w:t> </w:t>
      </w:r>
      <w:r>
        <w:rPr/>
        <w:t>Trends in our operating cash flows tend to follow trends in operating income, excluding non-cash charges, but can be affected </w:t>
      </w:r>
      <w:r>
        <w:rPr/>
        <w:t>by changes in working capital, the timing of significant interest payments, and tax payments or refunds. Cash provided by operating activities was $1.8 billion in 2022</w:t>
      </w:r>
      <w:r>
        <w:rPr>
          <w:spacing w:val="-3"/>
        </w:rPr>
        <w:t> </w:t>
      </w:r>
      <w:r>
        <w:rPr/>
        <w:t>compared</w:t>
      </w:r>
      <w:r>
        <w:rPr>
          <w:spacing w:val="-3"/>
        </w:rPr>
        <w:t> </w:t>
      </w:r>
      <w:r>
        <w:rPr/>
        <w:t>to</w:t>
      </w:r>
      <w:r>
        <w:rPr>
          <w:spacing w:val="-3"/>
        </w:rPr>
        <w:t> </w:t>
      </w:r>
      <w:r>
        <w:rPr/>
        <w:t>$1.4</w:t>
      </w:r>
      <w:r>
        <w:rPr>
          <w:spacing w:val="-3"/>
        </w:rPr>
        <w:t> </w:t>
      </w:r>
      <w:r>
        <w:rPr/>
        <w:t>billion</w:t>
      </w:r>
      <w:r>
        <w:rPr>
          <w:spacing w:val="-3"/>
        </w:rPr>
        <w:t> </w:t>
      </w:r>
      <w:r>
        <w:rPr/>
        <w:t>in</w:t>
      </w:r>
      <w:r>
        <w:rPr>
          <w:spacing w:val="-3"/>
        </w:rPr>
        <w:t> </w:t>
      </w:r>
      <w:r>
        <w:rPr/>
        <w:t>2021.</w:t>
      </w:r>
      <w:r>
        <w:rPr>
          <w:spacing w:val="-6"/>
        </w:rPr>
        <w:t> </w:t>
      </w:r>
      <w:r>
        <w:rPr/>
        <w:t>The</w:t>
      </w:r>
      <w:r>
        <w:rPr>
          <w:spacing w:val="-3"/>
        </w:rPr>
        <w:t> </w:t>
      </w:r>
      <w:r>
        <w:rPr/>
        <w:t>change</w:t>
      </w:r>
      <w:r>
        <w:rPr>
          <w:spacing w:val="-3"/>
        </w:rPr>
        <w:t> </w:t>
      </w:r>
      <w:r>
        <w:rPr/>
        <w:t>from</w:t>
      </w:r>
      <w:r>
        <w:rPr>
          <w:spacing w:val="-3"/>
        </w:rPr>
        <w:t> </w:t>
      </w:r>
      <w:r>
        <w:rPr/>
        <w:t>the</w:t>
      </w:r>
      <w:r>
        <w:rPr>
          <w:spacing w:val="-3"/>
        </w:rPr>
        <w:t> </w:t>
      </w:r>
      <w:r>
        <w:rPr/>
        <w:t>prior</w:t>
      </w:r>
      <w:r>
        <w:rPr>
          <w:spacing w:val="-3"/>
        </w:rPr>
        <w:t> </w:t>
      </w:r>
      <w:r>
        <w:rPr/>
        <w:t>year</w:t>
      </w:r>
      <w:r>
        <w:rPr>
          <w:spacing w:val="-3"/>
        </w:rPr>
        <w:t> </w:t>
      </w:r>
      <w:r>
        <w:rPr/>
        <w:t>was</w:t>
      </w:r>
      <w:r>
        <w:rPr>
          <w:spacing w:val="-3"/>
        </w:rPr>
        <w:t> </w:t>
      </w:r>
      <w:r>
        <w:rPr/>
        <w:t>due</w:t>
      </w:r>
      <w:r>
        <w:rPr>
          <w:spacing w:val="-3"/>
        </w:rPr>
        <w:t> </w:t>
      </w:r>
      <w:r>
        <w:rPr/>
        <w:t>primarily</w:t>
      </w:r>
      <w:r>
        <w:rPr>
          <w:spacing w:val="-3"/>
        </w:rPr>
        <w:t> </w:t>
      </w:r>
      <w:r>
        <w:rPr/>
        <w:t>to</w:t>
      </w:r>
      <w:r>
        <w:rPr>
          <w:spacing w:val="-3"/>
        </w:rPr>
        <w:t> </w:t>
      </w:r>
      <w:r>
        <w:rPr/>
        <w:t>the</w:t>
      </w:r>
      <w:r>
        <w:rPr>
          <w:spacing w:val="-3"/>
        </w:rPr>
        <w:t> </w:t>
      </w:r>
      <w:r>
        <w:rPr/>
        <w:t>increase</w:t>
      </w:r>
      <w:r>
        <w:rPr>
          <w:spacing w:val="-3"/>
        </w:rPr>
        <w:t> </w:t>
      </w:r>
      <w:r>
        <w:rPr/>
        <w:t>in</w:t>
      </w:r>
      <w:r>
        <w:rPr>
          <w:spacing w:val="-12"/>
        </w:rPr>
        <w:t> </w:t>
      </w:r>
      <w:r>
        <w:rPr/>
        <w:t>Adjusted</w:t>
      </w:r>
      <w:r>
        <w:rPr>
          <w:spacing w:val="-2"/>
        </w:rPr>
        <w:t> </w:t>
      </w:r>
      <w:r>
        <w:rPr/>
        <w:t>Property</w:t>
      </w:r>
      <w:r>
        <w:rPr>
          <w:spacing w:val="-3"/>
        </w:rPr>
        <w:t> </w:t>
      </w:r>
      <w:r>
        <w:rPr/>
        <w:t>EBITDAR</w:t>
      </w:r>
      <w:r>
        <w:rPr>
          <w:spacing w:val="-3"/>
        </w:rPr>
        <w:t> </w:t>
      </w:r>
      <w:r>
        <w:rPr/>
        <w:t>at</w:t>
      </w:r>
      <w:r>
        <w:rPr>
          <w:spacing w:val="-3"/>
        </w:rPr>
        <w:t> </w:t>
      </w:r>
      <w:r>
        <w:rPr/>
        <w:t>our</w:t>
      </w:r>
      <w:r>
        <w:rPr>
          <w:spacing w:val="-3"/>
        </w:rPr>
        <w:t> </w:t>
      </w:r>
      <w:r>
        <w:rPr/>
        <w:t>Las</w:t>
      </w:r>
      <w:r>
        <w:rPr>
          <w:spacing w:val="-6"/>
        </w:rPr>
        <w:t> </w:t>
      </w:r>
      <w:r>
        <w:rPr/>
        <w:t>Vegas</w:t>
      </w:r>
      <w:r>
        <w:rPr>
          <w:spacing w:val="-3"/>
        </w:rPr>
        <w:t> </w:t>
      </w:r>
      <w:r>
        <w:rPr/>
        <w:t>Strip Resorts and Regional Operations discussed within the Results of Operations section above and a decrease in cash paid for interest, partially offset by an increase in triple-net lease rent payments.</w:t>
      </w:r>
    </w:p>
    <w:p>
      <w:pPr>
        <w:pStyle w:val="BodyText"/>
        <w:spacing w:before="3"/>
      </w:pPr>
    </w:p>
    <w:p>
      <w:pPr>
        <w:pStyle w:val="BodyText"/>
        <w:ind w:left="144" w:right="118" w:firstLine="499"/>
        <w:jc w:val="both"/>
      </w:pPr>
      <w:r>
        <w:rPr>
          <w:b/>
        </w:rPr>
        <w:t>Investing activities. </w:t>
      </w:r>
      <w:r>
        <w:rPr/>
        <w:t>Our investing cash flows can fluctuate significantly from year to year depending on our decisions with respect to strategic </w:t>
      </w:r>
      <w:r>
        <w:rPr/>
        <w:t>capital investments in new or existing resorts, business acquisitions or dispositions, and the timing of maintenance capital expenditures to maintain the quality of our resorts. Capital expenditures related to regular investments in our existing resorts can also vary depending on timing of larger remodel projects related to our public spaces and hotel rooms.</w:t>
      </w:r>
    </w:p>
    <w:p>
      <w:pPr>
        <w:pStyle w:val="BodyText"/>
        <w:spacing w:before="5"/>
      </w:pPr>
    </w:p>
    <w:p>
      <w:pPr>
        <w:pStyle w:val="BodyText"/>
        <w:ind w:left="144" w:right="118" w:firstLine="499"/>
        <w:jc w:val="both"/>
      </w:pPr>
      <w:r>
        <w:rPr>
          <w:color w:val="202529"/>
        </w:rPr>
        <w:t>Cash provided by investing activities was $2.1 billion in </w:t>
      </w:r>
      <w:r>
        <w:rPr/>
        <w:t>2022 </w:t>
      </w:r>
      <w:r>
        <w:rPr>
          <w:color w:val="202529"/>
        </w:rPr>
        <w:t>compared to $1.5 billion in </w:t>
      </w:r>
      <w:r>
        <w:rPr/>
        <w:t>2021</w:t>
      </w:r>
      <w:r>
        <w:rPr>
          <w:color w:val="202529"/>
        </w:rPr>
        <w:t>. In 2022, we received $4.4 billion in net cash </w:t>
      </w:r>
      <w:r>
        <w:rPr>
          <w:color w:val="202529"/>
        </w:rPr>
        <w:t>proceeds related to the VICI Transaction and $1.1 billion in net cash proceeds related to the sale of the operations of The Mirage, which were partially offset by cash</w:t>
      </w:r>
      <w:r>
        <w:rPr>
          <w:color w:val="202529"/>
          <w:spacing w:val="40"/>
        </w:rPr>
        <w:t> </w:t>
      </w:r>
      <w:r>
        <w:rPr>
          <w:color w:val="202529"/>
        </w:rPr>
        <w:t>paid of $1.6 billion to acquire The Cosmopolitan, net of cash acquired, cash paid of $279 million in connection with the LeoVegas tender offer, net of cash acquired, cash paid of $183 million to acquire shares of LeoVegas in the open market during the tender offer period, payments of $765 million in capital expenditures, as further discussed below, contributions of </w:t>
      </w:r>
      <w:r>
        <w:rPr/>
        <w:t>$225 million to our unconsolidated affiliate, BetMGM, and $282 million in net investments in debt securities</w:t>
      </w:r>
      <w:r>
        <w:rPr>
          <w:color w:val="202529"/>
        </w:rPr>
        <w:t>.</w:t>
      </w:r>
      <w:r>
        <w:rPr>
          <w:color w:val="202529"/>
          <w:spacing w:val="12"/>
        </w:rPr>
        <w:t> </w:t>
      </w:r>
      <w:r>
        <w:rPr>
          <w:color w:val="202529"/>
        </w:rPr>
        <w:t>In</w:t>
      </w:r>
      <w:r>
        <w:rPr>
          <w:color w:val="202529"/>
          <w:spacing w:val="14"/>
        </w:rPr>
        <w:t> </w:t>
      </w:r>
      <w:r>
        <w:rPr>
          <w:color w:val="202529"/>
        </w:rPr>
        <w:t>comparison,</w:t>
      </w:r>
      <w:r>
        <w:rPr>
          <w:color w:val="202529"/>
          <w:spacing w:val="14"/>
        </w:rPr>
        <w:t> </w:t>
      </w:r>
      <w:r>
        <w:rPr>
          <w:color w:val="202529"/>
        </w:rPr>
        <w:t>in</w:t>
      </w:r>
      <w:r>
        <w:rPr>
          <w:color w:val="202529"/>
          <w:spacing w:val="14"/>
        </w:rPr>
        <w:t> </w:t>
      </w:r>
      <w:r>
        <w:rPr>
          <w:color w:val="202529"/>
        </w:rPr>
        <w:t>the</w:t>
      </w:r>
      <w:r>
        <w:rPr>
          <w:color w:val="202529"/>
          <w:spacing w:val="14"/>
        </w:rPr>
        <w:t> </w:t>
      </w:r>
      <w:r>
        <w:rPr>
          <w:color w:val="202529"/>
        </w:rPr>
        <w:t>prior</w:t>
      </w:r>
      <w:r>
        <w:rPr>
          <w:color w:val="202529"/>
          <w:spacing w:val="14"/>
        </w:rPr>
        <w:t> </w:t>
      </w:r>
      <w:r>
        <w:rPr>
          <w:color w:val="202529"/>
        </w:rPr>
        <w:t>year</w:t>
      </w:r>
      <w:r>
        <w:rPr>
          <w:color w:val="202529"/>
          <w:spacing w:val="14"/>
        </w:rPr>
        <w:t> </w:t>
      </w:r>
      <w:r>
        <w:rPr>
          <w:color w:val="202529"/>
        </w:rPr>
        <w:t>period,</w:t>
      </w:r>
      <w:r>
        <w:rPr>
          <w:color w:val="202529"/>
          <w:spacing w:val="14"/>
        </w:rPr>
        <w:t> </w:t>
      </w:r>
      <w:r>
        <w:rPr>
          <w:color w:val="202529"/>
        </w:rPr>
        <w:t>we</w:t>
      </w:r>
      <w:r>
        <w:rPr>
          <w:color w:val="202529"/>
          <w:spacing w:val="14"/>
        </w:rPr>
        <w:t> </w:t>
      </w:r>
      <w:r>
        <w:rPr>
          <w:color w:val="202529"/>
        </w:rPr>
        <w:t>received</w:t>
      </w:r>
      <w:r>
        <w:rPr>
          <w:color w:val="202529"/>
          <w:spacing w:val="14"/>
        </w:rPr>
        <w:t> </w:t>
      </w:r>
      <w:r>
        <w:rPr>
          <w:color w:val="202529"/>
        </w:rPr>
        <w:t>$3.9</w:t>
      </w:r>
      <w:r>
        <w:rPr>
          <w:color w:val="202529"/>
          <w:spacing w:val="14"/>
        </w:rPr>
        <w:t> </w:t>
      </w:r>
      <w:r>
        <w:rPr>
          <w:color w:val="202529"/>
        </w:rPr>
        <w:t>billion</w:t>
      </w:r>
      <w:r>
        <w:rPr>
          <w:color w:val="202529"/>
          <w:spacing w:val="14"/>
        </w:rPr>
        <w:t> </w:t>
      </w:r>
      <w:r>
        <w:rPr>
          <w:color w:val="202529"/>
        </w:rPr>
        <w:t>in</w:t>
      </w:r>
      <w:r>
        <w:rPr>
          <w:color w:val="202529"/>
          <w:spacing w:val="14"/>
        </w:rPr>
        <w:t> </w:t>
      </w:r>
      <w:r>
        <w:rPr>
          <w:color w:val="202529"/>
        </w:rPr>
        <w:t>net</w:t>
      </w:r>
      <w:r>
        <w:rPr>
          <w:color w:val="202529"/>
          <w:spacing w:val="14"/>
        </w:rPr>
        <w:t> </w:t>
      </w:r>
      <w:r>
        <w:rPr>
          <w:color w:val="202529"/>
        </w:rPr>
        <w:t>cash</w:t>
      </w:r>
      <w:r>
        <w:rPr>
          <w:color w:val="202529"/>
          <w:spacing w:val="14"/>
        </w:rPr>
        <w:t> </w:t>
      </w:r>
      <w:r>
        <w:rPr>
          <w:color w:val="202529"/>
        </w:rPr>
        <w:t>proceeds</w:t>
      </w:r>
      <w:r>
        <w:rPr>
          <w:color w:val="202529"/>
          <w:spacing w:val="14"/>
        </w:rPr>
        <w:t> </w:t>
      </w:r>
      <w:r>
        <w:rPr>
          <w:color w:val="202529"/>
        </w:rPr>
        <w:t>from</w:t>
      </w:r>
      <w:r>
        <w:rPr>
          <w:color w:val="202529"/>
          <w:spacing w:val="14"/>
        </w:rPr>
        <w:t> </w:t>
      </w:r>
      <w:r>
        <w:rPr>
          <w:color w:val="202529"/>
        </w:rPr>
        <w:t>the</w:t>
      </w:r>
      <w:r>
        <w:rPr>
          <w:color w:val="202529"/>
          <w:spacing w:val="14"/>
        </w:rPr>
        <w:t> </w:t>
      </w:r>
      <w:r>
        <w:rPr>
          <w:color w:val="202529"/>
        </w:rPr>
        <w:t>sale</w:t>
      </w:r>
      <w:r>
        <w:rPr>
          <w:color w:val="202529"/>
          <w:spacing w:val="14"/>
        </w:rPr>
        <w:t> </w:t>
      </w:r>
      <w:r>
        <w:rPr>
          <w:color w:val="202529"/>
        </w:rPr>
        <w:t>of</w:t>
      </w:r>
      <w:r>
        <w:rPr>
          <w:color w:val="202529"/>
          <w:spacing w:val="14"/>
        </w:rPr>
        <w:t> </w:t>
      </w:r>
      <w:r>
        <w:rPr>
          <w:color w:val="202529"/>
        </w:rPr>
        <w:t>the</w:t>
      </w:r>
      <w:r>
        <w:rPr>
          <w:color w:val="202529"/>
          <w:spacing w:val="14"/>
        </w:rPr>
        <w:t> </w:t>
      </w:r>
      <w:r>
        <w:rPr>
          <w:color w:val="202529"/>
        </w:rPr>
        <w:t>real</w:t>
      </w:r>
      <w:r>
        <w:rPr>
          <w:color w:val="202529"/>
          <w:spacing w:val="14"/>
        </w:rPr>
        <w:t> </w:t>
      </w:r>
      <w:r>
        <w:rPr>
          <w:color w:val="202529"/>
        </w:rPr>
        <w:t>estate</w:t>
      </w:r>
      <w:r>
        <w:rPr>
          <w:color w:val="202529"/>
          <w:spacing w:val="14"/>
        </w:rPr>
        <w:t> </w:t>
      </w:r>
      <w:r>
        <w:rPr>
          <w:color w:val="202529"/>
        </w:rPr>
        <w:t>of</w:t>
      </w:r>
      <w:r>
        <w:rPr>
          <w:color w:val="202529"/>
          <w:spacing w:val="4"/>
        </w:rPr>
        <w:t> </w:t>
      </w:r>
      <w:r>
        <w:rPr>
          <w:color w:val="202529"/>
        </w:rPr>
        <w:t>Aria</w:t>
      </w:r>
      <w:r>
        <w:rPr>
          <w:color w:val="202529"/>
          <w:spacing w:val="14"/>
        </w:rPr>
        <w:t> </w:t>
      </w:r>
      <w:r>
        <w:rPr>
          <w:color w:val="202529"/>
        </w:rPr>
        <w:t>and</w:t>
      </w:r>
      <w:r>
        <w:rPr>
          <w:color w:val="202529"/>
          <w:spacing w:val="11"/>
        </w:rPr>
        <w:t> </w:t>
      </w:r>
      <w:r>
        <w:rPr>
          <w:color w:val="202529"/>
        </w:rPr>
        <w:t>Vdara,</w:t>
      </w:r>
      <w:r>
        <w:rPr>
          <w:color w:val="202529"/>
          <w:spacing w:val="14"/>
        </w:rPr>
        <w:t> </w:t>
      </w:r>
      <w:r>
        <w:rPr>
          <w:color w:val="202529"/>
          <w:spacing w:val="-2"/>
        </w:rPr>
        <w:t>received</w:t>
      </w:r>
    </w:p>
    <w:p>
      <w:pPr>
        <w:pStyle w:val="BodyText"/>
        <w:ind w:left="144"/>
      </w:pPr>
      <w:r>
        <w:rPr>
          <w:color w:val="202529"/>
          <w:spacing w:val="-4"/>
        </w:rPr>
        <w:t>$107</w:t>
      </w:r>
    </w:p>
    <w:p>
      <w:pPr>
        <w:pStyle w:val="BodyText"/>
      </w:pPr>
    </w:p>
    <w:p>
      <w:pPr>
        <w:pStyle w:val="BodyText"/>
        <w:spacing w:before="189"/>
      </w:pPr>
    </w:p>
    <w:p>
      <w:pPr>
        <w:pStyle w:val="BodyText"/>
        <w:ind w:left="24"/>
        <w:jc w:val="center"/>
      </w:pPr>
      <w:r>
        <w:rPr>
          <w:spacing w:val="-5"/>
        </w:rPr>
        <w:t>44</w:t>
      </w:r>
    </w:p>
    <w:p>
      <w:pPr>
        <w:pStyle w:val="BodyText"/>
        <w:spacing w:before="3"/>
        <w:rPr>
          <w:sz w:val="6"/>
        </w:rPr>
      </w:pPr>
      <w:r>
        <w:rPr/>
        <mc:AlternateContent>
          <mc:Choice Requires="wps">
            <w:drawing>
              <wp:anchor distT="0" distB="0" distL="0" distR="0" allowOverlap="1" layoutInCell="1" locked="0" behindDoc="1" simplePos="0" relativeHeight="487636992">
                <wp:simplePos x="0" y="0"/>
                <wp:positionH relativeFrom="page">
                  <wp:posOffset>231457</wp:posOffset>
                </wp:positionH>
                <wp:positionV relativeFrom="paragraph">
                  <wp:posOffset>60956</wp:posOffset>
                </wp:positionV>
                <wp:extent cx="7312659" cy="17145"/>
                <wp:effectExtent l="0" t="0" r="0" b="0"/>
                <wp:wrapTopAndBottom/>
                <wp:docPr id="259" name="Group 259"/>
                <wp:cNvGraphicFramePr>
                  <a:graphicFrameLocks/>
                </wp:cNvGraphicFramePr>
                <a:graphic>
                  <a:graphicData uri="http://schemas.microsoft.com/office/word/2010/wordprocessingGroup">
                    <wpg:wgp>
                      <wpg:cNvPr id="259" name="Group 259"/>
                      <wpg:cNvGrpSpPr/>
                      <wpg:grpSpPr>
                        <a:xfrm>
                          <a:off x="0" y="0"/>
                          <a:ext cx="7312659" cy="17145"/>
                          <a:chExt cx="7312659" cy="17145"/>
                        </a:xfrm>
                      </wpg:grpSpPr>
                      <wps:wsp>
                        <wps:cNvPr id="260" name="Graphic 26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61" name="Graphic 261"/>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62" name="Graphic 26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9488;mso-wrap-distance-left:0;mso-wrap-distance-right:0" id="docshapegroup257" coordorigin="364,96" coordsize="11516,27">
                <v:rect style="position:absolute;left:364;top:96;width:11516;height:14" id="docshape258" filled="true" fillcolor="#999999" stroked="false">
                  <v:fill type="solid"/>
                </v:rect>
                <v:shape style="position:absolute;left:364;top:96;width:11516;height:27" id="docshape259" coordorigin="364,96" coordsize="11516,27" path="m11880,96l11866,109,364,109,364,123,11866,123,11880,123,11880,109,11880,96xe" filled="true" fillcolor="#ededed" stroked="false">
                  <v:path arrowok="t"/>
                  <v:fill type="solid"/>
                </v:shape>
                <v:shape style="position:absolute;left:364;top:96;width:14;height:27" id="docshape260"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35" w:lineRule="auto" w:before="66"/>
        <w:ind w:left="144" w:right="118"/>
        <w:jc w:val="both"/>
      </w:pPr>
      <w:r>
        <w:rPr>
          <w:color w:val="202529"/>
        </w:rPr>
        <w:t>million in net proceeds from the sale of property and equipment, primarily related to the sale of art, which were partially offset by our payments of $1.8 </w:t>
      </w:r>
      <w:r>
        <w:rPr>
          <w:color w:val="202529"/>
        </w:rPr>
        <w:t>billion to acquire CityCenter, net of cash acquired, </w:t>
      </w:r>
      <w:r>
        <w:rPr/>
        <w:t>$491 million </w:t>
      </w:r>
      <w:r>
        <w:rPr>
          <w:color w:val="202529"/>
        </w:rPr>
        <w:t>in capital expenditures, as further discussed below, and contributions of $225 million to BetMGM.</w:t>
      </w:r>
    </w:p>
    <w:p>
      <w:pPr>
        <w:pStyle w:val="BodyText"/>
        <w:spacing w:before="18"/>
      </w:pPr>
    </w:p>
    <w:p>
      <w:pPr>
        <w:spacing w:before="0"/>
        <w:ind w:left="394" w:right="0" w:firstLine="0"/>
        <w:jc w:val="left"/>
        <w:rPr>
          <w:i/>
          <w:sz w:val="18"/>
        </w:rPr>
      </w:pPr>
      <w:r>
        <w:rPr>
          <w:i/>
          <w:sz w:val="18"/>
        </w:rPr>
        <w:t>Capital</w:t>
      </w:r>
      <w:r>
        <w:rPr>
          <w:i/>
          <w:spacing w:val="-1"/>
          <w:sz w:val="18"/>
        </w:rPr>
        <w:t> </w:t>
      </w:r>
      <w:r>
        <w:rPr>
          <w:i/>
          <w:spacing w:val="-2"/>
          <w:sz w:val="18"/>
        </w:rPr>
        <w:t>Expenditures</w:t>
      </w:r>
    </w:p>
    <w:p>
      <w:pPr>
        <w:pStyle w:val="BodyText"/>
        <w:spacing w:before="5"/>
        <w:rPr>
          <w:i/>
        </w:rPr>
      </w:pPr>
    </w:p>
    <w:p>
      <w:pPr>
        <w:pStyle w:val="BodyText"/>
        <w:spacing w:line="242" w:lineRule="auto"/>
        <w:ind w:left="144" w:right="118" w:firstLine="499"/>
        <w:jc w:val="both"/>
      </w:pPr>
      <w:r>
        <w:rPr/>
        <w:t>In 2022, we made capital expenditures of $765 million, of which $31 million related to MGM China. Capital expenditures at our Las Vegas Strip Resorts, Regional Operations and corporate and other entities of $734 million were primarily related to expenditures in information technology, </w:t>
      </w:r>
      <w:r>
        <w:rPr/>
        <w:t>room</w:t>
      </w:r>
      <w:r>
        <w:rPr>
          <w:spacing w:val="40"/>
        </w:rPr>
        <w:t> </w:t>
      </w:r>
      <w:r>
        <w:rPr/>
        <w:t>remodels, and convention center remodels.</w:t>
      </w:r>
    </w:p>
    <w:p>
      <w:pPr>
        <w:pStyle w:val="BodyText"/>
        <w:spacing w:before="3"/>
      </w:pPr>
    </w:p>
    <w:p>
      <w:pPr>
        <w:pStyle w:val="BodyText"/>
        <w:ind w:left="144" w:right="118" w:firstLine="499"/>
        <w:jc w:val="both"/>
      </w:pPr>
      <w:r>
        <w:rPr/>
        <w:t>In 2021, we made capital expenditures of $491 million, of which $68 million related to MGM China. Capital expenditures at MGM China included $49 million primarily related to construction of the Emerald</w:t>
      </w:r>
      <w:r>
        <w:rPr>
          <w:spacing w:val="-3"/>
        </w:rPr>
        <w:t> </w:t>
      </w:r>
      <w:r>
        <w:rPr/>
        <w:t>Tower project at MGM Cotai and $19 million related to projects at MGM Macau. Capital expenditures at our Las Vegas Strip Resorts, Regional Operations and corporate entities of $423 million were primarily related to expenditures in information </w:t>
      </w:r>
      <w:r>
        <w:rPr/>
        <w:t>technology</w:t>
      </w:r>
      <w:r>
        <w:rPr>
          <w:spacing w:val="40"/>
        </w:rPr>
        <w:t> </w:t>
      </w:r>
      <w:r>
        <w:rPr/>
        <w:t>and room remodels.</w:t>
      </w:r>
    </w:p>
    <w:p>
      <w:pPr>
        <w:pStyle w:val="BodyText"/>
        <w:spacing w:before="4"/>
      </w:pPr>
    </w:p>
    <w:p>
      <w:pPr>
        <w:pStyle w:val="BodyText"/>
        <w:spacing w:line="242" w:lineRule="auto"/>
        <w:ind w:left="144" w:right="117" w:firstLine="499"/>
        <w:jc w:val="both"/>
      </w:pPr>
      <w:r>
        <w:rPr>
          <w:b/>
        </w:rPr>
        <w:t>Financing activities. </w:t>
      </w:r>
      <w:r>
        <w:rPr>
          <w:color w:val="202529"/>
        </w:rPr>
        <w:t>Cash used in financing activities was $3.0 billion in </w:t>
      </w:r>
      <w:r>
        <w:rPr/>
        <w:t>2022 </w:t>
      </w:r>
      <w:r>
        <w:rPr>
          <w:color w:val="202529"/>
        </w:rPr>
        <w:t>compared to $2.8 billion in 2021. In </w:t>
      </w:r>
      <w:r>
        <w:rPr/>
        <w:t>2022</w:t>
      </w:r>
      <w:r>
        <w:rPr>
          <w:color w:val="202529"/>
        </w:rPr>
        <w:t>, </w:t>
      </w:r>
      <w:r>
        <w:rPr/>
        <w:t>we had net borrowings of</w:t>
      </w:r>
      <w:r>
        <w:rPr>
          <w:spacing w:val="40"/>
        </w:rPr>
        <w:t> </w:t>
      </w:r>
      <w:r>
        <w:rPr/>
        <w:t>debt of $78 million, as further discussed below, distributed $211 million to noncontrolling interest owners, and we repurchased $2.8 billion of our common stock. In comparison, in the prior year period, we had net repayments of debt of $1.3 billion, as further discussed below, distributed $324 million to noncontrolling interest owners, and we repurchased $1.8 billion of our common stock, partially offset by net proceeds received of $793 million from the issuance of MGP's Class A shares.</w:t>
      </w:r>
    </w:p>
    <w:p>
      <w:pPr>
        <w:pStyle w:val="BodyText"/>
        <w:spacing w:before="4"/>
      </w:pPr>
    </w:p>
    <w:p>
      <w:pPr>
        <w:spacing w:before="0"/>
        <w:ind w:left="394" w:right="0" w:firstLine="0"/>
        <w:jc w:val="left"/>
        <w:rPr>
          <w:i/>
          <w:sz w:val="18"/>
        </w:rPr>
      </w:pPr>
      <w:r>
        <w:rPr>
          <w:i/>
          <w:sz w:val="18"/>
        </w:rPr>
        <w:t>Borrowings</w:t>
      </w:r>
      <w:r>
        <w:rPr>
          <w:i/>
          <w:spacing w:val="-3"/>
          <w:sz w:val="18"/>
        </w:rPr>
        <w:t> </w:t>
      </w:r>
      <w:r>
        <w:rPr>
          <w:i/>
          <w:sz w:val="18"/>
        </w:rPr>
        <w:t>and</w:t>
      </w:r>
      <w:r>
        <w:rPr>
          <w:i/>
          <w:spacing w:val="-2"/>
          <w:sz w:val="18"/>
        </w:rPr>
        <w:t> </w:t>
      </w:r>
      <w:r>
        <w:rPr>
          <w:i/>
          <w:sz w:val="18"/>
        </w:rPr>
        <w:t>Repayments</w:t>
      </w:r>
      <w:r>
        <w:rPr>
          <w:i/>
          <w:spacing w:val="-3"/>
          <w:sz w:val="18"/>
        </w:rPr>
        <w:t> </w:t>
      </w:r>
      <w:r>
        <w:rPr>
          <w:i/>
          <w:sz w:val="18"/>
        </w:rPr>
        <w:t>of</w:t>
      </w:r>
      <w:r>
        <w:rPr>
          <w:i/>
          <w:spacing w:val="-2"/>
          <w:sz w:val="18"/>
        </w:rPr>
        <w:t> </w:t>
      </w:r>
      <w:r>
        <w:rPr>
          <w:i/>
          <w:sz w:val="18"/>
        </w:rPr>
        <w:t>Long-term</w:t>
      </w:r>
      <w:r>
        <w:rPr>
          <w:i/>
          <w:spacing w:val="-2"/>
          <w:sz w:val="18"/>
        </w:rPr>
        <w:t> </w:t>
      </w:r>
      <w:r>
        <w:rPr>
          <w:i/>
          <w:spacing w:val="-4"/>
          <w:sz w:val="18"/>
        </w:rPr>
        <w:t>Debt</w:t>
      </w:r>
    </w:p>
    <w:p>
      <w:pPr>
        <w:pStyle w:val="BodyText"/>
        <w:spacing w:before="4"/>
        <w:rPr>
          <w:i/>
        </w:rPr>
      </w:pPr>
    </w:p>
    <w:p>
      <w:pPr>
        <w:pStyle w:val="BodyText"/>
        <w:ind w:left="144" w:right="118" w:firstLine="499"/>
        <w:jc w:val="both"/>
      </w:pPr>
      <w:r>
        <w:rPr/>
        <w:t>In 2022, we had net borrowings of debt of $78 million, which consisted of net draws of $40 million on MGP OP’s revolving credit facility, </w:t>
      </w:r>
      <w:r>
        <w:rPr/>
        <w:t>net borrowings</w:t>
      </w:r>
      <w:r>
        <w:rPr>
          <w:spacing w:val="-2"/>
        </w:rPr>
        <w:t> </w:t>
      </w:r>
      <w:r>
        <w:rPr/>
        <w:t>of</w:t>
      </w:r>
      <w:r>
        <w:rPr>
          <w:spacing w:val="-2"/>
        </w:rPr>
        <w:t> </w:t>
      </w:r>
      <w:r>
        <w:rPr/>
        <w:t>$884</w:t>
      </w:r>
      <w:r>
        <w:rPr>
          <w:spacing w:val="-2"/>
        </w:rPr>
        <w:t> </w:t>
      </w:r>
      <w:r>
        <w:rPr/>
        <w:t>million</w:t>
      </w:r>
      <w:r>
        <w:rPr>
          <w:spacing w:val="-2"/>
        </w:rPr>
        <w:t> </w:t>
      </w:r>
      <w:r>
        <w:rPr/>
        <w:t>on</w:t>
      </w:r>
      <w:r>
        <w:rPr>
          <w:spacing w:val="-2"/>
        </w:rPr>
        <w:t> </w:t>
      </w:r>
      <w:r>
        <w:rPr/>
        <w:t>MGM</w:t>
      </w:r>
      <w:r>
        <w:rPr>
          <w:spacing w:val="-2"/>
        </w:rPr>
        <w:t> </w:t>
      </w:r>
      <w:r>
        <w:rPr/>
        <w:t>China’s</w:t>
      </w:r>
      <w:r>
        <w:rPr>
          <w:spacing w:val="-2"/>
        </w:rPr>
        <w:t> </w:t>
      </w:r>
      <w:r>
        <w:rPr/>
        <w:t>first</w:t>
      </w:r>
      <w:r>
        <w:rPr>
          <w:spacing w:val="-2"/>
        </w:rPr>
        <w:t> </w:t>
      </w:r>
      <w:r>
        <w:rPr/>
        <w:t>revolving</w:t>
      </w:r>
      <w:r>
        <w:rPr>
          <w:spacing w:val="-2"/>
        </w:rPr>
        <w:t> </w:t>
      </w:r>
      <w:r>
        <w:rPr/>
        <w:t>credit</w:t>
      </w:r>
      <w:r>
        <w:rPr>
          <w:spacing w:val="-2"/>
        </w:rPr>
        <w:t> </w:t>
      </w:r>
      <w:r>
        <w:rPr/>
        <w:t>facility</w:t>
      </w:r>
      <w:r>
        <w:rPr>
          <w:spacing w:val="-2"/>
        </w:rPr>
        <w:t> </w:t>
      </w:r>
      <w:r>
        <w:rPr/>
        <w:t>and</w:t>
      </w:r>
      <w:r>
        <w:rPr>
          <w:spacing w:val="-2"/>
        </w:rPr>
        <w:t> </w:t>
      </w:r>
      <w:r>
        <w:rPr/>
        <w:t>borrowings</w:t>
      </w:r>
      <w:r>
        <w:rPr>
          <w:spacing w:val="-2"/>
        </w:rPr>
        <w:t> </w:t>
      </w:r>
      <w:r>
        <w:rPr/>
        <w:t>of</w:t>
      </w:r>
      <w:r>
        <w:rPr>
          <w:spacing w:val="-2"/>
        </w:rPr>
        <w:t> </w:t>
      </w:r>
      <w:r>
        <w:rPr/>
        <w:t>$224</w:t>
      </w:r>
      <w:r>
        <w:rPr>
          <w:spacing w:val="-2"/>
        </w:rPr>
        <w:t> </w:t>
      </w:r>
      <w:r>
        <w:rPr/>
        <w:t>million</w:t>
      </w:r>
      <w:r>
        <w:rPr>
          <w:spacing w:val="-2"/>
        </w:rPr>
        <w:t> </w:t>
      </w:r>
      <w:r>
        <w:rPr/>
        <w:t>on</w:t>
      </w:r>
      <w:r>
        <w:rPr>
          <w:spacing w:val="-2"/>
        </w:rPr>
        <w:t> </w:t>
      </w:r>
      <w:r>
        <w:rPr/>
        <w:t>MGM</w:t>
      </w:r>
      <w:r>
        <w:rPr>
          <w:spacing w:val="-2"/>
        </w:rPr>
        <w:t> </w:t>
      </w:r>
      <w:r>
        <w:rPr/>
        <w:t>China’s</w:t>
      </w:r>
      <w:r>
        <w:rPr>
          <w:spacing w:val="-2"/>
        </w:rPr>
        <w:t> </w:t>
      </w:r>
      <w:r>
        <w:rPr/>
        <w:t>second</w:t>
      </w:r>
      <w:r>
        <w:rPr>
          <w:spacing w:val="-2"/>
        </w:rPr>
        <w:t> </w:t>
      </w:r>
      <w:r>
        <w:rPr/>
        <w:t>revolving</w:t>
      </w:r>
      <w:r>
        <w:rPr>
          <w:spacing w:val="-2"/>
        </w:rPr>
        <w:t> </w:t>
      </w:r>
      <w:r>
        <w:rPr/>
        <w:t>credit</w:t>
      </w:r>
      <w:r>
        <w:rPr>
          <w:spacing w:val="-2"/>
        </w:rPr>
        <w:t> </w:t>
      </w:r>
      <w:r>
        <w:rPr/>
        <w:t>facility</w:t>
      </w:r>
      <w:r>
        <w:rPr>
          <w:spacing w:val="-2"/>
        </w:rPr>
        <w:t> </w:t>
      </w:r>
      <w:r>
        <w:rPr/>
        <w:t>to fund an increase in share capital of MGM Grand Paradise pursuant to the capital requirements under the new Macau gaming law and for general corporate purposes,</w:t>
      </w:r>
      <w:r>
        <w:rPr>
          <w:spacing w:val="1"/>
        </w:rPr>
        <w:t> </w:t>
      </w:r>
      <w:r>
        <w:rPr/>
        <w:t>partially</w:t>
      </w:r>
      <w:r>
        <w:rPr>
          <w:spacing w:val="1"/>
        </w:rPr>
        <w:t> </w:t>
      </w:r>
      <w:r>
        <w:rPr/>
        <w:t>offset</w:t>
      </w:r>
      <w:r>
        <w:rPr>
          <w:spacing w:val="2"/>
        </w:rPr>
        <w:t> </w:t>
      </w:r>
      <w:r>
        <w:rPr/>
        <w:t>by</w:t>
      </w:r>
      <w:r>
        <w:rPr>
          <w:spacing w:val="1"/>
        </w:rPr>
        <w:t> </w:t>
      </w:r>
      <w:r>
        <w:rPr/>
        <w:t>the</w:t>
      </w:r>
      <w:r>
        <w:rPr>
          <w:spacing w:val="1"/>
        </w:rPr>
        <w:t> </w:t>
      </w:r>
      <w:r>
        <w:rPr/>
        <w:t>repayment</w:t>
      </w:r>
      <w:r>
        <w:rPr>
          <w:spacing w:val="2"/>
        </w:rPr>
        <w:t> </w:t>
      </w:r>
      <w:r>
        <w:rPr/>
        <w:t>of</w:t>
      </w:r>
      <w:r>
        <w:rPr>
          <w:spacing w:val="1"/>
        </w:rPr>
        <w:t> </w:t>
      </w:r>
      <w:r>
        <w:rPr/>
        <w:t>$1.0</w:t>
      </w:r>
      <w:r>
        <w:rPr>
          <w:spacing w:val="1"/>
        </w:rPr>
        <w:t> </w:t>
      </w:r>
      <w:r>
        <w:rPr/>
        <w:t>billion</w:t>
      </w:r>
      <w:r>
        <w:rPr>
          <w:spacing w:val="2"/>
        </w:rPr>
        <w:t> </w:t>
      </w:r>
      <w:r>
        <w:rPr/>
        <w:t>of</w:t>
      </w:r>
      <w:r>
        <w:rPr>
          <w:spacing w:val="1"/>
        </w:rPr>
        <w:t> </w:t>
      </w:r>
      <w:r>
        <w:rPr/>
        <w:t>aggregate</w:t>
      </w:r>
      <w:r>
        <w:rPr>
          <w:spacing w:val="1"/>
        </w:rPr>
        <w:t> </w:t>
      </w:r>
      <w:r>
        <w:rPr/>
        <w:t>principal</w:t>
      </w:r>
      <w:r>
        <w:rPr>
          <w:spacing w:val="2"/>
        </w:rPr>
        <w:t> </w:t>
      </w:r>
      <w:r>
        <w:rPr/>
        <w:t>amount</w:t>
      </w:r>
      <w:r>
        <w:rPr>
          <w:spacing w:val="1"/>
        </w:rPr>
        <w:t> </w:t>
      </w:r>
      <w:r>
        <w:rPr/>
        <w:t>of</w:t>
      </w:r>
      <w:r>
        <w:rPr>
          <w:spacing w:val="2"/>
        </w:rPr>
        <w:t> </w:t>
      </w:r>
      <w:r>
        <w:rPr/>
        <w:t>our</w:t>
      </w:r>
      <w:r>
        <w:rPr>
          <w:spacing w:val="1"/>
        </w:rPr>
        <w:t> </w:t>
      </w:r>
      <w:r>
        <w:rPr/>
        <w:t>7.75%</w:t>
      </w:r>
      <w:r>
        <w:rPr>
          <w:spacing w:val="1"/>
        </w:rPr>
        <w:t> </w:t>
      </w:r>
      <w:r>
        <w:rPr/>
        <w:t>senior</w:t>
      </w:r>
      <w:r>
        <w:rPr>
          <w:spacing w:val="2"/>
        </w:rPr>
        <w:t> </w:t>
      </w:r>
      <w:r>
        <w:rPr/>
        <w:t>notes</w:t>
      </w:r>
      <w:r>
        <w:rPr>
          <w:spacing w:val="1"/>
        </w:rPr>
        <w:t> </w:t>
      </w:r>
      <w:r>
        <w:rPr/>
        <w:t>due</w:t>
      </w:r>
      <w:r>
        <w:rPr>
          <w:spacing w:val="1"/>
        </w:rPr>
        <w:t> </w:t>
      </w:r>
      <w:r>
        <w:rPr/>
        <w:t>2022</w:t>
      </w:r>
      <w:r>
        <w:rPr>
          <w:spacing w:val="2"/>
        </w:rPr>
        <w:t> </w:t>
      </w:r>
      <w:r>
        <w:rPr/>
        <w:t>at</w:t>
      </w:r>
      <w:r>
        <w:rPr>
          <w:spacing w:val="1"/>
        </w:rPr>
        <w:t> </w:t>
      </w:r>
      <w:r>
        <w:rPr/>
        <w:t>maturity,</w:t>
      </w:r>
      <w:r>
        <w:rPr>
          <w:spacing w:val="1"/>
        </w:rPr>
        <w:t> </w:t>
      </w:r>
      <w:r>
        <w:rPr/>
        <w:t>and</w:t>
      </w:r>
      <w:r>
        <w:rPr>
          <w:spacing w:val="2"/>
        </w:rPr>
        <w:t> </w:t>
      </w:r>
      <w:r>
        <w:rPr/>
        <w:t>the</w:t>
      </w:r>
      <w:r>
        <w:rPr>
          <w:spacing w:val="1"/>
        </w:rPr>
        <w:t> </w:t>
      </w:r>
      <w:r>
        <w:rPr/>
        <w:t>repayments</w:t>
      </w:r>
      <w:r>
        <w:rPr>
          <w:spacing w:val="2"/>
        </w:rPr>
        <w:t> </w:t>
      </w:r>
      <w:r>
        <w:rPr>
          <w:spacing w:val="-5"/>
        </w:rPr>
        <w:t>of</w:t>
      </w:r>
    </w:p>
    <w:p>
      <w:pPr>
        <w:pStyle w:val="BodyText"/>
        <w:spacing w:before="9"/>
        <w:ind w:left="144"/>
        <w:jc w:val="both"/>
      </w:pPr>
      <w:r>
        <w:rPr/>
        <w:t>$30</w:t>
      </w:r>
      <w:r>
        <w:rPr>
          <w:spacing w:val="-7"/>
        </w:rPr>
        <w:t> </w:t>
      </w:r>
      <w:r>
        <w:rPr/>
        <w:t>million</w:t>
      </w:r>
      <w:r>
        <w:rPr>
          <w:spacing w:val="-4"/>
        </w:rPr>
        <w:t> </w:t>
      </w:r>
      <w:r>
        <w:rPr/>
        <w:t>of</w:t>
      </w:r>
      <w:r>
        <w:rPr>
          <w:spacing w:val="-3"/>
        </w:rPr>
        <w:t> </w:t>
      </w:r>
      <w:r>
        <w:rPr/>
        <w:t>LeoVegas</w:t>
      </w:r>
      <w:r>
        <w:rPr>
          <w:spacing w:val="-3"/>
        </w:rPr>
        <w:t> </w:t>
      </w:r>
      <w:r>
        <w:rPr/>
        <w:t>senior</w:t>
      </w:r>
      <w:r>
        <w:rPr>
          <w:spacing w:val="-3"/>
        </w:rPr>
        <w:t> </w:t>
      </w:r>
      <w:r>
        <w:rPr/>
        <w:t>unsecured</w:t>
      </w:r>
      <w:r>
        <w:rPr>
          <w:spacing w:val="-4"/>
        </w:rPr>
        <w:t> </w:t>
      </w:r>
      <w:r>
        <w:rPr/>
        <w:t>notes</w:t>
      </w:r>
      <w:r>
        <w:rPr>
          <w:spacing w:val="-3"/>
        </w:rPr>
        <w:t> </w:t>
      </w:r>
      <w:r>
        <w:rPr/>
        <w:t>and</w:t>
      </w:r>
      <w:r>
        <w:rPr>
          <w:spacing w:val="-3"/>
        </w:rPr>
        <w:t> </w:t>
      </w:r>
      <w:r>
        <w:rPr/>
        <w:t>$40</w:t>
      </w:r>
      <w:r>
        <w:rPr>
          <w:spacing w:val="-3"/>
        </w:rPr>
        <w:t> </w:t>
      </w:r>
      <w:r>
        <w:rPr/>
        <w:t>million</w:t>
      </w:r>
      <w:r>
        <w:rPr>
          <w:spacing w:val="-4"/>
        </w:rPr>
        <w:t> </w:t>
      </w:r>
      <w:r>
        <w:rPr/>
        <w:t>of</w:t>
      </w:r>
      <w:r>
        <w:rPr>
          <w:spacing w:val="-3"/>
        </w:rPr>
        <w:t> </w:t>
      </w:r>
      <w:r>
        <w:rPr/>
        <w:t>LeoVegas’</w:t>
      </w:r>
      <w:r>
        <w:rPr>
          <w:spacing w:val="-14"/>
        </w:rPr>
        <w:t> </w:t>
      </w:r>
      <w:r>
        <w:rPr/>
        <w:t>revolving</w:t>
      </w:r>
      <w:r>
        <w:rPr>
          <w:spacing w:val="-3"/>
        </w:rPr>
        <w:t> </w:t>
      </w:r>
      <w:r>
        <w:rPr/>
        <w:t>credit</w:t>
      </w:r>
      <w:r>
        <w:rPr>
          <w:spacing w:val="-3"/>
        </w:rPr>
        <w:t> </w:t>
      </w:r>
      <w:r>
        <w:rPr/>
        <w:t>facility</w:t>
      </w:r>
      <w:r>
        <w:rPr>
          <w:spacing w:val="-4"/>
        </w:rPr>
        <w:t> </w:t>
      </w:r>
      <w:r>
        <w:rPr/>
        <w:t>due</w:t>
      </w:r>
      <w:r>
        <w:rPr>
          <w:spacing w:val="-3"/>
        </w:rPr>
        <w:t> </w:t>
      </w:r>
      <w:r>
        <w:rPr/>
        <w:t>to</w:t>
      </w:r>
      <w:r>
        <w:rPr>
          <w:spacing w:val="-3"/>
        </w:rPr>
        <w:t> </w:t>
      </w:r>
      <w:r>
        <w:rPr/>
        <w:t>change-in-control</w:t>
      </w:r>
      <w:r>
        <w:rPr>
          <w:spacing w:val="-3"/>
        </w:rPr>
        <w:t> </w:t>
      </w:r>
      <w:r>
        <w:rPr>
          <w:spacing w:val="-2"/>
        </w:rPr>
        <w:t>provisions.</w:t>
      </w:r>
    </w:p>
    <w:p>
      <w:pPr>
        <w:pStyle w:val="BodyText"/>
        <w:spacing w:before="5"/>
      </w:pPr>
    </w:p>
    <w:p>
      <w:pPr>
        <w:pStyle w:val="BodyText"/>
        <w:ind w:left="144" w:right="118" w:firstLine="499"/>
        <w:jc w:val="both"/>
      </w:pPr>
      <w:r>
        <w:rPr/>
        <w:t>In</w:t>
      </w:r>
      <w:r>
        <w:rPr>
          <w:spacing w:val="-2"/>
        </w:rPr>
        <w:t> </w:t>
      </w:r>
      <w:r>
        <w:rPr/>
        <w:t>2021,</w:t>
      </w:r>
      <w:r>
        <w:rPr>
          <w:spacing w:val="-2"/>
        </w:rPr>
        <w:t> </w:t>
      </w:r>
      <w:r>
        <w:rPr/>
        <w:t>we</w:t>
      </w:r>
      <w:r>
        <w:rPr>
          <w:spacing w:val="-2"/>
        </w:rPr>
        <w:t> </w:t>
      </w:r>
      <w:r>
        <w:rPr/>
        <w:t>had</w:t>
      </w:r>
      <w:r>
        <w:rPr>
          <w:spacing w:val="-2"/>
        </w:rPr>
        <w:t> </w:t>
      </w:r>
      <w:r>
        <w:rPr/>
        <w:t>net</w:t>
      </w:r>
      <w:r>
        <w:rPr>
          <w:spacing w:val="-2"/>
        </w:rPr>
        <w:t> </w:t>
      </w:r>
      <w:r>
        <w:rPr/>
        <w:t>repayments</w:t>
      </w:r>
      <w:r>
        <w:rPr>
          <w:spacing w:val="-2"/>
        </w:rPr>
        <w:t> </w:t>
      </w:r>
      <w:r>
        <w:rPr/>
        <w:t>of</w:t>
      </w:r>
      <w:r>
        <w:rPr>
          <w:spacing w:val="-2"/>
        </w:rPr>
        <w:t> </w:t>
      </w:r>
      <w:r>
        <w:rPr/>
        <w:t>debt</w:t>
      </w:r>
      <w:r>
        <w:rPr>
          <w:spacing w:val="-2"/>
        </w:rPr>
        <w:t> </w:t>
      </w:r>
      <w:r>
        <w:rPr/>
        <w:t>of</w:t>
      </w:r>
      <w:r>
        <w:rPr>
          <w:spacing w:val="-2"/>
        </w:rPr>
        <w:t> </w:t>
      </w:r>
      <w:r>
        <w:rPr/>
        <w:t>$1.3</w:t>
      </w:r>
      <w:r>
        <w:rPr>
          <w:spacing w:val="-2"/>
        </w:rPr>
        <w:t> </w:t>
      </w:r>
      <w:r>
        <w:rPr/>
        <w:t>billion,</w:t>
      </w:r>
      <w:r>
        <w:rPr>
          <w:spacing w:val="-2"/>
        </w:rPr>
        <w:t> </w:t>
      </w:r>
      <w:r>
        <w:rPr/>
        <w:t>which</w:t>
      </w:r>
      <w:r>
        <w:rPr>
          <w:spacing w:val="-2"/>
        </w:rPr>
        <w:t> </w:t>
      </w:r>
      <w:r>
        <w:rPr/>
        <w:t>consisted</w:t>
      </w:r>
      <w:r>
        <w:rPr>
          <w:spacing w:val="-2"/>
        </w:rPr>
        <w:t> </w:t>
      </w:r>
      <w:r>
        <w:rPr/>
        <w:t>of</w:t>
      </w:r>
      <w:r>
        <w:rPr>
          <w:spacing w:val="-2"/>
        </w:rPr>
        <w:t> </w:t>
      </w:r>
      <w:r>
        <w:rPr/>
        <w:t>the</w:t>
      </w:r>
      <w:r>
        <w:rPr>
          <w:spacing w:val="-2"/>
        </w:rPr>
        <w:t> </w:t>
      </w:r>
      <w:r>
        <w:rPr/>
        <w:t>repayment</w:t>
      </w:r>
      <w:r>
        <w:rPr>
          <w:spacing w:val="-2"/>
        </w:rPr>
        <w:t> </w:t>
      </w:r>
      <w:r>
        <w:rPr/>
        <w:t>of</w:t>
      </w:r>
      <w:r>
        <w:rPr>
          <w:spacing w:val="-2"/>
        </w:rPr>
        <w:t> </w:t>
      </w:r>
      <w:r>
        <w:rPr/>
        <w:t>the</w:t>
      </w:r>
      <w:r>
        <w:rPr>
          <w:spacing w:val="-2"/>
        </w:rPr>
        <w:t> </w:t>
      </w:r>
      <w:r>
        <w:rPr/>
        <w:t>$1.7</w:t>
      </w:r>
      <w:r>
        <w:rPr>
          <w:spacing w:val="-2"/>
        </w:rPr>
        <w:t> </w:t>
      </w:r>
      <w:r>
        <w:rPr/>
        <w:t>billion</w:t>
      </w:r>
      <w:r>
        <w:rPr>
          <w:spacing w:val="-2"/>
        </w:rPr>
        <w:t> </w:t>
      </w:r>
      <w:r>
        <w:rPr/>
        <w:t>outstanding</w:t>
      </w:r>
      <w:r>
        <w:rPr>
          <w:spacing w:val="-2"/>
        </w:rPr>
        <w:t> </w:t>
      </w:r>
      <w:r>
        <w:rPr/>
        <w:t>on</w:t>
      </w:r>
      <w:r>
        <w:rPr>
          <w:spacing w:val="-2"/>
        </w:rPr>
        <w:t> </w:t>
      </w:r>
      <w:r>
        <w:rPr/>
        <w:t>CityCenter's</w:t>
      </w:r>
      <w:r>
        <w:rPr>
          <w:spacing w:val="-2"/>
        </w:rPr>
        <w:t> </w:t>
      </w:r>
      <w:r>
        <w:rPr/>
        <w:t>credit</w:t>
      </w:r>
      <w:r>
        <w:rPr>
          <w:spacing w:val="-2"/>
        </w:rPr>
        <w:t> </w:t>
      </w:r>
      <w:r>
        <w:rPr/>
        <w:t>facility</w:t>
      </w:r>
      <w:r>
        <w:rPr>
          <w:spacing w:val="-2"/>
        </w:rPr>
        <w:t> </w:t>
      </w:r>
      <w:r>
        <w:rPr/>
        <w:t>in full, which was assumed in the acquisition, using cash on hand, and net repayments of $407 million on MGM China’s first revolving credit facility. These repayments were partially offset by MGM China’s March 2021 issuance of $750 million in aggregate principal amount of 4.75% senior notes due 2027 at an issue price of 99.97% and net draws of $40 million on MGP OP's revolving credit facility, of which $35 million was used in connection with </w:t>
      </w:r>
      <w:r>
        <w:rPr/>
        <w:t>MGP’s</w:t>
      </w:r>
      <w:r>
        <w:rPr>
          <w:spacing w:val="40"/>
        </w:rPr>
        <w:t> </w:t>
      </w:r>
      <w:r>
        <w:rPr/>
        <w:t>acquisition of MGM Springfield with the remainder used to fund MGP OP’s and MGP’s distribution and dividend payments. The net proceeds from MGM China’s 4.75% senior notes due 2027 issuance were used to partially repay amounts outstanding under the MGM China first revolving credit facility and for general corporate purposes.</w:t>
      </w:r>
    </w:p>
    <w:p>
      <w:pPr>
        <w:pStyle w:val="BodyText"/>
        <w:spacing w:before="4"/>
      </w:pPr>
    </w:p>
    <w:p>
      <w:pPr>
        <w:spacing w:before="1"/>
        <w:ind w:left="394" w:right="0" w:firstLine="0"/>
        <w:jc w:val="left"/>
        <w:rPr>
          <w:i/>
          <w:sz w:val="18"/>
        </w:rPr>
      </w:pPr>
      <w:r>
        <w:rPr>
          <w:i/>
          <w:sz w:val="18"/>
        </w:rPr>
        <w:t>Dividends,</w:t>
      </w:r>
      <w:r>
        <w:rPr>
          <w:i/>
          <w:spacing w:val="-6"/>
          <w:sz w:val="18"/>
        </w:rPr>
        <w:t> </w:t>
      </w:r>
      <w:r>
        <w:rPr>
          <w:i/>
          <w:sz w:val="18"/>
        </w:rPr>
        <w:t>Distributions</w:t>
      </w:r>
      <w:r>
        <w:rPr>
          <w:i/>
          <w:spacing w:val="-4"/>
          <w:sz w:val="18"/>
        </w:rPr>
        <w:t> </w:t>
      </w:r>
      <w:r>
        <w:rPr>
          <w:i/>
          <w:sz w:val="18"/>
        </w:rPr>
        <w:t>to</w:t>
      </w:r>
      <w:r>
        <w:rPr>
          <w:i/>
          <w:spacing w:val="-3"/>
          <w:sz w:val="18"/>
        </w:rPr>
        <w:t> </w:t>
      </w:r>
      <w:r>
        <w:rPr>
          <w:i/>
          <w:sz w:val="18"/>
        </w:rPr>
        <w:t>Noncontrolling</w:t>
      </w:r>
      <w:r>
        <w:rPr>
          <w:i/>
          <w:spacing w:val="-4"/>
          <w:sz w:val="18"/>
        </w:rPr>
        <w:t> </w:t>
      </w:r>
      <w:r>
        <w:rPr>
          <w:i/>
          <w:sz w:val="18"/>
        </w:rPr>
        <w:t>Interest</w:t>
      </w:r>
      <w:r>
        <w:rPr>
          <w:i/>
          <w:spacing w:val="-4"/>
          <w:sz w:val="18"/>
        </w:rPr>
        <w:t> </w:t>
      </w:r>
      <w:r>
        <w:rPr>
          <w:i/>
          <w:sz w:val="18"/>
        </w:rPr>
        <w:t>Owners</w:t>
      </w:r>
      <w:r>
        <w:rPr>
          <w:i/>
          <w:spacing w:val="-3"/>
          <w:sz w:val="18"/>
        </w:rPr>
        <w:t> </w:t>
      </w:r>
      <w:r>
        <w:rPr>
          <w:i/>
          <w:sz w:val="18"/>
        </w:rPr>
        <w:t>and</w:t>
      </w:r>
      <w:r>
        <w:rPr>
          <w:i/>
          <w:spacing w:val="-4"/>
          <w:sz w:val="18"/>
        </w:rPr>
        <w:t> </w:t>
      </w:r>
      <w:r>
        <w:rPr>
          <w:i/>
          <w:sz w:val="18"/>
        </w:rPr>
        <w:t>Share</w:t>
      </w:r>
      <w:r>
        <w:rPr>
          <w:i/>
          <w:spacing w:val="-3"/>
          <w:sz w:val="18"/>
        </w:rPr>
        <w:t> </w:t>
      </w:r>
      <w:r>
        <w:rPr>
          <w:i/>
          <w:spacing w:val="-2"/>
          <w:sz w:val="18"/>
        </w:rPr>
        <w:t>Repurchases</w:t>
      </w:r>
    </w:p>
    <w:p>
      <w:pPr>
        <w:pStyle w:val="BodyText"/>
        <w:spacing w:before="19"/>
        <w:rPr>
          <w:i/>
        </w:rPr>
      </w:pPr>
    </w:p>
    <w:p>
      <w:pPr>
        <w:pStyle w:val="BodyText"/>
        <w:spacing w:line="237" w:lineRule="auto"/>
        <w:ind w:left="144" w:right="118" w:firstLine="499"/>
        <w:jc w:val="both"/>
      </w:pPr>
      <w:r>
        <w:rPr/>
        <w:t>In 2022, we repurchased and retired $2.8 billion of our common stock pursuant to our stock repurchase plans. In connection with those repurchases, </w:t>
      </w:r>
      <w:r>
        <w:rPr/>
        <w:t>the February 2020 $3.0 billion stock repurchase plan was completed.</w:t>
      </w:r>
      <w:r>
        <w:rPr>
          <w:spacing w:val="-10"/>
        </w:rPr>
        <w:t> </w:t>
      </w:r>
      <w:r>
        <w:rPr/>
        <w:t>As of December 31, 2022, the remaining availability under the March 2022 $2.0 billion stock repurchase</w:t>
      </w:r>
      <w:r>
        <w:rPr>
          <w:spacing w:val="-1"/>
        </w:rPr>
        <w:t> </w:t>
      </w:r>
      <w:r>
        <w:rPr/>
        <w:t>plan</w:t>
      </w:r>
      <w:r>
        <w:rPr>
          <w:spacing w:val="-1"/>
        </w:rPr>
        <w:t> </w:t>
      </w:r>
      <w:r>
        <w:rPr/>
        <w:t>was</w:t>
      </w:r>
      <w:r>
        <w:rPr>
          <w:spacing w:val="-1"/>
        </w:rPr>
        <w:t> </w:t>
      </w:r>
      <w:r>
        <w:rPr/>
        <w:t>$475</w:t>
      </w:r>
      <w:r>
        <w:rPr>
          <w:spacing w:val="-1"/>
        </w:rPr>
        <w:t> </w:t>
      </w:r>
      <w:r>
        <w:rPr/>
        <w:t>million.</w:t>
      </w:r>
      <w:r>
        <w:rPr>
          <w:spacing w:val="-11"/>
        </w:rPr>
        <w:t> </w:t>
      </w:r>
      <w:r>
        <w:rPr/>
        <w:t>Additionally,</w:t>
      </w:r>
      <w:r>
        <w:rPr>
          <w:spacing w:val="-1"/>
        </w:rPr>
        <w:t> </w:t>
      </w:r>
      <w:r>
        <w:rPr/>
        <w:t>in</w:t>
      </w:r>
      <w:r>
        <w:rPr>
          <w:spacing w:val="-1"/>
        </w:rPr>
        <w:t> </w:t>
      </w:r>
      <w:r>
        <w:rPr/>
        <w:t>February</w:t>
      </w:r>
      <w:r>
        <w:rPr>
          <w:spacing w:val="-1"/>
        </w:rPr>
        <w:t> </w:t>
      </w:r>
      <w:r>
        <w:rPr/>
        <w:t>2023,</w:t>
      </w:r>
      <w:r>
        <w:rPr>
          <w:spacing w:val="-1"/>
        </w:rPr>
        <w:t> </w:t>
      </w:r>
      <w:r>
        <w:rPr/>
        <w:t>we</w:t>
      </w:r>
      <w:r>
        <w:rPr>
          <w:spacing w:val="-1"/>
        </w:rPr>
        <w:t> </w:t>
      </w:r>
      <w:r>
        <w:rPr/>
        <w:t>announced</w:t>
      </w:r>
      <w:r>
        <w:rPr>
          <w:spacing w:val="-1"/>
        </w:rPr>
        <w:t> </w:t>
      </w:r>
      <w:r>
        <w:rPr/>
        <w:t>that</w:t>
      </w:r>
      <w:r>
        <w:rPr>
          <w:spacing w:val="-1"/>
        </w:rPr>
        <w:t> </w:t>
      </w:r>
      <w:r>
        <w:rPr/>
        <w:t>the</w:t>
      </w:r>
      <w:r>
        <w:rPr>
          <w:spacing w:val="-1"/>
        </w:rPr>
        <w:t> </w:t>
      </w:r>
      <w:r>
        <w:rPr/>
        <w:t>Board</w:t>
      </w:r>
      <w:r>
        <w:rPr>
          <w:spacing w:val="-1"/>
        </w:rPr>
        <w:t> </w:t>
      </w:r>
      <w:r>
        <w:rPr/>
        <w:t>of</w:t>
      </w:r>
      <w:r>
        <w:rPr>
          <w:spacing w:val="-1"/>
        </w:rPr>
        <w:t> </w:t>
      </w:r>
      <w:r>
        <w:rPr/>
        <w:t>Directors</w:t>
      </w:r>
      <w:r>
        <w:rPr>
          <w:spacing w:val="-1"/>
        </w:rPr>
        <w:t> </w:t>
      </w:r>
      <w:r>
        <w:rPr/>
        <w:t>authorized</w:t>
      </w:r>
      <w:r>
        <w:rPr>
          <w:spacing w:val="-1"/>
        </w:rPr>
        <w:t> </w:t>
      </w:r>
      <w:r>
        <w:rPr/>
        <w:t>a</w:t>
      </w:r>
      <w:r>
        <w:rPr>
          <w:spacing w:val="-1"/>
        </w:rPr>
        <w:t> </w:t>
      </w:r>
      <w:r>
        <w:rPr/>
        <w:t>$2.0</w:t>
      </w:r>
      <w:r>
        <w:rPr>
          <w:spacing w:val="-1"/>
        </w:rPr>
        <w:t> </w:t>
      </w:r>
      <w:r>
        <w:rPr/>
        <w:t>billion</w:t>
      </w:r>
      <w:r>
        <w:rPr>
          <w:spacing w:val="-1"/>
        </w:rPr>
        <w:t> </w:t>
      </w:r>
      <w:r>
        <w:rPr/>
        <w:t>stock</w:t>
      </w:r>
      <w:r>
        <w:rPr>
          <w:spacing w:val="-1"/>
        </w:rPr>
        <w:t> </w:t>
      </w:r>
      <w:r>
        <w:rPr/>
        <w:t>repurchase</w:t>
      </w:r>
      <w:r>
        <w:rPr>
          <w:spacing w:val="-1"/>
        </w:rPr>
        <w:t> </w:t>
      </w:r>
      <w:r>
        <w:rPr/>
        <w:t>plan.</w:t>
      </w:r>
      <w:r>
        <w:rPr>
          <w:spacing w:val="-1"/>
        </w:rPr>
        <w:t> </w:t>
      </w:r>
      <w:r>
        <w:rPr/>
        <w:t>In 2021, we repurchased and retired $1.8 billion of our common stock pursuant to our May 2018 $2.0 billion and February 2020 $3.0 billion stock repurchase plans. In connection with those repurchases, we completed our May 2018 $2.0 billion stock repurchase plan.</w:t>
      </w:r>
    </w:p>
    <w:p>
      <w:pPr>
        <w:pStyle w:val="BodyText"/>
        <w:spacing w:before="12"/>
      </w:pPr>
    </w:p>
    <w:p>
      <w:pPr>
        <w:pStyle w:val="BodyText"/>
        <w:spacing w:line="235" w:lineRule="auto"/>
        <w:ind w:left="144" w:right="118" w:firstLine="499"/>
        <w:jc w:val="both"/>
      </w:pPr>
      <w:r>
        <w:rPr/>
        <w:t>In March 2022, June 2022, September 2022, and December 2022, we paid dividends of $0.0025 per share, totaling $4 million for 2022. In March </w:t>
      </w:r>
      <w:r>
        <w:rPr/>
        <w:t>2021, June 2021, September 2021, and December 2021, we paid dividends of $0.0025 per share, totaling $5 million for 2021.</w:t>
      </w:r>
    </w:p>
    <w:p>
      <w:pPr>
        <w:pStyle w:val="BodyText"/>
      </w:pPr>
    </w:p>
    <w:p>
      <w:pPr>
        <w:pStyle w:val="BodyText"/>
      </w:pPr>
    </w:p>
    <w:p>
      <w:pPr>
        <w:pStyle w:val="BodyText"/>
        <w:spacing w:before="199"/>
      </w:pPr>
    </w:p>
    <w:p>
      <w:pPr>
        <w:pStyle w:val="BodyText"/>
        <w:ind w:left="24"/>
        <w:jc w:val="center"/>
      </w:pPr>
      <w:r>
        <w:rPr>
          <w:spacing w:val="-5"/>
        </w:rPr>
        <w:t>45</w:t>
      </w:r>
    </w:p>
    <w:p>
      <w:pPr>
        <w:pStyle w:val="BodyText"/>
        <w:spacing w:before="3"/>
        <w:rPr>
          <w:sz w:val="6"/>
        </w:rPr>
      </w:pPr>
      <w:r>
        <w:rPr/>
        <mc:AlternateContent>
          <mc:Choice Requires="wps">
            <w:drawing>
              <wp:anchor distT="0" distB="0" distL="0" distR="0" allowOverlap="1" layoutInCell="1" locked="0" behindDoc="1" simplePos="0" relativeHeight="487637504">
                <wp:simplePos x="0" y="0"/>
                <wp:positionH relativeFrom="page">
                  <wp:posOffset>231457</wp:posOffset>
                </wp:positionH>
                <wp:positionV relativeFrom="paragraph">
                  <wp:posOffset>60956</wp:posOffset>
                </wp:positionV>
                <wp:extent cx="7312659" cy="17145"/>
                <wp:effectExtent l="0" t="0" r="0" b="0"/>
                <wp:wrapTopAndBottom/>
                <wp:docPr id="263" name="Group 263"/>
                <wp:cNvGraphicFramePr>
                  <a:graphicFrameLocks/>
                </wp:cNvGraphicFramePr>
                <a:graphic>
                  <a:graphicData uri="http://schemas.microsoft.com/office/word/2010/wordprocessingGroup">
                    <wpg:wgp>
                      <wpg:cNvPr id="263" name="Group 263"/>
                      <wpg:cNvGrpSpPr/>
                      <wpg:grpSpPr>
                        <a:xfrm>
                          <a:off x="0" y="0"/>
                          <a:ext cx="7312659" cy="17145"/>
                          <a:chExt cx="7312659" cy="17145"/>
                        </a:xfrm>
                      </wpg:grpSpPr>
                      <wps:wsp>
                        <wps:cNvPr id="264" name="Graphic 26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65" name="Graphic 265"/>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66" name="Graphic 26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8976;mso-wrap-distance-left:0;mso-wrap-distance-right:0" id="docshapegroup261" coordorigin="364,96" coordsize="11516,27">
                <v:rect style="position:absolute;left:364;top:96;width:11516;height:14" id="docshape262" filled="true" fillcolor="#999999" stroked="false">
                  <v:fill type="solid"/>
                </v:rect>
                <v:shape style="position:absolute;left:364;top:96;width:11516;height:27" id="docshape263" coordorigin="364,96" coordsize="11516,27" path="m11880,96l11866,109,364,109,364,123,11866,123,11880,123,11880,109,11880,96xe" filled="true" fillcolor="#ededed" stroked="false">
                  <v:path arrowok="t"/>
                  <v:fill type="solid"/>
                </v:shape>
                <v:shape style="position:absolute;left:364;top:96;width:14;height:27" id="docshape264"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63"/>
        <w:ind w:left="644"/>
      </w:pPr>
      <w:r>
        <w:rPr/>
        <w:t>MGP</w:t>
      </w:r>
      <w:r>
        <w:rPr>
          <w:spacing w:val="-7"/>
        </w:rPr>
        <w:t> </w:t>
      </w:r>
      <w:r>
        <w:rPr/>
        <w:t>OP</w:t>
      </w:r>
      <w:r>
        <w:rPr>
          <w:spacing w:val="-7"/>
        </w:rPr>
        <w:t> </w:t>
      </w:r>
      <w:r>
        <w:rPr/>
        <w:t>paid</w:t>
      </w:r>
      <w:r>
        <w:rPr>
          <w:spacing w:val="-1"/>
        </w:rPr>
        <w:t> </w:t>
      </w:r>
      <w:r>
        <w:rPr/>
        <w:t>the</w:t>
      </w:r>
      <w:r>
        <w:rPr>
          <w:spacing w:val="-1"/>
        </w:rPr>
        <w:t> </w:t>
      </w:r>
      <w:r>
        <w:rPr/>
        <w:t>following</w:t>
      </w:r>
      <w:r>
        <w:rPr>
          <w:spacing w:val="-1"/>
        </w:rPr>
        <w:t> </w:t>
      </w:r>
      <w:r>
        <w:rPr/>
        <w:t>distributions</w:t>
      </w:r>
      <w:r>
        <w:rPr>
          <w:spacing w:val="-1"/>
        </w:rPr>
        <w:t> </w:t>
      </w:r>
      <w:r>
        <w:rPr/>
        <w:t>to</w:t>
      </w:r>
      <w:r>
        <w:rPr>
          <w:spacing w:val="-1"/>
        </w:rPr>
        <w:t> </w:t>
      </w:r>
      <w:r>
        <w:rPr/>
        <w:t>its</w:t>
      </w:r>
      <w:r>
        <w:rPr>
          <w:spacing w:val="-1"/>
        </w:rPr>
        <w:t> </w:t>
      </w:r>
      <w:r>
        <w:rPr/>
        <w:t>partnership</w:t>
      </w:r>
      <w:r>
        <w:rPr>
          <w:spacing w:val="-1"/>
        </w:rPr>
        <w:t> </w:t>
      </w:r>
      <w:r>
        <w:rPr/>
        <w:t>unit</w:t>
      </w:r>
      <w:r>
        <w:rPr>
          <w:spacing w:val="-1"/>
        </w:rPr>
        <w:t> </w:t>
      </w:r>
      <w:r>
        <w:rPr/>
        <w:t>holders</w:t>
      </w:r>
      <w:r>
        <w:rPr>
          <w:spacing w:val="-1"/>
        </w:rPr>
        <w:t> </w:t>
      </w:r>
      <w:r>
        <w:rPr/>
        <w:t>during</w:t>
      </w:r>
      <w:r>
        <w:rPr>
          <w:spacing w:val="-1"/>
        </w:rPr>
        <w:t> </w:t>
      </w:r>
      <w:r>
        <w:rPr/>
        <w:t>2022</w:t>
      </w:r>
      <w:r>
        <w:rPr>
          <w:spacing w:val="-1"/>
        </w:rPr>
        <w:t> </w:t>
      </w:r>
      <w:r>
        <w:rPr/>
        <w:t>and</w:t>
      </w:r>
      <w:r>
        <w:rPr>
          <w:spacing w:val="-1"/>
        </w:rPr>
        <w:t> </w:t>
      </w:r>
      <w:r>
        <w:rPr>
          <w:spacing w:val="-2"/>
        </w:rPr>
        <w:t>2021:</w:t>
      </w:r>
    </w:p>
    <w:p>
      <w:pPr>
        <w:pStyle w:val="BodyText"/>
        <w:spacing w:before="4"/>
      </w:pPr>
    </w:p>
    <w:p>
      <w:pPr>
        <w:pStyle w:val="ListParagraph"/>
        <w:numPr>
          <w:ilvl w:val="0"/>
          <w:numId w:val="9"/>
        </w:numPr>
        <w:tabs>
          <w:tab w:pos="792" w:val="left" w:leader="none"/>
        </w:tabs>
        <w:spacing w:line="249" w:lineRule="auto" w:before="0" w:after="0"/>
        <w:ind w:left="792" w:right="118" w:hanging="324"/>
        <w:jc w:val="left"/>
        <w:rPr>
          <w:sz w:val="18"/>
        </w:rPr>
      </w:pPr>
      <w:r>
        <w:rPr>
          <w:sz w:val="18"/>
        </w:rPr>
        <w:t>$283 million of distributions paid in 2022, of which we received $117 million and MGP received $166 million, which MGP concurrently paid as a</w:t>
      </w:r>
      <w:r>
        <w:rPr>
          <w:spacing w:val="80"/>
          <w:sz w:val="18"/>
        </w:rPr>
        <w:t> </w:t>
      </w:r>
      <w:r>
        <w:rPr>
          <w:sz w:val="18"/>
        </w:rPr>
        <w:t>dividend to its Class A shareholders; and</w:t>
      </w:r>
    </w:p>
    <w:p>
      <w:pPr>
        <w:pStyle w:val="ListParagraph"/>
        <w:numPr>
          <w:ilvl w:val="0"/>
          <w:numId w:val="9"/>
        </w:numPr>
        <w:tabs>
          <w:tab w:pos="792" w:val="left" w:leader="none"/>
        </w:tabs>
        <w:spacing w:line="235" w:lineRule="auto" w:before="0" w:after="0"/>
        <w:ind w:left="792" w:right="118" w:hanging="324"/>
        <w:jc w:val="left"/>
        <w:rPr>
          <w:sz w:val="18"/>
        </w:rPr>
      </w:pPr>
      <w:r>
        <w:rPr>
          <w:sz w:val="18"/>
        </w:rPr>
        <w:t>$545</w:t>
      </w:r>
      <w:r>
        <w:rPr>
          <w:spacing w:val="11"/>
          <w:sz w:val="18"/>
        </w:rPr>
        <w:t> </w:t>
      </w:r>
      <w:r>
        <w:rPr>
          <w:sz w:val="18"/>
        </w:rPr>
        <w:t>million</w:t>
      </w:r>
      <w:r>
        <w:rPr>
          <w:spacing w:val="11"/>
          <w:sz w:val="18"/>
        </w:rPr>
        <w:t> </w:t>
      </w:r>
      <w:r>
        <w:rPr>
          <w:sz w:val="18"/>
        </w:rPr>
        <w:t>of</w:t>
      </w:r>
      <w:r>
        <w:rPr>
          <w:spacing w:val="11"/>
          <w:sz w:val="18"/>
        </w:rPr>
        <w:t> </w:t>
      </w:r>
      <w:r>
        <w:rPr>
          <w:sz w:val="18"/>
        </w:rPr>
        <w:t>distributions</w:t>
      </w:r>
      <w:r>
        <w:rPr>
          <w:spacing w:val="11"/>
          <w:sz w:val="18"/>
        </w:rPr>
        <w:t> </w:t>
      </w:r>
      <w:r>
        <w:rPr>
          <w:sz w:val="18"/>
        </w:rPr>
        <w:t>paid</w:t>
      </w:r>
      <w:r>
        <w:rPr>
          <w:spacing w:val="11"/>
          <w:sz w:val="18"/>
        </w:rPr>
        <w:t> </w:t>
      </w:r>
      <w:r>
        <w:rPr>
          <w:sz w:val="18"/>
        </w:rPr>
        <w:t>in</w:t>
      </w:r>
      <w:r>
        <w:rPr>
          <w:spacing w:val="11"/>
          <w:sz w:val="18"/>
        </w:rPr>
        <w:t> </w:t>
      </w:r>
      <w:r>
        <w:rPr>
          <w:sz w:val="18"/>
        </w:rPr>
        <w:t>2021,</w:t>
      </w:r>
      <w:r>
        <w:rPr>
          <w:spacing w:val="11"/>
          <w:sz w:val="18"/>
        </w:rPr>
        <w:t> </w:t>
      </w:r>
      <w:r>
        <w:rPr>
          <w:sz w:val="18"/>
        </w:rPr>
        <w:t>of</w:t>
      </w:r>
      <w:r>
        <w:rPr>
          <w:spacing w:val="11"/>
          <w:sz w:val="18"/>
        </w:rPr>
        <w:t> </w:t>
      </w:r>
      <w:r>
        <w:rPr>
          <w:sz w:val="18"/>
        </w:rPr>
        <w:t>which</w:t>
      </w:r>
      <w:r>
        <w:rPr>
          <w:spacing w:val="11"/>
          <w:sz w:val="18"/>
        </w:rPr>
        <w:t> </w:t>
      </w:r>
      <w:r>
        <w:rPr>
          <w:sz w:val="18"/>
        </w:rPr>
        <w:t>we</w:t>
      </w:r>
      <w:r>
        <w:rPr>
          <w:spacing w:val="11"/>
          <w:sz w:val="18"/>
        </w:rPr>
        <w:t> </w:t>
      </w:r>
      <w:r>
        <w:rPr>
          <w:sz w:val="18"/>
        </w:rPr>
        <w:t>received</w:t>
      </w:r>
      <w:r>
        <w:rPr>
          <w:spacing w:val="11"/>
          <w:sz w:val="18"/>
        </w:rPr>
        <w:t> </w:t>
      </w:r>
      <w:r>
        <w:rPr>
          <w:sz w:val="18"/>
        </w:rPr>
        <w:t>$243</w:t>
      </w:r>
      <w:r>
        <w:rPr>
          <w:spacing w:val="11"/>
          <w:sz w:val="18"/>
        </w:rPr>
        <w:t> </w:t>
      </w:r>
      <w:r>
        <w:rPr>
          <w:sz w:val="18"/>
        </w:rPr>
        <w:t>million</w:t>
      </w:r>
      <w:r>
        <w:rPr>
          <w:spacing w:val="11"/>
          <w:sz w:val="18"/>
        </w:rPr>
        <w:t> </w:t>
      </w:r>
      <w:r>
        <w:rPr>
          <w:sz w:val="18"/>
        </w:rPr>
        <w:t>and</w:t>
      </w:r>
      <w:r>
        <w:rPr>
          <w:spacing w:val="11"/>
          <w:sz w:val="18"/>
        </w:rPr>
        <w:t> </w:t>
      </w:r>
      <w:r>
        <w:rPr>
          <w:sz w:val="18"/>
        </w:rPr>
        <w:t>MGP received</w:t>
      </w:r>
      <w:r>
        <w:rPr>
          <w:spacing w:val="11"/>
          <w:sz w:val="18"/>
        </w:rPr>
        <w:t> </w:t>
      </w:r>
      <w:r>
        <w:rPr>
          <w:sz w:val="18"/>
        </w:rPr>
        <w:t>$302</w:t>
      </w:r>
      <w:r>
        <w:rPr>
          <w:spacing w:val="11"/>
          <w:sz w:val="18"/>
        </w:rPr>
        <w:t> </w:t>
      </w:r>
      <w:r>
        <w:rPr>
          <w:sz w:val="18"/>
        </w:rPr>
        <w:t>million,</w:t>
      </w:r>
      <w:r>
        <w:rPr>
          <w:spacing w:val="11"/>
          <w:sz w:val="18"/>
        </w:rPr>
        <w:t> </w:t>
      </w:r>
      <w:r>
        <w:rPr>
          <w:sz w:val="18"/>
        </w:rPr>
        <w:t>which</w:t>
      </w:r>
      <w:r>
        <w:rPr>
          <w:spacing w:val="11"/>
          <w:sz w:val="18"/>
        </w:rPr>
        <w:t> </w:t>
      </w:r>
      <w:r>
        <w:rPr>
          <w:sz w:val="18"/>
        </w:rPr>
        <w:t>MGP concurrently</w:t>
      </w:r>
      <w:r>
        <w:rPr>
          <w:spacing w:val="11"/>
          <w:sz w:val="18"/>
        </w:rPr>
        <w:t> </w:t>
      </w:r>
      <w:r>
        <w:rPr>
          <w:sz w:val="18"/>
        </w:rPr>
        <w:t>paid</w:t>
      </w:r>
      <w:r>
        <w:rPr>
          <w:spacing w:val="11"/>
          <w:sz w:val="18"/>
        </w:rPr>
        <w:t> </w:t>
      </w:r>
      <w:r>
        <w:rPr>
          <w:sz w:val="18"/>
        </w:rPr>
        <w:t>as</w:t>
      </w:r>
      <w:r>
        <w:rPr>
          <w:spacing w:val="11"/>
          <w:sz w:val="18"/>
        </w:rPr>
        <w:t> </w:t>
      </w:r>
      <w:r>
        <w:rPr>
          <w:sz w:val="18"/>
        </w:rPr>
        <w:t>a dividend to its Class A shareholders.</w:t>
      </w:r>
    </w:p>
    <w:p>
      <w:pPr>
        <w:pStyle w:val="BodyText"/>
        <w:spacing w:before="10"/>
      </w:pPr>
    </w:p>
    <w:p>
      <w:pPr>
        <w:spacing w:before="0"/>
        <w:ind w:left="394" w:right="0" w:firstLine="0"/>
        <w:jc w:val="left"/>
        <w:rPr>
          <w:i/>
          <w:sz w:val="18"/>
        </w:rPr>
      </w:pPr>
      <w:r>
        <w:rPr>
          <w:i/>
          <w:sz w:val="18"/>
        </w:rPr>
        <w:t>Other Factors</w:t>
      </w:r>
      <w:r>
        <w:rPr>
          <w:i/>
          <w:spacing w:val="-4"/>
          <w:sz w:val="18"/>
        </w:rPr>
        <w:t> </w:t>
      </w:r>
      <w:r>
        <w:rPr>
          <w:i/>
          <w:sz w:val="18"/>
        </w:rPr>
        <w:t>Affecting</w:t>
      </w:r>
      <w:r>
        <w:rPr>
          <w:i/>
          <w:spacing w:val="-1"/>
          <w:sz w:val="18"/>
        </w:rPr>
        <w:t> </w:t>
      </w:r>
      <w:r>
        <w:rPr>
          <w:i/>
          <w:sz w:val="18"/>
        </w:rPr>
        <w:t>Liquidity</w:t>
      </w:r>
      <w:r>
        <w:rPr>
          <w:i/>
          <w:spacing w:val="-1"/>
          <w:sz w:val="18"/>
        </w:rPr>
        <w:t> </w:t>
      </w:r>
      <w:r>
        <w:rPr>
          <w:i/>
          <w:sz w:val="18"/>
        </w:rPr>
        <w:t>and</w:t>
      </w:r>
      <w:r>
        <w:rPr>
          <w:i/>
          <w:spacing w:val="-4"/>
          <w:sz w:val="18"/>
        </w:rPr>
        <w:t> </w:t>
      </w:r>
      <w:r>
        <w:rPr>
          <w:i/>
          <w:sz w:val="18"/>
        </w:rPr>
        <w:t>Anticipated</w:t>
      </w:r>
      <w:r>
        <w:rPr>
          <w:i/>
          <w:spacing w:val="-1"/>
          <w:sz w:val="18"/>
        </w:rPr>
        <w:t> </w:t>
      </w:r>
      <w:r>
        <w:rPr>
          <w:i/>
          <w:sz w:val="18"/>
        </w:rPr>
        <w:t>Uses</w:t>
      </w:r>
      <w:r>
        <w:rPr>
          <w:i/>
          <w:spacing w:val="-1"/>
          <w:sz w:val="18"/>
        </w:rPr>
        <w:t> </w:t>
      </w:r>
      <w:r>
        <w:rPr>
          <w:i/>
          <w:sz w:val="18"/>
        </w:rPr>
        <w:t>of</w:t>
      </w:r>
      <w:r>
        <w:rPr>
          <w:i/>
          <w:spacing w:val="-1"/>
          <w:sz w:val="18"/>
        </w:rPr>
        <w:t> </w:t>
      </w:r>
      <w:r>
        <w:rPr>
          <w:i/>
          <w:spacing w:val="-4"/>
          <w:sz w:val="18"/>
        </w:rPr>
        <w:t>Cash</w:t>
      </w:r>
    </w:p>
    <w:p>
      <w:pPr>
        <w:pStyle w:val="BodyText"/>
        <w:spacing w:before="4"/>
        <w:rPr>
          <w:i/>
        </w:rPr>
      </w:pPr>
    </w:p>
    <w:p>
      <w:pPr>
        <w:pStyle w:val="BodyText"/>
        <w:spacing w:before="1"/>
        <w:ind w:left="144" w:right="118" w:firstLine="499"/>
        <w:jc w:val="both"/>
      </w:pPr>
      <w:r>
        <w:rPr/>
        <w:t>We require a certain amount of cash on hand to operate our resorts. In addition to required cash on hand for operations, we utilize corporate cash management</w:t>
      </w:r>
      <w:r>
        <w:rPr>
          <w:spacing w:val="-1"/>
        </w:rPr>
        <w:t> </w:t>
      </w:r>
      <w:r>
        <w:rPr/>
        <w:t>procedures</w:t>
      </w:r>
      <w:r>
        <w:rPr>
          <w:spacing w:val="-1"/>
        </w:rPr>
        <w:t> </w:t>
      </w:r>
      <w:r>
        <w:rPr/>
        <w:t>to</w:t>
      </w:r>
      <w:r>
        <w:rPr>
          <w:spacing w:val="-1"/>
        </w:rPr>
        <w:t> </w:t>
      </w:r>
      <w:r>
        <w:rPr/>
        <w:t>minimize</w:t>
      </w:r>
      <w:r>
        <w:rPr>
          <w:spacing w:val="-1"/>
        </w:rPr>
        <w:t> </w:t>
      </w:r>
      <w:r>
        <w:rPr/>
        <w:t>the</w:t>
      </w:r>
      <w:r>
        <w:rPr>
          <w:spacing w:val="-1"/>
        </w:rPr>
        <w:t> </w:t>
      </w:r>
      <w:r>
        <w:rPr/>
        <w:t>amount</w:t>
      </w:r>
      <w:r>
        <w:rPr>
          <w:spacing w:val="-1"/>
        </w:rPr>
        <w:t> </w:t>
      </w:r>
      <w:r>
        <w:rPr/>
        <w:t>of</w:t>
      </w:r>
      <w:r>
        <w:rPr>
          <w:spacing w:val="-1"/>
        </w:rPr>
        <w:t> </w:t>
      </w:r>
      <w:r>
        <w:rPr/>
        <w:t>cash</w:t>
      </w:r>
      <w:r>
        <w:rPr>
          <w:spacing w:val="-1"/>
        </w:rPr>
        <w:t> </w:t>
      </w:r>
      <w:r>
        <w:rPr/>
        <w:t>held</w:t>
      </w:r>
      <w:r>
        <w:rPr>
          <w:spacing w:val="-1"/>
        </w:rPr>
        <w:t> </w:t>
      </w:r>
      <w:r>
        <w:rPr/>
        <w:t>on</w:t>
      </w:r>
      <w:r>
        <w:rPr>
          <w:spacing w:val="-1"/>
        </w:rPr>
        <w:t> </w:t>
      </w:r>
      <w:r>
        <w:rPr/>
        <w:t>hand</w:t>
      </w:r>
      <w:r>
        <w:rPr>
          <w:spacing w:val="-1"/>
        </w:rPr>
        <w:t> </w:t>
      </w:r>
      <w:r>
        <w:rPr/>
        <w:t>or</w:t>
      </w:r>
      <w:r>
        <w:rPr>
          <w:spacing w:val="-1"/>
        </w:rPr>
        <w:t> </w:t>
      </w:r>
      <w:r>
        <w:rPr/>
        <w:t>in</w:t>
      </w:r>
      <w:r>
        <w:rPr>
          <w:spacing w:val="-1"/>
        </w:rPr>
        <w:t> </w:t>
      </w:r>
      <w:r>
        <w:rPr/>
        <w:t>banks.</w:t>
      </w:r>
      <w:r>
        <w:rPr>
          <w:spacing w:val="-1"/>
        </w:rPr>
        <w:t> </w:t>
      </w:r>
      <w:r>
        <w:rPr/>
        <w:t>Funds</w:t>
      </w:r>
      <w:r>
        <w:rPr>
          <w:spacing w:val="-1"/>
        </w:rPr>
        <w:t> </w:t>
      </w:r>
      <w:r>
        <w:rPr/>
        <w:t>are</w:t>
      </w:r>
      <w:r>
        <w:rPr>
          <w:spacing w:val="-1"/>
        </w:rPr>
        <w:t> </w:t>
      </w:r>
      <w:r>
        <w:rPr/>
        <w:t>swept</w:t>
      </w:r>
      <w:r>
        <w:rPr>
          <w:spacing w:val="-1"/>
        </w:rPr>
        <w:t> </w:t>
      </w:r>
      <w:r>
        <w:rPr/>
        <w:t>from</w:t>
      </w:r>
      <w:r>
        <w:rPr>
          <w:spacing w:val="-1"/>
        </w:rPr>
        <w:t> </w:t>
      </w:r>
      <w:r>
        <w:rPr/>
        <w:t>the</w:t>
      </w:r>
      <w:r>
        <w:rPr>
          <w:spacing w:val="-1"/>
        </w:rPr>
        <w:t> </w:t>
      </w:r>
      <w:r>
        <w:rPr/>
        <w:t>accounts</w:t>
      </w:r>
      <w:r>
        <w:rPr>
          <w:spacing w:val="-1"/>
        </w:rPr>
        <w:t> </w:t>
      </w:r>
      <w:r>
        <w:rPr/>
        <w:t>at</w:t>
      </w:r>
      <w:r>
        <w:rPr>
          <w:spacing w:val="-1"/>
        </w:rPr>
        <w:t> </w:t>
      </w:r>
      <w:r>
        <w:rPr/>
        <w:t>most</w:t>
      </w:r>
      <w:r>
        <w:rPr>
          <w:spacing w:val="-1"/>
        </w:rPr>
        <w:t> </w:t>
      </w:r>
      <w:r>
        <w:rPr/>
        <w:t>of</w:t>
      </w:r>
      <w:r>
        <w:rPr>
          <w:spacing w:val="-1"/>
        </w:rPr>
        <w:t> </w:t>
      </w:r>
      <w:r>
        <w:rPr/>
        <w:t>our</w:t>
      </w:r>
      <w:r>
        <w:rPr>
          <w:spacing w:val="-1"/>
        </w:rPr>
        <w:t> </w:t>
      </w:r>
      <w:r>
        <w:rPr/>
        <w:t>domestic</w:t>
      </w:r>
      <w:r>
        <w:rPr>
          <w:spacing w:val="-1"/>
        </w:rPr>
        <w:t> </w:t>
      </w:r>
      <w:r>
        <w:rPr/>
        <w:t>resorts</w:t>
      </w:r>
      <w:r>
        <w:rPr>
          <w:spacing w:val="-1"/>
        </w:rPr>
        <w:t> </w:t>
      </w:r>
      <w:r>
        <w:rPr/>
        <w:t>daily</w:t>
      </w:r>
      <w:r>
        <w:rPr>
          <w:spacing w:val="-1"/>
        </w:rPr>
        <w:t> </w:t>
      </w:r>
      <w:r>
        <w:rPr/>
        <w:t>into central bank accounts, and excess funds are invested overnight or are used to repay amounts drawn under our revolving credit facility. In addition, from time to time we may use excess funds to repurchase our outstanding debt and equity securities subject to limitations in our revolving credit facility and Delaware law, as applicable. We have significant outstanding debt, interest payments, rent payments, and contractual obligations in addition to planned capital expenditures and commitments.</w:t>
      </w:r>
    </w:p>
    <w:p>
      <w:pPr>
        <w:pStyle w:val="BodyText"/>
        <w:spacing w:before="12"/>
      </w:pPr>
    </w:p>
    <w:p>
      <w:pPr>
        <w:pStyle w:val="BodyText"/>
        <w:spacing w:line="235" w:lineRule="auto"/>
        <w:ind w:left="144" w:right="118" w:firstLine="499"/>
        <w:jc w:val="both"/>
      </w:pPr>
      <w:r>
        <w:rPr/>
        <w:t>As of December 31, 2022, we had cash and cash equivalents of $5.9 billion, of which MGM China held $860 million. In addition to the cash and cash equivalents, MGM China also had approximately $124 million of restricted cash.</w:t>
      </w:r>
    </w:p>
    <w:p>
      <w:pPr>
        <w:pStyle w:val="BodyText"/>
        <w:spacing w:before="22"/>
      </w:pPr>
    </w:p>
    <w:p>
      <w:pPr>
        <w:pStyle w:val="BodyText"/>
        <w:spacing w:line="235" w:lineRule="auto"/>
        <w:ind w:left="144" w:right="118" w:firstLine="499"/>
        <w:jc w:val="both"/>
      </w:pPr>
      <w:r>
        <w:rPr/>
        <w:t>At December 31, 2022, we had $8.8 billion in principal amount of indebtedness, including $1.2 billion outstanding under MGM China’s first </w:t>
      </w:r>
      <w:r>
        <w:rPr/>
        <w:t>revolving credit facility and $224 million outstanding under MGM China’s second revolving credit facility. No amounts were drawn on our revolving credit facility. </w:t>
      </w:r>
      <w:r>
        <w:rPr>
          <w:color w:val="202529"/>
        </w:rPr>
        <w:t>We have $1.3 billion of debt maturing in the next twelve months, which we expect to repay with cash on hand.</w:t>
      </w:r>
    </w:p>
    <w:p>
      <w:pPr>
        <w:pStyle w:val="BodyText"/>
        <w:spacing w:before="21"/>
      </w:pPr>
    </w:p>
    <w:p>
      <w:pPr>
        <w:pStyle w:val="BodyText"/>
        <w:spacing w:line="235" w:lineRule="auto"/>
        <w:ind w:left="144" w:right="118" w:firstLine="499"/>
        <w:jc w:val="both"/>
      </w:pPr>
      <w:r>
        <w:rPr>
          <w:color w:val="202529"/>
        </w:rPr>
        <w:t>Due to the continued impact of the COVID-19 pandemic, in February 2022, MGM China further amended each of its first revolving credit facility and</w:t>
      </w:r>
      <w:r>
        <w:rPr>
          <w:color w:val="202529"/>
          <w:spacing w:val="40"/>
        </w:rPr>
        <w:t> </w:t>
      </w:r>
      <w:r>
        <w:rPr>
          <w:color w:val="202529"/>
        </w:rPr>
        <w:t>its second revolving credit facility to extend the financial covenant waivers through maturity in May 2024.</w:t>
      </w:r>
    </w:p>
    <w:p>
      <w:pPr>
        <w:pStyle w:val="BodyText"/>
        <w:spacing w:before="5"/>
      </w:pPr>
    </w:p>
    <w:p>
      <w:pPr>
        <w:pStyle w:val="BodyText"/>
        <w:spacing w:line="242" w:lineRule="auto"/>
        <w:ind w:left="144" w:right="118" w:firstLine="499"/>
        <w:jc w:val="both"/>
      </w:pPr>
      <w:r>
        <w:rPr/>
        <w:t>Our estimated cash interest payments, based on principal amounts of debt outstanding and the contractual maturity dates and interest rates as of December 31, 2022, for 2023, 2024, and 2025 are approximately $230 million, $190 million, and $145 million, respectively, excluding MGM China, </w:t>
      </w:r>
      <w:r>
        <w:rPr/>
        <w:t>and approximately $480 million, $355 million, and $235 million, respectively, on a consolidated basis, which includes MGM China.</w:t>
      </w:r>
    </w:p>
    <w:p>
      <w:pPr>
        <w:pStyle w:val="BodyText"/>
        <w:spacing w:before="3"/>
      </w:pPr>
    </w:p>
    <w:p>
      <w:pPr>
        <w:pStyle w:val="BodyText"/>
        <w:ind w:left="144" w:right="118" w:firstLine="499"/>
        <w:jc w:val="both"/>
      </w:pPr>
      <w:r>
        <w:rPr/>
        <w:t>We are also required as of December 31, 2022 to make annual cash rent payments of $1.7 billion over the next twelve months under triple-net </w:t>
      </w:r>
      <w:r>
        <w:rPr/>
        <w:t>lease agreements, which triple-net leases are also subject to annual escalators and also require us to pay substantially all costs associated with the lease, including</w:t>
      </w:r>
      <w:r>
        <w:rPr>
          <w:spacing w:val="40"/>
        </w:rPr>
        <w:t> </w:t>
      </w:r>
      <w:r>
        <w:rPr/>
        <w:t>real estate taxes, ground lease payments, insurance, utilities and routine maintenance, in addition to the annual cash rent. See Note 11 for discussion of our leases and lease obligations.</w:t>
      </w:r>
    </w:p>
    <w:p>
      <w:pPr>
        <w:pStyle w:val="BodyText"/>
        <w:spacing w:before="20"/>
      </w:pPr>
    </w:p>
    <w:p>
      <w:pPr>
        <w:pStyle w:val="BodyText"/>
        <w:spacing w:line="237" w:lineRule="auto"/>
        <w:ind w:left="144" w:right="118" w:firstLine="499"/>
        <w:jc w:val="both"/>
      </w:pPr>
      <w:r>
        <w:rPr>
          <w:color w:val="202529"/>
        </w:rPr>
        <w:t>We</w:t>
      </w:r>
      <w:r>
        <w:rPr>
          <w:color w:val="202529"/>
          <w:spacing w:val="-3"/>
        </w:rPr>
        <w:t> </w:t>
      </w:r>
      <w:r>
        <w:rPr>
          <w:color w:val="202529"/>
        </w:rPr>
        <w:t>have</w:t>
      </w:r>
      <w:r>
        <w:rPr>
          <w:color w:val="202529"/>
          <w:spacing w:val="-3"/>
        </w:rPr>
        <w:t> </w:t>
      </w:r>
      <w:r>
        <w:rPr>
          <w:color w:val="202529"/>
        </w:rPr>
        <w:t>planned</w:t>
      </w:r>
      <w:r>
        <w:rPr>
          <w:color w:val="202529"/>
          <w:spacing w:val="-3"/>
        </w:rPr>
        <w:t> </w:t>
      </w:r>
      <w:r>
        <w:rPr>
          <w:color w:val="202529"/>
        </w:rPr>
        <w:t>capital</w:t>
      </w:r>
      <w:r>
        <w:rPr>
          <w:color w:val="202529"/>
          <w:spacing w:val="-3"/>
        </w:rPr>
        <w:t> </w:t>
      </w:r>
      <w:r>
        <w:rPr>
          <w:color w:val="202529"/>
        </w:rPr>
        <w:t>expenditures</w:t>
      </w:r>
      <w:r>
        <w:rPr>
          <w:color w:val="202529"/>
          <w:spacing w:val="-3"/>
        </w:rPr>
        <w:t> </w:t>
      </w:r>
      <w:r>
        <w:rPr>
          <w:color w:val="202529"/>
        </w:rPr>
        <w:t>in</w:t>
      </w:r>
      <w:r>
        <w:rPr>
          <w:color w:val="202529"/>
          <w:spacing w:val="-3"/>
        </w:rPr>
        <w:t> </w:t>
      </w:r>
      <w:r>
        <w:rPr>
          <w:color w:val="202529"/>
        </w:rPr>
        <w:t>2023</w:t>
      </w:r>
      <w:r>
        <w:rPr>
          <w:color w:val="202529"/>
          <w:spacing w:val="-3"/>
        </w:rPr>
        <w:t> </w:t>
      </w:r>
      <w:r>
        <w:rPr>
          <w:color w:val="202529"/>
        </w:rPr>
        <w:t>of</w:t>
      </w:r>
      <w:r>
        <w:rPr>
          <w:color w:val="202529"/>
          <w:spacing w:val="-3"/>
        </w:rPr>
        <w:t> </w:t>
      </w:r>
      <w:r>
        <w:rPr>
          <w:color w:val="202529"/>
        </w:rPr>
        <w:t>approximately</w:t>
      </w:r>
      <w:r>
        <w:rPr>
          <w:color w:val="202529"/>
          <w:spacing w:val="-3"/>
        </w:rPr>
        <w:t> </w:t>
      </w:r>
      <w:r>
        <w:rPr>
          <w:color w:val="202529"/>
        </w:rPr>
        <w:t>$795</w:t>
      </w:r>
      <w:r>
        <w:rPr>
          <w:color w:val="202529"/>
          <w:spacing w:val="-3"/>
        </w:rPr>
        <w:t> </w:t>
      </w:r>
      <w:r>
        <w:rPr>
          <w:color w:val="202529"/>
        </w:rPr>
        <w:t>million</w:t>
      </w:r>
      <w:r>
        <w:rPr>
          <w:color w:val="202529"/>
          <w:spacing w:val="-3"/>
        </w:rPr>
        <w:t> </w:t>
      </w:r>
      <w:r>
        <w:rPr>
          <w:color w:val="202529"/>
        </w:rPr>
        <w:t>to</w:t>
      </w:r>
      <w:r>
        <w:rPr>
          <w:color w:val="202529"/>
          <w:spacing w:val="-3"/>
        </w:rPr>
        <w:t> </w:t>
      </w:r>
      <w:r>
        <w:rPr>
          <w:color w:val="202529"/>
        </w:rPr>
        <w:t>$835</w:t>
      </w:r>
      <w:r>
        <w:rPr>
          <w:color w:val="202529"/>
          <w:spacing w:val="-3"/>
        </w:rPr>
        <w:t> </w:t>
      </w:r>
      <w:r>
        <w:rPr>
          <w:color w:val="202529"/>
        </w:rPr>
        <w:t>million</w:t>
      </w:r>
      <w:r>
        <w:rPr>
          <w:color w:val="202529"/>
          <w:spacing w:val="-3"/>
        </w:rPr>
        <w:t> </w:t>
      </w:r>
      <w:r>
        <w:rPr>
          <w:color w:val="202529"/>
        </w:rPr>
        <w:t>domestically,</w:t>
      </w:r>
      <w:r>
        <w:rPr>
          <w:color w:val="202529"/>
          <w:spacing w:val="-3"/>
        </w:rPr>
        <w:t> </w:t>
      </w:r>
      <w:r>
        <w:rPr/>
        <w:t>which</w:t>
      </w:r>
      <w:r>
        <w:rPr>
          <w:spacing w:val="-3"/>
        </w:rPr>
        <w:t> </w:t>
      </w:r>
      <w:r>
        <w:rPr/>
        <w:t>is</w:t>
      </w:r>
      <w:r>
        <w:rPr>
          <w:spacing w:val="-3"/>
        </w:rPr>
        <w:t> </w:t>
      </w:r>
      <w:r>
        <w:rPr/>
        <w:t>inclusive</w:t>
      </w:r>
      <w:r>
        <w:rPr>
          <w:spacing w:val="-3"/>
        </w:rPr>
        <w:t> </w:t>
      </w:r>
      <w:r>
        <w:rPr/>
        <w:t>of</w:t>
      </w:r>
      <w:r>
        <w:rPr>
          <w:spacing w:val="-3"/>
        </w:rPr>
        <w:t> </w:t>
      </w:r>
      <w:r>
        <w:rPr/>
        <w:t>the</w:t>
      </w:r>
      <w:r>
        <w:rPr>
          <w:spacing w:val="-3"/>
        </w:rPr>
        <w:t> </w:t>
      </w:r>
      <w:r>
        <w:rPr/>
        <w:t>capital</w:t>
      </w:r>
      <w:r>
        <w:rPr>
          <w:spacing w:val="-3"/>
        </w:rPr>
        <w:t> </w:t>
      </w:r>
      <w:r>
        <w:rPr/>
        <w:t>expenditures required under the triple-net lease agreements, each of which requires us to spend a specified percentage of net revenues at the respective domestic properties, and an estimate of approximately $110 million to $150 million at MGM China. Refer to Note 12 for discussion of MGM Grand Paradise’s commitment to investment in gaming and non-gaming projects and the development of international tourist markets as well as other contractual obligations pursuant to its gaming concession. The estimated amount of the investment for 2023 that relates to capital projects is included within the capital expenditure amounts above.</w:t>
      </w:r>
    </w:p>
    <w:p>
      <w:pPr>
        <w:pStyle w:val="BodyText"/>
        <w:spacing w:before="9"/>
      </w:pPr>
    </w:p>
    <w:p>
      <w:pPr>
        <w:pStyle w:val="BodyText"/>
        <w:spacing w:line="249" w:lineRule="auto"/>
        <w:ind w:left="144" w:right="117" w:firstLine="499"/>
        <w:jc w:val="both"/>
      </w:pPr>
      <w:r>
        <w:rPr/>
        <w:t>We additionally have </w:t>
      </w:r>
      <w:r>
        <w:rPr>
          <w:color w:val="202529"/>
        </w:rPr>
        <w:t>planned contributions to BetMGM in 2023 of approximately $75 million. </w:t>
      </w:r>
      <w:r>
        <w:rPr/>
        <w:t>We continue to explore potential development or investment opportunities, such as a commercial gaming facility in New</w:t>
      </w:r>
      <w:r>
        <w:rPr>
          <w:spacing w:val="-2"/>
        </w:rPr>
        <w:t> </w:t>
      </w:r>
      <w:r>
        <w:rPr/>
        <w:t>York and our venture in Japan, which may require cash commitments in the future.</w:t>
      </w:r>
    </w:p>
    <w:p>
      <w:pPr>
        <w:pStyle w:val="BodyText"/>
        <w:spacing w:before="204"/>
        <w:ind w:left="144" w:right="117" w:firstLine="499"/>
        <w:jc w:val="both"/>
      </w:pPr>
      <w:r>
        <w:rPr>
          <w:color w:val="202529"/>
        </w:rPr>
        <w:t>We also expect to continue to repurchase shares pursuant to our share repurchase plans. Subsequent to December 31, 2022, we repurchased approximately </w:t>
      </w:r>
      <w:r>
        <w:rPr/>
        <w:t>6 million </w:t>
      </w:r>
      <w:r>
        <w:rPr>
          <w:color w:val="202529"/>
        </w:rPr>
        <w:t>shares of our common stock at an average price of </w:t>
      </w:r>
      <w:r>
        <w:rPr/>
        <w:t>$38.12 </w:t>
      </w:r>
      <w:r>
        <w:rPr>
          <w:color w:val="202529"/>
        </w:rPr>
        <w:t>per share for an aggregate amount of </w:t>
      </w:r>
      <w:r>
        <w:rPr/>
        <w:t>$210 million</w:t>
      </w:r>
      <w:r>
        <w:rPr>
          <w:color w:val="202529"/>
        </w:rPr>
        <w:t>. Repurchased </w:t>
      </w:r>
      <w:r>
        <w:rPr>
          <w:color w:val="202529"/>
        </w:rPr>
        <w:t>shares</w:t>
      </w:r>
      <w:r>
        <w:rPr>
          <w:color w:val="202529"/>
          <w:spacing w:val="40"/>
        </w:rPr>
        <w:t> </w:t>
      </w:r>
      <w:r>
        <w:rPr>
          <w:color w:val="202529"/>
        </w:rPr>
        <w:t>were retired. </w:t>
      </w:r>
      <w:r>
        <w:rPr/>
        <w:t>On February 8, 2023, we announced that the Board of Directors has determined to suspend the ongoing dividends in light of our current preferred method of returning value to shareholders through our share repurchase plan.</w:t>
      </w:r>
      <w:r>
        <w:rPr>
          <w:spacing w:val="-1"/>
        </w:rPr>
        <w:t> </w:t>
      </w:r>
      <w:r>
        <w:rPr/>
        <w:t>To the extent we determine to reinstate the dividend in the future, determinations regarding the declaration and payment of dividends, if any, will be at the discretion of our board of directors and will depend on then-existing conditions, including our results of operations, financial condition, and other factors that our Board of Directors may deem relevant.</w:t>
      </w:r>
    </w:p>
    <w:p>
      <w:pPr>
        <w:pStyle w:val="BodyText"/>
      </w:pPr>
    </w:p>
    <w:p>
      <w:pPr>
        <w:pStyle w:val="BodyText"/>
      </w:pPr>
    </w:p>
    <w:p>
      <w:pPr>
        <w:pStyle w:val="BodyText"/>
        <w:spacing w:before="202"/>
      </w:pPr>
    </w:p>
    <w:p>
      <w:pPr>
        <w:pStyle w:val="BodyText"/>
        <w:ind w:left="24"/>
        <w:jc w:val="center"/>
      </w:pPr>
      <w:r>
        <w:rPr>
          <w:spacing w:val="-5"/>
        </w:rPr>
        <w:t>46</w:t>
      </w:r>
    </w:p>
    <w:p>
      <w:pPr>
        <w:pStyle w:val="BodyText"/>
        <w:spacing w:before="3"/>
        <w:rPr>
          <w:sz w:val="6"/>
        </w:rPr>
      </w:pPr>
      <w:r>
        <w:rPr/>
        <mc:AlternateContent>
          <mc:Choice Requires="wps">
            <w:drawing>
              <wp:anchor distT="0" distB="0" distL="0" distR="0" allowOverlap="1" layoutInCell="1" locked="0" behindDoc="1" simplePos="0" relativeHeight="487638016">
                <wp:simplePos x="0" y="0"/>
                <wp:positionH relativeFrom="page">
                  <wp:posOffset>231457</wp:posOffset>
                </wp:positionH>
                <wp:positionV relativeFrom="paragraph">
                  <wp:posOffset>60956</wp:posOffset>
                </wp:positionV>
                <wp:extent cx="7312659" cy="1714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7312659" cy="17145"/>
                          <a:chExt cx="7312659" cy="17145"/>
                        </a:xfrm>
                      </wpg:grpSpPr>
                      <wps:wsp>
                        <wps:cNvPr id="268" name="Graphic 2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69" name="Graphic 269"/>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70" name="Graphic 2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8464;mso-wrap-distance-left:0;mso-wrap-distance-right:0" id="docshapegroup265" coordorigin="364,96" coordsize="11516,27">
                <v:rect style="position:absolute;left:364;top:96;width:11516;height:14" id="docshape266" filled="true" fillcolor="#999999" stroked="false">
                  <v:fill type="solid"/>
                </v:rect>
                <v:shape style="position:absolute;left:364;top:96;width:11516;height:27" id="docshape267" coordorigin="364,96" coordsize="11516,27" path="m11880,96l11866,109,364,109,364,123,11866,123,11880,123,11880,109,11880,96xe" filled="true" fillcolor="#ededed" stroked="false">
                  <v:path arrowok="t"/>
                  <v:fill type="solid"/>
                </v:shape>
                <v:shape style="position:absolute;left:364;top:96;width:14;height:27" id="docshape268"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9" w:lineRule="auto" w:before="69"/>
        <w:ind w:left="144" w:right="118" w:firstLine="499"/>
        <w:jc w:val="both"/>
      </w:pPr>
      <w:r>
        <w:rPr/>
        <w:t>For additional information related to our long-term obligations, refer to the maturities of long-term debt table in Note 9 and the lease liability </w:t>
      </w:r>
      <w:r>
        <w:rPr/>
        <w:t>maturity table in Note 11.</w:t>
      </w:r>
    </w:p>
    <w:p>
      <w:pPr>
        <w:spacing w:before="204"/>
        <w:ind w:left="394" w:right="0" w:firstLine="0"/>
        <w:jc w:val="left"/>
        <w:rPr>
          <w:i/>
          <w:sz w:val="18"/>
        </w:rPr>
      </w:pPr>
      <w:r>
        <w:rPr>
          <w:i/>
          <w:sz w:val="18"/>
        </w:rPr>
        <w:t>Principal</w:t>
      </w:r>
      <w:r>
        <w:rPr>
          <w:i/>
          <w:spacing w:val="-1"/>
          <w:sz w:val="18"/>
        </w:rPr>
        <w:t> </w:t>
      </w:r>
      <w:r>
        <w:rPr>
          <w:i/>
          <w:sz w:val="18"/>
        </w:rPr>
        <w:t>Debt</w:t>
      </w:r>
      <w:r>
        <w:rPr>
          <w:i/>
          <w:spacing w:val="-4"/>
          <w:sz w:val="18"/>
        </w:rPr>
        <w:t> </w:t>
      </w:r>
      <w:r>
        <w:rPr>
          <w:i/>
          <w:spacing w:val="-2"/>
          <w:sz w:val="18"/>
        </w:rPr>
        <w:t>Arrangements</w:t>
      </w:r>
    </w:p>
    <w:p>
      <w:pPr>
        <w:pStyle w:val="BodyText"/>
        <w:spacing w:before="4"/>
        <w:rPr>
          <w:i/>
        </w:rPr>
      </w:pPr>
    </w:p>
    <w:p>
      <w:pPr>
        <w:pStyle w:val="BodyText"/>
        <w:spacing w:before="1"/>
        <w:ind w:left="644"/>
      </w:pPr>
      <w:r>
        <w:rPr/>
        <w:t>See</w:t>
      </w:r>
      <w:r>
        <w:rPr>
          <w:spacing w:val="-1"/>
        </w:rPr>
        <w:t> </w:t>
      </w:r>
      <w:r>
        <w:rPr/>
        <w:t>Note</w:t>
      </w:r>
      <w:r>
        <w:rPr>
          <w:spacing w:val="-1"/>
        </w:rPr>
        <w:t> </w:t>
      </w:r>
      <w:r>
        <w:rPr/>
        <w:t>9</w:t>
      </w:r>
      <w:r>
        <w:rPr>
          <w:spacing w:val="-1"/>
        </w:rPr>
        <w:t> </w:t>
      </w:r>
      <w:r>
        <w:rPr/>
        <w:t>to</w:t>
      </w:r>
      <w:r>
        <w:rPr>
          <w:spacing w:val="-1"/>
        </w:rPr>
        <w:t> </w:t>
      </w:r>
      <w:r>
        <w:rPr/>
        <w:t>the</w:t>
      </w:r>
      <w:r>
        <w:rPr>
          <w:spacing w:val="-1"/>
        </w:rPr>
        <w:t> </w:t>
      </w:r>
      <w:r>
        <w:rPr/>
        <w:t>accompanying</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information</w:t>
      </w:r>
      <w:r>
        <w:rPr>
          <w:spacing w:val="-1"/>
        </w:rPr>
        <w:t> </w:t>
      </w:r>
      <w:r>
        <w:rPr/>
        <w:t>regarding</w:t>
      </w:r>
      <w:r>
        <w:rPr>
          <w:spacing w:val="-1"/>
        </w:rPr>
        <w:t> </w:t>
      </w:r>
      <w:r>
        <w:rPr/>
        <w:t>our</w:t>
      </w:r>
      <w:r>
        <w:rPr>
          <w:spacing w:val="-1"/>
        </w:rPr>
        <w:t> </w:t>
      </w:r>
      <w:r>
        <w:rPr/>
        <w:t>debt</w:t>
      </w:r>
      <w:r>
        <w:rPr>
          <w:spacing w:val="-1"/>
        </w:rPr>
        <w:t> </w:t>
      </w:r>
      <w:r>
        <w:rPr/>
        <w:t>agreements</w:t>
      </w:r>
      <w:r>
        <w:rPr>
          <w:spacing w:val="-1"/>
        </w:rPr>
        <w:t> </w:t>
      </w:r>
      <w:r>
        <w:rPr/>
        <w:t>as</w:t>
      </w:r>
      <w:r>
        <w:rPr>
          <w:spacing w:val="-1"/>
        </w:rPr>
        <w:t> </w:t>
      </w:r>
      <w:r>
        <w:rPr/>
        <w:t>of</w:t>
      </w:r>
      <w:r>
        <w:rPr>
          <w:spacing w:val="-1"/>
        </w:rPr>
        <w:t> </w:t>
      </w:r>
      <w:r>
        <w:rPr/>
        <w:t>December</w:t>
      </w:r>
      <w:r>
        <w:rPr>
          <w:spacing w:val="-1"/>
        </w:rPr>
        <w:t> </w:t>
      </w:r>
      <w:r>
        <w:rPr/>
        <w:t>31,</w:t>
      </w:r>
      <w:r>
        <w:rPr>
          <w:spacing w:val="-1"/>
        </w:rPr>
        <w:t> </w:t>
      </w:r>
      <w:r>
        <w:rPr>
          <w:spacing w:val="-2"/>
        </w:rPr>
        <w:t>2022.</w:t>
      </w:r>
    </w:p>
    <w:p>
      <w:pPr>
        <w:pStyle w:val="BodyText"/>
        <w:spacing w:before="18"/>
      </w:pPr>
    </w:p>
    <w:p>
      <w:pPr>
        <w:pStyle w:val="Heading5"/>
        <w:jc w:val="both"/>
      </w:pPr>
      <w:r>
        <w:rPr/>
        <w:t>Critical</w:t>
      </w:r>
      <w:r>
        <w:rPr>
          <w:spacing w:val="-10"/>
        </w:rPr>
        <w:t> </w:t>
      </w:r>
      <w:r>
        <w:rPr/>
        <w:t>Accounting</w:t>
      </w:r>
      <w:r>
        <w:rPr>
          <w:spacing w:val="-1"/>
        </w:rPr>
        <w:t> </w:t>
      </w:r>
      <w:r>
        <w:rPr/>
        <w:t>Policies</w:t>
      </w:r>
      <w:r>
        <w:rPr>
          <w:spacing w:val="-1"/>
        </w:rPr>
        <w:t> </w:t>
      </w:r>
      <w:r>
        <w:rPr/>
        <w:t>and</w:t>
      </w:r>
      <w:r>
        <w:rPr>
          <w:spacing w:val="-1"/>
        </w:rPr>
        <w:t> </w:t>
      </w:r>
      <w:r>
        <w:rPr>
          <w:spacing w:val="-2"/>
        </w:rPr>
        <w:t>Estimates</w:t>
      </w:r>
    </w:p>
    <w:p>
      <w:pPr>
        <w:pStyle w:val="BodyText"/>
        <w:spacing w:before="4"/>
        <w:rPr>
          <w:b/>
        </w:rPr>
      </w:pPr>
    </w:p>
    <w:p>
      <w:pPr>
        <w:pStyle w:val="BodyText"/>
        <w:ind w:left="144" w:right="118" w:firstLine="499"/>
        <w:jc w:val="both"/>
      </w:pPr>
      <w:r>
        <w:rPr/>
        <w:t>Management’s</w:t>
      </w:r>
      <w:r>
        <w:rPr>
          <w:spacing w:val="-2"/>
        </w:rPr>
        <w:t> </w:t>
      </w:r>
      <w:r>
        <w:rPr/>
        <w:t>discussion</w:t>
      </w:r>
      <w:r>
        <w:rPr>
          <w:spacing w:val="-2"/>
        </w:rPr>
        <w:t> </w:t>
      </w:r>
      <w:r>
        <w:rPr/>
        <w:t>and</w:t>
      </w:r>
      <w:r>
        <w:rPr>
          <w:spacing w:val="-2"/>
        </w:rPr>
        <w:t> </w:t>
      </w:r>
      <w:r>
        <w:rPr/>
        <w:t>analysis</w:t>
      </w:r>
      <w:r>
        <w:rPr>
          <w:spacing w:val="-2"/>
        </w:rPr>
        <w:t> </w:t>
      </w:r>
      <w:r>
        <w:rPr/>
        <w:t>of</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and</w:t>
      </w:r>
      <w:r>
        <w:rPr>
          <w:spacing w:val="-2"/>
        </w:rPr>
        <w:t> </w:t>
      </w:r>
      <w:r>
        <w:rPr/>
        <w:t>liquidity</w:t>
      </w:r>
      <w:r>
        <w:rPr>
          <w:spacing w:val="-2"/>
        </w:rPr>
        <w:t> </w:t>
      </w:r>
      <w:r>
        <w:rPr/>
        <w:t>and</w:t>
      </w:r>
      <w:r>
        <w:rPr>
          <w:spacing w:val="-2"/>
        </w:rPr>
        <w:t> </w:t>
      </w:r>
      <w:r>
        <w:rPr/>
        <w:t>capital</w:t>
      </w:r>
      <w:r>
        <w:rPr>
          <w:spacing w:val="-2"/>
        </w:rPr>
        <w:t> </w:t>
      </w:r>
      <w:r>
        <w:rPr/>
        <w:t>resources</w:t>
      </w:r>
      <w:r>
        <w:rPr>
          <w:spacing w:val="-2"/>
        </w:rPr>
        <w:t> </w:t>
      </w:r>
      <w:r>
        <w:rPr/>
        <w:t>are</w:t>
      </w:r>
      <w:r>
        <w:rPr>
          <w:spacing w:val="-2"/>
        </w:rPr>
        <w:t> </w:t>
      </w:r>
      <w:r>
        <w:rPr/>
        <w:t>based</w:t>
      </w:r>
      <w:r>
        <w:rPr>
          <w:spacing w:val="-2"/>
        </w:rPr>
        <w:t> </w:t>
      </w:r>
      <w:r>
        <w:rPr/>
        <w:t>on</w:t>
      </w:r>
      <w:r>
        <w:rPr>
          <w:spacing w:val="-2"/>
        </w:rPr>
        <w:t> </w:t>
      </w:r>
      <w:r>
        <w:rPr/>
        <w:t>our</w:t>
      </w:r>
      <w:r>
        <w:rPr>
          <w:spacing w:val="-2"/>
        </w:rPr>
        <w:t> </w:t>
      </w:r>
      <w:r>
        <w:rPr/>
        <w:t>consolidated</w:t>
      </w:r>
      <w:r>
        <w:rPr>
          <w:spacing w:val="-2"/>
        </w:rPr>
        <w:t> </w:t>
      </w:r>
      <w:r>
        <w:rPr/>
        <w:t>financial</w:t>
      </w:r>
      <w:r>
        <w:rPr>
          <w:spacing w:val="-2"/>
        </w:rPr>
        <w:t> </w:t>
      </w:r>
      <w:r>
        <w:rPr/>
        <w:t>statements. To prepare our consolidated financial statements in accordance with accounting principles generally accepted in the United States of</w:t>
      </w:r>
      <w:r>
        <w:rPr>
          <w:spacing w:val="-3"/>
        </w:rPr>
        <w:t> </w:t>
      </w:r>
      <w:r>
        <w:rPr/>
        <w:t>America, we must make estimates and assumptions that affect the amounts reported in the consolidated financial statements. We regularly evaluate these estimates and assumptions, particularly in areas we consider to be critical accounting estimates, where the estimates and assumptions involve both a significant level of estimation uncertainty due to the levels of subjectivity and judgment necessary to account for the matters or the susceptibility of such matters to change is high and also have</w:t>
      </w:r>
      <w:r>
        <w:rPr>
          <w:spacing w:val="-2"/>
        </w:rPr>
        <w:t> </w:t>
      </w:r>
      <w:r>
        <w:rPr/>
        <w:t>had</w:t>
      </w:r>
      <w:r>
        <w:rPr>
          <w:spacing w:val="-2"/>
        </w:rPr>
        <w:t> </w:t>
      </w:r>
      <w:r>
        <w:rPr/>
        <w:t>or</w:t>
      </w:r>
      <w:r>
        <w:rPr>
          <w:spacing w:val="-2"/>
        </w:rPr>
        <w:t> </w:t>
      </w:r>
      <w:r>
        <w:rPr/>
        <w:t>are</w:t>
      </w:r>
      <w:r>
        <w:rPr>
          <w:spacing w:val="-2"/>
        </w:rPr>
        <w:t> </w:t>
      </w:r>
      <w:r>
        <w:rPr/>
        <w:t>reasonably</w:t>
      </w:r>
      <w:r>
        <w:rPr>
          <w:spacing w:val="-2"/>
        </w:rPr>
        <w:t> </w:t>
      </w:r>
      <w:r>
        <w:rPr/>
        <w:t>likely</w:t>
      </w:r>
      <w:r>
        <w:rPr>
          <w:spacing w:val="-2"/>
        </w:rPr>
        <w:t> </w:t>
      </w:r>
      <w:r>
        <w:rPr/>
        <w:t>to</w:t>
      </w:r>
      <w:r>
        <w:rPr>
          <w:spacing w:val="-2"/>
        </w:rPr>
        <w:t> </w:t>
      </w:r>
      <w:r>
        <w:rPr/>
        <w:t>have</w:t>
      </w:r>
      <w:r>
        <w:rPr>
          <w:spacing w:val="-2"/>
        </w:rPr>
        <w:t> </w:t>
      </w:r>
      <w:r>
        <w:rPr/>
        <w:t>a</w:t>
      </w:r>
      <w:r>
        <w:rPr>
          <w:spacing w:val="-2"/>
        </w:rPr>
        <w:t> </w:t>
      </w:r>
      <w:r>
        <w:rPr/>
        <w:t>material</w:t>
      </w:r>
      <w:r>
        <w:rPr>
          <w:spacing w:val="-2"/>
        </w:rPr>
        <w:t> </w:t>
      </w:r>
      <w:r>
        <w:rPr/>
        <w:t>effect</w:t>
      </w:r>
      <w:r>
        <w:rPr>
          <w:spacing w:val="-2"/>
        </w:rPr>
        <w:t> </w:t>
      </w:r>
      <w:r>
        <w:rPr/>
        <w:t>on</w:t>
      </w:r>
      <w:r>
        <w:rPr>
          <w:spacing w:val="-2"/>
        </w:rPr>
        <w:t> </w:t>
      </w:r>
      <w:r>
        <w:rPr/>
        <w:t>our</w:t>
      </w:r>
      <w:r>
        <w:rPr>
          <w:spacing w:val="-2"/>
        </w:rPr>
        <w:t> </w:t>
      </w:r>
      <w:r>
        <w:rPr/>
        <w:t>financial</w:t>
      </w:r>
      <w:r>
        <w:rPr>
          <w:spacing w:val="-2"/>
        </w:rPr>
        <w:t> </w:t>
      </w:r>
      <w:r>
        <w:rPr/>
        <w:t>condition</w:t>
      </w:r>
      <w:r>
        <w:rPr>
          <w:spacing w:val="-2"/>
        </w:rPr>
        <w:t> </w:t>
      </w:r>
      <w:r>
        <w:rPr/>
        <w:t>or</w:t>
      </w:r>
      <w:r>
        <w:rPr>
          <w:spacing w:val="-2"/>
        </w:rPr>
        <w:t> </w:t>
      </w:r>
      <w:r>
        <w:rPr/>
        <w:t>results</w:t>
      </w:r>
      <w:r>
        <w:rPr>
          <w:spacing w:val="-2"/>
        </w:rPr>
        <w:t> </w:t>
      </w:r>
      <w:r>
        <w:rPr/>
        <w:t>of</w:t>
      </w:r>
      <w:r>
        <w:rPr>
          <w:spacing w:val="-2"/>
        </w:rPr>
        <w:t> </w:t>
      </w:r>
      <w:r>
        <w:rPr/>
        <w:t>operations.</w:t>
      </w:r>
      <w:r>
        <w:rPr>
          <w:spacing w:val="-2"/>
        </w:rPr>
        <w:t> </w:t>
      </w:r>
      <w:r>
        <w:rPr/>
        <w:t>However,</w:t>
      </w:r>
      <w:r>
        <w:rPr>
          <w:spacing w:val="-2"/>
        </w:rPr>
        <w:t> </w:t>
      </w:r>
      <w:r>
        <w:rPr/>
        <w:t>by</w:t>
      </w:r>
      <w:r>
        <w:rPr>
          <w:spacing w:val="-2"/>
        </w:rPr>
        <w:t> </w:t>
      </w:r>
      <w:r>
        <w:rPr/>
        <w:t>their</w:t>
      </w:r>
      <w:r>
        <w:rPr>
          <w:spacing w:val="-2"/>
        </w:rPr>
        <w:t> </w:t>
      </w:r>
      <w:r>
        <w:rPr/>
        <w:t>nature,</w:t>
      </w:r>
      <w:r>
        <w:rPr>
          <w:spacing w:val="-2"/>
        </w:rPr>
        <w:t> </w:t>
      </w:r>
      <w:r>
        <w:rPr/>
        <w:t>judgments</w:t>
      </w:r>
      <w:r>
        <w:rPr>
          <w:spacing w:val="-2"/>
        </w:rPr>
        <w:t> </w:t>
      </w:r>
      <w:r>
        <w:rPr/>
        <w:t>are</w:t>
      </w:r>
      <w:r>
        <w:rPr>
          <w:spacing w:val="-2"/>
        </w:rPr>
        <w:t> </w:t>
      </w:r>
      <w:r>
        <w:rPr/>
        <w:t>subject</w:t>
      </w:r>
      <w:r>
        <w:rPr>
          <w:spacing w:val="-2"/>
        </w:rPr>
        <w:t> </w:t>
      </w:r>
      <w:r>
        <w:rPr/>
        <w:t>to an inherent degree of uncertainty and therefore actual results can differ from our estimates.</w:t>
      </w:r>
    </w:p>
    <w:p>
      <w:pPr>
        <w:pStyle w:val="BodyText"/>
        <w:spacing w:before="5"/>
      </w:pPr>
    </w:p>
    <w:p>
      <w:pPr>
        <w:spacing w:before="0"/>
        <w:ind w:left="394" w:right="0" w:firstLine="0"/>
        <w:jc w:val="left"/>
        <w:rPr>
          <w:i/>
          <w:sz w:val="18"/>
        </w:rPr>
      </w:pPr>
      <w:r>
        <w:rPr>
          <w:i/>
          <w:sz w:val="18"/>
        </w:rPr>
        <w:t>Loss</w:t>
      </w:r>
      <w:r>
        <w:rPr>
          <w:i/>
          <w:spacing w:val="-1"/>
          <w:sz w:val="18"/>
        </w:rPr>
        <w:t> </w:t>
      </w:r>
      <w:r>
        <w:rPr>
          <w:i/>
          <w:sz w:val="18"/>
        </w:rPr>
        <w:t>Reserve</w:t>
      </w:r>
      <w:r>
        <w:rPr>
          <w:i/>
          <w:spacing w:val="-1"/>
          <w:sz w:val="18"/>
        </w:rPr>
        <w:t> </w:t>
      </w:r>
      <w:r>
        <w:rPr>
          <w:i/>
          <w:sz w:val="18"/>
        </w:rPr>
        <w:t>for</w:t>
      </w:r>
      <w:r>
        <w:rPr>
          <w:i/>
          <w:spacing w:val="-1"/>
          <w:sz w:val="18"/>
        </w:rPr>
        <w:t> </w:t>
      </w:r>
      <w:r>
        <w:rPr>
          <w:i/>
          <w:sz w:val="18"/>
        </w:rPr>
        <w:t>Casino</w:t>
      </w:r>
      <w:r>
        <w:rPr>
          <w:i/>
          <w:spacing w:val="-1"/>
          <w:sz w:val="18"/>
        </w:rPr>
        <w:t> </w:t>
      </w:r>
      <w:r>
        <w:rPr>
          <w:i/>
          <w:spacing w:val="-2"/>
          <w:sz w:val="18"/>
        </w:rPr>
        <w:t>Receivables</w:t>
      </w:r>
    </w:p>
    <w:p>
      <w:pPr>
        <w:pStyle w:val="BodyText"/>
        <w:spacing w:before="4"/>
        <w:rPr>
          <w:i/>
        </w:rPr>
      </w:pPr>
    </w:p>
    <w:p>
      <w:pPr>
        <w:pStyle w:val="BodyText"/>
        <w:ind w:left="144" w:right="118" w:firstLine="499"/>
        <w:jc w:val="both"/>
      </w:pPr>
      <w:r>
        <w:rPr/>
        <w:t>Marker play represents a significant portion of the table games volume at certain of our Las Vegas resorts. Our other casinos do not emphasize marker play</w:t>
      </w:r>
      <w:r>
        <w:rPr>
          <w:spacing w:val="-2"/>
        </w:rPr>
        <w:t> </w:t>
      </w:r>
      <w:r>
        <w:rPr/>
        <w:t>to</w:t>
      </w:r>
      <w:r>
        <w:rPr>
          <w:spacing w:val="-2"/>
        </w:rPr>
        <w:t> </w:t>
      </w:r>
      <w:r>
        <w:rPr/>
        <w:t>the</w:t>
      </w:r>
      <w:r>
        <w:rPr>
          <w:spacing w:val="-2"/>
        </w:rPr>
        <w:t> </w:t>
      </w:r>
      <w:r>
        <w:rPr/>
        <w:t>same</w:t>
      </w:r>
      <w:r>
        <w:rPr>
          <w:spacing w:val="-2"/>
        </w:rPr>
        <w:t> </w:t>
      </w:r>
      <w:r>
        <w:rPr/>
        <w:t>extent,</w:t>
      </w:r>
      <w:r>
        <w:rPr>
          <w:spacing w:val="-2"/>
        </w:rPr>
        <w:t> </w:t>
      </w:r>
      <w:r>
        <w:rPr/>
        <w:t>although</w:t>
      </w:r>
      <w:r>
        <w:rPr>
          <w:spacing w:val="-2"/>
        </w:rPr>
        <w:t> </w:t>
      </w:r>
      <w:r>
        <w:rPr/>
        <w:t>we</w:t>
      </w:r>
      <w:r>
        <w:rPr>
          <w:spacing w:val="-2"/>
        </w:rPr>
        <w:t> </w:t>
      </w:r>
      <w:r>
        <w:rPr/>
        <w:t>offer</w:t>
      </w:r>
      <w:r>
        <w:rPr>
          <w:spacing w:val="-2"/>
        </w:rPr>
        <w:t> </w:t>
      </w:r>
      <w:r>
        <w:rPr/>
        <w:t>markers</w:t>
      </w:r>
      <w:r>
        <w:rPr>
          <w:spacing w:val="-2"/>
        </w:rPr>
        <w:t> </w:t>
      </w:r>
      <w:r>
        <w:rPr/>
        <w:t>to</w:t>
      </w:r>
      <w:r>
        <w:rPr>
          <w:spacing w:val="-2"/>
        </w:rPr>
        <w:t> </w:t>
      </w:r>
      <w:r>
        <w:rPr/>
        <w:t>customers</w:t>
      </w:r>
      <w:r>
        <w:rPr>
          <w:spacing w:val="-2"/>
        </w:rPr>
        <w:t> </w:t>
      </w:r>
      <w:r>
        <w:rPr/>
        <w:t>at</w:t>
      </w:r>
      <w:r>
        <w:rPr>
          <w:spacing w:val="-2"/>
        </w:rPr>
        <w:t> </w:t>
      </w:r>
      <w:r>
        <w:rPr/>
        <w:t>those</w:t>
      </w:r>
      <w:r>
        <w:rPr>
          <w:spacing w:val="-2"/>
        </w:rPr>
        <w:t> </w:t>
      </w:r>
      <w:r>
        <w:rPr/>
        <w:t>casinos</w:t>
      </w:r>
      <w:r>
        <w:rPr>
          <w:spacing w:val="-2"/>
        </w:rPr>
        <w:t> </w:t>
      </w:r>
      <w:r>
        <w:rPr/>
        <w:t>as</w:t>
      </w:r>
      <w:r>
        <w:rPr>
          <w:spacing w:val="-2"/>
        </w:rPr>
        <w:t> </w:t>
      </w:r>
      <w:r>
        <w:rPr/>
        <w:t>well.</w:t>
      </w:r>
      <w:r>
        <w:rPr>
          <w:spacing w:val="-2"/>
        </w:rPr>
        <w:t> </w:t>
      </w:r>
      <w:r>
        <w:rPr/>
        <w:t>MGM</w:t>
      </w:r>
      <w:r>
        <w:rPr>
          <w:spacing w:val="-2"/>
        </w:rPr>
        <w:t> </w:t>
      </w:r>
      <w:r>
        <w:rPr/>
        <w:t>China</w:t>
      </w:r>
      <w:r>
        <w:rPr>
          <w:spacing w:val="-2"/>
        </w:rPr>
        <w:t> </w:t>
      </w:r>
      <w:r>
        <w:rPr/>
        <w:t>extends</w:t>
      </w:r>
      <w:r>
        <w:rPr>
          <w:spacing w:val="-2"/>
        </w:rPr>
        <w:t> </w:t>
      </w:r>
      <w:r>
        <w:rPr/>
        <w:t>credit</w:t>
      </w:r>
      <w:r>
        <w:rPr>
          <w:spacing w:val="-2"/>
        </w:rPr>
        <w:t> </w:t>
      </w:r>
      <w:r>
        <w:rPr/>
        <w:t>to</w:t>
      </w:r>
      <w:r>
        <w:rPr>
          <w:spacing w:val="-2"/>
        </w:rPr>
        <w:t> </w:t>
      </w:r>
      <w:r>
        <w:rPr/>
        <w:t>certain</w:t>
      </w:r>
      <w:r>
        <w:rPr>
          <w:spacing w:val="-2"/>
        </w:rPr>
        <w:t> </w:t>
      </w:r>
      <w:r>
        <w:rPr/>
        <w:t>in-house</w:t>
      </w:r>
      <w:r>
        <w:rPr>
          <w:spacing w:val="-6"/>
        </w:rPr>
        <w:t> </w:t>
      </w:r>
      <w:r>
        <w:rPr/>
        <w:t>VIP</w:t>
      </w:r>
      <w:r>
        <w:rPr>
          <w:spacing w:val="-9"/>
        </w:rPr>
        <w:t> </w:t>
      </w:r>
      <w:r>
        <w:rPr/>
        <w:t>gaming</w:t>
      </w:r>
      <w:r>
        <w:rPr>
          <w:spacing w:val="-2"/>
        </w:rPr>
        <w:t> </w:t>
      </w:r>
      <w:r>
        <w:rPr/>
        <w:t>customers. We maintain strict controls over the issuance of markers and aggressively pursue collection from our customers who fail to pay their marker balances timely. These collection efforts are similar to those used by most large corporations when dealing with overdue customer accounts, including the mailing of statements and delinquency notices, personal contacts, the use of outside collection agencies and civil litigation. Markers are generally legally enforceable instruments in the United States and Macau. Markers are not legally enforceable instruments in some foreign countries, but the United States assets of foreign customers may be reached to satisfy judgments entered in the United States. We consider the likelihood and difficulty of enforceability, among other factors, when we issue credit to customers at our domestic resorts who are not residents of the United States. MGM China performs background checks and investigates credit worthiness prior to issuing credit.</w:t>
      </w:r>
    </w:p>
    <w:p>
      <w:pPr>
        <w:pStyle w:val="BodyText"/>
        <w:spacing w:before="9"/>
      </w:pPr>
    </w:p>
    <w:p>
      <w:pPr>
        <w:pStyle w:val="BodyText"/>
        <w:spacing w:before="1"/>
        <w:ind w:left="144" w:right="118" w:firstLine="499"/>
        <w:jc w:val="both"/>
      </w:pPr>
      <w:r>
        <w:rPr/>
        <w:t>We maintain a loss reserve for casino accounts at all of our operating casino resorts. Expected credit losses, an operating expense, increases the loss reserve. We regularly evaluate the loss reserve for casino accounts, which involves judgments and assumptions about realizability, current and expected </w:t>
      </w:r>
      <w:r>
        <w:rPr/>
        <w:t>future economic conditions in various geographies, and business conditions. At domestic resorts where marker play is not significant, the loss reserve is generally established by applying standard reserve percentages to aged account balances, which is supported by ongoing evaluation of relevant historical analysis and</w:t>
      </w:r>
      <w:r>
        <w:rPr>
          <w:spacing w:val="40"/>
        </w:rPr>
        <w:t> </w:t>
      </w:r>
      <w:r>
        <w:rPr/>
        <w:t>any other known information such as the current economic conditions that could drive losses.</w:t>
      </w:r>
      <w:r>
        <w:rPr>
          <w:spacing w:val="-1"/>
        </w:rPr>
        <w:t> </w:t>
      </w:r>
      <w:r>
        <w:rPr/>
        <w:t>At domestic resorts where marker play is significant, we apply standard</w:t>
      </w:r>
      <w:r>
        <w:rPr>
          <w:spacing w:val="-2"/>
        </w:rPr>
        <w:t> </w:t>
      </w:r>
      <w:r>
        <w:rPr/>
        <w:t>reserve</w:t>
      </w:r>
      <w:r>
        <w:rPr>
          <w:spacing w:val="-2"/>
        </w:rPr>
        <w:t> </w:t>
      </w:r>
      <w:r>
        <w:rPr/>
        <w:t>percentages</w:t>
      </w:r>
      <w:r>
        <w:rPr>
          <w:spacing w:val="-2"/>
        </w:rPr>
        <w:t> </w:t>
      </w:r>
      <w:r>
        <w:rPr/>
        <w:t>to</w:t>
      </w:r>
      <w:r>
        <w:rPr>
          <w:spacing w:val="-2"/>
        </w:rPr>
        <w:t> </w:t>
      </w:r>
      <w:r>
        <w:rPr/>
        <w:t>aged</w:t>
      </w:r>
      <w:r>
        <w:rPr>
          <w:spacing w:val="-2"/>
        </w:rPr>
        <w:t> </w:t>
      </w:r>
      <w:r>
        <w:rPr/>
        <w:t>account</w:t>
      </w:r>
      <w:r>
        <w:rPr>
          <w:spacing w:val="-2"/>
        </w:rPr>
        <w:t> </w:t>
      </w:r>
      <w:r>
        <w:rPr/>
        <w:t>balances</w:t>
      </w:r>
      <w:r>
        <w:rPr>
          <w:spacing w:val="-2"/>
        </w:rPr>
        <w:t> </w:t>
      </w:r>
      <w:r>
        <w:rPr/>
        <w:t>under</w:t>
      </w:r>
      <w:r>
        <w:rPr>
          <w:spacing w:val="-2"/>
        </w:rPr>
        <w:t> </w:t>
      </w:r>
      <w:r>
        <w:rPr/>
        <w:t>a</w:t>
      </w:r>
      <w:r>
        <w:rPr>
          <w:spacing w:val="-2"/>
        </w:rPr>
        <w:t> </w:t>
      </w:r>
      <w:r>
        <w:rPr/>
        <w:t>specified</w:t>
      </w:r>
      <w:r>
        <w:rPr>
          <w:spacing w:val="-2"/>
        </w:rPr>
        <w:t> </w:t>
      </w:r>
      <w:r>
        <w:rPr/>
        <w:t>dollar</w:t>
      </w:r>
      <w:r>
        <w:rPr>
          <w:spacing w:val="-2"/>
        </w:rPr>
        <w:t> </w:t>
      </w:r>
      <w:r>
        <w:rPr/>
        <w:t>amount</w:t>
      </w:r>
      <w:r>
        <w:rPr>
          <w:spacing w:val="-2"/>
        </w:rPr>
        <w:t> </w:t>
      </w:r>
      <w:r>
        <w:rPr/>
        <w:t>and</w:t>
      </w:r>
      <w:r>
        <w:rPr>
          <w:spacing w:val="-2"/>
        </w:rPr>
        <w:t> </w:t>
      </w:r>
      <w:r>
        <w:rPr/>
        <w:t>specifically</w:t>
      </w:r>
      <w:r>
        <w:rPr>
          <w:spacing w:val="-2"/>
        </w:rPr>
        <w:t> </w:t>
      </w:r>
      <w:r>
        <w:rPr/>
        <w:t>analyze</w:t>
      </w:r>
      <w:r>
        <w:rPr>
          <w:spacing w:val="-2"/>
        </w:rPr>
        <w:t> </w:t>
      </w:r>
      <w:r>
        <w:rPr/>
        <w:t>the</w:t>
      </w:r>
      <w:r>
        <w:rPr>
          <w:spacing w:val="-2"/>
        </w:rPr>
        <w:t> </w:t>
      </w:r>
      <w:r>
        <w:rPr/>
        <w:t>collectability</w:t>
      </w:r>
      <w:r>
        <w:rPr>
          <w:spacing w:val="-2"/>
        </w:rPr>
        <w:t> </w:t>
      </w:r>
      <w:r>
        <w:rPr/>
        <w:t>of</w:t>
      </w:r>
      <w:r>
        <w:rPr>
          <w:spacing w:val="-2"/>
        </w:rPr>
        <w:t> </w:t>
      </w:r>
      <w:r>
        <w:rPr/>
        <w:t>each</w:t>
      </w:r>
      <w:r>
        <w:rPr>
          <w:spacing w:val="-2"/>
        </w:rPr>
        <w:t> </w:t>
      </w:r>
      <w:r>
        <w:rPr/>
        <w:t>account</w:t>
      </w:r>
      <w:r>
        <w:rPr>
          <w:spacing w:val="-2"/>
        </w:rPr>
        <w:t> </w:t>
      </w:r>
      <w:r>
        <w:rPr/>
        <w:t>with</w:t>
      </w:r>
      <w:r>
        <w:rPr>
          <w:spacing w:val="-2"/>
        </w:rPr>
        <w:t> </w:t>
      </w:r>
      <w:r>
        <w:rPr/>
        <w:t>a</w:t>
      </w:r>
      <w:r>
        <w:rPr>
          <w:spacing w:val="-2"/>
        </w:rPr>
        <w:t> </w:t>
      </w:r>
      <w:r>
        <w:rPr/>
        <w:t>balance over</w:t>
      </w:r>
      <w:r>
        <w:rPr>
          <w:spacing w:val="-1"/>
        </w:rPr>
        <w:t> </w:t>
      </w:r>
      <w:r>
        <w:rPr/>
        <w:t>the</w:t>
      </w:r>
      <w:r>
        <w:rPr>
          <w:spacing w:val="-1"/>
        </w:rPr>
        <w:t> </w:t>
      </w:r>
      <w:r>
        <w:rPr/>
        <w:t>specified</w:t>
      </w:r>
      <w:r>
        <w:rPr>
          <w:spacing w:val="-1"/>
        </w:rPr>
        <w:t> </w:t>
      </w:r>
      <w:r>
        <w:rPr/>
        <w:t>dollar</w:t>
      </w:r>
      <w:r>
        <w:rPr>
          <w:spacing w:val="-1"/>
        </w:rPr>
        <w:t> </w:t>
      </w:r>
      <w:r>
        <w:rPr/>
        <w:t>amount,</w:t>
      </w:r>
      <w:r>
        <w:rPr>
          <w:spacing w:val="-1"/>
        </w:rPr>
        <w:t> </w:t>
      </w:r>
      <w:r>
        <w:rPr/>
        <w:t>based</w:t>
      </w:r>
      <w:r>
        <w:rPr>
          <w:spacing w:val="-1"/>
        </w:rPr>
        <w:t> </w:t>
      </w:r>
      <w:r>
        <w:rPr/>
        <w:t>on</w:t>
      </w:r>
      <w:r>
        <w:rPr>
          <w:spacing w:val="-1"/>
        </w:rPr>
        <w:t> </w:t>
      </w:r>
      <w:r>
        <w:rPr/>
        <w:t>the</w:t>
      </w:r>
      <w:r>
        <w:rPr>
          <w:spacing w:val="-1"/>
        </w:rPr>
        <w:t> </w:t>
      </w:r>
      <w:r>
        <w:rPr/>
        <w:t>age</w:t>
      </w:r>
      <w:r>
        <w:rPr>
          <w:spacing w:val="-1"/>
        </w:rPr>
        <w:t> </w:t>
      </w:r>
      <w:r>
        <w:rPr/>
        <w:t>of</w:t>
      </w:r>
      <w:r>
        <w:rPr>
          <w:spacing w:val="-1"/>
        </w:rPr>
        <w:t> </w:t>
      </w:r>
      <w:r>
        <w:rPr/>
        <w:t>the</w:t>
      </w:r>
      <w:r>
        <w:rPr>
          <w:spacing w:val="-1"/>
        </w:rPr>
        <w:t> </w:t>
      </w:r>
      <w:r>
        <w:rPr/>
        <w:t>account,</w:t>
      </w:r>
      <w:r>
        <w:rPr>
          <w:spacing w:val="-1"/>
        </w:rPr>
        <w:t> </w:t>
      </w:r>
      <w:r>
        <w:rPr/>
        <w:t>the</w:t>
      </w:r>
      <w:r>
        <w:rPr>
          <w:spacing w:val="-1"/>
        </w:rPr>
        <w:t> </w:t>
      </w:r>
      <w:r>
        <w:rPr/>
        <w:t>customer’s</w:t>
      </w:r>
      <w:r>
        <w:rPr>
          <w:spacing w:val="-1"/>
        </w:rPr>
        <w:t> </w:t>
      </w:r>
      <w:r>
        <w:rPr/>
        <w:t>current</w:t>
      </w:r>
      <w:r>
        <w:rPr>
          <w:spacing w:val="-1"/>
        </w:rPr>
        <w:t> </w:t>
      </w:r>
      <w:r>
        <w:rPr/>
        <w:t>and</w:t>
      </w:r>
      <w:r>
        <w:rPr>
          <w:spacing w:val="-1"/>
        </w:rPr>
        <w:t> </w:t>
      </w:r>
      <w:r>
        <w:rPr/>
        <w:t>expected</w:t>
      </w:r>
      <w:r>
        <w:rPr>
          <w:spacing w:val="-1"/>
        </w:rPr>
        <w:t> </w:t>
      </w:r>
      <w:r>
        <w:rPr/>
        <w:t>future</w:t>
      </w:r>
      <w:r>
        <w:rPr>
          <w:spacing w:val="-1"/>
        </w:rPr>
        <w:t> </w:t>
      </w:r>
      <w:r>
        <w:rPr/>
        <w:t>financial</w:t>
      </w:r>
      <w:r>
        <w:rPr>
          <w:spacing w:val="-1"/>
        </w:rPr>
        <w:t> </w:t>
      </w:r>
      <w:r>
        <w:rPr/>
        <w:t>condition,</w:t>
      </w:r>
      <w:r>
        <w:rPr>
          <w:spacing w:val="-1"/>
        </w:rPr>
        <w:t> </w:t>
      </w:r>
      <w:r>
        <w:rPr/>
        <w:t>collection</w:t>
      </w:r>
      <w:r>
        <w:rPr>
          <w:spacing w:val="-1"/>
        </w:rPr>
        <w:t> </w:t>
      </w:r>
      <w:r>
        <w:rPr/>
        <w:t>history,</w:t>
      </w:r>
      <w:r>
        <w:rPr>
          <w:spacing w:val="-1"/>
        </w:rPr>
        <w:t> </w:t>
      </w:r>
      <w:r>
        <w:rPr/>
        <w:t>and</w:t>
      </w:r>
      <w:r>
        <w:rPr>
          <w:spacing w:val="-1"/>
        </w:rPr>
        <w:t> </w:t>
      </w:r>
      <w:r>
        <w:rPr/>
        <w:t>current and expected future economic conditions. MGM China specifically analyzes the collectability of casino receivables on an individual basis taking into account the</w:t>
      </w:r>
      <w:r>
        <w:rPr>
          <w:spacing w:val="3"/>
        </w:rPr>
        <w:t> </w:t>
      </w:r>
      <w:r>
        <w:rPr/>
        <w:t>age</w:t>
      </w:r>
      <w:r>
        <w:rPr>
          <w:spacing w:val="4"/>
        </w:rPr>
        <w:t> </w:t>
      </w:r>
      <w:r>
        <w:rPr/>
        <w:t>of</w:t>
      </w:r>
      <w:r>
        <w:rPr>
          <w:spacing w:val="3"/>
        </w:rPr>
        <w:t> </w:t>
      </w:r>
      <w:r>
        <w:rPr/>
        <w:t>the</w:t>
      </w:r>
      <w:r>
        <w:rPr>
          <w:spacing w:val="4"/>
        </w:rPr>
        <w:t> </w:t>
      </w:r>
      <w:r>
        <w:rPr/>
        <w:t>account,</w:t>
      </w:r>
      <w:r>
        <w:rPr>
          <w:spacing w:val="3"/>
        </w:rPr>
        <w:t> </w:t>
      </w:r>
      <w:r>
        <w:rPr/>
        <w:t>the</w:t>
      </w:r>
      <w:r>
        <w:rPr>
          <w:spacing w:val="4"/>
        </w:rPr>
        <w:t> </w:t>
      </w:r>
      <w:r>
        <w:rPr/>
        <w:t>financial</w:t>
      </w:r>
      <w:r>
        <w:rPr>
          <w:spacing w:val="4"/>
        </w:rPr>
        <w:t> </w:t>
      </w:r>
      <w:r>
        <w:rPr/>
        <w:t>condition</w:t>
      </w:r>
      <w:r>
        <w:rPr>
          <w:spacing w:val="3"/>
        </w:rPr>
        <w:t> </w:t>
      </w:r>
      <w:r>
        <w:rPr/>
        <w:t>and</w:t>
      </w:r>
      <w:r>
        <w:rPr>
          <w:spacing w:val="4"/>
        </w:rPr>
        <w:t> </w:t>
      </w:r>
      <w:r>
        <w:rPr/>
        <w:t>the</w:t>
      </w:r>
      <w:r>
        <w:rPr>
          <w:spacing w:val="3"/>
        </w:rPr>
        <w:t> </w:t>
      </w:r>
      <w:r>
        <w:rPr/>
        <w:t>collection</w:t>
      </w:r>
      <w:r>
        <w:rPr>
          <w:spacing w:val="4"/>
        </w:rPr>
        <w:t> </w:t>
      </w:r>
      <w:r>
        <w:rPr/>
        <w:t>history</w:t>
      </w:r>
      <w:r>
        <w:rPr>
          <w:spacing w:val="3"/>
        </w:rPr>
        <w:t> </w:t>
      </w:r>
      <w:r>
        <w:rPr/>
        <w:t>of</w:t>
      </w:r>
      <w:r>
        <w:rPr>
          <w:spacing w:val="4"/>
        </w:rPr>
        <w:t> </w:t>
      </w:r>
      <w:r>
        <w:rPr/>
        <w:t>the</w:t>
      </w:r>
      <w:r>
        <w:rPr>
          <w:spacing w:val="4"/>
        </w:rPr>
        <w:t> </w:t>
      </w:r>
      <w:r>
        <w:rPr/>
        <w:t>customer.</w:t>
      </w:r>
      <w:r>
        <w:rPr>
          <w:spacing w:val="-7"/>
        </w:rPr>
        <w:t> </w:t>
      </w:r>
      <w:r>
        <w:rPr/>
        <w:t>Approximately</w:t>
      </w:r>
      <w:r>
        <w:rPr>
          <w:spacing w:val="4"/>
        </w:rPr>
        <w:t> </w:t>
      </w:r>
      <w:r>
        <w:rPr/>
        <w:t>$54</w:t>
      </w:r>
      <w:r>
        <w:rPr>
          <w:spacing w:val="3"/>
        </w:rPr>
        <w:t> </w:t>
      </w:r>
      <w:r>
        <w:rPr/>
        <w:t>million</w:t>
      </w:r>
      <w:r>
        <w:rPr>
          <w:spacing w:val="4"/>
        </w:rPr>
        <w:t> </w:t>
      </w:r>
      <w:r>
        <w:rPr/>
        <w:t>and</w:t>
      </w:r>
      <w:r>
        <w:rPr>
          <w:spacing w:val="4"/>
        </w:rPr>
        <w:t> </w:t>
      </w:r>
      <w:r>
        <w:rPr/>
        <w:t>$63</w:t>
      </w:r>
      <w:r>
        <w:rPr>
          <w:spacing w:val="3"/>
        </w:rPr>
        <w:t> </w:t>
      </w:r>
      <w:r>
        <w:rPr/>
        <w:t>million</w:t>
      </w:r>
      <w:r>
        <w:rPr>
          <w:spacing w:val="4"/>
        </w:rPr>
        <w:t> </w:t>
      </w:r>
      <w:r>
        <w:rPr/>
        <w:t>of</w:t>
      </w:r>
      <w:r>
        <w:rPr>
          <w:spacing w:val="3"/>
        </w:rPr>
        <w:t> </w:t>
      </w:r>
      <w:r>
        <w:rPr/>
        <w:t>casino</w:t>
      </w:r>
      <w:r>
        <w:rPr>
          <w:spacing w:val="4"/>
        </w:rPr>
        <w:t> </w:t>
      </w:r>
      <w:r>
        <w:rPr/>
        <w:t>receivables</w:t>
      </w:r>
      <w:r>
        <w:rPr>
          <w:spacing w:val="4"/>
        </w:rPr>
        <w:t> </w:t>
      </w:r>
      <w:r>
        <w:rPr>
          <w:spacing w:val="-5"/>
        </w:rPr>
        <w:t>and</w:t>
      </w:r>
    </w:p>
    <w:p>
      <w:pPr>
        <w:pStyle w:val="BodyText"/>
        <w:ind w:left="144"/>
        <w:jc w:val="both"/>
      </w:pPr>
      <w:r>
        <w:rPr/>
        <w:t>$25</w:t>
      </w:r>
      <w:r>
        <w:rPr>
          <w:spacing w:val="-3"/>
        </w:rPr>
        <w:t> </w:t>
      </w:r>
      <w:r>
        <w:rPr/>
        <w:t>million</w:t>
      </w:r>
      <w:r>
        <w:rPr>
          <w:spacing w:val="-1"/>
        </w:rPr>
        <w:t> </w:t>
      </w:r>
      <w:r>
        <w:rPr/>
        <w:t>and</w:t>
      </w:r>
      <w:r>
        <w:rPr>
          <w:spacing w:val="-1"/>
        </w:rPr>
        <w:t> </w:t>
      </w:r>
      <w:r>
        <w:rPr/>
        <w:t>$31</w:t>
      </w:r>
      <w:r>
        <w:rPr>
          <w:spacing w:val="-1"/>
        </w:rPr>
        <w:t> </w:t>
      </w:r>
      <w:r>
        <w:rPr/>
        <w:t>million</w:t>
      </w:r>
      <w:r>
        <w:rPr>
          <w:spacing w:val="-1"/>
        </w:rPr>
        <w:t> </w:t>
      </w:r>
      <w:r>
        <w:rPr/>
        <w:t>of</w:t>
      </w:r>
      <w:r>
        <w:rPr>
          <w:spacing w:val="-1"/>
        </w:rPr>
        <w:t> </w:t>
      </w:r>
      <w:r>
        <w:rPr/>
        <w:t>the</w:t>
      </w:r>
      <w:r>
        <w:rPr>
          <w:spacing w:val="-1"/>
        </w:rPr>
        <w:t> </w:t>
      </w:r>
      <w:r>
        <w:rPr/>
        <w:t>loss</w:t>
      </w:r>
      <w:r>
        <w:rPr>
          <w:spacing w:val="-1"/>
        </w:rPr>
        <w:t> </w:t>
      </w:r>
      <w:r>
        <w:rPr/>
        <w:t>reserve</w:t>
      </w:r>
      <w:r>
        <w:rPr>
          <w:spacing w:val="-1"/>
        </w:rPr>
        <w:t> </w:t>
      </w:r>
      <w:r>
        <w:rPr/>
        <w:t>for</w:t>
      </w:r>
      <w:r>
        <w:rPr>
          <w:spacing w:val="-1"/>
        </w:rPr>
        <w:t> </w:t>
      </w:r>
      <w:r>
        <w:rPr/>
        <w:t>casino</w:t>
      </w:r>
      <w:r>
        <w:rPr>
          <w:spacing w:val="-1"/>
        </w:rPr>
        <w:t> </w:t>
      </w:r>
      <w:r>
        <w:rPr/>
        <w:t>receivables</w:t>
      </w:r>
      <w:r>
        <w:rPr>
          <w:spacing w:val="-1"/>
        </w:rPr>
        <w:t> </w:t>
      </w:r>
      <w:r>
        <w:rPr/>
        <w:t>relate</w:t>
      </w:r>
      <w:r>
        <w:rPr>
          <w:spacing w:val="-1"/>
        </w:rPr>
        <w:t> </w:t>
      </w:r>
      <w:r>
        <w:rPr/>
        <w:t>to</w:t>
      </w:r>
      <w:r>
        <w:rPr>
          <w:spacing w:val="-1"/>
        </w:rPr>
        <w:t> </w:t>
      </w:r>
      <w:r>
        <w:rPr/>
        <w:t>MGM</w:t>
      </w:r>
      <w:r>
        <w:rPr>
          <w:spacing w:val="-1"/>
        </w:rPr>
        <w:t> </w:t>
      </w:r>
      <w:r>
        <w:rPr/>
        <w:t>China</w:t>
      </w:r>
      <w:r>
        <w:rPr>
          <w:spacing w:val="-1"/>
        </w:rPr>
        <w:t> </w:t>
      </w:r>
      <w:r>
        <w:rPr/>
        <w:t>at</w:t>
      </w:r>
      <w:r>
        <w:rPr>
          <w:spacing w:val="-1"/>
        </w:rPr>
        <w:t> </w:t>
      </w:r>
      <w:r>
        <w:rPr/>
        <w:t>December</w:t>
      </w:r>
      <w:r>
        <w:rPr>
          <w:spacing w:val="-1"/>
        </w:rPr>
        <w:t> </w:t>
      </w:r>
      <w:r>
        <w:rPr/>
        <w:t>31,</w:t>
      </w:r>
      <w:r>
        <w:rPr>
          <w:spacing w:val="-1"/>
        </w:rPr>
        <w:t> </w:t>
      </w:r>
      <w:r>
        <w:rPr/>
        <w:t>2022</w:t>
      </w:r>
      <w:r>
        <w:rPr>
          <w:spacing w:val="-1"/>
        </w:rPr>
        <w:t> </w:t>
      </w:r>
      <w:r>
        <w:rPr/>
        <w:t>and</w:t>
      </w:r>
      <w:r>
        <w:rPr>
          <w:spacing w:val="-1"/>
        </w:rPr>
        <w:t> </w:t>
      </w:r>
      <w:r>
        <w:rPr/>
        <w:t>2021,</w:t>
      </w:r>
      <w:r>
        <w:rPr>
          <w:spacing w:val="-1"/>
        </w:rPr>
        <w:t> </w:t>
      </w:r>
      <w:r>
        <w:rPr>
          <w:spacing w:val="-2"/>
        </w:rPr>
        <w:t>respectively.</w:t>
      </w:r>
    </w:p>
    <w:p>
      <w:pPr>
        <w:pStyle w:val="BodyText"/>
        <w:spacing w:before="18"/>
      </w:pPr>
    </w:p>
    <w:p>
      <w:pPr>
        <w:pStyle w:val="BodyText"/>
        <w:ind w:right="5192"/>
        <w:jc w:val="center"/>
      </w:pPr>
      <w:r>
        <w:rPr/>
        <w:t>The</w:t>
      </w:r>
      <w:r>
        <w:rPr>
          <w:spacing w:val="-1"/>
        </w:rPr>
        <w:t> </w:t>
      </w:r>
      <w:r>
        <w:rPr/>
        <w:t>following</w:t>
      </w:r>
      <w:r>
        <w:rPr>
          <w:spacing w:val="-1"/>
        </w:rPr>
        <w:t> </w:t>
      </w:r>
      <w:r>
        <w:rPr/>
        <w:t>table</w:t>
      </w:r>
      <w:r>
        <w:rPr>
          <w:spacing w:val="-1"/>
        </w:rPr>
        <w:t> </w:t>
      </w:r>
      <w:r>
        <w:rPr/>
        <w:t>shows</w:t>
      </w:r>
      <w:r>
        <w:rPr>
          <w:spacing w:val="-1"/>
        </w:rPr>
        <w:t> </w:t>
      </w:r>
      <w:r>
        <w:rPr/>
        <w:t>key</w:t>
      </w:r>
      <w:r>
        <w:rPr>
          <w:spacing w:val="-1"/>
        </w:rPr>
        <w:t> </w:t>
      </w:r>
      <w:r>
        <w:rPr/>
        <w:t>statistics</w:t>
      </w:r>
      <w:r>
        <w:rPr>
          <w:spacing w:val="-1"/>
        </w:rPr>
        <w:t> </w:t>
      </w:r>
      <w:r>
        <w:rPr/>
        <w:t>related</w:t>
      </w:r>
      <w:r>
        <w:rPr>
          <w:spacing w:val="-1"/>
        </w:rPr>
        <w:t> </w:t>
      </w:r>
      <w:r>
        <w:rPr/>
        <w:t>to</w:t>
      </w:r>
      <w:r>
        <w:rPr>
          <w:spacing w:val="-1"/>
        </w:rPr>
        <w:t> </w:t>
      </w:r>
      <w:r>
        <w:rPr/>
        <w:t>our</w:t>
      </w:r>
      <w:r>
        <w:rPr>
          <w:spacing w:val="-1"/>
        </w:rPr>
        <w:t> </w:t>
      </w:r>
      <w:r>
        <w:rPr/>
        <w:t>casino</w:t>
      </w:r>
      <w:r>
        <w:rPr>
          <w:spacing w:val="-1"/>
        </w:rPr>
        <w:t> </w:t>
      </w:r>
      <w:r>
        <w:rPr>
          <w:spacing w:val="-2"/>
        </w:rPr>
        <w:t>receivables:</w:t>
      </w:r>
    </w:p>
    <w:p>
      <w:pPr>
        <w:pStyle w:val="Heading5"/>
        <w:spacing w:before="49"/>
        <w:ind w:left="8139"/>
      </w:pPr>
      <w:r>
        <w:rPr/>
        <mc:AlternateContent>
          <mc:Choice Requires="wps">
            <w:drawing>
              <wp:anchor distT="0" distB="0" distL="0" distR="0" allowOverlap="1" layoutInCell="1" locked="0" behindDoc="1" simplePos="0" relativeHeight="487638528">
                <wp:simplePos x="0" y="0"/>
                <wp:positionH relativeFrom="page">
                  <wp:posOffset>5383517</wp:posOffset>
                </wp:positionH>
                <wp:positionV relativeFrom="paragraph">
                  <wp:posOffset>181079</wp:posOffset>
                </wp:positionV>
                <wp:extent cx="2160270" cy="889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2160270" cy="8890"/>
                        </a:xfrm>
                        <a:custGeom>
                          <a:avLst/>
                          <a:gdLst/>
                          <a:ahLst/>
                          <a:cxnLst/>
                          <a:rect l="l" t="t" r="r" b="b"/>
                          <a:pathLst>
                            <a:path w="2160270" h="8890">
                              <a:moveTo>
                                <a:pt x="2160270" y="0"/>
                              </a:moveTo>
                              <a:lnTo>
                                <a:pt x="2160270" y="0"/>
                              </a:lnTo>
                              <a:lnTo>
                                <a:pt x="0" y="0"/>
                              </a:lnTo>
                              <a:lnTo>
                                <a:pt x="0" y="8572"/>
                              </a:lnTo>
                              <a:lnTo>
                                <a:pt x="2160270" y="8572"/>
                              </a:lnTo>
                              <a:lnTo>
                                <a:pt x="21602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3.899017pt;margin-top:14.258213pt;width:170.100008pt;height:.675pt;mso-position-horizontal-relative:page;mso-position-vertical-relative:paragraph;z-index:-15677952;mso-wrap-distance-left:0;mso-wrap-distance-right:0" id="docshape269" filled="true" fillcolor="#000000" stroked="false">
                <v:fill type="solid"/>
                <w10:wrap type="topAndBottom"/>
              </v:rect>
            </w:pict>
          </mc:Fallback>
        </mc:AlternateContent>
      </w:r>
      <w:r>
        <w:rPr/>
        <w:t>December</w:t>
      </w:r>
      <w:r>
        <w:rPr>
          <w:spacing w:val="-4"/>
        </w:rPr>
        <w:t> </w:t>
      </w:r>
      <w:r>
        <w:rPr>
          <w:spacing w:val="-5"/>
        </w:rPr>
        <w:t>31,</w:t>
      </w:r>
    </w:p>
    <w:p>
      <w:pPr>
        <w:tabs>
          <w:tab w:pos="9896" w:val="left" w:leader="none"/>
        </w:tabs>
        <w:spacing w:before="21" w:after="29"/>
        <w:ind w:left="8138" w:right="0" w:firstLine="0"/>
        <w:jc w:val="center"/>
        <w:rPr>
          <w:b/>
          <w:sz w:val="18"/>
        </w:rPr>
      </w:pPr>
      <w:r>
        <w:rPr>
          <w:b/>
          <w:spacing w:val="-4"/>
          <w:sz w:val="18"/>
        </w:rPr>
        <w:t>2022</w:t>
      </w:r>
      <w:r>
        <w:rPr>
          <w:b/>
          <w:sz w:val="18"/>
        </w:rPr>
        <w:tab/>
      </w:r>
      <w:r>
        <w:rPr>
          <w:b/>
          <w:spacing w:val="-4"/>
          <w:sz w:val="18"/>
        </w:rPr>
        <w:t>2021</w:t>
      </w:r>
    </w:p>
    <w:p>
      <w:pPr>
        <w:pStyle w:val="BodyText"/>
        <w:spacing w:line="20" w:lineRule="exact"/>
        <w:ind w:left="8258"/>
        <w:rPr>
          <w:sz w:val="2"/>
        </w:rPr>
      </w:pPr>
      <w:r>
        <w:rPr>
          <w:sz w:val="2"/>
        </w:rPr>
        <mc:AlternateContent>
          <mc:Choice Requires="wps">
            <w:drawing>
              <wp:inline distT="0" distB="0" distL="0" distR="0">
                <wp:extent cx="2160270" cy="8890"/>
                <wp:effectExtent l="0" t="0" r="0" b="0"/>
                <wp:docPr id="272" name="Group 272"/>
                <wp:cNvGraphicFramePr>
                  <a:graphicFrameLocks/>
                </wp:cNvGraphicFramePr>
                <a:graphic>
                  <a:graphicData uri="http://schemas.microsoft.com/office/word/2010/wordprocessingGroup">
                    <wpg:wgp>
                      <wpg:cNvPr id="272" name="Group 272"/>
                      <wpg:cNvGrpSpPr/>
                      <wpg:grpSpPr>
                        <a:xfrm>
                          <a:off x="0" y="0"/>
                          <a:ext cx="2160270" cy="8890"/>
                          <a:chExt cx="2160270" cy="8890"/>
                        </a:xfrm>
                      </wpg:grpSpPr>
                      <wps:wsp>
                        <wps:cNvPr id="273" name="Graphic 273"/>
                        <wps:cNvSpPr/>
                        <wps:spPr>
                          <a:xfrm>
                            <a:off x="-12" y="0"/>
                            <a:ext cx="2160270" cy="8890"/>
                          </a:xfrm>
                          <a:custGeom>
                            <a:avLst/>
                            <a:gdLst/>
                            <a:ahLst/>
                            <a:cxnLst/>
                            <a:rect l="l" t="t" r="r" b="b"/>
                            <a:pathLst>
                              <a:path w="2160270" h="8890">
                                <a:moveTo>
                                  <a:pt x="2160270" y="0"/>
                                </a:moveTo>
                                <a:lnTo>
                                  <a:pt x="2160270" y="0"/>
                                </a:lnTo>
                                <a:lnTo>
                                  <a:pt x="0" y="0"/>
                                </a:lnTo>
                                <a:lnTo>
                                  <a:pt x="0" y="8572"/>
                                </a:lnTo>
                                <a:lnTo>
                                  <a:pt x="2160270" y="8572"/>
                                </a:lnTo>
                                <a:lnTo>
                                  <a:pt x="21602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0.1pt;height:.7pt;mso-position-horizontal-relative:char;mso-position-vertical-relative:line" id="docshapegroup270" coordorigin="0,0" coordsize="3402,14">
                <v:rect style="position:absolute;left:-1;top:0;width:3402;height:14" id="docshape271" filled="true" fillcolor="#000000" stroked="false">
                  <v:fill type="solid"/>
                </v:rect>
              </v:group>
            </w:pict>
          </mc:Fallback>
        </mc:AlternateContent>
      </w:r>
      <w:r>
        <w:rPr>
          <w:sz w:val="2"/>
        </w:rPr>
      </w:r>
    </w:p>
    <w:p>
      <w:pPr>
        <w:spacing w:before="11" w:after="51"/>
        <w:ind w:left="8138"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9"/>
        <w:gridCol w:w="3636"/>
        <w:gridCol w:w="1701"/>
      </w:tblGrid>
      <w:tr>
        <w:trPr>
          <w:trHeight w:val="256" w:hRule="atLeast"/>
        </w:trPr>
        <w:tc>
          <w:tcPr>
            <w:tcW w:w="6179" w:type="dxa"/>
            <w:shd w:val="clear" w:color="auto" w:fill="CFF0FB"/>
          </w:tcPr>
          <w:p>
            <w:pPr>
              <w:pStyle w:val="TableParagraph"/>
              <w:ind w:left="17"/>
              <w:rPr>
                <w:sz w:val="18"/>
              </w:rPr>
            </w:pPr>
            <w:r>
              <w:rPr>
                <w:sz w:val="18"/>
              </w:rPr>
              <w:t>Casino</w:t>
            </w:r>
            <w:r>
              <w:rPr>
                <w:spacing w:val="-1"/>
                <w:sz w:val="18"/>
              </w:rPr>
              <w:t> </w:t>
            </w:r>
            <w:r>
              <w:rPr>
                <w:spacing w:val="-2"/>
                <w:sz w:val="18"/>
              </w:rPr>
              <w:t>receivables</w:t>
            </w:r>
          </w:p>
        </w:tc>
        <w:tc>
          <w:tcPr>
            <w:tcW w:w="3636" w:type="dxa"/>
            <w:shd w:val="clear" w:color="auto" w:fill="CFF0FB"/>
          </w:tcPr>
          <w:p>
            <w:pPr>
              <w:pStyle w:val="TableParagraph"/>
              <w:tabs>
                <w:tab w:pos="912" w:val="left" w:leader="none"/>
              </w:tabs>
              <w:ind w:right="182"/>
              <w:jc w:val="right"/>
              <w:rPr>
                <w:sz w:val="18"/>
              </w:rPr>
            </w:pPr>
            <w:r>
              <w:rPr>
                <w:spacing w:val="-10"/>
                <w:sz w:val="18"/>
              </w:rPr>
              <w:t>$</w:t>
            </w:r>
            <w:r>
              <w:rPr>
                <w:sz w:val="18"/>
              </w:rPr>
              <w:tab/>
            </w:r>
            <w:r>
              <w:rPr>
                <w:spacing w:val="-2"/>
                <w:sz w:val="18"/>
              </w:rPr>
              <w:t>500,986</w:t>
            </w:r>
          </w:p>
        </w:tc>
        <w:tc>
          <w:tcPr>
            <w:tcW w:w="1701" w:type="dxa"/>
            <w:shd w:val="clear" w:color="auto" w:fill="CFF0FB"/>
          </w:tcPr>
          <w:p>
            <w:pPr>
              <w:pStyle w:val="TableParagraph"/>
              <w:tabs>
                <w:tab w:pos="989" w:val="left" w:leader="none"/>
              </w:tabs>
              <w:ind w:left="75"/>
              <w:rPr>
                <w:sz w:val="18"/>
              </w:rPr>
            </w:pPr>
            <w:r>
              <w:rPr>
                <w:spacing w:val="-10"/>
                <w:sz w:val="18"/>
              </w:rPr>
              <w:t>$</w:t>
            </w:r>
            <w:r>
              <w:rPr>
                <w:sz w:val="18"/>
              </w:rPr>
              <w:tab/>
            </w:r>
            <w:r>
              <w:rPr>
                <w:spacing w:val="-2"/>
                <w:sz w:val="18"/>
              </w:rPr>
              <w:t>380,907</w:t>
            </w:r>
          </w:p>
        </w:tc>
      </w:tr>
      <w:tr>
        <w:trPr>
          <w:trHeight w:val="256" w:hRule="atLeast"/>
        </w:trPr>
        <w:tc>
          <w:tcPr>
            <w:tcW w:w="6179" w:type="dxa"/>
          </w:tcPr>
          <w:p>
            <w:pPr>
              <w:pStyle w:val="TableParagraph"/>
              <w:ind w:left="17"/>
              <w:rPr>
                <w:sz w:val="18"/>
              </w:rPr>
            </w:pPr>
            <w:r>
              <w:rPr>
                <w:sz w:val="18"/>
              </w:rPr>
              <w:t>Loss</w:t>
            </w:r>
            <w:r>
              <w:rPr>
                <w:spacing w:val="-1"/>
                <w:sz w:val="18"/>
              </w:rPr>
              <w:t> </w:t>
            </w:r>
            <w:r>
              <w:rPr>
                <w:sz w:val="18"/>
              </w:rPr>
              <w:t>reserve</w:t>
            </w:r>
            <w:r>
              <w:rPr>
                <w:spacing w:val="-1"/>
                <w:sz w:val="18"/>
              </w:rPr>
              <w:t> </w:t>
            </w:r>
            <w:r>
              <w:rPr>
                <w:sz w:val="18"/>
              </w:rPr>
              <w:t>for</w:t>
            </w:r>
            <w:r>
              <w:rPr>
                <w:spacing w:val="-1"/>
                <w:sz w:val="18"/>
              </w:rPr>
              <w:t> </w:t>
            </w:r>
            <w:r>
              <w:rPr>
                <w:sz w:val="18"/>
              </w:rPr>
              <w:t>casino</w:t>
            </w:r>
            <w:r>
              <w:rPr>
                <w:spacing w:val="-1"/>
                <w:sz w:val="18"/>
              </w:rPr>
              <w:t> </w:t>
            </w:r>
            <w:r>
              <w:rPr>
                <w:sz w:val="18"/>
              </w:rPr>
              <w:t>accounts</w:t>
            </w:r>
            <w:r>
              <w:rPr>
                <w:spacing w:val="-1"/>
                <w:sz w:val="18"/>
              </w:rPr>
              <w:t> </w:t>
            </w:r>
            <w:r>
              <w:rPr>
                <w:spacing w:val="-2"/>
                <w:sz w:val="18"/>
              </w:rPr>
              <w:t>receivable</w:t>
            </w:r>
          </w:p>
        </w:tc>
        <w:tc>
          <w:tcPr>
            <w:tcW w:w="3636" w:type="dxa"/>
          </w:tcPr>
          <w:p>
            <w:pPr>
              <w:pStyle w:val="TableParagraph"/>
              <w:ind w:right="182"/>
              <w:jc w:val="right"/>
              <w:rPr>
                <w:sz w:val="18"/>
              </w:rPr>
            </w:pPr>
            <w:r>
              <w:rPr>
                <w:spacing w:val="-2"/>
                <w:sz w:val="18"/>
              </w:rPr>
              <w:t>97,929</w:t>
            </w:r>
          </w:p>
        </w:tc>
        <w:tc>
          <w:tcPr>
            <w:tcW w:w="1701" w:type="dxa"/>
          </w:tcPr>
          <w:p>
            <w:pPr>
              <w:pStyle w:val="TableParagraph"/>
              <w:ind w:right="124"/>
              <w:jc w:val="right"/>
              <w:rPr>
                <w:sz w:val="18"/>
              </w:rPr>
            </w:pPr>
            <w:r>
              <w:rPr>
                <w:spacing w:val="-2"/>
                <w:sz w:val="18"/>
              </w:rPr>
              <w:t>117,539</w:t>
            </w:r>
          </w:p>
        </w:tc>
      </w:tr>
      <w:tr>
        <w:trPr>
          <w:trHeight w:val="256" w:hRule="atLeast"/>
        </w:trPr>
        <w:tc>
          <w:tcPr>
            <w:tcW w:w="6179" w:type="dxa"/>
            <w:shd w:val="clear" w:color="auto" w:fill="CFF0FB"/>
          </w:tcPr>
          <w:p>
            <w:pPr>
              <w:pStyle w:val="TableParagraph"/>
              <w:ind w:left="17"/>
              <w:rPr>
                <w:sz w:val="18"/>
              </w:rPr>
            </w:pPr>
            <w:r>
              <w:rPr>
                <w:sz w:val="18"/>
              </w:rPr>
              <w:t>Loss</w:t>
            </w:r>
            <w:r>
              <w:rPr>
                <w:spacing w:val="-1"/>
                <w:sz w:val="18"/>
              </w:rPr>
              <w:t> </w:t>
            </w:r>
            <w:r>
              <w:rPr>
                <w:sz w:val="18"/>
              </w:rPr>
              <w:t>reserve</w:t>
            </w:r>
            <w:r>
              <w:rPr>
                <w:spacing w:val="-1"/>
                <w:sz w:val="18"/>
              </w:rPr>
              <w:t> </w:t>
            </w:r>
            <w:r>
              <w:rPr>
                <w:sz w:val="18"/>
              </w:rPr>
              <w:t>as</w:t>
            </w:r>
            <w:r>
              <w:rPr>
                <w:spacing w:val="-1"/>
                <w:sz w:val="18"/>
              </w:rPr>
              <w:t> </w:t>
            </w:r>
            <w:r>
              <w:rPr>
                <w:sz w:val="18"/>
              </w:rPr>
              <w:t>a</w:t>
            </w:r>
            <w:r>
              <w:rPr>
                <w:spacing w:val="-1"/>
                <w:sz w:val="18"/>
              </w:rPr>
              <w:t> </w:t>
            </w:r>
            <w:r>
              <w:rPr>
                <w:sz w:val="18"/>
              </w:rPr>
              <w:t>percentage</w:t>
            </w:r>
            <w:r>
              <w:rPr>
                <w:spacing w:val="-1"/>
                <w:sz w:val="18"/>
              </w:rPr>
              <w:t> </w:t>
            </w:r>
            <w:r>
              <w:rPr>
                <w:sz w:val="18"/>
              </w:rPr>
              <w:t>of</w:t>
            </w:r>
            <w:r>
              <w:rPr>
                <w:spacing w:val="-1"/>
                <w:sz w:val="18"/>
              </w:rPr>
              <w:t> </w:t>
            </w:r>
            <w:r>
              <w:rPr>
                <w:sz w:val="18"/>
              </w:rPr>
              <w:t>casino</w:t>
            </w:r>
            <w:r>
              <w:rPr>
                <w:spacing w:val="-1"/>
                <w:sz w:val="18"/>
              </w:rPr>
              <w:t> </w:t>
            </w:r>
            <w:r>
              <w:rPr>
                <w:sz w:val="18"/>
              </w:rPr>
              <w:t>accounts</w:t>
            </w:r>
            <w:r>
              <w:rPr>
                <w:spacing w:val="-1"/>
                <w:sz w:val="18"/>
              </w:rPr>
              <w:t> </w:t>
            </w:r>
            <w:r>
              <w:rPr>
                <w:spacing w:val="-2"/>
                <w:sz w:val="18"/>
              </w:rPr>
              <w:t>receivable</w:t>
            </w:r>
          </w:p>
        </w:tc>
        <w:tc>
          <w:tcPr>
            <w:tcW w:w="3636" w:type="dxa"/>
            <w:shd w:val="clear" w:color="auto" w:fill="CFF0FB"/>
          </w:tcPr>
          <w:p>
            <w:pPr>
              <w:pStyle w:val="TableParagraph"/>
              <w:ind w:right="74"/>
              <w:jc w:val="right"/>
              <w:rPr>
                <w:sz w:val="18"/>
              </w:rPr>
            </w:pPr>
            <w:r>
              <w:rPr>
                <w:sz w:val="18"/>
              </w:rPr>
              <w:t>20</w:t>
            </w:r>
            <w:r>
              <w:rPr>
                <w:spacing w:val="3"/>
                <w:sz w:val="18"/>
              </w:rPr>
              <w:t> </w:t>
            </w:r>
            <w:r>
              <w:rPr>
                <w:spacing w:val="-10"/>
                <w:sz w:val="18"/>
              </w:rPr>
              <w:t>%</w:t>
            </w:r>
          </w:p>
        </w:tc>
        <w:tc>
          <w:tcPr>
            <w:tcW w:w="1701" w:type="dxa"/>
            <w:shd w:val="clear" w:color="auto" w:fill="CFF0FB"/>
          </w:tcPr>
          <w:p>
            <w:pPr>
              <w:pStyle w:val="TableParagraph"/>
              <w:ind w:right="16"/>
              <w:jc w:val="right"/>
              <w:rPr>
                <w:sz w:val="18"/>
              </w:rPr>
            </w:pPr>
            <w:r>
              <w:rPr>
                <w:sz w:val="18"/>
              </w:rPr>
              <w:t>31</w:t>
            </w:r>
            <w:r>
              <w:rPr>
                <w:spacing w:val="2"/>
                <w:sz w:val="18"/>
              </w:rPr>
              <w:t> </w:t>
            </w:r>
            <w:r>
              <w:rPr>
                <w:spacing w:val="-12"/>
                <w:sz w:val="18"/>
              </w:rPr>
              <w:t>%</w:t>
            </w:r>
          </w:p>
        </w:tc>
      </w:tr>
    </w:tbl>
    <w:p>
      <w:pPr>
        <w:pStyle w:val="BodyText"/>
        <w:spacing w:before="102"/>
        <w:rPr>
          <w:b/>
          <w:i/>
        </w:rPr>
      </w:pPr>
    </w:p>
    <w:p>
      <w:pPr>
        <w:pStyle w:val="BodyText"/>
        <w:spacing w:line="235" w:lineRule="auto"/>
        <w:ind w:left="144" w:right="118" w:firstLine="499"/>
        <w:jc w:val="both"/>
      </w:pPr>
      <w:r>
        <w:rPr/>
        <w:t>The loss reserve as a percentage of casino accounts receivable decreased in the current year primarily due to a decrease in the age of outstanding receivables. Because individual customer account balances can be significant, the loss reserve and credit losses can change significantly between periods, </w:t>
      </w:r>
      <w:r>
        <w:rPr/>
        <w:t>as information about a certain customer becomes</w:t>
      </w:r>
    </w:p>
    <w:p>
      <w:pPr>
        <w:pStyle w:val="BodyText"/>
      </w:pPr>
    </w:p>
    <w:p>
      <w:pPr>
        <w:pStyle w:val="BodyText"/>
        <w:spacing w:before="189"/>
      </w:pPr>
    </w:p>
    <w:p>
      <w:pPr>
        <w:pStyle w:val="BodyText"/>
        <w:ind w:left="24"/>
        <w:jc w:val="center"/>
      </w:pPr>
      <w:r>
        <w:rPr>
          <w:spacing w:val="-5"/>
        </w:rPr>
        <w:t>47</w:t>
      </w:r>
    </w:p>
    <w:p>
      <w:pPr>
        <w:pStyle w:val="BodyText"/>
        <w:spacing w:before="3"/>
        <w:rPr>
          <w:sz w:val="6"/>
        </w:rPr>
      </w:pPr>
      <w:r>
        <w:rPr/>
        <mc:AlternateContent>
          <mc:Choice Requires="wps">
            <w:drawing>
              <wp:anchor distT="0" distB="0" distL="0" distR="0" allowOverlap="1" layoutInCell="1" locked="0" behindDoc="1" simplePos="0" relativeHeight="487639552">
                <wp:simplePos x="0" y="0"/>
                <wp:positionH relativeFrom="page">
                  <wp:posOffset>231457</wp:posOffset>
                </wp:positionH>
                <wp:positionV relativeFrom="paragraph">
                  <wp:posOffset>60956</wp:posOffset>
                </wp:positionV>
                <wp:extent cx="7312659" cy="17145"/>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7312659" cy="17145"/>
                          <a:chExt cx="7312659" cy="17145"/>
                        </a:xfrm>
                      </wpg:grpSpPr>
                      <wps:wsp>
                        <wps:cNvPr id="275" name="Graphic 27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76" name="Graphic 276"/>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77" name="Graphic 27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6928;mso-wrap-distance-left:0;mso-wrap-distance-right:0" id="docshapegroup272" coordorigin="364,96" coordsize="11516,27">
                <v:rect style="position:absolute;left:364;top:96;width:11516;height:14" id="docshape273" filled="true" fillcolor="#999999" stroked="false">
                  <v:fill type="solid"/>
                </v:rect>
                <v:shape style="position:absolute;left:364;top:96;width:11516;height:27" id="docshape274" coordorigin="364,96" coordsize="11516,27" path="m11880,96l11866,109,364,109,364,123,11866,123,11880,123,11880,109,11880,96xe" filled="true" fillcolor="#ededed" stroked="false">
                  <v:path arrowok="t"/>
                  <v:fill type="solid"/>
                </v:shape>
                <v:shape style="position:absolute;left:364;top:96;width:14;height:27" id="docshape27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35" w:lineRule="auto" w:before="66"/>
        <w:ind w:left="144"/>
      </w:pPr>
      <w:r>
        <w:rPr/>
        <w:t>known or as changes in economic conditions occur.</w:t>
      </w:r>
      <w:r>
        <w:rPr>
          <w:spacing w:val="-3"/>
        </w:rPr>
        <w:t> </w:t>
      </w:r>
      <w:r>
        <w:rPr/>
        <w:t>At December 31, 2022, a 100 basis-point change in the loss reserve as a percentage of casino receivables would change income before income taxes by $5 million.</w:t>
      </w:r>
    </w:p>
    <w:p>
      <w:pPr>
        <w:pStyle w:val="BodyText"/>
        <w:spacing w:before="18"/>
      </w:pPr>
    </w:p>
    <w:p>
      <w:pPr>
        <w:spacing w:before="0"/>
        <w:ind w:left="394" w:right="0" w:firstLine="0"/>
        <w:jc w:val="left"/>
        <w:rPr>
          <w:i/>
          <w:sz w:val="18"/>
        </w:rPr>
      </w:pPr>
      <w:r>
        <w:rPr>
          <w:i/>
          <w:sz w:val="18"/>
        </w:rPr>
        <w:t>Fixed</w:t>
      </w:r>
      <w:r>
        <w:rPr>
          <w:i/>
          <w:spacing w:val="-4"/>
          <w:sz w:val="18"/>
        </w:rPr>
        <w:t> </w:t>
      </w:r>
      <w:r>
        <w:rPr>
          <w:i/>
          <w:sz w:val="18"/>
        </w:rPr>
        <w:t>Asset</w:t>
      </w:r>
      <w:r>
        <w:rPr>
          <w:i/>
          <w:spacing w:val="-1"/>
          <w:sz w:val="18"/>
        </w:rPr>
        <w:t> </w:t>
      </w:r>
      <w:r>
        <w:rPr>
          <w:i/>
          <w:spacing w:val="-2"/>
          <w:sz w:val="18"/>
        </w:rPr>
        <w:t>Capitalization</w:t>
      </w:r>
    </w:p>
    <w:p>
      <w:pPr>
        <w:pStyle w:val="BodyText"/>
        <w:spacing w:before="5"/>
        <w:rPr>
          <w:i/>
        </w:rPr>
      </w:pPr>
    </w:p>
    <w:p>
      <w:pPr>
        <w:pStyle w:val="BodyText"/>
        <w:ind w:left="144" w:right="119" w:firstLine="499"/>
        <w:jc w:val="both"/>
      </w:pPr>
      <w:r>
        <w:rPr/>
        <w:t>Property and equipment are stated at cost. A significant amount of our property and equipment was acquired through business combinations and </w:t>
      </w:r>
      <w:r>
        <w:rPr/>
        <w:t>was therefore recognized at fair value at the acquisition date. Maintenance and repairs that neither materially add to the value of the property nor appreciably prolong its life are charged to expense as incurred. When we construct assets, we capitalize direct costs of the project, including fees paid to architects and contractors, property taxes, and certain costs of our design and construction subsidiaries.</w:t>
      </w:r>
    </w:p>
    <w:p>
      <w:pPr>
        <w:pStyle w:val="BodyText"/>
        <w:spacing w:before="4"/>
      </w:pPr>
    </w:p>
    <w:p>
      <w:pPr>
        <w:pStyle w:val="BodyText"/>
        <w:spacing w:line="242" w:lineRule="auto" w:before="1"/>
        <w:ind w:left="144" w:right="118" w:firstLine="499"/>
        <w:jc w:val="both"/>
      </w:pPr>
      <w:r>
        <w:rPr/>
        <w:t>We must make estimates and assumptions when accounting for capital expenditures.</w:t>
      </w:r>
      <w:r>
        <w:rPr>
          <w:spacing w:val="-1"/>
        </w:rPr>
        <w:t> </w:t>
      </w:r>
      <w:r>
        <w:rPr/>
        <w:t>Whether an expenditure is considered a maintenance expense, or a capital asset is a matter of judgment. When constructing or purchasing assets, we must determine whether existing assets are being replaced or </w:t>
      </w:r>
      <w:r>
        <w:rPr/>
        <w:t>otherwise impaired, which also may be a matter of judgment. In addition, our depreciation expense is highly dependent on the assumptions we make about our assets’ estimated useful lives. We determine the estimated useful lives based on our experience with similar assets, engineering studies, and our estimate of the usage of the asset. Whenever events or circumstances occur which change the estimated useful life of an asset, we account for the change prospectively.</w:t>
      </w:r>
    </w:p>
    <w:p>
      <w:pPr>
        <w:pStyle w:val="BodyText"/>
        <w:spacing w:before="3"/>
      </w:pPr>
    </w:p>
    <w:p>
      <w:pPr>
        <w:spacing w:before="0"/>
        <w:ind w:left="394" w:right="0" w:firstLine="0"/>
        <w:jc w:val="left"/>
        <w:rPr>
          <w:i/>
          <w:sz w:val="18"/>
        </w:rPr>
      </w:pPr>
      <w:r>
        <w:rPr>
          <w:i/>
          <w:sz w:val="18"/>
        </w:rPr>
        <w:t>Impairment</w:t>
      </w:r>
      <w:r>
        <w:rPr>
          <w:i/>
          <w:spacing w:val="-1"/>
          <w:sz w:val="18"/>
        </w:rPr>
        <w:t> </w:t>
      </w:r>
      <w:r>
        <w:rPr>
          <w:i/>
          <w:sz w:val="18"/>
        </w:rPr>
        <w:t>of</w:t>
      </w:r>
      <w:r>
        <w:rPr>
          <w:i/>
          <w:spacing w:val="-1"/>
          <w:sz w:val="18"/>
        </w:rPr>
        <w:t> </w:t>
      </w:r>
      <w:r>
        <w:rPr>
          <w:i/>
          <w:sz w:val="18"/>
        </w:rPr>
        <w:t>Long-lived</w:t>
      </w:r>
      <w:r>
        <w:rPr>
          <w:i/>
          <w:spacing w:val="-4"/>
          <w:sz w:val="18"/>
        </w:rPr>
        <w:t> </w:t>
      </w:r>
      <w:r>
        <w:rPr>
          <w:i/>
          <w:sz w:val="18"/>
        </w:rPr>
        <w:t>Assets,</w:t>
      </w:r>
      <w:r>
        <w:rPr>
          <w:i/>
          <w:spacing w:val="-1"/>
          <w:sz w:val="18"/>
        </w:rPr>
        <w:t> </w:t>
      </w:r>
      <w:r>
        <w:rPr>
          <w:i/>
          <w:sz w:val="18"/>
        </w:rPr>
        <w:t>Goodwill</w:t>
      </w:r>
      <w:r>
        <w:rPr>
          <w:i/>
          <w:spacing w:val="-1"/>
          <w:sz w:val="18"/>
        </w:rPr>
        <w:t> </w:t>
      </w:r>
      <w:r>
        <w:rPr>
          <w:i/>
          <w:sz w:val="18"/>
        </w:rPr>
        <w:t>and</w:t>
      </w:r>
      <w:r>
        <w:rPr>
          <w:i/>
          <w:spacing w:val="-1"/>
          <w:sz w:val="18"/>
        </w:rPr>
        <w:t> </w:t>
      </w:r>
      <w:r>
        <w:rPr>
          <w:i/>
          <w:sz w:val="18"/>
        </w:rPr>
        <w:t>Indefinite-lived</w:t>
      </w:r>
      <w:r>
        <w:rPr>
          <w:i/>
          <w:spacing w:val="-1"/>
          <w:sz w:val="18"/>
        </w:rPr>
        <w:t> </w:t>
      </w:r>
      <w:r>
        <w:rPr>
          <w:i/>
          <w:sz w:val="18"/>
        </w:rPr>
        <w:t>Intangible</w:t>
      </w:r>
      <w:r>
        <w:rPr>
          <w:i/>
          <w:spacing w:val="-4"/>
          <w:sz w:val="18"/>
        </w:rPr>
        <w:t> </w:t>
      </w:r>
      <w:r>
        <w:rPr>
          <w:i/>
          <w:spacing w:val="-2"/>
          <w:sz w:val="18"/>
        </w:rPr>
        <w:t>Assets</w:t>
      </w:r>
    </w:p>
    <w:p>
      <w:pPr>
        <w:pStyle w:val="BodyText"/>
        <w:spacing w:before="4"/>
        <w:rPr>
          <w:i/>
        </w:rPr>
      </w:pPr>
    </w:p>
    <w:p>
      <w:pPr>
        <w:pStyle w:val="BodyText"/>
        <w:ind w:left="144" w:right="118" w:firstLine="499"/>
        <w:jc w:val="both"/>
      </w:pPr>
      <w:r>
        <w:rPr/>
        <w:t>We evaluate our property and equipment and other long-lived assets for impairment based on our classification as held for sale or to be held and </w:t>
      </w:r>
      <w:r>
        <w:rPr/>
        <w:t>used. Several criteria must be met before an asset is classified as held for sale, including that management with the appropriate authority commits to a plan to sell the asset</w:t>
      </w:r>
      <w:r>
        <w:rPr>
          <w:spacing w:val="-1"/>
        </w:rPr>
        <w:t> </w:t>
      </w:r>
      <w:r>
        <w:rPr/>
        <w:t>at</w:t>
      </w:r>
      <w:r>
        <w:rPr>
          <w:spacing w:val="-1"/>
        </w:rPr>
        <w:t> </w:t>
      </w:r>
      <w:r>
        <w:rPr/>
        <w:t>a</w:t>
      </w:r>
      <w:r>
        <w:rPr>
          <w:spacing w:val="-1"/>
        </w:rPr>
        <w:t> </w:t>
      </w:r>
      <w:r>
        <w:rPr/>
        <w:t>reasonable</w:t>
      </w:r>
      <w:r>
        <w:rPr>
          <w:spacing w:val="-1"/>
        </w:rPr>
        <w:t> </w:t>
      </w:r>
      <w:r>
        <w:rPr/>
        <w:t>price</w:t>
      </w:r>
      <w:r>
        <w:rPr>
          <w:spacing w:val="-1"/>
        </w:rPr>
        <w:t> </w:t>
      </w:r>
      <w:r>
        <w:rPr/>
        <w:t>in</w:t>
      </w:r>
      <w:r>
        <w:rPr>
          <w:spacing w:val="-1"/>
        </w:rPr>
        <w:t> </w:t>
      </w:r>
      <w:r>
        <w:rPr/>
        <w:t>relation</w:t>
      </w:r>
      <w:r>
        <w:rPr>
          <w:spacing w:val="-1"/>
        </w:rPr>
        <w:t> </w:t>
      </w:r>
      <w:r>
        <w:rPr/>
        <w:t>to</w:t>
      </w:r>
      <w:r>
        <w:rPr>
          <w:spacing w:val="-1"/>
        </w:rPr>
        <w:t> </w:t>
      </w:r>
      <w:r>
        <w:rPr/>
        <w:t>its</w:t>
      </w:r>
      <w:r>
        <w:rPr>
          <w:spacing w:val="-1"/>
        </w:rPr>
        <w:t> </w:t>
      </w:r>
      <w:r>
        <w:rPr/>
        <w:t>fair</w:t>
      </w:r>
      <w:r>
        <w:rPr>
          <w:spacing w:val="-1"/>
        </w:rPr>
        <w:t> </w:t>
      </w:r>
      <w:r>
        <w:rPr/>
        <w:t>value</w:t>
      </w:r>
      <w:r>
        <w:rPr>
          <w:spacing w:val="-1"/>
        </w:rPr>
        <w:t> </w:t>
      </w:r>
      <w:r>
        <w:rPr/>
        <w:t>and</w:t>
      </w:r>
      <w:r>
        <w:rPr>
          <w:spacing w:val="-1"/>
        </w:rPr>
        <w:t> </w:t>
      </w:r>
      <w:r>
        <w:rPr/>
        <w:t>is</w:t>
      </w:r>
      <w:r>
        <w:rPr>
          <w:spacing w:val="-1"/>
        </w:rPr>
        <w:t> </w:t>
      </w:r>
      <w:r>
        <w:rPr/>
        <w:t>actively</w:t>
      </w:r>
      <w:r>
        <w:rPr>
          <w:spacing w:val="-1"/>
        </w:rPr>
        <w:t> </w:t>
      </w:r>
      <w:r>
        <w:rPr/>
        <w:t>seeking</w:t>
      </w:r>
      <w:r>
        <w:rPr>
          <w:spacing w:val="-1"/>
        </w:rPr>
        <w:t> </w:t>
      </w:r>
      <w:r>
        <w:rPr/>
        <w:t>a</w:t>
      </w:r>
      <w:r>
        <w:rPr>
          <w:spacing w:val="-1"/>
        </w:rPr>
        <w:t> </w:t>
      </w:r>
      <w:r>
        <w:rPr/>
        <w:t>buyer.</w:t>
      </w:r>
      <w:r>
        <w:rPr>
          <w:spacing w:val="-1"/>
        </w:rPr>
        <w:t> </w:t>
      </w:r>
      <w:r>
        <w:rPr/>
        <w:t>For</w:t>
      </w:r>
      <w:r>
        <w:rPr>
          <w:spacing w:val="-1"/>
        </w:rPr>
        <w:t> </w:t>
      </w:r>
      <w:r>
        <w:rPr/>
        <w:t>assets</w:t>
      </w:r>
      <w:r>
        <w:rPr>
          <w:spacing w:val="-1"/>
        </w:rPr>
        <w:t> </w:t>
      </w:r>
      <w:r>
        <w:rPr/>
        <w:t>classified</w:t>
      </w:r>
      <w:r>
        <w:rPr>
          <w:spacing w:val="-1"/>
        </w:rPr>
        <w:t> </w:t>
      </w:r>
      <w:r>
        <w:rPr/>
        <w:t>as</w:t>
      </w:r>
      <w:r>
        <w:rPr>
          <w:spacing w:val="-1"/>
        </w:rPr>
        <w:t> </w:t>
      </w:r>
      <w:r>
        <w:rPr/>
        <w:t>held</w:t>
      </w:r>
      <w:r>
        <w:rPr>
          <w:spacing w:val="-1"/>
        </w:rPr>
        <w:t> </w:t>
      </w:r>
      <w:r>
        <w:rPr/>
        <w:t>for</w:t>
      </w:r>
      <w:r>
        <w:rPr>
          <w:spacing w:val="-1"/>
        </w:rPr>
        <w:t> </w:t>
      </w:r>
      <w:r>
        <w:rPr/>
        <w:t>sale,</w:t>
      </w:r>
      <w:r>
        <w:rPr>
          <w:spacing w:val="-1"/>
        </w:rPr>
        <w:t> </w:t>
      </w:r>
      <w:r>
        <w:rPr/>
        <w:t>we</w:t>
      </w:r>
      <w:r>
        <w:rPr>
          <w:spacing w:val="-1"/>
        </w:rPr>
        <w:t> </w:t>
      </w:r>
      <w:r>
        <w:rPr/>
        <w:t>recognize</w:t>
      </w:r>
      <w:r>
        <w:rPr>
          <w:spacing w:val="-1"/>
        </w:rPr>
        <w:t> </w:t>
      </w:r>
      <w:r>
        <w:rPr/>
        <w:t>the</w:t>
      </w:r>
      <w:r>
        <w:rPr>
          <w:spacing w:val="-1"/>
        </w:rPr>
        <w:t> </w:t>
      </w:r>
      <w:r>
        <w:rPr/>
        <w:t>asset</w:t>
      </w:r>
      <w:r>
        <w:rPr>
          <w:spacing w:val="-1"/>
        </w:rPr>
        <w:t> </w:t>
      </w:r>
      <w:r>
        <w:rPr/>
        <w:t>at</w:t>
      </w:r>
      <w:r>
        <w:rPr>
          <w:spacing w:val="-1"/>
        </w:rPr>
        <w:t> </w:t>
      </w:r>
      <w:r>
        <w:rPr/>
        <w:t>the</w:t>
      </w:r>
      <w:r>
        <w:rPr>
          <w:spacing w:val="-1"/>
        </w:rPr>
        <w:t> </w:t>
      </w:r>
      <w:r>
        <w:rPr/>
        <w:t>lower</w:t>
      </w:r>
      <w:r>
        <w:rPr>
          <w:spacing w:val="-1"/>
        </w:rPr>
        <w:t> </w:t>
      </w:r>
      <w:r>
        <w:rPr/>
        <w:t>of carrying value or fair market value less costs of disposal, as estimated based on comparable asset sales, offers received, or a discounted cash flow model. For assets to be held and used, we review for impairment whenever indicators of impairment exist. We then compare the estimated future cash flows of the asset,</w:t>
      </w:r>
      <w:r>
        <w:rPr>
          <w:spacing w:val="40"/>
        </w:rPr>
        <w:t> </w:t>
      </w:r>
      <w:r>
        <w:rPr/>
        <w:t>on an undiscounted basis, to the carrying value of the asset. If the undiscounted cash flows exceed the carrying value, no impairment is indicated. If the undiscounted</w:t>
      </w:r>
      <w:r>
        <w:rPr>
          <w:spacing w:val="-1"/>
        </w:rPr>
        <w:t> </w:t>
      </w:r>
      <w:r>
        <w:rPr/>
        <w:t>cash</w:t>
      </w:r>
      <w:r>
        <w:rPr>
          <w:spacing w:val="-1"/>
        </w:rPr>
        <w:t> </w:t>
      </w:r>
      <w:r>
        <w:rPr/>
        <w:t>flows</w:t>
      </w:r>
      <w:r>
        <w:rPr>
          <w:spacing w:val="-1"/>
        </w:rPr>
        <w:t> </w:t>
      </w:r>
      <w:r>
        <w:rPr/>
        <w:t>do</w:t>
      </w:r>
      <w:r>
        <w:rPr>
          <w:spacing w:val="-1"/>
        </w:rPr>
        <w:t> </w:t>
      </w:r>
      <w:r>
        <w:rPr/>
        <w:t>not</w:t>
      </w:r>
      <w:r>
        <w:rPr>
          <w:spacing w:val="-1"/>
        </w:rPr>
        <w:t> </w:t>
      </w:r>
      <w:r>
        <w:rPr/>
        <w:t>exceed</w:t>
      </w:r>
      <w:r>
        <w:rPr>
          <w:spacing w:val="-1"/>
        </w:rPr>
        <w:t> </w:t>
      </w:r>
      <w:r>
        <w:rPr/>
        <w:t>the</w:t>
      </w:r>
      <w:r>
        <w:rPr>
          <w:spacing w:val="-1"/>
        </w:rPr>
        <w:t> </w:t>
      </w:r>
      <w:r>
        <w:rPr/>
        <w:t>carrying</w:t>
      </w:r>
      <w:r>
        <w:rPr>
          <w:spacing w:val="-1"/>
        </w:rPr>
        <w:t> </w:t>
      </w:r>
      <w:r>
        <w:rPr/>
        <w:t>value,</w:t>
      </w:r>
      <w:r>
        <w:rPr>
          <w:spacing w:val="-1"/>
        </w:rPr>
        <w:t> </w:t>
      </w:r>
      <w:r>
        <w:rPr/>
        <w:t>then</w:t>
      </w:r>
      <w:r>
        <w:rPr>
          <w:spacing w:val="-1"/>
        </w:rPr>
        <w:t> </w:t>
      </w:r>
      <w:r>
        <w:rPr/>
        <w:t>an</w:t>
      </w:r>
      <w:r>
        <w:rPr>
          <w:spacing w:val="-1"/>
        </w:rPr>
        <w:t> </w:t>
      </w:r>
      <w:r>
        <w:rPr/>
        <w:t>impairment</w:t>
      </w:r>
      <w:r>
        <w:rPr>
          <w:spacing w:val="-1"/>
        </w:rPr>
        <w:t> </w:t>
      </w:r>
      <w:r>
        <w:rPr/>
        <w:t>is</w:t>
      </w:r>
      <w:r>
        <w:rPr>
          <w:spacing w:val="-1"/>
        </w:rPr>
        <w:t> </w:t>
      </w:r>
      <w:r>
        <w:rPr/>
        <w:t>recorded</w:t>
      </w:r>
      <w:r>
        <w:rPr>
          <w:spacing w:val="-1"/>
        </w:rPr>
        <w:t> </w:t>
      </w:r>
      <w:r>
        <w:rPr/>
        <w:t>based</w:t>
      </w:r>
      <w:r>
        <w:rPr>
          <w:spacing w:val="-1"/>
        </w:rPr>
        <w:t> </w:t>
      </w:r>
      <w:r>
        <w:rPr/>
        <w:t>on</w:t>
      </w:r>
      <w:r>
        <w:rPr>
          <w:spacing w:val="-1"/>
        </w:rPr>
        <w:t> </w:t>
      </w:r>
      <w:r>
        <w:rPr/>
        <w:t>the</w:t>
      </w:r>
      <w:r>
        <w:rPr>
          <w:spacing w:val="-1"/>
        </w:rPr>
        <w:t> </w:t>
      </w:r>
      <w:r>
        <w:rPr/>
        <w:t>fair</w:t>
      </w:r>
      <w:r>
        <w:rPr>
          <w:spacing w:val="-1"/>
        </w:rPr>
        <w:t> </w:t>
      </w:r>
      <w:r>
        <w:rPr/>
        <w:t>value</w:t>
      </w:r>
      <w:r>
        <w:rPr>
          <w:spacing w:val="-1"/>
        </w:rPr>
        <w:t> </w:t>
      </w:r>
      <w:r>
        <w:rPr/>
        <w:t>of</w:t>
      </w:r>
      <w:r>
        <w:rPr>
          <w:spacing w:val="-1"/>
        </w:rPr>
        <w:t> </w:t>
      </w:r>
      <w:r>
        <w:rPr/>
        <w:t>the</w:t>
      </w:r>
      <w:r>
        <w:rPr>
          <w:spacing w:val="-1"/>
        </w:rPr>
        <w:t> </w:t>
      </w:r>
      <w:r>
        <w:rPr/>
        <w:t>asset.</w:t>
      </w:r>
      <w:r>
        <w:rPr>
          <w:spacing w:val="-1"/>
        </w:rPr>
        <w:t> </w:t>
      </w:r>
      <w:r>
        <w:rPr/>
        <w:t>For</w:t>
      </w:r>
      <w:r>
        <w:rPr>
          <w:spacing w:val="-1"/>
        </w:rPr>
        <w:t> </w:t>
      </w:r>
      <w:r>
        <w:rPr/>
        <w:t>operating</w:t>
      </w:r>
      <w:r>
        <w:rPr>
          <w:spacing w:val="-1"/>
        </w:rPr>
        <w:t> </w:t>
      </w:r>
      <w:r>
        <w:rPr/>
        <w:t>assets,</w:t>
      </w:r>
      <w:r>
        <w:rPr>
          <w:spacing w:val="-1"/>
        </w:rPr>
        <w:t> </w:t>
      </w:r>
      <w:r>
        <w:rPr/>
        <w:t>fair</w:t>
      </w:r>
      <w:r>
        <w:rPr>
          <w:spacing w:val="-1"/>
        </w:rPr>
        <w:t> </w:t>
      </w:r>
      <w:r>
        <w:rPr/>
        <w:t>value</w:t>
      </w:r>
      <w:r>
        <w:rPr>
          <w:spacing w:val="-1"/>
        </w:rPr>
        <w:t> </w:t>
      </w:r>
      <w:r>
        <w:rPr/>
        <w:t>is typically measured using a discounted cash flow model whereby future cash flows are discounted using a weighted average cost of capital, developed using a standard capital asset pricing model, based on guideline companies in our industry. If an asset is still under development, future cash flows include remaining construction costs.</w:t>
      </w:r>
      <w:r>
        <w:rPr>
          <w:spacing w:val="-5"/>
        </w:rPr>
        <w:t> </w:t>
      </w:r>
      <w:r>
        <w:rPr/>
        <w:t>All recognized impairment losses, whether for assets to be held for sale or assets to be held and used, are recorded as operating expenses.</w:t>
      </w:r>
    </w:p>
    <w:p>
      <w:pPr>
        <w:pStyle w:val="BodyText"/>
        <w:spacing w:before="18"/>
      </w:pPr>
    </w:p>
    <w:p>
      <w:pPr>
        <w:pStyle w:val="BodyText"/>
        <w:spacing w:before="1"/>
        <w:ind w:left="144" w:right="118" w:firstLine="499"/>
        <w:jc w:val="both"/>
      </w:pPr>
      <w:r>
        <w:rPr/>
        <w:t>There are several estimates, assumptions and decisions in measuring impairments of long-lived assets. First, management must determine the usage </w:t>
      </w:r>
      <w:r>
        <w:rPr/>
        <w:t>of the asset. To the extent management decides that an asset will be sold, it is more likely that an impairment may be recognized. Assets must be tested at the lowest level for which identifiable cash flows exist. This means that some assets must be grouped, and management has some discretion in the grouping of assets. Future cash flow estimates are, by their nature, subjective and actual results may differ materially from our estimates.</w:t>
      </w:r>
    </w:p>
    <w:p>
      <w:pPr>
        <w:pStyle w:val="BodyText"/>
        <w:spacing w:before="4"/>
      </w:pPr>
    </w:p>
    <w:p>
      <w:pPr>
        <w:pStyle w:val="BodyText"/>
        <w:ind w:left="144" w:right="118" w:firstLine="499"/>
        <w:jc w:val="both"/>
      </w:pPr>
      <w:r>
        <w:rPr/>
        <w:t>On a quarterly basis, we review our major long-lived assets to determine if events have occurred or circumstances exist that indicate a potential impairment. Potential factors which could trigger an impairment include underperformance compared to historical or projected operating results, negative industry or economic factors, significant changes to our operating environment, or changes in intended use of the asset group. We estimate future cash </w:t>
      </w:r>
      <w:r>
        <w:rPr/>
        <w:t>flows using our internal budgets and probability weight cash flows in certain circumstances to consider alternative outcomes associated with recoverability of the asset group, including potential sale. Historically, undiscounted cash flows of our significant operating asset groups have exceeded their carrying values by a substantial margin.</w:t>
      </w:r>
    </w:p>
    <w:p>
      <w:pPr>
        <w:pStyle w:val="BodyText"/>
        <w:spacing w:before="9"/>
      </w:pPr>
    </w:p>
    <w:p>
      <w:pPr>
        <w:pStyle w:val="BodyText"/>
        <w:ind w:left="144" w:right="118" w:firstLine="499"/>
        <w:jc w:val="both"/>
      </w:pPr>
      <w:r>
        <w:rPr/>
        <w:t>We</w:t>
      </w:r>
      <w:r>
        <w:rPr>
          <w:spacing w:val="-1"/>
        </w:rPr>
        <w:t> </w:t>
      </w:r>
      <w:r>
        <w:rPr/>
        <w:t>review</w:t>
      </w:r>
      <w:r>
        <w:rPr>
          <w:spacing w:val="-1"/>
        </w:rPr>
        <w:t> </w:t>
      </w:r>
      <w:r>
        <w:rPr/>
        <w:t>indefinite-lived</w:t>
      </w:r>
      <w:r>
        <w:rPr>
          <w:spacing w:val="-1"/>
        </w:rPr>
        <w:t> </w:t>
      </w:r>
      <w:r>
        <w:rPr/>
        <w:t>intangible</w:t>
      </w:r>
      <w:r>
        <w:rPr>
          <w:spacing w:val="-1"/>
        </w:rPr>
        <w:t> </w:t>
      </w:r>
      <w:r>
        <w:rPr/>
        <w:t>assets</w:t>
      </w:r>
      <w:r>
        <w:rPr>
          <w:spacing w:val="-1"/>
        </w:rPr>
        <w:t> </w:t>
      </w:r>
      <w:r>
        <w:rPr/>
        <w:t>at</w:t>
      </w:r>
      <w:r>
        <w:rPr>
          <w:spacing w:val="-1"/>
        </w:rPr>
        <w:t> </w:t>
      </w:r>
      <w:r>
        <w:rPr/>
        <w:t>least</w:t>
      </w:r>
      <w:r>
        <w:rPr>
          <w:spacing w:val="-1"/>
        </w:rPr>
        <w:t> </w:t>
      </w:r>
      <w:r>
        <w:rPr/>
        <w:t>annually</w:t>
      </w:r>
      <w:r>
        <w:rPr>
          <w:spacing w:val="-1"/>
        </w:rPr>
        <w:t> </w:t>
      </w:r>
      <w:r>
        <w:rPr/>
        <w:t>and</w:t>
      </w:r>
      <w:r>
        <w:rPr>
          <w:spacing w:val="-1"/>
        </w:rPr>
        <w:t> </w:t>
      </w:r>
      <w:r>
        <w:rPr/>
        <w:t>between</w:t>
      </w:r>
      <w:r>
        <w:rPr>
          <w:spacing w:val="-1"/>
        </w:rPr>
        <w:t> </w:t>
      </w:r>
      <w:r>
        <w:rPr/>
        <w:t>annual</w:t>
      </w:r>
      <w:r>
        <w:rPr>
          <w:spacing w:val="-1"/>
        </w:rPr>
        <w:t> </w:t>
      </w:r>
      <w:r>
        <w:rPr/>
        <w:t>test</w:t>
      </w:r>
      <w:r>
        <w:rPr>
          <w:spacing w:val="-1"/>
        </w:rPr>
        <w:t> </w:t>
      </w:r>
      <w:r>
        <w:rPr/>
        <w:t>dates</w:t>
      </w:r>
      <w:r>
        <w:rPr>
          <w:spacing w:val="-1"/>
        </w:rPr>
        <w:t> </w:t>
      </w:r>
      <w:r>
        <w:rPr/>
        <w:t>in</w:t>
      </w:r>
      <w:r>
        <w:rPr>
          <w:spacing w:val="-1"/>
        </w:rPr>
        <w:t> </w:t>
      </w:r>
      <w:r>
        <w:rPr/>
        <w:t>certain</w:t>
      </w:r>
      <w:r>
        <w:rPr>
          <w:spacing w:val="-1"/>
        </w:rPr>
        <w:t> </w:t>
      </w:r>
      <w:r>
        <w:rPr/>
        <w:t>circumstances.</w:t>
      </w:r>
      <w:r>
        <w:rPr>
          <w:spacing w:val="-4"/>
        </w:rPr>
        <w:t> </w:t>
      </w:r>
      <w:r>
        <w:rPr/>
        <w:t>We</w:t>
      </w:r>
      <w:r>
        <w:rPr>
          <w:spacing w:val="-1"/>
        </w:rPr>
        <w:t> </w:t>
      </w:r>
      <w:r>
        <w:rPr/>
        <w:t>perform</w:t>
      </w:r>
      <w:r>
        <w:rPr>
          <w:spacing w:val="-1"/>
        </w:rPr>
        <w:t> </w:t>
      </w:r>
      <w:r>
        <w:rPr/>
        <w:t>our</w:t>
      </w:r>
      <w:r>
        <w:rPr>
          <w:spacing w:val="-1"/>
        </w:rPr>
        <w:t> </w:t>
      </w:r>
      <w:r>
        <w:rPr/>
        <w:t>annual</w:t>
      </w:r>
      <w:r>
        <w:rPr>
          <w:spacing w:val="-1"/>
        </w:rPr>
        <w:t> </w:t>
      </w:r>
      <w:r>
        <w:rPr/>
        <w:t>impairment test for indefinite-lived intangible assets in the fourth quarter of each fiscal year. Indefinite-lived intangible assets consist primarily of license rights </w:t>
      </w:r>
      <w:r>
        <w:rPr/>
        <w:t>and trademarks. For our 2022 annual impairment tests, we utilized the option to perform a qualitative (“step zero”) analysis for certain of our indefinite-lived intangibles and concluded it was more likely than not that the fair values of such intangibles exceeded their carrying values by a substantial margin. As discussed below, management makes significant judgments and estimates as part of these analyses. If certain future operating results do not meet current expectations it could cause carrying values of the intangibles to exceed their fair values in future periods, potentially resulting in an impairment charge.</w:t>
      </w:r>
    </w:p>
    <w:p>
      <w:pPr>
        <w:pStyle w:val="BodyText"/>
        <w:spacing w:before="9"/>
      </w:pPr>
    </w:p>
    <w:p>
      <w:pPr>
        <w:pStyle w:val="BodyText"/>
        <w:spacing w:line="242" w:lineRule="auto"/>
        <w:ind w:left="144" w:right="118" w:firstLine="499"/>
        <w:jc w:val="both"/>
      </w:pPr>
      <w:r>
        <w:rPr/>
        <w:t>We review goodwill at least annually and between annual test dates in certain circumstances. None of our reporting units incurred any goodwill impairment charges in 2022. For our 2022 annual impairment tests, we either utilized the option to perform a step zero analysis for certain of our </w:t>
      </w:r>
      <w:r>
        <w:rPr/>
        <w:t>reporting</w:t>
      </w:r>
      <w:r>
        <w:rPr>
          <w:spacing w:val="40"/>
        </w:rPr>
        <w:t> </w:t>
      </w:r>
      <w:r>
        <w:rPr/>
        <w:t>units and concluded it was more likely than not that the</w:t>
      </w:r>
    </w:p>
    <w:p>
      <w:pPr>
        <w:pStyle w:val="BodyText"/>
      </w:pPr>
    </w:p>
    <w:p>
      <w:pPr>
        <w:pStyle w:val="BodyText"/>
        <w:spacing w:before="188"/>
      </w:pPr>
    </w:p>
    <w:p>
      <w:pPr>
        <w:pStyle w:val="BodyText"/>
        <w:ind w:left="24"/>
        <w:jc w:val="center"/>
      </w:pPr>
      <w:r>
        <w:rPr>
          <w:spacing w:val="-5"/>
        </w:rPr>
        <w:t>48</w:t>
      </w:r>
    </w:p>
    <w:p>
      <w:pPr>
        <w:pStyle w:val="BodyText"/>
        <w:spacing w:before="3"/>
        <w:rPr>
          <w:sz w:val="6"/>
        </w:rPr>
      </w:pPr>
      <w:r>
        <w:rPr/>
        <mc:AlternateContent>
          <mc:Choice Requires="wps">
            <w:drawing>
              <wp:anchor distT="0" distB="0" distL="0" distR="0" allowOverlap="1" layoutInCell="1" locked="0" behindDoc="1" simplePos="0" relativeHeight="487640064">
                <wp:simplePos x="0" y="0"/>
                <wp:positionH relativeFrom="page">
                  <wp:posOffset>231457</wp:posOffset>
                </wp:positionH>
                <wp:positionV relativeFrom="paragraph">
                  <wp:posOffset>61080</wp:posOffset>
                </wp:positionV>
                <wp:extent cx="7312659" cy="17145"/>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7312659" cy="17145"/>
                          <a:chExt cx="7312659" cy="17145"/>
                        </a:xfrm>
                      </wpg:grpSpPr>
                      <wps:wsp>
                        <wps:cNvPr id="279" name="Graphic 27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80" name="Graphic 280"/>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1" name="Graphic 28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9512pt;width:575.8pt;height:1.35pt;mso-position-horizontal-relative:page;mso-position-vertical-relative:paragraph;z-index:-15676416;mso-wrap-distance-left:0;mso-wrap-distance-right:0" id="docshapegroup276" coordorigin="364,96" coordsize="11516,27">
                <v:rect style="position:absolute;left:364;top:96;width:11516;height:14" id="docshape277" filled="true" fillcolor="#999999" stroked="false">
                  <v:fill type="solid"/>
                </v:rect>
                <v:shape style="position:absolute;left:364;top:96;width:11516;height:27" id="docshape278" coordorigin="364,96" coordsize="11516,27" path="m11880,96l11866,110,364,110,364,123,11866,123,11880,123,11880,110,11880,96xe" filled="true" fillcolor="#ededed" stroked="false">
                  <v:path arrowok="t"/>
                  <v:fill type="solid"/>
                </v:shape>
                <v:shape style="position:absolute;left:364;top:96;width:14;height:27" id="docshape279"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69"/>
        <w:ind w:left="144" w:right="118"/>
        <w:jc w:val="both"/>
      </w:pPr>
      <w:r>
        <w:rPr/>
        <w:t>fair values of such reporting units exceeded their carrying values by a substantial margin or we elected to perform a quantitative analysis and the fair value </w:t>
      </w:r>
      <w:r>
        <w:rPr/>
        <w:t>of the reporting units exceeded their carrying value by a substantial margin. There are several estimates inherent in evaluating these assets for impairment. In particular, future cash flow estimates are, by their nature, subjective and actual results may differ materially from our estimates. If future operating results of</w:t>
      </w:r>
      <w:r>
        <w:rPr>
          <w:spacing w:val="40"/>
        </w:rPr>
        <w:t> </w:t>
      </w:r>
      <w:r>
        <w:rPr/>
        <w:t>our</w:t>
      </w:r>
      <w:r>
        <w:rPr>
          <w:spacing w:val="-1"/>
        </w:rPr>
        <w:t> </w:t>
      </w:r>
      <w:r>
        <w:rPr/>
        <w:t>reporting</w:t>
      </w:r>
      <w:r>
        <w:rPr>
          <w:spacing w:val="-1"/>
        </w:rPr>
        <w:t> </w:t>
      </w:r>
      <w:r>
        <w:rPr/>
        <w:t>units</w:t>
      </w:r>
      <w:r>
        <w:rPr>
          <w:spacing w:val="-1"/>
        </w:rPr>
        <w:t> </w:t>
      </w:r>
      <w:r>
        <w:rPr/>
        <w:t>do</w:t>
      </w:r>
      <w:r>
        <w:rPr>
          <w:spacing w:val="-1"/>
        </w:rPr>
        <w:t> </w:t>
      </w:r>
      <w:r>
        <w:rPr/>
        <w:t>not</w:t>
      </w:r>
      <w:r>
        <w:rPr>
          <w:spacing w:val="-1"/>
        </w:rPr>
        <w:t> </w:t>
      </w:r>
      <w:r>
        <w:rPr/>
        <w:t>meet</w:t>
      </w:r>
      <w:r>
        <w:rPr>
          <w:spacing w:val="-1"/>
        </w:rPr>
        <w:t> </w:t>
      </w:r>
      <w:r>
        <w:rPr/>
        <w:t>current</w:t>
      </w:r>
      <w:r>
        <w:rPr>
          <w:spacing w:val="-1"/>
        </w:rPr>
        <w:t> </w:t>
      </w:r>
      <w:r>
        <w:rPr/>
        <w:t>expectations</w:t>
      </w:r>
      <w:r>
        <w:rPr>
          <w:spacing w:val="-1"/>
        </w:rPr>
        <w:t> </w:t>
      </w:r>
      <w:r>
        <w:rPr/>
        <w:t>it</w:t>
      </w:r>
      <w:r>
        <w:rPr>
          <w:spacing w:val="-1"/>
        </w:rPr>
        <w:t> </w:t>
      </w:r>
      <w:r>
        <w:rPr/>
        <w:t>could</w:t>
      </w:r>
      <w:r>
        <w:rPr>
          <w:spacing w:val="-1"/>
        </w:rPr>
        <w:t> </w:t>
      </w:r>
      <w:r>
        <w:rPr/>
        <w:t>cause</w:t>
      </w:r>
      <w:r>
        <w:rPr>
          <w:spacing w:val="-1"/>
        </w:rPr>
        <w:t> </w:t>
      </w:r>
      <w:r>
        <w:rPr/>
        <w:t>carrying</w:t>
      </w:r>
      <w:r>
        <w:rPr>
          <w:spacing w:val="-1"/>
        </w:rPr>
        <w:t> </w:t>
      </w:r>
      <w:r>
        <w:rPr/>
        <w:t>values</w:t>
      </w:r>
      <w:r>
        <w:rPr>
          <w:spacing w:val="-1"/>
        </w:rPr>
        <w:t> </w:t>
      </w:r>
      <w:r>
        <w:rPr/>
        <w:t>of</w:t>
      </w:r>
      <w:r>
        <w:rPr>
          <w:spacing w:val="-1"/>
        </w:rPr>
        <w:t> </w:t>
      </w:r>
      <w:r>
        <w:rPr/>
        <w:t>our</w:t>
      </w:r>
      <w:r>
        <w:rPr>
          <w:spacing w:val="-1"/>
        </w:rPr>
        <w:t> </w:t>
      </w:r>
      <w:r>
        <w:rPr/>
        <w:t>reporting</w:t>
      </w:r>
      <w:r>
        <w:rPr>
          <w:spacing w:val="-1"/>
        </w:rPr>
        <w:t> </w:t>
      </w:r>
      <w:r>
        <w:rPr/>
        <w:t>units</w:t>
      </w:r>
      <w:r>
        <w:rPr>
          <w:spacing w:val="-1"/>
        </w:rPr>
        <w:t> </w:t>
      </w:r>
      <w:r>
        <w:rPr/>
        <w:t>to</w:t>
      </w:r>
      <w:r>
        <w:rPr>
          <w:spacing w:val="-1"/>
        </w:rPr>
        <w:t> </w:t>
      </w:r>
      <w:r>
        <w:rPr/>
        <w:t>exceed</w:t>
      </w:r>
      <w:r>
        <w:rPr>
          <w:spacing w:val="-1"/>
        </w:rPr>
        <w:t> </w:t>
      </w:r>
      <w:r>
        <w:rPr/>
        <w:t>their</w:t>
      </w:r>
      <w:r>
        <w:rPr>
          <w:spacing w:val="-1"/>
        </w:rPr>
        <w:t> </w:t>
      </w:r>
      <w:r>
        <w:rPr/>
        <w:t>fair</w:t>
      </w:r>
      <w:r>
        <w:rPr>
          <w:spacing w:val="-1"/>
        </w:rPr>
        <w:t> </w:t>
      </w:r>
      <w:r>
        <w:rPr/>
        <w:t>values</w:t>
      </w:r>
      <w:r>
        <w:rPr>
          <w:spacing w:val="-1"/>
        </w:rPr>
        <w:t> </w:t>
      </w:r>
      <w:r>
        <w:rPr/>
        <w:t>in</w:t>
      </w:r>
      <w:r>
        <w:rPr>
          <w:spacing w:val="-1"/>
        </w:rPr>
        <w:t> </w:t>
      </w:r>
      <w:r>
        <w:rPr/>
        <w:t>future</w:t>
      </w:r>
      <w:r>
        <w:rPr>
          <w:spacing w:val="-1"/>
        </w:rPr>
        <w:t> </w:t>
      </w:r>
      <w:r>
        <w:rPr/>
        <w:t>periods,</w:t>
      </w:r>
      <w:r>
        <w:rPr>
          <w:spacing w:val="-1"/>
        </w:rPr>
        <w:t> </w:t>
      </w:r>
      <w:r>
        <w:rPr/>
        <w:t>potentially resulting in a goodwill impairment charge. In addition, the determination of multiples, capitalization rates and the discount rates used in the impairment tests</w:t>
      </w:r>
      <w:r>
        <w:rPr>
          <w:spacing w:val="40"/>
        </w:rPr>
        <w:t> </w:t>
      </w:r>
      <w:r>
        <w:rPr/>
        <w:t>are highly judgmental and dependent in large part on expectations of future market conditions or events outside of our control. The value of our Empire City reporting unit is dependent upon us obtaining a commercial gaming license and the timing thereof, as well as other assumptions that may change throughout</w:t>
      </w:r>
      <w:r>
        <w:rPr>
          <w:spacing w:val="40"/>
        </w:rPr>
        <w:t> </w:t>
      </w:r>
      <w:r>
        <w:rPr/>
        <w:t>the bidding process as additional information becomes known, which includes the size, scope, and timing of constructing an expanded facility, the potential for and timing of a transaction for the monetization of the improvements and the proceeds and any rent associated with such transaction, and the incremental cash flows generated by the expanded facility, such as license payments and other payments to government entities, gaming tax rates, and forecasted revenue and expenses from operations. While the quantitative impairment analysis performed in 2022 resulted in the fair value of Empire City exceeding its carrying value by a substantial margin based upon the assumptions as of the date of the analysis, any of these assumptions could change materially as a result of new or additional information and, if they do, could result in an impairment of up to the full amount of the reporting unit’s goodwill of $256 million.</w:t>
      </w:r>
    </w:p>
    <w:p>
      <w:pPr>
        <w:pStyle w:val="BodyText"/>
        <w:spacing w:before="5"/>
      </w:pPr>
    </w:p>
    <w:p>
      <w:pPr>
        <w:pStyle w:val="BodyText"/>
        <w:ind w:left="644"/>
      </w:pPr>
      <w:r>
        <w:rPr/>
        <w:t>See</w:t>
      </w:r>
      <w:r>
        <w:rPr>
          <w:spacing w:val="-1"/>
        </w:rPr>
        <w:t> </w:t>
      </w:r>
      <w:r>
        <w:rPr/>
        <w:t>Note</w:t>
      </w:r>
      <w:r>
        <w:rPr>
          <w:spacing w:val="-1"/>
        </w:rPr>
        <w:t> </w:t>
      </w:r>
      <w:r>
        <w:rPr/>
        <w:t>2</w:t>
      </w:r>
      <w:r>
        <w:rPr>
          <w:spacing w:val="-1"/>
        </w:rPr>
        <w:t> </w:t>
      </w:r>
      <w:r>
        <w:rPr/>
        <w:t>and</w:t>
      </w:r>
      <w:r>
        <w:rPr>
          <w:spacing w:val="-1"/>
        </w:rPr>
        <w:t> </w:t>
      </w:r>
      <w:r>
        <w:rPr/>
        <w:t>Note</w:t>
      </w:r>
      <w:r>
        <w:rPr>
          <w:spacing w:val="-1"/>
        </w:rPr>
        <w:t> </w:t>
      </w:r>
      <w:r>
        <w:rPr/>
        <w:t>7</w:t>
      </w:r>
      <w:r>
        <w:rPr>
          <w:spacing w:val="-1"/>
        </w:rPr>
        <w:t> </w:t>
      </w:r>
      <w:r>
        <w:rPr/>
        <w:t>to</w:t>
      </w:r>
      <w:r>
        <w:rPr>
          <w:spacing w:val="-1"/>
        </w:rPr>
        <w:t> </w:t>
      </w:r>
      <w:r>
        <w:rPr/>
        <w:t>the</w:t>
      </w:r>
      <w:r>
        <w:rPr>
          <w:spacing w:val="-1"/>
        </w:rPr>
        <w:t> </w:t>
      </w:r>
      <w:r>
        <w:rPr/>
        <w:t>accompanying</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further</w:t>
      </w:r>
      <w:r>
        <w:rPr>
          <w:spacing w:val="-1"/>
        </w:rPr>
        <w:t> </w:t>
      </w:r>
      <w:r>
        <w:rPr/>
        <w:t>discussion</w:t>
      </w:r>
      <w:r>
        <w:rPr>
          <w:spacing w:val="-1"/>
        </w:rPr>
        <w:t> </w:t>
      </w:r>
      <w:r>
        <w:rPr/>
        <w:t>of</w:t>
      </w:r>
      <w:r>
        <w:rPr>
          <w:spacing w:val="-1"/>
        </w:rPr>
        <w:t> </w:t>
      </w:r>
      <w:r>
        <w:rPr/>
        <w:t>goodwill</w:t>
      </w:r>
      <w:r>
        <w:rPr>
          <w:spacing w:val="-1"/>
        </w:rPr>
        <w:t> </w:t>
      </w:r>
      <w:r>
        <w:rPr/>
        <w:t>and</w:t>
      </w:r>
      <w:r>
        <w:rPr>
          <w:spacing w:val="-1"/>
        </w:rPr>
        <w:t> </w:t>
      </w:r>
      <w:r>
        <w:rPr/>
        <w:t>other</w:t>
      </w:r>
      <w:r>
        <w:rPr>
          <w:spacing w:val="-1"/>
        </w:rPr>
        <w:t> </w:t>
      </w:r>
      <w:r>
        <w:rPr/>
        <w:t>intangible</w:t>
      </w:r>
      <w:r>
        <w:rPr>
          <w:spacing w:val="-1"/>
        </w:rPr>
        <w:t> </w:t>
      </w:r>
      <w:r>
        <w:rPr>
          <w:spacing w:val="-2"/>
        </w:rPr>
        <w:t>assets.</w:t>
      </w:r>
    </w:p>
    <w:p>
      <w:pPr>
        <w:pStyle w:val="BodyText"/>
        <w:spacing w:before="18"/>
      </w:pPr>
    </w:p>
    <w:p>
      <w:pPr>
        <w:spacing w:before="0"/>
        <w:ind w:left="394" w:right="0" w:firstLine="0"/>
        <w:jc w:val="left"/>
        <w:rPr>
          <w:i/>
          <w:sz w:val="18"/>
        </w:rPr>
      </w:pPr>
      <w:r>
        <w:rPr>
          <w:i/>
          <w:sz w:val="18"/>
        </w:rPr>
        <w:t>Long-lived</w:t>
      </w:r>
      <w:r>
        <w:rPr>
          <w:i/>
          <w:spacing w:val="-1"/>
          <w:sz w:val="18"/>
        </w:rPr>
        <w:t> </w:t>
      </w:r>
      <w:r>
        <w:rPr>
          <w:i/>
          <w:sz w:val="18"/>
        </w:rPr>
        <w:t>assets</w:t>
      </w:r>
      <w:r>
        <w:rPr>
          <w:i/>
          <w:spacing w:val="-1"/>
          <w:sz w:val="18"/>
        </w:rPr>
        <w:t> </w:t>
      </w:r>
      <w:r>
        <w:rPr>
          <w:i/>
          <w:sz w:val="18"/>
        </w:rPr>
        <w:t>-</w:t>
      </w:r>
      <w:r>
        <w:rPr>
          <w:i/>
          <w:spacing w:val="-1"/>
          <w:sz w:val="18"/>
        </w:rPr>
        <w:t> </w:t>
      </w:r>
      <w:r>
        <w:rPr>
          <w:i/>
          <w:sz w:val="18"/>
        </w:rPr>
        <w:t>MGM</w:t>
      </w:r>
      <w:r>
        <w:rPr>
          <w:i/>
          <w:spacing w:val="-1"/>
          <w:sz w:val="18"/>
        </w:rPr>
        <w:t> </w:t>
      </w:r>
      <w:r>
        <w:rPr>
          <w:i/>
          <w:sz w:val="18"/>
        </w:rPr>
        <w:t>Grand</w:t>
      </w:r>
      <w:r>
        <w:rPr>
          <w:i/>
          <w:spacing w:val="-1"/>
          <w:sz w:val="18"/>
        </w:rPr>
        <w:t> </w:t>
      </w:r>
      <w:r>
        <w:rPr>
          <w:i/>
          <w:sz w:val="18"/>
        </w:rPr>
        <w:t>Paradise</w:t>
      </w:r>
      <w:r>
        <w:rPr>
          <w:i/>
          <w:spacing w:val="-1"/>
          <w:sz w:val="18"/>
        </w:rPr>
        <w:t> </w:t>
      </w:r>
      <w:r>
        <w:rPr>
          <w:i/>
          <w:sz w:val="18"/>
        </w:rPr>
        <w:t>gaming</w:t>
      </w:r>
      <w:r>
        <w:rPr>
          <w:i/>
          <w:spacing w:val="-1"/>
          <w:sz w:val="18"/>
        </w:rPr>
        <w:t> </w:t>
      </w:r>
      <w:r>
        <w:rPr>
          <w:i/>
          <w:spacing w:val="-2"/>
          <w:sz w:val="18"/>
        </w:rPr>
        <w:t>subconcession</w:t>
      </w:r>
    </w:p>
    <w:p>
      <w:pPr>
        <w:pStyle w:val="BodyText"/>
        <w:spacing w:before="18"/>
        <w:rPr>
          <w:i/>
        </w:rPr>
      </w:pPr>
    </w:p>
    <w:p>
      <w:pPr>
        <w:pStyle w:val="BodyText"/>
        <w:ind w:left="144" w:right="118" w:firstLine="499"/>
        <w:jc w:val="both"/>
      </w:pPr>
      <w:r>
        <w:rPr/>
        <w:t>In connection with the enactment of the new Macau gaming law in June 2022, that provides for material changes to the legal form of </w:t>
      </w:r>
      <w:r>
        <w:rPr/>
        <w:t>gaming</w:t>
      </w:r>
      <w:r>
        <w:rPr>
          <w:spacing w:val="40"/>
        </w:rPr>
        <w:t> </w:t>
      </w:r>
      <w:r>
        <w:rPr/>
        <w:t>concessions in Macau, including discontinuing and prohibiting gaming subconcessions subsequent to their expiration, which occurred on December 31, 2022, and provided for other material changes to the rights and obligations provided for under new gaming concessions, we determined that MGM Grand Paradise’s gaming subconcession and new gaming concession are two separate units of account.</w:t>
      </w:r>
    </w:p>
    <w:p>
      <w:pPr>
        <w:pStyle w:val="BodyText"/>
        <w:spacing w:before="4"/>
      </w:pPr>
    </w:p>
    <w:p>
      <w:pPr>
        <w:pStyle w:val="BodyText"/>
        <w:spacing w:line="249" w:lineRule="auto" w:before="1"/>
        <w:ind w:left="144" w:right="118" w:firstLine="499"/>
        <w:jc w:val="both"/>
      </w:pPr>
      <w:r>
        <w:rPr/>
        <w:t>Further, as the material changes in the legal and regulatory environment could have had an adverse effect on the value of MGM Grand Paradise’s gaming</w:t>
      </w:r>
      <w:r>
        <w:rPr>
          <w:spacing w:val="-1"/>
        </w:rPr>
        <w:t> </w:t>
      </w:r>
      <w:r>
        <w:rPr/>
        <w:t>subconcession,</w:t>
      </w:r>
      <w:r>
        <w:rPr>
          <w:spacing w:val="-1"/>
        </w:rPr>
        <w:t> </w:t>
      </w:r>
      <w:r>
        <w:rPr/>
        <w:t>we</w:t>
      </w:r>
      <w:r>
        <w:rPr>
          <w:spacing w:val="-1"/>
        </w:rPr>
        <w:t> </w:t>
      </w:r>
      <w:r>
        <w:rPr/>
        <w:t>concluded</w:t>
      </w:r>
      <w:r>
        <w:rPr>
          <w:spacing w:val="-1"/>
        </w:rPr>
        <w:t> </w:t>
      </w:r>
      <w:r>
        <w:rPr/>
        <w:t>that</w:t>
      </w:r>
      <w:r>
        <w:rPr>
          <w:spacing w:val="-1"/>
        </w:rPr>
        <w:t> </w:t>
      </w:r>
      <w:r>
        <w:rPr/>
        <w:t>a</w:t>
      </w:r>
      <w:r>
        <w:rPr>
          <w:spacing w:val="-1"/>
        </w:rPr>
        <w:t> </w:t>
      </w:r>
      <w:r>
        <w:rPr/>
        <w:t>trigger</w:t>
      </w:r>
      <w:r>
        <w:rPr>
          <w:spacing w:val="-1"/>
        </w:rPr>
        <w:t> </w:t>
      </w:r>
      <w:r>
        <w:rPr/>
        <w:t>event</w:t>
      </w:r>
      <w:r>
        <w:rPr>
          <w:spacing w:val="-1"/>
        </w:rPr>
        <w:t> </w:t>
      </w:r>
      <w:r>
        <w:rPr/>
        <w:t>had</w:t>
      </w:r>
      <w:r>
        <w:rPr>
          <w:spacing w:val="-1"/>
        </w:rPr>
        <w:t> </w:t>
      </w:r>
      <w:r>
        <w:rPr/>
        <w:t>occurred</w:t>
      </w:r>
      <w:r>
        <w:rPr>
          <w:spacing w:val="-1"/>
        </w:rPr>
        <w:t> </w:t>
      </w:r>
      <w:r>
        <w:rPr/>
        <w:t>in</w:t>
      </w:r>
      <w:r>
        <w:rPr>
          <w:spacing w:val="-1"/>
        </w:rPr>
        <w:t> </w:t>
      </w:r>
      <w:r>
        <w:rPr/>
        <w:t>June</w:t>
      </w:r>
      <w:r>
        <w:rPr>
          <w:spacing w:val="-1"/>
        </w:rPr>
        <w:t> </w:t>
      </w:r>
      <w:r>
        <w:rPr/>
        <w:t>2022</w:t>
      </w:r>
      <w:r>
        <w:rPr>
          <w:spacing w:val="-1"/>
        </w:rPr>
        <w:t> </w:t>
      </w:r>
      <w:r>
        <w:rPr/>
        <w:t>for</w:t>
      </w:r>
      <w:r>
        <w:rPr>
          <w:spacing w:val="-1"/>
        </w:rPr>
        <w:t> </w:t>
      </w:r>
      <w:r>
        <w:rPr/>
        <w:t>the</w:t>
      </w:r>
      <w:r>
        <w:rPr>
          <w:spacing w:val="-1"/>
        </w:rPr>
        <w:t> </w:t>
      </w:r>
      <w:r>
        <w:rPr/>
        <w:t>MGM</w:t>
      </w:r>
      <w:r>
        <w:rPr>
          <w:spacing w:val="-1"/>
        </w:rPr>
        <w:t> </w:t>
      </w:r>
      <w:r>
        <w:rPr/>
        <w:t>China</w:t>
      </w:r>
      <w:r>
        <w:rPr>
          <w:spacing w:val="-1"/>
        </w:rPr>
        <w:t> </w:t>
      </w:r>
      <w:r>
        <w:rPr/>
        <w:t>asset</w:t>
      </w:r>
      <w:r>
        <w:rPr>
          <w:spacing w:val="-1"/>
        </w:rPr>
        <w:t> </w:t>
      </w:r>
      <w:r>
        <w:rPr/>
        <w:t>group.</w:t>
      </w:r>
      <w:r>
        <w:rPr>
          <w:spacing w:val="-5"/>
        </w:rPr>
        <w:t> </w:t>
      </w:r>
      <w:r>
        <w:rPr/>
        <w:t>The</w:t>
      </w:r>
      <w:r>
        <w:rPr>
          <w:spacing w:val="-1"/>
        </w:rPr>
        <w:t> </w:t>
      </w:r>
      <w:r>
        <w:rPr/>
        <w:t>gaming</w:t>
      </w:r>
      <w:r>
        <w:rPr>
          <w:spacing w:val="-1"/>
        </w:rPr>
        <w:t> </w:t>
      </w:r>
      <w:r>
        <w:rPr/>
        <w:t>subconcession</w:t>
      </w:r>
      <w:r>
        <w:rPr>
          <w:spacing w:val="-1"/>
        </w:rPr>
        <w:t> </w:t>
      </w:r>
      <w:r>
        <w:rPr/>
        <w:t>was</w:t>
      </w:r>
      <w:r>
        <w:rPr>
          <w:spacing w:val="-1"/>
        </w:rPr>
        <w:t> </w:t>
      </w:r>
      <w:r>
        <w:rPr/>
        <w:t>an</w:t>
      </w:r>
      <w:r>
        <w:rPr>
          <w:spacing w:val="-1"/>
        </w:rPr>
        <w:t> </w:t>
      </w:r>
      <w:r>
        <w:rPr/>
        <w:t>entity- wide asset of MGM China as the benefit of the right to conduct gaming provided by the gaming subconcession was shared by each of MGM China’s casino resorts and the cash flows generated by the gaming subconcession cannot be separated from the casino resorts in which gaming operations are conducted. We determined that the real estate is the primary asset of the asset group as the real estate component generates a significant portion of the entity’s cash flows through gaming operations conducted at its casino resorts. Accordingly, cash flows were projected over the remaining useful life of the real estate, including cash flows from gaming operations. The estimated undiscounted cash flows of the asset group significantly exceeded the carrying value; accordingly, no impairment was indicated.</w:t>
      </w:r>
    </w:p>
    <w:p>
      <w:pPr>
        <w:pStyle w:val="BodyText"/>
        <w:spacing w:before="14"/>
      </w:pPr>
    </w:p>
    <w:p>
      <w:pPr>
        <w:pStyle w:val="BodyText"/>
        <w:spacing w:line="249" w:lineRule="auto"/>
        <w:ind w:left="144" w:right="118" w:firstLine="499"/>
        <w:jc w:val="both"/>
      </w:pPr>
      <w:r>
        <w:rPr/>
        <w:t>There</w:t>
      </w:r>
      <w:r>
        <w:rPr>
          <w:spacing w:val="-2"/>
        </w:rPr>
        <w:t> </w:t>
      </w:r>
      <w:r>
        <w:rPr/>
        <w:t>were</w:t>
      </w:r>
      <w:r>
        <w:rPr>
          <w:spacing w:val="-2"/>
        </w:rPr>
        <w:t> </w:t>
      </w:r>
      <w:r>
        <w:rPr/>
        <w:t>several</w:t>
      </w:r>
      <w:r>
        <w:rPr>
          <w:spacing w:val="-2"/>
        </w:rPr>
        <w:t> </w:t>
      </w:r>
      <w:r>
        <w:rPr/>
        <w:t>estimates</w:t>
      </w:r>
      <w:r>
        <w:rPr>
          <w:spacing w:val="-2"/>
        </w:rPr>
        <w:t> </w:t>
      </w:r>
      <w:r>
        <w:rPr/>
        <w:t>inherent</w:t>
      </w:r>
      <w:r>
        <w:rPr>
          <w:spacing w:val="-2"/>
        </w:rPr>
        <w:t> </w:t>
      </w:r>
      <w:r>
        <w:rPr/>
        <w:t>in</w:t>
      </w:r>
      <w:r>
        <w:rPr>
          <w:spacing w:val="-2"/>
        </w:rPr>
        <w:t> </w:t>
      </w:r>
      <w:r>
        <w:rPr/>
        <w:t>evaluating</w:t>
      </w:r>
      <w:r>
        <w:rPr>
          <w:spacing w:val="-2"/>
        </w:rPr>
        <w:t> </w:t>
      </w:r>
      <w:r>
        <w:rPr/>
        <w:t>the</w:t>
      </w:r>
      <w:r>
        <w:rPr>
          <w:spacing w:val="-2"/>
        </w:rPr>
        <w:t> </w:t>
      </w:r>
      <w:r>
        <w:rPr/>
        <w:t>gaming</w:t>
      </w:r>
      <w:r>
        <w:rPr>
          <w:spacing w:val="-2"/>
        </w:rPr>
        <w:t> </w:t>
      </w:r>
      <w:r>
        <w:rPr/>
        <w:t>subconcession</w:t>
      </w:r>
      <w:r>
        <w:rPr>
          <w:spacing w:val="-2"/>
        </w:rPr>
        <w:t> </w:t>
      </w:r>
      <w:r>
        <w:rPr/>
        <w:t>asset</w:t>
      </w:r>
      <w:r>
        <w:rPr>
          <w:spacing w:val="-2"/>
        </w:rPr>
        <w:t> </w:t>
      </w:r>
      <w:r>
        <w:rPr/>
        <w:t>for</w:t>
      </w:r>
      <w:r>
        <w:rPr>
          <w:spacing w:val="-2"/>
        </w:rPr>
        <w:t> </w:t>
      </w:r>
      <w:r>
        <w:rPr/>
        <w:t>impairment.</w:t>
      </w:r>
      <w:r>
        <w:rPr>
          <w:spacing w:val="-5"/>
        </w:rPr>
        <w:t> </w:t>
      </w:r>
      <w:r>
        <w:rPr/>
        <w:t>The</w:t>
      </w:r>
      <w:r>
        <w:rPr>
          <w:spacing w:val="-2"/>
        </w:rPr>
        <w:t> </w:t>
      </w:r>
      <w:r>
        <w:rPr/>
        <w:t>determination</w:t>
      </w:r>
      <w:r>
        <w:rPr>
          <w:spacing w:val="-2"/>
        </w:rPr>
        <w:t> </w:t>
      </w:r>
      <w:r>
        <w:rPr/>
        <w:t>of</w:t>
      </w:r>
      <w:r>
        <w:rPr>
          <w:spacing w:val="-2"/>
        </w:rPr>
        <w:t> </w:t>
      </w:r>
      <w:r>
        <w:rPr/>
        <w:t>the</w:t>
      </w:r>
      <w:r>
        <w:rPr>
          <w:spacing w:val="-2"/>
        </w:rPr>
        <w:t> </w:t>
      </w:r>
      <w:r>
        <w:rPr/>
        <w:t>asset</w:t>
      </w:r>
      <w:r>
        <w:rPr>
          <w:spacing w:val="-2"/>
        </w:rPr>
        <w:t> </w:t>
      </w:r>
      <w:r>
        <w:rPr/>
        <w:t>group</w:t>
      </w:r>
      <w:r>
        <w:rPr>
          <w:spacing w:val="-2"/>
        </w:rPr>
        <w:t> </w:t>
      </w:r>
      <w:r>
        <w:rPr/>
        <w:t>to</w:t>
      </w:r>
      <w:r>
        <w:rPr>
          <w:spacing w:val="-2"/>
        </w:rPr>
        <w:t> </w:t>
      </w:r>
      <w:r>
        <w:rPr/>
        <w:t>be</w:t>
      </w:r>
      <w:r>
        <w:rPr>
          <w:spacing w:val="-2"/>
        </w:rPr>
        <w:t> </w:t>
      </w:r>
      <w:r>
        <w:rPr/>
        <w:t>tested</w:t>
      </w:r>
      <w:r>
        <w:rPr>
          <w:spacing w:val="-2"/>
        </w:rPr>
        <w:t> </w:t>
      </w:r>
      <w:r>
        <w:rPr/>
        <w:t>for recoverability</w:t>
      </w:r>
      <w:r>
        <w:rPr>
          <w:spacing w:val="-2"/>
        </w:rPr>
        <w:t> </w:t>
      </w:r>
      <w:r>
        <w:rPr/>
        <w:t>and</w:t>
      </w:r>
      <w:r>
        <w:rPr>
          <w:spacing w:val="-2"/>
        </w:rPr>
        <w:t> </w:t>
      </w:r>
      <w:r>
        <w:rPr/>
        <w:t>the</w:t>
      </w:r>
      <w:r>
        <w:rPr>
          <w:spacing w:val="-2"/>
        </w:rPr>
        <w:t> </w:t>
      </w:r>
      <w:r>
        <w:rPr/>
        <w:t>primary</w:t>
      </w:r>
      <w:r>
        <w:rPr>
          <w:spacing w:val="-2"/>
        </w:rPr>
        <w:t> </w:t>
      </w:r>
      <w:r>
        <w:rPr/>
        <w:t>asset</w:t>
      </w:r>
      <w:r>
        <w:rPr>
          <w:spacing w:val="-2"/>
        </w:rPr>
        <w:t> </w:t>
      </w:r>
      <w:r>
        <w:rPr/>
        <w:t>of</w:t>
      </w:r>
      <w:r>
        <w:rPr>
          <w:spacing w:val="-2"/>
        </w:rPr>
        <w:t> </w:t>
      </w:r>
      <w:r>
        <w:rPr/>
        <w:t>the</w:t>
      </w:r>
      <w:r>
        <w:rPr>
          <w:spacing w:val="-2"/>
        </w:rPr>
        <w:t> </w:t>
      </w:r>
      <w:r>
        <w:rPr/>
        <w:t>asset</w:t>
      </w:r>
      <w:r>
        <w:rPr>
          <w:spacing w:val="-2"/>
        </w:rPr>
        <w:t> </w:t>
      </w:r>
      <w:r>
        <w:rPr/>
        <w:t>group</w:t>
      </w:r>
      <w:r>
        <w:rPr>
          <w:spacing w:val="-2"/>
        </w:rPr>
        <w:t> </w:t>
      </w:r>
      <w:r>
        <w:rPr/>
        <w:t>are</w:t>
      </w:r>
      <w:r>
        <w:rPr>
          <w:spacing w:val="-2"/>
        </w:rPr>
        <w:t> </w:t>
      </w:r>
      <w:r>
        <w:rPr/>
        <w:t>matters</w:t>
      </w:r>
      <w:r>
        <w:rPr>
          <w:spacing w:val="-2"/>
        </w:rPr>
        <w:t> </w:t>
      </w:r>
      <w:r>
        <w:rPr/>
        <w:t>of</w:t>
      </w:r>
      <w:r>
        <w:rPr>
          <w:spacing w:val="-2"/>
        </w:rPr>
        <w:t> </w:t>
      </w:r>
      <w:r>
        <w:rPr/>
        <w:t>judgment</w:t>
      </w:r>
      <w:r>
        <w:rPr>
          <w:spacing w:val="-2"/>
        </w:rPr>
        <w:t> </w:t>
      </w:r>
      <w:r>
        <w:rPr/>
        <w:t>as</w:t>
      </w:r>
      <w:r>
        <w:rPr>
          <w:spacing w:val="-2"/>
        </w:rPr>
        <w:t> </w:t>
      </w:r>
      <w:r>
        <w:rPr/>
        <w:t>it</w:t>
      </w:r>
      <w:r>
        <w:rPr>
          <w:spacing w:val="-2"/>
        </w:rPr>
        <w:t> </w:t>
      </w:r>
      <w:r>
        <w:rPr/>
        <w:t>is</w:t>
      </w:r>
      <w:r>
        <w:rPr>
          <w:spacing w:val="-2"/>
        </w:rPr>
        <w:t> </w:t>
      </w:r>
      <w:r>
        <w:rPr/>
        <w:t>dependent</w:t>
      </w:r>
      <w:r>
        <w:rPr>
          <w:spacing w:val="-2"/>
        </w:rPr>
        <w:t> </w:t>
      </w:r>
      <w:r>
        <w:rPr/>
        <w:t>on</w:t>
      </w:r>
      <w:r>
        <w:rPr>
          <w:spacing w:val="-2"/>
        </w:rPr>
        <w:t> </w:t>
      </w:r>
      <w:r>
        <w:rPr/>
        <w:t>corporate</w:t>
      </w:r>
      <w:r>
        <w:rPr>
          <w:spacing w:val="-2"/>
        </w:rPr>
        <w:t> </w:t>
      </w:r>
      <w:r>
        <w:rPr/>
        <w:t>structure,</w:t>
      </w:r>
      <w:r>
        <w:rPr>
          <w:spacing w:val="-2"/>
        </w:rPr>
        <w:t> </w:t>
      </w:r>
      <w:r>
        <w:rPr/>
        <w:t>the</w:t>
      </w:r>
      <w:r>
        <w:rPr>
          <w:spacing w:val="-2"/>
        </w:rPr>
        <w:t> </w:t>
      </w:r>
      <w:r>
        <w:rPr/>
        <w:t>legal</w:t>
      </w:r>
      <w:r>
        <w:rPr>
          <w:spacing w:val="-2"/>
        </w:rPr>
        <w:t> </w:t>
      </w:r>
      <w:r>
        <w:rPr/>
        <w:t>and</w:t>
      </w:r>
      <w:r>
        <w:rPr>
          <w:spacing w:val="-2"/>
        </w:rPr>
        <w:t> </w:t>
      </w:r>
      <w:r>
        <w:rPr/>
        <w:t>regulatory</w:t>
      </w:r>
      <w:r>
        <w:rPr>
          <w:spacing w:val="-2"/>
        </w:rPr>
        <w:t> </w:t>
      </w:r>
      <w:r>
        <w:rPr/>
        <w:t>environment</w:t>
      </w:r>
      <w:r>
        <w:rPr>
          <w:spacing w:val="-2"/>
        </w:rPr>
        <w:t> </w:t>
      </w:r>
      <w:r>
        <w:rPr/>
        <w:t>in which</w:t>
      </w:r>
      <w:r>
        <w:rPr>
          <w:spacing w:val="-2"/>
        </w:rPr>
        <w:t> </w:t>
      </w:r>
      <w:r>
        <w:rPr/>
        <w:t>the</w:t>
      </w:r>
      <w:r>
        <w:rPr>
          <w:spacing w:val="-2"/>
        </w:rPr>
        <w:t> </w:t>
      </w:r>
      <w:r>
        <w:rPr/>
        <w:t>entity</w:t>
      </w:r>
      <w:r>
        <w:rPr>
          <w:spacing w:val="-2"/>
        </w:rPr>
        <w:t> </w:t>
      </w:r>
      <w:r>
        <w:rPr/>
        <w:t>operates,</w:t>
      </w:r>
      <w:r>
        <w:rPr>
          <w:spacing w:val="-2"/>
        </w:rPr>
        <w:t> </w:t>
      </w:r>
      <w:r>
        <w:rPr/>
        <w:t>and</w:t>
      </w:r>
      <w:r>
        <w:rPr>
          <w:spacing w:val="-2"/>
        </w:rPr>
        <w:t> </w:t>
      </w:r>
      <w:r>
        <w:rPr/>
        <w:t>the</w:t>
      </w:r>
      <w:r>
        <w:rPr>
          <w:spacing w:val="-2"/>
        </w:rPr>
        <w:t> </w:t>
      </w:r>
      <w:r>
        <w:rPr/>
        <w:t>level</w:t>
      </w:r>
      <w:r>
        <w:rPr>
          <w:spacing w:val="-2"/>
        </w:rPr>
        <w:t> </w:t>
      </w:r>
      <w:r>
        <w:rPr/>
        <w:t>of</w:t>
      </w:r>
      <w:r>
        <w:rPr>
          <w:spacing w:val="-2"/>
        </w:rPr>
        <w:t> </w:t>
      </w:r>
      <w:r>
        <w:rPr/>
        <w:t>interdependency</w:t>
      </w:r>
      <w:r>
        <w:rPr>
          <w:spacing w:val="-2"/>
        </w:rPr>
        <w:t> </w:t>
      </w:r>
      <w:r>
        <w:rPr/>
        <w:t>between</w:t>
      </w:r>
      <w:r>
        <w:rPr>
          <w:spacing w:val="-2"/>
        </w:rPr>
        <w:t> </w:t>
      </w:r>
      <w:r>
        <w:rPr/>
        <w:t>assets</w:t>
      </w:r>
      <w:r>
        <w:rPr>
          <w:spacing w:val="-2"/>
        </w:rPr>
        <w:t> </w:t>
      </w:r>
      <w:r>
        <w:rPr/>
        <w:t>used</w:t>
      </w:r>
      <w:r>
        <w:rPr>
          <w:spacing w:val="-2"/>
        </w:rPr>
        <w:t> </w:t>
      </w:r>
      <w:r>
        <w:rPr/>
        <w:t>in</w:t>
      </w:r>
      <w:r>
        <w:rPr>
          <w:spacing w:val="-2"/>
        </w:rPr>
        <w:t> </w:t>
      </w:r>
      <w:r>
        <w:rPr/>
        <w:t>revenue</w:t>
      </w:r>
      <w:r>
        <w:rPr>
          <w:spacing w:val="-2"/>
        </w:rPr>
        <w:t> </w:t>
      </w:r>
      <w:r>
        <w:rPr/>
        <w:t>generating</w:t>
      </w:r>
      <w:r>
        <w:rPr>
          <w:spacing w:val="-2"/>
        </w:rPr>
        <w:t> </w:t>
      </w:r>
      <w:r>
        <w:rPr/>
        <w:t>activities.</w:t>
      </w:r>
      <w:r>
        <w:rPr>
          <w:spacing w:val="-5"/>
        </w:rPr>
        <w:t> </w:t>
      </w:r>
      <w:r>
        <w:rPr/>
        <w:t>The</w:t>
      </w:r>
      <w:r>
        <w:rPr>
          <w:spacing w:val="-2"/>
        </w:rPr>
        <w:t> </w:t>
      </w:r>
      <w:r>
        <w:rPr/>
        <w:t>determination</w:t>
      </w:r>
      <w:r>
        <w:rPr>
          <w:spacing w:val="-2"/>
        </w:rPr>
        <w:t> </w:t>
      </w:r>
      <w:r>
        <w:rPr/>
        <w:t>of</w:t>
      </w:r>
      <w:r>
        <w:rPr>
          <w:spacing w:val="-2"/>
        </w:rPr>
        <w:t> </w:t>
      </w:r>
      <w:r>
        <w:rPr/>
        <w:t>the</w:t>
      </w:r>
      <w:r>
        <w:rPr>
          <w:spacing w:val="-2"/>
        </w:rPr>
        <w:t> </w:t>
      </w:r>
      <w:r>
        <w:rPr/>
        <w:t>primary</w:t>
      </w:r>
      <w:r>
        <w:rPr>
          <w:spacing w:val="-2"/>
        </w:rPr>
        <w:t> </w:t>
      </w:r>
      <w:r>
        <w:rPr/>
        <w:t>asset</w:t>
      </w:r>
      <w:r>
        <w:rPr>
          <w:spacing w:val="-2"/>
        </w:rPr>
        <w:t> </w:t>
      </w:r>
      <w:r>
        <w:rPr/>
        <w:t>directly affects the period over which cash flows are forecasted when performing the recoverability test. In particular, future cash flow estimates are, by their </w:t>
      </w:r>
      <w:r>
        <w:rPr/>
        <w:t>nature, subjective and actual results may differ materially from our estimates. In addition, the determination of undiscounted cash flows used in the impairment tests are highly judgmental and dependent in large part on expectations of land concession renewals and successfully obtaining a gaming concession in connection with future public tenders.</w:t>
      </w:r>
    </w:p>
    <w:p>
      <w:pPr>
        <w:pStyle w:val="BodyText"/>
        <w:spacing w:before="14"/>
      </w:pPr>
    </w:p>
    <w:p>
      <w:pPr>
        <w:pStyle w:val="BodyText"/>
        <w:spacing w:line="249" w:lineRule="auto" w:before="1"/>
        <w:ind w:left="144" w:right="118" w:firstLine="499"/>
        <w:jc w:val="both"/>
      </w:pPr>
      <w:r>
        <w:rPr/>
        <w:t>Additionally, we reassessed the useful life of the gaming subconcession intangible asset and, given the new gaming law and the resulting changes described above, we determined that the useful life would no longer be based on the initial term of the MGM Cotai land concession that ends in January </w:t>
      </w:r>
      <w:r>
        <w:rPr/>
        <w:t>2038, and that the new useful life is consistent with the remaining contractual term of the existing gaming subconcession, which ended on December 31, 2022. Accordingly, amortization of the MGM Grand Paradise gaming subconcession was recognized on a straight-line basis over its reduced useful life, thereby accelerating the recognition of amortization within our statements of operations.</w:t>
      </w:r>
    </w:p>
    <w:p>
      <w:pPr>
        <w:pStyle w:val="BodyText"/>
        <w:spacing w:before="12"/>
      </w:pPr>
    </w:p>
    <w:p>
      <w:pPr>
        <w:pStyle w:val="BodyText"/>
        <w:spacing w:line="249" w:lineRule="auto"/>
        <w:ind w:left="144" w:right="118" w:firstLine="499"/>
        <w:jc w:val="both"/>
      </w:pPr>
      <w:r>
        <w:rPr/>
        <w:t>The determination of the unit of account and useful life of the gaming subconcession are based upon facts and circumstances as of a point in time </w:t>
      </w:r>
      <w:r>
        <w:rPr/>
        <w:t>and may change as such conditions develop, evolve, or change. We have determined the</w:t>
      </w:r>
    </w:p>
    <w:p>
      <w:pPr>
        <w:pStyle w:val="BodyText"/>
      </w:pPr>
    </w:p>
    <w:p>
      <w:pPr>
        <w:pStyle w:val="BodyText"/>
        <w:spacing w:before="195"/>
      </w:pPr>
    </w:p>
    <w:p>
      <w:pPr>
        <w:pStyle w:val="BodyText"/>
        <w:ind w:left="24"/>
        <w:jc w:val="center"/>
      </w:pPr>
      <w:r>
        <w:rPr>
          <w:spacing w:val="-5"/>
        </w:rPr>
        <w:t>49</w:t>
      </w:r>
    </w:p>
    <w:p>
      <w:pPr>
        <w:pStyle w:val="BodyText"/>
        <w:spacing w:before="3"/>
        <w:rPr>
          <w:sz w:val="6"/>
        </w:rPr>
      </w:pPr>
      <w:r>
        <w:rPr/>
        <mc:AlternateContent>
          <mc:Choice Requires="wps">
            <w:drawing>
              <wp:anchor distT="0" distB="0" distL="0" distR="0" allowOverlap="1" layoutInCell="1" locked="0" behindDoc="1" simplePos="0" relativeHeight="487640576">
                <wp:simplePos x="0" y="0"/>
                <wp:positionH relativeFrom="page">
                  <wp:posOffset>231457</wp:posOffset>
                </wp:positionH>
                <wp:positionV relativeFrom="paragraph">
                  <wp:posOffset>60956</wp:posOffset>
                </wp:positionV>
                <wp:extent cx="7312659" cy="17145"/>
                <wp:effectExtent l="0" t="0" r="0" b="0"/>
                <wp:wrapTopAndBottom/>
                <wp:docPr id="282" name="Group 282"/>
                <wp:cNvGraphicFramePr>
                  <a:graphicFrameLocks/>
                </wp:cNvGraphicFramePr>
                <a:graphic>
                  <a:graphicData uri="http://schemas.microsoft.com/office/word/2010/wordprocessingGroup">
                    <wpg:wgp>
                      <wpg:cNvPr id="282" name="Group 282"/>
                      <wpg:cNvGrpSpPr/>
                      <wpg:grpSpPr>
                        <a:xfrm>
                          <a:off x="0" y="0"/>
                          <a:ext cx="7312659" cy="17145"/>
                          <a:chExt cx="7312659" cy="17145"/>
                        </a:xfrm>
                      </wpg:grpSpPr>
                      <wps:wsp>
                        <wps:cNvPr id="283" name="Graphic 28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84" name="Graphic 284"/>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5" name="Graphic 28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5904;mso-wrap-distance-left:0;mso-wrap-distance-right:0" id="docshapegroup280" coordorigin="364,96" coordsize="11516,27">
                <v:rect style="position:absolute;left:364;top:96;width:11516;height:14" id="docshape281" filled="true" fillcolor="#999999" stroked="false">
                  <v:fill type="solid"/>
                </v:rect>
                <v:shape style="position:absolute;left:364;top:96;width:11516;height:27" id="docshape282" coordorigin="364,96" coordsize="11516,27" path="m11880,96l11866,109,364,109,364,123,11866,123,11880,123,11880,109,11880,96xe" filled="true" fillcolor="#ededed" stroked="false">
                  <v:path arrowok="t"/>
                  <v:fill type="solid"/>
                </v:shape>
                <v:shape style="position:absolute;left:364;top:96;width:14;height:27" id="docshape28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49" w:lineRule="auto" w:before="69"/>
        <w:ind w:left="144"/>
      </w:pPr>
      <w:r>
        <w:rPr/>
        <w:t>unit of account and useful life based upon the final gaming law and its enactment in June 2022 as the enactment reflects the finalization of the changes in </w:t>
      </w:r>
      <w:r>
        <w:rPr/>
        <w:t>legal form and rights and obligations related to gaming concessions in Macau.</w:t>
      </w:r>
    </w:p>
    <w:p>
      <w:pPr>
        <w:pStyle w:val="BodyText"/>
        <w:spacing w:before="10"/>
      </w:pPr>
    </w:p>
    <w:p>
      <w:pPr>
        <w:spacing w:before="1"/>
        <w:ind w:left="394" w:right="0" w:firstLine="0"/>
        <w:jc w:val="left"/>
        <w:rPr>
          <w:i/>
          <w:sz w:val="18"/>
        </w:rPr>
      </w:pPr>
      <w:r>
        <w:rPr>
          <w:i/>
          <w:sz w:val="18"/>
        </w:rPr>
        <w:t>Impairment</w:t>
      </w:r>
      <w:r>
        <w:rPr>
          <w:i/>
          <w:spacing w:val="-1"/>
          <w:sz w:val="18"/>
        </w:rPr>
        <w:t> </w:t>
      </w:r>
      <w:r>
        <w:rPr>
          <w:i/>
          <w:sz w:val="18"/>
        </w:rPr>
        <w:t>of</w:t>
      </w:r>
      <w:r>
        <w:rPr>
          <w:i/>
          <w:spacing w:val="-1"/>
          <w:sz w:val="18"/>
        </w:rPr>
        <w:t> </w:t>
      </w:r>
      <w:r>
        <w:rPr>
          <w:i/>
          <w:sz w:val="18"/>
        </w:rPr>
        <w:t>Investments</w:t>
      </w:r>
      <w:r>
        <w:rPr>
          <w:i/>
          <w:spacing w:val="-1"/>
          <w:sz w:val="18"/>
        </w:rPr>
        <w:t> </w:t>
      </w:r>
      <w:r>
        <w:rPr>
          <w:i/>
          <w:sz w:val="18"/>
        </w:rPr>
        <w:t>in</w:t>
      </w:r>
      <w:r>
        <w:rPr>
          <w:i/>
          <w:spacing w:val="-1"/>
          <w:sz w:val="18"/>
        </w:rPr>
        <w:t> </w:t>
      </w:r>
      <w:r>
        <w:rPr>
          <w:i/>
          <w:sz w:val="18"/>
        </w:rPr>
        <w:t>Unconsolidated</w:t>
      </w:r>
      <w:r>
        <w:rPr>
          <w:i/>
          <w:spacing w:val="-4"/>
          <w:sz w:val="18"/>
        </w:rPr>
        <w:t> </w:t>
      </w:r>
      <w:r>
        <w:rPr>
          <w:i/>
          <w:spacing w:val="-2"/>
          <w:sz w:val="18"/>
        </w:rPr>
        <w:t>Affiliates</w:t>
      </w:r>
    </w:p>
    <w:p>
      <w:pPr>
        <w:pStyle w:val="BodyText"/>
        <w:spacing w:before="21"/>
        <w:rPr>
          <w:i/>
        </w:rPr>
      </w:pPr>
    </w:p>
    <w:p>
      <w:pPr>
        <w:pStyle w:val="BodyText"/>
        <w:spacing w:line="235" w:lineRule="auto"/>
        <w:ind w:left="144" w:right="118" w:firstLine="499"/>
        <w:jc w:val="both"/>
      </w:pPr>
      <w:r>
        <w:rPr/>
        <w:t>See Note 2 to the accompanying consolidated financial statements for discussion of our evaluation of other-than-temporary impairment of investments</w:t>
      </w:r>
      <w:r>
        <w:rPr>
          <w:spacing w:val="40"/>
        </w:rPr>
        <w:t> </w:t>
      </w:r>
      <w:r>
        <w:rPr/>
        <w:t>in</w:t>
      </w:r>
      <w:r>
        <w:rPr>
          <w:spacing w:val="-2"/>
        </w:rPr>
        <w:t> </w:t>
      </w:r>
      <w:r>
        <w:rPr/>
        <w:t>unconsolidated</w:t>
      </w:r>
      <w:r>
        <w:rPr>
          <w:spacing w:val="-2"/>
        </w:rPr>
        <w:t> </w:t>
      </w:r>
      <w:r>
        <w:rPr/>
        <w:t>affiliates.</w:t>
      </w:r>
      <w:r>
        <w:rPr>
          <w:spacing w:val="-2"/>
        </w:rPr>
        <w:t> </w:t>
      </w:r>
      <w:r>
        <w:rPr/>
        <w:t>During</w:t>
      </w:r>
      <w:r>
        <w:rPr>
          <w:spacing w:val="-2"/>
        </w:rPr>
        <w:t> </w:t>
      </w:r>
      <w:r>
        <w:rPr/>
        <w:t>2022,</w:t>
      </w:r>
      <w:r>
        <w:rPr>
          <w:spacing w:val="-2"/>
        </w:rPr>
        <w:t> </w:t>
      </w:r>
      <w:r>
        <w:rPr/>
        <w:t>our</w:t>
      </w:r>
      <w:r>
        <w:rPr>
          <w:spacing w:val="-2"/>
        </w:rPr>
        <w:t> </w:t>
      </w:r>
      <w:r>
        <w:rPr/>
        <w:t>investments</w:t>
      </w:r>
      <w:r>
        <w:rPr>
          <w:spacing w:val="-2"/>
        </w:rPr>
        <w:t> </w:t>
      </w:r>
      <w:r>
        <w:rPr/>
        <w:t>in</w:t>
      </w:r>
      <w:r>
        <w:rPr>
          <w:spacing w:val="-2"/>
        </w:rPr>
        <w:t> </w:t>
      </w:r>
      <w:r>
        <w:rPr/>
        <w:t>unconsolidated</w:t>
      </w:r>
      <w:r>
        <w:rPr>
          <w:spacing w:val="-2"/>
        </w:rPr>
        <w:t> </w:t>
      </w:r>
      <w:r>
        <w:rPr/>
        <w:t>affiliates</w:t>
      </w:r>
      <w:r>
        <w:rPr>
          <w:spacing w:val="-2"/>
        </w:rPr>
        <w:t> </w:t>
      </w:r>
      <w:r>
        <w:rPr/>
        <w:t>had</w:t>
      </w:r>
      <w:r>
        <w:rPr>
          <w:spacing w:val="-2"/>
        </w:rPr>
        <w:t> </w:t>
      </w:r>
      <w:r>
        <w:rPr/>
        <w:t>no</w:t>
      </w:r>
      <w:r>
        <w:rPr>
          <w:spacing w:val="-2"/>
        </w:rPr>
        <w:t> </w:t>
      </w:r>
      <w:r>
        <w:rPr/>
        <w:t>material</w:t>
      </w:r>
      <w:r>
        <w:rPr>
          <w:spacing w:val="-2"/>
        </w:rPr>
        <w:t> </w:t>
      </w:r>
      <w:r>
        <w:rPr/>
        <w:t>impairments.</w:t>
      </w:r>
      <w:r>
        <w:rPr>
          <w:spacing w:val="-2"/>
        </w:rPr>
        <w:t> </w:t>
      </w:r>
      <w:r>
        <w:rPr/>
        <w:t>In</w:t>
      </w:r>
      <w:r>
        <w:rPr>
          <w:spacing w:val="-2"/>
        </w:rPr>
        <w:t> </w:t>
      </w:r>
      <w:r>
        <w:rPr/>
        <w:t>2021</w:t>
      </w:r>
      <w:r>
        <w:rPr>
          <w:spacing w:val="-2"/>
        </w:rPr>
        <w:t> </w:t>
      </w:r>
      <w:r>
        <w:rPr/>
        <w:t>and</w:t>
      </w:r>
      <w:r>
        <w:rPr>
          <w:spacing w:val="-2"/>
        </w:rPr>
        <w:t> </w:t>
      </w:r>
      <w:r>
        <w:rPr/>
        <w:t>2020,</w:t>
      </w:r>
      <w:r>
        <w:rPr>
          <w:spacing w:val="-2"/>
        </w:rPr>
        <w:t> </w:t>
      </w:r>
      <w:r>
        <w:rPr/>
        <w:t>we</w:t>
      </w:r>
      <w:r>
        <w:rPr>
          <w:spacing w:val="-2"/>
        </w:rPr>
        <w:t> </w:t>
      </w:r>
      <w:r>
        <w:rPr/>
        <w:t>recorded</w:t>
      </w:r>
      <w:r>
        <w:rPr>
          <w:spacing w:val="-2"/>
        </w:rPr>
        <w:t> </w:t>
      </w:r>
      <w:r>
        <w:rPr/>
        <w:t>$22</w:t>
      </w:r>
      <w:r>
        <w:rPr>
          <w:spacing w:val="-2"/>
        </w:rPr>
        <w:t> </w:t>
      </w:r>
      <w:r>
        <w:rPr/>
        <w:t>million and $64 million, respectively, in other-than-temporary impairment charges on equity method investments. Refer to Note 6 for further discussion.</w:t>
      </w:r>
    </w:p>
    <w:p>
      <w:pPr>
        <w:pStyle w:val="BodyText"/>
        <w:spacing w:before="18"/>
      </w:pPr>
    </w:p>
    <w:p>
      <w:pPr>
        <w:spacing w:before="0"/>
        <w:ind w:left="394" w:right="0" w:firstLine="0"/>
        <w:jc w:val="left"/>
        <w:rPr>
          <w:i/>
          <w:sz w:val="18"/>
        </w:rPr>
      </w:pPr>
      <w:r>
        <w:rPr>
          <w:i/>
          <w:sz w:val="18"/>
        </w:rPr>
        <w:t>Income</w:t>
      </w:r>
      <w:r>
        <w:rPr>
          <w:i/>
          <w:spacing w:val="-1"/>
          <w:sz w:val="18"/>
        </w:rPr>
        <w:t> </w:t>
      </w:r>
      <w:r>
        <w:rPr>
          <w:i/>
          <w:spacing w:val="-2"/>
          <w:sz w:val="18"/>
        </w:rPr>
        <w:t>Taxes</w:t>
      </w:r>
    </w:p>
    <w:p>
      <w:pPr>
        <w:pStyle w:val="BodyText"/>
        <w:spacing w:before="8"/>
        <w:rPr>
          <w:i/>
        </w:rPr>
      </w:pPr>
    </w:p>
    <w:p>
      <w:pPr>
        <w:pStyle w:val="BodyText"/>
        <w:spacing w:line="235" w:lineRule="auto"/>
        <w:ind w:left="144" w:right="118" w:firstLine="499"/>
        <w:jc w:val="both"/>
      </w:pPr>
      <w:r>
        <w:rPr/>
        <w:t>We are subject to income taxes in the U.S. federal jurisdiction, various state and local jurisdictions, and foreign jurisdictions, although the income </w:t>
      </w:r>
      <w:r>
        <w:rPr/>
        <w:t>taxes paid in foreign jurisdictions are not material.</w:t>
      </w:r>
    </w:p>
    <w:p>
      <w:pPr>
        <w:pStyle w:val="BodyText"/>
        <w:spacing w:before="20"/>
      </w:pPr>
    </w:p>
    <w:p>
      <w:pPr>
        <w:pStyle w:val="BodyText"/>
        <w:spacing w:line="237" w:lineRule="auto"/>
        <w:ind w:left="144" w:right="118" w:firstLine="499"/>
        <w:jc w:val="both"/>
      </w:pPr>
      <w:r>
        <w:rPr/>
        <w:t>We recognize deferred tax assets and liabilities related to net operating losses, tax credit carryforwards and temporary differences with future </w:t>
      </w:r>
      <w:r>
        <w:rPr/>
        <w:t>tax consequences. We reduce the carrying amount of deferred tax assets by a valuation allowance if it is more likely than not such assets will not be realized. Accordingly, the need to establish valuation allowances for deferred tax assets is assessed at each reporting period based on such "more-likely-than-not" realization threshold. This assessment considers, among other matters, the nature, frequency and severity of current and cumulative losses, forecasts of future profitability, the scheduled reversal of deferred tax liabilities, the duration of statutory carryforward periods, and tax planning strategies.</w:t>
      </w:r>
    </w:p>
    <w:p>
      <w:pPr>
        <w:pStyle w:val="BodyText"/>
        <w:spacing w:before="9"/>
      </w:pPr>
    </w:p>
    <w:p>
      <w:pPr>
        <w:pStyle w:val="BodyText"/>
        <w:spacing w:line="242" w:lineRule="auto"/>
        <w:ind w:left="144" w:right="118" w:firstLine="499"/>
        <w:jc w:val="both"/>
      </w:pPr>
      <w:r>
        <w:rPr/>
        <w:t>We recorded a valuation allowance on the net deferred tax assets of our domestic jurisdictions of $2.6 billion and $2.7 billion as of December 31, </w:t>
      </w:r>
      <w:r>
        <w:rPr/>
        <w:t>2022 and</w:t>
      </w:r>
      <w:r>
        <w:rPr>
          <w:spacing w:val="40"/>
        </w:rPr>
        <w:t> </w:t>
      </w:r>
      <w:r>
        <w:rPr/>
        <w:t>2021,</w:t>
      </w:r>
      <w:r>
        <w:rPr>
          <w:spacing w:val="40"/>
        </w:rPr>
        <w:t> </w:t>
      </w:r>
      <w:r>
        <w:rPr/>
        <w:t>respectively,</w:t>
      </w:r>
      <w:r>
        <w:rPr>
          <w:spacing w:val="40"/>
        </w:rPr>
        <w:t> </w:t>
      </w:r>
      <w:r>
        <w:rPr/>
        <w:t>and</w:t>
      </w:r>
      <w:r>
        <w:rPr>
          <w:spacing w:val="40"/>
        </w:rPr>
        <w:t> </w:t>
      </w:r>
      <w:r>
        <w:rPr/>
        <w:t>a</w:t>
      </w:r>
      <w:r>
        <w:rPr>
          <w:spacing w:val="40"/>
        </w:rPr>
        <w:t> </w:t>
      </w:r>
      <w:r>
        <w:rPr/>
        <w:t>valuation</w:t>
      </w:r>
      <w:r>
        <w:rPr>
          <w:spacing w:val="40"/>
        </w:rPr>
        <w:t> </w:t>
      </w:r>
      <w:r>
        <w:rPr/>
        <w:t>allowance</w:t>
      </w:r>
      <w:r>
        <w:rPr>
          <w:spacing w:val="40"/>
        </w:rPr>
        <w:t> </w:t>
      </w:r>
      <w:r>
        <w:rPr/>
        <w:t>on</w:t>
      </w:r>
      <w:r>
        <w:rPr>
          <w:spacing w:val="40"/>
        </w:rPr>
        <w:t> </w:t>
      </w:r>
      <w:r>
        <w:rPr/>
        <w:t>certain</w:t>
      </w:r>
      <w:r>
        <w:rPr>
          <w:spacing w:val="40"/>
        </w:rPr>
        <w:t> </w:t>
      </w:r>
      <w:r>
        <w:rPr/>
        <w:t>net</w:t>
      </w:r>
      <w:r>
        <w:rPr>
          <w:spacing w:val="40"/>
        </w:rPr>
        <w:t> </w:t>
      </w:r>
      <w:r>
        <w:rPr/>
        <w:t>deferred</w:t>
      </w:r>
      <w:r>
        <w:rPr>
          <w:spacing w:val="40"/>
        </w:rPr>
        <w:t> </w:t>
      </w:r>
      <w:r>
        <w:rPr/>
        <w:t>tax</w:t>
      </w:r>
      <w:r>
        <w:rPr>
          <w:spacing w:val="40"/>
        </w:rPr>
        <w:t> </w:t>
      </w:r>
      <w:r>
        <w:rPr/>
        <w:t>assets</w:t>
      </w:r>
      <w:r>
        <w:rPr>
          <w:spacing w:val="40"/>
        </w:rPr>
        <w:t> </w:t>
      </w:r>
      <w:r>
        <w:rPr/>
        <w:t>of</w:t>
      </w:r>
      <w:r>
        <w:rPr>
          <w:spacing w:val="40"/>
        </w:rPr>
        <w:t> </w:t>
      </w:r>
      <w:r>
        <w:rPr/>
        <w:t>foreign</w:t>
      </w:r>
      <w:r>
        <w:rPr>
          <w:spacing w:val="40"/>
        </w:rPr>
        <w:t> </w:t>
      </w:r>
      <w:r>
        <w:rPr/>
        <w:t>jurisdictions</w:t>
      </w:r>
      <w:r>
        <w:rPr>
          <w:spacing w:val="40"/>
        </w:rPr>
        <w:t> </w:t>
      </w:r>
      <w:r>
        <w:rPr/>
        <w:t>of</w:t>
      </w:r>
      <w:r>
        <w:rPr>
          <w:spacing w:val="40"/>
        </w:rPr>
        <w:t> </w:t>
      </w:r>
      <w:r>
        <w:rPr/>
        <w:t>$245</w:t>
      </w:r>
      <w:r>
        <w:rPr>
          <w:spacing w:val="40"/>
        </w:rPr>
        <w:t> </w:t>
      </w:r>
      <w:r>
        <w:rPr/>
        <w:t>million</w:t>
      </w:r>
      <w:r>
        <w:rPr>
          <w:spacing w:val="40"/>
        </w:rPr>
        <w:t> </w:t>
      </w:r>
      <w:r>
        <w:rPr/>
        <w:t>and</w:t>
      </w:r>
      <w:r>
        <w:rPr>
          <w:spacing w:val="40"/>
        </w:rPr>
        <w:t> </w:t>
      </w:r>
      <w:r>
        <w:rPr/>
        <w:t>$149</w:t>
      </w:r>
      <w:r>
        <w:rPr>
          <w:spacing w:val="40"/>
        </w:rPr>
        <w:t> </w:t>
      </w:r>
      <w:r>
        <w:rPr/>
        <w:t>million</w:t>
      </w:r>
      <w:r>
        <w:rPr>
          <w:spacing w:val="40"/>
        </w:rPr>
        <w:t> </w:t>
      </w:r>
      <w:r>
        <w:rPr/>
        <w:t>as</w:t>
      </w:r>
      <w:r>
        <w:rPr>
          <w:spacing w:val="40"/>
        </w:rPr>
        <w:t> </w:t>
      </w:r>
      <w:r>
        <w:rPr/>
        <w:t>of December 31, 2022 and 2021, respectively.</w:t>
      </w:r>
      <w:r>
        <w:rPr>
          <w:spacing w:val="-2"/>
        </w:rPr>
        <w:t> </w:t>
      </w:r>
      <w:r>
        <w:rPr/>
        <w:t>We reassess the realization of deferred tax assets each reporting period. In the event we were to determine that it is more likely than not that we will be unable to realize all or part of our deferred tax assets in the future, we would increase the valuation allowance and</w:t>
      </w:r>
      <w:r>
        <w:rPr>
          <w:spacing w:val="40"/>
        </w:rPr>
        <w:t> </w:t>
      </w:r>
      <w:r>
        <w:rPr/>
        <w:t>recognize a corresponding charge to earnings or other comprehensive income in the period in which we make such a determination. Likewise, if we later determine that we are more likely than not to realize the deferred tax assets, we would reverse the applicable portion of the previously recognized valuation allowance. In order for us to realize our deferred tax assets, we must be able to generate sufficient taxable income in the jurisdictions in which the deferred tax assets are located.</w:t>
      </w:r>
    </w:p>
    <w:p>
      <w:pPr>
        <w:pStyle w:val="BodyText"/>
        <w:spacing w:before="204"/>
        <w:ind w:left="144" w:right="118" w:firstLine="499"/>
        <w:jc w:val="both"/>
      </w:pPr>
      <w:r>
        <w:rPr/>
        <w:t>Furthermore, we are subject to routine corporate income tax audits in many of these jurisdictions. We believe that positions taken on our tax returns are fully</w:t>
      </w:r>
      <w:r>
        <w:rPr>
          <w:spacing w:val="-3"/>
        </w:rPr>
        <w:t> </w:t>
      </w:r>
      <w:r>
        <w:rPr/>
        <w:t>supported,</w:t>
      </w:r>
      <w:r>
        <w:rPr>
          <w:spacing w:val="-3"/>
        </w:rPr>
        <w:t> </w:t>
      </w:r>
      <w:r>
        <w:rPr/>
        <w:t>but</w:t>
      </w:r>
      <w:r>
        <w:rPr>
          <w:spacing w:val="-3"/>
        </w:rPr>
        <w:t> </w:t>
      </w:r>
      <w:r>
        <w:rPr/>
        <w:t>tax</w:t>
      </w:r>
      <w:r>
        <w:rPr>
          <w:spacing w:val="-3"/>
        </w:rPr>
        <w:t> </w:t>
      </w:r>
      <w:r>
        <w:rPr/>
        <w:t>authorities</w:t>
      </w:r>
      <w:r>
        <w:rPr>
          <w:spacing w:val="-3"/>
        </w:rPr>
        <w:t> </w:t>
      </w:r>
      <w:r>
        <w:rPr/>
        <w:t>may</w:t>
      </w:r>
      <w:r>
        <w:rPr>
          <w:spacing w:val="-3"/>
        </w:rPr>
        <w:t> </w:t>
      </w:r>
      <w:r>
        <w:rPr/>
        <w:t>challenge</w:t>
      </w:r>
      <w:r>
        <w:rPr>
          <w:spacing w:val="-3"/>
        </w:rPr>
        <w:t> </w:t>
      </w:r>
      <w:r>
        <w:rPr/>
        <w:t>these</w:t>
      </w:r>
      <w:r>
        <w:rPr>
          <w:spacing w:val="-3"/>
        </w:rPr>
        <w:t> </w:t>
      </w:r>
      <w:r>
        <w:rPr/>
        <w:t>positions,</w:t>
      </w:r>
      <w:r>
        <w:rPr>
          <w:spacing w:val="-3"/>
        </w:rPr>
        <w:t> </w:t>
      </w:r>
      <w:r>
        <w:rPr/>
        <w:t>which</w:t>
      </w:r>
      <w:r>
        <w:rPr>
          <w:spacing w:val="-3"/>
        </w:rPr>
        <w:t> </w:t>
      </w:r>
      <w:r>
        <w:rPr/>
        <w:t>may</w:t>
      </w:r>
      <w:r>
        <w:rPr>
          <w:spacing w:val="-3"/>
        </w:rPr>
        <w:t> </w:t>
      </w:r>
      <w:r>
        <w:rPr/>
        <w:t>not</w:t>
      </w:r>
      <w:r>
        <w:rPr>
          <w:spacing w:val="-3"/>
        </w:rPr>
        <w:t> </w:t>
      </w:r>
      <w:r>
        <w:rPr/>
        <w:t>be</w:t>
      </w:r>
      <w:r>
        <w:rPr>
          <w:spacing w:val="-3"/>
        </w:rPr>
        <w:t> </w:t>
      </w:r>
      <w:r>
        <w:rPr/>
        <w:t>fully</w:t>
      </w:r>
      <w:r>
        <w:rPr>
          <w:spacing w:val="-3"/>
        </w:rPr>
        <w:t> </w:t>
      </w:r>
      <w:r>
        <w:rPr/>
        <w:t>sustained</w:t>
      </w:r>
      <w:r>
        <w:rPr>
          <w:spacing w:val="-3"/>
        </w:rPr>
        <w:t> </w:t>
      </w:r>
      <w:r>
        <w:rPr/>
        <w:t>on</w:t>
      </w:r>
      <w:r>
        <w:rPr>
          <w:spacing w:val="-3"/>
        </w:rPr>
        <w:t> </w:t>
      </w:r>
      <w:r>
        <w:rPr/>
        <w:t>examination</w:t>
      </w:r>
      <w:r>
        <w:rPr>
          <w:spacing w:val="-3"/>
        </w:rPr>
        <w:t> </w:t>
      </w:r>
      <w:r>
        <w:rPr/>
        <w:t>by</w:t>
      </w:r>
      <w:r>
        <w:rPr>
          <w:spacing w:val="-3"/>
        </w:rPr>
        <w:t> </w:t>
      </w:r>
      <w:r>
        <w:rPr/>
        <w:t>the</w:t>
      </w:r>
      <w:r>
        <w:rPr>
          <w:spacing w:val="-3"/>
        </w:rPr>
        <w:t> </w:t>
      </w:r>
      <w:r>
        <w:rPr/>
        <w:t>relevant</w:t>
      </w:r>
      <w:r>
        <w:rPr>
          <w:spacing w:val="-3"/>
        </w:rPr>
        <w:t> </w:t>
      </w:r>
      <w:r>
        <w:rPr/>
        <w:t>tax</w:t>
      </w:r>
      <w:r>
        <w:rPr>
          <w:spacing w:val="-3"/>
        </w:rPr>
        <w:t> </w:t>
      </w:r>
      <w:r>
        <w:rPr/>
        <w:t>authorities.</w:t>
      </w:r>
      <w:r>
        <w:rPr>
          <w:spacing w:val="-12"/>
        </w:rPr>
        <w:t> </w:t>
      </w:r>
      <w:r>
        <w:rPr/>
        <w:t>Accordingly, our income tax provision includes amounts intended to satisfy assessments that may result from these challenges. Determining the income tax provision for these potential assessments and recording the related effects requires management judgments and estimates. The amounts ultimately paid on resolution of an audit could be materially different from the amounts previously included in our income tax provision and, therefore, could have a material impact on our income tax provision, net income and cash flows.</w:t>
      </w:r>
    </w:p>
    <w:p>
      <w:pPr>
        <w:pStyle w:val="BodyText"/>
        <w:spacing w:before="9"/>
      </w:pPr>
    </w:p>
    <w:p>
      <w:pPr>
        <w:pStyle w:val="BodyText"/>
        <w:ind w:left="644"/>
      </w:pPr>
      <w:r>
        <w:rPr/>
        <w:t>Refer</w:t>
      </w:r>
      <w:r>
        <w:rPr>
          <w:spacing w:val="-1"/>
        </w:rPr>
        <w:t> </w:t>
      </w:r>
      <w:r>
        <w:rPr/>
        <w:t>to</w:t>
      </w:r>
      <w:r>
        <w:rPr>
          <w:spacing w:val="-1"/>
        </w:rPr>
        <w:t> </w:t>
      </w:r>
      <w:r>
        <w:rPr/>
        <w:t>Note</w:t>
      </w:r>
      <w:r>
        <w:rPr>
          <w:spacing w:val="-1"/>
        </w:rPr>
        <w:t> </w:t>
      </w:r>
      <w:r>
        <w:rPr/>
        <w:t>10</w:t>
      </w:r>
      <w:r>
        <w:rPr>
          <w:spacing w:val="-1"/>
        </w:rPr>
        <w:t> </w:t>
      </w:r>
      <w:r>
        <w:rPr/>
        <w:t>in</w:t>
      </w:r>
      <w:r>
        <w:rPr>
          <w:spacing w:val="-1"/>
        </w:rPr>
        <w:t> </w:t>
      </w:r>
      <w:r>
        <w:rPr/>
        <w:t>the</w:t>
      </w:r>
      <w:r>
        <w:rPr>
          <w:spacing w:val="-1"/>
        </w:rPr>
        <w:t> </w:t>
      </w:r>
      <w:r>
        <w:rPr/>
        <w:t>accompanying</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further</w:t>
      </w:r>
      <w:r>
        <w:rPr>
          <w:spacing w:val="-1"/>
        </w:rPr>
        <w:t> </w:t>
      </w:r>
      <w:r>
        <w:rPr/>
        <w:t>discussion</w:t>
      </w:r>
      <w:r>
        <w:rPr>
          <w:spacing w:val="-1"/>
        </w:rPr>
        <w:t> </w:t>
      </w:r>
      <w:r>
        <w:rPr/>
        <w:t>relating</w:t>
      </w:r>
      <w:r>
        <w:rPr>
          <w:spacing w:val="-1"/>
        </w:rPr>
        <w:t> </w:t>
      </w:r>
      <w:r>
        <w:rPr/>
        <w:t>to</w:t>
      </w:r>
      <w:r>
        <w:rPr>
          <w:spacing w:val="-1"/>
        </w:rPr>
        <w:t> </w:t>
      </w:r>
      <w:r>
        <w:rPr/>
        <w:t>income</w:t>
      </w:r>
      <w:r>
        <w:rPr>
          <w:spacing w:val="-1"/>
        </w:rPr>
        <w:t> </w:t>
      </w:r>
      <w:r>
        <w:rPr>
          <w:spacing w:val="-2"/>
        </w:rPr>
        <w:t>taxes.</w:t>
      </w:r>
    </w:p>
    <w:p>
      <w:pPr>
        <w:pStyle w:val="BodyText"/>
      </w:pPr>
    </w:p>
    <w:p>
      <w:pPr>
        <w:pStyle w:val="BodyText"/>
      </w:pPr>
    </w:p>
    <w:p>
      <w:pPr>
        <w:pStyle w:val="BodyText"/>
        <w:spacing w:before="198"/>
      </w:pPr>
    </w:p>
    <w:p>
      <w:pPr>
        <w:pStyle w:val="BodyText"/>
        <w:ind w:left="24"/>
        <w:jc w:val="center"/>
      </w:pPr>
      <w:r>
        <w:rPr>
          <w:spacing w:val="-5"/>
        </w:rPr>
        <w:t>50</w:t>
      </w:r>
    </w:p>
    <w:p>
      <w:pPr>
        <w:pStyle w:val="BodyText"/>
        <w:spacing w:before="3"/>
        <w:rPr>
          <w:sz w:val="6"/>
        </w:rPr>
      </w:pPr>
      <w:r>
        <w:rPr/>
        <mc:AlternateContent>
          <mc:Choice Requires="wps">
            <w:drawing>
              <wp:anchor distT="0" distB="0" distL="0" distR="0" allowOverlap="1" layoutInCell="1" locked="0" behindDoc="1" simplePos="0" relativeHeight="487641088">
                <wp:simplePos x="0" y="0"/>
                <wp:positionH relativeFrom="page">
                  <wp:posOffset>231457</wp:posOffset>
                </wp:positionH>
                <wp:positionV relativeFrom="paragraph">
                  <wp:posOffset>60956</wp:posOffset>
                </wp:positionV>
                <wp:extent cx="7312659" cy="17145"/>
                <wp:effectExtent l="0" t="0" r="0" b="0"/>
                <wp:wrapTopAndBottom/>
                <wp:docPr id="286" name="Group 286"/>
                <wp:cNvGraphicFramePr>
                  <a:graphicFrameLocks/>
                </wp:cNvGraphicFramePr>
                <a:graphic>
                  <a:graphicData uri="http://schemas.microsoft.com/office/word/2010/wordprocessingGroup">
                    <wpg:wgp>
                      <wpg:cNvPr id="286" name="Group 286"/>
                      <wpg:cNvGrpSpPr/>
                      <wpg:grpSpPr>
                        <a:xfrm>
                          <a:off x="0" y="0"/>
                          <a:ext cx="7312659" cy="17145"/>
                          <a:chExt cx="7312659" cy="17145"/>
                        </a:xfrm>
                      </wpg:grpSpPr>
                      <wps:wsp>
                        <wps:cNvPr id="287" name="Graphic 28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88" name="Graphic 288"/>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9" name="Graphic 28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5392;mso-wrap-distance-left:0;mso-wrap-distance-right:0" id="docshapegroup284" coordorigin="364,96" coordsize="11516,27">
                <v:rect style="position:absolute;left:364;top:96;width:11516;height:14" id="docshape285" filled="true" fillcolor="#999999" stroked="false">
                  <v:fill type="solid"/>
                </v:rect>
                <v:shape style="position:absolute;left:364;top:96;width:11516;height:27" id="docshape286" coordorigin="364,96" coordsize="11516,27" path="m11880,96l11866,109,364,109,364,123,11866,123,11880,123,11880,109,11880,96xe" filled="true" fillcolor="#ededed" stroked="false">
                  <v:path arrowok="t"/>
                  <v:fill type="solid"/>
                </v:shape>
                <v:shape style="position:absolute;left:364;top:96;width:14;height:27" id="docshape28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4"/>
        <w:spacing w:before="91"/>
      </w:pPr>
      <w:bookmarkStart w:name="_bookmark9" w:id="10"/>
      <w:bookmarkEnd w:id="10"/>
      <w:r>
        <w:rPr>
          <w:b w:val="0"/>
        </w:rPr>
      </w:r>
      <w:r>
        <w:rPr/>
        <w:t>ITEM</w:t>
      </w:r>
      <w:r>
        <w:rPr>
          <w:spacing w:val="-12"/>
        </w:rPr>
        <w:t> </w:t>
      </w:r>
      <w:r>
        <w:rPr/>
        <w:t>7A.</w:t>
      </w:r>
      <w:r>
        <w:rPr>
          <w:spacing w:val="-11"/>
        </w:rPr>
        <w:t> </w:t>
      </w:r>
      <w:r>
        <w:rPr/>
        <w:t>QUANTITATIVE</w:t>
      </w:r>
      <w:r>
        <w:rPr>
          <w:spacing w:val="-11"/>
        </w:rPr>
        <w:t> </w:t>
      </w:r>
      <w:r>
        <w:rPr/>
        <w:t>AND</w:t>
      </w:r>
      <w:r>
        <w:rPr>
          <w:spacing w:val="-11"/>
        </w:rPr>
        <w:t> </w:t>
      </w:r>
      <w:r>
        <w:rPr/>
        <w:t>QUALITATIVE</w:t>
      </w:r>
      <w:r>
        <w:rPr>
          <w:spacing w:val="-10"/>
        </w:rPr>
        <w:t> </w:t>
      </w:r>
      <w:r>
        <w:rPr/>
        <w:t>DISCLOSURES</w:t>
      </w:r>
      <w:r>
        <w:rPr>
          <w:spacing w:val="-11"/>
        </w:rPr>
        <w:t> </w:t>
      </w:r>
      <w:r>
        <w:rPr/>
        <w:t>ABOUT</w:t>
      </w:r>
      <w:r>
        <w:rPr>
          <w:spacing w:val="-11"/>
        </w:rPr>
        <w:t> </w:t>
      </w:r>
      <w:r>
        <w:rPr/>
        <w:t>MARKET</w:t>
      </w:r>
      <w:r>
        <w:rPr>
          <w:spacing w:val="-11"/>
        </w:rPr>
        <w:t> </w:t>
      </w:r>
      <w:r>
        <w:rPr>
          <w:spacing w:val="-4"/>
        </w:rPr>
        <w:t>RISK</w:t>
      </w:r>
    </w:p>
    <w:p>
      <w:pPr>
        <w:pStyle w:val="BodyText"/>
        <w:spacing w:before="4"/>
        <w:rPr>
          <w:b/>
        </w:rPr>
      </w:pPr>
    </w:p>
    <w:p>
      <w:pPr>
        <w:pStyle w:val="Heading5"/>
        <w:jc w:val="left"/>
      </w:pPr>
      <w:r>
        <w:rPr/>
        <w:t>Market</w:t>
      </w:r>
      <w:r>
        <w:rPr>
          <w:spacing w:val="-1"/>
        </w:rPr>
        <w:t> </w:t>
      </w:r>
      <w:r>
        <w:rPr>
          <w:spacing w:val="-4"/>
        </w:rPr>
        <w:t>Risk</w:t>
      </w:r>
    </w:p>
    <w:p>
      <w:pPr>
        <w:pStyle w:val="BodyText"/>
        <w:spacing w:before="5"/>
        <w:rPr>
          <w:b/>
        </w:rPr>
      </w:pPr>
    </w:p>
    <w:p>
      <w:pPr>
        <w:pStyle w:val="BodyText"/>
        <w:ind w:left="144" w:right="118" w:firstLine="499"/>
        <w:jc w:val="both"/>
      </w:pPr>
      <w:r>
        <w:rPr>
          <w:color w:val="202529"/>
        </w:rPr>
        <w:t>In addition to the inherent risks associated with our normal operations, we are also exposed to additional market risks. Market risk is the risk of </w:t>
      </w:r>
      <w:r>
        <w:rPr>
          <w:color w:val="202529"/>
        </w:rPr>
        <w:t>loss arising from adverse changes in market rates and prices, such as interest rates and foreign currency exchange rates. Our primary exposure to market risk is interest rate risk associated with our variable rate long-term debt. We attempt to limit our exposure to interest rate risk by managing the mix of our long-term fixed rate borrowings and short-term borrowings under our bank credit facilities.</w:t>
      </w:r>
      <w:r>
        <w:rPr>
          <w:color w:val="202529"/>
          <w:spacing w:val="-4"/>
        </w:rPr>
        <w:t> </w:t>
      </w:r>
      <w:r>
        <w:rPr>
          <w:color w:val="202529"/>
        </w:rPr>
        <w:t>A</w:t>
      </w:r>
      <w:r>
        <w:rPr>
          <w:color w:val="202529"/>
          <w:spacing w:val="-4"/>
        </w:rPr>
        <w:t> </w:t>
      </w:r>
      <w:r>
        <w:rPr>
          <w:color w:val="202529"/>
        </w:rPr>
        <w:t>change in interest rates generally does not have an impact upon our future earnings and cash flow for fixed-rate debt instruments. As fixed-rate debt matures, however, and if additional debt is acquired to fund the debt repayment, future earnings and cash flow may be affected by changes in interest rates.</w:t>
      </w:r>
      <w:r>
        <w:rPr>
          <w:color w:val="202529"/>
          <w:spacing w:val="-3"/>
        </w:rPr>
        <w:t> </w:t>
      </w:r>
      <w:r>
        <w:rPr>
          <w:color w:val="202529"/>
        </w:rPr>
        <w:t>This effect would be realized in the periods subsequent to the periods when the debt matures. We do not enter into derivative transactions that would be considered speculative positions</w:t>
      </w:r>
      <w:r>
        <w:rPr/>
        <w:t>.</w:t>
      </w:r>
    </w:p>
    <w:p>
      <w:pPr>
        <w:pStyle w:val="BodyText"/>
        <w:spacing w:line="235" w:lineRule="auto" w:before="188"/>
        <w:ind w:left="144" w:right="118" w:firstLine="499"/>
        <w:jc w:val="both"/>
      </w:pPr>
      <w:r>
        <w:rPr/>
        <w:t>As of December 31, 2022, variable rate borrowings represented approximately 17% of our total borrowings. The following table provides additional information about the maturities of our debt subject to changes in interest rates:</w:t>
      </w:r>
    </w:p>
    <w:p>
      <w:pPr>
        <w:tabs>
          <w:tab w:pos="10627" w:val="left" w:leader="none"/>
        </w:tabs>
        <w:spacing w:before="154"/>
        <w:ind w:left="5604" w:right="0" w:firstLine="0"/>
        <w:jc w:val="left"/>
        <w:rPr>
          <w:b/>
          <w:sz w:val="14"/>
        </w:rPr>
      </w:pPr>
      <w:r>
        <w:rPr/>
        <mc:AlternateContent>
          <mc:Choice Requires="wps">
            <w:drawing>
              <wp:anchor distT="0" distB="0" distL="0" distR="0" allowOverlap="1" layoutInCell="1" locked="0" behindDoc="0" simplePos="0" relativeHeight="15782912">
                <wp:simplePos x="0" y="0"/>
                <wp:positionH relativeFrom="page">
                  <wp:posOffset>1500174</wp:posOffset>
                </wp:positionH>
                <wp:positionV relativeFrom="paragraph">
                  <wp:posOffset>224172</wp:posOffset>
                </wp:positionV>
                <wp:extent cx="5066665" cy="889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5066665" cy="8890"/>
                        </a:xfrm>
                        <a:custGeom>
                          <a:avLst/>
                          <a:gdLst/>
                          <a:ahLst/>
                          <a:cxnLst/>
                          <a:rect l="l" t="t" r="r" b="b"/>
                          <a:pathLst>
                            <a:path w="5066665" h="8890">
                              <a:moveTo>
                                <a:pt x="5066347" y="0"/>
                              </a:moveTo>
                              <a:lnTo>
                                <a:pt x="5066347" y="0"/>
                              </a:lnTo>
                              <a:lnTo>
                                <a:pt x="0" y="0"/>
                              </a:lnTo>
                              <a:lnTo>
                                <a:pt x="0" y="8572"/>
                              </a:lnTo>
                              <a:lnTo>
                                <a:pt x="5066347" y="8572"/>
                              </a:lnTo>
                              <a:lnTo>
                                <a:pt x="50663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124008pt;margin-top:17.651365pt;width:398.925019pt;height:.675pt;mso-position-horizontal-relative:page;mso-position-vertical-relative:paragraph;z-index:15782912" id="docshape288" filled="true" fillcolor="#000000" stroked="false">
                <v:fill type="solid"/>
                <w10:wrap type="none"/>
              </v:rect>
            </w:pict>
          </mc:Fallback>
        </mc:AlternateContent>
      </w:r>
      <w:r>
        <w:rPr>
          <w:b/>
          <w:sz w:val="14"/>
        </w:rPr>
        <w:t>Debt</w:t>
      </w:r>
      <w:r>
        <w:rPr>
          <w:b/>
          <w:spacing w:val="8"/>
          <w:sz w:val="14"/>
        </w:rPr>
        <w:t> </w:t>
      </w:r>
      <w:r>
        <w:rPr>
          <w:b/>
          <w:sz w:val="14"/>
        </w:rPr>
        <w:t>maturing</w:t>
      </w:r>
      <w:r>
        <w:rPr>
          <w:b/>
          <w:spacing w:val="8"/>
          <w:sz w:val="14"/>
        </w:rPr>
        <w:t> </w:t>
      </w:r>
      <w:r>
        <w:rPr>
          <w:b/>
          <w:spacing w:val="-5"/>
          <w:sz w:val="14"/>
        </w:rPr>
        <w:t>in</w:t>
      </w:r>
      <w:r>
        <w:rPr>
          <w:b/>
          <w:sz w:val="14"/>
        </w:rPr>
        <w:tab/>
      </w:r>
      <w:r>
        <w:rPr>
          <w:b/>
          <w:position w:val="-6"/>
          <w:sz w:val="14"/>
        </w:rPr>
        <w:t>Fair </w:t>
      </w:r>
      <w:r>
        <w:rPr>
          <w:b/>
          <w:spacing w:val="-2"/>
          <w:position w:val="-6"/>
          <w:sz w:val="14"/>
        </w:rPr>
        <w:t>Value</w:t>
      </w:r>
    </w:p>
    <w:p>
      <w:pPr>
        <w:spacing w:after="0"/>
        <w:jc w:val="left"/>
        <w:rPr>
          <w:sz w:val="14"/>
        </w:rPr>
        <w:sectPr>
          <w:pgSz w:w="12240" w:h="15840"/>
          <w:pgMar w:top="1820" w:bottom="280" w:left="220" w:right="240"/>
        </w:sectPr>
      </w:pPr>
    </w:p>
    <w:p>
      <w:pPr>
        <w:tabs>
          <w:tab w:pos="3669" w:val="left" w:leader="none"/>
          <w:tab w:pos="4818" w:val="left" w:leader="none"/>
          <w:tab w:pos="5966" w:val="left" w:leader="none"/>
          <w:tab w:pos="7115" w:val="left" w:leader="none"/>
          <w:tab w:pos="8102" w:val="left" w:leader="none"/>
          <w:tab w:pos="9449" w:val="left" w:leader="none"/>
        </w:tabs>
        <w:spacing w:line="160" w:lineRule="exact" w:before="0"/>
        <w:ind w:left="2521" w:right="0" w:firstLine="0"/>
        <w:jc w:val="left"/>
        <w:rPr>
          <w:b/>
          <w:sz w:val="14"/>
        </w:rPr>
      </w:pPr>
      <w:r>
        <w:rPr>
          <w:b/>
          <w:spacing w:val="-4"/>
          <w:sz w:val="14"/>
        </w:rPr>
        <w:t>2023</w:t>
      </w:r>
      <w:r>
        <w:rPr>
          <w:b/>
          <w:sz w:val="14"/>
        </w:rPr>
        <w:tab/>
      </w:r>
      <w:r>
        <w:rPr>
          <w:b/>
          <w:spacing w:val="-4"/>
          <w:sz w:val="14"/>
        </w:rPr>
        <w:t>2024</w:t>
      </w:r>
      <w:r>
        <w:rPr>
          <w:b/>
          <w:sz w:val="14"/>
        </w:rPr>
        <w:tab/>
      </w:r>
      <w:r>
        <w:rPr>
          <w:b/>
          <w:spacing w:val="-4"/>
          <w:sz w:val="14"/>
        </w:rPr>
        <w:t>2025</w:t>
      </w:r>
      <w:r>
        <w:rPr>
          <w:b/>
          <w:sz w:val="14"/>
        </w:rPr>
        <w:tab/>
      </w:r>
      <w:r>
        <w:rPr>
          <w:b/>
          <w:spacing w:val="-4"/>
          <w:sz w:val="14"/>
        </w:rPr>
        <w:t>2026</w:t>
      </w:r>
      <w:r>
        <w:rPr>
          <w:b/>
          <w:sz w:val="14"/>
        </w:rPr>
        <w:tab/>
      </w:r>
      <w:r>
        <w:rPr>
          <w:b/>
          <w:spacing w:val="-4"/>
          <w:sz w:val="14"/>
        </w:rPr>
        <w:t>2027</w:t>
      </w:r>
      <w:r>
        <w:rPr>
          <w:b/>
          <w:sz w:val="14"/>
        </w:rPr>
        <w:tab/>
      </w:r>
      <w:r>
        <w:rPr>
          <w:b/>
          <w:spacing w:val="-2"/>
          <w:sz w:val="14"/>
        </w:rPr>
        <w:t>Thereafter</w:t>
      </w:r>
      <w:r>
        <w:rPr>
          <w:b/>
          <w:sz w:val="14"/>
        </w:rPr>
        <w:tab/>
      </w:r>
      <w:r>
        <w:rPr>
          <w:b/>
          <w:spacing w:val="-4"/>
          <w:sz w:val="14"/>
        </w:rPr>
        <w:t>Total</w:t>
      </w:r>
    </w:p>
    <w:p>
      <w:pPr>
        <w:spacing w:before="68"/>
        <w:ind w:left="5923" w:right="0" w:firstLine="0"/>
        <w:jc w:val="left"/>
        <w:rPr>
          <w:b/>
          <w:i/>
          <w:sz w:val="14"/>
        </w:rPr>
      </w:pPr>
      <w:r>
        <w:rPr/>
        <mc:AlternateContent>
          <mc:Choice Requires="wps">
            <w:drawing>
              <wp:anchor distT="0" distB="0" distL="0" distR="0" allowOverlap="1" layoutInCell="1" locked="0" behindDoc="0" simplePos="0" relativeHeight="15783424">
                <wp:simplePos x="0" y="0"/>
                <wp:positionH relativeFrom="page">
                  <wp:posOffset>1500174</wp:posOffset>
                </wp:positionH>
                <wp:positionV relativeFrom="paragraph">
                  <wp:posOffset>23649</wp:posOffset>
                </wp:positionV>
                <wp:extent cx="6043930" cy="889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6043930" cy="8890"/>
                        </a:xfrm>
                        <a:custGeom>
                          <a:avLst/>
                          <a:gdLst/>
                          <a:ahLst/>
                          <a:cxnLst/>
                          <a:rect l="l" t="t" r="r" b="b"/>
                          <a:pathLst>
                            <a:path w="6043930" h="8890">
                              <a:moveTo>
                                <a:pt x="6043612" y="0"/>
                              </a:moveTo>
                              <a:lnTo>
                                <a:pt x="6043612" y="0"/>
                              </a:lnTo>
                              <a:lnTo>
                                <a:pt x="0" y="0"/>
                              </a:lnTo>
                              <a:lnTo>
                                <a:pt x="0" y="8572"/>
                              </a:lnTo>
                              <a:lnTo>
                                <a:pt x="6043612" y="8572"/>
                              </a:lnTo>
                              <a:lnTo>
                                <a:pt x="6043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124008pt;margin-top:1.862157pt;width:475.875023pt;height:.675pt;mso-position-horizontal-relative:page;mso-position-vertical-relative:paragraph;z-index:15783424" id="docshape289" filled="true" fillcolor="#000000" stroked="false">
                <v:fill type="solid"/>
                <w10:wrap type="none"/>
              </v:rect>
            </w:pict>
          </mc:Fallback>
        </mc:AlternateContent>
      </w:r>
      <w:r>
        <w:rPr>
          <w:b/>
          <w:i/>
          <w:sz w:val="14"/>
        </w:rPr>
        <w:t>(In</w:t>
      </w:r>
      <w:r>
        <w:rPr>
          <w:b/>
          <w:i/>
          <w:spacing w:val="7"/>
          <w:sz w:val="14"/>
        </w:rPr>
        <w:t> </w:t>
      </w:r>
      <w:r>
        <w:rPr>
          <w:b/>
          <w:i/>
          <w:sz w:val="14"/>
        </w:rPr>
        <w:t>millions</w:t>
      </w:r>
      <w:r>
        <w:rPr>
          <w:b/>
          <w:i/>
          <w:spacing w:val="7"/>
          <w:sz w:val="14"/>
        </w:rPr>
        <w:t> </w:t>
      </w:r>
      <w:r>
        <w:rPr>
          <w:b/>
          <w:i/>
          <w:sz w:val="14"/>
        </w:rPr>
        <w:t>except</w:t>
      </w:r>
      <w:r>
        <w:rPr>
          <w:b/>
          <w:i/>
          <w:spacing w:val="7"/>
          <w:sz w:val="14"/>
        </w:rPr>
        <w:t> </w:t>
      </w:r>
      <w:r>
        <w:rPr>
          <w:b/>
          <w:i/>
          <w:sz w:val="14"/>
        </w:rPr>
        <w:t>interest</w:t>
      </w:r>
      <w:r>
        <w:rPr>
          <w:b/>
          <w:i/>
          <w:spacing w:val="7"/>
          <w:sz w:val="14"/>
        </w:rPr>
        <w:t> </w:t>
      </w:r>
      <w:r>
        <w:rPr>
          <w:b/>
          <w:i/>
          <w:spacing w:val="-2"/>
          <w:sz w:val="14"/>
        </w:rPr>
        <w:t>rates)</w:t>
      </w:r>
    </w:p>
    <w:p>
      <w:pPr>
        <w:spacing w:line="160" w:lineRule="exact" w:before="0"/>
        <w:ind w:left="563" w:right="0" w:firstLine="0"/>
        <w:jc w:val="left"/>
        <w:rPr>
          <w:b/>
          <w:sz w:val="14"/>
        </w:rPr>
      </w:pPr>
      <w:r>
        <w:rPr/>
        <w:br w:type="column"/>
      </w:r>
      <w:r>
        <w:rPr>
          <w:b/>
          <w:sz w:val="14"/>
        </w:rPr>
        <w:t>December</w:t>
      </w:r>
      <w:r>
        <w:rPr>
          <w:b/>
          <w:spacing w:val="5"/>
          <w:sz w:val="14"/>
        </w:rPr>
        <w:t> </w:t>
      </w:r>
      <w:r>
        <w:rPr>
          <w:b/>
          <w:sz w:val="14"/>
        </w:rPr>
        <w:t>31,</w:t>
      </w:r>
      <w:r>
        <w:rPr>
          <w:b/>
          <w:spacing w:val="8"/>
          <w:sz w:val="14"/>
        </w:rPr>
        <w:t> </w:t>
      </w:r>
      <w:r>
        <w:rPr>
          <w:b/>
          <w:spacing w:val="-4"/>
          <w:sz w:val="14"/>
        </w:rPr>
        <w:t>2022</w:t>
      </w:r>
    </w:p>
    <w:p>
      <w:pPr>
        <w:spacing w:after="0" w:line="160" w:lineRule="exact"/>
        <w:jc w:val="left"/>
        <w:rPr>
          <w:sz w:val="14"/>
        </w:rPr>
        <w:sectPr>
          <w:type w:val="continuous"/>
          <w:pgSz w:w="12240" w:h="15840"/>
          <w:pgMar w:top="1040" w:bottom="280" w:left="220" w:right="240"/>
          <w:cols w:num="2" w:equalWidth="0">
            <w:col w:w="9765" w:space="40"/>
            <w:col w:w="1975"/>
          </w:cols>
        </w:sectPr>
      </w:pPr>
    </w:p>
    <w:p>
      <w:pPr>
        <w:pStyle w:val="BodyText"/>
        <w:spacing w:before="3"/>
        <w:rPr>
          <w:b/>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3"/>
        <w:gridCol w:w="776"/>
        <w:gridCol w:w="706"/>
        <w:gridCol w:w="370"/>
        <w:gridCol w:w="778"/>
        <w:gridCol w:w="460"/>
        <w:gridCol w:w="688"/>
        <w:gridCol w:w="460"/>
        <w:gridCol w:w="688"/>
        <w:gridCol w:w="460"/>
        <w:gridCol w:w="688"/>
        <w:gridCol w:w="484"/>
        <w:gridCol w:w="715"/>
        <w:gridCol w:w="373"/>
        <w:gridCol w:w="776"/>
        <w:gridCol w:w="616"/>
        <w:gridCol w:w="863"/>
      </w:tblGrid>
      <w:tr>
        <w:trPr>
          <w:trHeight w:val="229" w:hRule="atLeast"/>
        </w:trPr>
        <w:tc>
          <w:tcPr>
            <w:tcW w:w="1613" w:type="dxa"/>
            <w:shd w:val="clear" w:color="auto" w:fill="CFF0FB"/>
          </w:tcPr>
          <w:p>
            <w:pPr>
              <w:pStyle w:val="TableParagraph"/>
              <w:spacing w:before="17"/>
              <w:ind w:left="17"/>
              <w:rPr>
                <w:sz w:val="14"/>
              </w:rPr>
            </w:pPr>
            <w:r>
              <w:rPr>
                <w:sz w:val="14"/>
              </w:rPr>
              <w:t>Fixed-</w:t>
            </w:r>
            <w:r>
              <w:rPr>
                <w:spacing w:val="-4"/>
                <w:sz w:val="14"/>
              </w:rPr>
              <w:t>rate</w:t>
            </w:r>
          </w:p>
        </w:tc>
        <w:tc>
          <w:tcPr>
            <w:tcW w:w="1482" w:type="dxa"/>
            <w:gridSpan w:val="2"/>
            <w:shd w:val="clear" w:color="auto" w:fill="CFF0FB"/>
          </w:tcPr>
          <w:p>
            <w:pPr>
              <w:pStyle w:val="TableParagraph"/>
              <w:tabs>
                <w:tab w:pos="928" w:val="left" w:leader="none"/>
              </w:tabs>
              <w:spacing w:before="17"/>
              <w:ind w:left="407"/>
              <w:rPr>
                <w:sz w:val="14"/>
              </w:rPr>
            </w:pPr>
            <w:r>
              <w:rPr>
                <w:spacing w:val="-10"/>
                <w:sz w:val="14"/>
              </w:rPr>
              <w:t>$</w:t>
            </w:r>
            <w:r>
              <w:rPr>
                <w:sz w:val="14"/>
              </w:rPr>
              <w:tab/>
            </w:r>
            <w:r>
              <w:rPr>
                <w:spacing w:val="-2"/>
                <w:sz w:val="14"/>
              </w:rPr>
              <w:t>1,250</w:t>
            </w:r>
          </w:p>
        </w:tc>
        <w:tc>
          <w:tcPr>
            <w:tcW w:w="1148" w:type="dxa"/>
            <w:gridSpan w:val="2"/>
            <w:shd w:val="clear" w:color="auto" w:fill="CFF0FB"/>
          </w:tcPr>
          <w:p>
            <w:pPr>
              <w:pStyle w:val="TableParagraph"/>
              <w:tabs>
                <w:tab w:pos="703" w:val="left" w:leader="none"/>
              </w:tabs>
              <w:spacing w:before="17"/>
              <w:ind w:left="73"/>
              <w:rPr>
                <w:sz w:val="14"/>
              </w:rPr>
            </w:pPr>
            <w:r>
              <w:rPr>
                <w:spacing w:val="-10"/>
                <w:sz w:val="14"/>
              </w:rPr>
              <w:t>$</w:t>
            </w:r>
            <w:r>
              <w:rPr>
                <w:sz w:val="14"/>
              </w:rPr>
              <w:tab/>
            </w:r>
            <w:r>
              <w:rPr>
                <w:spacing w:val="-5"/>
                <w:sz w:val="14"/>
              </w:rPr>
              <w:t>750</w:t>
            </w:r>
          </w:p>
        </w:tc>
        <w:tc>
          <w:tcPr>
            <w:tcW w:w="1148" w:type="dxa"/>
            <w:gridSpan w:val="2"/>
            <w:shd w:val="clear" w:color="auto" w:fill="CFF0FB"/>
          </w:tcPr>
          <w:p>
            <w:pPr>
              <w:pStyle w:val="TableParagraph"/>
              <w:tabs>
                <w:tab w:pos="595" w:val="left" w:leader="none"/>
              </w:tabs>
              <w:spacing w:before="17"/>
              <w:ind w:left="74"/>
              <w:rPr>
                <w:sz w:val="14"/>
              </w:rPr>
            </w:pPr>
            <w:r>
              <w:rPr>
                <w:spacing w:val="-10"/>
                <w:sz w:val="14"/>
              </w:rPr>
              <w:t>$</w:t>
            </w:r>
            <w:r>
              <w:rPr>
                <w:sz w:val="14"/>
              </w:rPr>
              <w:tab/>
            </w:r>
            <w:r>
              <w:rPr>
                <w:spacing w:val="-2"/>
                <w:sz w:val="14"/>
              </w:rPr>
              <w:t>1,925</w:t>
            </w:r>
          </w:p>
        </w:tc>
        <w:tc>
          <w:tcPr>
            <w:tcW w:w="1148" w:type="dxa"/>
            <w:gridSpan w:val="2"/>
            <w:shd w:val="clear" w:color="auto" w:fill="CFF0FB"/>
          </w:tcPr>
          <w:p>
            <w:pPr>
              <w:pStyle w:val="TableParagraph"/>
              <w:tabs>
                <w:tab w:pos="596" w:val="left" w:leader="none"/>
              </w:tabs>
              <w:spacing w:before="17"/>
              <w:ind w:left="74"/>
              <w:rPr>
                <w:sz w:val="14"/>
              </w:rPr>
            </w:pPr>
            <w:r>
              <w:rPr>
                <w:spacing w:val="-10"/>
                <w:sz w:val="14"/>
              </w:rPr>
              <w:t>$</w:t>
            </w:r>
            <w:r>
              <w:rPr>
                <w:sz w:val="14"/>
              </w:rPr>
              <w:tab/>
            </w:r>
            <w:r>
              <w:rPr>
                <w:spacing w:val="-2"/>
                <w:sz w:val="14"/>
              </w:rPr>
              <w:t>1,150</w:t>
            </w:r>
          </w:p>
        </w:tc>
        <w:tc>
          <w:tcPr>
            <w:tcW w:w="1148" w:type="dxa"/>
            <w:gridSpan w:val="2"/>
            <w:shd w:val="clear" w:color="auto" w:fill="CFF0FB"/>
          </w:tcPr>
          <w:p>
            <w:pPr>
              <w:pStyle w:val="TableParagraph"/>
              <w:tabs>
                <w:tab w:pos="596" w:val="left" w:leader="none"/>
              </w:tabs>
              <w:spacing w:before="17"/>
              <w:ind w:left="75"/>
              <w:rPr>
                <w:sz w:val="14"/>
              </w:rPr>
            </w:pPr>
            <w:r>
              <w:rPr>
                <w:spacing w:val="-10"/>
                <w:sz w:val="14"/>
              </w:rPr>
              <w:t>$</w:t>
            </w:r>
            <w:r>
              <w:rPr>
                <w:sz w:val="14"/>
              </w:rPr>
              <w:tab/>
            </w:r>
            <w:r>
              <w:rPr>
                <w:spacing w:val="-2"/>
                <w:sz w:val="14"/>
              </w:rPr>
              <w:t>1,425</w:t>
            </w:r>
          </w:p>
        </w:tc>
        <w:tc>
          <w:tcPr>
            <w:tcW w:w="1199" w:type="dxa"/>
            <w:gridSpan w:val="2"/>
            <w:shd w:val="clear" w:color="auto" w:fill="CFF0FB"/>
          </w:tcPr>
          <w:p>
            <w:pPr>
              <w:pStyle w:val="TableParagraph"/>
              <w:tabs>
                <w:tab w:pos="753" w:val="left" w:leader="none"/>
              </w:tabs>
              <w:spacing w:before="17"/>
              <w:ind w:left="75"/>
              <w:rPr>
                <w:sz w:val="14"/>
              </w:rPr>
            </w:pPr>
            <w:r>
              <w:rPr>
                <w:spacing w:val="-10"/>
                <w:sz w:val="14"/>
              </w:rPr>
              <w:t>$</w:t>
            </w:r>
            <w:r>
              <w:rPr>
                <w:sz w:val="14"/>
              </w:rPr>
              <w:tab/>
            </w:r>
            <w:r>
              <w:rPr>
                <w:spacing w:val="-5"/>
                <w:sz w:val="14"/>
              </w:rPr>
              <w:t>750</w:t>
            </w:r>
          </w:p>
        </w:tc>
        <w:tc>
          <w:tcPr>
            <w:tcW w:w="1149" w:type="dxa"/>
            <w:gridSpan w:val="2"/>
            <w:shd w:val="clear" w:color="auto" w:fill="CFF0FB"/>
          </w:tcPr>
          <w:p>
            <w:pPr>
              <w:pStyle w:val="TableParagraph"/>
              <w:tabs>
                <w:tab w:pos="597" w:val="left" w:leader="none"/>
              </w:tabs>
              <w:spacing w:before="17"/>
              <w:ind w:left="75"/>
              <w:rPr>
                <w:sz w:val="14"/>
              </w:rPr>
            </w:pPr>
            <w:r>
              <w:rPr>
                <w:spacing w:val="-10"/>
                <w:sz w:val="14"/>
              </w:rPr>
              <w:t>$</w:t>
            </w:r>
            <w:r>
              <w:rPr>
                <w:sz w:val="14"/>
              </w:rPr>
              <w:tab/>
            </w:r>
            <w:r>
              <w:rPr>
                <w:spacing w:val="-2"/>
                <w:sz w:val="14"/>
              </w:rPr>
              <w:t>7,250</w:t>
            </w:r>
          </w:p>
        </w:tc>
        <w:tc>
          <w:tcPr>
            <w:tcW w:w="616" w:type="dxa"/>
            <w:shd w:val="clear" w:color="auto" w:fill="CFF0FB"/>
          </w:tcPr>
          <w:p>
            <w:pPr>
              <w:pStyle w:val="TableParagraph"/>
              <w:spacing w:before="17"/>
              <w:ind w:left="75"/>
              <w:rPr>
                <w:sz w:val="14"/>
              </w:rPr>
            </w:pPr>
            <w:r>
              <w:rPr>
                <w:spacing w:val="-10"/>
                <w:sz w:val="14"/>
              </w:rPr>
              <w:t>$</w:t>
            </w:r>
          </w:p>
        </w:tc>
        <w:tc>
          <w:tcPr>
            <w:tcW w:w="863" w:type="dxa"/>
            <w:shd w:val="clear" w:color="auto" w:fill="CFF0FB"/>
          </w:tcPr>
          <w:p>
            <w:pPr>
              <w:pStyle w:val="TableParagraph"/>
              <w:spacing w:before="17"/>
              <w:ind w:right="65"/>
              <w:jc w:val="right"/>
              <w:rPr>
                <w:sz w:val="14"/>
              </w:rPr>
            </w:pPr>
            <w:r>
              <w:rPr>
                <w:spacing w:val="-2"/>
                <w:sz w:val="14"/>
              </w:rPr>
              <w:t>6,850</w:t>
            </w:r>
          </w:p>
        </w:tc>
      </w:tr>
      <w:tr>
        <w:trPr>
          <w:trHeight w:val="215" w:hRule="atLeast"/>
        </w:trPr>
        <w:tc>
          <w:tcPr>
            <w:tcW w:w="1613" w:type="dxa"/>
          </w:tcPr>
          <w:p>
            <w:pPr>
              <w:pStyle w:val="TableParagraph"/>
              <w:spacing w:before="17"/>
              <w:ind w:left="17"/>
              <w:rPr>
                <w:sz w:val="14"/>
              </w:rPr>
            </w:pPr>
            <w:r>
              <w:rPr>
                <w:sz w:val="14"/>
              </w:rPr>
              <w:t>Average</w:t>
            </w:r>
            <w:r>
              <w:rPr>
                <w:spacing w:val="3"/>
                <w:sz w:val="14"/>
              </w:rPr>
              <w:t> </w:t>
            </w:r>
            <w:r>
              <w:rPr>
                <w:sz w:val="14"/>
              </w:rPr>
              <w:t>interest</w:t>
            </w:r>
            <w:r>
              <w:rPr>
                <w:spacing w:val="3"/>
                <w:sz w:val="14"/>
              </w:rPr>
              <w:t> </w:t>
            </w:r>
            <w:r>
              <w:rPr>
                <w:spacing w:val="-4"/>
                <w:sz w:val="14"/>
              </w:rPr>
              <w:t>rate</w:t>
            </w:r>
          </w:p>
        </w:tc>
        <w:tc>
          <w:tcPr>
            <w:tcW w:w="1482" w:type="dxa"/>
            <w:gridSpan w:val="2"/>
          </w:tcPr>
          <w:p>
            <w:pPr>
              <w:pStyle w:val="TableParagraph"/>
              <w:spacing w:before="17"/>
              <w:ind w:right="71"/>
              <w:jc w:val="right"/>
              <w:rPr>
                <w:sz w:val="14"/>
              </w:rPr>
            </w:pPr>
            <w:r>
              <w:rPr>
                <w:sz w:val="14"/>
              </w:rPr>
              <w:t>6.0</w:t>
            </w:r>
            <w:r>
              <w:rPr>
                <w:spacing w:val="4"/>
                <w:sz w:val="14"/>
              </w:rPr>
              <w:t> </w:t>
            </w:r>
            <w:r>
              <w:rPr>
                <w:spacing w:val="-10"/>
                <w:sz w:val="14"/>
              </w:rPr>
              <w:t>%</w:t>
            </w:r>
          </w:p>
        </w:tc>
        <w:tc>
          <w:tcPr>
            <w:tcW w:w="1148" w:type="dxa"/>
            <w:gridSpan w:val="2"/>
          </w:tcPr>
          <w:p>
            <w:pPr>
              <w:pStyle w:val="TableParagraph"/>
              <w:spacing w:before="17"/>
              <w:ind w:left="739"/>
              <w:rPr>
                <w:sz w:val="14"/>
              </w:rPr>
            </w:pPr>
            <w:r>
              <w:rPr>
                <w:sz w:val="14"/>
              </w:rPr>
              <w:t>5.4</w:t>
            </w:r>
            <w:r>
              <w:rPr>
                <w:spacing w:val="4"/>
                <w:sz w:val="14"/>
              </w:rPr>
              <w:t> </w:t>
            </w:r>
            <w:r>
              <w:rPr>
                <w:spacing w:val="-10"/>
                <w:sz w:val="14"/>
              </w:rPr>
              <w:t>%</w:t>
            </w:r>
          </w:p>
        </w:tc>
        <w:tc>
          <w:tcPr>
            <w:tcW w:w="1148" w:type="dxa"/>
            <w:gridSpan w:val="2"/>
          </w:tcPr>
          <w:p>
            <w:pPr>
              <w:pStyle w:val="TableParagraph"/>
              <w:spacing w:before="17"/>
              <w:ind w:left="739"/>
              <w:rPr>
                <w:sz w:val="14"/>
              </w:rPr>
            </w:pPr>
            <w:r>
              <w:rPr>
                <w:sz w:val="14"/>
              </w:rPr>
              <w:t>6.0</w:t>
            </w:r>
            <w:r>
              <w:rPr>
                <w:spacing w:val="4"/>
                <w:sz w:val="14"/>
              </w:rPr>
              <w:t> </w:t>
            </w:r>
            <w:r>
              <w:rPr>
                <w:spacing w:val="-10"/>
                <w:sz w:val="14"/>
              </w:rPr>
              <w:t>%</w:t>
            </w:r>
          </w:p>
        </w:tc>
        <w:tc>
          <w:tcPr>
            <w:tcW w:w="1148" w:type="dxa"/>
            <w:gridSpan w:val="2"/>
          </w:tcPr>
          <w:p>
            <w:pPr>
              <w:pStyle w:val="TableParagraph"/>
              <w:spacing w:before="17"/>
              <w:ind w:left="740"/>
              <w:rPr>
                <w:sz w:val="14"/>
              </w:rPr>
            </w:pPr>
            <w:r>
              <w:rPr>
                <w:sz w:val="14"/>
              </w:rPr>
              <w:t>5.4</w:t>
            </w:r>
            <w:r>
              <w:rPr>
                <w:spacing w:val="4"/>
                <w:sz w:val="14"/>
              </w:rPr>
              <w:t> </w:t>
            </w:r>
            <w:r>
              <w:rPr>
                <w:spacing w:val="-10"/>
                <w:sz w:val="14"/>
              </w:rPr>
              <w:t>%</w:t>
            </w:r>
          </w:p>
        </w:tc>
        <w:tc>
          <w:tcPr>
            <w:tcW w:w="1148" w:type="dxa"/>
            <w:gridSpan w:val="2"/>
          </w:tcPr>
          <w:p>
            <w:pPr>
              <w:pStyle w:val="TableParagraph"/>
              <w:spacing w:before="17"/>
              <w:ind w:left="740"/>
              <w:rPr>
                <w:sz w:val="14"/>
              </w:rPr>
            </w:pPr>
            <w:r>
              <w:rPr>
                <w:sz w:val="14"/>
              </w:rPr>
              <w:t>5.1</w:t>
            </w:r>
            <w:r>
              <w:rPr>
                <w:spacing w:val="4"/>
                <w:sz w:val="14"/>
              </w:rPr>
              <w:t> </w:t>
            </w:r>
            <w:r>
              <w:rPr>
                <w:spacing w:val="-10"/>
                <w:sz w:val="14"/>
              </w:rPr>
              <w:t>%</w:t>
            </w:r>
          </w:p>
        </w:tc>
        <w:tc>
          <w:tcPr>
            <w:tcW w:w="1199" w:type="dxa"/>
            <w:gridSpan w:val="2"/>
          </w:tcPr>
          <w:p>
            <w:pPr>
              <w:pStyle w:val="TableParagraph"/>
              <w:spacing w:before="17"/>
              <w:ind w:left="789"/>
              <w:rPr>
                <w:sz w:val="14"/>
              </w:rPr>
            </w:pPr>
            <w:r>
              <w:rPr>
                <w:sz w:val="14"/>
              </w:rPr>
              <w:t>4.8</w:t>
            </w:r>
            <w:r>
              <w:rPr>
                <w:spacing w:val="6"/>
                <w:sz w:val="14"/>
              </w:rPr>
              <w:t> </w:t>
            </w:r>
            <w:r>
              <w:rPr>
                <w:spacing w:val="-10"/>
                <w:sz w:val="14"/>
              </w:rPr>
              <w:t>%</w:t>
            </w:r>
          </w:p>
        </w:tc>
        <w:tc>
          <w:tcPr>
            <w:tcW w:w="1149" w:type="dxa"/>
            <w:gridSpan w:val="2"/>
          </w:tcPr>
          <w:p>
            <w:pPr>
              <w:pStyle w:val="TableParagraph"/>
              <w:spacing w:before="17"/>
              <w:ind w:left="741"/>
              <w:rPr>
                <w:sz w:val="14"/>
              </w:rPr>
            </w:pPr>
            <w:r>
              <w:rPr>
                <w:sz w:val="14"/>
              </w:rPr>
              <w:t>5.5</w:t>
            </w:r>
            <w:r>
              <w:rPr>
                <w:spacing w:val="4"/>
                <w:sz w:val="14"/>
              </w:rPr>
              <w:t> </w:t>
            </w:r>
            <w:r>
              <w:rPr>
                <w:spacing w:val="-10"/>
                <w:sz w:val="14"/>
              </w:rPr>
              <w:t>%</w:t>
            </w:r>
          </w:p>
        </w:tc>
        <w:tc>
          <w:tcPr>
            <w:tcW w:w="616" w:type="dxa"/>
          </w:tcPr>
          <w:p>
            <w:pPr>
              <w:pStyle w:val="TableParagraph"/>
              <w:spacing w:before="0"/>
              <w:rPr>
                <w:sz w:val="14"/>
              </w:rPr>
            </w:pPr>
          </w:p>
        </w:tc>
        <w:tc>
          <w:tcPr>
            <w:tcW w:w="863" w:type="dxa"/>
          </w:tcPr>
          <w:p>
            <w:pPr>
              <w:pStyle w:val="TableParagraph"/>
              <w:spacing w:before="0"/>
              <w:rPr>
                <w:sz w:val="14"/>
              </w:rPr>
            </w:pPr>
          </w:p>
        </w:tc>
      </w:tr>
      <w:tr>
        <w:trPr>
          <w:trHeight w:val="215" w:hRule="atLeast"/>
        </w:trPr>
        <w:tc>
          <w:tcPr>
            <w:tcW w:w="1613" w:type="dxa"/>
            <w:shd w:val="clear" w:color="auto" w:fill="CFF0FB"/>
          </w:tcPr>
          <w:p>
            <w:pPr>
              <w:pStyle w:val="TableParagraph"/>
              <w:spacing w:before="17"/>
              <w:ind w:left="17"/>
              <w:rPr>
                <w:sz w:val="14"/>
              </w:rPr>
            </w:pPr>
            <w:r>
              <w:rPr>
                <w:sz w:val="14"/>
              </w:rPr>
              <w:t>Variable</w:t>
            </w:r>
            <w:r>
              <w:rPr>
                <w:spacing w:val="-7"/>
                <w:sz w:val="14"/>
              </w:rPr>
              <w:t> </w:t>
            </w:r>
            <w:r>
              <w:rPr>
                <w:spacing w:val="-4"/>
                <w:sz w:val="14"/>
              </w:rPr>
              <w:t>rate</w:t>
            </w:r>
          </w:p>
        </w:tc>
        <w:tc>
          <w:tcPr>
            <w:tcW w:w="776" w:type="dxa"/>
            <w:shd w:val="clear" w:color="auto" w:fill="CFF0FB"/>
          </w:tcPr>
          <w:p>
            <w:pPr>
              <w:pStyle w:val="TableParagraph"/>
              <w:spacing w:before="17"/>
              <w:ind w:left="110"/>
              <w:jc w:val="center"/>
              <w:rPr>
                <w:sz w:val="14"/>
              </w:rPr>
            </w:pPr>
            <w:r>
              <w:rPr>
                <w:spacing w:val="-10"/>
                <w:sz w:val="14"/>
              </w:rPr>
              <w:t>$</w:t>
            </w:r>
          </w:p>
        </w:tc>
        <w:tc>
          <w:tcPr>
            <w:tcW w:w="706" w:type="dxa"/>
            <w:shd w:val="clear" w:color="auto" w:fill="CFF0FB"/>
          </w:tcPr>
          <w:p>
            <w:pPr>
              <w:pStyle w:val="TableParagraph"/>
              <w:spacing w:before="17"/>
              <w:ind w:left="332"/>
              <w:rPr>
                <w:sz w:val="14"/>
              </w:rPr>
            </w:pPr>
            <w:r>
              <w:rPr>
                <w:spacing w:val="-5"/>
                <w:sz w:val="14"/>
              </w:rPr>
              <w:t>37</w:t>
            </w:r>
          </w:p>
        </w:tc>
        <w:tc>
          <w:tcPr>
            <w:tcW w:w="370" w:type="dxa"/>
            <w:shd w:val="clear" w:color="auto" w:fill="CFF0FB"/>
          </w:tcPr>
          <w:p>
            <w:pPr>
              <w:pStyle w:val="TableParagraph"/>
              <w:spacing w:before="17"/>
              <w:ind w:left="73"/>
              <w:rPr>
                <w:sz w:val="14"/>
              </w:rPr>
            </w:pPr>
            <w:r>
              <w:rPr>
                <w:spacing w:val="-10"/>
                <w:sz w:val="14"/>
              </w:rPr>
              <w:t>$</w:t>
            </w:r>
          </w:p>
        </w:tc>
        <w:tc>
          <w:tcPr>
            <w:tcW w:w="778" w:type="dxa"/>
            <w:shd w:val="clear" w:color="auto" w:fill="CFF0FB"/>
          </w:tcPr>
          <w:p>
            <w:pPr>
              <w:pStyle w:val="TableParagraph"/>
              <w:spacing w:before="17"/>
              <w:ind w:left="225"/>
              <w:rPr>
                <w:sz w:val="14"/>
              </w:rPr>
            </w:pPr>
            <w:r>
              <w:rPr>
                <w:spacing w:val="-2"/>
                <w:sz w:val="14"/>
              </w:rPr>
              <w:t>1,474</w:t>
            </w:r>
          </w:p>
        </w:tc>
        <w:tc>
          <w:tcPr>
            <w:tcW w:w="460" w:type="dxa"/>
            <w:shd w:val="clear" w:color="auto" w:fill="CFF0FB"/>
          </w:tcPr>
          <w:p>
            <w:pPr>
              <w:pStyle w:val="TableParagraph"/>
              <w:spacing w:before="17"/>
              <w:ind w:left="74"/>
              <w:rPr>
                <w:sz w:val="14"/>
              </w:rPr>
            </w:pPr>
            <w:r>
              <w:rPr>
                <w:spacing w:val="-10"/>
                <w:sz w:val="14"/>
              </w:rPr>
              <w:t>$</w:t>
            </w:r>
          </w:p>
        </w:tc>
        <w:tc>
          <w:tcPr>
            <w:tcW w:w="688" w:type="dxa"/>
            <w:shd w:val="clear" w:color="auto" w:fill="CFF0FB"/>
          </w:tcPr>
          <w:p>
            <w:pPr>
              <w:pStyle w:val="TableParagraph"/>
              <w:spacing w:before="17"/>
              <w:ind w:left="315"/>
              <w:rPr>
                <w:sz w:val="14"/>
              </w:rPr>
            </w:pPr>
            <w:r>
              <w:rPr>
                <w:spacing w:val="-10"/>
                <w:sz w:val="14"/>
              </w:rPr>
              <w:t>—</w:t>
            </w:r>
          </w:p>
        </w:tc>
        <w:tc>
          <w:tcPr>
            <w:tcW w:w="460" w:type="dxa"/>
            <w:shd w:val="clear" w:color="auto" w:fill="CFF0FB"/>
          </w:tcPr>
          <w:p>
            <w:pPr>
              <w:pStyle w:val="TableParagraph"/>
              <w:spacing w:before="17"/>
              <w:ind w:left="74"/>
              <w:rPr>
                <w:sz w:val="14"/>
              </w:rPr>
            </w:pPr>
            <w:r>
              <w:rPr>
                <w:spacing w:val="-10"/>
                <w:sz w:val="14"/>
              </w:rPr>
              <w:t>$</w:t>
            </w:r>
          </w:p>
        </w:tc>
        <w:tc>
          <w:tcPr>
            <w:tcW w:w="688" w:type="dxa"/>
            <w:shd w:val="clear" w:color="auto" w:fill="CFF0FB"/>
          </w:tcPr>
          <w:p>
            <w:pPr>
              <w:pStyle w:val="TableParagraph"/>
              <w:spacing w:before="17"/>
              <w:ind w:left="316"/>
              <w:rPr>
                <w:sz w:val="14"/>
              </w:rPr>
            </w:pPr>
            <w:r>
              <w:rPr>
                <w:spacing w:val="-10"/>
                <w:sz w:val="14"/>
              </w:rPr>
              <w:t>—</w:t>
            </w:r>
          </w:p>
        </w:tc>
        <w:tc>
          <w:tcPr>
            <w:tcW w:w="460" w:type="dxa"/>
            <w:shd w:val="clear" w:color="auto" w:fill="CFF0FB"/>
          </w:tcPr>
          <w:p>
            <w:pPr>
              <w:pStyle w:val="TableParagraph"/>
              <w:spacing w:before="17"/>
              <w:ind w:left="75"/>
              <w:rPr>
                <w:sz w:val="14"/>
              </w:rPr>
            </w:pPr>
            <w:r>
              <w:rPr>
                <w:spacing w:val="-10"/>
                <w:sz w:val="14"/>
              </w:rPr>
              <w:t>$</w:t>
            </w:r>
          </w:p>
        </w:tc>
        <w:tc>
          <w:tcPr>
            <w:tcW w:w="688" w:type="dxa"/>
            <w:shd w:val="clear" w:color="auto" w:fill="CFF0FB"/>
          </w:tcPr>
          <w:p>
            <w:pPr>
              <w:pStyle w:val="TableParagraph"/>
              <w:spacing w:before="17"/>
              <w:ind w:left="316"/>
              <w:rPr>
                <w:sz w:val="14"/>
              </w:rPr>
            </w:pPr>
            <w:r>
              <w:rPr>
                <w:spacing w:val="-10"/>
                <w:sz w:val="14"/>
              </w:rPr>
              <w:t>—</w:t>
            </w:r>
          </w:p>
        </w:tc>
        <w:tc>
          <w:tcPr>
            <w:tcW w:w="484" w:type="dxa"/>
            <w:shd w:val="clear" w:color="auto" w:fill="CFF0FB"/>
          </w:tcPr>
          <w:p>
            <w:pPr>
              <w:pStyle w:val="TableParagraph"/>
              <w:spacing w:before="17"/>
              <w:ind w:left="75"/>
              <w:rPr>
                <w:sz w:val="14"/>
              </w:rPr>
            </w:pPr>
            <w:r>
              <w:rPr>
                <w:spacing w:val="-10"/>
                <w:sz w:val="14"/>
              </w:rPr>
              <w:t>$</w:t>
            </w:r>
          </w:p>
        </w:tc>
        <w:tc>
          <w:tcPr>
            <w:tcW w:w="715" w:type="dxa"/>
            <w:shd w:val="clear" w:color="auto" w:fill="CFF0FB"/>
          </w:tcPr>
          <w:p>
            <w:pPr>
              <w:pStyle w:val="TableParagraph"/>
              <w:spacing w:before="17"/>
              <w:ind w:left="341"/>
              <w:rPr>
                <w:sz w:val="14"/>
              </w:rPr>
            </w:pPr>
            <w:r>
              <w:rPr>
                <w:spacing w:val="-10"/>
                <w:sz w:val="14"/>
              </w:rPr>
              <w:t>—</w:t>
            </w:r>
          </w:p>
        </w:tc>
        <w:tc>
          <w:tcPr>
            <w:tcW w:w="373" w:type="dxa"/>
            <w:shd w:val="clear" w:color="auto" w:fill="CFF0FB"/>
          </w:tcPr>
          <w:p>
            <w:pPr>
              <w:pStyle w:val="TableParagraph"/>
              <w:spacing w:before="17"/>
              <w:ind w:left="75"/>
              <w:rPr>
                <w:sz w:val="14"/>
              </w:rPr>
            </w:pPr>
            <w:r>
              <w:rPr>
                <w:spacing w:val="-10"/>
                <w:sz w:val="14"/>
              </w:rPr>
              <w:t>$</w:t>
            </w:r>
          </w:p>
        </w:tc>
        <w:tc>
          <w:tcPr>
            <w:tcW w:w="776" w:type="dxa"/>
            <w:shd w:val="clear" w:color="auto" w:fill="CFF0FB"/>
          </w:tcPr>
          <w:p>
            <w:pPr>
              <w:pStyle w:val="TableParagraph"/>
              <w:spacing w:before="17"/>
              <w:ind w:left="229"/>
              <w:rPr>
                <w:sz w:val="14"/>
              </w:rPr>
            </w:pPr>
            <w:r>
              <w:rPr>
                <w:spacing w:val="-2"/>
                <w:sz w:val="14"/>
              </w:rPr>
              <w:t>1,511</w:t>
            </w:r>
          </w:p>
        </w:tc>
        <w:tc>
          <w:tcPr>
            <w:tcW w:w="616" w:type="dxa"/>
            <w:shd w:val="clear" w:color="auto" w:fill="CFF0FB"/>
          </w:tcPr>
          <w:p>
            <w:pPr>
              <w:pStyle w:val="TableParagraph"/>
              <w:spacing w:before="17"/>
              <w:ind w:left="75"/>
              <w:rPr>
                <w:sz w:val="14"/>
              </w:rPr>
            </w:pPr>
            <w:r>
              <w:rPr>
                <w:spacing w:val="-10"/>
                <w:sz w:val="14"/>
              </w:rPr>
              <w:t>$</w:t>
            </w:r>
          </w:p>
        </w:tc>
        <w:tc>
          <w:tcPr>
            <w:tcW w:w="863" w:type="dxa"/>
            <w:shd w:val="clear" w:color="auto" w:fill="CFF0FB"/>
          </w:tcPr>
          <w:p>
            <w:pPr>
              <w:pStyle w:val="TableParagraph"/>
              <w:spacing w:before="17"/>
              <w:ind w:right="65"/>
              <w:jc w:val="right"/>
              <w:rPr>
                <w:sz w:val="14"/>
              </w:rPr>
            </w:pPr>
            <w:r>
              <w:rPr>
                <w:spacing w:val="-2"/>
                <w:sz w:val="14"/>
              </w:rPr>
              <w:t>1,511</w:t>
            </w:r>
          </w:p>
        </w:tc>
      </w:tr>
      <w:tr>
        <w:trPr>
          <w:trHeight w:val="179" w:hRule="atLeast"/>
        </w:trPr>
        <w:tc>
          <w:tcPr>
            <w:tcW w:w="1613" w:type="dxa"/>
          </w:tcPr>
          <w:p>
            <w:pPr>
              <w:pStyle w:val="TableParagraph"/>
              <w:spacing w:line="142" w:lineRule="exact" w:before="17"/>
              <w:ind w:left="17"/>
              <w:rPr>
                <w:sz w:val="14"/>
              </w:rPr>
            </w:pPr>
            <w:r>
              <w:rPr>
                <w:sz w:val="14"/>
              </w:rPr>
              <w:t>Average</w:t>
            </w:r>
            <w:r>
              <w:rPr>
                <w:spacing w:val="3"/>
                <w:sz w:val="14"/>
              </w:rPr>
              <w:t> </w:t>
            </w:r>
            <w:r>
              <w:rPr>
                <w:sz w:val="14"/>
              </w:rPr>
              <w:t>interest</w:t>
            </w:r>
            <w:r>
              <w:rPr>
                <w:spacing w:val="3"/>
                <w:sz w:val="14"/>
              </w:rPr>
              <w:t> </w:t>
            </w:r>
            <w:r>
              <w:rPr>
                <w:spacing w:val="-4"/>
                <w:sz w:val="14"/>
              </w:rPr>
              <w:t>rate</w:t>
            </w:r>
          </w:p>
        </w:tc>
        <w:tc>
          <w:tcPr>
            <w:tcW w:w="776" w:type="dxa"/>
          </w:tcPr>
          <w:p>
            <w:pPr>
              <w:pStyle w:val="TableParagraph"/>
              <w:spacing w:before="0"/>
              <w:rPr>
                <w:sz w:val="12"/>
              </w:rPr>
            </w:pPr>
          </w:p>
        </w:tc>
        <w:tc>
          <w:tcPr>
            <w:tcW w:w="706" w:type="dxa"/>
          </w:tcPr>
          <w:p>
            <w:pPr>
              <w:pStyle w:val="TableParagraph"/>
              <w:spacing w:line="142" w:lineRule="exact" w:before="17"/>
              <w:ind w:left="296"/>
              <w:rPr>
                <w:sz w:val="14"/>
              </w:rPr>
            </w:pPr>
            <w:r>
              <w:rPr>
                <w:sz w:val="14"/>
              </w:rPr>
              <w:t>8.0</w:t>
            </w:r>
            <w:r>
              <w:rPr>
                <w:spacing w:val="4"/>
                <w:sz w:val="14"/>
              </w:rPr>
              <w:t> </w:t>
            </w:r>
            <w:r>
              <w:rPr>
                <w:spacing w:val="-10"/>
                <w:sz w:val="14"/>
              </w:rPr>
              <w:t>%</w:t>
            </w:r>
          </w:p>
        </w:tc>
        <w:tc>
          <w:tcPr>
            <w:tcW w:w="370" w:type="dxa"/>
          </w:tcPr>
          <w:p>
            <w:pPr>
              <w:pStyle w:val="TableParagraph"/>
              <w:spacing w:before="0"/>
              <w:rPr>
                <w:sz w:val="12"/>
              </w:rPr>
            </w:pPr>
          </w:p>
        </w:tc>
        <w:tc>
          <w:tcPr>
            <w:tcW w:w="778" w:type="dxa"/>
          </w:tcPr>
          <w:p>
            <w:pPr>
              <w:pStyle w:val="TableParagraph"/>
              <w:spacing w:line="142" w:lineRule="exact" w:before="17"/>
              <w:ind w:left="369"/>
              <w:rPr>
                <w:sz w:val="14"/>
              </w:rPr>
            </w:pPr>
            <w:r>
              <w:rPr>
                <w:sz w:val="14"/>
              </w:rPr>
              <w:t>6.9</w:t>
            </w:r>
            <w:r>
              <w:rPr>
                <w:spacing w:val="4"/>
                <w:sz w:val="14"/>
              </w:rPr>
              <w:t> </w:t>
            </w:r>
            <w:r>
              <w:rPr>
                <w:spacing w:val="-10"/>
                <w:sz w:val="14"/>
              </w:rPr>
              <w:t>%</w:t>
            </w:r>
          </w:p>
        </w:tc>
        <w:tc>
          <w:tcPr>
            <w:tcW w:w="460" w:type="dxa"/>
          </w:tcPr>
          <w:p>
            <w:pPr>
              <w:pStyle w:val="TableParagraph"/>
              <w:spacing w:before="0"/>
              <w:rPr>
                <w:sz w:val="12"/>
              </w:rPr>
            </w:pPr>
          </w:p>
        </w:tc>
        <w:tc>
          <w:tcPr>
            <w:tcW w:w="688" w:type="dxa"/>
          </w:tcPr>
          <w:p>
            <w:pPr>
              <w:pStyle w:val="TableParagraph"/>
              <w:spacing w:line="142" w:lineRule="exact" w:before="17"/>
              <w:ind w:left="367"/>
              <w:rPr>
                <w:sz w:val="14"/>
              </w:rPr>
            </w:pPr>
            <w:r>
              <w:rPr>
                <w:spacing w:val="-5"/>
                <w:sz w:val="14"/>
              </w:rPr>
              <w:t>N/A</w:t>
            </w:r>
          </w:p>
        </w:tc>
        <w:tc>
          <w:tcPr>
            <w:tcW w:w="460" w:type="dxa"/>
          </w:tcPr>
          <w:p>
            <w:pPr>
              <w:pStyle w:val="TableParagraph"/>
              <w:spacing w:before="0"/>
              <w:rPr>
                <w:sz w:val="12"/>
              </w:rPr>
            </w:pPr>
          </w:p>
        </w:tc>
        <w:tc>
          <w:tcPr>
            <w:tcW w:w="688" w:type="dxa"/>
          </w:tcPr>
          <w:p>
            <w:pPr>
              <w:pStyle w:val="TableParagraph"/>
              <w:spacing w:line="142" w:lineRule="exact" w:before="17"/>
              <w:ind w:left="368"/>
              <w:rPr>
                <w:sz w:val="14"/>
              </w:rPr>
            </w:pPr>
            <w:r>
              <w:rPr>
                <w:spacing w:val="-5"/>
                <w:sz w:val="14"/>
              </w:rPr>
              <w:t>N/A</w:t>
            </w:r>
          </w:p>
        </w:tc>
        <w:tc>
          <w:tcPr>
            <w:tcW w:w="460" w:type="dxa"/>
          </w:tcPr>
          <w:p>
            <w:pPr>
              <w:pStyle w:val="TableParagraph"/>
              <w:spacing w:before="0"/>
              <w:rPr>
                <w:sz w:val="12"/>
              </w:rPr>
            </w:pPr>
          </w:p>
        </w:tc>
        <w:tc>
          <w:tcPr>
            <w:tcW w:w="688" w:type="dxa"/>
          </w:tcPr>
          <w:p>
            <w:pPr>
              <w:pStyle w:val="TableParagraph"/>
              <w:spacing w:line="142" w:lineRule="exact" w:before="17"/>
              <w:ind w:left="369"/>
              <w:rPr>
                <w:sz w:val="14"/>
              </w:rPr>
            </w:pPr>
            <w:r>
              <w:rPr>
                <w:spacing w:val="-5"/>
                <w:sz w:val="14"/>
              </w:rPr>
              <w:t>N/A</w:t>
            </w:r>
          </w:p>
        </w:tc>
        <w:tc>
          <w:tcPr>
            <w:tcW w:w="484" w:type="dxa"/>
          </w:tcPr>
          <w:p>
            <w:pPr>
              <w:pStyle w:val="TableParagraph"/>
              <w:spacing w:before="0"/>
              <w:rPr>
                <w:sz w:val="12"/>
              </w:rPr>
            </w:pPr>
          </w:p>
        </w:tc>
        <w:tc>
          <w:tcPr>
            <w:tcW w:w="715" w:type="dxa"/>
          </w:tcPr>
          <w:p>
            <w:pPr>
              <w:pStyle w:val="TableParagraph"/>
              <w:spacing w:line="142" w:lineRule="exact" w:before="17"/>
              <w:ind w:left="396"/>
              <w:rPr>
                <w:sz w:val="14"/>
              </w:rPr>
            </w:pPr>
            <w:r>
              <w:rPr>
                <w:spacing w:val="-5"/>
                <w:sz w:val="14"/>
              </w:rPr>
              <w:t>N/A</w:t>
            </w:r>
          </w:p>
        </w:tc>
        <w:tc>
          <w:tcPr>
            <w:tcW w:w="373" w:type="dxa"/>
          </w:tcPr>
          <w:p>
            <w:pPr>
              <w:pStyle w:val="TableParagraph"/>
              <w:spacing w:before="0"/>
              <w:rPr>
                <w:sz w:val="12"/>
              </w:rPr>
            </w:pPr>
          </w:p>
        </w:tc>
        <w:tc>
          <w:tcPr>
            <w:tcW w:w="776" w:type="dxa"/>
          </w:tcPr>
          <w:p>
            <w:pPr>
              <w:pStyle w:val="TableParagraph"/>
              <w:spacing w:line="142" w:lineRule="exact" w:before="17"/>
              <w:ind w:left="368"/>
              <w:rPr>
                <w:sz w:val="14"/>
              </w:rPr>
            </w:pPr>
            <w:r>
              <w:rPr>
                <w:sz w:val="14"/>
              </w:rPr>
              <w:t>7.0</w:t>
            </w:r>
            <w:r>
              <w:rPr>
                <w:spacing w:val="4"/>
                <w:sz w:val="14"/>
              </w:rPr>
              <w:t> </w:t>
            </w:r>
            <w:r>
              <w:rPr>
                <w:spacing w:val="-10"/>
                <w:sz w:val="14"/>
              </w:rPr>
              <w:t>%</w:t>
            </w:r>
          </w:p>
        </w:tc>
        <w:tc>
          <w:tcPr>
            <w:tcW w:w="616" w:type="dxa"/>
          </w:tcPr>
          <w:p>
            <w:pPr>
              <w:pStyle w:val="TableParagraph"/>
              <w:spacing w:before="0"/>
              <w:rPr>
                <w:sz w:val="12"/>
              </w:rPr>
            </w:pPr>
          </w:p>
        </w:tc>
        <w:tc>
          <w:tcPr>
            <w:tcW w:w="863" w:type="dxa"/>
          </w:tcPr>
          <w:p>
            <w:pPr>
              <w:pStyle w:val="TableParagraph"/>
              <w:spacing w:before="0"/>
              <w:rPr>
                <w:sz w:val="12"/>
              </w:rPr>
            </w:pPr>
          </w:p>
        </w:tc>
      </w:tr>
    </w:tbl>
    <w:p>
      <w:pPr>
        <w:pStyle w:val="BodyText"/>
        <w:spacing w:before="137"/>
        <w:rPr>
          <w:b/>
        </w:rPr>
      </w:pPr>
    </w:p>
    <w:p>
      <w:pPr>
        <w:pStyle w:val="BodyText"/>
        <w:ind w:left="144" w:right="118" w:firstLine="550"/>
        <w:jc w:val="both"/>
      </w:pPr>
      <w:r>
        <w:rPr>
          <w:color w:val="202529"/>
        </w:rPr>
        <w:t>In addition to the risk associated with our variable interest rate debt, we are also exposed to risks related to changes in foreign currency exchange rates, mainly related to MGM China and to our operations at MGM Macau and MGM Cotai. While recent fluctuations in exchange rates have not been </w:t>
      </w:r>
      <w:r>
        <w:rPr>
          <w:color w:val="202529"/>
        </w:rPr>
        <w:t>significant, potential changes in policy by governments or fluctuations in the economies of the United States, China, Macau or Hong Kong could cause variability in these exchange rates.</w:t>
      </w:r>
      <w:r>
        <w:rPr>
          <w:color w:val="202529"/>
          <w:spacing w:val="-2"/>
        </w:rPr>
        <w:t> </w:t>
      </w:r>
      <w:r>
        <w:rPr>
          <w:color w:val="202529"/>
        </w:rPr>
        <w:t>We cannot assure you that the Hong Kong dollar will continue to be pegged to the U.S. dollar or the current peg rate for the Hong Kong dollar will remain at the same level.</w:t>
      </w:r>
      <w:r>
        <w:rPr>
          <w:color w:val="202529"/>
          <w:spacing w:val="-2"/>
        </w:rPr>
        <w:t> </w:t>
      </w:r>
      <w:r>
        <w:rPr>
          <w:color w:val="202529"/>
        </w:rPr>
        <w:t>The possible changes to the peg of the Hong Kong dollar may result in severe fluctuations in the exchange rate thereof. For U.S. dollar denominated debt incurred by MGM China, fluctuations in the exchange rates of the Hong Kong dollar in relation to the U.S. dollar could have adverse effects on our financial position and results of operations. As of December 31, 2022, a 1% weakening of the Hong Kong dollar (the functional currency of MGM China) to the U.S. dollar would result in a foreign currency transaction loss of $28 million</w:t>
      </w:r>
      <w:r>
        <w:rPr/>
        <w:t>.</w:t>
      </w:r>
    </w:p>
    <w:p>
      <w:pPr>
        <w:pStyle w:val="BodyText"/>
      </w:pPr>
    </w:p>
    <w:p>
      <w:pPr>
        <w:pStyle w:val="BodyText"/>
        <w:spacing w:before="184"/>
      </w:pPr>
    </w:p>
    <w:p>
      <w:pPr>
        <w:pStyle w:val="BodyText"/>
        <w:spacing w:before="1"/>
        <w:ind w:left="24"/>
        <w:jc w:val="center"/>
      </w:pPr>
      <w:bookmarkStart w:name="_bookmark10" w:id="11"/>
      <w:bookmarkEnd w:id="11"/>
      <w:r>
        <w:rPr/>
      </w:r>
      <w:r>
        <w:rPr>
          <w:spacing w:val="-5"/>
        </w:rPr>
        <w:t>51</w:t>
      </w:r>
    </w:p>
    <w:p>
      <w:pPr>
        <w:pStyle w:val="BodyText"/>
        <w:spacing w:before="2"/>
        <w:rPr>
          <w:sz w:val="6"/>
        </w:rPr>
      </w:pPr>
      <w:r>
        <w:rPr/>
        <mc:AlternateContent>
          <mc:Choice Requires="wps">
            <w:drawing>
              <wp:anchor distT="0" distB="0" distL="0" distR="0" allowOverlap="1" layoutInCell="1" locked="0" behindDoc="1" simplePos="0" relativeHeight="487641600">
                <wp:simplePos x="0" y="0"/>
                <wp:positionH relativeFrom="page">
                  <wp:posOffset>231457</wp:posOffset>
                </wp:positionH>
                <wp:positionV relativeFrom="paragraph">
                  <wp:posOffset>60321</wp:posOffset>
                </wp:positionV>
                <wp:extent cx="7312659" cy="17145"/>
                <wp:effectExtent l="0" t="0" r="0" b="0"/>
                <wp:wrapTopAndBottom/>
                <wp:docPr id="292" name="Group 292"/>
                <wp:cNvGraphicFramePr>
                  <a:graphicFrameLocks/>
                </wp:cNvGraphicFramePr>
                <a:graphic>
                  <a:graphicData uri="http://schemas.microsoft.com/office/word/2010/wordprocessingGroup">
                    <wpg:wgp>
                      <wpg:cNvPr id="292" name="Group 292"/>
                      <wpg:cNvGrpSpPr/>
                      <wpg:grpSpPr>
                        <a:xfrm>
                          <a:off x="0" y="0"/>
                          <a:ext cx="7312659" cy="17145"/>
                          <a:chExt cx="7312659" cy="17145"/>
                        </a:xfrm>
                      </wpg:grpSpPr>
                      <wps:wsp>
                        <wps:cNvPr id="293" name="Graphic 29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94" name="Graphic 294"/>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95" name="Graphic 29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674880;mso-wrap-distance-left:0;mso-wrap-distance-right:0" id="docshapegroup290" coordorigin="364,95" coordsize="11516,27">
                <v:rect style="position:absolute;left:364;top:95;width:11516;height:14" id="docshape291" filled="true" fillcolor="#999999" stroked="false">
                  <v:fill type="solid"/>
                </v:rect>
                <v:shape style="position:absolute;left:364;top:95;width:11516;height:27" id="docshape292" coordorigin="364,95" coordsize="11516,27" path="m11880,95l11866,108,364,108,364,122,11866,122,11880,122,11880,108,11880,95xe" filled="true" fillcolor="#ededed" stroked="false">
                  <v:path arrowok="t"/>
                  <v:fill type="solid"/>
                </v:shape>
                <v:shape style="position:absolute;left:364;top:95;width:14;height:27" id="docshape293" coordorigin="364,95" coordsize="14,27" path="m364,122l364,95,378,95,378,108,364,122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Heading4"/>
        <w:spacing w:before="63"/>
      </w:pPr>
      <w:r>
        <w:rPr/>
        <w:t>ITEM</w:t>
      </w:r>
      <w:r>
        <w:rPr>
          <w:spacing w:val="-12"/>
        </w:rPr>
        <w:t> </w:t>
      </w:r>
      <w:r>
        <w:rPr/>
        <w:t>8.</w:t>
      </w:r>
      <w:r>
        <w:rPr>
          <w:spacing w:val="31"/>
        </w:rPr>
        <w:t>  </w:t>
      </w:r>
      <w:r>
        <w:rPr/>
        <w:t>FINANCIAL</w:t>
      </w:r>
      <w:r>
        <w:rPr>
          <w:spacing w:val="-10"/>
        </w:rPr>
        <w:t> </w:t>
      </w:r>
      <w:r>
        <w:rPr/>
        <w:t>STATEMENTS</w:t>
      </w:r>
      <w:r>
        <w:rPr>
          <w:spacing w:val="-11"/>
        </w:rPr>
        <w:t> </w:t>
      </w:r>
      <w:r>
        <w:rPr/>
        <w:t>AND</w:t>
      </w:r>
      <w:r>
        <w:rPr>
          <w:spacing w:val="-7"/>
        </w:rPr>
        <w:t> </w:t>
      </w:r>
      <w:r>
        <w:rPr/>
        <w:t>SUPPLEMENTARY</w:t>
      </w:r>
      <w:r>
        <w:rPr>
          <w:spacing w:val="-11"/>
        </w:rPr>
        <w:t> </w:t>
      </w:r>
      <w:r>
        <w:rPr>
          <w:spacing w:val="-4"/>
        </w:rPr>
        <w:t>DATA</w:t>
      </w:r>
    </w:p>
    <w:p>
      <w:pPr>
        <w:pStyle w:val="BodyText"/>
        <w:spacing w:before="58"/>
        <w:rPr>
          <w:b/>
        </w:rPr>
      </w:pPr>
    </w:p>
    <w:p>
      <w:pPr>
        <w:spacing w:before="0"/>
        <w:ind w:left="188" w:right="0" w:firstLine="0"/>
        <w:jc w:val="left"/>
        <w:rPr>
          <w:b/>
          <w:sz w:val="18"/>
        </w:rPr>
      </w:pPr>
      <w:r>
        <w:rPr>
          <w:b/>
          <w:sz w:val="18"/>
        </w:rPr>
        <w:t>Financial</w:t>
      </w:r>
      <w:r>
        <w:rPr>
          <w:b/>
          <w:spacing w:val="-1"/>
          <w:sz w:val="18"/>
        </w:rPr>
        <w:t> </w:t>
      </w:r>
      <w:r>
        <w:rPr>
          <w:b/>
          <w:spacing w:val="-2"/>
          <w:sz w:val="18"/>
        </w:rPr>
        <w:t>Statements:</w:t>
      </w:r>
    </w:p>
    <w:p>
      <w:pPr>
        <w:pStyle w:val="BodyText"/>
        <w:tabs>
          <w:tab w:pos="10960" w:val="right" w:leader="none"/>
        </w:tabs>
        <w:spacing w:before="53"/>
        <w:ind w:left="188"/>
      </w:pPr>
      <w:hyperlink w:history="true" w:anchor="_bookmark11">
        <w:r>
          <w:rPr>
            <w:color w:val="0000FF"/>
            <w:u w:val="single" w:color="0000FF"/>
          </w:rPr>
          <w:t>Reports</w:t>
        </w:r>
        <w:r>
          <w:rPr>
            <w:color w:val="0000FF"/>
            <w:spacing w:val="-2"/>
            <w:u w:val="single" w:color="0000FF"/>
          </w:rPr>
          <w:t> </w:t>
        </w:r>
        <w:r>
          <w:rPr>
            <w:color w:val="0000FF"/>
            <w:u w:val="single" w:color="0000FF"/>
          </w:rPr>
          <w:t>of Independent Registered Public</w:t>
        </w:r>
        <w:r>
          <w:rPr>
            <w:color w:val="0000FF"/>
            <w:spacing w:val="-9"/>
            <w:u w:val="single" w:color="0000FF"/>
          </w:rPr>
          <w:t> </w:t>
        </w:r>
        <w:r>
          <w:rPr>
            <w:color w:val="0000FF"/>
            <w:u w:val="single" w:color="0000FF"/>
          </w:rPr>
          <w:t>Accounting</w:t>
        </w:r>
        <w:r>
          <w:rPr>
            <w:color w:val="0000FF"/>
            <w:spacing w:val="-10"/>
            <w:u w:val="single" w:color="0000FF"/>
          </w:rPr>
          <w:t> </w:t>
        </w:r>
        <w:r>
          <w:rPr>
            <w:color w:val="0000FF"/>
            <w:u w:val="single" w:color="0000FF"/>
          </w:rPr>
          <w:t>Firm</w:t>
        </w:r>
      </w:hyperlink>
      <w:r>
        <w:rPr>
          <w:color w:val="0000FF"/>
          <w:spacing w:val="1"/>
          <w:u w:val="single" w:color="0000FF"/>
        </w:rPr>
        <w:t> </w:t>
      </w:r>
      <w:r>
        <w:rPr/>
        <w:t>(PCAOB ID:</w:t>
      </w:r>
      <w:r>
        <w:rPr>
          <w:spacing w:val="1"/>
        </w:rPr>
        <w:t> </w:t>
      </w:r>
      <w:r>
        <w:rPr>
          <w:spacing w:val="-5"/>
        </w:rPr>
        <w:t>34)</w:t>
      </w:r>
      <w:r>
        <w:rPr/>
        <w:tab/>
      </w:r>
      <w:hyperlink w:history="true" w:anchor="_bookmark11">
        <w:r>
          <w:rPr>
            <w:spacing w:val="-5"/>
            <w:position w:val="1"/>
            <w:u w:val="single"/>
          </w:rPr>
          <w:t>53</w:t>
        </w:r>
      </w:hyperlink>
    </w:p>
    <w:p>
      <w:pPr>
        <w:pStyle w:val="BodyText"/>
        <w:tabs>
          <w:tab w:pos="10960" w:val="right" w:leader="none"/>
        </w:tabs>
        <w:spacing w:before="40"/>
        <w:ind w:left="188"/>
      </w:pPr>
      <w:hyperlink w:history="true" w:anchor="_bookmark13">
        <w:r>
          <w:rPr>
            <w:color w:val="0000FF"/>
            <w:u w:val="single" w:color="0000FF"/>
          </w:rPr>
          <w:t>Consolidated</w:t>
        </w:r>
        <w:r>
          <w:rPr>
            <w:color w:val="0000FF"/>
            <w:spacing w:val="-1"/>
            <w:u w:val="single" w:color="0000FF"/>
          </w:rPr>
          <w:t> </w:t>
        </w:r>
        <w:r>
          <w:rPr>
            <w:color w:val="0000FF"/>
            <w:u w:val="single" w:color="0000FF"/>
          </w:rPr>
          <w:t>Balance</w:t>
        </w:r>
        <w:r>
          <w:rPr>
            <w:color w:val="0000FF"/>
            <w:spacing w:val="-1"/>
            <w:u w:val="single" w:color="0000FF"/>
          </w:rPr>
          <w:t> </w:t>
        </w:r>
        <w:r>
          <w:rPr>
            <w:color w:val="0000FF"/>
            <w:u w:val="single" w:color="0000FF"/>
          </w:rPr>
          <w:t>Sheets</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December</w:t>
        </w:r>
        <w:r>
          <w:rPr>
            <w:color w:val="0000FF"/>
            <w:spacing w:val="-1"/>
            <w:u w:val="single" w:color="0000FF"/>
          </w:rPr>
          <w:t> </w:t>
        </w:r>
        <w:r>
          <w:rPr>
            <w:color w:val="0000FF"/>
            <w:u w:val="single" w:color="0000FF"/>
          </w:rPr>
          <w:t>31,</w:t>
        </w:r>
        <w:r>
          <w:rPr>
            <w:color w:val="0000FF"/>
            <w:spacing w:val="-1"/>
            <w:u w:val="single" w:color="0000FF"/>
          </w:rPr>
          <w:t> </w:t>
        </w:r>
        <w:r>
          <w:rPr>
            <w:color w:val="0000FF"/>
            <w:u w:val="single" w:color="0000FF"/>
          </w:rPr>
          <w:t>2022</w:t>
        </w:r>
        <w:r>
          <w:rPr>
            <w:color w:val="0000FF"/>
            <w:spacing w:val="-1"/>
            <w:u w:val="single" w:color="0000FF"/>
          </w:rPr>
          <w:t> </w:t>
        </w:r>
        <w:r>
          <w:rPr>
            <w:color w:val="0000FF"/>
            <w:u w:val="single" w:color="0000FF"/>
          </w:rPr>
          <w:t>and</w:t>
        </w:r>
        <w:r>
          <w:rPr>
            <w:color w:val="0000FF"/>
            <w:spacing w:val="-1"/>
            <w:u w:val="single" w:color="0000FF"/>
          </w:rPr>
          <w:t> </w:t>
        </w:r>
        <w:r>
          <w:rPr>
            <w:color w:val="0000FF"/>
            <w:spacing w:val="-4"/>
            <w:u w:val="single" w:color="0000FF"/>
          </w:rPr>
          <w:t>2021</w:t>
        </w:r>
      </w:hyperlink>
      <w:r>
        <w:rPr>
          <w:color w:val="0000FF"/>
        </w:rPr>
        <w:tab/>
      </w:r>
      <w:hyperlink w:history="true" w:anchor="_bookmark13">
        <w:r>
          <w:rPr>
            <w:spacing w:val="-5"/>
            <w:position w:val="1"/>
            <w:u w:val="single"/>
          </w:rPr>
          <w:t>57</w:t>
        </w:r>
      </w:hyperlink>
    </w:p>
    <w:p>
      <w:pPr>
        <w:pStyle w:val="BodyText"/>
        <w:spacing w:before="49"/>
        <w:ind w:left="188"/>
      </w:pPr>
      <w:r>
        <w:rPr/>
        <w:t>Years</w:t>
      </w:r>
      <w:r>
        <w:rPr>
          <w:spacing w:val="-4"/>
        </w:rPr>
        <w:t> </w:t>
      </w:r>
      <w:r>
        <w:rPr/>
        <w:t>Ended</w:t>
      </w:r>
      <w:r>
        <w:rPr>
          <w:spacing w:val="-4"/>
        </w:rPr>
        <w:t> </w:t>
      </w:r>
      <w:r>
        <w:rPr/>
        <w:t>December</w:t>
      </w:r>
      <w:r>
        <w:rPr>
          <w:spacing w:val="-4"/>
        </w:rPr>
        <w:t> </w:t>
      </w:r>
      <w:r>
        <w:rPr/>
        <w:t>31,</w:t>
      </w:r>
      <w:r>
        <w:rPr>
          <w:spacing w:val="-3"/>
        </w:rPr>
        <w:t> </w:t>
      </w:r>
      <w:r>
        <w:rPr/>
        <w:t>2022,</w:t>
      </w:r>
      <w:r>
        <w:rPr>
          <w:spacing w:val="-4"/>
        </w:rPr>
        <w:t> </w:t>
      </w:r>
      <w:r>
        <w:rPr/>
        <w:t>2021</w:t>
      </w:r>
      <w:r>
        <w:rPr>
          <w:spacing w:val="-4"/>
        </w:rPr>
        <w:t> </w:t>
      </w:r>
      <w:r>
        <w:rPr/>
        <w:t>and</w:t>
      </w:r>
      <w:r>
        <w:rPr>
          <w:spacing w:val="-3"/>
        </w:rPr>
        <w:t> </w:t>
      </w:r>
      <w:r>
        <w:rPr>
          <w:spacing w:val="-4"/>
        </w:rPr>
        <w:t>2020</w:t>
      </w:r>
    </w:p>
    <w:p>
      <w:pPr>
        <w:pStyle w:val="BodyText"/>
        <w:tabs>
          <w:tab w:pos="10960" w:val="right" w:leader="none"/>
        </w:tabs>
        <w:spacing w:before="53"/>
        <w:ind w:left="404"/>
      </w:pPr>
      <w:hyperlink w:history="true" w:anchor="_bookmark14">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spacing w:val="-2"/>
            <w:u w:val="single" w:color="0000FF"/>
          </w:rPr>
          <w:t>Operations</w:t>
        </w:r>
      </w:hyperlink>
      <w:r>
        <w:rPr>
          <w:color w:val="0000FF"/>
        </w:rPr>
        <w:tab/>
      </w:r>
      <w:hyperlink w:history="true" w:anchor="_bookmark14">
        <w:r>
          <w:rPr>
            <w:spacing w:val="-5"/>
            <w:position w:val="1"/>
            <w:u w:val="single"/>
          </w:rPr>
          <w:t>58</w:t>
        </w:r>
      </w:hyperlink>
    </w:p>
    <w:p>
      <w:pPr>
        <w:pStyle w:val="BodyText"/>
        <w:tabs>
          <w:tab w:pos="10960" w:val="right" w:leader="none"/>
        </w:tabs>
        <w:spacing w:before="40"/>
        <w:ind w:left="404"/>
      </w:pPr>
      <w:hyperlink w:history="true" w:anchor="_bookmark15">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Comprehensive</w:t>
        </w:r>
        <w:r>
          <w:rPr>
            <w:color w:val="0000FF"/>
            <w:spacing w:val="-1"/>
            <w:u w:val="single" w:color="0000FF"/>
          </w:rPr>
          <w:t> </w:t>
        </w:r>
        <w:r>
          <w:rPr>
            <w:color w:val="0000FF"/>
            <w:u w:val="single" w:color="0000FF"/>
          </w:rPr>
          <w:t>Income</w:t>
        </w:r>
        <w:r>
          <w:rPr>
            <w:color w:val="0000FF"/>
            <w:spacing w:val="-1"/>
            <w:u w:val="single" w:color="0000FF"/>
          </w:rPr>
          <w:t> </w:t>
        </w:r>
        <w:r>
          <w:rPr>
            <w:color w:val="0000FF"/>
            <w:spacing w:val="-2"/>
            <w:u w:val="single" w:color="0000FF"/>
          </w:rPr>
          <w:t>(Loss</w:t>
        </w:r>
        <w:r>
          <w:rPr>
            <w:color w:val="0000FF"/>
            <w:spacing w:val="-2"/>
          </w:rPr>
          <w:t>)</w:t>
        </w:r>
      </w:hyperlink>
      <w:r>
        <w:rPr>
          <w:color w:val="0000FF"/>
        </w:rPr>
        <w:tab/>
      </w:r>
      <w:hyperlink w:history="true" w:anchor="_bookmark15">
        <w:r>
          <w:rPr>
            <w:spacing w:val="-5"/>
            <w:position w:val="1"/>
            <w:u w:val="single"/>
          </w:rPr>
          <w:t>59</w:t>
        </w:r>
      </w:hyperlink>
    </w:p>
    <w:p>
      <w:pPr>
        <w:pStyle w:val="BodyText"/>
        <w:tabs>
          <w:tab w:pos="10960" w:val="right" w:leader="none"/>
        </w:tabs>
        <w:spacing w:before="39"/>
        <w:ind w:left="404"/>
      </w:pPr>
      <w:hyperlink w:history="true" w:anchor="_bookmark16">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Cash</w:t>
        </w:r>
        <w:r>
          <w:rPr>
            <w:color w:val="0000FF"/>
            <w:spacing w:val="-1"/>
            <w:u w:val="single" w:color="0000FF"/>
          </w:rPr>
          <w:t> </w:t>
        </w:r>
        <w:r>
          <w:rPr>
            <w:color w:val="0000FF"/>
            <w:spacing w:val="-2"/>
            <w:u w:val="single" w:color="0000FF"/>
          </w:rPr>
          <w:t>Flows</w:t>
        </w:r>
      </w:hyperlink>
      <w:r>
        <w:rPr>
          <w:color w:val="0000FF"/>
        </w:rPr>
        <w:tab/>
      </w:r>
      <w:hyperlink w:history="true" w:anchor="_bookmark16">
        <w:r>
          <w:rPr>
            <w:spacing w:val="-5"/>
            <w:position w:val="1"/>
            <w:u w:val="single"/>
          </w:rPr>
          <w:t>60</w:t>
        </w:r>
      </w:hyperlink>
    </w:p>
    <w:p>
      <w:pPr>
        <w:pStyle w:val="BodyText"/>
        <w:tabs>
          <w:tab w:pos="10960" w:val="right" w:leader="none"/>
        </w:tabs>
        <w:spacing w:before="40"/>
        <w:ind w:left="404"/>
      </w:pPr>
      <w:r>
        <w:rPr/>
        <mc:AlternateContent>
          <mc:Choice Requires="wps">
            <w:drawing>
              <wp:anchor distT="0" distB="0" distL="0" distR="0" allowOverlap="1" layoutInCell="1" locked="0" behindDoc="0" simplePos="0" relativeHeight="15784448">
                <wp:simplePos x="0" y="0"/>
                <wp:positionH relativeFrom="page">
                  <wp:posOffset>2622461</wp:posOffset>
                </wp:positionH>
                <wp:positionV relativeFrom="paragraph">
                  <wp:posOffset>147140</wp:posOffset>
                </wp:positionV>
                <wp:extent cx="19685" cy="889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9685" cy="8890"/>
                        </a:xfrm>
                        <a:custGeom>
                          <a:avLst/>
                          <a:gdLst/>
                          <a:ahLst/>
                          <a:cxnLst/>
                          <a:rect l="l" t="t" r="r" b="b"/>
                          <a:pathLst>
                            <a:path w="19685" h="8890">
                              <a:moveTo>
                                <a:pt x="19062" y="0"/>
                              </a:moveTo>
                              <a:lnTo>
                                <a:pt x="0" y="0"/>
                              </a:lnTo>
                              <a:lnTo>
                                <a:pt x="0" y="8572"/>
                              </a:lnTo>
                              <a:lnTo>
                                <a:pt x="19062" y="8572"/>
                              </a:lnTo>
                              <a:lnTo>
                                <a:pt x="1906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6.493011pt;margin-top:11.585881pt;width:1.501pt;height:.675pt;mso-position-horizontal-relative:page;mso-position-vertical-relative:paragraph;z-index:15784448" id="docshape294" filled="true" fillcolor="#0000ff" stroked="false">
                <v:fill type="solid"/>
                <w10:wrap type="none"/>
              </v:rect>
            </w:pict>
          </mc:Fallback>
        </mc:AlternateContent>
      </w:r>
      <w:hyperlink w:history="true" w:anchor="_bookmark17">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Stockholders’</w:t>
        </w:r>
        <w:r>
          <w:rPr>
            <w:color w:val="0000FF"/>
            <w:spacing w:val="-14"/>
            <w:u w:val="single" w:color="0000FF"/>
          </w:rPr>
          <w:t> </w:t>
        </w:r>
        <w:r>
          <w:rPr>
            <w:color w:val="0000FF"/>
            <w:spacing w:val="-2"/>
            <w:u w:val="single" w:color="0000FF"/>
          </w:rPr>
          <w:t>Equi</w:t>
        </w:r>
        <w:r>
          <w:rPr>
            <w:color w:val="0000FF"/>
            <w:spacing w:val="-2"/>
          </w:rPr>
          <w:t>ty</w:t>
        </w:r>
      </w:hyperlink>
      <w:r>
        <w:rPr>
          <w:color w:val="0000FF"/>
        </w:rPr>
        <w:tab/>
      </w:r>
      <w:hyperlink w:history="true" w:anchor="_bookmark17">
        <w:r>
          <w:rPr>
            <w:spacing w:val="-5"/>
            <w:position w:val="1"/>
            <w:u w:val="single"/>
          </w:rPr>
          <w:t>61</w:t>
        </w:r>
      </w:hyperlink>
    </w:p>
    <w:p>
      <w:pPr>
        <w:pStyle w:val="BodyText"/>
        <w:tabs>
          <w:tab w:pos="10960" w:val="right" w:leader="none"/>
        </w:tabs>
        <w:spacing w:before="49"/>
        <w:ind w:left="188"/>
      </w:pPr>
      <w:hyperlink w:history="true" w:anchor="_bookmark18">
        <w:r>
          <w:rPr>
            <w:color w:val="0000FF"/>
            <w:u w:val="single" w:color="0000FF"/>
          </w:rPr>
          <w:t>Notes</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Consolidated</w:t>
        </w:r>
        <w:r>
          <w:rPr>
            <w:color w:val="0000FF"/>
            <w:spacing w:val="-1"/>
            <w:u w:val="single" w:color="0000FF"/>
          </w:rPr>
          <w:t> </w:t>
        </w:r>
        <w:r>
          <w:rPr>
            <w:color w:val="0000FF"/>
            <w:u w:val="single" w:color="0000FF"/>
          </w:rPr>
          <w:t>Financial</w:t>
        </w:r>
        <w:r>
          <w:rPr>
            <w:color w:val="0000FF"/>
            <w:spacing w:val="-1"/>
            <w:u w:val="single" w:color="0000FF"/>
          </w:rPr>
          <w:t> </w:t>
        </w:r>
        <w:r>
          <w:rPr>
            <w:color w:val="0000FF"/>
            <w:spacing w:val="-2"/>
            <w:u w:val="single" w:color="0000FF"/>
          </w:rPr>
          <w:t>Statements</w:t>
        </w:r>
      </w:hyperlink>
      <w:r>
        <w:rPr>
          <w:color w:val="0000FF"/>
        </w:rPr>
        <w:tab/>
      </w:r>
      <w:hyperlink w:history="true" w:anchor="_bookmark18">
        <w:r>
          <w:rPr>
            <w:spacing w:val="-5"/>
            <w:u w:val="single"/>
          </w:rPr>
          <w:t>62</w:t>
        </w:r>
      </w:hyperlink>
    </w:p>
    <w:p>
      <w:pPr>
        <w:pStyle w:val="BodyText"/>
        <w:spacing w:line="249" w:lineRule="auto" w:before="320"/>
        <w:ind w:left="144" w:firstLine="488"/>
      </w:pPr>
      <w:r>
        <w:rPr/>
        <w:t>Financial statement schedules have been omitted because they are not applicable, or the required information is included in the consolidated </w:t>
      </w:r>
      <w:r>
        <w:rPr/>
        <w:t>financial</w:t>
      </w:r>
      <w:r>
        <w:rPr>
          <w:spacing w:val="80"/>
        </w:rPr>
        <w:t> </w:t>
      </w:r>
      <w:r>
        <w:rPr/>
        <w:t>statements or the notes thereto.</w:t>
      </w:r>
    </w:p>
    <w:p>
      <w:pPr>
        <w:pStyle w:val="BodyText"/>
        <w:spacing w:before="595"/>
        <w:ind w:left="24"/>
        <w:jc w:val="center"/>
      </w:pPr>
      <w:bookmarkStart w:name="_bookmark11" w:id="12"/>
      <w:bookmarkEnd w:id="12"/>
      <w:r>
        <w:rPr/>
      </w:r>
      <w:r>
        <w:rPr>
          <w:spacing w:val="-5"/>
        </w:rPr>
        <w:t>52</w:t>
      </w:r>
    </w:p>
    <w:p>
      <w:pPr>
        <w:pStyle w:val="BodyText"/>
        <w:spacing w:before="3"/>
        <w:rPr>
          <w:sz w:val="6"/>
        </w:rPr>
      </w:pPr>
      <w:r>
        <w:rPr/>
        <mc:AlternateContent>
          <mc:Choice Requires="wps">
            <w:drawing>
              <wp:anchor distT="0" distB="0" distL="0" distR="0" allowOverlap="1" layoutInCell="1" locked="0" behindDoc="1" simplePos="0" relativeHeight="487643136">
                <wp:simplePos x="0" y="0"/>
                <wp:positionH relativeFrom="page">
                  <wp:posOffset>231457</wp:posOffset>
                </wp:positionH>
                <wp:positionV relativeFrom="paragraph">
                  <wp:posOffset>60956</wp:posOffset>
                </wp:positionV>
                <wp:extent cx="7312659" cy="17145"/>
                <wp:effectExtent l="0" t="0" r="0" b="0"/>
                <wp:wrapTopAndBottom/>
                <wp:docPr id="297" name="Group 297"/>
                <wp:cNvGraphicFramePr>
                  <a:graphicFrameLocks/>
                </wp:cNvGraphicFramePr>
                <a:graphic>
                  <a:graphicData uri="http://schemas.microsoft.com/office/word/2010/wordprocessingGroup">
                    <wpg:wgp>
                      <wpg:cNvPr id="297" name="Group 297"/>
                      <wpg:cNvGrpSpPr/>
                      <wpg:grpSpPr>
                        <a:xfrm>
                          <a:off x="0" y="0"/>
                          <a:ext cx="7312659" cy="17145"/>
                          <a:chExt cx="7312659" cy="17145"/>
                        </a:xfrm>
                      </wpg:grpSpPr>
                      <wps:wsp>
                        <wps:cNvPr id="298" name="Graphic 2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99" name="Graphic 299"/>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00" name="Graphic 3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3344;mso-wrap-distance-left:0;mso-wrap-distance-right:0" id="docshapegroup295" coordorigin="364,96" coordsize="11516,27">
                <v:rect style="position:absolute;left:364;top:96;width:11516;height:14" id="docshape296" filled="true" fillcolor="#999999" stroked="false">
                  <v:fill type="solid"/>
                </v:rect>
                <v:shape style="position:absolute;left:364;top:96;width:11516;height:27" id="docshape297" coordorigin="364,96" coordsize="11516,27" path="m11880,96l11866,109,364,109,364,123,11866,123,11880,123,11880,109,11880,96xe" filled="true" fillcolor="#ededed" stroked="false">
                  <v:path arrowok="t"/>
                  <v:fill type="solid"/>
                </v:shape>
                <v:shape style="position:absolute;left:364;top:96;width:14;height:27" id="docshape298"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4"/>
        <w:spacing w:before="69"/>
        <w:ind w:left="24"/>
        <w:jc w:val="center"/>
      </w:pPr>
      <w:r>
        <w:rPr/>
        <w:t>REPORT</w:t>
      </w:r>
      <w:r>
        <w:rPr>
          <w:spacing w:val="-6"/>
        </w:rPr>
        <w:t> </w:t>
      </w:r>
      <w:r>
        <w:rPr/>
        <w:t>OF</w:t>
      </w:r>
      <w:r>
        <w:rPr>
          <w:spacing w:val="-8"/>
        </w:rPr>
        <w:t> </w:t>
      </w:r>
      <w:r>
        <w:rPr/>
        <w:t>INDEPENDENT</w:t>
      </w:r>
      <w:r>
        <w:rPr>
          <w:spacing w:val="-5"/>
        </w:rPr>
        <w:t> </w:t>
      </w:r>
      <w:r>
        <w:rPr/>
        <w:t>REGISTERED</w:t>
      </w:r>
      <w:r>
        <w:rPr>
          <w:spacing w:val="-2"/>
        </w:rPr>
        <w:t> </w:t>
      </w:r>
      <w:r>
        <w:rPr/>
        <w:t>PUBLIC</w:t>
      </w:r>
      <w:r>
        <w:rPr>
          <w:spacing w:val="-11"/>
        </w:rPr>
        <w:t> </w:t>
      </w:r>
      <w:r>
        <w:rPr/>
        <w:t>ACCOUNTING</w:t>
      </w:r>
      <w:r>
        <w:rPr>
          <w:spacing w:val="-2"/>
        </w:rPr>
        <w:t> </w:t>
      </w:r>
      <w:r>
        <w:rPr>
          <w:spacing w:val="-4"/>
        </w:rPr>
        <w:t>FIRM</w:t>
      </w:r>
    </w:p>
    <w:p>
      <w:pPr>
        <w:pStyle w:val="BodyText"/>
        <w:spacing w:before="18"/>
        <w:rPr>
          <w:b/>
        </w:rPr>
      </w:pPr>
    </w:p>
    <w:p>
      <w:pPr>
        <w:pStyle w:val="BodyText"/>
        <w:ind w:left="144"/>
      </w:pPr>
      <w:r>
        <w:rPr/>
        <w:t>To</w:t>
      </w:r>
      <w:r>
        <w:rPr>
          <w:spacing w:val="-5"/>
        </w:rPr>
        <w:t> </w:t>
      </w:r>
      <w:r>
        <w:rPr/>
        <w:t>the</w:t>
      </w:r>
      <w:r>
        <w:rPr>
          <w:spacing w:val="-2"/>
        </w:rPr>
        <w:t> </w:t>
      </w:r>
      <w:r>
        <w:rPr/>
        <w:t>Stockholders</w:t>
      </w:r>
      <w:r>
        <w:rPr>
          <w:spacing w:val="-2"/>
        </w:rPr>
        <w:t> </w:t>
      </w:r>
      <w:r>
        <w:rPr/>
        <w:t>and</w:t>
      </w:r>
      <w:r>
        <w:rPr>
          <w:spacing w:val="-2"/>
        </w:rPr>
        <w:t> </w:t>
      </w:r>
      <w:r>
        <w:rPr/>
        <w:t>the</w:t>
      </w:r>
      <w:r>
        <w:rPr>
          <w:spacing w:val="-2"/>
        </w:rPr>
        <w:t> </w:t>
      </w:r>
      <w:r>
        <w:rPr/>
        <w:t>Board</w:t>
      </w:r>
      <w:r>
        <w:rPr>
          <w:spacing w:val="-3"/>
        </w:rPr>
        <w:t> </w:t>
      </w:r>
      <w:r>
        <w:rPr/>
        <w:t>of</w:t>
      </w:r>
      <w:r>
        <w:rPr>
          <w:spacing w:val="-2"/>
        </w:rPr>
        <w:t> </w:t>
      </w:r>
      <w:r>
        <w:rPr/>
        <w:t>Directors</w:t>
      </w:r>
      <w:r>
        <w:rPr>
          <w:spacing w:val="-2"/>
        </w:rPr>
        <w:t> </w:t>
      </w:r>
      <w:r>
        <w:rPr/>
        <w:t>of</w:t>
      </w:r>
      <w:r>
        <w:rPr>
          <w:spacing w:val="-2"/>
        </w:rPr>
        <w:t> </w:t>
      </w:r>
      <w:r>
        <w:rPr/>
        <w:t>MGM</w:t>
      </w:r>
      <w:r>
        <w:rPr>
          <w:spacing w:val="-2"/>
        </w:rPr>
        <w:t> </w:t>
      </w:r>
      <w:r>
        <w:rPr/>
        <w:t>Resorts</w:t>
      </w:r>
      <w:r>
        <w:rPr>
          <w:spacing w:val="-2"/>
        </w:rPr>
        <w:t> International</w:t>
      </w:r>
    </w:p>
    <w:p>
      <w:pPr>
        <w:pStyle w:val="BodyText"/>
        <w:spacing w:before="5"/>
      </w:pPr>
    </w:p>
    <w:p>
      <w:pPr>
        <w:pStyle w:val="Heading5"/>
        <w:jc w:val="left"/>
      </w:pPr>
      <w:r>
        <w:rPr/>
        <w:t>Opinion</w:t>
      </w:r>
      <w:r>
        <w:rPr>
          <w:spacing w:val="-2"/>
        </w:rPr>
        <w:t> </w:t>
      </w:r>
      <w:r>
        <w:rPr/>
        <w:t>on</w:t>
      </w:r>
      <w:r>
        <w:rPr>
          <w:spacing w:val="-2"/>
        </w:rPr>
        <w:t> </w:t>
      </w:r>
      <w:r>
        <w:rPr/>
        <w:t>Internal</w:t>
      </w:r>
      <w:r>
        <w:rPr>
          <w:spacing w:val="-2"/>
        </w:rPr>
        <w:t> </w:t>
      </w:r>
      <w:r>
        <w:rPr/>
        <w:t>Control</w:t>
      </w:r>
      <w:r>
        <w:rPr>
          <w:spacing w:val="-1"/>
        </w:rPr>
        <w:t> </w:t>
      </w:r>
      <w:r>
        <w:rPr/>
        <w:t>over</w:t>
      </w:r>
      <w:r>
        <w:rPr>
          <w:spacing w:val="-5"/>
        </w:rPr>
        <w:t> </w:t>
      </w:r>
      <w:r>
        <w:rPr/>
        <w:t>Financial</w:t>
      </w:r>
      <w:r>
        <w:rPr>
          <w:spacing w:val="-1"/>
        </w:rPr>
        <w:t> </w:t>
      </w:r>
      <w:r>
        <w:rPr>
          <w:spacing w:val="-2"/>
        </w:rPr>
        <w:t>Reporting</w:t>
      </w:r>
    </w:p>
    <w:p>
      <w:pPr>
        <w:pStyle w:val="BodyText"/>
        <w:spacing w:before="4"/>
        <w:rPr>
          <w:b/>
        </w:rPr>
      </w:pPr>
    </w:p>
    <w:p>
      <w:pPr>
        <w:pStyle w:val="BodyText"/>
        <w:ind w:left="144" w:right="118" w:firstLine="499"/>
        <w:jc w:val="both"/>
      </w:pPr>
      <w:r>
        <w:rPr/>
        <w:t>We</w:t>
      </w:r>
      <w:r>
        <w:rPr>
          <w:spacing w:val="-1"/>
        </w:rPr>
        <w:t> </w:t>
      </w:r>
      <w:r>
        <w:rPr/>
        <w:t>have</w:t>
      </w:r>
      <w:r>
        <w:rPr>
          <w:spacing w:val="-1"/>
        </w:rPr>
        <w:t> </w:t>
      </w:r>
      <w:r>
        <w:rPr/>
        <w:t>audited</w:t>
      </w:r>
      <w:r>
        <w:rPr>
          <w:spacing w:val="-1"/>
        </w:rPr>
        <w:t> </w:t>
      </w:r>
      <w:r>
        <w:rPr/>
        <w:t>the</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of</w:t>
      </w:r>
      <w:r>
        <w:rPr>
          <w:spacing w:val="-1"/>
        </w:rPr>
        <w:t> </w:t>
      </w:r>
      <w:r>
        <w:rPr/>
        <w:t>MGM</w:t>
      </w:r>
      <w:r>
        <w:rPr>
          <w:spacing w:val="-1"/>
        </w:rPr>
        <w:t> </w:t>
      </w:r>
      <w:r>
        <w:rPr/>
        <w:t>Resorts</w:t>
      </w:r>
      <w:r>
        <w:rPr>
          <w:spacing w:val="-1"/>
        </w:rPr>
        <w:t> </w:t>
      </w:r>
      <w:r>
        <w:rPr/>
        <w:t>International</w:t>
      </w:r>
      <w:r>
        <w:rPr>
          <w:spacing w:val="-1"/>
        </w:rPr>
        <w:t> </w:t>
      </w:r>
      <w:r>
        <w:rPr/>
        <w:t>and</w:t>
      </w:r>
      <w:r>
        <w:rPr>
          <w:spacing w:val="-1"/>
        </w:rPr>
        <w:t> </w:t>
      </w:r>
      <w:r>
        <w:rPr/>
        <w:t>subsidiaries</w:t>
      </w:r>
      <w:r>
        <w:rPr>
          <w:spacing w:val="-1"/>
        </w:rPr>
        <w:t> </w:t>
      </w:r>
      <w:r>
        <w:rPr/>
        <w:t>(the</w:t>
      </w:r>
      <w:r>
        <w:rPr>
          <w:spacing w:val="-1"/>
        </w:rPr>
        <w:t> </w:t>
      </w:r>
      <w:r>
        <w:rPr/>
        <w:t>“Company”)</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2022, based on criteria established in Internal Control — Integrated Framework (2013) issued by the Committee of Sponsoring Organizations of the </w:t>
      </w:r>
      <w:r>
        <w:rPr/>
        <w:t>Treadway Commission (COSO). In our opinion, the Company maintained, in all material respects, effective internal control over financial reporting as of December 31, 2022, based on criteria established in Internal Control — Integrated Framework (2013) issued by COSO.</w:t>
      </w:r>
    </w:p>
    <w:p>
      <w:pPr>
        <w:pStyle w:val="BodyText"/>
        <w:spacing w:before="22"/>
      </w:pPr>
    </w:p>
    <w:p>
      <w:pPr>
        <w:pStyle w:val="BodyText"/>
        <w:spacing w:line="235" w:lineRule="auto"/>
        <w:ind w:left="144" w:right="118" w:firstLine="499"/>
        <w:jc w:val="both"/>
      </w:pPr>
      <w:r>
        <w:rPr/>
        <w:t>We have also audited, in accordance with the standards of the Public Company</w:t>
      </w:r>
      <w:r>
        <w:rPr>
          <w:spacing w:val="-9"/>
        </w:rPr>
        <w:t> </w:t>
      </w:r>
      <w:r>
        <w:rPr/>
        <w:t>Accounting Oversight Board (United States) (PCAOB), the </w:t>
      </w:r>
      <w:r>
        <w:rPr/>
        <w:t>consolidated financial statements as of and for the year ended December 31, 2022, of the Company and our report dated February 24, 2023, expressed an unqualified</w:t>
      </w:r>
      <w:r>
        <w:rPr>
          <w:spacing w:val="40"/>
        </w:rPr>
        <w:t> </w:t>
      </w:r>
      <w:r>
        <w:rPr/>
        <w:t>opinion on those financial statements.</w:t>
      </w:r>
    </w:p>
    <w:p>
      <w:pPr>
        <w:pStyle w:val="BodyText"/>
        <w:spacing w:before="11"/>
      </w:pPr>
    </w:p>
    <w:p>
      <w:pPr>
        <w:pStyle w:val="BodyText"/>
        <w:spacing w:line="230" w:lineRule="auto"/>
        <w:ind w:left="144" w:right="118" w:firstLine="499"/>
        <w:jc w:val="both"/>
      </w:pPr>
      <w:r>
        <w:rPr/>
        <w:t>As described in </w:t>
      </w:r>
      <w:r>
        <w:rPr>
          <w:i/>
        </w:rPr>
        <w:t>Management’s Annual Report on Internal Control Over Financial Reporting</w:t>
      </w:r>
      <w:r>
        <w:rPr/>
        <w:t>, management excluded from its assessment the </w:t>
      </w:r>
      <w:r>
        <w:rPr/>
        <w:t>internal control over financial reporting at The Cosmopolitan of Las Vegas (“The Cosmopolitan”), which was acquired on May 17, 2022, and whose financial statements constitute approximately 11% of total assets and approximately 6% of total revenues of the consolidated financial statement amounts as of and for the year ended December 31, 2022.</w:t>
      </w:r>
      <w:r>
        <w:rPr>
          <w:spacing w:val="-5"/>
        </w:rPr>
        <w:t> </w:t>
      </w:r>
      <w:r>
        <w:rPr/>
        <w:t>Accordingly, our audit did not include the internal control over financial reporting at The Cosmopolitan.</w:t>
      </w:r>
    </w:p>
    <w:p>
      <w:pPr>
        <w:pStyle w:val="BodyText"/>
        <w:spacing w:before="17"/>
      </w:pPr>
    </w:p>
    <w:p>
      <w:pPr>
        <w:pStyle w:val="Heading5"/>
        <w:spacing w:before="1"/>
        <w:jc w:val="left"/>
      </w:pPr>
      <w:r>
        <w:rPr/>
        <w:t>Basis</w:t>
      </w:r>
      <w:r>
        <w:rPr>
          <w:spacing w:val="-1"/>
        </w:rPr>
        <w:t> </w:t>
      </w:r>
      <w:r>
        <w:rPr/>
        <w:t>for</w:t>
      </w:r>
      <w:r>
        <w:rPr>
          <w:spacing w:val="-4"/>
        </w:rPr>
        <w:t> </w:t>
      </w:r>
      <w:r>
        <w:rPr>
          <w:spacing w:val="-2"/>
        </w:rPr>
        <w:t>Opinion</w:t>
      </w:r>
    </w:p>
    <w:p>
      <w:pPr>
        <w:pStyle w:val="BodyText"/>
        <w:spacing w:before="19"/>
        <w:rPr>
          <w:b/>
        </w:rPr>
      </w:pPr>
    </w:p>
    <w:p>
      <w:pPr>
        <w:pStyle w:val="BodyText"/>
        <w:spacing w:line="237" w:lineRule="auto"/>
        <w:ind w:left="144" w:right="118" w:firstLine="499"/>
        <w:jc w:val="both"/>
      </w:pPr>
      <w:r>
        <w:rPr/>
        <w:t>The Company’s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w:t>
      </w:r>
      <w:r>
        <w:rPr>
          <w:spacing w:val="-2"/>
        </w:rPr>
        <w:t> </w:t>
      </w:r>
      <w:r>
        <w:rPr/>
        <w:t>is</w:t>
      </w:r>
      <w:r>
        <w:rPr>
          <w:spacing w:val="-2"/>
        </w:rPr>
        <w:t> </w:t>
      </w:r>
      <w:r>
        <w:rPr/>
        <w:t>to</w:t>
      </w:r>
      <w:r>
        <w:rPr>
          <w:spacing w:val="-2"/>
        </w:rPr>
        <w:t> </w:t>
      </w:r>
      <w:r>
        <w:rPr/>
        <w:t>express</w:t>
      </w:r>
      <w:r>
        <w:rPr>
          <w:spacing w:val="-2"/>
        </w:rPr>
        <w:t> </w:t>
      </w:r>
      <w:r>
        <w:rPr/>
        <w:t>an</w:t>
      </w:r>
      <w:r>
        <w:rPr>
          <w:spacing w:val="-2"/>
        </w:rPr>
        <w:t> </w:t>
      </w:r>
      <w:r>
        <w:rPr/>
        <w:t>opinion</w:t>
      </w:r>
      <w:r>
        <w:rPr>
          <w:spacing w:val="-2"/>
        </w:rPr>
        <w:t> </w:t>
      </w:r>
      <w:r>
        <w:rPr/>
        <w:t>on</w:t>
      </w:r>
      <w:r>
        <w:rPr>
          <w:spacing w:val="-2"/>
        </w:rPr>
        <w:t> </w:t>
      </w:r>
      <w:r>
        <w:rPr/>
        <w:t>the</w:t>
      </w:r>
      <w:r>
        <w:rPr>
          <w:spacing w:val="-2"/>
        </w:rPr>
        <w:t> </w:t>
      </w:r>
      <w:r>
        <w:rPr/>
        <w:t>Company’s</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3"/>
        </w:rPr>
        <w:t> </w:t>
      </w:r>
      <w:r>
        <w:rPr/>
        <w:t>based</w:t>
      </w:r>
      <w:r>
        <w:rPr>
          <w:spacing w:val="-2"/>
        </w:rPr>
        <w:t> </w:t>
      </w:r>
      <w:r>
        <w:rPr/>
        <w:t>on</w:t>
      </w:r>
      <w:r>
        <w:rPr>
          <w:spacing w:val="-2"/>
        </w:rPr>
        <w:t> </w:t>
      </w:r>
      <w:r>
        <w:rPr/>
        <w:t>our</w:t>
      </w:r>
      <w:r>
        <w:rPr>
          <w:spacing w:val="-2"/>
        </w:rPr>
        <w:t> </w:t>
      </w:r>
      <w:r>
        <w:rPr/>
        <w:t>audit.</w:t>
      </w:r>
      <w:r>
        <w:rPr>
          <w:spacing w:val="-6"/>
        </w:rPr>
        <w:t> </w:t>
      </w:r>
      <w:r>
        <w:rPr/>
        <w:t>We</w:t>
      </w:r>
      <w:r>
        <w:rPr>
          <w:spacing w:val="-2"/>
        </w:rPr>
        <w:t> </w:t>
      </w:r>
      <w:r>
        <w:rPr/>
        <w:t>are</w:t>
      </w:r>
      <w:r>
        <w:rPr>
          <w:spacing w:val="-2"/>
        </w:rPr>
        <w:t> </w:t>
      </w:r>
      <w:r>
        <w:rPr/>
        <w:t>a</w:t>
      </w:r>
      <w:r>
        <w:rPr>
          <w:spacing w:val="-2"/>
        </w:rPr>
        <w:t> </w:t>
      </w:r>
      <w:r>
        <w:rPr/>
        <w:t>public</w:t>
      </w:r>
      <w:r>
        <w:rPr>
          <w:spacing w:val="-2"/>
        </w:rPr>
        <w:t> </w:t>
      </w:r>
      <w:r>
        <w:rPr/>
        <w:t>accounting</w:t>
      </w:r>
      <w:r>
        <w:rPr>
          <w:spacing w:val="-3"/>
        </w:rPr>
        <w:t> </w:t>
      </w:r>
      <w:r>
        <w:rPr/>
        <w:t>firm</w:t>
      </w:r>
      <w:r>
        <w:rPr>
          <w:spacing w:val="-2"/>
        </w:rPr>
        <w:t> </w:t>
      </w:r>
      <w:r>
        <w:rPr/>
        <w:t>registered with the PCAOB and are required to be independent with respect to the Company in accordance with the U.S. federal securities laws and the applicable rules and regulations of the Securities and Exchange Commission and the PCAOB.</w:t>
      </w:r>
    </w:p>
    <w:p>
      <w:pPr>
        <w:pStyle w:val="BodyText"/>
        <w:spacing w:before="9"/>
      </w:pPr>
    </w:p>
    <w:p>
      <w:pPr>
        <w:pStyle w:val="BodyText"/>
        <w:spacing w:line="242" w:lineRule="auto"/>
        <w:ind w:left="144" w:right="118" w:firstLine="499"/>
        <w:jc w:val="both"/>
      </w:pPr>
      <w:r>
        <w:rPr/>
        <w:t>We conducted our audit in accordance with the standards of the PCAOB. Those standards require that we plan and perform the audit to obtain</w:t>
      </w:r>
      <w:r>
        <w:rPr>
          <w:spacing w:val="40"/>
        </w:rPr>
        <w:t> </w:t>
      </w:r>
      <w:r>
        <w:rPr/>
        <w:t>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w:t>
      </w:r>
      <w:r>
        <w:rPr>
          <w:spacing w:val="-3"/>
        </w:rPr>
        <w:t> </w:t>
      </w:r>
      <w:r>
        <w:rPr/>
        <w:t>We </w:t>
      </w:r>
      <w:r>
        <w:rPr/>
        <w:t>believe that our audit provides a reasonable basis for our opinion.</w:t>
      </w:r>
    </w:p>
    <w:p>
      <w:pPr>
        <w:pStyle w:val="BodyText"/>
        <w:spacing w:before="3"/>
      </w:pPr>
    </w:p>
    <w:p>
      <w:pPr>
        <w:pStyle w:val="Heading5"/>
        <w:jc w:val="left"/>
      </w:pPr>
      <w:r>
        <w:rPr/>
        <w:t>Definition</w:t>
      </w:r>
      <w:r>
        <w:rPr>
          <w:spacing w:val="-2"/>
        </w:rPr>
        <w:t> </w:t>
      </w:r>
      <w:r>
        <w:rPr/>
        <w:t>and</w:t>
      </w:r>
      <w:r>
        <w:rPr>
          <w:spacing w:val="-1"/>
        </w:rPr>
        <w:t> </w:t>
      </w:r>
      <w:r>
        <w:rPr/>
        <w:t>Limitations</w:t>
      </w:r>
      <w:r>
        <w:rPr>
          <w:spacing w:val="-2"/>
        </w:rPr>
        <w:t> </w:t>
      </w:r>
      <w:r>
        <w:rPr/>
        <w:t>of</w:t>
      </w:r>
      <w:r>
        <w:rPr>
          <w:spacing w:val="-2"/>
        </w:rPr>
        <w:t> </w:t>
      </w:r>
      <w:r>
        <w:rPr/>
        <w:t>Internal</w:t>
      </w:r>
      <w:r>
        <w:rPr>
          <w:spacing w:val="-1"/>
        </w:rPr>
        <w:t> </w:t>
      </w:r>
      <w:r>
        <w:rPr/>
        <w:t>Control</w:t>
      </w:r>
      <w:r>
        <w:rPr>
          <w:spacing w:val="-2"/>
        </w:rPr>
        <w:t> </w:t>
      </w:r>
      <w:r>
        <w:rPr/>
        <w:t>over</w:t>
      </w:r>
      <w:r>
        <w:rPr>
          <w:spacing w:val="-4"/>
        </w:rPr>
        <w:t> </w:t>
      </w:r>
      <w:r>
        <w:rPr/>
        <w:t>Financial</w:t>
      </w:r>
      <w:r>
        <w:rPr>
          <w:spacing w:val="-1"/>
        </w:rPr>
        <w:t> </w:t>
      </w:r>
      <w:r>
        <w:rPr>
          <w:spacing w:val="-2"/>
        </w:rPr>
        <w:t>Reporting</w:t>
      </w:r>
    </w:p>
    <w:p>
      <w:pPr>
        <w:pStyle w:val="BodyText"/>
        <w:spacing w:before="5"/>
        <w:rPr>
          <w:b/>
        </w:rPr>
      </w:pPr>
    </w:p>
    <w:p>
      <w:pPr>
        <w:pStyle w:val="BodyText"/>
        <w:ind w:left="144" w:right="118" w:firstLine="499"/>
        <w:jc w:val="both"/>
      </w:pPr>
      <w:r>
        <w:rPr/>
        <w:t>A company’s internal control over financial reporting is a process designed to provide reasonable assurance regarding the reliability of </w:t>
      </w:r>
      <w:r>
        <w:rPr/>
        <w:t>financial reporting and the preparation of financial statements for external purposes in accordance with generally accepted accounting principles.</w:t>
      </w:r>
      <w:r>
        <w:rPr>
          <w:spacing w:val="-3"/>
        </w:rPr>
        <w:t> </w:t>
      </w:r>
      <w:r>
        <w:rPr/>
        <w:t>A</w:t>
      </w:r>
      <w:r>
        <w:rPr>
          <w:spacing w:val="-3"/>
        </w:rPr>
        <w:t> </w:t>
      </w:r>
      <w:r>
        <w:rPr/>
        <w:t>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w:t>
      </w:r>
      <w:r>
        <w:rPr>
          <w:spacing w:val="-1"/>
        </w:rPr>
        <w:t> </w:t>
      </w:r>
      <w:r>
        <w:rPr/>
        <w:t>made</w:t>
      </w:r>
      <w:r>
        <w:rPr>
          <w:spacing w:val="-1"/>
        </w:rPr>
        <w:t> </w:t>
      </w:r>
      <w:r>
        <w:rPr/>
        <w:t>only</w:t>
      </w:r>
      <w:r>
        <w:rPr>
          <w:spacing w:val="-1"/>
        </w:rPr>
        <w:t> </w:t>
      </w:r>
      <w:r>
        <w:rPr/>
        <w:t>in</w:t>
      </w:r>
      <w:r>
        <w:rPr>
          <w:spacing w:val="-1"/>
        </w:rPr>
        <w:t> </w:t>
      </w:r>
      <w:r>
        <w:rPr/>
        <w:t>accordance</w:t>
      </w:r>
      <w:r>
        <w:rPr>
          <w:spacing w:val="-1"/>
        </w:rPr>
        <w:t> </w:t>
      </w:r>
      <w:r>
        <w:rPr/>
        <w:t>with</w:t>
      </w:r>
      <w:r>
        <w:rPr>
          <w:spacing w:val="-1"/>
        </w:rPr>
        <w:t> </w:t>
      </w:r>
      <w:r>
        <w:rPr/>
        <w:t>authorizations</w:t>
      </w:r>
      <w:r>
        <w:rPr>
          <w:spacing w:val="-1"/>
        </w:rPr>
        <w:t> </w:t>
      </w:r>
      <w:r>
        <w:rPr/>
        <w:t>of</w:t>
      </w:r>
      <w:r>
        <w:rPr>
          <w:spacing w:val="-1"/>
        </w:rPr>
        <w:t> </w:t>
      </w:r>
      <w:r>
        <w:rPr/>
        <w:t>management</w:t>
      </w:r>
      <w:r>
        <w:rPr>
          <w:spacing w:val="-1"/>
        </w:rPr>
        <w:t> </w:t>
      </w:r>
      <w:r>
        <w:rPr/>
        <w:t>and</w:t>
      </w:r>
      <w:r>
        <w:rPr>
          <w:spacing w:val="-1"/>
        </w:rPr>
        <w:t> </w:t>
      </w:r>
      <w:r>
        <w:rPr/>
        <w:t>directors</w:t>
      </w:r>
      <w:r>
        <w:rPr>
          <w:spacing w:val="-1"/>
        </w:rPr>
        <w:t> </w:t>
      </w:r>
      <w:r>
        <w:rPr/>
        <w:t>of</w:t>
      </w:r>
      <w:r>
        <w:rPr>
          <w:spacing w:val="-1"/>
        </w:rPr>
        <w:t> </w:t>
      </w:r>
      <w:r>
        <w:rPr/>
        <w:t>the</w:t>
      </w:r>
      <w:r>
        <w:rPr>
          <w:spacing w:val="-1"/>
        </w:rPr>
        <w:t> </w:t>
      </w:r>
      <w:r>
        <w:rPr/>
        <w:t>company;</w:t>
      </w:r>
      <w:r>
        <w:rPr>
          <w:spacing w:val="-1"/>
        </w:rPr>
        <w:t> </w:t>
      </w:r>
      <w:r>
        <w:rPr/>
        <w:t>and</w:t>
      </w:r>
      <w:r>
        <w:rPr>
          <w:spacing w:val="-1"/>
        </w:rPr>
        <w:t> </w:t>
      </w:r>
      <w:r>
        <w:rPr/>
        <w:t>(3)</w:t>
      </w:r>
      <w:r>
        <w:rPr>
          <w:spacing w:val="-1"/>
        </w:rPr>
        <w:t> </w:t>
      </w:r>
      <w:r>
        <w:rPr/>
        <w:t>provide</w:t>
      </w:r>
      <w:r>
        <w:rPr>
          <w:spacing w:val="-1"/>
        </w:rPr>
        <w:t> </w:t>
      </w:r>
      <w:r>
        <w:rPr/>
        <w:t>reasonable</w:t>
      </w:r>
      <w:r>
        <w:rPr>
          <w:spacing w:val="-1"/>
        </w:rPr>
        <w:t> </w:t>
      </w:r>
      <w:r>
        <w:rPr/>
        <w:t>assurance</w:t>
      </w:r>
      <w:r>
        <w:rPr>
          <w:spacing w:val="-1"/>
        </w:rPr>
        <w:t> </w:t>
      </w:r>
      <w:r>
        <w:rPr/>
        <w:t>regarding</w:t>
      </w:r>
      <w:r>
        <w:rPr>
          <w:spacing w:val="-1"/>
        </w:rPr>
        <w:t> </w:t>
      </w:r>
      <w:r>
        <w:rPr/>
        <w:t>prevention</w:t>
      </w:r>
      <w:r>
        <w:rPr>
          <w:spacing w:val="-1"/>
        </w:rPr>
        <w:t> </w:t>
      </w:r>
      <w:r>
        <w:rPr/>
        <w:t>or timely detection of unauthorized acquisition, use, or disposition of the company’s assets that could have a material effect on the financial statements.</w:t>
      </w:r>
    </w:p>
    <w:p>
      <w:pPr>
        <w:pStyle w:val="BodyText"/>
        <w:spacing w:before="21"/>
      </w:pPr>
    </w:p>
    <w:p>
      <w:pPr>
        <w:pStyle w:val="BodyText"/>
        <w:spacing w:line="235" w:lineRule="auto"/>
        <w:ind w:left="144" w:right="118" w:firstLine="499"/>
        <w:jc w:val="both"/>
      </w:pPr>
      <w:r>
        <w:rPr/>
        <w:t>Because of its inherent limitations, internal control over financial reporting may not prevent or detect misstatements.</w:t>
      </w:r>
      <w:r>
        <w:rPr>
          <w:spacing w:val="-9"/>
        </w:rPr>
        <w:t> </w:t>
      </w:r>
      <w:r>
        <w:rPr/>
        <w:t>Also, projections of any </w:t>
      </w:r>
      <w:r>
        <w:rPr/>
        <w:t>evaluation of</w:t>
      </w:r>
      <w:r>
        <w:rPr>
          <w:spacing w:val="-2"/>
        </w:rPr>
        <w:t> </w:t>
      </w:r>
      <w:r>
        <w:rPr/>
        <w:t>effectiveness</w:t>
      </w:r>
      <w:r>
        <w:rPr>
          <w:spacing w:val="-2"/>
        </w:rPr>
        <w:t> </w:t>
      </w:r>
      <w:r>
        <w:rPr/>
        <w:t>to</w:t>
      </w:r>
      <w:r>
        <w:rPr>
          <w:spacing w:val="-2"/>
        </w:rPr>
        <w:t> </w:t>
      </w:r>
      <w:r>
        <w:rPr/>
        <w:t>future</w:t>
      </w:r>
      <w:r>
        <w:rPr>
          <w:spacing w:val="-2"/>
        </w:rPr>
        <w:t> </w:t>
      </w:r>
      <w:r>
        <w:rPr/>
        <w:t>periods</w:t>
      </w:r>
      <w:r>
        <w:rPr>
          <w:spacing w:val="-2"/>
        </w:rPr>
        <w:t> </w:t>
      </w:r>
      <w:r>
        <w:rPr/>
        <w:t>are</w:t>
      </w:r>
      <w:r>
        <w:rPr>
          <w:spacing w:val="-2"/>
        </w:rPr>
        <w:t> </w:t>
      </w:r>
      <w:r>
        <w:rPr/>
        <w:t>subject</w:t>
      </w:r>
      <w:r>
        <w:rPr>
          <w:spacing w:val="-2"/>
        </w:rPr>
        <w:t> </w:t>
      </w:r>
      <w:r>
        <w:rPr/>
        <w:t>to</w:t>
      </w:r>
      <w:r>
        <w:rPr>
          <w:spacing w:val="-2"/>
        </w:rPr>
        <w:t> </w:t>
      </w:r>
      <w:r>
        <w:rPr/>
        <w:t>the</w:t>
      </w:r>
      <w:r>
        <w:rPr>
          <w:spacing w:val="-2"/>
        </w:rPr>
        <w:t> </w:t>
      </w:r>
      <w:r>
        <w:rPr/>
        <w:t>risk</w:t>
      </w:r>
      <w:r>
        <w:rPr>
          <w:spacing w:val="-2"/>
        </w:rPr>
        <w:t> </w:t>
      </w:r>
      <w:r>
        <w:rPr/>
        <w:t>that</w:t>
      </w:r>
      <w:r>
        <w:rPr>
          <w:spacing w:val="-2"/>
        </w:rPr>
        <w:t> </w:t>
      </w:r>
      <w:r>
        <w:rPr/>
        <w:t>controls</w:t>
      </w:r>
      <w:r>
        <w:rPr>
          <w:spacing w:val="-2"/>
        </w:rPr>
        <w:t> </w:t>
      </w:r>
      <w:r>
        <w:rPr/>
        <w:t>may</w:t>
      </w:r>
      <w:r>
        <w:rPr>
          <w:spacing w:val="-2"/>
        </w:rPr>
        <w:t> </w:t>
      </w:r>
      <w:r>
        <w:rPr/>
        <w:t>become</w:t>
      </w:r>
      <w:r>
        <w:rPr>
          <w:spacing w:val="-2"/>
        </w:rPr>
        <w:t> </w:t>
      </w:r>
      <w:r>
        <w:rPr/>
        <w:t>inadequate</w:t>
      </w:r>
      <w:r>
        <w:rPr>
          <w:spacing w:val="-2"/>
        </w:rPr>
        <w:t> </w:t>
      </w:r>
      <w:r>
        <w:rPr/>
        <w:t>because</w:t>
      </w:r>
      <w:r>
        <w:rPr>
          <w:spacing w:val="-2"/>
        </w:rPr>
        <w:t> </w:t>
      </w:r>
      <w:r>
        <w:rPr/>
        <w:t>of</w:t>
      </w:r>
      <w:r>
        <w:rPr>
          <w:spacing w:val="-2"/>
        </w:rPr>
        <w:t> </w:t>
      </w:r>
      <w:r>
        <w:rPr/>
        <w:t>changes</w:t>
      </w:r>
      <w:r>
        <w:rPr>
          <w:spacing w:val="-2"/>
        </w:rPr>
        <w:t> </w:t>
      </w:r>
      <w:r>
        <w:rPr/>
        <w:t>in</w:t>
      </w:r>
      <w:r>
        <w:rPr>
          <w:spacing w:val="-2"/>
        </w:rPr>
        <w:t> </w:t>
      </w:r>
      <w:r>
        <w:rPr/>
        <w:t>conditions,</w:t>
      </w:r>
      <w:r>
        <w:rPr>
          <w:spacing w:val="-2"/>
        </w:rPr>
        <w:t> </w:t>
      </w:r>
      <w:r>
        <w:rPr/>
        <w:t>or</w:t>
      </w:r>
      <w:r>
        <w:rPr>
          <w:spacing w:val="-2"/>
        </w:rPr>
        <w:t> </w:t>
      </w:r>
      <w:r>
        <w:rPr/>
        <w:t>that</w:t>
      </w:r>
      <w:r>
        <w:rPr>
          <w:spacing w:val="-2"/>
        </w:rPr>
        <w:t> </w:t>
      </w:r>
      <w:r>
        <w:rPr/>
        <w:t>the</w:t>
      </w:r>
      <w:r>
        <w:rPr>
          <w:spacing w:val="-2"/>
        </w:rPr>
        <w:t> </w:t>
      </w:r>
      <w:r>
        <w:rPr/>
        <w:t>degree</w:t>
      </w:r>
      <w:r>
        <w:rPr>
          <w:spacing w:val="-2"/>
        </w:rPr>
        <w:t> </w:t>
      </w:r>
      <w:r>
        <w:rPr/>
        <w:t>of</w:t>
      </w:r>
      <w:r>
        <w:rPr>
          <w:spacing w:val="-2"/>
        </w:rPr>
        <w:t> </w:t>
      </w:r>
      <w:r>
        <w:rPr/>
        <w:t>compliance with the policies or procedures may deteriorate.</w:t>
      </w:r>
    </w:p>
    <w:p>
      <w:pPr>
        <w:pStyle w:val="BodyText"/>
        <w:spacing w:before="18"/>
      </w:pPr>
    </w:p>
    <w:p>
      <w:pPr>
        <w:pStyle w:val="BodyText"/>
        <w:ind w:left="144"/>
      </w:pPr>
      <w:r>
        <w:rPr/>
        <w:t>/s/</w:t>
      </w:r>
      <w:r>
        <w:rPr>
          <w:spacing w:val="-5"/>
        </w:rPr>
        <w:t> </w:t>
      </w:r>
      <w:r>
        <w:rPr/>
        <w:t>Deloitte</w:t>
      </w:r>
      <w:r>
        <w:rPr>
          <w:spacing w:val="-4"/>
        </w:rPr>
        <w:t> </w:t>
      </w:r>
      <w:r>
        <w:rPr/>
        <w:t>&amp;</w:t>
      </w:r>
      <w:r>
        <w:rPr>
          <w:spacing w:val="-7"/>
        </w:rPr>
        <w:t> </w:t>
      </w:r>
      <w:r>
        <w:rPr/>
        <w:t>Touche</w:t>
      </w:r>
      <w:r>
        <w:rPr>
          <w:spacing w:val="-4"/>
        </w:rPr>
        <w:t> </w:t>
      </w:r>
      <w:r>
        <w:rPr>
          <w:spacing w:val="-5"/>
        </w:rPr>
        <w:t>LLP</w:t>
      </w:r>
    </w:p>
    <w:p>
      <w:pPr>
        <w:pStyle w:val="BodyText"/>
        <w:spacing w:before="8"/>
      </w:pPr>
    </w:p>
    <w:p>
      <w:pPr>
        <w:pStyle w:val="BodyText"/>
        <w:spacing w:line="235" w:lineRule="auto"/>
        <w:ind w:left="144" w:right="9851"/>
      </w:pPr>
      <w:r>
        <w:rPr>
          <w:spacing w:val="-2"/>
        </w:rPr>
        <w:t>Las</w:t>
      </w:r>
      <w:r>
        <w:rPr>
          <w:spacing w:val="-10"/>
        </w:rPr>
        <w:t> </w:t>
      </w:r>
      <w:r>
        <w:rPr>
          <w:spacing w:val="-2"/>
        </w:rPr>
        <w:t>Vegas,</w:t>
      </w:r>
      <w:r>
        <w:rPr>
          <w:spacing w:val="-9"/>
        </w:rPr>
        <w:t> </w:t>
      </w:r>
      <w:r>
        <w:rPr>
          <w:spacing w:val="-2"/>
        </w:rPr>
        <w:t>Nevada </w:t>
      </w:r>
      <w:r>
        <w:rPr/>
        <w:t>February</w:t>
      </w:r>
      <w:r>
        <w:rPr>
          <w:spacing w:val="-1"/>
        </w:rPr>
        <w:t> </w:t>
      </w:r>
      <w:r>
        <w:rPr/>
        <w:t>24,</w:t>
      </w:r>
      <w:r>
        <w:rPr>
          <w:spacing w:val="-1"/>
        </w:rPr>
        <w:t> </w:t>
      </w:r>
      <w:r>
        <w:rPr>
          <w:spacing w:val="-4"/>
        </w:rPr>
        <w:t>2023</w:t>
      </w:r>
    </w:p>
    <w:p>
      <w:pPr>
        <w:pStyle w:val="BodyText"/>
      </w:pPr>
    </w:p>
    <w:p>
      <w:pPr>
        <w:pStyle w:val="BodyText"/>
      </w:pPr>
    </w:p>
    <w:p>
      <w:pPr>
        <w:pStyle w:val="BodyText"/>
        <w:spacing w:before="199"/>
      </w:pPr>
    </w:p>
    <w:p>
      <w:pPr>
        <w:pStyle w:val="BodyText"/>
        <w:ind w:left="24"/>
        <w:jc w:val="center"/>
      </w:pPr>
      <w:r>
        <w:rPr>
          <w:spacing w:val="-5"/>
        </w:rPr>
        <w:t>53</w:t>
      </w:r>
    </w:p>
    <w:p>
      <w:pPr>
        <w:pStyle w:val="BodyText"/>
        <w:spacing w:before="3"/>
        <w:rPr>
          <w:sz w:val="6"/>
        </w:rPr>
      </w:pPr>
      <w:r>
        <w:rPr/>
        <mc:AlternateContent>
          <mc:Choice Requires="wps">
            <w:drawing>
              <wp:anchor distT="0" distB="0" distL="0" distR="0" allowOverlap="1" layoutInCell="1" locked="0" behindDoc="1" simplePos="0" relativeHeight="487644160">
                <wp:simplePos x="0" y="0"/>
                <wp:positionH relativeFrom="page">
                  <wp:posOffset>231457</wp:posOffset>
                </wp:positionH>
                <wp:positionV relativeFrom="paragraph">
                  <wp:posOffset>60956</wp:posOffset>
                </wp:positionV>
                <wp:extent cx="7312659" cy="17145"/>
                <wp:effectExtent l="0" t="0" r="0" b="0"/>
                <wp:wrapTopAndBottom/>
                <wp:docPr id="301" name="Group 301"/>
                <wp:cNvGraphicFramePr>
                  <a:graphicFrameLocks/>
                </wp:cNvGraphicFramePr>
                <a:graphic>
                  <a:graphicData uri="http://schemas.microsoft.com/office/word/2010/wordprocessingGroup">
                    <wpg:wgp>
                      <wpg:cNvPr id="301" name="Group 301"/>
                      <wpg:cNvGrpSpPr/>
                      <wpg:grpSpPr>
                        <a:xfrm>
                          <a:off x="0" y="0"/>
                          <a:ext cx="7312659" cy="17145"/>
                          <a:chExt cx="7312659" cy="17145"/>
                        </a:xfrm>
                      </wpg:grpSpPr>
                      <wps:wsp>
                        <wps:cNvPr id="302" name="Graphic 30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03" name="Graphic 303"/>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04" name="Graphic 30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2320;mso-wrap-distance-left:0;mso-wrap-distance-right:0" id="docshapegroup299" coordorigin="364,96" coordsize="11516,27">
                <v:rect style="position:absolute;left:364;top:96;width:11516;height:14" id="docshape300" filled="true" fillcolor="#999999" stroked="false">
                  <v:fill type="solid"/>
                </v:rect>
                <v:shape style="position:absolute;left:364;top:96;width:11516;height:27" id="docshape301" coordorigin="364,96" coordsize="11516,27" path="m11880,96l11866,109,364,109,364,123,11866,123,11880,123,11880,109,11880,96xe" filled="true" fillcolor="#ededed" stroked="false">
                  <v:path arrowok="t"/>
                  <v:fill type="solid"/>
                </v:shape>
                <v:shape style="position:absolute;left:364;top:96;width:14;height:27" id="docshape302"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4"/>
        <w:spacing w:before="79"/>
        <w:ind w:left="24"/>
        <w:jc w:val="center"/>
      </w:pPr>
      <w:r>
        <w:rPr/>
        <w:t>REPORT</w:t>
      </w:r>
      <w:r>
        <w:rPr>
          <w:spacing w:val="-6"/>
        </w:rPr>
        <w:t> </w:t>
      </w:r>
      <w:r>
        <w:rPr/>
        <w:t>OF</w:t>
      </w:r>
      <w:r>
        <w:rPr>
          <w:spacing w:val="-8"/>
        </w:rPr>
        <w:t> </w:t>
      </w:r>
      <w:r>
        <w:rPr/>
        <w:t>INDEPENDENT</w:t>
      </w:r>
      <w:r>
        <w:rPr>
          <w:spacing w:val="-5"/>
        </w:rPr>
        <w:t> </w:t>
      </w:r>
      <w:r>
        <w:rPr/>
        <w:t>REGISTERED</w:t>
      </w:r>
      <w:r>
        <w:rPr>
          <w:spacing w:val="-2"/>
        </w:rPr>
        <w:t> </w:t>
      </w:r>
      <w:r>
        <w:rPr/>
        <w:t>PUBLIC</w:t>
      </w:r>
      <w:r>
        <w:rPr>
          <w:spacing w:val="-11"/>
        </w:rPr>
        <w:t> </w:t>
      </w:r>
      <w:r>
        <w:rPr/>
        <w:t>ACCOUNTING</w:t>
      </w:r>
      <w:r>
        <w:rPr>
          <w:spacing w:val="-2"/>
        </w:rPr>
        <w:t> </w:t>
      </w:r>
      <w:r>
        <w:rPr>
          <w:spacing w:val="-4"/>
        </w:rPr>
        <w:t>FIRM</w:t>
      </w:r>
    </w:p>
    <w:p>
      <w:pPr>
        <w:pStyle w:val="BodyText"/>
        <w:spacing w:before="4"/>
        <w:rPr>
          <w:b/>
        </w:rPr>
      </w:pPr>
    </w:p>
    <w:p>
      <w:pPr>
        <w:pStyle w:val="BodyText"/>
        <w:ind w:left="144"/>
      </w:pPr>
      <w:r>
        <w:rPr/>
        <w:t>To</w:t>
      </w:r>
      <w:r>
        <w:rPr>
          <w:spacing w:val="-5"/>
        </w:rPr>
        <w:t> </w:t>
      </w:r>
      <w:r>
        <w:rPr/>
        <w:t>the</w:t>
      </w:r>
      <w:r>
        <w:rPr>
          <w:spacing w:val="-2"/>
        </w:rPr>
        <w:t> </w:t>
      </w:r>
      <w:r>
        <w:rPr/>
        <w:t>Stockholders</w:t>
      </w:r>
      <w:r>
        <w:rPr>
          <w:spacing w:val="-2"/>
        </w:rPr>
        <w:t> </w:t>
      </w:r>
      <w:r>
        <w:rPr/>
        <w:t>and</w:t>
      </w:r>
      <w:r>
        <w:rPr>
          <w:spacing w:val="-2"/>
        </w:rPr>
        <w:t> </w:t>
      </w:r>
      <w:r>
        <w:rPr/>
        <w:t>the</w:t>
      </w:r>
      <w:r>
        <w:rPr>
          <w:spacing w:val="-2"/>
        </w:rPr>
        <w:t> </w:t>
      </w:r>
      <w:r>
        <w:rPr/>
        <w:t>Board</w:t>
      </w:r>
      <w:r>
        <w:rPr>
          <w:spacing w:val="-3"/>
        </w:rPr>
        <w:t> </w:t>
      </w:r>
      <w:r>
        <w:rPr/>
        <w:t>of</w:t>
      </w:r>
      <w:r>
        <w:rPr>
          <w:spacing w:val="-2"/>
        </w:rPr>
        <w:t> </w:t>
      </w:r>
      <w:r>
        <w:rPr/>
        <w:t>Directors</w:t>
      </w:r>
      <w:r>
        <w:rPr>
          <w:spacing w:val="-2"/>
        </w:rPr>
        <w:t> </w:t>
      </w:r>
      <w:r>
        <w:rPr/>
        <w:t>of</w:t>
      </w:r>
      <w:r>
        <w:rPr>
          <w:spacing w:val="-2"/>
        </w:rPr>
        <w:t> </w:t>
      </w:r>
      <w:r>
        <w:rPr/>
        <w:t>MGM</w:t>
      </w:r>
      <w:r>
        <w:rPr>
          <w:spacing w:val="-2"/>
        </w:rPr>
        <w:t> </w:t>
      </w:r>
      <w:r>
        <w:rPr/>
        <w:t>Resorts</w:t>
      </w:r>
      <w:r>
        <w:rPr>
          <w:spacing w:val="-2"/>
        </w:rPr>
        <w:t> International</w:t>
      </w:r>
    </w:p>
    <w:p>
      <w:pPr>
        <w:pStyle w:val="BodyText"/>
        <w:spacing w:before="5"/>
      </w:pPr>
    </w:p>
    <w:p>
      <w:pPr>
        <w:pStyle w:val="Heading5"/>
        <w:jc w:val="left"/>
      </w:pPr>
      <w:r>
        <w:rPr/>
        <w:t>Opinion</w:t>
      </w:r>
      <w:r>
        <w:rPr>
          <w:spacing w:val="-1"/>
        </w:rPr>
        <w:t> </w:t>
      </w:r>
      <w:r>
        <w:rPr/>
        <w:t>on</w:t>
      </w:r>
      <w:r>
        <w:rPr>
          <w:spacing w:val="-1"/>
        </w:rPr>
        <w:t> </w:t>
      </w:r>
      <w:r>
        <w:rPr/>
        <w:t>the</w:t>
      </w:r>
      <w:r>
        <w:rPr>
          <w:spacing w:val="-1"/>
        </w:rPr>
        <w:t> </w:t>
      </w:r>
      <w:r>
        <w:rPr/>
        <w:t>Financial</w:t>
      </w:r>
      <w:r>
        <w:rPr>
          <w:spacing w:val="-1"/>
        </w:rPr>
        <w:t> </w:t>
      </w:r>
      <w:r>
        <w:rPr>
          <w:spacing w:val="-2"/>
        </w:rPr>
        <w:t>Statements</w:t>
      </w:r>
    </w:p>
    <w:p>
      <w:pPr>
        <w:pStyle w:val="BodyText"/>
        <w:spacing w:before="19"/>
        <w:rPr>
          <w:b/>
        </w:rPr>
      </w:pPr>
    </w:p>
    <w:p>
      <w:pPr>
        <w:pStyle w:val="BodyText"/>
        <w:spacing w:line="237" w:lineRule="auto"/>
        <w:ind w:left="144" w:right="118" w:firstLine="499"/>
        <w:jc w:val="both"/>
      </w:pPr>
      <w:r>
        <w:rPr/>
        <w:t>We have audited the accompanying consolidated balance sheets of MGM Resorts International and subsidiaries (the “Company”) as of December 31, 2022 and 2021, the related consolidated statements of operations, comprehensive income (loss), cash flows and stockholders' equity for each of the three </w:t>
      </w:r>
      <w:r>
        <w:rPr/>
        <w:t>years in the period ended December 31, 2022, and the related notes (collectively referred to as the “financial statements”). In our opinion, the financial statements present fairly, in all material respects, the financial position of the Company as of December 31, 2022 and 2021, and the results of its operations and its cash flows for each of the three years in the period ended December 31, 2022, in conformity with accounting principles generally accepted in the United States of </w:t>
      </w:r>
      <w:r>
        <w:rPr>
          <w:spacing w:val="-2"/>
        </w:rPr>
        <w:t>America.</w:t>
      </w:r>
    </w:p>
    <w:p>
      <w:pPr>
        <w:pStyle w:val="BodyText"/>
        <w:spacing w:before="20"/>
      </w:pPr>
    </w:p>
    <w:p>
      <w:pPr>
        <w:pStyle w:val="BodyText"/>
        <w:ind w:left="144" w:right="118" w:firstLine="499"/>
        <w:jc w:val="both"/>
      </w:pPr>
      <w:r>
        <w:rPr/>
        <w:t>We have also audited, in accordance with the standards of the Public Company</w:t>
      </w:r>
      <w:r>
        <w:rPr>
          <w:spacing w:val="-4"/>
        </w:rPr>
        <w:t> </w:t>
      </w:r>
      <w:r>
        <w:rPr/>
        <w:t>Accounting Oversight Board (United States) (PCAOB), the Company's internal control over financial reporting as of December 31, 2022, based on criteria established in Internal Control — Integrated Framework (2013) issued by the Committee of Sponsoring Organizations of the Treadway Commission and our report dated February 24, 2023, expressed an unqualified opinion on </w:t>
      </w:r>
      <w:r>
        <w:rPr/>
        <w:t>the Company's internal control over financial reporting.</w:t>
      </w:r>
    </w:p>
    <w:p>
      <w:pPr>
        <w:pStyle w:val="BodyText"/>
        <w:spacing w:before="5"/>
      </w:pPr>
    </w:p>
    <w:p>
      <w:pPr>
        <w:pStyle w:val="Heading5"/>
        <w:jc w:val="left"/>
      </w:pPr>
      <w:r>
        <w:rPr/>
        <w:t>Basis</w:t>
      </w:r>
      <w:r>
        <w:rPr>
          <w:spacing w:val="-1"/>
        </w:rPr>
        <w:t> </w:t>
      </w:r>
      <w:r>
        <w:rPr/>
        <w:t>for</w:t>
      </w:r>
      <w:r>
        <w:rPr>
          <w:spacing w:val="-4"/>
        </w:rPr>
        <w:t> </w:t>
      </w:r>
      <w:r>
        <w:rPr>
          <w:spacing w:val="-2"/>
        </w:rPr>
        <w:t>Opinion</w:t>
      </w:r>
    </w:p>
    <w:p>
      <w:pPr>
        <w:pStyle w:val="BodyText"/>
        <w:spacing w:before="4"/>
        <w:rPr>
          <w:b/>
        </w:rPr>
      </w:pPr>
    </w:p>
    <w:p>
      <w:pPr>
        <w:pStyle w:val="BodyText"/>
        <w:spacing w:line="242" w:lineRule="auto"/>
        <w:ind w:left="144" w:right="118" w:firstLine="499"/>
        <w:jc w:val="both"/>
      </w:pPr>
      <w:r>
        <w:rPr/>
        <w:t>These financial statements are the responsibility of the Company's management. Our responsibility is to express an opinion on the Company's financial statements based on our audits.</w:t>
      </w:r>
      <w:r>
        <w:rPr>
          <w:spacing w:val="-4"/>
        </w:rPr>
        <w:t> </w:t>
      </w:r>
      <w:r>
        <w:rPr/>
        <w:t>We are a public accounting firm</w:t>
      </w:r>
      <w:r>
        <w:rPr>
          <w:spacing w:val="-1"/>
        </w:rPr>
        <w:t> </w:t>
      </w:r>
      <w:r>
        <w:rPr/>
        <w:t>registered with the PCAOB and are</w:t>
      </w:r>
      <w:r>
        <w:rPr>
          <w:spacing w:val="-1"/>
        </w:rPr>
        <w:t> </w:t>
      </w:r>
      <w:r>
        <w:rPr/>
        <w:t>required to be independent with respect</w:t>
      </w:r>
      <w:r>
        <w:rPr>
          <w:spacing w:val="-1"/>
        </w:rPr>
        <w:t> </w:t>
      </w:r>
      <w:r>
        <w:rPr/>
        <w:t>to the Company </w:t>
      </w:r>
      <w:r>
        <w:rPr/>
        <w:t>in accordance with the U.S. federal securities laws and the applicable rules and regulations of the Securities and Exchange Commission and the PCAOB.</w:t>
      </w:r>
    </w:p>
    <w:p>
      <w:pPr>
        <w:pStyle w:val="BodyText"/>
        <w:spacing w:before="3"/>
      </w:pPr>
    </w:p>
    <w:p>
      <w:pPr>
        <w:pStyle w:val="BodyText"/>
        <w:ind w:left="144" w:right="118" w:firstLine="499"/>
        <w:jc w:val="both"/>
      </w:pPr>
      <w:r>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w:t>
      </w:r>
      <w:r>
        <w:rPr/>
        <w:t>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w:t>
      </w:r>
      <w:r>
        <w:rPr>
          <w:spacing w:val="40"/>
        </w:rPr>
        <w:t> </w:t>
      </w:r>
      <w:r>
        <w:rPr/>
        <w:t>financial statements. We believe that our audits provide a reasonable basis for our opinion.</w:t>
      </w:r>
    </w:p>
    <w:p>
      <w:pPr>
        <w:pStyle w:val="BodyText"/>
        <w:spacing w:before="9"/>
      </w:pPr>
    </w:p>
    <w:p>
      <w:pPr>
        <w:pStyle w:val="Heading5"/>
        <w:jc w:val="left"/>
      </w:pPr>
      <w:r>
        <w:rPr/>
        <w:t>Critical</w:t>
      </w:r>
      <w:r>
        <w:rPr>
          <w:spacing w:val="-10"/>
        </w:rPr>
        <w:t> </w:t>
      </w:r>
      <w:r>
        <w:rPr/>
        <w:t>Audit</w:t>
      </w:r>
      <w:r>
        <w:rPr>
          <w:spacing w:val="-1"/>
        </w:rPr>
        <w:t> </w:t>
      </w:r>
      <w:r>
        <w:rPr>
          <w:spacing w:val="-2"/>
        </w:rPr>
        <w:t>Matters</w:t>
      </w:r>
    </w:p>
    <w:p>
      <w:pPr>
        <w:pStyle w:val="BodyText"/>
        <w:spacing w:before="20"/>
        <w:rPr>
          <w:b/>
        </w:rPr>
      </w:pPr>
    </w:p>
    <w:p>
      <w:pPr>
        <w:pStyle w:val="BodyText"/>
        <w:spacing w:line="237" w:lineRule="auto"/>
        <w:ind w:left="144" w:right="118" w:firstLine="499"/>
        <w:jc w:val="both"/>
      </w:pPr>
      <w:r>
        <w:rPr/>
        <w:t>The critical audit matters communicated below are matters arising from the current-period audit of the financial statements that were communicated </w:t>
      </w:r>
      <w:r>
        <w:rPr/>
        <w:t>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w:t>
      </w:r>
      <w:r>
        <w:rPr>
          <w:spacing w:val="40"/>
        </w:rPr>
        <w:t> </w:t>
      </w:r>
      <w:r>
        <w:rPr/>
        <w:t>financial statements, taken as a whole, and we are not, by communicating the critical audit matters below, providing separate opinions on the critical audit matters or on the accounts or disclosures to which they relate.</w:t>
      </w:r>
    </w:p>
    <w:p>
      <w:pPr>
        <w:pStyle w:val="Heading5"/>
        <w:spacing w:before="202"/>
        <w:jc w:val="left"/>
      </w:pPr>
      <w:r>
        <w:rPr/>
        <w:t>The</w:t>
      </w:r>
      <w:r>
        <w:rPr>
          <w:spacing w:val="-5"/>
        </w:rPr>
        <w:t> </w:t>
      </w:r>
      <w:r>
        <w:rPr/>
        <w:t>Cosmopolitan</w:t>
      </w:r>
      <w:r>
        <w:rPr>
          <w:spacing w:val="-2"/>
        </w:rPr>
        <w:t> </w:t>
      </w:r>
      <w:r>
        <w:rPr/>
        <w:t>of</w:t>
      </w:r>
      <w:r>
        <w:rPr>
          <w:spacing w:val="-2"/>
        </w:rPr>
        <w:t> </w:t>
      </w:r>
      <w:r>
        <w:rPr/>
        <w:t>Las</w:t>
      </w:r>
      <w:r>
        <w:rPr>
          <w:spacing w:val="-5"/>
        </w:rPr>
        <w:t> </w:t>
      </w:r>
      <w:r>
        <w:rPr/>
        <w:t>Vegas</w:t>
      </w:r>
      <w:r>
        <w:rPr>
          <w:spacing w:val="-2"/>
        </w:rPr>
        <w:t> </w:t>
      </w:r>
      <w:r>
        <w:rPr/>
        <w:t>acquisition</w:t>
      </w:r>
      <w:r>
        <w:rPr>
          <w:spacing w:val="-2"/>
        </w:rPr>
        <w:t> </w:t>
      </w:r>
      <w:r>
        <w:rPr/>
        <w:t>—</w:t>
      </w:r>
      <w:r>
        <w:rPr>
          <w:spacing w:val="-2"/>
        </w:rPr>
        <w:t> </w:t>
      </w:r>
      <w:r>
        <w:rPr/>
        <w:t>Refer</w:t>
      </w:r>
      <w:r>
        <w:rPr>
          <w:spacing w:val="-5"/>
        </w:rPr>
        <w:t> </w:t>
      </w:r>
      <w:r>
        <w:rPr/>
        <w:t>to</w:t>
      </w:r>
      <w:r>
        <w:rPr>
          <w:spacing w:val="-2"/>
        </w:rPr>
        <w:t> </w:t>
      </w:r>
      <w:r>
        <w:rPr/>
        <w:t>Notes</w:t>
      </w:r>
      <w:r>
        <w:rPr>
          <w:spacing w:val="-2"/>
        </w:rPr>
        <w:t> </w:t>
      </w:r>
      <w:r>
        <w:rPr/>
        <w:t>1</w:t>
      </w:r>
      <w:r>
        <w:rPr>
          <w:spacing w:val="-2"/>
        </w:rPr>
        <w:t> </w:t>
      </w:r>
      <w:r>
        <w:rPr/>
        <w:t>and</w:t>
      </w:r>
      <w:r>
        <w:rPr>
          <w:spacing w:val="-2"/>
        </w:rPr>
        <w:t> </w:t>
      </w:r>
      <w:r>
        <w:rPr/>
        <w:t>4</w:t>
      </w:r>
      <w:r>
        <w:rPr>
          <w:spacing w:val="-2"/>
        </w:rPr>
        <w:t> </w:t>
      </w:r>
      <w:r>
        <w:rPr/>
        <w:t>to</w:t>
      </w:r>
      <w:r>
        <w:rPr>
          <w:spacing w:val="-2"/>
        </w:rPr>
        <w:t> </w:t>
      </w:r>
      <w:r>
        <w:rPr/>
        <w:t>the</w:t>
      </w:r>
      <w:r>
        <w:rPr>
          <w:spacing w:val="-2"/>
        </w:rPr>
        <w:t> </w:t>
      </w:r>
      <w:r>
        <w:rPr/>
        <w:t>financial</w:t>
      </w:r>
      <w:r>
        <w:rPr>
          <w:spacing w:val="-2"/>
        </w:rPr>
        <w:t> statements</w:t>
      </w:r>
    </w:p>
    <w:p>
      <w:pPr>
        <w:pStyle w:val="BodyText"/>
        <w:spacing w:before="5"/>
        <w:rPr>
          <w:b/>
        </w:rPr>
      </w:pPr>
    </w:p>
    <w:p>
      <w:pPr>
        <w:spacing w:before="0"/>
        <w:ind w:left="144" w:right="0" w:firstLine="0"/>
        <w:jc w:val="left"/>
        <w:rPr>
          <w:i/>
          <w:sz w:val="18"/>
        </w:rPr>
      </w:pPr>
      <w:r>
        <w:rPr>
          <w:i/>
          <w:sz w:val="18"/>
        </w:rPr>
        <w:t>Critical</w:t>
      </w:r>
      <w:r>
        <w:rPr>
          <w:i/>
          <w:spacing w:val="-4"/>
          <w:sz w:val="18"/>
        </w:rPr>
        <w:t> </w:t>
      </w:r>
      <w:r>
        <w:rPr>
          <w:i/>
          <w:sz w:val="18"/>
        </w:rPr>
        <w:t>Audit</w:t>
      </w:r>
      <w:r>
        <w:rPr>
          <w:i/>
          <w:spacing w:val="-1"/>
          <w:sz w:val="18"/>
        </w:rPr>
        <w:t> </w:t>
      </w:r>
      <w:r>
        <w:rPr>
          <w:i/>
          <w:sz w:val="18"/>
        </w:rPr>
        <w:t>Matter</w:t>
      </w:r>
      <w:r>
        <w:rPr>
          <w:i/>
          <w:spacing w:val="-1"/>
          <w:sz w:val="18"/>
        </w:rPr>
        <w:t> </w:t>
      </w:r>
      <w:r>
        <w:rPr>
          <w:i/>
          <w:spacing w:val="-2"/>
          <w:sz w:val="18"/>
        </w:rPr>
        <w:t>Description</w:t>
      </w:r>
    </w:p>
    <w:p>
      <w:pPr>
        <w:pStyle w:val="BodyText"/>
        <w:spacing w:before="8"/>
        <w:rPr>
          <w:i/>
        </w:rPr>
      </w:pPr>
    </w:p>
    <w:p>
      <w:pPr>
        <w:pStyle w:val="BodyText"/>
        <w:spacing w:line="235" w:lineRule="auto"/>
        <w:ind w:left="144" w:right="118" w:firstLine="499"/>
        <w:jc w:val="both"/>
      </w:pPr>
      <w:r>
        <w:rPr/>
        <w:t>On</w:t>
      </w:r>
      <w:r>
        <w:rPr>
          <w:spacing w:val="-1"/>
        </w:rPr>
        <w:t> </w:t>
      </w:r>
      <w:r>
        <w:rPr/>
        <w:t>May</w:t>
      </w:r>
      <w:r>
        <w:rPr>
          <w:spacing w:val="-1"/>
        </w:rPr>
        <w:t> </w:t>
      </w:r>
      <w:r>
        <w:rPr/>
        <w:t>17,</w:t>
      </w:r>
      <w:r>
        <w:rPr>
          <w:spacing w:val="-1"/>
        </w:rPr>
        <w:t> </w:t>
      </w:r>
      <w:r>
        <w:rPr/>
        <w:t>2022,</w:t>
      </w:r>
      <w:r>
        <w:rPr>
          <w:spacing w:val="-1"/>
        </w:rPr>
        <w:t> </w:t>
      </w:r>
      <w:r>
        <w:rPr/>
        <w:t>the</w:t>
      </w:r>
      <w:r>
        <w:rPr>
          <w:spacing w:val="-1"/>
        </w:rPr>
        <w:t> </w:t>
      </w:r>
      <w:r>
        <w:rPr/>
        <w:t>Company</w:t>
      </w:r>
      <w:r>
        <w:rPr>
          <w:spacing w:val="-1"/>
        </w:rPr>
        <w:t> </w:t>
      </w:r>
      <w:r>
        <w:rPr/>
        <w:t>acquired</w:t>
      </w:r>
      <w:r>
        <w:rPr>
          <w:spacing w:val="-1"/>
        </w:rPr>
        <w:t> </w:t>
      </w:r>
      <w:r>
        <w:rPr/>
        <w:t>100%</w:t>
      </w:r>
      <w:r>
        <w:rPr>
          <w:spacing w:val="-1"/>
        </w:rPr>
        <w:t> </w:t>
      </w:r>
      <w:r>
        <w:rPr/>
        <w:t>of</w:t>
      </w:r>
      <w:r>
        <w:rPr>
          <w:spacing w:val="-1"/>
        </w:rPr>
        <w:t> </w:t>
      </w:r>
      <w:r>
        <w:rPr/>
        <w:t>the</w:t>
      </w:r>
      <w:r>
        <w:rPr>
          <w:spacing w:val="-1"/>
        </w:rPr>
        <w:t> </w:t>
      </w:r>
      <w:r>
        <w:rPr/>
        <w:t>equity</w:t>
      </w:r>
      <w:r>
        <w:rPr>
          <w:spacing w:val="-1"/>
        </w:rPr>
        <w:t> </w:t>
      </w:r>
      <w:r>
        <w:rPr/>
        <w:t>interests</w:t>
      </w:r>
      <w:r>
        <w:rPr>
          <w:spacing w:val="-1"/>
        </w:rPr>
        <w:t> </w:t>
      </w:r>
      <w:r>
        <w:rPr/>
        <w:t>in</w:t>
      </w:r>
      <w:r>
        <w:rPr>
          <w:spacing w:val="-1"/>
        </w:rPr>
        <w:t> </w:t>
      </w:r>
      <w:r>
        <w:rPr/>
        <w:t>the</w:t>
      </w:r>
      <w:r>
        <w:rPr>
          <w:spacing w:val="-1"/>
        </w:rPr>
        <w:t> </w:t>
      </w:r>
      <w:r>
        <w:rPr/>
        <w:t>entities</w:t>
      </w:r>
      <w:r>
        <w:rPr>
          <w:spacing w:val="-1"/>
        </w:rPr>
        <w:t> </w:t>
      </w:r>
      <w:r>
        <w:rPr/>
        <w:t>that</w:t>
      </w:r>
      <w:r>
        <w:rPr>
          <w:spacing w:val="-1"/>
        </w:rPr>
        <w:t> </w:t>
      </w:r>
      <w:r>
        <w:rPr/>
        <w:t>own</w:t>
      </w:r>
      <w:r>
        <w:rPr>
          <w:spacing w:val="-1"/>
        </w:rPr>
        <w:t> </w:t>
      </w:r>
      <w:r>
        <w:rPr/>
        <w:t>the</w:t>
      </w:r>
      <w:r>
        <w:rPr>
          <w:spacing w:val="-1"/>
        </w:rPr>
        <w:t> </w:t>
      </w:r>
      <w:r>
        <w:rPr/>
        <w:t>operations</w:t>
      </w:r>
      <w:r>
        <w:rPr>
          <w:spacing w:val="-1"/>
        </w:rPr>
        <w:t> </w:t>
      </w:r>
      <w:r>
        <w:rPr/>
        <w:t>of</w:t>
      </w:r>
      <w:r>
        <w:rPr>
          <w:spacing w:val="-4"/>
        </w:rPr>
        <w:t> </w:t>
      </w:r>
      <w:r>
        <w:rPr/>
        <w:t>The</w:t>
      </w:r>
      <w:r>
        <w:rPr>
          <w:spacing w:val="-1"/>
        </w:rPr>
        <w:t> </w:t>
      </w:r>
      <w:r>
        <w:rPr/>
        <w:t>Cosmopolitan</w:t>
      </w:r>
      <w:r>
        <w:rPr>
          <w:spacing w:val="-1"/>
        </w:rPr>
        <w:t> </w:t>
      </w:r>
      <w:r>
        <w:rPr/>
        <w:t>of</w:t>
      </w:r>
      <w:r>
        <w:rPr>
          <w:spacing w:val="-1"/>
        </w:rPr>
        <w:t> </w:t>
      </w:r>
      <w:r>
        <w:rPr/>
        <w:t>Las</w:t>
      </w:r>
      <w:r>
        <w:rPr>
          <w:spacing w:val="-4"/>
        </w:rPr>
        <w:t> </w:t>
      </w:r>
      <w:r>
        <w:rPr/>
        <w:t>Vegas</w:t>
      </w:r>
      <w:r>
        <w:rPr>
          <w:spacing w:val="-1"/>
        </w:rPr>
        <w:t> </w:t>
      </w:r>
      <w:r>
        <w:rPr/>
        <w:t>for</w:t>
      </w:r>
      <w:r>
        <w:rPr>
          <w:spacing w:val="-1"/>
        </w:rPr>
        <w:t> </w:t>
      </w:r>
      <w:r>
        <w:rPr/>
        <w:t>cash consideration</w:t>
      </w:r>
      <w:r>
        <w:rPr>
          <w:spacing w:val="-1"/>
        </w:rPr>
        <w:t> </w:t>
      </w:r>
      <w:r>
        <w:rPr/>
        <w:t>of</w:t>
      </w:r>
      <w:r>
        <w:rPr>
          <w:spacing w:val="-1"/>
        </w:rPr>
        <w:t> </w:t>
      </w:r>
      <w:r>
        <w:rPr/>
        <w:t>$1.625</w:t>
      </w:r>
      <w:r>
        <w:rPr>
          <w:spacing w:val="-1"/>
        </w:rPr>
        <w:t> </w:t>
      </w:r>
      <w:r>
        <w:rPr/>
        <w:t>billion</w:t>
      </w:r>
      <w:r>
        <w:rPr>
          <w:spacing w:val="-1"/>
        </w:rPr>
        <w:t> </w:t>
      </w:r>
      <w:r>
        <w:rPr/>
        <w:t>plus</w:t>
      </w:r>
      <w:r>
        <w:rPr>
          <w:spacing w:val="-1"/>
        </w:rPr>
        <w:t> </w:t>
      </w:r>
      <w:r>
        <w:rPr/>
        <w:t>working</w:t>
      </w:r>
      <w:r>
        <w:rPr>
          <w:spacing w:val="-1"/>
        </w:rPr>
        <w:t> </w:t>
      </w:r>
      <w:r>
        <w:rPr/>
        <w:t>capital</w:t>
      </w:r>
      <w:r>
        <w:rPr>
          <w:spacing w:val="-1"/>
        </w:rPr>
        <w:t> </w:t>
      </w:r>
      <w:r>
        <w:rPr/>
        <w:t>adjustments</w:t>
      </w:r>
      <w:r>
        <w:rPr>
          <w:spacing w:val="-1"/>
        </w:rPr>
        <w:t> </w:t>
      </w:r>
      <w:r>
        <w:rPr/>
        <w:t>for</w:t>
      </w:r>
      <w:r>
        <w:rPr>
          <w:spacing w:val="-1"/>
        </w:rPr>
        <w:t> </w:t>
      </w:r>
      <w:r>
        <w:rPr/>
        <w:t>a</w:t>
      </w:r>
      <w:r>
        <w:rPr>
          <w:spacing w:val="-1"/>
        </w:rPr>
        <w:t> </w:t>
      </w:r>
      <w:r>
        <w:rPr/>
        <w:t>total</w:t>
      </w:r>
      <w:r>
        <w:rPr>
          <w:spacing w:val="-1"/>
        </w:rPr>
        <w:t> </w:t>
      </w:r>
      <w:r>
        <w:rPr/>
        <w:t>purchase</w:t>
      </w:r>
      <w:r>
        <w:rPr>
          <w:spacing w:val="-1"/>
        </w:rPr>
        <w:t> </w:t>
      </w:r>
      <w:r>
        <w:rPr/>
        <w:t>price</w:t>
      </w:r>
      <w:r>
        <w:rPr>
          <w:spacing w:val="-1"/>
        </w:rPr>
        <w:t> </w:t>
      </w:r>
      <w:r>
        <w:rPr/>
        <w:t>of</w:t>
      </w:r>
      <w:r>
        <w:rPr>
          <w:spacing w:val="-1"/>
        </w:rPr>
        <w:t> </w:t>
      </w:r>
      <w:r>
        <w:rPr/>
        <w:t>approximately</w:t>
      </w:r>
      <w:r>
        <w:rPr>
          <w:spacing w:val="-1"/>
        </w:rPr>
        <w:t> </w:t>
      </w:r>
      <w:r>
        <w:rPr/>
        <w:t>$1.7</w:t>
      </w:r>
      <w:r>
        <w:rPr>
          <w:spacing w:val="-1"/>
        </w:rPr>
        <w:t> </w:t>
      </w:r>
      <w:r>
        <w:rPr/>
        <w:t>billion.</w:t>
      </w:r>
      <w:r>
        <w:rPr>
          <w:spacing w:val="-4"/>
        </w:rPr>
        <w:t> </w:t>
      </w:r>
      <w:r>
        <w:rPr/>
        <w:t>The</w:t>
      </w:r>
      <w:r>
        <w:rPr>
          <w:spacing w:val="-1"/>
        </w:rPr>
        <w:t> </w:t>
      </w:r>
      <w:r>
        <w:rPr/>
        <w:t>Company</w:t>
      </w:r>
      <w:r>
        <w:rPr>
          <w:spacing w:val="-1"/>
        </w:rPr>
        <w:t> </w:t>
      </w:r>
      <w:r>
        <w:rPr/>
        <w:t>recognized</w:t>
      </w:r>
      <w:r>
        <w:rPr>
          <w:spacing w:val="-1"/>
        </w:rPr>
        <w:t> </w:t>
      </w:r>
      <w:r>
        <w:rPr/>
        <w:t>100%</w:t>
      </w:r>
      <w:r>
        <w:rPr>
          <w:spacing w:val="-1"/>
        </w:rPr>
        <w:t> </w:t>
      </w:r>
      <w:r>
        <w:rPr/>
        <w:t>of</w:t>
      </w:r>
      <w:r>
        <w:rPr>
          <w:spacing w:val="-1"/>
        </w:rPr>
        <w:t> </w:t>
      </w:r>
      <w:r>
        <w:rPr/>
        <w:t>the acquired assets and assumed liabilities at fair value at the date of the acquisition. Under the acquisition method, the fair value was allocated to the assets acquired and liabilities assumed in the transaction.</w:t>
      </w:r>
      <w:r>
        <w:rPr>
          <w:spacing w:val="-1"/>
        </w:rPr>
        <w:t> </w:t>
      </w:r>
      <w:r>
        <w:rPr/>
        <w:t>The estimated fair values of the identified intangible assets were determined using methodologies under the income approach based on significant inputs that were not observable. The intangible assets include $130 million of trademarks, which is an indefinite-lived intangible asset, and $95 million of customer lists, which is amortized over its estimated useful life of seven years. Goodwill of $1.3 billion was recognized as the excess of the cash consideration over the identifiable assets acquired and liabilities assumed.</w:t>
      </w:r>
    </w:p>
    <w:p>
      <w:pPr>
        <w:pStyle w:val="BodyText"/>
        <w:spacing w:before="6"/>
      </w:pPr>
    </w:p>
    <w:p>
      <w:pPr>
        <w:pStyle w:val="BodyText"/>
        <w:spacing w:line="235" w:lineRule="auto"/>
        <w:ind w:left="144" w:right="118" w:firstLine="499"/>
        <w:jc w:val="both"/>
      </w:pPr>
      <w:r>
        <w:rPr/>
        <w:t>The fair value determination of the trademarks and customer lists required management to make significant estimates and assumptions around </w:t>
      </w:r>
      <w:r>
        <w:rPr/>
        <w:t>expected cash flows and projected financial results, including forecasted revenues and</w:t>
      </w:r>
    </w:p>
    <w:p>
      <w:pPr>
        <w:pStyle w:val="BodyText"/>
      </w:pPr>
    </w:p>
    <w:p>
      <w:pPr>
        <w:pStyle w:val="BodyText"/>
        <w:spacing w:before="190"/>
      </w:pPr>
    </w:p>
    <w:p>
      <w:pPr>
        <w:pStyle w:val="BodyText"/>
        <w:ind w:left="24"/>
        <w:jc w:val="center"/>
      </w:pPr>
      <w:r>
        <w:rPr>
          <w:spacing w:val="-5"/>
        </w:rPr>
        <w:t>54</w:t>
      </w:r>
    </w:p>
    <w:p>
      <w:pPr>
        <w:pStyle w:val="BodyText"/>
        <w:spacing w:before="3"/>
        <w:rPr>
          <w:sz w:val="6"/>
        </w:rPr>
      </w:pPr>
      <w:r>
        <w:rPr/>
        <mc:AlternateContent>
          <mc:Choice Requires="wps">
            <w:drawing>
              <wp:anchor distT="0" distB="0" distL="0" distR="0" allowOverlap="1" layoutInCell="1" locked="0" behindDoc="1" simplePos="0" relativeHeight="487644672">
                <wp:simplePos x="0" y="0"/>
                <wp:positionH relativeFrom="page">
                  <wp:posOffset>231457</wp:posOffset>
                </wp:positionH>
                <wp:positionV relativeFrom="paragraph">
                  <wp:posOffset>60956</wp:posOffset>
                </wp:positionV>
                <wp:extent cx="7312659" cy="17145"/>
                <wp:effectExtent l="0" t="0" r="0" b="0"/>
                <wp:wrapTopAndBottom/>
                <wp:docPr id="305" name="Group 305"/>
                <wp:cNvGraphicFramePr>
                  <a:graphicFrameLocks/>
                </wp:cNvGraphicFramePr>
                <a:graphic>
                  <a:graphicData uri="http://schemas.microsoft.com/office/word/2010/wordprocessingGroup">
                    <wpg:wgp>
                      <wpg:cNvPr id="305" name="Group 305"/>
                      <wpg:cNvGrpSpPr/>
                      <wpg:grpSpPr>
                        <a:xfrm>
                          <a:off x="0" y="0"/>
                          <a:ext cx="7312659" cy="17145"/>
                          <a:chExt cx="7312659" cy="17145"/>
                        </a:xfrm>
                      </wpg:grpSpPr>
                      <wps:wsp>
                        <wps:cNvPr id="306" name="Graphic 3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07" name="Graphic 307"/>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08" name="Graphic 3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1808;mso-wrap-distance-left:0;mso-wrap-distance-right:0" id="docshapegroup303" coordorigin="364,96" coordsize="11516,27">
                <v:rect style="position:absolute;left:364;top:96;width:11516;height:14" id="docshape304" filled="true" fillcolor="#999999" stroked="false">
                  <v:fill type="solid"/>
                </v:rect>
                <v:shape style="position:absolute;left:364;top:96;width:11516;height:27" id="docshape305" coordorigin="364,96" coordsize="11516,27" path="m11880,96l11866,109,364,109,364,123,11866,123,11880,123,11880,109,11880,96xe" filled="true" fillcolor="#ededed" stroked="false">
                  <v:path arrowok="t"/>
                  <v:fill type="solid"/>
                </v:shape>
                <v:shape style="position:absolute;left:364;top:96;width:14;height:27" id="docshape306"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BodyText"/>
        <w:spacing w:line="235" w:lineRule="auto" w:before="73"/>
        <w:ind w:left="144" w:right="118"/>
        <w:jc w:val="both"/>
      </w:pPr>
      <w:r>
        <w:rPr/>
        <w:t>expenses (collectively the “forecast”), as well as the selection of discount rates. Changes to these assumptions and estimates could have a significant impact on the fair value of the trademarks, the customer list, and the recognition of goodwill.</w:t>
      </w:r>
      <w:r>
        <w:rPr>
          <w:spacing w:val="-1"/>
        </w:rPr>
        <w:t> </w:t>
      </w:r>
      <w:r>
        <w:rPr/>
        <w:t>Therefore, auditing the forecast and the selection of discount rates </w:t>
      </w:r>
      <w:r>
        <w:rPr/>
        <w:t>involved</w:t>
      </w:r>
      <w:r>
        <w:rPr>
          <w:spacing w:val="40"/>
        </w:rPr>
        <w:t> </w:t>
      </w:r>
      <w:r>
        <w:rPr/>
        <w:t>a higher degree of auditor judgment and subjectivity, as well as an increased level of audit effort, including the involvement of fair value specialists.</w:t>
      </w:r>
    </w:p>
    <w:p>
      <w:pPr>
        <w:pStyle w:val="BodyText"/>
        <w:spacing w:before="17"/>
      </w:pPr>
    </w:p>
    <w:p>
      <w:pPr>
        <w:spacing w:before="1"/>
        <w:ind w:left="144" w:right="0" w:firstLine="0"/>
        <w:jc w:val="left"/>
        <w:rPr>
          <w:i/>
          <w:sz w:val="18"/>
        </w:rPr>
      </w:pPr>
      <w:r>
        <w:rPr>
          <w:i/>
          <w:sz w:val="18"/>
        </w:rPr>
        <w:t>How</w:t>
      </w:r>
      <w:r>
        <w:rPr>
          <w:i/>
          <w:spacing w:val="-6"/>
          <w:sz w:val="18"/>
        </w:rPr>
        <w:t> </w:t>
      </w:r>
      <w:r>
        <w:rPr>
          <w:i/>
          <w:sz w:val="18"/>
        </w:rPr>
        <w:t>the</w:t>
      </w:r>
      <w:r>
        <w:rPr>
          <w:i/>
          <w:spacing w:val="-4"/>
          <w:sz w:val="18"/>
        </w:rPr>
        <w:t> </w:t>
      </w:r>
      <w:r>
        <w:rPr>
          <w:i/>
          <w:sz w:val="18"/>
        </w:rPr>
        <w:t>Critical</w:t>
      </w:r>
      <w:r>
        <w:rPr>
          <w:i/>
          <w:spacing w:val="-6"/>
          <w:sz w:val="18"/>
        </w:rPr>
        <w:t> </w:t>
      </w:r>
      <w:r>
        <w:rPr>
          <w:i/>
          <w:sz w:val="18"/>
        </w:rPr>
        <w:t>Audit</w:t>
      </w:r>
      <w:r>
        <w:rPr>
          <w:i/>
          <w:spacing w:val="-4"/>
          <w:sz w:val="18"/>
        </w:rPr>
        <w:t> </w:t>
      </w:r>
      <w:r>
        <w:rPr>
          <w:i/>
          <w:sz w:val="18"/>
        </w:rPr>
        <w:t>Matter</w:t>
      </w:r>
      <w:r>
        <w:rPr>
          <w:i/>
          <w:spacing w:val="-4"/>
          <w:sz w:val="18"/>
        </w:rPr>
        <w:t> </w:t>
      </w:r>
      <w:r>
        <w:rPr>
          <w:i/>
          <w:sz w:val="18"/>
        </w:rPr>
        <w:t>Was</w:t>
      </w:r>
      <w:r>
        <w:rPr>
          <w:i/>
          <w:spacing w:val="-6"/>
          <w:sz w:val="18"/>
        </w:rPr>
        <w:t> </w:t>
      </w:r>
      <w:r>
        <w:rPr>
          <w:i/>
          <w:sz w:val="18"/>
        </w:rPr>
        <w:t>Addressed</w:t>
      </w:r>
      <w:r>
        <w:rPr>
          <w:i/>
          <w:spacing w:val="-4"/>
          <w:sz w:val="18"/>
        </w:rPr>
        <w:t> </w:t>
      </w:r>
      <w:r>
        <w:rPr>
          <w:i/>
          <w:sz w:val="18"/>
        </w:rPr>
        <w:t>in</w:t>
      </w:r>
      <w:r>
        <w:rPr>
          <w:i/>
          <w:spacing w:val="-4"/>
          <w:sz w:val="18"/>
        </w:rPr>
        <w:t> </w:t>
      </w:r>
      <w:r>
        <w:rPr>
          <w:i/>
          <w:sz w:val="18"/>
        </w:rPr>
        <w:t>the</w:t>
      </w:r>
      <w:r>
        <w:rPr>
          <w:i/>
          <w:spacing w:val="-6"/>
          <w:sz w:val="18"/>
        </w:rPr>
        <w:t> </w:t>
      </w:r>
      <w:r>
        <w:rPr>
          <w:i/>
          <w:spacing w:val="-2"/>
          <w:sz w:val="18"/>
        </w:rPr>
        <w:t>Audit</w:t>
      </w:r>
    </w:p>
    <w:p>
      <w:pPr>
        <w:pStyle w:val="BodyText"/>
        <w:spacing w:before="6"/>
        <w:rPr>
          <w:i/>
        </w:rPr>
      </w:pPr>
    </w:p>
    <w:p>
      <w:pPr>
        <w:pStyle w:val="BodyText"/>
        <w:spacing w:line="218" w:lineRule="auto"/>
        <w:ind w:left="144" w:right="118" w:firstLine="499"/>
        <w:jc w:val="both"/>
      </w:pPr>
      <w:r>
        <w:rPr/>
        <w:t>Our audit procedures related to the forecast and selection of discount rates used by management to determine the fair value of the acquired </w:t>
      </w:r>
      <w:r>
        <w:rPr/>
        <w:t>intangible assets and the reporting unit assigned goodwill included the following, among others:</w:t>
      </w:r>
    </w:p>
    <w:p>
      <w:pPr>
        <w:pStyle w:val="BodyText"/>
        <w:spacing w:before="10"/>
      </w:pPr>
    </w:p>
    <w:p>
      <w:pPr>
        <w:pStyle w:val="ListParagraph"/>
        <w:numPr>
          <w:ilvl w:val="0"/>
          <w:numId w:val="10"/>
        </w:numPr>
        <w:tabs>
          <w:tab w:pos="792" w:val="left" w:leader="none"/>
        </w:tabs>
        <w:spacing w:line="218" w:lineRule="auto" w:before="0" w:after="0"/>
        <w:ind w:left="792" w:right="118" w:hanging="324"/>
        <w:jc w:val="both"/>
        <w:rPr>
          <w:sz w:val="18"/>
        </w:rPr>
      </w:pPr>
      <w:r>
        <w:rPr>
          <w:sz w:val="18"/>
        </w:rPr>
        <w:t>We</w:t>
      </w:r>
      <w:r>
        <w:rPr>
          <w:spacing w:val="-2"/>
          <w:sz w:val="18"/>
        </w:rPr>
        <w:t> </w:t>
      </w:r>
      <w:r>
        <w:rPr>
          <w:sz w:val="18"/>
        </w:rPr>
        <w:t>tested</w:t>
      </w:r>
      <w:r>
        <w:rPr>
          <w:spacing w:val="-2"/>
          <w:sz w:val="18"/>
        </w:rPr>
        <w:t> </w:t>
      </w:r>
      <w:r>
        <w:rPr>
          <w:sz w:val="18"/>
        </w:rPr>
        <w:t>the</w:t>
      </w:r>
      <w:r>
        <w:rPr>
          <w:spacing w:val="-2"/>
          <w:sz w:val="18"/>
        </w:rPr>
        <w:t> </w:t>
      </w:r>
      <w:r>
        <w:rPr>
          <w:sz w:val="18"/>
        </w:rPr>
        <w:t>effectiveness</w:t>
      </w:r>
      <w:r>
        <w:rPr>
          <w:spacing w:val="-2"/>
          <w:sz w:val="18"/>
        </w:rPr>
        <w:t> </w:t>
      </w:r>
      <w:r>
        <w:rPr>
          <w:sz w:val="18"/>
        </w:rPr>
        <w:t>of</w:t>
      </w:r>
      <w:r>
        <w:rPr>
          <w:spacing w:val="-2"/>
          <w:sz w:val="18"/>
        </w:rPr>
        <w:t> </w:t>
      </w:r>
      <w:r>
        <w:rPr>
          <w:sz w:val="18"/>
        </w:rPr>
        <w:t>controls</w:t>
      </w:r>
      <w:r>
        <w:rPr>
          <w:spacing w:val="-2"/>
          <w:sz w:val="18"/>
        </w:rPr>
        <w:t> </w:t>
      </w:r>
      <w:r>
        <w:rPr>
          <w:sz w:val="18"/>
        </w:rPr>
        <w:t>over</w:t>
      </w:r>
      <w:r>
        <w:rPr>
          <w:spacing w:val="-2"/>
          <w:sz w:val="18"/>
        </w:rPr>
        <w:t> </w:t>
      </w:r>
      <w:r>
        <w:rPr>
          <w:sz w:val="18"/>
        </w:rPr>
        <w:t>determining</w:t>
      </w:r>
      <w:r>
        <w:rPr>
          <w:spacing w:val="-2"/>
          <w:sz w:val="18"/>
        </w:rPr>
        <w:t> </w:t>
      </w:r>
      <w:r>
        <w:rPr>
          <w:sz w:val="18"/>
        </w:rPr>
        <w:t>the</w:t>
      </w:r>
      <w:r>
        <w:rPr>
          <w:spacing w:val="-2"/>
          <w:sz w:val="18"/>
        </w:rPr>
        <w:t> </w:t>
      </w:r>
      <w:r>
        <w:rPr>
          <w:sz w:val="18"/>
        </w:rPr>
        <w:t>fair</w:t>
      </w:r>
      <w:r>
        <w:rPr>
          <w:spacing w:val="-2"/>
          <w:sz w:val="18"/>
        </w:rPr>
        <w:t> </w:t>
      </w:r>
      <w:r>
        <w:rPr>
          <w:sz w:val="18"/>
        </w:rPr>
        <w:t>value</w:t>
      </w:r>
      <w:r>
        <w:rPr>
          <w:spacing w:val="-2"/>
          <w:sz w:val="18"/>
        </w:rPr>
        <w:t> </w:t>
      </w:r>
      <w:r>
        <w:rPr>
          <w:sz w:val="18"/>
        </w:rPr>
        <w:t>of</w:t>
      </w:r>
      <w:r>
        <w:rPr>
          <w:spacing w:val="-2"/>
          <w:sz w:val="18"/>
        </w:rPr>
        <w:t> </w:t>
      </w:r>
      <w:r>
        <w:rPr>
          <w:sz w:val="18"/>
        </w:rPr>
        <w:t>the</w:t>
      </w:r>
      <w:r>
        <w:rPr>
          <w:spacing w:val="-2"/>
          <w:sz w:val="18"/>
        </w:rPr>
        <w:t> </w:t>
      </w:r>
      <w:r>
        <w:rPr>
          <w:sz w:val="18"/>
        </w:rPr>
        <w:t>tradename</w:t>
      </w:r>
      <w:r>
        <w:rPr>
          <w:spacing w:val="-2"/>
          <w:sz w:val="18"/>
        </w:rPr>
        <w:t> </w:t>
      </w:r>
      <w:r>
        <w:rPr>
          <w:sz w:val="18"/>
        </w:rPr>
        <w:t>and</w:t>
      </w:r>
      <w:r>
        <w:rPr>
          <w:spacing w:val="-2"/>
          <w:sz w:val="18"/>
        </w:rPr>
        <w:t> </w:t>
      </w:r>
      <w:r>
        <w:rPr>
          <w:sz w:val="18"/>
        </w:rPr>
        <w:t>customer</w:t>
      </w:r>
      <w:r>
        <w:rPr>
          <w:spacing w:val="-2"/>
          <w:sz w:val="18"/>
        </w:rPr>
        <w:t> </w:t>
      </w:r>
      <w:r>
        <w:rPr>
          <w:sz w:val="18"/>
        </w:rPr>
        <w:t>list,</w:t>
      </w:r>
      <w:r>
        <w:rPr>
          <w:spacing w:val="-2"/>
          <w:sz w:val="18"/>
        </w:rPr>
        <w:t> </w:t>
      </w:r>
      <w:r>
        <w:rPr>
          <w:sz w:val="18"/>
        </w:rPr>
        <w:t>including</w:t>
      </w:r>
      <w:r>
        <w:rPr>
          <w:spacing w:val="-2"/>
          <w:sz w:val="18"/>
        </w:rPr>
        <w:t> </w:t>
      </w:r>
      <w:r>
        <w:rPr>
          <w:sz w:val="18"/>
        </w:rPr>
        <w:t>those</w:t>
      </w:r>
      <w:r>
        <w:rPr>
          <w:spacing w:val="-2"/>
          <w:sz w:val="18"/>
        </w:rPr>
        <w:t> </w:t>
      </w:r>
      <w:r>
        <w:rPr>
          <w:sz w:val="18"/>
        </w:rPr>
        <w:t>over</w:t>
      </w:r>
      <w:r>
        <w:rPr>
          <w:spacing w:val="-2"/>
          <w:sz w:val="18"/>
        </w:rPr>
        <w:t> </w:t>
      </w:r>
      <w:r>
        <w:rPr>
          <w:sz w:val="18"/>
        </w:rPr>
        <w:t>management’s</w:t>
      </w:r>
      <w:r>
        <w:rPr>
          <w:spacing w:val="-2"/>
          <w:sz w:val="18"/>
        </w:rPr>
        <w:t> </w:t>
      </w:r>
      <w:r>
        <w:rPr>
          <w:sz w:val="18"/>
        </w:rPr>
        <w:t>forecast and the selection of discount rates.</w:t>
      </w:r>
    </w:p>
    <w:p>
      <w:pPr>
        <w:pStyle w:val="ListParagraph"/>
        <w:numPr>
          <w:ilvl w:val="0"/>
          <w:numId w:val="10"/>
        </w:numPr>
        <w:tabs>
          <w:tab w:pos="792" w:val="left" w:leader="none"/>
        </w:tabs>
        <w:spacing w:line="198" w:lineRule="exact" w:before="189" w:after="0"/>
        <w:ind w:left="792" w:right="0" w:hanging="324"/>
        <w:jc w:val="left"/>
        <w:rPr>
          <w:sz w:val="18"/>
        </w:rPr>
      </w:pPr>
      <w:r>
        <w:rPr>
          <w:sz w:val="18"/>
        </w:rPr>
        <w:t>We</w:t>
      </w:r>
      <w:r>
        <w:rPr>
          <w:spacing w:val="-5"/>
          <w:sz w:val="18"/>
        </w:rPr>
        <w:t> </w:t>
      </w:r>
      <w:r>
        <w:rPr>
          <w:sz w:val="18"/>
        </w:rPr>
        <w:t>evaluated</w:t>
      </w:r>
      <w:r>
        <w:rPr>
          <w:spacing w:val="-2"/>
          <w:sz w:val="18"/>
        </w:rPr>
        <w:t> </w:t>
      </w:r>
      <w:r>
        <w:rPr>
          <w:sz w:val="18"/>
        </w:rPr>
        <w:t>the</w:t>
      </w:r>
      <w:r>
        <w:rPr>
          <w:spacing w:val="-3"/>
          <w:sz w:val="18"/>
        </w:rPr>
        <w:t> </w:t>
      </w:r>
      <w:r>
        <w:rPr>
          <w:sz w:val="18"/>
        </w:rPr>
        <w:t>assumptions</w:t>
      </w:r>
      <w:r>
        <w:rPr>
          <w:spacing w:val="-2"/>
          <w:sz w:val="18"/>
        </w:rPr>
        <w:t> </w:t>
      </w:r>
      <w:r>
        <w:rPr>
          <w:sz w:val="18"/>
        </w:rPr>
        <w:t>and</w:t>
      </w:r>
      <w:r>
        <w:rPr>
          <w:spacing w:val="-3"/>
          <w:sz w:val="18"/>
        </w:rPr>
        <w:t> </w:t>
      </w:r>
      <w:r>
        <w:rPr>
          <w:sz w:val="18"/>
        </w:rPr>
        <w:t>estimates</w:t>
      </w:r>
      <w:r>
        <w:rPr>
          <w:spacing w:val="-2"/>
          <w:sz w:val="18"/>
        </w:rPr>
        <w:t> </w:t>
      </w:r>
      <w:r>
        <w:rPr>
          <w:sz w:val="18"/>
        </w:rPr>
        <w:t>included</w:t>
      </w:r>
      <w:r>
        <w:rPr>
          <w:spacing w:val="-3"/>
          <w:sz w:val="18"/>
        </w:rPr>
        <w:t> </w:t>
      </w:r>
      <w:r>
        <w:rPr>
          <w:sz w:val="18"/>
        </w:rPr>
        <w:t>in</w:t>
      </w:r>
      <w:r>
        <w:rPr>
          <w:spacing w:val="-2"/>
          <w:sz w:val="18"/>
        </w:rPr>
        <w:t> </w:t>
      </w:r>
      <w:r>
        <w:rPr>
          <w:sz w:val="18"/>
        </w:rPr>
        <w:t>the</w:t>
      </w:r>
      <w:r>
        <w:rPr>
          <w:spacing w:val="-3"/>
          <w:sz w:val="18"/>
        </w:rPr>
        <w:t> </w:t>
      </w:r>
      <w:r>
        <w:rPr>
          <w:sz w:val="18"/>
        </w:rPr>
        <w:t>forecast</w:t>
      </w:r>
      <w:r>
        <w:rPr>
          <w:spacing w:val="-2"/>
          <w:sz w:val="18"/>
        </w:rPr>
        <w:t> </w:t>
      </w:r>
      <w:r>
        <w:rPr>
          <w:spacing w:val="-5"/>
          <w:sz w:val="18"/>
        </w:rPr>
        <w:t>by:</w:t>
      </w:r>
    </w:p>
    <w:p>
      <w:pPr>
        <w:pStyle w:val="ListParagraph"/>
        <w:numPr>
          <w:ilvl w:val="1"/>
          <w:numId w:val="10"/>
        </w:numPr>
        <w:tabs>
          <w:tab w:pos="1440" w:val="left" w:leader="none"/>
          <w:tab w:pos="1453" w:val="left" w:leader="none"/>
        </w:tabs>
        <w:spacing w:line="235" w:lineRule="auto" w:before="0" w:after="0"/>
        <w:ind w:left="1440" w:right="118" w:hanging="324"/>
        <w:jc w:val="left"/>
        <w:rPr>
          <w:sz w:val="18"/>
        </w:rPr>
      </w:pPr>
      <w:r>
        <w:rPr>
          <w:sz w:val="18"/>
        </w:rPr>
        <w:tab/>
        <w:t>Comparing the forecasts to information included in the Company’s communications to the Board of Directors, earnings and press releases,</w:t>
      </w:r>
      <w:r>
        <w:rPr>
          <w:spacing w:val="40"/>
          <w:sz w:val="18"/>
        </w:rPr>
        <w:t> </w:t>
      </w:r>
      <w:r>
        <w:rPr>
          <w:sz w:val="18"/>
        </w:rPr>
        <w:t>gaming industry reports, investor presentations, and analyst reports for the Company and certain of its peer companies;</w:t>
      </w:r>
    </w:p>
    <w:p>
      <w:pPr>
        <w:pStyle w:val="ListParagraph"/>
        <w:numPr>
          <w:ilvl w:val="1"/>
          <w:numId w:val="10"/>
        </w:numPr>
        <w:tabs>
          <w:tab w:pos="1440" w:val="left" w:leader="none"/>
        </w:tabs>
        <w:spacing w:line="180" w:lineRule="exact" w:before="0" w:after="0"/>
        <w:ind w:left="1440" w:right="0" w:hanging="324"/>
        <w:jc w:val="left"/>
        <w:rPr>
          <w:sz w:val="18"/>
        </w:rPr>
      </w:pPr>
      <w:r>
        <w:rPr>
          <w:sz w:val="18"/>
        </w:rPr>
        <w:t>Comparing</w:t>
      </w:r>
      <w:r>
        <w:rPr>
          <w:spacing w:val="-1"/>
          <w:sz w:val="18"/>
        </w:rPr>
        <w:t> </w:t>
      </w:r>
      <w:r>
        <w:rPr>
          <w:sz w:val="18"/>
        </w:rPr>
        <w:t>the</w:t>
      </w:r>
      <w:r>
        <w:rPr>
          <w:spacing w:val="-1"/>
          <w:sz w:val="18"/>
        </w:rPr>
        <w:t> </w:t>
      </w:r>
      <w:r>
        <w:rPr>
          <w:sz w:val="18"/>
        </w:rPr>
        <w:t>forecasts</w:t>
      </w:r>
      <w:r>
        <w:rPr>
          <w:spacing w:val="-1"/>
          <w:sz w:val="18"/>
        </w:rPr>
        <w:t> </w:t>
      </w:r>
      <w:r>
        <w:rPr>
          <w:sz w:val="18"/>
        </w:rPr>
        <w:t>to</w:t>
      </w:r>
      <w:r>
        <w:rPr>
          <w:spacing w:val="-1"/>
          <w:sz w:val="18"/>
        </w:rPr>
        <w:t> </w:t>
      </w:r>
      <w:r>
        <w:rPr>
          <w:sz w:val="18"/>
        </w:rPr>
        <w:t>historical</w:t>
      </w:r>
      <w:r>
        <w:rPr>
          <w:spacing w:val="-1"/>
          <w:sz w:val="18"/>
        </w:rPr>
        <w:t> </w:t>
      </w:r>
      <w:r>
        <w:rPr>
          <w:sz w:val="18"/>
        </w:rPr>
        <w:t>financial</w:t>
      </w:r>
      <w:r>
        <w:rPr>
          <w:spacing w:val="-1"/>
          <w:sz w:val="18"/>
        </w:rPr>
        <w:t> </w:t>
      </w:r>
      <w:r>
        <w:rPr>
          <w:spacing w:val="-2"/>
          <w:sz w:val="18"/>
        </w:rPr>
        <w:t>results;</w:t>
      </w:r>
    </w:p>
    <w:p>
      <w:pPr>
        <w:pStyle w:val="ListParagraph"/>
        <w:numPr>
          <w:ilvl w:val="1"/>
          <w:numId w:val="10"/>
        </w:numPr>
        <w:tabs>
          <w:tab w:pos="1440" w:val="left" w:leader="none"/>
        </w:tabs>
        <w:spacing w:line="189" w:lineRule="exact" w:before="0" w:after="0"/>
        <w:ind w:left="1440" w:right="0" w:hanging="324"/>
        <w:jc w:val="left"/>
        <w:rPr>
          <w:sz w:val="18"/>
        </w:rPr>
      </w:pPr>
      <w:r>
        <w:rPr>
          <w:sz w:val="18"/>
        </w:rPr>
        <w:t>Conducting</w:t>
      </w:r>
      <w:r>
        <w:rPr>
          <w:spacing w:val="-1"/>
          <w:sz w:val="18"/>
        </w:rPr>
        <w:t> </w:t>
      </w:r>
      <w:r>
        <w:rPr>
          <w:sz w:val="18"/>
        </w:rPr>
        <w:t>inquiries</w:t>
      </w:r>
      <w:r>
        <w:rPr>
          <w:spacing w:val="-1"/>
          <w:sz w:val="18"/>
        </w:rPr>
        <w:t> </w:t>
      </w:r>
      <w:r>
        <w:rPr>
          <w:sz w:val="18"/>
        </w:rPr>
        <w:t>with</w:t>
      </w:r>
      <w:r>
        <w:rPr>
          <w:spacing w:val="-1"/>
          <w:sz w:val="18"/>
        </w:rPr>
        <w:t> </w:t>
      </w:r>
      <w:r>
        <w:rPr>
          <w:sz w:val="18"/>
        </w:rPr>
        <w:t>management;</w:t>
      </w:r>
      <w:r>
        <w:rPr>
          <w:spacing w:val="-1"/>
          <w:sz w:val="18"/>
        </w:rPr>
        <w:t> </w:t>
      </w:r>
      <w:r>
        <w:rPr>
          <w:spacing w:val="-5"/>
          <w:sz w:val="18"/>
        </w:rPr>
        <w:t>and</w:t>
      </w:r>
    </w:p>
    <w:p>
      <w:pPr>
        <w:pStyle w:val="ListParagraph"/>
        <w:numPr>
          <w:ilvl w:val="1"/>
          <w:numId w:val="10"/>
        </w:numPr>
        <w:tabs>
          <w:tab w:pos="1440" w:val="left" w:leader="none"/>
        </w:tabs>
        <w:spacing w:line="198" w:lineRule="exact" w:before="0" w:after="0"/>
        <w:ind w:left="1440" w:right="0" w:hanging="324"/>
        <w:jc w:val="left"/>
        <w:rPr>
          <w:sz w:val="18"/>
        </w:rPr>
      </w:pPr>
      <w:r>
        <w:rPr>
          <w:sz w:val="18"/>
        </w:rPr>
        <w:t>Evaluating</w:t>
      </w:r>
      <w:r>
        <w:rPr>
          <w:spacing w:val="-1"/>
          <w:sz w:val="18"/>
        </w:rPr>
        <w:t> </w:t>
      </w:r>
      <w:r>
        <w:rPr>
          <w:sz w:val="18"/>
        </w:rPr>
        <w:t>whether</w:t>
      </w:r>
      <w:r>
        <w:rPr>
          <w:spacing w:val="-1"/>
          <w:sz w:val="18"/>
        </w:rPr>
        <w:t> </w:t>
      </w:r>
      <w:r>
        <w:rPr>
          <w:sz w:val="18"/>
        </w:rPr>
        <w:t>the</w:t>
      </w:r>
      <w:r>
        <w:rPr>
          <w:spacing w:val="-1"/>
          <w:sz w:val="18"/>
        </w:rPr>
        <w:t> </w:t>
      </w:r>
      <w:r>
        <w:rPr>
          <w:sz w:val="18"/>
        </w:rPr>
        <w:t>forecast</w:t>
      </w:r>
      <w:r>
        <w:rPr>
          <w:spacing w:val="-1"/>
          <w:sz w:val="18"/>
        </w:rPr>
        <w:t> </w:t>
      </w:r>
      <w:r>
        <w:rPr>
          <w:sz w:val="18"/>
        </w:rPr>
        <w:t>was</w:t>
      </w:r>
      <w:r>
        <w:rPr>
          <w:spacing w:val="-1"/>
          <w:sz w:val="18"/>
        </w:rPr>
        <w:t> </w:t>
      </w:r>
      <w:r>
        <w:rPr>
          <w:sz w:val="18"/>
        </w:rPr>
        <w:t>consistent</w:t>
      </w:r>
      <w:r>
        <w:rPr>
          <w:spacing w:val="-1"/>
          <w:sz w:val="18"/>
        </w:rPr>
        <w:t> </w:t>
      </w:r>
      <w:r>
        <w:rPr>
          <w:sz w:val="18"/>
        </w:rPr>
        <w:t>with</w:t>
      </w:r>
      <w:r>
        <w:rPr>
          <w:spacing w:val="-1"/>
          <w:sz w:val="18"/>
        </w:rPr>
        <w:t> </w:t>
      </w:r>
      <w:r>
        <w:rPr>
          <w:sz w:val="18"/>
        </w:rPr>
        <w:t>evidence</w:t>
      </w:r>
      <w:r>
        <w:rPr>
          <w:spacing w:val="-1"/>
          <w:sz w:val="18"/>
        </w:rPr>
        <w:t> </w:t>
      </w:r>
      <w:r>
        <w:rPr>
          <w:sz w:val="18"/>
        </w:rPr>
        <w:t>obtained</w:t>
      </w:r>
      <w:r>
        <w:rPr>
          <w:spacing w:val="-1"/>
          <w:sz w:val="18"/>
        </w:rPr>
        <w:t> </w:t>
      </w:r>
      <w:r>
        <w:rPr>
          <w:sz w:val="18"/>
        </w:rPr>
        <w:t>in</w:t>
      </w:r>
      <w:r>
        <w:rPr>
          <w:spacing w:val="-1"/>
          <w:sz w:val="18"/>
        </w:rPr>
        <w:t> </w:t>
      </w:r>
      <w:r>
        <w:rPr>
          <w:sz w:val="18"/>
        </w:rPr>
        <w:t>other</w:t>
      </w:r>
      <w:r>
        <w:rPr>
          <w:spacing w:val="-1"/>
          <w:sz w:val="18"/>
        </w:rPr>
        <w:t> </w:t>
      </w:r>
      <w:r>
        <w:rPr>
          <w:sz w:val="18"/>
        </w:rPr>
        <w:t>areas</w:t>
      </w:r>
      <w:r>
        <w:rPr>
          <w:spacing w:val="-1"/>
          <w:sz w:val="18"/>
        </w:rPr>
        <w:t> </w:t>
      </w:r>
      <w:r>
        <w:rPr>
          <w:sz w:val="18"/>
        </w:rPr>
        <w:t>of</w:t>
      </w:r>
      <w:r>
        <w:rPr>
          <w:spacing w:val="-1"/>
          <w:sz w:val="18"/>
        </w:rPr>
        <w:t> </w:t>
      </w:r>
      <w:r>
        <w:rPr>
          <w:sz w:val="18"/>
        </w:rPr>
        <w:t>the</w:t>
      </w:r>
      <w:r>
        <w:rPr>
          <w:spacing w:val="-1"/>
          <w:sz w:val="18"/>
        </w:rPr>
        <w:t> </w:t>
      </w:r>
      <w:r>
        <w:rPr>
          <w:spacing w:val="-2"/>
          <w:sz w:val="18"/>
        </w:rPr>
        <w:t>audit.</w:t>
      </w:r>
    </w:p>
    <w:p>
      <w:pPr>
        <w:pStyle w:val="ListParagraph"/>
        <w:numPr>
          <w:ilvl w:val="0"/>
          <w:numId w:val="10"/>
        </w:numPr>
        <w:tabs>
          <w:tab w:pos="792" w:val="left" w:leader="none"/>
        </w:tabs>
        <w:spacing w:line="191" w:lineRule="exact" w:before="206" w:after="0"/>
        <w:ind w:left="792" w:right="0" w:hanging="324"/>
        <w:jc w:val="left"/>
        <w:rPr>
          <w:sz w:val="18"/>
        </w:rPr>
      </w:pPr>
      <w:r>
        <w:rPr>
          <w:sz w:val="18"/>
        </w:rPr>
        <w:t>With</w:t>
      </w:r>
      <w:r>
        <w:rPr>
          <w:spacing w:val="-2"/>
          <w:sz w:val="18"/>
        </w:rPr>
        <w:t> </w:t>
      </w:r>
      <w:r>
        <w:rPr>
          <w:sz w:val="18"/>
        </w:rPr>
        <w:t>the</w:t>
      </w:r>
      <w:r>
        <w:rPr>
          <w:spacing w:val="-1"/>
          <w:sz w:val="18"/>
        </w:rPr>
        <w:t> </w:t>
      </w:r>
      <w:r>
        <w:rPr>
          <w:sz w:val="18"/>
        </w:rPr>
        <w:t>assistance</w:t>
      </w:r>
      <w:r>
        <w:rPr>
          <w:spacing w:val="-2"/>
          <w:sz w:val="18"/>
        </w:rPr>
        <w:t> </w:t>
      </w:r>
      <w:r>
        <w:rPr>
          <w:sz w:val="18"/>
        </w:rPr>
        <w:t>of</w:t>
      </w:r>
      <w:r>
        <w:rPr>
          <w:spacing w:val="-1"/>
          <w:sz w:val="18"/>
        </w:rPr>
        <w:t> </w:t>
      </w:r>
      <w:r>
        <w:rPr>
          <w:sz w:val="18"/>
        </w:rPr>
        <w:t>our</w:t>
      </w:r>
      <w:r>
        <w:rPr>
          <w:spacing w:val="-2"/>
          <w:sz w:val="18"/>
        </w:rPr>
        <w:t> </w:t>
      </w:r>
      <w:r>
        <w:rPr>
          <w:sz w:val="18"/>
        </w:rPr>
        <w:t>fair</w:t>
      </w:r>
      <w:r>
        <w:rPr>
          <w:spacing w:val="-1"/>
          <w:sz w:val="18"/>
        </w:rPr>
        <w:t> </w:t>
      </w:r>
      <w:r>
        <w:rPr>
          <w:sz w:val="18"/>
        </w:rPr>
        <w:t>value</w:t>
      </w:r>
      <w:r>
        <w:rPr>
          <w:spacing w:val="-2"/>
          <w:sz w:val="18"/>
        </w:rPr>
        <w:t> </w:t>
      </w:r>
      <w:r>
        <w:rPr>
          <w:sz w:val="18"/>
        </w:rPr>
        <w:t>specialists,</w:t>
      </w:r>
      <w:r>
        <w:rPr>
          <w:spacing w:val="-1"/>
          <w:sz w:val="18"/>
        </w:rPr>
        <w:t> </w:t>
      </w:r>
      <w:r>
        <w:rPr>
          <w:sz w:val="18"/>
        </w:rPr>
        <w:t>we</w:t>
      </w:r>
      <w:r>
        <w:rPr>
          <w:spacing w:val="-2"/>
          <w:sz w:val="18"/>
        </w:rPr>
        <w:t> </w:t>
      </w:r>
      <w:r>
        <w:rPr>
          <w:sz w:val="18"/>
        </w:rPr>
        <w:t>evaluated</w:t>
      </w:r>
      <w:r>
        <w:rPr>
          <w:spacing w:val="-1"/>
          <w:sz w:val="18"/>
        </w:rPr>
        <w:t> </w:t>
      </w:r>
      <w:r>
        <w:rPr>
          <w:sz w:val="18"/>
        </w:rPr>
        <w:t>the</w:t>
      </w:r>
      <w:r>
        <w:rPr>
          <w:spacing w:val="-2"/>
          <w:sz w:val="18"/>
        </w:rPr>
        <w:t> </w:t>
      </w:r>
      <w:r>
        <w:rPr>
          <w:sz w:val="18"/>
        </w:rPr>
        <w:t>reasonableness</w:t>
      </w:r>
      <w:r>
        <w:rPr>
          <w:spacing w:val="-1"/>
          <w:sz w:val="18"/>
        </w:rPr>
        <w:t> </w:t>
      </w:r>
      <w:r>
        <w:rPr>
          <w:sz w:val="18"/>
        </w:rPr>
        <w:t>of</w:t>
      </w:r>
      <w:r>
        <w:rPr>
          <w:spacing w:val="-2"/>
          <w:sz w:val="18"/>
        </w:rPr>
        <w:t> </w:t>
      </w:r>
      <w:r>
        <w:rPr>
          <w:sz w:val="18"/>
        </w:rPr>
        <w:t>the</w:t>
      </w:r>
      <w:r>
        <w:rPr>
          <w:spacing w:val="-1"/>
          <w:sz w:val="18"/>
        </w:rPr>
        <w:t> </w:t>
      </w:r>
      <w:r>
        <w:rPr>
          <w:sz w:val="18"/>
        </w:rPr>
        <w:t>discount</w:t>
      </w:r>
      <w:r>
        <w:rPr>
          <w:spacing w:val="-2"/>
          <w:sz w:val="18"/>
        </w:rPr>
        <w:t> </w:t>
      </w:r>
      <w:r>
        <w:rPr>
          <w:sz w:val="18"/>
        </w:rPr>
        <w:t>rates</w:t>
      </w:r>
      <w:r>
        <w:rPr>
          <w:spacing w:val="-1"/>
          <w:sz w:val="18"/>
        </w:rPr>
        <w:t> </w:t>
      </w:r>
      <w:r>
        <w:rPr>
          <w:spacing w:val="-5"/>
          <w:sz w:val="18"/>
        </w:rPr>
        <w:t>by:</w:t>
      </w:r>
    </w:p>
    <w:p>
      <w:pPr>
        <w:pStyle w:val="ListParagraph"/>
        <w:numPr>
          <w:ilvl w:val="1"/>
          <w:numId w:val="10"/>
        </w:numPr>
        <w:tabs>
          <w:tab w:pos="1440" w:val="left" w:leader="none"/>
          <w:tab w:pos="1476" w:val="left" w:leader="none"/>
        </w:tabs>
        <w:spacing w:line="204" w:lineRule="auto" w:before="9" w:after="0"/>
        <w:ind w:left="1440" w:right="118" w:hanging="324"/>
        <w:jc w:val="left"/>
        <w:rPr>
          <w:sz w:val="18"/>
        </w:rPr>
      </w:pPr>
      <w:r>
        <w:rPr>
          <w:sz w:val="18"/>
        </w:rPr>
        <w:tab/>
        <w:t>Testing</w:t>
      </w:r>
      <w:r>
        <w:rPr>
          <w:spacing w:val="32"/>
          <w:sz w:val="18"/>
        </w:rPr>
        <w:t> </w:t>
      </w:r>
      <w:r>
        <w:rPr>
          <w:sz w:val="18"/>
        </w:rPr>
        <w:t>the</w:t>
      </w:r>
      <w:r>
        <w:rPr>
          <w:spacing w:val="32"/>
          <w:sz w:val="18"/>
        </w:rPr>
        <w:t> </w:t>
      </w:r>
      <w:r>
        <w:rPr>
          <w:sz w:val="18"/>
        </w:rPr>
        <w:t>market-based</w:t>
      </w:r>
      <w:r>
        <w:rPr>
          <w:spacing w:val="32"/>
          <w:sz w:val="18"/>
        </w:rPr>
        <w:t> </w:t>
      </w:r>
      <w:r>
        <w:rPr>
          <w:sz w:val="18"/>
        </w:rPr>
        <w:t>source</w:t>
      </w:r>
      <w:r>
        <w:rPr>
          <w:spacing w:val="32"/>
          <w:sz w:val="18"/>
        </w:rPr>
        <w:t> </w:t>
      </w:r>
      <w:r>
        <w:rPr>
          <w:sz w:val="18"/>
        </w:rPr>
        <w:t>information</w:t>
      </w:r>
      <w:r>
        <w:rPr>
          <w:spacing w:val="32"/>
          <w:sz w:val="18"/>
        </w:rPr>
        <w:t> </w:t>
      </w:r>
      <w:r>
        <w:rPr>
          <w:sz w:val="18"/>
        </w:rPr>
        <w:t>underlying</w:t>
      </w:r>
      <w:r>
        <w:rPr>
          <w:spacing w:val="32"/>
          <w:sz w:val="18"/>
        </w:rPr>
        <w:t> </w:t>
      </w:r>
      <w:r>
        <w:rPr>
          <w:sz w:val="18"/>
        </w:rPr>
        <w:t>the</w:t>
      </w:r>
      <w:r>
        <w:rPr>
          <w:spacing w:val="32"/>
          <w:sz w:val="18"/>
        </w:rPr>
        <w:t> </w:t>
      </w:r>
      <w:r>
        <w:rPr>
          <w:sz w:val="18"/>
        </w:rPr>
        <w:t>determination</w:t>
      </w:r>
      <w:r>
        <w:rPr>
          <w:spacing w:val="32"/>
          <w:sz w:val="18"/>
        </w:rPr>
        <w:t> </w:t>
      </w:r>
      <w:r>
        <w:rPr>
          <w:sz w:val="18"/>
        </w:rPr>
        <w:t>of</w:t>
      </w:r>
      <w:r>
        <w:rPr>
          <w:spacing w:val="32"/>
          <w:sz w:val="18"/>
        </w:rPr>
        <w:t> </w:t>
      </w:r>
      <w:r>
        <w:rPr>
          <w:sz w:val="18"/>
        </w:rPr>
        <w:t>the</w:t>
      </w:r>
      <w:r>
        <w:rPr>
          <w:spacing w:val="32"/>
          <w:sz w:val="18"/>
        </w:rPr>
        <w:t> </w:t>
      </w:r>
      <w:r>
        <w:rPr>
          <w:sz w:val="18"/>
        </w:rPr>
        <w:t>discount</w:t>
      </w:r>
      <w:r>
        <w:rPr>
          <w:spacing w:val="32"/>
          <w:sz w:val="18"/>
        </w:rPr>
        <w:t> </w:t>
      </w:r>
      <w:r>
        <w:rPr>
          <w:sz w:val="18"/>
        </w:rPr>
        <w:t>rates</w:t>
      </w:r>
      <w:r>
        <w:rPr>
          <w:spacing w:val="32"/>
          <w:sz w:val="18"/>
        </w:rPr>
        <w:t> </w:t>
      </w:r>
      <w:r>
        <w:rPr>
          <w:sz w:val="18"/>
        </w:rPr>
        <w:t>and</w:t>
      </w:r>
      <w:r>
        <w:rPr>
          <w:spacing w:val="32"/>
          <w:sz w:val="18"/>
        </w:rPr>
        <w:t> </w:t>
      </w:r>
      <w:r>
        <w:rPr>
          <w:sz w:val="18"/>
        </w:rPr>
        <w:t>the</w:t>
      </w:r>
      <w:r>
        <w:rPr>
          <w:spacing w:val="32"/>
          <w:sz w:val="18"/>
        </w:rPr>
        <w:t> </w:t>
      </w:r>
      <w:r>
        <w:rPr>
          <w:sz w:val="18"/>
        </w:rPr>
        <w:t>mathematical</w:t>
      </w:r>
      <w:r>
        <w:rPr>
          <w:spacing w:val="32"/>
          <w:sz w:val="18"/>
        </w:rPr>
        <w:t> </w:t>
      </w:r>
      <w:r>
        <w:rPr>
          <w:sz w:val="18"/>
        </w:rPr>
        <w:t>accuracy</w:t>
      </w:r>
      <w:r>
        <w:rPr>
          <w:spacing w:val="32"/>
          <w:sz w:val="18"/>
        </w:rPr>
        <w:t> </w:t>
      </w:r>
      <w:r>
        <w:rPr>
          <w:sz w:val="18"/>
        </w:rPr>
        <w:t>of</w:t>
      </w:r>
      <w:r>
        <w:rPr>
          <w:spacing w:val="32"/>
          <w:sz w:val="18"/>
        </w:rPr>
        <w:t> </w:t>
      </w:r>
      <w:r>
        <w:rPr>
          <w:sz w:val="18"/>
        </w:rPr>
        <w:t>the discount rate calculations.</w:t>
      </w:r>
    </w:p>
    <w:p>
      <w:pPr>
        <w:pStyle w:val="ListParagraph"/>
        <w:numPr>
          <w:ilvl w:val="1"/>
          <w:numId w:val="10"/>
        </w:numPr>
        <w:tabs>
          <w:tab w:pos="1440" w:val="left" w:leader="none"/>
        </w:tabs>
        <w:spacing w:line="194" w:lineRule="exact" w:before="0" w:after="0"/>
        <w:ind w:left="1440" w:right="0" w:hanging="324"/>
        <w:jc w:val="left"/>
        <w:rPr>
          <w:sz w:val="18"/>
        </w:rPr>
      </w:pPr>
      <w:r>
        <w:rPr>
          <w:sz w:val="18"/>
        </w:rPr>
        <w:t>Developing</w:t>
      </w:r>
      <w:r>
        <w:rPr>
          <w:spacing w:val="-1"/>
          <w:sz w:val="18"/>
        </w:rPr>
        <w:t> </w:t>
      </w:r>
      <w:r>
        <w:rPr>
          <w:sz w:val="18"/>
        </w:rPr>
        <w:t>a</w:t>
      </w:r>
      <w:r>
        <w:rPr>
          <w:spacing w:val="-1"/>
          <w:sz w:val="18"/>
        </w:rPr>
        <w:t> </w:t>
      </w:r>
      <w:r>
        <w:rPr>
          <w:sz w:val="18"/>
        </w:rPr>
        <w:t>range</w:t>
      </w:r>
      <w:r>
        <w:rPr>
          <w:spacing w:val="-1"/>
          <w:sz w:val="18"/>
        </w:rPr>
        <w:t> </w:t>
      </w:r>
      <w:r>
        <w:rPr>
          <w:sz w:val="18"/>
        </w:rPr>
        <w:t>of</w:t>
      </w:r>
      <w:r>
        <w:rPr>
          <w:spacing w:val="-1"/>
          <w:sz w:val="18"/>
        </w:rPr>
        <w:t> </w:t>
      </w:r>
      <w:r>
        <w:rPr>
          <w:sz w:val="18"/>
        </w:rPr>
        <w:t>independent</w:t>
      </w:r>
      <w:r>
        <w:rPr>
          <w:spacing w:val="-1"/>
          <w:sz w:val="18"/>
        </w:rPr>
        <w:t> </w:t>
      </w:r>
      <w:r>
        <w:rPr>
          <w:sz w:val="18"/>
        </w:rPr>
        <w:t>estimates</w:t>
      </w:r>
      <w:r>
        <w:rPr>
          <w:spacing w:val="-1"/>
          <w:sz w:val="18"/>
        </w:rPr>
        <w:t> </w:t>
      </w:r>
      <w:r>
        <w:rPr>
          <w:sz w:val="18"/>
        </w:rPr>
        <w:t>and</w:t>
      </w:r>
      <w:r>
        <w:rPr>
          <w:spacing w:val="-1"/>
          <w:sz w:val="18"/>
        </w:rPr>
        <w:t> </w:t>
      </w:r>
      <w:r>
        <w:rPr>
          <w:sz w:val="18"/>
        </w:rPr>
        <w:t>comparing</w:t>
      </w:r>
      <w:r>
        <w:rPr>
          <w:spacing w:val="-1"/>
          <w:sz w:val="18"/>
        </w:rPr>
        <w:t> </w:t>
      </w:r>
      <w:r>
        <w:rPr>
          <w:sz w:val="18"/>
        </w:rPr>
        <w:t>those</w:t>
      </w:r>
      <w:r>
        <w:rPr>
          <w:spacing w:val="-1"/>
          <w:sz w:val="18"/>
        </w:rPr>
        <w:t> </w:t>
      </w:r>
      <w:r>
        <w:rPr>
          <w:sz w:val="18"/>
        </w:rPr>
        <w:t>to</w:t>
      </w:r>
      <w:r>
        <w:rPr>
          <w:spacing w:val="-1"/>
          <w:sz w:val="18"/>
        </w:rPr>
        <w:t> </w:t>
      </w:r>
      <w:r>
        <w:rPr>
          <w:sz w:val="18"/>
        </w:rPr>
        <w:t>the</w:t>
      </w:r>
      <w:r>
        <w:rPr>
          <w:spacing w:val="-1"/>
          <w:sz w:val="18"/>
        </w:rPr>
        <w:t> </w:t>
      </w:r>
      <w:r>
        <w:rPr>
          <w:sz w:val="18"/>
        </w:rPr>
        <w:t>discount</w:t>
      </w:r>
      <w:r>
        <w:rPr>
          <w:spacing w:val="-1"/>
          <w:sz w:val="18"/>
        </w:rPr>
        <w:t> </w:t>
      </w:r>
      <w:r>
        <w:rPr>
          <w:sz w:val="18"/>
        </w:rPr>
        <w:t>rate</w:t>
      </w:r>
      <w:r>
        <w:rPr>
          <w:spacing w:val="-1"/>
          <w:sz w:val="18"/>
        </w:rPr>
        <w:t> </w:t>
      </w:r>
      <w:r>
        <w:rPr>
          <w:sz w:val="18"/>
        </w:rPr>
        <w:t>selected</w:t>
      </w:r>
      <w:r>
        <w:rPr>
          <w:spacing w:val="-1"/>
          <w:sz w:val="18"/>
        </w:rPr>
        <w:t> </w:t>
      </w:r>
      <w:r>
        <w:rPr>
          <w:sz w:val="18"/>
        </w:rPr>
        <w:t>by</w:t>
      </w:r>
      <w:r>
        <w:rPr>
          <w:spacing w:val="-1"/>
          <w:sz w:val="18"/>
        </w:rPr>
        <w:t> </w:t>
      </w:r>
      <w:r>
        <w:rPr>
          <w:spacing w:val="-2"/>
          <w:sz w:val="18"/>
        </w:rPr>
        <w:t>management.</w:t>
      </w:r>
    </w:p>
    <w:p>
      <w:pPr>
        <w:pStyle w:val="BodyText"/>
        <w:spacing w:before="18"/>
      </w:pPr>
    </w:p>
    <w:p>
      <w:pPr>
        <w:pStyle w:val="Heading5"/>
        <w:jc w:val="left"/>
      </w:pPr>
      <w:r>
        <w:rPr/>
        <w:t>MGM</w:t>
      </w:r>
      <w:r>
        <w:rPr>
          <w:spacing w:val="-1"/>
        </w:rPr>
        <w:t> </w:t>
      </w:r>
      <w:r>
        <w:rPr/>
        <w:t>Grand</w:t>
      </w:r>
      <w:r>
        <w:rPr>
          <w:spacing w:val="-1"/>
        </w:rPr>
        <w:t> </w:t>
      </w:r>
      <w:r>
        <w:rPr/>
        <w:t>Paradise</w:t>
      </w:r>
      <w:r>
        <w:rPr>
          <w:spacing w:val="-1"/>
        </w:rPr>
        <w:t> </w:t>
      </w:r>
      <w:r>
        <w:rPr/>
        <w:t>gaming</w:t>
      </w:r>
      <w:r>
        <w:rPr>
          <w:spacing w:val="-1"/>
        </w:rPr>
        <w:t> </w:t>
      </w:r>
      <w:r>
        <w:rPr/>
        <w:t>subconcession</w:t>
      </w:r>
      <w:r>
        <w:rPr>
          <w:spacing w:val="-1"/>
        </w:rPr>
        <w:t> </w:t>
      </w:r>
      <w:r>
        <w:rPr/>
        <w:t>—</w:t>
      </w:r>
      <w:r>
        <w:rPr>
          <w:spacing w:val="-1"/>
        </w:rPr>
        <w:t> </w:t>
      </w:r>
      <w:r>
        <w:rPr/>
        <w:t>Refer</w:t>
      </w:r>
      <w:r>
        <w:rPr>
          <w:spacing w:val="-4"/>
        </w:rPr>
        <w:t> </w:t>
      </w:r>
      <w:r>
        <w:rPr/>
        <w:t>to</w:t>
      </w:r>
      <w:r>
        <w:rPr>
          <w:spacing w:val="-1"/>
        </w:rPr>
        <w:t> </w:t>
      </w:r>
      <w:r>
        <w:rPr/>
        <w:t>Notes</w:t>
      </w:r>
      <w:r>
        <w:rPr>
          <w:spacing w:val="-1"/>
        </w:rPr>
        <w:t> </w:t>
      </w:r>
      <w:r>
        <w:rPr/>
        <w:t>1</w:t>
      </w:r>
      <w:r>
        <w:rPr>
          <w:spacing w:val="-1"/>
        </w:rPr>
        <w:t> </w:t>
      </w:r>
      <w:r>
        <w:rPr/>
        <w:t>and</w:t>
      </w:r>
      <w:r>
        <w:rPr>
          <w:spacing w:val="-1"/>
        </w:rPr>
        <w:t> </w:t>
      </w:r>
      <w:r>
        <w:rPr/>
        <w:t>7</w:t>
      </w:r>
      <w:r>
        <w:rPr>
          <w:spacing w:val="-1"/>
        </w:rPr>
        <w:t> </w:t>
      </w:r>
      <w:r>
        <w:rPr/>
        <w:t>to</w:t>
      </w:r>
      <w:r>
        <w:rPr>
          <w:spacing w:val="-1"/>
        </w:rPr>
        <w:t> </w:t>
      </w:r>
      <w:r>
        <w:rPr/>
        <w:t>the</w:t>
      </w:r>
      <w:r>
        <w:rPr>
          <w:spacing w:val="-1"/>
        </w:rPr>
        <w:t> </w:t>
      </w:r>
      <w:r>
        <w:rPr/>
        <w:t>financial</w:t>
      </w:r>
      <w:r>
        <w:rPr>
          <w:spacing w:val="-1"/>
        </w:rPr>
        <w:t> </w:t>
      </w:r>
      <w:r>
        <w:rPr>
          <w:spacing w:val="-2"/>
        </w:rPr>
        <w:t>statements</w:t>
      </w:r>
    </w:p>
    <w:p>
      <w:pPr>
        <w:spacing w:before="198"/>
        <w:ind w:left="144" w:right="0" w:firstLine="0"/>
        <w:jc w:val="left"/>
        <w:rPr>
          <w:i/>
          <w:sz w:val="18"/>
        </w:rPr>
      </w:pPr>
      <w:r>
        <w:rPr>
          <w:i/>
          <w:sz w:val="18"/>
        </w:rPr>
        <w:t>Critical</w:t>
      </w:r>
      <w:r>
        <w:rPr>
          <w:i/>
          <w:spacing w:val="-4"/>
          <w:sz w:val="18"/>
        </w:rPr>
        <w:t> </w:t>
      </w:r>
      <w:r>
        <w:rPr>
          <w:i/>
          <w:sz w:val="18"/>
        </w:rPr>
        <w:t>Audit</w:t>
      </w:r>
      <w:r>
        <w:rPr>
          <w:i/>
          <w:spacing w:val="-1"/>
          <w:sz w:val="18"/>
        </w:rPr>
        <w:t> </w:t>
      </w:r>
      <w:r>
        <w:rPr>
          <w:i/>
          <w:sz w:val="18"/>
        </w:rPr>
        <w:t>Matter</w:t>
      </w:r>
      <w:r>
        <w:rPr>
          <w:i/>
          <w:spacing w:val="-1"/>
          <w:sz w:val="18"/>
        </w:rPr>
        <w:t> </w:t>
      </w:r>
      <w:r>
        <w:rPr>
          <w:i/>
          <w:spacing w:val="-2"/>
          <w:sz w:val="18"/>
        </w:rPr>
        <w:t>Description</w:t>
      </w:r>
    </w:p>
    <w:p>
      <w:pPr>
        <w:pStyle w:val="BodyText"/>
        <w:spacing w:before="8"/>
        <w:rPr>
          <w:i/>
        </w:rPr>
      </w:pPr>
    </w:p>
    <w:p>
      <w:pPr>
        <w:pStyle w:val="BodyText"/>
        <w:spacing w:line="235" w:lineRule="auto"/>
        <w:ind w:left="144" w:right="118" w:firstLine="499"/>
        <w:jc w:val="both"/>
      </w:pPr>
      <w:r>
        <w:rPr/>
        <w:t>Pursuant to the agreement dated</w:t>
      </w:r>
      <w:r>
        <w:rPr>
          <w:spacing w:val="-5"/>
        </w:rPr>
        <w:t> </w:t>
      </w:r>
      <w:r>
        <w:rPr/>
        <w:t>April 19, 2005 between MGM Grand Paradise and SJM Resorts S.A., a gaming subconcession was acquired by MGM Grand Paradise for the right to operate games of chance and other casino games. On June 23, 2022, MGM Grand Paradise entered into an addendum to </w:t>
      </w:r>
      <w:r>
        <w:rPr/>
        <w:t>its subconcession pursuant to which its gaming subconcession was extended to December 31, 2022. Further, a new gaming law was approved by the Macau Legislative</w:t>
      </w:r>
      <w:r>
        <w:rPr>
          <w:spacing w:val="-9"/>
        </w:rPr>
        <w:t> </w:t>
      </w:r>
      <w:r>
        <w:rPr/>
        <w:t>Assembly on June 21, 2022. Under the new gaming law, the existing subconcessions were discontinued and a maximum of six concessions were to be awarded for a term to be specified in the concession contract that may not exceed 10 years and which may be extended by three years under certain exceptional circumstances.</w:t>
      </w:r>
    </w:p>
    <w:p>
      <w:pPr>
        <w:pStyle w:val="BodyText"/>
        <w:spacing w:before="9"/>
      </w:pPr>
    </w:p>
    <w:p>
      <w:pPr>
        <w:pStyle w:val="BodyText"/>
        <w:spacing w:line="232" w:lineRule="auto"/>
        <w:ind w:left="144" w:right="118" w:firstLine="499"/>
        <w:jc w:val="both"/>
      </w:pPr>
      <w:r>
        <w:rPr/>
        <w:t>The enactment of the new Macau gaming law in June 2022 provides for material changes to the legal form of gaming concessions in Macau, including discontinuing and prohibiting gaming subconcessions subsequent to their expiration, and also includes material changes to the rights and obligations </w:t>
      </w:r>
      <w:r>
        <w:rPr/>
        <w:t>provided for</w:t>
      </w:r>
      <w:r>
        <w:rPr>
          <w:spacing w:val="-1"/>
        </w:rPr>
        <w:t> </w:t>
      </w:r>
      <w:r>
        <w:rPr/>
        <w:t>under</w:t>
      </w:r>
      <w:r>
        <w:rPr>
          <w:spacing w:val="-1"/>
        </w:rPr>
        <w:t> </w:t>
      </w:r>
      <w:r>
        <w:rPr/>
        <w:t>the</w:t>
      </w:r>
      <w:r>
        <w:rPr>
          <w:spacing w:val="-1"/>
        </w:rPr>
        <w:t> </w:t>
      </w:r>
      <w:r>
        <w:rPr/>
        <w:t>new</w:t>
      </w:r>
      <w:r>
        <w:rPr>
          <w:spacing w:val="-1"/>
        </w:rPr>
        <w:t> </w:t>
      </w:r>
      <w:r>
        <w:rPr/>
        <w:t>gaming</w:t>
      </w:r>
      <w:r>
        <w:rPr>
          <w:spacing w:val="-1"/>
        </w:rPr>
        <w:t> </w:t>
      </w:r>
      <w:r>
        <w:rPr/>
        <w:t>concessions.</w:t>
      </w:r>
      <w:r>
        <w:rPr>
          <w:spacing w:val="-11"/>
        </w:rPr>
        <w:t> </w:t>
      </w:r>
      <w:r>
        <w:rPr/>
        <w:t>As</w:t>
      </w:r>
      <w:r>
        <w:rPr>
          <w:spacing w:val="-1"/>
        </w:rPr>
        <w:t> </w:t>
      </w:r>
      <w:r>
        <w:rPr/>
        <w:t>a</w:t>
      </w:r>
      <w:r>
        <w:rPr>
          <w:spacing w:val="-1"/>
        </w:rPr>
        <w:t> </w:t>
      </w:r>
      <w:r>
        <w:rPr/>
        <w:t>result,</w:t>
      </w:r>
      <w:r>
        <w:rPr>
          <w:spacing w:val="-1"/>
        </w:rPr>
        <w:t> </w:t>
      </w:r>
      <w:r>
        <w:rPr/>
        <w:t>the</w:t>
      </w:r>
      <w:r>
        <w:rPr>
          <w:spacing w:val="-1"/>
        </w:rPr>
        <w:t> </w:t>
      </w:r>
      <w:r>
        <w:rPr/>
        <w:t>Company</w:t>
      </w:r>
      <w:r>
        <w:rPr>
          <w:spacing w:val="-1"/>
        </w:rPr>
        <w:t> </w:t>
      </w:r>
      <w:r>
        <w:rPr/>
        <w:t>determined</w:t>
      </w:r>
      <w:r>
        <w:rPr>
          <w:spacing w:val="-1"/>
        </w:rPr>
        <w:t> </w:t>
      </w:r>
      <w:r>
        <w:rPr/>
        <w:t>that</w:t>
      </w:r>
      <w:r>
        <w:rPr>
          <w:spacing w:val="-1"/>
        </w:rPr>
        <w:t> </w:t>
      </w:r>
      <w:r>
        <w:rPr/>
        <w:t>the</w:t>
      </w:r>
      <w:r>
        <w:rPr>
          <w:spacing w:val="-1"/>
        </w:rPr>
        <w:t> </w:t>
      </w:r>
      <w:r>
        <w:rPr/>
        <w:t>MGM</w:t>
      </w:r>
      <w:r>
        <w:rPr>
          <w:spacing w:val="-1"/>
        </w:rPr>
        <w:t> </w:t>
      </w:r>
      <w:r>
        <w:rPr/>
        <w:t>Grand</w:t>
      </w:r>
      <w:r>
        <w:rPr>
          <w:spacing w:val="-1"/>
        </w:rPr>
        <w:t> </w:t>
      </w:r>
      <w:r>
        <w:rPr/>
        <w:t>Paradise</w:t>
      </w:r>
      <w:r>
        <w:rPr>
          <w:spacing w:val="-1"/>
        </w:rPr>
        <w:t> </w:t>
      </w:r>
      <w:r>
        <w:rPr/>
        <w:t>gaming</w:t>
      </w:r>
      <w:r>
        <w:rPr>
          <w:spacing w:val="-1"/>
        </w:rPr>
        <w:t> </w:t>
      </w:r>
      <w:r>
        <w:rPr/>
        <w:t>subconcession</w:t>
      </w:r>
      <w:r>
        <w:rPr>
          <w:spacing w:val="-1"/>
        </w:rPr>
        <w:t> </w:t>
      </w:r>
      <w:r>
        <w:rPr/>
        <w:t>and</w:t>
      </w:r>
      <w:r>
        <w:rPr>
          <w:spacing w:val="-1"/>
        </w:rPr>
        <w:t> </w:t>
      </w:r>
      <w:r>
        <w:rPr/>
        <w:t>new</w:t>
      </w:r>
      <w:r>
        <w:rPr>
          <w:spacing w:val="-1"/>
        </w:rPr>
        <w:t> </w:t>
      </w:r>
      <w:r>
        <w:rPr/>
        <w:t>gaming</w:t>
      </w:r>
      <w:r>
        <w:rPr>
          <w:spacing w:val="-1"/>
        </w:rPr>
        <w:t> </w:t>
      </w:r>
      <w:r>
        <w:rPr/>
        <w:t>concession are two separate units of account. Additionally, in June 2022, the Company reassessed the useful life of the gaming subconcession intangible asset and determined that, given the new gaming law and the resulting changes described above, the useful life would no longer be based on the initial term of the MGM Cotai land concession, which ends in January 2038, and that the useful life should be revised to align with the cessation of the subconcession rights, which ended on December 31, 2022.</w:t>
      </w:r>
      <w:r>
        <w:rPr>
          <w:spacing w:val="-1"/>
        </w:rPr>
        <w:t> </w:t>
      </w:r>
      <w:r>
        <w:rPr/>
        <w:t>Accordingly, amortization of the MGM Grand Paradise gaming subconcession was recognized on a straight-line basis over its reduced useful life. The gaming subconcession was fully amortized as of December 31, 2022.</w:t>
      </w:r>
    </w:p>
    <w:p>
      <w:pPr>
        <w:pStyle w:val="BodyText"/>
        <w:spacing w:before="7"/>
      </w:pPr>
    </w:p>
    <w:p>
      <w:pPr>
        <w:pStyle w:val="BodyText"/>
        <w:spacing w:line="235" w:lineRule="auto"/>
        <w:ind w:left="144" w:right="118" w:firstLine="499"/>
        <w:jc w:val="both"/>
      </w:pPr>
      <w:r>
        <w:rPr/>
        <w:t>We identified the determination of the unit of account and the revision of the useful life of the MGM Grand Paradise gaming subconcession </w:t>
      </w:r>
      <w:r>
        <w:rPr/>
        <w:t>intangible asset as a critical audit matter because the accounting guidance under Accounting Standard Codification (“ASC”) 350-30, Intangibles–Goodwill and Other: General Intangibles Other than Goodwill, involved challenging, subjective, and complex judgments. Therefore, auditing this matter, involved a higher degree</w:t>
      </w:r>
      <w:r>
        <w:rPr>
          <w:spacing w:val="40"/>
        </w:rPr>
        <w:t> </w:t>
      </w:r>
      <w:r>
        <w:rPr/>
        <w:t>of auditor judgment and subjectivity, including the involvement of specialists.</w:t>
      </w:r>
    </w:p>
    <w:p>
      <w:pPr>
        <w:pStyle w:val="BodyText"/>
        <w:spacing w:before="18"/>
      </w:pPr>
    </w:p>
    <w:p>
      <w:pPr>
        <w:spacing w:before="0"/>
        <w:ind w:left="144" w:right="0" w:firstLine="0"/>
        <w:jc w:val="left"/>
        <w:rPr>
          <w:i/>
          <w:sz w:val="18"/>
        </w:rPr>
      </w:pPr>
      <w:r>
        <w:rPr>
          <w:i/>
          <w:sz w:val="18"/>
        </w:rPr>
        <w:t>How</w:t>
      </w:r>
      <w:r>
        <w:rPr>
          <w:i/>
          <w:spacing w:val="-6"/>
          <w:sz w:val="18"/>
        </w:rPr>
        <w:t> </w:t>
      </w:r>
      <w:r>
        <w:rPr>
          <w:i/>
          <w:sz w:val="18"/>
        </w:rPr>
        <w:t>the</w:t>
      </w:r>
      <w:r>
        <w:rPr>
          <w:i/>
          <w:spacing w:val="-4"/>
          <w:sz w:val="18"/>
        </w:rPr>
        <w:t> </w:t>
      </w:r>
      <w:r>
        <w:rPr>
          <w:i/>
          <w:sz w:val="18"/>
        </w:rPr>
        <w:t>Critical</w:t>
      </w:r>
      <w:r>
        <w:rPr>
          <w:i/>
          <w:spacing w:val="-6"/>
          <w:sz w:val="18"/>
        </w:rPr>
        <w:t> </w:t>
      </w:r>
      <w:r>
        <w:rPr>
          <w:i/>
          <w:sz w:val="18"/>
        </w:rPr>
        <w:t>Audit</w:t>
      </w:r>
      <w:r>
        <w:rPr>
          <w:i/>
          <w:spacing w:val="-4"/>
          <w:sz w:val="18"/>
        </w:rPr>
        <w:t> </w:t>
      </w:r>
      <w:r>
        <w:rPr>
          <w:i/>
          <w:sz w:val="18"/>
        </w:rPr>
        <w:t>Matter</w:t>
      </w:r>
      <w:r>
        <w:rPr>
          <w:i/>
          <w:spacing w:val="-4"/>
          <w:sz w:val="18"/>
        </w:rPr>
        <w:t> </w:t>
      </w:r>
      <w:r>
        <w:rPr>
          <w:i/>
          <w:sz w:val="18"/>
        </w:rPr>
        <w:t>Was</w:t>
      </w:r>
      <w:r>
        <w:rPr>
          <w:i/>
          <w:spacing w:val="-6"/>
          <w:sz w:val="18"/>
        </w:rPr>
        <w:t> </w:t>
      </w:r>
      <w:r>
        <w:rPr>
          <w:i/>
          <w:sz w:val="18"/>
        </w:rPr>
        <w:t>Addressed</w:t>
      </w:r>
      <w:r>
        <w:rPr>
          <w:i/>
          <w:spacing w:val="-4"/>
          <w:sz w:val="18"/>
        </w:rPr>
        <w:t> </w:t>
      </w:r>
      <w:r>
        <w:rPr>
          <w:i/>
          <w:sz w:val="18"/>
        </w:rPr>
        <w:t>in</w:t>
      </w:r>
      <w:r>
        <w:rPr>
          <w:i/>
          <w:spacing w:val="-4"/>
          <w:sz w:val="18"/>
        </w:rPr>
        <w:t> </w:t>
      </w:r>
      <w:r>
        <w:rPr>
          <w:i/>
          <w:sz w:val="18"/>
        </w:rPr>
        <w:t>the</w:t>
      </w:r>
      <w:r>
        <w:rPr>
          <w:i/>
          <w:spacing w:val="-6"/>
          <w:sz w:val="18"/>
        </w:rPr>
        <w:t> </w:t>
      </w:r>
      <w:r>
        <w:rPr>
          <w:i/>
          <w:spacing w:val="-2"/>
          <w:sz w:val="18"/>
        </w:rPr>
        <w:t>Audit</w:t>
      </w:r>
    </w:p>
    <w:p>
      <w:pPr>
        <w:pStyle w:val="BodyText"/>
        <w:spacing w:before="6"/>
        <w:rPr>
          <w:i/>
        </w:rPr>
      </w:pPr>
    </w:p>
    <w:p>
      <w:pPr>
        <w:pStyle w:val="BodyText"/>
        <w:spacing w:line="218" w:lineRule="auto"/>
        <w:ind w:left="144" w:right="118" w:firstLine="499"/>
        <w:jc w:val="both"/>
      </w:pPr>
      <w:r>
        <w:rPr/>
        <w:t>Our audit procedures related to the determination of the unit of account and the revision of the useful life of the MGM Grand Paradise </w:t>
      </w:r>
      <w:r>
        <w:rPr/>
        <w:t>gaming subconcession intangible asset included the following, among others:</w:t>
      </w:r>
    </w:p>
    <w:p>
      <w:pPr>
        <w:pStyle w:val="BodyText"/>
        <w:spacing w:before="34"/>
      </w:pPr>
    </w:p>
    <w:p>
      <w:pPr>
        <w:pStyle w:val="ListParagraph"/>
        <w:numPr>
          <w:ilvl w:val="0"/>
          <w:numId w:val="10"/>
        </w:numPr>
        <w:tabs>
          <w:tab w:pos="792" w:val="left" w:leader="none"/>
        </w:tabs>
        <w:spacing w:line="204" w:lineRule="auto" w:before="0" w:after="0"/>
        <w:ind w:left="792" w:right="118" w:hanging="324"/>
        <w:jc w:val="both"/>
        <w:rPr>
          <w:sz w:val="18"/>
        </w:rPr>
      </w:pPr>
      <w:r>
        <w:rPr>
          <w:sz w:val="18"/>
        </w:rPr>
        <w:t>We tested the effectiveness of the controls over management’s assessment of the unit of account, management’s application of the </w:t>
      </w:r>
      <w:r>
        <w:rPr>
          <w:sz w:val="18"/>
        </w:rPr>
        <w:t>accounting guidance in</w:t>
      </w:r>
      <w:r>
        <w:rPr>
          <w:spacing w:val="-8"/>
          <w:sz w:val="18"/>
        </w:rPr>
        <w:t> </w:t>
      </w:r>
      <w:r>
        <w:rPr>
          <w:sz w:val="18"/>
        </w:rPr>
        <w:t>ASC 350-30, the revision of the useful life of the MGM Grand Paradise gaming subconcession intangible asset, and the calculation of the accelerated amortization expense.</w:t>
      </w:r>
    </w:p>
    <w:p>
      <w:pPr>
        <w:pStyle w:val="BodyText"/>
      </w:pPr>
    </w:p>
    <w:p>
      <w:pPr>
        <w:pStyle w:val="BodyText"/>
        <w:spacing w:before="181"/>
      </w:pPr>
    </w:p>
    <w:p>
      <w:pPr>
        <w:pStyle w:val="BodyText"/>
        <w:ind w:left="24"/>
        <w:jc w:val="center"/>
      </w:pPr>
      <w:r>
        <w:rPr>
          <w:spacing w:val="-5"/>
        </w:rPr>
        <w:t>55</w:t>
      </w:r>
    </w:p>
    <w:p>
      <w:pPr>
        <w:pStyle w:val="BodyText"/>
        <w:spacing w:before="3"/>
        <w:rPr>
          <w:sz w:val="6"/>
        </w:rPr>
      </w:pPr>
      <w:r>
        <w:rPr/>
        <mc:AlternateContent>
          <mc:Choice Requires="wps">
            <w:drawing>
              <wp:anchor distT="0" distB="0" distL="0" distR="0" allowOverlap="1" layoutInCell="1" locked="0" behindDoc="1" simplePos="0" relativeHeight="487645184">
                <wp:simplePos x="0" y="0"/>
                <wp:positionH relativeFrom="page">
                  <wp:posOffset>231457</wp:posOffset>
                </wp:positionH>
                <wp:positionV relativeFrom="paragraph">
                  <wp:posOffset>61057</wp:posOffset>
                </wp:positionV>
                <wp:extent cx="7312659" cy="17145"/>
                <wp:effectExtent l="0" t="0" r="0" b="0"/>
                <wp:wrapTopAndBottom/>
                <wp:docPr id="309" name="Group 309"/>
                <wp:cNvGraphicFramePr>
                  <a:graphicFrameLocks/>
                </wp:cNvGraphicFramePr>
                <a:graphic>
                  <a:graphicData uri="http://schemas.microsoft.com/office/word/2010/wordprocessingGroup">
                    <wpg:wgp>
                      <wpg:cNvPr id="309" name="Group 309"/>
                      <wpg:cNvGrpSpPr/>
                      <wpg:grpSpPr>
                        <a:xfrm>
                          <a:off x="0" y="0"/>
                          <a:ext cx="7312659" cy="17145"/>
                          <a:chExt cx="7312659" cy="17145"/>
                        </a:xfrm>
                      </wpg:grpSpPr>
                      <wps:wsp>
                        <wps:cNvPr id="310" name="Graphic 3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11" name="Graphic 311"/>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12" name="Graphic 3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7708pt;width:575.8pt;height:1.35pt;mso-position-horizontal-relative:page;mso-position-vertical-relative:paragraph;z-index:-15671296;mso-wrap-distance-left:0;mso-wrap-distance-right:0" id="docshapegroup307" coordorigin="364,96" coordsize="11516,27">
                <v:rect style="position:absolute;left:364;top:96;width:11516;height:14" id="docshape308" filled="true" fillcolor="#999999" stroked="false">
                  <v:fill type="solid"/>
                </v:rect>
                <v:shape style="position:absolute;left:364;top:96;width:11516;height:27" id="docshape309" coordorigin="364,96" coordsize="11516,27" path="m11880,96l11866,110,364,110,364,123,11866,123,11880,123,11880,110,11880,96xe" filled="true" fillcolor="#ededed" stroked="false">
                  <v:path arrowok="t"/>
                  <v:fill type="solid"/>
                </v:shape>
                <v:shape style="position:absolute;left:364;top:96;width:14;height:27" id="docshape310"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ListParagraph"/>
        <w:numPr>
          <w:ilvl w:val="0"/>
          <w:numId w:val="10"/>
        </w:numPr>
        <w:tabs>
          <w:tab w:pos="792" w:val="left" w:leader="none"/>
        </w:tabs>
        <w:spacing w:line="208" w:lineRule="auto" w:before="87" w:after="0"/>
        <w:ind w:left="792" w:right="118" w:hanging="324"/>
        <w:jc w:val="both"/>
        <w:rPr>
          <w:sz w:val="18"/>
        </w:rPr>
      </w:pPr>
      <w:r>
        <w:rPr>
          <w:sz w:val="18"/>
        </w:rPr>
        <w:t>We inspected the new gaming law which was approved in June 2022 and the underlying agreements related to the subconcession and </w:t>
      </w:r>
      <w:r>
        <w:rPr>
          <w:sz w:val="18"/>
        </w:rPr>
        <w:t>subsequent extensions. With the assistance of technical accounting specialists, we evaluated the reasonableness of management’s application of the accounting guidance in ASC 350-30 and the judgments used by management to determine the unit of account and the revision of the useful life of the MGM Grand Paradise gaming subconcession intangible asset.</w:t>
      </w:r>
    </w:p>
    <w:p>
      <w:pPr>
        <w:pStyle w:val="ListParagraph"/>
        <w:numPr>
          <w:ilvl w:val="0"/>
          <w:numId w:val="10"/>
        </w:numPr>
        <w:tabs>
          <w:tab w:pos="792" w:val="left" w:leader="none"/>
        </w:tabs>
        <w:spacing w:line="240" w:lineRule="auto" w:before="189" w:after="0"/>
        <w:ind w:left="792" w:right="0" w:hanging="324"/>
        <w:jc w:val="left"/>
        <w:rPr>
          <w:sz w:val="18"/>
        </w:rPr>
      </w:pPr>
      <w:r>
        <w:rPr>
          <w:sz w:val="18"/>
        </w:rPr>
        <w:t>We</w:t>
      </w:r>
      <w:r>
        <w:rPr>
          <w:spacing w:val="-2"/>
          <w:sz w:val="18"/>
        </w:rPr>
        <w:t> </w:t>
      </w:r>
      <w:r>
        <w:rPr>
          <w:sz w:val="18"/>
        </w:rPr>
        <w:t>recalculated</w:t>
      </w:r>
      <w:r>
        <w:rPr>
          <w:spacing w:val="-2"/>
          <w:sz w:val="18"/>
        </w:rPr>
        <w:t> </w:t>
      </w:r>
      <w:r>
        <w:rPr>
          <w:sz w:val="18"/>
        </w:rPr>
        <w:t>the</w:t>
      </w:r>
      <w:r>
        <w:rPr>
          <w:spacing w:val="-2"/>
          <w:sz w:val="18"/>
        </w:rPr>
        <w:t> </w:t>
      </w:r>
      <w:r>
        <w:rPr>
          <w:sz w:val="18"/>
        </w:rPr>
        <w:t>accelerated</w:t>
      </w:r>
      <w:r>
        <w:rPr>
          <w:spacing w:val="-1"/>
          <w:sz w:val="18"/>
        </w:rPr>
        <w:t> </w:t>
      </w:r>
      <w:r>
        <w:rPr>
          <w:sz w:val="18"/>
        </w:rPr>
        <w:t>amortization</w:t>
      </w:r>
      <w:r>
        <w:rPr>
          <w:spacing w:val="-2"/>
          <w:sz w:val="18"/>
        </w:rPr>
        <w:t> </w:t>
      </w:r>
      <w:r>
        <w:rPr>
          <w:sz w:val="18"/>
        </w:rPr>
        <w:t>expense</w:t>
      </w:r>
      <w:r>
        <w:rPr>
          <w:spacing w:val="-2"/>
          <w:sz w:val="18"/>
        </w:rPr>
        <w:t> </w:t>
      </w:r>
      <w:r>
        <w:rPr>
          <w:sz w:val="18"/>
        </w:rPr>
        <w:t>from</w:t>
      </w:r>
      <w:r>
        <w:rPr>
          <w:spacing w:val="-1"/>
          <w:sz w:val="18"/>
        </w:rPr>
        <w:t> </w:t>
      </w:r>
      <w:r>
        <w:rPr>
          <w:sz w:val="18"/>
        </w:rPr>
        <w:t>June</w:t>
      </w:r>
      <w:r>
        <w:rPr>
          <w:spacing w:val="-2"/>
          <w:sz w:val="18"/>
        </w:rPr>
        <w:t> </w:t>
      </w:r>
      <w:r>
        <w:rPr>
          <w:sz w:val="18"/>
        </w:rPr>
        <w:t>21,</w:t>
      </w:r>
      <w:r>
        <w:rPr>
          <w:spacing w:val="-2"/>
          <w:sz w:val="18"/>
        </w:rPr>
        <w:t> </w:t>
      </w:r>
      <w:r>
        <w:rPr>
          <w:sz w:val="18"/>
        </w:rPr>
        <w:t>2022</w:t>
      </w:r>
      <w:r>
        <w:rPr>
          <w:spacing w:val="-2"/>
          <w:sz w:val="18"/>
        </w:rPr>
        <w:t> </w:t>
      </w:r>
      <w:r>
        <w:rPr>
          <w:sz w:val="18"/>
        </w:rPr>
        <w:t>through</w:t>
      </w:r>
      <w:r>
        <w:rPr>
          <w:spacing w:val="-1"/>
          <w:sz w:val="18"/>
        </w:rPr>
        <w:t> </w:t>
      </w:r>
      <w:r>
        <w:rPr>
          <w:sz w:val="18"/>
        </w:rPr>
        <w:t>December</w:t>
      </w:r>
      <w:r>
        <w:rPr>
          <w:spacing w:val="-2"/>
          <w:sz w:val="18"/>
        </w:rPr>
        <w:t> </w:t>
      </w:r>
      <w:r>
        <w:rPr>
          <w:sz w:val="18"/>
        </w:rPr>
        <w:t>31,</w:t>
      </w:r>
      <w:r>
        <w:rPr>
          <w:spacing w:val="-2"/>
          <w:sz w:val="18"/>
        </w:rPr>
        <w:t> </w:t>
      </w:r>
      <w:r>
        <w:rPr>
          <w:sz w:val="18"/>
        </w:rPr>
        <w:t>2022</w:t>
      </w:r>
      <w:r>
        <w:rPr>
          <w:spacing w:val="-1"/>
          <w:sz w:val="18"/>
        </w:rPr>
        <w:t> </w:t>
      </w:r>
      <w:r>
        <w:rPr>
          <w:sz w:val="18"/>
        </w:rPr>
        <w:t>based</w:t>
      </w:r>
      <w:r>
        <w:rPr>
          <w:spacing w:val="-2"/>
          <w:sz w:val="18"/>
        </w:rPr>
        <w:t> </w:t>
      </w:r>
      <w:r>
        <w:rPr>
          <w:sz w:val="18"/>
        </w:rPr>
        <w:t>on</w:t>
      </w:r>
      <w:r>
        <w:rPr>
          <w:spacing w:val="-2"/>
          <w:sz w:val="18"/>
        </w:rPr>
        <w:t> </w:t>
      </w:r>
      <w:r>
        <w:rPr>
          <w:sz w:val="18"/>
        </w:rPr>
        <w:t>the</w:t>
      </w:r>
      <w:r>
        <w:rPr>
          <w:spacing w:val="-2"/>
          <w:sz w:val="18"/>
        </w:rPr>
        <w:t> </w:t>
      </w:r>
      <w:r>
        <w:rPr>
          <w:sz w:val="18"/>
        </w:rPr>
        <w:t>revision</w:t>
      </w:r>
      <w:r>
        <w:rPr>
          <w:spacing w:val="-1"/>
          <w:sz w:val="18"/>
        </w:rPr>
        <w:t> </w:t>
      </w:r>
      <w:r>
        <w:rPr>
          <w:sz w:val="18"/>
        </w:rPr>
        <w:t>of</w:t>
      </w:r>
      <w:r>
        <w:rPr>
          <w:spacing w:val="-2"/>
          <w:sz w:val="18"/>
        </w:rPr>
        <w:t> </w:t>
      </w:r>
      <w:r>
        <w:rPr>
          <w:sz w:val="18"/>
        </w:rPr>
        <w:t>the</w:t>
      </w:r>
      <w:r>
        <w:rPr>
          <w:spacing w:val="-2"/>
          <w:sz w:val="18"/>
        </w:rPr>
        <w:t> </w:t>
      </w:r>
      <w:r>
        <w:rPr>
          <w:sz w:val="18"/>
        </w:rPr>
        <w:t>useful</w:t>
      </w:r>
      <w:r>
        <w:rPr>
          <w:spacing w:val="-1"/>
          <w:sz w:val="18"/>
        </w:rPr>
        <w:t> </w:t>
      </w:r>
      <w:r>
        <w:rPr>
          <w:spacing w:val="-2"/>
          <w:sz w:val="18"/>
        </w:rPr>
        <w:t>life.</w:t>
      </w:r>
    </w:p>
    <w:p>
      <w:pPr>
        <w:pStyle w:val="BodyText"/>
        <w:spacing w:before="5"/>
      </w:pPr>
    </w:p>
    <w:p>
      <w:pPr>
        <w:pStyle w:val="BodyText"/>
        <w:ind w:left="144"/>
      </w:pPr>
      <w:r>
        <w:rPr/>
        <w:t>/s/</w:t>
      </w:r>
      <w:r>
        <w:rPr>
          <w:spacing w:val="-5"/>
        </w:rPr>
        <w:t> </w:t>
      </w:r>
      <w:r>
        <w:rPr/>
        <w:t>Deloitte</w:t>
      </w:r>
      <w:r>
        <w:rPr>
          <w:spacing w:val="-4"/>
        </w:rPr>
        <w:t> </w:t>
      </w:r>
      <w:r>
        <w:rPr/>
        <w:t>&amp;</w:t>
      </w:r>
      <w:r>
        <w:rPr>
          <w:spacing w:val="-7"/>
        </w:rPr>
        <w:t> </w:t>
      </w:r>
      <w:r>
        <w:rPr/>
        <w:t>Touche</w:t>
      </w:r>
      <w:r>
        <w:rPr>
          <w:spacing w:val="-4"/>
        </w:rPr>
        <w:t> </w:t>
      </w:r>
      <w:r>
        <w:rPr>
          <w:spacing w:val="-5"/>
        </w:rPr>
        <w:t>LLP</w:t>
      </w:r>
    </w:p>
    <w:p>
      <w:pPr>
        <w:pStyle w:val="BodyText"/>
        <w:spacing w:before="8"/>
      </w:pPr>
    </w:p>
    <w:p>
      <w:pPr>
        <w:pStyle w:val="BodyText"/>
        <w:spacing w:line="235" w:lineRule="auto"/>
        <w:ind w:left="144" w:right="9851"/>
      </w:pPr>
      <w:r>
        <w:rPr>
          <w:spacing w:val="-2"/>
        </w:rPr>
        <w:t>Las</w:t>
      </w:r>
      <w:r>
        <w:rPr>
          <w:spacing w:val="-10"/>
        </w:rPr>
        <w:t> </w:t>
      </w:r>
      <w:r>
        <w:rPr>
          <w:spacing w:val="-2"/>
        </w:rPr>
        <w:t>Vegas,</w:t>
      </w:r>
      <w:r>
        <w:rPr>
          <w:spacing w:val="-9"/>
        </w:rPr>
        <w:t> </w:t>
      </w:r>
      <w:r>
        <w:rPr>
          <w:spacing w:val="-2"/>
        </w:rPr>
        <w:t>Nevada </w:t>
      </w:r>
      <w:r>
        <w:rPr/>
        <w:t>February</w:t>
      </w:r>
      <w:r>
        <w:rPr>
          <w:spacing w:val="-1"/>
        </w:rPr>
        <w:t> </w:t>
      </w:r>
      <w:r>
        <w:rPr/>
        <w:t>24,</w:t>
      </w:r>
      <w:r>
        <w:rPr>
          <w:spacing w:val="-1"/>
        </w:rPr>
        <w:t> </w:t>
      </w:r>
      <w:r>
        <w:rPr>
          <w:spacing w:val="-4"/>
        </w:rPr>
        <w:t>2023</w:t>
      </w:r>
    </w:p>
    <w:p>
      <w:pPr>
        <w:pStyle w:val="BodyText"/>
        <w:spacing w:before="18"/>
      </w:pPr>
    </w:p>
    <w:p>
      <w:pPr>
        <w:pStyle w:val="BodyText"/>
        <w:ind w:left="144"/>
      </w:pPr>
      <w:r>
        <w:rPr/>
        <w:t>We</w:t>
      </w:r>
      <w:r>
        <w:rPr>
          <w:spacing w:val="-5"/>
        </w:rPr>
        <w:t> </w:t>
      </w:r>
      <w:r>
        <w:rPr/>
        <w:t>have</w:t>
      </w:r>
      <w:r>
        <w:rPr>
          <w:spacing w:val="-3"/>
        </w:rPr>
        <w:t> </w:t>
      </w:r>
      <w:r>
        <w:rPr/>
        <w:t>served</w:t>
      </w:r>
      <w:r>
        <w:rPr>
          <w:spacing w:val="-3"/>
        </w:rPr>
        <w:t> </w:t>
      </w:r>
      <w:r>
        <w:rPr/>
        <w:t>as</w:t>
      </w:r>
      <w:r>
        <w:rPr>
          <w:spacing w:val="-3"/>
        </w:rPr>
        <w:t> </w:t>
      </w:r>
      <w:r>
        <w:rPr/>
        <w:t>the</w:t>
      </w:r>
      <w:r>
        <w:rPr>
          <w:spacing w:val="-3"/>
        </w:rPr>
        <w:t> </w:t>
      </w:r>
      <w:r>
        <w:rPr/>
        <w:t>Company's</w:t>
      </w:r>
      <w:r>
        <w:rPr>
          <w:spacing w:val="-3"/>
        </w:rPr>
        <w:t> </w:t>
      </w:r>
      <w:r>
        <w:rPr/>
        <w:t>auditor</w:t>
      </w:r>
      <w:r>
        <w:rPr>
          <w:spacing w:val="-3"/>
        </w:rPr>
        <w:t> </w:t>
      </w:r>
      <w:r>
        <w:rPr/>
        <w:t>since</w:t>
      </w:r>
      <w:r>
        <w:rPr>
          <w:spacing w:val="-2"/>
        </w:rPr>
        <w:t> 2002.</w:t>
      </w:r>
    </w:p>
    <w:p>
      <w:pPr>
        <w:pStyle w:val="BodyText"/>
      </w:pPr>
    </w:p>
    <w:p>
      <w:pPr>
        <w:pStyle w:val="BodyText"/>
        <w:spacing w:before="189"/>
      </w:pPr>
    </w:p>
    <w:p>
      <w:pPr>
        <w:pStyle w:val="BodyText"/>
        <w:ind w:left="24"/>
        <w:jc w:val="center"/>
      </w:pPr>
      <w:bookmarkStart w:name="_bookmark12" w:id="13"/>
      <w:bookmarkEnd w:id="13"/>
      <w:r>
        <w:rPr/>
      </w:r>
      <w:r>
        <w:rPr>
          <w:spacing w:val="-5"/>
        </w:rPr>
        <w:t>56</w:t>
      </w:r>
    </w:p>
    <w:p>
      <w:pPr>
        <w:pStyle w:val="BodyText"/>
        <w:spacing w:before="3"/>
        <w:rPr>
          <w:sz w:val="6"/>
        </w:rPr>
      </w:pPr>
      <w:r>
        <w:rPr/>
        <mc:AlternateContent>
          <mc:Choice Requires="wps">
            <w:drawing>
              <wp:anchor distT="0" distB="0" distL="0" distR="0" allowOverlap="1" layoutInCell="1" locked="0" behindDoc="1" simplePos="0" relativeHeight="487645696">
                <wp:simplePos x="0" y="0"/>
                <wp:positionH relativeFrom="page">
                  <wp:posOffset>231457</wp:posOffset>
                </wp:positionH>
                <wp:positionV relativeFrom="paragraph">
                  <wp:posOffset>60956</wp:posOffset>
                </wp:positionV>
                <wp:extent cx="7312659" cy="17145"/>
                <wp:effectExtent l="0" t="0" r="0" b="0"/>
                <wp:wrapTopAndBottom/>
                <wp:docPr id="313" name="Group 313"/>
                <wp:cNvGraphicFramePr>
                  <a:graphicFrameLocks/>
                </wp:cNvGraphicFramePr>
                <a:graphic>
                  <a:graphicData uri="http://schemas.microsoft.com/office/word/2010/wordprocessingGroup">
                    <wpg:wgp>
                      <wpg:cNvPr id="313" name="Group 313"/>
                      <wpg:cNvGrpSpPr/>
                      <wpg:grpSpPr>
                        <a:xfrm>
                          <a:off x="0" y="0"/>
                          <a:ext cx="7312659" cy="17145"/>
                          <a:chExt cx="7312659" cy="17145"/>
                        </a:xfrm>
                      </wpg:grpSpPr>
                      <wps:wsp>
                        <wps:cNvPr id="314" name="Graphic 3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15" name="Graphic 315"/>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16" name="Graphic 3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0784;mso-wrap-distance-left:0;mso-wrap-distance-right:0" id="docshapegroup311" coordorigin="364,96" coordsize="11516,27">
                <v:rect style="position:absolute;left:364;top:96;width:11516;height:14" id="docshape312" filled="true" fillcolor="#999999" stroked="false">
                  <v:fill type="solid"/>
                </v:rect>
                <v:shape style="position:absolute;left:364;top:96;width:11516;height:27" id="docshape313" coordorigin="364,96" coordsize="11516,27" path="m11880,96l11866,109,364,109,364,123,11866,123,11880,123,11880,109,11880,96xe" filled="true" fillcolor="#ededed" stroked="false">
                  <v:path arrowok="t"/>
                  <v:fill type="solid"/>
                </v:shape>
                <v:shape style="position:absolute;left:364;top:96;width:14;height:27" id="docshape314"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Heading4"/>
        <w:spacing w:line="249" w:lineRule="auto" w:before="69"/>
        <w:ind w:left="2869" w:right="2842"/>
        <w:jc w:val="center"/>
      </w:pPr>
      <w:r>
        <w:rPr/>
        <w:t>MGM</w:t>
      </w:r>
      <w:r>
        <w:rPr>
          <w:spacing w:val="-12"/>
        </w:rPr>
        <w:t> </w:t>
      </w:r>
      <w:r>
        <w:rPr/>
        <w:t>RESORTS</w:t>
      </w:r>
      <w:r>
        <w:rPr>
          <w:spacing w:val="-11"/>
        </w:rPr>
        <w:t> </w:t>
      </w:r>
      <w:r>
        <w:rPr/>
        <w:t>INTERNATIONAL</w:t>
      </w:r>
      <w:r>
        <w:rPr>
          <w:spacing w:val="-20"/>
        </w:rPr>
        <w:t> </w:t>
      </w:r>
      <w:r>
        <w:rPr/>
        <w:t>AND</w:t>
      </w:r>
      <w:r>
        <w:rPr>
          <w:spacing w:val="-11"/>
        </w:rPr>
        <w:t> </w:t>
      </w:r>
      <w:r>
        <w:rPr/>
        <w:t>SUBSIDIARIES </w:t>
      </w:r>
      <w:bookmarkStart w:name="_bookmark13" w:id="14"/>
      <w:bookmarkEnd w:id="14"/>
      <w:r>
        <w:rPr/>
        <w:t>CONSOLID</w:t>
      </w:r>
      <w:r>
        <w:rPr/>
        <w:t>ATED BALANCE SHEETS</w:t>
      </w:r>
    </w:p>
    <w:p>
      <w:pPr>
        <w:pStyle w:val="Heading6"/>
        <w:spacing w:line="195" w:lineRule="exact"/>
      </w:pPr>
      <w:r>
        <w:rPr/>
        <w:t>(In</w:t>
      </w:r>
      <w:r>
        <w:rPr>
          <w:spacing w:val="-1"/>
        </w:rPr>
        <w:t> </w:t>
      </w:r>
      <w:r>
        <w:rPr/>
        <w:t>thousands,</w:t>
      </w:r>
      <w:r>
        <w:rPr>
          <w:spacing w:val="-1"/>
        </w:rPr>
        <w:t> </w:t>
      </w:r>
      <w:r>
        <w:rPr/>
        <w:t>except</w:t>
      </w:r>
      <w:r>
        <w:rPr>
          <w:spacing w:val="-1"/>
        </w:rPr>
        <w:t> </w:t>
      </w:r>
      <w:r>
        <w:rPr/>
        <w:t>share</w:t>
      </w:r>
      <w:r>
        <w:rPr>
          <w:spacing w:val="-1"/>
        </w:rPr>
        <w:t> </w:t>
      </w:r>
      <w:r>
        <w:rPr>
          <w:spacing w:val="-2"/>
        </w:rPr>
        <w:t>data)</w:t>
      </w:r>
    </w:p>
    <w:p>
      <w:pPr>
        <w:pStyle w:val="BodyText"/>
        <w:spacing w:before="101"/>
        <w:rPr>
          <w:b/>
          <w:i/>
          <w:sz w:val="14"/>
        </w:rPr>
      </w:pPr>
    </w:p>
    <w:p>
      <w:pPr>
        <w:spacing w:before="1"/>
        <w:ind w:left="8391" w:right="0" w:firstLine="0"/>
        <w:jc w:val="center"/>
        <w:rPr>
          <w:b/>
          <w:sz w:val="14"/>
        </w:rPr>
      </w:pPr>
      <w:r>
        <w:rPr/>
        <mc:AlternateContent>
          <mc:Choice Requires="wps">
            <w:drawing>
              <wp:anchor distT="0" distB="0" distL="0" distR="0" allowOverlap="1" layoutInCell="1" locked="0" behindDoc="1" simplePos="0" relativeHeight="487646208">
                <wp:simplePos x="0" y="0"/>
                <wp:positionH relativeFrom="page">
                  <wp:posOffset>5546395</wp:posOffset>
                </wp:positionH>
                <wp:positionV relativeFrom="paragraph">
                  <wp:posOffset>126422</wp:posOffset>
                </wp:positionV>
                <wp:extent cx="1997710" cy="8890"/>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1997710" cy="8890"/>
                        </a:xfrm>
                        <a:custGeom>
                          <a:avLst/>
                          <a:gdLst/>
                          <a:ahLst/>
                          <a:cxnLst/>
                          <a:rect l="l" t="t" r="r" b="b"/>
                          <a:pathLst>
                            <a:path w="1997710" h="8890">
                              <a:moveTo>
                                <a:pt x="1997392" y="0"/>
                              </a:moveTo>
                              <a:lnTo>
                                <a:pt x="1997392" y="0"/>
                              </a:lnTo>
                              <a:lnTo>
                                <a:pt x="0" y="0"/>
                              </a:lnTo>
                              <a:lnTo>
                                <a:pt x="0" y="8572"/>
                              </a:lnTo>
                              <a:lnTo>
                                <a:pt x="1997392" y="8572"/>
                              </a:lnTo>
                              <a:lnTo>
                                <a:pt x="1997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72403pt;margin-top:9.954542pt;width:157.275007pt;height:.675pt;mso-position-horizontal-relative:page;mso-position-vertical-relative:paragraph;z-index:-15670272;mso-wrap-distance-left:0;mso-wrap-distance-right:0" id="docshape315" filled="true" fillcolor="#000000" stroked="false">
                <v:fill type="solid"/>
                <w10:wrap type="topAndBottom"/>
              </v:rect>
            </w:pict>
          </mc:Fallback>
        </mc:AlternateContent>
      </w:r>
      <w:r>
        <w:rPr>
          <w:b/>
          <w:sz w:val="14"/>
        </w:rPr>
        <w:t>December</w:t>
      </w:r>
      <w:r>
        <w:rPr>
          <w:b/>
          <w:spacing w:val="10"/>
          <w:sz w:val="14"/>
        </w:rPr>
        <w:t> </w:t>
      </w:r>
      <w:r>
        <w:rPr>
          <w:b/>
          <w:spacing w:val="-5"/>
          <w:sz w:val="14"/>
        </w:rPr>
        <w:t>31,</w:t>
      </w:r>
    </w:p>
    <w:p>
      <w:pPr>
        <w:tabs>
          <w:tab w:pos="10014" w:val="left" w:leader="none"/>
        </w:tabs>
        <w:spacing w:before="17" w:after="52"/>
        <w:ind w:left="8390" w:right="0" w:firstLine="0"/>
        <w:jc w:val="center"/>
        <w:rPr>
          <w:b/>
          <w:sz w:val="14"/>
        </w:rPr>
      </w:pPr>
      <w:r>
        <w:rPr>
          <w:b/>
          <w:spacing w:val="-4"/>
          <w:sz w:val="14"/>
        </w:rPr>
        <w:t>2022</w:t>
      </w:r>
      <w:r>
        <w:rPr>
          <w:b/>
          <w:sz w:val="14"/>
        </w:rPr>
        <w:tab/>
      </w:r>
      <w:r>
        <w:rPr>
          <w:b/>
          <w:spacing w:val="-4"/>
          <w:sz w:val="14"/>
        </w:rPr>
        <w:t>2021</w:t>
      </w:r>
    </w:p>
    <w:p>
      <w:pPr>
        <w:pStyle w:val="BodyText"/>
        <w:spacing w:line="229" w:lineRule="exact"/>
        <w:ind w:left="144"/>
        <w:rPr>
          <w:sz w:val="20"/>
        </w:rPr>
      </w:pPr>
      <w:r>
        <w:rPr>
          <w:position w:val="-4"/>
          <w:sz w:val="20"/>
        </w:rPr>
        <mc:AlternateContent>
          <mc:Choice Requires="wps">
            <w:drawing>
              <wp:inline distT="0" distB="0" distL="0" distR="0">
                <wp:extent cx="7312659" cy="146050"/>
                <wp:effectExtent l="0" t="0" r="0" b="6350"/>
                <wp:docPr id="318" name="Group 318"/>
                <wp:cNvGraphicFramePr>
                  <a:graphicFrameLocks/>
                </wp:cNvGraphicFramePr>
                <a:graphic>
                  <a:graphicData uri="http://schemas.microsoft.com/office/word/2010/wordprocessingGroup">
                    <wpg:wgp>
                      <wpg:cNvPr id="318" name="Group 318"/>
                      <wpg:cNvGrpSpPr/>
                      <wpg:grpSpPr>
                        <a:xfrm>
                          <a:off x="0" y="0"/>
                          <a:ext cx="7312659" cy="146050"/>
                          <a:chExt cx="7312659" cy="146050"/>
                        </a:xfrm>
                      </wpg:grpSpPr>
                      <wps:wsp>
                        <wps:cNvPr id="319" name="Graphic 319"/>
                        <wps:cNvSpPr/>
                        <wps:spPr>
                          <a:xfrm>
                            <a:off x="5314937" y="3"/>
                            <a:ext cx="1997710" cy="8890"/>
                          </a:xfrm>
                          <a:custGeom>
                            <a:avLst/>
                            <a:gdLst/>
                            <a:ahLst/>
                            <a:cxnLst/>
                            <a:rect l="l" t="t" r="r" b="b"/>
                            <a:pathLst>
                              <a:path w="1997710" h="8890">
                                <a:moveTo>
                                  <a:pt x="968692" y="0"/>
                                </a:moveTo>
                                <a:lnTo>
                                  <a:pt x="951547" y="0"/>
                                </a:lnTo>
                                <a:lnTo>
                                  <a:pt x="68580" y="0"/>
                                </a:lnTo>
                                <a:lnTo>
                                  <a:pt x="0" y="0"/>
                                </a:lnTo>
                                <a:lnTo>
                                  <a:pt x="0" y="8572"/>
                                </a:lnTo>
                                <a:lnTo>
                                  <a:pt x="68580" y="8572"/>
                                </a:lnTo>
                                <a:lnTo>
                                  <a:pt x="951547" y="8572"/>
                                </a:lnTo>
                                <a:lnTo>
                                  <a:pt x="968692" y="8572"/>
                                </a:lnTo>
                                <a:lnTo>
                                  <a:pt x="968692" y="0"/>
                                </a:lnTo>
                                <a:close/>
                              </a:path>
                              <a:path w="1997710" h="8890">
                                <a:moveTo>
                                  <a:pt x="1997392" y="0"/>
                                </a:moveTo>
                                <a:lnTo>
                                  <a:pt x="1980247" y="0"/>
                                </a:lnTo>
                                <a:lnTo>
                                  <a:pt x="1105852" y="0"/>
                                </a:lnTo>
                                <a:lnTo>
                                  <a:pt x="1028700" y="0"/>
                                </a:lnTo>
                                <a:lnTo>
                                  <a:pt x="1028700" y="8572"/>
                                </a:lnTo>
                                <a:lnTo>
                                  <a:pt x="1105852" y="8572"/>
                                </a:lnTo>
                                <a:lnTo>
                                  <a:pt x="1980247" y="8572"/>
                                </a:lnTo>
                                <a:lnTo>
                                  <a:pt x="1997392" y="8572"/>
                                </a:lnTo>
                                <a:lnTo>
                                  <a:pt x="1997392" y="0"/>
                                </a:lnTo>
                                <a:close/>
                              </a:path>
                            </a:pathLst>
                          </a:custGeom>
                          <a:solidFill>
                            <a:srgbClr val="000000"/>
                          </a:solidFill>
                        </wps:spPr>
                        <wps:bodyPr wrap="square" lIns="0" tIns="0" rIns="0" bIns="0" rtlCol="0">
                          <a:prstTxWarp prst="textNoShape">
                            <a:avLst/>
                          </a:prstTxWarp>
                          <a:noAutofit/>
                        </wps:bodyPr>
                      </wps:wsp>
                      <wps:wsp>
                        <wps:cNvPr id="320" name="Textbox 320"/>
                        <wps:cNvSpPr txBox="1"/>
                        <wps:spPr>
                          <a:xfrm>
                            <a:off x="0" y="4286"/>
                            <a:ext cx="7312659" cy="141605"/>
                          </a:xfrm>
                          <a:prstGeom prst="rect">
                            <a:avLst/>
                          </a:prstGeom>
                          <a:solidFill>
                            <a:srgbClr val="CCEDFF"/>
                          </a:solidFill>
                        </wps:spPr>
                        <wps:txbx>
                          <w:txbxContent>
                            <w:p>
                              <w:pPr>
                                <w:spacing w:before="24"/>
                                <w:ind w:left="0" w:right="0" w:firstLine="0"/>
                                <w:jc w:val="center"/>
                                <w:rPr>
                                  <w:b/>
                                  <w:color w:val="000000"/>
                                  <w:sz w:val="14"/>
                                </w:rPr>
                              </w:pPr>
                              <w:r>
                                <w:rPr>
                                  <w:b/>
                                  <w:color w:val="000000"/>
                                  <w:spacing w:val="-2"/>
                                  <w:sz w:val="14"/>
                                </w:rPr>
                                <w:t>ASSETS</w:t>
                              </w:r>
                            </w:p>
                          </w:txbxContent>
                        </wps:txbx>
                        <wps:bodyPr wrap="square" lIns="0" tIns="0" rIns="0" bIns="0" rtlCol="0">
                          <a:noAutofit/>
                        </wps:bodyPr>
                      </wps:wsp>
                    </wpg:wgp>
                  </a:graphicData>
                </a:graphic>
              </wp:inline>
            </w:drawing>
          </mc:Choice>
          <mc:Fallback>
            <w:pict>
              <v:group style="width:575.8pt;height:11.5pt;mso-position-horizontal-relative:char;mso-position-vertical-relative:line" id="docshapegroup316" coordorigin="0,0" coordsize="11516,230">
                <v:shape style="position:absolute;left:8369;top:0;width:3146;height:14" id="docshape317" coordorigin="8370,0" coordsize="3146,14" path="m9895,0l9868,0,8478,0,8370,0,8370,14,8478,14,9868,14,9895,14,9895,0xm11515,0l11488,0,10111,0,9990,0,9990,14,10111,14,11488,14,11515,14,11515,0xe" filled="true" fillcolor="#000000" stroked="false">
                  <v:path arrowok="t"/>
                  <v:fill type="solid"/>
                </v:shape>
                <v:shape style="position:absolute;left:0;top:6;width:11516;height:223" type="#_x0000_t202" id="docshape318" filled="true" fillcolor="#ccedff" stroked="false">
                  <v:textbox inset="0,0,0,0">
                    <w:txbxContent>
                      <w:p>
                        <w:pPr>
                          <w:spacing w:before="24"/>
                          <w:ind w:left="0" w:right="0" w:firstLine="0"/>
                          <w:jc w:val="center"/>
                          <w:rPr>
                            <w:b/>
                            <w:color w:val="000000"/>
                            <w:sz w:val="14"/>
                          </w:rPr>
                        </w:pPr>
                        <w:r>
                          <w:rPr>
                            <w:b/>
                            <w:color w:val="000000"/>
                            <w:spacing w:val="-2"/>
                            <w:sz w:val="14"/>
                          </w:rPr>
                          <w:t>ASSETS</w:t>
                        </w:r>
                      </w:p>
                    </w:txbxContent>
                  </v:textbox>
                  <v:fill type="solid"/>
                  <w10:wrap type="none"/>
                </v:shape>
              </v:group>
            </w:pict>
          </mc:Fallback>
        </mc:AlternateContent>
      </w:r>
      <w:r>
        <w:rPr>
          <w:position w:val="-4"/>
          <w:sz w:val="20"/>
        </w:rPr>
      </w:r>
    </w:p>
    <w:p>
      <w:pPr>
        <w:spacing w:before="18" w:after="38"/>
        <w:ind w:left="162" w:right="0" w:firstLine="0"/>
        <w:jc w:val="left"/>
        <w:rPr>
          <w:b/>
          <w:sz w:val="14"/>
        </w:rPr>
      </w:pPr>
      <w:r>
        <w:rPr>
          <w:b/>
          <w:sz w:val="14"/>
        </w:rPr>
        <w:t>Current</w:t>
      </w:r>
      <w:r>
        <w:rPr>
          <w:b/>
          <w:spacing w:val="6"/>
          <w:sz w:val="14"/>
        </w:rPr>
        <w:t> </w:t>
      </w:r>
      <w:r>
        <w:rPr>
          <w:b/>
          <w:spacing w:val="-2"/>
          <w:sz w:val="14"/>
        </w:rPr>
        <w:t>assets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0"/>
        <w:gridCol w:w="4019"/>
        <w:gridCol w:w="969"/>
        <w:gridCol w:w="1100"/>
        <w:gridCol w:w="1598"/>
      </w:tblGrid>
      <w:tr>
        <w:trPr>
          <w:trHeight w:val="215" w:hRule="atLeast"/>
        </w:trPr>
        <w:tc>
          <w:tcPr>
            <w:tcW w:w="3830" w:type="dxa"/>
            <w:shd w:val="clear" w:color="auto" w:fill="CCEDFF"/>
          </w:tcPr>
          <w:p>
            <w:pPr>
              <w:pStyle w:val="TableParagraph"/>
              <w:spacing w:before="17"/>
              <w:ind w:left="217"/>
              <w:rPr>
                <w:sz w:val="14"/>
              </w:rPr>
            </w:pPr>
            <w:r>
              <w:rPr>
                <w:sz w:val="14"/>
              </w:rPr>
              <w:t>Cash</w:t>
            </w:r>
            <w:r>
              <w:rPr>
                <w:spacing w:val="4"/>
                <w:sz w:val="14"/>
              </w:rPr>
              <w:t> </w:t>
            </w:r>
            <w:r>
              <w:rPr>
                <w:sz w:val="14"/>
              </w:rPr>
              <w:t>and</w:t>
            </w:r>
            <w:r>
              <w:rPr>
                <w:spacing w:val="5"/>
                <w:sz w:val="14"/>
              </w:rPr>
              <w:t> </w:t>
            </w:r>
            <w:r>
              <w:rPr>
                <w:sz w:val="14"/>
              </w:rPr>
              <w:t>cash</w:t>
            </w:r>
            <w:r>
              <w:rPr>
                <w:spacing w:val="5"/>
                <w:sz w:val="14"/>
              </w:rPr>
              <w:t> </w:t>
            </w:r>
            <w:r>
              <w:rPr>
                <w:spacing w:val="-2"/>
                <w:sz w:val="14"/>
              </w:rPr>
              <w:t>equivalents</w:t>
            </w: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17"/>
              <w:ind w:left="174"/>
              <w:jc w:val="center"/>
              <w:rPr>
                <w:sz w:val="14"/>
              </w:rPr>
            </w:pPr>
            <w:r>
              <w:rPr>
                <w:spacing w:val="-10"/>
                <w:sz w:val="14"/>
              </w:rPr>
              <w:t>$</w:t>
            </w:r>
          </w:p>
        </w:tc>
        <w:tc>
          <w:tcPr>
            <w:tcW w:w="1100" w:type="dxa"/>
            <w:shd w:val="clear" w:color="auto" w:fill="CCEDFF"/>
          </w:tcPr>
          <w:p>
            <w:pPr>
              <w:pStyle w:val="TableParagraph"/>
              <w:spacing w:before="17"/>
              <w:ind w:right="88"/>
              <w:jc w:val="right"/>
              <w:rPr>
                <w:sz w:val="14"/>
              </w:rPr>
            </w:pPr>
            <w:r>
              <w:rPr>
                <w:spacing w:val="-2"/>
                <w:sz w:val="14"/>
              </w:rPr>
              <w:t>5,911,893</w:t>
            </w:r>
          </w:p>
        </w:tc>
        <w:tc>
          <w:tcPr>
            <w:tcW w:w="1598" w:type="dxa"/>
            <w:shd w:val="clear" w:color="auto" w:fill="CCEDFF"/>
          </w:tcPr>
          <w:p>
            <w:pPr>
              <w:pStyle w:val="TableParagraph"/>
              <w:tabs>
                <w:tab w:pos="867" w:val="left" w:leader="none"/>
              </w:tabs>
              <w:spacing w:before="17"/>
              <w:ind w:right="62"/>
              <w:jc w:val="right"/>
              <w:rPr>
                <w:sz w:val="14"/>
              </w:rPr>
            </w:pPr>
            <w:r>
              <w:rPr>
                <w:spacing w:val="-10"/>
                <w:sz w:val="14"/>
              </w:rPr>
              <w:t>$</w:t>
            </w:r>
            <w:r>
              <w:rPr>
                <w:sz w:val="14"/>
              </w:rPr>
              <w:tab/>
            </w:r>
            <w:r>
              <w:rPr>
                <w:spacing w:val="-2"/>
                <w:sz w:val="14"/>
              </w:rPr>
              <w:t>4,703,059</w:t>
            </w:r>
          </w:p>
        </w:tc>
      </w:tr>
      <w:tr>
        <w:trPr>
          <w:trHeight w:val="215" w:hRule="atLeast"/>
        </w:trPr>
        <w:tc>
          <w:tcPr>
            <w:tcW w:w="3830" w:type="dxa"/>
          </w:tcPr>
          <w:p>
            <w:pPr>
              <w:pStyle w:val="TableParagraph"/>
              <w:spacing w:before="17"/>
              <w:ind w:left="217"/>
              <w:rPr>
                <w:sz w:val="14"/>
              </w:rPr>
            </w:pPr>
            <w:r>
              <w:rPr>
                <w:sz w:val="14"/>
              </w:rPr>
              <w:t>Restricted</w:t>
            </w:r>
            <w:r>
              <w:rPr>
                <w:spacing w:val="11"/>
                <w:sz w:val="14"/>
              </w:rPr>
              <w:t> </w:t>
            </w:r>
            <w:r>
              <w:rPr>
                <w:spacing w:val="-4"/>
                <w:sz w:val="14"/>
              </w:rPr>
              <w:t>cash</w:t>
            </w:r>
          </w:p>
        </w:tc>
        <w:tc>
          <w:tcPr>
            <w:tcW w:w="4019" w:type="dxa"/>
          </w:tcPr>
          <w:p>
            <w:pPr>
              <w:pStyle w:val="TableParagraph"/>
              <w:spacing w:before="0"/>
              <w:rPr>
                <w:sz w:val="14"/>
              </w:rPr>
            </w:pPr>
          </w:p>
        </w:tc>
        <w:tc>
          <w:tcPr>
            <w:tcW w:w="969" w:type="dxa"/>
          </w:tcPr>
          <w:p>
            <w:pPr>
              <w:pStyle w:val="TableParagraph"/>
              <w:spacing w:before="0"/>
              <w:rPr>
                <w:sz w:val="14"/>
              </w:rPr>
            </w:pPr>
          </w:p>
        </w:tc>
        <w:tc>
          <w:tcPr>
            <w:tcW w:w="1100" w:type="dxa"/>
          </w:tcPr>
          <w:p>
            <w:pPr>
              <w:pStyle w:val="TableParagraph"/>
              <w:spacing w:before="17"/>
              <w:ind w:right="88"/>
              <w:jc w:val="right"/>
              <w:rPr>
                <w:sz w:val="14"/>
              </w:rPr>
            </w:pPr>
            <w:r>
              <w:rPr>
                <w:spacing w:val="-10"/>
                <w:sz w:val="14"/>
              </w:rPr>
              <w:t>—</w:t>
            </w:r>
          </w:p>
        </w:tc>
        <w:tc>
          <w:tcPr>
            <w:tcW w:w="1598" w:type="dxa"/>
          </w:tcPr>
          <w:p>
            <w:pPr>
              <w:pStyle w:val="TableParagraph"/>
              <w:spacing w:before="17"/>
              <w:ind w:right="62"/>
              <w:jc w:val="right"/>
              <w:rPr>
                <w:sz w:val="14"/>
              </w:rPr>
            </w:pPr>
            <w:r>
              <w:rPr>
                <w:spacing w:val="-2"/>
                <w:sz w:val="14"/>
              </w:rPr>
              <w:t>500,000</w:t>
            </w:r>
          </w:p>
        </w:tc>
      </w:tr>
      <w:tr>
        <w:trPr>
          <w:trHeight w:val="215" w:hRule="atLeast"/>
        </w:trPr>
        <w:tc>
          <w:tcPr>
            <w:tcW w:w="3830" w:type="dxa"/>
            <w:shd w:val="clear" w:color="auto" w:fill="CCEDFF"/>
          </w:tcPr>
          <w:p>
            <w:pPr>
              <w:pStyle w:val="TableParagraph"/>
              <w:spacing w:before="17"/>
              <w:ind w:left="217"/>
              <w:rPr>
                <w:sz w:val="14"/>
              </w:rPr>
            </w:pPr>
            <w:r>
              <w:rPr>
                <w:sz w:val="14"/>
              </w:rPr>
              <w:t>Accounts</w:t>
            </w:r>
            <w:r>
              <w:rPr>
                <w:spacing w:val="11"/>
                <w:sz w:val="14"/>
              </w:rPr>
              <w:t> </w:t>
            </w:r>
            <w:r>
              <w:rPr>
                <w:sz w:val="14"/>
              </w:rPr>
              <w:t>receivable,</w:t>
            </w:r>
            <w:r>
              <w:rPr>
                <w:spacing w:val="11"/>
                <w:sz w:val="14"/>
              </w:rPr>
              <w:t> </w:t>
            </w:r>
            <w:r>
              <w:rPr>
                <w:spacing w:val="-5"/>
                <w:sz w:val="14"/>
              </w:rPr>
              <w:t>net</w:t>
            </w: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0"/>
              <w:rPr>
                <w:sz w:val="14"/>
              </w:rPr>
            </w:pPr>
          </w:p>
        </w:tc>
        <w:tc>
          <w:tcPr>
            <w:tcW w:w="1100" w:type="dxa"/>
            <w:shd w:val="clear" w:color="auto" w:fill="CCEDFF"/>
          </w:tcPr>
          <w:p>
            <w:pPr>
              <w:pStyle w:val="TableParagraph"/>
              <w:spacing w:before="17"/>
              <w:ind w:right="88"/>
              <w:jc w:val="right"/>
              <w:rPr>
                <w:sz w:val="14"/>
              </w:rPr>
            </w:pPr>
            <w:r>
              <w:rPr>
                <w:spacing w:val="-2"/>
                <w:sz w:val="14"/>
              </w:rPr>
              <w:t>852,149</w:t>
            </w:r>
          </w:p>
        </w:tc>
        <w:tc>
          <w:tcPr>
            <w:tcW w:w="1598" w:type="dxa"/>
            <w:shd w:val="clear" w:color="auto" w:fill="CCEDFF"/>
          </w:tcPr>
          <w:p>
            <w:pPr>
              <w:pStyle w:val="TableParagraph"/>
              <w:spacing w:before="17"/>
              <w:ind w:right="62"/>
              <w:jc w:val="right"/>
              <w:rPr>
                <w:sz w:val="14"/>
              </w:rPr>
            </w:pPr>
            <w:r>
              <w:rPr>
                <w:spacing w:val="-2"/>
                <w:sz w:val="14"/>
              </w:rPr>
              <w:t>583,915</w:t>
            </w:r>
          </w:p>
        </w:tc>
      </w:tr>
      <w:tr>
        <w:trPr>
          <w:trHeight w:val="215" w:hRule="atLeast"/>
        </w:trPr>
        <w:tc>
          <w:tcPr>
            <w:tcW w:w="3830" w:type="dxa"/>
          </w:tcPr>
          <w:p>
            <w:pPr>
              <w:pStyle w:val="TableParagraph"/>
              <w:spacing w:before="17"/>
              <w:ind w:left="217"/>
              <w:rPr>
                <w:sz w:val="14"/>
              </w:rPr>
            </w:pPr>
            <w:r>
              <w:rPr>
                <w:spacing w:val="-2"/>
                <w:sz w:val="14"/>
              </w:rPr>
              <w:t>Inventories</w:t>
            </w:r>
          </w:p>
        </w:tc>
        <w:tc>
          <w:tcPr>
            <w:tcW w:w="4019" w:type="dxa"/>
          </w:tcPr>
          <w:p>
            <w:pPr>
              <w:pStyle w:val="TableParagraph"/>
              <w:spacing w:before="0"/>
              <w:rPr>
                <w:sz w:val="14"/>
              </w:rPr>
            </w:pPr>
          </w:p>
        </w:tc>
        <w:tc>
          <w:tcPr>
            <w:tcW w:w="969" w:type="dxa"/>
          </w:tcPr>
          <w:p>
            <w:pPr>
              <w:pStyle w:val="TableParagraph"/>
              <w:spacing w:before="0"/>
              <w:rPr>
                <w:sz w:val="14"/>
              </w:rPr>
            </w:pPr>
          </w:p>
        </w:tc>
        <w:tc>
          <w:tcPr>
            <w:tcW w:w="1100" w:type="dxa"/>
          </w:tcPr>
          <w:p>
            <w:pPr>
              <w:pStyle w:val="TableParagraph"/>
              <w:spacing w:before="17"/>
              <w:ind w:right="88"/>
              <w:jc w:val="right"/>
              <w:rPr>
                <w:sz w:val="14"/>
              </w:rPr>
            </w:pPr>
            <w:r>
              <w:rPr>
                <w:spacing w:val="-2"/>
                <w:sz w:val="14"/>
              </w:rPr>
              <w:t>126,065</w:t>
            </w:r>
          </w:p>
        </w:tc>
        <w:tc>
          <w:tcPr>
            <w:tcW w:w="1598" w:type="dxa"/>
          </w:tcPr>
          <w:p>
            <w:pPr>
              <w:pStyle w:val="TableParagraph"/>
              <w:spacing w:before="17"/>
              <w:ind w:right="62"/>
              <w:jc w:val="right"/>
              <w:rPr>
                <w:sz w:val="14"/>
              </w:rPr>
            </w:pPr>
            <w:r>
              <w:rPr>
                <w:spacing w:val="-2"/>
                <w:sz w:val="14"/>
              </w:rPr>
              <w:t>96,374</w:t>
            </w:r>
          </w:p>
        </w:tc>
      </w:tr>
      <w:tr>
        <w:trPr>
          <w:trHeight w:val="229" w:hRule="atLeast"/>
        </w:trPr>
        <w:tc>
          <w:tcPr>
            <w:tcW w:w="3830" w:type="dxa"/>
            <w:shd w:val="clear" w:color="auto" w:fill="CCEDFF"/>
          </w:tcPr>
          <w:p>
            <w:pPr>
              <w:pStyle w:val="TableParagraph"/>
              <w:spacing w:before="17"/>
              <w:ind w:left="217"/>
              <w:rPr>
                <w:sz w:val="14"/>
              </w:rPr>
            </w:pPr>
            <w:r>
              <w:rPr>
                <w:sz w:val="14"/>
              </w:rPr>
              <w:t>Income</w:t>
            </w:r>
            <w:r>
              <w:rPr>
                <w:spacing w:val="5"/>
                <w:sz w:val="14"/>
              </w:rPr>
              <w:t> </w:t>
            </w:r>
            <w:r>
              <w:rPr>
                <w:sz w:val="14"/>
              </w:rPr>
              <w:t>tax</w:t>
            </w:r>
            <w:r>
              <w:rPr>
                <w:spacing w:val="6"/>
                <w:sz w:val="14"/>
              </w:rPr>
              <w:t> </w:t>
            </w:r>
            <w:r>
              <w:rPr>
                <w:spacing w:val="-2"/>
                <w:sz w:val="14"/>
              </w:rPr>
              <w:t>receivable</w:t>
            </w: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0"/>
              <w:rPr>
                <w:sz w:val="14"/>
              </w:rPr>
            </w:pPr>
          </w:p>
        </w:tc>
        <w:tc>
          <w:tcPr>
            <w:tcW w:w="1100" w:type="dxa"/>
            <w:shd w:val="clear" w:color="auto" w:fill="CCEDFF"/>
          </w:tcPr>
          <w:p>
            <w:pPr>
              <w:pStyle w:val="TableParagraph"/>
              <w:spacing w:before="17"/>
              <w:ind w:right="88"/>
              <w:jc w:val="right"/>
              <w:rPr>
                <w:sz w:val="14"/>
              </w:rPr>
            </w:pPr>
            <w:r>
              <w:rPr>
                <w:spacing w:val="-2"/>
                <w:sz w:val="14"/>
              </w:rPr>
              <w:t>73,016</w:t>
            </w:r>
          </w:p>
        </w:tc>
        <w:tc>
          <w:tcPr>
            <w:tcW w:w="1598" w:type="dxa"/>
            <w:shd w:val="clear" w:color="auto" w:fill="CCEDFF"/>
          </w:tcPr>
          <w:p>
            <w:pPr>
              <w:pStyle w:val="TableParagraph"/>
              <w:spacing w:before="17"/>
              <w:ind w:right="62"/>
              <w:jc w:val="right"/>
              <w:rPr>
                <w:sz w:val="14"/>
              </w:rPr>
            </w:pPr>
            <w:r>
              <w:rPr>
                <w:spacing w:val="-2"/>
                <w:sz w:val="14"/>
              </w:rPr>
              <w:t>273,862</w:t>
            </w:r>
          </w:p>
        </w:tc>
      </w:tr>
      <w:tr>
        <w:trPr>
          <w:trHeight w:val="215" w:hRule="atLeast"/>
        </w:trPr>
        <w:tc>
          <w:tcPr>
            <w:tcW w:w="3830" w:type="dxa"/>
          </w:tcPr>
          <w:p>
            <w:pPr>
              <w:pStyle w:val="TableParagraph"/>
              <w:spacing w:before="17"/>
              <w:ind w:left="217"/>
              <w:rPr>
                <w:sz w:val="14"/>
              </w:rPr>
            </w:pPr>
            <w:r>
              <w:rPr>
                <w:sz w:val="14"/>
              </w:rPr>
              <w:t>Prepaid</w:t>
            </w:r>
            <w:r>
              <w:rPr>
                <w:spacing w:val="7"/>
                <w:sz w:val="14"/>
              </w:rPr>
              <w:t> </w:t>
            </w:r>
            <w:r>
              <w:rPr>
                <w:sz w:val="14"/>
              </w:rPr>
              <w:t>expenses</w:t>
            </w:r>
            <w:r>
              <w:rPr>
                <w:spacing w:val="8"/>
                <w:sz w:val="14"/>
              </w:rPr>
              <w:t> </w:t>
            </w:r>
            <w:r>
              <w:rPr>
                <w:sz w:val="14"/>
              </w:rPr>
              <w:t>and</w:t>
            </w:r>
            <w:r>
              <w:rPr>
                <w:spacing w:val="7"/>
                <w:sz w:val="14"/>
              </w:rPr>
              <w:t> </w:t>
            </w:r>
            <w:r>
              <w:rPr>
                <w:spacing w:val="-2"/>
                <w:sz w:val="14"/>
              </w:rPr>
              <w:t>other</w:t>
            </w:r>
          </w:p>
        </w:tc>
        <w:tc>
          <w:tcPr>
            <w:tcW w:w="4019" w:type="dxa"/>
          </w:tcPr>
          <w:p>
            <w:pPr>
              <w:pStyle w:val="TableParagraph"/>
              <w:spacing w:before="0"/>
              <w:rPr>
                <w:sz w:val="14"/>
              </w:rPr>
            </w:pPr>
          </w:p>
        </w:tc>
        <w:tc>
          <w:tcPr>
            <w:tcW w:w="969" w:type="dxa"/>
          </w:tcPr>
          <w:p>
            <w:pPr>
              <w:pStyle w:val="TableParagraph"/>
              <w:spacing w:before="0"/>
              <w:rPr>
                <w:sz w:val="14"/>
              </w:rPr>
            </w:pPr>
          </w:p>
        </w:tc>
        <w:tc>
          <w:tcPr>
            <w:tcW w:w="1100" w:type="dxa"/>
          </w:tcPr>
          <w:p>
            <w:pPr>
              <w:pStyle w:val="TableParagraph"/>
              <w:spacing w:before="17"/>
              <w:ind w:right="88"/>
              <w:jc w:val="right"/>
              <w:rPr>
                <w:sz w:val="14"/>
              </w:rPr>
            </w:pPr>
            <w:r>
              <w:rPr>
                <w:spacing w:val="-2"/>
                <w:sz w:val="14"/>
              </w:rPr>
              <w:t>583,132</w:t>
            </w:r>
          </w:p>
        </w:tc>
        <w:tc>
          <w:tcPr>
            <w:tcW w:w="1598" w:type="dxa"/>
          </w:tcPr>
          <w:p>
            <w:pPr>
              <w:pStyle w:val="TableParagraph"/>
              <w:spacing w:before="17"/>
              <w:ind w:right="62"/>
              <w:jc w:val="right"/>
              <w:rPr>
                <w:sz w:val="14"/>
              </w:rPr>
            </w:pPr>
            <w:r>
              <w:rPr>
                <w:spacing w:val="-2"/>
                <w:sz w:val="14"/>
              </w:rPr>
              <w:t>258,972</w:t>
            </w:r>
          </w:p>
        </w:tc>
      </w:tr>
      <w:tr>
        <w:trPr>
          <w:trHeight w:val="215" w:hRule="atLeast"/>
        </w:trPr>
        <w:tc>
          <w:tcPr>
            <w:tcW w:w="3830" w:type="dxa"/>
            <w:shd w:val="clear" w:color="auto" w:fill="CCEDFF"/>
          </w:tcPr>
          <w:p>
            <w:pPr>
              <w:pStyle w:val="TableParagraph"/>
              <w:spacing w:before="17"/>
              <w:ind w:left="217"/>
              <w:rPr>
                <w:sz w:val="14"/>
              </w:rPr>
            </w:pPr>
            <w:r>
              <w:rPr>
                <w:sz w:val="14"/>
              </w:rPr>
              <w:t>Assets</w:t>
            </w:r>
            <w:r>
              <w:rPr>
                <w:spacing w:val="5"/>
                <w:sz w:val="14"/>
              </w:rPr>
              <w:t> </w:t>
            </w:r>
            <w:r>
              <w:rPr>
                <w:sz w:val="14"/>
              </w:rPr>
              <w:t>held</w:t>
            </w:r>
            <w:r>
              <w:rPr>
                <w:spacing w:val="5"/>
                <w:sz w:val="14"/>
              </w:rPr>
              <w:t> </w:t>
            </w:r>
            <w:r>
              <w:rPr>
                <w:sz w:val="14"/>
              </w:rPr>
              <w:t>for</w:t>
            </w:r>
            <w:r>
              <w:rPr>
                <w:spacing w:val="5"/>
                <w:sz w:val="14"/>
              </w:rPr>
              <w:t> </w:t>
            </w:r>
            <w:r>
              <w:rPr>
                <w:spacing w:val="-4"/>
                <w:sz w:val="14"/>
              </w:rPr>
              <w:t>sale</w:t>
            </w:r>
          </w:p>
        </w:tc>
        <w:tc>
          <w:tcPr>
            <w:tcW w:w="4019" w:type="dxa"/>
            <w:shd w:val="clear" w:color="auto" w:fill="CCEDFF"/>
          </w:tcPr>
          <w:p>
            <w:pPr>
              <w:pStyle w:val="TableParagraph"/>
              <w:spacing w:before="0"/>
              <w:rPr>
                <w:sz w:val="14"/>
              </w:rPr>
            </w:pPr>
          </w:p>
        </w:tc>
        <w:tc>
          <w:tcPr>
            <w:tcW w:w="969" w:type="dxa"/>
            <w:tcBorders>
              <w:bottom w:val="single" w:sz="6" w:space="0" w:color="000000"/>
            </w:tcBorders>
            <w:shd w:val="clear" w:color="auto" w:fill="CCEDFF"/>
          </w:tcPr>
          <w:p>
            <w:pPr>
              <w:pStyle w:val="TableParagraph"/>
              <w:spacing w:before="0"/>
              <w:rPr>
                <w:sz w:val="14"/>
              </w:rPr>
            </w:pPr>
          </w:p>
        </w:tc>
        <w:tc>
          <w:tcPr>
            <w:tcW w:w="1100" w:type="dxa"/>
            <w:tcBorders>
              <w:bottom w:val="single" w:sz="6" w:space="0" w:color="000000"/>
            </w:tcBorders>
            <w:shd w:val="clear" w:color="auto" w:fill="CCEDFF"/>
          </w:tcPr>
          <w:p>
            <w:pPr>
              <w:pStyle w:val="TableParagraph"/>
              <w:spacing w:before="17"/>
              <w:ind w:right="88"/>
              <w:jc w:val="right"/>
              <w:rPr>
                <w:sz w:val="14"/>
              </w:rPr>
            </w:pPr>
            <w:r>
              <w:rPr>
                <w:spacing w:val="-2"/>
                <w:sz w:val="14"/>
              </w:rPr>
              <w:t>608,437</w:t>
            </w:r>
          </w:p>
        </w:tc>
        <w:tc>
          <w:tcPr>
            <w:tcW w:w="1598" w:type="dxa"/>
            <w:tcBorders>
              <w:bottom w:val="single" w:sz="6" w:space="0" w:color="000000"/>
            </w:tcBorders>
            <w:shd w:val="clear" w:color="auto" w:fill="CCEDFF"/>
          </w:tcPr>
          <w:p>
            <w:pPr>
              <w:pStyle w:val="TableParagraph"/>
              <w:spacing w:before="17"/>
              <w:ind w:right="62"/>
              <w:jc w:val="right"/>
              <w:rPr>
                <w:sz w:val="14"/>
              </w:rPr>
            </w:pPr>
            <w:r>
              <w:rPr>
                <w:spacing w:val="-10"/>
                <w:sz w:val="14"/>
              </w:rPr>
              <w:t>—</w:t>
            </w:r>
          </w:p>
        </w:tc>
      </w:tr>
      <w:tr>
        <w:trPr>
          <w:trHeight w:val="215" w:hRule="atLeast"/>
        </w:trPr>
        <w:tc>
          <w:tcPr>
            <w:tcW w:w="3830" w:type="dxa"/>
          </w:tcPr>
          <w:p>
            <w:pPr>
              <w:pStyle w:val="TableParagraph"/>
              <w:spacing w:before="17"/>
              <w:ind w:left="462"/>
              <w:rPr>
                <w:sz w:val="14"/>
              </w:rPr>
            </w:pPr>
            <w:r>
              <w:rPr>
                <w:sz w:val="14"/>
              </w:rPr>
              <w:t>Total</w:t>
            </w:r>
            <w:r>
              <w:rPr>
                <w:spacing w:val="1"/>
                <w:sz w:val="14"/>
              </w:rPr>
              <w:t> </w:t>
            </w:r>
            <w:r>
              <w:rPr>
                <w:sz w:val="14"/>
              </w:rPr>
              <w:t>current</w:t>
            </w:r>
            <w:r>
              <w:rPr>
                <w:spacing w:val="1"/>
                <w:sz w:val="14"/>
              </w:rPr>
              <w:t> </w:t>
            </w:r>
            <w:r>
              <w:rPr>
                <w:spacing w:val="-2"/>
                <w:sz w:val="14"/>
              </w:rPr>
              <w:t>assets</w:t>
            </w:r>
          </w:p>
        </w:tc>
        <w:tc>
          <w:tcPr>
            <w:tcW w:w="4019" w:type="dxa"/>
          </w:tcPr>
          <w:p>
            <w:pPr>
              <w:pStyle w:val="TableParagraph"/>
              <w:spacing w:before="0"/>
              <w:rPr>
                <w:sz w:val="14"/>
              </w:rPr>
            </w:pPr>
          </w:p>
        </w:tc>
        <w:tc>
          <w:tcPr>
            <w:tcW w:w="969" w:type="dxa"/>
            <w:tcBorders>
              <w:top w:val="single" w:sz="6" w:space="0" w:color="000000"/>
            </w:tcBorders>
          </w:tcPr>
          <w:p>
            <w:pPr>
              <w:pStyle w:val="TableParagraph"/>
              <w:spacing w:before="0"/>
              <w:rPr>
                <w:sz w:val="14"/>
              </w:rPr>
            </w:pPr>
          </w:p>
        </w:tc>
        <w:tc>
          <w:tcPr>
            <w:tcW w:w="1100" w:type="dxa"/>
            <w:tcBorders>
              <w:top w:val="single" w:sz="6" w:space="0" w:color="000000"/>
            </w:tcBorders>
          </w:tcPr>
          <w:p>
            <w:pPr>
              <w:pStyle w:val="TableParagraph"/>
              <w:spacing w:before="17"/>
              <w:ind w:right="88"/>
              <w:jc w:val="right"/>
              <w:rPr>
                <w:sz w:val="14"/>
              </w:rPr>
            </w:pPr>
            <w:r>
              <w:rPr>
                <w:spacing w:val="-2"/>
                <w:sz w:val="14"/>
              </w:rPr>
              <w:t>8,154,692</w:t>
            </w:r>
          </w:p>
        </w:tc>
        <w:tc>
          <w:tcPr>
            <w:tcW w:w="1598" w:type="dxa"/>
            <w:tcBorders>
              <w:top w:val="single" w:sz="6" w:space="0" w:color="000000"/>
            </w:tcBorders>
          </w:tcPr>
          <w:p>
            <w:pPr>
              <w:pStyle w:val="TableParagraph"/>
              <w:spacing w:before="17"/>
              <w:ind w:right="62"/>
              <w:jc w:val="right"/>
              <w:rPr>
                <w:sz w:val="14"/>
              </w:rPr>
            </w:pPr>
            <w:r>
              <w:rPr>
                <w:spacing w:val="-2"/>
                <w:sz w:val="14"/>
              </w:rPr>
              <w:t>6,416,182</w:t>
            </w:r>
          </w:p>
        </w:tc>
      </w:tr>
      <w:tr>
        <w:trPr>
          <w:trHeight w:val="215" w:hRule="atLeast"/>
        </w:trPr>
        <w:tc>
          <w:tcPr>
            <w:tcW w:w="3830" w:type="dxa"/>
            <w:shd w:val="clear" w:color="auto" w:fill="CCEDFF"/>
          </w:tcPr>
          <w:p>
            <w:pPr>
              <w:pStyle w:val="TableParagraph"/>
              <w:spacing w:before="0"/>
              <w:rPr>
                <w:sz w:val="14"/>
              </w:rPr>
            </w:pP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0"/>
              <w:rPr>
                <w:sz w:val="14"/>
              </w:rPr>
            </w:pPr>
          </w:p>
        </w:tc>
        <w:tc>
          <w:tcPr>
            <w:tcW w:w="1100" w:type="dxa"/>
            <w:shd w:val="clear" w:color="auto" w:fill="CCEDFF"/>
          </w:tcPr>
          <w:p>
            <w:pPr>
              <w:pStyle w:val="TableParagraph"/>
              <w:spacing w:before="0"/>
              <w:rPr>
                <w:sz w:val="14"/>
              </w:rPr>
            </w:pPr>
          </w:p>
        </w:tc>
        <w:tc>
          <w:tcPr>
            <w:tcW w:w="1598" w:type="dxa"/>
            <w:shd w:val="clear" w:color="auto" w:fill="CCEDFF"/>
          </w:tcPr>
          <w:p>
            <w:pPr>
              <w:pStyle w:val="TableParagraph"/>
              <w:spacing w:before="0"/>
              <w:rPr>
                <w:sz w:val="14"/>
              </w:rPr>
            </w:pPr>
          </w:p>
        </w:tc>
      </w:tr>
      <w:tr>
        <w:trPr>
          <w:trHeight w:val="215" w:hRule="atLeast"/>
        </w:trPr>
        <w:tc>
          <w:tcPr>
            <w:tcW w:w="3830" w:type="dxa"/>
          </w:tcPr>
          <w:p>
            <w:pPr>
              <w:pStyle w:val="TableParagraph"/>
              <w:spacing w:before="17"/>
              <w:ind w:left="17"/>
              <w:rPr>
                <w:b/>
                <w:sz w:val="14"/>
              </w:rPr>
            </w:pPr>
            <w:r>
              <w:rPr>
                <w:b/>
                <w:sz w:val="14"/>
              </w:rPr>
              <w:t>Property</w:t>
            </w:r>
            <w:r>
              <w:rPr>
                <w:b/>
                <w:spacing w:val="8"/>
                <w:sz w:val="14"/>
              </w:rPr>
              <w:t> </w:t>
            </w:r>
            <w:r>
              <w:rPr>
                <w:b/>
                <w:sz w:val="14"/>
              </w:rPr>
              <w:t>and</w:t>
            </w:r>
            <w:r>
              <w:rPr>
                <w:b/>
                <w:spacing w:val="9"/>
                <w:sz w:val="14"/>
              </w:rPr>
              <w:t> </w:t>
            </w:r>
            <w:r>
              <w:rPr>
                <w:b/>
                <w:sz w:val="14"/>
              </w:rPr>
              <w:t>equipment,</w:t>
            </w:r>
            <w:r>
              <w:rPr>
                <w:b/>
                <w:spacing w:val="8"/>
                <w:sz w:val="14"/>
              </w:rPr>
              <w:t> </w:t>
            </w:r>
            <w:r>
              <w:rPr>
                <w:b/>
                <w:spacing w:val="-5"/>
                <w:sz w:val="14"/>
              </w:rPr>
              <w:t>net</w:t>
            </w:r>
          </w:p>
        </w:tc>
        <w:tc>
          <w:tcPr>
            <w:tcW w:w="4019" w:type="dxa"/>
          </w:tcPr>
          <w:p>
            <w:pPr>
              <w:pStyle w:val="TableParagraph"/>
              <w:spacing w:before="0"/>
              <w:rPr>
                <w:sz w:val="14"/>
              </w:rPr>
            </w:pPr>
          </w:p>
        </w:tc>
        <w:tc>
          <w:tcPr>
            <w:tcW w:w="969" w:type="dxa"/>
          </w:tcPr>
          <w:p>
            <w:pPr>
              <w:pStyle w:val="TableParagraph"/>
              <w:spacing w:before="0"/>
              <w:rPr>
                <w:sz w:val="14"/>
              </w:rPr>
            </w:pPr>
          </w:p>
        </w:tc>
        <w:tc>
          <w:tcPr>
            <w:tcW w:w="1100" w:type="dxa"/>
          </w:tcPr>
          <w:p>
            <w:pPr>
              <w:pStyle w:val="TableParagraph"/>
              <w:spacing w:before="17"/>
              <w:ind w:right="88"/>
              <w:jc w:val="right"/>
              <w:rPr>
                <w:sz w:val="14"/>
              </w:rPr>
            </w:pPr>
            <w:r>
              <w:rPr>
                <w:spacing w:val="-2"/>
                <w:sz w:val="14"/>
              </w:rPr>
              <w:t>5,223,928</w:t>
            </w:r>
          </w:p>
        </w:tc>
        <w:tc>
          <w:tcPr>
            <w:tcW w:w="1598" w:type="dxa"/>
          </w:tcPr>
          <w:p>
            <w:pPr>
              <w:pStyle w:val="TableParagraph"/>
              <w:spacing w:before="17"/>
              <w:ind w:right="62"/>
              <w:jc w:val="right"/>
              <w:rPr>
                <w:sz w:val="14"/>
              </w:rPr>
            </w:pPr>
            <w:r>
              <w:rPr>
                <w:spacing w:val="-2"/>
                <w:sz w:val="14"/>
              </w:rPr>
              <w:t>14,435,493</w:t>
            </w:r>
          </w:p>
        </w:tc>
      </w:tr>
      <w:tr>
        <w:trPr>
          <w:trHeight w:val="229" w:hRule="atLeast"/>
        </w:trPr>
        <w:tc>
          <w:tcPr>
            <w:tcW w:w="3830" w:type="dxa"/>
            <w:shd w:val="clear" w:color="auto" w:fill="CCEDFF"/>
          </w:tcPr>
          <w:p>
            <w:pPr>
              <w:pStyle w:val="TableParagraph"/>
              <w:spacing w:before="0"/>
              <w:rPr>
                <w:sz w:val="14"/>
              </w:rPr>
            </w:pP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0"/>
              <w:rPr>
                <w:sz w:val="14"/>
              </w:rPr>
            </w:pPr>
          </w:p>
        </w:tc>
        <w:tc>
          <w:tcPr>
            <w:tcW w:w="1100" w:type="dxa"/>
            <w:shd w:val="clear" w:color="auto" w:fill="CCEDFF"/>
          </w:tcPr>
          <w:p>
            <w:pPr>
              <w:pStyle w:val="TableParagraph"/>
              <w:spacing w:before="0"/>
              <w:rPr>
                <w:sz w:val="14"/>
              </w:rPr>
            </w:pPr>
          </w:p>
        </w:tc>
        <w:tc>
          <w:tcPr>
            <w:tcW w:w="1598" w:type="dxa"/>
            <w:shd w:val="clear" w:color="auto" w:fill="CCEDFF"/>
          </w:tcPr>
          <w:p>
            <w:pPr>
              <w:pStyle w:val="TableParagraph"/>
              <w:spacing w:before="0"/>
              <w:rPr>
                <w:sz w:val="14"/>
              </w:rPr>
            </w:pPr>
          </w:p>
        </w:tc>
      </w:tr>
      <w:tr>
        <w:trPr>
          <w:trHeight w:val="215" w:hRule="atLeast"/>
        </w:trPr>
        <w:tc>
          <w:tcPr>
            <w:tcW w:w="3830" w:type="dxa"/>
          </w:tcPr>
          <w:p>
            <w:pPr>
              <w:pStyle w:val="TableParagraph"/>
              <w:spacing w:before="17"/>
              <w:ind w:left="17"/>
              <w:rPr>
                <w:b/>
                <w:sz w:val="14"/>
              </w:rPr>
            </w:pPr>
            <w:r>
              <w:rPr>
                <w:b/>
                <w:sz w:val="14"/>
              </w:rPr>
              <w:t>Other</w:t>
            </w:r>
            <w:r>
              <w:rPr>
                <w:b/>
                <w:spacing w:val="5"/>
                <w:sz w:val="14"/>
              </w:rPr>
              <w:t> </w:t>
            </w:r>
            <w:r>
              <w:rPr>
                <w:b/>
                <w:spacing w:val="-2"/>
                <w:sz w:val="14"/>
              </w:rPr>
              <w:t>assets</w:t>
            </w:r>
          </w:p>
        </w:tc>
        <w:tc>
          <w:tcPr>
            <w:tcW w:w="4019" w:type="dxa"/>
          </w:tcPr>
          <w:p>
            <w:pPr>
              <w:pStyle w:val="TableParagraph"/>
              <w:spacing w:before="0"/>
              <w:rPr>
                <w:sz w:val="14"/>
              </w:rPr>
            </w:pPr>
          </w:p>
        </w:tc>
        <w:tc>
          <w:tcPr>
            <w:tcW w:w="969" w:type="dxa"/>
          </w:tcPr>
          <w:p>
            <w:pPr>
              <w:pStyle w:val="TableParagraph"/>
              <w:spacing w:before="0"/>
              <w:rPr>
                <w:sz w:val="14"/>
              </w:rPr>
            </w:pPr>
          </w:p>
        </w:tc>
        <w:tc>
          <w:tcPr>
            <w:tcW w:w="1100" w:type="dxa"/>
          </w:tcPr>
          <w:p>
            <w:pPr>
              <w:pStyle w:val="TableParagraph"/>
              <w:spacing w:before="0"/>
              <w:rPr>
                <w:sz w:val="14"/>
              </w:rPr>
            </w:pPr>
          </w:p>
        </w:tc>
        <w:tc>
          <w:tcPr>
            <w:tcW w:w="1598" w:type="dxa"/>
          </w:tcPr>
          <w:p>
            <w:pPr>
              <w:pStyle w:val="TableParagraph"/>
              <w:spacing w:before="0"/>
              <w:rPr>
                <w:sz w:val="14"/>
              </w:rPr>
            </w:pPr>
          </w:p>
        </w:tc>
      </w:tr>
      <w:tr>
        <w:trPr>
          <w:trHeight w:val="215" w:hRule="atLeast"/>
        </w:trPr>
        <w:tc>
          <w:tcPr>
            <w:tcW w:w="3830" w:type="dxa"/>
            <w:shd w:val="clear" w:color="auto" w:fill="CCEDFF"/>
          </w:tcPr>
          <w:p>
            <w:pPr>
              <w:pStyle w:val="TableParagraph"/>
              <w:spacing w:before="17"/>
              <w:ind w:left="217"/>
              <w:rPr>
                <w:sz w:val="14"/>
              </w:rPr>
            </w:pPr>
            <w:r>
              <w:rPr>
                <w:sz w:val="14"/>
              </w:rPr>
              <w:t>Investments</w:t>
            </w:r>
            <w:r>
              <w:rPr>
                <w:spacing w:val="8"/>
                <w:sz w:val="14"/>
              </w:rPr>
              <w:t> </w:t>
            </w:r>
            <w:r>
              <w:rPr>
                <w:sz w:val="14"/>
              </w:rPr>
              <w:t>in</w:t>
            </w:r>
            <w:r>
              <w:rPr>
                <w:spacing w:val="8"/>
                <w:sz w:val="14"/>
              </w:rPr>
              <w:t> </w:t>
            </w:r>
            <w:r>
              <w:rPr>
                <w:sz w:val="14"/>
              </w:rPr>
              <w:t>and</w:t>
            </w:r>
            <w:r>
              <w:rPr>
                <w:spacing w:val="8"/>
                <w:sz w:val="14"/>
              </w:rPr>
              <w:t> </w:t>
            </w:r>
            <w:r>
              <w:rPr>
                <w:sz w:val="14"/>
              </w:rPr>
              <w:t>advances</w:t>
            </w:r>
            <w:r>
              <w:rPr>
                <w:spacing w:val="8"/>
                <w:sz w:val="14"/>
              </w:rPr>
              <w:t> </w:t>
            </w:r>
            <w:r>
              <w:rPr>
                <w:sz w:val="14"/>
              </w:rPr>
              <w:t>to</w:t>
            </w:r>
            <w:r>
              <w:rPr>
                <w:spacing w:val="8"/>
                <w:sz w:val="14"/>
              </w:rPr>
              <w:t> </w:t>
            </w:r>
            <w:r>
              <w:rPr>
                <w:sz w:val="14"/>
              </w:rPr>
              <w:t>unconsolidated</w:t>
            </w:r>
            <w:r>
              <w:rPr>
                <w:spacing w:val="9"/>
                <w:sz w:val="14"/>
              </w:rPr>
              <w:t> </w:t>
            </w:r>
            <w:r>
              <w:rPr>
                <w:spacing w:val="-2"/>
                <w:sz w:val="14"/>
              </w:rPr>
              <w:t>affiliates</w:t>
            </w: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0"/>
              <w:rPr>
                <w:sz w:val="14"/>
              </w:rPr>
            </w:pPr>
          </w:p>
        </w:tc>
        <w:tc>
          <w:tcPr>
            <w:tcW w:w="1100" w:type="dxa"/>
            <w:shd w:val="clear" w:color="auto" w:fill="CCEDFF"/>
          </w:tcPr>
          <w:p>
            <w:pPr>
              <w:pStyle w:val="TableParagraph"/>
              <w:spacing w:before="17"/>
              <w:ind w:right="88"/>
              <w:jc w:val="right"/>
              <w:rPr>
                <w:sz w:val="14"/>
              </w:rPr>
            </w:pPr>
            <w:r>
              <w:rPr>
                <w:spacing w:val="-2"/>
                <w:sz w:val="14"/>
              </w:rPr>
              <w:t>173,039</w:t>
            </w:r>
          </w:p>
        </w:tc>
        <w:tc>
          <w:tcPr>
            <w:tcW w:w="1598" w:type="dxa"/>
            <w:shd w:val="clear" w:color="auto" w:fill="CCEDFF"/>
          </w:tcPr>
          <w:p>
            <w:pPr>
              <w:pStyle w:val="TableParagraph"/>
              <w:spacing w:before="17"/>
              <w:ind w:right="62"/>
              <w:jc w:val="right"/>
              <w:rPr>
                <w:sz w:val="14"/>
              </w:rPr>
            </w:pPr>
            <w:r>
              <w:rPr>
                <w:spacing w:val="-2"/>
                <w:sz w:val="14"/>
              </w:rPr>
              <w:t>967,044</w:t>
            </w:r>
          </w:p>
        </w:tc>
      </w:tr>
      <w:tr>
        <w:trPr>
          <w:trHeight w:val="215" w:hRule="atLeast"/>
        </w:trPr>
        <w:tc>
          <w:tcPr>
            <w:tcW w:w="3830" w:type="dxa"/>
          </w:tcPr>
          <w:p>
            <w:pPr>
              <w:pStyle w:val="TableParagraph"/>
              <w:spacing w:before="17"/>
              <w:ind w:left="217"/>
              <w:rPr>
                <w:sz w:val="14"/>
              </w:rPr>
            </w:pPr>
            <w:r>
              <w:rPr>
                <w:spacing w:val="-2"/>
                <w:sz w:val="14"/>
              </w:rPr>
              <w:t>Goodwill</w:t>
            </w:r>
          </w:p>
        </w:tc>
        <w:tc>
          <w:tcPr>
            <w:tcW w:w="4019" w:type="dxa"/>
          </w:tcPr>
          <w:p>
            <w:pPr>
              <w:pStyle w:val="TableParagraph"/>
              <w:spacing w:before="0"/>
              <w:rPr>
                <w:sz w:val="14"/>
              </w:rPr>
            </w:pPr>
          </w:p>
        </w:tc>
        <w:tc>
          <w:tcPr>
            <w:tcW w:w="969" w:type="dxa"/>
          </w:tcPr>
          <w:p>
            <w:pPr>
              <w:pStyle w:val="TableParagraph"/>
              <w:spacing w:before="0"/>
              <w:rPr>
                <w:sz w:val="14"/>
              </w:rPr>
            </w:pPr>
          </w:p>
        </w:tc>
        <w:tc>
          <w:tcPr>
            <w:tcW w:w="1100" w:type="dxa"/>
          </w:tcPr>
          <w:p>
            <w:pPr>
              <w:pStyle w:val="TableParagraph"/>
              <w:spacing w:before="17"/>
              <w:ind w:right="88"/>
              <w:jc w:val="right"/>
              <w:rPr>
                <w:sz w:val="14"/>
              </w:rPr>
            </w:pPr>
            <w:r>
              <w:rPr>
                <w:spacing w:val="-2"/>
                <w:sz w:val="14"/>
              </w:rPr>
              <w:t>5,029,312</w:t>
            </w:r>
          </w:p>
        </w:tc>
        <w:tc>
          <w:tcPr>
            <w:tcW w:w="1598" w:type="dxa"/>
          </w:tcPr>
          <w:p>
            <w:pPr>
              <w:pStyle w:val="TableParagraph"/>
              <w:spacing w:before="17"/>
              <w:ind w:right="62"/>
              <w:jc w:val="right"/>
              <w:rPr>
                <w:sz w:val="14"/>
              </w:rPr>
            </w:pPr>
            <w:r>
              <w:rPr>
                <w:spacing w:val="-2"/>
                <w:sz w:val="14"/>
              </w:rPr>
              <w:t>3,480,997</w:t>
            </w:r>
          </w:p>
        </w:tc>
      </w:tr>
      <w:tr>
        <w:trPr>
          <w:trHeight w:val="215" w:hRule="atLeast"/>
        </w:trPr>
        <w:tc>
          <w:tcPr>
            <w:tcW w:w="3830" w:type="dxa"/>
            <w:shd w:val="clear" w:color="auto" w:fill="CCEDFF"/>
          </w:tcPr>
          <w:p>
            <w:pPr>
              <w:pStyle w:val="TableParagraph"/>
              <w:spacing w:before="17"/>
              <w:ind w:left="217"/>
              <w:rPr>
                <w:sz w:val="14"/>
              </w:rPr>
            </w:pPr>
            <w:r>
              <w:rPr>
                <w:sz w:val="14"/>
              </w:rPr>
              <w:t>Other</w:t>
            </w:r>
            <w:r>
              <w:rPr>
                <w:spacing w:val="8"/>
                <w:sz w:val="14"/>
              </w:rPr>
              <w:t> </w:t>
            </w:r>
            <w:r>
              <w:rPr>
                <w:sz w:val="14"/>
              </w:rPr>
              <w:t>intangible</w:t>
            </w:r>
            <w:r>
              <w:rPr>
                <w:spacing w:val="8"/>
                <w:sz w:val="14"/>
              </w:rPr>
              <w:t> </w:t>
            </w:r>
            <w:r>
              <w:rPr>
                <w:sz w:val="14"/>
              </w:rPr>
              <w:t>assets,</w:t>
            </w:r>
            <w:r>
              <w:rPr>
                <w:spacing w:val="8"/>
                <w:sz w:val="14"/>
              </w:rPr>
              <w:t> </w:t>
            </w:r>
            <w:r>
              <w:rPr>
                <w:spacing w:val="-5"/>
                <w:sz w:val="14"/>
              </w:rPr>
              <w:t>net</w:t>
            </w: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0"/>
              <w:rPr>
                <w:sz w:val="14"/>
              </w:rPr>
            </w:pPr>
          </w:p>
        </w:tc>
        <w:tc>
          <w:tcPr>
            <w:tcW w:w="1100" w:type="dxa"/>
            <w:shd w:val="clear" w:color="auto" w:fill="CCEDFF"/>
          </w:tcPr>
          <w:p>
            <w:pPr>
              <w:pStyle w:val="TableParagraph"/>
              <w:spacing w:before="17"/>
              <w:ind w:right="88"/>
              <w:jc w:val="right"/>
              <w:rPr>
                <w:sz w:val="14"/>
              </w:rPr>
            </w:pPr>
            <w:r>
              <w:rPr>
                <w:spacing w:val="-2"/>
                <w:sz w:val="14"/>
              </w:rPr>
              <w:t>1,551,252</w:t>
            </w:r>
          </w:p>
        </w:tc>
        <w:tc>
          <w:tcPr>
            <w:tcW w:w="1598" w:type="dxa"/>
            <w:shd w:val="clear" w:color="auto" w:fill="CCEDFF"/>
          </w:tcPr>
          <w:p>
            <w:pPr>
              <w:pStyle w:val="TableParagraph"/>
              <w:spacing w:before="17"/>
              <w:ind w:right="62"/>
              <w:jc w:val="right"/>
              <w:rPr>
                <w:sz w:val="14"/>
              </w:rPr>
            </w:pPr>
            <w:r>
              <w:rPr>
                <w:spacing w:val="-2"/>
                <w:sz w:val="14"/>
              </w:rPr>
              <w:t>3,616,385</w:t>
            </w:r>
          </w:p>
        </w:tc>
      </w:tr>
      <w:tr>
        <w:trPr>
          <w:trHeight w:val="215" w:hRule="atLeast"/>
        </w:trPr>
        <w:tc>
          <w:tcPr>
            <w:tcW w:w="3830" w:type="dxa"/>
          </w:tcPr>
          <w:p>
            <w:pPr>
              <w:pStyle w:val="TableParagraph"/>
              <w:spacing w:before="17"/>
              <w:ind w:left="217"/>
              <w:rPr>
                <w:sz w:val="14"/>
              </w:rPr>
            </w:pPr>
            <w:r>
              <w:rPr>
                <w:sz w:val="14"/>
              </w:rPr>
              <w:t>Operating</w:t>
            </w:r>
            <w:r>
              <w:rPr>
                <w:spacing w:val="9"/>
                <w:sz w:val="14"/>
              </w:rPr>
              <w:t> </w:t>
            </w:r>
            <w:r>
              <w:rPr>
                <w:sz w:val="14"/>
              </w:rPr>
              <w:t>lease</w:t>
            </w:r>
            <w:r>
              <w:rPr>
                <w:spacing w:val="9"/>
                <w:sz w:val="14"/>
              </w:rPr>
              <w:t> </w:t>
            </w:r>
            <w:r>
              <w:rPr>
                <w:sz w:val="14"/>
              </w:rPr>
              <w:t>right-of-use</w:t>
            </w:r>
            <w:r>
              <w:rPr>
                <w:spacing w:val="9"/>
                <w:sz w:val="14"/>
              </w:rPr>
              <w:t> </w:t>
            </w:r>
            <w:r>
              <w:rPr>
                <w:sz w:val="14"/>
              </w:rPr>
              <w:t>assets,</w:t>
            </w:r>
            <w:r>
              <w:rPr>
                <w:spacing w:val="10"/>
                <w:sz w:val="14"/>
              </w:rPr>
              <w:t> </w:t>
            </w:r>
            <w:r>
              <w:rPr>
                <w:spacing w:val="-5"/>
                <w:sz w:val="14"/>
              </w:rPr>
              <w:t>net</w:t>
            </w:r>
          </w:p>
        </w:tc>
        <w:tc>
          <w:tcPr>
            <w:tcW w:w="4019" w:type="dxa"/>
          </w:tcPr>
          <w:p>
            <w:pPr>
              <w:pStyle w:val="TableParagraph"/>
              <w:spacing w:before="0"/>
              <w:rPr>
                <w:sz w:val="14"/>
              </w:rPr>
            </w:pPr>
          </w:p>
        </w:tc>
        <w:tc>
          <w:tcPr>
            <w:tcW w:w="969" w:type="dxa"/>
          </w:tcPr>
          <w:p>
            <w:pPr>
              <w:pStyle w:val="TableParagraph"/>
              <w:spacing w:before="0"/>
              <w:rPr>
                <w:sz w:val="14"/>
              </w:rPr>
            </w:pPr>
          </w:p>
        </w:tc>
        <w:tc>
          <w:tcPr>
            <w:tcW w:w="1100" w:type="dxa"/>
          </w:tcPr>
          <w:p>
            <w:pPr>
              <w:pStyle w:val="TableParagraph"/>
              <w:spacing w:before="17"/>
              <w:ind w:right="88"/>
              <w:jc w:val="right"/>
              <w:rPr>
                <w:sz w:val="14"/>
              </w:rPr>
            </w:pPr>
            <w:r>
              <w:rPr>
                <w:spacing w:val="-2"/>
                <w:sz w:val="14"/>
              </w:rPr>
              <w:t>24,530,929</w:t>
            </w:r>
          </w:p>
        </w:tc>
        <w:tc>
          <w:tcPr>
            <w:tcW w:w="1598" w:type="dxa"/>
          </w:tcPr>
          <w:p>
            <w:pPr>
              <w:pStyle w:val="TableParagraph"/>
              <w:spacing w:before="17"/>
              <w:ind w:right="62"/>
              <w:jc w:val="right"/>
              <w:rPr>
                <w:sz w:val="14"/>
              </w:rPr>
            </w:pPr>
            <w:r>
              <w:rPr>
                <w:spacing w:val="-2"/>
                <w:sz w:val="14"/>
              </w:rPr>
              <w:t>11,492,805</w:t>
            </w:r>
          </w:p>
        </w:tc>
      </w:tr>
      <w:tr>
        <w:trPr>
          <w:trHeight w:val="228" w:hRule="atLeast"/>
        </w:trPr>
        <w:tc>
          <w:tcPr>
            <w:tcW w:w="3830" w:type="dxa"/>
            <w:shd w:val="clear" w:color="auto" w:fill="CCEDFF"/>
          </w:tcPr>
          <w:p>
            <w:pPr>
              <w:pStyle w:val="TableParagraph"/>
              <w:spacing w:before="31"/>
              <w:ind w:left="217"/>
              <w:rPr>
                <w:sz w:val="14"/>
              </w:rPr>
            </w:pPr>
            <w:r>
              <w:rPr>
                <w:sz w:val="14"/>
              </w:rPr>
              <w:t>Other</w:t>
            </w:r>
            <w:r>
              <w:rPr>
                <w:spacing w:val="8"/>
                <w:sz w:val="14"/>
              </w:rPr>
              <w:t> </w:t>
            </w:r>
            <w:r>
              <w:rPr>
                <w:sz w:val="14"/>
              </w:rPr>
              <w:t>long-term</w:t>
            </w:r>
            <w:r>
              <w:rPr>
                <w:spacing w:val="8"/>
                <w:sz w:val="14"/>
              </w:rPr>
              <w:t> </w:t>
            </w:r>
            <w:r>
              <w:rPr>
                <w:sz w:val="14"/>
              </w:rPr>
              <w:t>assets,</w:t>
            </w:r>
            <w:r>
              <w:rPr>
                <w:spacing w:val="8"/>
                <w:sz w:val="14"/>
              </w:rPr>
              <w:t> </w:t>
            </w:r>
            <w:r>
              <w:rPr>
                <w:spacing w:val="-5"/>
                <w:sz w:val="14"/>
              </w:rPr>
              <w:t>net</w:t>
            </w:r>
          </w:p>
        </w:tc>
        <w:tc>
          <w:tcPr>
            <w:tcW w:w="4019" w:type="dxa"/>
            <w:shd w:val="clear" w:color="auto" w:fill="CCEDFF"/>
          </w:tcPr>
          <w:p>
            <w:pPr>
              <w:pStyle w:val="TableParagraph"/>
              <w:spacing w:before="0"/>
              <w:rPr>
                <w:sz w:val="14"/>
              </w:rPr>
            </w:pPr>
          </w:p>
        </w:tc>
        <w:tc>
          <w:tcPr>
            <w:tcW w:w="969" w:type="dxa"/>
            <w:tcBorders>
              <w:bottom w:val="single" w:sz="6" w:space="0" w:color="000000"/>
            </w:tcBorders>
            <w:shd w:val="clear" w:color="auto" w:fill="CCEDFF"/>
          </w:tcPr>
          <w:p>
            <w:pPr>
              <w:pStyle w:val="TableParagraph"/>
              <w:spacing w:before="0"/>
              <w:rPr>
                <w:sz w:val="14"/>
              </w:rPr>
            </w:pPr>
          </w:p>
        </w:tc>
        <w:tc>
          <w:tcPr>
            <w:tcW w:w="1100" w:type="dxa"/>
            <w:tcBorders>
              <w:bottom w:val="single" w:sz="6" w:space="0" w:color="000000"/>
            </w:tcBorders>
            <w:shd w:val="clear" w:color="auto" w:fill="CCEDFF"/>
          </w:tcPr>
          <w:p>
            <w:pPr>
              <w:pStyle w:val="TableParagraph"/>
              <w:spacing w:before="17"/>
              <w:ind w:right="88"/>
              <w:jc w:val="right"/>
              <w:rPr>
                <w:sz w:val="14"/>
              </w:rPr>
            </w:pPr>
            <w:r>
              <w:rPr>
                <w:spacing w:val="-2"/>
                <w:sz w:val="14"/>
              </w:rPr>
              <w:t>1,029,054</w:t>
            </w:r>
          </w:p>
        </w:tc>
        <w:tc>
          <w:tcPr>
            <w:tcW w:w="1598" w:type="dxa"/>
            <w:tcBorders>
              <w:bottom w:val="single" w:sz="6" w:space="0" w:color="000000"/>
            </w:tcBorders>
            <w:shd w:val="clear" w:color="auto" w:fill="CCEDFF"/>
          </w:tcPr>
          <w:p>
            <w:pPr>
              <w:pStyle w:val="TableParagraph"/>
              <w:spacing w:before="17"/>
              <w:ind w:right="62"/>
              <w:jc w:val="right"/>
              <w:rPr>
                <w:sz w:val="14"/>
              </w:rPr>
            </w:pPr>
            <w:r>
              <w:rPr>
                <w:spacing w:val="-2"/>
                <w:sz w:val="14"/>
              </w:rPr>
              <w:t>490,210</w:t>
            </w:r>
          </w:p>
        </w:tc>
      </w:tr>
      <w:tr>
        <w:trPr>
          <w:trHeight w:val="214" w:hRule="atLeast"/>
        </w:trPr>
        <w:tc>
          <w:tcPr>
            <w:tcW w:w="3830" w:type="dxa"/>
          </w:tcPr>
          <w:p>
            <w:pPr>
              <w:pStyle w:val="TableParagraph"/>
              <w:spacing w:before="17"/>
              <w:ind w:left="462"/>
              <w:rPr>
                <w:sz w:val="14"/>
              </w:rPr>
            </w:pPr>
            <w:r>
              <w:rPr>
                <w:sz w:val="14"/>
              </w:rPr>
              <w:t>Total other </w:t>
            </w:r>
            <w:r>
              <w:rPr>
                <w:spacing w:val="-2"/>
                <w:sz w:val="14"/>
              </w:rPr>
              <w:t>assets</w:t>
            </w:r>
          </w:p>
        </w:tc>
        <w:tc>
          <w:tcPr>
            <w:tcW w:w="4019" w:type="dxa"/>
          </w:tcPr>
          <w:p>
            <w:pPr>
              <w:pStyle w:val="TableParagraph"/>
              <w:spacing w:before="0"/>
              <w:rPr>
                <w:sz w:val="14"/>
              </w:rPr>
            </w:pPr>
          </w:p>
        </w:tc>
        <w:tc>
          <w:tcPr>
            <w:tcW w:w="969" w:type="dxa"/>
            <w:tcBorders>
              <w:top w:val="single" w:sz="6" w:space="0" w:color="000000"/>
              <w:bottom w:val="single" w:sz="6" w:space="0" w:color="000000"/>
            </w:tcBorders>
          </w:tcPr>
          <w:p>
            <w:pPr>
              <w:pStyle w:val="TableParagraph"/>
              <w:spacing w:before="0"/>
              <w:rPr>
                <w:sz w:val="14"/>
              </w:rPr>
            </w:pPr>
          </w:p>
        </w:tc>
        <w:tc>
          <w:tcPr>
            <w:tcW w:w="1100" w:type="dxa"/>
            <w:tcBorders>
              <w:top w:val="single" w:sz="6" w:space="0" w:color="000000"/>
              <w:bottom w:val="single" w:sz="6" w:space="0" w:color="000000"/>
            </w:tcBorders>
          </w:tcPr>
          <w:p>
            <w:pPr>
              <w:pStyle w:val="TableParagraph"/>
              <w:spacing w:before="17"/>
              <w:ind w:right="88"/>
              <w:jc w:val="right"/>
              <w:rPr>
                <w:sz w:val="14"/>
              </w:rPr>
            </w:pPr>
            <w:r>
              <w:rPr>
                <w:spacing w:val="-2"/>
                <w:sz w:val="14"/>
              </w:rPr>
              <w:t>32,313,586</w:t>
            </w:r>
          </w:p>
        </w:tc>
        <w:tc>
          <w:tcPr>
            <w:tcW w:w="1598" w:type="dxa"/>
            <w:tcBorders>
              <w:top w:val="single" w:sz="6" w:space="0" w:color="000000"/>
              <w:bottom w:val="single" w:sz="6" w:space="0" w:color="000000"/>
            </w:tcBorders>
          </w:tcPr>
          <w:p>
            <w:pPr>
              <w:pStyle w:val="TableParagraph"/>
              <w:spacing w:before="17"/>
              <w:ind w:right="62"/>
              <w:jc w:val="right"/>
              <w:rPr>
                <w:sz w:val="14"/>
              </w:rPr>
            </w:pPr>
            <w:r>
              <w:rPr>
                <w:spacing w:val="-2"/>
                <w:sz w:val="14"/>
              </w:rPr>
              <w:t>20,047,441</w:t>
            </w:r>
          </w:p>
        </w:tc>
      </w:tr>
      <w:tr>
        <w:trPr>
          <w:trHeight w:val="219" w:hRule="atLeast"/>
        </w:trPr>
        <w:tc>
          <w:tcPr>
            <w:tcW w:w="3830" w:type="dxa"/>
            <w:shd w:val="clear" w:color="auto" w:fill="CCEDFF"/>
          </w:tcPr>
          <w:p>
            <w:pPr>
              <w:pStyle w:val="TableParagraph"/>
              <w:spacing w:before="0"/>
              <w:rPr>
                <w:sz w:val="14"/>
              </w:rPr>
            </w:pPr>
          </w:p>
        </w:tc>
        <w:tc>
          <w:tcPr>
            <w:tcW w:w="4019" w:type="dxa"/>
            <w:shd w:val="clear" w:color="auto" w:fill="CCEDFF"/>
          </w:tcPr>
          <w:p>
            <w:pPr>
              <w:pStyle w:val="TableParagraph"/>
              <w:spacing w:before="0"/>
              <w:rPr>
                <w:sz w:val="14"/>
              </w:rPr>
            </w:pPr>
          </w:p>
        </w:tc>
        <w:tc>
          <w:tcPr>
            <w:tcW w:w="969" w:type="dxa"/>
            <w:tcBorders>
              <w:top w:val="single" w:sz="6" w:space="0" w:color="000000"/>
              <w:bottom w:val="double" w:sz="6" w:space="0" w:color="000000"/>
            </w:tcBorders>
            <w:shd w:val="clear" w:color="auto" w:fill="CCEDFF"/>
          </w:tcPr>
          <w:p>
            <w:pPr>
              <w:pStyle w:val="TableParagraph"/>
              <w:spacing w:before="17"/>
              <w:ind w:left="174"/>
              <w:jc w:val="center"/>
              <w:rPr>
                <w:sz w:val="14"/>
              </w:rPr>
            </w:pPr>
            <w:r>
              <w:rPr>
                <w:spacing w:val="-10"/>
                <w:sz w:val="14"/>
              </w:rPr>
              <w:t>$</w:t>
            </w:r>
          </w:p>
        </w:tc>
        <w:tc>
          <w:tcPr>
            <w:tcW w:w="1100" w:type="dxa"/>
            <w:tcBorders>
              <w:top w:val="single" w:sz="6" w:space="0" w:color="000000"/>
              <w:bottom w:val="double" w:sz="6" w:space="0" w:color="000000"/>
            </w:tcBorders>
            <w:shd w:val="clear" w:color="auto" w:fill="CCEDFF"/>
          </w:tcPr>
          <w:p>
            <w:pPr>
              <w:pStyle w:val="TableParagraph"/>
              <w:spacing w:before="17"/>
              <w:ind w:right="88"/>
              <w:jc w:val="right"/>
              <w:rPr>
                <w:sz w:val="14"/>
              </w:rPr>
            </w:pPr>
            <w:r>
              <w:rPr>
                <w:spacing w:val="-2"/>
                <w:sz w:val="14"/>
              </w:rPr>
              <w:t>45,692,206</w:t>
            </w:r>
          </w:p>
        </w:tc>
        <w:tc>
          <w:tcPr>
            <w:tcW w:w="1598" w:type="dxa"/>
            <w:tcBorders>
              <w:top w:val="single" w:sz="6" w:space="0" w:color="000000"/>
              <w:bottom w:val="double" w:sz="6" w:space="0" w:color="000000"/>
            </w:tcBorders>
            <w:shd w:val="clear" w:color="auto" w:fill="CCEDFF"/>
          </w:tcPr>
          <w:p>
            <w:pPr>
              <w:pStyle w:val="TableParagraph"/>
              <w:tabs>
                <w:tab w:pos="800" w:val="left" w:leader="none"/>
              </w:tabs>
              <w:spacing w:before="17"/>
              <w:ind w:right="62"/>
              <w:jc w:val="right"/>
              <w:rPr>
                <w:sz w:val="14"/>
              </w:rPr>
            </w:pPr>
            <w:r>
              <w:rPr>
                <w:spacing w:val="-10"/>
                <w:sz w:val="14"/>
              </w:rPr>
              <w:t>$</w:t>
            </w:r>
            <w:r>
              <w:rPr>
                <w:sz w:val="14"/>
              </w:rPr>
              <w:tab/>
            </w:r>
            <w:r>
              <w:rPr>
                <w:spacing w:val="-2"/>
                <w:sz w:val="14"/>
              </w:rPr>
              <w:t>40,899,116</w:t>
            </w:r>
          </w:p>
        </w:tc>
      </w:tr>
      <w:tr>
        <w:trPr>
          <w:trHeight w:val="220" w:hRule="atLeast"/>
        </w:trPr>
        <w:tc>
          <w:tcPr>
            <w:tcW w:w="3830" w:type="dxa"/>
          </w:tcPr>
          <w:p>
            <w:pPr>
              <w:pStyle w:val="TableParagraph"/>
              <w:spacing w:before="0"/>
              <w:rPr>
                <w:sz w:val="14"/>
              </w:rPr>
            </w:pPr>
          </w:p>
        </w:tc>
        <w:tc>
          <w:tcPr>
            <w:tcW w:w="4019" w:type="dxa"/>
          </w:tcPr>
          <w:p>
            <w:pPr>
              <w:pStyle w:val="TableParagraph"/>
              <w:spacing w:before="22"/>
              <w:ind w:left="371"/>
              <w:rPr>
                <w:b/>
                <w:sz w:val="14"/>
              </w:rPr>
            </w:pPr>
            <w:r>
              <w:rPr>
                <w:b/>
                <w:sz w:val="14"/>
              </w:rPr>
              <w:t>LIABILITIES</w:t>
            </w:r>
            <w:r>
              <w:rPr>
                <w:b/>
                <w:spacing w:val="5"/>
                <w:sz w:val="14"/>
              </w:rPr>
              <w:t> </w:t>
            </w:r>
            <w:r>
              <w:rPr>
                <w:b/>
                <w:sz w:val="14"/>
              </w:rPr>
              <w:t>AND</w:t>
            </w:r>
            <w:r>
              <w:rPr>
                <w:b/>
                <w:spacing w:val="16"/>
                <w:sz w:val="14"/>
              </w:rPr>
              <w:t> </w:t>
            </w:r>
            <w:r>
              <w:rPr>
                <w:b/>
                <w:sz w:val="14"/>
              </w:rPr>
              <w:t>STOCKHOLDERS'</w:t>
            </w:r>
            <w:r>
              <w:rPr>
                <w:b/>
                <w:spacing w:val="16"/>
                <w:sz w:val="14"/>
              </w:rPr>
              <w:t> </w:t>
            </w:r>
            <w:r>
              <w:rPr>
                <w:b/>
                <w:spacing w:val="-2"/>
                <w:sz w:val="14"/>
              </w:rPr>
              <w:t>EQUITY</w:t>
            </w:r>
          </w:p>
        </w:tc>
        <w:tc>
          <w:tcPr>
            <w:tcW w:w="969" w:type="dxa"/>
            <w:tcBorders>
              <w:top w:val="double" w:sz="6" w:space="0" w:color="000000"/>
            </w:tcBorders>
          </w:tcPr>
          <w:p>
            <w:pPr>
              <w:pStyle w:val="TableParagraph"/>
              <w:spacing w:before="0"/>
              <w:rPr>
                <w:sz w:val="14"/>
              </w:rPr>
            </w:pPr>
          </w:p>
        </w:tc>
        <w:tc>
          <w:tcPr>
            <w:tcW w:w="1100" w:type="dxa"/>
            <w:tcBorders>
              <w:top w:val="double" w:sz="6" w:space="0" w:color="000000"/>
            </w:tcBorders>
          </w:tcPr>
          <w:p>
            <w:pPr>
              <w:pStyle w:val="TableParagraph"/>
              <w:spacing w:before="0"/>
              <w:rPr>
                <w:sz w:val="14"/>
              </w:rPr>
            </w:pPr>
          </w:p>
        </w:tc>
        <w:tc>
          <w:tcPr>
            <w:tcW w:w="1598" w:type="dxa"/>
            <w:tcBorders>
              <w:top w:val="double" w:sz="6" w:space="0" w:color="000000"/>
            </w:tcBorders>
          </w:tcPr>
          <w:p>
            <w:pPr>
              <w:pStyle w:val="TableParagraph"/>
              <w:spacing w:before="0"/>
              <w:rPr>
                <w:sz w:val="14"/>
              </w:rPr>
            </w:pPr>
          </w:p>
        </w:tc>
      </w:tr>
      <w:tr>
        <w:trPr>
          <w:trHeight w:val="215" w:hRule="atLeast"/>
        </w:trPr>
        <w:tc>
          <w:tcPr>
            <w:tcW w:w="3830" w:type="dxa"/>
            <w:shd w:val="clear" w:color="auto" w:fill="CCEDFF"/>
          </w:tcPr>
          <w:p>
            <w:pPr>
              <w:pStyle w:val="TableParagraph"/>
              <w:spacing w:before="17"/>
              <w:ind w:left="17"/>
              <w:rPr>
                <w:b/>
                <w:sz w:val="14"/>
              </w:rPr>
            </w:pPr>
            <w:r>
              <w:rPr>
                <w:b/>
                <w:sz w:val="14"/>
              </w:rPr>
              <w:t>Current</w:t>
            </w:r>
            <w:r>
              <w:rPr>
                <w:b/>
                <w:spacing w:val="6"/>
                <w:sz w:val="14"/>
              </w:rPr>
              <w:t> </w:t>
            </w:r>
            <w:r>
              <w:rPr>
                <w:b/>
                <w:spacing w:val="-2"/>
                <w:sz w:val="14"/>
              </w:rPr>
              <w:t>liabilities</w:t>
            </w: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0"/>
              <w:rPr>
                <w:sz w:val="14"/>
              </w:rPr>
            </w:pPr>
          </w:p>
        </w:tc>
        <w:tc>
          <w:tcPr>
            <w:tcW w:w="1100" w:type="dxa"/>
            <w:shd w:val="clear" w:color="auto" w:fill="CCEDFF"/>
          </w:tcPr>
          <w:p>
            <w:pPr>
              <w:pStyle w:val="TableParagraph"/>
              <w:spacing w:before="0"/>
              <w:rPr>
                <w:sz w:val="14"/>
              </w:rPr>
            </w:pPr>
          </w:p>
        </w:tc>
        <w:tc>
          <w:tcPr>
            <w:tcW w:w="1598" w:type="dxa"/>
            <w:shd w:val="clear" w:color="auto" w:fill="CCEDFF"/>
          </w:tcPr>
          <w:p>
            <w:pPr>
              <w:pStyle w:val="TableParagraph"/>
              <w:spacing w:before="0"/>
              <w:rPr>
                <w:sz w:val="14"/>
              </w:rPr>
            </w:pPr>
          </w:p>
        </w:tc>
      </w:tr>
      <w:tr>
        <w:trPr>
          <w:trHeight w:val="215" w:hRule="atLeast"/>
        </w:trPr>
        <w:tc>
          <w:tcPr>
            <w:tcW w:w="3830" w:type="dxa"/>
          </w:tcPr>
          <w:p>
            <w:pPr>
              <w:pStyle w:val="TableParagraph"/>
              <w:spacing w:before="17"/>
              <w:ind w:left="217"/>
              <w:rPr>
                <w:sz w:val="14"/>
              </w:rPr>
            </w:pPr>
            <w:r>
              <w:rPr>
                <w:sz w:val="14"/>
              </w:rPr>
              <w:t>Accounts</w:t>
            </w:r>
            <w:r>
              <w:rPr>
                <w:spacing w:val="9"/>
                <w:sz w:val="14"/>
              </w:rPr>
              <w:t> </w:t>
            </w:r>
            <w:r>
              <w:rPr>
                <w:sz w:val="14"/>
              </w:rPr>
              <w:t>and</w:t>
            </w:r>
            <w:r>
              <w:rPr>
                <w:spacing w:val="9"/>
                <w:sz w:val="14"/>
              </w:rPr>
              <w:t> </w:t>
            </w:r>
            <w:r>
              <w:rPr>
                <w:sz w:val="14"/>
              </w:rPr>
              <w:t>construction</w:t>
            </w:r>
            <w:r>
              <w:rPr>
                <w:spacing w:val="10"/>
                <w:sz w:val="14"/>
              </w:rPr>
              <w:t> </w:t>
            </w:r>
            <w:r>
              <w:rPr>
                <w:spacing w:val="-2"/>
                <w:sz w:val="14"/>
              </w:rPr>
              <w:t>payable</w:t>
            </w:r>
          </w:p>
        </w:tc>
        <w:tc>
          <w:tcPr>
            <w:tcW w:w="4019" w:type="dxa"/>
          </w:tcPr>
          <w:p>
            <w:pPr>
              <w:pStyle w:val="TableParagraph"/>
              <w:spacing w:before="0"/>
              <w:rPr>
                <w:sz w:val="14"/>
              </w:rPr>
            </w:pPr>
          </w:p>
        </w:tc>
        <w:tc>
          <w:tcPr>
            <w:tcW w:w="969" w:type="dxa"/>
          </w:tcPr>
          <w:p>
            <w:pPr>
              <w:pStyle w:val="TableParagraph"/>
              <w:spacing w:before="17"/>
              <w:ind w:left="174"/>
              <w:jc w:val="center"/>
              <w:rPr>
                <w:sz w:val="14"/>
              </w:rPr>
            </w:pPr>
            <w:r>
              <w:rPr>
                <w:spacing w:val="-10"/>
                <w:sz w:val="14"/>
              </w:rPr>
              <w:t>$</w:t>
            </w:r>
          </w:p>
        </w:tc>
        <w:tc>
          <w:tcPr>
            <w:tcW w:w="1100" w:type="dxa"/>
          </w:tcPr>
          <w:p>
            <w:pPr>
              <w:pStyle w:val="TableParagraph"/>
              <w:spacing w:before="17"/>
              <w:ind w:right="88"/>
              <w:jc w:val="right"/>
              <w:rPr>
                <w:sz w:val="14"/>
              </w:rPr>
            </w:pPr>
            <w:r>
              <w:rPr>
                <w:spacing w:val="-2"/>
                <w:sz w:val="14"/>
              </w:rPr>
              <w:t>369,817</w:t>
            </w:r>
          </w:p>
        </w:tc>
        <w:tc>
          <w:tcPr>
            <w:tcW w:w="1598" w:type="dxa"/>
          </w:tcPr>
          <w:p>
            <w:pPr>
              <w:pStyle w:val="TableParagraph"/>
              <w:tabs>
                <w:tab w:pos="975" w:val="left" w:leader="none"/>
              </w:tabs>
              <w:spacing w:before="17"/>
              <w:ind w:right="62"/>
              <w:jc w:val="right"/>
              <w:rPr>
                <w:sz w:val="14"/>
              </w:rPr>
            </w:pPr>
            <w:r>
              <w:rPr>
                <w:spacing w:val="-10"/>
                <w:sz w:val="14"/>
              </w:rPr>
              <w:t>$</w:t>
            </w:r>
            <w:r>
              <w:rPr>
                <w:sz w:val="14"/>
              </w:rPr>
              <w:tab/>
            </w:r>
            <w:r>
              <w:rPr>
                <w:spacing w:val="-2"/>
                <w:sz w:val="14"/>
              </w:rPr>
              <w:t>286,196</w:t>
            </w:r>
          </w:p>
        </w:tc>
      </w:tr>
      <w:tr>
        <w:trPr>
          <w:trHeight w:val="215" w:hRule="atLeast"/>
        </w:trPr>
        <w:tc>
          <w:tcPr>
            <w:tcW w:w="3830" w:type="dxa"/>
            <w:shd w:val="clear" w:color="auto" w:fill="CCEDFF"/>
          </w:tcPr>
          <w:p>
            <w:pPr>
              <w:pStyle w:val="TableParagraph"/>
              <w:spacing w:before="17"/>
              <w:ind w:left="217"/>
              <w:rPr>
                <w:sz w:val="14"/>
              </w:rPr>
            </w:pPr>
            <w:r>
              <w:rPr>
                <w:sz w:val="14"/>
              </w:rPr>
              <w:t>Current</w:t>
            </w:r>
            <w:r>
              <w:rPr>
                <w:spacing w:val="7"/>
                <w:sz w:val="14"/>
              </w:rPr>
              <w:t> </w:t>
            </w:r>
            <w:r>
              <w:rPr>
                <w:sz w:val="14"/>
              </w:rPr>
              <w:t>portion</w:t>
            </w:r>
            <w:r>
              <w:rPr>
                <w:spacing w:val="8"/>
                <w:sz w:val="14"/>
              </w:rPr>
              <w:t> </w:t>
            </w:r>
            <w:r>
              <w:rPr>
                <w:sz w:val="14"/>
              </w:rPr>
              <w:t>of</w:t>
            </w:r>
            <w:r>
              <w:rPr>
                <w:spacing w:val="7"/>
                <w:sz w:val="14"/>
              </w:rPr>
              <w:t> </w:t>
            </w:r>
            <w:r>
              <w:rPr>
                <w:sz w:val="14"/>
              </w:rPr>
              <w:t>long-term</w:t>
            </w:r>
            <w:r>
              <w:rPr>
                <w:spacing w:val="8"/>
                <w:sz w:val="14"/>
              </w:rPr>
              <w:t> </w:t>
            </w:r>
            <w:r>
              <w:rPr>
                <w:spacing w:val="-4"/>
                <w:sz w:val="14"/>
              </w:rPr>
              <w:t>debt</w:t>
            </w: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0"/>
              <w:rPr>
                <w:sz w:val="14"/>
              </w:rPr>
            </w:pPr>
          </w:p>
        </w:tc>
        <w:tc>
          <w:tcPr>
            <w:tcW w:w="1100" w:type="dxa"/>
            <w:shd w:val="clear" w:color="auto" w:fill="CCEDFF"/>
          </w:tcPr>
          <w:p>
            <w:pPr>
              <w:pStyle w:val="TableParagraph"/>
              <w:spacing w:before="17"/>
              <w:ind w:right="88"/>
              <w:jc w:val="right"/>
              <w:rPr>
                <w:sz w:val="14"/>
              </w:rPr>
            </w:pPr>
            <w:r>
              <w:rPr>
                <w:spacing w:val="-2"/>
                <w:sz w:val="14"/>
              </w:rPr>
              <w:t>1,286,473</w:t>
            </w:r>
          </w:p>
        </w:tc>
        <w:tc>
          <w:tcPr>
            <w:tcW w:w="1598" w:type="dxa"/>
            <w:shd w:val="clear" w:color="auto" w:fill="CCEDFF"/>
          </w:tcPr>
          <w:p>
            <w:pPr>
              <w:pStyle w:val="TableParagraph"/>
              <w:spacing w:before="17"/>
              <w:ind w:right="62"/>
              <w:jc w:val="right"/>
              <w:rPr>
                <w:sz w:val="14"/>
              </w:rPr>
            </w:pPr>
            <w:r>
              <w:rPr>
                <w:spacing w:val="-2"/>
                <w:sz w:val="14"/>
              </w:rPr>
              <w:t>1,000,000</w:t>
            </w:r>
          </w:p>
        </w:tc>
      </w:tr>
      <w:tr>
        <w:trPr>
          <w:trHeight w:val="229" w:hRule="atLeast"/>
        </w:trPr>
        <w:tc>
          <w:tcPr>
            <w:tcW w:w="3830" w:type="dxa"/>
          </w:tcPr>
          <w:p>
            <w:pPr>
              <w:pStyle w:val="TableParagraph"/>
              <w:spacing w:before="17"/>
              <w:ind w:left="217"/>
              <w:rPr>
                <w:sz w:val="14"/>
              </w:rPr>
            </w:pPr>
            <w:r>
              <w:rPr>
                <w:sz w:val="14"/>
              </w:rPr>
              <w:t>Accrued</w:t>
            </w:r>
            <w:r>
              <w:rPr>
                <w:spacing w:val="7"/>
                <w:sz w:val="14"/>
              </w:rPr>
              <w:t> </w:t>
            </w:r>
            <w:r>
              <w:rPr>
                <w:sz w:val="14"/>
              </w:rPr>
              <w:t>interest</w:t>
            </w:r>
            <w:r>
              <w:rPr>
                <w:spacing w:val="8"/>
                <w:sz w:val="14"/>
              </w:rPr>
              <w:t> </w:t>
            </w:r>
            <w:r>
              <w:rPr>
                <w:sz w:val="14"/>
              </w:rPr>
              <w:t>on</w:t>
            </w:r>
            <w:r>
              <w:rPr>
                <w:spacing w:val="8"/>
                <w:sz w:val="14"/>
              </w:rPr>
              <w:t> </w:t>
            </w:r>
            <w:r>
              <w:rPr>
                <w:sz w:val="14"/>
              </w:rPr>
              <w:t>long-term</w:t>
            </w:r>
            <w:r>
              <w:rPr>
                <w:spacing w:val="8"/>
                <w:sz w:val="14"/>
              </w:rPr>
              <w:t> </w:t>
            </w:r>
            <w:r>
              <w:rPr>
                <w:spacing w:val="-4"/>
                <w:sz w:val="14"/>
              </w:rPr>
              <w:t>debt</w:t>
            </w:r>
          </w:p>
        </w:tc>
        <w:tc>
          <w:tcPr>
            <w:tcW w:w="4019" w:type="dxa"/>
          </w:tcPr>
          <w:p>
            <w:pPr>
              <w:pStyle w:val="TableParagraph"/>
              <w:spacing w:before="0"/>
              <w:rPr>
                <w:sz w:val="14"/>
              </w:rPr>
            </w:pPr>
          </w:p>
        </w:tc>
        <w:tc>
          <w:tcPr>
            <w:tcW w:w="969" w:type="dxa"/>
          </w:tcPr>
          <w:p>
            <w:pPr>
              <w:pStyle w:val="TableParagraph"/>
              <w:spacing w:before="0"/>
              <w:rPr>
                <w:sz w:val="14"/>
              </w:rPr>
            </w:pPr>
          </w:p>
        </w:tc>
        <w:tc>
          <w:tcPr>
            <w:tcW w:w="1100" w:type="dxa"/>
          </w:tcPr>
          <w:p>
            <w:pPr>
              <w:pStyle w:val="TableParagraph"/>
              <w:spacing w:before="17"/>
              <w:ind w:right="88"/>
              <w:jc w:val="right"/>
              <w:rPr>
                <w:sz w:val="14"/>
              </w:rPr>
            </w:pPr>
            <w:r>
              <w:rPr>
                <w:spacing w:val="-2"/>
                <w:sz w:val="14"/>
              </w:rPr>
              <w:t>83,451</w:t>
            </w:r>
          </w:p>
        </w:tc>
        <w:tc>
          <w:tcPr>
            <w:tcW w:w="1598" w:type="dxa"/>
          </w:tcPr>
          <w:p>
            <w:pPr>
              <w:pStyle w:val="TableParagraph"/>
              <w:spacing w:before="17"/>
              <w:ind w:right="62"/>
              <w:jc w:val="right"/>
              <w:rPr>
                <w:sz w:val="14"/>
              </w:rPr>
            </w:pPr>
            <w:r>
              <w:rPr>
                <w:spacing w:val="-2"/>
                <w:sz w:val="14"/>
              </w:rPr>
              <w:t>172,624</w:t>
            </w:r>
          </w:p>
        </w:tc>
      </w:tr>
      <w:tr>
        <w:trPr>
          <w:trHeight w:val="215" w:hRule="atLeast"/>
        </w:trPr>
        <w:tc>
          <w:tcPr>
            <w:tcW w:w="3830" w:type="dxa"/>
            <w:shd w:val="clear" w:color="auto" w:fill="CCEDFF"/>
          </w:tcPr>
          <w:p>
            <w:pPr>
              <w:pStyle w:val="TableParagraph"/>
              <w:spacing w:before="17"/>
              <w:ind w:left="217"/>
              <w:rPr>
                <w:sz w:val="14"/>
              </w:rPr>
            </w:pPr>
            <w:r>
              <w:rPr>
                <w:sz w:val="14"/>
              </w:rPr>
              <w:t>Other</w:t>
            </w:r>
            <w:r>
              <w:rPr>
                <w:spacing w:val="7"/>
                <w:sz w:val="14"/>
              </w:rPr>
              <w:t> </w:t>
            </w:r>
            <w:r>
              <w:rPr>
                <w:sz w:val="14"/>
              </w:rPr>
              <w:t>accrued</w:t>
            </w:r>
            <w:r>
              <w:rPr>
                <w:spacing w:val="8"/>
                <w:sz w:val="14"/>
              </w:rPr>
              <w:t> </w:t>
            </w:r>
            <w:r>
              <w:rPr>
                <w:spacing w:val="-2"/>
                <w:sz w:val="14"/>
              </w:rPr>
              <w:t>liabilities</w:t>
            </w:r>
          </w:p>
        </w:tc>
        <w:tc>
          <w:tcPr>
            <w:tcW w:w="4019" w:type="dxa"/>
            <w:shd w:val="clear" w:color="auto" w:fill="CCEDFF"/>
          </w:tcPr>
          <w:p>
            <w:pPr>
              <w:pStyle w:val="TableParagraph"/>
              <w:spacing w:before="0"/>
              <w:rPr>
                <w:sz w:val="14"/>
              </w:rPr>
            </w:pPr>
          </w:p>
        </w:tc>
        <w:tc>
          <w:tcPr>
            <w:tcW w:w="969" w:type="dxa"/>
            <w:shd w:val="clear" w:color="auto" w:fill="CCEDFF"/>
          </w:tcPr>
          <w:p>
            <w:pPr>
              <w:pStyle w:val="TableParagraph"/>
              <w:spacing w:before="0"/>
              <w:rPr>
                <w:sz w:val="14"/>
              </w:rPr>
            </w:pPr>
          </w:p>
        </w:tc>
        <w:tc>
          <w:tcPr>
            <w:tcW w:w="1100" w:type="dxa"/>
            <w:shd w:val="clear" w:color="auto" w:fill="CCEDFF"/>
          </w:tcPr>
          <w:p>
            <w:pPr>
              <w:pStyle w:val="TableParagraph"/>
              <w:spacing w:before="17"/>
              <w:ind w:right="88"/>
              <w:jc w:val="right"/>
              <w:rPr>
                <w:sz w:val="14"/>
              </w:rPr>
            </w:pPr>
            <w:r>
              <w:rPr>
                <w:spacing w:val="-2"/>
                <w:sz w:val="14"/>
              </w:rPr>
              <w:t>2,236,323</w:t>
            </w:r>
          </w:p>
        </w:tc>
        <w:tc>
          <w:tcPr>
            <w:tcW w:w="1598" w:type="dxa"/>
            <w:shd w:val="clear" w:color="auto" w:fill="CCEDFF"/>
          </w:tcPr>
          <w:p>
            <w:pPr>
              <w:pStyle w:val="TableParagraph"/>
              <w:spacing w:before="17"/>
              <w:ind w:right="62"/>
              <w:jc w:val="right"/>
              <w:rPr>
                <w:sz w:val="14"/>
              </w:rPr>
            </w:pPr>
            <w:r>
              <w:rPr>
                <w:spacing w:val="-2"/>
                <w:sz w:val="14"/>
              </w:rPr>
              <w:t>1,983,444</w:t>
            </w:r>
          </w:p>
        </w:tc>
      </w:tr>
      <w:tr>
        <w:trPr>
          <w:trHeight w:val="215" w:hRule="atLeast"/>
        </w:trPr>
        <w:tc>
          <w:tcPr>
            <w:tcW w:w="3830" w:type="dxa"/>
          </w:tcPr>
          <w:p>
            <w:pPr>
              <w:pStyle w:val="TableParagraph"/>
              <w:spacing w:before="17"/>
              <w:ind w:left="246"/>
              <w:rPr>
                <w:sz w:val="14"/>
              </w:rPr>
            </w:pPr>
            <w:r>
              <w:rPr>
                <w:sz w:val="14"/>
              </w:rPr>
              <w:t>Liabilities</w:t>
            </w:r>
            <w:r>
              <w:rPr>
                <w:spacing w:val="5"/>
                <w:sz w:val="14"/>
              </w:rPr>
              <w:t> </w:t>
            </w:r>
            <w:r>
              <w:rPr>
                <w:sz w:val="14"/>
              </w:rPr>
              <w:t>related</w:t>
            </w:r>
            <w:r>
              <w:rPr>
                <w:spacing w:val="6"/>
                <w:sz w:val="14"/>
              </w:rPr>
              <w:t> </w:t>
            </w:r>
            <w:r>
              <w:rPr>
                <w:sz w:val="14"/>
              </w:rPr>
              <w:t>to</w:t>
            </w:r>
            <w:r>
              <w:rPr>
                <w:spacing w:val="6"/>
                <w:sz w:val="14"/>
              </w:rPr>
              <w:t> </w:t>
            </w:r>
            <w:r>
              <w:rPr>
                <w:sz w:val="14"/>
              </w:rPr>
              <w:t>assets</w:t>
            </w:r>
            <w:r>
              <w:rPr>
                <w:spacing w:val="6"/>
                <w:sz w:val="14"/>
              </w:rPr>
              <w:t> </w:t>
            </w:r>
            <w:r>
              <w:rPr>
                <w:sz w:val="14"/>
              </w:rPr>
              <w:t>held</w:t>
            </w:r>
            <w:r>
              <w:rPr>
                <w:spacing w:val="6"/>
                <w:sz w:val="14"/>
              </w:rPr>
              <w:t> </w:t>
            </w:r>
            <w:r>
              <w:rPr>
                <w:sz w:val="14"/>
              </w:rPr>
              <w:t>for</w:t>
            </w:r>
            <w:r>
              <w:rPr>
                <w:spacing w:val="6"/>
                <w:sz w:val="14"/>
              </w:rPr>
              <w:t> </w:t>
            </w:r>
            <w:r>
              <w:rPr>
                <w:spacing w:val="-4"/>
                <w:sz w:val="14"/>
              </w:rPr>
              <w:t>sale</w:t>
            </w:r>
          </w:p>
        </w:tc>
        <w:tc>
          <w:tcPr>
            <w:tcW w:w="4019" w:type="dxa"/>
          </w:tcPr>
          <w:p>
            <w:pPr>
              <w:pStyle w:val="TableParagraph"/>
              <w:spacing w:before="0"/>
              <w:rPr>
                <w:sz w:val="14"/>
              </w:rPr>
            </w:pPr>
          </w:p>
        </w:tc>
        <w:tc>
          <w:tcPr>
            <w:tcW w:w="969" w:type="dxa"/>
            <w:tcBorders>
              <w:bottom w:val="single" w:sz="6" w:space="0" w:color="000000"/>
            </w:tcBorders>
          </w:tcPr>
          <w:p>
            <w:pPr>
              <w:pStyle w:val="TableParagraph"/>
              <w:spacing w:before="0"/>
              <w:rPr>
                <w:sz w:val="14"/>
              </w:rPr>
            </w:pPr>
          </w:p>
        </w:tc>
        <w:tc>
          <w:tcPr>
            <w:tcW w:w="1100" w:type="dxa"/>
            <w:tcBorders>
              <w:bottom w:val="single" w:sz="6" w:space="0" w:color="000000"/>
            </w:tcBorders>
          </w:tcPr>
          <w:p>
            <w:pPr>
              <w:pStyle w:val="TableParagraph"/>
              <w:spacing w:before="17"/>
              <w:ind w:right="88"/>
              <w:jc w:val="right"/>
              <w:rPr>
                <w:sz w:val="14"/>
              </w:rPr>
            </w:pPr>
            <w:r>
              <w:rPr>
                <w:spacing w:val="-2"/>
                <w:sz w:val="14"/>
              </w:rPr>
              <w:t>539,828</w:t>
            </w:r>
          </w:p>
        </w:tc>
        <w:tc>
          <w:tcPr>
            <w:tcW w:w="1598" w:type="dxa"/>
            <w:tcBorders>
              <w:bottom w:val="single" w:sz="6" w:space="0" w:color="000000"/>
            </w:tcBorders>
          </w:tcPr>
          <w:p>
            <w:pPr>
              <w:pStyle w:val="TableParagraph"/>
              <w:spacing w:before="17"/>
              <w:ind w:right="62"/>
              <w:jc w:val="right"/>
              <w:rPr>
                <w:sz w:val="14"/>
              </w:rPr>
            </w:pPr>
            <w:r>
              <w:rPr>
                <w:spacing w:val="-10"/>
                <w:sz w:val="14"/>
              </w:rPr>
              <w:t>—</w:t>
            </w:r>
          </w:p>
        </w:tc>
      </w:tr>
      <w:tr>
        <w:trPr>
          <w:trHeight w:val="215" w:hRule="atLeast"/>
        </w:trPr>
        <w:tc>
          <w:tcPr>
            <w:tcW w:w="3830" w:type="dxa"/>
            <w:shd w:val="clear" w:color="auto" w:fill="CCEDFF"/>
          </w:tcPr>
          <w:p>
            <w:pPr>
              <w:pStyle w:val="TableParagraph"/>
              <w:spacing w:before="17"/>
              <w:ind w:left="462"/>
              <w:rPr>
                <w:sz w:val="14"/>
              </w:rPr>
            </w:pPr>
            <w:r>
              <w:rPr>
                <w:sz w:val="14"/>
              </w:rPr>
              <w:t>Total</w:t>
            </w:r>
            <w:r>
              <w:rPr>
                <w:spacing w:val="1"/>
                <w:sz w:val="14"/>
              </w:rPr>
              <w:t> </w:t>
            </w:r>
            <w:r>
              <w:rPr>
                <w:sz w:val="14"/>
              </w:rPr>
              <w:t>current</w:t>
            </w:r>
            <w:r>
              <w:rPr>
                <w:spacing w:val="1"/>
                <w:sz w:val="14"/>
              </w:rPr>
              <w:t> </w:t>
            </w:r>
            <w:r>
              <w:rPr>
                <w:spacing w:val="-2"/>
                <w:sz w:val="14"/>
              </w:rPr>
              <w:t>liabilities</w:t>
            </w:r>
          </w:p>
        </w:tc>
        <w:tc>
          <w:tcPr>
            <w:tcW w:w="4019" w:type="dxa"/>
            <w:shd w:val="clear" w:color="auto" w:fill="CCEDFF"/>
          </w:tcPr>
          <w:p>
            <w:pPr>
              <w:pStyle w:val="TableParagraph"/>
              <w:spacing w:before="0"/>
              <w:rPr>
                <w:sz w:val="14"/>
              </w:rPr>
            </w:pPr>
          </w:p>
        </w:tc>
        <w:tc>
          <w:tcPr>
            <w:tcW w:w="969" w:type="dxa"/>
            <w:tcBorders>
              <w:top w:val="single" w:sz="6" w:space="0" w:color="000000"/>
            </w:tcBorders>
            <w:shd w:val="clear" w:color="auto" w:fill="CCEDFF"/>
          </w:tcPr>
          <w:p>
            <w:pPr>
              <w:pStyle w:val="TableParagraph"/>
              <w:spacing w:before="0"/>
              <w:rPr>
                <w:sz w:val="14"/>
              </w:rPr>
            </w:pPr>
          </w:p>
        </w:tc>
        <w:tc>
          <w:tcPr>
            <w:tcW w:w="1100" w:type="dxa"/>
            <w:tcBorders>
              <w:top w:val="single" w:sz="6" w:space="0" w:color="000000"/>
            </w:tcBorders>
            <w:shd w:val="clear" w:color="auto" w:fill="CCEDFF"/>
          </w:tcPr>
          <w:p>
            <w:pPr>
              <w:pStyle w:val="TableParagraph"/>
              <w:spacing w:before="17"/>
              <w:ind w:right="88"/>
              <w:jc w:val="right"/>
              <w:rPr>
                <w:sz w:val="14"/>
              </w:rPr>
            </w:pPr>
            <w:r>
              <w:rPr>
                <w:spacing w:val="-2"/>
                <w:sz w:val="14"/>
              </w:rPr>
              <w:t>4,515,892</w:t>
            </w:r>
          </w:p>
        </w:tc>
        <w:tc>
          <w:tcPr>
            <w:tcW w:w="1598" w:type="dxa"/>
            <w:tcBorders>
              <w:top w:val="single" w:sz="6" w:space="0" w:color="000000"/>
            </w:tcBorders>
            <w:shd w:val="clear" w:color="auto" w:fill="CCEDFF"/>
          </w:tcPr>
          <w:p>
            <w:pPr>
              <w:pStyle w:val="TableParagraph"/>
              <w:spacing w:before="17"/>
              <w:ind w:right="62"/>
              <w:jc w:val="right"/>
              <w:rPr>
                <w:sz w:val="14"/>
              </w:rPr>
            </w:pPr>
            <w:r>
              <w:rPr>
                <w:spacing w:val="-2"/>
                <w:sz w:val="14"/>
              </w:rPr>
              <w:t>3,442,264</w:t>
            </w:r>
          </w:p>
        </w:tc>
      </w:tr>
    </w:tbl>
    <w:p>
      <w:pPr>
        <w:pStyle w:val="BodyText"/>
        <w:spacing w:before="7"/>
        <w:rPr>
          <w:b/>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9"/>
        <w:gridCol w:w="2069"/>
        <w:gridCol w:w="1598"/>
      </w:tblGrid>
      <w:tr>
        <w:trPr>
          <w:trHeight w:val="215" w:hRule="atLeast"/>
        </w:trPr>
        <w:tc>
          <w:tcPr>
            <w:tcW w:w="7849" w:type="dxa"/>
            <w:shd w:val="clear" w:color="auto" w:fill="CCEDFF"/>
          </w:tcPr>
          <w:p>
            <w:pPr>
              <w:pStyle w:val="TableParagraph"/>
              <w:spacing w:before="17"/>
              <w:ind w:left="17"/>
              <w:rPr>
                <w:b/>
                <w:sz w:val="14"/>
              </w:rPr>
            </w:pPr>
            <w:r>
              <w:rPr>
                <w:b/>
                <w:sz w:val="14"/>
              </w:rPr>
              <w:t>Deferred</w:t>
            </w:r>
            <w:r>
              <w:rPr>
                <w:b/>
                <w:spacing w:val="7"/>
                <w:sz w:val="14"/>
              </w:rPr>
              <w:t> </w:t>
            </w:r>
            <w:r>
              <w:rPr>
                <w:b/>
                <w:sz w:val="14"/>
              </w:rPr>
              <w:t>income</w:t>
            </w:r>
            <w:r>
              <w:rPr>
                <w:b/>
                <w:spacing w:val="8"/>
                <w:sz w:val="14"/>
              </w:rPr>
              <w:t> </w:t>
            </w:r>
            <w:r>
              <w:rPr>
                <w:b/>
                <w:sz w:val="14"/>
              </w:rPr>
              <w:t>taxes,</w:t>
            </w:r>
            <w:r>
              <w:rPr>
                <w:b/>
                <w:spacing w:val="8"/>
                <w:sz w:val="14"/>
              </w:rPr>
              <w:t> </w:t>
            </w:r>
            <w:r>
              <w:rPr>
                <w:b/>
                <w:spacing w:val="-5"/>
                <w:sz w:val="14"/>
              </w:rPr>
              <w:t>net</w:t>
            </w:r>
          </w:p>
        </w:tc>
        <w:tc>
          <w:tcPr>
            <w:tcW w:w="2069" w:type="dxa"/>
            <w:shd w:val="clear" w:color="auto" w:fill="CCEDFF"/>
          </w:tcPr>
          <w:p>
            <w:pPr>
              <w:pStyle w:val="TableParagraph"/>
              <w:spacing w:before="17"/>
              <w:ind w:right="88"/>
              <w:jc w:val="right"/>
              <w:rPr>
                <w:sz w:val="14"/>
              </w:rPr>
            </w:pPr>
            <w:r>
              <w:rPr>
                <w:spacing w:val="-2"/>
                <w:sz w:val="14"/>
              </w:rPr>
              <w:t>2,969,443</w:t>
            </w:r>
          </w:p>
        </w:tc>
        <w:tc>
          <w:tcPr>
            <w:tcW w:w="1598" w:type="dxa"/>
            <w:shd w:val="clear" w:color="auto" w:fill="CCEDFF"/>
          </w:tcPr>
          <w:p>
            <w:pPr>
              <w:pStyle w:val="TableParagraph"/>
              <w:spacing w:before="17"/>
              <w:ind w:right="62"/>
              <w:jc w:val="right"/>
              <w:rPr>
                <w:sz w:val="14"/>
              </w:rPr>
            </w:pPr>
            <w:r>
              <w:rPr>
                <w:spacing w:val="-2"/>
                <w:sz w:val="14"/>
              </w:rPr>
              <w:t>2,439,364</w:t>
            </w:r>
          </w:p>
        </w:tc>
      </w:tr>
      <w:tr>
        <w:trPr>
          <w:trHeight w:val="229" w:hRule="atLeast"/>
        </w:trPr>
        <w:tc>
          <w:tcPr>
            <w:tcW w:w="7849" w:type="dxa"/>
          </w:tcPr>
          <w:p>
            <w:pPr>
              <w:pStyle w:val="TableParagraph"/>
              <w:spacing w:before="17"/>
              <w:ind w:left="17"/>
              <w:rPr>
                <w:b/>
                <w:sz w:val="14"/>
              </w:rPr>
            </w:pPr>
            <w:r>
              <w:rPr>
                <w:b/>
                <w:sz w:val="14"/>
              </w:rPr>
              <w:t>Long-term</w:t>
            </w:r>
            <w:r>
              <w:rPr>
                <w:b/>
                <w:spacing w:val="9"/>
                <w:sz w:val="14"/>
              </w:rPr>
              <w:t> </w:t>
            </w:r>
            <w:r>
              <w:rPr>
                <w:b/>
                <w:sz w:val="14"/>
              </w:rPr>
              <w:t>debt,</w:t>
            </w:r>
            <w:r>
              <w:rPr>
                <w:b/>
                <w:spacing w:val="9"/>
                <w:sz w:val="14"/>
              </w:rPr>
              <w:t> </w:t>
            </w:r>
            <w:r>
              <w:rPr>
                <w:b/>
                <w:spacing w:val="-5"/>
                <w:sz w:val="14"/>
              </w:rPr>
              <w:t>net</w:t>
            </w:r>
          </w:p>
        </w:tc>
        <w:tc>
          <w:tcPr>
            <w:tcW w:w="2069" w:type="dxa"/>
          </w:tcPr>
          <w:p>
            <w:pPr>
              <w:pStyle w:val="TableParagraph"/>
              <w:spacing w:before="17"/>
              <w:ind w:right="88"/>
              <w:jc w:val="right"/>
              <w:rPr>
                <w:sz w:val="14"/>
              </w:rPr>
            </w:pPr>
            <w:r>
              <w:rPr>
                <w:spacing w:val="-2"/>
                <w:sz w:val="14"/>
              </w:rPr>
              <w:t>7,432,817</w:t>
            </w:r>
          </w:p>
        </w:tc>
        <w:tc>
          <w:tcPr>
            <w:tcW w:w="1598" w:type="dxa"/>
          </w:tcPr>
          <w:p>
            <w:pPr>
              <w:pStyle w:val="TableParagraph"/>
              <w:spacing w:before="17"/>
              <w:ind w:right="62"/>
              <w:jc w:val="right"/>
              <w:rPr>
                <w:sz w:val="14"/>
              </w:rPr>
            </w:pPr>
            <w:r>
              <w:rPr>
                <w:spacing w:val="-2"/>
                <w:sz w:val="14"/>
              </w:rPr>
              <w:t>11,770,797</w:t>
            </w:r>
          </w:p>
        </w:tc>
      </w:tr>
      <w:tr>
        <w:trPr>
          <w:trHeight w:val="215" w:hRule="atLeast"/>
        </w:trPr>
        <w:tc>
          <w:tcPr>
            <w:tcW w:w="7849" w:type="dxa"/>
            <w:shd w:val="clear" w:color="auto" w:fill="CCEDFF"/>
          </w:tcPr>
          <w:p>
            <w:pPr>
              <w:pStyle w:val="TableParagraph"/>
              <w:spacing w:before="17"/>
              <w:ind w:left="17"/>
              <w:rPr>
                <w:b/>
                <w:sz w:val="14"/>
              </w:rPr>
            </w:pPr>
            <w:r>
              <w:rPr>
                <w:b/>
                <w:sz w:val="14"/>
              </w:rPr>
              <w:t>Operating</w:t>
            </w:r>
            <w:r>
              <w:rPr>
                <w:b/>
                <w:spacing w:val="9"/>
                <w:sz w:val="14"/>
              </w:rPr>
              <w:t> </w:t>
            </w:r>
            <w:r>
              <w:rPr>
                <w:b/>
                <w:sz w:val="14"/>
              </w:rPr>
              <w:t>lease</w:t>
            </w:r>
            <w:r>
              <w:rPr>
                <w:b/>
                <w:spacing w:val="9"/>
                <w:sz w:val="14"/>
              </w:rPr>
              <w:t> </w:t>
            </w:r>
            <w:r>
              <w:rPr>
                <w:b/>
                <w:spacing w:val="-2"/>
                <w:sz w:val="14"/>
              </w:rPr>
              <w:t>liabilities</w:t>
            </w:r>
          </w:p>
        </w:tc>
        <w:tc>
          <w:tcPr>
            <w:tcW w:w="2069" w:type="dxa"/>
            <w:shd w:val="clear" w:color="auto" w:fill="CCEDFF"/>
          </w:tcPr>
          <w:p>
            <w:pPr>
              <w:pStyle w:val="TableParagraph"/>
              <w:spacing w:before="17"/>
              <w:ind w:left="1330"/>
              <w:rPr>
                <w:sz w:val="14"/>
              </w:rPr>
            </w:pPr>
            <w:r>
              <w:rPr>
                <w:spacing w:val="-2"/>
                <w:sz w:val="14"/>
              </w:rPr>
              <w:t>25,149,299</w:t>
            </w:r>
          </w:p>
        </w:tc>
        <w:tc>
          <w:tcPr>
            <w:tcW w:w="1598" w:type="dxa"/>
            <w:shd w:val="clear" w:color="auto" w:fill="CCEDFF"/>
          </w:tcPr>
          <w:p>
            <w:pPr>
              <w:pStyle w:val="TableParagraph"/>
              <w:spacing w:before="17"/>
              <w:ind w:right="62"/>
              <w:jc w:val="right"/>
              <w:rPr>
                <w:sz w:val="14"/>
              </w:rPr>
            </w:pPr>
            <w:r>
              <w:rPr>
                <w:spacing w:val="-2"/>
                <w:sz w:val="14"/>
              </w:rPr>
              <w:t>11,802,464</w:t>
            </w:r>
          </w:p>
        </w:tc>
      </w:tr>
      <w:tr>
        <w:trPr>
          <w:trHeight w:val="215" w:hRule="atLeast"/>
        </w:trPr>
        <w:tc>
          <w:tcPr>
            <w:tcW w:w="7849" w:type="dxa"/>
          </w:tcPr>
          <w:p>
            <w:pPr>
              <w:pStyle w:val="TableParagraph"/>
              <w:spacing w:before="17"/>
              <w:ind w:left="17"/>
              <w:rPr>
                <w:b/>
                <w:sz w:val="14"/>
              </w:rPr>
            </w:pPr>
            <w:r>
              <w:rPr>
                <w:b/>
                <w:sz w:val="14"/>
              </w:rPr>
              <w:t>Other</w:t>
            </w:r>
            <w:r>
              <w:rPr>
                <w:b/>
                <w:spacing w:val="7"/>
                <w:sz w:val="14"/>
              </w:rPr>
              <w:t> </w:t>
            </w:r>
            <w:r>
              <w:rPr>
                <w:b/>
                <w:sz w:val="14"/>
              </w:rPr>
              <w:t>long-term</w:t>
            </w:r>
            <w:r>
              <w:rPr>
                <w:b/>
                <w:spacing w:val="9"/>
                <w:sz w:val="14"/>
              </w:rPr>
              <w:t> </w:t>
            </w:r>
            <w:r>
              <w:rPr>
                <w:b/>
                <w:spacing w:val="-2"/>
                <w:sz w:val="14"/>
              </w:rPr>
              <w:t>obligations</w:t>
            </w:r>
          </w:p>
        </w:tc>
        <w:tc>
          <w:tcPr>
            <w:tcW w:w="2069" w:type="dxa"/>
          </w:tcPr>
          <w:p>
            <w:pPr>
              <w:pStyle w:val="TableParagraph"/>
              <w:spacing w:before="17"/>
              <w:ind w:right="88"/>
              <w:jc w:val="right"/>
              <w:rPr>
                <w:sz w:val="14"/>
              </w:rPr>
            </w:pPr>
            <w:r>
              <w:rPr>
                <w:spacing w:val="-2"/>
                <w:sz w:val="14"/>
              </w:rPr>
              <w:t>256,282</w:t>
            </w:r>
          </w:p>
        </w:tc>
        <w:tc>
          <w:tcPr>
            <w:tcW w:w="1598" w:type="dxa"/>
          </w:tcPr>
          <w:p>
            <w:pPr>
              <w:pStyle w:val="TableParagraph"/>
              <w:spacing w:before="17"/>
              <w:ind w:right="62"/>
              <w:jc w:val="right"/>
              <w:rPr>
                <w:sz w:val="14"/>
              </w:rPr>
            </w:pPr>
            <w:r>
              <w:rPr>
                <w:spacing w:val="-2"/>
                <w:sz w:val="14"/>
              </w:rPr>
              <w:t>319,914</w:t>
            </w:r>
          </w:p>
        </w:tc>
      </w:tr>
      <w:tr>
        <w:trPr>
          <w:trHeight w:val="215" w:hRule="atLeast"/>
        </w:trPr>
        <w:tc>
          <w:tcPr>
            <w:tcW w:w="7849" w:type="dxa"/>
            <w:shd w:val="clear" w:color="auto" w:fill="CCEDFF"/>
          </w:tcPr>
          <w:p>
            <w:pPr>
              <w:pStyle w:val="TableParagraph"/>
              <w:spacing w:before="17"/>
              <w:ind w:left="17"/>
              <w:rPr>
                <w:b/>
                <w:sz w:val="14"/>
              </w:rPr>
            </w:pPr>
            <w:r>
              <w:rPr>
                <w:b/>
                <w:sz w:val="14"/>
              </w:rPr>
              <w:t>Commitments</w:t>
            </w:r>
            <w:r>
              <w:rPr>
                <w:b/>
                <w:spacing w:val="11"/>
                <w:sz w:val="14"/>
              </w:rPr>
              <w:t> </w:t>
            </w:r>
            <w:r>
              <w:rPr>
                <w:b/>
                <w:sz w:val="14"/>
              </w:rPr>
              <w:t>and</w:t>
            </w:r>
            <w:r>
              <w:rPr>
                <w:b/>
                <w:spacing w:val="11"/>
                <w:sz w:val="14"/>
              </w:rPr>
              <w:t> </w:t>
            </w:r>
            <w:r>
              <w:rPr>
                <w:b/>
                <w:sz w:val="14"/>
              </w:rPr>
              <w:t>contingencies</w:t>
            </w:r>
            <w:r>
              <w:rPr>
                <w:b/>
                <w:spacing w:val="11"/>
                <w:sz w:val="14"/>
              </w:rPr>
              <w:t> </w:t>
            </w:r>
            <w:r>
              <w:rPr>
                <w:b/>
                <w:sz w:val="14"/>
              </w:rPr>
              <w:t>(Note</w:t>
            </w:r>
            <w:r>
              <w:rPr>
                <w:b/>
                <w:spacing w:val="11"/>
                <w:sz w:val="14"/>
              </w:rPr>
              <w:t> </w:t>
            </w:r>
            <w:r>
              <w:rPr>
                <w:b/>
                <w:spacing w:val="-5"/>
                <w:sz w:val="14"/>
              </w:rPr>
              <w:t>12)</w:t>
            </w:r>
          </w:p>
        </w:tc>
        <w:tc>
          <w:tcPr>
            <w:tcW w:w="2069" w:type="dxa"/>
            <w:shd w:val="clear" w:color="auto" w:fill="CCEDFF"/>
          </w:tcPr>
          <w:p>
            <w:pPr>
              <w:pStyle w:val="TableParagraph"/>
              <w:spacing w:before="0"/>
              <w:rPr>
                <w:sz w:val="14"/>
              </w:rPr>
            </w:pPr>
          </w:p>
        </w:tc>
        <w:tc>
          <w:tcPr>
            <w:tcW w:w="1598" w:type="dxa"/>
            <w:shd w:val="clear" w:color="auto" w:fill="CCEDFF"/>
          </w:tcPr>
          <w:p>
            <w:pPr>
              <w:pStyle w:val="TableParagraph"/>
              <w:spacing w:before="0"/>
              <w:rPr>
                <w:sz w:val="14"/>
              </w:rPr>
            </w:pPr>
          </w:p>
        </w:tc>
      </w:tr>
      <w:tr>
        <w:trPr>
          <w:trHeight w:val="215" w:hRule="atLeast"/>
        </w:trPr>
        <w:tc>
          <w:tcPr>
            <w:tcW w:w="7849" w:type="dxa"/>
          </w:tcPr>
          <w:p>
            <w:pPr>
              <w:pStyle w:val="TableParagraph"/>
              <w:spacing w:before="17"/>
              <w:ind w:left="17"/>
              <w:rPr>
                <w:b/>
                <w:sz w:val="14"/>
              </w:rPr>
            </w:pPr>
            <w:r>
              <w:rPr>
                <w:b/>
                <w:sz w:val="14"/>
              </w:rPr>
              <w:t>Redeemable</w:t>
            </w:r>
            <w:r>
              <w:rPr>
                <w:b/>
                <w:spacing w:val="14"/>
                <w:sz w:val="14"/>
              </w:rPr>
              <w:t> </w:t>
            </w:r>
            <w:r>
              <w:rPr>
                <w:b/>
                <w:sz w:val="14"/>
              </w:rPr>
              <w:t>noncontrolling</w:t>
            </w:r>
            <w:r>
              <w:rPr>
                <w:b/>
                <w:spacing w:val="15"/>
                <w:sz w:val="14"/>
              </w:rPr>
              <w:t> </w:t>
            </w:r>
            <w:r>
              <w:rPr>
                <w:b/>
                <w:spacing w:val="-2"/>
                <w:sz w:val="14"/>
              </w:rPr>
              <w:t>interests</w:t>
            </w:r>
          </w:p>
        </w:tc>
        <w:tc>
          <w:tcPr>
            <w:tcW w:w="2069" w:type="dxa"/>
          </w:tcPr>
          <w:p>
            <w:pPr>
              <w:pStyle w:val="TableParagraph"/>
              <w:spacing w:before="17"/>
              <w:ind w:right="88"/>
              <w:jc w:val="right"/>
              <w:rPr>
                <w:sz w:val="14"/>
              </w:rPr>
            </w:pPr>
            <w:r>
              <w:rPr>
                <w:spacing w:val="-2"/>
                <w:sz w:val="14"/>
              </w:rPr>
              <w:t>158,350</w:t>
            </w:r>
          </w:p>
        </w:tc>
        <w:tc>
          <w:tcPr>
            <w:tcW w:w="1598" w:type="dxa"/>
          </w:tcPr>
          <w:p>
            <w:pPr>
              <w:pStyle w:val="TableParagraph"/>
              <w:spacing w:before="17"/>
              <w:ind w:right="62"/>
              <w:jc w:val="right"/>
              <w:rPr>
                <w:sz w:val="14"/>
              </w:rPr>
            </w:pPr>
            <w:r>
              <w:rPr>
                <w:spacing w:val="-2"/>
                <w:sz w:val="14"/>
              </w:rPr>
              <w:t>147,547</w:t>
            </w:r>
          </w:p>
        </w:tc>
      </w:tr>
      <w:tr>
        <w:trPr>
          <w:trHeight w:val="215" w:hRule="atLeast"/>
        </w:trPr>
        <w:tc>
          <w:tcPr>
            <w:tcW w:w="7849" w:type="dxa"/>
            <w:shd w:val="clear" w:color="auto" w:fill="CCEDFF"/>
          </w:tcPr>
          <w:p>
            <w:pPr>
              <w:pStyle w:val="TableParagraph"/>
              <w:spacing w:before="17"/>
              <w:ind w:left="17"/>
              <w:rPr>
                <w:b/>
                <w:sz w:val="14"/>
              </w:rPr>
            </w:pPr>
            <w:r>
              <w:rPr>
                <w:b/>
                <w:sz w:val="14"/>
              </w:rPr>
              <w:t>Stockholders'</w:t>
            </w:r>
            <w:r>
              <w:rPr>
                <w:b/>
                <w:spacing w:val="16"/>
                <w:sz w:val="14"/>
              </w:rPr>
              <w:t> </w:t>
            </w:r>
            <w:r>
              <w:rPr>
                <w:b/>
                <w:spacing w:val="-2"/>
                <w:sz w:val="14"/>
              </w:rPr>
              <w:t>equity</w:t>
            </w:r>
          </w:p>
        </w:tc>
        <w:tc>
          <w:tcPr>
            <w:tcW w:w="2069" w:type="dxa"/>
            <w:shd w:val="clear" w:color="auto" w:fill="CCEDFF"/>
          </w:tcPr>
          <w:p>
            <w:pPr>
              <w:pStyle w:val="TableParagraph"/>
              <w:spacing w:before="0"/>
              <w:rPr>
                <w:sz w:val="14"/>
              </w:rPr>
            </w:pPr>
          </w:p>
        </w:tc>
        <w:tc>
          <w:tcPr>
            <w:tcW w:w="1598" w:type="dxa"/>
            <w:shd w:val="clear" w:color="auto" w:fill="CCEDFF"/>
          </w:tcPr>
          <w:p>
            <w:pPr>
              <w:pStyle w:val="TableParagraph"/>
              <w:spacing w:before="0"/>
              <w:rPr>
                <w:sz w:val="14"/>
              </w:rPr>
            </w:pPr>
          </w:p>
        </w:tc>
      </w:tr>
      <w:tr>
        <w:trPr>
          <w:trHeight w:val="418" w:hRule="atLeast"/>
        </w:trPr>
        <w:tc>
          <w:tcPr>
            <w:tcW w:w="7849" w:type="dxa"/>
          </w:tcPr>
          <w:p>
            <w:pPr>
              <w:pStyle w:val="TableParagraph"/>
              <w:spacing w:line="190" w:lineRule="atLeast" w:before="2"/>
              <w:ind w:left="253" w:right="2663" w:hanging="36"/>
              <w:rPr>
                <w:sz w:val="14"/>
              </w:rPr>
            </w:pPr>
            <w:r>
              <w:rPr>
                <w:sz w:val="14"/>
              </w:rPr>
              <w:t>Common stock, $0.01 par value: authorized 1,000,000,000 shares, issued and</w:t>
            </w:r>
            <w:r>
              <w:rPr>
                <w:spacing w:val="40"/>
                <w:sz w:val="14"/>
              </w:rPr>
              <w:t> </w:t>
            </w:r>
            <w:r>
              <w:rPr>
                <w:sz w:val="14"/>
              </w:rPr>
              <w:t>outstanding 379,087,524 and 453,803,759 shares</w:t>
            </w:r>
          </w:p>
        </w:tc>
        <w:tc>
          <w:tcPr>
            <w:tcW w:w="2069" w:type="dxa"/>
          </w:tcPr>
          <w:p>
            <w:pPr>
              <w:pStyle w:val="TableParagraph"/>
              <w:spacing w:before="59"/>
              <w:rPr>
                <w:b/>
                <w:sz w:val="14"/>
              </w:rPr>
            </w:pPr>
          </w:p>
          <w:p>
            <w:pPr>
              <w:pStyle w:val="TableParagraph"/>
              <w:spacing w:before="0"/>
              <w:ind w:right="88"/>
              <w:jc w:val="right"/>
              <w:rPr>
                <w:sz w:val="14"/>
              </w:rPr>
            </w:pPr>
            <w:r>
              <w:rPr>
                <w:spacing w:val="-2"/>
                <w:sz w:val="14"/>
              </w:rPr>
              <w:t>3,791</w:t>
            </w:r>
          </w:p>
        </w:tc>
        <w:tc>
          <w:tcPr>
            <w:tcW w:w="1598" w:type="dxa"/>
          </w:tcPr>
          <w:p>
            <w:pPr>
              <w:pStyle w:val="TableParagraph"/>
              <w:spacing w:before="59"/>
              <w:rPr>
                <w:b/>
                <w:sz w:val="14"/>
              </w:rPr>
            </w:pPr>
          </w:p>
          <w:p>
            <w:pPr>
              <w:pStyle w:val="TableParagraph"/>
              <w:spacing w:before="0"/>
              <w:ind w:right="62"/>
              <w:jc w:val="right"/>
              <w:rPr>
                <w:sz w:val="14"/>
              </w:rPr>
            </w:pPr>
            <w:r>
              <w:rPr>
                <w:spacing w:val="-2"/>
                <w:sz w:val="14"/>
              </w:rPr>
              <w:t>4,538</w:t>
            </w:r>
          </w:p>
        </w:tc>
      </w:tr>
      <w:tr>
        <w:trPr>
          <w:trHeight w:val="215" w:hRule="atLeast"/>
        </w:trPr>
        <w:tc>
          <w:tcPr>
            <w:tcW w:w="7849" w:type="dxa"/>
            <w:shd w:val="clear" w:color="auto" w:fill="CCEDFF"/>
          </w:tcPr>
          <w:p>
            <w:pPr>
              <w:pStyle w:val="TableParagraph"/>
              <w:spacing w:before="17"/>
              <w:ind w:left="217"/>
              <w:rPr>
                <w:sz w:val="14"/>
              </w:rPr>
            </w:pPr>
            <w:r>
              <w:rPr>
                <w:sz w:val="14"/>
              </w:rPr>
              <w:t>Capital</w:t>
            </w:r>
            <w:r>
              <w:rPr>
                <w:spacing w:val="4"/>
                <w:sz w:val="14"/>
              </w:rPr>
              <w:t> </w:t>
            </w:r>
            <w:r>
              <w:rPr>
                <w:sz w:val="14"/>
              </w:rPr>
              <w:t>in</w:t>
            </w:r>
            <w:r>
              <w:rPr>
                <w:spacing w:val="5"/>
                <w:sz w:val="14"/>
              </w:rPr>
              <w:t> </w:t>
            </w:r>
            <w:r>
              <w:rPr>
                <w:sz w:val="14"/>
              </w:rPr>
              <w:t>excess</w:t>
            </w:r>
            <w:r>
              <w:rPr>
                <w:spacing w:val="5"/>
                <w:sz w:val="14"/>
              </w:rPr>
              <w:t> </w:t>
            </w:r>
            <w:r>
              <w:rPr>
                <w:sz w:val="14"/>
              </w:rPr>
              <w:t>of</w:t>
            </w:r>
            <w:r>
              <w:rPr>
                <w:spacing w:val="4"/>
                <w:sz w:val="14"/>
              </w:rPr>
              <w:t> </w:t>
            </w:r>
            <w:r>
              <w:rPr>
                <w:sz w:val="14"/>
              </w:rPr>
              <w:t>par</w:t>
            </w:r>
            <w:r>
              <w:rPr>
                <w:spacing w:val="5"/>
                <w:sz w:val="14"/>
              </w:rPr>
              <w:t> </w:t>
            </w:r>
            <w:r>
              <w:rPr>
                <w:spacing w:val="-2"/>
                <w:sz w:val="14"/>
              </w:rPr>
              <w:t>value</w:t>
            </w:r>
          </w:p>
        </w:tc>
        <w:tc>
          <w:tcPr>
            <w:tcW w:w="2069" w:type="dxa"/>
            <w:shd w:val="clear" w:color="auto" w:fill="CCEDFF"/>
          </w:tcPr>
          <w:p>
            <w:pPr>
              <w:pStyle w:val="TableParagraph"/>
              <w:spacing w:before="17"/>
              <w:ind w:right="88"/>
              <w:jc w:val="right"/>
              <w:rPr>
                <w:sz w:val="14"/>
              </w:rPr>
            </w:pPr>
            <w:r>
              <w:rPr>
                <w:spacing w:val="-10"/>
                <w:sz w:val="14"/>
              </w:rPr>
              <w:t>—</w:t>
            </w:r>
          </w:p>
        </w:tc>
        <w:tc>
          <w:tcPr>
            <w:tcW w:w="1598" w:type="dxa"/>
            <w:shd w:val="clear" w:color="auto" w:fill="CCEDFF"/>
          </w:tcPr>
          <w:p>
            <w:pPr>
              <w:pStyle w:val="TableParagraph"/>
              <w:spacing w:before="17"/>
              <w:ind w:right="62"/>
              <w:jc w:val="right"/>
              <w:rPr>
                <w:sz w:val="14"/>
              </w:rPr>
            </w:pPr>
            <w:r>
              <w:rPr>
                <w:spacing w:val="-2"/>
                <w:sz w:val="14"/>
              </w:rPr>
              <w:t>1,750,135</w:t>
            </w:r>
          </w:p>
        </w:tc>
      </w:tr>
      <w:tr>
        <w:trPr>
          <w:trHeight w:val="215" w:hRule="atLeast"/>
        </w:trPr>
        <w:tc>
          <w:tcPr>
            <w:tcW w:w="7849" w:type="dxa"/>
          </w:tcPr>
          <w:p>
            <w:pPr>
              <w:pStyle w:val="TableParagraph"/>
              <w:spacing w:before="17"/>
              <w:ind w:left="217"/>
              <w:rPr>
                <w:sz w:val="14"/>
              </w:rPr>
            </w:pPr>
            <w:r>
              <w:rPr>
                <w:sz w:val="14"/>
              </w:rPr>
              <w:t>Retained</w:t>
            </w:r>
            <w:r>
              <w:rPr>
                <w:spacing w:val="9"/>
                <w:sz w:val="14"/>
              </w:rPr>
              <w:t> </w:t>
            </w:r>
            <w:r>
              <w:rPr>
                <w:spacing w:val="-2"/>
                <w:sz w:val="14"/>
              </w:rPr>
              <w:t>earnings</w:t>
            </w:r>
          </w:p>
        </w:tc>
        <w:tc>
          <w:tcPr>
            <w:tcW w:w="2069" w:type="dxa"/>
          </w:tcPr>
          <w:p>
            <w:pPr>
              <w:pStyle w:val="TableParagraph"/>
              <w:spacing w:before="17"/>
              <w:ind w:right="88"/>
              <w:jc w:val="right"/>
              <w:rPr>
                <w:sz w:val="14"/>
              </w:rPr>
            </w:pPr>
            <w:r>
              <w:rPr>
                <w:spacing w:val="-2"/>
                <w:sz w:val="14"/>
              </w:rPr>
              <w:t>4,794,239</w:t>
            </w:r>
          </w:p>
        </w:tc>
        <w:tc>
          <w:tcPr>
            <w:tcW w:w="1598" w:type="dxa"/>
          </w:tcPr>
          <w:p>
            <w:pPr>
              <w:pStyle w:val="TableParagraph"/>
              <w:spacing w:before="17"/>
              <w:ind w:right="62"/>
              <w:jc w:val="right"/>
              <w:rPr>
                <w:sz w:val="14"/>
              </w:rPr>
            </w:pPr>
            <w:r>
              <w:rPr>
                <w:spacing w:val="-2"/>
                <w:sz w:val="14"/>
              </w:rPr>
              <w:t>4,340,588</w:t>
            </w:r>
          </w:p>
        </w:tc>
      </w:tr>
      <w:tr>
        <w:trPr>
          <w:trHeight w:val="215" w:hRule="atLeast"/>
        </w:trPr>
        <w:tc>
          <w:tcPr>
            <w:tcW w:w="7849" w:type="dxa"/>
            <w:shd w:val="clear" w:color="auto" w:fill="CCEDFF"/>
          </w:tcPr>
          <w:p>
            <w:pPr>
              <w:pStyle w:val="TableParagraph"/>
              <w:spacing w:before="31"/>
              <w:ind w:left="217"/>
              <w:rPr>
                <w:sz w:val="14"/>
              </w:rPr>
            </w:pPr>
            <w:r>
              <w:rPr>
                <w:sz w:val="14"/>
              </w:rPr>
              <w:t>Accumulated</w:t>
            </w:r>
            <w:r>
              <w:rPr>
                <w:spacing w:val="11"/>
                <w:sz w:val="14"/>
              </w:rPr>
              <w:t> </w:t>
            </w:r>
            <w:r>
              <w:rPr>
                <w:sz w:val="14"/>
              </w:rPr>
              <w:t>other</w:t>
            </w:r>
            <w:r>
              <w:rPr>
                <w:spacing w:val="11"/>
                <w:sz w:val="14"/>
              </w:rPr>
              <w:t> </w:t>
            </w:r>
            <w:r>
              <w:rPr>
                <w:sz w:val="14"/>
              </w:rPr>
              <w:t>comprehensive</w:t>
            </w:r>
            <w:r>
              <w:rPr>
                <w:spacing w:val="12"/>
                <w:sz w:val="14"/>
              </w:rPr>
              <w:t> </w:t>
            </w:r>
            <w:r>
              <w:rPr>
                <w:sz w:val="14"/>
              </w:rPr>
              <w:t>income</w:t>
            </w:r>
            <w:r>
              <w:rPr>
                <w:spacing w:val="11"/>
                <w:sz w:val="14"/>
              </w:rPr>
              <w:t> </w:t>
            </w:r>
            <w:r>
              <w:rPr>
                <w:spacing w:val="-2"/>
                <w:sz w:val="14"/>
              </w:rPr>
              <w:t>(loss)</w:t>
            </w:r>
          </w:p>
        </w:tc>
        <w:tc>
          <w:tcPr>
            <w:tcW w:w="2069" w:type="dxa"/>
            <w:shd w:val="clear" w:color="auto" w:fill="CCEDFF"/>
          </w:tcPr>
          <w:p>
            <w:pPr>
              <w:pStyle w:val="TableParagraph"/>
              <w:spacing w:before="17"/>
              <w:ind w:right="88"/>
              <w:jc w:val="right"/>
              <w:rPr>
                <w:sz w:val="14"/>
              </w:rPr>
            </w:pPr>
            <w:r>
              <w:rPr>
                <w:spacing w:val="-2"/>
                <w:sz w:val="14"/>
              </w:rPr>
              <w:t>33,499</w:t>
            </w:r>
          </w:p>
        </w:tc>
        <w:tc>
          <w:tcPr>
            <w:tcW w:w="1598" w:type="dxa"/>
            <w:tcBorders>
              <w:bottom w:val="single" w:sz="6" w:space="0" w:color="000000"/>
            </w:tcBorders>
            <w:shd w:val="clear" w:color="auto" w:fill="CCEDFF"/>
          </w:tcPr>
          <w:p>
            <w:pPr>
              <w:pStyle w:val="TableParagraph"/>
              <w:spacing w:before="17"/>
              <w:ind w:right="26"/>
              <w:jc w:val="right"/>
              <w:rPr>
                <w:sz w:val="14"/>
              </w:rPr>
            </w:pPr>
            <w:r>
              <w:rPr>
                <w:spacing w:val="-2"/>
                <w:sz w:val="14"/>
              </w:rPr>
              <w:t>(24,616)</w:t>
            </w:r>
          </w:p>
        </w:tc>
      </w:tr>
      <w:tr>
        <w:trPr>
          <w:trHeight w:val="215" w:hRule="atLeast"/>
        </w:trPr>
        <w:tc>
          <w:tcPr>
            <w:tcW w:w="7849" w:type="dxa"/>
          </w:tcPr>
          <w:p>
            <w:pPr>
              <w:pStyle w:val="TableParagraph"/>
              <w:spacing w:before="17"/>
              <w:ind w:left="462"/>
              <w:rPr>
                <w:sz w:val="14"/>
              </w:rPr>
            </w:pPr>
            <w:r>
              <w:rPr>
                <w:sz w:val="14"/>
              </w:rPr>
              <w:t>Total</w:t>
            </w:r>
            <w:r>
              <w:rPr>
                <w:spacing w:val="7"/>
                <w:sz w:val="14"/>
              </w:rPr>
              <w:t> </w:t>
            </w:r>
            <w:r>
              <w:rPr>
                <w:sz w:val="14"/>
              </w:rPr>
              <w:t>MGM</w:t>
            </w:r>
            <w:r>
              <w:rPr>
                <w:spacing w:val="8"/>
                <w:sz w:val="14"/>
              </w:rPr>
              <w:t> </w:t>
            </w:r>
            <w:r>
              <w:rPr>
                <w:sz w:val="14"/>
              </w:rPr>
              <w:t>Resorts</w:t>
            </w:r>
            <w:r>
              <w:rPr>
                <w:spacing w:val="8"/>
                <w:sz w:val="14"/>
              </w:rPr>
              <w:t> </w:t>
            </w:r>
            <w:r>
              <w:rPr>
                <w:sz w:val="14"/>
              </w:rPr>
              <w:t>International</w:t>
            </w:r>
            <w:r>
              <w:rPr>
                <w:spacing w:val="8"/>
                <w:sz w:val="14"/>
              </w:rPr>
              <w:t> </w:t>
            </w:r>
            <w:r>
              <w:rPr>
                <w:sz w:val="14"/>
              </w:rPr>
              <w:t>stockholders'</w:t>
            </w:r>
            <w:r>
              <w:rPr>
                <w:spacing w:val="8"/>
                <w:sz w:val="14"/>
              </w:rPr>
              <w:t> </w:t>
            </w:r>
            <w:r>
              <w:rPr>
                <w:spacing w:val="-2"/>
                <w:sz w:val="14"/>
              </w:rPr>
              <w:t>equity</w:t>
            </w:r>
          </w:p>
        </w:tc>
        <w:tc>
          <w:tcPr>
            <w:tcW w:w="2069" w:type="dxa"/>
            <w:tcBorders>
              <w:top w:val="single" w:sz="6" w:space="0" w:color="000000"/>
            </w:tcBorders>
          </w:tcPr>
          <w:p>
            <w:pPr>
              <w:pStyle w:val="TableParagraph"/>
              <w:spacing w:before="17"/>
              <w:ind w:right="88"/>
              <w:jc w:val="right"/>
              <w:rPr>
                <w:sz w:val="14"/>
              </w:rPr>
            </w:pPr>
            <w:r>
              <w:rPr>
                <w:spacing w:val="-2"/>
                <w:sz w:val="14"/>
              </w:rPr>
              <w:t>4,831,529</w:t>
            </w:r>
          </w:p>
        </w:tc>
        <w:tc>
          <w:tcPr>
            <w:tcW w:w="1598" w:type="dxa"/>
            <w:tcBorders>
              <w:top w:val="single" w:sz="6" w:space="0" w:color="000000"/>
            </w:tcBorders>
          </w:tcPr>
          <w:p>
            <w:pPr>
              <w:pStyle w:val="TableParagraph"/>
              <w:spacing w:before="17"/>
              <w:ind w:right="62"/>
              <w:jc w:val="right"/>
              <w:rPr>
                <w:sz w:val="14"/>
              </w:rPr>
            </w:pPr>
            <w:r>
              <w:rPr>
                <w:spacing w:val="-2"/>
                <w:sz w:val="14"/>
              </w:rPr>
              <w:t>6,070,645</w:t>
            </w:r>
          </w:p>
        </w:tc>
      </w:tr>
      <w:tr>
        <w:trPr>
          <w:trHeight w:val="228" w:hRule="atLeast"/>
        </w:trPr>
        <w:tc>
          <w:tcPr>
            <w:tcW w:w="7849" w:type="dxa"/>
            <w:shd w:val="clear" w:color="auto" w:fill="CCEDFF"/>
          </w:tcPr>
          <w:p>
            <w:pPr>
              <w:pStyle w:val="TableParagraph"/>
              <w:spacing w:before="31"/>
              <w:ind w:left="217"/>
              <w:rPr>
                <w:sz w:val="14"/>
              </w:rPr>
            </w:pPr>
            <w:r>
              <w:rPr>
                <w:sz w:val="14"/>
              </w:rPr>
              <w:t>Noncontrolling</w:t>
            </w:r>
            <w:r>
              <w:rPr>
                <w:spacing w:val="17"/>
                <w:sz w:val="14"/>
              </w:rPr>
              <w:t> </w:t>
            </w:r>
            <w:r>
              <w:rPr>
                <w:spacing w:val="-2"/>
                <w:sz w:val="14"/>
              </w:rPr>
              <w:t>interests</w:t>
            </w:r>
          </w:p>
        </w:tc>
        <w:tc>
          <w:tcPr>
            <w:tcW w:w="2069" w:type="dxa"/>
            <w:shd w:val="clear" w:color="auto" w:fill="CCEDFF"/>
          </w:tcPr>
          <w:p>
            <w:pPr>
              <w:pStyle w:val="TableParagraph"/>
              <w:spacing w:before="17"/>
              <w:ind w:right="88"/>
              <w:jc w:val="right"/>
              <w:rPr>
                <w:sz w:val="14"/>
              </w:rPr>
            </w:pPr>
            <w:r>
              <w:rPr>
                <w:spacing w:val="-2"/>
                <w:sz w:val="14"/>
              </w:rPr>
              <w:t>378,594</w:t>
            </w:r>
          </w:p>
        </w:tc>
        <w:tc>
          <w:tcPr>
            <w:tcW w:w="1598" w:type="dxa"/>
            <w:tcBorders>
              <w:bottom w:val="single" w:sz="6" w:space="0" w:color="000000"/>
            </w:tcBorders>
            <w:shd w:val="clear" w:color="auto" w:fill="CCEDFF"/>
          </w:tcPr>
          <w:p>
            <w:pPr>
              <w:pStyle w:val="TableParagraph"/>
              <w:spacing w:before="17"/>
              <w:ind w:right="62"/>
              <w:jc w:val="right"/>
              <w:rPr>
                <w:sz w:val="14"/>
              </w:rPr>
            </w:pPr>
            <w:r>
              <w:rPr>
                <w:spacing w:val="-2"/>
                <w:sz w:val="14"/>
              </w:rPr>
              <w:t>4,906,121</w:t>
            </w:r>
          </w:p>
        </w:tc>
      </w:tr>
      <w:tr>
        <w:trPr>
          <w:trHeight w:val="214" w:hRule="atLeast"/>
        </w:trPr>
        <w:tc>
          <w:tcPr>
            <w:tcW w:w="7849" w:type="dxa"/>
          </w:tcPr>
          <w:p>
            <w:pPr>
              <w:pStyle w:val="TableParagraph"/>
              <w:spacing w:before="17"/>
              <w:ind w:left="462"/>
              <w:rPr>
                <w:sz w:val="14"/>
              </w:rPr>
            </w:pPr>
            <w:r>
              <w:rPr>
                <w:sz w:val="14"/>
              </w:rPr>
              <w:t>Total</w:t>
            </w:r>
            <w:r>
              <w:rPr>
                <w:spacing w:val="4"/>
                <w:sz w:val="14"/>
              </w:rPr>
              <w:t> </w:t>
            </w:r>
            <w:r>
              <w:rPr>
                <w:sz w:val="14"/>
              </w:rPr>
              <w:t>stockholders'</w:t>
            </w:r>
            <w:r>
              <w:rPr>
                <w:spacing w:val="5"/>
                <w:sz w:val="14"/>
              </w:rPr>
              <w:t> </w:t>
            </w:r>
            <w:r>
              <w:rPr>
                <w:spacing w:val="-2"/>
                <w:sz w:val="14"/>
              </w:rPr>
              <w:t>equity</w:t>
            </w:r>
          </w:p>
        </w:tc>
        <w:tc>
          <w:tcPr>
            <w:tcW w:w="2069" w:type="dxa"/>
            <w:tcBorders>
              <w:top w:val="single" w:sz="6" w:space="0" w:color="000000"/>
            </w:tcBorders>
          </w:tcPr>
          <w:p>
            <w:pPr>
              <w:pStyle w:val="TableParagraph"/>
              <w:spacing w:before="17"/>
              <w:ind w:right="88"/>
              <w:jc w:val="right"/>
              <w:rPr>
                <w:sz w:val="14"/>
              </w:rPr>
            </w:pPr>
            <w:r>
              <w:rPr>
                <w:spacing w:val="-2"/>
                <w:sz w:val="14"/>
              </w:rPr>
              <w:t>5,210,123</w:t>
            </w:r>
          </w:p>
        </w:tc>
        <w:tc>
          <w:tcPr>
            <w:tcW w:w="1598" w:type="dxa"/>
            <w:tcBorders>
              <w:top w:val="single" w:sz="6" w:space="0" w:color="000000"/>
              <w:bottom w:val="single" w:sz="6" w:space="0" w:color="000000"/>
            </w:tcBorders>
          </w:tcPr>
          <w:p>
            <w:pPr>
              <w:pStyle w:val="TableParagraph"/>
              <w:spacing w:before="17"/>
              <w:ind w:right="62"/>
              <w:jc w:val="right"/>
              <w:rPr>
                <w:sz w:val="14"/>
              </w:rPr>
            </w:pPr>
            <w:r>
              <w:rPr>
                <w:spacing w:val="-2"/>
                <w:sz w:val="14"/>
              </w:rPr>
              <w:t>10,976,766</w:t>
            </w:r>
          </w:p>
        </w:tc>
      </w:tr>
      <w:tr>
        <w:trPr>
          <w:trHeight w:val="219" w:hRule="atLeast"/>
        </w:trPr>
        <w:tc>
          <w:tcPr>
            <w:tcW w:w="7849" w:type="dxa"/>
            <w:shd w:val="clear" w:color="auto" w:fill="CCEDFF"/>
          </w:tcPr>
          <w:p>
            <w:pPr>
              <w:pStyle w:val="TableParagraph"/>
              <w:spacing w:before="0"/>
              <w:rPr>
                <w:sz w:val="14"/>
              </w:rPr>
            </w:pPr>
          </w:p>
        </w:tc>
        <w:tc>
          <w:tcPr>
            <w:tcW w:w="2069" w:type="dxa"/>
            <w:tcBorders>
              <w:top w:val="single" w:sz="6" w:space="0" w:color="000000"/>
              <w:bottom w:val="double" w:sz="6" w:space="0" w:color="000000"/>
            </w:tcBorders>
            <w:shd w:val="clear" w:color="auto" w:fill="CCEDFF"/>
          </w:tcPr>
          <w:p>
            <w:pPr>
              <w:pStyle w:val="TableParagraph"/>
              <w:tabs>
                <w:tab w:pos="1330" w:val="left" w:leader="none"/>
              </w:tabs>
              <w:spacing w:before="17"/>
              <w:ind w:left="535"/>
              <w:rPr>
                <w:sz w:val="14"/>
              </w:rPr>
            </w:pPr>
            <w:r>
              <w:rPr>
                <w:spacing w:val="-10"/>
                <w:sz w:val="14"/>
              </w:rPr>
              <w:t>$</w:t>
            </w:r>
            <w:r>
              <w:rPr>
                <w:sz w:val="14"/>
              </w:rPr>
              <w:tab/>
            </w:r>
            <w:r>
              <w:rPr>
                <w:spacing w:val="-2"/>
                <w:sz w:val="14"/>
              </w:rPr>
              <w:t>45,692,206</w:t>
            </w:r>
          </w:p>
        </w:tc>
        <w:tc>
          <w:tcPr>
            <w:tcW w:w="1598" w:type="dxa"/>
            <w:tcBorders>
              <w:top w:val="single" w:sz="6" w:space="0" w:color="000000"/>
              <w:bottom w:val="double" w:sz="6" w:space="0" w:color="000000"/>
            </w:tcBorders>
            <w:shd w:val="clear" w:color="auto" w:fill="CCEDFF"/>
          </w:tcPr>
          <w:p>
            <w:pPr>
              <w:pStyle w:val="TableParagraph"/>
              <w:tabs>
                <w:tab w:pos="800" w:val="left" w:leader="none"/>
              </w:tabs>
              <w:spacing w:before="17"/>
              <w:ind w:right="62"/>
              <w:jc w:val="right"/>
              <w:rPr>
                <w:sz w:val="14"/>
              </w:rPr>
            </w:pPr>
            <w:r>
              <w:rPr>
                <w:spacing w:val="-10"/>
                <w:sz w:val="14"/>
              </w:rPr>
              <w:t>$</w:t>
            </w:r>
            <w:r>
              <w:rPr>
                <w:sz w:val="14"/>
              </w:rPr>
              <w:tab/>
            </w:r>
            <w:r>
              <w:rPr>
                <w:spacing w:val="-2"/>
                <w:sz w:val="14"/>
              </w:rPr>
              <w:t>40,899,116</w:t>
            </w:r>
          </w:p>
        </w:tc>
      </w:tr>
    </w:tbl>
    <w:p>
      <w:pPr>
        <w:pStyle w:val="BodyText"/>
        <w:spacing w:before="113"/>
        <w:rPr>
          <w:b/>
        </w:rPr>
      </w:pPr>
    </w:p>
    <w:p>
      <w:pPr>
        <w:spacing w:before="0"/>
        <w:ind w:left="24" w:right="0" w:firstLine="0"/>
        <w:jc w:val="center"/>
        <w:rPr>
          <w:i/>
          <w:sz w:val="18"/>
        </w:rPr>
      </w:pPr>
      <w:r>
        <w:rPr>
          <w:i/>
          <w:sz w:val="18"/>
        </w:rPr>
        <w:t>The</w:t>
      </w:r>
      <w:r>
        <w:rPr>
          <w:i/>
          <w:spacing w:val="-2"/>
          <w:sz w:val="18"/>
        </w:rPr>
        <w:t> </w:t>
      </w:r>
      <w:r>
        <w:rPr>
          <w:i/>
          <w:sz w:val="18"/>
        </w:rPr>
        <w:t>accompanying</w:t>
      </w:r>
      <w:r>
        <w:rPr>
          <w:i/>
          <w:spacing w:val="-2"/>
          <w:sz w:val="18"/>
        </w:rPr>
        <w:t> </w:t>
      </w:r>
      <w:r>
        <w:rPr>
          <w:i/>
          <w:sz w:val="18"/>
        </w:rPr>
        <w:t>notes</w:t>
      </w:r>
      <w:r>
        <w:rPr>
          <w:i/>
          <w:spacing w:val="-1"/>
          <w:sz w:val="18"/>
        </w:rPr>
        <w:t> </w:t>
      </w:r>
      <w:r>
        <w:rPr>
          <w:i/>
          <w:sz w:val="18"/>
        </w:rPr>
        <w:t>are</w:t>
      </w:r>
      <w:r>
        <w:rPr>
          <w:i/>
          <w:spacing w:val="-2"/>
          <w:sz w:val="18"/>
        </w:rPr>
        <w:t> </w:t>
      </w:r>
      <w:r>
        <w:rPr>
          <w:i/>
          <w:sz w:val="18"/>
        </w:rPr>
        <w:t>an</w:t>
      </w:r>
      <w:r>
        <w:rPr>
          <w:i/>
          <w:spacing w:val="-2"/>
          <w:sz w:val="18"/>
        </w:rPr>
        <w:t> </w:t>
      </w:r>
      <w:r>
        <w:rPr>
          <w:i/>
          <w:sz w:val="18"/>
        </w:rPr>
        <w:t>integral</w:t>
      </w:r>
      <w:r>
        <w:rPr>
          <w:i/>
          <w:spacing w:val="-1"/>
          <w:sz w:val="18"/>
        </w:rPr>
        <w:t> </w:t>
      </w:r>
      <w:r>
        <w:rPr>
          <w:i/>
          <w:sz w:val="18"/>
        </w:rPr>
        <w:t>part</w:t>
      </w:r>
      <w:r>
        <w:rPr>
          <w:i/>
          <w:spacing w:val="-2"/>
          <w:sz w:val="18"/>
        </w:rPr>
        <w:t> </w:t>
      </w:r>
      <w:r>
        <w:rPr>
          <w:i/>
          <w:sz w:val="18"/>
        </w:rPr>
        <w:t>of</w:t>
      </w:r>
      <w:r>
        <w:rPr>
          <w:i/>
          <w:spacing w:val="-2"/>
          <w:sz w:val="18"/>
        </w:rPr>
        <w:t> </w:t>
      </w:r>
      <w:r>
        <w:rPr>
          <w:i/>
          <w:sz w:val="18"/>
        </w:rPr>
        <w:t>these</w:t>
      </w:r>
      <w:r>
        <w:rPr>
          <w:i/>
          <w:spacing w:val="-1"/>
          <w:sz w:val="18"/>
        </w:rPr>
        <w:t> </w:t>
      </w:r>
      <w:r>
        <w:rPr>
          <w:i/>
          <w:sz w:val="18"/>
        </w:rPr>
        <w:t>consolidated</w:t>
      </w:r>
      <w:r>
        <w:rPr>
          <w:i/>
          <w:spacing w:val="-2"/>
          <w:sz w:val="18"/>
        </w:rPr>
        <w:t> </w:t>
      </w:r>
      <w:r>
        <w:rPr>
          <w:i/>
          <w:sz w:val="18"/>
        </w:rPr>
        <w:t>financial</w:t>
      </w:r>
      <w:r>
        <w:rPr>
          <w:i/>
          <w:spacing w:val="-1"/>
          <w:sz w:val="18"/>
        </w:rPr>
        <w:t> </w:t>
      </w:r>
      <w:r>
        <w:rPr>
          <w:i/>
          <w:spacing w:val="-2"/>
          <w:sz w:val="18"/>
        </w:rPr>
        <w:t>statements.</w:t>
      </w:r>
    </w:p>
    <w:p>
      <w:pPr>
        <w:pStyle w:val="BodyText"/>
        <w:rPr>
          <w:i/>
        </w:rPr>
      </w:pPr>
    </w:p>
    <w:p>
      <w:pPr>
        <w:pStyle w:val="BodyText"/>
        <w:spacing w:before="189"/>
        <w:rPr>
          <w:i/>
        </w:rPr>
      </w:pPr>
    </w:p>
    <w:p>
      <w:pPr>
        <w:pStyle w:val="BodyText"/>
        <w:ind w:left="24"/>
        <w:jc w:val="center"/>
      </w:pPr>
      <w:bookmarkStart w:name="_bookmark14" w:id="15"/>
      <w:bookmarkEnd w:id="15"/>
      <w:r>
        <w:rPr/>
      </w:r>
      <w:r>
        <w:rPr>
          <w:spacing w:val="-5"/>
        </w:rPr>
        <w:t>57</w:t>
      </w:r>
    </w:p>
    <w:p>
      <w:pPr>
        <w:pStyle w:val="BodyText"/>
        <w:spacing w:before="3"/>
        <w:rPr>
          <w:sz w:val="6"/>
        </w:rPr>
      </w:pPr>
      <w:r>
        <w:rPr/>
        <mc:AlternateContent>
          <mc:Choice Requires="wps">
            <w:drawing>
              <wp:anchor distT="0" distB="0" distL="0" distR="0" allowOverlap="1" layoutInCell="1" locked="0" behindDoc="1" simplePos="0" relativeHeight="487647232">
                <wp:simplePos x="0" y="0"/>
                <wp:positionH relativeFrom="page">
                  <wp:posOffset>231457</wp:posOffset>
                </wp:positionH>
                <wp:positionV relativeFrom="paragraph">
                  <wp:posOffset>60956</wp:posOffset>
                </wp:positionV>
                <wp:extent cx="7312659" cy="17145"/>
                <wp:effectExtent l="0" t="0" r="0" b="0"/>
                <wp:wrapTopAndBottom/>
                <wp:docPr id="321" name="Group 321"/>
                <wp:cNvGraphicFramePr>
                  <a:graphicFrameLocks/>
                </wp:cNvGraphicFramePr>
                <a:graphic>
                  <a:graphicData uri="http://schemas.microsoft.com/office/word/2010/wordprocessingGroup">
                    <wpg:wgp>
                      <wpg:cNvPr id="321" name="Group 321"/>
                      <wpg:cNvGrpSpPr/>
                      <wpg:grpSpPr>
                        <a:xfrm>
                          <a:off x="0" y="0"/>
                          <a:ext cx="7312659" cy="17145"/>
                          <a:chExt cx="7312659" cy="17145"/>
                        </a:xfrm>
                      </wpg:grpSpPr>
                      <wps:wsp>
                        <wps:cNvPr id="322" name="Graphic 32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23" name="Graphic 323"/>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4" name="Graphic 32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9248;mso-wrap-distance-left:0;mso-wrap-distance-right:0" id="docshapegroup319" coordorigin="364,96" coordsize="11516,27">
                <v:rect style="position:absolute;left:364;top:96;width:11516;height:14" id="docshape320" filled="true" fillcolor="#999999" stroked="false">
                  <v:fill type="solid"/>
                </v:rect>
                <v:shape style="position:absolute;left:364;top:95;width:11516;height:27" id="docshape321" coordorigin="364,96" coordsize="11516,27" path="m11880,96l11866,109,364,109,364,123,11866,123,11880,123,11880,109,11880,96xe" filled="true" fillcolor="#ededed" stroked="false">
                  <v:path arrowok="t"/>
                  <v:fill type="solid"/>
                </v:shape>
                <v:shape style="position:absolute;left:364;top:96;width:14;height:27" id="docshape322"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4"/>
        <w:spacing w:line="249" w:lineRule="auto" w:before="69"/>
        <w:ind w:left="3799" w:right="3218" w:firstLine="96"/>
      </w:pPr>
      <w:bookmarkStart w:name="_bookmark15" w:id="16"/>
      <w:bookmarkEnd w:id="16"/>
      <w:r>
        <w:rPr>
          <w:b w:val="0"/>
        </w:rPr>
      </w:r>
      <w:r>
        <w:rPr/>
        <w:t>MGM</w:t>
      </w:r>
      <w:r>
        <w:rPr>
          <w:spacing w:val="-12"/>
        </w:rPr>
        <w:t> </w:t>
      </w:r>
      <w:r>
        <w:rPr/>
        <w:t>RESORTS</w:t>
      </w:r>
      <w:r>
        <w:rPr>
          <w:spacing w:val="-11"/>
        </w:rPr>
        <w:t> </w:t>
      </w:r>
      <w:r>
        <w:rPr/>
        <w:t>INTERNATIONAL</w:t>
      </w:r>
      <w:r>
        <w:rPr>
          <w:spacing w:val="-20"/>
        </w:rPr>
        <w:t> </w:t>
      </w:r>
      <w:r>
        <w:rPr/>
        <w:t>AND</w:t>
      </w:r>
      <w:r>
        <w:rPr>
          <w:spacing w:val="-11"/>
        </w:rPr>
        <w:t> </w:t>
      </w:r>
      <w:r>
        <w:rPr/>
        <w:t>SUBSIDIARIES CONSOLIDATED STATEMENTS OF OPERATIONS</w:t>
      </w:r>
    </w:p>
    <w:p>
      <w:pPr>
        <w:pStyle w:val="Heading6"/>
        <w:spacing w:line="195" w:lineRule="exact"/>
      </w:pPr>
      <w:r>
        <w:rPr/>
        <w:t>(In</w:t>
      </w:r>
      <w:r>
        <w:rPr>
          <w:spacing w:val="-1"/>
        </w:rPr>
        <w:t> </w:t>
      </w:r>
      <w:r>
        <w:rPr/>
        <w:t>thousands,</w:t>
      </w:r>
      <w:r>
        <w:rPr>
          <w:spacing w:val="-1"/>
        </w:rPr>
        <w:t> </w:t>
      </w:r>
      <w:r>
        <w:rPr/>
        <w:t>except</w:t>
      </w:r>
      <w:r>
        <w:rPr>
          <w:spacing w:val="-1"/>
        </w:rPr>
        <w:t> </w:t>
      </w:r>
      <w:r>
        <w:rPr/>
        <w:t>per</w:t>
      </w:r>
      <w:r>
        <w:rPr>
          <w:spacing w:val="-1"/>
        </w:rPr>
        <w:t> </w:t>
      </w:r>
      <w:r>
        <w:rPr/>
        <w:t>share</w:t>
      </w:r>
      <w:r>
        <w:rPr>
          <w:spacing w:val="-1"/>
        </w:rPr>
        <w:t> </w:t>
      </w:r>
      <w:r>
        <w:rPr>
          <w:spacing w:val="-2"/>
        </w:rPr>
        <w:t>data)</w:t>
      </w:r>
    </w:p>
    <w:p>
      <w:pPr>
        <w:pStyle w:val="BodyText"/>
        <w:spacing w:before="66"/>
        <w:rPr>
          <w:b/>
          <w:i/>
          <w:sz w:val="17"/>
        </w:rPr>
      </w:pPr>
    </w:p>
    <w:p>
      <w:pPr>
        <w:spacing w:before="0" w:after="51"/>
        <w:ind w:left="0" w:right="1551" w:firstLine="0"/>
        <w:jc w:val="right"/>
        <w:rPr>
          <w:b/>
          <w:sz w:val="17"/>
        </w:rPr>
      </w:pPr>
      <w:r>
        <w:rPr>
          <w:b/>
          <w:sz w:val="17"/>
        </w:rPr>
        <w:t>Year</w:t>
      </w:r>
      <w:r>
        <w:rPr>
          <w:b/>
          <w:spacing w:val="-10"/>
          <w:sz w:val="17"/>
        </w:rPr>
        <w:t> </w:t>
      </w:r>
      <w:r>
        <w:rPr>
          <w:b/>
          <w:sz w:val="17"/>
        </w:rPr>
        <w:t>Ended</w:t>
      </w:r>
      <w:r>
        <w:rPr>
          <w:b/>
          <w:spacing w:val="-6"/>
          <w:sz w:val="17"/>
        </w:rPr>
        <w:t> </w:t>
      </w:r>
      <w:r>
        <w:rPr>
          <w:b/>
          <w:sz w:val="17"/>
        </w:rPr>
        <w:t>December</w:t>
      </w:r>
      <w:r>
        <w:rPr>
          <w:b/>
          <w:spacing w:val="-9"/>
          <w:sz w:val="17"/>
        </w:rPr>
        <w:t> </w:t>
      </w:r>
      <w:r>
        <w:rPr>
          <w:b/>
          <w:spacing w:val="-5"/>
          <w:sz w:val="17"/>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0"/>
        <w:gridCol w:w="1575"/>
        <w:gridCol w:w="1619"/>
        <w:gridCol w:w="1572"/>
      </w:tblGrid>
      <w:tr>
        <w:trPr>
          <w:trHeight w:val="241" w:hRule="atLeast"/>
        </w:trPr>
        <w:tc>
          <w:tcPr>
            <w:tcW w:w="8325" w:type="dxa"/>
            <w:gridSpan w:val="2"/>
          </w:tcPr>
          <w:p>
            <w:pPr>
              <w:pStyle w:val="TableParagraph"/>
              <w:spacing w:before="16"/>
              <w:ind w:right="636"/>
              <w:jc w:val="right"/>
              <w:rPr>
                <w:b/>
                <w:sz w:val="17"/>
              </w:rPr>
            </w:pPr>
            <w:r>
              <w:rPr>
                <w:b/>
                <w:spacing w:val="-4"/>
                <w:sz w:val="17"/>
              </w:rPr>
              <w:t>2022</w:t>
            </w:r>
          </w:p>
        </w:tc>
        <w:tc>
          <w:tcPr>
            <w:tcW w:w="1619" w:type="dxa"/>
            <w:tcBorders>
              <w:top w:val="single" w:sz="6" w:space="0" w:color="000000"/>
            </w:tcBorders>
          </w:tcPr>
          <w:p>
            <w:pPr>
              <w:pStyle w:val="TableParagraph"/>
              <w:spacing w:before="16"/>
              <w:jc w:val="center"/>
              <w:rPr>
                <w:b/>
                <w:sz w:val="17"/>
              </w:rPr>
            </w:pPr>
            <w:r>
              <w:rPr>
                <w:b/>
                <w:spacing w:val="-4"/>
                <w:sz w:val="17"/>
              </w:rPr>
              <w:t>2021</w:t>
            </w:r>
          </w:p>
        </w:tc>
        <w:tc>
          <w:tcPr>
            <w:tcW w:w="1572" w:type="dxa"/>
            <w:tcBorders>
              <w:top w:val="single" w:sz="6" w:space="0" w:color="000000"/>
            </w:tcBorders>
          </w:tcPr>
          <w:p>
            <w:pPr>
              <w:pStyle w:val="TableParagraph"/>
              <w:spacing w:before="16"/>
              <w:ind w:left="105" w:right="56"/>
              <w:jc w:val="center"/>
              <w:rPr>
                <w:b/>
                <w:sz w:val="17"/>
              </w:rPr>
            </w:pPr>
            <w:r>
              <w:rPr>
                <w:b/>
                <w:spacing w:val="-4"/>
                <w:sz w:val="17"/>
              </w:rPr>
              <w:t>2020</w:t>
            </w:r>
          </w:p>
        </w:tc>
      </w:tr>
      <w:tr>
        <w:trPr>
          <w:trHeight w:val="255" w:hRule="atLeast"/>
        </w:trPr>
        <w:tc>
          <w:tcPr>
            <w:tcW w:w="6750" w:type="dxa"/>
            <w:shd w:val="clear" w:color="auto" w:fill="CCEDFF"/>
          </w:tcPr>
          <w:p>
            <w:pPr>
              <w:pStyle w:val="TableParagraph"/>
              <w:spacing w:before="16"/>
              <w:ind w:left="17"/>
              <w:rPr>
                <w:b/>
                <w:sz w:val="17"/>
              </w:rPr>
            </w:pPr>
            <w:r>
              <w:rPr>
                <w:b/>
                <w:spacing w:val="-2"/>
                <w:sz w:val="17"/>
              </w:rPr>
              <w:t>Revenues</w:t>
            </w:r>
          </w:p>
        </w:tc>
        <w:tc>
          <w:tcPr>
            <w:tcW w:w="1575" w:type="dxa"/>
            <w:tcBorders>
              <w:top w:val="single" w:sz="6" w:space="0" w:color="000000"/>
            </w:tcBorders>
            <w:shd w:val="clear" w:color="auto" w:fill="CCEDFF"/>
          </w:tcPr>
          <w:p>
            <w:pPr>
              <w:pStyle w:val="TableParagraph"/>
              <w:spacing w:before="0"/>
              <w:rPr>
                <w:sz w:val="16"/>
              </w:rPr>
            </w:pPr>
          </w:p>
        </w:tc>
        <w:tc>
          <w:tcPr>
            <w:tcW w:w="1619" w:type="dxa"/>
            <w:tcBorders>
              <w:top w:val="single" w:sz="6" w:space="0" w:color="000000"/>
            </w:tcBorders>
            <w:shd w:val="clear" w:color="auto" w:fill="CCEDFF"/>
          </w:tcPr>
          <w:p>
            <w:pPr>
              <w:pStyle w:val="TableParagraph"/>
              <w:spacing w:before="0"/>
              <w:rPr>
                <w:sz w:val="16"/>
              </w:rPr>
            </w:pPr>
          </w:p>
        </w:tc>
        <w:tc>
          <w:tcPr>
            <w:tcW w:w="1572" w:type="dxa"/>
            <w:tcBorders>
              <w:top w:val="single" w:sz="6" w:space="0" w:color="000000"/>
            </w:tcBorders>
            <w:shd w:val="clear" w:color="auto" w:fill="CCEDFF"/>
          </w:tcPr>
          <w:p>
            <w:pPr>
              <w:pStyle w:val="TableParagraph"/>
              <w:spacing w:before="0"/>
              <w:rPr>
                <w:sz w:val="16"/>
              </w:rPr>
            </w:pPr>
          </w:p>
        </w:tc>
      </w:tr>
      <w:tr>
        <w:trPr>
          <w:trHeight w:val="242" w:hRule="atLeast"/>
        </w:trPr>
        <w:tc>
          <w:tcPr>
            <w:tcW w:w="6750" w:type="dxa"/>
          </w:tcPr>
          <w:p>
            <w:pPr>
              <w:pStyle w:val="TableParagraph"/>
              <w:spacing w:before="16"/>
              <w:ind w:left="217"/>
              <w:rPr>
                <w:sz w:val="17"/>
              </w:rPr>
            </w:pPr>
            <w:r>
              <w:rPr>
                <w:spacing w:val="-2"/>
                <w:sz w:val="17"/>
              </w:rPr>
              <w:t>Casino</w:t>
            </w:r>
          </w:p>
        </w:tc>
        <w:tc>
          <w:tcPr>
            <w:tcW w:w="1575" w:type="dxa"/>
          </w:tcPr>
          <w:p>
            <w:pPr>
              <w:pStyle w:val="TableParagraph"/>
              <w:tabs>
                <w:tab w:pos="747" w:val="left" w:leader="none"/>
              </w:tabs>
              <w:spacing w:before="16"/>
              <w:ind w:right="117"/>
              <w:jc w:val="right"/>
              <w:rPr>
                <w:sz w:val="17"/>
              </w:rPr>
            </w:pPr>
            <w:r>
              <w:rPr>
                <w:spacing w:val="-10"/>
                <w:sz w:val="17"/>
              </w:rPr>
              <w:t>$</w:t>
            </w:r>
            <w:r>
              <w:rPr>
                <w:sz w:val="17"/>
              </w:rPr>
              <w:tab/>
            </w:r>
            <w:r>
              <w:rPr>
                <w:spacing w:val="-2"/>
                <w:sz w:val="17"/>
              </w:rPr>
              <w:t>5,734,173</w:t>
            </w:r>
          </w:p>
        </w:tc>
        <w:tc>
          <w:tcPr>
            <w:tcW w:w="1619" w:type="dxa"/>
          </w:tcPr>
          <w:p>
            <w:pPr>
              <w:pStyle w:val="TableParagraph"/>
              <w:tabs>
                <w:tab w:pos="815" w:val="left" w:leader="none"/>
              </w:tabs>
              <w:spacing w:before="16"/>
              <w:ind w:left="67"/>
              <w:rPr>
                <w:sz w:val="17"/>
              </w:rPr>
            </w:pPr>
            <w:r>
              <w:rPr>
                <w:spacing w:val="-10"/>
                <w:sz w:val="17"/>
              </w:rPr>
              <w:t>$</w:t>
            </w:r>
            <w:r>
              <w:rPr>
                <w:sz w:val="17"/>
              </w:rPr>
              <w:tab/>
            </w:r>
            <w:r>
              <w:rPr>
                <w:spacing w:val="-2"/>
                <w:sz w:val="17"/>
              </w:rPr>
              <w:t>5,362,912</w:t>
            </w:r>
          </w:p>
        </w:tc>
        <w:tc>
          <w:tcPr>
            <w:tcW w:w="1572" w:type="dxa"/>
          </w:tcPr>
          <w:p>
            <w:pPr>
              <w:pStyle w:val="TableParagraph"/>
              <w:tabs>
                <w:tab w:pos="748" w:val="left" w:leader="none"/>
              </w:tabs>
              <w:spacing w:before="16"/>
              <w:ind w:right="69"/>
              <w:jc w:val="right"/>
              <w:rPr>
                <w:sz w:val="17"/>
              </w:rPr>
            </w:pPr>
            <w:r>
              <w:rPr>
                <w:spacing w:val="-10"/>
                <w:sz w:val="17"/>
              </w:rPr>
              <w:t>$</w:t>
            </w:r>
            <w:r>
              <w:rPr>
                <w:sz w:val="17"/>
              </w:rPr>
              <w:tab/>
            </w:r>
            <w:r>
              <w:rPr>
                <w:spacing w:val="-2"/>
                <w:sz w:val="17"/>
              </w:rPr>
              <w:t>2,871,720</w:t>
            </w:r>
          </w:p>
        </w:tc>
      </w:tr>
      <w:tr>
        <w:trPr>
          <w:trHeight w:val="256" w:hRule="atLeast"/>
        </w:trPr>
        <w:tc>
          <w:tcPr>
            <w:tcW w:w="6750" w:type="dxa"/>
            <w:shd w:val="clear" w:color="auto" w:fill="CCEDFF"/>
          </w:tcPr>
          <w:p>
            <w:pPr>
              <w:pStyle w:val="TableParagraph"/>
              <w:spacing w:before="16"/>
              <w:ind w:left="217"/>
              <w:rPr>
                <w:sz w:val="17"/>
              </w:rPr>
            </w:pPr>
            <w:r>
              <w:rPr>
                <w:spacing w:val="-2"/>
                <w:sz w:val="17"/>
              </w:rPr>
              <w:t>Rooms</w:t>
            </w:r>
          </w:p>
        </w:tc>
        <w:tc>
          <w:tcPr>
            <w:tcW w:w="1575" w:type="dxa"/>
            <w:shd w:val="clear" w:color="auto" w:fill="CCEDFF"/>
          </w:tcPr>
          <w:p>
            <w:pPr>
              <w:pStyle w:val="TableParagraph"/>
              <w:spacing w:before="16"/>
              <w:ind w:right="117"/>
              <w:jc w:val="right"/>
              <w:rPr>
                <w:sz w:val="17"/>
              </w:rPr>
            </w:pPr>
            <w:r>
              <w:rPr>
                <w:spacing w:val="-2"/>
                <w:sz w:val="17"/>
              </w:rPr>
              <w:t>3,057,145</w:t>
            </w:r>
          </w:p>
        </w:tc>
        <w:tc>
          <w:tcPr>
            <w:tcW w:w="1619" w:type="dxa"/>
            <w:shd w:val="clear" w:color="auto" w:fill="CCEDFF"/>
          </w:tcPr>
          <w:p>
            <w:pPr>
              <w:pStyle w:val="TableParagraph"/>
              <w:spacing w:before="16"/>
              <w:ind w:right="118"/>
              <w:jc w:val="right"/>
              <w:rPr>
                <w:sz w:val="17"/>
              </w:rPr>
            </w:pPr>
            <w:r>
              <w:rPr>
                <w:spacing w:val="-2"/>
                <w:sz w:val="17"/>
              </w:rPr>
              <w:t>1,690,037</w:t>
            </w:r>
          </w:p>
        </w:tc>
        <w:tc>
          <w:tcPr>
            <w:tcW w:w="1572" w:type="dxa"/>
            <w:shd w:val="clear" w:color="auto" w:fill="CCEDFF"/>
          </w:tcPr>
          <w:p>
            <w:pPr>
              <w:pStyle w:val="TableParagraph"/>
              <w:spacing w:before="16"/>
              <w:ind w:right="69"/>
              <w:jc w:val="right"/>
              <w:rPr>
                <w:sz w:val="17"/>
              </w:rPr>
            </w:pPr>
            <w:r>
              <w:rPr>
                <w:spacing w:val="-2"/>
                <w:sz w:val="17"/>
              </w:rPr>
              <w:t>830,382</w:t>
            </w:r>
          </w:p>
        </w:tc>
      </w:tr>
      <w:tr>
        <w:trPr>
          <w:trHeight w:val="242" w:hRule="atLeast"/>
        </w:trPr>
        <w:tc>
          <w:tcPr>
            <w:tcW w:w="6750" w:type="dxa"/>
          </w:tcPr>
          <w:p>
            <w:pPr>
              <w:pStyle w:val="TableParagraph"/>
              <w:spacing w:before="16"/>
              <w:ind w:left="217"/>
              <w:rPr>
                <w:sz w:val="17"/>
              </w:rPr>
            </w:pPr>
            <w:r>
              <w:rPr>
                <w:sz w:val="17"/>
              </w:rPr>
              <w:t>Food and </w:t>
            </w:r>
            <w:r>
              <w:rPr>
                <w:spacing w:val="-2"/>
                <w:sz w:val="17"/>
              </w:rPr>
              <w:t>beverage</w:t>
            </w:r>
          </w:p>
        </w:tc>
        <w:tc>
          <w:tcPr>
            <w:tcW w:w="1575" w:type="dxa"/>
          </w:tcPr>
          <w:p>
            <w:pPr>
              <w:pStyle w:val="TableParagraph"/>
              <w:spacing w:before="16"/>
              <w:ind w:right="117"/>
              <w:jc w:val="right"/>
              <w:rPr>
                <w:sz w:val="17"/>
              </w:rPr>
            </w:pPr>
            <w:r>
              <w:rPr>
                <w:spacing w:val="-2"/>
                <w:sz w:val="17"/>
              </w:rPr>
              <w:t>2,604,238</w:t>
            </w:r>
          </w:p>
        </w:tc>
        <w:tc>
          <w:tcPr>
            <w:tcW w:w="1619" w:type="dxa"/>
          </w:tcPr>
          <w:p>
            <w:pPr>
              <w:pStyle w:val="TableParagraph"/>
              <w:spacing w:before="16"/>
              <w:ind w:right="118"/>
              <w:jc w:val="right"/>
              <w:rPr>
                <w:sz w:val="17"/>
              </w:rPr>
            </w:pPr>
            <w:r>
              <w:rPr>
                <w:spacing w:val="-2"/>
                <w:sz w:val="17"/>
              </w:rPr>
              <w:t>1,391,605</w:t>
            </w:r>
          </w:p>
        </w:tc>
        <w:tc>
          <w:tcPr>
            <w:tcW w:w="1572" w:type="dxa"/>
          </w:tcPr>
          <w:p>
            <w:pPr>
              <w:pStyle w:val="TableParagraph"/>
              <w:spacing w:before="16"/>
              <w:ind w:right="69"/>
              <w:jc w:val="right"/>
              <w:rPr>
                <w:sz w:val="17"/>
              </w:rPr>
            </w:pPr>
            <w:r>
              <w:rPr>
                <w:spacing w:val="-2"/>
                <w:sz w:val="17"/>
              </w:rPr>
              <w:t>696,040</w:t>
            </w:r>
          </w:p>
        </w:tc>
      </w:tr>
      <w:tr>
        <w:trPr>
          <w:trHeight w:val="256" w:hRule="atLeast"/>
        </w:trPr>
        <w:tc>
          <w:tcPr>
            <w:tcW w:w="6750" w:type="dxa"/>
            <w:shd w:val="clear" w:color="auto" w:fill="CCEDFF"/>
          </w:tcPr>
          <w:p>
            <w:pPr>
              <w:pStyle w:val="TableParagraph"/>
              <w:spacing w:before="16"/>
              <w:ind w:left="217"/>
              <w:rPr>
                <w:sz w:val="17"/>
              </w:rPr>
            </w:pPr>
            <w:r>
              <w:rPr>
                <w:sz w:val="17"/>
              </w:rPr>
              <w:t>Entertainment, retail and </w:t>
            </w:r>
            <w:r>
              <w:rPr>
                <w:spacing w:val="-2"/>
                <w:sz w:val="17"/>
              </w:rPr>
              <w:t>other</w:t>
            </w:r>
          </w:p>
        </w:tc>
        <w:tc>
          <w:tcPr>
            <w:tcW w:w="1575" w:type="dxa"/>
            <w:shd w:val="clear" w:color="auto" w:fill="CCEDFF"/>
          </w:tcPr>
          <w:p>
            <w:pPr>
              <w:pStyle w:val="TableParagraph"/>
              <w:spacing w:before="16"/>
              <w:ind w:right="117"/>
              <w:jc w:val="right"/>
              <w:rPr>
                <w:sz w:val="17"/>
              </w:rPr>
            </w:pPr>
            <w:r>
              <w:rPr>
                <w:spacing w:val="-2"/>
                <w:sz w:val="17"/>
              </w:rPr>
              <w:t>1,686,236</w:t>
            </w:r>
          </w:p>
        </w:tc>
        <w:tc>
          <w:tcPr>
            <w:tcW w:w="1619" w:type="dxa"/>
            <w:shd w:val="clear" w:color="auto" w:fill="CCEDFF"/>
          </w:tcPr>
          <w:p>
            <w:pPr>
              <w:pStyle w:val="TableParagraph"/>
              <w:spacing w:before="16"/>
              <w:ind w:right="118"/>
              <w:jc w:val="right"/>
              <w:rPr>
                <w:sz w:val="17"/>
              </w:rPr>
            </w:pPr>
            <w:r>
              <w:rPr>
                <w:spacing w:val="-2"/>
                <w:sz w:val="17"/>
              </w:rPr>
              <w:t>1,009,503</w:t>
            </w:r>
          </w:p>
        </w:tc>
        <w:tc>
          <w:tcPr>
            <w:tcW w:w="1572" w:type="dxa"/>
            <w:shd w:val="clear" w:color="auto" w:fill="CCEDFF"/>
          </w:tcPr>
          <w:p>
            <w:pPr>
              <w:pStyle w:val="TableParagraph"/>
              <w:spacing w:before="16"/>
              <w:ind w:right="69"/>
              <w:jc w:val="right"/>
              <w:rPr>
                <w:sz w:val="17"/>
              </w:rPr>
            </w:pPr>
            <w:r>
              <w:rPr>
                <w:spacing w:val="-2"/>
                <w:sz w:val="17"/>
              </w:rPr>
              <w:t>518,991</w:t>
            </w:r>
          </w:p>
        </w:tc>
      </w:tr>
      <w:tr>
        <w:trPr>
          <w:trHeight w:val="242" w:hRule="atLeast"/>
        </w:trPr>
        <w:tc>
          <w:tcPr>
            <w:tcW w:w="6750" w:type="dxa"/>
          </w:tcPr>
          <w:p>
            <w:pPr>
              <w:pStyle w:val="TableParagraph"/>
              <w:spacing w:before="16"/>
              <w:ind w:left="217"/>
              <w:rPr>
                <w:sz w:val="17"/>
              </w:rPr>
            </w:pPr>
            <w:r>
              <w:rPr>
                <w:sz w:val="17"/>
              </w:rPr>
              <w:t>Reimbursed </w:t>
            </w:r>
            <w:r>
              <w:rPr>
                <w:spacing w:val="-2"/>
                <w:sz w:val="17"/>
              </w:rPr>
              <w:t>costs</w:t>
            </w:r>
          </w:p>
        </w:tc>
        <w:tc>
          <w:tcPr>
            <w:tcW w:w="1575" w:type="dxa"/>
            <w:tcBorders>
              <w:bottom w:val="single" w:sz="6" w:space="0" w:color="000000"/>
            </w:tcBorders>
          </w:tcPr>
          <w:p>
            <w:pPr>
              <w:pStyle w:val="TableParagraph"/>
              <w:spacing w:before="16"/>
              <w:ind w:right="117"/>
              <w:jc w:val="right"/>
              <w:rPr>
                <w:sz w:val="17"/>
              </w:rPr>
            </w:pPr>
            <w:r>
              <w:rPr>
                <w:spacing w:val="-2"/>
                <w:sz w:val="17"/>
              </w:rPr>
              <w:t>45,693</w:t>
            </w:r>
          </w:p>
        </w:tc>
        <w:tc>
          <w:tcPr>
            <w:tcW w:w="1619" w:type="dxa"/>
            <w:tcBorders>
              <w:bottom w:val="single" w:sz="6" w:space="0" w:color="000000"/>
            </w:tcBorders>
          </w:tcPr>
          <w:p>
            <w:pPr>
              <w:pStyle w:val="TableParagraph"/>
              <w:spacing w:before="16"/>
              <w:ind w:right="117"/>
              <w:jc w:val="right"/>
              <w:rPr>
                <w:sz w:val="17"/>
              </w:rPr>
            </w:pPr>
            <w:r>
              <w:rPr>
                <w:spacing w:val="-2"/>
                <w:sz w:val="17"/>
              </w:rPr>
              <w:t>226,083</w:t>
            </w:r>
          </w:p>
        </w:tc>
        <w:tc>
          <w:tcPr>
            <w:tcW w:w="1572" w:type="dxa"/>
            <w:tcBorders>
              <w:bottom w:val="single" w:sz="6" w:space="0" w:color="000000"/>
            </w:tcBorders>
          </w:tcPr>
          <w:p>
            <w:pPr>
              <w:pStyle w:val="TableParagraph"/>
              <w:spacing w:before="16"/>
              <w:ind w:right="69"/>
              <w:jc w:val="right"/>
              <w:rPr>
                <w:sz w:val="17"/>
              </w:rPr>
            </w:pPr>
            <w:r>
              <w:rPr>
                <w:spacing w:val="-2"/>
                <w:sz w:val="17"/>
              </w:rPr>
              <w:t>244,949</w:t>
            </w:r>
          </w:p>
        </w:tc>
      </w:tr>
      <w:tr>
        <w:trPr>
          <w:trHeight w:val="241" w:hRule="atLeast"/>
        </w:trPr>
        <w:tc>
          <w:tcPr>
            <w:tcW w:w="6750" w:type="dxa"/>
            <w:shd w:val="clear" w:color="auto" w:fill="CCEDFF"/>
          </w:tcPr>
          <w:p>
            <w:pPr>
              <w:pStyle w:val="TableParagraph"/>
              <w:spacing w:before="0"/>
              <w:rPr>
                <w:sz w:val="16"/>
              </w:rPr>
            </w:pPr>
          </w:p>
        </w:tc>
        <w:tc>
          <w:tcPr>
            <w:tcW w:w="1575" w:type="dxa"/>
            <w:tcBorders>
              <w:top w:val="single" w:sz="6" w:space="0" w:color="000000"/>
              <w:bottom w:val="single" w:sz="6" w:space="0" w:color="000000"/>
            </w:tcBorders>
            <w:shd w:val="clear" w:color="auto" w:fill="CCEDFF"/>
          </w:tcPr>
          <w:p>
            <w:pPr>
              <w:pStyle w:val="TableParagraph"/>
              <w:spacing w:before="16"/>
              <w:ind w:right="117"/>
              <w:jc w:val="right"/>
              <w:rPr>
                <w:sz w:val="17"/>
              </w:rPr>
            </w:pPr>
            <w:r>
              <w:rPr>
                <w:spacing w:val="-2"/>
                <w:sz w:val="17"/>
              </w:rPr>
              <w:t>13,127,485</w:t>
            </w:r>
          </w:p>
        </w:tc>
        <w:tc>
          <w:tcPr>
            <w:tcW w:w="1619" w:type="dxa"/>
            <w:tcBorders>
              <w:top w:val="single" w:sz="6" w:space="0" w:color="000000"/>
              <w:bottom w:val="single" w:sz="6" w:space="0" w:color="000000"/>
            </w:tcBorders>
            <w:shd w:val="clear" w:color="auto" w:fill="CCEDFF"/>
          </w:tcPr>
          <w:p>
            <w:pPr>
              <w:pStyle w:val="TableParagraph"/>
              <w:spacing w:before="16"/>
              <w:ind w:right="118"/>
              <w:jc w:val="right"/>
              <w:rPr>
                <w:sz w:val="17"/>
              </w:rPr>
            </w:pPr>
            <w:r>
              <w:rPr>
                <w:spacing w:val="-2"/>
                <w:sz w:val="17"/>
              </w:rPr>
              <w:t>9,680,140</w:t>
            </w:r>
          </w:p>
        </w:tc>
        <w:tc>
          <w:tcPr>
            <w:tcW w:w="1572" w:type="dxa"/>
            <w:tcBorders>
              <w:top w:val="single" w:sz="6" w:space="0" w:color="000000"/>
              <w:bottom w:val="single" w:sz="6" w:space="0" w:color="000000"/>
            </w:tcBorders>
            <w:shd w:val="clear" w:color="auto" w:fill="CCEDFF"/>
          </w:tcPr>
          <w:p>
            <w:pPr>
              <w:pStyle w:val="TableParagraph"/>
              <w:spacing w:before="16"/>
              <w:ind w:right="69"/>
              <w:jc w:val="right"/>
              <w:rPr>
                <w:sz w:val="17"/>
              </w:rPr>
            </w:pPr>
            <w:r>
              <w:rPr>
                <w:spacing w:val="-2"/>
                <w:sz w:val="17"/>
              </w:rPr>
              <w:t>5,162,082</w:t>
            </w:r>
          </w:p>
        </w:tc>
      </w:tr>
      <w:tr>
        <w:trPr>
          <w:trHeight w:val="242" w:hRule="atLeast"/>
        </w:trPr>
        <w:tc>
          <w:tcPr>
            <w:tcW w:w="6750" w:type="dxa"/>
          </w:tcPr>
          <w:p>
            <w:pPr>
              <w:pStyle w:val="TableParagraph"/>
              <w:spacing w:before="16"/>
              <w:ind w:left="17"/>
              <w:rPr>
                <w:b/>
                <w:sz w:val="17"/>
              </w:rPr>
            </w:pPr>
            <w:r>
              <w:rPr>
                <w:b/>
                <w:spacing w:val="-2"/>
                <w:sz w:val="17"/>
              </w:rPr>
              <w:t>Expenses</w:t>
            </w:r>
          </w:p>
        </w:tc>
        <w:tc>
          <w:tcPr>
            <w:tcW w:w="1575" w:type="dxa"/>
            <w:tcBorders>
              <w:top w:val="single" w:sz="6" w:space="0" w:color="000000"/>
            </w:tcBorders>
          </w:tcPr>
          <w:p>
            <w:pPr>
              <w:pStyle w:val="TableParagraph"/>
              <w:spacing w:before="0"/>
              <w:rPr>
                <w:sz w:val="16"/>
              </w:rPr>
            </w:pPr>
          </w:p>
        </w:tc>
        <w:tc>
          <w:tcPr>
            <w:tcW w:w="1619" w:type="dxa"/>
            <w:tcBorders>
              <w:top w:val="single" w:sz="6" w:space="0" w:color="000000"/>
            </w:tcBorders>
          </w:tcPr>
          <w:p>
            <w:pPr>
              <w:pStyle w:val="TableParagraph"/>
              <w:spacing w:before="0"/>
              <w:rPr>
                <w:sz w:val="16"/>
              </w:rPr>
            </w:pPr>
          </w:p>
        </w:tc>
        <w:tc>
          <w:tcPr>
            <w:tcW w:w="1572" w:type="dxa"/>
            <w:tcBorders>
              <w:top w:val="single" w:sz="6" w:space="0" w:color="000000"/>
            </w:tcBorders>
          </w:tcPr>
          <w:p>
            <w:pPr>
              <w:pStyle w:val="TableParagraph"/>
              <w:spacing w:before="0"/>
              <w:rPr>
                <w:sz w:val="16"/>
              </w:rPr>
            </w:pPr>
          </w:p>
        </w:tc>
      </w:tr>
      <w:tr>
        <w:trPr>
          <w:trHeight w:val="256" w:hRule="atLeast"/>
        </w:trPr>
        <w:tc>
          <w:tcPr>
            <w:tcW w:w="6750" w:type="dxa"/>
            <w:shd w:val="clear" w:color="auto" w:fill="CCEDFF"/>
          </w:tcPr>
          <w:p>
            <w:pPr>
              <w:pStyle w:val="TableParagraph"/>
              <w:spacing w:before="16"/>
              <w:ind w:left="217"/>
              <w:rPr>
                <w:sz w:val="17"/>
              </w:rPr>
            </w:pPr>
            <w:r>
              <w:rPr>
                <w:spacing w:val="-2"/>
                <w:sz w:val="17"/>
              </w:rPr>
              <w:t>Casino</w:t>
            </w:r>
          </w:p>
        </w:tc>
        <w:tc>
          <w:tcPr>
            <w:tcW w:w="1575" w:type="dxa"/>
            <w:shd w:val="clear" w:color="auto" w:fill="CCEDFF"/>
          </w:tcPr>
          <w:p>
            <w:pPr>
              <w:pStyle w:val="TableParagraph"/>
              <w:spacing w:before="16"/>
              <w:ind w:right="117"/>
              <w:jc w:val="right"/>
              <w:rPr>
                <w:sz w:val="17"/>
              </w:rPr>
            </w:pPr>
            <w:r>
              <w:rPr>
                <w:spacing w:val="-2"/>
                <w:sz w:val="17"/>
              </w:rPr>
              <w:t>2,746,576</w:t>
            </w:r>
          </w:p>
        </w:tc>
        <w:tc>
          <w:tcPr>
            <w:tcW w:w="1619" w:type="dxa"/>
            <w:shd w:val="clear" w:color="auto" w:fill="CCEDFF"/>
          </w:tcPr>
          <w:p>
            <w:pPr>
              <w:pStyle w:val="TableParagraph"/>
              <w:spacing w:before="16"/>
              <w:ind w:right="118"/>
              <w:jc w:val="right"/>
              <w:rPr>
                <w:sz w:val="17"/>
              </w:rPr>
            </w:pPr>
            <w:r>
              <w:rPr>
                <w:spacing w:val="-2"/>
                <w:sz w:val="17"/>
              </w:rPr>
              <w:t>2,551,169</w:t>
            </w:r>
          </w:p>
        </w:tc>
        <w:tc>
          <w:tcPr>
            <w:tcW w:w="1572" w:type="dxa"/>
            <w:shd w:val="clear" w:color="auto" w:fill="CCEDFF"/>
          </w:tcPr>
          <w:p>
            <w:pPr>
              <w:pStyle w:val="TableParagraph"/>
              <w:spacing w:before="16"/>
              <w:ind w:right="69"/>
              <w:jc w:val="right"/>
              <w:rPr>
                <w:sz w:val="17"/>
              </w:rPr>
            </w:pPr>
            <w:r>
              <w:rPr>
                <w:spacing w:val="-2"/>
                <w:sz w:val="17"/>
              </w:rPr>
              <w:t>1,701,783</w:t>
            </w:r>
          </w:p>
        </w:tc>
      </w:tr>
      <w:tr>
        <w:trPr>
          <w:trHeight w:val="242" w:hRule="atLeast"/>
        </w:trPr>
        <w:tc>
          <w:tcPr>
            <w:tcW w:w="6750" w:type="dxa"/>
          </w:tcPr>
          <w:p>
            <w:pPr>
              <w:pStyle w:val="TableParagraph"/>
              <w:spacing w:before="16"/>
              <w:ind w:left="217"/>
              <w:rPr>
                <w:sz w:val="17"/>
              </w:rPr>
            </w:pPr>
            <w:r>
              <w:rPr>
                <w:spacing w:val="-2"/>
                <w:sz w:val="17"/>
              </w:rPr>
              <w:t>Rooms</w:t>
            </w:r>
          </w:p>
        </w:tc>
        <w:tc>
          <w:tcPr>
            <w:tcW w:w="1575" w:type="dxa"/>
          </w:tcPr>
          <w:p>
            <w:pPr>
              <w:pStyle w:val="TableParagraph"/>
              <w:spacing w:before="16"/>
              <w:ind w:right="117"/>
              <w:jc w:val="right"/>
              <w:rPr>
                <w:sz w:val="17"/>
              </w:rPr>
            </w:pPr>
            <w:r>
              <w:rPr>
                <w:spacing w:val="-2"/>
                <w:sz w:val="17"/>
              </w:rPr>
              <w:t>937,272</w:t>
            </w:r>
          </w:p>
        </w:tc>
        <w:tc>
          <w:tcPr>
            <w:tcW w:w="1619" w:type="dxa"/>
          </w:tcPr>
          <w:p>
            <w:pPr>
              <w:pStyle w:val="TableParagraph"/>
              <w:spacing w:before="16"/>
              <w:ind w:right="117"/>
              <w:jc w:val="right"/>
              <w:rPr>
                <w:sz w:val="17"/>
              </w:rPr>
            </w:pPr>
            <w:r>
              <w:rPr>
                <w:spacing w:val="-2"/>
                <w:sz w:val="17"/>
              </w:rPr>
              <w:t>600,942</w:t>
            </w:r>
          </w:p>
        </w:tc>
        <w:tc>
          <w:tcPr>
            <w:tcW w:w="1572" w:type="dxa"/>
          </w:tcPr>
          <w:p>
            <w:pPr>
              <w:pStyle w:val="TableParagraph"/>
              <w:spacing w:before="16"/>
              <w:ind w:right="69"/>
              <w:jc w:val="right"/>
              <w:rPr>
                <w:sz w:val="17"/>
              </w:rPr>
            </w:pPr>
            <w:r>
              <w:rPr>
                <w:spacing w:val="-2"/>
                <w:sz w:val="17"/>
              </w:rPr>
              <w:t>419,156</w:t>
            </w:r>
          </w:p>
        </w:tc>
      </w:tr>
      <w:tr>
        <w:trPr>
          <w:trHeight w:val="256" w:hRule="atLeast"/>
        </w:trPr>
        <w:tc>
          <w:tcPr>
            <w:tcW w:w="6750" w:type="dxa"/>
            <w:shd w:val="clear" w:color="auto" w:fill="CCEDFF"/>
          </w:tcPr>
          <w:p>
            <w:pPr>
              <w:pStyle w:val="TableParagraph"/>
              <w:spacing w:before="16"/>
              <w:ind w:left="217"/>
              <w:rPr>
                <w:sz w:val="17"/>
              </w:rPr>
            </w:pPr>
            <w:r>
              <w:rPr>
                <w:sz w:val="17"/>
              </w:rPr>
              <w:t>Food and </w:t>
            </w:r>
            <w:r>
              <w:rPr>
                <w:spacing w:val="-2"/>
                <w:sz w:val="17"/>
              </w:rPr>
              <w:t>beverage</w:t>
            </w:r>
          </w:p>
        </w:tc>
        <w:tc>
          <w:tcPr>
            <w:tcW w:w="1575" w:type="dxa"/>
            <w:shd w:val="clear" w:color="auto" w:fill="CCEDFF"/>
          </w:tcPr>
          <w:p>
            <w:pPr>
              <w:pStyle w:val="TableParagraph"/>
              <w:spacing w:before="16"/>
              <w:ind w:right="117"/>
              <w:jc w:val="right"/>
              <w:rPr>
                <w:sz w:val="17"/>
              </w:rPr>
            </w:pPr>
            <w:r>
              <w:rPr>
                <w:spacing w:val="-2"/>
                <w:sz w:val="17"/>
              </w:rPr>
              <w:t>1,905,625</w:t>
            </w:r>
          </w:p>
        </w:tc>
        <w:tc>
          <w:tcPr>
            <w:tcW w:w="1619" w:type="dxa"/>
            <w:shd w:val="clear" w:color="auto" w:fill="CCEDFF"/>
          </w:tcPr>
          <w:p>
            <w:pPr>
              <w:pStyle w:val="TableParagraph"/>
              <w:spacing w:before="16"/>
              <w:ind w:right="118"/>
              <w:jc w:val="right"/>
              <w:rPr>
                <w:sz w:val="17"/>
              </w:rPr>
            </w:pPr>
            <w:r>
              <w:rPr>
                <w:spacing w:val="-2"/>
                <w:sz w:val="17"/>
              </w:rPr>
              <w:t>1,034,780</w:t>
            </w:r>
          </w:p>
        </w:tc>
        <w:tc>
          <w:tcPr>
            <w:tcW w:w="1572" w:type="dxa"/>
            <w:shd w:val="clear" w:color="auto" w:fill="CCEDFF"/>
          </w:tcPr>
          <w:p>
            <w:pPr>
              <w:pStyle w:val="TableParagraph"/>
              <w:spacing w:before="16"/>
              <w:ind w:right="69"/>
              <w:jc w:val="right"/>
              <w:rPr>
                <w:sz w:val="17"/>
              </w:rPr>
            </w:pPr>
            <w:r>
              <w:rPr>
                <w:spacing w:val="-2"/>
                <w:sz w:val="17"/>
              </w:rPr>
              <w:t>674,118</w:t>
            </w:r>
          </w:p>
        </w:tc>
      </w:tr>
      <w:tr>
        <w:trPr>
          <w:trHeight w:val="242" w:hRule="atLeast"/>
        </w:trPr>
        <w:tc>
          <w:tcPr>
            <w:tcW w:w="6750" w:type="dxa"/>
          </w:tcPr>
          <w:p>
            <w:pPr>
              <w:pStyle w:val="TableParagraph"/>
              <w:spacing w:before="16"/>
              <w:ind w:left="217"/>
              <w:rPr>
                <w:sz w:val="17"/>
              </w:rPr>
            </w:pPr>
            <w:r>
              <w:rPr>
                <w:sz w:val="17"/>
              </w:rPr>
              <w:t>Entertainment, retail and </w:t>
            </w:r>
            <w:r>
              <w:rPr>
                <w:spacing w:val="-2"/>
                <w:sz w:val="17"/>
              </w:rPr>
              <w:t>other</w:t>
            </w:r>
          </w:p>
        </w:tc>
        <w:tc>
          <w:tcPr>
            <w:tcW w:w="1575" w:type="dxa"/>
          </w:tcPr>
          <w:p>
            <w:pPr>
              <w:pStyle w:val="TableParagraph"/>
              <w:spacing w:before="16"/>
              <w:ind w:right="117"/>
              <w:jc w:val="right"/>
              <w:rPr>
                <w:sz w:val="17"/>
              </w:rPr>
            </w:pPr>
            <w:r>
              <w:rPr>
                <w:spacing w:val="-2"/>
                <w:sz w:val="17"/>
              </w:rPr>
              <w:t>1,017,817</w:t>
            </w:r>
          </w:p>
        </w:tc>
        <w:tc>
          <w:tcPr>
            <w:tcW w:w="1619" w:type="dxa"/>
          </w:tcPr>
          <w:p>
            <w:pPr>
              <w:pStyle w:val="TableParagraph"/>
              <w:spacing w:before="16"/>
              <w:ind w:right="117"/>
              <w:jc w:val="right"/>
              <w:rPr>
                <w:sz w:val="17"/>
              </w:rPr>
            </w:pPr>
            <w:r>
              <w:rPr>
                <w:spacing w:val="-2"/>
                <w:sz w:val="17"/>
              </w:rPr>
              <w:t>617,635</w:t>
            </w:r>
          </w:p>
        </w:tc>
        <w:tc>
          <w:tcPr>
            <w:tcW w:w="1572" w:type="dxa"/>
          </w:tcPr>
          <w:p>
            <w:pPr>
              <w:pStyle w:val="TableParagraph"/>
              <w:spacing w:before="16"/>
              <w:ind w:right="69"/>
              <w:jc w:val="right"/>
              <w:rPr>
                <w:sz w:val="17"/>
              </w:rPr>
            </w:pPr>
            <w:r>
              <w:rPr>
                <w:spacing w:val="-2"/>
                <w:sz w:val="17"/>
              </w:rPr>
              <w:t>412,705</w:t>
            </w:r>
          </w:p>
        </w:tc>
      </w:tr>
      <w:tr>
        <w:trPr>
          <w:trHeight w:val="256" w:hRule="atLeast"/>
        </w:trPr>
        <w:tc>
          <w:tcPr>
            <w:tcW w:w="6750" w:type="dxa"/>
            <w:shd w:val="clear" w:color="auto" w:fill="CCEDFF"/>
          </w:tcPr>
          <w:p>
            <w:pPr>
              <w:pStyle w:val="TableParagraph"/>
              <w:spacing w:before="16"/>
              <w:ind w:left="217"/>
              <w:rPr>
                <w:sz w:val="17"/>
              </w:rPr>
            </w:pPr>
            <w:r>
              <w:rPr>
                <w:sz w:val="17"/>
              </w:rPr>
              <w:t>Reimbursed </w:t>
            </w:r>
            <w:r>
              <w:rPr>
                <w:spacing w:val="-2"/>
                <w:sz w:val="17"/>
              </w:rPr>
              <w:t>costs</w:t>
            </w:r>
          </w:p>
        </w:tc>
        <w:tc>
          <w:tcPr>
            <w:tcW w:w="1575" w:type="dxa"/>
            <w:shd w:val="clear" w:color="auto" w:fill="CCEDFF"/>
          </w:tcPr>
          <w:p>
            <w:pPr>
              <w:pStyle w:val="TableParagraph"/>
              <w:spacing w:before="16"/>
              <w:ind w:right="117"/>
              <w:jc w:val="right"/>
              <w:rPr>
                <w:sz w:val="17"/>
              </w:rPr>
            </w:pPr>
            <w:r>
              <w:rPr>
                <w:spacing w:val="-2"/>
                <w:sz w:val="17"/>
              </w:rPr>
              <w:t>45,693</w:t>
            </w:r>
          </w:p>
        </w:tc>
        <w:tc>
          <w:tcPr>
            <w:tcW w:w="1619" w:type="dxa"/>
            <w:shd w:val="clear" w:color="auto" w:fill="CCEDFF"/>
          </w:tcPr>
          <w:p>
            <w:pPr>
              <w:pStyle w:val="TableParagraph"/>
              <w:spacing w:before="16"/>
              <w:ind w:right="117"/>
              <w:jc w:val="right"/>
              <w:rPr>
                <w:sz w:val="17"/>
              </w:rPr>
            </w:pPr>
            <w:r>
              <w:rPr>
                <w:spacing w:val="-2"/>
                <w:sz w:val="17"/>
              </w:rPr>
              <w:t>226,083</w:t>
            </w:r>
          </w:p>
        </w:tc>
        <w:tc>
          <w:tcPr>
            <w:tcW w:w="1572" w:type="dxa"/>
            <w:shd w:val="clear" w:color="auto" w:fill="CCEDFF"/>
          </w:tcPr>
          <w:p>
            <w:pPr>
              <w:pStyle w:val="TableParagraph"/>
              <w:spacing w:before="16"/>
              <w:ind w:right="69"/>
              <w:jc w:val="right"/>
              <w:rPr>
                <w:sz w:val="17"/>
              </w:rPr>
            </w:pPr>
            <w:r>
              <w:rPr>
                <w:spacing w:val="-2"/>
                <w:sz w:val="17"/>
              </w:rPr>
              <w:t>244,949</w:t>
            </w:r>
          </w:p>
        </w:tc>
      </w:tr>
      <w:tr>
        <w:trPr>
          <w:trHeight w:val="242" w:hRule="atLeast"/>
        </w:trPr>
        <w:tc>
          <w:tcPr>
            <w:tcW w:w="6750" w:type="dxa"/>
          </w:tcPr>
          <w:p>
            <w:pPr>
              <w:pStyle w:val="TableParagraph"/>
              <w:spacing w:before="16"/>
              <w:ind w:left="217"/>
              <w:rPr>
                <w:sz w:val="17"/>
              </w:rPr>
            </w:pPr>
            <w:r>
              <w:rPr>
                <w:sz w:val="17"/>
              </w:rPr>
              <w:t>General and </w:t>
            </w:r>
            <w:r>
              <w:rPr>
                <w:spacing w:val="-2"/>
                <w:sz w:val="17"/>
              </w:rPr>
              <w:t>administrative</w:t>
            </w:r>
          </w:p>
        </w:tc>
        <w:tc>
          <w:tcPr>
            <w:tcW w:w="1575" w:type="dxa"/>
          </w:tcPr>
          <w:p>
            <w:pPr>
              <w:pStyle w:val="TableParagraph"/>
              <w:spacing w:before="16"/>
              <w:ind w:right="117"/>
              <w:jc w:val="right"/>
              <w:rPr>
                <w:sz w:val="17"/>
              </w:rPr>
            </w:pPr>
            <w:r>
              <w:rPr>
                <w:spacing w:val="-2"/>
                <w:sz w:val="17"/>
              </w:rPr>
              <w:t>4,226,617</w:t>
            </w:r>
          </w:p>
        </w:tc>
        <w:tc>
          <w:tcPr>
            <w:tcW w:w="1619" w:type="dxa"/>
          </w:tcPr>
          <w:p>
            <w:pPr>
              <w:pStyle w:val="TableParagraph"/>
              <w:spacing w:before="16"/>
              <w:ind w:right="118"/>
              <w:jc w:val="right"/>
              <w:rPr>
                <w:sz w:val="17"/>
              </w:rPr>
            </w:pPr>
            <w:r>
              <w:rPr>
                <w:spacing w:val="-2"/>
                <w:sz w:val="17"/>
              </w:rPr>
              <w:t>2,507,239</w:t>
            </w:r>
          </w:p>
        </w:tc>
        <w:tc>
          <w:tcPr>
            <w:tcW w:w="1572" w:type="dxa"/>
          </w:tcPr>
          <w:p>
            <w:pPr>
              <w:pStyle w:val="TableParagraph"/>
              <w:spacing w:before="16"/>
              <w:ind w:right="69"/>
              <w:jc w:val="right"/>
              <w:rPr>
                <w:sz w:val="17"/>
              </w:rPr>
            </w:pPr>
            <w:r>
              <w:rPr>
                <w:spacing w:val="-2"/>
                <w:sz w:val="17"/>
              </w:rPr>
              <w:t>2,122,333</w:t>
            </w:r>
          </w:p>
        </w:tc>
      </w:tr>
      <w:tr>
        <w:trPr>
          <w:trHeight w:val="242" w:hRule="atLeast"/>
        </w:trPr>
        <w:tc>
          <w:tcPr>
            <w:tcW w:w="6750" w:type="dxa"/>
            <w:shd w:val="clear" w:color="auto" w:fill="CCEDFF"/>
          </w:tcPr>
          <w:p>
            <w:pPr>
              <w:pStyle w:val="TableParagraph"/>
              <w:spacing w:before="16"/>
              <w:ind w:left="217"/>
              <w:rPr>
                <w:sz w:val="17"/>
              </w:rPr>
            </w:pPr>
            <w:r>
              <w:rPr>
                <w:sz w:val="17"/>
              </w:rPr>
              <w:t>Corporate </w:t>
            </w:r>
            <w:r>
              <w:rPr>
                <w:spacing w:val="-2"/>
                <w:sz w:val="17"/>
              </w:rPr>
              <w:t>expense</w:t>
            </w:r>
          </w:p>
        </w:tc>
        <w:tc>
          <w:tcPr>
            <w:tcW w:w="1575" w:type="dxa"/>
            <w:shd w:val="clear" w:color="auto" w:fill="CCEDFF"/>
          </w:tcPr>
          <w:p>
            <w:pPr>
              <w:pStyle w:val="TableParagraph"/>
              <w:spacing w:before="16"/>
              <w:ind w:right="117"/>
              <w:jc w:val="right"/>
              <w:rPr>
                <w:sz w:val="17"/>
              </w:rPr>
            </w:pPr>
            <w:r>
              <w:rPr>
                <w:spacing w:val="-2"/>
                <w:sz w:val="17"/>
              </w:rPr>
              <w:t>479,118</w:t>
            </w:r>
          </w:p>
        </w:tc>
        <w:tc>
          <w:tcPr>
            <w:tcW w:w="1619" w:type="dxa"/>
            <w:shd w:val="clear" w:color="auto" w:fill="CCEDFF"/>
          </w:tcPr>
          <w:p>
            <w:pPr>
              <w:pStyle w:val="TableParagraph"/>
              <w:spacing w:before="16"/>
              <w:ind w:right="117"/>
              <w:jc w:val="right"/>
              <w:rPr>
                <w:sz w:val="17"/>
              </w:rPr>
            </w:pPr>
            <w:r>
              <w:rPr>
                <w:spacing w:val="-2"/>
                <w:sz w:val="17"/>
              </w:rPr>
              <w:t>422,777</w:t>
            </w:r>
          </w:p>
        </w:tc>
        <w:tc>
          <w:tcPr>
            <w:tcW w:w="1572" w:type="dxa"/>
            <w:shd w:val="clear" w:color="auto" w:fill="CCEDFF"/>
          </w:tcPr>
          <w:p>
            <w:pPr>
              <w:pStyle w:val="TableParagraph"/>
              <w:spacing w:before="16"/>
              <w:ind w:right="69"/>
              <w:jc w:val="right"/>
              <w:rPr>
                <w:sz w:val="17"/>
              </w:rPr>
            </w:pPr>
            <w:r>
              <w:rPr>
                <w:spacing w:val="-2"/>
                <w:sz w:val="17"/>
              </w:rPr>
              <w:t>460,148</w:t>
            </w:r>
          </w:p>
        </w:tc>
      </w:tr>
      <w:tr>
        <w:trPr>
          <w:trHeight w:val="256" w:hRule="atLeast"/>
        </w:trPr>
        <w:tc>
          <w:tcPr>
            <w:tcW w:w="6750" w:type="dxa"/>
          </w:tcPr>
          <w:p>
            <w:pPr>
              <w:pStyle w:val="TableParagraph"/>
              <w:spacing w:before="16"/>
              <w:ind w:left="217"/>
              <w:rPr>
                <w:sz w:val="17"/>
              </w:rPr>
            </w:pPr>
            <w:r>
              <w:rPr>
                <w:sz w:val="17"/>
              </w:rPr>
              <w:t>Preopening and start-up </w:t>
            </w:r>
            <w:r>
              <w:rPr>
                <w:spacing w:val="-2"/>
                <w:sz w:val="17"/>
              </w:rPr>
              <w:t>expenses</w:t>
            </w:r>
          </w:p>
        </w:tc>
        <w:tc>
          <w:tcPr>
            <w:tcW w:w="1575" w:type="dxa"/>
          </w:tcPr>
          <w:p>
            <w:pPr>
              <w:pStyle w:val="TableParagraph"/>
              <w:spacing w:before="16"/>
              <w:ind w:right="117"/>
              <w:jc w:val="right"/>
              <w:rPr>
                <w:sz w:val="17"/>
              </w:rPr>
            </w:pPr>
            <w:r>
              <w:rPr>
                <w:spacing w:val="-2"/>
                <w:sz w:val="17"/>
              </w:rPr>
              <w:t>1,876</w:t>
            </w:r>
          </w:p>
        </w:tc>
        <w:tc>
          <w:tcPr>
            <w:tcW w:w="1619" w:type="dxa"/>
          </w:tcPr>
          <w:p>
            <w:pPr>
              <w:pStyle w:val="TableParagraph"/>
              <w:spacing w:before="16"/>
              <w:ind w:right="118"/>
              <w:jc w:val="right"/>
              <w:rPr>
                <w:sz w:val="17"/>
              </w:rPr>
            </w:pPr>
            <w:r>
              <w:rPr>
                <w:spacing w:val="-2"/>
                <w:sz w:val="17"/>
              </w:rPr>
              <w:t>5,094</w:t>
            </w:r>
          </w:p>
        </w:tc>
        <w:tc>
          <w:tcPr>
            <w:tcW w:w="1572" w:type="dxa"/>
          </w:tcPr>
          <w:p>
            <w:pPr>
              <w:pStyle w:val="TableParagraph"/>
              <w:spacing w:before="16"/>
              <w:ind w:right="69"/>
              <w:jc w:val="right"/>
              <w:rPr>
                <w:sz w:val="17"/>
              </w:rPr>
            </w:pPr>
            <w:r>
              <w:rPr>
                <w:spacing w:val="-5"/>
                <w:sz w:val="17"/>
              </w:rPr>
              <w:t>84</w:t>
            </w:r>
          </w:p>
        </w:tc>
      </w:tr>
      <w:tr>
        <w:trPr>
          <w:trHeight w:val="242" w:hRule="atLeast"/>
        </w:trPr>
        <w:tc>
          <w:tcPr>
            <w:tcW w:w="6750" w:type="dxa"/>
            <w:shd w:val="clear" w:color="auto" w:fill="CCEDFF"/>
          </w:tcPr>
          <w:p>
            <w:pPr>
              <w:pStyle w:val="TableParagraph"/>
              <w:spacing w:before="16"/>
              <w:ind w:left="217"/>
              <w:rPr>
                <w:sz w:val="17"/>
              </w:rPr>
            </w:pPr>
            <w:r>
              <w:rPr>
                <w:sz w:val="17"/>
              </w:rPr>
              <w:t>Property transactions, </w:t>
            </w:r>
            <w:r>
              <w:rPr>
                <w:spacing w:val="-5"/>
                <w:sz w:val="17"/>
              </w:rPr>
              <w:t>net</w:t>
            </w:r>
          </w:p>
        </w:tc>
        <w:tc>
          <w:tcPr>
            <w:tcW w:w="1575" w:type="dxa"/>
            <w:shd w:val="clear" w:color="auto" w:fill="CCEDFF"/>
          </w:tcPr>
          <w:p>
            <w:pPr>
              <w:pStyle w:val="TableParagraph"/>
              <w:spacing w:before="16"/>
              <w:ind w:right="75"/>
              <w:jc w:val="right"/>
              <w:rPr>
                <w:sz w:val="17"/>
              </w:rPr>
            </w:pPr>
            <w:r>
              <w:rPr>
                <w:spacing w:val="-2"/>
                <w:sz w:val="17"/>
              </w:rPr>
              <w:t>(1,036,997)</w:t>
            </w:r>
          </w:p>
        </w:tc>
        <w:tc>
          <w:tcPr>
            <w:tcW w:w="1619" w:type="dxa"/>
            <w:shd w:val="clear" w:color="auto" w:fill="CCEDFF"/>
          </w:tcPr>
          <w:p>
            <w:pPr>
              <w:pStyle w:val="TableParagraph"/>
              <w:spacing w:before="16"/>
              <w:ind w:right="75"/>
              <w:jc w:val="right"/>
              <w:rPr>
                <w:sz w:val="17"/>
              </w:rPr>
            </w:pPr>
            <w:r>
              <w:rPr>
                <w:spacing w:val="-2"/>
                <w:sz w:val="17"/>
              </w:rPr>
              <w:t>(67,736)</w:t>
            </w:r>
          </w:p>
        </w:tc>
        <w:tc>
          <w:tcPr>
            <w:tcW w:w="1572" w:type="dxa"/>
            <w:shd w:val="clear" w:color="auto" w:fill="CCEDFF"/>
          </w:tcPr>
          <w:p>
            <w:pPr>
              <w:pStyle w:val="TableParagraph"/>
              <w:spacing w:before="16"/>
              <w:ind w:right="69"/>
              <w:jc w:val="right"/>
              <w:rPr>
                <w:sz w:val="17"/>
              </w:rPr>
            </w:pPr>
            <w:r>
              <w:rPr>
                <w:spacing w:val="-2"/>
                <w:sz w:val="17"/>
              </w:rPr>
              <w:t>93,567</w:t>
            </w:r>
          </w:p>
        </w:tc>
      </w:tr>
      <w:tr>
        <w:trPr>
          <w:trHeight w:val="256" w:hRule="atLeast"/>
        </w:trPr>
        <w:tc>
          <w:tcPr>
            <w:tcW w:w="6750" w:type="dxa"/>
          </w:tcPr>
          <w:p>
            <w:pPr>
              <w:pStyle w:val="TableParagraph"/>
              <w:spacing w:before="16"/>
              <w:ind w:left="217"/>
              <w:rPr>
                <w:sz w:val="17"/>
              </w:rPr>
            </w:pPr>
            <w:r>
              <w:rPr>
                <w:sz w:val="17"/>
              </w:rPr>
              <w:t>Gain on REIT</w:t>
            </w:r>
            <w:r>
              <w:rPr>
                <w:spacing w:val="-3"/>
                <w:sz w:val="17"/>
              </w:rPr>
              <w:t> </w:t>
            </w:r>
            <w:r>
              <w:rPr>
                <w:sz w:val="17"/>
              </w:rPr>
              <w:t>transactions, </w:t>
            </w:r>
            <w:r>
              <w:rPr>
                <w:spacing w:val="-5"/>
                <w:sz w:val="17"/>
              </w:rPr>
              <w:t>net</w:t>
            </w:r>
          </w:p>
        </w:tc>
        <w:tc>
          <w:tcPr>
            <w:tcW w:w="1575" w:type="dxa"/>
          </w:tcPr>
          <w:p>
            <w:pPr>
              <w:pStyle w:val="TableParagraph"/>
              <w:spacing w:before="16"/>
              <w:ind w:right="75"/>
              <w:jc w:val="right"/>
              <w:rPr>
                <w:sz w:val="17"/>
              </w:rPr>
            </w:pPr>
            <w:r>
              <w:rPr>
                <w:spacing w:val="-2"/>
                <w:sz w:val="17"/>
              </w:rPr>
              <w:t>(2,277,747)</w:t>
            </w:r>
          </w:p>
        </w:tc>
        <w:tc>
          <w:tcPr>
            <w:tcW w:w="1619" w:type="dxa"/>
          </w:tcPr>
          <w:p>
            <w:pPr>
              <w:pStyle w:val="TableParagraph"/>
              <w:spacing w:before="16"/>
              <w:ind w:right="117"/>
              <w:jc w:val="right"/>
              <w:rPr>
                <w:sz w:val="17"/>
              </w:rPr>
            </w:pPr>
            <w:r>
              <w:rPr>
                <w:spacing w:val="-10"/>
                <w:sz w:val="17"/>
              </w:rPr>
              <w:t>—</w:t>
            </w:r>
          </w:p>
        </w:tc>
        <w:tc>
          <w:tcPr>
            <w:tcW w:w="1572" w:type="dxa"/>
          </w:tcPr>
          <w:p>
            <w:pPr>
              <w:pStyle w:val="TableParagraph"/>
              <w:spacing w:before="16"/>
              <w:ind w:right="26"/>
              <w:jc w:val="right"/>
              <w:rPr>
                <w:sz w:val="17"/>
              </w:rPr>
            </w:pPr>
            <w:r>
              <w:rPr>
                <w:spacing w:val="-2"/>
                <w:sz w:val="17"/>
              </w:rPr>
              <w:t>(1,491,945)</w:t>
            </w:r>
          </w:p>
        </w:tc>
      </w:tr>
      <w:tr>
        <w:trPr>
          <w:trHeight w:val="242" w:hRule="atLeast"/>
        </w:trPr>
        <w:tc>
          <w:tcPr>
            <w:tcW w:w="6750" w:type="dxa"/>
            <w:shd w:val="clear" w:color="auto" w:fill="CCEDFF"/>
          </w:tcPr>
          <w:p>
            <w:pPr>
              <w:pStyle w:val="TableParagraph"/>
              <w:spacing w:before="16"/>
              <w:ind w:left="217"/>
              <w:rPr>
                <w:sz w:val="17"/>
              </w:rPr>
            </w:pPr>
            <w:r>
              <w:rPr>
                <w:sz w:val="17"/>
              </w:rPr>
              <w:t>Gain</w:t>
            </w:r>
            <w:r>
              <w:rPr>
                <w:spacing w:val="-2"/>
                <w:sz w:val="17"/>
              </w:rPr>
              <w:t> </w:t>
            </w:r>
            <w:r>
              <w:rPr>
                <w:sz w:val="17"/>
              </w:rPr>
              <w:t>on</w:t>
            </w:r>
            <w:r>
              <w:rPr>
                <w:spacing w:val="-1"/>
                <w:sz w:val="17"/>
              </w:rPr>
              <w:t> </w:t>
            </w:r>
            <w:r>
              <w:rPr>
                <w:sz w:val="17"/>
              </w:rPr>
              <w:t>consolidation</w:t>
            </w:r>
            <w:r>
              <w:rPr>
                <w:spacing w:val="-2"/>
                <w:sz w:val="17"/>
              </w:rPr>
              <w:t> </w:t>
            </w:r>
            <w:r>
              <w:rPr>
                <w:sz w:val="17"/>
              </w:rPr>
              <w:t>of</w:t>
            </w:r>
            <w:r>
              <w:rPr>
                <w:spacing w:val="-1"/>
                <w:sz w:val="17"/>
              </w:rPr>
              <w:t> </w:t>
            </w:r>
            <w:r>
              <w:rPr>
                <w:sz w:val="17"/>
              </w:rPr>
              <w:t>CityCenter,</w:t>
            </w:r>
            <w:r>
              <w:rPr>
                <w:spacing w:val="-1"/>
                <w:sz w:val="17"/>
              </w:rPr>
              <w:t> </w:t>
            </w:r>
            <w:r>
              <w:rPr>
                <w:spacing w:val="-5"/>
                <w:sz w:val="17"/>
              </w:rPr>
              <w:t>net</w:t>
            </w:r>
          </w:p>
        </w:tc>
        <w:tc>
          <w:tcPr>
            <w:tcW w:w="1575" w:type="dxa"/>
            <w:shd w:val="clear" w:color="auto" w:fill="CCEDFF"/>
          </w:tcPr>
          <w:p>
            <w:pPr>
              <w:pStyle w:val="TableParagraph"/>
              <w:spacing w:before="16"/>
              <w:ind w:right="117"/>
              <w:jc w:val="right"/>
              <w:rPr>
                <w:sz w:val="17"/>
              </w:rPr>
            </w:pPr>
            <w:r>
              <w:rPr>
                <w:spacing w:val="-10"/>
                <w:sz w:val="17"/>
              </w:rPr>
              <w:t>—</w:t>
            </w:r>
          </w:p>
        </w:tc>
        <w:tc>
          <w:tcPr>
            <w:tcW w:w="1619" w:type="dxa"/>
            <w:shd w:val="clear" w:color="auto" w:fill="CCEDFF"/>
          </w:tcPr>
          <w:p>
            <w:pPr>
              <w:pStyle w:val="TableParagraph"/>
              <w:spacing w:before="16"/>
              <w:ind w:right="75"/>
              <w:jc w:val="right"/>
              <w:rPr>
                <w:sz w:val="17"/>
              </w:rPr>
            </w:pPr>
            <w:r>
              <w:rPr>
                <w:spacing w:val="-2"/>
                <w:sz w:val="17"/>
              </w:rPr>
              <w:t>(1,562,329)</w:t>
            </w:r>
          </w:p>
        </w:tc>
        <w:tc>
          <w:tcPr>
            <w:tcW w:w="1572" w:type="dxa"/>
            <w:shd w:val="clear" w:color="auto" w:fill="CCEDFF"/>
          </w:tcPr>
          <w:p>
            <w:pPr>
              <w:pStyle w:val="TableParagraph"/>
              <w:spacing w:before="16"/>
              <w:ind w:right="69"/>
              <w:jc w:val="right"/>
              <w:rPr>
                <w:sz w:val="17"/>
              </w:rPr>
            </w:pPr>
            <w:r>
              <w:rPr>
                <w:spacing w:val="-10"/>
                <w:sz w:val="17"/>
              </w:rPr>
              <w:t>—</w:t>
            </w:r>
          </w:p>
        </w:tc>
      </w:tr>
      <w:tr>
        <w:trPr>
          <w:trHeight w:val="255" w:hRule="atLeast"/>
        </w:trPr>
        <w:tc>
          <w:tcPr>
            <w:tcW w:w="6750" w:type="dxa"/>
          </w:tcPr>
          <w:p>
            <w:pPr>
              <w:pStyle w:val="TableParagraph"/>
              <w:spacing w:before="30"/>
              <w:ind w:left="217"/>
              <w:rPr>
                <w:sz w:val="17"/>
              </w:rPr>
            </w:pPr>
            <w:r>
              <w:rPr>
                <w:sz w:val="17"/>
              </w:rPr>
              <w:t>Depreciation and </w:t>
            </w:r>
            <w:r>
              <w:rPr>
                <w:spacing w:val="-2"/>
                <w:sz w:val="17"/>
              </w:rPr>
              <w:t>amortization</w:t>
            </w:r>
          </w:p>
        </w:tc>
        <w:tc>
          <w:tcPr>
            <w:tcW w:w="1575" w:type="dxa"/>
            <w:tcBorders>
              <w:bottom w:val="single" w:sz="6" w:space="0" w:color="000000"/>
            </w:tcBorders>
          </w:tcPr>
          <w:p>
            <w:pPr>
              <w:pStyle w:val="TableParagraph"/>
              <w:spacing w:before="16"/>
              <w:ind w:right="117"/>
              <w:jc w:val="right"/>
              <w:rPr>
                <w:sz w:val="17"/>
              </w:rPr>
            </w:pPr>
            <w:r>
              <w:rPr>
                <w:spacing w:val="-2"/>
                <w:sz w:val="17"/>
              </w:rPr>
              <w:t>3,482,050</w:t>
            </w:r>
          </w:p>
        </w:tc>
        <w:tc>
          <w:tcPr>
            <w:tcW w:w="1619" w:type="dxa"/>
            <w:tcBorders>
              <w:bottom w:val="single" w:sz="6" w:space="0" w:color="000000"/>
            </w:tcBorders>
          </w:tcPr>
          <w:p>
            <w:pPr>
              <w:pStyle w:val="TableParagraph"/>
              <w:spacing w:before="16"/>
              <w:ind w:right="118"/>
              <w:jc w:val="right"/>
              <w:rPr>
                <w:sz w:val="17"/>
              </w:rPr>
            </w:pPr>
            <w:r>
              <w:rPr>
                <w:spacing w:val="-2"/>
                <w:sz w:val="17"/>
              </w:rPr>
              <w:t>1,150,610</w:t>
            </w:r>
          </w:p>
        </w:tc>
        <w:tc>
          <w:tcPr>
            <w:tcW w:w="1572" w:type="dxa"/>
            <w:tcBorders>
              <w:bottom w:val="single" w:sz="6" w:space="0" w:color="000000"/>
            </w:tcBorders>
          </w:tcPr>
          <w:p>
            <w:pPr>
              <w:pStyle w:val="TableParagraph"/>
              <w:spacing w:before="16"/>
              <w:ind w:right="69"/>
              <w:jc w:val="right"/>
              <w:rPr>
                <w:sz w:val="17"/>
              </w:rPr>
            </w:pPr>
            <w:r>
              <w:rPr>
                <w:spacing w:val="-2"/>
                <w:sz w:val="17"/>
              </w:rPr>
              <w:t>1,210,556</w:t>
            </w:r>
          </w:p>
        </w:tc>
      </w:tr>
      <w:tr>
        <w:trPr>
          <w:trHeight w:val="241" w:hRule="atLeast"/>
        </w:trPr>
        <w:tc>
          <w:tcPr>
            <w:tcW w:w="6750" w:type="dxa"/>
            <w:shd w:val="clear" w:color="auto" w:fill="CCEDFF"/>
          </w:tcPr>
          <w:p>
            <w:pPr>
              <w:pStyle w:val="TableParagraph"/>
              <w:spacing w:before="0"/>
              <w:rPr>
                <w:sz w:val="16"/>
              </w:rPr>
            </w:pPr>
          </w:p>
        </w:tc>
        <w:tc>
          <w:tcPr>
            <w:tcW w:w="1575" w:type="dxa"/>
            <w:tcBorders>
              <w:top w:val="single" w:sz="6" w:space="0" w:color="000000"/>
              <w:bottom w:val="single" w:sz="6" w:space="0" w:color="000000"/>
            </w:tcBorders>
            <w:shd w:val="clear" w:color="auto" w:fill="CCEDFF"/>
          </w:tcPr>
          <w:p>
            <w:pPr>
              <w:pStyle w:val="TableParagraph"/>
              <w:spacing w:before="16"/>
              <w:ind w:right="117"/>
              <w:jc w:val="right"/>
              <w:rPr>
                <w:sz w:val="17"/>
              </w:rPr>
            </w:pPr>
            <w:r>
              <w:rPr>
                <w:spacing w:val="-2"/>
                <w:sz w:val="17"/>
              </w:rPr>
              <w:t>11,527,900</w:t>
            </w:r>
          </w:p>
        </w:tc>
        <w:tc>
          <w:tcPr>
            <w:tcW w:w="1619" w:type="dxa"/>
            <w:tcBorders>
              <w:top w:val="single" w:sz="6" w:space="0" w:color="000000"/>
              <w:bottom w:val="single" w:sz="6" w:space="0" w:color="000000"/>
            </w:tcBorders>
            <w:shd w:val="clear" w:color="auto" w:fill="CCEDFF"/>
          </w:tcPr>
          <w:p>
            <w:pPr>
              <w:pStyle w:val="TableParagraph"/>
              <w:spacing w:before="16"/>
              <w:ind w:right="118"/>
              <w:jc w:val="right"/>
              <w:rPr>
                <w:sz w:val="17"/>
              </w:rPr>
            </w:pPr>
            <w:r>
              <w:rPr>
                <w:spacing w:val="-2"/>
                <w:sz w:val="17"/>
              </w:rPr>
              <w:t>7,486,264</w:t>
            </w:r>
          </w:p>
        </w:tc>
        <w:tc>
          <w:tcPr>
            <w:tcW w:w="1572" w:type="dxa"/>
            <w:tcBorders>
              <w:top w:val="single" w:sz="6" w:space="0" w:color="000000"/>
              <w:bottom w:val="single" w:sz="6" w:space="0" w:color="000000"/>
            </w:tcBorders>
            <w:shd w:val="clear" w:color="auto" w:fill="CCEDFF"/>
          </w:tcPr>
          <w:p>
            <w:pPr>
              <w:pStyle w:val="TableParagraph"/>
              <w:spacing w:before="16"/>
              <w:ind w:right="69"/>
              <w:jc w:val="right"/>
              <w:rPr>
                <w:sz w:val="17"/>
              </w:rPr>
            </w:pPr>
            <w:r>
              <w:rPr>
                <w:spacing w:val="-2"/>
                <w:sz w:val="17"/>
              </w:rPr>
              <w:t>5,847,454</w:t>
            </w:r>
          </w:p>
        </w:tc>
      </w:tr>
      <w:tr>
        <w:trPr>
          <w:trHeight w:val="241" w:hRule="atLeast"/>
        </w:trPr>
        <w:tc>
          <w:tcPr>
            <w:tcW w:w="6750" w:type="dxa"/>
          </w:tcPr>
          <w:p>
            <w:pPr>
              <w:pStyle w:val="TableParagraph"/>
              <w:spacing w:line="192" w:lineRule="exact" w:before="29"/>
              <w:ind w:left="17"/>
              <w:rPr>
                <w:b/>
                <w:sz w:val="17"/>
              </w:rPr>
            </w:pPr>
            <w:r>
              <w:rPr>
                <w:b/>
                <w:sz w:val="17"/>
              </w:rPr>
              <w:t>Income</w:t>
            </w:r>
            <w:r>
              <w:rPr>
                <w:b/>
                <w:spacing w:val="-1"/>
                <w:sz w:val="17"/>
              </w:rPr>
              <w:t> </w:t>
            </w:r>
            <w:r>
              <w:rPr>
                <w:b/>
                <w:sz w:val="17"/>
              </w:rPr>
              <w:t>(loss)</w:t>
            </w:r>
            <w:r>
              <w:rPr>
                <w:b/>
                <w:spacing w:val="-1"/>
                <w:sz w:val="17"/>
              </w:rPr>
              <w:t> </w:t>
            </w:r>
            <w:r>
              <w:rPr>
                <w:b/>
                <w:sz w:val="17"/>
              </w:rPr>
              <w:t>from</w:t>
            </w:r>
            <w:r>
              <w:rPr>
                <w:b/>
                <w:spacing w:val="-1"/>
                <w:sz w:val="17"/>
              </w:rPr>
              <w:t> </w:t>
            </w:r>
            <w:r>
              <w:rPr>
                <w:b/>
                <w:sz w:val="17"/>
              </w:rPr>
              <w:t>unconsolidated</w:t>
            </w:r>
            <w:r>
              <w:rPr>
                <w:b/>
                <w:spacing w:val="-1"/>
                <w:sz w:val="17"/>
              </w:rPr>
              <w:t> </w:t>
            </w:r>
            <w:r>
              <w:rPr>
                <w:b/>
                <w:spacing w:val="-2"/>
                <w:sz w:val="17"/>
              </w:rPr>
              <w:t>affiliates</w:t>
            </w:r>
          </w:p>
        </w:tc>
        <w:tc>
          <w:tcPr>
            <w:tcW w:w="1575" w:type="dxa"/>
            <w:tcBorders>
              <w:top w:val="single" w:sz="6" w:space="0" w:color="000000"/>
              <w:bottom w:val="single" w:sz="6" w:space="0" w:color="000000"/>
            </w:tcBorders>
          </w:tcPr>
          <w:p>
            <w:pPr>
              <w:pStyle w:val="TableParagraph"/>
              <w:spacing w:before="16"/>
              <w:ind w:right="75"/>
              <w:jc w:val="right"/>
              <w:rPr>
                <w:sz w:val="17"/>
              </w:rPr>
            </w:pPr>
            <w:r>
              <w:rPr>
                <w:spacing w:val="-2"/>
                <w:sz w:val="17"/>
              </w:rPr>
              <w:t>(160,213)</w:t>
            </w:r>
          </w:p>
        </w:tc>
        <w:tc>
          <w:tcPr>
            <w:tcW w:w="1619" w:type="dxa"/>
            <w:tcBorders>
              <w:top w:val="single" w:sz="6" w:space="0" w:color="000000"/>
              <w:bottom w:val="single" w:sz="6" w:space="0" w:color="000000"/>
            </w:tcBorders>
          </w:tcPr>
          <w:p>
            <w:pPr>
              <w:pStyle w:val="TableParagraph"/>
              <w:spacing w:before="16"/>
              <w:ind w:right="117"/>
              <w:jc w:val="right"/>
              <w:rPr>
                <w:sz w:val="17"/>
              </w:rPr>
            </w:pPr>
            <w:r>
              <w:rPr>
                <w:spacing w:val="-2"/>
                <w:sz w:val="17"/>
              </w:rPr>
              <w:t>84,823</w:t>
            </w:r>
          </w:p>
        </w:tc>
        <w:tc>
          <w:tcPr>
            <w:tcW w:w="1572" w:type="dxa"/>
            <w:tcBorders>
              <w:top w:val="single" w:sz="6" w:space="0" w:color="000000"/>
              <w:bottom w:val="single" w:sz="6" w:space="0" w:color="000000"/>
            </w:tcBorders>
          </w:tcPr>
          <w:p>
            <w:pPr>
              <w:pStyle w:val="TableParagraph"/>
              <w:spacing w:before="16"/>
              <w:ind w:right="69"/>
              <w:jc w:val="right"/>
              <w:rPr>
                <w:sz w:val="17"/>
              </w:rPr>
            </w:pPr>
            <w:r>
              <w:rPr>
                <w:spacing w:val="-2"/>
                <w:sz w:val="17"/>
              </w:rPr>
              <w:t>42,938</w:t>
            </w:r>
          </w:p>
        </w:tc>
      </w:tr>
      <w:tr>
        <w:trPr>
          <w:trHeight w:val="254" w:hRule="atLeast"/>
        </w:trPr>
        <w:tc>
          <w:tcPr>
            <w:tcW w:w="6750" w:type="dxa"/>
            <w:shd w:val="clear" w:color="auto" w:fill="CCEDFF"/>
          </w:tcPr>
          <w:p>
            <w:pPr>
              <w:pStyle w:val="TableParagraph"/>
              <w:spacing w:before="29"/>
              <w:ind w:left="17"/>
              <w:rPr>
                <w:b/>
                <w:sz w:val="17"/>
              </w:rPr>
            </w:pPr>
            <w:r>
              <w:rPr>
                <w:b/>
                <w:sz w:val="17"/>
              </w:rPr>
              <w:t>Operating income </w:t>
            </w:r>
            <w:r>
              <w:rPr>
                <w:b/>
                <w:spacing w:val="-2"/>
                <w:sz w:val="17"/>
              </w:rPr>
              <w:t>(loss)</w:t>
            </w:r>
          </w:p>
        </w:tc>
        <w:tc>
          <w:tcPr>
            <w:tcW w:w="1575" w:type="dxa"/>
            <w:tcBorders>
              <w:top w:val="single" w:sz="6" w:space="0" w:color="000000"/>
              <w:bottom w:val="single" w:sz="6" w:space="0" w:color="000000"/>
            </w:tcBorders>
            <w:shd w:val="clear" w:color="auto" w:fill="CCEDFF"/>
          </w:tcPr>
          <w:p>
            <w:pPr>
              <w:pStyle w:val="TableParagraph"/>
              <w:spacing w:before="16"/>
              <w:ind w:right="117"/>
              <w:jc w:val="right"/>
              <w:rPr>
                <w:sz w:val="17"/>
              </w:rPr>
            </w:pPr>
            <w:r>
              <w:rPr>
                <w:spacing w:val="-2"/>
                <w:sz w:val="17"/>
              </w:rPr>
              <w:t>1,439,372</w:t>
            </w:r>
          </w:p>
        </w:tc>
        <w:tc>
          <w:tcPr>
            <w:tcW w:w="1619" w:type="dxa"/>
            <w:tcBorders>
              <w:top w:val="single" w:sz="6" w:space="0" w:color="000000"/>
              <w:bottom w:val="single" w:sz="6" w:space="0" w:color="000000"/>
            </w:tcBorders>
            <w:shd w:val="clear" w:color="auto" w:fill="CCEDFF"/>
          </w:tcPr>
          <w:p>
            <w:pPr>
              <w:pStyle w:val="TableParagraph"/>
              <w:spacing w:before="16"/>
              <w:ind w:right="118"/>
              <w:jc w:val="right"/>
              <w:rPr>
                <w:sz w:val="17"/>
              </w:rPr>
            </w:pPr>
            <w:r>
              <w:rPr>
                <w:spacing w:val="-2"/>
                <w:sz w:val="17"/>
              </w:rPr>
              <w:t>2,278,699</w:t>
            </w:r>
          </w:p>
        </w:tc>
        <w:tc>
          <w:tcPr>
            <w:tcW w:w="1572" w:type="dxa"/>
            <w:tcBorders>
              <w:top w:val="single" w:sz="6" w:space="0" w:color="000000"/>
              <w:bottom w:val="single" w:sz="6" w:space="0" w:color="000000"/>
            </w:tcBorders>
            <w:shd w:val="clear" w:color="auto" w:fill="CCEDFF"/>
          </w:tcPr>
          <w:p>
            <w:pPr>
              <w:pStyle w:val="TableParagraph"/>
              <w:spacing w:before="16"/>
              <w:ind w:right="26"/>
              <w:jc w:val="right"/>
              <w:rPr>
                <w:sz w:val="17"/>
              </w:rPr>
            </w:pPr>
            <w:r>
              <w:rPr>
                <w:spacing w:val="-2"/>
                <w:sz w:val="17"/>
              </w:rPr>
              <w:t>(642,434)</w:t>
            </w:r>
          </w:p>
        </w:tc>
      </w:tr>
      <w:tr>
        <w:trPr>
          <w:trHeight w:val="242" w:hRule="atLeast"/>
        </w:trPr>
        <w:tc>
          <w:tcPr>
            <w:tcW w:w="6750" w:type="dxa"/>
          </w:tcPr>
          <w:p>
            <w:pPr>
              <w:pStyle w:val="TableParagraph"/>
              <w:spacing w:before="2"/>
              <w:ind w:left="17"/>
              <w:rPr>
                <w:b/>
                <w:sz w:val="17"/>
              </w:rPr>
            </w:pPr>
            <w:r>
              <w:rPr>
                <w:b/>
                <w:sz w:val="17"/>
              </w:rPr>
              <w:t>Non-operating income </w:t>
            </w:r>
            <w:r>
              <w:rPr>
                <w:b/>
                <w:spacing w:val="-2"/>
                <w:sz w:val="17"/>
              </w:rPr>
              <w:t>(expense)</w:t>
            </w:r>
          </w:p>
        </w:tc>
        <w:tc>
          <w:tcPr>
            <w:tcW w:w="1575" w:type="dxa"/>
            <w:tcBorders>
              <w:top w:val="single" w:sz="6" w:space="0" w:color="000000"/>
            </w:tcBorders>
          </w:tcPr>
          <w:p>
            <w:pPr>
              <w:pStyle w:val="TableParagraph"/>
              <w:spacing w:before="0"/>
              <w:rPr>
                <w:sz w:val="16"/>
              </w:rPr>
            </w:pPr>
          </w:p>
        </w:tc>
        <w:tc>
          <w:tcPr>
            <w:tcW w:w="1619" w:type="dxa"/>
            <w:tcBorders>
              <w:top w:val="single" w:sz="6" w:space="0" w:color="000000"/>
            </w:tcBorders>
          </w:tcPr>
          <w:p>
            <w:pPr>
              <w:pStyle w:val="TableParagraph"/>
              <w:spacing w:before="0"/>
              <w:rPr>
                <w:sz w:val="16"/>
              </w:rPr>
            </w:pPr>
          </w:p>
        </w:tc>
        <w:tc>
          <w:tcPr>
            <w:tcW w:w="1572" w:type="dxa"/>
            <w:tcBorders>
              <w:top w:val="single" w:sz="6" w:space="0" w:color="000000"/>
            </w:tcBorders>
          </w:tcPr>
          <w:p>
            <w:pPr>
              <w:pStyle w:val="TableParagraph"/>
              <w:spacing w:before="0"/>
              <w:rPr>
                <w:sz w:val="16"/>
              </w:rPr>
            </w:pPr>
          </w:p>
        </w:tc>
      </w:tr>
      <w:tr>
        <w:trPr>
          <w:trHeight w:val="242" w:hRule="atLeast"/>
        </w:trPr>
        <w:tc>
          <w:tcPr>
            <w:tcW w:w="6750" w:type="dxa"/>
            <w:shd w:val="clear" w:color="auto" w:fill="CCEDFF"/>
          </w:tcPr>
          <w:p>
            <w:pPr>
              <w:pStyle w:val="TableParagraph"/>
              <w:spacing w:before="16"/>
              <w:ind w:left="217"/>
              <w:rPr>
                <w:sz w:val="17"/>
              </w:rPr>
            </w:pPr>
            <w:r>
              <w:rPr>
                <w:sz w:val="17"/>
              </w:rPr>
              <w:t>Interest expense, net of amounts </w:t>
            </w:r>
            <w:r>
              <w:rPr>
                <w:spacing w:val="-2"/>
                <w:sz w:val="17"/>
              </w:rPr>
              <w:t>capitalized</w:t>
            </w:r>
          </w:p>
        </w:tc>
        <w:tc>
          <w:tcPr>
            <w:tcW w:w="1575" w:type="dxa"/>
            <w:shd w:val="clear" w:color="auto" w:fill="CCEDFF"/>
          </w:tcPr>
          <w:p>
            <w:pPr>
              <w:pStyle w:val="TableParagraph"/>
              <w:spacing w:before="16"/>
              <w:ind w:right="75"/>
              <w:jc w:val="right"/>
              <w:rPr>
                <w:sz w:val="17"/>
              </w:rPr>
            </w:pPr>
            <w:r>
              <w:rPr>
                <w:spacing w:val="-2"/>
                <w:sz w:val="17"/>
              </w:rPr>
              <w:t>(594,954)</w:t>
            </w:r>
          </w:p>
        </w:tc>
        <w:tc>
          <w:tcPr>
            <w:tcW w:w="1619" w:type="dxa"/>
            <w:shd w:val="clear" w:color="auto" w:fill="CCEDFF"/>
          </w:tcPr>
          <w:p>
            <w:pPr>
              <w:pStyle w:val="TableParagraph"/>
              <w:spacing w:before="16"/>
              <w:ind w:right="75"/>
              <w:jc w:val="right"/>
              <w:rPr>
                <w:sz w:val="17"/>
              </w:rPr>
            </w:pPr>
            <w:r>
              <w:rPr>
                <w:spacing w:val="-2"/>
                <w:sz w:val="17"/>
              </w:rPr>
              <w:t>(799,593)</w:t>
            </w:r>
          </w:p>
        </w:tc>
        <w:tc>
          <w:tcPr>
            <w:tcW w:w="1572" w:type="dxa"/>
            <w:shd w:val="clear" w:color="auto" w:fill="CCEDFF"/>
          </w:tcPr>
          <w:p>
            <w:pPr>
              <w:pStyle w:val="TableParagraph"/>
              <w:spacing w:before="16"/>
              <w:ind w:right="26"/>
              <w:jc w:val="right"/>
              <w:rPr>
                <w:sz w:val="17"/>
              </w:rPr>
            </w:pPr>
            <w:r>
              <w:rPr>
                <w:spacing w:val="-2"/>
                <w:sz w:val="17"/>
              </w:rPr>
              <w:t>(676,380)</w:t>
            </w:r>
          </w:p>
        </w:tc>
      </w:tr>
      <w:tr>
        <w:trPr>
          <w:trHeight w:val="256" w:hRule="atLeast"/>
        </w:trPr>
        <w:tc>
          <w:tcPr>
            <w:tcW w:w="6750" w:type="dxa"/>
          </w:tcPr>
          <w:p>
            <w:pPr>
              <w:pStyle w:val="TableParagraph"/>
              <w:spacing w:before="16"/>
              <w:ind w:left="217"/>
              <w:rPr>
                <w:sz w:val="17"/>
              </w:rPr>
            </w:pPr>
            <w:r>
              <w:rPr>
                <w:sz w:val="17"/>
              </w:rPr>
              <w:t>Non-operating items from unconsolidated </w:t>
            </w:r>
            <w:r>
              <w:rPr>
                <w:spacing w:val="-2"/>
                <w:sz w:val="17"/>
              </w:rPr>
              <w:t>affiliates</w:t>
            </w:r>
          </w:p>
        </w:tc>
        <w:tc>
          <w:tcPr>
            <w:tcW w:w="1575" w:type="dxa"/>
          </w:tcPr>
          <w:p>
            <w:pPr>
              <w:pStyle w:val="TableParagraph"/>
              <w:spacing w:before="16"/>
              <w:ind w:right="75"/>
              <w:jc w:val="right"/>
              <w:rPr>
                <w:sz w:val="17"/>
              </w:rPr>
            </w:pPr>
            <w:r>
              <w:rPr>
                <w:spacing w:val="-2"/>
                <w:sz w:val="17"/>
              </w:rPr>
              <w:t>(23,457)</w:t>
            </w:r>
          </w:p>
        </w:tc>
        <w:tc>
          <w:tcPr>
            <w:tcW w:w="1619" w:type="dxa"/>
          </w:tcPr>
          <w:p>
            <w:pPr>
              <w:pStyle w:val="TableParagraph"/>
              <w:spacing w:before="16"/>
              <w:ind w:right="75"/>
              <w:jc w:val="right"/>
              <w:rPr>
                <w:sz w:val="17"/>
              </w:rPr>
            </w:pPr>
            <w:r>
              <w:rPr>
                <w:spacing w:val="-2"/>
                <w:sz w:val="17"/>
              </w:rPr>
              <w:t>(83,243)</w:t>
            </w:r>
          </w:p>
        </w:tc>
        <w:tc>
          <w:tcPr>
            <w:tcW w:w="1572" w:type="dxa"/>
          </w:tcPr>
          <w:p>
            <w:pPr>
              <w:pStyle w:val="TableParagraph"/>
              <w:spacing w:before="16"/>
              <w:ind w:right="26"/>
              <w:jc w:val="right"/>
              <w:rPr>
                <w:sz w:val="17"/>
              </w:rPr>
            </w:pPr>
            <w:r>
              <w:rPr>
                <w:spacing w:val="-2"/>
                <w:sz w:val="17"/>
              </w:rPr>
              <w:t>(103,304)</w:t>
            </w:r>
          </w:p>
        </w:tc>
      </w:tr>
      <w:tr>
        <w:trPr>
          <w:trHeight w:val="242" w:hRule="atLeast"/>
        </w:trPr>
        <w:tc>
          <w:tcPr>
            <w:tcW w:w="6750" w:type="dxa"/>
            <w:shd w:val="clear" w:color="auto" w:fill="CCEDFF"/>
          </w:tcPr>
          <w:p>
            <w:pPr>
              <w:pStyle w:val="TableParagraph"/>
              <w:spacing w:before="16"/>
              <w:ind w:left="217"/>
              <w:rPr>
                <w:sz w:val="17"/>
              </w:rPr>
            </w:pPr>
            <w:r>
              <w:rPr>
                <w:sz w:val="17"/>
              </w:rPr>
              <w:t>Other,</w:t>
            </w:r>
            <w:r>
              <w:rPr>
                <w:spacing w:val="-7"/>
                <w:sz w:val="17"/>
              </w:rPr>
              <w:t> </w:t>
            </w:r>
            <w:r>
              <w:rPr>
                <w:spacing w:val="-5"/>
                <w:sz w:val="17"/>
              </w:rPr>
              <w:t>net</w:t>
            </w:r>
          </w:p>
        </w:tc>
        <w:tc>
          <w:tcPr>
            <w:tcW w:w="1575" w:type="dxa"/>
            <w:tcBorders>
              <w:bottom w:val="single" w:sz="6" w:space="0" w:color="000000"/>
            </w:tcBorders>
            <w:shd w:val="clear" w:color="auto" w:fill="CCEDFF"/>
          </w:tcPr>
          <w:p>
            <w:pPr>
              <w:pStyle w:val="TableParagraph"/>
              <w:spacing w:before="16"/>
              <w:ind w:right="117"/>
              <w:jc w:val="right"/>
              <w:rPr>
                <w:sz w:val="17"/>
              </w:rPr>
            </w:pPr>
            <w:r>
              <w:rPr>
                <w:spacing w:val="-2"/>
                <w:sz w:val="17"/>
              </w:rPr>
              <w:t>82,838</w:t>
            </w:r>
          </w:p>
        </w:tc>
        <w:tc>
          <w:tcPr>
            <w:tcW w:w="1619" w:type="dxa"/>
            <w:tcBorders>
              <w:bottom w:val="single" w:sz="6" w:space="0" w:color="000000"/>
            </w:tcBorders>
            <w:shd w:val="clear" w:color="auto" w:fill="CCEDFF"/>
          </w:tcPr>
          <w:p>
            <w:pPr>
              <w:pStyle w:val="TableParagraph"/>
              <w:spacing w:before="16"/>
              <w:ind w:right="117"/>
              <w:jc w:val="right"/>
              <w:rPr>
                <w:sz w:val="17"/>
              </w:rPr>
            </w:pPr>
            <w:r>
              <w:rPr>
                <w:spacing w:val="-2"/>
                <w:sz w:val="17"/>
              </w:rPr>
              <w:t>65,941</w:t>
            </w:r>
          </w:p>
        </w:tc>
        <w:tc>
          <w:tcPr>
            <w:tcW w:w="1572" w:type="dxa"/>
            <w:tcBorders>
              <w:bottom w:val="single" w:sz="6" w:space="0" w:color="000000"/>
            </w:tcBorders>
            <w:shd w:val="clear" w:color="auto" w:fill="CCEDFF"/>
          </w:tcPr>
          <w:p>
            <w:pPr>
              <w:pStyle w:val="TableParagraph"/>
              <w:spacing w:before="16"/>
              <w:ind w:right="26"/>
              <w:jc w:val="right"/>
              <w:rPr>
                <w:sz w:val="17"/>
              </w:rPr>
            </w:pPr>
            <w:r>
              <w:rPr>
                <w:spacing w:val="-2"/>
                <w:sz w:val="17"/>
              </w:rPr>
              <w:t>(89,361)</w:t>
            </w:r>
          </w:p>
        </w:tc>
      </w:tr>
      <w:tr>
        <w:trPr>
          <w:trHeight w:val="254" w:hRule="atLeast"/>
        </w:trPr>
        <w:tc>
          <w:tcPr>
            <w:tcW w:w="6750" w:type="dxa"/>
          </w:tcPr>
          <w:p>
            <w:pPr>
              <w:pStyle w:val="TableParagraph"/>
              <w:spacing w:before="0"/>
              <w:rPr>
                <w:sz w:val="16"/>
              </w:rPr>
            </w:pPr>
          </w:p>
        </w:tc>
        <w:tc>
          <w:tcPr>
            <w:tcW w:w="1575" w:type="dxa"/>
            <w:tcBorders>
              <w:top w:val="single" w:sz="6" w:space="0" w:color="000000"/>
              <w:bottom w:val="single" w:sz="6" w:space="0" w:color="000000"/>
            </w:tcBorders>
          </w:tcPr>
          <w:p>
            <w:pPr>
              <w:pStyle w:val="TableParagraph"/>
              <w:spacing w:before="16"/>
              <w:ind w:right="75"/>
              <w:jc w:val="right"/>
              <w:rPr>
                <w:sz w:val="17"/>
              </w:rPr>
            </w:pPr>
            <w:r>
              <w:rPr>
                <w:spacing w:val="-2"/>
                <w:sz w:val="17"/>
              </w:rPr>
              <w:t>(535,573)</w:t>
            </w:r>
          </w:p>
        </w:tc>
        <w:tc>
          <w:tcPr>
            <w:tcW w:w="1619" w:type="dxa"/>
            <w:tcBorders>
              <w:top w:val="single" w:sz="6" w:space="0" w:color="000000"/>
              <w:bottom w:val="single" w:sz="6" w:space="0" w:color="000000"/>
            </w:tcBorders>
          </w:tcPr>
          <w:p>
            <w:pPr>
              <w:pStyle w:val="TableParagraph"/>
              <w:spacing w:before="16"/>
              <w:ind w:right="75"/>
              <w:jc w:val="right"/>
              <w:rPr>
                <w:sz w:val="17"/>
              </w:rPr>
            </w:pPr>
            <w:r>
              <w:rPr>
                <w:spacing w:val="-2"/>
                <w:sz w:val="17"/>
              </w:rPr>
              <w:t>(816,895)</w:t>
            </w:r>
          </w:p>
        </w:tc>
        <w:tc>
          <w:tcPr>
            <w:tcW w:w="1572" w:type="dxa"/>
            <w:tcBorders>
              <w:top w:val="single" w:sz="6" w:space="0" w:color="000000"/>
              <w:bottom w:val="single" w:sz="6" w:space="0" w:color="000000"/>
            </w:tcBorders>
          </w:tcPr>
          <w:p>
            <w:pPr>
              <w:pStyle w:val="TableParagraph"/>
              <w:spacing w:before="16"/>
              <w:ind w:right="26"/>
              <w:jc w:val="right"/>
              <w:rPr>
                <w:sz w:val="17"/>
              </w:rPr>
            </w:pPr>
            <w:r>
              <w:rPr>
                <w:spacing w:val="-2"/>
                <w:sz w:val="17"/>
              </w:rPr>
              <w:t>(869,045)</w:t>
            </w:r>
          </w:p>
        </w:tc>
      </w:tr>
      <w:tr>
        <w:trPr>
          <w:trHeight w:val="242" w:hRule="atLeast"/>
        </w:trPr>
        <w:tc>
          <w:tcPr>
            <w:tcW w:w="6750" w:type="dxa"/>
            <w:shd w:val="clear" w:color="auto" w:fill="CCEDFF"/>
          </w:tcPr>
          <w:p>
            <w:pPr>
              <w:pStyle w:val="TableParagraph"/>
              <w:spacing w:before="16"/>
              <w:ind w:left="17"/>
              <w:rPr>
                <w:b/>
                <w:sz w:val="17"/>
              </w:rPr>
            </w:pPr>
            <w:r>
              <w:rPr>
                <w:b/>
                <w:sz w:val="17"/>
              </w:rPr>
              <w:t>Income</w:t>
            </w:r>
            <w:r>
              <w:rPr>
                <w:b/>
                <w:spacing w:val="-3"/>
                <w:sz w:val="17"/>
              </w:rPr>
              <w:t> </w:t>
            </w:r>
            <w:r>
              <w:rPr>
                <w:b/>
                <w:sz w:val="17"/>
              </w:rPr>
              <w:t>(loss)</w:t>
            </w:r>
            <w:r>
              <w:rPr>
                <w:b/>
                <w:spacing w:val="-1"/>
                <w:sz w:val="17"/>
              </w:rPr>
              <w:t> </w:t>
            </w:r>
            <w:r>
              <w:rPr>
                <w:b/>
                <w:sz w:val="17"/>
              </w:rPr>
              <w:t>before</w:t>
            </w:r>
            <w:r>
              <w:rPr>
                <w:b/>
                <w:spacing w:val="-1"/>
                <w:sz w:val="17"/>
              </w:rPr>
              <w:t> </w:t>
            </w:r>
            <w:r>
              <w:rPr>
                <w:b/>
                <w:sz w:val="17"/>
              </w:rPr>
              <w:t>income</w:t>
            </w:r>
            <w:r>
              <w:rPr>
                <w:b/>
                <w:spacing w:val="-1"/>
                <w:sz w:val="17"/>
              </w:rPr>
              <w:t> </w:t>
            </w:r>
            <w:r>
              <w:rPr>
                <w:b/>
                <w:spacing w:val="-2"/>
                <w:sz w:val="17"/>
              </w:rPr>
              <w:t>taxes</w:t>
            </w:r>
          </w:p>
        </w:tc>
        <w:tc>
          <w:tcPr>
            <w:tcW w:w="1575" w:type="dxa"/>
            <w:tcBorders>
              <w:top w:val="single" w:sz="6" w:space="0" w:color="000000"/>
            </w:tcBorders>
            <w:shd w:val="clear" w:color="auto" w:fill="CCEDFF"/>
          </w:tcPr>
          <w:p>
            <w:pPr>
              <w:pStyle w:val="TableParagraph"/>
              <w:spacing w:before="16"/>
              <w:ind w:right="117"/>
              <w:jc w:val="right"/>
              <w:rPr>
                <w:sz w:val="17"/>
              </w:rPr>
            </w:pPr>
            <w:r>
              <w:rPr>
                <w:spacing w:val="-2"/>
                <w:sz w:val="17"/>
              </w:rPr>
              <w:t>903,799</w:t>
            </w:r>
          </w:p>
        </w:tc>
        <w:tc>
          <w:tcPr>
            <w:tcW w:w="1619" w:type="dxa"/>
            <w:tcBorders>
              <w:top w:val="single" w:sz="6" w:space="0" w:color="000000"/>
            </w:tcBorders>
            <w:shd w:val="clear" w:color="auto" w:fill="CCEDFF"/>
          </w:tcPr>
          <w:p>
            <w:pPr>
              <w:pStyle w:val="TableParagraph"/>
              <w:spacing w:before="16"/>
              <w:ind w:right="118"/>
              <w:jc w:val="right"/>
              <w:rPr>
                <w:sz w:val="17"/>
              </w:rPr>
            </w:pPr>
            <w:r>
              <w:rPr>
                <w:spacing w:val="-2"/>
                <w:sz w:val="17"/>
              </w:rPr>
              <w:t>1,461,804</w:t>
            </w:r>
          </w:p>
        </w:tc>
        <w:tc>
          <w:tcPr>
            <w:tcW w:w="1572" w:type="dxa"/>
            <w:tcBorders>
              <w:top w:val="single" w:sz="6" w:space="0" w:color="000000"/>
            </w:tcBorders>
            <w:shd w:val="clear" w:color="auto" w:fill="CCEDFF"/>
          </w:tcPr>
          <w:p>
            <w:pPr>
              <w:pStyle w:val="TableParagraph"/>
              <w:spacing w:before="16"/>
              <w:ind w:right="26"/>
              <w:jc w:val="right"/>
              <w:rPr>
                <w:sz w:val="17"/>
              </w:rPr>
            </w:pPr>
            <w:r>
              <w:rPr>
                <w:spacing w:val="-2"/>
                <w:sz w:val="17"/>
              </w:rPr>
              <w:t>(1,511,479)</w:t>
            </w:r>
          </w:p>
        </w:tc>
      </w:tr>
      <w:tr>
        <w:trPr>
          <w:trHeight w:val="242" w:hRule="atLeast"/>
        </w:trPr>
        <w:tc>
          <w:tcPr>
            <w:tcW w:w="6750" w:type="dxa"/>
          </w:tcPr>
          <w:p>
            <w:pPr>
              <w:pStyle w:val="TableParagraph"/>
              <w:spacing w:line="192" w:lineRule="exact" w:before="30"/>
              <w:ind w:left="217"/>
              <w:rPr>
                <w:sz w:val="17"/>
              </w:rPr>
            </w:pPr>
            <w:r>
              <w:rPr>
                <w:sz w:val="17"/>
              </w:rPr>
              <w:t>Benefit (provision) for income </w:t>
            </w:r>
            <w:r>
              <w:rPr>
                <w:spacing w:val="-2"/>
                <w:sz w:val="17"/>
              </w:rPr>
              <w:t>taxes</w:t>
            </w:r>
          </w:p>
        </w:tc>
        <w:tc>
          <w:tcPr>
            <w:tcW w:w="1575" w:type="dxa"/>
            <w:tcBorders>
              <w:bottom w:val="single" w:sz="6" w:space="0" w:color="000000"/>
            </w:tcBorders>
          </w:tcPr>
          <w:p>
            <w:pPr>
              <w:pStyle w:val="TableParagraph"/>
              <w:spacing w:before="16"/>
              <w:ind w:right="75"/>
              <w:jc w:val="right"/>
              <w:rPr>
                <w:sz w:val="17"/>
              </w:rPr>
            </w:pPr>
            <w:r>
              <w:rPr>
                <w:spacing w:val="-2"/>
                <w:sz w:val="17"/>
              </w:rPr>
              <w:t>(697,068)</w:t>
            </w:r>
          </w:p>
        </w:tc>
        <w:tc>
          <w:tcPr>
            <w:tcW w:w="1619" w:type="dxa"/>
            <w:tcBorders>
              <w:bottom w:val="single" w:sz="6" w:space="0" w:color="000000"/>
            </w:tcBorders>
          </w:tcPr>
          <w:p>
            <w:pPr>
              <w:pStyle w:val="TableParagraph"/>
              <w:spacing w:before="16"/>
              <w:ind w:right="75"/>
              <w:jc w:val="right"/>
              <w:rPr>
                <w:sz w:val="17"/>
              </w:rPr>
            </w:pPr>
            <w:r>
              <w:rPr>
                <w:spacing w:val="-2"/>
                <w:sz w:val="17"/>
              </w:rPr>
              <w:t>(253,415)</w:t>
            </w:r>
          </w:p>
        </w:tc>
        <w:tc>
          <w:tcPr>
            <w:tcW w:w="1572" w:type="dxa"/>
            <w:tcBorders>
              <w:bottom w:val="single" w:sz="6" w:space="0" w:color="000000"/>
            </w:tcBorders>
          </w:tcPr>
          <w:p>
            <w:pPr>
              <w:pStyle w:val="TableParagraph"/>
              <w:spacing w:before="16"/>
              <w:ind w:right="69"/>
              <w:jc w:val="right"/>
              <w:rPr>
                <w:sz w:val="17"/>
              </w:rPr>
            </w:pPr>
            <w:r>
              <w:rPr>
                <w:spacing w:val="-2"/>
                <w:sz w:val="17"/>
              </w:rPr>
              <w:t>191,572</w:t>
            </w:r>
          </w:p>
        </w:tc>
      </w:tr>
      <w:tr>
        <w:trPr>
          <w:trHeight w:val="255" w:hRule="atLeast"/>
        </w:trPr>
        <w:tc>
          <w:tcPr>
            <w:tcW w:w="6750" w:type="dxa"/>
            <w:shd w:val="clear" w:color="auto" w:fill="CCEDFF"/>
          </w:tcPr>
          <w:p>
            <w:pPr>
              <w:pStyle w:val="TableParagraph"/>
              <w:spacing w:before="16"/>
              <w:ind w:left="17"/>
              <w:rPr>
                <w:b/>
                <w:sz w:val="17"/>
              </w:rPr>
            </w:pPr>
            <w:r>
              <w:rPr>
                <w:b/>
                <w:sz w:val="17"/>
              </w:rPr>
              <w:t>Net income </w:t>
            </w:r>
            <w:r>
              <w:rPr>
                <w:b/>
                <w:spacing w:val="-2"/>
                <w:sz w:val="17"/>
              </w:rPr>
              <w:t>(loss)</w:t>
            </w:r>
          </w:p>
        </w:tc>
        <w:tc>
          <w:tcPr>
            <w:tcW w:w="1575" w:type="dxa"/>
            <w:tcBorders>
              <w:top w:val="single" w:sz="6" w:space="0" w:color="000000"/>
            </w:tcBorders>
            <w:shd w:val="clear" w:color="auto" w:fill="CCEDFF"/>
          </w:tcPr>
          <w:p>
            <w:pPr>
              <w:pStyle w:val="TableParagraph"/>
              <w:spacing w:before="16"/>
              <w:ind w:right="117"/>
              <w:jc w:val="right"/>
              <w:rPr>
                <w:sz w:val="17"/>
              </w:rPr>
            </w:pPr>
            <w:r>
              <w:rPr>
                <w:spacing w:val="-2"/>
                <w:sz w:val="17"/>
              </w:rPr>
              <w:t>206,731</w:t>
            </w:r>
          </w:p>
        </w:tc>
        <w:tc>
          <w:tcPr>
            <w:tcW w:w="1619" w:type="dxa"/>
            <w:tcBorders>
              <w:top w:val="single" w:sz="6" w:space="0" w:color="000000"/>
            </w:tcBorders>
            <w:shd w:val="clear" w:color="auto" w:fill="CCEDFF"/>
          </w:tcPr>
          <w:p>
            <w:pPr>
              <w:pStyle w:val="TableParagraph"/>
              <w:spacing w:before="16"/>
              <w:ind w:right="118"/>
              <w:jc w:val="right"/>
              <w:rPr>
                <w:sz w:val="17"/>
              </w:rPr>
            </w:pPr>
            <w:r>
              <w:rPr>
                <w:spacing w:val="-2"/>
                <w:sz w:val="17"/>
              </w:rPr>
              <w:t>1,208,389</w:t>
            </w:r>
          </w:p>
        </w:tc>
        <w:tc>
          <w:tcPr>
            <w:tcW w:w="1572" w:type="dxa"/>
            <w:tcBorders>
              <w:top w:val="single" w:sz="6" w:space="0" w:color="000000"/>
            </w:tcBorders>
            <w:shd w:val="clear" w:color="auto" w:fill="CCEDFF"/>
          </w:tcPr>
          <w:p>
            <w:pPr>
              <w:pStyle w:val="TableParagraph"/>
              <w:spacing w:before="16"/>
              <w:ind w:right="26"/>
              <w:jc w:val="right"/>
              <w:rPr>
                <w:sz w:val="17"/>
              </w:rPr>
            </w:pPr>
            <w:r>
              <w:rPr>
                <w:spacing w:val="-2"/>
                <w:sz w:val="17"/>
              </w:rPr>
              <w:t>(1,319,907)</w:t>
            </w:r>
          </w:p>
        </w:tc>
      </w:tr>
      <w:tr>
        <w:trPr>
          <w:trHeight w:val="242" w:hRule="atLeast"/>
        </w:trPr>
        <w:tc>
          <w:tcPr>
            <w:tcW w:w="6750" w:type="dxa"/>
          </w:tcPr>
          <w:p>
            <w:pPr>
              <w:pStyle w:val="TableParagraph"/>
              <w:spacing w:before="16"/>
              <w:ind w:left="217"/>
              <w:rPr>
                <w:sz w:val="17"/>
              </w:rPr>
            </w:pPr>
            <w:r>
              <w:rPr>
                <w:sz w:val="17"/>
              </w:rPr>
              <w:t>Less: Net loss attributable to noncontrolling </w:t>
            </w:r>
            <w:r>
              <w:rPr>
                <w:spacing w:val="-2"/>
                <w:sz w:val="17"/>
              </w:rPr>
              <w:t>interests</w:t>
            </w:r>
          </w:p>
        </w:tc>
        <w:tc>
          <w:tcPr>
            <w:tcW w:w="1575" w:type="dxa"/>
            <w:tcBorders>
              <w:bottom w:val="single" w:sz="6" w:space="0" w:color="000000"/>
            </w:tcBorders>
          </w:tcPr>
          <w:p>
            <w:pPr>
              <w:pStyle w:val="TableParagraph"/>
              <w:spacing w:before="16"/>
              <w:ind w:right="117"/>
              <w:jc w:val="right"/>
              <w:rPr>
                <w:sz w:val="17"/>
              </w:rPr>
            </w:pPr>
            <w:r>
              <w:rPr>
                <w:spacing w:val="-2"/>
                <w:sz w:val="17"/>
              </w:rPr>
              <w:t>1,266,362</w:t>
            </w:r>
          </w:p>
        </w:tc>
        <w:tc>
          <w:tcPr>
            <w:tcW w:w="1619" w:type="dxa"/>
            <w:tcBorders>
              <w:bottom w:val="single" w:sz="6" w:space="0" w:color="000000"/>
            </w:tcBorders>
          </w:tcPr>
          <w:p>
            <w:pPr>
              <w:pStyle w:val="TableParagraph"/>
              <w:spacing w:before="16"/>
              <w:ind w:right="117"/>
              <w:jc w:val="right"/>
              <w:rPr>
                <w:sz w:val="17"/>
              </w:rPr>
            </w:pPr>
            <w:r>
              <w:rPr>
                <w:spacing w:val="-2"/>
                <w:sz w:val="17"/>
              </w:rPr>
              <w:t>45,981</w:t>
            </w:r>
          </w:p>
        </w:tc>
        <w:tc>
          <w:tcPr>
            <w:tcW w:w="1572" w:type="dxa"/>
            <w:tcBorders>
              <w:bottom w:val="single" w:sz="6" w:space="0" w:color="000000"/>
            </w:tcBorders>
          </w:tcPr>
          <w:p>
            <w:pPr>
              <w:pStyle w:val="TableParagraph"/>
              <w:spacing w:before="16"/>
              <w:ind w:right="69"/>
              <w:jc w:val="right"/>
              <w:rPr>
                <w:sz w:val="17"/>
              </w:rPr>
            </w:pPr>
            <w:r>
              <w:rPr>
                <w:spacing w:val="-2"/>
                <w:sz w:val="17"/>
              </w:rPr>
              <w:t>287,183</w:t>
            </w:r>
          </w:p>
        </w:tc>
      </w:tr>
      <w:tr>
        <w:trPr>
          <w:trHeight w:val="260" w:hRule="atLeast"/>
        </w:trPr>
        <w:tc>
          <w:tcPr>
            <w:tcW w:w="6750" w:type="dxa"/>
            <w:shd w:val="clear" w:color="auto" w:fill="CCEDFF"/>
          </w:tcPr>
          <w:p>
            <w:pPr>
              <w:pStyle w:val="TableParagraph"/>
              <w:spacing w:before="43"/>
              <w:ind w:left="17"/>
              <w:rPr>
                <w:b/>
                <w:sz w:val="17"/>
              </w:rPr>
            </w:pPr>
            <w:r>
              <w:rPr>
                <w:b/>
                <w:sz w:val="17"/>
              </w:rPr>
              <w:t>Net income (loss) attributable to MGM Resorts </w:t>
            </w:r>
            <w:r>
              <w:rPr>
                <w:b/>
                <w:spacing w:val="-2"/>
                <w:sz w:val="17"/>
              </w:rPr>
              <w:t>International</w:t>
            </w:r>
          </w:p>
        </w:tc>
        <w:tc>
          <w:tcPr>
            <w:tcW w:w="1575" w:type="dxa"/>
            <w:tcBorders>
              <w:top w:val="single" w:sz="6" w:space="0" w:color="000000"/>
              <w:bottom w:val="double" w:sz="6" w:space="0" w:color="000000"/>
            </w:tcBorders>
            <w:shd w:val="clear" w:color="auto" w:fill="CCEDFF"/>
          </w:tcPr>
          <w:p>
            <w:pPr>
              <w:pStyle w:val="TableParagraph"/>
              <w:tabs>
                <w:tab w:pos="747" w:val="left" w:leader="none"/>
              </w:tabs>
              <w:spacing w:before="16"/>
              <w:ind w:right="117"/>
              <w:jc w:val="right"/>
              <w:rPr>
                <w:sz w:val="17"/>
              </w:rPr>
            </w:pPr>
            <w:r>
              <w:rPr>
                <w:spacing w:val="-10"/>
                <w:sz w:val="17"/>
              </w:rPr>
              <w:t>$</w:t>
            </w:r>
            <w:r>
              <w:rPr>
                <w:sz w:val="17"/>
              </w:rPr>
              <w:tab/>
            </w:r>
            <w:r>
              <w:rPr>
                <w:spacing w:val="-2"/>
                <w:sz w:val="17"/>
              </w:rPr>
              <w:t>1,473,093</w:t>
            </w:r>
          </w:p>
        </w:tc>
        <w:tc>
          <w:tcPr>
            <w:tcW w:w="1619" w:type="dxa"/>
            <w:tcBorders>
              <w:top w:val="single" w:sz="6" w:space="0" w:color="000000"/>
              <w:bottom w:val="double" w:sz="6" w:space="0" w:color="000000"/>
            </w:tcBorders>
            <w:shd w:val="clear" w:color="auto" w:fill="CCEDFF"/>
          </w:tcPr>
          <w:p>
            <w:pPr>
              <w:pStyle w:val="TableParagraph"/>
              <w:tabs>
                <w:tab w:pos="815" w:val="left" w:leader="none"/>
              </w:tabs>
              <w:spacing w:before="16"/>
              <w:ind w:left="67"/>
              <w:rPr>
                <w:sz w:val="17"/>
              </w:rPr>
            </w:pPr>
            <w:r>
              <w:rPr>
                <w:spacing w:val="-10"/>
                <w:sz w:val="17"/>
              </w:rPr>
              <w:t>$</w:t>
            </w:r>
            <w:r>
              <w:rPr>
                <w:sz w:val="17"/>
              </w:rPr>
              <w:tab/>
            </w:r>
            <w:r>
              <w:rPr>
                <w:spacing w:val="-2"/>
                <w:sz w:val="17"/>
              </w:rPr>
              <w:t>1,254,370</w:t>
            </w:r>
          </w:p>
        </w:tc>
        <w:tc>
          <w:tcPr>
            <w:tcW w:w="1572" w:type="dxa"/>
            <w:tcBorders>
              <w:top w:val="single" w:sz="6" w:space="0" w:color="000000"/>
              <w:bottom w:val="double" w:sz="6" w:space="0" w:color="000000"/>
            </w:tcBorders>
            <w:shd w:val="clear" w:color="auto" w:fill="CCEDFF"/>
          </w:tcPr>
          <w:p>
            <w:pPr>
              <w:pStyle w:val="TableParagraph"/>
              <w:tabs>
                <w:tab w:pos="677" w:val="left" w:leader="none"/>
              </w:tabs>
              <w:spacing w:before="16"/>
              <w:ind w:right="26"/>
              <w:jc w:val="right"/>
              <w:rPr>
                <w:sz w:val="17"/>
              </w:rPr>
            </w:pPr>
            <w:r>
              <w:rPr>
                <w:spacing w:val="-10"/>
                <w:sz w:val="17"/>
              </w:rPr>
              <w:t>$</w:t>
            </w:r>
            <w:r>
              <w:rPr>
                <w:sz w:val="17"/>
              </w:rPr>
              <w:tab/>
            </w:r>
            <w:r>
              <w:rPr>
                <w:spacing w:val="-2"/>
                <w:sz w:val="17"/>
              </w:rPr>
              <w:t>(1,032,724)</w:t>
            </w:r>
          </w:p>
        </w:tc>
      </w:tr>
      <w:tr>
        <w:trPr>
          <w:trHeight w:val="220" w:hRule="atLeast"/>
        </w:trPr>
        <w:tc>
          <w:tcPr>
            <w:tcW w:w="6750" w:type="dxa"/>
          </w:tcPr>
          <w:p>
            <w:pPr>
              <w:pStyle w:val="TableParagraph"/>
              <w:spacing w:before="0"/>
              <w:rPr>
                <w:sz w:val="14"/>
              </w:rPr>
            </w:pPr>
          </w:p>
        </w:tc>
        <w:tc>
          <w:tcPr>
            <w:tcW w:w="1575" w:type="dxa"/>
            <w:tcBorders>
              <w:top w:val="double" w:sz="6" w:space="0" w:color="000000"/>
            </w:tcBorders>
          </w:tcPr>
          <w:p>
            <w:pPr>
              <w:pStyle w:val="TableParagraph"/>
              <w:spacing w:before="0"/>
              <w:rPr>
                <w:sz w:val="14"/>
              </w:rPr>
            </w:pPr>
          </w:p>
        </w:tc>
        <w:tc>
          <w:tcPr>
            <w:tcW w:w="1619" w:type="dxa"/>
            <w:tcBorders>
              <w:top w:val="double" w:sz="6" w:space="0" w:color="000000"/>
            </w:tcBorders>
          </w:tcPr>
          <w:p>
            <w:pPr>
              <w:pStyle w:val="TableParagraph"/>
              <w:spacing w:before="0"/>
              <w:rPr>
                <w:sz w:val="14"/>
              </w:rPr>
            </w:pPr>
          </w:p>
        </w:tc>
        <w:tc>
          <w:tcPr>
            <w:tcW w:w="1572" w:type="dxa"/>
            <w:tcBorders>
              <w:top w:val="double" w:sz="6" w:space="0" w:color="000000"/>
            </w:tcBorders>
          </w:tcPr>
          <w:p>
            <w:pPr>
              <w:pStyle w:val="TableParagraph"/>
              <w:spacing w:before="0"/>
              <w:rPr>
                <w:sz w:val="14"/>
              </w:rPr>
            </w:pPr>
          </w:p>
        </w:tc>
      </w:tr>
      <w:tr>
        <w:trPr>
          <w:trHeight w:val="256" w:hRule="atLeast"/>
        </w:trPr>
        <w:tc>
          <w:tcPr>
            <w:tcW w:w="6750" w:type="dxa"/>
            <w:shd w:val="clear" w:color="auto" w:fill="CCEDFF"/>
          </w:tcPr>
          <w:p>
            <w:pPr>
              <w:pStyle w:val="TableParagraph"/>
              <w:spacing w:before="16"/>
              <w:ind w:left="17"/>
              <w:rPr>
                <w:b/>
                <w:sz w:val="17"/>
              </w:rPr>
            </w:pPr>
            <w:r>
              <w:rPr>
                <w:b/>
                <w:sz w:val="17"/>
              </w:rPr>
              <w:t>Earnings (loss) per</w:t>
            </w:r>
            <w:r>
              <w:rPr>
                <w:b/>
                <w:spacing w:val="-3"/>
                <w:sz w:val="17"/>
              </w:rPr>
              <w:t> </w:t>
            </w:r>
            <w:r>
              <w:rPr>
                <w:b/>
                <w:spacing w:val="-4"/>
                <w:sz w:val="17"/>
              </w:rPr>
              <w:t>share</w:t>
            </w:r>
          </w:p>
        </w:tc>
        <w:tc>
          <w:tcPr>
            <w:tcW w:w="1575" w:type="dxa"/>
            <w:shd w:val="clear" w:color="auto" w:fill="CCEDFF"/>
          </w:tcPr>
          <w:p>
            <w:pPr>
              <w:pStyle w:val="TableParagraph"/>
              <w:spacing w:before="0"/>
              <w:rPr>
                <w:sz w:val="16"/>
              </w:rPr>
            </w:pPr>
          </w:p>
        </w:tc>
        <w:tc>
          <w:tcPr>
            <w:tcW w:w="1619" w:type="dxa"/>
            <w:shd w:val="clear" w:color="auto" w:fill="CCEDFF"/>
          </w:tcPr>
          <w:p>
            <w:pPr>
              <w:pStyle w:val="TableParagraph"/>
              <w:spacing w:before="0"/>
              <w:rPr>
                <w:sz w:val="16"/>
              </w:rPr>
            </w:pPr>
          </w:p>
        </w:tc>
        <w:tc>
          <w:tcPr>
            <w:tcW w:w="1572" w:type="dxa"/>
            <w:shd w:val="clear" w:color="auto" w:fill="CCEDFF"/>
          </w:tcPr>
          <w:p>
            <w:pPr>
              <w:pStyle w:val="TableParagraph"/>
              <w:spacing w:before="0"/>
              <w:rPr>
                <w:sz w:val="16"/>
              </w:rPr>
            </w:pPr>
          </w:p>
        </w:tc>
      </w:tr>
      <w:tr>
        <w:trPr>
          <w:trHeight w:val="242" w:hRule="atLeast"/>
        </w:trPr>
        <w:tc>
          <w:tcPr>
            <w:tcW w:w="6750" w:type="dxa"/>
          </w:tcPr>
          <w:p>
            <w:pPr>
              <w:pStyle w:val="TableParagraph"/>
              <w:spacing w:before="16"/>
              <w:ind w:left="217"/>
              <w:rPr>
                <w:sz w:val="17"/>
              </w:rPr>
            </w:pPr>
            <w:r>
              <w:rPr>
                <w:spacing w:val="-2"/>
                <w:sz w:val="17"/>
              </w:rPr>
              <w:t>Basic</w:t>
            </w:r>
          </w:p>
        </w:tc>
        <w:tc>
          <w:tcPr>
            <w:tcW w:w="1575" w:type="dxa"/>
          </w:tcPr>
          <w:p>
            <w:pPr>
              <w:pStyle w:val="TableParagraph"/>
              <w:tabs>
                <w:tab w:pos="1132" w:val="left" w:leader="none"/>
              </w:tabs>
              <w:spacing w:before="16"/>
              <w:ind w:right="117"/>
              <w:jc w:val="right"/>
              <w:rPr>
                <w:sz w:val="17"/>
              </w:rPr>
            </w:pPr>
            <w:r>
              <w:rPr>
                <w:spacing w:val="-10"/>
                <w:sz w:val="17"/>
              </w:rPr>
              <w:t>$</w:t>
            </w:r>
            <w:r>
              <w:rPr>
                <w:sz w:val="17"/>
              </w:rPr>
              <w:tab/>
            </w:r>
            <w:r>
              <w:rPr>
                <w:spacing w:val="-4"/>
                <w:sz w:val="17"/>
              </w:rPr>
              <w:t>3.52</w:t>
            </w:r>
          </w:p>
        </w:tc>
        <w:tc>
          <w:tcPr>
            <w:tcW w:w="1619" w:type="dxa"/>
          </w:tcPr>
          <w:p>
            <w:pPr>
              <w:pStyle w:val="TableParagraph"/>
              <w:tabs>
                <w:tab w:pos="1199" w:val="left" w:leader="none"/>
              </w:tabs>
              <w:spacing w:before="16"/>
              <w:ind w:left="67"/>
              <w:rPr>
                <w:sz w:val="17"/>
              </w:rPr>
            </w:pPr>
            <w:r>
              <w:rPr>
                <w:spacing w:val="-10"/>
                <w:sz w:val="17"/>
              </w:rPr>
              <w:t>$</w:t>
            </w:r>
            <w:r>
              <w:rPr>
                <w:sz w:val="17"/>
              </w:rPr>
              <w:tab/>
            </w:r>
            <w:r>
              <w:rPr>
                <w:spacing w:val="-4"/>
                <w:sz w:val="17"/>
              </w:rPr>
              <w:t>2.44</w:t>
            </w:r>
          </w:p>
        </w:tc>
        <w:tc>
          <w:tcPr>
            <w:tcW w:w="1572" w:type="dxa"/>
          </w:tcPr>
          <w:p>
            <w:pPr>
              <w:pStyle w:val="TableParagraph"/>
              <w:tabs>
                <w:tab w:pos="1062" w:val="left" w:leader="none"/>
              </w:tabs>
              <w:spacing w:before="16"/>
              <w:ind w:right="26"/>
              <w:jc w:val="right"/>
              <w:rPr>
                <w:sz w:val="17"/>
              </w:rPr>
            </w:pPr>
            <w:r>
              <w:rPr>
                <w:spacing w:val="-10"/>
                <w:sz w:val="17"/>
              </w:rPr>
              <w:t>$</w:t>
            </w:r>
            <w:r>
              <w:rPr>
                <w:sz w:val="17"/>
              </w:rPr>
              <w:tab/>
            </w:r>
            <w:r>
              <w:rPr>
                <w:spacing w:val="-2"/>
                <w:sz w:val="17"/>
              </w:rPr>
              <w:t>(2.02)</w:t>
            </w:r>
          </w:p>
        </w:tc>
      </w:tr>
      <w:tr>
        <w:trPr>
          <w:trHeight w:val="256" w:hRule="atLeast"/>
        </w:trPr>
        <w:tc>
          <w:tcPr>
            <w:tcW w:w="6750" w:type="dxa"/>
            <w:shd w:val="clear" w:color="auto" w:fill="CCEDFF"/>
          </w:tcPr>
          <w:p>
            <w:pPr>
              <w:pStyle w:val="TableParagraph"/>
              <w:spacing w:before="30"/>
              <w:ind w:left="217"/>
              <w:rPr>
                <w:sz w:val="17"/>
              </w:rPr>
            </w:pPr>
            <w:r>
              <w:rPr>
                <w:spacing w:val="-2"/>
                <w:sz w:val="17"/>
              </w:rPr>
              <w:t>Diluted</w:t>
            </w:r>
          </w:p>
        </w:tc>
        <w:tc>
          <w:tcPr>
            <w:tcW w:w="1575" w:type="dxa"/>
            <w:shd w:val="clear" w:color="auto" w:fill="CCEDFF"/>
          </w:tcPr>
          <w:p>
            <w:pPr>
              <w:pStyle w:val="TableParagraph"/>
              <w:tabs>
                <w:tab w:pos="1113" w:val="left" w:leader="none"/>
              </w:tabs>
              <w:ind w:right="120"/>
              <w:jc w:val="right"/>
              <w:rPr>
                <w:sz w:val="18"/>
              </w:rPr>
            </w:pPr>
            <w:r>
              <w:rPr>
                <w:spacing w:val="-10"/>
                <w:sz w:val="18"/>
              </w:rPr>
              <w:t>$</w:t>
            </w:r>
            <w:r>
              <w:rPr>
                <w:sz w:val="18"/>
              </w:rPr>
              <w:tab/>
            </w:r>
            <w:r>
              <w:rPr>
                <w:spacing w:val="-4"/>
                <w:sz w:val="18"/>
              </w:rPr>
              <w:t>3.49</w:t>
            </w:r>
          </w:p>
        </w:tc>
        <w:tc>
          <w:tcPr>
            <w:tcW w:w="1619" w:type="dxa"/>
            <w:shd w:val="clear" w:color="auto" w:fill="CCEDFF"/>
          </w:tcPr>
          <w:p>
            <w:pPr>
              <w:pStyle w:val="TableParagraph"/>
              <w:tabs>
                <w:tab w:pos="1199" w:val="left" w:leader="none"/>
              </w:tabs>
              <w:spacing w:before="30"/>
              <w:ind w:left="67"/>
              <w:rPr>
                <w:sz w:val="17"/>
              </w:rPr>
            </w:pPr>
            <w:r>
              <w:rPr>
                <w:spacing w:val="-10"/>
                <w:sz w:val="17"/>
              </w:rPr>
              <w:t>$</w:t>
            </w:r>
            <w:r>
              <w:rPr>
                <w:sz w:val="17"/>
              </w:rPr>
              <w:tab/>
            </w:r>
            <w:r>
              <w:rPr>
                <w:spacing w:val="-4"/>
                <w:sz w:val="17"/>
              </w:rPr>
              <w:t>2.41</w:t>
            </w:r>
          </w:p>
        </w:tc>
        <w:tc>
          <w:tcPr>
            <w:tcW w:w="1572" w:type="dxa"/>
            <w:shd w:val="clear" w:color="auto" w:fill="CCEDFF"/>
          </w:tcPr>
          <w:p>
            <w:pPr>
              <w:pStyle w:val="TableParagraph"/>
              <w:tabs>
                <w:tab w:pos="1062" w:val="left" w:leader="none"/>
              </w:tabs>
              <w:spacing w:before="30"/>
              <w:ind w:right="26"/>
              <w:jc w:val="right"/>
              <w:rPr>
                <w:sz w:val="17"/>
              </w:rPr>
            </w:pPr>
            <w:r>
              <w:rPr>
                <w:spacing w:val="-10"/>
                <w:sz w:val="17"/>
              </w:rPr>
              <w:t>$</w:t>
            </w:r>
            <w:r>
              <w:rPr>
                <w:sz w:val="17"/>
              </w:rPr>
              <w:tab/>
            </w:r>
            <w:r>
              <w:rPr>
                <w:spacing w:val="-2"/>
                <w:sz w:val="17"/>
              </w:rPr>
              <w:t>(2.02)</w:t>
            </w:r>
          </w:p>
        </w:tc>
      </w:tr>
      <w:tr>
        <w:trPr>
          <w:trHeight w:val="256" w:hRule="atLeast"/>
        </w:trPr>
        <w:tc>
          <w:tcPr>
            <w:tcW w:w="6750" w:type="dxa"/>
          </w:tcPr>
          <w:p>
            <w:pPr>
              <w:pStyle w:val="TableParagraph"/>
              <w:spacing w:before="16"/>
              <w:ind w:left="17"/>
              <w:rPr>
                <w:b/>
                <w:sz w:val="17"/>
              </w:rPr>
            </w:pPr>
            <w:r>
              <w:rPr>
                <w:b/>
                <w:sz w:val="17"/>
              </w:rPr>
              <w:t>Weighted</w:t>
            </w:r>
            <w:r>
              <w:rPr>
                <w:b/>
                <w:spacing w:val="-4"/>
                <w:sz w:val="17"/>
              </w:rPr>
              <w:t> </w:t>
            </w:r>
            <w:r>
              <w:rPr>
                <w:b/>
                <w:sz w:val="17"/>
              </w:rPr>
              <w:t>average</w:t>
            </w:r>
            <w:r>
              <w:rPr>
                <w:b/>
                <w:spacing w:val="-3"/>
                <w:sz w:val="17"/>
              </w:rPr>
              <w:t> </w:t>
            </w:r>
            <w:r>
              <w:rPr>
                <w:b/>
                <w:sz w:val="17"/>
              </w:rPr>
              <w:t>common</w:t>
            </w:r>
            <w:r>
              <w:rPr>
                <w:b/>
                <w:spacing w:val="-4"/>
                <w:sz w:val="17"/>
              </w:rPr>
              <w:t> </w:t>
            </w:r>
            <w:r>
              <w:rPr>
                <w:b/>
                <w:sz w:val="17"/>
              </w:rPr>
              <w:t>shares</w:t>
            </w:r>
            <w:r>
              <w:rPr>
                <w:b/>
                <w:spacing w:val="-3"/>
                <w:sz w:val="17"/>
              </w:rPr>
              <w:t> </w:t>
            </w:r>
            <w:r>
              <w:rPr>
                <w:b/>
                <w:spacing w:val="-2"/>
                <w:sz w:val="17"/>
              </w:rPr>
              <w:t>outstanding</w:t>
            </w:r>
          </w:p>
        </w:tc>
        <w:tc>
          <w:tcPr>
            <w:tcW w:w="1575" w:type="dxa"/>
          </w:tcPr>
          <w:p>
            <w:pPr>
              <w:pStyle w:val="TableParagraph"/>
              <w:spacing w:before="0"/>
              <w:rPr>
                <w:sz w:val="16"/>
              </w:rPr>
            </w:pPr>
          </w:p>
        </w:tc>
        <w:tc>
          <w:tcPr>
            <w:tcW w:w="1619" w:type="dxa"/>
          </w:tcPr>
          <w:p>
            <w:pPr>
              <w:pStyle w:val="TableParagraph"/>
              <w:spacing w:before="0"/>
              <w:rPr>
                <w:sz w:val="16"/>
              </w:rPr>
            </w:pPr>
          </w:p>
        </w:tc>
        <w:tc>
          <w:tcPr>
            <w:tcW w:w="1572" w:type="dxa"/>
          </w:tcPr>
          <w:p>
            <w:pPr>
              <w:pStyle w:val="TableParagraph"/>
              <w:spacing w:before="0"/>
              <w:rPr>
                <w:sz w:val="16"/>
              </w:rPr>
            </w:pPr>
          </w:p>
        </w:tc>
      </w:tr>
      <w:tr>
        <w:trPr>
          <w:trHeight w:val="242" w:hRule="atLeast"/>
        </w:trPr>
        <w:tc>
          <w:tcPr>
            <w:tcW w:w="6750" w:type="dxa"/>
            <w:shd w:val="clear" w:color="auto" w:fill="CCEDFF"/>
          </w:tcPr>
          <w:p>
            <w:pPr>
              <w:pStyle w:val="TableParagraph"/>
              <w:spacing w:before="16"/>
              <w:ind w:left="217"/>
              <w:rPr>
                <w:sz w:val="17"/>
              </w:rPr>
            </w:pPr>
            <w:r>
              <w:rPr>
                <w:spacing w:val="-2"/>
                <w:sz w:val="17"/>
              </w:rPr>
              <w:t>Basic</w:t>
            </w:r>
          </w:p>
        </w:tc>
        <w:tc>
          <w:tcPr>
            <w:tcW w:w="1575" w:type="dxa"/>
            <w:shd w:val="clear" w:color="auto" w:fill="CCEDFF"/>
          </w:tcPr>
          <w:p>
            <w:pPr>
              <w:pStyle w:val="TableParagraph"/>
              <w:spacing w:before="16"/>
              <w:ind w:right="66"/>
              <w:jc w:val="right"/>
              <w:rPr>
                <w:sz w:val="17"/>
              </w:rPr>
            </w:pPr>
            <w:r>
              <w:rPr>
                <w:spacing w:val="-2"/>
                <w:sz w:val="17"/>
              </w:rPr>
              <w:t>409,201</w:t>
            </w:r>
          </w:p>
        </w:tc>
        <w:tc>
          <w:tcPr>
            <w:tcW w:w="1619" w:type="dxa"/>
            <w:shd w:val="clear" w:color="auto" w:fill="CCEDFF"/>
          </w:tcPr>
          <w:p>
            <w:pPr>
              <w:pStyle w:val="TableParagraph"/>
              <w:spacing w:before="16"/>
              <w:ind w:right="66"/>
              <w:jc w:val="right"/>
              <w:rPr>
                <w:sz w:val="17"/>
              </w:rPr>
            </w:pPr>
            <w:r>
              <w:rPr>
                <w:spacing w:val="-2"/>
                <w:sz w:val="17"/>
              </w:rPr>
              <w:t>481,930</w:t>
            </w:r>
          </w:p>
        </w:tc>
        <w:tc>
          <w:tcPr>
            <w:tcW w:w="1572" w:type="dxa"/>
            <w:shd w:val="clear" w:color="auto" w:fill="CCEDFF"/>
          </w:tcPr>
          <w:p>
            <w:pPr>
              <w:pStyle w:val="TableParagraph"/>
              <w:spacing w:before="16"/>
              <w:ind w:right="16"/>
              <w:jc w:val="right"/>
              <w:rPr>
                <w:sz w:val="17"/>
              </w:rPr>
            </w:pPr>
            <w:r>
              <w:rPr>
                <w:spacing w:val="-2"/>
                <w:sz w:val="17"/>
              </w:rPr>
              <w:t>494,152</w:t>
            </w:r>
          </w:p>
        </w:tc>
      </w:tr>
      <w:tr>
        <w:trPr>
          <w:trHeight w:val="212" w:hRule="atLeast"/>
        </w:trPr>
        <w:tc>
          <w:tcPr>
            <w:tcW w:w="6750" w:type="dxa"/>
          </w:tcPr>
          <w:p>
            <w:pPr>
              <w:pStyle w:val="TableParagraph"/>
              <w:spacing w:line="176" w:lineRule="exact" w:before="16"/>
              <w:ind w:left="217"/>
              <w:rPr>
                <w:sz w:val="17"/>
              </w:rPr>
            </w:pPr>
            <w:r>
              <w:rPr>
                <w:spacing w:val="-2"/>
                <w:sz w:val="17"/>
              </w:rPr>
              <w:t>Diluted</w:t>
            </w:r>
          </w:p>
        </w:tc>
        <w:tc>
          <w:tcPr>
            <w:tcW w:w="1575" w:type="dxa"/>
          </w:tcPr>
          <w:p>
            <w:pPr>
              <w:pStyle w:val="TableParagraph"/>
              <w:spacing w:line="176" w:lineRule="exact" w:before="16"/>
              <w:ind w:right="66"/>
              <w:jc w:val="right"/>
              <w:rPr>
                <w:sz w:val="17"/>
              </w:rPr>
            </w:pPr>
            <w:r>
              <w:rPr>
                <w:spacing w:val="-2"/>
                <w:sz w:val="17"/>
              </w:rPr>
              <w:t>412,993</w:t>
            </w:r>
          </w:p>
        </w:tc>
        <w:tc>
          <w:tcPr>
            <w:tcW w:w="1619" w:type="dxa"/>
          </w:tcPr>
          <w:p>
            <w:pPr>
              <w:pStyle w:val="TableParagraph"/>
              <w:spacing w:line="176" w:lineRule="exact" w:before="16"/>
              <w:ind w:right="66"/>
              <w:jc w:val="right"/>
              <w:rPr>
                <w:sz w:val="17"/>
              </w:rPr>
            </w:pPr>
            <w:r>
              <w:rPr>
                <w:spacing w:val="-2"/>
                <w:sz w:val="17"/>
              </w:rPr>
              <w:t>487,356</w:t>
            </w:r>
          </w:p>
        </w:tc>
        <w:tc>
          <w:tcPr>
            <w:tcW w:w="1572" w:type="dxa"/>
          </w:tcPr>
          <w:p>
            <w:pPr>
              <w:pStyle w:val="TableParagraph"/>
              <w:spacing w:line="176" w:lineRule="exact" w:before="16"/>
              <w:ind w:right="16"/>
              <w:jc w:val="right"/>
              <w:rPr>
                <w:sz w:val="17"/>
              </w:rPr>
            </w:pPr>
            <w:r>
              <w:rPr>
                <w:spacing w:val="-2"/>
                <w:sz w:val="17"/>
              </w:rPr>
              <w:t>494,152</w:t>
            </w:r>
          </w:p>
        </w:tc>
      </w:tr>
    </w:tbl>
    <w:p>
      <w:pPr>
        <w:pStyle w:val="BodyText"/>
        <w:spacing w:before="157"/>
        <w:rPr>
          <w:b/>
          <w:sz w:val="17"/>
        </w:rPr>
      </w:pPr>
    </w:p>
    <w:p>
      <w:pPr>
        <w:spacing w:before="0"/>
        <w:ind w:left="24" w:right="0" w:firstLine="0"/>
        <w:jc w:val="center"/>
        <w:rPr>
          <w:i/>
          <w:sz w:val="18"/>
        </w:rPr>
      </w:pPr>
      <w:r>
        <w:rPr>
          <w:i/>
          <w:sz w:val="18"/>
        </w:rPr>
        <w:t>The</w:t>
      </w:r>
      <w:r>
        <w:rPr>
          <w:i/>
          <w:spacing w:val="-2"/>
          <w:sz w:val="18"/>
        </w:rPr>
        <w:t> </w:t>
      </w:r>
      <w:r>
        <w:rPr>
          <w:i/>
          <w:sz w:val="18"/>
        </w:rPr>
        <w:t>accompanying</w:t>
      </w:r>
      <w:r>
        <w:rPr>
          <w:i/>
          <w:spacing w:val="-2"/>
          <w:sz w:val="18"/>
        </w:rPr>
        <w:t> </w:t>
      </w:r>
      <w:r>
        <w:rPr>
          <w:i/>
          <w:sz w:val="18"/>
        </w:rPr>
        <w:t>notes</w:t>
      </w:r>
      <w:r>
        <w:rPr>
          <w:i/>
          <w:spacing w:val="-1"/>
          <w:sz w:val="18"/>
        </w:rPr>
        <w:t> </w:t>
      </w:r>
      <w:r>
        <w:rPr>
          <w:i/>
          <w:sz w:val="18"/>
        </w:rPr>
        <w:t>are</w:t>
      </w:r>
      <w:r>
        <w:rPr>
          <w:i/>
          <w:spacing w:val="-2"/>
          <w:sz w:val="18"/>
        </w:rPr>
        <w:t> </w:t>
      </w:r>
      <w:r>
        <w:rPr>
          <w:i/>
          <w:sz w:val="18"/>
        </w:rPr>
        <w:t>an</w:t>
      </w:r>
      <w:r>
        <w:rPr>
          <w:i/>
          <w:spacing w:val="-2"/>
          <w:sz w:val="18"/>
        </w:rPr>
        <w:t> </w:t>
      </w:r>
      <w:r>
        <w:rPr>
          <w:i/>
          <w:sz w:val="18"/>
        </w:rPr>
        <w:t>integral</w:t>
      </w:r>
      <w:r>
        <w:rPr>
          <w:i/>
          <w:spacing w:val="-1"/>
          <w:sz w:val="18"/>
        </w:rPr>
        <w:t> </w:t>
      </w:r>
      <w:r>
        <w:rPr>
          <w:i/>
          <w:sz w:val="18"/>
        </w:rPr>
        <w:t>part</w:t>
      </w:r>
      <w:r>
        <w:rPr>
          <w:i/>
          <w:spacing w:val="-2"/>
          <w:sz w:val="18"/>
        </w:rPr>
        <w:t> </w:t>
      </w:r>
      <w:r>
        <w:rPr>
          <w:i/>
          <w:sz w:val="18"/>
        </w:rPr>
        <w:t>of</w:t>
      </w:r>
      <w:r>
        <w:rPr>
          <w:i/>
          <w:spacing w:val="-2"/>
          <w:sz w:val="18"/>
        </w:rPr>
        <w:t> </w:t>
      </w:r>
      <w:r>
        <w:rPr>
          <w:i/>
          <w:sz w:val="18"/>
        </w:rPr>
        <w:t>these</w:t>
      </w:r>
      <w:r>
        <w:rPr>
          <w:i/>
          <w:spacing w:val="-1"/>
          <w:sz w:val="18"/>
        </w:rPr>
        <w:t> </w:t>
      </w:r>
      <w:r>
        <w:rPr>
          <w:i/>
          <w:sz w:val="18"/>
        </w:rPr>
        <w:t>consolidated</w:t>
      </w:r>
      <w:r>
        <w:rPr>
          <w:i/>
          <w:spacing w:val="-2"/>
          <w:sz w:val="18"/>
        </w:rPr>
        <w:t> </w:t>
      </w:r>
      <w:r>
        <w:rPr>
          <w:i/>
          <w:sz w:val="18"/>
        </w:rPr>
        <w:t>financial</w:t>
      </w:r>
      <w:r>
        <w:rPr>
          <w:i/>
          <w:spacing w:val="-1"/>
          <w:sz w:val="18"/>
        </w:rPr>
        <w:t> </w:t>
      </w:r>
      <w:r>
        <w:rPr>
          <w:i/>
          <w:spacing w:val="-2"/>
          <w:sz w:val="18"/>
        </w:rPr>
        <w:t>statements.</w:t>
      </w:r>
    </w:p>
    <w:p>
      <w:pPr>
        <w:pStyle w:val="BodyText"/>
        <w:rPr>
          <w:i/>
        </w:rPr>
      </w:pPr>
    </w:p>
    <w:p>
      <w:pPr>
        <w:pStyle w:val="BodyText"/>
        <w:rPr>
          <w:i/>
        </w:rPr>
      </w:pPr>
    </w:p>
    <w:p>
      <w:pPr>
        <w:pStyle w:val="BodyText"/>
        <w:spacing w:before="198"/>
        <w:rPr>
          <w:i/>
        </w:rPr>
      </w:pPr>
    </w:p>
    <w:p>
      <w:pPr>
        <w:pStyle w:val="BodyText"/>
        <w:ind w:left="24"/>
        <w:jc w:val="center"/>
      </w:pPr>
      <w:r>
        <w:rPr>
          <w:spacing w:val="-5"/>
        </w:rPr>
        <w:t>58</w:t>
      </w:r>
    </w:p>
    <w:p>
      <w:pPr>
        <w:pStyle w:val="BodyText"/>
        <w:spacing w:before="3"/>
        <w:rPr>
          <w:sz w:val="6"/>
        </w:rPr>
      </w:pPr>
      <w:r>
        <w:rPr/>
        <mc:AlternateContent>
          <mc:Choice Requires="wps">
            <w:drawing>
              <wp:anchor distT="0" distB="0" distL="0" distR="0" allowOverlap="1" layoutInCell="1" locked="0" behindDoc="1" simplePos="0" relativeHeight="487647744">
                <wp:simplePos x="0" y="0"/>
                <wp:positionH relativeFrom="page">
                  <wp:posOffset>231457</wp:posOffset>
                </wp:positionH>
                <wp:positionV relativeFrom="paragraph">
                  <wp:posOffset>60956</wp:posOffset>
                </wp:positionV>
                <wp:extent cx="7312659" cy="17145"/>
                <wp:effectExtent l="0" t="0" r="0" b="0"/>
                <wp:wrapTopAndBottom/>
                <wp:docPr id="325" name="Group 325"/>
                <wp:cNvGraphicFramePr>
                  <a:graphicFrameLocks/>
                </wp:cNvGraphicFramePr>
                <a:graphic>
                  <a:graphicData uri="http://schemas.microsoft.com/office/word/2010/wordprocessingGroup">
                    <wpg:wgp>
                      <wpg:cNvPr id="325" name="Group 325"/>
                      <wpg:cNvGrpSpPr/>
                      <wpg:grpSpPr>
                        <a:xfrm>
                          <a:off x="0" y="0"/>
                          <a:ext cx="7312659" cy="17145"/>
                          <a:chExt cx="7312659" cy="17145"/>
                        </a:xfrm>
                      </wpg:grpSpPr>
                      <wps:wsp>
                        <wps:cNvPr id="326" name="Graphic 32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27" name="Graphic 327"/>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8" name="Graphic 32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8736;mso-wrap-distance-left:0;mso-wrap-distance-right:0" id="docshapegroup323" coordorigin="364,96" coordsize="11516,27">
                <v:rect style="position:absolute;left:364;top:96;width:11516;height:14" id="docshape324" filled="true" fillcolor="#999999" stroked="false">
                  <v:fill type="solid"/>
                </v:rect>
                <v:shape style="position:absolute;left:364;top:95;width:11516;height:27" id="docshape325" coordorigin="364,96" coordsize="11516,27" path="m11880,96l11866,109,364,109,364,123,11866,123,11880,123,11880,109,11880,96xe" filled="true" fillcolor="#ededed" stroked="false">
                  <v:path arrowok="t"/>
                  <v:fill type="solid"/>
                </v:shape>
                <v:shape style="position:absolute;left:364;top:96;width:14;height:27" id="docshape326"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4"/>
        <w:spacing w:line="235" w:lineRule="auto" w:before="66"/>
        <w:ind w:left="2868" w:right="2841" w:hanging="1"/>
        <w:jc w:val="center"/>
      </w:pPr>
      <w:bookmarkStart w:name="_bookmark16" w:id="17"/>
      <w:bookmarkEnd w:id="17"/>
      <w:r>
        <w:rPr>
          <w:b w:val="0"/>
        </w:rPr>
      </w:r>
      <w:r>
        <w:rPr/>
        <w:t>MGM RESORTS INTERNATIONAL</w:t>
      </w:r>
      <w:r>
        <w:rPr>
          <w:spacing w:val="-2"/>
        </w:rPr>
        <w:t> </w:t>
      </w:r>
      <w:r>
        <w:rPr/>
        <w:t>AND SUBSIDIARIES CONSOLIDATED</w:t>
      </w:r>
      <w:r>
        <w:rPr>
          <w:spacing w:val="-12"/>
        </w:rPr>
        <w:t> </w:t>
      </w:r>
      <w:r>
        <w:rPr/>
        <w:t>STATEMENTS</w:t>
      </w:r>
      <w:r>
        <w:rPr>
          <w:spacing w:val="-11"/>
        </w:rPr>
        <w:t> </w:t>
      </w:r>
      <w:r>
        <w:rPr/>
        <w:t>OF</w:t>
      </w:r>
      <w:r>
        <w:rPr>
          <w:spacing w:val="-11"/>
        </w:rPr>
        <w:t> </w:t>
      </w:r>
      <w:r>
        <w:rPr/>
        <w:t>COMPREHENSIVE</w:t>
      </w:r>
      <w:r>
        <w:rPr>
          <w:spacing w:val="-11"/>
        </w:rPr>
        <w:t> </w:t>
      </w:r>
      <w:r>
        <w:rPr/>
        <w:t>INCOME</w:t>
      </w:r>
      <w:r>
        <w:rPr>
          <w:spacing w:val="-12"/>
        </w:rPr>
        <w:t> </w:t>
      </w:r>
      <w:r>
        <w:rPr/>
        <w:t>(LOSS)</w:t>
      </w:r>
    </w:p>
    <w:p>
      <w:pPr>
        <w:spacing w:before="9"/>
        <w:ind w:left="24" w:right="0" w:firstLine="0"/>
        <w:jc w:val="center"/>
        <w:rPr>
          <w:b/>
          <w:i/>
          <w:sz w:val="18"/>
        </w:rPr>
      </w:pPr>
      <w:r>
        <w:rPr>
          <w:b/>
          <w:i/>
          <w:sz w:val="18"/>
        </w:rPr>
        <w:t>(In</w:t>
      </w:r>
      <w:r>
        <w:rPr>
          <w:b/>
          <w:i/>
          <w:spacing w:val="-1"/>
          <w:sz w:val="18"/>
        </w:rPr>
        <w:t> </w:t>
      </w:r>
      <w:r>
        <w:rPr>
          <w:b/>
          <w:i/>
          <w:spacing w:val="-2"/>
          <w:sz w:val="18"/>
        </w:rPr>
        <w:t>thousands)</w:t>
      </w:r>
    </w:p>
    <w:p>
      <w:pPr>
        <w:pStyle w:val="BodyText"/>
        <w:spacing w:before="59"/>
        <w:rPr>
          <w:b/>
          <w:i/>
        </w:rPr>
      </w:pPr>
    </w:p>
    <w:p>
      <w:pPr>
        <w:pStyle w:val="Heading5"/>
        <w:spacing w:after="36"/>
        <w:ind w:left="0" w:right="1501"/>
        <w:jc w:val="right"/>
      </w:pPr>
      <w:r>
        <w:rPr/>
        <w:t>Year</w:t>
      </w:r>
      <w:r>
        <w:rPr>
          <w:spacing w:val="-13"/>
        </w:rPr>
        <w:t> </w:t>
      </w:r>
      <w:r>
        <w:rPr/>
        <w:t>Ended</w:t>
      </w:r>
      <w:r>
        <w:rPr>
          <w:spacing w:val="-8"/>
        </w:rPr>
        <w:t> </w:t>
      </w:r>
      <w:r>
        <w:rPr/>
        <w:t>December</w:t>
      </w:r>
      <w:r>
        <w:rPr>
          <w:spacing w:val="-10"/>
        </w:rPr>
        <w:t> </w:t>
      </w:r>
      <w:r>
        <w:rPr>
          <w:spacing w:val="-5"/>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0"/>
        <w:gridCol w:w="1547"/>
        <w:gridCol w:w="1641"/>
        <w:gridCol w:w="1576"/>
      </w:tblGrid>
      <w:tr>
        <w:trPr>
          <w:trHeight w:val="254" w:hRule="atLeast"/>
        </w:trPr>
        <w:tc>
          <w:tcPr>
            <w:tcW w:w="8297" w:type="dxa"/>
            <w:gridSpan w:val="2"/>
          </w:tcPr>
          <w:p>
            <w:pPr>
              <w:pStyle w:val="TableParagraph"/>
              <w:spacing w:before="20"/>
              <w:ind w:right="600"/>
              <w:jc w:val="right"/>
              <w:rPr>
                <w:b/>
                <w:sz w:val="18"/>
              </w:rPr>
            </w:pPr>
            <w:r>
              <w:rPr>
                <w:b/>
                <w:spacing w:val="-4"/>
                <w:sz w:val="18"/>
              </w:rPr>
              <w:t>2022</w:t>
            </w:r>
          </w:p>
        </w:tc>
        <w:tc>
          <w:tcPr>
            <w:tcW w:w="1641" w:type="dxa"/>
            <w:tcBorders>
              <w:top w:val="single" w:sz="6" w:space="0" w:color="000000"/>
            </w:tcBorders>
          </w:tcPr>
          <w:p>
            <w:pPr>
              <w:pStyle w:val="TableParagraph"/>
              <w:spacing w:before="20"/>
              <w:ind w:left="32"/>
              <w:jc w:val="center"/>
              <w:rPr>
                <w:b/>
                <w:sz w:val="18"/>
              </w:rPr>
            </w:pPr>
            <w:r>
              <w:rPr>
                <w:b/>
                <w:spacing w:val="-4"/>
                <w:sz w:val="18"/>
              </w:rPr>
              <w:t>2021</w:t>
            </w:r>
          </w:p>
        </w:tc>
        <w:tc>
          <w:tcPr>
            <w:tcW w:w="1576" w:type="dxa"/>
            <w:tcBorders>
              <w:top w:val="single" w:sz="6" w:space="0" w:color="000000"/>
            </w:tcBorders>
          </w:tcPr>
          <w:p>
            <w:pPr>
              <w:pStyle w:val="TableParagraph"/>
              <w:spacing w:before="20"/>
              <w:ind w:left="105" w:right="49"/>
              <w:jc w:val="center"/>
              <w:rPr>
                <w:b/>
                <w:sz w:val="18"/>
              </w:rPr>
            </w:pPr>
            <w:r>
              <w:rPr>
                <w:b/>
                <w:spacing w:val="-4"/>
                <w:sz w:val="18"/>
              </w:rPr>
              <w:t>2020</w:t>
            </w:r>
          </w:p>
        </w:tc>
      </w:tr>
      <w:tr>
        <w:trPr>
          <w:trHeight w:val="255" w:hRule="atLeast"/>
        </w:trPr>
        <w:tc>
          <w:tcPr>
            <w:tcW w:w="6750" w:type="dxa"/>
            <w:shd w:val="clear" w:color="auto" w:fill="CFF0FB"/>
          </w:tcPr>
          <w:p>
            <w:pPr>
              <w:pStyle w:val="TableParagraph"/>
              <w:spacing w:before="20"/>
              <w:ind w:left="17"/>
              <w:rPr>
                <w:b/>
                <w:sz w:val="18"/>
              </w:rPr>
            </w:pPr>
            <w:r>
              <w:rPr>
                <w:b/>
                <w:sz w:val="18"/>
              </w:rPr>
              <w:t>Net</w:t>
            </w:r>
            <w:r>
              <w:rPr>
                <w:b/>
                <w:spacing w:val="-1"/>
                <w:sz w:val="18"/>
              </w:rPr>
              <w:t> </w:t>
            </w:r>
            <w:r>
              <w:rPr>
                <w:b/>
                <w:sz w:val="18"/>
              </w:rPr>
              <w:t>income</w:t>
            </w:r>
            <w:r>
              <w:rPr>
                <w:b/>
                <w:spacing w:val="-1"/>
                <w:sz w:val="18"/>
              </w:rPr>
              <w:t> </w:t>
            </w:r>
            <w:r>
              <w:rPr>
                <w:b/>
                <w:spacing w:val="-2"/>
                <w:sz w:val="18"/>
              </w:rPr>
              <w:t>(loss)</w:t>
            </w:r>
          </w:p>
        </w:tc>
        <w:tc>
          <w:tcPr>
            <w:tcW w:w="1547" w:type="dxa"/>
            <w:tcBorders>
              <w:top w:val="single" w:sz="6" w:space="0" w:color="000000"/>
            </w:tcBorders>
            <w:shd w:val="clear" w:color="auto" w:fill="CFF0FB"/>
          </w:tcPr>
          <w:p>
            <w:pPr>
              <w:pStyle w:val="TableParagraph"/>
              <w:tabs>
                <w:tab w:pos="844" w:val="left" w:leader="none"/>
              </w:tabs>
              <w:spacing w:before="20"/>
              <w:ind w:right="92"/>
              <w:jc w:val="right"/>
              <w:rPr>
                <w:sz w:val="18"/>
              </w:rPr>
            </w:pPr>
            <w:r>
              <w:rPr>
                <w:spacing w:val="-10"/>
                <w:sz w:val="18"/>
              </w:rPr>
              <w:t>$</w:t>
            </w:r>
            <w:r>
              <w:rPr>
                <w:sz w:val="18"/>
              </w:rPr>
              <w:tab/>
            </w:r>
            <w:r>
              <w:rPr>
                <w:spacing w:val="-2"/>
                <w:sz w:val="18"/>
              </w:rPr>
              <w:t>206,731</w:t>
            </w:r>
          </w:p>
        </w:tc>
        <w:tc>
          <w:tcPr>
            <w:tcW w:w="1641" w:type="dxa"/>
            <w:tcBorders>
              <w:top w:val="single" w:sz="6" w:space="0" w:color="000000"/>
            </w:tcBorders>
            <w:shd w:val="clear" w:color="auto" w:fill="CFF0FB"/>
          </w:tcPr>
          <w:p>
            <w:pPr>
              <w:pStyle w:val="TableParagraph"/>
              <w:tabs>
                <w:tab w:pos="709" w:val="left" w:leader="none"/>
              </w:tabs>
              <w:spacing w:before="20"/>
              <w:ind w:right="114"/>
              <w:jc w:val="right"/>
              <w:rPr>
                <w:sz w:val="18"/>
              </w:rPr>
            </w:pPr>
            <w:r>
              <w:rPr>
                <w:spacing w:val="-10"/>
                <w:sz w:val="18"/>
              </w:rPr>
              <w:t>$</w:t>
            </w:r>
            <w:r>
              <w:rPr>
                <w:sz w:val="18"/>
              </w:rPr>
              <w:tab/>
            </w:r>
            <w:r>
              <w:rPr>
                <w:spacing w:val="-2"/>
                <w:sz w:val="18"/>
              </w:rPr>
              <w:t>1,208,389</w:t>
            </w:r>
          </w:p>
        </w:tc>
        <w:tc>
          <w:tcPr>
            <w:tcW w:w="1576" w:type="dxa"/>
            <w:tcBorders>
              <w:top w:val="single" w:sz="6" w:space="0" w:color="000000"/>
            </w:tcBorders>
            <w:shd w:val="clear" w:color="auto" w:fill="CFF0FB"/>
          </w:tcPr>
          <w:p>
            <w:pPr>
              <w:pStyle w:val="TableParagraph"/>
              <w:tabs>
                <w:tab w:pos="636" w:val="left" w:leader="none"/>
              </w:tabs>
              <w:spacing w:before="20"/>
              <w:ind w:right="24"/>
              <w:jc w:val="right"/>
              <w:rPr>
                <w:sz w:val="18"/>
              </w:rPr>
            </w:pPr>
            <w:r>
              <w:rPr>
                <w:spacing w:val="-10"/>
                <w:sz w:val="18"/>
              </w:rPr>
              <w:t>$</w:t>
            </w:r>
            <w:r>
              <w:rPr>
                <w:sz w:val="18"/>
              </w:rPr>
              <w:tab/>
            </w:r>
            <w:r>
              <w:rPr>
                <w:spacing w:val="-2"/>
                <w:sz w:val="18"/>
              </w:rPr>
              <w:t>(1,319,907)</w:t>
            </w:r>
          </w:p>
        </w:tc>
      </w:tr>
      <w:tr>
        <w:trPr>
          <w:trHeight w:val="269" w:hRule="atLeast"/>
        </w:trPr>
        <w:tc>
          <w:tcPr>
            <w:tcW w:w="6750" w:type="dxa"/>
          </w:tcPr>
          <w:p>
            <w:pPr>
              <w:pStyle w:val="TableParagraph"/>
              <w:ind w:left="17"/>
              <w:rPr>
                <w:sz w:val="18"/>
              </w:rPr>
            </w:pPr>
            <w:r>
              <w:rPr>
                <w:sz w:val="18"/>
              </w:rPr>
              <w:t>Other</w:t>
            </w:r>
            <w:r>
              <w:rPr>
                <w:spacing w:val="-1"/>
                <w:sz w:val="18"/>
              </w:rPr>
              <w:t> </w:t>
            </w:r>
            <w:r>
              <w:rPr>
                <w:sz w:val="18"/>
              </w:rPr>
              <w:t>comprehensive</w:t>
            </w:r>
            <w:r>
              <w:rPr>
                <w:spacing w:val="-1"/>
                <w:sz w:val="18"/>
              </w:rPr>
              <w:t> </w:t>
            </w:r>
            <w:r>
              <w:rPr>
                <w:sz w:val="18"/>
              </w:rPr>
              <w:t>income</w:t>
            </w:r>
            <w:r>
              <w:rPr>
                <w:spacing w:val="-1"/>
                <w:sz w:val="18"/>
              </w:rPr>
              <w:t> </w:t>
            </w:r>
            <w:r>
              <w:rPr>
                <w:sz w:val="18"/>
              </w:rPr>
              <w:t>(loss),</w:t>
            </w:r>
            <w:r>
              <w:rPr>
                <w:spacing w:val="-1"/>
                <w:sz w:val="18"/>
              </w:rPr>
              <w:t> </w:t>
            </w:r>
            <w:r>
              <w:rPr>
                <w:sz w:val="18"/>
              </w:rPr>
              <w:t>net</w:t>
            </w:r>
            <w:r>
              <w:rPr>
                <w:spacing w:val="-1"/>
                <w:sz w:val="18"/>
              </w:rPr>
              <w:t> </w:t>
            </w:r>
            <w:r>
              <w:rPr>
                <w:sz w:val="18"/>
              </w:rPr>
              <w:t>of</w:t>
            </w:r>
            <w:r>
              <w:rPr>
                <w:spacing w:val="-1"/>
                <w:sz w:val="18"/>
              </w:rPr>
              <w:t> </w:t>
            </w:r>
            <w:r>
              <w:rPr>
                <w:spacing w:val="-4"/>
                <w:sz w:val="18"/>
              </w:rPr>
              <w:t>tax:</w:t>
            </w:r>
          </w:p>
        </w:tc>
        <w:tc>
          <w:tcPr>
            <w:tcW w:w="1547" w:type="dxa"/>
          </w:tcPr>
          <w:p>
            <w:pPr>
              <w:pStyle w:val="TableParagraph"/>
              <w:spacing w:before="0"/>
              <w:rPr>
                <w:sz w:val="18"/>
              </w:rPr>
            </w:pPr>
          </w:p>
        </w:tc>
        <w:tc>
          <w:tcPr>
            <w:tcW w:w="1641" w:type="dxa"/>
          </w:tcPr>
          <w:p>
            <w:pPr>
              <w:pStyle w:val="TableParagraph"/>
              <w:spacing w:before="0"/>
              <w:rPr>
                <w:sz w:val="18"/>
              </w:rPr>
            </w:pPr>
          </w:p>
        </w:tc>
        <w:tc>
          <w:tcPr>
            <w:tcW w:w="1576" w:type="dxa"/>
          </w:tcPr>
          <w:p>
            <w:pPr>
              <w:pStyle w:val="TableParagraph"/>
              <w:spacing w:before="0"/>
              <w:rPr>
                <w:sz w:val="18"/>
              </w:rPr>
            </w:pPr>
          </w:p>
        </w:tc>
      </w:tr>
      <w:tr>
        <w:trPr>
          <w:trHeight w:val="256" w:hRule="atLeast"/>
        </w:trPr>
        <w:tc>
          <w:tcPr>
            <w:tcW w:w="6750" w:type="dxa"/>
            <w:shd w:val="clear" w:color="auto" w:fill="CFF0FB"/>
          </w:tcPr>
          <w:p>
            <w:pPr>
              <w:pStyle w:val="TableParagraph"/>
              <w:ind w:left="217"/>
              <w:rPr>
                <w:sz w:val="18"/>
              </w:rPr>
            </w:pPr>
            <w:r>
              <w:rPr>
                <w:sz w:val="18"/>
              </w:rPr>
              <w:t>Foreign</w:t>
            </w:r>
            <w:r>
              <w:rPr>
                <w:spacing w:val="-1"/>
                <w:sz w:val="18"/>
              </w:rPr>
              <w:t> </w:t>
            </w:r>
            <w:r>
              <w:rPr>
                <w:sz w:val="18"/>
              </w:rPr>
              <w:t>currency</w:t>
            </w:r>
            <w:r>
              <w:rPr>
                <w:spacing w:val="-1"/>
                <w:sz w:val="18"/>
              </w:rPr>
              <w:t> </w:t>
            </w:r>
            <w:r>
              <w:rPr>
                <w:sz w:val="18"/>
              </w:rPr>
              <w:t>translation</w:t>
            </w:r>
            <w:r>
              <w:rPr>
                <w:spacing w:val="-1"/>
                <w:sz w:val="18"/>
              </w:rPr>
              <w:t> </w:t>
            </w:r>
            <w:r>
              <w:rPr>
                <w:spacing w:val="-2"/>
                <w:sz w:val="18"/>
              </w:rPr>
              <w:t>adjustment</w:t>
            </w:r>
          </w:p>
        </w:tc>
        <w:tc>
          <w:tcPr>
            <w:tcW w:w="1547" w:type="dxa"/>
            <w:shd w:val="clear" w:color="auto" w:fill="CFF0FB"/>
          </w:tcPr>
          <w:p>
            <w:pPr>
              <w:pStyle w:val="TableParagraph"/>
              <w:ind w:right="92"/>
              <w:jc w:val="right"/>
              <w:rPr>
                <w:sz w:val="18"/>
              </w:rPr>
            </w:pPr>
            <w:r>
              <w:rPr>
                <w:spacing w:val="-2"/>
                <w:sz w:val="18"/>
              </w:rPr>
              <w:t>27,336</w:t>
            </w:r>
          </w:p>
        </w:tc>
        <w:tc>
          <w:tcPr>
            <w:tcW w:w="1641" w:type="dxa"/>
            <w:shd w:val="clear" w:color="auto" w:fill="CFF0FB"/>
          </w:tcPr>
          <w:p>
            <w:pPr>
              <w:pStyle w:val="TableParagraph"/>
              <w:ind w:right="69"/>
              <w:jc w:val="right"/>
              <w:rPr>
                <w:sz w:val="18"/>
              </w:rPr>
            </w:pPr>
            <w:r>
              <w:rPr>
                <w:spacing w:val="-2"/>
                <w:sz w:val="18"/>
              </w:rPr>
              <w:t>(24,655)</w:t>
            </w:r>
          </w:p>
        </w:tc>
        <w:tc>
          <w:tcPr>
            <w:tcW w:w="1576" w:type="dxa"/>
            <w:shd w:val="clear" w:color="auto" w:fill="CFF0FB"/>
          </w:tcPr>
          <w:p>
            <w:pPr>
              <w:pStyle w:val="TableParagraph"/>
              <w:ind w:right="69"/>
              <w:jc w:val="right"/>
              <w:rPr>
                <w:sz w:val="18"/>
              </w:rPr>
            </w:pPr>
            <w:r>
              <w:rPr>
                <w:spacing w:val="-2"/>
                <w:sz w:val="18"/>
              </w:rPr>
              <w:t>27,762</w:t>
            </w:r>
          </w:p>
        </w:tc>
      </w:tr>
      <w:tr>
        <w:trPr>
          <w:trHeight w:val="255" w:hRule="atLeast"/>
        </w:trPr>
        <w:tc>
          <w:tcPr>
            <w:tcW w:w="6750" w:type="dxa"/>
          </w:tcPr>
          <w:p>
            <w:pPr>
              <w:pStyle w:val="TableParagraph"/>
              <w:ind w:left="217"/>
              <w:rPr>
                <w:sz w:val="18"/>
              </w:rPr>
            </w:pPr>
            <w:r>
              <w:rPr>
                <w:sz w:val="18"/>
              </w:rPr>
              <w:t>Unrealized</w:t>
            </w:r>
            <w:r>
              <w:rPr>
                <w:spacing w:val="-1"/>
                <w:sz w:val="18"/>
              </w:rPr>
              <w:t> </w:t>
            </w:r>
            <w:r>
              <w:rPr>
                <w:sz w:val="18"/>
              </w:rPr>
              <w:t>gain</w:t>
            </w:r>
            <w:r>
              <w:rPr>
                <w:spacing w:val="-1"/>
                <w:sz w:val="18"/>
              </w:rPr>
              <w:t> </w:t>
            </w:r>
            <w:r>
              <w:rPr>
                <w:sz w:val="18"/>
              </w:rPr>
              <w:t>(loss)</w:t>
            </w:r>
            <w:r>
              <w:rPr>
                <w:spacing w:val="-1"/>
                <w:sz w:val="18"/>
              </w:rPr>
              <w:t> </w:t>
            </w:r>
            <w:r>
              <w:rPr>
                <w:sz w:val="18"/>
              </w:rPr>
              <w:t>on</w:t>
            </w:r>
            <w:r>
              <w:rPr>
                <w:spacing w:val="-1"/>
                <w:sz w:val="18"/>
              </w:rPr>
              <w:t> </w:t>
            </w:r>
            <w:r>
              <w:rPr>
                <w:sz w:val="18"/>
              </w:rPr>
              <w:t>cash</w:t>
            </w:r>
            <w:r>
              <w:rPr>
                <w:spacing w:val="-1"/>
                <w:sz w:val="18"/>
              </w:rPr>
              <w:t> </w:t>
            </w:r>
            <w:r>
              <w:rPr>
                <w:sz w:val="18"/>
              </w:rPr>
              <w:t>flow</w:t>
            </w:r>
            <w:r>
              <w:rPr>
                <w:spacing w:val="-1"/>
                <w:sz w:val="18"/>
              </w:rPr>
              <w:t> </w:t>
            </w:r>
            <w:r>
              <w:rPr>
                <w:spacing w:val="-2"/>
                <w:sz w:val="18"/>
              </w:rPr>
              <w:t>hedges</w:t>
            </w:r>
          </w:p>
        </w:tc>
        <w:tc>
          <w:tcPr>
            <w:tcW w:w="1547" w:type="dxa"/>
            <w:tcBorders>
              <w:bottom w:val="single" w:sz="6" w:space="0" w:color="000000"/>
            </w:tcBorders>
          </w:tcPr>
          <w:p>
            <w:pPr>
              <w:pStyle w:val="TableParagraph"/>
              <w:ind w:right="92"/>
              <w:jc w:val="right"/>
              <w:rPr>
                <w:sz w:val="18"/>
              </w:rPr>
            </w:pPr>
            <w:r>
              <w:rPr>
                <w:spacing w:val="-2"/>
                <w:sz w:val="18"/>
              </w:rPr>
              <w:t>37,692</w:t>
            </w:r>
          </w:p>
        </w:tc>
        <w:tc>
          <w:tcPr>
            <w:tcW w:w="1641" w:type="dxa"/>
            <w:tcBorders>
              <w:bottom w:val="single" w:sz="6" w:space="0" w:color="000000"/>
            </w:tcBorders>
          </w:tcPr>
          <w:p>
            <w:pPr>
              <w:pStyle w:val="TableParagraph"/>
              <w:ind w:right="114"/>
              <w:jc w:val="right"/>
              <w:rPr>
                <w:sz w:val="18"/>
              </w:rPr>
            </w:pPr>
            <w:r>
              <w:rPr>
                <w:spacing w:val="-2"/>
                <w:sz w:val="18"/>
              </w:rPr>
              <w:t>34,788</w:t>
            </w:r>
          </w:p>
        </w:tc>
        <w:tc>
          <w:tcPr>
            <w:tcW w:w="1576" w:type="dxa"/>
            <w:tcBorders>
              <w:bottom w:val="single" w:sz="6" w:space="0" w:color="000000"/>
            </w:tcBorders>
          </w:tcPr>
          <w:p>
            <w:pPr>
              <w:pStyle w:val="TableParagraph"/>
              <w:ind w:right="24"/>
              <w:jc w:val="right"/>
              <w:rPr>
                <w:sz w:val="18"/>
              </w:rPr>
            </w:pPr>
            <w:r>
              <w:rPr>
                <w:spacing w:val="-2"/>
                <w:sz w:val="18"/>
              </w:rPr>
              <w:t>(79,365)</w:t>
            </w:r>
          </w:p>
        </w:tc>
      </w:tr>
      <w:tr>
        <w:trPr>
          <w:trHeight w:val="254" w:hRule="atLeast"/>
        </w:trPr>
        <w:tc>
          <w:tcPr>
            <w:tcW w:w="6750" w:type="dxa"/>
            <w:shd w:val="clear" w:color="auto" w:fill="CFF0FB"/>
          </w:tcPr>
          <w:p>
            <w:pPr>
              <w:pStyle w:val="TableParagraph"/>
              <w:spacing w:before="20"/>
              <w:ind w:left="462"/>
              <w:rPr>
                <w:sz w:val="18"/>
              </w:rPr>
            </w:pPr>
            <w:r>
              <w:rPr>
                <w:sz w:val="18"/>
              </w:rPr>
              <w:t>Other</w:t>
            </w:r>
            <w:r>
              <w:rPr>
                <w:spacing w:val="-1"/>
                <w:sz w:val="18"/>
              </w:rPr>
              <w:t> </w:t>
            </w:r>
            <w:r>
              <w:rPr>
                <w:sz w:val="18"/>
              </w:rPr>
              <w:t>comprehensive</w:t>
            </w:r>
            <w:r>
              <w:rPr>
                <w:spacing w:val="-1"/>
                <w:sz w:val="18"/>
              </w:rPr>
              <w:t> </w:t>
            </w:r>
            <w:r>
              <w:rPr>
                <w:sz w:val="18"/>
              </w:rPr>
              <w:t>income</w:t>
            </w:r>
            <w:r>
              <w:rPr>
                <w:spacing w:val="-1"/>
                <w:sz w:val="18"/>
              </w:rPr>
              <w:t> </w:t>
            </w:r>
            <w:r>
              <w:rPr>
                <w:spacing w:val="-2"/>
                <w:sz w:val="18"/>
              </w:rPr>
              <w:t>(loss)</w:t>
            </w:r>
          </w:p>
        </w:tc>
        <w:tc>
          <w:tcPr>
            <w:tcW w:w="1547" w:type="dxa"/>
            <w:tcBorders>
              <w:top w:val="single" w:sz="6" w:space="0" w:color="000000"/>
              <w:bottom w:val="single" w:sz="6" w:space="0" w:color="000000"/>
            </w:tcBorders>
            <w:shd w:val="clear" w:color="auto" w:fill="CFF0FB"/>
          </w:tcPr>
          <w:p>
            <w:pPr>
              <w:pStyle w:val="TableParagraph"/>
              <w:spacing w:before="20"/>
              <w:ind w:right="92"/>
              <w:jc w:val="right"/>
              <w:rPr>
                <w:sz w:val="18"/>
              </w:rPr>
            </w:pPr>
            <w:r>
              <w:rPr>
                <w:spacing w:val="-2"/>
                <w:sz w:val="18"/>
              </w:rPr>
              <w:t>65,028</w:t>
            </w:r>
          </w:p>
        </w:tc>
        <w:tc>
          <w:tcPr>
            <w:tcW w:w="1641" w:type="dxa"/>
            <w:tcBorders>
              <w:top w:val="single" w:sz="6" w:space="0" w:color="000000"/>
              <w:bottom w:val="single" w:sz="6" w:space="0" w:color="000000"/>
            </w:tcBorders>
            <w:shd w:val="clear" w:color="auto" w:fill="CFF0FB"/>
          </w:tcPr>
          <w:p>
            <w:pPr>
              <w:pStyle w:val="TableParagraph"/>
              <w:spacing w:before="20"/>
              <w:ind w:right="114"/>
              <w:jc w:val="right"/>
              <w:rPr>
                <w:sz w:val="18"/>
              </w:rPr>
            </w:pPr>
            <w:r>
              <w:rPr>
                <w:spacing w:val="-2"/>
                <w:sz w:val="18"/>
              </w:rPr>
              <w:t>10,133</w:t>
            </w:r>
          </w:p>
        </w:tc>
        <w:tc>
          <w:tcPr>
            <w:tcW w:w="1576" w:type="dxa"/>
            <w:tcBorders>
              <w:top w:val="single" w:sz="6" w:space="0" w:color="000000"/>
              <w:bottom w:val="single" w:sz="6" w:space="0" w:color="000000"/>
            </w:tcBorders>
            <w:shd w:val="clear" w:color="auto" w:fill="CFF0FB"/>
          </w:tcPr>
          <w:p>
            <w:pPr>
              <w:pStyle w:val="TableParagraph"/>
              <w:spacing w:before="20"/>
              <w:ind w:right="24"/>
              <w:jc w:val="right"/>
              <w:rPr>
                <w:sz w:val="18"/>
              </w:rPr>
            </w:pPr>
            <w:r>
              <w:rPr>
                <w:spacing w:val="-2"/>
                <w:sz w:val="18"/>
              </w:rPr>
              <w:t>(51,603)</w:t>
            </w:r>
          </w:p>
        </w:tc>
      </w:tr>
      <w:tr>
        <w:trPr>
          <w:trHeight w:val="255" w:hRule="atLeast"/>
        </w:trPr>
        <w:tc>
          <w:tcPr>
            <w:tcW w:w="6750" w:type="dxa"/>
          </w:tcPr>
          <w:p>
            <w:pPr>
              <w:pStyle w:val="TableParagraph"/>
              <w:spacing w:before="20"/>
              <w:ind w:left="17"/>
              <w:rPr>
                <w:b/>
                <w:sz w:val="18"/>
              </w:rPr>
            </w:pPr>
            <w:r>
              <w:rPr>
                <w:b/>
                <w:sz w:val="18"/>
              </w:rPr>
              <w:t>Comprehensive</w:t>
            </w:r>
            <w:r>
              <w:rPr>
                <w:b/>
                <w:spacing w:val="-3"/>
                <w:sz w:val="18"/>
              </w:rPr>
              <w:t> </w:t>
            </w:r>
            <w:r>
              <w:rPr>
                <w:b/>
                <w:sz w:val="18"/>
              </w:rPr>
              <w:t>income</w:t>
            </w:r>
            <w:r>
              <w:rPr>
                <w:b/>
                <w:spacing w:val="-3"/>
                <w:sz w:val="18"/>
              </w:rPr>
              <w:t> </w:t>
            </w:r>
            <w:r>
              <w:rPr>
                <w:b/>
                <w:spacing w:val="-2"/>
                <w:sz w:val="18"/>
              </w:rPr>
              <w:t>(loss)</w:t>
            </w:r>
          </w:p>
        </w:tc>
        <w:tc>
          <w:tcPr>
            <w:tcW w:w="1547" w:type="dxa"/>
            <w:tcBorders>
              <w:top w:val="single" w:sz="6" w:space="0" w:color="000000"/>
            </w:tcBorders>
          </w:tcPr>
          <w:p>
            <w:pPr>
              <w:pStyle w:val="TableParagraph"/>
              <w:spacing w:before="20"/>
              <w:ind w:right="92"/>
              <w:jc w:val="right"/>
              <w:rPr>
                <w:sz w:val="18"/>
              </w:rPr>
            </w:pPr>
            <w:r>
              <w:rPr>
                <w:spacing w:val="-2"/>
                <w:sz w:val="18"/>
              </w:rPr>
              <w:t>271,759</w:t>
            </w:r>
          </w:p>
        </w:tc>
        <w:tc>
          <w:tcPr>
            <w:tcW w:w="1641" w:type="dxa"/>
            <w:tcBorders>
              <w:top w:val="single" w:sz="6" w:space="0" w:color="000000"/>
            </w:tcBorders>
          </w:tcPr>
          <w:p>
            <w:pPr>
              <w:pStyle w:val="TableParagraph"/>
              <w:spacing w:before="20"/>
              <w:ind w:right="114"/>
              <w:jc w:val="right"/>
              <w:rPr>
                <w:sz w:val="18"/>
              </w:rPr>
            </w:pPr>
            <w:r>
              <w:rPr>
                <w:spacing w:val="-2"/>
                <w:sz w:val="18"/>
              </w:rPr>
              <w:t>1,218,522</w:t>
            </w:r>
          </w:p>
        </w:tc>
        <w:tc>
          <w:tcPr>
            <w:tcW w:w="1576" w:type="dxa"/>
            <w:tcBorders>
              <w:top w:val="single" w:sz="6" w:space="0" w:color="000000"/>
            </w:tcBorders>
          </w:tcPr>
          <w:p>
            <w:pPr>
              <w:pStyle w:val="TableParagraph"/>
              <w:spacing w:before="20"/>
              <w:ind w:right="24"/>
              <w:jc w:val="right"/>
              <w:rPr>
                <w:sz w:val="18"/>
              </w:rPr>
            </w:pPr>
            <w:r>
              <w:rPr>
                <w:spacing w:val="-2"/>
                <w:sz w:val="18"/>
              </w:rPr>
              <w:t>(1,371,510)</w:t>
            </w:r>
          </w:p>
        </w:tc>
      </w:tr>
      <w:tr>
        <w:trPr>
          <w:trHeight w:val="269" w:hRule="atLeast"/>
        </w:trPr>
        <w:tc>
          <w:tcPr>
            <w:tcW w:w="6750" w:type="dxa"/>
            <w:shd w:val="clear" w:color="auto" w:fill="CFF0FB"/>
          </w:tcPr>
          <w:p>
            <w:pPr>
              <w:pStyle w:val="TableParagraph"/>
              <w:ind w:left="217"/>
              <w:rPr>
                <w:sz w:val="18"/>
              </w:rPr>
            </w:pPr>
            <w:r>
              <w:rPr>
                <w:sz w:val="18"/>
              </w:rPr>
              <w:t>Less:</w:t>
            </w:r>
            <w:r>
              <w:rPr>
                <w:spacing w:val="-1"/>
                <w:sz w:val="18"/>
              </w:rPr>
              <w:t> </w:t>
            </w:r>
            <w:r>
              <w:rPr>
                <w:sz w:val="18"/>
              </w:rPr>
              <w:t>Comprehensive</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noncontrolling</w:t>
            </w:r>
            <w:r>
              <w:rPr>
                <w:spacing w:val="-1"/>
                <w:sz w:val="18"/>
              </w:rPr>
              <w:t> </w:t>
            </w:r>
            <w:r>
              <w:rPr>
                <w:spacing w:val="-2"/>
                <w:sz w:val="18"/>
              </w:rPr>
              <w:t>interests</w:t>
            </w:r>
          </w:p>
        </w:tc>
        <w:tc>
          <w:tcPr>
            <w:tcW w:w="1547" w:type="dxa"/>
            <w:tcBorders>
              <w:bottom w:val="single" w:sz="6" w:space="0" w:color="000000"/>
            </w:tcBorders>
            <w:shd w:val="clear" w:color="auto" w:fill="CFF0FB"/>
          </w:tcPr>
          <w:p>
            <w:pPr>
              <w:pStyle w:val="TableParagraph"/>
              <w:ind w:right="92"/>
              <w:jc w:val="right"/>
              <w:rPr>
                <w:sz w:val="18"/>
              </w:rPr>
            </w:pPr>
            <w:r>
              <w:rPr>
                <w:spacing w:val="-2"/>
                <w:sz w:val="18"/>
              </w:rPr>
              <w:t>1,249,085</w:t>
            </w:r>
          </w:p>
        </w:tc>
        <w:tc>
          <w:tcPr>
            <w:tcW w:w="1641" w:type="dxa"/>
            <w:tcBorders>
              <w:bottom w:val="single" w:sz="6" w:space="0" w:color="000000"/>
            </w:tcBorders>
            <w:shd w:val="clear" w:color="auto" w:fill="CFF0FB"/>
          </w:tcPr>
          <w:p>
            <w:pPr>
              <w:pStyle w:val="TableParagraph"/>
              <w:ind w:right="114"/>
              <w:jc w:val="right"/>
              <w:rPr>
                <w:sz w:val="18"/>
              </w:rPr>
            </w:pPr>
            <w:r>
              <w:rPr>
                <w:spacing w:val="-2"/>
                <w:sz w:val="18"/>
              </w:rPr>
              <w:t>35,700</w:t>
            </w:r>
          </w:p>
        </w:tc>
        <w:tc>
          <w:tcPr>
            <w:tcW w:w="1576" w:type="dxa"/>
            <w:tcBorders>
              <w:bottom w:val="single" w:sz="6" w:space="0" w:color="000000"/>
            </w:tcBorders>
            <w:shd w:val="clear" w:color="auto" w:fill="CFF0FB"/>
          </w:tcPr>
          <w:p>
            <w:pPr>
              <w:pStyle w:val="TableParagraph"/>
              <w:ind w:right="69"/>
              <w:jc w:val="right"/>
              <w:rPr>
                <w:sz w:val="18"/>
              </w:rPr>
            </w:pPr>
            <w:r>
              <w:rPr>
                <w:spacing w:val="-2"/>
                <w:sz w:val="18"/>
              </w:rPr>
              <w:t>309,969</w:t>
            </w:r>
          </w:p>
        </w:tc>
      </w:tr>
      <w:tr>
        <w:trPr>
          <w:trHeight w:val="227" w:hRule="atLeast"/>
        </w:trPr>
        <w:tc>
          <w:tcPr>
            <w:tcW w:w="6750" w:type="dxa"/>
          </w:tcPr>
          <w:p>
            <w:pPr>
              <w:pStyle w:val="TableParagraph"/>
              <w:spacing w:line="200" w:lineRule="exact" w:before="6"/>
              <w:ind w:left="17"/>
              <w:rPr>
                <w:b/>
                <w:sz w:val="18"/>
              </w:rPr>
            </w:pPr>
            <w:r>
              <w:rPr>
                <w:b/>
                <w:sz w:val="18"/>
              </w:rPr>
              <w:t>Comprehensive</w:t>
            </w:r>
            <w:r>
              <w:rPr>
                <w:b/>
                <w:spacing w:val="-2"/>
                <w:sz w:val="18"/>
              </w:rPr>
              <w:t> </w:t>
            </w:r>
            <w:r>
              <w:rPr>
                <w:b/>
                <w:sz w:val="18"/>
              </w:rPr>
              <w:t>income</w:t>
            </w:r>
            <w:r>
              <w:rPr>
                <w:b/>
                <w:spacing w:val="-2"/>
                <w:sz w:val="18"/>
              </w:rPr>
              <w:t> </w:t>
            </w:r>
            <w:r>
              <w:rPr>
                <w:b/>
                <w:sz w:val="18"/>
              </w:rPr>
              <w:t>(loss)</w:t>
            </w:r>
            <w:r>
              <w:rPr>
                <w:b/>
                <w:spacing w:val="-1"/>
                <w:sz w:val="18"/>
              </w:rPr>
              <w:t> </w:t>
            </w:r>
            <w:r>
              <w:rPr>
                <w:b/>
                <w:sz w:val="18"/>
              </w:rPr>
              <w:t>attributable</w:t>
            </w:r>
            <w:r>
              <w:rPr>
                <w:b/>
                <w:spacing w:val="-2"/>
                <w:sz w:val="18"/>
              </w:rPr>
              <w:t> </w:t>
            </w:r>
            <w:r>
              <w:rPr>
                <w:b/>
                <w:sz w:val="18"/>
              </w:rPr>
              <w:t>to</w:t>
            </w:r>
            <w:r>
              <w:rPr>
                <w:b/>
                <w:spacing w:val="-1"/>
                <w:sz w:val="18"/>
              </w:rPr>
              <w:t> </w:t>
            </w:r>
            <w:r>
              <w:rPr>
                <w:b/>
                <w:sz w:val="18"/>
              </w:rPr>
              <w:t>MGM</w:t>
            </w:r>
            <w:r>
              <w:rPr>
                <w:b/>
                <w:spacing w:val="-2"/>
                <w:sz w:val="18"/>
              </w:rPr>
              <w:t> </w:t>
            </w:r>
            <w:r>
              <w:rPr>
                <w:b/>
                <w:sz w:val="18"/>
              </w:rPr>
              <w:t>Resorts</w:t>
            </w:r>
            <w:r>
              <w:rPr>
                <w:b/>
                <w:spacing w:val="-1"/>
                <w:sz w:val="18"/>
              </w:rPr>
              <w:t> </w:t>
            </w:r>
            <w:r>
              <w:rPr>
                <w:b/>
                <w:spacing w:val="-2"/>
                <w:sz w:val="18"/>
              </w:rPr>
              <w:t>International</w:t>
            </w:r>
          </w:p>
        </w:tc>
        <w:tc>
          <w:tcPr>
            <w:tcW w:w="1547" w:type="dxa"/>
            <w:tcBorders>
              <w:top w:val="single" w:sz="6" w:space="0" w:color="000000"/>
            </w:tcBorders>
          </w:tcPr>
          <w:p>
            <w:pPr>
              <w:pStyle w:val="TableParagraph"/>
              <w:tabs>
                <w:tab w:pos="709" w:val="left" w:leader="none"/>
              </w:tabs>
              <w:spacing w:line="187" w:lineRule="exact" w:before="20"/>
              <w:ind w:right="92"/>
              <w:jc w:val="right"/>
              <w:rPr>
                <w:sz w:val="18"/>
              </w:rPr>
            </w:pPr>
            <w:r>
              <w:rPr>
                <w:spacing w:val="-10"/>
                <w:sz w:val="18"/>
              </w:rPr>
              <w:t>$</w:t>
            </w:r>
            <w:r>
              <w:rPr>
                <w:sz w:val="18"/>
              </w:rPr>
              <w:tab/>
            </w:r>
            <w:r>
              <w:rPr>
                <w:spacing w:val="-2"/>
                <w:sz w:val="18"/>
              </w:rPr>
              <w:t>1,520,844</w:t>
            </w:r>
          </w:p>
        </w:tc>
        <w:tc>
          <w:tcPr>
            <w:tcW w:w="1641" w:type="dxa"/>
            <w:tcBorders>
              <w:top w:val="single" w:sz="6" w:space="0" w:color="000000"/>
            </w:tcBorders>
          </w:tcPr>
          <w:p>
            <w:pPr>
              <w:pStyle w:val="TableParagraph"/>
              <w:tabs>
                <w:tab w:pos="709" w:val="left" w:leader="none"/>
              </w:tabs>
              <w:spacing w:line="187" w:lineRule="exact" w:before="20"/>
              <w:ind w:right="114"/>
              <w:jc w:val="right"/>
              <w:rPr>
                <w:sz w:val="18"/>
              </w:rPr>
            </w:pPr>
            <w:r>
              <w:rPr>
                <w:spacing w:val="-10"/>
                <w:sz w:val="18"/>
              </w:rPr>
              <w:t>$</w:t>
            </w:r>
            <w:r>
              <w:rPr>
                <w:sz w:val="18"/>
              </w:rPr>
              <w:tab/>
            </w:r>
            <w:r>
              <w:rPr>
                <w:spacing w:val="-2"/>
                <w:sz w:val="18"/>
              </w:rPr>
              <w:t>1,254,222</w:t>
            </w:r>
          </w:p>
        </w:tc>
        <w:tc>
          <w:tcPr>
            <w:tcW w:w="1576" w:type="dxa"/>
            <w:tcBorders>
              <w:top w:val="single" w:sz="6" w:space="0" w:color="000000"/>
            </w:tcBorders>
          </w:tcPr>
          <w:p>
            <w:pPr>
              <w:pStyle w:val="TableParagraph"/>
              <w:tabs>
                <w:tab w:pos="636" w:val="left" w:leader="none"/>
              </w:tabs>
              <w:spacing w:line="187" w:lineRule="exact" w:before="20"/>
              <w:ind w:right="24"/>
              <w:jc w:val="right"/>
              <w:rPr>
                <w:sz w:val="18"/>
              </w:rPr>
            </w:pPr>
            <w:r>
              <w:rPr>
                <w:spacing w:val="-10"/>
                <w:sz w:val="18"/>
              </w:rPr>
              <w:t>$</w:t>
            </w:r>
            <w:r>
              <w:rPr>
                <w:sz w:val="18"/>
              </w:rPr>
              <w:tab/>
            </w:r>
            <w:r>
              <w:rPr>
                <w:spacing w:val="-2"/>
                <w:sz w:val="18"/>
              </w:rPr>
              <w:t>(1,061,541)</w:t>
            </w:r>
          </w:p>
        </w:tc>
      </w:tr>
    </w:tbl>
    <w:p>
      <w:pPr>
        <w:pStyle w:val="BodyText"/>
        <w:spacing w:before="4"/>
        <w:rPr>
          <w:b/>
          <w:sz w:val="2"/>
        </w:rPr>
      </w:pPr>
    </w:p>
    <w:p>
      <w:pPr>
        <w:spacing w:line="54" w:lineRule="exact"/>
        <w:ind w:left="6894" w:right="0" w:firstLine="0"/>
        <w:jc w:val="left"/>
        <w:rPr>
          <w:sz w:val="5"/>
        </w:rPr>
      </w:pPr>
      <w:r>
        <w:rPr>
          <w:position w:val="0"/>
          <w:sz w:val="5"/>
        </w:rPr>
        <mc:AlternateContent>
          <mc:Choice Requires="wps">
            <w:drawing>
              <wp:inline distT="0" distB="0" distL="0" distR="0">
                <wp:extent cx="969010" cy="34290"/>
                <wp:effectExtent l="0" t="0" r="0" b="0"/>
                <wp:docPr id="329" name="Group 329"/>
                <wp:cNvGraphicFramePr>
                  <a:graphicFrameLocks/>
                </wp:cNvGraphicFramePr>
                <a:graphic>
                  <a:graphicData uri="http://schemas.microsoft.com/office/word/2010/wordprocessingGroup">
                    <wpg:wgp>
                      <wpg:cNvPr id="329" name="Group 329"/>
                      <wpg:cNvGrpSpPr/>
                      <wpg:grpSpPr>
                        <a:xfrm>
                          <a:off x="0" y="0"/>
                          <a:ext cx="969010" cy="34290"/>
                          <a:chExt cx="969010" cy="34290"/>
                        </a:xfrm>
                      </wpg:grpSpPr>
                      <wps:wsp>
                        <wps:cNvPr id="330" name="Graphic 330"/>
                        <wps:cNvSpPr/>
                        <wps:spPr>
                          <a:xfrm>
                            <a:off x="-12" y="2"/>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2.7pt;mso-position-horizontal-relative:char;mso-position-vertical-relative:line" id="docshapegroup327" coordorigin="0,0" coordsize="1526,54">
                <v:shape style="position:absolute;left:-1;top:0;width:1526;height:54" id="docshape328" coordorigin="0,0" coordsize="1526,54" path="m1525,41l1498,41,121,41,0,41,0,54,121,54,1498,54,1525,54,1525,41xm1525,0l1498,0,121,0,0,0,0,14,121,14,1498,14,1525,14,1525,0xe" filled="true" fillcolor="#000000" stroked="false">
                  <v:path arrowok="t"/>
                  <v:fill type="solid"/>
                </v:shape>
              </v:group>
            </w:pict>
          </mc:Fallback>
        </mc:AlternateContent>
      </w:r>
      <w:r>
        <w:rPr>
          <w:position w:val="0"/>
          <w:sz w:val="5"/>
        </w:rPr>
      </w:r>
      <w:r>
        <w:rPr>
          <w:spacing w:val="67"/>
          <w:position w:val="0"/>
          <w:sz w:val="5"/>
        </w:rPr>
        <w:t> </w:t>
      </w:r>
      <w:r>
        <w:rPr>
          <w:spacing w:val="67"/>
          <w:position w:val="0"/>
          <w:sz w:val="5"/>
        </w:rPr>
        <mc:AlternateContent>
          <mc:Choice Requires="wps">
            <w:drawing>
              <wp:inline distT="0" distB="0" distL="0" distR="0">
                <wp:extent cx="969010" cy="34290"/>
                <wp:effectExtent l="0" t="0" r="0" b="0"/>
                <wp:docPr id="331" name="Group 331"/>
                <wp:cNvGraphicFramePr>
                  <a:graphicFrameLocks/>
                </wp:cNvGraphicFramePr>
                <a:graphic>
                  <a:graphicData uri="http://schemas.microsoft.com/office/word/2010/wordprocessingGroup">
                    <wpg:wgp>
                      <wpg:cNvPr id="331" name="Group 331"/>
                      <wpg:cNvGrpSpPr/>
                      <wpg:grpSpPr>
                        <a:xfrm>
                          <a:off x="0" y="0"/>
                          <a:ext cx="969010" cy="34290"/>
                          <a:chExt cx="969010" cy="34290"/>
                        </a:xfrm>
                      </wpg:grpSpPr>
                      <wps:wsp>
                        <wps:cNvPr id="332" name="Graphic 332"/>
                        <wps:cNvSpPr/>
                        <wps:spPr>
                          <a:xfrm>
                            <a:off x="-12" y="2"/>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2.7pt;mso-position-horizontal-relative:char;mso-position-vertical-relative:line" id="docshapegroup329" coordorigin="0,0" coordsize="1526,54">
                <v:shape style="position:absolute;left:-1;top:0;width:1526;height:54" id="docshape330" coordorigin="0,0" coordsize="1526,54" path="m1525,41l1498,41,121,41,0,41,0,54,121,54,1498,54,1525,54,1525,41xm1525,0l1498,0,121,0,0,0,0,14,121,14,1498,14,1525,14,1525,0xe" filled="true" fillcolor="#000000" stroked="false">
                  <v:path arrowok="t"/>
                  <v:fill type="solid"/>
                </v:shape>
              </v:group>
            </w:pict>
          </mc:Fallback>
        </mc:AlternateContent>
      </w:r>
      <w:r>
        <w:rPr>
          <w:spacing w:val="67"/>
          <w:position w:val="0"/>
          <w:sz w:val="5"/>
        </w:rPr>
      </w:r>
      <w:r>
        <w:rPr>
          <w:spacing w:val="67"/>
          <w:position w:val="0"/>
          <w:sz w:val="5"/>
        </w:rPr>
        <w:t> </w:t>
      </w:r>
      <w:r>
        <w:rPr>
          <w:spacing w:val="67"/>
          <w:position w:val="0"/>
          <w:sz w:val="5"/>
        </w:rPr>
        <mc:AlternateContent>
          <mc:Choice Requires="wps">
            <w:drawing>
              <wp:inline distT="0" distB="0" distL="0" distR="0">
                <wp:extent cx="969010" cy="34290"/>
                <wp:effectExtent l="0" t="0" r="0" b="0"/>
                <wp:docPr id="333" name="Group 333"/>
                <wp:cNvGraphicFramePr>
                  <a:graphicFrameLocks/>
                </wp:cNvGraphicFramePr>
                <a:graphic>
                  <a:graphicData uri="http://schemas.microsoft.com/office/word/2010/wordprocessingGroup">
                    <wpg:wgp>
                      <wpg:cNvPr id="333" name="Group 333"/>
                      <wpg:cNvGrpSpPr/>
                      <wpg:grpSpPr>
                        <a:xfrm>
                          <a:off x="0" y="0"/>
                          <a:ext cx="969010" cy="34290"/>
                          <a:chExt cx="969010" cy="34290"/>
                        </a:xfrm>
                      </wpg:grpSpPr>
                      <wps:wsp>
                        <wps:cNvPr id="334" name="Graphic 334"/>
                        <wps:cNvSpPr/>
                        <wps:spPr>
                          <a:xfrm>
                            <a:off x="-11" y="2"/>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2.7pt;mso-position-horizontal-relative:char;mso-position-vertical-relative:line" id="docshapegroup331" coordorigin="0,0" coordsize="1526,54">
                <v:shape style="position:absolute;left:-1;top:0;width:1526;height:54" id="docshape332" coordorigin="0,0" coordsize="1526,54" path="m1525,41l1498,41,121,41,0,41,0,54,121,54,1498,54,1525,54,1525,41xm1525,0l1498,0,121,0,0,0,0,14,121,14,1498,14,1525,14,1525,0xe" filled="true" fillcolor="#000000" stroked="false">
                  <v:path arrowok="t"/>
                  <v:fill type="solid"/>
                </v:shape>
              </v:group>
            </w:pict>
          </mc:Fallback>
        </mc:AlternateContent>
      </w:r>
      <w:r>
        <w:rPr>
          <w:spacing w:val="67"/>
          <w:position w:val="0"/>
          <w:sz w:val="5"/>
        </w:rPr>
      </w:r>
    </w:p>
    <w:p>
      <w:pPr>
        <w:pStyle w:val="BodyText"/>
        <w:spacing w:before="84"/>
        <w:rPr>
          <w:b/>
        </w:rPr>
      </w:pPr>
    </w:p>
    <w:p>
      <w:pPr>
        <w:spacing w:before="0"/>
        <w:ind w:left="24" w:right="0" w:firstLine="0"/>
        <w:jc w:val="center"/>
        <w:rPr>
          <w:i/>
          <w:sz w:val="18"/>
        </w:rPr>
      </w:pPr>
      <w:r>
        <w:rPr>
          <w:i/>
          <w:sz w:val="18"/>
        </w:rPr>
        <w:t>The</w:t>
      </w:r>
      <w:r>
        <w:rPr>
          <w:i/>
          <w:spacing w:val="-2"/>
          <w:sz w:val="18"/>
        </w:rPr>
        <w:t> </w:t>
      </w:r>
      <w:r>
        <w:rPr>
          <w:i/>
          <w:sz w:val="18"/>
        </w:rPr>
        <w:t>accompanying</w:t>
      </w:r>
      <w:r>
        <w:rPr>
          <w:i/>
          <w:spacing w:val="-2"/>
          <w:sz w:val="18"/>
        </w:rPr>
        <w:t> </w:t>
      </w:r>
      <w:r>
        <w:rPr>
          <w:i/>
          <w:sz w:val="18"/>
        </w:rPr>
        <w:t>notes</w:t>
      </w:r>
      <w:r>
        <w:rPr>
          <w:i/>
          <w:spacing w:val="-1"/>
          <w:sz w:val="18"/>
        </w:rPr>
        <w:t> </w:t>
      </w:r>
      <w:r>
        <w:rPr>
          <w:i/>
          <w:sz w:val="18"/>
        </w:rPr>
        <w:t>are</w:t>
      </w:r>
      <w:r>
        <w:rPr>
          <w:i/>
          <w:spacing w:val="-2"/>
          <w:sz w:val="18"/>
        </w:rPr>
        <w:t> </w:t>
      </w:r>
      <w:r>
        <w:rPr>
          <w:i/>
          <w:sz w:val="18"/>
        </w:rPr>
        <w:t>an</w:t>
      </w:r>
      <w:r>
        <w:rPr>
          <w:i/>
          <w:spacing w:val="-2"/>
          <w:sz w:val="18"/>
        </w:rPr>
        <w:t> </w:t>
      </w:r>
      <w:r>
        <w:rPr>
          <w:i/>
          <w:sz w:val="18"/>
        </w:rPr>
        <w:t>integral</w:t>
      </w:r>
      <w:r>
        <w:rPr>
          <w:i/>
          <w:spacing w:val="-1"/>
          <w:sz w:val="18"/>
        </w:rPr>
        <w:t> </w:t>
      </w:r>
      <w:r>
        <w:rPr>
          <w:i/>
          <w:sz w:val="18"/>
        </w:rPr>
        <w:t>part</w:t>
      </w:r>
      <w:r>
        <w:rPr>
          <w:i/>
          <w:spacing w:val="-2"/>
          <w:sz w:val="18"/>
        </w:rPr>
        <w:t> </w:t>
      </w:r>
      <w:r>
        <w:rPr>
          <w:i/>
          <w:sz w:val="18"/>
        </w:rPr>
        <w:t>of</w:t>
      </w:r>
      <w:r>
        <w:rPr>
          <w:i/>
          <w:spacing w:val="-2"/>
          <w:sz w:val="18"/>
        </w:rPr>
        <w:t> </w:t>
      </w:r>
      <w:r>
        <w:rPr>
          <w:i/>
          <w:sz w:val="18"/>
        </w:rPr>
        <w:t>these</w:t>
      </w:r>
      <w:r>
        <w:rPr>
          <w:i/>
          <w:spacing w:val="-1"/>
          <w:sz w:val="18"/>
        </w:rPr>
        <w:t> </w:t>
      </w:r>
      <w:r>
        <w:rPr>
          <w:i/>
          <w:sz w:val="18"/>
        </w:rPr>
        <w:t>consolidated</w:t>
      </w:r>
      <w:r>
        <w:rPr>
          <w:i/>
          <w:spacing w:val="-2"/>
          <w:sz w:val="18"/>
        </w:rPr>
        <w:t> </w:t>
      </w:r>
      <w:r>
        <w:rPr>
          <w:i/>
          <w:sz w:val="18"/>
        </w:rPr>
        <w:t>financial</w:t>
      </w:r>
      <w:r>
        <w:rPr>
          <w:i/>
          <w:spacing w:val="-1"/>
          <w:sz w:val="18"/>
        </w:rPr>
        <w:t> </w:t>
      </w:r>
      <w:r>
        <w:rPr>
          <w:i/>
          <w:spacing w:val="-2"/>
          <w:sz w:val="18"/>
        </w:rPr>
        <w:t>statements.</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ind w:left="24"/>
        <w:jc w:val="center"/>
      </w:pPr>
      <w:r>
        <w:rPr>
          <w:spacing w:val="-5"/>
        </w:rPr>
        <w:t>59</w:t>
      </w:r>
    </w:p>
    <w:p>
      <w:pPr>
        <w:pStyle w:val="BodyText"/>
        <w:spacing w:before="3"/>
        <w:rPr>
          <w:sz w:val="6"/>
        </w:rPr>
      </w:pPr>
      <w:r>
        <w:rPr/>
        <mc:AlternateContent>
          <mc:Choice Requires="wps">
            <w:drawing>
              <wp:anchor distT="0" distB="0" distL="0" distR="0" allowOverlap="1" layoutInCell="1" locked="0" behindDoc="1" simplePos="0" relativeHeight="487649792">
                <wp:simplePos x="0" y="0"/>
                <wp:positionH relativeFrom="page">
                  <wp:posOffset>231457</wp:posOffset>
                </wp:positionH>
                <wp:positionV relativeFrom="paragraph">
                  <wp:posOffset>60956</wp:posOffset>
                </wp:positionV>
                <wp:extent cx="7312659" cy="17145"/>
                <wp:effectExtent l="0" t="0" r="0" b="0"/>
                <wp:wrapTopAndBottom/>
                <wp:docPr id="335" name="Group 335"/>
                <wp:cNvGraphicFramePr>
                  <a:graphicFrameLocks/>
                </wp:cNvGraphicFramePr>
                <a:graphic>
                  <a:graphicData uri="http://schemas.microsoft.com/office/word/2010/wordprocessingGroup">
                    <wpg:wgp>
                      <wpg:cNvPr id="335" name="Group 335"/>
                      <wpg:cNvGrpSpPr/>
                      <wpg:grpSpPr>
                        <a:xfrm>
                          <a:off x="0" y="0"/>
                          <a:ext cx="7312659" cy="17145"/>
                          <a:chExt cx="7312659" cy="17145"/>
                        </a:xfrm>
                      </wpg:grpSpPr>
                      <wps:wsp>
                        <wps:cNvPr id="336" name="Graphic 33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37" name="Graphic 337"/>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38" name="Graphic 33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6688;mso-wrap-distance-left:0;mso-wrap-distance-right:0" id="docshapegroup333" coordorigin="364,96" coordsize="11516,27">
                <v:rect style="position:absolute;left:364;top:96;width:11516;height:14" id="docshape334" filled="true" fillcolor="#999999" stroked="false">
                  <v:fill type="solid"/>
                </v:rect>
                <v:shape style="position:absolute;left:364;top:96;width:11516;height:27" id="docshape335" coordorigin="364,96" coordsize="11516,27" path="m11880,96l11866,109,364,109,364,123,11866,123,11880,123,11880,109,11880,96xe" filled="true" fillcolor="#ededed" stroked="false">
                  <v:path arrowok="t"/>
                  <v:fill type="solid"/>
                </v:shape>
                <v:shape style="position:absolute;left:364;top:96;width:14;height:27" id="docshape336"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4"/>
        <w:spacing w:line="235" w:lineRule="auto" w:before="66"/>
        <w:ind w:left="2869" w:right="2842"/>
        <w:jc w:val="center"/>
      </w:pPr>
      <w:r>
        <w:rPr/>
        <w:t>MGM</w:t>
      </w:r>
      <w:r>
        <w:rPr>
          <w:spacing w:val="-12"/>
        </w:rPr>
        <w:t> </w:t>
      </w:r>
      <w:r>
        <w:rPr/>
        <w:t>RESORTS</w:t>
      </w:r>
      <w:r>
        <w:rPr>
          <w:spacing w:val="-11"/>
        </w:rPr>
        <w:t> </w:t>
      </w:r>
      <w:r>
        <w:rPr/>
        <w:t>INTERNATIONAL</w:t>
      </w:r>
      <w:r>
        <w:rPr>
          <w:spacing w:val="-20"/>
        </w:rPr>
        <w:t> </w:t>
      </w:r>
      <w:r>
        <w:rPr/>
        <w:t>AND</w:t>
      </w:r>
      <w:r>
        <w:rPr>
          <w:spacing w:val="-11"/>
        </w:rPr>
        <w:t> </w:t>
      </w:r>
      <w:r>
        <w:rPr/>
        <w:t>SUBSIDIARIES CONSOLIDATED STATEMENTS OF CASH FLOWS</w:t>
      </w:r>
    </w:p>
    <w:p>
      <w:pPr>
        <w:pStyle w:val="Heading6"/>
        <w:spacing w:before="9"/>
      </w:pPr>
      <w:r>
        <w:rPr/>
        <w:t>(In</w:t>
      </w:r>
      <w:r>
        <w:rPr>
          <w:spacing w:val="-1"/>
        </w:rPr>
        <w:t> </w:t>
      </w:r>
      <w:r>
        <w:rPr>
          <w:spacing w:val="-2"/>
        </w:rPr>
        <w:t>thousands)</w:t>
      </w:r>
    </w:p>
    <w:p>
      <w:pPr>
        <w:pStyle w:val="BodyText"/>
        <w:spacing w:before="38"/>
        <w:rPr>
          <w:b/>
          <w:i/>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1"/>
        <w:gridCol w:w="347"/>
        <w:gridCol w:w="557"/>
        <w:gridCol w:w="568"/>
        <w:gridCol w:w="1633"/>
        <w:gridCol w:w="1539"/>
      </w:tblGrid>
      <w:tr>
        <w:trPr>
          <w:trHeight w:val="179" w:hRule="atLeast"/>
        </w:trPr>
        <w:tc>
          <w:tcPr>
            <w:tcW w:w="8343" w:type="dxa"/>
            <w:gridSpan w:val="4"/>
          </w:tcPr>
          <w:p>
            <w:pPr>
              <w:pStyle w:val="TableParagraph"/>
              <w:spacing w:before="0"/>
              <w:rPr>
                <w:sz w:val="12"/>
              </w:rPr>
            </w:pPr>
          </w:p>
        </w:tc>
        <w:tc>
          <w:tcPr>
            <w:tcW w:w="1633" w:type="dxa"/>
            <w:tcBorders>
              <w:bottom w:val="single" w:sz="6" w:space="0" w:color="000000"/>
            </w:tcBorders>
          </w:tcPr>
          <w:p>
            <w:pPr>
              <w:pStyle w:val="TableParagraph"/>
              <w:spacing w:before="0"/>
              <w:ind w:right="85"/>
              <w:jc w:val="right"/>
              <w:rPr>
                <w:b/>
                <w:sz w:val="12"/>
              </w:rPr>
            </w:pPr>
            <w:r>
              <w:rPr>
                <w:b/>
                <w:spacing w:val="-2"/>
                <w:w w:val="105"/>
                <w:sz w:val="12"/>
              </w:rPr>
              <w:t>Year</w:t>
            </w:r>
            <w:r>
              <w:rPr>
                <w:b/>
                <w:w w:val="105"/>
                <w:sz w:val="12"/>
              </w:rPr>
              <w:t> </w:t>
            </w:r>
            <w:r>
              <w:rPr>
                <w:b/>
                <w:spacing w:val="-2"/>
                <w:w w:val="105"/>
                <w:sz w:val="12"/>
              </w:rPr>
              <w:t>Ended</w:t>
            </w:r>
            <w:r>
              <w:rPr>
                <w:b/>
                <w:spacing w:val="3"/>
                <w:w w:val="105"/>
                <w:sz w:val="12"/>
              </w:rPr>
              <w:t> </w:t>
            </w:r>
            <w:r>
              <w:rPr>
                <w:b/>
                <w:spacing w:val="-2"/>
                <w:w w:val="105"/>
                <w:sz w:val="12"/>
              </w:rPr>
              <w:t>December</w:t>
            </w:r>
            <w:r>
              <w:rPr>
                <w:b/>
                <w:w w:val="105"/>
                <w:sz w:val="12"/>
              </w:rPr>
              <w:t> </w:t>
            </w:r>
            <w:r>
              <w:rPr>
                <w:b/>
                <w:spacing w:val="-5"/>
                <w:w w:val="105"/>
                <w:sz w:val="12"/>
              </w:rPr>
              <w:t>31,</w:t>
            </w:r>
          </w:p>
        </w:tc>
        <w:tc>
          <w:tcPr>
            <w:tcW w:w="1539" w:type="dxa"/>
            <w:tcBorders>
              <w:bottom w:val="single" w:sz="6" w:space="0" w:color="000000"/>
            </w:tcBorders>
          </w:tcPr>
          <w:p>
            <w:pPr>
              <w:pStyle w:val="TableParagraph"/>
              <w:spacing w:before="0"/>
              <w:rPr>
                <w:sz w:val="12"/>
              </w:rPr>
            </w:pPr>
          </w:p>
        </w:tc>
      </w:tr>
      <w:tr>
        <w:trPr>
          <w:trHeight w:val="187" w:hRule="atLeast"/>
        </w:trPr>
        <w:tc>
          <w:tcPr>
            <w:tcW w:w="6871" w:type="dxa"/>
          </w:tcPr>
          <w:p>
            <w:pPr>
              <w:pStyle w:val="TableParagraph"/>
              <w:spacing w:before="0"/>
              <w:rPr>
                <w:sz w:val="12"/>
              </w:rPr>
            </w:pPr>
          </w:p>
        </w:tc>
        <w:tc>
          <w:tcPr>
            <w:tcW w:w="347" w:type="dxa"/>
            <w:tcBorders>
              <w:top w:val="single" w:sz="6" w:space="0" w:color="000000"/>
              <w:bottom w:val="single" w:sz="6" w:space="0" w:color="000000"/>
            </w:tcBorders>
          </w:tcPr>
          <w:p>
            <w:pPr>
              <w:pStyle w:val="TableParagraph"/>
              <w:spacing w:before="0"/>
              <w:rPr>
                <w:sz w:val="12"/>
              </w:rPr>
            </w:pPr>
          </w:p>
        </w:tc>
        <w:tc>
          <w:tcPr>
            <w:tcW w:w="557" w:type="dxa"/>
            <w:tcBorders>
              <w:top w:val="single" w:sz="6" w:space="0" w:color="000000"/>
              <w:bottom w:val="single" w:sz="6" w:space="0" w:color="000000"/>
            </w:tcBorders>
          </w:tcPr>
          <w:p>
            <w:pPr>
              <w:pStyle w:val="TableParagraph"/>
              <w:spacing w:before="22"/>
              <w:ind w:left="263"/>
              <w:rPr>
                <w:b/>
                <w:sz w:val="12"/>
              </w:rPr>
            </w:pPr>
            <w:r>
              <w:rPr>
                <w:b/>
                <w:spacing w:val="-4"/>
                <w:w w:val="105"/>
                <w:sz w:val="12"/>
              </w:rPr>
              <w:t>2022</w:t>
            </w:r>
          </w:p>
        </w:tc>
        <w:tc>
          <w:tcPr>
            <w:tcW w:w="568" w:type="dxa"/>
            <w:tcBorders>
              <w:top w:val="single" w:sz="6" w:space="0" w:color="000000"/>
              <w:bottom w:val="single" w:sz="6" w:space="0" w:color="000000"/>
            </w:tcBorders>
          </w:tcPr>
          <w:p>
            <w:pPr>
              <w:pStyle w:val="TableParagraph"/>
              <w:spacing w:before="0"/>
              <w:rPr>
                <w:sz w:val="12"/>
              </w:rPr>
            </w:pPr>
          </w:p>
        </w:tc>
        <w:tc>
          <w:tcPr>
            <w:tcW w:w="1633" w:type="dxa"/>
            <w:tcBorders>
              <w:top w:val="single" w:sz="6" w:space="0" w:color="000000"/>
              <w:bottom w:val="single" w:sz="6" w:space="0" w:color="000000"/>
            </w:tcBorders>
          </w:tcPr>
          <w:p>
            <w:pPr>
              <w:pStyle w:val="TableParagraph"/>
              <w:spacing w:before="22"/>
              <w:ind w:left="59"/>
              <w:jc w:val="center"/>
              <w:rPr>
                <w:b/>
                <w:sz w:val="12"/>
              </w:rPr>
            </w:pPr>
            <w:r>
              <w:rPr>
                <w:b/>
                <w:spacing w:val="-4"/>
                <w:w w:val="105"/>
                <w:sz w:val="12"/>
              </w:rPr>
              <w:t>2021</w:t>
            </w:r>
          </w:p>
        </w:tc>
        <w:tc>
          <w:tcPr>
            <w:tcW w:w="1539" w:type="dxa"/>
            <w:tcBorders>
              <w:top w:val="single" w:sz="6" w:space="0" w:color="000000"/>
              <w:bottom w:val="single" w:sz="6" w:space="0" w:color="000000"/>
            </w:tcBorders>
          </w:tcPr>
          <w:p>
            <w:pPr>
              <w:pStyle w:val="TableParagraph"/>
              <w:spacing w:before="22"/>
              <w:ind w:left="55"/>
              <w:jc w:val="center"/>
              <w:rPr>
                <w:b/>
                <w:sz w:val="12"/>
              </w:rPr>
            </w:pPr>
            <w:r>
              <w:rPr>
                <w:b/>
                <w:spacing w:val="-4"/>
                <w:w w:val="105"/>
                <w:sz w:val="12"/>
              </w:rPr>
              <w:t>2020</w:t>
            </w:r>
          </w:p>
        </w:tc>
      </w:tr>
      <w:tr>
        <w:trPr>
          <w:trHeight w:val="215" w:hRule="atLeast"/>
        </w:trPr>
        <w:tc>
          <w:tcPr>
            <w:tcW w:w="6871" w:type="dxa"/>
            <w:shd w:val="clear" w:color="auto" w:fill="CCEDFF"/>
          </w:tcPr>
          <w:p>
            <w:pPr>
              <w:pStyle w:val="TableParagraph"/>
              <w:spacing w:before="17"/>
              <w:ind w:left="17"/>
              <w:rPr>
                <w:b/>
                <w:sz w:val="14"/>
              </w:rPr>
            </w:pPr>
            <w:r>
              <w:rPr>
                <w:b/>
                <w:sz w:val="14"/>
              </w:rPr>
              <w:t>Cash</w:t>
            </w:r>
            <w:r>
              <w:rPr>
                <w:b/>
                <w:spacing w:val="6"/>
                <w:sz w:val="14"/>
              </w:rPr>
              <w:t> </w:t>
            </w:r>
            <w:r>
              <w:rPr>
                <w:b/>
                <w:sz w:val="14"/>
              </w:rPr>
              <w:t>flows</w:t>
            </w:r>
            <w:r>
              <w:rPr>
                <w:b/>
                <w:spacing w:val="7"/>
                <w:sz w:val="14"/>
              </w:rPr>
              <w:t> </w:t>
            </w:r>
            <w:r>
              <w:rPr>
                <w:b/>
                <w:sz w:val="14"/>
              </w:rPr>
              <w:t>from</w:t>
            </w:r>
            <w:r>
              <w:rPr>
                <w:b/>
                <w:spacing w:val="7"/>
                <w:sz w:val="14"/>
              </w:rPr>
              <w:t> </w:t>
            </w:r>
            <w:r>
              <w:rPr>
                <w:b/>
                <w:sz w:val="14"/>
              </w:rPr>
              <w:t>operating</w:t>
            </w:r>
            <w:r>
              <w:rPr>
                <w:b/>
                <w:spacing w:val="6"/>
                <w:sz w:val="14"/>
              </w:rPr>
              <w:t> </w:t>
            </w:r>
            <w:r>
              <w:rPr>
                <w:b/>
                <w:spacing w:val="-2"/>
                <w:sz w:val="14"/>
              </w:rPr>
              <w:t>activities</w:t>
            </w:r>
          </w:p>
        </w:tc>
        <w:tc>
          <w:tcPr>
            <w:tcW w:w="347" w:type="dxa"/>
            <w:tcBorders>
              <w:top w:val="single" w:sz="6" w:space="0" w:color="000000"/>
            </w:tcBorders>
            <w:shd w:val="clear" w:color="auto" w:fill="CCEDFF"/>
          </w:tcPr>
          <w:p>
            <w:pPr>
              <w:pStyle w:val="TableParagraph"/>
              <w:spacing w:before="0"/>
              <w:rPr>
                <w:sz w:val="14"/>
              </w:rPr>
            </w:pPr>
          </w:p>
        </w:tc>
        <w:tc>
          <w:tcPr>
            <w:tcW w:w="557" w:type="dxa"/>
            <w:tcBorders>
              <w:top w:val="single" w:sz="6" w:space="0" w:color="000000"/>
            </w:tcBorders>
            <w:shd w:val="clear" w:color="auto" w:fill="CCEDFF"/>
          </w:tcPr>
          <w:p>
            <w:pPr>
              <w:pStyle w:val="TableParagraph"/>
              <w:spacing w:before="0"/>
              <w:rPr>
                <w:sz w:val="14"/>
              </w:rPr>
            </w:pPr>
          </w:p>
        </w:tc>
        <w:tc>
          <w:tcPr>
            <w:tcW w:w="568" w:type="dxa"/>
            <w:tcBorders>
              <w:top w:val="single" w:sz="6" w:space="0" w:color="000000"/>
            </w:tcBorders>
            <w:shd w:val="clear" w:color="auto" w:fill="CCEDFF"/>
          </w:tcPr>
          <w:p>
            <w:pPr>
              <w:pStyle w:val="TableParagraph"/>
              <w:spacing w:before="0"/>
              <w:rPr>
                <w:sz w:val="14"/>
              </w:rPr>
            </w:pPr>
          </w:p>
        </w:tc>
        <w:tc>
          <w:tcPr>
            <w:tcW w:w="1633" w:type="dxa"/>
            <w:tcBorders>
              <w:top w:val="single" w:sz="6" w:space="0" w:color="000000"/>
            </w:tcBorders>
            <w:shd w:val="clear" w:color="auto" w:fill="CCEDFF"/>
          </w:tcPr>
          <w:p>
            <w:pPr>
              <w:pStyle w:val="TableParagraph"/>
              <w:spacing w:before="0"/>
              <w:rPr>
                <w:sz w:val="14"/>
              </w:rPr>
            </w:pPr>
          </w:p>
        </w:tc>
        <w:tc>
          <w:tcPr>
            <w:tcW w:w="1539" w:type="dxa"/>
            <w:tcBorders>
              <w:top w:val="single" w:sz="6" w:space="0" w:color="000000"/>
            </w:tcBorders>
            <w:shd w:val="clear" w:color="auto" w:fill="CCEDFF"/>
          </w:tcPr>
          <w:p>
            <w:pPr>
              <w:pStyle w:val="TableParagraph"/>
              <w:spacing w:before="0"/>
              <w:rPr>
                <w:sz w:val="14"/>
              </w:rPr>
            </w:pPr>
          </w:p>
        </w:tc>
      </w:tr>
      <w:tr>
        <w:trPr>
          <w:trHeight w:val="229" w:hRule="atLeast"/>
        </w:trPr>
        <w:tc>
          <w:tcPr>
            <w:tcW w:w="6871" w:type="dxa"/>
          </w:tcPr>
          <w:p>
            <w:pPr>
              <w:pStyle w:val="TableParagraph"/>
              <w:spacing w:before="17"/>
              <w:ind w:left="217"/>
              <w:rPr>
                <w:sz w:val="14"/>
              </w:rPr>
            </w:pPr>
            <w:r>
              <w:rPr>
                <w:sz w:val="14"/>
              </w:rPr>
              <w:t>Net</w:t>
            </w:r>
            <w:r>
              <w:rPr>
                <w:spacing w:val="6"/>
                <w:sz w:val="14"/>
              </w:rPr>
              <w:t> </w:t>
            </w:r>
            <w:r>
              <w:rPr>
                <w:sz w:val="14"/>
              </w:rPr>
              <w:t>income</w:t>
            </w:r>
            <w:r>
              <w:rPr>
                <w:spacing w:val="6"/>
                <w:sz w:val="14"/>
              </w:rPr>
              <w:t> </w:t>
            </w:r>
            <w:r>
              <w:rPr>
                <w:spacing w:val="-2"/>
                <w:sz w:val="14"/>
              </w:rPr>
              <w:t>(loss)</w:t>
            </w:r>
          </w:p>
        </w:tc>
        <w:tc>
          <w:tcPr>
            <w:tcW w:w="347" w:type="dxa"/>
          </w:tcPr>
          <w:p>
            <w:pPr>
              <w:pStyle w:val="TableParagraph"/>
              <w:spacing w:before="17"/>
              <w:ind w:left="13"/>
              <w:rPr>
                <w:sz w:val="14"/>
              </w:rPr>
            </w:pPr>
            <w:r>
              <w:rPr>
                <w:spacing w:val="-10"/>
                <w:sz w:val="14"/>
              </w:rPr>
              <w:t>$</w:t>
            </w:r>
          </w:p>
        </w:tc>
        <w:tc>
          <w:tcPr>
            <w:tcW w:w="557" w:type="dxa"/>
          </w:tcPr>
          <w:p>
            <w:pPr>
              <w:pStyle w:val="TableParagraph"/>
              <w:spacing w:before="0"/>
              <w:rPr>
                <w:sz w:val="14"/>
              </w:rPr>
            </w:pPr>
          </w:p>
        </w:tc>
        <w:tc>
          <w:tcPr>
            <w:tcW w:w="568" w:type="dxa"/>
          </w:tcPr>
          <w:p>
            <w:pPr>
              <w:pStyle w:val="TableParagraph"/>
              <w:spacing w:before="17"/>
              <w:ind w:left="42"/>
              <w:rPr>
                <w:sz w:val="14"/>
              </w:rPr>
            </w:pPr>
            <w:r>
              <w:rPr>
                <w:spacing w:val="-2"/>
                <w:sz w:val="14"/>
              </w:rPr>
              <w:t>206,731</w:t>
            </w:r>
          </w:p>
        </w:tc>
        <w:tc>
          <w:tcPr>
            <w:tcW w:w="1633" w:type="dxa"/>
          </w:tcPr>
          <w:p>
            <w:pPr>
              <w:pStyle w:val="TableParagraph"/>
              <w:tabs>
                <w:tab w:pos="825" w:val="left" w:leader="none"/>
              </w:tabs>
              <w:spacing w:before="17"/>
              <w:ind w:right="106"/>
              <w:jc w:val="right"/>
              <w:rPr>
                <w:sz w:val="14"/>
              </w:rPr>
            </w:pPr>
            <w:r>
              <w:rPr>
                <w:spacing w:val="-10"/>
                <w:sz w:val="14"/>
              </w:rPr>
              <w:t>$</w:t>
            </w:r>
            <w:r>
              <w:rPr>
                <w:sz w:val="14"/>
              </w:rPr>
              <w:tab/>
            </w:r>
            <w:r>
              <w:rPr>
                <w:spacing w:val="-2"/>
                <w:sz w:val="14"/>
              </w:rPr>
              <w:t>1,208,389</w:t>
            </w:r>
          </w:p>
        </w:tc>
        <w:tc>
          <w:tcPr>
            <w:tcW w:w="1539" w:type="dxa"/>
          </w:tcPr>
          <w:p>
            <w:pPr>
              <w:pStyle w:val="TableParagraph"/>
              <w:tabs>
                <w:tab w:pos="767" w:val="left" w:leader="none"/>
              </w:tabs>
              <w:spacing w:before="17"/>
              <w:ind w:right="25"/>
              <w:jc w:val="right"/>
              <w:rPr>
                <w:sz w:val="14"/>
              </w:rPr>
            </w:pPr>
            <w:r>
              <w:rPr>
                <w:spacing w:val="-10"/>
                <w:sz w:val="14"/>
              </w:rPr>
              <w:t>$</w:t>
            </w:r>
            <w:r>
              <w:rPr>
                <w:sz w:val="14"/>
              </w:rPr>
              <w:tab/>
            </w:r>
            <w:r>
              <w:rPr>
                <w:spacing w:val="-2"/>
                <w:sz w:val="14"/>
              </w:rPr>
              <w:t>(1,319,907)</w:t>
            </w:r>
          </w:p>
        </w:tc>
      </w:tr>
      <w:tr>
        <w:trPr>
          <w:trHeight w:val="229" w:hRule="atLeast"/>
        </w:trPr>
        <w:tc>
          <w:tcPr>
            <w:tcW w:w="6871" w:type="dxa"/>
            <w:shd w:val="clear" w:color="auto" w:fill="CCEDFF"/>
          </w:tcPr>
          <w:p>
            <w:pPr>
              <w:pStyle w:val="TableParagraph"/>
              <w:spacing w:before="31"/>
              <w:ind w:left="217"/>
              <w:rPr>
                <w:sz w:val="14"/>
              </w:rPr>
            </w:pPr>
            <w:r>
              <w:rPr>
                <w:sz w:val="14"/>
              </w:rPr>
              <w:t>Adjustments</w:t>
            </w:r>
            <w:r>
              <w:rPr>
                <w:spacing w:val="6"/>
                <w:sz w:val="14"/>
              </w:rPr>
              <w:t> </w:t>
            </w:r>
            <w:r>
              <w:rPr>
                <w:sz w:val="14"/>
              </w:rPr>
              <w:t>to</w:t>
            </w:r>
            <w:r>
              <w:rPr>
                <w:spacing w:val="6"/>
                <w:sz w:val="14"/>
              </w:rPr>
              <w:t> </w:t>
            </w:r>
            <w:r>
              <w:rPr>
                <w:sz w:val="14"/>
              </w:rPr>
              <w:t>reconcile</w:t>
            </w:r>
            <w:r>
              <w:rPr>
                <w:spacing w:val="6"/>
                <w:sz w:val="14"/>
              </w:rPr>
              <w:t> </w:t>
            </w:r>
            <w:r>
              <w:rPr>
                <w:sz w:val="14"/>
              </w:rPr>
              <w:t>net</w:t>
            </w:r>
            <w:r>
              <w:rPr>
                <w:spacing w:val="7"/>
                <w:sz w:val="14"/>
              </w:rPr>
              <w:t> </w:t>
            </w:r>
            <w:r>
              <w:rPr>
                <w:sz w:val="14"/>
              </w:rPr>
              <w:t>income</w:t>
            </w:r>
            <w:r>
              <w:rPr>
                <w:spacing w:val="6"/>
                <w:sz w:val="14"/>
              </w:rPr>
              <w:t> </w:t>
            </w:r>
            <w:r>
              <w:rPr>
                <w:sz w:val="14"/>
              </w:rPr>
              <w:t>(loss)</w:t>
            </w:r>
            <w:r>
              <w:rPr>
                <w:spacing w:val="6"/>
                <w:sz w:val="14"/>
              </w:rPr>
              <w:t> </w:t>
            </w:r>
            <w:r>
              <w:rPr>
                <w:sz w:val="14"/>
              </w:rPr>
              <w:t>to</w:t>
            </w:r>
            <w:r>
              <w:rPr>
                <w:spacing w:val="6"/>
                <w:sz w:val="14"/>
              </w:rPr>
              <w:t> </w:t>
            </w:r>
            <w:r>
              <w:rPr>
                <w:sz w:val="14"/>
              </w:rPr>
              <w:t>net</w:t>
            </w:r>
            <w:r>
              <w:rPr>
                <w:spacing w:val="7"/>
                <w:sz w:val="14"/>
              </w:rPr>
              <w:t> </w:t>
            </w:r>
            <w:r>
              <w:rPr>
                <w:sz w:val="14"/>
              </w:rPr>
              <w:t>cash</w:t>
            </w:r>
            <w:r>
              <w:rPr>
                <w:spacing w:val="6"/>
                <w:sz w:val="14"/>
              </w:rPr>
              <w:t> </w:t>
            </w:r>
            <w:r>
              <w:rPr>
                <w:sz w:val="14"/>
              </w:rPr>
              <w:t>provided</w:t>
            </w:r>
            <w:r>
              <w:rPr>
                <w:spacing w:val="6"/>
                <w:sz w:val="14"/>
              </w:rPr>
              <w:t> </w:t>
            </w:r>
            <w:r>
              <w:rPr>
                <w:sz w:val="14"/>
              </w:rPr>
              <w:t>by</w:t>
            </w:r>
            <w:r>
              <w:rPr>
                <w:spacing w:val="6"/>
                <w:sz w:val="14"/>
              </w:rPr>
              <w:t> </w:t>
            </w:r>
            <w:r>
              <w:rPr>
                <w:sz w:val="14"/>
              </w:rPr>
              <w:t>(used</w:t>
            </w:r>
            <w:r>
              <w:rPr>
                <w:spacing w:val="7"/>
                <w:sz w:val="14"/>
              </w:rPr>
              <w:t> </w:t>
            </w:r>
            <w:r>
              <w:rPr>
                <w:sz w:val="14"/>
              </w:rPr>
              <w:t>in)</w:t>
            </w:r>
            <w:r>
              <w:rPr>
                <w:spacing w:val="6"/>
                <w:sz w:val="14"/>
              </w:rPr>
              <w:t> </w:t>
            </w:r>
            <w:r>
              <w:rPr>
                <w:sz w:val="14"/>
              </w:rPr>
              <w:t>operating</w:t>
            </w:r>
            <w:r>
              <w:rPr>
                <w:spacing w:val="6"/>
                <w:sz w:val="14"/>
              </w:rPr>
              <w:t> </w:t>
            </w:r>
            <w:r>
              <w:rPr>
                <w:spacing w:val="-2"/>
                <w:sz w:val="14"/>
              </w:rPr>
              <w:t>activities:</w:t>
            </w:r>
          </w:p>
        </w:tc>
        <w:tc>
          <w:tcPr>
            <w:tcW w:w="347" w:type="dxa"/>
            <w:shd w:val="clear" w:color="auto" w:fill="CCEDFF"/>
          </w:tcPr>
          <w:p>
            <w:pPr>
              <w:pStyle w:val="TableParagraph"/>
              <w:spacing w:before="0"/>
              <w:rPr>
                <w:sz w:val="14"/>
              </w:rPr>
            </w:pPr>
          </w:p>
        </w:tc>
        <w:tc>
          <w:tcPr>
            <w:tcW w:w="557" w:type="dxa"/>
            <w:shd w:val="clear" w:color="auto" w:fill="CCEDFF"/>
          </w:tcPr>
          <w:p>
            <w:pPr>
              <w:pStyle w:val="TableParagraph"/>
              <w:spacing w:before="0"/>
              <w:rPr>
                <w:sz w:val="14"/>
              </w:rPr>
            </w:pPr>
          </w:p>
        </w:tc>
        <w:tc>
          <w:tcPr>
            <w:tcW w:w="568" w:type="dxa"/>
            <w:shd w:val="clear" w:color="auto" w:fill="CCEDFF"/>
          </w:tcPr>
          <w:p>
            <w:pPr>
              <w:pStyle w:val="TableParagraph"/>
              <w:spacing w:before="0"/>
              <w:rPr>
                <w:sz w:val="14"/>
              </w:rPr>
            </w:pPr>
          </w:p>
        </w:tc>
        <w:tc>
          <w:tcPr>
            <w:tcW w:w="1633" w:type="dxa"/>
            <w:shd w:val="clear" w:color="auto" w:fill="CCEDFF"/>
          </w:tcPr>
          <w:p>
            <w:pPr>
              <w:pStyle w:val="TableParagraph"/>
              <w:spacing w:before="0"/>
              <w:rPr>
                <w:sz w:val="14"/>
              </w:rPr>
            </w:pPr>
          </w:p>
        </w:tc>
        <w:tc>
          <w:tcPr>
            <w:tcW w:w="1539" w:type="dxa"/>
            <w:shd w:val="clear" w:color="auto" w:fill="CCEDFF"/>
          </w:tcPr>
          <w:p>
            <w:pPr>
              <w:pStyle w:val="TableParagraph"/>
              <w:spacing w:before="0"/>
              <w:rPr>
                <w:sz w:val="14"/>
              </w:rPr>
            </w:pPr>
          </w:p>
        </w:tc>
      </w:tr>
      <w:tr>
        <w:trPr>
          <w:trHeight w:val="215" w:hRule="atLeast"/>
        </w:trPr>
        <w:tc>
          <w:tcPr>
            <w:tcW w:w="6871" w:type="dxa"/>
          </w:tcPr>
          <w:p>
            <w:pPr>
              <w:pStyle w:val="TableParagraph"/>
              <w:spacing w:before="17"/>
              <w:ind w:left="462"/>
              <w:rPr>
                <w:sz w:val="14"/>
              </w:rPr>
            </w:pPr>
            <w:r>
              <w:rPr>
                <w:sz w:val="14"/>
              </w:rPr>
              <w:t>Depreciation</w:t>
            </w:r>
            <w:r>
              <w:rPr>
                <w:spacing w:val="9"/>
                <w:sz w:val="14"/>
              </w:rPr>
              <w:t> </w:t>
            </w:r>
            <w:r>
              <w:rPr>
                <w:sz w:val="14"/>
              </w:rPr>
              <w:t>and</w:t>
            </w:r>
            <w:r>
              <w:rPr>
                <w:spacing w:val="9"/>
                <w:sz w:val="14"/>
              </w:rPr>
              <w:t> </w:t>
            </w:r>
            <w:r>
              <w:rPr>
                <w:spacing w:val="-2"/>
                <w:sz w:val="14"/>
              </w:rPr>
              <w:t>amortization</w:t>
            </w:r>
          </w:p>
        </w:tc>
        <w:tc>
          <w:tcPr>
            <w:tcW w:w="1472" w:type="dxa"/>
            <w:gridSpan w:val="3"/>
          </w:tcPr>
          <w:p>
            <w:pPr>
              <w:pStyle w:val="TableParagraph"/>
              <w:spacing w:before="17"/>
              <w:ind w:left="838"/>
              <w:rPr>
                <w:sz w:val="14"/>
              </w:rPr>
            </w:pPr>
            <w:r>
              <w:rPr>
                <w:spacing w:val="-2"/>
                <w:sz w:val="14"/>
              </w:rPr>
              <w:t>3,482,050</w:t>
            </w:r>
          </w:p>
        </w:tc>
        <w:tc>
          <w:tcPr>
            <w:tcW w:w="1633" w:type="dxa"/>
          </w:tcPr>
          <w:p>
            <w:pPr>
              <w:pStyle w:val="TableParagraph"/>
              <w:spacing w:before="17"/>
              <w:ind w:right="106"/>
              <w:jc w:val="right"/>
              <w:rPr>
                <w:sz w:val="14"/>
              </w:rPr>
            </w:pPr>
            <w:r>
              <w:rPr>
                <w:spacing w:val="-2"/>
                <w:sz w:val="14"/>
              </w:rPr>
              <w:t>1,150,610</w:t>
            </w:r>
          </w:p>
        </w:tc>
        <w:tc>
          <w:tcPr>
            <w:tcW w:w="1539" w:type="dxa"/>
          </w:tcPr>
          <w:p>
            <w:pPr>
              <w:pStyle w:val="TableParagraph"/>
              <w:spacing w:before="17"/>
              <w:ind w:right="61"/>
              <w:jc w:val="right"/>
              <w:rPr>
                <w:sz w:val="14"/>
              </w:rPr>
            </w:pPr>
            <w:r>
              <w:rPr>
                <w:spacing w:val="-2"/>
                <w:sz w:val="14"/>
              </w:rPr>
              <w:t>1,210,556</w:t>
            </w:r>
          </w:p>
        </w:tc>
      </w:tr>
      <w:tr>
        <w:trPr>
          <w:trHeight w:val="215" w:hRule="atLeast"/>
        </w:trPr>
        <w:tc>
          <w:tcPr>
            <w:tcW w:w="6871" w:type="dxa"/>
            <w:shd w:val="clear" w:color="auto" w:fill="CCEDFF"/>
          </w:tcPr>
          <w:p>
            <w:pPr>
              <w:pStyle w:val="TableParagraph"/>
              <w:spacing w:before="17"/>
              <w:ind w:left="462"/>
              <w:rPr>
                <w:sz w:val="14"/>
              </w:rPr>
            </w:pPr>
            <w:r>
              <w:rPr>
                <w:sz w:val="14"/>
              </w:rPr>
              <w:t>Amortization</w:t>
            </w:r>
            <w:r>
              <w:rPr>
                <w:spacing w:val="8"/>
                <w:sz w:val="14"/>
              </w:rPr>
              <w:t> </w:t>
            </w:r>
            <w:r>
              <w:rPr>
                <w:sz w:val="14"/>
              </w:rPr>
              <w:t>of</w:t>
            </w:r>
            <w:r>
              <w:rPr>
                <w:spacing w:val="8"/>
                <w:sz w:val="14"/>
              </w:rPr>
              <w:t> </w:t>
            </w:r>
            <w:r>
              <w:rPr>
                <w:sz w:val="14"/>
              </w:rPr>
              <w:t>debt</w:t>
            </w:r>
            <w:r>
              <w:rPr>
                <w:spacing w:val="8"/>
                <w:sz w:val="14"/>
              </w:rPr>
              <w:t> </w:t>
            </w:r>
            <w:r>
              <w:rPr>
                <w:sz w:val="14"/>
              </w:rPr>
              <w:t>discounts,</w:t>
            </w:r>
            <w:r>
              <w:rPr>
                <w:spacing w:val="9"/>
                <w:sz w:val="14"/>
              </w:rPr>
              <w:t> </w:t>
            </w:r>
            <w:r>
              <w:rPr>
                <w:sz w:val="14"/>
              </w:rPr>
              <w:t>premiums</w:t>
            </w:r>
            <w:r>
              <w:rPr>
                <w:spacing w:val="8"/>
                <w:sz w:val="14"/>
              </w:rPr>
              <w:t> </w:t>
            </w:r>
            <w:r>
              <w:rPr>
                <w:sz w:val="14"/>
              </w:rPr>
              <w:t>and</w:t>
            </w:r>
            <w:r>
              <w:rPr>
                <w:spacing w:val="8"/>
                <w:sz w:val="14"/>
              </w:rPr>
              <w:t> </w:t>
            </w:r>
            <w:r>
              <w:rPr>
                <w:sz w:val="14"/>
              </w:rPr>
              <w:t>issuance</w:t>
            </w:r>
            <w:r>
              <w:rPr>
                <w:spacing w:val="9"/>
                <w:sz w:val="14"/>
              </w:rPr>
              <w:t> </w:t>
            </w:r>
            <w:r>
              <w:rPr>
                <w:spacing w:val="-2"/>
                <w:sz w:val="14"/>
              </w:rPr>
              <w:t>costs</w:t>
            </w:r>
          </w:p>
        </w:tc>
        <w:tc>
          <w:tcPr>
            <w:tcW w:w="1472" w:type="dxa"/>
            <w:gridSpan w:val="3"/>
            <w:shd w:val="clear" w:color="auto" w:fill="CCEDFF"/>
          </w:tcPr>
          <w:p>
            <w:pPr>
              <w:pStyle w:val="TableParagraph"/>
              <w:spacing w:before="17"/>
              <w:ind w:right="55"/>
              <w:jc w:val="right"/>
              <w:rPr>
                <w:sz w:val="14"/>
              </w:rPr>
            </w:pPr>
            <w:r>
              <w:rPr>
                <w:spacing w:val="-2"/>
                <w:sz w:val="14"/>
              </w:rPr>
              <w:t>32,769</w:t>
            </w:r>
          </w:p>
        </w:tc>
        <w:tc>
          <w:tcPr>
            <w:tcW w:w="1633" w:type="dxa"/>
            <w:shd w:val="clear" w:color="auto" w:fill="CCEDFF"/>
          </w:tcPr>
          <w:p>
            <w:pPr>
              <w:pStyle w:val="TableParagraph"/>
              <w:spacing w:before="17"/>
              <w:ind w:right="106"/>
              <w:jc w:val="right"/>
              <w:rPr>
                <w:sz w:val="14"/>
              </w:rPr>
            </w:pPr>
            <w:r>
              <w:rPr>
                <w:spacing w:val="-2"/>
                <w:sz w:val="14"/>
              </w:rPr>
              <w:t>40,328</w:t>
            </w:r>
          </w:p>
        </w:tc>
        <w:tc>
          <w:tcPr>
            <w:tcW w:w="1539" w:type="dxa"/>
            <w:shd w:val="clear" w:color="auto" w:fill="CCEDFF"/>
          </w:tcPr>
          <w:p>
            <w:pPr>
              <w:pStyle w:val="TableParagraph"/>
              <w:spacing w:before="17"/>
              <w:ind w:right="61"/>
              <w:jc w:val="right"/>
              <w:rPr>
                <w:sz w:val="14"/>
              </w:rPr>
            </w:pPr>
            <w:r>
              <w:rPr>
                <w:spacing w:val="-2"/>
                <w:sz w:val="14"/>
              </w:rPr>
              <w:t>34,363</w:t>
            </w:r>
          </w:p>
        </w:tc>
      </w:tr>
      <w:tr>
        <w:trPr>
          <w:trHeight w:val="215" w:hRule="atLeast"/>
        </w:trPr>
        <w:tc>
          <w:tcPr>
            <w:tcW w:w="6871" w:type="dxa"/>
          </w:tcPr>
          <w:p>
            <w:pPr>
              <w:pStyle w:val="TableParagraph"/>
              <w:spacing w:before="17"/>
              <w:ind w:left="462"/>
              <w:rPr>
                <w:sz w:val="14"/>
              </w:rPr>
            </w:pPr>
            <w:r>
              <w:rPr>
                <w:sz w:val="14"/>
              </w:rPr>
              <w:t>Loss</w:t>
            </w:r>
            <w:r>
              <w:rPr>
                <w:spacing w:val="5"/>
                <w:sz w:val="14"/>
              </w:rPr>
              <w:t> </w:t>
            </w:r>
            <w:r>
              <w:rPr>
                <w:sz w:val="14"/>
              </w:rPr>
              <w:t>on</w:t>
            </w:r>
            <w:r>
              <w:rPr>
                <w:spacing w:val="6"/>
                <w:sz w:val="14"/>
              </w:rPr>
              <w:t> </w:t>
            </w:r>
            <w:r>
              <w:rPr>
                <w:sz w:val="14"/>
              </w:rPr>
              <w:t>early</w:t>
            </w:r>
            <w:r>
              <w:rPr>
                <w:spacing w:val="5"/>
                <w:sz w:val="14"/>
              </w:rPr>
              <w:t> </w:t>
            </w:r>
            <w:r>
              <w:rPr>
                <w:sz w:val="14"/>
              </w:rPr>
              <w:t>retirement</w:t>
            </w:r>
            <w:r>
              <w:rPr>
                <w:spacing w:val="6"/>
                <w:sz w:val="14"/>
              </w:rPr>
              <w:t> </w:t>
            </w:r>
            <w:r>
              <w:rPr>
                <w:sz w:val="14"/>
              </w:rPr>
              <w:t>of</w:t>
            </w:r>
            <w:r>
              <w:rPr>
                <w:spacing w:val="5"/>
                <w:sz w:val="14"/>
              </w:rPr>
              <w:t> </w:t>
            </w:r>
            <w:r>
              <w:rPr>
                <w:spacing w:val="-4"/>
                <w:sz w:val="14"/>
              </w:rPr>
              <w:t>debt</w:t>
            </w:r>
          </w:p>
        </w:tc>
        <w:tc>
          <w:tcPr>
            <w:tcW w:w="1472" w:type="dxa"/>
            <w:gridSpan w:val="3"/>
          </w:tcPr>
          <w:p>
            <w:pPr>
              <w:pStyle w:val="TableParagraph"/>
              <w:spacing w:before="17"/>
              <w:ind w:right="55"/>
              <w:jc w:val="right"/>
              <w:rPr>
                <w:sz w:val="14"/>
              </w:rPr>
            </w:pPr>
            <w:r>
              <w:rPr>
                <w:spacing w:val="-10"/>
                <w:sz w:val="14"/>
              </w:rPr>
              <w:t>—</w:t>
            </w:r>
          </w:p>
        </w:tc>
        <w:tc>
          <w:tcPr>
            <w:tcW w:w="1633" w:type="dxa"/>
          </w:tcPr>
          <w:p>
            <w:pPr>
              <w:pStyle w:val="TableParagraph"/>
              <w:spacing w:before="17"/>
              <w:ind w:right="106"/>
              <w:jc w:val="right"/>
              <w:rPr>
                <w:sz w:val="14"/>
              </w:rPr>
            </w:pPr>
            <w:r>
              <w:rPr>
                <w:spacing w:val="-5"/>
                <w:sz w:val="14"/>
              </w:rPr>
              <w:t>37</w:t>
            </w:r>
          </w:p>
        </w:tc>
        <w:tc>
          <w:tcPr>
            <w:tcW w:w="1539" w:type="dxa"/>
          </w:tcPr>
          <w:p>
            <w:pPr>
              <w:pStyle w:val="TableParagraph"/>
              <w:spacing w:before="17"/>
              <w:ind w:right="61"/>
              <w:jc w:val="right"/>
              <w:rPr>
                <w:sz w:val="14"/>
              </w:rPr>
            </w:pPr>
            <w:r>
              <w:rPr>
                <w:spacing w:val="-2"/>
                <w:sz w:val="14"/>
              </w:rPr>
              <w:t>126,462</w:t>
            </w:r>
          </w:p>
        </w:tc>
      </w:tr>
      <w:tr>
        <w:trPr>
          <w:trHeight w:val="215" w:hRule="atLeast"/>
        </w:trPr>
        <w:tc>
          <w:tcPr>
            <w:tcW w:w="6871" w:type="dxa"/>
            <w:shd w:val="clear" w:color="auto" w:fill="CCEDFF"/>
          </w:tcPr>
          <w:p>
            <w:pPr>
              <w:pStyle w:val="TableParagraph"/>
              <w:spacing w:before="17"/>
              <w:ind w:left="462"/>
              <w:rPr>
                <w:sz w:val="14"/>
              </w:rPr>
            </w:pPr>
            <w:r>
              <w:rPr>
                <w:sz w:val="14"/>
              </w:rPr>
              <w:t>Provision</w:t>
            </w:r>
            <w:r>
              <w:rPr>
                <w:spacing w:val="6"/>
                <w:sz w:val="14"/>
              </w:rPr>
              <w:t> </w:t>
            </w:r>
            <w:r>
              <w:rPr>
                <w:sz w:val="14"/>
              </w:rPr>
              <w:t>for</w:t>
            </w:r>
            <w:r>
              <w:rPr>
                <w:spacing w:val="7"/>
                <w:sz w:val="14"/>
              </w:rPr>
              <w:t> </w:t>
            </w:r>
            <w:r>
              <w:rPr>
                <w:sz w:val="14"/>
              </w:rPr>
              <w:t>credit</w:t>
            </w:r>
            <w:r>
              <w:rPr>
                <w:spacing w:val="7"/>
                <w:sz w:val="14"/>
              </w:rPr>
              <w:t> </w:t>
            </w:r>
            <w:r>
              <w:rPr>
                <w:spacing w:val="-2"/>
                <w:sz w:val="14"/>
              </w:rPr>
              <w:t>losses</w:t>
            </w:r>
          </w:p>
        </w:tc>
        <w:tc>
          <w:tcPr>
            <w:tcW w:w="1472" w:type="dxa"/>
            <w:gridSpan w:val="3"/>
            <w:shd w:val="clear" w:color="auto" w:fill="CCEDFF"/>
          </w:tcPr>
          <w:p>
            <w:pPr>
              <w:pStyle w:val="TableParagraph"/>
              <w:spacing w:before="17"/>
              <w:ind w:right="55"/>
              <w:jc w:val="right"/>
              <w:rPr>
                <w:sz w:val="14"/>
              </w:rPr>
            </w:pPr>
            <w:r>
              <w:rPr>
                <w:spacing w:val="-2"/>
                <w:sz w:val="14"/>
              </w:rPr>
              <w:t>22,738</w:t>
            </w:r>
          </w:p>
        </w:tc>
        <w:tc>
          <w:tcPr>
            <w:tcW w:w="1633" w:type="dxa"/>
            <w:shd w:val="clear" w:color="auto" w:fill="CCEDFF"/>
          </w:tcPr>
          <w:p>
            <w:pPr>
              <w:pStyle w:val="TableParagraph"/>
              <w:spacing w:before="17"/>
              <w:ind w:right="106"/>
              <w:jc w:val="right"/>
              <w:rPr>
                <w:sz w:val="14"/>
              </w:rPr>
            </w:pPr>
            <w:r>
              <w:rPr>
                <w:spacing w:val="-2"/>
                <w:sz w:val="14"/>
              </w:rPr>
              <w:t>21,852</w:t>
            </w:r>
          </w:p>
        </w:tc>
        <w:tc>
          <w:tcPr>
            <w:tcW w:w="1539" w:type="dxa"/>
            <w:shd w:val="clear" w:color="auto" w:fill="CCEDFF"/>
          </w:tcPr>
          <w:p>
            <w:pPr>
              <w:pStyle w:val="TableParagraph"/>
              <w:spacing w:before="17"/>
              <w:ind w:right="61"/>
              <w:jc w:val="right"/>
              <w:rPr>
                <w:sz w:val="14"/>
              </w:rPr>
            </w:pPr>
            <w:r>
              <w:rPr>
                <w:spacing w:val="-2"/>
                <w:sz w:val="14"/>
              </w:rPr>
              <w:t>71,422</w:t>
            </w:r>
          </w:p>
        </w:tc>
      </w:tr>
      <w:tr>
        <w:trPr>
          <w:trHeight w:val="229" w:hRule="atLeast"/>
        </w:trPr>
        <w:tc>
          <w:tcPr>
            <w:tcW w:w="6871" w:type="dxa"/>
          </w:tcPr>
          <w:p>
            <w:pPr>
              <w:pStyle w:val="TableParagraph"/>
              <w:spacing w:before="17"/>
              <w:ind w:left="462"/>
              <w:rPr>
                <w:sz w:val="14"/>
              </w:rPr>
            </w:pPr>
            <w:r>
              <w:rPr>
                <w:sz w:val="14"/>
              </w:rPr>
              <w:t>Stock-based</w:t>
            </w:r>
            <w:r>
              <w:rPr>
                <w:spacing w:val="13"/>
                <w:sz w:val="14"/>
              </w:rPr>
              <w:t> </w:t>
            </w:r>
            <w:r>
              <w:rPr>
                <w:spacing w:val="-2"/>
                <w:sz w:val="14"/>
              </w:rPr>
              <w:t>compensation</w:t>
            </w:r>
          </w:p>
        </w:tc>
        <w:tc>
          <w:tcPr>
            <w:tcW w:w="1472" w:type="dxa"/>
            <w:gridSpan w:val="3"/>
          </w:tcPr>
          <w:p>
            <w:pPr>
              <w:pStyle w:val="TableParagraph"/>
              <w:spacing w:before="17"/>
              <w:ind w:right="55"/>
              <w:jc w:val="right"/>
              <w:rPr>
                <w:sz w:val="14"/>
              </w:rPr>
            </w:pPr>
            <w:r>
              <w:rPr>
                <w:spacing w:val="-2"/>
                <w:sz w:val="14"/>
              </w:rPr>
              <w:t>71,296</w:t>
            </w:r>
          </w:p>
        </w:tc>
        <w:tc>
          <w:tcPr>
            <w:tcW w:w="1633" w:type="dxa"/>
          </w:tcPr>
          <w:p>
            <w:pPr>
              <w:pStyle w:val="TableParagraph"/>
              <w:spacing w:before="17"/>
              <w:ind w:right="106"/>
              <w:jc w:val="right"/>
              <w:rPr>
                <w:sz w:val="14"/>
              </w:rPr>
            </w:pPr>
            <w:r>
              <w:rPr>
                <w:spacing w:val="-2"/>
                <w:sz w:val="14"/>
              </w:rPr>
              <w:t>65,183</w:t>
            </w:r>
          </w:p>
        </w:tc>
        <w:tc>
          <w:tcPr>
            <w:tcW w:w="1539" w:type="dxa"/>
          </w:tcPr>
          <w:p>
            <w:pPr>
              <w:pStyle w:val="TableParagraph"/>
              <w:spacing w:before="17"/>
              <w:ind w:right="61"/>
              <w:jc w:val="right"/>
              <w:rPr>
                <w:sz w:val="14"/>
              </w:rPr>
            </w:pPr>
            <w:r>
              <w:rPr>
                <w:spacing w:val="-2"/>
                <w:sz w:val="14"/>
              </w:rPr>
              <w:t>106,956</w:t>
            </w:r>
          </w:p>
        </w:tc>
      </w:tr>
      <w:tr>
        <w:trPr>
          <w:trHeight w:val="215" w:hRule="atLeast"/>
        </w:trPr>
        <w:tc>
          <w:tcPr>
            <w:tcW w:w="6871" w:type="dxa"/>
            <w:shd w:val="clear" w:color="auto" w:fill="CCEDFF"/>
          </w:tcPr>
          <w:p>
            <w:pPr>
              <w:pStyle w:val="TableParagraph"/>
              <w:spacing w:before="17"/>
              <w:ind w:left="462"/>
              <w:rPr>
                <w:sz w:val="14"/>
              </w:rPr>
            </w:pPr>
            <w:r>
              <w:rPr>
                <w:sz w:val="14"/>
              </w:rPr>
              <w:t>Property</w:t>
            </w:r>
            <w:r>
              <w:rPr>
                <w:spacing w:val="11"/>
                <w:sz w:val="14"/>
              </w:rPr>
              <w:t> </w:t>
            </w:r>
            <w:r>
              <w:rPr>
                <w:sz w:val="14"/>
              </w:rPr>
              <w:t>transactions,</w:t>
            </w:r>
            <w:r>
              <w:rPr>
                <w:spacing w:val="12"/>
                <w:sz w:val="14"/>
              </w:rPr>
              <w:t> </w:t>
            </w:r>
            <w:r>
              <w:rPr>
                <w:spacing w:val="-5"/>
                <w:sz w:val="14"/>
              </w:rPr>
              <w:t>net</w:t>
            </w:r>
          </w:p>
        </w:tc>
        <w:tc>
          <w:tcPr>
            <w:tcW w:w="1472" w:type="dxa"/>
            <w:gridSpan w:val="3"/>
            <w:shd w:val="clear" w:color="auto" w:fill="CCEDFF"/>
          </w:tcPr>
          <w:p>
            <w:pPr>
              <w:pStyle w:val="TableParagraph"/>
              <w:spacing w:before="17"/>
              <w:ind w:left="778"/>
              <w:rPr>
                <w:sz w:val="14"/>
              </w:rPr>
            </w:pPr>
            <w:r>
              <w:rPr>
                <w:spacing w:val="-2"/>
                <w:sz w:val="14"/>
              </w:rPr>
              <w:t>(1,036,997)</w:t>
            </w:r>
          </w:p>
        </w:tc>
        <w:tc>
          <w:tcPr>
            <w:tcW w:w="1633" w:type="dxa"/>
            <w:shd w:val="clear" w:color="auto" w:fill="CCEDFF"/>
          </w:tcPr>
          <w:p>
            <w:pPr>
              <w:pStyle w:val="TableParagraph"/>
              <w:spacing w:before="17"/>
              <w:ind w:right="70"/>
              <w:jc w:val="right"/>
              <w:rPr>
                <w:sz w:val="14"/>
              </w:rPr>
            </w:pPr>
            <w:r>
              <w:rPr>
                <w:spacing w:val="-2"/>
                <w:sz w:val="14"/>
              </w:rPr>
              <w:t>(67,736)</w:t>
            </w:r>
          </w:p>
        </w:tc>
        <w:tc>
          <w:tcPr>
            <w:tcW w:w="1539" w:type="dxa"/>
            <w:shd w:val="clear" w:color="auto" w:fill="CCEDFF"/>
          </w:tcPr>
          <w:p>
            <w:pPr>
              <w:pStyle w:val="TableParagraph"/>
              <w:spacing w:before="17"/>
              <w:ind w:right="61"/>
              <w:jc w:val="right"/>
              <w:rPr>
                <w:sz w:val="14"/>
              </w:rPr>
            </w:pPr>
            <w:r>
              <w:rPr>
                <w:spacing w:val="-2"/>
                <w:sz w:val="14"/>
              </w:rPr>
              <w:t>93,567</w:t>
            </w:r>
          </w:p>
        </w:tc>
      </w:tr>
      <w:tr>
        <w:trPr>
          <w:trHeight w:val="215" w:hRule="atLeast"/>
        </w:trPr>
        <w:tc>
          <w:tcPr>
            <w:tcW w:w="6871" w:type="dxa"/>
          </w:tcPr>
          <w:p>
            <w:pPr>
              <w:pStyle w:val="TableParagraph"/>
              <w:spacing w:before="17"/>
              <w:ind w:left="462"/>
              <w:rPr>
                <w:sz w:val="14"/>
              </w:rPr>
            </w:pPr>
            <w:r>
              <w:rPr>
                <w:sz w:val="14"/>
              </w:rPr>
              <w:t>Gain</w:t>
            </w:r>
            <w:r>
              <w:rPr>
                <w:spacing w:val="7"/>
                <w:sz w:val="14"/>
              </w:rPr>
              <w:t> </w:t>
            </w:r>
            <w:r>
              <w:rPr>
                <w:sz w:val="14"/>
              </w:rPr>
              <w:t>on</w:t>
            </w:r>
            <w:r>
              <w:rPr>
                <w:spacing w:val="7"/>
                <w:sz w:val="14"/>
              </w:rPr>
              <w:t> </w:t>
            </w:r>
            <w:r>
              <w:rPr>
                <w:sz w:val="14"/>
              </w:rPr>
              <w:t>REIT</w:t>
            </w:r>
            <w:r>
              <w:rPr>
                <w:spacing w:val="5"/>
                <w:sz w:val="14"/>
              </w:rPr>
              <w:t> </w:t>
            </w:r>
            <w:r>
              <w:rPr>
                <w:sz w:val="14"/>
              </w:rPr>
              <w:t>transactions,</w:t>
            </w:r>
            <w:r>
              <w:rPr>
                <w:spacing w:val="7"/>
                <w:sz w:val="14"/>
              </w:rPr>
              <w:t> </w:t>
            </w:r>
            <w:r>
              <w:rPr>
                <w:spacing w:val="-5"/>
                <w:sz w:val="14"/>
              </w:rPr>
              <w:t>net</w:t>
            </w:r>
          </w:p>
        </w:tc>
        <w:tc>
          <w:tcPr>
            <w:tcW w:w="1472" w:type="dxa"/>
            <w:gridSpan w:val="3"/>
          </w:tcPr>
          <w:p>
            <w:pPr>
              <w:pStyle w:val="TableParagraph"/>
              <w:spacing w:before="17"/>
              <w:ind w:left="778"/>
              <w:rPr>
                <w:sz w:val="14"/>
              </w:rPr>
            </w:pPr>
            <w:r>
              <w:rPr>
                <w:spacing w:val="-2"/>
                <w:sz w:val="14"/>
              </w:rPr>
              <w:t>(2,277,747)</w:t>
            </w:r>
          </w:p>
        </w:tc>
        <w:tc>
          <w:tcPr>
            <w:tcW w:w="1633" w:type="dxa"/>
          </w:tcPr>
          <w:p>
            <w:pPr>
              <w:pStyle w:val="TableParagraph"/>
              <w:spacing w:before="17"/>
              <w:ind w:right="106"/>
              <w:jc w:val="right"/>
              <w:rPr>
                <w:sz w:val="14"/>
              </w:rPr>
            </w:pPr>
            <w:r>
              <w:rPr>
                <w:spacing w:val="-10"/>
                <w:sz w:val="14"/>
              </w:rPr>
              <w:t>—</w:t>
            </w:r>
          </w:p>
        </w:tc>
        <w:tc>
          <w:tcPr>
            <w:tcW w:w="1539" w:type="dxa"/>
          </w:tcPr>
          <w:p>
            <w:pPr>
              <w:pStyle w:val="TableParagraph"/>
              <w:spacing w:before="17"/>
              <w:ind w:right="25"/>
              <w:jc w:val="right"/>
              <w:rPr>
                <w:sz w:val="14"/>
              </w:rPr>
            </w:pPr>
            <w:r>
              <w:rPr>
                <w:spacing w:val="-2"/>
                <w:sz w:val="14"/>
              </w:rPr>
              <w:t>(1,491,945)</w:t>
            </w:r>
          </w:p>
        </w:tc>
      </w:tr>
      <w:tr>
        <w:trPr>
          <w:trHeight w:val="215" w:hRule="atLeast"/>
        </w:trPr>
        <w:tc>
          <w:tcPr>
            <w:tcW w:w="6871" w:type="dxa"/>
            <w:shd w:val="clear" w:color="auto" w:fill="CCEDFF"/>
          </w:tcPr>
          <w:p>
            <w:pPr>
              <w:pStyle w:val="TableParagraph"/>
              <w:spacing w:before="17"/>
              <w:ind w:left="462"/>
              <w:rPr>
                <w:sz w:val="14"/>
              </w:rPr>
            </w:pPr>
            <w:r>
              <w:rPr>
                <w:sz w:val="14"/>
              </w:rPr>
              <w:t>Gain</w:t>
            </w:r>
            <w:r>
              <w:rPr>
                <w:spacing w:val="6"/>
                <w:sz w:val="14"/>
              </w:rPr>
              <w:t> </w:t>
            </w:r>
            <w:r>
              <w:rPr>
                <w:sz w:val="14"/>
              </w:rPr>
              <w:t>on</w:t>
            </w:r>
            <w:r>
              <w:rPr>
                <w:spacing w:val="7"/>
                <w:sz w:val="14"/>
              </w:rPr>
              <w:t> </w:t>
            </w:r>
            <w:r>
              <w:rPr>
                <w:sz w:val="14"/>
              </w:rPr>
              <w:t>consolidation</w:t>
            </w:r>
            <w:r>
              <w:rPr>
                <w:spacing w:val="6"/>
                <w:sz w:val="14"/>
              </w:rPr>
              <w:t> </w:t>
            </w:r>
            <w:r>
              <w:rPr>
                <w:sz w:val="14"/>
              </w:rPr>
              <w:t>of</w:t>
            </w:r>
            <w:r>
              <w:rPr>
                <w:spacing w:val="7"/>
                <w:sz w:val="14"/>
              </w:rPr>
              <w:t> </w:t>
            </w:r>
            <w:r>
              <w:rPr>
                <w:sz w:val="14"/>
              </w:rPr>
              <w:t>CityCenter,</w:t>
            </w:r>
            <w:r>
              <w:rPr>
                <w:spacing w:val="6"/>
                <w:sz w:val="14"/>
              </w:rPr>
              <w:t> </w:t>
            </w:r>
            <w:r>
              <w:rPr>
                <w:spacing w:val="-5"/>
                <w:sz w:val="14"/>
              </w:rPr>
              <w:t>net</w:t>
            </w:r>
          </w:p>
        </w:tc>
        <w:tc>
          <w:tcPr>
            <w:tcW w:w="1472" w:type="dxa"/>
            <w:gridSpan w:val="3"/>
            <w:shd w:val="clear" w:color="auto" w:fill="CCEDFF"/>
          </w:tcPr>
          <w:p>
            <w:pPr>
              <w:pStyle w:val="TableParagraph"/>
              <w:spacing w:before="17"/>
              <w:ind w:right="55"/>
              <w:jc w:val="right"/>
              <w:rPr>
                <w:sz w:val="14"/>
              </w:rPr>
            </w:pPr>
            <w:r>
              <w:rPr>
                <w:spacing w:val="-10"/>
                <w:sz w:val="14"/>
              </w:rPr>
              <w:t>—</w:t>
            </w:r>
          </w:p>
        </w:tc>
        <w:tc>
          <w:tcPr>
            <w:tcW w:w="1633" w:type="dxa"/>
            <w:shd w:val="clear" w:color="auto" w:fill="CCEDFF"/>
          </w:tcPr>
          <w:p>
            <w:pPr>
              <w:pStyle w:val="TableParagraph"/>
              <w:spacing w:before="17"/>
              <w:ind w:right="70"/>
              <w:jc w:val="right"/>
              <w:rPr>
                <w:sz w:val="14"/>
              </w:rPr>
            </w:pPr>
            <w:r>
              <w:rPr>
                <w:spacing w:val="-2"/>
                <w:sz w:val="14"/>
              </w:rPr>
              <w:t>(1,562,329)</w:t>
            </w:r>
          </w:p>
        </w:tc>
        <w:tc>
          <w:tcPr>
            <w:tcW w:w="1539" w:type="dxa"/>
            <w:shd w:val="clear" w:color="auto" w:fill="CCEDFF"/>
          </w:tcPr>
          <w:p>
            <w:pPr>
              <w:pStyle w:val="TableParagraph"/>
              <w:spacing w:before="17"/>
              <w:ind w:right="61"/>
              <w:jc w:val="right"/>
              <w:rPr>
                <w:sz w:val="14"/>
              </w:rPr>
            </w:pPr>
            <w:r>
              <w:rPr>
                <w:spacing w:val="-10"/>
                <w:sz w:val="14"/>
              </w:rPr>
              <w:t>—</w:t>
            </w:r>
          </w:p>
        </w:tc>
      </w:tr>
      <w:tr>
        <w:trPr>
          <w:trHeight w:val="215" w:hRule="atLeast"/>
        </w:trPr>
        <w:tc>
          <w:tcPr>
            <w:tcW w:w="6871" w:type="dxa"/>
          </w:tcPr>
          <w:p>
            <w:pPr>
              <w:pStyle w:val="TableParagraph"/>
              <w:spacing w:before="17"/>
              <w:ind w:left="462"/>
              <w:rPr>
                <w:sz w:val="14"/>
              </w:rPr>
            </w:pPr>
            <w:r>
              <w:rPr>
                <w:sz w:val="14"/>
              </w:rPr>
              <w:t>Noncash</w:t>
            </w:r>
            <w:r>
              <w:rPr>
                <w:spacing w:val="7"/>
                <w:sz w:val="14"/>
              </w:rPr>
              <w:t> </w:t>
            </w:r>
            <w:r>
              <w:rPr>
                <w:sz w:val="14"/>
              </w:rPr>
              <w:t>lease</w:t>
            </w:r>
            <w:r>
              <w:rPr>
                <w:spacing w:val="8"/>
                <w:sz w:val="14"/>
              </w:rPr>
              <w:t> </w:t>
            </w:r>
            <w:r>
              <w:rPr>
                <w:spacing w:val="-2"/>
                <w:sz w:val="14"/>
              </w:rPr>
              <w:t>expense</w:t>
            </w:r>
          </w:p>
        </w:tc>
        <w:tc>
          <w:tcPr>
            <w:tcW w:w="1472" w:type="dxa"/>
            <w:gridSpan w:val="3"/>
          </w:tcPr>
          <w:p>
            <w:pPr>
              <w:pStyle w:val="TableParagraph"/>
              <w:spacing w:before="17"/>
              <w:ind w:left="946"/>
              <w:rPr>
                <w:sz w:val="14"/>
              </w:rPr>
            </w:pPr>
            <w:r>
              <w:rPr>
                <w:spacing w:val="-2"/>
                <w:sz w:val="14"/>
              </w:rPr>
              <w:t>437,603</w:t>
            </w:r>
          </w:p>
        </w:tc>
        <w:tc>
          <w:tcPr>
            <w:tcW w:w="1633" w:type="dxa"/>
          </w:tcPr>
          <w:p>
            <w:pPr>
              <w:pStyle w:val="TableParagraph"/>
              <w:spacing w:before="17"/>
              <w:ind w:right="106"/>
              <w:jc w:val="right"/>
              <w:rPr>
                <w:sz w:val="14"/>
              </w:rPr>
            </w:pPr>
            <w:r>
              <w:rPr>
                <w:spacing w:val="-2"/>
                <w:sz w:val="14"/>
              </w:rPr>
              <w:t>188,917</w:t>
            </w:r>
          </w:p>
        </w:tc>
        <w:tc>
          <w:tcPr>
            <w:tcW w:w="1539" w:type="dxa"/>
          </w:tcPr>
          <w:p>
            <w:pPr>
              <w:pStyle w:val="TableParagraph"/>
              <w:spacing w:before="17"/>
              <w:ind w:right="61"/>
              <w:jc w:val="right"/>
              <w:rPr>
                <w:sz w:val="14"/>
              </w:rPr>
            </w:pPr>
            <w:r>
              <w:rPr>
                <w:spacing w:val="-2"/>
                <w:sz w:val="14"/>
              </w:rPr>
              <w:t>183,399</w:t>
            </w:r>
          </w:p>
        </w:tc>
      </w:tr>
      <w:tr>
        <w:trPr>
          <w:trHeight w:val="215" w:hRule="atLeast"/>
        </w:trPr>
        <w:tc>
          <w:tcPr>
            <w:tcW w:w="6871" w:type="dxa"/>
            <w:shd w:val="clear" w:color="auto" w:fill="CCEDFF"/>
          </w:tcPr>
          <w:p>
            <w:pPr>
              <w:pStyle w:val="TableParagraph"/>
              <w:spacing w:before="17"/>
              <w:ind w:left="462"/>
              <w:rPr>
                <w:sz w:val="14"/>
              </w:rPr>
            </w:pPr>
            <w:r>
              <w:rPr>
                <w:sz w:val="14"/>
              </w:rPr>
              <w:t>Other</w:t>
            </w:r>
            <w:r>
              <w:rPr>
                <w:spacing w:val="9"/>
                <w:sz w:val="14"/>
              </w:rPr>
              <w:t> </w:t>
            </w:r>
            <w:r>
              <w:rPr>
                <w:sz w:val="14"/>
              </w:rPr>
              <w:t>investment</w:t>
            </w:r>
            <w:r>
              <w:rPr>
                <w:spacing w:val="9"/>
                <w:sz w:val="14"/>
              </w:rPr>
              <w:t> </w:t>
            </w:r>
            <w:r>
              <w:rPr>
                <w:spacing w:val="-2"/>
                <w:sz w:val="14"/>
              </w:rPr>
              <w:t>gains</w:t>
            </w:r>
          </w:p>
        </w:tc>
        <w:tc>
          <w:tcPr>
            <w:tcW w:w="1472" w:type="dxa"/>
            <w:gridSpan w:val="3"/>
            <w:shd w:val="clear" w:color="auto" w:fill="CCEDFF"/>
          </w:tcPr>
          <w:p>
            <w:pPr>
              <w:pStyle w:val="TableParagraph"/>
              <w:spacing w:before="17"/>
              <w:ind w:left="958"/>
              <w:rPr>
                <w:sz w:val="14"/>
              </w:rPr>
            </w:pPr>
            <w:r>
              <w:rPr>
                <w:spacing w:val="-2"/>
                <w:sz w:val="14"/>
              </w:rPr>
              <w:t>(12,430)</w:t>
            </w:r>
          </w:p>
        </w:tc>
        <w:tc>
          <w:tcPr>
            <w:tcW w:w="1633" w:type="dxa"/>
            <w:shd w:val="clear" w:color="auto" w:fill="CCEDFF"/>
          </w:tcPr>
          <w:p>
            <w:pPr>
              <w:pStyle w:val="TableParagraph"/>
              <w:spacing w:before="17"/>
              <w:ind w:right="70"/>
              <w:jc w:val="right"/>
              <w:rPr>
                <w:sz w:val="14"/>
              </w:rPr>
            </w:pPr>
            <w:r>
              <w:rPr>
                <w:spacing w:val="-2"/>
                <w:sz w:val="14"/>
              </w:rPr>
              <w:t>(28,417)</w:t>
            </w:r>
          </w:p>
        </w:tc>
        <w:tc>
          <w:tcPr>
            <w:tcW w:w="1539" w:type="dxa"/>
            <w:shd w:val="clear" w:color="auto" w:fill="CCEDFF"/>
          </w:tcPr>
          <w:p>
            <w:pPr>
              <w:pStyle w:val="TableParagraph"/>
              <w:spacing w:before="17"/>
              <w:ind w:right="61"/>
              <w:jc w:val="right"/>
              <w:rPr>
                <w:sz w:val="14"/>
              </w:rPr>
            </w:pPr>
            <w:r>
              <w:rPr>
                <w:spacing w:val="-10"/>
                <w:sz w:val="14"/>
              </w:rPr>
              <w:t>—</w:t>
            </w:r>
          </w:p>
        </w:tc>
      </w:tr>
      <w:tr>
        <w:trPr>
          <w:trHeight w:val="229" w:hRule="atLeast"/>
        </w:trPr>
        <w:tc>
          <w:tcPr>
            <w:tcW w:w="6871" w:type="dxa"/>
          </w:tcPr>
          <w:p>
            <w:pPr>
              <w:pStyle w:val="TableParagraph"/>
              <w:spacing w:before="17"/>
              <w:ind w:left="462"/>
              <w:rPr>
                <w:sz w:val="14"/>
              </w:rPr>
            </w:pPr>
            <w:r>
              <w:rPr>
                <w:sz w:val="14"/>
              </w:rPr>
              <w:t>Loss</w:t>
            </w:r>
            <w:r>
              <w:rPr>
                <w:spacing w:val="9"/>
                <w:sz w:val="14"/>
              </w:rPr>
              <w:t> </w:t>
            </w:r>
            <w:r>
              <w:rPr>
                <w:sz w:val="14"/>
              </w:rPr>
              <w:t>(income)</w:t>
            </w:r>
            <w:r>
              <w:rPr>
                <w:spacing w:val="9"/>
                <w:sz w:val="14"/>
              </w:rPr>
              <w:t> </w:t>
            </w:r>
            <w:r>
              <w:rPr>
                <w:sz w:val="14"/>
              </w:rPr>
              <w:t>from</w:t>
            </w:r>
            <w:r>
              <w:rPr>
                <w:spacing w:val="10"/>
                <w:sz w:val="14"/>
              </w:rPr>
              <w:t> </w:t>
            </w:r>
            <w:r>
              <w:rPr>
                <w:sz w:val="14"/>
              </w:rPr>
              <w:t>unconsolidated</w:t>
            </w:r>
            <w:r>
              <w:rPr>
                <w:spacing w:val="9"/>
                <w:sz w:val="14"/>
              </w:rPr>
              <w:t> </w:t>
            </w:r>
            <w:r>
              <w:rPr>
                <w:spacing w:val="-2"/>
                <w:sz w:val="14"/>
              </w:rPr>
              <w:t>affiliates</w:t>
            </w:r>
          </w:p>
        </w:tc>
        <w:tc>
          <w:tcPr>
            <w:tcW w:w="1472" w:type="dxa"/>
            <w:gridSpan w:val="3"/>
          </w:tcPr>
          <w:p>
            <w:pPr>
              <w:pStyle w:val="TableParagraph"/>
              <w:spacing w:before="17"/>
              <w:ind w:left="946"/>
              <w:rPr>
                <w:sz w:val="14"/>
              </w:rPr>
            </w:pPr>
            <w:r>
              <w:rPr>
                <w:spacing w:val="-2"/>
                <w:sz w:val="14"/>
              </w:rPr>
              <w:t>183,670</w:t>
            </w:r>
          </w:p>
        </w:tc>
        <w:tc>
          <w:tcPr>
            <w:tcW w:w="1633" w:type="dxa"/>
          </w:tcPr>
          <w:p>
            <w:pPr>
              <w:pStyle w:val="TableParagraph"/>
              <w:spacing w:before="17"/>
              <w:ind w:right="70"/>
              <w:jc w:val="right"/>
              <w:rPr>
                <w:sz w:val="14"/>
              </w:rPr>
            </w:pPr>
            <w:r>
              <w:rPr>
                <w:spacing w:val="-2"/>
                <w:sz w:val="14"/>
              </w:rPr>
              <w:t>(1,580)</w:t>
            </w:r>
          </w:p>
        </w:tc>
        <w:tc>
          <w:tcPr>
            <w:tcW w:w="1539" w:type="dxa"/>
          </w:tcPr>
          <w:p>
            <w:pPr>
              <w:pStyle w:val="TableParagraph"/>
              <w:spacing w:before="17"/>
              <w:ind w:right="61"/>
              <w:jc w:val="right"/>
              <w:rPr>
                <w:sz w:val="14"/>
              </w:rPr>
            </w:pPr>
            <w:r>
              <w:rPr>
                <w:spacing w:val="-2"/>
                <w:sz w:val="14"/>
              </w:rPr>
              <w:t>60,366</w:t>
            </w:r>
          </w:p>
        </w:tc>
      </w:tr>
      <w:tr>
        <w:trPr>
          <w:trHeight w:val="215" w:hRule="atLeast"/>
        </w:trPr>
        <w:tc>
          <w:tcPr>
            <w:tcW w:w="6871" w:type="dxa"/>
            <w:shd w:val="clear" w:color="auto" w:fill="CCEDFF"/>
          </w:tcPr>
          <w:p>
            <w:pPr>
              <w:pStyle w:val="TableParagraph"/>
              <w:spacing w:before="17"/>
              <w:ind w:left="462"/>
              <w:rPr>
                <w:sz w:val="14"/>
              </w:rPr>
            </w:pPr>
            <w:r>
              <w:rPr>
                <w:sz w:val="14"/>
              </w:rPr>
              <w:t>Distributions</w:t>
            </w:r>
            <w:r>
              <w:rPr>
                <w:spacing w:val="12"/>
                <w:sz w:val="14"/>
              </w:rPr>
              <w:t> </w:t>
            </w:r>
            <w:r>
              <w:rPr>
                <w:sz w:val="14"/>
              </w:rPr>
              <w:t>from</w:t>
            </w:r>
            <w:r>
              <w:rPr>
                <w:spacing w:val="12"/>
                <w:sz w:val="14"/>
              </w:rPr>
              <w:t> </w:t>
            </w:r>
            <w:r>
              <w:rPr>
                <w:sz w:val="14"/>
              </w:rPr>
              <w:t>unconsolidated</w:t>
            </w:r>
            <w:r>
              <w:rPr>
                <w:spacing w:val="13"/>
                <w:sz w:val="14"/>
              </w:rPr>
              <w:t> </w:t>
            </w:r>
            <w:r>
              <w:rPr>
                <w:spacing w:val="-2"/>
                <w:sz w:val="14"/>
              </w:rPr>
              <w:t>affiliates</w:t>
            </w:r>
          </w:p>
        </w:tc>
        <w:tc>
          <w:tcPr>
            <w:tcW w:w="1472" w:type="dxa"/>
            <w:gridSpan w:val="3"/>
            <w:shd w:val="clear" w:color="auto" w:fill="CCEDFF"/>
          </w:tcPr>
          <w:p>
            <w:pPr>
              <w:pStyle w:val="TableParagraph"/>
              <w:spacing w:before="17"/>
              <w:ind w:right="55"/>
              <w:jc w:val="right"/>
              <w:rPr>
                <w:sz w:val="14"/>
              </w:rPr>
            </w:pPr>
            <w:r>
              <w:rPr>
                <w:spacing w:val="-2"/>
                <w:sz w:val="14"/>
              </w:rPr>
              <w:t>37,435</w:t>
            </w:r>
          </w:p>
        </w:tc>
        <w:tc>
          <w:tcPr>
            <w:tcW w:w="1633" w:type="dxa"/>
            <w:shd w:val="clear" w:color="auto" w:fill="CCEDFF"/>
          </w:tcPr>
          <w:p>
            <w:pPr>
              <w:pStyle w:val="TableParagraph"/>
              <w:spacing w:before="17"/>
              <w:ind w:right="106"/>
              <w:jc w:val="right"/>
              <w:rPr>
                <w:sz w:val="14"/>
              </w:rPr>
            </w:pPr>
            <w:r>
              <w:rPr>
                <w:spacing w:val="-2"/>
                <w:sz w:val="14"/>
              </w:rPr>
              <w:t>99,370</w:t>
            </w:r>
          </w:p>
        </w:tc>
        <w:tc>
          <w:tcPr>
            <w:tcW w:w="1539" w:type="dxa"/>
            <w:shd w:val="clear" w:color="auto" w:fill="CCEDFF"/>
          </w:tcPr>
          <w:p>
            <w:pPr>
              <w:pStyle w:val="TableParagraph"/>
              <w:spacing w:before="17"/>
              <w:ind w:right="61"/>
              <w:jc w:val="right"/>
              <w:rPr>
                <w:sz w:val="14"/>
              </w:rPr>
            </w:pPr>
            <w:r>
              <w:rPr>
                <w:spacing w:val="-2"/>
                <w:sz w:val="14"/>
              </w:rPr>
              <w:t>86,584</w:t>
            </w:r>
          </w:p>
        </w:tc>
      </w:tr>
      <w:tr>
        <w:trPr>
          <w:trHeight w:val="215" w:hRule="atLeast"/>
        </w:trPr>
        <w:tc>
          <w:tcPr>
            <w:tcW w:w="6871" w:type="dxa"/>
          </w:tcPr>
          <w:p>
            <w:pPr>
              <w:pStyle w:val="TableParagraph"/>
              <w:spacing w:before="17"/>
              <w:ind w:left="462"/>
              <w:rPr>
                <w:sz w:val="14"/>
              </w:rPr>
            </w:pPr>
            <w:r>
              <w:rPr>
                <w:sz w:val="14"/>
              </w:rPr>
              <w:t>Deferred</w:t>
            </w:r>
            <w:r>
              <w:rPr>
                <w:spacing w:val="9"/>
                <w:sz w:val="14"/>
              </w:rPr>
              <w:t> </w:t>
            </w:r>
            <w:r>
              <w:rPr>
                <w:sz w:val="14"/>
              </w:rPr>
              <w:t>income</w:t>
            </w:r>
            <w:r>
              <w:rPr>
                <w:spacing w:val="9"/>
                <w:sz w:val="14"/>
              </w:rPr>
              <w:t> </w:t>
            </w:r>
            <w:r>
              <w:rPr>
                <w:spacing w:val="-4"/>
                <w:sz w:val="14"/>
              </w:rPr>
              <w:t>taxes</w:t>
            </w:r>
          </w:p>
        </w:tc>
        <w:tc>
          <w:tcPr>
            <w:tcW w:w="1472" w:type="dxa"/>
            <w:gridSpan w:val="3"/>
          </w:tcPr>
          <w:p>
            <w:pPr>
              <w:pStyle w:val="TableParagraph"/>
              <w:spacing w:before="17"/>
              <w:ind w:left="946"/>
              <w:rPr>
                <w:sz w:val="14"/>
              </w:rPr>
            </w:pPr>
            <w:r>
              <w:rPr>
                <w:spacing w:val="-2"/>
                <w:sz w:val="14"/>
              </w:rPr>
              <w:t>496,189</w:t>
            </w:r>
          </w:p>
        </w:tc>
        <w:tc>
          <w:tcPr>
            <w:tcW w:w="1633" w:type="dxa"/>
          </w:tcPr>
          <w:p>
            <w:pPr>
              <w:pStyle w:val="TableParagraph"/>
              <w:spacing w:before="17"/>
              <w:ind w:right="106"/>
              <w:jc w:val="right"/>
              <w:rPr>
                <w:sz w:val="14"/>
              </w:rPr>
            </w:pPr>
            <w:r>
              <w:rPr>
                <w:spacing w:val="-2"/>
                <w:sz w:val="14"/>
              </w:rPr>
              <w:t>241,947</w:t>
            </w:r>
          </w:p>
        </w:tc>
        <w:tc>
          <w:tcPr>
            <w:tcW w:w="1539" w:type="dxa"/>
          </w:tcPr>
          <w:p>
            <w:pPr>
              <w:pStyle w:val="TableParagraph"/>
              <w:spacing w:before="17"/>
              <w:ind w:right="61"/>
              <w:jc w:val="right"/>
              <w:rPr>
                <w:sz w:val="14"/>
              </w:rPr>
            </w:pPr>
            <w:r>
              <w:rPr>
                <w:spacing w:val="-2"/>
                <w:sz w:val="14"/>
              </w:rPr>
              <w:t>18,347</w:t>
            </w:r>
          </w:p>
        </w:tc>
      </w:tr>
      <w:tr>
        <w:trPr>
          <w:trHeight w:val="215" w:hRule="atLeast"/>
        </w:trPr>
        <w:tc>
          <w:tcPr>
            <w:tcW w:w="6871" w:type="dxa"/>
            <w:shd w:val="clear" w:color="auto" w:fill="CCEDFF"/>
          </w:tcPr>
          <w:p>
            <w:pPr>
              <w:pStyle w:val="TableParagraph"/>
              <w:spacing w:before="17"/>
              <w:ind w:left="462"/>
              <w:rPr>
                <w:sz w:val="14"/>
              </w:rPr>
            </w:pPr>
            <w:r>
              <w:rPr>
                <w:sz w:val="14"/>
              </w:rPr>
              <w:t>Change</w:t>
            </w:r>
            <w:r>
              <w:rPr>
                <w:spacing w:val="6"/>
                <w:sz w:val="14"/>
              </w:rPr>
              <w:t> </w:t>
            </w:r>
            <w:r>
              <w:rPr>
                <w:sz w:val="14"/>
              </w:rPr>
              <w:t>in</w:t>
            </w:r>
            <w:r>
              <w:rPr>
                <w:spacing w:val="6"/>
                <w:sz w:val="14"/>
              </w:rPr>
              <w:t> </w:t>
            </w:r>
            <w:r>
              <w:rPr>
                <w:sz w:val="14"/>
              </w:rPr>
              <w:t>operating</w:t>
            </w:r>
            <w:r>
              <w:rPr>
                <w:spacing w:val="7"/>
                <w:sz w:val="14"/>
              </w:rPr>
              <w:t> </w:t>
            </w:r>
            <w:r>
              <w:rPr>
                <w:sz w:val="14"/>
              </w:rPr>
              <w:t>assets</w:t>
            </w:r>
            <w:r>
              <w:rPr>
                <w:spacing w:val="6"/>
                <w:sz w:val="14"/>
              </w:rPr>
              <w:t> </w:t>
            </w:r>
            <w:r>
              <w:rPr>
                <w:sz w:val="14"/>
              </w:rPr>
              <w:t>and</w:t>
            </w:r>
            <w:r>
              <w:rPr>
                <w:spacing w:val="6"/>
                <w:sz w:val="14"/>
              </w:rPr>
              <w:t> </w:t>
            </w:r>
            <w:r>
              <w:rPr>
                <w:spacing w:val="-2"/>
                <w:sz w:val="14"/>
              </w:rPr>
              <w:t>liabilities:</w:t>
            </w:r>
          </w:p>
        </w:tc>
        <w:tc>
          <w:tcPr>
            <w:tcW w:w="1472" w:type="dxa"/>
            <w:gridSpan w:val="3"/>
            <w:shd w:val="clear" w:color="auto" w:fill="CCEDFF"/>
          </w:tcPr>
          <w:p>
            <w:pPr>
              <w:pStyle w:val="TableParagraph"/>
              <w:spacing w:before="0"/>
              <w:rPr>
                <w:sz w:val="14"/>
              </w:rPr>
            </w:pPr>
          </w:p>
        </w:tc>
        <w:tc>
          <w:tcPr>
            <w:tcW w:w="1633" w:type="dxa"/>
            <w:shd w:val="clear" w:color="auto" w:fill="CCEDFF"/>
          </w:tcPr>
          <w:p>
            <w:pPr>
              <w:pStyle w:val="TableParagraph"/>
              <w:spacing w:before="0"/>
              <w:rPr>
                <w:sz w:val="14"/>
              </w:rPr>
            </w:pPr>
          </w:p>
        </w:tc>
        <w:tc>
          <w:tcPr>
            <w:tcW w:w="1539" w:type="dxa"/>
            <w:shd w:val="clear" w:color="auto" w:fill="CCEDFF"/>
          </w:tcPr>
          <w:p>
            <w:pPr>
              <w:pStyle w:val="TableParagraph"/>
              <w:spacing w:before="0"/>
              <w:rPr>
                <w:sz w:val="14"/>
              </w:rPr>
            </w:pPr>
          </w:p>
        </w:tc>
      </w:tr>
      <w:tr>
        <w:trPr>
          <w:trHeight w:val="215" w:hRule="atLeast"/>
        </w:trPr>
        <w:tc>
          <w:tcPr>
            <w:tcW w:w="6871" w:type="dxa"/>
          </w:tcPr>
          <w:p>
            <w:pPr>
              <w:pStyle w:val="TableParagraph"/>
              <w:spacing w:before="17"/>
              <w:ind w:left="709"/>
              <w:rPr>
                <w:sz w:val="14"/>
              </w:rPr>
            </w:pPr>
            <w:r>
              <w:rPr>
                <w:sz w:val="14"/>
              </w:rPr>
              <w:t>Accounts</w:t>
            </w:r>
            <w:r>
              <w:rPr>
                <w:spacing w:val="10"/>
                <w:sz w:val="14"/>
              </w:rPr>
              <w:t> </w:t>
            </w:r>
            <w:r>
              <w:rPr>
                <w:spacing w:val="-2"/>
                <w:sz w:val="14"/>
              </w:rPr>
              <w:t>receivable</w:t>
            </w:r>
          </w:p>
        </w:tc>
        <w:tc>
          <w:tcPr>
            <w:tcW w:w="1472" w:type="dxa"/>
            <w:gridSpan w:val="3"/>
          </w:tcPr>
          <w:p>
            <w:pPr>
              <w:pStyle w:val="TableParagraph"/>
              <w:spacing w:before="17"/>
              <w:ind w:left="891"/>
              <w:rPr>
                <w:sz w:val="14"/>
              </w:rPr>
            </w:pPr>
            <w:r>
              <w:rPr>
                <w:spacing w:val="-2"/>
                <w:sz w:val="14"/>
              </w:rPr>
              <w:t>(211,687)</w:t>
            </w:r>
          </w:p>
        </w:tc>
        <w:tc>
          <w:tcPr>
            <w:tcW w:w="1633" w:type="dxa"/>
          </w:tcPr>
          <w:p>
            <w:pPr>
              <w:pStyle w:val="TableParagraph"/>
              <w:spacing w:before="17"/>
              <w:ind w:right="70"/>
              <w:jc w:val="right"/>
              <w:rPr>
                <w:sz w:val="14"/>
              </w:rPr>
            </w:pPr>
            <w:r>
              <w:rPr>
                <w:spacing w:val="-2"/>
                <w:sz w:val="14"/>
              </w:rPr>
              <w:t>(236,182)</w:t>
            </w:r>
          </w:p>
        </w:tc>
        <w:tc>
          <w:tcPr>
            <w:tcW w:w="1539" w:type="dxa"/>
          </w:tcPr>
          <w:p>
            <w:pPr>
              <w:pStyle w:val="TableParagraph"/>
              <w:spacing w:before="17"/>
              <w:ind w:right="61"/>
              <w:jc w:val="right"/>
              <w:rPr>
                <w:sz w:val="14"/>
              </w:rPr>
            </w:pPr>
            <w:r>
              <w:rPr>
                <w:spacing w:val="-2"/>
                <w:sz w:val="14"/>
              </w:rPr>
              <w:t>960,099</w:t>
            </w:r>
          </w:p>
        </w:tc>
      </w:tr>
      <w:tr>
        <w:trPr>
          <w:trHeight w:val="215" w:hRule="atLeast"/>
        </w:trPr>
        <w:tc>
          <w:tcPr>
            <w:tcW w:w="6871" w:type="dxa"/>
            <w:shd w:val="clear" w:color="auto" w:fill="CCEDFF"/>
          </w:tcPr>
          <w:p>
            <w:pPr>
              <w:pStyle w:val="TableParagraph"/>
              <w:spacing w:before="17"/>
              <w:ind w:left="709"/>
              <w:rPr>
                <w:sz w:val="14"/>
              </w:rPr>
            </w:pPr>
            <w:r>
              <w:rPr>
                <w:spacing w:val="-2"/>
                <w:sz w:val="14"/>
              </w:rPr>
              <w:t>Inventories</w:t>
            </w:r>
          </w:p>
        </w:tc>
        <w:tc>
          <w:tcPr>
            <w:tcW w:w="1472" w:type="dxa"/>
            <w:gridSpan w:val="3"/>
            <w:shd w:val="clear" w:color="auto" w:fill="CCEDFF"/>
          </w:tcPr>
          <w:p>
            <w:pPr>
              <w:pStyle w:val="TableParagraph"/>
              <w:spacing w:before="17"/>
              <w:ind w:left="958"/>
              <w:rPr>
                <w:sz w:val="14"/>
              </w:rPr>
            </w:pPr>
            <w:r>
              <w:rPr>
                <w:spacing w:val="-2"/>
                <w:sz w:val="14"/>
              </w:rPr>
              <w:t>(26,627)</w:t>
            </w:r>
          </w:p>
        </w:tc>
        <w:tc>
          <w:tcPr>
            <w:tcW w:w="1633" w:type="dxa"/>
            <w:shd w:val="clear" w:color="auto" w:fill="CCEDFF"/>
          </w:tcPr>
          <w:p>
            <w:pPr>
              <w:pStyle w:val="TableParagraph"/>
              <w:spacing w:before="17"/>
              <w:ind w:right="106"/>
              <w:jc w:val="right"/>
              <w:rPr>
                <w:sz w:val="14"/>
              </w:rPr>
            </w:pPr>
            <w:r>
              <w:rPr>
                <w:spacing w:val="-2"/>
                <w:sz w:val="14"/>
              </w:rPr>
              <w:t>3,107</w:t>
            </w:r>
          </w:p>
        </w:tc>
        <w:tc>
          <w:tcPr>
            <w:tcW w:w="1539" w:type="dxa"/>
            <w:shd w:val="clear" w:color="auto" w:fill="CCEDFF"/>
          </w:tcPr>
          <w:p>
            <w:pPr>
              <w:pStyle w:val="TableParagraph"/>
              <w:spacing w:before="17"/>
              <w:ind w:right="61"/>
              <w:jc w:val="right"/>
              <w:rPr>
                <w:sz w:val="14"/>
              </w:rPr>
            </w:pPr>
            <w:r>
              <w:rPr>
                <w:spacing w:val="-2"/>
                <w:sz w:val="14"/>
              </w:rPr>
              <w:t>14,705</w:t>
            </w:r>
          </w:p>
        </w:tc>
      </w:tr>
      <w:tr>
        <w:trPr>
          <w:trHeight w:val="229" w:hRule="atLeast"/>
        </w:trPr>
        <w:tc>
          <w:tcPr>
            <w:tcW w:w="6871" w:type="dxa"/>
          </w:tcPr>
          <w:p>
            <w:pPr>
              <w:pStyle w:val="TableParagraph"/>
              <w:spacing w:before="17"/>
              <w:ind w:left="709"/>
              <w:rPr>
                <w:sz w:val="14"/>
              </w:rPr>
            </w:pPr>
            <w:r>
              <w:rPr>
                <w:sz w:val="14"/>
              </w:rPr>
              <w:t>Income</w:t>
            </w:r>
            <w:r>
              <w:rPr>
                <w:spacing w:val="7"/>
                <w:sz w:val="14"/>
              </w:rPr>
              <w:t> </w:t>
            </w:r>
            <w:r>
              <w:rPr>
                <w:sz w:val="14"/>
              </w:rPr>
              <w:t>taxes</w:t>
            </w:r>
            <w:r>
              <w:rPr>
                <w:spacing w:val="8"/>
                <w:sz w:val="14"/>
              </w:rPr>
              <w:t> </w:t>
            </w:r>
            <w:r>
              <w:rPr>
                <w:sz w:val="14"/>
              </w:rPr>
              <w:t>receivable</w:t>
            </w:r>
            <w:r>
              <w:rPr>
                <w:spacing w:val="8"/>
                <w:sz w:val="14"/>
              </w:rPr>
              <w:t> </w:t>
            </w:r>
            <w:r>
              <w:rPr>
                <w:sz w:val="14"/>
              </w:rPr>
              <w:t>and</w:t>
            </w:r>
            <w:r>
              <w:rPr>
                <w:spacing w:val="8"/>
                <w:sz w:val="14"/>
              </w:rPr>
              <w:t> </w:t>
            </w:r>
            <w:r>
              <w:rPr>
                <w:sz w:val="14"/>
              </w:rPr>
              <w:t>payable,</w:t>
            </w:r>
            <w:r>
              <w:rPr>
                <w:spacing w:val="8"/>
                <w:sz w:val="14"/>
              </w:rPr>
              <w:t> </w:t>
            </w:r>
            <w:r>
              <w:rPr>
                <w:spacing w:val="-5"/>
                <w:sz w:val="14"/>
              </w:rPr>
              <w:t>net</w:t>
            </w:r>
          </w:p>
        </w:tc>
        <w:tc>
          <w:tcPr>
            <w:tcW w:w="1472" w:type="dxa"/>
            <w:gridSpan w:val="3"/>
          </w:tcPr>
          <w:p>
            <w:pPr>
              <w:pStyle w:val="TableParagraph"/>
              <w:spacing w:before="17"/>
              <w:ind w:left="946"/>
              <w:rPr>
                <w:sz w:val="14"/>
              </w:rPr>
            </w:pPr>
            <w:r>
              <w:rPr>
                <w:spacing w:val="-2"/>
                <w:sz w:val="14"/>
              </w:rPr>
              <w:t>197,097</w:t>
            </w:r>
          </w:p>
        </w:tc>
        <w:tc>
          <w:tcPr>
            <w:tcW w:w="1633" w:type="dxa"/>
          </w:tcPr>
          <w:p>
            <w:pPr>
              <w:pStyle w:val="TableParagraph"/>
              <w:spacing w:before="17"/>
              <w:ind w:right="70"/>
              <w:jc w:val="right"/>
              <w:rPr>
                <w:sz w:val="14"/>
              </w:rPr>
            </w:pPr>
            <w:r>
              <w:rPr>
                <w:spacing w:val="-2"/>
                <w:sz w:val="14"/>
              </w:rPr>
              <w:t>(30,444)</w:t>
            </w:r>
          </w:p>
        </w:tc>
        <w:tc>
          <w:tcPr>
            <w:tcW w:w="1539" w:type="dxa"/>
          </w:tcPr>
          <w:p>
            <w:pPr>
              <w:pStyle w:val="TableParagraph"/>
              <w:spacing w:before="17"/>
              <w:ind w:right="25"/>
              <w:jc w:val="right"/>
              <w:rPr>
                <w:sz w:val="14"/>
              </w:rPr>
            </w:pPr>
            <w:r>
              <w:rPr>
                <w:spacing w:val="-2"/>
                <w:sz w:val="14"/>
              </w:rPr>
              <w:t>(216,250)</w:t>
            </w:r>
          </w:p>
        </w:tc>
      </w:tr>
      <w:tr>
        <w:trPr>
          <w:trHeight w:val="215" w:hRule="atLeast"/>
        </w:trPr>
        <w:tc>
          <w:tcPr>
            <w:tcW w:w="6871" w:type="dxa"/>
            <w:shd w:val="clear" w:color="auto" w:fill="CCEDFF"/>
          </w:tcPr>
          <w:p>
            <w:pPr>
              <w:pStyle w:val="TableParagraph"/>
              <w:spacing w:before="17"/>
              <w:ind w:left="709"/>
              <w:rPr>
                <w:sz w:val="14"/>
              </w:rPr>
            </w:pPr>
            <w:r>
              <w:rPr>
                <w:sz w:val="14"/>
              </w:rPr>
              <w:t>Prepaid</w:t>
            </w:r>
            <w:r>
              <w:rPr>
                <w:spacing w:val="7"/>
                <w:sz w:val="14"/>
              </w:rPr>
              <w:t> </w:t>
            </w:r>
            <w:r>
              <w:rPr>
                <w:sz w:val="14"/>
              </w:rPr>
              <w:t>expenses</w:t>
            </w:r>
            <w:r>
              <w:rPr>
                <w:spacing w:val="8"/>
                <w:sz w:val="14"/>
              </w:rPr>
              <w:t> </w:t>
            </w:r>
            <w:r>
              <w:rPr>
                <w:sz w:val="14"/>
              </w:rPr>
              <w:t>and</w:t>
            </w:r>
            <w:r>
              <w:rPr>
                <w:spacing w:val="7"/>
                <w:sz w:val="14"/>
              </w:rPr>
              <w:t> </w:t>
            </w:r>
            <w:r>
              <w:rPr>
                <w:spacing w:val="-2"/>
                <w:sz w:val="14"/>
              </w:rPr>
              <w:t>other</w:t>
            </w:r>
          </w:p>
        </w:tc>
        <w:tc>
          <w:tcPr>
            <w:tcW w:w="1472" w:type="dxa"/>
            <w:gridSpan w:val="3"/>
            <w:shd w:val="clear" w:color="auto" w:fill="CCEDFF"/>
          </w:tcPr>
          <w:p>
            <w:pPr>
              <w:pStyle w:val="TableParagraph"/>
              <w:spacing w:before="17"/>
              <w:ind w:left="958"/>
              <w:rPr>
                <w:sz w:val="14"/>
              </w:rPr>
            </w:pPr>
            <w:r>
              <w:rPr>
                <w:spacing w:val="-2"/>
                <w:sz w:val="14"/>
              </w:rPr>
              <w:t>(14,424)</w:t>
            </w:r>
          </w:p>
        </w:tc>
        <w:tc>
          <w:tcPr>
            <w:tcW w:w="1633" w:type="dxa"/>
            <w:shd w:val="clear" w:color="auto" w:fill="CCEDFF"/>
          </w:tcPr>
          <w:p>
            <w:pPr>
              <w:pStyle w:val="TableParagraph"/>
              <w:spacing w:before="17"/>
              <w:ind w:right="70"/>
              <w:jc w:val="right"/>
              <w:rPr>
                <w:sz w:val="14"/>
              </w:rPr>
            </w:pPr>
            <w:r>
              <w:rPr>
                <w:spacing w:val="-2"/>
                <w:sz w:val="14"/>
              </w:rPr>
              <w:t>(36,608)</w:t>
            </w:r>
          </w:p>
        </w:tc>
        <w:tc>
          <w:tcPr>
            <w:tcW w:w="1539" w:type="dxa"/>
            <w:shd w:val="clear" w:color="auto" w:fill="CCEDFF"/>
          </w:tcPr>
          <w:p>
            <w:pPr>
              <w:pStyle w:val="TableParagraph"/>
              <w:spacing w:before="17"/>
              <w:ind w:right="25"/>
              <w:jc w:val="right"/>
              <w:rPr>
                <w:sz w:val="14"/>
              </w:rPr>
            </w:pPr>
            <w:r>
              <w:rPr>
                <w:spacing w:val="-4"/>
                <w:sz w:val="14"/>
              </w:rPr>
              <w:t>(37)</w:t>
            </w:r>
          </w:p>
        </w:tc>
      </w:tr>
      <w:tr>
        <w:trPr>
          <w:trHeight w:val="215" w:hRule="atLeast"/>
        </w:trPr>
        <w:tc>
          <w:tcPr>
            <w:tcW w:w="6871" w:type="dxa"/>
          </w:tcPr>
          <w:p>
            <w:pPr>
              <w:pStyle w:val="TableParagraph"/>
              <w:spacing w:before="17"/>
              <w:ind w:left="709"/>
              <w:rPr>
                <w:sz w:val="14"/>
              </w:rPr>
            </w:pPr>
            <w:r>
              <w:rPr>
                <w:sz w:val="14"/>
              </w:rPr>
              <w:t>Accounts</w:t>
            </w:r>
            <w:r>
              <w:rPr>
                <w:spacing w:val="8"/>
                <w:sz w:val="14"/>
              </w:rPr>
              <w:t> </w:t>
            </w:r>
            <w:r>
              <w:rPr>
                <w:sz w:val="14"/>
              </w:rPr>
              <w:t>payable</w:t>
            </w:r>
            <w:r>
              <w:rPr>
                <w:spacing w:val="8"/>
                <w:sz w:val="14"/>
              </w:rPr>
              <w:t> </w:t>
            </w:r>
            <w:r>
              <w:rPr>
                <w:sz w:val="14"/>
              </w:rPr>
              <w:t>and</w:t>
            </w:r>
            <w:r>
              <w:rPr>
                <w:spacing w:val="8"/>
                <w:sz w:val="14"/>
              </w:rPr>
              <w:t> </w:t>
            </w:r>
            <w:r>
              <w:rPr>
                <w:sz w:val="14"/>
              </w:rPr>
              <w:t>accrued</w:t>
            </w:r>
            <w:r>
              <w:rPr>
                <w:spacing w:val="8"/>
                <w:sz w:val="14"/>
              </w:rPr>
              <w:t> </w:t>
            </w:r>
            <w:r>
              <w:rPr>
                <w:spacing w:val="-2"/>
                <w:sz w:val="14"/>
              </w:rPr>
              <w:t>liabilities</w:t>
            </w:r>
          </w:p>
        </w:tc>
        <w:tc>
          <w:tcPr>
            <w:tcW w:w="1472" w:type="dxa"/>
            <w:gridSpan w:val="3"/>
          </w:tcPr>
          <w:p>
            <w:pPr>
              <w:pStyle w:val="TableParagraph"/>
              <w:spacing w:before="17"/>
              <w:ind w:left="946"/>
              <w:rPr>
                <w:sz w:val="14"/>
              </w:rPr>
            </w:pPr>
            <w:r>
              <w:rPr>
                <w:spacing w:val="-2"/>
                <w:sz w:val="14"/>
              </w:rPr>
              <w:t>183,839</w:t>
            </w:r>
          </w:p>
        </w:tc>
        <w:tc>
          <w:tcPr>
            <w:tcW w:w="1633" w:type="dxa"/>
          </w:tcPr>
          <w:p>
            <w:pPr>
              <w:pStyle w:val="TableParagraph"/>
              <w:spacing w:before="17"/>
              <w:ind w:right="106"/>
              <w:jc w:val="right"/>
              <w:rPr>
                <w:sz w:val="14"/>
              </w:rPr>
            </w:pPr>
            <w:r>
              <w:rPr>
                <w:spacing w:val="-2"/>
                <w:sz w:val="14"/>
              </w:rPr>
              <w:t>442,626</w:t>
            </w:r>
          </w:p>
        </w:tc>
        <w:tc>
          <w:tcPr>
            <w:tcW w:w="1539" w:type="dxa"/>
          </w:tcPr>
          <w:p>
            <w:pPr>
              <w:pStyle w:val="TableParagraph"/>
              <w:spacing w:before="17"/>
              <w:ind w:right="25"/>
              <w:jc w:val="right"/>
              <w:rPr>
                <w:sz w:val="14"/>
              </w:rPr>
            </w:pPr>
            <w:r>
              <w:rPr>
                <w:spacing w:val="-2"/>
                <w:sz w:val="14"/>
              </w:rPr>
              <w:t>(1,382,980)</w:t>
            </w:r>
          </w:p>
        </w:tc>
      </w:tr>
      <w:tr>
        <w:trPr>
          <w:trHeight w:val="215" w:hRule="atLeast"/>
        </w:trPr>
        <w:tc>
          <w:tcPr>
            <w:tcW w:w="6871" w:type="dxa"/>
            <w:shd w:val="clear" w:color="auto" w:fill="CCEDFF"/>
          </w:tcPr>
          <w:p>
            <w:pPr>
              <w:pStyle w:val="TableParagraph"/>
              <w:spacing w:before="17"/>
              <w:ind w:left="462"/>
              <w:rPr>
                <w:sz w:val="14"/>
              </w:rPr>
            </w:pPr>
            <w:r>
              <w:rPr>
                <w:spacing w:val="-4"/>
                <w:sz w:val="14"/>
              </w:rPr>
              <w:t>Other</w:t>
            </w:r>
          </w:p>
        </w:tc>
        <w:tc>
          <w:tcPr>
            <w:tcW w:w="1472" w:type="dxa"/>
            <w:gridSpan w:val="3"/>
            <w:tcBorders>
              <w:bottom w:val="single" w:sz="6" w:space="0" w:color="000000"/>
            </w:tcBorders>
            <w:shd w:val="clear" w:color="auto" w:fill="CCEDFF"/>
          </w:tcPr>
          <w:p>
            <w:pPr>
              <w:pStyle w:val="TableParagraph"/>
              <w:spacing w:before="17"/>
              <w:ind w:left="958"/>
              <w:rPr>
                <w:sz w:val="14"/>
              </w:rPr>
            </w:pPr>
            <w:r>
              <w:rPr>
                <w:spacing w:val="-2"/>
                <w:sz w:val="14"/>
              </w:rPr>
              <w:t>(15,043)</w:t>
            </w:r>
          </w:p>
        </w:tc>
        <w:tc>
          <w:tcPr>
            <w:tcW w:w="1633" w:type="dxa"/>
            <w:tcBorders>
              <w:bottom w:val="single" w:sz="6" w:space="0" w:color="000000"/>
            </w:tcBorders>
            <w:shd w:val="clear" w:color="auto" w:fill="CCEDFF"/>
          </w:tcPr>
          <w:p>
            <w:pPr>
              <w:pStyle w:val="TableParagraph"/>
              <w:spacing w:before="17"/>
              <w:ind w:right="70"/>
              <w:jc w:val="right"/>
              <w:rPr>
                <w:sz w:val="14"/>
              </w:rPr>
            </w:pPr>
            <w:r>
              <w:rPr>
                <w:spacing w:val="-2"/>
                <w:sz w:val="14"/>
              </w:rPr>
              <w:t>(125,647)</w:t>
            </w:r>
          </w:p>
        </w:tc>
        <w:tc>
          <w:tcPr>
            <w:tcW w:w="1539" w:type="dxa"/>
            <w:tcBorders>
              <w:bottom w:val="single" w:sz="6" w:space="0" w:color="000000"/>
            </w:tcBorders>
            <w:shd w:val="clear" w:color="auto" w:fill="CCEDFF"/>
          </w:tcPr>
          <w:p>
            <w:pPr>
              <w:pStyle w:val="TableParagraph"/>
              <w:spacing w:before="17"/>
              <w:ind w:right="25"/>
              <w:jc w:val="right"/>
              <w:rPr>
                <w:sz w:val="14"/>
              </w:rPr>
            </w:pPr>
            <w:r>
              <w:rPr>
                <w:spacing w:val="-2"/>
                <w:sz w:val="14"/>
              </w:rPr>
              <w:t>(48,750)</w:t>
            </w:r>
          </w:p>
        </w:tc>
      </w:tr>
      <w:tr>
        <w:trPr>
          <w:trHeight w:val="214" w:hRule="atLeast"/>
        </w:trPr>
        <w:tc>
          <w:tcPr>
            <w:tcW w:w="6871" w:type="dxa"/>
          </w:tcPr>
          <w:p>
            <w:pPr>
              <w:pStyle w:val="TableParagraph"/>
              <w:spacing w:before="17"/>
              <w:ind w:left="955"/>
              <w:rPr>
                <w:sz w:val="14"/>
              </w:rPr>
            </w:pPr>
            <w:r>
              <w:rPr>
                <w:sz w:val="14"/>
              </w:rPr>
              <w:t>Net</w:t>
            </w:r>
            <w:r>
              <w:rPr>
                <w:spacing w:val="5"/>
                <w:sz w:val="14"/>
              </w:rPr>
              <w:t> </w:t>
            </w:r>
            <w:r>
              <w:rPr>
                <w:sz w:val="14"/>
              </w:rPr>
              <w:t>cash</w:t>
            </w:r>
            <w:r>
              <w:rPr>
                <w:spacing w:val="6"/>
                <w:sz w:val="14"/>
              </w:rPr>
              <w:t> </w:t>
            </w:r>
            <w:r>
              <w:rPr>
                <w:sz w:val="14"/>
              </w:rPr>
              <w:t>provided</w:t>
            </w:r>
            <w:r>
              <w:rPr>
                <w:spacing w:val="6"/>
                <w:sz w:val="14"/>
              </w:rPr>
              <w:t> </w:t>
            </w:r>
            <w:r>
              <w:rPr>
                <w:sz w:val="14"/>
              </w:rPr>
              <w:t>by</w:t>
            </w:r>
            <w:r>
              <w:rPr>
                <w:spacing w:val="6"/>
                <w:sz w:val="14"/>
              </w:rPr>
              <w:t> </w:t>
            </w:r>
            <w:r>
              <w:rPr>
                <w:sz w:val="14"/>
              </w:rPr>
              <w:t>(used</w:t>
            </w:r>
            <w:r>
              <w:rPr>
                <w:spacing w:val="6"/>
                <w:sz w:val="14"/>
              </w:rPr>
              <w:t> </w:t>
            </w:r>
            <w:r>
              <w:rPr>
                <w:sz w:val="14"/>
              </w:rPr>
              <w:t>in)</w:t>
            </w:r>
            <w:r>
              <w:rPr>
                <w:spacing w:val="6"/>
                <w:sz w:val="14"/>
              </w:rPr>
              <w:t> </w:t>
            </w:r>
            <w:r>
              <w:rPr>
                <w:sz w:val="14"/>
              </w:rPr>
              <w:t>operating</w:t>
            </w:r>
            <w:r>
              <w:rPr>
                <w:spacing w:val="6"/>
                <w:sz w:val="14"/>
              </w:rPr>
              <w:t> </w:t>
            </w:r>
            <w:r>
              <w:rPr>
                <w:spacing w:val="-2"/>
                <w:sz w:val="14"/>
              </w:rPr>
              <w:t>activities</w:t>
            </w:r>
          </w:p>
        </w:tc>
        <w:tc>
          <w:tcPr>
            <w:tcW w:w="1472" w:type="dxa"/>
            <w:gridSpan w:val="3"/>
            <w:tcBorders>
              <w:top w:val="single" w:sz="6" w:space="0" w:color="000000"/>
              <w:bottom w:val="single" w:sz="6" w:space="0" w:color="000000"/>
            </w:tcBorders>
          </w:tcPr>
          <w:p>
            <w:pPr>
              <w:pStyle w:val="TableParagraph"/>
              <w:spacing w:before="17"/>
              <w:ind w:left="838"/>
              <w:rPr>
                <w:sz w:val="14"/>
              </w:rPr>
            </w:pPr>
            <w:r>
              <w:rPr>
                <w:spacing w:val="-2"/>
                <w:sz w:val="14"/>
              </w:rPr>
              <w:t>1,756,462</w:t>
            </w:r>
          </w:p>
        </w:tc>
        <w:tc>
          <w:tcPr>
            <w:tcW w:w="1633" w:type="dxa"/>
            <w:tcBorders>
              <w:top w:val="single" w:sz="6" w:space="0" w:color="000000"/>
              <w:bottom w:val="single" w:sz="6" w:space="0" w:color="000000"/>
            </w:tcBorders>
          </w:tcPr>
          <w:p>
            <w:pPr>
              <w:pStyle w:val="TableParagraph"/>
              <w:spacing w:before="17"/>
              <w:ind w:right="106"/>
              <w:jc w:val="right"/>
              <w:rPr>
                <w:sz w:val="14"/>
              </w:rPr>
            </w:pPr>
            <w:r>
              <w:rPr>
                <w:spacing w:val="-2"/>
                <w:sz w:val="14"/>
              </w:rPr>
              <w:t>1,373,423</w:t>
            </w:r>
          </w:p>
        </w:tc>
        <w:tc>
          <w:tcPr>
            <w:tcW w:w="1539" w:type="dxa"/>
            <w:tcBorders>
              <w:top w:val="single" w:sz="6" w:space="0" w:color="000000"/>
              <w:bottom w:val="single" w:sz="6" w:space="0" w:color="000000"/>
            </w:tcBorders>
          </w:tcPr>
          <w:p>
            <w:pPr>
              <w:pStyle w:val="TableParagraph"/>
              <w:spacing w:before="17"/>
              <w:ind w:right="25"/>
              <w:jc w:val="right"/>
              <w:rPr>
                <w:sz w:val="14"/>
              </w:rPr>
            </w:pPr>
            <w:r>
              <w:rPr>
                <w:spacing w:val="-2"/>
                <w:sz w:val="14"/>
              </w:rPr>
              <w:t>(1,493,043)</w:t>
            </w:r>
          </w:p>
        </w:tc>
      </w:tr>
      <w:tr>
        <w:trPr>
          <w:trHeight w:val="215" w:hRule="atLeast"/>
        </w:trPr>
        <w:tc>
          <w:tcPr>
            <w:tcW w:w="6871" w:type="dxa"/>
            <w:shd w:val="clear" w:color="auto" w:fill="CCEDFF"/>
          </w:tcPr>
          <w:p>
            <w:pPr>
              <w:pStyle w:val="TableParagraph"/>
              <w:spacing w:before="17"/>
              <w:ind w:left="17"/>
              <w:rPr>
                <w:b/>
                <w:sz w:val="14"/>
              </w:rPr>
            </w:pPr>
            <w:r>
              <w:rPr>
                <w:b/>
                <w:sz w:val="14"/>
              </w:rPr>
              <w:t>Cash</w:t>
            </w:r>
            <w:r>
              <w:rPr>
                <w:b/>
                <w:spacing w:val="6"/>
                <w:sz w:val="14"/>
              </w:rPr>
              <w:t> </w:t>
            </w:r>
            <w:r>
              <w:rPr>
                <w:b/>
                <w:sz w:val="14"/>
              </w:rPr>
              <w:t>flows</w:t>
            </w:r>
            <w:r>
              <w:rPr>
                <w:b/>
                <w:spacing w:val="6"/>
                <w:sz w:val="14"/>
              </w:rPr>
              <w:t> </w:t>
            </w:r>
            <w:r>
              <w:rPr>
                <w:b/>
                <w:sz w:val="14"/>
              </w:rPr>
              <w:t>from</w:t>
            </w:r>
            <w:r>
              <w:rPr>
                <w:b/>
                <w:spacing w:val="7"/>
                <w:sz w:val="14"/>
              </w:rPr>
              <w:t> </w:t>
            </w:r>
            <w:r>
              <w:rPr>
                <w:b/>
                <w:sz w:val="14"/>
              </w:rPr>
              <w:t>investing</w:t>
            </w:r>
            <w:r>
              <w:rPr>
                <w:b/>
                <w:spacing w:val="6"/>
                <w:sz w:val="14"/>
              </w:rPr>
              <w:t> </w:t>
            </w:r>
            <w:r>
              <w:rPr>
                <w:b/>
                <w:spacing w:val="-2"/>
                <w:sz w:val="14"/>
              </w:rPr>
              <w:t>activities</w:t>
            </w:r>
          </w:p>
        </w:tc>
        <w:tc>
          <w:tcPr>
            <w:tcW w:w="1472" w:type="dxa"/>
            <w:gridSpan w:val="3"/>
            <w:tcBorders>
              <w:top w:val="single" w:sz="6" w:space="0" w:color="000000"/>
            </w:tcBorders>
            <w:shd w:val="clear" w:color="auto" w:fill="CCEDFF"/>
          </w:tcPr>
          <w:p>
            <w:pPr>
              <w:pStyle w:val="TableParagraph"/>
              <w:spacing w:before="0"/>
              <w:rPr>
                <w:sz w:val="14"/>
              </w:rPr>
            </w:pPr>
          </w:p>
        </w:tc>
        <w:tc>
          <w:tcPr>
            <w:tcW w:w="1633" w:type="dxa"/>
            <w:tcBorders>
              <w:top w:val="single" w:sz="6" w:space="0" w:color="000000"/>
            </w:tcBorders>
            <w:shd w:val="clear" w:color="auto" w:fill="CCEDFF"/>
          </w:tcPr>
          <w:p>
            <w:pPr>
              <w:pStyle w:val="TableParagraph"/>
              <w:spacing w:before="0"/>
              <w:rPr>
                <w:sz w:val="14"/>
              </w:rPr>
            </w:pPr>
          </w:p>
        </w:tc>
        <w:tc>
          <w:tcPr>
            <w:tcW w:w="1539" w:type="dxa"/>
            <w:tcBorders>
              <w:top w:val="single" w:sz="6" w:space="0" w:color="000000"/>
            </w:tcBorders>
            <w:shd w:val="clear" w:color="auto" w:fill="CCEDFF"/>
          </w:tcPr>
          <w:p>
            <w:pPr>
              <w:pStyle w:val="TableParagraph"/>
              <w:spacing w:before="0"/>
              <w:rPr>
                <w:sz w:val="14"/>
              </w:rPr>
            </w:pPr>
          </w:p>
        </w:tc>
      </w:tr>
      <w:tr>
        <w:trPr>
          <w:trHeight w:val="215" w:hRule="atLeast"/>
        </w:trPr>
        <w:tc>
          <w:tcPr>
            <w:tcW w:w="6871" w:type="dxa"/>
          </w:tcPr>
          <w:p>
            <w:pPr>
              <w:pStyle w:val="TableParagraph"/>
              <w:spacing w:before="17"/>
              <w:ind w:left="217"/>
              <w:rPr>
                <w:sz w:val="14"/>
              </w:rPr>
            </w:pPr>
            <w:r>
              <w:rPr>
                <w:sz w:val="14"/>
              </w:rPr>
              <w:t>Capital</w:t>
            </w:r>
            <w:r>
              <w:rPr>
                <w:spacing w:val="8"/>
                <w:sz w:val="14"/>
              </w:rPr>
              <w:t> </w:t>
            </w:r>
            <w:r>
              <w:rPr>
                <w:spacing w:val="-2"/>
                <w:sz w:val="14"/>
              </w:rPr>
              <w:t>expenditures</w:t>
            </w:r>
          </w:p>
        </w:tc>
        <w:tc>
          <w:tcPr>
            <w:tcW w:w="1472" w:type="dxa"/>
            <w:gridSpan w:val="3"/>
          </w:tcPr>
          <w:p>
            <w:pPr>
              <w:pStyle w:val="TableParagraph"/>
              <w:spacing w:before="17"/>
              <w:ind w:left="886"/>
              <w:rPr>
                <w:sz w:val="14"/>
              </w:rPr>
            </w:pPr>
            <w:r>
              <w:rPr>
                <w:spacing w:val="-2"/>
                <w:sz w:val="14"/>
              </w:rPr>
              <w:t>(765,067)</w:t>
            </w:r>
          </w:p>
        </w:tc>
        <w:tc>
          <w:tcPr>
            <w:tcW w:w="1633" w:type="dxa"/>
          </w:tcPr>
          <w:p>
            <w:pPr>
              <w:pStyle w:val="TableParagraph"/>
              <w:spacing w:before="17"/>
              <w:ind w:right="70"/>
              <w:jc w:val="right"/>
              <w:rPr>
                <w:sz w:val="14"/>
              </w:rPr>
            </w:pPr>
            <w:r>
              <w:rPr>
                <w:spacing w:val="-2"/>
                <w:sz w:val="14"/>
              </w:rPr>
              <w:t>(490,697)</w:t>
            </w:r>
          </w:p>
        </w:tc>
        <w:tc>
          <w:tcPr>
            <w:tcW w:w="1539" w:type="dxa"/>
          </w:tcPr>
          <w:p>
            <w:pPr>
              <w:pStyle w:val="TableParagraph"/>
              <w:spacing w:before="17"/>
              <w:ind w:right="25"/>
              <w:jc w:val="right"/>
              <w:rPr>
                <w:sz w:val="14"/>
              </w:rPr>
            </w:pPr>
            <w:r>
              <w:rPr>
                <w:spacing w:val="-2"/>
                <w:sz w:val="14"/>
              </w:rPr>
              <w:t>(270,579)</w:t>
            </w:r>
          </w:p>
        </w:tc>
      </w:tr>
      <w:tr>
        <w:trPr>
          <w:trHeight w:val="215" w:hRule="atLeast"/>
        </w:trPr>
        <w:tc>
          <w:tcPr>
            <w:tcW w:w="6871" w:type="dxa"/>
            <w:shd w:val="clear" w:color="auto" w:fill="CCEDFF"/>
          </w:tcPr>
          <w:p>
            <w:pPr>
              <w:pStyle w:val="TableParagraph"/>
              <w:spacing w:before="17"/>
              <w:ind w:left="217"/>
              <w:rPr>
                <w:sz w:val="14"/>
              </w:rPr>
            </w:pPr>
            <w:r>
              <w:rPr>
                <w:sz w:val="14"/>
              </w:rPr>
              <w:t>Dispositions</w:t>
            </w:r>
            <w:r>
              <w:rPr>
                <w:spacing w:val="7"/>
                <w:sz w:val="14"/>
              </w:rPr>
              <w:t> </w:t>
            </w:r>
            <w:r>
              <w:rPr>
                <w:sz w:val="14"/>
              </w:rPr>
              <w:t>of</w:t>
            </w:r>
            <w:r>
              <w:rPr>
                <w:spacing w:val="7"/>
                <w:sz w:val="14"/>
              </w:rPr>
              <w:t> </w:t>
            </w:r>
            <w:r>
              <w:rPr>
                <w:sz w:val="14"/>
              </w:rPr>
              <w:t>property</w:t>
            </w:r>
            <w:r>
              <w:rPr>
                <w:spacing w:val="8"/>
                <w:sz w:val="14"/>
              </w:rPr>
              <w:t> </w:t>
            </w:r>
            <w:r>
              <w:rPr>
                <w:sz w:val="14"/>
              </w:rPr>
              <w:t>and</w:t>
            </w:r>
            <w:r>
              <w:rPr>
                <w:spacing w:val="7"/>
                <w:sz w:val="14"/>
              </w:rPr>
              <w:t> </w:t>
            </w:r>
            <w:r>
              <w:rPr>
                <w:spacing w:val="-2"/>
                <w:sz w:val="14"/>
              </w:rPr>
              <w:t>equipment</w:t>
            </w:r>
          </w:p>
        </w:tc>
        <w:tc>
          <w:tcPr>
            <w:tcW w:w="1472" w:type="dxa"/>
            <w:gridSpan w:val="3"/>
            <w:shd w:val="clear" w:color="auto" w:fill="CCEDFF"/>
          </w:tcPr>
          <w:p>
            <w:pPr>
              <w:pStyle w:val="TableParagraph"/>
              <w:spacing w:before="17"/>
              <w:ind w:left="951"/>
              <w:rPr>
                <w:sz w:val="14"/>
              </w:rPr>
            </w:pPr>
            <w:r>
              <w:rPr>
                <w:spacing w:val="-2"/>
                <w:sz w:val="14"/>
              </w:rPr>
              <w:t>112,019</w:t>
            </w:r>
          </w:p>
        </w:tc>
        <w:tc>
          <w:tcPr>
            <w:tcW w:w="1633" w:type="dxa"/>
            <w:shd w:val="clear" w:color="auto" w:fill="CCEDFF"/>
          </w:tcPr>
          <w:p>
            <w:pPr>
              <w:pStyle w:val="TableParagraph"/>
              <w:spacing w:before="17"/>
              <w:ind w:right="106"/>
              <w:jc w:val="right"/>
              <w:rPr>
                <w:sz w:val="14"/>
              </w:rPr>
            </w:pPr>
            <w:r>
              <w:rPr>
                <w:spacing w:val="-2"/>
                <w:sz w:val="14"/>
              </w:rPr>
              <w:t>106,600</w:t>
            </w:r>
          </w:p>
        </w:tc>
        <w:tc>
          <w:tcPr>
            <w:tcW w:w="1539" w:type="dxa"/>
            <w:shd w:val="clear" w:color="auto" w:fill="CCEDFF"/>
          </w:tcPr>
          <w:p>
            <w:pPr>
              <w:pStyle w:val="TableParagraph"/>
              <w:spacing w:before="17"/>
              <w:ind w:right="61"/>
              <w:jc w:val="right"/>
              <w:rPr>
                <w:sz w:val="14"/>
              </w:rPr>
            </w:pPr>
            <w:r>
              <w:rPr>
                <w:spacing w:val="-2"/>
                <w:sz w:val="14"/>
              </w:rPr>
              <w:t>6,136</w:t>
            </w:r>
          </w:p>
        </w:tc>
      </w:tr>
      <w:tr>
        <w:trPr>
          <w:trHeight w:val="215" w:hRule="atLeast"/>
        </w:trPr>
        <w:tc>
          <w:tcPr>
            <w:tcW w:w="6871" w:type="dxa"/>
          </w:tcPr>
          <w:p>
            <w:pPr>
              <w:pStyle w:val="TableParagraph"/>
              <w:spacing w:before="17"/>
              <w:ind w:left="217"/>
              <w:rPr>
                <w:sz w:val="14"/>
              </w:rPr>
            </w:pPr>
            <w:r>
              <w:rPr>
                <w:sz w:val="14"/>
              </w:rPr>
              <w:t>Proceeds</w:t>
            </w:r>
            <w:r>
              <w:rPr>
                <w:spacing w:val="6"/>
                <w:sz w:val="14"/>
              </w:rPr>
              <w:t> </w:t>
            </w:r>
            <w:r>
              <w:rPr>
                <w:sz w:val="14"/>
              </w:rPr>
              <w:t>from</w:t>
            </w:r>
            <w:r>
              <w:rPr>
                <w:spacing w:val="7"/>
                <w:sz w:val="14"/>
              </w:rPr>
              <w:t> </w:t>
            </w:r>
            <w:r>
              <w:rPr>
                <w:sz w:val="14"/>
              </w:rPr>
              <w:t>sale</w:t>
            </w:r>
            <w:r>
              <w:rPr>
                <w:spacing w:val="6"/>
                <w:sz w:val="14"/>
              </w:rPr>
              <w:t> </w:t>
            </w:r>
            <w:r>
              <w:rPr>
                <w:sz w:val="14"/>
              </w:rPr>
              <w:t>of</w:t>
            </w:r>
            <w:r>
              <w:rPr>
                <w:spacing w:val="7"/>
                <w:sz w:val="14"/>
              </w:rPr>
              <w:t> </w:t>
            </w:r>
            <w:r>
              <w:rPr>
                <w:sz w:val="14"/>
              </w:rPr>
              <w:t>operating</w:t>
            </w:r>
            <w:r>
              <w:rPr>
                <w:spacing w:val="6"/>
                <w:sz w:val="14"/>
              </w:rPr>
              <w:t> </w:t>
            </w:r>
            <w:r>
              <w:rPr>
                <w:spacing w:val="-2"/>
                <w:sz w:val="14"/>
              </w:rPr>
              <w:t>resorts</w:t>
            </w:r>
          </w:p>
        </w:tc>
        <w:tc>
          <w:tcPr>
            <w:tcW w:w="1472" w:type="dxa"/>
            <w:gridSpan w:val="3"/>
          </w:tcPr>
          <w:p>
            <w:pPr>
              <w:pStyle w:val="TableParagraph"/>
              <w:spacing w:before="17"/>
              <w:ind w:left="838"/>
              <w:rPr>
                <w:sz w:val="14"/>
              </w:rPr>
            </w:pPr>
            <w:r>
              <w:rPr>
                <w:spacing w:val="-2"/>
                <w:sz w:val="14"/>
              </w:rPr>
              <w:t>1,054,313</w:t>
            </w:r>
          </w:p>
        </w:tc>
        <w:tc>
          <w:tcPr>
            <w:tcW w:w="1633" w:type="dxa"/>
          </w:tcPr>
          <w:p>
            <w:pPr>
              <w:pStyle w:val="TableParagraph"/>
              <w:spacing w:before="17"/>
              <w:ind w:right="106"/>
              <w:jc w:val="right"/>
              <w:rPr>
                <w:sz w:val="14"/>
              </w:rPr>
            </w:pPr>
            <w:r>
              <w:rPr>
                <w:spacing w:val="-10"/>
                <w:sz w:val="14"/>
              </w:rPr>
              <w:t>—</w:t>
            </w:r>
          </w:p>
        </w:tc>
        <w:tc>
          <w:tcPr>
            <w:tcW w:w="1539" w:type="dxa"/>
          </w:tcPr>
          <w:p>
            <w:pPr>
              <w:pStyle w:val="TableParagraph"/>
              <w:spacing w:before="17"/>
              <w:ind w:right="61"/>
              <w:jc w:val="right"/>
              <w:rPr>
                <w:sz w:val="14"/>
              </w:rPr>
            </w:pPr>
            <w:r>
              <w:rPr>
                <w:spacing w:val="-10"/>
                <w:sz w:val="14"/>
              </w:rPr>
              <w:t>—</w:t>
            </w:r>
          </w:p>
        </w:tc>
      </w:tr>
      <w:tr>
        <w:trPr>
          <w:trHeight w:val="215" w:hRule="atLeast"/>
        </w:trPr>
        <w:tc>
          <w:tcPr>
            <w:tcW w:w="6871" w:type="dxa"/>
            <w:shd w:val="clear" w:color="auto" w:fill="CCEDFF"/>
          </w:tcPr>
          <w:p>
            <w:pPr>
              <w:pStyle w:val="TableParagraph"/>
              <w:spacing w:before="17"/>
              <w:ind w:left="217"/>
              <w:rPr>
                <w:sz w:val="14"/>
              </w:rPr>
            </w:pPr>
            <w:r>
              <w:rPr>
                <w:sz w:val="14"/>
              </w:rPr>
              <w:t>Proceeds</w:t>
            </w:r>
            <w:r>
              <w:rPr>
                <w:spacing w:val="6"/>
                <w:sz w:val="14"/>
              </w:rPr>
              <w:t> </w:t>
            </w:r>
            <w:r>
              <w:rPr>
                <w:sz w:val="14"/>
              </w:rPr>
              <w:t>from</w:t>
            </w:r>
            <w:r>
              <w:rPr>
                <w:spacing w:val="7"/>
                <w:sz w:val="14"/>
              </w:rPr>
              <w:t> </w:t>
            </w:r>
            <w:r>
              <w:rPr>
                <w:sz w:val="14"/>
              </w:rPr>
              <w:t>real</w:t>
            </w:r>
            <w:r>
              <w:rPr>
                <w:spacing w:val="6"/>
                <w:sz w:val="14"/>
              </w:rPr>
              <w:t> </w:t>
            </w:r>
            <w:r>
              <w:rPr>
                <w:sz w:val="14"/>
              </w:rPr>
              <w:t>estate</w:t>
            </w:r>
            <w:r>
              <w:rPr>
                <w:spacing w:val="7"/>
                <w:sz w:val="14"/>
              </w:rPr>
              <w:t> </w:t>
            </w:r>
            <w:r>
              <w:rPr>
                <w:spacing w:val="-2"/>
                <w:sz w:val="14"/>
              </w:rPr>
              <w:t>transactions</w:t>
            </w:r>
          </w:p>
        </w:tc>
        <w:tc>
          <w:tcPr>
            <w:tcW w:w="1472" w:type="dxa"/>
            <w:gridSpan w:val="3"/>
            <w:shd w:val="clear" w:color="auto" w:fill="CCEDFF"/>
          </w:tcPr>
          <w:p>
            <w:pPr>
              <w:pStyle w:val="TableParagraph"/>
              <w:spacing w:before="17"/>
              <w:ind w:left="838"/>
              <w:rPr>
                <w:sz w:val="14"/>
              </w:rPr>
            </w:pPr>
            <w:r>
              <w:rPr>
                <w:spacing w:val="-2"/>
                <w:sz w:val="14"/>
              </w:rPr>
              <w:t>4,373,820</w:t>
            </w:r>
          </w:p>
        </w:tc>
        <w:tc>
          <w:tcPr>
            <w:tcW w:w="1633" w:type="dxa"/>
            <w:shd w:val="clear" w:color="auto" w:fill="CCEDFF"/>
          </w:tcPr>
          <w:p>
            <w:pPr>
              <w:pStyle w:val="TableParagraph"/>
              <w:spacing w:before="17"/>
              <w:ind w:right="106"/>
              <w:jc w:val="right"/>
              <w:rPr>
                <w:sz w:val="14"/>
              </w:rPr>
            </w:pPr>
            <w:r>
              <w:rPr>
                <w:spacing w:val="-2"/>
                <w:sz w:val="14"/>
              </w:rPr>
              <w:t>3,888,431</w:t>
            </w:r>
          </w:p>
        </w:tc>
        <w:tc>
          <w:tcPr>
            <w:tcW w:w="1539" w:type="dxa"/>
            <w:shd w:val="clear" w:color="auto" w:fill="CCEDFF"/>
          </w:tcPr>
          <w:p>
            <w:pPr>
              <w:pStyle w:val="TableParagraph"/>
              <w:spacing w:before="17"/>
              <w:ind w:right="61"/>
              <w:jc w:val="right"/>
              <w:rPr>
                <w:sz w:val="14"/>
              </w:rPr>
            </w:pPr>
            <w:r>
              <w:rPr>
                <w:spacing w:val="-2"/>
                <w:sz w:val="14"/>
              </w:rPr>
              <w:t>2,455,839</w:t>
            </w:r>
          </w:p>
        </w:tc>
      </w:tr>
      <w:tr>
        <w:trPr>
          <w:trHeight w:val="229" w:hRule="atLeast"/>
        </w:trPr>
        <w:tc>
          <w:tcPr>
            <w:tcW w:w="6871" w:type="dxa"/>
          </w:tcPr>
          <w:p>
            <w:pPr>
              <w:pStyle w:val="TableParagraph"/>
              <w:spacing w:before="17"/>
              <w:ind w:left="217"/>
              <w:rPr>
                <w:sz w:val="14"/>
              </w:rPr>
            </w:pPr>
            <w:r>
              <w:rPr>
                <w:sz w:val="14"/>
              </w:rPr>
              <w:t>Acquisitions,</w:t>
            </w:r>
            <w:r>
              <w:rPr>
                <w:spacing w:val="6"/>
                <w:sz w:val="14"/>
              </w:rPr>
              <w:t> </w:t>
            </w:r>
            <w:r>
              <w:rPr>
                <w:sz w:val="14"/>
              </w:rPr>
              <w:t>net</w:t>
            </w:r>
            <w:r>
              <w:rPr>
                <w:spacing w:val="6"/>
                <w:sz w:val="14"/>
              </w:rPr>
              <w:t> </w:t>
            </w:r>
            <w:r>
              <w:rPr>
                <w:sz w:val="14"/>
              </w:rPr>
              <w:t>of</w:t>
            </w:r>
            <w:r>
              <w:rPr>
                <w:spacing w:val="7"/>
                <w:sz w:val="14"/>
              </w:rPr>
              <w:t> </w:t>
            </w:r>
            <w:r>
              <w:rPr>
                <w:sz w:val="14"/>
              </w:rPr>
              <w:t>cash</w:t>
            </w:r>
            <w:r>
              <w:rPr>
                <w:spacing w:val="6"/>
                <w:sz w:val="14"/>
              </w:rPr>
              <w:t> </w:t>
            </w:r>
            <w:r>
              <w:rPr>
                <w:spacing w:val="-2"/>
                <w:sz w:val="14"/>
              </w:rPr>
              <w:t>acquired</w:t>
            </w:r>
          </w:p>
        </w:tc>
        <w:tc>
          <w:tcPr>
            <w:tcW w:w="1472" w:type="dxa"/>
            <w:gridSpan w:val="3"/>
          </w:tcPr>
          <w:p>
            <w:pPr>
              <w:pStyle w:val="TableParagraph"/>
              <w:spacing w:before="17"/>
              <w:ind w:left="783"/>
              <w:rPr>
                <w:sz w:val="14"/>
              </w:rPr>
            </w:pPr>
            <w:r>
              <w:rPr>
                <w:spacing w:val="-2"/>
                <w:sz w:val="14"/>
              </w:rPr>
              <w:t>(1,889,118)</w:t>
            </w:r>
          </w:p>
        </w:tc>
        <w:tc>
          <w:tcPr>
            <w:tcW w:w="1633" w:type="dxa"/>
          </w:tcPr>
          <w:p>
            <w:pPr>
              <w:pStyle w:val="TableParagraph"/>
              <w:spacing w:before="17"/>
              <w:ind w:right="70"/>
              <w:jc w:val="right"/>
              <w:rPr>
                <w:sz w:val="14"/>
              </w:rPr>
            </w:pPr>
            <w:r>
              <w:rPr>
                <w:spacing w:val="-2"/>
                <w:sz w:val="14"/>
              </w:rPr>
              <w:t>(1,789,604)</w:t>
            </w:r>
          </w:p>
        </w:tc>
        <w:tc>
          <w:tcPr>
            <w:tcW w:w="1539" w:type="dxa"/>
          </w:tcPr>
          <w:p>
            <w:pPr>
              <w:pStyle w:val="TableParagraph"/>
              <w:spacing w:before="17"/>
              <w:ind w:right="61"/>
              <w:jc w:val="right"/>
              <w:rPr>
                <w:sz w:val="14"/>
              </w:rPr>
            </w:pPr>
            <w:r>
              <w:rPr>
                <w:spacing w:val="-10"/>
                <w:sz w:val="14"/>
              </w:rPr>
              <w:t>—</w:t>
            </w:r>
          </w:p>
        </w:tc>
      </w:tr>
      <w:tr>
        <w:trPr>
          <w:trHeight w:val="215" w:hRule="atLeast"/>
        </w:trPr>
        <w:tc>
          <w:tcPr>
            <w:tcW w:w="6871" w:type="dxa"/>
            <w:shd w:val="clear" w:color="auto" w:fill="CCEDFF"/>
          </w:tcPr>
          <w:p>
            <w:pPr>
              <w:pStyle w:val="TableParagraph"/>
              <w:spacing w:before="17"/>
              <w:ind w:left="217"/>
              <w:rPr>
                <w:sz w:val="14"/>
              </w:rPr>
            </w:pPr>
            <w:r>
              <w:rPr>
                <w:sz w:val="14"/>
              </w:rPr>
              <w:t>Investments</w:t>
            </w:r>
            <w:r>
              <w:rPr>
                <w:spacing w:val="10"/>
                <w:sz w:val="14"/>
              </w:rPr>
              <w:t> </w:t>
            </w:r>
            <w:r>
              <w:rPr>
                <w:sz w:val="14"/>
              </w:rPr>
              <w:t>in</w:t>
            </w:r>
            <w:r>
              <w:rPr>
                <w:spacing w:val="11"/>
                <w:sz w:val="14"/>
              </w:rPr>
              <w:t> </w:t>
            </w:r>
            <w:r>
              <w:rPr>
                <w:sz w:val="14"/>
              </w:rPr>
              <w:t>unconsolidated</w:t>
            </w:r>
            <w:r>
              <w:rPr>
                <w:spacing w:val="11"/>
                <w:sz w:val="14"/>
              </w:rPr>
              <w:t> </w:t>
            </w:r>
            <w:r>
              <w:rPr>
                <w:spacing w:val="-2"/>
                <w:sz w:val="14"/>
              </w:rPr>
              <w:t>affiliates</w:t>
            </w:r>
          </w:p>
        </w:tc>
        <w:tc>
          <w:tcPr>
            <w:tcW w:w="1472" w:type="dxa"/>
            <w:gridSpan w:val="3"/>
            <w:shd w:val="clear" w:color="auto" w:fill="CCEDFF"/>
          </w:tcPr>
          <w:p>
            <w:pPr>
              <w:pStyle w:val="TableParagraph"/>
              <w:spacing w:before="17"/>
              <w:ind w:left="886"/>
              <w:rPr>
                <w:sz w:val="14"/>
              </w:rPr>
            </w:pPr>
            <w:r>
              <w:rPr>
                <w:spacing w:val="-2"/>
                <w:sz w:val="14"/>
              </w:rPr>
              <w:t>(254,786)</w:t>
            </w:r>
          </w:p>
        </w:tc>
        <w:tc>
          <w:tcPr>
            <w:tcW w:w="1633" w:type="dxa"/>
            <w:shd w:val="clear" w:color="auto" w:fill="CCEDFF"/>
          </w:tcPr>
          <w:p>
            <w:pPr>
              <w:pStyle w:val="TableParagraph"/>
              <w:spacing w:before="17"/>
              <w:ind w:right="70"/>
              <w:jc w:val="right"/>
              <w:rPr>
                <w:sz w:val="14"/>
              </w:rPr>
            </w:pPr>
            <w:r>
              <w:rPr>
                <w:spacing w:val="-2"/>
                <w:sz w:val="14"/>
              </w:rPr>
              <w:t>(226,889)</w:t>
            </w:r>
          </w:p>
        </w:tc>
        <w:tc>
          <w:tcPr>
            <w:tcW w:w="1539" w:type="dxa"/>
            <w:shd w:val="clear" w:color="auto" w:fill="CCEDFF"/>
          </w:tcPr>
          <w:p>
            <w:pPr>
              <w:pStyle w:val="TableParagraph"/>
              <w:spacing w:before="17"/>
              <w:ind w:right="25"/>
              <w:jc w:val="right"/>
              <w:rPr>
                <w:sz w:val="14"/>
              </w:rPr>
            </w:pPr>
            <w:r>
              <w:rPr>
                <w:spacing w:val="-2"/>
                <w:sz w:val="14"/>
              </w:rPr>
              <w:t>(96,925)</w:t>
            </w:r>
          </w:p>
        </w:tc>
      </w:tr>
      <w:tr>
        <w:trPr>
          <w:trHeight w:val="215" w:hRule="atLeast"/>
        </w:trPr>
        <w:tc>
          <w:tcPr>
            <w:tcW w:w="6871" w:type="dxa"/>
          </w:tcPr>
          <w:p>
            <w:pPr>
              <w:pStyle w:val="TableParagraph"/>
              <w:spacing w:before="17"/>
              <w:ind w:left="217"/>
              <w:rPr>
                <w:sz w:val="14"/>
              </w:rPr>
            </w:pPr>
            <w:r>
              <w:rPr>
                <w:sz w:val="14"/>
              </w:rPr>
              <w:t>Distributions</w:t>
            </w:r>
            <w:r>
              <w:rPr>
                <w:spacing w:val="12"/>
                <w:sz w:val="14"/>
              </w:rPr>
              <w:t> </w:t>
            </w:r>
            <w:r>
              <w:rPr>
                <w:sz w:val="14"/>
              </w:rPr>
              <w:t>from</w:t>
            </w:r>
            <w:r>
              <w:rPr>
                <w:spacing w:val="12"/>
                <w:sz w:val="14"/>
              </w:rPr>
              <w:t> </w:t>
            </w:r>
            <w:r>
              <w:rPr>
                <w:sz w:val="14"/>
              </w:rPr>
              <w:t>unconsolidated</w:t>
            </w:r>
            <w:r>
              <w:rPr>
                <w:spacing w:val="13"/>
                <w:sz w:val="14"/>
              </w:rPr>
              <w:t> </w:t>
            </w:r>
            <w:r>
              <w:rPr>
                <w:spacing w:val="-2"/>
                <w:sz w:val="14"/>
              </w:rPr>
              <w:t>affiliates</w:t>
            </w:r>
          </w:p>
        </w:tc>
        <w:tc>
          <w:tcPr>
            <w:tcW w:w="1472" w:type="dxa"/>
            <w:gridSpan w:val="3"/>
          </w:tcPr>
          <w:p>
            <w:pPr>
              <w:pStyle w:val="TableParagraph"/>
              <w:spacing w:before="17"/>
              <w:ind w:right="55"/>
              <w:jc w:val="right"/>
              <w:rPr>
                <w:sz w:val="14"/>
              </w:rPr>
            </w:pPr>
            <w:r>
              <w:rPr>
                <w:spacing w:val="-2"/>
                <w:sz w:val="14"/>
              </w:rPr>
              <w:t>10,361</w:t>
            </w:r>
          </w:p>
        </w:tc>
        <w:tc>
          <w:tcPr>
            <w:tcW w:w="1633" w:type="dxa"/>
          </w:tcPr>
          <w:p>
            <w:pPr>
              <w:pStyle w:val="TableParagraph"/>
              <w:spacing w:before="17"/>
              <w:ind w:right="106"/>
              <w:jc w:val="right"/>
              <w:rPr>
                <w:sz w:val="14"/>
              </w:rPr>
            </w:pPr>
            <w:r>
              <w:rPr>
                <w:spacing w:val="-2"/>
                <w:sz w:val="14"/>
              </w:rPr>
              <w:t>9,694</w:t>
            </w:r>
          </w:p>
        </w:tc>
        <w:tc>
          <w:tcPr>
            <w:tcW w:w="1539" w:type="dxa"/>
          </w:tcPr>
          <w:p>
            <w:pPr>
              <w:pStyle w:val="TableParagraph"/>
              <w:spacing w:before="17"/>
              <w:ind w:right="61"/>
              <w:jc w:val="right"/>
              <w:rPr>
                <w:sz w:val="14"/>
              </w:rPr>
            </w:pPr>
            <w:r>
              <w:rPr>
                <w:spacing w:val="-2"/>
                <w:sz w:val="14"/>
              </w:rPr>
              <w:t>63,960</w:t>
            </w:r>
          </w:p>
        </w:tc>
      </w:tr>
      <w:tr>
        <w:trPr>
          <w:trHeight w:val="215" w:hRule="atLeast"/>
        </w:trPr>
        <w:tc>
          <w:tcPr>
            <w:tcW w:w="6871" w:type="dxa"/>
            <w:shd w:val="clear" w:color="auto" w:fill="CCEDFF"/>
          </w:tcPr>
          <w:p>
            <w:pPr>
              <w:pStyle w:val="TableParagraph"/>
              <w:spacing w:before="17"/>
              <w:ind w:left="217"/>
              <w:rPr>
                <w:sz w:val="14"/>
              </w:rPr>
            </w:pPr>
            <w:r>
              <w:rPr>
                <w:sz w:val="14"/>
              </w:rPr>
              <w:t>Investments</w:t>
            </w:r>
            <w:r>
              <w:rPr>
                <w:spacing w:val="8"/>
                <w:sz w:val="14"/>
              </w:rPr>
              <w:t> </w:t>
            </w:r>
            <w:r>
              <w:rPr>
                <w:sz w:val="14"/>
              </w:rPr>
              <w:t>and</w:t>
            </w:r>
            <w:r>
              <w:rPr>
                <w:spacing w:val="9"/>
                <w:sz w:val="14"/>
              </w:rPr>
              <w:t> </w:t>
            </w:r>
            <w:r>
              <w:rPr>
                <w:spacing w:val="-2"/>
                <w:sz w:val="14"/>
              </w:rPr>
              <w:t>other</w:t>
            </w:r>
          </w:p>
        </w:tc>
        <w:tc>
          <w:tcPr>
            <w:tcW w:w="1472" w:type="dxa"/>
            <w:gridSpan w:val="3"/>
            <w:tcBorders>
              <w:bottom w:val="single" w:sz="6" w:space="0" w:color="000000"/>
            </w:tcBorders>
            <w:shd w:val="clear" w:color="auto" w:fill="CCEDFF"/>
          </w:tcPr>
          <w:p>
            <w:pPr>
              <w:pStyle w:val="TableParagraph"/>
              <w:spacing w:before="17"/>
              <w:ind w:left="886"/>
              <w:rPr>
                <w:sz w:val="14"/>
              </w:rPr>
            </w:pPr>
            <w:r>
              <w:rPr>
                <w:spacing w:val="-2"/>
                <w:sz w:val="14"/>
              </w:rPr>
              <w:t>(523,361)</w:t>
            </w:r>
          </w:p>
        </w:tc>
        <w:tc>
          <w:tcPr>
            <w:tcW w:w="1633" w:type="dxa"/>
            <w:tcBorders>
              <w:bottom w:val="single" w:sz="6" w:space="0" w:color="000000"/>
            </w:tcBorders>
            <w:shd w:val="clear" w:color="auto" w:fill="CCEDFF"/>
          </w:tcPr>
          <w:p>
            <w:pPr>
              <w:pStyle w:val="TableParagraph"/>
              <w:spacing w:before="17"/>
              <w:ind w:right="106"/>
              <w:jc w:val="right"/>
              <w:rPr>
                <w:sz w:val="14"/>
              </w:rPr>
            </w:pPr>
            <w:r>
              <w:rPr>
                <w:spacing w:val="-2"/>
                <w:sz w:val="14"/>
              </w:rPr>
              <w:t>46,110</w:t>
            </w:r>
          </w:p>
        </w:tc>
        <w:tc>
          <w:tcPr>
            <w:tcW w:w="1539" w:type="dxa"/>
            <w:tcBorders>
              <w:bottom w:val="single" w:sz="6" w:space="0" w:color="000000"/>
            </w:tcBorders>
            <w:shd w:val="clear" w:color="auto" w:fill="CCEDFF"/>
          </w:tcPr>
          <w:p>
            <w:pPr>
              <w:pStyle w:val="TableParagraph"/>
              <w:spacing w:before="17"/>
              <w:ind w:right="61"/>
              <w:jc w:val="right"/>
              <w:rPr>
                <w:sz w:val="14"/>
              </w:rPr>
            </w:pPr>
            <w:r>
              <w:rPr>
                <w:spacing w:val="-5"/>
                <w:sz w:val="14"/>
              </w:rPr>
              <w:t>873</w:t>
            </w:r>
          </w:p>
        </w:tc>
      </w:tr>
      <w:tr>
        <w:trPr>
          <w:trHeight w:val="214" w:hRule="atLeast"/>
        </w:trPr>
        <w:tc>
          <w:tcPr>
            <w:tcW w:w="6871" w:type="dxa"/>
          </w:tcPr>
          <w:p>
            <w:pPr>
              <w:pStyle w:val="TableParagraph"/>
              <w:spacing w:before="17"/>
              <w:ind w:left="955"/>
              <w:rPr>
                <w:sz w:val="14"/>
              </w:rPr>
            </w:pPr>
            <w:r>
              <w:rPr>
                <w:sz w:val="14"/>
              </w:rPr>
              <w:t>Net</w:t>
            </w:r>
            <w:r>
              <w:rPr>
                <w:spacing w:val="6"/>
                <w:sz w:val="14"/>
              </w:rPr>
              <w:t> </w:t>
            </w:r>
            <w:r>
              <w:rPr>
                <w:sz w:val="14"/>
              </w:rPr>
              <w:t>cash</w:t>
            </w:r>
            <w:r>
              <w:rPr>
                <w:spacing w:val="6"/>
                <w:sz w:val="14"/>
              </w:rPr>
              <w:t> </w:t>
            </w:r>
            <w:r>
              <w:rPr>
                <w:sz w:val="14"/>
              </w:rPr>
              <w:t>provided</w:t>
            </w:r>
            <w:r>
              <w:rPr>
                <w:spacing w:val="7"/>
                <w:sz w:val="14"/>
              </w:rPr>
              <w:t> </w:t>
            </w:r>
            <w:r>
              <w:rPr>
                <w:sz w:val="14"/>
              </w:rPr>
              <w:t>by</w:t>
            </w:r>
            <w:r>
              <w:rPr>
                <w:spacing w:val="6"/>
                <w:sz w:val="14"/>
              </w:rPr>
              <w:t> </w:t>
            </w:r>
            <w:r>
              <w:rPr>
                <w:sz w:val="14"/>
              </w:rPr>
              <w:t>investing</w:t>
            </w:r>
            <w:r>
              <w:rPr>
                <w:spacing w:val="7"/>
                <w:sz w:val="14"/>
              </w:rPr>
              <w:t> </w:t>
            </w:r>
            <w:r>
              <w:rPr>
                <w:spacing w:val="-2"/>
                <w:sz w:val="14"/>
              </w:rPr>
              <w:t>activities</w:t>
            </w:r>
          </w:p>
        </w:tc>
        <w:tc>
          <w:tcPr>
            <w:tcW w:w="1472" w:type="dxa"/>
            <w:gridSpan w:val="3"/>
            <w:tcBorders>
              <w:top w:val="single" w:sz="6" w:space="0" w:color="000000"/>
              <w:bottom w:val="single" w:sz="6" w:space="0" w:color="000000"/>
            </w:tcBorders>
          </w:tcPr>
          <w:p>
            <w:pPr>
              <w:pStyle w:val="TableParagraph"/>
              <w:spacing w:before="17"/>
              <w:ind w:left="843"/>
              <w:rPr>
                <w:sz w:val="14"/>
              </w:rPr>
            </w:pPr>
            <w:r>
              <w:rPr>
                <w:spacing w:val="-2"/>
                <w:sz w:val="14"/>
              </w:rPr>
              <w:t>2,118,181</w:t>
            </w:r>
          </w:p>
        </w:tc>
        <w:tc>
          <w:tcPr>
            <w:tcW w:w="1633" w:type="dxa"/>
            <w:tcBorders>
              <w:top w:val="single" w:sz="6" w:space="0" w:color="000000"/>
              <w:bottom w:val="single" w:sz="6" w:space="0" w:color="000000"/>
            </w:tcBorders>
          </w:tcPr>
          <w:p>
            <w:pPr>
              <w:pStyle w:val="TableParagraph"/>
              <w:spacing w:before="17"/>
              <w:ind w:right="106"/>
              <w:jc w:val="right"/>
              <w:rPr>
                <w:sz w:val="14"/>
              </w:rPr>
            </w:pPr>
            <w:r>
              <w:rPr>
                <w:spacing w:val="-2"/>
                <w:sz w:val="14"/>
              </w:rPr>
              <w:t>1,543,645</w:t>
            </w:r>
          </w:p>
        </w:tc>
        <w:tc>
          <w:tcPr>
            <w:tcW w:w="1539" w:type="dxa"/>
            <w:tcBorders>
              <w:top w:val="single" w:sz="6" w:space="0" w:color="000000"/>
              <w:bottom w:val="single" w:sz="6" w:space="0" w:color="000000"/>
            </w:tcBorders>
          </w:tcPr>
          <w:p>
            <w:pPr>
              <w:pStyle w:val="TableParagraph"/>
              <w:spacing w:before="17"/>
              <w:ind w:right="61"/>
              <w:jc w:val="right"/>
              <w:rPr>
                <w:sz w:val="14"/>
              </w:rPr>
            </w:pPr>
            <w:r>
              <w:rPr>
                <w:spacing w:val="-2"/>
                <w:sz w:val="14"/>
              </w:rPr>
              <w:t>2,159,304</w:t>
            </w:r>
          </w:p>
        </w:tc>
      </w:tr>
      <w:tr>
        <w:trPr>
          <w:trHeight w:val="215" w:hRule="atLeast"/>
        </w:trPr>
        <w:tc>
          <w:tcPr>
            <w:tcW w:w="6871" w:type="dxa"/>
            <w:shd w:val="clear" w:color="auto" w:fill="CCEDFF"/>
          </w:tcPr>
          <w:p>
            <w:pPr>
              <w:pStyle w:val="TableParagraph"/>
              <w:spacing w:before="17"/>
              <w:ind w:left="17"/>
              <w:rPr>
                <w:b/>
                <w:sz w:val="14"/>
              </w:rPr>
            </w:pPr>
            <w:r>
              <w:rPr>
                <w:b/>
                <w:sz w:val="14"/>
              </w:rPr>
              <w:t>Cash</w:t>
            </w:r>
            <w:r>
              <w:rPr>
                <w:b/>
                <w:spacing w:val="6"/>
                <w:sz w:val="14"/>
              </w:rPr>
              <w:t> </w:t>
            </w:r>
            <w:r>
              <w:rPr>
                <w:b/>
                <w:sz w:val="14"/>
              </w:rPr>
              <w:t>flows</w:t>
            </w:r>
            <w:r>
              <w:rPr>
                <w:b/>
                <w:spacing w:val="7"/>
                <w:sz w:val="14"/>
              </w:rPr>
              <w:t> </w:t>
            </w:r>
            <w:r>
              <w:rPr>
                <w:b/>
                <w:sz w:val="14"/>
              </w:rPr>
              <w:t>from</w:t>
            </w:r>
            <w:r>
              <w:rPr>
                <w:b/>
                <w:spacing w:val="6"/>
                <w:sz w:val="14"/>
              </w:rPr>
              <w:t> </w:t>
            </w:r>
            <w:r>
              <w:rPr>
                <w:b/>
                <w:sz w:val="14"/>
              </w:rPr>
              <w:t>financing</w:t>
            </w:r>
            <w:r>
              <w:rPr>
                <w:b/>
                <w:spacing w:val="7"/>
                <w:sz w:val="14"/>
              </w:rPr>
              <w:t> </w:t>
            </w:r>
            <w:r>
              <w:rPr>
                <w:b/>
                <w:spacing w:val="-2"/>
                <w:sz w:val="14"/>
              </w:rPr>
              <w:t>activities</w:t>
            </w:r>
          </w:p>
        </w:tc>
        <w:tc>
          <w:tcPr>
            <w:tcW w:w="1472" w:type="dxa"/>
            <w:gridSpan w:val="3"/>
            <w:tcBorders>
              <w:top w:val="single" w:sz="6" w:space="0" w:color="000000"/>
            </w:tcBorders>
            <w:shd w:val="clear" w:color="auto" w:fill="CCEDFF"/>
          </w:tcPr>
          <w:p>
            <w:pPr>
              <w:pStyle w:val="TableParagraph"/>
              <w:spacing w:before="0"/>
              <w:rPr>
                <w:sz w:val="14"/>
              </w:rPr>
            </w:pPr>
          </w:p>
        </w:tc>
        <w:tc>
          <w:tcPr>
            <w:tcW w:w="1633" w:type="dxa"/>
            <w:tcBorders>
              <w:top w:val="single" w:sz="6" w:space="0" w:color="000000"/>
            </w:tcBorders>
            <w:shd w:val="clear" w:color="auto" w:fill="CCEDFF"/>
          </w:tcPr>
          <w:p>
            <w:pPr>
              <w:pStyle w:val="TableParagraph"/>
              <w:spacing w:before="0"/>
              <w:rPr>
                <w:sz w:val="14"/>
              </w:rPr>
            </w:pPr>
          </w:p>
        </w:tc>
        <w:tc>
          <w:tcPr>
            <w:tcW w:w="1539" w:type="dxa"/>
            <w:tcBorders>
              <w:top w:val="single" w:sz="6" w:space="0" w:color="000000"/>
            </w:tcBorders>
            <w:shd w:val="clear" w:color="auto" w:fill="CCEDFF"/>
          </w:tcPr>
          <w:p>
            <w:pPr>
              <w:pStyle w:val="TableParagraph"/>
              <w:spacing w:before="0"/>
              <w:rPr>
                <w:sz w:val="14"/>
              </w:rPr>
            </w:pPr>
          </w:p>
        </w:tc>
      </w:tr>
      <w:tr>
        <w:trPr>
          <w:trHeight w:val="215" w:hRule="atLeast"/>
        </w:trPr>
        <w:tc>
          <w:tcPr>
            <w:tcW w:w="6871" w:type="dxa"/>
          </w:tcPr>
          <w:p>
            <w:pPr>
              <w:pStyle w:val="TableParagraph"/>
              <w:spacing w:before="17"/>
              <w:ind w:left="217"/>
              <w:rPr>
                <w:sz w:val="14"/>
              </w:rPr>
            </w:pPr>
            <w:r>
              <w:rPr>
                <w:sz w:val="14"/>
              </w:rPr>
              <w:t>Net</w:t>
            </w:r>
            <w:r>
              <w:rPr>
                <w:spacing w:val="6"/>
                <w:sz w:val="14"/>
              </w:rPr>
              <w:t> </w:t>
            </w:r>
            <w:r>
              <w:rPr>
                <w:sz w:val="14"/>
              </w:rPr>
              <w:t>borrowings</w:t>
            </w:r>
            <w:r>
              <w:rPr>
                <w:spacing w:val="7"/>
                <w:sz w:val="14"/>
              </w:rPr>
              <w:t> </w:t>
            </w:r>
            <w:r>
              <w:rPr>
                <w:sz w:val="14"/>
              </w:rPr>
              <w:t>(repayments)</w:t>
            </w:r>
            <w:r>
              <w:rPr>
                <w:spacing w:val="6"/>
                <w:sz w:val="14"/>
              </w:rPr>
              <w:t> </w:t>
            </w:r>
            <w:r>
              <w:rPr>
                <w:sz w:val="14"/>
              </w:rPr>
              <w:t>under</w:t>
            </w:r>
            <w:r>
              <w:rPr>
                <w:spacing w:val="7"/>
                <w:sz w:val="14"/>
              </w:rPr>
              <w:t> </w:t>
            </w:r>
            <w:r>
              <w:rPr>
                <w:sz w:val="14"/>
              </w:rPr>
              <w:t>bank</w:t>
            </w:r>
            <w:r>
              <w:rPr>
                <w:spacing w:val="6"/>
                <w:sz w:val="14"/>
              </w:rPr>
              <w:t> </w:t>
            </w:r>
            <w:r>
              <w:rPr>
                <w:sz w:val="14"/>
              </w:rPr>
              <w:t>credit</w:t>
            </w:r>
            <w:r>
              <w:rPr>
                <w:spacing w:val="7"/>
                <w:sz w:val="14"/>
              </w:rPr>
              <w:t> </w:t>
            </w:r>
            <w:r>
              <w:rPr>
                <w:sz w:val="14"/>
              </w:rPr>
              <w:t>facilities</w:t>
            </w:r>
            <w:r>
              <w:rPr>
                <w:spacing w:val="6"/>
                <w:sz w:val="14"/>
              </w:rPr>
              <w:t> </w:t>
            </w:r>
            <w:r>
              <w:rPr>
                <w:sz w:val="14"/>
              </w:rPr>
              <w:t>–</w:t>
            </w:r>
            <w:r>
              <w:rPr>
                <w:spacing w:val="7"/>
                <w:sz w:val="14"/>
              </w:rPr>
              <w:t> </w:t>
            </w:r>
            <w:r>
              <w:rPr>
                <w:sz w:val="14"/>
              </w:rPr>
              <w:t>maturities</w:t>
            </w:r>
            <w:r>
              <w:rPr>
                <w:spacing w:val="6"/>
                <w:sz w:val="14"/>
              </w:rPr>
              <w:t> </w:t>
            </w:r>
            <w:r>
              <w:rPr>
                <w:sz w:val="14"/>
              </w:rPr>
              <w:t>of</w:t>
            </w:r>
            <w:r>
              <w:rPr>
                <w:spacing w:val="7"/>
                <w:sz w:val="14"/>
              </w:rPr>
              <w:t> </w:t>
            </w:r>
            <w:r>
              <w:rPr>
                <w:sz w:val="14"/>
              </w:rPr>
              <w:t>90</w:t>
            </w:r>
            <w:r>
              <w:rPr>
                <w:spacing w:val="6"/>
                <w:sz w:val="14"/>
              </w:rPr>
              <w:t> </w:t>
            </w:r>
            <w:r>
              <w:rPr>
                <w:sz w:val="14"/>
              </w:rPr>
              <w:t>days</w:t>
            </w:r>
            <w:r>
              <w:rPr>
                <w:spacing w:val="7"/>
                <w:sz w:val="14"/>
              </w:rPr>
              <w:t> </w:t>
            </w:r>
            <w:r>
              <w:rPr>
                <w:sz w:val="14"/>
              </w:rPr>
              <w:t>or</w:t>
            </w:r>
            <w:r>
              <w:rPr>
                <w:spacing w:val="6"/>
                <w:sz w:val="14"/>
              </w:rPr>
              <w:t> </w:t>
            </w:r>
            <w:r>
              <w:rPr>
                <w:spacing w:val="-4"/>
                <w:sz w:val="14"/>
              </w:rPr>
              <w:t>less</w:t>
            </w:r>
          </w:p>
        </w:tc>
        <w:tc>
          <w:tcPr>
            <w:tcW w:w="1472" w:type="dxa"/>
            <w:gridSpan w:val="3"/>
          </w:tcPr>
          <w:p>
            <w:pPr>
              <w:pStyle w:val="TableParagraph"/>
              <w:spacing w:before="17"/>
              <w:ind w:left="838"/>
              <w:rPr>
                <w:sz w:val="14"/>
              </w:rPr>
            </w:pPr>
            <w:r>
              <w:rPr>
                <w:spacing w:val="-2"/>
                <w:sz w:val="14"/>
              </w:rPr>
              <w:t>1,148,276</w:t>
            </w:r>
          </w:p>
        </w:tc>
        <w:tc>
          <w:tcPr>
            <w:tcW w:w="1633" w:type="dxa"/>
          </w:tcPr>
          <w:p>
            <w:pPr>
              <w:pStyle w:val="TableParagraph"/>
              <w:spacing w:before="17"/>
              <w:ind w:right="70"/>
              <w:jc w:val="right"/>
              <w:rPr>
                <w:sz w:val="14"/>
              </w:rPr>
            </w:pPr>
            <w:r>
              <w:rPr>
                <w:spacing w:val="-2"/>
                <w:sz w:val="14"/>
              </w:rPr>
              <w:t>(2,096,217)</w:t>
            </w:r>
          </w:p>
        </w:tc>
        <w:tc>
          <w:tcPr>
            <w:tcW w:w="1539" w:type="dxa"/>
          </w:tcPr>
          <w:p>
            <w:pPr>
              <w:pStyle w:val="TableParagraph"/>
              <w:spacing w:before="17"/>
              <w:ind w:right="25"/>
              <w:jc w:val="right"/>
              <w:rPr>
                <w:sz w:val="14"/>
              </w:rPr>
            </w:pPr>
            <w:r>
              <w:rPr>
                <w:spacing w:val="-2"/>
                <w:sz w:val="14"/>
              </w:rPr>
              <w:t>(1,595,089)</w:t>
            </w:r>
          </w:p>
        </w:tc>
      </w:tr>
      <w:tr>
        <w:trPr>
          <w:trHeight w:val="215" w:hRule="atLeast"/>
        </w:trPr>
        <w:tc>
          <w:tcPr>
            <w:tcW w:w="6871" w:type="dxa"/>
            <w:shd w:val="clear" w:color="auto" w:fill="CCEDFF"/>
          </w:tcPr>
          <w:p>
            <w:pPr>
              <w:pStyle w:val="TableParagraph"/>
              <w:spacing w:before="17"/>
              <w:ind w:left="217"/>
              <w:rPr>
                <w:sz w:val="14"/>
              </w:rPr>
            </w:pPr>
            <w:r>
              <w:rPr>
                <w:sz w:val="14"/>
              </w:rPr>
              <w:t>Issuance</w:t>
            </w:r>
            <w:r>
              <w:rPr>
                <w:spacing w:val="7"/>
                <w:sz w:val="14"/>
              </w:rPr>
              <w:t> </w:t>
            </w:r>
            <w:r>
              <w:rPr>
                <w:sz w:val="14"/>
              </w:rPr>
              <w:t>of</w:t>
            </w:r>
            <w:r>
              <w:rPr>
                <w:spacing w:val="8"/>
                <w:sz w:val="14"/>
              </w:rPr>
              <w:t> </w:t>
            </w:r>
            <w:r>
              <w:rPr>
                <w:sz w:val="14"/>
              </w:rPr>
              <w:t>long-term</w:t>
            </w:r>
            <w:r>
              <w:rPr>
                <w:spacing w:val="8"/>
                <w:sz w:val="14"/>
              </w:rPr>
              <w:t> </w:t>
            </w:r>
            <w:r>
              <w:rPr>
                <w:spacing w:val="-4"/>
                <w:sz w:val="14"/>
              </w:rPr>
              <w:t>debt</w:t>
            </w:r>
          </w:p>
        </w:tc>
        <w:tc>
          <w:tcPr>
            <w:tcW w:w="1472" w:type="dxa"/>
            <w:gridSpan w:val="3"/>
            <w:shd w:val="clear" w:color="auto" w:fill="CCEDFF"/>
          </w:tcPr>
          <w:p>
            <w:pPr>
              <w:pStyle w:val="TableParagraph"/>
              <w:spacing w:before="17"/>
              <w:ind w:right="55"/>
              <w:jc w:val="right"/>
              <w:rPr>
                <w:sz w:val="14"/>
              </w:rPr>
            </w:pPr>
            <w:r>
              <w:rPr>
                <w:spacing w:val="-10"/>
                <w:sz w:val="14"/>
              </w:rPr>
              <w:t>—</w:t>
            </w:r>
          </w:p>
        </w:tc>
        <w:tc>
          <w:tcPr>
            <w:tcW w:w="1633" w:type="dxa"/>
            <w:shd w:val="clear" w:color="auto" w:fill="CCEDFF"/>
          </w:tcPr>
          <w:p>
            <w:pPr>
              <w:pStyle w:val="TableParagraph"/>
              <w:spacing w:before="17"/>
              <w:ind w:right="106"/>
              <w:jc w:val="right"/>
              <w:rPr>
                <w:sz w:val="14"/>
              </w:rPr>
            </w:pPr>
            <w:r>
              <w:rPr>
                <w:spacing w:val="-2"/>
                <w:sz w:val="14"/>
              </w:rPr>
              <w:t>749,775</w:t>
            </w:r>
          </w:p>
        </w:tc>
        <w:tc>
          <w:tcPr>
            <w:tcW w:w="1539" w:type="dxa"/>
            <w:shd w:val="clear" w:color="auto" w:fill="CCEDFF"/>
          </w:tcPr>
          <w:p>
            <w:pPr>
              <w:pStyle w:val="TableParagraph"/>
              <w:spacing w:before="17"/>
              <w:ind w:right="61"/>
              <w:jc w:val="right"/>
              <w:rPr>
                <w:sz w:val="14"/>
              </w:rPr>
            </w:pPr>
            <w:r>
              <w:rPr>
                <w:spacing w:val="-2"/>
                <w:sz w:val="14"/>
              </w:rPr>
              <w:t>3,550,000</w:t>
            </w:r>
          </w:p>
        </w:tc>
      </w:tr>
      <w:tr>
        <w:trPr>
          <w:trHeight w:val="215" w:hRule="atLeast"/>
        </w:trPr>
        <w:tc>
          <w:tcPr>
            <w:tcW w:w="6871" w:type="dxa"/>
          </w:tcPr>
          <w:p>
            <w:pPr>
              <w:pStyle w:val="TableParagraph"/>
              <w:spacing w:before="17"/>
              <w:ind w:left="217"/>
              <w:rPr>
                <w:sz w:val="14"/>
              </w:rPr>
            </w:pPr>
            <w:r>
              <w:rPr>
                <w:sz w:val="14"/>
              </w:rPr>
              <w:t>Repayment</w:t>
            </w:r>
            <w:r>
              <w:rPr>
                <w:spacing w:val="8"/>
                <w:sz w:val="14"/>
              </w:rPr>
              <w:t> </w:t>
            </w:r>
            <w:r>
              <w:rPr>
                <w:sz w:val="14"/>
              </w:rPr>
              <w:t>of</w:t>
            </w:r>
            <w:r>
              <w:rPr>
                <w:spacing w:val="9"/>
                <w:sz w:val="14"/>
              </w:rPr>
              <w:t> </w:t>
            </w:r>
            <w:r>
              <w:rPr>
                <w:sz w:val="14"/>
              </w:rPr>
              <w:t>long-term</w:t>
            </w:r>
            <w:r>
              <w:rPr>
                <w:spacing w:val="9"/>
                <w:sz w:val="14"/>
              </w:rPr>
              <w:t> </w:t>
            </w:r>
            <w:r>
              <w:rPr>
                <w:spacing w:val="-4"/>
                <w:sz w:val="14"/>
              </w:rPr>
              <w:t>debt</w:t>
            </w:r>
          </w:p>
        </w:tc>
        <w:tc>
          <w:tcPr>
            <w:tcW w:w="1472" w:type="dxa"/>
            <w:gridSpan w:val="3"/>
          </w:tcPr>
          <w:p>
            <w:pPr>
              <w:pStyle w:val="TableParagraph"/>
              <w:spacing w:before="17"/>
              <w:ind w:left="778"/>
              <w:rPr>
                <w:sz w:val="14"/>
              </w:rPr>
            </w:pPr>
            <w:r>
              <w:rPr>
                <w:spacing w:val="-2"/>
                <w:sz w:val="14"/>
              </w:rPr>
              <w:t>(1,070,340)</w:t>
            </w:r>
          </w:p>
        </w:tc>
        <w:tc>
          <w:tcPr>
            <w:tcW w:w="1633" w:type="dxa"/>
          </w:tcPr>
          <w:p>
            <w:pPr>
              <w:pStyle w:val="TableParagraph"/>
              <w:spacing w:before="17"/>
              <w:ind w:right="106"/>
              <w:jc w:val="right"/>
              <w:rPr>
                <w:sz w:val="14"/>
              </w:rPr>
            </w:pPr>
            <w:r>
              <w:rPr>
                <w:spacing w:val="-10"/>
                <w:sz w:val="14"/>
              </w:rPr>
              <w:t>—</w:t>
            </w:r>
          </w:p>
        </w:tc>
        <w:tc>
          <w:tcPr>
            <w:tcW w:w="1539" w:type="dxa"/>
          </w:tcPr>
          <w:p>
            <w:pPr>
              <w:pStyle w:val="TableParagraph"/>
              <w:spacing w:before="17"/>
              <w:ind w:right="25"/>
              <w:jc w:val="right"/>
              <w:rPr>
                <w:sz w:val="14"/>
              </w:rPr>
            </w:pPr>
            <w:r>
              <w:rPr>
                <w:spacing w:val="-2"/>
                <w:sz w:val="14"/>
              </w:rPr>
              <w:t>(846,815)</w:t>
            </w:r>
          </w:p>
        </w:tc>
      </w:tr>
      <w:tr>
        <w:trPr>
          <w:trHeight w:val="229" w:hRule="atLeast"/>
        </w:trPr>
        <w:tc>
          <w:tcPr>
            <w:tcW w:w="6871" w:type="dxa"/>
            <w:shd w:val="clear" w:color="auto" w:fill="CCEDFF"/>
          </w:tcPr>
          <w:p>
            <w:pPr>
              <w:pStyle w:val="TableParagraph"/>
              <w:spacing w:before="17"/>
              <w:ind w:left="217"/>
              <w:rPr>
                <w:sz w:val="14"/>
              </w:rPr>
            </w:pPr>
            <w:r>
              <w:rPr>
                <w:sz w:val="14"/>
              </w:rPr>
              <w:t>Debt</w:t>
            </w:r>
            <w:r>
              <w:rPr>
                <w:spacing w:val="7"/>
                <w:sz w:val="14"/>
              </w:rPr>
              <w:t> </w:t>
            </w:r>
            <w:r>
              <w:rPr>
                <w:sz w:val="14"/>
              </w:rPr>
              <w:t>issuance</w:t>
            </w:r>
            <w:r>
              <w:rPr>
                <w:spacing w:val="7"/>
                <w:sz w:val="14"/>
              </w:rPr>
              <w:t> </w:t>
            </w:r>
            <w:r>
              <w:rPr>
                <w:spacing w:val="-2"/>
                <w:sz w:val="14"/>
              </w:rPr>
              <w:t>costs</w:t>
            </w:r>
          </w:p>
        </w:tc>
        <w:tc>
          <w:tcPr>
            <w:tcW w:w="1472" w:type="dxa"/>
            <w:gridSpan w:val="3"/>
            <w:shd w:val="clear" w:color="auto" w:fill="CCEDFF"/>
          </w:tcPr>
          <w:p>
            <w:pPr>
              <w:pStyle w:val="TableParagraph"/>
              <w:spacing w:before="17"/>
              <w:ind w:right="19"/>
              <w:jc w:val="right"/>
              <w:rPr>
                <w:sz w:val="14"/>
              </w:rPr>
            </w:pPr>
            <w:r>
              <w:rPr>
                <w:spacing w:val="-2"/>
                <w:sz w:val="14"/>
              </w:rPr>
              <w:t>(1,367)</w:t>
            </w:r>
          </w:p>
        </w:tc>
        <w:tc>
          <w:tcPr>
            <w:tcW w:w="1633" w:type="dxa"/>
            <w:shd w:val="clear" w:color="auto" w:fill="CCEDFF"/>
          </w:tcPr>
          <w:p>
            <w:pPr>
              <w:pStyle w:val="TableParagraph"/>
              <w:spacing w:before="17"/>
              <w:ind w:right="70"/>
              <w:jc w:val="right"/>
              <w:rPr>
                <w:sz w:val="14"/>
              </w:rPr>
            </w:pPr>
            <w:r>
              <w:rPr>
                <w:spacing w:val="-2"/>
                <w:sz w:val="14"/>
              </w:rPr>
              <w:t>(18,726)</w:t>
            </w:r>
          </w:p>
        </w:tc>
        <w:tc>
          <w:tcPr>
            <w:tcW w:w="1539" w:type="dxa"/>
            <w:shd w:val="clear" w:color="auto" w:fill="CCEDFF"/>
          </w:tcPr>
          <w:p>
            <w:pPr>
              <w:pStyle w:val="TableParagraph"/>
              <w:spacing w:before="17"/>
              <w:ind w:right="25"/>
              <w:jc w:val="right"/>
              <w:rPr>
                <w:sz w:val="14"/>
              </w:rPr>
            </w:pPr>
            <w:r>
              <w:rPr>
                <w:spacing w:val="-2"/>
                <w:sz w:val="14"/>
              </w:rPr>
              <w:t>(62,348)</w:t>
            </w:r>
          </w:p>
        </w:tc>
      </w:tr>
      <w:tr>
        <w:trPr>
          <w:trHeight w:val="215" w:hRule="atLeast"/>
        </w:trPr>
        <w:tc>
          <w:tcPr>
            <w:tcW w:w="6871" w:type="dxa"/>
          </w:tcPr>
          <w:p>
            <w:pPr>
              <w:pStyle w:val="TableParagraph"/>
              <w:spacing w:before="17"/>
              <w:ind w:left="217"/>
              <w:rPr>
                <w:sz w:val="14"/>
              </w:rPr>
            </w:pPr>
            <w:r>
              <w:rPr>
                <w:sz w:val="14"/>
              </w:rPr>
              <w:t>Proceeds</w:t>
            </w:r>
            <w:r>
              <w:rPr>
                <w:spacing w:val="6"/>
                <w:sz w:val="14"/>
              </w:rPr>
              <w:t> </w:t>
            </w:r>
            <w:r>
              <w:rPr>
                <w:sz w:val="14"/>
              </w:rPr>
              <w:t>from</w:t>
            </w:r>
            <w:r>
              <w:rPr>
                <w:spacing w:val="7"/>
                <w:sz w:val="14"/>
              </w:rPr>
              <w:t> </w:t>
            </w:r>
            <w:r>
              <w:rPr>
                <w:sz w:val="14"/>
              </w:rPr>
              <w:t>issuance</w:t>
            </w:r>
            <w:r>
              <w:rPr>
                <w:spacing w:val="6"/>
                <w:sz w:val="14"/>
              </w:rPr>
              <w:t> </w:t>
            </w:r>
            <w:r>
              <w:rPr>
                <w:sz w:val="14"/>
              </w:rPr>
              <w:t>of</w:t>
            </w:r>
            <w:r>
              <w:rPr>
                <w:spacing w:val="7"/>
                <w:sz w:val="14"/>
              </w:rPr>
              <w:t> </w:t>
            </w:r>
            <w:r>
              <w:rPr>
                <w:sz w:val="14"/>
              </w:rPr>
              <w:t>bridge</w:t>
            </w:r>
            <w:r>
              <w:rPr>
                <w:spacing w:val="6"/>
                <w:sz w:val="14"/>
              </w:rPr>
              <w:t> </w:t>
            </w:r>
            <w:r>
              <w:rPr>
                <w:sz w:val="14"/>
              </w:rPr>
              <w:t>loan</w:t>
            </w:r>
            <w:r>
              <w:rPr>
                <w:spacing w:val="7"/>
                <w:sz w:val="14"/>
              </w:rPr>
              <w:t> </w:t>
            </w:r>
            <w:r>
              <w:rPr>
                <w:spacing w:val="-2"/>
                <w:sz w:val="14"/>
              </w:rPr>
              <w:t>facility</w:t>
            </w:r>
          </w:p>
        </w:tc>
        <w:tc>
          <w:tcPr>
            <w:tcW w:w="1472" w:type="dxa"/>
            <w:gridSpan w:val="3"/>
          </w:tcPr>
          <w:p>
            <w:pPr>
              <w:pStyle w:val="TableParagraph"/>
              <w:spacing w:before="17"/>
              <w:ind w:right="55"/>
              <w:jc w:val="right"/>
              <w:rPr>
                <w:sz w:val="14"/>
              </w:rPr>
            </w:pPr>
            <w:r>
              <w:rPr>
                <w:spacing w:val="-10"/>
                <w:sz w:val="14"/>
              </w:rPr>
              <w:t>—</w:t>
            </w:r>
          </w:p>
        </w:tc>
        <w:tc>
          <w:tcPr>
            <w:tcW w:w="1633" w:type="dxa"/>
          </w:tcPr>
          <w:p>
            <w:pPr>
              <w:pStyle w:val="TableParagraph"/>
              <w:spacing w:before="17"/>
              <w:ind w:right="106"/>
              <w:jc w:val="right"/>
              <w:rPr>
                <w:sz w:val="14"/>
              </w:rPr>
            </w:pPr>
            <w:r>
              <w:rPr>
                <w:spacing w:val="-10"/>
                <w:sz w:val="14"/>
              </w:rPr>
              <w:t>—</w:t>
            </w:r>
          </w:p>
        </w:tc>
        <w:tc>
          <w:tcPr>
            <w:tcW w:w="1539" w:type="dxa"/>
          </w:tcPr>
          <w:p>
            <w:pPr>
              <w:pStyle w:val="TableParagraph"/>
              <w:spacing w:before="17"/>
              <w:ind w:right="61"/>
              <w:jc w:val="right"/>
              <w:rPr>
                <w:sz w:val="14"/>
              </w:rPr>
            </w:pPr>
            <w:r>
              <w:rPr>
                <w:spacing w:val="-2"/>
                <w:sz w:val="14"/>
              </w:rPr>
              <w:t>1,304,625</w:t>
            </w:r>
          </w:p>
        </w:tc>
      </w:tr>
      <w:tr>
        <w:trPr>
          <w:trHeight w:val="215" w:hRule="atLeast"/>
        </w:trPr>
        <w:tc>
          <w:tcPr>
            <w:tcW w:w="6871" w:type="dxa"/>
            <w:shd w:val="clear" w:color="auto" w:fill="CCEDFF"/>
          </w:tcPr>
          <w:p>
            <w:pPr>
              <w:pStyle w:val="TableParagraph"/>
              <w:spacing w:before="17"/>
              <w:ind w:left="217"/>
              <w:rPr>
                <w:sz w:val="14"/>
              </w:rPr>
            </w:pPr>
            <w:r>
              <w:rPr>
                <w:sz w:val="14"/>
              </w:rPr>
              <w:t>Issuance</w:t>
            </w:r>
            <w:r>
              <w:rPr>
                <w:spacing w:val="7"/>
                <w:sz w:val="14"/>
              </w:rPr>
              <w:t> </w:t>
            </w:r>
            <w:r>
              <w:rPr>
                <w:sz w:val="14"/>
              </w:rPr>
              <w:t>of</w:t>
            </w:r>
            <w:r>
              <w:rPr>
                <w:spacing w:val="7"/>
                <w:sz w:val="14"/>
              </w:rPr>
              <w:t> </w:t>
            </w:r>
            <w:r>
              <w:rPr>
                <w:sz w:val="14"/>
              </w:rPr>
              <w:t>MGM</w:t>
            </w:r>
            <w:r>
              <w:rPr>
                <w:spacing w:val="7"/>
                <w:sz w:val="14"/>
              </w:rPr>
              <w:t> </w:t>
            </w:r>
            <w:r>
              <w:rPr>
                <w:sz w:val="14"/>
              </w:rPr>
              <w:t>Growth</w:t>
            </w:r>
            <w:r>
              <w:rPr>
                <w:spacing w:val="7"/>
                <w:sz w:val="14"/>
              </w:rPr>
              <w:t> </w:t>
            </w:r>
            <w:r>
              <w:rPr>
                <w:sz w:val="14"/>
              </w:rPr>
              <w:t>Properties</w:t>
            </w:r>
            <w:r>
              <w:rPr>
                <w:spacing w:val="7"/>
                <w:sz w:val="14"/>
              </w:rPr>
              <w:t> </w:t>
            </w:r>
            <w:r>
              <w:rPr>
                <w:sz w:val="14"/>
              </w:rPr>
              <w:t>Class</w:t>
            </w:r>
            <w:r>
              <w:rPr>
                <w:spacing w:val="-1"/>
                <w:sz w:val="14"/>
              </w:rPr>
              <w:t> </w:t>
            </w:r>
            <w:r>
              <w:rPr>
                <w:sz w:val="14"/>
              </w:rPr>
              <w:t>A</w:t>
            </w:r>
            <w:r>
              <w:rPr>
                <w:spacing w:val="-1"/>
                <w:sz w:val="14"/>
              </w:rPr>
              <w:t> </w:t>
            </w:r>
            <w:r>
              <w:rPr>
                <w:sz w:val="14"/>
              </w:rPr>
              <w:t>shares,</w:t>
            </w:r>
            <w:r>
              <w:rPr>
                <w:spacing w:val="7"/>
                <w:sz w:val="14"/>
              </w:rPr>
              <w:t> </w:t>
            </w:r>
            <w:r>
              <w:rPr>
                <w:spacing w:val="-5"/>
                <w:sz w:val="14"/>
              </w:rPr>
              <w:t>net</w:t>
            </w:r>
          </w:p>
        </w:tc>
        <w:tc>
          <w:tcPr>
            <w:tcW w:w="1472" w:type="dxa"/>
            <w:gridSpan w:val="3"/>
            <w:shd w:val="clear" w:color="auto" w:fill="CCEDFF"/>
          </w:tcPr>
          <w:p>
            <w:pPr>
              <w:pStyle w:val="TableParagraph"/>
              <w:spacing w:before="17"/>
              <w:ind w:right="55"/>
              <w:jc w:val="right"/>
              <w:rPr>
                <w:sz w:val="14"/>
              </w:rPr>
            </w:pPr>
            <w:r>
              <w:rPr>
                <w:spacing w:val="-10"/>
                <w:sz w:val="14"/>
              </w:rPr>
              <w:t>—</w:t>
            </w:r>
          </w:p>
        </w:tc>
        <w:tc>
          <w:tcPr>
            <w:tcW w:w="1633" w:type="dxa"/>
            <w:shd w:val="clear" w:color="auto" w:fill="CCEDFF"/>
          </w:tcPr>
          <w:p>
            <w:pPr>
              <w:pStyle w:val="TableParagraph"/>
              <w:spacing w:before="17"/>
              <w:ind w:right="106"/>
              <w:jc w:val="right"/>
              <w:rPr>
                <w:sz w:val="14"/>
              </w:rPr>
            </w:pPr>
            <w:r>
              <w:rPr>
                <w:spacing w:val="-2"/>
                <w:sz w:val="14"/>
              </w:rPr>
              <w:t>792,851</w:t>
            </w:r>
          </w:p>
        </w:tc>
        <w:tc>
          <w:tcPr>
            <w:tcW w:w="1539" w:type="dxa"/>
            <w:shd w:val="clear" w:color="auto" w:fill="CCEDFF"/>
          </w:tcPr>
          <w:p>
            <w:pPr>
              <w:pStyle w:val="TableParagraph"/>
              <w:spacing w:before="17"/>
              <w:ind w:right="61"/>
              <w:jc w:val="right"/>
              <w:rPr>
                <w:sz w:val="14"/>
              </w:rPr>
            </w:pPr>
            <w:r>
              <w:rPr>
                <w:spacing w:val="-2"/>
                <w:sz w:val="14"/>
              </w:rPr>
              <w:t>524,704</w:t>
            </w:r>
          </w:p>
        </w:tc>
      </w:tr>
      <w:tr>
        <w:trPr>
          <w:trHeight w:val="215" w:hRule="atLeast"/>
        </w:trPr>
        <w:tc>
          <w:tcPr>
            <w:tcW w:w="6871" w:type="dxa"/>
          </w:tcPr>
          <w:p>
            <w:pPr>
              <w:pStyle w:val="TableParagraph"/>
              <w:spacing w:before="17"/>
              <w:ind w:left="217"/>
              <w:rPr>
                <w:sz w:val="14"/>
              </w:rPr>
            </w:pPr>
            <w:r>
              <w:rPr>
                <w:sz w:val="14"/>
              </w:rPr>
              <w:t>Dividends</w:t>
            </w:r>
            <w:r>
              <w:rPr>
                <w:spacing w:val="7"/>
                <w:sz w:val="14"/>
              </w:rPr>
              <w:t> </w:t>
            </w:r>
            <w:r>
              <w:rPr>
                <w:sz w:val="14"/>
              </w:rPr>
              <w:t>paid</w:t>
            </w:r>
            <w:r>
              <w:rPr>
                <w:spacing w:val="7"/>
                <w:sz w:val="14"/>
              </w:rPr>
              <w:t> </w:t>
            </w:r>
            <w:r>
              <w:rPr>
                <w:sz w:val="14"/>
              </w:rPr>
              <w:t>to</w:t>
            </w:r>
            <w:r>
              <w:rPr>
                <w:spacing w:val="7"/>
                <w:sz w:val="14"/>
              </w:rPr>
              <w:t> </w:t>
            </w:r>
            <w:r>
              <w:rPr>
                <w:sz w:val="14"/>
              </w:rPr>
              <w:t>common</w:t>
            </w:r>
            <w:r>
              <w:rPr>
                <w:spacing w:val="7"/>
                <w:sz w:val="14"/>
              </w:rPr>
              <w:t> </w:t>
            </w:r>
            <w:r>
              <w:rPr>
                <w:spacing w:val="-2"/>
                <w:sz w:val="14"/>
              </w:rPr>
              <w:t>shareholders</w:t>
            </w:r>
          </w:p>
        </w:tc>
        <w:tc>
          <w:tcPr>
            <w:tcW w:w="1472" w:type="dxa"/>
            <w:gridSpan w:val="3"/>
          </w:tcPr>
          <w:p>
            <w:pPr>
              <w:pStyle w:val="TableParagraph"/>
              <w:spacing w:before="17"/>
              <w:ind w:right="19"/>
              <w:jc w:val="right"/>
              <w:rPr>
                <w:sz w:val="14"/>
              </w:rPr>
            </w:pPr>
            <w:r>
              <w:rPr>
                <w:spacing w:val="-2"/>
                <w:sz w:val="14"/>
              </w:rPr>
              <w:t>(4,048)</w:t>
            </w:r>
          </w:p>
        </w:tc>
        <w:tc>
          <w:tcPr>
            <w:tcW w:w="1633" w:type="dxa"/>
          </w:tcPr>
          <w:p>
            <w:pPr>
              <w:pStyle w:val="TableParagraph"/>
              <w:spacing w:before="17"/>
              <w:ind w:right="70"/>
              <w:jc w:val="right"/>
              <w:rPr>
                <w:sz w:val="14"/>
              </w:rPr>
            </w:pPr>
            <w:r>
              <w:rPr>
                <w:spacing w:val="-2"/>
                <w:sz w:val="14"/>
              </w:rPr>
              <w:t>(4,789)</w:t>
            </w:r>
          </w:p>
        </w:tc>
        <w:tc>
          <w:tcPr>
            <w:tcW w:w="1539" w:type="dxa"/>
          </w:tcPr>
          <w:p>
            <w:pPr>
              <w:pStyle w:val="TableParagraph"/>
              <w:spacing w:before="17"/>
              <w:ind w:right="25"/>
              <w:jc w:val="right"/>
              <w:rPr>
                <w:sz w:val="14"/>
              </w:rPr>
            </w:pPr>
            <w:r>
              <w:rPr>
                <w:spacing w:val="-2"/>
                <w:sz w:val="14"/>
              </w:rPr>
              <w:t>(77,606)</w:t>
            </w:r>
          </w:p>
        </w:tc>
      </w:tr>
      <w:tr>
        <w:trPr>
          <w:trHeight w:val="215" w:hRule="atLeast"/>
        </w:trPr>
        <w:tc>
          <w:tcPr>
            <w:tcW w:w="6871" w:type="dxa"/>
            <w:shd w:val="clear" w:color="auto" w:fill="CCEDFF"/>
          </w:tcPr>
          <w:p>
            <w:pPr>
              <w:pStyle w:val="TableParagraph"/>
              <w:spacing w:before="17"/>
              <w:ind w:left="217"/>
              <w:rPr>
                <w:sz w:val="14"/>
              </w:rPr>
            </w:pPr>
            <w:r>
              <w:rPr>
                <w:sz w:val="14"/>
              </w:rPr>
              <w:t>Distributions</w:t>
            </w:r>
            <w:r>
              <w:rPr>
                <w:spacing w:val="10"/>
                <w:sz w:val="14"/>
              </w:rPr>
              <w:t> </w:t>
            </w:r>
            <w:r>
              <w:rPr>
                <w:sz w:val="14"/>
              </w:rPr>
              <w:t>to</w:t>
            </w:r>
            <w:r>
              <w:rPr>
                <w:spacing w:val="10"/>
                <w:sz w:val="14"/>
              </w:rPr>
              <w:t> </w:t>
            </w:r>
            <w:r>
              <w:rPr>
                <w:sz w:val="14"/>
              </w:rPr>
              <w:t>noncontrolling</w:t>
            </w:r>
            <w:r>
              <w:rPr>
                <w:spacing w:val="11"/>
                <w:sz w:val="14"/>
              </w:rPr>
              <w:t> </w:t>
            </w:r>
            <w:r>
              <w:rPr>
                <w:sz w:val="14"/>
              </w:rPr>
              <w:t>interest</w:t>
            </w:r>
            <w:r>
              <w:rPr>
                <w:spacing w:val="10"/>
                <w:sz w:val="14"/>
              </w:rPr>
              <w:t> </w:t>
            </w:r>
            <w:r>
              <w:rPr>
                <w:spacing w:val="-2"/>
                <w:sz w:val="14"/>
              </w:rPr>
              <w:t>owners</w:t>
            </w:r>
          </w:p>
        </w:tc>
        <w:tc>
          <w:tcPr>
            <w:tcW w:w="1472" w:type="dxa"/>
            <w:gridSpan w:val="3"/>
            <w:shd w:val="clear" w:color="auto" w:fill="CCEDFF"/>
          </w:tcPr>
          <w:p>
            <w:pPr>
              <w:pStyle w:val="TableParagraph"/>
              <w:spacing w:before="17"/>
              <w:ind w:left="886"/>
              <w:rPr>
                <w:sz w:val="14"/>
              </w:rPr>
            </w:pPr>
            <w:r>
              <w:rPr>
                <w:spacing w:val="-2"/>
                <w:sz w:val="14"/>
              </w:rPr>
              <w:t>(210,699)</w:t>
            </w:r>
          </w:p>
        </w:tc>
        <w:tc>
          <w:tcPr>
            <w:tcW w:w="1633" w:type="dxa"/>
            <w:shd w:val="clear" w:color="auto" w:fill="CCEDFF"/>
          </w:tcPr>
          <w:p>
            <w:pPr>
              <w:pStyle w:val="TableParagraph"/>
              <w:spacing w:before="17"/>
              <w:ind w:right="70"/>
              <w:jc w:val="right"/>
              <w:rPr>
                <w:sz w:val="14"/>
              </w:rPr>
            </w:pPr>
            <w:r>
              <w:rPr>
                <w:spacing w:val="-2"/>
                <w:sz w:val="14"/>
              </w:rPr>
              <w:t>(324,190)</w:t>
            </w:r>
          </w:p>
        </w:tc>
        <w:tc>
          <w:tcPr>
            <w:tcW w:w="1539" w:type="dxa"/>
            <w:shd w:val="clear" w:color="auto" w:fill="CCEDFF"/>
          </w:tcPr>
          <w:p>
            <w:pPr>
              <w:pStyle w:val="TableParagraph"/>
              <w:spacing w:before="17"/>
              <w:ind w:right="25"/>
              <w:jc w:val="right"/>
              <w:rPr>
                <w:sz w:val="14"/>
              </w:rPr>
            </w:pPr>
            <w:r>
              <w:rPr>
                <w:spacing w:val="-2"/>
                <w:sz w:val="14"/>
              </w:rPr>
              <w:t>(286,385)</w:t>
            </w:r>
          </w:p>
        </w:tc>
      </w:tr>
      <w:tr>
        <w:trPr>
          <w:trHeight w:val="215" w:hRule="atLeast"/>
        </w:trPr>
        <w:tc>
          <w:tcPr>
            <w:tcW w:w="6871" w:type="dxa"/>
          </w:tcPr>
          <w:p>
            <w:pPr>
              <w:pStyle w:val="TableParagraph"/>
              <w:spacing w:before="17"/>
              <w:ind w:left="217"/>
              <w:rPr>
                <w:sz w:val="14"/>
              </w:rPr>
            </w:pPr>
            <w:r>
              <w:rPr>
                <w:sz w:val="14"/>
              </w:rPr>
              <w:t>Repurchases</w:t>
            </w:r>
            <w:r>
              <w:rPr>
                <w:spacing w:val="8"/>
                <w:sz w:val="14"/>
              </w:rPr>
              <w:t> </w:t>
            </w:r>
            <w:r>
              <w:rPr>
                <w:sz w:val="14"/>
              </w:rPr>
              <w:t>of</w:t>
            </w:r>
            <w:r>
              <w:rPr>
                <w:spacing w:val="9"/>
                <w:sz w:val="14"/>
              </w:rPr>
              <w:t> </w:t>
            </w:r>
            <w:r>
              <w:rPr>
                <w:sz w:val="14"/>
              </w:rPr>
              <w:t>common</w:t>
            </w:r>
            <w:r>
              <w:rPr>
                <w:spacing w:val="9"/>
                <w:sz w:val="14"/>
              </w:rPr>
              <w:t> </w:t>
            </w:r>
            <w:r>
              <w:rPr>
                <w:spacing w:val="-2"/>
                <w:sz w:val="14"/>
              </w:rPr>
              <w:t>stock</w:t>
            </w:r>
          </w:p>
        </w:tc>
        <w:tc>
          <w:tcPr>
            <w:tcW w:w="1472" w:type="dxa"/>
            <w:gridSpan w:val="3"/>
          </w:tcPr>
          <w:p>
            <w:pPr>
              <w:pStyle w:val="TableParagraph"/>
              <w:spacing w:before="17"/>
              <w:ind w:left="778"/>
              <w:rPr>
                <w:sz w:val="14"/>
              </w:rPr>
            </w:pPr>
            <w:r>
              <w:rPr>
                <w:spacing w:val="-2"/>
                <w:sz w:val="14"/>
              </w:rPr>
              <w:t>(2,775,217)</w:t>
            </w:r>
          </w:p>
        </w:tc>
        <w:tc>
          <w:tcPr>
            <w:tcW w:w="1633" w:type="dxa"/>
          </w:tcPr>
          <w:p>
            <w:pPr>
              <w:pStyle w:val="TableParagraph"/>
              <w:spacing w:before="17"/>
              <w:ind w:right="70"/>
              <w:jc w:val="right"/>
              <w:rPr>
                <w:sz w:val="14"/>
              </w:rPr>
            </w:pPr>
            <w:r>
              <w:rPr>
                <w:spacing w:val="-2"/>
                <w:sz w:val="14"/>
              </w:rPr>
              <w:t>(1,753,509)</w:t>
            </w:r>
          </w:p>
        </w:tc>
        <w:tc>
          <w:tcPr>
            <w:tcW w:w="1539" w:type="dxa"/>
          </w:tcPr>
          <w:p>
            <w:pPr>
              <w:pStyle w:val="TableParagraph"/>
              <w:spacing w:before="17"/>
              <w:ind w:right="25"/>
              <w:jc w:val="right"/>
              <w:rPr>
                <w:sz w:val="14"/>
              </w:rPr>
            </w:pPr>
            <w:r>
              <w:rPr>
                <w:spacing w:val="-2"/>
                <w:sz w:val="14"/>
              </w:rPr>
              <w:t>(353,720)</w:t>
            </w:r>
          </w:p>
        </w:tc>
      </w:tr>
      <w:tr>
        <w:trPr>
          <w:trHeight w:val="228" w:hRule="atLeast"/>
        </w:trPr>
        <w:tc>
          <w:tcPr>
            <w:tcW w:w="6871" w:type="dxa"/>
            <w:shd w:val="clear" w:color="auto" w:fill="CCEDFF"/>
          </w:tcPr>
          <w:p>
            <w:pPr>
              <w:pStyle w:val="TableParagraph"/>
              <w:spacing w:before="31"/>
              <w:ind w:left="217"/>
              <w:rPr>
                <w:sz w:val="14"/>
              </w:rPr>
            </w:pPr>
            <w:r>
              <w:rPr>
                <w:spacing w:val="-4"/>
                <w:sz w:val="14"/>
              </w:rPr>
              <w:t>Other</w:t>
            </w:r>
          </w:p>
        </w:tc>
        <w:tc>
          <w:tcPr>
            <w:tcW w:w="1472" w:type="dxa"/>
            <w:gridSpan w:val="3"/>
            <w:tcBorders>
              <w:bottom w:val="single" w:sz="6" w:space="0" w:color="000000"/>
            </w:tcBorders>
            <w:shd w:val="clear" w:color="auto" w:fill="CCEDFF"/>
          </w:tcPr>
          <w:p>
            <w:pPr>
              <w:pStyle w:val="TableParagraph"/>
              <w:spacing w:before="17"/>
              <w:ind w:left="891"/>
              <w:rPr>
                <w:sz w:val="14"/>
              </w:rPr>
            </w:pPr>
            <w:r>
              <w:rPr>
                <w:spacing w:val="-2"/>
                <w:sz w:val="14"/>
              </w:rPr>
              <w:t>(110,907)</w:t>
            </w:r>
          </w:p>
        </w:tc>
        <w:tc>
          <w:tcPr>
            <w:tcW w:w="1633" w:type="dxa"/>
            <w:tcBorders>
              <w:bottom w:val="single" w:sz="6" w:space="0" w:color="000000"/>
            </w:tcBorders>
            <w:shd w:val="clear" w:color="auto" w:fill="CCEDFF"/>
          </w:tcPr>
          <w:p>
            <w:pPr>
              <w:pStyle w:val="TableParagraph"/>
              <w:spacing w:before="17"/>
              <w:ind w:right="70"/>
              <w:jc w:val="right"/>
              <w:rPr>
                <w:sz w:val="14"/>
              </w:rPr>
            </w:pPr>
            <w:r>
              <w:rPr>
                <w:spacing w:val="-2"/>
                <w:sz w:val="14"/>
              </w:rPr>
              <w:t>(159,290)</w:t>
            </w:r>
          </w:p>
        </w:tc>
        <w:tc>
          <w:tcPr>
            <w:tcW w:w="1539" w:type="dxa"/>
            <w:tcBorders>
              <w:bottom w:val="single" w:sz="6" w:space="0" w:color="000000"/>
            </w:tcBorders>
            <w:shd w:val="clear" w:color="auto" w:fill="CCEDFF"/>
          </w:tcPr>
          <w:p>
            <w:pPr>
              <w:pStyle w:val="TableParagraph"/>
              <w:spacing w:before="17"/>
              <w:ind w:right="25"/>
              <w:jc w:val="right"/>
              <w:rPr>
                <w:sz w:val="14"/>
              </w:rPr>
            </w:pPr>
            <w:r>
              <w:rPr>
                <w:spacing w:val="-2"/>
                <w:sz w:val="14"/>
              </w:rPr>
              <w:t>(53,939)</w:t>
            </w:r>
          </w:p>
        </w:tc>
      </w:tr>
      <w:tr>
        <w:trPr>
          <w:trHeight w:val="214" w:hRule="atLeast"/>
        </w:trPr>
        <w:tc>
          <w:tcPr>
            <w:tcW w:w="6871" w:type="dxa"/>
          </w:tcPr>
          <w:p>
            <w:pPr>
              <w:pStyle w:val="TableParagraph"/>
              <w:spacing w:before="17"/>
              <w:ind w:left="955"/>
              <w:rPr>
                <w:sz w:val="14"/>
              </w:rPr>
            </w:pPr>
            <w:r>
              <w:rPr>
                <w:sz w:val="14"/>
              </w:rPr>
              <w:t>Net</w:t>
            </w:r>
            <w:r>
              <w:rPr>
                <w:spacing w:val="5"/>
                <w:sz w:val="14"/>
              </w:rPr>
              <w:t> </w:t>
            </w:r>
            <w:r>
              <w:rPr>
                <w:sz w:val="14"/>
              </w:rPr>
              <w:t>cash</w:t>
            </w:r>
            <w:r>
              <w:rPr>
                <w:spacing w:val="6"/>
                <w:sz w:val="14"/>
              </w:rPr>
              <w:t> </w:t>
            </w:r>
            <w:r>
              <w:rPr>
                <w:sz w:val="14"/>
              </w:rPr>
              <w:t>provided</w:t>
            </w:r>
            <w:r>
              <w:rPr>
                <w:spacing w:val="6"/>
                <w:sz w:val="14"/>
              </w:rPr>
              <w:t> </w:t>
            </w:r>
            <w:r>
              <w:rPr>
                <w:sz w:val="14"/>
              </w:rPr>
              <w:t>by</w:t>
            </w:r>
            <w:r>
              <w:rPr>
                <w:spacing w:val="6"/>
                <w:sz w:val="14"/>
              </w:rPr>
              <w:t> </w:t>
            </w:r>
            <w:r>
              <w:rPr>
                <w:sz w:val="14"/>
              </w:rPr>
              <w:t>(used</w:t>
            </w:r>
            <w:r>
              <w:rPr>
                <w:spacing w:val="6"/>
                <w:sz w:val="14"/>
              </w:rPr>
              <w:t> </w:t>
            </w:r>
            <w:r>
              <w:rPr>
                <w:sz w:val="14"/>
              </w:rPr>
              <w:t>in)</w:t>
            </w:r>
            <w:r>
              <w:rPr>
                <w:spacing w:val="6"/>
                <w:sz w:val="14"/>
              </w:rPr>
              <w:t> </w:t>
            </w:r>
            <w:r>
              <w:rPr>
                <w:sz w:val="14"/>
              </w:rPr>
              <w:t>financing</w:t>
            </w:r>
            <w:r>
              <w:rPr>
                <w:spacing w:val="6"/>
                <w:sz w:val="14"/>
              </w:rPr>
              <w:t> </w:t>
            </w:r>
            <w:r>
              <w:rPr>
                <w:spacing w:val="-2"/>
                <w:sz w:val="14"/>
              </w:rPr>
              <w:t>activities</w:t>
            </w:r>
          </w:p>
        </w:tc>
        <w:tc>
          <w:tcPr>
            <w:tcW w:w="1472" w:type="dxa"/>
            <w:gridSpan w:val="3"/>
            <w:tcBorders>
              <w:top w:val="single" w:sz="6" w:space="0" w:color="000000"/>
              <w:bottom w:val="single" w:sz="6" w:space="0" w:color="000000"/>
            </w:tcBorders>
          </w:tcPr>
          <w:p>
            <w:pPr>
              <w:pStyle w:val="TableParagraph"/>
              <w:spacing w:before="17"/>
              <w:ind w:left="778"/>
              <w:rPr>
                <w:sz w:val="14"/>
              </w:rPr>
            </w:pPr>
            <w:r>
              <w:rPr>
                <w:spacing w:val="-2"/>
                <w:sz w:val="14"/>
              </w:rPr>
              <w:t>(3,024,302)</w:t>
            </w:r>
          </w:p>
        </w:tc>
        <w:tc>
          <w:tcPr>
            <w:tcW w:w="1633" w:type="dxa"/>
            <w:tcBorders>
              <w:top w:val="single" w:sz="6" w:space="0" w:color="000000"/>
              <w:bottom w:val="single" w:sz="6" w:space="0" w:color="000000"/>
            </w:tcBorders>
          </w:tcPr>
          <w:p>
            <w:pPr>
              <w:pStyle w:val="TableParagraph"/>
              <w:spacing w:before="17"/>
              <w:ind w:right="70"/>
              <w:jc w:val="right"/>
              <w:rPr>
                <w:sz w:val="14"/>
              </w:rPr>
            </w:pPr>
            <w:r>
              <w:rPr>
                <w:spacing w:val="-2"/>
                <w:sz w:val="14"/>
              </w:rPr>
              <w:t>(2,814,095)</w:t>
            </w:r>
          </w:p>
        </w:tc>
        <w:tc>
          <w:tcPr>
            <w:tcW w:w="1539" w:type="dxa"/>
            <w:tcBorders>
              <w:top w:val="single" w:sz="6" w:space="0" w:color="000000"/>
              <w:bottom w:val="single" w:sz="6" w:space="0" w:color="000000"/>
            </w:tcBorders>
          </w:tcPr>
          <w:p>
            <w:pPr>
              <w:pStyle w:val="TableParagraph"/>
              <w:spacing w:before="17"/>
              <w:ind w:right="61"/>
              <w:jc w:val="right"/>
              <w:rPr>
                <w:sz w:val="14"/>
              </w:rPr>
            </w:pPr>
            <w:r>
              <w:rPr>
                <w:spacing w:val="-2"/>
                <w:sz w:val="14"/>
              </w:rPr>
              <w:t>2,103,427</w:t>
            </w:r>
          </w:p>
        </w:tc>
      </w:tr>
      <w:tr>
        <w:trPr>
          <w:trHeight w:val="215" w:hRule="atLeast"/>
        </w:trPr>
        <w:tc>
          <w:tcPr>
            <w:tcW w:w="6871" w:type="dxa"/>
            <w:shd w:val="clear" w:color="auto" w:fill="CCEDFF"/>
          </w:tcPr>
          <w:p>
            <w:pPr>
              <w:pStyle w:val="TableParagraph"/>
              <w:spacing w:before="3"/>
              <w:ind w:left="17"/>
              <w:rPr>
                <w:b/>
                <w:sz w:val="14"/>
              </w:rPr>
            </w:pPr>
            <w:r>
              <w:rPr>
                <w:b/>
                <w:sz w:val="14"/>
              </w:rPr>
              <w:t>Effect</w:t>
            </w:r>
            <w:r>
              <w:rPr>
                <w:b/>
                <w:spacing w:val="6"/>
                <w:sz w:val="14"/>
              </w:rPr>
              <w:t> </w:t>
            </w:r>
            <w:r>
              <w:rPr>
                <w:b/>
                <w:sz w:val="14"/>
              </w:rPr>
              <w:t>of</w:t>
            </w:r>
            <w:r>
              <w:rPr>
                <w:b/>
                <w:spacing w:val="7"/>
                <w:sz w:val="14"/>
              </w:rPr>
              <w:t> </w:t>
            </w:r>
            <w:r>
              <w:rPr>
                <w:b/>
                <w:sz w:val="14"/>
              </w:rPr>
              <w:t>exchange</w:t>
            </w:r>
            <w:r>
              <w:rPr>
                <w:b/>
                <w:spacing w:val="7"/>
                <w:sz w:val="14"/>
              </w:rPr>
              <w:t> </w:t>
            </w:r>
            <w:r>
              <w:rPr>
                <w:b/>
                <w:sz w:val="14"/>
              </w:rPr>
              <w:t>rate</w:t>
            </w:r>
            <w:r>
              <w:rPr>
                <w:b/>
                <w:spacing w:val="6"/>
                <w:sz w:val="14"/>
              </w:rPr>
              <w:t> </w:t>
            </w:r>
            <w:r>
              <w:rPr>
                <w:b/>
                <w:sz w:val="14"/>
              </w:rPr>
              <w:t>on</w:t>
            </w:r>
            <w:r>
              <w:rPr>
                <w:b/>
                <w:spacing w:val="7"/>
                <w:sz w:val="14"/>
              </w:rPr>
              <w:t> </w:t>
            </w:r>
            <w:r>
              <w:rPr>
                <w:b/>
                <w:sz w:val="14"/>
              </w:rPr>
              <w:t>cash,</w:t>
            </w:r>
            <w:r>
              <w:rPr>
                <w:b/>
                <w:spacing w:val="7"/>
                <w:sz w:val="14"/>
              </w:rPr>
              <w:t> </w:t>
            </w:r>
            <w:r>
              <w:rPr>
                <w:b/>
                <w:sz w:val="14"/>
              </w:rPr>
              <w:t>cash</w:t>
            </w:r>
            <w:r>
              <w:rPr>
                <w:b/>
                <w:spacing w:val="6"/>
                <w:sz w:val="14"/>
              </w:rPr>
              <w:t> </w:t>
            </w:r>
            <w:r>
              <w:rPr>
                <w:b/>
                <w:sz w:val="14"/>
              </w:rPr>
              <w:t>equivalents,</w:t>
            </w:r>
            <w:r>
              <w:rPr>
                <w:b/>
                <w:spacing w:val="7"/>
                <w:sz w:val="14"/>
              </w:rPr>
              <w:t> </w:t>
            </w:r>
            <w:r>
              <w:rPr>
                <w:b/>
                <w:sz w:val="14"/>
              </w:rPr>
              <w:t>and</w:t>
            </w:r>
            <w:r>
              <w:rPr>
                <w:b/>
                <w:spacing w:val="7"/>
                <w:sz w:val="14"/>
              </w:rPr>
              <w:t> </w:t>
            </w:r>
            <w:r>
              <w:rPr>
                <w:b/>
                <w:sz w:val="14"/>
              </w:rPr>
              <w:t>restricted</w:t>
            </w:r>
            <w:r>
              <w:rPr>
                <w:b/>
                <w:spacing w:val="6"/>
                <w:sz w:val="14"/>
              </w:rPr>
              <w:t> </w:t>
            </w:r>
            <w:r>
              <w:rPr>
                <w:b/>
                <w:spacing w:val="-4"/>
                <w:sz w:val="14"/>
              </w:rPr>
              <w:t>cash</w:t>
            </w:r>
          </w:p>
        </w:tc>
        <w:tc>
          <w:tcPr>
            <w:tcW w:w="1472" w:type="dxa"/>
            <w:gridSpan w:val="3"/>
            <w:tcBorders>
              <w:top w:val="single" w:sz="6" w:space="0" w:color="000000"/>
            </w:tcBorders>
            <w:shd w:val="clear" w:color="auto" w:fill="CCEDFF"/>
          </w:tcPr>
          <w:p>
            <w:pPr>
              <w:pStyle w:val="TableParagraph"/>
              <w:spacing w:before="17"/>
              <w:ind w:right="55"/>
              <w:jc w:val="right"/>
              <w:rPr>
                <w:sz w:val="14"/>
              </w:rPr>
            </w:pPr>
            <w:r>
              <w:rPr>
                <w:spacing w:val="-2"/>
                <w:sz w:val="14"/>
              </w:rPr>
              <w:t>8,926</w:t>
            </w:r>
          </w:p>
        </w:tc>
        <w:tc>
          <w:tcPr>
            <w:tcW w:w="1633" w:type="dxa"/>
            <w:tcBorders>
              <w:top w:val="single" w:sz="6" w:space="0" w:color="000000"/>
            </w:tcBorders>
            <w:shd w:val="clear" w:color="auto" w:fill="CCEDFF"/>
          </w:tcPr>
          <w:p>
            <w:pPr>
              <w:pStyle w:val="TableParagraph"/>
              <w:spacing w:before="17"/>
              <w:ind w:right="70"/>
              <w:jc w:val="right"/>
              <w:rPr>
                <w:sz w:val="14"/>
              </w:rPr>
            </w:pPr>
            <w:r>
              <w:rPr>
                <w:spacing w:val="-2"/>
                <w:sz w:val="14"/>
              </w:rPr>
              <w:t>(1,551)</w:t>
            </w:r>
          </w:p>
        </w:tc>
        <w:tc>
          <w:tcPr>
            <w:tcW w:w="1539" w:type="dxa"/>
            <w:tcBorders>
              <w:top w:val="single" w:sz="6" w:space="0" w:color="000000"/>
            </w:tcBorders>
            <w:shd w:val="clear" w:color="auto" w:fill="CCEDFF"/>
          </w:tcPr>
          <w:p>
            <w:pPr>
              <w:pStyle w:val="TableParagraph"/>
              <w:spacing w:before="17"/>
              <w:ind w:right="61"/>
              <w:jc w:val="right"/>
              <w:rPr>
                <w:sz w:val="14"/>
              </w:rPr>
            </w:pPr>
            <w:r>
              <w:rPr>
                <w:spacing w:val="-2"/>
                <w:sz w:val="14"/>
              </w:rPr>
              <w:t>2,345</w:t>
            </w:r>
          </w:p>
        </w:tc>
      </w:tr>
      <w:tr>
        <w:trPr>
          <w:trHeight w:val="215" w:hRule="atLeast"/>
        </w:trPr>
        <w:tc>
          <w:tcPr>
            <w:tcW w:w="6871" w:type="dxa"/>
          </w:tcPr>
          <w:p>
            <w:pPr>
              <w:pStyle w:val="TableParagraph"/>
              <w:spacing w:before="17"/>
              <w:ind w:left="17"/>
              <w:rPr>
                <w:b/>
                <w:sz w:val="14"/>
              </w:rPr>
            </w:pPr>
            <w:r>
              <w:rPr>
                <w:b/>
                <w:sz w:val="14"/>
              </w:rPr>
              <w:t>Change</w:t>
            </w:r>
            <w:r>
              <w:rPr>
                <w:b/>
                <w:spacing w:val="6"/>
                <w:sz w:val="14"/>
              </w:rPr>
              <w:t> </w:t>
            </w:r>
            <w:r>
              <w:rPr>
                <w:b/>
                <w:sz w:val="14"/>
              </w:rPr>
              <w:t>in</w:t>
            </w:r>
            <w:r>
              <w:rPr>
                <w:b/>
                <w:spacing w:val="6"/>
                <w:sz w:val="14"/>
              </w:rPr>
              <w:t> </w:t>
            </w:r>
            <w:r>
              <w:rPr>
                <w:b/>
                <w:sz w:val="14"/>
              </w:rPr>
              <w:t>cash</w:t>
            </w:r>
            <w:r>
              <w:rPr>
                <w:b/>
                <w:spacing w:val="6"/>
                <w:sz w:val="14"/>
              </w:rPr>
              <w:t> </w:t>
            </w:r>
            <w:r>
              <w:rPr>
                <w:b/>
                <w:sz w:val="14"/>
              </w:rPr>
              <w:t>and</w:t>
            </w:r>
            <w:r>
              <w:rPr>
                <w:b/>
                <w:spacing w:val="7"/>
                <w:sz w:val="14"/>
              </w:rPr>
              <w:t> </w:t>
            </w:r>
            <w:r>
              <w:rPr>
                <w:b/>
                <w:sz w:val="14"/>
              </w:rPr>
              <w:t>cash</w:t>
            </w:r>
            <w:r>
              <w:rPr>
                <w:b/>
                <w:spacing w:val="6"/>
                <w:sz w:val="14"/>
              </w:rPr>
              <w:t> </w:t>
            </w:r>
            <w:r>
              <w:rPr>
                <w:b/>
                <w:sz w:val="14"/>
              </w:rPr>
              <w:t>equivalents</w:t>
            </w:r>
            <w:r>
              <w:rPr>
                <w:b/>
                <w:spacing w:val="6"/>
                <w:sz w:val="14"/>
              </w:rPr>
              <w:t> </w:t>
            </w:r>
            <w:r>
              <w:rPr>
                <w:b/>
                <w:sz w:val="14"/>
              </w:rPr>
              <w:t>classified</w:t>
            </w:r>
            <w:r>
              <w:rPr>
                <w:b/>
                <w:spacing w:val="7"/>
                <w:sz w:val="14"/>
              </w:rPr>
              <w:t> </w:t>
            </w:r>
            <w:r>
              <w:rPr>
                <w:b/>
                <w:sz w:val="14"/>
              </w:rPr>
              <w:t>as</w:t>
            </w:r>
            <w:r>
              <w:rPr>
                <w:b/>
                <w:spacing w:val="6"/>
                <w:sz w:val="14"/>
              </w:rPr>
              <w:t> </w:t>
            </w:r>
            <w:r>
              <w:rPr>
                <w:b/>
                <w:sz w:val="14"/>
              </w:rPr>
              <w:t>assets</w:t>
            </w:r>
            <w:r>
              <w:rPr>
                <w:b/>
                <w:spacing w:val="6"/>
                <w:sz w:val="14"/>
              </w:rPr>
              <w:t> </w:t>
            </w:r>
            <w:r>
              <w:rPr>
                <w:b/>
                <w:sz w:val="14"/>
              </w:rPr>
              <w:t>held</w:t>
            </w:r>
            <w:r>
              <w:rPr>
                <w:b/>
                <w:spacing w:val="7"/>
                <w:sz w:val="14"/>
              </w:rPr>
              <w:t> </w:t>
            </w:r>
            <w:r>
              <w:rPr>
                <w:b/>
                <w:sz w:val="14"/>
              </w:rPr>
              <w:t>for</w:t>
            </w:r>
            <w:r>
              <w:rPr>
                <w:b/>
                <w:spacing w:val="4"/>
                <w:sz w:val="14"/>
              </w:rPr>
              <w:t> </w:t>
            </w:r>
            <w:r>
              <w:rPr>
                <w:b/>
                <w:spacing w:val="-4"/>
                <w:sz w:val="14"/>
              </w:rPr>
              <w:t>sale</w:t>
            </w:r>
          </w:p>
        </w:tc>
        <w:tc>
          <w:tcPr>
            <w:tcW w:w="1472" w:type="dxa"/>
            <w:gridSpan w:val="3"/>
            <w:tcBorders>
              <w:bottom w:val="single" w:sz="6" w:space="0" w:color="000000"/>
            </w:tcBorders>
          </w:tcPr>
          <w:p>
            <w:pPr>
              <w:pStyle w:val="TableParagraph"/>
              <w:spacing w:before="17"/>
              <w:ind w:left="958"/>
              <w:rPr>
                <w:sz w:val="14"/>
              </w:rPr>
            </w:pPr>
            <w:r>
              <w:rPr>
                <w:spacing w:val="-2"/>
                <w:sz w:val="14"/>
              </w:rPr>
              <w:t>(25,938)</w:t>
            </w:r>
          </w:p>
        </w:tc>
        <w:tc>
          <w:tcPr>
            <w:tcW w:w="1633" w:type="dxa"/>
            <w:tcBorders>
              <w:bottom w:val="single" w:sz="6" w:space="0" w:color="000000"/>
            </w:tcBorders>
          </w:tcPr>
          <w:p>
            <w:pPr>
              <w:pStyle w:val="TableParagraph"/>
              <w:spacing w:before="17"/>
              <w:ind w:right="106"/>
              <w:jc w:val="right"/>
              <w:rPr>
                <w:sz w:val="14"/>
              </w:rPr>
            </w:pPr>
            <w:r>
              <w:rPr>
                <w:spacing w:val="-10"/>
                <w:sz w:val="14"/>
              </w:rPr>
              <w:t>—</w:t>
            </w:r>
          </w:p>
        </w:tc>
        <w:tc>
          <w:tcPr>
            <w:tcW w:w="1539" w:type="dxa"/>
            <w:tcBorders>
              <w:bottom w:val="single" w:sz="6" w:space="0" w:color="000000"/>
            </w:tcBorders>
          </w:tcPr>
          <w:p>
            <w:pPr>
              <w:pStyle w:val="TableParagraph"/>
              <w:spacing w:before="17"/>
              <w:ind w:right="61"/>
              <w:jc w:val="right"/>
              <w:rPr>
                <w:sz w:val="14"/>
              </w:rPr>
            </w:pPr>
            <w:r>
              <w:rPr>
                <w:spacing w:val="-10"/>
                <w:sz w:val="14"/>
              </w:rPr>
              <w:t>—</w:t>
            </w:r>
          </w:p>
        </w:tc>
      </w:tr>
      <w:tr>
        <w:trPr>
          <w:trHeight w:val="215" w:hRule="atLeast"/>
        </w:trPr>
        <w:tc>
          <w:tcPr>
            <w:tcW w:w="6871" w:type="dxa"/>
            <w:shd w:val="clear" w:color="auto" w:fill="CCEDFF"/>
          </w:tcPr>
          <w:p>
            <w:pPr>
              <w:pStyle w:val="TableParagraph"/>
              <w:spacing w:before="17"/>
              <w:ind w:left="17"/>
              <w:rPr>
                <w:b/>
                <w:sz w:val="14"/>
              </w:rPr>
            </w:pPr>
            <w:r>
              <w:rPr>
                <w:b/>
                <w:sz w:val="14"/>
              </w:rPr>
              <w:t>Cash,</w:t>
            </w:r>
            <w:r>
              <w:rPr>
                <w:b/>
                <w:spacing w:val="7"/>
                <w:sz w:val="14"/>
              </w:rPr>
              <w:t> </w:t>
            </w:r>
            <w:r>
              <w:rPr>
                <w:b/>
                <w:sz w:val="14"/>
              </w:rPr>
              <w:t>cash</w:t>
            </w:r>
            <w:r>
              <w:rPr>
                <w:b/>
                <w:spacing w:val="8"/>
                <w:sz w:val="14"/>
              </w:rPr>
              <w:t> </w:t>
            </w:r>
            <w:r>
              <w:rPr>
                <w:b/>
                <w:sz w:val="14"/>
              </w:rPr>
              <w:t>equivalents,</w:t>
            </w:r>
            <w:r>
              <w:rPr>
                <w:b/>
                <w:spacing w:val="8"/>
                <w:sz w:val="14"/>
              </w:rPr>
              <w:t> </w:t>
            </w:r>
            <w:r>
              <w:rPr>
                <w:b/>
                <w:sz w:val="14"/>
              </w:rPr>
              <w:t>and</w:t>
            </w:r>
            <w:r>
              <w:rPr>
                <w:b/>
                <w:spacing w:val="8"/>
                <w:sz w:val="14"/>
              </w:rPr>
              <w:t> </w:t>
            </w:r>
            <w:r>
              <w:rPr>
                <w:b/>
                <w:sz w:val="14"/>
              </w:rPr>
              <w:t>restricted</w:t>
            </w:r>
            <w:r>
              <w:rPr>
                <w:b/>
                <w:spacing w:val="8"/>
                <w:sz w:val="14"/>
              </w:rPr>
              <w:t> </w:t>
            </w:r>
            <w:r>
              <w:rPr>
                <w:b/>
                <w:spacing w:val="-4"/>
                <w:sz w:val="14"/>
              </w:rPr>
              <w:t>cash</w:t>
            </w:r>
          </w:p>
        </w:tc>
        <w:tc>
          <w:tcPr>
            <w:tcW w:w="1472" w:type="dxa"/>
            <w:gridSpan w:val="3"/>
            <w:tcBorders>
              <w:top w:val="single" w:sz="6" w:space="0" w:color="000000"/>
            </w:tcBorders>
            <w:shd w:val="clear" w:color="auto" w:fill="CCEDFF"/>
          </w:tcPr>
          <w:p>
            <w:pPr>
              <w:pStyle w:val="TableParagraph"/>
              <w:spacing w:before="0"/>
              <w:rPr>
                <w:sz w:val="14"/>
              </w:rPr>
            </w:pPr>
          </w:p>
        </w:tc>
        <w:tc>
          <w:tcPr>
            <w:tcW w:w="1633" w:type="dxa"/>
            <w:tcBorders>
              <w:top w:val="single" w:sz="6" w:space="0" w:color="000000"/>
            </w:tcBorders>
            <w:shd w:val="clear" w:color="auto" w:fill="CCEDFF"/>
          </w:tcPr>
          <w:p>
            <w:pPr>
              <w:pStyle w:val="TableParagraph"/>
              <w:spacing w:before="0"/>
              <w:rPr>
                <w:sz w:val="14"/>
              </w:rPr>
            </w:pPr>
          </w:p>
        </w:tc>
        <w:tc>
          <w:tcPr>
            <w:tcW w:w="1539" w:type="dxa"/>
            <w:tcBorders>
              <w:top w:val="single" w:sz="6" w:space="0" w:color="000000"/>
            </w:tcBorders>
            <w:shd w:val="clear" w:color="auto" w:fill="CCEDFF"/>
          </w:tcPr>
          <w:p>
            <w:pPr>
              <w:pStyle w:val="TableParagraph"/>
              <w:spacing w:before="0"/>
              <w:rPr>
                <w:sz w:val="14"/>
              </w:rPr>
            </w:pPr>
          </w:p>
        </w:tc>
      </w:tr>
      <w:tr>
        <w:trPr>
          <w:trHeight w:val="215" w:hRule="atLeast"/>
        </w:trPr>
        <w:tc>
          <w:tcPr>
            <w:tcW w:w="6871" w:type="dxa"/>
          </w:tcPr>
          <w:p>
            <w:pPr>
              <w:pStyle w:val="TableParagraph"/>
              <w:spacing w:before="17"/>
              <w:ind w:left="217"/>
              <w:rPr>
                <w:sz w:val="14"/>
              </w:rPr>
            </w:pPr>
            <w:r>
              <w:rPr>
                <w:sz w:val="14"/>
              </w:rPr>
              <w:t>Net</w:t>
            </w:r>
            <w:r>
              <w:rPr>
                <w:spacing w:val="4"/>
                <w:sz w:val="14"/>
              </w:rPr>
              <w:t> </w:t>
            </w:r>
            <w:r>
              <w:rPr>
                <w:sz w:val="14"/>
              </w:rPr>
              <w:t>increase</w:t>
            </w:r>
            <w:r>
              <w:rPr>
                <w:spacing w:val="5"/>
                <w:sz w:val="14"/>
              </w:rPr>
              <w:t> </w:t>
            </w:r>
            <w:r>
              <w:rPr>
                <w:sz w:val="14"/>
              </w:rPr>
              <w:t>for</w:t>
            </w:r>
            <w:r>
              <w:rPr>
                <w:spacing w:val="5"/>
                <w:sz w:val="14"/>
              </w:rPr>
              <w:t> </w:t>
            </w:r>
            <w:r>
              <w:rPr>
                <w:sz w:val="14"/>
              </w:rPr>
              <w:t>the</w:t>
            </w:r>
            <w:r>
              <w:rPr>
                <w:spacing w:val="5"/>
                <w:sz w:val="14"/>
              </w:rPr>
              <w:t> </w:t>
            </w:r>
            <w:r>
              <w:rPr>
                <w:spacing w:val="-2"/>
                <w:sz w:val="14"/>
              </w:rPr>
              <w:t>period</w:t>
            </w:r>
          </w:p>
        </w:tc>
        <w:tc>
          <w:tcPr>
            <w:tcW w:w="1472" w:type="dxa"/>
            <w:gridSpan w:val="3"/>
          </w:tcPr>
          <w:p>
            <w:pPr>
              <w:pStyle w:val="TableParagraph"/>
              <w:spacing w:before="17"/>
              <w:ind w:left="946"/>
              <w:rPr>
                <w:sz w:val="14"/>
              </w:rPr>
            </w:pPr>
            <w:r>
              <w:rPr>
                <w:spacing w:val="-2"/>
                <w:sz w:val="14"/>
              </w:rPr>
              <w:t>833,329</w:t>
            </w:r>
          </w:p>
        </w:tc>
        <w:tc>
          <w:tcPr>
            <w:tcW w:w="1633" w:type="dxa"/>
          </w:tcPr>
          <w:p>
            <w:pPr>
              <w:pStyle w:val="TableParagraph"/>
              <w:spacing w:before="17"/>
              <w:ind w:right="106"/>
              <w:jc w:val="right"/>
              <w:rPr>
                <w:sz w:val="14"/>
              </w:rPr>
            </w:pPr>
            <w:r>
              <w:rPr>
                <w:spacing w:val="-2"/>
                <w:sz w:val="14"/>
              </w:rPr>
              <w:t>101,422</w:t>
            </w:r>
          </w:p>
        </w:tc>
        <w:tc>
          <w:tcPr>
            <w:tcW w:w="1539" w:type="dxa"/>
          </w:tcPr>
          <w:p>
            <w:pPr>
              <w:pStyle w:val="TableParagraph"/>
              <w:spacing w:before="17"/>
              <w:ind w:right="61"/>
              <w:jc w:val="right"/>
              <w:rPr>
                <w:sz w:val="14"/>
              </w:rPr>
            </w:pPr>
            <w:r>
              <w:rPr>
                <w:spacing w:val="-2"/>
                <w:sz w:val="14"/>
              </w:rPr>
              <w:t>2,772,033</w:t>
            </w:r>
          </w:p>
        </w:tc>
      </w:tr>
      <w:tr>
        <w:trPr>
          <w:trHeight w:val="215" w:hRule="atLeast"/>
        </w:trPr>
        <w:tc>
          <w:tcPr>
            <w:tcW w:w="6871" w:type="dxa"/>
            <w:shd w:val="clear" w:color="auto" w:fill="CCEDFF"/>
          </w:tcPr>
          <w:p>
            <w:pPr>
              <w:pStyle w:val="TableParagraph"/>
              <w:spacing w:before="17"/>
              <w:ind w:left="217"/>
              <w:rPr>
                <w:sz w:val="14"/>
              </w:rPr>
            </w:pPr>
            <w:r>
              <w:rPr>
                <w:sz w:val="14"/>
              </w:rPr>
              <w:t>Balance,</w:t>
            </w:r>
            <w:r>
              <w:rPr>
                <w:spacing w:val="7"/>
                <w:sz w:val="14"/>
              </w:rPr>
              <w:t> </w:t>
            </w:r>
            <w:r>
              <w:rPr>
                <w:sz w:val="14"/>
              </w:rPr>
              <w:t>beginning</w:t>
            </w:r>
            <w:r>
              <w:rPr>
                <w:spacing w:val="8"/>
                <w:sz w:val="14"/>
              </w:rPr>
              <w:t> </w:t>
            </w:r>
            <w:r>
              <w:rPr>
                <w:sz w:val="14"/>
              </w:rPr>
              <w:t>of</w:t>
            </w:r>
            <w:r>
              <w:rPr>
                <w:spacing w:val="8"/>
                <w:sz w:val="14"/>
              </w:rPr>
              <w:t> </w:t>
            </w:r>
            <w:r>
              <w:rPr>
                <w:spacing w:val="-2"/>
                <w:sz w:val="14"/>
              </w:rPr>
              <w:t>period</w:t>
            </w:r>
          </w:p>
        </w:tc>
        <w:tc>
          <w:tcPr>
            <w:tcW w:w="1472" w:type="dxa"/>
            <w:gridSpan w:val="3"/>
            <w:tcBorders>
              <w:bottom w:val="single" w:sz="6" w:space="0" w:color="000000"/>
            </w:tcBorders>
            <w:shd w:val="clear" w:color="auto" w:fill="CCEDFF"/>
          </w:tcPr>
          <w:p>
            <w:pPr>
              <w:pStyle w:val="TableParagraph"/>
              <w:spacing w:before="17"/>
              <w:ind w:left="838"/>
              <w:rPr>
                <w:sz w:val="14"/>
              </w:rPr>
            </w:pPr>
            <w:r>
              <w:rPr>
                <w:spacing w:val="-2"/>
                <w:sz w:val="14"/>
              </w:rPr>
              <w:t>5,203,059</w:t>
            </w:r>
          </w:p>
        </w:tc>
        <w:tc>
          <w:tcPr>
            <w:tcW w:w="1633" w:type="dxa"/>
            <w:tcBorders>
              <w:bottom w:val="single" w:sz="6" w:space="0" w:color="000000"/>
            </w:tcBorders>
            <w:shd w:val="clear" w:color="auto" w:fill="CCEDFF"/>
          </w:tcPr>
          <w:p>
            <w:pPr>
              <w:pStyle w:val="TableParagraph"/>
              <w:spacing w:before="17"/>
              <w:ind w:right="106"/>
              <w:jc w:val="right"/>
              <w:rPr>
                <w:sz w:val="14"/>
              </w:rPr>
            </w:pPr>
            <w:r>
              <w:rPr>
                <w:spacing w:val="-2"/>
                <w:sz w:val="14"/>
              </w:rPr>
              <w:t>5,101,637</w:t>
            </w:r>
          </w:p>
        </w:tc>
        <w:tc>
          <w:tcPr>
            <w:tcW w:w="1539" w:type="dxa"/>
            <w:tcBorders>
              <w:bottom w:val="single" w:sz="6" w:space="0" w:color="000000"/>
            </w:tcBorders>
            <w:shd w:val="clear" w:color="auto" w:fill="CCEDFF"/>
          </w:tcPr>
          <w:p>
            <w:pPr>
              <w:pStyle w:val="TableParagraph"/>
              <w:spacing w:before="17"/>
              <w:ind w:right="61"/>
              <w:jc w:val="right"/>
              <w:rPr>
                <w:sz w:val="14"/>
              </w:rPr>
            </w:pPr>
            <w:r>
              <w:rPr>
                <w:spacing w:val="-2"/>
                <w:sz w:val="14"/>
              </w:rPr>
              <w:t>2,329,604</w:t>
            </w:r>
          </w:p>
        </w:tc>
      </w:tr>
      <w:tr>
        <w:trPr>
          <w:trHeight w:val="219" w:hRule="atLeast"/>
        </w:trPr>
        <w:tc>
          <w:tcPr>
            <w:tcW w:w="6871" w:type="dxa"/>
          </w:tcPr>
          <w:p>
            <w:pPr>
              <w:pStyle w:val="TableParagraph"/>
              <w:spacing w:before="30"/>
              <w:ind w:left="217"/>
              <w:rPr>
                <w:sz w:val="14"/>
              </w:rPr>
            </w:pPr>
            <w:r>
              <w:rPr>
                <w:sz w:val="14"/>
              </w:rPr>
              <w:t>Balance,</w:t>
            </w:r>
            <w:r>
              <w:rPr>
                <w:spacing w:val="5"/>
                <w:sz w:val="14"/>
              </w:rPr>
              <w:t> </w:t>
            </w:r>
            <w:r>
              <w:rPr>
                <w:sz w:val="14"/>
              </w:rPr>
              <w:t>end</w:t>
            </w:r>
            <w:r>
              <w:rPr>
                <w:spacing w:val="5"/>
                <w:sz w:val="14"/>
              </w:rPr>
              <w:t> </w:t>
            </w:r>
            <w:r>
              <w:rPr>
                <w:sz w:val="14"/>
              </w:rPr>
              <w:t>of</w:t>
            </w:r>
            <w:r>
              <w:rPr>
                <w:spacing w:val="6"/>
                <w:sz w:val="14"/>
              </w:rPr>
              <w:t> </w:t>
            </w:r>
            <w:r>
              <w:rPr>
                <w:spacing w:val="-2"/>
                <w:sz w:val="14"/>
              </w:rPr>
              <w:t>period</w:t>
            </w:r>
          </w:p>
        </w:tc>
        <w:tc>
          <w:tcPr>
            <w:tcW w:w="1472" w:type="dxa"/>
            <w:gridSpan w:val="3"/>
            <w:tcBorders>
              <w:top w:val="single" w:sz="6" w:space="0" w:color="000000"/>
              <w:bottom w:val="double" w:sz="6" w:space="0" w:color="000000"/>
            </w:tcBorders>
          </w:tcPr>
          <w:p>
            <w:pPr>
              <w:pStyle w:val="TableParagraph"/>
              <w:tabs>
                <w:tab w:pos="838" w:val="left" w:leader="none"/>
              </w:tabs>
              <w:spacing w:before="17"/>
              <w:ind w:left="13"/>
              <w:rPr>
                <w:sz w:val="14"/>
              </w:rPr>
            </w:pPr>
            <w:r>
              <w:rPr>
                <w:spacing w:val="-10"/>
                <w:sz w:val="14"/>
              </w:rPr>
              <w:t>$</w:t>
            </w:r>
            <w:r>
              <w:rPr>
                <w:sz w:val="14"/>
              </w:rPr>
              <w:tab/>
            </w:r>
            <w:r>
              <w:rPr>
                <w:spacing w:val="-2"/>
                <w:sz w:val="14"/>
              </w:rPr>
              <w:t>6,036,388</w:t>
            </w:r>
          </w:p>
        </w:tc>
        <w:tc>
          <w:tcPr>
            <w:tcW w:w="1633" w:type="dxa"/>
            <w:tcBorders>
              <w:top w:val="single" w:sz="6" w:space="0" w:color="000000"/>
              <w:bottom w:val="double" w:sz="6" w:space="0" w:color="000000"/>
            </w:tcBorders>
          </w:tcPr>
          <w:p>
            <w:pPr>
              <w:pStyle w:val="TableParagraph"/>
              <w:tabs>
                <w:tab w:pos="825" w:val="left" w:leader="none"/>
              </w:tabs>
              <w:spacing w:before="17"/>
              <w:ind w:right="106"/>
              <w:jc w:val="right"/>
              <w:rPr>
                <w:sz w:val="14"/>
              </w:rPr>
            </w:pPr>
            <w:r>
              <w:rPr>
                <w:spacing w:val="-10"/>
                <w:sz w:val="14"/>
              </w:rPr>
              <w:t>$</w:t>
            </w:r>
            <w:r>
              <w:rPr>
                <w:sz w:val="14"/>
              </w:rPr>
              <w:tab/>
            </w:r>
            <w:r>
              <w:rPr>
                <w:spacing w:val="-2"/>
                <w:sz w:val="14"/>
              </w:rPr>
              <w:t>5,203,059</w:t>
            </w:r>
          </w:p>
        </w:tc>
        <w:tc>
          <w:tcPr>
            <w:tcW w:w="1539" w:type="dxa"/>
            <w:tcBorders>
              <w:top w:val="single" w:sz="6" w:space="0" w:color="000000"/>
              <w:bottom w:val="double" w:sz="6" w:space="0" w:color="000000"/>
            </w:tcBorders>
          </w:tcPr>
          <w:p>
            <w:pPr>
              <w:pStyle w:val="TableParagraph"/>
              <w:tabs>
                <w:tab w:pos="826" w:val="left" w:leader="none"/>
              </w:tabs>
              <w:spacing w:before="17"/>
              <w:ind w:right="61"/>
              <w:jc w:val="right"/>
              <w:rPr>
                <w:sz w:val="14"/>
              </w:rPr>
            </w:pPr>
            <w:r>
              <w:rPr>
                <w:spacing w:val="-10"/>
                <w:sz w:val="14"/>
              </w:rPr>
              <w:t>$</w:t>
            </w:r>
            <w:r>
              <w:rPr>
                <w:sz w:val="14"/>
              </w:rPr>
              <w:tab/>
            </w:r>
            <w:r>
              <w:rPr>
                <w:spacing w:val="-2"/>
                <w:sz w:val="14"/>
              </w:rPr>
              <w:t>5,101,637</w:t>
            </w:r>
          </w:p>
        </w:tc>
      </w:tr>
      <w:tr>
        <w:trPr>
          <w:trHeight w:val="193" w:hRule="atLeast"/>
        </w:trPr>
        <w:tc>
          <w:tcPr>
            <w:tcW w:w="11515" w:type="dxa"/>
            <w:gridSpan w:val="6"/>
            <w:shd w:val="clear" w:color="auto" w:fill="CCEDFF"/>
          </w:tcPr>
          <w:p>
            <w:pPr>
              <w:pStyle w:val="TableParagraph"/>
              <w:spacing w:line="156" w:lineRule="exact" w:before="0"/>
              <w:ind w:left="17"/>
              <w:rPr>
                <w:b/>
                <w:sz w:val="14"/>
              </w:rPr>
            </w:pPr>
            <w:r>
              <w:rPr>
                <w:b/>
                <w:sz w:val="14"/>
              </w:rPr>
              <w:t>Supplemental</w:t>
            </w:r>
            <w:r>
              <w:rPr>
                <w:b/>
                <w:spacing w:val="8"/>
                <w:sz w:val="14"/>
              </w:rPr>
              <w:t> </w:t>
            </w:r>
            <w:r>
              <w:rPr>
                <w:b/>
                <w:sz w:val="14"/>
              </w:rPr>
              <w:t>cash</w:t>
            </w:r>
            <w:r>
              <w:rPr>
                <w:b/>
                <w:spacing w:val="9"/>
                <w:sz w:val="14"/>
              </w:rPr>
              <w:t> </w:t>
            </w:r>
            <w:r>
              <w:rPr>
                <w:b/>
                <w:sz w:val="14"/>
              </w:rPr>
              <w:t>flow</w:t>
            </w:r>
            <w:r>
              <w:rPr>
                <w:b/>
                <w:spacing w:val="9"/>
                <w:sz w:val="14"/>
              </w:rPr>
              <w:t> </w:t>
            </w:r>
            <w:r>
              <w:rPr>
                <w:b/>
                <w:spacing w:val="-2"/>
                <w:sz w:val="14"/>
              </w:rPr>
              <w:t>disclosures</w:t>
            </w:r>
          </w:p>
        </w:tc>
      </w:tr>
    </w:tbl>
    <w:p>
      <w:pPr>
        <w:tabs>
          <w:tab w:pos="7028" w:val="left" w:leader="none"/>
          <w:tab w:pos="7961" w:val="left" w:leader="none"/>
          <w:tab w:pos="9544" w:val="left" w:leader="none"/>
          <w:tab w:pos="11128" w:val="left" w:leader="none"/>
        </w:tabs>
        <w:spacing w:before="58"/>
        <w:ind w:left="361" w:right="0" w:firstLine="0"/>
        <w:jc w:val="left"/>
        <w:rPr>
          <w:sz w:val="14"/>
        </w:rPr>
      </w:pPr>
      <w:r>
        <w:rPr/>
        <mc:AlternateContent>
          <mc:Choice Requires="wps">
            <w:drawing>
              <wp:anchor distT="0" distB="0" distL="0" distR="0" allowOverlap="1" layoutInCell="1" locked="0" behindDoc="1" simplePos="0" relativeHeight="487650304">
                <wp:simplePos x="0" y="0"/>
                <wp:positionH relativeFrom="page">
                  <wp:posOffset>231457</wp:posOffset>
                </wp:positionH>
                <wp:positionV relativeFrom="paragraph">
                  <wp:posOffset>171621</wp:posOffset>
                </wp:positionV>
                <wp:extent cx="7312659" cy="137160"/>
                <wp:effectExtent l="0" t="0" r="0" b="0"/>
                <wp:wrapTopAndBottom/>
                <wp:docPr id="339" name="Textbox 339"/>
                <wp:cNvGraphicFramePr>
                  <a:graphicFrameLocks/>
                </wp:cNvGraphicFramePr>
                <a:graphic>
                  <a:graphicData uri="http://schemas.microsoft.com/office/word/2010/wordprocessingShape">
                    <wps:wsp>
                      <wps:cNvPr id="339" name="Textbox 339"/>
                      <wps:cNvSpPr txBox="1"/>
                      <wps:spPr>
                        <a:xfrm>
                          <a:off x="0" y="0"/>
                          <a:ext cx="7312659" cy="137160"/>
                        </a:xfrm>
                        <a:prstGeom prst="rect">
                          <a:avLst/>
                        </a:prstGeom>
                        <a:solidFill>
                          <a:srgbClr val="CCEDFF"/>
                        </a:solidFill>
                      </wps:spPr>
                      <wps:txbx>
                        <w:txbxContent>
                          <w:p>
                            <w:pPr>
                              <w:tabs>
                                <w:tab w:pos="7889" w:val="left" w:leader="none"/>
                                <w:tab w:pos="9471" w:val="left" w:leader="none"/>
                                <w:tab w:pos="11127" w:val="left" w:leader="none"/>
                              </w:tabs>
                              <w:spacing w:before="17"/>
                              <w:ind w:left="217" w:right="0" w:firstLine="0"/>
                              <w:jc w:val="left"/>
                              <w:rPr>
                                <w:color w:val="000000"/>
                                <w:sz w:val="14"/>
                              </w:rPr>
                            </w:pPr>
                            <w:r>
                              <w:rPr>
                                <w:color w:val="000000"/>
                                <w:sz w:val="14"/>
                              </w:rPr>
                              <w:t>Federal,</w:t>
                            </w:r>
                            <w:r>
                              <w:rPr>
                                <w:color w:val="000000"/>
                                <w:spacing w:val="6"/>
                                <w:sz w:val="14"/>
                              </w:rPr>
                              <w:t> </w:t>
                            </w:r>
                            <w:r>
                              <w:rPr>
                                <w:color w:val="000000"/>
                                <w:sz w:val="14"/>
                              </w:rPr>
                              <w:t>state</w:t>
                            </w:r>
                            <w:r>
                              <w:rPr>
                                <w:color w:val="000000"/>
                                <w:spacing w:val="7"/>
                                <w:sz w:val="14"/>
                              </w:rPr>
                              <w:t> </w:t>
                            </w:r>
                            <w:r>
                              <w:rPr>
                                <w:color w:val="000000"/>
                                <w:sz w:val="14"/>
                              </w:rPr>
                              <w:t>and</w:t>
                            </w:r>
                            <w:r>
                              <w:rPr>
                                <w:color w:val="000000"/>
                                <w:spacing w:val="6"/>
                                <w:sz w:val="14"/>
                              </w:rPr>
                              <w:t> </w:t>
                            </w:r>
                            <w:r>
                              <w:rPr>
                                <w:color w:val="000000"/>
                                <w:sz w:val="14"/>
                              </w:rPr>
                              <w:t>foreign</w:t>
                            </w:r>
                            <w:r>
                              <w:rPr>
                                <w:color w:val="000000"/>
                                <w:spacing w:val="7"/>
                                <w:sz w:val="14"/>
                              </w:rPr>
                              <w:t> </w:t>
                            </w:r>
                            <w:r>
                              <w:rPr>
                                <w:color w:val="000000"/>
                                <w:sz w:val="14"/>
                              </w:rPr>
                              <w:t>income</w:t>
                            </w:r>
                            <w:r>
                              <w:rPr>
                                <w:color w:val="000000"/>
                                <w:spacing w:val="6"/>
                                <w:sz w:val="14"/>
                              </w:rPr>
                              <w:t> </w:t>
                            </w:r>
                            <w:r>
                              <w:rPr>
                                <w:color w:val="000000"/>
                                <w:sz w:val="14"/>
                              </w:rPr>
                              <w:t>taxes</w:t>
                            </w:r>
                            <w:r>
                              <w:rPr>
                                <w:color w:val="000000"/>
                                <w:spacing w:val="7"/>
                                <w:sz w:val="14"/>
                              </w:rPr>
                              <w:t> </w:t>
                            </w:r>
                            <w:r>
                              <w:rPr>
                                <w:color w:val="000000"/>
                                <w:sz w:val="14"/>
                              </w:rPr>
                              <w:t>paid,</w:t>
                            </w:r>
                            <w:r>
                              <w:rPr>
                                <w:color w:val="000000"/>
                                <w:spacing w:val="6"/>
                                <w:sz w:val="14"/>
                              </w:rPr>
                              <w:t> </w:t>
                            </w:r>
                            <w:r>
                              <w:rPr>
                                <w:color w:val="000000"/>
                                <w:spacing w:val="-5"/>
                                <w:sz w:val="14"/>
                              </w:rPr>
                              <w:t>net</w:t>
                            </w:r>
                            <w:r>
                              <w:rPr>
                                <w:color w:val="000000"/>
                                <w:sz w:val="14"/>
                              </w:rPr>
                              <w:tab/>
                            </w:r>
                            <w:r>
                              <w:rPr>
                                <w:color w:val="000000"/>
                                <w:spacing w:val="-2"/>
                                <w:sz w:val="14"/>
                              </w:rPr>
                              <w:t>22,955</w:t>
                            </w:r>
                            <w:r>
                              <w:rPr>
                                <w:color w:val="000000"/>
                                <w:sz w:val="14"/>
                              </w:rPr>
                              <w:tab/>
                            </w:r>
                            <w:r>
                              <w:rPr>
                                <w:color w:val="000000"/>
                                <w:spacing w:val="-2"/>
                                <w:sz w:val="14"/>
                              </w:rPr>
                              <w:t>43,018</w:t>
                            </w:r>
                            <w:r>
                              <w:rPr>
                                <w:color w:val="000000"/>
                                <w:sz w:val="14"/>
                              </w:rPr>
                              <w:tab/>
                            </w:r>
                            <w:r>
                              <w:rPr>
                                <w:color w:val="000000"/>
                                <w:spacing w:val="-2"/>
                                <w:sz w:val="14"/>
                              </w:rPr>
                              <w:t>8,543</w:t>
                            </w:r>
                          </w:p>
                        </w:txbxContent>
                      </wps:txbx>
                      <wps:bodyPr wrap="square" lIns="0" tIns="0" rIns="0" bIns="0" rtlCol="0">
                        <a:noAutofit/>
                      </wps:bodyPr>
                    </wps:wsp>
                  </a:graphicData>
                </a:graphic>
              </wp:anchor>
            </w:drawing>
          </mc:Choice>
          <mc:Fallback>
            <w:pict>
              <v:shape style="position:absolute;margin-left:18.224997pt;margin-top:13.513487pt;width:575.8pt;height:10.8pt;mso-position-horizontal-relative:page;mso-position-vertical-relative:paragraph;z-index:-15666176;mso-wrap-distance-left:0;mso-wrap-distance-right:0" type="#_x0000_t202" id="docshape337" filled="true" fillcolor="#ccedff" stroked="false">
                <v:textbox inset="0,0,0,0">
                  <w:txbxContent>
                    <w:p>
                      <w:pPr>
                        <w:tabs>
                          <w:tab w:pos="7889" w:val="left" w:leader="none"/>
                          <w:tab w:pos="9471" w:val="left" w:leader="none"/>
                          <w:tab w:pos="11127" w:val="left" w:leader="none"/>
                        </w:tabs>
                        <w:spacing w:before="17"/>
                        <w:ind w:left="217" w:right="0" w:firstLine="0"/>
                        <w:jc w:val="left"/>
                        <w:rPr>
                          <w:color w:val="000000"/>
                          <w:sz w:val="14"/>
                        </w:rPr>
                      </w:pPr>
                      <w:r>
                        <w:rPr>
                          <w:color w:val="000000"/>
                          <w:sz w:val="14"/>
                        </w:rPr>
                        <w:t>Federal,</w:t>
                      </w:r>
                      <w:r>
                        <w:rPr>
                          <w:color w:val="000000"/>
                          <w:spacing w:val="6"/>
                          <w:sz w:val="14"/>
                        </w:rPr>
                        <w:t> </w:t>
                      </w:r>
                      <w:r>
                        <w:rPr>
                          <w:color w:val="000000"/>
                          <w:sz w:val="14"/>
                        </w:rPr>
                        <w:t>state</w:t>
                      </w:r>
                      <w:r>
                        <w:rPr>
                          <w:color w:val="000000"/>
                          <w:spacing w:val="7"/>
                          <w:sz w:val="14"/>
                        </w:rPr>
                        <w:t> </w:t>
                      </w:r>
                      <w:r>
                        <w:rPr>
                          <w:color w:val="000000"/>
                          <w:sz w:val="14"/>
                        </w:rPr>
                        <w:t>and</w:t>
                      </w:r>
                      <w:r>
                        <w:rPr>
                          <w:color w:val="000000"/>
                          <w:spacing w:val="6"/>
                          <w:sz w:val="14"/>
                        </w:rPr>
                        <w:t> </w:t>
                      </w:r>
                      <w:r>
                        <w:rPr>
                          <w:color w:val="000000"/>
                          <w:sz w:val="14"/>
                        </w:rPr>
                        <w:t>foreign</w:t>
                      </w:r>
                      <w:r>
                        <w:rPr>
                          <w:color w:val="000000"/>
                          <w:spacing w:val="7"/>
                          <w:sz w:val="14"/>
                        </w:rPr>
                        <w:t> </w:t>
                      </w:r>
                      <w:r>
                        <w:rPr>
                          <w:color w:val="000000"/>
                          <w:sz w:val="14"/>
                        </w:rPr>
                        <w:t>income</w:t>
                      </w:r>
                      <w:r>
                        <w:rPr>
                          <w:color w:val="000000"/>
                          <w:spacing w:val="6"/>
                          <w:sz w:val="14"/>
                        </w:rPr>
                        <w:t> </w:t>
                      </w:r>
                      <w:r>
                        <w:rPr>
                          <w:color w:val="000000"/>
                          <w:sz w:val="14"/>
                        </w:rPr>
                        <w:t>taxes</w:t>
                      </w:r>
                      <w:r>
                        <w:rPr>
                          <w:color w:val="000000"/>
                          <w:spacing w:val="7"/>
                          <w:sz w:val="14"/>
                        </w:rPr>
                        <w:t> </w:t>
                      </w:r>
                      <w:r>
                        <w:rPr>
                          <w:color w:val="000000"/>
                          <w:sz w:val="14"/>
                        </w:rPr>
                        <w:t>paid,</w:t>
                      </w:r>
                      <w:r>
                        <w:rPr>
                          <w:color w:val="000000"/>
                          <w:spacing w:val="6"/>
                          <w:sz w:val="14"/>
                        </w:rPr>
                        <w:t> </w:t>
                      </w:r>
                      <w:r>
                        <w:rPr>
                          <w:color w:val="000000"/>
                          <w:spacing w:val="-5"/>
                          <w:sz w:val="14"/>
                        </w:rPr>
                        <w:t>net</w:t>
                      </w:r>
                      <w:r>
                        <w:rPr>
                          <w:color w:val="000000"/>
                          <w:sz w:val="14"/>
                        </w:rPr>
                        <w:tab/>
                      </w:r>
                      <w:r>
                        <w:rPr>
                          <w:color w:val="000000"/>
                          <w:spacing w:val="-2"/>
                          <w:sz w:val="14"/>
                        </w:rPr>
                        <w:t>22,955</w:t>
                      </w:r>
                      <w:r>
                        <w:rPr>
                          <w:color w:val="000000"/>
                          <w:sz w:val="14"/>
                        </w:rPr>
                        <w:tab/>
                      </w:r>
                      <w:r>
                        <w:rPr>
                          <w:color w:val="000000"/>
                          <w:spacing w:val="-2"/>
                          <w:sz w:val="14"/>
                        </w:rPr>
                        <w:t>43,018</w:t>
                      </w:r>
                      <w:r>
                        <w:rPr>
                          <w:color w:val="000000"/>
                          <w:sz w:val="14"/>
                        </w:rPr>
                        <w:tab/>
                      </w:r>
                      <w:r>
                        <w:rPr>
                          <w:color w:val="000000"/>
                          <w:spacing w:val="-2"/>
                          <w:sz w:val="14"/>
                        </w:rPr>
                        <w:t>8,543</w:t>
                      </w:r>
                    </w:p>
                  </w:txbxContent>
                </v:textbox>
                <v:fill type="solid"/>
                <w10:wrap type="topAndBottom"/>
              </v:shape>
            </w:pict>
          </mc:Fallback>
        </mc:AlternateContent>
      </w:r>
      <w:r>
        <w:rPr>
          <w:sz w:val="14"/>
        </w:rPr>
        <w:t>Interest</w:t>
      </w:r>
      <w:r>
        <w:rPr>
          <w:spacing w:val="5"/>
          <w:sz w:val="14"/>
        </w:rPr>
        <w:t> </w:t>
      </w:r>
      <w:r>
        <w:rPr>
          <w:sz w:val="14"/>
        </w:rPr>
        <w:t>paid,</w:t>
      </w:r>
      <w:r>
        <w:rPr>
          <w:spacing w:val="6"/>
          <w:sz w:val="14"/>
        </w:rPr>
        <w:t> </w:t>
      </w:r>
      <w:r>
        <w:rPr>
          <w:sz w:val="14"/>
        </w:rPr>
        <w:t>net</w:t>
      </w:r>
      <w:r>
        <w:rPr>
          <w:spacing w:val="6"/>
          <w:sz w:val="14"/>
        </w:rPr>
        <w:t> </w:t>
      </w:r>
      <w:r>
        <w:rPr>
          <w:sz w:val="14"/>
        </w:rPr>
        <w:t>of</w:t>
      </w:r>
      <w:r>
        <w:rPr>
          <w:spacing w:val="6"/>
          <w:sz w:val="14"/>
        </w:rPr>
        <w:t> </w:t>
      </w:r>
      <w:r>
        <w:rPr>
          <w:sz w:val="14"/>
        </w:rPr>
        <w:t>amounts</w:t>
      </w:r>
      <w:r>
        <w:rPr>
          <w:spacing w:val="6"/>
          <w:sz w:val="14"/>
        </w:rPr>
        <w:t> </w:t>
      </w:r>
      <w:r>
        <w:rPr>
          <w:spacing w:val="-2"/>
          <w:sz w:val="14"/>
        </w:rPr>
        <w:t>capitalized</w:t>
      </w:r>
      <w:r>
        <w:rPr>
          <w:sz w:val="14"/>
        </w:rPr>
        <w:tab/>
      </w:r>
      <w:r>
        <w:rPr>
          <w:spacing w:val="-10"/>
          <w:sz w:val="14"/>
        </w:rPr>
        <w:t>$</w:t>
      </w:r>
      <w:r>
        <w:rPr>
          <w:sz w:val="14"/>
        </w:rPr>
        <w:tab/>
        <w:t>573,629</w:t>
      </w:r>
      <w:r>
        <w:rPr>
          <w:spacing w:val="60"/>
          <w:sz w:val="14"/>
        </w:rPr>
        <w:t>  </w:t>
      </w:r>
      <w:r>
        <w:rPr>
          <w:spacing w:val="-10"/>
          <w:sz w:val="14"/>
        </w:rPr>
        <w:t>$</w:t>
      </w:r>
      <w:r>
        <w:rPr>
          <w:sz w:val="14"/>
        </w:rPr>
        <w:tab/>
        <w:t>705,680</w:t>
      </w:r>
      <w:r>
        <w:rPr>
          <w:spacing w:val="60"/>
          <w:sz w:val="14"/>
        </w:rPr>
        <w:t>  </w:t>
      </w:r>
      <w:r>
        <w:rPr>
          <w:spacing w:val="-10"/>
          <w:sz w:val="14"/>
        </w:rPr>
        <w:t>$</w:t>
      </w:r>
      <w:r>
        <w:rPr>
          <w:sz w:val="14"/>
        </w:rPr>
        <w:tab/>
      </w:r>
      <w:r>
        <w:rPr>
          <w:spacing w:val="-2"/>
          <w:sz w:val="14"/>
        </w:rPr>
        <w:t>639,718</w:t>
      </w:r>
    </w:p>
    <w:p>
      <w:pPr>
        <w:spacing w:before="17" w:after="38"/>
        <w:ind w:left="162" w:right="0" w:firstLine="0"/>
        <w:jc w:val="left"/>
        <w:rPr>
          <w:b/>
          <w:sz w:val="14"/>
        </w:rPr>
      </w:pPr>
      <w:r>
        <w:rPr>
          <w:b/>
          <w:sz w:val="14"/>
        </w:rPr>
        <w:t>Non-cash</w:t>
      </w:r>
      <w:r>
        <w:rPr>
          <w:b/>
          <w:spacing w:val="9"/>
          <w:sz w:val="14"/>
        </w:rPr>
        <w:t> </w:t>
      </w:r>
      <w:r>
        <w:rPr>
          <w:b/>
          <w:sz w:val="14"/>
        </w:rPr>
        <w:t>investing</w:t>
      </w:r>
      <w:r>
        <w:rPr>
          <w:b/>
          <w:spacing w:val="9"/>
          <w:sz w:val="14"/>
        </w:rPr>
        <w:t> </w:t>
      </w:r>
      <w:r>
        <w:rPr>
          <w:b/>
          <w:sz w:val="14"/>
        </w:rPr>
        <w:t>and</w:t>
      </w:r>
      <w:r>
        <w:rPr>
          <w:b/>
          <w:spacing w:val="10"/>
          <w:sz w:val="14"/>
        </w:rPr>
        <w:t> </w:t>
      </w:r>
      <w:r>
        <w:rPr>
          <w:b/>
          <w:sz w:val="14"/>
        </w:rPr>
        <w:t>financing</w:t>
      </w:r>
      <w:r>
        <w:rPr>
          <w:b/>
          <w:spacing w:val="9"/>
          <w:sz w:val="14"/>
        </w:rPr>
        <w:t> </w:t>
      </w:r>
      <w:r>
        <w:rPr>
          <w:b/>
          <w:spacing w:val="-2"/>
          <w:sz w:val="14"/>
        </w:rPr>
        <w:t>activities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3"/>
        <w:gridCol w:w="2396"/>
        <w:gridCol w:w="1582"/>
        <w:gridCol w:w="2384"/>
      </w:tblGrid>
      <w:tr>
        <w:trPr>
          <w:trHeight w:val="215" w:hRule="atLeast"/>
        </w:trPr>
        <w:tc>
          <w:tcPr>
            <w:tcW w:w="5153" w:type="dxa"/>
            <w:shd w:val="clear" w:color="auto" w:fill="CCEDFF"/>
          </w:tcPr>
          <w:p>
            <w:pPr>
              <w:pStyle w:val="TableParagraph"/>
              <w:spacing w:before="17"/>
              <w:ind w:left="217"/>
              <w:rPr>
                <w:sz w:val="14"/>
              </w:rPr>
            </w:pPr>
            <w:r>
              <w:rPr>
                <w:sz w:val="14"/>
              </w:rPr>
              <w:t>Investments</w:t>
            </w:r>
            <w:r>
              <w:rPr>
                <w:spacing w:val="10"/>
                <w:sz w:val="14"/>
              </w:rPr>
              <w:t> </w:t>
            </w:r>
            <w:r>
              <w:rPr>
                <w:sz w:val="14"/>
              </w:rPr>
              <w:t>in</w:t>
            </w:r>
            <w:r>
              <w:rPr>
                <w:spacing w:val="11"/>
                <w:sz w:val="14"/>
              </w:rPr>
              <w:t> </w:t>
            </w:r>
            <w:r>
              <w:rPr>
                <w:sz w:val="14"/>
              </w:rPr>
              <w:t>unconsolidated</w:t>
            </w:r>
            <w:r>
              <w:rPr>
                <w:spacing w:val="11"/>
                <w:sz w:val="14"/>
              </w:rPr>
              <w:t> </w:t>
            </w:r>
            <w:r>
              <w:rPr>
                <w:spacing w:val="-2"/>
                <w:sz w:val="14"/>
              </w:rPr>
              <w:t>affiliates</w:t>
            </w:r>
          </w:p>
        </w:tc>
        <w:tc>
          <w:tcPr>
            <w:tcW w:w="2396" w:type="dxa"/>
            <w:shd w:val="clear" w:color="auto" w:fill="CCEDFF"/>
          </w:tcPr>
          <w:p>
            <w:pPr>
              <w:pStyle w:val="TableParagraph"/>
              <w:spacing w:before="17"/>
              <w:ind w:right="590"/>
              <w:jc w:val="right"/>
              <w:rPr>
                <w:sz w:val="14"/>
              </w:rPr>
            </w:pPr>
            <w:r>
              <w:rPr>
                <w:spacing w:val="-10"/>
                <w:sz w:val="14"/>
              </w:rPr>
              <w:t>$</w:t>
            </w:r>
          </w:p>
        </w:tc>
        <w:tc>
          <w:tcPr>
            <w:tcW w:w="1582" w:type="dxa"/>
            <w:shd w:val="clear" w:color="auto" w:fill="CCEDFF"/>
          </w:tcPr>
          <w:p>
            <w:pPr>
              <w:pStyle w:val="TableParagraph"/>
              <w:spacing w:before="17"/>
              <w:ind w:left="592"/>
              <w:rPr>
                <w:sz w:val="14"/>
              </w:rPr>
            </w:pPr>
            <w:r>
              <w:rPr>
                <w:sz w:val="14"/>
              </w:rPr>
              <w:t>—</w:t>
            </w:r>
            <w:r>
              <w:rPr>
                <w:spacing w:val="56"/>
                <w:sz w:val="14"/>
              </w:rPr>
              <w:t>  </w:t>
            </w:r>
            <w:r>
              <w:rPr>
                <w:spacing w:val="-10"/>
                <w:sz w:val="14"/>
              </w:rPr>
              <w:t>$</w:t>
            </w:r>
          </w:p>
        </w:tc>
        <w:tc>
          <w:tcPr>
            <w:tcW w:w="2384" w:type="dxa"/>
            <w:shd w:val="clear" w:color="auto" w:fill="CCEDFF"/>
          </w:tcPr>
          <w:p>
            <w:pPr>
              <w:pStyle w:val="TableParagraph"/>
              <w:tabs>
                <w:tab w:pos="1260" w:val="left" w:leader="none"/>
              </w:tabs>
              <w:spacing w:before="17"/>
              <w:ind w:right="61"/>
              <w:jc w:val="right"/>
              <w:rPr>
                <w:sz w:val="14"/>
              </w:rPr>
            </w:pPr>
            <w:r>
              <w:rPr>
                <w:sz w:val="14"/>
              </w:rPr>
              <w:t>—</w:t>
            </w:r>
            <w:r>
              <w:rPr>
                <w:spacing w:val="56"/>
                <w:sz w:val="14"/>
              </w:rPr>
              <w:t>  </w:t>
            </w:r>
            <w:r>
              <w:rPr>
                <w:spacing w:val="-10"/>
                <w:sz w:val="14"/>
              </w:rPr>
              <w:t>$</w:t>
            </w:r>
            <w:r>
              <w:rPr>
                <w:sz w:val="14"/>
              </w:rPr>
              <w:tab/>
            </w:r>
            <w:r>
              <w:rPr>
                <w:spacing w:val="-2"/>
                <w:sz w:val="14"/>
              </w:rPr>
              <w:t>802,000</w:t>
            </w:r>
          </w:p>
        </w:tc>
      </w:tr>
      <w:tr>
        <w:trPr>
          <w:trHeight w:val="179" w:hRule="atLeast"/>
        </w:trPr>
        <w:tc>
          <w:tcPr>
            <w:tcW w:w="5153" w:type="dxa"/>
          </w:tcPr>
          <w:p>
            <w:pPr>
              <w:pStyle w:val="TableParagraph"/>
              <w:spacing w:line="142" w:lineRule="exact" w:before="17"/>
              <w:ind w:left="217"/>
              <w:rPr>
                <w:sz w:val="14"/>
              </w:rPr>
            </w:pPr>
            <w:r>
              <w:rPr>
                <w:sz w:val="14"/>
              </w:rPr>
              <w:t>VICI</w:t>
            </w:r>
            <w:r>
              <w:rPr>
                <w:spacing w:val="4"/>
                <w:sz w:val="14"/>
              </w:rPr>
              <w:t> </w:t>
            </w:r>
            <w:r>
              <w:rPr>
                <w:sz w:val="14"/>
              </w:rPr>
              <w:t>BREIT Venture</w:t>
            </w:r>
            <w:r>
              <w:rPr>
                <w:spacing w:val="5"/>
                <w:sz w:val="14"/>
              </w:rPr>
              <w:t> </w:t>
            </w:r>
            <w:r>
              <w:rPr>
                <w:sz w:val="14"/>
              </w:rPr>
              <w:t>assumption</w:t>
            </w:r>
            <w:r>
              <w:rPr>
                <w:spacing w:val="5"/>
                <w:sz w:val="14"/>
              </w:rPr>
              <w:t> </w:t>
            </w:r>
            <w:r>
              <w:rPr>
                <w:sz w:val="14"/>
              </w:rPr>
              <w:t>of</w:t>
            </w:r>
            <w:r>
              <w:rPr>
                <w:spacing w:val="5"/>
                <w:sz w:val="14"/>
              </w:rPr>
              <w:t> </w:t>
            </w:r>
            <w:r>
              <w:rPr>
                <w:sz w:val="14"/>
              </w:rPr>
              <w:t>bridge</w:t>
            </w:r>
            <w:r>
              <w:rPr>
                <w:spacing w:val="4"/>
                <w:sz w:val="14"/>
              </w:rPr>
              <w:t> </w:t>
            </w:r>
            <w:r>
              <w:rPr>
                <w:sz w:val="14"/>
              </w:rPr>
              <w:t>loan</w:t>
            </w:r>
            <w:r>
              <w:rPr>
                <w:spacing w:val="5"/>
                <w:sz w:val="14"/>
              </w:rPr>
              <w:t> </w:t>
            </w:r>
            <w:r>
              <w:rPr>
                <w:spacing w:val="-2"/>
                <w:sz w:val="14"/>
              </w:rPr>
              <w:t>facility</w:t>
            </w:r>
          </w:p>
        </w:tc>
        <w:tc>
          <w:tcPr>
            <w:tcW w:w="2396" w:type="dxa"/>
          </w:tcPr>
          <w:p>
            <w:pPr>
              <w:pStyle w:val="TableParagraph"/>
              <w:spacing w:before="0"/>
              <w:rPr>
                <w:sz w:val="12"/>
              </w:rPr>
            </w:pPr>
          </w:p>
        </w:tc>
        <w:tc>
          <w:tcPr>
            <w:tcW w:w="1582" w:type="dxa"/>
          </w:tcPr>
          <w:p>
            <w:pPr>
              <w:pStyle w:val="TableParagraph"/>
              <w:spacing w:line="142" w:lineRule="exact" w:before="17"/>
              <w:ind w:left="592"/>
              <w:rPr>
                <w:sz w:val="14"/>
              </w:rPr>
            </w:pPr>
            <w:r>
              <w:rPr>
                <w:spacing w:val="-10"/>
                <w:sz w:val="14"/>
              </w:rPr>
              <w:t>—</w:t>
            </w:r>
          </w:p>
        </w:tc>
        <w:tc>
          <w:tcPr>
            <w:tcW w:w="2384" w:type="dxa"/>
          </w:tcPr>
          <w:p>
            <w:pPr>
              <w:pStyle w:val="TableParagraph"/>
              <w:tabs>
                <w:tab w:pos="1152" w:val="left" w:leader="none"/>
              </w:tabs>
              <w:spacing w:line="142" w:lineRule="exact" w:before="17"/>
              <w:ind w:right="61"/>
              <w:jc w:val="right"/>
              <w:rPr>
                <w:sz w:val="14"/>
              </w:rPr>
            </w:pPr>
            <w:r>
              <w:rPr>
                <w:spacing w:val="-10"/>
                <w:sz w:val="14"/>
              </w:rPr>
              <w:t>—</w:t>
            </w:r>
            <w:r>
              <w:rPr>
                <w:sz w:val="14"/>
              </w:rPr>
              <w:tab/>
            </w:r>
            <w:r>
              <w:rPr>
                <w:spacing w:val="-2"/>
                <w:sz w:val="14"/>
              </w:rPr>
              <w:t>1,304,625</w:t>
            </w:r>
          </w:p>
        </w:tc>
      </w:tr>
    </w:tbl>
    <w:p>
      <w:pPr>
        <w:spacing w:after="0" w:line="142" w:lineRule="exact"/>
        <w:jc w:val="right"/>
        <w:rPr>
          <w:sz w:val="14"/>
        </w:rPr>
        <w:sectPr>
          <w:pgSz w:w="12240" w:h="15840"/>
          <w:pgMar w:top="1200" w:bottom="280" w:left="220" w:right="240"/>
        </w:sectPr>
      </w:pPr>
    </w:p>
    <w:p>
      <w:pPr>
        <w:spacing w:before="72"/>
        <w:ind w:left="24" w:right="0" w:firstLine="0"/>
        <w:jc w:val="center"/>
        <w:rPr>
          <w:i/>
          <w:sz w:val="16"/>
        </w:rPr>
      </w:pPr>
      <w:bookmarkStart w:name="_bookmark17" w:id="18"/>
      <w:bookmarkEnd w:id="18"/>
      <w:r>
        <w:rPr/>
      </w:r>
      <w:r>
        <w:rPr>
          <w:i/>
          <w:sz w:val="16"/>
        </w:rPr>
        <w:t>The</w:t>
      </w:r>
      <w:r>
        <w:rPr>
          <w:i/>
          <w:spacing w:val="3"/>
          <w:sz w:val="16"/>
        </w:rPr>
        <w:t> </w:t>
      </w:r>
      <w:r>
        <w:rPr>
          <w:i/>
          <w:sz w:val="16"/>
        </w:rPr>
        <w:t>accompanying</w:t>
      </w:r>
      <w:r>
        <w:rPr>
          <w:i/>
          <w:spacing w:val="3"/>
          <w:sz w:val="16"/>
        </w:rPr>
        <w:t> </w:t>
      </w:r>
      <w:r>
        <w:rPr>
          <w:i/>
          <w:sz w:val="16"/>
        </w:rPr>
        <w:t>notes</w:t>
      </w:r>
      <w:r>
        <w:rPr>
          <w:i/>
          <w:spacing w:val="4"/>
          <w:sz w:val="16"/>
        </w:rPr>
        <w:t> </w:t>
      </w:r>
      <w:r>
        <w:rPr>
          <w:i/>
          <w:sz w:val="16"/>
        </w:rPr>
        <w:t>are</w:t>
      </w:r>
      <w:r>
        <w:rPr>
          <w:i/>
          <w:spacing w:val="3"/>
          <w:sz w:val="16"/>
        </w:rPr>
        <w:t> </w:t>
      </w:r>
      <w:r>
        <w:rPr>
          <w:i/>
          <w:sz w:val="16"/>
        </w:rPr>
        <w:t>an</w:t>
      </w:r>
      <w:r>
        <w:rPr>
          <w:i/>
          <w:spacing w:val="4"/>
          <w:sz w:val="16"/>
        </w:rPr>
        <w:t> </w:t>
      </w:r>
      <w:r>
        <w:rPr>
          <w:i/>
          <w:sz w:val="16"/>
        </w:rPr>
        <w:t>integral</w:t>
      </w:r>
      <w:r>
        <w:rPr>
          <w:i/>
          <w:spacing w:val="3"/>
          <w:sz w:val="16"/>
        </w:rPr>
        <w:t> </w:t>
      </w:r>
      <w:r>
        <w:rPr>
          <w:i/>
          <w:sz w:val="16"/>
        </w:rPr>
        <w:t>part</w:t>
      </w:r>
      <w:r>
        <w:rPr>
          <w:i/>
          <w:spacing w:val="4"/>
          <w:sz w:val="16"/>
        </w:rPr>
        <w:t> </w:t>
      </w:r>
      <w:r>
        <w:rPr>
          <w:i/>
          <w:sz w:val="16"/>
        </w:rPr>
        <w:t>of</w:t>
      </w:r>
      <w:r>
        <w:rPr>
          <w:i/>
          <w:spacing w:val="3"/>
          <w:sz w:val="16"/>
        </w:rPr>
        <w:t> </w:t>
      </w:r>
      <w:r>
        <w:rPr>
          <w:i/>
          <w:sz w:val="16"/>
        </w:rPr>
        <w:t>these</w:t>
      </w:r>
      <w:r>
        <w:rPr>
          <w:i/>
          <w:spacing w:val="4"/>
          <w:sz w:val="16"/>
        </w:rPr>
        <w:t> </w:t>
      </w:r>
      <w:r>
        <w:rPr>
          <w:i/>
          <w:sz w:val="16"/>
        </w:rPr>
        <w:t>consolidated</w:t>
      </w:r>
      <w:r>
        <w:rPr>
          <w:i/>
          <w:spacing w:val="3"/>
          <w:sz w:val="16"/>
        </w:rPr>
        <w:t> </w:t>
      </w:r>
      <w:r>
        <w:rPr>
          <w:i/>
          <w:sz w:val="16"/>
        </w:rPr>
        <w:t>financial</w:t>
      </w:r>
      <w:r>
        <w:rPr>
          <w:i/>
          <w:spacing w:val="3"/>
          <w:sz w:val="16"/>
        </w:rPr>
        <w:t> </w:t>
      </w:r>
      <w:r>
        <w:rPr>
          <w:i/>
          <w:spacing w:val="-2"/>
          <w:sz w:val="16"/>
        </w:rPr>
        <w:t>statements.</w:t>
      </w:r>
    </w:p>
    <w:p>
      <w:pPr>
        <w:pStyle w:val="BodyText"/>
        <w:rPr>
          <w:i/>
          <w:sz w:val="16"/>
        </w:rPr>
      </w:pPr>
    </w:p>
    <w:p>
      <w:pPr>
        <w:pStyle w:val="BodyText"/>
        <w:rPr>
          <w:i/>
          <w:sz w:val="16"/>
        </w:rPr>
      </w:pPr>
    </w:p>
    <w:p>
      <w:pPr>
        <w:pStyle w:val="BodyText"/>
        <w:rPr>
          <w:i/>
          <w:sz w:val="16"/>
        </w:rPr>
      </w:pPr>
    </w:p>
    <w:p>
      <w:pPr>
        <w:pStyle w:val="BodyText"/>
        <w:spacing w:before="87"/>
        <w:rPr>
          <w:i/>
          <w:sz w:val="16"/>
        </w:rPr>
      </w:pPr>
    </w:p>
    <w:p>
      <w:pPr>
        <w:pStyle w:val="BodyText"/>
        <w:ind w:left="24"/>
        <w:jc w:val="center"/>
      </w:pPr>
      <w:r>
        <w:rPr>
          <w:spacing w:val="-5"/>
        </w:rPr>
        <w:t>60</w:t>
      </w:r>
    </w:p>
    <w:p>
      <w:pPr>
        <w:pStyle w:val="BodyText"/>
        <w:spacing w:before="3"/>
        <w:rPr>
          <w:sz w:val="6"/>
        </w:rPr>
      </w:pPr>
      <w:r>
        <w:rPr/>
        <mc:AlternateContent>
          <mc:Choice Requires="wps">
            <w:drawing>
              <wp:anchor distT="0" distB="0" distL="0" distR="0" allowOverlap="1" layoutInCell="1" locked="0" behindDoc="1" simplePos="0" relativeHeight="487650816">
                <wp:simplePos x="0" y="0"/>
                <wp:positionH relativeFrom="page">
                  <wp:posOffset>231457</wp:posOffset>
                </wp:positionH>
                <wp:positionV relativeFrom="paragraph">
                  <wp:posOffset>60956</wp:posOffset>
                </wp:positionV>
                <wp:extent cx="7312659" cy="17145"/>
                <wp:effectExtent l="0" t="0" r="0" b="0"/>
                <wp:wrapTopAndBottom/>
                <wp:docPr id="340" name="Group 340"/>
                <wp:cNvGraphicFramePr>
                  <a:graphicFrameLocks/>
                </wp:cNvGraphicFramePr>
                <a:graphic>
                  <a:graphicData uri="http://schemas.microsoft.com/office/word/2010/wordprocessingGroup">
                    <wpg:wgp>
                      <wpg:cNvPr id="340" name="Group 340"/>
                      <wpg:cNvGrpSpPr/>
                      <wpg:grpSpPr>
                        <a:xfrm>
                          <a:off x="0" y="0"/>
                          <a:ext cx="7312659" cy="17145"/>
                          <a:chExt cx="7312659" cy="17145"/>
                        </a:xfrm>
                      </wpg:grpSpPr>
                      <wps:wsp>
                        <wps:cNvPr id="341" name="Graphic 34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42" name="Graphic 342"/>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43" name="Graphic 34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5664;mso-wrap-distance-left:0;mso-wrap-distance-right:0" id="docshapegroup338" coordorigin="364,96" coordsize="11516,27">
                <v:rect style="position:absolute;left:364;top:96;width:11516;height:14" id="docshape339" filled="true" fillcolor="#999999" stroked="false">
                  <v:fill type="solid"/>
                </v:rect>
                <v:shape style="position:absolute;left:364;top:96;width:11516;height:27" id="docshape340" coordorigin="364,96" coordsize="11516,27" path="m11880,96l11866,109,364,109,364,123,11866,123,11880,123,11880,109,11880,96xe" filled="true" fillcolor="#ededed" stroked="false">
                  <v:path arrowok="t"/>
                  <v:fill type="solid"/>
                </v:shape>
                <v:shape style="position:absolute;left:364;top:96;width:14;height:27" id="docshape34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440" w:bottom="280" w:left="220" w:right="240"/>
        </w:sectPr>
      </w:pPr>
    </w:p>
    <w:p>
      <w:pPr>
        <w:pStyle w:val="Heading4"/>
        <w:spacing w:line="235" w:lineRule="auto" w:before="84"/>
        <w:ind w:left="3232" w:right="3205" w:hanging="1"/>
        <w:jc w:val="center"/>
      </w:pPr>
      <w:r>
        <w:rPr/>
        <w:t>MGM RESORTS INTERNATIONAL</w:t>
      </w:r>
      <w:r>
        <w:rPr>
          <w:spacing w:val="-2"/>
        </w:rPr>
        <w:t> </w:t>
      </w:r>
      <w:r>
        <w:rPr/>
        <w:t>AND SUBSIDIARIES </w:t>
      </w:r>
      <w:r>
        <w:rPr>
          <w:spacing w:val="-2"/>
        </w:rPr>
        <w:t>CONSOLIDATED STATEMENTS OF</w:t>
      </w:r>
      <w:r>
        <w:rPr>
          <w:spacing w:val="-6"/>
        </w:rPr>
        <w:t> </w:t>
      </w:r>
      <w:r>
        <w:rPr>
          <w:spacing w:val="-2"/>
        </w:rPr>
        <w:t>STOCKHOLDERS' </w:t>
      </w:r>
      <w:r>
        <w:rPr>
          <w:spacing w:val="-2"/>
        </w:rPr>
        <w:t>EQUITY</w:t>
      </w:r>
    </w:p>
    <w:p>
      <w:pPr>
        <w:pStyle w:val="Heading5"/>
        <w:spacing w:line="205" w:lineRule="exact" w:before="9"/>
        <w:ind w:left="24"/>
      </w:pPr>
      <w:r>
        <w:rPr/>
        <w:t>For</w:t>
      </w:r>
      <w:r>
        <w:rPr>
          <w:spacing w:val="-9"/>
        </w:rPr>
        <w:t> </w:t>
      </w:r>
      <w:r>
        <w:rPr/>
        <w:t>the</w:t>
      </w:r>
      <w:r>
        <w:rPr>
          <w:spacing w:val="-9"/>
        </w:rPr>
        <w:t> </w:t>
      </w:r>
      <w:r>
        <w:rPr/>
        <w:t>Years</w:t>
      </w:r>
      <w:r>
        <w:rPr>
          <w:spacing w:val="-3"/>
        </w:rPr>
        <w:t> </w:t>
      </w:r>
      <w:r>
        <w:rPr/>
        <w:t>ended</w:t>
      </w:r>
      <w:r>
        <w:rPr>
          <w:spacing w:val="-3"/>
        </w:rPr>
        <w:t> </w:t>
      </w:r>
      <w:r>
        <w:rPr/>
        <w:t>December</w:t>
      </w:r>
      <w:r>
        <w:rPr>
          <w:spacing w:val="-6"/>
        </w:rPr>
        <w:t> </w:t>
      </w:r>
      <w:r>
        <w:rPr/>
        <w:t>31,</w:t>
      </w:r>
      <w:r>
        <w:rPr>
          <w:spacing w:val="-4"/>
        </w:rPr>
        <w:t> </w:t>
      </w:r>
      <w:r>
        <w:rPr/>
        <w:t>2022,</w:t>
      </w:r>
      <w:r>
        <w:rPr>
          <w:spacing w:val="-3"/>
        </w:rPr>
        <w:t> </w:t>
      </w:r>
      <w:r>
        <w:rPr/>
        <w:t>2021</w:t>
      </w:r>
      <w:r>
        <w:rPr>
          <w:spacing w:val="-3"/>
        </w:rPr>
        <w:t> </w:t>
      </w:r>
      <w:r>
        <w:rPr/>
        <w:t>and</w:t>
      </w:r>
      <w:r>
        <w:rPr>
          <w:spacing w:val="-3"/>
        </w:rPr>
        <w:t> </w:t>
      </w:r>
      <w:r>
        <w:rPr>
          <w:spacing w:val="-4"/>
        </w:rPr>
        <w:t>2020</w:t>
      </w:r>
    </w:p>
    <w:p>
      <w:pPr>
        <w:spacing w:line="205" w:lineRule="exact" w:before="0"/>
        <w:ind w:left="24" w:right="0" w:firstLine="0"/>
        <w:jc w:val="center"/>
        <w:rPr>
          <w:b/>
          <w:i/>
          <w:sz w:val="18"/>
        </w:rPr>
      </w:pPr>
      <w:r>
        <w:rPr>
          <w:b/>
          <w:i/>
          <w:sz w:val="14"/>
        </w:rPr>
        <w:t>(In</w:t>
      </w:r>
      <w:r>
        <w:rPr>
          <w:b/>
          <w:i/>
          <w:spacing w:val="3"/>
          <w:sz w:val="14"/>
        </w:rPr>
        <w:t> </w:t>
      </w:r>
      <w:r>
        <w:rPr>
          <w:b/>
          <w:i/>
          <w:spacing w:val="-2"/>
          <w:sz w:val="14"/>
        </w:rPr>
        <w:t>thousands</w:t>
      </w:r>
      <w:r>
        <w:rPr>
          <w:b/>
          <w:i/>
          <w:spacing w:val="-2"/>
          <w:sz w:val="18"/>
        </w:rPr>
        <w:t>)</w:t>
      </w:r>
    </w:p>
    <w:p>
      <w:pPr>
        <w:pStyle w:val="BodyText"/>
        <w:rPr>
          <w:b/>
          <w:i/>
          <w:sz w:val="10"/>
        </w:rPr>
      </w:pPr>
    </w:p>
    <w:p>
      <w:pPr>
        <w:pStyle w:val="BodyText"/>
        <w:rPr>
          <w:b/>
          <w:i/>
          <w:sz w:val="10"/>
        </w:rPr>
      </w:pPr>
    </w:p>
    <w:p>
      <w:pPr>
        <w:pStyle w:val="BodyText"/>
        <w:spacing w:before="23"/>
        <w:rPr>
          <w:b/>
          <w:i/>
          <w:sz w:val="10"/>
        </w:rPr>
      </w:pPr>
    </w:p>
    <w:p>
      <w:pPr>
        <w:spacing w:line="91" w:lineRule="exact" w:before="0"/>
        <w:ind w:left="0" w:right="2849" w:firstLine="0"/>
        <w:jc w:val="center"/>
        <w:rPr>
          <w:b/>
          <w:sz w:val="10"/>
        </w:rPr>
      </w:pPr>
      <w:r>
        <w:rPr/>
        <mc:AlternateContent>
          <mc:Choice Requires="wps">
            <w:drawing>
              <wp:anchor distT="0" distB="0" distL="0" distR="0" allowOverlap="1" layoutInCell="1" locked="0" behindDoc="0" simplePos="0" relativeHeight="15796224">
                <wp:simplePos x="0" y="0"/>
                <wp:positionH relativeFrom="page">
                  <wp:posOffset>3589471</wp:posOffset>
                </wp:positionH>
                <wp:positionV relativeFrom="paragraph">
                  <wp:posOffset>-36102</wp:posOffset>
                </wp:positionV>
                <wp:extent cx="3990975" cy="15240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3990975" cy="1524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1"/>
                              <w:gridCol w:w="1215"/>
                              <w:gridCol w:w="1199"/>
                              <w:gridCol w:w="2057"/>
                            </w:tblGrid>
                            <w:tr>
                              <w:trPr>
                                <w:trHeight w:val="120" w:hRule="atLeast"/>
                              </w:trPr>
                              <w:tc>
                                <w:tcPr>
                                  <w:tcW w:w="1691" w:type="dxa"/>
                                </w:tcPr>
                                <w:p>
                                  <w:pPr>
                                    <w:pStyle w:val="TableParagraph"/>
                                    <w:spacing w:before="0"/>
                                    <w:rPr>
                                      <w:sz w:val="6"/>
                                    </w:rPr>
                                  </w:pPr>
                                </w:p>
                              </w:tc>
                              <w:tc>
                                <w:tcPr>
                                  <w:tcW w:w="1215" w:type="dxa"/>
                                </w:tcPr>
                                <w:p>
                                  <w:pPr>
                                    <w:pStyle w:val="TableParagraph"/>
                                    <w:spacing w:line="98" w:lineRule="exact" w:before="3"/>
                                    <w:ind w:left="187"/>
                                    <w:rPr>
                                      <w:b/>
                                      <w:sz w:val="10"/>
                                    </w:rPr>
                                  </w:pPr>
                                  <w:r>
                                    <w:rPr>
                                      <w:b/>
                                      <w:w w:val="105"/>
                                      <w:sz w:val="10"/>
                                    </w:rPr>
                                    <w:t>Accumulated</w:t>
                                  </w:r>
                                  <w:r>
                                    <w:rPr>
                                      <w:b/>
                                      <w:spacing w:val="16"/>
                                      <w:w w:val="110"/>
                                      <w:sz w:val="10"/>
                                    </w:rPr>
                                    <w:t> </w:t>
                                  </w:r>
                                  <w:r>
                                    <w:rPr>
                                      <w:b/>
                                      <w:spacing w:val="-2"/>
                                      <w:w w:val="110"/>
                                      <w:sz w:val="10"/>
                                    </w:rPr>
                                    <w:t>Other</w:t>
                                  </w:r>
                                </w:p>
                              </w:tc>
                              <w:tc>
                                <w:tcPr>
                                  <w:tcW w:w="1199" w:type="dxa"/>
                                </w:tcPr>
                                <w:p>
                                  <w:pPr>
                                    <w:pStyle w:val="TableParagraph"/>
                                    <w:spacing w:line="98" w:lineRule="exact" w:before="3"/>
                                    <w:ind w:left="117"/>
                                    <w:rPr>
                                      <w:b/>
                                      <w:sz w:val="10"/>
                                    </w:rPr>
                                  </w:pPr>
                                  <w:r>
                                    <w:rPr>
                                      <w:b/>
                                      <w:sz w:val="10"/>
                                    </w:rPr>
                                    <w:t>Total</w:t>
                                  </w:r>
                                  <w:r>
                                    <w:rPr>
                                      <w:b/>
                                      <w:spacing w:val="17"/>
                                      <w:sz w:val="10"/>
                                    </w:rPr>
                                    <w:t> </w:t>
                                  </w:r>
                                  <w:r>
                                    <w:rPr>
                                      <w:b/>
                                      <w:sz w:val="10"/>
                                    </w:rPr>
                                    <w:t>MGM</w:t>
                                  </w:r>
                                  <w:r>
                                    <w:rPr>
                                      <w:b/>
                                      <w:spacing w:val="13"/>
                                      <w:sz w:val="10"/>
                                    </w:rPr>
                                    <w:t> </w:t>
                                  </w:r>
                                  <w:r>
                                    <w:rPr>
                                      <w:b/>
                                      <w:spacing w:val="-2"/>
                                      <w:sz w:val="10"/>
                                    </w:rPr>
                                    <w:t>Resorts</w:t>
                                  </w:r>
                                </w:p>
                              </w:tc>
                              <w:tc>
                                <w:tcPr>
                                  <w:tcW w:w="2057" w:type="dxa"/>
                                </w:tcPr>
                                <w:p>
                                  <w:pPr>
                                    <w:pStyle w:val="TableParagraph"/>
                                    <w:spacing w:before="0"/>
                                    <w:rPr>
                                      <w:sz w:val="6"/>
                                    </w:rPr>
                                  </w:pPr>
                                </w:p>
                              </w:tc>
                            </w:tr>
                            <w:tr>
                              <w:trPr>
                                <w:trHeight w:val="120" w:hRule="atLeast"/>
                              </w:trPr>
                              <w:tc>
                                <w:tcPr>
                                  <w:tcW w:w="6162" w:type="dxa"/>
                                  <w:gridSpan w:val="4"/>
                                </w:tcPr>
                                <w:p>
                                  <w:pPr>
                                    <w:pStyle w:val="TableParagraph"/>
                                    <w:tabs>
                                      <w:tab w:pos="1091" w:val="left" w:leader="none"/>
                                      <w:tab w:pos="1976" w:val="left" w:leader="none"/>
                                      <w:tab w:pos="3178" w:val="left" w:leader="none"/>
                                      <w:tab w:pos="4269" w:val="left" w:leader="none"/>
                                      <w:tab w:pos="5240" w:val="left" w:leader="none"/>
                                    </w:tabs>
                                    <w:spacing w:line="97" w:lineRule="exact" w:before="4"/>
                                    <w:ind w:left="-4"/>
                                    <w:rPr>
                                      <w:b/>
                                      <w:sz w:val="10"/>
                                    </w:rPr>
                                  </w:pPr>
                                  <w:r>
                                    <w:rPr>
                                      <w:b/>
                                      <w:w w:val="110"/>
                                      <w:sz w:val="10"/>
                                    </w:rPr>
                                    <w:t>apital</w:t>
                                  </w:r>
                                  <w:r>
                                    <w:rPr>
                                      <w:b/>
                                      <w:spacing w:val="-4"/>
                                      <w:w w:val="110"/>
                                      <w:sz w:val="10"/>
                                    </w:rPr>
                                    <w:t> </w:t>
                                  </w:r>
                                  <w:r>
                                    <w:rPr>
                                      <w:b/>
                                      <w:w w:val="110"/>
                                      <w:sz w:val="10"/>
                                    </w:rPr>
                                    <w:t>in</w:t>
                                  </w:r>
                                  <w:r>
                                    <w:rPr>
                                      <w:b/>
                                      <w:spacing w:val="-4"/>
                                      <w:w w:val="110"/>
                                      <w:sz w:val="10"/>
                                    </w:rPr>
                                    <w:t> </w:t>
                                  </w:r>
                                  <w:r>
                                    <w:rPr>
                                      <w:b/>
                                      <w:spacing w:val="-2"/>
                                      <w:w w:val="110"/>
                                      <w:sz w:val="10"/>
                                    </w:rPr>
                                    <w:t>Excess</w:t>
                                  </w:r>
                                  <w:r>
                                    <w:rPr>
                                      <w:b/>
                                      <w:sz w:val="10"/>
                                    </w:rPr>
                                    <w:tab/>
                                  </w:r>
                                  <w:r>
                                    <w:rPr>
                                      <w:b/>
                                      <w:spacing w:val="-2"/>
                                      <w:w w:val="110"/>
                                      <w:sz w:val="10"/>
                                    </w:rPr>
                                    <w:t>Retained</w:t>
                                  </w:r>
                                  <w:r>
                                    <w:rPr>
                                      <w:b/>
                                      <w:sz w:val="10"/>
                                    </w:rPr>
                                    <w:tab/>
                                  </w:r>
                                  <w:r>
                                    <w:rPr>
                                      <w:b/>
                                      <w:spacing w:val="-2"/>
                                      <w:w w:val="110"/>
                                      <w:sz w:val="10"/>
                                    </w:rPr>
                                    <w:t>Comprehensive</w:t>
                                  </w:r>
                                  <w:r>
                                    <w:rPr>
                                      <w:b/>
                                      <w:sz w:val="10"/>
                                    </w:rPr>
                                    <w:tab/>
                                  </w:r>
                                  <w:r>
                                    <w:rPr>
                                      <w:b/>
                                      <w:spacing w:val="-2"/>
                                      <w:w w:val="110"/>
                                      <w:sz w:val="10"/>
                                    </w:rPr>
                                    <w:t>International</w:t>
                                  </w:r>
                                  <w:r>
                                    <w:rPr>
                                      <w:b/>
                                      <w:sz w:val="10"/>
                                    </w:rPr>
                                    <w:tab/>
                                  </w:r>
                                  <w:r>
                                    <w:rPr>
                                      <w:b/>
                                      <w:spacing w:val="-2"/>
                                      <w:w w:val="110"/>
                                      <w:sz w:val="10"/>
                                    </w:rPr>
                                    <w:t>Noncontrolling</w:t>
                                  </w:r>
                                  <w:r>
                                    <w:rPr>
                                      <w:b/>
                                      <w:sz w:val="10"/>
                                    </w:rPr>
                                    <w:tab/>
                                  </w:r>
                                  <w:r>
                                    <w:rPr>
                                      <w:b/>
                                      <w:w w:val="105"/>
                                      <w:sz w:val="10"/>
                                    </w:rPr>
                                    <w:t>Total</w:t>
                                  </w:r>
                                  <w:r>
                                    <w:rPr>
                                      <w:b/>
                                      <w:spacing w:val="-3"/>
                                      <w:w w:val="105"/>
                                      <w:sz w:val="10"/>
                                    </w:rPr>
                                    <w:t> </w:t>
                                  </w:r>
                                  <w:r>
                                    <w:rPr>
                                      <w:b/>
                                      <w:spacing w:val="-2"/>
                                      <w:w w:val="110"/>
                                      <w:sz w:val="10"/>
                                    </w:rPr>
                                    <w:t>Stockholders'</w:t>
                                  </w:r>
                                </w:p>
                              </w:tc>
                            </w:tr>
                          </w:tbl>
                          <w:p>
                            <w:pPr>
                              <w:pStyle w:val="BodyText"/>
                            </w:pPr>
                          </w:p>
                        </w:txbxContent>
                      </wps:txbx>
                      <wps:bodyPr wrap="square" lIns="0" tIns="0" rIns="0" bIns="0" rtlCol="0">
                        <a:noAutofit/>
                      </wps:bodyPr>
                    </wps:wsp>
                  </a:graphicData>
                </a:graphic>
              </wp:anchor>
            </w:drawing>
          </mc:Choice>
          <mc:Fallback>
            <w:pict>
              <v:shape style="position:absolute;margin-left:282.635559pt;margin-top:-2.842737pt;width:314.25pt;height:12pt;mso-position-horizontal-relative:page;mso-position-vertical-relative:paragraph;z-index:15796224" type="#_x0000_t202" id="docshape34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1"/>
                        <w:gridCol w:w="1215"/>
                        <w:gridCol w:w="1199"/>
                        <w:gridCol w:w="2057"/>
                      </w:tblGrid>
                      <w:tr>
                        <w:trPr>
                          <w:trHeight w:val="120" w:hRule="atLeast"/>
                        </w:trPr>
                        <w:tc>
                          <w:tcPr>
                            <w:tcW w:w="1691" w:type="dxa"/>
                          </w:tcPr>
                          <w:p>
                            <w:pPr>
                              <w:pStyle w:val="TableParagraph"/>
                              <w:spacing w:before="0"/>
                              <w:rPr>
                                <w:sz w:val="6"/>
                              </w:rPr>
                            </w:pPr>
                          </w:p>
                        </w:tc>
                        <w:tc>
                          <w:tcPr>
                            <w:tcW w:w="1215" w:type="dxa"/>
                          </w:tcPr>
                          <w:p>
                            <w:pPr>
                              <w:pStyle w:val="TableParagraph"/>
                              <w:spacing w:line="98" w:lineRule="exact" w:before="3"/>
                              <w:ind w:left="187"/>
                              <w:rPr>
                                <w:b/>
                                <w:sz w:val="10"/>
                              </w:rPr>
                            </w:pPr>
                            <w:r>
                              <w:rPr>
                                <w:b/>
                                <w:w w:val="105"/>
                                <w:sz w:val="10"/>
                              </w:rPr>
                              <w:t>Accumulated</w:t>
                            </w:r>
                            <w:r>
                              <w:rPr>
                                <w:b/>
                                <w:spacing w:val="16"/>
                                <w:w w:val="110"/>
                                <w:sz w:val="10"/>
                              </w:rPr>
                              <w:t> </w:t>
                            </w:r>
                            <w:r>
                              <w:rPr>
                                <w:b/>
                                <w:spacing w:val="-2"/>
                                <w:w w:val="110"/>
                                <w:sz w:val="10"/>
                              </w:rPr>
                              <w:t>Other</w:t>
                            </w:r>
                          </w:p>
                        </w:tc>
                        <w:tc>
                          <w:tcPr>
                            <w:tcW w:w="1199" w:type="dxa"/>
                          </w:tcPr>
                          <w:p>
                            <w:pPr>
                              <w:pStyle w:val="TableParagraph"/>
                              <w:spacing w:line="98" w:lineRule="exact" w:before="3"/>
                              <w:ind w:left="117"/>
                              <w:rPr>
                                <w:b/>
                                <w:sz w:val="10"/>
                              </w:rPr>
                            </w:pPr>
                            <w:r>
                              <w:rPr>
                                <w:b/>
                                <w:sz w:val="10"/>
                              </w:rPr>
                              <w:t>Total</w:t>
                            </w:r>
                            <w:r>
                              <w:rPr>
                                <w:b/>
                                <w:spacing w:val="17"/>
                                <w:sz w:val="10"/>
                              </w:rPr>
                              <w:t> </w:t>
                            </w:r>
                            <w:r>
                              <w:rPr>
                                <w:b/>
                                <w:sz w:val="10"/>
                              </w:rPr>
                              <w:t>MGM</w:t>
                            </w:r>
                            <w:r>
                              <w:rPr>
                                <w:b/>
                                <w:spacing w:val="13"/>
                                <w:sz w:val="10"/>
                              </w:rPr>
                              <w:t> </w:t>
                            </w:r>
                            <w:r>
                              <w:rPr>
                                <w:b/>
                                <w:spacing w:val="-2"/>
                                <w:sz w:val="10"/>
                              </w:rPr>
                              <w:t>Resorts</w:t>
                            </w:r>
                          </w:p>
                        </w:tc>
                        <w:tc>
                          <w:tcPr>
                            <w:tcW w:w="2057" w:type="dxa"/>
                          </w:tcPr>
                          <w:p>
                            <w:pPr>
                              <w:pStyle w:val="TableParagraph"/>
                              <w:spacing w:before="0"/>
                              <w:rPr>
                                <w:sz w:val="6"/>
                              </w:rPr>
                            </w:pPr>
                          </w:p>
                        </w:tc>
                      </w:tr>
                      <w:tr>
                        <w:trPr>
                          <w:trHeight w:val="120" w:hRule="atLeast"/>
                        </w:trPr>
                        <w:tc>
                          <w:tcPr>
                            <w:tcW w:w="6162" w:type="dxa"/>
                            <w:gridSpan w:val="4"/>
                          </w:tcPr>
                          <w:p>
                            <w:pPr>
                              <w:pStyle w:val="TableParagraph"/>
                              <w:tabs>
                                <w:tab w:pos="1091" w:val="left" w:leader="none"/>
                                <w:tab w:pos="1976" w:val="left" w:leader="none"/>
                                <w:tab w:pos="3178" w:val="left" w:leader="none"/>
                                <w:tab w:pos="4269" w:val="left" w:leader="none"/>
                                <w:tab w:pos="5240" w:val="left" w:leader="none"/>
                              </w:tabs>
                              <w:spacing w:line="97" w:lineRule="exact" w:before="4"/>
                              <w:ind w:left="-4"/>
                              <w:rPr>
                                <w:b/>
                                <w:sz w:val="10"/>
                              </w:rPr>
                            </w:pPr>
                            <w:r>
                              <w:rPr>
                                <w:b/>
                                <w:w w:val="110"/>
                                <w:sz w:val="10"/>
                              </w:rPr>
                              <w:t>apital</w:t>
                            </w:r>
                            <w:r>
                              <w:rPr>
                                <w:b/>
                                <w:spacing w:val="-4"/>
                                <w:w w:val="110"/>
                                <w:sz w:val="10"/>
                              </w:rPr>
                              <w:t> </w:t>
                            </w:r>
                            <w:r>
                              <w:rPr>
                                <w:b/>
                                <w:w w:val="110"/>
                                <w:sz w:val="10"/>
                              </w:rPr>
                              <w:t>in</w:t>
                            </w:r>
                            <w:r>
                              <w:rPr>
                                <w:b/>
                                <w:spacing w:val="-4"/>
                                <w:w w:val="110"/>
                                <w:sz w:val="10"/>
                              </w:rPr>
                              <w:t> </w:t>
                            </w:r>
                            <w:r>
                              <w:rPr>
                                <w:b/>
                                <w:spacing w:val="-2"/>
                                <w:w w:val="110"/>
                                <w:sz w:val="10"/>
                              </w:rPr>
                              <w:t>Excess</w:t>
                            </w:r>
                            <w:r>
                              <w:rPr>
                                <w:b/>
                                <w:sz w:val="10"/>
                              </w:rPr>
                              <w:tab/>
                            </w:r>
                            <w:r>
                              <w:rPr>
                                <w:b/>
                                <w:spacing w:val="-2"/>
                                <w:w w:val="110"/>
                                <w:sz w:val="10"/>
                              </w:rPr>
                              <w:t>Retained</w:t>
                            </w:r>
                            <w:r>
                              <w:rPr>
                                <w:b/>
                                <w:sz w:val="10"/>
                              </w:rPr>
                              <w:tab/>
                            </w:r>
                            <w:r>
                              <w:rPr>
                                <w:b/>
                                <w:spacing w:val="-2"/>
                                <w:w w:val="110"/>
                                <w:sz w:val="10"/>
                              </w:rPr>
                              <w:t>Comprehensive</w:t>
                            </w:r>
                            <w:r>
                              <w:rPr>
                                <w:b/>
                                <w:sz w:val="10"/>
                              </w:rPr>
                              <w:tab/>
                            </w:r>
                            <w:r>
                              <w:rPr>
                                <w:b/>
                                <w:spacing w:val="-2"/>
                                <w:w w:val="110"/>
                                <w:sz w:val="10"/>
                              </w:rPr>
                              <w:t>International</w:t>
                            </w:r>
                            <w:r>
                              <w:rPr>
                                <w:b/>
                                <w:sz w:val="10"/>
                              </w:rPr>
                              <w:tab/>
                            </w:r>
                            <w:r>
                              <w:rPr>
                                <w:b/>
                                <w:spacing w:val="-2"/>
                                <w:w w:val="110"/>
                                <w:sz w:val="10"/>
                              </w:rPr>
                              <w:t>Noncontrolling</w:t>
                            </w:r>
                            <w:r>
                              <w:rPr>
                                <w:b/>
                                <w:sz w:val="10"/>
                              </w:rPr>
                              <w:tab/>
                            </w:r>
                            <w:r>
                              <w:rPr>
                                <w:b/>
                                <w:w w:val="105"/>
                                <w:sz w:val="10"/>
                              </w:rPr>
                              <w:t>Total</w:t>
                            </w:r>
                            <w:r>
                              <w:rPr>
                                <w:b/>
                                <w:spacing w:val="-3"/>
                                <w:w w:val="105"/>
                                <w:sz w:val="10"/>
                              </w:rPr>
                              <w:t> </w:t>
                            </w:r>
                            <w:r>
                              <w:rPr>
                                <w:b/>
                                <w:spacing w:val="-2"/>
                                <w:w w:val="110"/>
                                <w:sz w:val="10"/>
                              </w:rPr>
                              <w:t>Stockholders'</w:t>
                            </w:r>
                          </w:p>
                        </w:tc>
                      </w:tr>
                    </w:tbl>
                    <w:p>
                      <w:pPr>
                        <w:pStyle w:val="BodyText"/>
                      </w:pPr>
                    </w:p>
                  </w:txbxContent>
                </v:textbox>
                <w10:wrap type="none"/>
              </v:shape>
            </w:pict>
          </mc:Fallback>
        </mc:AlternateContent>
      </w:r>
      <w:r>
        <w:rPr>
          <w:b/>
          <w:w w:val="105"/>
          <w:sz w:val="10"/>
        </w:rPr>
        <w:t>Common</w:t>
      </w:r>
      <w:r>
        <w:rPr>
          <w:b/>
          <w:spacing w:val="11"/>
          <w:w w:val="110"/>
          <w:sz w:val="10"/>
        </w:rPr>
        <w:t> </w:t>
      </w:r>
      <w:r>
        <w:rPr>
          <w:b/>
          <w:spacing w:val="-2"/>
          <w:w w:val="110"/>
          <w:sz w:val="10"/>
        </w:rPr>
        <w:t>Stock</w:t>
      </w:r>
    </w:p>
    <w:p>
      <w:pPr>
        <w:tabs>
          <w:tab w:pos="5271" w:val="left" w:leader="none"/>
        </w:tabs>
        <w:spacing w:line="91" w:lineRule="exact" w:before="0" w:after="4"/>
        <w:ind w:left="3681" w:right="0" w:firstLine="0"/>
        <w:jc w:val="left"/>
        <w:rPr>
          <w:b/>
          <w:sz w:val="10"/>
        </w:rPr>
      </w:pPr>
      <w:r>
        <w:rPr>
          <w:sz w:val="10"/>
          <w:u w:val="single"/>
        </w:rPr>
        <w:tab/>
      </w:r>
      <w:r>
        <w:rPr>
          <w:spacing w:val="80"/>
          <w:w w:val="110"/>
          <w:sz w:val="10"/>
        </w:rPr>
        <w:t> </w:t>
      </w:r>
      <w:r>
        <w:rPr>
          <w:b/>
          <w:w w:val="110"/>
          <w:sz w:val="10"/>
        </w:rPr>
        <w:t>C</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9"/>
        <w:gridCol w:w="759"/>
        <w:gridCol w:w="825"/>
        <w:gridCol w:w="1032"/>
        <w:gridCol w:w="937"/>
        <w:gridCol w:w="1137"/>
        <w:gridCol w:w="1162"/>
        <w:gridCol w:w="1103"/>
        <w:gridCol w:w="1006"/>
      </w:tblGrid>
      <w:tr>
        <w:trPr>
          <w:trHeight w:val="149" w:hRule="atLeast"/>
        </w:trPr>
        <w:tc>
          <w:tcPr>
            <w:tcW w:w="3559" w:type="dxa"/>
          </w:tcPr>
          <w:p>
            <w:pPr>
              <w:pStyle w:val="TableParagraph"/>
              <w:spacing w:before="0"/>
              <w:rPr>
                <w:sz w:val="8"/>
              </w:rPr>
            </w:pPr>
          </w:p>
        </w:tc>
        <w:tc>
          <w:tcPr>
            <w:tcW w:w="759" w:type="dxa"/>
            <w:tcBorders>
              <w:bottom w:val="single" w:sz="6" w:space="0" w:color="000000"/>
            </w:tcBorders>
          </w:tcPr>
          <w:p>
            <w:pPr>
              <w:pStyle w:val="TableParagraph"/>
              <w:spacing w:before="3"/>
              <w:ind w:left="193"/>
              <w:rPr>
                <w:b/>
                <w:sz w:val="10"/>
              </w:rPr>
            </w:pPr>
            <w:r>
              <w:rPr>
                <w:b/>
                <w:spacing w:val="-2"/>
                <w:w w:val="110"/>
                <w:sz w:val="10"/>
              </w:rPr>
              <w:t>Shares</w:t>
            </w:r>
          </w:p>
        </w:tc>
        <w:tc>
          <w:tcPr>
            <w:tcW w:w="825" w:type="dxa"/>
            <w:tcBorders>
              <w:bottom w:val="single" w:sz="6" w:space="0" w:color="000000"/>
            </w:tcBorders>
          </w:tcPr>
          <w:p>
            <w:pPr>
              <w:pStyle w:val="TableParagraph"/>
              <w:spacing w:before="3"/>
              <w:ind w:left="191"/>
              <w:rPr>
                <w:b/>
                <w:sz w:val="10"/>
              </w:rPr>
            </w:pPr>
            <w:r>
              <w:rPr>
                <w:b/>
                <w:w w:val="105"/>
                <w:sz w:val="10"/>
              </w:rPr>
              <w:t>Par</w:t>
            </w:r>
            <w:r>
              <w:rPr>
                <w:b/>
                <w:w w:val="110"/>
                <w:sz w:val="10"/>
              </w:rPr>
              <w:t> </w:t>
            </w:r>
            <w:r>
              <w:rPr>
                <w:b/>
                <w:spacing w:val="-2"/>
                <w:w w:val="110"/>
                <w:sz w:val="10"/>
              </w:rPr>
              <w:t>Value</w:t>
            </w:r>
          </w:p>
        </w:tc>
        <w:tc>
          <w:tcPr>
            <w:tcW w:w="1032" w:type="dxa"/>
            <w:tcBorders>
              <w:bottom w:val="single" w:sz="6" w:space="0" w:color="000000"/>
            </w:tcBorders>
          </w:tcPr>
          <w:p>
            <w:pPr>
              <w:pStyle w:val="TableParagraph"/>
              <w:spacing w:before="3"/>
              <w:ind w:left="236"/>
              <w:rPr>
                <w:b/>
                <w:sz w:val="10"/>
              </w:rPr>
            </w:pPr>
            <w:r>
              <w:rPr>
                <w:b/>
                <w:w w:val="110"/>
                <w:sz w:val="10"/>
              </w:rPr>
              <w:t>of</w:t>
            </w:r>
            <w:r>
              <w:rPr>
                <w:b/>
                <w:spacing w:val="-4"/>
                <w:w w:val="110"/>
                <w:sz w:val="10"/>
              </w:rPr>
              <w:t> </w:t>
            </w:r>
            <w:r>
              <w:rPr>
                <w:b/>
                <w:w w:val="110"/>
                <w:sz w:val="10"/>
              </w:rPr>
              <w:t>Par</w:t>
            </w:r>
            <w:r>
              <w:rPr>
                <w:b/>
                <w:spacing w:val="-6"/>
                <w:w w:val="110"/>
                <w:sz w:val="10"/>
              </w:rPr>
              <w:t> </w:t>
            </w:r>
            <w:r>
              <w:rPr>
                <w:b/>
                <w:spacing w:val="-2"/>
                <w:w w:val="110"/>
                <w:sz w:val="10"/>
              </w:rPr>
              <w:t>Value</w:t>
            </w:r>
          </w:p>
        </w:tc>
        <w:tc>
          <w:tcPr>
            <w:tcW w:w="937" w:type="dxa"/>
            <w:tcBorders>
              <w:bottom w:val="single" w:sz="6" w:space="0" w:color="000000"/>
            </w:tcBorders>
          </w:tcPr>
          <w:p>
            <w:pPr>
              <w:pStyle w:val="TableParagraph"/>
              <w:spacing w:before="3"/>
              <w:ind w:left="262"/>
              <w:rPr>
                <w:b/>
                <w:sz w:val="10"/>
              </w:rPr>
            </w:pPr>
            <w:r>
              <w:rPr>
                <w:b/>
                <w:spacing w:val="-2"/>
                <w:w w:val="110"/>
                <w:sz w:val="10"/>
              </w:rPr>
              <w:t>Earnings</w:t>
            </w:r>
          </w:p>
        </w:tc>
        <w:tc>
          <w:tcPr>
            <w:tcW w:w="1137" w:type="dxa"/>
            <w:tcBorders>
              <w:bottom w:val="single" w:sz="6" w:space="0" w:color="000000"/>
            </w:tcBorders>
          </w:tcPr>
          <w:p>
            <w:pPr>
              <w:pStyle w:val="TableParagraph"/>
              <w:spacing w:before="3"/>
              <w:ind w:left="246"/>
              <w:rPr>
                <w:b/>
                <w:sz w:val="10"/>
              </w:rPr>
            </w:pPr>
            <w:r>
              <w:rPr>
                <w:b/>
                <w:w w:val="110"/>
                <w:sz w:val="10"/>
              </w:rPr>
              <w:t>Income</w:t>
            </w:r>
            <w:r>
              <w:rPr>
                <w:b/>
                <w:spacing w:val="-7"/>
                <w:w w:val="110"/>
                <w:sz w:val="10"/>
              </w:rPr>
              <w:t> </w:t>
            </w:r>
            <w:r>
              <w:rPr>
                <w:b/>
                <w:spacing w:val="-2"/>
                <w:w w:val="110"/>
                <w:sz w:val="10"/>
              </w:rPr>
              <w:t>(Loss)</w:t>
            </w:r>
          </w:p>
        </w:tc>
        <w:tc>
          <w:tcPr>
            <w:tcW w:w="1162" w:type="dxa"/>
            <w:tcBorders>
              <w:bottom w:val="single" w:sz="6" w:space="0" w:color="000000"/>
            </w:tcBorders>
          </w:tcPr>
          <w:p>
            <w:pPr>
              <w:pStyle w:val="TableParagraph"/>
              <w:spacing w:before="3"/>
              <w:ind w:right="91"/>
              <w:jc w:val="right"/>
              <w:rPr>
                <w:b/>
                <w:sz w:val="10"/>
              </w:rPr>
            </w:pPr>
            <w:r>
              <w:rPr>
                <w:b/>
                <w:w w:val="105"/>
                <w:sz w:val="10"/>
              </w:rPr>
              <w:t>Stockholders'</w:t>
            </w:r>
            <w:r>
              <w:rPr>
                <w:b/>
                <w:spacing w:val="17"/>
                <w:w w:val="110"/>
                <w:sz w:val="10"/>
              </w:rPr>
              <w:t> </w:t>
            </w:r>
            <w:r>
              <w:rPr>
                <w:b/>
                <w:spacing w:val="-2"/>
                <w:w w:val="110"/>
                <w:sz w:val="10"/>
              </w:rPr>
              <w:t>Equity</w:t>
            </w:r>
          </w:p>
        </w:tc>
        <w:tc>
          <w:tcPr>
            <w:tcW w:w="1103" w:type="dxa"/>
            <w:tcBorders>
              <w:bottom w:val="single" w:sz="6" w:space="0" w:color="000000"/>
            </w:tcBorders>
          </w:tcPr>
          <w:p>
            <w:pPr>
              <w:pStyle w:val="TableParagraph"/>
              <w:spacing w:before="3"/>
              <w:ind w:left="353"/>
              <w:rPr>
                <w:b/>
                <w:sz w:val="10"/>
              </w:rPr>
            </w:pPr>
            <w:r>
              <w:rPr>
                <w:b/>
                <w:spacing w:val="-2"/>
                <w:w w:val="110"/>
                <w:sz w:val="10"/>
              </w:rPr>
              <w:t>Interests</w:t>
            </w:r>
          </w:p>
        </w:tc>
        <w:tc>
          <w:tcPr>
            <w:tcW w:w="1006" w:type="dxa"/>
            <w:tcBorders>
              <w:bottom w:val="single" w:sz="6" w:space="0" w:color="000000"/>
            </w:tcBorders>
          </w:tcPr>
          <w:p>
            <w:pPr>
              <w:pStyle w:val="TableParagraph"/>
              <w:spacing w:before="3"/>
              <w:ind w:left="365"/>
              <w:rPr>
                <w:b/>
                <w:sz w:val="10"/>
              </w:rPr>
            </w:pPr>
            <w:r>
              <w:rPr>
                <w:b/>
                <w:spacing w:val="-2"/>
                <w:w w:val="110"/>
                <w:sz w:val="10"/>
              </w:rPr>
              <w:t>Equity</w:t>
            </w:r>
          </w:p>
        </w:tc>
      </w:tr>
      <w:tr>
        <w:trPr>
          <w:trHeight w:val="201" w:hRule="atLeast"/>
        </w:trPr>
        <w:tc>
          <w:tcPr>
            <w:tcW w:w="3559" w:type="dxa"/>
            <w:shd w:val="clear" w:color="auto" w:fill="CCEDFF"/>
          </w:tcPr>
          <w:p>
            <w:pPr>
              <w:pStyle w:val="TableParagraph"/>
              <w:spacing w:before="31"/>
              <w:ind w:left="26"/>
              <w:rPr>
                <w:b/>
                <w:sz w:val="11"/>
              </w:rPr>
            </w:pPr>
            <w:r>
              <w:rPr>
                <w:b/>
                <w:w w:val="105"/>
                <w:sz w:val="11"/>
              </w:rPr>
              <w:t>Balances,</w:t>
            </w:r>
            <w:r>
              <w:rPr>
                <w:b/>
                <w:spacing w:val="2"/>
                <w:w w:val="105"/>
                <w:sz w:val="11"/>
              </w:rPr>
              <w:t> </w:t>
            </w:r>
            <w:r>
              <w:rPr>
                <w:b/>
                <w:w w:val="105"/>
                <w:sz w:val="11"/>
              </w:rPr>
              <w:t>January</w:t>
            </w:r>
            <w:r>
              <w:rPr>
                <w:b/>
                <w:spacing w:val="3"/>
                <w:w w:val="105"/>
                <w:sz w:val="11"/>
              </w:rPr>
              <w:t> </w:t>
            </w:r>
            <w:r>
              <w:rPr>
                <w:b/>
                <w:w w:val="105"/>
                <w:sz w:val="11"/>
              </w:rPr>
              <w:t>1,</w:t>
            </w:r>
            <w:r>
              <w:rPr>
                <w:b/>
                <w:spacing w:val="3"/>
                <w:w w:val="105"/>
                <w:sz w:val="11"/>
              </w:rPr>
              <w:t> </w:t>
            </w:r>
            <w:r>
              <w:rPr>
                <w:b/>
                <w:spacing w:val="-4"/>
                <w:w w:val="105"/>
                <w:sz w:val="11"/>
              </w:rPr>
              <w:t>2020</w:t>
            </w:r>
          </w:p>
        </w:tc>
        <w:tc>
          <w:tcPr>
            <w:tcW w:w="759" w:type="dxa"/>
            <w:tcBorders>
              <w:top w:val="single" w:sz="6" w:space="0" w:color="000000"/>
            </w:tcBorders>
            <w:shd w:val="clear" w:color="auto" w:fill="CCEDFF"/>
          </w:tcPr>
          <w:p>
            <w:pPr>
              <w:pStyle w:val="TableParagraph"/>
              <w:spacing w:before="22"/>
              <w:ind w:right="101"/>
              <w:jc w:val="right"/>
              <w:rPr>
                <w:sz w:val="12"/>
              </w:rPr>
            </w:pPr>
            <w:r>
              <w:rPr>
                <w:spacing w:val="-2"/>
                <w:w w:val="105"/>
                <w:sz w:val="12"/>
              </w:rPr>
              <w:t>503,148</w:t>
            </w:r>
          </w:p>
        </w:tc>
        <w:tc>
          <w:tcPr>
            <w:tcW w:w="825" w:type="dxa"/>
            <w:tcBorders>
              <w:top w:val="single" w:sz="6" w:space="0" w:color="000000"/>
            </w:tcBorders>
            <w:shd w:val="clear" w:color="auto" w:fill="CCEDFF"/>
          </w:tcPr>
          <w:p>
            <w:pPr>
              <w:pStyle w:val="TableParagraph"/>
              <w:tabs>
                <w:tab w:pos="367" w:val="left" w:leader="none"/>
              </w:tabs>
              <w:spacing w:before="22"/>
              <w:ind w:right="101"/>
              <w:jc w:val="right"/>
              <w:rPr>
                <w:sz w:val="12"/>
              </w:rPr>
            </w:pPr>
            <w:r>
              <w:rPr>
                <w:spacing w:val="-10"/>
                <w:w w:val="105"/>
                <w:sz w:val="12"/>
              </w:rPr>
              <w:t>$</w:t>
            </w:r>
            <w:r>
              <w:rPr>
                <w:sz w:val="12"/>
              </w:rPr>
              <w:tab/>
            </w:r>
            <w:r>
              <w:rPr>
                <w:spacing w:val="-4"/>
                <w:w w:val="105"/>
                <w:sz w:val="12"/>
              </w:rPr>
              <w:t>5,031</w:t>
            </w:r>
          </w:p>
        </w:tc>
        <w:tc>
          <w:tcPr>
            <w:tcW w:w="1032" w:type="dxa"/>
            <w:tcBorders>
              <w:top w:val="single" w:sz="6" w:space="0" w:color="000000"/>
            </w:tcBorders>
            <w:shd w:val="clear" w:color="auto" w:fill="CCEDFF"/>
          </w:tcPr>
          <w:p>
            <w:pPr>
              <w:pStyle w:val="TableParagraph"/>
              <w:tabs>
                <w:tab w:pos="353" w:val="left" w:leader="none"/>
              </w:tabs>
              <w:spacing w:before="22"/>
              <w:ind w:right="101"/>
              <w:jc w:val="right"/>
              <w:rPr>
                <w:sz w:val="12"/>
              </w:rPr>
            </w:pPr>
            <w:r>
              <w:rPr>
                <w:spacing w:val="-10"/>
                <w:w w:val="105"/>
                <w:sz w:val="12"/>
              </w:rPr>
              <w:t>$</w:t>
            </w:r>
            <w:r>
              <w:rPr>
                <w:sz w:val="12"/>
              </w:rPr>
              <w:tab/>
            </w:r>
            <w:r>
              <w:rPr>
                <w:spacing w:val="-2"/>
                <w:w w:val="105"/>
                <w:sz w:val="12"/>
              </w:rPr>
              <w:t>3,531,099</w:t>
            </w:r>
          </w:p>
        </w:tc>
        <w:tc>
          <w:tcPr>
            <w:tcW w:w="937" w:type="dxa"/>
            <w:tcBorders>
              <w:top w:val="single" w:sz="6" w:space="0" w:color="000000"/>
            </w:tcBorders>
            <w:shd w:val="clear" w:color="auto" w:fill="CCEDFF"/>
          </w:tcPr>
          <w:p>
            <w:pPr>
              <w:pStyle w:val="TableParagraph"/>
              <w:spacing w:before="22"/>
              <w:ind w:right="101"/>
              <w:jc w:val="right"/>
              <w:rPr>
                <w:sz w:val="12"/>
              </w:rPr>
            </w:pPr>
            <w:r>
              <w:rPr>
                <w:w w:val="105"/>
                <w:sz w:val="12"/>
              </w:rPr>
              <w:t>$</w:t>
            </w:r>
            <w:r>
              <w:rPr>
                <w:spacing w:val="65"/>
                <w:w w:val="105"/>
                <w:sz w:val="12"/>
              </w:rPr>
              <w:t>  </w:t>
            </w:r>
            <w:r>
              <w:rPr>
                <w:spacing w:val="-2"/>
                <w:w w:val="105"/>
                <w:sz w:val="12"/>
              </w:rPr>
              <w:t>4,201,337</w:t>
            </w:r>
          </w:p>
        </w:tc>
        <w:tc>
          <w:tcPr>
            <w:tcW w:w="1137" w:type="dxa"/>
            <w:tcBorders>
              <w:top w:val="single" w:sz="6" w:space="0" w:color="000000"/>
            </w:tcBorders>
            <w:shd w:val="clear" w:color="auto" w:fill="CCEDFF"/>
          </w:tcPr>
          <w:p>
            <w:pPr>
              <w:pStyle w:val="TableParagraph"/>
              <w:tabs>
                <w:tab w:pos="561" w:val="left" w:leader="none"/>
              </w:tabs>
              <w:spacing w:before="22"/>
              <w:ind w:right="72"/>
              <w:jc w:val="right"/>
              <w:rPr>
                <w:sz w:val="12"/>
              </w:rPr>
            </w:pPr>
            <w:r>
              <w:rPr>
                <w:spacing w:val="-10"/>
                <w:w w:val="105"/>
                <w:sz w:val="12"/>
              </w:rPr>
              <w:t>$</w:t>
            </w:r>
            <w:r>
              <w:rPr>
                <w:sz w:val="12"/>
              </w:rPr>
              <w:tab/>
            </w:r>
            <w:r>
              <w:rPr>
                <w:spacing w:val="-2"/>
                <w:w w:val="105"/>
                <w:sz w:val="12"/>
              </w:rPr>
              <w:t>(10,202)</w:t>
            </w:r>
          </w:p>
        </w:tc>
        <w:tc>
          <w:tcPr>
            <w:tcW w:w="1162" w:type="dxa"/>
            <w:tcBorders>
              <w:top w:val="single" w:sz="6" w:space="0" w:color="000000"/>
            </w:tcBorders>
            <w:shd w:val="clear" w:color="auto" w:fill="CCEDFF"/>
          </w:tcPr>
          <w:p>
            <w:pPr>
              <w:pStyle w:val="TableParagraph"/>
              <w:tabs>
                <w:tab w:pos="481" w:val="left" w:leader="none"/>
              </w:tabs>
              <w:spacing w:before="22"/>
              <w:ind w:right="103"/>
              <w:jc w:val="right"/>
              <w:rPr>
                <w:sz w:val="12"/>
              </w:rPr>
            </w:pPr>
            <w:r>
              <w:rPr>
                <w:spacing w:val="-10"/>
                <w:w w:val="105"/>
                <w:sz w:val="12"/>
              </w:rPr>
              <w:t>$</w:t>
            </w:r>
            <w:r>
              <w:rPr>
                <w:sz w:val="12"/>
              </w:rPr>
              <w:tab/>
            </w:r>
            <w:r>
              <w:rPr>
                <w:spacing w:val="-2"/>
                <w:w w:val="105"/>
                <w:sz w:val="12"/>
              </w:rPr>
              <w:t>7,727,265</w:t>
            </w:r>
          </w:p>
        </w:tc>
        <w:tc>
          <w:tcPr>
            <w:tcW w:w="1103" w:type="dxa"/>
            <w:tcBorders>
              <w:top w:val="single" w:sz="6" w:space="0" w:color="000000"/>
            </w:tcBorders>
            <w:shd w:val="clear" w:color="auto" w:fill="CCEDFF"/>
          </w:tcPr>
          <w:p>
            <w:pPr>
              <w:pStyle w:val="TableParagraph"/>
              <w:tabs>
                <w:tab w:pos="423" w:val="left" w:leader="none"/>
              </w:tabs>
              <w:spacing w:before="22"/>
              <w:ind w:right="104"/>
              <w:jc w:val="right"/>
              <w:rPr>
                <w:sz w:val="12"/>
              </w:rPr>
            </w:pPr>
            <w:r>
              <w:rPr>
                <w:spacing w:val="-10"/>
                <w:w w:val="105"/>
                <w:sz w:val="12"/>
              </w:rPr>
              <w:t>$</w:t>
            </w:r>
            <w:r>
              <w:rPr>
                <w:sz w:val="12"/>
              </w:rPr>
              <w:tab/>
            </w:r>
            <w:r>
              <w:rPr>
                <w:spacing w:val="-2"/>
                <w:w w:val="105"/>
                <w:sz w:val="12"/>
              </w:rPr>
              <w:t>4,935,654</w:t>
            </w:r>
          </w:p>
        </w:tc>
        <w:tc>
          <w:tcPr>
            <w:tcW w:w="1006" w:type="dxa"/>
            <w:tcBorders>
              <w:top w:val="single" w:sz="6" w:space="0" w:color="000000"/>
            </w:tcBorders>
            <w:shd w:val="clear" w:color="auto" w:fill="CCEDFF"/>
          </w:tcPr>
          <w:p>
            <w:pPr>
              <w:pStyle w:val="TableParagraph"/>
              <w:tabs>
                <w:tab w:pos="295" w:val="left" w:leader="none"/>
              </w:tabs>
              <w:spacing w:before="22"/>
              <w:ind w:right="72"/>
              <w:jc w:val="right"/>
              <w:rPr>
                <w:sz w:val="12"/>
              </w:rPr>
            </w:pPr>
            <w:r>
              <w:rPr>
                <w:spacing w:val="-10"/>
                <w:w w:val="105"/>
                <w:sz w:val="12"/>
              </w:rPr>
              <w:t>$</w:t>
            </w:r>
            <w:r>
              <w:rPr>
                <w:sz w:val="12"/>
              </w:rPr>
              <w:tab/>
            </w:r>
            <w:r>
              <w:rPr>
                <w:spacing w:val="-2"/>
                <w:w w:val="105"/>
                <w:sz w:val="12"/>
              </w:rPr>
              <w:t>12,662,919</w:t>
            </w:r>
          </w:p>
        </w:tc>
      </w:tr>
      <w:tr>
        <w:trPr>
          <w:trHeight w:val="202" w:hRule="atLeast"/>
        </w:trPr>
        <w:tc>
          <w:tcPr>
            <w:tcW w:w="3559" w:type="dxa"/>
          </w:tcPr>
          <w:p>
            <w:pPr>
              <w:pStyle w:val="TableParagraph"/>
              <w:spacing w:before="32"/>
              <w:ind w:left="225"/>
              <w:rPr>
                <w:sz w:val="11"/>
              </w:rPr>
            </w:pPr>
            <w:r>
              <w:rPr>
                <w:w w:val="105"/>
                <w:sz w:val="11"/>
              </w:rPr>
              <w:t>Net</w:t>
            </w:r>
            <w:r>
              <w:rPr>
                <w:spacing w:val="1"/>
                <w:w w:val="105"/>
                <w:sz w:val="11"/>
              </w:rPr>
              <w:t> </w:t>
            </w:r>
            <w:r>
              <w:rPr>
                <w:spacing w:val="-4"/>
                <w:w w:val="105"/>
                <w:sz w:val="11"/>
              </w:rPr>
              <w:t>loss</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10"/>
                <w:w w:val="105"/>
                <w:sz w:val="12"/>
              </w:rPr>
              <w:t>—</w:t>
            </w:r>
          </w:p>
        </w:tc>
        <w:tc>
          <w:tcPr>
            <w:tcW w:w="937" w:type="dxa"/>
          </w:tcPr>
          <w:p>
            <w:pPr>
              <w:pStyle w:val="TableParagraph"/>
              <w:spacing w:before="23"/>
              <w:ind w:right="70"/>
              <w:jc w:val="right"/>
              <w:rPr>
                <w:sz w:val="12"/>
              </w:rPr>
            </w:pPr>
            <w:r>
              <w:rPr>
                <w:spacing w:val="-2"/>
                <w:w w:val="105"/>
                <w:sz w:val="12"/>
              </w:rPr>
              <w:t>(1,032,724)</w:t>
            </w:r>
          </w:p>
        </w:tc>
        <w:tc>
          <w:tcPr>
            <w:tcW w:w="1137" w:type="dxa"/>
          </w:tcPr>
          <w:p>
            <w:pPr>
              <w:pStyle w:val="TableParagraph"/>
              <w:spacing w:before="23"/>
              <w:ind w:right="104"/>
              <w:jc w:val="right"/>
              <w:rPr>
                <w:sz w:val="12"/>
              </w:rPr>
            </w:pPr>
            <w:r>
              <w:rPr>
                <w:spacing w:val="-10"/>
                <w:w w:val="105"/>
                <w:sz w:val="12"/>
              </w:rPr>
              <w:t>—</w:t>
            </w:r>
          </w:p>
        </w:tc>
        <w:tc>
          <w:tcPr>
            <w:tcW w:w="1162" w:type="dxa"/>
          </w:tcPr>
          <w:p>
            <w:pPr>
              <w:pStyle w:val="TableParagraph"/>
              <w:spacing w:before="23"/>
              <w:ind w:right="72"/>
              <w:jc w:val="right"/>
              <w:rPr>
                <w:sz w:val="12"/>
              </w:rPr>
            </w:pPr>
            <w:r>
              <w:rPr>
                <w:spacing w:val="-2"/>
                <w:w w:val="105"/>
                <w:sz w:val="12"/>
              </w:rPr>
              <w:t>(1,032,724)</w:t>
            </w:r>
          </w:p>
        </w:tc>
        <w:tc>
          <w:tcPr>
            <w:tcW w:w="1103" w:type="dxa"/>
          </w:tcPr>
          <w:p>
            <w:pPr>
              <w:pStyle w:val="TableParagraph"/>
              <w:spacing w:before="23"/>
              <w:ind w:right="73"/>
              <w:jc w:val="right"/>
              <w:rPr>
                <w:sz w:val="12"/>
              </w:rPr>
            </w:pPr>
            <w:r>
              <w:rPr>
                <w:spacing w:val="-2"/>
                <w:w w:val="105"/>
                <w:sz w:val="12"/>
              </w:rPr>
              <w:t>(293,401)</w:t>
            </w:r>
          </w:p>
        </w:tc>
        <w:tc>
          <w:tcPr>
            <w:tcW w:w="1006" w:type="dxa"/>
          </w:tcPr>
          <w:p>
            <w:pPr>
              <w:pStyle w:val="TableParagraph"/>
              <w:spacing w:before="23"/>
              <w:ind w:right="41"/>
              <w:jc w:val="right"/>
              <w:rPr>
                <w:sz w:val="12"/>
              </w:rPr>
            </w:pPr>
            <w:r>
              <w:rPr>
                <w:spacing w:val="-2"/>
                <w:w w:val="105"/>
                <w:sz w:val="12"/>
              </w:rPr>
              <w:t>(1,326,125)</w:t>
            </w:r>
          </w:p>
        </w:tc>
      </w:tr>
      <w:tr>
        <w:trPr>
          <w:trHeight w:val="188" w:hRule="atLeast"/>
        </w:trPr>
        <w:tc>
          <w:tcPr>
            <w:tcW w:w="3559" w:type="dxa"/>
            <w:shd w:val="clear" w:color="auto" w:fill="CCEDFF"/>
          </w:tcPr>
          <w:p>
            <w:pPr>
              <w:pStyle w:val="TableParagraph"/>
              <w:spacing w:before="18"/>
              <w:ind w:left="225"/>
              <w:rPr>
                <w:sz w:val="11"/>
              </w:rPr>
            </w:pPr>
            <w:r>
              <w:rPr>
                <w:w w:val="105"/>
                <w:sz w:val="11"/>
              </w:rPr>
              <w:t>Currency</w:t>
            </w:r>
            <w:r>
              <w:rPr>
                <w:spacing w:val="4"/>
                <w:w w:val="105"/>
                <w:sz w:val="11"/>
              </w:rPr>
              <w:t> </w:t>
            </w:r>
            <w:r>
              <w:rPr>
                <w:w w:val="105"/>
                <w:sz w:val="11"/>
              </w:rPr>
              <w:t>translation</w:t>
            </w:r>
            <w:r>
              <w:rPr>
                <w:spacing w:val="3"/>
                <w:w w:val="105"/>
                <w:sz w:val="11"/>
              </w:rPr>
              <w:t> </w:t>
            </w:r>
            <w:r>
              <w:rPr>
                <w:spacing w:val="-2"/>
                <w:w w:val="105"/>
                <w:sz w:val="11"/>
              </w:rPr>
              <w:t>adjustment</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10"/>
                <w:w w:val="105"/>
                <w:sz w:val="12"/>
              </w:rPr>
              <w:t>—</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2"/>
                <w:w w:val="105"/>
                <w:sz w:val="12"/>
              </w:rPr>
              <w:t>15,711</w:t>
            </w:r>
          </w:p>
        </w:tc>
        <w:tc>
          <w:tcPr>
            <w:tcW w:w="1162" w:type="dxa"/>
            <w:shd w:val="clear" w:color="auto" w:fill="CCEDFF"/>
          </w:tcPr>
          <w:p>
            <w:pPr>
              <w:pStyle w:val="TableParagraph"/>
              <w:spacing w:before="23"/>
              <w:ind w:right="103"/>
              <w:jc w:val="right"/>
              <w:rPr>
                <w:sz w:val="12"/>
              </w:rPr>
            </w:pPr>
            <w:r>
              <w:rPr>
                <w:spacing w:val="-2"/>
                <w:w w:val="105"/>
                <w:sz w:val="12"/>
              </w:rPr>
              <w:t>15,711</w:t>
            </w:r>
          </w:p>
        </w:tc>
        <w:tc>
          <w:tcPr>
            <w:tcW w:w="1103" w:type="dxa"/>
            <w:shd w:val="clear" w:color="auto" w:fill="CCEDFF"/>
          </w:tcPr>
          <w:p>
            <w:pPr>
              <w:pStyle w:val="TableParagraph"/>
              <w:spacing w:before="23"/>
              <w:ind w:right="104"/>
              <w:jc w:val="right"/>
              <w:rPr>
                <w:sz w:val="12"/>
              </w:rPr>
            </w:pPr>
            <w:r>
              <w:rPr>
                <w:spacing w:val="-2"/>
                <w:w w:val="105"/>
                <w:sz w:val="12"/>
              </w:rPr>
              <w:t>12,051</w:t>
            </w:r>
          </w:p>
        </w:tc>
        <w:tc>
          <w:tcPr>
            <w:tcW w:w="1006" w:type="dxa"/>
            <w:shd w:val="clear" w:color="auto" w:fill="CCEDFF"/>
          </w:tcPr>
          <w:p>
            <w:pPr>
              <w:pStyle w:val="TableParagraph"/>
              <w:spacing w:before="23"/>
              <w:ind w:right="72"/>
              <w:jc w:val="right"/>
              <w:rPr>
                <w:sz w:val="12"/>
              </w:rPr>
            </w:pPr>
            <w:r>
              <w:rPr>
                <w:spacing w:val="-2"/>
                <w:w w:val="105"/>
                <w:sz w:val="12"/>
              </w:rPr>
              <w:t>27,762</w:t>
            </w:r>
          </w:p>
        </w:tc>
      </w:tr>
      <w:tr>
        <w:trPr>
          <w:trHeight w:val="202" w:hRule="atLeast"/>
        </w:trPr>
        <w:tc>
          <w:tcPr>
            <w:tcW w:w="3559" w:type="dxa"/>
          </w:tcPr>
          <w:p>
            <w:pPr>
              <w:pStyle w:val="TableParagraph"/>
              <w:spacing w:before="32"/>
              <w:ind w:left="225"/>
              <w:rPr>
                <w:sz w:val="11"/>
              </w:rPr>
            </w:pPr>
            <w:r>
              <w:rPr>
                <w:w w:val="105"/>
                <w:sz w:val="11"/>
              </w:rPr>
              <w:t>Cash</w:t>
            </w:r>
            <w:r>
              <w:rPr>
                <w:spacing w:val="1"/>
                <w:w w:val="105"/>
                <w:sz w:val="11"/>
              </w:rPr>
              <w:t> </w:t>
            </w:r>
            <w:r>
              <w:rPr>
                <w:w w:val="105"/>
                <w:sz w:val="11"/>
              </w:rPr>
              <w:t>flow</w:t>
            </w:r>
            <w:r>
              <w:rPr>
                <w:spacing w:val="2"/>
                <w:w w:val="105"/>
                <w:sz w:val="11"/>
              </w:rPr>
              <w:t> </w:t>
            </w:r>
            <w:r>
              <w:rPr>
                <w:spacing w:val="-2"/>
                <w:w w:val="105"/>
                <w:sz w:val="11"/>
              </w:rPr>
              <w:t>hedges</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10"/>
                <w:w w:val="105"/>
                <w:sz w:val="12"/>
              </w:rPr>
              <w:t>—</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72"/>
              <w:jc w:val="right"/>
              <w:rPr>
                <w:sz w:val="12"/>
              </w:rPr>
            </w:pPr>
            <w:r>
              <w:rPr>
                <w:spacing w:val="-2"/>
                <w:w w:val="105"/>
                <w:sz w:val="12"/>
              </w:rPr>
              <w:t>(44,528)</w:t>
            </w:r>
          </w:p>
        </w:tc>
        <w:tc>
          <w:tcPr>
            <w:tcW w:w="1162" w:type="dxa"/>
          </w:tcPr>
          <w:p>
            <w:pPr>
              <w:pStyle w:val="TableParagraph"/>
              <w:spacing w:before="23"/>
              <w:ind w:right="72"/>
              <w:jc w:val="right"/>
              <w:rPr>
                <w:sz w:val="12"/>
              </w:rPr>
            </w:pPr>
            <w:r>
              <w:rPr>
                <w:spacing w:val="-2"/>
                <w:w w:val="105"/>
                <w:sz w:val="12"/>
              </w:rPr>
              <w:t>(44,528)</w:t>
            </w:r>
          </w:p>
        </w:tc>
        <w:tc>
          <w:tcPr>
            <w:tcW w:w="1103" w:type="dxa"/>
          </w:tcPr>
          <w:p>
            <w:pPr>
              <w:pStyle w:val="TableParagraph"/>
              <w:spacing w:before="23"/>
              <w:ind w:right="73"/>
              <w:jc w:val="right"/>
              <w:rPr>
                <w:sz w:val="12"/>
              </w:rPr>
            </w:pPr>
            <w:r>
              <w:rPr>
                <w:spacing w:val="-2"/>
                <w:w w:val="105"/>
                <w:sz w:val="12"/>
              </w:rPr>
              <w:t>(34,837)</w:t>
            </w:r>
          </w:p>
        </w:tc>
        <w:tc>
          <w:tcPr>
            <w:tcW w:w="1006" w:type="dxa"/>
          </w:tcPr>
          <w:p>
            <w:pPr>
              <w:pStyle w:val="TableParagraph"/>
              <w:spacing w:before="23"/>
              <w:ind w:right="41"/>
              <w:jc w:val="right"/>
              <w:rPr>
                <w:sz w:val="12"/>
              </w:rPr>
            </w:pPr>
            <w:r>
              <w:rPr>
                <w:spacing w:val="-2"/>
                <w:w w:val="105"/>
                <w:sz w:val="12"/>
              </w:rPr>
              <w:t>(79,365)</w:t>
            </w:r>
          </w:p>
        </w:tc>
      </w:tr>
      <w:tr>
        <w:trPr>
          <w:trHeight w:val="202" w:hRule="atLeast"/>
        </w:trPr>
        <w:tc>
          <w:tcPr>
            <w:tcW w:w="3559" w:type="dxa"/>
            <w:shd w:val="clear" w:color="auto" w:fill="CCEDFF"/>
          </w:tcPr>
          <w:p>
            <w:pPr>
              <w:pStyle w:val="TableParagraph"/>
              <w:spacing w:before="32"/>
              <w:ind w:left="225"/>
              <w:rPr>
                <w:sz w:val="11"/>
              </w:rPr>
            </w:pPr>
            <w:r>
              <w:rPr>
                <w:w w:val="105"/>
                <w:sz w:val="11"/>
              </w:rPr>
              <w:t>Stock-based</w:t>
            </w:r>
            <w:r>
              <w:rPr>
                <w:spacing w:val="5"/>
                <w:w w:val="105"/>
                <w:sz w:val="11"/>
              </w:rPr>
              <w:t> </w:t>
            </w:r>
            <w:r>
              <w:rPr>
                <w:spacing w:val="-2"/>
                <w:w w:val="105"/>
                <w:sz w:val="11"/>
              </w:rPr>
              <w:t>compensation</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2"/>
                <w:w w:val="105"/>
                <w:sz w:val="12"/>
              </w:rPr>
              <w:t>100,907</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10"/>
                <w:w w:val="105"/>
                <w:sz w:val="12"/>
              </w:rPr>
              <w:t>—</w:t>
            </w:r>
          </w:p>
        </w:tc>
        <w:tc>
          <w:tcPr>
            <w:tcW w:w="1162" w:type="dxa"/>
            <w:shd w:val="clear" w:color="auto" w:fill="CCEDFF"/>
          </w:tcPr>
          <w:p>
            <w:pPr>
              <w:pStyle w:val="TableParagraph"/>
              <w:spacing w:before="23"/>
              <w:ind w:right="103"/>
              <w:jc w:val="right"/>
              <w:rPr>
                <w:sz w:val="12"/>
              </w:rPr>
            </w:pPr>
            <w:r>
              <w:rPr>
                <w:spacing w:val="-2"/>
                <w:w w:val="105"/>
                <w:sz w:val="12"/>
              </w:rPr>
              <w:t>100,907</w:t>
            </w:r>
          </w:p>
        </w:tc>
        <w:tc>
          <w:tcPr>
            <w:tcW w:w="1103" w:type="dxa"/>
            <w:shd w:val="clear" w:color="auto" w:fill="CCEDFF"/>
          </w:tcPr>
          <w:p>
            <w:pPr>
              <w:pStyle w:val="TableParagraph"/>
              <w:spacing w:before="23"/>
              <w:ind w:right="104"/>
              <w:jc w:val="right"/>
              <w:rPr>
                <w:sz w:val="12"/>
              </w:rPr>
            </w:pPr>
            <w:r>
              <w:rPr>
                <w:spacing w:val="-2"/>
                <w:w w:val="105"/>
                <w:sz w:val="12"/>
              </w:rPr>
              <w:t>6,049</w:t>
            </w:r>
          </w:p>
        </w:tc>
        <w:tc>
          <w:tcPr>
            <w:tcW w:w="1006" w:type="dxa"/>
            <w:shd w:val="clear" w:color="auto" w:fill="CCEDFF"/>
          </w:tcPr>
          <w:p>
            <w:pPr>
              <w:pStyle w:val="TableParagraph"/>
              <w:spacing w:before="23"/>
              <w:ind w:right="72"/>
              <w:jc w:val="right"/>
              <w:rPr>
                <w:sz w:val="12"/>
              </w:rPr>
            </w:pPr>
            <w:r>
              <w:rPr>
                <w:spacing w:val="-2"/>
                <w:w w:val="105"/>
                <w:sz w:val="12"/>
              </w:rPr>
              <w:t>106,956</w:t>
            </w:r>
          </w:p>
        </w:tc>
      </w:tr>
      <w:tr>
        <w:trPr>
          <w:trHeight w:val="310" w:hRule="atLeast"/>
        </w:trPr>
        <w:tc>
          <w:tcPr>
            <w:tcW w:w="3559" w:type="dxa"/>
          </w:tcPr>
          <w:p>
            <w:pPr>
              <w:pStyle w:val="TableParagraph"/>
              <w:spacing w:line="256" w:lineRule="auto" w:before="18"/>
              <w:ind w:left="225" w:right="143"/>
              <w:rPr>
                <w:sz w:val="11"/>
              </w:rPr>
            </w:pPr>
            <w:r>
              <w:rPr>
                <w:w w:val="105"/>
                <w:sz w:val="11"/>
              </w:rPr>
              <w:t>Issuance</w:t>
            </w:r>
            <w:r>
              <w:rPr>
                <w:spacing w:val="-1"/>
                <w:w w:val="105"/>
                <w:sz w:val="11"/>
              </w:rPr>
              <w:t> </w:t>
            </w:r>
            <w:r>
              <w:rPr>
                <w:w w:val="105"/>
                <w:sz w:val="11"/>
              </w:rPr>
              <w:t>of</w:t>
            </w:r>
            <w:r>
              <w:rPr>
                <w:spacing w:val="-1"/>
                <w:w w:val="105"/>
                <w:sz w:val="11"/>
              </w:rPr>
              <w:t> </w:t>
            </w:r>
            <w:r>
              <w:rPr>
                <w:w w:val="105"/>
                <w:sz w:val="11"/>
              </w:rPr>
              <w:t>common</w:t>
            </w:r>
            <w:r>
              <w:rPr>
                <w:spacing w:val="-1"/>
                <w:w w:val="105"/>
                <w:sz w:val="11"/>
              </w:rPr>
              <w:t> </w:t>
            </w:r>
            <w:r>
              <w:rPr>
                <w:w w:val="105"/>
                <w:sz w:val="11"/>
              </w:rPr>
              <w:t>stock</w:t>
            </w:r>
            <w:r>
              <w:rPr>
                <w:spacing w:val="-1"/>
                <w:w w:val="105"/>
                <w:sz w:val="11"/>
              </w:rPr>
              <w:t> </w:t>
            </w:r>
            <w:r>
              <w:rPr>
                <w:w w:val="105"/>
                <w:sz w:val="11"/>
              </w:rPr>
              <w:t>pursuant</w:t>
            </w:r>
            <w:r>
              <w:rPr>
                <w:spacing w:val="-1"/>
                <w:w w:val="105"/>
                <w:sz w:val="11"/>
              </w:rPr>
              <w:t> </w:t>
            </w:r>
            <w:r>
              <w:rPr>
                <w:w w:val="105"/>
                <w:sz w:val="11"/>
              </w:rPr>
              <w:t>to</w:t>
            </w:r>
            <w:r>
              <w:rPr>
                <w:spacing w:val="-1"/>
                <w:w w:val="105"/>
                <w:sz w:val="11"/>
              </w:rPr>
              <w:t> </w:t>
            </w:r>
            <w:r>
              <w:rPr>
                <w:w w:val="105"/>
                <w:sz w:val="11"/>
              </w:rPr>
              <w:t>stock-based</w:t>
            </w:r>
            <w:r>
              <w:rPr>
                <w:spacing w:val="-1"/>
                <w:w w:val="105"/>
                <w:sz w:val="11"/>
              </w:rPr>
              <w:t> </w:t>
            </w:r>
            <w:r>
              <w:rPr>
                <w:w w:val="105"/>
                <w:sz w:val="11"/>
              </w:rPr>
              <w:t>compensation</w:t>
            </w:r>
            <w:r>
              <w:rPr>
                <w:spacing w:val="40"/>
                <w:w w:val="105"/>
                <w:sz w:val="11"/>
              </w:rPr>
              <w:t> </w:t>
            </w:r>
            <w:r>
              <w:rPr>
                <w:spacing w:val="-2"/>
                <w:w w:val="105"/>
                <w:sz w:val="11"/>
              </w:rPr>
              <w:t>awards</w:t>
            </w:r>
          </w:p>
        </w:tc>
        <w:tc>
          <w:tcPr>
            <w:tcW w:w="759" w:type="dxa"/>
          </w:tcPr>
          <w:p>
            <w:pPr>
              <w:pStyle w:val="TableParagraph"/>
              <w:spacing w:before="6"/>
              <w:rPr>
                <w:b/>
                <w:sz w:val="12"/>
              </w:rPr>
            </w:pPr>
          </w:p>
          <w:p>
            <w:pPr>
              <w:pStyle w:val="TableParagraph"/>
              <w:spacing w:before="0"/>
              <w:ind w:right="101"/>
              <w:jc w:val="right"/>
              <w:rPr>
                <w:sz w:val="12"/>
              </w:rPr>
            </w:pPr>
            <w:r>
              <w:rPr>
                <w:spacing w:val="-2"/>
                <w:w w:val="105"/>
                <w:sz w:val="12"/>
              </w:rPr>
              <w:t>2,031</w:t>
            </w:r>
          </w:p>
        </w:tc>
        <w:tc>
          <w:tcPr>
            <w:tcW w:w="825" w:type="dxa"/>
          </w:tcPr>
          <w:p>
            <w:pPr>
              <w:pStyle w:val="TableParagraph"/>
              <w:spacing w:before="6"/>
              <w:rPr>
                <w:b/>
                <w:sz w:val="12"/>
              </w:rPr>
            </w:pPr>
          </w:p>
          <w:p>
            <w:pPr>
              <w:pStyle w:val="TableParagraph"/>
              <w:spacing w:before="0"/>
              <w:ind w:right="101"/>
              <w:jc w:val="right"/>
              <w:rPr>
                <w:sz w:val="12"/>
              </w:rPr>
            </w:pPr>
            <w:r>
              <w:rPr>
                <w:spacing w:val="-5"/>
                <w:w w:val="105"/>
                <w:sz w:val="12"/>
              </w:rPr>
              <w:t>21</w:t>
            </w:r>
          </w:p>
        </w:tc>
        <w:tc>
          <w:tcPr>
            <w:tcW w:w="1032" w:type="dxa"/>
          </w:tcPr>
          <w:p>
            <w:pPr>
              <w:pStyle w:val="TableParagraph"/>
              <w:spacing w:before="6"/>
              <w:rPr>
                <w:b/>
                <w:sz w:val="12"/>
              </w:rPr>
            </w:pPr>
          </w:p>
          <w:p>
            <w:pPr>
              <w:pStyle w:val="TableParagraph"/>
              <w:spacing w:before="0"/>
              <w:ind w:right="71"/>
              <w:jc w:val="right"/>
              <w:rPr>
                <w:sz w:val="12"/>
              </w:rPr>
            </w:pPr>
            <w:r>
              <w:rPr>
                <w:spacing w:val="-2"/>
                <w:w w:val="105"/>
                <w:sz w:val="12"/>
              </w:rPr>
              <w:t>(16,424)</w:t>
            </w:r>
          </w:p>
        </w:tc>
        <w:tc>
          <w:tcPr>
            <w:tcW w:w="937" w:type="dxa"/>
          </w:tcPr>
          <w:p>
            <w:pPr>
              <w:pStyle w:val="TableParagraph"/>
              <w:spacing w:before="6"/>
              <w:rPr>
                <w:b/>
                <w:sz w:val="12"/>
              </w:rPr>
            </w:pPr>
          </w:p>
          <w:p>
            <w:pPr>
              <w:pStyle w:val="TableParagraph"/>
              <w:spacing w:before="0"/>
              <w:ind w:right="103"/>
              <w:jc w:val="right"/>
              <w:rPr>
                <w:sz w:val="12"/>
              </w:rPr>
            </w:pPr>
            <w:r>
              <w:rPr>
                <w:spacing w:val="-10"/>
                <w:w w:val="105"/>
                <w:sz w:val="12"/>
              </w:rPr>
              <w:t>—</w:t>
            </w:r>
          </w:p>
        </w:tc>
        <w:tc>
          <w:tcPr>
            <w:tcW w:w="1137" w:type="dxa"/>
          </w:tcPr>
          <w:p>
            <w:pPr>
              <w:pStyle w:val="TableParagraph"/>
              <w:spacing w:before="6"/>
              <w:rPr>
                <w:b/>
                <w:sz w:val="12"/>
              </w:rPr>
            </w:pPr>
          </w:p>
          <w:p>
            <w:pPr>
              <w:pStyle w:val="TableParagraph"/>
              <w:spacing w:before="0"/>
              <w:ind w:right="104"/>
              <w:jc w:val="right"/>
              <w:rPr>
                <w:sz w:val="12"/>
              </w:rPr>
            </w:pPr>
            <w:r>
              <w:rPr>
                <w:spacing w:val="-10"/>
                <w:w w:val="105"/>
                <w:sz w:val="12"/>
              </w:rPr>
              <w:t>—</w:t>
            </w:r>
          </w:p>
        </w:tc>
        <w:tc>
          <w:tcPr>
            <w:tcW w:w="1162" w:type="dxa"/>
          </w:tcPr>
          <w:p>
            <w:pPr>
              <w:pStyle w:val="TableParagraph"/>
              <w:spacing w:before="6"/>
              <w:rPr>
                <w:b/>
                <w:sz w:val="12"/>
              </w:rPr>
            </w:pPr>
          </w:p>
          <w:p>
            <w:pPr>
              <w:pStyle w:val="TableParagraph"/>
              <w:spacing w:before="0"/>
              <w:ind w:right="72"/>
              <w:jc w:val="right"/>
              <w:rPr>
                <w:sz w:val="12"/>
              </w:rPr>
            </w:pPr>
            <w:r>
              <w:rPr>
                <w:spacing w:val="-2"/>
                <w:w w:val="105"/>
                <w:sz w:val="12"/>
              </w:rPr>
              <w:t>(16,403)</w:t>
            </w:r>
          </w:p>
        </w:tc>
        <w:tc>
          <w:tcPr>
            <w:tcW w:w="1103" w:type="dxa"/>
          </w:tcPr>
          <w:p>
            <w:pPr>
              <w:pStyle w:val="TableParagraph"/>
              <w:spacing w:before="6"/>
              <w:rPr>
                <w:b/>
                <w:sz w:val="12"/>
              </w:rPr>
            </w:pPr>
          </w:p>
          <w:p>
            <w:pPr>
              <w:pStyle w:val="TableParagraph"/>
              <w:spacing w:before="0"/>
              <w:ind w:right="104"/>
              <w:jc w:val="right"/>
              <w:rPr>
                <w:sz w:val="12"/>
              </w:rPr>
            </w:pPr>
            <w:r>
              <w:rPr>
                <w:spacing w:val="-10"/>
                <w:w w:val="105"/>
                <w:sz w:val="12"/>
              </w:rPr>
              <w:t>—</w:t>
            </w:r>
          </w:p>
        </w:tc>
        <w:tc>
          <w:tcPr>
            <w:tcW w:w="1006" w:type="dxa"/>
          </w:tcPr>
          <w:p>
            <w:pPr>
              <w:pStyle w:val="TableParagraph"/>
              <w:spacing w:before="6"/>
              <w:rPr>
                <w:b/>
                <w:sz w:val="12"/>
              </w:rPr>
            </w:pPr>
          </w:p>
          <w:p>
            <w:pPr>
              <w:pStyle w:val="TableParagraph"/>
              <w:spacing w:before="0"/>
              <w:ind w:right="41"/>
              <w:jc w:val="right"/>
              <w:rPr>
                <w:sz w:val="12"/>
              </w:rPr>
            </w:pPr>
            <w:r>
              <w:rPr>
                <w:spacing w:val="-2"/>
                <w:w w:val="105"/>
                <w:sz w:val="12"/>
              </w:rPr>
              <w:t>(16,403)</w:t>
            </w:r>
          </w:p>
        </w:tc>
      </w:tr>
      <w:tr>
        <w:trPr>
          <w:trHeight w:val="202" w:hRule="atLeast"/>
        </w:trPr>
        <w:tc>
          <w:tcPr>
            <w:tcW w:w="3559" w:type="dxa"/>
            <w:shd w:val="clear" w:color="auto" w:fill="CCEDFF"/>
          </w:tcPr>
          <w:p>
            <w:pPr>
              <w:pStyle w:val="TableParagraph"/>
              <w:spacing w:before="32"/>
              <w:ind w:left="225"/>
              <w:rPr>
                <w:sz w:val="11"/>
              </w:rPr>
            </w:pPr>
            <w:r>
              <w:rPr>
                <w:w w:val="105"/>
                <w:sz w:val="11"/>
              </w:rPr>
              <w:t>Cash</w:t>
            </w:r>
            <w:r>
              <w:rPr>
                <w:spacing w:val="3"/>
                <w:w w:val="105"/>
                <w:sz w:val="11"/>
              </w:rPr>
              <w:t> </w:t>
            </w:r>
            <w:r>
              <w:rPr>
                <w:w w:val="105"/>
                <w:sz w:val="11"/>
              </w:rPr>
              <w:t>distributions</w:t>
            </w:r>
            <w:r>
              <w:rPr>
                <w:spacing w:val="3"/>
                <w:w w:val="105"/>
                <w:sz w:val="11"/>
              </w:rPr>
              <w:t> </w:t>
            </w:r>
            <w:r>
              <w:rPr>
                <w:w w:val="105"/>
                <w:sz w:val="11"/>
              </w:rPr>
              <w:t>to</w:t>
            </w:r>
            <w:r>
              <w:rPr>
                <w:spacing w:val="3"/>
                <w:w w:val="105"/>
                <w:sz w:val="11"/>
              </w:rPr>
              <w:t> </w:t>
            </w:r>
            <w:r>
              <w:rPr>
                <w:w w:val="105"/>
                <w:sz w:val="11"/>
              </w:rPr>
              <w:t>noncontrolling</w:t>
            </w:r>
            <w:r>
              <w:rPr>
                <w:spacing w:val="4"/>
                <w:w w:val="105"/>
                <w:sz w:val="11"/>
              </w:rPr>
              <w:t> </w:t>
            </w:r>
            <w:r>
              <w:rPr>
                <w:w w:val="105"/>
                <w:sz w:val="11"/>
              </w:rPr>
              <w:t>interest</w:t>
            </w:r>
            <w:r>
              <w:rPr>
                <w:spacing w:val="3"/>
                <w:w w:val="105"/>
                <w:sz w:val="11"/>
              </w:rPr>
              <w:t> </w:t>
            </w:r>
            <w:r>
              <w:rPr>
                <w:spacing w:val="-2"/>
                <w:w w:val="105"/>
                <w:sz w:val="11"/>
              </w:rPr>
              <w:t>owners</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10"/>
                <w:w w:val="105"/>
                <w:sz w:val="12"/>
              </w:rPr>
              <w:t>—</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10"/>
                <w:w w:val="105"/>
                <w:sz w:val="12"/>
              </w:rPr>
              <w:t>—</w:t>
            </w:r>
          </w:p>
        </w:tc>
        <w:tc>
          <w:tcPr>
            <w:tcW w:w="1162" w:type="dxa"/>
            <w:shd w:val="clear" w:color="auto" w:fill="CCEDFF"/>
          </w:tcPr>
          <w:p>
            <w:pPr>
              <w:pStyle w:val="TableParagraph"/>
              <w:spacing w:before="23"/>
              <w:ind w:right="103"/>
              <w:jc w:val="right"/>
              <w:rPr>
                <w:sz w:val="12"/>
              </w:rPr>
            </w:pPr>
            <w:r>
              <w:rPr>
                <w:spacing w:val="-10"/>
                <w:w w:val="105"/>
                <w:sz w:val="12"/>
              </w:rPr>
              <w:t>—</w:t>
            </w:r>
          </w:p>
        </w:tc>
        <w:tc>
          <w:tcPr>
            <w:tcW w:w="1103" w:type="dxa"/>
            <w:shd w:val="clear" w:color="auto" w:fill="CCEDFF"/>
          </w:tcPr>
          <w:p>
            <w:pPr>
              <w:pStyle w:val="TableParagraph"/>
              <w:spacing w:before="23"/>
              <w:ind w:right="73"/>
              <w:jc w:val="right"/>
              <w:rPr>
                <w:sz w:val="12"/>
              </w:rPr>
            </w:pPr>
            <w:r>
              <w:rPr>
                <w:spacing w:val="-2"/>
                <w:w w:val="105"/>
                <w:sz w:val="12"/>
              </w:rPr>
              <w:t>(221,690)</w:t>
            </w:r>
          </w:p>
        </w:tc>
        <w:tc>
          <w:tcPr>
            <w:tcW w:w="1006" w:type="dxa"/>
            <w:shd w:val="clear" w:color="auto" w:fill="CCEDFF"/>
          </w:tcPr>
          <w:p>
            <w:pPr>
              <w:pStyle w:val="TableParagraph"/>
              <w:spacing w:before="23"/>
              <w:ind w:right="41"/>
              <w:jc w:val="right"/>
              <w:rPr>
                <w:sz w:val="12"/>
              </w:rPr>
            </w:pPr>
            <w:r>
              <w:rPr>
                <w:spacing w:val="-2"/>
                <w:w w:val="105"/>
                <w:sz w:val="12"/>
              </w:rPr>
              <w:t>(221,690)</w:t>
            </w:r>
          </w:p>
        </w:tc>
      </w:tr>
      <w:tr>
        <w:trPr>
          <w:trHeight w:val="337" w:hRule="atLeast"/>
        </w:trPr>
        <w:tc>
          <w:tcPr>
            <w:tcW w:w="3559" w:type="dxa"/>
          </w:tcPr>
          <w:p>
            <w:pPr>
              <w:pStyle w:val="TableParagraph"/>
              <w:spacing w:line="256" w:lineRule="auto" w:before="32"/>
              <w:ind w:left="225"/>
              <w:rPr>
                <w:sz w:val="11"/>
              </w:rPr>
            </w:pPr>
            <w:r>
              <w:rPr>
                <w:w w:val="105"/>
                <w:sz w:val="11"/>
              </w:rPr>
              <w:t>Dividends declared and paid to common shareholders ($0.1575 </w:t>
            </w:r>
            <w:r>
              <w:rPr>
                <w:w w:val="105"/>
                <w:sz w:val="11"/>
              </w:rPr>
              <w:t>per</w:t>
            </w:r>
            <w:r>
              <w:rPr>
                <w:spacing w:val="40"/>
                <w:w w:val="105"/>
                <w:sz w:val="11"/>
              </w:rPr>
              <w:t> </w:t>
            </w:r>
            <w:r>
              <w:rPr>
                <w:spacing w:val="-2"/>
                <w:w w:val="105"/>
                <w:sz w:val="11"/>
              </w:rPr>
              <w:t>share)</w:t>
            </w:r>
          </w:p>
        </w:tc>
        <w:tc>
          <w:tcPr>
            <w:tcW w:w="759" w:type="dxa"/>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825" w:type="dxa"/>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1032" w:type="dxa"/>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937" w:type="dxa"/>
          </w:tcPr>
          <w:p>
            <w:pPr>
              <w:pStyle w:val="TableParagraph"/>
              <w:spacing w:before="19"/>
              <w:rPr>
                <w:b/>
                <w:sz w:val="12"/>
              </w:rPr>
            </w:pPr>
          </w:p>
          <w:p>
            <w:pPr>
              <w:pStyle w:val="TableParagraph"/>
              <w:spacing w:before="1"/>
              <w:ind w:right="70"/>
              <w:jc w:val="right"/>
              <w:rPr>
                <w:sz w:val="12"/>
              </w:rPr>
            </w:pPr>
            <w:r>
              <w:rPr>
                <w:spacing w:val="-2"/>
                <w:w w:val="105"/>
                <w:sz w:val="12"/>
              </w:rPr>
              <w:t>(77,606)</w:t>
            </w:r>
          </w:p>
        </w:tc>
        <w:tc>
          <w:tcPr>
            <w:tcW w:w="1137" w:type="dxa"/>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162" w:type="dxa"/>
          </w:tcPr>
          <w:p>
            <w:pPr>
              <w:pStyle w:val="TableParagraph"/>
              <w:spacing w:before="19"/>
              <w:rPr>
                <w:b/>
                <w:sz w:val="12"/>
              </w:rPr>
            </w:pPr>
          </w:p>
          <w:p>
            <w:pPr>
              <w:pStyle w:val="TableParagraph"/>
              <w:spacing w:before="1"/>
              <w:ind w:right="72"/>
              <w:jc w:val="right"/>
              <w:rPr>
                <w:sz w:val="12"/>
              </w:rPr>
            </w:pPr>
            <w:r>
              <w:rPr>
                <w:spacing w:val="-2"/>
                <w:w w:val="105"/>
                <w:sz w:val="12"/>
              </w:rPr>
              <w:t>(77,606)</w:t>
            </w:r>
          </w:p>
        </w:tc>
        <w:tc>
          <w:tcPr>
            <w:tcW w:w="1103" w:type="dxa"/>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006" w:type="dxa"/>
          </w:tcPr>
          <w:p>
            <w:pPr>
              <w:pStyle w:val="TableParagraph"/>
              <w:spacing w:before="19"/>
              <w:rPr>
                <w:b/>
                <w:sz w:val="12"/>
              </w:rPr>
            </w:pPr>
          </w:p>
          <w:p>
            <w:pPr>
              <w:pStyle w:val="TableParagraph"/>
              <w:spacing w:before="1"/>
              <w:ind w:right="41"/>
              <w:jc w:val="right"/>
              <w:rPr>
                <w:sz w:val="12"/>
              </w:rPr>
            </w:pPr>
            <w:r>
              <w:rPr>
                <w:spacing w:val="-2"/>
                <w:w w:val="105"/>
                <w:sz w:val="12"/>
              </w:rPr>
              <w:t>(77,606)</w:t>
            </w:r>
          </w:p>
        </w:tc>
      </w:tr>
      <w:tr>
        <w:trPr>
          <w:trHeight w:val="202" w:hRule="atLeast"/>
        </w:trPr>
        <w:tc>
          <w:tcPr>
            <w:tcW w:w="3559" w:type="dxa"/>
            <w:shd w:val="clear" w:color="auto" w:fill="CCEDFF"/>
          </w:tcPr>
          <w:p>
            <w:pPr>
              <w:pStyle w:val="TableParagraph"/>
              <w:spacing w:before="32"/>
              <w:ind w:left="225"/>
              <w:rPr>
                <w:sz w:val="11"/>
              </w:rPr>
            </w:pPr>
            <w:r>
              <w:rPr>
                <w:w w:val="105"/>
                <w:sz w:val="11"/>
              </w:rPr>
              <w:t>MGP</w:t>
            </w:r>
            <w:r>
              <w:rPr>
                <w:spacing w:val="-3"/>
                <w:w w:val="105"/>
                <w:sz w:val="11"/>
              </w:rPr>
              <w:t> </w:t>
            </w:r>
            <w:r>
              <w:rPr>
                <w:w w:val="105"/>
                <w:sz w:val="11"/>
              </w:rPr>
              <w:t>dividend</w:t>
            </w:r>
            <w:r>
              <w:rPr>
                <w:spacing w:val="2"/>
                <w:w w:val="105"/>
                <w:sz w:val="11"/>
              </w:rPr>
              <w:t> </w:t>
            </w:r>
            <w:r>
              <w:rPr>
                <w:w w:val="105"/>
                <w:sz w:val="11"/>
              </w:rPr>
              <w:t>payable</w:t>
            </w:r>
            <w:r>
              <w:rPr>
                <w:spacing w:val="3"/>
                <w:w w:val="105"/>
                <w:sz w:val="11"/>
              </w:rPr>
              <w:t> </w:t>
            </w:r>
            <w:r>
              <w:rPr>
                <w:w w:val="105"/>
                <w:sz w:val="11"/>
              </w:rPr>
              <w:t>to</w:t>
            </w:r>
            <w:r>
              <w:rPr>
                <w:spacing w:val="2"/>
                <w:w w:val="105"/>
                <w:sz w:val="11"/>
              </w:rPr>
              <w:t> </w:t>
            </w:r>
            <w:r>
              <w:rPr>
                <w:w w:val="105"/>
                <w:sz w:val="11"/>
              </w:rPr>
              <w:t>Class</w:t>
            </w:r>
            <w:r>
              <w:rPr>
                <w:spacing w:val="-5"/>
                <w:w w:val="105"/>
                <w:sz w:val="11"/>
              </w:rPr>
              <w:t> </w:t>
            </w:r>
            <w:r>
              <w:rPr>
                <w:w w:val="105"/>
                <w:sz w:val="11"/>
              </w:rPr>
              <w:t>A</w:t>
            </w:r>
            <w:r>
              <w:rPr>
                <w:spacing w:val="-4"/>
                <w:w w:val="105"/>
                <w:sz w:val="11"/>
              </w:rPr>
              <w:t> </w:t>
            </w:r>
            <w:r>
              <w:rPr>
                <w:spacing w:val="-2"/>
                <w:w w:val="105"/>
                <w:sz w:val="11"/>
              </w:rPr>
              <w:t>shareholders</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10"/>
                <w:w w:val="105"/>
                <w:sz w:val="12"/>
              </w:rPr>
              <w:t>—</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10"/>
                <w:w w:val="105"/>
                <w:sz w:val="12"/>
              </w:rPr>
              <w:t>—</w:t>
            </w:r>
          </w:p>
        </w:tc>
        <w:tc>
          <w:tcPr>
            <w:tcW w:w="1162" w:type="dxa"/>
            <w:shd w:val="clear" w:color="auto" w:fill="CCEDFF"/>
          </w:tcPr>
          <w:p>
            <w:pPr>
              <w:pStyle w:val="TableParagraph"/>
              <w:spacing w:before="23"/>
              <w:ind w:right="103"/>
              <w:jc w:val="right"/>
              <w:rPr>
                <w:sz w:val="12"/>
              </w:rPr>
            </w:pPr>
            <w:r>
              <w:rPr>
                <w:spacing w:val="-10"/>
                <w:w w:val="105"/>
                <w:sz w:val="12"/>
              </w:rPr>
              <w:t>—</w:t>
            </w:r>
          </w:p>
        </w:tc>
        <w:tc>
          <w:tcPr>
            <w:tcW w:w="1103" w:type="dxa"/>
            <w:shd w:val="clear" w:color="auto" w:fill="CCEDFF"/>
          </w:tcPr>
          <w:p>
            <w:pPr>
              <w:pStyle w:val="TableParagraph"/>
              <w:spacing w:before="23"/>
              <w:ind w:right="73"/>
              <w:jc w:val="right"/>
              <w:rPr>
                <w:sz w:val="12"/>
              </w:rPr>
            </w:pPr>
            <w:r>
              <w:rPr>
                <w:spacing w:val="-2"/>
                <w:w w:val="105"/>
                <w:sz w:val="12"/>
              </w:rPr>
              <w:t>(64,086)</w:t>
            </w:r>
          </w:p>
        </w:tc>
        <w:tc>
          <w:tcPr>
            <w:tcW w:w="1006" w:type="dxa"/>
            <w:shd w:val="clear" w:color="auto" w:fill="CCEDFF"/>
          </w:tcPr>
          <w:p>
            <w:pPr>
              <w:pStyle w:val="TableParagraph"/>
              <w:spacing w:before="23"/>
              <w:ind w:right="41"/>
              <w:jc w:val="right"/>
              <w:rPr>
                <w:sz w:val="12"/>
              </w:rPr>
            </w:pPr>
            <w:r>
              <w:rPr>
                <w:spacing w:val="-2"/>
                <w:w w:val="105"/>
                <w:sz w:val="12"/>
              </w:rPr>
              <w:t>(64,086)</w:t>
            </w:r>
          </w:p>
        </w:tc>
      </w:tr>
      <w:tr>
        <w:trPr>
          <w:trHeight w:val="188" w:hRule="atLeast"/>
        </w:trPr>
        <w:tc>
          <w:tcPr>
            <w:tcW w:w="3559" w:type="dxa"/>
          </w:tcPr>
          <w:p>
            <w:pPr>
              <w:pStyle w:val="TableParagraph"/>
              <w:spacing w:before="18"/>
              <w:ind w:left="225"/>
              <w:rPr>
                <w:sz w:val="11"/>
              </w:rPr>
            </w:pPr>
            <w:r>
              <w:rPr>
                <w:w w:val="105"/>
                <w:sz w:val="11"/>
              </w:rPr>
              <w:t>Issuance</w:t>
            </w:r>
            <w:r>
              <w:rPr>
                <w:spacing w:val="2"/>
                <w:w w:val="105"/>
                <w:sz w:val="11"/>
              </w:rPr>
              <w:t> </w:t>
            </w:r>
            <w:r>
              <w:rPr>
                <w:w w:val="105"/>
                <w:sz w:val="11"/>
              </w:rPr>
              <w:t>of</w:t>
            </w:r>
            <w:r>
              <w:rPr>
                <w:spacing w:val="2"/>
                <w:w w:val="105"/>
                <w:sz w:val="11"/>
              </w:rPr>
              <w:t> </w:t>
            </w:r>
            <w:r>
              <w:rPr>
                <w:w w:val="105"/>
                <w:sz w:val="11"/>
              </w:rPr>
              <w:t>restricted</w:t>
            </w:r>
            <w:r>
              <w:rPr>
                <w:spacing w:val="3"/>
                <w:w w:val="105"/>
                <w:sz w:val="11"/>
              </w:rPr>
              <w:t> </w:t>
            </w:r>
            <w:r>
              <w:rPr>
                <w:w w:val="105"/>
                <w:sz w:val="11"/>
              </w:rPr>
              <w:t>stock</w:t>
            </w:r>
            <w:r>
              <w:rPr>
                <w:spacing w:val="2"/>
                <w:w w:val="105"/>
                <w:sz w:val="11"/>
              </w:rPr>
              <w:t> </w:t>
            </w:r>
            <w:r>
              <w:rPr>
                <w:spacing w:val="-2"/>
                <w:w w:val="105"/>
                <w:sz w:val="11"/>
              </w:rPr>
              <w:t>units</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2"/>
                <w:w w:val="105"/>
                <w:sz w:val="12"/>
              </w:rPr>
              <w:t>2,142</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104"/>
              <w:jc w:val="right"/>
              <w:rPr>
                <w:sz w:val="12"/>
              </w:rPr>
            </w:pPr>
            <w:r>
              <w:rPr>
                <w:spacing w:val="-10"/>
                <w:w w:val="105"/>
                <w:sz w:val="12"/>
              </w:rPr>
              <w:t>—</w:t>
            </w:r>
          </w:p>
        </w:tc>
        <w:tc>
          <w:tcPr>
            <w:tcW w:w="1162" w:type="dxa"/>
          </w:tcPr>
          <w:p>
            <w:pPr>
              <w:pStyle w:val="TableParagraph"/>
              <w:spacing w:before="23"/>
              <w:ind w:right="103"/>
              <w:jc w:val="right"/>
              <w:rPr>
                <w:sz w:val="12"/>
              </w:rPr>
            </w:pPr>
            <w:r>
              <w:rPr>
                <w:spacing w:val="-2"/>
                <w:w w:val="105"/>
                <w:sz w:val="12"/>
              </w:rPr>
              <w:t>2,142</w:t>
            </w:r>
          </w:p>
        </w:tc>
        <w:tc>
          <w:tcPr>
            <w:tcW w:w="1103" w:type="dxa"/>
          </w:tcPr>
          <w:p>
            <w:pPr>
              <w:pStyle w:val="TableParagraph"/>
              <w:spacing w:before="23"/>
              <w:ind w:right="104"/>
              <w:jc w:val="right"/>
              <w:rPr>
                <w:sz w:val="12"/>
              </w:rPr>
            </w:pPr>
            <w:r>
              <w:rPr>
                <w:spacing w:val="-10"/>
                <w:w w:val="105"/>
                <w:sz w:val="12"/>
              </w:rPr>
              <w:t>—</w:t>
            </w:r>
          </w:p>
        </w:tc>
        <w:tc>
          <w:tcPr>
            <w:tcW w:w="1006" w:type="dxa"/>
          </w:tcPr>
          <w:p>
            <w:pPr>
              <w:pStyle w:val="TableParagraph"/>
              <w:spacing w:before="23"/>
              <w:ind w:right="72"/>
              <w:jc w:val="right"/>
              <w:rPr>
                <w:sz w:val="12"/>
              </w:rPr>
            </w:pPr>
            <w:r>
              <w:rPr>
                <w:spacing w:val="-2"/>
                <w:w w:val="105"/>
                <w:sz w:val="12"/>
              </w:rPr>
              <w:t>2,142</w:t>
            </w:r>
          </w:p>
        </w:tc>
      </w:tr>
      <w:tr>
        <w:trPr>
          <w:trHeight w:val="202" w:hRule="atLeast"/>
        </w:trPr>
        <w:tc>
          <w:tcPr>
            <w:tcW w:w="3559" w:type="dxa"/>
            <w:shd w:val="clear" w:color="auto" w:fill="CCEDFF"/>
          </w:tcPr>
          <w:p>
            <w:pPr>
              <w:pStyle w:val="TableParagraph"/>
              <w:spacing w:before="32"/>
              <w:ind w:left="225"/>
              <w:rPr>
                <w:sz w:val="11"/>
              </w:rPr>
            </w:pPr>
            <w:r>
              <w:rPr>
                <w:w w:val="105"/>
                <w:sz w:val="11"/>
              </w:rPr>
              <w:t>Repurchases</w:t>
            </w:r>
            <w:r>
              <w:rPr>
                <w:spacing w:val="3"/>
                <w:w w:val="105"/>
                <w:sz w:val="11"/>
              </w:rPr>
              <w:t> </w:t>
            </w:r>
            <w:r>
              <w:rPr>
                <w:w w:val="105"/>
                <w:sz w:val="11"/>
              </w:rPr>
              <w:t>of</w:t>
            </w:r>
            <w:r>
              <w:rPr>
                <w:spacing w:val="3"/>
                <w:w w:val="105"/>
                <w:sz w:val="11"/>
              </w:rPr>
              <w:t> </w:t>
            </w:r>
            <w:r>
              <w:rPr>
                <w:w w:val="105"/>
                <w:sz w:val="11"/>
              </w:rPr>
              <w:t>common</w:t>
            </w:r>
            <w:r>
              <w:rPr>
                <w:spacing w:val="3"/>
                <w:w w:val="105"/>
                <w:sz w:val="11"/>
              </w:rPr>
              <w:t> </w:t>
            </w:r>
            <w:r>
              <w:rPr>
                <w:spacing w:val="-2"/>
                <w:w w:val="105"/>
                <w:sz w:val="11"/>
              </w:rPr>
              <w:t>stock</w:t>
            </w:r>
          </w:p>
        </w:tc>
        <w:tc>
          <w:tcPr>
            <w:tcW w:w="759" w:type="dxa"/>
            <w:shd w:val="clear" w:color="auto" w:fill="CCEDFF"/>
          </w:tcPr>
          <w:p>
            <w:pPr>
              <w:pStyle w:val="TableParagraph"/>
              <w:spacing w:before="23"/>
              <w:ind w:right="69"/>
              <w:jc w:val="right"/>
              <w:rPr>
                <w:sz w:val="12"/>
              </w:rPr>
            </w:pPr>
            <w:r>
              <w:rPr>
                <w:spacing w:val="-2"/>
                <w:w w:val="105"/>
                <w:sz w:val="12"/>
              </w:rPr>
              <w:t>(10,861)</w:t>
            </w:r>
          </w:p>
        </w:tc>
        <w:tc>
          <w:tcPr>
            <w:tcW w:w="825" w:type="dxa"/>
            <w:shd w:val="clear" w:color="auto" w:fill="CCEDFF"/>
          </w:tcPr>
          <w:p>
            <w:pPr>
              <w:pStyle w:val="TableParagraph"/>
              <w:spacing w:before="23"/>
              <w:ind w:right="69"/>
              <w:jc w:val="right"/>
              <w:rPr>
                <w:sz w:val="12"/>
              </w:rPr>
            </w:pPr>
            <w:r>
              <w:rPr>
                <w:spacing w:val="-2"/>
                <w:w w:val="105"/>
                <w:sz w:val="12"/>
              </w:rPr>
              <w:t>(109)</w:t>
            </w:r>
          </w:p>
        </w:tc>
        <w:tc>
          <w:tcPr>
            <w:tcW w:w="1032" w:type="dxa"/>
            <w:shd w:val="clear" w:color="auto" w:fill="CCEDFF"/>
          </w:tcPr>
          <w:p>
            <w:pPr>
              <w:pStyle w:val="TableParagraph"/>
              <w:spacing w:before="23"/>
              <w:ind w:right="70"/>
              <w:jc w:val="right"/>
              <w:rPr>
                <w:sz w:val="12"/>
              </w:rPr>
            </w:pPr>
            <w:r>
              <w:rPr>
                <w:spacing w:val="-2"/>
                <w:w w:val="105"/>
                <w:sz w:val="12"/>
              </w:rPr>
              <w:t>(353,611)</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10"/>
                <w:w w:val="105"/>
                <w:sz w:val="12"/>
              </w:rPr>
              <w:t>—</w:t>
            </w:r>
          </w:p>
        </w:tc>
        <w:tc>
          <w:tcPr>
            <w:tcW w:w="1162" w:type="dxa"/>
            <w:shd w:val="clear" w:color="auto" w:fill="CCEDFF"/>
          </w:tcPr>
          <w:p>
            <w:pPr>
              <w:pStyle w:val="TableParagraph"/>
              <w:spacing w:before="23"/>
              <w:ind w:right="72"/>
              <w:jc w:val="right"/>
              <w:rPr>
                <w:sz w:val="12"/>
              </w:rPr>
            </w:pPr>
            <w:r>
              <w:rPr>
                <w:spacing w:val="-2"/>
                <w:w w:val="105"/>
                <w:sz w:val="12"/>
              </w:rPr>
              <w:t>(353,720)</w:t>
            </w:r>
          </w:p>
        </w:tc>
        <w:tc>
          <w:tcPr>
            <w:tcW w:w="1103" w:type="dxa"/>
            <w:shd w:val="clear" w:color="auto" w:fill="CCEDFF"/>
          </w:tcPr>
          <w:p>
            <w:pPr>
              <w:pStyle w:val="TableParagraph"/>
              <w:spacing w:before="23"/>
              <w:ind w:right="104"/>
              <w:jc w:val="right"/>
              <w:rPr>
                <w:sz w:val="12"/>
              </w:rPr>
            </w:pPr>
            <w:r>
              <w:rPr>
                <w:spacing w:val="-10"/>
                <w:w w:val="105"/>
                <w:sz w:val="12"/>
              </w:rPr>
              <w:t>—</w:t>
            </w:r>
          </w:p>
        </w:tc>
        <w:tc>
          <w:tcPr>
            <w:tcW w:w="1006" w:type="dxa"/>
            <w:shd w:val="clear" w:color="auto" w:fill="CCEDFF"/>
          </w:tcPr>
          <w:p>
            <w:pPr>
              <w:pStyle w:val="TableParagraph"/>
              <w:spacing w:before="23"/>
              <w:ind w:right="41"/>
              <w:jc w:val="right"/>
              <w:rPr>
                <w:sz w:val="12"/>
              </w:rPr>
            </w:pPr>
            <w:r>
              <w:rPr>
                <w:spacing w:val="-2"/>
                <w:w w:val="105"/>
                <w:sz w:val="12"/>
              </w:rPr>
              <w:t>(353,720)</w:t>
            </w:r>
          </w:p>
        </w:tc>
      </w:tr>
      <w:tr>
        <w:trPr>
          <w:trHeight w:val="323" w:hRule="atLeast"/>
        </w:trPr>
        <w:tc>
          <w:tcPr>
            <w:tcW w:w="3559" w:type="dxa"/>
          </w:tcPr>
          <w:p>
            <w:pPr>
              <w:pStyle w:val="TableParagraph"/>
              <w:spacing w:line="256" w:lineRule="auto" w:before="18"/>
              <w:ind w:left="225" w:right="143"/>
              <w:rPr>
                <w:sz w:val="11"/>
              </w:rPr>
            </w:pPr>
            <w:r>
              <w:rPr>
                <w:w w:val="105"/>
                <w:sz w:val="11"/>
              </w:rPr>
              <w:t>Adjustment</w:t>
            </w:r>
            <w:r>
              <w:rPr>
                <w:spacing w:val="-1"/>
                <w:w w:val="105"/>
                <w:sz w:val="11"/>
              </w:rPr>
              <w:t> </w:t>
            </w:r>
            <w:r>
              <w:rPr>
                <w:w w:val="105"/>
                <w:sz w:val="11"/>
              </w:rPr>
              <w:t>of</w:t>
            </w:r>
            <w:r>
              <w:rPr>
                <w:spacing w:val="-1"/>
                <w:w w:val="105"/>
                <w:sz w:val="11"/>
              </w:rPr>
              <w:t> </w:t>
            </w:r>
            <w:r>
              <w:rPr>
                <w:w w:val="105"/>
                <w:sz w:val="11"/>
              </w:rPr>
              <w:t>redeemable</w:t>
            </w:r>
            <w:r>
              <w:rPr>
                <w:spacing w:val="-1"/>
                <w:w w:val="105"/>
                <w:sz w:val="11"/>
              </w:rPr>
              <w:t> </w:t>
            </w:r>
            <w:r>
              <w:rPr>
                <w:w w:val="105"/>
                <w:sz w:val="11"/>
              </w:rPr>
              <w:t>noncontrolling</w:t>
            </w:r>
            <w:r>
              <w:rPr>
                <w:spacing w:val="-1"/>
                <w:w w:val="105"/>
                <w:sz w:val="11"/>
              </w:rPr>
              <w:t> </w:t>
            </w:r>
            <w:r>
              <w:rPr>
                <w:w w:val="105"/>
                <w:sz w:val="11"/>
              </w:rPr>
              <w:t>interest</w:t>
            </w:r>
            <w:r>
              <w:rPr>
                <w:spacing w:val="-1"/>
                <w:w w:val="105"/>
                <w:sz w:val="11"/>
              </w:rPr>
              <w:t> </w:t>
            </w:r>
            <w:r>
              <w:rPr>
                <w:w w:val="105"/>
                <w:sz w:val="11"/>
              </w:rPr>
              <w:t>to</w:t>
            </w:r>
            <w:r>
              <w:rPr>
                <w:spacing w:val="-1"/>
                <w:w w:val="105"/>
                <w:sz w:val="11"/>
              </w:rPr>
              <w:t> </w:t>
            </w:r>
            <w:r>
              <w:rPr>
                <w:w w:val="105"/>
                <w:sz w:val="11"/>
              </w:rPr>
              <w:t>redemption</w:t>
            </w:r>
            <w:r>
              <w:rPr>
                <w:spacing w:val="40"/>
                <w:w w:val="105"/>
                <w:sz w:val="11"/>
              </w:rPr>
              <w:t> </w:t>
            </w:r>
            <w:r>
              <w:rPr>
                <w:spacing w:val="-2"/>
                <w:w w:val="105"/>
                <w:sz w:val="11"/>
              </w:rPr>
              <w:t>value</w:t>
            </w:r>
          </w:p>
        </w:tc>
        <w:tc>
          <w:tcPr>
            <w:tcW w:w="759" w:type="dxa"/>
          </w:tcPr>
          <w:p>
            <w:pPr>
              <w:pStyle w:val="TableParagraph"/>
              <w:spacing w:before="6"/>
              <w:rPr>
                <w:b/>
                <w:sz w:val="12"/>
              </w:rPr>
            </w:pPr>
          </w:p>
          <w:p>
            <w:pPr>
              <w:pStyle w:val="TableParagraph"/>
              <w:spacing w:before="0"/>
              <w:ind w:right="101"/>
              <w:jc w:val="right"/>
              <w:rPr>
                <w:sz w:val="12"/>
              </w:rPr>
            </w:pPr>
            <w:r>
              <w:rPr>
                <w:spacing w:val="-10"/>
                <w:w w:val="105"/>
                <w:sz w:val="12"/>
              </w:rPr>
              <w:t>—</w:t>
            </w:r>
          </w:p>
        </w:tc>
        <w:tc>
          <w:tcPr>
            <w:tcW w:w="825" w:type="dxa"/>
          </w:tcPr>
          <w:p>
            <w:pPr>
              <w:pStyle w:val="TableParagraph"/>
              <w:spacing w:before="6"/>
              <w:rPr>
                <w:b/>
                <w:sz w:val="12"/>
              </w:rPr>
            </w:pPr>
          </w:p>
          <w:p>
            <w:pPr>
              <w:pStyle w:val="TableParagraph"/>
              <w:spacing w:before="0"/>
              <w:ind w:right="101"/>
              <w:jc w:val="right"/>
              <w:rPr>
                <w:sz w:val="12"/>
              </w:rPr>
            </w:pPr>
            <w:r>
              <w:rPr>
                <w:spacing w:val="-10"/>
                <w:w w:val="105"/>
                <w:sz w:val="12"/>
              </w:rPr>
              <w:t>—</w:t>
            </w:r>
          </w:p>
        </w:tc>
        <w:tc>
          <w:tcPr>
            <w:tcW w:w="1032" w:type="dxa"/>
          </w:tcPr>
          <w:p>
            <w:pPr>
              <w:pStyle w:val="TableParagraph"/>
              <w:spacing w:before="6"/>
              <w:rPr>
                <w:b/>
                <w:sz w:val="12"/>
              </w:rPr>
            </w:pPr>
          </w:p>
          <w:p>
            <w:pPr>
              <w:pStyle w:val="TableParagraph"/>
              <w:spacing w:before="0"/>
              <w:ind w:right="101"/>
              <w:jc w:val="right"/>
              <w:rPr>
                <w:sz w:val="12"/>
              </w:rPr>
            </w:pPr>
            <w:r>
              <w:rPr>
                <w:spacing w:val="-2"/>
                <w:w w:val="105"/>
                <w:sz w:val="12"/>
              </w:rPr>
              <w:t>35,520</w:t>
            </w:r>
          </w:p>
        </w:tc>
        <w:tc>
          <w:tcPr>
            <w:tcW w:w="937" w:type="dxa"/>
          </w:tcPr>
          <w:p>
            <w:pPr>
              <w:pStyle w:val="TableParagraph"/>
              <w:spacing w:before="6"/>
              <w:rPr>
                <w:b/>
                <w:sz w:val="12"/>
              </w:rPr>
            </w:pPr>
          </w:p>
          <w:p>
            <w:pPr>
              <w:pStyle w:val="TableParagraph"/>
              <w:spacing w:before="0"/>
              <w:ind w:right="103"/>
              <w:jc w:val="right"/>
              <w:rPr>
                <w:sz w:val="12"/>
              </w:rPr>
            </w:pPr>
            <w:r>
              <w:rPr>
                <w:spacing w:val="-10"/>
                <w:w w:val="105"/>
                <w:sz w:val="12"/>
              </w:rPr>
              <w:t>—</w:t>
            </w:r>
          </w:p>
        </w:tc>
        <w:tc>
          <w:tcPr>
            <w:tcW w:w="1137" w:type="dxa"/>
          </w:tcPr>
          <w:p>
            <w:pPr>
              <w:pStyle w:val="TableParagraph"/>
              <w:spacing w:before="6"/>
              <w:rPr>
                <w:b/>
                <w:sz w:val="12"/>
              </w:rPr>
            </w:pPr>
          </w:p>
          <w:p>
            <w:pPr>
              <w:pStyle w:val="TableParagraph"/>
              <w:spacing w:before="0"/>
              <w:ind w:right="104"/>
              <w:jc w:val="right"/>
              <w:rPr>
                <w:sz w:val="12"/>
              </w:rPr>
            </w:pPr>
            <w:r>
              <w:rPr>
                <w:spacing w:val="-10"/>
                <w:w w:val="105"/>
                <w:sz w:val="12"/>
              </w:rPr>
              <w:t>—</w:t>
            </w:r>
          </w:p>
        </w:tc>
        <w:tc>
          <w:tcPr>
            <w:tcW w:w="1162" w:type="dxa"/>
          </w:tcPr>
          <w:p>
            <w:pPr>
              <w:pStyle w:val="TableParagraph"/>
              <w:spacing w:before="6"/>
              <w:rPr>
                <w:b/>
                <w:sz w:val="12"/>
              </w:rPr>
            </w:pPr>
          </w:p>
          <w:p>
            <w:pPr>
              <w:pStyle w:val="TableParagraph"/>
              <w:spacing w:before="0"/>
              <w:ind w:right="103"/>
              <w:jc w:val="right"/>
              <w:rPr>
                <w:sz w:val="12"/>
              </w:rPr>
            </w:pPr>
            <w:r>
              <w:rPr>
                <w:spacing w:val="-2"/>
                <w:w w:val="105"/>
                <w:sz w:val="12"/>
              </w:rPr>
              <w:t>35,520</w:t>
            </w:r>
          </w:p>
        </w:tc>
        <w:tc>
          <w:tcPr>
            <w:tcW w:w="1103" w:type="dxa"/>
          </w:tcPr>
          <w:p>
            <w:pPr>
              <w:pStyle w:val="TableParagraph"/>
              <w:spacing w:before="6"/>
              <w:rPr>
                <w:b/>
                <w:sz w:val="12"/>
              </w:rPr>
            </w:pPr>
          </w:p>
          <w:p>
            <w:pPr>
              <w:pStyle w:val="TableParagraph"/>
              <w:spacing w:before="0"/>
              <w:ind w:right="104"/>
              <w:jc w:val="right"/>
              <w:rPr>
                <w:sz w:val="12"/>
              </w:rPr>
            </w:pPr>
            <w:r>
              <w:rPr>
                <w:spacing w:val="-10"/>
                <w:w w:val="105"/>
                <w:sz w:val="12"/>
              </w:rPr>
              <w:t>—</w:t>
            </w:r>
          </w:p>
        </w:tc>
        <w:tc>
          <w:tcPr>
            <w:tcW w:w="1006" w:type="dxa"/>
          </w:tcPr>
          <w:p>
            <w:pPr>
              <w:pStyle w:val="TableParagraph"/>
              <w:spacing w:before="6"/>
              <w:rPr>
                <w:b/>
                <w:sz w:val="12"/>
              </w:rPr>
            </w:pPr>
          </w:p>
          <w:p>
            <w:pPr>
              <w:pStyle w:val="TableParagraph"/>
              <w:spacing w:before="0"/>
              <w:ind w:right="72"/>
              <w:jc w:val="right"/>
              <w:rPr>
                <w:sz w:val="12"/>
              </w:rPr>
            </w:pPr>
            <w:r>
              <w:rPr>
                <w:spacing w:val="-2"/>
                <w:w w:val="105"/>
                <w:sz w:val="12"/>
              </w:rPr>
              <w:t>35,520</w:t>
            </w:r>
          </w:p>
        </w:tc>
      </w:tr>
      <w:tr>
        <w:trPr>
          <w:trHeight w:val="188" w:hRule="atLeast"/>
        </w:trPr>
        <w:tc>
          <w:tcPr>
            <w:tcW w:w="3559" w:type="dxa"/>
            <w:shd w:val="clear" w:color="auto" w:fill="CCEDFF"/>
          </w:tcPr>
          <w:p>
            <w:pPr>
              <w:pStyle w:val="TableParagraph"/>
              <w:spacing w:before="32"/>
              <w:ind w:left="225"/>
              <w:rPr>
                <w:sz w:val="11"/>
              </w:rPr>
            </w:pPr>
            <w:r>
              <w:rPr>
                <w:w w:val="105"/>
                <w:sz w:val="11"/>
              </w:rPr>
              <w:t>MGP</w:t>
            </w:r>
            <w:r>
              <w:rPr>
                <w:spacing w:val="-3"/>
                <w:w w:val="105"/>
                <w:sz w:val="11"/>
              </w:rPr>
              <w:t> </w:t>
            </w:r>
            <w:r>
              <w:rPr>
                <w:w w:val="105"/>
                <w:sz w:val="11"/>
              </w:rPr>
              <w:t>Class</w:t>
            </w:r>
            <w:r>
              <w:rPr>
                <w:spacing w:val="-4"/>
                <w:w w:val="105"/>
                <w:sz w:val="11"/>
              </w:rPr>
              <w:t> </w:t>
            </w:r>
            <w:r>
              <w:rPr>
                <w:w w:val="105"/>
                <w:sz w:val="11"/>
              </w:rPr>
              <w:t>A</w:t>
            </w:r>
            <w:r>
              <w:rPr>
                <w:spacing w:val="-5"/>
                <w:w w:val="105"/>
                <w:sz w:val="11"/>
              </w:rPr>
              <w:t> </w:t>
            </w:r>
            <w:r>
              <w:rPr>
                <w:w w:val="105"/>
                <w:sz w:val="11"/>
              </w:rPr>
              <w:t>share</w:t>
            </w:r>
            <w:r>
              <w:rPr>
                <w:spacing w:val="2"/>
                <w:w w:val="105"/>
                <w:sz w:val="11"/>
              </w:rPr>
              <w:t> </w:t>
            </w:r>
            <w:r>
              <w:rPr>
                <w:spacing w:val="-2"/>
                <w:w w:val="105"/>
                <w:sz w:val="11"/>
              </w:rPr>
              <w:t>issuance</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2"/>
                <w:w w:val="105"/>
                <w:sz w:val="12"/>
              </w:rPr>
              <w:t>64,188</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5"/>
                <w:w w:val="105"/>
                <w:sz w:val="12"/>
              </w:rPr>
              <w:t>646</w:t>
            </w:r>
          </w:p>
        </w:tc>
        <w:tc>
          <w:tcPr>
            <w:tcW w:w="1162" w:type="dxa"/>
            <w:shd w:val="clear" w:color="auto" w:fill="CCEDFF"/>
          </w:tcPr>
          <w:p>
            <w:pPr>
              <w:pStyle w:val="TableParagraph"/>
              <w:spacing w:before="23"/>
              <w:ind w:right="103"/>
              <w:jc w:val="right"/>
              <w:rPr>
                <w:sz w:val="12"/>
              </w:rPr>
            </w:pPr>
            <w:r>
              <w:rPr>
                <w:spacing w:val="-2"/>
                <w:w w:val="105"/>
                <w:sz w:val="12"/>
              </w:rPr>
              <w:t>64,834</w:t>
            </w:r>
          </w:p>
        </w:tc>
        <w:tc>
          <w:tcPr>
            <w:tcW w:w="1103" w:type="dxa"/>
            <w:shd w:val="clear" w:color="auto" w:fill="CCEDFF"/>
          </w:tcPr>
          <w:p>
            <w:pPr>
              <w:pStyle w:val="TableParagraph"/>
              <w:spacing w:before="23"/>
              <w:ind w:right="104"/>
              <w:jc w:val="right"/>
              <w:rPr>
                <w:sz w:val="12"/>
              </w:rPr>
            </w:pPr>
            <w:r>
              <w:rPr>
                <w:spacing w:val="-2"/>
                <w:w w:val="105"/>
                <w:sz w:val="12"/>
              </w:rPr>
              <w:t>442,717</w:t>
            </w:r>
          </w:p>
        </w:tc>
        <w:tc>
          <w:tcPr>
            <w:tcW w:w="1006" w:type="dxa"/>
            <w:shd w:val="clear" w:color="auto" w:fill="CCEDFF"/>
          </w:tcPr>
          <w:p>
            <w:pPr>
              <w:pStyle w:val="TableParagraph"/>
              <w:spacing w:before="23"/>
              <w:ind w:right="72"/>
              <w:jc w:val="right"/>
              <w:rPr>
                <w:sz w:val="12"/>
              </w:rPr>
            </w:pPr>
            <w:r>
              <w:rPr>
                <w:spacing w:val="-2"/>
                <w:w w:val="105"/>
                <w:sz w:val="12"/>
              </w:rPr>
              <w:t>507,551</w:t>
            </w:r>
          </w:p>
        </w:tc>
      </w:tr>
      <w:tr>
        <w:trPr>
          <w:trHeight w:val="202" w:hRule="atLeast"/>
        </w:trPr>
        <w:tc>
          <w:tcPr>
            <w:tcW w:w="3559" w:type="dxa"/>
          </w:tcPr>
          <w:p>
            <w:pPr>
              <w:pStyle w:val="TableParagraph"/>
              <w:spacing w:before="32"/>
              <w:ind w:left="225"/>
              <w:rPr>
                <w:sz w:val="11"/>
              </w:rPr>
            </w:pPr>
            <w:r>
              <w:rPr>
                <w:w w:val="105"/>
                <w:sz w:val="11"/>
              </w:rPr>
              <w:t>MGM Grand Las</w:t>
            </w:r>
            <w:r>
              <w:rPr>
                <w:spacing w:val="-2"/>
                <w:w w:val="105"/>
                <w:sz w:val="11"/>
              </w:rPr>
              <w:t> </w:t>
            </w:r>
            <w:r>
              <w:rPr>
                <w:w w:val="105"/>
                <w:sz w:val="11"/>
              </w:rPr>
              <w:t>Vegas</w:t>
            </w:r>
            <w:r>
              <w:rPr>
                <w:spacing w:val="1"/>
                <w:w w:val="105"/>
                <w:sz w:val="11"/>
              </w:rPr>
              <w:t> </w:t>
            </w:r>
            <w:r>
              <w:rPr>
                <w:w w:val="105"/>
                <w:sz w:val="11"/>
              </w:rPr>
              <w:t>and Mandalay Bay </w:t>
            </w:r>
            <w:r>
              <w:rPr>
                <w:spacing w:val="-2"/>
                <w:w w:val="105"/>
                <w:sz w:val="11"/>
              </w:rPr>
              <w:t>transaction</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70"/>
              <w:jc w:val="right"/>
              <w:rPr>
                <w:sz w:val="12"/>
              </w:rPr>
            </w:pPr>
            <w:r>
              <w:rPr>
                <w:spacing w:val="-2"/>
                <w:w w:val="105"/>
                <w:sz w:val="12"/>
              </w:rPr>
              <w:t>(6,503)</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72"/>
              <w:jc w:val="right"/>
              <w:rPr>
                <w:sz w:val="12"/>
              </w:rPr>
            </w:pPr>
            <w:r>
              <w:rPr>
                <w:spacing w:val="-4"/>
                <w:w w:val="105"/>
                <w:sz w:val="12"/>
              </w:rPr>
              <w:t>(59)</w:t>
            </w:r>
          </w:p>
        </w:tc>
        <w:tc>
          <w:tcPr>
            <w:tcW w:w="1162" w:type="dxa"/>
          </w:tcPr>
          <w:p>
            <w:pPr>
              <w:pStyle w:val="TableParagraph"/>
              <w:spacing w:before="23"/>
              <w:ind w:right="72"/>
              <w:jc w:val="right"/>
              <w:rPr>
                <w:sz w:val="12"/>
              </w:rPr>
            </w:pPr>
            <w:r>
              <w:rPr>
                <w:spacing w:val="-2"/>
                <w:w w:val="105"/>
                <w:sz w:val="12"/>
              </w:rPr>
              <w:t>(6,562)</w:t>
            </w:r>
          </w:p>
        </w:tc>
        <w:tc>
          <w:tcPr>
            <w:tcW w:w="1103" w:type="dxa"/>
          </w:tcPr>
          <w:p>
            <w:pPr>
              <w:pStyle w:val="TableParagraph"/>
              <w:spacing w:before="23"/>
              <w:ind w:right="104"/>
              <w:jc w:val="right"/>
              <w:rPr>
                <w:sz w:val="12"/>
              </w:rPr>
            </w:pPr>
            <w:r>
              <w:rPr>
                <w:spacing w:val="-2"/>
                <w:w w:val="105"/>
                <w:sz w:val="12"/>
              </w:rPr>
              <w:t>8,287</w:t>
            </w:r>
          </w:p>
        </w:tc>
        <w:tc>
          <w:tcPr>
            <w:tcW w:w="1006" w:type="dxa"/>
          </w:tcPr>
          <w:p>
            <w:pPr>
              <w:pStyle w:val="TableParagraph"/>
              <w:spacing w:before="23"/>
              <w:ind w:right="72"/>
              <w:jc w:val="right"/>
              <w:rPr>
                <w:sz w:val="12"/>
              </w:rPr>
            </w:pPr>
            <w:r>
              <w:rPr>
                <w:spacing w:val="-2"/>
                <w:w w:val="105"/>
                <w:sz w:val="12"/>
              </w:rPr>
              <w:t>1,725</w:t>
            </w:r>
          </w:p>
        </w:tc>
      </w:tr>
      <w:tr>
        <w:trPr>
          <w:trHeight w:val="202" w:hRule="atLeast"/>
        </w:trPr>
        <w:tc>
          <w:tcPr>
            <w:tcW w:w="3559" w:type="dxa"/>
            <w:shd w:val="clear" w:color="auto" w:fill="CCEDFF"/>
          </w:tcPr>
          <w:p>
            <w:pPr>
              <w:pStyle w:val="TableParagraph"/>
              <w:spacing w:before="32"/>
              <w:ind w:left="225"/>
              <w:rPr>
                <w:sz w:val="11"/>
              </w:rPr>
            </w:pPr>
            <w:r>
              <w:rPr>
                <w:w w:val="105"/>
                <w:sz w:val="11"/>
              </w:rPr>
              <w:t>Redemption</w:t>
            </w:r>
            <w:r>
              <w:rPr>
                <w:spacing w:val="2"/>
                <w:w w:val="105"/>
                <w:sz w:val="11"/>
              </w:rPr>
              <w:t> </w:t>
            </w:r>
            <w:r>
              <w:rPr>
                <w:w w:val="105"/>
                <w:sz w:val="11"/>
              </w:rPr>
              <w:t>of</w:t>
            </w:r>
            <w:r>
              <w:rPr>
                <w:spacing w:val="2"/>
                <w:w w:val="105"/>
                <w:sz w:val="11"/>
              </w:rPr>
              <w:t> </w:t>
            </w:r>
            <w:r>
              <w:rPr>
                <w:w w:val="105"/>
                <w:sz w:val="11"/>
              </w:rPr>
              <w:t>MGP</w:t>
            </w:r>
            <w:r>
              <w:rPr>
                <w:spacing w:val="-2"/>
                <w:w w:val="105"/>
                <w:sz w:val="11"/>
              </w:rPr>
              <w:t> </w:t>
            </w:r>
            <w:r>
              <w:rPr>
                <w:w w:val="105"/>
                <w:sz w:val="11"/>
              </w:rPr>
              <w:t>OP</w:t>
            </w:r>
            <w:r>
              <w:rPr>
                <w:spacing w:val="-2"/>
                <w:w w:val="105"/>
                <w:sz w:val="11"/>
              </w:rPr>
              <w:t> units</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2"/>
                <w:w w:val="105"/>
                <w:sz w:val="12"/>
              </w:rPr>
              <w:t>83,859</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2"/>
                <w:w w:val="105"/>
                <w:sz w:val="12"/>
              </w:rPr>
              <w:t>8,773</w:t>
            </w:r>
          </w:p>
        </w:tc>
        <w:tc>
          <w:tcPr>
            <w:tcW w:w="1162" w:type="dxa"/>
            <w:shd w:val="clear" w:color="auto" w:fill="CCEDFF"/>
          </w:tcPr>
          <w:p>
            <w:pPr>
              <w:pStyle w:val="TableParagraph"/>
              <w:spacing w:before="23"/>
              <w:ind w:right="103"/>
              <w:jc w:val="right"/>
              <w:rPr>
                <w:sz w:val="12"/>
              </w:rPr>
            </w:pPr>
            <w:r>
              <w:rPr>
                <w:spacing w:val="-2"/>
                <w:w w:val="105"/>
                <w:sz w:val="12"/>
              </w:rPr>
              <w:t>92,632</w:t>
            </w:r>
          </w:p>
        </w:tc>
        <w:tc>
          <w:tcPr>
            <w:tcW w:w="1103" w:type="dxa"/>
            <w:shd w:val="clear" w:color="auto" w:fill="CCEDFF"/>
          </w:tcPr>
          <w:p>
            <w:pPr>
              <w:pStyle w:val="TableParagraph"/>
              <w:spacing w:before="23"/>
              <w:ind w:right="73"/>
              <w:jc w:val="right"/>
              <w:rPr>
                <w:sz w:val="12"/>
              </w:rPr>
            </w:pPr>
            <w:r>
              <w:rPr>
                <w:spacing w:val="-2"/>
                <w:w w:val="105"/>
                <w:sz w:val="12"/>
              </w:rPr>
              <w:t>(114,924)</w:t>
            </w:r>
          </w:p>
        </w:tc>
        <w:tc>
          <w:tcPr>
            <w:tcW w:w="1006" w:type="dxa"/>
            <w:shd w:val="clear" w:color="auto" w:fill="CCEDFF"/>
          </w:tcPr>
          <w:p>
            <w:pPr>
              <w:pStyle w:val="TableParagraph"/>
              <w:spacing w:before="23"/>
              <w:ind w:right="41"/>
              <w:jc w:val="right"/>
              <w:rPr>
                <w:sz w:val="12"/>
              </w:rPr>
            </w:pPr>
            <w:r>
              <w:rPr>
                <w:spacing w:val="-2"/>
                <w:w w:val="105"/>
                <w:sz w:val="12"/>
              </w:rPr>
              <w:t>(22,292)</w:t>
            </w:r>
          </w:p>
        </w:tc>
      </w:tr>
      <w:tr>
        <w:trPr>
          <w:trHeight w:val="188" w:hRule="atLeast"/>
        </w:trPr>
        <w:tc>
          <w:tcPr>
            <w:tcW w:w="3559" w:type="dxa"/>
          </w:tcPr>
          <w:p>
            <w:pPr>
              <w:pStyle w:val="TableParagraph"/>
              <w:spacing w:before="32"/>
              <w:ind w:left="225"/>
              <w:rPr>
                <w:sz w:val="11"/>
              </w:rPr>
            </w:pPr>
            <w:r>
              <w:rPr>
                <w:spacing w:val="-2"/>
                <w:w w:val="105"/>
                <w:sz w:val="11"/>
              </w:rPr>
              <w:t>Other</w:t>
            </w:r>
          </w:p>
        </w:tc>
        <w:tc>
          <w:tcPr>
            <w:tcW w:w="759" w:type="dxa"/>
            <w:tcBorders>
              <w:bottom w:val="single" w:sz="6" w:space="0" w:color="000000"/>
            </w:tcBorders>
          </w:tcPr>
          <w:p>
            <w:pPr>
              <w:pStyle w:val="TableParagraph"/>
              <w:spacing w:before="23"/>
              <w:ind w:right="101"/>
              <w:jc w:val="right"/>
              <w:rPr>
                <w:sz w:val="12"/>
              </w:rPr>
            </w:pPr>
            <w:r>
              <w:rPr>
                <w:spacing w:val="-10"/>
                <w:w w:val="105"/>
                <w:sz w:val="12"/>
              </w:rPr>
              <w:t>—</w:t>
            </w:r>
          </w:p>
        </w:tc>
        <w:tc>
          <w:tcPr>
            <w:tcW w:w="825" w:type="dxa"/>
            <w:tcBorders>
              <w:bottom w:val="single" w:sz="6" w:space="0" w:color="000000"/>
            </w:tcBorders>
          </w:tcPr>
          <w:p>
            <w:pPr>
              <w:pStyle w:val="TableParagraph"/>
              <w:spacing w:before="23"/>
              <w:ind w:right="101"/>
              <w:jc w:val="right"/>
              <w:rPr>
                <w:sz w:val="12"/>
              </w:rPr>
            </w:pPr>
            <w:r>
              <w:rPr>
                <w:spacing w:val="-10"/>
                <w:w w:val="105"/>
                <w:sz w:val="12"/>
              </w:rPr>
              <w:t>—</w:t>
            </w:r>
          </w:p>
        </w:tc>
        <w:tc>
          <w:tcPr>
            <w:tcW w:w="1032" w:type="dxa"/>
            <w:tcBorders>
              <w:bottom w:val="single" w:sz="6" w:space="0" w:color="000000"/>
            </w:tcBorders>
          </w:tcPr>
          <w:p>
            <w:pPr>
              <w:pStyle w:val="TableParagraph"/>
              <w:spacing w:before="23"/>
              <w:ind w:right="70"/>
              <w:jc w:val="right"/>
              <w:rPr>
                <w:sz w:val="12"/>
              </w:rPr>
            </w:pPr>
            <w:r>
              <w:rPr>
                <w:spacing w:val="-2"/>
                <w:w w:val="105"/>
                <w:sz w:val="12"/>
              </w:rPr>
              <w:t>(1,724)</w:t>
            </w:r>
          </w:p>
        </w:tc>
        <w:tc>
          <w:tcPr>
            <w:tcW w:w="937" w:type="dxa"/>
            <w:tcBorders>
              <w:bottom w:val="single" w:sz="6" w:space="0" w:color="000000"/>
            </w:tcBorders>
          </w:tcPr>
          <w:p>
            <w:pPr>
              <w:pStyle w:val="TableParagraph"/>
              <w:spacing w:before="23"/>
              <w:ind w:right="103"/>
              <w:jc w:val="right"/>
              <w:rPr>
                <w:sz w:val="12"/>
              </w:rPr>
            </w:pPr>
            <w:r>
              <w:rPr>
                <w:spacing w:val="-10"/>
                <w:w w:val="105"/>
                <w:sz w:val="12"/>
              </w:rPr>
              <w:t>—</w:t>
            </w:r>
          </w:p>
        </w:tc>
        <w:tc>
          <w:tcPr>
            <w:tcW w:w="1137" w:type="dxa"/>
            <w:tcBorders>
              <w:bottom w:val="single" w:sz="6" w:space="0" w:color="000000"/>
            </w:tcBorders>
          </w:tcPr>
          <w:p>
            <w:pPr>
              <w:pStyle w:val="TableParagraph"/>
              <w:spacing w:before="23"/>
              <w:ind w:right="72"/>
              <w:jc w:val="right"/>
              <w:rPr>
                <w:sz w:val="12"/>
              </w:rPr>
            </w:pPr>
            <w:r>
              <w:rPr>
                <w:spacing w:val="-2"/>
                <w:w w:val="105"/>
                <w:sz w:val="12"/>
              </w:rPr>
              <w:t>(1,018)</w:t>
            </w:r>
          </w:p>
        </w:tc>
        <w:tc>
          <w:tcPr>
            <w:tcW w:w="1162" w:type="dxa"/>
            <w:tcBorders>
              <w:bottom w:val="single" w:sz="6" w:space="0" w:color="000000"/>
            </w:tcBorders>
          </w:tcPr>
          <w:p>
            <w:pPr>
              <w:pStyle w:val="TableParagraph"/>
              <w:spacing w:before="23"/>
              <w:ind w:right="72"/>
              <w:jc w:val="right"/>
              <w:rPr>
                <w:sz w:val="12"/>
              </w:rPr>
            </w:pPr>
            <w:r>
              <w:rPr>
                <w:spacing w:val="-2"/>
                <w:w w:val="105"/>
                <w:sz w:val="12"/>
              </w:rPr>
              <w:t>(2,742)</w:t>
            </w:r>
          </w:p>
        </w:tc>
        <w:tc>
          <w:tcPr>
            <w:tcW w:w="1103" w:type="dxa"/>
            <w:tcBorders>
              <w:bottom w:val="single" w:sz="6" w:space="0" w:color="000000"/>
            </w:tcBorders>
          </w:tcPr>
          <w:p>
            <w:pPr>
              <w:pStyle w:val="TableParagraph"/>
              <w:spacing w:before="23"/>
              <w:ind w:right="73"/>
              <w:jc w:val="right"/>
              <w:rPr>
                <w:sz w:val="12"/>
              </w:rPr>
            </w:pPr>
            <w:r>
              <w:rPr>
                <w:spacing w:val="-2"/>
                <w:w w:val="105"/>
                <w:sz w:val="12"/>
              </w:rPr>
              <w:t>(638)</w:t>
            </w:r>
          </w:p>
        </w:tc>
        <w:tc>
          <w:tcPr>
            <w:tcW w:w="1006" w:type="dxa"/>
            <w:tcBorders>
              <w:bottom w:val="single" w:sz="6" w:space="0" w:color="000000"/>
            </w:tcBorders>
          </w:tcPr>
          <w:p>
            <w:pPr>
              <w:pStyle w:val="TableParagraph"/>
              <w:spacing w:before="23"/>
              <w:ind w:right="41"/>
              <w:jc w:val="right"/>
              <w:rPr>
                <w:sz w:val="12"/>
              </w:rPr>
            </w:pPr>
            <w:r>
              <w:rPr>
                <w:spacing w:val="-2"/>
                <w:w w:val="105"/>
                <w:sz w:val="12"/>
              </w:rPr>
              <w:t>(3,380)</w:t>
            </w:r>
          </w:p>
        </w:tc>
      </w:tr>
      <w:tr>
        <w:trPr>
          <w:trHeight w:val="201" w:hRule="atLeast"/>
        </w:trPr>
        <w:tc>
          <w:tcPr>
            <w:tcW w:w="3559" w:type="dxa"/>
            <w:shd w:val="clear" w:color="auto" w:fill="CCEDFF"/>
          </w:tcPr>
          <w:p>
            <w:pPr>
              <w:pStyle w:val="TableParagraph"/>
              <w:spacing w:before="31"/>
              <w:ind w:left="26"/>
              <w:rPr>
                <w:b/>
                <w:sz w:val="11"/>
              </w:rPr>
            </w:pPr>
            <w:r>
              <w:rPr>
                <w:b/>
                <w:w w:val="105"/>
                <w:sz w:val="11"/>
              </w:rPr>
              <w:t>Balances,</w:t>
            </w:r>
            <w:r>
              <w:rPr>
                <w:b/>
                <w:spacing w:val="3"/>
                <w:w w:val="105"/>
                <w:sz w:val="11"/>
              </w:rPr>
              <w:t> </w:t>
            </w:r>
            <w:r>
              <w:rPr>
                <w:b/>
                <w:w w:val="105"/>
                <w:sz w:val="11"/>
              </w:rPr>
              <w:t>December</w:t>
            </w:r>
            <w:r>
              <w:rPr>
                <w:b/>
                <w:spacing w:val="1"/>
                <w:w w:val="105"/>
                <w:sz w:val="11"/>
              </w:rPr>
              <w:t> </w:t>
            </w:r>
            <w:r>
              <w:rPr>
                <w:b/>
                <w:w w:val="105"/>
                <w:sz w:val="11"/>
              </w:rPr>
              <w:t>31,</w:t>
            </w:r>
            <w:r>
              <w:rPr>
                <w:b/>
                <w:spacing w:val="3"/>
                <w:w w:val="105"/>
                <w:sz w:val="11"/>
              </w:rPr>
              <w:t> </w:t>
            </w:r>
            <w:r>
              <w:rPr>
                <w:b/>
                <w:spacing w:val="-4"/>
                <w:w w:val="105"/>
                <w:sz w:val="11"/>
              </w:rPr>
              <w:t>2020</w:t>
            </w:r>
          </w:p>
        </w:tc>
        <w:tc>
          <w:tcPr>
            <w:tcW w:w="759" w:type="dxa"/>
            <w:tcBorders>
              <w:top w:val="single" w:sz="6" w:space="0" w:color="000000"/>
            </w:tcBorders>
            <w:shd w:val="clear" w:color="auto" w:fill="CCEDFF"/>
          </w:tcPr>
          <w:p>
            <w:pPr>
              <w:pStyle w:val="TableParagraph"/>
              <w:spacing w:before="22"/>
              <w:ind w:right="101"/>
              <w:jc w:val="right"/>
              <w:rPr>
                <w:sz w:val="12"/>
              </w:rPr>
            </w:pPr>
            <w:r>
              <w:rPr>
                <w:spacing w:val="-2"/>
                <w:w w:val="105"/>
                <w:sz w:val="12"/>
              </w:rPr>
              <w:t>494,318</w:t>
            </w:r>
          </w:p>
        </w:tc>
        <w:tc>
          <w:tcPr>
            <w:tcW w:w="825" w:type="dxa"/>
            <w:tcBorders>
              <w:top w:val="single" w:sz="6" w:space="0" w:color="000000"/>
            </w:tcBorders>
            <w:shd w:val="clear" w:color="auto" w:fill="CCEDFF"/>
          </w:tcPr>
          <w:p>
            <w:pPr>
              <w:pStyle w:val="TableParagraph"/>
              <w:spacing w:before="22"/>
              <w:ind w:right="101"/>
              <w:jc w:val="right"/>
              <w:rPr>
                <w:sz w:val="12"/>
              </w:rPr>
            </w:pPr>
            <w:r>
              <w:rPr>
                <w:spacing w:val="-2"/>
                <w:w w:val="105"/>
                <w:sz w:val="12"/>
              </w:rPr>
              <w:t>4,943</w:t>
            </w:r>
          </w:p>
        </w:tc>
        <w:tc>
          <w:tcPr>
            <w:tcW w:w="1032" w:type="dxa"/>
            <w:tcBorders>
              <w:top w:val="single" w:sz="6" w:space="0" w:color="000000"/>
            </w:tcBorders>
            <w:shd w:val="clear" w:color="auto" w:fill="CCEDFF"/>
          </w:tcPr>
          <w:p>
            <w:pPr>
              <w:pStyle w:val="TableParagraph"/>
              <w:spacing w:before="22"/>
              <w:ind w:right="101"/>
              <w:jc w:val="right"/>
              <w:rPr>
                <w:sz w:val="12"/>
              </w:rPr>
            </w:pPr>
            <w:r>
              <w:rPr>
                <w:spacing w:val="-2"/>
                <w:w w:val="105"/>
                <w:sz w:val="12"/>
              </w:rPr>
              <w:t>3,439,453</w:t>
            </w:r>
          </w:p>
        </w:tc>
        <w:tc>
          <w:tcPr>
            <w:tcW w:w="937" w:type="dxa"/>
            <w:tcBorders>
              <w:top w:val="single" w:sz="6" w:space="0" w:color="000000"/>
            </w:tcBorders>
            <w:shd w:val="clear" w:color="auto" w:fill="CCEDFF"/>
          </w:tcPr>
          <w:p>
            <w:pPr>
              <w:pStyle w:val="TableParagraph"/>
              <w:spacing w:before="22"/>
              <w:ind w:right="101"/>
              <w:jc w:val="right"/>
              <w:rPr>
                <w:sz w:val="12"/>
              </w:rPr>
            </w:pPr>
            <w:r>
              <w:rPr>
                <w:spacing w:val="-2"/>
                <w:w w:val="105"/>
                <w:sz w:val="12"/>
              </w:rPr>
              <w:t>3,091,007</w:t>
            </w:r>
          </w:p>
        </w:tc>
        <w:tc>
          <w:tcPr>
            <w:tcW w:w="1137" w:type="dxa"/>
            <w:tcBorders>
              <w:top w:val="single" w:sz="6" w:space="0" w:color="000000"/>
            </w:tcBorders>
            <w:shd w:val="clear" w:color="auto" w:fill="CCEDFF"/>
          </w:tcPr>
          <w:p>
            <w:pPr>
              <w:pStyle w:val="TableParagraph"/>
              <w:spacing w:before="22"/>
              <w:ind w:right="72"/>
              <w:jc w:val="right"/>
              <w:rPr>
                <w:sz w:val="12"/>
              </w:rPr>
            </w:pPr>
            <w:r>
              <w:rPr>
                <w:spacing w:val="-2"/>
                <w:w w:val="105"/>
                <w:sz w:val="12"/>
              </w:rPr>
              <w:t>(30,677)</w:t>
            </w:r>
          </w:p>
        </w:tc>
        <w:tc>
          <w:tcPr>
            <w:tcW w:w="1162" w:type="dxa"/>
            <w:tcBorders>
              <w:top w:val="single" w:sz="6" w:space="0" w:color="000000"/>
            </w:tcBorders>
            <w:shd w:val="clear" w:color="auto" w:fill="CCEDFF"/>
          </w:tcPr>
          <w:p>
            <w:pPr>
              <w:pStyle w:val="TableParagraph"/>
              <w:spacing w:before="22"/>
              <w:ind w:right="103"/>
              <w:jc w:val="right"/>
              <w:rPr>
                <w:sz w:val="12"/>
              </w:rPr>
            </w:pPr>
            <w:r>
              <w:rPr>
                <w:spacing w:val="-2"/>
                <w:w w:val="105"/>
                <w:sz w:val="12"/>
              </w:rPr>
              <w:t>6,504,726</w:t>
            </w:r>
          </w:p>
        </w:tc>
        <w:tc>
          <w:tcPr>
            <w:tcW w:w="1103" w:type="dxa"/>
            <w:tcBorders>
              <w:top w:val="single" w:sz="6" w:space="0" w:color="000000"/>
            </w:tcBorders>
            <w:shd w:val="clear" w:color="auto" w:fill="CCEDFF"/>
          </w:tcPr>
          <w:p>
            <w:pPr>
              <w:pStyle w:val="TableParagraph"/>
              <w:spacing w:before="22"/>
              <w:ind w:right="104"/>
              <w:jc w:val="right"/>
              <w:rPr>
                <w:sz w:val="12"/>
              </w:rPr>
            </w:pPr>
            <w:r>
              <w:rPr>
                <w:spacing w:val="-2"/>
                <w:w w:val="105"/>
                <w:sz w:val="12"/>
              </w:rPr>
              <w:t>4,675,182</w:t>
            </w:r>
          </w:p>
        </w:tc>
        <w:tc>
          <w:tcPr>
            <w:tcW w:w="1006" w:type="dxa"/>
            <w:tcBorders>
              <w:top w:val="single" w:sz="6" w:space="0" w:color="000000"/>
            </w:tcBorders>
            <w:shd w:val="clear" w:color="auto" w:fill="CCEDFF"/>
          </w:tcPr>
          <w:p>
            <w:pPr>
              <w:pStyle w:val="TableParagraph"/>
              <w:spacing w:before="22"/>
              <w:ind w:right="72"/>
              <w:jc w:val="right"/>
              <w:rPr>
                <w:sz w:val="12"/>
              </w:rPr>
            </w:pPr>
            <w:r>
              <w:rPr>
                <w:spacing w:val="-2"/>
                <w:w w:val="105"/>
                <w:sz w:val="12"/>
              </w:rPr>
              <w:t>11,179,908</w:t>
            </w:r>
          </w:p>
        </w:tc>
      </w:tr>
      <w:tr>
        <w:trPr>
          <w:trHeight w:val="202" w:hRule="atLeast"/>
        </w:trPr>
        <w:tc>
          <w:tcPr>
            <w:tcW w:w="3559" w:type="dxa"/>
          </w:tcPr>
          <w:p>
            <w:pPr>
              <w:pStyle w:val="TableParagraph"/>
              <w:spacing w:before="32"/>
              <w:ind w:left="225"/>
              <w:rPr>
                <w:sz w:val="11"/>
              </w:rPr>
            </w:pPr>
            <w:r>
              <w:rPr>
                <w:w w:val="105"/>
                <w:sz w:val="11"/>
              </w:rPr>
              <w:t>Net</w:t>
            </w:r>
            <w:r>
              <w:rPr>
                <w:spacing w:val="2"/>
                <w:w w:val="105"/>
                <w:sz w:val="11"/>
              </w:rPr>
              <w:t> </w:t>
            </w:r>
            <w:r>
              <w:rPr>
                <w:w w:val="105"/>
                <w:sz w:val="11"/>
              </w:rPr>
              <w:t>income</w:t>
            </w:r>
            <w:r>
              <w:rPr>
                <w:spacing w:val="2"/>
                <w:w w:val="105"/>
                <w:sz w:val="11"/>
              </w:rPr>
              <w:t> </w:t>
            </w:r>
            <w:r>
              <w:rPr>
                <w:spacing w:val="-2"/>
                <w:w w:val="105"/>
                <w:sz w:val="11"/>
              </w:rPr>
              <w:t>(loss)</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10"/>
                <w:w w:val="105"/>
                <w:sz w:val="12"/>
              </w:rPr>
              <w:t>—</w:t>
            </w:r>
          </w:p>
        </w:tc>
        <w:tc>
          <w:tcPr>
            <w:tcW w:w="937" w:type="dxa"/>
          </w:tcPr>
          <w:p>
            <w:pPr>
              <w:pStyle w:val="TableParagraph"/>
              <w:spacing w:before="23"/>
              <w:ind w:right="101"/>
              <w:jc w:val="right"/>
              <w:rPr>
                <w:sz w:val="12"/>
              </w:rPr>
            </w:pPr>
            <w:r>
              <w:rPr>
                <w:spacing w:val="-2"/>
                <w:w w:val="105"/>
                <w:sz w:val="12"/>
              </w:rPr>
              <w:t>1,254,370</w:t>
            </w:r>
          </w:p>
        </w:tc>
        <w:tc>
          <w:tcPr>
            <w:tcW w:w="1137" w:type="dxa"/>
          </w:tcPr>
          <w:p>
            <w:pPr>
              <w:pStyle w:val="TableParagraph"/>
              <w:spacing w:before="23"/>
              <w:ind w:right="104"/>
              <w:jc w:val="right"/>
              <w:rPr>
                <w:sz w:val="12"/>
              </w:rPr>
            </w:pPr>
            <w:r>
              <w:rPr>
                <w:spacing w:val="-10"/>
                <w:w w:val="105"/>
                <w:sz w:val="12"/>
              </w:rPr>
              <w:t>—</w:t>
            </w:r>
          </w:p>
        </w:tc>
        <w:tc>
          <w:tcPr>
            <w:tcW w:w="1162" w:type="dxa"/>
          </w:tcPr>
          <w:p>
            <w:pPr>
              <w:pStyle w:val="TableParagraph"/>
              <w:spacing w:before="23"/>
              <w:ind w:right="103"/>
              <w:jc w:val="right"/>
              <w:rPr>
                <w:sz w:val="12"/>
              </w:rPr>
            </w:pPr>
            <w:r>
              <w:rPr>
                <w:spacing w:val="-2"/>
                <w:w w:val="105"/>
                <w:sz w:val="12"/>
              </w:rPr>
              <w:t>1,254,370</w:t>
            </w:r>
          </w:p>
        </w:tc>
        <w:tc>
          <w:tcPr>
            <w:tcW w:w="1103" w:type="dxa"/>
          </w:tcPr>
          <w:p>
            <w:pPr>
              <w:pStyle w:val="TableParagraph"/>
              <w:spacing w:before="23"/>
              <w:ind w:right="73"/>
              <w:jc w:val="right"/>
              <w:rPr>
                <w:sz w:val="12"/>
              </w:rPr>
            </w:pPr>
            <w:r>
              <w:rPr>
                <w:spacing w:val="-2"/>
                <w:w w:val="105"/>
                <w:sz w:val="12"/>
              </w:rPr>
              <w:t>(55,793)</w:t>
            </w:r>
          </w:p>
        </w:tc>
        <w:tc>
          <w:tcPr>
            <w:tcW w:w="1006" w:type="dxa"/>
          </w:tcPr>
          <w:p>
            <w:pPr>
              <w:pStyle w:val="TableParagraph"/>
              <w:spacing w:before="23"/>
              <w:ind w:right="72"/>
              <w:jc w:val="right"/>
              <w:rPr>
                <w:sz w:val="12"/>
              </w:rPr>
            </w:pPr>
            <w:r>
              <w:rPr>
                <w:spacing w:val="-2"/>
                <w:w w:val="105"/>
                <w:sz w:val="12"/>
              </w:rPr>
              <w:t>1,198,577</w:t>
            </w:r>
          </w:p>
        </w:tc>
      </w:tr>
      <w:tr>
        <w:trPr>
          <w:trHeight w:val="188" w:hRule="atLeast"/>
        </w:trPr>
        <w:tc>
          <w:tcPr>
            <w:tcW w:w="3559" w:type="dxa"/>
            <w:shd w:val="clear" w:color="auto" w:fill="CCEDFF"/>
          </w:tcPr>
          <w:p>
            <w:pPr>
              <w:pStyle w:val="TableParagraph"/>
              <w:spacing w:before="18"/>
              <w:ind w:left="225"/>
              <w:rPr>
                <w:sz w:val="11"/>
              </w:rPr>
            </w:pPr>
            <w:r>
              <w:rPr>
                <w:w w:val="105"/>
                <w:sz w:val="11"/>
              </w:rPr>
              <w:t>Currency</w:t>
            </w:r>
            <w:r>
              <w:rPr>
                <w:spacing w:val="4"/>
                <w:w w:val="105"/>
                <w:sz w:val="11"/>
              </w:rPr>
              <w:t> </w:t>
            </w:r>
            <w:r>
              <w:rPr>
                <w:w w:val="105"/>
                <w:sz w:val="11"/>
              </w:rPr>
              <w:t>translation</w:t>
            </w:r>
            <w:r>
              <w:rPr>
                <w:spacing w:val="3"/>
                <w:w w:val="105"/>
                <w:sz w:val="11"/>
              </w:rPr>
              <w:t> </w:t>
            </w:r>
            <w:r>
              <w:rPr>
                <w:spacing w:val="-2"/>
                <w:w w:val="105"/>
                <w:sz w:val="11"/>
              </w:rPr>
              <w:t>adjustment</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10"/>
                <w:w w:val="105"/>
                <w:sz w:val="12"/>
              </w:rPr>
              <w:t>—</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72"/>
              <w:jc w:val="right"/>
              <w:rPr>
                <w:sz w:val="12"/>
              </w:rPr>
            </w:pPr>
            <w:r>
              <w:rPr>
                <w:spacing w:val="-2"/>
                <w:w w:val="105"/>
                <w:sz w:val="12"/>
              </w:rPr>
              <w:t>(13,871)</w:t>
            </w:r>
          </w:p>
        </w:tc>
        <w:tc>
          <w:tcPr>
            <w:tcW w:w="1162" w:type="dxa"/>
            <w:shd w:val="clear" w:color="auto" w:fill="CCEDFF"/>
          </w:tcPr>
          <w:p>
            <w:pPr>
              <w:pStyle w:val="TableParagraph"/>
              <w:spacing w:before="23"/>
              <w:ind w:right="72"/>
              <w:jc w:val="right"/>
              <w:rPr>
                <w:sz w:val="12"/>
              </w:rPr>
            </w:pPr>
            <w:r>
              <w:rPr>
                <w:spacing w:val="-2"/>
                <w:w w:val="105"/>
                <w:sz w:val="12"/>
              </w:rPr>
              <w:t>(13,871)</w:t>
            </w:r>
          </w:p>
        </w:tc>
        <w:tc>
          <w:tcPr>
            <w:tcW w:w="1103" w:type="dxa"/>
            <w:shd w:val="clear" w:color="auto" w:fill="CCEDFF"/>
          </w:tcPr>
          <w:p>
            <w:pPr>
              <w:pStyle w:val="TableParagraph"/>
              <w:spacing w:before="23"/>
              <w:ind w:right="73"/>
              <w:jc w:val="right"/>
              <w:rPr>
                <w:sz w:val="12"/>
              </w:rPr>
            </w:pPr>
            <w:r>
              <w:rPr>
                <w:spacing w:val="-2"/>
                <w:w w:val="105"/>
                <w:sz w:val="12"/>
              </w:rPr>
              <w:t>(10,784)</w:t>
            </w:r>
          </w:p>
        </w:tc>
        <w:tc>
          <w:tcPr>
            <w:tcW w:w="1006" w:type="dxa"/>
            <w:shd w:val="clear" w:color="auto" w:fill="CCEDFF"/>
          </w:tcPr>
          <w:p>
            <w:pPr>
              <w:pStyle w:val="TableParagraph"/>
              <w:spacing w:before="23"/>
              <w:ind w:right="41"/>
              <w:jc w:val="right"/>
              <w:rPr>
                <w:sz w:val="12"/>
              </w:rPr>
            </w:pPr>
            <w:r>
              <w:rPr>
                <w:spacing w:val="-2"/>
                <w:w w:val="105"/>
                <w:sz w:val="12"/>
              </w:rPr>
              <w:t>(24,655)</w:t>
            </w:r>
          </w:p>
        </w:tc>
      </w:tr>
      <w:tr>
        <w:trPr>
          <w:trHeight w:val="202" w:hRule="atLeast"/>
        </w:trPr>
        <w:tc>
          <w:tcPr>
            <w:tcW w:w="3559" w:type="dxa"/>
          </w:tcPr>
          <w:p>
            <w:pPr>
              <w:pStyle w:val="TableParagraph"/>
              <w:spacing w:before="32"/>
              <w:ind w:left="225"/>
              <w:rPr>
                <w:sz w:val="11"/>
              </w:rPr>
            </w:pPr>
            <w:r>
              <w:rPr>
                <w:w w:val="105"/>
                <w:sz w:val="11"/>
              </w:rPr>
              <w:t>Cash</w:t>
            </w:r>
            <w:r>
              <w:rPr>
                <w:spacing w:val="1"/>
                <w:w w:val="105"/>
                <w:sz w:val="11"/>
              </w:rPr>
              <w:t> </w:t>
            </w:r>
            <w:r>
              <w:rPr>
                <w:w w:val="105"/>
                <w:sz w:val="11"/>
              </w:rPr>
              <w:t>flow</w:t>
            </w:r>
            <w:r>
              <w:rPr>
                <w:spacing w:val="2"/>
                <w:w w:val="105"/>
                <w:sz w:val="11"/>
              </w:rPr>
              <w:t> </w:t>
            </w:r>
            <w:r>
              <w:rPr>
                <w:spacing w:val="-2"/>
                <w:w w:val="105"/>
                <w:sz w:val="11"/>
              </w:rPr>
              <w:t>hedges</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10"/>
                <w:w w:val="105"/>
                <w:sz w:val="12"/>
              </w:rPr>
              <w:t>—</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104"/>
              <w:jc w:val="right"/>
              <w:rPr>
                <w:sz w:val="12"/>
              </w:rPr>
            </w:pPr>
            <w:r>
              <w:rPr>
                <w:spacing w:val="-2"/>
                <w:w w:val="105"/>
                <w:sz w:val="12"/>
              </w:rPr>
              <w:t>13,723</w:t>
            </w:r>
          </w:p>
        </w:tc>
        <w:tc>
          <w:tcPr>
            <w:tcW w:w="1162" w:type="dxa"/>
          </w:tcPr>
          <w:p>
            <w:pPr>
              <w:pStyle w:val="TableParagraph"/>
              <w:spacing w:before="23"/>
              <w:ind w:right="103"/>
              <w:jc w:val="right"/>
              <w:rPr>
                <w:sz w:val="12"/>
              </w:rPr>
            </w:pPr>
            <w:r>
              <w:rPr>
                <w:spacing w:val="-2"/>
                <w:w w:val="105"/>
                <w:sz w:val="12"/>
              </w:rPr>
              <w:t>13,723</w:t>
            </w:r>
          </w:p>
        </w:tc>
        <w:tc>
          <w:tcPr>
            <w:tcW w:w="1103" w:type="dxa"/>
          </w:tcPr>
          <w:p>
            <w:pPr>
              <w:pStyle w:val="TableParagraph"/>
              <w:spacing w:before="23"/>
              <w:ind w:right="104"/>
              <w:jc w:val="right"/>
              <w:rPr>
                <w:sz w:val="12"/>
              </w:rPr>
            </w:pPr>
            <w:r>
              <w:rPr>
                <w:spacing w:val="-2"/>
                <w:w w:val="105"/>
                <w:sz w:val="12"/>
              </w:rPr>
              <w:t>21,065</w:t>
            </w:r>
          </w:p>
        </w:tc>
        <w:tc>
          <w:tcPr>
            <w:tcW w:w="1006" w:type="dxa"/>
          </w:tcPr>
          <w:p>
            <w:pPr>
              <w:pStyle w:val="TableParagraph"/>
              <w:spacing w:before="23"/>
              <w:ind w:right="72"/>
              <w:jc w:val="right"/>
              <w:rPr>
                <w:sz w:val="12"/>
              </w:rPr>
            </w:pPr>
            <w:r>
              <w:rPr>
                <w:spacing w:val="-2"/>
                <w:w w:val="105"/>
                <w:sz w:val="12"/>
              </w:rPr>
              <w:t>34,788</w:t>
            </w:r>
          </w:p>
        </w:tc>
      </w:tr>
      <w:tr>
        <w:trPr>
          <w:trHeight w:val="188" w:hRule="atLeast"/>
        </w:trPr>
        <w:tc>
          <w:tcPr>
            <w:tcW w:w="3559" w:type="dxa"/>
            <w:shd w:val="clear" w:color="auto" w:fill="CCEDFF"/>
          </w:tcPr>
          <w:p>
            <w:pPr>
              <w:pStyle w:val="TableParagraph"/>
              <w:spacing w:before="32"/>
              <w:ind w:left="225"/>
              <w:rPr>
                <w:sz w:val="11"/>
              </w:rPr>
            </w:pPr>
            <w:r>
              <w:rPr>
                <w:w w:val="105"/>
                <w:sz w:val="11"/>
              </w:rPr>
              <w:t>Stock-based</w:t>
            </w:r>
            <w:r>
              <w:rPr>
                <w:spacing w:val="5"/>
                <w:w w:val="105"/>
                <w:sz w:val="11"/>
              </w:rPr>
              <w:t> </w:t>
            </w:r>
            <w:r>
              <w:rPr>
                <w:spacing w:val="-2"/>
                <w:w w:val="105"/>
                <w:sz w:val="11"/>
              </w:rPr>
              <w:t>compensation</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2"/>
                <w:w w:val="105"/>
                <w:sz w:val="12"/>
              </w:rPr>
              <w:t>59,492</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10"/>
                <w:w w:val="105"/>
                <w:sz w:val="12"/>
              </w:rPr>
              <w:t>—</w:t>
            </w:r>
          </w:p>
        </w:tc>
        <w:tc>
          <w:tcPr>
            <w:tcW w:w="1162" w:type="dxa"/>
            <w:shd w:val="clear" w:color="auto" w:fill="CCEDFF"/>
          </w:tcPr>
          <w:p>
            <w:pPr>
              <w:pStyle w:val="TableParagraph"/>
              <w:spacing w:before="23"/>
              <w:ind w:right="103"/>
              <w:jc w:val="right"/>
              <w:rPr>
                <w:sz w:val="12"/>
              </w:rPr>
            </w:pPr>
            <w:r>
              <w:rPr>
                <w:spacing w:val="-2"/>
                <w:w w:val="105"/>
                <w:sz w:val="12"/>
              </w:rPr>
              <w:t>59,492</w:t>
            </w:r>
          </w:p>
        </w:tc>
        <w:tc>
          <w:tcPr>
            <w:tcW w:w="1103" w:type="dxa"/>
            <w:shd w:val="clear" w:color="auto" w:fill="CCEDFF"/>
          </w:tcPr>
          <w:p>
            <w:pPr>
              <w:pStyle w:val="TableParagraph"/>
              <w:spacing w:before="23"/>
              <w:ind w:right="104"/>
              <w:jc w:val="right"/>
              <w:rPr>
                <w:sz w:val="12"/>
              </w:rPr>
            </w:pPr>
            <w:r>
              <w:rPr>
                <w:spacing w:val="-2"/>
                <w:w w:val="105"/>
                <w:sz w:val="12"/>
              </w:rPr>
              <w:t>5,691</w:t>
            </w:r>
          </w:p>
        </w:tc>
        <w:tc>
          <w:tcPr>
            <w:tcW w:w="1006" w:type="dxa"/>
            <w:shd w:val="clear" w:color="auto" w:fill="CCEDFF"/>
          </w:tcPr>
          <w:p>
            <w:pPr>
              <w:pStyle w:val="TableParagraph"/>
              <w:spacing w:before="23"/>
              <w:ind w:right="72"/>
              <w:jc w:val="right"/>
              <w:rPr>
                <w:sz w:val="12"/>
              </w:rPr>
            </w:pPr>
            <w:r>
              <w:rPr>
                <w:spacing w:val="-2"/>
                <w:w w:val="105"/>
                <w:sz w:val="12"/>
              </w:rPr>
              <w:t>65,183</w:t>
            </w:r>
          </w:p>
        </w:tc>
      </w:tr>
      <w:tr>
        <w:trPr>
          <w:trHeight w:val="323" w:hRule="atLeast"/>
        </w:trPr>
        <w:tc>
          <w:tcPr>
            <w:tcW w:w="3559" w:type="dxa"/>
          </w:tcPr>
          <w:p>
            <w:pPr>
              <w:pStyle w:val="TableParagraph"/>
              <w:spacing w:line="256" w:lineRule="auto" w:before="18"/>
              <w:ind w:left="225" w:right="143"/>
              <w:rPr>
                <w:sz w:val="11"/>
              </w:rPr>
            </w:pPr>
            <w:r>
              <w:rPr>
                <w:w w:val="105"/>
                <w:sz w:val="11"/>
              </w:rPr>
              <w:t>Issuance</w:t>
            </w:r>
            <w:r>
              <w:rPr>
                <w:spacing w:val="-1"/>
                <w:w w:val="105"/>
                <w:sz w:val="11"/>
              </w:rPr>
              <w:t> </w:t>
            </w:r>
            <w:r>
              <w:rPr>
                <w:w w:val="105"/>
                <w:sz w:val="11"/>
              </w:rPr>
              <w:t>of</w:t>
            </w:r>
            <w:r>
              <w:rPr>
                <w:spacing w:val="-1"/>
                <w:w w:val="105"/>
                <w:sz w:val="11"/>
              </w:rPr>
              <w:t> </w:t>
            </w:r>
            <w:r>
              <w:rPr>
                <w:w w:val="105"/>
                <w:sz w:val="11"/>
              </w:rPr>
              <w:t>common</w:t>
            </w:r>
            <w:r>
              <w:rPr>
                <w:spacing w:val="-1"/>
                <w:w w:val="105"/>
                <w:sz w:val="11"/>
              </w:rPr>
              <w:t> </w:t>
            </w:r>
            <w:r>
              <w:rPr>
                <w:w w:val="105"/>
                <w:sz w:val="11"/>
              </w:rPr>
              <w:t>stock</w:t>
            </w:r>
            <w:r>
              <w:rPr>
                <w:spacing w:val="-1"/>
                <w:w w:val="105"/>
                <w:sz w:val="11"/>
              </w:rPr>
              <w:t> </w:t>
            </w:r>
            <w:r>
              <w:rPr>
                <w:w w:val="105"/>
                <w:sz w:val="11"/>
              </w:rPr>
              <w:t>pursuant</w:t>
            </w:r>
            <w:r>
              <w:rPr>
                <w:spacing w:val="-1"/>
                <w:w w:val="105"/>
                <w:sz w:val="11"/>
              </w:rPr>
              <w:t> </w:t>
            </w:r>
            <w:r>
              <w:rPr>
                <w:w w:val="105"/>
                <w:sz w:val="11"/>
              </w:rPr>
              <w:t>to</w:t>
            </w:r>
            <w:r>
              <w:rPr>
                <w:spacing w:val="-1"/>
                <w:w w:val="105"/>
                <w:sz w:val="11"/>
              </w:rPr>
              <w:t> </w:t>
            </w:r>
            <w:r>
              <w:rPr>
                <w:w w:val="105"/>
                <w:sz w:val="11"/>
              </w:rPr>
              <w:t>stock-based</w:t>
            </w:r>
            <w:r>
              <w:rPr>
                <w:spacing w:val="-1"/>
                <w:w w:val="105"/>
                <w:sz w:val="11"/>
              </w:rPr>
              <w:t> </w:t>
            </w:r>
            <w:r>
              <w:rPr>
                <w:w w:val="105"/>
                <w:sz w:val="11"/>
              </w:rPr>
              <w:t>compensation</w:t>
            </w:r>
            <w:r>
              <w:rPr>
                <w:spacing w:val="40"/>
                <w:w w:val="105"/>
                <w:sz w:val="11"/>
              </w:rPr>
              <w:t> </w:t>
            </w:r>
            <w:r>
              <w:rPr>
                <w:spacing w:val="-2"/>
                <w:w w:val="105"/>
                <w:sz w:val="11"/>
              </w:rPr>
              <w:t>awards</w:t>
            </w:r>
          </w:p>
        </w:tc>
        <w:tc>
          <w:tcPr>
            <w:tcW w:w="759" w:type="dxa"/>
          </w:tcPr>
          <w:p>
            <w:pPr>
              <w:pStyle w:val="TableParagraph"/>
              <w:spacing w:before="19"/>
              <w:rPr>
                <w:b/>
                <w:sz w:val="12"/>
              </w:rPr>
            </w:pPr>
          </w:p>
          <w:p>
            <w:pPr>
              <w:pStyle w:val="TableParagraph"/>
              <w:spacing w:before="1"/>
              <w:ind w:right="101"/>
              <w:jc w:val="right"/>
              <w:rPr>
                <w:sz w:val="12"/>
              </w:rPr>
            </w:pPr>
            <w:r>
              <w:rPr>
                <w:spacing w:val="-2"/>
                <w:w w:val="105"/>
                <w:sz w:val="12"/>
              </w:rPr>
              <w:t>2,574</w:t>
            </w:r>
          </w:p>
        </w:tc>
        <w:tc>
          <w:tcPr>
            <w:tcW w:w="825" w:type="dxa"/>
          </w:tcPr>
          <w:p>
            <w:pPr>
              <w:pStyle w:val="TableParagraph"/>
              <w:spacing w:before="19"/>
              <w:rPr>
                <w:b/>
                <w:sz w:val="12"/>
              </w:rPr>
            </w:pPr>
          </w:p>
          <w:p>
            <w:pPr>
              <w:pStyle w:val="TableParagraph"/>
              <w:spacing w:before="1"/>
              <w:ind w:right="101"/>
              <w:jc w:val="right"/>
              <w:rPr>
                <w:sz w:val="12"/>
              </w:rPr>
            </w:pPr>
            <w:r>
              <w:rPr>
                <w:spacing w:val="-5"/>
                <w:w w:val="105"/>
                <w:sz w:val="12"/>
              </w:rPr>
              <w:t>25</w:t>
            </w:r>
          </w:p>
        </w:tc>
        <w:tc>
          <w:tcPr>
            <w:tcW w:w="1032" w:type="dxa"/>
          </w:tcPr>
          <w:p>
            <w:pPr>
              <w:pStyle w:val="TableParagraph"/>
              <w:spacing w:before="19"/>
              <w:rPr>
                <w:b/>
                <w:sz w:val="12"/>
              </w:rPr>
            </w:pPr>
          </w:p>
          <w:p>
            <w:pPr>
              <w:pStyle w:val="TableParagraph"/>
              <w:spacing w:before="1"/>
              <w:ind w:right="71"/>
              <w:jc w:val="right"/>
              <w:rPr>
                <w:sz w:val="12"/>
              </w:rPr>
            </w:pPr>
            <w:r>
              <w:rPr>
                <w:spacing w:val="-2"/>
                <w:w w:val="105"/>
                <w:sz w:val="12"/>
              </w:rPr>
              <w:t>(44,543)</w:t>
            </w:r>
          </w:p>
        </w:tc>
        <w:tc>
          <w:tcPr>
            <w:tcW w:w="937" w:type="dxa"/>
          </w:tcPr>
          <w:p>
            <w:pPr>
              <w:pStyle w:val="TableParagraph"/>
              <w:spacing w:before="19"/>
              <w:rPr>
                <w:b/>
                <w:sz w:val="12"/>
              </w:rPr>
            </w:pPr>
          </w:p>
          <w:p>
            <w:pPr>
              <w:pStyle w:val="TableParagraph"/>
              <w:spacing w:before="1"/>
              <w:ind w:right="103"/>
              <w:jc w:val="right"/>
              <w:rPr>
                <w:sz w:val="12"/>
              </w:rPr>
            </w:pPr>
            <w:r>
              <w:rPr>
                <w:spacing w:val="-10"/>
                <w:w w:val="105"/>
                <w:sz w:val="12"/>
              </w:rPr>
              <w:t>—</w:t>
            </w:r>
          </w:p>
        </w:tc>
        <w:tc>
          <w:tcPr>
            <w:tcW w:w="1137" w:type="dxa"/>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162" w:type="dxa"/>
          </w:tcPr>
          <w:p>
            <w:pPr>
              <w:pStyle w:val="TableParagraph"/>
              <w:spacing w:before="19"/>
              <w:rPr>
                <w:b/>
                <w:sz w:val="12"/>
              </w:rPr>
            </w:pPr>
          </w:p>
          <w:p>
            <w:pPr>
              <w:pStyle w:val="TableParagraph"/>
              <w:spacing w:before="1"/>
              <w:ind w:right="72"/>
              <w:jc w:val="right"/>
              <w:rPr>
                <w:sz w:val="12"/>
              </w:rPr>
            </w:pPr>
            <w:r>
              <w:rPr>
                <w:spacing w:val="-2"/>
                <w:w w:val="105"/>
                <w:sz w:val="12"/>
              </w:rPr>
              <w:t>(44,518)</w:t>
            </w:r>
          </w:p>
        </w:tc>
        <w:tc>
          <w:tcPr>
            <w:tcW w:w="1103" w:type="dxa"/>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006" w:type="dxa"/>
          </w:tcPr>
          <w:p>
            <w:pPr>
              <w:pStyle w:val="TableParagraph"/>
              <w:spacing w:before="19"/>
              <w:rPr>
                <w:b/>
                <w:sz w:val="12"/>
              </w:rPr>
            </w:pPr>
          </w:p>
          <w:p>
            <w:pPr>
              <w:pStyle w:val="TableParagraph"/>
              <w:spacing w:before="1"/>
              <w:ind w:right="41"/>
              <w:jc w:val="right"/>
              <w:rPr>
                <w:sz w:val="12"/>
              </w:rPr>
            </w:pPr>
            <w:r>
              <w:rPr>
                <w:spacing w:val="-2"/>
                <w:w w:val="105"/>
                <w:sz w:val="12"/>
              </w:rPr>
              <w:t>(44,518)</w:t>
            </w:r>
          </w:p>
        </w:tc>
      </w:tr>
      <w:tr>
        <w:trPr>
          <w:trHeight w:val="202" w:hRule="atLeast"/>
        </w:trPr>
        <w:tc>
          <w:tcPr>
            <w:tcW w:w="3559" w:type="dxa"/>
            <w:shd w:val="clear" w:color="auto" w:fill="CCEDFF"/>
          </w:tcPr>
          <w:p>
            <w:pPr>
              <w:pStyle w:val="TableParagraph"/>
              <w:spacing w:before="32"/>
              <w:ind w:left="225"/>
              <w:rPr>
                <w:sz w:val="11"/>
              </w:rPr>
            </w:pPr>
            <w:r>
              <w:rPr>
                <w:w w:val="105"/>
                <w:sz w:val="11"/>
              </w:rPr>
              <w:t>Cash</w:t>
            </w:r>
            <w:r>
              <w:rPr>
                <w:spacing w:val="3"/>
                <w:w w:val="105"/>
                <w:sz w:val="11"/>
              </w:rPr>
              <w:t> </w:t>
            </w:r>
            <w:r>
              <w:rPr>
                <w:w w:val="105"/>
                <w:sz w:val="11"/>
              </w:rPr>
              <w:t>distributions</w:t>
            </w:r>
            <w:r>
              <w:rPr>
                <w:spacing w:val="3"/>
                <w:w w:val="105"/>
                <w:sz w:val="11"/>
              </w:rPr>
              <w:t> </w:t>
            </w:r>
            <w:r>
              <w:rPr>
                <w:w w:val="105"/>
                <w:sz w:val="11"/>
              </w:rPr>
              <w:t>to</w:t>
            </w:r>
            <w:r>
              <w:rPr>
                <w:spacing w:val="3"/>
                <w:w w:val="105"/>
                <w:sz w:val="11"/>
              </w:rPr>
              <w:t> </w:t>
            </w:r>
            <w:r>
              <w:rPr>
                <w:w w:val="105"/>
                <w:sz w:val="11"/>
              </w:rPr>
              <w:t>noncontrolling</w:t>
            </w:r>
            <w:r>
              <w:rPr>
                <w:spacing w:val="4"/>
                <w:w w:val="105"/>
                <w:sz w:val="11"/>
              </w:rPr>
              <w:t> </w:t>
            </w:r>
            <w:r>
              <w:rPr>
                <w:w w:val="105"/>
                <w:sz w:val="11"/>
              </w:rPr>
              <w:t>interest</w:t>
            </w:r>
            <w:r>
              <w:rPr>
                <w:spacing w:val="3"/>
                <w:w w:val="105"/>
                <w:sz w:val="11"/>
              </w:rPr>
              <w:t> </w:t>
            </w:r>
            <w:r>
              <w:rPr>
                <w:spacing w:val="-2"/>
                <w:w w:val="105"/>
                <w:sz w:val="11"/>
              </w:rPr>
              <w:t>owners</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10"/>
                <w:w w:val="105"/>
                <w:sz w:val="12"/>
              </w:rPr>
              <w:t>—</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10"/>
                <w:w w:val="105"/>
                <w:sz w:val="12"/>
              </w:rPr>
              <w:t>—</w:t>
            </w:r>
          </w:p>
        </w:tc>
        <w:tc>
          <w:tcPr>
            <w:tcW w:w="1162" w:type="dxa"/>
            <w:shd w:val="clear" w:color="auto" w:fill="CCEDFF"/>
          </w:tcPr>
          <w:p>
            <w:pPr>
              <w:pStyle w:val="TableParagraph"/>
              <w:spacing w:before="23"/>
              <w:ind w:right="103"/>
              <w:jc w:val="right"/>
              <w:rPr>
                <w:sz w:val="12"/>
              </w:rPr>
            </w:pPr>
            <w:r>
              <w:rPr>
                <w:spacing w:val="-10"/>
                <w:w w:val="105"/>
                <w:sz w:val="12"/>
              </w:rPr>
              <w:t>—</w:t>
            </w:r>
          </w:p>
        </w:tc>
        <w:tc>
          <w:tcPr>
            <w:tcW w:w="1103" w:type="dxa"/>
            <w:shd w:val="clear" w:color="auto" w:fill="CCEDFF"/>
          </w:tcPr>
          <w:p>
            <w:pPr>
              <w:pStyle w:val="TableParagraph"/>
              <w:spacing w:before="23"/>
              <w:ind w:right="73"/>
              <w:jc w:val="right"/>
              <w:rPr>
                <w:sz w:val="12"/>
              </w:rPr>
            </w:pPr>
            <w:r>
              <w:rPr>
                <w:spacing w:val="-2"/>
                <w:w w:val="105"/>
                <w:sz w:val="12"/>
              </w:rPr>
              <w:t>(250,910)</w:t>
            </w:r>
          </w:p>
        </w:tc>
        <w:tc>
          <w:tcPr>
            <w:tcW w:w="1006" w:type="dxa"/>
            <w:shd w:val="clear" w:color="auto" w:fill="CCEDFF"/>
          </w:tcPr>
          <w:p>
            <w:pPr>
              <w:pStyle w:val="TableParagraph"/>
              <w:spacing w:before="23"/>
              <w:ind w:right="41"/>
              <w:jc w:val="right"/>
              <w:rPr>
                <w:sz w:val="12"/>
              </w:rPr>
            </w:pPr>
            <w:r>
              <w:rPr>
                <w:spacing w:val="-2"/>
                <w:w w:val="105"/>
                <w:sz w:val="12"/>
              </w:rPr>
              <w:t>(250,910)</w:t>
            </w:r>
          </w:p>
        </w:tc>
      </w:tr>
      <w:tr>
        <w:trPr>
          <w:trHeight w:val="337" w:hRule="atLeast"/>
        </w:trPr>
        <w:tc>
          <w:tcPr>
            <w:tcW w:w="3559" w:type="dxa"/>
          </w:tcPr>
          <w:p>
            <w:pPr>
              <w:pStyle w:val="TableParagraph"/>
              <w:spacing w:line="256" w:lineRule="auto" w:before="32"/>
              <w:ind w:left="225" w:right="143"/>
              <w:rPr>
                <w:sz w:val="11"/>
              </w:rPr>
            </w:pPr>
            <w:r>
              <w:rPr>
                <w:w w:val="105"/>
                <w:sz w:val="11"/>
              </w:rPr>
              <w:t>Dividends</w:t>
            </w:r>
            <w:r>
              <w:rPr>
                <w:spacing w:val="-1"/>
                <w:w w:val="105"/>
                <w:sz w:val="11"/>
              </w:rPr>
              <w:t> </w:t>
            </w:r>
            <w:r>
              <w:rPr>
                <w:w w:val="105"/>
                <w:sz w:val="11"/>
              </w:rPr>
              <w:t>declared</w:t>
            </w:r>
            <w:r>
              <w:rPr>
                <w:spacing w:val="-1"/>
                <w:w w:val="105"/>
                <w:sz w:val="11"/>
              </w:rPr>
              <w:t> </w:t>
            </w:r>
            <w:r>
              <w:rPr>
                <w:w w:val="105"/>
                <w:sz w:val="11"/>
              </w:rPr>
              <w:t>and</w:t>
            </w:r>
            <w:r>
              <w:rPr>
                <w:spacing w:val="-1"/>
                <w:w w:val="105"/>
                <w:sz w:val="11"/>
              </w:rPr>
              <w:t> </w:t>
            </w:r>
            <w:r>
              <w:rPr>
                <w:w w:val="105"/>
                <w:sz w:val="11"/>
              </w:rPr>
              <w:t>paid</w:t>
            </w:r>
            <w:r>
              <w:rPr>
                <w:spacing w:val="-1"/>
                <w:w w:val="105"/>
                <w:sz w:val="11"/>
              </w:rPr>
              <w:t> </w:t>
            </w:r>
            <w:r>
              <w:rPr>
                <w:w w:val="105"/>
                <w:sz w:val="11"/>
              </w:rPr>
              <w:t>to</w:t>
            </w:r>
            <w:r>
              <w:rPr>
                <w:spacing w:val="-1"/>
                <w:w w:val="105"/>
                <w:sz w:val="11"/>
              </w:rPr>
              <w:t> </w:t>
            </w:r>
            <w:r>
              <w:rPr>
                <w:w w:val="105"/>
                <w:sz w:val="11"/>
              </w:rPr>
              <w:t>common</w:t>
            </w:r>
            <w:r>
              <w:rPr>
                <w:spacing w:val="-1"/>
                <w:w w:val="105"/>
                <w:sz w:val="11"/>
              </w:rPr>
              <w:t> </w:t>
            </w:r>
            <w:r>
              <w:rPr>
                <w:w w:val="105"/>
                <w:sz w:val="11"/>
              </w:rPr>
              <w:t>shareholders</w:t>
            </w:r>
            <w:r>
              <w:rPr>
                <w:spacing w:val="-1"/>
                <w:w w:val="105"/>
                <w:sz w:val="11"/>
              </w:rPr>
              <w:t> </w:t>
            </w:r>
            <w:r>
              <w:rPr>
                <w:w w:val="105"/>
                <w:sz w:val="11"/>
              </w:rPr>
              <w:t>($0.01</w:t>
            </w:r>
            <w:r>
              <w:rPr>
                <w:spacing w:val="-1"/>
                <w:w w:val="105"/>
                <w:sz w:val="11"/>
              </w:rPr>
              <w:t> </w:t>
            </w:r>
            <w:r>
              <w:rPr>
                <w:w w:val="105"/>
                <w:sz w:val="11"/>
              </w:rPr>
              <w:t>per</w:t>
            </w:r>
            <w:r>
              <w:rPr>
                <w:spacing w:val="40"/>
                <w:w w:val="105"/>
                <w:sz w:val="11"/>
              </w:rPr>
              <w:t> </w:t>
            </w:r>
            <w:r>
              <w:rPr>
                <w:spacing w:val="-2"/>
                <w:w w:val="105"/>
                <w:sz w:val="11"/>
              </w:rPr>
              <w:t>share)</w:t>
            </w:r>
          </w:p>
        </w:tc>
        <w:tc>
          <w:tcPr>
            <w:tcW w:w="759" w:type="dxa"/>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825" w:type="dxa"/>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1032" w:type="dxa"/>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937" w:type="dxa"/>
          </w:tcPr>
          <w:p>
            <w:pPr>
              <w:pStyle w:val="TableParagraph"/>
              <w:spacing w:before="19"/>
              <w:rPr>
                <w:b/>
                <w:sz w:val="12"/>
              </w:rPr>
            </w:pPr>
          </w:p>
          <w:p>
            <w:pPr>
              <w:pStyle w:val="TableParagraph"/>
              <w:spacing w:before="1"/>
              <w:ind w:right="70"/>
              <w:jc w:val="right"/>
              <w:rPr>
                <w:sz w:val="12"/>
              </w:rPr>
            </w:pPr>
            <w:r>
              <w:rPr>
                <w:spacing w:val="-2"/>
                <w:w w:val="105"/>
                <w:sz w:val="12"/>
              </w:rPr>
              <w:t>(4,789)</w:t>
            </w:r>
          </w:p>
        </w:tc>
        <w:tc>
          <w:tcPr>
            <w:tcW w:w="1137" w:type="dxa"/>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162" w:type="dxa"/>
          </w:tcPr>
          <w:p>
            <w:pPr>
              <w:pStyle w:val="TableParagraph"/>
              <w:spacing w:before="19"/>
              <w:rPr>
                <w:b/>
                <w:sz w:val="12"/>
              </w:rPr>
            </w:pPr>
          </w:p>
          <w:p>
            <w:pPr>
              <w:pStyle w:val="TableParagraph"/>
              <w:spacing w:before="1"/>
              <w:ind w:right="72"/>
              <w:jc w:val="right"/>
              <w:rPr>
                <w:sz w:val="12"/>
              </w:rPr>
            </w:pPr>
            <w:r>
              <w:rPr>
                <w:spacing w:val="-2"/>
                <w:w w:val="105"/>
                <w:sz w:val="12"/>
              </w:rPr>
              <w:t>(4,789)</w:t>
            </w:r>
          </w:p>
        </w:tc>
        <w:tc>
          <w:tcPr>
            <w:tcW w:w="1103" w:type="dxa"/>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006" w:type="dxa"/>
          </w:tcPr>
          <w:p>
            <w:pPr>
              <w:pStyle w:val="TableParagraph"/>
              <w:spacing w:before="19"/>
              <w:rPr>
                <w:b/>
                <w:sz w:val="12"/>
              </w:rPr>
            </w:pPr>
          </w:p>
          <w:p>
            <w:pPr>
              <w:pStyle w:val="TableParagraph"/>
              <w:spacing w:before="1"/>
              <w:ind w:right="41"/>
              <w:jc w:val="right"/>
              <w:rPr>
                <w:sz w:val="12"/>
              </w:rPr>
            </w:pPr>
            <w:r>
              <w:rPr>
                <w:spacing w:val="-2"/>
                <w:w w:val="105"/>
                <w:sz w:val="12"/>
              </w:rPr>
              <w:t>(4,789)</w:t>
            </w:r>
          </w:p>
        </w:tc>
      </w:tr>
      <w:tr>
        <w:trPr>
          <w:trHeight w:val="188" w:hRule="atLeast"/>
        </w:trPr>
        <w:tc>
          <w:tcPr>
            <w:tcW w:w="3559" w:type="dxa"/>
            <w:shd w:val="clear" w:color="auto" w:fill="CCEDFF"/>
          </w:tcPr>
          <w:p>
            <w:pPr>
              <w:pStyle w:val="TableParagraph"/>
              <w:spacing w:before="32"/>
              <w:ind w:left="225"/>
              <w:rPr>
                <w:sz w:val="11"/>
              </w:rPr>
            </w:pPr>
            <w:r>
              <w:rPr>
                <w:w w:val="105"/>
                <w:sz w:val="11"/>
              </w:rPr>
              <w:t>MGP</w:t>
            </w:r>
            <w:r>
              <w:rPr>
                <w:spacing w:val="-3"/>
                <w:w w:val="105"/>
                <w:sz w:val="11"/>
              </w:rPr>
              <w:t> </w:t>
            </w:r>
            <w:r>
              <w:rPr>
                <w:w w:val="105"/>
                <w:sz w:val="11"/>
              </w:rPr>
              <w:t>dividend</w:t>
            </w:r>
            <w:r>
              <w:rPr>
                <w:spacing w:val="2"/>
                <w:w w:val="105"/>
                <w:sz w:val="11"/>
              </w:rPr>
              <w:t> </w:t>
            </w:r>
            <w:r>
              <w:rPr>
                <w:w w:val="105"/>
                <w:sz w:val="11"/>
              </w:rPr>
              <w:t>payable</w:t>
            </w:r>
            <w:r>
              <w:rPr>
                <w:spacing w:val="3"/>
                <w:w w:val="105"/>
                <w:sz w:val="11"/>
              </w:rPr>
              <w:t> </w:t>
            </w:r>
            <w:r>
              <w:rPr>
                <w:w w:val="105"/>
                <w:sz w:val="11"/>
              </w:rPr>
              <w:t>to</w:t>
            </w:r>
            <w:r>
              <w:rPr>
                <w:spacing w:val="2"/>
                <w:w w:val="105"/>
                <w:sz w:val="11"/>
              </w:rPr>
              <w:t> </w:t>
            </w:r>
            <w:r>
              <w:rPr>
                <w:w w:val="105"/>
                <w:sz w:val="11"/>
              </w:rPr>
              <w:t>Class</w:t>
            </w:r>
            <w:r>
              <w:rPr>
                <w:spacing w:val="-5"/>
                <w:w w:val="105"/>
                <w:sz w:val="11"/>
              </w:rPr>
              <w:t> </w:t>
            </w:r>
            <w:r>
              <w:rPr>
                <w:w w:val="105"/>
                <w:sz w:val="11"/>
              </w:rPr>
              <w:t>A</w:t>
            </w:r>
            <w:r>
              <w:rPr>
                <w:spacing w:val="-4"/>
                <w:w w:val="105"/>
                <w:sz w:val="11"/>
              </w:rPr>
              <w:t> </w:t>
            </w:r>
            <w:r>
              <w:rPr>
                <w:spacing w:val="-2"/>
                <w:w w:val="105"/>
                <w:sz w:val="11"/>
              </w:rPr>
              <w:t>shareholders</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10"/>
                <w:w w:val="105"/>
                <w:sz w:val="12"/>
              </w:rPr>
              <w:t>—</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10"/>
                <w:w w:val="105"/>
                <w:sz w:val="12"/>
              </w:rPr>
              <w:t>—</w:t>
            </w:r>
          </w:p>
        </w:tc>
        <w:tc>
          <w:tcPr>
            <w:tcW w:w="1162" w:type="dxa"/>
            <w:shd w:val="clear" w:color="auto" w:fill="CCEDFF"/>
          </w:tcPr>
          <w:p>
            <w:pPr>
              <w:pStyle w:val="TableParagraph"/>
              <w:spacing w:before="23"/>
              <w:ind w:right="103"/>
              <w:jc w:val="right"/>
              <w:rPr>
                <w:sz w:val="12"/>
              </w:rPr>
            </w:pPr>
            <w:r>
              <w:rPr>
                <w:spacing w:val="-10"/>
                <w:w w:val="105"/>
                <w:sz w:val="12"/>
              </w:rPr>
              <w:t>—</w:t>
            </w:r>
          </w:p>
        </w:tc>
        <w:tc>
          <w:tcPr>
            <w:tcW w:w="1103" w:type="dxa"/>
            <w:shd w:val="clear" w:color="auto" w:fill="CCEDFF"/>
          </w:tcPr>
          <w:p>
            <w:pPr>
              <w:pStyle w:val="TableParagraph"/>
              <w:spacing w:before="23"/>
              <w:ind w:right="73"/>
              <w:jc w:val="right"/>
              <w:rPr>
                <w:sz w:val="12"/>
              </w:rPr>
            </w:pPr>
            <w:r>
              <w:rPr>
                <w:spacing w:val="-2"/>
                <w:w w:val="105"/>
                <w:sz w:val="12"/>
              </w:rPr>
              <w:t>(82,294)</w:t>
            </w:r>
          </w:p>
        </w:tc>
        <w:tc>
          <w:tcPr>
            <w:tcW w:w="1006" w:type="dxa"/>
            <w:shd w:val="clear" w:color="auto" w:fill="CCEDFF"/>
          </w:tcPr>
          <w:p>
            <w:pPr>
              <w:pStyle w:val="TableParagraph"/>
              <w:spacing w:before="23"/>
              <w:ind w:right="41"/>
              <w:jc w:val="right"/>
              <w:rPr>
                <w:sz w:val="12"/>
              </w:rPr>
            </w:pPr>
            <w:r>
              <w:rPr>
                <w:spacing w:val="-2"/>
                <w:w w:val="105"/>
                <w:sz w:val="12"/>
              </w:rPr>
              <w:t>(82,294)</w:t>
            </w:r>
          </w:p>
        </w:tc>
      </w:tr>
      <w:tr>
        <w:trPr>
          <w:trHeight w:val="202" w:hRule="atLeast"/>
        </w:trPr>
        <w:tc>
          <w:tcPr>
            <w:tcW w:w="3559" w:type="dxa"/>
          </w:tcPr>
          <w:p>
            <w:pPr>
              <w:pStyle w:val="TableParagraph"/>
              <w:spacing w:before="32"/>
              <w:ind w:left="225"/>
              <w:rPr>
                <w:sz w:val="11"/>
              </w:rPr>
            </w:pPr>
            <w:r>
              <w:rPr>
                <w:w w:val="105"/>
                <w:sz w:val="11"/>
              </w:rPr>
              <w:t>Repurchases</w:t>
            </w:r>
            <w:r>
              <w:rPr>
                <w:spacing w:val="3"/>
                <w:w w:val="105"/>
                <w:sz w:val="11"/>
              </w:rPr>
              <w:t> </w:t>
            </w:r>
            <w:r>
              <w:rPr>
                <w:w w:val="105"/>
                <w:sz w:val="11"/>
              </w:rPr>
              <w:t>of</w:t>
            </w:r>
            <w:r>
              <w:rPr>
                <w:spacing w:val="3"/>
                <w:w w:val="105"/>
                <w:sz w:val="11"/>
              </w:rPr>
              <w:t> </w:t>
            </w:r>
            <w:r>
              <w:rPr>
                <w:w w:val="105"/>
                <w:sz w:val="11"/>
              </w:rPr>
              <w:t>common</w:t>
            </w:r>
            <w:r>
              <w:rPr>
                <w:spacing w:val="3"/>
                <w:w w:val="105"/>
                <w:sz w:val="11"/>
              </w:rPr>
              <w:t> </w:t>
            </w:r>
            <w:r>
              <w:rPr>
                <w:spacing w:val="-2"/>
                <w:w w:val="105"/>
                <w:sz w:val="11"/>
              </w:rPr>
              <w:t>stock</w:t>
            </w:r>
          </w:p>
        </w:tc>
        <w:tc>
          <w:tcPr>
            <w:tcW w:w="759" w:type="dxa"/>
          </w:tcPr>
          <w:p>
            <w:pPr>
              <w:pStyle w:val="TableParagraph"/>
              <w:spacing w:before="23"/>
              <w:ind w:right="69"/>
              <w:jc w:val="right"/>
              <w:rPr>
                <w:sz w:val="12"/>
              </w:rPr>
            </w:pPr>
            <w:r>
              <w:rPr>
                <w:spacing w:val="-2"/>
                <w:w w:val="105"/>
                <w:sz w:val="12"/>
              </w:rPr>
              <w:t>(43,088)</w:t>
            </w:r>
          </w:p>
        </w:tc>
        <w:tc>
          <w:tcPr>
            <w:tcW w:w="825" w:type="dxa"/>
          </w:tcPr>
          <w:p>
            <w:pPr>
              <w:pStyle w:val="TableParagraph"/>
              <w:spacing w:before="23"/>
              <w:ind w:right="69"/>
              <w:jc w:val="right"/>
              <w:rPr>
                <w:sz w:val="12"/>
              </w:rPr>
            </w:pPr>
            <w:r>
              <w:rPr>
                <w:spacing w:val="-2"/>
                <w:w w:val="105"/>
                <w:sz w:val="12"/>
              </w:rPr>
              <w:t>(430)</w:t>
            </w:r>
          </w:p>
        </w:tc>
        <w:tc>
          <w:tcPr>
            <w:tcW w:w="1032" w:type="dxa"/>
          </w:tcPr>
          <w:p>
            <w:pPr>
              <w:pStyle w:val="TableParagraph"/>
              <w:spacing w:before="23"/>
              <w:ind w:right="70"/>
              <w:jc w:val="right"/>
              <w:rPr>
                <w:sz w:val="12"/>
              </w:rPr>
            </w:pPr>
            <w:r>
              <w:rPr>
                <w:spacing w:val="-2"/>
                <w:w w:val="105"/>
                <w:sz w:val="12"/>
              </w:rPr>
              <w:t>(1,753,079)</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104"/>
              <w:jc w:val="right"/>
              <w:rPr>
                <w:sz w:val="12"/>
              </w:rPr>
            </w:pPr>
            <w:r>
              <w:rPr>
                <w:spacing w:val="-10"/>
                <w:w w:val="105"/>
                <w:sz w:val="12"/>
              </w:rPr>
              <w:t>—</w:t>
            </w:r>
          </w:p>
        </w:tc>
        <w:tc>
          <w:tcPr>
            <w:tcW w:w="1162" w:type="dxa"/>
          </w:tcPr>
          <w:p>
            <w:pPr>
              <w:pStyle w:val="TableParagraph"/>
              <w:spacing w:before="23"/>
              <w:ind w:right="72"/>
              <w:jc w:val="right"/>
              <w:rPr>
                <w:sz w:val="12"/>
              </w:rPr>
            </w:pPr>
            <w:r>
              <w:rPr>
                <w:spacing w:val="-2"/>
                <w:w w:val="105"/>
                <w:sz w:val="12"/>
              </w:rPr>
              <w:t>(1,753,509)</w:t>
            </w:r>
          </w:p>
        </w:tc>
        <w:tc>
          <w:tcPr>
            <w:tcW w:w="1103" w:type="dxa"/>
          </w:tcPr>
          <w:p>
            <w:pPr>
              <w:pStyle w:val="TableParagraph"/>
              <w:spacing w:before="23"/>
              <w:ind w:right="104"/>
              <w:jc w:val="right"/>
              <w:rPr>
                <w:sz w:val="12"/>
              </w:rPr>
            </w:pPr>
            <w:r>
              <w:rPr>
                <w:spacing w:val="-10"/>
                <w:w w:val="105"/>
                <w:sz w:val="12"/>
              </w:rPr>
              <w:t>—</w:t>
            </w:r>
          </w:p>
        </w:tc>
        <w:tc>
          <w:tcPr>
            <w:tcW w:w="1006" w:type="dxa"/>
          </w:tcPr>
          <w:p>
            <w:pPr>
              <w:pStyle w:val="TableParagraph"/>
              <w:spacing w:before="23"/>
              <w:ind w:right="41"/>
              <w:jc w:val="right"/>
              <w:rPr>
                <w:sz w:val="12"/>
              </w:rPr>
            </w:pPr>
            <w:r>
              <w:rPr>
                <w:spacing w:val="-2"/>
                <w:w w:val="105"/>
                <w:sz w:val="12"/>
              </w:rPr>
              <w:t>(1,753,509)</w:t>
            </w:r>
          </w:p>
        </w:tc>
      </w:tr>
      <w:tr>
        <w:trPr>
          <w:trHeight w:val="323" w:hRule="atLeast"/>
        </w:trPr>
        <w:tc>
          <w:tcPr>
            <w:tcW w:w="3559" w:type="dxa"/>
            <w:shd w:val="clear" w:color="auto" w:fill="CCEDFF"/>
          </w:tcPr>
          <w:p>
            <w:pPr>
              <w:pStyle w:val="TableParagraph"/>
              <w:spacing w:line="256" w:lineRule="auto" w:before="18"/>
              <w:ind w:left="225" w:right="143"/>
              <w:rPr>
                <w:sz w:val="11"/>
              </w:rPr>
            </w:pPr>
            <w:r>
              <w:rPr>
                <w:w w:val="105"/>
                <w:sz w:val="11"/>
              </w:rPr>
              <w:t>Adjustment</w:t>
            </w:r>
            <w:r>
              <w:rPr>
                <w:spacing w:val="-1"/>
                <w:w w:val="105"/>
                <w:sz w:val="11"/>
              </w:rPr>
              <w:t> </w:t>
            </w:r>
            <w:r>
              <w:rPr>
                <w:w w:val="105"/>
                <w:sz w:val="11"/>
              </w:rPr>
              <w:t>of</w:t>
            </w:r>
            <w:r>
              <w:rPr>
                <w:spacing w:val="-1"/>
                <w:w w:val="105"/>
                <w:sz w:val="11"/>
              </w:rPr>
              <w:t> </w:t>
            </w:r>
            <w:r>
              <w:rPr>
                <w:w w:val="105"/>
                <w:sz w:val="11"/>
              </w:rPr>
              <w:t>redeemable</w:t>
            </w:r>
            <w:r>
              <w:rPr>
                <w:spacing w:val="-1"/>
                <w:w w:val="105"/>
                <w:sz w:val="11"/>
              </w:rPr>
              <w:t> </w:t>
            </w:r>
            <w:r>
              <w:rPr>
                <w:w w:val="105"/>
                <w:sz w:val="11"/>
              </w:rPr>
              <w:t>noncontrolling</w:t>
            </w:r>
            <w:r>
              <w:rPr>
                <w:spacing w:val="-1"/>
                <w:w w:val="105"/>
                <w:sz w:val="11"/>
              </w:rPr>
              <w:t> </w:t>
            </w:r>
            <w:r>
              <w:rPr>
                <w:w w:val="105"/>
                <w:sz w:val="11"/>
              </w:rPr>
              <w:t>interest</w:t>
            </w:r>
            <w:r>
              <w:rPr>
                <w:spacing w:val="-1"/>
                <w:w w:val="105"/>
                <w:sz w:val="11"/>
              </w:rPr>
              <w:t> </w:t>
            </w:r>
            <w:r>
              <w:rPr>
                <w:w w:val="105"/>
                <w:sz w:val="11"/>
              </w:rPr>
              <w:t>to</w:t>
            </w:r>
            <w:r>
              <w:rPr>
                <w:spacing w:val="-1"/>
                <w:w w:val="105"/>
                <w:sz w:val="11"/>
              </w:rPr>
              <w:t> </w:t>
            </w:r>
            <w:r>
              <w:rPr>
                <w:w w:val="105"/>
                <w:sz w:val="11"/>
              </w:rPr>
              <w:t>redemption</w:t>
            </w:r>
            <w:r>
              <w:rPr>
                <w:spacing w:val="40"/>
                <w:w w:val="105"/>
                <w:sz w:val="11"/>
              </w:rPr>
              <w:t> </w:t>
            </w:r>
            <w:r>
              <w:rPr>
                <w:spacing w:val="-2"/>
                <w:w w:val="105"/>
                <w:sz w:val="11"/>
              </w:rPr>
              <w:t>value</w:t>
            </w:r>
          </w:p>
        </w:tc>
        <w:tc>
          <w:tcPr>
            <w:tcW w:w="759" w:type="dxa"/>
            <w:shd w:val="clear" w:color="auto" w:fill="CCEDFF"/>
          </w:tcPr>
          <w:p>
            <w:pPr>
              <w:pStyle w:val="TableParagraph"/>
              <w:spacing w:before="6"/>
              <w:rPr>
                <w:b/>
                <w:sz w:val="12"/>
              </w:rPr>
            </w:pPr>
          </w:p>
          <w:p>
            <w:pPr>
              <w:pStyle w:val="TableParagraph"/>
              <w:spacing w:before="0"/>
              <w:ind w:right="101"/>
              <w:jc w:val="right"/>
              <w:rPr>
                <w:sz w:val="12"/>
              </w:rPr>
            </w:pPr>
            <w:r>
              <w:rPr>
                <w:spacing w:val="-10"/>
                <w:w w:val="105"/>
                <w:sz w:val="12"/>
              </w:rPr>
              <w:t>—</w:t>
            </w:r>
          </w:p>
        </w:tc>
        <w:tc>
          <w:tcPr>
            <w:tcW w:w="825" w:type="dxa"/>
            <w:shd w:val="clear" w:color="auto" w:fill="CCEDFF"/>
          </w:tcPr>
          <w:p>
            <w:pPr>
              <w:pStyle w:val="TableParagraph"/>
              <w:spacing w:before="6"/>
              <w:rPr>
                <w:b/>
                <w:sz w:val="12"/>
              </w:rPr>
            </w:pPr>
          </w:p>
          <w:p>
            <w:pPr>
              <w:pStyle w:val="TableParagraph"/>
              <w:spacing w:before="0"/>
              <w:ind w:right="101"/>
              <w:jc w:val="right"/>
              <w:rPr>
                <w:sz w:val="12"/>
              </w:rPr>
            </w:pPr>
            <w:r>
              <w:rPr>
                <w:spacing w:val="-10"/>
                <w:w w:val="105"/>
                <w:sz w:val="12"/>
              </w:rPr>
              <w:t>—</w:t>
            </w:r>
          </w:p>
        </w:tc>
        <w:tc>
          <w:tcPr>
            <w:tcW w:w="1032" w:type="dxa"/>
            <w:shd w:val="clear" w:color="auto" w:fill="CCEDFF"/>
          </w:tcPr>
          <w:p>
            <w:pPr>
              <w:pStyle w:val="TableParagraph"/>
              <w:spacing w:before="6"/>
              <w:rPr>
                <w:b/>
                <w:sz w:val="12"/>
              </w:rPr>
            </w:pPr>
          </w:p>
          <w:p>
            <w:pPr>
              <w:pStyle w:val="TableParagraph"/>
              <w:spacing w:before="0"/>
              <w:ind w:right="71"/>
              <w:jc w:val="right"/>
              <w:rPr>
                <w:sz w:val="12"/>
              </w:rPr>
            </w:pPr>
            <w:r>
              <w:rPr>
                <w:spacing w:val="-2"/>
                <w:w w:val="105"/>
                <w:sz w:val="12"/>
              </w:rPr>
              <w:t>(78,298)</w:t>
            </w:r>
          </w:p>
        </w:tc>
        <w:tc>
          <w:tcPr>
            <w:tcW w:w="937" w:type="dxa"/>
            <w:shd w:val="clear" w:color="auto" w:fill="CCEDFF"/>
          </w:tcPr>
          <w:p>
            <w:pPr>
              <w:pStyle w:val="TableParagraph"/>
              <w:spacing w:before="6"/>
              <w:rPr>
                <w:b/>
                <w:sz w:val="12"/>
              </w:rPr>
            </w:pPr>
          </w:p>
          <w:p>
            <w:pPr>
              <w:pStyle w:val="TableParagraph"/>
              <w:spacing w:before="0"/>
              <w:ind w:right="103"/>
              <w:jc w:val="right"/>
              <w:rPr>
                <w:sz w:val="12"/>
              </w:rPr>
            </w:pPr>
            <w:r>
              <w:rPr>
                <w:spacing w:val="-10"/>
                <w:w w:val="105"/>
                <w:sz w:val="12"/>
              </w:rPr>
              <w:t>—</w:t>
            </w:r>
          </w:p>
        </w:tc>
        <w:tc>
          <w:tcPr>
            <w:tcW w:w="1137" w:type="dxa"/>
            <w:shd w:val="clear" w:color="auto" w:fill="CCEDFF"/>
          </w:tcPr>
          <w:p>
            <w:pPr>
              <w:pStyle w:val="TableParagraph"/>
              <w:spacing w:before="6"/>
              <w:rPr>
                <w:b/>
                <w:sz w:val="12"/>
              </w:rPr>
            </w:pPr>
          </w:p>
          <w:p>
            <w:pPr>
              <w:pStyle w:val="TableParagraph"/>
              <w:spacing w:before="0"/>
              <w:ind w:right="104"/>
              <w:jc w:val="right"/>
              <w:rPr>
                <w:sz w:val="12"/>
              </w:rPr>
            </w:pPr>
            <w:r>
              <w:rPr>
                <w:spacing w:val="-10"/>
                <w:w w:val="105"/>
                <w:sz w:val="12"/>
              </w:rPr>
              <w:t>—</w:t>
            </w:r>
          </w:p>
        </w:tc>
        <w:tc>
          <w:tcPr>
            <w:tcW w:w="1162" w:type="dxa"/>
            <w:shd w:val="clear" w:color="auto" w:fill="CCEDFF"/>
          </w:tcPr>
          <w:p>
            <w:pPr>
              <w:pStyle w:val="TableParagraph"/>
              <w:spacing w:before="6"/>
              <w:rPr>
                <w:b/>
                <w:sz w:val="12"/>
              </w:rPr>
            </w:pPr>
          </w:p>
          <w:p>
            <w:pPr>
              <w:pStyle w:val="TableParagraph"/>
              <w:spacing w:before="0"/>
              <w:ind w:right="72"/>
              <w:jc w:val="right"/>
              <w:rPr>
                <w:sz w:val="12"/>
              </w:rPr>
            </w:pPr>
            <w:r>
              <w:rPr>
                <w:spacing w:val="-2"/>
                <w:w w:val="105"/>
                <w:sz w:val="12"/>
              </w:rPr>
              <w:t>(78,298)</w:t>
            </w:r>
          </w:p>
        </w:tc>
        <w:tc>
          <w:tcPr>
            <w:tcW w:w="1103" w:type="dxa"/>
            <w:shd w:val="clear" w:color="auto" w:fill="CCEDFF"/>
          </w:tcPr>
          <w:p>
            <w:pPr>
              <w:pStyle w:val="TableParagraph"/>
              <w:spacing w:before="6"/>
              <w:rPr>
                <w:b/>
                <w:sz w:val="12"/>
              </w:rPr>
            </w:pPr>
          </w:p>
          <w:p>
            <w:pPr>
              <w:pStyle w:val="TableParagraph"/>
              <w:spacing w:before="0"/>
              <w:ind w:right="104"/>
              <w:jc w:val="right"/>
              <w:rPr>
                <w:sz w:val="12"/>
              </w:rPr>
            </w:pPr>
            <w:r>
              <w:rPr>
                <w:spacing w:val="-10"/>
                <w:w w:val="105"/>
                <w:sz w:val="12"/>
              </w:rPr>
              <w:t>—</w:t>
            </w:r>
          </w:p>
        </w:tc>
        <w:tc>
          <w:tcPr>
            <w:tcW w:w="1006" w:type="dxa"/>
            <w:shd w:val="clear" w:color="auto" w:fill="CCEDFF"/>
          </w:tcPr>
          <w:p>
            <w:pPr>
              <w:pStyle w:val="TableParagraph"/>
              <w:spacing w:before="6"/>
              <w:rPr>
                <w:b/>
                <w:sz w:val="12"/>
              </w:rPr>
            </w:pPr>
          </w:p>
          <w:p>
            <w:pPr>
              <w:pStyle w:val="TableParagraph"/>
              <w:spacing w:before="0"/>
              <w:ind w:right="41"/>
              <w:jc w:val="right"/>
              <w:rPr>
                <w:sz w:val="12"/>
              </w:rPr>
            </w:pPr>
            <w:r>
              <w:rPr>
                <w:spacing w:val="-2"/>
                <w:w w:val="105"/>
                <w:sz w:val="12"/>
              </w:rPr>
              <w:t>(78,298)</w:t>
            </w:r>
          </w:p>
        </w:tc>
      </w:tr>
      <w:tr>
        <w:trPr>
          <w:trHeight w:val="202" w:hRule="atLeast"/>
        </w:trPr>
        <w:tc>
          <w:tcPr>
            <w:tcW w:w="3559" w:type="dxa"/>
          </w:tcPr>
          <w:p>
            <w:pPr>
              <w:pStyle w:val="TableParagraph"/>
              <w:spacing w:before="32"/>
              <w:ind w:left="225"/>
              <w:rPr>
                <w:sz w:val="11"/>
              </w:rPr>
            </w:pPr>
            <w:r>
              <w:rPr>
                <w:w w:val="105"/>
                <w:sz w:val="11"/>
              </w:rPr>
              <w:t>MGP</w:t>
            </w:r>
            <w:r>
              <w:rPr>
                <w:spacing w:val="-3"/>
                <w:w w:val="105"/>
                <w:sz w:val="11"/>
              </w:rPr>
              <w:t> </w:t>
            </w:r>
            <w:r>
              <w:rPr>
                <w:w w:val="105"/>
                <w:sz w:val="11"/>
              </w:rPr>
              <w:t>Class</w:t>
            </w:r>
            <w:r>
              <w:rPr>
                <w:spacing w:val="-4"/>
                <w:w w:val="105"/>
                <w:sz w:val="11"/>
              </w:rPr>
              <w:t> </w:t>
            </w:r>
            <w:r>
              <w:rPr>
                <w:w w:val="105"/>
                <w:sz w:val="11"/>
              </w:rPr>
              <w:t>A</w:t>
            </w:r>
            <w:r>
              <w:rPr>
                <w:spacing w:val="-5"/>
                <w:w w:val="105"/>
                <w:sz w:val="11"/>
              </w:rPr>
              <w:t> </w:t>
            </w:r>
            <w:r>
              <w:rPr>
                <w:w w:val="105"/>
                <w:sz w:val="11"/>
              </w:rPr>
              <w:t>share</w:t>
            </w:r>
            <w:r>
              <w:rPr>
                <w:spacing w:val="2"/>
                <w:w w:val="105"/>
                <w:sz w:val="11"/>
              </w:rPr>
              <w:t> </w:t>
            </w:r>
            <w:r>
              <w:rPr>
                <w:spacing w:val="-2"/>
                <w:w w:val="105"/>
                <w:sz w:val="11"/>
              </w:rPr>
              <w:t>issuances</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2"/>
                <w:w w:val="105"/>
                <w:sz w:val="12"/>
              </w:rPr>
              <w:t>99,934</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104"/>
              <w:jc w:val="right"/>
              <w:rPr>
                <w:sz w:val="12"/>
              </w:rPr>
            </w:pPr>
            <w:r>
              <w:rPr>
                <w:spacing w:val="-2"/>
                <w:w w:val="105"/>
                <w:sz w:val="12"/>
              </w:rPr>
              <w:t>3,240</w:t>
            </w:r>
          </w:p>
        </w:tc>
        <w:tc>
          <w:tcPr>
            <w:tcW w:w="1162" w:type="dxa"/>
          </w:tcPr>
          <w:p>
            <w:pPr>
              <w:pStyle w:val="TableParagraph"/>
              <w:spacing w:before="23"/>
              <w:ind w:right="103"/>
              <w:jc w:val="right"/>
              <w:rPr>
                <w:sz w:val="12"/>
              </w:rPr>
            </w:pPr>
            <w:r>
              <w:rPr>
                <w:spacing w:val="-2"/>
                <w:w w:val="105"/>
                <w:sz w:val="12"/>
              </w:rPr>
              <w:t>103,174</w:t>
            </w:r>
          </w:p>
        </w:tc>
        <w:tc>
          <w:tcPr>
            <w:tcW w:w="1103" w:type="dxa"/>
          </w:tcPr>
          <w:p>
            <w:pPr>
              <w:pStyle w:val="TableParagraph"/>
              <w:spacing w:before="23"/>
              <w:ind w:right="104"/>
              <w:jc w:val="right"/>
              <w:rPr>
                <w:sz w:val="12"/>
              </w:rPr>
            </w:pPr>
            <w:r>
              <w:rPr>
                <w:spacing w:val="-2"/>
                <w:w w:val="105"/>
                <w:sz w:val="12"/>
              </w:rPr>
              <w:t>656,361</w:t>
            </w:r>
          </w:p>
        </w:tc>
        <w:tc>
          <w:tcPr>
            <w:tcW w:w="1006" w:type="dxa"/>
          </w:tcPr>
          <w:p>
            <w:pPr>
              <w:pStyle w:val="TableParagraph"/>
              <w:spacing w:before="23"/>
              <w:ind w:right="72"/>
              <w:jc w:val="right"/>
              <w:rPr>
                <w:sz w:val="12"/>
              </w:rPr>
            </w:pPr>
            <w:r>
              <w:rPr>
                <w:spacing w:val="-2"/>
                <w:w w:val="105"/>
                <w:sz w:val="12"/>
              </w:rPr>
              <w:t>759,535</w:t>
            </w:r>
          </w:p>
        </w:tc>
      </w:tr>
      <w:tr>
        <w:trPr>
          <w:trHeight w:val="188" w:hRule="atLeast"/>
        </w:trPr>
        <w:tc>
          <w:tcPr>
            <w:tcW w:w="3559" w:type="dxa"/>
            <w:shd w:val="clear" w:color="auto" w:fill="CCEDFF"/>
          </w:tcPr>
          <w:p>
            <w:pPr>
              <w:pStyle w:val="TableParagraph"/>
              <w:spacing w:before="18"/>
              <w:ind w:left="225"/>
              <w:rPr>
                <w:sz w:val="11"/>
              </w:rPr>
            </w:pPr>
            <w:r>
              <w:rPr>
                <w:w w:val="105"/>
                <w:sz w:val="11"/>
              </w:rPr>
              <w:t>Redemption</w:t>
            </w:r>
            <w:r>
              <w:rPr>
                <w:spacing w:val="2"/>
                <w:w w:val="105"/>
                <w:sz w:val="11"/>
              </w:rPr>
              <w:t> </w:t>
            </w:r>
            <w:r>
              <w:rPr>
                <w:w w:val="105"/>
                <w:sz w:val="11"/>
              </w:rPr>
              <w:t>of</w:t>
            </w:r>
            <w:r>
              <w:rPr>
                <w:spacing w:val="2"/>
                <w:w w:val="105"/>
                <w:sz w:val="11"/>
              </w:rPr>
              <w:t> </w:t>
            </w:r>
            <w:r>
              <w:rPr>
                <w:w w:val="105"/>
                <w:sz w:val="11"/>
              </w:rPr>
              <w:t>MGP</w:t>
            </w:r>
            <w:r>
              <w:rPr>
                <w:spacing w:val="-2"/>
                <w:w w:val="105"/>
                <w:sz w:val="11"/>
              </w:rPr>
              <w:t> </w:t>
            </w:r>
            <w:r>
              <w:rPr>
                <w:w w:val="105"/>
                <w:sz w:val="11"/>
              </w:rPr>
              <w:t>OP</w:t>
            </w:r>
            <w:r>
              <w:rPr>
                <w:spacing w:val="-2"/>
                <w:w w:val="105"/>
                <w:sz w:val="11"/>
              </w:rPr>
              <w:t> units</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2"/>
                <w:w w:val="105"/>
                <w:sz w:val="12"/>
              </w:rPr>
              <w:t>171,332</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2"/>
                <w:w w:val="105"/>
                <w:sz w:val="12"/>
              </w:rPr>
              <w:t>5,327</w:t>
            </w:r>
          </w:p>
        </w:tc>
        <w:tc>
          <w:tcPr>
            <w:tcW w:w="1162" w:type="dxa"/>
            <w:shd w:val="clear" w:color="auto" w:fill="CCEDFF"/>
          </w:tcPr>
          <w:p>
            <w:pPr>
              <w:pStyle w:val="TableParagraph"/>
              <w:spacing w:before="23"/>
              <w:ind w:right="103"/>
              <w:jc w:val="right"/>
              <w:rPr>
                <w:sz w:val="12"/>
              </w:rPr>
            </w:pPr>
            <w:r>
              <w:rPr>
                <w:spacing w:val="-2"/>
                <w:w w:val="105"/>
                <w:sz w:val="12"/>
              </w:rPr>
              <w:t>176,659</w:t>
            </w:r>
          </w:p>
        </w:tc>
        <w:tc>
          <w:tcPr>
            <w:tcW w:w="1103" w:type="dxa"/>
            <w:shd w:val="clear" w:color="auto" w:fill="CCEDFF"/>
          </w:tcPr>
          <w:p>
            <w:pPr>
              <w:pStyle w:val="TableParagraph"/>
              <w:spacing w:before="23"/>
              <w:ind w:right="73"/>
              <w:jc w:val="right"/>
              <w:rPr>
                <w:sz w:val="12"/>
              </w:rPr>
            </w:pPr>
            <w:r>
              <w:rPr>
                <w:spacing w:val="-2"/>
                <w:w w:val="105"/>
                <w:sz w:val="12"/>
              </w:rPr>
              <w:t>(227,487)</w:t>
            </w:r>
          </w:p>
        </w:tc>
        <w:tc>
          <w:tcPr>
            <w:tcW w:w="1006" w:type="dxa"/>
            <w:shd w:val="clear" w:color="auto" w:fill="CCEDFF"/>
          </w:tcPr>
          <w:p>
            <w:pPr>
              <w:pStyle w:val="TableParagraph"/>
              <w:spacing w:before="23"/>
              <w:ind w:right="41"/>
              <w:jc w:val="right"/>
              <w:rPr>
                <w:sz w:val="12"/>
              </w:rPr>
            </w:pPr>
            <w:r>
              <w:rPr>
                <w:spacing w:val="-2"/>
                <w:w w:val="105"/>
                <w:sz w:val="12"/>
              </w:rPr>
              <w:t>(50,828)</w:t>
            </w:r>
          </w:p>
        </w:tc>
      </w:tr>
      <w:tr>
        <w:trPr>
          <w:trHeight w:val="202" w:hRule="atLeast"/>
        </w:trPr>
        <w:tc>
          <w:tcPr>
            <w:tcW w:w="3559" w:type="dxa"/>
          </w:tcPr>
          <w:p>
            <w:pPr>
              <w:pStyle w:val="TableParagraph"/>
              <w:spacing w:before="32"/>
              <w:ind w:left="225"/>
              <w:rPr>
                <w:sz w:val="11"/>
              </w:rPr>
            </w:pPr>
            <w:r>
              <w:rPr>
                <w:w w:val="105"/>
                <w:sz w:val="11"/>
              </w:rPr>
              <w:t>MGM</w:t>
            </w:r>
            <w:r>
              <w:rPr>
                <w:spacing w:val="3"/>
                <w:w w:val="105"/>
                <w:sz w:val="11"/>
              </w:rPr>
              <w:t> </w:t>
            </w:r>
            <w:r>
              <w:rPr>
                <w:w w:val="105"/>
                <w:sz w:val="11"/>
              </w:rPr>
              <w:t>Springfield</w:t>
            </w:r>
            <w:r>
              <w:rPr>
                <w:spacing w:val="3"/>
                <w:w w:val="105"/>
                <w:sz w:val="11"/>
              </w:rPr>
              <w:t> </w:t>
            </w:r>
            <w:r>
              <w:rPr>
                <w:spacing w:val="-2"/>
                <w:w w:val="105"/>
                <w:sz w:val="11"/>
              </w:rPr>
              <w:t>transaction</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70"/>
              <w:jc w:val="right"/>
              <w:rPr>
                <w:sz w:val="12"/>
              </w:rPr>
            </w:pPr>
            <w:r>
              <w:rPr>
                <w:spacing w:val="-2"/>
                <w:w w:val="105"/>
                <w:sz w:val="12"/>
              </w:rPr>
              <w:t>(133,844)</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104"/>
              <w:jc w:val="right"/>
              <w:rPr>
                <w:sz w:val="12"/>
              </w:rPr>
            </w:pPr>
            <w:r>
              <w:rPr>
                <w:spacing w:val="-10"/>
                <w:w w:val="105"/>
                <w:sz w:val="12"/>
              </w:rPr>
              <w:t>—</w:t>
            </w:r>
          </w:p>
        </w:tc>
        <w:tc>
          <w:tcPr>
            <w:tcW w:w="1162" w:type="dxa"/>
          </w:tcPr>
          <w:p>
            <w:pPr>
              <w:pStyle w:val="TableParagraph"/>
              <w:spacing w:before="23"/>
              <w:ind w:right="72"/>
              <w:jc w:val="right"/>
              <w:rPr>
                <w:sz w:val="12"/>
              </w:rPr>
            </w:pPr>
            <w:r>
              <w:rPr>
                <w:spacing w:val="-2"/>
                <w:w w:val="105"/>
                <w:sz w:val="12"/>
              </w:rPr>
              <w:t>(133,844)</w:t>
            </w:r>
          </w:p>
        </w:tc>
        <w:tc>
          <w:tcPr>
            <w:tcW w:w="1103" w:type="dxa"/>
          </w:tcPr>
          <w:p>
            <w:pPr>
              <w:pStyle w:val="TableParagraph"/>
              <w:spacing w:before="23"/>
              <w:ind w:right="104"/>
              <w:jc w:val="right"/>
              <w:rPr>
                <w:sz w:val="12"/>
              </w:rPr>
            </w:pPr>
            <w:r>
              <w:rPr>
                <w:spacing w:val="-2"/>
                <w:w w:val="105"/>
                <w:sz w:val="12"/>
              </w:rPr>
              <w:t>172,749</w:t>
            </w:r>
          </w:p>
        </w:tc>
        <w:tc>
          <w:tcPr>
            <w:tcW w:w="1006" w:type="dxa"/>
          </w:tcPr>
          <w:p>
            <w:pPr>
              <w:pStyle w:val="TableParagraph"/>
              <w:spacing w:before="23"/>
              <w:ind w:right="72"/>
              <w:jc w:val="right"/>
              <w:rPr>
                <w:sz w:val="12"/>
              </w:rPr>
            </w:pPr>
            <w:r>
              <w:rPr>
                <w:spacing w:val="-2"/>
                <w:w w:val="105"/>
                <w:sz w:val="12"/>
              </w:rPr>
              <w:t>38,905</w:t>
            </w:r>
          </w:p>
        </w:tc>
      </w:tr>
      <w:tr>
        <w:trPr>
          <w:trHeight w:val="201" w:hRule="atLeast"/>
        </w:trPr>
        <w:tc>
          <w:tcPr>
            <w:tcW w:w="3559" w:type="dxa"/>
            <w:shd w:val="clear" w:color="auto" w:fill="CCEDFF"/>
          </w:tcPr>
          <w:p>
            <w:pPr>
              <w:pStyle w:val="TableParagraph"/>
              <w:spacing w:before="32"/>
              <w:ind w:left="225"/>
              <w:rPr>
                <w:sz w:val="11"/>
              </w:rPr>
            </w:pPr>
            <w:r>
              <w:rPr>
                <w:spacing w:val="-2"/>
                <w:w w:val="105"/>
                <w:sz w:val="11"/>
              </w:rPr>
              <w:t>Other</w:t>
            </w:r>
          </w:p>
        </w:tc>
        <w:tc>
          <w:tcPr>
            <w:tcW w:w="759" w:type="dxa"/>
            <w:tcBorders>
              <w:bottom w:val="single" w:sz="6" w:space="0" w:color="000000"/>
            </w:tcBorders>
            <w:shd w:val="clear" w:color="auto" w:fill="CCEDFF"/>
          </w:tcPr>
          <w:p>
            <w:pPr>
              <w:pStyle w:val="TableParagraph"/>
              <w:spacing w:before="23"/>
              <w:ind w:right="101"/>
              <w:jc w:val="right"/>
              <w:rPr>
                <w:sz w:val="12"/>
              </w:rPr>
            </w:pPr>
            <w:r>
              <w:rPr>
                <w:spacing w:val="-10"/>
                <w:w w:val="105"/>
                <w:sz w:val="12"/>
              </w:rPr>
              <w:t>—</w:t>
            </w:r>
          </w:p>
        </w:tc>
        <w:tc>
          <w:tcPr>
            <w:tcW w:w="825" w:type="dxa"/>
            <w:tcBorders>
              <w:bottom w:val="single" w:sz="6" w:space="0" w:color="000000"/>
            </w:tcBorders>
            <w:shd w:val="clear" w:color="auto" w:fill="CCEDFF"/>
          </w:tcPr>
          <w:p>
            <w:pPr>
              <w:pStyle w:val="TableParagraph"/>
              <w:spacing w:before="23"/>
              <w:ind w:right="101"/>
              <w:jc w:val="right"/>
              <w:rPr>
                <w:sz w:val="12"/>
              </w:rPr>
            </w:pPr>
            <w:r>
              <w:rPr>
                <w:spacing w:val="-10"/>
                <w:w w:val="105"/>
                <w:sz w:val="12"/>
              </w:rPr>
              <w:t>—</w:t>
            </w:r>
          </w:p>
        </w:tc>
        <w:tc>
          <w:tcPr>
            <w:tcW w:w="1032" w:type="dxa"/>
            <w:tcBorders>
              <w:bottom w:val="single" w:sz="6" w:space="0" w:color="000000"/>
            </w:tcBorders>
            <w:shd w:val="clear" w:color="auto" w:fill="CCEDFF"/>
          </w:tcPr>
          <w:p>
            <w:pPr>
              <w:pStyle w:val="TableParagraph"/>
              <w:spacing w:before="23"/>
              <w:ind w:right="71"/>
              <w:jc w:val="right"/>
              <w:rPr>
                <w:sz w:val="12"/>
              </w:rPr>
            </w:pPr>
            <w:r>
              <w:rPr>
                <w:spacing w:val="-2"/>
                <w:w w:val="105"/>
                <w:sz w:val="12"/>
              </w:rPr>
              <w:t>(10,312)</w:t>
            </w:r>
          </w:p>
        </w:tc>
        <w:tc>
          <w:tcPr>
            <w:tcW w:w="937" w:type="dxa"/>
            <w:tcBorders>
              <w:bottom w:val="single" w:sz="6" w:space="0" w:color="000000"/>
            </w:tcBorders>
            <w:shd w:val="clear" w:color="auto" w:fill="CCEDFF"/>
          </w:tcPr>
          <w:p>
            <w:pPr>
              <w:pStyle w:val="TableParagraph"/>
              <w:spacing w:before="23"/>
              <w:ind w:right="103"/>
              <w:jc w:val="right"/>
              <w:rPr>
                <w:sz w:val="12"/>
              </w:rPr>
            </w:pPr>
            <w:r>
              <w:rPr>
                <w:spacing w:val="-10"/>
                <w:w w:val="105"/>
                <w:sz w:val="12"/>
              </w:rPr>
              <w:t>—</w:t>
            </w:r>
          </w:p>
        </w:tc>
        <w:tc>
          <w:tcPr>
            <w:tcW w:w="1137" w:type="dxa"/>
            <w:tcBorders>
              <w:bottom w:val="single" w:sz="6" w:space="0" w:color="000000"/>
            </w:tcBorders>
            <w:shd w:val="clear" w:color="auto" w:fill="CCEDFF"/>
          </w:tcPr>
          <w:p>
            <w:pPr>
              <w:pStyle w:val="TableParagraph"/>
              <w:spacing w:before="23"/>
              <w:ind w:right="72"/>
              <w:jc w:val="right"/>
              <w:rPr>
                <w:sz w:val="12"/>
              </w:rPr>
            </w:pPr>
            <w:r>
              <w:rPr>
                <w:spacing w:val="-2"/>
                <w:w w:val="105"/>
                <w:sz w:val="12"/>
              </w:rPr>
              <w:t>(2,358)</w:t>
            </w:r>
          </w:p>
        </w:tc>
        <w:tc>
          <w:tcPr>
            <w:tcW w:w="1162" w:type="dxa"/>
            <w:tcBorders>
              <w:bottom w:val="single" w:sz="6" w:space="0" w:color="000000"/>
            </w:tcBorders>
            <w:shd w:val="clear" w:color="auto" w:fill="CCEDFF"/>
          </w:tcPr>
          <w:p>
            <w:pPr>
              <w:pStyle w:val="TableParagraph"/>
              <w:spacing w:before="23"/>
              <w:ind w:right="72"/>
              <w:jc w:val="right"/>
              <w:rPr>
                <w:sz w:val="12"/>
              </w:rPr>
            </w:pPr>
            <w:r>
              <w:rPr>
                <w:spacing w:val="-2"/>
                <w:w w:val="105"/>
                <w:sz w:val="12"/>
              </w:rPr>
              <w:t>(12,670)</w:t>
            </w:r>
          </w:p>
        </w:tc>
        <w:tc>
          <w:tcPr>
            <w:tcW w:w="1103" w:type="dxa"/>
            <w:tcBorders>
              <w:bottom w:val="single" w:sz="6" w:space="0" w:color="000000"/>
            </w:tcBorders>
            <w:shd w:val="clear" w:color="auto" w:fill="CCEDFF"/>
          </w:tcPr>
          <w:p>
            <w:pPr>
              <w:pStyle w:val="TableParagraph"/>
              <w:spacing w:before="23"/>
              <w:ind w:right="104"/>
              <w:jc w:val="right"/>
              <w:rPr>
                <w:sz w:val="12"/>
              </w:rPr>
            </w:pPr>
            <w:r>
              <w:rPr>
                <w:spacing w:val="-2"/>
                <w:w w:val="105"/>
                <w:sz w:val="12"/>
              </w:rPr>
              <w:t>2,341</w:t>
            </w:r>
          </w:p>
        </w:tc>
        <w:tc>
          <w:tcPr>
            <w:tcW w:w="1006" w:type="dxa"/>
            <w:tcBorders>
              <w:bottom w:val="single" w:sz="6" w:space="0" w:color="000000"/>
            </w:tcBorders>
            <w:shd w:val="clear" w:color="auto" w:fill="CCEDFF"/>
          </w:tcPr>
          <w:p>
            <w:pPr>
              <w:pStyle w:val="TableParagraph"/>
              <w:spacing w:before="23"/>
              <w:ind w:right="41"/>
              <w:jc w:val="right"/>
              <w:rPr>
                <w:sz w:val="12"/>
              </w:rPr>
            </w:pPr>
            <w:r>
              <w:rPr>
                <w:spacing w:val="-2"/>
                <w:w w:val="105"/>
                <w:sz w:val="12"/>
              </w:rPr>
              <w:t>(10,329)</w:t>
            </w:r>
          </w:p>
        </w:tc>
      </w:tr>
      <w:tr>
        <w:trPr>
          <w:trHeight w:val="188" w:hRule="atLeast"/>
        </w:trPr>
        <w:tc>
          <w:tcPr>
            <w:tcW w:w="3559" w:type="dxa"/>
          </w:tcPr>
          <w:p>
            <w:pPr>
              <w:pStyle w:val="TableParagraph"/>
              <w:spacing w:before="18"/>
              <w:ind w:left="26"/>
              <w:rPr>
                <w:b/>
                <w:sz w:val="11"/>
              </w:rPr>
            </w:pPr>
            <w:r>
              <w:rPr>
                <w:b/>
                <w:w w:val="105"/>
                <w:sz w:val="11"/>
              </w:rPr>
              <w:t>Balances,</w:t>
            </w:r>
            <w:r>
              <w:rPr>
                <w:b/>
                <w:spacing w:val="3"/>
                <w:w w:val="105"/>
                <w:sz w:val="11"/>
              </w:rPr>
              <w:t> </w:t>
            </w:r>
            <w:r>
              <w:rPr>
                <w:b/>
                <w:w w:val="105"/>
                <w:sz w:val="11"/>
              </w:rPr>
              <w:t>December</w:t>
            </w:r>
            <w:r>
              <w:rPr>
                <w:b/>
                <w:spacing w:val="1"/>
                <w:w w:val="105"/>
                <w:sz w:val="11"/>
              </w:rPr>
              <w:t> </w:t>
            </w:r>
            <w:r>
              <w:rPr>
                <w:b/>
                <w:w w:val="105"/>
                <w:sz w:val="11"/>
              </w:rPr>
              <w:t>31,</w:t>
            </w:r>
            <w:r>
              <w:rPr>
                <w:b/>
                <w:spacing w:val="3"/>
                <w:w w:val="105"/>
                <w:sz w:val="11"/>
              </w:rPr>
              <w:t> </w:t>
            </w:r>
            <w:r>
              <w:rPr>
                <w:b/>
                <w:spacing w:val="-4"/>
                <w:w w:val="105"/>
                <w:sz w:val="11"/>
              </w:rPr>
              <w:t>2021</w:t>
            </w:r>
          </w:p>
        </w:tc>
        <w:tc>
          <w:tcPr>
            <w:tcW w:w="759" w:type="dxa"/>
            <w:tcBorders>
              <w:top w:val="single" w:sz="6" w:space="0" w:color="000000"/>
            </w:tcBorders>
          </w:tcPr>
          <w:p>
            <w:pPr>
              <w:pStyle w:val="TableParagraph"/>
              <w:spacing w:before="22"/>
              <w:ind w:right="101"/>
              <w:jc w:val="right"/>
              <w:rPr>
                <w:sz w:val="12"/>
              </w:rPr>
            </w:pPr>
            <w:r>
              <w:rPr>
                <w:spacing w:val="-2"/>
                <w:w w:val="105"/>
                <w:sz w:val="12"/>
              </w:rPr>
              <w:t>453,804</w:t>
            </w:r>
          </w:p>
        </w:tc>
        <w:tc>
          <w:tcPr>
            <w:tcW w:w="825" w:type="dxa"/>
            <w:tcBorders>
              <w:top w:val="single" w:sz="6" w:space="0" w:color="000000"/>
            </w:tcBorders>
          </w:tcPr>
          <w:p>
            <w:pPr>
              <w:pStyle w:val="TableParagraph"/>
              <w:spacing w:before="22"/>
              <w:ind w:right="101"/>
              <w:jc w:val="right"/>
              <w:rPr>
                <w:sz w:val="12"/>
              </w:rPr>
            </w:pPr>
            <w:r>
              <w:rPr>
                <w:spacing w:val="-2"/>
                <w:w w:val="105"/>
                <w:sz w:val="12"/>
              </w:rPr>
              <w:t>4,538</w:t>
            </w:r>
          </w:p>
        </w:tc>
        <w:tc>
          <w:tcPr>
            <w:tcW w:w="1032" w:type="dxa"/>
            <w:tcBorders>
              <w:top w:val="single" w:sz="6" w:space="0" w:color="000000"/>
            </w:tcBorders>
          </w:tcPr>
          <w:p>
            <w:pPr>
              <w:pStyle w:val="TableParagraph"/>
              <w:spacing w:before="22"/>
              <w:ind w:right="101"/>
              <w:jc w:val="right"/>
              <w:rPr>
                <w:sz w:val="12"/>
              </w:rPr>
            </w:pPr>
            <w:r>
              <w:rPr>
                <w:spacing w:val="-2"/>
                <w:w w:val="105"/>
                <w:sz w:val="12"/>
              </w:rPr>
              <w:t>1,750,135</w:t>
            </w:r>
          </w:p>
        </w:tc>
        <w:tc>
          <w:tcPr>
            <w:tcW w:w="937" w:type="dxa"/>
            <w:tcBorders>
              <w:top w:val="single" w:sz="6" w:space="0" w:color="000000"/>
            </w:tcBorders>
          </w:tcPr>
          <w:p>
            <w:pPr>
              <w:pStyle w:val="TableParagraph"/>
              <w:spacing w:before="22"/>
              <w:ind w:right="101"/>
              <w:jc w:val="right"/>
              <w:rPr>
                <w:sz w:val="12"/>
              </w:rPr>
            </w:pPr>
            <w:r>
              <w:rPr>
                <w:spacing w:val="-2"/>
                <w:w w:val="105"/>
                <w:sz w:val="12"/>
              </w:rPr>
              <w:t>4,340,588</w:t>
            </w:r>
          </w:p>
        </w:tc>
        <w:tc>
          <w:tcPr>
            <w:tcW w:w="1137" w:type="dxa"/>
            <w:tcBorders>
              <w:top w:val="single" w:sz="6" w:space="0" w:color="000000"/>
            </w:tcBorders>
          </w:tcPr>
          <w:p>
            <w:pPr>
              <w:pStyle w:val="TableParagraph"/>
              <w:spacing w:before="22"/>
              <w:ind w:right="72"/>
              <w:jc w:val="right"/>
              <w:rPr>
                <w:sz w:val="12"/>
              </w:rPr>
            </w:pPr>
            <w:r>
              <w:rPr>
                <w:spacing w:val="-2"/>
                <w:w w:val="105"/>
                <w:sz w:val="12"/>
              </w:rPr>
              <w:t>(24,616)</w:t>
            </w:r>
          </w:p>
        </w:tc>
        <w:tc>
          <w:tcPr>
            <w:tcW w:w="1162" w:type="dxa"/>
            <w:tcBorders>
              <w:top w:val="single" w:sz="6" w:space="0" w:color="000000"/>
            </w:tcBorders>
          </w:tcPr>
          <w:p>
            <w:pPr>
              <w:pStyle w:val="TableParagraph"/>
              <w:spacing w:before="22"/>
              <w:ind w:right="103"/>
              <w:jc w:val="right"/>
              <w:rPr>
                <w:sz w:val="12"/>
              </w:rPr>
            </w:pPr>
            <w:r>
              <w:rPr>
                <w:spacing w:val="-2"/>
                <w:w w:val="105"/>
                <w:sz w:val="12"/>
              </w:rPr>
              <w:t>6,070,645</w:t>
            </w:r>
          </w:p>
        </w:tc>
        <w:tc>
          <w:tcPr>
            <w:tcW w:w="1103" w:type="dxa"/>
            <w:tcBorders>
              <w:top w:val="single" w:sz="6" w:space="0" w:color="000000"/>
            </w:tcBorders>
          </w:tcPr>
          <w:p>
            <w:pPr>
              <w:pStyle w:val="TableParagraph"/>
              <w:spacing w:before="22"/>
              <w:ind w:right="104"/>
              <w:jc w:val="right"/>
              <w:rPr>
                <w:sz w:val="12"/>
              </w:rPr>
            </w:pPr>
            <w:r>
              <w:rPr>
                <w:spacing w:val="-2"/>
                <w:w w:val="105"/>
                <w:sz w:val="12"/>
              </w:rPr>
              <w:t>4,906,121</w:t>
            </w:r>
          </w:p>
        </w:tc>
        <w:tc>
          <w:tcPr>
            <w:tcW w:w="1006" w:type="dxa"/>
            <w:tcBorders>
              <w:top w:val="single" w:sz="6" w:space="0" w:color="000000"/>
            </w:tcBorders>
          </w:tcPr>
          <w:p>
            <w:pPr>
              <w:pStyle w:val="TableParagraph"/>
              <w:spacing w:before="22"/>
              <w:ind w:right="72"/>
              <w:jc w:val="right"/>
              <w:rPr>
                <w:sz w:val="12"/>
              </w:rPr>
            </w:pPr>
            <w:r>
              <w:rPr>
                <w:spacing w:val="-2"/>
                <w:w w:val="105"/>
                <w:sz w:val="12"/>
              </w:rPr>
              <w:t>10,976,766</w:t>
            </w:r>
          </w:p>
        </w:tc>
      </w:tr>
      <w:tr>
        <w:trPr>
          <w:trHeight w:val="202" w:hRule="atLeast"/>
        </w:trPr>
        <w:tc>
          <w:tcPr>
            <w:tcW w:w="3559" w:type="dxa"/>
            <w:shd w:val="clear" w:color="auto" w:fill="CCEDFF"/>
          </w:tcPr>
          <w:p>
            <w:pPr>
              <w:pStyle w:val="TableParagraph"/>
              <w:spacing w:before="32"/>
              <w:ind w:left="225"/>
              <w:rPr>
                <w:sz w:val="11"/>
              </w:rPr>
            </w:pPr>
            <w:r>
              <w:rPr>
                <w:w w:val="105"/>
                <w:sz w:val="11"/>
              </w:rPr>
              <w:t>Net</w:t>
            </w:r>
            <w:r>
              <w:rPr>
                <w:spacing w:val="2"/>
                <w:w w:val="105"/>
                <w:sz w:val="11"/>
              </w:rPr>
              <w:t> </w:t>
            </w:r>
            <w:r>
              <w:rPr>
                <w:w w:val="105"/>
                <w:sz w:val="11"/>
              </w:rPr>
              <w:t>income</w:t>
            </w:r>
            <w:r>
              <w:rPr>
                <w:spacing w:val="2"/>
                <w:w w:val="105"/>
                <w:sz w:val="11"/>
              </w:rPr>
              <w:t> </w:t>
            </w:r>
            <w:r>
              <w:rPr>
                <w:spacing w:val="-2"/>
                <w:w w:val="105"/>
                <w:sz w:val="11"/>
              </w:rPr>
              <w:t>(loss)</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10"/>
                <w:w w:val="105"/>
                <w:sz w:val="12"/>
              </w:rPr>
              <w:t>—</w:t>
            </w:r>
          </w:p>
        </w:tc>
        <w:tc>
          <w:tcPr>
            <w:tcW w:w="937" w:type="dxa"/>
            <w:shd w:val="clear" w:color="auto" w:fill="CCEDFF"/>
          </w:tcPr>
          <w:p>
            <w:pPr>
              <w:pStyle w:val="TableParagraph"/>
              <w:spacing w:before="23"/>
              <w:ind w:right="101"/>
              <w:jc w:val="right"/>
              <w:rPr>
                <w:sz w:val="12"/>
              </w:rPr>
            </w:pPr>
            <w:r>
              <w:rPr>
                <w:spacing w:val="-2"/>
                <w:w w:val="105"/>
                <w:sz w:val="12"/>
              </w:rPr>
              <w:t>1,473,093</w:t>
            </w:r>
          </w:p>
        </w:tc>
        <w:tc>
          <w:tcPr>
            <w:tcW w:w="1137" w:type="dxa"/>
            <w:shd w:val="clear" w:color="auto" w:fill="CCEDFF"/>
          </w:tcPr>
          <w:p>
            <w:pPr>
              <w:pStyle w:val="TableParagraph"/>
              <w:spacing w:before="23"/>
              <w:ind w:right="104"/>
              <w:jc w:val="right"/>
              <w:rPr>
                <w:sz w:val="12"/>
              </w:rPr>
            </w:pPr>
            <w:r>
              <w:rPr>
                <w:spacing w:val="-10"/>
                <w:w w:val="105"/>
                <w:sz w:val="12"/>
              </w:rPr>
              <w:t>—</w:t>
            </w:r>
          </w:p>
        </w:tc>
        <w:tc>
          <w:tcPr>
            <w:tcW w:w="1162" w:type="dxa"/>
            <w:shd w:val="clear" w:color="auto" w:fill="CCEDFF"/>
          </w:tcPr>
          <w:p>
            <w:pPr>
              <w:pStyle w:val="TableParagraph"/>
              <w:spacing w:before="23"/>
              <w:ind w:right="103"/>
              <w:jc w:val="right"/>
              <w:rPr>
                <w:sz w:val="12"/>
              </w:rPr>
            </w:pPr>
            <w:r>
              <w:rPr>
                <w:spacing w:val="-2"/>
                <w:w w:val="105"/>
                <w:sz w:val="12"/>
              </w:rPr>
              <w:t>1,473,093</w:t>
            </w:r>
          </w:p>
        </w:tc>
        <w:tc>
          <w:tcPr>
            <w:tcW w:w="1103" w:type="dxa"/>
            <w:shd w:val="clear" w:color="auto" w:fill="CCEDFF"/>
          </w:tcPr>
          <w:p>
            <w:pPr>
              <w:pStyle w:val="TableParagraph"/>
              <w:spacing w:before="23"/>
              <w:ind w:right="73"/>
              <w:jc w:val="right"/>
              <w:rPr>
                <w:sz w:val="12"/>
              </w:rPr>
            </w:pPr>
            <w:r>
              <w:rPr>
                <w:spacing w:val="-2"/>
                <w:w w:val="105"/>
                <w:sz w:val="12"/>
              </w:rPr>
              <w:t>(1,275,865)</w:t>
            </w:r>
          </w:p>
        </w:tc>
        <w:tc>
          <w:tcPr>
            <w:tcW w:w="1006" w:type="dxa"/>
            <w:shd w:val="clear" w:color="auto" w:fill="CCEDFF"/>
          </w:tcPr>
          <w:p>
            <w:pPr>
              <w:pStyle w:val="TableParagraph"/>
              <w:spacing w:before="23"/>
              <w:ind w:right="72"/>
              <w:jc w:val="right"/>
              <w:rPr>
                <w:sz w:val="12"/>
              </w:rPr>
            </w:pPr>
            <w:r>
              <w:rPr>
                <w:spacing w:val="-2"/>
                <w:w w:val="105"/>
                <w:sz w:val="12"/>
              </w:rPr>
              <w:t>197,228</w:t>
            </w:r>
          </w:p>
        </w:tc>
      </w:tr>
      <w:tr>
        <w:trPr>
          <w:trHeight w:val="188" w:hRule="atLeast"/>
        </w:trPr>
        <w:tc>
          <w:tcPr>
            <w:tcW w:w="3559" w:type="dxa"/>
          </w:tcPr>
          <w:p>
            <w:pPr>
              <w:pStyle w:val="TableParagraph"/>
              <w:spacing w:before="32"/>
              <w:ind w:left="225"/>
              <w:rPr>
                <w:sz w:val="11"/>
              </w:rPr>
            </w:pPr>
            <w:r>
              <w:rPr>
                <w:w w:val="105"/>
                <w:sz w:val="11"/>
              </w:rPr>
              <w:t>Currency</w:t>
            </w:r>
            <w:r>
              <w:rPr>
                <w:spacing w:val="4"/>
                <w:w w:val="105"/>
                <w:sz w:val="11"/>
              </w:rPr>
              <w:t> </w:t>
            </w:r>
            <w:r>
              <w:rPr>
                <w:w w:val="105"/>
                <w:sz w:val="11"/>
              </w:rPr>
              <w:t>translation</w:t>
            </w:r>
            <w:r>
              <w:rPr>
                <w:spacing w:val="3"/>
                <w:w w:val="105"/>
                <w:sz w:val="11"/>
              </w:rPr>
              <w:t> </w:t>
            </w:r>
            <w:r>
              <w:rPr>
                <w:spacing w:val="-2"/>
                <w:w w:val="105"/>
                <w:sz w:val="11"/>
              </w:rPr>
              <w:t>adjustment</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10"/>
                <w:w w:val="105"/>
                <w:sz w:val="12"/>
              </w:rPr>
              <w:t>—</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104"/>
              <w:jc w:val="right"/>
              <w:rPr>
                <w:sz w:val="12"/>
              </w:rPr>
            </w:pPr>
            <w:r>
              <w:rPr>
                <w:spacing w:val="-2"/>
                <w:w w:val="105"/>
                <w:sz w:val="12"/>
              </w:rPr>
              <w:t>34,268</w:t>
            </w:r>
          </w:p>
        </w:tc>
        <w:tc>
          <w:tcPr>
            <w:tcW w:w="1162" w:type="dxa"/>
          </w:tcPr>
          <w:p>
            <w:pPr>
              <w:pStyle w:val="TableParagraph"/>
              <w:spacing w:before="23"/>
              <w:ind w:right="103"/>
              <w:jc w:val="right"/>
              <w:rPr>
                <w:sz w:val="12"/>
              </w:rPr>
            </w:pPr>
            <w:r>
              <w:rPr>
                <w:spacing w:val="-2"/>
                <w:w w:val="105"/>
                <w:sz w:val="12"/>
              </w:rPr>
              <w:t>34,268</w:t>
            </w:r>
          </w:p>
        </w:tc>
        <w:tc>
          <w:tcPr>
            <w:tcW w:w="1103" w:type="dxa"/>
          </w:tcPr>
          <w:p>
            <w:pPr>
              <w:pStyle w:val="TableParagraph"/>
              <w:spacing w:before="23"/>
              <w:ind w:right="73"/>
              <w:jc w:val="right"/>
              <w:rPr>
                <w:sz w:val="12"/>
              </w:rPr>
            </w:pPr>
            <w:r>
              <w:rPr>
                <w:spacing w:val="-2"/>
                <w:w w:val="105"/>
                <w:sz w:val="12"/>
              </w:rPr>
              <w:t>(6,932)</w:t>
            </w:r>
          </w:p>
        </w:tc>
        <w:tc>
          <w:tcPr>
            <w:tcW w:w="1006" w:type="dxa"/>
          </w:tcPr>
          <w:p>
            <w:pPr>
              <w:pStyle w:val="TableParagraph"/>
              <w:spacing w:before="23"/>
              <w:ind w:right="72"/>
              <w:jc w:val="right"/>
              <w:rPr>
                <w:sz w:val="12"/>
              </w:rPr>
            </w:pPr>
            <w:r>
              <w:rPr>
                <w:spacing w:val="-2"/>
                <w:w w:val="105"/>
                <w:sz w:val="12"/>
              </w:rPr>
              <w:t>27,336</w:t>
            </w:r>
          </w:p>
        </w:tc>
      </w:tr>
      <w:tr>
        <w:trPr>
          <w:trHeight w:val="202" w:hRule="atLeast"/>
        </w:trPr>
        <w:tc>
          <w:tcPr>
            <w:tcW w:w="3559" w:type="dxa"/>
            <w:shd w:val="clear" w:color="auto" w:fill="CCEDFF"/>
          </w:tcPr>
          <w:p>
            <w:pPr>
              <w:pStyle w:val="TableParagraph"/>
              <w:spacing w:before="32"/>
              <w:ind w:left="225"/>
              <w:rPr>
                <w:sz w:val="11"/>
              </w:rPr>
            </w:pPr>
            <w:r>
              <w:rPr>
                <w:w w:val="105"/>
                <w:sz w:val="11"/>
              </w:rPr>
              <w:t>Cash</w:t>
            </w:r>
            <w:r>
              <w:rPr>
                <w:spacing w:val="1"/>
                <w:w w:val="105"/>
                <w:sz w:val="11"/>
              </w:rPr>
              <w:t> </w:t>
            </w:r>
            <w:r>
              <w:rPr>
                <w:w w:val="105"/>
                <w:sz w:val="11"/>
              </w:rPr>
              <w:t>flow</w:t>
            </w:r>
            <w:r>
              <w:rPr>
                <w:spacing w:val="2"/>
                <w:w w:val="105"/>
                <w:sz w:val="11"/>
              </w:rPr>
              <w:t> </w:t>
            </w:r>
            <w:r>
              <w:rPr>
                <w:spacing w:val="-2"/>
                <w:w w:val="105"/>
                <w:sz w:val="11"/>
              </w:rPr>
              <w:t>hedges</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10"/>
                <w:w w:val="105"/>
                <w:sz w:val="12"/>
              </w:rPr>
              <w:t>—</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2"/>
                <w:w w:val="105"/>
                <w:sz w:val="12"/>
              </w:rPr>
              <w:t>13,483</w:t>
            </w:r>
          </w:p>
        </w:tc>
        <w:tc>
          <w:tcPr>
            <w:tcW w:w="1162" w:type="dxa"/>
            <w:shd w:val="clear" w:color="auto" w:fill="CCEDFF"/>
          </w:tcPr>
          <w:p>
            <w:pPr>
              <w:pStyle w:val="TableParagraph"/>
              <w:spacing w:before="23"/>
              <w:ind w:right="103"/>
              <w:jc w:val="right"/>
              <w:rPr>
                <w:sz w:val="12"/>
              </w:rPr>
            </w:pPr>
            <w:r>
              <w:rPr>
                <w:spacing w:val="-2"/>
                <w:w w:val="105"/>
                <w:sz w:val="12"/>
              </w:rPr>
              <w:t>13,483</w:t>
            </w:r>
          </w:p>
        </w:tc>
        <w:tc>
          <w:tcPr>
            <w:tcW w:w="1103" w:type="dxa"/>
            <w:shd w:val="clear" w:color="auto" w:fill="CCEDFF"/>
          </w:tcPr>
          <w:p>
            <w:pPr>
              <w:pStyle w:val="TableParagraph"/>
              <w:spacing w:before="23"/>
              <w:ind w:right="104"/>
              <w:jc w:val="right"/>
              <w:rPr>
                <w:sz w:val="12"/>
              </w:rPr>
            </w:pPr>
            <w:r>
              <w:rPr>
                <w:spacing w:val="-2"/>
                <w:w w:val="105"/>
                <w:sz w:val="12"/>
              </w:rPr>
              <w:t>24,209</w:t>
            </w:r>
          </w:p>
        </w:tc>
        <w:tc>
          <w:tcPr>
            <w:tcW w:w="1006" w:type="dxa"/>
            <w:shd w:val="clear" w:color="auto" w:fill="CCEDFF"/>
          </w:tcPr>
          <w:p>
            <w:pPr>
              <w:pStyle w:val="TableParagraph"/>
              <w:spacing w:before="23"/>
              <w:ind w:right="72"/>
              <w:jc w:val="right"/>
              <w:rPr>
                <w:sz w:val="12"/>
              </w:rPr>
            </w:pPr>
            <w:r>
              <w:rPr>
                <w:spacing w:val="-2"/>
                <w:w w:val="105"/>
                <w:sz w:val="12"/>
              </w:rPr>
              <w:t>37,692</w:t>
            </w:r>
          </w:p>
        </w:tc>
      </w:tr>
      <w:tr>
        <w:trPr>
          <w:trHeight w:val="202" w:hRule="atLeast"/>
        </w:trPr>
        <w:tc>
          <w:tcPr>
            <w:tcW w:w="3559" w:type="dxa"/>
          </w:tcPr>
          <w:p>
            <w:pPr>
              <w:pStyle w:val="TableParagraph"/>
              <w:spacing w:before="32"/>
              <w:ind w:left="225"/>
              <w:rPr>
                <w:sz w:val="11"/>
              </w:rPr>
            </w:pPr>
            <w:r>
              <w:rPr>
                <w:w w:val="105"/>
                <w:sz w:val="11"/>
              </w:rPr>
              <w:t>Stock-based</w:t>
            </w:r>
            <w:r>
              <w:rPr>
                <w:spacing w:val="5"/>
                <w:w w:val="105"/>
                <w:sz w:val="11"/>
              </w:rPr>
              <w:t> </w:t>
            </w:r>
            <w:r>
              <w:rPr>
                <w:spacing w:val="-2"/>
                <w:w w:val="105"/>
                <w:sz w:val="11"/>
              </w:rPr>
              <w:t>compensation</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2"/>
                <w:w w:val="105"/>
                <w:sz w:val="12"/>
              </w:rPr>
              <w:t>65,700</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104"/>
              <w:jc w:val="right"/>
              <w:rPr>
                <w:sz w:val="12"/>
              </w:rPr>
            </w:pPr>
            <w:r>
              <w:rPr>
                <w:spacing w:val="-10"/>
                <w:w w:val="105"/>
                <w:sz w:val="12"/>
              </w:rPr>
              <w:t>—</w:t>
            </w:r>
          </w:p>
        </w:tc>
        <w:tc>
          <w:tcPr>
            <w:tcW w:w="1162" w:type="dxa"/>
          </w:tcPr>
          <w:p>
            <w:pPr>
              <w:pStyle w:val="TableParagraph"/>
              <w:spacing w:before="23"/>
              <w:ind w:right="103"/>
              <w:jc w:val="right"/>
              <w:rPr>
                <w:sz w:val="12"/>
              </w:rPr>
            </w:pPr>
            <w:r>
              <w:rPr>
                <w:spacing w:val="-2"/>
                <w:w w:val="105"/>
                <w:sz w:val="12"/>
              </w:rPr>
              <w:t>65,700</w:t>
            </w:r>
          </w:p>
        </w:tc>
        <w:tc>
          <w:tcPr>
            <w:tcW w:w="1103" w:type="dxa"/>
          </w:tcPr>
          <w:p>
            <w:pPr>
              <w:pStyle w:val="TableParagraph"/>
              <w:spacing w:before="23"/>
              <w:ind w:right="104"/>
              <w:jc w:val="right"/>
              <w:rPr>
                <w:sz w:val="12"/>
              </w:rPr>
            </w:pPr>
            <w:r>
              <w:rPr>
                <w:spacing w:val="-2"/>
                <w:w w:val="105"/>
                <w:sz w:val="12"/>
              </w:rPr>
              <w:t>5,596</w:t>
            </w:r>
          </w:p>
        </w:tc>
        <w:tc>
          <w:tcPr>
            <w:tcW w:w="1006" w:type="dxa"/>
          </w:tcPr>
          <w:p>
            <w:pPr>
              <w:pStyle w:val="TableParagraph"/>
              <w:spacing w:before="23"/>
              <w:ind w:right="72"/>
              <w:jc w:val="right"/>
              <w:rPr>
                <w:sz w:val="12"/>
              </w:rPr>
            </w:pPr>
            <w:r>
              <w:rPr>
                <w:spacing w:val="-2"/>
                <w:w w:val="105"/>
                <w:sz w:val="12"/>
              </w:rPr>
              <w:t>71,296</w:t>
            </w:r>
          </w:p>
        </w:tc>
      </w:tr>
      <w:tr>
        <w:trPr>
          <w:trHeight w:val="323" w:hRule="atLeast"/>
        </w:trPr>
        <w:tc>
          <w:tcPr>
            <w:tcW w:w="3559" w:type="dxa"/>
            <w:shd w:val="clear" w:color="auto" w:fill="CCEDFF"/>
          </w:tcPr>
          <w:p>
            <w:pPr>
              <w:pStyle w:val="TableParagraph"/>
              <w:spacing w:line="256" w:lineRule="auto" w:before="18"/>
              <w:ind w:left="225" w:right="143"/>
              <w:rPr>
                <w:sz w:val="11"/>
              </w:rPr>
            </w:pPr>
            <w:r>
              <w:rPr>
                <w:w w:val="105"/>
                <w:sz w:val="11"/>
              </w:rPr>
              <w:t>Issuance</w:t>
            </w:r>
            <w:r>
              <w:rPr>
                <w:spacing w:val="-1"/>
                <w:w w:val="105"/>
                <w:sz w:val="11"/>
              </w:rPr>
              <w:t> </w:t>
            </w:r>
            <w:r>
              <w:rPr>
                <w:w w:val="105"/>
                <w:sz w:val="11"/>
              </w:rPr>
              <w:t>of</w:t>
            </w:r>
            <w:r>
              <w:rPr>
                <w:spacing w:val="-1"/>
                <w:w w:val="105"/>
                <w:sz w:val="11"/>
              </w:rPr>
              <w:t> </w:t>
            </w:r>
            <w:r>
              <w:rPr>
                <w:w w:val="105"/>
                <w:sz w:val="11"/>
              </w:rPr>
              <w:t>common</w:t>
            </w:r>
            <w:r>
              <w:rPr>
                <w:spacing w:val="-1"/>
                <w:w w:val="105"/>
                <w:sz w:val="11"/>
              </w:rPr>
              <w:t> </w:t>
            </w:r>
            <w:r>
              <w:rPr>
                <w:w w:val="105"/>
                <w:sz w:val="11"/>
              </w:rPr>
              <w:t>stock</w:t>
            </w:r>
            <w:r>
              <w:rPr>
                <w:spacing w:val="-1"/>
                <w:w w:val="105"/>
                <w:sz w:val="11"/>
              </w:rPr>
              <w:t> </w:t>
            </w:r>
            <w:r>
              <w:rPr>
                <w:w w:val="105"/>
                <w:sz w:val="11"/>
              </w:rPr>
              <w:t>pursuant</w:t>
            </w:r>
            <w:r>
              <w:rPr>
                <w:spacing w:val="-1"/>
                <w:w w:val="105"/>
                <w:sz w:val="11"/>
              </w:rPr>
              <w:t> </w:t>
            </w:r>
            <w:r>
              <w:rPr>
                <w:w w:val="105"/>
                <w:sz w:val="11"/>
              </w:rPr>
              <w:t>to</w:t>
            </w:r>
            <w:r>
              <w:rPr>
                <w:spacing w:val="-1"/>
                <w:w w:val="105"/>
                <w:sz w:val="11"/>
              </w:rPr>
              <w:t> </w:t>
            </w:r>
            <w:r>
              <w:rPr>
                <w:w w:val="105"/>
                <w:sz w:val="11"/>
              </w:rPr>
              <w:t>stock-based</w:t>
            </w:r>
            <w:r>
              <w:rPr>
                <w:spacing w:val="-1"/>
                <w:w w:val="105"/>
                <w:sz w:val="11"/>
              </w:rPr>
              <w:t> </w:t>
            </w:r>
            <w:r>
              <w:rPr>
                <w:w w:val="105"/>
                <w:sz w:val="11"/>
              </w:rPr>
              <w:t>compensation</w:t>
            </w:r>
            <w:r>
              <w:rPr>
                <w:spacing w:val="40"/>
                <w:w w:val="105"/>
                <w:sz w:val="11"/>
              </w:rPr>
              <w:t> </w:t>
            </w:r>
            <w:r>
              <w:rPr>
                <w:spacing w:val="-2"/>
                <w:w w:val="105"/>
                <w:sz w:val="11"/>
              </w:rPr>
              <w:t>awards</w:t>
            </w:r>
          </w:p>
        </w:tc>
        <w:tc>
          <w:tcPr>
            <w:tcW w:w="759" w:type="dxa"/>
            <w:shd w:val="clear" w:color="auto" w:fill="CCEDFF"/>
          </w:tcPr>
          <w:p>
            <w:pPr>
              <w:pStyle w:val="TableParagraph"/>
              <w:spacing w:before="6"/>
              <w:rPr>
                <w:b/>
                <w:sz w:val="12"/>
              </w:rPr>
            </w:pPr>
          </w:p>
          <w:p>
            <w:pPr>
              <w:pStyle w:val="TableParagraph"/>
              <w:spacing w:before="0"/>
              <w:ind w:right="101"/>
              <w:jc w:val="right"/>
              <w:rPr>
                <w:sz w:val="12"/>
              </w:rPr>
            </w:pPr>
            <w:r>
              <w:rPr>
                <w:spacing w:val="-2"/>
                <w:w w:val="105"/>
                <w:sz w:val="12"/>
              </w:rPr>
              <w:t>1,688</w:t>
            </w:r>
          </w:p>
        </w:tc>
        <w:tc>
          <w:tcPr>
            <w:tcW w:w="825" w:type="dxa"/>
            <w:shd w:val="clear" w:color="auto" w:fill="CCEDFF"/>
          </w:tcPr>
          <w:p>
            <w:pPr>
              <w:pStyle w:val="TableParagraph"/>
              <w:spacing w:before="6"/>
              <w:rPr>
                <w:b/>
                <w:sz w:val="12"/>
              </w:rPr>
            </w:pPr>
          </w:p>
          <w:p>
            <w:pPr>
              <w:pStyle w:val="TableParagraph"/>
              <w:spacing w:before="0"/>
              <w:ind w:right="101"/>
              <w:jc w:val="right"/>
              <w:rPr>
                <w:sz w:val="12"/>
              </w:rPr>
            </w:pPr>
            <w:r>
              <w:rPr>
                <w:spacing w:val="-5"/>
                <w:w w:val="105"/>
                <w:sz w:val="12"/>
              </w:rPr>
              <w:t>17</w:t>
            </w:r>
          </w:p>
        </w:tc>
        <w:tc>
          <w:tcPr>
            <w:tcW w:w="1032" w:type="dxa"/>
            <w:shd w:val="clear" w:color="auto" w:fill="CCEDFF"/>
          </w:tcPr>
          <w:p>
            <w:pPr>
              <w:pStyle w:val="TableParagraph"/>
              <w:spacing w:before="6"/>
              <w:rPr>
                <w:b/>
                <w:sz w:val="12"/>
              </w:rPr>
            </w:pPr>
          </w:p>
          <w:p>
            <w:pPr>
              <w:pStyle w:val="TableParagraph"/>
              <w:spacing w:before="0"/>
              <w:ind w:right="71"/>
              <w:jc w:val="right"/>
              <w:rPr>
                <w:sz w:val="12"/>
              </w:rPr>
            </w:pPr>
            <w:r>
              <w:rPr>
                <w:spacing w:val="-2"/>
                <w:w w:val="105"/>
                <w:sz w:val="12"/>
              </w:rPr>
              <w:t>(27,042)</w:t>
            </w:r>
          </w:p>
        </w:tc>
        <w:tc>
          <w:tcPr>
            <w:tcW w:w="937" w:type="dxa"/>
            <w:shd w:val="clear" w:color="auto" w:fill="CCEDFF"/>
          </w:tcPr>
          <w:p>
            <w:pPr>
              <w:pStyle w:val="TableParagraph"/>
              <w:spacing w:before="6"/>
              <w:rPr>
                <w:b/>
                <w:sz w:val="12"/>
              </w:rPr>
            </w:pPr>
          </w:p>
          <w:p>
            <w:pPr>
              <w:pStyle w:val="TableParagraph"/>
              <w:spacing w:before="0"/>
              <w:ind w:right="103"/>
              <w:jc w:val="right"/>
              <w:rPr>
                <w:sz w:val="12"/>
              </w:rPr>
            </w:pPr>
            <w:r>
              <w:rPr>
                <w:spacing w:val="-10"/>
                <w:w w:val="105"/>
                <w:sz w:val="12"/>
              </w:rPr>
              <w:t>—</w:t>
            </w:r>
          </w:p>
        </w:tc>
        <w:tc>
          <w:tcPr>
            <w:tcW w:w="1137" w:type="dxa"/>
            <w:shd w:val="clear" w:color="auto" w:fill="CCEDFF"/>
          </w:tcPr>
          <w:p>
            <w:pPr>
              <w:pStyle w:val="TableParagraph"/>
              <w:spacing w:before="6"/>
              <w:rPr>
                <w:b/>
                <w:sz w:val="12"/>
              </w:rPr>
            </w:pPr>
          </w:p>
          <w:p>
            <w:pPr>
              <w:pStyle w:val="TableParagraph"/>
              <w:spacing w:before="0"/>
              <w:ind w:right="104"/>
              <w:jc w:val="right"/>
              <w:rPr>
                <w:sz w:val="12"/>
              </w:rPr>
            </w:pPr>
            <w:r>
              <w:rPr>
                <w:spacing w:val="-10"/>
                <w:w w:val="105"/>
                <w:sz w:val="12"/>
              </w:rPr>
              <w:t>—</w:t>
            </w:r>
          </w:p>
        </w:tc>
        <w:tc>
          <w:tcPr>
            <w:tcW w:w="1162" w:type="dxa"/>
            <w:shd w:val="clear" w:color="auto" w:fill="CCEDFF"/>
          </w:tcPr>
          <w:p>
            <w:pPr>
              <w:pStyle w:val="TableParagraph"/>
              <w:spacing w:before="6"/>
              <w:rPr>
                <w:b/>
                <w:sz w:val="12"/>
              </w:rPr>
            </w:pPr>
          </w:p>
          <w:p>
            <w:pPr>
              <w:pStyle w:val="TableParagraph"/>
              <w:spacing w:before="0"/>
              <w:ind w:right="72"/>
              <w:jc w:val="right"/>
              <w:rPr>
                <w:sz w:val="12"/>
              </w:rPr>
            </w:pPr>
            <w:r>
              <w:rPr>
                <w:spacing w:val="-2"/>
                <w:w w:val="105"/>
                <w:sz w:val="12"/>
              </w:rPr>
              <w:t>(27,025)</w:t>
            </w:r>
          </w:p>
        </w:tc>
        <w:tc>
          <w:tcPr>
            <w:tcW w:w="1103" w:type="dxa"/>
            <w:shd w:val="clear" w:color="auto" w:fill="CCEDFF"/>
          </w:tcPr>
          <w:p>
            <w:pPr>
              <w:pStyle w:val="TableParagraph"/>
              <w:spacing w:before="6"/>
              <w:rPr>
                <w:b/>
                <w:sz w:val="12"/>
              </w:rPr>
            </w:pPr>
          </w:p>
          <w:p>
            <w:pPr>
              <w:pStyle w:val="TableParagraph"/>
              <w:spacing w:before="0"/>
              <w:ind w:right="104"/>
              <w:jc w:val="right"/>
              <w:rPr>
                <w:sz w:val="12"/>
              </w:rPr>
            </w:pPr>
            <w:r>
              <w:rPr>
                <w:spacing w:val="-10"/>
                <w:w w:val="105"/>
                <w:sz w:val="12"/>
              </w:rPr>
              <w:t>—</w:t>
            </w:r>
          </w:p>
        </w:tc>
        <w:tc>
          <w:tcPr>
            <w:tcW w:w="1006" w:type="dxa"/>
            <w:shd w:val="clear" w:color="auto" w:fill="CCEDFF"/>
          </w:tcPr>
          <w:p>
            <w:pPr>
              <w:pStyle w:val="TableParagraph"/>
              <w:spacing w:before="6"/>
              <w:rPr>
                <w:b/>
                <w:sz w:val="12"/>
              </w:rPr>
            </w:pPr>
          </w:p>
          <w:p>
            <w:pPr>
              <w:pStyle w:val="TableParagraph"/>
              <w:spacing w:before="0"/>
              <w:ind w:right="41"/>
              <w:jc w:val="right"/>
              <w:rPr>
                <w:sz w:val="12"/>
              </w:rPr>
            </w:pPr>
            <w:r>
              <w:rPr>
                <w:spacing w:val="-2"/>
                <w:w w:val="105"/>
                <w:sz w:val="12"/>
              </w:rPr>
              <w:t>(27,025)</w:t>
            </w:r>
          </w:p>
        </w:tc>
      </w:tr>
      <w:tr>
        <w:trPr>
          <w:trHeight w:val="188" w:hRule="atLeast"/>
        </w:trPr>
        <w:tc>
          <w:tcPr>
            <w:tcW w:w="3559" w:type="dxa"/>
          </w:tcPr>
          <w:p>
            <w:pPr>
              <w:pStyle w:val="TableParagraph"/>
              <w:spacing w:before="18"/>
              <w:ind w:left="225"/>
              <w:rPr>
                <w:sz w:val="11"/>
              </w:rPr>
            </w:pPr>
            <w:r>
              <w:rPr>
                <w:w w:val="105"/>
                <w:sz w:val="11"/>
              </w:rPr>
              <w:t>Cash</w:t>
            </w:r>
            <w:r>
              <w:rPr>
                <w:spacing w:val="3"/>
                <w:w w:val="105"/>
                <w:sz w:val="11"/>
              </w:rPr>
              <w:t> </w:t>
            </w:r>
            <w:r>
              <w:rPr>
                <w:w w:val="105"/>
                <w:sz w:val="11"/>
              </w:rPr>
              <w:t>distributions</w:t>
            </w:r>
            <w:r>
              <w:rPr>
                <w:spacing w:val="3"/>
                <w:w w:val="105"/>
                <w:sz w:val="11"/>
              </w:rPr>
              <w:t> </w:t>
            </w:r>
            <w:r>
              <w:rPr>
                <w:w w:val="105"/>
                <w:sz w:val="11"/>
              </w:rPr>
              <w:t>to</w:t>
            </w:r>
            <w:r>
              <w:rPr>
                <w:spacing w:val="3"/>
                <w:w w:val="105"/>
                <w:sz w:val="11"/>
              </w:rPr>
              <w:t> </w:t>
            </w:r>
            <w:r>
              <w:rPr>
                <w:w w:val="105"/>
                <w:sz w:val="11"/>
              </w:rPr>
              <w:t>noncontrolling</w:t>
            </w:r>
            <w:r>
              <w:rPr>
                <w:spacing w:val="4"/>
                <w:w w:val="105"/>
                <w:sz w:val="11"/>
              </w:rPr>
              <w:t> </w:t>
            </w:r>
            <w:r>
              <w:rPr>
                <w:w w:val="105"/>
                <w:sz w:val="11"/>
              </w:rPr>
              <w:t>interest</w:t>
            </w:r>
            <w:r>
              <w:rPr>
                <w:spacing w:val="3"/>
                <w:w w:val="105"/>
                <w:sz w:val="11"/>
              </w:rPr>
              <w:t> </w:t>
            </w:r>
            <w:r>
              <w:rPr>
                <w:spacing w:val="-2"/>
                <w:w w:val="105"/>
                <w:sz w:val="11"/>
              </w:rPr>
              <w:t>owners</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10"/>
                <w:w w:val="105"/>
                <w:sz w:val="12"/>
              </w:rPr>
              <w:t>—</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104"/>
              <w:jc w:val="right"/>
              <w:rPr>
                <w:sz w:val="12"/>
              </w:rPr>
            </w:pPr>
            <w:r>
              <w:rPr>
                <w:spacing w:val="-10"/>
                <w:w w:val="105"/>
                <w:sz w:val="12"/>
              </w:rPr>
              <w:t>—</w:t>
            </w:r>
          </w:p>
        </w:tc>
        <w:tc>
          <w:tcPr>
            <w:tcW w:w="1162" w:type="dxa"/>
          </w:tcPr>
          <w:p>
            <w:pPr>
              <w:pStyle w:val="TableParagraph"/>
              <w:spacing w:before="23"/>
              <w:ind w:right="103"/>
              <w:jc w:val="right"/>
              <w:rPr>
                <w:sz w:val="12"/>
              </w:rPr>
            </w:pPr>
            <w:r>
              <w:rPr>
                <w:spacing w:val="-10"/>
                <w:w w:val="105"/>
                <w:sz w:val="12"/>
              </w:rPr>
              <w:t>—</w:t>
            </w:r>
          </w:p>
        </w:tc>
        <w:tc>
          <w:tcPr>
            <w:tcW w:w="1103" w:type="dxa"/>
          </w:tcPr>
          <w:p>
            <w:pPr>
              <w:pStyle w:val="TableParagraph"/>
              <w:spacing w:before="23"/>
              <w:ind w:right="73"/>
              <w:jc w:val="right"/>
              <w:rPr>
                <w:sz w:val="12"/>
              </w:rPr>
            </w:pPr>
            <w:r>
              <w:rPr>
                <w:spacing w:val="-2"/>
                <w:w w:val="105"/>
                <w:sz w:val="12"/>
              </w:rPr>
              <w:t>(95,622)</w:t>
            </w:r>
          </w:p>
        </w:tc>
        <w:tc>
          <w:tcPr>
            <w:tcW w:w="1006" w:type="dxa"/>
          </w:tcPr>
          <w:p>
            <w:pPr>
              <w:pStyle w:val="TableParagraph"/>
              <w:spacing w:before="23"/>
              <w:ind w:right="41"/>
              <w:jc w:val="right"/>
              <w:rPr>
                <w:sz w:val="12"/>
              </w:rPr>
            </w:pPr>
            <w:r>
              <w:rPr>
                <w:spacing w:val="-2"/>
                <w:w w:val="105"/>
                <w:sz w:val="12"/>
              </w:rPr>
              <w:t>(95,622)</w:t>
            </w:r>
          </w:p>
        </w:tc>
      </w:tr>
      <w:tr>
        <w:trPr>
          <w:trHeight w:val="337" w:hRule="atLeast"/>
        </w:trPr>
        <w:tc>
          <w:tcPr>
            <w:tcW w:w="3559" w:type="dxa"/>
            <w:shd w:val="clear" w:color="auto" w:fill="CCEDFF"/>
          </w:tcPr>
          <w:p>
            <w:pPr>
              <w:pStyle w:val="TableParagraph"/>
              <w:spacing w:line="256" w:lineRule="auto" w:before="32"/>
              <w:ind w:left="225" w:right="143"/>
              <w:rPr>
                <w:sz w:val="11"/>
              </w:rPr>
            </w:pPr>
            <w:r>
              <w:rPr>
                <w:w w:val="105"/>
                <w:sz w:val="11"/>
              </w:rPr>
              <w:t>Dividends</w:t>
            </w:r>
            <w:r>
              <w:rPr>
                <w:spacing w:val="-1"/>
                <w:w w:val="105"/>
                <w:sz w:val="11"/>
              </w:rPr>
              <w:t> </w:t>
            </w:r>
            <w:r>
              <w:rPr>
                <w:w w:val="105"/>
                <w:sz w:val="11"/>
              </w:rPr>
              <w:t>declared</w:t>
            </w:r>
            <w:r>
              <w:rPr>
                <w:spacing w:val="-1"/>
                <w:w w:val="105"/>
                <w:sz w:val="11"/>
              </w:rPr>
              <w:t> </w:t>
            </w:r>
            <w:r>
              <w:rPr>
                <w:w w:val="105"/>
                <w:sz w:val="11"/>
              </w:rPr>
              <w:t>and</w:t>
            </w:r>
            <w:r>
              <w:rPr>
                <w:spacing w:val="-1"/>
                <w:w w:val="105"/>
                <w:sz w:val="11"/>
              </w:rPr>
              <w:t> </w:t>
            </w:r>
            <w:r>
              <w:rPr>
                <w:w w:val="105"/>
                <w:sz w:val="11"/>
              </w:rPr>
              <w:t>paid</w:t>
            </w:r>
            <w:r>
              <w:rPr>
                <w:spacing w:val="-1"/>
                <w:w w:val="105"/>
                <w:sz w:val="11"/>
              </w:rPr>
              <w:t> </w:t>
            </w:r>
            <w:r>
              <w:rPr>
                <w:w w:val="105"/>
                <w:sz w:val="11"/>
              </w:rPr>
              <w:t>to</w:t>
            </w:r>
            <w:r>
              <w:rPr>
                <w:spacing w:val="-1"/>
                <w:w w:val="105"/>
                <w:sz w:val="11"/>
              </w:rPr>
              <w:t> </w:t>
            </w:r>
            <w:r>
              <w:rPr>
                <w:w w:val="105"/>
                <w:sz w:val="11"/>
              </w:rPr>
              <w:t>common</w:t>
            </w:r>
            <w:r>
              <w:rPr>
                <w:spacing w:val="-1"/>
                <w:w w:val="105"/>
                <w:sz w:val="11"/>
              </w:rPr>
              <w:t> </w:t>
            </w:r>
            <w:r>
              <w:rPr>
                <w:w w:val="105"/>
                <w:sz w:val="11"/>
              </w:rPr>
              <w:t>shareholders</w:t>
            </w:r>
            <w:r>
              <w:rPr>
                <w:spacing w:val="-1"/>
                <w:w w:val="105"/>
                <w:sz w:val="11"/>
              </w:rPr>
              <w:t> </w:t>
            </w:r>
            <w:r>
              <w:rPr>
                <w:w w:val="105"/>
                <w:sz w:val="11"/>
              </w:rPr>
              <w:t>($0.01</w:t>
            </w:r>
            <w:r>
              <w:rPr>
                <w:spacing w:val="-1"/>
                <w:w w:val="105"/>
                <w:sz w:val="11"/>
              </w:rPr>
              <w:t> </w:t>
            </w:r>
            <w:r>
              <w:rPr>
                <w:w w:val="105"/>
                <w:sz w:val="11"/>
              </w:rPr>
              <w:t>per</w:t>
            </w:r>
            <w:r>
              <w:rPr>
                <w:spacing w:val="40"/>
                <w:w w:val="105"/>
                <w:sz w:val="11"/>
              </w:rPr>
              <w:t> </w:t>
            </w:r>
            <w:r>
              <w:rPr>
                <w:spacing w:val="-2"/>
                <w:w w:val="105"/>
                <w:sz w:val="11"/>
              </w:rPr>
              <w:t>share)</w:t>
            </w:r>
          </w:p>
        </w:tc>
        <w:tc>
          <w:tcPr>
            <w:tcW w:w="759" w:type="dxa"/>
            <w:shd w:val="clear" w:color="auto" w:fill="CCEDFF"/>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825" w:type="dxa"/>
            <w:shd w:val="clear" w:color="auto" w:fill="CCEDFF"/>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1032" w:type="dxa"/>
            <w:shd w:val="clear" w:color="auto" w:fill="CCEDFF"/>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937" w:type="dxa"/>
            <w:shd w:val="clear" w:color="auto" w:fill="CCEDFF"/>
          </w:tcPr>
          <w:p>
            <w:pPr>
              <w:pStyle w:val="TableParagraph"/>
              <w:spacing w:before="19"/>
              <w:rPr>
                <w:b/>
                <w:sz w:val="12"/>
              </w:rPr>
            </w:pPr>
          </w:p>
          <w:p>
            <w:pPr>
              <w:pStyle w:val="TableParagraph"/>
              <w:spacing w:before="1"/>
              <w:ind w:right="70"/>
              <w:jc w:val="right"/>
              <w:rPr>
                <w:sz w:val="12"/>
              </w:rPr>
            </w:pPr>
            <w:r>
              <w:rPr>
                <w:spacing w:val="-2"/>
                <w:w w:val="105"/>
                <w:sz w:val="12"/>
              </w:rPr>
              <w:t>(4,048)</w:t>
            </w:r>
          </w:p>
        </w:tc>
        <w:tc>
          <w:tcPr>
            <w:tcW w:w="1137" w:type="dxa"/>
            <w:shd w:val="clear" w:color="auto" w:fill="CCEDFF"/>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162" w:type="dxa"/>
            <w:shd w:val="clear" w:color="auto" w:fill="CCEDFF"/>
          </w:tcPr>
          <w:p>
            <w:pPr>
              <w:pStyle w:val="TableParagraph"/>
              <w:spacing w:before="19"/>
              <w:rPr>
                <w:b/>
                <w:sz w:val="12"/>
              </w:rPr>
            </w:pPr>
          </w:p>
          <w:p>
            <w:pPr>
              <w:pStyle w:val="TableParagraph"/>
              <w:spacing w:before="1"/>
              <w:ind w:right="72"/>
              <w:jc w:val="right"/>
              <w:rPr>
                <w:sz w:val="12"/>
              </w:rPr>
            </w:pPr>
            <w:r>
              <w:rPr>
                <w:spacing w:val="-2"/>
                <w:w w:val="105"/>
                <w:sz w:val="12"/>
              </w:rPr>
              <w:t>(4,048)</w:t>
            </w:r>
          </w:p>
        </w:tc>
        <w:tc>
          <w:tcPr>
            <w:tcW w:w="1103" w:type="dxa"/>
            <w:shd w:val="clear" w:color="auto" w:fill="CCEDFF"/>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006" w:type="dxa"/>
            <w:shd w:val="clear" w:color="auto" w:fill="CCEDFF"/>
          </w:tcPr>
          <w:p>
            <w:pPr>
              <w:pStyle w:val="TableParagraph"/>
              <w:spacing w:before="19"/>
              <w:rPr>
                <w:b/>
                <w:sz w:val="12"/>
              </w:rPr>
            </w:pPr>
          </w:p>
          <w:p>
            <w:pPr>
              <w:pStyle w:val="TableParagraph"/>
              <w:spacing w:before="1"/>
              <w:ind w:right="41"/>
              <w:jc w:val="right"/>
              <w:rPr>
                <w:sz w:val="12"/>
              </w:rPr>
            </w:pPr>
            <w:r>
              <w:rPr>
                <w:spacing w:val="-2"/>
                <w:w w:val="105"/>
                <w:sz w:val="12"/>
              </w:rPr>
              <w:t>(4,048)</w:t>
            </w:r>
          </w:p>
        </w:tc>
      </w:tr>
      <w:tr>
        <w:trPr>
          <w:trHeight w:val="202" w:hRule="atLeast"/>
        </w:trPr>
        <w:tc>
          <w:tcPr>
            <w:tcW w:w="3559" w:type="dxa"/>
          </w:tcPr>
          <w:p>
            <w:pPr>
              <w:pStyle w:val="TableParagraph"/>
              <w:spacing w:before="32"/>
              <w:ind w:left="225"/>
              <w:rPr>
                <w:sz w:val="11"/>
              </w:rPr>
            </w:pPr>
            <w:r>
              <w:rPr>
                <w:w w:val="105"/>
                <w:sz w:val="11"/>
              </w:rPr>
              <w:t>Issuance</w:t>
            </w:r>
            <w:r>
              <w:rPr>
                <w:spacing w:val="2"/>
                <w:w w:val="105"/>
                <w:sz w:val="11"/>
              </w:rPr>
              <w:t> </w:t>
            </w:r>
            <w:r>
              <w:rPr>
                <w:w w:val="105"/>
                <w:sz w:val="11"/>
              </w:rPr>
              <w:t>of</w:t>
            </w:r>
            <w:r>
              <w:rPr>
                <w:spacing w:val="2"/>
                <w:w w:val="105"/>
                <w:sz w:val="11"/>
              </w:rPr>
              <w:t> </w:t>
            </w:r>
            <w:r>
              <w:rPr>
                <w:w w:val="105"/>
                <w:sz w:val="11"/>
              </w:rPr>
              <w:t>restricted</w:t>
            </w:r>
            <w:r>
              <w:rPr>
                <w:spacing w:val="3"/>
                <w:w w:val="105"/>
                <w:sz w:val="11"/>
              </w:rPr>
              <w:t> </w:t>
            </w:r>
            <w:r>
              <w:rPr>
                <w:w w:val="105"/>
                <w:sz w:val="11"/>
              </w:rPr>
              <w:t>stock</w:t>
            </w:r>
            <w:r>
              <w:rPr>
                <w:spacing w:val="2"/>
                <w:w w:val="105"/>
                <w:sz w:val="11"/>
              </w:rPr>
              <w:t> </w:t>
            </w:r>
            <w:r>
              <w:rPr>
                <w:spacing w:val="-2"/>
                <w:w w:val="105"/>
                <w:sz w:val="11"/>
              </w:rPr>
              <w:t>units</w:t>
            </w:r>
          </w:p>
        </w:tc>
        <w:tc>
          <w:tcPr>
            <w:tcW w:w="759" w:type="dxa"/>
          </w:tcPr>
          <w:p>
            <w:pPr>
              <w:pStyle w:val="TableParagraph"/>
              <w:spacing w:before="23"/>
              <w:ind w:right="101"/>
              <w:jc w:val="right"/>
              <w:rPr>
                <w:sz w:val="12"/>
              </w:rPr>
            </w:pPr>
            <w:r>
              <w:rPr>
                <w:spacing w:val="-10"/>
                <w:w w:val="105"/>
                <w:sz w:val="12"/>
              </w:rPr>
              <w:t>—</w:t>
            </w:r>
          </w:p>
        </w:tc>
        <w:tc>
          <w:tcPr>
            <w:tcW w:w="825" w:type="dxa"/>
          </w:tcPr>
          <w:p>
            <w:pPr>
              <w:pStyle w:val="TableParagraph"/>
              <w:spacing w:before="23"/>
              <w:ind w:right="101"/>
              <w:jc w:val="right"/>
              <w:rPr>
                <w:sz w:val="12"/>
              </w:rPr>
            </w:pPr>
            <w:r>
              <w:rPr>
                <w:spacing w:val="-10"/>
                <w:w w:val="105"/>
                <w:sz w:val="12"/>
              </w:rPr>
              <w:t>—</w:t>
            </w:r>
          </w:p>
        </w:tc>
        <w:tc>
          <w:tcPr>
            <w:tcW w:w="1032" w:type="dxa"/>
          </w:tcPr>
          <w:p>
            <w:pPr>
              <w:pStyle w:val="TableParagraph"/>
              <w:spacing w:before="23"/>
              <w:ind w:right="101"/>
              <w:jc w:val="right"/>
              <w:rPr>
                <w:sz w:val="12"/>
              </w:rPr>
            </w:pPr>
            <w:r>
              <w:rPr>
                <w:spacing w:val="-2"/>
                <w:w w:val="105"/>
                <w:sz w:val="12"/>
              </w:rPr>
              <w:t>1,941</w:t>
            </w:r>
          </w:p>
        </w:tc>
        <w:tc>
          <w:tcPr>
            <w:tcW w:w="937" w:type="dxa"/>
          </w:tcPr>
          <w:p>
            <w:pPr>
              <w:pStyle w:val="TableParagraph"/>
              <w:spacing w:before="23"/>
              <w:ind w:right="103"/>
              <w:jc w:val="right"/>
              <w:rPr>
                <w:sz w:val="12"/>
              </w:rPr>
            </w:pPr>
            <w:r>
              <w:rPr>
                <w:spacing w:val="-10"/>
                <w:w w:val="105"/>
                <w:sz w:val="12"/>
              </w:rPr>
              <w:t>—</w:t>
            </w:r>
          </w:p>
        </w:tc>
        <w:tc>
          <w:tcPr>
            <w:tcW w:w="1137" w:type="dxa"/>
          </w:tcPr>
          <w:p>
            <w:pPr>
              <w:pStyle w:val="TableParagraph"/>
              <w:spacing w:before="23"/>
              <w:ind w:right="104"/>
              <w:jc w:val="right"/>
              <w:rPr>
                <w:sz w:val="12"/>
              </w:rPr>
            </w:pPr>
            <w:r>
              <w:rPr>
                <w:spacing w:val="-10"/>
                <w:w w:val="105"/>
                <w:sz w:val="12"/>
              </w:rPr>
              <w:t>—</w:t>
            </w:r>
          </w:p>
        </w:tc>
        <w:tc>
          <w:tcPr>
            <w:tcW w:w="1162" w:type="dxa"/>
          </w:tcPr>
          <w:p>
            <w:pPr>
              <w:pStyle w:val="TableParagraph"/>
              <w:spacing w:before="23"/>
              <w:ind w:right="103"/>
              <w:jc w:val="right"/>
              <w:rPr>
                <w:sz w:val="12"/>
              </w:rPr>
            </w:pPr>
            <w:r>
              <w:rPr>
                <w:spacing w:val="-2"/>
                <w:w w:val="105"/>
                <w:sz w:val="12"/>
              </w:rPr>
              <w:t>1,941</w:t>
            </w:r>
          </w:p>
        </w:tc>
        <w:tc>
          <w:tcPr>
            <w:tcW w:w="1103" w:type="dxa"/>
          </w:tcPr>
          <w:p>
            <w:pPr>
              <w:pStyle w:val="TableParagraph"/>
              <w:spacing w:before="23"/>
              <w:ind w:right="104"/>
              <w:jc w:val="right"/>
              <w:rPr>
                <w:sz w:val="12"/>
              </w:rPr>
            </w:pPr>
            <w:r>
              <w:rPr>
                <w:spacing w:val="-5"/>
                <w:w w:val="105"/>
                <w:sz w:val="12"/>
              </w:rPr>
              <w:t>186</w:t>
            </w:r>
          </w:p>
        </w:tc>
        <w:tc>
          <w:tcPr>
            <w:tcW w:w="1006" w:type="dxa"/>
          </w:tcPr>
          <w:p>
            <w:pPr>
              <w:pStyle w:val="TableParagraph"/>
              <w:spacing w:before="23"/>
              <w:ind w:right="72"/>
              <w:jc w:val="right"/>
              <w:rPr>
                <w:sz w:val="12"/>
              </w:rPr>
            </w:pPr>
            <w:r>
              <w:rPr>
                <w:spacing w:val="-2"/>
                <w:w w:val="105"/>
                <w:sz w:val="12"/>
              </w:rPr>
              <w:t>2,127</w:t>
            </w:r>
          </w:p>
        </w:tc>
      </w:tr>
      <w:tr>
        <w:trPr>
          <w:trHeight w:val="188" w:hRule="atLeast"/>
        </w:trPr>
        <w:tc>
          <w:tcPr>
            <w:tcW w:w="3559" w:type="dxa"/>
            <w:shd w:val="clear" w:color="auto" w:fill="CCEDFF"/>
          </w:tcPr>
          <w:p>
            <w:pPr>
              <w:pStyle w:val="TableParagraph"/>
              <w:spacing w:before="18"/>
              <w:ind w:left="225"/>
              <w:rPr>
                <w:sz w:val="11"/>
              </w:rPr>
            </w:pPr>
            <w:r>
              <w:rPr>
                <w:w w:val="105"/>
                <w:sz w:val="11"/>
              </w:rPr>
              <w:t>Repurchases</w:t>
            </w:r>
            <w:r>
              <w:rPr>
                <w:spacing w:val="3"/>
                <w:w w:val="105"/>
                <w:sz w:val="11"/>
              </w:rPr>
              <w:t> </w:t>
            </w:r>
            <w:r>
              <w:rPr>
                <w:w w:val="105"/>
                <w:sz w:val="11"/>
              </w:rPr>
              <w:t>of</w:t>
            </w:r>
            <w:r>
              <w:rPr>
                <w:spacing w:val="3"/>
                <w:w w:val="105"/>
                <w:sz w:val="11"/>
              </w:rPr>
              <w:t> </w:t>
            </w:r>
            <w:r>
              <w:rPr>
                <w:w w:val="105"/>
                <w:sz w:val="11"/>
              </w:rPr>
              <w:t>common</w:t>
            </w:r>
            <w:r>
              <w:rPr>
                <w:spacing w:val="3"/>
                <w:w w:val="105"/>
                <w:sz w:val="11"/>
              </w:rPr>
              <w:t> </w:t>
            </w:r>
            <w:r>
              <w:rPr>
                <w:spacing w:val="-2"/>
                <w:w w:val="105"/>
                <w:sz w:val="11"/>
              </w:rPr>
              <w:t>stock</w:t>
            </w:r>
          </w:p>
        </w:tc>
        <w:tc>
          <w:tcPr>
            <w:tcW w:w="759" w:type="dxa"/>
            <w:shd w:val="clear" w:color="auto" w:fill="CCEDFF"/>
          </w:tcPr>
          <w:p>
            <w:pPr>
              <w:pStyle w:val="TableParagraph"/>
              <w:spacing w:before="23"/>
              <w:ind w:right="69"/>
              <w:jc w:val="right"/>
              <w:rPr>
                <w:sz w:val="12"/>
              </w:rPr>
            </w:pPr>
            <w:r>
              <w:rPr>
                <w:spacing w:val="-2"/>
                <w:w w:val="105"/>
                <w:sz w:val="12"/>
              </w:rPr>
              <w:t>(76,404)</w:t>
            </w:r>
          </w:p>
        </w:tc>
        <w:tc>
          <w:tcPr>
            <w:tcW w:w="825" w:type="dxa"/>
            <w:shd w:val="clear" w:color="auto" w:fill="CCEDFF"/>
          </w:tcPr>
          <w:p>
            <w:pPr>
              <w:pStyle w:val="TableParagraph"/>
              <w:spacing w:before="23"/>
              <w:ind w:right="69"/>
              <w:jc w:val="right"/>
              <w:rPr>
                <w:sz w:val="12"/>
              </w:rPr>
            </w:pPr>
            <w:r>
              <w:rPr>
                <w:spacing w:val="-2"/>
                <w:w w:val="105"/>
                <w:sz w:val="12"/>
              </w:rPr>
              <w:t>(764)</w:t>
            </w:r>
          </w:p>
        </w:tc>
        <w:tc>
          <w:tcPr>
            <w:tcW w:w="1032" w:type="dxa"/>
            <w:shd w:val="clear" w:color="auto" w:fill="CCEDFF"/>
          </w:tcPr>
          <w:p>
            <w:pPr>
              <w:pStyle w:val="TableParagraph"/>
              <w:spacing w:before="23"/>
              <w:ind w:right="70"/>
              <w:jc w:val="right"/>
              <w:rPr>
                <w:sz w:val="12"/>
              </w:rPr>
            </w:pPr>
            <w:r>
              <w:rPr>
                <w:spacing w:val="-2"/>
                <w:w w:val="105"/>
                <w:sz w:val="12"/>
              </w:rPr>
              <w:t>(1,759,059)</w:t>
            </w:r>
          </w:p>
        </w:tc>
        <w:tc>
          <w:tcPr>
            <w:tcW w:w="937" w:type="dxa"/>
            <w:shd w:val="clear" w:color="auto" w:fill="CCEDFF"/>
          </w:tcPr>
          <w:p>
            <w:pPr>
              <w:pStyle w:val="TableParagraph"/>
              <w:spacing w:before="23"/>
              <w:ind w:right="70"/>
              <w:jc w:val="right"/>
              <w:rPr>
                <w:sz w:val="12"/>
              </w:rPr>
            </w:pPr>
            <w:r>
              <w:rPr>
                <w:spacing w:val="-2"/>
                <w:w w:val="105"/>
                <w:sz w:val="12"/>
              </w:rPr>
              <w:t>(1,015,394)</w:t>
            </w:r>
          </w:p>
        </w:tc>
        <w:tc>
          <w:tcPr>
            <w:tcW w:w="1137" w:type="dxa"/>
            <w:shd w:val="clear" w:color="auto" w:fill="CCEDFF"/>
          </w:tcPr>
          <w:p>
            <w:pPr>
              <w:pStyle w:val="TableParagraph"/>
              <w:spacing w:before="23"/>
              <w:ind w:right="104"/>
              <w:jc w:val="right"/>
              <w:rPr>
                <w:sz w:val="12"/>
              </w:rPr>
            </w:pPr>
            <w:r>
              <w:rPr>
                <w:spacing w:val="-10"/>
                <w:w w:val="105"/>
                <w:sz w:val="12"/>
              </w:rPr>
              <w:t>—</w:t>
            </w:r>
          </w:p>
        </w:tc>
        <w:tc>
          <w:tcPr>
            <w:tcW w:w="1162" w:type="dxa"/>
            <w:shd w:val="clear" w:color="auto" w:fill="CCEDFF"/>
          </w:tcPr>
          <w:p>
            <w:pPr>
              <w:pStyle w:val="TableParagraph"/>
              <w:spacing w:before="23"/>
              <w:ind w:right="72"/>
              <w:jc w:val="right"/>
              <w:rPr>
                <w:sz w:val="12"/>
              </w:rPr>
            </w:pPr>
            <w:r>
              <w:rPr>
                <w:spacing w:val="-2"/>
                <w:w w:val="105"/>
                <w:sz w:val="12"/>
              </w:rPr>
              <w:t>(2,775,217)</w:t>
            </w:r>
          </w:p>
        </w:tc>
        <w:tc>
          <w:tcPr>
            <w:tcW w:w="1103" w:type="dxa"/>
            <w:shd w:val="clear" w:color="auto" w:fill="CCEDFF"/>
          </w:tcPr>
          <w:p>
            <w:pPr>
              <w:pStyle w:val="TableParagraph"/>
              <w:spacing w:before="23"/>
              <w:ind w:right="104"/>
              <w:jc w:val="right"/>
              <w:rPr>
                <w:sz w:val="12"/>
              </w:rPr>
            </w:pPr>
            <w:r>
              <w:rPr>
                <w:spacing w:val="-10"/>
                <w:w w:val="105"/>
                <w:sz w:val="12"/>
              </w:rPr>
              <w:t>—</w:t>
            </w:r>
          </w:p>
        </w:tc>
        <w:tc>
          <w:tcPr>
            <w:tcW w:w="1006" w:type="dxa"/>
            <w:shd w:val="clear" w:color="auto" w:fill="CCEDFF"/>
          </w:tcPr>
          <w:p>
            <w:pPr>
              <w:pStyle w:val="TableParagraph"/>
              <w:spacing w:before="23"/>
              <w:ind w:right="41"/>
              <w:jc w:val="right"/>
              <w:rPr>
                <w:sz w:val="12"/>
              </w:rPr>
            </w:pPr>
            <w:r>
              <w:rPr>
                <w:spacing w:val="-2"/>
                <w:w w:val="105"/>
                <w:sz w:val="12"/>
              </w:rPr>
              <w:t>(2,775,217)</w:t>
            </w:r>
          </w:p>
        </w:tc>
      </w:tr>
      <w:tr>
        <w:trPr>
          <w:trHeight w:val="323" w:hRule="atLeast"/>
        </w:trPr>
        <w:tc>
          <w:tcPr>
            <w:tcW w:w="3559" w:type="dxa"/>
          </w:tcPr>
          <w:p>
            <w:pPr>
              <w:pStyle w:val="TableParagraph"/>
              <w:spacing w:line="256" w:lineRule="auto" w:before="18"/>
              <w:ind w:left="225" w:right="143"/>
              <w:rPr>
                <w:sz w:val="11"/>
              </w:rPr>
            </w:pPr>
            <w:r>
              <w:rPr>
                <w:w w:val="105"/>
                <w:sz w:val="11"/>
              </w:rPr>
              <w:t>Adjustment</w:t>
            </w:r>
            <w:r>
              <w:rPr>
                <w:spacing w:val="-1"/>
                <w:w w:val="105"/>
                <w:sz w:val="11"/>
              </w:rPr>
              <w:t> </w:t>
            </w:r>
            <w:r>
              <w:rPr>
                <w:w w:val="105"/>
                <w:sz w:val="11"/>
              </w:rPr>
              <w:t>of</w:t>
            </w:r>
            <w:r>
              <w:rPr>
                <w:spacing w:val="-1"/>
                <w:w w:val="105"/>
                <w:sz w:val="11"/>
              </w:rPr>
              <w:t> </w:t>
            </w:r>
            <w:r>
              <w:rPr>
                <w:w w:val="105"/>
                <w:sz w:val="11"/>
              </w:rPr>
              <w:t>redeemable</w:t>
            </w:r>
            <w:r>
              <w:rPr>
                <w:spacing w:val="-1"/>
                <w:w w:val="105"/>
                <w:sz w:val="11"/>
              </w:rPr>
              <w:t> </w:t>
            </w:r>
            <w:r>
              <w:rPr>
                <w:w w:val="105"/>
                <w:sz w:val="11"/>
              </w:rPr>
              <w:t>noncontrolling</w:t>
            </w:r>
            <w:r>
              <w:rPr>
                <w:spacing w:val="-1"/>
                <w:w w:val="105"/>
                <w:sz w:val="11"/>
              </w:rPr>
              <w:t> </w:t>
            </w:r>
            <w:r>
              <w:rPr>
                <w:w w:val="105"/>
                <w:sz w:val="11"/>
              </w:rPr>
              <w:t>interest</w:t>
            </w:r>
            <w:r>
              <w:rPr>
                <w:spacing w:val="-1"/>
                <w:w w:val="105"/>
                <w:sz w:val="11"/>
              </w:rPr>
              <w:t> </w:t>
            </w:r>
            <w:r>
              <w:rPr>
                <w:w w:val="105"/>
                <w:sz w:val="11"/>
              </w:rPr>
              <w:t>to</w:t>
            </w:r>
            <w:r>
              <w:rPr>
                <w:spacing w:val="-1"/>
                <w:w w:val="105"/>
                <w:sz w:val="11"/>
              </w:rPr>
              <w:t> </w:t>
            </w:r>
            <w:r>
              <w:rPr>
                <w:w w:val="105"/>
                <w:sz w:val="11"/>
              </w:rPr>
              <w:t>redemption</w:t>
            </w:r>
            <w:r>
              <w:rPr>
                <w:spacing w:val="40"/>
                <w:w w:val="105"/>
                <w:sz w:val="11"/>
              </w:rPr>
              <w:t> </w:t>
            </w:r>
            <w:r>
              <w:rPr>
                <w:spacing w:val="-2"/>
                <w:w w:val="105"/>
                <w:sz w:val="11"/>
              </w:rPr>
              <w:t>value</w:t>
            </w:r>
          </w:p>
        </w:tc>
        <w:tc>
          <w:tcPr>
            <w:tcW w:w="759" w:type="dxa"/>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825" w:type="dxa"/>
          </w:tcPr>
          <w:p>
            <w:pPr>
              <w:pStyle w:val="TableParagraph"/>
              <w:spacing w:before="19"/>
              <w:rPr>
                <w:b/>
                <w:sz w:val="12"/>
              </w:rPr>
            </w:pPr>
          </w:p>
          <w:p>
            <w:pPr>
              <w:pStyle w:val="TableParagraph"/>
              <w:spacing w:before="1"/>
              <w:ind w:right="101"/>
              <w:jc w:val="right"/>
              <w:rPr>
                <w:sz w:val="12"/>
              </w:rPr>
            </w:pPr>
            <w:r>
              <w:rPr>
                <w:spacing w:val="-10"/>
                <w:w w:val="105"/>
                <w:sz w:val="12"/>
              </w:rPr>
              <w:t>—</w:t>
            </w:r>
          </w:p>
        </w:tc>
        <w:tc>
          <w:tcPr>
            <w:tcW w:w="1032" w:type="dxa"/>
          </w:tcPr>
          <w:p>
            <w:pPr>
              <w:pStyle w:val="TableParagraph"/>
              <w:spacing w:before="19"/>
              <w:rPr>
                <w:b/>
                <w:sz w:val="12"/>
              </w:rPr>
            </w:pPr>
          </w:p>
          <w:p>
            <w:pPr>
              <w:pStyle w:val="TableParagraph"/>
              <w:spacing w:before="1"/>
              <w:ind w:right="71"/>
              <w:jc w:val="right"/>
              <w:rPr>
                <w:sz w:val="12"/>
              </w:rPr>
            </w:pPr>
            <w:r>
              <w:rPr>
                <w:spacing w:val="-2"/>
                <w:w w:val="105"/>
                <w:sz w:val="12"/>
              </w:rPr>
              <w:t>(31,888)</w:t>
            </w:r>
          </w:p>
        </w:tc>
        <w:tc>
          <w:tcPr>
            <w:tcW w:w="937" w:type="dxa"/>
          </w:tcPr>
          <w:p>
            <w:pPr>
              <w:pStyle w:val="TableParagraph"/>
              <w:spacing w:before="19"/>
              <w:rPr>
                <w:b/>
                <w:sz w:val="12"/>
              </w:rPr>
            </w:pPr>
          </w:p>
          <w:p>
            <w:pPr>
              <w:pStyle w:val="TableParagraph"/>
              <w:spacing w:before="1"/>
              <w:ind w:right="103"/>
              <w:jc w:val="right"/>
              <w:rPr>
                <w:sz w:val="12"/>
              </w:rPr>
            </w:pPr>
            <w:r>
              <w:rPr>
                <w:spacing w:val="-10"/>
                <w:w w:val="105"/>
                <w:sz w:val="12"/>
              </w:rPr>
              <w:t>—</w:t>
            </w:r>
          </w:p>
        </w:tc>
        <w:tc>
          <w:tcPr>
            <w:tcW w:w="1137" w:type="dxa"/>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162" w:type="dxa"/>
          </w:tcPr>
          <w:p>
            <w:pPr>
              <w:pStyle w:val="TableParagraph"/>
              <w:spacing w:before="19"/>
              <w:rPr>
                <w:b/>
                <w:sz w:val="12"/>
              </w:rPr>
            </w:pPr>
          </w:p>
          <w:p>
            <w:pPr>
              <w:pStyle w:val="TableParagraph"/>
              <w:spacing w:before="1"/>
              <w:ind w:right="72"/>
              <w:jc w:val="right"/>
              <w:rPr>
                <w:sz w:val="12"/>
              </w:rPr>
            </w:pPr>
            <w:r>
              <w:rPr>
                <w:spacing w:val="-2"/>
                <w:w w:val="105"/>
                <w:sz w:val="12"/>
              </w:rPr>
              <w:t>(31,888)</w:t>
            </w:r>
          </w:p>
        </w:tc>
        <w:tc>
          <w:tcPr>
            <w:tcW w:w="1103" w:type="dxa"/>
          </w:tcPr>
          <w:p>
            <w:pPr>
              <w:pStyle w:val="TableParagraph"/>
              <w:spacing w:before="19"/>
              <w:rPr>
                <w:b/>
                <w:sz w:val="12"/>
              </w:rPr>
            </w:pPr>
          </w:p>
          <w:p>
            <w:pPr>
              <w:pStyle w:val="TableParagraph"/>
              <w:spacing w:before="1"/>
              <w:ind w:right="104"/>
              <w:jc w:val="right"/>
              <w:rPr>
                <w:sz w:val="12"/>
              </w:rPr>
            </w:pPr>
            <w:r>
              <w:rPr>
                <w:spacing w:val="-10"/>
                <w:w w:val="105"/>
                <w:sz w:val="12"/>
              </w:rPr>
              <w:t>—</w:t>
            </w:r>
          </w:p>
        </w:tc>
        <w:tc>
          <w:tcPr>
            <w:tcW w:w="1006" w:type="dxa"/>
          </w:tcPr>
          <w:p>
            <w:pPr>
              <w:pStyle w:val="TableParagraph"/>
              <w:spacing w:before="19"/>
              <w:rPr>
                <w:b/>
                <w:sz w:val="12"/>
              </w:rPr>
            </w:pPr>
          </w:p>
          <w:p>
            <w:pPr>
              <w:pStyle w:val="TableParagraph"/>
              <w:spacing w:before="1"/>
              <w:ind w:right="41"/>
              <w:jc w:val="right"/>
              <w:rPr>
                <w:sz w:val="12"/>
              </w:rPr>
            </w:pPr>
            <w:r>
              <w:rPr>
                <w:spacing w:val="-2"/>
                <w:w w:val="105"/>
                <w:sz w:val="12"/>
              </w:rPr>
              <w:t>(31,888)</w:t>
            </w:r>
          </w:p>
        </w:tc>
      </w:tr>
      <w:tr>
        <w:trPr>
          <w:trHeight w:val="202" w:hRule="atLeast"/>
        </w:trPr>
        <w:tc>
          <w:tcPr>
            <w:tcW w:w="3559" w:type="dxa"/>
            <w:shd w:val="clear" w:color="auto" w:fill="CCEDFF"/>
          </w:tcPr>
          <w:p>
            <w:pPr>
              <w:pStyle w:val="TableParagraph"/>
              <w:spacing w:before="32"/>
              <w:ind w:left="225"/>
              <w:rPr>
                <w:sz w:val="11"/>
              </w:rPr>
            </w:pPr>
            <w:r>
              <w:rPr>
                <w:w w:val="105"/>
                <w:sz w:val="11"/>
              </w:rPr>
              <w:t>Deconsolidation</w:t>
            </w:r>
            <w:r>
              <w:rPr>
                <w:spacing w:val="3"/>
                <w:w w:val="105"/>
                <w:sz w:val="11"/>
              </w:rPr>
              <w:t> </w:t>
            </w:r>
            <w:r>
              <w:rPr>
                <w:w w:val="105"/>
                <w:sz w:val="11"/>
              </w:rPr>
              <w:t>of</w:t>
            </w:r>
            <w:r>
              <w:rPr>
                <w:spacing w:val="4"/>
                <w:w w:val="105"/>
                <w:sz w:val="11"/>
              </w:rPr>
              <w:t> </w:t>
            </w:r>
            <w:r>
              <w:rPr>
                <w:spacing w:val="-5"/>
                <w:w w:val="105"/>
                <w:sz w:val="11"/>
              </w:rPr>
              <w:t>MGP</w:t>
            </w:r>
          </w:p>
        </w:tc>
        <w:tc>
          <w:tcPr>
            <w:tcW w:w="759" w:type="dxa"/>
            <w:shd w:val="clear" w:color="auto" w:fill="CCEDFF"/>
          </w:tcPr>
          <w:p>
            <w:pPr>
              <w:pStyle w:val="TableParagraph"/>
              <w:spacing w:before="23"/>
              <w:ind w:right="101"/>
              <w:jc w:val="right"/>
              <w:rPr>
                <w:sz w:val="12"/>
              </w:rPr>
            </w:pPr>
            <w:r>
              <w:rPr>
                <w:spacing w:val="-10"/>
                <w:w w:val="105"/>
                <w:sz w:val="12"/>
              </w:rPr>
              <w:t>—</w:t>
            </w:r>
          </w:p>
        </w:tc>
        <w:tc>
          <w:tcPr>
            <w:tcW w:w="825" w:type="dxa"/>
            <w:shd w:val="clear" w:color="auto" w:fill="CCEDFF"/>
          </w:tcPr>
          <w:p>
            <w:pPr>
              <w:pStyle w:val="TableParagraph"/>
              <w:spacing w:before="23"/>
              <w:ind w:right="101"/>
              <w:jc w:val="right"/>
              <w:rPr>
                <w:sz w:val="12"/>
              </w:rPr>
            </w:pPr>
            <w:r>
              <w:rPr>
                <w:spacing w:val="-10"/>
                <w:w w:val="105"/>
                <w:sz w:val="12"/>
              </w:rPr>
              <w:t>—</w:t>
            </w:r>
          </w:p>
        </w:tc>
        <w:tc>
          <w:tcPr>
            <w:tcW w:w="1032" w:type="dxa"/>
            <w:shd w:val="clear" w:color="auto" w:fill="CCEDFF"/>
          </w:tcPr>
          <w:p>
            <w:pPr>
              <w:pStyle w:val="TableParagraph"/>
              <w:spacing w:before="23"/>
              <w:ind w:right="101"/>
              <w:jc w:val="right"/>
              <w:rPr>
                <w:sz w:val="12"/>
              </w:rPr>
            </w:pPr>
            <w:r>
              <w:rPr>
                <w:spacing w:val="-10"/>
                <w:w w:val="105"/>
                <w:sz w:val="12"/>
              </w:rPr>
              <w:t>—</w:t>
            </w:r>
          </w:p>
        </w:tc>
        <w:tc>
          <w:tcPr>
            <w:tcW w:w="937" w:type="dxa"/>
            <w:shd w:val="clear" w:color="auto" w:fill="CCEDFF"/>
          </w:tcPr>
          <w:p>
            <w:pPr>
              <w:pStyle w:val="TableParagraph"/>
              <w:spacing w:before="23"/>
              <w:ind w:right="103"/>
              <w:jc w:val="right"/>
              <w:rPr>
                <w:sz w:val="12"/>
              </w:rPr>
            </w:pPr>
            <w:r>
              <w:rPr>
                <w:spacing w:val="-10"/>
                <w:w w:val="105"/>
                <w:sz w:val="12"/>
              </w:rPr>
              <w:t>—</w:t>
            </w:r>
          </w:p>
        </w:tc>
        <w:tc>
          <w:tcPr>
            <w:tcW w:w="1137" w:type="dxa"/>
            <w:shd w:val="clear" w:color="auto" w:fill="CCEDFF"/>
          </w:tcPr>
          <w:p>
            <w:pPr>
              <w:pStyle w:val="TableParagraph"/>
              <w:spacing w:before="23"/>
              <w:ind w:right="104"/>
              <w:jc w:val="right"/>
              <w:rPr>
                <w:sz w:val="12"/>
              </w:rPr>
            </w:pPr>
            <w:r>
              <w:rPr>
                <w:spacing w:val="-2"/>
                <w:w w:val="105"/>
                <w:sz w:val="12"/>
              </w:rPr>
              <w:t>11,084</w:t>
            </w:r>
          </w:p>
        </w:tc>
        <w:tc>
          <w:tcPr>
            <w:tcW w:w="1162" w:type="dxa"/>
            <w:shd w:val="clear" w:color="auto" w:fill="CCEDFF"/>
          </w:tcPr>
          <w:p>
            <w:pPr>
              <w:pStyle w:val="TableParagraph"/>
              <w:spacing w:before="23"/>
              <w:ind w:right="103"/>
              <w:jc w:val="right"/>
              <w:rPr>
                <w:sz w:val="12"/>
              </w:rPr>
            </w:pPr>
            <w:r>
              <w:rPr>
                <w:spacing w:val="-2"/>
                <w:w w:val="105"/>
                <w:sz w:val="12"/>
              </w:rPr>
              <w:t>11,084</w:t>
            </w:r>
          </w:p>
        </w:tc>
        <w:tc>
          <w:tcPr>
            <w:tcW w:w="1103" w:type="dxa"/>
            <w:shd w:val="clear" w:color="auto" w:fill="CCEDFF"/>
          </w:tcPr>
          <w:p>
            <w:pPr>
              <w:pStyle w:val="TableParagraph"/>
              <w:spacing w:before="23"/>
              <w:ind w:right="73"/>
              <w:jc w:val="right"/>
              <w:rPr>
                <w:sz w:val="12"/>
              </w:rPr>
            </w:pPr>
            <w:r>
              <w:rPr>
                <w:spacing w:val="-2"/>
                <w:w w:val="105"/>
                <w:sz w:val="12"/>
              </w:rPr>
              <w:t>(3,184,710)</w:t>
            </w:r>
          </w:p>
        </w:tc>
        <w:tc>
          <w:tcPr>
            <w:tcW w:w="1006" w:type="dxa"/>
            <w:shd w:val="clear" w:color="auto" w:fill="CCEDFF"/>
          </w:tcPr>
          <w:p>
            <w:pPr>
              <w:pStyle w:val="TableParagraph"/>
              <w:spacing w:before="23"/>
              <w:ind w:right="41"/>
              <w:jc w:val="right"/>
              <w:rPr>
                <w:sz w:val="12"/>
              </w:rPr>
            </w:pPr>
            <w:r>
              <w:rPr>
                <w:spacing w:val="-2"/>
                <w:w w:val="105"/>
                <w:sz w:val="12"/>
              </w:rPr>
              <w:t>(3,173,626)</w:t>
            </w:r>
          </w:p>
        </w:tc>
      </w:tr>
      <w:tr>
        <w:trPr>
          <w:trHeight w:val="188" w:hRule="atLeast"/>
        </w:trPr>
        <w:tc>
          <w:tcPr>
            <w:tcW w:w="3559" w:type="dxa"/>
          </w:tcPr>
          <w:p>
            <w:pPr>
              <w:pStyle w:val="TableParagraph"/>
              <w:spacing w:before="32"/>
              <w:ind w:left="225"/>
              <w:rPr>
                <w:sz w:val="11"/>
              </w:rPr>
            </w:pPr>
            <w:r>
              <w:rPr>
                <w:spacing w:val="-2"/>
                <w:w w:val="105"/>
                <w:sz w:val="11"/>
              </w:rPr>
              <w:t>Other</w:t>
            </w:r>
          </w:p>
        </w:tc>
        <w:tc>
          <w:tcPr>
            <w:tcW w:w="759" w:type="dxa"/>
            <w:tcBorders>
              <w:bottom w:val="single" w:sz="6" w:space="0" w:color="000000"/>
            </w:tcBorders>
          </w:tcPr>
          <w:p>
            <w:pPr>
              <w:pStyle w:val="TableParagraph"/>
              <w:spacing w:before="23"/>
              <w:ind w:right="101"/>
              <w:jc w:val="right"/>
              <w:rPr>
                <w:sz w:val="12"/>
              </w:rPr>
            </w:pPr>
            <w:r>
              <w:rPr>
                <w:spacing w:val="-10"/>
                <w:w w:val="105"/>
                <w:sz w:val="12"/>
              </w:rPr>
              <w:t>—</w:t>
            </w:r>
          </w:p>
        </w:tc>
        <w:tc>
          <w:tcPr>
            <w:tcW w:w="825" w:type="dxa"/>
            <w:tcBorders>
              <w:bottom w:val="single" w:sz="6" w:space="0" w:color="000000"/>
            </w:tcBorders>
          </w:tcPr>
          <w:p>
            <w:pPr>
              <w:pStyle w:val="TableParagraph"/>
              <w:spacing w:before="23"/>
              <w:ind w:right="101"/>
              <w:jc w:val="right"/>
              <w:rPr>
                <w:sz w:val="12"/>
              </w:rPr>
            </w:pPr>
            <w:r>
              <w:rPr>
                <w:spacing w:val="-10"/>
                <w:w w:val="105"/>
                <w:sz w:val="12"/>
              </w:rPr>
              <w:t>—</w:t>
            </w:r>
          </w:p>
        </w:tc>
        <w:tc>
          <w:tcPr>
            <w:tcW w:w="1032" w:type="dxa"/>
            <w:tcBorders>
              <w:bottom w:val="single" w:sz="6" w:space="0" w:color="000000"/>
            </w:tcBorders>
          </w:tcPr>
          <w:p>
            <w:pPr>
              <w:pStyle w:val="TableParagraph"/>
              <w:spacing w:before="23"/>
              <w:ind w:right="101"/>
              <w:jc w:val="right"/>
              <w:rPr>
                <w:sz w:val="12"/>
              </w:rPr>
            </w:pPr>
            <w:r>
              <w:rPr>
                <w:spacing w:val="-5"/>
                <w:w w:val="105"/>
                <w:sz w:val="12"/>
              </w:rPr>
              <w:t>213</w:t>
            </w:r>
          </w:p>
        </w:tc>
        <w:tc>
          <w:tcPr>
            <w:tcW w:w="937" w:type="dxa"/>
            <w:tcBorders>
              <w:bottom w:val="single" w:sz="6" w:space="0" w:color="000000"/>
            </w:tcBorders>
          </w:tcPr>
          <w:p>
            <w:pPr>
              <w:pStyle w:val="TableParagraph"/>
              <w:spacing w:before="23"/>
              <w:ind w:right="103"/>
              <w:jc w:val="right"/>
              <w:rPr>
                <w:sz w:val="12"/>
              </w:rPr>
            </w:pPr>
            <w:r>
              <w:rPr>
                <w:spacing w:val="-10"/>
                <w:w w:val="105"/>
                <w:sz w:val="12"/>
              </w:rPr>
              <w:t>—</w:t>
            </w:r>
          </w:p>
        </w:tc>
        <w:tc>
          <w:tcPr>
            <w:tcW w:w="1137" w:type="dxa"/>
            <w:tcBorders>
              <w:bottom w:val="single" w:sz="6" w:space="0" w:color="000000"/>
            </w:tcBorders>
          </w:tcPr>
          <w:p>
            <w:pPr>
              <w:pStyle w:val="TableParagraph"/>
              <w:spacing w:before="23"/>
              <w:ind w:right="72"/>
              <w:jc w:val="right"/>
              <w:rPr>
                <w:sz w:val="12"/>
              </w:rPr>
            </w:pPr>
            <w:r>
              <w:rPr>
                <w:spacing w:val="-2"/>
                <w:w w:val="105"/>
                <w:sz w:val="12"/>
              </w:rPr>
              <w:t>(720)</w:t>
            </w:r>
          </w:p>
        </w:tc>
        <w:tc>
          <w:tcPr>
            <w:tcW w:w="1162" w:type="dxa"/>
            <w:tcBorders>
              <w:bottom w:val="single" w:sz="6" w:space="0" w:color="000000"/>
            </w:tcBorders>
          </w:tcPr>
          <w:p>
            <w:pPr>
              <w:pStyle w:val="TableParagraph"/>
              <w:spacing w:before="23"/>
              <w:ind w:right="72"/>
              <w:jc w:val="right"/>
              <w:rPr>
                <w:sz w:val="12"/>
              </w:rPr>
            </w:pPr>
            <w:r>
              <w:rPr>
                <w:spacing w:val="-2"/>
                <w:w w:val="105"/>
                <w:sz w:val="12"/>
              </w:rPr>
              <w:t>(507)</w:t>
            </w:r>
          </w:p>
        </w:tc>
        <w:tc>
          <w:tcPr>
            <w:tcW w:w="1103" w:type="dxa"/>
            <w:tcBorders>
              <w:bottom w:val="single" w:sz="6" w:space="0" w:color="000000"/>
            </w:tcBorders>
          </w:tcPr>
          <w:p>
            <w:pPr>
              <w:pStyle w:val="TableParagraph"/>
              <w:spacing w:before="23"/>
              <w:ind w:right="104"/>
              <w:jc w:val="right"/>
              <w:rPr>
                <w:sz w:val="12"/>
              </w:rPr>
            </w:pPr>
            <w:r>
              <w:rPr>
                <w:spacing w:val="-2"/>
                <w:w w:val="105"/>
                <w:sz w:val="12"/>
              </w:rPr>
              <w:t>5,611</w:t>
            </w:r>
          </w:p>
        </w:tc>
        <w:tc>
          <w:tcPr>
            <w:tcW w:w="1006" w:type="dxa"/>
            <w:tcBorders>
              <w:bottom w:val="single" w:sz="6" w:space="0" w:color="000000"/>
            </w:tcBorders>
          </w:tcPr>
          <w:p>
            <w:pPr>
              <w:pStyle w:val="TableParagraph"/>
              <w:spacing w:before="23"/>
              <w:ind w:right="72"/>
              <w:jc w:val="right"/>
              <w:rPr>
                <w:sz w:val="12"/>
              </w:rPr>
            </w:pPr>
            <w:r>
              <w:rPr>
                <w:spacing w:val="-2"/>
                <w:w w:val="105"/>
                <w:sz w:val="12"/>
              </w:rPr>
              <w:t>5,104</w:t>
            </w:r>
          </w:p>
        </w:tc>
      </w:tr>
      <w:tr>
        <w:trPr>
          <w:trHeight w:val="200" w:hRule="atLeast"/>
        </w:trPr>
        <w:tc>
          <w:tcPr>
            <w:tcW w:w="3559" w:type="dxa"/>
            <w:shd w:val="clear" w:color="auto" w:fill="CCEDFF"/>
          </w:tcPr>
          <w:p>
            <w:pPr>
              <w:pStyle w:val="TableParagraph"/>
              <w:spacing w:line="122" w:lineRule="exact" w:before="58"/>
              <w:ind w:left="26"/>
              <w:rPr>
                <w:b/>
                <w:sz w:val="11"/>
              </w:rPr>
            </w:pPr>
            <w:r>
              <w:rPr>
                <w:b/>
                <w:w w:val="105"/>
                <w:sz w:val="11"/>
              </w:rPr>
              <w:t>Balances,</w:t>
            </w:r>
            <w:r>
              <w:rPr>
                <w:b/>
                <w:spacing w:val="3"/>
                <w:w w:val="105"/>
                <w:sz w:val="11"/>
              </w:rPr>
              <w:t> </w:t>
            </w:r>
            <w:r>
              <w:rPr>
                <w:b/>
                <w:w w:val="105"/>
                <w:sz w:val="11"/>
              </w:rPr>
              <w:t>December</w:t>
            </w:r>
            <w:r>
              <w:rPr>
                <w:b/>
                <w:spacing w:val="1"/>
                <w:w w:val="105"/>
                <w:sz w:val="11"/>
              </w:rPr>
              <w:t> </w:t>
            </w:r>
            <w:r>
              <w:rPr>
                <w:b/>
                <w:w w:val="105"/>
                <w:sz w:val="11"/>
              </w:rPr>
              <w:t>31,</w:t>
            </w:r>
            <w:r>
              <w:rPr>
                <w:b/>
                <w:spacing w:val="3"/>
                <w:w w:val="105"/>
                <w:sz w:val="11"/>
              </w:rPr>
              <w:t> </w:t>
            </w:r>
            <w:r>
              <w:rPr>
                <w:b/>
                <w:spacing w:val="-4"/>
                <w:w w:val="105"/>
                <w:sz w:val="11"/>
              </w:rPr>
              <w:t>2022</w:t>
            </w:r>
          </w:p>
        </w:tc>
        <w:tc>
          <w:tcPr>
            <w:tcW w:w="759" w:type="dxa"/>
            <w:tcBorders>
              <w:top w:val="single" w:sz="6" w:space="0" w:color="000000"/>
            </w:tcBorders>
            <w:shd w:val="clear" w:color="auto" w:fill="CCEDFF"/>
          </w:tcPr>
          <w:p>
            <w:pPr>
              <w:pStyle w:val="TableParagraph"/>
              <w:spacing w:before="22"/>
              <w:ind w:right="101"/>
              <w:jc w:val="right"/>
              <w:rPr>
                <w:sz w:val="12"/>
              </w:rPr>
            </w:pPr>
            <w:r>
              <w:rPr>
                <w:spacing w:val="-2"/>
                <w:w w:val="105"/>
                <w:sz w:val="12"/>
              </w:rPr>
              <w:t>379,088</w:t>
            </w:r>
          </w:p>
        </w:tc>
        <w:tc>
          <w:tcPr>
            <w:tcW w:w="825" w:type="dxa"/>
            <w:tcBorders>
              <w:top w:val="single" w:sz="6" w:space="0" w:color="000000"/>
            </w:tcBorders>
            <w:shd w:val="clear" w:color="auto" w:fill="CCEDFF"/>
          </w:tcPr>
          <w:p>
            <w:pPr>
              <w:pStyle w:val="TableParagraph"/>
              <w:tabs>
                <w:tab w:pos="367" w:val="left" w:leader="none"/>
              </w:tabs>
              <w:spacing w:before="22"/>
              <w:ind w:right="101"/>
              <w:jc w:val="right"/>
              <w:rPr>
                <w:sz w:val="12"/>
              </w:rPr>
            </w:pPr>
            <w:r>
              <w:rPr>
                <w:spacing w:val="-10"/>
                <w:w w:val="105"/>
                <w:sz w:val="12"/>
              </w:rPr>
              <w:t>$</w:t>
            </w:r>
            <w:r>
              <w:rPr>
                <w:sz w:val="12"/>
              </w:rPr>
              <w:tab/>
            </w:r>
            <w:r>
              <w:rPr>
                <w:spacing w:val="-4"/>
                <w:w w:val="105"/>
                <w:sz w:val="12"/>
              </w:rPr>
              <w:t>3,791</w:t>
            </w:r>
          </w:p>
        </w:tc>
        <w:tc>
          <w:tcPr>
            <w:tcW w:w="1032" w:type="dxa"/>
            <w:tcBorders>
              <w:top w:val="single" w:sz="6" w:space="0" w:color="000000"/>
            </w:tcBorders>
            <w:shd w:val="clear" w:color="auto" w:fill="CCEDFF"/>
          </w:tcPr>
          <w:p>
            <w:pPr>
              <w:pStyle w:val="TableParagraph"/>
              <w:tabs>
                <w:tab w:pos="731" w:val="left" w:leader="none"/>
              </w:tabs>
              <w:spacing w:before="22"/>
              <w:ind w:right="101"/>
              <w:jc w:val="right"/>
              <w:rPr>
                <w:sz w:val="12"/>
              </w:rPr>
            </w:pPr>
            <w:r>
              <w:rPr>
                <w:spacing w:val="-10"/>
                <w:w w:val="105"/>
                <w:sz w:val="12"/>
              </w:rPr>
              <w:t>$</w:t>
            </w:r>
            <w:r>
              <w:rPr>
                <w:sz w:val="12"/>
              </w:rPr>
              <w:tab/>
            </w:r>
            <w:r>
              <w:rPr>
                <w:spacing w:val="-10"/>
                <w:w w:val="105"/>
                <w:sz w:val="12"/>
              </w:rPr>
              <w:t>—</w:t>
            </w:r>
          </w:p>
        </w:tc>
        <w:tc>
          <w:tcPr>
            <w:tcW w:w="937" w:type="dxa"/>
            <w:tcBorders>
              <w:top w:val="single" w:sz="6" w:space="0" w:color="000000"/>
            </w:tcBorders>
            <w:shd w:val="clear" w:color="auto" w:fill="CCEDFF"/>
          </w:tcPr>
          <w:p>
            <w:pPr>
              <w:pStyle w:val="TableParagraph"/>
              <w:spacing w:before="22"/>
              <w:ind w:right="101"/>
              <w:jc w:val="right"/>
              <w:rPr>
                <w:sz w:val="12"/>
              </w:rPr>
            </w:pPr>
            <w:r>
              <w:rPr>
                <w:w w:val="105"/>
                <w:sz w:val="12"/>
              </w:rPr>
              <w:t>$</w:t>
            </w:r>
            <w:r>
              <w:rPr>
                <w:spacing w:val="65"/>
                <w:w w:val="105"/>
                <w:sz w:val="12"/>
              </w:rPr>
              <w:t>  </w:t>
            </w:r>
            <w:r>
              <w:rPr>
                <w:spacing w:val="-2"/>
                <w:w w:val="105"/>
                <w:sz w:val="12"/>
              </w:rPr>
              <w:t>4,794,239</w:t>
            </w:r>
          </w:p>
        </w:tc>
        <w:tc>
          <w:tcPr>
            <w:tcW w:w="1137" w:type="dxa"/>
            <w:tcBorders>
              <w:top w:val="single" w:sz="6" w:space="0" w:color="000000"/>
            </w:tcBorders>
            <w:shd w:val="clear" w:color="auto" w:fill="CCEDFF"/>
          </w:tcPr>
          <w:p>
            <w:pPr>
              <w:pStyle w:val="TableParagraph"/>
              <w:tabs>
                <w:tab w:pos="613" w:val="left" w:leader="none"/>
              </w:tabs>
              <w:spacing w:before="22"/>
              <w:ind w:right="104"/>
              <w:jc w:val="right"/>
              <w:rPr>
                <w:sz w:val="12"/>
              </w:rPr>
            </w:pPr>
            <w:r>
              <w:rPr>
                <w:spacing w:val="-10"/>
                <w:w w:val="105"/>
                <w:sz w:val="12"/>
              </w:rPr>
              <w:t>$</w:t>
            </w:r>
            <w:r>
              <w:rPr>
                <w:sz w:val="12"/>
              </w:rPr>
              <w:tab/>
            </w:r>
            <w:r>
              <w:rPr>
                <w:spacing w:val="-2"/>
                <w:w w:val="105"/>
                <w:sz w:val="12"/>
              </w:rPr>
              <w:t>33,499</w:t>
            </w:r>
          </w:p>
        </w:tc>
        <w:tc>
          <w:tcPr>
            <w:tcW w:w="1162" w:type="dxa"/>
            <w:tcBorders>
              <w:top w:val="single" w:sz="6" w:space="0" w:color="000000"/>
            </w:tcBorders>
            <w:shd w:val="clear" w:color="auto" w:fill="CCEDFF"/>
          </w:tcPr>
          <w:p>
            <w:pPr>
              <w:pStyle w:val="TableParagraph"/>
              <w:tabs>
                <w:tab w:pos="481" w:val="left" w:leader="none"/>
              </w:tabs>
              <w:spacing w:before="22"/>
              <w:ind w:right="103"/>
              <w:jc w:val="right"/>
              <w:rPr>
                <w:sz w:val="12"/>
              </w:rPr>
            </w:pPr>
            <w:r>
              <w:rPr>
                <w:spacing w:val="-10"/>
                <w:w w:val="105"/>
                <w:sz w:val="12"/>
              </w:rPr>
              <w:t>$</w:t>
            </w:r>
            <w:r>
              <w:rPr>
                <w:sz w:val="12"/>
              </w:rPr>
              <w:tab/>
            </w:r>
            <w:r>
              <w:rPr>
                <w:spacing w:val="-2"/>
                <w:w w:val="105"/>
                <w:sz w:val="12"/>
              </w:rPr>
              <w:t>4,831,529</w:t>
            </w:r>
          </w:p>
        </w:tc>
        <w:tc>
          <w:tcPr>
            <w:tcW w:w="1103" w:type="dxa"/>
            <w:tcBorders>
              <w:top w:val="single" w:sz="6" w:space="0" w:color="000000"/>
            </w:tcBorders>
            <w:shd w:val="clear" w:color="auto" w:fill="CCEDFF"/>
          </w:tcPr>
          <w:p>
            <w:pPr>
              <w:pStyle w:val="TableParagraph"/>
              <w:tabs>
                <w:tab w:pos="517" w:val="left" w:leader="none"/>
              </w:tabs>
              <w:spacing w:before="22"/>
              <w:ind w:right="104"/>
              <w:jc w:val="right"/>
              <w:rPr>
                <w:sz w:val="12"/>
              </w:rPr>
            </w:pPr>
            <w:r>
              <w:rPr>
                <w:spacing w:val="-10"/>
                <w:w w:val="105"/>
                <w:sz w:val="12"/>
              </w:rPr>
              <w:t>$</w:t>
            </w:r>
            <w:r>
              <w:rPr>
                <w:sz w:val="12"/>
              </w:rPr>
              <w:tab/>
            </w:r>
            <w:r>
              <w:rPr>
                <w:spacing w:val="-2"/>
                <w:w w:val="105"/>
                <w:sz w:val="12"/>
              </w:rPr>
              <w:t>378,594</w:t>
            </w:r>
          </w:p>
        </w:tc>
        <w:tc>
          <w:tcPr>
            <w:tcW w:w="1006" w:type="dxa"/>
            <w:tcBorders>
              <w:top w:val="single" w:sz="6" w:space="0" w:color="000000"/>
              <w:bottom w:val="single" w:sz="6" w:space="0" w:color="000000"/>
            </w:tcBorders>
            <w:shd w:val="clear" w:color="auto" w:fill="CCEDFF"/>
          </w:tcPr>
          <w:p>
            <w:pPr>
              <w:pStyle w:val="TableParagraph"/>
              <w:tabs>
                <w:tab w:pos="358" w:val="left" w:leader="none"/>
              </w:tabs>
              <w:spacing w:before="22"/>
              <w:ind w:right="72"/>
              <w:jc w:val="right"/>
              <w:rPr>
                <w:sz w:val="12"/>
              </w:rPr>
            </w:pPr>
            <w:r>
              <w:rPr>
                <w:spacing w:val="-10"/>
                <w:w w:val="105"/>
                <w:sz w:val="12"/>
              </w:rPr>
              <w:t>$</w:t>
            </w:r>
            <w:r>
              <w:rPr>
                <w:sz w:val="12"/>
              </w:rPr>
              <w:tab/>
            </w:r>
            <w:r>
              <w:rPr>
                <w:spacing w:val="-2"/>
                <w:w w:val="105"/>
                <w:sz w:val="12"/>
              </w:rPr>
              <w:t>5,210,123</w:t>
            </w:r>
          </w:p>
        </w:tc>
      </w:tr>
    </w:tbl>
    <w:p>
      <w:pPr>
        <w:pStyle w:val="BodyText"/>
        <w:rPr>
          <w:b/>
          <w:sz w:val="10"/>
        </w:rPr>
      </w:pPr>
    </w:p>
    <w:p>
      <w:pPr>
        <w:pStyle w:val="BodyText"/>
        <w:rPr>
          <w:b/>
          <w:sz w:val="10"/>
        </w:rPr>
      </w:pPr>
    </w:p>
    <w:p>
      <w:pPr>
        <w:pStyle w:val="BodyText"/>
        <w:spacing w:before="27"/>
        <w:rPr>
          <w:b/>
          <w:sz w:val="10"/>
        </w:rPr>
      </w:pPr>
    </w:p>
    <w:p>
      <w:pPr>
        <w:spacing w:before="0"/>
        <w:ind w:left="24" w:right="0" w:firstLine="0"/>
        <w:jc w:val="center"/>
        <w:rPr>
          <w:i/>
          <w:sz w:val="14"/>
        </w:rPr>
      </w:pPr>
      <w:r>
        <w:rPr/>
        <mc:AlternateContent>
          <mc:Choice Requires="wps">
            <w:drawing>
              <wp:anchor distT="0" distB="0" distL="0" distR="0" allowOverlap="1" layoutInCell="1" locked="0" behindDoc="0" simplePos="0" relativeHeight="15792640">
                <wp:simplePos x="0" y="0"/>
                <wp:positionH relativeFrom="page">
                  <wp:posOffset>2417432</wp:posOffset>
                </wp:positionH>
                <wp:positionV relativeFrom="paragraph">
                  <wp:posOffset>-225561</wp:posOffset>
                </wp:positionV>
                <wp:extent cx="531495" cy="3429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531495" cy="34290"/>
                        </a:xfrm>
                        <a:custGeom>
                          <a:avLst/>
                          <a:gdLst/>
                          <a:ahLst/>
                          <a:cxnLst/>
                          <a:rect l="l" t="t" r="r" b="b"/>
                          <a:pathLst>
                            <a:path w="531495" h="34290">
                              <a:moveTo>
                                <a:pt x="531495" y="25717"/>
                              </a:moveTo>
                              <a:lnTo>
                                <a:pt x="531495" y="25717"/>
                              </a:lnTo>
                              <a:lnTo>
                                <a:pt x="0" y="25717"/>
                              </a:lnTo>
                              <a:lnTo>
                                <a:pt x="0" y="34290"/>
                              </a:lnTo>
                              <a:lnTo>
                                <a:pt x="531495" y="34290"/>
                              </a:lnTo>
                              <a:lnTo>
                                <a:pt x="531495" y="25717"/>
                              </a:lnTo>
                              <a:close/>
                            </a:path>
                            <a:path w="531495" h="34290">
                              <a:moveTo>
                                <a:pt x="531495" y="0"/>
                              </a:moveTo>
                              <a:lnTo>
                                <a:pt x="531495" y="0"/>
                              </a:lnTo>
                              <a:lnTo>
                                <a:pt x="0" y="0"/>
                              </a:lnTo>
                              <a:lnTo>
                                <a:pt x="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0.349014pt;margin-top:-17.760738pt;width:41.85pt;height:2.7pt;mso-position-horizontal-relative:page;mso-position-vertical-relative:paragraph;z-index:15792640" id="docshape343" coordorigin="3807,-355" coordsize="837,54" path="m4644,-315l4617,-315,4023,-315,3901,-315,3874,-315,3834,-315,3807,-315,3807,-301,3834,-301,3874,-301,3901,-301,4023,-301,4617,-301,4644,-301,4644,-315xm4644,-355l4617,-355,4023,-355,3901,-355,3874,-355,3834,-355,3807,-355,3807,-342,3834,-342,3874,-342,3901,-342,4023,-342,4617,-342,4644,-342,4644,-3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3008934</wp:posOffset>
                </wp:positionH>
                <wp:positionV relativeFrom="paragraph">
                  <wp:posOffset>-225561</wp:posOffset>
                </wp:positionV>
                <wp:extent cx="462915" cy="3429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462915" cy="34290"/>
                        </a:xfrm>
                        <a:custGeom>
                          <a:avLst/>
                          <a:gdLst/>
                          <a:ahLst/>
                          <a:cxnLst/>
                          <a:rect l="l" t="t" r="r" b="b"/>
                          <a:pathLst>
                            <a:path w="462915" h="34290">
                              <a:moveTo>
                                <a:pt x="462915" y="25717"/>
                              </a:moveTo>
                              <a:lnTo>
                                <a:pt x="445770" y="25717"/>
                              </a:lnTo>
                              <a:lnTo>
                                <a:pt x="68580" y="25717"/>
                              </a:lnTo>
                              <a:lnTo>
                                <a:pt x="0" y="25717"/>
                              </a:lnTo>
                              <a:lnTo>
                                <a:pt x="0" y="34290"/>
                              </a:lnTo>
                              <a:lnTo>
                                <a:pt x="68580" y="34290"/>
                              </a:lnTo>
                              <a:lnTo>
                                <a:pt x="445770" y="34290"/>
                              </a:lnTo>
                              <a:lnTo>
                                <a:pt x="462915" y="34290"/>
                              </a:lnTo>
                              <a:lnTo>
                                <a:pt x="462915" y="25717"/>
                              </a:lnTo>
                              <a:close/>
                            </a:path>
                            <a:path w="462915" h="34290">
                              <a:moveTo>
                                <a:pt x="462915" y="0"/>
                              </a:moveTo>
                              <a:lnTo>
                                <a:pt x="445770" y="0"/>
                              </a:lnTo>
                              <a:lnTo>
                                <a:pt x="68580" y="0"/>
                              </a:lnTo>
                              <a:lnTo>
                                <a:pt x="0" y="0"/>
                              </a:lnTo>
                              <a:lnTo>
                                <a:pt x="0" y="8572"/>
                              </a:lnTo>
                              <a:lnTo>
                                <a:pt x="68580" y="8572"/>
                              </a:lnTo>
                              <a:lnTo>
                                <a:pt x="445770" y="8572"/>
                              </a:lnTo>
                              <a:lnTo>
                                <a:pt x="462915" y="8572"/>
                              </a:lnTo>
                              <a:lnTo>
                                <a:pt x="4629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924011pt;margin-top:-17.760738pt;width:36.450pt;height:2.7pt;mso-position-horizontal-relative:page;mso-position-vertical-relative:paragraph;z-index:15793152" id="docshape344" coordorigin="4738,-355" coordsize="729,54" path="m5467,-315l5440,-315,4846,-315,4738,-315,4738,-301,4846,-301,5440,-301,5467,-301,5467,-315xm5467,-355l5440,-355,4846,-355,4738,-355,4738,-342,4846,-342,5440,-342,5467,-342,5467,-3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3531857</wp:posOffset>
                </wp:positionH>
                <wp:positionV relativeFrom="paragraph">
                  <wp:posOffset>-225561</wp:posOffset>
                </wp:positionV>
                <wp:extent cx="591820" cy="3429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591820" cy="34290"/>
                        </a:xfrm>
                        <a:custGeom>
                          <a:avLst/>
                          <a:gdLst/>
                          <a:ahLst/>
                          <a:cxnLst/>
                          <a:rect l="l" t="t" r="r" b="b"/>
                          <a:pathLst>
                            <a:path w="591820" h="34290">
                              <a:moveTo>
                                <a:pt x="591502" y="25717"/>
                              </a:moveTo>
                              <a:lnTo>
                                <a:pt x="574357" y="25717"/>
                              </a:lnTo>
                              <a:lnTo>
                                <a:pt x="68580" y="25717"/>
                              </a:lnTo>
                              <a:lnTo>
                                <a:pt x="0" y="25717"/>
                              </a:lnTo>
                              <a:lnTo>
                                <a:pt x="0" y="34290"/>
                              </a:lnTo>
                              <a:lnTo>
                                <a:pt x="68580" y="34290"/>
                              </a:lnTo>
                              <a:lnTo>
                                <a:pt x="574357" y="34290"/>
                              </a:lnTo>
                              <a:lnTo>
                                <a:pt x="591502" y="34290"/>
                              </a:lnTo>
                              <a:lnTo>
                                <a:pt x="591502" y="25717"/>
                              </a:lnTo>
                              <a:close/>
                            </a:path>
                            <a:path w="591820" h="34290">
                              <a:moveTo>
                                <a:pt x="591502" y="0"/>
                              </a:moveTo>
                              <a:lnTo>
                                <a:pt x="574357" y="0"/>
                              </a:lnTo>
                              <a:lnTo>
                                <a:pt x="68580" y="0"/>
                              </a:lnTo>
                              <a:lnTo>
                                <a:pt x="0" y="0"/>
                              </a:lnTo>
                              <a:lnTo>
                                <a:pt x="0" y="8572"/>
                              </a:lnTo>
                              <a:lnTo>
                                <a:pt x="68580" y="8572"/>
                              </a:lnTo>
                              <a:lnTo>
                                <a:pt x="574357" y="8572"/>
                              </a:lnTo>
                              <a:lnTo>
                                <a:pt x="591502" y="8572"/>
                              </a:lnTo>
                              <a:lnTo>
                                <a:pt x="5915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8.098999pt;margin-top:-17.760738pt;width:46.6pt;height:2.7pt;mso-position-horizontal-relative:page;mso-position-vertical-relative:paragraph;z-index:15793664" id="docshape345" coordorigin="5562,-355" coordsize="932,54" path="m6493,-315l6466,-315,5670,-315,5562,-315,5562,-301,5670,-301,6466,-301,6493,-301,6493,-315xm6493,-355l6466,-355,5670,-355,5562,-355,5562,-342,5670,-342,6466,-342,6493,-342,6493,-3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4183367</wp:posOffset>
                </wp:positionH>
                <wp:positionV relativeFrom="paragraph">
                  <wp:posOffset>-225561</wp:posOffset>
                </wp:positionV>
                <wp:extent cx="531495" cy="3429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531495" cy="34290"/>
                        </a:xfrm>
                        <a:custGeom>
                          <a:avLst/>
                          <a:gdLst/>
                          <a:ahLst/>
                          <a:cxnLst/>
                          <a:rect l="l" t="t" r="r" b="b"/>
                          <a:pathLst>
                            <a:path w="531495" h="34290">
                              <a:moveTo>
                                <a:pt x="531495" y="25717"/>
                              </a:moveTo>
                              <a:lnTo>
                                <a:pt x="514350" y="25717"/>
                              </a:lnTo>
                              <a:lnTo>
                                <a:pt x="77152" y="25717"/>
                              </a:lnTo>
                              <a:lnTo>
                                <a:pt x="0" y="25717"/>
                              </a:lnTo>
                              <a:lnTo>
                                <a:pt x="0" y="34290"/>
                              </a:lnTo>
                              <a:lnTo>
                                <a:pt x="77152" y="34290"/>
                              </a:lnTo>
                              <a:lnTo>
                                <a:pt x="514350" y="34290"/>
                              </a:lnTo>
                              <a:lnTo>
                                <a:pt x="531495" y="34290"/>
                              </a:lnTo>
                              <a:lnTo>
                                <a:pt x="531495" y="25717"/>
                              </a:lnTo>
                              <a:close/>
                            </a:path>
                            <a:path w="531495" h="342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399017pt;margin-top:-17.760738pt;width:41.85pt;height:2.7pt;mso-position-horizontal-relative:page;mso-position-vertical-relative:paragraph;z-index:15794176" id="docshape346" coordorigin="6588,-355" coordsize="837,54" path="m7425,-315l7398,-315,6709,-315,6588,-315,6588,-301,6709,-301,7398,-301,7425,-301,7425,-315xm7425,-355l7398,-355,6709,-355,6588,-355,6588,-342,6709,-342,7398,-342,7425,-342,7425,-3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4783442</wp:posOffset>
                </wp:positionH>
                <wp:positionV relativeFrom="paragraph">
                  <wp:posOffset>-225561</wp:posOffset>
                </wp:positionV>
                <wp:extent cx="660400" cy="3429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660400" cy="34290"/>
                        </a:xfrm>
                        <a:custGeom>
                          <a:avLst/>
                          <a:gdLst/>
                          <a:ahLst/>
                          <a:cxnLst/>
                          <a:rect l="l" t="t" r="r" b="b"/>
                          <a:pathLst>
                            <a:path w="660400" h="34290">
                              <a:moveTo>
                                <a:pt x="660082" y="25717"/>
                              </a:moveTo>
                              <a:lnTo>
                                <a:pt x="642937" y="25717"/>
                              </a:lnTo>
                              <a:lnTo>
                                <a:pt x="68580" y="25717"/>
                              </a:lnTo>
                              <a:lnTo>
                                <a:pt x="0" y="25717"/>
                              </a:lnTo>
                              <a:lnTo>
                                <a:pt x="0" y="34290"/>
                              </a:lnTo>
                              <a:lnTo>
                                <a:pt x="68580" y="34290"/>
                              </a:lnTo>
                              <a:lnTo>
                                <a:pt x="642937" y="34290"/>
                              </a:lnTo>
                              <a:lnTo>
                                <a:pt x="660082" y="34290"/>
                              </a:lnTo>
                              <a:lnTo>
                                <a:pt x="660082" y="25717"/>
                              </a:lnTo>
                              <a:close/>
                            </a:path>
                            <a:path w="660400" h="342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6.649017pt;margin-top:-17.760738pt;width:52pt;height:2.7pt;mso-position-horizontal-relative:page;mso-position-vertical-relative:paragraph;z-index:15794688" id="docshape347" coordorigin="7533,-355" coordsize="1040,54" path="m8572,-315l8545,-315,7641,-315,7533,-315,7533,-301,7641,-301,8545,-301,8572,-301,8572,-315xm8572,-355l8545,-355,7641,-355,7533,-355,7533,-342,7641,-342,8545,-342,8572,-342,8572,-3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5503532</wp:posOffset>
                </wp:positionH>
                <wp:positionV relativeFrom="paragraph">
                  <wp:posOffset>-225561</wp:posOffset>
                </wp:positionV>
                <wp:extent cx="677545" cy="3429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677545" cy="34290"/>
                        </a:xfrm>
                        <a:custGeom>
                          <a:avLst/>
                          <a:gdLst/>
                          <a:ahLst/>
                          <a:cxnLst/>
                          <a:rect l="l" t="t" r="r" b="b"/>
                          <a:pathLst>
                            <a:path w="677545" h="34290">
                              <a:moveTo>
                                <a:pt x="677227" y="25717"/>
                              </a:moveTo>
                              <a:lnTo>
                                <a:pt x="660082" y="25717"/>
                              </a:lnTo>
                              <a:lnTo>
                                <a:pt x="68580" y="25717"/>
                              </a:lnTo>
                              <a:lnTo>
                                <a:pt x="0" y="25717"/>
                              </a:lnTo>
                              <a:lnTo>
                                <a:pt x="0" y="34290"/>
                              </a:lnTo>
                              <a:lnTo>
                                <a:pt x="68580" y="34290"/>
                              </a:lnTo>
                              <a:lnTo>
                                <a:pt x="660082" y="34290"/>
                              </a:lnTo>
                              <a:lnTo>
                                <a:pt x="677227" y="34290"/>
                              </a:lnTo>
                              <a:lnTo>
                                <a:pt x="677227" y="25717"/>
                              </a:lnTo>
                              <a:close/>
                            </a:path>
                            <a:path w="677545" h="34290">
                              <a:moveTo>
                                <a:pt x="677227" y="0"/>
                              </a:moveTo>
                              <a:lnTo>
                                <a:pt x="660082" y="0"/>
                              </a:lnTo>
                              <a:lnTo>
                                <a:pt x="68580" y="0"/>
                              </a:lnTo>
                              <a:lnTo>
                                <a:pt x="0" y="0"/>
                              </a:lnTo>
                              <a:lnTo>
                                <a:pt x="0" y="8572"/>
                              </a:lnTo>
                              <a:lnTo>
                                <a:pt x="68580" y="8572"/>
                              </a:lnTo>
                              <a:lnTo>
                                <a:pt x="660082" y="8572"/>
                              </a:lnTo>
                              <a:lnTo>
                                <a:pt x="677227" y="8572"/>
                              </a:lnTo>
                              <a:lnTo>
                                <a:pt x="6772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3.34903pt;margin-top:-17.760738pt;width:53.35pt;height:2.7pt;mso-position-horizontal-relative:page;mso-position-vertical-relative:paragraph;z-index:15795200" id="docshape348" coordorigin="8667,-355" coordsize="1067,54" path="m9733,-315l9706,-315,8775,-315,8667,-315,8667,-301,8775,-301,9706,-301,9733,-301,9733,-315xm9733,-355l9706,-355,8775,-355,8667,-355,8667,-342,8775,-342,9706,-342,9733,-342,9733,-3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6240767</wp:posOffset>
                </wp:positionH>
                <wp:positionV relativeFrom="paragraph">
                  <wp:posOffset>-225561</wp:posOffset>
                </wp:positionV>
                <wp:extent cx="634365" cy="3429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634365" cy="34290"/>
                        </a:xfrm>
                        <a:custGeom>
                          <a:avLst/>
                          <a:gdLst/>
                          <a:ahLst/>
                          <a:cxnLst/>
                          <a:rect l="l" t="t" r="r" b="b"/>
                          <a:pathLst>
                            <a:path w="634365" h="34290">
                              <a:moveTo>
                                <a:pt x="634365" y="25717"/>
                              </a:moveTo>
                              <a:lnTo>
                                <a:pt x="617220" y="25717"/>
                              </a:lnTo>
                              <a:lnTo>
                                <a:pt x="68580" y="25717"/>
                              </a:lnTo>
                              <a:lnTo>
                                <a:pt x="0" y="25717"/>
                              </a:lnTo>
                              <a:lnTo>
                                <a:pt x="0" y="34290"/>
                              </a:lnTo>
                              <a:lnTo>
                                <a:pt x="68580" y="34290"/>
                              </a:lnTo>
                              <a:lnTo>
                                <a:pt x="617220" y="34290"/>
                              </a:lnTo>
                              <a:lnTo>
                                <a:pt x="634365" y="34290"/>
                              </a:lnTo>
                              <a:lnTo>
                                <a:pt x="634365" y="25717"/>
                              </a:lnTo>
                              <a:close/>
                            </a:path>
                            <a:path w="634365" h="34290">
                              <a:moveTo>
                                <a:pt x="634365" y="0"/>
                              </a:moveTo>
                              <a:lnTo>
                                <a:pt x="617220" y="0"/>
                              </a:lnTo>
                              <a:lnTo>
                                <a:pt x="68580" y="0"/>
                              </a:lnTo>
                              <a:lnTo>
                                <a:pt x="0" y="0"/>
                              </a:lnTo>
                              <a:lnTo>
                                <a:pt x="0" y="8572"/>
                              </a:lnTo>
                              <a:lnTo>
                                <a:pt x="68580" y="8572"/>
                              </a:lnTo>
                              <a:lnTo>
                                <a:pt x="617220" y="8572"/>
                              </a:lnTo>
                              <a:lnTo>
                                <a:pt x="634365" y="8572"/>
                              </a:lnTo>
                              <a:lnTo>
                                <a:pt x="6343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1.399017pt;margin-top:-17.760738pt;width:49.95pt;height:2.7pt;mso-position-horizontal-relative:page;mso-position-vertical-relative:paragraph;z-index:15795712" id="docshape349" coordorigin="9828,-355" coordsize="999,54" path="m10827,-315l10800,-315,9936,-315,9828,-315,9828,-301,9936,-301,10800,-301,10827,-301,10827,-315xm10827,-355l10800,-355,9936,-355,9828,-355,9828,-342,9936,-342,10800,-342,10827,-342,10827,-355xe" filled="true" fillcolor="#000000" stroked="false">
                <v:path arrowok="t"/>
                <v:fill type="solid"/>
                <w10:wrap type="none"/>
              </v:shape>
            </w:pict>
          </mc:Fallback>
        </mc:AlternateContent>
      </w:r>
      <w:r>
        <w:rPr>
          <w:i/>
          <w:sz w:val="14"/>
        </w:rPr>
        <w:t>The</w:t>
      </w:r>
      <w:r>
        <w:rPr>
          <w:i/>
          <w:spacing w:val="6"/>
          <w:sz w:val="14"/>
        </w:rPr>
        <w:t> </w:t>
      </w:r>
      <w:r>
        <w:rPr>
          <w:i/>
          <w:sz w:val="14"/>
        </w:rPr>
        <w:t>accompanying</w:t>
      </w:r>
      <w:r>
        <w:rPr>
          <w:i/>
          <w:spacing w:val="7"/>
          <w:sz w:val="14"/>
        </w:rPr>
        <w:t> </w:t>
      </w:r>
      <w:r>
        <w:rPr>
          <w:i/>
          <w:sz w:val="14"/>
        </w:rPr>
        <w:t>notes</w:t>
      </w:r>
      <w:r>
        <w:rPr>
          <w:i/>
          <w:spacing w:val="6"/>
          <w:sz w:val="14"/>
        </w:rPr>
        <w:t> </w:t>
      </w:r>
      <w:r>
        <w:rPr>
          <w:i/>
          <w:sz w:val="14"/>
        </w:rPr>
        <w:t>are</w:t>
      </w:r>
      <w:r>
        <w:rPr>
          <w:i/>
          <w:spacing w:val="7"/>
          <w:sz w:val="14"/>
        </w:rPr>
        <w:t> </w:t>
      </w:r>
      <w:r>
        <w:rPr>
          <w:i/>
          <w:sz w:val="14"/>
        </w:rPr>
        <w:t>an</w:t>
      </w:r>
      <w:r>
        <w:rPr>
          <w:i/>
          <w:spacing w:val="7"/>
          <w:sz w:val="14"/>
        </w:rPr>
        <w:t> </w:t>
      </w:r>
      <w:r>
        <w:rPr>
          <w:i/>
          <w:sz w:val="14"/>
        </w:rPr>
        <w:t>integral</w:t>
      </w:r>
      <w:r>
        <w:rPr>
          <w:i/>
          <w:spacing w:val="6"/>
          <w:sz w:val="14"/>
        </w:rPr>
        <w:t> </w:t>
      </w:r>
      <w:r>
        <w:rPr>
          <w:i/>
          <w:sz w:val="14"/>
        </w:rPr>
        <w:t>part</w:t>
      </w:r>
      <w:r>
        <w:rPr>
          <w:i/>
          <w:spacing w:val="7"/>
          <w:sz w:val="14"/>
        </w:rPr>
        <w:t> </w:t>
      </w:r>
      <w:r>
        <w:rPr>
          <w:i/>
          <w:sz w:val="14"/>
        </w:rPr>
        <w:t>of</w:t>
      </w:r>
      <w:r>
        <w:rPr>
          <w:i/>
          <w:spacing w:val="6"/>
          <w:sz w:val="14"/>
        </w:rPr>
        <w:t> </w:t>
      </w:r>
      <w:r>
        <w:rPr>
          <w:i/>
          <w:sz w:val="14"/>
        </w:rPr>
        <w:t>these</w:t>
      </w:r>
      <w:r>
        <w:rPr>
          <w:i/>
          <w:spacing w:val="7"/>
          <w:sz w:val="14"/>
        </w:rPr>
        <w:t> </w:t>
      </w:r>
      <w:r>
        <w:rPr>
          <w:i/>
          <w:sz w:val="14"/>
        </w:rPr>
        <w:t>consolidated</w:t>
      </w:r>
      <w:r>
        <w:rPr>
          <w:i/>
          <w:spacing w:val="7"/>
          <w:sz w:val="14"/>
        </w:rPr>
        <w:t> </w:t>
      </w:r>
      <w:r>
        <w:rPr>
          <w:i/>
          <w:sz w:val="14"/>
        </w:rPr>
        <w:t>financial</w:t>
      </w:r>
      <w:r>
        <w:rPr>
          <w:i/>
          <w:spacing w:val="6"/>
          <w:sz w:val="14"/>
        </w:rPr>
        <w:t> </w:t>
      </w:r>
      <w:r>
        <w:rPr>
          <w:i/>
          <w:spacing w:val="-2"/>
          <w:sz w:val="14"/>
        </w:rPr>
        <w:t>statements</w:t>
      </w:r>
    </w:p>
    <w:p>
      <w:pPr>
        <w:pStyle w:val="BodyText"/>
        <w:rPr>
          <w:i/>
          <w:sz w:val="14"/>
        </w:rPr>
      </w:pPr>
    </w:p>
    <w:p>
      <w:pPr>
        <w:pStyle w:val="BodyText"/>
        <w:spacing w:before="127"/>
        <w:rPr>
          <w:i/>
          <w:sz w:val="14"/>
        </w:rPr>
      </w:pPr>
    </w:p>
    <w:p>
      <w:pPr>
        <w:pStyle w:val="BodyText"/>
        <w:ind w:left="24"/>
        <w:jc w:val="center"/>
      </w:pPr>
      <w:bookmarkStart w:name="_bookmark18" w:id="19"/>
      <w:bookmarkEnd w:id="19"/>
      <w:r>
        <w:rPr/>
      </w:r>
      <w:r>
        <w:rPr>
          <w:spacing w:val="-5"/>
        </w:rPr>
        <w:t>61</w:t>
      </w:r>
    </w:p>
    <w:p>
      <w:pPr>
        <w:pStyle w:val="BodyText"/>
        <w:spacing w:before="3"/>
        <w:rPr>
          <w:sz w:val="6"/>
        </w:rPr>
      </w:pPr>
      <w:r>
        <w:rPr/>
        <mc:AlternateContent>
          <mc:Choice Requires="wps">
            <w:drawing>
              <wp:anchor distT="0" distB="0" distL="0" distR="0" allowOverlap="1" layoutInCell="1" locked="0" behindDoc="1" simplePos="0" relativeHeight="487651328">
                <wp:simplePos x="0" y="0"/>
                <wp:positionH relativeFrom="page">
                  <wp:posOffset>231457</wp:posOffset>
                </wp:positionH>
                <wp:positionV relativeFrom="paragraph">
                  <wp:posOffset>60956</wp:posOffset>
                </wp:positionV>
                <wp:extent cx="7312659" cy="17145"/>
                <wp:effectExtent l="0" t="0" r="0" b="0"/>
                <wp:wrapTopAndBottom/>
                <wp:docPr id="352" name="Group 352"/>
                <wp:cNvGraphicFramePr>
                  <a:graphicFrameLocks/>
                </wp:cNvGraphicFramePr>
                <a:graphic>
                  <a:graphicData uri="http://schemas.microsoft.com/office/word/2010/wordprocessingGroup">
                    <wpg:wgp>
                      <wpg:cNvPr id="352" name="Group 352"/>
                      <wpg:cNvGrpSpPr/>
                      <wpg:grpSpPr>
                        <a:xfrm>
                          <a:off x="0" y="0"/>
                          <a:ext cx="7312659" cy="17145"/>
                          <a:chExt cx="7312659" cy="17145"/>
                        </a:xfrm>
                      </wpg:grpSpPr>
                      <wps:wsp>
                        <wps:cNvPr id="353" name="Graphic 3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54" name="Graphic 354"/>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55" name="Graphic 3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5152;mso-wrap-distance-left:0;mso-wrap-distance-right:0" id="docshapegroup350" coordorigin="364,96" coordsize="11516,27">
                <v:rect style="position:absolute;left:364;top:96;width:11516;height:14" id="docshape351" filled="true" fillcolor="#999999" stroked="false">
                  <v:fill type="solid"/>
                </v:rect>
                <v:shape style="position:absolute;left:364;top:95;width:11516;height:27" id="docshape352" coordorigin="364,96" coordsize="11516,27" path="m11880,96l11866,109,364,109,364,123,11866,123,11880,123,11880,109,11880,96xe" filled="true" fillcolor="#ededed" stroked="false">
                  <v:path arrowok="t"/>
                  <v:fill type="solid"/>
                </v:shape>
                <v:shape style="position:absolute;left:364;top:96;width:14;height:27" id="docshape35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020" w:bottom="280" w:left="220" w:right="240"/>
        </w:sectPr>
      </w:pPr>
    </w:p>
    <w:p>
      <w:pPr>
        <w:pStyle w:val="BodyText"/>
      </w:pPr>
    </w:p>
    <w:p>
      <w:pPr>
        <w:pStyle w:val="BodyText"/>
        <w:spacing w:before="74"/>
      </w:pPr>
    </w:p>
    <w:p>
      <w:pPr>
        <w:pStyle w:val="Heading4"/>
      </w:pPr>
      <w:r>
        <w:rPr/>
        <w:t>NOTE</w:t>
      </w:r>
      <w:r>
        <w:rPr>
          <w:spacing w:val="-1"/>
        </w:rPr>
        <w:t> </w:t>
      </w:r>
      <w:r>
        <w:rPr/>
        <w:t>1</w:t>
      </w:r>
      <w:r>
        <w:rPr>
          <w:spacing w:val="-1"/>
        </w:rPr>
        <w:t> </w:t>
      </w:r>
      <w:r>
        <w:rPr/>
        <w:t>—</w:t>
      </w:r>
      <w:r>
        <w:rPr>
          <w:spacing w:val="-1"/>
        </w:rPr>
        <w:t> </w:t>
      </w:r>
      <w:r>
        <w:rPr>
          <w:spacing w:val="-2"/>
        </w:rPr>
        <w:t>ORGANIZATION</w:t>
      </w:r>
    </w:p>
    <w:p>
      <w:pPr>
        <w:spacing w:line="249" w:lineRule="auto" w:before="69"/>
        <w:ind w:left="144" w:right="3524" w:firstLine="21"/>
        <w:jc w:val="left"/>
        <w:rPr>
          <w:b/>
          <w:sz w:val="18"/>
        </w:rPr>
      </w:pPr>
      <w:r>
        <w:rPr/>
        <w:br w:type="column"/>
      </w:r>
      <w:r>
        <w:rPr>
          <w:b/>
          <w:sz w:val="18"/>
        </w:rPr>
        <w:t>MGM</w:t>
      </w:r>
      <w:r>
        <w:rPr>
          <w:b/>
          <w:spacing w:val="-12"/>
          <w:sz w:val="18"/>
        </w:rPr>
        <w:t> </w:t>
      </w:r>
      <w:r>
        <w:rPr>
          <w:b/>
          <w:sz w:val="18"/>
        </w:rPr>
        <w:t>RESORTS</w:t>
      </w:r>
      <w:r>
        <w:rPr>
          <w:b/>
          <w:spacing w:val="-11"/>
          <w:sz w:val="18"/>
        </w:rPr>
        <w:t> </w:t>
      </w:r>
      <w:r>
        <w:rPr>
          <w:b/>
          <w:sz w:val="18"/>
        </w:rPr>
        <w:t>INTERNATIONAL</w:t>
      </w:r>
      <w:r>
        <w:rPr>
          <w:b/>
          <w:spacing w:val="-20"/>
          <w:sz w:val="18"/>
        </w:rPr>
        <w:t> </w:t>
      </w:r>
      <w:r>
        <w:rPr>
          <w:b/>
          <w:sz w:val="18"/>
        </w:rPr>
        <w:t>AND</w:t>
      </w:r>
      <w:r>
        <w:rPr>
          <w:b/>
          <w:spacing w:val="-11"/>
          <w:sz w:val="18"/>
        </w:rPr>
        <w:t> </w:t>
      </w:r>
      <w:r>
        <w:rPr>
          <w:b/>
          <w:sz w:val="18"/>
        </w:rPr>
        <w:t>SUBSIDIARIES NOTES</w:t>
      </w:r>
      <w:r>
        <w:rPr>
          <w:b/>
          <w:spacing w:val="-12"/>
          <w:sz w:val="18"/>
        </w:rPr>
        <w:t> </w:t>
      </w:r>
      <w:r>
        <w:rPr>
          <w:b/>
          <w:sz w:val="18"/>
        </w:rPr>
        <w:t>TO</w:t>
      </w:r>
      <w:r>
        <w:rPr>
          <w:b/>
          <w:spacing w:val="-5"/>
          <w:sz w:val="18"/>
        </w:rPr>
        <w:t> </w:t>
      </w:r>
      <w:r>
        <w:rPr>
          <w:b/>
          <w:sz w:val="18"/>
        </w:rPr>
        <w:t>CONSOLIDATED</w:t>
      </w:r>
      <w:r>
        <w:rPr>
          <w:b/>
          <w:spacing w:val="-6"/>
          <w:sz w:val="18"/>
        </w:rPr>
        <w:t> </w:t>
      </w:r>
      <w:r>
        <w:rPr>
          <w:b/>
          <w:sz w:val="18"/>
        </w:rPr>
        <w:t>FINANCIAL</w:t>
      </w:r>
      <w:r>
        <w:rPr>
          <w:b/>
          <w:spacing w:val="-11"/>
          <w:sz w:val="18"/>
        </w:rPr>
        <w:t> </w:t>
      </w:r>
      <w:r>
        <w:rPr>
          <w:b/>
          <w:spacing w:val="-5"/>
          <w:sz w:val="18"/>
        </w:rPr>
        <w:t>STATEMENTS</w:t>
      </w:r>
    </w:p>
    <w:p>
      <w:pPr>
        <w:spacing w:after="0" w:line="249" w:lineRule="auto"/>
        <w:jc w:val="left"/>
        <w:rPr>
          <w:sz w:val="18"/>
        </w:rPr>
        <w:sectPr>
          <w:pgSz w:w="12240" w:h="15840"/>
          <w:pgMar w:top="1180" w:bottom="280" w:left="220" w:right="240"/>
          <w:cols w:num="2" w:equalWidth="0">
            <w:col w:w="2536" w:space="870"/>
            <w:col w:w="8374"/>
          </w:cols>
        </w:sectPr>
      </w:pPr>
    </w:p>
    <w:p>
      <w:pPr>
        <w:pStyle w:val="BodyText"/>
        <w:spacing w:before="4"/>
        <w:rPr>
          <w:b/>
        </w:rPr>
      </w:pPr>
    </w:p>
    <w:p>
      <w:pPr>
        <w:pStyle w:val="BodyText"/>
        <w:spacing w:line="242" w:lineRule="auto"/>
        <w:ind w:left="144" w:right="118" w:firstLine="499"/>
        <w:jc w:val="both"/>
      </w:pPr>
      <w:r>
        <w:rPr>
          <w:b/>
        </w:rPr>
        <w:t>Organization.</w:t>
      </w:r>
      <w:r>
        <w:rPr>
          <w:b/>
          <w:spacing w:val="-1"/>
        </w:rPr>
        <w:t> </w:t>
      </w:r>
      <w:r>
        <w:rPr/>
        <w:t>MGM</w:t>
      </w:r>
      <w:r>
        <w:rPr>
          <w:spacing w:val="-2"/>
        </w:rPr>
        <w:t> </w:t>
      </w:r>
      <w:r>
        <w:rPr/>
        <w:t>Resorts</w:t>
      </w:r>
      <w:r>
        <w:rPr>
          <w:spacing w:val="-2"/>
        </w:rPr>
        <w:t> </w:t>
      </w:r>
      <w:r>
        <w:rPr/>
        <w:t>International,</w:t>
      </w:r>
      <w:r>
        <w:rPr>
          <w:spacing w:val="-2"/>
        </w:rPr>
        <w:t> </w:t>
      </w:r>
      <w:r>
        <w:rPr/>
        <w:t>a</w:t>
      </w:r>
      <w:r>
        <w:rPr>
          <w:spacing w:val="-2"/>
        </w:rPr>
        <w:t> </w:t>
      </w:r>
      <w:r>
        <w:rPr/>
        <w:t>Delaware</w:t>
      </w:r>
      <w:r>
        <w:rPr>
          <w:spacing w:val="-2"/>
        </w:rPr>
        <w:t> </w:t>
      </w:r>
      <w:r>
        <w:rPr/>
        <w:t>corporation,</w:t>
      </w:r>
      <w:r>
        <w:rPr>
          <w:spacing w:val="-2"/>
        </w:rPr>
        <w:t> </w:t>
      </w:r>
      <w:r>
        <w:rPr/>
        <w:t>(together</w:t>
      </w:r>
      <w:r>
        <w:rPr>
          <w:spacing w:val="-2"/>
        </w:rPr>
        <w:t> </w:t>
      </w:r>
      <w:r>
        <w:rPr/>
        <w:t>with</w:t>
      </w:r>
      <w:r>
        <w:rPr>
          <w:spacing w:val="-2"/>
        </w:rPr>
        <w:t> </w:t>
      </w:r>
      <w:r>
        <w:rPr/>
        <w:t>its</w:t>
      </w:r>
      <w:r>
        <w:rPr>
          <w:spacing w:val="-2"/>
        </w:rPr>
        <w:t> </w:t>
      </w:r>
      <w:r>
        <w:rPr/>
        <w:t>consolidated</w:t>
      </w:r>
      <w:r>
        <w:rPr>
          <w:spacing w:val="-2"/>
        </w:rPr>
        <w:t> </w:t>
      </w:r>
      <w:r>
        <w:rPr/>
        <w:t>subsidiaries,</w:t>
      </w:r>
      <w:r>
        <w:rPr>
          <w:spacing w:val="-2"/>
        </w:rPr>
        <w:t> </w:t>
      </w:r>
      <w:r>
        <w:rPr/>
        <w:t>unless</w:t>
      </w:r>
      <w:r>
        <w:rPr>
          <w:spacing w:val="-2"/>
        </w:rPr>
        <w:t> </w:t>
      </w:r>
      <w:r>
        <w:rPr/>
        <w:t>otherwise</w:t>
      </w:r>
      <w:r>
        <w:rPr>
          <w:spacing w:val="-2"/>
        </w:rPr>
        <w:t> </w:t>
      </w:r>
      <w:r>
        <w:rPr/>
        <w:t>indicated</w:t>
      </w:r>
      <w:r>
        <w:rPr>
          <w:spacing w:val="-2"/>
        </w:rPr>
        <w:t> </w:t>
      </w:r>
      <w:r>
        <w:rPr/>
        <w:t>or</w:t>
      </w:r>
      <w:r>
        <w:rPr>
          <w:spacing w:val="-2"/>
        </w:rPr>
        <w:t> </w:t>
      </w:r>
      <w:r>
        <w:rPr/>
        <w:t>unless</w:t>
      </w:r>
      <w:r>
        <w:rPr>
          <w:spacing w:val="-2"/>
        </w:rPr>
        <w:t> </w:t>
      </w:r>
      <w:r>
        <w:rPr/>
        <w:t>the context requires otherwise, the “Company”) is a global gaming and entertainment company with domestic and international locations featuring hotels </w:t>
      </w:r>
      <w:r>
        <w:rPr/>
        <w:t>and casinos, convention, dining, and retail offerings, and sports betting and online gaming operations.</w:t>
      </w:r>
    </w:p>
    <w:p>
      <w:pPr>
        <w:pStyle w:val="BodyText"/>
        <w:spacing w:before="3"/>
      </w:pPr>
    </w:p>
    <w:p>
      <w:pPr>
        <w:pStyle w:val="BodyText"/>
        <w:spacing w:line="242" w:lineRule="auto"/>
        <w:ind w:left="144" w:right="118" w:firstLine="499"/>
        <w:jc w:val="both"/>
      </w:pPr>
      <w:r>
        <w:rPr/>
        <w:t>The Company’s domestic casino resorts include the following integrated casino, hotel and entertainment resorts in Las Vegas, Nevada:</w:t>
      </w:r>
      <w:r>
        <w:rPr>
          <w:spacing w:val="-3"/>
        </w:rPr>
        <w:t> </w:t>
      </w:r>
      <w:r>
        <w:rPr/>
        <w:t>Aria (including Vdara), Bellagio,</w:t>
      </w:r>
      <w:r>
        <w:rPr>
          <w:spacing w:val="-1"/>
        </w:rPr>
        <w:t> </w:t>
      </w:r>
      <w:r>
        <w:rPr/>
        <w:t>The Cosmopolitan of Las</w:t>
      </w:r>
      <w:r>
        <w:rPr>
          <w:spacing w:val="-1"/>
        </w:rPr>
        <w:t> </w:t>
      </w:r>
      <w:r>
        <w:rPr/>
        <w:t>Vegas (“The Cosmopolitan”), MGM Grand Las</w:t>
      </w:r>
      <w:r>
        <w:rPr>
          <w:spacing w:val="-1"/>
        </w:rPr>
        <w:t> </w:t>
      </w:r>
      <w:r>
        <w:rPr/>
        <w:t>Vegas (including</w:t>
      </w:r>
      <w:r>
        <w:rPr>
          <w:spacing w:val="-1"/>
        </w:rPr>
        <w:t> </w:t>
      </w:r>
      <w:r>
        <w:rPr/>
        <w:t>The Signature),</w:t>
      </w:r>
      <w:r>
        <w:rPr>
          <w:spacing w:val="-1"/>
        </w:rPr>
        <w:t> </w:t>
      </w:r>
      <w:r>
        <w:rPr/>
        <w:t>The Mirage (until its disposition in December 2022), Mandalay Bay, Luxor, New York-New York, Park MGM, and Excalibur. The Company also operates MGM Grand Detroit in </w:t>
      </w:r>
      <w:r>
        <w:rPr/>
        <w:t>Detroit, Michigan,</w:t>
      </w:r>
      <w:r>
        <w:rPr>
          <w:spacing w:val="-7"/>
        </w:rPr>
        <w:t> </w:t>
      </w:r>
      <w:r>
        <w:rPr/>
        <w:t>MGM</w:t>
      </w:r>
      <w:r>
        <w:rPr>
          <w:spacing w:val="-5"/>
        </w:rPr>
        <w:t> </w:t>
      </w:r>
      <w:r>
        <w:rPr/>
        <w:t>National</w:t>
      </w:r>
      <w:r>
        <w:rPr>
          <w:spacing w:val="-5"/>
        </w:rPr>
        <w:t> </w:t>
      </w:r>
      <w:r>
        <w:rPr/>
        <w:t>Harbor</w:t>
      </w:r>
      <w:r>
        <w:rPr>
          <w:spacing w:val="-5"/>
        </w:rPr>
        <w:t> </w:t>
      </w:r>
      <w:r>
        <w:rPr/>
        <w:t>in</w:t>
      </w:r>
      <w:r>
        <w:rPr>
          <w:spacing w:val="-5"/>
        </w:rPr>
        <w:t> </w:t>
      </w:r>
      <w:r>
        <w:rPr/>
        <w:t>Prince</w:t>
      </w:r>
      <w:r>
        <w:rPr>
          <w:spacing w:val="-5"/>
        </w:rPr>
        <w:t> </w:t>
      </w:r>
      <w:r>
        <w:rPr/>
        <w:t>George’s</w:t>
      </w:r>
      <w:r>
        <w:rPr>
          <w:spacing w:val="-5"/>
        </w:rPr>
        <w:t> </w:t>
      </w:r>
      <w:r>
        <w:rPr/>
        <w:t>County,</w:t>
      </w:r>
      <w:r>
        <w:rPr>
          <w:spacing w:val="-5"/>
        </w:rPr>
        <w:t> </w:t>
      </w:r>
      <w:r>
        <w:rPr/>
        <w:t>Maryland,</w:t>
      </w:r>
      <w:r>
        <w:rPr>
          <w:spacing w:val="-5"/>
        </w:rPr>
        <w:t> </w:t>
      </w:r>
      <w:r>
        <w:rPr/>
        <w:t>MGM</w:t>
      </w:r>
      <w:r>
        <w:rPr>
          <w:spacing w:val="-5"/>
        </w:rPr>
        <w:t> </w:t>
      </w:r>
      <w:r>
        <w:rPr/>
        <w:t>Springfield</w:t>
      </w:r>
      <w:r>
        <w:rPr>
          <w:spacing w:val="-5"/>
        </w:rPr>
        <w:t> </w:t>
      </w:r>
      <w:r>
        <w:rPr/>
        <w:t>in</w:t>
      </w:r>
      <w:r>
        <w:rPr>
          <w:spacing w:val="-5"/>
        </w:rPr>
        <w:t> </w:t>
      </w:r>
      <w:r>
        <w:rPr/>
        <w:t>Springfield,</w:t>
      </w:r>
      <w:r>
        <w:rPr>
          <w:spacing w:val="-5"/>
        </w:rPr>
        <w:t> </w:t>
      </w:r>
      <w:r>
        <w:rPr/>
        <w:t>Massachusetts,</w:t>
      </w:r>
      <w:r>
        <w:rPr>
          <w:spacing w:val="-5"/>
        </w:rPr>
        <w:t> </w:t>
      </w:r>
      <w:r>
        <w:rPr/>
        <w:t>Borgata</w:t>
      </w:r>
      <w:r>
        <w:rPr>
          <w:spacing w:val="-5"/>
        </w:rPr>
        <w:t> </w:t>
      </w:r>
      <w:r>
        <w:rPr/>
        <w:t>in</w:t>
      </w:r>
      <w:r>
        <w:rPr>
          <w:spacing w:val="-12"/>
        </w:rPr>
        <w:t> </w:t>
      </w:r>
      <w:r>
        <w:rPr/>
        <w:t>Atlantic</w:t>
      </w:r>
      <w:r>
        <w:rPr>
          <w:spacing w:val="-4"/>
        </w:rPr>
        <w:t> </w:t>
      </w:r>
      <w:r>
        <w:rPr/>
        <w:t>City,</w:t>
      </w:r>
      <w:r>
        <w:rPr>
          <w:spacing w:val="-5"/>
        </w:rPr>
        <w:t> </w:t>
      </w:r>
      <w:r>
        <w:rPr/>
        <w:t>New</w:t>
      </w:r>
      <w:r>
        <w:rPr>
          <w:spacing w:val="-5"/>
        </w:rPr>
        <w:t> </w:t>
      </w:r>
      <w:r>
        <w:rPr/>
        <w:t>Jersey, Empire City in</w:t>
      </w:r>
      <w:r>
        <w:rPr>
          <w:spacing w:val="-4"/>
        </w:rPr>
        <w:t> </w:t>
      </w:r>
      <w:r>
        <w:rPr/>
        <w:t>Yonkers, New</w:t>
      </w:r>
      <w:r>
        <w:rPr>
          <w:spacing w:val="-4"/>
        </w:rPr>
        <w:t> </w:t>
      </w:r>
      <w:r>
        <w:rPr/>
        <w:t>York, MGM Northfield Park in Northfield Park, Ohio, and the following resorts in Mississippi: Beau Rivage in Biloxi and Gold Strike Tunica in Tunica (until its disposition in February 2023). Additionally, the Company operates The Park, a dining and entertainment district located between New York-New York and Park MGM. The Company leases the real estate assets of its domestic resorts pursuant to triple-net lease agreements, as further discussed in Note 11.</w:t>
      </w:r>
    </w:p>
    <w:p>
      <w:pPr>
        <w:pStyle w:val="BodyText"/>
        <w:spacing w:line="242" w:lineRule="auto" w:before="204"/>
        <w:ind w:left="144" w:right="118" w:firstLine="499"/>
        <w:jc w:val="both"/>
      </w:pPr>
      <w:r>
        <w:rPr/>
        <w:t>The Company has an approximate 56% controlling interest in MGM China Holdings Limited (together with its subsidiaries, “MGM China”), which owns MGM Grand Paradise, S.A. (“MGM Grand Paradise”). MGM Grand Paradise owns and operates MGM Macau and MGM Cotai, two integrated </w:t>
      </w:r>
      <w:r>
        <w:rPr/>
        <w:t>casino, hotel and entertainment resorts in Macau, as well as the related gaming concession and land concessions.</w:t>
      </w:r>
    </w:p>
    <w:p>
      <w:pPr>
        <w:pStyle w:val="BodyText"/>
        <w:spacing w:before="3"/>
      </w:pPr>
    </w:p>
    <w:p>
      <w:pPr>
        <w:pStyle w:val="BodyText"/>
        <w:spacing w:line="249" w:lineRule="auto"/>
        <w:ind w:left="144" w:right="118" w:firstLine="499"/>
        <w:jc w:val="both"/>
      </w:pPr>
      <w:r>
        <w:rPr/>
        <w:t>The Company also has an approximate 98% controlling interest in LeoVegas</w:t>
      </w:r>
      <w:r>
        <w:rPr>
          <w:spacing w:val="-9"/>
        </w:rPr>
        <w:t> </w:t>
      </w:r>
      <w:r>
        <w:rPr/>
        <w:t>AB (“LeoVegas”), a consolidated subsidiary that has global online </w:t>
      </w:r>
      <w:r>
        <w:rPr/>
        <w:t>gaming operations headquartered in Sweden and Malta. Additionally, the Company and its venture partner, Entain plc, each have a 50% ownership interest in BetMGM, LLC (“BetMGM”), an unconsolidated affiliate, which provides online sports betting and gaming in certain jurisdictions in North</w:t>
      </w:r>
      <w:r>
        <w:rPr>
          <w:spacing w:val="-4"/>
        </w:rPr>
        <w:t> </w:t>
      </w:r>
      <w:r>
        <w:rPr/>
        <w:t>America.</w:t>
      </w:r>
    </w:p>
    <w:p>
      <w:pPr>
        <w:pStyle w:val="BodyText"/>
        <w:spacing w:before="11"/>
      </w:pPr>
    </w:p>
    <w:p>
      <w:pPr>
        <w:pStyle w:val="BodyText"/>
        <w:spacing w:line="249" w:lineRule="auto"/>
        <w:ind w:left="144" w:right="118" w:firstLine="499"/>
        <w:jc w:val="both"/>
      </w:pPr>
      <w:r>
        <w:rPr>
          <w:b/>
        </w:rPr>
        <w:t>MGP and the VICI Transaction. </w:t>
      </w:r>
      <w:r>
        <w:rPr/>
        <w:t>Prior to the closing of the VICI Transaction (defined below), MGM Growth Properties LLC (“MGP”) was </w:t>
      </w:r>
      <w:r>
        <w:rPr/>
        <w:t>a consolidated subsidiary of the Company. Substantially all of its assets were owned by and substantially all of its operations were conducted through MGM Growth Properties Operating Partnership LP</w:t>
      </w:r>
      <w:r>
        <w:rPr>
          <w:spacing w:val="-3"/>
        </w:rPr>
        <w:t> </w:t>
      </w:r>
      <w:r>
        <w:rPr/>
        <w:t>(“MGP</w:t>
      </w:r>
      <w:r>
        <w:rPr>
          <w:spacing w:val="-3"/>
        </w:rPr>
        <w:t> </w:t>
      </w:r>
      <w:r>
        <w:rPr/>
        <w:t>OP”). MGP</w:t>
      </w:r>
      <w:r>
        <w:rPr>
          <w:spacing w:val="-3"/>
        </w:rPr>
        <w:t> </w:t>
      </w:r>
      <w:r>
        <w:rPr/>
        <w:t>had two classes of common shares: Class</w:t>
      </w:r>
      <w:r>
        <w:rPr>
          <w:spacing w:val="-6"/>
        </w:rPr>
        <w:t> </w:t>
      </w:r>
      <w:r>
        <w:rPr/>
        <w:t>A</w:t>
      </w:r>
      <w:r>
        <w:rPr>
          <w:spacing w:val="-6"/>
        </w:rPr>
        <w:t> </w:t>
      </w:r>
      <w:r>
        <w:rPr/>
        <w:t>shares and a single Class B share. The Company owned MGP’s Class B share, through which it held a controlling interest in MGP as it was entitled to an amount of votes representing a majority of the total voting power of MGP’s shares. The Company and MGP each held MGP OP units representing limited partner interests in MGP OP. Immediately prior to the VICI Transaction, the Company owned 41.5% of MGP</w:t>
      </w:r>
      <w:r>
        <w:rPr>
          <w:spacing w:val="-2"/>
        </w:rPr>
        <w:t> </w:t>
      </w:r>
      <w:r>
        <w:rPr/>
        <w:t>OP</w:t>
      </w:r>
      <w:r>
        <w:rPr>
          <w:spacing w:val="-2"/>
        </w:rPr>
        <w:t> </w:t>
      </w:r>
      <w:r>
        <w:rPr/>
        <w:t>units, and MGP</w:t>
      </w:r>
      <w:r>
        <w:rPr>
          <w:spacing w:val="-2"/>
        </w:rPr>
        <w:t> </w:t>
      </w:r>
      <w:r>
        <w:rPr/>
        <w:t>held the remaining 58.5% ownership interest in MGP</w:t>
      </w:r>
      <w:r>
        <w:rPr>
          <w:spacing w:val="-2"/>
        </w:rPr>
        <w:t> </w:t>
      </w:r>
      <w:r>
        <w:rPr/>
        <w:t>OP.</w:t>
      </w:r>
    </w:p>
    <w:p>
      <w:pPr>
        <w:pStyle w:val="BodyText"/>
        <w:spacing w:before="14"/>
      </w:pPr>
    </w:p>
    <w:p>
      <w:pPr>
        <w:pStyle w:val="BodyText"/>
        <w:spacing w:line="249" w:lineRule="auto"/>
        <w:ind w:left="144" w:right="118" w:firstLine="499"/>
        <w:jc w:val="both"/>
      </w:pPr>
      <w:r>
        <w:rPr/>
        <w:t>Additionally, the Company had leased the real estate assets of certain of its domestic properties from MGP</w:t>
      </w:r>
      <w:r>
        <w:rPr>
          <w:spacing w:val="-4"/>
        </w:rPr>
        <w:t> </w:t>
      </w:r>
      <w:r>
        <w:rPr/>
        <w:t>OP, as further discussed in Note 18, and the real</w:t>
      </w:r>
      <w:r>
        <w:rPr>
          <w:spacing w:val="-2"/>
        </w:rPr>
        <w:t> </w:t>
      </w:r>
      <w:r>
        <w:rPr/>
        <w:t>estate</w:t>
      </w:r>
      <w:r>
        <w:rPr>
          <w:spacing w:val="-2"/>
        </w:rPr>
        <w:t> </w:t>
      </w:r>
      <w:r>
        <w:rPr/>
        <w:t>assets</w:t>
      </w:r>
      <w:r>
        <w:rPr>
          <w:spacing w:val="-2"/>
        </w:rPr>
        <w:t> </w:t>
      </w:r>
      <w:r>
        <w:rPr/>
        <w:t>of</w:t>
      </w:r>
      <w:r>
        <w:rPr>
          <w:spacing w:val="-2"/>
        </w:rPr>
        <w:t> </w:t>
      </w:r>
      <w:r>
        <w:rPr/>
        <w:t>Mandalay</w:t>
      </w:r>
      <w:r>
        <w:rPr>
          <w:spacing w:val="-2"/>
        </w:rPr>
        <w:t> </w:t>
      </w:r>
      <w:r>
        <w:rPr/>
        <w:t>Bay</w:t>
      </w:r>
      <w:r>
        <w:rPr>
          <w:spacing w:val="-2"/>
        </w:rPr>
        <w:t> </w:t>
      </w:r>
      <w:r>
        <w:rPr/>
        <w:t>and</w:t>
      </w:r>
      <w:r>
        <w:rPr>
          <w:spacing w:val="-2"/>
        </w:rPr>
        <w:t> </w:t>
      </w:r>
      <w:r>
        <w:rPr/>
        <w:t>MGM</w:t>
      </w:r>
      <w:r>
        <w:rPr>
          <w:spacing w:val="-2"/>
        </w:rPr>
        <w:t> </w:t>
      </w:r>
      <w:r>
        <w:rPr/>
        <w:t>Grand</w:t>
      </w:r>
      <w:r>
        <w:rPr>
          <w:spacing w:val="-2"/>
        </w:rPr>
        <w:t> </w:t>
      </w:r>
      <w:r>
        <w:rPr/>
        <w:t>Las</w:t>
      </w:r>
      <w:r>
        <w:rPr>
          <w:spacing w:val="-5"/>
        </w:rPr>
        <w:t> </w:t>
      </w:r>
      <w:r>
        <w:rPr/>
        <w:t>Vegas</w:t>
      </w:r>
      <w:r>
        <w:rPr>
          <w:spacing w:val="-2"/>
        </w:rPr>
        <w:t> </w:t>
      </w:r>
      <w:r>
        <w:rPr/>
        <w:t>from</w:t>
      </w:r>
      <w:r>
        <w:rPr>
          <w:spacing w:val="-2"/>
        </w:rPr>
        <w:t> </w:t>
      </w:r>
      <w:r>
        <w:rPr/>
        <w:t>a</w:t>
      </w:r>
      <w:r>
        <w:rPr>
          <w:spacing w:val="-2"/>
        </w:rPr>
        <w:t> </w:t>
      </w:r>
      <w:r>
        <w:rPr/>
        <w:t>venture</w:t>
      </w:r>
      <w:r>
        <w:rPr>
          <w:spacing w:val="-2"/>
        </w:rPr>
        <w:t> </w:t>
      </w:r>
      <w:r>
        <w:rPr/>
        <w:t>that</w:t>
      </w:r>
      <w:r>
        <w:rPr>
          <w:spacing w:val="-2"/>
        </w:rPr>
        <w:t> </w:t>
      </w:r>
      <w:r>
        <w:rPr/>
        <w:t>was</w:t>
      </w:r>
      <w:r>
        <w:rPr>
          <w:spacing w:val="-2"/>
        </w:rPr>
        <w:t> </w:t>
      </w:r>
      <w:r>
        <w:rPr/>
        <w:t>50.1%</w:t>
      </w:r>
      <w:r>
        <w:rPr>
          <w:spacing w:val="-2"/>
        </w:rPr>
        <w:t> </w:t>
      </w:r>
      <w:r>
        <w:rPr/>
        <w:t>owned</w:t>
      </w:r>
      <w:r>
        <w:rPr>
          <w:spacing w:val="-2"/>
        </w:rPr>
        <w:t> </w:t>
      </w:r>
      <w:r>
        <w:rPr/>
        <w:t>by</w:t>
      </w:r>
      <w:r>
        <w:rPr>
          <w:spacing w:val="-2"/>
        </w:rPr>
        <w:t> </w:t>
      </w:r>
      <w:r>
        <w:rPr/>
        <w:t>a</w:t>
      </w:r>
      <w:r>
        <w:rPr>
          <w:spacing w:val="-2"/>
        </w:rPr>
        <w:t> </w:t>
      </w:r>
      <w:r>
        <w:rPr/>
        <w:t>subsidiary</w:t>
      </w:r>
      <w:r>
        <w:rPr>
          <w:spacing w:val="-2"/>
        </w:rPr>
        <w:t> </w:t>
      </w:r>
      <w:r>
        <w:rPr/>
        <w:t>of</w:t>
      </w:r>
      <w:r>
        <w:rPr>
          <w:spacing w:val="-2"/>
        </w:rPr>
        <w:t> </w:t>
      </w:r>
      <w:r>
        <w:rPr/>
        <w:t>MGP</w:t>
      </w:r>
      <w:r>
        <w:rPr>
          <w:spacing w:val="-9"/>
        </w:rPr>
        <w:t> </w:t>
      </w:r>
      <w:r>
        <w:rPr/>
        <w:t>OP</w:t>
      </w:r>
      <w:r>
        <w:rPr>
          <w:spacing w:val="-9"/>
        </w:rPr>
        <w:t> </w:t>
      </w:r>
      <w:r>
        <w:rPr/>
        <w:t>and</w:t>
      </w:r>
      <w:r>
        <w:rPr>
          <w:spacing w:val="-2"/>
        </w:rPr>
        <w:t> </w:t>
      </w:r>
      <w:r>
        <w:rPr/>
        <w:t>49.9%</w:t>
      </w:r>
      <w:r>
        <w:rPr>
          <w:spacing w:val="-2"/>
        </w:rPr>
        <w:t> </w:t>
      </w:r>
      <w:r>
        <w:rPr/>
        <w:t>by</w:t>
      </w:r>
      <w:r>
        <w:rPr>
          <w:spacing w:val="-2"/>
        </w:rPr>
        <w:t> </w:t>
      </w:r>
      <w:r>
        <w:rPr/>
        <w:t>a</w:t>
      </w:r>
      <w:r>
        <w:rPr>
          <w:spacing w:val="-2"/>
        </w:rPr>
        <w:t> </w:t>
      </w:r>
      <w:r>
        <w:rPr/>
        <w:t>subsidiary</w:t>
      </w:r>
      <w:r>
        <w:rPr>
          <w:spacing w:val="-2"/>
        </w:rPr>
        <w:t> </w:t>
      </w:r>
      <w:r>
        <w:rPr/>
        <w:t>of Blackstone Real Estate Investment Trust, Inc. (“BREIT”, such venture, the “VICI BREIT Venture”).</w:t>
      </w:r>
    </w:p>
    <w:p>
      <w:pPr>
        <w:pStyle w:val="BodyText"/>
        <w:spacing w:before="11"/>
      </w:pPr>
    </w:p>
    <w:p>
      <w:pPr>
        <w:pStyle w:val="BodyText"/>
        <w:spacing w:line="249" w:lineRule="auto"/>
        <w:ind w:left="144" w:right="118" w:firstLine="499"/>
        <w:jc w:val="both"/>
      </w:pPr>
      <w:r>
        <w:rPr/>
        <w:t>On April 29, 2022, the Company completed a series of transactions with VICI Properties, Inc. (“VICI”) and MGP whereby VICI acquired MGP in a stock-for-stock transaction (such transaction, the “VICI Transaction”), with the Company retaining an approximate 1% ownership interest in VICI Properties OP</w:t>
      </w:r>
      <w:r>
        <w:rPr>
          <w:spacing w:val="-5"/>
        </w:rPr>
        <w:t> </w:t>
      </w:r>
      <w:r>
        <w:rPr/>
        <w:t>LLC (“VICI OP”). MGP’s Class B share that was held by the Company was cancelled.</w:t>
      </w:r>
      <w:r>
        <w:rPr>
          <w:spacing w:val="-7"/>
        </w:rPr>
        <w:t> </w:t>
      </w:r>
      <w:r>
        <w:rPr/>
        <w:t>Accordingly, the Company no longer holds a controlling interest </w:t>
      </w:r>
      <w:r>
        <w:rPr/>
        <w:t>in MGP and deconsolidated MGP upon the closing of the transactions. Refer to Note 4 for further discussion of the transactions. In connection with the VICI Transaction, the Company entered into an amended and restated master lease with VICI. Refer to Note 11 for further discussion of the lease.</w:t>
      </w:r>
    </w:p>
    <w:p>
      <w:pPr>
        <w:pStyle w:val="BodyText"/>
        <w:spacing w:before="12"/>
      </w:pPr>
    </w:p>
    <w:p>
      <w:pPr>
        <w:pStyle w:val="BodyText"/>
        <w:spacing w:line="249" w:lineRule="auto" w:before="1"/>
        <w:ind w:left="144" w:right="117" w:firstLine="499"/>
        <w:jc w:val="both"/>
      </w:pPr>
      <w:r>
        <w:rPr>
          <w:b/>
        </w:rPr>
        <w:t>The Cosmopolitan acquisition. </w:t>
      </w:r>
      <w:r>
        <w:rPr/>
        <w:t>On May 17, 2022, the Company acquired the operations of</w:t>
      </w:r>
      <w:r>
        <w:rPr>
          <w:spacing w:val="-2"/>
        </w:rPr>
        <w:t> </w:t>
      </w:r>
      <w:r>
        <w:rPr/>
        <w:t>The Cosmopolitan.</w:t>
      </w:r>
      <w:r>
        <w:rPr>
          <w:spacing w:val="-9"/>
        </w:rPr>
        <w:t> </w:t>
      </w:r>
      <w:r>
        <w:rPr/>
        <w:t>Additionally, the Company entered into a lease agreement for the real estate assets of The Cosmopolitan. Refer to Note 4 for additional information on this acquisition and Note 11 for further discussion of the lease.</w:t>
      </w:r>
    </w:p>
    <w:p>
      <w:pPr>
        <w:pStyle w:val="BodyText"/>
        <w:spacing w:before="11"/>
      </w:pPr>
    </w:p>
    <w:p>
      <w:pPr>
        <w:pStyle w:val="BodyText"/>
        <w:ind w:left="644"/>
      </w:pPr>
      <w:r>
        <w:rPr>
          <w:b/>
        </w:rPr>
        <w:t>LeoVegas</w:t>
      </w:r>
      <w:r>
        <w:rPr>
          <w:b/>
          <w:spacing w:val="-5"/>
        </w:rPr>
        <w:t> </w:t>
      </w:r>
      <w:r>
        <w:rPr>
          <w:b/>
        </w:rPr>
        <w:t>acquisition.</w:t>
      </w:r>
      <w:r>
        <w:rPr>
          <w:b/>
          <w:spacing w:val="-2"/>
        </w:rPr>
        <w:t> </w:t>
      </w:r>
      <w:r>
        <w:rPr/>
        <w:t>On</w:t>
      </w:r>
      <w:r>
        <w:rPr>
          <w:spacing w:val="-3"/>
        </w:rPr>
        <w:t> </w:t>
      </w:r>
      <w:r>
        <w:rPr/>
        <w:t>September</w:t>
      </w:r>
      <w:r>
        <w:rPr>
          <w:spacing w:val="-3"/>
        </w:rPr>
        <w:t> </w:t>
      </w:r>
      <w:r>
        <w:rPr/>
        <w:t>7,</w:t>
      </w:r>
      <w:r>
        <w:rPr>
          <w:spacing w:val="-3"/>
        </w:rPr>
        <w:t> </w:t>
      </w:r>
      <w:r>
        <w:rPr/>
        <w:t>2022,</w:t>
      </w:r>
      <w:r>
        <w:rPr>
          <w:spacing w:val="-3"/>
        </w:rPr>
        <w:t> </w:t>
      </w:r>
      <w:r>
        <w:rPr/>
        <w:t>the</w:t>
      </w:r>
      <w:r>
        <w:rPr>
          <w:spacing w:val="-3"/>
        </w:rPr>
        <w:t> </w:t>
      </w:r>
      <w:r>
        <w:rPr/>
        <w:t>Company</w:t>
      </w:r>
      <w:r>
        <w:rPr>
          <w:spacing w:val="-3"/>
        </w:rPr>
        <w:t> </w:t>
      </w:r>
      <w:r>
        <w:rPr/>
        <w:t>acquired</w:t>
      </w:r>
      <w:r>
        <w:rPr>
          <w:spacing w:val="-3"/>
        </w:rPr>
        <w:t> </w:t>
      </w:r>
      <w:r>
        <w:rPr/>
        <w:t>LeoVegas.</w:t>
      </w:r>
      <w:r>
        <w:rPr>
          <w:spacing w:val="-3"/>
        </w:rPr>
        <w:t> </w:t>
      </w:r>
      <w:r>
        <w:rPr/>
        <w:t>Refer</w:t>
      </w:r>
      <w:r>
        <w:rPr>
          <w:spacing w:val="-3"/>
        </w:rPr>
        <w:t> </w:t>
      </w:r>
      <w:r>
        <w:rPr/>
        <w:t>to</w:t>
      </w:r>
      <w:r>
        <w:rPr>
          <w:spacing w:val="-3"/>
        </w:rPr>
        <w:t> </w:t>
      </w:r>
      <w:r>
        <w:rPr/>
        <w:t>Note</w:t>
      </w:r>
      <w:r>
        <w:rPr>
          <w:spacing w:val="-3"/>
        </w:rPr>
        <w:t> </w:t>
      </w:r>
      <w:r>
        <w:rPr/>
        <w:t>4</w:t>
      </w:r>
      <w:r>
        <w:rPr>
          <w:spacing w:val="-3"/>
        </w:rPr>
        <w:t> </w:t>
      </w:r>
      <w:r>
        <w:rPr/>
        <w:t>for</w:t>
      </w:r>
      <w:r>
        <w:rPr>
          <w:spacing w:val="-3"/>
        </w:rPr>
        <w:t> </w:t>
      </w:r>
      <w:r>
        <w:rPr/>
        <w:t>additional</w:t>
      </w:r>
      <w:r>
        <w:rPr>
          <w:spacing w:val="-3"/>
        </w:rPr>
        <w:t> </w:t>
      </w:r>
      <w:r>
        <w:rPr/>
        <w:t>information</w:t>
      </w:r>
      <w:r>
        <w:rPr>
          <w:spacing w:val="-3"/>
        </w:rPr>
        <w:t> </w:t>
      </w:r>
      <w:r>
        <w:rPr/>
        <w:t>on</w:t>
      </w:r>
      <w:r>
        <w:rPr>
          <w:spacing w:val="-3"/>
        </w:rPr>
        <w:t> </w:t>
      </w:r>
      <w:r>
        <w:rPr/>
        <w:t>this</w:t>
      </w:r>
      <w:r>
        <w:rPr>
          <w:spacing w:val="-2"/>
        </w:rPr>
        <w:t> acquisition.</w:t>
      </w:r>
    </w:p>
    <w:p>
      <w:pPr>
        <w:pStyle w:val="BodyText"/>
      </w:pPr>
    </w:p>
    <w:p>
      <w:pPr>
        <w:pStyle w:val="BodyText"/>
        <w:spacing w:before="202"/>
      </w:pPr>
    </w:p>
    <w:p>
      <w:pPr>
        <w:pStyle w:val="BodyText"/>
        <w:ind w:left="24"/>
        <w:jc w:val="center"/>
      </w:pPr>
      <w:r>
        <w:rPr>
          <w:spacing w:val="-5"/>
        </w:rPr>
        <w:t>62</w:t>
      </w:r>
    </w:p>
    <w:p>
      <w:pPr>
        <w:pStyle w:val="BodyText"/>
        <w:spacing w:before="3"/>
        <w:rPr>
          <w:sz w:val="6"/>
        </w:rPr>
      </w:pPr>
      <w:r>
        <w:rPr/>
        <mc:AlternateContent>
          <mc:Choice Requires="wps">
            <w:drawing>
              <wp:anchor distT="0" distB="0" distL="0" distR="0" allowOverlap="1" layoutInCell="1" locked="0" behindDoc="1" simplePos="0" relativeHeight="487655936">
                <wp:simplePos x="0" y="0"/>
                <wp:positionH relativeFrom="page">
                  <wp:posOffset>231457</wp:posOffset>
                </wp:positionH>
                <wp:positionV relativeFrom="paragraph">
                  <wp:posOffset>60956</wp:posOffset>
                </wp:positionV>
                <wp:extent cx="7312659" cy="17145"/>
                <wp:effectExtent l="0" t="0" r="0" b="0"/>
                <wp:wrapTopAndBottom/>
                <wp:docPr id="356" name="Group 356"/>
                <wp:cNvGraphicFramePr>
                  <a:graphicFrameLocks/>
                </wp:cNvGraphicFramePr>
                <a:graphic>
                  <a:graphicData uri="http://schemas.microsoft.com/office/word/2010/wordprocessingGroup">
                    <wpg:wgp>
                      <wpg:cNvPr id="356" name="Group 356"/>
                      <wpg:cNvGrpSpPr/>
                      <wpg:grpSpPr>
                        <a:xfrm>
                          <a:off x="0" y="0"/>
                          <a:ext cx="7312659" cy="17145"/>
                          <a:chExt cx="7312659" cy="17145"/>
                        </a:xfrm>
                      </wpg:grpSpPr>
                      <wps:wsp>
                        <wps:cNvPr id="357" name="Graphic 35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58" name="Graphic 358"/>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59" name="Graphic 35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0544;mso-wrap-distance-left:0;mso-wrap-distance-right:0" id="docshapegroup354" coordorigin="364,96" coordsize="11516,27">
                <v:rect style="position:absolute;left:364;top:96;width:11516;height:14" id="docshape355" filled="true" fillcolor="#999999" stroked="false">
                  <v:fill type="solid"/>
                </v:rect>
                <v:shape style="position:absolute;left:364;top:95;width:11516;height:27" id="docshape356" coordorigin="364,96" coordsize="11516,27" path="m11880,96l11866,109,364,109,364,123,11866,123,11880,123,11880,109,11880,96xe" filled="true" fillcolor="#ededed" stroked="false">
                  <v:path arrowok="t"/>
                  <v:fill type="solid"/>
                </v:shape>
                <v:shape style="position:absolute;left:364;top:96;width:14;height:27" id="docshape357"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BodyText"/>
        <w:spacing w:line="249" w:lineRule="auto" w:before="65"/>
        <w:ind w:left="144" w:right="118" w:firstLine="499"/>
        <w:jc w:val="both"/>
      </w:pPr>
      <w:r>
        <w:rPr>
          <w:b/>
        </w:rPr>
        <w:t>The Mirage transaction. </w:t>
      </w:r>
      <w:r>
        <w:rPr/>
        <w:t>On December 19, 2022, the Company completed the sale of the operations of The Mirage to an affiliate of Seminole </w:t>
      </w:r>
      <w:r>
        <w:rPr/>
        <w:t>Hard Rock Entertainment, Inc. (“Hard Rock”). Refer to Note 4 for additional information on this disposition.</w:t>
      </w:r>
    </w:p>
    <w:p>
      <w:pPr>
        <w:pStyle w:val="BodyText"/>
        <w:spacing w:before="10"/>
      </w:pPr>
    </w:p>
    <w:p>
      <w:pPr>
        <w:pStyle w:val="BodyText"/>
        <w:spacing w:line="249" w:lineRule="auto" w:before="1"/>
        <w:ind w:left="144" w:right="118" w:firstLine="499"/>
        <w:jc w:val="both"/>
      </w:pPr>
      <w:r>
        <w:rPr>
          <w:b/>
        </w:rPr>
        <w:t>Gold Strike Tunica transaction. </w:t>
      </w:r>
      <w:r>
        <w:rPr/>
        <w:t>On February 15, 2023, the Company completed the sale of the operations of Gold Strike Tunica to CNE </w:t>
      </w:r>
      <w:r>
        <w:rPr/>
        <w:t>Gaming Holdings, LLC (“CNE”), a subsidiary of Cherokee Nation Business. Refer to Note 4 for additional information on this disposition.</w:t>
      </w:r>
    </w:p>
    <w:p>
      <w:pPr>
        <w:pStyle w:val="BodyText"/>
        <w:spacing w:before="10"/>
      </w:pPr>
    </w:p>
    <w:p>
      <w:pPr>
        <w:pStyle w:val="BodyText"/>
        <w:ind w:left="144" w:right="118" w:firstLine="499"/>
        <w:jc w:val="both"/>
      </w:pPr>
      <w:r>
        <w:rPr>
          <w:b/>
        </w:rPr>
        <w:t>CityCenter acquisition. </w:t>
      </w:r>
      <w:r>
        <w:rPr/>
        <w:t>On September 27, 2021, the Company acquired the 50% ownership interest in CityCenter Holdings, LLC (“CityCenter”) held by</w:t>
      </w:r>
      <w:r>
        <w:rPr>
          <w:spacing w:val="-1"/>
        </w:rPr>
        <w:t> </w:t>
      </w:r>
      <w:r>
        <w:rPr/>
        <w:t>Infinity</w:t>
      </w:r>
      <w:r>
        <w:rPr>
          <w:spacing w:val="-4"/>
        </w:rPr>
        <w:t> </w:t>
      </w:r>
      <w:r>
        <w:rPr/>
        <w:t>World</w:t>
      </w:r>
      <w:r>
        <w:rPr>
          <w:spacing w:val="-1"/>
        </w:rPr>
        <w:t> </w:t>
      </w:r>
      <w:r>
        <w:rPr/>
        <w:t>Development</w:t>
      </w:r>
      <w:r>
        <w:rPr>
          <w:spacing w:val="-1"/>
        </w:rPr>
        <w:t> </w:t>
      </w:r>
      <w:r>
        <w:rPr/>
        <w:t>Corp</w:t>
      </w:r>
      <w:r>
        <w:rPr>
          <w:spacing w:val="-1"/>
        </w:rPr>
        <w:t> </w:t>
      </w:r>
      <w:r>
        <w:rPr/>
        <w:t>(“Infinity</w:t>
      </w:r>
      <w:r>
        <w:rPr>
          <w:spacing w:val="-4"/>
        </w:rPr>
        <w:t> </w:t>
      </w:r>
      <w:r>
        <w:rPr/>
        <w:t>World”),</w:t>
      </w:r>
      <w:r>
        <w:rPr>
          <w:spacing w:val="-1"/>
        </w:rPr>
        <w:t> </w:t>
      </w:r>
      <w:r>
        <w:rPr/>
        <w:t>a</w:t>
      </w:r>
      <w:r>
        <w:rPr>
          <w:spacing w:val="-1"/>
        </w:rPr>
        <w:t> </w:t>
      </w:r>
      <w:r>
        <w:rPr/>
        <w:t>wholly</w:t>
      </w:r>
      <w:r>
        <w:rPr>
          <w:spacing w:val="-1"/>
        </w:rPr>
        <w:t> </w:t>
      </w:r>
      <w:r>
        <w:rPr/>
        <w:t>owned</w:t>
      </w:r>
      <w:r>
        <w:rPr>
          <w:spacing w:val="-1"/>
        </w:rPr>
        <w:t> </w:t>
      </w:r>
      <w:r>
        <w:rPr/>
        <w:t>subsidiary</w:t>
      </w:r>
      <w:r>
        <w:rPr>
          <w:spacing w:val="-1"/>
        </w:rPr>
        <w:t> </w:t>
      </w:r>
      <w:r>
        <w:rPr/>
        <w:t>of</w:t>
      </w:r>
      <w:r>
        <w:rPr>
          <w:spacing w:val="-1"/>
        </w:rPr>
        <w:t> </w:t>
      </w:r>
      <w:r>
        <w:rPr/>
        <w:t>Dubai</w:t>
      </w:r>
      <w:r>
        <w:rPr>
          <w:spacing w:val="-4"/>
        </w:rPr>
        <w:t> </w:t>
      </w:r>
      <w:r>
        <w:rPr/>
        <w:t>World,</w:t>
      </w:r>
      <w:r>
        <w:rPr>
          <w:spacing w:val="-1"/>
        </w:rPr>
        <w:t> </w:t>
      </w:r>
      <w:r>
        <w:rPr/>
        <w:t>a</w:t>
      </w:r>
      <w:r>
        <w:rPr>
          <w:spacing w:val="-1"/>
        </w:rPr>
        <w:t> </w:t>
      </w:r>
      <w:r>
        <w:rPr/>
        <w:t>Dubai,</w:t>
      </w:r>
      <w:r>
        <w:rPr>
          <w:spacing w:val="-1"/>
        </w:rPr>
        <w:t> </w:t>
      </w:r>
      <w:r>
        <w:rPr/>
        <w:t>United</w:t>
      </w:r>
      <w:r>
        <w:rPr>
          <w:spacing w:val="-10"/>
        </w:rPr>
        <w:t> </w:t>
      </w:r>
      <w:r>
        <w:rPr/>
        <w:t>Arab</w:t>
      </w:r>
      <w:r>
        <w:rPr>
          <w:spacing w:val="-1"/>
        </w:rPr>
        <w:t> </w:t>
      </w:r>
      <w:r>
        <w:rPr/>
        <w:t>Emirates</w:t>
      </w:r>
      <w:r>
        <w:rPr>
          <w:spacing w:val="-1"/>
        </w:rPr>
        <w:t> </w:t>
      </w:r>
      <w:r>
        <w:rPr/>
        <w:t>government</w:t>
      </w:r>
      <w:r>
        <w:rPr>
          <w:spacing w:val="-1"/>
        </w:rPr>
        <w:t> </w:t>
      </w:r>
      <w:r>
        <w:rPr/>
        <w:t>decree</w:t>
      </w:r>
      <w:r>
        <w:rPr>
          <w:spacing w:val="-1"/>
        </w:rPr>
        <w:t> </w:t>
      </w:r>
      <w:r>
        <w:rPr/>
        <w:t>entity. CityCenter is located between Bellagio and Park MGM and consists of Aria, an integrated casino, hotel and entertainment resort; and Vdara, a luxury condominium-hotel. Refer to Note 4 for additional information on this acquisition.</w:t>
      </w:r>
    </w:p>
    <w:p>
      <w:pPr>
        <w:pStyle w:val="BodyText"/>
        <w:spacing w:before="21"/>
      </w:pPr>
    </w:p>
    <w:p>
      <w:pPr>
        <w:pStyle w:val="BodyText"/>
        <w:spacing w:line="235" w:lineRule="auto" w:before="1"/>
        <w:ind w:left="144" w:right="118" w:firstLine="499"/>
        <w:jc w:val="both"/>
      </w:pPr>
      <w:r>
        <w:rPr/>
        <w:t>On September 28, 2021, the Company sold the real estate assets of Aria (including Vdara) to funds managed by The Blackstone Group </w:t>
      </w:r>
      <w:r>
        <w:rPr/>
        <w:t>Inc. (“Blackstone”)</w:t>
      </w:r>
      <w:r>
        <w:rPr>
          <w:spacing w:val="-2"/>
        </w:rPr>
        <w:t> </w:t>
      </w:r>
      <w:r>
        <w:rPr/>
        <w:t>for</w:t>
      </w:r>
      <w:r>
        <w:rPr>
          <w:spacing w:val="-2"/>
        </w:rPr>
        <w:t> </w:t>
      </w:r>
      <w:r>
        <w:rPr/>
        <w:t>cash</w:t>
      </w:r>
      <w:r>
        <w:rPr>
          <w:spacing w:val="-2"/>
        </w:rPr>
        <w:t> </w:t>
      </w:r>
      <w:r>
        <w:rPr/>
        <w:t>consideration</w:t>
      </w:r>
      <w:r>
        <w:rPr>
          <w:spacing w:val="-2"/>
        </w:rPr>
        <w:t> </w:t>
      </w:r>
      <w:r>
        <w:rPr/>
        <w:t>of</w:t>
      </w:r>
      <w:r>
        <w:rPr>
          <w:spacing w:val="-2"/>
        </w:rPr>
        <w:t> </w:t>
      </w:r>
      <w:r>
        <w:rPr/>
        <w:t>$3.89</w:t>
      </w:r>
      <w:r>
        <w:rPr>
          <w:spacing w:val="-2"/>
        </w:rPr>
        <w:t> </w:t>
      </w:r>
      <w:r>
        <w:rPr/>
        <w:t>billion</w:t>
      </w:r>
      <w:r>
        <w:rPr>
          <w:spacing w:val="-2"/>
        </w:rPr>
        <w:t> </w:t>
      </w:r>
      <w:r>
        <w:rPr/>
        <w:t>and</w:t>
      </w:r>
      <w:r>
        <w:rPr>
          <w:spacing w:val="-2"/>
        </w:rPr>
        <w:t> </w:t>
      </w:r>
      <w:r>
        <w:rPr/>
        <w:t>entered</w:t>
      </w:r>
      <w:r>
        <w:rPr>
          <w:spacing w:val="-2"/>
        </w:rPr>
        <w:t> </w:t>
      </w:r>
      <w:r>
        <w:rPr/>
        <w:t>into</w:t>
      </w:r>
      <w:r>
        <w:rPr>
          <w:spacing w:val="-2"/>
        </w:rPr>
        <w:t> </w:t>
      </w:r>
      <w:r>
        <w:rPr/>
        <w:t>a</w:t>
      </w:r>
      <w:r>
        <w:rPr>
          <w:spacing w:val="-2"/>
        </w:rPr>
        <w:t> </w:t>
      </w:r>
      <w:r>
        <w:rPr/>
        <w:t>lease</w:t>
      </w:r>
      <w:r>
        <w:rPr>
          <w:spacing w:val="-2"/>
        </w:rPr>
        <w:t> </w:t>
      </w:r>
      <w:r>
        <w:rPr/>
        <w:t>through</w:t>
      </w:r>
      <w:r>
        <w:rPr>
          <w:spacing w:val="-2"/>
        </w:rPr>
        <w:t> </w:t>
      </w:r>
      <w:r>
        <w:rPr/>
        <w:t>which</w:t>
      </w:r>
      <w:r>
        <w:rPr>
          <w:spacing w:val="-2"/>
        </w:rPr>
        <w:t> </w:t>
      </w:r>
      <w:r>
        <w:rPr/>
        <w:t>the</w:t>
      </w:r>
      <w:r>
        <w:rPr>
          <w:spacing w:val="-2"/>
        </w:rPr>
        <w:t> </w:t>
      </w:r>
      <w:r>
        <w:rPr/>
        <w:t>real</w:t>
      </w:r>
      <w:r>
        <w:rPr>
          <w:spacing w:val="-2"/>
        </w:rPr>
        <w:t> </w:t>
      </w:r>
      <w:r>
        <w:rPr/>
        <w:t>property</w:t>
      </w:r>
      <w:r>
        <w:rPr>
          <w:spacing w:val="-2"/>
        </w:rPr>
        <w:t> </w:t>
      </w:r>
      <w:r>
        <w:rPr/>
        <w:t>is</w:t>
      </w:r>
      <w:r>
        <w:rPr>
          <w:spacing w:val="-2"/>
        </w:rPr>
        <w:t> </w:t>
      </w:r>
      <w:r>
        <w:rPr/>
        <w:t>leased</w:t>
      </w:r>
      <w:r>
        <w:rPr>
          <w:spacing w:val="-2"/>
        </w:rPr>
        <w:t> </w:t>
      </w:r>
      <w:r>
        <w:rPr/>
        <w:t>back</w:t>
      </w:r>
      <w:r>
        <w:rPr>
          <w:spacing w:val="-2"/>
        </w:rPr>
        <w:t> </w:t>
      </w:r>
      <w:r>
        <w:rPr/>
        <w:t>to</w:t>
      </w:r>
      <w:r>
        <w:rPr>
          <w:spacing w:val="-2"/>
        </w:rPr>
        <w:t> </w:t>
      </w:r>
      <w:r>
        <w:rPr/>
        <w:t>a</w:t>
      </w:r>
      <w:r>
        <w:rPr>
          <w:spacing w:val="-2"/>
        </w:rPr>
        <w:t> </w:t>
      </w:r>
      <w:r>
        <w:rPr/>
        <w:t>subsidiary</w:t>
      </w:r>
      <w:r>
        <w:rPr>
          <w:spacing w:val="-2"/>
        </w:rPr>
        <w:t> </w:t>
      </w:r>
      <w:r>
        <w:rPr/>
        <w:t>of</w:t>
      </w:r>
      <w:r>
        <w:rPr>
          <w:spacing w:val="-2"/>
        </w:rPr>
        <w:t> </w:t>
      </w:r>
      <w:r>
        <w:rPr/>
        <w:t>the</w:t>
      </w:r>
      <w:r>
        <w:rPr>
          <w:spacing w:val="-2"/>
        </w:rPr>
        <w:t> </w:t>
      </w:r>
      <w:r>
        <w:rPr/>
        <w:t>Company,</w:t>
      </w:r>
      <w:r>
        <w:rPr>
          <w:spacing w:val="-2"/>
        </w:rPr>
        <w:t> </w:t>
      </w:r>
      <w:r>
        <w:rPr/>
        <w:t>as further discussed in Note 11.</w:t>
      </w:r>
    </w:p>
    <w:p>
      <w:pPr>
        <w:pStyle w:val="BodyText"/>
        <w:spacing w:before="18"/>
      </w:pPr>
    </w:p>
    <w:p>
      <w:pPr>
        <w:pStyle w:val="BodyText"/>
        <w:ind w:left="144" w:right="118" w:firstLine="499"/>
        <w:jc w:val="both"/>
      </w:pPr>
      <w:r>
        <w:rPr>
          <w:b/>
        </w:rPr>
        <w:t>MGM Grand Las Vegas and Mandalay Bay transaction. </w:t>
      </w:r>
      <w:r>
        <w:rPr/>
        <w:t>On February 14, 2020, the Company completed a series of transactions (collectively the “MGM Grand Las Vegas and Mandalay Bay transaction”) pursuant to which the real estate assets of MGM Grand Las Vegas and Mandalay Bay </w:t>
      </w:r>
      <w:r>
        <w:rPr/>
        <w:t>(including Mandalay Place) were contributed to the newly formed VICI BREIT</w:t>
      </w:r>
      <w:r>
        <w:rPr>
          <w:spacing w:val="-2"/>
        </w:rPr>
        <w:t> </w:t>
      </w:r>
      <w:r>
        <w:rPr/>
        <w:t>Venture. In exchange for the contribution of the real estate assets, the Company received total consideration of $4.6 billion, which was comprised of $2.5 billion of cash, $1.3 billion of MGP OP’s secured indebtedness assumed by VICI BREIT Venture, and MGP OP’s 50.1% equity interest in VICI BREIT Venture. In addition, MGP OP issued approximately 3 million MGP OP units to the Company representing 5% of the equity value of VICI BREIT Venture. The Company recorded the difference between consideration received of $2.5 billion and the carrying value of the MGM Grand Las Vegas real estate assets of $733 million and selling costs of $27 million as a net gain on sale of assets of $1.7 billion, which is reflected within “Gain on REIT transactions, net” in the consolidated statements of operations. The Company also recorded the difference between consideration received of $2.1 billion and the carrying value of the Mandalay Bay real estate assets of $2.3 billion and selling costs of $10 million as a net loss on sale of assets of $252 million, which is reflected within “Gain on REIT transactions, net” in the consolidated statements of operations. In connection with</w:t>
      </w:r>
      <w:r>
        <w:rPr>
          <w:spacing w:val="40"/>
        </w:rPr>
        <w:t> </w:t>
      </w:r>
      <w:r>
        <w:rPr/>
        <w:t>the transactions, the Company provides a shortfall guarantee of the principal amount of indebtedness of VICI BREIT Venture (and any interest accrued and unpaid thereon) as further discussed in Note 12. On the closing date, BREIT also purchased approximately 5 million MGP</w:t>
      </w:r>
      <w:r>
        <w:rPr>
          <w:spacing w:val="-2"/>
        </w:rPr>
        <w:t> </w:t>
      </w:r>
      <w:r>
        <w:rPr/>
        <w:t>Class</w:t>
      </w:r>
      <w:r>
        <w:rPr>
          <w:spacing w:val="-5"/>
        </w:rPr>
        <w:t> </w:t>
      </w:r>
      <w:r>
        <w:rPr/>
        <w:t>A</w:t>
      </w:r>
      <w:r>
        <w:rPr>
          <w:spacing w:val="-5"/>
        </w:rPr>
        <w:t> </w:t>
      </w:r>
      <w:r>
        <w:rPr/>
        <w:t>shares for $150 million</w:t>
      </w:r>
      <w:r>
        <w:rPr>
          <w:color w:val="202529"/>
        </w:rPr>
        <w:t>.</w:t>
      </w:r>
    </w:p>
    <w:p>
      <w:pPr>
        <w:pStyle w:val="BodyText"/>
        <w:spacing w:line="242" w:lineRule="auto" w:before="202"/>
        <w:ind w:left="144" w:right="118" w:firstLine="499"/>
        <w:jc w:val="both"/>
      </w:pPr>
      <w:r>
        <w:rPr>
          <w:color w:val="202529"/>
        </w:rPr>
        <w:t>In connection with the MGM Grand Las Vegas and Mandalay Bay transaction, the master lease with MGP</w:t>
      </w:r>
      <w:r>
        <w:rPr>
          <w:color w:val="202529"/>
          <w:spacing w:val="-1"/>
        </w:rPr>
        <w:t> </w:t>
      </w:r>
      <w:r>
        <w:rPr>
          <w:color w:val="202529"/>
        </w:rPr>
        <w:t>was modified to remove the Mandalay </w:t>
      </w:r>
      <w:r>
        <w:rPr>
          <w:color w:val="202529"/>
        </w:rPr>
        <w:t>Bay property and VICI BREIT Venture entered into a lease with a subsidiary of the Company for the real estate assets of Mandalay Bay and MGM Grand Las Vegas. Refer to Note 11 for a discussion of the lease.</w:t>
      </w:r>
    </w:p>
    <w:p>
      <w:pPr>
        <w:pStyle w:val="BodyText"/>
        <w:spacing w:before="3"/>
      </w:pPr>
    </w:p>
    <w:p>
      <w:pPr>
        <w:spacing w:line="249" w:lineRule="auto" w:before="0"/>
        <w:ind w:left="144" w:right="118" w:firstLine="499"/>
        <w:jc w:val="both"/>
        <w:rPr>
          <w:sz w:val="18"/>
        </w:rPr>
      </w:pPr>
      <w:r>
        <w:rPr>
          <w:b/>
          <w:sz w:val="18"/>
        </w:rPr>
        <w:t>MGM Grand Paradise gaming subconcession and gaming concession. </w:t>
      </w:r>
      <w:r>
        <w:rPr>
          <w:sz w:val="18"/>
        </w:rPr>
        <w:t>Gaming in Macau is currently administered by the Macau </w:t>
      </w:r>
      <w:r>
        <w:rPr>
          <w:sz w:val="18"/>
        </w:rPr>
        <w:t>Government through concessions</w:t>
      </w:r>
      <w:r>
        <w:rPr>
          <w:spacing w:val="3"/>
          <w:sz w:val="18"/>
        </w:rPr>
        <w:t> </w:t>
      </w:r>
      <w:r>
        <w:rPr>
          <w:sz w:val="18"/>
        </w:rPr>
        <w:t>awarded</w:t>
      </w:r>
      <w:r>
        <w:rPr>
          <w:spacing w:val="3"/>
          <w:sz w:val="18"/>
        </w:rPr>
        <w:t> </w:t>
      </w:r>
      <w:r>
        <w:rPr>
          <w:sz w:val="18"/>
        </w:rPr>
        <w:t>to</w:t>
      </w:r>
      <w:r>
        <w:rPr>
          <w:spacing w:val="3"/>
          <w:sz w:val="18"/>
        </w:rPr>
        <w:t> </w:t>
      </w:r>
      <w:r>
        <w:rPr>
          <w:sz w:val="18"/>
        </w:rPr>
        <w:t>six</w:t>
      </w:r>
      <w:r>
        <w:rPr>
          <w:spacing w:val="3"/>
          <w:sz w:val="18"/>
        </w:rPr>
        <w:t> </w:t>
      </w:r>
      <w:r>
        <w:rPr>
          <w:sz w:val="18"/>
        </w:rPr>
        <w:t>different</w:t>
      </w:r>
      <w:r>
        <w:rPr>
          <w:spacing w:val="2"/>
          <w:sz w:val="18"/>
        </w:rPr>
        <w:t> </w:t>
      </w:r>
      <w:r>
        <w:rPr>
          <w:sz w:val="18"/>
        </w:rPr>
        <w:t>concessionaires.</w:t>
      </w:r>
      <w:r>
        <w:rPr>
          <w:spacing w:val="3"/>
          <w:sz w:val="18"/>
        </w:rPr>
        <w:t> </w:t>
      </w:r>
      <w:r>
        <w:rPr>
          <w:sz w:val="18"/>
        </w:rPr>
        <w:t>Pursuant</w:t>
      </w:r>
      <w:r>
        <w:rPr>
          <w:spacing w:val="3"/>
          <w:sz w:val="18"/>
        </w:rPr>
        <w:t> </w:t>
      </w:r>
      <w:r>
        <w:rPr>
          <w:sz w:val="18"/>
        </w:rPr>
        <w:t>to</w:t>
      </w:r>
      <w:r>
        <w:rPr>
          <w:spacing w:val="3"/>
          <w:sz w:val="18"/>
        </w:rPr>
        <w:t> </w:t>
      </w:r>
      <w:r>
        <w:rPr>
          <w:sz w:val="18"/>
        </w:rPr>
        <w:t>the</w:t>
      </w:r>
      <w:r>
        <w:rPr>
          <w:spacing w:val="3"/>
          <w:sz w:val="18"/>
        </w:rPr>
        <w:t> </w:t>
      </w:r>
      <w:r>
        <w:rPr>
          <w:sz w:val="18"/>
        </w:rPr>
        <w:t>agreement</w:t>
      </w:r>
      <w:r>
        <w:rPr>
          <w:spacing w:val="2"/>
          <w:sz w:val="18"/>
        </w:rPr>
        <w:t> </w:t>
      </w:r>
      <w:r>
        <w:rPr>
          <w:sz w:val="18"/>
        </w:rPr>
        <w:t>dated</w:t>
      </w:r>
      <w:r>
        <w:rPr>
          <w:spacing w:val="-7"/>
          <w:sz w:val="18"/>
        </w:rPr>
        <w:t> </w:t>
      </w:r>
      <w:r>
        <w:rPr>
          <w:sz w:val="18"/>
        </w:rPr>
        <w:t>April</w:t>
      </w:r>
      <w:r>
        <w:rPr>
          <w:spacing w:val="3"/>
          <w:sz w:val="18"/>
        </w:rPr>
        <w:t> </w:t>
      </w:r>
      <w:r>
        <w:rPr>
          <w:sz w:val="18"/>
        </w:rPr>
        <w:t>19,</w:t>
      </w:r>
      <w:r>
        <w:rPr>
          <w:spacing w:val="3"/>
          <w:sz w:val="18"/>
        </w:rPr>
        <w:t> </w:t>
      </w:r>
      <w:r>
        <w:rPr>
          <w:sz w:val="18"/>
        </w:rPr>
        <w:t>2005</w:t>
      </w:r>
      <w:r>
        <w:rPr>
          <w:spacing w:val="3"/>
          <w:sz w:val="18"/>
        </w:rPr>
        <w:t> </w:t>
      </w:r>
      <w:r>
        <w:rPr>
          <w:sz w:val="18"/>
        </w:rPr>
        <w:t>between</w:t>
      </w:r>
      <w:r>
        <w:rPr>
          <w:spacing w:val="2"/>
          <w:sz w:val="18"/>
        </w:rPr>
        <w:t> </w:t>
      </w:r>
      <w:r>
        <w:rPr>
          <w:sz w:val="18"/>
        </w:rPr>
        <w:t>MGM</w:t>
      </w:r>
      <w:r>
        <w:rPr>
          <w:spacing w:val="3"/>
          <w:sz w:val="18"/>
        </w:rPr>
        <w:t> </w:t>
      </w:r>
      <w:r>
        <w:rPr>
          <w:sz w:val="18"/>
        </w:rPr>
        <w:t>Grand</w:t>
      </w:r>
      <w:r>
        <w:rPr>
          <w:spacing w:val="3"/>
          <w:sz w:val="18"/>
        </w:rPr>
        <w:t> </w:t>
      </w:r>
      <w:r>
        <w:rPr>
          <w:sz w:val="18"/>
        </w:rPr>
        <w:t>Paradise</w:t>
      </w:r>
      <w:r>
        <w:rPr>
          <w:spacing w:val="3"/>
          <w:sz w:val="18"/>
        </w:rPr>
        <w:t> </w:t>
      </w:r>
      <w:r>
        <w:rPr>
          <w:sz w:val="18"/>
        </w:rPr>
        <w:t>and</w:t>
      </w:r>
      <w:r>
        <w:rPr>
          <w:spacing w:val="3"/>
          <w:sz w:val="18"/>
        </w:rPr>
        <w:t> </w:t>
      </w:r>
      <w:r>
        <w:rPr>
          <w:sz w:val="18"/>
        </w:rPr>
        <w:t>SJM</w:t>
      </w:r>
      <w:r>
        <w:rPr>
          <w:spacing w:val="3"/>
          <w:sz w:val="18"/>
        </w:rPr>
        <w:t> </w:t>
      </w:r>
      <w:r>
        <w:rPr>
          <w:spacing w:val="-2"/>
          <w:sz w:val="18"/>
        </w:rPr>
        <w:t>Resorts</w:t>
      </w:r>
    </w:p>
    <w:p>
      <w:pPr>
        <w:pStyle w:val="BodyText"/>
        <w:spacing w:line="235" w:lineRule="auto"/>
        <w:ind w:left="144" w:right="118"/>
        <w:jc w:val="both"/>
      </w:pPr>
      <w:r>
        <w:rPr/>
        <w:t>S.A. (formerly Sociedade de Jogos de Macau, S.A.), a gaming subconcession was acquired by MGM Grand Paradise for the right to operate casino games </w:t>
      </w:r>
      <w:r>
        <w:rPr/>
        <w:t>of chance</w:t>
      </w:r>
      <w:r>
        <w:rPr>
          <w:spacing w:val="11"/>
        </w:rPr>
        <w:t> </w:t>
      </w:r>
      <w:r>
        <w:rPr/>
        <w:t>and</w:t>
      </w:r>
      <w:r>
        <w:rPr>
          <w:spacing w:val="12"/>
        </w:rPr>
        <w:t> </w:t>
      </w:r>
      <w:r>
        <w:rPr/>
        <w:t>other</w:t>
      </w:r>
      <w:r>
        <w:rPr>
          <w:spacing w:val="11"/>
        </w:rPr>
        <w:t> </w:t>
      </w:r>
      <w:r>
        <w:rPr/>
        <w:t>casino</w:t>
      </w:r>
      <w:r>
        <w:rPr>
          <w:spacing w:val="11"/>
        </w:rPr>
        <w:t> </w:t>
      </w:r>
      <w:r>
        <w:rPr/>
        <w:t>games</w:t>
      </w:r>
      <w:r>
        <w:rPr>
          <w:spacing w:val="12"/>
        </w:rPr>
        <w:t> </w:t>
      </w:r>
      <w:r>
        <w:rPr/>
        <w:t>for</w:t>
      </w:r>
      <w:r>
        <w:rPr>
          <w:spacing w:val="11"/>
        </w:rPr>
        <w:t> </w:t>
      </w:r>
      <w:r>
        <w:rPr/>
        <w:t>a</w:t>
      </w:r>
      <w:r>
        <w:rPr>
          <w:spacing w:val="12"/>
        </w:rPr>
        <w:t> </w:t>
      </w:r>
      <w:r>
        <w:rPr/>
        <w:t>period</w:t>
      </w:r>
      <w:r>
        <w:rPr>
          <w:spacing w:val="11"/>
        </w:rPr>
        <w:t> </w:t>
      </w:r>
      <w:r>
        <w:rPr/>
        <w:t>commencing</w:t>
      </w:r>
      <w:r>
        <w:rPr>
          <w:spacing w:val="12"/>
        </w:rPr>
        <w:t> </w:t>
      </w:r>
      <w:r>
        <w:rPr/>
        <w:t>on</w:t>
      </w:r>
      <w:r>
        <w:rPr>
          <w:spacing w:val="2"/>
        </w:rPr>
        <w:t> </w:t>
      </w:r>
      <w:r>
        <w:rPr/>
        <w:t>April</w:t>
      </w:r>
      <w:r>
        <w:rPr>
          <w:spacing w:val="11"/>
        </w:rPr>
        <w:t> </w:t>
      </w:r>
      <w:r>
        <w:rPr/>
        <w:t>20,</w:t>
      </w:r>
      <w:r>
        <w:rPr>
          <w:spacing w:val="12"/>
        </w:rPr>
        <w:t> </w:t>
      </w:r>
      <w:r>
        <w:rPr/>
        <w:t>2005</w:t>
      </w:r>
      <w:r>
        <w:rPr>
          <w:spacing w:val="11"/>
        </w:rPr>
        <w:t> </w:t>
      </w:r>
      <w:r>
        <w:rPr/>
        <w:t>through</w:t>
      </w:r>
      <w:r>
        <w:rPr>
          <w:spacing w:val="12"/>
        </w:rPr>
        <w:t> </w:t>
      </w:r>
      <w:r>
        <w:rPr/>
        <w:t>March</w:t>
      </w:r>
      <w:r>
        <w:rPr>
          <w:spacing w:val="11"/>
        </w:rPr>
        <w:t> </w:t>
      </w:r>
      <w:r>
        <w:rPr/>
        <w:t>31,</w:t>
      </w:r>
      <w:r>
        <w:rPr>
          <w:spacing w:val="12"/>
        </w:rPr>
        <w:t> </w:t>
      </w:r>
      <w:r>
        <w:rPr/>
        <w:t>2020.</w:t>
      </w:r>
      <w:r>
        <w:rPr>
          <w:spacing w:val="11"/>
        </w:rPr>
        <w:t> </w:t>
      </w:r>
      <w:r>
        <w:rPr/>
        <w:t>Pursuant</w:t>
      </w:r>
      <w:r>
        <w:rPr>
          <w:spacing w:val="12"/>
        </w:rPr>
        <w:t> </w:t>
      </w:r>
      <w:r>
        <w:rPr/>
        <w:t>to</w:t>
      </w:r>
      <w:r>
        <w:rPr>
          <w:spacing w:val="11"/>
        </w:rPr>
        <w:t> </w:t>
      </w:r>
      <w:r>
        <w:rPr/>
        <w:t>the</w:t>
      </w:r>
      <w:r>
        <w:rPr>
          <w:spacing w:val="12"/>
        </w:rPr>
        <w:t> </w:t>
      </w:r>
      <w:r>
        <w:rPr/>
        <w:t>then-existing</w:t>
      </w:r>
      <w:r>
        <w:rPr>
          <w:spacing w:val="11"/>
        </w:rPr>
        <w:t> </w:t>
      </w:r>
      <w:r>
        <w:rPr/>
        <w:t>Macau</w:t>
      </w:r>
      <w:r>
        <w:rPr>
          <w:spacing w:val="12"/>
        </w:rPr>
        <w:t> </w:t>
      </w:r>
      <w:r>
        <w:rPr/>
        <w:t>gaming</w:t>
      </w:r>
      <w:r>
        <w:rPr>
          <w:spacing w:val="11"/>
        </w:rPr>
        <w:t> </w:t>
      </w:r>
      <w:r>
        <w:rPr/>
        <w:t>law,</w:t>
      </w:r>
      <w:r>
        <w:rPr>
          <w:spacing w:val="12"/>
        </w:rPr>
        <w:t> </w:t>
      </w:r>
      <w:r>
        <w:rPr>
          <w:spacing w:val="-4"/>
        </w:rPr>
        <w:t>upon</w:t>
      </w:r>
    </w:p>
    <w:p>
      <w:pPr>
        <w:pStyle w:val="BodyText"/>
        <w:spacing w:line="237" w:lineRule="auto" w:before="3"/>
        <w:ind w:left="144" w:right="118"/>
        <w:jc w:val="both"/>
      </w:pPr>
      <w:r>
        <w:rPr/>
        <w:t>reaching the maximum duration foreseen in the law (up to a maximum term of 20 years), the term of the concessions may be extended one or more times by order of the Chief Executive, which period may not exceed, in total, 5 years. In 2019, MGM Grand Paradise’s subconcession term was extended from </w:t>
      </w:r>
      <w:r>
        <w:rPr/>
        <w:t>March 31,</w:t>
      </w:r>
      <w:r>
        <w:rPr>
          <w:spacing w:val="-1"/>
        </w:rPr>
        <w:t> </w:t>
      </w:r>
      <w:r>
        <w:rPr/>
        <w:t>2020</w:t>
      </w:r>
      <w:r>
        <w:rPr>
          <w:spacing w:val="-1"/>
        </w:rPr>
        <w:t> </w:t>
      </w:r>
      <w:r>
        <w:rPr/>
        <w:t>to</w:t>
      </w:r>
      <w:r>
        <w:rPr>
          <w:spacing w:val="-1"/>
        </w:rPr>
        <w:t> </w:t>
      </w:r>
      <w:r>
        <w:rPr/>
        <w:t>June</w:t>
      </w:r>
      <w:r>
        <w:rPr>
          <w:spacing w:val="-1"/>
        </w:rPr>
        <w:t> </w:t>
      </w:r>
      <w:r>
        <w:rPr/>
        <w:t>26,</w:t>
      </w:r>
      <w:r>
        <w:rPr>
          <w:spacing w:val="-1"/>
        </w:rPr>
        <w:t> </w:t>
      </w:r>
      <w:r>
        <w:rPr/>
        <w:t>2022,</w:t>
      </w:r>
      <w:r>
        <w:rPr>
          <w:spacing w:val="-1"/>
        </w:rPr>
        <w:t> </w:t>
      </w:r>
      <w:r>
        <w:rPr/>
        <w:t>consistent</w:t>
      </w:r>
      <w:r>
        <w:rPr>
          <w:spacing w:val="-1"/>
        </w:rPr>
        <w:t> </w:t>
      </w:r>
      <w:r>
        <w:rPr/>
        <w:t>with</w:t>
      </w:r>
      <w:r>
        <w:rPr>
          <w:spacing w:val="-1"/>
        </w:rPr>
        <w:t> </w:t>
      </w:r>
      <w:r>
        <w:rPr/>
        <w:t>the</w:t>
      </w:r>
      <w:r>
        <w:rPr>
          <w:spacing w:val="-1"/>
        </w:rPr>
        <w:t> </w:t>
      </w:r>
      <w:r>
        <w:rPr/>
        <w:t>expiration</w:t>
      </w:r>
      <w:r>
        <w:rPr>
          <w:spacing w:val="-1"/>
        </w:rPr>
        <w:t> </w:t>
      </w:r>
      <w:r>
        <w:rPr/>
        <w:t>of</w:t>
      </w:r>
      <w:r>
        <w:rPr>
          <w:spacing w:val="-1"/>
        </w:rPr>
        <w:t> </w:t>
      </w:r>
      <w:r>
        <w:rPr/>
        <w:t>the</w:t>
      </w:r>
      <w:r>
        <w:rPr>
          <w:spacing w:val="-1"/>
        </w:rPr>
        <w:t> </w:t>
      </w:r>
      <w:r>
        <w:rPr/>
        <w:t>other</w:t>
      </w:r>
      <w:r>
        <w:rPr>
          <w:spacing w:val="-1"/>
        </w:rPr>
        <w:t> </w:t>
      </w:r>
      <w:r>
        <w:rPr/>
        <w:t>concessionaires</w:t>
      </w:r>
      <w:r>
        <w:rPr>
          <w:spacing w:val="-1"/>
        </w:rPr>
        <w:t> </w:t>
      </w:r>
      <w:r>
        <w:rPr/>
        <w:t>and</w:t>
      </w:r>
      <w:r>
        <w:rPr>
          <w:spacing w:val="-1"/>
        </w:rPr>
        <w:t> </w:t>
      </w:r>
      <w:r>
        <w:rPr/>
        <w:t>subconcessionaires.</w:t>
      </w:r>
      <w:r>
        <w:rPr>
          <w:spacing w:val="-1"/>
        </w:rPr>
        <w:t> </w:t>
      </w:r>
      <w:r>
        <w:rPr/>
        <w:t>On</w:t>
      </w:r>
      <w:r>
        <w:rPr>
          <w:spacing w:val="-1"/>
        </w:rPr>
        <w:t> </w:t>
      </w:r>
      <w:r>
        <w:rPr/>
        <w:t>June</w:t>
      </w:r>
      <w:r>
        <w:rPr>
          <w:spacing w:val="-1"/>
        </w:rPr>
        <w:t> </w:t>
      </w:r>
      <w:r>
        <w:rPr/>
        <w:t>23,</w:t>
      </w:r>
      <w:r>
        <w:rPr>
          <w:spacing w:val="-1"/>
        </w:rPr>
        <w:t> </w:t>
      </w:r>
      <w:r>
        <w:rPr/>
        <w:t>2022,</w:t>
      </w:r>
      <w:r>
        <w:rPr>
          <w:spacing w:val="-1"/>
        </w:rPr>
        <w:t> </w:t>
      </w:r>
      <w:r>
        <w:rPr/>
        <w:t>MGM</w:t>
      </w:r>
      <w:r>
        <w:rPr>
          <w:spacing w:val="-1"/>
        </w:rPr>
        <w:t> </w:t>
      </w:r>
      <w:r>
        <w:rPr/>
        <w:t>Grand</w:t>
      </w:r>
      <w:r>
        <w:rPr>
          <w:spacing w:val="-1"/>
        </w:rPr>
        <w:t> </w:t>
      </w:r>
      <w:r>
        <w:rPr/>
        <w:t>Paradise</w:t>
      </w:r>
      <w:r>
        <w:rPr>
          <w:spacing w:val="-1"/>
        </w:rPr>
        <w:t> </w:t>
      </w:r>
      <w:r>
        <w:rPr/>
        <w:t>entered into an addendum to its subconcession pursuant to which its gaming subconcession was extended to December 31, 2022 (refer to Note 7 for additional considerations relating to the gaming subconcession). In connection with the extension, MGM Grand Paradise paid the Macau government MOP 47 million (approximately $6 million).</w:t>
      </w:r>
    </w:p>
    <w:p>
      <w:pPr>
        <w:pStyle w:val="BodyText"/>
        <w:spacing w:before="11"/>
      </w:pPr>
    </w:p>
    <w:p>
      <w:pPr>
        <w:pStyle w:val="BodyText"/>
        <w:spacing w:line="232" w:lineRule="auto"/>
        <w:ind w:left="144" w:right="118" w:firstLine="499"/>
        <w:jc w:val="both"/>
      </w:pPr>
      <w:r>
        <w:rPr/>
        <w:t>On January 14, 2022, the Macau government disclosed the content of a proposed bill to amend Macau gaming law, which followed a 45-day public consultation process regarding draft amendment proposals that were issued in September 2021. The new gaming law was approved by the Macau </w:t>
      </w:r>
      <w:r>
        <w:rPr/>
        <w:t>Legislative Assembly on June 21, 2022 and published in the Macau Official Gazette on June 22, 2022. Under the new gaming law, the existing subconcessions were discontinued and a maximum of six concessions were to be awarded for a term to be specified in the concession contract that may not exceed 10 years and which may be extended by three years under certain exceptional circumstances. The enactment of the new gaming law preceded the public tender for the awarding of new gaming concessions for which the rules of the public tender</w:t>
      </w:r>
    </w:p>
    <w:p>
      <w:pPr>
        <w:pStyle w:val="BodyText"/>
      </w:pPr>
    </w:p>
    <w:p>
      <w:pPr>
        <w:pStyle w:val="BodyText"/>
        <w:spacing w:before="199"/>
      </w:pPr>
    </w:p>
    <w:p>
      <w:pPr>
        <w:pStyle w:val="BodyText"/>
        <w:ind w:left="24"/>
        <w:jc w:val="center"/>
      </w:pPr>
      <w:r>
        <w:rPr>
          <w:spacing w:val="-5"/>
        </w:rPr>
        <w:t>63</w:t>
      </w:r>
    </w:p>
    <w:p>
      <w:pPr>
        <w:pStyle w:val="BodyText"/>
        <w:spacing w:before="3"/>
        <w:rPr>
          <w:sz w:val="6"/>
        </w:rPr>
      </w:pPr>
      <w:r>
        <w:rPr/>
        <mc:AlternateContent>
          <mc:Choice Requires="wps">
            <w:drawing>
              <wp:anchor distT="0" distB="0" distL="0" distR="0" allowOverlap="1" layoutInCell="1" locked="0" behindDoc="1" simplePos="0" relativeHeight="487656448">
                <wp:simplePos x="0" y="0"/>
                <wp:positionH relativeFrom="page">
                  <wp:posOffset>231457</wp:posOffset>
                </wp:positionH>
                <wp:positionV relativeFrom="paragraph">
                  <wp:posOffset>60956</wp:posOffset>
                </wp:positionV>
                <wp:extent cx="7312659" cy="17145"/>
                <wp:effectExtent l="0" t="0" r="0" b="0"/>
                <wp:wrapTopAndBottom/>
                <wp:docPr id="360" name="Group 360"/>
                <wp:cNvGraphicFramePr>
                  <a:graphicFrameLocks/>
                </wp:cNvGraphicFramePr>
                <a:graphic>
                  <a:graphicData uri="http://schemas.microsoft.com/office/word/2010/wordprocessingGroup">
                    <wpg:wgp>
                      <wpg:cNvPr id="360" name="Group 360"/>
                      <wpg:cNvGrpSpPr/>
                      <wpg:grpSpPr>
                        <a:xfrm>
                          <a:off x="0" y="0"/>
                          <a:ext cx="7312659" cy="17145"/>
                          <a:chExt cx="7312659" cy="17145"/>
                        </a:xfrm>
                      </wpg:grpSpPr>
                      <wps:wsp>
                        <wps:cNvPr id="361" name="Graphic 36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2" name="Graphic 362"/>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3" name="Graphic 36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0032;mso-wrap-distance-left:0;mso-wrap-distance-right:0" id="docshapegroup358" coordorigin="364,96" coordsize="11516,27">
                <v:rect style="position:absolute;left:364;top:96;width:11516;height:14" id="docshape359" filled="true" fillcolor="#999999" stroked="false">
                  <v:fill type="solid"/>
                </v:rect>
                <v:shape style="position:absolute;left:364;top:95;width:11516;height:27" id="docshape360" coordorigin="364,96" coordsize="11516,27" path="m11880,96l11866,109,364,109,364,123,11866,123,11880,123,11880,109,11880,96xe" filled="true" fillcolor="#ededed" stroked="false">
                  <v:path arrowok="t"/>
                  <v:fill type="solid"/>
                </v:shape>
                <v:shape style="position:absolute;left:364;top:96;width:14;height:27" id="docshape36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BodyText"/>
        <w:spacing w:line="228" w:lineRule="auto" w:before="78"/>
        <w:ind w:left="144" w:right="118"/>
        <w:jc w:val="both"/>
      </w:pPr>
      <w:r>
        <w:rPr/>
        <w:t>were</w:t>
      </w:r>
      <w:r>
        <w:rPr>
          <w:spacing w:val="-2"/>
        </w:rPr>
        <w:t> </w:t>
      </w:r>
      <w:r>
        <w:rPr/>
        <w:t>published</w:t>
      </w:r>
      <w:r>
        <w:rPr>
          <w:spacing w:val="-2"/>
        </w:rPr>
        <w:t> </w:t>
      </w:r>
      <w:r>
        <w:rPr/>
        <w:t>on</w:t>
      </w:r>
      <w:r>
        <w:rPr>
          <w:spacing w:val="-2"/>
        </w:rPr>
        <w:t> </w:t>
      </w:r>
      <w:r>
        <w:rPr/>
        <w:t>July</w:t>
      </w:r>
      <w:r>
        <w:rPr>
          <w:spacing w:val="-2"/>
        </w:rPr>
        <w:t> </w:t>
      </w:r>
      <w:r>
        <w:rPr/>
        <w:t>1,</w:t>
      </w:r>
      <w:r>
        <w:rPr>
          <w:spacing w:val="-2"/>
        </w:rPr>
        <w:t> </w:t>
      </w:r>
      <w:r>
        <w:rPr/>
        <w:t>2022,</w:t>
      </w:r>
      <w:r>
        <w:rPr>
          <w:spacing w:val="-2"/>
        </w:rPr>
        <w:t> </w:t>
      </w:r>
      <w:r>
        <w:rPr/>
        <w:t>which</w:t>
      </w:r>
      <w:r>
        <w:rPr>
          <w:spacing w:val="-2"/>
        </w:rPr>
        <w:t> </w:t>
      </w:r>
      <w:r>
        <w:rPr/>
        <w:t>outlined</w:t>
      </w:r>
      <w:r>
        <w:rPr>
          <w:spacing w:val="-2"/>
        </w:rPr>
        <w:t> </w:t>
      </w:r>
      <w:r>
        <w:rPr/>
        <w:t>the</w:t>
      </w:r>
      <w:r>
        <w:rPr>
          <w:spacing w:val="-2"/>
        </w:rPr>
        <w:t> </w:t>
      </w:r>
      <w:r>
        <w:rPr/>
        <w:t>details</w:t>
      </w:r>
      <w:r>
        <w:rPr>
          <w:spacing w:val="-2"/>
        </w:rPr>
        <w:t> </w:t>
      </w:r>
      <w:r>
        <w:rPr/>
        <w:t>for</w:t>
      </w:r>
      <w:r>
        <w:rPr>
          <w:spacing w:val="-2"/>
        </w:rPr>
        <w:t> </w:t>
      </w:r>
      <w:r>
        <w:rPr/>
        <w:t>the</w:t>
      </w:r>
      <w:r>
        <w:rPr>
          <w:spacing w:val="-2"/>
        </w:rPr>
        <w:t> </w:t>
      </w:r>
      <w:r>
        <w:rPr/>
        <w:t>bidding,</w:t>
      </w:r>
      <w:r>
        <w:rPr>
          <w:spacing w:val="-2"/>
        </w:rPr>
        <w:t> </w:t>
      </w:r>
      <w:r>
        <w:rPr/>
        <w:t>the</w:t>
      </w:r>
      <w:r>
        <w:rPr>
          <w:spacing w:val="-2"/>
        </w:rPr>
        <w:t> </w:t>
      </w:r>
      <w:r>
        <w:rPr/>
        <w:t>qualifications</w:t>
      </w:r>
      <w:r>
        <w:rPr>
          <w:spacing w:val="-2"/>
        </w:rPr>
        <w:t> </w:t>
      </w:r>
      <w:r>
        <w:rPr/>
        <w:t>of</w:t>
      </w:r>
      <w:r>
        <w:rPr>
          <w:spacing w:val="-2"/>
        </w:rPr>
        <w:t> </w:t>
      </w:r>
      <w:r>
        <w:rPr/>
        <w:t>bidding</w:t>
      </w:r>
      <w:r>
        <w:rPr>
          <w:spacing w:val="-2"/>
        </w:rPr>
        <w:t> </w:t>
      </w:r>
      <w:r>
        <w:rPr/>
        <w:t>companies,</w:t>
      </w:r>
      <w:r>
        <w:rPr>
          <w:spacing w:val="-2"/>
        </w:rPr>
        <w:t> </w:t>
      </w:r>
      <w:r>
        <w:rPr/>
        <w:t>and</w:t>
      </w:r>
      <w:r>
        <w:rPr>
          <w:spacing w:val="-2"/>
        </w:rPr>
        <w:t> </w:t>
      </w:r>
      <w:r>
        <w:rPr/>
        <w:t>the</w:t>
      </w:r>
      <w:r>
        <w:rPr>
          <w:spacing w:val="-2"/>
        </w:rPr>
        <w:t> </w:t>
      </w:r>
      <w:r>
        <w:rPr/>
        <w:t>criteria</w:t>
      </w:r>
      <w:r>
        <w:rPr>
          <w:spacing w:val="-2"/>
        </w:rPr>
        <w:t> </w:t>
      </w:r>
      <w:r>
        <w:rPr/>
        <w:t>for</w:t>
      </w:r>
      <w:r>
        <w:rPr>
          <w:spacing w:val="-2"/>
        </w:rPr>
        <w:t> </w:t>
      </w:r>
      <w:r>
        <w:rPr/>
        <w:t>granting</w:t>
      </w:r>
      <w:r>
        <w:rPr>
          <w:spacing w:val="-2"/>
        </w:rPr>
        <w:t> </w:t>
      </w:r>
      <w:r>
        <w:rPr/>
        <w:t>the</w:t>
      </w:r>
      <w:r>
        <w:rPr>
          <w:spacing w:val="-2"/>
        </w:rPr>
        <w:t> </w:t>
      </w:r>
      <w:r>
        <w:rPr/>
        <w:t>new</w:t>
      </w:r>
      <w:r>
        <w:rPr>
          <w:spacing w:val="-2"/>
        </w:rPr>
        <w:t> </w:t>
      </w:r>
      <w:r>
        <w:rPr/>
        <w:t>gaming concessions. On December 16, 2022, MGM Grand Paradise was awarded a concession contract to permit the operation of games of chance or other games in casinos in Macau for a period of ten years, commencing on January 1, 2023.</w:t>
      </w:r>
    </w:p>
    <w:p>
      <w:pPr>
        <w:pStyle w:val="BodyText"/>
        <w:spacing w:before="18"/>
      </w:pPr>
    </w:p>
    <w:p>
      <w:pPr>
        <w:pStyle w:val="BodyText"/>
        <w:spacing w:line="249" w:lineRule="auto"/>
        <w:ind w:left="144" w:right="117" w:firstLine="499"/>
        <w:jc w:val="both"/>
      </w:pPr>
      <w:r>
        <w:rPr>
          <w:b/>
        </w:rPr>
        <w:t>Reportable segments. </w:t>
      </w:r>
      <w:r>
        <w:rPr/>
        <w:t>The Company has three reportable segments: Las Vegas Strip Resorts, Regional Operations and MGM China. See Note 17 </w:t>
      </w:r>
      <w:r>
        <w:rPr/>
        <w:t>for additional information about the Company’s segments.</w:t>
      </w:r>
    </w:p>
    <w:p>
      <w:pPr>
        <w:pStyle w:val="BodyText"/>
        <w:spacing w:before="204"/>
        <w:ind w:left="144" w:right="118" w:firstLine="499"/>
        <w:jc w:val="both"/>
      </w:pPr>
      <w:r>
        <w:rPr>
          <w:b/>
        </w:rPr>
        <w:t>Impact of COVID-19. </w:t>
      </w:r>
      <w:r>
        <w:rPr/>
        <w:t>The spread of the novel 2019 coronavirus (“COVID-19”) and developments surrounding the global pandemic have had a significant</w:t>
      </w:r>
      <w:r>
        <w:rPr>
          <w:spacing w:val="-1"/>
        </w:rPr>
        <w:t> </w:t>
      </w:r>
      <w:r>
        <w:rPr/>
        <w:t>impact</w:t>
      </w:r>
      <w:r>
        <w:rPr>
          <w:spacing w:val="-1"/>
        </w:rPr>
        <w:t> </w:t>
      </w:r>
      <w:r>
        <w:rPr/>
        <w:t>on</w:t>
      </w:r>
      <w:r>
        <w:rPr>
          <w:spacing w:val="-1"/>
        </w:rPr>
        <w:t> </w:t>
      </w:r>
      <w:r>
        <w:rPr/>
        <w:t>the</w:t>
      </w:r>
      <w:r>
        <w:rPr>
          <w:spacing w:val="-1"/>
        </w:rPr>
        <w:t> </w:t>
      </w:r>
      <w:r>
        <w:rPr/>
        <w:t>Company’s</w:t>
      </w:r>
      <w:r>
        <w:rPr>
          <w:spacing w:val="-1"/>
        </w:rPr>
        <w:t> </w:t>
      </w:r>
      <w:r>
        <w:rPr/>
        <w:t>business,</w:t>
      </w:r>
      <w:r>
        <w:rPr>
          <w:spacing w:val="-1"/>
        </w:rPr>
        <w:t> </w:t>
      </w:r>
      <w:r>
        <w:rPr/>
        <w:t>financial</w:t>
      </w:r>
      <w:r>
        <w:rPr>
          <w:spacing w:val="-1"/>
        </w:rPr>
        <w:t> </w:t>
      </w:r>
      <w:r>
        <w:rPr/>
        <w:t>condition,</w:t>
      </w:r>
      <w:r>
        <w:rPr>
          <w:spacing w:val="-1"/>
        </w:rPr>
        <w:t> </w:t>
      </w:r>
      <w:r>
        <w:rPr/>
        <w:t>results</w:t>
      </w:r>
      <w:r>
        <w:rPr>
          <w:spacing w:val="-1"/>
        </w:rPr>
        <w:t> </w:t>
      </w:r>
      <w:r>
        <w:rPr/>
        <w:t>of</w:t>
      </w:r>
      <w:r>
        <w:rPr>
          <w:spacing w:val="-1"/>
        </w:rPr>
        <w:t> </w:t>
      </w:r>
      <w:r>
        <w:rPr/>
        <w:t>operations</w:t>
      </w:r>
      <w:r>
        <w:rPr>
          <w:spacing w:val="-1"/>
        </w:rPr>
        <w:t> </w:t>
      </w:r>
      <w:r>
        <w:rPr/>
        <w:t>and</w:t>
      </w:r>
      <w:r>
        <w:rPr>
          <w:spacing w:val="-1"/>
        </w:rPr>
        <w:t> </w:t>
      </w:r>
      <w:r>
        <w:rPr/>
        <w:t>cash</w:t>
      </w:r>
      <w:r>
        <w:rPr>
          <w:spacing w:val="-1"/>
        </w:rPr>
        <w:t> </w:t>
      </w:r>
      <w:r>
        <w:rPr/>
        <w:t>flows</w:t>
      </w:r>
      <w:r>
        <w:rPr>
          <w:spacing w:val="-1"/>
        </w:rPr>
        <w:t> </w:t>
      </w:r>
      <w:r>
        <w:rPr/>
        <w:t>in</w:t>
      </w:r>
      <w:r>
        <w:rPr>
          <w:spacing w:val="-1"/>
        </w:rPr>
        <w:t> </w:t>
      </w:r>
      <w:r>
        <w:rPr/>
        <w:t>2020,</w:t>
      </w:r>
      <w:r>
        <w:rPr>
          <w:spacing w:val="-1"/>
        </w:rPr>
        <w:t> </w:t>
      </w:r>
      <w:r>
        <w:rPr/>
        <w:t>2021</w:t>
      </w:r>
      <w:r>
        <w:rPr>
          <w:spacing w:val="-1"/>
        </w:rPr>
        <w:t> </w:t>
      </w:r>
      <w:r>
        <w:rPr/>
        <w:t>and</w:t>
      </w:r>
      <w:r>
        <w:rPr>
          <w:spacing w:val="-1"/>
        </w:rPr>
        <w:t> </w:t>
      </w:r>
      <w:r>
        <w:rPr/>
        <w:t>2022</w:t>
      </w:r>
      <w:r>
        <w:rPr>
          <w:spacing w:val="-1"/>
        </w:rPr>
        <w:t> </w:t>
      </w:r>
      <w:r>
        <w:rPr/>
        <w:t>and</w:t>
      </w:r>
      <w:r>
        <w:rPr>
          <w:spacing w:val="-1"/>
        </w:rPr>
        <w:t> </w:t>
      </w:r>
      <w:r>
        <w:rPr/>
        <w:t>may</w:t>
      </w:r>
      <w:r>
        <w:rPr>
          <w:spacing w:val="-1"/>
        </w:rPr>
        <w:t> </w:t>
      </w:r>
      <w:r>
        <w:rPr/>
        <w:t>continue</w:t>
      </w:r>
      <w:r>
        <w:rPr>
          <w:spacing w:val="-1"/>
        </w:rPr>
        <w:t> </w:t>
      </w:r>
      <w:r>
        <w:rPr/>
        <w:t>to</w:t>
      </w:r>
      <w:r>
        <w:rPr>
          <w:spacing w:val="-1"/>
        </w:rPr>
        <w:t> </w:t>
      </w:r>
      <w:r>
        <w:rPr/>
        <w:t>impact</w:t>
      </w:r>
      <w:r>
        <w:rPr>
          <w:spacing w:val="-1"/>
        </w:rPr>
        <w:t> </w:t>
      </w:r>
      <w:r>
        <w:rPr/>
        <w:t>the Company's business thereafter. In March 2020, all of the Company’s domestic properties were temporarily closed pursuant to state and local </w:t>
      </w:r>
      <w:r>
        <w:rPr/>
        <w:t>government restrictions imposed as a result of COVID-19. Throughout the second and third quarters of 2020, all of the Company’s properties that were temporarily closed re-opened to the public, with temporary re-closures and re-openings occurring for certain of the Company’s properties or portions thereof into the first quarter of 2021. Upon re-opening, the properties continued to operate without certain amenities and subject to certain occupancy limitations, with restrictions varying by jurisdiction. Beginning in the latter part of the first quarter of 2021 and continuing into the second quarter of 2021, the Company’s domestic jurisdictions eased and removed prior operating restrictions, including capacity and occupancy limits, as well as social distancing policies.</w:t>
      </w:r>
      <w:r>
        <w:rPr>
          <w:spacing w:val="-6"/>
        </w:rPr>
        <w:t> </w:t>
      </w:r>
      <w:r>
        <w:rPr/>
        <w:t>As of December 31, 2022, all of the Company’s domestic properties were open and not subject to operating restrictions; however, travel and business volume were negatively affected in the early part of the first quarter of 2022 due to the spread of the omicron variant.</w:t>
      </w:r>
    </w:p>
    <w:p>
      <w:pPr>
        <w:pStyle w:val="BodyText"/>
        <w:spacing w:before="4"/>
      </w:pPr>
    </w:p>
    <w:p>
      <w:pPr>
        <w:pStyle w:val="BodyText"/>
        <w:spacing w:line="242" w:lineRule="auto"/>
        <w:ind w:left="144" w:right="118" w:firstLine="499"/>
        <w:jc w:val="both"/>
      </w:pPr>
      <w:r>
        <w:rPr/>
        <w:t>In Macau, following a temporary closure of the Company’s properties on February 5, 2020, operations resumed on February 20, 2020, subject to certain health safeguards, such as limiting the number of seats available at each table game, slot machine spacing, reduced operating hours at a number of restaurants and bars, temperature checks, and mask protection. The issuance of tourist visas (including the individual visit scheme) for residents of Zhuhai, Guangdong Province and all other provinces in mainland China to travel to Macau resumed on</w:t>
      </w:r>
      <w:r>
        <w:rPr>
          <w:spacing w:val="-1"/>
        </w:rPr>
        <w:t> </w:t>
      </w:r>
      <w:r>
        <w:rPr/>
        <w:t>August 12, 2020,</w:t>
      </w:r>
      <w:r>
        <w:rPr>
          <w:spacing w:val="-1"/>
        </w:rPr>
        <w:t> </w:t>
      </w:r>
      <w:r>
        <w:rPr/>
        <w:t>August 26, 2020 and September 23, 2020, respectively, however several travel and entry restrictions in Macau, Hong Kong and mainland China remained in place (including the temporary suspension of </w:t>
      </w:r>
      <w:r>
        <w:rPr/>
        <w:t>ferry</w:t>
      </w:r>
      <w:r>
        <w:rPr>
          <w:spacing w:val="40"/>
        </w:rPr>
        <w:t> </w:t>
      </w:r>
      <w:r>
        <w:rPr/>
        <w:t>services between Hong Kong and Macau, the negative nucleic acid test result certificate, and mandatory quarantine requirements for returning residents, for visitors from Hong Kong, Taiwan, and certain regions in mainland China, and bans on entry on other visitors), which significantly impacted visitation to the Company’s Macau properties.</w:t>
      </w:r>
    </w:p>
    <w:p>
      <w:pPr>
        <w:pStyle w:val="BodyText"/>
        <w:spacing w:before="205"/>
        <w:ind w:left="144" w:right="118" w:firstLine="499"/>
        <w:jc w:val="both"/>
      </w:pPr>
      <w:r>
        <w:rPr/>
        <w:t>In the third and fourth quarters of 2021, local COVID-19 cases were identified in Macau. Upon such occurrences, a state of immediate prevention was declared and mass mandatory nucleic acid testing was imposed in Macau, the validity period of negative test results for re-entry into mainland China was shortened and quarantine requirements were imposed, certain events were cancelled or suspended, and in some instances, certain entertainment and leisure facilities were closed throughout Macau. Gaming operations were temporarily suspended on July 11, 2022 due to an increase in the number of COVID-19</w:t>
      </w:r>
      <w:r>
        <w:rPr>
          <w:spacing w:val="40"/>
        </w:rPr>
        <w:t> </w:t>
      </w:r>
      <w:r>
        <w:rPr/>
        <w:t>cases</w:t>
      </w:r>
      <w:r>
        <w:rPr>
          <w:spacing w:val="-2"/>
        </w:rPr>
        <w:t> </w:t>
      </w:r>
      <w:r>
        <w:rPr/>
        <w:t>in</w:t>
      </w:r>
      <w:r>
        <w:rPr>
          <w:spacing w:val="-2"/>
        </w:rPr>
        <w:t> </w:t>
      </w:r>
      <w:r>
        <w:rPr/>
        <w:t>Macau</w:t>
      </w:r>
      <w:r>
        <w:rPr>
          <w:spacing w:val="-2"/>
        </w:rPr>
        <w:t> </w:t>
      </w:r>
      <w:r>
        <w:rPr/>
        <w:t>and</w:t>
      </w:r>
      <w:r>
        <w:rPr>
          <w:spacing w:val="-2"/>
        </w:rPr>
        <w:t> </w:t>
      </w:r>
      <w:r>
        <w:rPr/>
        <w:t>resumed</w:t>
      </w:r>
      <w:r>
        <w:rPr>
          <w:spacing w:val="-2"/>
        </w:rPr>
        <w:t> </w:t>
      </w:r>
      <w:r>
        <w:rPr/>
        <w:t>on</w:t>
      </w:r>
      <w:r>
        <w:rPr>
          <w:spacing w:val="-2"/>
        </w:rPr>
        <w:t> </w:t>
      </w:r>
      <w:r>
        <w:rPr/>
        <w:t>July</w:t>
      </w:r>
      <w:r>
        <w:rPr>
          <w:spacing w:val="-2"/>
        </w:rPr>
        <w:t> </w:t>
      </w:r>
      <w:r>
        <w:rPr/>
        <w:t>23,</w:t>
      </w:r>
      <w:r>
        <w:rPr>
          <w:spacing w:val="-2"/>
        </w:rPr>
        <w:t> </w:t>
      </w:r>
      <w:r>
        <w:rPr/>
        <w:t>2022,</w:t>
      </w:r>
      <w:r>
        <w:rPr>
          <w:spacing w:val="-2"/>
        </w:rPr>
        <w:t> </w:t>
      </w:r>
      <w:r>
        <w:rPr/>
        <w:t>subject</w:t>
      </w:r>
      <w:r>
        <w:rPr>
          <w:spacing w:val="-2"/>
        </w:rPr>
        <w:t> </w:t>
      </w:r>
      <w:r>
        <w:rPr/>
        <w:t>to</w:t>
      </w:r>
      <w:r>
        <w:rPr>
          <w:spacing w:val="-2"/>
        </w:rPr>
        <w:t> </w:t>
      </w:r>
      <w:r>
        <w:rPr/>
        <w:t>certain</w:t>
      </w:r>
      <w:r>
        <w:rPr>
          <w:spacing w:val="-2"/>
        </w:rPr>
        <w:t> </w:t>
      </w:r>
      <w:r>
        <w:rPr/>
        <w:t>continuing</w:t>
      </w:r>
      <w:r>
        <w:rPr>
          <w:spacing w:val="-2"/>
        </w:rPr>
        <w:t> </w:t>
      </w:r>
      <w:r>
        <w:rPr/>
        <w:t>health</w:t>
      </w:r>
      <w:r>
        <w:rPr>
          <w:spacing w:val="-2"/>
        </w:rPr>
        <w:t> </w:t>
      </w:r>
      <w:r>
        <w:rPr/>
        <w:t>safeguards,</w:t>
      </w:r>
      <w:r>
        <w:rPr>
          <w:spacing w:val="-2"/>
        </w:rPr>
        <w:t> </w:t>
      </w:r>
      <w:r>
        <w:rPr/>
        <w:t>with</w:t>
      </w:r>
      <w:r>
        <w:rPr>
          <w:spacing w:val="-2"/>
        </w:rPr>
        <w:t> </w:t>
      </w:r>
      <w:r>
        <w:rPr/>
        <w:t>most</w:t>
      </w:r>
      <w:r>
        <w:rPr>
          <w:spacing w:val="-2"/>
        </w:rPr>
        <w:t> </w:t>
      </w:r>
      <w:r>
        <w:rPr/>
        <w:t>restaurants</w:t>
      </w:r>
      <w:r>
        <w:rPr>
          <w:spacing w:val="-2"/>
        </w:rPr>
        <w:t> </w:t>
      </w:r>
      <w:r>
        <w:rPr/>
        <w:t>and</w:t>
      </w:r>
      <w:r>
        <w:rPr>
          <w:spacing w:val="-2"/>
        </w:rPr>
        <w:t> </w:t>
      </w:r>
      <w:r>
        <w:rPr/>
        <w:t>bars</w:t>
      </w:r>
      <w:r>
        <w:rPr>
          <w:spacing w:val="-2"/>
        </w:rPr>
        <w:t> </w:t>
      </w:r>
      <w:r>
        <w:rPr/>
        <w:t>and</w:t>
      </w:r>
      <w:r>
        <w:rPr>
          <w:spacing w:val="-2"/>
        </w:rPr>
        <w:t> </w:t>
      </w:r>
      <w:r>
        <w:rPr/>
        <w:t>certain</w:t>
      </w:r>
      <w:r>
        <w:rPr>
          <w:spacing w:val="-2"/>
        </w:rPr>
        <w:t> </w:t>
      </w:r>
      <w:r>
        <w:rPr/>
        <w:t>retail</w:t>
      </w:r>
      <w:r>
        <w:rPr>
          <w:spacing w:val="-2"/>
        </w:rPr>
        <w:t> </w:t>
      </w:r>
      <w:r>
        <w:rPr/>
        <w:t>outlets</w:t>
      </w:r>
      <w:r>
        <w:rPr>
          <w:spacing w:val="-2"/>
        </w:rPr>
        <w:t> </w:t>
      </w:r>
      <w:r>
        <w:rPr/>
        <w:t>remained closed. On October 30, 2022, a COVID-19 case was identified as connected to MGM Cotai.</w:t>
      </w:r>
      <w:r>
        <w:rPr>
          <w:spacing w:val="-5"/>
        </w:rPr>
        <w:t> </w:t>
      </w:r>
      <w:r>
        <w:rPr/>
        <w:t>All guests and staff at MGM Cotai were isolated until November</w:t>
      </w:r>
      <w:r>
        <w:rPr>
          <w:spacing w:val="40"/>
        </w:rPr>
        <w:t> </w:t>
      </w:r>
      <w:r>
        <w:rPr/>
        <w:t>1, 2022 and all gaming, hotel, restaurant, and retail operations were suspended with limited operations resumed beginning November 3, 2022.</w:t>
      </w:r>
    </w:p>
    <w:p>
      <w:pPr>
        <w:pStyle w:val="BodyText"/>
        <w:spacing w:before="4"/>
      </w:pPr>
    </w:p>
    <w:p>
      <w:pPr>
        <w:pStyle w:val="BodyText"/>
        <w:ind w:left="144" w:right="118" w:firstLine="499"/>
        <w:jc w:val="both"/>
      </w:pPr>
      <w:r>
        <w:rPr/>
        <w:t>More broadly, electronic applications for individual and group travel visas to Macau resumed on November 1, 2022, however, certain travel and entry restrictions in Macau and mainland China remained in place at the time, including COVID-19 testing and certain quarantine requirements, which </w:t>
      </w:r>
      <w:r>
        <w:rPr/>
        <w:t>significantly impacted visitation to the Company’s Macau properties. Beginning in December 2022, Macau and mainland China started to unwind testing and quarantine requirements</w:t>
      </w:r>
      <w:r>
        <w:rPr>
          <w:spacing w:val="-1"/>
        </w:rPr>
        <w:t> </w:t>
      </w:r>
      <w:r>
        <w:rPr/>
        <w:t>as</w:t>
      </w:r>
      <w:r>
        <w:rPr>
          <w:spacing w:val="-1"/>
        </w:rPr>
        <w:t> </w:t>
      </w:r>
      <w:r>
        <w:rPr/>
        <w:t>well</w:t>
      </w:r>
      <w:r>
        <w:rPr>
          <w:spacing w:val="-1"/>
        </w:rPr>
        <w:t> </w:t>
      </w:r>
      <w:r>
        <w:rPr/>
        <w:t>as</w:t>
      </w:r>
      <w:r>
        <w:rPr>
          <w:spacing w:val="-1"/>
        </w:rPr>
        <w:t> </w:t>
      </w:r>
      <w:r>
        <w:rPr/>
        <w:t>travel</w:t>
      </w:r>
      <w:r>
        <w:rPr>
          <w:spacing w:val="-1"/>
        </w:rPr>
        <w:t> </w:t>
      </w:r>
      <w:r>
        <w:rPr/>
        <w:t>and</w:t>
      </w:r>
      <w:r>
        <w:rPr>
          <w:spacing w:val="-1"/>
        </w:rPr>
        <w:t> </w:t>
      </w:r>
      <w:r>
        <w:rPr/>
        <w:t>entry</w:t>
      </w:r>
      <w:r>
        <w:rPr>
          <w:spacing w:val="-1"/>
        </w:rPr>
        <w:t> </w:t>
      </w:r>
      <w:r>
        <w:rPr/>
        <w:t>restrictions</w:t>
      </w:r>
      <w:r>
        <w:rPr>
          <w:spacing w:val="-1"/>
        </w:rPr>
        <w:t> </w:t>
      </w:r>
      <w:r>
        <w:rPr/>
        <w:t>associated</w:t>
      </w:r>
      <w:r>
        <w:rPr>
          <w:spacing w:val="-1"/>
        </w:rPr>
        <w:t> </w:t>
      </w:r>
      <w:r>
        <w:rPr/>
        <w:t>with</w:t>
      </w:r>
      <w:r>
        <w:rPr>
          <w:spacing w:val="-1"/>
        </w:rPr>
        <w:t> </w:t>
      </w:r>
      <w:r>
        <w:rPr/>
        <w:t>the</w:t>
      </w:r>
      <w:r>
        <w:rPr>
          <w:spacing w:val="-1"/>
        </w:rPr>
        <w:t> </w:t>
      </w:r>
      <w:r>
        <w:rPr/>
        <w:t>“dynamic</w:t>
      </w:r>
      <w:r>
        <w:rPr>
          <w:spacing w:val="-1"/>
        </w:rPr>
        <w:t> </w:t>
      </w:r>
      <w:r>
        <w:rPr/>
        <w:t>zero”</w:t>
      </w:r>
      <w:r>
        <w:rPr>
          <w:spacing w:val="-1"/>
        </w:rPr>
        <w:t> </w:t>
      </w:r>
      <w:r>
        <w:rPr/>
        <w:t>COVID-19</w:t>
      </w:r>
      <w:r>
        <w:rPr>
          <w:spacing w:val="-1"/>
        </w:rPr>
        <w:t> </w:t>
      </w:r>
      <w:r>
        <w:rPr/>
        <w:t>policy.</w:t>
      </w:r>
      <w:r>
        <w:rPr>
          <w:spacing w:val="-1"/>
        </w:rPr>
        <w:t> </w:t>
      </w:r>
      <w:r>
        <w:rPr/>
        <w:t>On</w:t>
      </w:r>
      <w:r>
        <w:rPr>
          <w:spacing w:val="-1"/>
        </w:rPr>
        <w:t> </w:t>
      </w:r>
      <w:r>
        <w:rPr/>
        <w:t>January</w:t>
      </w:r>
      <w:r>
        <w:rPr>
          <w:spacing w:val="-1"/>
        </w:rPr>
        <w:t> </w:t>
      </w:r>
      <w:r>
        <w:rPr/>
        <w:t>8,</w:t>
      </w:r>
      <w:r>
        <w:rPr>
          <w:spacing w:val="-1"/>
        </w:rPr>
        <w:t> </w:t>
      </w:r>
      <w:r>
        <w:rPr/>
        <w:t>2023,</w:t>
      </w:r>
      <w:r>
        <w:rPr>
          <w:spacing w:val="-1"/>
        </w:rPr>
        <w:t> </w:t>
      </w:r>
      <w:r>
        <w:rPr/>
        <w:t>Macau</w:t>
      </w:r>
      <w:r>
        <w:rPr>
          <w:spacing w:val="-1"/>
        </w:rPr>
        <w:t> </w:t>
      </w:r>
      <w:r>
        <w:rPr/>
        <w:t>lifted</w:t>
      </w:r>
      <w:r>
        <w:rPr>
          <w:spacing w:val="-1"/>
        </w:rPr>
        <w:t> </w:t>
      </w:r>
      <w:r>
        <w:rPr/>
        <w:t>the</w:t>
      </w:r>
      <w:r>
        <w:rPr>
          <w:spacing w:val="-1"/>
        </w:rPr>
        <w:t> </w:t>
      </w:r>
      <w:r>
        <w:rPr/>
        <w:t>majority</w:t>
      </w:r>
      <w:r>
        <w:rPr>
          <w:spacing w:val="-1"/>
        </w:rPr>
        <w:t> </w:t>
      </w:r>
      <w:r>
        <w:rPr/>
        <w:t>of</w:t>
      </w:r>
      <w:r>
        <w:rPr>
          <w:spacing w:val="-1"/>
        </w:rPr>
        <w:t> </w:t>
      </w:r>
      <w:r>
        <w:rPr/>
        <w:t>its COVID-19 pandemic travel and quarantine restrictions with the exception of overseas visitors travelling from outside of mainland China, Hong Kong and Taiwan being required to present a negative nucleic acid test or rapid antigen test result in place until February 6, 2023 when all remaining COVID-19 travel restrictions were removed.</w:t>
      </w:r>
    </w:p>
    <w:p>
      <w:pPr>
        <w:pStyle w:val="BodyText"/>
        <w:spacing w:before="18"/>
      </w:pPr>
    </w:p>
    <w:p>
      <w:pPr>
        <w:pStyle w:val="Heading4"/>
        <w:jc w:val="both"/>
      </w:pPr>
      <w:r>
        <w:rPr/>
        <w:t>NOTE</w:t>
      </w:r>
      <w:r>
        <w:rPr>
          <w:spacing w:val="-11"/>
        </w:rPr>
        <w:t> </w:t>
      </w:r>
      <w:r>
        <w:rPr/>
        <w:t>2</w:t>
      </w:r>
      <w:r>
        <w:rPr>
          <w:spacing w:val="-4"/>
        </w:rPr>
        <w:t> </w:t>
      </w:r>
      <w:r>
        <w:rPr/>
        <w:t>—</w:t>
      </w:r>
      <w:r>
        <w:rPr>
          <w:spacing w:val="-4"/>
        </w:rPr>
        <w:t> </w:t>
      </w:r>
      <w:r>
        <w:rPr/>
        <w:t>BASIS</w:t>
      </w:r>
      <w:r>
        <w:rPr>
          <w:spacing w:val="-5"/>
        </w:rPr>
        <w:t> </w:t>
      </w:r>
      <w:r>
        <w:rPr/>
        <w:t>OF</w:t>
      </w:r>
      <w:r>
        <w:rPr>
          <w:spacing w:val="-10"/>
        </w:rPr>
        <w:t> </w:t>
      </w:r>
      <w:r>
        <w:rPr/>
        <w:t>PRESENTATION</w:t>
      </w:r>
      <w:r>
        <w:rPr>
          <w:spacing w:val="-11"/>
        </w:rPr>
        <w:t> </w:t>
      </w:r>
      <w:r>
        <w:rPr/>
        <w:t>AND</w:t>
      </w:r>
      <w:r>
        <w:rPr>
          <w:spacing w:val="-4"/>
        </w:rPr>
        <w:t> </w:t>
      </w:r>
      <w:r>
        <w:rPr/>
        <w:t>SIGNIFICANT</w:t>
      </w:r>
      <w:r>
        <w:rPr>
          <w:spacing w:val="-14"/>
        </w:rPr>
        <w:t> </w:t>
      </w:r>
      <w:r>
        <w:rPr/>
        <w:t>ACCOUNTING</w:t>
      </w:r>
      <w:r>
        <w:rPr>
          <w:spacing w:val="-4"/>
        </w:rPr>
        <w:t> </w:t>
      </w:r>
      <w:r>
        <w:rPr>
          <w:spacing w:val="-2"/>
        </w:rPr>
        <w:t>POLICIES</w:t>
      </w:r>
    </w:p>
    <w:p>
      <w:pPr>
        <w:pStyle w:val="BodyText"/>
        <w:spacing w:line="237" w:lineRule="auto" w:before="173"/>
        <w:ind w:left="144" w:right="118" w:firstLine="499"/>
        <w:jc w:val="both"/>
      </w:pPr>
      <w:r>
        <w:rPr>
          <w:b/>
        </w:rPr>
        <w:t>Principles of consolidation. </w:t>
      </w:r>
      <w:r>
        <w:rPr/>
        <w:t>The </w:t>
      </w:r>
      <w:r>
        <w:rPr>
          <w:color w:val="202529"/>
        </w:rPr>
        <w:t>Company evaluates entities for which control is achieved through means other than voting rights to determine if it </w:t>
      </w:r>
      <w:r>
        <w:rPr>
          <w:color w:val="202529"/>
        </w:rPr>
        <w:t>is the primary beneficiary of a variable interest entity (“VIE”). The Company consolidates its investment in a VIE when it determines that it is its primary beneficiary. The Company may change its original assessment of a VIE upon subsequent events such as the modification of contractual arrangements that</w:t>
      </w:r>
      <w:r>
        <w:rPr>
          <w:color w:val="202529"/>
          <w:spacing w:val="40"/>
        </w:rPr>
        <w:t> </w:t>
      </w:r>
      <w:r>
        <w:rPr>
          <w:color w:val="202529"/>
        </w:rPr>
        <w:t>affect the characteristics or adequacy of the entity’s equity investments at risk and the disposition of all or a portion of an interest held by the primary beneficiary. The Company performs this analysis on an ongoing basis</w:t>
      </w:r>
      <w:r>
        <w:rPr/>
        <w:t>.</w:t>
      </w:r>
    </w:p>
    <w:p>
      <w:pPr>
        <w:pStyle w:val="BodyText"/>
      </w:pPr>
    </w:p>
    <w:p>
      <w:pPr>
        <w:pStyle w:val="BodyText"/>
        <w:spacing w:before="193"/>
      </w:pPr>
    </w:p>
    <w:p>
      <w:pPr>
        <w:pStyle w:val="BodyText"/>
        <w:ind w:left="24"/>
        <w:jc w:val="center"/>
      </w:pPr>
      <w:r>
        <w:rPr>
          <w:spacing w:val="-5"/>
        </w:rPr>
        <w:t>64</w:t>
      </w:r>
    </w:p>
    <w:p>
      <w:pPr>
        <w:pStyle w:val="BodyText"/>
        <w:spacing w:before="3"/>
        <w:rPr>
          <w:sz w:val="6"/>
        </w:rPr>
      </w:pPr>
      <w:r>
        <w:rPr/>
        <mc:AlternateContent>
          <mc:Choice Requires="wps">
            <w:drawing>
              <wp:anchor distT="0" distB="0" distL="0" distR="0" allowOverlap="1" layoutInCell="1" locked="0" behindDoc="1" simplePos="0" relativeHeight="487656960">
                <wp:simplePos x="0" y="0"/>
                <wp:positionH relativeFrom="page">
                  <wp:posOffset>231457</wp:posOffset>
                </wp:positionH>
                <wp:positionV relativeFrom="paragraph">
                  <wp:posOffset>60956</wp:posOffset>
                </wp:positionV>
                <wp:extent cx="7312659" cy="17145"/>
                <wp:effectExtent l="0" t="0" r="0" b="0"/>
                <wp:wrapTopAndBottom/>
                <wp:docPr id="364" name="Group 364"/>
                <wp:cNvGraphicFramePr>
                  <a:graphicFrameLocks/>
                </wp:cNvGraphicFramePr>
                <a:graphic>
                  <a:graphicData uri="http://schemas.microsoft.com/office/word/2010/wordprocessingGroup">
                    <wpg:wgp>
                      <wpg:cNvPr id="364" name="Group 364"/>
                      <wpg:cNvGrpSpPr/>
                      <wpg:grpSpPr>
                        <a:xfrm>
                          <a:off x="0" y="0"/>
                          <a:ext cx="7312659" cy="17145"/>
                          <a:chExt cx="7312659" cy="17145"/>
                        </a:xfrm>
                      </wpg:grpSpPr>
                      <wps:wsp>
                        <wps:cNvPr id="365" name="Graphic 36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6" name="Graphic 366"/>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7" name="Graphic 36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9520;mso-wrap-distance-left:0;mso-wrap-distance-right:0" id="docshapegroup362" coordorigin="364,96" coordsize="11516,27">
                <v:rect style="position:absolute;left:364;top:96;width:11516;height:14" id="docshape363" filled="true" fillcolor="#999999" stroked="false">
                  <v:fill type="solid"/>
                </v:rect>
                <v:shape style="position:absolute;left:364;top:95;width:11516;height:27" id="docshape364" coordorigin="364,96" coordsize="11516,27" path="m11880,96l11866,109,364,109,364,123,11866,123,11880,123,11880,109,11880,96xe" filled="true" fillcolor="#ededed" stroked="false">
                  <v:path arrowok="t"/>
                  <v:fill type="solid"/>
                </v:shape>
                <v:shape style="position:absolute;left:364;top:96;width:14;height:27" id="docshape36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before="78"/>
        <w:ind w:left="144" w:right="118" w:firstLine="499"/>
        <w:jc w:val="both"/>
      </w:pPr>
      <w:r>
        <w:rPr>
          <w:color w:val="202529"/>
        </w:rPr>
        <w:t>The venture (the “Bellagio BREIT Venture”) that is 5% owned by a subsidiary of the Company and 95% owned by a subsidiary of BREIT is a VIE because the equity holders as a group lack the power through voting or similar rights to direct the activities of such entity that most significantly impact such entity’s economic performance. The Company is not the primary beneficiary of Bellagio BREIT</w:t>
      </w:r>
      <w:r>
        <w:rPr>
          <w:color w:val="202529"/>
          <w:spacing w:val="-1"/>
        </w:rPr>
        <w:t> </w:t>
      </w:r>
      <w:r>
        <w:rPr>
          <w:color w:val="202529"/>
        </w:rPr>
        <w:t>Venture because the Company does not have power to direct the activities that could potentially be significant to the venture as BREIT, as the managing member, has such power; accordingly, the Company does not consolidate the venture. The Company’s maximum exposure to loss in Bellagio BREIT</w:t>
      </w:r>
      <w:r>
        <w:rPr>
          <w:color w:val="202529"/>
          <w:spacing w:val="-1"/>
        </w:rPr>
        <w:t> </w:t>
      </w:r>
      <w:r>
        <w:rPr>
          <w:color w:val="202529"/>
        </w:rPr>
        <w:t>Venture is equal to the carrying value of its investment of $56 million as of December 31, 2022, assuming no future capital funding requirements, plus the exposure to loss resulting from the Company’s guarantee of the debt </w:t>
      </w:r>
      <w:r>
        <w:rPr>
          <w:color w:val="202529"/>
        </w:rPr>
        <w:t>of Bellagio BREIT Venture, which guarantee is immaterial as of December 31, 2022, as further discussed in Note 12.</w:t>
      </w:r>
    </w:p>
    <w:p>
      <w:pPr>
        <w:pStyle w:val="BodyText"/>
        <w:spacing w:before="185"/>
        <w:ind w:left="144" w:right="117" w:firstLine="499"/>
        <w:jc w:val="both"/>
      </w:pPr>
      <w:r>
        <w:rPr>
          <w:color w:val="202529"/>
        </w:rPr>
        <w:t>For entities determined not to be a VIE, the Company consolidates such entities in which the Company owns 100% of the equity. For entities in which the Company owns less than 100% of the equity interest, the Company consolidates the entity under the voting interest model if it has a controlling financial interest based upon the terms of the respective entities’</w:t>
      </w:r>
      <w:r>
        <w:rPr>
          <w:color w:val="202529"/>
          <w:spacing w:val="-8"/>
        </w:rPr>
        <w:t> </w:t>
      </w:r>
      <w:r>
        <w:rPr>
          <w:color w:val="202529"/>
        </w:rPr>
        <w:t>ownership agreements, such as MGM China. For these entities, the Company records a noncontrolling interest in the consolidated balance sheets and all intercompany balances and transactions are eliminated in consolidation. If the entity does not qualify for consolidation under the voting interest model and the Company has significant influence over the operating and financial decisions of the entity, the Company generally accounts for the entity under the equity method, such as BetMGM, which does not qualify for consolidation as the Company has joint control, </w:t>
      </w:r>
      <w:r>
        <w:rPr>
          <w:color w:val="202529"/>
        </w:rPr>
        <w:t>given the</w:t>
      </w:r>
      <w:r>
        <w:rPr>
          <w:color w:val="202529"/>
          <w:spacing w:val="-1"/>
        </w:rPr>
        <w:t> </w:t>
      </w:r>
      <w:r>
        <w:rPr>
          <w:color w:val="202529"/>
        </w:rPr>
        <w:t>entity</w:t>
      </w:r>
      <w:r>
        <w:rPr>
          <w:color w:val="202529"/>
          <w:spacing w:val="-1"/>
        </w:rPr>
        <w:t> </w:t>
      </w:r>
      <w:r>
        <w:rPr>
          <w:color w:val="202529"/>
        </w:rPr>
        <w:t>is</w:t>
      </w:r>
      <w:r>
        <w:rPr>
          <w:color w:val="202529"/>
          <w:spacing w:val="-1"/>
        </w:rPr>
        <w:t> </w:t>
      </w:r>
      <w:r>
        <w:rPr>
          <w:color w:val="202529"/>
        </w:rPr>
        <w:t>structured</w:t>
      </w:r>
      <w:r>
        <w:rPr>
          <w:color w:val="202529"/>
          <w:spacing w:val="-1"/>
        </w:rPr>
        <w:t> </w:t>
      </w:r>
      <w:r>
        <w:rPr>
          <w:color w:val="202529"/>
        </w:rPr>
        <w:t>with</w:t>
      </w:r>
      <w:r>
        <w:rPr>
          <w:color w:val="202529"/>
          <w:spacing w:val="-1"/>
        </w:rPr>
        <w:t> </w:t>
      </w:r>
      <w:r>
        <w:rPr>
          <w:color w:val="202529"/>
        </w:rPr>
        <w:t>substantive</w:t>
      </w:r>
      <w:r>
        <w:rPr>
          <w:color w:val="202529"/>
          <w:spacing w:val="-1"/>
        </w:rPr>
        <w:t> </w:t>
      </w:r>
      <w:r>
        <w:rPr>
          <w:color w:val="202529"/>
        </w:rPr>
        <w:t>participating</w:t>
      </w:r>
      <w:r>
        <w:rPr>
          <w:color w:val="202529"/>
          <w:spacing w:val="-1"/>
        </w:rPr>
        <w:t> </w:t>
      </w:r>
      <w:r>
        <w:rPr>
          <w:color w:val="202529"/>
        </w:rPr>
        <w:t>rights</w:t>
      </w:r>
      <w:r>
        <w:rPr>
          <w:color w:val="202529"/>
          <w:spacing w:val="-1"/>
        </w:rPr>
        <w:t> </w:t>
      </w:r>
      <w:r>
        <w:rPr>
          <w:color w:val="202529"/>
        </w:rPr>
        <w:t>whereby</w:t>
      </w:r>
      <w:r>
        <w:rPr>
          <w:color w:val="202529"/>
          <w:spacing w:val="-1"/>
        </w:rPr>
        <w:t> </w:t>
      </w:r>
      <w:r>
        <w:rPr>
          <w:color w:val="202529"/>
        </w:rPr>
        <w:t>both</w:t>
      </w:r>
      <w:r>
        <w:rPr>
          <w:color w:val="202529"/>
          <w:spacing w:val="-1"/>
        </w:rPr>
        <w:t> </w:t>
      </w:r>
      <w:r>
        <w:rPr>
          <w:color w:val="202529"/>
        </w:rPr>
        <w:t>owners</w:t>
      </w:r>
      <w:r>
        <w:rPr>
          <w:color w:val="202529"/>
          <w:spacing w:val="-1"/>
        </w:rPr>
        <w:t> </w:t>
      </w:r>
      <w:r>
        <w:rPr>
          <w:color w:val="202529"/>
        </w:rPr>
        <w:t>participate</w:t>
      </w:r>
      <w:r>
        <w:rPr>
          <w:color w:val="202529"/>
          <w:spacing w:val="-1"/>
        </w:rPr>
        <w:t> </w:t>
      </w:r>
      <w:r>
        <w:rPr>
          <w:color w:val="202529"/>
        </w:rPr>
        <w:t>in</w:t>
      </w:r>
      <w:r>
        <w:rPr>
          <w:color w:val="202529"/>
          <w:spacing w:val="-1"/>
        </w:rPr>
        <w:t> </w:t>
      </w:r>
      <w:r>
        <w:rPr>
          <w:color w:val="202529"/>
        </w:rPr>
        <w:t>the</w:t>
      </w:r>
      <w:r>
        <w:rPr>
          <w:color w:val="202529"/>
          <w:spacing w:val="-1"/>
        </w:rPr>
        <w:t> </w:t>
      </w:r>
      <w:r>
        <w:rPr>
          <w:color w:val="202529"/>
        </w:rPr>
        <w:t>decision</w:t>
      </w:r>
      <w:r>
        <w:rPr>
          <w:color w:val="202529"/>
          <w:spacing w:val="-1"/>
        </w:rPr>
        <w:t> </w:t>
      </w:r>
      <w:r>
        <w:rPr>
          <w:color w:val="202529"/>
        </w:rPr>
        <w:t>making</w:t>
      </w:r>
      <w:r>
        <w:rPr>
          <w:color w:val="202529"/>
          <w:spacing w:val="-1"/>
        </w:rPr>
        <w:t> </w:t>
      </w:r>
      <w:r>
        <w:rPr>
          <w:color w:val="202529"/>
        </w:rPr>
        <w:t>process,</w:t>
      </w:r>
      <w:r>
        <w:rPr>
          <w:color w:val="202529"/>
          <w:spacing w:val="-1"/>
        </w:rPr>
        <w:t> </w:t>
      </w:r>
      <w:r>
        <w:rPr>
          <w:color w:val="202529"/>
        </w:rPr>
        <w:t>which</w:t>
      </w:r>
      <w:r>
        <w:rPr>
          <w:color w:val="202529"/>
          <w:spacing w:val="-1"/>
        </w:rPr>
        <w:t> </w:t>
      </w:r>
      <w:r>
        <w:rPr>
          <w:color w:val="202529"/>
        </w:rPr>
        <w:t>prevents</w:t>
      </w:r>
      <w:r>
        <w:rPr>
          <w:color w:val="202529"/>
          <w:spacing w:val="-1"/>
        </w:rPr>
        <w:t> </w:t>
      </w:r>
      <w:r>
        <w:rPr>
          <w:color w:val="202529"/>
        </w:rPr>
        <w:t>the</w:t>
      </w:r>
      <w:r>
        <w:rPr>
          <w:color w:val="202529"/>
          <w:spacing w:val="-1"/>
        </w:rPr>
        <w:t> </w:t>
      </w:r>
      <w:r>
        <w:rPr>
          <w:color w:val="202529"/>
        </w:rPr>
        <w:t>Company</w:t>
      </w:r>
      <w:r>
        <w:rPr>
          <w:color w:val="202529"/>
          <w:spacing w:val="-1"/>
        </w:rPr>
        <w:t> </w:t>
      </w:r>
      <w:r>
        <w:rPr>
          <w:color w:val="202529"/>
        </w:rPr>
        <w:t>from exerting a controlling financial interest in such entity, as defined in</w:t>
      </w:r>
      <w:r>
        <w:rPr>
          <w:color w:val="202529"/>
          <w:spacing w:val="-9"/>
        </w:rPr>
        <w:t> </w:t>
      </w:r>
      <w:r>
        <w:rPr>
          <w:color w:val="202529"/>
        </w:rPr>
        <w:t>ASC 810. </w:t>
      </w:r>
      <w:r>
        <w:rPr/>
        <w:t>For entities over which the Company does not have significant influence, such as VICI OP, the Company accounts for its equity investment under ASC 321.</w:t>
      </w:r>
    </w:p>
    <w:p>
      <w:pPr>
        <w:pStyle w:val="BodyText"/>
        <w:spacing w:before="175"/>
        <w:ind w:left="644"/>
      </w:pPr>
      <w:r>
        <w:rPr>
          <w:b/>
        </w:rPr>
        <w:t>Reclassifications</w:t>
      </w:r>
      <w:r>
        <w:rPr/>
        <w:t>.</w:t>
      </w:r>
      <w:r>
        <w:rPr>
          <w:spacing w:val="-1"/>
        </w:rPr>
        <w:t> </w:t>
      </w:r>
      <w:r>
        <w:rPr/>
        <w:t>Certain</w:t>
      </w:r>
      <w:r>
        <w:rPr>
          <w:spacing w:val="-1"/>
        </w:rPr>
        <w:t> </w:t>
      </w:r>
      <w:r>
        <w:rPr/>
        <w:t>reclassifications</w:t>
      </w:r>
      <w:r>
        <w:rPr>
          <w:spacing w:val="-1"/>
        </w:rPr>
        <w:t> </w:t>
      </w:r>
      <w:r>
        <w:rPr/>
        <w:t>have</w:t>
      </w:r>
      <w:r>
        <w:rPr>
          <w:spacing w:val="-1"/>
        </w:rPr>
        <w:t> </w:t>
      </w:r>
      <w:r>
        <w:rPr/>
        <w:t>been</w:t>
      </w:r>
      <w:r>
        <w:rPr>
          <w:spacing w:val="-1"/>
        </w:rPr>
        <w:t> </w:t>
      </w:r>
      <w:r>
        <w:rPr/>
        <w:t>made</w:t>
      </w:r>
      <w:r>
        <w:rPr>
          <w:spacing w:val="-1"/>
        </w:rPr>
        <w:t> </w:t>
      </w:r>
      <w:r>
        <w:rPr/>
        <w:t>to</w:t>
      </w:r>
      <w:r>
        <w:rPr>
          <w:spacing w:val="-1"/>
        </w:rPr>
        <w:t> </w:t>
      </w:r>
      <w:r>
        <w:rPr/>
        <w:t>conform</w:t>
      </w:r>
      <w:r>
        <w:rPr>
          <w:spacing w:val="-1"/>
        </w:rPr>
        <w:t> </w:t>
      </w:r>
      <w:r>
        <w:rPr/>
        <w:t>the</w:t>
      </w:r>
      <w:r>
        <w:rPr>
          <w:spacing w:val="-1"/>
        </w:rPr>
        <w:t> </w:t>
      </w:r>
      <w:r>
        <w:rPr/>
        <w:t>prior</w:t>
      </w:r>
      <w:r>
        <w:rPr>
          <w:spacing w:val="-1"/>
        </w:rPr>
        <w:t> </w:t>
      </w:r>
      <w:r>
        <w:rPr/>
        <w:t>period</w:t>
      </w:r>
      <w:r>
        <w:rPr>
          <w:spacing w:val="-1"/>
        </w:rPr>
        <w:t> </w:t>
      </w:r>
      <w:r>
        <w:rPr>
          <w:spacing w:val="-2"/>
        </w:rPr>
        <w:t>presentation.</w:t>
      </w:r>
    </w:p>
    <w:p>
      <w:pPr>
        <w:pStyle w:val="BodyText"/>
        <w:spacing w:before="185"/>
        <w:ind w:left="144" w:right="117" w:firstLine="499"/>
        <w:jc w:val="both"/>
      </w:pPr>
      <w:r>
        <w:rPr>
          <w:b/>
        </w:rPr>
        <w:t>Management’s</w:t>
      </w:r>
      <w:r>
        <w:rPr>
          <w:b/>
          <w:spacing w:val="-2"/>
        </w:rPr>
        <w:t> </w:t>
      </w:r>
      <w:r>
        <w:rPr>
          <w:b/>
        </w:rPr>
        <w:t>use</w:t>
      </w:r>
      <w:r>
        <w:rPr>
          <w:b/>
          <w:spacing w:val="-2"/>
        </w:rPr>
        <w:t> </w:t>
      </w:r>
      <w:r>
        <w:rPr>
          <w:b/>
        </w:rPr>
        <w:t>of</w:t>
      </w:r>
      <w:r>
        <w:rPr>
          <w:b/>
          <w:spacing w:val="-2"/>
        </w:rPr>
        <w:t> </w:t>
      </w:r>
      <w:r>
        <w:rPr>
          <w:b/>
        </w:rPr>
        <w:t>estimates.</w:t>
      </w:r>
      <w:r>
        <w:rPr>
          <w:b/>
          <w:spacing w:val="-5"/>
        </w:rPr>
        <w:t> </w:t>
      </w:r>
      <w:r>
        <w:rPr/>
        <w:t>The</w:t>
      </w:r>
      <w:r>
        <w:rPr>
          <w:spacing w:val="-2"/>
        </w:rPr>
        <w:t> </w:t>
      </w:r>
      <w:r>
        <w:rPr/>
        <w:t>consolidated</w:t>
      </w:r>
      <w:r>
        <w:rPr>
          <w:spacing w:val="-2"/>
        </w:rPr>
        <w:t> </w:t>
      </w:r>
      <w:r>
        <w:rPr/>
        <w:t>financial</w:t>
      </w:r>
      <w:r>
        <w:rPr>
          <w:spacing w:val="-2"/>
        </w:rPr>
        <w:t> </w:t>
      </w:r>
      <w:r>
        <w:rPr/>
        <w:t>statements</w:t>
      </w:r>
      <w:r>
        <w:rPr>
          <w:spacing w:val="-2"/>
        </w:rPr>
        <w:t> </w:t>
      </w:r>
      <w:r>
        <w:rPr/>
        <w:t>have</w:t>
      </w:r>
      <w:r>
        <w:rPr>
          <w:spacing w:val="-2"/>
        </w:rPr>
        <w:t> </w:t>
      </w:r>
      <w:r>
        <w:rPr/>
        <w:t>been</w:t>
      </w:r>
      <w:r>
        <w:rPr>
          <w:spacing w:val="-2"/>
        </w:rPr>
        <w:t> </w:t>
      </w:r>
      <w:r>
        <w:rPr/>
        <w:t>prepared</w:t>
      </w:r>
      <w:r>
        <w:rPr>
          <w:spacing w:val="-2"/>
        </w:rPr>
        <w:t> </w:t>
      </w:r>
      <w:r>
        <w:rPr/>
        <w:t>in</w:t>
      </w:r>
      <w:r>
        <w:rPr>
          <w:spacing w:val="-2"/>
        </w:rPr>
        <w:t> </w:t>
      </w:r>
      <w:r>
        <w:rPr/>
        <w:t>conformity</w:t>
      </w:r>
      <w:r>
        <w:rPr>
          <w:spacing w:val="-2"/>
        </w:rPr>
        <w:t> </w:t>
      </w:r>
      <w:r>
        <w:rPr/>
        <w:t>with</w:t>
      </w:r>
      <w:r>
        <w:rPr>
          <w:spacing w:val="-2"/>
        </w:rPr>
        <w:t> </w:t>
      </w:r>
      <w:r>
        <w:rPr/>
        <w:t>accounting</w:t>
      </w:r>
      <w:r>
        <w:rPr>
          <w:spacing w:val="-2"/>
        </w:rPr>
        <w:t> </w:t>
      </w:r>
      <w:r>
        <w:rPr/>
        <w:t>principles</w:t>
      </w:r>
      <w:r>
        <w:rPr>
          <w:spacing w:val="-2"/>
        </w:rPr>
        <w:t> </w:t>
      </w:r>
      <w:r>
        <w:rPr/>
        <w:t>generally</w:t>
      </w:r>
      <w:r>
        <w:rPr>
          <w:spacing w:val="-2"/>
        </w:rPr>
        <w:t> </w:t>
      </w:r>
      <w:r>
        <w:rPr/>
        <w:t>accepted in the United States of</w:t>
      </w:r>
      <w:r>
        <w:rPr>
          <w:spacing w:val="-2"/>
        </w:rPr>
        <w:t> </w:t>
      </w:r>
      <w:r>
        <w:rPr/>
        <w:t>America. These principles require the Company’s management to make estimates and assumptions that affect the reported amounts of assets and liabilities and disclosure of contingent assets and liabilities at the date of the financial statements and the reported amounts of revenues and expenses during the reporting period. Actual results could differ from those estimates.</w:t>
      </w:r>
    </w:p>
    <w:p>
      <w:pPr>
        <w:pStyle w:val="BodyText"/>
        <w:spacing w:before="4"/>
      </w:pPr>
    </w:p>
    <w:p>
      <w:pPr>
        <w:pStyle w:val="BodyText"/>
        <w:spacing w:before="1"/>
        <w:ind w:left="144" w:right="117" w:firstLine="499"/>
        <w:jc w:val="both"/>
      </w:pPr>
      <w:r>
        <w:rPr>
          <w:b/>
        </w:rPr>
        <w:t>Fair</w:t>
      </w:r>
      <w:r>
        <w:rPr>
          <w:b/>
          <w:spacing w:val="-2"/>
        </w:rPr>
        <w:t> </w:t>
      </w:r>
      <w:r>
        <w:rPr>
          <w:b/>
        </w:rPr>
        <w:t>value measurements. </w:t>
      </w:r>
      <w:r>
        <w:rPr/>
        <w:t>Fair value measurements affect the Company’s accounting and impairment assessments of its long-lived assets, investments in unconsolidated affiliates or equity interests, assets acquired, and liabilities assumed in an acquisition, and goodwill and other intangible assets. Fair </w:t>
      </w:r>
      <w:r>
        <w:rPr/>
        <w:t>value measurements also affect the Company’s accounting for certain of its financial assets and liabilities. Fair value is defined as the price that would be received to sell an asset or paid to transfer a liability in an orderly transaction between market participants at the measurement date and is measured according to a hierarchy that includes: Level 1 inputs, such as quoted prices in an active market; Level 2 inputs, which are quoted prices for identical or comparable instruments or pricing using observable market data; or Level 3 inputs, which are unobservable inputs. The Company used the following inputs in its fair value </w:t>
      </w:r>
      <w:r>
        <w:rPr>
          <w:spacing w:val="-2"/>
        </w:rPr>
        <w:t>measurements:</w:t>
      </w:r>
    </w:p>
    <w:p>
      <w:pPr>
        <w:pStyle w:val="BodyText"/>
        <w:spacing w:before="18"/>
      </w:pPr>
    </w:p>
    <w:p>
      <w:pPr>
        <w:pStyle w:val="ListParagraph"/>
        <w:numPr>
          <w:ilvl w:val="0"/>
          <w:numId w:val="11"/>
        </w:numPr>
        <w:tabs>
          <w:tab w:pos="792" w:val="left" w:leader="none"/>
        </w:tabs>
        <w:spacing w:line="205" w:lineRule="exact" w:before="0" w:after="0"/>
        <w:ind w:left="792" w:right="0" w:hanging="324"/>
        <w:jc w:val="left"/>
        <w:rPr>
          <w:sz w:val="18"/>
        </w:rPr>
      </w:pPr>
      <w:r>
        <w:rPr>
          <w:sz w:val="18"/>
        </w:rPr>
        <w:t>Level</w:t>
      </w:r>
      <w:r>
        <w:rPr>
          <w:spacing w:val="-1"/>
          <w:sz w:val="18"/>
        </w:rPr>
        <w:t> </w:t>
      </w:r>
      <w:r>
        <w:rPr>
          <w:sz w:val="18"/>
        </w:rPr>
        <w:t>1</w:t>
      </w:r>
      <w:r>
        <w:rPr>
          <w:spacing w:val="-1"/>
          <w:sz w:val="18"/>
        </w:rPr>
        <w:t> </w:t>
      </w:r>
      <w:r>
        <w:rPr>
          <w:sz w:val="18"/>
        </w:rPr>
        <w:t>inputs</w:t>
      </w:r>
      <w:r>
        <w:rPr>
          <w:spacing w:val="-1"/>
          <w:sz w:val="18"/>
        </w:rPr>
        <w:t> </w:t>
      </w:r>
      <w:r>
        <w:rPr>
          <w:sz w:val="18"/>
        </w:rPr>
        <w:t>when</w:t>
      </w:r>
      <w:r>
        <w:rPr>
          <w:spacing w:val="-1"/>
          <w:sz w:val="18"/>
        </w:rPr>
        <w:t> </w:t>
      </w:r>
      <w:r>
        <w:rPr>
          <w:sz w:val="18"/>
        </w:rPr>
        <w:t>measuring</w:t>
      </w:r>
      <w:r>
        <w:rPr>
          <w:spacing w:val="-1"/>
          <w:sz w:val="18"/>
        </w:rPr>
        <w:t> </w:t>
      </w:r>
      <w:r>
        <w:rPr>
          <w:sz w:val="18"/>
        </w:rPr>
        <w:t>its</w:t>
      </w:r>
      <w:r>
        <w:rPr>
          <w:spacing w:val="-1"/>
          <w:sz w:val="18"/>
        </w:rPr>
        <w:t> </w:t>
      </w:r>
      <w:r>
        <w:rPr>
          <w:sz w:val="18"/>
        </w:rPr>
        <w:t>equity</w:t>
      </w:r>
      <w:r>
        <w:rPr>
          <w:spacing w:val="-1"/>
          <w:sz w:val="18"/>
        </w:rPr>
        <w:t> </w:t>
      </w:r>
      <w:r>
        <w:rPr>
          <w:sz w:val="18"/>
        </w:rPr>
        <w:t>investments</w:t>
      </w:r>
      <w:r>
        <w:rPr>
          <w:spacing w:val="-1"/>
          <w:sz w:val="18"/>
        </w:rPr>
        <w:t> </w:t>
      </w:r>
      <w:r>
        <w:rPr>
          <w:sz w:val="18"/>
        </w:rPr>
        <w:t>recorded</w:t>
      </w:r>
      <w:r>
        <w:rPr>
          <w:spacing w:val="-1"/>
          <w:sz w:val="18"/>
        </w:rPr>
        <w:t> </w:t>
      </w:r>
      <w:r>
        <w:rPr>
          <w:sz w:val="18"/>
        </w:rPr>
        <w:t>at</w:t>
      </w:r>
      <w:r>
        <w:rPr>
          <w:spacing w:val="-1"/>
          <w:sz w:val="18"/>
        </w:rPr>
        <w:t> </w:t>
      </w:r>
      <w:r>
        <w:rPr>
          <w:sz w:val="18"/>
        </w:rPr>
        <w:t>fair</w:t>
      </w:r>
      <w:r>
        <w:rPr>
          <w:spacing w:val="-1"/>
          <w:sz w:val="18"/>
        </w:rPr>
        <w:t> </w:t>
      </w:r>
      <w:r>
        <w:rPr>
          <w:spacing w:val="-2"/>
          <w:sz w:val="18"/>
        </w:rPr>
        <w:t>value;</w:t>
      </w:r>
    </w:p>
    <w:p>
      <w:pPr>
        <w:pStyle w:val="ListParagraph"/>
        <w:numPr>
          <w:ilvl w:val="0"/>
          <w:numId w:val="11"/>
        </w:numPr>
        <w:tabs>
          <w:tab w:pos="792" w:val="left" w:leader="none"/>
        </w:tabs>
        <w:spacing w:line="203" w:lineRule="exact" w:before="0" w:after="0"/>
        <w:ind w:left="792" w:right="0" w:hanging="324"/>
        <w:jc w:val="left"/>
        <w:rPr>
          <w:sz w:val="18"/>
        </w:rPr>
      </w:pPr>
      <w:r>
        <w:rPr>
          <w:sz w:val="18"/>
        </w:rPr>
        <w:t>Level</w:t>
      </w:r>
      <w:r>
        <w:rPr>
          <w:spacing w:val="-1"/>
          <w:sz w:val="18"/>
        </w:rPr>
        <w:t> </w:t>
      </w:r>
      <w:r>
        <w:rPr>
          <w:sz w:val="18"/>
        </w:rPr>
        <w:t>2</w:t>
      </w:r>
      <w:r>
        <w:rPr>
          <w:spacing w:val="-1"/>
          <w:sz w:val="18"/>
        </w:rPr>
        <w:t> </w:t>
      </w:r>
      <w:r>
        <w:rPr>
          <w:sz w:val="18"/>
        </w:rPr>
        <w:t>inputs</w:t>
      </w:r>
      <w:r>
        <w:rPr>
          <w:spacing w:val="-1"/>
          <w:sz w:val="18"/>
        </w:rPr>
        <w:t> </w:t>
      </w:r>
      <w:r>
        <w:rPr>
          <w:sz w:val="18"/>
        </w:rPr>
        <w:t>for</w:t>
      </w:r>
      <w:r>
        <w:rPr>
          <w:spacing w:val="-1"/>
          <w:sz w:val="18"/>
        </w:rPr>
        <w:t> </w:t>
      </w:r>
      <w:r>
        <w:rPr>
          <w:sz w:val="18"/>
        </w:rPr>
        <w:t>its</w:t>
      </w:r>
      <w:r>
        <w:rPr>
          <w:spacing w:val="-1"/>
          <w:sz w:val="18"/>
        </w:rPr>
        <w:t> </w:t>
      </w:r>
      <w:r>
        <w:rPr>
          <w:sz w:val="18"/>
        </w:rPr>
        <w:t>long-term</w:t>
      </w:r>
      <w:r>
        <w:rPr>
          <w:spacing w:val="-1"/>
          <w:sz w:val="18"/>
        </w:rPr>
        <w:t> </w:t>
      </w:r>
      <w:r>
        <w:rPr>
          <w:sz w:val="18"/>
        </w:rPr>
        <w:t>debt</w:t>
      </w:r>
      <w:r>
        <w:rPr>
          <w:spacing w:val="-1"/>
          <w:sz w:val="18"/>
        </w:rPr>
        <w:t> </w:t>
      </w:r>
      <w:r>
        <w:rPr>
          <w:sz w:val="18"/>
        </w:rPr>
        <w:t>fair</w:t>
      </w:r>
      <w:r>
        <w:rPr>
          <w:spacing w:val="-1"/>
          <w:sz w:val="18"/>
        </w:rPr>
        <w:t> </w:t>
      </w:r>
      <w:r>
        <w:rPr>
          <w:sz w:val="18"/>
        </w:rPr>
        <w:t>value</w:t>
      </w:r>
      <w:r>
        <w:rPr>
          <w:spacing w:val="-1"/>
          <w:sz w:val="18"/>
        </w:rPr>
        <w:t> </w:t>
      </w:r>
      <w:r>
        <w:rPr>
          <w:sz w:val="18"/>
        </w:rPr>
        <w:t>disclosures.</w:t>
      </w:r>
      <w:r>
        <w:rPr>
          <w:spacing w:val="-1"/>
          <w:sz w:val="18"/>
        </w:rPr>
        <w:t> </w:t>
      </w:r>
      <w:r>
        <w:rPr>
          <w:sz w:val="18"/>
        </w:rPr>
        <w:t>See</w:t>
      </w:r>
      <w:r>
        <w:rPr>
          <w:spacing w:val="-1"/>
          <w:sz w:val="18"/>
        </w:rPr>
        <w:t> </w:t>
      </w:r>
      <w:r>
        <w:rPr>
          <w:sz w:val="18"/>
        </w:rPr>
        <w:t>Note</w:t>
      </w:r>
      <w:r>
        <w:rPr>
          <w:spacing w:val="-1"/>
          <w:sz w:val="18"/>
        </w:rPr>
        <w:t> </w:t>
      </w:r>
      <w:r>
        <w:rPr>
          <w:spacing w:val="-5"/>
          <w:sz w:val="18"/>
        </w:rPr>
        <w:t>9;</w:t>
      </w:r>
    </w:p>
    <w:p>
      <w:pPr>
        <w:pStyle w:val="ListParagraph"/>
        <w:numPr>
          <w:ilvl w:val="0"/>
          <w:numId w:val="11"/>
        </w:numPr>
        <w:tabs>
          <w:tab w:pos="792" w:val="left" w:leader="none"/>
        </w:tabs>
        <w:spacing w:line="205" w:lineRule="exact" w:before="0" w:after="0"/>
        <w:ind w:left="792" w:right="0" w:hanging="324"/>
        <w:jc w:val="left"/>
        <w:rPr>
          <w:sz w:val="18"/>
        </w:rPr>
      </w:pPr>
      <w:r>
        <w:rPr>
          <w:sz w:val="18"/>
        </w:rPr>
        <w:t>Level</w:t>
      </w:r>
      <w:r>
        <w:rPr>
          <w:spacing w:val="-1"/>
          <w:sz w:val="18"/>
        </w:rPr>
        <w:t> </w:t>
      </w:r>
      <w:r>
        <w:rPr>
          <w:sz w:val="18"/>
        </w:rPr>
        <w:t>1</w:t>
      </w:r>
      <w:r>
        <w:rPr>
          <w:spacing w:val="-1"/>
          <w:sz w:val="18"/>
        </w:rPr>
        <w:t> </w:t>
      </w:r>
      <w:r>
        <w:rPr>
          <w:sz w:val="18"/>
        </w:rPr>
        <w:t>and</w:t>
      </w:r>
      <w:r>
        <w:rPr>
          <w:spacing w:val="-1"/>
          <w:sz w:val="18"/>
        </w:rPr>
        <w:t> </w:t>
      </w:r>
      <w:r>
        <w:rPr>
          <w:sz w:val="18"/>
        </w:rPr>
        <w:t>Level</w:t>
      </w:r>
      <w:r>
        <w:rPr>
          <w:spacing w:val="-1"/>
          <w:sz w:val="18"/>
        </w:rPr>
        <w:t> </w:t>
      </w:r>
      <w:r>
        <w:rPr>
          <w:sz w:val="18"/>
        </w:rPr>
        <w:t>2</w:t>
      </w:r>
      <w:r>
        <w:rPr>
          <w:spacing w:val="-1"/>
          <w:sz w:val="18"/>
        </w:rPr>
        <w:t> </w:t>
      </w:r>
      <w:r>
        <w:rPr>
          <w:sz w:val="18"/>
        </w:rPr>
        <w:t>inputs</w:t>
      </w:r>
      <w:r>
        <w:rPr>
          <w:spacing w:val="-1"/>
          <w:sz w:val="18"/>
        </w:rPr>
        <w:t> </w:t>
      </w:r>
      <w:r>
        <w:rPr>
          <w:sz w:val="18"/>
        </w:rPr>
        <w:t>for</w:t>
      </w:r>
      <w:r>
        <w:rPr>
          <w:spacing w:val="-1"/>
          <w:sz w:val="18"/>
        </w:rPr>
        <w:t> </w:t>
      </w:r>
      <w:r>
        <w:rPr>
          <w:sz w:val="18"/>
        </w:rPr>
        <w:t>its</w:t>
      </w:r>
      <w:r>
        <w:rPr>
          <w:spacing w:val="-1"/>
          <w:sz w:val="18"/>
        </w:rPr>
        <w:t> </w:t>
      </w:r>
      <w:r>
        <w:rPr>
          <w:sz w:val="18"/>
        </w:rPr>
        <w:t>debt</w:t>
      </w:r>
      <w:r>
        <w:rPr>
          <w:spacing w:val="-1"/>
          <w:sz w:val="18"/>
        </w:rPr>
        <w:t> </w:t>
      </w:r>
      <w:r>
        <w:rPr>
          <w:sz w:val="18"/>
        </w:rPr>
        <w:t>investments;</w:t>
      </w:r>
      <w:r>
        <w:rPr>
          <w:spacing w:val="-1"/>
          <w:sz w:val="18"/>
        </w:rPr>
        <w:t> </w:t>
      </w:r>
      <w:r>
        <w:rPr>
          <w:spacing w:val="-5"/>
          <w:sz w:val="18"/>
        </w:rPr>
        <w:t>and</w:t>
      </w:r>
    </w:p>
    <w:p>
      <w:pPr>
        <w:pStyle w:val="ListParagraph"/>
        <w:numPr>
          <w:ilvl w:val="0"/>
          <w:numId w:val="11"/>
        </w:numPr>
        <w:tabs>
          <w:tab w:pos="792" w:val="left" w:leader="none"/>
        </w:tabs>
        <w:spacing w:line="240" w:lineRule="auto" w:before="9" w:after="0"/>
        <w:ind w:left="792" w:right="0" w:hanging="324"/>
        <w:jc w:val="left"/>
        <w:rPr>
          <w:sz w:val="18"/>
        </w:rPr>
      </w:pPr>
      <w:r>
        <w:rPr>
          <w:sz w:val="18"/>
        </w:rPr>
        <w:t>Level</w:t>
      </w:r>
      <w:r>
        <w:rPr>
          <w:spacing w:val="-1"/>
          <w:sz w:val="18"/>
        </w:rPr>
        <w:t> </w:t>
      </w:r>
      <w:r>
        <w:rPr>
          <w:sz w:val="18"/>
        </w:rPr>
        <w:t>1,</w:t>
      </w:r>
      <w:r>
        <w:rPr>
          <w:spacing w:val="-1"/>
          <w:sz w:val="18"/>
        </w:rPr>
        <w:t> </w:t>
      </w:r>
      <w:r>
        <w:rPr>
          <w:sz w:val="18"/>
        </w:rPr>
        <w:t>Level</w:t>
      </w:r>
      <w:r>
        <w:rPr>
          <w:spacing w:val="-1"/>
          <w:sz w:val="18"/>
        </w:rPr>
        <w:t> </w:t>
      </w:r>
      <w:r>
        <w:rPr>
          <w:sz w:val="18"/>
        </w:rPr>
        <w:t>2,</w:t>
      </w:r>
      <w:r>
        <w:rPr>
          <w:spacing w:val="-1"/>
          <w:sz w:val="18"/>
        </w:rPr>
        <w:t> </w:t>
      </w:r>
      <w:r>
        <w:rPr>
          <w:sz w:val="18"/>
        </w:rPr>
        <w:t>and</w:t>
      </w:r>
      <w:r>
        <w:rPr>
          <w:spacing w:val="-1"/>
          <w:sz w:val="18"/>
        </w:rPr>
        <w:t> </w:t>
      </w:r>
      <w:r>
        <w:rPr>
          <w:sz w:val="18"/>
        </w:rPr>
        <w:t>Level</w:t>
      </w:r>
      <w:r>
        <w:rPr>
          <w:spacing w:val="-1"/>
          <w:sz w:val="18"/>
        </w:rPr>
        <w:t> </w:t>
      </w:r>
      <w:r>
        <w:rPr>
          <w:sz w:val="18"/>
        </w:rPr>
        <w:t>3</w:t>
      </w:r>
      <w:r>
        <w:rPr>
          <w:spacing w:val="-1"/>
          <w:sz w:val="18"/>
        </w:rPr>
        <w:t> </w:t>
      </w:r>
      <w:r>
        <w:rPr>
          <w:sz w:val="18"/>
        </w:rPr>
        <w:t>inputs</w:t>
      </w:r>
      <w:r>
        <w:rPr>
          <w:spacing w:val="-1"/>
          <w:sz w:val="18"/>
        </w:rPr>
        <w:t> </w:t>
      </w:r>
      <w:r>
        <w:rPr>
          <w:sz w:val="18"/>
        </w:rPr>
        <w:t>when</w:t>
      </w:r>
      <w:r>
        <w:rPr>
          <w:spacing w:val="-1"/>
          <w:sz w:val="18"/>
        </w:rPr>
        <w:t> </w:t>
      </w:r>
      <w:r>
        <w:rPr>
          <w:sz w:val="18"/>
        </w:rPr>
        <w:t>assessing</w:t>
      </w:r>
      <w:r>
        <w:rPr>
          <w:spacing w:val="-1"/>
          <w:sz w:val="18"/>
        </w:rPr>
        <w:t> </w:t>
      </w:r>
      <w:r>
        <w:rPr>
          <w:sz w:val="18"/>
        </w:rPr>
        <w:t>the</w:t>
      </w:r>
      <w:r>
        <w:rPr>
          <w:spacing w:val="-1"/>
          <w:sz w:val="18"/>
        </w:rPr>
        <w:t> </w:t>
      </w:r>
      <w:r>
        <w:rPr>
          <w:sz w:val="18"/>
        </w:rPr>
        <w:t>fair</w:t>
      </w:r>
      <w:r>
        <w:rPr>
          <w:spacing w:val="-1"/>
          <w:sz w:val="18"/>
        </w:rPr>
        <w:t> </w:t>
      </w:r>
      <w:r>
        <w:rPr>
          <w:sz w:val="18"/>
        </w:rPr>
        <w:t>value</w:t>
      </w:r>
      <w:r>
        <w:rPr>
          <w:spacing w:val="-1"/>
          <w:sz w:val="18"/>
        </w:rPr>
        <w:t> </w:t>
      </w:r>
      <w:r>
        <w:rPr>
          <w:sz w:val="18"/>
        </w:rPr>
        <w:t>of</w:t>
      </w:r>
      <w:r>
        <w:rPr>
          <w:spacing w:val="-1"/>
          <w:sz w:val="18"/>
        </w:rPr>
        <w:t> </w:t>
      </w:r>
      <w:r>
        <w:rPr>
          <w:sz w:val="18"/>
        </w:rPr>
        <w:t>assets</w:t>
      </w:r>
      <w:r>
        <w:rPr>
          <w:spacing w:val="-1"/>
          <w:sz w:val="18"/>
        </w:rPr>
        <w:t> </w:t>
      </w:r>
      <w:r>
        <w:rPr>
          <w:sz w:val="18"/>
        </w:rPr>
        <w:t>acquired</w:t>
      </w:r>
      <w:r>
        <w:rPr>
          <w:spacing w:val="-1"/>
          <w:sz w:val="18"/>
        </w:rPr>
        <w:t> </w:t>
      </w:r>
      <w:r>
        <w:rPr>
          <w:sz w:val="18"/>
        </w:rPr>
        <w:t>and</w:t>
      </w:r>
      <w:r>
        <w:rPr>
          <w:spacing w:val="-1"/>
          <w:sz w:val="18"/>
        </w:rPr>
        <w:t> </w:t>
      </w:r>
      <w:r>
        <w:rPr>
          <w:sz w:val="18"/>
        </w:rPr>
        <w:t>liabilities</w:t>
      </w:r>
      <w:r>
        <w:rPr>
          <w:spacing w:val="-1"/>
          <w:sz w:val="18"/>
        </w:rPr>
        <w:t> </w:t>
      </w:r>
      <w:r>
        <w:rPr>
          <w:sz w:val="18"/>
        </w:rPr>
        <w:t>assumed</w:t>
      </w:r>
      <w:r>
        <w:rPr>
          <w:spacing w:val="-1"/>
          <w:sz w:val="18"/>
        </w:rPr>
        <w:t> </w:t>
      </w:r>
      <w:r>
        <w:rPr>
          <w:sz w:val="18"/>
        </w:rPr>
        <w:t>in</w:t>
      </w:r>
      <w:r>
        <w:rPr>
          <w:spacing w:val="-1"/>
          <w:sz w:val="18"/>
        </w:rPr>
        <w:t> </w:t>
      </w:r>
      <w:r>
        <w:rPr>
          <w:sz w:val="18"/>
        </w:rPr>
        <w:t>acquisitions.</w:t>
      </w:r>
      <w:r>
        <w:rPr>
          <w:spacing w:val="-1"/>
          <w:sz w:val="18"/>
        </w:rPr>
        <w:t> </w:t>
      </w:r>
      <w:r>
        <w:rPr>
          <w:sz w:val="18"/>
        </w:rPr>
        <w:t>See</w:t>
      </w:r>
      <w:r>
        <w:rPr>
          <w:spacing w:val="-1"/>
          <w:sz w:val="18"/>
        </w:rPr>
        <w:t> </w:t>
      </w:r>
      <w:r>
        <w:rPr>
          <w:sz w:val="18"/>
        </w:rPr>
        <w:t>Note</w:t>
      </w:r>
      <w:r>
        <w:rPr>
          <w:spacing w:val="-1"/>
          <w:sz w:val="18"/>
        </w:rPr>
        <w:t> </w:t>
      </w:r>
      <w:r>
        <w:rPr>
          <w:spacing w:val="-5"/>
          <w:sz w:val="18"/>
        </w:rPr>
        <w:t>4.</w:t>
      </w:r>
    </w:p>
    <w:p>
      <w:pPr>
        <w:pStyle w:val="BodyText"/>
        <w:spacing w:before="4"/>
      </w:pPr>
    </w:p>
    <w:p>
      <w:pPr>
        <w:pStyle w:val="BodyText"/>
        <w:spacing w:line="249" w:lineRule="auto"/>
        <w:ind w:left="144" w:right="118" w:firstLine="499"/>
        <w:jc w:val="both"/>
      </w:pPr>
      <w:r>
        <w:rPr>
          <w:i/>
        </w:rPr>
        <w:t>Equity investments. </w:t>
      </w:r>
      <w:r>
        <w:rPr/>
        <w:t>Fair value is measured based upon trading prices on the applicable securities exchange for equity investments for which the Company has elected the fair value option of Accounting Standards Codification (“ASC”) 825, such as LeoVegas (prior to consolidation), and equity investments accounted for under</w:t>
      </w:r>
      <w:r>
        <w:rPr>
          <w:spacing w:val="-4"/>
        </w:rPr>
        <w:t> </w:t>
      </w:r>
      <w:r>
        <w:rPr/>
        <w:t>ASC 321 that have a readily determinable fair value, such as VICI OP. The fair value of these investments was $461 </w:t>
      </w:r>
      <w:r>
        <w:rPr/>
        <w:t>million and $66 million as of December 31, 2022 and 2021, respectively, and is reflected within “Other long-term assets, net” on the consolidated balance sheets.</w:t>
      </w:r>
      <w:r>
        <w:rPr>
          <w:spacing w:val="40"/>
        </w:rPr>
        <w:t> </w:t>
      </w:r>
      <w:r>
        <w:rPr/>
        <w:t>Gains and losses are recorded in “Other, net” in the statements of operations. For the years ended December 31, 2022, and 2021 the Company recorded a net gain on its equity investments of $10 million and $28 million, respectively.</w:t>
      </w:r>
    </w:p>
    <w:p>
      <w:pPr>
        <w:pStyle w:val="BodyText"/>
        <w:spacing w:before="14"/>
      </w:pPr>
    </w:p>
    <w:p>
      <w:pPr>
        <w:pStyle w:val="BodyText"/>
        <w:spacing w:line="242" w:lineRule="auto"/>
        <w:ind w:left="144" w:right="118" w:firstLine="499"/>
        <w:jc w:val="both"/>
      </w:pPr>
      <w:r>
        <w:rPr>
          <w:i/>
        </w:rPr>
        <w:t>Debt investments. </w:t>
      </w:r>
      <w:r>
        <w:rPr/>
        <w:t>The Company’s investments in debt securities are classified as trading securities and recorded at fair value. Gains and losses are recorded in “Other, net” in the statement of operations. Debt securities are considered cash equivalents if the criteria for such classification is met or otherwise classified as short-term investments within “Prepaid expenses and other” since the investment of cash is available for current operations.</w:t>
      </w:r>
    </w:p>
    <w:p>
      <w:pPr>
        <w:pStyle w:val="BodyText"/>
        <w:spacing w:before="2"/>
      </w:pPr>
    </w:p>
    <w:p>
      <w:pPr>
        <w:pStyle w:val="BodyText"/>
        <w:spacing w:before="1"/>
        <w:ind w:left="644"/>
      </w:pPr>
      <w:r>
        <w:rPr/>
        <w:t>The</w:t>
      </w:r>
      <w:r>
        <w:rPr>
          <w:spacing w:val="-5"/>
        </w:rPr>
        <w:t> </w:t>
      </w:r>
      <w:r>
        <w:rPr/>
        <w:t>following</w:t>
      </w:r>
      <w:r>
        <w:rPr>
          <w:spacing w:val="-2"/>
        </w:rPr>
        <w:t> </w:t>
      </w:r>
      <w:r>
        <w:rPr/>
        <w:t>tables</w:t>
      </w:r>
      <w:r>
        <w:rPr>
          <w:spacing w:val="-2"/>
        </w:rPr>
        <w:t> </w:t>
      </w:r>
      <w:r>
        <w:rPr/>
        <w:t>present</w:t>
      </w:r>
      <w:r>
        <w:rPr>
          <w:spacing w:val="-2"/>
        </w:rPr>
        <w:t> </w:t>
      </w:r>
      <w:r>
        <w:rPr/>
        <w:t>information</w:t>
      </w:r>
      <w:r>
        <w:rPr>
          <w:spacing w:val="-2"/>
        </w:rPr>
        <w:t> </w:t>
      </w:r>
      <w:r>
        <w:rPr/>
        <w:t>regarding</w:t>
      </w:r>
      <w:r>
        <w:rPr>
          <w:spacing w:val="-2"/>
        </w:rPr>
        <w:t> </w:t>
      </w:r>
      <w:r>
        <w:rPr/>
        <w:t>the</w:t>
      </w:r>
      <w:r>
        <w:rPr>
          <w:spacing w:val="-2"/>
        </w:rPr>
        <w:t> </w:t>
      </w:r>
      <w:r>
        <w:rPr/>
        <w:t>Company’s</w:t>
      </w:r>
      <w:r>
        <w:rPr>
          <w:spacing w:val="-2"/>
        </w:rPr>
        <w:t> </w:t>
      </w:r>
      <w:r>
        <w:rPr/>
        <w:t>debt</w:t>
      </w:r>
      <w:r>
        <w:rPr>
          <w:spacing w:val="-2"/>
        </w:rPr>
        <w:t> investments:</w:t>
      </w:r>
    </w:p>
    <w:p>
      <w:pPr>
        <w:pStyle w:val="BodyText"/>
      </w:pPr>
    </w:p>
    <w:p>
      <w:pPr>
        <w:pStyle w:val="BodyText"/>
        <w:spacing w:before="202"/>
      </w:pPr>
    </w:p>
    <w:p>
      <w:pPr>
        <w:pStyle w:val="BodyText"/>
        <w:ind w:left="24"/>
        <w:jc w:val="center"/>
      </w:pPr>
      <w:r>
        <w:rPr>
          <w:spacing w:val="-5"/>
        </w:rPr>
        <w:t>65</w:t>
      </w:r>
    </w:p>
    <w:p>
      <w:pPr>
        <w:pStyle w:val="BodyText"/>
        <w:spacing w:before="3"/>
        <w:rPr>
          <w:sz w:val="6"/>
        </w:rPr>
      </w:pPr>
      <w:r>
        <w:rPr/>
        <mc:AlternateContent>
          <mc:Choice Requires="wps">
            <w:drawing>
              <wp:anchor distT="0" distB="0" distL="0" distR="0" allowOverlap="1" layoutInCell="1" locked="0" behindDoc="1" simplePos="0" relativeHeight="487657472">
                <wp:simplePos x="0" y="0"/>
                <wp:positionH relativeFrom="page">
                  <wp:posOffset>231457</wp:posOffset>
                </wp:positionH>
                <wp:positionV relativeFrom="paragraph">
                  <wp:posOffset>60956</wp:posOffset>
                </wp:positionV>
                <wp:extent cx="7312659" cy="17145"/>
                <wp:effectExtent l="0" t="0" r="0" b="0"/>
                <wp:wrapTopAndBottom/>
                <wp:docPr id="368" name="Group 368"/>
                <wp:cNvGraphicFramePr>
                  <a:graphicFrameLocks/>
                </wp:cNvGraphicFramePr>
                <a:graphic>
                  <a:graphicData uri="http://schemas.microsoft.com/office/word/2010/wordprocessingGroup">
                    <wpg:wgp>
                      <wpg:cNvPr id="368" name="Group 368"/>
                      <wpg:cNvGrpSpPr/>
                      <wpg:grpSpPr>
                        <a:xfrm>
                          <a:off x="0" y="0"/>
                          <a:ext cx="7312659" cy="17145"/>
                          <a:chExt cx="7312659" cy="17145"/>
                        </a:xfrm>
                      </wpg:grpSpPr>
                      <wps:wsp>
                        <wps:cNvPr id="369" name="Graphic 36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70" name="Graphic 370"/>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71" name="Graphic 3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9008;mso-wrap-distance-left:0;mso-wrap-distance-right:0" id="docshapegroup366" coordorigin="364,96" coordsize="11516,27">
                <v:rect style="position:absolute;left:364;top:96;width:11516;height:14" id="docshape367" filled="true" fillcolor="#999999" stroked="false">
                  <v:fill type="solid"/>
                </v:rect>
                <v:shape style="position:absolute;left:364;top:95;width:11516;height:27" id="docshape368" coordorigin="364,96" coordsize="11516,27" path="m11880,96l11866,109,364,109,364,123,11866,123,11880,123,11880,109,11880,96xe" filled="true" fillcolor="#ededed" stroked="false">
                  <v:path arrowok="t"/>
                  <v:fill type="solid"/>
                </v:shape>
                <v:shape style="position:absolute;left:364;top:96;width:14;height:27" id="docshape36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360" w:bottom="280" w:left="220" w:right="240"/>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0"/>
        <w:gridCol w:w="3490"/>
        <w:gridCol w:w="561"/>
        <w:gridCol w:w="1926"/>
      </w:tblGrid>
      <w:tr>
        <w:trPr>
          <w:trHeight w:val="483" w:hRule="atLeast"/>
        </w:trPr>
        <w:tc>
          <w:tcPr>
            <w:tcW w:w="5540" w:type="dxa"/>
          </w:tcPr>
          <w:p>
            <w:pPr>
              <w:pStyle w:val="TableParagraph"/>
              <w:spacing w:before="0"/>
              <w:rPr>
                <w:sz w:val="18"/>
              </w:rPr>
            </w:pPr>
          </w:p>
        </w:tc>
        <w:tc>
          <w:tcPr>
            <w:tcW w:w="3490" w:type="dxa"/>
            <w:tcBorders>
              <w:bottom w:val="single" w:sz="6" w:space="0" w:color="000000"/>
            </w:tcBorders>
          </w:tcPr>
          <w:p>
            <w:pPr>
              <w:pStyle w:val="TableParagraph"/>
              <w:spacing w:line="199" w:lineRule="exact" w:before="0"/>
              <w:ind w:left="1614"/>
              <w:jc w:val="center"/>
              <w:rPr>
                <w:b/>
                <w:sz w:val="18"/>
              </w:rPr>
            </w:pPr>
            <w:r>
              <w:rPr>
                <w:b/>
                <w:sz w:val="18"/>
              </w:rPr>
              <w:t>Fair</w:t>
            </w:r>
            <w:r>
              <w:rPr>
                <w:b/>
                <w:spacing w:val="-4"/>
                <w:sz w:val="18"/>
              </w:rPr>
              <w:t> </w:t>
            </w:r>
            <w:r>
              <w:rPr>
                <w:b/>
                <w:sz w:val="18"/>
              </w:rPr>
              <w:t>value</w:t>
            </w:r>
            <w:r>
              <w:rPr>
                <w:b/>
                <w:spacing w:val="-1"/>
                <w:sz w:val="18"/>
              </w:rPr>
              <w:t> </w:t>
            </w:r>
            <w:r>
              <w:rPr>
                <w:b/>
                <w:spacing w:val="-2"/>
                <w:sz w:val="18"/>
              </w:rPr>
              <w:t>level</w:t>
            </w:r>
          </w:p>
        </w:tc>
        <w:tc>
          <w:tcPr>
            <w:tcW w:w="561" w:type="dxa"/>
            <w:tcBorders>
              <w:bottom w:val="single" w:sz="6" w:space="0" w:color="000000"/>
            </w:tcBorders>
          </w:tcPr>
          <w:p>
            <w:pPr>
              <w:pStyle w:val="TableParagraph"/>
              <w:spacing w:before="0"/>
              <w:rPr>
                <w:sz w:val="18"/>
              </w:rPr>
            </w:pPr>
          </w:p>
        </w:tc>
        <w:tc>
          <w:tcPr>
            <w:tcW w:w="1926" w:type="dxa"/>
            <w:tcBorders>
              <w:bottom w:val="single" w:sz="6" w:space="0" w:color="000000"/>
            </w:tcBorders>
          </w:tcPr>
          <w:p>
            <w:pPr>
              <w:pStyle w:val="TableParagraph"/>
              <w:spacing w:line="199" w:lineRule="exact" w:before="0"/>
              <w:ind w:right="230"/>
              <w:jc w:val="center"/>
              <w:rPr>
                <w:b/>
                <w:sz w:val="18"/>
              </w:rPr>
            </w:pPr>
            <w:r>
              <w:rPr>
                <w:b/>
                <w:sz w:val="18"/>
              </w:rPr>
              <w:t>December</w:t>
            </w:r>
            <w:r>
              <w:rPr>
                <w:b/>
                <w:spacing w:val="-4"/>
                <w:sz w:val="18"/>
              </w:rPr>
              <w:t> </w:t>
            </w:r>
            <w:r>
              <w:rPr>
                <w:b/>
                <w:sz w:val="18"/>
              </w:rPr>
              <w:t>31,</w:t>
            </w:r>
            <w:r>
              <w:rPr>
                <w:b/>
                <w:spacing w:val="-1"/>
                <w:sz w:val="18"/>
              </w:rPr>
              <w:t> </w:t>
            </w:r>
            <w:r>
              <w:rPr>
                <w:b/>
                <w:spacing w:val="-4"/>
                <w:sz w:val="18"/>
              </w:rPr>
              <w:t>2022</w:t>
            </w:r>
          </w:p>
          <w:p>
            <w:pPr>
              <w:pStyle w:val="TableParagraph"/>
              <w:spacing w:line="201" w:lineRule="exact" w:before="63"/>
              <w:ind w:right="230"/>
              <w:jc w:val="center"/>
              <w:rPr>
                <w:b/>
                <w:i/>
                <w:sz w:val="18"/>
              </w:rPr>
            </w:pPr>
            <w:r>
              <w:rPr>
                <w:b/>
                <w:i/>
                <w:sz w:val="18"/>
              </w:rPr>
              <w:t>(In</w:t>
            </w:r>
            <w:r>
              <w:rPr>
                <w:b/>
                <w:i/>
                <w:spacing w:val="-1"/>
                <w:sz w:val="18"/>
              </w:rPr>
              <w:t> </w:t>
            </w:r>
            <w:r>
              <w:rPr>
                <w:b/>
                <w:i/>
                <w:spacing w:val="-2"/>
                <w:sz w:val="18"/>
              </w:rPr>
              <w:t>thousands)</w:t>
            </w:r>
          </w:p>
        </w:tc>
      </w:tr>
      <w:tr>
        <w:trPr>
          <w:trHeight w:val="228" w:hRule="atLeast"/>
        </w:trPr>
        <w:tc>
          <w:tcPr>
            <w:tcW w:w="5540" w:type="dxa"/>
            <w:shd w:val="clear" w:color="auto" w:fill="CCEDFF"/>
          </w:tcPr>
          <w:p>
            <w:pPr>
              <w:pStyle w:val="TableParagraph"/>
              <w:spacing w:line="202" w:lineRule="exact" w:before="6"/>
              <w:ind w:left="125"/>
              <w:rPr>
                <w:b/>
                <w:sz w:val="18"/>
              </w:rPr>
            </w:pPr>
            <w:r>
              <w:rPr>
                <w:b/>
                <w:sz w:val="18"/>
              </w:rPr>
              <w:t>Cash</w:t>
            </w:r>
            <w:r>
              <w:rPr>
                <w:b/>
                <w:spacing w:val="-3"/>
                <w:sz w:val="18"/>
              </w:rPr>
              <w:t> </w:t>
            </w:r>
            <w:r>
              <w:rPr>
                <w:b/>
                <w:sz w:val="18"/>
              </w:rPr>
              <w:t>and</w:t>
            </w:r>
            <w:r>
              <w:rPr>
                <w:b/>
                <w:spacing w:val="-1"/>
                <w:sz w:val="18"/>
              </w:rPr>
              <w:t> </w:t>
            </w:r>
            <w:r>
              <w:rPr>
                <w:b/>
                <w:sz w:val="18"/>
              </w:rPr>
              <w:t>cash</w:t>
            </w:r>
            <w:r>
              <w:rPr>
                <w:b/>
                <w:spacing w:val="-1"/>
                <w:sz w:val="18"/>
              </w:rPr>
              <w:t> </w:t>
            </w:r>
            <w:r>
              <w:rPr>
                <w:b/>
                <w:spacing w:val="-2"/>
                <w:sz w:val="18"/>
              </w:rPr>
              <w:t>equivalents:</w:t>
            </w:r>
          </w:p>
        </w:tc>
        <w:tc>
          <w:tcPr>
            <w:tcW w:w="3490" w:type="dxa"/>
            <w:tcBorders>
              <w:top w:val="single" w:sz="6" w:space="0" w:color="000000"/>
            </w:tcBorders>
            <w:shd w:val="clear" w:color="auto" w:fill="CCEDFF"/>
          </w:tcPr>
          <w:p>
            <w:pPr>
              <w:pStyle w:val="TableParagraph"/>
              <w:spacing w:before="0"/>
              <w:rPr>
                <w:sz w:val="16"/>
              </w:rPr>
            </w:pPr>
          </w:p>
        </w:tc>
        <w:tc>
          <w:tcPr>
            <w:tcW w:w="561" w:type="dxa"/>
            <w:tcBorders>
              <w:top w:val="single" w:sz="6" w:space="0" w:color="000000"/>
            </w:tcBorders>
            <w:shd w:val="clear" w:color="auto" w:fill="CCEDFF"/>
          </w:tcPr>
          <w:p>
            <w:pPr>
              <w:pStyle w:val="TableParagraph"/>
              <w:spacing w:before="0"/>
              <w:rPr>
                <w:sz w:val="16"/>
              </w:rPr>
            </w:pPr>
          </w:p>
        </w:tc>
        <w:tc>
          <w:tcPr>
            <w:tcW w:w="1926" w:type="dxa"/>
            <w:tcBorders>
              <w:top w:val="single" w:sz="6" w:space="0" w:color="000000"/>
            </w:tcBorders>
            <w:shd w:val="clear" w:color="auto" w:fill="CCEDFF"/>
          </w:tcPr>
          <w:p>
            <w:pPr>
              <w:pStyle w:val="TableParagraph"/>
              <w:spacing w:before="0"/>
              <w:rPr>
                <w:sz w:val="16"/>
              </w:rPr>
            </w:pPr>
          </w:p>
        </w:tc>
      </w:tr>
      <w:tr>
        <w:trPr>
          <w:trHeight w:val="229" w:hRule="atLeast"/>
        </w:trPr>
        <w:tc>
          <w:tcPr>
            <w:tcW w:w="5540" w:type="dxa"/>
          </w:tcPr>
          <w:p>
            <w:pPr>
              <w:pStyle w:val="TableParagraph"/>
              <w:spacing w:line="202" w:lineRule="exact" w:before="7"/>
              <w:ind w:left="341"/>
              <w:rPr>
                <w:sz w:val="18"/>
              </w:rPr>
            </w:pPr>
            <w:r>
              <w:rPr>
                <w:sz w:val="18"/>
              </w:rPr>
              <w:t>Money</w:t>
            </w:r>
            <w:r>
              <w:rPr>
                <w:spacing w:val="-1"/>
                <w:sz w:val="18"/>
              </w:rPr>
              <w:t> </w:t>
            </w:r>
            <w:r>
              <w:rPr>
                <w:sz w:val="18"/>
              </w:rPr>
              <w:t>market</w:t>
            </w:r>
            <w:r>
              <w:rPr>
                <w:spacing w:val="-1"/>
                <w:sz w:val="18"/>
              </w:rPr>
              <w:t> </w:t>
            </w:r>
            <w:r>
              <w:rPr>
                <w:spacing w:val="-2"/>
                <w:sz w:val="18"/>
              </w:rPr>
              <w:t>funds</w:t>
            </w:r>
          </w:p>
        </w:tc>
        <w:tc>
          <w:tcPr>
            <w:tcW w:w="3490" w:type="dxa"/>
          </w:tcPr>
          <w:p>
            <w:pPr>
              <w:pStyle w:val="TableParagraph"/>
              <w:spacing w:line="202" w:lineRule="exact" w:before="7"/>
              <w:ind w:left="1614"/>
              <w:jc w:val="center"/>
              <w:rPr>
                <w:sz w:val="18"/>
              </w:rPr>
            </w:pPr>
            <w:r>
              <w:rPr>
                <w:sz w:val="18"/>
              </w:rPr>
              <w:t>Level</w:t>
            </w:r>
            <w:r>
              <w:rPr>
                <w:spacing w:val="-1"/>
                <w:sz w:val="18"/>
              </w:rPr>
              <w:t> </w:t>
            </w:r>
            <w:r>
              <w:rPr>
                <w:spacing w:val="-10"/>
                <w:sz w:val="18"/>
              </w:rPr>
              <w:t>1</w:t>
            </w:r>
          </w:p>
        </w:tc>
        <w:tc>
          <w:tcPr>
            <w:tcW w:w="561" w:type="dxa"/>
          </w:tcPr>
          <w:p>
            <w:pPr>
              <w:pStyle w:val="TableParagraph"/>
              <w:spacing w:line="202" w:lineRule="exact" w:before="7"/>
              <w:ind w:right="121"/>
              <w:jc w:val="right"/>
              <w:rPr>
                <w:sz w:val="18"/>
              </w:rPr>
            </w:pPr>
            <w:r>
              <w:rPr>
                <w:spacing w:val="-10"/>
                <w:sz w:val="18"/>
              </w:rPr>
              <w:t>$</w:t>
            </w:r>
          </w:p>
        </w:tc>
        <w:tc>
          <w:tcPr>
            <w:tcW w:w="1926" w:type="dxa"/>
          </w:tcPr>
          <w:p>
            <w:pPr>
              <w:pStyle w:val="TableParagraph"/>
              <w:spacing w:line="202" w:lineRule="exact" w:before="7"/>
              <w:ind w:right="73"/>
              <w:jc w:val="right"/>
              <w:rPr>
                <w:sz w:val="18"/>
              </w:rPr>
            </w:pPr>
            <w:r>
              <w:rPr>
                <w:spacing w:val="-2"/>
                <w:sz w:val="18"/>
              </w:rPr>
              <w:t>12,009</w:t>
            </w:r>
          </w:p>
        </w:tc>
      </w:tr>
      <w:tr>
        <w:trPr>
          <w:trHeight w:val="242" w:hRule="atLeast"/>
        </w:trPr>
        <w:tc>
          <w:tcPr>
            <w:tcW w:w="5540" w:type="dxa"/>
            <w:shd w:val="clear" w:color="auto" w:fill="CCEDFF"/>
          </w:tcPr>
          <w:p>
            <w:pPr>
              <w:pStyle w:val="TableParagraph"/>
              <w:spacing w:before="7"/>
              <w:ind w:right="1963"/>
              <w:jc w:val="right"/>
              <w:rPr>
                <w:sz w:val="18"/>
              </w:rPr>
            </w:pPr>
            <w:r>
              <w:rPr>
                <w:sz w:val="18"/>
              </w:rPr>
              <w:t>Commercial</w:t>
            </w:r>
            <w:r>
              <w:rPr>
                <w:spacing w:val="-1"/>
                <w:sz w:val="18"/>
              </w:rPr>
              <w:t> </w:t>
            </w:r>
            <w:r>
              <w:rPr>
                <w:sz w:val="18"/>
              </w:rPr>
              <w:t>paper</w:t>
            </w:r>
            <w:r>
              <w:rPr>
                <w:spacing w:val="-1"/>
                <w:sz w:val="18"/>
              </w:rPr>
              <w:t> </w:t>
            </w:r>
            <w:r>
              <w:rPr>
                <w:sz w:val="18"/>
              </w:rPr>
              <w:t>and</w:t>
            </w:r>
            <w:r>
              <w:rPr>
                <w:spacing w:val="-1"/>
                <w:sz w:val="18"/>
              </w:rPr>
              <w:t> </w:t>
            </w:r>
            <w:r>
              <w:rPr>
                <w:sz w:val="18"/>
              </w:rPr>
              <w:t>certificates</w:t>
            </w:r>
            <w:r>
              <w:rPr>
                <w:spacing w:val="-1"/>
                <w:sz w:val="18"/>
              </w:rPr>
              <w:t> </w:t>
            </w:r>
            <w:r>
              <w:rPr>
                <w:sz w:val="18"/>
              </w:rPr>
              <w:t>of</w:t>
            </w:r>
            <w:r>
              <w:rPr>
                <w:spacing w:val="-1"/>
                <w:sz w:val="18"/>
              </w:rPr>
              <w:t> </w:t>
            </w:r>
            <w:r>
              <w:rPr>
                <w:spacing w:val="-2"/>
                <w:sz w:val="18"/>
              </w:rPr>
              <w:t>deposit</w:t>
            </w:r>
          </w:p>
        </w:tc>
        <w:tc>
          <w:tcPr>
            <w:tcW w:w="3490" w:type="dxa"/>
            <w:shd w:val="clear" w:color="auto" w:fill="CCEDFF"/>
          </w:tcPr>
          <w:p>
            <w:pPr>
              <w:pStyle w:val="TableParagraph"/>
              <w:spacing w:line="201" w:lineRule="exact"/>
              <w:ind w:left="1614"/>
              <w:jc w:val="center"/>
              <w:rPr>
                <w:sz w:val="18"/>
              </w:rPr>
            </w:pPr>
            <w:r>
              <w:rPr>
                <w:sz w:val="18"/>
              </w:rPr>
              <w:t>Level</w:t>
            </w:r>
            <w:r>
              <w:rPr>
                <w:spacing w:val="-1"/>
                <w:sz w:val="18"/>
              </w:rPr>
              <w:t> </w:t>
            </w:r>
            <w:r>
              <w:rPr>
                <w:spacing w:val="-10"/>
                <w:sz w:val="18"/>
              </w:rPr>
              <w:t>2</w:t>
            </w:r>
          </w:p>
        </w:tc>
        <w:tc>
          <w:tcPr>
            <w:tcW w:w="561" w:type="dxa"/>
            <w:shd w:val="clear" w:color="auto" w:fill="CCEDFF"/>
          </w:tcPr>
          <w:p>
            <w:pPr>
              <w:pStyle w:val="TableParagraph"/>
              <w:spacing w:before="0"/>
              <w:rPr>
                <w:sz w:val="16"/>
              </w:rPr>
            </w:pPr>
          </w:p>
        </w:tc>
        <w:tc>
          <w:tcPr>
            <w:tcW w:w="1926" w:type="dxa"/>
            <w:tcBorders>
              <w:bottom w:val="single" w:sz="6" w:space="0" w:color="000000"/>
            </w:tcBorders>
            <w:shd w:val="clear" w:color="auto" w:fill="CCEDFF"/>
          </w:tcPr>
          <w:p>
            <w:pPr>
              <w:pStyle w:val="TableParagraph"/>
              <w:spacing w:before="7"/>
              <w:ind w:right="73"/>
              <w:jc w:val="right"/>
              <w:rPr>
                <w:sz w:val="18"/>
              </w:rPr>
            </w:pPr>
            <w:r>
              <w:rPr>
                <w:spacing w:val="-2"/>
                <w:sz w:val="18"/>
              </w:rPr>
              <w:t>5,992</w:t>
            </w:r>
          </w:p>
        </w:tc>
      </w:tr>
      <w:tr>
        <w:trPr>
          <w:trHeight w:val="227" w:hRule="atLeast"/>
        </w:trPr>
        <w:tc>
          <w:tcPr>
            <w:tcW w:w="5540" w:type="dxa"/>
          </w:tcPr>
          <w:p>
            <w:pPr>
              <w:pStyle w:val="TableParagraph"/>
              <w:spacing w:line="200" w:lineRule="exact" w:before="0"/>
              <w:ind w:left="125"/>
              <w:rPr>
                <w:b/>
                <w:sz w:val="18"/>
              </w:rPr>
            </w:pPr>
            <w:r>
              <w:rPr>
                <w:b/>
                <w:sz w:val="18"/>
              </w:rPr>
              <w:t>Cash</w:t>
            </w:r>
            <w:r>
              <w:rPr>
                <w:b/>
                <w:spacing w:val="-1"/>
                <w:sz w:val="18"/>
              </w:rPr>
              <w:t> </w:t>
            </w:r>
            <w:r>
              <w:rPr>
                <w:b/>
                <w:sz w:val="18"/>
              </w:rPr>
              <w:t>and</w:t>
            </w:r>
            <w:r>
              <w:rPr>
                <w:b/>
                <w:spacing w:val="-1"/>
                <w:sz w:val="18"/>
              </w:rPr>
              <w:t> </w:t>
            </w:r>
            <w:r>
              <w:rPr>
                <w:b/>
                <w:sz w:val="18"/>
              </w:rPr>
              <w:t>cash</w:t>
            </w:r>
            <w:r>
              <w:rPr>
                <w:b/>
                <w:spacing w:val="-1"/>
                <w:sz w:val="18"/>
              </w:rPr>
              <w:t> </w:t>
            </w:r>
            <w:r>
              <w:rPr>
                <w:b/>
                <w:spacing w:val="-2"/>
                <w:sz w:val="18"/>
              </w:rPr>
              <w:t>equivalents</w:t>
            </w:r>
          </w:p>
        </w:tc>
        <w:tc>
          <w:tcPr>
            <w:tcW w:w="3490" w:type="dxa"/>
          </w:tcPr>
          <w:p>
            <w:pPr>
              <w:pStyle w:val="TableParagraph"/>
              <w:spacing w:before="0"/>
              <w:rPr>
                <w:sz w:val="16"/>
              </w:rPr>
            </w:pPr>
          </w:p>
        </w:tc>
        <w:tc>
          <w:tcPr>
            <w:tcW w:w="561" w:type="dxa"/>
          </w:tcPr>
          <w:p>
            <w:pPr>
              <w:pStyle w:val="TableParagraph"/>
              <w:spacing w:before="0"/>
              <w:rPr>
                <w:sz w:val="16"/>
              </w:rPr>
            </w:pPr>
          </w:p>
        </w:tc>
        <w:tc>
          <w:tcPr>
            <w:tcW w:w="1926" w:type="dxa"/>
            <w:tcBorders>
              <w:top w:val="single" w:sz="6" w:space="0" w:color="000000"/>
              <w:bottom w:val="single" w:sz="6" w:space="0" w:color="000000"/>
            </w:tcBorders>
          </w:tcPr>
          <w:p>
            <w:pPr>
              <w:pStyle w:val="TableParagraph"/>
              <w:spacing w:line="201" w:lineRule="exact" w:before="6"/>
              <w:ind w:right="73"/>
              <w:jc w:val="right"/>
              <w:rPr>
                <w:sz w:val="18"/>
              </w:rPr>
            </w:pPr>
            <w:r>
              <w:rPr>
                <w:spacing w:val="-2"/>
                <w:sz w:val="18"/>
              </w:rPr>
              <w:t>18,001</w:t>
            </w:r>
          </w:p>
        </w:tc>
      </w:tr>
      <w:tr>
        <w:trPr>
          <w:trHeight w:val="228" w:hRule="atLeast"/>
        </w:trPr>
        <w:tc>
          <w:tcPr>
            <w:tcW w:w="5540" w:type="dxa"/>
            <w:shd w:val="clear" w:color="auto" w:fill="CCEDFF"/>
          </w:tcPr>
          <w:p>
            <w:pPr>
              <w:pStyle w:val="TableParagraph"/>
              <w:spacing w:line="202" w:lineRule="exact" w:before="6"/>
              <w:ind w:left="125"/>
              <w:rPr>
                <w:b/>
                <w:sz w:val="18"/>
              </w:rPr>
            </w:pPr>
            <w:r>
              <w:rPr>
                <w:b/>
                <w:sz w:val="18"/>
              </w:rPr>
              <w:t>Short-term</w:t>
            </w:r>
            <w:r>
              <w:rPr>
                <w:b/>
                <w:spacing w:val="-3"/>
                <w:sz w:val="18"/>
              </w:rPr>
              <w:t> </w:t>
            </w:r>
            <w:r>
              <w:rPr>
                <w:b/>
                <w:spacing w:val="-2"/>
                <w:sz w:val="18"/>
              </w:rPr>
              <w:t>investments:</w:t>
            </w:r>
          </w:p>
        </w:tc>
        <w:tc>
          <w:tcPr>
            <w:tcW w:w="3490" w:type="dxa"/>
            <w:shd w:val="clear" w:color="auto" w:fill="CCEDFF"/>
          </w:tcPr>
          <w:p>
            <w:pPr>
              <w:pStyle w:val="TableParagraph"/>
              <w:spacing w:before="0"/>
              <w:rPr>
                <w:sz w:val="16"/>
              </w:rPr>
            </w:pPr>
          </w:p>
        </w:tc>
        <w:tc>
          <w:tcPr>
            <w:tcW w:w="561" w:type="dxa"/>
            <w:shd w:val="clear" w:color="auto" w:fill="CCEDFF"/>
          </w:tcPr>
          <w:p>
            <w:pPr>
              <w:pStyle w:val="TableParagraph"/>
              <w:spacing w:before="0"/>
              <w:rPr>
                <w:sz w:val="16"/>
              </w:rPr>
            </w:pPr>
          </w:p>
        </w:tc>
        <w:tc>
          <w:tcPr>
            <w:tcW w:w="1926" w:type="dxa"/>
            <w:tcBorders>
              <w:top w:val="single" w:sz="6" w:space="0" w:color="000000"/>
            </w:tcBorders>
            <w:shd w:val="clear" w:color="auto" w:fill="CCEDFF"/>
          </w:tcPr>
          <w:p>
            <w:pPr>
              <w:pStyle w:val="TableParagraph"/>
              <w:spacing w:before="0"/>
              <w:rPr>
                <w:sz w:val="16"/>
              </w:rPr>
            </w:pPr>
          </w:p>
        </w:tc>
      </w:tr>
      <w:tr>
        <w:trPr>
          <w:trHeight w:val="229" w:hRule="atLeast"/>
        </w:trPr>
        <w:tc>
          <w:tcPr>
            <w:tcW w:w="5540" w:type="dxa"/>
          </w:tcPr>
          <w:p>
            <w:pPr>
              <w:pStyle w:val="TableParagraph"/>
              <w:spacing w:line="202" w:lineRule="exact" w:before="7"/>
              <w:ind w:left="341"/>
              <w:rPr>
                <w:sz w:val="18"/>
              </w:rPr>
            </w:pPr>
            <w:r>
              <w:rPr>
                <w:sz w:val="18"/>
              </w:rPr>
              <w:t>U.S.</w:t>
            </w:r>
            <w:r>
              <w:rPr>
                <w:spacing w:val="-1"/>
                <w:sz w:val="18"/>
              </w:rPr>
              <w:t> </w:t>
            </w:r>
            <w:r>
              <w:rPr>
                <w:sz w:val="18"/>
              </w:rPr>
              <w:t>government</w:t>
            </w:r>
            <w:r>
              <w:rPr>
                <w:spacing w:val="-1"/>
                <w:sz w:val="18"/>
              </w:rPr>
              <w:t> </w:t>
            </w:r>
            <w:r>
              <w:rPr>
                <w:spacing w:val="-2"/>
                <w:sz w:val="18"/>
              </w:rPr>
              <w:t>securities</w:t>
            </w:r>
          </w:p>
        </w:tc>
        <w:tc>
          <w:tcPr>
            <w:tcW w:w="3490" w:type="dxa"/>
          </w:tcPr>
          <w:p>
            <w:pPr>
              <w:pStyle w:val="TableParagraph"/>
              <w:spacing w:line="202" w:lineRule="exact" w:before="7"/>
              <w:ind w:left="1614"/>
              <w:jc w:val="center"/>
              <w:rPr>
                <w:sz w:val="18"/>
              </w:rPr>
            </w:pPr>
            <w:r>
              <w:rPr>
                <w:sz w:val="18"/>
              </w:rPr>
              <w:t>Level</w:t>
            </w:r>
            <w:r>
              <w:rPr>
                <w:spacing w:val="-1"/>
                <w:sz w:val="18"/>
              </w:rPr>
              <w:t> </w:t>
            </w:r>
            <w:r>
              <w:rPr>
                <w:spacing w:val="-10"/>
                <w:sz w:val="18"/>
              </w:rPr>
              <w:t>1</w:t>
            </w:r>
          </w:p>
        </w:tc>
        <w:tc>
          <w:tcPr>
            <w:tcW w:w="561" w:type="dxa"/>
          </w:tcPr>
          <w:p>
            <w:pPr>
              <w:pStyle w:val="TableParagraph"/>
              <w:spacing w:before="0"/>
              <w:rPr>
                <w:sz w:val="16"/>
              </w:rPr>
            </w:pPr>
          </w:p>
        </w:tc>
        <w:tc>
          <w:tcPr>
            <w:tcW w:w="1926" w:type="dxa"/>
          </w:tcPr>
          <w:p>
            <w:pPr>
              <w:pStyle w:val="TableParagraph"/>
              <w:spacing w:line="202" w:lineRule="exact" w:before="7"/>
              <w:ind w:right="73"/>
              <w:jc w:val="right"/>
              <w:rPr>
                <w:sz w:val="18"/>
              </w:rPr>
            </w:pPr>
            <w:r>
              <w:rPr>
                <w:spacing w:val="-2"/>
                <w:sz w:val="18"/>
              </w:rPr>
              <w:t>56,835</w:t>
            </w:r>
          </w:p>
        </w:tc>
      </w:tr>
      <w:tr>
        <w:trPr>
          <w:trHeight w:val="242" w:hRule="atLeast"/>
        </w:trPr>
        <w:tc>
          <w:tcPr>
            <w:tcW w:w="5540" w:type="dxa"/>
            <w:shd w:val="clear" w:color="auto" w:fill="CCEDFF"/>
          </w:tcPr>
          <w:p>
            <w:pPr>
              <w:pStyle w:val="TableParagraph"/>
              <w:spacing w:before="7"/>
              <w:ind w:left="341"/>
              <w:rPr>
                <w:sz w:val="18"/>
              </w:rPr>
            </w:pPr>
            <w:r>
              <w:rPr>
                <w:sz w:val="18"/>
              </w:rPr>
              <w:t>U.S.</w:t>
            </w:r>
            <w:r>
              <w:rPr>
                <w:spacing w:val="-1"/>
                <w:sz w:val="18"/>
              </w:rPr>
              <w:t> </w:t>
            </w:r>
            <w:r>
              <w:rPr>
                <w:sz w:val="18"/>
              </w:rPr>
              <w:t>agency</w:t>
            </w:r>
            <w:r>
              <w:rPr>
                <w:spacing w:val="-1"/>
                <w:sz w:val="18"/>
              </w:rPr>
              <w:t> </w:t>
            </w:r>
            <w:r>
              <w:rPr>
                <w:spacing w:val="-2"/>
                <w:sz w:val="18"/>
              </w:rPr>
              <w:t>securities</w:t>
            </w:r>
          </w:p>
        </w:tc>
        <w:tc>
          <w:tcPr>
            <w:tcW w:w="3490" w:type="dxa"/>
            <w:shd w:val="clear" w:color="auto" w:fill="CCEDFF"/>
          </w:tcPr>
          <w:p>
            <w:pPr>
              <w:pStyle w:val="TableParagraph"/>
              <w:spacing w:before="7"/>
              <w:ind w:left="1614"/>
              <w:jc w:val="center"/>
              <w:rPr>
                <w:sz w:val="18"/>
              </w:rPr>
            </w:pPr>
            <w:r>
              <w:rPr>
                <w:sz w:val="18"/>
              </w:rPr>
              <w:t>Level</w:t>
            </w:r>
            <w:r>
              <w:rPr>
                <w:spacing w:val="-1"/>
                <w:sz w:val="18"/>
              </w:rPr>
              <w:t> </w:t>
            </w:r>
            <w:r>
              <w:rPr>
                <w:spacing w:val="-10"/>
                <w:sz w:val="18"/>
              </w:rPr>
              <w:t>2</w:t>
            </w:r>
          </w:p>
        </w:tc>
        <w:tc>
          <w:tcPr>
            <w:tcW w:w="561" w:type="dxa"/>
            <w:shd w:val="clear" w:color="auto" w:fill="CCEDFF"/>
          </w:tcPr>
          <w:p>
            <w:pPr>
              <w:pStyle w:val="TableParagraph"/>
              <w:spacing w:before="0"/>
              <w:rPr>
                <w:sz w:val="16"/>
              </w:rPr>
            </w:pPr>
          </w:p>
        </w:tc>
        <w:tc>
          <w:tcPr>
            <w:tcW w:w="1926" w:type="dxa"/>
            <w:shd w:val="clear" w:color="auto" w:fill="CCEDFF"/>
          </w:tcPr>
          <w:p>
            <w:pPr>
              <w:pStyle w:val="TableParagraph"/>
              <w:spacing w:before="7"/>
              <w:ind w:right="73"/>
              <w:jc w:val="right"/>
              <w:rPr>
                <w:sz w:val="18"/>
              </w:rPr>
            </w:pPr>
            <w:r>
              <w:rPr>
                <w:spacing w:val="-2"/>
                <w:sz w:val="18"/>
              </w:rPr>
              <w:t>9,530</w:t>
            </w:r>
          </w:p>
        </w:tc>
      </w:tr>
      <w:tr>
        <w:trPr>
          <w:trHeight w:val="229" w:hRule="atLeast"/>
        </w:trPr>
        <w:tc>
          <w:tcPr>
            <w:tcW w:w="5540" w:type="dxa"/>
          </w:tcPr>
          <w:p>
            <w:pPr>
              <w:pStyle w:val="TableParagraph"/>
              <w:spacing w:line="202" w:lineRule="exact" w:before="7"/>
              <w:ind w:right="1963"/>
              <w:jc w:val="right"/>
              <w:rPr>
                <w:sz w:val="18"/>
              </w:rPr>
            </w:pPr>
            <w:r>
              <w:rPr>
                <w:sz w:val="18"/>
              </w:rPr>
              <w:t>Commercial</w:t>
            </w:r>
            <w:r>
              <w:rPr>
                <w:spacing w:val="-1"/>
                <w:sz w:val="18"/>
              </w:rPr>
              <w:t> </w:t>
            </w:r>
            <w:r>
              <w:rPr>
                <w:sz w:val="18"/>
              </w:rPr>
              <w:t>paper</w:t>
            </w:r>
            <w:r>
              <w:rPr>
                <w:spacing w:val="-1"/>
                <w:sz w:val="18"/>
              </w:rPr>
              <w:t> </w:t>
            </w:r>
            <w:r>
              <w:rPr>
                <w:sz w:val="18"/>
              </w:rPr>
              <w:t>and</w:t>
            </w:r>
            <w:r>
              <w:rPr>
                <w:spacing w:val="-1"/>
                <w:sz w:val="18"/>
              </w:rPr>
              <w:t> </w:t>
            </w:r>
            <w:r>
              <w:rPr>
                <w:sz w:val="18"/>
              </w:rPr>
              <w:t>certificates</w:t>
            </w:r>
            <w:r>
              <w:rPr>
                <w:spacing w:val="-1"/>
                <w:sz w:val="18"/>
              </w:rPr>
              <w:t> </w:t>
            </w:r>
            <w:r>
              <w:rPr>
                <w:sz w:val="18"/>
              </w:rPr>
              <w:t>of</w:t>
            </w:r>
            <w:r>
              <w:rPr>
                <w:spacing w:val="-1"/>
                <w:sz w:val="18"/>
              </w:rPr>
              <w:t> </w:t>
            </w:r>
            <w:r>
              <w:rPr>
                <w:spacing w:val="-2"/>
                <w:sz w:val="18"/>
              </w:rPr>
              <w:t>deposit</w:t>
            </w:r>
          </w:p>
        </w:tc>
        <w:tc>
          <w:tcPr>
            <w:tcW w:w="3490" w:type="dxa"/>
          </w:tcPr>
          <w:p>
            <w:pPr>
              <w:pStyle w:val="TableParagraph"/>
              <w:spacing w:line="202" w:lineRule="exact" w:before="7"/>
              <w:ind w:left="1614"/>
              <w:jc w:val="center"/>
              <w:rPr>
                <w:sz w:val="18"/>
              </w:rPr>
            </w:pPr>
            <w:r>
              <w:rPr>
                <w:sz w:val="18"/>
              </w:rPr>
              <w:t>Level</w:t>
            </w:r>
            <w:r>
              <w:rPr>
                <w:spacing w:val="-1"/>
                <w:sz w:val="18"/>
              </w:rPr>
              <w:t> </w:t>
            </w:r>
            <w:r>
              <w:rPr>
                <w:spacing w:val="-10"/>
                <w:sz w:val="18"/>
              </w:rPr>
              <w:t>2</w:t>
            </w:r>
          </w:p>
        </w:tc>
        <w:tc>
          <w:tcPr>
            <w:tcW w:w="561" w:type="dxa"/>
          </w:tcPr>
          <w:p>
            <w:pPr>
              <w:pStyle w:val="TableParagraph"/>
              <w:spacing w:before="0"/>
              <w:rPr>
                <w:sz w:val="16"/>
              </w:rPr>
            </w:pPr>
          </w:p>
        </w:tc>
        <w:tc>
          <w:tcPr>
            <w:tcW w:w="1926" w:type="dxa"/>
          </w:tcPr>
          <w:p>
            <w:pPr>
              <w:pStyle w:val="TableParagraph"/>
              <w:spacing w:line="202" w:lineRule="exact" w:before="7"/>
              <w:ind w:right="73"/>
              <w:jc w:val="right"/>
              <w:rPr>
                <w:sz w:val="18"/>
              </w:rPr>
            </w:pPr>
            <w:r>
              <w:rPr>
                <w:spacing w:val="-2"/>
                <w:sz w:val="18"/>
              </w:rPr>
              <w:t>4,466</w:t>
            </w:r>
          </w:p>
        </w:tc>
      </w:tr>
      <w:tr>
        <w:trPr>
          <w:trHeight w:val="227" w:hRule="atLeast"/>
        </w:trPr>
        <w:tc>
          <w:tcPr>
            <w:tcW w:w="5540" w:type="dxa"/>
            <w:shd w:val="clear" w:color="auto" w:fill="CCEDFF"/>
          </w:tcPr>
          <w:p>
            <w:pPr>
              <w:pStyle w:val="TableParagraph"/>
              <w:spacing w:line="201" w:lineRule="exact" w:before="7"/>
              <w:ind w:left="341"/>
              <w:rPr>
                <w:sz w:val="18"/>
              </w:rPr>
            </w:pPr>
            <w:r>
              <w:rPr>
                <w:sz w:val="18"/>
              </w:rPr>
              <w:t>Corporate</w:t>
            </w:r>
            <w:r>
              <w:rPr>
                <w:spacing w:val="-1"/>
                <w:sz w:val="18"/>
              </w:rPr>
              <w:t> </w:t>
            </w:r>
            <w:r>
              <w:rPr>
                <w:spacing w:val="-2"/>
                <w:sz w:val="18"/>
              </w:rPr>
              <w:t>bonds</w:t>
            </w:r>
          </w:p>
        </w:tc>
        <w:tc>
          <w:tcPr>
            <w:tcW w:w="3490" w:type="dxa"/>
            <w:shd w:val="clear" w:color="auto" w:fill="CCEDFF"/>
          </w:tcPr>
          <w:p>
            <w:pPr>
              <w:pStyle w:val="TableParagraph"/>
              <w:spacing w:line="187" w:lineRule="exact"/>
              <w:ind w:left="1614"/>
              <w:jc w:val="center"/>
              <w:rPr>
                <w:sz w:val="18"/>
              </w:rPr>
            </w:pPr>
            <w:r>
              <w:rPr>
                <w:sz w:val="18"/>
              </w:rPr>
              <w:t>Level</w:t>
            </w:r>
            <w:r>
              <w:rPr>
                <w:spacing w:val="-1"/>
                <w:sz w:val="18"/>
              </w:rPr>
              <w:t> </w:t>
            </w:r>
            <w:r>
              <w:rPr>
                <w:spacing w:val="-10"/>
                <w:sz w:val="18"/>
              </w:rPr>
              <w:t>2</w:t>
            </w:r>
          </w:p>
        </w:tc>
        <w:tc>
          <w:tcPr>
            <w:tcW w:w="561" w:type="dxa"/>
            <w:shd w:val="clear" w:color="auto" w:fill="CCEDFF"/>
          </w:tcPr>
          <w:p>
            <w:pPr>
              <w:pStyle w:val="TableParagraph"/>
              <w:spacing w:before="0"/>
              <w:rPr>
                <w:sz w:val="16"/>
              </w:rPr>
            </w:pPr>
          </w:p>
        </w:tc>
        <w:tc>
          <w:tcPr>
            <w:tcW w:w="1926" w:type="dxa"/>
            <w:tcBorders>
              <w:bottom w:val="single" w:sz="12" w:space="0" w:color="000000"/>
            </w:tcBorders>
            <w:shd w:val="clear" w:color="auto" w:fill="CCEDFF"/>
          </w:tcPr>
          <w:p>
            <w:pPr>
              <w:pStyle w:val="TableParagraph"/>
              <w:spacing w:line="201" w:lineRule="exact" w:before="7"/>
              <w:ind w:right="72"/>
              <w:jc w:val="right"/>
              <w:rPr>
                <w:sz w:val="18"/>
              </w:rPr>
            </w:pPr>
            <w:r>
              <w:rPr>
                <w:spacing w:val="-2"/>
                <w:sz w:val="18"/>
              </w:rPr>
              <w:t>213,875</w:t>
            </w:r>
          </w:p>
        </w:tc>
      </w:tr>
      <w:tr>
        <w:trPr>
          <w:trHeight w:val="227" w:hRule="atLeast"/>
        </w:trPr>
        <w:tc>
          <w:tcPr>
            <w:tcW w:w="5540" w:type="dxa"/>
          </w:tcPr>
          <w:p>
            <w:pPr>
              <w:pStyle w:val="TableParagraph"/>
              <w:spacing w:line="199" w:lineRule="exact" w:before="0"/>
              <w:ind w:left="125"/>
              <w:rPr>
                <w:b/>
                <w:sz w:val="18"/>
              </w:rPr>
            </w:pPr>
            <w:r>
              <w:rPr>
                <w:b/>
                <w:sz w:val="18"/>
              </w:rPr>
              <w:t>Short-term</w:t>
            </w:r>
            <w:r>
              <w:rPr>
                <w:b/>
                <w:spacing w:val="-1"/>
                <w:sz w:val="18"/>
              </w:rPr>
              <w:t> </w:t>
            </w:r>
            <w:r>
              <w:rPr>
                <w:b/>
                <w:spacing w:val="-2"/>
                <w:sz w:val="18"/>
              </w:rPr>
              <w:t>investments</w:t>
            </w:r>
          </w:p>
        </w:tc>
        <w:tc>
          <w:tcPr>
            <w:tcW w:w="3490" w:type="dxa"/>
          </w:tcPr>
          <w:p>
            <w:pPr>
              <w:pStyle w:val="TableParagraph"/>
              <w:spacing w:before="0"/>
              <w:rPr>
                <w:sz w:val="16"/>
              </w:rPr>
            </w:pPr>
          </w:p>
        </w:tc>
        <w:tc>
          <w:tcPr>
            <w:tcW w:w="561" w:type="dxa"/>
          </w:tcPr>
          <w:p>
            <w:pPr>
              <w:pStyle w:val="TableParagraph"/>
              <w:spacing w:before="0"/>
              <w:rPr>
                <w:sz w:val="16"/>
              </w:rPr>
            </w:pPr>
          </w:p>
        </w:tc>
        <w:tc>
          <w:tcPr>
            <w:tcW w:w="1926" w:type="dxa"/>
            <w:tcBorders>
              <w:top w:val="single" w:sz="12" w:space="0" w:color="000000"/>
              <w:bottom w:val="single" w:sz="6" w:space="0" w:color="000000"/>
            </w:tcBorders>
          </w:tcPr>
          <w:p>
            <w:pPr>
              <w:pStyle w:val="TableParagraph"/>
              <w:spacing w:line="201" w:lineRule="exact" w:before="6"/>
              <w:ind w:right="72"/>
              <w:jc w:val="right"/>
              <w:rPr>
                <w:sz w:val="18"/>
              </w:rPr>
            </w:pPr>
            <w:r>
              <w:rPr>
                <w:spacing w:val="-2"/>
                <w:sz w:val="18"/>
              </w:rPr>
              <w:t>284,706</w:t>
            </w:r>
          </w:p>
        </w:tc>
      </w:tr>
      <w:tr>
        <w:trPr>
          <w:trHeight w:val="246" w:hRule="atLeast"/>
        </w:trPr>
        <w:tc>
          <w:tcPr>
            <w:tcW w:w="5540" w:type="dxa"/>
            <w:shd w:val="clear" w:color="auto" w:fill="CCEDFF"/>
          </w:tcPr>
          <w:p>
            <w:pPr>
              <w:pStyle w:val="TableParagraph"/>
              <w:spacing w:before="6"/>
              <w:ind w:left="17"/>
              <w:rPr>
                <w:b/>
                <w:sz w:val="18"/>
              </w:rPr>
            </w:pPr>
            <w:r>
              <w:rPr>
                <w:b/>
                <w:sz w:val="18"/>
              </w:rPr>
              <w:t>Total</w:t>
            </w:r>
            <w:r>
              <w:rPr>
                <w:b/>
                <w:spacing w:val="-10"/>
                <w:sz w:val="18"/>
              </w:rPr>
              <w:t> </w:t>
            </w:r>
            <w:r>
              <w:rPr>
                <w:b/>
                <w:sz w:val="18"/>
              </w:rPr>
              <w:t>debt</w:t>
            </w:r>
            <w:r>
              <w:rPr>
                <w:b/>
                <w:spacing w:val="-9"/>
                <w:sz w:val="18"/>
              </w:rPr>
              <w:t> </w:t>
            </w:r>
            <w:r>
              <w:rPr>
                <w:b/>
                <w:spacing w:val="-2"/>
                <w:sz w:val="18"/>
              </w:rPr>
              <w:t>investments</w:t>
            </w:r>
          </w:p>
        </w:tc>
        <w:tc>
          <w:tcPr>
            <w:tcW w:w="3490" w:type="dxa"/>
            <w:shd w:val="clear" w:color="auto" w:fill="CCEDFF"/>
          </w:tcPr>
          <w:p>
            <w:pPr>
              <w:pStyle w:val="TableParagraph"/>
              <w:spacing w:before="0"/>
              <w:rPr>
                <w:sz w:val="16"/>
              </w:rPr>
            </w:pPr>
          </w:p>
        </w:tc>
        <w:tc>
          <w:tcPr>
            <w:tcW w:w="561" w:type="dxa"/>
            <w:shd w:val="clear" w:color="auto" w:fill="CCEDFF"/>
          </w:tcPr>
          <w:p>
            <w:pPr>
              <w:pStyle w:val="TableParagraph"/>
              <w:spacing w:before="6"/>
              <w:ind w:right="121"/>
              <w:jc w:val="right"/>
              <w:rPr>
                <w:sz w:val="18"/>
              </w:rPr>
            </w:pPr>
            <w:r>
              <w:rPr>
                <w:spacing w:val="-10"/>
                <w:sz w:val="18"/>
              </w:rPr>
              <w:t>$</w:t>
            </w:r>
          </w:p>
        </w:tc>
        <w:tc>
          <w:tcPr>
            <w:tcW w:w="1926" w:type="dxa"/>
            <w:tcBorders>
              <w:top w:val="single" w:sz="6" w:space="0" w:color="000000"/>
              <w:bottom w:val="double" w:sz="6" w:space="0" w:color="000000"/>
            </w:tcBorders>
            <w:shd w:val="clear" w:color="auto" w:fill="CCEDFF"/>
          </w:tcPr>
          <w:p>
            <w:pPr>
              <w:pStyle w:val="TableParagraph"/>
              <w:spacing w:before="6"/>
              <w:ind w:right="72"/>
              <w:jc w:val="right"/>
              <w:rPr>
                <w:sz w:val="18"/>
              </w:rPr>
            </w:pPr>
            <w:r>
              <w:rPr>
                <w:spacing w:val="-2"/>
                <w:sz w:val="18"/>
              </w:rPr>
              <w:t>302,707</w:t>
            </w:r>
          </w:p>
        </w:tc>
      </w:tr>
    </w:tbl>
    <w:p>
      <w:pPr>
        <w:pStyle w:val="BodyText"/>
        <w:spacing w:before="109"/>
      </w:pPr>
    </w:p>
    <w:p>
      <w:pPr>
        <w:pStyle w:val="BodyText"/>
        <w:spacing w:line="242" w:lineRule="auto" w:before="1"/>
        <w:ind w:left="144" w:right="118" w:firstLine="499"/>
        <w:jc w:val="both"/>
      </w:pPr>
      <w:r>
        <w:rPr>
          <w:b/>
        </w:rPr>
        <w:t>Cash and cash equivalents. </w:t>
      </w:r>
      <w:r>
        <w:rPr/>
        <w:t>Cash and cash equivalents include cash on hand, investments and interest-bearing instruments that are highly liquid with maturities of 90 days or less at the date of acquisition. Book overdraft balances resulting from the Company’s cash management program are recorded within “Accounts and construction payable.”</w:t>
      </w:r>
    </w:p>
    <w:p>
      <w:pPr>
        <w:pStyle w:val="BodyText"/>
        <w:spacing w:before="2"/>
      </w:pPr>
    </w:p>
    <w:p>
      <w:pPr>
        <w:pStyle w:val="BodyText"/>
        <w:spacing w:before="1"/>
        <w:ind w:left="144" w:right="118" w:firstLine="499"/>
        <w:jc w:val="both"/>
      </w:pPr>
      <w:r>
        <w:rPr>
          <w:b/>
        </w:rPr>
        <w:t>Restricted cash. </w:t>
      </w:r>
      <w:r>
        <w:rPr/>
        <w:t>Cash held in an escrow account related to the reverse termination fee that was contractually required to be prefunded for </w:t>
      </w:r>
      <w:r>
        <w:rPr/>
        <w:t>The Cosmopolitan acquisition </w:t>
      </w:r>
      <w:r>
        <w:rPr>
          <w:color w:val="202529"/>
        </w:rPr>
        <w:t>was reflected as “Restricted Cash” on the consolidated balance sheets as of December 31, 2021. “Restricted Cash” and “Cash and cash equivalents” on the consolidated balance sheets equal “Cash, cash equivalents, and restricted cash” on the consolidated statements of cash flows as of December 31, 2021. MGM China’s pledged cash of $124 million securing the bank guarantees discussed in Note 12 is restricted in use and classified within “Other long-term assets, net.” Such amount plus “Cash and cash equivalents” on the consolidated balance sheets equal “Cash, cash equivalents, and restricted cash” on the consolidated statements of cash flows as of December 31, 2022.</w:t>
      </w:r>
    </w:p>
    <w:p>
      <w:pPr>
        <w:pStyle w:val="BodyText"/>
        <w:spacing w:before="8"/>
      </w:pPr>
    </w:p>
    <w:p>
      <w:pPr>
        <w:pStyle w:val="BodyText"/>
        <w:spacing w:line="242" w:lineRule="auto" w:before="1"/>
        <w:ind w:left="144" w:right="118" w:firstLine="499"/>
        <w:jc w:val="both"/>
      </w:pPr>
      <w:r>
        <w:rPr>
          <w:b/>
        </w:rPr>
        <w:t>Accounts receivable and credit risk. </w:t>
      </w:r>
      <w:r>
        <w:rPr/>
        <w:t>Financial instruments that potentially subject the Company to concentrations of credit risk consist primarily of casino receivables. The Company issues credit following background checks and investigations of creditworthiness. At December 31, 2022 and 2021, approximately 52% and 53%, respectively, of the Company’s gross accounts receivable related to casino receivables.</w:t>
      </w:r>
    </w:p>
    <w:p>
      <w:pPr>
        <w:pStyle w:val="BodyText"/>
        <w:spacing w:before="2"/>
      </w:pPr>
    </w:p>
    <w:p>
      <w:pPr>
        <w:pStyle w:val="BodyText"/>
        <w:spacing w:line="242" w:lineRule="auto" w:before="1"/>
        <w:ind w:left="144" w:right="118" w:firstLine="499"/>
        <w:jc w:val="both"/>
      </w:pPr>
      <w:r>
        <w:rPr/>
        <w:t>Accounts receivable are typically non-interest bearing and are initially recorded at cost.</w:t>
      </w:r>
      <w:r>
        <w:rPr>
          <w:spacing w:val="-4"/>
        </w:rPr>
        <w:t> </w:t>
      </w:r>
      <w:r>
        <w:rPr/>
        <w:t>Accounts are written off when management deems the </w:t>
      </w:r>
      <w:r>
        <w:rPr/>
        <w:t>account</w:t>
      </w:r>
      <w:r>
        <w:rPr>
          <w:spacing w:val="40"/>
        </w:rPr>
        <w:t> </w:t>
      </w:r>
      <w:r>
        <w:rPr/>
        <w:t>to</w:t>
      </w:r>
      <w:r>
        <w:rPr>
          <w:spacing w:val="-2"/>
        </w:rPr>
        <w:t> </w:t>
      </w:r>
      <w:r>
        <w:rPr/>
        <w:t>be</w:t>
      </w:r>
      <w:r>
        <w:rPr>
          <w:spacing w:val="-2"/>
        </w:rPr>
        <w:t> </w:t>
      </w:r>
      <w:r>
        <w:rPr/>
        <w:t>uncollectible.</w:t>
      </w:r>
      <w:r>
        <w:rPr>
          <w:spacing w:val="-2"/>
        </w:rPr>
        <w:t> </w:t>
      </w:r>
      <w:r>
        <w:rPr/>
        <w:t>Recoveries</w:t>
      </w:r>
      <w:r>
        <w:rPr>
          <w:spacing w:val="-2"/>
        </w:rPr>
        <w:t> </w:t>
      </w:r>
      <w:r>
        <w:rPr/>
        <w:t>of</w:t>
      </w:r>
      <w:r>
        <w:rPr>
          <w:spacing w:val="-2"/>
        </w:rPr>
        <w:t> </w:t>
      </w:r>
      <w:r>
        <w:rPr/>
        <w:t>accounts</w:t>
      </w:r>
      <w:r>
        <w:rPr>
          <w:spacing w:val="-2"/>
        </w:rPr>
        <w:t> </w:t>
      </w:r>
      <w:r>
        <w:rPr/>
        <w:t>previously</w:t>
      </w:r>
      <w:r>
        <w:rPr>
          <w:spacing w:val="-2"/>
        </w:rPr>
        <w:t> </w:t>
      </w:r>
      <w:r>
        <w:rPr/>
        <w:t>written</w:t>
      </w:r>
      <w:r>
        <w:rPr>
          <w:spacing w:val="-2"/>
        </w:rPr>
        <w:t> </w:t>
      </w:r>
      <w:r>
        <w:rPr/>
        <w:t>off</w:t>
      </w:r>
      <w:r>
        <w:rPr>
          <w:spacing w:val="-2"/>
        </w:rPr>
        <w:t> </w:t>
      </w:r>
      <w:r>
        <w:rPr/>
        <w:t>are</w:t>
      </w:r>
      <w:r>
        <w:rPr>
          <w:spacing w:val="-2"/>
        </w:rPr>
        <w:t> </w:t>
      </w:r>
      <w:r>
        <w:rPr/>
        <w:t>recorded</w:t>
      </w:r>
      <w:r>
        <w:rPr>
          <w:spacing w:val="-2"/>
        </w:rPr>
        <w:t> </w:t>
      </w:r>
      <w:r>
        <w:rPr/>
        <w:t>when</w:t>
      </w:r>
      <w:r>
        <w:rPr>
          <w:spacing w:val="-2"/>
        </w:rPr>
        <w:t> </w:t>
      </w:r>
      <w:r>
        <w:rPr/>
        <w:t>received.</w:t>
      </w:r>
      <w:r>
        <w:rPr>
          <w:spacing w:val="-12"/>
        </w:rPr>
        <w:t> </w:t>
      </w:r>
      <w:r>
        <w:rPr/>
        <w:t>An</w:t>
      </w:r>
      <w:r>
        <w:rPr>
          <w:spacing w:val="-1"/>
        </w:rPr>
        <w:t> </w:t>
      </w:r>
      <w:r>
        <w:rPr/>
        <w:t>estimated</w:t>
      </w:r>
      <w:r>
        <w:rPr>
          <w:spacing w:val="-2"/>
        </w:rPr>
        <w:t> </w:t>
      </w:r>
      <w:r>
        <w:rPr/>
        <w:t>loss</w:t>
      </w:r>
      <w:r>
        <w:rPr>
          <w:spacing w:val="-2"/>
        </w:rPr>
        <w:t> </w:t>
      </w:r>
      <w:r>
        <w:rPr/>
        <w:t>reserve</w:t>
      </w:r>
      <w:r>
        <w:rPr>
          <w:spacing w:val="-2"/>
        </w:rPr>
        <w:t> </w:t>
      </w:r>
      <w:r>
        <w:rPr/>
        <w:t>is</w:t>
      </w:r>
      <w:r>
        <w:rPr>
          <w:spacing w:val="-2"/>
        </w:rPr>
        <w:t> </w:t>
      </w:r>
      <w:r>
        <w:rPr/>
        <w:t>maintained</w:t>
      </w:r>
      <w:r>
        <w:rPr>
          <w:spacing w:val="-2"/>
        </w:rPr>
        <w:t> </w:t>
      </w:r>
      <w:r>
        <w:rPr/>
        <w:t>to</w:t>
      </w:r>
      <w:r>
        <w:rPr>
          <w:spacing w:val="-2"/>
        </w:rPr>
        <w:t> </w:t>
      </w:r>
      <w:r>
        <w:rPr/>
        <w:t>reduce</w:t>
      </w:r>
      <w:r>
        <w:rPr>
          <w:spacing w:val="-2"/>
        </w:rPr>
        <w:t> </w:t>
      </w:r>
      <w:r>
        <w:rPr/>
        <w:t>the</w:t>
      </w:r>
      <w:r>
        <w:rPr>
          <w:spacing w:val="-2"/>
        </w:rPr>
        <w:t> </w:t>
      </w:r>
      <w:r>
        <w:rPr/>
        <w:t>Company’s receivables to their net carrying amount, which approximates fair value. The loss reserve is estimated based on both a specific review of customer accounts as well</w:t>
      </w:r>
      <w:r>
        <w:rPr>
          <w:spacing w:val="-1"/>
        </w:rPr>
        <w:t> </w:t>
      </w:r>
      <w:r>
        <w:rPr/>
        <w:t>as</w:t>
      </w:r>
      <w:r>
        <w:rPr>
          <w:spacing w:val="-1"/>
        </w:rPr>
        <w:t> </w:t>
      </w:r>
      <w:r>
        <w:rPr/>
        <w:t>historical</w:t>
      </w:r>
      <w:r>
        <w:rPr>
          <w:spacing w:val="-1"/>
        </w:rPr>
        <w:t> </w:t>
      </w:r>
      <w:r>
        <w:rPr/>
        <w:t>collection</w:t>
      </w:r>
      <w:r>
        <w:rPr>
          <w:spacing w:val="-1"/>
        </w:rPr>
        <w:t> </w:t>
      </w:r>
      <w:r>
        <w:rPr/>
        <w:t>experience</w:t>
      </w:r>
      <w:r>
        <w:rPr>
          <w:spacing w:val="-1"/>
        </w:rPr>
        <w:t> </w:t>
      </w:r>
      <w:r>
        <w:rPr/>
        <w:t>and</w:t>
      </w:r>
      <w:r>
        <w:rPr>
          <w:spacing w:val="-1"/>
        </w:rPr>
        <w:t> </w:t>
      </w:r>
      <w:r>
        <w:rPr/>
        <w:t>current</w:t>
      </w:r>
      <w:r>
        <w:rPr>
          <w:spacing w:val="-1"/>
        </w:rPr>
        <w:t> </w:t>
      </w:r>
      <w:r>
        <w:rPr/>
        <w:t>and</w:t>
      </w:r>
      <w:r>
        <w:rPr>
          <w:spacing w:val="-1"/>
        </w:rPr>
        <w:t> </w:t>
      </w:r>
      <w:r>
        <w:rPr/>
        <w:t>expected</w:t>
      </w:r>
      <w:r>
        <w:rPr>
          <w:spacing w:val="-1"/>
        </w:rPr>
        <w:t> </w:t>
      </w:r>
      <w:r>
        <w:rPr/>
        <w:t>future</w:t>
      </w:r>
      <w:r>
        <w:rPr>
          <w:spacing w:val="-1"/>
        </w:rPr>
        <w:t> </w:t>
      </w:r>
      <w:r>
        <w:rPr/>
        <w:t>economic</w:t>
      </w:r>
      <w:r>
        <w:rPr>
          <w:spacing w:val="-1"/>
        </w:rPr>
        <w:t> </w:t>
      </w:r>
      <w:r>
        <w:rPr/>
        <w:t>and</w:t>
      </w:r>
      <w:r>
        <w:rPr>
          <w:spacing w:val="-1"/>
        </w:rPr>
        <w:t> </w:t>
      </w:r>
      <w:r>
        <w:rPr/>
        <w:t>business</w:t>
      </w:r>
      <w:r>
        <w:rPr>
          <w:spacing w:val="-1"/>
        </w:rPr>
        <w:t> </w:t>
      </w:r>
      <w:r>
        <w:rPr/>
        <w:t>conditions.</w:t>
      </w:r>
      <w:r>
        <w:rPr>
          <w:spacing w:val="-1"/>
        </w:rPr>
        <w:t> </w:t>
      </w:r>
      <w:r>
        <w:rPr/>
        <w:t>Management</w:t>
      </w:r>
      <w:r>
        <w:rPr>
          <w:spacing w:val="-1"/>
        </w:rPr>
        <w:t> </w:t>
      </w:r>
      <w:r>
        <w:rPr/>
        <w:t>believes</w:t>
      </w:r>
      <w:r>
        <w:rPr>
          <w:spacing w:val="-1"/>
        </w:rPr>
        <w:t> </w:t>
      </w:r>
      <w:r>
        <w:rPr/>
        <w:t>that</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2022, no significant concentrations of credit risk existed for which a loss reserve had not already been recorded.</w:t>
      </w:r>
    </w:p>
    <w:p>
      <w:pPr>
        <w:pStyle w:val="BodyText"/>
        <w:spacing w:before="3"/>
      </w:pPr>
    </w:p>
    <w:p>
      <w:pPr>
        <w:pStyle w:val="BodyText"/>
        <w:spacing w:line="242" w:lineRule="auto"/>
        <w:ind w:left="144" w:right="118" w:firstLine="499"/>
        <w:jc w:val="both"/>
      </w:pPr>
      <w:r>
        <w:rPr>
          <w:b/>
        </w:rPr>
        <w:t>Inventories. </w:t>
      </w:r>
      <w:r>
        <w:rPr/>
        <w:t>Inventories consist primarily of food and beverage, retail merchandise and operating supplies, and are stated at the lower of cost or </w:t>
      </w:r>
      <w:r>
        <w:rPr/>
        <w:t>net realizable value. Cost is determined primarily using the average cost method for food and beverage and operating supplies. Cost for retail merchandise is determined using the cost method.</w:t>
      </w:r>
    </w:p>
    <w:p>
      <w:pPr>
        <w:pStyle w:val="BodyText"/>
        <w:spacing w:before="2"/>
      </w:pPr>
    </w:p>
    <w:p>
      <w:pPr>
        <w:pStyle w:val="BodyText"/>
        <w:spacing w:line="242" w:lineRule="auto" w:before="1"/>
        <w:ind w:left="144" w:right="118" w:firstLine="499"/>
        <w:jc w:val="both"/>
      </w:pPr>
      <w:r>
        <w:rPr>
          <w:b/>
        </w:rPr>
        <w:t>Property and equipment. </w:t>
      </w:r>
      <w:r>
        <w:rPr/>
        <w:t>Property and equipment are stated at cost. A significant amount of the Company’s property and equipment was </w:t>
      </w:r>
      <w:r>
        <w:rPr/>
        <w:t>acquired through business combinations and therefore recognized at fair value at the acquisition date. Gains or losses on dispositions of property and equipment are included in the determination of income or loss. Maintenance costs are expensed as incurred.</w:t>
      </w:r>
    </w:p>
    <w:p>
      <w:pPr>
        <w:pStyle w:val="BodyText"/>
      </w:pPr>
    </w:p>
    <w:p>
      <w:pPr>
        <w:pStyle w:val="BodyText"/>
      </w:pPr>
    </w:p>
    <w:p>
      <w:pPr>
        <w:pStyle w:val="BodyText"/>
        <w:spacing w:before="196"/>
      </w:pPr>
    </w:p>
    <w:p>
      <w:pPr>
        <w:pStyle w:val="BodyText"/>
        <w:ind w:left="24"/>
        <w:jc w:val="center"/>
      </w:pPr>
      <w:r>
        <w:rPr>
          <w:spacing w:val="-5"/>
        </w:rPr>
        <w:t>66</w:t>
      </w:r>
    </w:p>
    <w:p>
      <w:pPr>
        <w:pStyle w:val="BodyText"/>
        <w:spacing w:before="3"/>
        <w:rPr>
          <w:sz w:val="6"/>
        </w:rPr>
      </w:pPr>
      <w:r>
        <w:rPr/>
        <mc:AlternateContent>
          <mc:Choice Requires="wps">
            <w:drawing>
              <wp:anchor distT="0" distB="0" distL="0" distR="0" allowOverlap="1" layoutInCell="1" locked="0" behindDoc="1" simplePos="0" relativeHeight="487657984">
                <wp:simplePos x="0" y="0"/>
                <wp:positionH relativeFrom="page">
                  <wp:posOffset>231457</wp:posOffset>
                </wp:positionH>
                <wp:positionV relativeFrom="paragraph">
                  <wp:posOffset>60956</wp:posOffset>
                </wp:positionV>
                <wp:extent cx="7312659" cy="17145"/>
                <wp:effectExtent l="0" t="0" r="0" b="0"/>
                <wp:wrapTopAndBottom/>
                <wp:docPr id="372" name="Group 372"/>
                <wp:cNvGraphicFramePr>
                  <a:graphicFrameLocks/>
                </wp:cNvGraphicFramePr>
                <a:graphic>
                  <a:graphicData uri="http://schemas.microsoft.com/office/word/2010/wordprocessingGroup">
                    <wpg:wgp>
                      <wpg:cNvPr id="372" name="Group 372"/>
                      <wpg:cNvGrpSpPr/>
                      <wpg:grpSpPr>
                        <a:xfrm>
                          <a:off x="0" y="0"/>
                          <a:ext cx="7312659" cy="17145"/>
                          <a:chExt cx="7312659" cy="17145"/>
                        </a:xfrm>
                      </wpg:grpSpPr>
                      <wps:wsp>
                        <wps:cNvPr id="373" name="Graphic 37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74" name="Graphic 374"/>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75" name="Graphic 37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8496;mso-wrap-distance-left:0;mso-wrap-distance-right:0" id="docshapegroup370" coordorigin="364,96" coordsize="11516,27">
                <v:rect style="position:absolute;left:364;top:96;width:11516;height:14" id="docshape371" filled="true" fillcolor="#999999" stroked="false">
                  <v:fill type="solid"/>
                </v:rect>
                <v:shape style="position:absolute;left:364;top:95;width:11516;height:27" id="docshape372" coordorigin="364,96" coordsize="11516,27" path="m11880,96l11866,109,364,109,364,123,11866,123,11880,123,11880,109,11880,96xe" filled="true" fillcolor="#ededed" stroked="false">
                  <v:path arrowok="t"/>
                  <v:fill type="solid"/>
                </v:shape>
                <v:shape style="position:absolute;left:364;top:96;width:14;height:27" id="docshape37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500" w:bottom="280" w:left="220" w:right="240"/>
        </w:sectPr>
      </w:pPr>
    </w:p>
    <w:p>
      <w:pPr>
        <w:pStyle w:val="BodyText"/>
        <w:spacing w:before="69"/>
        <w:ind w:left="644"/>
      </w:pPr>
      <w:r>
        <w:rPr/>
        <w:t>Property</w:t>
      </w:r>
      <w:r>
        <w:rPr>
          <w:spacing w:val="-1"/>
        </w:rPr>
        <w:t> </w:t>
      </w:r>
      <w:r>
        <w:rPr/>
        <w:t>and</w:t>
      </w:r>
      <w:r>
        <w:rPr>
          <w:spacing w:val="-1"/>
        </w:rPr>
        <w:t> </w:t>
      </w:r>
      <w:r>
        <w:rPr/>
        <w:t>equipment</w:t>
      </w:r>
      <w:r>
        <w:rPr>
          <w:spacing w:val="-1"/>
        </w:rPr>
        <w:t> </w:t>
      </w:r>
      <w:r>
        <w:rPr/>
        <w:t>are</w:t>
      </w:r>
      <w:r>
        <w:rPr>
          <w:spacing w:val="-1"/>
        </w:rPr>
        <w:t> </w:t>
      </w:r>
      <w:r>
        <w:rPr/>
        <w:t>generally</w:t>
      </w:r>
      <w:r>
        <w:rPr>
          <w:spacing w:val="-1"/>
        </w:rPr>
        <w:t> </w:t>
      </w:r>
      <w:r>
        <w:rPr/>
        <w:t>depreciated</w:t>
      </w:r>
      <w:r>
        <w:rPr>
          <w:spacing w:val="-1"/>
        </w:rPr>
        <w:t> </w:t>
      </w:r>
      <w:r>
        <w:rPr/>
        <w:t>over</w:t>
      </w:r>
      <w:r>
        <w:rPr>
          <w:spacing w:val="-1"/>
        </w:rPr>
        <w:t> </w:t>
      </w:r>
      <w:r>
        <w:rPr/>
        <w:t>the</w:t>
      </w:r>
      <w:r>
        <w:rPr>
          <w:spacing w:val="-1"/>
        </w:rPr>
        <w:t> </w:t>
      </w:r>
      <w:r>
        <w:rPr/>
        <w:t>following</w:t>
      </w:r>
      <w:r>
        <w:rPr>
          <w:spacing w:val="-1"/>
        </w:rPr>
        <w:t> </w:t>
      </w:r>
      <w:r>
        <w:rPr/>
        <w:t>estimated</w:t>
      </w:r>
      <w:r>
        <w:rPr>
          <w:spacing w:val="-1"/>
        </w:rPr>
        <w:t> </w:t>
      </w:r>
      <w:r>
        <w:rPr/>
        <w:t>useful</w:t>
      </w:r>
      <w:r>
        <w:rPr>
          <w:spacing w:val="-1"/>
        </w:rPr>
        <w:t> </w:t>
      </w:r>
      <w:r>
        <w:rPr/>
        <w:t>lives</w:t>
      </w:r>
      <w:r>
        <w:rPr>
          <w:spacing w:val="-1"/>
        </w:rPr>
        <w:t> </w:t>
      </w:r>
      <w:r>
        <w:rPr/>
        <w:t>on</w:t>
      </w:r>
      <w:r>
        <w:rPr>
          <w:spacing w:val="-1"/>
        </w:rPr>
        <w:t> </w:t>
      </w:r>
      <w:r>
        <w:rPr/>
        <w:t>a</w:t>
      </w:r>
      <w:r>
        <w:rPr>
          <w:spacing w:val="-1"/>
        </w:rPr>
        <w:t> </w:t>
      </w:r>
      <w:r>
        <w:rPr/>
        <w:t>straight-line</w:t>
      </w:r>
      <w:r>
        <w:rPr>
          <w:spacing w:val="-1"/>
        </w:rPr>
        <w:t> </w:t>
      </w:r>
      <w:r>
        <w:rPr>
          <w:spacing w:val="-2"/>
        </w:rPr>
        <w:t>basis:</w:t>
      </w:r>
    </w:p>
    <w:p>
      <w:pPr>
        <w:pStyle w:val="BodyText"/>
        <w:spacing w:before="4"/>
        <w:rPr>
          <w:sz w:val="20"/>
        </w:rPr>
      </w:pPr>
      <w:r>
        <w:rPr/>
        <mc:AlternateContent>
          <mc:Choice Requires="wps">
            <w:drawing>
              <wp:anchor distT="0" distB="0" distL="0" distR="0" allowOverlap="1" layoutInCell="1" locked="0" behindDoc="1" simplePos="0" relativeHeight="487658496">
                <wp:simplePos x="0" y="0"/>
                <wp:positionH relativeFrom="page">
                  <wp:posOffset>240029</wp:posOffset>
                </wp:positionH>
                <wp:positionV relativeFrom="paragraph">
                  <wp:posOffset>164181</wp:posOffset>
                </wp:positionV>
                <wp:extent cx="7295515" cy="163195"/>
                <wp:effectExtent l="0" t="0" r="0" b="0"/>
                <wp:wrapTopAndBottom/>
                <wp:docPr id="376" name="Textbox 376"/>
                <wp:cNvGraphicFramePr>
                  <a:graphicFrameLocks/>
                </wp:cNvGraphicFramePr>
                <a:graphic>
                  <a:graphicData uri="http://schemas.microsoft.com/office/word/2010/wordprocessingShape">
                    <wps:wsp>
                      <wps:cNvPr id="376" name="Textbox 376"/>
                      <wps:cNvSpPr txBox="1"/>
                      <wps:spPr>
                        <a:xfrm>
                          <a:off x="0" y="0"/>
                          <a:ext cx="7295515" cy="163195"/>
                        </a:xfrm>
                        <a:prstGeom prst="rect">
                          <a:avLst/>
                        </a:prstGeom>
                        <a:solidFill>
                          <a:srgbClr val="CFF0FB"/>
                        </a:solidFill>
                      </wps:spPr>
                      <wps:txbx>
                        <w:txbxContent>
                          <w:p>
                            <w:pPr>
                              <w:pStyle w:val="BodyText"/>
                              <w:tabs>
                                <w:tab w:pos="10460" w:val="left" w:leader="none"/>
                              </w:tabs>
                              <w:spacing w:before="21"/>
                              <w:ind w:left="13"/>
                              <w:rPr>
                                <w:color w:val="000000"/>
                              </w:rPr>
                            </w:pPr>
                            <w:r>
                              <w:rPr>
                                <w:color w:val="000000"/>
                              </w:rPr>
                              <w:t>Buildings</w:t>
                            </w:r>
                            <w:r>
                              <w:rPr>
                                <w:color w:val="000000"/>
                                <w:spacing w:val="-1"/>
                              </w:rPr>
                              <w:t> </w:t>
                            </w:r>
                            <w:r>
                              <w:rPr>
                                <w:color w:val="000000"/>
                              </w:rPr>
                              <w:t>and</w:t>
                            </w:r>
                            <w:r>
                              <w:rPr>
                                <w:color w:val="000000"/>
                                <w:spacing w:val="-1"/>
                              </w:rPr>
                              <w:t> </w:t>
                            </w:r>
                            <w:r>
                              <w:rPr>
                                <w:color w:val="000000"/>
                                <w:spacing w:val="-2"/>
                              </w:rPr>
                              <w:t>improvements</w:t>
                            </w:r>
                            <w:r>
                              <w:rPr>
                                <w:color w:val="000000"/>
                              </w:rPr>
                              <w:tab/>
                              <w:t>15</w:t>
                            </w:r>
                            <w:r>
                              <w:rPr>
                                <w:color w:val="000000"/>
                                <w:spacing w:val="-1"/>
                              </w:rPr>
                              <w:t> </w:t>
                            </w:r>
                            <w:r>
                              <w:rPr>
                                <w:color w:val="000000"/>
                              </w:rPr>
                              <w:t>to</w:t>
                            </w:r>
                            <w:r>
                              <w:rPr>
                                <w:color w:val="000000"/>
                                <w:spacing w:val="-1"/>
                              </w:rPr>
                              <w:t> </w:t>
                            </w:r>
                            <w:r>
                              <w:rPr>
                                <w:color w:val="000000"/>
                              </w:rPr>
                              <w:t>40</w:t>
                            </w:r>
                            <w:r>
                              <w:rPr>
                                <w:color w:val="000000"/>
                                <w:spacing w:val="-1"/>
                              </w:rPr>
                              <w:t> </w:t>
                            </w:r>
                            <w:r>
                              <w:rPr>
                                <w:color w:val="000000"/>
                                <w:spacing w:val="-2"/>
                              </w:rPr>
                              <w:t>years</w:t>
                            </w:r>
                          </w:p>
                        </w:txbxContent>
                      </wps:txbx>
                      <wps:bodyPr wrap="square" lIns="0" tIns="0" rIns="0" bIns="0" rtlCol="0">
                        <a:noAutofit/>
                      </wps:bodyPr>
                    </wps:wsp>
                  </a:graphicData>
                </a:graphic>
              </wp:anchor>
            </w:drawing>
          </mc:Choice>
          <mc:Fallback>
            <w:pict>
              <v:shape style="position:absolute;margin-left:18.899998pt;margin-top:12.927699pt;width:574.450pt;height:12.85pt;mso-position-horizontal-relative:page;mso-position-vertical-relative:paragraph;z-index:-15657984;mso-wrap-distance-left:0;mso-wrap-distance-right:0" type="#_x0000_t202" id="docshape374" filled="true" fillcolor="#cff0fb" stroked="false">
                <v:textbox inset="0,0,0,0">
                  <w:txbxContent>
                    <w:p>
                      <w:pPr>
                        <w:pStyle w:val="BodyText"/>
                        <w:tabs>
                          <w:tab w:pos="10460" w:val="left" w:leader="none"/>
                        </w:tabs>
                        <w:spacing w:before="21"/>
                        <w:ind w:left="13"/>
                        <w:rPr>
                          <w:color w:val="000000"/>
                        </w:rPr>
                      </w:pPr>
                      <w:r>
                        <w:rPr>
                          <w:color w:val="000000"/>
                        </w:rPr>
                        <w:t>Buildings</w:t>
                      </w:r>
                      <w:r>
                        <w:rPr>
                          <w:color w:val="000000"/>
                          <w:spacing w:val="-1"/>
                        </w:rPr>
                        <w:t> </w:t>
                      </w:r>
                      <w:r>
                        <w:rPr>
                          <w:color w:val="000000"/>
                        </w:rPr>
                        <w:t>and</w:t>
                      </w:r>
                      <w:r>
                        <w:rPr>
                          <w:color w:val="000000"/>
                          <w:spacing w:val="-1"/>
                        </w:rPr>
                        <w:t> </w:t>
                      </w:r>
                      <w:r>
                        <w:rPr>
                          <w:color w:val="000000"/>
                          <w:spacing w:val="-2"/>
                        </w:rPr>
                        <w:t>improvements</w:t>
                      </w:r>
                      <w:r>
                        <w:rPr>
                          <w:color w:val="000000"/>
                        </w:rPr>
                        <w:tab/>
                        <w:t>15</w:t>
                      </w:r>
                      <w:r>
                        <w:rPr>
                          <w:color w:val="000000"/>
                          <w:spacing w:val="-1"/>
                        </w:rPr>
                        <w:t> </w:t>
                      </w:r>
                      <w:r>
                        <w:rPr>
                          <w:color w:val="000000"/>
                        </w:rPr>
                        <w:t>to</w:t>
                      </w:r>
                      <w:r>
                        <w:rPr>
                          <w:color w:val="000000"/>
                          <w:spacing w:val="-1"/>
                        </w:rPr>
                        <w:t> </w:t>
                      </w:r>
                      <w:r>
                        <w:rPr>
                          <w:color w:val="000000"/>
                        </w:rPr>
                        <w:t>40</w:t>
                      </w:r>
                      <w:r>
                        <w:rPr>
                          <w:color w:val="000000"/>
                          <w:spacing w:val="-1"/>
                        </w:rPr>
                        <w:t> </w:t>
                      </w:r>
                      <w:r>
                        <w:rPr>
                          <w:color w:val="000000"/>
                          <w:spacing w:val="-2"/>
                        </w:rPr>
                        <w:t>years</w:t>
                      </w:r>
                    </w:p>
                  </w:txbxContent>
                </v:textbox>
                <v:fill type="solid"/>
                <w10:wrap type="topAndBottom"/>
              </v:shape>
            </w:pict>
          </mc:Fallback>
        </mc:AlternateContent>
      </w:r>
    </w:p>
    <w:p>
      <w:pPr>
        <w:pStyle w:val="BodyText"/>
        <w:tabs>
          <w:tab w:pos="10618" w:val="left" w:leader="none"/>
        </w:tabs>
        <w:spacing w:before="21" w:after="29"/>
        <w:ind w:left="171"/>
      </w:pPr>
      <w:r>
        <w:rPr/>
        <w:t>Land</w:t>
      </w:r>
      <w:r>
        <w:rPr>
          <w:spacing w:val="-1"/>
        </w:rPr>
        <w:t> </w:t>
      </w:r>
      <w:r>
        <w:rPr>
          <w:spacing w:val="-2"/>
        </w:rPr>
        <w:t>improvements</w:t>
      </w:r>
      <w:r>
        <w:rPr/>
        <w:tab/>
        <w:t>10</w:t>
      </w:r>
      <w:r>
        <w:rPr>
          <w:spacing w:val="-1"/>
        </w:rPr>
        <w:t> </w:t>
      </w:r>
      <w:r>
        <w:rPr/>
        <w:t>to</w:t>
      </w:r>
      <w:r>
        <w:rPr>
          <w:spacing w:val="-1"/>
        </w:rPr>
        <w:t> </w:t>
      </w:r>
      <w:r>
        <w:rPr/>
        <w:t>20</w:t>
      </w:r>
      <w:r>
        <w:rPr>
          <w:spacing w:val="-1"/>
        </w:rPr>
        <w:t> </w:t>
      </w:r>
      <w:r>
        <w:rPr>
          <w:spacing w:val="-2"/>
        </w:rPr>
        <w:t>years</w:t>
      </w:r>
    </w:p>
    <w:p>
      <w:pPr>
        <w:pStyle w:val="BodyText"/>
        <w:ind w:left="158"/>
        <w:rPr>
          <w:sz w:val="20"/>
        </w:rPr>
      </w:pPr>
      <w:r>
        <w:rPr>
          <w:sz w:val="20"/>
        </w:rPr>
        <mc:AlternateContent>
          <mc:Choice Requires="wps">
            <w:drawing>
              <wp:inline distT="0" distB="0" distL="0" distR="0">
                <wp:extent cx="7295515" cy="163195"/>
                <wp:effectExtent l="0" t="0" r="0" b="0"/>
                <wp:docPr id="377" name="Textbox 377"/>
                <wp:cNvGraphicFramePr>
                  <a:graphicFrameLocks/>
                </wp:cNvGraphicFramePr>
                <a:graphic>
                  <a:graphicData uri="http://schemas.microsoft.com/office/word/2010/wordprocessingShape">
                    <wps:wsp>
                      <wps:cNvPr id="377" name="Textbox 377"/>
                      <wps:cNvSpPr txBox="1"/>
                      <wps:spPr>
                        <a:xfrm>
                          <a:off x="0" y="0"/>
                          <a:ext cx="7295515" cy="163195"/>
                        </a:xfrm>
                        <a:prstGeom prst="rect">
                          <a:avLst/>
                        </a:prstGeom>
                        <a:solidFill>
                          <a:srgbClr val="CFF0FB"/>
                        </a:solidFill>
                      </wps:spPr>
                      <wps:txbx>
                        <w:txbxContent>
                          <w:p>
                            <w:pPr>
                              <w:pStyle w:val="BodyText"/>
                              <w:tabs>
                                <w:tab w:pos="10550" w:val="left" w:leader="none"/>
                              </w:tabs>
                              <w:spacing w:before="21"/>
                              <w:ind w:left="13"/>
                              <w:rPr>
                                <w:color w:val="000000"/>
                              </w:rPr>
                            </w:pPr>
                            <w:r>
                              <w:rPr>
                                <w:color w:val="000000"/>
                              </w:rPr>
                              <w:t>Furniture</w:t>
                            </w:r>
                            <w:r>
                              <w:rPr>
                                <w:color w:val="000000"/>
                                <w:spacing w:val="-1"/>
                              </w:rPr>
                              <w:t> </w:t>
                            </w:r>
                            <w:r>
                              <w:rPr>
                                <w:color w:val="000000"/>
                              </w:rPr>
                              <w:t>and</w:t>
                            </w:r>
                            <w:r>
                              <w:rPr>
                                <w:color w:val="000000"/>
                                <w:spacing w:val="-1"/>
                              </w:rPr>
                              <w:t> </w:t>
                            </w:r>
                            <w:r>
                              <w:rPr>
                                <w:color w:val="000000"/>
                                <w:spacing w:val="-2"/>
                              </w:rPr>
                              <w:t>fixtures</w:t>
                            </w:r>
                            <w:r>
                              <w:rPr>
                                <w:color w:val="000000"/>
                              </w:rPr>
                              <w:tab/>
                              <w:t>3</w:t>
                            </w:r>
                            <w:r>
                              <w:rPr>
                                <w:color w:val="000000"/>
                                <w:spacing w:val="-1"/>
                              </w:rPr>
                              <w:t> </w:t>
                            </w:r>
                            <w:r>
                              <w:rPr>
                                <w:color w:val="000000"/>
                              </w:rPr>
                              <w:t>to</w:t>
                            </w:r>
                            <w:r>
                              <w:rPr>
                                <w:color w:val="000000"/>
                                <w:spacing w:val="-1"/>
                              </w:rPr>
                              <w:t> </w:t>
                            </w:r>
                            <w:r>
                              <w:rPr>
                                <w:color w:val="000000"/>
                              </w:rPr>
                              <w:t>20</w:t>
                            </w:r>
                            <w:r>
                              <w:rPr>
                                <w:color w:val="000000"/>
                                <w:spacing w:val="-1"/>
                              </w:rPr>
                              <w:t> </w:t>
                            </w:r>
                            <w:r>
                              <w:rPr>
                                <w:color w:val="000000"/>
                                <w:spacing w:val="-2"/>
                              </w:rPr>
                              <w:t>years</w:t>
                            </w:r>
                          </w:p>
                        </w:txbxContent>
                      </wps:txbx>
                      <wps:bodyPr wrap="square" lIns="0" tIns="0" rIns="0" bIns="0" rtlCol="0">
                        <a:noAutofit/>
                      </wps:bodyPr>
                    </wps:wsp>
                  </a:graphicData>
                </a:graphic>
              </wp:inline>
            </w:drawing>
          </mc:Choice>
          <mc:Fallback>
            <w:pict>
              <v:shape style="width:574.450pt;height:12.85pt;mso-position-horizontal-relative:char;mso-position-vertical-relative:line" type="#_x0000_t202" id="docshape375" filled="true" fillcolor="#cff0fb" stroked="false">
                <w10:anchorlock/>
                <v:textbox inset="0,0,0,0">
                  <w:txbxContent>
                    <w:p>
                      <w:pPr>
                        <w:pStyle w:val="BodyText"/>
                        <w:tabs>
                          <w:tab w:pos="10550" w:val="left" w:leader="none"/>
                        </w:tabs>
                        <w:spacing w:before="21"/>
                        <w:ind w:left="13"/>
                        <w:rPr>
                          <w:color w:val="000000"/>
                        </w:rPr>
                      </w:pPr>
                      <w:r>
                        <w:rPr>
                          <w:color w:val="000000"/>
                        </w:rPr>
                        <w:t>Furniture</w:t>
                      </w:r>
                      <w:r>
                        <w:rPr>
                          <w:color w:val="000000"/>
                          <w:spacing w:val="-1"/>
                        </w:rPr>
                        <w:t> </w:t>
                      </w:r>
                      <w:r>
                        <w:rPr>
                          <w:color w:val="000000"/>
                        </w:rPr>
                        <w:t>and</w:t>
                      </w:r>
                      <w:r>
                        <w:rPr>
                          <w:color w:val="000000"/>
                          <w:spacing w:val="-1"/>
                        </w:rPr>
                        <w:t> </w:t>
                      </w:r>
                      <w:r>
                        <w:rPr>
                          <w:color w:val="000000"/>
                          <w:spacing w:val="-2"/>
                        </w:rPr>
                        <w:t>fixtures</w:t>
                      </w:r>
                      <w:r>
                        <w:rPr>
                          <w:color w:val="000000"/>
                        </w:rPr>
                        <w:tab/>
                        <w:t>3</w:t>
                      </w:r>
                      <w:r>
                        <w:rPr>
                          <w:color w:val="000000"/>
                          <w:spacing w:val="-1"/>
                        </w:rPr>
                        <w:t> </w:t>
                      </w:r>
                      <w:r>
                        <w:rPr>
                          <w:color w:val="000000"/>
                        </w:rPr>
                        <w:t>to</w:t>
                      </w:r>
                      <w:r>
                        <w:rPr>
                          <w:color w:val="000000"/>
                          <w:spacing w:val="-1"/>
                        </w:rPr>
                        <w:t> </w:t>
                      </w:r>
                      <w:r>
                        <w:rPr>
                          <w:color w:val="000000"/>
                        </w:rPr>
                        <w:t>20</w:t>
                      </w:r>
                      <w:r>
                        <w:rPr>
                          <w:color w:val="000000"/>
                          <w:spacing w:val="-1"/>
                        </w:rPr>
                        <w:t> </w:t>
                      </w:r>
                      <w:r>
                        <w:rPr>
                          <w:color w:val="000000"/>
                          <w:spacing w:val="-2"/>
                        </w:rPr>
                        <w:t>years</w:t>
                      </w:r>
                    </w:p>
                  </w:txbxContent>
                </v:textbox>
                <v:fill type="solid"/>
              </v:shape>
            </w:pict>
          </mc:Fallback>
        </mc:AlternateContent>
      </w:r>
      <w:r>
        <w:rPr>
          <w:sz w:val="20"/>
        </w:rPr>
      </w:r>
    </w:p>
    <w:p>
      <w:pPr>
        <w:pStyle w:val="BodyText"/>
        <w:tabs>
          <w:tab w:pos="10561" w:val="left" w:leader="none"/>
        </w:tabs>
        <w:ind w:left="24"/>
        <w:jc w:val="center"/>
      </w:pPr>
      <w:r>
        <w:rPr>
          <w:spacing w:val="-2"/>
        </w:rPr>
        <w:t>Equipment</w:t>
      </w:r>
      <w:r>
        <w:rPr/>
        <w:tab/>
        <w:t>3</w:t>
      </w:r>
      <w:r>
        <w:rPr>
          <w:spacing w:val="-1"/>
        </w:rPr>
        <w:t> </w:t>
      </w:r>
      <w:r>
        <w:rPr/>
        <w:t>to</w:t>
      </w:r>
      <w:r>
        <w:rPr>
          <w:spacing w:val="-1"/>
        </w:rPr>
        <w:t> </w:t>
      </w:r>
      <w:r>
        <w:rPr/>
        <w:t>15</w:t>
      </w:r>
      <w:r>
        <w:rPr>
          <w:spacing w:val="-1"/>
        </w:rPr>
        <w:t> </w:t>
      </w:r>
      <w:r>
        <w:rPr>
          <w:spacing w:val="-2"/>
        </w:rPr>
        <w:t>years</w:t>
      </w:r>
    </w:p>
    <w:p>
      <w:pPr>
        <w:pStyle w:val="BodyText"/>
        <w:spacing w:before="118"/>
      </w:pPr>
    </w:p>
    <w:p>
      <w:pPr>
        <w:pStyle w:val="BodyText"/>
        <w:ind w:left="144" w:right="118" w:firstLine="499"/>
        <w:jc w:val="both"/>
      </w:pPr>
      <w:r>
        <w:rPr/>
        <w:t>The Company evaluates its property and equipment and other long-lived assets for impairment based on its classification as held for sale or to be held and used. Several criteria must be met before an asset is classified as held for sale, including that management with the appropriate authority commits to a plan to</w:t>
      </w:r>
      <w:r>
        <w:rPr>
          <w:spacing w:val="-1"/>
        </w:rPr>
        <w:t> </w:t>
      </w:r>
      <w:r>
        <w:rPr/>
        <w:t>sell</w:t>
      </w:r>
      <w:r>
        <w:rPr>
          <w:spacing w:val="-1"/>
        </w:rPr>
        <w:t> </w:t>
      </w:r>
      <w:r>
        <w:rPr/>
        <w:t>the</w:t>
      </w:r>
      <w:r>
        <w:rPr>
          <w:spacing w:val="-1"/>
        </w:rPr>
        <w:t> </w:t>
      </w:r>
      <w:r>
        <w:rPr/>
        <w:t>asset</w:t>
      </w:r>
      <w:r>
        <w:rPr>
          <w:spacing w:val="-1"/>
        </w:rPr>
        <w:t> </w:t>
      </w:r>
      <w:r>
        <w:rPr/>
        <w:t>at</w:t>
      </w:r>
      <w:r>
        <w:rPr>
          <w:spacing w:val="-1"/>
        </w:rPr>
        <w:t> </w:t>
      </w:r>
      <w:r>
        <w:rPr/>
        <w:t>a</w:t>
      </w:r>
      <w:r>
        <w:rPr>
          <w:spacing w:val="-1"/>
        </w:rPr>
        <w:t> </w:t>
      </w:r>
      <w:r>
        <w:rPr/>
        <w:t>reasonable</w:t>
      </w:r>
      <w:r>
        <w:rPr>
          <w:spacing w:val="-1"/>
        </w:rPr>
        <w:t> </w:t>
      </w:r>
      <w:r>
        <w:rPr/>
        <w:t>price</w:t>
      </w:r>
      <w:r>
        <w:rPr>
          <w:spacing w:val="-1"/>
        </w:rPr>
        <w:t> </w:t>
      </w:r>
      <w:r>
        <w:rPr/>
        <w:t>in</w:t>
      </w:r>
      <w:r>
        <w:rPr>
          <w:spacing w:val="-1"/>
        </w:rPr>
        <w:t> </w:t>
      </w:r>
      <w:r>
        <w:rPr/>
        <w:t>relation</w:t>
      </w:r>
      <w:r>
        <w:rPr>
          <w:spacing w:val="-1"/>
        </w:rPr>
        <w:t> </w:t>
      </w:r>
      <w:r>
        <w:rPr/>
        <w:t>to</w:t>
      </w:r>
      <w:r>
        <w:rPr>
          <w:spacing w:val="-1"/>
        </w:rPr>
        <w:t> </w:t>
      </w:r>
      <w:r>
        <w:rPr/>
        <w:t>its</w:t>
      </w:r>
      <w:r>
        <w:rPr>
          <w:spacing w:val="-1"/>
        </w:rPr>
        <w:t> </w:t>
      </w:r>
      <w:r>
        <w:rPr/>
        <w:t>fair</w:t>
      </w:r>
      <w:r>
        <w:rPr>
          <w:spacing w:val="-1"/>
        </w:rPr>
        <w:t> </w:t>
      </w:r>
      <w:r>
        <w:rPr/>
        <w:t>value</w:t>
      </w:r>
      <w:r>
        <w:rPr>
          <w:spacing w:val="-1"/>
        </w:rPr>
        <w:t> </w:t>
      </w:r>
      <w:r>
        <w:rPr/>
        <w:t>and</w:t>
      </w:r>
      <w:r>
        <w:rPr>
          <w:spacing w:val="-1"/>
        </w:rPr>
        <w:t> </w:t>
      </w:r>
      <w:r>
        <w:rPr/>
        <w:t>is</w:t>
      </w:r>
      <w:r>
        <w:rPr>
          <w:spacing w:val="-1"/>
        </w:rPr>
        <w:t> </w:t>
      </w:r>
      <w:r>
        <w:rPr/>
        <w:t>actively</w:t>
      </w:r>
      <w:r>
        <w:rPr>
          <w:spacing w:val="-1"/>
        </w:rPr>
        <w:t> </w:t>
      </w:r>
      <w:r>
        <w:rPr/>
        <w:t>seeking</w:t>
      </w:r>
      <w:r>
        <w:rPr>
          <w:spacing w:val="-1"/>
        </w:rPr>
        <w:t> </w:t>
      </w:r>
      <w:r>
        <w:rPr/>
        <w:t>a</w:t>
      </w:r>
      <w:r>
        <w:rPr>
          <w:spacing w:val="-1"/>
        </w:rPr>
        <w:t> </w:t>
      </w:r>
      <w:r>
        <w:rPr/>
        <w:t>buyer.</w:t>
      </w:r>
      <w:r>
        <w:rPr>
          <w:spacing w:val="-1"/>
        </w:rPr>
        <w:t> </w:t>
      </w:r>
      <w:r>
        <w:rPr/>
        <w:t>For</w:t>
      </w:r>
      <w:r>
        <w:rPr>
          <w:spacing w:val="-1"/>
        </w:rPr>
        <w:t> </w:t>
      </w:r>
      <w:r>
        <w:rPr/>
        <w:t>assets</w:t>
      </w:r>
      <w:r>
        <w:rPr>
          <w:spacing w:val="-1"/>
        </w:rPr>
        <w:t> </w:t>
      </w:r>
      <w:r>
        <w:rPr/>
        <w:t>held</w:t>
      </w:r>
      <w:r>
        <w:rPr>
          <w:spacing w:val="-1"/>
        </w:rPr>
        <w:t> </w:t>
      </w:r>
      <w:r>
        <w:rPr/>
        <w:t>for</w:t>
      </w:r>
      <w:r>
        <w:rPr>
          <w:spacing w:val="-1"/>
        </w:rPr>
        <w:t> </w:t>
      </w:r>
      <w:r>
        <w:rPr/>
        <w:t>sale,</w:t>
      </w:r>
      <w:r>
        <w:rPr>
          <w:spacing w:val="-1"/>
        </w:rPr>
        <w:t> </w:t>
      </w:r>
      <w:r>
        <w:rPr/>
        <w:t>the</w:t>
      </w:r>
      <w:r>
        <w:rPr>
          <w:spacing w:val="-1"/>
        </w:rPr>
        <w:t> </w:t>
      </w:r>
      <w:r>
        <w:rPr/>
        <w:t>Company</w:t>
      </w:r>
      <w:r>
        <w:rPr>
          <w:spacing w:val="-1"/>
        </w:rPr>
        <w:t> </w:t>
      </w:r>
      <w:r>
        <w:rPr/>
        <w:t>recognizes</w:t>
      </w:r>
      <w:r>
        <w:rPr>
          <w:spacing w:val="-1"/>
        </w:rPr>
        <w:t> </w:t>
      </w:r>
      <w:r>
        <w:rPr/>
        <w:t>the</w:t>
      </w:r>
      <w:r>
        <w:rPr>
          <w:spacing w:val="-1"/>
        </w:rPr>
        <w:t> </w:t>
      </w:r>
      <w:r>
        <w:rPr/>
        <w:t>asset</w:t>
      </w:r>
      <w:r>
        <w:rPr>
          <w:spacing w:val="-1"/>
        </w:rPr>
        <w:t> </w:t>
      </w:r>
      <w:r>
        <w:rPr/>
        <w:t>at</w:t>
      </w:r>
      <w:r>
        <w:rPr>
          <w:spacing w:val="-1"/>
        </w:rPr>
        <w:t> </w:t>
      </w:r>
      <w:r>
        <w:rPr/>
        <w:t>the lower of carrying value or fair market value less costs to sell, as estimated based on comparable asset sales, offers received, or a discounted cash flow model. For assets to be held and used, the Company reviews for impairment whenever indicators of impairment exist. The Company then compares the estimated future cash flows of the asset group, on an undiscounted basis, to the carrying value of the asset group. If the undiscounted cash flows exceed the carrying value, no impairment is indicated. If the undiscounted cash flows do not exceed the carrying value, then an impairment charge is recorded based on the fair value of the asset, typically measured using a discounted cash flow model. If an asset is still under development, future cash flows include remaining construction costs.</w:t>
      </w:r>
      <w:r>
        <w:rPr>
          <w:spacing w:val="-5"/>
        </w:rPr>
        <w:t> </w:t>
      </w:r>
      <w:r>
        <w:rPr/>
        <w:t>All recognized impairment losses, whether for assets held for sale or assets to be held and used, are recorded as operating expenses.</w:t>
      </w:r>
    </w:p>
    <w:p>
      <w:pPr>
        <w:pStyle w:val="BodyText"/>
        <w:spacing w:before="1"/>
      </w:pPr>
    </w:p>
    <w:p>
      <w:pPr>
        <w:pStyle w:val="BodyText"/>
        <w:spacing w:line="232" w:lineRule="auto"/>
        <w:ind w:left="144" w:right="118" w:firstLine="499"/>
        <w:jc w:val="both"/>
      </w:pPr>
      <w:r>
        <w:rPr/>
        <w:t>In</w:t>
      </w:r>
      <w:r>
        <w:rPr>
          <w:spacing w:val="-2"/>
        </w:rPr>
        <w:t> </w:t>
      </w:r>
      <w:r>
        <w:rPr/>
        <w:t>connection</w:t>
      </w:r>
      <w:r>
        <w:rPr>
          <w:spacing w:val="-2"/>
        </w:rPr>
        <w:t> </w:t>
      </w:r>
      <w:r>
        <w:rPr/>
        <w:t>with</w:t>
      </w:r>
      <w:r>
        <w:rPr>
          <w:spacing w:val="-2"/>
        </w:rPr>
        <w:t> </w:t>
      </w:r>
      <w:r>
        <w:rPr/>
        <w:t>the</w:t>
      </w:r>
      <w:r>
        <w:rPr>
          <w:spacing w:val="-2"/>
        </w:rPr>
        <w:t> </w:t>
      </w:r>
      <w:r>
        <w:rPr/>
        <w:t>expiration</w:t>
      </w:r>
      <w:r>
        <w:rPr>
          <w:spacing w:val="-2"/>
        </w:rPr>
        <w:t> </w:t>
      </w:r>
      <w:r>
        <w:rPr/>
        <w:t>of</w:t>
      </w:r>
      <w:r>
        <w:rPr>
          <w:spacing w:val="-2"/>
        </w:rPr>
        <w:t> </w:t>
      </w:r>
      <w:r>
        <w:rPr/>
        <w:t>the</w:t>
      </w:r>
      <w:r>
        <w:rPr>
          <w:spacing w:val="-2"/>
        </w:rPr>
        <w:t> </w:t>
      </w:r>
      <w:r>
        <w:rPr/>
        <w:t>MGM</w:t>
      </w:r>
      <w:r>
        <w:rPr>
          <w:spacing w:val="-2"/>
        </w:rPr>
        <w:t> </w:t>
      </w:r>
      <w:r>
        <w:rPr/>
        <w:t>Grand</w:t>
      </w:r>
      <w:r>
        <w:rPr>
          <w:spacing w:val="-2"/>
        </w:rPr>
        <w:t> </w:t>
      </w:r>
      <w:r>
        <w:rPr/>
        <w:t>Paradise</w:t>
      </w:r>
      <w:r>
        <w:rPr>
          <w:spacing w:val="-2"/>
        </w:rPr>
        <w:t> </w:t>
      </w:r>
      <w:r>
        <w:rPr/>
        <w:t>gaming</w:t>
      </w:r>
      <w:r>
        <w:rPr>
          <w:spacing w:val="-2"/>
        </w:rPr>
        <w:t> </w:t>
      </w:r>
      <w:r>
        <w:rPr/>
        <w:t>subconcession</w:t>
      </w:r>
      <w:r>
        <w:rPr>
          <w:spacing w:val="-2"/>
        </w:rPr>
        <w:t> </w:t>
      </w:r>
      <w:r>
        <w:rPr/>
        <w:t>on</w:t>
      </w:r>
      <w:r>
        <w:rPr>
          <w:spacing w:val="-2"/>
        </w:rPr>
        <w:t> </w:t>
      </w:r>
      <w:r>
        <w:rPr/>
        <w:t>December</w:t>
      </w:r>
      <w:r>
        <w:rPr>
          <w:spacing w:val="-2"/>
        </w:rPr>
        <w:t> </w:t>
      </w:r>
      <w:r>
        <w:rPr/>
        <w:t>31,</w:t>
      </w:r>
      <w:r>
        <w:rPr>
          <w:spacing w:val="-2"/>
        </w:rPr>
        <w:t> </w:t>
      </w:r>
      <w:r>
        <w:rPr/>
        <w:t>2022,</w:t>
      </w:r>
      <w:r>
        <w:rPr>
          <w:spacing w:val="-2"/>
        </w:rPr>
        <w:t> </w:t>
      </w:r>
      <w:r>
        <w:rPr/>
        <w:t>the</w:t>
      </w:r>
      <w:r>
        <w:rPr>
          <w:spacing w:val="-2"/>
        </w:rPr>
        <w:t> </w:t>
      </w:r>
      <w:r>
        <w:rPr/>
        <w:t>casino</w:t>
      </w:r>
      <w:r>
        <w:rPr>
          <w:spacing w:val="-2"/>
        </w:rPr>
        <w:t> </w:t>
      </w:r>
      <w:r>
        <w:rPr/>
        <w:t>areas</w:t>
      </w:r>
      <w:r>
        <w:rPr>
          <w:spacing w:val="-2"/>
        </w:rPr>
        <w:t> </w:t>
      </w:r>
      <w:r>
        <w:rPr/>
        <w:t>of</w:t>
      </w:r>
      <w:r>
        <w:rPr>
          <w:spacing w:val="-2"/>
        </w:rPr>
        <w:t> </w:t>
      </w:r>
      <w:r>
        <w:rPr/>
        <w:t>MGM</w:t>
      </w:r>
      <w:r>
        <w:rPr>
          <w:spacing w:val="-2"/>
        </w:rPr>
        <w:t> </w:t>
      </w:r>
      <w:r>
        <w:rPr/>
        <w:t>Cotai</w:t>
      </w:r>
      <w:r>
        <w:rPr>
          <w:spacing w:val="-2"/>
        </w:rPr>
        <w:t> </w:t>
      </w:r>
      <w:r>
        <w:rPr/>
        <w:t>and</w:t>
      </w:r>
      <w:r>
        <w:rPr>
          <w:spacing w:val="-2"/>
        </w:rPr>
        <w:t> </w:t>
      </w:r>
      <w:r>
        <w:rPr/>
        <w:t>MGM Macau reverted, free of charge and without any encumbrances, to the Macau government, which is now the legal owner of the reverted gaming assets. </w:t>
      </w:r>
      <w:r>
        <w:rPr/>
        <w:t>On January 1, 2023 and in connection with the commencement of the gaming concession, the gaming assets were temporarily transferred to MGM Grand Paradise for the duration of the gaming concession in return for annual payments. As the Company will continue to operate the gaming assets in the same manner as under the gaming subconcession, obtain substantially all of the economic benefits, and bear all of the risks arising from the use of assets for the economic life</w:t>
      </w:r>
      <w:r>
        <w:rPr>
          <w:spacing w:val="40"/>
        </w:rPr>
        <w:t> </w:t>
      </w:r>
      <w:r>
        <w:rPr/>
        <w:t>of the assets as the Company assumes it will be successful in the awarding of a new concession at the end of the current term, the Company will continue to recognize the reverted gaming assets within “Property and equipment” and depreciate the assets over their remaining estimated useful lives.</w:t>
      </w:r>
    </w:p>
    <w:p>
      <w:pPr>
        <w:pStyle w:val="BodyText"/>
        <w:spacing w:before="16"/>
      </w:pPr>
    </w:p>
    <w:p>
      <w:pPr>
        <w:pStyle w:val="BodyText"/>
        <w:ind w:left="144" w:right="117" w:firstLine="499"/>
        <w:jc w:val="both"/>
      </w:pPr>
      <w:r>
        <w:rPr>
          <w:b/>
        </w:rPr>
        <w:t>Capitalized</w:t>
      </w:r>
      <w:r>
        <w:rPr>
          <w:b/>
          <w:spacing w:val="-3"/>
        </w:rPr>
        <w:t> </w:t>
      </w:r>
      <w:r>
        <w:rPr>
          <w:b/>
        </w:rPr>
        <w:t>interest.</w:t>
      </w:r>
      <w:r>
        <w:rPr>
          <w:b/>
          <w:spacing w:val="-2"/>
        </w:rPr>
        <w:t> </w:t>
      </w:r>
      <w:r>
        <w:rPr/>
        <w:t>The</w:t>
      </w:r>
      <w:r>
        <w:rPr>
          <w:spacing w:val="-3"/>
        </w:rPr>
        <w:t> </w:t>
      </w:r>
      <w:r>
        <w:rPr/>
        <w:t>interest</w:t>
      </w:r>
      <w:r>
        <w:rPr>
          <w:spacing w:val="-3"/>
        </w:rPr>
        <w:t> </w:t>
      </w:r>
      <w:r>
        <w:rPr/>
        <w:t>cost</w:t>
      </w:r>
      <w:r>
        <w:rPr>
          <w:spacing w:val="-3"/>
        </w:rPr>
        <w:t> </w:t>
      </w:r>
      <w:r>
        <w:rPr/>
        <w:t>associated</w:t>
      </w:r>
      <w:r>
        <w:rPr>
          <w:spacing w:val="-3"/>
        </w:rPr>
        <w:t> </w:t>
      </w:r>
      <w:r>
        <w:rPr/>
        <w:t>with</w:t>
      </w:r>
      <w:r>
        <w:rPr>
          <w:spacing w:val="-3"/>
        </w:rPr>
        <w:t> </w:t>
      </w:r>
      <w:r>
        <w:rPr/>
        <w:t>major</w:t>
      </w:r>
      <w:r>
        <w:rPr>
          <w:spacing w:val="-3"/>
        </w:rPr>
        <w:t> </w:t>
      </w:r>
      <w:r>
        <w:rPr/>
        <w:t>development</w:t>
      </w:r>
      <w:r>
        <w:rPr>
          <w:spacing w:val="-3"/>
        </w:rPr>
        <w:t> </w:t>
      </w:r>
      <w:r>
        <w:rPr/>
        <w:t>and</w:t>
      </w:r>
      <w:r>
        <w:rPr>
          <w:spacing w:val="-3"/>
        </w:rPr>
        <w:t> </w:t>
      </w:r>
      <w:r>
        <w:rPr/>
        <w:t>construction</w:t>
      </w:r>
      <w:r>
        <w:rPr>
          <w:spacing w:val="-3"/>
        </w:rPr>
        <w:t> </w:t>
      </w:r>
      <w:r>
        <w:rPr/>
        <w:t>projects</w:t>
      </w:r>
      <w:r>
        <w:rPr>
          <w:spacing w:val="-3"/>
        </w:rPr>
        <w:t> </w:t>
      </w:r>
      <w:r>
        <w:rPr/>
        <w:t>is</w:t>
      </w:r>
      <w:r>
        <w:rPr>
          <w:spacing w:val="-3"/>
        </w:rPr>
        <w:t> </w:t>
      </w:r>
      <w:r>
        <w:rPr/>
        <w:t>capitalized</w:t>
      </w:r>
      <w:r>
        <w:rPr>
          <w:spacing w:val="-3"/>
        </w:rPr>
        <w:t> </w:t>
      </w:r>
      <w:r>
        <w:rPr/>
        <w:t>and</w:t>
      </w:r>
      <w:r>
        <w:rPr>
          <w:spacing w:val="-3"/>
        </w:rPr>
        <w:t> </w:t>
      </w:r>
      <w:r>
        <w:rPr/>
        <w:t>included</w:t>
      </w:r>
      <w:r>
        <w:rPr>
          <w:spacing w:val="-3"/>
        </w:rPr>
        <w:t> </w:t>
      </w:r>
      <w:r>
        <w:rPr/>
        <w:t>in</w:t>
      </w:r>
      <w:r>
        <w:rPr>
          <w:spacing w:val="-3"/>
        </w:rPr>
        <w:t> </w:t>
      </w:r>
      <w:r>
        <w:rPr/>
        <w:t>the</w:t>
      </w:r>
      <w:r>
        <w:rPr>
          <w:spacing w:val="-3"/>
        </w:rPr>
        <w:t> </w:t>
      </w:r>
      <w:r>
        <w:rPr/>
        <w:t>cost</w:t>
      </w:r>
      <w:r>
        <w:rPr>
          <w:spacing w:val="-3"/>
        </w:rPr>
        <w:t> </w:t>
      </w:r>
      <w:r>
        <w:rPr/>
        <w:t>of</w:t>
      </w:r>
      <w:r>
        <w:rPr>
          <w:spacing w:val="-3"/>
        </w:rPr>
        <w:t> </w:t>
      </w:r>
      <w:r>
        <w:rPr/>
        <w:t>the</w:t>
      </w:r>
      <w:r>
        <w:rPr>
          <w:spacing w:val="-3"/>
        </w:rPr>
        <w:t> </w:t>
      </w:r>
      <w:r>
        <w:rPr/>
        <w:t>project. When no debt is incurred specifically for a project, interest is capitalized on amounts expended on the project using the weighted average cost of the</w:t>
      </w:r>
      <w:r>
        <w:rPr>
          <w:spacing w:val="40"/>
        </w:rPr>
        <w:t> </w:t>
      </w:r>
      <w:r>
        <w:rPr/>
        <w:t>Company’s outstanding borrowings. Capitalization of interest ceases when the project is substantially complete, or development activity is suspended for more than a brief period.</w:t>
      </w:r>
    </w:p>
    <w:p>
      <w:pPr>
        <w:pStyle w:val="BodyText"/>
        <w:spacing w:before="18"/>
      </w:pPr>
    </w:p>
    <w:p>
      <w:pPr>
        <w:pStyle w:val="BodyText"/>
        <w:ind w:left="144" w:right="117" w:firstLine="499"/>
        <w:jc w:val="both"/>
      </w:pPr>
      <w:r>
        <w:rPr>
          <w:b/>
        </w:rPr>
        <w:t>Investments in and advances to unconsolidated affiliates. </w:t>
      </w:r>
      <w:r>
        <w:rPr/>
        <w:t>The Company has investments in unconsolidated affiliates accounted for under the equity method. Under the equity method, carrying value is adjusted for the Company’s share of the investees’ earnings and losses, amortization of certain basis differences, as well as capital contributions to and distributions from these companies. Distributions in excess of equity method earnings are recognized as a return of investment and recorded as investing cash inflows in the accompanying consolidated statements of cash flows. The Company classifies operating income and losses as well as gains and impairments related to its investments in unconsolidated affiliates as a component of operating income or loss and classifies non-operating income or losses related to its investments in unconsolidated affiliates as a component of non-operating income or loss, as the Company’s investments in such unconsolidated affiliates are an extension of the Company’s core business operations.</w:t>
      </w:r>
    </w:p>
    <w:p>
      <w:pPr>
        <w:pStyle w:val="BodyText"/>
        <w:spacing w:before="4"/>
      </w:pPr>
    </w:p>
    <w:p>
      <w:pPr>
        <w:pStyle w:val="BodyText"/>
        <w:spacing w:before="1"/>
        <w:ind w:left="144" w:right="118" w:firstLine="499"/>
        <w:jc w:val="both"/>
      </w:pPr>
      <w:r>
        <w:rPr/>
        <w:t>The Company evaluates its investments in unconsolidated affiliates for impairment whenever events or changes in circumstances indicate that </w:t>
      </w:r>
      <w:r>
        <w:rPr/>
        <w:t>the carrying value of its investment may have experienced an other-than-temporary decline in value. If such conditions exist, the Company compares the estimated fair value of the investment to its carrying value to determine if an impairment is indicated and determines whether the impairment is “other-than-temporary” based on its assessment of all relevant factors, including consideration of the Company’s intent and ability to retain its investment.</w:t>
      </w:r>
      <w:r>
        <w:rPr>
          <w:spacing w:val="-3"/>
        </w:rPr>
        <w:t> </w:t>
      </w:r>
      <w:r>
        <w:rPr/>
        <w:t>The Company estimates fair value using a discounted cash flow analysis based on estimated future results of the investee and market indicators of terminal year capitalization rates, and a market approach that utilizes business enterprise value multiples based on a range of multiples from the Company’s peer group.</w:t>
      </w:r>
    </w:p>
    <w:p>
      <w:pPr>
        <w:pStyle w:val="BodyText"/>
        <w:spacing w:before="9"/>
      </w:pPr>
    </w:p>
    <w:p>
      <w:pPr>
        <w:pStyle w:val="BodyText"/>
        <w:spacing w:line="242" w:lineRule="auto"/>
        <w:ind w:left="144" w:right="118" w:firstLine="499"/>
        <w:jc w:val="both"/>
      </w:pPr>
      <w:r>
        <w:rPr>
          <w:b/>
        </w:rPr>
        <w:t>Goodwill and other intangible assets. </w:t>
      </w:r>
      <w:r>
        <w:rPr/>
        <w:t>Goodwill represents the excess of purchase price over fair market value of net assets acquired in </w:t>
      </w:r>
      <w:r>
        <w:rPr/>
        <w:t>business combinations. Indefinite-lived intangibles consist of trademarks and certain of our gaming licenses. Goodwill and indefinite-lived intangible assets must be reviewed for impairment at least annually and between</w:t>
      </w:r>
    </w:p>
    <w:p>
      <w:pPr>
        <w:pStyle w:val="BodyText"/>
      </w:pPr>
    </w:p>
    <w:p>
      <w:pPr>
        <w:pStyle w:val="BodyText"/>
        <w:spacing w:before="187"/>
      </w:pPr>
    </w:p>
    <w:p>
      <w:pPr>
        <w:pStyle w:val="BodyText"/>
        <w:ind w:left="24"/>
        <w:jc w:val="center"/>
      </w:pPr>
      <w:r>
        <w:rPr>
          <w:spacing w:val="-5"/>
        </w:rPr>
        <w:t>67</w:t>
      </w:r>
    </w:p>
    <w:p>
      <w:pPr>
        <w:pStyle w:val="BodyText"/>
        <w:spacing w:before="3"/>
        <w:rPr>
          <w:sz w:val="6"/>
        </w:rPr>
      </w:pPr>
      <w:r>
        <w:rPr/>
        <mc:AlternateContent>
          <mc:Choice Requires="wps">
            <w:drawing>
              <wp:anchor distT="0" distB="0" distL="0" distR="0" allowOverlap="1" layoutInCell="1" locked="0" behindDoc="1" simplePos="0" relativeHeight="487659520">
                <wp:simplePos x="0" y="0"/>
                <wp:positionH relativeFrom="page">
                  <wp:posOffset>231457</wp:posOffset>
                </wp:positionH>
                <wp:positionV relativeFrom="paragraph">
                  <wp:posOffset>60956</wp:posOffset>
                </wp:positionV>
                <wp:extent cx="7312659" cy="17145"/>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7312659" cy="17145"/>
                          <a:chExt cx="7312659" cy="17145"/>
                        </a:xfrm>
                      </wpg:grpSpPr>
                      <wps:wsp>
                        <wps:cNvPr id="379" name="Graphic 37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80" name="Graphic 380"/>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81" name="Graphic 38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6960;mso-wrap-distance-left:0;mso-wrap-distance-right:0" id="docshapegroup376" coordorigin="364,96" coordsize="11516,27">
                <v:rect style="position:absolute;left:364;top:96;width:11516;height:14" id="docshape377" filled="true" fillcolor="#999999" stroked="false">
                  <v:fill type="solid"/>
                </v:rect>
                <v:shape style="position:absolute;left:364;top:95;width:11516;height:27" id="docshape378" coordorigin="364,96" coordsize="11516,27" path="m11880,96l11866,109,364,109,364,123,11866,123,11880,123,11880,109,11880,96xe" filled="true" fillcolor="#ededed" stroked="false">
                  <v:path arrowok="t"/>
                  <v:fill type="solid"/>
                </v:shape>
                <v:shape style="position:absolute;left:364;top:96;width:14;height:27" id="docshape37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49" w:lineRule="auto" w:before="69"/>
        <w:ind w:left="144"/>
      </w:pPr>
      <w:r>
        <w:rPr/>
        <w:t>annual</w:t>
      </w:r>
      <w:r>
        <w:rPr>
          <w:spacing w:val="-1"/>
        </w:rPr>
        <w:t> </w:t>
      </w:r>
      <w:r>
        <w:rPr/>
        <w:t>test</w:t>
      </w:r>
      <w:r>
        <w:rPr>
          <w:spacing w:val="-1"/>
        </w:rPr>
        <w:t> </w:t>
      </w:r>
      <w:r>
        <w:rPr/>
        <w:t>dates</w:t>
      </w:r>
      <w:r>
        <w:rPr>
          <w:spacing w:val="-1"/>
        </w:rPr>
        <w:t> </w:t>
      </w:r>
      <w:r>
        <w:rPr/>
        <w:t>in</w:t>
      </w:r>
      <w:r>
        <w:rPr>
          <w:spacing w:val="-1"/>
        </w:rPr>
        <w:t> </w:t>
      </w:r>
      <w:r>
        <w:rPr/>
        <w:t>certain</w:t>
      </w:r>
      <w:r>
        <w:rPr>
          <w:spacing w:val="-1"/>
        </w:rPr>
        <w:t> </w:t>
      </w:r>
      <w:r>
        <w:rPr/>
        <w:t>circumstances.</w:t>
      </w:r>
      <w:r>
        <w:rPr>
          <w:spacing w:val="-4"/>
        </w:rPr>
        <w:t> </w:t>
      </w:r>
      <w:r>
        <w:rPr/>
        <w:t>The</w:t>
      </w:r>
      <w:r>
        <w:rPr>
          <w:spacing w:val="-1"/>
        </w:rPr>
        <w:t> </w:t>
      </w:r>
      <w:r>
        <w:rPr/>
        <w:t>Company</w:t>
      </w:r>
      <w:r>
        <w:rPr>
          <w:spacing w:val="-1"/>
        </w:rPr>
        <w:t> </w:t>
      </w:r>
      <w:r>
        <w:rPr/>
        <w:t>performs</w:t>
      </w:r>
      <w:r>
        <w:rPr>
          <w:spacing w:val="-1"/>
        </w:rPr>
        <w:t> </w:t>
      </w:r>
      <w:r>
        <w:rPr/>
        <w:t>its</w:t>
      </w:r>
      <w:r>
        <w:rPr>
          <w:spacing w:val="-1"/>
        </w:rPr>
        <w:t> </w:t>
      </w:r>
      <w:r>
        <w:rPr/>
        <w:t>annual</w:t>
      </w:r>
      <w:r>
        <w:rPr>
          <w:spacing w:val="-1"/>
        </w:rPr>
        <w:t> </w:t>
      </w:r>
      <w:r>
        <w:rPr/>
        <w:t>impairment</w:t>
      </w:r>
      <w:r>
        <w:rPr>
          <w:spacing w:val="-1"/>
        </w:rPr>
        <w:t> </w:t>
      </w:r>
      <w:r>
        <w:rPr/>
        <w:t>tests</w:t>
      </w:r>
      <w:r>
        <w:rPr>
          <w:spacing w:val="-1"/>
        </w:rPr>
        <w:t> </w:t>
      </w:r>
      <w:r>
        <w:rPr/>
        <w:t>in</w:t>
      </w:r>
      <w:r>
        <w:rPr>
          <w:spacing w:val="-1"/>
        </w:rPr>
        <w:t> </w:t>
      </w:r>
      <w:r>
        <w:rPr/>
        <w:t>the</w:t>
      </w:r>
      <w:r>
        <w:rPr>
          <w:spacing w:val="-1"/>
        </w:rPr>
        <w:t> </w:t>
      </w:r>
      <w:r>
        <w:rPr/>
        <w:t>fourth</w:t>
      </w:r>
      <w:r>
        <w:rPr>
          <w:spacing w:val="-1"/>
        </w:rPr>
        <w:t> </w:t>
      </w:r>
      <w:r>
        <w:rPr/>
        <w:t>quarter</w:t>
      </w:r>
      <w:r>
        <w:rPr>
          <w:spacing w:val="-1"/>
        </w:rPr>
        <w:t> </w:t>
      </w:r>
      <w:r>
        <w:rPr/>
        <w:t>of</w:t>
      </w:r>
      <w:r>
        <w:rPr>
          <w:spacing w:val="-1"/>
        </w:rPr>
        <w:t> </w:t>
      </w:r>
      <w:r>
        <w:rPr/>
        <w:t>each</w:t>
      </w:r>
      <w:r>
        <w:rPr>
          <w:spacing w:val="-1"/>
        </w:rPr>
        <w:t> </w:t>
      </w:r>
      <w:r>
        <w:rPr/>
        <w:t>fiscal</w:t>
      </w:r>
      <w:r>
        <w:rPr>
          <w:spacing w:val="-1"/>
        </w:rPr>
        <w:t> </w:t>
      </w:r>
      <w:r>
        <w:rPr/>
        <w:t>year.</w:t>
      </w:r>
      <w:r>
        <w:rPr>
          <w:spacing w:val="-1"/>
        </w:rPr>
        <w:t> </w:t>
      </w:r>
      <w:r>
        <w:rPr/>
        <w:t>No</w:t>
      </w:r>
      <w:r>
        <w:rPr>
          <w:spacing w:val="-1"/>
        </w:rPr>
        <w:t> </w:t>
      </w:r>
      <w:r>
        <w:rPr/>
        <w:t>material</w:t>
      </w:r>
      <w:r>
        <w:rPr>
          <w:spacing w:val="-1"/>
        </w:rPr>
        <w:t> </w:t>
      </w:r>
      <w:r>
        <w:rPr/>
        <w:t>impairments were indicated or recorded as a result of the annual impairment review for goodwill and indefinite-lived intangible assets in 2022, 2021, and 2020.</w:t>
      </w:r>
    </w:p>
    <w:p>
      <w:pPr>
        <w:pStyle w:val="BodyText"/>
        <w:spacing w:before="204"/>
        <w:ind w:left="144" w:right="118" w:firstLine="499"/>
        <w:jc w:val="both"/>
      </w:pPr>
      <w:r>
        <w:rPr/>
        <w:t>Accounting guidance provides entities the option to perform a qualitative assessment of goodwill and indefinite-lived intangible assets (commonly referred to as “step zero”) in order to determine whether further impairment testing is necessary. In performing the step zero analysis the Company </w:t>
      </w:r>
      <w:r>
        <w:rPr/>
        <w:t>considers macroeconomic conditions, industry and market considerations, current and forecasted financial performance, entity-specific events, and changes in the composition or carrying amount of net assets of reporting units for goodwill. In addition, the Company takes into consideration the amount of excess of fair value</w:t>
      </w:r>
      <w:r>
        <w:rPr>
          <w:spacing w:val="-1"/>
        </w:rPr>
        <w:t> </w:t>
      </w:r>
      <w:r>
        <w:rPr/>
        <w:t>over</w:t>
      </w:r>
      <w:r>
        <w:rPr>
          <w:spacing w:val="-1"/>
        </w:rPr>
        <w:t> </w:t>
      </w:r>
      <w:r>
        <w:rPr/>
        <w:t>carrying</w:t>
      </w:r>
      <w:r>
        <w:rPr>
          <w:spacing w:val="-1"/>
        </w:rPr>
        <w:t> </w:t>
      </w:r>
      <w:r>
        <w:rPr/>
        <w:t>value</w:t>
      </w:r>
      <w:r>
        <w:rPr>
          <w:spacing w:val="-1"/>
        </w:rPr>
        <w:t> </w:t>
      </w:r>
      <w:r>
        <w:rPr/>
        <w:t>determined</w:t>
      </w:r>
      <w:r>
        <w:rPr>
          <w:spacing w:val="-1"/>
        </w:rPr>
        <w:t> </w:t>
      </w:r>
      <w:r>
        <w:rPr/>
        <w:t>in</w:t>
      </w:r>
      <w:r>
        <w:rPr>
          <w:spacing w:val="-1"/>
        </w:rPr>
        <w:t> </w:t>
      </w:r>
      <w:r>
        <w:rPr/>
        <w:t>the</w:t>
      </w:r>
      <w:r>
        <w:rPr>
          <w:spacing w:val="-1"/>
        </w:rPr>
        <w:t> </w:t>
      </w:r>
      <w:r>
        <w:rPr/>
        <w:t>last</w:t>
      </w:r>
      <w:r>
        <w:rPr>
          <w:spacing w:val="-1"/>
        </w:rPr>
        <w:t> </w:t>
      </w:r>
      <w:r>
        <w:rPr/>
        <w:t>quantitative</w:t>
      </w:r>
      <w:r>
        <w:rPr>
          <w:spacing w:val="-1"/>
        </w:rPr>
        <w:t> </w:t>
      </w:r>
      <w:r>
        <w:rPr/>
        <w:t>analysis</w:t>
      </w:r>
      <w:r>
        <w:rPr>
          <w:spacing w:val="-1"/>
        </w:rPr>
        <w:t> </w:t>
      </w:r>
      <w:r>
        <w:rPr/>
        <w:t>that</w:t>
      </w:r>
      <w:r>
        <w:rPr>
          <w:spacing w:val="-1"/>
        </w:rPr>
        <w:t> </w:t>
      </w:r>
      <w:r>
        <w:rPr/>
        <w:t>was</w:t>
      </w:r>
      <w:r>
        <w:rPr>
          <w:spacing w:val="-1"/>
        </w:rPr>
        <w:t> </w:t>
      </w:r>
      <w:r>
        <w:rPr/>
        <w:t>performed,</w:t>
      </w:r>
      <w:r>
        <w:rPr>
          <w:spacing w:val="-1"/>
        </w:rPr>
        <w:t> </w:t>
      </w:r>
      <w:r>
        <w:rPr/>
        <w:t>as</w:t>
      </w:r>
      <w:r>
        <w:rPr>
          <w:spacing w:val="-1"/>
        </w:rPr>
        <w:t> </w:t>
      </w:r>
      <w:r>
        <w:rPr/>
        <w:t>well</w:t>
      </w:r>
      <w:r>
        <w:rPr>
          <w:spacing w:val="-1"/>
        </w:rPr>
        <w:t> </w:t>
      </w:r>
      <w:r>
        <w:rPr/>
        <w:t>as</w:t>
      </w:r>
      <w:r>
        <w:rPr>
          <w:spacing w:val="-1"/>
        </w:rPr>
        <w:t> </w:t>
      </w:r>
      <w:r>
        <w:rPr/>
        <w:t>the</w:t>
      </w:r>
      <w:r>
        <w:rPr>
          <w:spacing w:val="-1"/>
        </w:rPr>
        <w:t> </w:t>
      </w:r>
      <w:r>
        <w:rPr/>
        <w:t>period</w:t>
      </w:r>
      <w:r>
        <w:rPr>
          <w:spacing w:val="-1"/>
        </w:rPr>
        <w:t> </w:t>
      </w:r>
      <w:r>
        <w:rPr/>
        <w:t>of</w:t>
      </w:r>
      <w:r>
        <w:rPr>
          <w:spacing w:val="-1"/>
        </w:rPr>
        <w:t> </w:t>
      </w:r>
      <w:r>
        <w:rPr/>
        <w:t>time</w:t>
      </w:r>
      <w:r>
        <w:rPr>
          <w:spacing w:val="-1"/>
        </w:rPr>
        <w:t> </w:t>
      </w:r>
      <w:r>
        <w:rPr/>
        <w:t>that</w:t>
      </w:r>
      <w:r>
        <w:rPr>
          <w:spacing w:val="-1"/>
        </w:rPr>
        <w:t> </w:t>
      </w:r>
      <w:r>
        <w:rPr/>
        <w:t>has</w:t>
      </w:r>
      <w:r>
        <w:rPr>
          <w:spacing w:val="-1"/>
        </w:rPr>
        <w:t> </w:t>
      </w:r>
      <w:r>
        <w:rPr/>
        <w:t>passed</w:t>
      </w:r>
      <w:r>
        <w:rPr>
          <w:spacing w:val="-1"/>
        </w:rPr>
        <w:t> </w:t>
      </w:r>
      <w:r>
        <w:rPr/>
        <w:t>since</w:t>
      </w:r>
      <w:r>
        <w:rPr>
          <w:spacing w:val="-1"/>
        </w:rPr>
        <w:t> </w:t>
      </w:r>
      <w:r>
        <w:rPr/>
        <w:t>the</w:t>
      </w:r>
      <w:r>
        <w:rPr>
          <w:spacing w:val="-1"/>
        </w:rPr>
        <w:t> </w:t>
      </w:r>
      <w:r>
        <w:rPr/>
        <w:t>last</w:t>
      </w:r>
      <w:r>
        <w:rPr>
          <w:spacing w:val="-1"/>
        </w:rPr>
        <w:t> </w:t>
      </w:r>
      <w:r>
        <w:rPr/>
        <w:t>quantitative analysis. If the step zero analysis indicates that it is more likely than not that the fair value is less than its carrying amount, the entity would proceed to a quantitative analysis.</w:t>
      </w:r>
    </w:p>
    <w:p>
      <w:pPr>
        <w:pStyle w:val="BodyText"/>
        <w:spacing w:before="5"/>
      </w:pPr>
    </w:p>
    <w:p>
      <w:pPr>
        <w:pStyle w:val="BodyText"/>
        <w:ind w:left="144" w:right="118" w:firstLine="499"/>
        <w:jc w:val="both"/>
      </w:pPr>
      <w:r>
        <w:rPr/>
        <w:t>Under the quantitative analysis, goodwill for relevant reporting units is tested for impairment using a discounted cash flow analysis based on the estimated</w:t>
      </w:r>
      <w:r>
        <w:rPr>
          <w:spacing w:val="-2"/>
        </w:rPr>
        <w:t> </w:t>
      </w:r>
      <w:r>
        <w:rPr/>
        <w:t>future</w:t>
      </w:r>
      <w:r>
        <w:rPr>
          <w:spacing w:val="-2"/>
        </w:rPr>
        <w:t> </w:t>
      </w:r>
      <w:r>
        <w:rPr/>
        <w:t>results</w:t>
      </w:r>
      <w:r>
        <w:rPr>
          <w:spacing w:val="-2"/>
        </w:rPr>
        <w:t> </w:t>
      </w:r>
      <w:r>
        <w:rPr/>
        <w:t>of</w:t>
      </w:r>
      <w:r>
        <w:rPr>
          <w:spacing w:val="-2"/>
        </w:rPr>
        <w:t> </w:t>
      </w:r>
      <w:r>
        <w:rPr/>
        <w:t>the</w:t>
      </w:r>
      <w:r>
        <w:rPr>
          <w:spacing w:val="-2"/>
        </w:rPr>
        <w:t> </w:t>
      </w:r>
      <w:r>
        <w:rPr/>
        <w:t>Company’s</w:t>
      </w:r>
      <w:r>
        <w:rPr>
          <w:spacing w:val="-2"/>
        </w:rPr>
        <w:t> </w:t>
      </w:r>
      <w:r>
        <w:rPr/>
        <w:t>reporting</w:t>
      </w:r>
      <w:r>
        <w:rPr>
          <w:spacing w:val="-2"/>
        </w:rPr>
        <w:t> </w:t>
      </w:r>
      <w:r>
        <w:rPr/>
        <w:t>units</w:t>
      </w:r>
      <w:r>
        <w:rPr>
          <w:spacing w:val="-2"/>
        </w:rPr>
        <w:t> </w:t>
      </w:r>
      <w:r>
        <w:rPr/>
        <w:t>discounted</w:t>
      </w:r>
      <w:r>
        <w:rPr>
          <w:spacing w:val="-2"/>
        </w:rPr>
        <w:t> </w:t>
      </w:r>
      <w:r>
        <w:rPr/>
        <w:t>using</w:t>
      </w:r>
      <w:r>
        <w:rPr>
          <w:spacing w:val="-2"/>
        </w:rPr>
        <w:t> </w:t>
      </w:r>
      <w:r>
        <w:rPr/>
        <w:t>market</w:t>
      </w:r>
      <w:r>
        <w:rPr>
          <w:spacing w:val="-2"/>
        </w:rPr>
        <w:t> </w:t>
      </w:r>
      <w:r>
        <w:rPr/>
        <w:t>discount</w:t>
      </w:r>
      <w:r>
        <w:rPr>
          <w:spacing w:val="-2"/>
        </w:rPr>
        <w:t> </w:t>
      </w:r>
      <w:r>
        <w:rPr/>
        <w:t>rates</w:t>
      </w:r>
      <w:r>
        <w:rPr>
          <w:spacing w:val="-2"/>
        </w:rPr>
        <w:t> </w:t>
      </w:r>
      <w:r>
        <w:rPr/>
        <w:t>and</w:t>
      </w:r>
      <w:r>
        <w:rPr>
          <w:spacing w:val="-2"/>
        </w:rPr>
        <w:t> </w:t>
      </w:r>
      <w:r>
        <w:rPr/>
        <w:t>market</w:t>
      </w:r>
      <w:r>
        <w:rPr>
          <w:spacing w:val="-2"/>
        </w:rPr>
        <w:t> </w:t>
      </w:r>
      <w:r>
        <w:rPr/>
        <w:t>indicators</w:t>
      </w:r>
      <w:r>
        <w:rPr>
          <w:spacing w:val="-2"/>
        </w:rPr>
        <w:t> </w:t>
      </w:r>
      <w:r>
        <w:rPr/>
        <w:t>of</w:t>
      </w:r>
      <w:r>
        <w:rPr>
          <w:spacing w:val="-2"/>
        </w:rPr>
        <w:t> </w:t>
      </w:r>
      <w:r>
        <w:rPr/>
        <w:t>terminal</w:t>
      </w:r>
      <w:r>
        <w:rPr>
          <w:spacing w:val="-2"/>
        </w:rPr>
        <w:t> </w:t>
      </w:r>
      <w:r>
        <w:rPr/>
        <w:t>year</w:t>
      </w:r>
      <w:r>
        <w:rPr>
          <w:spacing w:val="-2"/>
        </w:rPr>
        <w:t> </w:t>
      </w:r>
      <w:r>
        <w:rPr/>
        <w:t>capitalization</w:t>
      </w:r>
      <w:r>
        <w:rPr>
          <w:spacing w:val="-2"/>
        </w:rPr>
        <w:t> </w:t>
      </w:r>
      <w:r>
        <w:rPr/>
        <w:t>rates,</w:t>
      </w:r>
      <w:r>
        <w:rPr>
          <w:spacing w:val="-2"/>
        </w:rPr>
        <w:t> </w:t>
      </w:r>
      <w:r>
        <w:rPr/>
        <w:t>and a market approach that utilizes business enterprise value multiples based on a range of multiples from the Company’s peer group. If the fair value of the reporting unit is less than its carrying value, an impairment charge is recognized equal to the difference. Under the quantitative analysis, license rights are</w:t>
      </w:r>
      <w:r>
        <w:rPr>
          <w:spacing w:val="40"/>
        </w:rPr>
        <w:t> </w:t>
      </w:r>
      <w:r>
        <w:rPr/>
        <w:t>tested for impairment using a discounted cash flow approach, and trademarks are tested for impairment using the relief-from-royalty method. If the fair value</w:t>
      </w:r>
      <w:r>
        <w:rPr>
          <w:spacing w:val="40"/>
        </w:rPr>
        <w:t> </w:t>
      </w:r>
      <w:r>
        <w:rPr/>
        <w:t>of an indefinite-lived intangible asset is less than its carrying amount, an impairment loss is recognized equal to the difference.</w:t>
      </w:r>
    </w:p>
    <w:p>
      <w:pPr>
        <w:pStyle w:val="BodyText"/>
        <w:spacing w:before="9"/>
      </w:pPr>
    </w:p>
    <w:p>
      <w:pPr>
        <w:pStyle w:val="BodyText"/>
        <w:ind w:left="144" w:right="118" w:firstLine="499"/>
        <w:jc w:val="both"/>
      </w:pPr>
      <w:r>
        <w:rPr/>
        <w:t>Other</w:t>
      </w:r>
      <w:r>
        <w:rPr>
          <w:spacing w:val="-3"/>
        </w:rPr>
        <w:t> </w:t>
      </w:r>
      <w:r>
        <w:rPr/>
        <w:t>intangible</w:t>
      </w:r>
      <w:r>
        <w:rPr>
          <w:spacing w:val="-3"/>
        </w:rPr>
        <w:t> </w:t>
      </w:r>
      <w:r>
        <w:rPr/>
        <w:t>assets</w:t>
      </w:r>
      <w:r>
        <w:rPr>
          <w:spacing w:val="-3"/>
        </w:rPr>
        <w:t> </w:t>
      </w:r>
      <w:r>
        <w:rPr/>
        <w:t>that</w:t>
      </w:r>
      <w:r>
        <w:rPr>
          <w:spacing w:val="-3"/>
        </w:rPr>
        <w:t> </w:t>
      </w:r>
      <w:r>
        <w:rPr/>
        <w:t>have</w:t>
      </w:r>
      <w:r>
        <w:rPr>
          <w:spacing w:val="-3"/>
        </w:rPr>
        <w:t> </w:t>
      </w:r>
      <w:r>
        <w:rPr/>
        <w:t>a</w:t>
      </w:r>
      <w:r>
        <w:rPr>
          <w:spacing w:val="-3"/>
        </w:rPr>
        <w:t> </w:t>
      </w:r>
      <w:r>
        <w:rPr/>
        <w:t>finite</w:t>
      </w:r>
      <w:r>
        <w:rPr>
          <w:spacing w:val="-3"/>
        </w:rPr>
        <w:t> </w:t>
      </w:r>
      <w:r>
        <w:rPr/>
        <w:t>life,</w:t>
      </w:r>
      <w:r>
        <w:rPr>
          <w:spacing w:val="-3"/>
        </w:rPr>
        <w:t> </w:t>
      </w:r>
      <w:r>
        <w:rPr/>
        <w:t>including</w:t>
      </w:r>
      <w:r>
        <w:rPr>
          <w:spacing w:val="-3"/>
        </w:rPr>
        <w:t> </w:t>
      </w:r>
      <w:r>
        <w:rPr/>
        <w:t>MGM</w:t>
      </w:r>
      <w:r>
        <w:rPr>
          <w:spacing w:val="-3"/>
        </w:rPr>
        <w:t> </w:t>
      </w:r>
      <w:r>
        <w:rPr/>
        <w:t>Grand</w:t>
      </w:r>
      <w:r>
        <w:rPr>
          <w:spacing w:val="-3"/>
        </w:rPr>
        <w:t> </w:t>
      </w:r>
      <w:r>
        <w:rPr/>
        <w:t>Paradise’s</w:t>
      </w:r>
      <w:r>
        <w:rPr>
          <w:spacing w:val="-3"/>
        </w:rPr>
        <w:t> </w:t>
      </w:r>
      <w:r>
        <w:rPr/>
        <w:t>gaming</w:t>
      </w:r>
      <w:r>
        <w:rPr>
          <w:spacing w:val="-3"/>
        </w:rPr>
        <w:t> </w:t>
      </w:r>
      <w:r>
        <w:rPr/>
        <w:t>subconcession,</w:t>
      </w:r>
      <w:r>
        <w:rPr>
          <w:spacing w:val="-3"/>
        </w:rPr>
        <w:t> </w:t>
      </w:r>
      <w:r>
        <w:rPr/>
        <w:t>other</w:t>
      </w:r>
      <w:r>
        <w:rPr>
          <w:spacing w:val="-3"/>
        </w:rPr>
        <w:t> </w:t>
      </w:r>
      <w:r>
        <w:rPr/>
        <w:t>gaming</w:t>
      </w:r>
      <w:r>
        <w:rPr>
          <w:spacing w:val="-3"/>
        </w:rPr>
        <w:t> </w:t>
      </w:r>
      <w:r>
        <w:rPr/>
        <w:t>rights</w:t>
      </w:r>
      <w:r>
        <w:rPr>
          <w:spacing w:val="-3"/>
        </w:rPr>
        <w:t> </w:t>
      </w:r>
      <w:r>
        <w:rPr/>
        <w:t>in</w:t>
      </w:r>
      <w:r>
        <w:rPr>
          <w:spacing w:val="-3"/>
        </w:rPr>
        <w:t> </w:t>
      </w:r>
      <w:r>
        <w:rPr/>
        <w:t>certain</w:t>
      </w:r>
      <w:r>
        <w:rPr>
          <w:spacing w:val="-3"/>
        </w:rPr>
        <w:t> </w:t>
      </w:r>
      <w:r>
        <w:rPr/>
        <w:t>jurisdictions</w:t>
      </w:r>
      <w:r>
        <w:rPr>
          <w:spacing w:val="-3"/>
        </w:rPr>
        <w:t> </w:t>
      </w:r>
      <w:r>
        <w:rPr/>
        <w:t>where the nature or extent of the renewal process is uncertain, customer lists, and technology, are amortized on a straight-line basis over their estimated useful lives. The Company reviews the carrying amount of its amortizing intangible assets for possible impairment whenever events or changes in circumstances indicate that their carrying amount may not be recoverable. When testing for impairment, the Company compares the estimated undiscounted cash flows of the asset group</w:t>
      </w:r>
      <w:r>
        <w:rPr>
          <w:spacing w:val="-1"/>
        </w:rPr>
        <w:t> </w:t>
      </w:r>
      <w:r>
        <w:rPr/>
        <w:t>to</w:t>
      </w:r>
      <w:r>
        <w:rPr>
          <w:spacing w:val="-1"/>
        </w:rPr>
        <w:t> </w:t>
      </w:r>
      <w:r>
        <w:rPr/>
        <w:t>its</w:t>
      </w:r>
      <w:r>
        <w:rPr>
          <w:spacing w:val="-1"/>
        </w:rPr>
        <w:t> </w:t>
      </w:r>
      <w:r>
        <w:rPr/>
        <w:t>carrying</w:t>
      </w:r>
      <w:r>
        <w:rPr>
          <w:spacing w:val="-1"/>
        </w:rPr>
        <w:t> </w:t>
      </w:r>
      <w:r>
        <w:rPr/>
        <w:t>value.</w:t>
      </w:r>
      <w:r>
        <w:rPr>
          <w:spacing w:val="-1"/>
        </w:rPr>
        <w:t> </w:t>
      </w:r>
      <w:r>
        <w:rPr/>
        <w:t>If</w:t>
      </w:r>
      <w:r>
        <w:rPr>
          <w:spacing w:val="-1"/>
        </w:rPr>
        <w:t> </w:t>
      </w:r>
      <w:r>
        <w:rPr/>
        <w:t>the</w:t>
      </w:r>
      <w:r>
        <w:rPr>
          <w:spacing w:val="-1"/>
        </w:rPr>
        <w:t> </w:t>
      </w:r>
      <w:r>
        <w:rPr/>
        <w:t>estimated</w:t>
      </w:r>
      <w:r>
        <w:rPr>
          <w:spacing w:val="-1"/>
        </w:rPr>
        <w:t> </w:t>
      </w:r>
      <w:r>
        <w:rPr/>
        <w:t>undiscounted</w:t>
      </w:r>
      <w:r>
        <w:rPr>
          <w:spacing w:val="-1"/>
        </w:rPr>
        <w:t> </w:t>
      </w:r>
      <w:r>
        <w:rPr/>
        <w:t>cash</w:t>
      </w:r>
      <w:r>
        <w:rPr>
          <w:spacing w:val="-1"/>
        </w:rPr>
        <w:t> </w:t>
      </w:r>
      <w:r>
        <w:rPr/>
        <w:t>flows</w:t>
      </w:r>
      <w:r>
        <w:rPr>
          <w:spacing w:val="-1"/>
        </w:rPr>
        <w:t> </w:t>
      </w:r>
      <w:r>
        <w:rPr/>
        <w:t>exceed</w:t>
      </w:r>
      <w:r>
        <w:rPr>
          <w:spacing w:val="-1"/>
        </w:rPr>
        <w:t> </w:t>
      </w:r>
      <w:r>
        <w:rPr/>
        <w:t>the</w:t>
      </w:r>
      <w:r>
        <w:rPr>
          <w:spacing w:val="-1"/>
        </w:rPr>
        <w:t> </w:t>
      </w:r>
      <w:r>
        <w:rPr/>
        <w:t>carrying</w:t>
      </w:r>
      <w:r>
        <w:rPr>
          <w:spacing w:val="-1"/>
        </w:rPr>
        <w:t> </w:t>
      </w:r>
      <w:r>
        <w:rPr/>
        <w:t>value,</w:t>
      </w:r>
      <w:r>
        <w:rPr>
          <w:spacing w:val="-1"/>
        </w:rPr>
        <w:t> </w:t>
      </w:r>
      <w:r>
        <w:rPr/>
        <w:t>no</w:t>
      </w:r>
      <w:r>
        <w:rPr>
          <w:spacing w:val="-1"/>
        </w:rPr>
        <w:t> </w:t>
      </w:r>
      <w:r>
        <w:rPr/>
        <w:t>impairments</w:t>
      </w:r>
      <w:r>
        <w:rPr>
          <w:spacing w:val="-1"/>
        </w:rPr>
        <w:t> </w:t>
      </w:r>
      <w:r>
        <w:rPr/>
        <w:t>are</w:t>
      </w:r>
      <w:r>
        <w:rPr>
          <w:spacing w:val="-1"/>
        </w:rPr>
        <w:t> </w:t>
      </w:r>
      <w:r>
        <w:rPr/>
        <w:t>recorded.</w:t>
      </w:r>
      <w:r>
        <w:rPr>
          <w:spacing w:val="-1"/>
        </w:rPr>
        <w:t> </w:t>
      </w:r>
      <w:r>
        <w:rPr/>
        <w:t>If</w:t>
      </w:r>
      <w:r>
        <w:rPr>
          <w:spacing w:val="-1"/>
        </w:rPr>
        <w:t> </w:t>
      </w:r>
      <w:r>
        <w:rPr/>
        <w:t>the</w:t>
      </w:r>
      <w:r>
        <w:rPr>
          <w:spacing w:val="-1"/>
        </w:rPr>
        <w:t> </w:t>
      </w:r>
      <w:r>
        <w:rPr/>
        <w:t>undiscounted</w:t>
      </w:r>
      <w:r>
        <w:rPr>
          <w:spacing w:val="-1"/>
        </w:rPr>
        <w:t> </w:t>
      </w:r>
      <w:r>
        <w:rPr/>
        <w:t>cash</w:t>
      </w:r>
      <w:r>
        <w:rPr>
          <w:spacing w:val="-1"/>
        </w:rPr>
        <w:t> </w:t>
      </w:r>
      <w:r>
        <w:rPr/>
        <w:t>flows</w:t>
      </w:r>
      <w:r>
        <w:rPr>
          <w:spacing w:val="-1"/>
        </w:rPr>
        <w:t> </w:t>
      </w:r>
      <w:r>
        <w:rPr/>
        <w:t>do not exceed the carrying values, an impairment is recorded.</w:t>
      </w:r>
    </w:p>
    <w:p>
      <w:pPr>
        <w:pStyle w:val="BodyText"/>
        <w:spacing w:before="9"/>
      </w:pPr>
    </w:p>
    <w:p>
      <w:pPr>
        <w:pStyle w:val="BodyText"/>
        <w:ind w:left="144" w:right="118" w:firstLine="499"/>
        <w:jc w:val="both"/>
      </w:pPr>
      <w:r>
        <w:rPr>
          <w:b/>
        </w:rPr>
        <w:t>Note receivable. </w:t>
      </w:r>
      <w:r>
        <w:rPr/>
        <w:t>In connection with the sale of Circus Circus Las</w:t>
      </w:r>
      <w:r>
        <w:rPr>
          <w:spacing w:val="-3"/>
        </w:rPr>
        <w:t> </w:t>
      </w:r>
      <w:r>
        <w:rPr/>
        <w:t>Vegas and the adjacent land in December 2019, the Company received a secured </w:t>
      </w:r>
      <w:r>
        <w:rPr/>
        <w:t>note due in 2024 with a face value of $163 million and fair value of $134 million. The note has a stated interest rate of 3% for the first two years, 4% for following two years, and 4.5% for the fifth year and is secured by the borrower with the land adjacent to Circus Circus Las Vegas as collateral with an effective interest rate of 7.31%.</w:t>
      </w:r>
      <w:r>
        <w:rPr>
          <w:spacing w:val="-3"/>
        </w:rPr>
        <w:t> </w:t>
      </w:r>
      <w:r>
        <w:rPr/>
        <w:t>The interest on the note, which is comprised of the stated interest and the discount on the note, amortizes into interest income using the effective interest method over the length of the agreement. The carrying value of the note receivable was $167 million and $155 million as of December 31, 2022 and 2021, respectively, and was recorded within “Other long-term assets, net” in the consolidated balance sheets.</w:t>
      </w:r>
    </w:p>
    <w:p>
      <w:pPr>
        <w:pStyle w:val="BodyText"/>
        <w:spacing w:before="12"/>
      </w:pPr>
    </w:p>
    <w:p>
      <w:pPr>
        <w:pStyle w:val="BodyText"/>
        <w:spacing w:line="235" w:lineRule="auto" w:before="1"/>
        <w:ind w:left="144" w:right="118" w:firstLine="499"/>
        <w:jc w:val="both"/>
      </w:pPr>
      <w:r>
        <w:rPr>
          <w:b/>
        </w:rPr>
        <w:t>Accounts payable.</w:t>
      </w:r>
      <w:r>
        <w:rPr>
          <w:b/>
          <w:spacing w:val="-6"/>
        </w:rPr>
        <w:t> </w:t>
      </w:r>
      <w:r>
        <w:rPr/>
        <w:t>As of December 31, 2022 and 2021, the Company had accrued $80 million and $59 million, respectively, for purchases of </w:t>
      </w:r>
      <w:r>
        <w:rPr/>
        <w:t>property and equipment within “Accounts and construction payable” on the consolidated balance sheets.</w:t>
      </w:r>
    </w:p>
    <w:p>
      <w:pPr>
        <w:pStyle w:val="BodyText"/>
        <w:spacing w:before="21"/>
      </w:pPr>
    </w:p>
    <w:p>
      <w:pPr>
        <w:pStyle w:val="BodyText"/>
        <w:spacing w:line="235" w:lineRule="auto"/>
        <w:ind w:left="144" w:right="118" w:firstLine="499"/>
        <w:jc w:val="both"/>
      </w:pPr>
      <w:r>
        <w:rPr>
          <w:b/>
        </w:rPr>
        <w:t>Revenue recognition. </w:t>
      </w:r>
      <w:r>
        <w:rPr/>
        <w:t>The Company’s revenue from contracts with customers consists of casino wagers transactions, hotel room sales, food </w:t>
      </w:r>
      <w:r>
        <w:rPr/>
        <w:t>and beverage transactions, entertainment shows, and retail transactions.</w:t>
      </w:r>
    </w:p>
    <w:p>
      <w:pPr>
        <w:pStyle w:val="BodyText"/>
        <w:spacing w:before="5"/>
      </w:pPr>
    </w:p>
    <w:p>
      <w:pPr>
        <w:pStyle w:val="BodyText"/>
        <w:ind w:left="144" w:right="118" w:firstLine="499"/>
        <w:jc w:val="both"/>
      </w:pPr>
      <w:r>
        <w:rPr/>
        <w:t>The transaction price for a casino wager is the difference between gaming wins and losses (“net win”). In certain circumstances, the Company offers discounts on markers, which is estimated based upon historical business practice, and recorded as a reduction of casino revenue. Commissions rebated to gaming promoters and</w:t>
      </w:r>
      <w:r>
        <w:rPr>
          <w:spacing w:val="-3"/>
        </w:rPr>
        <w:t> </w:t>
      </w:r>
      <w:r>
        <w:rPr/>
        <w:t>VIP</w:t>
      </w:r>
      <w:r>
        <w:rPr>
          <w:spacing w:val="-6"/>
        </w:rPr>
        <w:t> </w:t>
      </w:r>
      <w:r>
        <w:rPr/>
        <w:t>players at MGM China are also recorded as a reduction of casino revenue.</w:t>
      </w:r>
      <w:r>
        <w:rPr>
          <w:spacing w:val="-3"/>
        </w:rPr>
        <w:t> </w:t>
      </w:r>
      <w:r>
        <w:rPr/>
        <w:t>The Company accounts for casino revenue on a portfolio basis given the similar characteristics of wagers by recognizing net win per gaming day versus on an individual wager basis.</w:t>
      </w:r>
    </w:p>
    <w:p>
      <w:pPr>
        <w:pStyle w:val="BodyText"/>
        <w:spacing w:before="22"/>
      </w:pPr>
    </w:p>
    <w:p>
      <w:pPr>
        <w:pStyle w:val="BodyText"/>
        <w:spacing w:line="235" w:lineRule="auto"/>
        <w:ind w:left="144" w:right="118" w:firstLine="499"/>
        <w:jc w:val="both"/>
      </w:pPr>
      <w:r>
        <w:rPr/>
        <w:t>For casino wager transactions that include other goods and services provided by the Company to gaming patrons on a discretionary basis to </w:t>
      </w:r>
      <w:r>
        <w:rPr/>
        <w:t>incentivize gaming, the Company allocates revenue from the casino wager transaction to the good or service delivered based upon standalone selling price (“SSP”). Discretionary goods and services provided by the Company and supplied by third parties are recognized as an operating expense.</w:t>
      </w:r>
    </w:p>
    <w:p>
      <w:pPr>
        <w:pStyle w:val="BodyText"/>
        <w:spacing w:before="21"/>
      </w:pPr>
    </w:p>
    <w:p>
      <w:pPr>
        <w:pStyle w:val="BodyText"/>
        <w:spacing w:line="235" w:lineRule="auto"/>
        <w:ind w:left="144" w:right="118" w:firstLine="499"/>
        <w:jc w:val="both"/>
      </w:pPr>
      <w:r>
        <w:rPr/>
        <w:t>For casino wager transactions that include incentives earned by customers under the Company’s loyalty programs, the Company allocates a portion of net win based upon the SSP</w:t>
      </w:r>
      <w:r>
        <w:rPr>
          <w:spacing w:val="-3"/>
        </w:rPr>
        <w:t> </w:t>
      </w:r>
      <w:r>
        <w:rPr/>
        <w:t>of such incentive (less estimated breakage). This allocation is deferred and recognized as revenue when the customer redeems </w:t>
      </w:r>
      <w:r>
        <w:rPr/>
        <w:t>the incentive. When redeemed, revenue is recognized in</w:t>
      </w:r>
    </w:p>
    <w:p>
      <w:pPr>
        <w:pStyle w:val="BodyText"/>
      </w:pPr>
    </w:p>
    <w:p>
      <w:pPr>
        <w:pStyle w:val="BodyText"/>
        <w:spacing w:before="189"/>
      </w:pPr>
    </w:p>
    <w:p>
      <w:pPr>
        <w:pStyle w:val="BodyText"/>
        <w:ind w:left="24"/>
        <w:jc w:val="center"/>
      </w:pPr>
      <w:r>
        <w:rPr>
          <w:spacing w:val="-5"/>
        </w:rPr>
        <w:t>68</w:t>
      </w:r>
    </w:p>
    <w:p>
      <w:pPr>
        <w:pStyle w:val="BodyText"/>
        <w:spacing w:before="3"/>
        <w:rPr>
          <w:sz w:val="6"/>
        </w:rPr>
      </w:pPr>
      <w:r>
        <w:rPr/>
        <mc:AlternateContent>
          <mc:Choice Requires="wps">
            <w:drawing>
              <wp:anchor distT="0" distB="0" distL="0" distR="0" allowOverlap="1" layoutInCell="1" locked="0" behindDoc="1" simplePos="0" relativeHeight="487660032">
                <wp:simplePos x="0" y="0"/>
                <wp:positionH relativeFrom="page">
                  <wp:posOffset>231457</wp:posOffset>
                </wp:positionH>
                <wp:positionV relativeFrom="paragraph">
                  <wp:posOffset>60956</wp:posOffset>
                </wp:positionV>
                <wp:extent cx="7312659" cy="17145"/>
                <wp:effectExtent l="0" t="0" r="0" b="0"/>
                <wp:wrapTopAndBottom/>
                <wp:docPr id="382" name="Group 382"/>
                <wp:cNvGraphicFramePr>
                  <a:graphicFrameLocks/>
                </wp:cNvGraphicFramePr>
                <a:graphic>
                  <a:graphicData uri="http://schemas.microsoft.com/office/word/2010/wordprocessingGroup">
                    <wpg:wgp>
                      <wpg:cNvPr id="382" name="Group 382"/>
                      <wpg:cNvGrpSpPr/>
                      <wpg:grpSpPr>
                        <a:xfrm>
                          <a:off x="0" y="0"/>
                          <a:ext cx="7312659" cy="17145"/>
                          <a:chExt cx="7312659" cy="17145"/>
                        </a:xfrm>
                      </wpg:grpSpPr>
                      <wps:wsp>
                        <wps:cNvPr id="383" name="Graphic 38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84" name="Graphic 384"/>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85" name="Graphic 38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6448;mso-wrap-distance-left:0;mso-wrap-distance-right:0" id="docshapegroup380" coordorigin="364,96" coordsize="11516,27">
                <v:rect style="position:absolute;left:364;top:96;width:11516;height:14" id="docshape381" filled="true" fillcolor="#999999" stroked="false">
                  <v:fill type="solid"/>
                </v:rect>
                <v:shape style="position:absolute;left:364;top:95;width:11516;height:27" id="docshape382" coordorigin="364,96" coordsize="11516,27" path="m11880,96l11866,109,364,109,364,123,11866,123,11880,123,11880,109,11880,96xe" filled="true" fillcolor="#ededed" stroked="false">
                  <v:path arrowok="t"/>
                  <v:fill type="solid"/>
                </v:shape>
                <v:shape style="position:absolute;left:364;top:96;width:14;height:27" id="docshape38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42" w:lineRule="auto" w:before="63"/>
        <w:ind w:left="144" w:right="118"/>
        <w:jc w:val="both"/>
      </w:pPr>
      <w:r>
        <w:rPr/>
        <w:t>the department that provides the goods or service. Redemption of loyalty incentives at third-party outlets are deducted from the loyalty liability and </w:t>
      </w:r>
      <w:r>
        <w:rPr/>
        <w:t>amounts owed are paid to the third party, with any discount received recorded as other revenue.</w:t>
      </w:r>
      <w:r>
        <w:rPr>
          <w:spacing w:val="-8"/>
        </w:rPr>
        <w:t> </w:t>
      </w:r>
      <w:r>
        <w:rPr/>
        <w:t>After allocating revenue to other goods and services provided as part of casino wager transactions, the Company records the residual amount to casino revenue.</w:t>
      </w:r>
    </w:p>
    <w:p>
      <w:pPr>
        <w:pStyle w:val="BodyText"/>
        <w:spacing w:before="2"/>
      </w:pPr>
    </w:p>
    <w:p>
      <w:pPr>
        <w:pStyle w:val="BodyText"/>
        <w:spacing w:before="1"/>
        <w:ind w:left="144" w:right="118" w:firstLine="499"/>
        <w:jc w:val="both"/>
      </w:pPr>
      <w:r>
        <w:rPr/>
        <w:t>The transaction price of rooms, food and beverage, and retail contracts is the net amount collected from the customer for such goods and services. The transaction price for such contracts is recorded as revenue when the good or service is transferred to the customer over their stay at the hotel or when the delivery is made for the food &amp; beverage and retail &amp; other contracts. Sales and usage-based taxes are excluded from revenues. For some arrangements, </w:t>
      </w:r>
      <w:r>
        <w:rPr/>
        <w:t>the Company acts as an agent in that it arranges for another party to transfer goods and services and the Company is not the controlling entity, which primarily include certain of the Company’s entertainment shows and, in certain jurisdictions, the Company’s arrangement with BetMGM for online sports betting and </w:t>
      </w:r>
      <w:r>
        <w:rPr>
          <w:spacing w:val="-2"/>
        </w:rPr>
        <w:t>iGaming.</w:t>
      </w:r>
    </w:p>
    <w:p>
      <w:pPr>
        <w:pStyle w:val="BodyText"/>
        <w:spacing w:before="8"/>
      </w:pPr>
    </w:p>
    <w:p>
      <w:pPr>
        <w:pStyle w:val="BodyText"/>
        <w:spacing w:before="1"/>
        <w:ind w:left="144" w:right="118" w:firstLine="499"/>
        <w:jc w:val="both"/>
      </w:pPr>
      <w:r>
        <w:rPr/>
        <w:t>The Company also has other contracts that include multiple goods and services, such as packages that bundle food, beverage, or entertainment offerings with hotel stays and convention services. For such arrangements, the Company allocates revenue to each good or service based on its relative SSP. </w:t>
      </w:r>
      <w:r>
        <w:rPr/>
        <w:t>The Company primarily determines the SSP of rooms, food and beverage, entertainment, and retail goods and services based on the amount that the Company charges when sold separately in similar circumstances to similar customers.</w:t>
      </w:r>
    </w:p>
    <w:p>
      <w:pPr>
        <w:pStyle w:val="BodyText"/>
        <w:spacing w:before="4"/>
      </w:pPr>
    </w:p>
    <w:p>
      <w:pPr>
        <w:pStyle w:val="BodyText"/>
        <w:ind w:left="144" w:right="118" w:firstLine="499"/>
        <w:jc w:val="both"/>
      </w:pPr>
      <w:r>
        <w:rPr>
          <w:i/>
        </w:rPr>
        <w:t>Contract and Contract-Related Liabilities. </w:t>
      </w:r>
      <w:r>
        <w:rPr/>
        <w:t>There may be a difference between the timing of cash receipts from the customer and the recognition of revenue, resulting in a contract or contract-related liability. The Company generally has three types of liabilities related to contracts with customers: (1) outstanding chip liability, which represents the amounts owed in exchange for gaming chips held by a customer, (2) loyalty program obligations, which represents the deferred allocation of revenue relating to loyalty program incentives earned, and (3) customer advances and other, which is primarily funds deposited by customers before gaming play occurs (“casino front money”) and advance payments on goods and services yet to be provided such as advance ticket sales and deposits on rooms and convention space or for unpaid wagers. These liabilities are generally expected to be recognized as revenue within one year of being purchased, earned, or deposited and are recorded within “Other accrued liabilities” on the consolidated balance sheets.</w:t>
      </w:r>
    </w:p>
    <w:p>
      <w:pPr>
        <w:pStyle w:val="BodyText"/>
        <w:spacing w:before="18"/>
      </w:pPr>
    </w:p>
    <w:p>
      <w:pPr>
        <w:pStyle w:val="BodyText"/>
        <w:ind w:left="644"/>
      </w:pPr>
      <w:r>
        <w:rPr/>
        <w:t>The</w:t>
      </w:r>
      <w:r>
        <w:rPr>
          <w:spacing w:val="-1"/>
        </w:rPr>
        <w:t> </w:t>
      </w:r>
      <w:r>
        <w:rPr/>
        <w:t>following</w:t>
      </w:r>
      <w:r>
        <w:rPr>
          <w:spacing w:val="-1"/>
        </w:rPr>
        <w:t> </w:t>
      </w:r>
      <w:r>
        <w:rPr/>
        <w:t>table</w:t>
      </w:r>
      <w:r>
        <w:rPr>
          <w:spacing w:val="-1"/>
        </w:rPr>
        <w:t> </w:t>
      </w:r>
      <w:r>
        <w:rPr/>
        <w:t>summarizes</w:t>
      </w:r>
      <w:r>
        <w:rPr>
          <w:spacing w:val="-1"/>
        </w:rPr>
        <w:t> </w:t>
      </w:r>
      <w:r>
        <w:rPr/>
        <w:t>the</w:t>
      </w:r>
      <w:r>
        <w:rPr>
          <w:spacing w:val="-1"/>
        </w:rPr>
        <w:t> </w:t>
      </w:r>
      <w:r>
        <w:rPr/>
        <w:t>activity</w:t>
      </w:r>
      <w:r>
        <w:rPr>
          <w:spacing w:val="-1"/>
        </w:rPr>
        <w:t> </w:t>
      </w:r>
      <w:r>
        <w:rPr/>
        <w:t>related</w:t>
      </w:r>
      <w:r>
        <w:rPr>
          <w:spacing w:val="-1"/>
        </w:rPr>
        <w:t> </w:t>
      </w:r>
      <w:r>
        <w:rPr/>
        <w:t>to</w:t>
      </w:r>
      <w:r>
        <w:rPr>
          <w:spacing w:val="-1"/>
        </w:rPr>
        <w:t> </w:t>
      </w:r>
      <w:r>
        <w:rPr/>
        <w:t>contract</w:t>
      </w:r>
      <w:r>
        <w:rPr>
          <w:spacing w:val="-1"/>
        </w:rPr>
        <w:t> </w:t>
      </w:r>
      <w:r>
        <w:rPr/>
        <w:t>and</w:t>
      </w:r>
      <w:r>
        <w:rPr>
          <w:spacing w:val="-1"/>
        </w:rPr>
        <w:t> </w:t>
      </w:r>
      <w:r>
        <w:rPr/>
        <w:t>contract-related</w:t>
      </w:r>
      <w:r>
        <w:rPr>
          <w:spacing w:val="-1"/>
        </w:rPr>
        <w:t> </w:t>
      </w:r>
      <w:r>
        <w:rPr>
          <w:spacing w:val="-2"/>
        </w:rPr>
        <w:t>liabilities:</w:t>
      </w:r>
    </w:p>
    <w:p>
      <w:pPr>
        <w:pStyle w:val="Heading5"/>
        <w:tabs>
          <w:tab w:pos="4826" w:val="left" w:leader="none"/>
          <w:tab w:pos="6321" w:val="left" w:leader="none"/>
          <w:tab w:pos="6579" w:val="left" w:leader="none"/>
          <w:tab w:pos="7799" w:val="left" w:leader="none"/>
          <w:tab w:pos="9036" w:val="left" w:leader="none"/>
          <w:tab w:pos="9294" w:val="left" w:leader="none"/>
          <w:tab w:pos="11149" w:val="right" w:leader="none"/>
        </w:tabs>
        <w:spacing w:line="343" w:lineRule="auto" w:before="50"/>
        <w:ind w:left="3330" w:right="370" w:hanging="118"/>
        <w:jc w:val="left"/>
      </w:pPr>
      <w:r>
        <w:rPr/>
        <mc:AlternateContent>
          <mc:Choice Requires="wps">
            <w:drawing>
              <wp:anchor distT="0" distB="0" distL="0" distR="0" allowOverlap="1" layoutInCell="1" locked="0" behindDoc="0" simplePos="0" relativeHeight="15801856">
                <wp:simplePos x="0" y="0"/>
                <wp:positionH relativeFrom="page">
                  <wp:posOffset>1928799</wp:posOffset>
                </wp:positionH>
                <wp:positionV relativeFrom="paragraph">
                  <wp:posOffset>181450</wp:posOffset>
                </wp:positionV>
                <wp:extent cx="1826260" cy="889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1826260" cy="8890"/>
                        </a:xfrm>
                        <a:custGeom>
                          <a:avLst/>
                          <a:gdLst/>
                          <a:ahLst/>
                          <a:cxnLst/>
                          <a:rect l="l" t="t" r="r" b="b"/>
                          <a:pathLst>
                            <a:path w="1826260" h="8890">
                              <a:moveTo>
                                <a:pt x="1825942" y="0"/>
                              </a:moveTo>
                              <a:lnTo>
                                <a:pt x="1825942" y="0"/>
                              </a:lnTo>
                              <a:lnTo>
                                <a:pt x="0" y="0"/>
                              </a:lnTo>
                              <a:lnTo>
                                <a:pt x="0" y="8572"/>
                              </a:lnTo>
                              <a:lnTo>
                                <a:pt x="1825942" y="8572"/>
                              </a:lnTo>
                              <a:lnTo>
                                <a:pt x="18259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1.874008pt;margin-top:14.287477pt;width:143.775007pt;height:.675pt;mso-position-horizontal-relative:page;mso-position-vertical-relative:paragraph;z-index:15801856" id="docshape38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2368">
                <wp:simplePos x="0" y="0"/>
                <wp:positionH relativeFrom="page">
                  <wp:posOffset>3831895</wp:posOffset>
                </wp:positionH>
                <wp:positionV relativeFrom="paragraph">
                  <wp:posOffset>181450</wp:posOffset>
                </wp:positionV>
                <wp:extent cx="1809114" cy="889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1809114" cy="8890"/>
                        </a:xfrm>
                        <a:custGeom>
                          <a:avLst/>
                          <a:gdLst/>
                          <a:ahLst/>
                          <a:cxnLst/>
                          <a:rect l="l" t="t" r="r" b="b"/>
                          <a:pathLst>
                            <a:path w="1809114" h="8890">
                              <a:moveTo>
                                <a:pt x="1808797" y="0"/>
                              </a:moveTo>
                              <a:lnTo>
                                <a:pt x="1808797" y="0"/>
                              </a:lnTo>
                              <a:lnTo>
                                <a:pt x="0" y="0"/>
                              </a:lnTo>
                              <a:lnTo>
                                <a:pt x="0" y="8572"/>
                              </a:lnTo>
                              <a:lnTo>
                                <a:pt x="1808797" y="8572"/>
                              </a:lnTo>
                              <a:lnTo>
                                <a:pt x="1808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4030pt;margin-top:14.287477pt;width:142.425007pt;height:.675pt;mso-position-horizontal-relative:page;mso-position-vertical-relative:paragraph;z-index:15802368" id="docshape38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2880">
                <wp:simplePos x="0" y="0"/>
                <wp:positionH relativeFrom="page">
                  <wp:posOffset>5717845</wp:posOffset>
                </wp:positionH>
                <wp:positionV relativeFrom="paragraph">
                  <wp:posOffset>181450</wp:posOffset>
                </wp:positionV>
                <wp:extent cx="1826260" cy="889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1826260" cy="8890"/>
                        </a:xfrm>
                        <a:custGeom>
                          <a:avLst/>
                          <a:gdLst/>
                          <a:ahLst/>
                          <a:cxnLst/>
                          <a:rect l="l" t="t" r="r" b="b"/>
                          <a:pathLst>
                            <a:path w="1826260" h="8890">
                              <a:moveTo>
                                <a:pt x="1825942" y="0"/>
                              </a:moveTo>
                              <a:lnTo>
                                <a:pt x="1825942" y="0"/>
                              </a:lnTo>
                              <a:lnTo>
                                <a:pt x="0" y="0"/>
                              </a:lnTo>
                              <a:lnTo>
                                <a:pt x="0" y="8572"/>
                              </a:lnTo>
                              <a:lnTo>
                                <a:pt x="1825942" y="8572"/>
                              </a:lnTo>
                              <a:lnTo>
                                <a:pt x="18259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22403pt;margin-top:14.287477pt;width:143.775007pt;height:.675pt;mso-position-horizontal-relative:page;mso-position-vertical-relative:paragraph;z-index:15802880" id="docshape38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3392">
                <wp:simplePos x="0" y="0"/>
                <wp:positionH relativeFrom="page">
                  <wp:posOffset>1928799</wp:posOffset>
                </wp:positionH>
                <wp:positionV relativeFrom="paragraph">
                  <wp:posOffset>370045</wp:posOffset>
                </wp:positionV>
                <wp:extent cx="5615305" cy="889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5615305" cy="8890"/>
                        </a:xfrm>
                        <a:custGeom>
                          <a:avLst/>
                          <a:gdLst/>
                          <a:ahLst/>
                          <a:cxnLst/>
                          <a:rect l="l" t="t" r="r" b="b"/>
                          <a:pathLst>
                            <a:path w="5615305" h="8890">
                              <a:moveTo>
                                <a:pt x="5614987" y="0"/>
                              </a:moveTo>
                              <a:lnTo>
                                <a:pt x="5614987" y="0"/>
                              </a:lnTo>
                              <a:lnTo>
                                <a:pt x="0" y="0"/>
                              </a:lnTo>
                              <a:lnTo>
                                <a:pt x="0" y="8572"/>
                              </a:lnTo>
                              <a:lnTo>
                                <a:pt x="5614987" y="8572"/>
                              </a:lnTo>
                              <a:lnTo>
                                <a:pt x="56149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1.874008pt;margin-top:29.137478pt;width:442.125021pt;height:.675pt;mso-position-horizontal-relative:page;mso-position-vertical-relative:paragraph;z-index:15803392" id="docshape387" filled="true" fillcolor="#000000" stroked="false">
                <v:fill type="solid"/>
                <w10:wrap type="none"/>
              </v:rect>
            </w:pict>
          </mc:Fallback>
        </mc:AlternateContent>
      </w:r>
      <w:r>
        <w:rPr/>
        <w:t>Outstanding Chip Liability</w:t>
        <w:tab/>
        <w:tab/>
        <w:t>Loyalty Program</w:t>
        <w:tab/>
        <w:t>Customer</w:t>
      </w:r>
      <w:r>
        <w:rPr>
          <w:spacing w:val="-14"/>
        </w:rPr>
        <w:t> </w:t>
      </w:r>
      <w:r>
        <w:rPr/>
        <w:t>Advances</w:t>
      </w:r>
      <w:r>
        <w:rPr>
          <w:spacing w:val="-12"/>
        </w:rPr>
        <w:t> </w:t>
      </w:r>
      <w:r>
        <w:rPr/>
        <w:t>and</w:t>
      </w:r>
      <w:r>
        <w:rPr>
          <w:spacing w:val="-11"/>
        </w:rPr>
        <w:t> </w:t>
      </w:r>
      <w:r>
        <w:rPr/>
        <w:t>Other </w:t>
      </w:r>
      <w:r>
        <w:rPr>
          <w:spacing w:val="-4"/>
        </w:rPr>
        <w:t>2022</w:t>
      </w:r>
      <w:r>
        <w:rPr/>
        <w:tab/>
      </w:r>
      <w:r>
        <w:rPr>
          <w:spacing w:val="-4"/>
        </w:rPr>
        <w:t>2021</w:t>
      </w:r>
      <w:r>
        <w:rPr/>
        <w:tab/>
      </w:r>
      <w:r>
        <w:rPr>
          <w:spacing w:val="-4"/>
        </w:rPr>
        <w:t>2022</w:t>
      </w:r>
      <w:r>
        <w:rPr/>
        <w:tab/>
      </w:r>
      <w:r>
        <w:rPr>
          <w:spacing w:val="-4"/>
        </w:rPr>
        <w:t>2021</w:t>
      </w:r>
      <w:r>
        <w:rPr/>
        <w:tab/>
        <w:tab/>
      </w:r>
      <w:r>
        <w:rPr>
          <w:spacing w:val="-4"/>
        </w:rPr>
        <w:t>2022</w:t>
      </w:r>
      <w:r>
        <w:rPr>
          <w:b w:val="0"/>
        </w:rPr>
        <w:tab/>
      </w:r>
      <w:r>
        <w:rPr>
          <w:spacing w:val="-4"/>
        </w:rPr>
        <w:t>2021</w:t>
      </w:r>
    </w:p>
    <w:p>
      <w:pPr>
        <w:spacing w:line="160" w:lineRule="exact" w:before="0" w:after="51"/>
        <w:ind w:left="2701"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806"/>
        <w:gridCol w:w="1518"/>
        <w:gridCol w:w="1464"/>
        <w:gridCol w:w="1486"/>
        <w:gridCol w:w="1494"/>
        <w:gridCol w:w="1465"/>
      </w:tblGrid>
      <w:tr>
        <w:trPr>
          <w:trHeight w:val="256" w:hRule="atLeast"/>
        </w:trPr>
        <w:tc>
          <w:tcPr>
            <w:tcW w:w="2282" w:type="dxa"/>
            <w:shd w:val="clear" w:color="auto" w:fill="CFF0FB"/>
          </w:tcPr>
          <w:p>
            <w:pPr>
              <w:pStyle w:val="TableParagraph"/>
              <w:ind w:left="17"/>
              <w:rPr>
                <w:b/>
                <w:sz w:val="18"/>
              </w:rPr>
            </w:pPr>
            <w:r>
              <w:rPr>
                <w:b/>
                <w:sz w:val="18"/>
              </w:rPr>
              <w:t>Balance</w:t>
            </w:r>
            <w:r>
              <w:rPr>
                <w:b/>
                <w:spacing w:val="-1"/>
                <w:sz w:val="18"/>
              </w:rPr>
              <w:t> </w:t>
            </w:r>
            <w:r>
              <w:rPr>
                <w:b/>
                <w:sz w:val="18"/>
              </w:rPr>
              <w:t>at</w:t>
            </w:r>
            <w:r>
              <w:rPr>
                <w:b/>
                <w:spacing w:val="-1"/>
                <w:sz w:val="18"/>
              </w:rPr>
              <w:t> </w:t>
            </w:r>
            <w:r>
              <w:rPr>
                <w:b/>
                <w:sz w:val="18"/>
              </w:rPr>
              <w:t>January</w:t>
            </w:r>
            <w:r>
              <w:rPr>
                <w:b/>
                <w:spacing w:val="-1"/>
                <w:sz w:val="18"/>
              </w:rPr>
              <w:t> </w:t>
            </w:r>
            <w:r>
              <w:rPr>
                <w:b/>
                <w:spacing w:val="-10"/>
                <w:sz w:val="18"/>
              </w:rPr>
              <w:t>1</w:t>
            </w:r>
          </w:p>
        </w:tc>
        <w:tc>
          <w:tcPr>
            <w:tcW w:w="1806" w:type="dxa"/>
            <w:shd w:val="clear" w:color="auto" w:fill="CFF0FB"/>
          </w:tcPr>
          <w:p>
            <w:pPr>
              <w:pStyle w:val="TableParagraph"/>
              <w:tabs>
                <w:tab w:pos="703" w:val="left" w:leader="none"/>
              </w:tabs>
              <w:ind w:right="102"/>
              <w:jc w:val="right"/>
              <w:rPr>
                <w:sz w:val="18"/>
              </w:rPr>
            </w:pPr>
            <w:r>
              <w:rPr>
                <w:spacing w:val="-10"/>
                <w:sz w:val="18"/>
              </w:rPr>
              <w:t>$</w:t>
            </w:r>
            <w:r>
              <w:rPr>
                <w:sz w:val="18"/>
              </w:rPr>
              <w:tab/>
            </w:r>
            <w:r>
              <w:rPr>
                <w:spacing w:val="-2"/>
                <w:sz w:val="18"/>
              </w:rPr>
              <w:t>176,219</w:t>
            </w:r>
          </w:p>
        </w:tc>
        <w:tc>
          <w:tcPr>
            <w:tcW w:w="1518" w:type="dxa"/>
            <w:shd w:val="clear" w:color="auto" w:fill="CFF0FB"/>
          </w:tcPr>
          <w:p>
            <w:pPr>
              <w:pStyle w:val="TableParagraph"/>
              <w:tabs>
                <w:tab w:pos="703" w:val="left" w:leader="none"/>
              </w:tabs>
              <w:ind w:right="124"/>
              <w:jc w:val="right"/>
              <w:rPr>
                <w:sz w:val="18"/>
              </w:rPr>
            </w:pPr>
            <w:r>
              <w:rPr>
                <w:spacing w:val="-10"/>
                <w:sz w:val="18"/>
              </w:rPr>
              <w:t>$</w:t>
            </w:r>
            <w:r>
              <w:rPr>
                <w:sz w:val="18"/>
              </w:rPr>
              <w:tab/>
            </w:r>
            <w:r>
              <w:rPr>
                <w:spacing w:val="-2"/>
                <w:sz w:val="18"/>
              </w:rPr>
              <w:t>212,671</w:t>
            </w:r>
          </w:p>
        </w:tc>
        <w:tc>
          <w:tcPr>
            <w:tcW w:w="1464" w:type="dxa"/>
            <w:shd w:val="clear" w:color="auto" w:fill="CFF0FB"/>
          </w:tcPr>
          <w:p>
            <w:pPr>
              <w:pStyle w:val="TableParagraph"/>
              <w:tabs>
                <w:tab w:pos="703" w:val="left" w:leader="none"/>
              </w:tabs>
              <w:ind w:right="93"/>
              <w:jc w:val="right"/>
              <w:rPr>
                <w:sz w:val="18"/>
              </w:rPr>
            </w:pPr>
            <w:r>
              <w:rPr>
                <w:spacing w:val="-10"/>
                <w:sz w:val="18"/>
              </w:rPr>
              <w:t>$</w:t>
            </w:r>
            <w:r>
              <w:rPr>
                <w:sz w:val="18"/>
              </w:rPr>
              <w:tab/>
            </w:r>
            <w:r>
              <w:rPr>
                <w:spacing w:val="-2"/>
                <w:sz w:val="18"/>
              </w:rPr>
              <w:t>144,465</w:t>
            </w:r>
          </w:p>
        </w:tc>
        <w:tc>
          <w:tcPr>
            <w:tcW w:w="1486" w:type="dxa"/>
            <w:shd w:val="clear" w:color="auto" w:fill="CFF0FB"/>
          </w:tcPr>
          <w:p>
            <w:pPr>
              <w:pStyle w:val="TableParagraph"/>
              <w:tabs>
                <w:tab w:pos="703" w:val="left" w:leader="none"/>
              </w:tabs>
              <w:ind w:right="101"/>
              <w:jc w:val="right"/>
              <w:rPr>
                <w:sz w:val="18"/>
              </w:rPr>
            </w:pPr>
            <w:r>
              <w:rPr>
                <w:spacing w:val="-10"/>
                <w:sz w:val="18"/>
              </w:rPr>
              <w:t>$</w:t>
            </w:r>
            <w:r>
              <w:rPr>
                <w:sz w:val="18"/>
              </w:rPr>
              <w:tab/>
            </w:r>
            <w:r>
              <w:rPr>
                <w:spacing w:val="-2"/>
                <w:sz w:val="18"/>
              </w:rPr>
              <w:t>139,756</w:t>
            </w:r>
          </w:p>
        </w:tc>
        <w:tc>
          <w:tcPr>
            <w:tcW w:w="1494" w:type="dxa"/>
            <w:shd w:val="clear" w:color="auto" w:fill="CFF0FB"/>
          </w:tcPr>
          <w:p>
            <w:pPr>
              <w:pStyle w:val="TableParagraph"/>
              <w:tabs>
                <w:tab w:pos="703" w:val="left" w:leader="none"/>
              </w:tabs>
              <w:ind w:right="101"/>
              <w:jc w:val="right"/>
              <w:rPr>
                <w:sz w:val="18"/>
              </w:rPr>
            </w:pPr>
            <w:r>
              <w:rPr>
                <w:spacing w:val="-10"/>
                <w:sz w:val="18"/>
              </w:rPr>
              <w:t>$</w:t>
            </w:r>
            <w:r>
              <w:rPr>
                <w:sz w:val="18"/>
              </w:rPr>
              <w:tab/>
            </w:r>
            <w:r>
              <w:rPr>
                <w:spacing w:val="-2"/>
                <w:sz w:val="18"/>
              </w:rPr>
              <w:t>640,001</w:t>
            </w:r>
          </w:p>
        </w:tc>
        <w:tc>
          <w:tcPr>
            <w:tcW w:w="1465" w:type="dxa"/>
            <w:shd w:val="clear" w:color="auto" w:fill="CFF0FB"/>
          </w:tcPr>
          <w:p>
            <w:pPr>
              <w:pStyle w:val="TableParagraph"/>
              <w:tabs>
                <w:tab w:pos="704" w:val="left" w:leader="none"/>
              </w:tabs>
              <w:ind w:right="70"/>
              <w:jc w:val="right"/>
              <w:rPr>
                <w:sz w:val="18"/>
              </w:rPr>
            </w:pPr>
            <w:r>
              <w:rPr>
                <w:spacing w:val="-10"/>
                <w:sz w:val="18"/>
              </w:rPr>
              <w:t>$</w:t>
            </w:r>
            <w:r>
              <w:rPr>
                <w:sz w:val="18"/>
              </w:rPr>
              <w:tab/>
            </w:r>
            <w:r>
              <w:rPr>
                <w:spacing w:val="-2"/>
                <w:sz w:val="18"/>
              </w:rPr>
              <w:t>382,287</w:t>
            </w:r>
          </w:p>
        </w:tc>
      </w:tr>
      <w:tr>
        <w:trPr>
          <w:trHeight w:val="255" w:hRule="atLeast"/>
        </w:trPr>
        <w:tc>
          <w:tcPr>
            <w:tcW w:w="2282" w:type="dxa"/>
          </w:tcPr>
          <w:p>
            <w:pPr>
              <w:pStyle w:val="TableParagraph"/>
              <w:ind w:left="17"/>
              <w:rPr>
                <w:b/>
                <w:sz w:val="18"/>
              </w:rPr>
            </w:pPr>
            <w:r>
              <w:rPr>
                <w:b/>
                <w:sz w:val="18"/>
              </w:rPr>
              <w:t>Balance</w:t>
            </w:r>
            <w:r>
              <w:rPr>
                <w:b/>
                <w:spacing w:val="-1"/>
                <w:sz w:val="18"/>
              </w:rPr>
              <w:t> </w:t>
            </w:r>
            <w:r>
              <w:rPr>
                <w:b/>
                <w:sz w:val="18"/>
              </w:rPr>
              <w:t>at</w:t>
            </w:r>
            <w:r>
              <w:rPr>
                <w:b/>
                <w:spacing w:val="-1"/>
                <w:sz w:val="18"/>
              </w:rPr>
              <w:t> </w:t>
            </w:r>
            <w:r>
              <w:rPr>
                <w:b/>
                <w:sz w:val="18"/>
              </w:rPr>
              <w:t>December</w:t>
            </w:r>
            <w:r>
              <w:rPr>
                <w:b/>
                <w:spacing w:val="-4"/>
                <w:sz w:val="18"/>
              </w:rPr>
              <w:t> </w:t>
            </w:r>
            <w:r>
              <w:rPr>
                <w:b/>
                <w:spacing w:val="-5"/>
                <w:sz w:val="18"/>
              </w:rPr>
              <w:t>31</w:t>
            </w:r>
          </w:p>
        </w:tc>
        <w:tc>
          <w:tcPr>
            <w:tcW w:w="1806" w:type="dxa"/>
            <w:tcBorders>
              <w:bottom w:val="single" w:sz="6" w:space="0" w:color="000000"/>
            </w:tcBorders>
          </w:tcPr>
          <w:p>
            <w:pPr>
              <w:pStyle w:val="TableParagraph"/>
              <w:ind w:right="102"/>
              <w:jc w:val="right"/>
              <w:rPr>
                <w:sz w:val="18"/>
              </w:rPr>
            </w:pPr>
            <w:r>
              <w:rPr>
                <w:spacing w:val="-2"/>
                <w:sz w:val="18"/>
              </w:rPr>
              <w:t>185,669</w:t>
            </w:r>
          </w:p>
        </w:tc>
        <w:tc>
          <w:tcPr>
            <w:tcW w:w="1518" w:type="dxa"/>
            <w:tcBorders>
              <w:bottom w:val="single" w:sz="6" w:space="0" w:color="000000"/>
            </w:tcBorders>
          </w:tcPr>
          <w:p>
            <w:pPr>
              <w:pStyle w:val="TableParagraph"/>
              <w:ind w:right="124"/>
              <w:jc w:val="right"/>
              <w:rPr>
                <w:sz w:val="18"/>
              </w:rPr>
            </w:pPr>
            <w:r>
              <w:rPr>
                <w:spacing w:val="-2"/>
                <w:sz w:val="18"/>
              </w:rPr>
              <w:t>176,219</w:t>
            </w:r>
          </w:p>
        </w:tc>
        <w:tc>
          <w:tcPr>
            <w:tcW w:w="1464" w:type="dxa"/>
            <w:tcBorders>
              <w:bottom w:val="single" w:sz="6" w:space="0" w:color="000000"/>
            </w:tcBorders>
          </w:tcPr>
          <w:p>
            <w:pPr>
              <w:pStyle w:val="TableParagraph"/>
              <w:ind w:right="93"/>
              <w:jc w:val="right"/>
              <w:rPr>
                <w:sz w:val="18"/>
              </w:rPr>
            </w:pPr>
            <w:r>
              <w:rPr>
                <w:spacing w:val="-2"/>
                <w:sz w:val="18"/>
              </w:rPr>
              <w:t>183,602</w:t>
            </w:r>
          </w:p>
        </w:tc>
        <w:tc>
          <w:tcPr>
            <w:tcW w:w="1486" w:type="dxa"/>
            <w:tcBorders>
              <w:bottom w:val="single" w:sz="6" w:space="0" w:color="000000"/>
            </w:tcBorders>
          </w:tcPr>
          <w:p>
            <w:pPr>
              <w:pStyle w:val="TableParagraph"/>
              <w:ind w:right="101"/>
              <w:jc w:val="right"/>
              <w:rPr>
                <w:sz w:val="18"/>
              </w:rPr>
            </w:pPr>
            <w:r>
              <w:rPr>
                <w:spacing w:val="-2"/>
                <w:sz w:val="18"/>
              </w:rPr>
              <w:t>144,465</w:t>
            </w:r>
          </w:p>
        </w:tc>
        <w:tc>
          <w:tcPr>
            <w:tcW w:w="1494" w:type="dxa"/>
            <w:tcBorders>
              <w:bottom w:val="single" w:sz="6" w:space="0" w:color="000000"/>
            </w:tcBorders>
          </w:tcPr>
          <w:p>
            <w:pPr>
              <w:pStyle w:val="TableParagraph"/>
              <w:ind w:right="101"/>
              <w:jc w:val="right"/>
              <w:rPr>
                <w:sz w:val="18"/>
              </w:rPr>
            </w:pPr>
            <w:r>
              <w:rPr>
                <w:spacing w:val="-2"/>
                <w:sz w:val="18"/>
              </w:rPr>
              <w:t>816,376</w:t>
            </w:r>
          </w:p>
        </w:tc>
        <w:tc>
          <w:tcPr>
            <w:tcW w:w="1465" w:type="dxa"/>
            <w:tcBorders>
              <w:bottom w:val="single" w:sz="6" w:space="0" w:color="000000"/>
            </w:tcBorders>
          </w:tcPr>
          <w:p>
            <w:pPr>
              <w:pStyle w:val="TableParagraph"/>
              <w:ind w:right="70"/>
              <w:jc w:val="right"/>
              <w:rPr>
                <w:sz w:val="18"/>
              </w:rPr>
            </w:pPr>
            <w:r>
              <w:rPr>
                <w:spacing w:val="-2"/>
                <w:sz w:val="18"/>
              </w:rPr>
              <w:t>640,001</w:t>
            </w:r>
          </w:p>
        </w:tc>
      </w:tr>
      <w:tr>
        <w:trPr>
          <w:trHeight w:val="260" w:hRule="atLeast"/>
        </w:trPr>
        <w:tc>
          <w:tcPr>
            <w:tcW w:w="2282" w:type="dxa"/>
            <w:shd w:val="clear" w:color="auto" w:fill="CFF0FB"/>
          </w:tcPr>
          <w:p>
            <w:pPr>
              <w:pStyle w:val="TableParagraph"/>
              <w:spacing w:line="193" w:lineRule="exact" w:before="47"/>
              <w:ind w:left="17"/>
              <w:rPr>
                <w:b/>
                <w:sz w:val="18"/>
              </w:rPr>
            </w:pPr>
            <w:r>
              <w:rPr>
                <w:b/>
                <w:sz w:val="18"/>
              </w:rPr>
              <w:t>Increase</w:t>
            </w:r>
            <w:r>
              <w:rPr>
                <w:b/>
                <w:spacing w:val="-3"/>
                <w:sz w:val="18"/>
              </w:rPr>
              <w:t> </w:t>
            </w:r>
            <w:r>
              <w:rPr>
                <w:b/>
                <w:sz w:val="18"/>
              </w:rPr>
              <w:t>/</w:t>
            </w:r>
            <w:r>
              <w:rPr>
                <w:b/>
                <w:spacing w:val="-3"/>
                <w:sz w:val="18"/>
              </w:rPr>
              <w:t> </w:t>
            </w:r>
            <w:r>
              <w:rPr>
                <w:b/>
                <w:spacing w:val="-2"/>
                <w:sz w:val="18"/>
              </w:rPr>
              <w:t>(decrease)</w:t>
            </w:r>
          </w:p>
        </w:tc>
        <w:tc>
          <w:tcPr>
            <w:tcW w:w="1806" w:type="dxa"/>
            <w:tcBorders>
              <w:top w:val="single" w:sz="6" w:space="0" w:color="000000"/>
            </w:tcBorders>
            <w:shd w:val="clear" w:color="auto" w:fill="CFF0FB"/>
          </w:tcPr>
          <w:p>
            <w:pPr>
              <w:pStyle w:val="TableParagraph"/>
              <w:tabs>
                <w:tab w:pos="883" w:val="left" w:leader="none"/>
              </w:tabs>
              <w:spacing w:before="20"/>
              <w:ind w:right="102"/>
              <w:jc w:val="right"/>
              <w:rPr>
                <w:sz w:val="18"/>
              </w:rPr>
            </w:pPr>
            <w:r>
              <w:rPr/>
              <mc:AlternateContent>
                <mc:Choice Requires="wps">
                  <w:drawing>
                    <wp:anchor distT="0" distB="0" distL="0" distR="0" allowOverlap="1" layoutInCell="1" locked="0" behindDoc="1" simplePos="0" relativeHeight="477704192">
                      <wp:simplePos x="0" y="0"/>
                      <wp:positionH relativeFrom="column">
                        <wp:posOffset>248426</wp:posOffset>
                      </wp:positionH>
                      <wp:positionV relativeFrom="paragraph">
                        <wp:posOffset>162294</wp:posOffset>
                      </wp:positionV>
                      <wp:extent cx="874394" cy="3429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874394" cy="34290"/>
                                <a:chExt cx="874394" cy="34290"/>
                              </a:xfrm>
                            </wpg:grpSpPr>
                            <wps:wsp>
                              <wps:cNvPr id="391" name="Graphic 391"/>
                              <wps:cNvSpPr/>
                              <wps:spPr>
                                <a:xfrm>
                                  <a:off x="-12" y="-9"/>
                                  <a:ext cx="874394" cy="34290"/>
                                </a:xfrm>
                                <a:custGeom>
                                  <a:avLst/>
                                  <a:gdLst/>
                                  <a:ahLst/>
                                  <a:cxnLst/>
                                  <a:rect l="l" t="t" r="r" b="b"/>
                                  <a:pathLst>
                                    <a:path w="874394" h="34290">
                                      <a:moveTo>
                                        <a:pt x="874395" y="25717"/>
                                      </a:moveTo>
                                      <a:lnTo>
                                        <a:pt x="857250" y="25717"/>
                                      </a:lnTo>
                                      <a:lnTo>
                                        <a:pt x="77152" y="25717"/>
                                      </a:lnTo>
                                      <a:lnTo>
                                        <a:pt x="0" y="25717"/>
                                      </a:lnTo>
                                      <a:lnTo>
                                        <a:pt x="0" y="34290"/>
                                      </a:lnTo>
                                      <a:lnTo>
                                        <a:pt x="77152" y="34290"/>
                                      </a:lnTo>
                                      <a:lnTo>
                                        <a:pt x="857250" y="34290"/>
                                      </a:lnTo>
                                      <a:lnTo>
                                        <a:pt x="874395" y="34290"/>
                                      </a:lnTo>
                                      <a:lnTo>
                                        <a:pt x="874395" y="25717"/>
                                      </a:lnTo>
                                      <a:close/>
                                    </a:path>
                                    <a:path w="874394" h="34290">
                                      <a:moveTo>
                                        <a:pt x="874395" y="0"/>
                                      </a:moveTo>
                                      <a:lnTo>
                                        <a:pt x="857250" y="0"/>
                                      </a:lnTo>
                                      <a:lnTo>
                                        <a:pt x="77152" y="0"/>
                                      </a:lnTo>
                                      <a:lnTo>
                                        <a:pt x="0" y="0"/>
                                      </a:lnTo>
                                      <a:lnTo>
                                        <a:pt x="0" y="8572"/>
                                      </a:lnTo>
                                      <a:lnTo>
                                        <a:pt x="77152" y="8572"/>
                                      </a:lnTo>
                                      <a:lnTo>
                                        <a:pt x="857250" y="8572"/>
                                      </a:lnTo>
                                      <a:lnTo>
                                        <a:pt x="874395" y="857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561132pt;margin-top:12.779118pt;width:68.850pt;height:2.7pt;mso-position-horizontal-relative:column;mso-position-vertical-relative:paragraph;z-index:-25612288" id="docshapegroup388" coordorigin="391,256" coordsize="1377,54">
                      <v:shape style="position:absolute;left:391;top:255;width:1377;height:54" id="docshape389" coordorigin="391,256" coordsize="1377,54" path="m1768,296l1741,296,513,296,391,296,391,310,513,310,1741,310,1768,310,1768,296xm1768,256l1741,256,513,256,391,256,391,269,513,269,1741,269,1768,269,1768,256xe" filled="true" fillcolor="#000000" stroked="false">
                        <v:path arrowok="t"/>
                        <v:fill type="solid"/>
                      </v:shape>
                      <w10:wrap type="none"/>
                    </v:group>
                  </w:pict>
                </mc:Fallback>
              </mc:AlternateContent>
            </w:r>
            <w:r>
              <w:rPr>
                <w:spacing w:val="-10"/>
                <w:sz w:val="18"/>
              </w:rPr>
              <w:t>$</w:t>
            </w:r>
            <w:r>
              <w:rPr>
                <w:sz w:val="18"/>
              </w:rPr>
              <w:tab/>
            </w:r>
            <w:r>
              <w:rPr>
                <w:spacing w:val="-2"/>
                <w:sz w:val="18"/>
              </w:rPr>
              <w:t>9,450</w:t>
            </w:r>
          </w:p>
        </w:tc>
        <w:tc>
          <w:tcPr>
            <w:tcW w:w="1518" w:type="dxa"/>
            <w:tcBorders>
              <w:top w:val="single" w:sz="6" w:space="0" w:color="000000"/>
            </w:tcBorders>
            <w:shd w:val="clear" w:color="auto" w:fill="CFF0FB"/>
          </w:tcPr>
          <w:p>
            <w:pPr>
              <w:pStyle w:val="TableParagraph"/>
              <w:tabs>
                <w:tab w:pos="718" w:val="left" w:leader="none"/>
              </w:tabs>
              <w:spacing w:before="20"/>
              <w:ind w:right="79"/>
              <w:jc w:val="right"/>
              <w:rPr>
                <w:sz w:val="18"/>
              </w:rPr>
            </w:pPr>
            <w:r>
              <w:rPr/>
              <mc:AlternateContent>
                <mc:Choice Requires="wps">
                  <w:drawing>
                    <wp:anchor distT="0" distB="0" distL="0" distR="0" allowOverlap="1" layoutInCell="1" locked="0" behindDoc="1" simplePos="0" relativeHeight="477704704">
                      <wp:simplePos x="0" y="0"/>
                      <wp:positionH relativeFrom="column">
                        <wp:posOffset>53535</wp:posOffset>
                      </wp:positionH>
                      <wp:positionV relativeFrom="paragraph">
                        <wp:posOffset>162294</wp:posOffset>
                      </wp:positionV>
                      <wp:extent cx="874394" cy="34290"/>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874394" cy="34290"/>
                                <a:chExt cx="874394" cy="34290"/>
                              </a:xfrm>
                            </wpg:grpSpPr>
                            <wps:wsp>
                              <wps:cNvPr id="393" name="Graphic 393"/>
                              <wps:cNvSpPr/>
                              <wps:spPr>
                                <a:xfrm>
                                  <a:off x="-12" y="-9"/>
                                  <a:ext cx="874394" cy="34290"/>
                                </a:xfrm>
                                <a:custGeom>
                                  <a:avLst/>
                                  <a:gdLst/>
                                  <a:ahLst/>
                                  <a:cxnLst/>
                                  <a:rect l="l" t="t" r="r" b="b"/>
                                  <a:pathLst>
                                    <a:path w="874394" h="34290">
                                      <a:moveTo>
                                        <a:pt x="874395" y="25717"/>
                                      </a:moveTo>
                                      <a:lnTo>
                                        <a:pt x="857250" y="25717"/>
                                      </a:lnTo>
                                      <a:lnTo>
                                        <a:pt x="77152" y="25717"/>
                                      </a:lnTo>
                                      <a:lnTo>
                                        <a:pt x="0" y="25717"/>
                                      </a:lnTo>
                                      <a:lnTo>
                                        <a:pt x="0" y="34290"/>
                                      </a:lnTo>
                                      <a:lnTo>
                                        <a:pt x="77152" y="34290"/>
                                      </a:lnTo>
                                      <a:lnTo>
                                        <a:pt x="857250" y="34290"/>
                                      </a:lnTo>
                                      <a:lnTo>
                                        <a:pt x="874395" y="34290"/>
                                      </a:lnTo>
                                      <a:lnTo>
                                        <a:pt x="874395" y="25717"/>
                                      </a:lnTo>
                                      <a:close/>
                                    </a:path>
                                    <a:path w="874394" h="34290">
                                      <a:moveTo>
                                        <a:pt x="874395" y="0"/>
                                      </a:moveTo>
                                      <a:lnTo>
                                        <a:pt x="857250" y="0"/>
                                      </a:lnTo>
                                      <a:lnTo>
                                        <a:pt x="77152" y="0"/>
                                      </a:lnTo>
                                      <a:lnTo>
                                        <a:pt x="0" y="0"/>
                                      </a:lnTo>
                                      <a:lnTo>
                                        <a:pt x="0" y="8572"/>
                                      </a:lnTo>
                                      <a:lnTo>
                                        <a:pt x="77152" y="8572"/>
                                      </a:lnTo>
                                      <a:lnTo>
                                        <a:pt x="857250" y="8572"/>
                                      </a:lnTo>
                                      <a:lnTo>
                                        <a:pt x="874395" y="857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15398pt;margin-top:12.779118pt;width:68.850pt;height:2.7pt;mso-position-horizontal-relative:column;mso-position-vertical-relative:paragraph;z-index:-25611776" id="docshapegroup390" coordorigin="84,256" coordsize="1377,54">
                      <v:shape style="position:absolute;left:84;top:255;width:1377;height:54" id="docshape391" coordorigin="84,256" coordsize="1377,54" path="m1461,296l1434,296,206,296,84,296,84,310,206,310,1434,310,1461,310,1461,296xm1461,256l1434,256,206,256,84,256,84,269,206,269,1434,269,1461,269,1461,256xe" filled="true" fillcolor="#000000" stroked="false">
                        <v:path arrowok="t"/>
                        <v:fill type="solid"/>
                      </v:shape>
                      <w10:wrap type="none"/>
                    </v:group>
                  </w:pict>
                </mc:Fallback>
              </mc:AlternateContent>
            </w:r>
            <w:r>
              <w:rPr>
                <w:spacing w:val="-10"/>
                <w:sz w:val="18"/>
              </w:rPr>
              <w:t>$</w:t>
            </w:r>
            <w:r>
              <w:rPr>
                <w:sz w:val="18"/>
              </w:rPr>
              <w:tab/>
            </w:r>
            <w:r>
              <w:rPr>
                <w:spacing w:val="-2"/>
                <w:sz w:val="18"/>
              </w:rPr>
              <w:t>(36,452)</w:t>
            </w:r>
          </w:p>
        </w:tc>
        <w:tc>
          <w:tcPr>
            <w:tcW w:w="1464" w:type="dxa"/>
            <w:tcBorders>
              <w:top w:val="single" w:sz="6" w:space="0" w:color="000000"/>
            </w:tcBorders>
            <w:shd w:val="clear" w:color="auto" w:fill="CFF0FB"/>
          </w:tcPr>
          <w:p>
            <w:pPr>
              <w:pStyle w:val="TableParagraph"/>
              <w:tabs>
                <w:tab w:pos="793" w:val="left" w:leader="none"/>
              </w:tabs>
              <w:spacing w:before="20"/>
              <w:ind w:right="93"/>
              <w:jc w:val="right"/>
              <w:rPr>
                <w:sz w:val="18"/>
              </w:rPr>
            </w:pPr>
            <w:r>
              <w:rPr/>
              <mc:AlternateContent>
                <mc:Choice Requires="wps">
                  <w:drawing>
                    <wp:anchor distT="0" distB="0" distL="0" distR="0" allowOverlap="1" layoutInCell="1" locked="0" behindDoc="1" simplePos="0" relativeHeight="477705216">
                      <wp:simplePos x="0" y="0"/>
                      <wp:positionH relativeFrom="column">
                        <wp:posOffset>41304</wp:posOffset>
                      </wp:positionH>
                      <wp:positionV relativeFrom="paragraph">
                        <wp:posOffset>162294</wp:posOffset>
                      </wp:positionV>
                      <wp:extent cx="874394" cy="3429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874394" cy="34290"/>
                                <a:chExt cx="874394" cy="34290"/>
                              </a:xfrm>
                            </wpg:grpSpPr>
                            <wps:wsp>
                              <wps:cNvPr id="395" name="Graphic 395"/>
                              <wps:cNvSpPr/>
                              <wps:spPr>
                                <a:xfrm>
                                  <a:off x="-12" y="-9"/>
                                  <a:ext cx="874394" cy="34290"/>
                                </a:xfrm>
                                <a:custGeom>
                                  <a:avLst/>
                                  <a:gdLst/>
                                  <a:ahLst/>
                                  <a:cxnLst/>
                                  <a:rect l="l" t="t" r="r" b="b"/>
                                  <a:pathLst>
                                    <a:path w="874394" h="34290">
                                      <a:moveTo>
                                        <a:pt x="874395" y="25717"/>
                                      </a:moveTo>
                                      <a:lnTo>
                                        <a:pt x="857250" y="25717"/>
                                      </a:lnTo>
                                      <a:lnTo>
                                        <a:pt x="68580" y="25717"/>
                                      </a:lnTo>
                                      <a:lnTo>
                                        <a:pt x="0" y="25717"/>
                                      </a:lnTo>
                                      <a:lnTo>
                                        <a:pt x="0" y="34290"/>
                                      </a:lnTo>
                                      <a:lnTo>
                                        <a:pt x="68580" y="34290"/>
                                      </a:lnTo>
                                      <a:lnTo>
                                        <a:pt x="857250" y="34290"/>
                                      </a:lnTo>
                                      <a:lnTo>
                                        <a:pt x="874395" y="34290"/>
                                      </a:lnTo>
                                      <a:lnTo>
                                        <a:pt x="874395" y="25717"/>
                                      </a:lnTo>
                                      <a:close/>
                                    </a:path>
                                    <a:path w="874394" h="34290">
                                      <a:moveTo>
                                        <a:pt x="874395" y="0"/>
                                      </a:moveTo>
                                      <a:lnTo>
                                        <a:pt x="857250" y="0"/>
                                      </a:lnTo>
                                      <a:lnTo>
                                        <a:pt x="68580" y="0"/>
                                      </a:lnTo>
                                      <a:lnTo>
                                        <a:pt x="0" y="0"/>
                                      </a:lnTo>
                                      <a:lnTo>
                                        <a:pt x="0" y="8572"/>
                                      </a:lnTo>
                                      <a:lnTo>
                                        <a:pt x="68580" y="8572"/>
                                      </a:lnTo>
                                      <a:lnTo>
                                        <a:pt x="857250" y="8572"/>
                                      </a:lnTo>
                                      <a:lnTo>
                                        <a:pt x="874395" y="857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231pt;margin-top:12.779118pt;width:68.850pt;height:2.7pt;mso-position-horizontal-relative:column;mso-position-vertical-relative:paragraph;z-index:-25611264" id="docshapegroup392" coordorigin="65,256" coordsize="1377,54">
                      <v:shape style="position:absolute;left:65;top:255;width:1377;height:54" id="docshape393" coordorigin="65,256" coordsize="1377,54" path="m1442,296l1415,296,173,296,65,296,65,310,173,310,1415,310,1442,310,1442,296xm1442,256l1415,256,173,256,65,256,65,269,173,269,1415,269,1442,269,1442,256xe" filled="true" fillcolor="#000000" stroked="false">
                        <v:path arrowok="t"/>
                        <v:fill type="solid"/>
                      </v:shape>
                      <w10:wrap type="none"/>
                    </v:group>
                  </w:pict>
                </mc:Fallback>
              </mc:AlternateContent>
            </w:r>
            <w:r>
              <w:rPr>
                <w:spacing w:val="-10"/>
                <w:sz w:val="18"/>
              </w:rPr>
              <w:t>$</w:t>
            </w:r>
            <w:r>
              <w:rPr>
                <w:sz w:val="18"/>
              </w:rPr>
              <w:tab/>
            </w:r>
            <w:r>
              <w:rPr>
                <w:spacing w:val="-2"/>
                <w:sz w:val="18"/>
              </w:rPr>
              <w:t>39,137</w:t>
            </w:r>
          </w:p>
        </w:tc>
        <w:tc>
          <w:tcPr>
            <w:tcW w:w="1486" w:type="dxa"/>
            <w:tcBorders>
              <w:top w:val="single" w:sz="6" w:space="0" w:color="000000"/>
            </w:tcBorders>
            <w:shd w:val="clear" w:color="auto" w:fill="CFF0FB"/>
          </w:tcPr>
          <w:p>
            <w:pPr>
              <w:pStyle w:val="TableParagraph"/>
              <w:tabs>
                <w:tab w:pos="883" w:val="left" w:leader="none"/>
              </w:tabs>
              <w:spacing w:before="20"/>
              <w:ind w:right="101"/>
              <w:jc w:val="right"/>
              <w:rPr>
                <w:sz w:val="18"/>
              </w:rPr>
            </w:pPr>
            <w:r>
              <w:rPr/>
              <mc:AlternateContent>
                <mc:Choice Requires="wps">
                  <w:drawing>
                    <wp:anchor distT="0" distB="0" distL="0" distR="0" allowOverlap="1" layoutInCell="1" locked="0" behindDoc="1" simplePos="0" relativeHeight="477705728">
                      <wp:simplePos x="0" y="0"/>
                      <wp:positionH relativeFrom="column">
                        <wp:posOffset>46101</wp:posOffset>
                      </wp:positionH>
                      <wp:positionV relativeFrom="paragraph">
                        <wp:posOffset>162294</wp:posOffset>
                      </wp:positionV>
                      <wp:extent cx="874394" cy="34290"/>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874394" cy="34290"/>
                                <a:chExt cx="874394" cy="34290"/>
                              </a:xfrm>
                            </wpg:grpSpPr>
                            <wps:wsp>
                              <wps:cNvPr id="397" name="Graphic 397"/>
                              <wps:cNvSpPr/>
                              <wps:spPr>
                                <a:xfrm>
                                  <a:off x="-12" y="-9"/>
                                  <a:ext cx="874394" cy="34290"/>
                                </a:xfrm>
                                <a:custGeom>
                                  <a:avLst/>
                                  <a:gdLst/>
                                  <a:ahLst/>
                                  <a:cxnLst/>
                                  <a:rect l="l" t="t" r="r" b="b"/>
                                  <a:pathLst>
                                    <a:path w="874394" h="34290">
                                      <a:moveTo>
                                        <a:pt x="874395" y="25717"/>
                                      </a:moveTo>
                                      <a:lnTo>
                                        <a:pt x="857250" y="25717"/>
                                      </a:lnTo>
                                      <a:lnTo>
                                        <a:pt x="77152" y="25717"/>
                                      </a:lnTo>
                                      <a:lnTo>
                                        <a:pt x="0" y="25717"/>
                                      </a:lnTo>
                                      <a:lnTo>
                                        <a:pt x="0" y="34290"/>
                                      </a:lnTo>
                                      <a:lnTo>
                                        <a:pt x="77152" y="34290"/>
                                      </a:lnTo>
                                      <a:lnTo>
                                        <a:pt x="857250" y="34290"/>
                                      </a:lnTo>
                                      <a:lnTo>
                                        <a:pt x="874395" y="34290"/>
                                      </a:lnTo>
                                      <a:lnTo>
                                        <a:pt x="874395" y="25717"/>
                                      </a:lnTo>
                                      <a:close/>
                                    </a:path>
                                    <a:path w="874394" h="34290">
                                      <a:moveTo>
                                        <a:pt x="874395" y="0"/>
                                      </a:moveTo>
                                      <a:lnTo>
                                        <a:pt x="857250" y="0"/>
                                      </a:lnTo>
                                      <a:lnTo>
                                        <a:pt x="77152" y="0"/>
                                      </a:lnTo>
                                      <a:lnTo>
                                        <a:pt x="0" y="0"/>
                                      </a:lnTo>
                                      <a:lnTo>
                                        <a:pt x="0" y="8572"/>
                                      </a:lnTo>
                                      <a:lnTo>
                                        <a:pt x="77152" y="8572"/>
                                      </a:lnTo>
                                      <a:lnTo>
                                        <a:pt x="857250" y="8572"/>
                                      </a:lnTo>
                                      <a:lnTo>
                                        <a:pt x="874395" y="857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30051pt;margin-top:12.779118pt;width:68.850pt;height:2.7pt;mso-position-horizontal-relative:column;mso-position-vertical-relative:paragraph;z-index:-25610752" id="docshapegroup394" coordorigin="73,256" coordsize="1377,54">
                      <v:shape style="position:absolute;left:72;top:255;width:1377;height:54" id="docshape395" coordorigin="73,256" coordsize="1377,54" path="m1450,296l1423,296,194,296,73,296,73,310,194,310,1423,310,1450,310,1450,296xm1450,256l1423,256,194,256,73,256,73,269,194,269,1423,269,1450,269,1450,256xe" filled="true" fillcolor="#000000" stroked="false">
                        <v:path arrowok="t"/>
                        <v:fill type="solid"/>
                      </v:shape>
                      <w10:wrap type="none"/>
                    </v:group>
                  </w:pict>
                </mc:Fallback>
              </mc:AlternateContent>
            </w:r>
            <w:r>
              <w:rPr>
                <w:spacing w:val="-10"/>
                <w:sz w:val="18"/>
              </w:rPr>
              <w:t>$</w:t>
            </w:r>
            <w:r>
              <w:rPr>
                <w:sz w:val="18"/>
              </w:rPr>
              <w:tab/>
            </w:r>
            <w:r>
              <w:rPr>
                <w:spacing w:val="-2"/>
                <w:sz w:val="18"/>
              </w:rPr>
              <w:t>4,709</w:t>
            </w:r>
          </w:p>
        </w:tc>
        <w:tc>
          <w:tcPr>
            <w:tcW w:w="1494" w:type="dxa"/>
            <w:tcBorders>
              <w:top w:val="single" w:sz="6" w:space="0" w:color="000000"/>
            </w:tcBorders>
            <w:shd w:val="clear" w:color="auto" w:fill="CFF0FB"/>
          </w:tcPr>
          <w:p>
            <w:pPr>
              <w:pStyle w:val="TableParagraph"/>
              <w:tabs>
                <w:tab w:pos="703" w:val="left" w:leader="none"/>
              </w:tabs>
              <w:spacing w:before="20"/>
              <w:ind w:right="101"/>
              <w:jc w:val="right"/>
              <w:rPr>
                <w:sz w:val="18"/>
              </w:rPr>
            </w:pPr>
            <w:r>
              <w:rPr/>
              <mc:AlternateContent>
                <mc:Choice Requires="wps">
                  <w:drawing>
                    <wp:anchor distT="0" distB="0" distL="0" distR="0" allowOverlap="1" layoutInCell="1" locked="0" behindDoc="1" simplePos="0" relativeHeight="477706240">
                      <wp:simplePos x="0" y="0"/>
                      <wp:positionH relativeFrom="column">
                        <wp:posOffset>53803</wp:posOffset>
                      </wp:positionH>
                      <wp:positionV relativeFrom="paragraph">
                        <wp:posOffset>162294</wp:posOffset>
                      </wp:positionV>
                      <wp:extent cx="874394" cy="34290"/>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874394" cy="34290"/>
                                <a:chExt cx="874394" cy="34290"/>
                              </a:xfrm>
                            </wpg:grpSpPr>
                            <wps:wsp>
                              <wps:cNvPr id="399" name="Graphic 399"/>
                              <wps:cNvSpPr/>
                              <wps:spPr>
                                <a:xfrm>
                                  <a:off x="-12" y="-9"/>
                                  <a:ext cx="874394" cy="34290"/>
                                </a:xfrm>
                                <a:custGeom>
                                  <a:avLst/>
                                  <a:gdLst/>
                                  <a:ahLst/>
                                  <a:cxnLst/>
                                  <a:rect l="l" t="t" r="r" b="b"/>
                                  <a:pathLst>
                                    <a:path w="874394" h="34290">
                                      <a:moveTo>
                                        <a:pt x="874395" y="25717"/>
                                      </a:moveTo>
                                      <a:lnTo>
                                        <a:pt x="857250" y="25717"/>
                                      </a:lnTo>
                                      <a:lnTo>
                                        <a:pt x="77152" y="25717"/>
                                      </a:lnTo>
                                      <a:lnTo>
                                        <a:pt x="0" y="25717"/>
                                      </a:lnTo>
                                      <a:lnTo>
                                        <a:pt x="0" y="34290"/>
                                      </a:lnTo>
                                      <a:lnTo>
                                        <a:pt x="77152" y="34290"/>
                                      </a:lnTo>
                                      <a:lnTo>
                                        <a:pt x="857250" y="34290"/>
                                      </a:lnTo>
                                      <a:lnTo>
                                        <a:pt x="874395" y="34290"/>
                                      </a:lnTo>
                                      <a:lnTo>
                                        <a:pt x="874395" y="25717"/>
                                      </a:lnTo>
                                      <a:close/>
                                    </a:path>
                                    <a:path w="874394" h="34290">
                                      <a:moveTo>
                                        <a:pt x="874395" y="0"/>
                                      </a:moveTo>
                                      <a:lnTo>
                                        <a:pt x="857250" y="0"/>
                                      </a:lnTo>
                                      <a:lnTo>
                                        <a:pt x="77152" y="0"/>
                                      </a:lnTo>
                                      <a:lnTo>
                                        <a:pt x="0" y="0"/>
                                      </a:lnTo>
                                      <a:lnTo>
                                        <a:pt x="0" y="8572"/>
                                      </a:lnTo>
                                      <a:lnTo>
                                        <a:pt x="77152" y="8572"/>
                                      </a:lnTo>
                                      <a:lnTo>
                                        <a:pt x="857250" y="8572"/>
                                      </a:lnTo>
                                      <a:lnTo>
                                        <a:pt x="874395" y="857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36498pt;margin-top:12.779118pt;width:68.850pt;height:2.7pt;mso-position-horizontal-relative:column;mso-position-vertical-relative:paragraph;z-index:-25610240" id="docshapegroup396" coordorigin="85,256" coordsize="1377,54">
                      <v:shape style="position:absolute;left:84;top:255;width:1377;height:54" id="docshape397" coordorigin="85,256" coordsize="1377,54" path="m1462,296l1435,296,206,296,85,296,85,310,206,310,1435,310,1462,310,1462,296xm1462,256l1435,256,206,256,85,256,85,269,206,269,1435,269,1462,269,1462,256xe" filled="true" fillcolor="#000000" stroked="false">
                        <v:path arrowok="t"/>
                        <v:fill type="solid"/>
                      </v:shape>
                      <w10:wrap type="none"/>
                    </v:group>
                  </w:pict>
                </mc:Fallback>
              </mc:AlternateContent>
            </w:r>
            <w:r>
              <w:rPr>
                <w:spacing w:val="-10"/>
                <w:sz w:val="18"/>
              </w:rPr>
              <w:t>$</w:t>
            </w:r>
            <w:r>
              <w:rPr>
                <w:sz w:val="18"/>
              </w:rPr>
              <w:tab/>
            </w:r>
            <w:r>
              <w:rPr>
                <w:spacing w:val="-2"/>
                <w:sz w:val="18"/>
              </w:rPr>
              <w:t>176,375</w:t>
            </w:r>
          </w:p>
        </w:tc>
        <w:tc>
          <w:tcPr>
            <w:tcW w:w="1465" w:type="dxa"/>
            <w:tcBorders>
              <w:top w:val="single" w:sz="6" w:space="0" w:color="000000"/>
              <w:bottom w:val="double" w:sz="6" w:space="0" w:color="000000"/>
            </w:tcBorders>
            <w:shd w:val="clear" w:color="auto" w:fill="CFF0FB"/>
          </w:tcPr>
          <w:p>
            <w:pPr>
              <w:pStyle w:val="TableParagraph"/>
              <w:tabs>
                <w:tab w:pos="704" w:val="left" w:leader="none"/>
              </w:tabs>
              <w:spacing w:before="20"/>
              <w:ind w:right="70"/>
              <w:jc w:val="right"/>
              <w:rPr>
                <w:sz w:val="18"/>
              </w:rPr>
            </w:pPr>
            <w:r>
              <w:rPr>
                <w:spacing w:val="-10"/>
                <w:sz w:val="18"/>
              </w:rPr>
              <w:t>$</w:t>
            </w:r>
            <w:r>
              <w:rPr>
                <w:sz w:val="18"/>
              </w:rPr>
              <w:tab/>
            </w:r>
            <w:r>
              <w:rPr>
                <w:spacing w:val="-2"/>
                <w:sz w:val="18"/>
              </w:rPr>
              <w:t>257,714</w:t>
            </w:r>
          </w:p>
        </w:tc>
      </w:tr>
    </w:tbl>
    <w:p>
      <w:pPr>
        <w:pStyle w:val="BodyText"/>
        <w:spacing w:before="149"/>
        <w:rPr>
          <w:b/>
          <w:i/>
          <w:sz w:val="14"/>
        </w:rPr>
      </w:pPr>
    </w:p>
    <w:p>
      <w:pPr>
        <w:pStyle w:val="BodyText"/>
        <w:ind w:left="644"/>
      </w:pPr>
      <w:r>
        <w:rPr/>
        <w:t>The</w:t>
      </w:r>
      <w:r>
        <w:rPr>
          <w:spacing w:val="-1"/>
        </w:rPr>
        <w:t> </w:t>
      </w:r>
      <w:r>
        <w:rPr/>
        <w:t>December</w:t>
      </w:r>
      <w:r>
        <w:rPr>
          <w:spacing w:val="-1"/>
        </w:rPr>
        <w:t> </w:t>
      </w:r>
      <w:r>
        <w:rPr/>
        <w:t>31,</w:t>
      </w:r>
      <w:r>
        <w:rPr>
          <w:spacing w:val="-1"/>
        </w:rPr>
        <w:t> </w:t>
      </w:r>
      <w:r>
        <w:rPr/>
        <w:t>2022</w:t>
      </w:r>
      <w:r>
        <w:rPr>
          <w:spacing w:val="-1"/>
        </w:rPr>
        <w:t> </w:t>
      </w:r>
      <w:r>
        <w:rPr/>
        <w:t>balances</w:t>
      </w:r>
      <w:r>
        <w:rPr>
          <w:spacing w:val="-1"/>
        </w:rPr>
        <w:t> </w:t>
      </w:r>
      <w:r>
        <w:rPr/>
        <w:t>exclude</w:t>
      </w:r>
      <w:r>
        <w:rPr>
          <w:spacing w:val="-1"/>
        </w:rPr>
        <w:t> </w:t>
      </w:r>
      <w:r>
        <w:rPr/>
        <w:t>liabilities</w:t>
      </w:r>
      <w:r>
        <w:rPr>
          <w:spacing w:val="-1"/>
        </w:rPr>
        <w:t> </w:t>
      </w:r>
      <w:r>
        <w:rPr/>
        <w:t>related</w:t>
      </w:r>
      <w:r>
        <w:rPr>
          <w:spacing w:val="-1"/>
        </w:rPr>
        <w:t> </w:t>
      </w:r>
      <w:r>
        <w:rPr/>
        <w:t>to</w:t>
      </w:r>
      <w:r>
        <w:rPr>
          <w:spacing w:val="-1"/>
        </w:rPr>
        <w:t> </w:t>
      </w:r>
      <w:r>
        <w:rPr/>
        <w:t>assets</w:t>
      </w:r>
      <w:r>
        <w:rPr>
          <w:spacing w:val="-1"/>
        </w:rPr>
        <w:t> </w:t>
      </w:r>
      <w:r>
        <w:rPr/>
        <w:t>held</w:t>
      </w:r>
      <w:r>
        <w:rPr>
          <w:spacing w:val="-1"/>
        </w:rPr>
        <w:t> </w:t>
      </w:r>
      <w:r>
        <w:rPr/>
        <w:t>for</w:t>
      </w:r>
      <w:r>
        <w:rPr>
          <w:spacing w:val="-1"/>
        </w:rPr>
        <w:t> </w:t>
      </w:r>
      <w:r>
        <w:rPr/>
        <w:t>sale.</w:t>
      </w:r>
      <w:r>
        <w:rPr>
          <w:spacing w:val="-1"/>
        </w:rPr>
        <w:t> </w:t>
      </w:r>
      <w:r>
        <w:rPr/>
        <w:t>See</w:t>
      </w:r>
      <w:r>
        <w:rPr>
          <w:spacing w:val="-1"/>
        </w:rPr>
        <w:t> </w:t>
      </w:r>
      <w:r>
        <w:rPr/>
        <w:t>Note</w:t>
      </w:r>
      <w:r>
        <w:rPr>
          <w:spacing w:val="-1"/>
        </w:rPr>
        <w:t> </w:t>
      </w:r>
      <w:r>
        <w:rPr>
          <w:spacing w:val="-5"/>
        </w:rPr>
        <w:t>4.</w:t>
      </w:r>
    </w:p>
    <w:p>
      <w:pPr>
        <w:pStyle w:val="BodyText"/>
        <w:spacing w:before="21"/>
      </w:pPr>
    </w:p>
    <w:p>
      <w:pPr>
        <w:pStyle w:val="BodyText"/>
        <w:spacing w:line="235" w:lineRule="auto" w:before="1"/>
        <w:ind w:left="144" w:right="118" w:firstLine="499"/>
        <w:jc w:val="both"/>
      </w:pPr>
      <w:r>
        <w:rPr>
          <w:i/>
        </w:rPr>
        <w:t>Reimbursed cost. </w:t>
      </w:r>
      <w:r>
        <w:rPr/>
        <w:t>Costs reimbursed pursuant to management services are recognized as revenue in the period it incurs the costs as this reflects when the Company performs its related performance obligation and is entitled to reimbursement. Reimbursed costs related primarily to the Company’s management </w:t>
      </w:r>
      <w:r>
        <w:rPr/>
        <w:t>of CityCenter (such management agreement was terminated upon the acquisition of CityCenter in September 2021).</w:t>
      </w:r>
    </w:p>
    <w:p>
      <w:pPr>
        <w:pStyle w:val="BodyText"/>
        <w:spacing w:before="21"/>
      </w:pPr>
    </w:p>
    <w:p>
      <w:pPr>
        <w:pStyle w:val="BodyText"/>
        <w:spacing w:line="235" w:lineRule="auto"/>
        <w:ind w:left="144" w:right="117" w:firstLine="499"/>
        <w:jc w:val="both"/>
      </w:pPr>
      <w:r>
        <w:rPr>
          <w:i/>
        </w:rPr>
        <w:t>Revenue by source. </w:t>
      </w:r>
      <w:r>
        <w:rPr/>
        <w:t>The Company presents the revenue earned disaggregated by the type or nature of the good or service (casino, room, food and beverage, and entertainment, retail and other) and by relevant geographic region within Note 17.</w:t>
      </w:r>
    </w:p>
    <w:p>
      <w:pPr>
        <w:pStyle w:val="BodyText"/>
        <w:spacing w:before="5"/>
      </w:pPr>
    </w:p>
    <w:p>
      <w:pPr>
        <w:pStyle w:val="BodyText"/>
        <w:ind w:left="144" w:right="118" w:firstLine="499"/>
        <w:jc w:val="both"/>
      </w:pPr>
      <w:r>
        <w:rPr>
          <w:b/>
        </w:rPr>
        <w:t>Leases.</w:t>
      </w:r>
      <w:r>
        <w:rPr>
          <w:b/>
          <w:spacing w:val="-2"/>
        </w:rPr>
        <w:t> </w:t>
      </w:r>
      <w:r>
        <w:rPr/>
        <w:t>The</w:t>
      </w:r>
      <w:r>
        <w:rPr>
          <w:spacing w:val="-2"/>
        </w:rPr>
        <w:t> </w:t>
      </w:r>
      <w:r>
        <w:rPr/>
        <w:t>Company</w:t>
      </w:r>
      <w:r>
        <w:rPr>
          <w:spacing w:val="-2"/>
        </w:rPr>
        <w:t> </w:t>
      </w:r>
      <w:r>
        <w:rPr/>
        <w:t>determines</w:t>
      </w:r>
      <w:r>
        <w:rPr>
          <w:spacing w:val="-2"/>
        </w:rPr>
        <w:t> </w:t>
      </w:r>
      <w:r>
        <w:rPr/>
        <w:t>if</w:t>
      </w:r>
      <w:r>
        <w:rPr>
          <w:spacing w:val="-2"/>
        </w:rPr>
        <w:t> </w:t>
      </w:r>
      <w:r>
        <w:rPr/>
        <w:t>an</w:t>
      </w:r>
      <w:r>
        <w:rPr>
          <w:spacing w:val="-2"/>
        </w:rPr>
        <w:t> </w:t>
      </w:r>
      <w:r>
        <w:rPr/>
        <w:t>arrangement</w:t>
      </w:r>
      <w:r>
        <w:rPr>
          <w:spacing w:val="-2"/>
        </w:rPr>
        <w:t> </w:t>
      </w:r>
      <w:r>
        <w:rPr/>
        <w:t>is</w:t>
      </w:r>
      <w:r>
        <w:rPr>
          <w:spacing w:val="-2"/>
        </w:rPr>
        <w:t> </w:t>
      </w:r>
      <w:r>
        <w:rPr/>
        <w:t>or</w:t>
      </w:r>
      <w:r>
        <w:rPr>
          <w:spacing w:val="-2"/>
        </w:rPr>
        <w:t> </w:t>
      </w:r>
      <w:r>
        <w:rPr/>
        <w:t>contains</w:t>
      </w:r>
      <w:r>
        <w:rPr>
          <w:spacing w:val="-2"/>
        </w:rPr>
        <w:t> </w:t>
      </w:r>
      <w:r>
        <w:rPr/>
        <w:t>a</w:t>
      </w:r>
      <w:r>
        <w:rPr>
          <w:spacing w:val="-2"/>
        </w:rPr>
        <w:t> </w:t>
      </w:r>
      <w:r>
        <w:rPr/>
        <w:t>lease</w:t>
      </w:r>
      <w:r>
        <w:rPr>
          <w:spacing w:val="-2"/>
        </w:rPr>
        <w:t> </w:t>
      </w:r>
      <w:r>
        <w:rPr/>
        <w:t>at</w:t>
      </w:r>
      <w:r>
        <w:rPr>
          <w:spacing w:val="-2"/>
        </w:rPr>
        <w:t> </w:t>
      </w:r>
      <w:r>
        <w:rPr/>
        <w:t>inception</w:t>
      </w:r>
      <w:r>
        <w:rPr>
          <w:spacing w:val="-2"/>
        </w:rPr>
        <w:t> </w:t>
      </w:r>
      <w:r>
        <w:rPr/>
        <w:t>or</w:t>
      </w:r>
      <w:r>
        <w:rPr>
          <w:spacing w:val="-2"/>
        </w:rPr>
        <w:t> </w:t>
      </w:r>
      <w:r>
        <w:rPr/>
        <w:t>modification</w:t>
      </w:r>
      <w:r>
        <w:rPr>
          <w:spacing w:val="-2"/>
        </w:rPr>
        <w:t> </w:t>
      </w:r>
      <w:r>
        <w:rPr/>
        <w:t>of</w:t>
      </w:r>
      <w:r>
        <w:rPr>
          <w:spacing w:val="-2"/>
        </w:rPr>
        <w:t> </w:t>
      </w:r>
      <w:r>
        <w:rPr/>
        <w:t>the</w:t>
      </w:r>
      <w:r>
        <w:rPr>
          <w:spacing w:val="-2"/>
        </w:rPr>
        <w:t> </w:t>
      </w:r>
      <w:r>
        <w:rPr/>
        <w:t>arrangement.</w:t>
      </w:r>
      <w:r>
        <w:rPr>
          <w:spacing w:val="-12"/>
        </w:rPr>
        <w:t> </w:t>
      </w:r>
      <w:r>
        <w:rPr/>
        <w:t>An</w:t>
      </w:r>
      <w:r>
        <w:rPr>
          <w:spacing w:val="-1"/>
        </w:rPr>
        <w:t> </w:t>
      </w:r>
      <w:r>
        <w:rPr/>
        <w:t>arrangement</w:t>
      </w:r>
      <w:r>
        <w:rPr>
          <w:spacing w:val="-2"/>
        </w:rPr>
        <w:t> </w:t>
      </w:r>
      <w:r>
        <w:rPr/>
        <w:t>is</w:t>
      </w:r>
      <w:r>
        <w:rPr>
          <w:spacing w:val="-2"/>
        </w:rPr>
        <w:t> </w:t>
      </w:r>
      <w:r>
        <w:rPr/>
        <w:t>or</w:t>
      </w:r>
      <w:r>
        <w:rPr>
          <w:spacing w:val="-2"/>
        </w:rPr>
        <w:t> </w:t>
      </w:r>
      <w:r>
        <w:rPr/>
        <w:t>contains a lease if there are identified assets and the right to control the use of an identified asset is conveyed for a period of time in exchange for consideration. Control over the use of the identified asset means the lessee has both the right to obtain substantially all of the economic benefits from the use of the asset and the right to direct the use of the asset.</w:t>
      </w:r>
    </w:p>
    <w:p>
      <w:pPr>
        <w:pStyle w:val="BodyText"/>
        <w:spacing w:before="8"/>
      </w:pPr>
    </w:p>
    <w:p>
      <w:pPr>
        <w:pStyle w:val="BodyText"/>
        <w:spacing w:line="235" w:lineRule="auto"/>
        <w:ind w:left="144" w:right="118" w:firstLine="499"/>
        <w:jc w:val="both"/>
      </w:pPr>
      <w:r>
        <w:rPr/>
        <w:t>The Company classifies a lease with terms greater than twelve months as either operating or finance. At commencement, the right-of-use (“ROU”)</w:t>
      </w:r>
      <w:r>
        <w:rPr>
          <w:spacing w:val="40"/>
        </w:rPr>
        <w:t> </w:t>
      </w:r>
      <w:r>
        <w:rPr/>
        <w:t>assets and lease liabilities are recognized based on the present value of the future minimum lease payments over the lease term. The initial measurement of ROU assets also includes any prepaid lease</w:t>
      </w:r>
    </w:p>
    <w:p>
      <w:pPr>
        <w:pStyle w:val="BodyText"/>
      </w:pPr>
    </w:p>
    <w:p>
      <w:pPr>
        <w:pStyle w:val="BodyText"/>
        <w:spacing w:before="189"/>
      </w:pPr>
    </w:p>
    <w:p>
      <w:pPr>
        <w:pStyle w:val="BodyText"/>
        <w:ind w:left="24"/>
        <w:jc w:val="center"/>
      </w:pPr>
      <w:r>
        <w:rPr>
          <w:spacing w:val="-5"/>
        </w:rPr>
        <w:t>69</w:t>
      </w:r>
    </w:p>
    <w:p>
      <w:pPr>
        <w:pStyle w:val="BodyText"/>
        <w:spacing w:before="3"/>
        <w:rPr>
          <w:sz w:val="6"/>
        </w:rPr>
      </w:pPr>
      <w:r>
        <w:rPr/>
        <mc:AlternateContent>
          <mc:Choice Requires="wps">
            <w:drawing>
              <wp:anchor distT="0" distB="0" distL="0" distR="0" allowOverlap="1" layoutInCell="1" locked="0" behindDoc="1" simplePos="0" relativeHeight="487660544">
                <wp:simplePos x="0" y="0"/>
                <wp:positionH relativeFrom="page">
                  <wp:posOffset>231457</wp:posOffset>
                </wp:positionH>
                <wp:positionV relativeFrom="paragraph">
                  <wp:posOffset>60956</wp:posOffset>
                </wp:positionV>
                <wp:extent cx="7312659" cy="17145"/>
                <wp:effectExtent l="0" t="0" r="0" b="0"/>
                <wp:wrapTopAndBottom/>
                <wp:docPr id="400" name="Group 400"/>
                <wp:cNvGraphicFramePr>
                  <a:graphicFrameLocks/>
                </wp:cNvGraphicFramePr>
                <a:graphic>
                  <a:graphicData uri="http://schemas.microsoft.com/office/word/2010/wordprocessingGroup">
                    <wpg:wgp>
                      <wpg:cNvPr id="400" name="Group 400"/>
                      <wpg:cNvGrpSpPr/>
                      <wpg:grpSpPr>
                        <a:xfrm>
                          <a:off x="0" y="0"/>
                          <a:ext cx="7312659" cy="17145"/>
                          <a:chExt cx="7312659" cy="17145"/>
                        </a:xfrm>
                      </wpg:grpSpPr>
                      <wps:wsp>
                        <wps:cNvPr id="401" name="Graphic 40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2" name="Graphic 402"/>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3" name="Graphic 40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5936;mso-wrap-distance-left:0;mso-wrap-distance-right:0" id="docshapegroup398" coordorigin="364,96" coordsize="11516,27">
                <v:rect style="position:absolute;left:364;top:96;width:11516;height:14" id="docshape399" filled="true" fillcolor="#999999" stroked="false">
                  <v:fill type="solid"/>
                </v:rect>
                <v:shape style="position:absolute;left:364;top:95;width:11516;height:27" id="docshape400" coordorigin="364,96" coordsize="11516,27" path="m11880,96l11866,109,364,109,364,123,11866,123,11880,123,11880,109,11880,96xe" filled="true" fillcolor="#ededed" stroked="false">
                  <v:path arrowok="t"/>
                  <v:fill type="solid"/>
                </v:shape>
                <v:shape style="position:absolute;left:364;top:96;width:14;height:27" id="docshape40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32" w:lineRule="auto" w:before="74"/>
        <w:ind w:left="144" w:right="118"/>
        <w:jc w:val="both"/>
      </w:pPr>
      <w:r>
        <w:rPr/>
        <w:t>payments and are reduced by any previously accrued deferred rent. When available, such as for the Company’s triple-net operating leases for which the lessor has provided its implicit rate or provided the assumptions required for the Company to readily determine the rate implicit in the lease, the Company uses the rate implicit in the lease to discount lease payments to present value. However, for most of the Company’s leases, such as its ground subleases and equipment leases, the Company cannot readily determine the implicit rate.</w:t>
      </w:r>
      <w:r>
        <w:rPr>
          <w:spacing w:val="-4"/>
        </w:rPr>
        <w:t> </w:t>
      </w:r>
      <w:r>
        <w:rPr/>
        <w:t>Accordingly, the Company uses its incremental borrowing rate to discount the lease </w:t>
      </w:r>
      <w:r>
        <w:rPr/>
        <w:t>payments for such leases based on the information available at the commencement date. Lease terms include options to extend or terminate the lease when it is</w:t>
      </w:r>
      <w:r>
        <w:rPr>
          <w:spacing w:val="40"/>
        </w:rPr>
        <w:t> </w:t>
      </w:r>
      <w:r>
        <w:rPr/>
        <w:t>reasonably</w:t>
      </w:r>
      <w:r>
        <w:rPr>
          <w:spacing w:val="-1"/>
        </w:rPr>
        <w:t> </w:t>
      </w:r>
      <w:r>
        <w:rPr/>
        <w:t>certain</w:t>
      </w:r>
      <w:r>
        <w:rPr>
          <w:spacing w:val="-1"/>
        </w:rPr>
        <w:t> </w:t>
      </w:r>
      <w:r>
        <w:rPr/>
        <w:t>that</w:t>
      </w:r>
      <w:r>
        <w:rPr>
          <w:spacing w:val="-1"/>
        </w:rPr>
        <w:t> </w:t>
      </w:r>
      <w:r>
        <w:rPr/>
        <w:t>such</w:t>
      </w:r>
      <w:r>
        <w:rPr>
          <w:spacing w:val="-1"/>
        </w:rPr>
        <w:t> </w:t>
      </w:r>
      <w:r>
        <w:rPr/>
        <w:t>option</w:t>
      </w:r>
      <w:r>
        <w:rPr>
          <w:spacing w:val="-1"/>
        </w:rPr>
        <w:t> </w:t>
      </w:r>
      <w:r>
        <w:rPr/>
        <w:t>will</w:t>
      </w:r>
      <w:r>
        <w:rPr>
          <w:spacing w:val="-1"/>
        </w:rPr>
        <w:t> </w:t>
      </w:r>
      <w:r>
        <w:rPr/>
        <w:t>be</w:t>
      </w:r>
      <w:r>
        <w:rPr>
          <w:spacing w:val="-1"/>
        </w:rPr>
        <w:t> </w:t>
      </w:r>
      <w:r>
        <w:rPr/>
        <w:t>exercised.</w:t>
      </w:r>
      <w:r>
        <w:rPr>
          <w:spacing w:val="-5"/>
        </w:rPr>
        <w:t> </w:t>
      </w:r>
      <w:r>
        <w:rPr/>
        <w:t>The</w:t>
      </w:r>
      <w:r>
        <w:rPr>
          <w:spacing w:val="-1"/>
        </w:rPr>
        <w:t> </w:t>
      </w:r>
      <w:r>
        <w:rPr/>
        <w:t>Company’s</w:t>
      </w:r>
      <w:r>
        <w:rPr>
          <w:spacing w:val="-1"/>
        </w:rPr>
        <w:t> </w:t>
      </w:r>
      <w:r>
        <w:rPr/>
        <w:t>triple-net</w:t>
      </w:r>
      <w:r>
        <w:rPr>
          <w:spacing w:val="-1"/>
        </w:rPr>
        <w:t> </w:t>
      </w:r>
      <w:r>
        <w:rPr/>
        <w:t>operating</w:t>
      </w:r>
      <w:r>
        <w:rPr>
          <w:spacing w:val="-1"/>
        </w:rPr>
        <w:t> </w:t>
      </w:r>
      <w:r>
        <w:rPr/>
        <w:t>leases</w:t>
      </w:r>
      <w:r>
        <w:rPr>
          <w:spacing w:val="-1"/>
        </w:rPr>
        <w:t> </w:t>
      </w:r>
      <w:r>
        <w:rPr/>
        <w:t>each</w:t>
      </w:r>
      <w:r>
        <w:rPr>
          <w:spacing w:val="-1"/>
        </w:rPr>
        <w:t> </w:t>
      </w:r>
      <w:r>
        <w:rPr/>
        <w:t>contain</w:t>
      </w:r>
      <w:r>
        <w:rPr>
          <w:spacing w:val="-1"/>
        </w:rPr>
        <w:t> </w:t>
      </w:r>
      <w:r>
        <w:rPr/>
        <w:t>renewal</w:t>
      </w:r>
      <w:r>
        <w:rPr>
          <w:spacing w:val="-1"/>
        </w:rPr>
        <w:t> </w:t>
      </w:r>
      <w:r>
        <w:rPr/>
        <w:t>periods</w:t>
      </w:r>
      <w:r>
        <w:rPr>
          <w:spacing w:val="-1"/>
        </w:rPr>
        <w:t> </w:t>
      </w:r>
      <w:r>
        <w:rPr/>
        <w:t>at</w:t>
      </w:r>
      <w:r>
        <w:rPr>
          <w:spacing w:val="-1"/>
        </w:rPr>
        <w:t> </w:t>
      </w:r>
      <w:r>
        <w:rPr/>
        <w:t>the</w:t>
      </w:r>
      <w:r>
        <w:rPr>
          <w:spacing w:val="-1"/>
        </w:rPr>
        <w:t> </w:t>
      </w:r>
      <w:r>
        <w:rPr/>
        <w:t>Company’s</w:t>
      </w:r>
      <w:r>
        <w:rPr>
          <w:spacing w:val="-1"/>
        </w:rPr>
        <w:t> </w:t>
      </w:r>
      <w:r>
        <w:rPr/>
        <w:t>option,</w:t>
      </w:r>
      <w:r>
        <w:rPr>
          <w:spacing w:val="-1"/>
        </w:rPr>
        <w:t> </w:t>
      </w:r>
      <w:r>
        <w:rPr/>
        <w:t>each</w:t>
      </w:r>
      <w:r>
        <w:rPr>
          <w:spacing w:val="-1"/>
        </w:rPr>
        <w:t> </w:t>
      </w:r>
      <w:r>
        <w:rPr/>
        <w:t>of which are not considered to be reasonably certain of being exercised. Many of the Company’s leases include fixed rental escalation clauses that are factored into the determination of lease payments. For operating leases, lease expense for minimum lease payments is recognized on a straight-line basis over the expected lease term. For finance leases, the ROU asset depreciates on a straight-line basis over the shorter of the lease term or useful life of the ROU asset and the lease liability accretes interest based on the interest method using the discount rate determined at lease commencement. Refer to Note 11 for discussion of leases under which the Company is a lessee. Refer to Note 18 for discussion of the master lease with MGP.</w:t>
      </w:r>
    </w:p>
    <w:p>
      <w:pPr>
        <w:pStyle w:val="BodyText"/>
        <w:spacing w:before="26"/>
      </w:pPr>
    </w:p>
    <w:p>
      <w:pPr>
        <w:pStyle w:val="BodyText"/>
        <w:spacing w:line="235" w:lineRule="auto" w:before="1"/>
        <w:ind w:left="144" w:right="117" w:firstLine="499"/>
        <w:jc w:val="both"/>
      </w:pPr>
      <w:r>
        <w:rPr/>
        <w:t>The Company is a lessor under certain other lease arrangements. Lease revenues earned by the Company from third parties are classified within the line item</w:t>
      </w:r>
      <w:r>
        <w:rPr>
          <w:spacing w:val="30"/>
        </w:rPr>
        <w:t> </w:t>
      </w:r>
      <w:r>
        <w:rPr/>
        <w:t>corresponding</w:t>
      </w:r>
      <w:r>
        <w:rPr>
          <w:spacing w:val="33"/>
        </w:rPr>
        <w:t> </w:t>
      </w:r>
      <w:r>
        <w:rPr/>
        <w:t>to</w:t>
      </w:r>
      <w:r>
        <w:rPr>
          <w:spacing w:val="32"/>
        </w:rPr>
        <w:t> </w:t>
      </w:r>
      <w:r>
        <w:rPr/>
        <w:t>the</w:t>
      </w:r>
      <w:r>
        <w:rPr>
          <w:spacing w:val="33"/>
        </w:rPr>
        <w:t> </w:t>
      </w:r>
      <w:r>
        <w:rPr/>
        <w:t>type</w:t>
      </w:r>
      <w:r>
        <w:rPr>
          <w:spacing w:val="32"/>
        </w:rPr>
        <w:t> </w:t>
      </w:r>
      <w:r>
        <w:rPr/>
        <w:t>or</w:t>
      </w:r>
      <w:r>
        <w:rPr>
          <w:spacing w:val="33"/>
        </w:rPr>
        <w:t> </w:t>
      </w:r>
      <w:r>
        <w:rPr/>
        <w:t>nature</w:t>
      </w:r>
      <w:r>
        <w:rPr>
          <w:spacing w:val="32"/>
        </w:rPr>
        <w:t> </w:t>
      </w:r>
      <w:r>
        <w:rPr/>
        <w:t>of</w:t>
      </w:r>
      <w:r>
        <w:rPr>
          <w:spacing w:val="33"/>
        </w:rPr>
        <w:t> </w:t>
      </w:r>
      <w:r>
        <w:rPr/>
        <w:t>the</w:t>
      </w:r>
      <w:r>
        <w:rPr>
          <w:spacing w:val="33"/>
        </w:rPr>
        <w:t> </w:t>
      </w:r>
      <w:r>
        <w:rPr/>
        <w:t>tenant’s</w:t>
      </w:r>
      <w:r>
        <w:rPr>
          <w:spacing w:val="32"/>
        </w:rPr>
        <w:t> </w:t>
      </w:r>
      <w:r>
        <w:rPr/>
        <w:t>good</w:t>
      </w:r>
      <w:r>
        <w:rPr>
          <w:spacing w:val="33"/>
        </w:rPr>
        <w:t> </w:t>
      </w:r>
      <w:r>
        <w:rPr/>
        <w:t>or</w:t>
      </w:r>
      <w:r>
        <w:rPr>
          <w:spacing w:val="32"/>
        </w:rPr>
        <w:t> </w:t>
      </w:r>
      <w:r>
        <w:rPr/>
        <w:t>service.</w:t>
      </w:r>
      <w:r>
        <w:rPr>
          <w:spacing w:val="33"/>
        </w:rPr>
        <w:t> </w:t>
      </w:r>
      <w:r>
        <w:rPr/>
        <w:t>Lease</w:t>
      </w:r>
      <w:r>
        <w:rPr>
          <w:spacing w:val="32"/>
        </w:rPr>
        <w:t> </w:t>
      </w:r>
      <w:r>
        <w:rPr/>
        <w:t>revenues</w:t>
      </w:r>
      <w:r>
        <w:rPr>
          <w:spacing w:val="33"/>
        </w:rPr>
        <w:t> </w:t>
      </w:r>
      <w:r>
        <w:rPr/>
        <w:t>from</w:t>
      </w:r>
      <w:r>
        <w:rPr>
          <w:spacing w:val="33"/>
        </w:rPr>
        <w:t> </w:t>
      </w:r>
      <w:r>
        <w:rPr/>
        <w:t>third-party</w:t>
      </w:r>
      <w:r>
        <w:rPr>
          <w:spacing w:val="32"/>
        </w:rPr>
        <w:t> </w:t>
      </w:r>
      <w:r>
        <w:rPr/>
        <w:t>tenants</w:t>
      </w:r>
      <w:r>
        <w:rPr>
          <w:spacing w:val="33"/>
        </w:rPr>
        <w:t> </w:t>
      </w:r>
      <w:r>
        <w:rPr/>
        <w:t>include</w:t>
      </w:r>
      <w:r>
        <w:rPr>
          <w:spacing w:val="32"/>
        </w:rPr>
        <w:t> </w:t>
      </w:r>
      <w:r>
        <w:rPr/>
        <w:t>$72</w:t>
      </w:r>
      <w:r>
        <w:rPr>
          <w:spacing w:val="33"/>
        </w:rPr>
        <w:t> </w:t>
      </w:r>
      <w:r>
        <w:rPr/>
        <w:t>million,</w:t>
      </w:r>
      <w:r>
        <w:rPr>
          <w:spacing w:val="32"/>
        </w:rPr>
        <w:t> </w:t>
      </w:r>
      <w:r>
        <w:rPr/>
        <w:t>$43</w:t>
      </w:r>
      <w:r>
        <w:rPr>
          <w:spacing w:val="33"/>
        </w:rPr>
        <w:t> </w:t>
      </w:r>
      <w:r>
        <w:rPr/>
        <w:t>million</w:t>
      </w:r>
      <w:r>
        <w:rPr>
          <w:spacing w:val="33"/>
        </w:rPr>
        <w:t> </w:t>
      </w:r>
      <w:r>
        <w:rPr>
          <w:spacing w:val="-5"/>
        </w:rPr>
        <w:t>and</w:t>
      </w:r>
    </w:p>
    <w:p>
      <w:pPr>
        <w:pStyle w:val="BodyText"/>
        <w:spacing w:line="235" w:lineRule="auto" w:before="12"/>
        <w:ind w:left="144" w:right="118"/>
        <w:jc w:val="both"/>
      </w:pPr>
      <w:r>
        <w:rPr/>
        <w:t>$24 million recorded within food and beverage revenue for 2022, 2021 and 2020, respectively, and $118 million, $85 million and $60 million recorded </w:t>
      </w:r>
      <w:r>
        <w:rPr/>
        <w:t>within entertainment, retail, and other revenue for the same such periods, respectively. Lease revenues from the rental of hotel rooms are recorded as rooms revenues within the consolidated statements of operations.</w:t>
      </w:r>
    </w:p>
    <w:p>
      <w:pPr>
        <w:pStyle w:val="BodyText"/>
        <w:spacing w:before="22"/>
      </w:pPr>
    </w:p>
    <w:p>
      <w:pPr>
        <w:pStyle w:val="BodyText"/>
        <w:spacing w:line="235" w:lineRule="auto"/>
        <w:ind w:left="144" w:right="118" w:firstLine="499"/>
        <w:jc w:val="both"/>
      </w:pPr>
      <w:r>
        <w:rPr>
          <w:b/>
        </w:rPr>
        <w:t>Advertising. </w:t>
      </w:r>
      <w:r>
        <w:rPr/>
        <w:t>The Company expenses advertising costs as incurred. Advertising expense that primarily relates to media placement costs and which </w:t>
      </w:r>
      <w:r>
        <w:rPr/>
        <w:t>is generally included in general and administrative expenses, was $235 million, $121 million and $88 million for 2022, 2021 and 2020, respectively.</w:t>
      </w:r>
    </w:p>
    <w:p>
      <w:pPr>
        <w:pStyle w:val="BodyText"/>
        <w:spacing w:before="5"/>
      </w:pPr>
    </w:p>
    <w:p>
      <w:pPr>
        <w:pStyle w:val="BodyText"/>
        <w:spacing w:line="242" w:lineRule="auto"/>
        <w:ind w:left="144" w:right="118" w:firstLine="499"/>
        <w:jc w:val="both"/>
      </w:pPr>
      <w:r>
        <w:rPr>
          <w:b/>
        </w:rPr>
        <w:t>Corporate expense. </w:t>
      </w:r>
      <w:r>
        <w:rPr/>
        <w:t>Corporate expense represents unallocated payroll, professional fees and various other expenses not directly related to </w:t>
      </w:r>
      <w:r>
        <w:rPr/>
        <w:t>the Company’s casino resort operations. In addition, corporate expense includes the costs associated with the Company’s evaluation and pursuit of new business opportunities, which are expensed as incurred.</w:t>
      </w:r>
    </w:p>
    <w:p>
      <w:pPr>
        <w:pStyle w:val="BodyText"/>
        <w:spacing w:before="2"/>
      </w:pPr>
    </w:p>
    <w:p>
      <w:pPr>
        <w:pStyle w:val="BodyText"/>
        <w:spacing w:line="249" w:lineRule="auto" w:before="1"/>
        <w:ind w:left="144" w:right="117" w:firstLine="499"/>
        <w:jc w:val="both"/>
      </w:pPr>
      <w:r>
        <w:rPr>
          <w:b/>
        </w:rPr>
        <w:t>Preopening and start-up expenses. </w:t>
      </w:r>
      <w:r>
        <w:rPr/>
        <w:t>Preopening and start-up costs, including organizational costs, are expensed as incurred. Costs classified as preopening and start-up expenses include payroll, outside services, advertising, and other expenses related to new or start-up operations.</w:t>
      </w:r>
    </w:p>
    <w:p>
      <w:pPr>
        <w:pStyle w:val="BodyText"/>
      </w:pPr>
    </w:p>
    <w:p>
      <w:pPr>
        <w:pStyle w:val="BodyText"/>
        <w:spacing w:line="235" w:lineRule="auto"/>
        <w:ind w:left="144" w:right="118" w:firstLine="499"/>
        <w:jc w:val="both"/>
      </w:pPr>
      <w:r>
        <w:rPr>
          <w:b/>
        </w:rPr>
        <w:t>Property transactions, net. </w:t>
      </w:r>
      <w:r>
        <w:rPr/>
        <w:t>The Company classifies transactions such as write-downs and impairments, demolition costs, and normal gains and losses on the sale of assets as “Property transactions, net.” See Note 16 for a detailed discussion of these amounts.</w:t>
      </w:r>
    </w:p>
    <w:p>
      <w:pPr>
        <w:pStyle w:val="BodyText"/>
        <w:spacing w:before="20"/>
      </w:pPr>
    </w:p>
    <w:p>
      <w:pPr>
        <w:pStyle w:val="BodyText"/>
        <w:spacing w:line="237" w:lineRule="auto"/>
        <w:ind w:left="144" w:right="118" w:firstLine="499"/>
        <w:jc w:val="both"/>
      </w:pPr>
      <w:r>
        <w:rPr>
          <w:b/>
        </w:rPr>
        <w:t>Redeemable noncontrolling interest. </w:t>
      </w:r>
      <w:r>
        <w:rPr/>
        <w:t>Certain noncontrolling interest parties have non-voting economic interests in MGM National Harbor </w:t>
      </w:r>
      <w:r>
        <w:rPr/>
        <w:t>which provide for annual preferred distributions by MGM National Harbor to the noncontrolling interest parties based on a percentage of its annual net gaming revenue (as defined in the MGM National Harbor operating agreement). Such distributions are accrued each quarter and are paid 90 days after the end of each fiscal year. The noncontrolling interest parties each have the ability to require MGM National Harbor to purchase all or a portion of their interests for a purchase price based on a contractually agreed upon formula.</w:t>
      </w:r>
    </w:p>
    <w:p>
      <w:pPr>
        <w:pStyle w:val="BodyText"/>
        <w:spacing w:before="9"/>
      </w:pPr>
    </w:p>
    <w:p>
      <w:pPr>
        <w:pStyle w:val="BodyText"/>
        <w:ind w:left="144" w:right="118" w:firstLine="499"/>
        <w:jc w:val="both"/>
      </w:pPr>
      <w:r>
        <w:rPr/>
        <w:t>The Company has recorded the interests as “Redeemable noncontrolling interests” in the mezzanine section of the accompanying consolidated </w:t>
      </w:r>
      <w:r>
        <w:rPr/>
        <w:t>balance sheets and not stockholders’ equity because their redemption is not exclusively in the Company’s control. The interests were initially accounted for at fair value. Subsequently, the Company recognizes changes in the redemption value as they occur and adjusts the carrying amount of the redeemable noncontrolling interests to equal the maximum redemption value, provided such amount does not fall below the initial carrying value, at the end of each reporting period.</w:t>
      </w:r>
      <w:r>
        <w:rPr>
          <w:spacing w:val="-2"/>
        </w:rPr>
        <w:t> </w:t>
      </w:r>
      <w:r>
        <w:rPr/>
        <w:t>The Company records any changes caused by such an adjustment in capital in excess of par value. Additionally, the carrying amount of the redeemable noncontrolling interests is adjusted for accrued annual preferred distributions, with changes caused by such adjustments recorded within net income (loss) attributable to noncontrolling interests.</w:t>
      </w:r>
    </w:p>
    <w:p>
      <w:pPr>
        <w:pStyle w:val="BodyText"/>
        <w:spacing w:before="4"/>
      </w:pPr>
    </w:p>
    <w:p>
      <w:pPr>
        <w:pStyle w:val="BodyText"/>
        <w:spacing w:line="242" w:lineRule="auto" w:before="1"/>
        <w:ind w:left="144" w:right="118" w:firstLine="499"/>
        <w:jc w:val="both"/>
      </w:pPr>
      <w:r>
        <w:rPr>
          <w:b/>
        </w:rPr>
        <w:t>Income per share of common stock. </w:t>
      </w:r>
      <w:r>
        <w:rPr/>
        <w:t>The table below reconciles basic and diluted income per share of common stock. Diluted net income attributable to common stockholders includes adjustments for redeemable noncontrolling interests. Diluted weighted average common and common equivalent </w:t>
      </w:r>
      <w:r>
        <w:rPr/>
        <w:t>shares include adjustments for potential dilution of stock-based awards outstanding under the Company’s stock compensation plan.</w:t>
      </w:r>
    </w:p>
    <w:p>
      <w:pPr>
        <w:pStyle w:val="BodyText"/>
      </w:pPr>
    </w:p>
    <w:p>
      <w:pPr>
        <w:pStyle w:val="BodyText"/>
        <w:spacing w:before="187"/>
      </w:pPr>
    </w:p>
    <w:p>
      <w:pPr>
        <w:pStyle w:val="BodyText"/>
        <w:ind w:left="24"/>
        <w:jc w:val="center"/>
      </w:pPr>
      <w:r>
        <w:rPr>
          <w:spacing w:val="-5"/>
        </w:rPr>
        <w:t>70</w:t>
      </w:r>
    </w:p>
    <w:p>
      <w:pPr>
        <w:pStyle w:val="BodyText"/>
        <w:spacing w:before="3"/>
        <w:rPr>
          <w:sz w:val="6"/>
        </w:rPr>
      </w:pPr>
      <w:r>
        <w:rPr/>
        <mc:AlternateContent>
          <mc:Choice Requires="wps">
            <w:drawing>
              <wp:anchor distT="0" distB="0" distL="0" distR="0" allowOverlap="1" layoutInCell="1" locked="0" behindDoc="1" simplePos="0" relativeHeight="487665664">
                <wp:simplePos x="0" y="0"/>
                <wp:positionH relativeFrom="page">
                  <wp:posOffset>231457</wp:posOffset>
                </wp:positionH>
                <wp:positionV relativeFrom="paragraph">
                  <wp:posOffset>60956</wp:posOffset>
                </wp:positionV>
                <wp:extent cx="7312659" cy="17145"/>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7312659" cy="17145"/>
                          <a:chExt cx="7312659" cy="17145"/>
                        </a:xfrm>
                      </wpg:grpSpPr>
                      <wps:wsp>
                        <wps:cNvPr id="405" name="Graphic 40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6" name="Graphic 406"/>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7" name="Graphic 40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0816;mso-wrap-distance-left:0;mso-wrap-distance-right:0" id="docshapegroup402" coordorigin="364,96" coordsize="11516,27">
                <v:rect style="position:absolute;left:364;top:96;width:11516;height:14" id="docshape403" filled="true" fillcolor="#999999" stroked="false">
                  <v:fill type="solid"/>
                </v:rect>
                <v:shape style="position:absolute;left:364;top:95;width:11516;height:27" id="docshape404" coordorigin="364,96" coordsize="11516,27" path="m11880,96l11866,109,364,109,364,123,11866,123,11880,123,11880,109,11880,96xe" filled="true" fillcolor="#ededed" stroked="false">
                  <v:path arrowok="t"/>
                  <v:fill type="solid"/>
                </v:shape>
                <v:shape style="position:absolute;left:364;top:96;width:14;height:27" id="docshape40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5"/>
        <w:spacing w:before="77"/>
        <w:ind w:left="6743"/>
      </w:pPr>
      <w:r>
        <w:rPr/>
        <mc:AlternateContent>
          <mc:Choice Requires="wps">
            <w:drawing>
              <wp:anchor distT="0" distB="0" distL="0" distR="0" allowOverlap="1" layoutInCell="1" locked="0" behindDoc="1" simplePos="0" relativeHeight="487666176">
                <wp:simplePos x="0" y="0"/>
                <wp:positionH relativeFrom="page">
                  <wp:posOffset>4500550</wp:posOffset>
                </wp:positionH>
                <wp:positionV relativeFrom="paragraph">
                  <wp:posOffset>198449</wp:posOffset>
                </wp:positionV>
                <wp:extent cx="3043555" cy="8890"/>
                <wp:effectExtent l="0" t="0" r="0" b="0"/>
                <wp:wrapTopAndBottom/>
                <wp:docPr id="408" name="Graphic 408"/>
                <wp:cNvGraphicFramePr>
                  <a:graphicFrameLocks/>
                </wp:cNvGraphicFramePr>
                <a:graphic>
                  <a:graphicData uri="http://schemas.microsoft.com/office/word/2010/wordprocessingShape">
                    <wps:wsp>
                      <wps:cNvPr id="408" name="Graphic 408"/>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5.625966pt;width:239.625011pt;height:.675pt;mso-position-horizontal-relative:page;mso-position-vertical-relative:paragraph;z-index:-15650304;mso-wrap-distance-left:0;mso-wrap-distance-right:0" id="docshape406"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79" w:val="left" w:leader="none"/>
          <w:tab w:pos="10017" w:val="left" w:leader="none"/>
        </w:tabs>
        <w:spacing w:before="21" w:after="29"/>
        <w:ind w:left="6742"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409" name="Group 409"/>
                <wp:cNvGraphicFramePr>
                  <a:graphicFrameLocks/>
                </wp:cNvGraphicFramePr>
                <a:graphic>
                  <a:graphicData uri="http://schemas.microsoft.com/office/word/2010/wordprocessingGroup">
                    <wpg:wgp>
                      <wpg:cNvPr id="409" name="Group 409"/>
                      <wpg:cNvGrpSpPr/>
                      <wpg:grpSpPr>
                        <a:xfrm>
                          <a:off x="0" y="0"/>
                          <a:ext cx="3043555" cy="8890"/>
                          <a:chExt cx="3043555" cy="8890"/>
                        </a:xfrm>
                      </wpg:grpSpPr>
                      <wps:wsp>
                        <wps:cNvPr id="410" name="Graphic 410"/>
                        <wps:cNvSpPr/>
                        <wps:spPr>
                          <a:xfrm>
                            <a:off x="-12" y="-9"/>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407" coordorigin="0,0" coordsize="4793,14">
                <v:rect style="position:absolute;left:-1;top:-1;width:4793;height:14" id="docshape408" filled="true" fillcolor="#000000" stroked="false">
                  <v:fill type="solid"/>
                </v:rect>
              </v:group>
            </w:pict>
          </mc:Fallback>
        </mc:AlternateContent>
      </w:r>
      <w:r>
        <w:rPr>
          <w:sz w:val="2"/>
        </w:rPr>
      </w:r>
    </w:p>
    <w:p>
      <w:pPr>
        <w:tabs>
          <w:tab w:pos="8661" w:val="left" w:leader="none"/>
        </w:tabs>
        <w:spacing w:before="17" w:after="26"/>
        <w:ind w:left="0" w:right="1915" w:firstLine="0"/>
        <w:jc w:val="center"/>
        <w:rPr>
          <w:b/>
          <w:i/>
          <w:sz w:val="14"/>
        </w:rPr>
      </w:pPr>
      <w:r>
        <w:rPr>
          <w:b/>
          <w:spacing w:val="-2"/>
          <w:position w:val="-2"/>
          <w:sz w:val="18"/>
        </w:rPr>
        <w:t>Numerator:</w:t>
      </w:r>
      <w:r>
        <w:rPr>
          <w:b/>
          <w:position w:val="-2"/>
          <w:sz w:val="18"/>
        </w:rPr>
        <w:tab/>
      </w: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3"/>
        <w:gridCol w:w="1512"/>
        <w:gridCol w:w="122"/>
        <w:gridCol w:w="1526"/>
        <w:gridCol w:w="1634"/>
      </w:tblGrid>
      <w:tr>
        <w:trPr>
          <w:trHeight w:val="256" w:hRule="atLeast"/>
        </w:trPr>
        <w:tc>
          <w:tcPr>
            <w:tcW w:w="6723" w:type="dxa"/>
            <w:shd w:val="clear" w:color="auto" w:fill="CFF0FB"/>
          </w:tcPr>
          <w:p>
            <w:pPr>
              <w:pStyle w:val="TableParagraph"/>
              <w:ind w:left="17"/>
              <w:rPr>
                <w:sz w:val="18"/>
              </w:rPr>
            </w:pPr>
            <w:r>
              <w:rPr>
                <w:sz w:val="18"/>
              </w:rPr>
              <w:t>Net</w:t>
            </w:r>
            <w:r>
              <w:rPr>
                <w:spacing w:val="-1"/>
                <w:sz w:val="18"/>
              </w:rPr>
              <w:t> </w:t>
            </w:r>
            <w:r>
              <w:rPr>
                <w:sz w:val="18"/>
              </w:rPr>
              <w:t>income</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tc>
        <w:tc>
          <w:tcPr>
            <w:tcW w:w="1512" w:type="dxa"/>
            <w:shd w:val="clear" w:color="auto" w:fill="CFF0FB"/>
          </w:tcPr>
          <w:p>
            <w:pPr>
              <w:pStyle w:val="TableParagraph"/>
              <w:tabs>
                <w:tab w:pos="709" w:val="left" w:leader="none"/>
              </w:tabs>
              <w:ind w:right="66"/>
              <w:jc w:val="right"/>
              <w:rPr>
                <w:sz w:val="18"/>
              </w:rPr>
            </w:pPr>
            <w:r>
              <w:rPr>
                <w:spacing w:val="-10"/>
                <w:sz w:val="18"/>
              </w:rPr>
              <w:t>$</w:t>
            </w:r>
            <w:r>
              <w:rPr>
                <w:sz w:val="18"/>
              </w:rPr>
              <w:tab/>
            </w:r>
            <w:r>
              <w:rPr>
                <w:spacing w:val="-2"/>
                <w:sz w:val="18"/>
              </w:rPr>
              <w:t>1,473,093</w:t>
            </w:r>
          </w:p>
        </w:tc>
        <w:tc>
          <w:tcPr>
            <w:tcW w:w="122" w:type="dxa"/>
            <w:shd w:val="clear" w:color="auto" w:fill="CFF0FB"/>
          </w:tcPr>
          <w:p>
            <w:pPr>
              <w:pStyle w:val="TableParagraph"/>
              <w:spacing w:before="0"/>
              <w:rPr>
                <w:sz w:val="16"/>
              </w:rPr>
            </w:pPr>
          </w:p>
        </w:tc>
        <w:tc>
          <w:tcPr>
            <w:tcW w:w="1526" w:type="dxa"/>
            <w:shd w:val="clear" w:color="auto" w:fill="CFF0FB"/>
          </w:tcPr>
          <w:p>
            <w:pPr>
              <w:pStyle w:val="TableParagraph"/>
              <w:tabs>
                <w:tab w:pos="709" w:val="left" w:leader="none"/>
              </w:tabs>
              <w:ind w:right="77"/>
              <w:jc w:val="right"/>
              <w:rPr>
                <w:sz w:val="18"/>
              </w:rPr>
            </w:pPr>
            <w:r>
              <w:rPr>
                <w:spacing w:val="-10"/>
                <w:sz w:val="18"/>
              </w:rPr>
              <w:t>$</w:t>
            </w:r>
            <w:r>
              <w:rPr>
                <w:sz w:val="18"/>
              </w:rPr>
              <w:tab/>
            </w:r>
            <w:r>
              <w:rPr>
                <w:spacing w:val="-2"/>
                <w:sz w:val="18"/>
              </w:rPr>
              <w:t>1,254,370</w:t>
            </w:r>
          </w:p>
        </w:tc>
        <w:tc>
          <w:tcPr>
            <w:tcW w:w="1634" w:type="dxa"/>
            <w:shd w:val="clear" w:color="auto" w:fill="CFF0FB"/>
          </w:tcPr>
          <w:p>
            <w:pPr>
              <w:pStyle w:val="TableParagraph"/>
              <w:tabs>
                <w:tab w:pos="636" w:val="left" w:leader="none"/>
              </w:tabs>
              <w:ind w:right="27"/>
              <w:jc w:val="right"/>
              <w:rPr>
                <w:sz w:val="18"/>
              </w:rPr>
            </w:pPr>
            <w:r>
              <w:rPr>
                <w:spacing w:val="-10"/>
                <w:sz w:val="18"/>
              </w:rPr>
              <w:t>$</w:t>
            </w:r>
            <w:r>
              <w:rPr>
                <w:sz w:val="18"/>
              </w:rPr>
              <w:tab/>
            </w:r>
            <w:r>
              <w:rPr>
                <w:spacing w:val="-2"/>
                <w:sz w:val="18"/>
              </w:rPr>
              <w:t>(1,032,724)</w:t>
            </w:r>
          </w:p>
        </w:tc>
      </w:tr>
      <w:tr>
        <w:trPr>
          <w:trHeight w:val="255" w:hRule="atLeast"/>
        </w:trPr>
        <w:tc>
          <w:tcPr>
            <w:tcW w:w="6723" w:type="dxa"/>
          </w:tcPr>
          <w:p>
            <w:pPr>
              <w:pStyle w:val="TableParagraph"/>
              <w:ind w:left="217"/>
              <w:rPr>
                <w:sz w:val="18"/>
              </w:rPr>
            </w:pPr>
            <w:r>
              <w:rPr>
                <w:sz w:val="18"/>
              </w:rPr>
              <w:t>Adjustment</w:t>
            </w:r>
            <w:r>
              <w:rPr>
                <w:spacing w:val="-1"/>
                <w:sz w:val="18"/>
              </w:rPr>
              <w:t> </w:t>
            </w:r>
            <w:r>
              <w:rPr>
                <w:sz w:val="18"/>
              </w:rPr>
              <w:t>related</w:t>
            </w:r>
            <w:r>
              <w:rPr>
                <w:spacing w:val="-1"/>
                <w:sz w:val="18"/>
              </w:rPr>
              <w:t> </w:t>
            </w:r>
            <w:r>
              <w:rPr>
                <w:sz w:val="18"/>
              </w:rPr>
              <w:t>to</w:t>
            </w:r>
            <w:r>
              <w:rPr>
                <w:spacing w:val="-1"/>
                <w:sz w:val="18"/>
              </w:rPr>
              <w:t> </w:t>
            </w:r>
            <w:r>
              <w:rPr>
                <w:sz w:val="18"/>
              </w:rPr>
              <w:t>redeemable</w:t>
            </w:r>
            <w:r>
              <w:rPr>
                <w:spacing w:val="-1"/>
                <w:sz w:val="18"/>
              </w:rPr>
              <w:t> </w:t>
            </w:r>
            <w:r>
              <w:rPr>
                <w:sz w:val="18"/>
              </w:rPr>
              <w:t>noncontrolling</w:t>
            </w:r>
            <w:r>
              <w:rPr>
                <w:spacing w:val="-1"/>
                <w:sz w:val="18"/>
              </w:rPr>
              <w:t> </w:t>
            </w:r>
            <w:r>
              <w:rPr>
                <w:spacing w:val="-2"/>
                <w:sz w:val="18"/>
              </w:rPr>
              <w:t>interests</w:t>
            </w:r>
          </w:p>
        </w:tc>
        <w:tc>
          <w:tcPr>
            <w:tcW w:w="1512" w:type="dxa"/>
            <w:tcBorders>
              <w:bottom w:val="single" w:sz="6" w:space="0" w:color="000000"/>
            </w:tcBorders>
          </w:tcPr>
          <w:p>
            <w:pPr>
              <w:pStyle w:val="TableParagraph"/>
              <w:ind w:right="21"/>
              <w:jc w:val="right"/>
              <w:rPr>
                <w:sz w:val="18"/>
              </w:rPr>
            </w:pPr>
            <w:r>
              <w:rPr>
                <w:spacing w:val="-2"/>
                <w:sz w:val="18"/>
              </w:rPr>
              <w:t>(31,888)</w:t>
            </w:r>
          </w:p>
        </w:tc>
        <w:tc>
          <w:tcPr>
            <w:tcW w:w="122" w:type="dxa"/>
          </w:tcPr>
          <w:p>
            <w:pPr>
              <w:pStyle w:val="TableParagraph"/>
              <w:spacing w:before="0"/>
              <w:rPr>
                <w:sz w:val="16"/>
              </w:rPr>
            </w:pPr>
          </w:p>
        </w:tc>
        <w:tc>
          <w:tcPr>
            <w:tcW w:w="1526" w:type="dxa"/>
            <w:tcBorders>
              <w:bottom w:val="single" w:sz="6" w:space="0" w:color="000000"/>
            </w:tcBorders>
          </w:tcPr>
          <w:p>
            <w:pPr>
              <w:pStyle w:val="TableParagraph"/>
              <w:ind w:right="32"/>
              <w:jc w:val="right"/>
              <w:rPr>
                <w:sz w:val="18"/>
              </w:rPr>
            </w:pPr>
            <w:r>
              <w:rPr>
                <w:spacing w:val="-2"/>
                <w:sz w:val="18"/>
              </w:rPr>
              <w:t>(78,298)</w:t>
            </w:r>
          </w:p>
        </w:tc>
        <w:tc>
          <w:tcPr>
            <w:tcW w:w="1634" w:type="dxa"/>
            <w:tcBorders>
              <w:bottom w:val="single" w:sz="6" w:space="0" w:color="000000"/>
            </w:tcBorders>
          </w:tcPr>
          <w:p>
            <w:pPr>
              <w:pStyle w:val="TableParagraph"/>
              <w:ind w:right="72"/>
              <w:jc w:val="right"/>
              <w:rPr>
                <w:sz w:val="18"/>
              </w:rPr>
            </w:pPr>
            <w:r>
              <w:rPr>
                <w:spacing w:val="-2"/>
                <w:sz w:val="18"/>
              </w:rPr>
              <w:t>35,520</w:t>
            </w:r>
          </w:p>
        </w:tc>
      </w:tr>
      <w:tr>
        <w:trPr>
          <w:trHeight w:val="260" w:hRule="atLeast"/>
        </w:trPr>
        <w:tc>
          <w:tcPr>
            <w:tcW w:w="6723" w:type="dxa"/>
            <w:shd w:val="clear" w:color="auto" w:fill="CFF0FB"/>
          </w:tcPr>
          <w:p>
            <w:pPr>
              <w:pStyle w:val="TableParagraph"/>
              <w:spacing w:line="207" w:lineRule="exact" w:before="33"/>
              <w:ind w:left="17"/>
              <w:rPr>
                <w:sz w:val="18"/>
              </w:rPr>
            </w:pPr>
            <w:r>
              <w:rPr>
                <w:sz w:val="18"/>
              </w:rPr>
              <w:t>Net</w:t>
            </w:r>
            <w:r>
              <w:rPr>
                <w:spacing w:val="-1"/>
                <w:sz w:val="18"/>
              </w:rPr>
              <w:t> </w:t>
            </w:r>
            <w:r>
              <w:rPr>
                <w:sz w:val="18"/>
              </w:rPr>
              <w:t>income</w:t>
            </w:r>
            <w:r>
              <w:rPr>
                <w:spacing w:val="-1"/>
                <w:sz w:val="18"/>
              </w:rPr>
              <w:t> </w:t>
            </w:r>
            <w:r>
              <w:rPr>
                <w:sz w:val="18"/>
              </w:rPr>
              <w:t>(loss)</w:t>
            </w:r>
            <w:r>
              <w:rPr>
                <w:spacing w:val="-1"/>
                <w:sz w:val="18"/>
              </w:rPr>
              <w:t> </w:t>
            </w:r>
            <w:r>
              <w:rPr>
                <w:sz w:val="18"/>
              </w:rPr>
              <w:t>available</w:t>
            </w:r>
            <w:r>
              <w:rPr>
                <w:spacing w:val="-1"/>
                <w:sz w:val="18"/>
              </w:rPr>
              <w:t> </w:t>
            </w:r>
            <w:r>
              <w:rPr>
                <w:sz w:val="18"/>
              </w:rPr>
              <w:t>to</w:t>
            </w:r>
            <w:r>
              <w:rPr>
                <w:spacing w:val="-1"/>
                <w:sz w:val="18"/>
              </w:rPr>
              <w:t> </w:t>
            </w:r>
            <w:r>
              <w:rPr>
                <w:sz w:val="18"/>
              </w:rPr>
              <w:t>common</w:t>
            </w:r>
            <w:r>
              <w:rPr>
                <w:spacing w:val="-1"/>
                <w:sz w:val="18"/>
              </w:rPr>
              <w:t> </w:t>
            </w:r>
            <w:r>
              <w:rPr>
                <w:sz w:val="18"/>
              </w:rPr>
              <w:t>stockholders</w:t>
            </w:r>
            <w:r>
              <w:rPr>
                <w:spacing w:val="-1"/>
                <w:sz w:val="18"/>
              </w:rPr>
              <w:t> </w:t>
            </w:r>
            <w:r>
              <w:rPr>
                <w:sz w:val="18"/>
              </w:rPr>
              <w:t>-</w:t>
            </w:r>
            <w:r>
              <w:rPr>
                <w:spacing w:val="-1"/>
                <w:sz w:val="18"/>
              </w:rPr>
              <w:t> </w:t>
            </w:r>
            <w:r>
              <w:rPr>
                <w:sz w:val="18"/>
              </w:rPr>
              <w:t>basic</w:t>
            </w:r>
            <w:r>
              <w:rPr>
                <w:spacing w:val="-1"/>
                <w:sz w:val="18"/>
              </w:rPr>
              <w:t> </w:t>
            </w:r>
            <w:r>
              <w:rPr>
                <w:sz w:val="18"/>
              </w:rPr>
              <w:t>and</w:t>
            </w:r>
            <w:r>
              <w:rPr>
                <w:spacing w:val="-1"/>
                <w:sz w:val="18"/>
              </w:rPr>
              <w:t> </w:t>
            </w:r>
            <w:r>
              <w:rPr>
                <w:spacing w:val="-2"/>
                <w:sz w:val="18"/>
              </w:rPr>
              <w:t>diluted</w:t>
            </w:r>
          </w:p>
        </w:tc>
        <w:tc>
          <w:tcPr>
            <w:tcW w:w="1512" w:type="dxa"/>
            <w:tcBorders>
              <w:top w:val="single" w:sz="6" w:space="0" w:color="000000"/>
              <w:bottom w:val="double" w:sz="6" w:space="0" w:color="000000"/>
            </w:tcBorders>
            <w:shd w:val="clear" w:color="auto" w:fill="CFF0FB"/>
          </w:tcPr>
          <w:p>
            <w:pPr>
              <w:pStyle w:val="TableParagraph"/>
              <w:tabs>
                <w:tab w:pos="709" w:val="left" w:leader="none"/>
              </w:tabs>
              <w:spacing w:before="20"/>
              <w:ind w:right="66"/>
              <w:jc w:val="right"/>
              <w:rPr>
                <w:sz w:val="18"/>
              </w:rPr>
            </w:pPr>
            <w:r>
              <w:rPr>
                <w:spacing w:val="-10"/>
                <w:sz w:val="18"/>
              </w:rPr>
              <w:t>$</w:t>
            </w:r>
            <w:r>
              <w:rPr>
                <w:sz w:val="18"/>
              </w:rPr>
              <w:tab/>
            </w:r>
            <w:r>
              <w:rPr>
                <w:spacing w:val="-2"/>
                <w:sz w:val="18"/>
              </w:rPr>
              <w:t>1,441,205</w:t>
            </w:r>
          </w:p>
        </w:tc>
        <w:tc>
          <w:tcPr>
            <w:tcW w:w="122" w:type="dxa"/>
            <w:shd w:val="clear" w:color="auto" w:fill="CFF0FB"/>
          </w:tcPr>
          <w:p>
            <w:pPr>
              <w:pStyle w:val="TableParagraph"/>
              <w:spacing w:before="0"/>
              <w:rPr>
                <w:sz w:val="16"/>
              </w:rPr>
            </w:pPr>
          </w:p>
        </w:tc>
        <w:tc>
          <w:tcPr>
            <w:tcW w:w="1526" w:type="dxa"/>
            <w:tcBorders>
              <w:top w:val="single" w:sz="6" w:space="0" w:color="000000"/>
              <w:bottom w:val="double" w:sz="6" w:space="0" w:color="000000"/>
            </w:tcBorders>
            <w:shd w:val="clear" w:color="auto" w:fill="CFF0FB"/>
          </w:tcPr>
          <w:p>
            <w:pPr>
              <w:pStyle w:val="TableParagraph"/>
              <w:tabs>
                <w:tab w:pos="709" w:val="left" w:leader="none"/>
              </w:tabs>
              <w:spacing w:before="20"/>
              <w:ind w:right="77"/>
              <w:jc w:val="right"/>
              <w:rPr>
                <w:sz w:val="18"/>
              </w:rPr>
            </w:pPr>
            <w:r>
              <w:rPr>
                <w:spacing w:val="-10"/>
                <w:sz w:val="18"/>
              </w:rPr>
              <w:t>$</w:t>
            </w:r>
            <w:r>
              <w:rPr>
                <w:sz w:val="18"/>
              </w:rPr>
              <w:tab/>
            </w:r>
            <w:r>
              <w:rPr>
                <w:spacing w:val="-2"/>
                <w:sz w:val="18"/>
              </w:rPr>
              <w:t>1,176,072</w:t>
            </w:r>
          </w:p>
        </w:tc>
        <w:tc>
          <w:tcPr>
            <w:tcW w:w="1634" w:type="dxa"/>
            <w:tcBorders>
              <w:top w:val="single" w:sz="6" w:space="0" w:color="000000"/>
              <w:bottom w:val="double" w:sz="6" w:space="0" w:color="000000"/>
            </w:tcBorders>
            <w:shd w:val="clear" w:color="auto" w:fill="CFF0FB"/>
          </w:tcPr>
          <w:p>
            <w:pPr>
              <w:pStyle w:val="TableParagraph"/>
              <w:tabs>
                <w:tab w:pos="771" w:val="left" w:leader="none"/>
              </w:tabs>
              <w:spacing w:before="20"/>
              <w:ind w:right="27"/>
              <w:jc w:val="right"/>
              <w:rPr>
                <w:sz w:val="18"/>
              </w:rPr>
            </w:pPr>
            <w:r>
              <w:rPr>
                <w:spacing w:val="-10"/>
                <w:sz w:val="18"/>
              </w:rPr>
              <w:t>$</w:t>
            </w:r>
            <w:r>
              <w:rPr>
                <w:sz w:val="18"/>
              </w:rPr>
              <w:tab/>
            </w:r>
            <w:r>
              <w:rPr>
                <w:spacing w:val="-2"/>
                <w:sz w:val="18"/>
              </w:rPr>
              <w:t>(997,204)</w:t>
            </w:r>
          </w:p>
        </w:tc>
      </w:tr>
      <w:tr>
        <w:trPr>
          <w:trHeight w:val="247" w:hRule="atLeast"/>
        </w:trPr>
        <w:tc>
          <w:tcPr>
            <w:tcW w:w="6723" w:type="dxa"/>
          </w:tcPr>
          <w:p>
            <w:pPr>
              <w:pStyle w:val="TableParagraph"/>
              <w:spacing w:line="205" w:lineRule="exact" w:before="0"/>
              <w:ind w:left="17"/>
              <w:rPr>
                <w:b/>
                <w:sz w:val="18"/>
              </w:rPr>
            </w:pPr>
            <w:r>
              <w:rPr>
                <w:b/>
                <w:spacing w:val="-2"/>
                <w:sz w:val="18"/>
              </w:rPr>
              <w:t>Denominator:</w:t>
            </w:r>
          </w:p>
        </w:tc>
        <w:tc>
          <w:tcPr>
            <w:tcW w:w="1512" w:type="dxa"/>
            <w:tcBorders>
              <w:top w:val="double" w:sz="6" w:space="0" w:color="000000"/>
            </w:tcBorders>
          </w:tcPr>
          <w:p>
            <w:pPr>
              <w:pStyle w:val="TableParagraph"/>
              <w:spacing w:before="0"/>
              <w:rPr>
                <w:sz w:val="16"/>
              </w:rPr>
            </w:pPr>
          </w:p>
        </w:tc>
        <w:tc>
          <w:tcPr>
            <w:tcW w:w="122" w:type="dxa"/>
          </w:tcPr>
          <w:p>
            <w:pPr>
              <w:pStyle w:val="TableParagraph"/>
              <w:spacing w:before="0"/>
              <w:rPr>
                <w:sz w:val="16"/>
              </w:rPr>
            </w:pPr>
          </w:p>
        </w:tc>
        <w:tc>
          <w:tcPr>
            <w:tcW w:w="1526" w:type="dxa"/>
            <w:tcBorders>
              <w:top w:val="double" w:sz="6" w:space="0" w:color="000000"/>
            </w:tcBorders>
          </w:tcPr>
          <w:p>
            <w:pPr>
              <w:pStyle w:val="TableParagraph"/>
              <w:spacing w:before="0"/>
              <w:rPr>
                <w:sz w:val="16"/>
              </w:rPr>
            </w:pPr>
          </w:p>
        </w:tc>
        <w:tc>
          <w:tcPr>
            <w:tcW w:w="1634" w:type="dxa"/>
            <w:tcBorders>
              <w:top w:val="double" w:sz="6" w:space="0" w:color="000000"/>
            </w:tcBorders>
          </w:tcPr>
          <w:p>
            <w:pPr>
              <w:pStyle w:val="TableParagraph"/>
              <w:spacing w:before="0"/>
              <w:rPr>
                <w:sz w:val="16"/>
              </w:rPr>
            </w:pPr>
          </w:p>
        </w:tc>
      </w:tr>
      <w:tr>
        <w:trPr>
          <w:trHeight w:val="256" w:hRule="atLeast"/>
        </w:trPr>
        <w:tc>
          <w:tcPr>
            <w:tcW w:w="6723" w:type="dxa"/>
            <w:shd w:val="clear" w:color="auto" w:fill="CFF0FB"/>
          </w:tcPr>
          <w:p>
            <w:pPr>
              <w:pStyle w:val="TableParagraph"/>
              <w:ind w:left="17"/>
              <w:rPr>
                <w:sz w:val="18"/>
              </w:rPr>
            </w:pPr>
            <w:r>
              <w:rPr>
                <w:sz w:val="18"/>
              </w:rPr>
              <w:t>Weighted</w:t>
            </w:r>
            <w:r>
              <w:rPr>
                <w:spacing w:val="-4"/>
                <w:sz w:val="18"/>
              </w:rPr>
              <w:t> </w:t>
            </w:r>
            <w:r>
              <w:rPr>
                <w:sz w:val="18"/>
              </w:rPr>
              <w:t>average</w:t>
            </w:r>
            <w:r>
              <w:rPr>
                <w:spacing w:val="-4"/>
                <w:sz w:val="18"/>
              </w:rPr>
              <w:t> </w:t>
            </w:r>
            <w:r>
              <w:rPr>
                <w:sz w:val="18"/>
              </w:rPr>
              <w:t>common</w:t>
            </w:r>
            <w:r>
              <w:rPr>
                <w:spacing w:val="-4"/>
                <w:sz w:val="18"/>
              </w:rPr>
              <w:t> </w:t>
            </w:r>
            <w:r>
              <w:rPr>
                <w:sz w:val="18"/>
              </w:rPr>
              <w:t>shares</w:t>
            </w:r>
            <w:r>
              <w:rPr>
                <w:spacing w:val="-4"/>
                <w:sz w:val="18"/>
              </w:rPr>
              <w:t> </w:t>
            </w:r>
            <w:r>
              <w:rPr>
                <w:sz w:val="18"/>
              </w:rPr>
              <w:t>outstanding</w:t>
            </w:r>
            <w:r>
              <w:rPr>
                <w:spacing w:val="-4"/>
                <w:sz w:val="18"/>
              </w:rPr>
              <w:t> </w:t>
            </w:r>
            <w:r>
              <w:rPr>
                <w:spacing w:val="-2"/>
                <w:sz w:val="18"/>
              </w:rPr>
              <w:t>basic</w:t>
            </w:r>
          </w:p>
        </w:tc>
        <w:tc>
          <w:tcPr>
            <w:tcW w:w="1512" w:type="dxa"/>
            <w:shd w:val="clear" w:color="auto" w:fill="CFF0FB"/>
          </w:tcPr>
          <w:p>
            <w:pPr>
              <w:pStyle w:val="TableParagraph"/>
              <w:ind w:right="67"/>
              <w:jc w:val="right"/>
              <w:rPr>
                <w:sz w:val="18"/>
              </w:rPr>
            </w:pPr>
            <w:r>
              <w:rPr>
                <w:spacing w:val="-2"/>
                <w:sz w:val="18"/>
              </w:rPr>
              <w:t>409,201</w:t>
            </w:r>
          </w:p>
        </w:tc>
        <w:tc>
          <w:tcPr>
            <w:tcW w:w="122" w:type="dxa"/>
            <w:shd w:val="clear" w:color="auto" w:fill="CFF0FB"/>
          </w:tcPr>
          <w:p>
            <w:pPr>
              <w:pStyle w:val="TableParagraph"/>
              <w:spacing w:before="0"/>
              <w:rPr>
                <w:sz w:val="16"/>
              </w:rPr>
            </w:pPr>
          </w:p>
        </w:tc>
        <w:tc>
          <w:tcPr>
            <w:tcW w:w="1526" w:type="dxa"/>
            <w:shd w:val="clear" w:color="auto" w:fill="CFF0FB"/>
          </w:tcPr>
          <w:p>
            <w:pPr>
              <w:pStyle w:val="TableParagraph"/>
              <w:ind w:right="77"/>
              <w:jc w:val="right"/>
              <w:rPr>
                <w:sz w:val="18"/>
              </w:rPr>
            </w:pPr>
            <w:r>
              <w:rPr>
                <w:spacing w:val="-2"/>
                <w:sz w:val="18"/>
              </w:rPr>
              <w:t>481,930</w:t>
            </w:r>
          </w:p>
        </w:tc>
        <w:tc>
          <w:tcPr>
            <w:tcW w:w="1634" w:type="dxa"/>
            <w:shd w:val="clear" w:color="auto" w:fill="CFF0FB"/>
          </w:tcPr>
          <w:p>
            <w:pPr>
              <w:pStyle w:val="TableParagraph"/>
              <w:ind w:right="72"/>
              <w:jc w:val="right"/>
              <w:rPr>
                <w:sz w:val="18"/>
              </w:rPr>
            </w:pPr>
            <w:r>
              <w:rPr>
                <w:spacing w:val="-2"/>
                <w:sz w:val="18"/>
              </w:rPr>
              <w:t>494,152</w:t>
            </w:r>
          </w:p>
        </w:tc>
      </w:tr>
      <w:tr>
        <w:trPr>
          <w:trHeight w:val="255" w:hRule="atLeast"/>
        </w:trPr>
        <w:tc>
          <w:tcPr>
            <w:tcW w:w="6723" w:type="dxa"/>
          </w:tcPr>
          <w:p>
            <w:pPr>
              <w:pStyle w:val="TableParagraph"/>
              <w:ind w:left="217"/>
              <w:rPr>
                <w:sz w:val="18"/>
              </w:rPr>
            </w:pPr>
            <w:r>
              <w:rPr>
                <w:sz w:val="18"/>
              </w:rPr>
              <w:t>Potential</w:t>
            </w:r>
            <w:r>
              <w:rPr>
                <w:spacing w:val="-1"/>
                <w:sz w:val="18"/>
              </w:rPr>
              <w:t> </w:t>
            </w:r>
            <w:r>
              <w:rPr>
                <w:sz w:val="18"/>
              </w:rPr>
              <w:t>dilution</w:t>
            </w:r>
            <w:r>
              <w:rPr>
                <w:spacing w:val="-1"/>
                <w:sz w:val="18"/>
              </w:rPr>
              <w:t> </w:t>
            </w:r>
            <w:r>
              <w:rPr>
                <w:sz w:val="18"/>
              </w:rPr>
              <w:t>from</w:t>
            </w:r>
            <w:r>
              <w:rPr>
                <w:spacing w:val="-1"/>
                <w:sz w:val="18"/>
              </w:rPr>
              <w:t> </w:t>
            </w:r>
            <w:r>
              <w:rPr>
                <w:sz w:val="18"/>
              </w:rPr>
              <w:t>stock-based</w:t>
            </w:r>
            <w:r>
              <w:rPr>
                <w:spacing w:val="-1"/>
                <w:sz w:val="18"/>
              </w:rPr>
              <w:t> </w:t>
            </w:r>
            <w:r>
              <w:rPr>
                <w:spacing w:val="-2"/>
                <w:sz w:val="18"/>
              </w:rPr>
              <w:t>awards</w:t>
            </w:r>
          </w:p>
        </w:tc>
        <w:tc>
          <w:tcPr>
            <w:tcW w:w="1512" w:type="dxa"/>
            <w:tcBorders>
              <w:bottom w:val="single" w:sz="6" w:space="0" w:color="000000"/>
            </w:tcBorders>
          </w:tcPr>
          <w:p>
            <w:pPr>
              <w:pStyle w:val="TableParagraph"/>
              <w:ind w:right="66"/>
              <w:jc w:val="right"/>
              <w:rPr>
                <w:sz w:val="18"/>
              </w:rPr>
            </w:pPr>
            <w:r>
              <w:rPr>
                <w:spacing w:val="-2"/>
                <w:sz w:val="18"/>
              </w:rPr>
              <w:t>3,792</w:t>
            </w:r>
          </w:p>
        </w:tc>
        <w:tc>
          <w:tcPr>
            <w:tcW w:w="122" w:type="dxa"/>
          </w:tcPr>
          <w:p>
            <w:pPr>
              <w:pStyle w:val="TableParagraph"/>
              <w:spacing w:before="0"/>
              <w:rPr>
                <w:sz w:val="16"/>
              </w:rPr>
            </w:pPr>
          </w:p>
        </w:tc>
        <w:tc>
          <w:tcPr>
            <w:tcW w:w="1526" w:type="dxa"/>
            <w:tcBorders>
              <w:bottom w:val="single" w:sz="6" w:space="0" w:color="000000"/>
            </w:tcBorders>
          </w:tcPr>
          <w:p>
            <w:pPr>
              <w:pStyle w:val="TableParagraph"/>
              <w:ind w:right="77"/>
              <w:jc w:val="right"/>
              <w:rPr>
                <w:sz w:val="18"/>
              </w:rPr>
            </w:pPr>
            <w:r>
              <w:rPr>
                <w:spacing w:val="-2"/>
                <w:sz w:val="18"/>
              </w:rPr>
              <w:t>5,426</w:t>
            </w:r>
          </w:p>
        </w:tc>
        <w:tc>
          <w:tcPr>
            <w:tcW w:w="1634" w:type="dxa"/>
            <w:tcBorders>
              <w:bottom w:val="single" w:sz="6" w:space="0" w:color="000000"/>
            </w:tcBorders>
          </w:tcPr>
          <w:p>
            <w:pPr>
              <w:pStyle w:val="TableParagraph"/>
              <w:ind w:right="72"/>
              <w:jc w:val="right"/>
              <w:rPr>
                <w:sz w:val="18"/>
              </w:rPr>
            </w:pPr>
            <w:r>
              <w:rPr>
                <w:spacing w:val="-10"/>
                <w:sz w:val="18"/>
              </w:rPr>
              <w:t>—</w:t>
            </w:r>
          </w:p>
        </w:tc>
      </w:tr>
      <w:tr>
        <w:trPr>
          <w:trHeight w:val="260" w:hRule="atLeast"/>
        </w:trPr>
        <w:tc>
          <w:tcPr>
            <w:tcW w:w="6723" w:type="dxa"/>
            <w:shd w:val="clear" w:color="auto" w:fill="CFF0FB"/>
          </w:tcPr>
          <w:p>
            <w:pPr>
              <w:pStyle w:val="TableParagraph"/>
              <w:spacing w:line="207" w:lineRule="exact" w:before="33"/>
              <w:ind w:left="17"/>
              <w:rPr>
                <w:sz w:val="18"/>
              </w:rPr>
            </w:pPr>
            <w:r>
              <w:rPr>
                <w:sz w:val="18"/>
              </w:rPr>
              <w:t>Weighted</w:t>
            </w:r>
            <w:r>
              <w:rPr>
                <w:spacing w:val="-3"/>
                <w:sz w:val="18"/>
              </w:rPr>
              <w:t> </w:t>
            </w:r>
            <w:r>
              <w:rPr>
                <w:sz w:val="18"/>
              </w:rPr>
              <w:t>average</w:t>
            </w:r>
            <w:r>
              <w:rPr>
                <w:spacing w:val="-3"/>
                <w:sz w:val="18"/>
              </w:rPr>
              <w:t> </w:t>
            </w:r>
            <w:r>
              <w:rPr>
                <w:sz w:val="18"/>
              </w:rPr>
              <w:t>common</w:t>
            </w:r>
            <w:r>
              <w:rPr>
                <w:spacing w:val="-3"/>
                <w:sz w:val="18"/>
              </w:rPr>
              <w:t> </w:t>
            </w:r>
            <w:r>
              <w:rPr>
                <w:sz w:val="18"/>
              </w:rPr>
              <w:t>and</w:t>
            </w:r>
            <w:r>
              <w:rPr>
                <w:spacing w:val="-3"/>
                <w:sz w:val="18"/>
              </w:rPr>
              <w:t> </w:t>
            </w:r>
            <w:r>
              <w:rPr>
                <w:sz w:val="18"/>
              </w:rPr>
              <w:t>common</w:t>
            </w:r>
            <w:r>
              <w:rPr>
                <w:spacing w:val="-3"/>
                <w:sz w:val="18"/>
              </w:rPr>
              <w:t> </w:t>
            </w:r>
            <w:r>
              <w:rPr>
                <w:sz w:val="18"/>
              </w:rPr>
              <w:t>equivalent</w:t>
            </w:r>
            <w:r>
              <w:rPr>
                <w:spacing w:val="-3"/>
                <w:sz w:val="18"/>
              </w:rPr>
              <w:t> </w:t>
            </w:r>
            <w:r>
              <w:rPr>
                <w:sz w:val="18"/>
              </w:rPr>
              <w:t>shares</w:t>
            </w:r>
            <w:r>
              <w:rPr>
                <w:spacing w:val="-3"/>
                <w:sz w:val="18"/>
              </w:rPr>
              <w:t> </w:t>
            </w:r>
            <w:r>
              <w:rPr>
                <w:sz w:val="18"/>
              </w:rPr>
              <w:t>-</w:t>
            </w:r>
            <w:r>
              <w:rPr>
                <w:spacing w:val="-2"/>
                <w:sz w:val="18"/>
              </w:rPr>
              <w:t> diluted</w:t>
            </w:r>
          </w:p>
        </w:tc>
        <w:tc>
          <w:tcPr>
            <w:tcW w:w="1512" w:type="dxa"/>
            <w:tcBorders>
              <w:top w:val="single" w:sz="6" w:space="0" w:color="000000"/>
              <w:bottom w:val="double" w:sz="6" w:space="0" w:color="000000"/>
            </w:tcBorders>
            <w:shd w:val="clear" w:color="auto" w:fill="CFF0FB"/>
          </w:tcPr>
          <w:p>
            <w:pPr>
              <w:pStyle w:val="TableParagraph"/>
              <w:spacing w:before="20"/>
              <w:ind w:right="67"/>
              <w:jc w:val="right"/>
              <w:rPr>
                <w:sz w:val="18"/>
              </w:rPr>
            </w:pPr>
            <w:r>
              <w:rPr>
                <w:spacing w:val="-2"/>
                <w:sz w:val="18"/>
              </w:rPr>
              <w:t>412,993</w:t>
            </w:r>
          </w:p>
        </w:tc>
        <w:tc>
          <w:tcPr>
            <w:tcW w:w="122" w:type="dxa"/>
            <w:shd w:val="clear" w:color="auto" w:fill="CFF0FB"/>
          </w:tcPr>
          <w:p>
            <w:pPr>
              <w:pStyle w:val="TableParagraph"/>
              <w:spacing w:before="0"/>
              <w:rPr>
                <w:sz w:val="16"/>
              </w:rPr>
            </w:pPr>
          </w:p>
        </w:tc>
        <w:tc>
          <w:tcPr>
            <w:tcW w:w="1526" w:type="dxa"/>
            <w:tcBorders>
              <w:top w:val="single" w:sz="6" w:space="0" w:color="000000"/>
              <w:bottom w:val="double" w:sz="6" w:space="0" w:color="000000"/>
            </w:tcBorders>
            <w:shd w:val="clear" w:color="auto" w:fill="CFF0FB"/>
          </w:tcPr>
          <w:p>
            <w:pPr>
              <w:pStyle w:val="TableParagraph"/>
              <w:spacing w:before="20"/>
              <w:ind w:right="77"/>
              <w:jc w:val="right"/>
              <w:rPr>
                <w:sz w:val="18"/>
              </w:rPr>
            </w:pPr>
            <w:r>
              <w:rPr>
                <w:spacing w:val="-2"/>
                <w:sz w:val="18"/>
              </w:rPr>
              <w:t>487,356</w:t>
            </w:r>
          </w:p>
        </w:tc>
        <w:tc>
          <w:tcPr>
            <w:tcW w:w="1634" w:type="dxa"/>
            <w:tcBorders>
              <w:top w:val="single" w:sz="6" w:space="0" w:color="000000"/>
              <w:bottom w:val="double" w:sz="6" w:space="0" w:color="000000"/>
            </w:tcBorders>
            <w:shd w:val="clear" w:color="auto" w:fill="CFF0FB"/>
          </w:tcPr>
          <w:p>
            <w:pPr>
              <w:pStyle w:val="TableParagraph"/>
              <w:spacing w:before="20"/>
              <w:ind w:right="72"/>
              <w:jc w:val="right"/>
              <w:rPr>
                <w:sz w:val="18"/>
              </w:rPr>
            </w:pPr>
            <w:r>
              <w:rPr>
                <w:spacing w:val="-2"/>
                <w:sz w:val="18"/>
              </w:rPr>
              <w:t>494,152</w:t>
            </w:r>
          </w:p>
        </w:tc>
      </w:tr>
      <w:tr>
        <w:trPr>
          <w:trHeight w:val="413" w:hRule="atLeast"/>
        </w:trPr>
        <w:tc>
          <w:tcPr>
            <w:tcW w:w="6723" w:type="dxa"/>
          </w:tcPr>
          <w:p>
            <w:pPr>
              <w:pStyle w:val="TableParagraph"/>
              <w:spacing w:line="202" w:lineRule="exact" w:before="0"/>
              <w:ind w:left="17" w:right="218"/>
              <w:rPr>
                <w:sz w:val="18"/>
              </w:rPr>
            </w:pPr>
            <w:r>
              <w:rPr>
                <w:sz w:val="18"/>
              </w:rPr>
              <w:t>Antidilutive</w:t>
            </w:r>
            <w:r>
              <w:rPr>
                <w:spacing w:val="-4"/>
                <w:sz w:val="18"/>
              </w:rPr>
              <w:t> </w:t>
            </w:r>
            <w:r>
              <w:rPr>
                <w:sz w:val="18"/>
              </w:rPr>
              <w:t>stock-based</w:t>
            </w:r>
            <w:r>
              <w:rPr>
                <w:spacing w:val="-4"/>
                <w:sz w:val="18"/>
              </w:rPr>
              <w:t> </w:t>
            </w:r>
            <w:r>
              <w:rPr>
                <w:sz w:val="18"/>
              </w:rPr>
              <w:t>awards</w:t>
            </w:r>
            <w:r>
              <w:rPr>
                <w:spacing w:val="-4"/>
                <w:sz w:val="18"/>
              </w:rPr>
              <w:t> </w:t>
            </w:r>
            <w:r>
              <w:rPr>
                <w:sz w:val="18"/>
              </w:rPr>
              <w:t>excluded</w:t>
            </w:r>
            <w:r>
              <w:rPr>
                <w:spacing w:val="-4"/>
                <w:sz w:val="18"/>
              </w:rPr>
              <w:t> </w:t>
            </w:r>
            <w:r>
              <w:rPr>
                <w:sz w:val="18"/>
              </w:rPr>
              <w:t>from</w:t>
            </w:r>
            <w:r>
              <w:rPr>
                <w:spacing w:val="-4"/>
                <w:sz w:val="18"/>
              </w:rPr>
              <w:t> </w:t>
            </w:r>
            <w:r>
              <w:rPr>
                <w:sz w:val="18"/>
              </w:rPr>
              <w:t>the</w:t>
            </w:r>
            <w:r>
              <w:rPr>
                <w:spacing w:val="-4"/>
                <w:sz w:val="18"/>
              </w:rPr>
              <w:t> </w:t>
            </w:r>
            <w:r>
              <w:rPr>
                <w:sz w:val="18"/>
              </w:rPr>
              <w:t>calculation</w:t>
            </w:r>
            <w:r>
              <w:rPr>
                <w:spacing w:val="-4"/>
                <w:sz w:val="18"/>
              </w:rPr>
              <w:t> </w:t>
            </w:r>
            <w:r>
              <w:rPr>
                <w:sz w:val="18"/>
              </w:rPr>
              <w:t>of</w:t>
            </w:r>
            <w:r>
              <w:rPr>
                <w:spacing w:val="-4"/>
                <w:sz w:val="18"/>
              </w:rPr>
              <w:t> </w:t>
            </w:r>
            <w:r>
              <w:rPr>
                <w:sz w:val="18"/>
              </w:rPr>
              <w:t>diluted</w:t>
            </w:r>
            <w:r>
              <w:rPr>
                <w:spacing w:val="-4"/>
                <w:sz w:val="18"/>
              </w:rPr>
              <w:t> </w:t>
            </w:r>
            <w:r>
              <w:rPr>
                <w:sz w:val="18"/>
              </w:rPr>
              <w:t>earnings</w:t>
            </w:r>
            <w:r>
              <w:rPr>
                <w:spacing w:val="-4"/>
                <w:sz w:val="18"/>
              </w:rPr>
              <w:t> </w:t>
            </w:r>
            <w:r>
              <w:rPr>
                <w:sz w:val="18"/>
              </w:rPr>
              <w:t>per </w:t>
            </w:r>
            <w:r>
              <w:rPr>
                <w:spacing w:val="-2"/>
                <w:sz w:val="18"/>
              </w:rPr>
              <w:t>share</w:t>
            </w:r>
          </w:p>
        </w:tc>
        <w:tc>
          <w:tcPr>
            <w:tcW w:w="1512" w:type="dxa"/>
            <w:tcBorders>
              <w:top w:val="double" w:sz="6" w:space="0" w:color="000000"/>
              <w:bottom w:val="double" w:sz="6" w:space="0" w:color="000000"/>
            </w:tcBorders>
          </w:tcPr>
          <w:p>
            <w:pPr>
              <w:pStyle w:val="TableParagraph"/>
              <w:spacing w:before="174"/>
              <w:ind w:right="67"/>
              <w:jc w:val="right"/>
              <w:rPr>
                <w:sz w:val="18"/>
              </w:rPr>
            </w:pPr>
            <w:r>
              <w:rPr>
                <w:spacing w:val="-5"/>
                <w:sz w:val="18"/>
              </w:rPr>
              <w:t>603</w:t>
            </w:r>
          </w:p>
        </w:tc>
        <w:tc>
          <w:tcPr>
            <w:tcW w:w="122" w:type="dxa"/>
          </w:tcPr>
          <w:p>
            <w:pPr>
              <w:pStyle w:val="TableParagraph"/>
              <w:spacing w:before="0"/>
              <w:rPr>
                <w:sz w:val="16"/>
              </w:rPr>
            </w:pPr>
          </w:p>
        </w:tc>
        <w:tc>
          <w:tcPr>
            <w:tcW w:w="1526" w:type="dxa"/>
            <w:tcBorders>
              <w:top w:val="double" w:sz="6" w:space="0" w:color="000000"/>
            </w:tcBorders>
          </w:tcPr>
          <w:p>
            <w:pPr>
              <w:pStyle w:val="TableParagraph"/>
              <w:spacing w:before="174"/>
              <w:ind w:right="77"/>
              <w:jc w:val="right"/>
              <w:rPr>
                <w:sz w:val="18"/>
              </w:rPr>
            </w:pPr>
            <w:r>
              <w:rPr/>
              <mc:AlternateContent>
                <mc:Choice Requires="wps">
                  <w:drawing>
                    <wp:anchor distT="0" distB="0" distL="0" distR="0" allowOverlap="1" layoutInCell="1" locked="0" behindDoc="1" simplePos="0" relativeHeight="477710336">
                      <wp:simplePos x="0" y="0"/>
                      <wp:positionH relativeFrom="column">
                        <wp:posOffset>0</wp:posOffset>
                      </wp:positionH>
                      <wp:positionV relativeFrom="paragraph">
                        <wp:posOffset>260085</wp:posOffset>
                      </wp:positionV>
                      <wp:extent cx="969010" cy="3429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969010" cy="34290"/>
                                <a:chExt cx="969010" cy="34290"/>
                              </a:xfrm>
                            </wpg:grpSpPr>
                            <wps:wsp>
                              <wps:cNvPr id="412" name="Graphic 412"/>
                              <wps:cNvSpPr/>
                              <wps:spPr>
                                <a:xfrm>
                                  <a:off x="-12" y="-9"/>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47917pt;width:76.3pt;height:2.7pt;mso-position-horizontal-relative:column;mso-position-vertical-relative:paragraph;z-index:-25606144" id="docshapegroup409" coordorigin="0,410" coordsize="1526,54">
                      <v:shape style="position:absolute;left:-1;top:409;width:1526;height:54" id="docshape410" coordorigin="0,410" coordsize="1526,54" path="m1525,450l1498,450,108,450,0,450,0,464,108,464,1498,464,1525,464,1525,450xm1525,410l1498,410,108,410,0,410,0,423,108,423,1498,423,1525,423,1525,410xe" filled="true" fillcolor="#000000" stroked="false">
                        <v:path arrowok="t"/>
                        <v:fill type="solid"/>
                      </v:shape>
                      <w10:wrap type="none"/>
                    </v:group>
                  </w:pict>
                </mc:Fallback>
              </mc:AlternateContent>
            </w:r>
            <w:r>
              <w:rPr>
                <w:spacing w:val="-5"/>
                <w:sz w:val="18"/>
              </w:rPr>
              <w:t>198</w:t>
            </w:r>
          </w:p>
        </w:tc>
        <w:tc>
          <w:tcPr>
            <w:tcW w:w="1634" w:type="dxa"/>
            <w:tcBorders>
              <w:top w:val="double" w:sz="6" w:space="0" w:color="000000"/>
            </w:tcBorders>
          </w:tcPr>
          <w:p>
            <w:pPr>
              <w:pStyle w:val="TableParagraph"/>
              <w:spacing w:before="174"/>
              <w:ind w:right="72"/>
              <w:jc w:val="right"/>
              <w:rPr>
                <w:sz w:val="18"/>
              </w:rPr>
            </w:pPr>
            <w:r>
              <w:rPr/>
              <mc:AlternateContent>
                <mc:Choice Requires="wps">
                  <w:drawing>
                    <wp:anchor distT="0" distB="0" distL="0" distR="0" allowOverlap="1" layoutInCell="1" locked="0" behindDoc="1" simplePos="0" relativeHeight="477710848">
                      <wp:simplePos x="0" y="0"/>
                      <wp:positionH relativeFrom="column">
                        <wp:posOffset>68579</wp:posOffset>
                      </wp:positionH>
                      <wp:positionV relativeFrom="paragraph">
                        <wp:posOffset>260085</wp:posOffset>
                      </wp:positionV>
                      <wp:extent cx="969010" cy="3429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969010" cy="34290"/>
                                <a:chExt cx="969010" cy="34290"/>
                              </a:xfrm>
                            </wpg:grpSpPr>
                            <wps:wsp>
                              <wps:cNvPr id="414" name="Graphic 414"/>
                              <wps:cNvSpPr/>
                              <wps:spPr>
                                <a:xfrm>
                                  <a:off x="-11" y="-9"/>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20.47917pt;width:76.3pt;height:2.7pt;mso-position-horizontal-relative:column;mso-position-vertical-relative:paragraph;z-index:-25605632" id="docshapegroup411" coordorigin="108,410" coordsize="1526,54">
                      <v:shape style="position:absolute;left:107;top:409;width:1526;height:54" id="docshape412" coordorigin="108,410" coordsize="1526,54" path="m1633,450l1606,450,229,450,108,450,108,464,229,464,1606,464,1633,464,1633,450xm1633,410l1606,410,229,410,108,410,108,423,229,423,1606,423,1633,423,1633,410xe" filled="true" fillcolor="#000000" stroked="false">
                        <v:path arrowok="t"/>
                        <v:fill type="solid"/>
                      </v:shape>
                      <w10:wrap type="none"/>
                    </v:group>
                  </w:pict>
                </mc:Fallback>
              </mc:AlternateContent>
            </w:r>
            <w:r>
              <w:rPr>
                <w:spacing w:val="-2"/>
                <w:sz w:val="18"/>
              </w:rPr>
              <w:t>9,493</w:t>
            </w:r>
          </w:p>
        </w:tc>
      </w:tr>
    </w:tbl>
    <w:p>
      <w:pPr>
        <w:pStyle w:val="BodyText"/>
        <w:spacing w:before="152"/>
        <w:rPr>
          <w:b/>
          <w:i/>
          <w:sz w:val="14"/>
        </w:rPr>
      </w:pPr>
    </w:p>
    <w:p>
      <w:pPr>
        <w:pStyle w:val="BodyText"/>
        <w:ind w:left="144" w:right="118" w:firstLine="499"/>
        <w:jc w:val="both"/>
      </w:pPr>
      <w:r>
        <w:rPr>
          <w:b/>
        </w:rPr>
        <w:t>Currency translation. </w:t>
      </w:r>
      <w:r>
        <w:rPr/>
        <w:t>The Company translates the financial statements of foreign subsidiaries that are not denominated in U.S. dollars. Balance sheet accounts are translated at the exchange rate in effect at each balance sheet date. Income statement accounts are translated at the average rate of </w:t>
      </w:r>
      <w:r>
        <w:rPr/>
        <w:t>exchange prevailing during the period. Translation adjustments resulting from this process are recorded to other comprehensive income (loss). Gains or losses from foreign currency remeasurements are recorded to other non-operating income (expense).</w:t>
      </w:r>
    </w:p>
    <w:p>
      <w:pPr>
        <w:pStyle w:val="BodyText"/>
        <w:spacing w:before="5"/>
      </w:pPr>
    </w:p>
    <w:p>
      <w:pPr>
        <w:pStyle w:val="BodyText"/>
        <w:spacing w:line="242" w:lineRule="auto"/>
        <w:ind w:left="144" w:right="118" w:firstLine="499"/>
        <w:jc w:val="both"/>
      </w:pPr>
      <w:r>
        <w:rPr>
          <w:b/>
        </w:rPr>
        <w:t>Accumulated other comprehensive income (loss). </w:t>
      </w:r>
      <w:r>
        <w:rPr/>
        <w:t>Comprehensive income (loss) includes net income (loss) and all other non-stockholder changes </w:t>
      </w:r>
      <w:r>
        <w:rPr/>
        <w:t>in equity, or other comprehensive income (loss). Elements of the Company’s accumulated other comprehensive income (loss) are reported in the consolidated statements of stockholders’ equity.</w:t>
      </w:r>
    </w:p>
    <w:p>
      <w:pPr>
        <w:pStyle w:val="BodyText"/>
        <w:spacing w:before="2"/>
      </w:pPr>
    </w:p>
    <w:p>
      <w:pPr>
        <w:pStyle w:val="BodyText"/>
        <w:spacing w:line="242" w:lineRule="auto" w:before="1"/>
        <w:ind w:left="144" w:right="118" w:firstLine="499"/>
        <w:jc w:val="both"/>
      </w:pPr>
      <w:r>
        <w:rPr>
          <w:b/>
        </w:rPr>
        <w:t>Share repurchases. </w:t>
      </w:r>
      <w:r>
        <w:rPr/>
        <w:t>Shares repurchased pursuant to the Company’s share repurchase plans are retired upon purchase. The cost of the repurchases in excess of the aggregate par value of the shares reduces capital in excess of par value, to the extent available, with any residual cost applied against retained </w:t>
      </w:r>
      <w:r>
        <w:rPr>
          <w:spacing w:val="-2"/>
        </w:rPr>
        <w:t>earnings.</w:t>
      </w:r>
    </w:p>
    <w:p>
      <w:pPr>
        <w:pStyle w:val="BodyText"/>
        <w:spacing w:before="2"/>
      </w:pPr>
    </w:p>
    <w:p>
      <w:pPr>
        <w:pStyle w:val="Heading4"/>
      </w:pPr>
      <w:r>
        <w:rPr/>
        <w:t>NOTE</w:t>
      </w:r>
      <w:r>
        <w:rPr>
          <w:spacing w:val="-9"/>
        </w:rPr>
        <w:t> </w:t>
      </w:r>
      <w:r>
        <w:rPr/>
        <w:t>3</w:t>
      </w:r>
      <w:r>
        <w:rPr>
          <w:spacing w:val="-6"/>
        </w:rPr>
        <w:t> </w:t>
      </w:r>
      <w:r>
        <w:rPr/>
        <w:t>—</w:t>
      </w:r>
      <w:r>
        <w:rPr>
          <w:spacing w:val="-11"/>
        </w:rPr>
        <w:t> </w:t>
      </w:r>
      <w:r>
        <w:rPr/>
        <w:t>ACCOUNTS</w:t>
      </w:r>
      <w:r>
        <w:rPr>
          <w:spacing w:val="-6"/>
        </w:rPr>
        <w:t> </w:t>
      </w:r>
      <w:r>
        <w:rPr/>
        <w:t>RECEIVABLE,</w:t>
      </w:r>
      <w:r>
        <w:rPr>
          <w:spacing w:val="-6"/>
        </w:rPr>
        <w:t> </w:t>
      </w:r>
      <w:r>
        <w:rPr>
          <w:spacing w:val="-5"/>
        </w:rPr>
        <w:t>NET</w:t>
      </w:r>
    </w:p>
    <w:p>
      <w:pPr>
        <w:pStyle w:val="BodyText"/>
        <w:spacing w:before="18"/>
        <w:rPr>
          <w:b/>
        </w:rPr>
      </w:pPr>
    </w:p>
    <w:p>
      <w:pPr>
        <w:pStyle w:val="BodyText"/>
        <w:ind w:right="6746"/>
        <w:jc w:val="center"/>
      </w:pPr>
      <w:r>
        <w:rPr/>
        <w:t>Accounts</w:t>
      </w:r>
      <w:r>
        <w:rPr>
          <w:spacing w:val="-1"/>
        </w:rPr>
        <w:t> </w:t>
      </w:r>
      <w:r>
        <w:rPr/>
        <w:t>receivable,</w:t>
      </w:r>
      <w:r>
        <w:rPr>
          <w:spacing w:val="-1"/>
        </w:rPr>
        <w:t> </w:t>
      </w:r>
      <w:r>
        <w:rPr/>
        <w:t>net</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Heading5"/>
        <w:spacing w:before="50"/>
        <w:ind w:left="8373"/>
      </w:pPr>
      <w:r>
        <w:rPr/>
        <mc:AlternateContent>
          <mc:Choice Requires="wps">
            <w:drawing>
              <wp:anchor distT="0" distB="0" distL="0" distR="0" allowOverlap="1" layoutInCell="1" locked="0" behindDoc="1" simplePos="0" relativeHeight="487667200">
                <wp:simplePos x="0" y="0"/>
                <wp:positionH relativeFrom="page">
                  <wp:posOffset>5529250</wp:posOffset>
                </wp:positionH>
                <wp:positionV relativeFrom="paragraph">
                  <wp:posOffset>181521</wp:posOffset>
                </wp:positionV>
                <wp:extent cx="2014855" cy="8890"/>
                <wp:effectExtent l="0" t="0" r="0" b="0"/>
                <wp:wrapTopAndBottom/>
                <wp:docPr id="415" name="Graphic 415"/>
                <wp:cNvGraphicFramePr>
                  <a:graphicFrameLocks/>
                </wp:cNvGraphicFramePr>
                <a:graphic>
                  <a:graphicData uri="http://schemas.microsoft.com/office/word/2010/wordprocessingShape">
                    <wps:wsp>
                      <wps:cNvPr id="415" name="Graphic 415"/>
                      <wps:cNvSpPr/>
                      <wps:spPr>
                        <a:xfrm>
                          <a:off x="0" y="0"/>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374023pt;margin-top:14.293034pt;width:158.625008pt;height:.675pt;mso-position-horizontal-relative:page;mso-position-vertical-relative:paragraph;z-index:-15649280;mso-wrap-distance-left:0;mso-wrap-distance-right:0" id="docshape413" filled="true" fillcolor="#000000" stroked="false">
                <v:fill type="solid"/>
                <w10:wrap type="topAndBottom"/>
              </v:rect>
            </w:pict>
          </mc:Fallback>
        </mc:AlternateContent>
      </w:r>
      <w:r>
        <w:rPr/>
        <w:t>December</w:t>
      </w:r>
      <w:r>
        <w:rPr>
          <w:spacing w:val="-4"/>
        </w:rPr>
        <w:t> </w:t>
      </w:r>
      <w:r>
        <w:rPr>
          <w:spacing w:val="-5"/>
        </w:rPr>
        <w:t>31,</w:t>
      </w:r>
    </w:p>
    <w:p>
      <w:pPr>
        <w:tabs>
          <w:tab w:pos="10014" w:val="left" w:leader="none"/>
        </w:tabs>
        <w:spacing w:before="21" w:after="29"/>
        <w:ind w:left="8372" w:right="0" w:firstLine="0"/>
        <w:jc w:val="center"/>
        <w:rPr>
          <w:b/>
          <w:sz w:val="18"/>
        </w:rPr>
      </w:pPr>
      <w:r>
        <w:rPr>
          <w:b/>
          <w:spacing w:val="-4"/>
          <w:sz w:val="18"/>
        </w:rPr>
        <w:t>2022</w:t>
      </w:r>
      <w:r>
        <w:rPr>
          <w:b/>
          <w:sz w:val="18"/>
        </w:rPr>
        <w:tab/>
      </w:r>
      <w:r>
        <w:rPr>
          <w:b/>
          <w:spacing w:val="-4"/>
          <w:sz w:val="18"/>
        </w:rPr>
        <w:t>2021</w:t>
      </w:r>
    </w:p>
    <w:p>
      <w:pPr>
        <w:pStyle w:val="BodyText"/>
        <w:spacing w:line="20" w:lineRule="exact"/>
        <w:ind w:left="8487"/>
        <w:rPr>
          <w:sz w:val="2"/>
        </w:rPr>
      </w:pPr>
      <w:r>
        <w:rPr>
          <w:sz w:val="2"/>
        </w:rPr>
        <mc:AlternateContent>
          <mc:Choice Requires="wps">
            <w:drawing>
              <wp:inline distT="0" distB="0" distL="0" distR="0">
                <wp:extent cx="2014855" cy="8890"/>
                <wp:effectExtent l="0" t="0" r="0" b="0"/>
                <wp:docPr id="416" name="Group 416"/>
                <wp:cNvGraphicFramePr>
                  <a:graphicFrameLocks/>
                </wp:cNvGraphicFramePr>
                <a:graphic>
                  <a:graphicData uri="http://schemas.microsoft.com/office/word/2010/wordprocessingGroup">
                    <wpg:wgp>
                      <wpg:cNvPr id="416" name="Group 416"/>
                      <wpg:cNvGrpSpPr/>
                      <wpg:grpSpPr>
                        <a:xfrm>
                          <a:off x="0" y="0"/>
                          <a:ext cx="2014855" cy="8890"/>
                          <a:chExt cx="2014855" cy="8890"/>
                        </a:xfrm>
                      </wpg:grpSpPr>
                      <wps:wsp>
                        <wps:cNvPr id="417" name="Graphic 417"/>
                        <wps:cNvSpPr/>
                        <wps:spPr>
                          <a:xfrm>
                            <a:off x="-12" y="-9"/>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414" coordorigin="0,0" coordsize="3173,14">
                <v:rect style="position:absolute;left:-1;top:-1;width:3173;height:14" id="docshape415" filled="true" fillcolor="#000000" stroked="false">
                  <v:fill type="solid"/>
                </v:rect>
              </v:group>
            </w:pict>
          </mc:Fallback>
        </mc:AlternateContent>
      </w:r>
      <w:r>
        <w:rPr>
          <w:sz w:val="2"/>
        </w:rPr>
      </w:r>
    </w:p>
    <w:p>
      <w:pPr>
        <w:spacing w:before="11" w:after="51"/>
        <w:ind w:left="8372"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2"/>
        <w:gridCol w:w="5035"/>
        <w:gridCol w:w="1588"/>
      </w:tblGrid>
      <w:tr>
        <w:trPr>
          <w:trHeight w:val="256" w:hRule="atLeast"/>
        </w:trPr>
        <w:tc>
          <w:tcPr>
            <w:tcW w:w="4892" w:type="dxa"/>
            <w:shd w:val="clear" w:color="auto" w:fill="CFF0FB"/>
          </w:tcPr>
          <w:p>
            <w:pPr>
              <w:pStyle w:val="TableParagraph"/>
              <w:ind w:left="17"/>
              <w:rPr>
                <w:sz w:val="18"/>
              </w:rPr>
            </w:pPr>
            <w:r>
              <w:rPr>
                <w:spacing w:val="-2"/>
                <w:sz w:val="18"/>
              </w:rPr>
              <w:t>Casino</w:t>
            </w:r>
          </w:p>
        </w:tc>
        <w:tc>
          <w:tcPr>
            <w:tcW w:w="5035" w:type="dxa"/>
            <w:shd w:val="clear" w:color="auto" w:fill="CFF0FB"/>
          </w:tcPr>
          <w:p>
            <w:pPr>
              <w:pStyle w:val="TableParagraph"/>
              <w:tabs>
                <w:tab w:pos="849" w:val="left" w:leader="none"/>
              </w:tabs>
              <w:ind w:right="124"/>
              <w:jc w:val="right"/>
              <w:rPr>
                <w:sz w:val="18"/>
              </w:rPr>
            </w:pPr>
            <w:r>
              <w:rPr>
                <w:spacing w:val="-10"/>
                <w:sz w:val="18"/>
              </w:rPr>
              <w:t>$</w:t>
            </w:r>
            <w:r>
              <w:rPr>
                <w:sz w:val="18"/>
              </w:rPr>
              <w:tab/>
            </w:r>
            <w:r>
              <w:rPr>
                <w:spacing w:val="-2"/>
                <w:sz w:val="18"/>
              </w:rPr>
              <w:t>500,986</w:t>
            </w:r>
          </w:p>
        </w:tc>
        <w:tc>
          <w:tcPr>
            <w:tcW w:w="1588" w:type="dxa"/>
            <w:shd w:val="clear" w:color="auto" w:fill="CFF0FB"/>
          </w:tcPr>
          <w:p>
            <w:pPr>
              <w:pStyle w:val="TableParagraph"/>
              <w:tabs>
                <w:tab w:pos="849" w:val="left" w:leader="none"/>
              </w:tabs>
              <w:ind w:right="70"/>
              <w:jc w:val="right"/>
              <w:rPr>
                <w:sz w:val="18"/>
              </w:rPr>
            </w:pPr>
            <w:r>
              <w:rPr>
                <w:spacing w:val="-10"/>
                <w:sz w:val="18"/>
              </w:rPr>
              <w:t>$</w:t>
            </w:r>
            <w:r>
              <w:rPr>
                <w:sz w:val="18"/>
              </w:rPr>
              <w:tab/>
            </w:r>
            <w:r>
              <w:rPr>
                <w:spacing w:val="-2"/>
                <w:sz w:val="18"/>
              </w:rPr>
              <w:t>380,907</w:t>
            </w:r>
          </w:p>
        </w:tc>
      </w:tr>
      <w:tr>
        <w:trPr>
          <w:trHeight w:val="256" w:hRule="atLeast"/>
        </w:trPr>
        <w:tc>
          <w:tcPr>
            <w:tcW w:w="4892" w:type="dxa"/>
          </w:tcPr>
          <w:p>
            <w:pPr>
              <w:pStyle w:val="TableParagraph"/>
              <w:ind w:left="17"/>
              <w:rPr>
                <w:sz w:val="18"/>
              </w:rPr>
            </w:pPr>
            <w:r>
              <w:rPr>
                <w:spacing w:val="-2"/>
                <w:sz w:val="18"/>
              </w:rPr>
              <w:t>Hotel</w:t>
            </w:r>
          </w:p>
        </w:tc>
        <w:tc>
          <w:tcPr>
            <w:tcW w:w="5035" w:type="dxa"/>
          </w:tcPr>
          <w:p>
            <w:pPr>
              <w:pStyle w:val="TableParagraph"/>
              <w:ind w:right="124"/>
              <w:jc w:val="right"/>
              <w:rPr>
                <w:sz w:val="18"/>
              </w:rPr>
            </w:pPr>
            <w:r>
              <w:rPr>
                <w:spacing w:val="-2"/>
                <w:sz w:val="18"/>
              </w:rPr>
              <w:t>273,327</w:t>
            </w:r>
          </w:p>
        </w:tc>
        <w:tc>
          <w:tcPr>
            <w:tcW w:w="1588" w:type="dxa"/>
          </w:tcPr>
          <w:p>
            <w:pPr>
              <w:pStyle w:val="TableParagraph"/>
              <w:ind w:right="70"/>
              <w:jc w:val="right"/>
              <w:rPr>
                <w:sz w:val="18"/>
              </w:rPr>
            </w:pPr>
            <w:r>
              <w:rPr>
                <w:spacing w:val="-2"/>
                <w:sz w:val="18"/>
              </w:rPr>
              <w:t>180,098</w:t>
            </w:r>
          </w:p>
        </w:tc>
      </w:tr>
      <w:tr>
        <w:trPr>
          <w:trHeight w:val="255" w:hRule="atLeast"/>
        </w:trPr>
        <w:tc>
          <w:tcPr>
            <w:tcW w:w="4892" w:type="dxa"/>
            <w:shd w:val="clear" w:color="auto" w:fill="CFF0FB"/>
          </w:tcPr>
          <w:p>
            <w:pPr>
              <w:pStyle w:val="TableParagraph"/>
              <w:ind w:left="17"/>
              <w:rPr>
                <w:sz w:val="18"/>
              </w:rPr>
            </w:pPr>
            <w:r>
              <w:rPr>
                <w:spacing w:val="-2"/>
                <w:sz w:val="18"/>
              </w:rPr>
              <w:t>Other</w:t>
            </w:r>
          </w:p>
        </w:tc>
        <w:tc>
          <w:tcPr>
            <w:tcW w:w="5035" w:type="dxa"/>
            <w:tcBorders>
              <w:bottom w:val="single" w:sz="6" w:space="0" w:color="000000"/>
            </w:tcBorders>
            <w:shd w:val="clear" w:color="auto" w:fill="CFF0FB"/>
          </w:tcPr>
          <w:p>
            <w:pPr>
              <w:pStyle w:val="TableParagraph"/>
              <w:ind w:right="124"/>
              <w:jc w:val="right"/>
              <w:rPr>
                <w:sz w:val="18"/>
              </w:rPr>
            </w:pPr>
            <w:r>
              <w:rPr>
                <w:spacing w:val="-2"/>
                <w:sz w:val="18"/>
              </w:rPr>
              <w:t>191,102</w:t>
            </w:r>
          </w:p>
        </w:tc>
        <w:tc>
          <w:tcPr>
            <w:tcW w:w="1588" w:type="dxa"/>
            <w:tcBorders>
              <w:bottom w:val="single" w:sz="6" w:space="0" w:color="000000"/>
            </w:tcBorders>
            <w:shd w:val="clear" w:color="auto" w:fill="CFF0FB"/>
          </w:tcPr>
          <w:p>
            <w:pPr>
              <w:pStyle w:val="TableParagraph"/>
              <w:ind w:right="70"/>
              <w:jc w:val="right"/>
              <w:rPr>
                <w:sz w:val="18"/>
              </w:rPr>
            </w:pPr>
            <w:r>
              <w:rPr>
                <w:spacing w:val="-2"/>
                <w:sz w:val="18"/>
              </w:rPr>
              <w:t>151,258</w:t>
            </w:r>
          </w:p>
        </w:tc>
      </w:tr>
      <w:tr>
        <w:trPr>
          <w:trHeight w:val="255" w:hRule="atLeast"/>
        </w:trPr>
        <w:tc>
          <w:tcPr>
            <w:tcW w:w="4892" w:type="dxa"/>
          </w:tcPr>
          <w:p>
            <w:pPr>
              <w:pStyle w:val="TableParagraph"/>
              <w:spacing w:before="0"/>
              <w:rPr>
                <w:sz w:val="16"/>
              </w:rPr>
            </w:pPr>
          </w:p>
        </w:tc>
        <w:tc>
          <w:tcPr>
            <w:tcW w:w="5035" w:type="dxa"/>
            <w:tcBorders>
              <w:top w:val="single" w:sz="6" w:space="0" w:color="000000"/>
            </w:tcBorders>
          </w:tcPr>
          <w:p>
            <w:pPr>
              <w:pStyle w:val="TableParagraph"/>
              <w:spacing w:before="20"/>
              <w:ind w:right="124"/>
              <w:jc w:val="right"/>
              <w:rPr>
                <w:sz w:val="18"/>
              </w:rPr>
            </w:pPr>
            <w:r>
              <w:rPr>
                <w:spacing w:val="-2"/>
                <w:sz w:val="18"/>
              </w:rPr>
              <w:t>965,415</w:t>
            </w:r>
          </w:p>
        </w:tc>
        <w:tc>
          <w:tcPr>
            <w:tcW w:w="1588" w:type="dxa"/>
            <w:tcBorders>
              <w:top w:val="single" w:sz="6" w:space="0" w:color="000000"/>
            </w:tcBorders>
          </w:tcPr>
          <w:p>
            <w:pPr>
              <w:pStyle w:val="TableParagraph"/>
              <w:spacing w:before="20"/>
              <w:ind w:right="70"/>
              <w:jc w:val="right"/>
              <w:rPr>
                <w:sz w:val="18"/>
              </w:rPr>
            </w:pPr>
            <w:r>
              <w:rPr>
                <w:spacing w:val="-2"/>
                <w:sz w:val="18"/>
              </w:rPr>
              <w:t>712,263</w:t>
            </w:r>
          </w:p>
        </w:tc>
      </w:tr>
      <w:tr>
        <w:trPr>
          <w:trHeight w:val="269" w:hRule="atLeast"/>
        </w:trPr>
        <w:tc>
          <w:tcPr>
            <w:tcW w:w="4892" w:type="dxa"/>
            <w:shd w:val="clear" w:color="auto" w:fill="CFF0FB"/>
          </w:tcPr>
          <w:p>
            <w:pPr>
              <w:pStyle w:val="TableParagraph"/>
              <w:ind w:left="17"/>
              <w:rPr>
                <w:sz w:val="18"/>
              </w:rPr>
            </w:pPr>
            <w:r>
              <w:rPr>
                <w:sz w:val="18"/>
              </w:rPr>
              <w:t>Less:</w:t>
            </w:r>
            <w:r>
              <w:rPr>
                <w:spacing w:val="-1"/>
                <w:sz w:val="18"/>
              </w:rPr>
              <w:t> </w:t>
            </w:r>
            <w:r>
              <w:rPr>
                <w:sz w:val="18"/>
              </w:rPr>
              <w:t>Loss</w:t>
            </w:r>
            <w:r>
              <w:rPr>
                <w:spacing w:val="-1"/>
                <w:sz w:val="18"/>
              </w:rPr>
              <w:t> </w:t>
            </w:r>
            <w:r>
              <w:rPr>
                <w:spacing w:val="-2"/>
                <w:sz w:val="18"/>
              </w:rPr>
              <w:t>reserves</w:t>
            </w:r>
          </w:p>
        </w:tc>
        <w:tc>
          <w:tcPr>
            <w:tcW w:w="5035" w:type="dxa"/>
            <w:tcBorders>
              <w:bottom w:val="single" w:sz="6" w:space="0" w:color="000000"/>
            </w:tcBorders>
            <w:shd w:val="clear" w:color="auto" w:fill="CFF0FB"/>
          </w:tcPr>
          <w:p>
            <w:pPr>
              <w:pStyle w:val="TableParagraph"/>
              <w:ind w:right="79"/>
              <w:jc w:val="right"/>
              <w:rPr>
                <w:sz w:val="18"/>
              </w:rPr>
            </w:pPr>
            <w:r>
              <w:rPr>
                <w:spacing w:val="-2"/>
                <w:sz w:val="18"/>
              </w:rPr>
              <w:t>(113,266)</w:t>
            </w:r>
          </w:p>
        </w:tc>
        <w:tc>
          <w:tcPr>
            <w:tcW w:w="1588" w:type="dxa"/>
            <w:tcBorders>
              <w:bottom w:val="single" w:sz="6" w:space="0" w:color="000000"/>
            </w:tcBorders>
            <w:shd w:val="clear" w:color="auto" w:fill="CFF0FB"/>
          </w:tcPr>
          <w:p>
            <w:pPr>
              <w:pStyle w:val="TableParagraph"/>
              <w:ind w:right="25"/>
              <w:jc w:val="right"/>
              <w:rPr>
                <w:sz w:val="18"/>
              </w:rPr>
            </w:pPr>
            <w:r>
              <w:rPr>
                <w:spacing w:val="-2"/>
                <w:sz w:val="18"/>
              </w:rPr>
              <w:t>(128,348)</w:t>
            </w:r>
          </w:p>
        </w:tc>
      </w:tr>
      <w:tr>
        <w:trPr>
          <w:trHeight w:val="309" w:hRule="atLeast"/>
        </w:trPr>
        <w:tc>
          <w:tcPr>
            <w:tcW w:w="4892" w:type="dxa"/>
          </w:tcPr>
          <w:p>
            <w:pPr>
              <w:pStyle w:val="TableParagraph"/>
              <w:spacing w:before="0"/>
              <w:rPr>
                <w:sz w:val="16"/>
              </w:rPr>
            </w:pPr>
          </w:p>
        </w:tc>
        <w:tc>
          <w:tcPr>
            <w:tcW w:w="5035" w:type="dxa"/>
            <w:tcBorders>
              <w:top w:val="single" w:sz="6" w:space="0" w:color="000000"/>
            </w:tcBorders>
          </w:tcPr>
          <w:p>
            <w:pPr>
              <w:pStyle w:val="TableParagraph"/>
              <w:tabs>
                <w:tab w:pos="849" w:val="left" w:leader="none"/>
              </w:tabs>
              <w:spacing w:before="20"/>
              <w:ind w:right="124"/>
              <w:jc w:val="right"/>
              <w:rPr>
                <w:sz w:val="18"/>
              </w:rPr>
            </w:pPr>
            <w:r>
              <w:rPr/>
              <mc:AlternateContent>
                <mc:Choice Requires="wps">
                  <w:drawing>
                    <wp:anchor distT="0" distB="0" distL="0" distR="0" allowOverlap="1" layoutInCell="1" locked="0" behindDoc="1" simplePos="0" relativeHeight="477711360">
                      <wp:simplePos x="0" y="0"/>
                      <wp:positionH relativeFrom="column">
                        <wp:posOffset>2191361</wp:posOffset>
                      </wp:positionH>
                      <wp:positionV relativeFrom="paragraph">
                        <wp:posOffset>162295</wp:posOffset>
                      </wp:positionV>
                      <wp:extent cx="969010" cy="3429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969010" cy="34290"/>
                                <a:chExt cx="969010" cy="34290"/>
                              </a:xfrm>
                            </wpg:grpSpPr>
                            <wps:wsp>
                              <wps:cNvPr id="419" name="Graphic 419"/>
                              <wps:cNvSpPr/>
                              <wps:spPr>
                                <a:xfrm>
                                  <a:off x="-12" y="-9"/>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2.548187pt;margin-top:12.77919pt;width:76.3pt;height:2.7pt;mso-position-horizontal-relative:column;mso-position-vertical-relative:paragraph;z-index:-25605120" id="docshapegroup416" coordorigin="3451,256" coordsize="1526,54">
                      <v:shape style="position:absolute;left:3450;top:255;width:1526;height:54" id="docshape417" coordorigin="3451,256" coordsize="1526,54" path="m4976,296l4949,296,3572,296,3451,296,3451,310,3572,310,4949,310,4976,310,4976,296xm4976,256l4949,256,3572,256,3451,256,3451,269,3572,269,4949,269,4976,269,4976,256xe" filled="true" fillcolor="#000000" stroked="false">
                        <v:path arrowok="t"/>
                        <v:fill type="solid"/>
                      </v:shape>
                      <w10:wrap type="none"/>
                    </v:group>
                  </w:pict>
                </mc:Fallback>
              </mc:AlternateContent>
            </w:r>
            <w:r>
              <w:rPr>
                <w:spacing w:val="-10"/>
                <w:sz w:val="18"/>
              </w:rPr>
              <w:t>$</w:t>
            </w:r>
            <w:r>
              <w:rPr>
                <w:sz w:val="18"/>
              </w:rPr>
              <w:tab/>
            </w:r>
            <w:r>
              <w:rPr>
                <w:spacing w:val="-2"/>
                <w:sz w:val="18"/>
              </w:rPr>
              <w:t>852,149</w:t>
            </w:r>
          </w:p>
        </w:tc>
        <w:tc>
          <w:tcPr>
            <w:tcW w:w="1588" w:type="dxa"/>
            <w:tcBorders>
              <w:top w:val="single" w:sz="6" w:space="0" w:color="000000"/>
            </w:tcBorders>
          </w:tcPr>
          <w:p>
            <w:pPr>
              <w:pStyle w:val="TableParagraph"/>
              <w:tabs>
                <w:tab w:pos="849" w:val="left" w:leader="none"/>
              </w:tabs>
              <w:spacing w:before="20"/>
              <w:ind w:right="70"/>
              <w:jc w:val="right"/>
              <w:rPr>
                <w:sz w:val="18"/>
              </w:rPr>
            </w:pPr>
            <w:r>
              <w:rPr/>
              <mc:AlternateContent>
                <mc:Choice Requires="wps">
                  <w:drawing>
                    <wp:anchor distT="0" distB="0" distL="0" distR="0" allowOverlap="1" layoutInCell="1" locked="0" behindDoc="1" simplePos="0" relativeHeight="477711872">
                      <wp:simplePos x="0" y="0"/>
                      <wp:positionH relativeFrom="column">
                        <wp:posOffset>39971</wp:posOffset>
                      </wp:positionH>
                      <wp:positionV relativeFrom="paragraph">
                        <wp:posOffset>162295</wp:posOffset>
                      </wp:positionV>
                      <wp:extent cx="969010" cy="34290"/>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969010" cy="34290"/>
                                <a:chExt cx="969010" cy="34290"/>
                              </a:xfrm>
                            </wpg:grpSpPr>
                            <wps:wsp>
                              <wps:cNvPr id="421" name="Graphic 421"/>
                              <wps:cNvSpPr/>
                              <wps:spPr>
                                <a:xfrm>
                                  <a:off x="-11" y="-9"/>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7374pt;margin-top:12.77919pt;width:76.3pt;height:2.7pt;mso-position-horizontal-relative:column;mso-position-vertical-relative:paragraph;z-index:-25604608" id="docshapegroup418" coordorigin="63,256" coordsize="1526,54">
                      <v:shape style="position:absolute;left:62;top:255;width:1526;height:54" id="docshape419" coordorigin="63,256" coordsize="1526,54" path="m1588,296l1561,296,184,296,63,296,63,310,184,310,1561,310,1588,310,1588,296xm1588,256l1561,256,184,256,63,256,63,269,184,269,1561,269,1588,269,1588,256xe" filled="true" fillcolor="#000000" stroked="false">
                        <v:path arrowok="t"/>
                        <v:fill type="solid"/>
                      </v:shape>
                      <w10:wrap type="none"/>
                    </v:group>
                  </w:pict>
                </mc:Fallback>
              </mc:AlternateContent>
            </w:r>
            <w:r>
              <w:rPr>
                <w:spacing w:val="-10"/>
                <w:sz w:val="18"/>
              </w:rPr>
              <w:t>$</w:t>
            </w:r>
            <w:r>
              <w:rPr>
                <w:sz w:val="18"/>
              </w:rPr>
              <w:tab/>
            </w:r>
            <w:r>
              <w:rPr>
                <w:spacing w:val="-2"/>
                <w:sz w:val="18"/>
              </w:rPr>
              <w:t>583,915</w:t>
            </w:r>
          </w:p>
        </w:tc>
      </w:tr>
    </w:tbl>
    <w:p>
      <w:pPr>
        <w:pStyle w:val="BodyText"/>
        <w:spacing w:before="6"/>
        <w:rPr>
          <w:b/>
          <w:i/>
          <w:sz w:val="17"/>
        </w:rPr>
      </w:pPr>
    </w:p>
    <w:p>
      <w:pPr>
        <w:spacing w:after="0"/>
        <w:rPr>
          <w:sz w:val="17"/>
        </w:rPr>
        <w:sectPr>
          <w:pgSz w:w="12240" w:h="15840"/>
          <w:pgMar w:top="1240" w:bottom="280" w:left="220" w:right="240"/>
        </w:sectPr>
      </w:pPr>
    </w:p>
    <w:p>
      <w:pPr>
        <w:pStyle w:val="BodyText"/>
        <w:spacing w:before="93"/>
        <w:ind w:left="644"/>
      </w:pPr>
      <w:r>
        <w:rPr/>
        <w:t>Loss</w:t>
      </w:r>
      <w:r>
        <w:rPr>
          <w:spacing w:val="-1"/>
        </w:rPr>
        <w:t> </w:t>
      </w:r>
      <w:r>
        <w:rPr/>
        <w:t>reserves</w:t>
      </w:r>
      <w:r>
        <w:rPr>
          <w:spacing w:val="-1"/>
        </w:rPr>
        <w:t> </w:t>
      </w:r>
      <w:r>
        <w:rPr/>
        <w:t>consisted</w:t>
      </w:r>
      <w:r>
        <w:rPr>
          <w:spacing w:val="-1"/>
        </w:rPr>
        <w:t> </w:t>
      </w:r>
      <w:r>
        <w:rPr/>
        <w:t>of</w:t>
      </w:r>
      <w:r>
        <w:rPr>
          <w:spacing w:val="-1"/>
        </w:rPr>
        <w:t> </w:t>
      </w:r>
      <w:r>
        <w:rPr/>
        <w:t>the</w:t>
      </w:r>
      <w:r>
        <w:rPr>
          <w:spacing w:val="-1"/>
        </w:rPr>
        <w:t> </w:t>
      </w:r>
      <w:r>
        <w:rPr>
          <w:spacing w:val="-2"/>
        </w:rPr>
        <w:t>following:</w:t>
      </w:r>
    </w:p>
    <w:p>
      <w:pPr>
        <w:spacing w:line="240" w:lineRule="auto" w:before="167"/>
        <w:rPr>
          <w:sz w:val="18"/>
        </w:rPr>
      </w:pPr>
      <w:r>
        <w:rPr/>
        <w:br w:type="column"/>
      </w:r>
      <w:r>
        <w:rPr>
          <w:sz w:val="18"/>
        </w:rPr>
      </w:r>
    </w:p>
    <w:p>
      <w:pPr>
        <w:pStyle w:val="Heading5"/>
        <w:spacing w:line="204" w:lineRule="auto"/>
        <w:ind w:left="644"/>
      </w:pPr>
      <w:r>
        <w:rPr/>
        <w:t>Balance at Beginning</w:t>
      </w:r>
      <w:r>
        <w:rPr>
          <w:spacing w:val="-12"/>
        </w:rPr>
        <w:t> </w:t>
      </w:r>
      <w:r>
        <w:rPr/>
        <w:t>of </w:t>
      </w:r>
      <w:r>
        <w:rPr>
          <w:spacing w:val="-2"/>
        </w:rPr>
        <w:t>Period</w:t>
      </w:r>
    </w:p>
    <w:p>
      <w:pPr>
        <w:spacing w:line="240" w:lineRule="auto" w:before="0"/>
        <w:rPr>
          <w:b/>
          <w:sz w:val="18"/>
        </w:rPr>
      </w:pPr>
      <w:r>
        <w:rPr/>
        <w:br w:type="column"/>
      </w:r>
      <w:r>
        <w:rPr>
          <w:b/>
          <w:sz w:val="18"/>
        </w:rPr>
      </w:r>
    </w:p>
    <w:p>
      <w:pPr>
        <w:pStyle w:val="BodyText"/>
        <w:spacing w:before="136"/>
        <w:rPr>
          <w:b/>
        </w:rPr>
      </w:pPr>
    </w:p>
    <w:p>
      <w:pPr>
        <w:pStyle w:val="Heading5"/>
        <w:spacing w:line="204" w:lineRule="auto"/>
        <w:ind w:left="326" w:firstLine="166"/>
        <w:jc w:val="left"/>
      </w:pPr>
      <w:r>
        <w:rPr>
          <w:spacing w:val="-2"/>
        </w:rPr>
        <w:t>Expected Credit</w:t>
      </w:r>
      <w:r>
        <w:rPr>
          <w:spacing w:val="-10"/>
        </w:rPr>
        <w:t> </w:t>
      </w:r>
      <w:r>
        <w:rPr>
          <w:spacing w:val="-2"/>
        </w:rPr>
        <w:t>Losses</w:t>
      </w:r>
    </w:p>
    <w:p>
      <w:pPr>
        <w:spacing w:line="240" w:lineRule="auto" w:before="0"/>
        <w:rPr>
          <w:b/>
          <w:sz w:val="18"/>
        </w:rPr>
      </w:pPr>
      <w:r>
        <w:rPr/>
        <w:br w:type="column"/>
      </w:r>
      <w:r>
        <w:rPr>
          <w:b/>
          <w:sz w:val="18"/>
        </w:rPr>
      </w:r>
    </w:p>
    <w:p>
      <w:pPr>
        <w:pStyle w:val="BodyText"/>
        <w:spacing w:before="136"/>
        <w:rPr>
          <w:b/>
        </w:rPr>
      </w:pPr>
    </w:p>
    <w:p>
      <w:pPr>
        <w:pStyle w:val="Heading5"/>
        <w:spacing w:line="204" w:lineRule="auto"/>
        <w:ind w:left="304" w:hanging="61"/>
        <w:jc w:val="left"/>
      </w:pPr>
      <w:r>
        <w:rPr>
          <w:spacing w:val="-2"/>
        </w:rPr>
        <w:t>Write-offs,</w:t>
      </w:r>
      <w:r>
        <w:rPr>
          <w:spacing w:val="-10"/>
        </w:rPr>
        <w:t> </w:t>
      </w:r>
      <w:r>
        <w:rPr>
          <w:spacing w:val="-2"/>
        </w:rPr>
        <w:t>Net </w:t>
      </w:r>
      <w:r>
        <w:rPr/>
        <w:t>of Recoveries</w:t>
      </w:r>
    </w:p>
    <w:p>
      <w:pPr>
        <w:spacing w:line="240" w:lineRule="auto" w:before="0"/>
        <w:rPr>
          <w:b/>
          <w:sz w:val="18"/>
        </w:rPr>
      </w:pPr>
      <w:r>
        <w:rPr/>
        <w:br w:type="column"/>
      </w:r>
      <w:r>
        <w:rPr>
          <w:b/>
          <w:sz w:val="18"/>
        </w:rPr>
      </w:r>
    </w:p>
    <w:p>
      <w:pPr>
        <w:pStyle w:val="BodyText"/>
        <w:spacing w:before="136"/>
        <w:rPr>
          <w:b/>
        </w:rPr>
      </w:pPr>
    </w:p>
    <w:p>
      <w:pPr>
        <w:pStyle w:val="Heading5"/>
        <w:spacing w:line="204" w:lineRule="auto"/>
        <w:ind w:left="412" w:right="170" w:hanging="233"/>
        <w:jc w:val="left"/>
      </w:pPr>
      <w:r>
        <w:rPr/>
        <w:t>Balance</w:t>
      </w:r>
      <w:r>
        <w:rPr>
          <w:spacing w:val="-12"/>
        </w:rPr>
        <w:t> </w:t>
      </w:r>
      <w:r>
        <w:rPr/>
        <w:t>at</w:t>
      </w:r>
      <w:r>
        <w:rPr>
          <w:spacing w:val="-11"/>
        </w:rPr>
        <w:t> </w:t>
      </w:r>
      <w:r>
        <w:rPr/>
        <w:t>End of Period</w:t>
      </w:r>
    </w:p>
    <w:p>
      <w:pPr>
        <w:spacing w:after="0" w:line="204" w:lineRule="auto"/>
        <w:jc w:val="left"/>
        <w:sectPr>
          <w:type w:val="continuous"/>
          <w:pgSz w:w="12240" w:h="15840"/>
          <w:pgMar w:top="1040" w:bottom="280" w:left="220" w:right="240"/>
          <w:cols w:num="5" w:equalWidth="0">
            <w:col w:w="3629" w:space="2133"/>
            <w:col w:w="1620" w:space="39"/>
            <w:col w:w="1368" w:space="39"/>
            <w:col w:w="1390" w:space="40"/>
            <w:col w:w="1522"/>
          </w:cols>
        </w:sectPr>
      </w:pPr>
    </w:p>
    <w:p>
      <w:pPr>
        <w:pStyle w:val="BodyText"/>
        <w:spacing w:before="11"/>
        <w:rPr>
          <w:b/>
          <w:sz w:val="2"/>
        </w:rPr>
      </w:pPr>
    </w:p>
    <w:p>
      <w:pPr>
        <w:pStyle w:val="BodyText"/>
        <w:spacing w:line="20" w:lineRule="exact"/>
        <w:ind w:left="6260"/>
        <w:rPr>
          <w:sz w:val="2"/>
        </w:rPr>
      </w:pPr>
      <w:r>
        <w:rPr>
          <w:sz w:val="2"/>
        </w:rPr>
        <mc:AlternateContent>
          <mc:Choice Requires="wps">
            <w:drawing>
              <wp:inline distT="0" distB="0" distL="0" distR="0">
                <wp:extent cx="3429000" cy="8890"/>
                <wp:effectExtent l="0" t="0" r="0" b="0"/>
                <wp:docPr id="422" name="Group 422"/>
                <wp:cNvGraphicFramePr>
                  <a:graphicFrameLocks/>
                </wp:cNvGraphicFramePr>
                <a:graphic>
                  <a:graphicData uri="http://schemas.microsoft.com/office/word/2010/wordprocessingGroup">
                    <wpg:wgp>
                      <wpg:cNvPr id="422" name="Group 422"/>
                      <wpg:cNvGrpSpPr/>
                      <wpg:grpSpPr>
                        <a:xfrm>
                          <a:off x="0" y="0"/>
                          <a:ext cx="3429000" cy="8890"/>
                          <a:chExt cx="3429000" cy="8890"/>
                        </a:xfrm>
                      </wpg:grpSpPr>
                      <wps:wsp>
                        <wps:cNvPr id="423" name="Graphic 423"/>
                        <wps:cNvSpPr/>
                        <wps:spPr>
                          <a:xfrm>
                            <a:off x="-12" y="-9"/>
                            <a:ext cx="3429000" cy="8890"/>
                          </a:xfrm>
                          <a:custGeom>
                            <a:avLst/>
                            <a:gdLst/>
                            <a:ahLst/>
                            <a:cxnLst/>
                            <a:rect l="l" t="t" r="r" b="b"/>
                            <a:pathLst>
                              <a:path w="3429000" h="8890">
                                <a:moveTo>
                                  <a:pt x="3429000" y="0"/>
                                </a:moveTo>
                                <a:lnTo>
                                  <a:pt x="3429000" y="0"/>
                                </a:lnTo>
                                <a:lnTo>
                                  <a:pt x="0" y="0"/>
                                </a:lnTo>
                                <a:lnTo>
                                  <a:pt x="0" y="8572"/>
                                </a:lnTo>
                                <a:lnTo>
                                  <a:pt x="3429000" y="8572"/>
                                </a:lnTo>
                                <a:lnTo>
                                  <a:pt x="3429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0pt;height:.7pt;mso-position-horizontal-relative:char;mso-position-vertical-relative:line" id="docshapegroup420" coordorigin="0,0" coordsize="5400,14">
                <v:rect style="position:absolute;left:-1;top:-1;width:5400;height:14" id="docshape421" filled="true" fillcolor="#000000" stroked="false">
                  <v:fill type="solid"/>
                </v:rect>
              </v:group>
            </w:pict>
          </mc:Fallback>
        </mc:AlternateContent>
      </w:r>
      <w:r>
        <w:rPr>
          <w:sz w:val="2"/>
        </w:rPr>
      </w:r>
    </w:p>
    <w:p>
      <w:pPr>
        <w:tabs>
          <w:tab w:pos="8519" w:val="left" w:leader="none"/>
        </w:tabs>
        <w:spacing w:before="0" w:after="16"/>
        <w:ind w:left="162" w:right="0" w:firstLine="0"/>
        <w:jc w:val="left"/>
        <w:rPr>
          <w:b/>
          <w:i/>
          <w:sz w:val="14"/>
        </w:rPr>
      </w:pPr>
      <w:r>
        <w:rPr>
          <w:sz w:val="18"/>
        </w:rPr>
        <w:t>Loss</w:t>
      </w:r>
      <w:r>
        <w:rPr>
          <w:spacing w:val="-1"/>
          <w:sz w:val="18"/>
        </w:rPr>
        <w:t> </w:t>
      </w:r>
      <w:r>
        <w:rPr>
          <w:spacing w:val="-2"/>
          <w:sz w:val="18"/>
        </w:rPr>
        <w:t>reserves:</w:t>
      </w:r>
      <w:r>
        <w:rPr>
          <w:sz w:val="18"/>
        </w:rPr>
        <w:tab/>
      </w: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5"/>
        <w:gridCol w:w="3134"/>
        <w:gridCol w:w="1373"/>
        <w:gridCol w:w="1403"/>
        <w:gridCol w:w="1330"/>
      </w:tblGrid>
      <w:tr>
        <w:trPr>
          <w:trHeight w:val="229" w:hRule="atLeast"/>
        </w:trPr>
        <w:tc>
          <w:tcPr>
            <w:tcW w:w="4275" w:type="dxa"/>
            <w:shd w:val="clear" w:color="auto" w:fill="CCEDFF"/>
          </w:tcPr>
          <w:p>
            <w:pPr>
              <w:pStyle w:val="TableParagraph"/>
              <w:spacing w:line="202" w:lineRule="exact" w:before="7"/>
              <w:ind w:left="125"/>
              <w:rPr>
                <w:sz w:val="18"/>
              </w:rPr>
            </w:pPr>
            <w:r>
              <w:rPr>
                <w:sz w:val="18"/>
              </w:rPr>
              <w:t>Year</w:t>
            </w:r>
            <w:r>
              <w:rPr>
                <w:spacing w:val="-6"/>
                <w:sz w:val="18"/>
              </w:rPr>
              <w:t> </w:t>
            </w:r>
            <w:r>
              <w:rPr>
                <w:sz w:val="18"/>
              </w:rPr>
              <w:t>Ended</w:t>
            </w:r>
            <w:r>
              <w:rPr>
                <w:spacing w:val="-6"/>
                <w:sz w:val="18"/>
              </w:rPr>
              <w:t> </w:t>
            </w:r>
            <w:r>
              <w:rPr>
                <w:sz w:val="18"/>
              </w:rPr>
              <w:t>December</w:t>
            </w:r>
            <w:r>
              <w:rPr>
                <w:spacing w:val="-6"/>
                <w:sz w:val="18"/>
              </w:rPr>
              <w:t> </w:t>
            </w:r>
            <w:r>
              <w:rPr>
                <w:sz w:val="18"/>
              </w:rPr>
              <w:t>31,</w:t>
            </w:r>
            <w:r>
              <w:rPr>
                <w:spacing w:val="-5"/>
                <w:sz w:val="18"/>
              </w:rPr>
              <w:t> </w:t>
            </w:r>
            <w:r>
              <w:rPr>
                <w:spacing w:val="-4"/>
                <w:sz w:val="18"/>
              </w:rPr>
              <w:t>2022</w:t>
            </w:r>
          </w:p>
        </w:tc>
        <w:tc>
          <w:tcPr>
            <w:tcW w:w="3134" w:type="dxa"/>
            <w:shd w:val="clear" w:color="auto" w:fill="CCEDFF"/>
          </w:tcPr>
          <w:p>
            <w:pPr>
              <w:pStyle w:val="TableParagraph"/>
              <w:tabs>
                <w:tab w:pos="599" w:val="left" w:leader="none"/>
              </w:tabs>
              <w:spacing w:line="202" w:lineRule="exact" w:before="7"/>
              <w:ind w:right="93"/>
              <w:jc w:val="right"/>
              <w:rPr>
                <w:sz w:val="18"/>
              </w:rPr>
            </w:pPr>
            <w:r>
              <w:rPr>
                <w:spacing w:val="-10"/>
                <w:sz w:val="18"/>
              </w:rPr>
              <w:t>$</w:t>
            </w:r>
            <w:r>
              <w:rPr>
                <w:sz w:val="18"/>
              </w:rPr>
              <w:tab/>
            </w:r>
            <w:r>
              <w:rPr>
                <w:spacing w:val="-2"/>
                <w:sz w:val="18"/>
              </w:rPr>
              <w:t>128,348</w:t>
            </w:r>
          </w:p>
        </w:tc>
        <w:tc>
          <w:tcPr>
            <w:tcW w:w="1373" w:type="dxa"/>
            <w:shd w:val="clear" w:color="auto" w:fill="CCEDFF"/>
          </w:tcPr>
          <w:p>
            <w:pPr>
              <w:pStyle w:val="TableParagraph"/>
              <w:tabs>
                <w:tab w:pos="687" w:val="left" w:leader="none"/>
              </w:tabs>
              <w:spacing w:line="202" w:lineRule="exact" w:before="7"/>
              <w:ind w:right="92"/>
              <w:jc w:val="right"/>
              <w:rPr>
                <w:sz w:val="18"/>
              </w:rPr>
            </w:pPr>
            <w:r>
              <w:rPr>
                <w:spacing w:val="-10"/>
                <w:sz w:val="18"/>
              </w:rPr>
              <w:t>$</w:t>
            </w:r>
            <w:r>
              <w:rPr>
                <w:sz w:val="18"/>
              </w:rPr>
              <w:tab/>
            </w:r>
            <w:r>
              <w:rPr>
                <w:spacing w:val="-2"/>
                <w:sz w:val="18"/>
              </w:rPr>
              <w:t>22,738</w:t>
            </w:r>
          </w:p>
        </w:tc>
        <w:tc>
          <w:tcPr>
            <w:tcW w:w="1403" w:type="dxa"/>
            <w:shd w:val="clear" w:color="auto" w:fill="CCEDFF"/>
          </w:tcPr>
          <w:p>
            <w:pPr>
              <w:pStyle w:val="TableParagraph"/>
              <w:tabs>
                <w:tab w:pos="619" w:val="left" w:leader="none"/>
              </w:tabs>
              <w:spacing w:line="202" w:lineRule="exact" w:before="7"/>
              <w:ind w:right="70"/>
              <w:jc w:val="right"/>
              <w:rPr>
                <w:sz w:val="18"/>
              </w:rPr>
            </w:pPr>
            <w:r>
              <w:rPr>
                <w:spacing w:val="-10"/>
                <w:sz w:val="18"/>
              </w:rPr>
              <w:t>$</w:t>
            </w:r>
            <w:r>
              <w:rPr>
                <w:sz w:val="18"/>
              </w:rPr>
              <w:tab/>
            </w:r>
            <w:r>
              <w:rPr>
                <w:spacing w:val="-2"/>
                <w:sz w:val="18"/>
              </w:rPr>
              <w:t>(37,820)</w:t>
            </w:r>
          </w:p>
        </w:tc>
        <w:tc>
          <w:tcPr>
            <w:tcW w:w="1330" w:type="dxa"/>
            <w:shd w:val="clear" w:color="auto" w:fill="CCEDFF"/>
          </w:tcPr>
          <w:p>
            <w:pPr>
              <w:pStyle w:val="TableParagraph"/>
              <w:tabs>
                <w:tab w:pos="605" w:val="left" w:leader="none"/>
              </w:tabs>
              <w:spacing w:line="202" w:lineRule="exact" w:before="7"/>
              <w:ind w:right="70"/>
              <w:jc w:val="right"/>
              <w:rPr>
                <w:sz w:val="18"/>
              </w:rPr>
            </w:pPr>
            <w:r>
              <w:rPr>
                <w:spacing w:val="-10"/>
                <w:sz w:val="18"/>
              </w:rPr>
              <w:t>$</w:t>
            </w:r>
            <w:r>
              <w:rPr>
                <w:sz w:val="18"/>
              </w:rPr>
              <w:tab/>
            </w:r>
            <w:r>
              <w:rPr>
                <w:spacing w:val="-2"/>
                <w:sz w:val="18"/>
              </w:rPr>
              <w:t>113,266</w:t>
            </w:r>
          </w:p>
        </w:tc>
      </w:tr>
      <w:tr>
        <w:trPr>
          <w:trHeight w:val="229" w:hRule="atLeast"/>
        </w:trPr>
        <w:tc>
          <w:tcPr>
            <w:tcW w:w="4275" w:type="dxa"/>
          </w:tcPr>
          <w:p>
            <w:pPr>
              <w:pStyle w:val="TableParagraph"/>
              <w:spacing w:line="202" w:lineRule="exact" w:before="7"/>
              <w:ind w:left="125"/>
              <w:rPr>
                <w:sz w:val="18"/>
              </w:rPr>
            </w:pPr>
            <w:r>
              <w:rPr>
                <w:sz w:val="18"/>
              </w:rPr>
              <w:t>Year</w:t>
            </w:r>
            <w:r>
              <w:rPr>
                <w:spacing w:val="-6"/>
                <w:sz w:val="18"/>
              </w:rPr>
              <w:t> </w:t>
            </w:r>
            <w:r>
              <w:rPr>
                <w:sz w:val="18"/>
              </w:rPr>
              <w:t>Ended</w:t>
            </w:r>
            <w:r>
              <w:rPr>
                <w:spacing w:val="-6"/>
                <w:sz w:val="18"/>
              </w:rPr>
              <w:t> </w:t>
            </w:r>
            <w:r>
              <w:rPr>
                <w:sz w:val="18"/>
              </w:rPr>
              <w:t>December</w:t>
            </w:r>
            <w:r>
              <w:rPr>
                <w:spacing w:val="-6"/>
                <w:sz w:val="18"/>
              </w:rPr>
              <w:t> </w:t>
            </w:r>
            <w:r>
              <w:rPr>
                <w:sz w:val="18"/>
              </w:rPr>
              <w:t>31,</w:t>
            </w:r>
            <w:r>
              <w:rPr>
                <w:spacing w:val="-5"/>
                <w:sz w:val="18"/>
              </w:rPr>
              <w:t> </w:t>
            </w:r>
            <w:r>
              <w:rPr>
                <w:spacing w:val="-4"/>
                <w:sz w:val="18"/>
              </w:rPr>
              <w:t>2021</w:t>
            </w:r>
          </w:p>
        </w:tc>
        <w:tc>
          <w:tcPr>
            <w:tcW w:w="3134" w:type="dxa"/>
          </w:tcPr>
          <w:p>
            <w:pPr>
              <w:pStyle w:val="TableParagraph"/>
              <w:spacing w:line="202" w:lineRule="exact" w:before="7"/>
              <w:ind w:right="93"/>
              <w:jc w:val="right"/>
              <w:rPr>
                <w:sz w:val="18"/>
              </w:rPr>
            </w:pPr>
            <w:r>
              <w:rPr>
                <w:spacing w:val="-2"/>
                <w:sz w:val="18"/>
              </w:rPr>
              <w:t>126,589</w:t>
            </w:r>
          </w:p>
        </w:tc>
        <w:tc>
          <w:tcPr>
            <w:tcW w:w="1373" w:type="dxa"/>
          </w:tcPr>
          <w:p>
            <w:pPr>
              <w:pStyle w:val="TableParagraph"/>
              <w:spacing w:line="202" w:lineRule="exact" w:before="7"/>
              <w:ind w:right="92"/>
              <w:jc w:val="right"/>
              <w:rPr>
                <w:sz w:val="18"/>
              </w:rPr>
            </w:pPr>
            <w:r>
              <w:rPr>
                <w:spacing w:val="-2"/>
                <w:sz w:val="18"/>
              </w:rPr>
              <w:t>21,852</w:t>
            </w:r>
          </w:p>
        </w:tc>
        <w:tc>
          <w:tcPr>
            <w:tcW w:w="1403" w:type="dxa"/>
          </w:tcPr>
          <w:p>
            <w:pPr>
              <w:pStyle w:val="TableParagraph"/>
              <w:spacing w:line="202" w:lineRule="exact" w:before="7"/>
              <w:ind w:right="70"/>
              <w:jc w:val="right"/>
              <w:rPr>
                <w:sz w:val="18"/>
              </w:rPr>
            </w:pPr>
            <w:r>
              <w:rPr>
                <w:spacing w:val="-2"/>
                <w:sz w:val="18"/>
              </w:rPr>
              <w:t>(20,093)</w:t>
            </w:r>
          </w:p>
        </w:tc>
        <w:tc>
          <w:tcPr>
            <w:tcW w:w="1330" w:type="dxa"/>
          </w:tcPr>
          <w:p>
            <w:pPr>
              <w:pStyle w:val="TableParagraph"/>
              <w:spacing w:line="202" w:lineRule="exact" w:before="7"/>
              <w:ind w:right="70"/>
              <w:jc w:val="right"/>
              <w:rPr>
                <w:sz w:val="18"/>
              </w:rPr>
            </w:pPr>
            <w:r>
              <w:rPr>
                <w:spacing w:val="-2"/>
                <w:sz w:val="18"/>
              </w:rPr>
              <w:t>128,348</w:t>
            </w:r>
          </w:p>
        </w:tc>
      </w:tr>
      <w:tr>
        <w:trPr>
          <w:trHeight w:val="242" w:hRule="atLeast"/>
        </w:trPr>
        <w:tc>
          <w:tcPr>
            <w:tcW w:w="4275" w:type="dxa"/>
            <w:shd w:val="clear" w:color="auto" w:fill="CCEDFF"/>
          </w:tcPr>
          <w:p>
            <w:pPr>
              <w:pStyle w:val="TableParagraph"/>
              <w:spacing w:before="7"/>
              <w:ind w:left="125"/>
              <w:rPr>
                <w:sz w:val="18"/>
              </w:rPr>
            </w:pPr>
            <w:r>
              <w:rPr>
                <w:sz w:val="18"/>
              </w:rPr>
              <w:t>Year</w:t>
            </w:r>
            <w:r>
              <w:rPr>
                <w:spacing w:val="-6"/>
                <w:sz w:val="18"/>
              </w:rPr>
              <w:t> </w:t>
            </w:r>
            <w:r>
              <w:rPr>
                <w:sz w:val="18"/>
              </w:rPr>
              <w:t>Ended</w:t>
            </w:r>
            <w:r>
              <w:rPr>
                <w:spacing w:val="-6"/>
                <w:sz w:val="18"/>
              </w:rPr>
              <w:t> </w:t>
            </w:r>
            <w:r>
              <w:rPr>
                <w:sz w:val="18"/>
              </w:rPr>
              <w:t>December</w:t>
            </w:r>
            <w:r>
              <w:rPr>
                <w:spacing w:val="-6"/>
                <w:sz w:val="18"/>
              </w:rPr>
              <w:t> </w:t>
            </w:r>
            <w:r>
              <w:rPr>
                <w:sz w:val="18"/>
              </w:rPr>
              <w:t>31,</w:t>
            </w:r>
            <w:r>
              <w:rPr>
                <w:spacing w:val="-5"/>
                <w:sz w:val="18"/>
              </w:rPr>
              <w:t> </w:t>
            </w:r>
            <w:r>
              <w:rPr>
                <w:spacing w:val="-4"/>
                <w:sz w:val="18"/>
              </w:rPr>
              <w:t>2020</w:t>
            </w:r>
          </w:p>
        </w:tc>
        <w:tc>
          <w:tcPr>
            <w:tcW w:w="3134" w:type="dxa"/>
            <w:shd w:val="clear" w:color="auto" w:fill="CCEDFF"/>
          </w:tcPr>
          <w:p>
            <w:pPr>
              <w:pStyle w:val="TableParagraph"/>
              <w:tabs>
                <w:tab w:pos="689" w:val="left" w:leader="none"/>
              </w:tabs>
              <w:spacing w:before="7"/>
              <w:ind w:right="93"/>
              <w:jc w:val="right"/>
              <w:rPr>
                <w:sz w:val="18"/>
              </w:rPr>
            </w:pPr>
            <w:r>
              <w:rPr>
                <w:spacing w:val="-10"/>
                <w:sz w:val="18"/>
              </w:rPr>
              <w:t>$</w:t>
            </w:r>
            <w:r>
              <w:rPr>
                <w:sz w:val="18"/>
              </w:rPr>
              <w:tab/>
            </w:r>
            <w:r>
              <w:rPr>
                <w:spacing w:val="-2"/>
                <w:sz w:val="18"/>
              </w:rPr>
              <w:t>94,561</w:t>
            </w:r>
          </w:p>
        </w:tc>
        <w:tc>
          <w:tcPr>
            <w:tcW w:w="1373" w:type="dxa"/>
            <w:shd w:val="clear" w:color="auto" w:fill="CCEDFF"/>
          </w:tcPr>
          <w:p>
            <w:pPr>
              <w:pStyle w:val="TableParagraph"/>
              <w:tabs>
                <w:tab w:pos="687" w:val="left" w:leader="none"/>
              </w:tabs>
              <w:spacing w:before="7"/>
              <w:ind w:right="92"/>
              <w:jc w:val="right"/>
              <w:rPr>
                <w:sz w:val="18"/>
              </w:rPr>
            </w:pPr>
            <w:r>
              <w:rPr>
                <w:spacing w:val="-10"/>
                <w:sz w:val="18"/>
              </w:rPr>
              <w:t>$</w:t>
            </w:r>
            <w:r>
              <w:rPr>
                <w:sz w:val="18"/>
              </w:rPr>
              <w:tab/>
            </w:r>
            <w:r>
              <w:rPr>
                <w:spacing w:val="-2"/>
                <w:sz w:val="18"/>
              </w:rPr>
              <w:t>71,422</w:t>
            </w:r>
          </w:p>
        </w:tc>
        <w:tc>
          <w:tcPr>
            <w:tcW w:w="1403" w:type="dxa"/>
            <w:shd w:val="clear" w:color="auto" w:fill="CCEDFF"/>
          </w:tcPr>
          <w:p>
            <w:pPr>
              <w:pStyle w:val="TableParagraph"/>
              <w:tabs>
                <w:tab w:pos="619" w:val="left" w:leader="none"/>
              </w:tabs>
              <w:spacing w:before="7"/>
              <w:ind w:right="70"/>
              <w:jc w:val="right"/>
              <w:rPr>
                <w:sz w:val="18"/>
              </w:rPr>
            </w:pPr>
            <w:r>
              <w:rPr>
                <w:spacing w:val="-10"/>
                <w:sz w:val="18"/>
              </w:rPr>
              <w:t>$</w:t>
            </w:r>
            <w:r>
              <w:rPr>
                <w:sz w:val="18"/>
              </w:rPr>
              <w:tab/>
            </w:r>
            <w:r>
              <w:rPr>
                <w:spacing w:val="-2"/>
                <w:sz w:val="18"/>
              </w:rPr>
              <w:t>(39,394)</w:t>
            </w:r>
          </w:p>
        </w:tc>
        <w:tc>
          <w:tcPr>
            <w:tcW w:w="1330" w:type="dxa"/>
            <w:shd w:val="clear" w:color="auto" w:fill="CCEDFF"/>
          </w:tcPr>
          <w:p>
            <w:pPr>
              <w:pStyle w:val="TableParagraph"/>
              <w:tabs>
                <w:tab w:pos="598" w:val="left" w:leader="none"/>
              </w:tabs>
              <w:spacing w:before="7"/>
              <w:ind w:right="70"/>
              <w:jc w:val="right"/>
              <w:rPr>
                <w:sz w:val="18"/>
              </w:rPr>
            </w:pPr>
            <w:r>
              <w:rPr>
                <w:spacing w:val="-10"/>
                <w:sz w:val="18"/>
              </w:rPr>
              <w:t>$</w:t>
            </w:r>
            <w:r>
              <w:rPr>
                <w:sz w:val="18"/>
              </w:rPr>
              <w:tab/>
            </w:r>
            <w:r>
              <w:rPr>
                <w:spacing w:val="-2"/>
                <w:sz w:val="18"/>
              </w:rPr>
              <w:t>126,589</w:t>
            </w:r>
          </w:p>
        </w:tc>
      </w:tr>
    </w:tbl>
    <w:p>
      <w:pPr>
        <w:pStyle w:val="BodyText"/>
        <w:rPr>
          <w:b/>
          <w:i/>
          <w:sz w:val="14"/>
        </w:rPr>
      </w:pPr>
    </w:p>
    <w:p>
      <w:pPr>
        <w:pStyle w:val="BodyText"/>
        <w:rPr>
          <w:b/>
          <w:i/>
          <w:sz w:val="14"/>
        </w:rPr>
      </w:pPr>
    </w:p>
    <w:p>
      <w:pPr>
        <w:pStyle w:val="BodyText"/>
        <w:rPr>
          <w:b/>
          <w:i/>
          <w:sz w:val="14"/>
        </w:rPr>
      </w:pPr>
    </w:p>
    <w:p>
      <w:pPr>
        <w:pStyle w:val="BodyText"/>
        <w:rPr>
          <w:b/>
          <w:i/>
          <w:sz w:val="14"/>
        </w:rPr>
      </w:pPr>
    </w:p>
    <w:p>
      <w:pPr>
        <w:pStyle w:val="BodyText"/>
        <w:spacing w:before="95"/>
        <w:rPr>
          <w:b/>
          <w:i/>
          <w:sz w:val="14"/>
        </w:rPr>
      </w:pPr>
    </w:p>
    <w:p>
      <w:pPr>
        <w:pStyle w:val="BodyText"/>
        <w:ind w:left="24"/>
        <w:jc w:val="center"/>
      </w:pPr>
      <w:r>
        <w:rPr>
          <w:spacing w:val="-5"/>
        </w:rPr>
        <w:t>71</w:t>
      </w:r>
    </w:p>
    <w:p>
      <w:pPr>
        <w:pStyle w:val="BodyText"/>
        <w:spacing w:before="3"/>
        <w:rPr>
          <w:sz w:val="6"/>
        </w:rPr>
      </w:pPr>
      <w:r>
        <w:rPr/>
        <mc:AlternateContent>
          <mc:Choice Requires="wps">
            <w:drawing>
              <wp:anchor distT="0" distB="0" distL="0" distR="0" allowOverlap="1" layoutInCell="1" locked="0" behindDoc="1" simplePos="0" relativeHeight="487668736">
                <wp:simplePos x="0" y="0"/>
                <wp:positionH relativeFrom="page">
                  <wp:posOffset>231457</wp:posOffset>
                </wp:positionH>
                <wp:positionV relativeFrom="paragraph">
                  <wp:posOffset>60956</wp:posOffset>
                </wp:positionV>
                <wp:extent cx="7312659" cy="17145"/>
                <wp:effectExtent l="0" t="0" r="0" b="0"/>
                <wp:wrapTopAndBottom/>
                <wp:docPr id="424" name="Group 424"/>
                <wp:cNvGraphicFramePr>
                  <a:graphicFrameLocks/>
                </wp:cNvGraphicFramePr>
                <a:graphic>
                  <a:graphicData uri="http://schemas.microsoft.com/office/word/2010/wordprocessingGroup">
                    <wpg:wgp>
                      <wpg:cNvPr id="424" name="Group 424"/>
                      <wpg:cNvGrpSpPr/>
                      <wpg:grpSpPr>
                        <a:xfrm>
                          <a:off x="0" y="0"/>
                          <a:ext cx="7312659" cy="17145"/>
                          <a:chExt cx="7312659" cy="17145"/>
                        </a:xfrm>
                      </wpg:grpSpPr>
                      <wps:wsp>
                        <wps:cNvPr id="425" name="Graphic 42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26" name="Graphic 426"/>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27" name="Graphic 42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7744;mso-wrap-distance-left:0;mso-wrap-distance-right:0" id="docshapegroup422" coordorigin="364,96" coordsize="11516,27">
                <v:rect style="position:absolute;left:364;top:96;width:11516;height:14" id="docshape423" filled="true" fillcolor="#999999" stroked="false">
                  <v:fill type="solid"/>
                </v:rect>
                <v:shape style="position:absolute;left:364;top:95;width:11516;height:27" id="docshape424" coordorigin="364,96" coordsize="11516,27" path="m11880,96l11866,109,364,109,364,123,11866,123,11880,123,11880,109,11880,96xe" filled="true" fillcolor="#ededed" stroked="false">
                  <v:path arrowok="t"/>
                  <v:fill type="solid"/>
                </v:shape>
                <v:shape style="position:absolute;left:364;top:96;width:14;height:27" id="docshape425"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Heading4"/>
        <w:spacing w:before="63"/>
      </w:pPr>
      <w:r>
        <w:rPr/>
        <w:t>NOTE</w:t>
      </w:r>
      <w:r>
        <w:rPr>
          <w:spacing w:val="-1"/>
        </w:rPr>
        <w:t> </w:t>
      </w:r>
      <w:r>
        <w:rPr/>
        <w:t>4</w:t>
      </w:r>
      <w:r>
        <w:rPr>
          <w:spacing w:val="-1"/>
        </w:rPr>
        <w:t> </w:t>
      </w:r>
      <w:r>
        <w:rPr/>
        <w:t>—</w:t>
      </w:r>
      <w:r>
        <w:rPr>
          <w:spacing w:val="-10"/>
        </w:rPr>
        <w:t> </w:t>
      </w:r>
      <w:r>
        <w:rPr/>
        <w:t>ACQUISITIONS</w:t>
      </w:r>
      <w:r>
        <w:rPr>
          <w:spacing w:val="-10"/>
        </w:rPr>
        <w:t> </w:t>
      </w:r>
      <w:r>
        <w:rPr/>
        <w:t>AND</w:t>
      </w:r>
      <w:r>
        <w:rPr>
          <w:spacing w:val="-1"/>
        </w:rPr>
        <w:t> </w:t>
      </w:r>
      <w:r>
        <w:rPr>
          <w:spacing w:val="-2"/>
        </w:rPr>
        <w:t>DIVESTITURES</w:t>
      </w:r>
    </w:p>
    <w:p>
      <w:pPr>
        <w:pStyle w:val="BodyText"/>
        <w:spacing w:before="4"/>
        <w:rPr>
          <w:b/>
        </w:rPr>
      </w:pPr>
    </w:p>
    <w:p>
      <w:pPr>
        <w:pStyle w:val="BodyText"/>
        <w:spacing w:line="249" w:lineRule="auto"/>
        <w:ind w:left="144" w:right="117" w:firstLine="499"/>
        <w:jc w:val="both"/>
      </w:pPr>
      <w:r>
        <w:rPr>
          <w:b/>
        </w:rPr>
        <w:t>LeoVegas acquisition. </w:t>
      </w:r>
      <w:r>
        <w:rPr/>
        <w:t>On May 2, 2022, the Company commenced a public offer to the shareholders of LeoVegas to tender 100% of the shares at a price of SEK 61 in cash per share. On September 7, 2022, the Company completed its tender offer and acquired 65% of the outstanding shares of LeoVegas and, at the completion of an extended acceptance period on September 22, 2022, acquired an additional 2% of outstanding shares, for an aggregate cash tender price of $370 million. During the tender offer period, the Company had acquired 31% of outstanding shares in open market purchases that had an acquisition- date</w:t>
      </w:r>
      <w:r>
        <w:rPr>
          <w:spacing w:val="-2"/>
        </w:rPr>
        <w:t> </w:t>
      </w:r>
      <w:r>
        <w:rPr/>
        <w:t>fair</w:t>
      </w:r>
      <w:r>
        <w:rPr>
          <w:spacing w:val="-2"/>
        </w:rPr>
        <w:t> </w:t>
      </w:r>
      <w:r>
        <w:rPr/>
        <w:t>value</w:t>
      </w:r>
      <w:r>
        <w:rPr>
          <w:spacing w:val="-2"/>
        </w:rPr>
        <w:t> </w:t>
      </w:r>
      <w:r>
        <w:rPr/>
        <w:t>of</w:t>
      </w:r>
      <w:r>
        <w:rPr>
          <w:spacing w:val="-2"/>
        </w:rPr>
        <w:t> </w:t>
      </w:r>
      <w:r>
        <w:rPr/>
        <w:t>approximately</w:t>
      </w:r>
      <w:r>
        <w:rPr>
          <w:spacing w:val="-2"/>
        </w:rPr>
        <w:t> </w:t>
      </w:r>
      <w:r>
        <w:rPr/>
        <w:t>$172</w:t>
      </w:r>
      <w:r>
        <w:rPr>
          <w:spacing w:val="-2"/>
        </w:rPr>
        <w:t> </w:t>
      </w:r>
      <w:r>
        <w:rPr/>
        <w:t>million.</w:t>
      </w:r>
      <w:r>
        <w:rPr>
          <w:spacing w:val="-12"/>
        </w:rPr>
        <w:t> </w:t>
      </w:r>
      <w:r>
        <w:rPr/>
        <w:t>As</w:t>
      </w:r>
      <w:r>
        <w:rPr>
          <w:spacing w:val="-1"/>
        </w:rPr>
        <w:t> </w:t>
      </w:r>
      <w:r>
        <w:rPr/>
        <w:t>the</w:t>
      </w:r>
      <w:r>
        <w:rPr>
          <w:spacing w:val="-2"/>
        </w:rPr>
        <w:t> </w:t>
      </w:r>
      <w:r>
        <w:rPr/>
        <w:t>Company’s</w:t>
      </w:r>
      <w:r>
        <w:rPr>
          <w:spacing w:val="-2"/>
        </w:rPr>
        <w:t> </w:t>
      </w:r>
      <w:r>
        <w:rPr/>
        <w:t>previous</w:t>
      </w:r>
      <w:r>
        <w:rPr>
          <w:spacing w:val="-2"/>
        </w:rPr>
        <w:t> </w:t>
      </w:r>
      <w:r>
        <w:rPr/>
        <w:t>31%</w:t>
      </w:r>
      <w:r>
        <w:rPr>
          <w:spacing w:val="-2"/>
        </w:rPr>
        <w:t> </w:t>
      </w:r>
      <w:r>
        <w:rPr/>
        <w:t>ownership</w:t>
      </w:r>
      <w:r>
        <w:rPr>
          <w:spacing w:val="-2"/>
        </w:rPr>
        <w:t> </w:t>
      </w:r>
      <w:r>
        <w:rPr/>
        <w:t>interest</w:t>
      </w:r>
      <w:r>
        <w:rPr>
          <w:spacing w:val="-2"/>
        </w:rPr>
        <w:t> </w:t>
      </w:r>
      <w:r>
        <w:rPr/>
        <w:t>was</w:t>
      </w:r>
      <w:r>
        <w:rPr>
          <w:spacing w:val="-2"/>
        </w:rPr>
        <w:t> </w:t>
      </w:r>
      <w:r>
        <w:rPr/>
        <w:t>accounted</w:t>
      </w:r>
      <w:r>
        <w:rPr>
          <w:spacing w:val="-2"/>
        </w:rPr>
        <w:t> </w:t>
      </w:r>
      <w:r>
        <w:rPr/>
        <w:t>for</w:t>
      </w:r>
      <w:r>
        <w:rPr>
          <w:spacing w:val="-2"/>
        </w:rPr>
        <w:t> </w:t>
      </w:r>
      <w:r>
        <w:rPr/>
        <w:t>at</w:t>
      </w:r>
      <w:r>
        <w:rPr>
          <w:spacing w:val="-2"/>
        </w:rPr>
        <w:t> </w:t>
      </w:r>
      <w:r>
        <w:rPr/>
        <w:t>fair</w:t>
      </w:r>
      <w:r>
        <w:rPr>
          <w:spacing w:val="-2"/>
        </w:rPr>
        <w:t> </w:t>
      </w:r>
      <w:r>
        <w:rPr/>
        <w:t>value,</w:t>
      </w:r>
      <w:r>
        <w:rPr>
          <w:spacing w:val="-2"/>
        </w:rPr>
        <w:t> </w:t>
      </w:r>
      <w:r>
        <w:rPr/>
        <w:t>no</w:t>
      </w:r>
      <w:r>
        <w:rPr>
          <w:spacing w:val="-2"/>
        </w:rPr>
        <w:t> </w:t>
      </w:r>
      <w:r>
        <w:rPr/>
        <w:t>gain</w:t>
      </w:r>
      <w:r>
        <w:rPr>
          <w:spacing w:val="-2"/>
        </w:rPr>
        <w:t> </w:t>
      </w:r>
      <w:r>
        <w:rPr/>
        <w:t>or</w:t>
      </w:r>
      <w:r>
        <w:rPr>
          <w:spacing w:val="-2"/>
        </w:rPr>
        <w:t> </w:t>
      </w:r>
      <w:r>
        <w:rPr/>
        <w:t>loss</w:t>
      </w:r>
      <w:r>
        <w:rPr>
          <w:spacing w:val="-2"/>
        </w:rPr>
        <w:t> </w:t>
      </w:r>
      <w:r>
        <w:rPr/>
        <w:t>was</w:t>
      </w:r>
      <w:r>
        <w:rPr>
          <w:spacing w:val="-2"/>
        </w:rPr>
        <w:t> </w:t>
      </w:r>
      <w:r>
        <w:rPr/>
        <w:t>recorded upon consolidation. The remaining outstanding shares, with a fair value of approximately $11 million based upon the tender price, will be settled by the Company in cash in connection with squeeze-out proceedings. The acquisition provides the Company an opportunity to create a scaled global online </w:t>
      </w:r>
      <w:r>
        <w:rPr/>
        <w:t>gaming </w:t>
      </w:r>
      <w:r>
        <w:rPr>
          <w:spacing w:val="-2"/>
        </w:rPr>
        <w:t>business.</w:t>
      </w:r>
    </w:p>
    <w:p>
      <w:pPr>
        <w:pStyle w:val="BodyText"/>
        <w:spacing w:before="15"/>
      </w:pPr>
    </w:p>
    <w:p>
      <w:pPr>
        <w:pStyle w:val="BodyText"/>
        <w:spacing w:line="249" w:lineRule="auto"/>
        <w:ind w:left="144" w:right="118" w:firstLine="499"/>
        <w:jc w:val="both"/>
      </w:pPr>
      <w:r>
        <w:rPr/>
        <w:t>The Company recognized 100% of the assets, liabilities, and noncontrolling interests of LeoVegas at fair value at the date of the acquisition. The fair value of the acquired equity interests of LeoVegas was determined by the tender price and equaled $556 million, inclusive of cash settlement of equity awards. Under the acquisition method, the fair value was allocated to the assets acquired, liabilities assumed, and noncontrolling interests.</w:t>
      </w:r>
      <w:r>
        <w:rPr>
          <w:spacing w:val="-2"/>
        </w:rPr>
        <w:t> </w:t>
      </w:r>
      <w:r>
        <w:rPr/>
        <w:t>T</w:t>
      </w:r>
      <w:r>
        <w:rPr>
          <w:color w:val="202529"/>
        </w:rPr>
        <w:t>he Company estimated fair value using level 1 inputs, level 2 inputs, and level 3 inputs. </w:t>
      </w:r>
      <w:r>
        <w:rPr/>
        <w:t>The estimated fair values of the identified intangible assets were determined using methodologies under the income approach based on significant inputs that were not observable. The intangible assets include trademarks, which is an indefinite-</w:t>
      </w:r>
      <w:r>
        <w:rPr/>
        <w:t>lived intangible asset, and customer lists and technology, which are finite-lived intangibles that are amortized over each of their estimated useful lives of five years. Goodwill</w:t>
      </w:r>
      <w:r>
        <w:rPr>
          <w:spacing w:val="-1"/>
        </w:rPr>
        <w:t> </w:t>
      </w:r>
      <w:r>
        <w:rPr/>
        <w:t>is</w:t>
      </w:r>
      <w:r>
        <w:rPr>
          <w:spacing w:val="-1"/>
        </w:rPr>
        <w:t> </w:t>
      </w:r>
      <w:r>
        <w:rPr/>
        <w:t>primarily</w:t>
      </w:r>
      <w:r>
        <w:rPr>
          <w:spacing w:val="-1"/>
        </w:rPr>
        <w:t> </w:t>
      </w:r>
      <w:r>
        <w:rPr/>
        <w:t>attributable</w:t>
      </w:r>
      <w:r>
        <w:rPr>
          <w:spacing w:val="-1"/>
        </w:rPr>
        <w:t> </w:t>
      </w:r>
      <w:r>
        <w:rPr/>
        <w:t>to</w:t>
      </w:r>
      <w:r>
        <w:rPr>
          <w:spacing w:val="-1"/>
        </w:rPr>
        <w:t> </w:t>
      </w:r>
      <w:r>
        <w:rPr/>
        <w:t>the</w:t>
      </w:r>
      <w:r>
        <w:rPr>
          <w:spacing w:val="-1"/>
        </w:rPr>
        <w:t> </w:t>
      </w:r>
      <w:r>
        <w:rPr/>
        <w:t>profitability</w:t>
      </w:r>
      <w:r>
        <w:rPr>
          <w:spacing w:val="-1"/>
        </w:rPr>
        <w:t> </w:t>
      </w:r>
      <w:r>
        <w:rPr/>
        <w:t>of</w:t>
      </w:r>
      <w:r>
        <w:rPr>
          <w:spacing w:val="-1"/>
        </w:rPr>
        <w:t> </w:t>
      </w:r>
      <w:r>
        <w:rPr/>
        <w:t>LeoVegas</w:t>
      </w:r>
      <w:r>
        <w:rPr>
          <w:spacing w:val="-1"/>
        </w:rPr>
        <w:t> </w:t>
      </w:r>
      <w:r>
        <w:rPr/>
        <w:t>in</w:t>
      </w:r>
      <w:r>
        <w:rPr>
          <w:spacing w:val="-1"/>
        </w:rPr>
        <w:t> </w:t>
      </w:r>
      <w:r>
        <w:rPr/>
        <w:t>excess</w:t>
      </w:r>
      <w:r>
        <w:rPr>
          <w:spacing w:val="-1"/>
        </w:rPr>
        <w:t> </w:t>
      </w:r>
      <w:r>
        <w:rPr/>
        <w:t>of</w:t>
      </w:r>
      <w:r>
        <w:rPr>
          <w:spacing w:val="-1"/>
        </w:rPr>
        <w:t> </w:t>
      </w:r>
      <w:r>
        <w:rPr/>
        <w:t>identifiable</w:t>
      </w:r>
      <w:r>
        <w:rPr>
          <w:spacing w:val="-1"/>
        </w:rPr>
        <w:t> </w:t>
      </w:r>
      <w:r>
        <w:rPr/>
        <w:t>assets</w:t>
      </w:r>
      <w:r>
        <w:rPr>
          <w:spacing w:val="-1"/>
        </w:rPr>
        <w:t> </w:t>
      </w:r>
      <w:r>
        <w:rPr/>
        <w:t>and</w:t>
      </w:r>
      <w:r>
        <w:rPr>
          <w:spacing w:val="-1"/>
        </w:rPr>
        <w:t> </w:t>
      </w:r>
      <w:r>
        <w:rPr/>
        <w:t>is</w:t>
      </w:r>
      <w:r>
        <w:rPr>
          <w:spacing w:val="-1"/>
        </w:rPr>
        <w:t> </w:t>
      </w:r>
      <w:r>
        <w:rPr/>
        <w:t>not</w:t>
      </w:r>
      <w:r>
        <w:rPr>
          <w:spacing w:val="-1"/>
        </w:rPr>
        <w:t> </w:t>
      </w:r>
      <w:r>
        <w:rPr/>
        <w:t>deductible</w:t>
      </w:r>
      <w:r>
        <w:rPr>
          <w:spacing w:val="-1"/>
        </w:rPr>
        <w:t> </w:t>
      </w:r>
      <w:r>
        <w:rPr/>
        <w:t>for</w:t>
      </w:r>
      <w:r>
        <w:rPr>
          <w:spacing w:val="-1"/>
        </w:rPr>
        <w:t> </w:t>
      </w:r>
      <w:r>
        <w:rPr/>
        <w:t>tax</w:t>
      </w:r>
      <w:r>
        <w:rPr>
          <w:spacing w:val="-1"/>
        </w:rPr>
        <w:t> </w:t>
      </w:r>
      <w:r>
        <w:rPr/>
        <w:t>purposes.</w:t>
      </w:r>
      <w:r>
        <w:rPr>
          <w:spacing w:val="-11"/>
        </w:rPr>
        <w:t> </w:t>
      </w:r>
      <w:r>
        <w:rPr/>
        <w:t>All</w:t>
      </w:r>
      <w:r>
        <w:rPr>
          <w:spacing w:val="-1"/>
        </w:rPr>
        <w:t> </w:t>
      </w:r>
      <w:r>
        <w:rPr/>
        <w:t>of</w:t>
      </w:r>
      <w:r>
        <w:rPr>
          <w:spacing w:val="-1"/>
        </w:rPr>
        <w:t> </w:t>
      </w:r>
      <w:r>
        <w:rPr/>
        <w:t>the</w:t>
      </w:r>
      <w:r>
        <w:rPr>
          <w:spacing w:val="-1"/>
        </w:rPr>
        <w:t> </w:t>
      </w:r>
      <w:r>
        <w:rPr/>
        <w:t>goodwill</w:t>
      </w:r>
      <w:r>
        <w:rPr>
          <w:spacing w:val="-1"/>
        </w:rPr>
        <w:t> </w:t>
      </w:r>
      <w:r>
        <w:rPr/>
        <w:t>was assigned to Corporate and other.</w:t>
      </w:r>
    </w:p>
    <w:p>
      <w:pPr>
        <w:pStyle w:val="BodyText"/>
        <w:spacing w:before="15"/>
      </w:pPr>
    </w:p>
    <w:p>
      <w:pPr>
        <w:pStyle w:val="BodyText"/>
        <w:ind w:right="5776"/>
        <w:jc w:val="right"/>
      </w:pPr>
      <w:r>
        <w:rPr/>
        <w:t>The</w:t>
      </w:r>
      <w:r>
        <w:rPr>
          <w:spacing w:val="-1"/>
        </w:rPr>
        <w:t> </w:t>
      </w:r>
      <w:r>
        <w:rPr/>
        <w:t>following</w:t>
      </w:r>
      <w:r>
        <w:rPr>
          <w:spacing w:val="-1"/>
        </w:rPr>
        <w:t> </w:t>
      </w:r>
      <w:r>
        <w:rPr/>
        <w:t>table</w:t>
      </w:r>
      <w:r>
        <w:rPr>
          <w:spacing w:val="-1"/>
        </w:rPr>
        <w:t> </w:t>
      </w:r>
      <w:r>
        <w:rPr/>
        <w:t>sets</w:t>
      </w:r>
      <w:r>
        <w:rPr>
          <w:spacing w:val="-1"/>
        </w:rPr>
        <w:t> </w:t>
      </w:r>
      <w:r>
        <w:rPr/>
        <w:t>forth</w:t>
      </w:r>
      <w:r>
        <w:rPr>
          <w:spacing w:val="-1"/>
        </w:rPr>
        <w:t> </w:t>
      </w:r>
      <w:r>
        <w:rPr/>
        <w:t>the</w:t>
      </w:r>
      <w:r>
        <w:rPr>
          <w:spacing w:val="-1"/>
        </w:rPr>
        <w:t> </w:t>
      </w:r>
      <w:r>
        <w:rPr/>
        <w:t>purchase</w:t>
      </w:r>
      <w:r>
        <w:rPr>
          <w:spacing w:val="-1"/>
        </w:rPr>
        <w:t> </w:t>
      </w:r>
      <w:r>
        <w:rPr/>
        <w:t>price</w:t>
      </w:r>
      <w:r>
        <w:rPr>
          <w:spacing w:val="-1"/>
        </w:rPr>
        <w:t> </w:t>
      </w:r>
      <w:r>
        <w:rPr/>
        <w:t>allocation</w:t>
      </w:r>
      <w:r>
        <w:rPr>
          <w:spacing w:val="-1"/>
        </w:rPr>
        <w:t> </w:t>
      </w:r>
      <w:r>
        <w:rPr/>
        <w:t>(in</w:t>
      </w:r>
      <w:r>
        <w:rPr>
          <w:spacing w:val="-1"/>
        </w:rPr>
        <w:t> </w:t>
      </w:r>
      <w:r>
        <w:rPr>
          <w:spacing w:val="-2"/>
        </w:rPr>
        <w:t>thousands):</w:t>
      </w:r>
    </w:p>
    <w:p>
      <w:pPr>
        <w:pStyle w:val="BodyText"/>
        <w:spacing w:before="2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1"/>
        <w:gridCol w:w="4164"/>
      </w:tblGrid>
      <w:tr>
        <w:trPr>
          <w:trHeight w:val="229" w:hRule="atLeast"/>
        </w:trPr>
        <w:tc>
          <w:tcPr>
            <w:tcW w:w="7351" w:type="dxa"/>
            <w:shd w:val="clear" w:color="auto" w:fill="CCEDFF"/>
          </w:tcPr>
          <w:p>
            <w:pPr>
              <w:pStyle w:val="TableParagraph"/>
              <w:spacing w:line="202" w:lineRule="exact" w:before="7"/>
              <w:ind w:left="17"/>
              <w:rPr>
                <w:sz w:val="18"/>
              </w:rPr>
            </w:pPr>
            <w:r>
              <w:rPr>
                <w:sz w:val="18"/>
              </w:rPr>
              <w:t>Cash</w:t>
            </w:r>
            <w:r>
              <w:rPr>
                <w:spacing w:val="-1"/>
                <w:sz w:val="18"/>
              </w:rPr>
              <w:t> </w:t>
            </w:r>
            <w:r>
              <w:rPr>
                <w:sz w:val="18"/>
              </w:rPr>
              <w:t>and</w:t>
            </w:r>
            <w:r>
              <w:rPr>
                <w:spacing w:val="-1"/>
                <w:sz w:val="18"/>
              </w:rPr>
              <w:t> </w:t>
            </w:r>
            <w:r>
              <w:rPr>
                <w:sz w:val="18"/>
              </w:rPr>
              <w:t>cash</w:t>
            </w:r>
            <w:r>
              <w:rPr>
                <w:spacing w:val="-1"/>
                <w:sz w:val="18"/>
              </w:rPr>
              <w:t> </w:t>
            </w:r>
            <w:r>
              <w:rPr>
                <w:spacing w:val="-2"/>
                <w:sz w:val="18"/>
              </w:rPr>
              <w:t>equivalents</w:t>
            </w:r>
          </w:p>
        </w:tc>
        <w:tc>
          <w:tcPr>
            <w:tcW w:w="4164" w:type="dxa"/>
            <w:shd w:val="clear" w:color="auto" w:fill="CCEDFF"/>
          </w:tcPr>
          <w:p>
            <w:pPr>
              <w:pStyle w:val="TableParagraph"/>
              <w:tabs>
                <w:tab w:pos="945" w:val="left" w:leader="none"/>
              </w:tabs>
              <w:spacing w:line="202" w:lineRule="exact" w:before="7"/>
              <w:ind w:right="70"/>
              <w:jc w:val="right"/>
              <w:rPr>
                <w:sz w:val="18"/>
              </w:rPr>
            </w:pPr>
            <w:r>
              <w:rPr>
                <w:spacing w:val="-10"/>
                <w:sz w:val="18"/>
              </w:rPr>
              <w:t>$</w:t>
            </w:r>
            <w:r>
              <w:rPr>
                <w:sz w:val="18"/>
              </w:rPr>
              <w:tab/>
            </w:r>
            <w:r>
              <w:rPr>
                <w:spacing w:val="-2"/>
                <w:sz w:val="18"/>
              </w:rPr>
              <w:t>93,407</w:t>
            </w:r>
          </w:p>
        </w:tc>
      </w:tr>
      <w:tr>
        <w:trPr>
          <w:trHeight w:val="242" w:hRule="atLeast"/>
        </w:trPr>
        <w:tc>
          <w:tcPr>
            <w:tcW w:w="7351" w:type="dxa"/>
          </w:tcPr>
          <w:p>
            <w:pPr>
              <w:pStyle w:val="TableParagraph"/>
              <w:spacing w:before="7"/>
              <w:ind w:left="17"/>
              <w:rPr>
                <w:sz w:val="18"/>
              </w:rPr>
            </w:pPr>
            <w:r>
              <w:rPr>
                <w:sz w:val="18"/>
              </w:rPr>
              <w:t>Receivables</w:t>
            </w:r>
            <w:r>
              <w:rPr>
                <w:spacing w:val="-1"/>
                <w:sz w:val="18"/>
              </w:rPr>
              <w:t> </w:t>
            </w:r>
            <w:r>
              <w:rPr>
                <w:sz w:val="18"/>
              </w:rPr>
              <w:t>and</w:t>
            </w:r>
            <w:r>
              <w:rPr>
                <w:spacing w:val="-1"/>
                <w:sz w:val="18"/>
              </w:rPr>
              <w:t> </w:t>
            </w:r>
            <w:r>
              <w:rPr>
                <w:sz w:val="18"/>
              </w:rPr>
              <w:t>other</w:t>
            </w:r>
            <w:r>
              <w:rPr>
                <w:spacing w:val="-1"/>
                <w:sz w:val="18"/>
              </w:rPr>
              <w:t> </w:t>
            </w:r>
            <w:r>
              <w:rPr>
                <w:sz w:val="18"/>
              </w:rPr>
              <w:t>current</w:t>
            </w:r>
            <w:r>
              <w:rPr>
                <w:spacing w:val="-1"/>
                <w:sz w:val="18"/>
              </w:rPr>
              <w:t> </w:t>
            </w:r>
            <w:r>
              <w:rPr>
                <w:spacing w:val="-2"/>
                <w:sz w:val="18"/>
              </w:rPr>
              <w:t>assets</w:t>
            </w:r>
          </w:p>
        </w:tc>
        <w:tc>
          <w:tcPr>
            <w:tcW w:w="4164" w:type="dxa"/>
          </w:tcPr>
          <w:p>
            <w:pPr>
              <w:pStyle w:val="TableParagraph"/>
              <w:spacing w:before="7"/>
              <w:ind w:right="70"/>
              <w:jc w:val="right"/>
              <w:rPr>
                <w:sz w:val="18"/>
              </w:rPr>
            </w:pPr>
            <w:r>
              <w:rPr>
                <w:spacing w:val="-2"/>
                <w:sz w:val="18"/>
              </w:rPr>
              <w:t>36,872</w:t>
            </w:r>
          </w:p>
        </w:tc>
      </w:tr>
      <w:tr>
        <w:trPr>
          <w:trHeight w:val="229" w:hRule="atLeast"/>
        </w:trPr>
        <w:tc>
          <w:tcPr>
            <w:tcW w:w="7351" w:type="dxa"/>
            <w:shd w:val="clear" w:color="auto" w:fill="CCEDFF"/>
          </w:tcPr>
          <w:p>
            <w:pPr>
              <w:pStyle w:val="TableParagraph"/>
              <w:spacing w:line="202" w:lineRule="exact" w:before="7"/>
              <w:ind w:left="17"/>
              <w:rPr>
                <w:sz w:val="18"/>
              </w:rPr>
            </w:pPr>
            <w:r>
              <w:rPr>
                <w:spacing w:val="-2"/>
                <w:sz w:val="18"/>
              </w:rPr>
              <w:t>Technology</w:t>
            </w:r>
          </w:p>
        </w:tc>
        <w:tc>
          <w:tcPr>
            <w:tcW w:w="4164" w:type="dxa"/>
            <w:shd w:val="clear" w:color="auto" w:fill="CCEDFF"/>
          </w:tcPr>
          <w:p>
            <w:pPr>
              <w:pStyle w:val="TableParagraph"/>
              <w:spacing w:line="202" w:lineRule="exact" w:before="7"/>
              <w:ind w:right="69"/>
              <w:jc w:val="right"/>
              <w:rPr>
                <w:sz w:val="18"/>
              </w:rPr>
            </w:pPr>
            <w:r>
              <w:rPr>
                <w:spacing w:val="-2"/>
                <w:sz w:val="18"/>
              </w:rPr>
              <w:t>109,027</w:t>
            </w:r>
          </w:p>
        </w:tc>
      </w:tr>
      <w:tr>
        <w:trPr>
          <w:trHeight w:val="229" w:hRule="atLeast"/>
        </w:trPr>
        <w:tc>
          <w:tcPr>
            <w:tcW w:w="7351" w:type="dxa"/>
          </w:tcPr>
          <w:p>
            <w:pPr>
              <w:pStyle w:val="TableParagraph"/>
              <w:spacing w:line="202" w:lineRule="exact" w:before="7"/>
              <w:ind w:left="17"/>
              <w:rPr>
                <w:sz w:val="18"/>
              </w:rPr>
            </w:pPr>
            <w:r>
              <w:rPr>
                <w:spacing w:val="-2"/>
                <w:sz w:val="18"/>
              </w:rPr>
              <w:t>Trademarks</w:t>
            </w:r>
          </w:p>
        </w:tc>
        <w:tc>
          <w:tcPr>
            <w:tcW w:w="4164" w:type="dxa"/>
          </w:tcPr>
          <w:p>
            <w:pPr>
              <w:pStyle w:val="TableParagraph"/>
              <w:spacing w:line="202" w:lineRule="exact" w:before="7"/>
              <w:ind w:right="69"/>
              <w:jc w:val="right"/>
              <w:rPr>
                <w:sz w:val="18"/>
              </w:rPr>
            </w:pPr>
            <w:r>
              <w:rPr>
                <w:spacing w:val="-2"/>
                <w:sz w:val="18"/>
              </w:rPr>
              <w:t>144,374</w:t>
            </w:r>
          </w:p>
        </w:tc>
      </w:tr>
      <w:tr>
        <w:trPr>
          <w:trHeight w:val="242" w:hRule="atLeast"/>
        </w:trPr>
        <w:tc>
          <w:tcPr>
            <w:tcW w:w="7351" w:type="dxa"/>
            <w:shd w:val="clear" w:color="auto" w:fill="CCEDFF"/>
          </w:tcPr>
          <w:p>
            <w:pPr>
              <w:pStyle w:val="TableParagraph"/>
              <w:spacing w:before="7"/>
              <w:ind w:left="17"/>
              <w:rPr>
                <w:sz w:val="18"/>
              </w:rPr>
            </w:pPr>
            <w:r>
              <w:rPr>
                <w:sz w:val="18"/>
              </w:rPr>
              <w:t>Customer</w:t>
            </w:r>
            <w:r>
              <w:rPr>
                <w:spacing w:val="-1"/>
                <w:sz w:val="18"/>
              </w:rPr>
              <w:t> </w:t>
            </w:r>
            <w:r>
              <w:rPr>
                <w:spacing w:val="-2"/>
                <w:sz w:val="18"/>
              </w:rPr>
              <w:t>lists</w:t>
            </w:r>
          </w:p>
        </w:tc>
        <w:tc>
          <w:tcPr>
            <w:tcW w:w="4164" w:type="dxa"/>
            <w:shd w:val="clear" w:color="auto" w:fill="CCEDFF"/>
          </w:tcPr>
          <w:p>
            <w:pPr>
              <w:pStyle w:val="TableParagraph"/>
              <w:spacing w:before="7"/>
              <w:ind w:right="69"/>
              <w:jc w:val="right"/>
              <w:rPr>
                <w:sz w:val="18"/>
              </w:rPr>
            </w:pPr>
            <w:r>
              <w:rPr>
                <w:spacing w:val="-2"/>
                <w:sz w:val="18"/>
              </w:rPr>
              <w:t>126,526</w:t>
            </w:r>
          </w:p>
        </w:tc>
      </w:tr>
      <w:tr>
        <w:trPr>
          <w:trHeight w:val="229" w:hRule="atLeast"/>
        </w:trPr>
        <w:tc>
          <w:tcPr>
            <w:tcW w:w="7351" w:type="dxa"/>
          </w:tcPr>
          <w:p>
            <w:pPr>
              <w:pStyle w:val="TableParagraph"/>
              <w:spacing w:line="202" w:lineRule="exact" w:before="7"/>
              <w:ind w:left="17"/>
              <w:rPr>
                <w:sz w:val="18"/>
              </w:rPr>
            </w:pPr>
            <w:r>
              <w:rPr>
                <w:spacing w:val="-2"/>
                <w:sz w:val="18"/>
              </w:rPr>
              <w:t>Goodwill</w:t>
            </w:r>
          </w:p>
        </w:tc>
        <w:tc>
          <w:tcPr>
            <w:tcW w:w="4164" w:type="dxa"/>
          </w:tcPr>
          <w:p>
            <w:pPr>
              <w:pStyle w:val="TableParagraph"/>
              <w:spacing w:line="202" w:lineRule="exact" w:before="7"/>
              <w:ind w:right="69"/>
              <w:jc w:val="right"/>
              <w:rPr>
                <w:sz w:val="18"/>
              </w:rPr>
            </w:pPr>
            <w:r>
              <w:rPr>
                <w:spacing w:val="-2"/>
                <w:sz w:val="18"/>
              </w:rPr>
              <w:t>288,367</w:t>
            </w:r>
          </w:p>
        </w:tc>
      </w:tr>
      <w:tr>
        <w:trPr>
          <w:trHeight w:val="229" w:hRule="atLeast"/>
        </w:trPr>
        <w:tc>
          <w:tcPr>
            <w:tcW w:w="7351" w:type="dxa"/>
            <w:shd w:val="clear" w:color="auto" w:fill="CCEDFF"/>
          </w:tcPr>
          <w:p>
            <w:pPr>
              <w:pStyle w:val="TableParagraph"/>
              <w:spacing w:line="202" w:lineRule="exact" w:before="7"/>
              <w:ind w:left="17"/>
              <w:rPr>
                <w:sz w:val="18"/>
              </w:rPr>
            </w:pPr>
            <w:r>
              <w:rPr>
                <w:sz w:val="18"/>
              </w:rPr>
              <w:t>Other</w:t>
            </w:r>
            <w:r>
              <w:rPr>
                <w:spacing w:val="-1"/>
                <w:sz w:val="18"/>
              </w:rPr>
              <w:t> </w:t>
            </w:r>
            <w:r>
              <w:rPr>
                <w:sz w:val="18"/>
              </w:rPr>
              <w:t>long-term</w:t>
            </w:r>
            <w:r>
              <w:rPr>
                <w:spacing w:val="-1"/>
                <w:sz w:val="18"/>
              </w:rPr>
              <w:t> </w:t>
            </w:r>
            <w:r>
              <w:rPr>
                <w:spacing w:val="-2"/>
                <w:sz w:val="18"/>
              </w:rPr>
              <w:t>assets</w:t>
            </w:r>
          </w:p>
        </w:tc>
        <w:tc>
          <w:tcPr>
            <w:tcW w:w="4164" w:type="dxa"/>
            <w:shd w:val="clear" w:color="auto" w:fill="CCEDFF"/>
          </w:tcPr>
          <w:p>
            <w:pPr>
              <w:pStyle w:val="TableParagraph"/>
              <w:spacing w:line="202" w:lineRule="exact" w:before="7"/>
              <w:ind w:right="70"/>
              <w:jc w:val="right"/>
              <w:rPr>
                <w:sz w:val="18"/>
              </w:rPr>
            </w:pPr>
            <w:r>
              <w:rPr>
                <w:spacing w:val="-2"/>
                <w:sz w:val="18"/>
              </w:rPr>
              <w:t>19,181</w:t>
            </w:r>
          </w:p>
        </w:tc>
      </w:tr>
      <w:tr>
        <w:trPr>
          <w:trHeight w:val="242" w:hRule="atLeast"/>
        </w:trPr>
        <w:tc>
          <w:tcPr>
            <w:tcW w:w="7351" w:type="dxa"/>
          </w:tcPr>
          <w:p>
            <w:pPr>
              <w:pStyle w:val="TableParagraph"/>
              <w:spacing w:before="7"/>
              <w:ind w:left="17"/>
              <w:rPr>
                <w:sz w:val="18"/>
              </w:rPr>
            </w:pPr>
            <w:r>
              <w:rPr>
                <w:sz w:val="18"/>
              </w:rPr>
              <w:t>Accounts</w:t>
            </w:r>
            <w:r>
              <w:rPr>
                <w:spacing w:val="-1"/>
                <w:sz w:val="18"/>
              </w:rPr>
              <w:t> </w:t>
            </w:r>
            <w:r>
              <w:rPr>
                <w:sz w:val="18"/>
              </w:rPr>
              <w:t>payable,</w:t>
            </w:r>
            <w:r>
              <w:rPr>
                <w:spacing w:val="-1"/>
                <w:sz w:val="18"/>
              </w:rPr>
              <w:t> </w:t>
            </w:r>
            <w:r>
              <w:rPr>
                <w:sz w:val="18"/>
              </w:rPr>
              <w:t>accrued</w:t>
            </w:r>
            <w:r>
              <w:rPr>
                <w:spacing w:val="-1"/>
                <w:sz w:val="18"/>
              </w:rPr>
              <w:t> </w:t>
            </w:r>
            <w:r>
              <w:rPr>
                <w:sz w:val="18"/>
              </w:rPr>
              <w:t>liabilities,</w:t>
            </w:r>
            <w:r>
              <w:rPr>
                <w:spacing w:val="-1"/>
                <w:sz w:val="18"/>
              </w:rPr>
              <w:t> </w:t>
            </w:r>
            <w:r>
              <w:rPr>
                <w:sz w:val="18"/>
              </w:rPr>
              <w:t>and</w:t>
            </w:r>
            <w:r>
              <w:rPr>
                <w:spacing w:val="-1"/>
                <w:sz w:val="18"/>
              </w:rPr>
              <w:t> </w:t>
            </w:r>
            <w:r>
              <w:rPr>
                <w:sz w:val="18"/>
              </w:rPr>
              <w:t>other</w:t>
            </w:r>
            <w:r>
              <w:rPr>
                <w:spacing w:val="-1"/>
                <w:sz w:val="18"/>
              </w:rPr>
              <w:t> </w:t>
            </w:r>
            <w:r>
              <w:rPr>
                <w:sz w:val="18"/>
              </w:rPr>
              <w:t>current</w:t>
            </w:r>
            <w:r>
              <w:rPr>
                <w:spacing w:val="-1"/>
                <w:sz w:val="18"/>
              </w:rPr>
              <w:t> </w:t>
            </w:r>
            <w:r>
              <w:rPr>
                <w:spacing w:val="-2"/>
                <w:sz w:val="18"/>
              </w:rPr>
              <w:t>liabilities</w:t>
            </w:r>
          </w:p>
        </w:tc>
        <w:tc>
          <w:tcPr>
            <w:tcW w:w="4164" w:type="dxa"/>
          </w:tcPr>
          <w:p>
            <w:pPr>
              <w:pStyle w:val="TableParagraph"/>
              <w:spacing w:before="7"/>
              <w:ind w:right="25"/>
              <w:jc w:val="right"/>
              <w:rPr>
                <w:sz w:val="18"/>
              </w:rPr>
            </w:pPr>
            <w:r>
              <w:rPr>
                <w:spacing w:val="-2"/>
                <w:sz w:val="18"/>
              </w:rPr>
              <w:t>(118,302)</w:t>
            </w:r>
          </w:p>
        </w:tc>
      </w:tr>
      <w:tr>
        <w:trPr>
          <w:trHeight w:val="229" w:hRule="atLeast"/>
        </w:trPr>
        <w:tc>
          <w:tcPr>
            <w:tcW w:w="7351" w:type="dxa"/>
            <w:shd w:val="clear" w:color="auto" w:fill="CCEDFF"/>
          </w:tcPr>
          <w:p>
            <w:pPr>
              <w:pStyle w:val="TableParagraph"/>
              <w:spacing w:line="202" w:lineRule="exact" w:before="7"/>
              <w:ind w:left="17"/>
              <w:rPr>
                <w:sz w:val="18"/>
              </w:rPr>
            </w:pPr>
            <w:r>
              <w:rPr>
                <w:spacing w:val="-4"/>
                <w:sz w:val="18"/>
              </w:rPr>
              <w:t>Debt</w:t>
            </w:r>
          </w:p>
        </w:tc>
        <w:tc>
          <w:tcPr>
            <w:tcW w:w="4164" w:type="dxa"/>
            <w:shd w:val="clear" w:color="auto" w:fill="CCEDFF"/>
          </w:tcPr>
          <w:p>
            <w:pPr>
              <w:pStyle w:val="TableParagraph"/>
              <w:spacing w:line="202" w:lineRule="exact" w:before="7"/>
              <w:ind w:right="24"/>
              <w:jc w:val="right"/>
              <w:rPr>
                <w:sz w:val="18"/>
              </w:rPr>
            </w:pPr>
            <w:r>
              <w:rPr>
                <w:spacing w:val="-2"/>
                <w:sz w:val="18"/>
              </w:rPr>
              <w:t>(104,439)</w:t>
            </w:r>
          </w:p>
        </w:tc>
      </w:tr>
      <w:tr>
        <w:trPr>
          <w:trHeight w:val="229" w:hRule="atLeast"/>
        </w:trPr>
        <w:tc>
          <w:tcPr>
            <w:tcW w:w="7351" w:type="dxa"/>
          </w:tcPr>
          <w:p>
            <w:pPr>
              <w:pStyle w:val="TableParagraph"/>
              <w:spacing w:line="202" w:lineRule="exact" w:before="7"/>
              <w:ind w:left="17"/>
              <w:rPr>
                <w:sz w:val="18"/>
              </w:rPr>
            </w:pPr>
            <w:r>
              <w:rPr>
                <w:sz w:val="18"/>
              </w:rPr>
              <w:t>Other</w:t>
            </w:r>
            <w:r>
              <w:rPr>
                <w:spacing w:val="-1"/>
                <w:sz w:val="18"/>
              </w:rPr>
              <w:t> </w:t>
            </w:r>
            <w:r>
              <w:rPr>
                <w:sz w:val="18"/>
              </w:rPr>
              <w:t>long-term</w:t>
            </w:r>
            <w:r>
              <w:rPr>
                <w:spacing w:val="-1"/>
                <w:sz w:val="18"/>
              </w:rPr>
              <w:t> </w:t>
            </w:r>
            <w:r>
              <w:rPr>
                <w:spacing w:val="-2"/>
                <w:sz w:val="18"/>
              </w:rPr>
              <w:t>liabilities</w:t>
            </w:r>
          </w:p>
        </w:tc>
        <w:tc>
          <w:tcPr>
            <w:tcW w:w="4164" w:type="dxa"/>
          </w:tcPr>
          <w:p>
            <w:pPr>
              <w:pStyle w:val="TableParagraph"/>
              <w:spacing w:line="202" w:lineRule="exact" w:before="7"/>
              <w:ind w:right="25"/>
              <w:jc w:val="right"/>
              <w:rPr>
                <w:sz w:val="18"/>
              </w:rPr>
            </w:pPr>
            <w:r>
              <w:rPr>
                <w:spacing w:val="-2"/>
                <w:sz w:val="18"/>
              </w:rPr>
              <w:t>(36,457)</w:t>
            </w:r>
          </w:p>
        </w:tc>
      </w:tr>
      <w:tr>
        <w:trPr>
          <w:trHeight w:val="249" w:hRule="atLeast"/>
        </w:trPr>
        <w:tc>
          <w:tcPr>
            <w:tcW w:w="7351" w:type="dxa"/>
            <w:shd w:val="clear" w:color="auto" w:fill="CCEDFF"/>
          </w:tcPr>
          <w:p>
            <w:pPr>
              <w:pStyle w:val="TableParagraph"/>
              <w:ind w:left="17"/>
              <w:rPr>
                <w:sz w:val="18"/>
              </w:rPr>
            </w:pPr>
            <w:r>
              <w:rPr>
                <w:sz w:val="18"/>
              </w:rPr>
              <w:t>Noncontrolling</w:t>
            </w:r>
            <w:r>
              <w:rPr>
                <w:spacing w:val="-1"/>
                <w:sz w:val="18"/>
              </w:rPr>
              <w:t> </w:t>
            </w:r>
            <w:r>
              <w:rPr>
                <w:spacing w:val="-2"/>
                <w:sz w:val="18"/>
              </w:rPr>
              <w:t>interests</w:t>
            </w:r>
          </w:p>
        </w:tc>
        <w:tc>
          <w:tcPr>
            <w:tcW w:w="4164" w:type="dxa"/>
            <w:shd w:val="clear" w:color="auto" w:fill="CCEDFF"/>
          </w:tcPr>
          <w:p>
            <w:pPr>
              <w:pStyle w:val="TableParagraph"/>
              <w:spacing w:before="7"/>
              <w:ind w:right="24"/>
              <w:jc w:val="right"/>
              <w:rPr>
                <w:sz w:val="18"/>
              </w:rPr>
            </w:pPr>
            <w:r>
              <w:rPr>
                <w:spacing w:val="-2"/>
                <w:sz w:val="18"/>
              </w:rPr>
              <w:t>(2,861)</w:t>
            </w:r>
          </w:p>
        </w:tc>
      </w:tr>
      <w:tr>
        <w:trPr>
          <w:trHeight w:val="290" w:hRule="atLeast"/>
        </w:trPr>
        <w:tc>
          <w:tcPr>
            <w:tcW w:w="7351" w:type="dxa"/>
          </w:tcPr>
          <w:p>
            <w:pPr>
              <w:pStyle w:val="TableParagraph"/>
              <w:spacing w:before="0"/>
              <w:rPr>
                <w:sz w:val="18"/>
              </w:rPr>
            </w:pPr>
          </w:p>
        </w:tc>
        <w:tc>
          <w:tcPr>
            <w:tcW w:w="4164" w:type="dxa"/>
          </w:tcPr>
          <w:p>
            <w:pPr>
              <w:pStyle w:val="TableParagraph"/>
              <w:tabs>
                <w:tab w:pos="855" w:val="left" w:leader="none"/>
              </w:tabs>
              <w:spacing w:before="14"/>
              <w:ind w:right="69"/>
              <w:jc w:val="right"/>
              <w:rPr>
                <w:sz w:val="18"/>
              </w:rPr>
            </w:pPr>
            <w:r>
              <w:rPr/>
              <mc:AlternateContent>
                <mc:Choice Requires="wps">
                  <w:drawing>
                    <wp:anchor distT="0" distB="0" distL="0" distR="0" allowOverlap="1" layoutInCell="1" locked="0" behindDoc="1" simplePos="0" relativeHeight="477712896">
                      <wp:simplePos x="0" y="0"/>
                      <wp:positionH relativeFrom="column">
                        <wp:posOffset>1675555</wp:posOffset>
                      </wp:positionH>
                      <wp:positionV relativeFrom="paragraph">
                        <wp:posOffset>149913</wp:posOffset>
                      </wp:positionV>
                      <wp:extent cx="969010" cy="34290"/>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969010" cy="34290"/>
                                <a:chExt cx="969010" cy="34290"/>
                              </a:xfrm>
                            </wpg:grpSpPr>
                            <wps:wsp>
                              <wps:cNvPr id="429" name="Graphic 429"/>
                              <wps:cNvSpPr/>
                              <wps:spPr>
                                <a:xfrm>
                                  <a:off x="-11" y="-9"/>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1.933502pt;margin-top:11.804194pt;width:76.3pt;height:2.7pt;mso-position-horizontal-relative:column;mso-position-vertical-relative:paragraph;z-index:-25603584" id="docshapegroup426" coordorigin="2639,236" coordsize="1526,54">
                      <v:shape style="position:absolute;left:2638;top:236;width:1526;height:54" id="docshape427" coordorigin="2639,236" coordsize="1526,54" path="m4164,277l4137,277,2747,277,2639,277,2639,290,2747,290,4137,290,4164,290,4164,277xm4164,236l4137,236,2747,236,2639,236,2639,250,2747,250,4137,250,4164,250,4164,236xe" filled="true" fillcolor="#000000" stroked="false">
                        <v:path arrowok="t"/>
                        <v:fill type="solid"/>
                      </v:shape>
                      <w10:wrap type="none"/>
                    </v:group>
                  </w:pict>
                </mc:Fallback>
              </mc:AlternateContent>
            </w:r>
            <w:r>
              <w:rPr>
                <w:spacing w:val="-10"/>
                <w:sz w:val="18"/>
              </w:rPr>
              <w:t>$</w:t>
            </w:r>
            <w:r>
              <w:rPr>
                <w:sz w:val="18"/>
              </w:rPr>
              <w:tab/>
            </w:r>
            <w:r>
              <w:rPr>
                <w:spacing w:val="-2"/>
                <w:sz w:val="18"/>
              </w:rPr>
              <w:t>555,695</w:t>
            </w:r>
          </w:p>
        </w:tc>
      </w:tr>
    </w:tbl>
    <w:p>
      <w:pPr>
        <w:pStyle w:val="BodyText"/>
        <w:spacing w:before="104"/>
      </w:pPr>
    </w:p>
    <w:p>
      <w:pPr>
        <w:pStyle w:val="BodyText"/>
        <w:spacing w:line="249" w:lineRule="auto" w:before="1"/>
        <w:ind w:left="144" w:right="118" w:firstLine="499"/>
        <w:jc w:val="both"/>
      </w:pPr>
      <w:r>
        <w:rPr/>
        <w:t>The</w:t>
      </w:r>
      <w:r>
        <w:rPr>
          <w:spacing w:val="-1"/>
        </w:rPr>
        <w:t> </w:t>
      </w:r>
      <w:r>
        <w:rPr/>
        <w:t>operating results</w:t>
      </w:r>
      <w:r>
        <w:rPr>
          <w:spacing w:val="-1"/>
        </w:rPr>
        <w:t> </w:t>
      </w:r>
      <w:r>
        <w:rPr/>
        <w:t>for LeoVegas</w:t>
      </w:r>
      <w:r>
        <w:rPr>
          <w:spacing w:val="-1"/>
        </w:rPr>
        <w:t> </w:t>
      </w:r>
      <w:r>
        <w:rPr/>
        <w:t>are included</w:t>
      </w:r>
      <w:r>
        <w:rPr>
          <w:spacing w:val="-1"/>
        </w:rPr>
        <w:t> </w:t>
      </w:r>
      <w:r>
        <w:rPr/>
        <w:t>in the</w:t>
      </w:r>
      <w:r>
        <w:rPr>
          <w:spacing w:val="-1"/>
        </w:rPr>
        <w:t> </w:t>
      </w:r>
      <w:r>
        <w:rPr/>
        <w:t>consolidated statements</w:t>
      </w:r>
      <w:r>
        <w:rPr>
          <w:spacing w:val="-1"/>
        </w:rPr>
        <w:t> </w:t>
      </w:r>
      <w:r>
        <w:rPr/>
        <w:t>of operations</w:t>
      </w:r>
      <w:r>
        <w:rPr>
          <w:spacing w:val="-1"/>
        </w:rPr>
        <w:t> </w:t>
      </w:r>
      <w:r>
        <w:rPr/>
        <w:t>from the</w:t>
      </w:r>
      <w:r>
        <w:rPr>
          <w:spacing w:val="-1"/>
        </w:rPr>
        <w:t> </w:t>
      </w:r>
      <w:r>
        <w:rPr/>
        <w:t>date of</w:t>
      </w:r>
      <w:r>
        <w:rPr>
          <w:spacing w:val="-1"/>
        </w:rPr>
        <w:t> </w:t>
      </w:r>
      <w:r>
        <w:rPr/>
        <w:t>acquisition. LeoVegas’</w:t>
      </w:r>
      <w:r>
        <w:rPr>
          <w:spacing w:val="-12"/>
        </w:rPr>
        <w:t> </w:t>
      </w:r>
      <w:r>
        <w:rPr/>
        <w:t>net revenue for</w:t>
      </w:r>
      <w:r>
        <w:rPr>
          <w:spacing w:val="-1"/>
        </w:rPr>
        <w:t> </w:t>
      </w:r>
      <w:r>
        <w:rPr/>
        <w:t>the period from September 7, 2022 through December 31, 2022 was $133 million and operating loss and net loss were $13 million and $15 million, respectively.</w:t>
      </w:r>
    </w:p>
    <w:p>
      <w:pPr>
        <w:pStyle w:val="BodyText"/>
        <w:spacing w:before="10"/>
      </w:pPr>
    </w:p>
    <w:p>
      <w:pPr>
        <w:pStyle w:val="BodyText"/>
        <w:spacing w:line="249" w:lineRule="auto"/>
        <w:ind w:left="144" w:right="117" w:firstLine="499"/>
        <w:jc w:val="both"/>
      </w:pPr>
      <w:r>
        <w:rPr>
          <w:b/>
        </w:rPr>
        <w:t>The Cosmopolitan acquisition. </w:t>
      </w:r>
      <w:r>
        <w:rPr/>
        <w:t>On May 17, 2022, the Company acquired 100% of the equity interests in the entities that own the operations of The Cosmopolitan</w:t>
      </w:r>
      <w:r>
        <w:rPr>
          <w:spacing w:val="-2"/>
        </w:rPr>
        <w:t> </w:t>
      </w:r>
      <w:r>
        <w:rPr/>
        <w:t>for</w:t>
      </w:r>
      <w:r>
        <w:rPr>
          <w:spacing w:val="-2"/>
        </w:rPr>
        <w:t> </w:t>
      </w:r>
      <w:r>
        <w:rPr/>
        <w:t>cash</w:t>
      </w:r>
      <w:r>
        <w:rPr>
          <w:spacing w:val="-2"/>
        </w:rPr>
        <w:t> </w:t>
      </w:r>
      <w:r>
        <w:rPr/>
        <w:t>consideration</w:t>
      </w:r>
      <w:r>
        <w:rPr>
          <w:spacing w:val="-2"/>
        </w:rPr>
        <w:t> </w:t>
      </w:r>
      <w:r>
        <w:rPr/>
        <w:t>of</w:t>
      </w:r>
      <w:r>
        <w:rPr>
          <w:spacing w:val="-2"/>
        </w:rPr>
        <w:t> </w:t>
      </w:r>
      <w:r>
        <w:rPr/>
        <w:t>$1.625</w:t>
      </w:r>
      <w:r>
        <w:rPr>
          <w:spacing w:val="-2"/>
        </w:rPr>
        <w:t> </w:t>
      </w:r>
      <w:r>
        <w:rPr/>
        <w:t>billion</w:t>
      </w:r>
      <w:r>
        <w:rPr>
          <w:spacing w:val="-2"/>
        </w:rPr>
        <w:t> </w:t>
      </w:r>
      <w:r>
        <w:rPr/>
        <w:t>plus</w:t>
      </w:r>
      <w:r>
        <w:rPr>
          <w:spacing w:val="-2"/>
        </w:rPr>
        <w:t> </w:t>
      </w:r>
      <w:r>
        <w:rPr/>
        <w:t>working</w:t>
      </w:r>
      <w:r>
        <w:rPr>
          <w:spacing w:val="-2"/>
        </w:rPr>
        <w:t> </w:t>
      </w:r>
      <w:r>
        <w:rPr/>
        <w:t>capital</w:t>
      </w:r>
      <w:r>
        <w:rPr>
          <w:spacing w:val="-2"/>
        </w:rPr>
        <w:t> </w:t>
      </w:r>
      <w:r>
        <w:rPr/>
        <w:t>adjustments</w:t>
      </w:r>
      <w:r>
        <w:rPr>
          <w:spacing w:val="-2"/>
        </w:rPr>
        <w:t> </w:t>
      </w:r>
      <w:r>
        <w:rPr/>
        <w:t>for</w:t>
      </w:r>
      <w:r>
        <w:rPr>
          <w:spacing w:val="-2"/>
        </w:rPr>
        <w:t> </w:t>
      </w:r>
      <w:r>
        <w:rPr/>
        <w:t>a</w:t>
      </w:r>
      <w:r>
        <w:rPr>
          <w:spacing w:val="-2"/>
        </w:rPr>
        <w:t> </w:t>
      </w:r>
      <w:r>
        <w:rPr/>
        <w:t>total</w:t>
      </w:r>
      <w:r>
        <w:rPr>
          <w:spacing w:val="-2"/>
        </w:rPr>
        <w:t> </w:t>
      </w:r>
      <w:r>
        <w:rPr/>
        <w:t>purchase</w:t>
      </w:r>
      <w:r>
        <w:rPr>
          <w:spacing w:val="-2"/>
        </w:rPr>
        <w:t> </w:t>
      </w:r>
      <w:r>
        <w:rPr/>
        <w:t>price</w:t>
      </w:r>
      <w:r>
        <w:rPr>
          <w:spacing w:val="-2"/>
        </w:rPr>
        <w:t> </w:t>
      </w:r>
      <w:r>
        <w:rPr/>
        <w:t>of</w:t>
      </w:r>
      <w:r>
        <w:rPr>
          <w:spacing w:val="-2"/>
        </w:rPr>
        <w:t> </w:t>
      </w:r>
      <w:r>
        <w:rPr/>
        <w:t>approximately</w:t>
      </w:r>
      <w:r>
        <w:rPr>
          <w:spacing w:val="-2"/>
        </w:rPr>
        <w:t> </w:t>
      </w:r>
      <w:r>
        <w:rPr/>
        <w:t>$1.7</w:t>
      </w:r>
      <w:r>
        <w:rPr>
          <w:spacing w:val="-2"/>
        </w:rPr>
        <w:t> </w:t>
      </w:r>
      <w:r>
        <w:rPr/>
        <w:t>billion.</w:t>
      </w:r>
      <w:r>
        <w:rPr>
          <w:spacing w:val="-5"/>
        </w:rPr>
        <w:t> </w:t>
      </w:r>
      <w:r>
        <w:rPr/>
        <w:t>The</w:t>
      </w:r>
      <w:r>
        <w:rPr>
          <w:spacing w:val="-2"/>
        </w:rPr>
        <w:t> </w:t>
      </w:r>
      <w:r>
        <w:rPr/>
        <w:t>acquisition expands the Company’s customer base and provides a greater depth of choices and experiences for guests in Las Vegas.</w:t>
      </w:r>
    </w:p>
    <w:p>
      <w:pPr>
        <w:pStyle w:val="BodyText"/>
        <w:spacing w:before="11"/>
      </w:pPr>
    </w:p>
    <w:p>
      <w:pPr>
        <w:pStyle w:val="BodyText"/>
        <w:spacing w:line="249" w:lineRule="auto"/>
        <w:ind w:left="144" w:right="118" w:firstLine="499"/>
        <w:jc w:val="both"/>
      </w:pPr>
      <w:r>
        <w:rPr/>
        <w:t>The Company recognized 100% of the acquired assets and assumed liabilities at fair value at the date of the acquisition. Under the acquisition </w:t>
      </w:r>
      <w:r>
        <w:rPr/>
        <w:t>method, the fair value was allocated to the assets acquired and liabilities assumed in the transaction. The Company estimated fair value using level 1 inputs, level 2 inputs, and level 3 inputs. The estimated fair values of the identified intangible assets were determined using methodologies under the income approach based on significant inputs that were not observable.</w:t>
      </w:r>
      <w:r>
        <w:rPr>
          <w:spacing w:val="-2"/>
        </w:rPr>
        <w:t> </w:t>
      </w:r>
      <w:r>
        <w:rPr/>
        <w:t>The intangible assets include trademarks, which is an indefinite-lived intangible asset, and customer lists, which is amortized over its estimated useful life of seven years. Goodwill, which is deductible for</w:t>
      </w:r>
    </w:p>
    <w:p>
      <w:pPr>
        <w:pStyle w:val="BodyText"/>
      </w:pPr>
    </w:p>
    <w:p>
      <w:pPr>
        <w:pStyle w:val="BodyText"/>
        <w:spacing w:before="184"/>
      </w:pPr>
    </w:p>
    <w:p>
      <w:pPr>
        <w:pStyle w:val="BodyText"/>
        <w:ind w:right="5785"/>
        <w:jc w:val="right"/>
      </w:pPr>
      <w:r>
        <w:rPr>
          <w:spacing w:val="-5"/>
        </w:rPr>
        <w:t>72</w:t>
      </w:r>
    </w:p>
    <w:p>
      <w:pPr>
        <w:pStyle w:val="BodyText"/>
        <w:spacing w:before="3"/>
        <w:rPr>
          <w:sz w:val="6"/>
        </w:rPr>
      </w:pPr>
      <w:r>
        <w:rPr/>
        <mc:AlternateContent>
          <mc:Choice Requires="wps">
            <w:drawing>
              <wp:anchor distT="0" distB="0" distL="0" distR="0" allowOverlap="1" layoutInCell="1" locked="0" behindDoc="1" simplePos="0" relativeHeight="487671296">
                <wp:simplePos x="0" y="0"/>
                <wp:positionH relativeFrom="page">
                  <wp:posOffset>231457</wp:posOffset>
                </wp:positionH>
                <wp:positionV relativeFrom="paragraph">
                  <wp:posOffset>60956</wp:posOffset>
                </wp:positionV>
                <wp:extent cx="7312659" cy="17145"/>
                <wp:effectExtent l="0" t="0" r="0" b="0"/>
                <wp:wrapTopAndBottom/>
                <wp:docPr id="430" name="Group 430"/>
                <wp:cNvGraphicFramePr>
                  <a:graphicFrameLocks/>
                </wp:cNvGraphicFramePr>
                <a:graphic>
                  <a:graphicData uri="http://schemas.microsoft.com/office/word/2010/wordprocessingGroup">
                    <wpg:wgp>
                      <wpg:cNvPr id="430" name="Group 430"/>
                      <wpg:cNvGrpSpPr/>
                      <wpg:grpSpPr>
                        <a:xfrm>
                          <a:off x="0" y="0"/>
                          <a:ext cx="7312659" cy="17145"/>
                          <a:chExt cx="7312659" cy="17145"/>
                        </a:xfrm>
                      </wpg:grpSpPr>
                      <wps:wsp>
                        <wps:cNvPr id="431" name="Graphic 43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32" name="Graphic 432"/>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33" name="Graphic 43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5184;mso-wrap-distance-left:0;mso-wrap-distance-right:0" id="docshapegroup428" coordorigin="364,96" coordsize="11516,27">
                <v:rect style="position:absolute;left:364;top:96;width:11516;height:14" id="docshape429" filled="true" fillcolor="#999999" stroked="false">
                  <v:fill type="solid"/>
                </v:rect>
                <v:shape style="position:absolute;left:364;top:95;width:11516;height:27" id="docshape430" coordorigin="364,96" coordsize="11516,27" path="m11880,96l11866,109,364,109,364,123,11866,123,11880,123,11880,109,11880,96xe" filled="true" fillcolor="#ededed" stroked="false">
                  <v:path arrowok="t"/>
                  <v:fill type="solid"/>
                </v:shape>
                <v:shape style="position:absolute;left:364;top:96;width:14;height:27" id="docshape43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9" w:lineRule="auto" w:before="63"/>
        <w:ind w:left="144"/>
      </w:pPr>
      <w:r>
        <w:rPr/>
        <w:t>tax purposes, is primarily attributable to the profitability of</w:t>
      </w:r>
      <w:r>
        <w:rPr>
          <w:spacing w:val="-2"/>
        </w:rPr>
        <w:t> </w:t>
      </w:r>
      <w:r>
        <w:rPr/>
        <w:t>The Cosmopolitan in excess of identifiable assets as well as expected synergies.</w:t>
      </w:r>
      <w:r>
        <w:rPr>
          <w:spacing w:val="-9"/>
        </w:rPr>
        <w:t> </w:t>
      </w:r>
      <w:r>
        <w:rPr/>
        <w:t>All of the goodwill was assigned to the Las Vegas Strip Resorts segment.</w:t>
      </w:r>
    </w:p>
    <w:p>
      <w:pPr>
        <w:pStyle w:val="BodyText"/>
        <w:spacing w:before="10"/>
      </w:pPr>
    </w:p>
    <w:p>
      <w:pPr>
        <w:pStyle w:val="BodyText"/>
        <w:ind w:right="5776"/>
        <w:jc w:val="right"/>
      </w:pPr>
      <w:r>
        <w:rPr/>
        <w:t>The</w:t>
      </w:r>
      <w:r>
        <w:rPr>
          <w:spacing w:val="-1"/>
        </w:rPr>
        <w:t> </w:t>
      </w:r>
      <w:r>
        <w:rPr/>
        <w:t>following</w:t>
      </w:r>
      <w:r>
        <w:rPr>
          <w:spacing w:val="-1"/>
        </w:rPr>
        <w:t> </w:t>
      </w:r>
      <w:r>
        <w:rPr/>
        <w:t>table</w:t>
      </w:r>
      <w:r>
        <w:rPr>
          <w:spacing w:val="-1"/>
        </w:rPr>
        <w:t> </w:t>
      </w:r>
      <w:r>
        <w:rPr/>
        <w:t>sets</w:t>
      </w:r>
      <w:r>
        <w:rPr>
          <w:spacing w:val="-1"/>
        </w:rPr>
        <w:t> </w:t>
      </w:r>
      <w:r>
        <w:rPr/>
        <w:t>forth</w:t>
      </w:r>
      <w:r>
        <w:rPr>
          <w:spacing w:val="-1"/>
        </w:rPr>
        <w:t> </w:t>
      </w:r>
      <w:r>
        <w:rPr/>
        <w:t>the</w:t>
      </w:r>
      <w:r>
        <w:rPr>
          <w:spacing w:val="-1"/>
        </w:rPr>
        <w:t> </w:t>
      </w:r>
      <w:r>
        <w:rPr/>
        <w:t>purchase</w:t>
      </w:r>
      <w:r>
        <w:rPr>
          <w:spacing w:val="-1"/>
        </w:rPr>
        <w:t> </w:t>
      </w:r>
      <w:r>
        <w:rPr/>
        <w:t>price</w:t>
      </w:r>
      <w:r>
        <w:rPr>
          <w:spacing w:val="-1"/>
        </w:rPr>
        <w:t> </w:t>
      </w:r>
      <w:r>
        <w:rPr/>
        <w:t>allocation</w:t>
      </w:r>
      <w:r>
        <w:rPr>
          <w:spacing w:val="-1"/>
        </w:rPr>
        <w:t> </w:t>
      </w:r>
      <w:r>
        <w:rPr/>
        <w:t>(in</w:t>
      </w:r>
      <w:r>
        <w:rPr>
          <w:spacing w:val="-1"/>
        </w:rPr>
        <w:t> </w:t>
      </w:r>
      <w:r>
        <w:rPr>
          <w:spacing w:val="-2"/>
        </w:rPr>
        <w:t>thousands):</w:t>
      </w:r>
    </w:p>
    <w:p>
      <w:pPr>
        <w:pStyle w:val="BodyText"/>
        <w:spacing w:before="2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1"/>
        <w:gridCol w:w="4164"/>
      </w:tblGrid>
      <w:tr>
        <w:trPr>
          <w:trHeight w:val="229" w:hRule="atLeast"/>
        </w:trPr>
        <w:tc>
          <w:tcPr>
            <w:tcW w:w="7351" w:type="dxa"/>
            <w:shd w:val="clear" w:color="auto" w:fill="CCEDFF"/>
          </w:tcPr>
          <w:p>
            <w:pPr>
              <w:pStyle w:val="TableParagraph"/>
              <w:spacing w:line="202" w:lineRule="exact" w:before="7"/>
              <w:ind w:left="17"/>
              <w:rPr>
                <w:sz w:val="18"/>
              </w:rPr>
            </w:pPr>
            <w:r>
              <w:rPr>
                <w:sz w:val="18"/>
              </w:rPr>
              <w:t>Cash</w:t>
            </w:r>
            <w:r>
              <w:rPr>
                <w:spacing w:val="-1"/>
                <w:sz w:val="18"/>
              </w:rPr>
              <w:t> </w:t>
            </w:r>
            <w:r>
              <w:rPr>
                <w:sz w:val="18"/>
              </w:rPr>
              <w:t>and</w:t>
            </w:r>
            <w:r>
              <w:rPr>
                <w:spacing w:val="-1"/>
                <w:sz w:val="18"/>
              </w:rPr>
              <w:t> </w:t>
            </w:r>
            <w:r>
              <w:rPr>
                <w:sz w:val="18"/>
              </w:rPr>
              <w:t>cash</w:t>
            </w:r>
            <w:r>
              <w:rPr>
                <w:spacing w:val="-1"/>
                <w:sz w:val="18"/>
              </w:rPr>
              <w:t> </w:t>
            </w:r>
            <w:r>
              <w:rPr>
                <w:spacing w:val="-2"/>
                <w:sz w:val="18"/>
              </w:rPr>
              <w:t>equivalents</w:t>
            </w:r>
          </w:p>
        </w:tc>
        <w:tc>
          <w:tcPr>
            <w:tcW w:w="4164" w:type="dxa"/>
            <w:shd w:val="clear" w:color="auto" w:fill="CCEDFF"/>
          </w:tcPr>
          <w:p>
            <w:pPr>
              <w:pStyle w:val="TableParagraph"/>
              <w:tabs>
                <w:tab w:pos="945" w:val="left" w:leader="none"/>
              </w:tabs>
              <w:spacing w:line="202" w:lineRule="exact" w:before="7"/>
              <w:ind w:right="70"/>
              <w:jc w:val="right"/>
              <w:rPr>
                <w:sz w:val="18"/>
              </w:rPr>
            </w:pPr>
            <w:r>
              <w:rPr>
                <w:spacing w:val="-10"/>
                <w:sz w:val="18"/>
              </w:rPr>
              <w:t>$</w:t>
            </w:r>
            <w:r>
              <w:rPr>
                <w:sz w:val="18"/>
              </w:rPr>
              <w:tab/>
            </w:r>
            <w:r>
              <w:rPr>
                <w:spacing w:val="-2"/>
                <w:sz w:val="18"/>
              </w:rPr>
              <w:t>80,670</w:t>
            </w:r>
          </w:p>
        </w:tc>
      </w:tr>
      <w:tr>
        <w:trPr>
          <w:trHeight w:val="242" w:hRule="atLeast"/>
        </w:trPr>
        <w:tc>
          <w:tcPr>
            <w:tcW w:w="7351" w:type="dxa"/>
          </w:tcPr>
          <w:p>
            <w:pPr>
              <w:pStyle w:val="TableParagraph"/>
              <w:spacing w:before="7"/>
              <w:ind w:left="17"/>
              <w:rPr>
                <w:sz w:val="18"/>
              </w:rPr>
            </w:pPr>
            <w:r>
              <w:rPr>
                <w:sz w:val="18"/>
              </w:rPr>
              <w:t>Receivables</w:t>
            </w:r>
            <w:r>
              <w:rPr>
                <w:spacing w:val="-1"/>
                <w:sz w:val="18"/>
              </w:rPr>
              <w:t> </w:t>
            </w:r>
            <w:r>
              <w:rPr>
                <w:sz w:val="18"/>
              </w:rPr>
              <w:t>and</w:t>
            </w:r>
            <w:r>
              <w:rPr>
                <w:spacing w:val="-1"/>
                <w:sz w:val="18"/>
              </w:rPr>
              <w:t> </w:t>
            </w:r>
            <w:r>
              <w:rPr>
                <w:sz w:val="18"/>
              </w:rPr>
              <w:t>other</w:t>
            </w:r>
            <w:r>
              <w:rPr>
                <w:spacing w:val="-1"/>
                <w:sz w:val="18"/>
              </w:rPr>
              <w:t> </w:t>
            </w:r>
            <w:r>
              <w:rPr>
                <w:sz w:val="18"/>
              </w:rPr>
              <w:t>current</w:t>
            </w:r>
            <w:r>
              <w:rPr>
                <w:spacing w:val="-1"/>
                <w:sz w:val="18"/>
              </w:rPr>
              <w:t> </w:t>
            </w:r>
            <w:r>
              <w:rPr>
                <w:spacing w:val="-2"/>
                <w:sz w:val="18"/>
              </w:rPr>
              <w:t>assets</w:t>
            </w:r>
          </w:p>
        </w:tc>
        <w:tc>
          <w:tcPr>
            <w:tcW w:w="4164" w:type="dxa"/>
          </w:tcPr>
          <w:p>
            <w:pPr>
              <w:pStyle w:val="TableParagraph"/>
              <w:spacing w:before="7"/>
              <w:ind w:right="70"/>
              <w:jc w:val="right"/>
              <w:rPr>
                <w:sz w:val="18"/>
              </w:rPr>
            </w:pPr>
            <w:r>
              <w:rPr>
                <w:spacing w:val="-2"/>
                <w:sz w:val="18"/>
              </w:rPr>
              <w:t>94,354</w:t>
            </w:r>
          </w:p>
        </w:tc>
      </w:tr>
      <w:tr>
        <w:trPr>
          <w:trHeight w:val="229" w:hRule="atLeast"/>
        </w:trPr>
        <w:tc>
          <w:tcPr>
            <w:tcW w:w="7351" w:type="dxa"/>
            <w:shd w:val="clear" w:color="auto" w:fill="CCEDFF"/>
          </w:tcPr>
          <w:p>
            <w:pPr>
              <w:pStyle w:val="TableParagraph"/>
              <w:spacing w:line="202" w:lineRule="exact" w:before="7"/>
              <w:ind w:left="17"/>
              <w:rPr>
                <w:sz w:val="18"/>
              </w:rPr>
            </w:pPr>
            <w:r>
              <w:rPr>
                <w:sz w:val="18"/>
              </w:rPr>
              <w:t>Property</w:t>
            </w:r>
            <w:r>
              <w:rPr>
                <w:spacing w:val="-1"/>
                <w:sz w:val="18"/>
              </w:rPr>
              <w:t> </w:t>
            </w:r>
            <w:r>
              <w:rPr>
                <w:sz w:val="18"/>
              </w:rPr>
              <w:t>and</w:t>
            </w:r>
            <w:r>
              <w:rPr>
                <w:spacing w:val="-1"/>
                <w:sz w:val="18"/>
              </w:rPr>
              <w:t> </w:t>
            </w:r>
            <w:r>
              <w:rPr>
                <w:spacing w:val="-2"/>
                <w:sz w:val="18"/>
              </w:rPr>
              <w:t>equipment</w:t>
            </w:r>
          </w:p>
        </w:tc>
        <w:tc>
          <w:tcPr>
            <w:tcW w:w="4164" w:type="dxa"/>
            <w:shd w:val="clear" w:color="auto" w:fill="CCEDFF"/>
          </w:tcPr>
          <w:p>
            <w:pPr>
              <w:pStyle w:val="TableParagraph"/>
              <w:spacing w:line="202" w:lineRule="exact" w:before="7"/>
              <w:ind w:right="70"/>
              <w:jc w:val="right"/>
              <w:rPr>
                <w:sz w:val="18"/>
              </w:rPr>
            </w:pPr>
            <w:r>
              <w:rPr>
                <w:spacing w:val="-2"/>
                <w:sz w:val="18"/>
              </w:rPr>
              <w:t>120,912</w:t>
            </w:r>
          </w:p>
        </w:tc>
      </w:tr>
      <w:tr>
        <w:trPr>
          <w:trHeight w:val="229" w:hRule="atLeast"/>
        </w:trPr>
        <w:tc>
          <w:tcPr>
            <w:tcW w:w="7351" w:type="dxa"/>
          </w:tcPr>
          <w:p>
            <w:pPr>
              <w:pStyle w:val="TableParagraph"/>
              <w:spacing w:line="202" w:lineRule="exact" w:before="7"/>
              <w:ind w:left="17"/>
              <w:rPr>
                <w:sz w:val="18"/>
              </w:rPr>
            </w:pPr>
            <w:r>
              <w:rPr>
                <w:spacing w:val="-2"/>
                <w:sz w:val="18"/>
              </w:rPr>
              <w:t>Trademarks</w:t>
            </w:r>
          </w:p>
        </w:tc>
        <w:tc>
          <w:tcPr>
            <w:tcW w:w="4164" w:type="dxa"/>
          </w:tcPr>
          <w:p>
            <w:pPr>
              <w:pStyle w:val="TableParagraph"/>
              <w:spacing w:line="202" w:lineRule="exact" w:before="7"/>
              <w:ind w:right="70"/>
              <w:jc w:val="right"/>
              <w:rPr>
                <w:sz w:val="18"/>
              </w:rPr>
            </w:pPr>
            <w:r>
              <w:rPr>
                <w:spacing w:val="-2"/>
                <w:sz w:val="18"/>
              </w:rPr>
              <w:t>130,000</w:t>
            </w:r>
          </w:p>
        </w:tc>
      </w:tr>
      <w:tr>
        <w:trPr>
          <w:trHeight w:val="242" w:hRule="atLeast"/>
        </w:trPr>
        <w:tc>
          <w:tcPr>
            <w:tcW w:w="7351" w:type="dxa"/>
            <w:shd w:val="clear" w:color="auto" w:fill="CCEDFF"/>
          </w:tcPr>
          <w:p>
            <w:pPr>
              <w:pStyle w:val="TableParagraph"/>
              <w:spacing w:before="7"/>
              <w:ind w:left="17"/>
              <w:rPr>
                <w:sz w:val="18"/>
              </w:rPr>
            </w:pPr>
            <w:r>
              <w:rPr>
                <w:sz w:val="18"/>
              </w:rPr>
              <w:t>Customer</w:t>
            </w:r>
            <w:r>
              <w:rPr>
                <w:spacing w:val="-1"/>
                <w:sz w:val="18"/>
              </w:rPr>
              <w:t> </w:t>
            </w:r>
            <w:r>
              <w:rPr>
                <w:spacing w:val="-2"/>
                <w:sz w:val="18"/>
              </w:rPr>
              <w:t>lists</w:t>
            </w:r>
          </w:p>
        </w:tc>
        <w:tc>
          <w:tcPr>
            <w:tcW w:w="4164" w:type="dxa"/>
            <w:shd w:val="clear" w:color="auto" w:fill="CCEDFF"/>
          </w:tcPr>
          <w:p>
            <w:pPr>
              <w:pStyle w:val="TableParagraph"/>
              <w:spacing w:before="7"/>
              <w:ind w:right="70"/>
              <w:jc w:val="right"/>
              <w:rPr>
                <w:sz w:val="18"/>
              </w:rPr>
            </w:pPr>
            <w:r>
              <w:rPr>
                <w:spacing w:val="-2"/>
                <w:sz w:val="18"/>
              </w:rPr>
              <w:t>95,000</w:t>
            </w:r>
          </w:p>
        </w:tc>
      </w:tr>
      <w:tr>
        <w:trPr>
          <w:trHeight w:val="229" w:hRule="atLeast"/>
        </w:trPr>
        <w:tc>
          <w:tcPr>
            <w:tcW w:w="7351" w:type="dxa"/>
          </w:tcPr>
          <w:p>
            <w:pPr>
              <w:pStyle w:val="TableParagraph"/>
              <w:spacing w:line="202" w:lineRule="exact" w:before="7"/>
              <w:ind w:left="17"/>
              <w:rPr>
                <w:sz w:val="18"/>
              </w:rPr>
            </w:pPr>
            <w:r>
              <w:rPr>
                <w:spacing w:val="-2"/>
                <w:sz w:val="18"/>
              </w:rPr>
              <w:t>Goodwill</w:t>
            </w:r>
          </w:p>
        </w:tc>
        <w:tc>
          <w:tcPr>
            <w:tcW w:w="4164" w:type="dxa"/>
          </w:tcPr>
          <w:p>
            <w:pPr>
              <w:pStyle w:val="TableParagraph"/>
              <w:spacing w:line="202" w:lineRule="exact" w:before="7"/>
              <w:ind w:right="70"/>
              <w:jc w:val="right"/>
              <w:rPr>
                <w:sz w:val="18"/>
              </w:rPr>
            </w:pPr>
            <w:r>
              <w:rPr>
                <w:spacing w:val="-2"/>
                <w:sz w:val="18"/>
              </w:rPr>
              <w:t>1,289,468</w:t>
            </w:r>
          </w:p>
        </w:tc>
      </w:tr>
      <w:tr>
        <w:trPr>
          <w:trHeight w:val="229" w:hRule="atLeast"/>
        </w:trPr>
        <w:tc>
          <w:tcPr>
            <w:tcW w:w="7351" w:type="dxa"/>
            <w:shd w:val="clear" w:color="auto" w:fill="CCEDFF"/>
          </w:tcPr>
          <w:p>
            <w:pPr>
              <w:pStyle w:val="TableParagraph"/>
              <w:spacing w:line="202" w:lineRule="exact" w:before="7"/>
              <w:ind w:left="17"/>
              <w:rPr>
                <w:sz w:val="18"/>
              </w:rPr>
            </w:pPr>
            <w:r>
              <w:rPr>
                <w:sz w:val="18"/>
              </w:rPr>
              <w:t>Operating</w:t>
            </w:r>
            <w:r>
              <w:rPr>
                <w:spacing w:val="-1"/>
                <w:sz w:val="18"/>
              </w:rPr>
              <w:t> </w:t>
            </w:r>
            <w:r>
              <w:rPr>
                <w:sz w:val="18"/>
              </w:rPr>
              <w:t>lease</w:t>
            </w:r>
            <w:r>
              <w:rPr>
                <w:spacing w:val="-1"/>
                <w:sz w:val="18"/>
              </w:rPr>
              <w:t> </w:t>
            </w:r>
            <w:r>
              <w:rPr>
                <w:sz w:val="18"/>
              </w:rPr>
              <w:t>right-of-use-assets,</w:t>
            </w:r>
            <w:r>
              <w:rPr>
                <w:spacing w:val="-1"/>
                <w:sz w:val="18"/>
              </w:rPr>
              <w:t> </w:t>
            </w:r>
            <w:r>
              <w:rPr>
                <w:spacing w:val="-5"/>
                <w:sz w:val="18"/>
              </w:rPr>
              <w:t>net</w:t>
            </w:r>
          </w:p>
        </w:tc>
        <w:tc>
          <w:tcPr>
            <w:tcW w:w="4164" w:type="dxa"/>
            <w:shd w:val="clear" w:color="auto" w:fill="CCEDFF"/>
          </w:tcPr>
          <w:p>
            <w:pPr>
              <w:pStyle w:val="TableParagraph"/>
              <w:spacing w:line="202" w:lineRule="exact" w:before="7"/>
              <w:ind w:right="70"/>
              <w:jc w:val="right"/>
              <w:rPr>
                <w:sz w:val="18"/>
              </w:rPr>
            </w:pPr>
            <w:r>
              <w:rPr>
                <w:spacing w:val="-2"/>
                <w:sz w:val="18"/>
              </w:rPr>
              <w:t>3,404,894</w:t>
            </w:r>
          </w:p>
        </w:tc>
      </w:tr>
      <w:tr>
        <w:trPr>
          <w:trHeight w:val="242" w:hRule="atLeast"/>
        </w:trPr>
        <w:tc>
          <w:tcPr>
            <w:tcW w:w="7351" w:type="dxa"/>
          </w:tcPr>
          <w:p>
            <w:pPr>
              <w:pStyle w:val="TableParagraph"/>
              <w:spacing w:before="7"/>
              <w:ind w:left="17"/>
              <w:rPr>
                <w:sz w:val="18"/>
              </w:rPr>
            </w:pPr>
            <w:r>
              <w:rPr>
                <w:sz w:val="18"/>
              </w:rPr>
              <w:t>Other</w:t>
            </w:r>
            <w:r>
              <w:rPr>
                <w:spacing w:val="-1"/>
                <w:sz w:val="18"/>
              </w:rPr>
              <w:t> </w:t>
            </w:r>
            <w:r>
              <w:rPr>
                <w:sz w:val="18"/>
              </w:rPr>
              <w:t>long-</w:t>
            </w:r>
            <w:r>
              <w:rPr>
                <w:spacing w:val="-1"/>
                <w:sz w:val="18"/>
              </w:rPr>
              <w:t> </w:t>
            </w:r>
            <w:r>
              <w:rPr>
                <w:sz w:val="18"/>
              </w:rPr>
              <w:t>term</w:t>
            </w:r>
            <w:r>
              <w:rPr>
                <w:spacing w:val="-1"/>
                <w:sz w:val="18"/>
              </w:rPr>
              <w:t> </w:t>
            </w:r>
            <w:r>
              <w:rPr>
                <w:spacing w:val="-2"/>
                <w:sz w:val="18"/>
              </w:rPr>
              <w:t>assets</w:t>
            </w:r>
          </w:p>
        </w:tc>
        <w:tc>
          <w:tcPr>
            <w:tcW w:w="4164" w:type="dxa"/>
          </w:tcPr>
          <w:p>
            <w:pPr>
              <w:pStyle w:val="TableParagraph"/>
              <w:spacing w:before="7"/>
              <w:ind w:right="70"/>
              <w:jc w:val="right"/>
              <w:rPr>
                <w:sz w:val="18"/>
              </w:rPr>
            </w:pPr>
            <w:r>
              <w:rPr>
                <w:spacing w:val="-2"/>
                <w:sz w:val="18"/>
              </w:rPr>
              <w:t>23,709</w:t>
            </w:r>
          </w:p>
        </w:tc>
      </w:tr>
      <w:tr>
        <w:trPr>
          <w:trHeight w:val="229" w:hRule="atLeast"/>
        </w:trPr>
        <w:tc>
          <w:tcPr>
            <w:tcW w:w="7351" w:type="dxa"/>
            <w:shd w:val="clear" w:color="auto" w:fill="CCEDFF"/>
          </w:tcPr>
          <w:p>
            <w:pPr>
              <w:pStyle w:val="TableParagraph"/>
              <w:spacing w:line="202" w:lineRule="exact" w:before="7"/>
              <w:ind w:left="17"/>
              <w:rPr>
                <w:sz w:val="18"/>
              </w:rPr>
            </w:pPr>
            <w:r>
              <w:rPr>
                <w:sz w:val="18"/>
              </w:rPr>
              <w:t>Accounts</w:t>
            </w:r>
            <w:r>
              <w:rPr>
                <w:spacing w:val="-1"/>
                <w:sz w:val="18"/>
              </w:rPr>
              <w:t> </w:t>
            </w:r>
            <w:r>
              <w:rPr>
                <w:sz w:val="18"/>
              </w:rPr>
              <w:t>payable,</w:t>
            </w:r>
            <w:r>
              <w:rPr>
                <w:spacing w:val="-1"/>
                <w:sz w:val="18"/>
              </w:rPr>
              <w:t> </w:t>
            </w:r>
            <w:r>
              <w:rPr>
                <w:sz w:val="18"/>
              </w:rPr>
              <w:t>accrued</w:t>
            </w:r>
            <w:r>
              <w:rPr>
                <w:spacing w:val="-1"/>
                <w:sz w:val="18"/>
              </w:rPr>
              <w:t> </w:t>
            </w:r>
            <w:r>
              <w:rPr>
                <w:sz w:val="18"/>
              </w:rPr>
              <w:t>liabilities,</w:t>
            </w:r>
            <w:r>
              <w:rPr>
                <w:spacing w:val="-1"/>
                <w:sz w:val="18"/>
              </w:rPr>
              <w:t> </w:t>
            </w:r>
            <w:r>
              <w:rPr>
                <w:sz w:val="18"/>
              </w:rPr>
              <w:t>and</w:t>
            </w:r>
            <w:r>
              <w:rPr>
                <w:spacing w:val="-1"/>
                <w:sz w:val="18"/>
              </w:rPr>
              <w:t> </w:t>
            </w:r>
            <w:r>
              <w:rPr>
                <w:sz w:val="18"/>
              </w:rPr>
              <w:t>other</w:t>
            </w:r>
            <w:r>
              <w:rPr>
                <w:spacing w:val="-1"/>
                <w:sz w:val="18"/>
              </w:rPr>
              <w:t> </w:t>
            </w:r>
            <w:r>
              <w:rPr>
                <w:sz w:val="18"/>
              </w:rPr>
              <w:t>current</w:t>
            </w:r>
            <w:r>
              <w:rPr>
                <w:spacing w:val="-1"/>
                <w:sz w:val="18"/>
              </w:rPr>
              <w:t> </w:t>
            </w:r>
            <w:r>
              <w:rPr>
                <w:spacing w:val="-2"/>
                <w:sz w:val="18"/>
              </w:rPr>
              <w:t>liabilities</w:t>
            </w:r>
          </w:p>
        </w:tc>
        <w:tc>
          <w:tcPr>
            <w:tcW w:w="4164" w:type="dxa"/>
            <w:shd w:val="clear" w:color="auto" w:fill="CCEDFF"/>
          </w:tcPr>
          <w:p>
            <w:pPr>
              <w:pStyle w:val="TableParagraph"/>
              <w:spacing w:line="202" w:lineRule="exact" w:before="7"/>
              <w:ind w:right="25"/>
              <w:jc w:val="right"/>
              <w:rPr>
                <w:sz w:val="18"/>
              </w:rPr>
            </w:pPr>
            <w:r>
              <w:rPr>
                <w:spacing w:val="-2"/>
                <w:sz w:val="18"/>
              </w:rPr>
              <w:t>(145,136)</w:t>
            </w:r>
          </w:p>
        </w:tc>
      </w:tr>
      <w:tr>
        <w:trPr>
          <w:trHeight w:val="229" w:hRule="atLeast"/>
        </w:trPr>
        <w:tc>
          <w:tcPr>
            <w:tcW w:w="7351" w:type="dxa"/>
          </w:tcPr>
          <w:p>
            <w:pPr>
              <w:pStyle w:val="TableParagraph"/>
              <w:spacing w:line="202" w:lineRule="exact" w:before="7"/>
              <w:ind w:left="17"/>
              <w:rPr>
                <w:sz w:val="18"/>
              </w:rPr>
            </w:pPr>
            <w:r>
              <w:rPr>
                <w:sz w:val="18"/>
              </w:rPr>
              <w:t>Operating</w:t>
            </w:r>
            <w:r>
              <w:rPr>
                <w:spacing w:val="-1"/>
                <w:sz w:val="18"/>
              </w:rPr>
              <w:t> </w:t>
            </w:r>
            <w:r>
              <w:rPr>
                <w:sz w:val="18"/>
              </w:rPr>
              <w:t>lease</w:t>
            </w:r>
            <w:r>
              <w:rPr>
                <w:spacing w:val="-1"/>
                <w:sz w:val="18"/>
              </w:rPr>
              <w:t> </w:t>
            </w:r>
            <w:r>
              <w:rPr>
                <w:spacing w:val="-2"/>
                <w:sz w:val="18"/>
              </w:rPr>
              <w:t>liabilities</w:t>
            </w:r>
          </w:p>
        </w:tc>
        <w:tc>
          <w:tcPr>
            <w:tcW w:w="4164" w:type="dxa"/>
          </w:tcPr>
          <w:p>
            <w:pPr>
              <w:pStyle w:val="TableParagraph"/>
              <w:spacing w:line="202" w:lineRule="exact" w:before="7"/>
              <w:ind w:right="25"/>
              <w:jc w:val="right"/>
              <w:rPr>
                <w:sz w:val="18"/>
              </w:rPr>
            </w:pPr>
            <w:r>
              <w:rPr>
                <w:spacing w:val="-2"/>
                <w:sz w:val="18"/>
              </w:rPr>
              <w:t>(3,401,815)</w:t>
            </w:r>
          </w:p>
        </w:tc>
      </w:tr>
      <w:tr>
        <w:trPr>
          <w:trHeight w:val="236" w:hRule="atLeast"/>
        </w:trPr>
        <w:tc>
          <w:tcPr>
            <w:tcW w:w="7351" w:type="dxa"/>
            <w:shd w:val="clear" w:color="auto" w:fill="CCEDFF"/>
          </w:tcPr>
          <w:p>
            <w:pPr>
              <w:pStyle w:val="TableParagraph"/>
              <w:spacing w:line="195" w:lineRule="exact"/>
              <w:ind w:left="17"/>
              <w:rPr>
                <w:sz w:val="18"/>
              </w:rPr>
            </w:pPr>
            <w:r>
              <w:rPr>
                <w:sz w:val="18"/>
              </w:rPr>
              <w:t>Other</w:t>
            </w:r>
            <w:r>
              <w:rPr>
                <w:spacing w:val="-1"/>
                <w:sz w:val="18"/>
              </w:rPr>
              <w:t> </w:t>
            </w:r>
            <w:r>
              <w:rPr>
                <w:sz w:val="18"/>
              </w:rPr>
              <w:t>long-term</w:t>
            </w:r>
            <w:r>
              <w:rPr>
                <w:spacing w:val="-1"/>
                <w:sz w:val="18"/>
              </w:rPr>
              <w:t> </w:t>
            </w:r>
            <w:r>
              <w:rPr>
                <w:spacing w:val="-2"/>
                <w:sz w:val="18"/>
              </w:rPr>
              <w:t>liabilities</w:t>
            </w:r>
          </w:p>
        </w:tc>
        <w:tc>
          <w:tcPr>
            <w:tcW w:w="4164" w:type="dxa"/>
            <w:shd w:val="clear" w:color="auto" w:fill="CCEDFF"/>
          </w:tcPr>
          <w:p>
            <w:pPr>
              <w:pStyle w:val="TableParagraph"/>
              <w:spacing w:before="7"/>
              <w:ind w:right="25"/>
              <w:jc w:val="right"/>
              <w:rPr>
                <w:sz w:val="18"/>
              </w:rPr>
            </w:pPr>
            <w:r>
              <w:rPr>
                <w:spacing w:val="-2"/>
                <w:sz w:val="18"/>
              </w:rPr>
              <w:t>(1,570)</w:t>
            </w:r>
          </w:p>
        </w:tc>
      </w:tr>
      <w:tr>
        <w:trPr>
          <w:trHeight w:val="303" w:hRule="atLeast"/>
        </w:trPr>
        <w:tc>
          <w:tcPr>
            <w:tcW w:w="7351" w:type="dxa"/>
          </w:tcPr>
          <w:p>
            <w:pPr>
              <w:pStyle w:val="TableParagraph"/>
              <w:spacing w:before="0"/>
              <w:rPr>
                <w:sz w:val="18"/>
              </w:rPr>
            </w:pPr>
          </w:p>
        </w:tc>
        <w:tc>
          <w:tcPr>
            <w:tcW w:w="4164" w:type="dxa"/>
          </w:tcPr>
          <w:p>
            <w:pPr>
              <w:pStyle w:val="TableParagraph"/>
              <w:tabs>
                <w:tab w:pos="720" w:val="left" w:leader="none"/>
              </w:tabs>
              <w:spacing w:before="14"/>
              <w:ind w:right="70"/>
              <w:jc w:val="right"/>
              <w:rPr>
                <w:sz w:val="18"/>
              </w:rPr>
            </w:pPr>
            <w:r>
              <w:rPr/>
              <mc:AlternateContent>
                <mc:Choice Requires="wps">
                  <w:drawing>
                    <wp:anchor distT="0" distB="0" distL="0" distR="0" allowOverlap="1" layoutInCell="1" locked="0" behindDoc="1" simplePos="0" relativeHeight="477713920">
                      <wp:simplePos x="0" y="0"/>
                      <wp:positionH relativeFrom="column">
                        <wp:posOffset>1675756</wp:posOffset>
                      </wp:positionH>
                      <wp:positionV relativeFrom="paragraph">
                        <wp:posOffset>158486</wp:posOffset>
                      </wp:positionV>
                      <wp:extent cx="969010" cy="3429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969010" cy="34290"/>
                                <a:chExt cx="969010" cy="34290"/>
                              </a:xfrm>
                            </wpg:grpSpPr>
                            <wps:wsp>
                              <wps:cNvPr id="435" name="Graphic 435"/>
                              <wps:cNvSpPr/>
                              <wps:spPr>
                                <a:xfrm>
                                  <a:off x="-11" y="-9"/>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1.949326pt;margin-top:12.479226pt;width:76.3pt;height:2.7pt;mso-position-horizontal-relative:column;mso-position-vertical-relative:paragraph;z-index:-25602560" id="docshapegroup432" coordorigin="2639,250" coordsize="1526,54">
                      <v:shape style="position:absolute;left:2638;top:249;width:1526;height:54" id="docshape433" coordorigin="2639,250" coordsize="1526,54" path="m4164,290l4137,290,2747,290,2639,290,2639,304,2747,304,4137,304,4164,304,4164,290xm4164,250l4137,250,2747,250,2639,250,2639,263,2747,263,4137,263,4164,263,4164,250xe" filled="true" fillcolor="#000000" stroked="false">
                        <v:path arrowok="t"/>
                        <v:fill type="solid"/>
                      </v:shape>
                      <w10:wrap type="none"/>
                    </v:group>
                  </w:pict>
                </mc:Fallback>
              </mc:AlternateContent>
            </w:r>
            <w:r>
              <w:rPr>
                <w:spacing w:val="-10"/>
                <w:sz w:val="18"/>
              </w:rPr>
              <w:t>$</w:t>
            </w:r>
            <w:r>
              <w:rPr>
                <w:sz w:val="18"/>
              </w:rPr>
              <w:tab/>
            </w:r>
            <w:r>
              <w:rPr>
                <w:spacing w:val="-2"/>
                <w:sz w:val="18"/>
              </w:rPr>
              <w:t>1,690,486</w:t>
            </w:r>
          </w:p>
        </w:tc>
      </w:tr>
    </w:tbl>
    <w:p>
      <w:pPr>
        <w:pStyle w:val="BodyText"/>
        <w:spacing w:before="91"/>
      </w:pPr>
    </w:p>
    <w:p>
      <w:pPr>
        <w:pStyle w:val="BodyText"/>
        <w:spacing w:line="249" w:lineRule="auto"/>
        <w:ind w:left="144" w:right="118" w:firstLine="499"/>
        <w:jc w:val="both"/>
      </w:pPr>
      <w:r>
        <w:rPr/>
        <w:t>The operating results for The Cosmopolitan are included in the consolidated statements of operations from the date of acquisition. The </w:t>
      </w:r>
      <w:r>
        <w:rPr/>
        <w:t>Cosmopolitan’s net</w:t>
      </w:r>
      <w:r>
        <w:rPr>
          <w:spacing w:val="14"/>
        </w:rPr>
        <w:t> </w:t>
      </w:r>
      <w:r>
        <w:rPr/>
        <w:t>revenue</w:t>
      </w:r>
      <w:r>
        <w:rPr>
          <w:spacing w:val="17"/>
        </w:rPr>
        <w:t> </w:t>
      </w:r>
      <w:r>
        <w:rPr/>
        <w:t>for</w:t>
      </w:r>
      <w:r>
        <w:rPr>
          <w:spacing w:val="17"/>
        </w:rPr>
        <w:t> </w:t>
      </w:r>
      <w:r>
        <w:rPr/>
        <w:t>the</w:t>
      </w:r>
      <w:r>
        <w:rPr>
          <w:spacing w:val="16"/>
        </w:rPr>
        <w:t> </w:t>
      </w:r>
      <w:r>
        <w:rPr/>
        <w:t>period</w:t>
      </w:r>
      <w:r>
        <w:rPr>
          <w:spacing w:val="17"/>
        </w:rPr>
        <w:t> </w:t>
      </w:r>
      <w:r>
        <w:rPr/>
        <w:t>from</w:t>
      </w:r>
      <w:r>
        <w:rPr>
          <w:spacing w:val="17"/>
        </w:rPr>
        <w:t> </w:t>
      </w:r>
      <w:r>
        <w:rPr/>
        <w:t>May</w:t>
      </w:r>
      <w:r>
        <w:rPr>
          <w:spacing w:val="17"/>
        </w:rPr>
        <w:t> </w:t>
      </w:r>
      <w:r>
        <w:rPr/>
        <w:t>17,</w:t>
      </w:r>
      <w:r>
        <w:rPr>
          <w:spacing w:val="16"/>
        </w:rPr>
        <w:t> </w:t>
      </w:r>
      <w:r>
        <w:rPr/>
        <w:t>2022</w:t>
      </w:r>
      <w:r>
        <w:rPr>
          <w:spacing w:val="17"/>
        </w:rPr>
        <w:t> </w:t>
      </w:r>
      <w:r>
        <w:rPr/>
        <w:t>through</w:t>
      </w:r>
      <w:r>
        <w:rPr>
          <w:spacing w:val="17"/>
        </w:rPr>
        <w:t> </w:t>
      </w:r>
      <w:r>
        <w:rPr/>
        <w:t>December</w:t>
      </w:r>
      <w:r>
        <w:rPr>
          <w:spacing w:val="16"/>
        </w:rPr>
        <w:t> </w:t>
      </w:r>
      <w:r>
        <w:rPr/>
        <w:t>31,</w:t>
      </w:r>
      <w:r>
        <w:rPr>
          <w:spacing w:val="17"/>
        </w:rPr>
        <w:t> </w:t>
      </w:r>
      <w:r>
        <w:rPr/>
        <w:t>2022</w:t>
      </w:r>
      <w:r>
        <w:rPr>
          <w:spacing w:val="17"/>
        </w:rPr>
        <w:t> </w:t>
      </w:r>
      <w:r>
        <w:rPr/>
        <w:t>was</w:t>
      </w:r>
      <w:r>
        <w:rPr>
          <w:spacing w:val="17"/>
        </w:rPr>
        <w:t> </w:t>
      </w:r>
      <w:r>
        <w:rPr/>
        <w:t>$783</w:t>
      </w:r>
      <w:r>
        <w:rPr>
          <w:spacing w:val="16"/>
        </w:rPr>
        <w:t> </w:t>
      </w:r>
      <w:r>
        <w:rPr/>
        <w:t>million</w:t>
      </w:r>
      <w:r>
        <w:rPr>
          <w:spacing w:val="17"/>
        </w:rPr>
        <w:t> </w:t>
      </w:r>
      <w:r>
        <w:rPr/>
        <w:t>and</w:t>
      </w:r>
      <w:r>
        <w:rPr>
          <w:spacing w:val="17"/>
        </w:rPr>
        <w:t> </w:t>
      </w:r>
      <w:r>
        <w:rPr/>
        <w:t>operating</w:t>
      </w:r>
      <w:r>
        <w:rPr>
          <w:spacing w:val="16"/>
        </w:rPr>
        <w:t> </w:t>
      </w:r>
      <w:r>
        <w:rPr/>
        <w:t>income</w:t>
      </w:r>
      <w:r>
        <w:rPr>
          <w:spacing w:val="17"/>
        </w:rPr>
        <w:t> </w:t>
      </w:r>
      <w:r>
        <w:rPr/>
        <w:t>and</w:t>
      </w:r>
      <w:r>
        <w:rPr>
          <w:spacing w:val="17"/>
        </w:rPr>
        <w:t> </w:t>
      </w:r>
      <w:r>
        <w:rPr/>
        <w:t>net</w:t>
      </w:r>
      <w:r>
        <w:rPr>
          <w:spacing w:val="17"/>
        </w:rPr>
        <w:t> </w:t>
      </w:r>
      <w:r>
        <w:rPr/>
        <w:t>income</w:t>
      </w:r>
      <w:r>
        <w:rPr>
          <w:spacing w:val="16"/>
        </w:rPr>
        <w:t> </w:t>
      </w:r>
      <w:r>
        <w:rPr/>
        <w:t>were</w:t>
      </w:r>
      <w:r>
        <w:rPr>
          <w:spacing w:val="17"/>
        </w:rPr>
        <w:t> </w:t>
      </w:r>
      <w:r>
        <w:rPr/>
        <w:t>$117</w:t>
      </w:r>
      <w:r>
        <w:rPr>
          <w:spacing w:val="17"/>
        </w:rPr>
        <w:t> </w:t>
      </w:r>
      <w:r>
        <w:rPr/>
        <w:t>million</w:t>
      </w:r>
      <w:r>
        <w:rPr>
          <w:spacing w:val="17"/>
        </w:rPr>
        <w:t> </w:t>
      </w:r>
      <w:r>
        <w:rPr>
          <w:spacing w:val="-5"/>
        </w:rPr>
        <w:t>and</w:t>
      </w:r>
    </w:p>
    <w:p>
      <w:pPr>
        <w:pStyle w:val="BodyText"/>
        <w:spacing w:before="2"/>
        <w:ind w:left="144"/>
      </w:pPr>
      <w:r>
        <w:rPr/>
        <w:t>$117</w:t>
      </w:r>
      <w:r>
        <w:rPr>
          <w:spacing w:val="-5"/>
        </w:rPr>
        <w:t> </w:t>
      </w:r>
      <w:r>
        <w:rPr/>
        <w:t>million,</w:t>
      </w:r>
      <w:r>
        <w:rPr>
          <w:spacing w:val="-4"/>
        </w:rPr>
        <w:t> </w:t>
      </w:r>
      <w:r>
        <w:rPr>
          <w:spacing w:val="-2"/>
        </w:rPr>
        <w:t>respectively.</w:t>
      </w:r>
    </w:p>
    <w:p>
      <w:pPr>
        <w:pStyle w:val="BodyText"/>
        <w:spacing w:before="17"/>
      </w:pPr>
    </w:p>
    <w:p>
      <w:pPr>
        <w:pStyle w:val="BodyText"/>
        <w:spacing w:before="1"/>
        <w:ind w:left="144" w:right="118" w:firstLine="499"/>
        <w:jc w:val="both"/>
      </w:pPr>
      <w:r>
        <w:rPr>
          <w:b/>
        </w:rPr>
        <w:t>CityCenter acquisition. </w:t>
      </w:r>
      <w:r>
        <w:rPr>
          <w:color w:val="202529"/>
        </w:rPr>
        <w:t>On September 27, 2021, the Company acquired Infinity World’s 50% ownership interest in CityCenter for cash </w:t>
      </w:r>
      <w:r>
        <w:rPr>
          <w:color w:val="202529"/>
        </w:rPr>
        <w:t>consideration of $2.125 billion. </w:t>
      </w:r>
      <w:r>
        <w:rPr/>
        <w:t>Prior to the acquisition, the Company held a 50% ownership interest, which was accounted for under the equity method. Through the acquisition, the Company obtained 100% of the equity interests and therefore consolidated CityCenter as of September 27, 2021. The fair value of the equity interests was determined by the transaction price and equaled $4.25 billion. The carrying value of the Company’s equity method investment was less than its share of the fair value of CityCenter at the acquisition date, resulting in a net gain of $1.6 billion upon consolidation, which was recognized as “Gain on consolidation of CityCenter, net” on the consolidated statements of operations.</w:t>
      </w:r>
    </w:p>
    <w:p>
      <w:pPr>
        <w:pStyle w:val="BodyText"/>
        <w:spacing w:before="9"/>
      </w:pPr>
    </w:p>
    <w:p>
      <w:pPr>
        <w:pStyle w:val="BodyText"/>
        <w:spacing w:line="242" w:lineRule="auto"/>
        <w:ind w:left="144" w:right="118" w:firstLine="499"/>
        <w:jc w:val="both"/>
      </w:pPr>
      <w:r>
        <w:rPr/>
        <w:t>On September 28, 2021, the Company sold the real estate assets of Aria and Vdara for cash consideration of $3.89 billion and entered into a lease agreement</w:t>
      </w:r>
      <w:r>
        <w:rPr>
          <w:spacing w:val="-1"/>
        </w:rPr>
        <w:t> </w:t>
      </w:r>
      <w:r>
        <w:rPr/>
        <w:t>pursuant</w:t>
      </w:r>
      <w:r>
        <w:rPr>
          <w:spacing w:val="-1"/>
        </w:rPr>
        <w:t> </w:t>
      </w:r>
      <w:r>
        <w:rPr/>
        <w:t>to</w:t>
      </w:r>
      <w:r>
        <w:rPr>
          <w:spacing w:val="-1"/>
        </w:rPr>
        <w:t> </w:t>
      </w:r>
      <w:r>
        <w:rPr/>
        <w:t>which</w:t>
      </w:r>
      <w:r>
        <w:rPr>
          <w:spacing w:val="-1"/>
        </w:rPr>
        <w:t> </w:t>
      </w:r>
      <w:r>
        <w:rPr/>
        <w:t>the</w:t>
      </w:r>
      <w:r>
        <w:rPr>
          <w:spacing w:val="-1"/>
        </w:rPr>
        <w:t> </w:t>
      </w:r>
      <w:r>
        <w:rPr/>
        <w:t>Company</w:t>
      </w:r>
      <w:r>
        <w:rPr>
          <w:spacing w:val="-1"/>
        </w:rPr>
        <w:t> </w:t>
      </w:r>
      <w:r>
        <w:rPr/>
        <w:t>leases</w:t>
      </w:r>
      <w:r>
        <w:rPr>
          <w:spacing w:val="-1"/>
        </w:rPr>
        <w:t> </w:t>
      </w:r>
      <w:r>
        <w:rPr/>
        <w:t>back</w:t>
      </w:r>
      <w:r>
        <w:rPr>
          <w:spacing w:val="-1"/>
        </w:rPr>
        <w:t> </w:t>
      </w:r>
      <w:r>
        <w:rPr/>
        <w:t>the</w:t>
      </w:r>
      <w:r>
        <w:rPr>
          <w:spacing w:val="-1"/>
        </w:rPr>
        <w:t> </w:t>
      </w:r>
      <w:r>
        <w:rPr/>
        <w:t>real</w:t>
      </w:r>
      <w:r>
        <w:rPr>
          <w:spacing w:val="-1"/>
        </w:rPr>
        <w:t> </w:t>
      </w:r>
      <w:r>
        <w:rPr/>
        <w:t>property.</w:t>
      </w:r>
      <w:r>
        <w:rPr>
          <w:spacing w:val="-4"/>
        </w:rPr>
        <w:t> </w:t>
      </w:r>
      <w:r>
        <w:rPr/>
        <w:t>The</w:t>
      </w:r>
      <w:r>
        <w:rPr>
          <w:spacing w:val="-1"/>
        </w:rPr>
        <w:t> </w:t>
      </w:r>
      <w:r>
        <w:rPr/>
        <w:t>Company</w:t>
      </w:r>
      <w:r>
        <w:rPr>
          <w:spacing w:val="-1"/>
        </w:rPr>
        <w:t> </w:t>
      </w:r>
      <w:r>
        <w:rPr/>
        <w:t>classified</w:t>
      </w:r>
      <w:r>
        <w:rPr>
          <w:spacing w:val="-1"/>
        </w:rPr>
        <w:t> </w:t>
      </w:r>
      <w:r>
        <w:rPr/>
        <w:t>the</w:t>
      </w:r>
      <w:r>
        <w:rPr>
          <w:spacing w:val="-1"/>
        </w:rPr>
        <w:t> </w:t>
      </w:r>
      <w:r>
        <w:rPr/>
        <w:t>real</w:t>
      </w:r>
      <w:r>
        <w:rPr>
          <w:spacing w:val="-1"/>
        </w:rPr>
        <w:t> </w:t>
      </w:r>
      <w:r>
        <w:rPr/>
        <w:t>estate</w:t>
      </w:r>
      <w:r>
        <w:rPr>
          <w:spacing w:val="-1"/>
        </w:rPr>
        <w:t> </w:t>
      </w:r>
      <w:r>
        <w:rPr/>
        <w:t>assets</w:t>
      </w:r>
      <w:r>
        <w:rPr>
          <w:spacing w:val="-1"/>
        </w:rPr>
        <w:t> </w:t>
      </w:r>
      <w:r>
        <w:rPr/>
        <w:t>as</w:t>
      </w:r>
      <w:r>
        <w:rPr>
          <w:spacing w:val="-1"/>
        </w:rPr>
        <w:t> </w:t>
      </w:r>
      <w:r>
        <w:rPr/>
        <w:t>held</w:t>
      </w:r>
      <w:r>
        <w:rPr>
          <w:spacing w:val="-1"/>
        </w:rPr>
        <w:t> </w:t>
      </w:r>
      <w:r>
        <w:rPr/>
        <w:t>for</w:t>
      </w:r>
      <w:r>
        <w:rPr>
          <w:spacing w:val="-1"/>
        </w:rPr>
        <w:t> </w:t>
      </w:r>
      <w:r>
        <w:rPr/>
        <w:t>sale</w:t>
      </w:r>
      <w:r>
        <w:rPr>
          <w:spacing w:val="-1"/>
        </w:rPr>
        <w:t> </w:t>
      </w:r>
      <w:r>
        <w:rPr/>
        <w:t>as</w:t>
      </w:r>
      <w:r>
        <w:rPr>
          <w:spacing w:val="-1"/>
        </w:rPr>
        <w:t> </w:t>
      </w:r>
      <w:r>
        <w:rPr/>
        <w:t>of</w:t>
      </w:r>
      <w:r>
        <w:rPr>
          <w:spacing w:val="-1"/>
        </w:rPr>
        <w:t> </w:t>
      </w:r>
      <w:r>
        <w:rPr/>
        <w:t>the</w:t>
      </w:r>
      <w:r>
        <w:rPr>
          <w:spacing w:val="-1"/>
        </w:rPr>
        <w:t> </w:t>
      </w:r>
      <w:r>
        <w:rPr/>
        <w:t>acquisition</w:t>
      </w:r>
      <w:r>
        <w:rPr>
          <w:spacing w:val="-1"/>
        </w:rPr>
        <w:t> </w:t>
      </w:r>
      <w:r>
        <w:rPr/>
        <w:t>date and accordingly measured the real estate assets at fair value less costs to sell, as reflected in the table below. See Note 11 for discussion of the lease.</w:t>
      </w:r>
    </w:p>
    <w:p>
      <w:pPr>
        <w:pStyle w:val="BodyText"/>
        <w:spacing w:before="2"/>
      </w:pPr>
    </w:p>
    <w:p>
      <w:pPr>
        <w:pStyle w:val="BodyText"/>
        <w:spacing w:line="242" w:lineRule="auto" w:before="1"/>
        <w:ind w:left="144" w:right="118" w:firstLine="499"/>
        <w:jc w:val="both"/>
      </w:pPr>
      <w:r>
        <w:rPr/>
        <w:t>The Company recognized 100% of the assets and liabilities of CityCenter at fair value at the date of the acquisition. Under the acquisition method, the fair value was allocated to the assets acquired and liabilities assumed in the transaction. The Company estimated fair value using level 1 inputs, level 2 </w:t>
      </w:r>
      <w:r>
        <w:rPr/>
        <w:t>inputs, and level 3 inputs. The fair value of the acquired indefinite-lived trademarks was determined using methodologies under the relief from royalty method based on significant inputs that were not observable. The goodwill is primarily attributable to the profitability of CityCenter in excess of identifiable assets, of which approximately 50% of the goodwill is deductible for income tax purposes.</w:t>
      </w:r>
      <w:r>
        <w:rPr>
          <w:spacing w:val="-6"/>
        </w:rPr>
        <w:t> </w:t>
      </w:r>
      <w:r>
        <w:rPr/>
        <w:t>All of the goodwill was assigned to the Las Vegas Strip Resorts segment.</w:t>
      </w:r>
    </w:p>
    <w:p>
      <w:pPr>
        <w:pStyle w:val="BodyText"/>
      </w:pPr>
    </w:p>
    <w:p>
      <w:pPr>
        <w:pStyle w:val="BodyText"/>
      </w:pPr>
    </w:p>
    <w:p>
      <w:pPr>
        <w:pStyle w:val="BodyText"/>
        <w:spacing w:before="196"/>
      </w:pPr>
    </w:p>
    <w:p>
      <w:pPr>
        <w:pStyle w:val="BodyText"/>
        <w:ind w:right="5785"/>
        <w:jc w:val="right"/>
      </w:pPr>
      <w:r>
        <w:rPr>
          <w:spacing w:val="-5"/>
        </w:rPr>
        <w:t>73</w:t>
      </w:r>
    </w:p>
    <w:p>
      <w:pPr>
        <w:pStyle w:val="BodyText"/>
        <w:spacing w:before="3"/>
        <w:rPr>
          <w:sz w:val="6"/>
        </w:rPr>
      </w:pPr>
      <w:r>
        <w:rPr/>
        <mc:AlternateContent>
          <mc:Choice Requires="wps">
            <w:drawing>
              <wp:anchor distT="0" distB="0" distL="0" distR="0" allowOverlap="1" layoutInCell="1" locked="0" behindDoc="1" simplePos="0" relativeHeight="487672320">
                <wp:simplePos x="0" y="0"/>
                <wp:positionH relativeFrom="page">
                  <wp:posOffset>231457</wp:posOffset>
                </wp:positionH>
                <wp:positionV relativeFrom="paragraph">
                  <wp:posOffset>60956</wp:posOffset>
                </wp:positionV>
                <wp:extent cx="7312659" cy="17145"/>
                <wp:effectExtent l="0" t="0" r="0" b="0"/>
                <wp:wrapTopAndBottom/>
                <wp:docPr id="436" name="Group 436"/>
                <wp:cNvGraphicFramePr>
                  <a:graphicFrameLocks/>
                </wp:cNvGraphicFramePr>
                <a:graphic>
                  <a:graphicData uri="http://schemas.microsoft.com/office/word/2010/wordprocessingGroup">
                    <wpg:wgp>
                      <wpg:cNvPr id="436" name="Group 436"/>
                      <wpg:cNvGrpSpPr/>
                      <wpg:grpSpPr>
                        <a:xfrm>
                          <a:off x="0" y="0"/>
                          <a:ext cx="7312659" cy="17145"/>
                          <a:chExt cx="7312659" cy="17145"/>
                        </a:xfrm>
                      </wpg:grpSpPr>
                      <wps:wsp>
                        <wps:cNvPr id="437" name="Graphic 43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38" name="Graphic 438"/>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39" name="Graphic 43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4160;mso-wrap-distance-left:0;mso-wrap-distance-right:0" id="docshapegroup434" coordorigin="364,96" coordsize="11516,27">
                <v:rect style="position:absolute;left:364;top:96;width:11516;height:14" id="docshape435" filled="true" fillcolor="#999999" stroked="false">
                  <v:fill type="solid"/>
                </v:rect>
                <v:shape style="position:absolute;left:364;top:95;width:11516;height:27" id="docshape436" coordorigin="364,96" coordsize="11516,27" path="m11880,96l11866,109,364,109,364,123,11866,123,11880,123,11880,109,11880,96xe" filled="true" fillcolor="#ededed" stroked="false">
                  <v:path arrowok="t"/>
                  <v:fill type="solid"/>
                </v:shape>
                <v:shape style="position:absolute;left:364;top:96;width:14;height:27" id="docshape43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69"/>
        <w:ind w:left="644"/>
      </w:pPr>
      <w:r>
        <w:rPr/>
        <w:t>The</w:t>
      </w:r>
      <w:r>
        <w:rPr>
          <w:spacing w:val="-1"/>
        </w:rPr>
        <w:t> </w:t>
      </w:r>
      <w:r>
        <w:rPr/>
        <w:t>following</w:t>
      </w:r>
      <w:r>
        <w:rPr>
          <w:spacing w:val="-1"/>
        </w:rPr>
        <w:t> </w:t>
      </w:r>
      <w:r>
        <w:rPr/>
        <w:t>table</w:t>
      </w:r>
      <w:r>
        <w:rPr>
          <w:spacing w:val="-1"/>
        </w:rPr>
        <w:t> </w:t>
      </w:r>
      <w:r>
        <w:rPr/>
        <w:t>sets</w:t>
      </w:r>
      <w:r>
        <w:rPr>
          <w:spacing w:val="-1"/>
        </w:rPr>
        <w:t> </w:t>
      </w:r>
      <w:r>
        <w:rPr/>
        <w:t>forth</w:t>
      </w:r>
      <w:r>
        <w:rPr>
          <w:spacing w:val="-1"/>
        </w:rPr>
        <w:t> </w:t>
      </w:r>
      <w:r>
        <w:rPr/>
        <w:t>the</w:t>
      </w:r>
      <w:r>
        <w:rPr>
          <w:spacing w:val="-1"/>
        </w:rPr>
        <w:t> </w:t>
      </w:r>
      <w:r>
        <w:rPr/>
        <w:t>purchase</w:t>
      </w:r>
      <w:r>
        <w:rPr>
          <w:spacing w:val="-1"/>
        </w:rPr>
        <w:t> </w:t>
      </w:r>
      <w:r>
        <w:rPr/>
        <w:t>price</w:t>
      </w:r>
      <w:r>
        <w:rPr>
          <w:spacing w:val="-1"/>
        </w:rPr>
        <w:t> </w:t>
      </w:r>
      <w:r>
        <w:rPr/>
        <w:t>allocation</w:t>
      </w:r>
      <w:r>
        <w:rPr>
          <w:spacing w:val="-1"/>
        </w:rPr>
        <w:t> </w:t>
      </w:r>
      <w:r>
        <w:rPr/>
        <w:t>(in</w:t>
      </w:r>
      <w:r>
        <w:rPr>
          <w:spacing w:val="-1"/>
        </w:rPr>
        <w:t> </w:t>
      </w:r>
      <w:r>
        <w:rPr>
          <w:spacing w:val="-2"/>
        </w:rPr>
        <w:t>thousands):</w:t>
      </w:r>
    </w:p>
    <w:p>
      <w:pPr>
        <w:pStyle w:val="BodyText"/>
        <w:spacing w:before="2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1"/>
        <w:gridCol w:w="4164"/>
      </w:tblGrid>
      <w:tr>
        <w:trPr>
          <w:trHeight w:val="256" w:hRule="atLeast"/>
        </w:trPr>
        <w:tc>
          <w:tcPr>
            <w:tcW w:w="7351" w:type="dxa"/>
            <w:shd w:val="clear" w:color="auto" w:fill="CCEDFF"/>
          </w:tcPr>
          <w:p>
            <w:pPr>
              <w:pStyle w:val="TableParagraph"/>
              <w:ind w:left="17"/>
              <w:rPr>
                <w:sz w:val="18"/>
              </w:rPr>
            </w:pPr>
            <w:r>
              <w:rPr>
                <w:sz w:val="18"/>
              </w:rPr>
              <w:t>Cash</w:t>
            </w:r>
            <w:r>
              <w:rPr>
                <w:spacing w:val="-1"/>
                <w:sz w:val="18"/>
              </w:rPr>
              <w:t> </w:t>
            </w:r>
            <w:r>
              <w:rPr>
                <w:sz w:val="18"/>
              </w:rPr>
              <w:t>and</w:t>
            </w:r>
            <w:r>
              <w:rPr>
                <w:spacing w:val="-1"/>
                <w:sz w:val="18"/>
              </w:rPr>
              <w:t> </w:t>
            </w:r>
            <w:r>
              <w:rPr>
                <w:sz w:val="18"/>
              </w:rPr>
              <w:t>cash</w:t>
            </w:r>
            <w:r>
              <w:rPr>
                <w:spacing w:val="-1"/>
                <w:sz w:val="18"/>
              </w:rPr>
              <w:t> </w:t>
            </w:r>
            <w:r>
              <w:rPr>
                <w:spacing w:val="-2"/>
                <w:sz w:val="18"/>
              </w:rPr>
              <w:t>equivalents</w:t>
            </w:r>
          </w:p>
        </w:tc>
        <w:tc>
          <w:tcPr>
            <w:tcW w:w="4164" w:type="dxa"/>
            <w:shd w:val="clear" w:color="auto" w:fill="CCEDFF"/>
          </w:tcPr>
          <w:p>
            <w:pPr>
              <w:pStyle w:val="TableParagraph"/>
              <w:tabs>
                <w:tab w:pos="855" w:val="left" w:leader="none"/>
              </w:tabs>
              <w:ind w:right="70"/>
              <w:jc w:val="right"/>
              <w:rPr>
                <w:sz w:val="18"/>
              </w:rPr>
            </w:pPr>
            <w:r>
              <w:rPr>
                <w:spacing w:val="-10"/>
                <w:sz w:val="18"/>
              </w:rPr>
              <w:t>$</w:t>
            </w:r>
            <w:r>
              <w:rPr>
                <w:sz w:val="18"/>
              </w:rPr>
              <w:tab/>
            </w:r>
            <w:r>
              <w:rPr>
                <w:spacing w:val="-2"/>
                <w:sz w:val="18"/>
              </w:rPr>
              <w:t>335,396</w:t>
            </w:r>
          </w:p>
        </w:tc>
      </w:tr>
      <w:tr>
        <w:trPr>
          <w:trHeight w:val="256" w:hRule="atLeast"/>
        </w:trPr>
        <w:tc>
          <w:tcPr>
            <w:tcW w:w="7351" w:type="dxa"/>
          </w:tcPr>
          <w:p>
            <w:pPr>
              <w:pStyle w:val="TableParagraph"/>
              <w:ind w:left="17"/>
              <w:rPr>
                <w:sz w:val="18"/>
              </w:rPr>
            </w:pPr>
            <w:r>
              <w:rPr>
                <w:sz w:val="18"/>
              </w:rPr>
              <w:t>Receivables</w:t>
            </w:r>
            <w:r>
              <w:rPr>
                <w:spacing w:val="-1"/>
                <w:sz w:val="18"/>
              </w:rPr>
              <w:t> </w:t>
            </w:r>
            <w:r>
              <w:rPr>
                <w:sz w:val="18"/>
              </w:rPr>
              <w:t>and</w:t>
            </w:r>
            <w:r>
              <w:rPr>
                <w:spacing w:val="-1"/>
                <w:sz w:val="18"/>
              </w:rPr>
              <w:t> </w:t>
            </w:r>
            <w:r>
              <w:rPr>
                <w:sz w:val="18"/>
              </w:rPr>
              <w:t>other</w:t>
            </w:r>
            <w:r>
              <w:rPr>
                <w:spacing w:val="-1"/>
                <w:sz w:val="18"/>
              </w:rPr>
              <w:t> </w:t>
            </w:r>
            <w:r>
              <w:rPr>
                <w:sz w:val="18"/>
              </w:rPr>
              <w:t>current</w:t>
            </w:r>
            <w:r>
              <w:rPr>
                <w:spacing w:val="-1"/>
                <w:sz w:val="18"/>
              </w:rPr>
              <w:t> </w:t>
            </w:r>
            <w:r>
              <w:rPr>
                <w:spacing w:val="-2"/>
                <w:sz w:val="18"/>
              </w:rPr>
              <w:t>assets</w:t>
            </w:r>
          </w:p>
        </w:tc>
        <w:tc>
          <w:tcPr>
            <w:tcW w:w="4164" w:type="dxa"/>
          </w:tcPr>
          <w:p>
            <w:pPr>
              <w:pStyle w:val="TableParagraph"/>
              <w:ind w:right="70"/>
              <w:jc w:val="right"/>
              <w:rPr>
                <w:sz w:val="18"/>
              </w:rPr>
            </w:pPr>
            <w:r>
              <w:rPr>
                <w:spacing w:val="-2"/>
                <w:sz w:val="18"/>
              </w:rPr>
              <w:t>106,417</w:t>
            </w:r>
          </w:p>
        </w:tc>
      </w:tr>
      <w:tr>
        <w:trPr>
          <w:trHeight w:val="256" w:hRule="atLeast"/>
        </w:trPr>
        <w:tc>
          <w:tcPr>
            <w:tcW w:w="7351" w:type="dxa"/>
            <w:shd w:val="clear" w:color="auto" w:fill="CCEDFF"/>
          </w:tcPr>
          <w:p>
            <w:pPr>
              <w:pStyle w:val="TableParagraph"/>
              <w:ind w:left="17"/>
              <w:rPr>
                <w:sz w:val="18"/>
              </w:rPr>
            </w:pPr>
            <w:r>
              <w:rPr>
                <w:sz w:val="18"/>
              </w:rPr>
              <w:t>Property</w:t>
            </w:r>
            <w:r>
              <w:rPr>
                <w:spacing w:val="-1"/>
                <w:sz w:val="18"/>
              </w:rPr>
              <w:t> </w:t>
            </w:r>
            <w:r>
              <w:rPr>
                <w:sz w:val="18"/>
              </w:rPr>
              <w:t>and</w:t>
            </w:r>
            <w:r>
              <w:rPr>
                <w:spacing w:val="-1"/>
                <w:sz w:val="18"/>
              </w:rPr>
              <w:t> </w:t>
            </w:r>
            <w:r>
              <w:rPr>
                <w:sz w:val="18"/>
              </w:rPr>
              <w:t>equipment</w:t>
            </w:r>
            <w:r>
              <w:rPr>
                <w:spacing w:val="-1"/>
                <w:sz w:val="18"/>
              </w:rPr>
              <w:t> </w:t>
            </w:r>
            <w:r>
              <w:rPr>
                <w:sz w:val="18"/>
              </w:rPr>
              <w:t>-</w:t>
            </w:r>
            <w:r>
              <w:rPr>
                <w:spacing w:val="-1"/>
                <w:sz w:val="18"/>
              </w:rPr>
              <w:t> </w:t>
            </w:r>
            <w:r>
              <w:rPr>
                <w:sz w:val="18"/>
              </w:rPr>
              <w:t>real</w:t>
            </w:r>
            <w:r>
              <w:rPr>
                <w:spacing w:val="-1"/>
                <w:sz w:val="18"/>
              </w:rPr>
              <w:t> </w:t>
            </w:r>
            <w:r>
              <w:rPr>
                <w:sz w:val="18"/>
              </w:rPr>
              <w:t>estate</w:t>
            </w:r>
            <w:r>
              <w:rPr>
                <w:spacing w:val="-1"/>
                <w:sz w:val="18"/>
              </w:rPr>
              <w:t> </w:t>
            </w:r>
            <w:r>
              <w:rPr>
                <w:sz w:val="18"/>
              </w:rPr>
              <w:t>assets</w:t>
            </w:r>
            <w:r>
              <w:rPr>
                <w:spacing w:val="-1"/>
                <w:sz w:val="18"/>
              </w:rPr>
              <w:t> </w:t>
            </w:r>
            <w:r>
              <w:rPr>
                <w:sz w:val="18"/>
              </w:rPr>
              <w:t>held</w:t>
            </w:r>
            <w:r>
              <w:rPr>
                <w:spacing w:val="-1"/>
                <w:sz w:val="18"/>
              </w:rPr>
              <w:t> </w:t>
            </w:r>
            <w:r>
              <w:rPr>
                <w:sz w:val="18"/>
              </w:rPr>
              <w:t>for</w:t>
            </w:r>
            <w:r>
              <w:rPr>
                <w:spacing w:val="-1"/>
                <w:sz w:val="18"/>
              </w:rPr>
              <w:t> </w:t>
            </w:r>
            <w:r>
              <w:rPr>
                <w:spacing w:val="-4"/>
                <w:sz w:val="18"/>
              </w:rPr>
              <w:t>sale</w:t>
            </w:r>
          </w:p>
        </w:tc>
        <w:tc>
          <w:tcPr>
            <w:tcW w:w="4164" w:type="dxa"/>
            <w:shd w:val="clear" w:color="auto" w:fill="CCEDFF"/>
          </w:tcPr>
          <w:p>
            <w:pPr>
              <w:pStyle w:val="TableParagraph"/>
              <w:ind w:right="70"/>
              <w:jc w:val="right"/>
              <w:rPr>
                <w:sz w:val="18"/>
              </w:rPr>
            </w:pPr>
            <w:r>
              <w:rPr>
                <w:spacing w:val="-2"/>
                <w:sz w:val="18"/>
              </w:rPr>
              <w:t>3,888,431</w:t>
            </w:r>
          </w:p>
        </w:tc>
      </w:tr>
      <w:tr>
        <w:trPr>
          <w:trHeight w:val="256" w:hRule="atLeast"/>
        </w:trPr>
        <w:tc>
          <w:tcPr>
            <w:tcW w:w="7351" w:type="dxa"/>
          </w:tcPr>
          <w:p>
            <w:pPr>
              <w:pStyle w:val="TableParagraph"/>
              <w:ind w:left="17"/>
              <w:rPr>
                <w:sz w:val="18"/>
              </w:rPr>
            </w:pPr>
            <w:r>
              <w:rPr>
                <w:sz w:val="18"/>
              </w:rPr>
              <w:t>Property</w:t>
            </w:r>
            <w:r>
              <w:rPr>
                <w:spacing w:val="-1"/>
                <w:sz w:val="18"/>
              </w:rPr>
              <w:t> </w:t>
            </w:r>
            <w:r>
              <w:rPr>
                <w:sz w:val="18"/>
              </w:rPr>
              <w:t>and</w:t>
            </w:r>
            <w:r>
              <w:rPr>
                <w:spacing w:val="-1"/>
                <w:sz w:val="18"/>
              </w:rPr>
              <w:t> </w:t>
            </w:r>
            <w:r>
              <w:rPr>
                <w:spacing w:val="-2"/>
                <w:sz w:val="18"/>
              </w:rPr>
              <w:t>equipment</w:t>
            </w:r>
          </w:p>
        </w:tc>
        <w:tc>
          <w:tcPr>
            <w:tcW w:w="4164" w:type="dxa"/>
          </w:tcPr>
          <w:p>
            <w:pPr>
              <w:pStyle w:val="TableParagraph"/>
              <w:ind w:right="70"/>
              <w:jc w:val="right"/>
              <w:rPr>
                <w:sz w:val="18"/>
              </w:rPr>
            </w:pPr>
            <w:r>
              <w:rPr>
                <w:spacing w:val="-2"/>
                <w:sz w:val="18"/>
              </w:rPr>
              <w:t>323,093</w:t>
            </w:r>
          </w:p>
        </w:tc>
      </w:tr>
      <w:tr>
        <w:trPr>
          <w:trHeight w:val="269" w:hRule="atLeast"/>
        </w:trPr>
        <w:tc>
          <w:tcPr>
            <w:tcW w:w="7351" w:type="dxa"/>
            <w:shd w:val="clear" w:color="auto" w:fill="CCEDFF"/>
          </w:tcPr>
          <w:p>
            <w:pPr>
              <w:pStyle w:val="TableParagraph"/>
              <w:ind w:left="17"/>
              <w:rPr>
                <w:sz w:val="18"/>
              </w:rPr>
            </w:pPr>
            <w:r>
              <w:rPr>
                <w:spacing w:val="-2"/>
                <w:sz w:val="18"/>
              </w:rPr>
              <w:t>Trademarks</w:t>
            </w:r>
          </w:p>
        </w:tc>
        <w:tc>
          <w:tcPr>
            <w:tcW w:w="4164" w:type="dxa"/>
            <w:shd w:val="clear" w:color="auto" w:fill="CCEDFF"/>
          </w:tcPr>
          <w:p>
            <w:pPr>
              <w:pStyle w:val="TableParagraph"/>
              <w:ind w:right="70"/>
              <w:jc w:val="right"/>
              <w:rPr>
                <w:sz w:val="18"/>
              </w:rPr>
            </w:pPr>
            <w:r>
              <w:rPr>
                <w:spacing w:val="-2"/>
                <w:sz w:val="18"/>
              </w:rPr>
              <w:t>180,000</w:t>
            </w:r>
          </w:p>
        </w:tc>
      </w:tr>
      <w:tr>
        <w:trPr>
          <w:trHeight w:val="256" w:hRule="atLeast"/>
        </w:trPr>
        <w:tc>
          <w:tcPr>
            <w:tcW w:w="7351" w:type="dxa"/>
          </w:tcPr>
          <w:p>
            <w:pPr>
              <w:pStyle w:val="TableParagraph"/>
              <w:ind w:left="17"/>
              <w:rPr>
                <w:sz w:val="18"/>
              </w:rPr>
            </w:pPr>
            <w:r>
              <w:rPr>
                <w:spacing w:val="-2"/>
                <w:sz w:val="18"/>
              </w:rPr>
              <w:t>Goodwill</w:t>
            </w:r>
          </w:p>
        </w:tc>
        <w:tc>
          <w:tcPr>
            <w:tcW w:w="4164" w:type="dxa"/>
          </w:tcPr>
          <w:p>
            <w:pPr>
              <w:pStyle w:val="TableParagraph"/>
              <w:ind w:right="70"/>
              <w:jc w:val="right"/>
              <w:rPr>
                <w:sz w:val="18"/>
              </w:rPr>
            </w:pPr>
            <w:r>
              <w:rPr>
                <w:spacing w:val="-2"/>
                <w:sz w:val="18"/>
              </w:rPr>
              <w:t>1,397,338</w:t>
            </w:r>
          </w:p>
        </w:tc>
      </w:tr>
      <w:tr>
        <w:trPr>
          <w:trHeight w:val="256" w:hRule="atLeast"/>
        </w:trPr>
        <w:tc>
          <w:tcPr>
            <w:tcW w:w="7351" w:type="dxa"/>
            <w:shd w:val="clear" w:color="auto" w:fill="CCEDFF"/>
          </w:tcPr>
          <w:p>
            <w:pPr>
              <w:pStyle w:val="TableParagraph"/>
              <w:ind w:left="17"/>
              <w:rPr>
                <w:sz w:val="18"/>
              </w:rPr>
            </w:pPr>
            <w:r>
              <w:rPr>
                <w:sz w:val="18"/>
              </w:rPr>
              <w:t>Other</w:t>
            </w:r>
            <w:r>
              <w:rPr>
                <w:spacing w:val="-1"/>
                <w:sz w:val="18"/>
              </w:rPr>
              <w:t> </w:t>
            </w:r>
            <w:r>
              <w:rPr>
                <w:sz w:val="18"/>
              </w:rPr>
              <w:t>long-term</w:t>
            </w:r>
            <w:r>
              <w:rPr>
                <w:spacing w:val="-1"/>
                <w:sz w:val="18"/>
              </w:rPr>
              <w:t> </w:t>
            </w:r>
            <w:r>
              <w:rPr>
                <w:spacing w:val="-2"/>
                <w:sz w:val="18"/>
              </w:rPr>
              <w:t>assets</w:t>
            </w:r>
          </w:p>
        </w:tc>
        <w:tc>
          <w:tcPr>
            <w:tcW w:w="4164" w:type="dxa"/>
            <w:shd w:val="clear" w:color="auto" w:fill="CCEDFF"/>
          </w:tcPr>
          <w:p>
            <w:pPr>
              <w:pStyle w:val="TableParagraph"/>
              <w:ind w:right="70"/>
              <w:jc w:val="right"/>
              <w:rPr>
                <w:sz w:val="18"/>
              </w:rPr>
            </w:pPr>
            <w:r>
              <w:rPr>
                <w:spacing w:val="-2"/>
                <w:sz w:val="18"/>
              </w:rPr>
              <w:t>13,923</w:t>
            </w:r>
          </w:p>
        </w:tc>
      </w:tr>
      <w:tr>
        <w:trPr>
          <w:trHeight w:val="256" w:hRule="atLeast"/>
        </w:trPr>
        <w:tc>
          <w:tcPr>
            <w:tcW w:w="7351" w:type="dxa"/>
          </w:tcPr>
          <w:p>
            <w:pPr>
              <w:pStyle w:val="TableParagraph"/>
              <w:ind w:left="17"/>
              <w:rPr>
                <w:sz w:val="18"/>
              </w:rPr>
            </w:pPr>
            <w:r>
              <w:rPr>
                <w:sz w:val="18"/>
              </w:rPr>
              <w:t>Accounts</w:t>
            </w:r>
            <w:r>
              <w:rPr>
                <w:spacing w:val="-1"/>
                <w:sz w:val="18"/>
              </w:rPr>
              <w:t> </w:t>
            </w:r>
            <w:r>
              <w:rPr>
                <w:sz w:val="18"/>
              </w:rPr>
              <w:t>payable,</w:t>
            </w:r>
            <w:r>
              <w:rPr>
                <w:spacing w:val="-1"/>
                <w:sz w:val="18"/>
              </w:rPr>
              <w:t> </w:t>
            </w:r>
            <w:r>
              <w:rPr>
                <w:sz w:val="18"/>
              </w:rPr>
              <w:t>accrued</w:t>
            </w:r>
            <w:r>
              <w:rPr>
                <w:spacing w:val="-1"/>
                <w:sz w:val="18"/>
              </w:rPr>
              <w:t> </w:t>
            </w:r>
            <w:r>
              <w:rPr>
                <w:sz w:val="18"/>
              </w:rPr>
              <w:t>liabilities,</w:t>
            </w:r>
            <w:r>
              <w:rPr>
                <w:spacing w:val="-1"/>
                <w:sz w:val="18"/>
              </w:rPr>
              <w:t> </w:t>
            </w:r>
            <w:r>
              <w:rPr>
                <w:sz w:val="18"/>
              </w:rPr>
              <w:t>and</w:t>
            </w:r>
            <w:r>
              <w:rPr>
                <w:spacing w:val="-1"/>
                <w:sz w:val="18"/>
              </w:rPr>
              <w:t> </w:t>
            </w:r>
            <w:r>
              <w:rPr>
                <w:sz w:val="18"/>
              </w:rPr>
              <w:t>other</w:t>
            </w:r>
            <w:r>
              <w:rPr>
                <w:spacing w:val="-1"/>
                <w:sz w:val="18"/>
              </w:rPr>
              <w:t> </w:t>
            </w:r>
            <w:r>
              <w:rPr>
                <w:sz w:val="18"/>
              </w:rPr>
              <w:t>current</w:t>
            </w:r>
            <w:r>
              <w:rPr>
                <w:spacing w:val="-1"/>
                <w:sz w:val="18"/>
              </w:rPr>
              <w:t> </w:t>
            </w:r>
            <w:r>
              <w:rPr>
                <w:spacing w:val="-2"/>
                <w:sz w:val="18"/>
              </w:rPr>
              <w:t>liabilities</w:t>
            </w:r>
          </w:p>
        </w:tc>
        <w:tc>
          <w:tcPr>
            <w:tcW w:w="4164" w:type="dxa"/>
          </w:tcPr>
          <w:p>
            <w:pPr>
              <w:pStyle w:val="TableParagraph"/>
              <w:ind w:right="25"/>
              <w:jc w:val="right"/>
              <w:rPr>
                <w:sz w:val="18"/>
              </w:rPr>
            </w:pPr>
            <w:r>
              <w:rPr>
                <w:spacing w:val="-2"/>
                <w:sz w:val="18"/>
              </w:rPr>
              <w:t>(201,093)</w:t>
            </w:r>
          </w:p>
        </w:tc>
      </w:tr>
      <w:tr>
        <w:trPr>
          <w:trHeight w:val="256" w:hRule="atLeast"/>
        </w:trPr>
        <w:tc>
          <w:tcPr>
            <w:tcW w:w="7351" w:type="dxa"/>
            <w:shd w:val="clear" w:color="auto" w:fill="CCEDFF"/>
          </w:tcPr>
          <w:p>
            <w:pPr>
              <w:pStyle w:val="TableParagraph"/>
              <w:ind w:left="17"/>
              <w:rPr>
                <w:sz w:val="18"/>
              </w:rPr>
            </w:pPr>
            <w:r>
              <w:rPr>
                <w:spacing w:val="-4"/>
                <w:sz w:val="18"/>
              </w:rPr>
              <w:t>Debt</w:t>
            </w:r>
          </w:p>
        </w:tc>
        <w:tc>
          <w:tcPr>
            <w:tcW w:w="4164" w:type="dxa"/>
            <w:shd w:val="clear" w:color="auto" w:fill="CCEDFF"/>
          </w:tcPr>
          <w:p>
            <w:pPr>
              <w:pStyle w:val="TableParagraph"/>
              <w:ind w:right="25"/>
              <w:jc w:val="right"/>
              <w:rPr>
                <w:sz w:val="18"/>
              </w:rPr>
            </w:pPr>
            <w:r>
              <w:rPr>
                <w:spacing w:val="-2"/>
                <w:sz w:val="18"/>
              </w:rPr>
              <w:t>(1,729,451)</w:t>
            </w:r>
          </w:p>
        </w:tc>
      </w:tr>
      <w:tr>
        <w:trPr>
          <w:trHeight w:val="276" w:hRule="atLeast"/>
        </w:trPr>
        <w:tc>
          <w:tcPr>
            <w:tcW w:w="7351" w:type="dxa"/>
          </w:tcPr>
          <w:p>
            <w:pPr>
              <w:pStyle w:val="TableParagraph"/>
              <w:spacing w:before="34"/>
              <w:ind w:left="17"/>
              <w:rPr>
                <w:sz w:val="18"/>
              </w:rPr>
            </w:pPr>
            <w:r>
              <w:rPr>
                <w:sz w:val="18"/>
              </w:rPr>
              <w:t>Other</w:t>
            </w:r>
            <w:r>
              <w:rPr>
                <w:spacing w:val="-1"/>
                <w:sz w:val="18"/>
              </w:rPr>
              <w:t> </w:t>
            </w:r>
            <w:r>
              <w:rPr>
                <w:sz w:val="18"/>
              </w:rPr>
              <w:t>long-term</w:t>
            </w:r>
            <w:r>
              <w:rPr>
                <w:spacing w:val="-1"/>
                <w:sz w:val="18"/>
              </w:rPr>
              <w:t> </w:t>
            </w:r>
            <w:r>
              <w:rPr>
                <w:spacing w:val="-2"/>
                <w:sz w:val="18"/>
              </w:rPr>
              <w:t>liabilities</w:t>
            </w:r>
          </w:p>
        </w:tc>
        <w:tc>
          <w:tcPr>
            <w:tcW w:w="4164" w:type="dxa"/>
          </w:tcPr>
          <w:p>
            <w:pPr>
              <w:pStyle w:val="TableParagraph"/>
              <w:ind w:right="25"/>
              <w:jc w:val="right"/>
              <w:rPr>
                <w:sz w:val="18"/>
              </w:rPr>
            </w:pPr>
            <w:r>
              <w:rPr>
                <w:spacing w:val="-2"/>
                <w:sz w:val="18"/>
              </w:rPr>
              <w:t>(64,054)</w:t>
            </w:r>
          </w:p>
        </w:tc>
      </w:tr>
      <w:tr>
        <w:trPr>
          <w:trHeight w:val="290" w:hRule="atLeast"/>
        </w:trPr>
        <w:tc>
          <w:tcPr>
            <w:tcW w:w="7351" w:type="dxa"/>
            <w:shd w:val="clear" w:color="auto" w:fill="CCEDFF"/>
          </w:tcPr>
          <w:p>
            <w:pPr>
              <w:pStyle w:val="TableParagraph"/>
              <w:spacing w:before="0"/>
              <w:rPr>
                <w:sz w:val="16"/>
              </w:rPr>
            </w:pPr>
          </w:p>
        </w:tc>
        <w:tc>
          <w:tcPr>
            <w:tcW w:w="4164" w:type="dxa"/>
            <w:shd w:val="clear" w:color="auto" w:fill="CCEDFF"/>
          </w:tcPr>
          <w:p>
            <w:pPr>
              <w:pStyle w:val="TableParagraph"/>
              <w:tabs>
                <w:tab w:pos="720" w:val="left" w:leader="none"/>
              </w:tabs>
              <w:spacing w:before="27"/>
              <w:ind w:right="70"/>
              <w:jc w:val="right"/>
              <w:rPr>
                <w:sz w:val="18"/>
              </w:rPr>
            </w:pPr>
            <w:r>
              <w:rPr>
                <w:spacing w:val="-10"/>
                <w:sz w:val="18"/>
              </w:rPr>
              <w:t>$</w:t>
            </w:r>
            <w:r>
              <w:rPr>
                <w:sz w:val="18"/>
              </w:rPr>
              <w:tab/>
            </w:r>
            <w:r>
              <w:rPr>
                <w:spacing w:val="-2"/>
                <w:sz w:val="18"/>
              </w:rPr>
              <w:t>4,250,000</w:t>
            </w:r>
          </w:p>
        </w:tc>
      </w:tr>
    </w:tbl>
    <w:p>
      <w:pPr>
        <w:pStyle w:val="BodyText"/>
        <w:spacing w:before="116"/>
      </w:pPr>
    </w:p>
    <w:p>
      <w:pPr>
        <w:pStyle w:val="BodyText"/>
        <w:spacing w:line="249" w:lineRule="auto" w:before="1"/>
        <w:ind w:left="144" w:right="118" w:firstLine="499"/>
        <w:jc w:val="both"/>
      </w:pPr>
      <w:r>
        <w:rPr>
          <w:color w:val="202529"/>
        </w:rPr>
        <w:t>CityCenter’s net revenue for the period from September 27, 2021 through December 31, 2021 was $367 million and operating income and net </w:t>
      </w:r>
      <w:r>
        <w:rPr>
          <w:color w:val="202529"/>
        </w:rPr>
        <w:t>income were $69 million and $68 million, respectively.</w:t>
      </w:r>
    </w:p>
    <w:p>
      <w:pPr>
        <w:pStyle w:val="BodyText"/>
        <w:spacing w:before="204"/>
        <w:ind w:left="144" w:right="118" w:firstLine="499"/>
        <w:jc w:val="both"/>
      </w:pPr>
      <w:r>
        <w:rPr>
          <w:i/>
          <w:color w:val="202529"/>
        </w:rPr>
        <w:t>Unaudited pro forma information - CityCenter and The Cosmopolitan acquisitions. </w:t>
      </w:r>
      <w:r>
        <w:rPr>
          <w:color w:val="202529"/>
        </w:rPr>
        <w:t>The following unaudited pro forma consolidated </w:t>
      </w:r>
      <w:r>
        <w:rPr>
          <w:color w:val="202529"/>
        </w:rPr>
        <w:t>financial information for the Company has been prepared assuming the Company’s acquisition of its controlling interest of CityCenter had occurred as of January 1, 2020</w:t>
      </w:r>
      <w:r>
        <w:rPr>
          <w:color w:val="202529"/>
          <w:spacing w:val="-1"/>
        </w:rPr>
        <w:t> </w:t>
      </w:r>
      <w:r>
        <w:rPr>
          <w:color w:val="202529"/>
        </w:rPr>
        <w:t>and</w:t>
      </w:r>
      <w:r>
        <w:rPr>
          <w:color w:val="202529"/>
          <w:spacing w:val="-1"/>
        </w:rPr>
        <w:t> </w:t>
      </w:r>
      <w:r>
        <w:rPr>
          <w:color w:val="202529"/>
        </w:rPr>
        <w:t>the</w:t>
      </w:r>
      <w:r>
        <w:rPr>
          <w:color w:val="202529"/>
          <w:spacing w:val="-1"/>
        </w:rPr>
        <w:t> </w:t>
      </w:r>
      <w:r>
        <w:rPr>
          <w:color w:val="202529"/>
        </w:rPr>
        <w:t>acquisition</w:t>
      </w:r>
      <w:r>
        <w:rPr>
          <w:color w:val="202529"/>
          <w:spacing w:val="-1"/>
        </w:rPr>
        <w:t> </w:t>
      </w:r>
      <w:r>
        <w:rPr>
          <w:color w:val="202529"/>
        </w:rPr>
        <w:t>of</w:t>
      </w:r>
      <w:r>
        <w:rPr>
          <w:color w:val="202529"/>
          <w:spacing w:val="-4"/>
        </w:rPr>
        <w:t> </w:t>
      </w:r>
      <w:r>
        <w:rPr>
          <w:color w:val="202529"/>
        </w:rPr>
        <w:t>The</w:t>
      </w:r>
      <w:r>
        <w:rPr>
          <w:color w:val="202529"/>
          <w:spacing w:val="-1"/>
        </w:rPr>
        <w:t> </w:t>
      </w:r>
      <w:r>
        <w:rPr>
          <w:color w:val="202529"/>
        </w:rPr>
        <w:t>Cosmopolitan</w:t>
      </w:r>
      <w:r>
        <w:rPr>
          <w:color w:val="202529"/>
          <w:spacing w:val="-1"/>
        </w:rPr>
        <w:t> </w:t>
      </w:r>
      <w:r>
        <w:rPr>
          <w:color w:val="202529"/>
        </w:rPr>
        <w:t>had</w:t>
      </w:r>
      <w:r>
        <w:rPr>
          <w:color w:val="202529"/>
          <w:spacing w:val="-1"/>
        </w:rPr>
        <w:t> </w:t>
      </w:r>
      <w:r>
        <w:rPr>
          <w:color w:val="202529"/>
        </w:rPr>
        <w:t>occurred</w:t>
      </w:r>
      <w:r>
        <w:rPr>
          <w:color w:val="202529"/>
          <w:spacing w:val="-1"/>
        </w:rPr>
        <w:t> </w:t>
      </w:r>
      <w:r>
        <w:rPr>
          <w:color w:val="202529"/>
        </w:rPr>
        <w:t>as</w:t>
      </w:r>
      <w:r>
        <w:rPr>
          <w:color w:val="202529"/>
          <w:spacing w:val="-1"/>
        </w:rPr>
        <w:t> </w:t>
      </w:r>
      <w:r>
        <w:rPr>
          <w:color w:val="202529"/>
        </w:rPr>
        <w:t>of</w:t>
      </w:r>
      <w:r>
        <w:rPr>
          <w:color w:val="202529"/>
          <w:spacing w:val="-1"/>
        </w:rPr>
        <w:t> </w:t>
      </w:r>
      <w:r>
        <w:rPr>
          <w:color w:val="202529"/>
        </w:rPr>
        <w:t>January</w:t>
      </w:r>
      <w:r>
        <w:rPr>
          <w:color w:val="202529"/>
          <w:spacing w:val="-1"/>
        </w:rPr>
        <w:t> </w:t>
      </w:r>
      <w:r>
        <w:rPr>
          <w:color w:val="202529"/>
        </w:rPr>
        <w:t>1,</w:t>
      </w:r>
      <w:r>
        <w:rPr>
          <w:color w:val="202529"/>
          <w:spacing w:val="-1"/>
        </w:rPr>
        <w:t> </w:t>
      </w:r>
      <w:r>
        <w:rPr>
          <w:color w:val="202529"/>
        </w:rPr>
        <w:t>2021.</w:t>
      </w:r>
      <w:r>
        <w:rPr>
          <w:color w:val="202529"/>
          <w:spacing w:val="-4"/>
        </w:rPr>
        <w:t> </w:t>
      </w:r>
      <w:r>
        <w:rPr>
          <w:color w:val="202529"/>
        </w:rPr>
        <w:t>The</w:t>
      </w:r>
      <w:r>
        <w:rPr>
          <w:color w:val="202529"/>
          <w:spacing w:val="-1"/>
        </w:rPr>
        <w:t> </w:t>
      </w:r>
      <w:r>
        <w:rPr>
          <w:color w:val="202529"/>
        </w:rPr>
        <w:t>pro</w:t>
      </w:r>
      <w:r>
        <w:rPr>
          <w:color w:val="202529"/>
          <w:spacing w:val="-1"/>
        </w:rPr>
        <w:t> </w:t>
      </w:r>
      <w:r>
        <w:rPr>
          <w:color w:val="202529"/>
        </w:rPr>
        <w:t>forma</w:t>
      </w:r>
      <w:r>
        <w:rPr>
          <w:color w:val="202529"/>
          <w:spacing w:val="-1"/>
        </w:rPr>
        <w:t> </w:t>
      </w:r>
      <w:r>
        <w:rPr>
          <w:color w:val="202529"/>
        </w:rPr>
        <w:t>information</w:t>
      </w:r>
      <w:r>
        <w:rPr>
          <w:color w:val="202529"/>
          <w:spacing w:val="-1"/>
        </w:rPr>
        <w:t> </w:t>
      </w:r>
      <w:r>
        <w:rPr>
          <w:color w:val="202529"/>
        </w:rPr>
        <w:t>excludes</w:t>
      </w:r>
      <w:r>
        <w:rPr>
          <w:color w:val="202529"/>
          <w:spacing w:val="-1"/>
        </w:rPr>
        <w:t> </w:t>
      </w:r>
      <w:r>
        <w:rPr>
          <w:color w:val="202529"/>
        </w:rPr>
        <w:t>the</w:t>
      </w:r>
      <w:r>
        <w:rPr>
          <w:color w:val="202529"/>
          <w:spacing w:val="-1"/>
        </w:rPr>
        <w:t> </w:t>
      </w:r>
      <w:r>
        <w:rPr>
          <w:color w:val="202529"/>
        </w:rPr>
        <w:t>gain</w:t>
      </w:r>
      <w:r>
        <w:rPr>
          <w:color w:val="202529"/>
          <w:spacing w:val="-1"/>
        </w:rPr>
        <w:t> </w:t>
      </w:r>
      <w:r>
        <w:rPr>
          <w:color w:val="202529"/>
        </w:rPr>
        <w:t>on</w:t>
      </w:r>
      <w:r>
        <w:rPr>
          <w:color w:val="202529"/>
          <w:spacing w:val="-1"/>
        </w:rPr>
        <w:t> </w:t>
      </w:r>
      <w:r>
        <w:rPr>
          <w:color w:val="202529"/>
        </w:rPr>
        <w:t>consolidation</w:t>
      </w:r>
      <w:r>
        <w:rPr>
          <w:color w:val="202529"/>
          <w:spacing w:val="-1"/>
        </w:rPr>
        <w:t> </w:t>
      </w:r>
      <w:r>
        <w:rPr>
          <w:color w:val="202529"/>
        </w:rPr>
        <w:t>of</w:t>
      </w:r>
      <w:r>
        <w:rPr>
          <w:color w:val="202529"/>
          <w:spacing w:val="-1"/>
        </w:rPr>
        <w:t> </w:t>
      </w:r>
      <w:r>
        <w:rPr>
          <w:color w:val="202529"/>
        </w:rPr>
        <w:t>CityCenter and does not reflect transactions that occurred subsequent to acquisition, such as the</w:t>
      </w:r>
      <w:r>
        <w:rPr>
          <w:color w:val="202529"/>
          <w:spacing w:val="-4"/>
        </w:rPr>
        <w:t> </w:t>
      </w:r>
      <w:r>
        <w:rPr>
          <w:color w:val="202529"/>
        </w:rPr>
        <w:t>Aria and Vdara real estate sale-leaseback transaction or the repayment of CityCenter’s assumed debt. The unaudited pro forma financial information below is not necessarily indicative of either future results of operations or results that might have been achieved had the acquisition been consummated as of the indicated date. </w:t>
      </w:r>
      <w:r>
        <w:rPr/>
        <w:t>Pro forma results of operations for the LeoVegas acquisition have not been included because it is not material to the consolidated results of operations.</w:t>
      </w:r>
    </w:p>
    <w:p>
      <w:pPr>
        <w:pStyle w:val="Heading5"/>
        <w:tabs>
          <w:tab w:pos="10713" w:val="left" w:leader="none"/>
        </w:tabs>
        <w:spacing w:line="328" w:lineRule="auto" w:before="49"/>
        <w:ind w:left="9086" w:right="698"/>
      </w:pPr>
      <w:r>
        <w:rPr/>
        <mc:AlternateContent>
          <mc:Choice Requires="wps">
            <w:drawing>
              <wp:anchor distT="0" distB="0" distL="0" distR="0" allowOverlap="1" layoutInCell="1" locked="0" behindDoc="0" simplePos="0" relativeHeight="15814656">
                <wp:simplePos x="0" y="0"/>
                <wp:positionH relativeFrom="page">
                  <wp:posOffset>5537822</wp:posOffset>
                </wp:positionH>
                <wp:positionV relativeFrom="paragraph">
                  <wp:posOffset>189612</wp:posOffset>
                </wp:positionV>
                <wp:extent cx="2005964" cy="889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2005964" cy="8890"/>
                        </a:xfrm>
                        <a:custGeom>
                          <a:avLst/>
                          <a:gdLst/>
                          <a:ahLst/>
                          <a:cxnLst/>
                          <a:rect l="l" t="t" r="r" b="b"/>
                          <a:pathLst>
                            <a:path w="2005964" h="8890">
                              <a:moveTo>
                                <a:pt x="2005965" y="0"/>
                              </a:moveTo>
                              <a:lnTo>
                                <a:pt x="2005965" y="0"/>
                              </a:lnTo>
                              <a:lnTo>
                                <a:pt x="0" y="0"/>
                              </a:lnTo>
                              <a:lnTo>
                                <a:pt x="0" y="8572"/>
                              </a:lnTo>
                              <a:lnTo>
                                <a:pt x="2005965" y="8572"/>
                              </a:lnTo>
                              <a:lnTo>
                                <a:pt x="2005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049011pt;margin-top:14.930142pt;width:157.950008pt;height:.675pt;mso-position-horizontal-relative:page;mso-position-vertical-relative:paragraph;z-index:15814656" id="docshape43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5168">
                <wp:simplePos x="0" y="0"/>
                <wp:positionH relativeFrom="page">
                  <wp:posOffset>5537822</wp:posOffset>
                </wp:positionH>
                <wp:positionV relativeFrom="paragraph">
                  <wp:posOffset>361062</wp:posOffset>
                </wp:positionV>
                <wp:extent cx="2005964" cy="889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2005964" cy="8890"/>
                        </a:xfrm>
                        <a:custGeom>
                          <a:avLst/>
                          <a:gdLst/>
                          <a:ahLst/>
                          <a:cxnLst/>
                          <a:rect l="l" t="t" r="r" b="b"/>
                          <a:pathLst>
                            <a:path w="2005964" h="8890">
                              <a:moveTo>
                                <a:pt x="2005965" y="0"/>
                              </a:moveTo>
                              <a:lnTo>
                                <a:pt x="2005965" y="0"/>
                              </a:lnTo>
                              <a:lnTo>
                                <a:pt x="0" y="0"/>
                              </a:lnTo>
                              <a:lnTo>
                                <a:pt x="0" y="8572"/>
                              </a:lnTo>
                              <a:lnTo>
                                <a:pt x="2005965" y="8572"/>
                              </a:lnTo>
                              <a:lnTo>
                                <a:pt x="2005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049011pt;margin-top:28.430143pt;width:157.950008pt;height:.675pt;mso-position-horizontal-relative:page;mso-position-vertical-relative:paragraph;z-index:15815168" id="docshape439" filled="true" fillcolor="#000000" stroked="false">
                <v:fill type="solid"/>
                <w10:wrap type="none"/>
              </v:rect>
            </w:pict>
          </mc:Fallback>
        </mc:AlternateContent>
      </w:r>
      <w:r>
        <w:rPr/>
        <w:t>Year</w:t>
      </w:r>
      <w:r>
        <w:rPr>
          <w:spacing w:val="-12"/>
        </w:rPr>
        <w:t> </w:t>
      </w:r>
      <w:r>
        <w:rPr/>
        <w:t>Ended</w:t>
      </w:r>
      <w:r>
        <w:rPr>
          <w:spacing w:val="-11"/>
        </w:rPr>
        <w:t> </w:t>
      </w:r>
      <w:r>
        <w:rPr/>
        <w:t>December</w:t>
      </w:r>
      <w:r>
        <w:rPr>
          <w:spacing w:val="-11"/>
        </w:rPr>
        <w:t> </w:t>
      </w:r>
      <w:r>
        <w:rPr/>
        <w:t>31, </w:t>
      </w:r>
      <w:r>
        <w:rPr>
          <w:spacing w:val="-4"/>
        </w:rPr>
        <w:t>2022</w:t>
      </w:r>
      <w:r>
        <w:rPr>
          <w:b w:val="0"/>
        </w:rPr>
        <w:tab/>
      </w:r>
      <w:r>
        <w:rPr>
          <w:spacing w:val="-4"/>
        </w:rPr>
        <w:t>2021</w:t>
      </w:r>
    </w:p>
    <w:p>
      <w:pPr>
        <w:spacing w:line="144" w:lineRule="exact" w:before="0" w:after="38"/>
        <w:ind w:left="8386"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3"/>
        <w:gridCol w:w="4208"/>
        <w:gridCol w:w="1144"/>
      </w:tblGrid>
      <w:tr>
        <w:trPr>
          <w:trHeight w:val="229" w:hRule="atLeast"/>
        </w:trPr>
        <w:tc>
          <w:tcPr>
            <w:tcW w:w="6163" w:type="dxa"/>
            <w:shd w:val="clear" w:color="auto" w:fill="CCEDFF"/>
          </w:tcPr>
          <w:p>
            <w:pPr>
              <w:pStyle w:val="TableParagraph"/>
              <w:spacing w:line="202" w:lineRule="exact" w:before="7"/>
              <w:ind w:left="17"/>
              <w:rPr>
                <w:sz w:val="18"/>
              </w:rPr>
            </w:pPr>
            <w:r>
              <w:rPr>
                <w:sz w:val="18"/>
              </w:rPr>
              <w:t>Net</w:t>
            </w:r>
            <w:r>
              <w:rPr>
                <w:spacing w:val="-1"/>
                <w:sz w:val="18"/>
              </w:rPr>
              <w:t> </w:t>
            </w:r>
            <w:r>
              <w:rPr>
                <w:spacing w:val="-2"/>
                <w:sz w:val="18"/>
              </w:rPr>
              <w:t>Revenues</w:t>
            </w:r>
          </w:p>
        </w:tc>
        <w:tc>
          <w:tcPr>
            <w:tcW w:w="4208" w:type="dxa"/>
            <w:shd w:val="clear" w:color="auto" w:fill="CCEDFF"/>
          </w:tcPr>
          <w:p>
            <w:pPr>
              <w:pStyle w:val="TableParagraph"/>
              <w:tabs>
                <w:tab w:pos="2843" w:val="left" w:leader="none"/>
              </w:tabs>
              <w:spacing w:line="202" w:lineRule="exact" w:before="7"/>
              <w:ind w:left="2217"/>
              <w:rPr>
                <w:sz w:val="18"/>
              </w:rPr>
            </w:pPr>
            <w:r>
              <w:rPr>
                <w:spacing w:val="-10"/>
                <w:sz w:val="18"/>
              </w:rPr>
              <w:t>$</w:t>
            </w:r>
            <w:r>
              <w:rPr>
                <w:sz w:val="18"/>
              </w:rPr>
              <w:tab/>
              <w:t>13,550,304</w:t>
            </w:r>
            <w:r>
              <w:rPr>
                <w:spacing w:val="50"/>
                <w:sz w:val="18"/>
              </w:rPr>
              <w:t>  </w:t>
            </w:r>
            <w:r>
              <w:rPr>
                <w:spacing w:val="-10"/>
                <w:sz w:val="18"/>
              </w:rPr>
              <w:t>$</w:t>
            </w:r>
          </w:p>
        </w:tc>
        <w:tc>
          <w:tcPr>
            <w:tcW w:w="1144" w:type="dxa"/>
            <w:shd w:val="clear" w:color="auto" w:fill="CCEDFF"/>
          </w:tcPr>
          <w:p>
            <w:pPr>
              <w:pStyle w:val="TableParagraph"/>
              <w:spacing w:line="202" w:lineRule="exact" w:before="7"/>
              <w:ind w:right="70"/>
              <w:jc w:val="right"/>
              <w:rPr>
                <w:sz w:val="18"/>
              </w:rPr>
            </w:pPr>
            <w:r>
              <w:rPr>
                <w:spacing w:val="-2"/>
                <w:sz w:val="18"/>
              </w:rPr>
              <w:t>11,114,592</w:t>
            </w:r>
          </w:p>
        </w:tc>
      </w:tr>
      <w:tr>
        <w:trPr>
          <w:trHeight w:val="214" w:hRule="atLeast"/>
        </w:trPr>
        <w:tc>
          <w:tcPr>
            <w:tcW w:w="6163" w:type="dxa"/>
          </w:tcPr>
          <w:p>
            <w:pPr>
              <w:pStyle w:val="TableParagraph"/>
              <w:spacing w:line="187" w:lineRule="exact" w:before="7"/>
              <w:ind w:left="17"/>
              <w:rPr>
                <w:sz w:val="18"/>
              </w:rPr>
            </w:pPr>
            <w:r>
              <w:rPr>
                <w:sz w:val="18"/>
              </w:rPr>
              <w:t>Net</w:t>
            </w:r>
            <w:r>
              <w:rPr>
                <w:spacing w:val="-1"/>
                <w:sz w:val="18"/>
              </w:rPr>
              <w:t> </w:t>
            </w:r>
            <w:r>
              <w:rPr>
                <w:sz w:val="18"/>
              </w:rPr>
              <w:t>income</w:t>
            </w:r>
            <w:r>
              <w:rPr>
                <w:spacing w:val="-1"/>
                <w:sz w:val="18"/>
              </w:rPr>
              <w:t> </w:t>
            </w:r>
            <w:r>
              <w:rPr>
                <w:sz w:val="18"/>
              </w:rPr>
              <w:t>attributable</w:t>
            </w:r>
            <w:r>
              <w:rPr>
                <w:spacing w:val="-1"/>
                <w:sz w:val="18"/>
              </w:rPr>
              <w:t> </w:t>
            </w:r>
            <w:r>
              <w:rPr>
                <w:sz w:val="18"/>
              </w:rPr>
              <w:t>to</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tc>
        <w:tc>
          <w:tcPr>
            <w:tcW w:w="4208" w:type="dxa"/>
          </w:tcPr>
          <w:p>
            <w:pPr>
              <w:pStyle w:val="TableParagraph"/>
              <w:spacing w:line="187" w:lineRule="exact" w:before="7"/>
              <w:ind w:right="552"/>
              <w:jc w:val="right"/>
              <w:rPr>
                <w:sz w:val="18"/>
              </w:rPr>
            </w:pPr>
            <w:r>
              <w:rPr>
                <w:spacing w:val="-2"/>
                <w:sz w:val="18"/>
              </w:rPr>
              <w:t>1,487,247</w:t>
            </w:r>
          </w:p>
        </w:tc>
        <w:tc>
          <w:tcPr>
            <w:tcW w:w="1144" w:type="dxa"/>
          </w:tcPr>
          <w:p>
            <w:pPr>
              <w:pStyle w:val="TableParagraph"/>
              <w:spacing w:line="187" w:lineRule="exact" w:before="7"/>
              <w:ind w:right="70"/>
              <w:jc w:val="right"/>
              <w:rPr>
                <w:sz w:val="18"/>
              </w:rPr>
            </w:pPr>
            <w:r>
              <w:rPr>
                <w:spacing w:val="-2"/>
                <w:sz w:val="18"/>
              </w:rPr>
              <w:t>185,703</w:t>
            </w:r>
          </w:p>
        </w:tc>
      </w:tr>
    </w:tbl>
    <w:p>
      <w:pPr>
        <w:pStyle w:val="BodyText"/>
        <w:spacing w:before="159"/>
        <w:rPr>
          <w:b/>
          <w:i/>
          <w:sz w:val="14"/>
        </w:rPr>
      </w:pPr>
    </w:p>
    <w:p>
      <w:pPr>
        <w:pStyle w:val="BodyText"/>
        <w:spacing w:line="249" w:lineRule="auto"/>
        <w:ind w:left="144" w:right="118" w:firstLine="499"/>
        <w:jc w:val="both"/>
      </w:pPr>
      <w:r>
        <w:rPr>
          <w:b/>
        </w:rPr>
        <w:t>The</w:t>
      </w:r>
      <w:r>
        <w:rPr>
          <w:b/>
          <w:spacing w:val="-2"/>
        </w:rPr>
        <w:t> </w:t>
      </w:r>
      <w:r>
        <w:rPr>
          <w:b/>
        </w:rPr>
        <w:t>Mirage</w:t>
      </w:r>
      <w:r>
        <w:rPr>
          <w:b/>
          <w:spacing w:val="-2"/>
        </w:rPr>
        <w:t> </w:t>
      </w:r>
      <w:r>
        <w:rPr>
          <w:b/>
        </w:rPr>
        <w:t>transaction.</w:t>
      </w:r>
      <w:r>
        <w:rPr>
          <w:b/>
          <w:spacing w:val="-2"/>
        </w:rPr>
        <w:t> </w:t>
      </w:r>
      <w:r>
        <w:rPr/>
        <w:t>On</w:t>
      </w:r>
      <w:r>
        <w:rPr>
          <w:spacing w:val="-2"/>
        </w:rPr>
        <w:t> </w:t>
      </w:r>
      <w:r>
        <w:rPr/>
        <w:t>December</w:t>
      </w:r>
      <w:r>
        <w:rPr>
          <w:spacing w:val="-2"/>
        </w:rPr>
        <w:t> </w:t>
      </w:r>
      <w:r>
        <w:rPr/>
        <w:t>19,</w:t>
      </w:r>
      <w:r>
        <w:rPr>
          <w:spacing w:val="-2"/>
        </w:rPr>
        <w:t> </w:t>
      </w:r>
      <w:r>
        <w:rPr/>
        <w:t>2022,</w:t>
      </w:r>
      <w:r>
        <w:rPr>
          <w:spacing w:val="-2"/>
        </w:rPr>
        <w:t> </w:t>
      </w:r>
      <w:r>
        <w:rPr/>
        <w:t>the</w:t>
      </w:r>
      <w:r>
        <w:rPr>
          <w:spacing w:val="-2"/>
        </w:rPr>
        <w:t> </w:t>
      </w:r>
      <w:r>
        <w:rPr/>
        <w:t>Company</w:t>
      </w:r>
      <w:r>
        <w:rPr>
          <w:spacing w:val="-2"/>
        </w:rPr>
        <w:t> </w:t>
      </w:r>
      <w:r>
        <w:rPr/>
        <w:t>completed</w:t>
      </w:r>
      <w:r>
        <w:rPr>
          <w:spacing w:val="-2"/>
        </w:rPr>
        <w:t> </w:t>
      </w:r>
      <w:r>
        <w:rPr/>
        <w:t>the</w:t>
      </w:r>
      <w:r>
        <w:rPr>
          <w:spacing w:val="-2"/>
        </w:rPr>
        <w:t> </w:t>
      </w:r>
      <w:r>
        <w:rPr/>
        <w:t>sale</w:t>
      </w:r>
      <w:r>
        <w:rPr>
          <w:spacing w:val="-2"/>
        </w:rPr>
        <w:t> </w:t>
      </w:r>
      <w:r>
        <w:rPr/>
        <w:t>of</w:t>
      </w:r>
      <w:r>
        <w:rPr>
          <w:spacing w:val="-2"/>
        </w:rPr>
        <w:t> </w:t>
      </w:r>
      <w:r>
        <w:rPr/>
        <w:t>the</w:t>
      </w:r>
      <w:r>
        <w:rPr>
          <w:spacing w:val="-2"/>
        </w:rPr>
        <w:t> </w:t>
      </w:r>
      <w:r>
        <w:rPr/>
        <w:t>operations</w:t>
      </w:r>
      <w:r>
        <w:rPr>
          <w:spacing w:val="-2"/>
        </w:rPr>
        <w:t> </w:t>
      </w:r>
      <w:r>
        <w:rPr/>
        <w:t>of</w:t>
      </w:r>
      <w:r>
        <w:rPr>
          <w:spacing w:val="-5"/>
        </w:rPr>
        <w:t> </w:t>
      </w:r>
      <w:r>
        <w:rPr/>
        <w:t>The</w:t>
      </w:r>
      <w:r>
        <w:rPr>
          <w:spacing w:val="-2"/>
        </w:rPr>
        <w:t> </w:t>
      </w:r>
      <w:r>
        <w:rPr/>
        <w:t>Mirage</w:t>
      </w:r>
      <w:r>
        <w:rPr>
          <w:spacing w:val="-2"/>
        </w:rPr>
        <w:t> </w:t>
      </w:r>
      <w:r>
        <w:rPr/>
        <w:t>to</w:t>
      </w:r>
      <w:r>
        <w:rPr>
          <w:spacing w:val="-2"/>
        </w:rPr>
        <w:t> </w:t>
      </w:r>
      <w:r>
        <w:rPr/>
        <w:t>an</w:t>
      </w:r>
      <w:r>
        <w:rPr>
          <w:spacing w:val="-2"/>
        </w:rPr>
        <w:t> </w:t>
      </w:r>
      <w:r>
        <w:rPr/>
        <w:t>affiliate</w:t>
      </w:r>
      <w:r>
        <w:rPr>
          <w:spacing w:val="-2"/>
        </w:rPr>
        <w:t> </w:t>
      </w:r>
      <w:r>
        <w:rPr/>
        <w:t>of</w:t>
      </w:r>
      <w:r>
        <w:rPr>
          <w:spacing w:val="-2"/>
        </w:rPr>
        <w:t> </w:t>
      </w:r>
      <w:r>
        <w:rPr/>
        <w:t>Hard</w:t>
      </w:r>
      <w:r>
        <w:rPr>
          <w:spacing w:val="-2"/>
        </w:rPr>
        <w:t> </w:t>
      </w:r>
      <w:r>
        <w:rPr/>
        <w:t>Rock</w:t>
      </w:r>
      <w:r>
        <w:rPr>
          <w:spacing w:val="-2"/>
        </w:rPr>
        <w:t> </w:t>
      </w:r>
      <w:r>
        <w:rPr/>
        <w:t>for</w:t>
      </w:r>
      <w:r>
        <w:rPr>
          <w:spacing w:val="-2"/>
        </w:rPr>
        <w:t> </w:t>
      </w:r>
      <w:r>
        <w:rPr/>
        <w:t>cash consideration of $1.075 billion subject to certain purchase price adjustments. At closing, the master lease between the Company and VICI was amended to remove The Mirage and to reflect a $90 million reduction in annual cash rent. The Company recognized a $1.1 billion gain recorded within “Property transactions, net.” The gain reflects the fair value of consideration received of $1.1 billion less the net carrying value of the assets and liabilities derecognized</w:t>
      </w:r>
      <w:r>
        <w:rPr>
          <w:spacing w:val="40"/>
        </w:rPr>
        <w:t> </w:t>
      </w:r>
      <w:r>
        <w:rPr/>
        <w:t>of $28 million.</w:t>
      </w:r>
    </w:p>
    <w:p>
      <w:pPr>
        <w:pStyle w:val="BodyText"/>
        <w:spacing w:before="13"/>
      </w:pPr>
    </w:p>
    <w:p>
      <w:pPr>
        <w:pStyle w:val="BodyText"/>
        <w:spacing w:line="249" w:lineRule="auto"/>
        <w:ind w:left="144" w:right="118" w:firstLine="499"/>
        <w:jc w:val="both"/>
      </w:pPr>
      <w:r>
        <w:rPr/>
        <w:t>The</w:t>
      </w:r>
      <w:r>
        <w:rPr>
          <w:spacing w:val="-1"/>
        </w:rPr>
        <w:t> </w:t>
      </w:r>
      <w:r>
        <w:rPr/>
        <w:t>operations</w:t>
      </w:r>
      <w:r>
        <w:rPr>
          <w:spacing w:val="-1"/>
        </w:rPr>
        <w:t> </w:t>
      </w:r>
      <w:r>
        <w:rPr/>
        <w:t>of</w:t>
      </w:r>
      <w:r>
        <w:rPr>
          <w:spacing w:val="-4"/>
        </w:rPr>
        <w:t> </w:t>
      </w:r>
      <w:r>
        <w:rPr/>
        <w:t>The</w:t>
      </w:r>
      <w:r>
        <w:rPr>
          <w:spacing w:val="-1"/>
        </w:rPr>
        <w:t> </w:t>
      </w:r>
      <w:r>
        <w:rPr/>
        <w:t>Mirage</w:t>
      </w:r>
      <w:r>
        <w:rPr>
          <w:spacing w:val="-1"/>
        </w:rPr>
        <w:t> </w:t>
      </w:r>
      <w:r>
        <w:rPr/>
        <w:t>are</w:t>
      </w:r>
      <w:r>
        <w:rPr>
          <w:spacing w:val="-1"/>
        </w:rPr>
        <w:t> </w:t>
      </w:r>
      <w:r>
        <w:rPr/>
        <w:t>not</w:t>
      </w:r>
      <w:r>
        <w:rPr>
          <w:spacing w:val="-1"/>
        </w:rPr>
        <w:t> </w:t>
      </w:r>
      <w:r>
        <w:rPr/>
        <w:t>classified</w:t>
      </w:r>
      <w:r>
        <w:rPr>
          <w:spacing w:val="-1"/>
        </w:rPr>
        <w:t> </w:t>
      </w:r>
      <w:r>
        <w:rPr/>
        <w:t>as</w:t>
      </w:r>
      <w:r>
        <w:rPr>
          <w:spacing w:val="-1"/>
        </w:rPr>
        <w:t> </w:t>
      </w:r>
      <w:r>
        <w:rPr/>
        <w:t>discontinued</w:t>
      </w:r>
      <w:r>
        <w:rPr>
          <w:spacing w:val="-1"/>
        </w:rPr>
        <w:t> </w:t>
      </w:r>
      <w:r>
        <w:rPr/>
        <w:t>operations</w:t>
      </w:r>
      <w:r>
        <w:rPr>
          <w:spacing w:val="-1"/>
        </w:rPr>
        <w:t> </w:t>
      </w:r>
      <w:r>
        <w:rPr/>
        <w:t>because</w:t>
      </w:r>
      <w:r>
        <w:rPr>
          <w:spacing w:val="-1"/>
        </w:rPr>
        <w:t> </w:t>
      </w:r>
      <w:r>
        <w:rPr/>
        <w:t>the</w:t>
      </w:r>
      <w:r>
        <w:rPr>
          <w:spacing w:val="-1"/>
        </w:rPr>
        <w:t> </w:t>
      </w:r>
      <w:r>
        <w:rPr/>
        <w:t>Company</w:t>
      </w:r>
      <w:r>
        <w:rPr>
          <w:spacing w:val="-1"/>
        </w:rPr>
        <w:t> </w:t>
      </w:r>
      <w:r>
        <w:rPr/>
        <w:t>concluded</w:t>
      </w:r>
      <w:r>
        <w:rPr>
          <w:spacing w:val="-1"/>
        </w:rPr>
        <w:t> </w:t>
      </w:r>
      <w:r>
        <w:rPr/>
        <w:t>that</w:t>
      </w:r>
      <w:r>
        <w:rPr>
          <w:spacing w:val="-1"/>
        </w:rPr>
        <w:t> </w:t>
      </w:r>
      <w:r>
        <w:rPr/>
        <w:t>the</w:t>
      </w:r>
      <w:r>
        <w:rPr>
          <w:spacing w:val="-1"/>
        </w:rPr>
        <w:t> </w:t>
      </w:r>
      <w:r>
        <w:rPr/>
        <w:t>sale</w:t>
      </w:r>
      <w:r>
        <w:rPr>
          <w:spacing w:val="-1"/>
        </w:rPr>
        <w:t> </w:t>
      </w:r>
      <w:r>
        <w:rPr/>
        <w:t>is</w:t>
      </w:r>
      <w:r>
        <w:rPr>
          <w:spacing w:val="-1"/>
        </w:rPr>
        <w:t> </w:t>
      </w:r>
      <w:r>
        <w:rPr/>
        <w:t>not</w:t>
      </w:r>
      <w:r>
        <w:rPr>
          <w:spacing w:val="-1"/>
        </w:rPr>
        <w:t> </w:t>
      </w:r>
      <w:r>
        <w:rPr/>
        <w:t>a</w:t>
      </w:r>
      <w:r>
        <w:rPr>
          <w:spacing w:val="-1"/>
        </w:rPr>
        <w:t> </w:t>
      </w:r>
      <w:r>
        <w:rPr/>
        <w:t>strategic</w:t>
      </w:r>
      <w:r>
        <w:rPr>
          <w:spacing w:val="-1"/>
        </w:rPr>
        <w:t> </w:t>
      </w:r>
      <w:r>
        <w:rPr/>
        <w:t>shift</w:t>
      </w:r>
      <w:r>
        <w:rPr>
          <w:spacing w:val="-1"/>
        </w:rPr>
        <w:t> </w:t>
      </w:r>
      <w:r>
        <w:rPr/>
        <w:t>that</w:t>
      </w:r>
      <w:r>
        <w:rPr>
          <w:spacing w:val="-1"/>
        </w:rPr>
        <w:t> </w:t>
      </w:r>
      <w:r>
        <w:rPr/>
        <w:t>has</w:t>
      </w:r>
      <w:r>
        <w:rPr>
          <w:spacing w:val="-1"/>
        </w:rPr>
        <w:t> </w:t>
      </w:r>
      <w:r>
        <w:rPr/>
        <w:t>a major effect on the Company’s operations or its financial results and it does not represent a major geographic segment or product line.</w:t>
      </w:r>
    </w:p>
    <w:p>
      <w:pPr>
        <w:pStyle w:val="BodyText"/>
        <w:spacing w:before="10"/>
      </w:pPr>
    </w:p>
    <w:p>
      <w:pPr>
        <w:pStyle w:val="BodyText"/>
        <w:spacing w:line="249" w:lineRule="auto"/>
        <w:ind w:left="144" w:right="117" w:firstLine="499"/>
        <w:jc w:val="both"/>
      </w:pPr>
      <w:r>
        <w:rPr>
          <w:b/>
        </w:rPr>
        <w:t>VICI Transaction. </w:t>
      </w:r>
      <w:r>
        <w:rPr/>
        <w:t>On</w:t>
      </w:r>
      <w:r>
        <w:rPr>
          <w:spacing w:val="-6"/>
        </w:rPr>
        <w:t> </w:t>
      </w:r>
      <w:r>
        <w:rPr/>
        <w:t>April 29, 2022, VICI acquired MGP</w:t>
      </w:r>
      <w:r>
        <w:rPr>
          <w:spacing w:val="-3"/>
        </w:rPr>
        <w:t> </w:t>
      </w:r>
      <w:r>
        <w:rPr/>
        <w:t>in a stock-for-stock transaction. MGP</w:t>
      </w:r>
      <w:r>
        <w:rPr>
          <w:spacing w:val="-3"/>
        </w:rPr>
        <w:t> </w:t>
      </w:r>
      <w:r>
        <w:rPr/>
        <w:t>Class</w:t>
      </w:r>
      <w:r>
        <w:rPr>
          <w:spacing w:val="-6"/>
        </w:rPr>
        <w:t> </w:t>
      </w:r>
      <w:r>
        <w:rPr/>
        <w:t>A</w:t>
      </w:r>
      <w:r>
        <w:rPr>
          <w:spacing w:val="-6"/>
        </w:rPr>
        <w:t> </w:t>
      </w:r>
      <w:r>
        <w:rPr/>
        <w:t>shareholders received 1.366 shares of newly issued</w:t>
      </w:r>
      <w:r>
        <w:rPr>
          <w:spacing w:val="-2"/>
        </w:rPr>
        <w:t> </w:t>
      </w:r>
      <w:r>
        <w:rPr/>
        <w:t>VICI stock in exchange for each MGP</w:t>
      </w:r>
      <w:r>
        <w:rPr>
          <w:spacing w:val="-5"/>
        </w:rPr>
        <w:t> </w:t>
      </w:r>
      <w:r>
        <w:rPr/>
        <w:t>Class</w:t>
      </w:r>
      <w:r>
        <w:rPr>
          <w:spacing w:val="-7"/>
        </w:rPr>
        <w:t> </w:t>
      </w:r>
      <w:r>
        <w:rPr/>
        <w:t>A</w:t>
      </w:r>
      <w:r>
        <w:rPr>
          <w:spacing w:val="-7"/>
        </w:rPr>
        <w:t> </w:t>
      </w:r>
      <w:r>
        <w:rPr/>
        <w:t>share outstanding and the Company received 1.366 units of</w:t>
      </w:r>
      <w:r>
        <w:rPr>
          <w:spacing w:val="-2"/>
        </w:rPr>
        <w:t> </w:t>
      </w:r>
      <w:r>
        <w:rPr/>
        <w:t>VICI OP</w:t>
      </w:r>
      <w:r>
        <w:rPr>
          <w:spacing w:val="-5"/>
        </w:rPr>
        <w:t> </w:t>
      </w:r>
      <w:r>
        <w:rPr/>
        <w:t>in exchange for each MGP</w:t>
      </w:r>
      <w:r>
        <w:rPr>
          <w:spacing w:val="-5"/>
        </w:rPr>
        <w:t> </w:t>
      </w:r>
      <w:r>
        <w:rPr/>
        <w:t>OP</w:t>
      </w:r>
      <w:r>
        <w:rPr>
          <w:spacing w:val="-5"/>
        </w:rPr>
        <w:t> </w:t>
      </w:r>
      <w:r>
        <w:rPr/>
        <w:t>unit held by the Company. The fixed exchange ratio represents an agreed upon price of $43 per share of MGP Class A share to the five-day volume weighted average price of VICI stock as of the close of business on July 30, 2021. In connection with the exchange, VICI OP redeemed the majority of the Company’s VICI OP units for cash consideration of $4.4 billion, with the Company retaining an approximate 1% ownership interest in VICI OP that had a fair value of approximately $375 million. MGP’s Class B share that was held by the Company was cancelled. Accordingly, the Company no longer holds a controlling interest in MGP and deconsolidated MGP upon the closing of the transactions. Further, the Company entered into an amended and restated master lease with VICI as discussed in Note 11. The lease between the Company and VICI BREIT Venture for the real estate assets of Mandalay Bay and MGM Grand Las Vegas remained unchanged.</w:t>
      </w:r>
    </w:p>
    <w:p>
      <w:pPr>
        <w:pStyle w:val="BodyText"/>
      </w:pPr>
    </w:p>
    <w:p>
      <w:pPr>
        <w:pStyle w:val="BodyText"/>
        <w:spacing w:before="200"/>
      </w:pPr>
    </w:p>
    <w:p>
      <w:pPr>
        <w:pStyle w:val="BodyText"/>
        <w:spacing w:before="1"/>
        <w:ind w:left="24"/>
        <w:jc w:val="center"/>
      </w:pPr>
      <w:r>
        <w:rPr>
          <w:spacing w:val="-5"/>
        </w:rPr>
        <w:t>74</w:t>
      </w:r>
    </w:p>
    <w:p>
      <w:pPr>
        <w:pStyle w:val="BodyText"/>
        <w:spacing w:before="2"/>
        <w:rPr>
          <w:sz w:val="6"/>
        </w:rPr>
      </w:pPr>
      <w:r>
        <w:rPr/>
        <mc:AlternateContent>
          <mc:Choice Requires="wps">
            <w:drawing>
              <wp:anchor distT="0" distB="0" distL="0" distR="0" allowOverlap="1" layoutInCell="1" locked="0" behindDoc="1" simplePos="0" relativeHeight="487673344">
                <wp:simplePos x="0" y="0"/>
                <wp:positionH relativeFrom="page">
                  <wp:posOffset>231457</wp:posOffset>
                </wp:positionH>
                <wp:positionV relativeFrom="paragraph">
                  <wp:posOffset>60321</wp:posOffset>
                </wp:positionV>
                <wp:extent cx="7312659" cy="17145"/>
                <wp:effectExtent l="0" t="0" r="0" b="0"/>
                <wp:wrapTopAndBottom/>
                <wp:docPr id="442" name="Group 442"/>
                <wp:cNvGraphicFramePr>
                  <a:graphicFrameLocks/>
                </wp:cNvGraphicFramePr>
                <a:graphic>
                  <a:graphicData uri="http://schemas.microsoft.com/office/word/2010/wordprocessingGroup">
                    <wpg:wgp>
                      <wpg:cNvPr id="442" name="Group 442"/>
                      <wpg:cNvGrpSpPr/>
                      <wpg:grpSpPr>
                        <a:xfrm>
                          <a:off x="0" y="0"/>
                          <a:ext cx="7312659" cy="17145"/>
                          <a:chExt cx="7312659" cy="17145"/>
                        </a:xfrm>
                      </wpg:grpSpPr>
                      <wps:wsp>
                        <wps:cNvPr id="443" name="Graphic 44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44" name="Graphic 444"/>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45" name="Graphic 44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643136;mso-wrap-distance-left:0;mso-wrap-distance-right:0" id="docshapegroup440" coordorigin="364,95" coordsize="11516,27">
                <v:rect style="position:absolute;left:364;top:95;width:11516;height:14" id="docshape441" filled="true" fillcolor="#999999" stroked="false">
                  <v:fill type="solid"/>
                </v:rect>
                <v:shape style="position:absolute;left:364;top:94;width:11516;height:27" id="docshape442" coordorigin="364,95" coordsize="11516,27" path="m11880,95l11866,108,364,108,364,122,11866,122,11880,122,11880,108,11880,95xe" filled="true" fillcolor="#ededed" stroked="false">
                  <v:path arrowok="t"/>
                  <v:fill type="solid"/>
                </v:shape>
                <v:shape style="position:absolute;left:364;top:95;width:14;height:27" id="docshape443" coordorigin="364,95" coordsize="14,27" path="m364,122l364,95,378,95,378,108,364,122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49" w:lineRule="auto" w:before="79"/>
        <w:ind w:left="144" w:right="118" w:firstLine="486"/>
        <w:jc w:val="both"/>
      </w:pPr>
      <w:r>
        <w:rPr/>
        <w:t>In connection with the transactions, the Company recognized a $2.3 billion gain recorded within “Gain on REIT</w:t>
      </w:r>
      <w:r>
        <w:rPr>
          <w:spacing w:val="-2"/>
        </w:rPr>
        <w:t> </w:t>
      </w:r>
      <w:r>
        <w:rPr/>
        <w:t>transactions, net.”</w:t>
      </w:r>
      <w:r>
        <w:rPr>
          <w:spacing w:val="-2"/>
        </w:rPr>
        <w:t> </w:t>
      </w:r>
      <w:r>
        <w:rPr/>
        <w:t>The gain reflects </w:t>
      </w:r>
      <w:r>
        <w:rPr/>
        <w:t>the fair value of consideration received of $4.8 billion plus the carrying amount of noncontrolling interest immediately prior to the transactions of $3.2 billion less the net carrying value of the assets and liabilities and accumulated comprehensive income derecognized of $5.7 billion.</w:t>
      </w:r>
    </w:p>
    <w:p>
      <w:pPr>
        <w:pStyle w:val="BodyText"/>
        <w:spacing w:before="11"/>
      </w:pPr>
    </w:p>
    <w:p>
      <w:pPr>
        <w:pStyle w:val="BodyText"/>
        <w:ind w:left="630"/>
      </w:pPr>
      <w:r>
        <w:rPr/>
        <mc:AlternateContent>
          <mc:Choice Requires="wps">
            <w:drawing>
              <wp:anchor distT="0" distB="0" distL="0" distR="0" allowOverlap="1" layoutInCell="1" locked="0" behindDoc="1" simplePos="0" relativeHeight="487674880">
                <wp:simplePos x="0" y="0"/>
                <wp:positionH relativeFrom="page">
                  <wp:posOffset>231457</wp:posOffset>
                </wp:positionH>
                <wp:positionV relativeFrom="paragraph">
                  <wp:posOffset>158291</wp:posOffset>
                </wp:positionV>
                <wp:extent cx="7312659" cy="146050"/>
                <wp:effectExtent l="0" t="0" r="0" b="0"/>
                <wp:wrapTopAndBottom/>
                <wp:docPr id="446" name="Group 446"/>
                <wp:cNvGraphicFramePr>
                  <a:graphicFrameLocks/>
                </wp:cNvGraphicFramePr>
                <a:graphic>
                  <a:graphicData uri="http://schemas.microsoft.com/office/word/2010/wordprocessingGroup">
                    <wpg:wgp>
                      <wpg:cNvPr id="446" name="Group 446"/>
                      <wpg:cNvGrpSpPr/>
                      <wpg:grpSpPr>
                        <a:xfrm>
                          <a:off x="0" y="0"/>
                          <a:ext cx="7312659" cy="146050"/>
                          <a:chExt cx="7312659" cy="146050"/>
                        </a:xfrm>
                      </wpg:grpSpPr>
                      <wps:wsp>
                        <wps:cNvPr id="447" name="Graphic 447"/>
                        <wps:cNvSpPr/>
                        <wps:spPr>
                          <a:xfrm>
                            <a:off x="-12" y="-3"/>
                            <a:ext cx="7312659" cy="137160"/>
                          </a:xfrm>
                          <a:custGeom>
                            <a:avLst/>
                            <a:gdLst/>
                            <a:ahLst/>
                            <a:cxnLst/>
                            <a:rect l="l" t="t" r="r" b="b"/>
                            <a:pathLst>
                              <a:path w="7312659" h="137160">
                                <a:moveTo>
                                  <a:pt x="7312342" y="0"/>
                                </a:moveTo>
                                <a:lnTo>
                                  <a:pt x="6343650" y="0"/>
                                </a:lnTo>
                                <a:lnTo>
                                  <a:pt x="6275070" y="0"/>
                                </a:lnTo>
                                <a:lnTo>
                                  <a:pt x="5306377" y="0"/>
                                </a:lnTo>
                                <a:lnTo>
                                  <a:pt x="0" y="0"/>
                                </a:lnTo>
                                <a:lnTo>
                                  <a:pt x="0" y="137160"/>
                                </a:lnTo>
                                <a:lnTo>
                                  <a:pt x="5306377" y="137160"/>
                                </a:lnTo>
                                <a:lnTo>
                                  <a:pt x="6275070" y="137160"/>
                                </a:lnTo>
                                <a:lnTo>
                                  <a:pt x="6343650" y="137160"/>
                                </a:lnTo>
                                <a:lnTo>
                                  <a:pt x="7312342" y="137160"/>
                                </a:lnTo>
                                <a:lnTo>
                                  <a:pt x="7312342" y="0"/>
                                </a:lnTo>
                                <a:close/>
                              </a:path>
                            </a:pathLst>
                          </a:custGeom>
                          <a:solidFill>
                            <a:srgbClr val="CCEDFF"/>
                          </a:solidFill>
                        </wps:spPr>
                        <wps:bodyPr wrap="square" lIns="0" tIns="0" rIns="0" bIns="0" rtlCol="0">
                          <a:prstTxWarp prst="textNoShape">
                            <a:avLst/>
                          </a:prstTxWarp>
                          <a:noAutofit/>
                        </wps:bodyPr>
                      </wps:wsp>
                      <wps:wsp>
                        <wps:cNvPr id="448" name="Graphic 448"/>
                        <wps:cNvSpPr/>
                        <wps:spPr>
                          <a:xfrm>
                            <a:off x="5306365" y="137156"/>
                            <a:ext cx="2005964" cy="8890"/>
                          </a:xfrm>
                          <a:custGeom>
                            <a:avLst/>
                            <a:gdLst/>
                            <a:ahLst/>
                            <a:cxnLst/>
                            <a:rect l="l" t="t" r="r" b="b"/>
                            <a:pathLst>
                              <a:path w="2005964" h="8890">
                                <a:moveTo>
                                  <a:pt x="2005965" y="0"/>
                                </a:moveTo>
                                <a:lnTo>
                                  <a:pt x="2005965" y="0"/>
                                </a:lnTo>
                                <a:lnTo>
                                  <a:pt x="0" y="0"/>
                                </a:lnTo>
                                <a:lnTo>
                                  <a:pt x="0" y="8572"/>
                                </a:lnTo>
                                <a:lnTo>
                                  <a:pt x="2005965" y="8572"/>
                                </a:lnTo>
                                <a:lnTo>
                                  <a:pt x="2005965" y="0"/>
                                </a:lnTo>
                                <a:close/>
                              </a:path>
                            </a:pathLst>
                          </a:custGeom>
                          <a:solidFill>
                            <a:srgbClr val="000000"/>
                          </a:solidFill>
                        </wps:spPr>
                        <wps:bodyPr wrap="square" lIns="0" tIns="0" rIns="0" bIns="0" rtlCol="0">
                          <a:prstTxWarp prst="textNoShape">
                            <a:avLst/>
                          </a:prstTxWarp>
                          <a:noAutofit/>
                        </wps:bodyPr>
                      </wps:wsp>
                      <wps:wsp>
                        <wps:cNvPr id="449" name="Textbox 449"/>
                        <wps:cNvSpPr txBox="1"/>
                        <wps:spPr>
                          <a:xfrm>
                            <a:off x="0" y="0"/>
                            <a:ext cx="7312659" cy="137160"/>
                          </a:xfrm>
                          <a:prstGeom prst="rect">
                            <a:avLst/>
                          </a:prstGeom>
                        </wps:spPr>
                        <wps:txbx>
                          <w:txbxContent>
                            <w:p>
                              <w:pPr>
                                <w:tabs>
                                  <w:tab w:pos="1832" w:val="left" w:leader="none"/>
                                </w:tabs>
                                <w:spacing w:before="12"/>
                                <w:ind w:left="0" w:right="355" w:firstLine="0"/>
                                <w:jc w:val="right"/>
                                <w:rPr>
                                  <w:b/>
                                  <w:sz w:val="16"/>
                                </w:rPr>
                              </w:pPr>
                              <w:r>
                                <w:rPr>
                                  <w:b/>
                                  <w:sz w:val="16"/>
                                </w:rPr>
                                <w:t>VICI </w:t>
                              </w:r>
                              <w:r>
                                <w:rPr>
                                  <w:b/>
                                  <w:spacing w:val="-2"/>
                                  <w:sz w:val="16"/>
                                </w:rPr>
                                <w:t>Transaction</w:t>
                              </w:r>
                              <w:r>
                                <w:rPr>
                                  <w:b/>
                                  <w:sz w:val="16"/>
                                </w:rPr>
                                <w:tab/>
                                <w:t>The</w:t>
                              </w:r>
                              <w:r>
                                <w:rPr>
                                  <w:b/>
                                  <w:spacing w:val="2"/>
                                  <w:sz w:val="16"/>
                                </w:rPr>
                                <w:t> </w:t>
                              </w:r>
                              <w:r>
                                <w:rPr>
                                  <w:b/>
                                  <w:spacing w:val="-2"/>
                                  <w:sz w:val="16"/>
                                </w:rPr>
                                <w:t>Mirage</w:t>
                              </w:r>
                            </w:p>
                          </w:txbxContent>
                        </wps:txbx>
                        <wps:bodyPr wrap="square" lIns="0" tIns="0" rIns="0" bIns="0" rtlCol="0">
                          <a:noAutofit/>
                        </wps:bodyPr>
                      </wps:wsp>
                    </wpg:wgp>
                  </a:graphicData>
                </a:graphic>
              </wp:anchor>
            </w:drawing>
          </mc:Choice>
          <mc:Fallback>
            <w:pict>
              <v:group style="position:absolute;margin-left:18.224997pt;margin-top:12.463896pt;width:575.8pt;height:11.5pt;mso-position-horizontal-relative:page;mso-position-vertical-relative:paragraph;z-index:-15641600;mso-wrap-distance-left:0;mso-wrap-distance-right:0" id="docshapegroup444" coordorigin="364,249" coordsize="11516,230">
                <v:shape style="position:absolute;left:364;top:249;width:11516;height:216" id="docshape445" coordorigin="364,249" coordsize="11516,216" path="m11880,249l10354,249,10246,249,8721,249,364,249,364,465,8721,465,10246,465,10354,465,11880,465,11880,249xe" filled="true" fillcolor="#ccedff" stroked="false">
                  <v:path arrowok="t"/>
                  <v:fill type="solid"/>
                </v:shape>
                <v:rect style="position:absolute;left:8720;top:465;width:3159;height:14" id="docshape446" filled="true" fillcolor="#000000" stroked="false">
                  <v:fill type="solid"/>
                </v:rect>
                <v:shape style="position:absolute;left:364;top:249;width:11516;height:216" type="#_x0000_t202" id="docshape447" filled="false" stroked="false">
                  <v:textbox inset="0,0,0,0">
                    <w:txbxContent>
                      <w:p>
                        <w:pPr>
                          <w:tabs>
                            <w:tab w:pos="1832" w:val="left" w:leader="none"/>
                          </w:tabs>
                          <w:spacing w:before="12"/>
                          <w:ind w:left="0" w:right="355" w:firstLine="0"/>
                          <w:jc w:val="right"/>
                          <w:rPr>
                            <w:b/>
                            <w:sz w:val="16"/>
                          </w:rPr>
                        </w:pPr>
                        <w:r>
                          <w:rPr>
                            <w:b/>
                            <w:sz w:val="16"/>
                          </w:rPr>
                          <w:t>VICI </w:t>
                        </w:r>
                        <w:r>
                          <w:rPr>
                            <w:b/>
                            <w:spacing w:val="-2"/>
                            <w:sz w:val="16"/>
                          </w:rPr>
                          <w:t>Transaction</w:t>
                        </w:r>
                        <w:r>
                          <w:rPr>
                            <w:b/>
                            <w:sz w:val="16"/>
                          </w:rPr>
                          <w:tab/>
                          <w:t>The</w:t>
                        </w:r>
                        <w:r>
                          <w:rPr>
                            <w:b/>
                            <w:spacing w:val="2"/>
                            <w:sz w:val="16"/>
                          </w:rPr>
                          <w:t> </w:t>
                        </w:r>
                        <w:r>
                          <w:rPr>
                            <w:b/>
                            <w:spacing w:val="-2"/>
                            <w:sz w:val="16"/>
                          </w:rPr>
                          <w:t>Mirage</w:t>
                        </w:r>
                      </w:p>
                    </w:txbxContent>
                  </v:textbox>
                  <w10:wrap type="none"/>
                </v:shape>
                <w10:wrap type="topAndBottom"/>
              </v:group>
            </w:pict>
          </mc:Fallback>
        </mc:AlternateContent>
      </w:r>
      <w:r>
        <w:rPr/>
        <w:t>The</w:t>
      </w:r>
      <w:r>
        <w:rPr>
          <w:spacing w:val="-1"/>
        </w:rPr>
        <w:t> </w:t>
      </w:r>
      <w:r>
        <w:rPr/>
        <w:t>major</w:t>
      </w:r>
      <w:r>
        <w:rPr>
          <w:spacing w:val="-1"/>
        </w:rPr>
        <w:t> </w:t>
      </w:r>
      <w:r>
        <w:rPr/>
        <w:t>classes</w:t>
      </w:r>
      <w:r>
        <w:rPr>
          <w:spacing w:val="-1"/>
        </w:rPr>
        <w:t> </w:t>
      </w:r>
      <w:r>
        <w:rPr/>
        <w:t>of</w:t>
      </w:r>
      <w:r>
        <w:rPr>
          <w:spacing w:val="-1"/>
        </w:rPr>
        <w:t> </w:t>
      </w:r>
      <w:r>
        <w:rPr/>
        <w:t>assets</w:t>
      </w:r>
      <w:r>
        <w:rPr>
          <w:spacing w:val="-1"/>
        </w:rPr>
        <w:t> </w:t>
      </w:r>
      <w:r>
        <w:rPr/>
        <w:t>and</w:t>
      </w:r>
      <w:r>
        <w:rPr>
          <w:spacing w:val="-1"/>
        </w:rPr>
        <w:t> </w:t>
      </w:r>
      <w:r>
        <w:rPr/>
        <w:t>liabilities</w:t>
      </w:r>
      <w:r>
        <w:rPr>
          <w:spacing w:val="-1"/>
        </w:rPr>
        <w:t> </w:t>
      </w:r>
      <w:r>
        <w:rPr/>
        <w:t>derecognized</w:t>
      </w:r>
      <w:r>
        <w:rPr>
          <w:spacing w:val="-1"/>
        </w:rPr>
        <w:t> </w:t>
      </w:r>
      <w:r>
        <w:rPr/>
        <w:t>in</w:t>
      </w:r>
      <w:r>
        <w:rPr>
          <w:spacing w:val="-1"/>
        </w:rPr>
        <w:t> </w:t>
      </w:r>
      <w:r>
        <w:rPr/>
        <w:t>connection</w:t>
      </w:r>
      <w:r>
        <w:rPr>
          <w:spacing w:val="-1"/>
        </w:rPr>
        <w:t> </w:t>
      </w:r>
      <w:r>
        <w:rPr/>
        <w:t>with</w:t>
      </w:r>
      <w:r>
        <w:rPr>
          <w:spacing w:val="-4"/>
        </w:rPr>
        <w:t> </w:t>
      </w:r>
      <w:r>
        <w:rPr/>
        <w:t>The</w:t>
      </w:r>
      <w:r>
        <w:rPr>
          <w:spacing w:val="-1"/>
        </w:rPr>
        <w:t> </w:t>
      </w:r>
      <w:r>
        <w:rPr/>
        <w:t>Mirage</w:t>
      </w:r>
      <w:r>
        <w:rPr>
          <w:spacing w:val="-1"/>
        </w:rPr>
        <w:t> </w:t>
      </w:r>
      <w:r>
        <w:rPr/>
        <w:t>and</w:t>
      </w:r>
      <w:r>
        <w:rPr>
          <w:spacing w:val="-4"/>
        </w:rPr>
        <w:t> </w:t>
      </w:r>
      <w:r>
        <w:rPr/>
        <w:t>VICI</w:t>
      </w:r>
      <w:r>
        <w:rPr>
          <w:spacing w:val="-1"/>
        </w:rPr>
        <w:t> </w:t>
      </w:r>
      <w:r>
        <w:rPr/>
        <w:t>transactions</w:t>
      </w:r>
      <w:r>
        <w:rPr>
          <w:spacing w:val="-1"/>
        </w:rPr>
        <w:t> </w:t>
      </w:r>
      <w:r>
        <w:rPr/>
        <w:t>are</w:t>
      </w:r>
      <w:r>
        <w:rPr>
          <w:spacing w:val="-1"/>
        </w:rPr>
        <w:t> </w:t>
      </w:r>
      <w:r>
        <w:rPr/>
        <w:t>as</w:t>
      </w:r>
      <w:r>
        <w:rPr>
          <w:spacing w:val="-1"/>
        </w:rPr>
        <w:t> </w:t>
      </w:r>
      <w:r>
        <w:rPr>
          <w:spacing w:val="-2"/>
        </w:rPr>
        <w:t>follows:</w:t>
      </w:r>
    </w:p>
    <w:p>
      <w:pPr>
        <w:spacing w:before="12" w:after="47"/>
        <w:ind w:left="0" w:right="1203" w:firstLine="0"/>
        <w:jc w:val="right"/>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6"/>
        <w:gridCol w:w="1525"/>
        <w:gridCol w:w="1633"/>
      </w:tblGrid>
      <w:tr>
        <w:trPr>
          <w:trHeight w:val="229" w:hRule="atLeast"/>
        </w:trPr>
        <w:tc>
          <w:tcPr>
            <w:tcW w:w="8356" w:type="dxa"/>
            <w:shd w:val="clear" w:color="auto" w:fill="CCEDFF"/>
          </w:tcPr>
          <w:p>
            <w:pPr>
              <w:pStyle w:val="TableParagraph"/>
              <w:spacing w:line="202" w:lineRule="exact" w:before="7"/>
              <w:ind w:left="17"/>
              <w:rPr>
                <w:sz w:val="18"/>
              </w:rPr>
            </w:pPr>
            <w:r>
              <w:rPr>
                <w:sz w:val="18"/>
              </w:rPr>
              <w:t>Cash</w:t>
            </w:r>
            <w:r>
              <w:rPr>
                <w:spacing w:val="-1"/>
                <w:sz w:val="18"/>
              </w:rPr>
              <w:t> </w:t>
            </w:r>
            <w:r>
              <w:rPr>
                <w:sz w:val="18"/>
              </w:rPr>
              <w:t>and</w:t>
            </w:r>
            <w:r>
              <w:rPr>
                <w:spacing w:val="-1"/>
                <w:sz w:val="18"/>
              </w:rPr>
              <w:t> </w:t>
            </w:r>
            <w:r>
              <w:rPr>
                <w:sz w:val="18"/>
              </w:rPr>
              <w:t>cash</w:t>
            </w:r>
            <w:r>
              <w:rPr>
                <w:spacing w:val="-1"/>
                <w:sz w:val="18"/>
              </w:rPr>
              <w:t> </w:t>
            </w:r>
            <w:r>
              <w:rPr>
                <w:spacing w:val="-2"/>
                <w:sz w:val="18"/>
              </w:rPr>
              <w:t>equivalents</w:t>
            </w:r>
          </w:p>
        </w:tc>
        <w:tc>
          <w:tcPr>
            <w:tcW w:w="1525" w:type="dxa"/>
            <w:shd w:val="clear" w:color="auto" w:fill="CCEDFF"/>
          </w:tcPr>
          <w:p>
            <w:pPr>
              <w:pStyle w:val="TableParagraph"/>
              <w:tabs>
                <w:tab w:pos="942" w:val="left" w:leader="none"/>
              </w:tabs>
              <w:spacing w:line="202" w:lineRule="exact" w:before="7"/>
              <w:ind w:right="64"/>
              <w:jc w:val="right"/>
              <w:rPr>
                <w:sz w:val="18"/>
              </w:rPr>
            </w:pPr>
            <w:r>
              <w:rPr>
                <w:spacing w:val="-10"/>
                <w:sz w:val="18"/>
              </w:rPr>
              <w:t>$</w:t>
            </w:r>
            <w:r>
              <w:rPr>
                <w:sz w:val="18"/>
              </w:rPr>
              <w:tab/>
            </w:r>
            <w:r>
              <w:rPr>
                <w:spacing w:val="-2"/>
                <w:sz w:val="18"/>
              </w:rPr>
              <w:t>25,387</w:t>
            </w:r>
          </w:p>
        </w:tc>
        <w:tc>
          <w:tcPr>
            <w:tcW w:w="1633" w:type="dxa"/>
            <w:shd w:val="clear" w:color="auto" w:fill="CCEDFF"/>
          </w:tcPr>
          <w:p>
            <w:pPr>
              <w:pStyle w:val="TableParagraph"/>
              <w:tabs>
                <w:tab w:pos="942" w:val="left" w:leader="none"/>
              </w:tabs>
              <w:spacing w:line="202" w:lineRule="exact" w:before="7"/>
              <w:ind w:right="69"/>
              <w:jc w:val="right"/>
              <w:rPr>
                <w:sz w:val="18"/>
              </w:rPr>
            </w:pPr>
            <w:r>
              <w:rPr>
                <w:spacing w:val="-10"/>
                <w:sz w:val="18"/>
              </w:rPr>
              <w:t>$</w:t>
            </w:r>
            <w:r>
              <w:rPr>
                <w:sz w:val="18"/>
              </w:rPr>
              <w:tab/>
            </w:r>
            <w:r>
              <w:rPr>
                <w:spacing w:val="-2"/>
                <w:sz w:val="18"/>
              </w:rPr>
              <w:t>26,230</w:t>
            </w:r>
          </w:p>
        </w:tc>
      </w:tr>
      <w:tr>
        <w:trPr>
          <w:trHeight w:val="229" w:hRule="atLeast"/>
        </w:trPr>
        <w:tc>
          <w:tcPr>
            <w:tcW w:w="8356" w:type="dxa"/>
          </w:tcPr>
          <w:p>
            <w:pPr>
              <w:pStyle w:val="TableParagraph"/>
              <w:spacing w:line="202" w:lineRule="exact" w:before="7"/>
              <w:ind w:left="17"/>
              <w:rPr>
                <w:sz w:val="18"/>
              </w:rPr>
            </w:pPr>
            <w:r>
              <w:rPr>
                <w:sz w:val="18"/>
              </w:rPr>
              <w:t>Accounts</w:t>
            </w:r>
            <w:r>
              <w:rPr>
                <w:spacing w:val="-1"/>
                <w:sz w:val="18"/>
              </w:rPr>
              <w:t> </w:t>
            </w:r>
            <w:r>
              <w:rPr>
                <w:sz w:val="18"/>
              </w:rPr>
              <w:t>receivable,</w:t>
            </w:r>
            <w:r>
              <w:rPr>
                <w:spacing w:val="-1"/>
                <w:sz w:val="18"/>
              </w:rPr>
              <w:t> </w:t>
            </w:r>
            <w:r>
              <w:rPr>
                <w:spacing w:val="-5"/>
                <w:sz w:val="18"/>
              </w:rPr>
              <w:t>net</w:t>
            </w:r>
          </w:p>
        </w:tc>
        <w:tc>
          <w:tcPr>
            <w:tcW w:w="1525" w:type="dxa"/>
          </w:tcPr>
          <w:p>
            <w:pPr>
              <w:pStyle w:val="TableParagraph"/>
              <w:spacing w:line="202" w:lineRule="exact" w:before="7"/>
              <w:ind w:right="64"/>
              <w:jc w:val="right"/>
              <w:rPr>
                <w:sz w:val="18"/>
              </w:rPr>
            </w:pPr>
            <w:r>
              <w:rPr>
                <w:spacing w:val="-10"/>
                <w:sz w:val="18"/>
              </w:rPr>
              <w:t>—</w:t>
            </w:r>
          </w:p>
        </w:tc>
        <w:tc>
          <w:tcPr>
            <w:tcW w:w="1633" w:type="dxa"/>
          </w:tcPr>
          <w:p>
            <w:pPr>
              <w:pStyle w:val="TableParagraph"/>
              <w:spacing w:line="202" w:lineRule="exact" w:before="7"/>
              <w:ind w:right="69"/>
              <w:jc w:val="right"/>
              <w:rPr>
                <w:sz w:val="18"/>
              </w:rPr>
            </w:pPr>
            <w:r>
              <w:rPr>
                <w:spacing w:val="-2"/>
                <w:sz w:val="18"/>
              </w:rPr>
              <w:t>22,062</w:t>
            </w:r>
          </w:p>
        </w:tc>
      </w:tr>
      <w:tr>
        <w:trPr>
          <w:trHeight w:val="242" w:hRule="atLeast"/>
        </w:trPr>
        <w:tc>
          <w:tcPr>
            <w:tcW w:w="8356" w:type="dxa"/>
            <w:shd w:val="clear" w:color="auto" w:fill="CCEDFF"/>
          </w:tcPr>
          <w:p>
            <w:pPr>
              <w:pStyle w:val="TableParagraph"/>
              <w:spacing w:before="7"/>
              <w:ind w:left="17"/>
              <w:rPr>
                <w:sz w:val="18"/>
              </w:rPr>
            </w:pPr>
            <w:r>
              <w:rPr>
                <w:spacing w:val="-2"/>
                <w:sz w:val="18"/>
              </w:rPr>
              <w:t>Inventories</w:t>
            </w:r>
          </w:p>
        </w:tc>
        <w:tc>
          <w:tcPr>
            <w:tcW w:w="1525" w:type="dxa"/>
            <w:shd w:val="clear" w:color="auto" w:fill="CCEDFF"/>
          </w:tcPr>
          <w:p>
            <w:pPr>
              <w:pStyle w:val="TableParagraph"/>
              <w:spacing w:before="7"/>
              <w:ind w:right="64"/>
              <w:jc w:val="right"/>
              <w:rPr>
                <w:sz w:val="18"/>
              </w:rPr>
            </w:pPr>
            <w:r>
              <w:rPr>
                <w:spacing w:val="-10"/>
                <w:sz w:val="18"/>
              </w:rPr>
              <w:t>—</w:t>
            </w:r>
          </w:p>
        </w:tc>
        <w:tc>
          <w:tcPr>
            <w:tcW w:w="1633" w:type="dxa"/>
            <w:shd w:val="clear" w:color="auto" w:fill="CCEDFF"/>
          </w:tcPr>
          <w:p>
            <w:pPr>
              <w:pStyle w:val="TableParagraph"/>
              <w:spacing w:before="7"/>
              <w:ind w:right="69"/>
              <w:jc w:val="right"/>
              <w:rPr>
                <w:sz w:val="18"/>
              </w:rPr>
            </w:pPr>
            <w:r>
              <w:rPr>
                <w:spacing w:val="-2"/>
                <w:sz w:val="18"/>
              </w:rPr>
              <w:t>6,783</w:t>
            </w:r>
          </w:p>
        </w:tc>
      </w:tr>
      <w:tr>
        <w:trPr>
          <w:trHeight w:val="229" w:hRule="atLeast"/>
        </w:trPr>
        <w:tc>
          <w:tcPr>
            <w:tcW w:w="8356" w:type="dxa"/>
          </w:tcPr>
          <w:p>
            <w:pPr>
              <w:pStyle w:val="TableParagraph"/>
              <w:spacing w:line="202" w:lineRule="exact" w:before="7"/>
              <w:ind w:left="17"/>
              <w:rPr>
                <w:sz w:val="18"/>
              </w:rPr>
            </w:pPr>
            <w:r>
              <w:rPr>
                <w:sz w:val="18"/>
              </w:rPr>
              <w:t>Income</w:t>
            </w:r>
            <w:r>
              <w:rPr>
                <w:spacing w:val="-1"/>
                <w:sz w:val="18"/>
              </w:rPr>
              <w:t> </w:t>
            </w:r>
            <w:r>
              <w:rPr>
                <w:sz w:val="18"/>
              </w:rPr>
              <w:t>tax</w:t>
            </w:r>
            <w:r>
              <w:rPr>
                <w:spacing w:val="-1"/>
                <w:sz w:val="18"/>
              </w:rPr>
              <w:t> </w:t>
            </w:r>
            <w:r>
              <w:rPr>
                <w:spacing w:val="-2"/>
                <w:sz w:val="18"/>
              </w:rPr>
              <w:t>receivable</w:t>
            </w:r>
          </w:p>
        </w:tc>
        <w:tc>
          <w:tcPr>
            <w:tcW w:w="1525" w:type="dxa"/>
          </w:tcPr>
          <w:p>
            <w:pPr>
              <w:pStyle w:val="TableParagraph"/>
              <w:spacing w:line="202" w:lineRule="exact" w:before="7"/>
              <w:ind w:right="63"/>
              <w:jc w:val="right"/>
              <w:rPr>
                <w:sz w:val="18"/>
              </w:rPr>
            </w:pPr>
            <w:r>
              <w:rPr>
                <w:spacing w:val="-2"/>
                <w:sz w:val="18"/>
              </w:rPr>
              <w:t>5,486</w:t>
            </w:r>
          </w:p>
        </w:tc>
        <w:tc>
          <w:tcPr>
            <w:tcW w:w="1633" w:type="dxa"/>
          </w:tcPr>
          <w:p>
            <w:pPr>
              <w:pStyle w:val="TableParagraph"/>
              <w:spacing w:line="202" w:lineRule="exact" w:before="7"/>
              <w:ind w:right="69"/>
              <w:jc w:val="right"/>
              <w:rPr>
                <w:sz w:val="18"/>
              </w:rPr>
            </w:pPr>
            <w:r>
              <w:rPr>
                <w:spacing w:val="-10"/>
                <w:sz w:val="18"/>
              </w:rPr>
              <w:t>—</w:t>
            </w:r>
          </w:p>
        </w:tc>
      </w:tr>
      <w:tr>
        <w:trPr>
          <w:trHeight w:val="229" w:hRule="atLeast"/>
        </w:trPr>
        <w:tc>
          <w:tcPr>
            <w:tcW w:w="8356" w:type="dxa"/>
            <w:shd w:val="clear" w:color="auto" w:fill="CCEDFF"/>
          </w:tcPr>
          <w:p>
            <w:pPr>
              <w:pStyle w:val="TableParagraph"/>
              <w:spacing w:line="202" w:lineRule="exact" w:before="7"/>
              <w:ind w:left="17"/>
              <w:rPr>
                <w:sz w:val="18"/>
              </w:rPr>
            </w:pPr>
            <w:r>
              <w:rPr>
                <w:sz w:val="18"/>
              </w:rPr>
              <w:t>Prepaid</w:t>
            </w:r>
            <w:r>
              <w:rPr>
                <w:spacing w:val="-1"/>
                <w:sz w:val="18"/>
              </w:rPr>
              <w:t> </w:t>
            </w:r>
            <w:r>
              <w:rPr>
                <w:sz w:val="18"/>
              </w:rPr>
              <w:t>expenses</w:t>
            </w:r>
            <w:r>
              <w:rPr>
                <w:spacing w:val="-1"/>
                <w:sz w:val="18"/>
              </w:rPr>
              <w:t> </w:t>
            </w:r>
            <w:r>
              <w:rPr>
                <w:sz w:val="18"/>
              </w:rPr>
              <w:t>and</w:t>
            </w:r>
            <w:r>
              <w:rPr>
                <w:spacing w:val="-1"/>
                <w:sz w:val="18"/>
              </w:rPr>
              <w:t> </w:t>
            </w:r>
            <w:r>
              <w:rPr>
                <w:spacing w:val="-2"/>
                <w:sz w:val="18"/>
              </w:rPr>
              <w:t>other</w:t>
            </w:r>
          </w:p>
        </w:tc>
        <w:tc>
          <w:tcPr>
            <w:tcW w:w="1525" w:type="dxa"/>
            <w:shd w:val="clear" w:color="auto" w:fill="CCEDFF"/>
          </w:tcPr>
          <w:p>
            <w:pPr>
              <w:pStyle w:val="TableParagraph"/>
              <w:spacing w:line="202" w:lineRule="exact" w:before="7"/>
              <w:ind w:right="63"/>
              <w:jc w:val="right"/>
              <w:rPr>
                <w:sz w:val="18"/>
              </w:rPr>
            </w:pPr>
            <w:r>
              <w:rPr>
                <w:spacing w:val="-5"/>
                <w:sz w:val="18"/>
              </w:rPr>
              <w:t>128</w:t>
            </w:r>
          </w:p>
        </w:tc>
        <w:tc>
          <w:tcPr>
            <w:tcW w:w="1633" w:type="dxa"/>
            <w:shd w:val="clear" w:color="auto" w:fill="CCEDFF"/>
          </w:tcPr>
          <w:p>
            <w:pPr>
              <w:pStyle w:val="TableParagraph"/>
              <w:spacing w:line="202" w:lineRule="exact" w:before="7"/>
              <w:ind w:right="69"/>
              <w:jc w:val="right"/>
              <w:rPr>
                <w:sz w:val="18"/>
              </w:rPr>
            </w:pPr>
            <w:r>
              <w:rPr>
                <w:spacing w:val="-2"/>
                <w:sz w:val="18"/>
              </w:rPr>
              <w:t>5,520</w:t>
            </w:r>
          </w:p>
        </w:tc>
      </w:tr>
      <w:tr>
        <w:trPr>
          <w:trHeight w:val="229" w:hRule="atLeast"/>
        </w:trPr>
        <w:tc>
          <w:tcPr>
            <w:tcW w:w="8356" w:type="dxa"/>
          </w:tcPr>
          <w:p>
            <w:pPr>
              <w:pStyle w:val="TableParagraph"/>
              <w:spacing w:line="202" w:lineRule="exact" w:before="7"/>
              <w:ind w:left="17"/>
              <w:rPr>
                <w:sz w:val="18"/>
              </w:rPr>
            </w:pPr>
            <w:r>
              <w:rPr>
                <w:sz w:val="18"/>
              </w:rPr>
              <w:t>Property</w:t>
            </w:r>
            <w:r>
              <w:rPr>
                <w:spacing w:val="-1"/>
                <w:sz w:val="18"/>
              </w:rPr>
              <w:t> </w:t>
            </w:r>
            <w:r>
              <w:rPr>
                <w:sz w:val="18"/>
              </w:rPr>
              <w:t>and</w:t>
            </w:r>
            <w:r>
              <w:rPr>
                <w:spacing w:val="-1"/>
                <w:sz w:val="18"/>
              </w:rPr>
              <w:t> </w:t>
            </w:r>
            <w:r>
              <w:rPr>
                <w:sz w:val="18"/>
              </w:rPr>
              <w:t>equipment,</w:t>
            </w:r>
            <w:r>
              <w:rPr>
                <w:spacing w:val="-1"/>
                <w:sz w:val="18"/>
              </w:rPr>
              <w:t> </w:t>
            </w:r>
            <w:r>
              <w:rPr>
                <w:spacing w:val="-5"/>
                <w:sz w:val="18"/>
              </w:rPr>
              <w:t>net</w:t>
            </w:r>
          </w:p>
        </w:tc>
        <w:tc>
          <w:tcPr>
            <w:tcW w:w="1525" w:type="dxa"/>
          </w:tcPr>
          <w:p>
            <w:pPr>
              <w:pStyle w:val="TableParagraph"/>
              <w:spacing w:line="202" w:lineRule="exact" w:before="7"/>
              <w:ind w:right="63"/>
              <w:jc w:val="right"/>
              <w:rPr>
                <w:sz w:val="18"/>
              </w:rPr>
            </w:pPr>
            <w:r>
              <w:rPr>
                <w:spacing w:val="-2"/>
                <w:sz w:val="18"/>
              </w:rPr>
              <w:t>9,250,519</w:t>
            </w:r>
          </w:p>
        </w:tc>
        <w:tc>
          <w:tcPr>
            <w:tcW w:w="1633" w:type="dxa"/>
          </w:tcPr>
          <w:p>
            <w:pPr>
              <w:pStyle w:val="TableParagraph"/>
              <w:spacing w:line="202" w:lineRule="exact" w:before="7"/>
              <w:ind w:right="69"/>
              <w:jc w:val="right"/>
              <w:rPr>
                <w:sz w:val="18"/>
              </w:rPr>
            </w:pPr>
            <w:r>
              <w:rPr>
                <w:spacing w:val="-2"/>
                <w:sz w:val="18"/>
              </w:rPr>
              <w:t>26,724</w:t>
            </w:r>
          </w:p>
        </w:tc>
      </w:tr>
      <w:tr>
        <w:trPr>
          <w:trHeight w:val="242" w:hRule="atLeast"/>
        </w:trPr>
        <w:tc>
          <w:tcPr>
            <w:tcW w:w="8356" w:type="dxa"/>
            <w:shd w:val="clear" w:color="auto" w:fill="CCEDFF"/>
          </w:tcPr>
          <w:p>
            <w:pPr>
              <w:pStyle w:val="TableParagraph"/>
              <w:spacing w:before="7"/>
              <w:ind w:left="17"/>
              <w:rPr>
                <w:sz w:val="18"/>
              </w:rPr>
            </w:pPr>
            <w:r>
              <w:rPr>
                <w:sz w:val="18"/>
              </w:rPr>
              <w:t>Investments</w:t>
            </w:r>
            <w:r>
              <w:rPr>
                <w:spacing w:val="-1"/>
                <w:sz w:val="18"/>
              </w:rPr>
              <w:t> </w:t>
            </w:r>
            <w:r>
              <w:rPr>
                <w:sz w:val="18"/>
              </w:rPr>
              <w:t>in</w:t>
            </w:r>
            <w:r>
              <w:rPr>
                <w:spacing w:val="-1"/>
                <w:sz w:val="18"/>
              </w:rPr>
              <w:t> </w:t>
            </w:r>
            <w:r>
              <w:rPr>
                <w:sz w:val="18"/>
              </w:rPr>
              <w:t>and</w:t>
            </w:r>
            <w:r>
              <w:rPr>
                <w:spacing w:val="-1"/>
                <w:sz w:val="18"/>
              </w:rPr>
              <w:t> </w:t>
            </w:r>
            <w:r>
              <w:rPr>
                <w:sz w:val="18"/>
              </w:rPr>
              <w:t>advances</w:t>
            </w:r>
            <w:r>
              <w:rPr>
                <w:spacing w:val="-1"/>
                <w:sz w:val="18"/>
              </w:rPr>
              <w:t> </w:t>
            </w:r>
            <w:r>
              <w:rPr>
                <w:sz w:val="18"/>
              </w:rPr>
              <w:t>to</w:t>
            </w:r>
            <w:r>
              <w:rPr>
                <w:spacing w:val="-1"/>
                <w:sz w:val="18"/>
              </w:rPr>
              <w:t> </w:t>
            </w:r>
            <w:r>
              <w:rPr>
                <w:sz w:val="18"/>
              </w:rPr>
              <w:t>unconsolidated</w:t>
            </w:r>
            <w:r>
              <w:rPr>
                <w:spacing w:val="-1"/>
                <w:sz w:val="18"/>
              </w:rPr>
              <w:t> </w:t>
            </w:r>
            <w:r>
              <w:rPr>
                <w:spacing w:val="-2"/>
                <w:sz w:val="18"/>
              </w:rPr>
              <w:t>affiliates</w:t>
            </w:r>
          </w:p>
        </w:tc>
        <w:tc>
          <w:tcPr>
            <w:tcW w:w="1525" w:type="dxa"/>
            <w:shd w:val="clear" w:color="auto" w:fill="CCEDFF"/>
          </w:tcPr>
          <w:p>
            <w:pPr>
              <w:pStyle w:val="TableParagraph"/>
              <w:spacing w:before="7"/>
              <w:ind w:right="63"/>
              <w:jc w:val="right"/>
              <w:rPr>
                <w:sz w:val="18"/>
              </w:rPr>
            </w:pPr>
            <w:r>
              <w:rPr>
                <w:spacing w:val="-2"/>
                <w:sz w:val="18"/>
              </w:rPr>
              <w:t>817,901</w:t>
            </w:r>
          </w:p>
        </w:tc>
        <w:tc>
          <w:tcPr>
            <w:tcW w:w="1633" w:type="dxa"/>
            <w:shd w:val="clear" w:color="auto" w:fill="CCEDFF"/>
          </w:tcPr>
          <w:p>
            <w:pPr>
              <w:pStyle w:val="TableParagraph"/>
              <w:spacing w:before="7"/>
              <w:ind w:right="69"/>
              <w:jc w:val="right"/>
              <w:rPr>
                <w:sz w:val="18"/>
              </w:rPr>
            </w:pPr>
            <w:r>
              <w:rPr>
                <w:spacing w:val="-10"/>
                <w:sz w:val="18"/>
              </w:rPr>
              <w:t>—</w:t>
            </w:r>
          </w:p>
        </w:tc>
      </w:tr>
      <w:tr>
        <w:trPr>
          <w:trHeight w:val="229" w:hRule="atLeast"/>
        </w:trPr>
        <w:tc>
          <w:tcPr>
            <w:tcW w:w="8356" w:type="dxa"/>
          </w:tcPr>
          <w:p>
            <w:pPr>
              <w:pStyle w:val="TableParagraph"/>
              <w:spacing w:line="202" w:lineRule="exact" w:before="7"/>
              <w:ind w:left="17"/>
              <w:rPr>
                <w:sz w:val="18"/>
              </w:rPr>
            </w:pPr>
            <w:r>
              <w:rPr>
                <w:spacing w:val="-2"/>
                <w:sz w:val="18"/>
              </w:rPr>
              <w:t>Goodwill</w:t>
            </w:r>
          </w:p>
        </w:tc>
        <w:tc>
          <w:tcPr>
            <w:tcW w:w="1525" w:type="dxa"/>
          </w:tcPr>
          <w:p>
            <w:pPr>
              <w:pStyle w:val="TableParagraph"/>
              <w:spacing w:line="202" w:lineRule="exact" w:before="7"/>
              <w:ind w:right="64"/>
              <w:jc w:val="right"/>
              <w:rPr>
                <w:sz w:val="18"/>
              </w:rPr>
            </w:pPr>
            <w:r>
              <w:rPr>
                <w:spacing w:val="-10"/>
                <w:sz w:val="18"/>
              </w:rPr>
              <w:t>—</w:t>
            </w:r>
          </w:p>
        </w:tc>
        <w:tc>
          <w:tcPr>
            <w:tcW w:w="1633" w:type="dxa"/>
          </w:tcPr>
          <w:p>
            <w:pPr>
              <w:pStyle w:val="TableParagraph"/>
              <w:spacing w:line="202" w:lineRule="exact" w:before="7"/>
              <w:ind w:right="69"/>
              <w:jc w:val="right"/>
              <w:rPr>
                <w:sz w:val="18"/>
              </w:rPr>
            </w:pPr>
            <w:r>
              <w:rPr>
                <w:spacing w:val="-2"/>
                <w:sz w:val="18"/>
              </w:rPr>
              <w:t>10,249</w:t>
            </w:r>
          </w:p>
        </w:tc>
      </w:tr>
      <w:tr>
        <w:trPr>
          <w:trHeight w:val="229" w:hRule="atLeast"/>
        </w:trPr>
        <w:tc>
          <w:tcPr>
            <w:tcW w:w="8356" w:type="dxa"/>
            <w:shd w:val="clear" w:color="auto" w:fill="CCEDFF"/>
          </w:tcPr>
          <w:p>
            <w:pPr>
              <w:pStyle w:val="TableParagraph"/>
              <w:spacing w:line="202" w:lineRule="exact" w:before="7"/>
              <w:ind w:left="17"/>
              <w:rPr>
                <w:sz w:val="18"/>
              </w:rPr>
            </w:pPr>
            <w:r>
              <w:rPr>
                <w:sz w:val="18"/>
              </w:rPr>
              <w:t>Other</w:t>
            </w:r>
            <w:r>
              <w:rPr>
                <w:spacing w:val="-1"/>
                <w:sz w:val="18"/>
              </w:rPr>
              <w:t> </w:t>
            </w:r>
            <w:r>
              <w:rPr>
                <w:sz w:val="18"/>
              </w:rPr>
              <w:t>intangible</w:t>
            </w:r>
            <w:r>
              <w:rPr>
                <w:spacing w:val="-1"/>
                <w:sz w:val="18"/>
              </w:rPr>
              <w:t> </w:t>
            </w:r>
            <w:r>
              <w:rPr>
                <w:sz w:val="18"/>
              </w:rPr>
              <w:t>assets,</w:t>
            </w:r>
            <w:r>
              <w:rPr>
                <w:spacing w:val="-1"/>
                <w:sz w:val="18"/>
              </w:rPr>
              <w:t> </w:t>
            </w:r>
            <w:r>
              <w:rPr>
                <w:spacing w:val="-5"/>
                <w:sz w:val="18"/>
              </w:rPr>
              <w:t>net</w:t>
            </w:r>
          </w:p>
        </w:tc>
        <w:tc>
          <w:tcPr>
            <w:tcW w:w="1525" w:type="dxa"/>
            <w:shd w:val="clear" w:color="auto" w:fill="CCEDFF"/>
          </w:tcPr>
          <w:p>
            <w:pPr>
              <w:pStyle w:val="TableParagraph"/>
              <w:spacing w:line="202" w:lineRule="exact" w:before="7"/>
              <w:ind w:right="64"/>
              <w:jc w:val="right"/>
              <w:rPr>
                <w:sz w:val="18"/>
              </w:rPr>
            </w:pPr>
            <w:r>
              <w:rPr>
                <w:spacing w:val="-10"/>
                <w:sz w:val="18"/>
              </w:rPr>
              <w:t>—</w:t>
            </w:r>
          </w:p>
        </w:tc>
        <w:tc>
          <w:tcPr>
            <w:tcW w:w="1633" w:type="dxa"/>
            <w:shd w:val="clear" w:color="auto" w:fill="CCEDFF"/>
          </w:tcPr>
          <w:p>
            <w:pPr>
              <w:pStyle w:val="TableParagraph"/>
              <w:spacing w:line="202" w:lineRule="exact" w:before="7"/>
              <w:ind w:right="69"/>
              <w:jc w:val="right"/>
              <w:rPr>
                <w:sz w:val="18"/>
              </w:rPr>
            </w:pPr>
            <w:r>
              <w:rPr>
                <w:spacing w:val="-2"/>
                <w:sz w:val="18"/>
              </w:rPr>
              <w:t>3,095</w:t>
            </w:r>
          </w:p>
        </w:tc>
      </w:tr>
      <w:tr>
        <w:trPr>
          <w:trHeight w:val="242" w:hRule="atLeast"/>
        </w:trPr>
        <w:tc>
          <w:tcPr>
            <w:tcW w:w="8356" w:type="dxa"/>
          </w:tcPr>
          <w:p>
            <w:pPr>
              <w:pStyle w:val="TableParagraph"/>
              <w:spacing w:before="7"/>
              <w:ind w:left="17"/>
              <w:rPr>
                <w:sz w:val="18"/>
              </w:rPr>
            </w:pPr>
            <w:r>
              <w:rPr>
                <w:sz w:val="18"/>
              </w:rPr>
              <w:t>Operating</w:t>
            </w:r>
            <w:r>
              <w:rPr>
                <w:spacing w:val="-1"/>
                <w:sz w:val="18"/>
              </w:rPr>
              <w:t> </w:t>
            </w:r>
            <w:r>
              <w:rPr>
                <w:sz w:val="18"/>
              </w:rPr>
              <w:t>lease</w:t>
            </w:r>
            <w:r>
              <w:rPr>
                <w:spacing w:val="-1"/>
                <w:sz w:val="18"/>
              </w:rPr>
              <w:t> </w:t>
            </w:r>
            <w:r>
              <w:rPr>
                <w:sz w:val="18"/>
              </w:rPr>
              <w:t>right-of-use</w:t>
            </w:r>
            <w:r>
              <w:rPr>
                <w:spacing w:val="-1"/>
                <w:sz w:val="18"/>
              </w:rPr>
              <w:t> </w:t>
            </w:r>
            <w:r>
              <w:rPr>
                <w:sz w:val="18"/>
              </w:rPr>
              <w:t>assets,</w:t>
            </w:r>
            <w:r>
              <w:rPr>
                <w:spacing w:val="-1"/>
                <w:sz w:val="18"/>
              </w:rPr>
              <w:t> </w:t>
            </w:r>
            <w:r>
              <w:rPr>
                <w:spacing w:val="-5"/>
                <w:sz w:val="18"/>
              </w:rPr>
              <w:t>net</w:t>
            </w:r>
          </w:p>
        </w:tc>
        <w:tc>
          <w:tcPr>
            <w:tcW w:w="1525" w:type="dxa"/>
          </w:tcPr>
          <w:p>
            <w:pPr>
              <w:pStyle w:val="TableParagraph"/>
              <w:spacing w:before="7"/>
              <w:ind w:right="63"/>
              <w:jc w:val="right"/>
              <w:rPr>
                <w:sz w:val="18"/>
              </w:rPr>
            </w:pPr>
            <w:r>
              <w:rPr>
                <w:spacing w:val="-2"/>
                <w:sz w:val="18"/>
              </w:rPr>
              <w:t>236,255</w:t>
            </w:r>
          </w:p>
        </w:tc>
        <w:tc>
          <w:tcPr>
            <w:tcW w:w="1633" w:type="dxa"/>
          </w:tcPr>
          <w:p>
            <w:pPr>
              <w:pStyle w:val="TableParagraph"/>
              <w:spacing w:before="7"/>
              <w:ind w:right="69"/>
              <w:jc w:val="right"/>
              <w:rPr>
                <w:sz w:val="18"/>
              </w:rPr>
            </w:pPr>
            <w:r>
              <w:rPr>
                <w:spacing w:val="-2"/>
                <w:sz w:val="18"/>
              </w:rPr>
              <w:t>1,316,086</w:t>
            </w:r>
          </w:p>
        </w:tc>
      </w:tr>
      <w:tr>
        <w:trPr>
          <w:trHeight w:val="228" w:hRule="atLeast"/>
        </w:trPr>
        <w:tc>
          <w:tcPr>
            <w:tcW w:w="8356" w:type="dxa"/>
            <w:shd w:val="clear" w:color="auto" w:fill="CCEDFF"/>
          </w:tcPr>
          <w:p>
            <w:pPr>
              <w:pStyle w:val="TableParagraph"/>
              <w:spacing w:line="201" w:lineRule="exact" w:before="7"/>
              <w:ind w:left="17"/>
              <w:rPr>
                <w:sz w:val="18"/>
              </w:rPr>
            </w:pPr>
            <w:r>
              <w:rPr>
                <w:sz w:val="18"/>
              </w:rPr>
              <w:t>Other</w:t>
            </w:r>
            <w:r>
              <w:rPr>
                <w:spacing w:val="-1"/>
                <w:sz w:val="18"/>
              </w:rPr>
              <w:t> </w:t>
            </w:r>
            <w:r>
              <w:rPr>
                <w:sz w:val="18"/>
              </w:rPr>
              <w:t>long-term</w:t>
            </w:r>
            <w:r>
              <w:rPr>
                <w:spacing w:val="-1"/>
                <w:sz w:val="18"/>
              </w:rPr>
              <w:t> </w:t>
            </w:r>
            <w:r>
              <w:rPr>
                <w:sz w:val="18"/>
              </w:rPr>
              <w:t>assets,</w:t>
            </w:r>
            <w:r>
              <w:rPr>
                <w:spacing w:val="-1"/>
                <w:sz w:val="18"/>
              </w:rPr>
              <w:t> </w:t>
            </w:r>
            <w:r>
              <w:rPr>
                <w:spacing w:val="-5"/>
                <w:sz w:val="18"/>
              </w:rPr>
              <w:t>net</w:t>
            </w:r>
          </w:p>
        </w:tc>
        <w:tc>
          <w:tcPr>
            <w:tcW w:w="1525" w:type="dxa"/>
            <w:tcBorders>
              <w:bottom w:val="single" w:sz="6" w:space="0" w:color="000000"/>
            </w:tcBorders>
            <w:shd w:val="clear" w:color="auto" w:fill="CCEDFF"/>
          </w:tcPr>
          <w:p>
            <w:pPr>
              <w:pStyle w:val="TableParagraph"/>
              <w:spacing w:line="201" w:lineRule="exact" w:before="7"/>
              <w:ind w:right="63"/>
              <w:jc w:val="right"/>
              <w:rPr>
                <w:sz w:val="18"/>
              </w:rPr>
            </w:pPr>
            <w:r>
              <w:rPr>
                <w:spacing w:val="-2"/>
                <w:sz w:val="18"/>
              </w:rPr>
              <w:t>3,991</w:t>
            </w:r>
          </w:p>
        </w:tc>
        <w:tc>
          <w:tcPr>
            <w:tcW w:w="1633" w:type="dxa"/>
            <w:tcBorders>
              <w:bottom w:val="single" w:sz="6" w:space="0" w:color="000000"/>
            </w:tcBorders>
            <w:shd w:val="clear" w:color="auto" w:fill="CCEDFF"/>
          </w:tcPr>
          <w:p>
            <w:pPr>
              <w:pStyle w:val="TableParagraph"/>
              <w:spacing w:line="201" w:lineRule="exact" w:before="7"/>
              <w:ind w:right="69"/>
              <w:jc w:val="right"/>
              <w:rPr>
                <w:sz w:val="18"/>
              </w:rPr>
            </w:pPr>
            <w:r>
              <w:rPr>
                <w:spacing w:val="-2"/>
                <w:sz w:val="18"/>
              </w:rPr>
              <w:t>5,377</w:t>
            </w:r>
          </w:p>
        </w:tc>
      </w:tr>
      <w:tr>
        <w:trPr>
          <w:trHeight w:val="246" w:hRule="atLeast"/>
        </w:trPr>
        <w:tc>
          <w:tcPr>
            <w:tcW w:w="8356" w:type="dxa"/>
          </w:tcPr>
          <w:p>
            <w:pPr>
              <w:pStyle w:val="TableParagraph"/>
              <w:spacing w:line="193" w:lineRule="exact" w:before="33"/>
              <w:ind w:left="125"/>
              <w:rPr>
                <w:sz w:val="18"/>
              </w:rPr>
            </w:pPr>
            <w:r>
              <w:rPr>
                <w:spacing w:val="-2"/>
                <w:sz w:val="18"/>
              </w:rPr>
              <w:t>Total</w:t>
            </w:r>
            <w:r>
              <w:rPr>
                <w:spacing w:val="-4"/>
                <w:sz w:val="18"/>
              </w:rPr>
              <w:t> </w:t>
            </w:r>
            <w:r>
              <w:rPr>
                <w:spacing w:val="-2"/>
                <w:sz w:val="18"/>
              </w:rPr>
              <w:t>assets</w:t>
            </w:r>
          </w:p>
        </w:tc>
        <w:tc>
          <w:tcPr>
            <w:tcW w:w="1525" w:type="dxa"/>
            <w:tcBorders>
              <w:top w:val="single" w:sz="6" w:space="0" w:color="000000"/>
              <w:bottom w:val="double" w:sz="6" w:space="0" w:color="000000"/>
            </w:tcBorders>
          </w:tcPr>
          <w:p>
            <w:pPr>
              <w:pStyle w:val="TableParagraph"/>
              <w:tabs>
                <w:tab w:pos="627" w:val="left" w:leader="none"/>
              </w:tabs>
              <w:spacing w:before="6"/>
              <w:ind w:right="64"/>
              <w:jc w:val="right"/>
              <w:rPr>
                <w:sz w:val="18"/>
              </w:rPr>
            </w:pPr>
            <w:r>
              <w:rPr>
                <w:spacing w:val="-10"/>
                <w:sz w:val="18"/>
              </w:rPr>
              <w:t>$</w:t>
            </w:r>
            <w:r>
              <w:rPr>
                <w:sz w:val="18"/>
              </w:rPr>
              <w:tab/>
            </w:r>
            <w:r>
              <w:rPr>
                <w:spacing w:val="-2"/>
                <w:sz w:val="18"/>
              </w:rPr>
              <w:t>10,339,667</w:t>
            </w:r>
          </w:p>
        </w:tc>
        <w:tc>
          <w:tcPr>
            <w:tcW w:w="1633" w:type="dxa"/>
            <w:tcBorders>
              <w:top w:val="single" w:sz="6" w:space="0" w:color="000000"/>
              <w:bottom w:val="double" w:sz="6" w:space="0" w:color="000000"/>
            </w:tcBorders>
          </w:tcPr>
          <w:p>
            <w:pPr>
              <w:pStyle w:val="TableParagraph"/>
              <w:tabs>
                <w:tab w:pos="717" w:val="left" w:leader="none"/>
              </w:tabs>
              <w:spacing w:before="6"/>
              <w:ind w:right="69"/>
              <w:jc w:val="right"/>
              <w:rPr>
                <w:sz w:val="18"/>
              </w:rPr>
            </w:pPr>
            <w:r>
              <w:rPr>
                <w:spacing w:val="-10"/>
                <w:sz w:val="18"/>
              </w:rPr>
              <w:t>$</w:t>
            </w:r>
            <w:r>
              <w:rPr>
                <w:sz w:val="18"/>
              </w:rPr>
              <w:tab/>
            </w:r>
            <w:r>
              <w:rPr>
                <w:spacing w:val="-2"/>
                <w:sz w:val="18"/>
              </w:rPr>
              <w:t>1,422,126</w:t>
            </w:r>
          </w:p>
        </w:tc>
      </w:tr>
      <w:tr>
        <w:trPr>
          <w:trHeight w:val="233" w:hRule="atLeast"/>
        </w:trPr>
        <w:tc>
          <w:tcPr>
            <w:tcW w:w="8356" w:type="dxa"/>
            <w:shd w:val="clear" w:color="auto" w:fill="CCEDFF"/>
          </w:tcPr>
          <w:p>
            <w:pPr>
              <w:pStyle w:val="TableParagraph"/>
              <w:spacing w:line="202" w:lineRule="exact" w:before="12"/>
              <w:ind w:left="17"/>
              <w:rPr>
                <w:sz w:val="18"/>
              </w:rPr>
            </w:pPr>
            <w:r>
              <w:rPr>
                <w:sz w:val="18"/>
              </w:rPr>
              <w:t>Accounts</w:t>
            </w:r>
            <w:r>
              <w:rPr>
                <w:spacing w:val="-1"/>
                <w:sz w:val="18"/>
              </w:rPr>
              <w:t> </w:t>
            </w:r>
            <w:r>
              <w:rPr>
                <w:spacing w:val="-2"/>
                <w:sz w:val="18"/>
              </w:rPr>
              <w:t>payable</w:t>
            </w:r>
          </w:p>
        </w:tc>
        <w:tc>
          <w:tcPr>
            <w:tcW w:w="1525" w:type="dxa"/>
            <w:tcBorders>
              <w:top w:val="double" w:sz="6" w:space="0" w:color="000000"/>
            </w:tcBorders>
            <w:shd w:val="clear" w:color="auto" w:fill="CCEDFF"/>
          </w:tcPr>
          <w:p>
            <w:pPr>
              <w:pStyle w:val="TableParagraph"/>
              <w:tabs>
                <w:tab w:pos="1032" w:val="left" w:leader="none"/>
              </w:tabs>
              <w:spacing w:line="202" w:lineRule="exact" w:before="12"/>
              <w:ind w:right="63"/>
              <w:jc w:val="right"/>
              <w:rPr>
                <w:sz w:val="18"/>
              </w:rPr>
            </w:pPr>
            <w:r>
              <w:rPr>
                <w:spacing w:val="-10"/>
                <w:sz w:val="18"/>
              </w:rPr>
              <w:t>$</w:t>
            </w:r>
            <w:r>
              <w:rPr>
                <w:sz w:val="18"/>
              </w:rPr>
              <w:tab/>
            </w:r>
            <w:r>
              <w:rPr>
                <w:spacing w:val="-2"/>
                <w:sz w:val="18"/>
              </w:rPr>
              <w:t>1,136</w:t>
            </w:r>
          </w:p>
        </w:tc>
        <w:tc>
          <w:tcPr>
            <w:tcW w:w="1633" w:type="dxa"/>
            <w:tcBorders>
              <w:top w:val="double" w:sz="6" w:space="0" w:color="000000"/>
            </w:tcBorders>
            <w:shd w:val="clear" w:color="auto" w:fill="CCEDFF"/>
          </w:tcPr>
          <w:p>
            <w:pPr>
              <w:pStyle w:val="TableParagraph"/>
              <w:tabs>
                <w:tab w:pos="1032" w:val="left" w:leader="none"/>
              </w:tabs>
              <w:spacing w:line="202" w:lineRule="exact" w:before="12"/>
              <w:ind w:right="69"/>
              <w:jc w:val="right"/>
              <w:rPr>
                <w:sz w:val="18"/>
              </w:rPr>
            </w:pPr>
            <w:r>
              <w:rPr>
                <w:spacing w:val="-10"/>
                <w:sz w:val="18"/>
              </w:rPr>
              <w:t>$</w:t>
            </w:r>
            <w:r>
              <w:rPr>
                <w:sz w:val="18"/>
              </w:rPr>
              <w:tab/>
            </w:r>
            <w:r>
              <w:rPr>
                <w:spacing w:val="-2"/>
                <w:sz w:val="18"/>
              </w:rPr>
              <w:t>4,740</w:t>
            </w:r>
          </w:p>
        </w:tc>
      </w:tr>
      <w:tr>
        <w:trPr>
          <w:trHeight w:val="229" w:hRule="atLeast"/>
        </w:trPr>
        <w:tc>
          <w:tcPr>
            <w:tcW w:w="8356" w:type="dxa"/>
          </w:tcPr>
          <w:p>
            <w:pPr>
              <w:pStyle w:val="TableParagraph"/>
              <w:spacing w:line="202" w:lineRule="exact" w:before="7"/>
              <w:ind w:left="17"/>
              <w:rPr>
                <w:sz w:val="18"/>
              </w:rPr>
            </w:pPr>
            <w:r>
              <w:rPr>
                <w:sz w:val="18"/>
              </w:rPr>
              <w:t>Accrued</w:t>
            </w:r>
            <w:r>
              <w:rPr>
                <w:spacing w:val="-1"/>
                <w:sz w:val="18"/>
              </w:rPr>
              <w:t> </w:t>
            </w:r>
            <w:r>
              <w:rPr>
                <w:sz w:val="18"/>
              </w:rPr>
              <w:t>interest</w:t>
            </w:r>
            <w:r>
              <w:rPr>
                <w:spacing w:val="-1"/>
                <w:sz w:val="18"/>
              </w:rPr>
              <w:t> </w:t>
            </w:r>
            <w:r>
              <w:rPr>
                <w:sz w:val="18"/>
              </w:rPr>
              <w:t>on</w:t>
            </w:r>
            <w:r>
              <w:rPr>
                <w:spacing w:val="-1"/>
                <w:sz w:val="18"/>
              </w:rPr>
              <w:t> </w:t>
            </w:r>
            <w:r>
              <w:rPr>
                <w:sz w:val="18"/>
              </w:rPr>
              <w:t>long-term</w:t>
            </w:r>
            <w:r>
              <w:rPr>
                <w:spacing w:val="-1"/>
                <w:sz w:val="18"/>
              </w:rPr>
              <w:t> </w:t>
            </w:r>
            <w:r>
              <w:rPr>
                <w:spacing w:val="-4"/>
                <w:sz w:val="18"/>
              </w:rPr>
              <w:t>debt</w:t>
            </w:r>
          </w:p>
        </w:tc>
        <w:tc>
          <w:tcPr>
            <w:tcW w:w="1525" w:type="dxa"/>
          </w:tcPr>
          <w:p>
            <w:pPr>
              <w:pStyle w:val="TableParagraph"/>
              <w:spacing w:line="202" w:lineRule="exact" w:before="7"/>
              <w:ind w:right="64"/>
              <w:jc w:val="right"/>
              <w:rPr>
                <w:sz w:val="18"/>
              </w:rPr>
            </w:pPr>
            <w:r>
              <w:rPr>
                <w:spacing w:val="-2"/>
                <w:sz w:val="18"/>
              </w:rPr>
              <w:t>68,150</w:t>
            </w:r>
          </w:p>
        </w:tc>
        <w:tc>
          <w:tcPr>
            <w:tcW w:w="1633" w:type="dxa"/>
          </w:tcPr>
          <w:p>
            <w:pPr>
              <w:pStyle w:val="TableParagraph"/>
              <w:spacing w:line="202" w:lineRule="exact" w:before="7"/>
              <w:ind w:right="69"/>
              <w:jc w:val="right"/>
              <w:rPr>
                <w:sz w:val="18"/>
              </w:rPr>
            </w:pPr>
            <w:r>
              <w:rPr>
                <w:spacing w:val="-10"/>
                <w:sz w:val="18"/>
              </w:rPr>
              <w:t>—</w:t>
            </w:r>
          </w:p>
        </w:tc>
      </w:tr>
      <w:tr>
        <w:trPr>
          <w:trHeight w:val="242" w:hRule="atLeast"/>
        </w:trPr>
        <w:tc>
          <w:tcPr>
            <w:tcW w:w="8356" w:type="dxa"/>
            <w:shd w:val="clear" w:color="auto" w:fill="CCEDFF"/>
          </w:tcPr>
          <w:p>
            <w:pPr>
              <w:pStyle w:val="TableParagraph"/>
              <w:spacing w:before="7"/>
              <w:ind w:left="17"/>
              <w:rPr>
                <w:sz w:val="18"/>
              </w:rPr>
            </w:pPr>
            <w:r>
              <w:rPr>
                <w:sz w:val="18"/>
              </w:rPr>
              <w:t>Other</w:t>
            </w:r>
            <w:r>
              <w:rPr>
                <w:spacing w:val="-1"/>
                <w:sz w:val="18"/>
              </w:rPr>
              <w:t> </w:t>
            </w:r>
            <w:r>
              <w:rPr>
                <w:sz w:val="18"/>
              </w:rPr>
              <w:t>accrued</w:t>
            </w:r>
            <w:r>
              <w:rPr>
                <w:spacing w:val="-1"/>
                <w:sz w:val="18"/>
              </w:rPr>
              <w:t> </w:t>
            </w:r>
            <w:r>
              <w:rPr>
                <w:spacing w:val="-2"/>
                <w:sz w:val="18"/>
              </w:rPr>
              <w:t>liabilities</w:t>
            </w:r>
          </w:p>
        </w:tc>
        <w:tc>
          <w:tcPr>
            <w:tcW w:w="1525" w:type="dxa"/>
            <w:shd w:val="clear" w:color="auto" w:fill="CCEDFF"/>
          </w:tcPr>
          <w:p>
            <w:pPr>
              <w:pStyle w:val="TableParagraph"/>
              <w:spacing w:before="7"/>
              <w:ind w:right="63"/>
              <w:jc w:val="right"/>
              <w:rPr>
                <w:sz w:val="18"/>
              </w:rPr>
            </w:pPr>
            <w:r>
              <w:rPr>
                <w:spacing w:val="-2"/>
                <w:sz w:val="18"/>
              </w:rPr>
              <w:t>4,057</w:t>
            </w:r>
          </w:p>
        </w:tc>
        <w:tc>
          <w:tcPr>
            <w:tcW w:w="1633" w:type="dxa"/>
            <w:shd w:val="clear" w:color="auto" w:fill="CCEDFF"/>
          </w:tcPr>
          <w:p>
            <w:pPr>
              <w:pStyle w:val="TableParagraph"/>
              <w:spacing w:before="7"/>
              <w:ind w:right="69"/>
              <w:jc w:val="right"/>
              <w:rPr>
                <w:sz w:val="18"/>
              </w:rPr>
            </w:pPr>
            <w:r>
              <w:rPr>
                <w:spacing w:val="-2"/>
                <w:sz w:val="18"/>
              </w:rPr>
              <w:t>56,256</w:t>
            </w:r>
          </w:p>
        </w:tc>
      </w:tr>
      <w:tr>
        <w:trPr>
          <w:trHeight w:val="229" w:hRule="atLeast"/>
        </w:trPr>
        <w:tc>
          <w:tcPr>
            <w:tcW w:w="8356" w:type="dxa"/>
          </w:tcPr>
          <w:p>
            <w:pPr>
              <w:pStyle w:val="TableParagraph"/>
              <w:spacing w:line="202" w:lineRule="exact" w:before="7"/>
              <w:ind w:left="17"/>
              <w:rPr>
                <w:sz w:val="18"/>
              </w:rPr>
            </w:pPr>
            <w:r>
              <w:rPr>
                <w:sz w:val="18"/>
              </w:rPr>
              <w:t>Deferred</w:t>
            </w:r>
            <w:r>
              <w:rPr>
                <w:spacing w:val="-1"/>
                <w:sz w:val="18"/>
              </w:rPr>
              <w:t> </w:t>
            </w:r>
            <w:r>
              <w:rPr>
                <w:sz w:val="18"/>
              </w:rPr>
              <w:t>income</w:t>
            </w:r>
            <w:r>
              <w:rPr>
                <w:spacing w:val="-1"/>
                <w:sz w:val="18"/>
              </w:rPr>
              <w:t> </w:t>
            </w:r>
            <w:r>
              <w:rPr>
                <w:sz w:val="18"/>
              </w:rPr>
              <w:t>taxes,</w:t>
            </w:r>
            <w:r>
              <w:rPr>
                <w:spacing w:val="-1"/>
                <w:sz w:val="18"/>
              </w:rPr>
              <w:t> </w:t>
            </w:r>
            <w:r>
              <w:rPr>
                <w:spacing w:val="-5"/>
                <w:sz w:val="18"/>
              </w:rPr>
              <w:t>net</w:t>
            </w:r>
          </w:p>
        </w:tc>
        <w:tc>
          <w:tcPr>
            <w:tcW w:w="1525" w:type="dxa"/>
          </w:tcPr>
          <w:p>
            <w:pPr>
              <w:pStyle w:val="TableParagraph"/>
              <w:spacing w:line="202" w:lineRule="exact" w:before="7"/>
              <w:ind w:right="63"/>
              <w:jc w:val="right"/>
              <w:rPr>
                <w:sz w:val="18"/>
              </w:rPr>
            </w:pPr>
            <w:r>
              <w:rPr>
                <w:spacing w:val="-2"/>
                <w:sz w:val="18"/>
              </w:rPr>
              <w:t>1,284</w:t>
            </w:r>
          </w:p>
        </w:tc>
        <w:tc>
          <w:tcPr>
            <w:tcW w:w="1633" w:type="dxa"/>
          </w:tcPr>
          <w:p>
            <w:pPr>
              <w:pStyle w:val="TableParagraph"/>
              <w:spacing w:line="202" w:lineRule="exact" w:before="7"/>
              <w:ind w:right="69"/>
              <w:jc w:val="right"/>
              <w:rPr>
                <w:sz w:val="18"/>
              </w:rPr>
            </w:pPr>
            <w:r>
              <w:rPr>
                <w:spacing w:val="-10"/>
                <w:sz w:val="18"/>
              </w:rPr>
              <w:t>—</w:t>
            </w:r>
          </w:p>
        </w:tc>
      </w:tr>
      <w:tr>
        <w:trPr>
          <w:trHeight w:val="229" w:hRule="atLeast"/>
        </w:trPr>
        <w:tc>
          <w:tcPr>
            <w:tcW w:w="8356" w:type="dxa"/>
            <w:shd w:val="clear" w:color="auto" w:fill="CCEDFF"/>
          </w:tcPr>
          <w:p>
            <w:pPr>
              <w:pStyle w:val="TableParagraph"/>
              <w:spacing w:line="202" w:lineRule="exact" w:before="7"/>
              <w:ind w:left="17"/>
              <w:rPr>
                <w:sz w:val="18"/>
              </w:rPr>
            </w:pPr>
            <w:r>
              <w:rPr>
                <w:sz w:val="18"/>
              </w:rPr>
              <w:t>Long-term</w:t>
            </w:r>
            <w:r>
              <w:rPr>
                <w:spacing w:val="-1"/>
                <w:sz w:val="18"/>
              </w:rPr>
              <w:t> </w:t>
            </w:r>
            <w:r>
              <w:rPr>
                <w:sz w:val="18"/>
              </w:rPr>
              <w:t>debt,</w:t>
            </w:r>
            <w:r>
              <w:rPr>
                <w:spacing w:val="-1"/>
                <w:sz w:val="18"/>
              </w:rPr>
              <w:t> </w:t>
            </w:r>
            <w:r>
              <w:rPr>
                <w:spacing w:val="-5"/>
                <w:sz w:val="18"/>
              </w:rPr>
              <w:t>net</w:t>
            </w:r>
          </w:p>
        </w:tc>
        <w:tc>
          <w:tcPr>
            <w:tcW w:w="1525" w:type="dxa"/>
            <w:shd w:val="clear" w:color="auto" w:fill="CCEDFF"/>
          </w:tcPr>
          <w:p>
            <w:pPr>
              <w:pStyle w:val="TableParagraph"/>
              <w:spacing w:line="202" w:lineRule="exact" w:before="7"/>
              <w:ind w:right="63"/>
              <w:jc w:val="right"/>
              <w:rPr>
                <w:sz w:val="18"/>
              </w:rPr>
            </w:pPr>
            <w:r>
              <w:rPr>
                <w:spacing w:val="-2"/>
                <w:sz w:val="18"/>
              </w:rPr>
              <w:t>4,259,473</w:t>
            </w:r>
          </w:p>
        </w:tc>
        <w:tc>
          <w:tcPr>
            <w:tcW w:w="1633" w:type="dxa"/>
            <w:shd w:val="clear" w:color="auto" w:fill="CCEDFF"/>
          </w:tcPr>
          <w:p>
            <w:pPr>
              <w:pStyle w:val="TableParagraph"/>
              <w:spacing w:line="202" w:lineRule="exact" w:before="7"/>
              <w:ind w:right="69"/>
              <w:jc w:val="right"/>
              <w:rPr>
                <w:sz w:val="18"/>
              </w:rPr>
            </w:pPr>
            <w:r>
              <w:rPr>
                <w:spacing w:val="-10"/>
                <w:sz w:val="18"/>
              </w:rPr>
              <w:t>—</w:t>
            </w:r>
          </w:p>
        </w:tc>
      </w:tr>
      <w:tr>
        <w:trPr>
          <w:trHeight w:val="242" w:hRule="atLeast"/>
        </w:trPr>
        <w:tc>
          <w:tcPr>
            <w:tcW w:w="8356" w:type="dxa"/>
          </w:tcPr>
          <w:p>
            <w:pPr>
              <w:pStyle w:val="TableParagraph"/>
              <w:spacing w:before="7"/>
              <w:ind w:left="17"/>
              <w:rPr>
                <w:sz w:val="18"/>
              </w:rPr>
            </w:pPr>
            <w:r>
              <w:rPr>
                <w:sz w:val="18"/>
              </w:rPr>
              <w:t>Operating</w:t>
            </w:r>
            <w:r>
              <w:rPr>
                <w:spacing w:val="-1"/>
                <w:sz w:val="18"/>
              </w:rPr>
              <w:t> </w:t>
            </w:r>
            <w:r>
              <w:rPr>
                <w:sz w:val="18"/>
              </w:rPr>
              <w:t>lease</w:t>
            </w:r>
            <w:r>
              <w:rPr>
                <w:spacing w:val="-1"/>
                <w:sz w:val="18"/>
              </w:rPr>
              <w:t> </w:t>
            </w:r>
            <w:r>
              <w:rPr>
                <w:spacing w:val="-2"/>
                <w:sz w:val="18"/>
              </w:rPr>
              <w:t>liabilities</w:t>
            </w:r>
          </w:p>
        </w:tc>
        <w:tc>
          <w:tcPr>
            <w:tcW w:w="1525" w:type="dxa"/>
          </w:tcPr>
          <w:p>
            <w:pPr>
              <w:pStyle w:val="TableParagraph"/>
              <w:spacing w:before="7"/>
              <w:ind w:right="63"/>
              <w:jc w:val="right"/>
              <w:rPr>
                <w:sz w:val="18"/>
              </w:rPr>
            </w:pPr>
            <w:r>
              <w:rPr>
                <w:spacing w:val="-2"/>
                <w:sz w:val="18"/>
              </w:rPr>
              <w:t>336,689</w:t>
            </w:r>
          </w:p>
        </w:tc>
        <w:tc>
          <w:tcPr>
            <w:tcW w:w="1633" w:type="dxa"/>
          </w:tcPr>
          <w:p>
            <w:pPr>
              <w:pStyle w:val="TableParagraph"/>
              <w:spacing w:before="7"/>
              <w:ind w:right="69"/>
              <w:jc w:val="right"/>
              <w:rPr>
                <w:sz w:val="18"/>
              </w:rPr>
            </w:pPr>
            <w:r>
              <w:rPr>
                <w:spacing w:val="-2"/>
                <w:sz w:val="18"/>
              </w:rPr>
              <w:t>1,327,571</w:t>
            </w:r>
          </w:p>
        </w:tc>
      </w:tr>
      <w:tr>
        <w:trPr>
          <w:trHeight w:val="228" w:hRule="atLeast"/>
        </w:trPr>
        <w:tc>
          <w:tcPr>
            <w:tcW w:w="8356" w:type="dxa"/>
            <w:shd w:val="clear" w:color="auto" w:fill="CCEDFF"/>
          </w:tcPr>
          <w:p>
            <w:pPr>
              <w:pStyle w:val="TableParagraph"/>
              <w:spacing w:line="201" w:lineRule="exact" w:before="7"/>
              <w:ind w:left="17"/>
              <w:rPr>
                <w:sz w:val="18"/>
              </w:rPr>
            </w:pPr>
            <w:r>
              <w:rPr>
                <w:sz w:val="18"/>
              </w:rPr>
              <w:t>Other</w:t>
            </w:r>
            <w:r>
              <w:rPr>
                <w:spacing w:val="-1"/>
                <w:sz w:val="18"/>
              </w:rPr>
              <w:t> </w:t>
            </w:r>
            <w:r>
              <w:rPr>
                <w:sz w:val="18"/>
              </w:rPr>
              <w:t>long-term</w:t>
            </w:r>
            <w:r>
              <w:rPr>
                <w:spacing w:val="-1"/>
                <w:sz w:val="18"/>
              </w:rPr>
              <w:t> </w:t>
            </w:r>
            <w:r>
              <w:rPr>
                <w:spacing w:val="-2"/>
                <w:sz w:val="18"/>
              </w:rPr>
              <w:t>obligations</w:t>
            </w:r>
          </w:p>
        </w:tc>
        <w:tc>
          <w:tcPr>
            <w:tcW w:w="1525" w:type="dxa"/>
            <w:tcBorders>
              <w:bottom w:val="single" w:sz="6" w:space="0" w:color="000000"/>
            </w:tcBorders>
            <w:shd w:val="clear" w:color="auto" w:fill="CCEDFF"/>
          </w:tcPr>
          <w:p>
            <w:pPr>
              <w:pStyle w:val="TableParagraph"/>
              <w:spacing w:line="201" w:lineRule="exact" w:before="7"/>
              <w:ind w:right="64"/>
              <w:jc w:val="right"/>
              <w:rPr>
                <w:sz w:val="18"/>
              </w:rPr>
            </w:pPr>
            <w:r>
              <w:rPr>
                <w:spacing w:val="-10"/>
                <w:sz w:val="18"/>
              </w:rPr>
              <w:t>—</w:t>
            </w:r>
          </w:p>
        </w:tc>
        <w:tc>
          <w:tcPr>
            <w:tcW w:w="1633" w:type="dxa"/>
            <w:tcBorders>
              <w:bottom w:val="single" w:sz="6" w:space="0" w:color="000000"/>
            </w:tcBorders>
            <w:shd w:val="clear" w:color="auto" w:fill="CCEDFF"/>
          </w:tcPr>
          <w:p>
            <w:pPr>
              <w:pStyle w:val="TableParagraph"/>
              <w:spacing w:line="201" w:lineRule="exact" w:before="7"/>
              <w:ind w:right="69"/>
              <w:jc w:val="right"/>
              <w:rPr>
                <w:sz w:val="18"/>
              </w:rPr>
            </w:pPr>
            <w:r>
              <w:rPr>
                <w:spacing w:val="-2"/>
                <w:sz w:val="18"/>
              </w:rPr>
              <w:t>5,554</w:t>
            </w:r>
          </w:p>
        </w:tc>
      </w:tr>
      <w:tr>
        <w:trPr>
          <w:trHeight w:val="296" w:hRule="atLeast"/>
        </w:trPr>
        <w:tc>
          <w:tcPr>
            <w:tcW w:w="8356" w:type="dxa"/>
          </w:tcPr>
          <w:p>
            <w:pPr>
              <w:pStyle w:val="TableParagraph"/>
              <w:spacing w:before="33"/>
              <w:ind w:left="125"/>
              <w:rPr>
                <w:sz w:val="18"/>
              </w:rPr>
            </w:pPr>
            <w:r>
              <w:rPr>
                <w:spacing w:val="-2"/>
                <w:sz w:val="18"/>
              </w:rPr>
              <w:t>Total</w:t>
            </w:r>
            <w:r>
              <w:rPr>
                <w:spacing w:val="-4"/>
                <w:sz w:val="18"/>
              </w:rPr>
              <w:t> </w:t>
            </w:r>
            <w:r>
              <w:rPr>
                <w:spacing w:val="-2"/>
                <w:sz w:val="18"/>
              </w:rPr>
              <w:t>liabilities</w:t>
            </w:r>
          </w:p>
        </w:tc>
        <w:tc>
          <w:tcPr>
            <w:tcW w:w="1525" w:type="dxa"/>
            <w:tcBorders>
              <w:top w:val="single" w:sz="6" w:space="0" w:color="000000"/>
            </w:tcBorders>
          </w:tcPr>
          <w:p>
            <w:pPr>
              <w:pStyle w:val="TableParagraph"/>
              <w:tabs>
                <w:tab w:pos="717" w:val="left" w:leader="none"/>
              </w:tabs>
              <w:spacing w:before="6"/>
              <w:ind w:right="63"/>
              <w:jc w:val="right"/>
              <w:rPr>
                <w:sz w:val="18"/>
              </w:rPr>
            </w:pPr>
            <w:r>
              <w:rPr/>
              <mc:AlternateContent>
                <mc:Choice Requires="wps">
                  <w:drawing>
                    <wp:anchor distT="0" distB="0" distL="0" distR="0" allowOverlap="1" layoutInCell="1" locked="0" behindDoc="1" simplePos="0" relativeHeight="477716992">
                      <wp:simplePos x="0" y="0"/>
                      <wp:positionH relativeFrom="column">
                        <wp:posOffset>0</wp:posOffset>
                      </wp:positionH>
                      <wp:positionV relativeFrom="paragraph">
                        <wp:posOffset>153406</wp:posOffset>
                      </wp:positionV>
                      <wp:extent cx="969010" cy="3429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969010" cy="34290"/>
                                <a:chExt cx="969010" cy="34290"/>
                              </a:xfrm>
                            </wpg:grpSpPr>
                            <wps:wsp>
                              <wps:cNvPr id="451" name="Graphic 451"/>
                              <wps:cNvSpPr/>
                              <wps:spPr>
                                <a:xfrm>
                                  <a:off x="-12" y="-3"/>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9264pt;width:76.3pt;height:2.7pt;mso-position-horizontal-relative:column;mso-position-vertical-relative:paragraph;z-index:-25599488" id="docshapegroup448" coordorigin="0,242" coordsize="1526,54">
                      <v:shape style="position:absolute;left:-1;top:241;width:1526;height:54" id="docshape449" coordorigin="0,242" coordsize="1526,54" path="m1525,282l1498,282,121,282,0,282,0,296,121,296,1498,296,1525,296,1525,282xm1525,242l1498,242,121,242,0,242,0,255,121,255,1498,255,1525,255,1525,242xe" filled="true" fillcolor="#000000" stroked="false">
                        <v:path arrowok="t"/>
                        <v:fill type="solid"/>
                      </v:shape>
                      <w10:wrap type="none"/>
                    </v:group>
                  </w:pict>
                </mc:Fallback>
              </mc:AlternateContent>
            </w:r>
            <w:r>
              <w:rPr>
                <w:spacing w:val="-10"/>
                <w:sz w:val="18"/>
              </w:rPr>
              <w:t>$</w:t>
            </w:r>
            <w:r>
              <w:rPr>
                <w:sz w:val="18"/>
              </w:rPr>
              <w:tab/>
            </w:r>
            <w:r>
              <w:rPr>
                <w:spacing w:val="-2"/>
                <w:sz w:val="18"/>
              </w:rPr>
              <w:t>4,670,789</w:t>
            </w:r>
          </w:p>
        </w:tc>
        <w:tc>
          <w:tcPr>
            <w:tcW w:w="1633" w:type="dxa"/>
            <w:tcBorders>
              <w:top w:val="single" w:sz="6" w:space="0" w:color="000000"/>
            </w:tcBorders>
          </w:tcPr>
          <w:p>
            <w:pPr>
              <w:pStyle w:val="TableParagraph"/>
              <w:tabs>
                <w:tab w:pos="717" w:val="left" w:leader="none"/>
              </w:tabs>
              <w:spacing w:before="6"/>
              <w:ind w:right="69"/>
              <w:jc w:val="right"/>
              <w:rPr>
                <w:sz w:val="18"/>
              </w:rPr>
            </w:pPr>
            <w:r>
              <w:rPr/>
              <mc:AlternateContent>
                <mc:Choice Requires="wps">
                  <w:drawing>
                    <wp:anchor distT="0" distB="0" distL="0" distR="0" allowOverlap="1" layoutInCell="1" locked="0" behindDoc="1" simplePos="0" relativeHeight="477717504">
                      <wp:simplePos x="0" y="0"/>
                      <wp:positionH relativeFrom="column">
                        <wp:posOffset>68579</wp:posOffset>
                      </wp:positionH>
                      <wp:positionV relativeFrom="paragraph">
                        <wp:posOffset>153406</wp:posOffset>
                      </wp:positionV>
                      <wp:extent cx="969010" cy="34290"/>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969010" cy="34290"/>
                                <a:chExt cx="969010" cy="34290"/>
                              </a:xfrm>
                            </wpg:grpSpPr>
                            <wps:wsp>
                              <wps:cNvPr id="453" name="Graphic 453"/>
                              <wps:cNvSpPr/>
                              <wps:spPr>
                                <a:xfrm>
                                  <a:off x="-11" y="-3"/>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2.079264pt;width:76.3pt;height:2.7pt;mso-position-horizontal-relative:column;mso-position-vertical-relative:paragraph;z-index:-25598976" id="docshapegroup450" coordorigin="108,242" coordsize="1526,54">
                      <v:shape style="position:absolute;left:107;top:241;width:1526;height:54" id="docshape451" coordorigin="108,242" coordsize="1526,54" path="m1633,282l1606,282,216,282,108,282,108,296,216,296,1606,296,1633,296,1633,282xm1633,242l1606,242,216,242,108,242,108,255,216,255,1606,255,1633,255,1633,242xe" filled="true" fillcolor="#000000" stroked="false">
                        <v:path arrowok="t"/>
                        <v:fill type="solid"/>
                      </v:shape>
                      <w10:wrap type="none"/>
                    </v:group>
                  </w:pict>
                </mc:Fallback>
              </mc:AlternateContent>
            </w:r>
            <w:r>
              <w:rPr>
                <w:spacing w:val="-10"/>
                <w:sz w:val="18"/>
              </w:rPr>
              <w:t>$</w:t>
            </w:r>
            <w:r>
              <w:rPr>
                <w:sz w:val="18"/>
              </w:rPr>
              <w:tab/>
            </w:r>
            <w:r>
              <w:rPr>
                <w:spacing w:val="-2"/>
                <w:sz w:val="18"/>
              </w:rPr>
              <w:t>1,394,121</w:t>
            </w:r>
          </w:p>
        </w:tc>
      </w:tr>
    </w:tbl>
    <w:p>
      <w:pPr>
        <w:pStyle w:val="BodyText"/>
        <w:spacing w:before="120"/>
        <w:rPr>
          <w:b/>
          <w:i/>
          <w:sz w:val="16"/>
        </w:rPr>
      </w:pPr>
    </w:p>
    <w:p>
      <w:pPr>
        <w:pStyle w:val="BodyText"/>
        <w:ind w:left="644"/>
      </w:pPr>
      <w:r>
        <w:rPr>
          <w:b/>
        </w:rPr>
        <w:t>Gold</w:t>
      </w:r>
      <w:r>
        <w:rPr>
          <w:b/>
          <w:spacing w:val="5"/>
        </w:rPr>
        <w:t> </w:t>
      </w:r>
      <w:r>
        <w:rPr>
          <w:b/>
        </w:rPr>
        <w:t>Strike</w:t>
      </w:r>
      <w:r>
        <w:rPr>
          <w:b/>
          <w:spacing w:val="2"/>
        </w:rPr>
        <w:t> </w:t>
      </w:r>
      <w:r>
        <w:rPr>
          <w:b/>
        </w:rPr>
        <w:t>Tunica.</w:t>
      </w:r>
      <w:r>
        <w:rPr>
          <w:b/>
          <w:spacing w:val="5"/>
        </w:rPr>
        <w:t> </w:t>
      </w:r>
      <w:r>
        <w:rPr/>
        <w:t>On</w:t>
      </w:r>
      <w:r>
        <w:rPr>
          <w:spacing w:val="5"/>
        </w:rPr>
        <w:t> </w:t>
      </w:r>
      <w:r>
        <w:rPr/>
        <w:t>February</w:t>
      </w:r>
      <w:r>
        <w:rPr>
          <w:spacing w:val="5"/>
        </w:rPr>
        <w:t> </w:t>
      </w:r>
      <w:r>
        <w:rPr/>
        <w:t>15,</w:t>
      </w:r>
      <w:r>
        <w:rPr>
          <w:spacing w:val="5"/>
        </w:rPr>
        <w:t> </w:t>
      </w:r>
      <w:r>
        <w:rPr/>
        <w:t>2023,</w:t>
      </w:r>
      <w:r>
        <w:rPr>
          <w:spacing w:val="5"/>
        </w:rPr>
        <w:t> </w:t>
      </w:r>
      <w:r>
        <w:rPr/>
        <w:t>the</w:t>
      </w:r>
      <w:r>
        <w:rPr>
          <w:spacing w:val="5"/>
        </w:rPr>
        <w:t> </w:t>
      </w:r>
      <w:r>
        <w:rPr/>
        <w:t>Company</w:t>
      </w:r>
      <w:r>
        <w:rPr>
          <w:spacing w:val="5"/>
        </w:rPr>
        <w:t> </w:t>
      </w:r>
      <w:r>
        <w:rPr/>
        <w:t>completed</w:t>
      </w:r>
      <w:r>
        <w:rPr>
          <w:spacing w:val="5"/>
        </w:rPr>
        <w:t> </w:t>
      </w:r>
      <w:r>
        <w:rPr/>
        <w:t>the</w:t>
      </w:r>
      <w:r>
        <w:rPr>
          <w:spacing w:val="5"/>
        </w:rPr>
        <w:t> </w:t>
      </w:r>
      <w:r>
        <w:rPr/>
        <w:t>sale</w:t>
      </w:r>
      <w:r>
        <w:rPr>
          <w:spacing w:val="5"/>
        </w:rPr>
        <w:t> </w:t>
      </w:r>
      <w:r>
        <w:rPr/>
        <w:t>of</w:t>
      </w:r>
      <w:r>
        <w:rPr>
          <w:spacing w:val="5"/>
        </w:rPr>
        <w:t> </w:t>
      </w:r>
      <w:r>
        <w:rPr/>
        <w:t>the</w:t>
      </w:r>
      <w:r>
        <w:rPr>
          <w:spacing w:val="5"/>
        </w:rPr>
        <w:t> </w:t>
      </w:r>
      <w:r>
        <w:rPr/>
        <w:t>operations</w:t>
      </w:r>
      <w:r>
        <w:rPr>
          <w:spacing w:val="4"/>
        </w:rPr>
        <w:t> </w:t>
      </w:r>
      <w:r>
        <w:rPr/>
        <w:t>of</w:t>
      </w:r>
      <w:r>
        <w:rPr>
          <w:spacing w:val="5"/>
        </w:rPr>
        <w:t> </w:t>
      </w:r>
      <w:r>
        <w:rPr/>
        <w:t>Gold</w:t>
      </w:r>
      <w:r>
        <w:rPr>
          <w:spacing w:val="5"/>
        </w:rPr>
        <w:t> </w:t>
      </w:r>
      <w:r>
        <w:rPr/>
        <w:t>Strike</w:t>
      </w:r>
      <w:r>
        <w:rPr>
          <w:spacing w:val="3"/>
        </w:rPr>
        <w:t> </w:t>
      </w:r>
      <w:r>
        <w:rPr/>
        <w:t>Tunica</w:t>
      </w:r>
      <w:r>
        <w:rPr>
          <w:spacing w:val="5"/>
        </w:rPr>
        <w:t> </w:t>
      </w:r>
      <w:r>
        <w:rPr/>
        <w:t>to</w:t>
      </w:r>
      <w:r>
        <w:rPr>
          <w:spacing w:val="5"/>
        </w:rPr>
        <w:t> </w:t>
      </w:r>
      <w:r>
        <w:rPr/>
        <w:t>CNE</w:t>
      </w:r>
      <w:r>
        <w:rPr>
          <w:spacing w:val="5"/>
        </w:rPr>
        <w:t> </w:t>
      </w:r>
      <w:r>
        <w:rPr/>
        <w:t>for</w:t>
      </w:r>
      <w:r>
        <w:rPr>
          <w:spacing w:val="5"/>
        </w:rPr>
        <w:t> </w:t>
      </w:r>
      <w:r>
        <w:rPr/>
        <w:t>cash</w:t>
      </w:r>
      <w:r>
        <w:rPr>
          <w:spacing w:val="5"/>
        </w:rPr>
        <w:t> </w:t>
      </w:r>
      <w:r>
        <w:rPr/>
        <w:t>consideration</w:t>
      </w:r>
      <w:r>
        <w:rPr>
          <w:spacing w:val="5"/>
        </w:rPr>
        <w:t> </w:t>
      </w:r>
      <w:r>
        <w:rPr>
          <w:spacing w:val="-5"/>
        </w:rPr>
        <w:t>of</w:t>
      </w:r>
    </w:p>
    <w:p>
      <w:pPr>
        <w:pStyle w:val="BodyText"/>
        <w:spacing w:line="249" w:lineRule="auto" w:before="9"/>
        <w:ind w:left="144"/>
      </w:pPr>
      <w:r>
        <w:rPr/>
        <w:t>$450 million, subject to certain purchase price adjustments.</w:t>
      </w:r>
      <w:r>
        <w:rPr>
          <w:spacing w:val="-4"/>
        </w:rPr>
        <w:t> </w:t>
      </w:r>
      <w:r>
        <w:rPr/>
        <w:t>At closing, the master lease between the Company and VICI was amended to remove Gold Strike Tunica and to reflect a $40 million reduction in annual cash rent.</w:t>
      </w:r>
    </w:p>
    <w:p>
      <w:pPr>
        <w:pStyle w:val="BodyText"/>
        <w:spacing w:before="10"/>
      </w:pPr>
    </w:p>
    <w:p>
      <w:pPr>
        <w:pStyle w:val="BodyText"/>
        <w:spacing w:line="249" w:lineRule="auto" w:before="1"/>
        <w:ind w:left="144" w:right="118" w:firstLine="499"/>
        <w:jc w:val="both"/>
      </w:pPr>
      <w:r>
        <w:rPr/>
        <w:t>The</w:t>
      </w:r>
      <w:r>
        <w:rPr>
          <w:spacing w:val="-2"/>
        </w:rPr>
        <w:t> </w:t>
      </w:r>
      <w:r>
        <w:rPr/>
        <w:t>operations</w:t>
      </w:r>
      <w:r>
        <w:rPr>
          <w:spacing w:val="-2"/>
        </w:rPr>
        <w:t> </w:t>
      </w:r>
      <w:r>
        <w:rPr/>
        <w:t>of</w:t>
      </w:r>
      <w:r>
        <w:rPr>
          <w:spacing w:val="-2"/>
        </w:rPr>
        <w:t> </w:t>
      </w:r>
      <w:r>
        <w:rPr/>
        <w:t>Gold</w:t>
      </w:r>
      <w:r>
        <w:rPr>
          <w:spacing w:val="-2"/>
        </w:rPr>
        <w:t> </w:t>
      </w:r>
      <w:r>
        <w:rPr/>
        <w:t>Strike</w:t>
      </w:r>
      <w:r>
        <w:rPr>
          <w:spacing w:val="-6"/>
        </w:rPr>
        <w:t> </w:t>
      </w:r>
      <w:r>
        <w:rPr/>
        <w:t>Tunica</w:t>
      </w:r>
      <w:r>
        <w:rPr>
          <w:spacing w:val="-2"/>
        </w:rPr>
        <w:t> </w:t>
      </w:r>
      <w:r>
        <w:rPr/>
        <w:t>is</w:t>
      </w:r>
      <w:r>
        <w:rPr>
          <w:spacing w:val="-2"/>
        </w:rPr>
        <w:t> </w:t>
      </w:r>
      <w:r>
        <w:rPr/>
        <w:t>not</w:t>
      </w:r>
      <w:r>
        <w:rPr>
          <w:spacing w:val="-2"/>
        </w:rPr>
        <w:t> </w:t>
      </w:r>
      <w:r>
        <w:rPr/>
        <w:t>classified</w:t>
      </w:r>
      <w:r>
        <w:rPr>
          <w:spacing w:val="-2"/>
        </w:rPr>
        <w:t> </w:t>
      </w:r>
      <w:r>
        <w:rPr/>
        <w:t>as</w:t>
      </w:r>
      <w:r>
        <w:rPr>
          <w:spacing w:val="-2"/>
        </w:rPr>
        <w:t> </w:t>
      </w:r>
      <w:r>
        <w:rPr/>
        <w:t>discontinued</w:t>
      </w:r>
      <w:r>
        <w:rPr>
          <w:spacing w:val="-2"/>
        </w:rPr>
        <w:t> </w:t>
      </w:r>
      <w:r>
        <w:rPr/>
        <w:t>operations</w:t>
      </w:r>
      <w:r>
        <w:rPr>
          <w:spacing w:val="-2"/>
        </w:rPr>
        <w:t> </w:t>
      </w:r>
      <w:r>
        <w:rPr/>
        <w:t>because</w:t>
      </w:r>
      <w:r>
        <w:rPr>
          <w:spacing w:val="-2"/>
        </w:rPr>
        <w:t> </w:t>
      </w:r>
      <w:r>
        <w:rPr/>
        <w:t>the</w:t>
      </w:r>
      <w:r>
        <w:rPr>
          <w:spacing w:val="-2"/>
        </w:rPr>
        <w:t> </w:t>
      </w:r>
      <w:r>
        <w:rPr/>
        <w:t>Company</w:t>
      </w:r>
      <w:r>
        <w:rPr>
          <w:spacing w:val="-2"/>
        </w:rPr>
        <w:t> </w:t>
      </w:r>
      <w:r>
        <w:rPr/>
        <w:t>concluded</w:t>
      </w:r>
      <w:r>
        <w:rPr>
          <w:spacing w:val="-2"/>
        </w:rPr>
        <w:t> </w:t>
      </w:r>
      <w:r>
        <w:rPr/>
        <w:t>that</w:t>
      </w:r>
      <w:r>
        <w:rPr>
          <w:spacing w:val="-2"/>
        </w:rPr>
        <w:t> </w:t>
      </w:r>
      <w:r>
        <w:rPr/>
        <w:t>the</w:t>
      </w:r>
      <w:r>
        <w:rPr>
          <w:spacing w:val="-2"/>
        </w:rPr>
        <w:t> </w:t>
      </w:r>
      <w:r>
        <w:rPr/>
        <w:t>sale</w:t>
      </w:r>
      <w:r>
        <w:rPr>
          <w:spacing w:val="-2"/>
        </w:rPr>
        <w:t> </w:t>
      </w:r>
      <w:r>
        <w:rPr/>
        <w:t>is</w:t>
      </w:r>
      <w:r>
        <w:rPr>
          <w:spacing w:val="-2"/>
        </w:rPr>
        <w:t> </w:t>
      </w:r>
      <w:r>
        <w:rPr/>
        <w:t>not</w:t>
      </w:r>
      <w:r>
        <w:rPr>
          <w:spacing w:val="-2"/>
        </w:rPr>
        <w:t> </w:t>
      </w:r>
      <w:r>
        <w:rPr/>
        <w:t>a</w:t>
      </w:r>
      <w:r>
        <w:rPr>
          <w:spacing w:val="-2"/>
        </w:rPr>
        <w:t> </w:t>
      </w:r>
      <w:r>
        <w:rPr/>
        <w:t>strategic</w:t>
      </w:r>
      <w:r>
        <w:rPr>
          <w:spacing w:val="-2"/>
        </w:rPr>
        <w:t> </w:t>
      </w:r>
      <w:r>
        <w:rPr/>
        <w:t>shift</w:t>
      </w:r>
      <w:r>
        <w:rPr>
          <w:spacing w:val="-2"/>
        </w:rPr>
        <w:t> </w:t>
      </w:r>
      <w:r>
        <w:rPr/>
        <w:t>that has a major effect on the Company’s operations or its financial results and it does not represent a major geographic segment or product line.</w:t>
      </w:r>
      <w:r>
        <w:rPr>
          <w:spacing w:val="-1"/>
        </w:rPr>
        <w:t> </w:t>
      </w:r>
      <w:r>
        <w:rPr/>
        <w:t>As the sale was completed subsequent to December 31, 2022, the asset group is classified as held for sale as of December 31, 2022.</w:t>
      </w:r>
    </w:p>
    <w:p>
      <w:pPr>
        <w:pStyle w:val="BodyText"/>
      </w:pPr>
    </w:p>
    <w:p>
      <w:pPr>
        <w:pStyle w:val="BodyText"/>
      </w:pPr>
    </w:p>
    <w:p>
      <w:pPr>
        <w:pStyle w:val="BodyText"/>
        <w:spacing w:before="204"/>
      </w:pPr>
    </w:p>
    <w:p>
      <w:pPr>
        <w:pStyle w:val="BodyText"/>
        <w:ind w:left="24"/>
        <w:jc w:val="center"/>
      </w:pPr>
      <w:r>
        <w:rPr>
          <w:spacing w:val="-5"/>
        </w:rPr>
        <w:t>75</w:t>
      </w:r>
    </w:p>
    <w:p>
      <w:pPr>
        <w:pStyle w:val="BodyText"/>
        <w:spacing w:before="3"/>
        <w:rPr>
          <w:sz w:val="6"/>
        </w:rPr>
      </w:pPr>
      <w:r>
        <w:rPr/>
        <mc:AlternateContent>
          <mc:Choice Requires="wps">
            <w:drawing>
              <wp:anchor distT="0" distB="0" distL="0" distR="0" allowOverlap="1" layoutInCell="1" locked="0" behindDoc="1" simplePos="0" relativeHeight="487675392">
                <wp:simplePos x="0" y="0"/>
                <wp:positionH relativeFrom="page">
                  <wp:posOffset>231457</wp:posOffset>
                </wp:positionH>
                <wp:positionV relativeFrom="paragraph">
                  <wp:posOffset>60956</wp:posOffset>
                </wp:positionV>
                <wp:extent cx="7312659" cy="17145"/>
                <wp:effectExtent l="0" t="0" r="0" b="0"/>
                <wp:wrapTopAndBottom/>
                <wp:docPr id="454" name="Group 454"/>
                <wp:cNvGraphicFramePr>
                  <a:graphicFrameLocks/>
                </wp:cNvGraphicFramePr>
                <a:graphic>
                  <a:graphicData uri="http://schemas.microsoft.com/office/word/2010/wordprocessingGroup">
                    <wpg:wgp>
                      <wpg:cNvPr id="454" name="Group 454"/>
                      <wpg:cNvGrpSpPr/>
                      <wpg:grpSpPr>
                        <a:xfrm>
                          <a:off x="0" y="0"/>
                          <a:ext cx="7312659" cy="17145"/>
                          <a:chExt cx="7312659" cy="17145"/>
                        </a:xfrm>
                      </wpg:grpSpPr>
                      <wps:wsp>
                        <wps:cNvPr id="455" name="Graphic 45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56" name="Graphic 456"/>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57" name="Graphic 45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1088;mso-wrap-distance-left:0;mso-wrap-distance-right:0" id="docshapegroup452" coordorigin="364,96" coordsize="11516,27">
                <v:rect style="position:absolute;left:364;top:96;width:11516;height:14" id="docshape453" filled="true" fillcolor="#999999" stroked="false">
                  <v:fill type="solid"/>
                </v:rect>
                <v:shape style="position:absolute;left:364;top:95;width:11516;height:27" id="docshape454" coordorigin="364,96" coordsize="11516,27" path="m11880,96l11866,109,364,109,364,123,11866,123,11880,123,11880,109,11880,96xe" filled="true" fillcolor="#ededed" stroked="false">
                  <v:path arrowok="t"/>
                  <v:fill type="solid"/>
                </v:shape>
                <v:shape style="position:absolute;left:364;top:96;width:14;height:27" id="docshape45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BodyText"/>
        <w:spacing w:before="63"/>
        <w:ind w:left="644"/>
      </w:pPr>
      <w:r>
        <w:rPr/>
        <w:t>The</w:t>
      </w:r>
      <w:r>
        <w:rPr>
          <w:spacing w:val="-1"/>
        </w:rPr>
        <w:t> </w:t>
      </w:r>
      <w:r>
        <w:rPr/>
        <w:t>major</w:t>
      </w:r>
      <w:r>
        <w:rPr>
          <w:spacing w:val="-1"/>
        </w:rPr>
        <w:t> </w:t>
      </w:r>
      <w:r>
        <w:rPr/>
        <w:t>classes</w:t>
      </w:r>
      <w:r>
        <w:rPr>
          <w:spacing w:val="-1"/>
        </w:rPr>
        <w:t> </w:t>
      </w:r>
      <w:r>
        <w:rPr/>
        <w:t>of</w:t>
      </w:r>
      <w:r>
        <w:rPr>
          <w:spacing w:val="-1"/>
        </w:rPr>
        <w:t> </w:t>
      </w:r>
      <w:r>
        <w:rPr/>
        <w:t>assets</w:t>
      </w:r>
      <w:r>
        <w:rPr>
          <w:spacing w:val="-1"/>
        </w:rPr>
        <w:t> </w:t>
      </w:r>
      <w:r>
        <w:rPr/>
        <w:t>and</w:t>
      </w:r>
      <w:r>
        <w:rPr>
          <w:spacing w:val="-1"/>
        </w:rPr>
        <w:t> </w:t>
      </w:r>
      <w:r>
        <w:rPr/>
        <w:t>liabilities</w:t>
      </w:r>
      <w:r>
        <w:rPr>
          <w:spacing w:val="-1"/>
        </w:rPr>
        <w:t> </w:t>
      </w:r>
      <w:r>
        <w:rPr/>
        <w:t>classified</w:t>
      </w:r>
      <w:r>
        <w:rPr>
          <w:spacing w:val="-1"/>
        </w:rPr>
        <w:t> </w:t>
      </w:r>
      <w:r>
        <w:rPr/>
        <w:t>as</w:t>
      </w:r>
      <w:r>
        <w:rPr>
          <w:spacing w:val="-1"/>
        </w:rPr>
        <w:t> </w:t>
      </w:r>
      <w:r>
        <w:rPr/>
        <w:t>held</w:t>
      </w:r>
      <w:r>
        <w:rPr>
          <w:spacing w:val="-1"/>
        </w:rPr>
        <w:t> </w:t>
      </w:r>
      <w:r>
        <w:rPr/>
        <w:t>for</w:t>
      </w:r>
      <w:r>
        <w:rPr>
          <w:spacing w:val="-1"/>
        </w:rPr>
        <w:t> </w:t>
      </w:r>
      <w:r>
        <w:rPr/>
        <w:t>sale</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2022</w:t>
      </w:r>
      <w:r>
        <w:rPr>
          <w:spacing w:val="-1"/>
        </w:rPr>
        <w:t> </w:t>
      </w:r>
      <w:r>
        <w:rPr/>
        <w:t>are</w:t>
      </w:r>
      <w:r>
        <w:rPr>
          <w:spacing w:val="-1"/>
        </w:rPr>
        <w:t> </w:t>
      </w:r>
      <w:r>
        <w:rPr/>
        <w:t>as</w:t>
      </w:r>
      <w:r>
        <w:rPr>
          <w:spacing w:val="-1"/>
        </w:rPr>
        <w:t> </w:t>
      </w:r>
      <w:r>
        <w:rPr/>
        <w:t>follows</w:t>
      </w:r>
      <w:r>
        <w:rPr>
          <w:spacing w:val="-1"/>
        </w:rPr>
        <w:t> </w:t>
      </w:r>
      <w:r>
        <w:rPr/>
        <w:t>(in</w:t>
      </w:r>
      <w:r>
        <w:rPr>
          <w:spacing w:val="-1"/>
        </w:rPr>
        <w:t> </w:t>
      </w:r>
      <w:r>
        <w:rPr>
          <w:spacing w:val="-2"/>
        </w:rPr>
        <w:t>thousands):</w:t>
      </w:r>
    </w:p>
    <w:p>
      <w:pPr>
        <w:pStyle w:val="BodyText"/>
        <w:spacing w:before="2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8"/>
        <w:gridCol w:w="5027"/>
      </w:tblGrid>
      <w:tr>
        <w:trPr>
          <w:trHeight w:val="229" w:hRule="atLeast"/>
        </w:trPr>
        <w:tc>
          <w:tcPr>
            <w:tcW w:w="6488" w:type="dxa"/>
            <w:shd w:val="clear" w:color="auto" w:fill="CCEDFF"/>
          </w:tcPr>
          <w:p>
            <w:pPr>
              <w:pStyle w:val="TableParagraph"/>
              <w:spacing w:line="202" w:lineRule="exact" w:before="7"/>
              <w:ind w:left="17"/>
              <w:rPr>
                <w:sz w:val="18"/>
              </w:rPr>
            </w:pPr>
            <w:r>
              <w:rPr>
                <w:sz w:val="18"/>
              </w:rPr>
              <w:t>Cash</w:t>
            </w:r>
            <w:r>
              <w:rPr>
                <w:spacing w:val="-1"/>
                <w:sz w:val="18"/>
              </w:rPr>
              <w:t> </w:t>
            </w:r>
            <w:r>
              <w:rPr>
                <w:sz w:val="18"/>
              </w:rPr>
              <w:t>and</w:t>
            </w:r>
            <w:r>
              <w:rPr>
                <w:spacing w:val="-1"/>
                <w:sz w:val="18"/>
              </w:rPr>
              <w:t> </w:t>
            </w:r>
            <w:r>
              <w:rPr>
                <w:sz w:val="18"/>
              </w:rPr>
              <w:t>cash</w:t>
            </w:r>
            <w:r>
              <w:rPr>
                <w:spacing w:val="-1"/>
                <w:sz w:val="18"/>
              </w:rPr>
              <w:t> </w:t>
            </w:r>
            <w:r>
              <w:rPr>
                <w:spacing w:val="-2"/>
                <w:sz w:val="18"/>
              </w:rPr>
              <w:t>equivalents</w:t>
            </w:r>
          </w:p>
        </w:tc>
        <w:tc>
          <w:tcPr>
            <w:tcW w:w="5027" w:type="dxa"/>
            <w:shd w:val="clear" w:color="auto" w:fill="CCEDFF"/>
          </w:tcPr>
          <w:p>
            <w:pPr>
              <w:pStyle w:val="TableParagraph"/>
              <w:tabs>
                <w:tab w:pos="945" w:val="left" w:leader="none"/>
              </w:tabs>
              <w:spacing w:line="202" w:lineRule="exact" w:before="7"/>
              <w:ind w:right="70"/>
              <w:jc w:val="right"/>
              <w:rPr>
                <w:sz w:val="18"/>
              </w:rPr>
            </w:pPr>
            <w:r>
              <w:rPr>
                <w:spacing w:val="-10"/>
                <w:sz w:val="18"/>
              </w:rPr>
              <w:t>$</w:t>
            </w:r>
            <w:r>
              <w:rPr>
                <w:sz w:val="18"/>
              </w:rPr>
              <w:tab/>
            </w:r>
            <w:r>
              <w:rPr>
                <w:spacing w:val="-2"/>
                <w:sz w:val="18"/>
              </w:rPr>
              <w:t>25,938</w:t>
            </w:r>
          </w:p>
        </w:tc>
      </w:tr>
      <w:tr>
        <w:trPr>
          <w:trHeight w:val="256" w:hRule="atLeast"/>
        </w:trPr>
        <w:tc>
          <w:tcPr>
            <w:tcW w:w="6488" w:type="dxa"/>
          </w:tcPr>
          <w:p>
            <w:pPr>
              <w:pStyle w:val="TableParagraph"/>
              <w:ind w:left="17"/>
              <w:rPr>
                <w:sz w:val="18"/>
              </w:rPr>
            </w:pPr>
            <w:r>
              <w:rPr>
                <w:sz w:val="18"/>
              </w:rPr>
              <w:t>Accounts</w:t>
            </w:r>
            <w:r>
              <w:rPr>
                <w:spacing w:val="-1"/>
                <w:sz w:val="18"/>
              </w:rPr>
              <w:t> </w:t>
            </w:r>
            <w:r>
              <w:rPr>
                <w:sz w:val="18"/>
              </w:rPr>
              <w:t>receivable,</w:t>
            </w:r>
            <w:r>
              <w:rPr>
                <w:spacing w:val="-1"/>
                <w:sz w:val="18"/>
              </w:rPr>
              <w:t> </w:t>
            </w:r>
            <w:r>
              <w:rPr>
                <w:spacing w:val="-5"/>
                <w:sz w:val="18"/>
              </w:rPr>
              <w:t>net</w:t>
            </w:r>
          </w:p>
        </w:tc>
        <w:tc>
          <w:tcPr>
            <w:tcW w:w="5027" w:type="dxa"/>
          </w:tcPr>
          <w:p>
            <w:pPr>
              <w:pStyle w:val="TableParagraph"/>
              <w:ind w:right="70"/>
              <w:jc w:val="right"/>
              <w:rPr>
                <w:sz w:val="18"/>
              </w:rPr>
            </w:pPr>
            <w:r>
              <w:rPr>
                <w:spacing w:val="-2"/>
                <w:sz w:val="18"/>
              </w:rPr>
              <w:t>3,394</w:t>
            </w:r>
          </w:p>
        </w:tc>
      </w:tr>
      <w:tr>
        <w:trPr>
          <w:trHeight w:val="242" w:hRule="atLeast"/>
        </w:trPr>
        <w:tc>
          <w:tcPr>
            <w:tcW w:w="6488" w:type="dxa"/>
            <w:shd w:val="clear" w:color="auto" w:fill="CCEDFF"/>
          </w:tcPr>
          <w:p>
            <w:pPr>
              <w:pStyle w:val="TableParagraph"/>
              <w:spacing w:before="7"/>
              <w:ind w:left="17"/>
              <w:rPr>
                <w:sz w:val="18"/>
              </w:rPr>
            </w:pPr>
            <w:r>
              <w:rPr>
                <w:spacing w:val="-2"/>
                <w:sz w:val="18"/>
              </w:rPr>
              <w:t>Inventories</w:t>
            </w:r>
          </w:p>
        </w:tc>
        <w:tc>
          <w:tcPr>
            <w:tcW w:w="5027" w:type="dxa"/>
            <w:shd w:val="clear" w:color="auto" w:fill="CCEDFF"/>
          </w:tcPr>
          <w:p>
            <w:pPr>
              <w:pStyle w:val="TableParagraph"/>
              <w:spacing w:before="7"/>
              <w:ind w:right="70"/>
              <w:jc w:val="right"/>
              <w:rPr>
                <w:sz w:val="18"/>
              </w:rPr>
            </w:pPr>
            <w:r>
              <w:rPr>
                <w:spacing w:val="-2"/>
                <w:sz w:val="18"/>
              </w:rPr>
              <w:t>1,186</w:t>
            </w:r>
          </w:p>
        </w:tc>
      </w:tr>
      <w:tr>
        <w:trPr>
          <w:trHeight w:val="256" w:hRule="atLeast"/>
        </w:trPr>
        <w:tc>
          <w:tcPr>
            <w:tcW w:w="6488" w:type="dxa"/>
          </w:tcPr>
          <w:p>
            <w:pPr>
              <w:pStyle w:val="TableParagraph"/>
              <w:ind w:left="17"/>
              <w:rPr>
                <w:sz w:val="18"/>
              </w:rPr>
            </w:pPr>
            <w:r>
              <w:rPr>
                <w:sz w:val="18"/>
              </w:rPr>
              <w:t>Prepaid</w:t>
            </w:r>
            <w:r>
              <w:rPr>
                <w:spacing w:val="-1"/>
                <w:sz w:val="18"/>
              </w:rPr>
              <w:t> </w:t>
            </w:r>
            <w:r>
              <w:rPr>
                <w:sz w:val="18"/>
              </w:rPr>
              <w:t>expenses</w:t>
            </w:r>
            <w:r>
              <w:rPr>
                <w:spacing w:val="-1"/>
                <w:sz w:val="18"/>
              </w:rPr>
              <w:t> </w:t>
            </w:r>
            <w:r>
              <w:rPr>
                <w:sz w:val="18"/>
              </w:rPr>
              <w:t>and</w:t>
            </w:r>
            <w:r>
              <w:rPr>
                <w:spacing w:val="-1"/>
                <w:sz w:val="18"/>
              </w:rPr>
              <w:t> </w:t>
            </w:r>
            <w:r>
              <w:rPr>
                <w:spacing w:val="-2"/>
                <w:sz w:val="18"/>
              </w:rPr>
              <w:t>other</w:t>
            </w:r>
          </w:p>
        </w:tc>
        <w:tc>
          <w:tcPr>
            <w:tcW w:w="5027" w:type="dxa"/>
          </w:tcPr>
          <w:p>
            <w:pPr>
              <w:pStyle w:val="TableParagraph"/>
              <w:ind w:right="70"/>
              <w:jc w:val="right"/>
              <w:rPr>
                <w:sz w:val="18"/>
              </w:rPr>
            </w:pPr>
            <w:r>
              <w:rPr>
                <w:spacing w:val="-2"/>
                <w:sz w:val="18"/>
              </w:rPr>
              <w:t>1,055</w:t>
            </w:r>
          </w:p>
        </w:tc>
      </w:tr>
      <w:tr>
        <w:trPr>
          <w:trHeight w:val="229" w:hRule="atLeast"/>
        </w:trPr>
        <w:tc>
          <w:tcPr>
            <w:tcW w:w="6488" w:type="dxa"/>
            <w:shd w:val="clear" w:color="auto" w:fill="CCEDFF"/>
          </w:tcPr>
          <w:p>
            <w:pPr>
              <w:pStyle w:val="TableParagraph"/>
              <w:spacing w:line="202" w:lineRule="exact" w:before="7"/>
              <w:ind w:left="17"/>
              <w:rPr>
                <w:sz w:val="18"/>
              </w:rPr>
            </w:pPr>
            <w:r>
              <w:rPr>
                <w:sz w:val="18"/>
              </w:rPr>
              <w:t>Property</w:t>
            </w:r>
            <w:r>
              <w:rPr>
                <w:spacing w:val="-1"/>
                <w:sz w:val="18"/>
              </w:rPr>
              <w:t> </w:t>
            </w:r>
            <w:r>
              <w:rPr>
                <w:sz w:val="18"/>
              </w:rPr>
              <w:t>and</w:t>
            </w:r>
            <w:r>
              <w:rPr>
                <w:spacing w:val="-1"/>
                <w:sz w:val="18"/>
              </w:rPr>
              <w:t> </w:t>
            </w:r>
            <w:r>
              <w:rPr>
                <w:sz w:val="18"/>
              </w:rPr>
              <w:t>equipment,</w:t>
            </w:r>
            <w:r>
              <w:rPr>
                <w:spacing w:val="-1"/>
                <w:sz w:val="18"/>
              </w:rPr>
              <w:t> </w:t>
            </w:r>
            <w:r>
              <w:rPr>
                <w:spacing w:val="-5"/>
                <w:sz w:val="18"/>
              </w:rPr>
              <w:t>net</w:t>
            </w:r>
          </w:p>
        </w:tc>
        <w:tc>
          <w:tcPr>
            <w:tcW w:w="5027" w:type="dxa"/>
            <w:shd w:val="clear" w:color="auto" w:fill="CCEDFF"/>
          </w:tcPr>
          <w:p>
            <w:pPr>
              <w:pStyle w:val="TableParagraph"/>
              <w:spacing w:line="202" w:lineRule="exact" w:before="7"/>
              <w:ind w:right="70"/>
              <w:jc w:val="right"/>
              <w:rPr>
                <w:sz w:val="18"/>
              </w:rPr>
            </w:pPr>
            <w:r>
              <w:rPr>
                <w:spacing w:val="-2"/>
                <w:sz w:val="18"/>
              </w:rPr>
              <w:t>20,871</w:t>
            </w:r>
          </w:p>
        </w:tc>
      </w:tr>
      <w:tr>
        <w:trPr>
          <w:trHeight w:val="256" w:hRule="atLeast"/>
        </w:trPr>
        <w:tc>
          <w:tcPr>
            <w:tcW w:w="6488" w:type="dxa"/>
          </w:tcPr>
          <w:p>
            <w:pPr>
              <w:pStyle w:val="TableParagraph"/>
              <w:ind w:left="17"/>
              <w:rPr>
                <w:sz w:val="18"/>
              </w:rPr>
            </w:pPr>
            <w:r>
              <w:rPr>
                <w:spacing w:val="-2"/>
                <w:sz w:val="18"/>
              </w:rPr>
              <w:t>Goodwill</w:t>
            </w:r>
          </w:p>
        </w:tc>
        <w:tc>
          <w:tcPr>
            <w:tcW w:w="5027" w:type="dxa"/>
          </w:tcPr>
          <w:p>
            <w:pPr>
              <w:pStyle w:val="TableParagraph"/>
              <w:ind w:right="70"/>
              <w:jc w:val="right"/>
              <w:rPr>
                <w:sz w:val="18"/>
              </w:rPr>
            </w:pPr>
            <w:r>
              <w:rPr>
                <w:spacing w:val="-2"/>
                <w:sz w:val="18"/>
              </w:rPr>
              <w:t>40,523</w:t>
            </w:r>
          </w:p>
        </w:tc>
      </w:tr>
      <w:tr>
        <w:trPr>
          <w:trHeight w:val="242" w:hRule="atLeast"/>
        </w:trPr>
        <w:tc>
          <w:tcPr>
            <w:tcW w:w="6488" w:type="dxa"/>
            <w:shd w:val="clear" w:color="auto" w:fill="CCEDFF"/>
          </w:tcPr>
          <w:p>
            <w:pPr>
              <w:pStyle w:val="TableParagraph"/>
              <w:spacing w:before="7"/>
              <w:ind w:left="17"/>
              <w:rPr>
                <w:sz w:val="18"/>
              </w:rPr>
            </w:pPr>
            <w:r>
              <w:rPr>
                <w:sz w:val="18"/>
              </w:rPr>
              <w:t>Other</w:t>
            </w:r>
            <w:r>
              <w:rPr>
                <w:spacing w:val="-1"/>
                <w:sz w:val="18"/>
              </w:rPr>
              <w:t> </w:t>
            </w:r>
            <w:r>
              <w:rPr>
                <w:sz w:val="18"/>
              </w:rPr>
              <w:t>intangible</w:t>
            </w:r>
            <w:r>
              <w:rPr>
                <w:spacing w:val="-1"/>
                <w:sz w:val="18"/>
              </w:rPr>
              <w:t> </w:t>
            </w:r>
            <w:r>
              <w:rPr>
                <w:sz w:val="18"/>
              </w:rPr>
              <w:t>assets,</w:t>
            </w:r>
            <w:r>
              <w:rPr>
                <w:spacing w:val="-1"/>
                <w:sz w:val="18"/>
              </w:rPr>
              <w:t> </w:t>
            </w:r>
            <w:r>
              <w:rPr>
                <w:spacing w:val="-5"/>
                <w:sz w:val="18"/>
              </w:rPr>
              <w:t>net</w:t>
            </w:r>
          </w:p>
        </w:tc>
        <w:tc>
          <w:tcPr>
            <w:tcW w:w="5027" w:type="dxa"/>
            <w:shd w:val="clear" w:color="auto" w:fill="CCEDFF"/>
          </w:tcPr>
          <w:p>
            <w:pPr>
              <w:pStyle w:val="TableParagraph"/>
              <w:spacing w:before="7"/>
              <w:ind w:right="70"/>
              <w:jc w:val="right"/>
              <w:rPr>
                <w:sz w:val="18"/>
              </w:rPr>
            </w:pPr>
            <w:r>
              <w:rPr>
                <w:spacing w:val="-2"/>
                <w:sz w:val="18"/>
              </w:rPr>
              <w:t>5,700</w:t>
            </w:r>
          </w:p>
        </w:tc>
      </w:tr>
      <w:tr>
        <w:trPr>
          <w:trHeight w:val="256" w:hRule="atLeast"/>
        </w:trPr>
        <w:tc>
          <w:tcPr>
            <w:tcW w:w="6488" w:type="dxa"/>
          </w:tcPr>
          <w:p>
            <w:pPr>
              <w:pStyle w:val="TableParagraph"/>
              <w:ind w:left="17"/>
              <w:rPr>
                <w:sz w:val="18"/>
              </w:rPr>
            </w:pPr>
            <w:r>
              <w:rPr>
                <w:sz w:val="18"/>
              </w:rPr>
              <w:t>Operating</w:t>
            </w:r>
            <w:r>
              <w:rPr>
                <w:spacing w:val="-1"/>
                <w:sz w:val="18"/>
              </w:rPr>
              <w:t> </w:t>
            </w:r>
            <w:r>
              <w:rPr>
                <w:sz w:val="18"/>
              </w:rPr>
              <w:t>lease</w:t>
            </w:r>
            <w:r>
              <w:rPr>
                <w:spacing w:val="-1"/>
                <w:sz w:val="18"/>
              </w:rPr>
              <w:t> </w:t>
            </w:r>
            <w:r>
              <w:rPr>
                <w:sz w:val="18"/>
              </w:rPr>
              <w:t>right-of-use</w:t>
            </w:r>
            <w:r>
              <w:rPr>
                <w:spacing w:val="-1"/>
                <w:sz w:val="18"/>
              </w:rPr>
              <w:t> </w:t>
            </w:r>
            <w:r>
              <w:rPr>
                <w:sz w:val="18"/>
              </w:rPr>
              <w:t>assets,</w:t>
            </w:r>
            <w:r>
              <w:rPr>
                <w:spacing w:val="-1"/>
                <w:sz w:val="18"/>
              </w:rPr>
              <w:t> </w:t>
            </w:r>
            <w:r>
              <w:rPr>
                <w:spacing w:val="-5"/>
                <w:sz w:val="18"/>
              </w:rPr>
              <w:t>net</w:t>
            </w:r>
          </w:p>
        </w:tc>
        <w:tc>
          <w:tcPr>
            <w:tcW w:w="5027" w:type="dxa"/>
          </w:tcPr>
          <w:p>
            <w:pPr>
              <w:pStyle w:val="TableParagraph"/>
              <w:ind w:right="70"/>
              <w:jc w:val="right"/>
              <w:rPr>
                <w:sz w:val="18"/>
              </w:rPr>
            </w:pPr>
            <w:r>
              <w:rPr>
                <w:spacing w:val="-2"/>
                <w:sz w:val="18"/>
              </w:rPr>
              <w:t>508,516</w:t>
            </w:r>
          </w:p>
        </w:tc>
      </w:tr>
      <w:tr>
        <w:trPr>
          <w:trHeight w:val="236" w:hRule="atLeast"/>
        </w:trPr>
        <w:tc>
          <w:tcPr>
            <w:tcW w:w="6488" w:type="dxa"/>
            <w:shd w:val="clear" w:color="auto" w:fill="CCEDFF"/>
          </w:tcPr>
          <w:p>
            <w:pPr>
              <w:pStyle w:val="TableParagraph"/>
              <w:spacing w:before="7"/>
              <w:ind w:left="17"/>
              <w:rPr>
                <w:sz w:val="18"/>
              </w:rPr>
            </w:pPr>
            <w:r>
              <w:rPr>
                <w:sz w:val="18"/>
              </w:rPr>
              <w:t>Other</w:t>
            </w:r>
            <w:r>
              <w:rPr>
                <w:spacing w:val="-1"/>
                <w:sz w:val="18"/>
              </w:rPr>
              <w:t> </w:t>
            </w:r>
            <w:r>
              <w:rPr>
                <w:sz w:val="18"/>
              </w:rPr>
              <w:t>long-term</w:t>
            </w:r>
            <w:r>
              <w:rPr>
                <w:spacing w:val="-1"/>
                <w:sz w:val="18"/>
              </w:rPr>
              <w:t> </w:t>
            </w:r>
            <w:r>
              <w:rPr>
                <w:sz w:val="18"/>
              </w:rPr>
              <w:t>assets,</w:t>
            </w:r>
            <w:r>
              <w:rPr>
                <w:spacing w:val="-1"/>
                <w:sz w:val="18"/>
              </w:rPr>
              <w:t> </w:t>
            </w:r>
            <w:r>
              <w:rPr>
                <w:spacing w:val="-5"/>
                <w:sz w:val="18"/>
              </w:rPr>
              <w:t>net</w:t>
            </w:r>
          </w:p>
        </w:tc>
        <w:tc>
          <w:tcPr>
            <w:tcW w:w="5027" w:type="dxa"/>
            <w:shd w:val="clear" w:color="auto" w:fill="CCEDFF"/>
          </w:tcPr>
          <w:p>
            <w:pPr>
              <w:pStyle w:val="TableParagraph"/>
              <w:spacing w:before="7"/>
              <w:ind w:right="70"/>
              <w:jc w:val="right"/>
              <w:rPr>
                <w:sz w:val="18"/>
              </w:rPr>
            </w:pPr>
            <w:r>
              <w:rPr>
                <w:spacing w:val="-2"/>
                <w:sz w:val="18"/>
              </w:rPr>
              <w:t>1,254</w:t>
            </w:r>
          </w:p>
        </w:tc>
      </w:tr>
      <w:tr>
        <w:trPr>
          <w:trHeight w:val="303" w:hRule="atLeast"/>
        </w:trPr>
        <w:tc>
          <w:tcPr>
            <w:tcW w:w="6488" w:type="dxa"/>
          </w:tcPr>
          <w:p>
            <w:pPr>
              <w:pStyle w:val="TableParagraph"/>
              <w:spacing w:before="27"/>
              <w:ind w:left="125"/>
              <w:rPr>
                <w:sz w:val="18"/>
              </w:rPr>
            </w:pPr>
            <w:r>
              <w:rPr>
                <w:sz w:val="18"/>
              </w:rPr>
              <w:t>Assets</w:t>
            </w:r>
            <w:r>
              <w:rPr>
                <w:spacing w:val="-1"/>
                <w:sz w:val="18"/>
              </w:rPr>
              <w:t> </w:t>
            </w:r>
            <w:r>
              <w:rPr>
                <w:sz w:val="18"/>
              </w:rPr>
              <w:t>held</w:t>
            </w:r>
            <w:r>
              <w:rPr>
                <w:spacing w:val="-1"/>
                <w:sz w:val="18"/>
              </w:rPr>
              <w:t> </w:t>
            </w:r>
            <w:r>
              <w:rPr>
                <w:sz w:val="18"/>
              </w:rPr>
              <w:t>for</w:t>
            </w:r>
            <w:r>
              <w:rPr>
                <w:spacing w:val="-1"/>
                <w:sz w:val="18"/>
              </w:rPr>
              <w:t> </w:t>
            </w:r>
            <w:r>
              <w:rPr>
                <w:spacing w:val="-4"/>
                <w:sz w:val="18"/>
              </w:rPr>
              <w:t>sale</w:t>
            </w:r>
          </w:p>
        </w:tc>
        <w:tc>
          <w:tcPr>
            <w:tcW w:w="5027" w:type="dxa"/>
          </w:tcPr>
          <w:p>
            <w:pPr>
              <w:pStyle w:val="TableParagraph"/>
              <w:tabs>
                <w:tab w:pos="855" w:val="left" w:leader="none"/>
              </w:tabs>
              <w:spacing w:before="27"/>
              <w:ind w:right="70"/>
              <w:jc w:val="right"/>
              <w:rPr>
                <w:sz w:val="18"/>
              </w:rPr>
            </w:pPr>
            <w:r>
              <w:rPr>
                <w:spacing w:val="-10"/>
                <w:sz w:val="18"/>
              </w:rPr>
              <w:t>$</w:t>
            </w:r>
            <w:r>
              <w:rPr>
                <w:sz w:val="18"/>
              </w:rPr>
              <w:tab/>
            </w:r>
            <w:r>
              <w:rPr>
                <w:spacing w:val="-2"/>
                <w:sz w:val="18"/>
              </w:rPr>
              <w:t>608,437</w:t>
            </w:r>
          </w:p>
        </w:tc>
      </w:tr>
      <w:tr>
        <w:trPr>
          <w:trHeight w:val="256" w:hRule="atLeast"/>
        </w:trPr>
        <w:tc>
          <w:tcPr>
            <w:tcW w:w="6488" w:type="dxa"/>
            <w:shd w:val="clear" w:color="auto" w:fill="CCEDFF"/>
          </w:tcPr>
          <w:p>
            <w:pPr>
              <w:pStyle w:val="TableParagraph"/>
              <w:spacing w:line="202" w:lineRule="exact" w:before="34"/>
              <w:ind w:left="17"/>
              <w:rPr>
                <w:sz w:val="18"/>
              </w:rPr>
            </w:pPr>
            <w:r>
              <w:rPr>
                <w:sz w:val="18"/>
              </w:rPr>
              <w:t>Accounts</w:t>
            </w:r>
            <w:r>
              <w:rPr>
                <w:spacing w:val="-1"/>
                <w:sz w:val="18"/>
              </w:rPr>
              <w:t> </w:t>
            </w:r>
            <w:r>
              <w:rPr>
                <w:spacing w:val="-2"/>
                <w:sz w:val="18"/>
              </w:rPr>
              <w:t>payable</w:t>
            </w:r>
          </w:p>
        </w:tc>
        <w:tc>
          <w:tcPr>
            <w:tcW w:w="5027" w:type="dxa"/>
            <w:shd w:val="clear" w:color="auto" w:fill="CCEDFF"/>
          </w:tcPr>
          <w:p>
            <w:pPr>
              <w:pStyle w:val="TableParagraph"/>
              <w:tabs>
                <w:tab w:pos="1035" w:val="left" w:leader="none"/>
              </w:tabs>
              <w:spacing w:line="202" w:lineRule="exact" w:before="34"/>
              <w:ind w:right="70"/>
              <w:jc w:val="right"/>
              <w:rPr>
                <w:sz w:val="18"/>
              </w:rPr>
            </w:pPr>
            <w:r>
              <w:rPr>
                <w:spacing w:val="-10"/>
                <w:sz w:val="18"/>
              </w:rPr>
              <w:t>$</w:t>
            </w:r>
            <w:r>
              <w:rPr>
                <w:sz w:val="18"/>
              </w:rPr>
              <w:tab/>
            </w:r>
            <w:r>
              <w:rPr>
                <w:spacing w:val="-2"/>
                <w:sz w:val="18"/>
              </w:rPr>
              <w:t>3,719</w:t>
            </w:r>
          </w:p>
        </w:tc>
      </w:tr>
      <w:tr>
        <w:trPr>
          <w:trHeight w:val="229" w:hRule="atLeast"/>
        </w:trPr>
        <w:tc>
          <w:tcPr>
            <w:tcW w:w="6488" w:type="dxa"/>
          </w:tcPr>
          <w:p>
            <w:pPr>
              <w:pStyle w:val="TableParagraph"/>
              <w:spacing w:line="202" w:lineRule="exact" w:before="7"/>
              <w:ind w:left="17"/>
              <w:rPr>
                <w:sz w:val="18"/>
              </w:rPr>
            </w:pPr>
            <w:r>
              <w:rPr>
                <w:sz w:val="18"/>
              </w:rPr>
              <w:t>Other</w:t>
            </w:r>
            <w:r>
              <w:rPr>
                <w:spacing w:val="-1"/>
                <w:sz w:val="18"/>
              </w:rPr>
              <w:t> </w:t>
            </w:r>
            <w:r>
              <w:rPr>
                <w:sz w:val="18"/>
              </w:rPr>
              <w:t>accrued</w:t>
            </w:r>
            <w:r>
              <w:rPr>
                <w:spacing w:val="-1"/>
                <w:sz w:val="18"/>
              </w:rPr>
              <w:t> </w:t>
            </w:r>
            <w:r>
              <w:rPr>
                <w:spacing w:val="-2"/>
                <w:sz w:val="18"/>
              </w:rPr>
              <w:t>liabilities</w:t>
            </w:r>
          </w:p>
        </w:tc>
        <w:tc>
          <w:tcPr>
            <w:tcW w:w="5027" w:type="dxa"/>
          </w:tcPr>
          <w:p>
            <w:pPr>
              <w:pStyle w:val="TableParagraph"/>
              <w:spacing w:line="202" w:lineRule="exact" w:before="7"/>
              <w:ind w:right="70"/>
              <w:jc w:val="right"/>
              <w:rPr>
                <w:sz w:val="18"/>
              </w:rPr>
            </w:pPr>
            <w:r>
              <w:rPr>
                <w:spacing w:val="-2"/>
                <w:sz w:val="18"/>
              </w:rPr>
              <w:t>18,385</w:t>
            </w:r>
          </w:p>
        </w:tc>
      </w:tr>
      <w:tr>
        <w:trPr>
          <w:trHeight w:val="256" w:hRule="atLeast"/>
        </w:trPr>
        <w:tc>
          <w:tcPr>
            <w:tcW w:w="6488" w:type="dxa"/>
            <w:shd w:val="clear" w:color="auto" w:fill="CCEDFF"/>
          </w:tcPr>
          <w:p>
            <w:pPr>
              <w:pStyle w:val="TableParagraph"/>
              <w:ind w:left="17"/>
              <w:rPr>
                <w:sz w:val="18"/>
              </w:rPr>
            </w:pPr>
            <w:r>
              <w:rPr>
                <w:sz w:val="18"/>
              </w:rPr>
              <w:t>Other</w:t>
            </w:r>
            <w:r>
              <w:rPr>
                <w:spacing w:val="-1"/>
                <w:sz w:val="18"/>
              </w:rPr>
              <w:t> </w:t>
            </w:r>
            <w:r>
              <w:rPr>
                <w:sz w:val="18"/>
              </w:rPr>
              <w:t>long-term</w:t>
            </w:r>
            <w:r>
              <w:rPr>
                <w:spacing w:val="-1"/>
                <w:sz w:val="18"/>
              </w:rPr>
              <w:t> </w:t>
            </w:r>
            <w:r>
              <w:rPr>
                <w:spacing w:val="-2"/>
                <w:sz w:val="18"/>
              </w:rPr>
              <w:t>obligations</w:t>
            </w:r>
          </w:p>
        </w:tc>
        <w:tc>
          <w:tcPr>
            <w:tcW w:w="5027" w:type="dxa"/>
            <w:shd w:val="clear" w:color="auto" w:fill="CCEDFF"/>
          </w:tcPr>
          <w:p>
            <w:pPr>
              <w:pStyle w:val="TableParagraph"/>
              <w:ind w:right="70"/>
              <w:jc w:val="right"/>
              <w:rPr>
                <w:sz w:val="18"/>
              </w:rPr>
            </w:pPr>
            <w:r>
              <w:rPr>
                <w:spacing w:val="-2"/>
                <w:sz w:val="18"/>
              </w:rPr>
              <w:t>1,709</w:t>
            </w:r>
          </w:p>
        </w:tc>
      </w:tr>
      <w:tr>
        <w:trPr>
          <w:trHeight w:val="249" w:hRule="atLeast"/>
        </w:trPr>
        <w:tc>
          <w:tcPr>
            <w:tcW w:w="6488" w:type="dxa"/>
          </w:tcPr>
          <w:p>
            <w:pPr>
              <w:pStyle w:val="TableParagraph"/>
              <w:ind w:left="17"/>
              <w:rPr>
                <w:sz w:val="18"/>
              </w:rPr>
            </w:pPr>
            <w:r>
              <w:rPr>
                <w:sz w:val="18"/>
              </w:rPr>
              <w:t>Operating</w:t>
            </w:r>
            <w:r>
              <w:rPr>
                <w:spacing w:val="-1"/>
                <w:sz w:val="18"/>
              </w:rPr>
              <w:t> </w:t>
            </w:r>
            <w:r>
              <w:rPr>
                <w:sz w:val="18"/>
              </w:rPr>
              <w:t>lease</w:t>
            </w:r>
            <w:r>
              <w:rPr>
                <w:spacing w:val="-1"/>
                <w:sz w:val="18"/>
              </w:rPr>
              <w:t> </w:t>
            </w:r>
            <w:r>
              <w:rPr>
                <w:spacing w:val="-2"/>
                <w:sz w:val="18"/>
              </w:rPr>
              <w:t>liabilities</w:t>
            </w:r>
          </w:p>
        </w:tc>
        <w:tc>
          <w:tcPr>
            <w:tcW w:w="5027" w:type="dxa"/>
          </w:tcPr>
          <w:p>
            <w:pPr>
              <w:pStyle w:val="TableParagraph"/>
              <w:spacing w:before="7"/>
              <w:ind w:right="70"/>
              <w:jc w:val="right"/>
              <w:rPr>
                <w:sz w:val="18"/>
              </w:rPr>
            </w:pPr>
            <w:r>
              <w:rPr>
                <w:spacing w:val="-2"/>
                <w:sz w:val="18"/>
              </w:rPr>
              <w:t>516,015</w:t>
            </w:r>
          </w:p>
        </w:tc>
      </w:tr>
      <w:tr>
        <w:trPr>
          <w:trHeight w:val="290" w:hRule="atLeast"/>
        </w:trPr>
        <w:tc>
          <w:tcPr>
            <w:tcW w:w="6488" w:type="dxa"/>
            <w:shd w:val="clear" w:color="auto" w:fill="CCEDFF"/>
          </w:tcPr>
          <w:p>
            <w:pPr>
              <w:pStyle w:val="TableParagraph"/>
              <w:spacing w:before="14"/>
              <w:ind w:left="125"/>
              <w:rPr>
                <w:sz w:val="18"/>
              </w:rPr>
            </w:pPr>
            <w:r>
              <w:rPr>
                <w:sz w:val="18"/>
              </w:rPr>
              <w:t>Liabilities</w:t>
            </w:r>
            <w:r>
              <w:rPr>
                <w:spacing w:val="-1"/>
                <w:sz w:val="18"/>
              </w:rPr>
              <w:t> </w:t>
            </w:r>
            <w:r>
              <w:rPr>
                <w:sz w:val="18"/>
              </w:rPr>
              <w:t>related</w:t>
            </w:r>
            <w:r>
              <w:rPr>
                <w:spacing w:val="-1"/>
                <w:sz w:val="18"/>
              </w:rPr>
              <w:t> </w:t>
            </w:r>
            <w:r>
              <w:rPr>
                <w:sz w:val="18"/>
              </w:rPr>
              <w:t>to</w:t>
            </w:r>
            <w:r>
              <w:rPr>
                <w:spacing w:val="-1"/>
                <w:sz w:val="18"/>
              </w:rPr>
              <w:t> </w:t>
            </w:r>
            <w:r>
              <w:rPr>
                <w:sz w:val="18"/>
              </w:rPr>
              <w:t>assets</w:t>
            </w:r>
            <w:r>
              <w:rPr>
                <w:spacing w:val="-1"/>
                <w:sz w:val="18"/>
              </w:rPr>
              <w:t> </w:t>
            </w:r>
            <w:r>
              <w:rPr>
                <w:sz w:val="18"/>
              </w:rPr>
              <w:t>held</w:t>
            </w:r>
            <w:r>
              <w:rPr>
                <w:spacing w:val="-1"/>
                <w:sz w:val="18"/>
              </w:rPr>
              <w:t> </w:t>
            </w:r>
            <w:r>
              <w:rPr>
                <w:sz w:val="18"/>
              </w:rPr>
              <w:t>for</w:t>
            </w:r>
            <w:r>
              <w:rPr>
                <w:spacing w:val="-1"/>
                <w:sz w:val="18"/>
              </w:rPr>
              <w:t> </w:t>
            </w:r>
            <w:r>
              <w:rPr>
                <w:spacing w:val="-4"/>
                <w:sz w:val="18"/>
              </w:rPr>
              <w:t>sale</w:t>
            </w:r>
          </w:p>
        </w:tc>
        <w:tc>
          <w:tcPr>
            <w:tcW w:w="5027" w:type="dxa"/>
            <w:shd w:val="clear" w:color="auto" w:fill="CCEDFF"/>
          </w:tcPr>
          <w:p>
            <w:pPr>
              <w:pStyle w:val="TableParagraph"/>
              <w:tabs>
                <w:tab w:pos="855" w:val="left" w:leader="none"/>
              </w:tabs>
              <w:spacing w:before="27"/>
              <w:ind w:right="70"/>
              <w:jc w:val="right"/>
              <w:rPr>
                <w:sz w:val="18"/>
              </w:rPr>
            </w:pPr>
            <w:r>
              <w:rPr>
                <w:spacing w:val="-10"/>
                <w:sz w:val="18"/>
              </w:rPr>
              <w:t>$</w:t>
            </w:r>
            <w:r>
              <w:rPr>
                <w:sz w:val="18"/>
              </w:rPr>
              <w:tab/>
            </w:r>
            <w:r>
              <w:rPr>
                <w:spacing w:val="-2"/>
                <w:sz w:val="18"/>
              </w:rPr>
              <w:t>539,828</w:t>
            </w:r>
          </w:p>
        </w:tc>
      </w:tr>
    </w:tbl>
    <w:p>
      <w:pPr>
        <w:pStyle w:val="BodyText"/>
        <w:spacing w:before="132"/>
      </w:pPr>
    </w:p>
    <w:p>
      <w:pPr>
        <w:pStyle w:val="Heading4"/>
        <w:spacing w:before="1"/>
      </w:pPr>
      <w:r>
        <w:rPr/>
        <w:t>NOTE</w:t>
      </w:r>
      <w:r>
        <w:rPr>
          <w:spacing w:val="-8"/>
        </w:rPr>
        <w:t> </w:t>
      </w:r>
      <w:r>
        <w:rPr/>
        <w:t>5</w:t>
      </w:r>
      <w:r>
        <w:rPr>
          <w:spacing w:val="-4"/>
        </w:rPr>
        <w:t> </w:t>
      </w:r>
      <w:r>
        <w:rPr/>
        <w:t>—</w:t>
      </w:r>
      <w:r>
        <w:rPr>
          <w:spacing w:val="-5"/>
        </w:rPr>
        <w:t> </w:t>
      </w:r>
      <w:r>
        <w:rPr/>
        <w:t>PROPERTY</w:t>
      </w:r>
      <w:r>
        <w:rPr>
          <w:spacing w:val="-17"/>
        </w:rPr>
        <w:t> </w:t>
      </w:r>
      <w:r>
        <w:rPr/>
        <w:t>AND</w:t>
      </w:r>
      <w:r>
        <w:rPr>
          <w:spacing w:val="-5"/>
        </w:rPr>
        <w:t> </w:t>
      </w:r>
      <w:r>
        <w:rPr/>
        <w:t>EQUIPMENT,</w:t>
      </w:r>
      <w:r>
        <w:rPr>
          <w:spacing w:val="-4"/>
        </w:rPr>
        <w:t> </w:t>
      </w:r>
      <w:r>
        <w:rPr>
          <w:spacing w:val="-5"/>
        </w:rPr>
        <w:t>NET</w:t>
      </w:r>
    </w:p>
    <w:p>
      <w:pPr>
        <w:pStyle w:val="BodyText"/>
        <w:spacing w:before="4"/>
        <w:rPr>
          <w:b/>
        </w:rPr>
      </w:pPr>
    </w:p>
    <w:p>
      <w:pPr>
        <w:pStyle w:val="BodyText"/>
        <w:ind w:right="6480"/>
        <w:jc w:val="center"/>
      </w:pPr>
      <w:r>
        <w:rPr/>
        <w:t>Property</w:t>
      </w:r>
      <w:r>
        <w:rPr>
          <w:spacing w:val="-1"/>
        </w:rPr>
        <w:t> </w:t>
      </w:r>
      <w:r>
        <w:rPr/>
        <w:t>and</w:t>
      </w:r>
      <w:r>
        <w:rPr>
          <w:spacing w:val="-1"/>
        </w:rPr>
        <w:t> </w:t>
      </w:r>
      <w:r>
        <w:rPr/>
        <w:t>equipment,</w:t>
      </w:r>
      <w:r>
        <w:rPr>
          <w:spacing w:val="-1"/>
        </w:rPr>
        <w:t> </w:t>
      </w:r>
      <w:r>
        <w:rPr/>
        <w:t>net</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Heading5"/>
        <w:spacing w:before="63"/>
        <w:ind w:left="8370"/>
      </w:pPr>
      <w:r>
        <w:rPr/>
        <mc:AlternateContent>
          <mc:Choice Requires="wps">
            <w:drawing>
              <wp:anchor distT="0" distB="0" distL="0" distR="0" allowOverlap="1" layoutInCell="1" locked="0" behindDoc="1" simplePos="0" relativeHeight="487676928">
                <wp:simplePos x="0" y="0"/>
                <wp:positionH relativeFrom="page">
                  <wp:posOffset>5529250</wp:posOffset>
                </wp:positionH>
                <wp:positionV relativeFrom="paragraph">
                  <wp:posOffset>189906</wp:posOffset>
                </wp:positionV>
                <wp:extent cx="2014855" cy="8890"/>
                <wp:effectExtent l="0" t="0" r="0" b="0"/>
                <wp:wrapTopAndBottom/>
                <wp:docPr id="458" name="Graphic 458"/>
                <wp:cNvGraphicFramePr>
                  <a:graphicFrameLocks/>
                </wp:cNvGraphicFramePr>
                <a:graphic>
                  <a:graphicData uri="http://schemas.microsoft.com/office/word/2010/wordprocessingShape">
                    <wps:wsp>
                      <wps:cNvPr id="458" name="Graphic 458"/>
                      <wps:cNvSpPr/>
                      <wps:spPr>
                        <a:xfrm>
                          <a:off x="0" y="0"/>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374023pt;margin-top:14.953232pt;width:158.625008pt;height:.675pt;mso-position-horizontal-relative:page;mso-position-vertical-relative:paragraph;z-index:-15639552;mso-wrap-distance-left:0;mso-wrap-distance-right:0" id="docshape456" filled="true" fillcolor="#000000" stroked="false">
                <v:fill type="solid"/>
                <w10:wrap type="topAndBottom"/>
              </v:rect>
            </w:pict>
          </mc:Fallback>
        </mc:AlternateContent>
      </w:r>
      <w:r>
        <w:rPr/>
        <w:t>December</w:t>
      </w:r>
      <w:r>
        <w:rPr>
          <w:spacing w:val="-4"/>
        </w:rPr>
        <w:t> </w:t>
      </w:r>
      <w:r>
        <w:rPr>
          <w:spacing w:val="-5"/>
        </w:rPr>
        <w:t>31,</w:t>
      </w:r>
    </w:p>
    <w:p>
      <w:pPr>
        <w:tabs>
          <w:tab w:pos="10012" w:val="left" w:leader="none"/>
        </w:tabs>
        <w:spacing w:before="21" w:after="29"/>
        <w:ind w:left="8369" w:right="0" w:firstLine="0"/>
        <w:jc w:val="center"/>
        <w:rPr>
          <w:b/>
          <w:sz w:val="18"/>
        </w:rPr>
      </w:pPr>
      <w:r>
        <w:rPr>
          <w:b/>
          <w:spacing w:val="-4"/>
          <w:sz w:val="18"/>
        </w:rPr>
        <w:t>2022</w:t>
      </w:r>
      <w:r>
        <w:rPr>
          <w:b/>
          <w:sz w:val="18"/>
        </w:rPr>
        <w:tab/>
      </w:r>
      <w:r>
        <w:rPr>
          <w:b/>
          <w:spacing w:val="-4"/>
          <w:sz w:val="18"/>
        </w:rPr>
        <w:t>2021</w:t>
      </w:r>
    </w:p>
    <w:p>
      <w:pPr>
        <w:pStyle w:val="BodyText"/>
        <w:spacing w:line="20" w:lineRule="exact"/>
        <w:ind w:left="8487"/>
        <w:rPr>
          <w:sz w:val="2"/>
        </w:rPr>
      </w:pPr>
      <w:r>
        <w:rPr>
          <w:sz w:val="2"/>
        </w:rPr>
        <mc:AlternateContent>
          <mc:Choice Requires="wps">
            <w:drawing>
              <wp:inline distT="0" distB="0" distL="0" distR="0">
                <wp:extent cx="2014855" cy="8890"/>
                <wp:effectExtent l="0" t="0" r="0" b="0"/>
                <wp:docPr id="459" name="Group 459"/>
                <wp:cNvGraphicFramePr>
                  <a:graphicFrameLocks/>
                </wp:cNvGraphicFramePr>
                <a:graphic>
                  <a:graphicData uri="http://schemas.microsoft.com/office/word/2010/wordprocessingGroup">
                    <wpg:wgp>
                      <wpg:cNvPr id="459" name="Group 459"/>
                      <wpg:cNvGrpSpPr/>
                      <wpg:grpSpPr>
                        <a:xfrm>
                          <a:off x="0" y="0"/>
                          <a:ext cx="2014855" cy="8890"/>
                          <a:chExt cx="2014855" cy="8890"/>
                        </a:xfrm>
                      </wpg:grpSpPr>
                      <wps:wsp>
                        <wps:cNvPr id="460" name="Graphic 460"/>
                        <wps:cNvSpPr/>
                        <wps:spPr>
                          <a:xfrm>
                            <a:off x="-12" y="-3"/>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457" coordorigin="0,0" coordsize="3173,14">
                <v:rect style="position:absolute;left:-1;top:0;width:3173;height:14" id="docshape458" filled="true" fillcolor="#000000" stroked="false">
                  <v:fill type="solid"/>
                </v:rect>
              </v:group>
            </w:pict>
          </mc:Fallback>
        </mc:AlternateContent>
      </w:r>
      <w:r>
        <w:rPr>
          <w:sz w:val="2"/>
        </w:rPr>
      </w:r>
    </w:p>
    <w:p>
      <w:pPr>
        <w:spacing w:before="11" w:after="38"/>
        <w:ind w:left="8370"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0"/>
        <w:gridCol w:w="3635"/>
        <w:gridCol w:w="1591"/>
      </w:tblGrid>
      <w:tr>
        <w:trPr>
          <w:trHeight w:val="256" w:hRule="atLeast"/>
        </w:trPr>
        <w:tc>
          <w:tcPr>
            <w:tcW w:w="6290" w:type="dxa"/>
            <w:shd w:val="clear" w:color="auto" w:fill="CFF0FB"/>
          </w:tcPr>
          <w:p>
            <w:pPr>
              <w:pStyle w:val="TableParagraph"/>
              <w:ind w:left="17"/>
              <w:rPr>
                <w:sz w:val="18"/>
              </w:rPr>
            </w:pPr>
            <w:r>
              <w:rPr>
                <w:spacing w:val="-4"/>
                <w:sz w:val="18"/>
              </w:rPr>
              <w:t>Land</w:t>
            </w:r>
          </w:p>
        </w:tc>
        <w:tc>
          <w:tcPr>
            <w:tcW w:w="3635" w:type="dxa"/>
            <w:shd w:val="clear" w:color="auto" w:fill="CFF0FB"/>
          </w:tcPr>
          <w:p>
            <w:pPr>
              <w:pStyle w:val="TableParagraph"/>
              <w:tabs>
                <w:tab w:pos="849" w:val="left" w:leader="none"/>
              </w:tabs>
              <w:ind w:right="124"/>
              <w:jc w:val="right"/>
              <w:rPr>
                <w:sz w:val="18"/>
              </w:rPr>
            </w:pPr>
            <w:r>
              <w:rPr>
                <w:spacing w:val="-10"/>
                <w:sz w:val="18"/>
              </w:rPr>
              <w:t>$</w:t>
            </w:r>
            <w:r>
              <w:rPr>
                <w:sz w:val="18"/>
              </w:rPr>
              <w:tab/>
            </w:r>
            <w:r>
              <w:rPr>
                <w:spacing w:val="-2"/>
                <w:sz w:val="18"/>
              </w:rPr>
              <w:t>438,954</w:t>
            </w:r>
          </w:p>
        </w:tc>
        <w:tc>
          <w:tcPr>
            <w:tcW w:w="1591" w:type="dxa"/>
            <w:shd w:val="clear" w:color="auto" w:fill="CFF0FB"/>
          </w:tcPr>
          <w:p>
            <w:pPr>
              <w:pStyle w:val="TableParagraph"/>
              <w:tabs>
                <w:tab w:pos="716" w:val="left" w:leader="none"/>
              </w:tabs>
              <w:ind w:right="71"/>
              <w:jc w:val="right"/>
              <w:rPr>
                <w:sz w:val="18"/>
              </w:rPr>
            </w:pPr>
            <w:r>
              <w:rPr>
                <w:spacing w:val="-10"/>
                <w:sz w:val="18"/>
              </w:rPr>
              <w:t>$</w:t>
            </w:r>
            <w:r>
              <w:rPr>
                <w:sz w:val="18"/>
              </w:rPr>
              <w:tab/>
            </w:r>
            <w:r>
              <w:rPr>
                <w:spacing w:val="-2"/>
                <w:sz w:val="18"/>
              </w:rPr>
              <w:t>4,082,842</w:t>
            </w:r>
          </w:p>
        </w:tc>
      </w:tr>
      <w:tr>
        <w:trPr>
          <w:trHeight w:val="256" w:hRule="atLeast"/>
        </w:trPr>
        <w:tc>
          <w:tcPr>
            <w:tcW w:w="6290" w:type="dxa"/>
          </w:tcPr>
          <w:p>
            <w:pPr>
              <w:pStyle w:val="TableParagraph"/>
              <w:ind w:left="17"/>
              <w:rPr>
                <w:sz w:val="18"/>
              </w:rPr>
            </w:pPr>
            <w:r>
              <w:rPr>
                <w:sz w:val="18"/>
              </w:rPr>
              <w:t>Buildings,</w:t>
            </w:r>
            <w:r>
              <w:rPr>
                <w:spacing w:val="-1"/>
                <w:sz w:val="18"/>
              </w:rPr>
              <w:t> </w:t>
            </w:r>
            <w:r>
              <w:rPr>
                <w:sz w:val="18"/>
              </w:rPr>
              <w:t>building</w:t>
            </w:r>
            <w:r>
              <w:rPr>
                <w:spacing w:val="-1"/>
                <w:sz w:val="18"/>
              </w:rPr>
              <w:t> </w:t>
            </w:r>
            <w:r>
              <w:rPr>
                <w:sz w:val="18"/>
              </w:rPr>
              <w:t>improvements</w:t>
            </w:r>
            <w:r>
              <w:rPr>
                <w:spacing w:val="-1"/>
                <w:sz w:val="18"/>
              </w:rPr>
              <w:t> </w:t>
            </w:r>
            <w:r>
              <w:rPr>
                <w:sz w:val="18"/>
              </w:rPr>
              <w:t>and</w:t>
            </w:r>
            <w:r>
              <w:rPr>
                <w:spacing w:val="-1"/>
                <w:sz w:val="18"/>
              </w:rPr>
              <w:t> </w:t>
            </w:r>
            <w:r>
              <w:rPr>
                <w:sz w:val="18"/>
              </w:rPr>
              <w:t>land</w:t>
            </w:r>
            <w:r>
              <w:rPr>
                <w:spacing w:val="-1"/>
                <w:sz w:val="18"/>
              </w:rPr>
              <w:t> </w:t>
            </w:r>
            <w:r>
              <w:rPr>
                <w:spacing w:val="-2"/>
                <w:sz w:val="18"/>
              </w:rPr>
              <w:t>improvements</w:t>
            </w:r>
          </w:p>
        </w:tc>
        <w:tc>
          <w:tcPr>
            <w:tcW w:w="3635" w:type="dxa"/>
          </w:tcPr>
          <w:p>
            <w:pPr>
              <w:pStyle w:val="TableParagraph"/>
              <w:ind w:right="124"/>
              <w:jc w:val="right"/>
              <w:rPr>
                <w:sz w:val="18"/>
              </w:rPr>
            </w:pPr>
            <w:r>
              <w:rPr>
                <w:spacing w:val="-2"/>
                <w:sz w:val="18"/>
              </w:rPr>
              <w:t>4,513,319</w:t>
            </w:r>
          </w:p>
        </w:tc>
        <w:tc>
          <w:tcPr>
            <w:tcW w:w="1591" w:type="dxa"/>
          </w:tcPr>
          <w:p>
            <w:pPr>
              <w:pStyle w:val="TableParagraph"/>
              <w:ind w:right="71"/>
              <w:jc w:val="right"/>
              <w:rPr>
                <w:sz w:val="18"/>
              </w:rPr>
            </w:pPr>
            <w:r>
              <w:rPr>
                <w:spacing w:val="-2"/>
                <w:sz w:val="18"/>
              </w:rPr>
              <w:t>12,236,042</w:t>
            </w:r>
          </w:p>
        </w:tc>
      </w:tr>
      <w:tr>
        <w:trPr>
          <w:trHeight w:val="269" w:hRule="atLeast"/>
        </w:trPr>
        <w:tc>
          <w:tcPr>
            <w:tcW w:w="6290" w:type="dxa"/>
            <w:shd w:val="clear" w:color="auto" w:fill="CFF0FB"/>
          </w:tcPr>
          <w:p>
            <w:pPr>
              <w:pStyle w:val="TableParagraph"/>
              <w:ind w:left="17"/>
              <w:rPr>
                <w:sz w:val="18"/>
              </w:rPr>
            </w:pPr>
            <w:r>
              <w:rPr>
                <w:sz w:val="18"/>
              </w:rPr>
              <w:t>Furniture,</w:t>
            </w:r>
            <w:r>
              <w:rPr>
                <w:spacing w:val="-1"/>
                <w:sz w:val="18"/>
              </w:rPr>
              <w:t> </w:t>
            </w:r>
            <w:r>
              <w:rPr>
                <w:sz w:val="18"/>
              </w:rPr>
              <w:t>fixtures</w:t>
            </w:r>
            <w:r>
              <w:rPr>
                <w:spacing w:val="-1"/>
                <w:sz w:val="18"/>
              </w:rPr>
              <w:t> </w:t>
            </w:r>
            <w:r>
              <w:rPr>
                <w:sz w:val="18"/>
              </w:rPr>
              <w:t>and</w:t>
            </w:r>
            <w:r>
              <w:rPr>
                <w:spacing w:val="-1"/>
                <w:sz w:val="18"/>
              </w:rPr>
              <w:t> </w:t>
            </w:r>
            <w:r>
              <w:rPr>
                <w:spacing w:val="-2"/>
                <w:sz w:val="18"/>
              </w:rPr>
              <w:t>equipment</w:t>
            </w:r>
          </w:p>
        </w:tc>
        <w:tc>
          <w:tcPr>
            <w:tcW w:w="3635" w:type="dxa"/>
            <w:shd w:val="clear" w:color="auto" w:fill="CFF0FB"/>
          </w:tcPr>
          <w:p>
            <w:pPr>
              <w:pStyle w:val="TableParagraph"/>
              <w:ind w:right="124"/>
              <w:jc w:val="right"/>
              <w:rPr>
                <w:sz w:val="18"/>
              </w:rPr>
            </w:pPr>
            <w:r>
              <w:rPr>
                <w:spacing w:val="-2"/>
                <w:sz w:val="18"/>
              </w:rPr>
              <w:t>4,386,745</w:t>
            </w:r>
          </w:p>
        </w:tc>
        <w:tc>
          <w:tcPr>
            <w:tcW w:w="1591" w:type="dxa"/>
            <w:shd w:val="clear" w:color="auto" w:fill="CFF0FB"/>
          </w:tcPr>
          <w:p>
            <w:pPr>
              <w:pStyle w:val="TableParagraph"/>
              <w:ind w:right="71"/>
              <w:jc w:val="right"/>
              <w:rPr>
                <w:sz w:val="18"/>
              </w:rPr>
            </w:pPr>
            <w:r>
              <w:rPr>
                <w:spacing w:val="-2"/>
                <w:sz w:val="18"/>
              </w:rPr>
              <w:t>5,722,565</w:t>
            </w:r>
          </w:p>
        </w:tc>
      </w:tr>
      <w:tr>
        <w:trPr>
          <w:trHeight w:val="255" w:hRule="atLeast"/>
        </w:trPr>
        <w:tc>
          <w:tcPr>
            <w:tcW w:w="6290" w:type="dxa"/>
          </w:tcPr>
          <w:p>
            <w:pPr>
              <w:pStyle w:val="TableParagraph"/>
              <w:ind w:left="17"/>
              <w:rPr>
                <w:sz w:val="18"/>
              </w:rPr>
            </w:pPr>
            <w:r>
              <w:rPr>
                <w:sz w:val="18"/>
              </w:rPr>
              <w:t>Construction</w:t>
            </w:r>
            <w:r>
              <w:rPr>
                <w:spacing w:val="-1"/>
                <w:sz w:val="18"/>
              </w:rPr>
              <w:t> </w:t>
            </w:r>
            <w:r>
              <w:rPr>
                <w:sz w:val="18"/>
              </w:rPr>
              <w:t>in</w:t>
            </w:r>
            <w:r>
              <w:rPr>
                <w:spacing w:val="-1"/>
                <w:sz w:val="18"/>
              </w:rPr>
              <w:t> </w:t>
            </w:r>
            <w:r>
              <w:rPr>
                <w:spacing w:val="-2"/>
                <w:sz w:val="18"/>
              </w:rPr>
              <w:t>progress</w:t>
            </w:r>
          </w:p>
        </w:tc>
        <w:tc>
          <w:tcPr>
            <w:tcW w:w="3635" w:type="dxa"/>
            <w:tcBorders>
              <w:bottom w:val="single" w:sz="6" w:space="0" w:color="000000"/>
            </w:tcBorders>
          </w:tcPr>
          <w:p>
            <w:pPr>
              <w:pStyle w:val="TableParagraph"/>
              <w:ind w:right="124"/>
              <w:jc w:val="right"/>
              <w:rPr>
                <w:sz w:val="18"/>
              </w:rPr>
            </w:pPr>
            <w:r>
              <w:rPr>
                <w:spacing w:val="-2"/>
                <w:sz w:val="18"/>
              </w:rPr>
              <w:t>647,256</w:t>
            </w:r>
          </w:p>
        </w:tc>
        <w:tc>
          <w:tcPr>
            <w:tcW w:w="1591" w:type="dxa"/>
            <w:tcBorders>
              <w:bottom w:val="single" w:sz="6" w:space="0" w:color="000000"/>
            </w:tcBorders>
          </w:tcPr>
          <w:p>
            <w:pPr>
              <w:pStyle w:val="TableParagraph"/>
              <w:ind w:right="71"/>
              <w:jc w:val="right"/>
              <w:rPr>
                <w:sz w:val="18"/>
              </w:rPr>
            </w:pPr>
            <w:r>
              <w:rPr>
                <w:spacing w:val="-2"/>
                <w:sz w:val="18"/>
              </w:rPr>
              <w:t>421,445</w:t>
            </w:r>
          </w:p>
        </w:tc>
      </w:tr>
      <w:tr>
        <w:trPr>
          <w:trHeight w:val="255" w:hRule="atLeast"/>
        </w:trPr>
        <w:tc>
          <w:tcPr>
            <w:tcW w:w="6290" w:type="dxa"/>
            <w:shd w:val="clear" w:color="auto" w:fill="CFF0FB"/>
          </w:tcPr>
          <w:p>
            <w:pPr>
              <w:pStyle w:val="TableParagraph"/>
              <w:spacing w:before="0"/>
              <w:rPr>
                <w:sz w:val="16"/>
              </w:rPr>
            </w:pPr>
          </w:p>
        </w:tc>
        <w:tc>
          <w:tcPr>
            <w:tcW w:w="3635" w:type="dxa"/>
            <w:tcBorders>
              <w:top w:val="single" w:sz="6" w:space="0" w:color="000000"/>
            </w:tcBorders>
            <w:shd w:val="clear" w:color="auto" w:fill="CFF0FB"/>
          </w:tcPr>
          <w:p>
            <w:pPr>
              <w:pStyle w:val="TableParagraph"/>
              <w:spacing w:before="20"/>
              <w:ind w:right="124"/>
              <w:jc w:val="right"/>
              <w:rPr>
                <w:sz w:val="18"/>
              </w:rPr>
            </w:pPr>
            <w:r>
              <w:rPr>
                <w:spacing w:val="-2"/>
                <w:sz w:val="18"/>
              </w:rPr>
              <w:t>9,986,274</w:t>
            </w:r>
          </w:p>
        </w:tc>
        <w:tc>
          <w:tcPr>
            <w:tcW w:w="1591" w:type="dxa"/>
            <w:tcBorders>
              <w:top w:val="single" w:sz="6" w:space="0" w:color="000000"/>
            </w:tcBorders>
            <w:shd w:val="clear" w:color="auto" w:fill="CFF0FB"/>
          </w:tcPr>
          <w:p>
            <w:pPr>
              <w:pStyle w:val="TableParagraph"/>
              <w:spacing w:before="20"/>
              <w:ind w:right="71"/>
              <w:jc w:val="right"/>
              <w:rPr>
                <w:sz w:val="18"/>
              </w:rPr>
            </w:pPr>
            <w:r>
              <w:rPr>
                <w:spacing w:val="-2"/>
                <w:sz w:val="18"/>
              </w:rPr>
              <w:t>22,462,894</w:t>
            </w:r>
          </w:p>
        </w:tc>
      </w:tr>
      <w:tr>
        <w:trPr>
          <w:trHeight w:val="256" w:hRule="atLeast"/>
        </w:trPr>
        <w:tc>
          <w:tcPr>
            <w:tcW w:w="6290" w:type="dxa"/>
          </w:tcPr>
          <w:p>
            <w:pPr>
              <w:pStyle w:val="TableParagraph"/>
              <w:ind w:left="17"/>
              <w:rPr>
                <w:sz w:val="18"/>
              </w:rPr>
            </w:pPr>
            <w:r>
              <w:rPr>
                <w:sz w:val="18"/>
              </w:rPr>
              <w:t>Less:</w:t>
            </w:r>
            <w:r>
              <w:rPr>
                <w:spacing w:val="-12"/>
                <w:sz w:val="18"/>
              </w:rPr>
              <w:t> </w:t>
            </w:r>
            <w:r>
              <w:rPr>
                <w:sz w:val="18"/>
              </w:rPr>
              <w:t>Accumulated</w:t>
            </w:r>
            <w:r>
              <w:rPr>
                <w:spacing w:val="-1"/>
                <w:sz w:val="18"/>
              </w:rPr>
              <w:t> </w:t>
            </w:r>
            <w:r>
              <w:rPr>
                <w:spacing w:val="-2"/>
                <w:sz w:val="18"/>
              </w:rPr>
              <w:t>depreciation</w:t>
            </w:r>
          </w:p>
        </w:tc>
        <w:tc>
          <w:tcPr>
            <w:tcW w:w="3635" w:type="dxa"/>
          </w:tcPr>
          <w:p>
            <w:pPr>
              <w:pStyle w:val="TableParagraph"/>
              <w:ind w:right="79"/>
              <w:jc w:val="right"/>
              <w:rPr>
                <w:sz w:val="18"/>
              </w:rPr>
            </w:pPr>
            <w:r>
              <w:rPr>
                <w:spacing w:val="-2"/>
                <w:sz w:val="18"/>
              </w:rPr>
              <w:t>(4,912,917)</w:t>
            </w:r>
          </w:p>
        </w:tc>
        <w:tc>
          <w:tcPr>
            <w:tcW w:w="1591" w:type="dxa"/>
          </w:tcPr>
          <w:p>
            <w:pPr>
              <w:pStyle w:val="TableParagraph"/>
              <w:ind w:right="26"/>
              <w:jc w:val="right"/>
              <w:rPr>
                <w:sz w:val="18"/>
              </w:rPr>
            </w:pPr>
            <w:r>
              <w:rPr>
                <w:spacing w:val="-2"/>
                <w:sz w:val="18"/>
              </w:rPr>
              <w:t>(8,179,310)</w:t>
            </w:r>
          </w:p>
        </w:tc>
      </w:tr>
      <w:tr>
        <w:trPr>
          <w:trHeight w:val="255" w:hRule="atLeast"/>
        </w:trPr>
        <w:tc>
          <w:tcPr>
            <w:tcW w:w="6290" w:type="dxa"/>
            <w:shd w:val="clear" w:color="auto" w:fill="CFF0FB"/>
          </w:tcPr>
          <w:p>
            <w:pPr>
              <w:pStyle w:val="TableParagraph"/>
              <w:ind w:left="17"/>
              <w:rPr>
                <w:sz w:val="18"/>
              </w:rPr>
            </w:pPr>
            <w:r>
              <w:rPr>
                <w:sz w:val="18"/>
              </w:rPr>
              <w:t>Finance</w:t>
            </w:r>
            <w:r>
              <w:rPr>
                <w:spacing w:val="-1"/>
                <w:sz w:val="18"/>
              </w:rPr>
              <w:t> </w:t>
            </w:r>
            <w:r>
              <w:rPr>
                <w:sz w:val="18"/>
              </w:rPr>
              <w:t>lease</w:t>
            </w:r>
            <w:r>
              <w:rPr>
                <w:spacing w:val="-1"/>
                <w:sz w:val="18"/>
              </w:rPr>
              <w:t> </w:t>
            </w:r>
            <w:r>
              <w:rPr>
                <w:sz w:val="18"/>
              </w:rPr>
              <w:t>ROU</w:t>
            </w:r>
            <w:r>
              <w:rPr>
                <w:spacing w:val="-1"/>
                <w:sz w:val="18"/>
              </w:rPr>
              <w:t> </w:t>
            </w:r>
            <w:r>
              <w:rPr>
                <w:sz w:val="18"/>
              </w:rPr>
              <w:t>assets,</w:t>
            </w:r>
            <w:r>
              <w:rPr>
                <w:spacing w:val="-1"/>
                <w:sz w:val="18"/>
              </w:rPr>
              <w:t> </w:t>
            </w:r>
            <w:r>
              <w:rPr>
                <w:spacing w:val="-5"/>
                <w:sz w:val="18"/>
              </w:rPr>
              <w:t>net</w:t>
            </w:r>
          </w:p>
        </w:tc>
        <w:tc>
          <w:tcPr>
            <w:tcW w:w="3635" w:type="dxa"/>
            <w:tcBorders>
              <w:bottom w:val="single" w:sz="6" w:space="0" w:color="000000"/>
            </w:tcBorders>
            <w:shd w:val="clear" w:color="auto" w:fill="CFF0FB"/>
          </w:tcPr>
          <w:p>
            <w:pPr>
              <w:pStyle w:val="TableParagraph"/>
              <w:ind w:right="124"/>
              <w:jc w:val="right"/>
              <w:rPr>
                <w:sz w:val="18"/>
              </w:rPr>
            </w:pPr>
            <w:r>
              <w:rPr>
                <w:spacing w:val="-2"/>
                <w:sz w:val="18"/>
              </w:rPr>
              <w:t>150,571</w:t>
            </w:r>
          </w:p>
        </w:tc>
        <w:tc>
          <w:tcPr>
            <w:tcW w:w="1591" w:type="dxa"/>
            <w:tcBorders>
              <w:bottom w:val="single" w:sz="6" w:space="0" w:color="000000"/>
            </w:tcBorders>
            <w:shd w:val="clear" w:color="auto" w:fill="CFF0FB"/>
          </w:tcPr>
          <w:p>
            <w:pPr>
              <w:pStyle w:val="TableParagraph"/>
              <w:ind w:right="71"/>
              <w:jc w:val="right"/>
              <w:rPr>
                <w:sz w:val="18"/>
              </w:rPr>
            </w:pPr>
            <w:r>
              <w:rPr>
                <w:spacing w:val="-2"/>
                <w:sz w:val="18"/>
              </w:rPr>
              <w:t>151,909</w:t>
            </w:r>
          </w:p>
        </w:tc>
      </w:tr>
      <w:tr>
        <w:trPr>
          <w:trHeight w:val="323" w:hRule="atLeast"/>
        </w:trPr>
        <w:tc>
          <w:tcPr>
            <w:tcW w:w="6290" w:type="dxa"/>
          </w:tcPr>
          <w:p>
            <w:pPr>
              <w:pStyle w:val="TableParagraph"/>
              <w:spacing w:before="0"/>
              <w:rPr>
                <w:sz w:val="16"/>
              </w:rPr>
            </w:pPr>
          </w:p>
        </w:tc>
        <w:tc>
          <w:tcPr>
            <w:tcW w:w="3635" w:type="dxa"/>
            <w:tcBorders>
              <w:top w:val="single" w:sz="6" w:space="0" w:color="000000"/>
            </w:tcBorders>
          </w:tcPr>
          <w:p>
            <w:pPr>
              <w:pStyle w:val="TableParagraph"/>
              <w:tabs>
                <w:tab w:pos="714" w:val="left" w:leader="none"/>
              </w:tabs>
              <w:spacing w:before="20"/>
              <w:ind w:right="124"/>
              <w:jc w:val="right"/>
              <w:rPr>
                <w:sz w:val="18"/>
              </w:rPr>
            </w:pPr>
            <w:r>
              <w:rPr/>
              <mc:AlternateContent>
                <mc:Choice Requires="wps">
                  <w:drawing>
                    <wp:anchor distT="0" distB="0" distL="0" distR="0" allowOverlap="1" layoutInCell="1" locked="0" behindDoc="1" simplePos="0" relativeHeight="477720576">
                      <wp:simplePos x="0" y="0"/>
                      <wp:positionH relativeFrom="column">
                        <wp:posOffset>1303544</wp:posOffset>
                      </wp:positionH>
                      <wp:positionV relativeFrom="paragraph">
                        <wp:posOffset>170869</wp:posOffset>
                      </wp:positionV>
                      <wp:extent cx="969010" cy="34290"/>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969010" cy="34290"/>
                                <a:chExt cx="969010" cy="34290"/>
                              </a:xfrm>
                            </wpg:grpSpPr>
                            <wps:wsp>
                              <wps:cNvPr id="462" name="Graphic 462"/>
                              <wps:cNvSpPr/>
                              <wps:spPr>
                                <a:xfrm>
                                  <a:off x="-12" y="-3"/>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2.641327pt;margin-top:13.454292pt;width:76.3pt;height:2.7pt;mso-position-horizontal-relative:column;mso-position-vertical-relative:paragraph;z-index:-25595904" id="docshapegroup459" coordorigin="2053,269" coordsize="1526,54">
                      <v:shape style="position:absolute;left:2052;top:269;width:1526;height:54" id="docshape460" coordorigin="2053,269" coordsize="1526,54" path="m3578,310l3551,310,2174,310,2053,310,2053,323,2174,323,3551,323,3578,323,3578,310xm3578,269l3551,269,2174,269,2053,269,2053,283,2174,283,3551,283,3578,283,3578,269xe" filled="true" fillcolor="#000000" stroked="false">
                        <v:path arrowok="t"/>
                        <v:fill type="solid"/>
                      </v:shape>
                      <w10:wrap type="none"/>
                    </v:group>
                  </w:pict>
                </mc:Fallback>
              </mc:AlternateContent>
            </w:r>
            <w:r>
              <w:rPr>
                <w:spacing w:val="-10"/>
                <w:sz w:val="18"/>
              </w:rPr>
              <w:t>$</w:t>
            </w:r>
            <w:r>
              <w:rPr>
                <w:sz w:val="18"/>
              </w:rPr>
              <w:tab/>
            </w:r>
            <w:r>
              <w:rPr>
                <w:spacing w:val="-2"/>
                <w:sz w:val="18"/>
              </w:rPr>
              <w:t>5,223,928</w:t>
            </w:r>
          </w:p>
        </w:tc>
        <w:tc>
          <w:tcPr>
            <w:tcW w:w="1591" w:type="dxa"/>
            <w:tcBorders>
              <w:top w:val="single" w:sz="6" w:space="0" w:color="000000"/>
            </w:tcBorders>
          </w:tcPr>
          <w:p>
            <w:pPr>
              <w:pStyle w:val="TableParagraph"/>
              <w:tabs>
                <w:tab w:pos="626" w:val="left" w:leader="none"/>
              </w:tabs>
              <w:spacing w:before="20"/>
              <w:ind w:right="71"/>
              <w:jc w:val="right"/>
              <w:rPr>
                <w:sz w:val="18"/>
              </w:rPr>
            </w:pPr>
            <w:r>
              <w:rPr/>
              <mc:AlternateContent>
                <mc:Choice Requires="wps">
                  <w:drawing>
                    <wp:anchor distT="0" distB="0" distL="0" distR="0" allowOverlap="1" layoutInCell="1" locked="0" behindDoc="1" simplePos="0" relativeHeight="477721088">
                      <wp:simplePos x="0" y="0"/>
                      <wp:positionH relativeFrom="column">
                        <wp:posOffset>41277</wp:posOffset>
                      </wp:positionH>
                      <wp:positionV relativeFrom="paragraph">
                        <wp:posOffset>170869</wp:posOffset>
                      </wp:positionV>
                      <wp:extent cx="969010" cy="3429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969010" cy="34290"/>
                                <a:chExt cx="969010" cy="34290"/>
                              </a:xfrm>
                            </wpg:grpSpPr>
                            <wps:wsp>
                              <wps:cNvPr id="464" name="Graphic 464"/>
                              <wps:cNvSpPr/>
                              <wps:spPr>
                                <a:xfrm>
                                  <a:off x="-11" y="-3"/>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0218pt;margin-top:13.454292pt;width:76.3pt;height:2.7pt;mso-position-horizontal-relative:column;mso-position-vertical-relative:paragraph;z-index:-25595392" id="docshapegroup461" coordorigin="65,269" coordsize="1526,54">
                      <v:shape style="position:absolute;left:64;top:269;width:1526;height:54" id="docshape462" coordorigin="65,269" coordsize="1526,54" path="m1590,310l1563,310,173,310,65,310,65,323,173,323,1563,323,1590,323,1590,310xm1590,269l1563,269,173,269,65,269,65,283,173,283,1563,283,1590,283,1590,269xe" filled="true" fillcolor="#000000" stroked="false">
                        <v:path arrowok="t"/>
                        <v:fill type="solid"/>
                      </v:shape>
                      <w10:wrap type="none"/>
                    </v:group>
                  </w:pict>
                </mc:Fallback>
              </mc:AlternateContent>
            </w:r>
            <w:r>
              <w:rPr>
                <w:spacing w:val="-10"/>
                <w:sz w:val="18"/>
              </w:rPr>
              <w:t>$</w:t>
            </w:r>
            <w:r>
              <w:rPr>
                <w:sz w:val="18"/>
              </w:rPr>
              <w:tab/>
            </w:r>
            <w:r>
              <w:rPr>
                <w:spacing w:val="-2"/>
                <w:sz w:val="18"/>
              </w:rPr>
              <w:t>14,435,493</w:t>
            </w:r>
          </w:p>
        </w:tc>
      </w:tr>
    </w:tbl>
    <w:p>
      <w:pPr>
        <w:pStyle w:val="BodyText"/>
        <w:rPr>
          <w:b/>
          <w:i/>
        </w:rPr>
      </w:pPr>
    </w:p>
    <w:p>
      <w:pPr>
        <w:pStyle w:val="BodyText"/>
        <w:spacing w:before="97"/>
        <w:rPr>
          <w:b/>
          <w:i/>
        </w:rPr>
      </w:pPr>
    </w:p>
    <w:p>
      <w:pPr>
        <w:pStyle w:val="Heading4"/>
        <w:spacing w:before="1"/>
      </w:pPr>
      <w:r>
        <w:rPr/>
        <w:t>NOTE</w:t>
      </w:r>
      <w:r>
        <w:rPr>
          <w:spacing w:val="-12"/>
        </w:rPr>
        <w:t> </w:t>
      </w:r>
      <w:r>
        <w:rPr/>
        <w:t>6</w:t>
      </w:r>
      <w:r>
        <w:rPr>
          <w:spacing w:val="-9"/>
        </w:rPr>
        <w:t> </w:t>
      </w:r>
      <w:r>
        <w:rPr/>
        <w:t>—</w:t>
      </w:r>
      <w:r>
        <w:rPr>
          <w:spacing w:val="-6"/>
        </w:rPr>
        <w:t> </w:t>
      </w:r>
      <w:r>
        <w:rPr/>
        <w:t>INVESTMENTS</w:t>
      </w:r>
      <w:r>
        <w:rPr>
          <w:spacing w:val="-6"/>
        </w:rPr>
        <w:t> </w:t>
      </w:r>
      <w:r>
        <w:rPr/>
        <w:t>IN</w:t>
      </w:r>
      <w:r>
        <w:rPr>
          <w:spacing w:val="-11"/>
        </w:rPr>
        <w:t> </w:t>
      </w:r>
      <w:r>
        <w:rPr/>
        <w:t>AND</w:t>
      </w:r>
      <w:r>
        <w:rPr>
          <w:spacing w:val="-11"/>
        </w:rPr>
        <w:t> </w:t>
      </w:r>
      <w:r>
        <w:rPr/>
        <w:t>ADVANCES</w:t>
      </w:r>
      <w:r>
        <w:rPr>
          <w:spacing w:val="-9"/>
        </w:rPr>
        <w:t> </w:t>
      </w:r>
      <w:r>
        <w:rPr/>
        <w:t>TO</w:t>
      </w:r>
      <w:r>
        <w:rPr>
          <w:spacing w:val="-6"/>
        </w:rPr>
        <w:t> </w:t>
      </w:r>
      <w:r>
        <w:rPr/>
        <w:t>UNCONSOLIDATED</w:t>
      </w:r>
      <w:r>
        <w:rPr>
          <w:spacing w:val="-11"/>
        </w:rPr>
        <w:t> </w:t>
      </w:r>
      <w:r>
        <w:rPr>
          <w:spacing w:val="-2"/>
        </w:rPr>
        <w:t>AFFILIATES</w:t>
      </w:r>
    </w:p>
    <w:p>
      <w:pPr>
        <w:pStyle w:val="BodyText"/>
        <w:spacing w:before="6"/>
        <w:rPr>
          <w:b/>
          <w:sz w:val="11"/>
        </w:rPr>
      </w:pPr>
    </w:p>
    <w:p>
      <w:pPr>
        <w:spacing w:after="0"/>
        <w:rPr>
          <w:sz w:val="11"/>
        </w:rPr>
        <w:sectPr>
          <w:pgSz w:w="12240" w:h="15840"/>
          <w:pgMar w:top="1200" w:bottom="280" w:left="220" w:right="240"/>
        </w:sectPr>
      </w:pPr>
    </w:p>
    <w:p>
      <w:pPr>
        <w:pStyle w:val="BodyText"/>
        <w:spacing w:before="92"/>
        <w:ind w:left="644"/>
      </w:pPr>
      <w:r>
        <w:rPr/>
        <w:t>Investments</w:t>
      </w:r>
      <w:r>
        <w:rPr>
          <w:spacing w:val="-4"/>
        </w:rPr>
        <w:t> </w:t>
      </w:r>
      <w:r>
        <w:rPr/>
        <w:t>in</w:t>
      </w:r>
      <w:r>
        <w:rPr>
          <w:spacing w:val="-1"/>
        </w:rPr>
        <w:t> </w:t>
      </w:r>
      <w:r>
        <w:rPr/>
        <w:t>and</w:t>
      </w:r>
      <w:r>
        <w:rPr>
          <w:spacing w:val="-2"/>
        </w:rPr>
        <w:t> </w:t>
      </w:r>
      <w:r>
        <w:rPr/>
        <w:t>advances</w:t>
      </w:r>
      <w:r>
        <w:rPr>
          <w:spacing w:val="-1"/>
        </w:rPr>
        <w:t> </w:t>
      </w:r>
      <w:r>
        <w:rPr/>
        <w:t>to</w:t>
      </w:r>
      <w:r>
        <w:rPr>
          <w:spacing w:val="-1"/>
        </w:rPr>
        <w:t> </w:t>
      </w:r>
      <w:r>
        <w:rPr/>
        <w:t>unconsolidated</w:t>
      </w:r>
      <w:r>
        <w:rPr>
          <w:spacing w:val="-2"/>
        </w:rPr>
        <w:t> </w:t>
      </w:r>
      <w:r>
        <w:rPr/>
        <w:t>affiliates</w:t>
      </w:r>
      <w:r>
        <w:rPr>
          <w:spacing w:val="-1"/>
        </w:rPr>
        <w:t> </w:t>
      </w:r>
      <w:r>
        <w:rPr/>
        <w:t>consisted</w:t>
      </w:r>
      <w:r>
        <w:rPr>
          <w:spacing w:val="-2"/>
        </w:rPr>
        <w:t> </w:t>
      </w:r>
      <w:r>
        <w:rPr/>
        <w:t>of</w:t>
      </w:r>
      <w:r>
        <w:rPr>
          <w:spacing w:val="-1"/>
        </w:rPr>
        <w:t> </w:t>
      </w:r>
      <w:r>
        <w:rPr/>
        <w:t>the</w:t>
      </w:r>
      <w:r>
        <w:rPr>
          <w:spacing w:val="-1"/>
        </w:rPr>
        <w:t> </w:t>
      </w:r>
      <w:r>
        <w:rPr>
          <w:spacing w:val="-2"/>
        </w:rPr>
        <w:t>following:</w:t>
      </w:r>
    </w:p>
    <w:p>
      <w:pPr>
        <w:spacing w:line="240" w:lineRule="auto" w:before="142"/>
        <w:rPr>
          <w:sz w:val="18"/>
        </w:rPr>
      </w:pPr>
      <w:r>
        <w:rPr/>
        <w:br w:type="column"/>
      </w:r>
      <w:r>
        <w:rPr>
          <w:sz w:val="18"/>
        </w:rPr>
      </w:r>
    </w:p>
    <w:p>
      <w:pPr>
        <w:pStyle w:val="Heading5"/>
        <w:ind w:left="0" w:right="99"/>
      </w:pPr>
      <w:r>
        <w:rPr/>
        <w:t>December</w:t>
      </w:r>
      <w:r>
        <w:rPr>
          <w:spacing w:val="-4"/>
        </w:rPr>
        <w:t> </w:t>
      </w:r>
      <w:r>
        <w:rPr>
          <w:spacing w:val="-5"/>
        </w:rPr>
        <w:t>31,</w:t>
      </w:r>
    </w:p>
    <w:p>
      <w:pPr>
        <w:pStyle w:val="BodyText"/>
        <w:spacing w:before="5"/>
        <w:rPr>
          <w:b/>
          <w:sz w:val="2"/>
        </w:rPr>
      </w:pPr>
    </w:p>
    <w:p>
      <w:pPr>
        <w:pStyle w:val="BodyText"/>
        <w:spacing w:line="20" w:lineRule="exact"/>
        <w:ind w:left="59"/>
        <w:rPr>
          <w:sz w:val="2"/>
        </w:rPr>
      </w:pPr>
      <w:r>
        <w:rPr>
          <w:sz w:val="2"/>
        </w:rPr>
        <mc:AlternateContent>
          <mc:Choice Requires="wps">
            <w:drawing>
              <wp:inline distT="0" distB="0" distL="0" distR="0">
                <wp:extent cx="2014855" cy="8890"/>
                <wp:effectExtent l="0" t="0" r="0" b="0"/>
                <wp:docPr id="465" name="Group 465"/>
                <wp:cNvGraphicFramePr>
                  <a:graphicFrameLocks/>
                </wp:cNvGraphicFramePr>
                <a:graphic>
                  <a:graphicData uri="http://schemas.microsoft.com/office/word/2010/wordprocessingGroup">
                    <wpg:wgp>
                      <wpg:cNvPr id="465" name="Group 465"/>
                      <wpg:cNvGrpSpPr/>
                      <wpg:grpSpPr>
                        <a:xfrm>
                          <a:off x="0" y="0"/>
                          <a:ext cx="2014855" cy="8890"/>
                          <a:chExt cx="2014855" cy="8890"/>
                        </a:xfrm>
                      </wpg:grpSpPr>
                      <wps:wsp>
                        <wps:cNvPr id="466" name="Graphic 466"/>
                        <wps:cNvSpPr/>
                        <wps:spPr>
                          <a:xfrm>
                            <a:off x="-12" y="-3"/>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463" coordorigin="0,0" coordsize="3173,14">
                <v:rect style="position:absolute;left:-1;top:0;width:3173;height:14" id="docshape464" filled="true" fillcolor="#000000" stroked="false">
                  <v:fill type="solid"/>
                </v:rect>
              </v:group>
            </w:pict>
          </mc:Fallback>
        </mc:AlternateContent>
      </w:r>
      <w:r>
        <w:rPr>
          <w:sz w:val="2"/>
        </w:rPr>
      </w:r>
    </w:p>
    <w:p>
      <w:pPr>
        <w:tabs>
          <w:tab w:pos="1641" w:val="left" w:leader="none"/>
        </w:tabs>
        <w:spacing w:before="15"/>
        <w:ind w:left="0" w:right="100" w:firstLine="0"/>
        <w:jc w:val="center"/>
        <w:rPr>
          <w:b/>
          <w:sz w:val="18"/>
        </w:rPr>
      </w:pPr>
      <w:r>
        <w:rPr>
          <w:b/>
          <w:spacing w:val="-4"/>
          <w:sz w:val="18"/>
        </w:rPr>
        <w:t>2022</w:t>
      </w:r>
      <w:r>
        <w:rPr>
          <w:b/>
          <w:sz w:val="18"/>
        </w:rPr>
        <w:tab/>
      </w:r>
      <w:r>
        <w:rPr>
          <w:b/>
          <w:spacing w:val="-4"/>
          <w:sz w:val="18"/>
        </w:rPr>
        <w:t>2021</w:t>
      </w:r>
    </w:p>
    <w:p>
      <w:pPr>
        <w:pStyle w:val="BodyText"/>
        <w:spacing w:before="5"/>
        <w:rPr>
          <w:b/>
          <w:sz w:val="2"/>
        </w:rPr>
      </w:pPr>
    </w:p>
    <w:p>
      <w:pPr>
        <w:pStyle w:val="BodyText"/>
        <w:spacing w:line="20" w:lineRule="exact"/>
        <w:ind w:left="59"/>
        <w:rPr>
          <w:sz w:val="2"/>
        </w:rPr>
      </w:pPr>
      <w:r>
        <w:rPr>
          <w:sz w:val="2"/>
        </w:rPr>
        <mc:AlternateContent>
          <mc:Choice Requires="wps">
            <w:drawing>
              <wp:inline distT="0" distB="0" distL="0" distR="0">
                <wp:extent cx="2014855" cy="8890"/>
                <wp:effectExtent l="0" t="0" r="0" b="0"/>
                <wp:docPr id="467" name="Group 467"/>
                <wp:cNvGraphicFramePr>
                  <a:graphicFrameLocks/>
                </wp:cNvGraphicFramePr>
                <a:graphic>
                  <a:graphicData uri="http://schemas.microsoft.com/office/word/2010/wordprocessingGroup">
                    <wpg:wgp>
                      <wpg:cNvPr id="467" name="Group 467"/>
                      <wpg:cNvGrpSpPr/>
                      <wpg:grpSpPr>
                        <a:xfrm>
                          <a:off x="0" y="0"/>
                          <a:ext cx="2014855" cy="8890"/>
                          <a:chExt cx="2014855" cy="8890"/>
                        </a:xfrm>
                      </wpg:grpSpPr>
                      <wps:wsp>
                        <wps:cNvPr id="468" name="Graphic 468"/>
                        <wps:cNvSpPr/>
                        <wps:spPr>
                          <a:xfrm>
                            <a:off x="-12" y="-3"/>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465" coordorigin="0,0" coordsize="3173,14">
                <v:rect style="position:absolute;left:-1;top:0;width:3173;height:14" id="docshape466" filled="true" fillcolor="#000000" stroked="false">
                  <v:fill type="solid"/>
                </v:rect>
              </v:group>
            </w:pict>
          </mc:Fallback>
        </mc:AlternateContent>
      </w:r>
      <w:r>
        <w:rPr>
          <w:sz w:val="2"/>
        </w:rPr>
      </w:r>
    </w:p>
    <w:p>
      <w:pPr>
        <w:spacing w:before="12"/>
        <w:ind w:left="0" w:right="99" w:firstLine="0"/>
        <w:jc w:val="center"/>
        <w:rPr>
          <w:b/>
          <w:i/>
          <w:sz w:val="14"/>
        </w:rPr>
      </w:pPr>
      <w:r>
        <w:rPr>
          <w:b/>
          <w:i/>
          <w:sz w:val="14"/>
        </w:rPr>
        <w:t>(In</w:t>
      </w:r>
      <w:r>
        <w:rPr>
          <w:b/>
          <w:i/>
          <w:spacing w:val="3"/>
          <w:sz w:val="14"/>
        </w:rPr>
        <w:t> </w:t>
      </w:r>
      <w:r>
        <w:rPr>
          <w:b/>
          <w:i/>
          <w:spacing w:val="-2"/>
          <w:sz w:val="14"/>
        </w:rPr>
        <w:t>thousands)</w:t>
      </w:r>
    </w:p>
    <w:p>
      <w:pPr>
        <w:spacing w:after="0"/>
        <w:jc w:val="center"/>
        <w:rPr>
          <w:sz w:val="14"/>
        </w:rPr>
        <w:sectPr>
          <w:type w:val="continuous"/>
          <w:pgSz w:w="12240" w:h="15840"/>
          <w:pgMar w:top="1040" w:bottom="280" w:left="220" w:right="240"/>
          <w:cols w:num="2" w:equalWidth="0">
            <w:col w:w="6709" w:space="1679"/>
            <w:col w:w="3392"/>
          </w:cols>
        </w:sectPr>
      </w:pPr>
    </w:p>
    <w:p>
      <w:pPr>
        <w:pStyle w:val="BodyText"/>
        <w:spacing w:before="2"/>
        <w:rPr>
          <w:b/>
          <w:i/>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4"/>
        <w:gridCol w:w="3017"/>
        <w:gridCol w:w="1655"/>
      </w:tblGrid>
      <w:tr>
        <w:trPr>
          <w:trHeight w:val="269" w:hRule="atLeast"/>
        </w:trPr>
        <w:tc>
          <w:tcPr>
            <w:tcW w:w="6844" w:type="dxa"/>
            <w:shd w:val="clear" w:color="auto" w:fill="CCEDFF"/>
          </w:tcPr>
          <w:p>
            <w:pPr>
              <w:pStyle w:val="TableParagraph"/>
              <w:ind w:left="61"/>
              <w:rPr>
                <w:sz w:val="18"/>
              </w:rPr>
            </w:pPr>
            <w:r>
              <w:rPr>
                <w:sz w:val="18"/>
              </w:rPr>
              <w:t>VICI</w:t>
            </w:r>
            <w:r>
              <w:rPr>
                <w:spacing w:val="-6"/>
                <w:sz w:val="18"/>
              </w:rPr>
              <w:t> </w:t>
            </w:r>
            <w:r>
              <w:rPr>
                <w:sz w:val="18"/>
              </w:rPr>
              <w:t>BREIT</w:t>
            </w:r>
            <w:r>
              <w:rPr>
                <w:spacing w:val="-8"/>
                <w:sz w:val="18"/>
              </w:rPr>
              <w:t> </w:t>
            </w:r>
            <w:r>
              <w:rPr>
                <w:sz w:val="18"/>
              </w:rPr>
              <w:t>Venture</w:t>
            </w:r>
            <w:r>
              <w:rPr>
                <w:spacing w:val="-3"/>
                <w:sz w:val="18"/>
              </w:rPr>
              <w:t> </w:t>
            </w:r>
            <w:r>
              <w:rPr>
                <w:sz w:val="18"/>
              </w:rPr>
              <w:t>(50.1%</w:t>
            </w:r>
            <w:r>
              <w:rPr>
                <w:spacing w:val="-3"/>
                <w:sz w:val="18"/>
              </w:rPr>
              <w:t> </w:t>
            </w:r>
            <w:r>
              <w:rPr>
                <w:sz w:val="18"/>
              </w:rPr>
              <w:t>owned</w:t>
            </w:r>
            <w:r>
              <w:rPr>
                <w:spacing w:val="-3"/>
                <w:sz w:val="18"/>
              </w:rPr>
              <w:t> </w:t>
            </w:r>
            <w:r>
              <w:rPr>
                <w:sz w:val="18"/>
              </w:rPr>
              <w:t>by</w:t>
            </w:r>
            <w:r>
              <w:rPr>
                <w:spacing w:val="-3"/>
                <w:sz w:val="18"/>
              </w:rPr>
              <w:t> </w:t>
            </w:r>
            <w:r>
              <w:rPr>
                <w:sz w:val="18"/>
              </w:rPr>
              <w:t>MGP</w:t>
            </w:r>
            <w:r>
              <w:rPr>
                <w:spacing w:val="-9"/>
                <w:sz w:val="18"/>
              </w:rPr>
              <w:t> </w:t>
            </w:r>
            <w:r>
              <w:rPr>
                <w:sz w:val="18"/>
              </w:rPr>
              <w:t>OP</w:t>
            </w:r>
            <w:r>
              <w:rPr>
                <w:spacing w:val="-8"/>
                <w:sz w:val="18"/>
              </w:rPr>
              <w:t> </w:t>
            </w:r>
            <w:r>
              <w:rPr>
                <w:sz w:val="18"/>
              </w:rPr>
              <w:t>through</w:t>
            </w:r>
            <w:r>
              <w:rPr>
                <w:spacing w:val="-12"/>
                <w:sz w:val="18"/>
              </w:rPr>
              <w:t> </w:t>
            </w:r>
            <w:r>
              <w:rPr>
                <w:sz w:val="18"/>
              </w:rPr>
              <w:t>April</w:t>
            </w:r>
            <w:r>
              <w:rPr>
                <w:spacing w:val="-3"/>
                <w:sz w:val="18"/>
              </w:rPr>
              <w:t> </w:t>
            </w:r>
            <w:r>
              <w:rPr>
                <w:sz w:val="18"/>
              </w:rPr>
              <w:t>28,</w:t>
            </w:r>
            <w:r>
              <w:rPr>
                <w:spacing w:val="-2"/>
                <w:sz w:val="18"/>
              </w:rPr>
              <w:t> 2022)</w:t>
            </w:r>
          </w:p>
        </w:tc>
        <w:tc>
          <w:tcPr>
            <w:tcW w:w="3017" w:type="dxa"/>
            <w:shd w:val="clear" w:color="auto" w:fill="CCEDFF"/>
          </w:tcPr>
          <w:p>
            <w:pPr>
              <w:pStyle w:val="TableParagraph"/>
              <w:tabs>
                <w:tab w:pos="1253" w:val="left" w:leader="none"/>
              </w:tabs>
              <w:ind w:right="102"/>
              <w:jc w:val="right"/>
              <w:rPr>
                <w:sz w:val="18"/>
              </w:rPr>
            </w:pPr>
            <w:r>
              <w:rPr>
                <w:spacing w:val="-10"/>
                <w:sz w:val="18"/>
              </w:rPr>
              <w:t>$</w:t>
            </w:r>
            <w:r>
              <w:rPr>
                <w:sz w:val="18"/>
              </w:rPr>
              <w:tab/>
            </w:r>
            <w:r>
              <w:rPr>
                <w:spacing w:val="-10"/>
                <w:sz w:val="18"/>
              </w:rPr>
              <w:t>—</w:t>
            </w:r>
          </w:p>
        </w:tc>
        <w:tc>
          <w:tcPr>
            <w:tcW w:w="1655" w:type="dxa"/>
            <w:shd w:val="clear" w:color="auto" w:fill="CCEDFF"/>
          </w:tcPr>
          <w:p>
            <w:pPr>
              <w:pStyle w:val="TableParagraph"/>
              <w:tabs>
                <w:tab w:pos="849" w:val="left" w:leader="none"/>
              </w:tabs>
              <w:ind w:right="115"/>
              <w:jc w:val="right"/>
              <w:rPr>
                <w:sz w:val="18"/>
              </w:rPr>
            </w:pPr>
            <w:r>
              <w:rPr>
                <w:spacing w:val="-10"/>
                <w:sz w:val="18"/>
              </w:rPr>
              <w:t>$</w:t>
            </w:r>
            <w:r>
              <w:rPr>
                <w:sz w:val="18"/>
              </w:rPr>
              <w:tab/>
            </w:r>
            <w:r>
              <w:rPr>
                <w:spacing w:val="-2"/>
                <w:sz w:val="18"/>
              </w:rPr>
              <w:t>816,756</w:t>
            </w:r>
          </w:p>
        </w:tc>
      </w:tr>
      <w:tr>
        <w:trPr>
          <w:trHeight w:val="256" w:hRule="atLeast"/>
        </w:trPr>
        <w:tc>
          <w:tcPr>
            <w:tcW w:w="6844" w:type="dxa"/>
          </w:tcPr>
          <w:p>
            <w:pPr>
              <w:pStyle w:val="TableParagraph"/>
              <w:ind w:left="61"/>
              <w:rPr>
                <w:sz w:val="18"/>
              </w:rPr>
            </w:pPr>
            <w:r>
              <w:rPr>
                <w:sz w:val="18"/>
              </w:rPr>
              <w:t>BetMGM</w:t>
            </w:r>
            <w:r>
              <w:rPr>
                <w:spacing w:val="-1"/>
                <w:sz w:val="18"/>
              </w:rPr>
              <w:t> </w:t>
            </w:r>
            <w:r>
              <w:rPr>
                <w:spacing w:val="-2"/>
                <w:sz w:val="18"/>
              </w:rPr>
              <w:t>(50%)</w:t>
            </w:r>
          </w:p>
        </w:tc>
        <w:tc>
          <w:tcPr>
            <w:tcW w:w="3017" w:type="dxa"/>
          </w:tcPr>
          <w:p>
            <w:pPr>
              <w:pStyle w:val="TableParagraph"/>
              <w:ind w:right="102"/>
              <w:jc w:val="right"/>
              <w:rPr>
                <w:sz w:val="18"/>
              </w:rPr>
            </w:pPr>
            <w:r>
              <w:rPr>
                <w:spacing w:val="-2"/>
                <w:sz w:val="18"/>
              </w:rPr>
              <w:t>31,760</w:t>
            </w:r>
          </w:p>
        </w:tc>
        <w:tc>
          <w:tcPr>
            <w:tcW w:w="1655" w:type="dxa"/>
          </w:tcPr>
          <w:p>
            <w:pPr>
              <w:pStyle w:val="TableParagraph"/>
              <w:ind w:right="115"/>
              <w:jc w:val="right"/>
              <w:rPr>
                <w:sz w:val="18"/>
              </w:rPr>
            </w:pPr>
            <w:r>
              <w:rPr>
                <w:spacing w:val="-2"/>
                <w:sz w:val="18"/>
              </w:rPr>
              <w:t>41,060</w:t>
            </w:r>
          </w:p>
        </w:tc>
      </w:tr>
      <w:tr>
        <w:trPr>
          <w:trHeight w:val="255" w:hRule="atLeast"/>
        </w:trPr>
        <w:tc>
          <w:tcPr>
            <w:tcW w:w="6844" w:type="dxa"/>
            <w:shd w:val="clear" w:color="auto" w:fill="CCEDFF"/>
          </w:tcPr>
          <w:p>
            <w:pPr>
              <w:pStyle w:val="TableParagraph"/>
              <w:ind w:left="61"/>
              <w:rPr>
                <w:sz w:val="18"/>
              </w:rPr>
            </w:pPr>
            <w:r>
              <w:rPr>
                <w:spacing w:val="-2"/>
                <w:sz w:val="18"/>
              </w:rPr>
              <w:t>Other</w:t>
            </w:r>
          </w:p>
        </w:tc>
        <w:tc>
          <w:tcPr>
            <w:tcW w:w="3017" w:type="dxa"/>
            <w:tcBorders>
              <w:bottom w:val="single" w:sz="6" w:space="0" w:color="000000"/>
            </w:tcBorders>
            <w:shd w:val="clear" w:color="auto" w:fill="CCEDFF"/>
          </w:tcPr>
          <w:p>
            <w:pPr>
              <w:pStyle w:val="TableParagraph"/>
              <w:ind w:right="101"/>
              <w:jc w:val="right"/>
              <w:rPr>
                <w:sz w:val="18"/>
              </w:rPr>
            </w:pPr>
            <w:r>
              <w:rPr>
                <w:spacing w:val="-2"/>
                <w:sz w:val="18"/>
              </w:rPr>
              <w:t>141,279</w:t>
            </w:r>
          </w:p>
        </w:tc>
        <w:tc>
          <w:tcPr>
            <w:tcW w:w="1655" w:type="dxa"/>
            <w:tcBorders>
              <w:bottom w:val="single" w:sz="6" w:space="0" w:color="000000"/>
            </w:tcBorders>
            <w:shd w:val="clear" w:color="auto" w:fill="CCEDFF"/>
          </w:tcPr>
          <w:p>
            <w:pPr>
              <w:pStyle w:val="TableParagraph"/>
              <w:ind w:right="115"/>
              <w:jc w:val="right"/>
              <w:rPr>
                <w:sz w:val="18"/>
              </w:rPr>
            </w:pPr>
            <w:r>
              <w:rPr>
                <w:spacing w:val="-2"/>
                <w:sz w:val="18"/>
              </w:rPr>
              <w:t>109,228</w:t>
            </w:r>
          </w:p>
        </w:tc>
      </w:tr>
      <w:tr>
        <w:trPr>
          <w:trHeight w:val="309" w:hRule="atLeast"/>
        </w:trPr>
        <w:tc>
          <w:tcPr>
            <w:tcW w:w="6844" w:type="dxa"/>
          </w:tcPr>
          <w:p>
            <w:pPr>
              <w:pStyle w:val="TableParagraph"/>
              <w:spacing w:before="0"/>
              <w:rPr>
                <w:sz w:val="16"/>
              </w:rPr>
            </w:pPr>
          </w:p>
        </w:tc>
        <w:tc>
          <w:tcPr>
            <w:tcW w:w="3017" w:type="dxa"/>
            <w:tcBorders>
              <w:top w:val="single" w:sz="6" w:space="0" w:color="000000"/>
            </w:tcBorders>
          </w:tcPr>
          <w:p>
            <w:pPr>
              <w:pStyle w:val="TableParagraph"/>
              <w:tabs>
                <w:tab w:pos="848" w:val="left" w:leader="none"/>
              </w:tabs>
              <w:spacing w:before="20"/>
              <w:ind w:right="101"/>
              <w:jc w:val="right"/>
              <w:rPr>
                <w:sz w:val="18"/>
              </w:rPr>
            </w:pPr>
            <w:r>
              <w:rPr/>
              <mc:AlternateContent>
                <mc:Choice Requires="wps">
                  <w:drawing>
                    <wp:anchor distT="0" distB="0" distL="0" distR="0" allowOverlap="1" layoutInCell="1" locked="0" behindDoc="1" simplePos="0" relativeHeight="477721600">
                      <wp:simplePos x="0" y="0"/>
                      <wp:positionH relativeFrom="column">
                        <wp:posOffset>926031</wp:posOffset>
                      </wp:positionH>
                      <wp:positionV relativeFrom="paragraph">
                        <wp:posOffset>162297</wp:posOffset>
                      </wp:positionV>
                      <wp:extent cx="969010" cy="34290"/>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969010" cy="34290"/>
                                <a:chExt cx="969010" cy="34290"/>
                              </a:xfrm>
                            </wpg:grpSpPr>
                            <wps:wsp>
                              <wps:cNvPr id="470" name="Graphic 470"/>
                              <wps:cNvSpPr/>
                              <wps:spPr>
                                <a:xfrm>
                                  <a:off x="-12" y="-2"/>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91584pt;margin-top:12.779309pt;width:76.3pt;height:2.7pt;mso-position-horizontal-relative:column;mso-position-vertical-relative:paragraph;z-index:-25594880" id="docshapegroup467" coordorigin="1458,256" coordsize="1526,54">
                      <v:shape style="position:absolute;left:1458;top:255;width:1526;height:54" id="docshape468" coordorigin="1458,256" coordsize="1526,54" path="m2984,296l2957,296,1580,296,1458,296,1458,310,1580,310,2957,310,2984,310,2984,296xm2984,256l2957,256,1580,256,1458,256,1458,269,1580,269,2957,269,2984,269,2984,256xe" filled="true" fillcolor="#000000" stroked="false">
                        <v:path arrowok="t"/>
                        <v:fill type="solid"/>
                      </v:shape>
                      <w10:wrap type="none"/>
                    </v:group>
                  </w:pict>
                </mc:Fallback>
              </mc:AlternateContent>
            </w:r>
            <w:r>
              <w:rPr>
                <w:spacing w:val="-10"/>
                <w:sz w:val="18"/>
              </w:rPr>
              <w:t>$</w:t>
            </w:r>
            <w:r>
              <w:rPr>
                <w:sz w:val="18"/>
              </w:rPr>
              <w:tab/>
            </w:r>
            <w:r>
              <w:rPr>
                <w:spacing w:val="-2"/>
                <w:sz w:val="18"/>
              </w:rPr>
              <w:t>173,039</w:t>
            </w:r>
          </w:p>
        </w:tc>
        <w:tc>
          <w:tcPr>
            <w:tcW w:w="1655" w:type="dxa"/>
            <w:tcBorders>
              <w:top w:val="single" w:sz="6" w:space="0" w:color="000000"/>
            </w:tcBorders>
          </w:tcPr>
          <w:p>
            <w:pPr>
              <w:pStyle w:val="TableParagraph"/>
              <w:tabs>
                <w:tab w:pos="849" w:val="left" w:leader="none"/>
              </w:tabs>
              <w:spacing w:before="20"/>
              <w:ind w:right="115"/>
              <w:jc w:val="right"/>
              <w:rPr>
                <w:sz w:val="18"/>
              </w:rPr>
            </w:pPr>
            <w:r>
              <w:rPr/>
              <mc:AlternateContent>
                <mc:Choice Requires="wps">
                  <w:drawing>
                    <wp:anchor distT="0" distB="0" distL="0" distR="0" allowOverlap="1" layoutInCell="1" locked="0" behindDoc="1" simplePos="0" relativeHeight="477722112">
                      <wp:simplePos x="0" y="0"/>
                      <wp:positionH relativeFrom="column">
                        <wp:posOffset>56281</wp:posOffset>
                      </wp:positionH>
                      <wp:positionV relativeFrom="paragraph">
                        <wp:posOffset>162297</wp:posOffset>
                      </wp:positionV>
                      <wp:extent cx="969010" cy="34290"/>
                      <wp:effectExtent l="0" t="0" r="0" b="0"/>
                      <wp:wrapNone/>
                      <wp:docPr id="471" name="Group 471"/>
                      <wp:cNvGraphicFramePr>
                        <a:graphicFrameLocks/>
                      </wp:cNvGraphicFramePr>
                      <a:graphic>
                        <a:graphicData uri="http://schemas.microsoft.com/office/word/2010/wordprocessingGroup">
                          <wpg:wgp>
                            <wpg:cNvPr id="471" name="Group 471"/>
                            <wpg:cNvGrpSpPr/>
                            <wpg:grpSpPr>
                              <a:xfrm>
                                <a:off x="0" y="0"/>
                                <a:ext cx="969010" cy="34290"/>
                                <a:chExt cx="969010" cy="34290"/>
                              </a:xfrm>
                            </wpg:grpSpPr>
                            <wps:wsp>
                              <wps:cNvPr id="472" name="Graphic 472"/>
                              <wps:cNvSpPr/>
                              <wps:spPr>
                                <a:xfrm>
                                  <a:off x="-11" y="-2"/>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31620pt;margin-top:12.779309pt;width:76.3pt;height:2.7pt;mso-position-horizontal-relative:column;mso-position-vertical-relative:paragraph;z-index:-25594368" id="docshapegroup469" coordorigin="89,256" coordsize="1526,54">
                      <v:shape style="position:absolute;left:88;top:255;width:1526;height:54" id="docshape470" coordorigin="89,256" coordsize="1526,54" path="m1614,296l1587,296,197,296,89,296,89,310,197,310,1587,310,1614,310,1614,296xm1614,256l1587,256,197,256,89,256,89,269,197,269,1587,269,1614,269,1614,256xe" filled="true" fillcolor="#000000" stroked="false">
                        <v:path arrowok="t"/>
                        <v:fill type="solid"/>
                      </v:shape>
                      <w10:wrap type="none"/>
                    </v:group>
                  </w:pict>
                </mc:Fallback>
              </mc:AlternateContent>
            </w:r>
            <w:r>
              <w:rPr>
                <w:spacing w:val="-10"/>
                <w:sz w:val="18"/>
              </w:rPr>
              <w:t>$</w:t>
            </w:r>
            <w:r>
              <w:rPr>
                <w:sz w:val="18"/>
              </w:rPr>
              <w:tab/>
            </w:r>
            <w:r>
              <w:rPr>
                <w:spacing w:val="-2"/>
                <w:sz w:val="18"/>
              </w:rPr>
              <w:t>967,044</w:t>
            </w:r>
          </w:p>
        </w:tc>
      </w:tr>
    </w:tbl>
    <w:p>
      <w:pPr>
        <w:pStyle w:val="BodyText"/>
        <w:rPr>
          <w:b/>
          <w:i/>
        </w:rPr>
      </w:pPr>
    </w:p>
    <w:p>
      <w:pPr>
        <w:pStyle w:val="BodyText"/>
        <w:rPr>
          <w:b/>
          <w:i/>
        </w:rPr>
      </w:pPr>
    </w:p>
    <w:p>
      <w:pPr>
        <w:pStyle w:val="BodyText"/>
        <w:rPr>
          <w:b/>
          <w:i/>
        </w:rPr>
      </w:pPr>
    </w:p>
    <w:p>
      <w:pPr>
        <w:pStyle w:val="BodyText"/>
        <w:spacing w:before="87"/>
        <w:rPr>
          <w:b/>
          <w:i/>
        </w:rPr>
      </w:pPr>
    </w:p>
    <w:p>
      <w:pPr>
        <w:pStyle w:val="BodyText"/>
        <w:ind w:left="24"/>
        <w:jc w:val="center"/>
      </w:pPr>
      <w:r>
        <w:rPr>
          <w:spacing w:val="-5"/>
        </w:rPr>
        <w:t>76</w:t>
      </w:r>
    </w:p>
    <w:p>
      <w:pPr>
        <w:pStyle w:val="BodyText"/>
        <w:spacing w:before="1"/>
        <w:rPr>
          <w:sz w:val="5"/>
        </w:rPr>
      </w:pPr>
      <w:r>
        <w:rPr/>
        <mc:AlternateContent>
          <mc:Choice Requires="wps">
            <w:drawing>
              <wp:anchor distT="0" distB="0" distL="0" distR="0" allowOverlap="1" layoutInCell="1" locked="0" behindDoc="1" simplePos="0" relativeHeight="487678976">
                <wp:simplePos x="0" y="0"/>
                <wp:positionH relativeFrom="page">
                  <wp:posOffset>231457</wp:posOffset>
                </wp:positionH>
                <wp:positionV relativeFrom="paragraph">
                  <wp:posOffset>52384</wp:posOffset>
                </wp:positionV>
                <wp:extent cx="7312659" cy="17145"/>
                <wp:effectExtent l="0" t="0" r="0" b="0"/>
                <wp:wrapTopAndBottom/>
                <wp:docPr id="473" name="Group 473"/>
                <wp:cNvGraphicFramePr>
                  <a:graphicFrameLocks/>
                </wp:cNvGraphicFramePr>
                <a:graphic>
                  <a:graphicData uri="http://schemas.microsoft.com/office/word/2010/wordprocessingGroup">
                    <wpg:wgp>
                      <wpg:cNvPr id="473" name="Group 473"/>
                      <wpg:cNvGrpSpPr/>
                      <wpg:grpSpPr>
                        <a:xfrm>
                          <a:off x="0" y="0"/>
                          <a:ext cx="7312659" cy="17145"/>
                          <a:chExt cx="7312659" cy="17145"/>
                        </a:xfrm>
                      </wpg:grpSpPr>
                      <wps:wsp>
                        <wps:cNvPr id="474" name="Graphic 47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75" name="Graphic 475"/>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76" name="Graphic 47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124756pt;width:575.8pt;height:1.35pt;mso-position-horizontal-relative:page;mso-position-vertical-relative:paragraph;z-index:-15637504;mso-wrap-distance-left:0;mso-wrap-distance-right:0" id="docshapegroup471" coordorigin="364,82" coordsize="11516,27">
                <v:rect style="position:absolute;left:364;top:82;width:11516;height:14" id="docshape472" filled="true" fillcolor="#999999" stroked="false">
                  <v:fill type="solid"/>
                </v:rect>
                <v:shape style="position:absolute;left:364;top:82;width:11516;height:27" id="docshape473" coordorigin="364,82" coordsize="11516,27" path="m11880,82l11866,96,364,96,364,109,11866,109,11880,109,11880,96,11880,82xe" filled="true" fillcolor="#ededed" stroked="false">
                  <v:path arrowok="t"/>
                  <v:fill type="solid"/>
                </v:shape>
                <v:shape style="position:absolute;left:364;top:82;width:14;height:27" id="docshape474" coordorigin="364,82" coordsize="14,27" path="m364,109l364,82,378,82,378,96,364,109xe" filled="true" fillcolor="#999999" stroked="false">
                  <v:path arrowok="t"/>
                  <v:fill type="solid"/>
                </v:shape>
                <w10:wrap type="topAndBottom"/>
              </v:group>
            </w:pict>
          </mc:Fallback>
        </mc:AlternateContent>
      </w:r>
    </w:p>
    <w:p>
      <w:pPr>
        <w:spacing w:after="0"/>
        <w:rPr>
          <w:sz w:val="5"/>
        </w:rPr>
        <w:sectPr>
          <w:type w:val="continuous"/>
          <w:pgSz w:w="12240" w:h="15840"/>
          <w:pgMar w:top="1040" w:bottom="280" w:left="220" w:right="240"/>
        </w:sectPr>
      </w:pPr>
    </w:p>
    <w:p>
      <w:pPr>
        <w:pStyle w:val="BodyText"/>
        <w:spacing w:before="63"/>
        <w:ind w:left="644"/>
      </w:pPr>
      <w:r>
        <w:rPr/>
        <w:t>The</w:t>
      </w:r>
      <w:r>
        <w:rPr>
          <w:spacing w:val="-2"/>
        </w:rPr>
        <w:t> </w:t>
      </w:r>
      <w:r>
        <w:rPr/>
        <w:t>Company</w:t>
      </w:r>
      <w:r>
        <w:rPr>
          <w:spacing w:val="-1"/>
        </w:rPr>
        <w:t> </w:t>
      </w:r>
      <w:r>
        <w:rPr/>
        <w:t>recorded</w:t>
      </w:r>
      <w:r>
        <w:rPr>
          <w:spacing w:val="-2"/>
        </w:rPr>
        <w:t> </w:t>
      </w:r>
      <w:r>
        <w:rPr/>
        <w:t>its</w:t>
      </w:r>
      <w:r>
        <w:rPr>
          <w:spacing w:val="-1"/>
        </w:rPr>
        <w:t> </w:t>
      </w:r>
      <w:r>
        <w:rPr/>
        <w:t>share</w:t>
      </w:r>
      <w:r>
        <w:rPr>
          <w:spacing w:val="-2"/>
        </w:rPr>
        <w:t> </w:t>
      </w:r>
      <w:r>
        <w:rPr/>
        <w:t>of</w:t>
      </w:r>
      <w:r>
        <w:rPr>
          <w:spacing w:val="-1"/>
        </w:rPr>
        <w:t> </w:t>
      </w:r>
      <w:r>
        <w:rPr/>
        <w:t>income</w:t>
      </w:r>
      <w:r>
        <w:rPr>
          <w:spacing w:val="-2"/>
        </w:rPr>
        <w:t> </w:t>
      </w:r>
      <w:r>
        <w:rPr/>
        <w:t>(loss)</w:t>
      </w:r>
      <w:r>
        <w:rPr>
          <w:spacing w:val="-1"/>
        </w:rPr>
        <w:t> </w:t>
      </w:r>
      <w:r>
        <w:rPr/>
        <w:t>from</w:t>
      </w:r>
      <w:r>
        <w:rPr>
          <w:spacing w:val="-2"/>
        </w:rPr>
        <w:t> </w:t>
      </w:r>
      <w:r>
        <w:rPr/>
        <w:t>unconsolidated</w:t>
      </w:r>
      <w:r>
        <w:rPr>
          <w:spacing w:val="-1"/>
        </w:rPr>
        <w:t> </w:t>
      </w:r>
      <w:r>
        <w:rPr/>
        <w:t>affiliates,</w:t>
      </w:r>
      <w:r>
        <w:rPr>
          <w:spacing w:val="-2"/>
        </w:rPr>
        <w:t> </w:t>
      </w:r>
      <w:r>
        <w:rPr/>
        <w:t>including</w:t>
      </w:r>
      <w:r>
        <w:rPr>
          <w:spacing w:val="-1"/>
        </w:rPr>
        <w:t> </w:t>
      </w:r>
      <w:r>
        <w:rPr/>
        <w:t>adjustments</w:t>
      </w:r>
      <w:r>
        <w:rPr>
          <w:spacing w:val="-2"/>
        </w:rPr>
        <w:t> </w:t>
      </w:r>
      <w:r>
        <w:rPr/>
        <w:t>for</w:t>
      </w:r>
      <w:r>
        <w:rPr>
          <w:spacing w:val="-1"/>
        </w:rPr>
        <w:t> </w:t>
      </w:r>
      <w:r>
        <w:rPr/>
        <w:t>basis</w:t>
      </w:r>
      <w:r>
        <w:rPr>
          <w:spacing w:val="-2"/>
        </w:rPr>
        <w:t> </w:t>
      </w:r>
      <w:r>
        <w:rPr/>
        <w:t>differences,</w:t>
      </w:r>
      <w:r>
        <w:rPr>
          <w:spacing w:val="-1"/>
        </w:rPr>
        <w:t> </w:t>
      </w:r>
      <w:r>
        <w:rPr/>
        <w:t>as</w:t>
      </w:r>
      <w:r>
        <w:rPr>
          <w:spacing w:val="-1"/>
        </w:rPr>
        <w:t> </w:t>
      </w:r>
      <w:r>
        <w:rPr>
          <w:spacing w:val="-2"/>
        </w:rPr>
        <w:t>follows:</w:t>
      </w:r>
    </w:p>
    <w:p>
      <w:pPr>
        <w:pStyle w:val="Heading5"/>
        <w:spacing w:before="49" w:after="49"/>
        <w:ind w:left="8268"/>
        <w:jc w:val="left"/>
      </w:pPr>
      <w:r>
        <w:rPr/>
        <w:t>Year</w:t>
      </w:r>
      <w:r>
        <w:rPr>
          <w:spacing w:val="-13"/>
        </w:rPr>
        <w:t> </w:t>
      </w:r>
      <w:r>
        <w:rPr/>
        <w:t>Ended</w:t>
      </w:r>
      <w:r>
        <w:rPr>
          <w:spacing w:val="-8"/>
        </w:rPr>
        <w:t> </w:t>
      </w:r>
      <w:r>
        <w:rPr/>
        <w:t>December</w:t>
      </w:r>
      <w:r>
        <w:rPr>
          <w:spacing w:val="-10"/>
        </w:rPr>
        <w:t> </w:t>
      </w:r>
      <w:r>
        <w:rPr>
          <w:spacing w:val="-5"/>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3"/>
        <w:gridCol w:w="1576"/>
        <w:gridCol w:w="1633"/>
        <w:gridCol w:w="1582"/>
      </w:tblGrid>
      <w:tr>
        <w:trPr>
          <w:trHeight w:val="254" w:hRule="atLeast"/>
        </w:trPr>
        <w:tc>
          <w:tcPr>
            <w:tcW w:w="6723" w:type="dxa"/>
            <w:vMerge w:val="restart"/>
          </w:tcPr>
          <w:p>
            <w:pPr>
              <w:pStyle w:val="TableParagraph"/>
              <w:spacing w:before="0"/>
              <w:rPr>
                <w:sz w:val="16"/>
              </w:rPr>
            </w:pPr>
          </w:p>
        </w:tc>
        <w:tc>
          <w:tcPr>
            <w:tcW w:w="1576" w:type="dxa"/>
            <w:tcBorders>
              <w:top w:val="single" w:sz="6" w:space="0" w:color="000000"/>
              <w:bottom w:val="single" w:sz="6" w:space="0" w:color="000000"/>
            </w:tcBorders>
          </w:tcPr>
          <w:p>
            <w:pPr>
              <w:pStyle w:val="TableParagraph"/>
              <w:spacing w:before="20"/>
              <w:ind w:left="59" w:right="108"/>
              <w:jc w:val="center"/>
              <w:rPr>
                <w:b/>
                <w:sz w:val="18"/>
              </w:rPr>
            </w:pPr>
            <w:r>
              <w:rPr>
                <w:b/>
                <w:spacing w:val="-4"/>
                <w:sz w:val="18"/>
              </w:rPr>
              <w:t>2022</w:t>
            </w:r>
          </w:p>
        </w:tc>
        <w:tc>
          <w:tcPr>
            <w:tcW w:w="1633" w:type="dxa"/>
            <w:tcBorders>
              <w:top w:val="single" w:sz="6" w:space="0" w:color="000000"/>
              <w:bottom w:val="single" w:sz="6" w:space="0" w:color="000000"/>
            </w:tcBorders>
          </w:tcPr>
          <w:p>
            <w:pPr>
              <w:pStyle w:val="TableParagraph"/>
              <w:spacing w:before="20"/>
              <w:ind w:left="59" w:right="49"/>
              <w:jc w:val="center"/>
              <w:rPr>
                <w:b/>
                <w:sz w:val="18"/>
              </w:rPr>
            </w:pPr>
            <w:r>
              <w:rPr>
                <w:b/>
                <w:spacing w:val="-4"/>
                <w:sz w:val="18"/>
              </w:rPr>
              <w:t>2021</w:t>
            </w:r>
          </w:p>
        </w:tc>
        <w:tc>
          <w:tcPr>
            <w:tcW w:w="1582" w:type="dxa"/>
            <w:tcBorders>
              <w:top w:val="single" w:sz="6" w:space="0" w:color="000000"/>
              <w:bottom w:val="single" w:sz="6" w:space="0" w:color="000000"/>
            </w:tcBorders>
          </w:tcPr>
          <w:p>
            <w:pPr>
              <w:pStyle w:val="TableParagraph"/>
              <w:spacing w:before="20"/>
              <w:ind w:left="65"/>
              <w:jc w:val="center"/>
              <w:rPr>
                <w:b/>
                <w:sz w:val="18"/>
              </w:rPr>
            </w:pPr>
            <w:r>
              <w:rPr>
                <w:b/>
                <w:spacing w:val="-4"/>
                <w:sz w:val="18"/>
              </w:rPr>
              <w:t>2020</w:t>
            </w:r>
          </w:p>
        </w:tc>
      </w:tr>
      <w:tr>
        <w:trPr>
          <w:trHeight w:val="215" w:hRule="atLeast"/>
        </w:trPr>
        <w:tc>
          <w:tcPr>
            <w:tcW w:w="6723" w:type="dxa"/>
            <w:vMerge/>
            <w:tcBorders>
              <w:top w:val="nil"/>
            </w:tcBorders>
          </w:tcPr>
          <w:p>
            <w:pPr>
              <w:rPr>
                <w:sz w:val="2"/>
                <w:szCs w:val="2"/>
              </w:rPr>
            </w:pPr>
          </w:p>
        </w:tc>
        <w:tc>
          <w:tcPr>
            <w:tcW w:w="1576" w:type="dxa"/>
            <w:tcBorders>
              <w:top w:val="single" w:sz="6" w:space="0" w:color="000000"/>
            </w:tcBorders>
          </w:tcPr>
          <w:p>
            <w:pPr>
              <w:pStyle w:val="TableParagraph"/>
              <w:spacing w:before="0"/>
              <w:rPr>
                <w:sz w:val="14"/>
              </w:rPr>
            </w:pPr>
          </w:p>
        </w:tc>
        <w:tc>
          <w:tcPr>
            <w:tcW w:w="1633" w:type="dxa"/>
            <w:tcBorders>
              <w:top w:val="single" w:sz="6" w:space="0" w:color="000000"/>
            </w:tcBorders>
          </w:tcPr>
          <w:p>
            <w:pPr>
              <w:pStyle w:val="TableParagraph"/>
              <w:spacing w:before="17"/>
              <w:ind w:left="383"/>
              <w:rPr>
                <w:b/>
                <w:i/>
                <w:sz w:val="14"/>
              </w:rPr>
            </w:pPr>
            <w:r>
              <w:rPr>
                <w:b/>
                <w:i/>
                <w:sz w:val="14"/>
              </w:rPr>
              <w:t>(In</w:t>
            </w:r>
            <w:r>
              <w:rPr>
                <w:b/>
                <w:i/>
                <w:spacing w:val="3"/>
                <w:sz w:val="14"/>
              </w:rPr>
              <w:t> </w:t>
            </w:r>
            <w:r>
              <w:rPr>
                <w:b/>
                <w:i/>
                <w:spacing w:val="-2"/>
                <w:sz w:val="14"/>
              </w:rPr>
              <w:t>thousands)</w:t>
            </w:r>
          </w:p>
        </w:tc>
        <w:tc>
          <w:tcPr>
            <w:tcW w:w="1582" w:type="dxa"/>
            <w:tcBorders>
              <w:top w:val="single" w:sz="6" w:space="0" w:color="000000"/>
            </w:tcBorders>
          </w:tcPr>
          <w:p>
            <w:pPr>
              <w:pStyle w:val="TableParagraph"/>
              <w:spacing w:before="0"/>
              <w:rPr>
                <w:sz w:val="14"/>
              </w:rPr>
            </w:pPr>
          </w:p>
        </w:tc>
      </w:tr>
      <w:tr>
        <w:trPr>
          <w:trHeight w:val="256" w:hRule="atLeast"/>
        </w:trPr>
        <w:tc>
          <w:tcPr>
            <w:tcW w:w="6723" w:type="dxa"/>
            <w:shd w:val="clear" w:color="auto" w:fill="CCEDFF"/>
          </w:tcPr>
          <w:p>
            <w:pPr>
              <w:pStyle w:val="TableParagraph"/>
              <w:ind w:left="17"/>
              <w:rPr>
                <w:sz w:val="18"/>
              </w:rPr>
            </w:pPr>
            <w:r>
              <w:rPr>
                <w:sz w:val="18"/>
              </w:rPr>
              <w:t>Income</w:t>
            </w:r>
            <w:r>
              <w:rPr>
                <w:spacing w:val="-1"/>
                <w:sz w:val="18"/>
              </w:rPr>
              <w:t> </w:t>
            </w:r>
            <w:r>
              <w:rPr>
                <w:sz w:val="18"/>
              </w:rPr>
              <w:t>(loss)</w:t>
            </w:r>
            <w:r>
              <w:rPr>
                <w:spacing w:val="-1"/>
                <w:sz w:val="18"/>
              </w:rPr>
              <w:t> </w:t>
            </w:r>
            <w:r>
              <w:rPr>
                <w:sz w:val="18"/>
              </w:rPr>
              <w:t>from</w:t>
            </w:r>
            <w:r>
              <w:rPr>
                <w:spacing w:val="-1"/>
                <w:sz w:val="18"/>
              </w:rPr>
              <w:t> </w:t>
            </w:r>
            <w:r>
              <w:rPr>
                <w:sz w:val="18"/>
              </w:rPr>
              <w:t>unconsolidated</w:t>
            </w:r>
            <w:r>
              <w:rPr>
                <w:spacing w:val="-1"/>
                <w:sz w:val="18"/>
              </w:rPr>
              <w:t> </w:t>
            </w:r>
            <w:r>
              <w:rPr>
                <w:spacing w:val="-2"/>
                <w:sz w:val="18"/>
              </w:rPr>
              <w:t>affiliates</w:t>
            </w:r>
          </w:p>
        </w:tc>
        <w:tc>
          <w:tcPr>
            <w:tcW w:w="1576" w:type="dxa"/>
            <w:shd w:val="clear" w:color="auto" w:fill="CCEDFF"/>
          </w:tcPr>
          <w:p>
            <w:pPr>
              <w:pStyle w:val="TableParagraph"/>
              <w:tabs>
                <w:tab w:pos="769" w:val="left" w:leader="none"/>
              </w:tabs>
              <w:ind w:right="78"/>
              <w:jc w:val="right"/>
              <w:rPr>
                <w:sz w:val="18"/>
              </w:rPr>
            </w:pPr>
            <w:r>
              <w:rPr>
                <w:spacing w:val="-10"/>
                <w:sz w:val="18"/>
              </w:rPr>
              <w:t>$</w:t>
            </w:r>
            <w:r>
              <w:rPr>
                <w:sz w:val="18"/>
              </w:rPr>
              <w:tab/>
            </w:r>
            <w:r>
              <w:rPr>
                <w:spacing w:val="-2"/>
                <w:sz w:val="18"/>
              </w:rPr>
              <w:t>(160,213)</w:t>
            </w:r>
          </w:p>
        </w:tc>
        <w:tc>
          <w:tcPr>
            <w:tcW w:w="1633" w:type="dxa"/>
            <w:shd w:val="clear" w:color="auto" w:fill="CCEDFF"/>
          </w:tcPr>
          <w:p>
            <w:pPr>
              <w:pStyle w:val="TableParagraph"/>
              <w:tabs>
                <w:tab w:pos="931" w:val="left" w:leader="none"/>
              </w:tabs>
              <w:ind w:right="123"/>
              <w:jc w:val="right"/>
              <w:rPr>
                <w:sz w:val="18"/>
              </w:rPr>
            </w:pPr>
            <w:r>
              <w:rPr>
                <w:spacing w:val="-10"/>
                <w:sz w:val="18"/>
              </w:rPr>
              <w:t>$</w:t>
            </w:r>
            <w:r>
              <w:rPr>
                <w:sz w:val="18"/>
              </w:rPr>
              <w:tab/>
            </w:r>
            <w:r>
              <w:rPr>
                <w:spacing w:val="-2"/>
                <w:sz w:val="18"/>
              </w:rPr>
              <w:t>84,823</w:t>
            </w:r>
          </w:p>
        </w:tc>
        <w:tc>
          <w:tcPr>
            <w:tcW w:w="1582" w:type="dxa"/>
            <w:shd w:val="clear" w:color="auto" w:fill="CCEDFF"/>
          </w:tcPr>
          <w:p>
            <w:pPr>
              <w:pStyle w:val="TableParagraph"/>
              <w:tabs>
                <w:tab w:pos="933" w:val="left" w:leader="none"/>
              </w:tabs>
              <w:ind w:right="69"/>
              <w:jc w:val="right"/>
              <w:rPr>
                <w:sz w:val="18"/>
              </w:rPr>
            </w:pPr>
            <w:r>
              <w:rPr>
                <w:spacing w:val="-10"/>
                <w:sz w:val="18"/>
              </w:rPr>
              <w:t>$</w:t>
            </w:r>
            <w:r>
              <w:rPr>
                <w:sz w:val="18"/>
              </w:rPr>
              <w:tab/>
            </w:r>
            <w:r>
              <w:rPr>
                <w:spacing w:val="-2"/>
                <w:sz w:val="18"/>
              </w:rPr>
              <w:t>42,938</w:t>
            </w:r>
          </w:p>
        </w:tc>
      </w:tr>
      <w:tr>
        <w:trPr>
          <w:trHeight w:val="255" w:hRule="atLeast"/>
        </w:trPr>
        <w:tc>
          <w:tcPr>
            <w:tcW w:w="6723" w:type="dxa"/>
          </w:tcPr>
          <w:p>
            <w:pPr>
              <w:pStyle w:val="TableParagraph"/>
              <w:ind w:left="17"/>
              <w:rPr>
                <w:sz w:val="18"/>
              </w:rPr>
            </w:pPr>
            <w:r>
              <w:rPr>
                <w:sz w:val="18"/>
              </w:rPr>
              <w:t>Non-operating</w:t>
            </w:r>
            <w:r>
              <w:rPr>
                <w:spacing w:val="-1"/>
                <w:sz w:val="18"/>
              </w:rPr>
              <w:t> </w:t>
            </w:r>
            <w:r>
              <w:rPr>
                <w:sz w:val="18"/>
              </w:rPr>
              <w:t>items</w:t>
            </w:r>
            <w:r>
              <w:rPr>
                <w:spacing w:val="-1"/>
                <w:sz w:val="18"/>
              </w:rPr>
              <w:t> </w:t>
            </w:r>
            <w:r>
              <w:rPr>
                <w:sz w:val="18"/>
              </w:rPr>
              <w:t>from</w:t>
            </w:r>
            <w:r>
              <w:rPr>
                <w:spacing w:val="-1"/>
                <w:sz w:val="18"/>
              </w:rPr>
              <w:t> </w:t>
            </w:r>
            <w:r>
              <w:rPr>
                <w:sz w:val="18"/>
              </w:rPr>
              <w:t>unconsolidated</w:t>
            </w:r>
            <w:r>
              <w:rPr>
                <w:spacing w:val="-1"/>
                <w:sz w:val="18"/>
              </w:rPr>
              <w:t> </w:t>
            </w:r>
            <w:r>
              <w:rPr>
                <w:spacing w:val="-2"/>
                <w:sz w:val="18"/>
              </w:rPr>
              <w:t>affiliates</w:t>
            </w:r>
          </w:p>
        </w:tc>
        <w:tc>
          <w:tcPr>
            <w:tcW w:w="1576" w:type="dxa"/>
            <w:tcBorders>
              <w:bottom w:val="single" w:sz="6" w:space="0" w:color="000000"/>
            </w:tcBorders>
          </w:tcPr>
          <w:p>
            <w:pPr>
              <w:pStyle w:val="TableParagraph"/>
              <w:ind w:right="79"/>
              <w:jc w:val="right"/>
              <w:rPr>
                <w:sz w:val="18"/>
              </w:rPr>
            </w:pPr>
            <w:r>
              <w:rPr>
                <w:spacing w:val="-2"/>
                <w:sz w:val="18"/>
              </w:rPr>
              <w:t>(23,457)</w:t>
            </w:r>
          </w:p>
        </w:tc>
        <w:tc>
          <w:tcPr>
            <w:tcW w:w="1633" w:type="dxa"/>
            <w:tcBorders>
              <w:bottom w:val="single" w:sz="6" w:space="0" w:color="000000"/>
            </w:tcBorders>
          </w:tcPr>
          <w:p>
            <w:pPr>
              <w:pStyle w:val="TableParagraph"/>
              <w:ind w:right="78"/>
              <w:jc w:val="right"/>
              <w:rPr>
                <w:sz w:val="18"/>
              </w:rPr>
            </w:pPr>
            <w:r>
              <w:rPr>
                <w:spacing w:val="-2"/>
                <w:sz w:val="18"/>
              </w:rPr>
              <w:t>(83,243)</w:t>
            </w:r>
          </w:p>
        </w:tc>
        <w:tc>
          <w:tcPr>
            <w:tcW w:w="1582" w:type="dxa"/>
            <w:tcBorders>
              <w:bottom w:val="single" w:sz="6" w:space="0" w:color="000000"/>
            </w:tcBorders>
          </w:tcPr>
          <w:p>
            <w:pPr>
              <w:pStyle w:val="TableParagraph"/>
              <w:ind w:right="24"/>
              <w:jc w:val="right"/>
              <w:rPr>
                <w:sz w:val="18"/>
              </w:rPr>
            </w:pPr>
            <w:r>
              <w:rPr>
                <w:spacing w:val="-2"/>
                <w:sz w:val="18"/>
              </w:rPr>
              <w:t>(103,304)</w:t>
            </w:r>
          </w:p>
        </w:tc>
      </w:tr>
      <w:tr>
        <w:trPr>
          <w:trHeight w:val="273" w:hRule="atLeast"/>
        </w:trPr>
        <w:tc>
          <w:tcPr>
            <w:tcW w:w="6723" w:type="dxa"/>
            <w:shd w:val="clear" w:color="auto" w:fill="CCEDFF"/>
          </w:tcPr>
          <w:p>
            <w:pPr>
              <w:pStyle w:val="TableParagraph"/>
              <w:spacing w:before="0"/>
              <w:rPr>
                <w:sz w:val="16"/>
              </w:rPr>
            </w:pPr>
          </w:p>
        </w:tc>
        <w:tc>
          <w:tcPr>
            <w:tcW w:w="1576" w:type="dxa"/>
            <w:tcBorders>
              <w:top w:val="single" w:sz="6" w:space="0" w:color="000000"/>
            </w:tcBorders>
            <w:shd w:val="clear" w:color="auto" w:fill="CCEDFF"/>
          </w:tcPr>
          <w:p>
            <w:pPr>
              <w:pStyle w:val="TableParagraph"/>
              <w:tabs>
                <w:tab w:pos="769" w:val="left" w:leader="none"/>
              </w:tabs>
              <w:spacing w:before="20"/>
              <w:ind w:right="78"/>
              <w:jc w:val="right"/>
              <w:rPr>
                <w:sz w:val="18"/>
              </w:rPr>
            </w:pPr>
            <w:r>
              <w:rPr/>
              <mc:AlternateContent>
                <mc:Choice Requires="wps">
                  <w:drawing>
                    <wp:anchor distT="0" distB="0" distL="0" distR="0" allowOverlap="1" layoutInCell="1" locked="0" behindDoc="1" simplePos="0" relativeHeight="477723136">
                      <wp:simplePos x="0" y="0"/>
                      <wp:positionH relativeFrom="column">
                        <wp:posOffset>0</wp:posOffset>
                      </wp:positionH>
                      <wp:positionV relativeFrom="paragraph">
                        <wp:posOffset>170869</wp:posOffset>
                      </wp:positionV>
                      <wp:extent cx="969010" cy="34290"/>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969010" cy="34290"/>
                                <a:chExt cx="969010" cy="34290"/>
                              </a:xfrm>
                            </wpg:grpSpPr>
                            <wps:wsp>
                              <wps:cNvPr id="478" name="Graphic 478"/>
                              <wps:cNvSpPr/>
                              <wps:spPr>
                                <a:xfrm>
                                  <a:off x="-12" y="-3"/>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54289pt;width:76.3pt;height:2.7pt;mso-position-horizontal-relative:column;mso-position-vertical-relative:paragraph;z-index:-25593344" id="docshapegroup475" coordorigin="0,269" coordsize="1526,54">
                      <v:shape style="position:absolute;left:-1;top:269;width:1526;height:54" id="docshape476" coordorigin="0,269" coordsize="1526,54" path="m1525,310l1498,310,121,310,0,310,0,323,121,323,1498,323,1525,323,1525,310xm1525,269l1498,269,121,269,0,269,0,283,121,283,1498,283,1525,283,1525,269xe" filled="true" fillcolor="#000000" stroked="false">
                        <v:path arrowok="t"/>
                        <v:fill type="solid"/>
                      </v:shape>
                      <w10:wrap type="none"/>
                    </v:group>
                  </w:pict>
                </mc:Fallback>
              </mc:AlternateContent>
            </w:r>
            <w:r>
              <w:rPr>
                <w:spacing w:val="-10"/>
                <w:sz w:val="18"/>
              </w:rPr>
              <w:t>$</w:t>
            </w:r>
            <w:r>
              <w:rPr>
                <w:sz w:val="18"/>
              </w:rPr>
              <w:tab/>
            </w:r>
            <w:r>
              <w:rPr>
                <w:spacing w:val="-2"/>
                <w:sz w:val="18"/>
              </w:rPr>
              <w:t>(183,670)</w:t>
            </w:r>
          </w:p>
        </w:tc>
        <w:tc>
          <w:tcPr>
            <w:tcW w:w="1633" w:type="dxa"/>
            <w:tcBorders>
              <w:top w:val="single" w:sz="6" w:space="0" w:color="000000"/>
            </w:tcBorders>
            <w:shd w:val="clear" w:color="auto" w:fill="CCEDFF"/>
          </w:tcPr>
          <w:p>
            <w:pPr>
              <w:pStyle w:val="TableParagraph"/>
              <w:tabs>
                <w:tab w:pos="1021" w:val="left" w:leader="none"/>
              </w:tabs>
              <w:spacing w:before="20"/>
              <w:ind w:right="123"/>
              <w:jc w:val="right"/>
              <w:rPr>
                <w:sz w:val="18"/>
              </w:rPr>
            </w:pPr>
            <w:r>
              <w:rPr/>
              <mc:AlternateContent>
                <mc:Choice Requires="wps">
                  <w:drawing>
                    <wp:anchor distT="0" distB="0" distL="0" distR="0" allowOverlap="1" layoutInCell="1" locked="0" behindDoc="1" simplePos="0" relativeHeight="477723648">
                      <wp:simplePos x="0" y="0"/>
                      <wp:positionH relativeFrom="column">
                        <wp:posOffset>36377</wp:posOffset>
                      </wp:positionH>
                      <wp:positionV relativeFrom="paragraph">
                        <wp:posOffset>170869</wp:posOffset>
                      </wp:positionV>
                      <wp:extent cx="969010" cy="34290"/>
                      <wp:effectExtent l="0" t="0" r="0" b="0"/>
                      <wp:wrapNone/>
                      <wp:docPr id="479" name="Group 479"/>
                      <wp:cNvGraphicFramePr>
                        <a:graphicFrameLocks/>
                      </wp:cNvGraphicFramePr>
                      <a:graphic>
                        <a:graphicData uri="http://schemas.microsoft.com/office/word/2010/wordprocessingGroup">
                          <wpg:wgp>
                            <wpg:cNvPr id="479" name="Group 479"/>
                            <wpg:cNvGrpSpPr/>
                            <wpg:grpSpPr>
                              <a:xfrm>
                                <a:off x="0" y="0"/>
                                <a:ext cx="969010" cy="34290"/>
                                <a:chExt cx="969010" cy="34290"/>
                              </a:xfrm>
                            </wpg:grpSpPr>
                            <wps:wsp>
                              <wps:cNvPr id="480" name="Graphic 480"/>
                              <wps:cNvSpPr/>
                              <wps:spPr>
                                <a:xfrm>
                                  <a:off x="-12" y="-3"/>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64402pt;margin-top:13.454289pt;width:76.3pt;height:2.7pt;mso-position-horizontal-relative:column;mso-position-vertical-relative:paragraph;z-index:-25592832" id="docshapegroup477" coordorigin="57,269" coordsize="1526,54">
                      <v:shape style="position:absolute;left:57;top:269;width:1526;height:54" id="docshape478" coordorigin="57,269" coordsize="1526,54" path="m1583,310l1556,310,179,310,57,310,57,323,179,323,1556,323,1583,323,1583,310xm1583,269l1556,269,179,269,57,269,57,283,179,283,1556,283,1583,283,1583,269xe" filled="true" fillcolor="#000000" stroked="false">
                        <v:path arrowok="t"/>
                        <v:fill type="solid"/>
                      </v:shape>
                      <w10:wrap type="none"/>
                    </v:group>
                  </w:pict>
                </mc:Fallback>
              </mc:AlternateContent>
            </w:r>
            <w:r>
              <w:rPr>
                <w:spacing w:val="-10"/>
                <w:sz w:val="18"/>
              </w:rPr>
              <w:t>$</w:t>
            </w:r>
            <w:r>
              <w:rPr>
                <w:sz w:val="18"/>
              </w:rPr>
              <w:tab/>
            </w:r>
            <w:r>
              <w:rPr>
                <w:spacing w:val="-2"/>
                <w:sz w:val="18"/>
              </w:rPr>
              <w:t>1,580</w:t>
            </w:r>
          </w:p>
        </w:tc>
        <w:tc>
          <w:tcPr>
            <w:tcW w:w="1582" w:type="dxa"/>
            <w:tcBorders>
              <w:top w:val="single" w:sz="6" w:space="0" w:color="000000"/>
              <w:bottom w:val="double" w:sz="6" w:space="0" w:color="000000"/>
            </w:tcBorders>
            <w:shd w:val="clear" w:color="auto" w:fill="CCEDFF"/>
          </w:tcPr>
          <w:p>
            <w:pPr>
              <w:pStyle w:val="TableParagraph"/>
              <w:tabs>
                <w:tab w:pos="858" w:val="left" w:leader="none"/>
              </w:tabs>
              <w:spacing w:before="20"/>
              <w:ind w:right="24"/>
              <w:jc w:val="right"/>
              <w:rPr>
                <w:sz w:val="18"/>
              </w:rPr>
            </w:pPr>
            <w:r>
              <w:rPr>
                <w:spacing w:val="-10"/>
                <w:sz w:val="18"/>
              </w:rPr>
              <w:t>$</w:t>
            </w:r>
            <w:r>
              <w:rPr>
                <w:sz w:val="18"/>
              </w:rPr>
              <w:tab/>
            </w:r>
            <w:r>
              <w:rPr>
                <w:spacing w:val="-2"/>
                <w:sz w:val="18"/>
              </w:rPr>
              <w:t>(60,366)</w:t>
            </w:r>
          </w:p>
        </w:tc>
      </w:tr>
    </w:tbl>
    <w:p>
      <w:pPr>
        <w:pStyle w:val="BodyText"/>
        <w:spacing w:before="84"/>
        <w:rPr>
          <w:b/>
        </w:rPr>
      </w:pPr>
    </w:p>
    <w:p>
      <w:pPr>
        <w:pStyle w:val="BodyText"/>
        <w:ind w:right="1451"/>
        <w:jc w:val="right"/>
      </w:pPr>
      <w:r>
        <w:rPr/>
        <w:t>The</w:t>
      </w:r>
      <w:r>
        <w:rPr>
          <w:spacing w:val="-2"/>
        </w:rPr>
        <w:t> </w:t>
      </w:r>
      <w:r>
        <w:rPr/>
        <w:t>following</w:t>
      </w:r>
      <w:r>
        <w:rPr>
          <w:spacing w:val="-2"/>
        </w:rPr>
        <w:t> </w:t>
      </w:r>
      <w:r>
        <w:rPr/>
        <w:t>table</w:t>
      </w:r>
      <w:r>
        <w:rPr>
          <w:spacing w:val="-1"/>
        </w:rPr>
        <w:t> </w:t>
      </w:r>
      <w:r>
        <w:rPr/>
        <w:t>summarizes</w:t>
      </w:r>
      <w:r>
        <w:rPr>
          <w:spacing w:val="-2"/>
        </w:rPr>
        <w:t> </w:t>
      </w:r>
      <w:r>
        <w:rPr/>
        <w:t>information</w:t>
      </w:r>
      <w:r>
        <w:rPr>
          <w:spacing w:val="-2"/>
        </w:rPr>
        <w:t> </w:t>
      </w:r>
      <w:r>
        <w:rPr/>
        <w:t>related</w:t>
      </w:r>
      <w:r>
        <w:rPr>
          <w:spacing w:val="-1"/>
        </w:rPr>
        <w:t> </w:t>
      </w:r>
      <w:r>
        <w:rPr/>
        <w:t>to</w:t>
      </w:r>
      <w:r>
        <w:rPr>
          <w:spacing w:val="-2"/>
        </w:rPr>
        <w:t> </w:t>
      </w:r>
      <w:r>
        <w:rPr/>
        <w:t>the</w:t>
      </w:r>
      <w:r>
        <w:rPr>
          <w:spacing w:val="-1"/>
        </w:rPr>
        <w:t> </w:t>
      </w:r>
      <w:r>
        <w:rPr/>
        <w:t>Company’s</w:t>
      </w:r>
      <w:r>
        <w:rPr>
          <w:spacing w:val="-2"/>
        </w:rPr>
        <w:t> </w:t>
      </w:r>
      <w:r>
        <w:rPr/>
        <w:t>share</w:t>
      </w:r>
      <w:r>
        <w:rPr>
          <w:spacing w:val="-2"/>
        </w:rPr>
        <w:t> </w:t>
      </w:r>
      <w:r>
        <w:rPr/>
        <w:t>of</w:t>
      </w:r>
      <w:r>
        <w:rPr>
          <w:spacing w:val="-1"/>
        </w:rPr>
        <w:t> </w:t>
      </w:r>
      <w:r>
        <w:rPr/>
        <w:t>operating</w:t>
      </w:r>
      <w:r>
        <w:rPr>
          <w:spacing w:val="-2"/>
        </w:rPr>
        <w:t> </w:t>
      </w:r>
      <w:r>
        <w:rPr/>
        <w:t>income</w:t>
      </w:r>
      <w:r>
        <w:rPr>
          <w:spacing w:val="-2"/>
        </w:rPr>
        <w:t> </w:t>
      </w:r>
      <w:r>
        <w:rPr/>
        <w:t>(loss)</w:t>
      </w:r>
      <w:r>
        <w:rPr>
          <w:spacing w:val="-1"/>
        </w:rPr>
        <w:t> </w:t>
      </w:r>
      <w:r>
        <w:rPr/>
        <w:t>from</w:t>
      </w:r>
      <w:r>
        <w:rPr>
          <w:spacing w:val="-2"/>
        </w:rPr>
        <w:t> </w:t>
      </w:r>
      <w:r>
        <w:rPr/>
        <w:t>unconsolidated</w:t>
      </w:r>
      <w:r>
        <w:rPr>
          <w:spacing w:val="-1"/>
        </w:rPr>
        <w:t> </w:t>
      </w:r>
      <w:r>
        <w:rPr>
          <w:spacing w:val="-2"/>
        </w:rPr>
        <w:t>affiliates:</w:t>
      </w:r>
    </w:p>
    <w:p>
      <w:pPr>
        <w:pStyle w:val="Heading5"/>
        <w:spacing w:before="63" w:after="36"/>
        <w:ind w:left="0" w:right="1527"/>
        <w:jc w:val="right"/>
      </w:pPr>
      <w:r>
        <w:rPr/>
        <w:t>Year</w:t>
      </w:r>
      <w:r>
        <w:rPr>
          <w:spacing w:val="-13"/>
        </w:rPr>
        <w:t> </w:t>
      </w:r>
      <w:r>
        <w:rPr/>
        <w:t>Ended</w:t>
      </w:r>
      <w:r>
        <w:rPr>
          <w:spacing w:val="-8"/>
        </w:rPr>
        <w:t> </w:t>
      </w:r>
      <w:r>
        <w:rPr/>
        <w:t>December</w:t>
      </w:r>
      <w:r>
        <w:rPr>
          <w:spacing w:val="-10"/>
        </w:rPr>
        <w:t> </w:t>
      </w:r>
      <w:r>
        <w:rPr>
          <w:spacing w:val="-5"/>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9"/>
        <w:gridCol w:w="1578"/>
        <w:gridCol w:w="1636"/>
        <w:gridCol w:w="1592"/>
      </w:tblGrid>
      <w:tr>
        <w:trPr>
          <w:trHeight w:val="254" w:hRule="atLeast"/>
        </w:trPr>
        <w:tc>
          <w:tcPr>
            <w:tcW w:w="6709" w:type="dxa"/>
            <w:vMerge w:val="restart"/>
          </w:tcPr>
          <w:p>
            <w:pPr>
              <w:pStyle w:val="TableParagraph"/>
              <w:spacing w:before="0"/>
              <w:rPr>
                <w:sz w:val="16"/>
              </w:rPr>
            </w:pPr>
          </w:p>
        </w:tc>
        <w:tc>
          <w:tcPr>
            <w:tcW w:w="1578" w:type="dxa"/>
            <w:tcBorders>
              <w:top w:val="single" w:sz="6" w:space="0" w:color="000000"/>
              <w:bottom w:val="single" w:sz="6" w:space="0" w:color="000000"/>
            </w:tcBorders>
          </w:tcPr>
          <w:p>
            <w:pPr>
              <w:pStyle w:val="TableParagraph"/>
              <w:spacing w:before="20"/>
              <w:ind w:right="47"/>
              <w:jc w:val="center"/>
              <w:rPr>
                <w:b/>
                <w:sz w:val="18"/>
              </w:rPr>
            </w:pPr>
            <w:r>
              <w:rPr>
                <w:b/>
                <w:spacing w:val="-4"/>
                <w:sz w:val="18"/>
              </w:rPr>
              <w:t>2022</w:t>
            </w:r>
          </w:p>
        </w:tc>
        <w:tc>
          <w:tcPr>
            <w:tcW w:w="1636" w:type="dxa"/>
            <w:tcBorders>
              <w:top w:val="single" w:sz="6" w:space="0" w:color="000000"/>
              <w:bottom w:val="single" w:sz="6" w:space="0" w:color="000000"/>
            </w:tcBorders>
          </w:tcPr>
          <w:p>
            <w:pPr>
              <w:pStyle w:val="TableParagraph"/>
              <w:spacing w:before="20"/>
              <w:ind w:left="9"/>
              <w:jc w:val="center"/>
              <w:rPr>
                <w:b/>
                <w:sz w:val="18"/>
              </w:rPr>
            </w:pPr>
            <w:r>
              <w:rPr>
                <w:b/>
                <w:spacing w:val="-4"/>
                <w:sz w:val="18"/>
              </w:rPr>
              <w:t>2021</w:t>
            </w:r>
          </w:p>
        </w:tc>
        <w:tc>
          <w:tcPr>
            <w:tcW w:w="1592" w:type="dxa"/>
            <w:tcBorders>
              <w:top w:val="single" w:sz="6" w:space="0" w:color="000000"/>
              <w:bottom w:val="single" w:sz="6" w:space="0" w:color="000000"/>
            </w:tcBorders>
          </w:tcPr>
          <w:p>
            <w:pPr>
              <w:pStyle w:val="TableParagraph"/>
              <w:spacing w:before="20"/>
              <w:ind w:left="54"/>
              <w:jc w:val="center"/>
              <w:rPr>
                <w:b/>
                <w:sz w:val="18"/>
              </w:rPr>
            </w:pPr>
            <w:r>
              <w:rPr>
                <w:b/>
                <w:spacing w:val="-4"/>
                <w:sz w:val="18"/>
              </w:rPr>
              <w:t>2020</w:t>
            </w:r>
          </w:p>
        </w:tc>
      </w:tr>
      <w:tr>
        <w:trPr>
          <w:trHeight w:val="215" w:hRule="atLeast"/>
        </w:trPr>
        <w:tc>
          <w:tcPr>
            <w:tcW w:w="6709" w:type="dxa"/>
            <w:vMerge/>
            <w:tcBorders>
              <w:top w:val="nil"/>
            </w:tcBorders>
          </w:tcPr>
          <w:p>
            <w:pPr>
              <w:rPr>
                <w:sz w:val="2"/>
                <w:szCs w:val="2"/>
              </w:rPr>
            </w:pPr>
          </w:p>
        </w:tc>
        <w:tc>
          <w:tcPr>
            <w:tcW w:w="1578" w:type="dxa"/>
            <w:tcBorders>
              <w:top w:val="single" w:sz="6" w:space="0" w:color="000000"/>
            </w:tcBorders>
          </w:tcPr>
          <w:p>
            <w:pPr>
              <w:pStyle w:val="TableParagraph"/>
              <w:spacing w:before="0"/>
              <w:rPr>
                <w:sz w:val="14"/>
              </w:rPr>
            </w:pPr>
          </w:p>
        </w:tc>
        <w:tc>
          <w:tcPr>
            <w:tcW w:w="1636" w:type="dxa"/>
            <w:tcBorders>
              <w:top w:val="single" w:sz="6" w:space="0" w:color="000000"/>
            </w:tcBorders>
          </w:tcPr>
          <w:p>
            <w:pPr>
              <w:pStyle w:val="TableParagraph"/>
              <w:spacing w:before="17"/>
              <w:ind w:left="385"/>
              <w:rPr>
                <w:b/>
                <w:i/>
                <w:sz w:val="14"/>
              </w:rPr>
            </w:pPr>
            <w:r>
              <w:rPr>
                <w:b/>
                <w:i/>
                <w:sz w:val="14"/>
              </w:rPr>
              <w:t>(In</w:t>
            </w:r>
            <w:r>
              <w:rPr>
                <w:b/>
                <w:i/>
                <w:spacing w:val="3"/>
                <w:sz w:val="14"/>
              </w:rPr>
              <w:t> </w:t>
            </w:r>
            <w:r>
              <w:rPr>
                <w:b/>
                <w:i/>
                <w:spacing w:val="-2"/>
                <w:sz w:val="14"/>
              </w:rPr>
              <w:t>thousands)</w:t>
            </w:r>
          </w:p>
        </w:tc>
        <w:tc>
          <w:tcPr>
            <w:tcW w:w="1592" w:type="dxa"/>
            <w:tcBorders>
              <w:top w:val="single" w:sz="6" w:space="0" w:color="000000"/>
            </w:tcBorders>
          </w:tcPr>
          <w:p>
            <w:pPr>
              <w:pStyle w:val="TableParagraph"/>
              <w:spacing w:before="0"/>
              <w:rPr>
                <w:sz w:val="14"/>
              </w:rPr>
            </w:pPr>
          </w:p>
        </w:tc>
      </w:tr>
      <w:tr>
        <w:trPr>
          <w:trHeight w:val="256" w:hRule="atLeast"/>
        </w:trPr>
        <w:tc>
          <w:tcPr>
            <w:tcW w:w="6709" w:type="dxa"/>
            <w:shd w:val="clear" w:color="auto" w:fill="CCEDFF"/>
          </w:tcPr>
          <w:p>
            <w:pPr>
              <w:pStyle w:val="TableParagraph"/>
              <w:ind w:left="26"/>
              <w:rPr>
                <w:sz w:val="18"/>
              </w:rPr>
            </w:pPr>
            <w:r>
              <w:rPr>
                <w:sz w:val="18"/>
              </w:rPr>
              <w:t>CityCenter</w:t>
            </w:r>
            <w:r>
              <w:rPr>
                <w:spacing w:val="-1"/>
                <w:sz w:val="18"/>
              </w:rPr>
              <w:t> </w:t>
            </w:r>
            <w:r>
              <w:rPr>
                <w:sz w:val="18"/>
              </w:rPr>
              <w:t>(through</w:t>
            </w:r>
            <w:r>
              <w:rPr>
                <w:spacing w:val="-1"/>
                <w:sz w:val="18"/>
              </w:rPr>
              <w:t> </w:t>
            </w:r>
            <w:r>
              <w:rPr>
                <w:sz w:val="18"/>
              </w:rPr>
              <w:t>September</w:t>
            </w:r>
            <w:r>
              <w:rPr>
                <w:spacing w:val="-1"/>
                <w:sz w:val="18"/>
              </w:rPr>
              <w:t> </w:t>
            </w:r>
            <w:r>
              <w:rPr>
                <w:sz w:val="18"/>
              </w:rPr>
              <w:t>26,</w:t>
            </w:r>
            <w:r>
              <w:rPr>
                <w:spacing w:val="-1"/>
                <w:sz w:val="18"/>
              </w:rPr>
              <w:t> </w:t>
            </w:r>
            <w:r>
              <w:rPr>
                <w:spacing w:val="-2"/>
                <w:sz w:val="18"/>
              </w:rPr>
              <w:t>2021)</w:t>
            </w:r>
          </w:p>
        </w:tc>
        <w:tc>
          <w:tcPr>
            <w:tcW w:w="1578" w:type="dxa"/>
            <w:shd w:val="clear" w:color="auto" w:fill="CCEDFF"/>
          </w:tcPr>
          <w:p>
            <w:pPr>
              <w:pStyle w:val="TableParagraph"/>
              <w:tabs>
                <w:tab w:pos="1249" w:val="left" w:leader="none"/>
              </w:tabs>
              <w:ind w:right="123"/>
              <w:jc w:val="right"/>
              <w:rPr>
                <w:sz w:val="18"/>
              </w:rPr>
            </w:pPr>
            <w:r>
              <w:rPr>
                <w:spacing w:val="-10"/>
                <w:sz w:val="18"/>
              </w:rPr>
              <w:t>$</w:t>
            </w:r>
            <w:r>
              <w:rPr>
                <w:sz w:val="18"/>
              </w:rPr>
              <w:tab/>
            </w:r>
            <w:r>
              <w:rPr>
                <w:spacing w:val="-10"/>
                <w:sz w:val="18"/>
              </w:rPr>
              <w:t>—</w:t>
            </w:r>
          </w:p>
        </w:tc>
        <w:tc>
          <w:tcPr>
            <w:tcW w:w="1636" w:type="dxa"/>
            <w:shd w:val="clear" w:color="auto" w:fill="CCEDFF"/>
          </w:tcPr>
          <w:p>
            <w:pPr>
              <w:pStyle w:val="TableParagraph"/>
              <w:tabs>
                <w:tab w:pos="843" w:val="left" w:leader="none"/>
              </w:tabs>
              <w:ind w:right="123"/>
              <w:jc w:val="right"/>
              <w:rPr>
                <w:sz w:val="18"/>
              </w:rPr>
            </w:pPr>
            <w:r>
              <w:rPr>
                <w:spacing w:val="-10"/>
                <w:sz w:val="18"/>
              </w:rPr>
              <w:t>$</w:t>
            </w:r>
            <w:r>
              <w:rPr>
                <w:sz w:val="18"/>
              </w:rPr>
              <w:tab/>
            </w:r>
            <w:r>
              <w:rPr>
                <w:spacing w:val="-2"/>
                <w:sz w:val="18"/>
              </w:rPr>
              <w:t>128,127</w:t>
            </w:r>
          </w:p>
        </w:tc>
        <w:tc>
          <w:tcPr>
            <w:tcW w:w="1592" w:type="dxa"/>
            <w:shd w:val="clear" w:color="auto" w:fill="CCEDFF"/>
          </w:tcPr>
          <w:p>
            <w:pPr>
              <w:pStyle w:val="TableParagraph"/>
              <w:tabs>
                <w:tab w:pos="858" w:val="left" w:leader="none"/>
              </w:tabs>
              <w:ind w:right="34"/>
              <w:jc w:val="right"/>
              <w:rPr>
                <w:sz w:val="18"/>
              </w:rPr>
            </w:pPr>
            <w:r>
              <w:rPr>
                <w:spacing w:val="-10"/>
                <w:sz w:val="18"/>
              </w:rPr>
              <w:t>$</w:t>
            </w:r>
            <w:r>
              <w:rPr>
                <w:sz w:val="18"/>
              </w:rPr>
              <w:tab/>
            </w:r>
            <w:r>
              <w:rPr>
                <w:spacing w:val="-2"/>
                <w:sz w:val="18"/>
              </w:rPr>
              <w:t>(29,753)</w:t>
            </w:r>
          </w:p>
        </w:tc>
      </w:tr>
      <w:tr>
        <w:trPr>
          <w:trHeight w:val="256" w:hRule="atLeast"/>
        </w:trPr>
        <w:tc>
          <w:tcPr>
            <w:tcW w:w="6709" w:type="dxa"/>
          </w:tcPr>
          <w:p>
            <w:pPr>
              <w:pStyle w:val="TableParagraph"/>
              <w:ind w:left="26"/>
              <w:rPr>
                <w:sz w:val="18"/>
              </w:rPr>
            </w:pPr>
            <w:r>
              <w:rPr>
                <w:sz w:val="18"/>
              </w:rPr>
              <w:t>VICI</w:t>
            </w:r>
            <w:r>
              <w:rPr>
                <w:spacing w:val="-9"/>
                <w:sz w:val="18"/>
              </w:rPr>
              <w:t> </w:t>
            </w:r>
            <w:r>
              <w:rPr>
                <w:sz w:val="18"/>
              </w:rPr>
              <w:t>BREIT</w:t>
            </w:r>
            <w:r>
              <w:rPr>
                <w:spacing w:val="-10"/>
                <w:sz w:val="18"/>
              </w:rPr>
              <w:t> </w:t>
            </w:r>
            <w:r>
              <w:rPr>
                <w:sz w:val="18"/>
              </w:rPr>
              <w:t>Venture</w:t>
            </w:r>
            <w:r>
              <w:rPr>
                <w:spacing w:val="-4"/>
                <w:sz w:val="18"/>
              </w:rPr>
              <w:t> </w:t>
            </w:r>
            <w:r>
              <w:rPr>
                <w:sz w:val="18"/>
              </w:rPr>
              <w:t>(through</w:t>
            </w:r>
            <w:r>
              <w:rPr>
                <w:spacing w:val="-11"/>
                <w:sz w:val="18"/>
              </w:rPr>
              <w:t> </w:t>
            </w:r>
            <w:r>
              <w:rPr>
                <w:sz w:val="18"/>
              </w:rPr>
              <w:t>April</w:t>
            </w:r>
            <w:r>
              <w:rPr>
                <w:spacing w:val="-5"/>
                <w:sz w:val="18"/>
              </w:rPr>
              <w:t> </w:t>
            </w:r>
            <w:r>
              <w:rPr>
                <w:sz w:val="18"/>
              </w:rPr>
              <w:t>29,</w:t>
            </w:r>
            <w:r>
              <w:rPr>
                <w:spacing w:val="-4"/>
                <w:sz w:val="18"/>
              </w:rPr>
              <w:t> </w:t>
            </w:r>
            <w:r>
              <w:rPr>
                <w:spacing w:val="-2"/>
                <w:sz w:val="18"/>
              </w:rPr>
              <w:t>2022)</w:t>
            </w:r>
          </w:p>
        </w:tc>
        <w:tc>
          <w:tcPr>
            <w:tcW w:w="1578" w:type="dxa"/>
          </w:tcPr>
          <w:p>
            <w:pPr>
              <w:pStyle w:val="TableParagraph"/>
              <w:ind w:right="123"/>
              <w:jc w:val="right"/>
              <w:rPr>
                <w:sz w:val="18"/>
              </w:rPr>
            </w:pPr>
            <w:r>
              <w:rPr>
                <w:spacing w:val="-2"/>
                <w:sz w:val="18"/>
              </w:rPr>
              <w:t>51,051</w:t>
            </w:r>
          </w:p>
        </w:tc>
        <w:tc>
          <w:tcPr>
            <w:tcW w:w="1636" w:type="dxa"/>
          </w:tcPr>
          <w:p>
            <w:pPr>
              <w:pStyle w:val="TableParagraph"/>
              <w:ind w:right="123"/>
              <w:jc w:val="right"/>
              <w:rPr>
                <w:sz w:val="18"/>
              </w:rPr>
            </w:pPr>
            <w:r>
              <w:rPr>
                <w:spacing w:val="-2"/>
                <w:sz w:val="18"/>
              </w:rPr>
              <w:t>155,817</w:t>
            </w:r>
          </w:p>
        </w:tc>
        <w:tc>
          <w:tcPr>
            <w:tcW w:w="1592" w:type="dxa"/>
          </w:tcPr>
          <w:p>
            <w:pPr>
              <w:pStyle w:val="TableParagraph"/>
              <w:ind w:right="79"/>
              <w:jc w:val="right"/>
              <w:rPr>
                <w:sz w:val="18"/>
              </w:rPr>
            </w:pPr>
            <w:r>
              <w:rPr>
                <w:spacing w:val="-2"/>
                <w:sz w:val="18"/>
              </w:rPr>
              <w:t>136,755</w:t>
            </w:r>
          </w:p>
        </w:tc>
      </w:tr>
      <w:tr>
        <w:trPr>
          <w:trHeight w:val="269" w:hRule="atLeast"/>
        </w:trPr>
        <w:tc>
          <w:tcPr>
            <w:tcW w:w="6709" w:type="dxa"/>
            <w:shd w:val="clear" w:color="auto" w:fill="CCEDFF"/>
          </w:tcPr>
          <w:p>
            <w:pPr>
              <w:pStyle w:val="TableParagraph"/>
              <w:ind w:left="26"/>
              <w:rPr>
                <w:sz w:val="18"/>
              </w:rPr>
            </w:pPr>
            <w:r>
              <w:rPr>
                <w:spacing w:val="-2"/>
                <w:sz w:val="18"/>
              </w:rPr>
              <w:t>BetMGM</w:t>
            </w:r>
          </w:p>
        </w:tc>
        <w:tc>
          <w:tcPr>
            <w:tcW w:w="1578" w:type="dxa"/>
            <w:shd w:val="clear" w:color="auto" w:fill="CCEDFF"/>
          </w:tcPr>
          <w:p>
            <w:pPr>
              <w:pStyle w:val="TableParagraph"/>
              <w:ind w:right="78"/>
              <w:jc w:val="right"/>
              <w:rPr>
                <w:sz w:val="18"/>
              </w:rPr>
            </w:pPr>
            <w:r>
              <w:rPr>
                <w:spacing w:val="-2"/>
                <w:sz w:val="18"/>
              </w:rPr>
              <w:t>(234,464)</w:t>
            </w:r>
          </w:p>
        </w:tc>
        <w:tc>
          <w:tcPr>
            <w:tcW w:w="1636" w:type="dxa"/>
            <w:shd w:val="clear" w:color="auto" w:fill="CCEDFF"/>
          </w:tcPr>
          <w:p>
            <w:pPr>
              <w:pStyle w:val="TableParagraph"/>
              <w:ind w:right="78"/>
              <w:jc w:val="right"/>
              <w:rPr>
                <w:sz w:val="18"/>
              </w:rPr>
            </w:pPr>
            <w:r>
              <w:rPr>
                <w:spacing w:val="-2"/>
                <w:sz w:val="18"/>
              </w:rPr>
              <w:t>(211,182)</w:t>
            </w:r>
          </w:p>
        </w:tc>
        <w:tc>
          <w:tcPr>
            <w:tcW w:w="1592" w:type="dxa"/>
            <w:shd w:val="clear" w:color="auto" w:fill="CCEDFF"/>
          </w:tcPr>
          <w:p>
            <w:pPr>
              <w:pStyle w:val="TableParagraph"/>
              <w:ind w:right="34"/>
              <w:jc w:val="right"/>
              <w:rPr>
                <w:sz w:val="18"/>
              </w:rPr>
            </w:pPr>
            <w:r>
              <w:rPr>
                <w:spacing w:val="-2"/>
                <w:sz w:val="18"/>
              </w:rPr>
              <w:t>(61,663)</w:t>
            </w:r>
          </w:p>
        </w:tc>
      </w:tr>
      <w:tr>
        <w:trPr>
          <w:trHeight w:val="255" w:hRule="atLeast"/>
        </w:trPr>
        <w:tc>
          <w:tcPr>
            <w:tcW w:w="6709" w:type="dxa"/>
          </w:tcPr>
          <w:p>
            <w:pPr>
              <w:pStyle w:val="TableParagraph"/>
              <w:ind w:left="26"/>
              <w:rPr>
                <w:sz w:val="18"/>
              </w:rPr>
            </w:pPr>
            <w:r>
              <w:rPr>
                <w:spacing w:val="-2"/>
                <w:sz w:val="18"/>
              </w:rPr>
              <w:t>Other</w:t>
            </w:r>
          </w:p>
        </w:tc>
        <w:tc>
          <w:tcPr>
            <w:tcW w:w="1578" w:type="dxa"/>
            <w:tcBorders>
              <w:bottom w:val="single" w:sz="6" w:space="0" w:color="000000"/>
            </w:tcBorders>
          </w:tcPr>
          <w:p>
            <w:pPr>
              <w:pStyle w:val="TableParagraph"/>
              <w:ind w:right="123"/>
              <w:jc w:val="right"/>
              <w:rPr>
                <w:sz w:val="18"/>
              </w:rPr>
            </w:pPr>
            <w:r>
              <w:rPr>
                <w:spacing w:val="-2"/>
                <w:sz w:val="18"/>
              </w:rPr>
              <w:t>23,200</w:t>
            </w:r>
          </w:p>
        </w:tc>
        <w:tc>
          <w:tcPr>
            <w:tcW w:w="1636" w:type="dxa"/>
            <w:tcBorders>
              <w:bottom w:val="single" w:sz="6" w:space="0" w:color="000000"/>
            </w:tcBorders>
          </w:tcPr>
          <w:p>
            <w:pPr>
              <w:pStyle w:val="TableParagraph"/>
              <w:ind w:right="123"/>
              <w:jc w:val="right"/>
              <w:rPr>
                <w:sz w:val="18"/>
              </w:rPr>
            </w:pPr>
            <w:r>
              <w:rPr>
                <w:spacing w:val="-2"/>
                <w:sz w:val="18"/>
              </w:rPr>
              <w:t>12,061</w:t>
            </w:r>
          </w:p>
        </w:tc>
        <w:tc>
          <w:tcPr>
            <w:tcW w:w="1592" w:type="dxa"/>
            <w:tcBorders>
              <w:bottom w:val="single" w:sz="6" w:space="0" w:color="000000"/>
            </w:tcBorders>
          </w:tcPr>
          <w:p>
            <w:pPr>
              <w:pStyle w:val="TableParagraph"/>
              <w:ind w:right="34"/>
              <w:jc w:val="right"/>
              <w:rPr>
                <w:sz w:val="18"/>
              </w:rPr>
            </w:pPr>
            <w:r>
              <w:rPr>
                <w:spacing w:val="-2"/>
                <w:sz w:val="18"/>
              </w:rPr>
              <w:t>(2,401)</w:t>
            </w:r>
          </w:p>
        </w:tc>
      </w:tr>
      <w:tr>
        <w:trPr>
          <w:trHeight w:val="260" w:hRule="atLeast"/>
        </w:trPr>
        <w:tc>
          <w:tcPr>
            <w:tcW w:w="6709" w:type="dxa"/>
            <w:shd w:val="clear" w:color="auto" w:fill="CCEDFF"/>
          </w:tcPr>
          <w:p>
            <w:pPr>
              <w:pStyle w:val="TableParagraph"/>
              <w:spacing w:before="0"/>
              <w:rPr>
                <w:sz w:val="16"/>
              </w:rPr>
            </w:pPr>
          </w:p>
        </w:tc>
        <w:tc>
          <w:tcPr>
            <w:tcW w:w="1578" w:type="dxa"/>
            <w:tcBorders>
              <w:top w:val="single" w:sz="6" w:space="0" w:color="000000"/>
            </w:tcBorders>
            <w:shd w:val="clear" w:color="auto" w:fill="CCEDFF"/>
          </w:tcPr>
          <w:p>
            <w:pPr>
              <w:pStyle w:val="TableParagraph"/>
              <w:tabs>
                <w:tab w:pos="770" w:val="left" w:leader="none"/>
              </w:tabs>
              <w:spacing w:before="20"/>
              <w:ind w:right="78"/>
              <w:jc w:val="right"/>
              <w:rPr>
                <w:sz w:val="18"/>
              </w:rPr>
            </w:pPr>
            <w:r>
              <w:rPr/>
              <mc:AlternateContent>
                <mc:Choice Requires="wps">
                  <w:drawing>
                    <wp:anchor distT="0" distB="0" distL="0" distR="0" allowOverlap="1" layoutInCell="1" locked="0" behindDoc="1" simplePos="0" relativeHeight="477724160">
                      <wp:simplePos x="0" y="0"/>
                      <wp:positionH relativeFrom="column">
                        <wp:posOffset>0</wp:posOffset>
                      </wp:positionH>
                      <wp:positionV relativeFrom="paragraph">
                        <wp:posOffset>162297</wp:posOffset>
                      </wp:positionV>
                      <wp:extent cx="969010" cy="34290"/>
                      <wp:effectExtent l="0" t="0" r="0" b="0"/>
                      <wp:wrapNone/>
                      <wp:docPr id="481" name="Group 481"/>
                      <wp:cNvGraphicFramePr>
                        <a:graphicFrameLocks/>
                      </wp:cNvGraphicFramePr>
                      <a:graphic>
                        <a:graphicData uri="http://schemas.microsoft.com/office/word/2010/wordprocessingGroup">
                          <wpg:wgp>
                            <wpg:cNvPr id="481" name="Group 481"/>
                            <wpg:cNvGrpSpPr/>
                            <wpg:grpSpPr>
                              <a:xfrm>
                                <a:off x="0" y="0"/>
                                <a:ext cx="969010" cy="34290"/>
                                <a:chExt cx="969010" cy="34290"/>
                              </a:xfrm>
                            </wpg:grpSpPr>
                            <wps:wsp>
                              <wps:cNvPr id="482" name="Graphic 482"/>
                              <wps:cNvSpPr/>
                              <wps:spPr>
                                <a:xfrm>
                                  <a:off x="-12" y="-3"/>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79316pt;width:76.3pt;height:2.7pt;mso-position-horizontal-relative:column;mso-position-vertical-relative:paragraph;z-index:-25592320" id="docshapegroup479" coordorigin="0,256" coordsize="1526,54">
                      <v:shape style="position:absolute;left:-1;top:255;width:1526;height:54" id="docshape480" coordorigin="0,256" coordsize="1526,54" path="m1525,296l1498,296,121,296,0,296,0,310,121,310,1498,310,1525,310,1525,296xm1525,256l1498,256,121,256,0,256,0,269,121,269,1498,269,1525,269,1525,256xe" filled="true" fillcolor="#000000" stroked="false">
                        <v:path arrowok="t"/>
                        <v:fill type="solid"/>
                      </v:shape>
                      <w10:wrap type="none"/>
                    </v:group>
                  </w:pict>
                </mc:Fallback>
              </mc:AlternateContent>
            </w:r>
            <w:r>
              <w:rPr>
                <w:spacing w:val="-10"/>
                <w:sz w:val="18"/>
              </w:rPr>
              <w:t>$</w:t>
            </w:r>
            <w:r>
              <w:rPr>
                <w:sz w:val="18"/>
              </w:rPr>
              <w:tab/>
            </w:r>
            <w:r>
              <w:rPr>
                <w:spacing w:val="-2"/>
                <w:sz w:val="18"/>
              </w:rPr>
              <w:t>(160,213)</w:t>
            </w:r>
          </w:p>
        </w:tc>
        <w:tc>
          <w:tcPr>
            <w:tcW w:w="1636" w:type="dxa"/>
            <w:tcBorders>
              <w:top w:val="single" w:sz="6" w:space="0" w:color="000000"/>
            </w:tcBorders>
            <w:shd w:val="clear" w:color="auto" w:fill="CCEDFF"/>
          </w:tcPr>
          <w:p>
            <w:pPr>
              <w:pStyle w:val="TableParagraph"/>
              <w:tabs>
                <w:tab w:pos="933" w:val="left" w:leader="none"/>
              </w:tabs>
              <w:spacing w:before="20"/>
              <w:ind w:right="123"/>
              <w:jc w:val="right"/>
              <w:rPr>
                <w:sz w:val="18"/>
              </w:rPr>
            </w:pPr>
            <w:r>
              <w:rPr/>
              <mc:AlternateContent>
                <mc:Choice Requires="wps">
                  <w:drawing>
                    <wp:anchor distT="0" distB="0" distL="0" distR="0" allowOverlap="1" layoutInCell="1" locked="0" behindDoc="1" simplePos="0" relativeHeight="477724672">
                      <wp:simplePos x="0" y="0"/>
                      <wp:positionH relativeFrom="column">
                        <wp:posOffset>43744</wp:posOffset>
                      </wp:positionH>
                      <wp:positionV relativeFrom="paragraph">
                        <wp:posOffset>162297</wp:posOffset>
                      </wp:positionV>
                      <wp:extent cx="960119" cy="3429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960119" cy="34290"/>
                                <a:chExt cx="960119" cy="34290"/>
                              </a:xfrm>
                            </wpg:grpSpPr>
                            <wps:wsp>
                              <wps:cNvPr id="484" name="Graphic 484"/>
                              <wps:cNvSpPr/>
                              <wps:spPr>
                                <a:xfrm>
                                  <a:off x="-12" y="-3"/>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44484pt;margin-top:12.779316pt;width:75.6pt;height:2.7pt;mso-position-horizontal-relative:column;mso-position-vertical-relative:paragraph;z-index:-25591808" id="docshapegroup481" coordorigin="69,256" coordsize="1512,54">
                      <v:shape style="position:absolute;left:68;top:255;width:1512;height:54" id="docshape482" coordorigin="69,256" coordsize="1512,54" path="m1581,296l1554,296,177,296,69,296,69,310,177,310,1554,310,1581,310,1581,296xm1581,256l1554,256,177,256,69,256,69,269,177,269,1554,269,1581,269,1581,256xe" filled="true" fillcolor="#000000" stroked="false">
                        <v:path arrowok="t"/>
                        <v:fill type="solid"/>
                      </v:shape>
                      <w10:wrap type="none"/>
                    </v:group>
                  </w:pict>
                </mc:Fallback>
              </mc:AlternateContent>
            </w:r>
            <w:r>
              <w:rPr>
                <w:spacing w:val="-10"/>
                <w:sz w:val="18"/>
              </w:rPr>
              <w:t>$</w:t>
            </w:r>
            <w:r>
              <w:rPr>
                <w:sz w:val="18"/>
              </w:rPr>
              <w:tab/>
            </w:r>
            <w:r>
              <w:rPr>
                <w:spacing w:val="-2"/>
                <w:sz w:val="18"/>
              </w:rPr>
              <w:t>84,823</w:t>
            </w:r>
          </w:p>
        </w:tc>
        <w:tc>
          <w:tcPr>
            <w:tcW w:w="1592" w:type="dxa"/>
            <w:tcBorders>
              <w:top w:val="single" w:sz="6" w:space="0" w:color="000000"/>
              <w:bottom w:val="double" w:sz="6" w:space="0" w:color="000000"/>
            </w:tcBorders>
            <w:shd w:val="clear" w:color="auto" w:fill="CCEDFF"/>
          </w:tcPr>
          <w:p>
            <w:pPr>
              <w:pStyle w:val="TableParagraph"/>
              <w:tabs>
                <w:tab w:pos="1015" w:val="left" w:leader="none"/>
              </w:tabs>
              <w:spacing w:before="20"/>
              <w:ind w:left="81"/>
              <w:rPr>
                <w:sz w:val="18"/>
              </w:rPr>
            </w:pPr>
            <w:r>
              <w:rPr>
                <w:spacing w:val="-10"/>
                <w:sz w:val="18"/>
              </w:rPr>
              <w:t>$</w:t>
            </w:r>
            <w:r>
              <w:rPr>
                <w:sz w:val="18"/>
              </w:rPr>
              <w:tab/>
            </w:r>
            <w:r>
              <w:rPr>
                <w:spacing w:val="-2"/>
                <w:sz w:val="18"/>
              </w:rPr>
              <w:t>42,938</w:t>
            </w:r>
          </w:p>
        </w:tc>
      </w:tr>
    </w:tbl>
    <w:p>
      <w:pPr>
        <w:pStyle w:val="BodyText"/>
        <w:spacing w:before="98"/>
        <w:rPr>
          <w:b/>
        </w:rPr>
      </w:pPr>
    </w:p>
    <w:p>
      <w:pPr>
        <w:pStyle w:val="BodyText"/>
        <w:spacing w:line="249" w:lineRule="auto"/>
        <w:ind w:left="144" w:right="118" w:firstLine="499"/>
        <w:jc w:val="both"/>
      </w:pPr>
      <w:r>
        <w:rPr/>
        <w:t>Refer</w:t>
      </w:r>
      <w:r>
        <w:rPr>
          <w:spacing w:val="-1"/>
        </w:rPr>
        <w:t> </w:t>
      </w:r>
      <w:r>
        <w:rPr/>
        <w:t>to</w:t>
      </w:r>
      <w:r>
        <w:rPr>
          <w:spacing w:val="-1"/>
        </w:rPr>
        <w:t> </w:t>
      </w:r>
      <w:r>
        <w:rPr/>
        <w:t>Note</w:t>
      </w:r>
      <w:r>
        <w:rPr>
          <w:spacing w:val="-1"/>
        </w:rPr>
        <w:t> </w:t>
      </w:r>
      <w:r>
        <w:rPr/>
        <w:t>4</w:t>
      </w:r>
      <w:r>
        <w:rPr>
          <w:spacing w:val="-1"/>
        </w:rPr>
        <w:t> </w:t>
      </w:r>
      <w:r>
        <w:rPr/>
        <w:t>for</w:t>
      </w:r>
      <w:r>
        <w:rPr>
          <w:spacing w:val="-1"/>
        </w:rPr>
        <w:t> </w:t>
      </w:r>
      <w:r>
        <w:rPr/>
        <w:t>discussion</w:t>
      </w:r>
      <w:r>
        <w:rPr>
          <w:spacing w:val="-1"/>
        </w:rPr>
        <w:t> </w:t>
      </w:r>
      <w:r>
        <w:rPr/>
        <w:t>of</w:t>
      </w:r>
      <w:r>
        <w:rPr>
          <w:spacing w:val="-1"/>
        </w:rPr>
        <w:t> </w:t>
      </w:r>
      <w:r>
        <w:rPr/>
        <w:t>the</w:t>
      </w:r>
      <w:r>
        <w:rPr>
          <w:spacing w:val="-1"/>
        </w:rPr>
        <w:t> </w:t>
      </w:r>
      <w:r>
        <w:rPr/>
        <w:t>acquisition</w:t>
      </w:r>
      <w:r>
        <w:rPr>
          <w:spacing w:val="-1"/>
        </w:rPr>
        <w:t> </w:t>
      </w:r>
      <w:r>
        <w:rPr/>
        <w:t>and</w:t>
      </w:r>
      <w:r>
        <w:rPr>
          <w:spacing w:val="-1"/>
        </w:rPr>
        <w:t> </w:t>
      </w:r>
      <w:r>
        <w:rPr/>
        <w:t>consolidation</w:t>
      </w:r>
      <w:r>
        <w:rPr>
          <w:spacing w:val="-1"/>
        </w:rPr>
        <w:t> </w:t>
      </w:r>
      <w:r>
        <w:rPr/>
        <w:t>of</w:t>
      </w:r>
      <w:r>
        <w:rPr>
          <w:spacing w:val="-1"/>
        </w:rPr>
        <w:t> </w:t>
      </w:r>
      <w:r>
        <w:rPr/>
        <w:t>CityCenter</w:t>
      </w:r>
      <w:r>
        <w:rPr>
          <w:spacing w:val="-1"/>
        </w:rPr>
        <w:t> </w:t>
      </w:r>
      <w:r>
        <w:rPr/>
        <w:t>in</w:t>
      </w:r>
      <w:r>
        <w:rPr>
          <w:spacing w:val="-1"/>
        </w:rPr>
        <w:t> </w:t>
      </w:r>
      <w:r>
        <w:rPr/>
        <w:t>September</w:t>
      </w:r>
      <w:r>
        <w:rPr>
          <w:spacing w:val="-1"/>
        </w:rPr>
        <w:t> </w:t>
      </w:r>
      <w:r>
        <w:rPr/>
        <w:t>2021</w:t>
      </w:r>
      <w:r>
        <w:rPr>
          <w:spacing w:val="-1"/>
        </w:rPr>
        <w:t> </w:t>
      </w:r>
      <w:r>
        <w:rPr/>
        <w:t>and</w:t>
      </w:r>
      <w:r>
        <w:rPr>
          <w:spacing w:val="-1"/>
        </w:rPr>
        <w:t> </w:t>
      </w:r>
      <w:r>
        <w:rPr/>
        <w:t>for</w:t>
      </w:r>
      <w:r>
        <w:rPr>
          <w:spacing w:val="-1"/>
        </w:rPr>
        <w:t> </w:t>
      </w:r>
      <w:r>
        <w:rPr/>
        <w:t>discussion</w:t>
      </w:r>
      <w:r>
        <w:rPr>
          <w:spacing w:val="-1"/>
        </w:rPr>
        <w:t> </w:t>
      </w:r>
      <w:r>
        <w:rPr/>
        <w:t>of</w:t>
      </w:r>
      <w:r>
        <w:rPr>
          <w:spacing w:val="-1"/>
        </w:rPr>
        <w:t> </w:t>
      </w:r>
      <w:r>
        <w:rPr/>
        <w:t>the</w:t>
      </w:r>
      <w:r>
        <w:rPr>
          <w:spacing w:val="-1"/>
        </w:rPr>
        <w:t> </w:t>
      </w:r>
      <w:r>
        <w:rPr/>
        <w:t>derecognition</w:t>
      </w:r>
      <w:r>
        <w:rPr>
          <w:spacing w:val="-1"/>
        </w:rPr>
        <w:t> </w:t>
      </w:r>
      <w:r>
        <w:rPr/>
        <w:t>of</w:t>
      </w:r>
      <w:r>
        <w:rPr>
          <w:spacing w:val="-1"/>
        </w:rPr>
        <w:t> </w:t>
      </w:r>
      <w:r>
        <w:rPr/>
        <w:t>the</w:t>
      </w:r>
      <w:r>
        <w:rPr>
          <w:spacing w:val="-1"/>
        </w:rPr>
        <w:t> </w:t>
      </w:r>
      <w:r>
        <w:rPr/>
        <w:t>assets and liabilities of MGP, which included MGP</w:t>
      </w:r>
      <w:r>
        <w:rPr>
          <w:spacing w:val="-1"/>
        </w:rPr>
        <w:t> </w:t>
      </w:r>
      <w:r>
        <w:rPr/>
        <w:t>OP’s investment in VICI BREIT</w:t>
      </w:r>
      <w:r>
        <w:rPr>
          <w:spacing w:val="-1"/>
        </w:rPr>
        <w:t> </w:t>
      </w:r>
      <w:r>
        <w:rPr/>
        <w:t>Venture, in</w:t>
      </w:r>
      <w:r>
        <w:rPr>
          <w:spacing w:val="-4"/>
        </w:rPr>
        <w:t> </w:t>
      </w:r>
      <w:r>
        <w:rPr/>
        <w:t>April 2022.</w:t>
      </w:r>
    </w:p>
    <w:p>
      <w:pPr>
        <w:pStyle w:val="BodyText"/>
        <w:spacing w:before="11"/>
      </w:pPr>
    </w:p>
    <w:p>
      <w:pPr>
        <w:spacing w:line="205" w:lineRule="exact" w:before="0"/>
        <w:ind w:left="644" w:right="0" w:firstLine="0"/>
        <w:jc w:val="left"/>
        <w:rPr>
          <w:sz w:val="18"/>
        </w:rPr>
      </w:pPr>
      <w:r>
        <w:rPr>
          <w:b/>
          <w:sz w:val="18"/>
        </w:rPr>
        <w:t>VICI</w:t>
      </w:r>
      <w:r>
        <w:rPr>
          <w:b/>
          <w:spacing w:val="15"/>
          <w:sz w:val="18"/>
        </w:rPr>
        <w:t> </w:t>
      </w:r>
      <w:r>
        <w:rPr>
          <w:b/>
          <w:sz w:val="18"/>
        </w:rPr>
        <w:t>BREIT</w:t>
      </w:r>
      <w:r>
        <w:rPr>
          <w:b/>
          <w:spacing w:val="10"/>
          <w:sz w:val="18"/>
        </w:rPr>
        <w:t> </w:t>
      </w:r>
      <w:r>
        <w:rPr>
          <w:b/>
          <w:sz w:val="18"/>
        </w:rPr>
        <w:t>Venture</w:t>
      </w:r>
      <w:r>
        <w:rPr>
          <w:b/>
          <w:spacing w:val="16"/>
          <w:sz w:val="18"/>
        </w:rPr>
        <w:t> </w:t>
      </w:r>
      <w:r>
        <w:rPr>
          <w:b/>
          <w:sz w:val="18"/>
        </w:rPr>
        <w:t>distributions.</w:t>
      </w:r>
      <w:r>
        <w:rPr>
          <w:b/>
          <w:spacing w:val="16"/>
          <w:sz w:val="18"/>
        </w:rPr>
        <w:t> </w:t>
      </w:r>
      <w:r>
        <w:rPr>
          <w:sz w:val="18"/>
        </w:rPr>
        <w:t>During</w:t>
      </w:r>
      <w:r>
        <w:rPr>
          <w:spacing w:val="16"/>
          <w:sz w:val="18"/>
        </w:rPr>
        <w:t> </w:t>
      </w:r>
      <w:r>
        <w:rPr>
          <w:sz w:val="18"/>
        </w:rPr>
        <w:t>the</w:t>
      </w:r>
      <w:r>
        <w:rPr>
          <w:spacing w:val="16"/>
          <w:sz w:val="18"/>
        </w:rPr>
        <w:t> </w:t>
      </w:r>
      <w:r>
        <w:rPr>
          <w:sz w:val="18"/>
        </w:rPr>
        <w:t>years</w:t>
      </w:r>
      <w:r>
        <w:rPr>
          <w:spacing w:val="16"/>
          <w:sz w:val="18"/>
        </w:rPr>
        <w:t> </w:t>
      </w:r>
      <w:r>
        <w:rPr>
          <w:sz w:val="18"/>
        </w:rPr>
        <w:t>ended</w:t>
      </w:r>
      <w:r>
        <w:rPr>
          <w:spacing w:val="15"/>
          <w:sz w:val="18"/>
        </w:rPr>
        <w:t> </w:t>
      </w:r>
      <w:r>
        <w:rPr>
          <w:sz w:val="18"/>
        </w:rPr>
        <w:t>December</w:t>
      </w:r>
      <w:r>
        <w:rPr>
          <w:spacing w:val="16"/>
          <w:sz w:val="18"/>
        </w:rPr>
        <w:t> </w:t>
      </w:r>
      <w:r>
        <w:rPr>
          <w:sz w:val="18"/>
        </w:rPr>
        <w:t>31,</w:t>
      </w:r>
      <w:r>
        <w:rPr>
          <w:spacing w:val="16"/>
          <w:sz w:val="18"/>
        </w:rPr>
        <w:t> </w:t>
      </w:r>
      <w:r>
        <w:rPr>
          <w:sz w:val="18"/>
        </w:rPr>
        <w:t>2022,</w:t>
      </w:r>
      <w:r>
        <w:rPr>
          <w:spacing w:val="16"/>
          <w:sz w:val="18"/>
        </w:rPr>
        <w:t> </w:t>
      </w:r>
      <w:r>
        <w:rPr>
          <w:sz w:val="18"/>
        </w:rPr>
        <w:t>2021,</w:t>
      </w:r>
      <w:r>
        <w:rPr>
          <w:spacing w:val="16"/>
          <w:sz w:val="18"/>
        </w:rPr>
        <w:t> </w:t>
      </w:r>
      <w:r>
        <w:rPr>
          <w:sz w:val="18"/>
        </w:rPr>
        <w:t>and</w:t>
      </w:r>
      <w:r>
        <w:rPr>
          <w:spacing w:val="16"/>
          <w:sz w:val="18"/>
        </w:rPr>
        <w:t> </w:t>
      </w:r>
      <w:r>
        <w:rPr>
          <w:sz w:val="18"/>
        </w:rPr>
        <w:t>2020,</w:t>
      </w:r>
      <w:r>
        <w:rPr>
          <w:spacing w:val="16"/>
          <w:sz w:val="18"/>
        </w:rPr>
        <w:t> </w:t>
      </w:r>
      <w:r>
        <w:rPr>
          <w:sz w:val="18"/>
        </w:rPr>
        <w:t>MGP</w:t>
      </w:r>
      <w:r>
        <w:rPr>
          <w:spacing w:val="9"/>
          <w:sz w:val="18"/>
        </w:rPr>
        <w:t> </w:t>
      </w:r>
      <w:r>
        <w:rPr>
          <w:sz w:val="18"/>
        </w:rPr>
        <w:t>OP</w:t>
      </w:r>
      <w:r>
        <w:rPr>
          <w:spacing w:val="10"/>
          <w:sz w:val="18"/>
        </w:rPr>
        <w:t> </w:t>
      </w:r>
      <w:r>
        <w:rPr>
          <w:sz w:val="18"/>
        </w:rPr>
        <w:t>received</w:t>
      </w:r>
      <w:r>
        <w:rPr>
          <w:spacing w:val="16"/>
          <w:sz w:val="18"/>
        </w:rPr>
        <w:t> </w:t>
      </w:r>
      <w:r>
        <w:rPr>
          <w:sz w:val="18"/>
        </w:rPr>
        <w:t>$32</w:t>
      </w:r>
      <w:r>
        <w:rPr>
          <w:spacing w:val="16"/>
          <w:sz w:val="18"/>
        </w:rPr>
        <w:t> </w:t>
      </w:r>
      <w:r>
        <w:rPr>
          <w:sz w:val="18"/>
        </w:rPr>
        <w:t>million,</w:t>
      </w:r>
      <w:r>
        <w:rPr>
          <w:spacing w:val="16"/>
          <w:sz w:val="18"/>
        </w:rPr>
        <w:t> </w:t>
      </w:r>
      <w:r>
        <w:rPr>
          <w:sz w:val="18"/>
        </w:rPr>
        <w:t>$94</w:t>
      </w:r>
      <w:r>
        <w:rPr>
          <w:spacing w:val="16"/>
          <w:sz w:val="18"/>
        </w:rPr>
        <w:t> </w:t>
      </w:r>
      <w:r>
        <w:rPr>
          <w:sz w:val="18"/>
        </w:rPr>
        <w:t>million,</w:t>
      </w:r>
      <w:r>
        <w:rPr>
          <w:spacing w:val="16"/>
          <w:sz w:val="18"/>
        </w:rPr>
        <w:t> </w:t>
      </w:r>
      <w:r>
        <w:rPr>
          <w:spacing w:val="-5"/>
          <w:sz w:val="18"/>
        </w:rPr>
        <w:t>and</w:t>
      </w:r>
    </w:p>
    <w:p>
      <w:pPr>
        <w:pStyle w:val="BodyText"/>
        <w:spacing w:line="205" w:lineRule="exact"/>
        <w:ind w:left="144"/>
      </w:pPr>
      <w:r>
        <w:rPr/>
        <w:t>$81</w:t>
      </w:r>
      <w:r>
        <w:rPr>
          <w:spacing w:val="-4"/>
        </w:rPr>
        <w:t> </w:t>
      </w:r>
      <w:r>
        <w:rPr/>
        <w:t>million</w:t>
      </w:r>
      <w:r>
        <w:rPr>
          <w:spacing w:val="-4"/>
        </w:rPr>
        <w:t> </w:t>
      </w:r>
      <w:r>
        <w:rPr/>
        <w:t>respectively,</w:t>
      </w:r>
      <w:r>
        <w:rPr>
          <w:spacing w:val="-4"/>
        </w:rPr>
        <w:t> </w:t>
      </w:r>
      <w:r>
        <w:rPr/>
        <w:t>in</w:t>
      </w:r>
      <w:r>
        <w:rPr>
          <w:spacing w:val="-4"/>
        </w:rPr>
        <w:t> </w:t>
      </w:r>
      <w:r>
        <w:rPr>
          <w:spacing w:val="-2"/>
        </w:rPr>
        <w:t>distributions.</w:t>
      </w:r>
    </w:p>
    <w:p>
      <w:pPr>
        <w:pStyle w:val="BodyText"/>
        <w:spacing w:before="4"/>
      </w:pPr>
    </w:p>
    <w:p>
      <w:pPr>
        <w:pStyle w:val="BodyText"/>
        <w:ind w:left="644"/>
      </w:pPr>
      <w:r>
        <w:rPr>
          <w:b/>
        </w:rPr>
        <w:t>BetMGM</w:t>
      </w:r>
      <w:r>
        <w:rPr>
          <w:b/>
          <w:spacing w:val="27"/>
        </w:rPr>
        <w:t> </w:t>
      </w:r>
      <w:r>
        <w:rPr>
          <w:b/>
        </w:rPr>
        <w:t>contributions.</w:t>
      </w:r>
      <w:r>
        <w:rPr>
          <w:b/>
          <w:spacing w:val="27"/>
        </w:rPr>
        <w:t> </w:t>
      </w:r>
      <w:r>
        <w:rPr/>
        <w:t>During</w:t>
      </w:r>
      <w:r>
        <w:rPr>
          <w:spacing w:val="27"/>
        </w:rPr>
        <w:t> </w:t>
      </w:r>
      <w:r>
        <w:rPr/>
        <w:t>the</w:t>
      </w:r>
      <w:r>
        <w:rPr>
          <w:spacing w:val="27"/>
        </w:rPr>
        <w:t> </w:t>
      </w:r>
      <w:r>
        <w:rPr/>
        <w:t>years</w:t>
      </w:r>
      <w:r>
        <w:rPr>
          <w:spacing w:val="27"/>
        </w:rPr>
        <w:t> </w:t>
      </w:r>
      <w:r>
        <w:rPr/>
        <w:t>ended</w:t>
      </w:r>
      <w:r>
        <w:rPr>
          <w:spacing w:val="27"/>
        </w:rPr>
        <w:t> </w:t>
      </w:r>
      <w:r>
        <w:rPr/>
        <w:t>December</w:t>
      </w:r>
      <w:r>
        <w:rPr>
          <w:spacing w:val="27"/>
        </w:rPr>
        <w:t> </w:t>
      </w:r>
      <w:r>
        <w:rPr/>
        <w:t>31,</w:t>
      </w:r>
      <w:r>
        <w:rPr>
          <w:spacing w:val="27"/>
        </w:rPr>
        <w:t> </w:t>
      </w:r>
      <w:r>
        <w:rPr/>
        <w:t>2022,</w:t>
      </w:r>
      <w:r>
        <w:rPr>
          <w:spacing w:val="27"/>
        </w:rPr>
        <w:t> </w:t>
      </w:r>
      <w:r>
        <w:rPr/>
        <w:t>2021,</w:t>
      </w:r>
      <w:r>
        <w:rPr>
          <w:spacing w:val="27"/>
        </w:rPr>
        <w:t> </w:t>
      </w:r>
      <w:r>
        <w:rPr/>
        <w:t>and</w:t>
      </w:r>
      <w:r>
        <w:rPr>
          <w:spacing w:val="27"/>
        </w:rPr>
        <w:t> </w:t>
      </w:r>
      <w:r>
        <w:rPr/>
        <w:t>2020,</w:t>
      </w:r>
      <w:r>
        <w:rPr>
          <w:spacing w:val="27"/>
        </w:rPr>
        <w:t> </w:t>
      </w:r>
      <w:r>
        <w:rPr/>
        <w:t>the</w:t>
      </w:r>
      <w:r>
        <w:rPr>
          <w:spacing w:val="27"/>
        </w:rPr>
        <w:t> </w:t>
      </w:r>
      <w:r>
        <w:rPr/>
        <w:t>Company</w:t>
      </w:r>
      <w:r>
        <w:rPr>
          <w:spacing w:val="27"/>
        </w:rPr>
        <w:t> </w:t>
      </w:r>
      <w:r>
        <w:rPr/>
        <w:t>contributed</w:t>
      </w:r>
      <w:r>
        <w:rPr>
          <w:spacing w:val="27"/>
        </w:rPr>
        <w:t> </w:t>
      </w:r>
      <w:r>
        <w:rPr/>
        <w:t>$225</w:t>
      </w:r>
      <w:r>
        <w:rPr>
          <w:spacing w:val="27"/>
        </w:rPr>
        <w:t> </w:t>
      </w:r>
      <w:r>
        <w:rPr/>
        <w:t>million,</w:t>
      </w:r>
      <w:r>
        <w:rPr>
          <w:spacing w:val="27"/>
        </w:rPr>
        <w:t> </w:t>
      </w:r>
      <w:r>
        <w:rPr/>
        <w:t>$225</w:t>
      </w:r>
      <w:r>
        <w:rPr>
          <w:spacing w:val="27"/>
        </w:rPr>
        <w:t> </w:t>
      </w:r>
      <w:r>
        <w:rPr/>
        <w:t>million,</w:t>
      </w:r>
      <w:r>
        <w:rPr>
          <w:spacing w:val="27"/>
        </w:rPr>
        <w:t> </w:t>
      </w:r>
      <w:r>
        <w:rPr>
          <w:spacing w:val="-5"/>
        </w:rPr>
        <w:t>and</w:t>
      </w:r>
    </w:p>
    <w:p>
      <w:pPr>
        <w:pStyle w:val="BodyText"/>
        <w:spacing w:before="9"/>
        <w:ind w:left="144"/>
      </w:pPr>
      <w:r>
        <w:rPr/>
        <w:t>$80</w:t>
      </w:r>
      <w:r>
        <w:rPr>
          <w:spacing w:val="-1"/>
        </w:rPr>
        <w:t> </w:t>
      </w:r>
      <w:r>
        <w:rPr/>
        <w:t>million</w:t>
      </w:r>
      <w:r>
        <w:rPr>
          <w:spacing w:val="-1"/>
        </w:rPr>
        <w:t> </w:t>
      </w:r>
      <w:r>
        <w:rPr/>
        <w:t>to</w:t>
      </w:r>
      <w:r>
        <w:rPr>
          <w:spacing w:val="-1"/>
        </w:rPr>
        <w:t> </w:t>
      </w:r>
      <w:r>
        <w:rPr/>
        <w:t>BetMGM,</w:t>
      </w:r>
      <w:r>
        <w:rPr>
          <w:spacing w:val="-1"/>
        </w:rPr>
        <w:t> </w:t>
      </w:r>
      <w:r>
        <w:rPr>
          <w:spacing w:val="-2"/>
        </w:rPr>
        <w:t>respectively.</w:t>
      </w:r>
    </w:p>
    <w:p>
      <w:pPr>
        <w:pStyle w:val="BodyText"/>
        <w:spacing w:before="8"/>
      </w:pPr>
    </w:p>
    <w:p>
      <w:pPr>
        <w:pStyle w:val="BodyText"/>
        <w:spacing w:line="235" w:lineRule="auto"/>
        <w:ind w:left="144" w:right="118" w:firstLine="499"/>
        <w:jc w:val="both"/>
      </w:pPr>
      <w:r>
        <w:rPr>
          <w:b/>
        </w:rPr>
        <w:t>CityCenter</w:t>
      </w:r>
      <w:r>
        <w:rPr>
          <w:b/>
          <w:spacing w:val="-4"/>
        </w:rPr>
        <w:t> </w:t>
      </w:r>
      <w:r>
        <w:rPr>
          <w:b/>
        </w:rPr>
        <w:t>distributions. </w:t>
      </w:r>
      <w:r>
        <w:rPr/>
        <w:t>During the year ended December 31, 2020, CityCenter paid $101 million in distributions, of which the Company received </w:t>
      </w:r>
      <w:r>
        <w:rPr/>
        <w:t>its 50% share of approximately $51 million.</w:t>
      </w:r>
    </w:p>
    <w:p>
      <w:pPr>
        <w:pStyle w:val="BodyText"/>
        <w:spacing w:before="22"/>
      </w:pPr>
    </w:p>
    <w:p>
      <w:pPr>
        <w:pStyle w:val="BodyText"/>
        <w:spacing w:line="235" w:lineRule="auto"/>
        <w:ind w:left="144" w:right="118" w:firstLine="499"/>
        <w:jc w:val="both"/>
      </w:pPr>
      <w:r>
        <w:rPr>
          <w:b/>
        </w:rPr>
        <w:t>CityCenter</w:t>
      </w:r>
      <w:r>
        <w:rPr>
          <w:b/>
          <w:spacing w:val="-2"/>
        </w:rPr>
        <w:t> </w:t>
      </w:r>
      <w:r>
        <w:rPr>
          <w:b/>
        </w:rPr>
        <w:t>sale of Harmon land. </w:t>
      </w:r>
      <w:r>
        <w:rPr/>
        <w:t>In June 2021, CityCenter closed the sale of its Harmon land for $80 million on which it recorded a $30 million gain. The Company correspondingly recorded a $50 million gain, which included $15 million of its 50% share of the gain recorded by CityCenter and $35 </w:t>
      </w:r>
      <w:r>
        <w:rPr/>
        <w:t>million representing the reversal of certain basis differences.</w:t>
      </w:r>
    </w:p>
    <w:p>
      <w:pPr>
        <w:pStyle w:val="BodyText"/>
        <w:spacing w:before="18"/>
      </w:pPr>
    </w:p>
    <w:p>
      <w:pPr>
        <w:pStyle w:val="BodyText"/>
        <w:spacing w:line="205" w:lineRule="exact"/>
        <w:ind w:left="644"/>
      </w:pPr>
      <w:r>
        <w:rPr>
          <w:b/>
        </w:rPr>
        <w:t>Other.</w:t>
      </w:r>
      <w:r>
        <w:rPr>
          <w:b/>
          <w:spacing w:val="15"/>
        </w:rPr>
        <w:t> </w:t>
      </w:r>
      <w:r>
        <w:rPr/>
        <w:t>During</w:t>
      </w:r>
      <w:r>
        <w:rPr>
          <w:spacing w:val="16"/>
        </w:rPr>
        <w:t> </w:t>
      </w:r>
      <w:r>
        <w:rPr/>
        <w:t>the</w:t>
      </w:r>
      <w:r>
        <w:rPr>
          <w:spacing w:val="16"/>
        </w:rPr>
        <w:t> </w:t>
      </w:r>
      <w:r>
        <w:rPr/>
        <w:t>years</w:t>
      </w:r>
      <w:r>
        <w:rPr>
          <w:spacing w:val="15"/>
        </w:rPr>
        <w:t> </w:t>
      </w:r>
      <w:r>
        <w:rPr/>
        <w:t>ended</w:t>
      </w:r>
      <w:r>
        <w:rPr>
          <w:spacing w:val="16"/>
        </w:rPr>
        <w:t> </w:t>
      </w:r>
      <w:r>
        <w:rPr/>
        <w:t>December</w:t>
      </w:r>
      <w:r>
        <w:rPr>
          <w:spacing w:val="16"/>
        </w:rPr>
        <w:t> </w:t>
      </w:r>
      <w:r>
        <w:rPr/>
        <w:t>31,</w:t>
      </w:r>
      <w:r>
        <w:rPr>
          <w:spacing w:val="15"/>
        </w:rPr>
        <w:t> </w:t>
      </w:r>
      <w:r>
        <w:rPr/>
        <w:t>2021</w:t>
      </w:r>
      <w:r>
        <w:rPr>
          <w:spacing w:val="16"/>
        </w:rPr>
        <w:t> </w:t>
      </w:r>
      <w:r>
        <w:rPr/>
        <w:t>and</w:t>
      </w:r>
      <w:r>
        <w:rPr>
          <w:spacing w:val="16"/>
        </w:rPr>
        <w:t> </w:t>
      </w:r>
      <w:r>
        <w:rPr/>
        <w:t>2020,</w:t>
      </w:r>
      <w:r>
        <w:rPr>
          <w:spacing w:val="15"/>
        </w:rPr>
        <w:t> </w:t>
      </w:r>
      <w:r>
        <w:rPr/>
        <w:t>the</w:t>
      </w:r>
      <w:r>
        <w:rPr>
          <w:spacing w:val="16"/>
        </w:rPr>
        <w:t> </w:t>
      </w:r>
      <w:r>
        <w:rPr/>
        <w:t>Company</w:t>
      </w:r>
      <w:r>
        <w:rPr>
          <w:spacing w:val="16"/>
        </w:rPr>
        <w:t> </w:t>
      </w:r>
      <w:r>
        <w:rPr/>
        <w:t>recognized</w:t>
      </w:r>
      <w:r>
        <w:rPr>
          <w:spacing w:val="15"/>
        </w:rPr>
        <w:t> </w:t>
      </w:r>
      <w:r>
        <w:rPr/>
        <w:t>other-than-temporary</w:t>
      </w:r>
      <w:r>
        <w:rPr>
          <w:spacing w:val="16"/>
        </w:rPr>
        <w:t> </w:t>
      </w:r>
      <w:r>
        <w:rPr/>
        <w:t>impairment</w:t>
      </w:r>
      <w:r>
        <w:rPr>
          <w:spacing w:val="16"/>
        </w:rPr>
        <w:t> </w:t>
      </w:r>
      <w:r>
        <w:rPr/>
        <w:t>charges</w:t>
      </w:r>
      <w:r>
        <w:rPr>
          <w:spacing w:val="15"/>
        </w:rPr>
        <w:t> </w:t>
      </w:r>
      <w:r>
        <w:rPr/>
        <w:t>of</w:t>
      </w:r>
      <w:r>
        <w:rPr>
          <w:spacing w:val="16"/>
        </w:rPr>
        <w:t> </w:t>
      </w:r>
      <w:r>
        <w:rPr/>
        <w:t>$22</w:t>
      </w:r>
      <w:r>
        <w:rPr>
          <w:spacing w:val="16"/>
        </w:rPr>
        <w:t> </w:t>
      </w:r>
      <w:r>
        <w:rPr/>
        <w:t>million</w:t>
      </w:r>
      <w:r>
        <w:rPr>
          <w:spacing w:val="16"/>
        </w:rPr>
        <w:t> </w:t>
      </w:r>
      <w:r>
        <w:rPr>
          <w:spacing w:val="-5"/>
        </w:rPr>
        <w:t>and</w:t>
      </w:r>
    </w:p>
    <w:p>
      <w:pPr>
        <w:pStyle w:val="BodyText"/>
        <w:spacing w:line="235" w:lineRule="auto" w:before="1"/>
        <w:ind w:left="144"/>
      </w:pPr>
      <w:r>
        <w:rPr/>
        <w:t>$64</w:t>
      </w:r>
      <w:r>
        <w:rPr>
          <w:spacing w:val="15"/>
        </w:rPr>
        <w:t> </w:t>
      </w:r>
      <w:r>
        <w:rPr/>
        <w:t>million,</w:t>
      </w:r>
      <w:r>
        <w:rPr>
          <w:spacing w:val="15"/>
        </w:rPr>
        <w:t> </w:t>
      </w:r>
      <w:r>
        <w:rPr/>
        <w:t>respectively,</w:t>
      </w:r>
      <w:r>
        <w:rPr>
          <w:spacing w:val="15"/>
        </w:rPr>
        <w:t> </w:t>
      </w:r>
      <w:r>
        <w:rPr/>
        <w:t>within</w:t>
      </w:r>
      <w:r>
        <w:rPr>
          <w:spacing w:val="15"/>
        </w:rPr>
        <w:t> </w:t>
      </w:r>
      <w:r>
        <w:rPr/>
        <w:t>“Property</w:t>
      </w:r>
      <w:r>
        <w:rPr>
          <w:spacing w:val="15"/>
        </w:rPr>
        <w:t> </w:t>
      </w:r>
      <w:r>
        <w:rPr/>
        <w:t>transactions,</w:t>
      </w:r>
      <w:r>
        <w:rPr>
          <w:spacing w:val="15"/>
        </w:rPr>
        <w:t> </w:t>
      </w:r>
      <w:r>
        <w:rPr/>
        <w:t>net”</w:t>
      </w:r>
      <w:r>
        <w:rPr>
          <w:spacing w:val="15"/>
        </w:rPr>
        <w:t> </w:t>
      </w:r>
      <w:r>
        <w:rPr/>
        <w:t>in</w:t>
      </w:r>
      <w:r>
        <w:rPr>
          <w:spacing w:val="15"/>
        </w:rPr>
        <w:t> </w:t>
      </w:r>
      <w:r>
        <w:rPr/>
        <w:t>the</w:t>
      </w:r>
      <w:r>
        <w:rPr>
          <w:spacing w:val="15"/>
        </w:rPr>
        <w:t> </w:t>
      </w:r>
      <w:r>
        <w:rPr/>
        <w:t>consolidated</w:t>
      </w:r>
      <w:r>
        <w:rPr>
          <w:spacing w:val="15"/>
        </w:rPr>
        <w:t> </w:t>
      </w:r>
      <w:r>
        <w:rPr/>
        <w:t>statements</w:t>
      </w:r>
      <w:r>
        <w:rPr>
          <w:spacing w:val="15"/>
        </w:rPr>
        <w:t> </w:t>
      </w:r>
      <w:r>
        <w:rPr/>
        <w:t>of</w:t>
      </w:r>
      <w:r>
        <w:rPr>
          <w:spacing w:val="15"/>
        </w:rPr>
        <w:t> </w:t>
      </w:r>
      <w:r>
        <w:rPr/>
        <w:t>operations</w:t>
      </w:r>
      <w:r>
        <w:rPr>
          <w:spacing w:val="15"/>
        </w:rPr>
        <w:t> </w:t>
      </w:r>
      <w:r>
        <w:rPr/>
        <w:t>related</w:t>
      </w:r>
      <w:r>
        <w:rPr>
          <w:spacing w:val="15"/>
        </w:rPr>
        <w:t> </w:t>
      </w:r>
      <w:r>
        <w:rPr/>
        <w:t>to</w:t>
      </w:r>
      <w:r>
        <w:rPr>
          <w:spacing w:val="15"/>
        </w:rPr>
        <w:t> </w:t>
      </w:r>
      <w:r>
        <w:rPr/>
        <w:t>investments</w:t>
      </w:r>
      <w:r>
        <w:rPr>
          <w:spacing w:val="15"/>
        </w:rPr>
        <w:t> </w:t>
      </w:r>
      <w:r>
        <w:rPr/>
        <w:t>in</w:t>
      </w:r>
      <w:r>
        <w:rPr>
          <w:spacing w:val="15"/>
        </w:rPr>
        <w:t> </w:t>
      </w:r>
      <w:r>
        <w:rPr/>
        <w:t>unconsolidated</w:t>
      </w:r>
      <w:r>
        <w:rPr>
          <w:spacing w:val="15"/>
        </w:rPr>
        <w:t> </w:t>
      </w:r>
      <w:r>
        <w:rPr/>
        <w:t>affiliates previously classified within “Other” in the “Investments in and advances to unconsolidated affiliates” table above.</w:t>
      </w:r>
    </w:p>
    <w:p>
      <w:pPr>
        <w:pStyle w:val="BodyText"/>
      </w:pPr>
    </w:p>
    <w:p>
      <w:pPr>
        <w:pStyle w:val="BodyText"/>
      </w:pPr>
    </w:p>
    <w:p>
      <w:pPr>
        <w:pStyle w:val="BodyText"/>
      </w:pPr>
    </w:p>
    <w:p>
      <w:pPr>
        <w:pStyle w:val="BodyText"/>
      </w:pPr>
    </w:p>
    <w:p>
      <w:pPr>
        <w:pStyle w:val="BodyText"/>
        <w:spacing w:before="1"/>
      </w:pPr>
    </w:p>
    <w:p>
      <w:pPr>
        <w:pStyle w:val="BodyText"/>
        <w:ind w:left="24"/>
        <w:jc w:val="center"/>
      </w:pPr>
      <w:r>
        <w:rPr>
          <w:spacing w:val="-5"/>
        </w:rPr>
        <w:t>77</w:t>
      </w:r>
    </w:p>
    <w:p>
      <w:pPr>
        <w:pStyle w:val="BodyText"/>
        <w:spacing w:before="3"/>
        <w:rPr>
          <w:sz w:val="6"/>
        </w:rPr>
      </w:pPr>
      <w:r>
        <w:rPr/>
        <mc:AlternateContent>
          <mc:Choice Requires="wps">
            <w:drawing>
              <wp:anchor distT="0" distB="0" distL="0" distR="0" allowOverlap="1" layoutInCell="1" locked="0" behindDoc="1" simplePos="0" relativeHeight="487681536">
                <wp:simplePos x="0" y="0"/>
                <wp:positionH relativeFrom="page">
                  <wp:posOffset>231457</wp:posOffset>
                </wp:positionH>
                <wp:positionV relativeFrom="paragraph">
                  <wp:posOffset>60956</wp:posOffset>
                </wp:positionV>
                <wp:extent cx="7312659" cy="17145"/>
                <wp:effectExtent l="0" t="0" r="0" b="0"/>
                <wp:wrapTopAndBottom/>
                <wp:docPr id="485" name="Group 485"/>
                <wp:cNvGraphicFramePr>
                  <a:graphicFrameLocks/>
                </wp:cNvGraphicFramePr>
                <a:graphic>
                  <a:graphicData uri="http://schemas.microsoft.com/office/word/2010/wordprocessingGroup">
                    <wpg:wgp>
                      <wpg:cNvPr id="485" name="Group 485"/>
                      <wpg:cNvGrpSpPr/>
                      <wpg:grpSpPr>
                        <a:xfrm>
                          <a:off x="0" y="0"/>
                          <a:ext cx="7312659" cy="17145"/>
                          <a:chExt cx="7312659" cy="17145"/>
                        </a:xfrm>
                      </wpg:grpSpPr>
                      <wps:wsp>
                        <wps:cNvPr id="486" name="Graphic 48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87" name="Graphic 487"/>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88" name="Graphic 48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34944;mso-wrap-distance-left:0;mso-wrap-distance-right:0" id="docshapegroup483" coordorigin="364,96" coordsize="11516,27">
                <v:rect style="position:absolute;left:364;top:96;width:11516;height:14" id="docshape484" filled="true" fillcolor="#999999" stroked="false">
                  <v:fill type="solid"/>
                </v:rect>
                <v:shape style="position:absolute;left:364;top:95;width:11516;height:27" id="docshape485" coordorigin="364,96" coordsize="11516,27" path="m11880,96l11866,109,364,109,364,123,11866,123,11880,123,11880,109,11880,96xe" filled="true" fillcolor="#ededed" stroked="false">
                  <v:path arrowok="t"/>
                  <v:fill type="solid"/>
                </v:shape>
                <v:shape style="position:absolute;left:364;top:96;width:14;height:27" id="docshape486"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4"/>
        <w:spacing w:before="63"/>
      </w:pPr>
      <w:r>
        <w:rPr/>
        <w:t>NOTE</w:t>
      </w:r>
      <w:r>
        <w:rPr>
          <w:spacing w:val="-5"/>
        </w:rPr>
        <w:t> </w:t>
      </w:r>
      <w:r>
        <w:rPr/>
        <w:t>7</w:t>
      </w:r>
      <w:r>
        <w:rPr>
          <w:spacing w:val="-4"/>
        </w:rPr>
        <w:t> </w:t>
      </w:r>
      <w:r>
        <w:rPr/>
        <w:t>—</w:t>
      </w:r>
      <w:r>
        <w:rPr>
          <w:spacing w:val="-3"/>
        </w:rPr>
        <w:t> </w:t>
      </w:r>
      <w:r>
        <w:rPr/>
        <w:t>GOODWILL</w:t>
      </w:r>
      <w:r>
        <w:rPr>
          <w:spacing w:val="-20"/>
        </w:rPr>
        <w:t> </w:t>
      </w:r>
      <w:r>
        <w:rPr/>
        <w:t>AND</w:t>
      </w:r>
      <w:r>
        <w:rPr>
          <w:spacing w:val="-3"/>
        </w:rPr>
        <w:t> </w:t>
      </w:r>
      <w:r>
        <w:rPr/>
        <w:t>OTHER</w:t>
      </w:r>
      <w:r>
        <w:rPr>
          <w:spacing w:val="-3"/>
        </w:rPr>
        <w:t> </w:t>
      </w:r>
      <w:r>
        <w:rPr/>
        <w:t>INTANGIBLE</w:t>
      </w:r>
      <w:r>
        <w:rPr>
          <w:spacing w:val="-11"/>
        </w:rPr>
        <w:t> </w:t>
      </w:r>
      <w:r>
        <w:rPr>
          <w:spacing w:val="-2"/>
        </w:rPr>
        <w:t>ASSETS</w:t>
      </w:r>
    </w:p>
    <w:p>
      <w:pPr>
        <w:pStyle w:val="BodyText"/>
        <w:spacing w:before="184"/>
        <w:ind w:left="644"/>
      </w:pPr>
      <w:r>
        <w:rPr/>
        <w:t>Goodwill</w:t>
      </w:r>
      <w:r>
        <w:rPr>
          <w:spacing w:val="-1"/>
        </w:rPr>
        <w:t> </w:t>
      </w:r>
      <w:r>
        <w:rPr/>
        <w:t>and</w:t>
      </w:r>
      <w:r>
        <w:rPr>
          <w:spacing w:val="-1"/>
        </w:rPr>
        <w:t> </w:t>
      </w:r>
      <w:r>
        <w:rPr/>
        <w:t>other</w:t>
      </w:r>
      <w:r>
        <w:rPr>
          <w:spacing w:val="-1"/>
        </w:rPr>
        <w:t> </w:t>
      </w:r>
      <w:r>
        <w:rPr/>
        <w:t>intangible</w:t>
      </w:r>
      <w:r>
        <w:rPr>
          <w:spacing w:val="-1"/>
        </w:rPr>
        <w:t> </w:t>
      </w:r>
      <w:r>
        <w:rPr/>
        <w:t>assets</w:t>
      </w:r>
      <w:r>
        <w:rPr>
          <w:spacing w:val="-1"/>
        </w:rPr>
        <w:t> </w:t>
      </w:r>
      <w:r>
        <w:rPr/>
        <w:t>consisted</w:t>
      </w:r>
      <w:r>
        <w:rPr>
          <w:spacing w:val="-1"/>
        </w:rPr>
        <w:t> </w:t>
      </w:r>
      <w:r>
        <w:rPr/>
        <w:t>of</w:t>
      </w:r>
      <w:r>
        <w:rPr>
          <w:spacing w:val="-1"/>
        </w:rPr>
        <w:t> </w:t>
      </w:r>
      <w:r>
        <w:rPr/>
        <w:t>the</w:t>
      </w:r>
      <w:r>
        <w:rPr>
          <w:spacing w:val="-1"/>
        </w:rPr>
        <w:t> </w:t>
      </w:r>
      <w:r>
        <w:rPr>
          <w:spacing w:val="-2"/>
        </w:rPr>
        <w:t>following:</w:t>
      </w:r>
    </w:p>
    <w:p>
      <w:pPr>
        <w:spacing w:line="240" w:lineRule="auto" w:before="0"/>
        <w:rPr>
          <w:sz w:val="18"/>
        </w:rPr>
      </w:pPr>
      <w:r>
        <w:rPr/>
        <w:br w:type="column"/>
      </w:r>
      <w:r>
        <w:rPr>
          <w:sz w:val="18"/>
        </w:rPr>
      </w:r>
    </w:p>
    <w:p>
      <w:pPr>
        <w:pStyle w:val="BodyText"/>
      </w:pPr>
    </w:p>
    <w:p>
      <w:pPr>
        <w:pStyle w:val="BodyText"/>
        <w:spacing w:before="90"/>
      </w:pPr>
    </w:p>
    <w:p>
      <w:pPr>
        <w:pStyle w:val="Heading5"/>
        <w:ind w:left="0" w:right="555"/>
      </w:pPr>
      <w:r>
        <w:rPr/>
        <w:t>December</w:t>
      </w:r>
      <w:r>
        <w:rPr>
          <w:spacing w:val="-4"/>
        </w:rPr>
        <w:t> </w:t>
      </w:r>
      <w:r>
        <w:rPr>
          <w:spacing w:val="-5"/>
        </w:rPr>
        <w:t>31,</w:t>
      </w:r>
    </w:p>
    <w:p>
      <w:pPr>
        <w:pStyle w:val="BodyText"/>
        <w:spacing w:before="5"/>
        <w:rPr>
          <w:b/>
          <w:sz w:val="2"/>
        </w:rPr>
      </w:pPr>
    </w:p>
    <w:p>
      <w:pPr>
        <w:pStyle w:val="BodyText"/>
        <w:spacing w:line="20" w:lineRule="exact"/>
        <w:ind w:left="-443"/>
        <w:rPr>
          <w:sz w:val="2"/>
        </w:rPr>
      </w:pPr>
      <w:r>
        <w:rPr>
          <w:sz w:val="2"/>
        </w:rPr>
        <mc:AlternateContent>
          <mc:Choice Requires="wps">
            <w:drawing>
              <wp:inline distT="0" distB="0" distL="0" distR="0">
                <wp:extent cx="2014855" cy="8890"/>
                <wp:effectExtent l="0" t="0" r="0" b="0"/>
                <wp:docPr id="489" name="Group 489"/>
                <wp:cNvGraphicFramePr>
                  <a:graphicFrameLocks/>
                </wp:cNvGraphicFramePr>
                <a:graphic>
                  <a:graphicData uri="http://schemas.microsoft.com/office/word/2010/wordprocessingGroup">
                    <wpg:wgp>
                      <wpg:cNvPr id="489" name="Group 489"/>
                      <wpg:cNvGrpSpPr/>
                      <wpg:grpSpPr>
                        <a:xfrm>
                          <a:off x="0" y="0"/>
                          <a:ext cx="2014855" cy="8890"/>
                          <a:chExt cx="2014855" cy="8890"/>
                        </a:xfrm>
                      </wpg:grpSpPr>
                      <wps:wsp>
                        <wps:cNvPr id="490" name="Graphic 490"/>
                        <wps:cNvSpPr/>
                        <wps:spPr>
                          <a:xfrm>
                            <a:off x="-12" y="-3"/>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487" coordorigin="0,0" coordsize="3173,14">
                <v:rect style="position:absolute;left:-1;top:0;width:3173;height:14" id="docshape488" filled="true" fillcolor="#000000" stroked="false">
                  <v:fill type="solid"/>
                </v:rect>
              </v:group>
            </w:pict>
          </mc:Fallback>
        </mc:AlternateContent>
      </w:r>
      <w:r>
        <w:rPr>
          <w:sz w:val="2"/>
        </w:rPr>
      </w:r>
    </w:p>
    <w:p>
      <w:pPr>
        <w:tabs>
          <w:tab w:pos="1642" w:val="left" w:leader="none"/>
        </w:tabs>
        <w:spacing w:before="15"/>
        <w:ind w:left="0" w:right="556" w:firstLine="0"/>
        <w:jc w:val="center"/>
        <w:rPr>
          <w:b/>
          <w:sz w:val="18"/>
        </w:rPr>
      </w:pPr>
      <w:r>
        <w:rPr>
          <w:b/>
          <w:spacing w:val="-4"/>
          <w:sz w:val="18"/>
        </w:rPr>
        <w:t>2022</w:t>
      </w:r>
      <w:r>
        <w:rPr>
          <w:b/>
          <w:sz w:val="18"/>
        </w:rPr>
        <w:tab/>
      </w:r>
      <w:r>
        <w:rPr>
          <w:b/>
          <w:spacing w:val="-4"/>
          <w:sz w:val="18"/>
        </w:rPr>
        <w:t>2021</w:t>
      </w:r>
    </w:p>
    <w:p>
      <w:pPr>
        <w:pStyle w:val="BodyText"/>
        <w:spacing w:before="5"/>
        <w:rPr>
          <w:b/>
          <w:sz w:val="2"/>
        </w:rPr>
      </w:pPr>
    </w:p>
    <w:p>
      <w:pPr>
        <w:pStyle w:val="BodyText"/>
        <w:spacing w:line="20" w:lineRule="exact"/>
        <w:ind w:left="-443"/>
        <w:rPr>
          <w:sz w:val="2"/>
        </w:rPr>
      </w:pPr>
      <w:r>
        <w:rPr>
          <w:sz w:val="2"/>
        </w:rPr>
        <mc:AlternateContent>
          <mc:Choice Requires="wps">
            <w:drawing>
              <wp:inline distT="0" distB="0" distL="0" distR="0">
                <wp:extent cx="2014855" cy="8890"/>
                <wp:effectExtent l="0" t="0" r="0" b="0"/>
                <wp:docPr id="491" name="Group 491"/>
                <wp:cNvGraphicFramePr>
                  <a:graphicFrameLocks/>
                </wp:cNvGraphicFramePr>
                <a:graphic>
                  <a:graphicData uri="http://schemas.microsoft.com/office/word/2010/wordprocessingGroup">
                    <wpg:wgp>
                      <wpg:cNvPr id="491" name="Group 491"/>
                      <wpg:cNvGrpSpPr/>
                      <wpg:grpSpPr>
                        <a:xfrm>
                          <a:off x="0" y="0"/>
                          <a:ext cx="2014855" cy="8890"/>
                          <a:chExt cx="2014855" cy="8890"/>
                        </a:xfrm>
                      </wpg:grpSpPr>
                      <wps:wsp>
                        <wps:cNvPr id="492" name="Graphic 492"/>
                        <wps:cNvSpPr/>
                        <wps:spPr>
                          <a:xfrm>
                            <a:off x="-12" y="-3"/>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489" coordorigin="0,0" coordsize="3173,14">
                <v:rect style="position:absolute;left:-1;top:0;width:3173;height:14" id="docshape490" filled="true" fillcolor="#000000" stroked="false">
                  <v:fill type="solid"/>
                </v:rect>
              </v:group>
            </w:pict>
          </mc:Fallback>
        </mc:AlternateContent>
      </w:r>
      <w:r>
        <w:rPr>
          <w:sz w:val="2"/>
        </w:rPr>
      </w:r>
    </w:p>
    <w:p>
      <w:pPr>
        <w:spacing w:before="52"/>
        <w:ind w:left="0" w:right="556" w:firstLine="0"/>
        <w:jc w:val="center"/>
        <w:rPr>
          <w:b/>
          <w:i/>
          <w:sz w:val="14"/>
        </w:rPr>
      </w:pPr>
      <w:r>
        <w:rPr>
          <w:b/>
          <w:i/>
          <w:sz w:val="14"/>
        </w:rPr>
        <w:t>(In</w:t>
      </w:r>
      <w:r>
        <w:rPr>
          <w:b/>
          <w:i/>
          <w:spacing w:val="3"/>
          <w:sz w:val="14"/>
        </w:rPr>
        <w:t> </w:t>
      </w:r>
      <w:r>
        <w:rPr>
          <w:b/>
          <w:i/>
          <w:spacing w:val="-2"/>
          <w:sz w:val="14"/>
        </w:rPr>
        <w:t>thousands)</w:t>
      </w:r>
    </w:p>
    <w:p>
      <w:pPr>
        <w:spacing w:after="0"/>
        <w:jc w:val="center"/>
        <w:rPr>
          <w:sz w:val="14"/>
        </w:rPr>
        <w:sectPr>
          <w:pgSz w:w="12240" w:h="15840"/>
          <w:pgMar w:top="1200" w:bottom="280" w:left="220" w:right="240"/>
          <w:cols w:num="2" w:equalWidth="0">
            <w:col w:w="5283" w:space="3647"/>
            <w:col w:w="2850"/>
          </w:cols>
        </w:sectPr>
      </w:pPr>
    </w:p>
    <w:p>
      <w:pPr>
        <w:pStyle w:val="BodyText"/>
        <w:spacing w:before="3"/>
        <w:rPr>
          <w:b/>
          <w:i/>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5"/>
        <w:gridCol w:w="1614"/>
        <w:gridCol w:w="1726"/>
        <w:gridCol w:w="121"/>
        <w:gridCol w:w="1795"/>
        <w:gridCol w:w="1525"/>
        <w:gridCol w:w="1646"/>
      </w:tblGrid>
      <w:tr>
        <w:trPr>
          <w:trHeight w:val="256" w:hRule="atLeast"/>
        </w:trPr>
        <w:tc>
          <w:tcPr>
            <w:tcW w:w="6425" w:type="dxa"/>
            <w:gridSpan w:val="3"/>
            <w:shd w:val="clear" w:color="auto" w:fill="CCEDFF"/>
          </w:tcPr>
          <w:p>
            <w:pPr>
              <w:pStyle w:val="TableParagraph"/>
              <w:ind w:left="17"/>
              <w:rPr>
                <w:sz w:val="18"/>
              </w:rPr>
            </w:pPr>
            <w:r>
              <w:rPr>
                <w:spacing w:val="-2"/>
                <w:sz w:val="18"/>
              </w:rPr>
              <w:t>Goodwill</w:t>
            </w:r>
          </w:p>
        </w:tc>
        <w:tc>
          <w:tcPr>
            <w:tcW w:w="3441" w:type="dxa"/>
            <w:gridSpan w:val="3"/>
            <w:shd w:val="clear" w:color="auto" w:fill="CCEDFF"/>
          </w:tcPr>
          <w:p>
            <w:pPr>
              <w:pStyle w:val="TableParagraph"/>
              <w:tabs>
                <w:tab w:pos="2655" w:val="left" w:leader="none"/>
              </w:tabs>
              <w:ind w:left="1940"/>
              <w:rPr>
                <w:sz w:val="18"/>
              </w:rPr>
            </w:pPr>
            <w:r>
              <w:rPr>
                <w:spacing w:val="-10"/>
                <w:sz w:val="18"/>
              </w:rPr>
              <w:t>$</w:t>
            </w:r>
            <w:r>
              <w:rPr>
                <w:sz w:val="18"/>
              </w:rPr>
              <w:tab/>
            </w:r>
            <w:r>
              <w:rPr>
                <w:spacing w:val="-2"/>
                <w:sz w:val="18"/>
              </w:rPr>
              <w:t>5,029,312</w:t>
            </w:r>
          </w:p>
        </w:tc>
        <w:tc>
          <w:tcPr>
            <w:tcW w:w="1646" w:type="dxa"/>
            <w:shd w:val="clear" w:color="auto" w:fill="CCEDFF"/>
          </w:tcPr>
          <w:p>
            <w:pPr>
              <w:pStyle w:val="TableParagraph"/>
              <w:tabs>
                <w:tab w:pos="714" w:val="left" w:leader="none"/>
              </w:tabs>
              <w:ind w:right="67"/>
              <w:jc w:val="right"/>
              <w:rPr>
                <w:sz w:val="18"/>
              </w:rPr>
            </w:pPr>
            <w:r>
              <w:rPr>
                <w:spacing w:val="-10"/>
                <w:sz w:val="18"/>
              </w:rPr>
              <w:t>$</w:t>
            </w:r>
            <w:r>
              <w:rPr>
                <w:sz w:val="18"/>
              </w:rPr>
              <w:tab/>
            </w:r>
            <w:r>
              <w:rPr>
                <w:spacing w:val="-2"/>
                <w:sz w:val="18"/>
              </w:rPr>
              <w:t>3,480,997</w:t>
            </w:r>
          </w:p>
        </w:tc>
      </w:tr>
      <w:tr>
        <w:trPr>
          <w:trHeight w:val="256" w:hRule="atLeast"/>
        </w:trPr>
        <w:tc>
          <w:tcPr>
            <w:tcW w:w="6425" w:type="dxa"/>
            <w:gridSpan w:val="3"/>
          </w:tcPr>
          <w:p>
            <w:pPr>
              <w:pStyle w:val="TableParagraph"/>
              <w:spacing w:before="0"/>
              <w:rPr>
                <w:sz w:val="16"/>
              </w:rPr>
            </w:pPr>
          </w:p>
        </w:tc>
        <w:tc>
          <w:tcPr>
            <w:tcW w:w="3441" w:type="dxa"/>
            <w:gridSpan w:val="3"/>
          </w:tcPr>
          <w:p>
            <w:pPr>
              <w:pStyle w:val="TableParagraph"/>
              <w:spacing w:before="0"/>
              <w:rPr>
                <w:sz w:val="16"/>
              </w:rPr>
            </w:pPr>
          </w:p>
        </w:tc>
        <w:tc>
          <w:tcPr>
            <w:tcW w:w="1646" w:type="dxa"/>
          </w:tcPr>
          <w:p>
            <w:pPr>
              <w:pStyle w:val="TableParagraph"/>
              <w:spacing w:before="0"/>
              <w:rPr>
                <w:sz w:val="16"/>
              </w:rPr>
            </w:pPr>
          </w:p>
        </w:tc>
      </w:tr>
      <w:tr>
        <w:trPr>
          <w:trHeight w:val="269" w:hRule="atLeast"/>
        </w:trPr>
        <w:tc>
          <w:tcPr>
            <w:tcW w:w="6425" w:type="dxa"/>
            <w:gridSpan w:val="3"/>
            <w:shd w:val="clear" w:color="auto" w:fill="CCEDFF"/>
          </w:tcPr>
          <w:p>
            <w:pPr>
              <w:pStyle w:val="TableParagraph"/>
              <w:ind w:left="17"/>
              <w:rPr>
                <w:sz w:val="18"/>
              </w:rPr>
            </w:pPr>
            <w:r>
              <w:rPr>
                <w:sz w:val="18"/>
              </w:rPr>
              <w:t>Indefinite-lived</w:t>
            </w:r>
            <w:r>
              <w:rPr>
                <w:spacing w:val="-1"/>
                <w:sz w:val="18"/>
              </w:rPr>
              <w:t> </w:t>
            </w:r>
            <w:r>
              <w:rPr>
                <w:sz w:val="18"/>
              </w:rPr>
              <w:t>intangible</w:t>
            </w:r>
            <w:r>
              <w:rPr>
                <w:spacing w:val="-1"/>
                <w:sz w:val="18"/>
              </w:rPr>
              <w:t> </w:t>
            </w:r>
            <w:r>
              <w:rPr>
                <w:spacing w:val="-2"/>
                <w:sz w:val="18"/>
              </w:rPr>
              <w:t>assets:</w:t>
            </w:r>
          </w:p>
        </w:tc>
        <w:tc>
          <w:tcPr>
            <w:tcW w:w="3441" w:type="dxa"/>
            <w:gridSpan w:val="3"/>
            <w:shd w:val="clear" w:color="auto" w:fill="CCEDFF"/>
          </w:tcPr>
          <w:p>
            <w:pPr>
              <w:pStyle w:val="TableParagraph"/>
              <w:spacing w:before="0"/>
              <w:rPr>
                <w:sz w:val="16"/>
              </w:rPr>
            </w:pPr>
          </w:p>
        </w:tc>
        <w:tc>
          <w:tcPr>
            <w:tcW w:w="1646" w:type="dxa"/>
            <w:shd w:val="clear" w:color="auto" w:fill="CCEDFF"/>
          </w:tcPr>
          <w:p>
            <w:pPr>
              <w:pStyle w:val="TableParagraph"/>
              <w:spacing w:before="0"/>
              <w:rPr>
                <w:sz w:val="16"/>
              </w:rPr>
            </w:pPr>
          </w:p>
        </w:tc>
      </w:tr>
      <w:tr>
        <w:trPr>
          <w:trHeight w:val="256" w:hRule="atLeast"/>
        </w:trPr>
        <w:tc>
          <w:tcPr>
            <w:tcW w:w="6425" w:type="dxa"/>
            <w:gridSpan w:val="3"/>
          </w:tcPr>
          <w:p>
            <w:pPr>
              <w:pStyle w:val="TableParagraph"/>
              <w:ind w:left="217"/>
              <w:rPr>
                <w:sz w:val="18"/>
              </w:rPr>
            </w:pPr>
            <w:r>
              <w:rPr>
                <w:spacing w:val="-2"/>
                <w:sz w:val="18"/>
              </w:rPr>
              <w:t>Trademarks</w:t>
            </w:r>
          </w:p>
        </w:tc>
        <w:tc>
          <w:tcPr>
            <w:tcW w:w="3441" w:type="dxa"/>
            <w:gridSpan w:val="3"/>
          </w:tcPr>
          <w:p>
            <w:pPr>
              <w:pStyle w:val="TableParagraph"/>
              <w:tabs>
                <w:tab w:pos="2790" w:val="left" w:leader="none"/>
              </w:tabs>
              <w:ind w:left="1940"/>
              <w:rPr>
                <w:sz w:val="18"/>
              </w:rPr>
            </w:pPr>
            <w:r>
              <w:rPr>
                <w:spacing w:val="-10"/>
                <w:sz w:val="18"/>
              </w:rPr>
              <w:t>$</w:t>
            </w:r>
            <w:r>
              <w:rPr>
                <w:sz w:val="18"/>
              </w:rPr>
              <w:tab/>
            </w:r>
            <w:r>
              <w:rPr>
                <w:spacing w:val="-2"/>
                <w:sz w:val="18"/>
              </w:rPr>
              <w:t>754,431</w:t>
            </w:r>
          </w:p>
        </w:tc>
        <w:tc>
          <w:tcPr>
            <w:tcW w:w="1646" w:type="dxa"/>
          </w:tcPr>
          <w:p>
            <w:pPr>
              <w:pStyle w:val="TableParagraph"/>
              <w:tabs>
                <w:tab w:pos="849" w:val="left" w:leader="none"/>
              </w:tabs>
              <w:ind w:right="67"/>
              <w:jc w:val="right"/>
              <w:rPr>
                <w:sz w:val="18"/>
              </w:rPr>
            </w:pPr>
            <w:r>
              <w:rPr>
                <w:spacing w:val="-10"/>
                <w:sz w:val="18"/>
              </w:rPr>
              <w:t>$</w:t>
            </w:r>
            <w:r>
              <w:rPr>
                <w:sz w:val="18"/>
              </w:rPr>
              <w:tab/>
            </w:r>
            <w:r>
              <w:rPr>
                <w:spacing w:val="-2"/>
                <w:sz w:val="18"/>
              </w:rPr>
              <w:t>479,238</w:t>
            </w:r>
          </w:p>
        </w:tc>
      </w:tr>
      <w:tr>
        <w:trPr>
          <w:trHeight w:val="255" w:hRule="atLeast"/>
        </w:trPr>
        <w:tc>
          <w:tcPr>
            <w:tcW w:w="6425" w:type="dxa"/>
            <w:gridSpan w:val="3"/>
            <w:shd w:val="clear" w:color="auto" w:fill="CCEDFF"/>
          </w:tcPr>
          <w:p>
            <w:pPr>
              <w:pStyle w:val="TableParagraph"/>
              <w:ind w:left="217"/>
              <w:rPr>
                <w:sz w:val="18"/>
              </w:rPr>
            </w:pPr>
            <w:r>
              <w:rPr>
                <w:sz w:val="18"/>
              </w:rPr>
              <w:t>Gaming</w:t>
            </w:r>
            <w:r>
              <w:rPr>
                <w:spacing w:val="-1"/>
                <w:sz w:val="18"/>
              </w:rPr>
              <w:t> </w:t>
            </w:r>
            <w:r>
              <w:rPr>
                <w:sz w:val="18"/>
              </w:rPr>
              <w:t>rights</w:t>
            </w:r>
            <w:r>
              <w:rPr>
                <w:spacing w:val="-1"/>
                <w:sz w:val="18"/>
              </w:rPr>
              <w:t> </w:t>
            </w:r>
            <w:r>
              <w:rPr>
                <w:sz w:val="18"/>
              </w:rPr>
              <w:t>and</w:t>
            </w:r>
            <w:r>
              <w:rPr>
                <w:spacing w:val="-1"/>
                <w:sz w:val="18"/>
              </w:rPr>
              <w:t> </w:t>
            </w:r>
            <w:r>
              <w:rPr>
                <w:spacing w:val="-2"/>
                <w:sz w:val="18"/>
              </w:rPr>
              <w:t>other</w:t>
            </w:r>
          </w:p>
        </w:tc>
        <w:tc>
          <w:tcPr>
            <w:tcW w:w="3441" w:type="dxa"/>
            <w:gridSpan w:val="3"/>
            <w:shd w:val="clear" w:color="auto" w:fill="CCEDFF"/>
          </w:tcPr>
          <w:p>
            <w:pPr>
              <w:pStyle w:val="TableParagraph"/>
              <w:ind w:right="63"/>
              <w:jc w:val="right"/>
              <w:rPr>
                <w:sz w:val="18"/>
              </w:rPr>
            </w:pPr>
            <w:r>
              <w:rPr>
                <w:spacing w:val="-2"/>
                <w:sz w:val="18"/>
              </w:rPr>
              <w:t>385,060</w:t>
            </w:r>
          </w:p>
        </w:tc>
        <w:tc>
          <w:tcPr>
            <w:tcW w:w="1646" w:type="dxa"/>
            <w:tcBorders>
              <w:bottom w:val="single" w:sz="6" w:space="0" w:color="000000"/>
            </w:tcBorders>
            <w:shd w:val="clear" w:color="auto" w:fill="CCEDFF"/>
          </w:tcPr>
          <w:p>
            <w:pPr>
              <w:pStyle w:val="TableParagraph"/>
              <w:ind w:right="67"/>
              <w:jc w:val="right"/>
              <w:rPr>
                <w:sz w:val="18"/>
              </w:rPr>
            </w:pPr>
            <w:r>
              <w:rPr>
                <w:spacing w:val="-2"/>
                <w:sz w:val="18"/>
              </w:rPr>
              <w:t>378,098</w:t>
            </w:r>
          </w:p>
        </w:tc>
      </w:tr>
      <w:tr>
        <w:trPr>
          <w:trHeight w:val="254" w:hRule="atLeast"/>
        </w:trPr>
        <w:tc>
          <w:tcPr>
            <w:tcW w:w="6425" w:type="dxa"/>
            <w:gridSpan w:val="3"/>
          </w:tcPr>
          <w:p>
            <w:pPr>
              <w:pStyle w:val="TableParagraph"/>
              <w:spacing w:before="6"/>
              <w:ind w:left="462"/>
              <w:rPr>
                <w:sz w:val="18"/>
              </w:rPr>
            </w:pPr>
            <w:r>
              <w:rPr>
                <w:sz w:val="18"/>
              </w:rPr>
              <w:t>Total</w:t>
            </w:r>
            <w:r>
              <w:rPr>
                <w:spacing w:val="-6"/>
                <w:sz w:val="18"/>
              </w:rPr>
              <w:t> </w:t>
            </w:r>
            <w:r>
              <w:rPr>
                <w:sz w:val="18"/>
              </w:rPr>
              <w:t>indefinite-lived</w:t>
            </w:r>
            <w:r>
              <w:rPr>
                <w:spacing w:val="-5"/>
                <w:sz w:val="18"/>
              </w:rPr>
              <w:t> </w:t>
            </w:r>
            <w:r>
              <w:rPr>
                <w:sz w:val="18"/>
              </w:rPr>
              <w:t>intangible</w:t>
            </w:r>
            <w:r>
              <w:rPr>
                <w:spacing w:val="-5"/>
                <w:sz w:val="18"/>
              </w:rPr>
              <w:t> </w:t>
            </w:r>
            <w:r>
              <w:rPr>
                <w:spacing w:val="-2"/>
                <w:sz w:val="18"/>
              </w:rPr>
              <w:t>assets</w:t>
            </w:r>
          </w:p>
        </w:tc>
        <w:tc>
          <w:tcPr>
            <w:tcW w:w="3441" w:type="dxa"/>
            <w:gridSpan w:val="3"/>
          </w:tcPr>
          <w:p>
            <w:pPr>
              <w:pStyle w:val="TableParagraph"/>
              <w:spacing w:before="20"/>
              <w:ind w:right="63"/>
              <w:jc w:val="right"/>
              <w:rPr>
                <w:sz w:val="18"/>
              </w:rPr>
            </w:pPr>
            <w:r>
              <w:rPr>
                <w:spacing w:val="-2"/>
                <w:sz w:val="18"/>
              </w:rPr>
              <w:t>1,139,491</w:t>
            </w:r>
          </w:p>
        </w:tc>
        <w:tc>
          <w:tcPr>
            <w:tcW w:w="1646" w:type="dxa"/>
            <w:tcBorders>
              <w:top w:val="single" w:sz="6" w:space="0" w:color="000000"/>
              <w:bottom w:val="single" w:sz="6" w:space="0" w:color="000000"/>
            </w:tcBorders>
          </w:tcPr>
          <w:p>
            <w:pPr>
              <w:pStyle w:val="TableParagraph"/>
              <w:spacing w:before="20"/>
              <w:ind w:right="67"/>
              <w:jc w:val="right"/>
              <w:rPr>
                <w:sz w:val="18"/>
              </w:rPr>
            </w:pPr>
            <w:r>
              <w:rPr>
                <w:spacing w:val="-2"/>
                <w:sz w:val="18"/>
              </w:rPr>
              <w:t>857,336</w:t>
            </w:r>
          </w:p>
        </w:tc>
      </w:tr>
      <w:tr>
        <w:trPr>
          <w:trHeight w:val="255" w:hRule="atLeast"/>
        </w:trPr>
        <w:tc>
          <w:tcPr>
            <w:tcW w:w="11512" w:type="dxa"/>
            <w:gridSpan w:val="7"/>
            <w:shd w:val="clear" w:color="auto" w:fill="CCEDFF"/>
          </w:tcPr>
          <w:p>
            <w:pPr>
              <w:pStyle w:val="TableParagraph"/>
              <w:spacing w:before="20"/>
              <w:ind w:left="17"/>
              <w:rPr>
                <w:sz w:val="18"/>
              </w:rPr>
            </w:pPr>
            <w:r>
              <w:rPr>
                <w:sz w:val="18"/>
              </w:rPr>
              <w:t>Finite-lived</w:t>
            </w:r>
            <w:r>
              <w:rPr>
                <w:spacing w:val="-1"/>
                <w:sz w:val="18"/>
              </w:rPr>
              <w:t> </w:t>
            </w:r>
            <w:r>
              <w:rPr>
                <w:sz w:val="18"/>
              </w:rPr>
              <w:t>intangible</w:t>
            </w:r>
            <w:r>
              <w:rPr>
                <w:spacing w:val="-1"/>
                <w:sz w:val="18"/>
              </w:rPr>
              <w:t> </w:t>
            </w:r>
            <w:r>
              <w:rPr>
                <w:spacing w:val="-2"/>
                <w:sz w:val="18"/>
              </w:rPr>
              <w:t>assets:</w:t>
            </w:r>
          </w:p>
        </w:tc>
      </w:tr>
      <w:tr>
        <w:trPr>
          <w:trHeight w:val="256" w:hRule="atLeast"/>
        </w:trPr>
        <w:tc>
          <w:tcPr>
            <w:tcW w:w="6425" w:type="dxa"/>
            <w:gridSpan w:val="3"/>
          </w:tcPr>
          <w:p>
            <w:pPr>
              <w:pStyle w:val="TableParagraph"/>
              <w:ind w:left="217"/>
              <w:rPr>
                <w:sz w:val="18"/>
              </w:rPr>
            </w:pPr>
            <w:r>
              <w:rPr>
                <w:sz w:val="18"/>
              </w:rPr>
              <w:t>MGM</w:t>
            </w:r>
            <w:r>
              <w:rPr>
                <w:spacing w:val="-1"/>
                <w:sz w:val="18"/>
              </w:rPr>
              <w:t> </w:t>
            </w:r>
            <w:r>
              <w:rPr>
                <w:sz w:val="18"/>
              </w:rPr>
              <w:t>Grand</w:t>
            </w:r>
            <w:r>
              <w:rPr>
                <w:spacing w:val="-1"/>
                <w:sz w:val="18"/>
              </w:rPr>
              <w:t> </w:t>
            </w:r>
            <w:r>
              <w:rPr>
                <w:sz w:val="18"/>
              </w:rPr>
              <w:t>Paradise</w:t>
            </w:r>
            <w:r>
              <w:rPr>
                <w:spacing w:val="-1"/>
                <w:sz w:val="18"/>
              </w:rPr>
              <w:t> </w:t>
            </w:r>
            <w:r>
              <w:rPr>
                <w:sz w:val="18"/>
              </w:rPr>
              <w:t>gaming</w:t>
            </w:r>
            <w:r>
              <w:rPr>
                <w:spacing w:val="-1"/>
                <w:sz w:val="18"/>
              </w:rPr>
              <w:t> </w:t>
            </w:r>
            <w:r>
              <w:rPr>
                <w:spacing w:val="-2"/>
                <w:sz w:val="18"/>
              </w:rPr>
              <w:t>subconcession</w:t>
            </w:r>
          </w:p>
        </w:tc>
        <w:tc>
          <w:tcPr>
            <w:tcW w:w="1916" w:type="dxa"/>
            <w:gridSpan w:val="2"/>
          </w:tcPr>
          <w:p>
            <w:pPr>
              <w:pStyle w:val="TableParagraph"/>
              <w:spacing w:before="0"/>
              <w:rPr>
                <w:sz w:val="16"/>
              </w:rPr>
            </w:pPr>
          </w:p>
        </w:tc>
        <w:tc>
          <w:tcPr>
            <w:tcW w:w="1525" w:type="dxa"/>
          </w:tcPr>
          <w:p>
            <w:pPr>
              <w:pStyle w:val="TableParagraph"/>
              <w:ind w:right="63"/>
              <w:jc w:val="right"/>
              <w:rPr>
                <w:sz w:val="18"/>
              </w:rPr>
            </w:pPr>
            <w:r>
              <w:rPr>
                <w:spacing w:val="-2"/>
                <w:sz w:val="18"/>
              </w:rPr>
              <w:t>4,519,486</w:t>
            </w:r>
          </w:p>
        </w:tc>
        <w:tc>
          <w:tcPr>
            <w:tcW w:w="1646" w:type="dxa"/>
          </w:tcPr>
          <w:p>
            <w:pPr>
              <w:pStyle w:val="TableParagraph"/>
              <w:ind w:right="67"/>
              <w:jc w:val="right"/>
              <w:rPr>
                <w:sz w:val="18"/>
              </w:rPr>
            </w:pPr>
            <w:r>
              <w:rPr>
                <w:spacing w:val="-2"/>
                <w:sz w:val="18"/>
              </w:rPr>
              <w:t>4,516,532</w:t>
            </w:r>
          </w:p>
        </w:tc>
      </w:tr>
      <w:tr>
        <w:trPr>
          <w:trHeight w:val="255" w:hRule="atLeast"/>
        </w:trPr>
        <w:tc>
          <w:tcPr>
            <w:tcW w:w="6425" w:type="dxa"/>
            <w:gridSpan w:val="3"/>
            <w:shd w:val="clear" w:color="auto" w:fill="CCEDFF"/>
          </w:tcPr>
          <w:p>
            <w:pPr>
              <w:pStyle w:val="TableParagraph"/>
              <w:ind w:left="217"/>
              <w:rPr>
                <w:sz w:val="18"/>
              </w:rPr>
            </w:pPr>
            <w:r>
              <w:rPr>
                <w:sz w:val="18"/>
              </w:rPr>
              <w:t>Less:</w:t>
            </w:r>
            <w:r>
              <w:rPr>
                <w:spacing w:val="-12"/>
                <w:sz w:val="18"/>
              </w:rPr>
              <w:t> </w:t>
            </w:r>
            <w:r>
              <w:rPr>
                <w:sz w:val="18"/>
              </w:rPr>
              <w:t>Accumulated</w:t>
            </w:r>
            <w:r>
              <w:rPr>
                <w:spacing w:val="-1"/>
                <w:sz w:val="18"/>
              </w:rPr>
              <w:t> </w:t>
            </w:r>
            <w:r>
              <w:rPr>
                <w:spacing w:val="-2"/>
                <w:sz w:val="18"/>
              </w:rPr>
              <w:t>amortization</w:t>
            </w:r>
          </w:p>
        </w:tc>
        <w:tc>
          <w:tcPr>
            <w:tcW w:w="1916" w:type="dxa"/>
            <w:gridSpan w:val="2"/>
            <w:shd w:val="clear" w:color="auto" w:fill="CCEDFF"/>
          </w:tcPr>
          <w:p>
            <w:pPr>
              <w:pStyle w:val="TableParagraph"/>
              <w:spacing w:before="0"/>
              <w:rPr>
                <w:sz w:val="16"/>
              </w:rPr>
            </w:pPr>
          </w:p>
        </w:tc>
        <w:tc>
          <w:tcPr>
            <w:tcW w:w="1525" w:type="dxa"/>
            <w:tcBorders>
              <w:bottom w:val="single" w:sz="6" w:space="0" w:color="000000"/>
            </w:tcBorders>
            <w:shd w:val="clear" w:color="auto" w:fill="CCEDFF"/>
          </w:tcPr>
          <w:p>
            <w:pPr>
              <w:pStyle w:val="TableParagraph"/>
              <w:ind w:right="18"/>
              <w:jc w:val="right"/>
              <w:rPr>
                <w:sz w:val="18"/>
              </w:rPr>
            </w:pPr>
            <w:r>
              <w:rPr>
                <w:spacing w:val="-2"/>
                <w:sz w:val="18"/>
              </w:rPr>
              <w:t>(4,519,486)</w:t>
            </w:r>
          </w:p>
        </w:tc>
        <w:tc>
          <w:tcPr>
            <w:tcW w:w="1646" w:type="dxa"/>
            <w:tcBorders>
              <w:bottom w:val="single" w:sz="6" w:space="0" w:color="000000"/>
            </w:tcBorders>
            <w:shd w:val="clear" w:color="auto" w:fill="CCEDFF"/>
          </w:tcPr>
          <w:p>
            <w:pPr>
              <w:pStyle w:val="TableParagraph"/>
              <w:ind w:right="22"/>
              <w:jc w:val="right"/>
              <w:rPr>
                <w:sz w:val="18"/>
              </w:rPr>
            </w:pPr>
            <w:r>
              <w:rPr>
                <w:spacing w:val="-2"/>
                <w:sz w:val="18"/>
              </w:rPr>
              <w:t>(1,865,219)</w:t>
            </w:r>
          </w:p>
        </w:tc>
      </w:tr>
      <w:tr>
        <w:trPr>
          <w:trHeight w:val="254" w:hRule="atLeast"/>
        </w:trPr>
        <w:tc>
          <w:tcPr>
            <w:tcW w:w="6425" w:type="dxa"/>
            <w:gridSpan w:val="3"/>
          </w:tcPr>
          <w:p>
            <w:pPr>
              <w:pStyle w:val="TableParagraph"/>
              <w:spacing w:before="0"/>
              <w:rPr>
                <w:sz w:val="16"/>
              </w:rPr>
            </w:pPr>
          </w:p>
        </w:tc>
        <w:tc>
          <w:tcPr>
            <w:tcW w:w="1916" w:type="dxa"/>
            <w:gridSpan w:val="2"/>
          </w:tcPr>
          <w:p>
            <w:pPr>
              <w:pStyle w:val="TableParagraph"/>
              <w:spacing w:before="0"/>
              <w:rPr>
                <w:sz w:val="16"/>
              </w:rPr>
            </w:pPr>
          </w:p>
        </w:tc>
        <w:tc>
          <w:tcPr>
            <w:tcW w:w="1525" w:type="dxa"/>
            <w:tcBorders>
              <w:top w:val="single" w:sz="6" w:space="0" w:color="000000"/>
              <w:bottom w:val="single" w:sz="6" w:space="0" w:color="000000"/>
            </w:tcBorders>
          </w:tcPr>
          <w:p>
            <w:pPr>
              <w:pStyle w:val="TableParagraph"/>
              <w:spacing w:before="20"/>
              <w:ind w:right="63"/>
              <w:jc w:val="right"/>
              <w:rPr>
                <w:sz w:val="18"/>
              </w:rPr>
            </w:pPr>
            <w:r>
              <w:rPr>
                <w:spacing w:val="-10"/>
                <w:sz w:val="18"/>
              </w:rPr>
              <w:t>—</w:t>
            </w:r>
          </w:p>
        </w:tc>
        <w:tc>
          <w:tcPr>
            <w:tcW w:w="1646" w:type="dxa"/>
            <w:tcBorders>
              <w:top w:val="single" w:sz="6" w:space="0" w:color="000000"/>
              <w:bottom w:val="single" w:sz="6" w:space="0" w:color="000000"/>
            </w:tcBorders>
          </w:tcPr>
          <w:p>
            <w:pPr>
              <w:pStyle w:val="TableParagraph"/>
              <w:spacing w:before="20"/>
              <w:ind w:right="67"/>
              <w:jc w:val="right"/>
              <w:rPr>
                <w:sz w:val="18"/>
              </w:rPr>
            </w:pPr>
            <w:r>
              <w:rPr>
                <w:spacing w:val="-2"/>
                <w:sz w:val="18"/>
              </w:rPr>
              <w:t>2,651,313</w:t>
            </w:r>
          </w:p>
        </w:tc>
      </w:tr>
      <w:tr>
        <w:trPr>
          <w:trHeight w:val="269" w:hRule="atLeast"/>
        </w:trPr>
        <w:tc>
          <w:tcPr>
            <w:tcW w:w="6425" w:type="dxa"/>
            <w:gridSpan w:val="3"/>
            <w:shd w:val="clear" w:color="auto" w:fill="CCEDFF"/>
          </w:tcPr>
          <w:p>
            <w:pPr>
              <w:pStyle w:val="TableParagraph"/>
              <w:spacing w:before="20"/>
              <w:ind w:left="217"/>
              <w:rPr>
                <w:sz w:val="18"/>
              </w:rPr>
            </w:pPr>
            <w:r>
              <w:rPr>
                <w:sz w:val="18"/>
              </w:rPr>
              <w:t>Customer</w:t>
            </w:r>
            <w:r>
              <w:rPr>
                <w:spacing w:val="-1"/>
                <w:sz w:val="18"/>
              </w:rPr>
              <w:t> </w:t>
            </w:r>
            <w:r>
              <w:rPr>
                <w:spacing w:val="-2"/>
                <w:sz w:val="18"/>
              </w:rPr>
              <w:t>lists</w:t>
            </w:r>
          </w:p>
        </w:tc>
        <w:tc>
          <w:tcPr>
            <w:tcW w:w="1916" w:type="dxa"/>
            <w:gridSpan w:val="2"/>
            <w:shd w:val="clear" w:color="auto" w:fill="CCEDFF"/>
          </w:tcPr>
          <w:p>
            <w:pPr>
              <w:pStyle w:val="TableParagraph"/>
              <w:spacing w:before="0"/>
              <w:rPr>
                <w:sz w:val="16"/>
              </w:rPr>
            </w:pPr>
          </w:p>
        </w:tc>
        <w:tc>
          <w:tcPr>
            <w:tcW w:w="1525" w:type="dxa"/>
            <w:tcBorders>
              <w:top w:val="single" w:sz="6" w:space="0" w:color="000000"/>
            </w:tcBorders>
            <w:shd w:val="clear" w:color="auto" w:fill="CCEDFF"/>
          </w:tcPr>
          <w:p>
            <w:pPr>
              <w:pStyle w:val="TableParagraph"/>
              <w:spacing w:before="20"/>
              <w:ind w:right="63"/>
              <w:jc w:val="right"/>
              <w:rPr>
                <w:sz w:val="18"/>
              </w:rPr>
            </w:pPr>
            <w:r>
              <w:rPr>
                <w:spacing w:val="-2"/>
                <w:sz w:val="18"/>
              </w:rPr>
              <w:t>283,232</w:t>
            </w:r>
          </w:p>
        </w:tc>
        <w:tc>
          <w:tcPr>
            <w:tcW w:w="1646" w:type="dxa"/>
            <w:tcBorders>
              <w:top w:val="single" w:sz="6" w:space="0" w:color="000000"/>
            </w:tcBorders>
            <w:shd w:val="clear" w:color="auto" w:fill="CCEDFF"/>
          </w:tcPr>
          <w:p>
            <w:pPr>
              <w:pStyle w:val="TableParagraph"/>
              <w:spacing w:before="20"/>
              <w:ind w:right="67"/>
              <w:jc w:val="right"/>
              <w:rPr>
                <w:sz w:val="18"/>
              </w:rPr>
            </w:pPr>
            <w:r>
              <w:rPr>
                <w:spacing w:val="-2"/>
                <w:sz w:val="18"/>
              </w:rPr>
              <w:t>52,000</w:t>
            </w:r>
          </w:p>
        </w:tc>
      </w:tr>
      <w:tr>
        <w:trPr>
          <w:trHeight w:val="255" w:hRule="atLeast"/>
        </w:trPr>
        <w:tc>
          <w:tcPr>
            <w:tcW w:w="6425" w:type="dxa"/>
            <w:gridSpan w:val="3"/>
          </w:tcPr>
          <w:p>
            <w:pPr>
              <w:pStyle w:val="TableParagraph"/>
              <w:ind w:left="217"/>
              <w:rPr>
                <w:sz w:val="18"/>
              </w:rPr>
            </w:pPr>
            <w:r>
              <w:rPr>
                <w:sz w:val="18"/>
              </w:rPr>
              <w:t>Less:</w:t>
            </w:r>
            <w:r>
              <w:rPr>
                <w:spacing w:val="-12"/>
                <w:sz w:val="18"/>
              </w:rPr>
              <w:t> </w:t>
            </w:r>
            <w:r>
              <w:rPr>
                <w:sz w:val="18"/>
              </w:rPr>
              <w:t>Accumulated</w:t>
            </w:r>
            <w:r>
              <w:rPr>
                <w:spacing w:val="-1"/>
                <w:sz w:val="18"/>
              </w:rPr>
              <w:t> </w:t>
            </w:r>
            <w:r>
              <w:rPr>
                <w:spacing w:val="-2"/>
                <w:sz w:val="18"/>
              </w:rPr>
              <w:t>amortization</w:t>
            </w:r>
          </w:p>
        </w:tc>
        <w:tc>
          <w:tcPr>
            <w:tcW w:w="1916" w:type="dxa"/>
            <w:gridSpan w:val="2"/>
          </w:tcPr>
          <w:p>
            <w:pPr>
              <w:pStyle w:val="TableParagraph"/>
              <w:spacing w:before="0"/>
              <w:rPr>
                <w:sz w:val="16"/>
              </w:rPr>
            </w:pPr>
          </w:p>
        </w:tc>
        <w:tc>
          <w:tcPr>
            <w:tcW w:w="1525" w:type="dxa"/>
            <w:tcBorders>
              <w:bottom w:val="single" w:sz="6" w:space="0" w:color="000000"/>
            </w:tcBorders>
          </w:tcPr>
          <w:p>
            <w:pPr>
              <w:pStyle w:val="TableParagraph"/>
              <w:ind w:right="18"/>
              <w:jc w:val="right"/>
              <w:rPr>
                <w:sz w:val="18"/>
              </w:rPr>
            </w:pPr>
            <w:r>
              <w:rPr>
                <w:spacing w:val="-2"/>
                <w:sz w:val="18"/>
              </w:rPr>
              <w:t>(60,055)</w:t>
            </w:r>
          </w:p>
        </w:tc>
        <w:tc>
          <w:tcPr>
            <w:tcW w:w="1646" w:type="dxa"/>
            <w:tcBorders>
              <w:bottom w:val="single" w:sz="6" w:space="0" w:color="000000"/>
            </w:tcBorders>
          </w:tcPr>
          <w:p>
            <w:pPr>
              <w:pStyle w:val="TableParagraph"/>
              <w:ind w:right="22"/>
              <w:jc w:val="right"/>
              <w:rPr>
                <w:sz w:val="18"/>
              </w:rPr>
            </w:pPr>
            <w:r>
              <w:rPr>
                <w:spacing w:val="-2"/>
                <w:sz w:val="18"/>
              </w:rPr>
              <w:t>(32,188)</w:t>
            </w:r>
          </w:p>
        </w:tc>
      </w:tr>
      <w:tr>
        <w:trPr>
          <w:trHeight w:val="254" w:hRule="atLeast"/>
        </w:trPr>
        <w:tc>
          <w:tcPr>
            <w:tcW w:w="6425" w:type="dxa"/>
            <w:gridSpan w:val="3"/>
            <w:shd w:val="clear" w:color="auto" w:fill="CCEDFF"/>
          </w:tcPr>
          <w:p>
            <w:pPr>
              <w:pStyle w:val="TableParagraph"/>
              <w:spacing w:before="0"/>
              <w:rPr>
                <w:sz w:val="16"/>
              </w:rPr>
            </w:pPr>
          </w:p>
        </w:tc>
        <w:tc>
          <w:tcPr>
            <w:tcW w:w="1916" w:type="dxa"/>
            <w:gridSpan w:val="2"/>
            <w:shd w:val="clear" w:color="auto" w:fill="CCEDFF"/>
          </w:tcPr>
          <w:p>
            <w:pPr>
              <w:pStyle w:val="TableParagraph"/>
              <w:spacing w:before="0"/>
              <w:rPr>
                <w:sz w:val="16"/>
              </w:rPr>
            </w:pPr>
          </w:p>
        </w:tc>
        <w:tc>
          <w:tcPr>
            <w:tcW w:w="1525" w:type="dxa"/>
            <w:tcBorders>
              <w:top w:val="single" w:sz="6" w:space="0" w:color="000000"/>
              <w:bottom w:val="single" w:sz="6" w:space="0" w:color="000000"/>
            </w:tcBorders>
            <w:shd w:val="clear" w:color="auto" w:fill="CCEDFF"/>
          </w:tcPr>
          <w:p>
            <w:pPr>
              <w:pStyle w:val="TableParagraph"/>
              <w:spacing w:before="20"/>
              <w:ind w:right="63"/>
              <w:jc w:val="right"/>
              <w:rPr>
                <w:sz w:val="18"/>
              </w:rPr>
            </w:pPr>
            <w:r>
              <w:rPr>
                <w:spacing w:val="-2"/>
                <w:sz w:val="18"/>
              </w:rPr>
              <w:t>223,177</w:t>
            </w:r>
          </w:p>
        </w:tc>
        <w:tc>
          <w:tcPr>
            <w:tcW w:w="1646" w:type="dxa"/>
            <w:tcBorders>
              <w:top w:val="single" w:sz="6" w:space="0" w:color="000000"/>
              <w:bottom w:val="single" w:sz="6" w:space="0" w:color="000000"/>
            </w:tcBorders>
            <w:shd w:val="clear" w:color="auto" w:fill="CCEDFF"/>
          </w:tcPr>
          <w:p>
            <w:pPr>
              <w:pStyle w:val="TableParagraph"/>
              <w:spacing w:before="20"/>
              <w:ind w:right="67"/>
              <w:jc w:val="right"/>
              <w:rPr>
                <w:sz w:val="18"/>
              </w:rPr>
            </w:pPr>
            <w:r>
              <w:rPr>
                <w:spacing w:val="-2"/>
                <w:sz w:val="18"/>
              </w:rPr>
              <w:t>19,812</w:t>
            </w:r>
          </w:p>
        </w:tc>
      </w:tr>
      <w:tr>
        <w:trPr>
          <w:trHeight w:val="255" w:hRule="atLeast"/>
        </w:trPr>
        <w:tc>
          <w:tcPr>
            <w:tcW w:w="6425" w:type="dxa"/>
            <w:gridSpan w:val="3"/>
          </w:tcPr>
          <w:p>
            <w:pPr>
              <w:pStyle w:val="TableParagraph"/>
              <w:spacing w:before="6"/>
              <w:ind w:left="217"/>
              <w:rPr>
                <w:sz w:val="18"/>
              </w:rPr>
            </w:pPr>
            <w:r>
              <w:rPr>
                <w:sz w:val="18"/>
              </w:rPr>
              <w:t>Gaming</w:t>
            </w:r>
            <w:r>
              <w:rPr>
                <w:spacing w:val="-1"/>
                <w:sz w:val="18"/>
              </w:rPr>
              <w:t> </w:t>
            </w:r>
            <w:r>
              <w:rPr>
                <w:spacing w:val="-2"/>
                <w:sz w:val="18"/>
              </w:rPr>
              <w:t>rights</w:t>
            </w:r>
          </w:p>
        </w:tc>
        <w:tc>
          <w:tcPr>
            <w:tcW w:w="1916" w:type="dxa"/>
            <w:gridSpan w:val="2"/>
          </w:tcPr>
          <w:p>
            <w:pPr>
              <w:pStyle w:val="TableParagraph"/>
              <w:spacing w:before="0"/>
              <w:rPr>
                <w:sz w:val="16"/>
              </w:rPr>
            </w:pPr>
          </w:p>
        </w:tc>
        <w:tc>
          <w:tcPr>
            <w:tcW w:w="1525" w:type="dxa"/>
            <w:tcBorders>
              <w:top w:val="single" w:sz="6" w:space="0" w:color="000000"/>
            </w:tcBorders>
          </w:tcPr>
          <w:p>
            <w:pPr>
              <w:pStyle w:val="TableParagraph"/>
              <w:spacing w:before="20"/>
              <w:ind w:right="63"/>
              <w:jc w:val="right"/>
              <w:rPr>
                <w:sz w:val="18"/>
              </w:rPr>
            </w:pPr>
            <w:r>
              <w:rPr>
                <w:spacing w:val="-2"/>
                <w:sz w:val="18"/>
              </w:rPr>
              <w:t>106,600</w:t>
            </w:r>
          </w:p>
        </w:tc>
        <w:tc>
          <w:tcPr>
            <w:tcW w:w="1646" w:type="dxa"/>
            <w:tcBorders>
              <w:top w:val="single" w:sz="6" w:space="0" w:color="000000"/>
            </w:tcBorders>
          </w:tcPr>
          <w:p>
            <w:pPr>
              <w:pStyle w:val="TableParagraph"/>
              <w:spacing w:before="20"/>
              <w:ind w:right="67"/>
              <w:jc w:val="right"/>
              <w:rPr>
                <w:sz w:val="18"/>
              </w:rPr>
            </w:pPr>
            <w:r>
              <w:rPr>
                <w:spacing w:val="-2"/>
                <w:sz w:val="18"/>
              </w:rPr>
              <w:t>106,600</w:t>
            </w:r>
          </w:p>
        </w:tc>
      </w:tr>
      <w:tr>
        <w:trPr>
          <w:trHeight w:val="255" w:hRule="atLeast"/>
        </w:trPr>
        <w:tc>
          <w:tcPr>
            <w:tcW w:w="6425" w:type="dxa"/>
            <w:gridSpan w:val="3"/>
            <w:shd w:val="clear" w:color="auto" w:fill="CCEDFF"/>
          </w:tcPr>
          <w:p>
            <w:pPr>
              <w:pStyle w:val="TableParagraph"/>
              <w:ind w:left="217"/>
              <w:rPr>
                <w:sz w:val="18"/>
              </w:rPr>
            </w:pPr>
            <w:r>
              <w:rPr>
                <w:sz w:val="18"/>
              </w:rPr>
              <w:t>Less:</w:t>
            </w:r>
            <w:r>
              <w:rPr>
                <w:spacing w:val="-12"/>
                <w:sz w:val="18"/>
              </w:rPr>
              <w:t> </w:t>
            </w:r>
            <w:r>
              <w:rPr>
                <w:sz w:val="18"/>
              </w:rPr>
              <w:t>Accumulated</w:t>
            </w:r>
            <w:r>
              <w:rPr>
                <w:spacing w:val="-1"/>
                <w:sz w:val="18"/>
              </w:rPr>
              <w:t> </w:t>
            </w:r>
            <w:r>
              <w:rPr>
                <w:spacing w:val="-2"/>
                <w:sz w:val="18"/>
              </w:rPr>
              <w:t>amortization</w:t>
            </w:r>
          </w:p>
        </w:tc>
        <w:tc>
          <w:tcPr>
            <w:tcW w:w="1916" w:type="dxa"/>
            <w:gridSpan w:val="2"/>
            <w:shd w:val="clear" w:color="auto" w:fill="CCEDFF"/>
          </w:tcPr>
          <w:p>
            <w:pPr>
              <w:pStyle w:val="TableParagraph"/>
              <w:spacing w:before="0"/>
              <w:rPr>
                <w:sz w:val="16"/>
              </w:rPr>
            </w:pPr>
          </w:p>
        </w:tc>
        <w:tc>
          <w:tcPr>
            <w:tcW w:w="1525" w:type="dxa"/>
            <w:tcBorders>
              <w:bottom w:val="single" w:sz="6" w:space="0" w:color="000000"/>
            </w:tcBorders>
            <w:shd w:val="clear" w:color="auto" w:fill="CCEDFF"/>
          </w:tcPr>
          <w:p>
            <w:pPr>
              <w:pStyle w:val="TableParagraph"/>
              <w:ind w:right="18"/>
              <w:jc w:val="right"/>
              <w:rPr>
                <w:sz w:val="18"/>
              </w:rPr>
            </w:pPr>
            <w:r>
              <w:rPr>
                <w:spacing w:val="-2"/>
                <w:sz w:val="18"/>
              </w:rPr>
              <w:t>(33,316)</w:t>
            </w:r>
          </w:p>
        </w:tc>
        <w:tc>
          <w:tcPr>
            <w:tcW w:w="1646" w:type="dxa"/>
            <w:tcBorders>
              <w:bottom w:val="single" w:sz="6" w:space="0" w:color="000000"/>
            </w:tcBorders>
            <w:shd w:val="clear" w:color="auto" w:fill="CCEDFF"/>
          </w:tcPr>
          <w:p>
            <w:pPr>
              <w:pStyle w:val="TableParagraph"/>
              <w:ind w:right="22"/>
              <w:jc w:val="right"/>
              <w:rPr>
                <w:sz w:val="18"/>
              </w:rPr>
            </w:pPr>
            <w:r>
              <w:rPr>
                <w:spacing w:val="-2"/>
                <w:sz w:val="18"/>
              </w:rPr>
              <w:t>(26,209)</w:t>
            </w:r>
          </w:p>
        </w:tc>
      </w:tr>
      <w:tr>
        <w:trPr>
          <w:trHeight w:val="254" w:hRule="atLeast"/>
        </w:trPr>
        <w:tc>
          <w:tcPr>
            <w:tcW w:w="6425" w:type="dxa"/>
            <w:gridSpan w:val="3"/>
          </w:tcPr>
          <w:p>
            <w:pPr>
              <w:pStyle w:val="TableParagraph"/>
              <w:spacing w:before="0"/>
              <w:rPr>
                <w:sz w:val="16"/>
              </w:rPr>
            </w:pPr>
          </w:p>
        </w:tc>
        <w:tc>
          <w:tcPr>
            <w:tcW w:w="1916" w:type="dxa"/>
            <w:gridSpan w:val="2"/>
          </w:tcPr>
          <w:p>
            <w:pPr>
              <w:pStyle w:val="TableParagraph"/>
              <w:spacing w:before="0"/>
              <w:rPr>
                <w:sz w:val="16"/>
              </w:rPr>
            </w:pPr>
          </w:p>
        </w:tc>
        <w:tc>
          <w:tcPr>
            <w:tcW w:w="1525" w:type="dxa"/>
            <w:tcBorders>
              <w:top w:val="single" w:sz="6" w:space="0" w:color="000000"/>
              <w:bottom w:val="single" w:sz="6" w:space="0" w:color="000000"/>
            </w:tcBorders>
          </w:tcPr>
          <w:p>
            <w:pPr>
              <w:pStyle w:val="TableParagraph"/>
              <w:spacing w:before="20"/>
              <w:ind w:right="63"/>
              <w:jc w:val="right"/>
              <w:rPr>
                <w:sz w:val="18"/>
              </w:rPr>
            </w:pPr>
            <w:r>
              <w:rPr>
                <w:spacing w:val="-2"/>
                <w:sz w:val="18"/>
              </w:rPr>
              <w:t>73,284</w:t>
            </w:r>
          </w:p>
        </w:tc>
        <w:tc>
          <w:tcPr>
            <w:tcW w:w="1646" w:type="dxa"/>
            <w:tcBorders>
              <w:top w:val="single" w:sz="6" w:space="0" w:color="000000"/>
              <w:bottom w:val="single" w:sz="6" w:space="0" w:color="000000"/>
            </w:tcBorders>
          </w:tcPr>
          <w:p>
            <w:pPr>
              <w:pStyle w:val="TableParagraph"/>
              <w:spacing w:before="20"/>
              <w:ind w:right="67"/>
              <w:jc w:val="right"/>
              <w:rPr>
                <w:sz w:val="18"/>
              </w:rPr>
            </w:pPr>
            <w:r>
              <w:rPr>
                <w:spacing w:val="-2"/>
                <w:sz w:val="18"/>
              </w:rPr>
              <w:t>80,391</w:t>
            </w:r>
          </w:p>
        </w:tc>
      </w:tr>
      <w:tr>
        <w:trPr>
          <w:trHeight w:val="269" w:hRule="atLeast"/>
        </w:trPr>
        <w:tc>
          <w:tcPr>
            <w:tcW w:w="6425" w:type="dxa"/>
            <w:gridSpan w:val="3"/>
            <w:shd w:val="clear" w:color="auto" w:fill="CCEDFF"/>
          </w:tcPr>
          <w:p>
            <w:pPr>
              <w:pStyle w:val="TableParagraph"/>
              <w:spacing w:before="20"/>
              <w:ind w:left="217"/>
              <w:rPr>
                <w:sz w:val="18"/>
              </w:rPr>
            </w:pPr>
            <w:r>
              <w:rPr>
                <w:sz w:val="18"/>
              </w:rPr>
              <w:t>Technology</w:t>
            </w:r>
            <w:r>
              <w:rPr>
                <w:spacing w:val="-8"/>
                <w:sz w:val="18"/>
              </w:rPr>
              <w:t> </w:t>
            </w:r>
            <w:r>
              <w:rPr>
                <w:sz w:val="18"/>
              </w:rPr>
              <w:t>and</w:t>
            </w:r>
            <w:r>
              <w:rPr>
                <w:spacing w:val="-7"/>
                <w:sz w:val="18"/>
              </w:rPr>
              <w:t> </w:t>
            </w:r>
            <w:r>
              <w:rPr>
                <w:spacing w:val="-2"/>
                <w:sz w:val="18"/>
              </w:rPr>
              <w:t>other</w:t>
            </w:r>
          </w:p>
        </w:tc>
        <w:tc>
          <w:tcPr>
            <w:tcW w:w="1916" w:type="dxa"/>
            <w:gridSpan w:val="2"/>
            <w:shd w:val="clear" w:color="auto" w:fill="CCEDFF"/>
          </w:tcPr>
          <w:p>
            <w:pPr>
              <w:pStyle w:val="TableParagraph"/>
              <w:spacing w:before="0"/>
              <w:rPr>
                <w:sz w:val="16"/>
              </w:rPr>
            </w:pPr>
          </w:p>
        </w:tc>
        <w:tc>
          <w:tcPr>
            <w:tcW w:w="1525" w:type="dxa"/>
            <w:tcBorders>
              <w:top w:val="single" w:sz="6" w:space="0" w:color="000000"/>
            </w:tcBorders>
            <w:shd w:val="clear" w:color="auto" w:fill="CCEDFF"/>
          </w:tcPr>
          <w:p>
            <w:pPr>
              <w:pStyle w:val="TableParagraph"/>
              <w:spacing w:before="20"/>
              <w:ind w:right="63"/>
              <w:jc w:val="right"/>
              <w:rPr>
                <w:sz w:val="18"/>
              </w:rPr>
            </w:pPr>
            <w:r>
              <w:rPr>
                <w:spacing w:val="-2"/>
                <w:sz w:val="18"/>
              </w:rPr>
              <w:t>129,061</w:t>
            </w:r>
          </w:p>
        </w:tc>
        <w:tc>
          <w:tcPr>
            <w:tcW w:w="1646" w:type="dxa"/>
            <w:tcBorders>
              <w:top w:val="single" w:sz="6" w:space="0" w:color="000000"/>
            </w:tcBorders>
            <w:shd w:val="clear" w:color="auto" w:fill="CCEDFF"/>
          </w:tcPr>
          <w:p>
            <w:pPr>
              <w:pStyle w:val="TableParagraph"/>
              <w:spacing w:before="20"/>
              <w:ind w:right="67"/>
              <w:jc w:val="right"/>
              <w:rPr>
                <w:sz w:val="18"/>
              </w:rPr>
            </w:pPr>
            <w:r>
              <w:rPr>
                <w:spacing w:val="-2"/>
                <w:sz w:val="18"/>
              </w:rPr>
              <w:t>13,207</w:t>
            </w:r>
          </w:p>
        </w:tc>
      </w:tr>
      <w:tr>
        <w:trPr>
          <w:trHeight w:val="255" w:hRule="atLeast"/>
        </w:trPr>
        <w:tc>
          <w:tcPr>
            <w:tcW w:w="6425" w:type="dxa"/>
            <w:gridSpan w:val="3"/>
          </w:tcPr>
          <w:p>
            <w:pPr>
              <w:pStyle w:val="TableParagraph"/>
              <w:ind w:left="217"/>
              <w:rPr>
                <w:sz w:val="18"/>
              </w:rPr>
            </w:pPr>
            <w:r>
              <w:rPr>
                <w:sz w:val="18"/>
              </w:rPr>
              <w:t>Less:</w:t>
            </w:r>
            <w:r>
              <w:rPr>
                <w:spacing w:val="-12"/>
                <w:sz w:val="18"/>
              </w:rPr>
              <w:t> </w:t>
            </w:r>
            <w:r>
              <w:rPr>
                <w:sz w:val="18"/>
              </w:rPr>
              <w:t>Accumulated</w:t>
            </w:r>
            <w:r>
              <w:rPr>
                <w:spacing w:val="-1"/>
                <w:sz w:val="18"/>
              </w:rPr>
              <w:t> </w:t>
            </w:r>
            <w:r>
              <w:rPr>
                <w:spacing w:val="-2"/>
                <w:sz w:val="18"/>
              </w:rPr>
              <w:t>amortization</w:t>
            </w:r>
          </w:p>
        </w:tc>
        <w:tc>
          <w:tcPr>
            <w:tcW w:w="1916" w:type="dxa"/>
            <w:gridSpan w:val="2"/>
          </w:tcPr>
          <w:p>
            <w:pPr>
              <w:pStyle w:val="TableParagraph"/>
              <w:spacing w:before="0"/>
              <w:rPr>
                <w:sz w:val="16"/>
              </w:rPr>
            </w:pPr>
          </w:p>
        </w:tc>
        <w:tc>
          <w:tcPr>
            <w:tcW w:w="1525" w:type="dxa"/>
            <w:tcBorders>
              <w:bottom w:val="single" w:sz="6" w:space="0" w:color="000000"/>
            </w:tcBorders>
          </w:tcPr>
          <w:p>
            <w:pPr>
              <w:pStyle w:val="TableParagraph"/>
              <w:ind w:right="18"/>
              <w:jc w:val="right"/>
              <w:rPr>
                <w:sz w:val="18"/>
              </w:rPr>
            </w:pPr>
            <w:r>
              <w:rPr>
                <w:spacing w:val="-2"/>
                <w:sz w:val="18"/>
              </w:rPr>
              <w:t>(13,761)</w:t>
            </w:r>
          </w:p>
        </w:tc>
        <w:tc>
          <w:tcPr>
            <w:tcW w:w="1646" w:type="dxa"/>
            <w:tcBorders>
              <w:bottom w:val="single" w:sz="6" w:space="0" w:color="000000"/>
            </w:tcBorders>
          </w:tcPr>
          <w:p>
            <w:pPr>
              <w:pStyle w:val="TableParagraph"/>
              <w:ind w:right="22"/>
              <w:jc w:val="right"/>
              <w:rPr>
                <w:sz w:val="18"/>
              </w:rPr>
            </w:pPr>
            <w:r>
              <w:rPr>
                <w:spacing w:val="-2"/>
                <w:sz w:val="18"/>
              </w:rPr>
              <w:t>(5,674)</w:t>
            </w:r>
          </w:p>
        </w:tc>
      </w:tr>
      <w:tr>
        <w:trPr>
          <w:trHeight w:val="254" w:hRule="atLeast"/>
        </w:trPr>
        <w:tc>
          <w:tcPr>
            <w:tcW w:w="6425" w:type="dxa"/>
            <w:gridSpan w:val="3"/>
            <w:shd w:val="clear" w:color="auto" w:fill="CCEDFF"/>
          </w:tcPr>
          <w:p>
            <w:pPr>
              <w:pStyle w:val="TableParagraph"/>
              <w:spacing w:before="0"/>
              <w:rPr>
                <w:sz w:val="16"/>
              </w:rPr>
            </w:pPr>
          </w:p>
        </w:tc>
        <w:tc>
          <w:tcPr>
            <w:tcW w:w="1916" w:type="dxa"/>
            <w:gridSpan w:val="2"/>
            <w:shd w:val="clear" w:color="auto" w:fill="CCEDFF"/>
          </w:tcPr>
          <w:p>
            <w:pPr>
              <w:pStyle w:val="TableParagraph"/>
              <w:spacing w:before="0"/>
              <w:rPr>
                <w:sz w:val="16"/>
              </w:rPr>
            </w:pPr>
          </w:p>
        </w:tc>
        <w:tc>
          <w:tcPr>
            <w:tcW w:w="1525" w:type="dxa"/>
            <w:tcBorders>
              <w:top w:val="single" w:sz="6" w:space="0" w:color="000000"/>
              <w:bottom w:val="single" w:sz="6" w:space="0" w:color="000000"/>
            </w:tcBorders>
            <w:shd w:val="clear" w:color="auto" w:fill="CCEDFF"/>
          </w:tcPr>
          <w:p>
            <w:pPr>
              <w:pStyle w:val="TableParagraph"/>
              <w:spacing w:before="20"/>
              <w:ind w:right="63"/>
              <w:jc w:val="right"/>
              <w:rPr>
                <w:sz w:val="18"/>
              </w:rPr>
            </w:pPr>
            <w:r>
              <w:rPr>
                <w:spacing w:val="-2"/>
                <w:sz w:val="18"/>
              </w:rPr>
              <w:t>115,300</w:t>
            </w:r>
          </w:p>
        </w:tc>
        <w:tc>
          <w:tcPr>
            <w:tcW w:w="1646" w:type="dxa"/>
            <w:tcBorders>
              <w:top w:val="single" w:sz="6" w:space="0" w:color="000000"/>
              <w:bottom w:val="single" w:sz="6" w:space="0" w:color="000000"/>
            </w:tcBorders>
            <w:shd w:val="clear" w:color="auto" w:fill="CCEDFF"/>
          </w:tcPr>
          <w:p>
            <w:pPr>
              <w:pStyle w:val="TableParagraph"/>
              <w:spacing w:before="20"/>
              <w:ind w:right="67"/>
              <w:jc w:val="right"/>
              <w:rPr>
                <w:sz w:val="18"/>
              </w:rPr>
            </w:pPr>
            <w:r>
              <w:rPr>
                <w:spacing w:val="-2"/>
                <w:sz w:val="18"/>
              </w:rPr>
              <w:t>7,533</w:t>
            </w:r>
          </w:p>
        </w:tc>
      </w:tr>
      <w:tr>
        <w:trPr>
          <w:trHeight w:val="268" w:hRule="atLeast"/>
        </w:trPr>
        <w:tc>
          <w:tcPr>
            <w:tcW w:w="6425" w:type="dxa"/>
            <w:gridSpan w:val="3"/>
          </w:tcPr>
          <w:p>
            <w:pPr>
              <w:pStyle w:val="TableParagraph"/>
              <w:spacing w:before="20"/>
              <w:ind w:left="462"/>
              <w:rPr>
                <w:sz w:val="18"/>
              </w:rPr>
            </w:pPr>
            <w:r>
              <w:rPr>
                <w:sz w:val="18"/>
              </w:rPr>
              <w:t>Total</w:t>
            </w:r>
            <w:r>
              <w:rPr>
                <w:spacing w:val="-5"/>
                <w:sz w:val="18"/>
              </w:rPr>
              <w:t> </w:t>
            </w:r>
            <w:r>
              <w:rPr>
                <w:sz w:val="18"/>
              </w:rPr>
              <w:t>finite-lived</w:t>
            </w:r>
            <w:r>
              <w:rPr>
                <w:spacing w:val="-4"/>
                <w:sz w:val="18"/>
              </w:rPr>
              <w:t> </w:t>
            </w:r>
            <w:r>
              <w:rPr>
                <w:sz w:val="18"/>
              </w:rPr>
              <w:t>intangible</w:t>
            </w:r>
            <w:r>
              <w:rPr>
                <w:spacing w:val="-4"/>
                <w:sz w:val="18"/>
              </w:rPr>
              <w:t> </w:t>
            </w:r>
            <w:r>
              <w:rPr>
                <w:sz w:val="18"/>
              </w:rPr>
              <w:t>assets,</w:t>
            </w:r>
            <w:r>
              <w:rPr>
                <w:spacing w:val="-4"/>
                <w:sz w:val="18"/>
              </w:rPr>
              <w:t> </w:t>
            </w:r>
            <w:r>
              <w:rPr>
                <w:spacing w:val="-5"/>
                <w:sz w:val="18"/>
              </w:rPr>
              <w:t>net</w:t>
            </w:r>
          </w:p>
        </w:tc>
        <w:tc>
          <w:tcPr>
            <w:tcW w:w="1916" w:type="dxa"/>
            <w:gridSpan w:val="2"/>
          </w:tcPr>
          <w:p>
            <w:pPr>
              <w:pStyle w:val="TableParagraph"/>
              <w:spacing w:before="0"/>
              <w:rPr>
                <w:sz w:val="16"/>
              </w:rPr>
            </w:pPr>
          </w:p>
        </w:tc>
        <w:tc>
          <w:tcPr>
            <w:tcW w:w="1525" w:type="dxa"/>
            <w:tcBorders>
              <w:top w:val="single" w:sz="6" w:space="0" w:color="000000"/>
              <w:bottom w:val="single" w:sz="6" w:space="0" w:color="000000"/>
            </w:tcBorders>
          </w:tcPr>
          <w:p>
            <w:pPr>
              <w:pStyle w:val="TableParagraph"/>
              <w:spacing w:before="20"/>
              <w:ind w:right="63"/>
              <w:jc w:val="right"/>
              <w:rPr>
                <w:sz w:val="18"/>
              </w:rPr>
            </w:pPr>
            <w:r>
              <w:rPr>
                <w:spacing w:val="-2"/>
                <w:sz w:val="18"/>
              </w:rPr>
              <w:t>411,761</w:t>
            </w:r>
          </w:p>
        </w:tc>
        <w:tc>
          <w:tcPr>
            <w:tcW w:w="1646" w:type="dxa"/>
            <w:tcBorders>
              <w:top w:val="single" w:sz="6" w:space="0" w:color="000000"/>
              <w:bottom w:val="single" w:sz="6" w:space="0" w:color="000000"/>
            </w:tcBorders>
          </w:tcPr>
          <w:p>
            <w:pPr>
              <w:pStyle w:val="TableParagraph"/>
              <w:spacing w:before="20"/>
              <w:ind w:right="67"/>
              <w:jc w:val="right"/>
              <w:rPr>
                <w:sz w:val="18"/>
              </w:rPr>
            </w:pPr>
            <w:r>
              <w:rPr>
                <w:spacing w:val="-2"/>
                <w:sz w:val="18"/>
              </w:rPr>
              <w:t>2,759,049</w:t>
            </w:r>
          </w:p>
        </w:tc>
      </w:tr>
      <w:tr>
        <w:trPr>
          <w:trHeight w:val="260" w:hRule="atLeast"/>
        </w:trPr>
        <w:tc>
          <w:tcPr>
            <w:tcW w:w="6425" w:type="dxa"/>
            <w:gridSpan w:val="3"/>
            <w:shd w:val="clear" w:color="auto" w:fill="CCEDFF"/>
          </w:tcPr>
          <w:p>
            <w:pPr>
              <w:pStyle w:val="TableParagraph"/>
              <w:spacing w:before="6"/>
              <w:ind w:left="462"/>
              <w:rPr>
                <w:sz w:val="18"/>
              </w:rPr>
            </w:pPr>
            <w:r>
              <w:rPr>
                <w:sz w:val="18"/>
              </w:rPr>
              <w:t>Total</w:t>
            </w:r>
            <w:r>
              <w:rPr>
                <w:spacing w:val="-5"/>
                <w:sz w:val="18"/>
              </w:rPr>
              <w:t> </w:t>
            </w:r>
            <w:r>
              <w:rPr>
                <w:sz w:val="18"/>
              </w:rPr>
              <w:t>other</w:t>
            </w:r>
            <w:r>
              <w:rPr>
                <w:spacing w:val="-4"/>
                <w:sz w:val="18"/>
              </w:rPr>
              <w:t> </w:t>
            </w:r>
            <w:r>
              <w:rPr>
                <w:sz w:val="18"/>
              </w:rPr>
              <w:t>intangible</w:t>
            </w:r>
            <w:r>
              <w:rPr>
                <w:spacing w:val="-4"/>
                <w:sz w:val="18"/>
              </w:rPr>
              <w:t> </w:t>
            </w:r>
            <w:r>
              <w:rPr>
                <w:sz w:val="18"/>
              </w:rPr>
              <w:t>assets,</w:t>
            </w:r>
            <w:r>
              <w:rPr>
                <w:spacing w:val="-4"/>
                <w:sz w:val="18"/>
              </w:rPr>
              <w:t> </w:t>
            </w:r>
            <w:r>
              <w:rPr>
                <w:spacing w:val="-5"/>
                <w:sz w:val="18"/>
              </w:rPr>
              <w:t>net</w:t>
            </w:r>
          </w:p>
        </w:tc>
        <w:tc>
          <w:tcPr>
            <w:tcW w:w="1916" w:type="dxa"/>
            <w:gridSpan w:val="2"/>
            <w:shd w:val="clear" w:color="auto" w:fill="CCEDFF"/>
          </w:tcPr>
          <w:p>
            <w:pPr>
              <w:pStyle w:val="TableParagraph"/>
              <w:spacing w:before="0"/>
              <w:rPr>
                <w:sz w:val="16"/>
              </w:rPr>
            </w:pPr>
          </w:p>
        </w:tc>
        <w:tc>
          <w:tcPr>
            <w:tcW w:w="1525" w:type="dxa"/>
            <w:tcBorders>
              <w:top w:val="single" w:sz="6" w:space="0" w:color="000000"/>
              <w:bottom w:val="double" w:sz="6" w:space="0" w:color="000000"/>
            </w:tcBorders>
            <w:shd w:val="clear" w:color="auto" w:fill="CCEDFF"/>
          </w:tcPr>
          <w:p>
            <w:pPr>
              <w:pStyle w:val="TableParagraph"/>
              <w:tabs>
                <w:tab w:pos="714" w:val="left" w:leader="none"/>
              </w:tabs>
              <w:spacing w:before="20"/>
              <w:ind w:right="63"/>
              <w:jc w:val="right"/>
              <w:rPr>
                <w:sz w:val="18"/>
              </w:rPr>
            </w:pPr>
            <w:r>
              <w:rPr>
                <w:spacing w:val="-10"/>
                <w:sz w:val="18"/>
              </w:rPr>
              <w:t>$</w:t>
            </w:r>
            <w:r>
              <w:rPr>
                <w:sz w:val="18"/>
              </w:rPr>
              <w:tab/>
            </w:r>
            <w:r>
              <w:rPr>
                <w:spacing w:val="-2"/>
                <w:sz w:val="18"/>
              </w:rPr>
              <w:t>1,551,252</w:t>
            </w:r>
          </w:p>
        </w:tc>
        <w:tc>
          <w:tcPr>
            <w:tcW w:w="1646" w:type="dxa"/>
            <w:tcBorders>
              <w:top w:val="single" w:sz="6" w:space="0" w:color="000000"/>
              <w:bottom w:val="double" w:sz="6" w:space="0" w:color="000000"/>
            </w:tcBorders>
            <w:shd w:val="clear" w:color="auto" w:fill="CCEDFF"/>
          </w:tcPr>
          <w:p>
            <w:pPr>
              <w:pStyle w:val="TableParagraph"/>
              <w:tabs>
                <w:tab w:pos="714" w:val="left" w:leader="none"/>
              </w:tabs>
              <w:spacing w:before="20"/>
              <w:ind w:right="67"/>
              <w:jc w:val="right"/>
              <w:rPr>
                <w:sz w:val="18"/>
              </w:rPr>
            </w:pPr>
            <w:r>
              <w:rPr>
                <w:spacing w:val="-10"/>
                <w:sz w:val="18"/>
              </w:rPr>
              <w:t>$</w:t>
            </w:r>
            <w:r>
              <w:rPr>
                <w:sz w:val="18"/>
              </w:rPr>
              <w:tab/>
            </w:r>
            <w:r>
              <w:rPr>
                <w:spacing w:val="-2"/>
                <w:sz w:val="18"/>
              </w:rPr>
              <w:t>3,616,385</w:t>
            </w:r>
          </w:p>
        </w:tc>
      </w:tr>
      <w:tr>
        <w:trPr>
          <w:trHeight w:val="786" w:hRule="atLeast"/>
        </w:trPr>
        <w:tc>
          <w:tcPr>
            <w:tcW w:w="6425" w:type="dxa"/>
            <w:gridSpan w:val="3"/>
          </w:tcPr>
          <w:p>
            <w:pPr>
              <w:pStyle w:val="TableParagraph"/>
              <w:spacing w:before="88"/>
              <w:rPr>
                <w:b/>
                <w:i/>
                <w:sz w:val="18"/>
              </w:rPr>
            </w:pPr>
          </w:p>
          <w:p>
            <w:pPr>
              <w:pStyle w:val="TableParagraph"/>
              <w:spacing w:before="0"/>
              <w:ind w:left="499"/>
              <w:rPr>
                <w:sz w:val="18"/>
              </w:rPr>
            </w:pPr>
            <w:r>
              <w:rPr>
                <w:b/>
                <w:sz w:val="18"/>
              </w:rPr>
              <w:t>Goodwill</w:t>
            </w:r>
            <w:r>
              <w:rPr>
                <w:sz w:val="18"/>
              </w:rPr>
              <w:t>.</w:t>
            </w:r>
            <w:r>
              <w:rPr>
                <w:spacing w:val="-13"/>
                <w:sz w:val="18"/>
              </w:rPr>
              <w:t> </w:t>
            </w:r>
            <w:r>
              <w:rPr>
                <w:sz w:val="18"/>
              </w:rPr>
              <w:t>A</w:t>
            </w:r>
            <w:r>
              <w:rPr>
                <w:spacing w:val="-11"/>
                <w:sz w:val="18"/>
              </w:rPr>
              <w:t> </w:t>
            </w:r>
            <w:r>
              <w:rPr>
                <w:sz w:val="18"/>
              </w:rPr>
              <w:t>summary</w:t>
            </w:r>
            <w:r>
              <w:rPr>
                <w:spacing w:val="-2"/>
                <w:sz w:val="18"/>
              </w:rPr>
              <w:t> </w:t>
            </w:r>
            <w:r>
              <w:rPr>
                <w:sz w:val="18"/>
              </w:rPr>
              <w:t>of</w:t>
            </w:r>
            <w:r>
              <w:rPr>
                <w:spacing w:val="-2"/>
                <w:sz w:val="18"/>
              </w:rPr>
              <w:t> </w:t>
            </w:r>
            <w:r>
              <w:rPr>
                <w:sz w:val="18"/>
              </w:rPr>
              <w:t>changes</w:t>
            </w:r>
            <w:r>
              <w:rPr>
                <w:spacing w:val="-2"/>
                <w:sz w:val="18"/>
              </w:rPr>
              <w:t> </w:t>
            </w:r>
            <w:r>
              <w:rPr>
                <w:sz w:val="18"/>
              </w:rPr>
              <w:t>in</w:t>
            </w:r>
            <w:r>
              <w:rPr>
                <w:spacing w:val="-2"/>
                <w:sz w:val="18"/>
              </w:rPr>
              <w:t> </w:t>
            </w:r>
            <w:r>
              <w:rPr>
                <w:sz w:val="18"/>
              </w:rPr>
              <w:t>the</w:t>
            </w:r>
            <w:r>
              <w:rPr>
                <w:spacing w:val="-2"/>
                <w:sz w:val="18"/>
              </w:rPr>
              <w:t> </w:t>
            </w:r>
            <w:r>
              <w:rPr>
                <w:sz w:val="18"/>
              </w:rPr>
              <w:t>Company’s</w:t>
            </w:r>
            <w:r>
              <w:rPr>
                <w:spacing w:val="-2"/>
                <w:sz w:val="18"/>
              </w:rPr>
              <w:t> </w:t>
            </w:r>
            <w:r>
              <w:rPr>
                <w:sz w:val="18"/>
              </w:rPr>
              <w:t>goodwill</w:t>
            </w:r>
            <w:r>
              <w:rPr>
                <w:spacing w:val="-2"/>
                <w:sz w:val="18"/>
              </w:rPr>
              <w:t> </w:t>
            </w:r>
            <w:r>
              <w:rPr>
                <w:sz w:val="18"/>
              </w:rPr>
              <w:t>is</w:t>
            </w:r>
            <w:r>
              <w:rPr>
                <w:spacing w:val="-2"/>
                <w:sz w:val="18"/>
              </w:rPr>
              <w:t> </w:t>
            </w:r>
            <w:r>
              <w:rPr>
                <w:sz w:val="18"/>
              </w:rPr>
              <w:t>as</w:t>
            </w:r>
            <w:r>
              <w:rPr>
                <w:spacing w:val="-1"/>
                <w:sz w:val="18"/>
              </w:rPr>
              <w:t> </w:t>
            </w:r>
            <w:r>
              <w:rPr>
                <w:spacing w:val="-2"/>
                <w:sz w:val="18"/>
              </w:rPr>
              <w:t>follows:</w:t>
            </w:r>
          </w:p>
        </w:tc>
        <w:tc>
          <w:tcPr>
            <w:tcW w:w="1916" w:type="dxa"/>
            <w:gridSpan w:val="2"/>
            <w:tcBorders>
              <w:bottom w:val="single" w:sz="6" w:space="0" w:color="000000"/>
            </w:tcBorders>
          </w:tcPr>
          <w:p>
            <w:pPr>
              <w:pStyle w:val="TableParagraph"/>
              <w:spacing w:before="0"/>
              <w:rPr>
                <w:b/>
                <w:i/>
                <w:sz w:val="14"/>
              </w:rPr>
            </w:pPr>
          </w:p>
          <w:p>
            <w:pPr>
              <w:pStyle w:val="TableParagraph"/>
              <w:spacing w:before="0"/>
              <w:rPr>
                <w:b/>
                <w:i/>
                <w:sz w:val="14"/>
              </w:rPr>
            </w:pPr>
          </w:p>
          <w:p>
            <w:pPr>
              <w:pStyle w:val="TableParagraph"/>
              <w:spacing w:before="92"/>
              <w:rPr>
                <w:b/>
                <w:i/>
                <w:sz w:val="14"/>
              </w:rPr>
            </w:pPr>
          </w:p>
          <w:p>
            <w:pPr>
              <w:pStyle w:val="TableParagraph"/>
              <w:spacing w:before="0"/>
              <w:ind w:right="172"/>
              <w:jc w:val="center"/>
              <w:rPr>
                <w:b/>
                <w:sz w:val="14"/>
              </w:rPr>
            </w:pPr>
            <w:r>
              <w:rPr>
                <w:b/>
                <w:spacing w:val="-4"/>
                <w:sz w:val="14"/>
              </w:rPr>
              <w:t>2022</w:t>
            </w:r>
          </w:p>
        </w:tc>
        <w:tc>
          <w:tcPr>
            <w:tcW w:w="1525" w:type="dxa"/>
            <w:tcBorders>
              <w:top w:val="double" w:sz="6" w:space="0" w:color="000000"/>
              <w:bottom w:val="single" w:sz="6" w:space="0" w:color="000000"/>
            </w:tcBorders>
          </w:tcPr>
          <w:p>
            <w:pPr>
              <w:pStyle w:val="TableParagraph"/>
              <w:spacing w:before="0"/>
              <w:rPr>
                <w:sz w:val="16"/>
              </w:rPr>
            </w:pPr>
          </w:p>
        </w:tc>
        <w:tc>
          <w:tcPr>
            <w:tcW w:w="1646" w:type="dxa"/>
            <w:tcBorders>
              <w:top w:val="double" w:sz="6" w:space="0" w:color="000000"/>
              <w:bottom w:val="single" w:sz="6" w:space="0" w:color="000000"/>
            </w:tcBorders>
          </w:tcPr>
          <w:p>
            <w:pPr>
              <w:pStyle w:val="TableParagraph"/>
              <w:spacing w:before="0"/>
              <w:rPr>
                <w:sz w:val="16"/>
              </w:rPr>
            </w:pPr>
          </w:p>
        </w:tc>
      </w:tr>
      <w:tr>
        <w:trPr>
          <w:trHeight w:val="247" w:hRule="atLeast"/>
        </w:trPr>
        <w:tc>
          <w:tcPr>
            <w:tcW w:w="6425" w:type="dxa"/>
            <w:gridSpan w:val="3"/>
            <w:tcBorders>
              <w:top w:val="single" w:sz="6" w:space="0" w:color="000000"/>
            </w:tcBorders>
          </w:tcPr>
          <w:p>
            <w:pPr>
              <w:pStyle w:val="TableParagraph"/>
              <w:tabs>
                <w:tab w:pos="4835" w:val="left" w:leader="none"/>
              </w:tabs>
              <w:spacing w:before="44"/>
              <w:ind w:left="3216"/>
              <w:rPr>
                <w:b/>
                <w:sz w:val="14"/>
              </w:rPr>
            </w:pPr>
            <w:r>
              <w:rPr>
                <w:b/>
                <w:sz w:val="14"/>
              </w:rPr>
              <w:t>Balance</w:t>
            </w:r>
            <w:r>
              <w:rPr>
                <w:b/>
                <w:spacing w:val="7"/>
                <w:sz w:val="14"/>
              </w:rPr>
              <w:t> </w:t>
            </w:r>
            <w:r>
              <w:rPr>
                <w:b/>
                <w:sz w:val="14"/>
              </w:rPr>
              <w:t>at</w:t>
            </w:r>
            <w:r>
              <w:rPr>
                <w:b/>
                <w:spacing w:val="7"/>
                <w:sz w:val="14"/>
              </w:rPr>
              <w:t> </w:t>
            </w:r>
            <w:r>
              <w:rPr>
                <w:b/>
                <w:sz w:val="14"/>
              </w:rPr>
              <w:t>January</w:t>
            </w:r>
            <w:r>
              <w:rPr>
                <w:b/>
                <w:spacing w:val="7"/>
                <w:sz w:val="14"/>
              </w:rPr>
              <w:t> </w:t>
            </w:r>
            <w:r>
              <w:rPr>
                <w:b/>
                <w:spacing w:val="-10"/>
                <w:sz w:val="14"/>
              </w:rPr>
              <w:t>1</w:t>
            </w:r>
            <w:r>
              <w:rPr>
                <w:b/>
                <w:sz w:val="14"/>
              </w:rPr>
              <w:tab/>
            </w:r>
            <w:r>
              <w:rPr>
                <w:b/>
                <w:spacing w:val="-2"/>
                <w:sz w:val="14"/>
              </w:rPr>
              <w:t>Acquisitions/Divestitures</w:t>
            </w:r>
          </w:p>
        </w:tc>
        <w:tc>
          <w:tcPr>
            <w:tcW w:w="1916" w:type="dxa"/>
            <w:gridSpan w:val="2"/>
            <w:tcBorders>
              <w:top w:val="single" w:sz="6" w:space="0" w:color="000000"/>
              <w:bottom w:val="single" w:sz="12" w:space="0" w:color="000000"/>
            </w:tcBorders>
          </w:tcPr>
          <w:p>
            <w:pPr>
              <w:pStyle w:val="TableParagraph"/>
              <w:spacing w:before="44"/>
              <w:ind w:left="417"/>
              <w:rPr>
                <w:b/>
                <w:sz w:val="14"/>
              </w:rPr>
            </w:pPr>
            <w:r>
              <w:rPr>
                <w:b/>
                <w:spacing w:val="-2"/>
                <w:sz w:val="14"/>
              </w:rPr>
              <w:t>Reclassifications</w:t>
            </w:r>
          </w:p>
        </w:tc>
        <w:tc>
          <w:tcPr>
            <w:tcW w:w="1525" w:type="dxa"/>
            <w:tcBorders>
              <w:top w:val="single" w:sz="6" w:space="0" w:color="000000"/>
              <w:bottom w:val="single" w:sz="6" w:space="0" w:color="000000"/>
            </w:tcBorders>
          </w:tcPr>
          <w:p>
            <w:pPr>
              <w:pStyle w:val="TableParagraph"/>
              <w:spacing w:before="44"/>
              <w:ind w:left="97"/>
              <w:rPr>
                <w:b/>
                <w:sz w:val="14"/>
              </w:rPr>
            </w:pPr>
            <w:r>
              <w:rPr>
                <w:b/>
                <w:sz w:val="14"/>
              </w:rPr>
              <w:t>Currency</w:t>
            </w:r>
            <w:r>
              <w:rPr>
                <w:b/>
                <w:spacing w:val="8"/>
                <w:sz w:val="14"/>
              </w:rPr>
              <w:t> </w:t>
            </w:r>
            <w:r>
              <w:rPr>
                <w:b/>
                <w:spacing w:val="-2"/>
                <w:sz w:val="14"/>
              </w:rPr>
              <w:t>exchange</w:t>
            </w:r>
          </w:p>
        </w:tc>
        <w:tc>
          <w:tcPr>
            <w:tcW w:w="1646" w:type="dxa"/>
            <w:tcBorders>
              <w:top w:val="single" w:sz="6" w:space="0" w:color="000000"/>
              <w:bottom w:val="single" w:sz="6" w:space="0" w:color="000000"/>
            </w:tcBorders>
          </w:tcPr>
          <w:p>
            <w:pPr>
              <w:pStyle w:val="TableParagraph"/>
              <w:spacing w:before="44"/>
              <w:ind w:right="45"/>
              <w:jc w:val="right"/>
              <w:rPr>
                <w:b/>
                <w:sz w:val="14"/>
              </w:rPr>
            </w:pPr>
            <w:r>
              <w:rPr>
                <w:b/>
                <w:sz w:val="14"/>
              </w:rPr>
              <w:t>Balance</w:t>
            </w:r>
            <w:r>
              <w:rPr>
                <w:b/>
                <w:spacing w:val="8"/>
                <w:sz w:val="14"/>
              </w:rPr>
              <w:t> </w:t>
            </w:r>
            <w:r>
              <w:rPr>
                <w:b/>
                <w:sz w:val="14"/>
              </w:rPr>
              <w:t>at</w:t>
            </w:r>
            <w:r>
              <w:rPr>
                <w:b/>
                <w:spacing w:val="8"/>
                <w:sz w:val="14"/>
              </w:rPr>
              <w:t> </w:t>
            </w:r>
            <w:r>
              <w:rPr>
                <w:b/>
                <w:sz w:val="14"/>
              </w:rPr>
              <w:t>December</w:t>
            </w:r>
            <w:r>
              <w:rPr>
                <w:b/>
                <w:spacing w:val="5"/>
                <w:sz w:val="14"/>
              </w:rPr>
              <w:t> </w:t>
            </w:r>
            <w:r>
              <w:rPr>
                <w:b/>
                <w:spacing w:val="-5"/>
                <w:sz w:val="14"/>
              </w:rPr>
              <w:t>31</w:t>
            </w:r>
          </w:p>
        </w:tc>
      </w:tr>
      <w:tr>
        <w:trPr>
          <w:trHeight w:val="234" w:hRule="atLeast"/>
        </w:trPr>
        <w:tc>
          <w:tcPr>
            <w:tcW w:w="6425" w:type="dxa"/>
            <w:gridSpan w:val="3"/>
            <w:tcBorders>
              <w:top w:val="single" w:sz="6" w:space="0" w:color="000000"/>
            </w:tcBorders>
          </w:tcPr>
          <w:p>
            <w:pPr>
              <w:pStyle w:val="TableParagraph"/>
              <w:spacing w:before="0"/>
              <w:rPr>
                <w:sz w:val="16"/>
              </w:rPr>
            </w:pPr>
          </w:p>
        </w:tc>
        <w:tc>
          <w:tcPr>
            <w:tcW w:w="1916" w:type="dxa"/>
            <w:gridSpan w:val="2"/>
            <w:tcBorders>
              <w:top w:val="single" w:sz="12" w:space="0" w:color="000000"/>
            </w:tcBorders>
          </w:tcPr>
          <w:p>
            <w:pPr>
              <w:pStyle w:val="TableParagraph"/>
              <w:spacing w:before="23"/>
              <w:ind w:left="432"/>
              <w:rPr>
                <w:b/>
                <w:i/>
                <w:sz w:val="14"/>
              </w:rPr>
            </w:pPr>
            <w:r>
              <w:rPr>
                <w:b/>
                <w:i/>
                <w:sz w:val="14"/>
              </w:rPr>
              <w:t>(In</w:t>
            </w:r>
            <w:r>
              <w:rPr>
                <w:b/>
                <w:i/>
                <w:spacing w:val="3"/>
                <w:sz w:val="14"/>
              </w:rPr>
              <w:t> </w:t>
            </w:r>
            <w:r>
              <w:rPr>
                <w:b/>
                <w:i/>
                <w:spacing w:val="-2"/>
                <w:sz w:val="14"/>
              </w:rPr>
              <w:t>thousands)</w:t>
            </w:r>
          </w:p>
        </w:tc>
        <w:tc>
          <w:tcPr>
            <w:tcW w:w="1525" w:type="dxa"/>
            <w:tcBorders>
              <w:top w:val="single" w:sz="6" w:space="0" w:color="000000"/>
            </w:tcBorders>
          </w:tcPr>
          <w:p>
            <w:pPr>
              <w:pStyle w:val="TableParagraph"/>
              <w:spacing w:before="0"/>
              <w:rPr>
                <w:sz w:val="16"/>
              </w:rPr>
            </w:pPr>
          </w:p>
        </w:tc>
        <w:tc>
          <w:tcPr>
            <w:tcW w:w="1646" w:type="dxa"/>
            <w:tcBorders>
              <w:top w:val="single" w:sz="6" w:space="0" w:color="000000"/>
            </w:tcBorders>
          </w:tcPr>
          <w:p>
            <w:pPr>
              <w:pStyle w:val="TableParagraph"/>
              <w:spacing w:before="0"/>
              <w:rPr>
                <w:sz w:val="16"/>
              </w:rPr>
            </w:pPr>
          </w:p>
        </w:tc>
      </w:tr>
      <w:tr>
        <w:trPr>
          <w:trHeight w:val="256" w:hRule="atLeast"/>
        </w:trPr>
        <w:tc>
          <w:tcPr>
            <w:tcW w:w="3085" w:type="dxa"/>
            <w:shd w:val="clear" w:color="auto" w:fill="CCEDFF"/>
          </w:tcPr>
          <w:p>
            <w:pPr>
              <w:pStyle w:val="TableParagraph"/>
              <w:ind w:left="17"/>
              <w:rPr>
                <w:sz w:val="18"/>
              </w:rPr>
            </w:pPr>
            <w:r>
              <w:rPr>
                <w:sz w:val="18"/>
              </w:rPr>
              <w:t>Las</w:t>
            </w:r>
            <w:r>
              <w:rPr>
                <w:spacing w:val="-11"/>
                <w:sz w:val="18"/>
              </w:rPr>
              <w:t> </w:t>
            </w:r>
            <w:r>
              <w:rPr>
                <w:sz w:val="18"/>
              </w:rPr>
              <w:t>Vegas</w:t>
            </w:r>
            <w:r>
              <w:rPr>
                <w:spacing w:val="-8"/>
                <w:sz w:val="18"/>
              </w:rPr>
              <w:t> </w:t>
            </w:r>
            <w:r>
              <w:rPr>
                <w:sz w:val="18"/>
              </w:rPr>
              <w:t>Strip</w:t>
            </w:r>
            <w:r>
              <w:rPr>
                <w:spacing w:val="-7"/>
                <w:sz w:val="18"/>
              </w:rPr>
              <w:t> </w:t>
            </w:r>
            <w:r>
              <w:rPr>
                <w:spacing w:val="-2"/>
                <w:sz w:val="18"/>
              </w:rPr>
              <w:t>Resorts</w:t>
            </w:r>
          </w:p>
        </w:tc>
        <w:tc>
          <w:tcPr>
            <w:tcW w:w="1614" w:type="dxa"/>
            <w:shd w:val="clear" w:color="auto" w:fill="CCEDFF"/>
          </w:tcPr>
          <w:p>
            <w:pPr>
              <w:pStyle w:val="TableParagraph"/>
              <w:tabs>
                <w:tab w:pos="769" w:val="left" w:leader="none"/>
              </w:tabs>
              <w:ind w:right="113"/>
              <w:jc w:val="right"/>
              <w:rPr>
                <w:sz w:val="18"/>
              </w:rPr>
            </w:pPr>
            <w:r>
              <w:rPr>
                <w:spacing w:val="-10"/>
                <w:sz w:val="18"/>
              </w:rPr>
              <w:t>$</w:t>
            </w:r>
            <w:r>
              <w:rPr>
                <w:sz w:val="18"/>
              </w:rPr>
              <w:tab/>
            </w:r>
            <w:r>
              <w:rPr>
                <w:spacing w:val="-2"/>
                <w:sz w:val="18"/>
              </w:rPr>
              <w:t>1,427,790</w:t>
            </w:r>
          </w:p>
        </w:tc>
        <w:tc>
          <w:tcPr>
            <w:tcW w:w="1726" w:type="dxa"/>
            <w:shd w:val="clear" w:color="auto" w:fill="CCEDFF"/>
          </w:tcPr>
          <w:p>
            <w:pPr>
              <w:pStyle w:val="TableParagraph"/>
              <w:tabs>
                <w:tab w:pos="845" w:val="left" w:leader="none"/>
              </w:tabs>
              <w:ind w:right="67"/>
              <w:jc w:val="right"/>
              <w:rPr>
                <w:sz w:val="18"/>
              </w:rPr>
            </w:pPr>
            <w:r>
              <w:rPr>
                <w:spacing w:val="-10"/>
                <w:sz w:val="18"/>
              </w:rPr>
              <w:t>$</w:t>
            </w:r>
            <w:r>
              <w:rPr>
                <w:sz w:val="18"/>
              </w:rPr>
              <w:tab/>
            </w:r>
            <w:r>
              <w:rPr>
                <w:spacing w:val="-2"/>
                <w:sz w:val="18"/>
              </w:rPr>
              <w:t>1,279,219</w:t>
            </w:r>
          </w:p>
        </w:tc>
        <w:tc>
          <w:tcPr>
            <w:tcW w:w="121" w:type="dxa"/>
            <w:shd w:val="clear" w:color="auto" w:fill="CCEDFF"/>
          </w:tcPr>
          <w:p>
            <w:pPr>
              <w:pStyle w:val="TableParagraph"/>
              <w:spacing w:before="0"/>
              <w:rPr>
                <w:sz w:val="16"/>
              </w:rPr>
            </w:pPr>
          </w:p>
        </w:tc>
        <w:tc>
          <w:tcPr>
            <w:tcW w:w="3320" w:type="dxa"/>
            <w:gridSpan w:val="2"/>
            <w:shd w:val="clear" w:color="auto" w:fill="CCEDFF"/>
          </w:tcPr>
          <w:p>
            <w:pPr>
              <w:pStyle w:val="TableParagraph"/>
              <w:tabs>
                <w:tab w:pos="1351" w:val="left" w:leader="none"/>
                <w:tab w:pos="3020" w:val="left" w:leader="none"/>
              </w:tabs>
              <w:ind w:left="20"/>
              <w:rPr>
                <w:sz w:val="18"/>
              </w:rPr>
            </w:pPr>
            <w:r>
              <w:rPr>
                <w:spacing w:val="-10"/>
                <w:sz w:val="18"/>
              </w:rPr>
              <w:t>$</w:t>
            </w:r>
            <w:r>
              <w:rPr>
                <w:sz w:val="18"/>
              </w:rPr>
              <w:tab/>
              <w:t>—</w:t>
            </w:r>
            <w:r>
              <w:rPr>
                <w:spacing w:val="50"/>
                <w:sz w:val="18"/>
              </w:rPr>
              <w:t>  </w:t>
            </w:r>
            <w:r>
              <w:rPr>
                <w:spacing w:val="-10"/>
                <w:sz w:val="18"/>
              </w:rPr>
              <w:t>$</w:t>
            </w:r>
            <w:r>
              <w:rPr>
                <w:sz w:val="18"/>
              </w:rPr>
              <w:tab/>
            </w:r>
            <w:r>
              <w:rPr>
                <w:spacing w:val="-10"/>
                <w:sz w:val="18"/>
              </w:rPr>
              <w:t>—</w:t>
            </w:r>
          </w:p>
        </w:tc>
        <w:tc>
          <w:tcPr>
            <w:tcW w:w="1646" w:type="dxa"/>
            <w:shd w:val="clear" w:color="auto" w:fill="CCEDFF"/>
          </w:tcPr>
          <w:p>
            <w:pPr>
              <w:pStyle w:val="TableParagraph"/>
              <w:tabs>
                <w:tab w:pos="770" w:val="left" w:leader="none"/>
              </w:tabs>
              <w:ind w:right="67"/>
              <w:jc w:val="right"/>
              <w:rPr>
                <w:sz w:val="18"/>
              </w:rPr>
            </w:pPr>
            <w:r>
              <w:rPr>
                <w:spacing w:val="-10"/>
                <w:sz w:val="18"/>
              </w:rPr>
              <w:t>$</w:t>
            </w:r>
            <w:r>
              <w:rPr>
                <w:sz w:val="18"/>
              </w:rPr>
              <w:tab/>
            </w:r>
            <w:r>
              <w:rPr>
                <w:spacing w:val="-2"/>
                <w:sz w:val="18"/>
              </w:rPr>
              <w:t>2,707,009</w:t>
            </w:r>
          </w:p>
        </w:tc>
      </w:tr>
      <w:tr>
        <w:trPr>
          <w:trHeight w:val="269" w:hRule="atLeast"/>
        </w:trPr>
        <w:tc>
          <w:tcPr>
            <w:tcW w:w="3085" w:type="dxa"/>
          </w:tcPr>
          <w:p>
            <w:pPr>
              <w:pStyle w:val="TableParagraph"/>
              <w:ind w:left="17"/>
              <w:rPr>
                <w:sz w:val="18"/>
              </w:rPr>
            </w:pPr>
            <w:r>
              <w:rPr>
                <w:sz w:val="18"/>
              </w:rPr>
              <w:t>Regional</w:t>
            </w:r>
            <w:r>
              <w:rPr>
                <w:spacing w:val="-1"/>
                <w:sz w:val="18"/>
              </w:rPr>
              <w:t> </w:t>
            </w:r>
            <w:r>
              <w:rPr>
                <w:spacing w:val="-2"/>
                <w:sz w:val="18"/>
              </w:rPr>
              <w:t>Operations</w:t>
            </w:r>
          </w:p>
        </w:tc>
        <w:tc>
          <w:tcPr>
            <w:tcW w:w="1614" w:type="dxa"/>
          </w:tcPr>
          <w:p>
            <w:pPr>
              <w:pStyle w:val="TableParagraph"/>
              <w:ind w:right="113"/>
              <w:jc w:val="right"/>
              <w:rPr>
                <w:sz w:val="18"/>
              </w:rPr>
            </w:pPr>
            <w:r>
              <w:rPr>
                <w:spacing w:val="-2"/>
                <w:sz w:val="18"/>
              </w:rPr>
              <w:t>701,463</w:t>
            </w:r>
          </w:p>
        </w:tc>
        <w:tc>
          <w:tcPr>
            <w:tcW w:w="1726" w:type="dxa"/>
          </w:tcPr>
          <w:p>
            <w:pPr>
              <w:pStyle w:val="TableParagraph"/>
              <w:ind w:right="67"/>
              <w:jc w:val="right"/>
              <w:rPr>
                <w:sz w:val="18"/>
              </w:rPr>
            </w:pPr>
            <w:r>
              <w:rPr>
                <w:spacing w:val="-10"/>
                <w:sz w:val="18"/>
              </w:rPr>
              <w:t>—</w:t>
            </w:r>
          </w:p>
        </w:tc>
        <w:tc>
          <w:tcPr>
            <w:tcW w:w="121" w:type="dxa"/>
          </w:tcPr>
          <w:p>
            <w:pPr>
              <w:pStyle w:val="TableParagraph"/>
              <w:spacing w:before="0"/>
              <w:rPr>
                <w:sz w:val="16"/>
              </w:rPr>
            </w:pPr>
          </w:p>
        </w:tc>
        <w:tc>
          <w:tcPr>
            <w:tcW w:w="3320" w:type="dxa"/>
            <w:gridSpan w:val="2"/>
          </w:tcPr>
          <w:p>
            <w:pPr>
              <w:pStyle w:val="TableParagraph"/>
              <w:tabs>
                <w:tab w:pos="3020" w:val="left" w:leader="none"/>
              </w:tabs>
              <w:ind w:left="962"/>
              <w:rPr>
                <w:sz w:val="18"/>
              </w:rPr>
            </w:pPr>
            <w:r>
              <w:rPr>
                <w:spacing w:val="-2"/>
                <w:sz w:val="18"/>
              </w:rPr>
              <w:t>(40,523)</w:t>
            </w:r>
            <w:r>
              <w:rPr>
                <w:sz w:val="18"/>
              </w:rPr>
              <w:tab/>
            </w:r>
            <w:r>
              <w:rPr>
                <w:spacing w:val="-10"/>
                <w:sz w:val="18"/>
              </w:rPr>
              <w:t>—</w:t>
            </w:r>
          </w:p>
        </w:tc>
        <w:tc>
          <w:tcPr>
            <w:tcW w:w="1646" w:type="dxa"/>
          </w:tcPr>
          <w:p>
            <w:pPr>
              <w:pStyle w:val="TableParagraph"/>
              <w:ind w:right="67"/>
              <w:jc w:val="right"/>
              <w:rPr>
                <w:sz w:val="18"/>
              </w:rPr>
            </w:pPr>
            <w:r>
              <w:rPr>
                <w:spacing w:val="-2"/>
                <w:sz w:val="18"/>
              </w:rPr>
              <w:t>660,940</w:t>
            </w:r>
          </w:p>
        </w:tc>
      </w:tr>
      <w:tr>
        <w:trPr>
          <w:trHeight w:val="256" w:hRule="atLeast"/>
        </w:trPr>
        <w:tc>
          <w:tcPr>
            <w:tcW w:w="3085" w:type="dxa"/>
            <w:shd w:val="clear" w:color="auto" w:fill="CCEDFF"/>
          </w:tcPr>
          <w:p>
            <w:pPr>
              <w:pStyle w:val="TableParagraph"/>
              <w:ind w:left="17"/>
              <w:rPr>
                <w:sz w:val="18"/>
              </w:rPr>
            </w:pPr>
            <w:r>
              <w:rPr>
                <w:sz w:val="18"/>
              </w:rPr>
              <w:t>MGM</w:t>
            </w:r>
            <w:r>
              <w:rPr>
                <w:spacing w:val="-1"/>
                <w:sz w:val="18"/>
              </w:rPr>
              <w:t> </w:t>
            </w:r>
            <w:r>
              <w:rPr>
                <w:spacing w:val="-2"/>
                <w:sz w:val="18"/>
              </w:rPr>
              <w:t>China</w:t>
            </w:r>
          </w:p>
        </w:tc>
        <w:tc>
          <w:tcPr>
            <w:tcW w:w="1614" w:type="dxa"/>
            <w:shd w:val="clear" w:color="auto" w:fill="CCEDFF"/>
          </w:tcPr>
          <w:p>
            <w:pPr>
              <w:pStyle w:val="TableParagraph"/>
              <w:ind w:right="113"/>
              <w:jc w:val="right"/>
              <w:rPr>
                <w:sz w:val="18"/>
              </w:rPr>
            </w:pPr>
            <w:r>
              <w:rPr>
                <w:spacing w:val="-2"/>
                <w:sz w:val="18"/>
              </w:rPr>
              <w:t>1,351,744</w:t>
            </w:r>
          </w:p>
        </w:tc>
        <w:tc>
          <w:tcPr>
            <w:tcW w:w="1726" w:type="dxa"/>
            <w:shd w:val="clear" w:color="auto" w:fill="CCEDFF"/>
          </w:tcPr>
          <w:p>
            <w:pPr>
              <w:pStyle w:val="TableParagraph"/>
              <w:ind w:right="67"/>
              <w:jc w:val="right"/>
              <w:rPr>
                <w:sz w:val="18"/>
              </w:rPr>
            </w:pPr>
            <w:r>
              <w:rPr>
                <w:spacing w:val="-10"/>
                <w:sz w:val="18"/>
              </w:rPr>
              <w:t>—</w:t>
            </w:r>
          </w:p>
        </w:tc>
        <w:tc>
          <w:tcPr>
            <w:tcW w:w="121" w:type="dxa"/>
            <w:shd w:val="clear" w:color="auto" w:fill="CCEDFF"/>
          </w:tcPr>
          <w:p>
            <w:pPr>
              <w:pStyle w:val="TableParagraph"/>
              <w:spacing w:before="0"/>
              <w:rPr>
                <w:sz w:val="16"/>
              </w:rPr>
            </w:pPr>
          </w:p>
        </w:tc>
        <w:tc>
          <w:tcPr>
            <w:tcW w:w="3320" w:type="dxa"/>
            <w:gridSpan w:val="2"/>
            <w:shd w:val="clear" w:color="auto" w:fill="CCEDFF"/>
          </w:tcPr>
          <w:p>
            <w:pPr>
              <w:pStyle w:val="TableParagraph"/>
              <w:tabs>
                <w:tab w:pos="2855" w:val="left" w:leader="none"/>
              </w:tabs>
              <w:ind w:left="1351"/>
              <w:rPr>
                <w:sz w:val="18"/>
              </w:rPr>
            </w:pPr>
            <w:r>
              <w:rPr>
                <w:spacing w:val="-10"/>
                <w:sz w:val="18"/>
              </w:rPr>
              <w:t>—</w:t>
            </w:r>
            <w:r>
              <w:rPr>
                <w:sz w:val="18"/>
              </w:rPr>
              <w:tab/>
            </w:r>
            <w:r>
              <w:rPr>
                <w:spacing w:val="-2"/>
                <w:sz w:val="18"/>
              </w:rPr>
              <w:t>(866)</w:t>
            </w:r>
          </w:p>
        </w:tc>
        <w:tc>
          <w:tcPr>
            <w:tcW w:w="1646" w:type="dxa"/>
            <w:shd w:val="clear" w:color="auto" w:fill="CCEDFF"/>
          </w:tcPr>
          <w:p>
            <w:pPr>
              <w:pStyle w:val="TableParagraph"/>
              <w:ind w:right="67"/>
              <w:jc w:val="right"/>
              <w:rPr>
                <w:sz w:val="18"/>
              </w:rPr>
            </w:pPr>
            <w:r>
              <w:rPr>
                <w:spacing w:val="-2"/>
                <w:sz w:val="18"/>
              </w:rPr>
              <w:t>1,350,878</w:t>
            </w:r>
          </w:p>
        </w:tc>
      </w:tr>
      <w:tr>
        <w:trPr>
          <w:trHeight w:val="255" w:hRule="atLeast"/>
        </w:trPr>
        <w:tc>
          <w:tcPr>
            <w:tcW w:w="3085" w:type="dxa"/>
          </w:tcPr>
          <w:p>
            <w:pPr>
              <w:pStyle w:val="TableParagraph"/>
              <w:ind w:left="17"/>
              <w:rPr>
                <w:sz w:val="18"/>
              </w:rPr>
            </w:pPr>
            <w:r>
              <w:rPr>
                <w:sz w:val="18"/>
              </w:rPr>
              <w:t>Corporate</w:t>
            </w:r>
            <w:r>
              <w:rPr>
                <w:spacing w:val="-1"/>
                <w:sz w:val="18"/>
              </w:rPr>
              <w:t> </w:t>
            </w:r>
            <w:r>
              <w:rPr>
                <w:sz w:val="18"/>
              </w:rPr>
              <w:t>and</w:t>
            </w:r>
            <w:r>
              <w:rPr>
                <w:spacing w:val="-1"/>
                <w:sz w:val="18"/>
              </w:rPr>
              <w:t> </w:t>
            </w:r>
            <w:r>
              <w:rPr>
                <w:spacing w:val="-2"/>
                <w:sz w:val="18"/>
              </w:rPr>
              <w:t>other</w:t>
            </w:r>
          </w:p>
        </w:tc>
        <w:tc>
          <w:tcPr>
            <w:tcW w:w="1614" w:type="dxa"/>
            <w:tcBorders>
              <w:bottom w:val="single" w:sz="6" w:space="0" w:color="000000"/>
            </w:tcBorders>
          </w:tcPr>
          <w:p>
            <w:pPr>
              <w:pStyle w:val="TableParagraph"/>
              <w:ind w:right="113"/>
              <w:jc w:val="right"/>
              <w:rPr>
                <w:sz w:val="18"/>
              </w:rPr>
            </w:pPr>
            <w:r>
              <w:rPr>
                <w:spacing w:val="-10"/>
                <w:sz w:val="18"/>
              </w:rPr>
              <w:t>—</w:t>
            </w:r>
          </w:p>
        </w:tc>
        <w:tc>
          <w:tcPr>
            <w:tcW w:w="1726" w:type="dxa"/>
            <w:tcBorders>
              <w:bottom w:val="single" w:sz="6" w:space="0" w:color="000000"/>
            </w:tcBorders>
          </w:tcPr>
          <w:p>
            <w:pPr>
              <w:pStyle w:val="TableParagraph"/>
              <w:ind w:right="67"/>
              <w:jc w:val="right"/>
              <w:rPr>
                <w:sz w:val="18"/>
              </w:rPr>
            </w:pPr>
            <w:r>
              <w:rPr>
                <w:spacing w:val="-2"/>
                <w:sz w:val="18"/>
              </w:rPr>
              <w:t>288,367</w:t>
            </w:r>
          </w:p>
        </w:tc>
        <w:tc>
          <w:tcPr>
            <w:tcW w:w="121" w:type="dxa"/>
          </w:tcPr>
          <w:p>
            <w:pPr>
              <w:pStyle w:val="TableParagraph"/>
              <w:spacing w:before="0"/>
              <w:rPr>
                <w:sz w:val="16"/>
              </w:rPr>
            </w:pPr>
          </w:p>
        </w:tc>
        <w:tc>
          <w:tcPr>
            <w:tcW w:w="3320" w:type="dxa"/>
            <w:gridSpan w:val="2"/>
            <w:tcBorders>
              <w:bottom w:val="single" w:sz="6" w:space="0" w:color="000000"/>
            </w:tcBorders>
          </w:tcPr>
          <w:p>
            <w:pPr>
              <w:pStyle w:val="TableParagraph"/>
              <w:tabs>
                <w:tab w:pos="2712" w:val="left" w:leader="none"/>
              </w:tabs>
              <w:ind w:left="1351"/>
              <w:rPr>
                <w:sz w:val="18"/>
              </w:rPr>
            </w:pPr>
            <w:r>
              <w:rPr>
                <w:spacing w:val="-10"/>
                <w:sz w:val="18"/>
              </w:rPr>
              <w:t>—</w:t>
            </w:r>
            <w:r>
              <w:rPr>
                <w:sz w:val="18"/>
              </w:rPr>
              <w:tab/>
            </w:r>
            <w:r>
              <w:rPr>
                <w:spacing w:val="-2"/>
                <w:sz w:val="18"/>
              </w:rPr>
              <w:t>22,118</w:t>
            </w:r>
          </w:p>
        </w:tc>
        <w:tc>
          <w:tcPr>
            <w:tcW w:w="1646" w:type="dxa"/>
            <w:tcBorders>
              <w:bottom w:val="single" w:sz="6" w:space="0" w:color="000000"/>
            </w:tcBorders>
          </w:tcPr>
          <w:p>
            <w:pPr>
              <w:pStyle w:val="TableParagraph"/>
              <w:ind w:right="67"/>
              <w:jc w:val="right"/>
              <w:rPr>
                <w:sz w:val="18"/>
              </w:rPr>
            </w:pPr>
            <w:r>
              <w:rPr>
                <w:spacing w:val="-2"/>
                <w:sz w:val="18"/>
              </w:rPr>
              <w:t>310,485</w:t>
            </w:r>
          </w:p>
        </w:tc>
      </w:tr>
      <w:tr>
        <w:trPr>
          <w:trHeight w:val="273" w:hRule="atLeast"/>
        </w:trPr>
        <w:tc>
          <w:tcPr>
            <w:tcW w:w="3085" w:type="dxa"/>
            <w:shd w:val="clear" w:color="auto" w:fill="CCEDFF"/>
          </w:tcPr>
          <w:p>
            <w:pPr>
              <w:pStyle w:val="TableParagraph"/>
              <w:spacing w:before="0"/>
              <w:rPr>
                <w:sz w:val="16"/>
              </w:rPr>
            </w:pPr>
          </w:p>
        </w:tc>
        <w:tc>
          <w:tcPr>
            <w:tcW w:w="1614" w:type="dxa"/>
            <w:tcBorders>
              <w:top w:val="single" w:sz="6" w:space="0" w:color="000000"/>
              <w:bottom w:val="double" w:sz="6" w:space="0" w:color="000000"/>
            </w:tcBorders>
            <w:shd w:val="clear" w:color="auto" w:fill="CCEDFF"/>
          </w:tcPr>
          <w:p>
            <w:pPr>
              <w:pStyle w:val="TableParagraph"/>
              <w:tabs>
                <w:tab w:pos="769" w:val="left" w:leader="none"/>
              </w:tabs>
              <w:spacing w:before="20"/>
              <w:ind w:right="113"/>
              <w:jc w:val="right"/>
              <w:rPr>
                <w:sz w:val="18"/>
              </w:rPr>
            </w:pPr>
            <w:r>
              <w:rPr>
                <w:spacing w:val="-10"/>
                <w:sz w:val="18"/>
              </w:rPr>
              <w:t>$</w:t>
            </w:r>
            <w:r>
              <w:rPr>
                <w:sz w:val="18"/>
              </w:rPr>
              <w:tab/>
            </w:r>
            <w:r>
              <w:rPr>
                <w:spacing w:val="-2"/>
                <w:sz w:val="18"/>
              </w:rPr>
              <w:t>3,480,997</w:t>
            </w:r>
          </w:p>
        </w:tc>
        <w:tc>
          <w:tcPr>
            <w:tcW w:w="1726" w:type="dxa"/>
            <w:tcBorders>
              <w:top w:val="single" w:sz="6" w:space="0" w:color="000000"/>
              <w:bottom w:val="double" w:sz="6" w:space="0" w:color="000000"/>
            </w:tcBorders>
            <w:shd w:val="clear" w:color="auto" w:fill="CCEDFF"/>
          </w:tcPr>
          <w:p>
            <w:pPr>
              <w:pStyle w:val="TableParagraph"/>
              <w:tabs>
                <w:tab w:pos="845" w:val="left" w:leader="none"/>
              </w:tabs>
              <w:spacing w:before="20"/>
              <w:ind w:right="67"/>
              <w:jc w:val="right"/>
              <w:rPr>
                <w:sz w:val="18"/>
              </w:rPr>
            </w:pPr>
            <w:r>
              <w:rPr>
                <w:spacing w:val="-10"/>
                <w:sz w:val="18"/>
              </w:rPr>
              <w:t>$</w:t>
            </w:r>
            <w:r>
              <w:rPr>
                <w:sz w:val="18"/>
              </w:rPr>
              <w:tab/>
            </w:r>
            <w:r>
              <w:rPr>
                <w:spacing w:val="-2"/>
                <w:sz w:val="18"/>
              </w:rPr>
              <w:t>1,567,586</w:t>
            </w:r>
          </w:p>
        </w:tc>
        <w:tc>
          <w:tcPr>
            <w:tcW w:w="121" w:type="dxa"/>
            <w:shd w:val="clear" w:color="auto" w:fill="CCEDFF"/>
          </w:tcPr>
          <w:p>
            <w:pPr>
              <w:pStyle w:val="TableParagraph"/>
              <w:spacing w:before="0"/>
              <w:rPr>
                <w:sz w:val="16"/>
              </w:rPr>
            </w:pPr>
          </w:p>
        </w:tc>
        <w:tc>
          <w:tcPr>
            <w:tcW w:w="3320" w:type="dxa"/>
            <w:gridSpan w:val="2"/>
            <w:tcBorders>
              <w:top w:val="single" w:sz="6" w:space="0" w:color="000000"/>
            </w:tcBorders>
            <w:shd w:val="clear" w:color="auto" w:fill="CCEDFF"/>
          </w:tcPr>
          <w:p>
            <w:pPr>
              <w:pStyle w:val="TableParagraph"/>
              <w:tabs>
                <w:tab w:pos="962" w:val="left" w:leader="none"/>
                <w:tab w:pos="2705" w:val="left" w:leader="none"/>
              </w:tabs>
              <w:spacing w:before="20"/>
              <w:ind w:left="20"/>
              <w:rPr>
                <w:sz w:val="18"/>
              </w:rPr>
            </w:pPr>
            <w:r>
              <w:rPr/>
              <mc:AlternateContent>
                <mc:Choice Requires="wps">
                  <w:drawing>
                    <wp:anchor distT="0" distB="0" distL="0" distR="0" allowOverlap="1" layoutInCell="1" locked="0" behindDoc="1" simplePos="0" relativeHeight="477726720">
                      <wp:simplePos x="0" y="0"/>
                      <wp:positionH relativeFrom="column">
                        <wp:posOffset>0</wp:posOffset>
                      </wp:positionH>
                      <wp:positionV relativeFrom="paragraph">
                        <wp:posOffset>170870</wp:posOffset>
                      </wp:positionV>
                      <wp:extent cx="1020444" cy="34290"/>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1020444" cy="34290"/>
                                <a:chExt cx="1020444" cy="34290"/>
                              </a:xfrm>
                            </wpg:grpSpPr>
                            <wps:wsp>
                              <wps:cNvPr id="494" name="Graphic 494"/>
                              <wps:cNvSpPr/>
                              <wps:spPr>
                                <a:xfrm>
                                  <a:off x="-12" y="-2"/>
                                  <a:ext cx="1020444" cy="34290"/>
                                </a:xfrm>
                                <a:custGeom>
                                  <a:avLst/>
                                  <a:gdLst/>
                                  <a:ahLst/>
                                  <a:cxnLst/>
                                  <a:rect l="l" t="t" r="r" b="b"/>
                                  <a:pathLst>
                                    <a:path w="1020444" h="34290">
                                      <a:moveTo>
                                        <a:pt x="1020127" y="25717"/>
                                      </a:moveTo>
                                      <a:lnTo>
                                        <a:pt x="1002982" y="25717"/>
                                      </a:lnTo>
                                      <a:lnTo>
                                        <a:pt x="85725" y="25717"/>
                                      </a:lnTo>
                                      <a:lnTo>
                                        <a:pt x="0" y="25717"/>
                                      </a:lnTo>
                                      <a:lnTo>
                                        <a:pt x="0" y="34290"/>
                                      </a:lnTo>
                                      <a:lnTo>
                                        <a:pt x="85725" y="34290"/>
                                      </a:lnTo>
                                      <a:lnTo>
                                        <a:pt x="1002982" y="34290"/>
                                      </a:lnTo>
                                      <a:lnTo>
                                        <a:pt x="1020127" y="34290"/>
                                      </a:lnTo>
                                      <a:lnTo>
                                        <a:pt x="1020127" y="25717"/>
                                      </a:lnTo>
                                      <a:close/>
                                    </a:path>
                                    <a:path w="1020444" h="34290">
                                      <a:moveTo>
                                        <a:pt x="1020127" y="0"/>
                                      </a:moveTo>
                                      <a:lnTo>
                                        <a:pt x="1002982" y="0"/>
                                      </a:lnTo>
                                      <a:lnTo>
                                        <a:pt x="85725" y="0"/>
                                      </a:lnTo>
                                      <a:lnTo>
                                        <a:pt x="0" y="0"/>
                                      </a:lnTo>
                                      <a:lnTo>
                                        <a:pt x="0" y="8572"/>
                                      </a:lnTo>
                                      <a:lnTo>
                                        <a:pt x="85725" y="8572"/>
                                      </a:lnTo>
                                      <a:lnTo>
                                        <a:pt x="1002982" y="8572"/>
                                      </a:lnTo>
                                      <a:lnTo>
                                        <a:pt x="1020127" y="8572"/>
                                      </a:lnTo>
                                      <a:lnTo>
                                        <a:pt x="10201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54352pt;width:80.350pt;height:2.7pt;mso-position-horizontal-relative:column;mso-position-vertical-relative:paragraph;z-index:-25589760" id="docshapegroup491" coordorigin="0,269" coordsize="1607,54">
                      <v:shape style="position:absolute;left:-1;top:269;width:1607;height:54" id="docshape492" coordorigin="0,269" coordsize="1607,54" path="m1606,310l1579,310,135,310,0,310,0,323,135,323,1579,323,1606,323,1606,310xm1606,269l1579,269,135,269,0,269,0,283,135,283,1579,283,1606,283,1606,26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727232">
                      <wp:simplePos x="0" y="0"/>
                      <wp:positionH relativeFrom="column">
                        <wp:posOffset>1080134</wp:posOffset>
                      </wp:positionH>
                      <wp:positionV relativeFrom="paragraph">
                        <wp:posOffset>170870</wp:posOffset>
                      </wp:positionV>
                      <wp:extent cx="994410" cy="34290"/>
                      <wp:effectExtent l="0" t="0" r="0" b="0"/>
                      <wp:wrapNone/>
                      <wp:docPr id="495" name="Group 495"/>
                      <wp:cNvGraphicFramePr>
                        <a:graphicFrameLocks/>
                      </wp:cNvGraphicFramePr>
                      <a:graphic>
                        <a:graphicData uri="http://schemas.microsoft.com/office/word/2010/wordprocessingGroup">
                          <wpg:wgp>
                            <wpg:cNvPr id="495" name="Group 495"/>
                            <wpg:cNvGrpSpPr/>
                            <wpg:grpSpPr>
                              <a:xfrm>
                                <a:off x="0" y="0"/>
                                <a:ext cx="994410" cy="34290"/>
                                <a:chExt cx="994410" cy="34290"/>
                              </a:xfrm>
                            </wpg:grpSpPr>
                            <wps:wsp>
                              <wps:cNvPr id="496" name="Graphic 496"/>
                              <wps:cNvSpPr/>
                              <wps:spPr>
                                <a:xfrm>
                                  <a:off x="-12" y="-2"/>
                                  <a:ext cx="994410" cy="34290"/>
                                </a:xfrm>
                                <a:custGeom>
                                  <a:avLst/>
                                  <a:gdLst/>
                                  <a:ahLst/>
                                  <a:cxnLst/>
                                  <a:rect l="l" t="t" r="r" b="b"/>
                                  <a:pathLst>
                                    <a:path w="994410" h="34290">
                                      <a:moveTo>
                                        <a:pt x="994410" y="25717"/>
                                      </a:moveTo>
                                      <a:lnTo>
                                        <a:pt x="977265" y="25717"/>
                                      </a:lnTo>
                                      <a:lnTo>
                                        <a:pt x="77152" y="25717"/>
                                      </a:lnTo>
                                      <a:lnTo>
                                        <a:pt x="0" y="25717"/>
                                      </a:lnTo>
                                      <a:lnTo>
                                        <a:pt x="0" y="34290"/>
                                      </a:lnTo>
                                      <a:lnTo>
                                        <a:pt x="77152" y="34290"/>
                                      </a:lnTo>
                                      <a:lnTo>
                                        <a:pt x="977265" y="34290"/>
                                      </a:lnTo>
                                      <a:lnTo>
                                        <a:pt x="994410" y="34290"/>
                                      </a:lnTo>
                                      <a:lnTo>
                                        <a:pt x="994410" y="25717"/>
                                      </a:lnTo>
                                      <a:close/>
                                    </a:path>
                                    <a:path w="994410" h="34290">
                                      <a:moveTo>
                                        <a:pt x="994410" y="0"/>
                                      </a:moveTo>
                                      <a:lnTo>
                                        <a:pt x="977265" y="0"/>
                                      </a:lnTo>
                                      <a:lnTo>
                                        <a:pt x="77152" y="0"/>
                                      </a:lnTo>
                                      <a:lnTo>
                                        <a:pt x="0" y="0"/>
                                      </a:lnTo>
                                      <a:lnTo>
                                        <a:pt x="0" y="8572"/>
                                      </a:lnTo>
                                      <a:lnTo>
                                        <a:pt x="77152" y="8572"/>
                                      </a:lnTo>
                                      <a:lnTo>
                                        <a:pt x="977265" y="8572"/>
                                      </a:lnTo>
                                      <a:lnTo>
                                        <a:pt x="994410" y="8572"/>
                                      </a:lnTo>
                                      <a:lnTo>
                                        <a:pt x="9944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5.049995pt;margin-top:13.454352pt;width:78.3pt;height:2.7pt;mso-position-horizontal-relative:column;mso-position-vertical-relative:paragraph;z-index:-25589248" id="docshapegroup493" coordorigin="1701,269" coordsize="1566,54">
                      <v:shape style="position:absolute;left:1700;top:269;width:1566;height:54" id="docshape494" coordorigin="1701,269" coordsize="1566,54" path="m3267,310l3240,310,1822,310,1701,310,1701,323,1822,323,3240,323,3267,323,3267,310xm3267,269l3240,269,1822,269,1701,269,1701,283,1822,283,3240,283,3267,283,3267,269xe" filled="true" fillcolor="#000000" stroked="false">
                        <v:path arrowok="t"/>
                        <v:fill type="solid"/>
                      </v:shape>
                      <w10:wrap type="none"/>
                    </v:group>
                  </w:pict>
                </mc:Fallback>
              </mc:AlternateContent>
            </w:r>
            <w:r>
              <w:rPr>
                <w:spacing w:val="-10"/>
                <w:sz w:val="18"/>
              </w:rPr>
              <w:t>$</w:t>
            </w:r>
            <w:r>
              <w:rPr>
                <w:sz w:val="18"/>
              </w:rPr>
              <w:tab/>
              <w:t>(40,523)</w:t>
            </w:r>
            <w:r>
              <w:rPr>
                <w:spacing w:val="78"/>
                <w:w w:val="150"/>
                <w:sz w:val="18"/>
              </w:rPr>
              <w:t> </w:t>
            </w:r>
            <w:r>
              <w:rPr>
                <w:spacing w:val="-10"/>
                <w:sz w:val="18"/>
              </w:rPr>
              <w:t>$</w:t>
            </w:r>
            <w:r>
              <w:rPr>
                <w:sz w:val="18"/>
              </w:rPr>
              <w:tab/>
            </w:r>
            <w:r>
              <w:rPr>
                <w:spacing w:val="-2"/>
                <w:sz w:val="18"/>
              </w:rPr>
              <w:t>21,252</w:t>
            </w:r>
          </w:p>
        </w:tc>
        <w:tc>
          <w:tcPr>
            <w:tcW w:w="1646" w:type="dxa"/>
            <w:tcBorders>
              <w:top w:val="single" w:sz="6" w:space="0" w:color="000000"/>
              <w:bottom w:val="double" w:sz="6" w:space="0" w:color="000000"/>
            </w:tcBorders>
            <w:shd w:val="clear" w:color="auto" w:fill="CCEDFF"/>
          </w:tcPr>
          <w:p>
            <w:pPr>
              <w:pStyle w:val="TableParagraph"/>
              <w:tabs>
                <w:tab w:pos="770" w:val="left" w:leader="none"/>
              </w:tabs>
              <w:spacing w:before="20"/>
              <w:ind w:right="67"/>
              <w:jc w:val="right"/>
              <w:rPr>
                <w:sz w:val="18"/>
              </w:rPr>
            </w:pPr>
            <w:r>
              <w:rPr>
                <w:spacing w:val="-10"/>
                <w:sz w:val="18"/>
              </w:rPr>
              <w:t>$</w:t>
            </w:r>
            <w:r>
              <w:rPr>
                <w:sz w:val="18"/>
              </w:rPr>
              <w:tab/>
            </w:r>
            <w:r>
              <w:rPr>
                <w:spacing w:val="-2"/>
                <w:sz w:val="18"/>
              </w:rPr>
              <w:t>5,029,312</w:t>
            </w:r>
          </w:p>
        </w:tc>
      </w:tr>
      <w:tr>
        <w:trPr>
          <w:trHeight w:val="584" w:hRule="atLeast"/>
        </w:trPr>
        <w:tc>
          <w:tcPr>
            <w:tcW w:w="3085" w:type="dxa"/>
          </w:tcPr>
          <w:p>
            <w:pPr>
              <w:pStyle w:val="TableParagraph"/>
              <w:spacing w:before="0"/>
              <w:rPr>
                <w:sz w:val="16"/>
              </w:rPr>
            </w:pPr>
          </w:p>
        </w:tc>
        <w:tc>
          <w:tcPr>
            <w:tcW w:w="1614" w:type="dxa"/>
            <w:tcBorders>
              <w:top w:val="double" w:sz="6" w:space="0" w:color="000000"/>
              <w:bottom w:val="single" w:sz="6" w:space="0" w:color="000000"/>
            </w:tcBorders>
          </w:tcPr>
          <w:p>
            <w:pPr>
              <w:pStyle w:val="TableParagraph"/>
              <w:spacing w:before="0"/>
              <w:rPr>
                <w:sz w:val="16"/>
              </w:rPr>
            </w:pPr>
          </w:p>
        </w:tc>
        <w:tc>
          <w:tcPr>
            <w:tcW w:w="1726" w:type="dxa"/>
            <w:tcBorders>
              <w:top w:val="double" w:sz="6" w:space="0" w:color="000000"/>
              <w:bottom w:val="single" w:sz="6" w:space="0" w:color="000000"/>
            </w:tcBorders>
          </w:tcPr>
          <w:p>
            <w:pPr>
              <w:pStyle w:val="TableParagraph"/>
              <w:spacing w:before="0"/>
              <w:rPr>
                <w:sz w:val="16"/>
              </w:rPr>
            </w:pPr>
          </w:p>
        </w:tc>
        <w:tc>
          <w:tcPr>
            <w:tcW w:w="121" w:type="dxa"/>
            <w:tcBorders>
              <w:bottom w:val="single" w:sz="6" w:space="0" w:color="000000"/>
            </w:tcBorders>
          </w:tcPr>
          <w:p>
            <w:pPr>
              <w:pStyle w:val="TableParagraph"/>
              <w:spacing w:before="0"/>
              <w:rPr>
                <w:sz w:val="16"/>
              </w:rPr>
            </w:pPr>
          </w:p>
        </w:tc>
        <w:tc>
          <w:tcPr>
            <w:tcW w:w="3320" w:type="dxa"/>
            <w:gridSpan w:val="2"/>
            <w:tcBorders>
              <w:bottom w:val="single" w:sz="6" w:space="0" w:color="000000"/>
            </w:tcBorders>
          </w:tcPr>
          <w:p>
            <w:pPr>
              <w:pStyle w:val="TableParagraph"/>
              <w:spacing w:before="0"/>
              <w:rPr>
                <w:b/>
                <w:i/>
                <w:sz w:val="14"/>
              </w:rPr>
            </w:pPr>
          </w:p>
          <w:p>
            <w:pPr>
              <w:pStyle w:val="TableParagraph"/>
              <w:spacing w:before="64"/>
              <w:rPr>
                <w:b/>
                <w:i/>
                <w:sz w:val="14"/>
              </w:rPr>
            </w:pPr>
          </w:p>
          <w:p>
            <w:pPr>
              <w:pStyle w:val="TableParagraph"/>
              <w:spacing w:before="0"/>
              <w:ind w:left="615"/>
              <w:rPr>
                <w:b/>
                <w:sz w:val="14"/>
              </w:rPr>
            </w:pPr>
            <w:r>
              <w:rPr>
                <w:b/>
                <w:spacing w:val="-4"/>
                <w:sz w:val="14"/>
              </w:rPr>
              <w:t>2021</w:t>
            </w:r>
          </w:p>
        </w:tc>
        <w:tc>
          <w:tcPr>
            <w:tcW w:w="1646" w:type="dxa"/>
            <w:tcBorders>
              <w:top w:val="double" w:sz="6" w:space="0" w:color="000000"/>
              <w:bottom w:val="single" w:sz="6" w:space="0" w:color="000000"/>
            </w:tcBorders>
          </w:tcPr>
          <w:p>
            <w:pPr>
              <w:pStyle w:val="TableParagraph"/>
              <w:spacing w:before="0"/>
              <w:rPr>
                <w:sz w:val="16"/>
              </w:rPr>
            </w:pPr>
          </w:p>
        </w:tc>
      </w:tr>
      <w:tr>
        <w:trPr>
          <w:trHeight w:val="241" w:hRule="atLeast"/>
        </w:trPr>
        <w:tc>
          <w:tcPr>
            <w:tcW w:w="3085" w:type="dxa"/>
          </w:tcPr>
          <w:p>
            <w:pPr>
              <w:pStyle w:val="TableParagraph"/>
              <w:spacing w:before="0"/>
              <w:rPr>
                <w:sz w:val="16"/>
              </w:rPr>
            </w:pPr>
          </w:p>
        </w:tc>
        <w:tc>
          <w:tcPr>
            <w:tcW w:w="1614" w:type="dxa"/>
            <w:tcBorders>
              <w:top w:val="single" w:sz="6" w:space="0" w:color="000000"/>
              <w:bottom w:val="single" w:sz="6" w:space="0" w:color="000000"/>
            </w:tcBorders>
          </w:tcPr>
          <w:p>
            <w:pPr>
              <w:pStyle w:val="TableParagraph"/>
              <w:spacing w:before="44"/>
              <w:ind w:left="153"/>
              <w:rPr>
                <w:b/>
                <w:sz w:val="14"/>
              </w:rPr>
            </w:pPr>
            <w:r>
              <w:rPr>
                <w:b/>
                <w:sz w:val="14"/>
              </w:rPr>
              <w:t>Balance</w:t>
            </w:r>
            <w:r>
              <w:rPr>
                <w:b/>
                <w:spacing w:val="7"/>
                <w:sz w:val="14"/>
              </w:rPr>
              <w:t> </w:t>
            </w:r>
            <w:r>
              <w:rPr>
                <w:b/>
                <w:sz w:val="14"/>
              </w:rPr>
              <w:t>at</w:t>
            </w:r>
            <w:r>
              <w:rPr>
                <w:b/>
                <w:spacing w:val="7"/>
                <w:sz w:val="14"/>
              </w:rPr>
              <w:t> </w:t>
            </w:r>
            <w:r>
              <w:rPr>
                <w:b/>
                <w:sz w:val="14"/>
              </w:rPr>
              <w:t>January</w:t>
            </w:r>
            <w:r>
              <w:rPr>
                <w:b/>
                <w:spacing w:val="7"/>
                <w:sz w:val="14"/>
              </w:rPr>
              <w:t> </w:t>
            </w:r>
            <w:r>
              <w:rPr>
                <w:b/>
                <w:spacing w:val="-10"/>
                <w:sz w:val="14"/>
              </w:rPr>
              <w:t>1</w:t>
            </w:r>
          </w:p>
        </w:tc>
        <w:tc>
          <w:tcPr>
            <w:tcW w:w="1726" w:type="dxa"/>
            <w:tcBorders>
              <w:top w:val="single" w:sz="6" w:space="0" w:color="000000"/>
              <w:bottom w:val="single" w:sz="6" w:space="0" w:color="000000"/>
            </w:tcBorders>
          </w:tcPr>
          <w:p>
            <w:pPr>
              <w:pStyle w:val="TableParagraph"/>
              <w:spacing w:before="44"/>
              <w:ind w:left="511"/>
              <w:rPr>
                <w:b/>
                <w:sz w:val="14"/>
              </w:rPr>
            </w:pPr>
            <w:r>
              <w:rPr>
                <w:b/>
                <w:spacing w:val="-2"/>
                <w:sz w:val="14"/>
              </w:rPr>
              <w:t>Acquisitions</w:t>
            </w:r>
          </w:p>
        </w:tc>
        <w:tc>
          <w:tcPr>
            <w:tcW w:w="121" w:type="dxa"/>
            <w:tcBorders>
              <w:top w:val="single" w:sz="6" w:space="0" w:color="000000"/>
              <w:bottom w:val="single" w:sz="6" w:space="0" w:color="000000"/>
            </w:tcBorders>
          </w:tcPr>
          <w:p>
            <w:pPr>
              <w:pStyle w:val="TableParagraph"/>
              <w:spacing w:before="0"/>
              <w:rPr>
                <w:sz w:val="16"/>
              </w:rPr>
            </w:pPr>
          </w:p>
        </w:tc>
        <w:tc>
          <w:tcPr>
            <w:tcW w:w="3320" w:type="dxa"/>
            <w:gridSpan w:val="2"/>
            <w:tcBorders>
              <w:top w:val="single" w:sz="6" w:space="0" w:color="000000"/>
              <w:bottom w:val="single" w:sz="6" w:space="0" w:color="000000"/>
            </w:tcBorders>
          </w:tcPr>
          <w:p>
            <w:pPr>
              <w:pStyle w:val="TableParagraph"/>
              <w:tabs>
                <w:tab w:pos="1882" w:val="left" w:leader="none"/>
              </w:tabs>
              <w:spacing w:before="44"/>
              <w:ind w:left="265"/>
              <w:rPr>
                <w:b/>
                <w:sz w:val="14"/>
              </w:rPr>
            </w:pPr>
            <w:r>
              <w:rPr>
                <w:b/>
                <w:spacing w:val="-2"/>
                <w:sz w:val="14"/>
              </w:rPr>
              <w:t>Reclassifications</w:t>
            </w:r>
            <w:r>
              <w:rPr>
                <w:b/>
                <w:sz w:val="14"/>
              </w:rPr>
              <w:tab/>
              <w:t>Currency</w:t>
            </w:r>
            <w:r>
              <w:rPr>
                <w:b/>
                <w:spacing w:val="8"/>
                <w:sz w:val="14"/>
              </w:rPr>
              <w:t> </w:t>
            </w:r>
            <w:r>
              <w:rPr>
                <w:b/>
                <w:spacing w:val="-2"/>
                <w:sz w:val="14"/>
              </w:rPr>
              <w:t>exchange</w:t>
            </w:r>
          </w:p>
        </w:tc>
        <w:tc>
          <w:tcPr>
            <w:tcW w:w="1646" w:type="dxa"/>
            <w:tcBorders>
              <w:top w:val="single" w:sz="6" w:space="0" w:color="000000"/>
              <w:bottom w:val="single" w:sz="6" w:space="0" w:color="000000"/>
            </w:tcBorders>
          </w:tcPr>
          <w:p>
            <w:pPr>
              <w:pStyle w:val="TableParagraph"/>
              <w:spacing w:before="44"/>
              <w:ind w:right="48"/>
              <w:jc w:val="right"/>
              <w:rPr>
                <w:b/>
                <w:sz w:val="14"/>
              </w:rPr>
            </w:pPr>
            <w:r>
              <w:rPr>
                <w:b/>
                <w:sz w:val="14"/>
              </w:rPr>
              <w:t>Balance</w:t>
            </w:r>
            <w:r>
              <w:rPr>
                <w:b/>
                <w:spacing w:val="8"/>
                <w:sz w:val="14"/>
              </w:rPr>
              <w:t> </w:t>
            </w:r>
            <w:r>
              <w:rPr>
                <w:b/>
                <w:sz w:val="14"/>
              </w:rPr>
              <w:t>at</w:t>
            </w:r>
            <w:r>
              <w:rPr>
                <w:b/>
                <w:spacing w:val="8"/>
                <w:sz w:val="14"/>
              </w:rPr>
              <w:t> </w:t>
            </w:r>
            <w:r>
              <w:rPr>
                <w:b/>
                <w:sz w:val="14"/>
              </w:rPr>
              <w:t>December</w:t>
            </w:r>
            <w:r>
              <w:rPr>
                <w:b/>
                <w:spacing w:val="5"/>
                <w:sz w:val="14"/>
              </w:rPr>
              <w:t> </w:t>
            </w:r>
            <w:r>
              <w:rPr>
                <w:b/>
                <w:spacing w:val="-5"/>
                <w:sz w:val="14"/>
              </w:rPr>
              <w:t>31</w:t>
            </w:r>
          </w:p>
        </w:tc>
      </w:tr>
      <w:tr>
        <w:trPr>
          <w:trHeight w:val="255" w:hRule="atLeast"/>
        </w:trPr>
        <w:tc>
          <w:tcPr>
            <w:tcW w:w="3085" w:type="dxa"/>
          </w:tcPr>
          <w:p>
            <w:pPr>
              <w:pStyle w:val="TableParagraph"/>
              <w:spacing w:before="0"/>
              <w:rPr>
                <w:sz w:val="16"/>
              </w:rPr>
            </w:pPr>
          </w:p>
        </w:tc>
        <w:tc>
          <w:tcPr>
            <w:tcW w:w="1614" w:type="dxa"/>
            <w:tcBorders>
              <w:top w:val="single" w:sz="6" w:space="0" w:color="000000"/>
            </w:tcBorders>
          </w:tcPr>
          <w:p>
            <w:pPr>
              <w:pStyle w:val="TableParagraph"/>
              <w:spacing w:before="0"/>
              <w:rPr>
                <w:sz w:val="16"/>
              </w:rPr>
            </w:pPr>
          </w:p>
        </w:tc>
        <w:tc>
          <w:tcPr>
            <w:tcW w:w="1726" w:type="dxa"/>
            <w:tcBorders>
              <w:top w:val="single" w:sz="6" w:space="0" w:color="000000"/>
            </w:tcBorders>
          </w:tcPr>
          <w:p>
            <w:pPr>
              <w:pStyle w:val="TableParagraph"/>
              <w:spacing w:before="0"/>
              <w:rPr>
                <w:sz w:val="16"/>
              </w:rPr>
            </w:pPr>
          </w:p>
        </w:tc>
        <w:tc>
          <w:tcPr>
            <w:tcW w:w="121" w:type="dxa"/>
            <w:tcBorders>
              <w:top w:val="single" w:sz="6" w:space="0" w:color="000000"/>
            </w:tcBorders>
          </w:tcPr>
          <w:p>
            <w:pPr>
              <w:pStyle w:val="TableParagraph"/>
              <w:spacing w:before="0"/>
              <w:rPr>
                <w:sz w:val="16"/>
              </w:rPr>
            </w:pPr>
          </w:p>
        </w:tc>
        <w:tc>
          <w:tcPr>
            <w:tcW w:w="3320" w:type="dxa"/>
            <w:gridSpan w:val="2"/>
            <w:tcBorders>
              <w:top w:val="single" w:sz="6" w:space="0" w:color="000000"/>
            </w:tcBorders>
          </w:tcPr>
          <w:p>
            <w:pPr>
              <w:pStyle w:val="TableParagraph"/>
              <w:spacing w:before="30"/>
              <w:ind w:left="321"/>
              <w:rPr>
                <w:b/>
                <w:i/>
                <w:sz w:val="14"/>
              </w:rPr>
            </w:pPr>
            <w:r>
              <w:rPr>
                <w:b/>
                <w:i/>
                <w:sz w:val="14"/>
              </w:rPr>
              <w:t>(In</w:t>
            </w:r>
            <w:r>
              <w:rPr>
                <w:b/>
                <w:i/>
                <w:spacing w:val="3"/>
                <w:sz w:val="14"/>
              </w:rPr>
              <w:t> </w:t>
            </w:r>
            <w:r>
              <w:rPr>
                <w:b/>
                <w:i/>
                <w:spacing w:val="-2"/>
                <w:sz w:val="14"/>
              </w:rPr>
              <w:t>thousands)</w:t>
            </w:r>
          </w:p>
        </w:tc>
        <w:tc>
          <w:tcPr>
            <w:tcW w:w="1646" w:type="dxa"/>
            <w:tcBorders>
              <w:top w:val="single" w:sz="6" w:space="0" w:color="000000"/>
            </w:tcBorders>
          </w:tcPr>
          <w:p>
            <w:pPr>
              <w:pStyle w:val="TableParagraph"/>
              <w:spacing w:before="0"/>
              <w:rPr>
                <w:sz w:val="16"/>
              </w:rPr>
            </w:pPr>
          </w:p>
        </w:tc>
      </w:tr>
      <w:tr>
        <w:trPr>
          <w:trHeight w:val="256" w:hRule="atLeast"/>
        </w:trPr>
        <w:tc>
          <w:tcPr>
            <w:tcW w:w="3085" w:type="dxa"/>
            <w:shd w:val="clear" w:color="auto" w:fill="CCEDFF"/>
          </w:tcPr>
          <w:p>
            <w:pPr>
              <w:pStyle w:val="TableParagraph"/>
              <w:ind w:left="17"/>
              <w:rPr>
                <w:sz w:val="18"/>
              </w:rPr>
            </w:pPr>
            <w:r>
              <w:rPr>
                <w:sz w:val="18"/>
              </w:rPr>
              <w:t>Las</w:t>
            </w:r>
            <w:r>
              <w:rPr>
                <w:spacing w:val="-11"/>
                <w:sz w:val="18"/>
              </w:rPr>
              <w:t> </w:t>
            </w:r>
            <w:r>
              <w:rPr>
                <w:sz w:val="18"/>
              </w:rPr>
              <w:t>Vegas</w:t>
            </w:r>
            <w:r>
              <w:rPr>
                <w:spacing w:val="-8"/>
                <w:sz w:val="18"/>
              </w:rPr>
              <w:t> </w:t>
            </w:r>
            <w:r>
              <w:rPr>
                <w:sz w:val="18"/>
              </w:rPr>
              <w:t>Strip</w:t>
            </w:r>
            <w:r>
              <w:rPr>
                <w:spacing w:val="-7"/>
                <w:sz w:val="18"/>
              </w:rPr>
              <w:t> </w:t>
            </w:r>
            <w:r>
              <w:rPr>
                <w:spacing w:val="-2"/>
                <w:sz w:val="18"/>
              </w:rPr>
              <w:t>Resorts</w:t>
            </w:r>
          </w:p>
        </w:tc>
        <w:tc>
          <w:tcPr>
            <w:tcW w:w="1614" w:type="dxa"/>
            <w:shd w:val="clear" w:color="auto" w:fill="CCEDFF"/>
          </w:tcPr>
          <w:p>
            <w:pPr>
              <w:pStyle w:val="TableParagraph"/>
              <w:tabs>
                <w:tab w:pos="1000" w:val="left" w:leader="none"/>
              </w:tabs>
              <w:ind w:right="87"/>
              <w:jc w:val="right"/>
              <w:rPr>
                <w:sz w:val="18"/>
              </w:rPr>
            </w:pPr>
            <w:r>
              <w:rPr>
                <w:spacing w:val="-10"/>
                <w:sz w:val="18"/>
              </w:rPr>
              <w:t>$</w:t>
            </w:r>
            <w:r>
              <w:rPr>
                <w:sz w:val="18"/>
              </w:rPr>
              <w:tab/>
            </w:r>
            <w:r>
              <w:rPr>
                <w:spacing w:val="-2"/>
                <w:sz w:val="18"/>
              </w:rPr>
              <w:t>30,452</w:t>
            </w:r>
          </w:p>
        </w:tc>
        <w:tc>
          <w:tcPr>
            <w:tcW w:w="1726" w:type="dxa"/>
            <w:shd w:val="clear" w:color="auto" w:fill="CCEDFF"/>
          </w:tcPr>
          <w:p>
            <w:pPr>
              <w:pStyle w:val="TableParagraph"/>
              <w:tabs>
                <w:tab w:pos="775" w:val="left" w:leader="none"/>
              </w:tabs>
              <w:ind w:right="111"/>
              <w:jc w:val="right"/>
              <w:rPr>
                <w:sz w:val="18"/>
              </w:rPr>
            </w:pPr>
            <w:r>
              <w:rPr>
                <w:spacing w:val="-10"/>
                <w:sz w:val="18"/>
              </w:rPr>
              <w:t>$</w:t>
            </w:r>
            <w:r>
              <w:rPr>
                <w:sz w:val="18"/>
              </w:rPr>
              <w:tab/>
            </w:r>
            <w:r>
              <w:rPr>
                <w:spacing w:val="-2"/>
                <w:sz w:val="18"/>
              </w:rPr>
              <w:t>1,397,338</w:t>
            </w:r>
          </w:p>
        </w:tc>
        <w:tc>
          <w:tcPr>
            <w:tcW w:w="121" w:type="dxa"/>
            <w:shd w:val="clear" w:color="auto" w:fill="CCEDFF"/>
          </w:tcPr>
          <w:p>
            <w:pPr>
              <w:pStyle w:val="TableParagraph"/>
              <w:spacing w:before="0"/>
              <w:rPr>
                <w:sz w:val="16"/>
              </w:rPr>
            </w:pPr>
          </w:p>
        </w:tc>
        <w:tc>
          <w:tcPr>
            <w:tcW w:w="3320" w:type="dxa"/>
            <w:gridSpan w:val="2"/>
            <w:shd w:val="clear" w:color="auto" w:fill="CCEDFF"/>
          </w:tcPr>
          <w:p>
            <w:pPr>
              <w:pStyle w:val="TableParagraph"/>
              <w:tabs>
                <w:tab w:pos="1334" w:val="left" w:leader="none"/>
                <w:tab w:pos="3013" w:val="left" w:leader="none"/>
              </w:tabs>
              <w:ind w:left="-29"/>
              <w:rPr>
                <w:sz w:val="18"/>
              </w:rPr>
            </w:pPr>
            <w:r>
              <w:rPr>
                <w:spacing w:val="-10"/>
                <w:sz w:val="18"/>
              </w:rPr>
              <w:t>$</w:t>
            </w:r>
            <w:r>
              <w:rPr>
                <w:sz w:val="18"/>
              </w:rPr>
              <w:tab/>
              <w:t>—</w:t>
            </w:r>
            <w:r>
              <w:rPr>
                <w:spacing w:val="52"/>
                <w:sz w:val="18"/>
              </w:rPr>
              <w:t>  </w:t>
            </w:r>
            <w:r>
              <w:rPr>
                <w:spacing w:val="-10"/>
                <w:sz w:val="18"/>
              </w:rPr>
              <w:t>$</w:t>
            </w:r>
            <w:r>
              <w:rPr>
                <w:sz w:val="18"/>
              </w:rPr>
              <w:tab/>
            </w:r>
            <w:r>
              <w:rPr>
                <w:spacing w:val="-10"/>
                <w:sz w:val="18"/>
              </w:rPr>
              <w:t>—</w:t>
            </w:r>
          </w:p>
        </w:tc>
        <w:tc>
          <w:tcPr>
            <w:tcW w:w="1646" w:type="dxa"/>
            <w:shd w:val="clear" w:color="auto" w:fill="CCEDFF"/>
          </w:tcPr>
          <w:p>
            <w:pPr>
              <w:pStyle w:val="TableParagraph"/>
              <w:tabs>
                <w:tab w:pos="776" w:val="left" w:leader="none"/>
              </w:tabs>
              <w:ind w:right="68"/>
              <w:jc w:val="right"/>
              <w:rPr>
                <w:sz w:val="18"/>
              </w:rPr>
            </w:pPr>
            <w:r>
              <w:rPr>
                <w:spacing w:val="-10"/>
                <w:sz w:val="18"/>
              </w:rPr>
              <w:t>$</w:t>
            </w:r>
            <w:r>
              <w:rPr>
                <w:sz w:val="18"/>
              </w:rPr>
              <w:tab/>
            </w:r>
            <w:r>
              <w:rPr>
                <w:spacing w:val="-2"/>
                <w:sz w:val="18"/>
              </w:rPr>
              <w:t>1,427,790</w:t>
            </w:r>
          </w:p>
        </w:tc>
      </w:tr>
      <w:tr>
        <w:trPr>
          <w:trHeight w:val="256" w:hRule="atLeast"/>
        </w:trPr>
        <w:tc>
          <w:tcPr>
            <w:tcW w:w="3085" w:type="dxa"/>
          </w:tcPr>
          <w:p>
            <w:pPr>
              <w:pStyle w:val="TableParagraph"/>
              <w:ind w:left="17"/>
              <w:rPr>
                <w:sz w:val="18"/>
              </w:rPr>
            </w:pPr>
            <w:r>
              <w:rPr>
                <w:sz w:val="18"/>
              </w:rPr>
              <w:t>Regional</w:t>
            </w:r>
            <w:r>
              <w:rPr>
                <w:spacing w:val="-1"/>
                <w:sz w:val="18"/>
              </w:rPr>
              <w:t> </w:t>
            </w:r>
            <w:r>
              <w:rPr>
                <w:spacing w:val="-2"/>
                <w:sz w:val="18"/>
              </w:rPr>
              <w:t>Operations</w:t>
            </w:r>
          </w:p>
        </w:tc>
        <w:tc>
          <w:tcPr>
            <w:tcW w:w="1614" w:type="dxa"/>
          </w:tcPr>
          <w:p>
            <w:pPr>
              <w:pStyle w:val="TableParagraph"/>
              <w:ind w:right="87"/>
              <w:jc w:val="right"/>
              <w:rPr>
                <w:sz w:val="18"/>
              </w:rPr>
            </w:pPr>
            <w:r>
              <w:rPr>
                <w:spacing w:val="-2"/>
                <w:sz w:val="18"/>
              </w:rPr>
              <w:t>701,463</w:t>
            </w:r>
          </w:p>
        </w:tc>
        <w:tc>
          <w:tcPr>
            <w:tcW w:w="1726" w:type="dxa"/>
          </w:tcPr>
          <w:p>
            <w:pPr>
              <w:pStyle w:val="TableParagraph"/>
              <w:ind w:right="111"/>
              <w:jc w:val="right"/>
              <w:rPr>
                <w:sz w:val="18"/>
              </w:rPr>
            </w:pPr>
            <w:r>
              <w:rPr>
                <w:spacing w:val="-10"/>
                <w:sz w:val="18"/>
              </w:rPr>
              <w:t>—</w:t>
            </w:r>
          </w:p>
        </w:tc>
        <w:tc>
          <w:tcPr>
            <w:tcW w:w="121" w:type="dxa"/>
          </w:tcPr>
          <w:p>
            <w:pPr>
              <w:pStyle w:val="TableParagraph"/>
              <w:spacing w:before="0"/>
              <w:rPr>
                <w:sz w:val="16"/>
              </w:rPr>
            </w:pPr>
          </w:p>
        </w:tc>
        <w:tc>
          <w:tcPr>
            <w:tcW w:w="3320" w:type="dxa"/>
            <w:gridSpan w:val="2"/>
          </w:tcPr>
          <w:p>
            <w:pPr>
              <w:pStyle w:val="TableParagraph"/>
              <w:tabs>
                <w:tab w:pos="3013" w:val="left" w:leader="none"/>
              </w:tabs>
              <w:ind w:left="1334"/>
              <w:rPr>
                <w:sz w:val="18"/>
              </w:rPr>
            </w:pPr>
            <w:r>
              <w:rPr>
                <w:spacing w:val="-10"/>
                <w:sz w:val="18"/>
              </w:rPr>
              <w:t>—</w:t>
            </w:r>
            <w:r>
              <w:rPr>
                <w:sz w:val="18"/>
              </w:rPr>
              <w:tab/>
            </w:r>
            <w:r>
              <w:rPr>
                <w:spacing w:val="-10"/>
                <w:sz w:val="18"/>
              </w:rPr>
              <w:t>—</w:t>
            </w:r>
          </w:p>
        </w:tc>
        <w:tc>
          <w:tcPr>
            <w:tcW w:w="1646" w:type="dxa"/>
          </w:tcPr>
          <w:p>
            <w:pPr>
              <w:pStyle w:val="TableParagraph"/>
              <w:ind w:right="68"/>
              <w:jc w:val="right"/>
              <w:rPr>
                <w:sz w:val="18"/>
              </w:rPr>
            </w:pPr>
            <w:r>
              <w:rPr>
                <w:spacing w:val="-2"/>
                <w:sz w:val="18"/>
              </w:rPr>
              <w:t>701,463</w:t>
            </w:r>
          </w:p>
        </w:tc>
      </w:tr>
      <w:tr>
        <w:trPr>
          <w:trHeight w:val="255" w:hRule="atLeast"/>
        </w:trPr>
        <w:tc>
          <w:tcPr>
            <w:tcW w:w="3085" w:type="dxa"/>
            <w:shd w:val="clear" w:color="auto" w:fill="CCEDFF"/>
          </w:tcPr>
          <w:p>
            <w:pPr>
              <w:pStyle w:val="TableParagraph"/>
              <w:ind w:left="17"/>
              <w:rPr>
                <w:sz w:val="18"/>
              </w:rPr>
            </w:pPr>
            <w:r>
              <w:rPr>
                <w:sz w:val="18"/>
              </w:rPr>
              <w:t>MGM</w:t>
            </w:r>
            <w:r>
              <w:rPr>
                <w:spacing w:val="-1"/>
                <w:sz w:val="18"/>
              </w:rPr>
              <w:t> </w:t>
            </w:r>
            <w:r>
              <w:rPr>
                <w:spacing w:val="-2"/>
                <w:sz w:val="18"/>
              </w:rPr>
              <w:t>China</w:t>
            </w:r>
          </w:p>
        </w:tc>
        <w:tc>
          <w:tcPr>
            <w:tcW w:w="1614" w:type="dxa"/>
            <w:tcBorders>
              <w:bottom w:val="single" w:sz="6" w:space="0" w:color="000000"/>
            </w:tcBorders>
            <w:shd w:val="clear" w:color="auto" w:fill="CCEDFF"/>
          </w:tcPr>
          <w:p>
            <w:pPr>
              <w:pStyle w:val="TableParagraph"/>
              <w:ind w:right="87"/>
              <w:jc w:val="right"/>
              <w:rPr>
                <w:sz w:val="18"/>
              </w:rPr>
            </w:pPr>
            <w:r>
              <w:rPr>
                <w:spacing w:val="-2"/>
                <w:sz w:val="18"/>
              </w:rPr>
              <w:t>1,359,363</w:t>
            </w:r>
          </w:p>
        </w:tc>
        <w:tc>
          <w:tcPr>
            <w:tcW w:w="1726" w:type="dxa"/>
            <w:tcBorders>
              <w:bottom w:val="single" w:sz="6" w:space="0" w:color="000000"/>
            </w:tcBorders>
            <w:shd w:val="clear" w:color="auto" w:fill="CCEDFF"/>
          </w:tcPr>
          <w:p>
            <w:pPr>
              <w:pStyle w:val="TableParagraph"/>
              <w:ind w:right="111"/>
              <w:jc w:val="right"/>
              <w:rPr>
                <w:sz w:val="18"/>
              </w:rPr>
            </w:pPr>
            <w:r>
              <w:rPr>
                <w:spacing w:val="-10"/>
                <w:sz w:val="18"/>
              </w:rPr>
              <w:t>—</w:t>
            </w:r>
          </w:p>
        </w:tc>
        <w:tc>
          <w:tcPr>
            <w:tcW w:w="121" w:type="dxa"/>
            <w:tcBorders>
              <w:bottom w:val="single" w:sz="6" w:space="0" w:color="000000"/>
            </w:tcBorders>
            <w:shd w:val="clear" w:color="auto" w:fill="CCEDFF"/>
          </w:tcPr>
          <w:p>
            <w:pPr>
              <w:pStyle w:val="TableParagraph"/>
              <w:spacing w:before="0"/>
              <w:rPr>
                <w:sz w:val="16"/>
              </w:rPr>
            </w:pPr>
          </w:p>
        </w:tc>
        <w:tc>
          <w:tcPr>
            <w:tcW w:w="3320" w:type="dxa"/>
            <w:gridSpan w:val="2"/>
            <w:tcBorders>
              <w:bottom w:val="single" w:sz="6" w:space="0" w:color="000000"/>
            </w:tcBorders>
            <w:shd w:val="clear" w:color="auto" w:fill="CCEDFF"/>
          </w:tcPr>
          <w:p>
            <w:pPr>
              <w:pStyle w:val="TableParagraph"/>
              <w:tabs>
                <w:tab w:pos="2713" w:val="left" w:leader="none"/>
              </w:tabs>
              <w:ind w:left="1334"/>
              <w:rPr>
                <w:sz w:val="18"/>
              </w:rPr>
            </w:pPr>
            <w:r>
              <w:rPr>
                <w:spacing w:val="-10"/>
                <w:sz w:val="18"/>
              </w:rPr>
              <w:t>—</w:t>
            </w:r>
            <w:r>
              <w:rPr>
                <w:sz w:val="18"/>
              </w:rPr>
              <w:tab/>
            </w:r>
            <w:r>
              <w:rPr>
                <w:spacing w:val="-2"/>
                <w:sz w:val="18"/>
              </w:rPr>
              <w:t>(7,619)</w:t>
            </w:r>
          </w:p>
        </w:tc>
        <w:tc>
          <w:tcPr>
            <w:tcW w:w="1646" w:type="dxa"/>
            <w:tcBorders>
              <w:bottom w:val="single" w:sz="6" w:space="0" w:color="000000"/>
            </w:tcBorders>
            <w:shd w:val="clear" w:color="auto" w:fill="CCEDFF"/>
          </w:tcPr>
          <w:p>
            <w:pPr>
              <w:pStyle w:val="TableParagraph"/>
              <w:ind w:right="68"/>
              <w:jc w:val="right"/>
              <w:rPr>
                <w:sz w:val="18"/>
              </w:rPr>
            </w:pPr>
            <w:r>
              <w:rPr>
                <w:spacing w:val="-2"/>
                <w:sz w:val="18"/>
              </w:rPr>
              <w:t>1,351,744</w:t>
            </w:r>
          </w:p>
        </w:tc>
      </w:tr>
      <w:tr>
        <w:trPr>
          <w:trHeight w:val="260" w:hRule="atLeast"/>
        </w:trPr>
        <w:tc>
          <w:tcPr>
            <w:tcW w:w="3085" w:type="dxa"/>
          </w:tcPr>
          <w:p>
            <w:pPr>
              <w:pStyle w:val="TableParagraph"/>
              <w:spacing w:before="0"/>
              <w:rPr>
                <w:sz w:val="16"/>
              </w:rPr>
            </w:pPr>
          </w:p>
        </w:tc>
        <w:tc>
          <w:tcPr>
            <w:tcW w:w="1614" w:type="dxa"/>
            <w:tcBorders>
              <w:top w:val="single" w:sz="6" w:space="0" w:color="000000"/>
              <w:bottom w:val="double" w:sz="6" w:space="0" w:color="000000"/>
            </w:tcBorders>
          </w:tcPr>
          <w:p>
            <w:pPr>
              <w:pStyle w:val="TableParagraph"/>
              <w:tabs>
                <w:tab w:pos="775" w:val="left" w:leader="none"/>
              </w:tabs>
              <w:spacing w:before="20"/>
              <w:ind w:right="87"/>
              <w:jc w:val="right"/>
              <w:rPr>
                <w:sz w:val="18"/>
              </w:rPr>
            </w:pPr>
            <w:r>
              <w:rPr>
                <w:spacing w:val="-10"/>
                <w:sz w:val="18"/>
              </w:rPr>
              <w:t>$</w:t>
            </w:r>
            <w:r>
              <w:rPr>
                <w:sz w:val="18"/>
              </w:rPr>
              <w:tab/>
            </w:r>
            <w:r>
              <w:rPr>
                <w:spacing w:val="-2"/>
                <w:sz w:val="18"/>
              </w:rPr>
              <w:t>2,091,278</w:t>
            </w:r>
          </w:p>
        </w:tc>
        <w:tc>
          <w:tcPr>
            <w:tcW w:w="1726" w:type="dxa"/>
            <w:tcBorders>
              <w:top w:val="single" w:sz="6" w:space="0" w:color="000000"/>
              <w:bottom w:val="double" w:sz="6" w:space="0" w:color="000000"/>
            </w:tcBorders>
          </w:tcPr>
          <w:p>
            <w:pPr>
              <w:pStyle w:val="TableParagraph"/>
              <w:tabs>
                <w:tab w:pos="775" w:val="left" w:leader="none"/>
              </w:tabs>
              <w:spacing w:before="20"/>
              <w:ind w:right="111"/>
              <w:jc w:val="right"/>
              <w:rPr>
                <w:sz w:val="18"/>
              </w:rPr>
            </w:pPr>
            <w:r>
              <w:rPr>
                <w:spacing w:val="-10"/>
                <w:sz w:val="18"/>
              </w:rPr>
              <w:t>$</w:t>
            </w:r>
            <w:r>
              <w:rPr>
                <w:sz w:val="18"/>
              </w:rPr>
              <w:tab/>
            </w:r>
            <w:r>
              <w:rPr>
                <w:spacing w:val="-2"/>
                <w:sz w:val="18"/>
              </w:rPr>
              <w:t>1,397,338</w:t>
            </w:r>
          </w:p>
        </w:tc>
        <w:tc>
          <w:tcPr>
            <w:tcW w:w="121" w:type="dxa"/>
            <w:tcBorders>
              <w:top w:val="single" w:sz="6" w:space="0" w:color="000000"/>
              <w:bottom w:val="double" w:sz="6" w:space="0" w:color="000000"/>
            </w:tcBorders>
          </w:tcPr>
          <w:p>
            <w:pPr>
              <w:pStyle w:val="TableParagraph"/>
              <w:spacing w:before="0"/>
              <w:rPr>
                <w:sz w:val="16"/>
              </w:rPr>
            </w:pPr>
          </w:p>
        </w:tc>
        <w:tc>
          <w:tcPr>
            <w:tcW w:w="3320" w:type="dxa"/>
            <w:gridSpan w:val="2"/>
            <w:tcBorders>
              <w:top w:val="single" w:sz="6" w:space="0" w:color="000000"/>
              <w:bottom w:val="double" w:sz="6" w:space="0" w:color="000000"/>
            </w:tcBorders>
          </w:tcPr>
          <w:p>
            <w:pPr>
              <w:pStyle w:val="TableParagraph"/>
              <w:tabs>
                <w:tab w:pos="1334" w:val="left" w:leader="none"/>
                <w:tab w:pos="2713" w:val="left" w:leader="none"/>
              </w:tabs>
              <w:spacing w:before="20"/>
              <w:ind w:left="-29"/>
              <w:rPr>
                <w:sz w:val="18"/>
              </w:rPr>
            </w:pPr>
            <w:r>
              <w:rPr>
                <w:spacing w:val="-10"/>
                <w:sz w:val="18"/>
              </w:rPr>
              <w:t>$</w:t>
            </w:r>
            <w:r>
              <w:rPr>
                <w:sz w:val="18"/>
              </w:rPr>
              <w:tab/>
              <w:t>—</w:t>
            </w:r>
            <w:r>
              <w:rPr>
                <w:spacing w:val="52"/>
                <w:sz w:val="18"/>
              </w:rPr>
              <w:t>  </w:t>
            </w:r>
            <w:r>
              <w:rPr>
                <w:spacing w:val="-10"/>
                <w:sz w:val="18"/>
              </w:rPr>
              <w:t>$</w:t>
            </w:r>
            <w:r>
              <w:rPr>
                <w:sz w:val="18"/>
              </w:rPr>
              <w:tab/>
            </w:r>
            <w:r>
              <w:rPr>
                <w:spacing w:val="-2"/>
                <w:sz w:val="18"/>
              </w:rPr>
              <w:t>(7,619)</w:t>
            </w:r>
          </w:p>
        </w:tc>
        <w:tc>
          <w:tcPr>
            <w:tcW w:w="1646" w:type="dxa"/>
            <w:tcBorders>
              <w:top w:val="single" w:sz="6" w:space="0" w:color="000000"/>
              <w:bottom w:val="double" w:sz="6" w:space="0" w:color="000000"/>
            </w:tcBorders>
          </w:tcPr>
          <w:p>
            <w:pPr>
              <w:pStyle w:val="TableParagraph"/>
              <w:tabs>
                <w:tab w:pos="776" w:val="left" w:leader="none"/>
              </w:tabs>
              <w:spacing w:before="20"/>
              <w:ind w:right="68"/>
              <w:jc w:val="right"/>
              <w:rPr>
                <w:sz w:val="18"/>
              </w:rPr>
            </w:pPr>
            <w:r>
              <w:rPr>
                <w:spacing w:val="-10"/>
                <w:sz w:val="18"/>
              </w:rPr>
              <w:t>$</w:t>
            </w:r>
            <w:r>
              <w:rPr>
                <w:sz w:val="18"/>
              </w:rPr>
              <w:tab/>
            </w:r>
            <w:r>
              <w:rPr>
                <w:spacing w:val="-2"/>
                <w:sz w:val="18"/>
              </w:rPr>
              <w:t>3,480,997</w:t>
            </w:r>
          </w:p>
        </w:tc>
      </w:tr>
    </w:tbl>
    <w:p>
      <w:pPr>
        <w:pStyle w:val="BodyText"/>
        <w:spacing w:before="125"/>
        <w:rPr>
          <w:b/>
          <w:i/>
        </w:rPr>
      </w:pPr>
    </w:p>
    <w:p>
      <w:pPr>
        <w:pStyle w:val="BodyText"/>
        <w:ind w:left="644"/>
      </w:pPr>
      <w:r>
        <w:rPr/>
        <w:t>Refer</w:t>
      </w:r>
      <w:r>
        <w:rPr>
          <w:spacing w:val="-1"/>
        </w:rPr>
        <w:t> </w:t>
      </w:r>
      <w:r>
        <w:rPr/>
        <w:t>to</w:t>
      </w:r>
      <w:r>
        <w:rPr>
          <w:spacing w:val="-1"/>
        </w:rPr>
        <w:t> </w:t>
      </w:r>
      <w:r>
        <w:rPr/>
        <w:t>Note</w:t>
      </w:r>
      <w:r>
        <w:rPr>
          <w:spacing w:val="-1"/>
        </w:rPr>
        <w:t> </w:t>
      </w:r>
      <w:r>
        <w:rPr/>
        <w:t>4</w:t>
      </w:r>
      <w:r>
        <w:rPr>
          <w:spacing w:val="-1"/>
        </w:rPr>
        <w:t> </w:t>
      </w:r>
      <w:r>
        <w:rPr/>
        <w:t>for</w:t>
      </w:r>
      <w:r>
        <w:rPr>
          <w:spacing w:val="-1"/>
        </w:rPr>
        <w:t> </w:t>
      </w:r>
      <w:r>
        <w:rPr/>
        <w:t>discussion</w:t>
      </w:r>
      <w:r>
        <w:rPr>
          <w:spacing w:val="-1"/>
        </w:rPr>
        <w:t> </w:t>
      </w:r>
      <w:r>
        <w:rPr/>
        <w:t>on</w:t>
      </w:r>
      <w:r>
        <w:rPr>
          <w:spacing w:val="-1"/>
        </w:rPr>
        <w:t> </w:t>
      </w:r>
      <w:r>
        <w:rPr/>
        <w:t>acquisitions,</w:t>
      </w:r>
      <w:r>
        <w:rPr>
          <w:spacing w:val="-1"/>
        </w:rPr>
        <w:t> </w:t>
      </w:r>
      <w:r>
        <w:rPr/>
        <w:t>divestitures,</w:t>
      </w:r>
      <w:r>
        <w:rPr>
          <w:spacing w:val="-1"/>
        </w:rPr>
        <w:t> </w:t>
      </w:r>
      <w:r>
        <w:rPr/>
        <w:t>and</w:t>
      </w:r>
      <w:r>
        <w:rPr>
          <w:spacing w:val="-1"/>
        </w:rPr>
        <w:t> </w:t>
      </w:r>
      <w:r>
        <w:rPr/>
        <w:t>assets</w:t>
      </w:r>
      <w:r>
        <w:rPr>
          <w:spacing w:val="-1"/>
        </w:rPr>
        <w:t> </w:t>
      </w:r>
      <w:r>
        <w:rPr/>
        <w:t>held</w:t>
      </w:r>
      <w:r>
        <w:rPr>
          <w:spacing w:val="-1"/>
        </w:rPr>
        <w:t> </w:t>
      </w:r>
      <w:r>
        <w:rPr/>
        <w:t>for</w:t>
      </w:r>
      <w:r>
        <w:rPr>
          <w:spacing w:val="-1"/>
        </w:rPr>
        <w:t> </w:t>
      </w:r>
      <w:r>
        <w:rPr/>
        <w:t>sale</w:t>
      </w:r>
      <w:r>
        <w:rPr>
          <w:spacing w:val="-1"/>
        </w:rPr>
        <w:t> </w:t>
      </w:r>
      <w:r>
        <w:rPr>
          <w:spacing w:val="-2"/>
        </w:rPr>
        <w:t>(reclassifications).</w:t>
      </w:r>
    </w:p>
    <w:p>
      <w:pPr>
        <w:pStyle w:val="BodyText"/>
      </w:pPr>
    </w:p>
    <w:p>
      <w:pPr>
        <w:pStyle w:val="BodyText"/>
        <w:spacing w:before="203"/>
      </w:pPr>
    </w:p>
    <w:p>
      <w:pPr>
        <w:pStyle w:val="BodyText"/>
        <w:ind w:left="24"/>
        <w:jc w:val="center"/>
      </w:pPr>
      <w:r>
        <w:rPr>
          <w:spacing w:val="-5"/>
        </w:rPr>
        <w:t>78</w:t>
      </w:r>
    </w:p>
    <w:p>
      <w:pPr>
        <w:pStyle w:val="BodyText"/>
        <w:spacing w:before="3"/>
        <w:rPr>
          <w:sz w:val="6"/>
        </w:rPr>
      </w:pPr>
      <w:r>
        <w:rPr/>
        <mc:AlternateContent>
          <mc:Choice Requires="wps">
            <w:drawing>
              <wp:anchor distT="0" distB="0" distL="0" distR="0" allowOverlap="1" layoutInCell="1" locked="0" behindDoc="1" simplePos="0" relativeHeight="487685120">
                <wp:simplePos x="0" y="0"/>
                <wp:positionH relativeFrom="page">
                  <wp:posOffset>231457</wp:posOffset>
                </wp:positionH>
                <wp:positionV relativeFrom="paragraph">
                  <wp:posOffset>60956</wp:posOffset>
                </wp:positionV>
                <wp:extent cx="7312659" cy="17145"/>
                <wp:effectExtent l="0" t="0" r="0" b="0"/>
                <wp:wrapTopAndBottom/>
                <wp:docPr id="497" name="Group 497"/>
                <wp:cNvGraphicFramePr>
                  <a:graphicFrameLocks/>
                </wp:cNvGraphicFramePr>
                <a:graphic>
                  <a:graphicData uri="http://schemas.microsoft.com/office/word/2010/wordprocessingGroup">
                    <wpg:wgp>
                      <wpg:cNvPr id="497" name="Group 497"/>
                      <wpg:cNvGrpSpPr/>
                      <wpg:grpSpPr>
                        <a:xfrm>
                          <a:off x="0" y="0"/>
                          <a:ext cx="7312659" cy="17145"/>
                          <a:chExt cx="7312659" cy="17145"/>
                        </a:xfrm>
                      </wpg:grpSpPr>
                      <wps:wsp>
                        <wps:cNvPr id="498" name="Graphic 4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99" name="Graphic 499"/>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00" name="Graphic 5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31360;mso-wrap-distance-left:0;mso-wrap-distance-right:0" id="docshapegroup495" coordorigin="364,96" coordsize="11516,27">
                <v:rect style="position:absolute;left:364;top:96;width:11516;height:14" id="docshape496" filled="true" fillcolor="#999999" stroked="false">
                  <v:fill type="solid"/>
                </v:rect>
                <v:shape style="position:absolute;left:364;top:96;width:11516;height:27" id="docshape497" coordorigin="364,96" coordsize="11516,27" path="m11880,96l11866,109,364,109,364,123,11866,123,11880,123,11880,109,11880,96xe" filled="true" fillcolor="#ededed" stroked="false">
                  <v:path arrowok="t"/>
                  <v:fill type="solid"/>
                </v:shape>
                <v:shape style="position:absolute;left:364;top:96;width:14;height:27" id="docshape498"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BodyText"/>
        <w:spacing w:before="69"/>
        <w:ind w:left="144" w:right="119" w:firstLine="499"/>
        <w:jc w:val="both"/>
      </w:pPr>
      <w:r>
        <w:rPr>
          <w:b/>
        </w:rPr>
        <w:t>MGM Grand Paradise gaming subconcession. </w:t>
      </w:r>
      <w:r>
        <w:rPr/>
        <w:t>As described in Note 1, the enactment of the new Macau gaming law in June 2022 provided for material changes to the legal form of gaming concessions in Macau, including discontinuing and prohibiting gaming subconcessions subsequent to </w:t>
      </w:r>
      <w:r>
        <w:rPr/>
        <w:t>their expiration, and also included material changes to the rights and obligations provided for under the new gaming concessions. As a result, the Company determined that the MGM Grand Paradise gaming subconcession and new gaming concession are two separate units of account.</w:t>
      </w:r>
    </w:p>
    <w:p>
      <w:pPr>
        <w:pStyle w:val="BodyText"/>
        <w:spacing w:before="18"/>
      </w:pPr>
    </w:p>
    <w:p>
      <w:pPr>
        <w:pStyle w:val="BodyText"/>
        <w:spacing w:line="249" w:lineRule="auto"/>
        <w:ind w:left="144" w:right="118" w:firstLine="499"/>
        <w:jc w:val="both"/>
      </w:pPr>
      <w:r>
        <w:rPr/>
        <w:t>Further, as the material changes in the legal and regulatory environment could have an adverse effect on the value of MGM Grand Paradise’s </w:t>
      </w:r>
      <w:r>
        <w:rPr/>
        <w:t>gaming subconcession, the Company concluded that a triggering event had occurred under ASC 360 in June 2022 for the MGM China asset group. The Company compared the estimated undiscounted cash flows of the asset group to its carrying value and determined that the undiscounted cash flows significantly</w:t>
      </w:r>
      <w:r>
        <w:rPr>
          <w:spacing w:val="40"/>
        </w:rPr>
        <w:t> </w:t>
      </w:r>
      <w:r>
        <w:rPr/>
        <w:t>exceeded the carrying value and, therefore, no impairment was indicated.</w:t>
      </w:r>
    </w:p>
    <w:p>
      <w:pPr>
        <w:pStyle w:val="BodyText"/>
        <w:spacing w:before="12"/>
      </w:pPr>
    </w:p>
    <w:p>
      <w:pPr>
        <w:pStyle w:val="BodyText"/>
        <w:spacing w:line="249" w:lineRule="auto"/>
        <w:ind w:left="144" w:right="118" w:firstLine="499"/>
        <w:jc w:val="both"/>
      </w:pPr>
      <w:r>
        <w:rPr/>
        <w:t>Additionally, in June 2022, the Company reassessed the useful life of the gaming subconcession intangible asset and determined that, given the </w:t>
      </w:r>
      <w:r>
        <w:rPr/>
        <w:t>new gaming law and the resulting changes described above, the useful life would no longer be based on the initial term of the MGM Cotai land concession, which ends</w:t>
      </w:r>
      <w:r>
        <w:rPr>
          <w:spacing w:val="-1"/>
        </w:rPr>
        <w:t> </w:t>
      </w:r>
      <w:r>
        <w:rPr/>
        <w:t>in</w:t>
      </w:r>
      <w:r>
        <w:rPr>
          <w:spacing w:val="-1"/>
        </w:rPr>
        <w:t> </w:t>
      </w:r>
      <w:r>
        <w:rPr/>
        <w:t>January</w:t>
      </w:r>
      <w:r>
        <w:rPr>
          <w:spacing w:val="-1"/>
        </w:rPr>
        <w:t> </w:t>
      </w:r>
      <w:r>
        <w:rPr/>
        <w:t>2038,</w:t>
      </w:r>
      <w:r>
        <w:rPr>
          <w:spacing w:val="-1"/>
        </w:rPr>
        <w:t> </w:t>
      </w:r>
      <w:r>
        <w:rPr/>
        <w:t>and</w:t>
      </w:r>
      <w:r>
        <w:rPr>
          <w:spacing w:val="-1"/>
        </w:rPr>
        <w:t> </w:t>
      </w:r>
      <w:r>
        <w:rPr/>
        <w:t>that</w:t>
      </w:r>
      <w:r>
        <w:rPr>
          <w:spacing w:val="-1"/>
        </w:rPr>
        <w:t> </w:t>
      </w:r>
      <w:r>
        <w:rPr/>
        <w:t>the</w:t>
      </w:r>
      <w:r>
        <w:rPr>
          <w:spacing w:val="-1"/>
        </w:rPr>
        <w:t> </w:t>
      </w:r>
      <w:r>
        <w:rPr/>
        <w:t>useful</w:t>
      </w:r>
      <w:r>
        <w:rPr>
          <w:spacing w:val="-1"/>
        </w:rPr>
        <w:t> </w:t>
      </w:r>
      <w:r>
        <w:rPr/>
        <w:t>life</w:t>
      </w:r>
      <w:r>
        <w:rPr>
          <w:spacing w:val="-1"/>
        </w:rPr>
        <w:t> </w:t>
      </w:r>
      <w:r>
        <w:rPr/>
        <w:t>should</w:t>
      </w:r>
      <w:r>
        <w:rPr>
          <w:spacing w:val="-1"/>
        </w:rPr>
        <w:t> </w:t>
      </w:r>
      <w:r>
        <w:rPr/>
        <w:t>be</w:t>
      </w:r>
      <w:r>
        <w:rPr>
          <w:spacing w:val="-1"/>
        </w:rPr>
        <w:t> </w:t>
      </w:r>
      <w:r>
        <w:rPr/>
        <w:t>revised</w:t>
      </w:r>
      <w:r>
        <w:rPr>
          <w:spacing w:val="-1"/>
        </w:rPr>
        <w:t> </w:t>
      </w:r>
      <w:r>
        <w:rPr/>
        <w:t>to</w:t>
      </w:r>
      <w:r>
        <w:rPr>
          <w:spacing w:val="-1"/>
        </w:rPr>
        <w:t> </w:t>
      </w:r>
      <w:r>
        <w:rPr/>
        <w:t>align</w:t>
      </w:r>
      <w:r>
        <w:rPr>
          <w:spacing w:val="-1"/>
        </w:rPr>
        <w:t> </w:t>
      </w:r>
      <w:r>
        <w:rPr/>
        <w:t>with</w:t>
      </w:r>
      <w:r>
        <w:rPr>
          <w:spacing w:val="-1"/>
        </w:rPr>
        <w:t> </w:t>
      </w:r>
      <w:r>
        <w:rPr/>
        <w:t>the</w:t>
      </w:r>
      <w:r>
        <w:rPr>
          <w:spacing w:val="-1"/>
        </w:rPr>
        <w:t> </w:t>
      </w:r>
      <w:r>
        <w:rPr/>
        <w:t>cessation</w:t>
      </w:r>
      <w:r>
        <w:rPr>
          <w:spacing w:val="-1"/>
        </w:rPr>
        <w:t> </w:t>
      </w:r>
      <w:r>
        <w:rPr/>
        <w:t>of</w:t>
      </w:r>
      <w:r>
        <w:rPr>
          <w:spacing w:val="-1"/>
        </w:rPr>
        <w:t> </w:t>
      </w:r>
      <w:r>
        <w:rPr/>
        <w:t>the</w:t>
      </w:r>
      <w:r>
        <w:rPr>
          <w:spacing w:val="-1"/>
        </w:rPr>
        <w:t> </w:t>
      </w:r>
      <w:r>
        <w:rPr/>
        <w:t>subconcession</w:t>
      </w:r>
      <w:r>
        <w:rPr>
          <w:spacing w:val="-1"/>
        </w:rPr>
        <w:t> </w:t>
      </w:r>
      <w:r>
        <w:rPr/>
        <w:t>rights</w:t>
      </w:r>
      <w:r>
        <w:rPr>
          <w:spacing w:val="-1"/>
        </w:rPr>
        <w:t> </w:t>
      </w:r>
      <w:r>
        <w:rPr/>
        <w:t>that</w:t>
      </w:r>
      <w:r>
        <w:rPr>
          <w:spacing w:val="-1"/>
        </w:rPr>
        <w:t> </w:t>
      </w:r>
      <w:r>
        <w:rPr/>
        <w:t>occurred</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contractual term of the gaming subconcession, which ended on December 31, 2022. Accordingly, amortization of the MGM Grand Paradise gaming subconcession was recognized on a straight-line basis over its reduced useful life. The gaming subconcession was fully amortized as of December 31, 2022.</w:t>
      </w:r>
    </w:p>
    <w:p>
      <w:pPr>
        <w:pStyle w:val="BodyText"/>
        <w:spacing w:before="16"/>
      </w:pPr>
    </w:p>
    <w:p>
      <w:pPr>
        <w:pStyle w:val="BodyText"/>
        <w:spacing w:line="235" w:lineRule="auto"/>
        <w:ind w:left="144" w:right="370" w:firstLine="499"/>
      </w:pPr>
      <w:r>
        <w:rPr/>
        <w:t>Amortization</w:t>
      </w:r>
      <w:r>
        <w:rPr>
          <w:spacing w:val="-3"/>
        </w:rPr>
        <w:t> </w:t>
      </w:r>
      <w:r>
        <w:rPr/>
        <w:t>expense</w:t>
      </w:r>
      <w:r>
        <w:rPr>
          <w:spacing w:val="-3"/>
        </w:rPr>
        <w:t> </w:t>
      </w:r>
      <w:r>
        <w:rPr/>
        <w:t>related</w:t>
      </w:r>
      <w:r>
        <w:rPr>
          <w:spacing w:val="-3"/>
        </w:rPr>
        <w:t> </w:t>
      </w:r>
      <w:r>
        <w:rPr/>
        <w:t>to</w:t>
      </w:r>
      <w:r>
        <w:rPr>
          <w:spacing w:val="-3"/>
        </w:rPr>
        <w:t> </w:t>
      </w:r>
      <w:r>
        <w:rPr/>
        <w:t>intangible</w:t>
      </w:r>
      <w:r>
        <w:rPr>
          <w:spacing w:val="-3"/>
        </w:rPr>
        <w:t> </w:t>
      </w:r>
      <w:r>
        <w:rPr/>
        <w:t>assets</w:t>
      </w:r>
      <w:r>
        <w:rPr>
          <w:spacing w:val="-3"/>
        </w:rPr>
        <w:t> </w:t>
      </w:r>
      <w:r>
        <w:rPr/>
        <w:t>was</w:t>
      </w:r>
      <w:r>
        <w:rPr>
          <w:spacing w:val="-3"/>
        </w:rPr>
        <w:t> </w:t>
      </w:r>
      <w:r>
        <w:rPr/>
        <w:t>$2.7</w:t>
      </w:r>
      <w:r>
        <w:rPr>
          <w:spacing w:val="-3"/>
        </w:rPr>
        <w:t> </w:t>
      </w:r>
      <w:r>
        <w:rPr/>
        <w:t>billion,</w:t>
      </w:r>
      <w:r>
        <w:rPr>
          <w:spacing w:val="-3"/>
        </w:rPr>
        <w:t> </w:t>
      </w:r>
      <w:r>
        <w:rPr/>
        <w:t>$197</w:t>
      </w:r>
      <w:r>
        <w:rPr>
          <w:spacing w:val="-3"/>
        </w:rPr>
        <w:t> </w:t>
      </w:r>
      <w:r>
        <w:rPr/>
        <w:t>million</w:t>
      </w:r>
      <w:r>
        <w:rPr>
          <w:spacing w:val="-3"/>
        </w:rPr>
        <w:t> </w:t>
      </w:r>
      <w:r>
        <w:rPr/>
        <w:t>and</w:t>
      </w:r>
      <w:r>
        <w:rPr>
          <w:spacing w:val="-3"/>
        </w:rPr>
        <w:t> </w:t>
      </w:r>
      <w:r>
        <w:rPr/>
        <w:t>$194</w:t>
      </w:r>
      <w:r>
        <w:rPr>
          <w:spacing w:val="-3"/>
        </w:rPr>
        <w:t> </w:t>
      </w:r>
      <w:r>
        <w:rPr/>
        <w:t>million</w:t>
      </w:r>
      <w:r>
        <w:rPr>
          <w:spacing w:val="-3"/>
        </w:rPr>
        <w:t> </w:t>
      </w:r>
      <w:r>
        <w:rPr/>
        <w:t>for</w:t>
      </w:r>
      <w:r>
        <w:rPr>
          <w:spacing w:val="-3"/>
        </w:rPr>
        <w:t> </w:t>
      </w:r>
      <w:r>
        <w:rPr/>
        <w:t>2022,</w:t>
      </w:r>
      <w:r>
        <w:rPr>
          <w:spacing w:val="-3"/>
        </w:rPr>
        <w:t> </w:t>
      </w:r>
      <w:r>
        <w:rPr/>
        <w:t>2021,</w:t>
      </w:r>
      <w:r>
        <w:rPr>
          <w:spacing w:val="-3"/>
        </w:rPr>
        <w:t> </w:t>
      </w:r>
      <w:r>
        <w:rPr/>
        <w:t>and</w:t>
      </w:r>
      <w:r>
        <w:rPr>
          <w:spacing w:val="-3"/>
        </w:rPr>
        <w:t> </w:t>
      </w:r>
      <w:r>
        <w:rPr/>
        <w:t>2020,</w:t>
      </w:r>
      <w:r>
        <w:rPr>
          <w:spacing w:val="-3"/>
        </w:rPr>
        <w:t> </w:t>
      </w:r>
      <w:r>
        <w:rPr/>
        <w:t>respectively.</w:t>
      </w:r>
      <w:r>
        <w:rPr>
          <w:spacing w:val="-12"/>
        </w:rPr>
        <w:t> </w:t>
      </w:r>
      <w:r>
        <w:rPr/>
        <w:t>As</w:t>
      </w:r>
      <w:r>
        <w:rPr>
          <w:spacing w:val="-2"/>
        </w:rPr>
        <w:t> </w:t>
      </w:r>
      <w:r>
        <w:rPr/>
        <w:t>of December 31, 2022, estimated future amortization is as follows:</w:t>
      </w:r>
    </w:p>
    <w:p>
      <w:pPr>
        <w:pStyle w:val="BodyText"/>
        <w:spacing w:before="44"/>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7"/>
        <w:gridCol w:w="5509"/>
      </w:tblGrid>
      <w:tr>
        <w:trPr>
          <w:trHeight w:val="234" w:hRule="atLeast"/>
        </w:trPr>
        <w:tc>
          <w:tcPr>
            <w:tcW w:w="6007" w:type="dxa"/>
          </w:tcPr>
          <w:p>
            <w:pPr>
              <w:pStyle w:val="TableParagraph"/>
              <w:spacing w:line="199" w:lineRule="exact" w:before="0"/>
              <w:ind w:left="17"/>
              <w:rPr>
                <w:sz w:val="18"/>
              </w:rPr>
            </w:pPr>
            <w:r>
              <w:rPr>
                <w:sz w:val="18"/>
              </w:rPr>
              <w:t>Years</w:t>
            </w:r>
            <w:r>
              <w:rPr>
                <w:spacing w:val="-8"/>
                <w:sz w:val="18"/>
              </w:rPr>
              <w:t> </w:t>
            </w:r>
            <w:r>
              <w:rPr>
                <w:sz w:val="18"/>
              </w:rPr>
              <w:t>ending</w:t>
            </w:r>
            <w:r>
              <w:rPr>
                <w:spacing w:val="-7"/>
                <w:sz w:val="18"/>
              </w:rPr>
              <w:t> </w:t>
            </w:r>
            <w:r>
              <w:rPr>
                <w:sz w:val="18"/>
              </w:rPr>
              <w:t>December</w:t>
            </w:r>
            <w:r>
              <w:rPr>
                <w:spacing w:val="-7"/>
                <w:sz w:val="18"/>
              </w:rPr>
              <w:t> </w:t>
            </w:r>
            <w:r>
              <w:rPr>
                <w:spacing w:val="-5"/>
                <w:sz w:val="18"/>
              </w:rPr>
              <w:t>31,</w:t>
            </w:r>
          </w:p>
        </w:tc>
        <w:tc>
          <w:tcPr>
            <w:tcW w:w="5509" w:type="dxa"/>
          </w:tcPr>
          <w:p>
            <w:pPr>
              <w:pStyle w:val="TableParagraph"/>
              <w:spacing w:before="29"/>
              <w:ind w:right="325"/>
              <w:jc w:val="right"/>
              <w:rPr>
                <w:b/>
                <w:i/>
                <w:sz w:val="14"/>
              </w:rPr>
            </w:pPr>
            <w:r>
              <w:rPr>
                <w:b/>
                <w:i/>
                <w:sz w:val="14"/>
              </w:rPr>
              <w:t>(In</w:t>
            </w:r>
            <w:r>
              <w:rPr>
                <w:b/>
                <w:i/>
                <w:spacing w:val="3"/>
                <w:sz w:val="14"/>
              </w:rPr>
              <w:t> </w:t>
            </w:r>
            <w:r>
              <w:rPr>
                <w:b/>
                <w:i/>
                <w:spacing w:val="-2"/>
                <w:sz w:val="14"/>
              </w:rPr>
              <w:t>thousands)</w:t>
            </w:r>
          </w:p>
        </w:tc>
      </w:tr>
      <w:tr>
        <w:trPr>
          <w:trHeight w:val="263" w:hRule="atLeast"/>
        </w:trPr>
        <w:tc>
          <w:tcPr>
            <w:tcW w:w="6007" w:type="dxa"/>
            <w:shd w:val="clear" w:color="auto" w:fill="CFF0FB"/>
          </w:tcPr>
          <w:p>
            <w:pPr>
              <w:pStyle w:val="TableParagraph"/>
              <w:spacing w:before="27"/>
              <w:ind w:left="217"/>
              <w:rPr>
                <w:sz w:val="18"/>
              </w:rPr>
            </w:pPr>
            <w:r>
              <w:rPr>
                <w:spacing w:val="-4"/>
                <w:sz w:val="18"/>
              </w:rPr>
              <w:t>2023</w:t>
            </w:r>
          </w:p>
        </w:tc>
        <w:tc>
          <w:tcPr>
            <w:tcW w:w="5509" w:type="dxa"/>
            <w:shd w:val="clear" w:color="auto" w:fill="CFF0FB"/>
          </w:tcPr>
          <w:p>
            <w:pPr>
              <w:pStyle w:val="TableParagraph"/>
              <w:tabs>
                <w:tab w:pos="943" w:val="left" w:leader="none"/>
              </w:tabs>
              <w:spacing w:before="27"/>
              <w:ind w:right="71"/>
              <w:jc w:val="right"/>
              <w:rPr>
                <w:sz w:val="18"/>
              </w:rPr>
            </w:pPr>
            <w:r>
              <w:rPr>
                <w:spacing w:val="-10"/>
                <w:sz w:val="18"/>
              </w:rPr>
              <w:t>$</w:t>
            </w:r>
            <w:r>
              <w:rPr>
                <w:sz w:val="18"/>
              </w:rPr>
              <w:tab/>
            </w:r>
            <w:r>
              <w:rPr>
                <w:spacing w:val="-2"/>
                <w:sz w:val="18"/>
              </w:rPr>
              <w:t>77,200</w:t>
            </w:r>
          </w:p>
        </w:tc>
      </w:tr>
      <w:tr>
        <w:trPr>
          <w:trHeight w:val="256" w:hRule="atLeast"/>
        </w:trPr>
        <w:tc>
          <w:tcPr>
            <w:tcW w:w="6007" w:type="dxa"/>
          </w:tcPr>
          <w:p>
            <w:pPr>
              <w:pStyle w:val="TableParagraph"/>
              <w:ind w:left="217"/>
              <w:rPr>
                <w:sz w:val="18"/>
              </w:rPr>
            </w:pPr>
            <w:r>
              <w:rPr>
                <w:spacing w:val="-4"/>
                <w:sz w:val="18"/>
              </w:rPr>
              <w:t>2024</w:t>
            </w:r>
          </w:p>
        </w:tc>
        <w:tc>
          <w:tcPr>
            <w:tcW w:w="5509" w:type="dxa"/>
          </w:tcPr>
          <w:p>
            <w:pPr>
              <w:pStyle w:val="TableParagraph"/>
              <w:ind w:right="71"/>
              <w:jc w:val="right"/>
              <w:rPr>
                <w:sz w:val="18"/>
              </w:rPr>
            </w:pPr>
            <w:r>
              <w:rPr>
                <w:spacing w:val="-2"/>
                <w:sz w:val="18"/>
              </w:rPr>
              <w:t>75,214</w:t>
            </w:r>
          </w:p>
        </w:tc>
      </w:tr>
      <w:tr>
        <w:trPr>
          <w:trHeight w:val="269" w:hRule="atLeast"/>
        </w:trPr>
        <w:tc>
          <w:tcPr>
            <w:tcW w:w="6007" w:type="dxa"/>
            <w:shd w:val="clear" w:color="auto" w:fill="CFF0FB"/>
          </w:tcPr>
          <w:p>
            <w:pPr>
              <w:pStyle w:val="TableParagraph"/>
              <w:ind w:left="217"/>
              <w:rPr>
                <w:sz w:val="18"/>
              </w:rPr>
            </w:pPr>
            <w:r>
              <w:rPr>
                <w:spacing w:val="-4"/>
                <w:sz w:val="18"/>
              </w:rPr>
              <w:t>2025</w:t>
            </w:r>
          </w:p>
        </w:tc>
        <w:tc>
          <w:tcPr>
            <w:tcW w:w="5509" w:type="dxa"/>
            <w:shd w:val="clear" w:color="auto" w:fill="CFF0FB"/>
          </w:tcPr>
          <w:p>
            <w:pPr>
              <w:pStyle w:val="TableParagraph"/>
              <w:ind w:right="71"/>
              <w:jc w:val="right"/>
              <w:rPr>
                <w:sz w:val="18"/>
              </w:rPr>
            </w:pPr>
            <w:r>
              <w:rPr>
                <w:spacing w:val="-2"/>
                <w:sz w:val="18"/>
              </w:rPr>
              <w:t>73,428</w:t>
            </w:r>
          </w:p>
        </w:tc>
      </w:tr>
      <w:tr>
        <w:trPr>
          <w:trHeight w:val="256" w:hRule="atLeast"/>
        </w:trPr>
        <w:tc>
          <w:tcPr>
            <w:tcW w:w="6007" w:type="dxa"/>
          </w:tcPr>
          <w:p>
            <w:pPr>
              <w:pStyle w:val="TableParagraph"/>
              <w:ind w:left="217"/>
              <w:rPr>
                <w:sz w:val="18"/>
              </w:rPr>
            </w:pPr>
            <w:r>
              <w:rPr>
                <w:spacing w:val="-4"/>
                <w:sz w:val="18"/>
              </w:rPr>
              <w:t>2026</w:t>
            </w:r>
          </w:p>
        </w:tc>
        <w:tc>
          <w:tcPr>
            <w:tcW w:w="5509" w:type="dxa"/>
          </w:tcPr>
          <w:p>
            <w:pPr>
              <w:pStyle w:val="TableParagraph"/>
              <w:ind w:right="71"/>
              <w:jc w:val="right"/>
              <w:rPr>
                <w:sz w:val="18"/>
              </w:rPr>
            </w:pPr>
            <w:r>
              <w:rPr>
                <w:spacing w:val="-2"/>
                <w:sz w:val="18"/>
              </w:rPr>
              <w:t>71,643</w:t>
            </w:r>
          </w:p>
        </w:tc>
      </w:tr>
      <w:tr>
        <w:trPr>
          <w:trHeight w:val="256" w:hRule="atLeast"/>
        </w:trPr>
        <w:tc>
          <w:tcPr>
            <w:tcW w:w="6007" w:type="dxa"/>
            <w:shd w:val="clear" w:color="auto" w:fill="CFF0FB"/>
          </w:tcPr>
          <w:p>
            <w:pPr>
              <w:pStyle w:val="TableParagraph"/>
              <w:ind w:left="217"/>
              <w:rPr>
                <w:sz w:val="18"/>
              </w:rPr>
            </w:pPr>
            <w:r>
              <w:rPr>
                <w:spacing w:val="-4"/>
                <w:sz w:val="18"/>
              </w:rPr>
              <w:t>2027</w:t>
            </w:r>
          </w:p>
        </w:tc>
        <w:tc>
          <w:tcPr>
            <w:tcW w:w="5509" w:type="dxa"/>
            <w:shd w:val="clear" w:color="auto" w:fill="CFF0FB"/>
          </w:tcPr>
          <w:p>
            <w:pPr>
              <w:pStyle w:val="TableParagraph"/>
              <w:ind w:right="71"/>
              <w:jc w:val="right"/>
              <w:rPr>
                <w:sz w:val="18"/>
              </w:rPr>
            </w:pPr>
            <w:r>
              <w:rPr>
                <w:spacing w:val="-2"/>
                <w:sz w:val="18"/>
              </w:rPr>
              <w:t>54,602</w:t>
            </w:r>
          </w:p>
        </w:tc>
      </w:tr>
      <w:tr>
        <w:trPr>
          <w:trHeight w:val="263" w:hRule="atLeast"/>
        </w:trPr>
        <w:tc>
          <w:tcPr>
            <w:tcW w:w="6007" w:type="dxa"/>
          </w:tcPr>
          <w:p>
            <w:pPr>
              <w:pStyle w:val="TableParagraph"/>
              <w:ind w:left="217"/>
              <w:rPr>
                <w:sz w:val="18"/>
              </w:rPr>
            </w:pPr>
            <w:r>
              <w:rPr>
                <w:spacing w:val="-2"/>
                <w:sz w:val="18"/>
              </w:rPr>
              <w:t>Thereafter</w:t>
            </w:r>
          </w:p>
        </w:tc>
        <w:tc>
          <w:tcPr>
            <w:tcW w:w="5509" w:type="dxa"/>
          </w:tcPr>
          <w:p>
            <w:pPr>
              <w:pStyle w:val="TableParagraph"/>
              <w:ind w:right="71"/>
              <w:jc w:val="right"/>
              <w:rPr>
                <w:sz w:val="18"/>
              </w:rPr>
            </w:pPr>
            <w:r>
              <w:rPr>
                <w:spacing w:val="-2"/>
                <w:sz w:val="18"/>
              </w:rPr>
              <w:t>59,674</w:t>
            </w:r>
          </w:p>
        </w:tc>
      </w:tr>
      <w:tr>
        <w:trPr>
          <w:trHeight w:val="290" w:hRule="atLeast"/>
        </w:trPr>
        <w:tc>
          <w:tcPr>
            <w:tcW w:w="6007" w:type="dxa"/>
            <w:shd w:val="clear" w:color="auto" w:fill="CFF0FB"/>
          </w:tcPr>
          <w:p>
            <w:pPr>
              <w:pStyle w:val="TableParagraph"/>
              <w:spacing w:before="0"/>
              <w:rPr>
                <w:sz w:val="16"/>
              </w:rPr>
            </w:pPr>
          </w:p>
        </w:tc>
        <w:tc>
          <w:tcPr>
            <w:tcW w:w="5509" w:type="dxa"/>
            <w:shd w:val="clear" w:color="auto" w:fill="CFF0FB"/>
          </w:tcPr>
          <w:p>
            <w:pPr>
              <w:pStyle w:val="TableParagraph"/>
              <w:tabs>
                <w:tab w:pos="859" w:val="left" w:leader="none"/>
              </w:tabs>
              <w:spacing w:before="27"/>
              <w:ind w:right="71"/>
              <w:jc w:val="right"/>
              <w:rPr>
                <w:sz w:val="18"/>
              </w:rPr>
            </w:pPr>
            <w:r>
              <w:rPr>
                <w:spacing w:val="-10"/>
                <w:sz w:val="18"/>
              </w:rPr>
              <w:t>$</w:t>
            </w:r>
            <w:r>
              <w:rPr>
                <w:sz w:val="18"/>
              </w:rPr>
              <w:tab/>
            </w:r>
            <w:r>
              <w:rPr>
                <w:spacing w:val="-2"/>
                <w:sz w:val="18"/>
              </w:rPr>
              <w:t>411,761</w:t>
            </w:r>
          </w:p>
        </w:tc>
      </w:tr>
    </w:tbl>
    <w:p>
      <w:pPr>
        <w:pStyle w:val="BodyText"/>
        <w:spacing w:before="128"/>
      </w:pPr>
    </w:p>
    <w:p>
      <w:pPr>
        <w:pStyle w:val="Heading4"/>
      </w:pPr>
      <w:r>
        <w:rPr/>
        <w:t>NOTE</w:t>
      </w:r>
      <w:r>
        <w:rPr>
          <w:spacing w:val="-1"/>
        </w:rPr>
        <w:t> </w:t>
      </w:r>
      <w:r>
        <w:rPr/>
        <w:t>8</w:t>
      </w:r>
      <w:r>
        <w:rPr>
          <w:spacing w:val="-1"/>
        </w:rPr>
        <w:t> </w:t>
      </w:r>
      <w:r>
        <w:rPr/>
        <w:t>—</w:t>
      </w:r>
      <w:r>
        <w:rPr>
          <w:spacing w:val="-1"/>
        </w:rPr>
        <w:t> </w:t>
      </w:r>
      <w:r>
        <w:rPr/>
        <w:t>OTHER</w:t>
      </w:r>
      <w:r>
        <w:rPr>
          <w:spacing w:val="-10"/>
        </w:rPr>
        <w:t> </w:t>
      </w:r>
      <w:r>
        <w:rPr/>
        <w:t>ACCRUED</w:t>
      </w:r>
      <w:r>
        <w:rPr>
          <w:spacing w:val="-1"/>
        </w:rPr>
        <w:t> </w:t>
      </w:r>
      <w:r>
        <w:rPr>
          <w:spacing w:val="-2"/>
        </w:rPr>
        <w:t>LIABILITIES</w:t>
      </w:r>
    </w:p>
    <w:p>
      <w:pPr>
        <w:pStyle w:val="BodyText"/>
        <w:spacing w:before="4"/>
        <w:rPr>
          <w:b/>
        </w:rPr>
      </w:pPr>
    </w:p>
    <w:p>
      <w:pPr>
        <w:pStyle w:val="BodyText"/>
        <w:spacing w:before="1"/>
        <w:ind w:right="6791"/>
        <w:jc w:val="center"/>
      </w:pPr>
      <w:r>
        <w:rPr/>
        <w:t>Other</w:t>
      </w:r>
      <w:r>
        <w:rPr>
          <w:spacing w:val="-1"/>
        </w:rPr>
        <w:t> </w:t>
      </w:r>
      <w:r>
        <w:rPr/>
        <w:t>accrued</w:t>
      </w:r>
      <w:r>
        <w:rPr>
          <w:spacing w:val="-1"/>
        </w:rPr>
        <w:t> </w:t>
      </w:r>
      <w:r>
        <w:rPr/>
        <w:t>liabilities</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Heading5"/>
        <w:spacing w:before="63"/>
        <w:ind w:left="8371"/>
      </w:pPr>
      <w:r>
        <w:rPr/>
        <mc:AlternateContent>
          <mc:Choice Requires="wps">
            <w:drawing>
              <wp:anchor distT="0" distB="0" distL="0" distR="0" allowOverlap="1" layoutInCell="1" locked="0" behindDoc="1" simplePos="0" relativeHeight="487686656">
                <wp:simplePos x="0" y="0"/>
                <wp:positionH relativeFrom="page">
                  <wp:posOffset>5529250</wp:posOffset>
                </wp:positionH>
                <wp:positionV relativeFrom="paragraph">
                  <wp:posOffset>189526</wp:posOffset>
                </wp:positionV>
                <wp:extent cx="2014855" cy="8890"/>
                <wp:effectExtent l="0" t="0" r="0" b="0"/>
                <wp:wrapTopAndBottom/>
                <wp:docPr id="501" name="Graphic 501"/>
                <wp:cNvGraphicFramePr>
                  <a:graphicFrameLocks/>
                </wp:cNvGraphicFramePr>
                <a:graphic>
                  <a:graphicData uri="http://schemas.microsoft.com/office/word/2010/wordprocessingShape">
                    <wps:wsp>
                      <wps:cNvPr id="501" name="Graphic 501"/>
                      <wps:cNvSpPr/>
                      <wps:spPr>
                        <a:xfrm>
                          <a:off x="0" y="0"/>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374023pt;margin-top:14.923349pt;width:158.625008pt;height:.675pt;mso-position-horizontal-relative:page;mso-position-vertical-relative:paragraph;z-index:-15629824;mso-wrap-distance-left:0;mso-wrap-distance-right:0" id="docshape499" filled="true" fillcolor="#000000" stroked="false">
                <v:fill type="solid"/>
                <w10:wrap type="topAndBottom"/>
              </v:rect>
            </w:pict>
          </mc:Fallback>
        </mc:AlternateContent>
      </w:r>
      <w:r>
        <w:rPr/>
        <w:t>December</w:t>
      </w:r>
      <w:r>
        <w:rPr>
          <w:spacing w:val="-4"/>
        </w:rPr>
        <w:t> </w:t>
      </w:r>
      <w:r>
        <w:rPr>
          <w:spacing w:val="-5"/>
        </w:rPr>
        <w:t>31,</w:t>
      </w:r>
    </w:p>
    <w:p>
      <w:pPr>
        <w:tabs>
          <w:tab w:pos="10013" w:val="left" w:leader="none"/>
        </w:tabs>
        <w:spacing w:before="21" w:after="29"/>
        <w:ind w:left="8370" w:right="0" w:firstLine="0"/>
        <w:jc w:val="center"/>
        <w:rPr>
          <w:b/>
          <w:sz w:val="18"/>
        </w:rPr>
      </w:pPr>
      <w:r>
        <w:rPr>
          <w:b/>
          <w:spacing w:val="-4"/>
          <w:sz w:val="18"/>
        </w:rPr>
        <w:t>2022</w:t>
      </w:r>
      <w:r>
        <w:rPr>
          <w:b/>
          <w:sz w:val="18"/>
        </w:rPr>
        <w:tab/>
      </w:r>
      <w:r>
        <w:rPr>
          <w:b/>
          <w:spacing w:val="-4"/>
          <w:sz w:val="18"/>
        </w:rPr>
        <w:t>2021</w:t>
      </w:r>
    </w:p>
    <w:p>
      <w:pPr>
        <w:pStyle w:val="BodyText"/>
        <w:spacing w:line="20" w:lineRule="exact"/>
        <w:ind w:left="8487"/>
        <w:rPr>
          <w:sz w:val="2"/>
        </w:rPr>
      </w:pPr>
      <w:r>
        <w:rPr>
          <w:sz w:val="2"/>
        </w:rPr>
        <mc:AlternateContent>
          <mc:Choice Requires="wps">
            <w:drawing>
              <wp:inline distT="0" distB="0" distL="0" distR="0">
                <wp:extent cx="2014855" cy="8890"/>
                <wp:effectExtent l="0" t="0" r="0" b="0"/>
                <wp:docPr id="502" name="Group 502"/>
                <wp:cNvGraphicFramePr>
                  <a:graphicFrameLocks/>
                </wp:cNvGraphicFramePr>
                <a:graphic>
                  <a:graphicData uri="http://schemas.microsoft.com/office/word/2010/wordprocessingGroup">
                    <wpg:wgp>
                      <wpg:cNvPr id="502" name="Group 502"/>
                      <wpg:cNvGrpSpPr/>
                      <wpg:grpSpPr>
                        <a:xfrm>
                          <a:off x="0" y="0"/>
                          <a:ext cx="2014855" cy="8890"/>
                          <a:chExt cx="2014855" cy="8890"/>
                        </a:xfrm>
                      </wpg:grpSpPr>
                      <wps:wsp>
                        <wps:cNvPr id="503" name="Graphic 503"/>
                        <wps:cNvSpPr/>
                        <wps:spPr>
                          <a:xfrm>
                            <a:off x="-12" y="-2"/>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500" coordorigin="0,0" coordsize="3173,14">
                <v:rect style="position:absolute;left:-1;top:0;width:3173;height:14" id="docshape501" filled="true" fillcolor="#000000" stroked="false">
                  <v:fill type="solid"/>
                </v:rect>
              </v:group>
            </w:pict>
          </mc:Fallback>
        </mc:AlternateContent>
      </w:r>
      <w:r>
        <w:rPr>
          <w:sz w:val="2"/>
        </w:rPr>
      </w:r>
    </w:p>
    <w:p>
      <w:pPr>
        <w:spacing w:before="51" w:after="38"/>
        <w:ind w:left="8371"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5"/>
        <w:gridCol w:w="3718"/>
        <w:gridCol w:w="1611"/>
      </w:tblGrid>
      <w:tr>
        <w:trPr>
          <w:trHeight w:val="256" w:hRule="atLeast"/>
        </w:trPr>
        <w:tc>
          <w:tcPr>
            <w:tcW w:w="11514" w:type="dxa"/>
            <w:gridSpan w:val="3"/>
            <w:shd w:val="clear" w:color="auto" w:fill="CCEDFF"/>
          </w:tcPr>
          <w:p>
            <w:pPr>
              <w:pStyle w:val="TableParagraph"/>
              <w:ind w:left="17"/>
              <w:rPr>
                <w:i/>
                <w:sz w:val="18"/>
              </w:rPr>
            </w:pPr>
            <w:r>
              <w:rPr>
                <w:i/>
                <w:sz w:val="18"/>
              </w:rPr>
              <w:t>Contract</w:t>
            </w:r>
            <w:r>
              <w:rPr>
                <w:i/>
                <w:spacing w:val="-4"/>
                <w:sz w:val="18"/>
              </w:rPr>
              <w:t> </w:t>
            </w:r>
            <w:r>
              <w:rPr>
                <w:i/>
                <w:sz w:val="18"/>
              </w:rPr>
              <w:t>and</w:t>
            </w:r>
            <w:r>
              <w:rPr>
                <w:i/>
                <w:spacing w:val="-3"/>
                <w:sz w:val="18"/>
              </w:rPr>
              <w:t> </w:t>
            </w:r>
            <w:r>
              <w:rPr>
                <w:i/>
                <w:sz w:val="18"/>
              </w:rPr>
              <w:t>contract-related</w:t>
            </w:r>
            <w:r>
              <w:rPr>
                <w:i/>
                <w:spacing w:val="-3"/>
                <w:sz w:val="18"/>
              </w:rPr>
              <w:t> </w:t>
            </w:r>
            <w:r>
              <w:rPr>
                <w:i/>
                <w:spacing w:val="-2"/>
                <w:sz w:val="18"/>
              </w:rPr>
              <w:t>liabilities:</w:t>
            </w:r>
          </w:p>
        </w:tc>
      </w:tr>
      <w:tr>
        <w:trPr>
          <w:trHeight w:val="256" w:hRule="atLeast"/>
        </w:trPr>
        <w:tc>
          <w:tcPr>
            <w:tcW w:w="6185" w:type="dxa"/>
          </w:tcPr>
          <w:p>
            <w:pPr>
              <w:pStyle w:val="TableParagraph"/>
              <w:ind w:left="170"/>
              <w:rPr>
                <w:sz w:val="18"/>
              </w:rPr>
            </w:pPr>
            <w:r>
              <w:rPr>
                <w:sz w:val="18"/>
              </w:rPr>
              <w:t>Outstanding</w:t>
            </w:r>
            <w:r>
              <w:rPr>
                <w:spacing w:val="-1"/>
                <w:sz w:val="18"/>
              </w:rPr>
              <w:t> </w:t>
            </w:r>
            <w:r>
              <w:rPr>
                <w:sz w:val="18"/>
              </w:rPr>
              <w:t>chip</w:t>
            </w:r>
            <w:r>
              <w:rPr>
                <w:spacing w:val="-1"/>
                <w:sz w:val="18"/>
              </w:rPr>
              <w:t> </w:t>
            </w:r>
            <w:r>
              <w:rPr>
                <w:spacing w:val="-2"/>
                <w:sz w:val="18"/>
              </w:rPr>
              <w:t>liability</w:t>
            </w:r>
          </w:p>
        </w:tc>
        <w:tc>
          <w:tcPr>
            <w:tcW w:w="3718" w:type="dxa"/>
          </w:tcPr>
          <w:p>
            <w:pPr>
              <w:pStyle w:val="TableParagraph"/>
              <w:tabs>
                <w:tab w:pos="849" w:val="left" w:leader="none"/>
              </w:tabs>
              <w:ind w:right="100"/>
              <w:jc w:val="right"/>
              <w:rPr>
                <w:sz w:val="18"/>
              </w:rPr>
            </w:pPr>
            <w:r>
              <w:rPr>
                <w:spacing w:val="-10"/>
                <w:sz w:val="18"/>
              </w:rPr>
              <w:t>$</w:t>
            </w:r>
            <w:r>
              <w:rPr>
                <w:sz w:val="18"/>
              </w:rPr>
              <w:tab/>
            </w:r>
            <w:r>
              <w:rPr>
                <w:spacing w:val="-2"/>
                <w:sz w:val="18"/>
              </w:rPr>
              <w:t>185,669</w:t>
            </w:r>
          </w:p>
        </w:tc>
        <w:tc>
          <w:tcPr>
            <w:tcW w:w="1611" w:type="dxa"/>
          </w:tcPr>
          <w:p>
            <w:pPr>
              <w:pStyle w:val="TableParagraph"/>
              <w:tabs>
                <w:tab w:pos="850" w:val="left" w:leader="none"/>
              </w:tabs>
              <w:ind w:right="69"/>
              <w:jc w:val="right"/>
              <w:rPr>
                <w:sz w:val="18"/>
              </w:rPr>
            </w:pPr>
            <w:r>
              <w:rPr>
                <w:spacing w:val="-10"/>
                <w:sz w:val="18"/>
              </w:rPr>
              <w:t>$</w:t>
            </w:r>
            <w:r>
              <w:rPr>
                <w:sz w:val="18"/>
              </w:rPr>
              <w:tab/>
            </w:r>
            <w:r>
              <w:rPr>
                <w:spacing w:val="-2"/>
                <w:sz w:val="18"/>
              </w:rPr>
              <w:t>176,219</w:t>
            </w:r>
          </w:p>
        </w:tc>
      </w:tr>
      <w:tr>
        <w:trPr>
          <w:trHeight w:val="256" w:hRule="atLeast"/>
        </w:trPr>
        <w:tc>
          <w:tcPr>
            <w:tcW w:w="6185" w:type="dxa"/>
            <w:shd w:val="clear" w:color="auto" w:fill="CCEDFF"/>
          </w:tcPr>
          <w:p>
            <w:pPr>
              <w:pStyle w:val="TableParagraph"/>
              <w:ind w:left="170"/>
              <w:rPr>
                <w:sz w:val="18"/>
              </w:rPr>
            </w:pPr>
            <w:r>
              <w:rPr>
                <w:sz w:val="18"/>
              </w:rPr>
              <w:t>Loyalty</w:t>
            </w:r>
            <w:r>
              <w:rPr>
                <w:spacing w:val="-1"/>
                <w:sz w:val="18"/>
              </w:rPr>
              <w:t> </w:t>
            </w:r>
            <w:r>
              <w:rPr>
                <w:sz w:val="18"/>
              </w:rPr>
              <w:t>program</w:t>
            </w:r>
            <w:r>
              <w:rPr>
                <w:spacing w:val="-1"/>
                <w:sz w:val="18"/>
              </w:rPr>
              <w:t> </w:t>
            </w:r>
            <w:r>
              <w:rPr>
                <w:spacing w:val="-2"/>
                <w:sz w:val="18"/>
              </w:rPr>
              <w:t>obligations</w:t>
            </w:r>
          </w:p>
        </w:tc>
        <w:tc>
          <w:tcPr>
            <w:tcW w:w="3718" w:type="dxa"/>
            <w:shd w:val="clear" w:color="auto" w:fill="CCEDFF"/>
          </w:tcPr>
          <w:p>
            <w:pPr>
              <w:pStyle w:val="TableParagraph"/>
              <w:ind w:right="100"/>
              <w:jc w:val="right"/>
              <w:rPr>
                <w:sz w:val="18"/>
              </w:rPr>
            </w:pPr>
            <w:r>
              <w:rPr>
                <w:spacing w:val="-2"/>
                <w:sz w:val="18"/>
              </w:rPr>
              <w:t>183,602</w:t>
            </w:r>
          </w:p>
        </w:tc>
        <w:tc>
          <w:tcPr>
            <w:tcW w:w="1611" w:type="dxa"/>
            <w:shd w:val="clear" w:color="auto" w:fill="CCEDFF"/>
          </w:tcPr>
          <w:p>
            <w:pPr>
              <w:pStyle w:val="TableParagraph"/>
              <w:ind w:right="69"/>
              <w:jc w:val="right"/>
              <w:rPr>
                <w:sz w:val="18"/>
              </w:rPr>
            </w:pPr>
            <w:r>
              <w:rPr>
                <w:spacing w:val="-2"/>
                <w:sz w:val="18"/>
              </w:rPr>
              <w:t>144,465</w:t>
            </w:r>
          </w:p>
        </w:tc>
      </w:tr>
      <w:tr>
        <w:trPr>
          <w:trHeight w:val="269" w:hRule="atLeast"/>
        </w:trPr>
        <w:tc>
          <w:tcPr>
            <w:tcW w:w="6185" w:type="dxa"/>
          </w:tcPr>
          <w:p>
            <w:pPr>
              <w:pStyle w:val="TableParagraph"/>
              <w:ind w:left="170"/>
              <w:rPr>
                <w:sz w:val="18"/>
              </w:rPr>
            </w:pPr>
            <w:r>
              <w:rPr>
                <w:sz w:val="18"/>
              </w:rPr>
              <w:t>Casino</w:t>
            </w:r>
            <w:r>
              <w:rPr>
                <w:spacing w:val="-1"/>
                <w:sz w:val="18"/>
              </w:rPr>
              <w:t> </w:t>
            </w:r>
            <w:r>
              <w:rPr>
                <w:sz w:val="18"/>
              </w:rPr>
              <w:t>front</w:t>
            </w:r>
            <w:r>
              <w:rPr>
                <w:spacing w:val="-1"/>
                <w:sz w:val="18"/>
              </w:rPr>
              <w:t> </w:t>
            </w:r>
            <w:r>
              <w:rPr>
                <w:spacing w:val="-2"/>
                <w:sz w:val="18"/>
              </w:rPr>
              <w:t>money</w:t>
            </w:r>
          </w:p>
        </w:tc>
        <w:tc>
          <w:tcPr>
            <w:tcW w:w="3718" w:type="dxa"/>
          </w:tcPr>
          <w:p>
            <w:pPr>
              <w:pStyle w:val="TableParagraph"/>
              <w:ind w:right="100"/>
              <w:jc w:val="right"/>
              <w:rPr>
                <w:sz w:val="18"/>
              </w:rPr>
            </w:pPr>
            <w:r>
              <w:rPr>
                <w:spacing w:val="-2"/>
                <w:sz w:val="18"/>
              </w:rPr>
              <w:t>265,565</w:t>
            </w:r>
          </w:p>
        </w:tc>
        <w:tc>
          <w:tcPr>
            <w:tcW w:w="1611" w:type="dxa"/>
          </w:tcPr>
          <w:p>
            <w:pPr>
              <w:pStyle w:val="TableParagraph"/>
              <w:ind w:right="69"/>
              <w:jc w:val="right"/>
              <w:rPr>
                <w:sz w:val="18"/>
              </w:rPr>
            </w:pPr>
            <w:r>
              <w:rPr>
                <w:spacing w:val="-2"/>
                <w:sz w:val="18"/>
              </w:rPr>
              <w:t>206,244</w:t>
            </w:r>
          </w:p>
        </w:tc>
      </w:tr>
      <w:tr>
        <w:trPr>
          <w:trHeight w:val="256" w:hRule="atLeast"/>
        </w:trPr>
        <w:tc>
          <w:tcPr>
            <w:tcW w:w="6185" w:type="dxa"/>
            <w:shd w:val="clear" w:color="auto" w:fill="CCEDFF"/>
          </w:tcPr>
          <w:p>
            <w:pPr>
              <w:pStyle w:val="TableParagraph"/>
              <w:ind w:left="160"/>
              <w:rPr>
                <w:sz w:val="18"/>
              </w:rPr>
            </w:pPr>
            <w:r>
              <w:rPr>
                <w:sz w:val="18"/>
              </w:rPr>
              <w:t>Advance</w:t>
            </w:r>
            <w:r>
              <w:rPr>
                <w:spacing w:val="-1"/>
                <w:sz w:val="18"/>
              </w:rPr>
              <w:t> </w:t>
            </w:r>
            <w:r>
              <w:rPr>
                <w:sz w:val="18"/>
              </w:rPr>
              <w:t>deposits</w:t>
            </w:r>
            <w:r>
              <w:rPr>
                <w:spacing w:val="-1"/>
                <w:sz w:val="18"/>
              </w:rPr>
              <w:t> </w:t>
            </w:r>
            <w:r>
              <w:rPr>
                <w:sz w:val="18"/>
              </w:rPr>
              <w:t>and</w:t>
            </w:r>
            <w:r>
              <w:rPr>
                <w:spacing w:val="-1"/>
                <w:sz w:val="18"/>
              </w:rPr>
              <w:t> </w:t>
            </w:r>
            <w:r>
              <w:rPr>
                <w:sz w:val="18"/>
              </w:rPr>
              <w:t>ticket</w:t>
            </w:r>
            <w:r>
              <w:rPr>
                <w:spacing w:val="-1"/>
                <w:sz w:val="18"/>
              </w:rPr>
              <w:t> </w:t>
            </w:r>
            <w:r>
              <w:rPr>
                <w:spacing w:val="-2"/>
                <w:sz w:val="18"/>
              </w:rPr>
              <w:t>sales</w:t>
            </w:r>
          </w:p>
        </w:tc>
        <w:tc>
          <w:tcPr>
            <w:tcW w:w="3718" w:type="dxa"/>
            <w:shd w:val="clear" w:color="auto" w:fill="CCEDFF"/>
          </w:tcPr>
          <w:p>
            <w:pPr>
              <w:pStyle w:val="TableParagraph"/>
              <w:ind w:right="100"/>
              <w:jc w:val="right"/>
              <w:rPr>
                <w:sz w:val="18"/>
              </w:rPr>
            </w:pPr>
            <w:r>
              <w:rPr>
                <w:spacing w:val="-2"/>
                <w:sz w:val="18"/>
              </w:rPr>
              <w:t>346,651</w:t>
            </w:r>
          </w:p>
        </w:tc>
        <w:tc>
          <w:tcPr>
            <w:tcW w:w="1611" w:type="dxa"/>
            <w:shd w:val="clear" w:color="auto" w:fill="CCEDFF"/>
          </w:tcPr>
          <w:p>
            <w:pPr>
              <w:pStyle w:val="TableParagraph"/>
              <w:ind w:right="69"/>
              <w:jc w:val="right"/>
              <w:rPr>
                <w:sz w:val="18"/>
              </w:rPr>
            </w:pPr>
            <w:r>
              <w:rPr>
                <w:spacing w:val="-2"/>
                <w:sz w:val="18"/>
              </w:rPr>
              <w:t>283,188</w:t>
            </w:r>
          </w:p>
        </w:tc>
      </w:tr>
      <w:tr>
        <w:trPr>
          <w:trHeight w:val="256" w:hRule="atLeast"/>
        </w:trPr>
        <w:tc>
          <w:tcPr>
            <w:tcW w:w="6185" w:type="dxa"/>
          </w:tcPr>
          <w:p>
            <w:pPr>
              <w:pStyle w:val="TableParagraph"/>
              <w:ind w:left="170"/>
              <w:rPr>
                <w:sz w:val="18"/>
              </w:rPr>
            </w:pPr>
            <w:r>
              <w:rPr>
                <w:sz w:val="18"/>
              </w:rPr>
              <w:t>Unpaid</w:t>
            </w:r>
            <w:r>
              <w:rPr>
                <w:spacing w:val="-1"/>
                <w:sz w:val="18"/>
              </w:rPr>
              <w:t> </w:t>
            </w:r>
            <w:r>
              <w:rPr>
                <w:sz w:val="18"/>
              </w:rPr>
              <w:t>wagers</w:t>
            </w:r>
            <w:r>
              <w:rPr>
                <w:spacing w:val="-1"/>
                <w:sz w:val="18"/>
              </w:rPr>
              <w:t> </w:t>
            </w:r>
            <w:r>
              <w:rPr>
                <w:sz w:val="18"/>
              </w:rPr>
              <w:t>and</w:t>
            </w:r>
            <w:r>
              <w:rPr>
                <w:spacing w:val="-1"/>
                <w:sz w:val="18"/>
              </w:rPr>
              <w:t> </w:t>
            </w:r>
            <w:r>
              <w:rPr>
                <w:spacing w:val="-2"/>
                <w:sz w:val="18"/>
              </w:rPr>
              <w:t>other</w:t>
            </w:r>
          </w:p>
        </w:tc>
        <w:tc>
          <w:tcPr>
            <w:tcW w:w="3718" w:type="dxa"/>
          </w:tcPr>
          <w:p>
            <w:pPr>
              <w:pStyle w:val="TableParagraph"/>
              <w:ind w:right="100"/>
              <w:jc w:val="right"/>
              <w:rPr>
                <w:sz w:val="18"/>
              </w:rPr>
            </w:pPr>
            <w:r>
              <w:rPr>
                <w:spacing w:val="-2"/>
                <w:sz w:val="18"/>
              </w:rPr>
              <w:t>204,160</w:t>
            </w:r>
          </w:p>
        </w:tc>
        <w:tc>
          <w:tcPr>
            <w:tcW w:w="1611" w:type="dxa"/>
          </w:tcPr>
          <w:p>
            <w:pPr>
              <w:pStyle w:val="TableParagraph"/>
              <w:ind w:right="69"/>
              <w:jc w:val="right"/>
              <w:rPr>
                <w:sz w:val="18"/>
              </w:rPr>
            </w:pPr>
            <w:r>
              <w:rPr>
                <w:spacing w:val="-2"/>
                <w:sz w:val="18"/>
              </w:rPr>
              <w:t>150,569</w:t>
            </w:r>
          </w:p>
        </w:tc>
      </w:tr>
      <w:tr>
        <w:trPr>
          <w:trHeight w:val="256" w:hRule="atLeast"/>
        </w:trPr>
        <w:tc>
          <w:tcPr>
            <w:tcW w:w="11514" w:type="dxa"/>
            <w:gridSpan w:val="3"/>
            <w:shd w:val="clear" w:color="auto" w:fill="CCEDFF"/>
          </w:tcPr>
          <w:p>
            <w:pPr>
              <w:pStyle w:val="TableParagraph"/>
              <w:ind w:left="17"/>
              <w:rPr>
                <w:i/>
                <w:sz w:val="18"/>
              </w:rPr>
            </w:pPr>
            <w:r>
              <w:rPr>
                <w:i/>
                <w:sz w:val="18"/>
              </w:rPr>
              <w:t>Other</w:t>
            </w:r>
            <w:r>
              <w:rPr>
                <w:i/>
                <w:spacing w:val="-1"/>
                <w:sz w:val="18"/>
              </w:rPr>
              <w:t> </w:t>
            </w:r>
            <w:r>
              <w:rPr>
                <w:i/>
                <w:sz w:val="18"/>
              </w:rPr>
              <w:t>accrued</w:t>
            </w:r>
            <w:r>
              <w:rPr>
                <w:i/>
                <w:spacing w:val="-1"/>
                <w:sz w:val="18"/>
              </w:rPr>
              <w:t> </w:t>
            </w:r>
            <w:r>
              <w:rPr>
                <w:i/>
                <w:spacing w:val="-2"/>
                <w:sz w:val="18"/>
              </w:rPr>
              <w:t>liabilities:</w:t>
            </w:r>
          </w:p>
        </w:tc>
      </w:tr>
      <w:tr>
        <w:trPr>
          <w:trHeight w:val="256" w:hRule="atLeast"/>
        </w:trPr>
        <w:tc>
          <w:tcPr>
            <w:tcW w:w="6185" w:type="dxa"/>
          </w:tcPr>
          <w:p>
            <w:pPr>
              <w:pStyle w:val="TableParagraph"/>
              <w:ind w:left="170"/>
              <w:rPr>
                <w:sz w:val="18"/>
              </w:rPr>
            </w:pPr>
            <w:r>
              <w:rPr>
                <w:sz w:val="18"/>
              </w:rPr>
              <w:t>Payroll</w:t>
            </w:r>
            <w:r>
              <w:rPr>
                <w:spacing w:val="-1"/>
                <w:sz w:val="18"/>
              </w:rPr>
              <w:t> </w:t>
            </w:r>
            <w:r>
              <w:rPr>
                <w:sz w:val="18"/>
              </w:rPr>
              <w:t>and</w:t>
            </w:r>
            <w:r>
              <w:rPr>
                <w:spacing w:val="-1"/>
                <w:sz w:val="18"/>
              </w:rPr>
              <w:t> </w:t>
            </w:r>
            <w:r>
              <w:rPr>
                <w:spacing w:val="-2"/>
                <w:sz w:val="18"/>
              </w:rPr>
              <w:t>related</w:t>
            </w:r>
          </w:p>
        </w:tc>
        <w:tc>
          <w:tcPr>
            <w:tcW w:w="3718" w:type="dxa"/>
          </w:tcPr>
          <w:p>
            <w:pPr>
              <w:pStyle w:val="TableParagraph"/>
              <w:ind w:right="100"/>
              <w:jc w:val="right"/>
              <w:rPr>
                <w:sz w:val="18"/>
              </w:rPr>
            </w:pPr>
            <w:r>
              <w:rPr>
                <w:spacing w:val="-2"/>
                <w:sz w:val="18"/>
              </w:rPr>
              <w:t>478,051</w:t>
            </w:r>
          </w:p>
        </w:tc>
        <w:tc>
          <w:tcPr>
            <w:tcW w:w="1611" w:type="dxa"/>
          </w:tcPr>
          <w:p>
            <w:pPr>
              <w:pStyle w:val="TableParagraph"/>
              <w:ind w:right="69"/>
              <w:jc w:val="right"/>
              <w:rPr>
                <w:sz w:val="18"/>
              </w:rPr>
            </w:pPr>
            <w:r>
              <w:rPr>
                <w:spacing w:val="-2"/>
                <w:sz w:val="18"/>
              </w:rPr>
              <w:t>429,797</w:t>
            </w:r>
          </w:p>
        </w:tc>
      </w:tr>
      <w:tr>
        <w:trPr>
          <w:trHeight w:val="256" w:hRule="atLeast"/>
        </w:trPr>
        <w:tc>
          <w:tcPr>
            <w:tcW w:w="6185" w:type="dxa"/>
            <w:shd w:val="clear" w:color="auto" w:fill="CCEDFF"/>
          </w:tcPr>
          <w:p>
            <w:pPr>
              <w:pStyle w:val="TableParagraph"/>
              <w:ind w:left="167"/>
              <w:rPr>
                <w:sz w:val="18"/>
              </w:rPr>
            </w:pPr>
            <w:r>
              <w:rPr>
                <w:sz w:val="18"/>
              </w:rPr>
              <w:t>Taxes,</w:t>
            </w:r>
            <w:r>
              <w:rPr>
                <w:spacing w:val="-5"/>
                <w:sz w:val="18"/>
              </w:rPr>
              <w:t> </w:t>
            </w:r>
            <w:r>
              <w:rPr>
                <w:sz w:val="18"/>
              </w:rPr>
              <w:t>other</w:t>
            </w:r>
            <w:r>
              <w:rPr>
                <w:spacing w:val="-4"/>
                <w:sz w:val="18"/>
              </w:rPr>
              <w:t> </w:t>
            </w:r>
            <w:r>
              <w:rPr>
                <w:sz w:val="18"/>
              </w:rPr>
              <w:t>than</w:t>
            </w:r>
            <w:r>
              <w:rPr>
                <w:spacing w:val="-4"/>
                <w:sz w:val="18"/>
              </w:rPr>
              <w:t> </w:t>
            </w:r>
            <w:r>
              <w:rPr>
                <w:sz w:val="18"/>
              </w:rPr>
              <w:t>income</w:t>
            </w:r>
            <w:r>
              <w:rPr>
                <w:spacing w:val="-4"/>
                <w:sz w:val="18"/>
              </w:rPr>
              <w:t> </w:t>
            </w:r>
            <w:r>
              <w:rPr>
                <w:spacing w:val="-2"/>
                <w:sz w:val="18"/>
              </w:rPr>
              <w:t>taxes</w:t>
            </w:r>
          </w:p>
        </w:tc>
        <w:tc>
          <w:tcPr>
            <w:tcW w:w="3718" w:type="dxa"/>
            <w:shd w:val="clear" w:color="auto" w:fill="CCEDFF"/>
          </w:tcPr>
          <w:p>
            <w:pPr>
              <w:pStyle w:val="TableParagraph"/>
              <w:ind w:right="101"/>
              <w:jc w:val="right"/>
              <w:rPr>
                <w:sz w:val="18"/>
              </w:rPr>
            </w:pPr>
            <w:r>
              <w:rPr>
                <w:spacing w:val="-2"/>
                <w:sz w:val="18"/>
              </w:rPr>
              <w:t>211,756</w:t>
            </w:r>
          </w:p>
        </w:tc>
        <w:tc>
          <w:tcPr>
            <w:tcW w:w="1611" w:type="dxa"/>
            <w:shd w:val="clear" w:color="auto" w:fill="CCEDFF"/>
          </w:tcPr>
          <w:p>
            <w:pPr>
              <w:pStyle w:val="TableParagraph"/>
              <w:ind w:right="69"/>
              <w:jc w:val="right"/>
              <w:rPr>
                <w:sz w:val="18"/>
              </w:rPr>
            </w:pPr>
            <w:r>
              <w:rPr>
                <w:spacing w:val="-2"/>
                <w:sz w:val="18"/>
              </w:rPr>
              <w:t>195,973</w:t>
            </w:r>
          </w:p>
        </w:tc>
      </w:tr>
      <w:tr>
        <w:trPr>
          <w:trHeight w:val="269" w:hRule="atLeast"/>
        </w:trPr>
        <w:tc>
          <w:tcPr>
            <w:tcW w:w="6185" w:type="dxa"/>
          </w:tcPr>
          <w:p>
            <w:pPr>
              <w:pStyle w:val="TableParagraph"/>
              <w:ind w:left="170"/>
              <w:rPr>
                <w:sz w:val="18"/>
              </w:rPr>
            </w:pPr>
            <w:r>
              <w:rPr>
                <w:sz w:val="18"/>
              </w:rPr>
              <w:t>MGP</w:t>
            </w:r>
            <w:r>
              <w:rPr>
                <w:spacing w:val="-7"/>
                <w:sz w:val="18"/>
              </w:rPr>
              <w:t> </w:t>
            </w:r>
            <w:r>
              <w:rPr>
                <w:spacing w:val="-2"/>
                <w:sz w:val="18"/>
              </w:rPr>
              <w:t>dividend</w:t>
            </w:r>
          </w:p>
        </w:tc>
        <w:tc>
          <w:tcPr>
            <w:tcW w:w="3718" w:type="dxa"/>
          </w:tcPr>
          <w:p>
            <w:pPr>
              <w:pStyle w:val="TableParagraph"/>
              <w:ind w:right="101"/>
              <w:jc w:val="right"/>
              <w:rPr>
                <w:sz w:val="18"/>
              </w:rPr>
            </w:pPr>
            <w:r>
              <w:rPr>
                <w:spacing w:val="-10"/>
                <w:sz w:val="18"/>
              </w:rPr>
              <w:t>—</w:t>
            </w:r>
          </w:p>
        </w:tc>
        <w:tc>
          <w:tcPr>
            <w:tcW w:w="1611" w:type="dxa"/>
          </w:tcPr>
          <w:p>
            <w:pPr>
              <w:pStyle w:val="TableParagraph"/>
              <w:ind w:right="69"/>
              <w:jc w:val="right"/>
              <w:rPr>
                <w:sz w:val="18"/>
              </w:rPr>
            </w:pPr>
            <w:r>
              <w:rPr>
                <w:spacing w:val="-2"/>
                <w:sz w:val="18"/>
              </w:rPr>
              <w:t>82,294</w:t>
            </w:r>
          </w:p>
        </w:tc>
      </w:tr>
      <w:tr>
        <w:trPr>
          <w:trHeight w:val="269" w:hRule="atLeast"/>
        </w:trPr>
        <w:tc>
          <w:tcPr>
            <w:tcW w:w="6185" w:type="dxa"/>
            <w:shd w:val="clear" w:color="auto" w:fill="CCEDFF"/>
          </w:tcPr>
          <w:p>
            <w:pPr>
              <w:pStyle w:val="TableParagraph"/>
              <w:spacing w:before="34"/>
              <w:ind w:left="170"/>
              <w:rPr>
                <w:i/>
                <w:sz w:val="18"/>
              </w:rPr>
            </w:pPr>
            <w:r>
              <w:rPr>
                <w:sz w:val="18"/>
              </w:rPr>
              <w:t>Operating</w:t>
            </w:r>
            <w:r>
              <w:rPr>
                <w:spacing w:val="-1"/>
                <w:sz w:val="18"/>
              </w:rPr>
              <w:t> </w:t>
            </w:r>
            <w:r>
              <w:rPr>
                <w:sz w:val="18"/>
              </w:rPr>
              <w:t>lease</w:t>
            </w:r>
            <w:r>
              <w:rPr>
                <w:spacing w:val="-1"/>
                <w:sz w:val="18"/>
              </w:rPr>
              <w:t> </w:t>
            </w:r>
            <w:r>
              <w:rPr>
                <w:sz w:val="18"/>
              </w:rPr>
              <w:t>liabilities</w:t>
            </w:r>
            <w:r>
              <w:rPr>
                <w:spacing w:val="-1"/>
                <w:sz w:val="18"/>
              </w:rPr>
              <w:t> </w:t>
            </w:r>
            <w:r>
              <w:rPr>
                <w:sz w:val="18"/>
              </w:rPr>
              <w:t>-</w:t>
            </w:r>
            <w:r>
              <w:rPr>
                <w:spacing w:val="-1"/>
                <w:sz w:val="18"/>
              </w:rPr>
              <w:t> </w:t>
            </w:r>
            <w:r>
              <w:rPr>
                <w:sz w:val="18"/>
              </w:rPr>
              <w:t>current </w:t>
            </w:r>
            <w:r>
              <w:rPr>
                <w:i/>
                <w:sz w:val="18"/>
              </w:rPr>
              <w:t>(Refer</w:t>
            </w:r>
            <w:r>
              <w:rPr>
                <w:i/>
                <w:spacing w:val="-1"/>
                <w:sz w:val="18"/>
              </w:rPr>
              <w:t> </w:t>
            </w:r>
            <w:r>
              <w:rPr>
                <w:i/>
                <w:sz w:val="18"/>
              </w:rPr>
              <w:t>to</w:t>
            </w:r>
            <w:r>
              <w:rPr>
                <w:i/>
                <w:spacing w:val="-1"/>
                <w:sz w:val="18"/>
              </w:rPr>
              <w:t> </w:t>
            </w:r>
            <w:r>
              <w:rPr>
                <w:i/>
                <w:sz w:val="18"/>
              </w:rPr>
              <w:t>Note</w:t>
            </w:r>
            <w:r>
              <w:rPr>
                <w:i/>
                <w:spacing w:val="-1"/>
                <w:sz w:val="18"/>
              </w:rPr>
              <w:t> </w:t>
            </w:r>
            <w:r>
              <w:rPr>
                <w:i/>
                <w:spacing w:val="-5"/>
                <w:sz w:val="18"/>
              </w:rPr>
              <w:t>11)</w:t>
            </w:r>
          </w:p>
        </w:tc>
        <w:tc>
          <w:tcPr>
            <w:tcW w:w="3718" w:type="dxa"/>
            <w:shd w:val="clear" w:color="auto" w:fill="CCEDFF"/>
          </w:tcPr>
          <w:p>
            <w:pPr>
              <w:pStyle w:val="TableParagraph"/>
              <w:spacing w:before="34"/>
              <w:ind w:right="101"/>
              <w:jc w:val="right"/>
              <w:rPr>
                <w:sz w:val="18"/>
              </w:rPr>
            </w:pPr>
            <w:r>
              <w:rPr>
                <w:spacing w:val="-2"/>
                <w:sz w:val="18"/>
              </w:rPr>
              <w:t>53,981</w:t>
            </w:r>
          </w:p>
        </w:tc>
        <w:tc>
          <w:tcPr>
            <w:tcW w:w="1611" w:type="dxa"/>
            <w:shd w:val="clear" w:color="auto" w:fill="CCEDFF"/>
          </w:tcPr>
          <w:p>
            <w:pPr>
              <w:pStyle w:val="TableParagraph"/>
              <w:spacing w:before="34"/>
              <w:ind w:right="69"/>
              <w:jc w:val="right"/>
              <w:rPr>
                <w:sz w:val="18"/>
              </w:rPr>
            </w:pPr>
            <w:r>
              <w:rPr>
                <w:spacing w:val="-2"/>
                <w:sz w:val="18"/>
              </w:rPr>
              <w:t>31,706</w:t>
            </w:r>
          </w:p>
        </w:tc>
      </w:tr>
      <w:tr>
        <w:trPr>
          <w:trHeight w:val="269" w:hRule="atLeast"/>
        </w:trPr>
        <w:tc>
          <w:tcPr>
            <w:tcW w:w="6185" w:type="dxa"/>
          </w:tcPr>
          <w:p>
            <w:pPr>
              <w:pStyle w:val="TableParagraph"/>
              <w:spacing w:before="34"/>
              <w:ind w:left="170"/>
              <w:rPr>
                <w:i/>
                <w:sz w:val="18"/>
              </w:rPr>
            </w:pPr>
            <w:r>
              <w:rPr>
                <w:sz w:val="18"/>
              </w:rPr>
              <w:t>Finance</w:t>
            </w:r>
            <w:r>
              <w:rPr>
                <w:spacing w:val="-1"/>
                <w:sz w:val="18"/>
              </w:rPr>
              <w:t> </w:t>
            </w:r>
            <w:r>
              <w:rPr>
                <w:sz w:val="18"/>
              </w:rPr>
              <w:t>lease</w:t>
            </w:r>
            <w:r>
              <w:rPr>
                <w:spacing w:val="-1"/>
                <w:sz w:val="18"/>
              </w:rPr>
              <w:t> </w:t>
            </w:r>
            <w:r>
              <w:rPr>
                <w:sz w:val="18"/>
              </w:rPr>
              <w:t>liabilities</w:t>
            </w:r>
            <w:r>
              <w:rPr>
                <w:spacing w:val="-1"/>
                <w:sz w:val="18"/>
              </w:rPr>
              <w:t> </w:t>
            </w:r>
            <w:r>
              <w:rPr>
                <w:sz w:val="18"/>
              </w:rPr>
              <w:t>-</w:t>
            </w:r>
            <w:r>
              <w:rPr>
                <w:spacing w:val="-1"/>
                <w:sz w:val="18"/>
              </w:rPr>
              <w:t> </w:t>
            </w:r>
            <w:r>
              <w:rPr>
                <w:sz w:val="18"/>
              </w:rPr>
              <w:t>current </w:t>
            </w:r>
            <w:r>
              <w:rPr>
                <w:i/>
                <w:sz w:val="18"/>
              </w:rPr>
              <w:t>(Refer</w:t>
            </w:r>
            <w:r>
              <w:rPr>
                <w:i/>
                <w:spacing w:val="-1"/>
                <w:sz w:val="18"/>
              </w:rPr>
              <w:t> </w:t>
            </w:r>
            <w:r>
              <w:rPr>
                <w:i/>
                <w:sz w:val="18"/>
              </w:rPr>
              <w:t>to</w:t>
            </w:r>
            <w:r>
              <w:rPr>
                <w:i/>
                <w:spacing w:val="-1"/>
                <w:sz w:val="18"/>
              </w:rPr>
              <w:t> </w:t>
            </w:r>
            <w:r>
              <w:rPr>
                <w:i/>
                <w:sz w:val="18"/>
              </w:rPr>
              <w:t>Note</w:t>
            </w:r>
            <w:r>
              <w:rPr>
                <w:i/>
                <w:spacing w:val="-1"/>
                <w:sz w:val="18"/>
              </w:rPr>
              <w:t> </w:t>
            </w:r>
            <w:r>
              <w:rPr>
                <w:i/>
                <w:spacing w:val="-5"/>
                <w:sz w:val="18"/>
              </w:rPr>
              <w:t>11)</w:t>
            </w:r>
          </w:p>
        </w:tc>
        <w:tc>
          <w:tcPr>
            <w:tcW w:w="3718" w:type="dxa"/>
          </w:tcPr>
          <w:p>
            <w:pPr>
              <w:pStyle w:val="TableParagraph"/>
              <w:spacing w:before="34"/>
              <w:ind w:right="101"/>
              <w:jc w:val="right"/>
              <w:rPr>
                <w:sz w:val="18"/>
              </w:rPr>
            </w:pPr>
            <w:r>
              <w:rPr>
                <w:spacing w:val="-2"/>
                <w:sz w:val="18"/>
              </w:rPr>
              <w:t>72,420</w:t>
            </w:r>
          </w:p>
        </w:tc>
        <w:tc>
          <w:tcPr>
            <w:tcW w:w="1611" w:type="dxa"/>
          </w:tcPr>
          <w:p>
            <w:pPr>
              <w:pStyle w:val="TableParagraph"/>
              <w:spacing w:before="34"/>
              <w:ind w:right="69"/>
              <w:jc w:val="right"/>
              <w:rPr>
                <w:sz w:val="18"/>
              </w:rPr>
            </w:pPr>
            <w:r>
              <w:rPr>
                <w:spacing w:val="-2"/>
                <w:sz w:val="18"/>
              </w:rPr>
              <w:t>87,665</w:t>
            </w:r>
          </w:p>
        </w:tc>
      </w:tr>
      <w:tr>
        <w:trPr>
          <w:trHeight w:val="269" w:hRule="atLeast"/>
        </w:trPr>
        <w:tc>
          <w:tcPr>
            <w:tcW w:w="6185" w:type="dxa"/>
            <w:shd w:val="clear" w:color="auto" w:fill="CCEDFF"/>
          </w:tcPr>
          <w:p>
            <w:pPr>
              <w:pStyle w:val="TableParagraph"/>
              <w:ind w:left="170"/>
              <w:rPr>
                <w:sz w:val="18"/>
              </w:rPr>
            </w:pPr>
            <w:r>
              <w:rPr>
                <w:spacing w:val="-2"/>
                <w:sz w:val="18"/>
              </w:rPr>
              <w:t>Other</w:t>
            </w:r>
          </w:p>
        </w:tc>
        <w:tc>
          <w:tcPr>
            <w:tcW w:w="3718" w:type="dxa"/>
            <w:shd w:val="clear" w:color="auto" w:fill="CCEDFF"/>
          </w:tcPr>
          <w:p>
            <w:pPr>
              <w:pStyle w:val="TableParagraph"/>
              <w:ind w:right="100"/>
              <w:jc w:val="right"/>
              <w:rPr>
                <w:sz w:val="18"/>
              </w:rPr>
            </w:pPr>
            <w:r>
              <w:rPr>
                <w:spacing w:val="-2"/>
                <w:sz w:val="18"/>
              </w:rPr>
              <w:t>234,468</w:t>
            </w:r>
          </w:p>
        </w:tc>
        <w:tc>
          <w:tcPr>
            <w:tcW w:w="1611" w:type="dxa"/>
            <w:tcBorders>
              <w:bottom w:val="single" w:sz="6" w:space="0" w:color="000000"/>
            </w:tcBorders>
            <w:shd w:val="clear" w:color="auto" w:fill="CCEDFF"/>
          </w:tcPr>
          <w:p>
            <w:pPr>
              <w:pStyle w:val="TableParagraph"/>
              <w:ind w:right="69"/>
              <w:jc w:val="right"/>
              <w:rPr>
                <w:sz w:val="18"/>
              </w:rPr>
            </w:pPr>
            <w:r>
              <w:rPr>
                <w:spacing w:val="-2"/>
                <w:sz w:val="18"/>
              </w:rPr>
              <w:t>195,324</w:t>
            </w:r>
          </w:p>
        </w:tc>
      </w:tr>
      <w:tr>
        <w:trPr>
          <w:trHeight w:val="309" w:hRule="atLeast"/>
        </w:trPr>
        <w:tc>
          <w:tcPr>
            <w:tcW w:w="6185" w:type="dxa"/>
          </w:tcPr>
          <w:p>
            <w:pPr>
              <w:pStyle w:val="TableParagraph"/>
              <w:spacing w:before="0"/>
              <w:rPr>
                <w:sz w:val="16"/>
              </w:rPr>
            </w:pPr>
          </w:p>
        </w:tc>
        <w:tc>
          <w:tcPr>
            <w:tcW w:w="3718" w:type="dxa"/>
          </w:tcPr>
          <w:p>
            <w:pPr>
              <w:pStyle w:val="TableParagraph"/>
              <w:tabs>
                <w:tab w:pos="714" w:val="left" w:leader="none"/>
              </w:tabs>
              <w:spacing w:before="20"/>
              <w:ind w:right="100"/>
              <w:jc w:val="right"/>
              <w:rPr>
                <w:sz w:val="18"/>
              </w:rPr>
            </w:pPr>
            <w:r>
              <w:rPr/>
              <mc:AlternateContent>
                <mc:Choice Requires="wps">
                  <w:drawing>
                    <wp:anchor distT="0" distB="0" distL="0" distR="0" allowOverlap="1" layoutInCell="1" locked="0" behindDoc="1" simplePos="0" relativeHeight="477729280">
                      <wp:simplePos x="0" y="0"/>
                      <wp:positionH relativeFrom="column">
                        <wp:posOffset>1370185</wp:posOffset>
                      </wp:positionH>
                      <wp:positionV relativeFrom="paragraph">
                        <wp:posOffset>162298</wp:posOffset>
                      </wp:positionV>
                      <wp:extent cx="969010" cy="34290"/>
                      <wp:effectExtent l="0" t="0" r="0" b="0"/>
                      <wp:wrapNone/>
                      <wp:docPr id="504" name="Group 504"/>
                      <wp:cNvGraphicFramePr>
                        <a:graphicFrameLocks/>
                      </wp:cNvGraphicFramePr>
                      <a:graphic>
                        <a:graphicData uri="http://schemas.microsoft.com/office/word/2010/wordprocessingGroup">
                          <wpg:wgp>
                            <wpg:cNvPr id="504" name="Group 504"/>
                            <wpg:cNvGrpSpPr/>
                            <wpg:grpSpPr>
                              <a:xfrm>
                                <a:off x="0" y="0"/>
                                <a:ext cx="969010" cy="34290"/>
                                <a:chExt cx="969010" cy="34290"/>
                              </a:xfrm>
                            </wpg:grpSpPr>
                            <wps:wsp>
                              <wps:cNvPr id="505" name="Graphic 505"/>
                              <wps:cNvSpPr/>
                              <wps:spPr>
                                <a:xfrm>
                                  <a:off x="-12" y="-2"/>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7.888596pt;margin-top:12.779383pt;width:76.3pt;height:2.7pt;mso-position-horizontal-relative:column;mso-position-vertical-relative:paragraph;z-index:-25587200" id="docshapegroup502" coordorigin="2158,256" coordsize="1526,54">
                      <v:shape style="position:absolute;left:2157;top:255;width:1526;height:54" id="docshape503" coordorigin="2158,256" coordsize="1526,54" path="m3683,296l3656,296,2279,296,2158,296,2158,310,2279,310,3656,310,3683,310,3683,296xm3683,256l3656,256,2279,256,2158,256,2158,269,2279,269,3656,269,3683,269,3683,256xe" filled="true" fillcolor="#000000" stroked="false">
                        <v:path arrowok="t"/>
                        <v:fill type="solid"/>
                      </v:shape>
                      <w10:wrap type="none"/>
                    </v:group>
                  </w:pict>
                </mc:Fallback>
              </mc:AlternateContent>
            </w:r>
            <w:r>
              <w:rPr>
                <w:spacing w:val="-10"/>
                <w:sz w:val="18"/>
              </w:rPr>
              <w:t>$</w:t>
            </w:r>
            <w:r>
              <w:rPr>
                <w:sz w:val="18"/>
              </w:rPr>
              <w:tab/>
            </w:r>
            <w:r>
              <w:rPr>
                <w:spacing w:val="-2"/>
                <w:sz w:val="18"/>
              </w:rPr>
              <w:t>2,236,323</w:t>
            </w:r>
          </w:p>
        </w:tc>
        <w:tc>
          <w:tcPr>
            <w:tcW w:w="1611" w:type="dxa"/>
            <w:tcBorders>
              <w:top w:val="single" w:sz="6" w:space="0" w:color="000000"/>
            </w:tcBorders>
          </w:tcPr>
          <w:p>
            <w:pPr>
              <w:pStyle w:val="TableParagraph"/>
              <w:tabs>
                <w:tab w:pos="715" w:val="left" w:leader="none"/>
              </w:tabs>
              <w:spacing w:before="20"/>
              <w:ind w:right="69"/>
              <w:jc w:val="right"/>
              <w:rPr>
                <w:sz w:val="18"/>
              </w:rPr>
            </w:pPr>
            <w:r>
              <w:rPr/>
              <mc:AlternateContent>
                <mc:Choice Requires="wps">
                  <w:drawing>
                    <wp:anchor distT="0" distB="0" distL="0" distR="0" allowOverlap="1" layoutInCell="1" locked="0" behindDoc="1" simplePos="0" relativeHeight="477729792">
                      <wp:simplePos x="0" y="0"/>
                      <wp:positionH relativeFrom="column">
                        <wp:posOffset>54741</wp:posOffset>
                      </wp:positionH>
                      <wp:positionV relativeFrom="paragraph">
                        <wp:posOffset>162298</wp:posOffset>
                      </wp:positionV>
                      <wp:extent cx="969010" cy="34290"/>
                      <wp:effectExtent l="0" t="0" r="0" b="0"/>
                      <wp:wrapNone/>
                      <wp:docPr id="506" name="Group 506"/>
                      <wp:cNvGraphicFramePr>
                        <a:graphicFrameLocks/>
                      </wp:cNvGraphicFramePr>
                      <a:graphic>
                        <a:graphicData uri="http://schemas.microsoft.com/office/word/2010/wordprocessingGroup">
                          <wpg:wgp>
                            <wpg:cNvPr id="506" name="Group 506"/>
                            <wpg:cNvGrpSpPr/>
                            <wpg:grpSpPr>
                              <a:xfrm>
                                <a:off x="0" y="0"/>
                                <a:ext cx="969010" cy="34290"/>
                                <a:chExt cx="969010" cy="34290"/>
                              </a:xfrm>
                            </wpg:grpSpPr>
                            <wps:wsp>
                              <wps:cNvPr id="507" name="Graphic 507"/>
                              <wps:cNvSpPr/>
                              <wps:spPr>
                                <a:xfrm>
                                  <a:off x="-11" y="-2"/>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10329pt;margin-top:12.779383pt;width:76.3pt;height:2.7pt;mso-position-horizontal-relative:column;mso-position-vertical-relative:paragraph;z-index:-25586688" id="docshapegroup504" coordorigin="86,256" coordsize="1526,54">
                      <v:shape style="position:absolute;left:86;top:255;width:1526;height:54" id="docshape505" coordorigin="86,256" coordsize="1526,54" path="m1612,296l1585,296,194,296,86,296,86,310,194,310,1585,310,1612,310,1612,296xm1612,256l1585,256,194,256,86,256,86,269,194,269,1585,269,1612,269,1612,256xe" filled="true" fillcolor="#000000" stroked="false">
                        <v:path arrowok="t"/>
                        <v:fill type="solid"/>
                      </v:shape>
                      <w10:wrap type="none"/>
                    </v:group>
                  </w:pict>
                </mc:Fallback>
              </mc:AlternateContent>
            </w:r>
            <w:r>
              <w:rPr>
                <w:spacing w:val="-10"/>
                <w:sz w:val="18"/>
              </w:rPr>
              <w:t>$</w:t>
            </w:r>
            <w:r>
              <w:rPr>
                <w:sz w:val="18"/>
              </w:rPr>
              <w:tab/>
            </w:r>
            <w:r>
              <w:rPr>
                <w:spacing w:val="-2"/>
                <w:sz w:val="18"/>
              </w:rPr>
              <w:t>1,983,444</w:t>
            </w:r>
          </w:p>
        </w:tc>
      </w:tr>
    </w:tbl>
    <w:p>
      <w:pPr>
        <w:pStyle w:val="BodyText"/>
        <w:rPr>
          <w:b/>
          <w:i/>
        </w:rPr>
      </w:pPr>
    </w:p>
    <w:p>
      <w:pPr>
        <w:pStyle w:val="BodyText"/>
        <w:rPr>
          <w:b/>
          <w:i/>
        </w:rPr>
      </w:pPr>
    </w:p>
    <w:p>
      <w:pPr>
        <w:pStyle w:val="BodyText"/>
        <w:rPr>
          <w:b/>
          <w:i/>
        </w:rPr>
      </w:pPr>
    </w:p>
    <w:p>
      <w:pPr>
        <w:pStyle w:val="BodyText"/>
        <w:spacing w:before="79"/>
        <w:rPr>
          <w:b/>
          <w:i/>
        </w:rPr>
      </w:pPr>
    </w:p>
    <w:p>
      <w:pPr>
        <w:pStyle w:val="BodyText"/>
        <w:ind w:left="24"/>
        <w:jc w:val="center"/>
      </w:pPr>
      <w:r>
        <w:rPr>
          <w:spacing w:val="-5"/>
        </w:rPr>
        <w:t>79</w:t>
      </w:r>
    </w:p>
    <w:p>
      <w:pPr>
        <w:pStyle w:val="BodyText"/>
        <w:spacing w:before="3"/>
        <w:rPr>
          <w:sz w:val="6"/>
        </w:rPr>
      </w:pPr>
      <w:r>
        <w:rPr/>
        <mc:AlternateContent>
          <mc:Choice Requires="wps">
            <w:drawing>
              <wp:anchor distT="0" distB="0" distL="0" distR="0" allowOverlap="1" layoutInCell="1" locked="0" behindDoc="1" simplePos="0" relativeHeight="487687680">
                <wp:simplePos x="0" y="0"/>
                <wp:positionH relativeFrom="page">
                  <wp:posOffset>231457</wp:posOffset>
                </wp:positionH>
                <wp:positionV relativeFrom="paragraph">
                  <wp:posOffset>60956</wp:posOffset>
                </wp:positionV>
                <wp:extent cx="7312659" cy="17145"/>
                <wp:effectExtent l="0" t="0" r="0" b="0"/>
                <wp:wrapTopAndBottom/>
                <wp:docPr id="508" name="Group 508"/>
                <wp:cNvGraphicFramePr>
                  <a:graphicFrameLocks/>
                </wp:cNvGraphicFramePr>
                <a:graphic>
                  <a:graphicData uri="http://schemas.microsoft.com/office/word/2010/wordprocessingGroup">
                    <wpg:wgp>
                      <wpg:cNvPr id="508" name="Group 508"/>
                      <wpg:cNvGrpSpPr/>
                      <wpg:grpSpPr>
                        <a:xfrm>
                          <a:off x="0" y="0"/>
                          <a:ext cx="7312659" cy="17145"/>
                          <a:chExt cx="7312659" cy="17145"/>
                        </a:xfrm>
                      </wpg:grpSpPr>
                      <wps:wsp>
                        <wps:cNvPr id="509" name="Graphic 50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10" name="Graphic 510"/>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11" name="Graphic 5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28800;mso-wrap-distance-left:0;mso-wrap-distance-right:0" id="docshapegroup506" coordorigin="364,96" coordsize="11516,27">
                <v:rect style="position:absolute;left:364;top:96;width:11516;height:14" id="docshape507" filled="true" fillcolor="#999999" stroked="false">
                  <v:fill type="solid"/>
                </v:rect>
                <v:shape style="position:absolute;left:364;top:96;width:11516;height:27" id="docshape508" coordorigin="364,96" coordsize="11516,27" path="m11880,96l11866,109,364,109,364,123,11866,123,11880,123,11880,109,11880,96xe" filled="true" fillcolor="#ededed" stroked="false">
                  <v:path arrowok="t"/>
                  <v:fill type="solid"/>
                </v:shape>
                <v:shape style="position:absolute;left:364;top:96;width:14;height:27" id="docshape50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4"/>
        <w:spacing w:before="79"/>
      </w:pPr>
      <w:r>
        <w:rPr/>
        <w:t>NOTE</w:t>
      </w:r>
      <w:r>
        <w:rPr>
          <w:spacing w:val="-1"/>
        </w:rPr>
        <w:t> </w:t>
      </w:r>
      <w:r>
        <w:rPr/>
        <w:t>9</w:t>
      </w:r>
      <w:r>
        <w:rPr>
          <w:spacing w:val="-1"/>
        </w:rPr>
        <w:t> </w:t>
      </w:r>
      <w:r>
        <w:rPr/>
        <w:t>—</w:t>
      </w:r>
      <w:r>
        <w:rPr>
          <w:spacing w:val="-1"/>
        </w:rPr>
        <w:t> </w:t>
      </w:r>
      <w:r>
        <w:rPr/>
        <w:t>LONG-TERM</w:t>
      </w:r>
      <w:r>
        <w:rPr>
          <w:spacing w:val="-1"/>
        </w:rPr>
        <w:t> </w:t>
      </w:r>
      <w:r>
        <w:rPr>
          <w:spacing w:val="-4"/>
        </w:rPr>
        <w:t>DEBT</w:t>
      </w:r>
    </w:p>
    <w:p>
      <w:pPr>
        <w:pStyle w:val="BodyText"/>
        <w:spacing w:before="4"/>
        <w:rPr>
          <w:b/>
          <w:sz w:val="10"/>
        </w:rPr>
      </w:pPr>
    </w:p>
    <w:p>
      <w:pPr>
        <w:spacing w:after="0"/>
        <w:rPr>
          <w:sz w:val="10"/>
        </w:rPr>
        <w:sectPr>
          <w:pgSz w:w="12240" w:h="15840"/>
          <w:pgMar w:top="1400" w:bottom="280" w:left="220" w:right="240"/>
        </w:sectPr>
      </w:pPr>
    </w:p>
    <w:p>
      <w:pPr>
        <w:pStyle w:val="BodyText"/>
        <w:spacing w:before="92"/>
        <w:ind w:left="644"/>
      </w:pPr>
      <w:r>
        <w:rPr/>
        <w:t>Long-term</w:t>
      </w:r>
      <w:r>
        <w:rPr>
          <w:spacing w:val="-1"/>
        </w:rPr>
        <w:t> </w:t>
      </w:r>
      <w:r>
        <w:rPr/>
        <w:t>debt</w:t>
      </w:r>
      <w:r>
        <w:rPr>
          <w:spacing w:val="-1"/>
        </w:rPr>
        <w:t> </w:t>
      </w:r>
      <w:r>
        <w:rPr/>
        <w:t>consisted</w:t>
      </w:r>
      <w:r>
        <w:rPr>
          <w:spacing w:val="-1"/>
        </w:rPr>
        <w:t> </w:t>
      </w:r>
      <w:r>
        <w:rPr/>
        <w:t>of</w:t>
      </w:r>
      <w:r>
        <w:rPr>
          <w:spacing w:val="-1"/>
        </w:rPr>
        <w:t> </w:t>
      </w:r>
      <w:r>
        <w:rPr/>
        <w:t>the</w:t>
      </w:r>
      <w:r>
        <w:rPr>
          <w:spacing w:val="-1"/>
        </w:rPr>
        <w:t> </w:t>
      </w:r>
      <w:r>
        <w:rPr>
          <w:spacing w:val="-2"/>
        </w:rPr>
        <w:t>following:</w:t>
      </w:r>
    </w:p>
    <w:p>
      <w:pPr>
        <w:spacing w:line="240" w:lineRule="auto" w:before="142"/>
        <w:rPr>
          <w:sz w:val="18"/>
        </w:rPr>
      </w:pPr>
      <w:r>
        <w:rPr/>
        <w:br w:type="column"/>
      </w:r>
      <w:r>
        <w:rPr>
          <w:sz w:val="18"/>
        </w:rPr>
      </w:r>
    </w:p>
    <w:p>
      <w:pPr>
        <w:pStyle w:val="Heading5"/>
        <w:ind w:left="0" w:right="56"/>
      </w:pPr>
      <w:r>
        <w:rPr/>
        <w:t>December</w:t>
      </w:r>
      <w:r>
        <w:rPr>
          <w:spacing w:val="-4"/>
        </w:rPr>
        <w:t> </w:t>
      </w:r>
      <w:r>
        <w:rPr>
          <w:spacing w:val="-5"/>
        </w:rPr>
        <w:t>31,</w:t>
      </w:r>
    </w:p>
    <w:p>
      <w:pPr>
        <w:pStyle w:val="BodyText"/>
        <w:spacing w:before="7"/>
        <w:rPr>
          <w:b/>
          <w:sz w:val="3"/>
        </w:rPr>
      </w:pPr>
    </w:p>
    <w:p>
      <w:pPr>
        <w:pStyle w:val="BodyText"/>
        <w:spacing w:line="20" w:lineRule="exact"/>
        <w:ind w:left="68"/>
        <w:rPr>
          <w:sz w:val="2"/>
        </w:rPr>
      </w:pPr>
      <w:r>
        <w:rPr>
          <w:sz w:val="2"/>
        </w:rPr>
        <mc:AlternateContent>
          <mc:Choice Requires="wps">
            <w:drawing>
              <wp:inline distT="0" distB="0" distL="0" distR="0">
                <wp:extent cx="1997710" cy="8890"/>
                <wp:effectExtent l="0" t="0" r="0" b="0"/>
                <wp:docPr id="512" name="Group 512"/>
                <wp:cNvGraphicFramePr>
                  <a:graphicFrameLocks/>
                </wp:cNvGraphicFramePr>
                <a:graphic>
                  <a:graphicData uri="http://schemas.microsoft.com/office/word/2010/wordprocessingGroup">
                    <wpg:wgp>
                      <wpg:cNvPr id="512" name="Group 512"/>
                      <wpg:cNvGrpSpPr/>
                      <wpg:grpSpPr>
                        <a:xfrm>
                          <a:off x="0" y="0"/>
                          <a:ext cx="1997710" cy="8890"/>
                          <a:chExt cx="1997710" cy="8890"/>
                        </a:xfrm>
                      </wpg:grpSpPr>
                      <wps:wsp>
                        <wps:cNvPr id="513" name="Graphic 513"/>
                        <wps:cNvSpPr/>
                        <wps:spPr>
                          <a:xfrm>
                            <a:off x="-12" y="-10"/>
                            <a:ext cx="1997710" cy="8890"/>
                          </a:xfrm>
                          <a:custGeom>
                            <a:avLst/>
                            <a:gdLst/>
                            <a:ahLst/>
                            <a:cxnLst/>
                            <a:rect l="l" t="t" r="r" b="b"/>
                            <a:pathLst>
                              <a:path w="1997710" h="8890">
                                <a:moveTo>
                                  <a:pt x="1997392" y="0"/>
                                </a:moveTo>
                                <a:lnTo>
                                  <a:pt x="1997392" y="0"/>
                                </a:lnTo>
                                <a:lnTo>
                                  <a:pt x="0" y="0"/>
                                </a:lnTo>
                                <a:lnTo>
                                  <a:pt x="0" y="8572"/>
                                </a:lnTo>
                                <a:lnTo>
                                  <a:pt x="1997392" y="8572"/>
                                </a:lnTo>
                                <a:lnTo>
                                  <a:pt x="1997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7.3pt;height:.7pt;mso-position-horizontal-relative:char;mso-position-vertical-relative:line" id="docshapegroup510" coordorigin="0,0" coordsize="3146,14">
                <v:rect style="position:absolute;left:-1;top:-1;width:3146;height:14" id="docshape511" filled="true" fillcolor="#000000" stroked="false">
                  <v:fill type="solid"/>
                </v:rect>
              </v:group>
            </w:pict>
          </mc:Fallback>
        </mc:AlternateContent>
      </w:r>
      <w:r>
        <w:rPr>
          <w:sz w:val="2"/>
        </w:rPr>
      </w:r>
    </w:p>
    <w:p>
      <w:pPr>
        <w:tabs>
          <w:tab w:pos="1626" w:val="left" w:leader="none"/>
        </w:tabs>
        <w:spacing w:before="15"/>
        <w:ind w:left="0" w:right="57" w:firstLine="0"/>
        <w:jc w:val="center"/>
        <w:rPr>
          <w:b/>
          <w:sz w:val="18"/>
        </w:rPr>
      </w:pPr>
      <w:r>
        <w:rPr>
          <w:b/>
          <w:spacing w:val="-4"/>
          <w:sz w:val="18"/>
        </w:rPr>
        <w:t>2022</w:t>
      </w:r>
      <w:r>
        <w:rPr>
          <w:b/>
          <w:sz w:val="18"/>
        </w:rPr>
        <w:tab/>
      </w:r>
      <w:r>
        <w:rPr>
          <w:b/>
          <w:spacing w:val="-4"/>
          <w:sz w:val="18"/>
        </w:rPr>
        <w:t>2021</w:t>
      </w:r>
    </w:p>
    <w:p>
      <w:pPr>
        <w:pStyle w:val="BodyText"/>
        <w:spacing w:before="5"/>
        <w:rPr>
          <w:b/>
          <w:sz w:val="2"/>
        </w:rPr>
      </w:pPr>
    </w:p>
    <w:p>
      <w:pPr>
        <w:pStyle w:val="BodyText"/>
        <w:spacing w:line="20" w:lineRule="exact"/>
        <w:ind w:left="68"/>
        <w:rPr>
          <w:sz w:val="2"/>
        </w:rPr>
      </w:pPr>
      <w:r>
        <w:rPr>
          <w:sz w:val="2"/>
        </w:rPr>
        <mc:AlternateContent>
          <mc:Choice Requires="wps">
            <w:drawing>
              <wp:inline distT="0" distB="0" distL="0" distR="0">
                <wp:extent cx="1997710" cy="8890"/>
                <wp:effectExtent l="0" t="0" r="0" b="0"/>
                <wp:docPr id="514" name="Group 514"/>
                <wp:cNvGraphicFramePr>
                  <a:graphicFrameLocks/>
                </wp:cNvGraphicFramePr>
                <a:graphic>
                  <a:graphicData uri="http://schemas.microsoft.com/office/word/2010/wordprocessingGroup">
                    <wpg:wgp>
                      <wpg:cNvPr id="514" name="Group 514"/>
                      <wpg:cNvGrpSpPr/>
                      <wpg:grpSpPr>
                        <a:xfrm>
                          <a:off x="0" y="0"/>
                          <a:ext cx="1997710" cy="8890"/>
                          <a:chExt cx="1997710" cy="8890"/>
                        </a:xfrm>
                      </wpg:grpSpPr>
                      <wps:wsp>
                        <wps:cNvPr id="515" name="Graphic 515"/>
                        <wps:cNvSpPr/>
                        <wps:spPr>
                          <a:xfrm>
                            <a:off x="-12" y="-10"/>
                            <a:ext cx="1997710" cy="8890"/>
                          </a:xfrm>
                          <a:custGeom>
                            <a:avLst/>
                            <a:gdLst/>
                            <a:ahLst/>
                            <a:cxnLst/>
                            <a:rect l="l" t="t" r="r" b="b"/>
                            <a:pathLst>
                              <a:path w="1997710" h="8890">
                                <a:moveTo>
                                  <a:pt x="1997392" y="0"/>
                                </a:moveTo>
                                <a:lnTo>
                                  <a:pt x="1997392" y="0"/>
                                </a:lnTo>
                                <a:lnTo>
                                  <a:pt x="0" y="0"/>
                                </a:lnTo>
                                <a:lnTo>
                                  <a:pt x="0" y="8572"/>
                                </a:lnTo>
                                <a:lnTo>
                                  <a:pt x="1997392" y="8572"/>
                                </a:lnTo>
                                <a:lnTo>
                                  <a:pt x="1997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7.3pt;height:.7pt;mso-position-horizontal-relative:char;mso-position-vertical-relative:line" id="docshapegroup512" coordorigin="0,0" coordsize="3146,14">
                <v:rect style="position:absolute;left:-1;top:-1;width:3146;height:14" id="docshape513" filled="true" fillcolor="#000000" stroked="false">
                  <v:fill type="solid"/>
                </v:rect>
              </v:group>
            </w:pict>
          </mc:Fallback>
        </mc:AlternateContent>
      </w:r>
      <w:r>
        <w:rPr>
          <w:sz w:val="2"/>
        </w:rPr>
      </w:r>
    </w:p>
    <w:p>
      <w:pPr>
        <w:spacing w:before="39"/>
        <w:ind w:left="0" w:right="56" w:firstLine="0"/>
        <w:jc w:val="center"/>
        <w:rPr>
          <w:b/>
          <w:i/>
          <w:sz w:val="14"/>
        </w:rPr>
      </w:pPr>
      <w:r>
        <w:rPr>
          <w:b/>
          <w:i/>
          <w:sz w:val="14"/>
        </w:rPr>
        <w:t>(In</w:t>
      </w:r>
      <w:r>
        <w:rPr>
          <w:b/>
          <w:i/>
          <w:spacing w:val="3"/>
          <w:sz w:val="14"/>
        </w:rPr>
        <w:t> </w:t>
      </w:r>
      <w:r>
        <w:rPr>
          <w:b/>
          <w:i/>
          <w:spacing w:val="-2"/>
          <w:sz w:val="14"/>
        </w:rPr>
        <w:t>thousands)</w:t>
      </w:r>
    </w:p>
    <w:p>
      <w:pPr>
        <w:spacing w:after="0"/>
        <w:jc w:val="center"/>
        <w:rPr>
          <w:sz w:val="14"/>
        </w:rPr>
        <w:sectPr>
          <w:type w:val="continuous"/>
          <w:pgSz w:w="12240" w:h="15840"/>
          <w:pgMar w:top="1040" w:bottom="280" w:left="220" w:right="240"/>
          <w:cols w:num="2" w:equalWidth="0">
            <w:col w:w="3779" w:space="4667"/>
            <w:col w:w="3334"/>
          </w:cols>
        </w:sectPr>
      </w:pPr>
    </w:p>
    <w:p>
      <w:pPr>
        <w:pStyle w:val="BodyText"/>
        <w:spacing w:before="2"/>
        <w:rPr>
          <w:b/>
          <w:i/>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1"/>
        <w:gridCol w:w="3263"/>
        <w:gridCol w:w="1582"/>
      </w:tblGrid>
      <w:tr>
        <w:trPr>
          <w:trHeight w:val="269" w:hRule="atLeast"/>
        </w:trPr>
        <w:tc>
          <w:tcPr>
            <w:tcW w:w="6671" w:type="dxa"/>
            <w:shd w:val="clear" w:color="auto" w:fill="CCEDFF"/>
          </w:tcPr>
          <w:p>
            <w:pPr>
              <w:pStyle w:val="TableParagraph"/>
              <w:ind w:left="17"/>
              <w:rPr>
                <w:sz w:val="18"/>
              </w:rPr>
            </w:pPr>
            <w:r>
              <w:rPr>
                <w:sz w:val="18"/>
              </w:rPr>
              <w:t>MGP</w:t>
            </w:r>
            <w:r>
              <w:rPr>
                <w:spacing w:val="-9"/>
                <w:sz w:val="18"/>
              </w:rPr>
              <w:t> </w:t>
            </w:r>
            <w:r>
              <w:rPr>
                <w:sz w:val="18"/>
              </w:rPr>
              <w:t>OP</w:t>
            </w:r>
            <w:r>
              <w:rPr>
                <w:spacing w:val="-7"/>
                <w:sz w:val="18"/>
              </w:rPr>
              <w:t> </w:t>
            </w:r>
            <w:r>
              <w:rPr>
                <w:sz w:val="18"/>
              </w:rPr>
              <w:t>senior</w:t>
            </w:r>
            <w:r>
              <w:rPr>
                <w:spacing w:val="-1"/>
                <w:sz w:val="18"/>
              </w:rPr>
              <w:t> </w:t>
            </w:r>
            <w:r>
              <w:rPr>
                <w:sz w:val="18"/>
              </w:rPr>
              <w:t>credit</w:t>
            </w:r>
            <w:r>
              <w:rPr>
                <w:spacing w:val="-1"/>
                <w:sz w:val="18"/>
              </w:rPr>
              <w:t> </w:t>
            </w:r>
            <w:r>
              <w:rPr>
                <w:spacing w:val="-2"/>
                <w:sz w:val="18"/>
              </w:rPr>
              <w:t>facility</w:t>
            </w:r>
          </w:p>
        </w:tc>
        <w:tc>
          <w:tcPr>
            <w:tcW w:w="3263" w:type="dxa"/>
            <w:shd w:val="clear" w:color="auto" w:fill="CCEDFF"/>
          </w:tcPr>
          <w:p>
            <w:pPr>
              <w:pStyle w:val="TableParagraph"/>
              <w:tabs>
                <w:tab w:pos="1254" w:val="left" w:leader="none"/>
              </w:tabs>
              <w:ind w:right="115"/>
              <w:jc w:val="right"/>
              <w:rPr>
                <w:sz w:val="18"/>
              </w:rPr>
            </w:pPr>
            <w:r>
              <w:rPr>
                <w:spacing w:val="-10"/>
                <w:sz w:val="18"/>
              </w:rPr>
              <w:t>$</w:t>
            </w:r>
            <w:r>
              <w:rPr>
                <w:sz w:val="18"/>
              </w:rPr>
              <w:tab/>
            </w:r>
            <w:r>
              <w:rPr>
                <w:spacing w:val="-10"/>
                <w:sz w:val="18"/>
              </w:rPr>
              <w:t>—</w:t>
            </w:r>
          </w:p>
        </w:tc>
        <w:tc>
          <w:tcPr>
            <w:tcW w:w="1582" w:type="dxa"/>
            <w:shd w:val="clear" w:color="auto" w:fill="CCEDFF"/>
          </w:tcPr>
          <w:p>
            <w:pPr>
              <w:pStyle w:val="TableParagraph"/>
              <w:tabs>
                <w:tab w:pos="941" w:val="left" w:leader="none"/>
              </w:tabs>
              <w:ind w:right="71"/>
              <w:jc w:val="right"/>
              <w:rPr>
                <w:sz w:val="18"/>
              </w:rPr>
            </w:pPr>
            <w:r>
              <w:rPr>
                <w:spacing w:val="-10"/>
                <w:sz w:val="18"/>
              </w:rPr>
              <w:t>$</w:t>
            </w:r>
            <w:r>
              <w:rPr>
                <w:sz w:val="18"/>
              </w:rPr>
              <w:tab/>
            </w:r>
            <w:r>
              <w:rPr>
                <w:spacing w:val="-2"/>
                <w:sz w:val="18"/>
              </w:rPr>
              <w:t>50,000</w:t>
            </w:r>
          </w:p>
        </w:tc>
      </w:tr>
      <w:tr>
        <w:trPr>
          <w:trHeight w:val="256" w:hRule="atLeast"/>
        </w:trPr>
        <w:tc>
          <w:tcPr>
            <w:tcW w:w="6671" w:type="dxa"/>
          </w:tcPr>
          <w:p>
            <w:pPr>
              <w:pStyle w:val="TableParagraph"/>
              <w:ind w:left="17"/>
              <w:rPr>
                <w:sz w:val="18"/>
              </w:rPr>
            </w:pPr>
            <w:r>
              <w:rPr>
                <w:sz w:val="18"/>
              </w:rPr>
              <w:t>MGM</w:t>
            </w:r>
            <w:r>
              <w:rPr>
                <w:spacing w:val="-3"/>
                <w:sz w:val="18"/>
              </w:rPr>
              <w:t> </w:t>
            </w:r>
            <w:r>
              <w:rPr>
                <w:sz w:val="18"/>
              </w:rPr>
              <w:t>China</w:t>
            </w:r>
            <w:r>
              <w:rPr>
                <w:spacing w:val="-1"/>
                <w:sz w:val="18"/>
              </w:rPr>
              <w:t> </w:t>
            </w:r>
            <w:r>
              <w:rPr>
                <w:sz w:val="18"/>
              </w:rPr>
              <w:t>first</w:t>
            </w:r>
            <w:r>
              <w:rPr>
                <w:spacing w:val="-1"/>
                <w:sz w:val="18"/>
              </w:rPr>
              <w:t> </w:t>
            </w:r>
            <w:r>
              <w:rPr>
                <w:sz w:val="18"/>
              </w:rPr>
              <w:t>revolving</w:t>
            </w:r>
            <w:r>
              <w:rPr>
                <w:spacing w:val="-1"/>
                <w:sz w:val="18"/>
              </w:rPr>
              <w:t> </w:t>
            </w:r>
            <w:r>
              <w:rPr>
                <w:sz w:val="18"/>
              </w:rPr>
              <w:t>credit</w:t>
            </w:r>
            <w:r>
              <w:rPr>
                <w:spacing w:val="-1"/>
                <w:sz w:val="18"/>
              </w:rPr>
              <w:t> </w:t>
            </w:r>
            <w:r>
              <w:rPr>
                <w:spacing w:val="-2"/>
                <w:sz w:val="18"/>
              </w:rPr>
              <w:t>facility</w:t>
            </w:r>
          </w:p>
        </w:tc>
        <w:tc>
          <w:tcPr>
            <w:tcW w:w="3263" w:type="dxa"/>
          </w:tcPr>
          <w:p>
            <w:pPr>
              <w:pStyle w:val="TableParagraph"/>
              <w:ind w:right="115"/>
              <w:jc w:val="right"/>
              <w:rPr>
                <w:sz w:val="18"/>
              </w:rPr>
            </w:pPr>
            <w:r>
              <w:rPr>
                <w:spacing w:val="-2"/>
                <w:sz w:val="18"/>
              </w:rPr>
              <w:t>1,249,744</w:t>
            </w:r>
          </w:p>
        </w:tc>
        <w:tc>
          <w:tcPr>
            <w:tcW w:w="1582" w:type="dxa"/>
          </w:tcPr>
          <w:p>
            <w:pPr>
              <w:pStyle w:val="TableParagraph"/>
              <w:ind w:right="71"/>
              <w:jc w:val="right"/>
              <w:rPr>
                <w:sz w:val="18"/>
              </w:rPr>
            </w:pPr>
            <w:r>
              <w:rPr>
                <w:spacing w:val="-2"/>
                <w:sz w:val="18"/>
              </w:rPr>
              <w:t>360,414</w:t>
            </w:r>
          </w:p>
        </w:tc>
      </w:tr>
      <w:tr>
        <w:trPr>
          <w:trHeight w:val="256" w:hRule="atLeast"/>
        </w:trPr>
        <w:tc>
          <w:tcPr>
            <w:tcW w:w="6671" w:type="dxa"/>
            <w:shd w:val="clear" w:color="auto" w:fill="CCEDFF"/>
          </w:tcPr>
          <w:p>
            <w:pPr>
              <w:pStyle w:val="TableParagraph"/>
              <w:ind w:left="17"/>
              <w:rPr>
                <w:sz w:val="18"/>
              </w:rPr>
            </w:pPr>
            <w:r>
              <w:rPr>
                <w:sz w:val="18"/>
              </w:rPr>
              <w:t>MGM</w:t>
            </w:r>
            <w:r>
              <w:rPr>
                <w:spacing w:val="-1"/>
                <w:sz w:val="18"/>
              </w:rPr>
              <w:t> </w:t>
            </w:r>
            <w:r>
              <w:rPr>
                <w:sz w:val="18"/>
              </w:rPr>
              <w:t>China</w:t>
            </w:r>
            <w:r>
              <w:rPr>
                <w:spacing w:val="-1"/>
                <w:sz w:val="18"/>
              </w:rPr>
              <w:t> </w:t>
            </w:r>
            <w:r>
              <w:rPr>
                <w:sz w:val="18"/>
              </w:rPr>
              <w:t>second</w:t>
            </w:r>
            <w:r>
              <w:rPr>
                <w:spacing w:val="-1"/>
                <w:sz w:val="18"/>
              </w:rPr>
              <w:t> </w:t>
            </w:r>
            <w:r>
              <w:rPr>
                <w:sz w:val="18"/>
              </w:rPr>
              <w:t>revolving</w:t>
            </w:r>
            <w:r>
              <w:rPr>
                <w:spacing w:val="-1"/>
                <w:sz w:val="18"/>
              </w:rPr>
              <w:t> </w:t>
            </w:r>
            <w:r>
              <w:rPr>
                <w:sz w:val="18"/>
              </w:rPr>
              <w:t>credit</w:t>
            </w:r>
            <w:r>
              <w:rPr>
                <w:spacing w:val="-1"/>
                <w:sz w:val="18"/>
              </w:rPr>
              <w:t> </w:t>
            </w:r>
            <w:r>
              <w:rPr>
                <w:spacing w:val="-2"/>
                <w:sz w:val="18"/>
              </w:rPr>
              <w:t>facility</w:t>
            </w:r>
          </w:p>
        </w:tc>
        <w:tc>
          <w:tcPr>
            <w:tcW w:w="3263" w:type="dxa"/>
            <w:shd w:val="clear" w:color="auto" w:fill="CCEDFF"/>
          </w:tcPr>
          <w:p>
            <w:pPr>
              <w:pStyle w:val="TableParagraph"/>
              <w:ind w:right="115"/>
              <w:jc w:val="right"/>
              <w:rPr>
                <w:sz w:val="18"/>
              </w:rPr>
            </w:pPr>
            <w:r>
              <w:rPr>
                <w:spacing w:val="-2"/>
                <w:sz w:val="18"/>
              </w:rPr>
              <w:t>224,313</w:t>
            </w:r>
          </w:p>
        </w:tc>
        <w:tc>
          <w:tcPr>
            <w:tcW w:w="1582" w:type="dxa"/>
            <w:shd w:val="clear" w:color="auto" w:fill="CCEDFF"/>
          </w:tcPr>
          <w:p>
            <w:pPr>
              <w:pStyle w:val="TableParagraph"/>
              <w:ind w:right="71"/>
              <w:jc w:val="right"/>
              <w:rPr>
                <w:sz w:val="18"/>
              </w:rPr>
            </w:pPr>
            <w:r>
              <w:rPr>
                <w:spacing w:val="-10"/>
                <w:sz w:val="18"/>
              </w:rPr>
              <w:t>—</w:t>
            </w:r>
          </w:p>
        </w:tc>
      </w:tr>
      <w:tr>
        <w:trPr>
          <w:trHeight w:val="256" w:hRule="atLeast"/>
        </w:trPr>
        <w:tc>
          <w:tcPr>
            <w:tcW w:w="6671" w:type="dxa"/>
          </w:tcPr>
          <w:p>
            <w:pPr>
              <w:pStyle w:val="TableParagraph"/>
              <w:ind w:left="17"/>
              <w:rPr>
                <w:sz w:val="18"/>
              </w:rPr>
            </w:pPr>
            <w:r>
              <w:rPr>
                <w:sz w:val="18"/>
              </w:rPr>
              <w:t>LeoVegas</w:t>
            </w:r>
            <w:r>
              <w:rPr>
                <w:spacing w:val="-6"/>
                <w:sz w:val="18"/>
              </w:rPr>
              <w:t> </w:t>
            </w:r>
            <w:r>
              <w:rPr>
                <w:sz w:val="18"/>
              </w:rPr>
              <w:t>senior</w:t>
            </w:r>
            <w:r>
              <w:rPr>
                <w:spacing w:val="-6"/>
                <w:sz w:val="18"/>
              </w:rPr>
              <w:t> </w:t>
            </w:r>
            <w:r>
              <w:rPr>
                <w:sz w:val="18"/>
              </w:rPr>
              <w:t>notes,</w:t>
            </w:r>
            <w:r>
              <w:rPr>
                <w:spacing w:val="-6"/>
                <w:sz w:val="18"/>
              </w:rPr>
              <w:t> </w:t>
            </w:r>
            <w:r>
              <w:rPr>
                <w:sz w:val="18"/>
              </w:rPr>
              <w:t>due</w:t>
            </w:r>
            <w:r>
              <w:rPr>
                <w:spacing w:val="-6"/>
                <w:sz w:val="18"/>
              </w:rPr>
              <w:t> </w:t>
            </w:r>
            <w:r>
              <w:rPr>
                <w:spacing w:val="-4"/>
                <w:sz w:val="18"/>
              </w:rPr>
              <w:t>2023</w:t>
            </w:r>
          </w:p>
        </w:tc>
        <w:tc>
          <w:tcPr>
            <w:tcW w:w="3263" w:type="dxa"/>
          </w:tcPr>
          <w:p>
            <w:pPr>
              <w:pStyle w:val="TableParagraph"/>
              <w:ind w:right="115"/>
              <w:jc w:val="right"/>
              <w:rPr>
                <w:sz w:val="18"/>
              </w:rPr>
            </w:pPr>
            <w:r>
              <w:rPr>
                <w:spacing w:val="-2"/>
                <w:sz w:val="18"/>
              </w:rPr>
              <w:t>36,580</w:t>
            </w:r>
          </w:p>
        </w:tc>
        <w:tc>
          <w:tcPr>
            <w:tcW w:w="1582" w:type="dxa"/>
          </w:tcPr>
          <w:p>
            <w:pPr>
              <w:pStyle w:val="TableParagraph"/>
              <w:ind w:right="71"/>
              <w:jc w:val="right"/>
              <w:rPr>
                <w:sz w:val="18"/>
              </w:rPr>
            </w:pPr>
            <w:r>
              <w:rPr>
                <w:spacing w:val="-10"/>
                <w:sz w:val="18"/>
              </w:rPr>
              <w:t>—</w:t>
            </w:r>
          </w:p>
        </w:tc>
      </w:tr>
      <w:tr>
        <w:trPr>
          <w:trHeight w:val="256" w:hRule="atLeast"/>
        </w:trPr>
        <w:tc>
          <w:tcPr>
            <w:tcW w:w="6671" w:type="dxa"/>
            <w:shd w:val="clear" w:color="auto" w:fill="CCEDFF"/>
          </w:tcPr>
          <w:p>
            <w:pPr>
              <w:pStyle w:val="TableParagraph"/>
              <w:ind w:left="17"/>
              <w:rPr>
                <w:sz w:val="18"/>
              </w:rPr>
            </w:pPr>
            <w:r>
              <w:rPr>
                <w:sz w:val="18"/>
              </w:rPr>
              <w:t>7.75%</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2022</w:t>
            </w:r>
          </w:p>
        </w:tc>
        <w:tc>
          <w:tcPr>
            <w:tcW w:w="3263" w:type="dxa"/>
            <w:shd w:val="clear" w:color="auto" w:fill="CCEDFF"/>
          </w:tcPr>
          <w:p>
            <w:pPr>
              <w:pStyle w:val="TableParagraph"/>
              <w:ind w:right="115"/>
              <w:jc w:val="right"/>
              <w:rPr>
                <w:sz w:val="18"/>
              </w:rPr>
            </w:pPr>
            <w:r>
              <w:rPr>
                <w:spacing w:val="-10"/>
                <w:sz w:val="18"/>
              </w:rPr>
              <w:t>—</w:t>
            </w:r>
          </w:p>
        </w:tc>
        <w:tc>
          <w:tcPr>
            <w:tcW w:w="1582" w:type="dxa"/>
            <w:shd w:val="clear" w:color="auto" w:fill="CCEDFF"/>
          </w:tcPr>
          <w:p>
            <w:pPr>
              <w:pStyle w:val="TableParagraph"/>
              <w:ind w:right="71"/>
              <w:jc w:val="right"/>
              <w:rPr>
                <w:sz w:val="18"/>
              </w:rPr>
            </w:pPr>
            <w:r>
              <w:rPr>
                <w:spacing w:val="-2"/>
                <w:sz w:val="18"/>
              </w:rPr>
              <w:t>1,000,000</w:t>
            </w:r>
          </w:p>
        </w:tc>
      </w:tr>
      <w:tr>
        <w:trPr>
          <w:trHeight w:val="269" w:hRule="atLeast"/>
        </w:trPr>
        <w:tc>
          <w:tcPr>
            <w:tcW w:w="6671" w:type="dxa"/>
          </w:tcPr>
          <w:p>
            <w:pPr>
              <w:pStyle w:val="TableParagraph"/>
              <w:ind w:left="17"/>
              <w:rPr>
                <w:sz w:val="18"/>
              </w:rPr>
            </w:pPr>
            <w:r>
              <w:rPr>
                <w:sz w:val="18"/>
              </w:rPr>
              <w:t>6%</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2023</w:t>
            </w:r>
          </w:p>
        </w:tc>
        <w:tc>
          <w:tcPr>
            <w:tcW w:w="3263" w:type="dxa"/>
          </w:tcPr>
          <w:p>
            <w:pPr>
              <w:pStyle w:val="TableParagraph"/>
              <w:ind w:right="115"/>
              <w:jc w:val="right"/>
              <w:rPr>
                <w:sz w:val="18"/>
              </w:rPr>
            </w:pPr>
            <w:r>
              <w:rPr>
                <w:spacing w:val="-2"/>
                <w:sz w:val="18"/>
              </w:rPr>
              <w:t>1,250,000</w:t>
            </w:r>
          </w:p>
        </w:tc>
        <w:tc>
          <w:tcPr>
            <w:tcW w:w="1582" w:type="dxa"/>
          </w:tcPr>
          <w:p>
            <w:pPr>
              <w:pStyle w:val="TableParagraph"/>
              <w:ind w:right="71"/>
              <w:jc w:val="right"/>
              <w:rPr>
                <w:sz w:val="18"/>
              </w:rPr>
            </w:pPr>
            <w:r>
              <w:rPr>
                <w:spacing w:val="-2"/>
                <w:sz w:val="18"/>
              </w:rPr>
              <w:t>1,250,000</w:t>
            </w:r>
          </w:p>
        </w:tc>
      </w:tr>
      <w:tr>
        <w:trPr>
          <w:trHeight w:val="256" w:hRule="atLeast"/>
        </w:trPr>
        <w:tc>
          <w:tcPr>
            <w:tcW w:w="6671" w:type="dxa"/>
            <w:shd w:val="clear" w:color="auto" w:fill="CCEDFF"/>
          </w:tcPr>
          <w:p>
            <w:pPr>
              <w:pStyle w:val="TableParagraph"/>
              <w:ind w:left="17"/>
              <w:rPr>
                <w:sz w:val="18"/>
              </w:rPr>
            </w:pPr>
            <w:r>
              <w:rPr>
                <w:sz w:val="18"/>
              </w:rPr>
              <w:t>5.625%</w:t>
            </w:r>
            <w:r>
              <w:rPr>
                <w:spacing w:val="-1"/>
                <w:sz w:val="18"/>
              </w:rPr>
              <w:t> </w:t>
            </w:r>
            <w:r>
              <w:rPr>
                <w:sz w:val="18"/>
              </w:rPr>
              <w:t>MGP</w:t>
            </w:r>
            <w:r>
              <w:rPr>
                <w:spacing w:val="-7"/>
                <w:sz w:val="18"/>
              </w:rPr>
              <w:t> </w:t>
            </w:r>
            <w:r>
              <w:rPr>
                <w:sz w:val="18"/>
              </w:rPr>
              <w:t>OP</w:t>
            </w:r>
            <w:r>
              <w:rPr>
                <w:spacing w:val="-7"/>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2024</w:t>
            </w:r>
          </w:p>
        </w:tc>
        <w:tc>
          <w:tcPr>
            <w:tcW w:w="3263" w:type="dxa"/>
            <w:shd w:val="clear" w:color="auto" w:fill="CCEDFF"/>
          </w:tcPr>
          <w:p>
            <w:pPr>
              <w:pStyle w:val="TableParagraph"/>
              <w:ind w:right="115"/>
              <w:jc w:val="right"/>
              <w:rPr>
                <w:sz w:val="18"/>
              </w:rPr>
            </w:pPr>
            <w:r>
              <w:rPr>
                <w:spacing w:val="-10"/>
                <w:sz w:val="18"/>
              </w:rPr>
              <w:t>—</w:t>
            </w:r>
          </w:p>
        </w:tc>
        <w:tc>
          <w:tcPr>
            <w:tcW w:w="1582" w:type="dxa"/>
            <w:shd w:val="clear" w:color="auto" w:fill="CCEDFF"/>
          </w:tcPr>
          <w:p>
            <w:pPr>
              <w:pStyle w:val="TableParagraph"/>
              <w:ind w:right="71"/>
              <w:jc w:val="right"/>
              <w:rPr>
                <w:sz w:val="18"/>
              </w:rPr>
            </w:pPr>
            <w:r>
              <w:rPr>
                <w:spacing w:val="-2"/>
                <w:sz w:val="18"/>
              </w:rPr>
              <w:t>1,050,000</w:t>
            </w:r>
          </w:p>
        </w:tc>
      </w:tr>
      <w:tr>
        <w:trPr>
          <w:trHeight w:val="256" w:hRule="atLeast"/>
        </w:trPr>
        <w:tc>
          <w:tcPr>
            <w:tcW w:w="6671" w:type="dxa"/>
          </w:tcPr>
          <w:p>
            <w:pPr>
              <w:pStyle w:val="TableParagraph"/>
              <w:ind w:left="17"/>
              <w:rPr>
                <w:sz w:val="18"/>
              </w:rPr>
            </w:pPr>
            <w:r>
              <w:rPr>
                <w:sz w:val="18"/>
              </w:rPr>
              <w:t>5.375%</w:t>
            </w:r>
            <w:r>
              <w:rPr>
                <w:spacing w:val="-1"/>
                <w:sz w:val="18"/>
              </w:rPr>
              <w:t> </w:t>
            </w:r>
            <w:r>
              <w:rPr>
                <w:sz w:val="18"/>
              </w:rPr>
              <w:t>MGM</w:t>
            </w:r>
            <w:r>
              <w:rPr>
                <w:spacing w:val="-1"/>
                <w:sz w:val="18"/>
              </w:rPr>
              <w:t> </w:t>
            </w:r>
            <w:r>
              <w:rPr>
                <w:sz w:val="18"/>
              </w:rPr>
              <w:t>China</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2024</w:t>
            </w:r>
          </w:p>
        </w:tc>
        <w:tc>
          <w:tcPr>
            <w:tcW w:w="3263" w:type="dxa"/>
          </w:tcPr>
          <w:p>
            <w:pPr>
              <w:pStyle w:val="TableParagraph"/>
              <w:ind w:right="115"/>
              <w:jc w:val="right"/>
              <w:rPr>
                <w:sz w:val="18"/>
              </w:rPr>
            </w:pPr>
            <w:r>
              <w:rPr>
                <w:spacing w:val="-2"/>
                <w:sz w:val="18"/>
              </w:rPr>
              <w:t>750,000</w:t>
            </w:r>
          </w:p>
        </w:tc>
        <w:tc>
          <w:tcPr>
            <w:tcW w:w="1582" w:type="dxa"/>
          </w:tcPr>
          <w:p>
            <w:pPr>
              <w:pStyle w:val="TableParagraph"/>
              <w:ind w:right="71"/>
              <w:jc w:val="right"/>
              <w:rPr>
                <w:sz w:val="18"/>
              </w:rPr>
            </w:pPr>
            <w:r>
              <w:rPr>
                <w:spacing w:val="-2"/>
                <w:sz w:val="18"/>
              </w:rPr>
              <w:t>750,000</w:t>
            </w:r>
          </w:p>
        </w:tc>
      </w:tr>
      <w:tr>
        <w:trPr>
          <w:trHeight w:val="256" w:hRule="atLeast"/>
        </w:trPr>
        <w:tc>
          <w:tcPr>
            <w:tcW w:w="6671" w:type="dxa"/>
            <w:shd w:val="clear" w:color="auto" w:fill="CCEDFF"/>
          </w:tcPr>
          <w:p>
            <w:pPr>
              <w:pStyle w:val="TableParagraph"/>
              <w:ind w:left="17"/>
              <w:rPr>
                <w:sz w:val="18"/>
              </w:rPr>
            </w:pPr>
            <w:r>
              <w:rPr>
                <w:sz w:val="18"/>
              </w:rPr>
              <w:t>6.75%</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2025</w:t>
            </w:r>
          </w:p>
        </w:tc>
        <w:tc>
          <w:tcPr>
            <w:tcW w:w="3263" w:type="dxa"/>
            <w:shd w:val="clear" w:color="auto" w:fill="CCEDFF"/>
          </w:tcPr>
          <w:p>
            <w:pPr>
              <w:pStyle w:val="TableParagraph"/>
              <w:ind w:right="115"/>
              <w:jc w:val="right"/>
              <w:rPr>
                <w:sz w:val="18"/>
              </w:rPr>
            </w:pPr>
            <w:r>
              <w:rPr>
                <w:spacing w:val="-2"/>
                <w:sz w:val="18"/>
              </w:rPr>
              <w:t>750,000</w:t>
            </w:r>
          </w:p>
        </w:tc>
        <w:tc>
          <w:tcPr>
            <w:tcW w:w="1582" w:type="dxa"/>
            <w:shd w:val="clear" w:color="auto" w:fill="CCEDFF"/>
          </w:tcPr>
          <w:p>
            <w:pPr>
              <w:pStyle w:val="TableParagraph"/>
              <w:ind w:right="71"/>
              <w:jc w:val="right"/>
              <w:rPr>
                <w:sz w:val="18"/>
              </w:rPr>
            </w:pPr>
            <w:r>
              <w:rPr>
                <w:spacing w:val="-2"/>
                <w:sz w:val="18"/>
              </w:rPr>
              <w:t>750,000</w:t>
            </w:r>
          </w:p>
        </w:tc>
      </w:tr>
      <w:tr>
        <w:trPr>
          <w:trHeight w:val="256" w:hRule="atLeast"/>
        </w:trPr>
        <w:tc>
          <w:tcPr>
            <w:tcW w:w="6671" w:type="dxa"/>
          </w:tcPr>
          <w:p>
            <w:pPr>
              <w:pStyle w:val="TableParagraph"/>
              <w:ind w:left="17"/>
              <w:rPr>
                <w:sz w:val="18"/>
              </w:rPr>
            </w:pPr>
            <w:r>
              <w:rPr>
                <w:sz w:val="18"/>
              </w:rPr>
              <w:t>5.75%</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2025</w:t>
            </w:r>
          </w:p>
        </w:tc>
        <w:tc>
          <w:tcPr>
            <w:tcW w:w="3263" w:type="dxa"/>
          </w:tcPr>
          <w:p>
            <w:pPr>
              <w:pStyle w:val="TableParagraph"/>
              <w:ind w:right="115"/>
              <w:jc w:val="right"/>
              <w:rPr>
                <w:sz w:val="18"/>
              </w:rPr>
            </w:pPr>
            <w:r>
              <w:rPr>
                <w:spacing w:val="-2"/>
                <w:sz w:val="18"/>
              </w:rPr>
              <w:t>675,000</w:t>
            </w:r>
          </w:p>
        </w:tc>
        <w:tc>
          <w:tcPr>
            <w:tcW w:w="1582" w:type="dxa"/>
          </w:tcPr>
          <w:p>
            <w:pPr>
              <w:pStyle w:val="TableParagraph"/>
              <w:ind w:right="71"/>
              <w:jc w:val="right"/>
              <w:rPr>
                <w:sz w:val="18"/>
              </w:rPr>
            </w:pPr>
            <w:r>
              <w:rPr>
                <w:spacing w:val="-2"/>
                <w:sz w:val="18"/>
              </w:rPr>
              <w:t>675,000</w:t>
            </w:r>
          </w:p>
        </w:tc>
      </w:tr>
      <w:tr>
        <w:trPr>
          <w:trHeight w:val="256" w:hRule="atLeast"/>
        </w:trPr>
        <w:tc>
          <w:tcPr>
            <w:tcW w:w="6671" w:type="dxa"/>
            <w:shd w:val="clear" w:color="auto" w:fill="CCEDFF"/>
          </w:tcPr>
          <w:p>
            <w:pPr>
              <w:pStyle w:val="TableParagraph"/>
              <w:ind w:left="17"/>
              <w:rPr>
                <w:sz w:val="18"/>
              </w:rPr>
            </w:pPr>
            <w:r>
              <w:rPr>
                <w:sz w:val="18"/>
              </w:rPr>
              <w:t>4.625%</w:t>
            </w:r>
            <w:r>
              <w:rPr>
                <w:spacing w:val="-1"/>
                <w:sz w:val="18"/>
              </w:rPr>
              <w:t> </w:t>
            </w:r>
            <w:r>
              <w:rPr>
                <w:sz w:val="18"/>
              </w:rPr>
              <w:t>MGP</w:t>
            </w:r>
            <w:r>
              <w:rPr>
                <w:spacing w:val="-7"/>
                <w:sz w:val="18"/>
              </w:rPr>
              <w:t> </w:t>
            </w:r>
            <w:r>
              <w:rPr>
                <w:sz w:val="18"/>
              </w:rPr>
              <w:t>OP</w:t>
            </w:r>
            <w:r>
              <w:rPr>
                <w:spacing w:val="-7"/>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2025</w:t>
            </w:r>
          </w:p>
        </w:tc>
        <w:tc>
          <w:tcPr>
            <w:tcW w:w="3263" w:type="dxa"/>
            <w:shd w:val="clear" w:color="auto" w:fill="CCEDFF"/>
          </w:tcPr>
          <w:p>
            <w:pPr>
              <w:pStyle w:val="TableParagraph"/>
              <w:ind w:right="115"/>
              <w:jc w:val="right"/>
              <w:rPr>
                <w:sz w:val="18"/>
              </w:rPr>
            </w:pPr>
            <w:r>
              <w:rPr>
                <w:spacing w:val="-10"/>
                <w:sz w:val="18"/>
              </w:rPr>
              <w:t>—</w:t>
            </w:r>
          </w:p>
        </w:tc>
        <w:tc>
          <w:tcPr>
            <w:tcW w:w="1582" w:type="dxa"/>
            <w:shd w:val="clear" w:color="auto" w:fill="CCEDFF"/>
          </w:tcPr>
          <w:p>
            <w:pPr>
              <w:pStyle w:val="TableParagraph"/>
              <w:ind w:right="71"/>
              <w:jc w:val="right"/>
              <w:rPr>
                <w:sz w:val="18"/>
              </w:rPr>
            </w:pPr>
            <w:r>
              <w:rPr>
                <w:spacing w:val="-2"/>
                <w:sz w:val="18"/>
              </w:rPr>
              <w:t>800,000</w:t>
            </w:r>
          </w:p>
        </w:tc>
      </w:tr>
      <w:tr>
        <w:trPr>
          <w:trHeight w:val="269" w:hRule="atLeast"/>
        </w:trPr>
        <w:tc>
          <w:tcPr>
            <w:tcW w:w="6671" w:type="dxa"/>
          </w:tcPr>
          <w:p>
            <w:pPr>
              <w:pStyle w:val="TableParagraph"/>
              <w:ind w:left="17"/>
              <w:rPr>
                <w:sz w:val="18"/>
              </w:rPr>
            </w:pPr>
            <w:r>
              <w:rPr>
                <w:sz w:val="18"/>
              </w:rPr>
              <w:t>5.25%</w:t>
            </w:r>
            <w:r>
              <w:rPr>
                <w:spacing w:val="-1"/>
                <w:sz w:val="18"/>
              </w:rPr>
              <w:t> </w:t>
            </w:r>
            <w:r>
              <w:rPr>
                <w:sz w:val="18"/>
              </w:rPr>
              <w:t>MGM</w:t>
            </w:r>
            <w:r>
              <w:rPr>
                <w:spacing w:val="-1"/>
                <w:sz w:val="18"/>
              </w:rPr>
              <w:t> </w:t>
            </w:r>
            <w:r>
              <w:rPr>
                <w:sz w:val="18"/>
              </w:rPr>
              <w:t>China</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2025</w:t>
            </w:r>
          </w:p>
        </w:tc>
        <w:tc>
          <w:tcPr>
            <w:tcW w:w="3263" w:type="dxa"/>
          </w:tcPr>
          <w:p>
            <w:pPr>
              <w:pStyle w:val="TableParagraph"/>
              <w:ind w:right="115"/>
              <w:jc w:val="right"/>
              <w:rPr>
                <w:sz w:val="18"/>
              </w:rPr>
            </w:pPr>
            <w:r>
              <w:rPr>
                <w:spacing w:val="-2"/>
                <w:sz w:val="18"/>
              </w:rPr>
              <w:t>500,000</w:t>
            </w:r>
          </w:p>
        </w:tc>
        <w:tc>
          <w:tcPr>
            <w:tcW w:w="1582" w:type="dxa"/>
          </w:tcPr>
          <w:p>
            <w:pPr>
              <w:pStyle w:val="TableParagraph"/>
              <w:ind w:right="71"/>
              <w:jc w:val="right"/>
              <w:rPr>
                <w:sz w:val="18"/>
              </w:rPr>
            </w:pPr>
            <w:r>
              <w:rPr>
                <w:spacing w:val="-2"/>
                <w:sz w:val="18"/>
              </w:rPr>
              <w:t>500,000</w:t>
            </w:r>
          </w:p>
        </w:tc>
      </w:tr>
      <w:tr>
        <w:trPr>
          <w:trHeight w:val="256" w:hRule="atLeast"/>
        </w:trPr>
        <w:tc>
          <w:tcPr>
            <w:tcW w:w="6671" w:type="dxa"/>
            <w:shd w:val="clear" w:color="auto" w:fill="CCEDFF"/>
          </w:tcPr>
          <w:p>
            <w:pPr>
              <w:pStyle w:val="TableParagraph"/>
              <w:ind w:left="17"/>
              <w:rPr>
                <w:sz w:val="18"/>
              </w:rPr>
            </w:pPr>
            <w:r>
              <w:rPr>
                <w:sz w:val="18"/>
              </w:rPr>
              <w:t>5.875%</w:t>
            </w:r>
            <w:r>
              <w:rPr>
                <w:spacing w:val="-1"/>
                <w:sz w:val="18"/>
              </w:rPr>
              <w:t> </w:t>
            </w:r>
            <w:r>
              <w:rPr>
                <w:sz w:val="18"/>
              </w:rPr>
              <w:t>MGM</w:t>
            </w:r>
            <w:r>
              <w:rPr>
                <w:spacing w:val="-1"/>
                <w:sz w:val="18"/>
              </w:rPr>
              <w:t> </w:t>
            </w:r>
            <w:r>
              <w:rPr>
                <w:sz w:val="18"/>
              </w:rPr>
              <w:t>China</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2026</w:t>
            </w:r>
          </w:p>
        </w:tc>
        <w:tc>
          <w:tcPr>
            <w:tcW w:w="3263" w:type="dxa"/>
            <w:shd w:val="clear" w:color="auto" w:fill="CCEDFF"/>
          </w:tcPr>
          <w:p>
            <w:pPr>
              <w:pStyle w:val="TableParagraph"/>
              <w:ind w:right="115"/>
              <w:jc w:val="right"/>
              <w:rPr>
                <w:sz w:val="18"/>
              </w:rPr>
            </w:pPr>
            <w:r>
              <w:rPr>
                <w:spacing w:val="-2"/>
                <w:sz w:val="18"/>
              </w:rPr>
              <w:t>750,000</w:t>
            </w:r>
          </w:p>
        </w:tc>
        <w:tc>
          <w:tcPr>
            <w:tcW w:w="1582" w:type="dxa"/>
            <w:shd w:val="clear" w:color="auto" w:fill="CCEDFF"/>
          </w:tcPr>
          <w:p>
            <w:pPr>
              <w:pStyle w:val="TableParagraph"/>
              <w:ind w:right="71"/>
              <w:jc w:val="right"/>
              <w:rPr>
                <w:sz w:val="18"/>
              </w:rPr>
            </w:pPr>
            <w:r>
              <w:rPr>
                <w:spacing w:val="-2"/>
                <w:sz w:val="18"/>
              </w:rPr>
              <w:t>750,000</w:t>
            </w:r>
          </w:p>
        </w:tc>
      </w:tr>
      <w:tr>
        <w:trPr>
          <w:trHeight w:val="256" w:hRule="atLeast"/>
        </w:trPr>
        <w:tc>
          <w:tcPr>
            <w:tcW w:w="6671" w:type="dxa"/>
          </w:tcPr>
          <w:p>
            <w:pPr>
              <w:pStyle w:val="TableParagraph"/>
              <w:ind w:left="17"/>
              <w:rPr>
                <w:sz w:val="18"/>
              </w:rPr>
            </w:pPr>
            <w:r>
              <w:rPr>
                <w:sz w:val="18"/>
              </w:rPr>
              <w:t>4.5%</w:t>
            </w:r>
            <w:r>
              <w:rPr>
                <w:spacing w:val="-1"/>
                <w:sz w:val="18"/>
              </w:rPr>
              <w:t> </w:t>
            </w:r>
            <w:r>
              <w:rPr>
                <w:sz w:val="18"/>
              </w:rPr>
              <w:t>MGP</w:t>
            </w:r>
            <w:r>
              <w:rPr>
                <w:spacing w:val="-7"/>
                <w:sz w:val="18"/>
              </w:rPr>
              <w:t> </w:t>
            </w:r>
            <w:r>
              <w:rPr>
                <w:sz w:val="18"/>
              </w:rPr>
              <w:t>OP</w:t>
            </w:r>
            <w:r>
              <w:rPr>
                <w:spacing w:val="-7"/>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2026</w:t>
            </w:r>
          </w:p>
        </w:tc>
        <w:tc>
          <w:tcPr>
            <w:tcW w:w="3263" w:type="dxa"/>
          </w:tcPr>
          <w:p>
            <w:pPr>
              <w:pStyle w:val="TableParagraph"/>
              <w:ind w:right="115"/>
              <w:jc w:val="right"/>
              <w:rPr>
                <w:sz w:val="18"/>
              </w:rPr>
            </w:pPr>
            <w:r>
              <w:rPr>
                <w:spacing w:val="-10"/>
                <w:sz w:val="18"/>
              </w:rPr>
              <w:t>—</w:t>
            </w:r>
          </w:p>
        </w:tc>
        <w:tc>
          <w:tcPr>
            <w:tcW w:w="1582" w:type="dxa"/>
          </w:tcPr>
          <w:p>
            <w:pPr>
              <w:pStyle w:val="TableParagraph"/>
              <w:ind w:right="71"/>
              <w:jc w:val="right"/>
              <w:rPr>
                <w:sz w:val="18"/>
              </w:rPr>
            </w:pPr>
            <w:r>
              <w:rPr>
                <w:spacing w:val="-2"/>
                <w:sz w:val="18"/>
              </w:rPr>
              <w:t>500,000</w:t>
            </w:r>
          </w:p>
        </w:tc>
      </w:tr>
      <w:tr>
        <w:trPr>
          <w:trHeight w:val="256" w:hRule="atLeast"/>
        </w:trPr>
        <w:tc>
          <w:tcPr>
            <w:tcW w:w="6671" w:type="dxa"/>
            <w:shd w:val="clear" w:color="auto" w:fill="CCEDFF"/>
          </w:tcPr>
          <w:p>
            <w:pPr>
              <w:pStyle w:val="TableParagraph"/>
              <w:ind w:left="17"/>
              <w:rPr>
                <w:sz w:val="18"/>
              </w:rPr>
            </w:pPr>
            <w:r>
              <w:rPr>
                <w:sz w:val="18"/>
              </w:rPr>
              <w:t>4.625%</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2026</w:t>
            </w:r>
          </w:p>
        </w:tc>
        <w:tc>
          <w:tcPr>
            <w:tcW w:w="3263" w:type="dxa"/>
            <w:shd w:val="clear" w:color="auto" w:fill="CCEDFF"/>
          </w:tcPr>
          <w:p>
            <w:pPr>
              <w:pStyle w:val="TableParagraph"/>
              <w:ind w:right="115"/>
              <w:jc w:val="right"/>
              <w:rPr>
                <w:sz w:val="18"/>
              </w:rPr>
            </w:pPr>
            <w:r>
              <w:rPr>
                <w:spacing w:val="-2"/>
                <w:sz w:val="18"/>
              </w:rPr>
              <w:t>400,000</w:t>
            </w:r>
          </w:p>
        </w:tc>
        <w:tc>
          <w:tcPr>
            <w:tcW w:w="1582" w:type="dxa"/>
            <w:shd w:val="clear" w:color="auto" w:fill="CCEDFF"/>
          </w:tcPr>
          <w:p>
            <w:pPr>
              <w:pStyle w:val="TableParagraph"/>
              <w:ind w:right="71"/>
              <w:jc w:val="right"/>
              <w:rPr>
                <w:sz w:val="18"/>
              </w:rPr>
            </w:pPr>
            <w:r>
              <w:rPr>
                <w:spacing w:val="-2"/>
                <w:sz w:val="18"/>
              </w:rPr>
              <w:t>400,000</w:t>
            </w:r>
          </w:p>
        </w:tc>
      </w:tr>
      <w:tr>
        <w:trPr>
          <w:trHeight w:val="256" w:hRule="atLeast"/>
        </w:trPr>
        <w:tc>
          <w:tcPr>
            <w:tcW w:w="6671" w:type="dxa"/>
          </w:tcPr>
          <w:p>
            <w:pPr>
              <w:pStyle w:val="TableParagraph"/>
              <w:ind w:left="17"/>
              <w:rPr>
                <w:sz w:val="18"/>
              </w:rPr>
            </w:pPr>
            <w:r>
              <w:rPr>
                <w:sz w:val="18"/>
              </w:rPr>
              <w:t>5.75%</w:t>
            </w:r>
            <w:r>
              <w:rPr>
                <w:spacing w:val="-1"/>
                <w:sz w:val="18"/>
              </w:rPr>
              <w:t> </w:t>
            </w:r>
            <w:r>
              <w:rPr>
                <w:sz w:val="18"/>
              </w:rPr>
              <w:t>MGP</w:t>
            </w:r>
            <w:r>
              <w:rPr>
                <w:spacing w:val="-7"/>
                <w:sz w:val="18"/>
              </w:rPr>
              <w:t> </w:t>
            </w:r>
            <w:r>
              <w:rPr>
                <w:sz w:val="18"/>
              </w:rPr>
              <w:t>OP</w:t>
            </w:r>
            <w:r>
              <w:rPr>
                <w:spacing w:val="-7"/>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2027</w:t>
            </w:r>
          </w:p>
        </w:tc>
        <w:tc>
          <w:tcPr>
            <w:tcW w:w="3263" w:type="dxa"/>
          </w:tcPr>
          <w:p>
            <w:pPr>
              <w:pStyle w:val="TableParagraph"/>
              <w:ind w:right="115"/>
              <w:jc w:val="right"/>
              <w:rPr>
                <w:sz w:val="18"/>
              </w:rPr>
            </w:pPr>
            <w:r>
              <w:rPr>
                <w:spacing w:val="-10"/>
                <w:sz w:val="18"/>
              </w:rPr>
              <w:t>—</w:t>
            </w:r>
          </w:p>
        </w:tc>
        <w:tc>
          <w:tcPr>
            <w:tcW w:w="1582" w:type="dxa"/>
          </w:tcPr>
          <w:p>
            <w:pPr>
              <w:pStyle w:val="TableParagraph"/>
              <w:ind w:right="71"/>
              <w:jc w:val="right"/>
              <w:rPr>
                <w:sz w:val="18"/>
              </w:rPr>
            </w:pPr>
            <w:r>
              <w:rPr>
                <w:spacing w:val="-2"/>
                <w:sz w:val="18"/>
              </w:rPr>
              <w:t>750,000</w:t>
            </w:r>
          </w:p>
        </w:tc>
      </w:tr>
      <w:tr>
        <w:trPr>
          <w:trHeight w:val="269" w:hRule="atLeast"/>
        </w:trPr>
        <w:tc>
          <w:tcPr>
            <w:tcW w:w="6671" w:type="dxa"/>
            <w:shd w:val="clear" w:color="auto" w:fill="CCEDFF"/>
          </w:tcPr>
          <w:p>
            <w:pPr>
              <w:pStyle w:val="TableParagraph"/>
              <w:ind w:left="17"/>
              <w:rPr>
                <w:sz w:val="18"/>
              </w:rPr>
            </w:pPr>
            <w:r>
              <w:rPr>
                <w:sz w:val="18"/>
              </w:rPr>
              <w:t>5.5%</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2027</w:t>
            </w:r>
          </w:p>
        </w:tc>
        <w:tc>
          <w:tcPr>
            <w:tcW w:w="3263" w:type="dxa"/>
            <w:shd w:val="clear" w:color="auto" w:fill="CCEDFF"/>
          </w:tcPr>
          <w:p>
            <w:pPr>
              <w:pStyle w:val="TableParagraph"/>
              <w:ind w:right="115"/>
              <w:jc w:val="right"/>
              <w:rPr>
                <w:sz w:val="18"/>
              </w:rPr>
            </w:pPr>
            <w:r>
              <w:rPr>
                <w:spacing w:val="-2"/>
                <w:sz w:val="18"/>
              </w:rPr>
              <w:t>675,000</w:t>
            </w:r>
          </w:p>
        </w:tc>
        <w:tc>
          <w:tcPr>
            <w:tcW w:w="1582" w:type="dxa"/>
            <w:shd w:val="clear" w:color="auto" w:fill="CCEDFF"/>
          </w:tcPr>
          <w:p>
            <w:pPr>
              <w:pStyle w:val="TableParagraph"/>
              <w:ind w:right="71"/>
              <w:jc w:val="right"/>
              <w:rPr>
                <w:sz w:val="18"/>
              </w:rPr>
            </w:pPr>
            <w:r>
              <w:rPr>
                <w:spacing w:val="-2"/>
                <w:sz w:val="18"/>
              </w:rPr>
              <w:t>675,000</w:t>
            </w:r>
          </w:p>
        </w:tc>
      </w:tr>
      <w:tr>
        <w:trPr>
          <w:trHeight w:val="256" w:hRule="atLeast"/>
        </w:trPr>
        <w:tc>
          <w:tcPr>
            <w:tcW w:w="6671" w:type="dxa"/>
          </w:tcPr>
          <w:p>
            <w:pPr>
              <w:pStyle w:val="TableParagraph"/>
              <w:ind w:left="17"/>
              <w:rPr>
                <w:sz w:val="18"/>
              </w:rPr>
            </w:pPr>
            <w:r>
              <w:rPr>
                <w:sz w:val="18"/>
              </w:rPr>
              <w:t>4.75%</w:t>
            </w:r>
            <w:r>
              <w:rPr>
                <w:spacing w:val="-1"/>
                <w:sz w:val="18"/>
              </w:rPr>
              <w:t> </w:t>
            </w:r>
            <w:r>
              <w:rPr>
                <w:sz w:val="18"/>
              </w:rPr>
              <w:t>MGM</w:t>
            </w:r>
            <w:r>
              <w:rPr>
                <w:spacing w:val="-1"/>
                <w:sz w:val="18"/>
              </w:rPr>
              <w:t> </w:t>
            </w:r>
            <w:r>
              <w:rPr>
                <w:sz w:val="18"/>
              </w:rPr>
              <w:t>China</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2027</w:t>
            </w:r>
          </w:p>
        </w:tc>
        <w:tc>
          <w:tcPr>
            <w:tcW w:w="3263" w:type="dxa"/>
          </w:tcPr>
          <w:p>
            <w:pPr>
              <w:pStyle w:val="TableParagraph"/>
              <w:ind w:right="115"/>
              <w:jc w:val="right"/>
              <w:rPr>
                <w:sz w:val="18"/>
              </w:rPr>
            </w:pPr>
            <w:r>
              <w:rPr>
                <w:spacing w:val="-2"/>
                <w:sz w:val="18"/>
              </w:rPr>
              <w:t>750,000</w:t>
            </w:r>
          </w:p>
        </w:tc>
        <w:tc>
          <w:tcPr>
            <w:tcW w:w="1582" w:type="dxa"/>
          </w:tcPr>
          <w:p>
            <w:pPr>
              <w:pStyle w:val="TableParagraph"/>
              <w:ind w:right="71"/>
              <w:jc w:val="right"/>
              <w:rPr>
                <w:sz w:val="18"/>
              </w:rPr>
            </w:pPr>
            <w:r>
              <w:rPr>
                <w:spacing w:val="-2"/>
                <w:sz w:val="18"/>
              </w:rPr>
              <w:t>750,000</w:t>
            </w:r>
          </w:p>
        </w:tc>
      </w:tr>
      <w:tr>
        <w:trPr>
          <w:trHeight w:val="256" w:hRule="atLeast"/>
        </w:trPr>
        <w:tc>
          <w:tcPr>
            <w:tcW w:w="6671" w:type="dxa"/>
            <w:shd w:val="clear" w:color="auto" w:fill="CCEDFF"/>
          </w:tcPr>
          <w:p>
            <w:pPr>
              <w:pStyle w:val="TableParagraph"/>
              <w:ind w:left="17"/>
              <w:rPr>
                <w:sz w:val="18"/>
              </w:rPr>
            </w:pPr>
            <w:r>
              <w:rPr>
                <w:sz w:val="18"/>
              </w:rPr>
              <w:t>4.5%</w:t>
            </w:r>
            <w:r>
              <w:rPr>
                <w:spacing w:val="-1"/>
                <w:sz w:val="18"/>
              </w:rPr>
              <w:t> </w:t>
            </w:r>
            <w:r>
              <w:rPr>
                <w:sz w:val="18"/>
              </w:rPr>
              <w:t>MGP</w:t>
            </w:r>
            <w:r>
              <w:rPr>
                <w:spacing w:val="-7"/>
                <w:sz w:val="18"/>
              </w:rPr>
              <w:t> </w:t>
            </w:r>
            <w:r>
              <w:rPr>
                <w:sz w:val="18"/>
              </w:rPr>
              <w:t>OP</w:t>
            </w:r>
            <w:r>
              <w:rPr>
                <w:spacing w:val="-7"/>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2028</w:t>
            </w:r>
          </w:p>
        </w:tc>
        <w:tc>
          <w:tcPr>
            <w:tcW w:w="3263" w:type="dxa"/>
            <w:shd w:val="clear" w:color="auto" w:fill="CCEDFF"/>
          </w:tcPr>
          <w:p>
            <w:pPr>
              <w:pStyle w:val="TableParagraph"/>
              <w:ind w:right="115"/>
              <w:jc w:val="right"/>
              <w:rPr>
                <w:sz w:val="18"/>
              </w:rPr>
            </w:pPr>
            <w:r>
              <w:rPr>
                <w:spacing w:val="-10"/>
                <w:sz w:val="18"/>
              </w:rPr>
              <w:t>—</w:t>
            </w:r>
          </w:p>
        </w:tc>
        <w:tc>
          <w:tcPr>
            <w:tcW w:w="1582" w:type="dxa"/>
            <w:shd w:val="clear" w:color="auto" w:fill="CCEDFF"/>
          </w:tcPr>
          <w:p>
            <w:pPr>
              <w:pStyle w:val="TableParagraph"/>
              <w:ind w:right="71"/>
              <w:jc w:val="right"/>
              <w:rPr>
                <w:sz w:val="18"/>
              </w:rPr>
            </w:pPr>
            <w:r>
              <w:rPr>
                <w:spacing w:val="-2"/>
                <w:sz w:val="18"/>
              </w:rPr>
              <w:t>350,000</w:t>
            </w:r>
          </w:p>
        </w:tc>
      </w:tr>
      <w:tr>
        <w:trPr>
          <w:trHeight w:val="256" w:hRule="atLeast"/>
        </w:trPr>
        <w:tc>
          <w:tcPr>
            <w:tcW w:w="6671" w:type="dxa"/>
          </w:tcPr>
          <w:p>
            <w:pPr>
              <w:pStyle w:val="TableParagraph"/>
              <w:ind w:left="17"/>
              <w:rPr>
                <w:sz w:val="18"/>
              </w:rPr>
            </w:pPr>
            <w:r>
              <w:rPr>
                <w:sz w:val="18"/>
              </w:rPr>
              <w:t>4.75%</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2028</w:t>
            </w:r>
          </w:p>
        </w:tc>
        <w:tc>
          <w:tcPr>
            <w:tcW w:w="3263" w:type="dxa"/>
          </w:tcPr>
          <w:p>
            <w:pPr>
              <w:pStyle w:val="TableParagraph"/>
              <w:ind w:right="115"/>
              <w:jc w:val="right"/>
              <w:rPr>
                <w:sz w:val="18"/>
              </w:rPr>
            </w:pPr>
            <w:r>
              <w:rPr>
                <w:spacing w:val="-2"/>
                <w:sz w:val="18"/>
              </w:rPr>
              <w:t>750,000</w:t>
            </w:r>
          </w:p>
        </w:tc>
        <w:tc>
          <w:tcPr>
            <w:tcW w:w="1582" w:type="dxa"/>
          </w:tcPr>
          <w:p>
            <w:pPr>
              <w:pStyle w:val="TableParagraph"/>
              <w:ind w:right="71"/>
              <w:jc w:val="right"/>
              <w:rPr>
                <w:sz w:val="18"/>
              </w:rPr>
            </w:pPr>
            <w:r>
              <w:rPr>
                <w:spacing w:val="-2"/>
                <w:sz w:val="18"/>
              </w:rPr>
              <w:t>750,000</w:t>
            </w:r>
          </w:p>
        </w:tc>
      </w:tr>
      <w:tr>
        <w:trPr>
          <w:trHeight w:val="256" w:hRule="atLeast"/>
        </w:trPr>
        <w:tc>
          <w:tcPr>
            <w:tcW w:w="6671" w:type="dxa"/>
            <w:shd w:val="clear" w:color="auto" w:fill="CCEDFF"/>
          </w:tcPr>
          <w:p>
            <w:pPr>
              <w:pStyle w:val="TableParagraph"/>
              <w:ind w:left="17"/>
              <w:rPr>
                <w:sz w:val="18"/>
              </w:rPr>
            </w:pPr>
            <w:r>
              <w:rPr>
                <w:sz w:val="18"/>
              </w:rPr>
              <w:t>3.875%</w:t>
            </w:r>
            <w:r>
              <w:rPr>
                <w:spacing w:val="-1"/>
                <w:sz w:val="18"/>
              </w:rPr>
              <w:t> </w:t>
            </w:r>
            <w:r>
              <w:rPr>
                <w:sz w:val="18"/>
              </w:rPr>
              <w:t>MGP</w:t>
            </w:r>
            <w:r>
              <w:rPr>
                <w:spacing w:val="-7"/>
                <w:sz w:val="18"/>
              </w:rPr>
              <w:t> </w:t>
            </w:r>
            <w:r>
              <w:rPr>
                <w:sz w:val="18"/>
              </w:rPr>
              <w:t>OP</w:t>
            </w:r>
            <w:r>
              <w:rPr>
                <w:spacing w:val="-7"/>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pacing w:val="-4"/>
                <w:sz w:val="18"/>
              </w:rPr>
              <w:t>2029</w:t>
            </w:r>
          </w:p>
        </w:tc>
        <w:tc>
          <w:tcPr>
            <w:tcW w:w="3263" w:type="dxa"/>
            <w:shd w:val="clear" w:color="auto" w:fill="CCEDFF"/>
          </w:tcPr>
          <w:p>
            <w:pPr>
              <w:pStyle w:val="TableParagraph"/>
              <w:ind w:right="115"/>
              <w:jc w:val="right"/>
              <w:rPr>
                <w:sz w:val="18"/>
              </w:rPr>
            </w:pPr>
            <w:r>
              <w:rPr>
                <w:spacing w:val="-10"/>
                <w:sz w:val="18"/>
              </w:rPr>
              <w:t>—</w:t>
            </w:r>
          </w:p>
        </w:tc>
        <w:tc>
          <w:tcPr>
            <w:tcW w:w="1582" w:type="dxa"/>
            <w:shd w:val="clear" w:color="auto" w:fill="CCEDFF"/>
          </w:tcPr>
          <w:p>
            <w:pPr>
              <w:pStyle w:val="TableParagraph"/>
              <w:ind w:right="71"/>
              <w:jc w:val="right"/>
              <w:rPr>
                <w:sz w:val="18"/>
              </w:rPr>
            </w:pPr>
            <w:r>
              <w:rPr>
                <w:spacing w:val="-2"/>
                <w:sz w:val="18"/>
              </w:rPr>
              <w:t>750,000</w:t>
            </w:r>
          </w:p>
        </w:tc>
      </w:tr>
      <w:tr>
        <w:trPr>
          <w:trHeight w:val="269" w:hRule="atLeast"/>
        </w:trPr>
        <w:tc>
          <w:tcPr>
            <w:tcW w:w="6671" w:type="dxa"/>
          </w:tcPr>
          <w:p>
            <w:pPr>
              <w:pStyle w:val="TableParagraph"/>
              <w:spacing w:before="34"/>
              <w:ind w:left="17"/>
              <w:rPr>
                <w:sz w:val="18"/>
              </w:rPr>
            </w:pPr>
            <w:r>
              <w:rPr>
                <w:sz w:val="18"/>
              </w:rPr>
              <w:t>7%</w:t>
            </w:r>
            <w:r>
              <w:rPr>
                <w:spacing w:val="-1"/>
                <w:sz w:val="18"/>
              </w:rPr>
              <w:t> </w:t>
            </w:r>
            <w:r>
              <w:rPr>
                <w:sz w:val="18"/>
              </w:rPr>
              <w:t>debentures,</w:t>
            </w:r>
            <w:r>
              <w:rPr>
                <w:spacing w:val="-1"/>
                <w:sz w:val="18"/>
              </w:rPr>
              <w:t> </w:t>
            </w:r>
            <w:r>
              <w:rPr>
                <w:sz w:val="18"/>
              </w:rPr>
              <w:t>due</w:t>
            </w:r>
            <w:r>
              <w:rPr>
                <w:spacing w:val="-1"/>
                <w:sz w:val="18"/>
              </w:rPr>
              <w:t> </w:t>
            </w:r>
            <w:r>
              <w:rPr>
                <w:spacing w:val="-4"/>
                <w:sz w:val="18"/>
              </w:rPr>
              <w:t>2036</w:t>
            </w:r>
          </w:p>
        </w:tc>
        <w:tc>
          <w:tcPr>
            <w:tcW w:w="3263" w:type="dxa"/>
            <w:tcBorders>
              <w:bottom w:val="single" w:sz="6" w:space="0" w:color="000000"/>
            </w:tcBorders>
          </w:tcPr>
          <w:p>
            <w:pPr>
              <w:pStyle w:val="TableParagraph"/>
              <w:ind w:right="115"/>
              <w:jc w:val="right"/>
              <w:rPr>
                <w:sz w:val="18"/>
              </w:rPr>
            </w:pPr>
            <w:r>
              <w:rPr>
                <w:spacing w:val="-5"/>
                <w:sz w:val="18"/>
              </w:rPr>
              <w:t>552</w:t>
            </w:r>
          </w:p>
        </w:tc>
        <w:tc>
          <w:tcPr>
            <w:tcW w:w="1582" w:type="dxa"/>
            <w:tcBorders>
              <w:bottom w:val="single" w:sz="6" w:space="0" w:color="000000"/>
            </w:tcBorders>
          </w:tcPr>
          <w:p>
            <w:pPr>
              <w:pStyle w:val="TableParagraph"/>
              <w:ind w:right="71"/>
              <w:jc w:val="right"/>
              <w:rPr>
                <w:sz w:val="18"/>
              </w:rPr>
            </w:pPr>
            <w:r>
              <w:rPr>
                <w:spacing w:val="-5"/>
                <w:sz w:val="18"/>
              </w:rPr>
              <w:t>552</w:t>
            </w:r>
          </w:p>
        </w:tc>
      </w:tr>
      <w:tr>
        <w:trPr>
          <w:trHeight w:val="255" w:hRule="atLeast"/>
        </w:trPr>
        <w:tc>
          <w:tcPr>
            <w:tcW w:w="6671" w:type="dxa"/>
            <w:shd w:val="clear" w:color="auto" w:fill="CCEDFF"/>
          </w:tcPr>
          <w:p>
            <w:pPr>
              <w:pStyle w:val="TableParagraph"/>
              <w:spacing w:before="0"/>
              <w:rPr>
                <w:sz w:val="16"/>
              </w:rPr>
            </w:pPr>
          </w:p>
        </w:tc>
        <w:tc>
          <w:tcPr>
            <w:tcW w:w="3263" w:type="dxa"/>
            <w:tcBorders>
              <w:top w:val="single" w:sz="6" w:space="0" w:color="000000"/>
            </w:tcBorders>
            <w:shd w:val="clear" w:color="auto" w:fill="CCEDFF"/>
          </w:tcPr>
          <w:p>
            <w:pPr>
              <w:pStyle w:val="TableParagraph"/>
              <w:spacing w:before="20"/>
              <w:ind w:right="115"/>
              <w:jc w:val="right"/>
              <w:rPr>
                <w:sz w:val="18"/>
              </w:rPr>
            </w:pPr>
            <w:r>
              <w:rPr>
                <w:spacing w:val="-2"/>
                <w:sz w:val="18"/>
              </w:rPr>
              <w:t>8,761,189</w:t>
            </w:r>
          </w:p>
        </w:tc>
        <w:tc>
          <w:tcPr>
            <w:tcW w:w="1582" w:type="dxa"/>
            <w:tcBorders>
              <w:top w:val="single" w:sz="6" w:space="0" w:color="000000"/>
            </w:tcBorders>
            <w:shd w:val="clear" w:color="auto" w:fill="CCEDFF"/>
          </w:tcPr>
          <w:p>
            <w:pPr>
              <w:pStyle w:val="TableParagraph"/>
              <w:spacing w:before="20"/>
              <w:ind w:right="71"/>
              <w:jc w:val="right"/>
              <w:rPr>
                <w:sz w:val="18"/>
              </w:rPr>
            </w:pPr>
            <w:r>
              <w:rPr>
                <w:spacing w:val="-2"/>
                <w:sz w:val="18"/>
              </w:rPr>
              <w:t>12,860,966</w:t>
            </w:r>
          </w:p>
        </w:tc>
      </w:tr>
      <w:tr>
        <w:trPr>
          <w:trHeight w:val="255" w:hRule="atLeast"/>
        </w:trPr>
        <w:tc>
          <w:tcPr>
            <w:tcW w:w="6671" w:type="dxa"/>
          </w:tcPr>
          <w:p>
            <w:pPr>
              <w:pStyle w:val="TableParagraph"/>
              <w:ind w:left="17"/>
              <w:rPr>
                <w:sz w:val="18"/>
              </w:rPr>
            </w:pPr>
            <w:r>
              <w:rPr>
                <w:sz w:val="18"/>
              </w:rPr>
              <w:t>Less:</w:t>
            </w:r>
            <w:r>
              <w:rPr>
                <w:spacing w:val="-1"/>
                <w:sz w:val="18"/>
              </w:rPr>
              <w:t> </w:t>
            </w:r>
            <w:r>
              <w:rPr>
                <w:sz w:val="18"/>
              </w:rPr>
              <w:t>Premiums,</w:t>
            </w:r>
            <w:r>
              <w:rPr>
                <w:spacing w:val="-1"/>
                <w:sz w:val="18"/>
              </w:rPr>
              <w:t> </w:t>
            </w:r>
            <w:r>
              <w:rPr>
                <w:sz w:val="18"/>
              </w:rPr>
              <w:t>discounts,</w:t>
            </w:r>
            <w:r>
              <w:rPr>
                <w:spacing w:val="-1"/>
                <w:sz w:val="18"/>
              </w:rPr>
              <w:t> </w:t>
            </w:r>
            <w:r>
              <w:rPr>
                <w:sz w:val="18"/>
              </w:rPr>
              <w:t>and</w:t>
            </w:r>
            <w:r>
              <w:rPr>
                <w:spacing w:val="-1"/>
                <w:sz w:val="18"/>
              </w:rPr>
              <w:t> </w:t>
            </w:r>
            <w:r>
              <w:rPr>
                <w:sz w:val="18"/>
              </w:rPr>
              <w:t>unamortized</w:t>
            </w:r>
            <w:r>
              <w:rPr>
                <w:spacing w:val="-1"/>
                <w:sz w:val="18"/>
              </w:rPr>
              <w:t> </w:t>
            </w:r>
            <w:r>
              <w:rPr>
                <w:sz w:val="18"/>
              </w:rPr>
              <w:t>debt</w:t>
            </w:r>
            <w:r>
              <w:rPr>
                <w:spacing w:val="-1"/>
                <w:sz w:val="18"/>
              </w:rPr>
              <w:t> </w:t>
            </w:r>
            <w:r>
              <w:rPr>
                <w:sz w:val="18"/>
              </w:rPr>
              <w:t>issuance</w:t>
            </w:r>
            <w:r>
              <w:rPr>
                <w:spacing w:val="-1"/>
                <w:sz w:val="18"/>
              </w:rPr>
              <w:t> </w:t>
            </w:r>
            <w:r>
              <w:rPr>
                <w:sz w:val="18"/>
              </w:rPr>
              <w:t>costs,</w:t>
            </w:r>
            <w:r>
              <w:rPr>
                <w:spacing w:val="-1"/>
                <w:sz w:val="18"/>
              </w:rPr>
              <w:t> </w:t>
            </w:r>
            <w:r>
              <w:rPr>
                <w:spacing w:val="-5"/>
                <w:sz w:val="18"/>
              </w:rPr>
              <w:t>net</w:t>
            </w:r>
          </w:p>
        </w:tc>
        <w:tc>
          <w:tcPr>
            <w:tcW w:w="3263" w:type="dxa"/>
            <w:tcBorders>
              <w:bottom w:val="single" w:sz="6" w:space="0" w:color="000000"/>
            </w:tcBorders>
          </w:tcPr>
          <w:p>
            <w:pPr>
              <w:pStyle w:val="TableParagraph"/>
              <w:ind w:right="70"/>
              <w:jc w:val="right"/>
              <w:rPr>
                <w:sz w:val="18"/>
              </w:rPr>
            </w:pPr>
            <w:r>
              <w:rPr>
                <w:spacing w:val="-2"/>
                <w:sz w:val="18"/>
              </w:rPr>
              <w:t>(41,899)</w:t>
            </w:r>
          </w:p>
        </w:tc>
        <w:tc>
          <w:tcPr>
            <w:tcW w:w="1582" w:type="dxa"/>
            <w:tcBorders>
              <w:bottom w:val="single" w:sz="6" w:space="0" w:color="000000"/>
            </w:tcBorders>
          </w:tcPr>
          <w:p>
            <w:pPr>
              <w:pStyle w:val="TableParagraph"/>
              <w:ind w:right="26"/>
              <w:jc w:val="right"/>
              <w:rPr>
                <w:sz w:val="18"/>
              </w:rPr>
            </w:pPr>
            <w:r>
              <w:rPr>
                <w:spacing w:val="-2"/>
                <w:sz w:val="18"/>
              </w:rPr>
              <w:t>(90,169)</w:t>
            </w:r>
          </w:p>
        </w:tc>
      </w:tr>
      <w:tr>
        <w:trPr>
          <w:trHeight w:val="255" w:hRule="atLeast"/>
        </w:trPr>
        <w:tc>
          <w:tcPr>
            <w:tcW w:w="6671" w:type="dxa"/>
            <w:shd w:val="clear" w:color="auto" w:fill="CCEDFF"/>
          </w:tcPr>
          <w:p>
            <w:pPr>
              <w:pStyle w:val="TableParagraph"/>
              <w:spacing w:before="0"/>
              <w:rPr>
                <w:sz w:val="16"/>
              </w:rPr>
            </w:pPr>
          </w:p>
        </w:tc>
        <w:tc>
          <w:tcPr>
            <w:tcW w:w="3263" w:type="dxa"/>
            <w:tcBorders>
              <w:top w:val="single" w:sz="6" w:space="0" w:color="000000"/>
            </w:tcBorders>
            <w:shd w:val="clear" w:color="auto" w:fill="CCEDFF"/>
          </w:tcPr>
          <w:p>
            <w:pPr>
              <w:pStyle w:val="TableParagraph"/>
              <w:spacing w:before="20"/>
              <w:ind w:right="115"/>
              <w:jc w:val="right"/>
              <w:rPr>
                <w:sz w:val="18"/>
              </w:rPr>
            </w:pPr>
            <w:r>
              <w:rPr>
                <w:spacing w:val="-2"/>
                <w:sz w:val="18"/>
              </w:rPr>
              <w:t>8,719,290</w:t>
            </w:r>
          </w:p>
        </w:tc>
        <w:tc>
          <w:tcPr>
            <w:tcW w:w="1582" w:type="dxa"/>
            <w:tcBorders>
              <w:top w:val="single" w:sz="6" w:space="0" w:color="000000"/>
            </w:tcBorders>
            <w:shd w:val="clear" w:color="auto" w:fill="CCEDFF"/>
          </w:tcPr>
          <w:p>
            <w:pPr>
              <w:pStyle w:val="TableParagraph"/>
              <w:spacing w:before="20"/>
              <w:ind w:right="71"/>
              <w:jc w:val="right"/>
              <w:rPr>
                <w:sz w:val="18"/>
              </w:rPr>
            </w:pPr>
            <w:r>
              <w:rPr>
                <w:spacing w:val="-2"/>
                <w:sz w:val="18"/>
              </w:rPr>
              <w:t>12,770,797</w:t>
            </w:r>
          </w:p>
        </w:tc>
      </w:tr>
      <w:tr>
        <w:trPr>
          <w:trHeight w:val="255" w:hRule="atLeast"/>
        </w:trPr>
        <w:tc>
          <w:tcPr>
            <w:tcW w:w="6671" w:type="dxa"/>
          </w:tcPr>
          <w:p>
            <w:pPr>
              <w:pStyle w:val="TableParagraph"/>
              <w:ind w:left="17"/>
              <w:rPr>
                <w:sz w:val="18"/>
              </w:rPr>
            </w:pPr>
            <w:r>
              <w:rPr>
                <w:sz w:val="18"/>
              </w:rPr>
              <w:t>Less:</w:t>
            </w:r>
            <w:r>
              <w:rPr>
                <w:spacing w:val="-1"/>
                <w:sz w:val="18"/>
              </w:rPr>
              <w:t> </w:t>
            </w:r>
            <w:r>
              <w:rPr>
                <w:sz w:val="18"/>
              </w:rPr>
              <w:t>Current</w:t>
            </w:r>
            <w:r>
              <w:rPr>
                <w:spacing w:val="-1"/>
                <w:sz w:val="18"/>
              </w:rPr>
              <w:t> </w:t>
            </w:r>
            <w:r>
              <w:rPr>
                <w:spacing w:val="-2"/>
                <w:sz w:val="18"/>
              </w:rPr>
              <w:t>portion</w:t>
            </w:r>
          </w:p>
        </w:tc>
        <w:tc>
          <w:tcPr>
            <w:tcW w:w="3263" w:type="dxa"/>
            <w:tcBorders>
              <w:bottom w:val="single" w:sz="6" w:space="0" w:color="000000"/>
            </w:tcBorders>
          </w:tcPr>
          <w:p>
            <w:pPr>
              <w:pStyle w:val="TableParagraph"/>
              <w:ind w:right="70"/>
              <w:jc w:val="right"/>
              <w:rPr>
                <w:sz w:val="18"/>
              </w:rPr>
            </w:pPr>
            <w:r>
              <w:rPr>
                <w:spacing w:val="-2"/>
                <w:sz w:val="18"/>
              </w:rPr>
              <w:t>(1,286,473)</w:t>
            </w:r>
          </w:p>
        </w:tc>
        <w:tc>
          <w:tcPr>
            <w:tcW w:w="1582" w:type="dxa"/>
            <w:tcBorders>
              <w:bottom w:val="single" w:sz="6" w:space="0" w:color="000000"/>
            </w:tcBorders>
          </w:tcPr>
          <w:p>
            <w:pPr>
              <w:pStyle w:val="TableParagraph"/>
              <w:ind w:right="26"/>
              <w:jc w:val="right"/>
              <w:rPr>
                <w:sz w:val="18"/>
              </w:rPr>
            </w:pPr>
            <w:r>
              <w:rPr>
                <w:spacing w:val="-2"/>
                <w:sz w:val="18"/>
              </w:rPr>
              <w:t>(1,000,000)</w:t>
            </w:r>
          </w:p>
        </w:tc>
      </w:tr>
      <w:tr>
        <w:trPr>
          <w:trHeight w:val="260" w:hRule="atLeast"/>
        </w:trPr>
        <w:tc>
          <w:tcPr>
            <w:tcW w:w="6671" w:type="dxa"/>
            <w:shd w:val="clear" w:color="auto" w:fill="CCEDFF"/>
          </w:tcPr>
          <w:p>
            <w:pPr>
              <w:pStyle w:val="TableParagraph"/>
              <w:spacing w:before="0"/>
              <w:rPr>
                <w:sz w:val="16"/>
              </w:rPr>
            </w:pPr>
          </w:p>
        </w:tc>
        <w:tc>
          <w:tcPr>
            <w:tcW w:w="3263" w:type="dxa"/>
            <w:tcBorders>
              <w:top w:val="single" w:sz="6" w:space="0" w:color="000000"/>
            </w:tcBorders>
            <w:shd w:val="clear" w:color="auto" w:fill="CCEDFF"/>
          </w:tcPr>
          <w:p>
            <w:pPr>
              <w:pStyle w:val="TableParagraph"/>
              <w:tabs>
                <w:tab w:pos="714" w:val="left" w:leader="none"/>
              </w:tabs>
              <w:spacing w:before="20"/>
              <w:ind w:right="115"/>
              <w:jc w:val="right"/>
              <w:rPr>
                <w:sz w:val="18"/>
              </w:rPr>
            </w:pPr>
            <w:r>
              <w:rPr/>
              <mc:AlternateContent>
                <mc:Choice Requires="wps">
                  <w:drawing>
                    <wp:anchor distT="0" distB="0" distL="0" distR="0" allowOverlap="1" layoutInCell="1" locked="0" behindDoc="1" simplePos="0" relativeHeight="477732864">
                      <wp:simplePos x="0" y="0"/>
                      <wp:positionH relativeFrom="column">
                        <wp:posOffset>1078804</wp:posOffset>
                      </wp:positionH>
                      <wp:positionV relativeFrom="paragraph">
                        <wp:posOffset>162298</wp:posOffset>
                      </wp:positionV>
                      <wp:extent cx="960119" cy="34290"/>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960119" cy="34290"/>
                                <a:chExt cx="960119" cy="34290"/>
                              </a:xfrm>
                            </wpg:grpSpPr>
                            <wps:wsp>
                              <wps:cNvPr id="517" name="Graphic 517"/>
                              <wps:cNvSpPr/>
                              <wps:spPr>
                                <a:xfrm>
                                  <a:off x="-12" y="-9"/>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4.945259pt;margin-top:12.779406pt;width:75.6pt;height:2.7pt;mso-position-horizontal-relative:column;mso-position-vertical-relative:paragraph;z-index:-25583616" id="docshapegroup514" coordorigin="1699,256" coordsize="1512,54">
                      <v:shape style="position:absolute;left:1698;top:255;width:1512;height:54" id="docshape515" coordorigin="1699,256" coordsize="1512,54" path="m3211,296l3184,296,1807,296,1699,296,1699,310,1807,310,3184,310,3211,310,3211,296xm3211,256l3184,256,1807,256,1699,256,1699,269,1807,269,3184,269,3211,269,3211,256xe" filled="true" fillcolor="#000000" stroked="false">
                        <v:path arrowok="t"/>
                        <v:fill type="solid"/>
                      </v:shape>
                      <w10:wrap type="none"/>
                    </v:group>
                  </w:pict>
                </mc:Fallback>
              </mc:AlternateContent>
            </w:r>
            <w:r>
              <w:rPr>
                <w:spacing w:val="-10"/>
                <w:sz w:val="18"/>
              </w:rPr>
              <w:t>$</w:t>
            </w:r>
            <w:r>
              <w:rPr>
                <w:sz w:val="18"/>
              </w:rPr>
              <w:tab/>
            </w:r>
            <w:r>
              <w:rPr>
                <w:spacing w:val="-2"/>
                <w:sz w:val="18"/>
              </w:rPr>
              <w:t>7,432,817</w:t>
            </w:r>
          </w:p>
        </w:tc>
        <w:tc>
          <w:tcPr>
            <w:tcW w:w="1582" w:type="dxa"/>
            <w:tcBorders>
              <w:top w:val="single" w:sz="6" w:space="0" w:color="000000"/>
              <w:bottom w:val="double" w:sz="6" w:space="0" w:color="000000"/>
            </w:tcBorders>
            <w:shd w:val="clear" w:color="auto" w:fill="CCEDFF"/>
          </w:tcPr>
          <w:p>
            <w:pPr>
              <w:pStyle w:val="TableParagraph"/>
              <w:tabs>
                <w:tab w:pos="632" w:val="left" w:leader="none"/>
              </w:tabs>
              <w:spacing w:before="20"/>
              <w:ind w:right="71"/>
              <w:jc w:val="right"/>
              <w:rPr>
                <w:sz w:val="18"/>
              </w:rPr>
            </w:pPr>
            <w:r>
              <w:rPr>
                <w:spacing w:val="-10"/>
                <w:sz w:val="18"/>
              </w:rPr>
              <w:t>$</w:t>
            </w:r>
            <w:r>
              <w:rPr>
                <w:sz w:val="18"/>
              </w:rPr>
              <w:tab/>
            </w:r>
            <w:r>
              <w:rPr>
                <w:spacing w:val="-2"/>
                <w:sz w:val="18"/>
              </w:rPr>
              <w:t>11,770,797</w:t>
            </w:r>
          </w:p>
        </w:tc>
      </w:tr>
    </w:tbl>
    <w:p>
      <w:pPr>
        <w:pStyle w:val="BodyText"/>
        <w:spacing w:before="118"/>
        <w:rPr>
          <w:b/>
          <w:i/>
        </w:rPr>
      </w:pPr>
    </w:p>
    <w:p>
      <w:pPr>
        <w:pStyle w:val="BodyText"/>
        <w:ind w:right="7045"/>
        <w:jc w:val="center"/>
      </w:pPr>
      <w:r>
        <w:rPr/>
        <w:t>Interest</w:t>
      </w:r>
      <w:r>
        <w:rPr>
          <w:spacing w:val="-1"/>
        </w:rPr>
        <w:t> </w:t>
      </w:r>
      <w:r>
        <w:rPr/>
        <w:t>expense,</w:t>
      </w:r>
      <w:r>
        <w:rPr>
          <w:spacing w:val="-1"/>
        </w:rPr>
        <w:t> </w:t>
      </w:r>
      <w:r>
        <w:rPr/>
        <w:t>net</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Heading5"/>
        <w:spacing w:before="50"/>
        <w:ind w:left="6747"/>
      </w:pPr>
      <w:r>
        <w:rPr/>
        <mc:AlternateContent>
          <mc:Choice Requires="wps">
            <w:drawing>
              <wp:anchor distT="0" distB="0" distL="0" distR="0" allowOverlap="1" layoutInCell="1" locked="0" behindDoc="1" simplePos="0" relativeHeight="487690240">
                <wp:simplePos x="0" y="0"/>
                <wp:positionH relativeFrom="page">
                  <wp:posOffset>4500550</wp:posOffset>
                </wp:positionH>
                <wp:positionV relativeFrom="paragraph">
                  <wp:posOffset>189977</wp:posOffset>
                </wp:positionV>
                <wp:extent cx="3043555" cy="8890"/>
                <wp:effectExtent l="0" t="0" r="0" b="0"/>
                <wp:wrapTopAndBottom/>
                <wp:docPr id="518" name="Graphic 518"/>
                <wp:cNvGraphicFramePr>
                  <a:graphicFrameLocks/>
                </wp:cNvGraphicFramePr>
                <a:graphic>
                  <a:graphicData uri="http://schemas.microsoft.com/office/word/2010/wordprocessingShape">
                    <wps:wsp>
                      <wps:cNvPr id="518" name="Graphic 518"/>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4.958824pt;width:239.625011pt;height:.675pt;mso-position-horizontal-relative:page;mso-position-vertical-relative:paragraph;z-index:-15626240;mso-wrap-distance-left:0;mso-wrap-distance-right:0" id="docshape516"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82" w:val="left" w:leader="none"/>
          <w:tab w:pos="10019" w:val="left" w:leader="none"/>
        </w:tabs>
        <w:spacing w:before="21" w:after="29"/>
        <w:ind w:left="6746"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519" name="Group 519"/>
                <wp:cNvGraphicFramePr>
                  <a:graphicFrameLocks/>
                </wp:cNvGraphicFramePr>
                <a:graphic>
                  <a:graphicData uri="http://schemas.microsoft.com/office/word/2010/wordprocessingGroup">
                    <wpg:wgp>
                      <wpg:cNvPr id="519" name="Group 519"/>
                      <wpg:cNvGrpSpPr/>
                      <wpg:grpSpPr>
                        <a:xfrm>
                          <a:off x="0" y="0"/>
                          <a:ext cx="3043555" cy="8890"/>
                          <a:chExt cx="3043555" cy="8890"/>
                        </a:xfrm>
                      </wpg:grpSpPr>
                      <wps:wsp>
                        <wps:cNvPr id="520" name="Graphic 520"/>
                        <wps:cNvSpPr/>
                        <wps:spPr>
                          <a:xfrm>
                            <a:off x="-12" y="-9"/>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517" coordorigin="0,0" coordsize="4793,14">
                <v:rect style="position:absolute;left:-1;top:-1;width:4793;height:14" id="docshape518" filled="true" fillcolor="#000000" stroked="false">
                  <v:fill type="solid"/>
                </v:rect>
              </v:group>
            </w:pict>
          </mc:Fallback>
        </mc:AlternateContent>
      </w:r>
      <w:r>
        <w:rPr>
          <w:sz w:val="2"/>
        </w:rPr>
      </w:r>
    </w:p>
    <w:p>
      <w:pPr>
        <w:spacing w:before="11" w:after="38"/>
        <w:ind w:left="6747"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3"/>
        <w:gridCol w:w="4128"/>
        <w:gridCol w:w="1636"/>
        <w:gridCol w:w="1579"/>
      </w:tblGrid>
      <w:tr>
        <w:trPr>
          <w:trHeight w:val="256" w:hRule="atLeast"/>
        </w:trPr>
        <w:tc>
          <w:tcPr>
            <w:tcW w:w="4173" w:type="dxa"/>
            <w:shd w:val="clear" w:color="auto" w:fill="CFF0FB"/>
          </w:tcPr>
          <w:p>
            <w:pPr>
              <w:pStyle w:val="TableParagraph"/>
              <w:ind w:left="17"/>
              <w:rPr>
                <w:sz w:val="18"/>
              </w:rPr>
            </w:pPr>
            <w:r>
              <w:rPr>
                <w:sz w:val="18"/>
              </w:rPr>
              <w:t>Total</w:t>
            </w:r>
            <w:r>
              <w:rPr>
                <w:spacing w:val="-8"/>
                <w:sz w:val="18"/>
              </w:rPr>
              <w:t> </w:t>
            </w:r>
            <w:r>
              <w:rPr>
                <w:sz w:val="18"/>
              </w:rPr>
              <w:t>interest</w:t>
            </w:r>
            <w:r>
              <w:rPr>
                <w:spacing w:val="-7"/>
                <w:sz w:val="18"/>
              </w:rPr>
              <w:t> </w:t>
            </w:r>
            <w:r>
              <w:rPr>
                <w:spacing w:val="-2"/>
                <w:sz w:val="18"/>
              </w:rPr>
              <w:t>incurred</w:t>
            </w:r>
          </w:p>
        </w:tc>
        <w:tc>
          <w:tcPr>
            <w:tcW w:w="4128" w:type="dxa"/>
            <w:shd w:val="clear" w:color="auto" w:fill="CFF0FB"/>
          </w:tcPr>
          <w:p>
            <w:pPr>
              <w:pStyle w:val="TableParagraph"/>
              <w:tabs>
                <w:tab w:pos="843" w:val="left" w:leader="none"/>
              </w:tabs>
              <w:ind w:right="129"/>
              <w:jc w:val="right"/>
              <w:rPr>
                <w:sz w:val="18"/>
              </w:rPr>
            </w:pPr>
            <w:r>
              <w:rPr>
                <w:spacing w:val="-10"/>
                <w:sz w:val="18"/>
              </w:rPr>
              <w:t>$</w:t>
            </w:r>
            <w:r>
              <w:rPr>
                <w:sz w:val="18"/>
              </w:rPr>
              <w:tab/>
            </w:r>
            <w:r>
              <w:rPr>
                <w:spacing w:val="-2"/>
                <w:sz w:val="18"/>
              </w:rPr>
              <w:t>595,692</w:t>
            </w:r>
          </w:p>
        </w:tc>
        <w:tc>
          <w:tcPr>
            <w:tcW w:w="1636" w:type="dxa"/>
            <w:shd w:val="clear" w:color="auto" w:fill="CFF0FB"/>
          </w:tcPr>
          <w:p>
            <w:pPr>
              <w:pStyle w:val="TableParagraph"/>
              <w:tabs>
                <w:tab w:pos="843" w:val="left" w:leader="none"/>
              </w:tabs>
              <w:ind w:right="129"/>
              <w:jc w:val="right"/>
              <w:rPr>
                <w:sz w:val="18"/>
              </w:rPr>
            </w:pPr>
            <w:r>
              <w:rPr>
                <w:spacing w:val="-10"/>
                <w:sz w:val="18"/>
              </w:rPr>
              <w:t>$</w:t>
            </w:r>
            <w:r>
              <w:rPr>
                <w:sz w:val="18"/>
              </w:rPr>
              <w:tab/>
            </w:r>
            <w:r>
              <w:rPr>
                <w:spacing w:val="-2"/>
                <w:sz w:val="18"/>
              </w:rPr>
              <w:t>800,156</w:t>
            </w:r>
          </w:p>
        </w:tc>
        <w:tc>
          <w:tcPr>
            <w:tcW w:w="1579" w:type="dxa"/>
            <w:shd w:val="clear" w:color="auto" w:fill="CFF0FB"/>
          </w:tcPr>
          <w:p>
            <w:pPr>
              <w:pStyle w:val="TableParagraph"/>
              <w:tabs>
                <w:tab w:pos="844" w:val="left" w:leader="none"/>
              </w:tabs>
              <w:ind w:right="71"/>
              <w:jc w:val="right"/>
              <w:rPr>
                <w:sz w:val="18"/>
              </w:rPr>
            </w:pPr>
            <w:r>
              <w:rPr>
                <w:spacing w:val="-10"/>
                <w:sz w:val="18"/>
              </w:rPr>
              <w:t>$</w:t>
            </w:r>
            <w:r>
              <w:rPr>
                <w:sz w:val="18"/>
              </w:rPr>
              <w:tab/>
            </w:r>
            <w:r>
              <w:rPr>
                <w:spacing w:val="-2"/>
                <w:sz w:val="18"/>
              </w:rPr>
              <w:t>679,251</w:t>
            </w:r>
          </w:p>
        </w:tc>
      </w:tr>
      <w:tr>
        <w:trPr>
          <w:trHeight w:val="255" w:hRule="atLeast"/>
        </w:trPr>
        <w:tc>
          <w:tcPr>
            <w:tcW w:w="4173" w:type="dxa"/>
          </w:tcPr>
          <w:p>
            <w:pPr>
              <w:pStyle w:val="TableParagraph"/>
              <w:ind w:left="17"/>
              <w:rPr>
                <w:sz w:val="18"/>
              </w:rPr>
            </w:pPr>
            <w:r>
              <w:rPr>
                <w:sz w:val="18"/>
              </w:rPr>
              <w:t>Interest</w:t>
            </w:r>
            <w:r>
              <w:rPr>
                <w:spacing w:val="-1"/>
                <w:sz w:val="18"/>
              </w:rPr>
              <w:t> </w:t>
            </w:r>
            <w:r>
              <w:rPr>
                <w:spacing w:val="-2"/>
                <w:sz w:val="18"/>
              </w:rPr>
              <w:t>capitalized</w:t>
            </w:r>
          </w:p>
        </w:tc>
        <w:tc>
          <w:tcPr>
            <w:tcW w:w="4128" w:type="dxa"/>
            <w:tcBorders>
              <w:bottom w:val="single" w:sz="6" w:space="0" w:color="000000"/>
            </w:tcBorders>
          </w:tcPr>
          <w:p>
            <w:pPr>
              <w:pStyle w:val="TableParagraph"/>
              <w:ind w:right="76"/>
              <w:jc w:val="right"/>
              <w:rPr>
                <w:sz w:val="18"/>
              </w:rPr>
            </w:pPr>
            <w:r>
              <w:rPr>
                <w:spacing w:val="-2"/>
                <w:sz w:val="18"/>
              </w:rPr>
              <w:t>(738)</w:t>
            </w:r>
          </w:p>
        </w:tc>
        <w:tc>
          <w:tcPr>
            <w:tcW w:w="1636" w:type="dxa"/>
            <w:tcBorders>
              <w:bottom w:val="single" w:sz="6" w:space="0" w:color="000000"/>
            </w:tcBorders>
          </w:tcPr>
          <w:p>
            <w:pPr>
              <w:pStyle w:val="TableParagraph"/>
              <w:ind w:right="75"/>
              <w:jc w:val="right"/>
              <w:rPr>
                <w:sz w:val="18"/>
              </w:rPr>
            </w:pPr>
            <w:r>
              <w:rPr>
                <w:spacing w:val="-2"/>
                <w:sz w:val="18"/>
              </w:rPr>
              <w:t>(563)</w:t>
            </w:r>
          </w:p>
        </w:tc>
        <w:tc>
          <w:tcPr>
            <w:tcW w:w="1579" w:type="dxa"/>
            <w:tcBorders>
              <w:bottom w:val="single" w:sz="6" w:space="0" w:color="000000"/>
            </w:tcBorders>
          </w:tcPr>
          <w:p>
            <w:pPr>
              <w:pStyle w:val="TableParagraph"/>
              <w:ind w:right="16"/>
              <w:jc w:val="right"/>
              <w:rPr>
                <w:sz w:val="18"/>
              </w:rPr>
            </w:pPr>
            <w:r>
              <w:rPr>
                <w:spacing w:val="-2"/>
                <w:sz w:val="18"/>
              </w:rPr>
              <w:t>(2,871)</w:t>
            </w:r>
          </w:p>
        </w:tc>
      </w:tr>
      <w:tr>
        <w:trPr>
          <w:trHeight w:val="273" w:hRule="atLeast"/>
        </w:trPr>
        <w:tc>
          <w:tcPr>
            <w:tcW w:w="4173" w:type="dxa"/>
            <w:shd w:val="clear" w:color="auto" w:fill="CFF0FB"/>
          </w:tcPr>
          <w:p>
            <w:pPr>
              <w:pStyle w:val="TableParagraph"/>
              <w:spacing w:before="0"/>
              <w:rPr>
                <w:sz w:val="16"/>
              </w:rPr>
            </w:pPr>
          </w:p>
        </w:tc>
        <w:tc>
          <w:tcPr>
            <w:tcW w:w="4128" w:type="dxa"/>
            <w:tcBorders>
              <w:top w:val="single" w:sz="6" w:space="0" w:color="000000"/>
            </w:tcBorders>
            <w:shd w:val="clear" w:color="auto" w:fill="CFF0FB"/>
          </w:tcPr>
          <w:p>
            <w:pPr>
              <w:pStyle w:val="TableParagraph"/>
              <w:tabs>
                <w:tab w:pos="843" w:val="left" w:leader="none"/>
              </w:tabs>
              <w:spacing w:before="20"/>
              <w:ind w:right="129"/>
              <w:jc w:val="right"/>
              <w:rPr>
                <w:sz w:val="18"/>
              </w:rPr>
            </w:pPr>
            <w:r>
              <w:rPr/>
              <mc:AlternateContent>
                <mc:Choice Requires="wps">
                  <w:drawing>
                    <wp:anchor distT="0" distB="0" distL="0" distR="0" allowOverlap="1" layoutInCell="1" locked="0" behindDoc="1" simplePos="0" relativeHeight="477733376">
                      <wp:simplePos x="0" y="0"/>
                      <wp:positionH relativeFrom="column">
                        <wp:posOffset>1619358</wp:posOffset>
                      </wp:positionH>
                      <wp:positionV relativeFrom="paragraph">
                        <wp:posOffset>170871</wp:posOffset>
                      </wp:positionV>
                      <wp:extent cx="969010" cy="34290"/>
                      <wp:effectExtent l="0" t="0" r="0" b="0"/>
                      <wp:wrapNone/>
                      <wp:docPr id="521" name="Group 521"/>
                      <wp:cNvGraphicFramePr>
                        <a:graphicFrameLocks/>
                      </wp:cNvGraphicFramePr>
                      <a:graphic>
                        <a:graphicData uri="http://schemas.microsoft.com/office/word/2010/wordprocessingGroup">
                          <wpg:wgp>
                            <wpg:cNvPr id="521" name="Group 521"/>
                            <wpg:cNvGrpSpPr/>
                            <wpg:grpSpPr>
                              <a:xfrm>
                                <a:off x="0" y="0"/>
                                <a:ext cx="969010" cy="34290"/>
                                <a:chExt cx="969010" cy="34290"/>
                              </a:xfrm>
                            </wpg:grpSpPr>
                            <wps:wsp>
                              <wps:cNvPr id="522" name="Graphic 522"/>
                              <wps:cNvSpPr/>
                              <wps:spPr>
                                <a:xfrm>
                                  <a:off x="-12" y="-9"/>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7.508514pt;margin-top:13.454416pt;width:76.3pt;height:2.7pt;mso-position-horizontal-relative:column;mso-position-vertical-relative:paragraph;z-index:-25583104" id="docshapegroup519" coordorigin="2550,269" coordsize="1526,54">
                      <v:shape style="position:absolute;left:2550;top:269;width:1526;height:54" id="docshape520" coordorigin="2550,269" coordsize="1526,54" path="m4076,310l4049,310,2672,310,2550,310,2550,323,2672,323,4049,323,4076,323,4076,310xm4076,269l4049,269,2672,269,2550,269,2550,283,2672,283,4049,283,4076,283,4076,269xe" filled="true" fillcolor="#000000" stroked="false">
                        <v:path arrowok="t"/>
                        <v:fill type="solid"/>
                      </v:shape>
                      <w10:wrap type="none"/>
                    </v:group>
                  </w:pict>
                </mc:Fallback>
              </mc:AlternateContent>
            </w:r>
            <w:r>
              <w:rPr>
                <w:spacing w:val="-10"/>
                <w:sz w:val="18"/>
              </w:rPr>
              <w:t>$</w:t>
            </w:r>
            <w:r>
              <w:rPr>
                <w:sz w:val="18"/>
              </w:rPr>
              <w:tab/>
            </w:r>
            <w:r>
              <w:rPr>
                <w:spacing w:val="-2"/>
                <w:sz w:val="18"/>
              </w:rPr>
              <w:t>594,954</w:t>
            </w:r>
          </w:p>
        </w:tc>
        <w:tc>
          <w:tcPr>
            <w:tcW w:w="1636" w:type="dxa"/>
            <w:tcBorders>
              <w:top w:val="single" w:sz="6" w:space="0" w:color="000000"/>
              <w:bottom w:val="double" w:sz="6" w:space="0" w:color="000000"/>
            </w:tcBorders>
            <w:shd w:val="clear" w:color="auto" w:fill="CFF0FB"/>
          </w:tcPr>
          <w:p>
            <w:pPr>
              <w:pStyle w:val="TableParagraph"/>
              <w:tabs>
                <w:tab w:pos="843" w:val="left" w:leader="none"/>
              </w:tabs>
              <w:spacing w:before="20"/>
              <w:ind w:right="129"/>
              <w:jc w:val="right"/>
              <w:rPr>
                <w:sz w:val="18"/>
              </w:rPr>
            </w:pPr>
            <w:r>
              <w:rPr>
                <w:spacing w:val="-10"/>
                <w:sz w:val="18"/>
              </w:rPr>
              <w:t>$</w:t>
            </w:r>
            <w:r>
              <w:rPr>
                <w:sz w:val="18"/>
              </w:rPr>
              <w:tab/>
            </w:r>
            <w:r>
              <w:rPr>
                <w:spacing w:val="-2"/>
                <w:sz w:val="18"/>
              </w:rPr>
              <w:t>799,593</w:t>
            </w:r>
          </w:p>
        </w:tc>
        <w:tc>
          <w:tcPr>
            <w:tcW w:w="1579" w:type="dxa"/>
            <w:tcBorders>
              <w:top w:val="single" w:sz="6" w:space="0" w:color="000000"/>
              <w:bottom w:val="double" w:sz="6" w:space="0" w:color="000000"/>
            </w:tcBorders>
            <w:shd w:val="clear" w:color="auto" w:fill="CFF0FB"/>
          </w:tcPr>
          <w:p>
            <w:pPr>
              <w:pStyle w:val="TableParagraph"/>
              <w:tabs>
                <w:tab w:pos="844" w:val="left" w:leader="none"/>
              </w:tabs>
              <w:spacing w:before="20"/>
              <w:ind w:right="71"/>
              <w:jc w:val="right"/>
              <w:rPr>
                <w:sz w:val="18"/>
              </w:rPr>
            </w:pPr>
            <w:r>
              <w:rPr>
                <w:spacing w:val="-10"/>
                <w:sz w:val="18"/>
              </w:rPr>
              <w:t>$</w:t>
            </w:r>
            <w:r>
              <w:rPr>
                <w:sz w:val="18"/>
              </w:rPr>
              <w:tab/>
            </w:r>
            <w:r>
              <w:rPr>
                <w:spacing w:val="-2"/>
                <w:sz w:val="18"/>
              </w:rPr>
              <w:t>676,380</w:t>
            </w:r>
          </w:p>
        </w:tc>
      </w:tr>
    </w:tbl>
    <w:p>
      <w:pPr>
        <w:pStyle w:val="BodyText"/>
        <w:spacing w:before="90"/>
        <w:rPr>
          <w:b/>
          <w:i/>
        </w:rPr>
      </w:pPr>
    </w:p>
    <w:p>
      <w:pPr>
        <w:pStyle w:val="BodyText"/>
        <w:spacing w:line="242" w:lineRule="auto"/>
        <w:ind w:left="144" w:right="117" w:firstLine="499"/>
        <w:jc w:val="both"/>
      </w:pPr>
      <w:r>
        <w:rPr>
          <w:b/>
        </w:rPr>
        <w:t>Senior secured credit facility. </w:t>
      </w:r>
      <w:r>
        <w:rPr/>
        <w:t>In November 2021, the Company terminated its previous revolving facility and entered into a new $1.675 billion revolving credit facility maturing in November 2026. The revolving credit facility bears interest of SOFR plus 1.50% to 2.25% determined by reference to a rent adjusted total net leverage ratio pricing grid.</w:t>
      </w:r>
      <w:r>
        <w:rPr>
          <w:spacing w:val="-2"/>
        </w:rPr>
        <w:t> </w:t>
      </w:r>
      <w:r>
        <w:rPr/>
        <w:t>At December 31, 2022, no amounts were drawn.</w:t>
      </w:r>
    </w:p>
    <w:p>
      <w:pPr>
        <w:pStyle w:val="BodyText"/>
        <w:spacing w:before="3"/>
      </w:pPr>
    </w:p>
    <w:p>
      <w:pPr>
        <w:pStyle w:val="BodyText"/>
        <w:spacing w:line="249" w:lineRule="auto"/>
        <w:ind w:left="144" w:right="118" w:firstLine="499"/>
        <w:jc w:val="both"/>
      </w:pPr>
      <w:r>
        <w:rPr>
          <w:color w:val="202529"/>
        </w:rPr>
        <w:t>On February 14, 2020, in connection with the MGM Grand Las</w:t>
      </w:r>
      <w:r>
        <w:rPr>
          <w:color w:val="202529"/>
          <w:spacing w:val="-1"/>
        </w:rPr>
        <w:t> </w:t>
      </w:r>
      <w:r>
        <w:rPr>
          <w:color w:val="202529"/>
        </w:rPr>
        <w:t>Vegas and Mandalay Bay transaction, the Company used proceeds from the </w:t>
      </w:r>
      <w:r>
        <w:rPr>
          <w:color w:val="202529"/>
        </w:rPr>
        <w:t>transaction to repay and terminate the </w:t>
      </w:r>
      <w:r>
        <w:rPr/>
        <w:t>$1.5 billion </w:t>
      </w:r>
      <w:r>
        <w:rPr>
          <w:color w:val="202529"/>
        </w:rPr>
        <w:t>outstanding on its then existing revolving facility</w:t>
      </w:r>
    </w:p>
    <w:p>
      <w:pPr>
        <w:pStyle w:val="BodyText"/>
      </w:pPr>
    </w:p>
    <w:p>
      <w:pPr>
        <w:pStyle w:val="BodyText"/>
        <w:spacing w:before="181"/>
      </w:pPr>
    </w:p>
    <w:p>
      <w:pPr>
        <w:pStyle w:val="BodyText"/>
        <w:spacing w:before="1"/>
        <w:ind w:left="24"/>
        <w:jc w:val="center"/>
      </w:pPr>
      <w:r>
        <w:rPr>
          <w:spacing w:val="-5"/>
        </w:rPr>
        <w:t>80</w:t>
      </w:r>
    </w:p>
    <w:p>
      <w:pPr>
        <w:pStyle w:val="BodyText"/>
        <w:rPr>
          <w:sz w:val="5"/>
        </w:rPr>
      </w:pPr>
      <w:r>
        <w:rPr/>
        <mc:AlternateContent>
          <mc:Choice Requires="wps">
            <w:drawing>
              <wp:anchor distT="0" distB="0" distL="0" distR="0" allowOverlap="1" layoutInCell="1" locked="0" behindDoc="1" simplePos="0" relativeHeight="487691264">
                <wp:simplePos x="0" y="0"/>
                <wp:positionH relativeFrom="page">
                  <wp:posOffset>231457</wp:posOffset>
                </wp:positionH>
                <wp:positionV relativeFrom="paragraph">
                  <wp:posOffset>51749</wp:posOffset>
                </wp:positionV>
                <wp:extent cx="7312659" cy="17145"/>
                <wp:effectExtent l="0" t="0" r="0" b="0"/>
                <wp:wrapTopAndBottom/>
                <wp:docPr id="523" name="Group 523"/>
                <wp:cNvGraphicFramePr>
                  <a:graphicFrameLocks/>
                </wp:cNvGraphicFramePr>
                <a:graphic>
                  <a:graphicData uri="http://schemas.microsoft.com/office/word/2010/wordprocessingGroup">
                    <wpg:wgp>
                      <wpg:cNvPr id="523" name="Group 523"/>
                      <wpg:cNvGrpSpPr/>
                      <wpg:grpSpPr>
                        <a:xfrm>
                          <a:off x="0" y="0"/>
                          <a:ext cx="7312659" cy="17145"/>
                          <a:chExt cx="7312659" cy="17145"/>
                        </a:xfrm>
                      </wpg:grpSpPr>
                      <wps:wsp>
                        <wps:cNvPr id="524" name="Graphic 52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25" name="Graphic 525"/>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26" name="Graphic 52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074756pt;width:575.8pt;height:1.35pt;mso-position-horizontal-relative:page;mso-position-vertical-relative:paragraph;z-index:-15625216;mso-wrap-distance-left:0;mso-wrap-distance-right:0" id="docshapegroup521" coordorigin="364,81" coordsize="11516,27">
                <v:rect style="position:absolute;left:364;top:81;width:11516;height:14" id="docshape522" filled="true" fillcolor="#999999" stroked="false">
                  <v:fill type="solid"/>
                </v:rect>
                <v:shape style="position:absolute;left:364;top:81;width:11516;height:27" id="docshape523" coordorigin="364,81" coordsize="11516,27" path="m11880,81l11866,95,364,95,364,108,11866,108,11880,108,11880,95,11880,81xe" filled="true" fillcolor="#ededed" stroked="false">
                  <v:path arrowok="t"/>
                  <v:fill type="solid"/>
                </v:shape>
                <v:shape style="position:absolute;left:364;top:81;width:14;height:27" id="docshape524" coordorigin="364,81" coordsize="14,27" path="m364,108l364,81,378,81,378,95,364,108xe" filled="true" fillcolor="#999999" stroked="false">
                  <v:path arrowok="t"/>
                  <v:fill type="solid"/>
                </v:shape>
                <w10:wrap type="topAndBottom"/>
              </v:group>
            </w:pict>
          </mc:Fallback>
        </mc:AlternateContent>
      </w:r>
    </w:p>
    <w:p>
      <w:pPr>
        <w:spacing w:after="0"/>
        <w:rPr>
          <w:sz w:val="5"/>
        </w:rPr>
        <w:sectPr>
          <w:type w:val="continuous"/>
          <w:pgSz w:w="12240" w:h="15840"/>
          <w:pgMar w:top="1040" w:bottom="280" w:left="220" w:right="240"/>
        </w:sectPr>
      </w:pPr>
    </w:p>
    <w:p>
      <w:pPr>
        <w:pStyle w:val="BodyText"/>
        <w:spacing w:line="235" w:lineRule="auto" w:before="66"/>
        <w:ind w:left="144"/>
      </w:pPr>
      <w:r>
        <w:rPr>
          <w:color w:val="202529"/>
        </w:rPr>
        <w:t>in</w:t>
      </w:r>
      <w:r>
        <w:rPr>
          <w:color w:val="202529"/>
          <w:spacing w:val="-2"/>
        </w:rPr>
        <w:t> </w:t>
      </w:r>
      <w:r>
        <w:rPr>
          <w:color w:val="202529"/>
        </w:rPr>
        <w:t>full</w:t>
      </w:r>
      <w:r>
        <w:rPr>
          <w:color w:val="202529"/>
          <w:spacing w:val="-2"/>
        </w:rPr>
        <w:t> </w:t>
      </w:r>
      <w:r>
        <w:rPr>
          <w:color w:val="202529"/>
        </w:rPr>
        <w:t>and</w:t>
      </w:r>
      <w:r>
        <w:rPr>
          <w:color w:val="202529"/>
          <w:spacing w:val="-2"/>
        </w:rPr>
        <w:t> </w:t>
      </w:r>
      <w:r>
        <w:rPr>
          <w:color w:val="202529"/>
        </w:rPr>
        <w:t>entered</w:t>
      </w:r>
      <w:r>
        <w:rPr>
          <w:color w:val="202529"/>
          <w:spacing w:val="-2"/>
        </w:rPr>
        <w:t> </w:t>
      </w:r>
      <w:r>
        <w:rPr>
          <w:color w:val="202529"/>
        </w:rPr>
        <w:t>into</w:t>
      </w:r>
      <w:r>
        <w:rPr>
          <w:color w:val="202529"/>
          <w:spacing w:val="-2"/>
        </w:rPr>
        <w:t> </w:t>
      </w:r>
      <w:r>
        <w:rPr>
          <w:color w:val="202529"/>
        </w:rPr>
        <w:t>an</w:t>
      </w:r>
      <w:r>
        <w:rPr>
          <w:color w:val="202529"/>
          <w:spacing w:val="-2"/>
        </w:rPr>
        <w:t> </w:t>
      </w:r>
      <w:r>
        <w:rPr>
          <w:color w:val="202529"/>
        </w:rPr>
        <w:t>unsecured</w:t>
      </w:r>
      <w:r>
        <w:rPr>
          <w:color w:val="202529"/>
          <w:spacing w:val="-2"/>
        </w:rPr>
        <w:t> </w:t>
      </w:r>
      <w:r>
        <w:rPr>
          <w:color w:val="202529"/>
        </w:rPr>
        <w:t>credit</w:t>
      </w:r>
      <w:r>
        <w:rPr>
          <w:color w:val="202529"/>
          <w:spacing w:val="-2"/>
        </w:rPr>
        <w:t> </w:t>
      </w:r>
      <w:r>
        <w:rPr>
          <w:color w:val="202529"/>
        </w:rPr>
        <w:t>agreement,</w:t>
      </w:r>
      <w:r>
        <w:rPr>
          <w:color w:val="202529"/>
          <w:spacing w:val="-2"/>
        </w:rPr>
        <w:t> </w:t>
      </w:r>
      <w:r>
        <w:rPr>
          <w:color w:val="202529"/>
        </w:rPr>
        <w:t>comprised</w:t>
      </w:r>
      <w:r>
        <w:rPr>
          <w:color w:val="202529"/>
          <w:spacing w:val="-2"/>
        </w:rPr>
        <w:t> </w:t>
      </w:r>
      <w:r>
        <w:rPr>
          <w:color w:val="202529"/>
        </w:rPr>
        <w:t>of</w:t>
      </w:r>
      <w:r>
        <w:rPr>
          <w:color w:val="202529"/>
          <w:spacing w:val="-2"/>
        </w:rPr>
        <w:t> </w:t>
      </w:r>
      <w:r>
        <w:rPr>
          <w:color w:val="202529"/>
        </w:rPr>
        <w:t>a</w:t>
      </w:r>
      <w:r>
        <w:rPr>
          <w:color w:val="202529"/>
          <w:spacing w:val="-2"/>
        </w:rPr>
        <w:t> </w:t>
      </w:r>
      <w:r>
        <w:rPr/>
        <w:t>$1.5</w:t>
      </w:r>
      <w:r>
        <w:rPr>
          <w:spacing w:val="-2"/>
        </w:rPr>
        <w:t> </w:t>
      </w:r>
      <w:r>
        <w:rPr/>
        <w:t>billion</w:t>
      </w:r>
      <w:r>
        <w:rPr>
          <w:spacing w:val="-2"/>
        </w:rPr>
        <w:t> </w:t>
      </w:r>
      <w:r>
        <w:rPr>
          <w:color w:val="202529"/>
        </w:rPr>
        <w:t>unsecured</w:t>
      </w:r>
      <w:r>
        <w:rPr>
          <w:color w:val="202529"/>
          <w:spacing w:val="-2"/>
        </w:rPr>
        <w:t> </w:t>
      </w:r>
      <w:r>
        <w:rPr>
          <w:color w:val="202529"/>
        </w:rPr>
        <w:t>revolving</w:t>
      </w:r>
      <w:r>
        <w:rPr>
          <w:color w:val="202529"/>
          <w:spacing w:val="-2"/>
        </w:rPr>
        <w:t> </w:t>
      </w:r>
      <w:r>
        <w:rPr>
          <w:color w:val="202529"/>
        </w:rPr>
        <w:t>facility</w:t>
      </w:r>
      <w:r>
        <w:rPr>
          <w:color w:val="202529"/>
          <w:spacing w:val="-2"/>
        </w:rPr>
        <w:t> </w:t>
      </w:r>
      <w:r>
        <w:rPr>
          <w:color w:val="202529"/>
        </w:rPr>
        <w:t>that</w:t>
      </w:r>
      <w:r>
        <w:rPr>
          <w:color w:val="202529"/>
          <w:spacing w:val="-2"/>
        </w:rPr>
        <w:t> </w:t>
      </w:r>
      <w:r>
        <w:rPr>
          <w:color w:val="202529"/>
        </w:rPr>
        <w:t>would</w:t>
      </w:r>
      <w:r>
        <w:rPr>
          <w:color w:val="202529"/>
          <w:spacing w:val="-2"/>
        </w:rPr>
        <w:t> </w:t>
      </w:r>
      <w:r>
        <w:rPr>
          <w:color w:val="202529"/>
        </w:rPr>
        <w:t>mature</w:t>
      </w:r>
      <w:r>
        <w:rPr>
          <w:color w:val="202529"/>
          <w:spacing w:val="-2"/>
        </w:rPr>
        <w:t> </w:t>
      </w:r>
      <w:r>
        <w:rPr>
          <w:color w:val="202529"/>
        </w:rPr>
        <w:t>in</w:t>
      </w:r>
      <w:r>
        <w:rPr>
          <w:color w:val="202529"/>
          <w:spacing w:val="-2"/>
        </w:rPr>
        <w:t> </w:t>
      </w:r>
      <w:r>
        <w:rPr>
          <w:color w:val="202529"/>
        </w:rPr>
        <w:t>February</w:t>
      </w:r>
      <w:r>
        <w:rPr>
          <w:color w:val="202529"/>
          <w:spacing w:val="-2"/>
        </w:rPr>
        <w:t> </w:t>
      </w:r>
      <w:r>
        <w:rPr>
          <w:color w:val="202529"/>
        </w:rPr>
        <w:t>2025.</w:t>
      </w:r>
      <w:r>
        <w:rPr>
          <w:color w:val="202529"/>
          <w:spacing w:val="-12"/>
        </w:rPr>
        <w:t> </w:t>
      </w:r>
      <w:r>
        <w:rPr>
          <w:color w:val="202529"/>
        </w:rPr>
        <w:t>As</w:t>
      </w:r>
      <w:r>
        <w:rPr>
          <w:color w:val="202529"/>
          <w:spacing w:val="-1"/>
        </w:rPr>
        <w:t> </w:t>
      </w:r>
      <w:r>
        <w:rPr>
          <w:color w:val="202529"/>
        </w:rPr>
        <w:t>a</w:t>
      </w:r>
      <w:r>
        <w:rPr>
          <w:color w:val="202529"/>
          <w:spacing w:val="-2"/>
        </w:rPr>
        <w:t> </w:t>
      </w:r>
      <w:r>
        <w:rPr>
          <w:color w:val="202529"/>
        </w:rPr>
        <w:t>result, the Company incurred a </w:t>
      </w:r>
      <w:r>
        <w:rPr/>
        <w:t>$4 million </w:t>
      </w:r>
      <w:r>
        <w:rPr>
          <w:color w:val="202529"/>
        </w:rPr>
        <w:t>loss on early retirement of debt recorded in “Other, net” in the consolidated statements of operations.</w:t>
      </w:r>
    </w:p>
    <w:p>
      <w:pPr>
        <w:pStyle w:val="BodyText"/>
        <w:spacing w:before="20"/>
      </w:pPr>
    </w:p>
    <w:p>
      <w:pPr>
        <w:pStyle w:val="BodyText"/>
        <w:spacing w:line="237" w:lineRule="auto"/>
        <w:ind w:left="144" w:right="118" w:firstLine="499"/>
        <w:jc w:val="both"/>
      </w:pPr>
      <w:r>
        <w:rPr/>
        <w:t>The Company's senior secured credit facility is guaranteed by each of the Company’s existing direct and indirect wholly-owned material domestic restricted subsidiaries, subject to certain exclusions.</w:t>
      </w:r>
      <w:r>
        <w:rPr>
          <w:spacing w:val="-3"/>
        </w:rPr>
        <w:t> </w:t>
      </w:r>
      <w:r>
        <w:rPr/>
        <w:t>The senior secured credit facility is secured by a pledge of the equity in certain of the Company's domestic operating properties. Mandatory prepayments will be required upon the occurrence of certain events, including sales of certain assets, subject to </w:t>
      </w:r>
      <w:r>
        <w:rPr/>
        <w:t>certain exceptions. </w:t>
      </w:r>
      <w:r>
        <w:rPr>
          <w:color w:val="202529"/>
        </w:rPr>
        <w:t>The Company’s senior secured credit facility also contains customary representations and warranties, events of default and positive and negative covenants. </w:t>
      </w:r>
      <w:r>
        <w:rPr/>
        <w:t>The Company was in compliance with its credit facility covenants at December 31, 2022.</w:t>
      </w:r>
    </w:p>
    <w:p>
      <w:pPr>
        <w:pStyle w:val="BodyText"/>
        <w:spacing w:before="9"/>
      </w:pPr>
    </w:p>
    <w:p>
      <w:pPr>
        <w:spacing w:line="249" w:lineRule="auto" w:before="0"/>
        <w:ind w:left="144" w:right="118" w:firstLine="499"/>
        <w:jc w:val="both"/>
        <w:rPr>
          <w:sz w:val="18"/>
        </w:rPr>
      </w:pPr>
      <w:r>
        <w:rPr>
          <w:b/>
          <w:sz w:val="18"/>
        </w:rPr>
        <w:t>MGP</w:t>
      </w:r>
      <w:r>
        <w:rPr>
          <w:b/>
          <w:spacing w:val="-10"/>
          <w:sz w:val="18"/>
        </w:rPr>
        <w:t> </w:t>
      </w:r>
      <w:r>
        <w:rPr>
          <w:b/>
          <w:sz w:val="18"/>
        </w:rPr>
        <w:t>OP</w:t>
      </w:r>
      <w:r>
        <w:rPr>
          <w:b/>
          <w:spacing w:val="-10"/>
          <w:sz w:val="18"/>
        </w:rPr>
        <w:t> </w:t>
      </w:r>
      <w:r>
        <w:rPr>
          <w:b/>
          <w:sz w:val="18"/>
        </w:rPr>
        <w:t>senior</w:t>
      </w:r>
      <w:r>
        <w:rPr>
          <w:b/>
          <w:spacing w:val="-3"/>
          <w:sz w:val="18"/>
        </w:rPr>
        <w:t> </w:t>
      </w:r>
      <w:r>
        <w:rPr>
          <w:b/>
          <w:sz w:val="18"/>
        </w:rPr>
        <w:t>secured credit facility and bridge facility. </w:t>
      </w:r>
      <w:r>
        <w:rPr>
          <w:sz w:val="18"/>
        </w:rPr>
        <w:t>In</w:t>
      </w:r>
      <w:r>
        <w:rPr>
          <w:spacing w:val="-10"/>
          <w:sz w:val="18"/>
        </w:rPr>
        <w:t> </w:t>
      </w:r>
      <w:r>
        <w:rPr>
          <w:sz w:val="18"/>
        </w:rPr>
        <w:t>April 2022, MGP</w:t>
      </w:r>
      <w:r>
        <w:rPr>
          <w:spacing w:val="-6"/>
          <w:sz w:val="18"/>
        </w:rPr>
        <w:t> </w:t>
      </w:r>
      <w:r>
        <w:rPr>
          <w:sz w:val="18"/>
        </w:rPr>
        <w:t>OP</w:t>
      </w:r>
      <w:r>
        <w:rPr>
          <w:spacing w:val="-6"/>
          <w:sz w:val="18"/>
        </w:rPr>
        <w:t> </w:t>
      </w:r>
      <w:r>
        <w:rPr>
          <w:sz w:val="18"/>
        </w:rPr>
        <w:t>senior secured credit facility was derecognized in connection with the deconsolidation of MGP as a result of the VICI Transaction.</w:t>
      </w:r>
    </w:p>
    <w:p>
      <w:pPr>
        <w:pStyle w:val="BodyText"/>
        <w:spacing w:before="204"/>
        <w:ind w:left="144" w:right="117" w:firstLine="499"/>
        <w:jc w:val="both"/>
      </w:pPr>
      <w:r>
        <w:rPr/>
        <w:t>In February 2020, in connection with the MGM Grand Las</w:t>
      </w:r>
      <w:r>
        <w:rPr>
          <w:spacing w:val="-3"/>
        </w:rPr>
        <w:t> </w:t>
      </w:r>
      <w:r>
        <w:rPr/>
        <w:t>Vegas and Mandalay Bay transaction, MGP</w:t>
      </w:r>
      <w:r>
        <w:rPr>
          <w:spacing w:val="-5"/>
        </w:rPr>
        <w:t> </w:t>
      </w:r>
      <w:r>
        <w:rPr/>
        <w:t>OP</w:t>
      </w:r>
      <w:r>
        <w:rPr>
          <w:spacing w:val="-5"/>
        </w:rPr>
        <w:t> </w:t>
      </w:r>
      <w:r>
        <w:rPr>
          <w:color w:val="202529"/>
        </w:rPr>
        <w:t>amended its senior secured credit facility </w:t>
      </w:r>
      <w:r>
        <w:rPr>
          <w:color w:val="202529"/>
        </w:rPr>
        <w:t>to, among other things, allow for the transaction to occur, permit the incurrence by MGP OP of a nonrecourse guarantee relating to the debt of VICI BREIT Venture (refer to Note 12 for description of such guarantee), and permit the incurrence of the bridge loan facility. As a result of the transaction and the amendment, MGP OP repaid its </w:t>
      </w:r>
      <w:r>
        <w:rPr/>
        <w:t>$1.3 billion </w:t>
      </w:r>
      <w:r>
        <w:rPr>
          <w:color w:val="202529"/>
        </w:rPr>
        <w:t>outstanding term loan B facility in full with the proceeds of a bridge facility, which was then assumed by VICI BREIT Venture as partial consideration for MGP OP’s contribution. Additionally, MGP OP used </w:t>
      </w:r>
      <w:r>
        <w:rPr/>
        <w:t>the proceeds from the settlement of the forward equity issuances to pay off the outstanding balance of $399 million on its term loan A facility in full. As a result, MGP OP incurred an $18 million loss on early retirement of debt recorded in “Other, net” in the consolidated statements of operations.</w:t>
      </w:r>
    </w:p>
    <w:p>
      <w:pPr>
        <w:pStyle w:val="BodyText"/>
        <w:spacing w:before="4"/>
      </w:pPr>
    </w:p>
    <w:p>
      <w:pPr>
        <w:pStyle w:val="BodyText"/>
        <w:spacing w:line="249" w:lineRule="auto" w:before="1"/>
        <w:ind w:left="144" w:right="118" w:firstLine="499"/>
        <w:jc w:val="both"/>
      </w:pPr>
      <w:r>
        <w:rPr/>
        <w:t>MGP OP was party to interest rate swaps to mitigate the effects of interest rate volatility inherent in its variable rate debt as well as forecasted </w:t>
      </w:r>
      <w:r>
        <w:rPr/>
        <w:t>debt issuances. In March 2022, MGP OP terminated its interest rate swap agreements.</w:t>
      </w:r>
    </w:p>
    <w:p>
      <w:pPr>
        <w:pStyle w:val="BodyText"/>
        <w:spacing w:before="204"/>
        <w:ind w:left="144" w:right="117" w:firstLine="499"/>
        <w:jc w:val="both"/>
      </w:pPr>
      <w:r>
        <w:rPr>
          <w:b/>
        </w:rPr>
        <w:t>MGM China first revolving credit facility. </w:t>
      </w:r>
      <w:r>
        <w:rPr/>
        <w:t>At December 31, 2022, the MGM China first revolving credit facility consisted of a HK$9.75 billion unsecured revolving credit facility, which was fully drawn. The MGM China first revolving credit facility bears interest at a fluctuating rate per annum based</w:t>
      </w:r>
      <w:r>
        <w:rPr>
          <w:spacing w:val="40"/>
        </w:rPr>
        <w:t> </w:t>
      </w:r>
      <w:r>
        <w:rPr/>
        <w:t>on Hong Kong Interbank Offered Rate (“HIBOR”) plus 1.625% to 2.75%, as determined by MGM China’s leverage ratio and will mature in May 2024. At December 31, 2022, the weighted average interest rate was 6.80%.</w:t>
      </w:r>
    </w:p>
    <w:p>
      <w:pPr>
        <w:pStyle w:val="BodyText"/>
        <w:spacing w:line="237" w:lineRule="auto" w:before="186"/>
        <w:ind w:left="144" w:right="118" w:firstLine="499"/>
        <w:jc w:val="both"/>
      </w:pPr>
      <w:r>
        <w:rPr/>
        <w:t>The MGM China first revolving credit facility contains customary representations and warranties, events of default, and positive, negative and </w:t>
      </w:r>
      <w:r>
        <w:rPr/>
        <w:t>financial covenants, including that MGM China maintains compliance with a maximum leverage ratio and a minimum interest coverage ratio. Due to the impact of COVID-19, in February 2021, MGM China amended its first revolving credit agreement to provide for a waiver of its maximum leverage ratio and its</w:t>
      </w:r>
      <w:r>
        <w:rPr>
          <w:spacing w:val="40"/>
        </w:rPr>
        <w:t> </w:t>
      </w:r>
      <w:r>
        <w:rPr/>
        <w:t>minimum interest coverage ratio through the fourth quarter of 2022. In February 2022, MGM China further amended its first revolving credit facility to extend the financial covenant waivers through maturity in May 2024. MGM China was in compliance with its applicable MGM China first revolving credit facility covenants at December 31, 2022.</w:t>
      </w:r>
    </w:p>
    <w:p>
      <w:pPr>
        <w:pStyle w:val="BodyText"/>
        <w:spacing w:before="186"/>
        <w:ind w:left="144" w:right="118" w:firstLine="499"/>
        <w:jc w:val="both"/>
      </w:pPr>
      <w:r>
        <w:rPr>
          <w:b/>
        </w:rPr>
        <w:t>MGM China second revolving credit facility. </w:t>
      </w:r>
      <w:r>
        <w:rPr/>
        <w:t>At December 31, 2022, the MGM China second revolving credit facility consisted of a HK$3.12 billion unsecured revolving credit facility with an option to increase the amount of the facility up to HK$3.9 billion, subject to certain conditions. The MGM China second credit facility bears interest at a fluctuating rate per annum based on HIBOR plus 1.625% to 2.75%, as determined by MGM China’s leverage ratio and will mature in May 2024. Draws will be subject to satisfaction of certain conditions precedent, including evidence that the MGM China first revolving credit facility has been fully drawn. At December 31, 2022, $224 million was drawn on the MGM China second revolving credit facility and the weighted average interest rate was 7.72%.</w:t>
      </w:r>
    </w:p>
    <w:p>
      <w:pPr>
        <w:pStyle w:val="BodyText"/>
        <w:spacing w:before="9"/>
      </w:pPr>
    </w:p>
    <w:p>
      <w:pPr>
        <w:pStyle w:val="BodyText"/>
        <w:ind w:left="144" w:right="119" w:firstLine="499"/>
        <w:jc w:val="both"/>
      </w:pPr>
      <w:r>
        <w:rPr/>
        <w:t>The MGM China second revolving credit facility contains customary representations and warranties, events of default, and positive, negative </w:t>
      </w:r>
      <w:r>
        <w:rPr/>
        <w:t>and financial covenants, including that MGM China maintains compliance with a maximum leverage ratio and a minimum interest coverage ratio. In February 2021, MGM China amended its second credit facility agreement to provide for a waiver of its maximum leverage ratio and its minimum interest coverage ratio through</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2022.</w:t>
      </w:r>
      <w:r>
        <w:rPr>
          <w:spacing w:val="-2"/>
        </w:rPr>
        <w:t> </w:t>
      </w:r>
      <w:r>
        <w:rPr/>
        <w:t>In</w:t>
      </w:r>
      <w:r>
        <w:rPr>
          <w:spacing w:val="-2"/>
        </w:rPr>
        <w:t> </w:t>
      </w:r>
      <w:r>
        <w:rPr/>
        <w:t>February</w:t>
      </w:r>
      <w:r>
        <w:rPr>
          <w:spacing w:val="-2"/>
        </w:rPr>
        <w:t> </w:t>
      </w:r>
      <w:r>
        <w:rPr/>
        <w:t>2022,</w:t>
      </w:r>
      <w:r>
        <w:rPr>
          <w:spacing w:val="-2"/>
        </w:rPr>
        <w:t> </w:t>
      </w:r>
      <w:r>
        <w:rPr/>
        <w:t>MGM</w:t>
      </w:r>
      <w:r>
        <w:rPr>
          <w:spacing w:val="-2"/>
        </w:rPr>
        <w:t> </w:t>
      </w:r>
      <w:r>
        <w:rPr/>
        <w:t>China</w:t>
      </w:r>
      <w:r>
        <w:rPr>
          <w:spacing w:val="-2"/>
        </w:rPr>
        <w:t> </w:t>
      </w:r>
      <w:r>
        <w:rPr/>
        <w:t>further</w:t>
      </w:r>
      <w:r>
        <w:rPr>
          <w:spacing w:val="-2"/>
        </w:rPr>
        <w:t> </w:t>
      </w:r>
      <w:r>
        <w:rPr/>
        <w:t>amended</w:t>
      </w:r>
      <w:r>
        <w:rPr>
          <w:spacing w:val="-2"/>
        </w:rPr>
        <w:t> </w:t>
      </w:r>
      <w:r>
        <w:rPr/>
        <w:t>its</w:t>
      </w:r>
      <w:r>
        <w:rPr>
          <w:spacing w:val="-2"/>
        </w:rPr>
        <w:t> </w:t>
      </w:r>
      <w:r>
        <w:rPr/>
        <w:t>second</w:t>
      </w:r>
      <w:r>
        <w:rPr>
          <w:spacing w:val="-2"/>
        </w:rPr>
        <w:t> </w:t>
      </w:r>
      <w:r>
        <w:rPr/>
        <w:t>revolving</w:t>
      </w:r>
      <w:r>
        <w:rPr>
          <w:spacing w:val="-2"/>
        </w:rPr>
        <w:t> </w:t>
      </w:r>
      <w:r>
        <w:rPr/>
        <w:t>credit</w:t>
      </w:r>
      <w:r>
        <w:rPr>
          <w:spacing w:val="-2"/>
        </w:rPr>
        <w:t> </w:t>
      </w:r>
      <w:r>
        <w:rPr/>
        <w:t>facility</w:t>
      </w:r>
      <w:r>
        <w:rPr>
          <w:spacing w:val="-2"/>
        </w:rPr>
        <w:t> </w:t>
      </w:r>
      <w:r>
        <w:rPr/>
        <w:t>to</w:t>
      </w:r>
      <w:r>
        <w:rPr>
          <w:spacing w:val="-2"/>
        </w:rPr>
        <w:t> </w:t>
      </w:r>
      <w:r>
        <w:rPr/>
        <w:t>extend</w:t>
      </w:r>
      <w:r>
        <w:rPr>
          <w:spacing w:val="-2"/>
        </w:rPr>
        <w:t> </w:t>
      </w:r>
      <w:r>
        <w:rPr/>
        <w:t>the</w:t>
      </w:r>
      <w:r>
        <w:rPr>
          <w:spacing w:val="-2"/>
        </w:rPr>
        <w:t> </w:t>
      </w:r>
      <w:r>
        <w:rPr/>
        <w:t>financial</w:t>
      </w:r>
      <w:r>
        <w:rPr>
          <w:spacing w:val="-2"/>
        </w:rPr>
        <w:t> </w:t>
      </w:r>
      <w:r>
        <w:rPr/>
        <w:t>covenant</w:t>
      </w:r>
      <w:r>
        <w:rPr>
          <w:spacing w:val="-2"/>
        </w:rPr>
        <w:t> </w:t>
      </w:r>
      <w:r>
        <w:rPr/>
        <w:t>waivers through maturity in May 2024. MGM China was in compliance with its applicable MGM China second revolving credit facility covenants at December 31, </w:t>
      </w:r>
      <w:r>
        <w:rPr>
          <w:spacing w:val="-2"/>
        </w:rPr>
        <w:t>2022.</w:t>
      </w:r>
    </w:p>
    <w:p>
      <w:pPr>
        <w:pStyle w:val="BodyText"/>
        <w:spacing w:before="9"/>
      </w:pPr>
    </w:p>
    <w:p>
      <w:pPr>
        <w:pStyle w:val="BodyText"/>
        <w:spacing w:line="249" w:lineRule="auto"/>
        <w:ind w:left="144" w:right="118" w:firstLine="499"/>
        <w:jc w:val="both"/>
      </w:pPr>
      <w:r>
        <w:rPr>
          <w:b/>
        </w:rPr>
        <w:t>LeoVegas revolving credit facility. </w:t>
      </w:r>
      <w:r>
        <w:rPr/>
        <w:t>Upon the Company’s acquisition of LeoVegas, the LeoVegas revolving credit facility consisted of a €40 million revolving facility, which was fully drawn. The LeoVegas revolving credit facility contained a change-of-control provision which required repayment of </w:t>
      </w:r>
      <w:r>
        <w:rPr/>
        <w:t>the facility within 60 days following a change-of-</w:t>
      </w:r>
    </w:p>
    <w:p>
      <w:pPr>
        <w:pStyle w:val="BodyText"/>
      </w:pPr>
    </w:p>
    <w:p>
      <w:pPr>
        <w:pStyle w:val="BodyText"/>
        <w:spacing w:before="196"/>
      </w:pPr>
    </w:p>
    <w:p>
      <w:pPr>
        <w:pStyle w:val="BodyText"/>
        <w:ind w:left="24"/>
        <w:jc w:val="center"/>
      </w:pPr>
      <w:r>
        <w:rPr>
          <w:spacing w:val="-5"/>
        </w:rPr>
        <w:t>81</w:t>
      </w:r>
    </w:p>
    <w:p>
      <w:pPr>
        <w:pStyle w:val="BodyText"/>
        <w:spacing w:before="3"/>
        <w:rPr>
          <w:sz w:val="6"/>
        </w:rPr>
      </w:pPr>
      <w:r>
        <w:rPr/>
        <mc:AlternateContent>
          <mc:Choice Requires="wps">
            <w:drawing>
              <wp:anchor distT="0" distB="0" distL="0" distR="0" allowOverlap="1" layoutInCell="1" locked="0" behindDoc="1" simplePos="0" relativeHeight="487692800">
                <wp:simplePos x="0" y="0"/>
                <wp:positionH relativeFrom="page">
                  <wp:posOffset>231457</wp:posOffset>
                </wp:positionH>
                <wp:positionV relativeFrom="paragraph">
                  <wp:posOffset>60956</wp:posOffset>
                </wp:positionV>
                <wp:extent cx="7312659" cy="17145"/>
                <wp:effectExtent l="0" t="0" r="0" b="0"/>
                <wp:wrapTopAndBottom/>
                <wp:docPr id="527" name="Group 527"/>
                <wp:cNvGraphicFramePr>
                  <a:graphicFrameLocks/>
                </wp:cNvGraphicFramePr>
                <a:graphic>
                  <a:graphicData uri="http://schemas.microsoft.com/office/word/2010/wordprocessingGroup">
                    <wpg:wgp>
                      <wpg:cNvPr id="527" name="Group 527"/>
                      <wpg:cNvGrpSpPr/>
                      <wpg:grpSpPr>
                        <a:xfrm>
                          <a:off x="0" y="0"/>
                          <a:ext cx="7312659" cy="17145"/>
                          <a:chExt cx="7312659" cy="17145"/>
                        </a:xfrm>
                      </wpg:grpSpPr>
                      <wps:wsp>
                        <wps:cNvPr id="528" name="Graphic 52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29" name="Graphic 529"/>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30" name="Graphic 53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23680;mso-wrap-distance-left:0;mso-wrap-distance-right:0" id="docshapegroup525" coordorigin="364,96" coordsize="11516,27">
                <v:rect style="position:absolute;left:364;top:96;width:11516;height:14" id="docshape526" filled="true" fillcolor="#999999" stroked="false">
                  <v:fill type="solid"/>
                </v:rect>
                <v:shape style="position:absolute;left:364;top:95;width:11516;height:27" id="docshape527" coordorigin="364,96" coordsize="11516,27" path="m11880,96l11866,109,364,109,364,123,11866,123,11880,123,11880,109,11880,96xe" filled="true" fillcolor="#ededed" stroked="false">
                  <v:path arrowok="t"/>
                  <v:fill type="solid"/>
                </v:shape>
                <v:shape style="position:absolute;left:364;top:96;width:14;height:27" id="docshape528"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69"/>
        <w:ind w:left="88" w:right="108"/>
        <w:jc w:val="center"/>
      </w:pPr>
      <w:r>
        <w:rPr/>
        <w:t>control</w:t>
      </w:r>
      <w:r>
        <w:rPr>
          <w:spacing w:val="-3"/>
        </w:rPr>
        <w:t> </w:t>
      </w:r>
      <w:r>
        <w:rPr/>
        <w:t>event.</w:t>
      </w:r>
      <w:r>
        <w:rPr>
          <w:spacing w:val="-11"/>
        </w:rPr>
        <w:t> </w:t>
      </w:r>
      <w:r>
        <w:rPr/>
        <w:t>As</w:t>
      </w:r>
      <w:r>
        <w:rPr>
          <w:spacing w:val="-3"/>
        </w:rPr>
        <w:t> </w:t>
      </w:r>
      <w:r>
        <w:rPr/>
        <w:t>the</w:t>
      </w:r>
      <w:r>
        <w:rPr>
          <w:spacing w:val="-2"/>
        </w:rPr>
        <w:t> </w:t>
      </w:r>
      <w:r>
        <w:rPr/>
        <w:t>Company’s</w:t>
      </w:r>
      <w:r>
        <w:rPr>
          <w:spacing w:val="-3"/>
        </w:rPr>
        <w:t> </w:t>
      </w:r>
      <w:r>
        <w:rPr/>
        <w:t>acquisition</w:t>
      </w:r>
      <w:r>
        <w:rPr>
          <w:spacing w:val="-2"/>
        </w:rPr>
        <w:t> </w:t>
      </w:r>
      <w:r>
        <w:rPr/>
        <w:t>of</w:t>
      </w:r>
      <w:r>
        <w:rPr>
          <w:spacing w:val="-3"/>
        </w:rPr>
        <w:t> </w:t>
      </w:r>
      <w:r>
        <w:rPr/>
        <w:t>LeoVegas</w:t>
      </w:r>
      <w:r>
        <w:rPr>
          <w:spacing w:val="-2"/>
        </w:rPr>
        <w:t> </w:t>
      </w:r>
      <w:r>
        <w:rPr/>
        <w:t>triggered</w:t>
      </w:r>
      <w:r>
        <w:rPr>
          <w:spacing w:val="-3"/>
        </w:rPr>
        <w:t> </w:t>
      </w:r>
      <w:r>
        <w:rPr/>
        <w:t>the</w:t>
      </w:r>
      <w:r>
        <w:rPr>
          <w:spacing w:val="-2"/>
        </w:rPr>
        <w:t> </w:t>
      </w:r>
      <w:r>
        <w:rPr/>
        <w:t>change-of-control</w:t>
      </w:r>
      <w:r>
        <w:rPr>
          <w:spacing w:val="-3"/>
        </w:rPr>
        <w:t> </w:t>
      </w:r>
      <w:r>
        <w:rPr/>
        <w:t>provision,</w:t>
      </w:r>
      <w:r>
        <w:rPr>
          <w:spacing w:val="-2"/>
        </w:rPr>
        <w:t> </w:t>
      </w:r>
      <w:r>
        <w:rPr/>
        <w:t>the</w:t>
      </w:r>
      <w:r>
        <w:rPr>
          <w:spacing w:val="-3"/>
        </w:rPr>
        <w:t> </w:t>
      </w:r>
      <w:r>
        <w:rPr/>
        <w:t>revolving</w:t>
      </w:r>
      <w:r>
        <w:rPr>
          <w:spacing w:val="-2"/>
        </w:rPr>
        <w:t> </w:t>
      </w:r>
      <w:r>
        <w:rPr/>
        <w:t>credit</w:t>
      </w:r>
      <w:r>
        <w:rPr>
          <w:spacing w:val="-3"/>
        </w:rPr>
        <w:t> </w:t>
      </w:r>
      <w:r>
        <w:rPr/>
        <w:t>facility</w:t>
      </w:r>
      <w:r>
        <w:rPr>
          <w:spacing w:val="-2"/>
        </w:rPr>
        <w:t> </w:t>
      </w:r>
      <w:r>
        <w:rPr/>
        <w:t>was</w:t>
      </w:r>
      <w:r>
        <w:rPr>
          <w:spacing w:val="-3"/>
        </w:rPr>
        <w:t> </w:t>
      </w:r>
      <w:r>
        <w:rPr/>
        <w:t>repaid</w:t>
      </w:r>
      <w:r>
        <w:rPr>
          <w:spacing w:val="-2"/>
        </w:rPr>
        <w:t> </w:t>
      </w:r>
      <w:r>
        <w:rPr/>
        <w:t>in</w:t>
      </w:r>
      <w:r>
        <w:rPr>
          <w:spacing w:val="-3"/>
        </w:rPr>
        <w:t> </w:t>
      </w:r>
      <w:r>
        <w:rPr/>
        <w:t>November</w:t>
      </w:r>
      <w:r>
        <w:rPr>
          <w:spacing w:val="-2"/>
        </w:rPr>
        <w:t> 2022.</w:t>
      </w:r>
    </w:p>
    <w:p>
      <w:pPr>
        <w:pStyle w:val="BodyText"/>
        <w:spacing w:before="18"/>
      </w:pPr>
    </w:p>
    <w:p>
      <w:pPr>
        <w:pStyle w:val="BodyText"/>
        <w:spacing w:line="249" w:lineRule="auto"/>
        <w:ind w:left="144" w:right="118" w:firstLine="499"/>
        <w:jc w:val="both"/>
      </w:pPr>
      <w:r>
        <w:rPr>
          <w:b/>
        </w:rPr>
        <w:t>CityCenter senior credit facility. </w:t>
      </w:r>
      <w:r>
        <w:rPr/>
        <w:t>In connection with the CityCenter acquisition, the Company assumed $1.7 billion of CityCenter's indebtedness,</w:t>
      </w:r>
      <w:r>
        <w:rPr>
          <w:spacing w:val="40"/>
        </w:rPr>
        <w:t> </w:t>
      </w:r>
      <w:r>
        <w:rPr/>
        <w:t>which was repaid and extinguished in September 2021 with cash on hand.</w:t>
      </w:r>
    </w:p>
    <w:p>
      <w:pPr>
        <w:pStyle w:val="BodyText"/>
        <w:spacing w:before="204"/>
        <w:ind w:right="3656"/>
        <w:jc w:val="right"/>
      </w:pPr>
      <w:r>
        <w:rPr>
          <w:b/>
        </w:rPr>
        <w:t>Senior</w:t>
      </w:r>
      <w:r>
        <w:rPr>
          <w:b/>
          <w:spacing w:val="-6"/>
        </w:rPr>
        <w:t> </w:t>
      </w:r>
      <w:r>
        <w:rPr>
          <w:b/>
        </w:rPr>
        <w:t>notes. </w:t>
      </w:r>
      <w:r>
        <w:rPr/>
        <w:t>In</w:t>
      </w:r>
      <w:r>
        <w:rPr>
          <w:spacing w:val="-1"/>
        </w:rPr>
        <w:t> </w:t>
      </w:r>
      <w:r>
        <w:rPr/>
        <w:t>March</w:t>
      </w:r>
      <w:r>
        <w:rPr>
          <w:spacing w:val="-1"/>
        </w:rPr>
        <w:t> </w:t>
      </w:r>
      <w:r>
        <w:rPr/>
        <w:t>2022,</w:t>
      </w:r>
      <w:r>
        <w:rPr>
          <w:spacing w:val="-1"/>
        </w:rPr>
        <w:t> </w:t>
      </w:r>
      <w:r>
        <w:rPr/>
        <w:t>the</w:t>
      </w:r>
      <w:r>
        <w:rPr>
          <w:spacing w:val="-1"/>
        </w:rPr>
        <w:t> </w:t>
      </w:r>
      <w:r>
        <w:rPr/>
        <w:t>Company</w:t>
      </w:r>
      <w:r>
        <w:rPr>
          <w:spacing w:val="-1"/>
        </w:rPr>
        <w:t> </w:t>
      </w:r>
      <w:r>
        <w:rPr/>
        <w:t>repaid</w:t>
      </w:r>
      <w:r>
        <w:rPr>
          <w:spacing w:val="-1"/>
        </w:rPr>
        <w:t> </w:t>
      </w:r>
      <w:r>
        <w:rPr/>
        <w:t>its</w:t>
      </w:r>
      <w:r>
        <w:rPr>
          <w:spacing w:val="-1"/>
        </w:rPr>
        <w:t> </w:t>
      </w:r>
      <w:r>
        <w:rPr/>
        <w:t>$1.0</w:t>
      </w:r>
      <w:r>
        <w:rPr>
          <w:spacing w:val="-1"/>
        </w:rPr>
        <w:t> </w:t>
      </w:r>
      <w:r>
        <w:rPr/>
        <w:t>billion</w:t>
      </w:r>
      <w:r>
        <w:rPr>
          <w:spacing w:val="-1"/>
        </w:rPr>
        <w:t> </w:t>
      </w:r>
      <w:r>
        <w:rPr/>
        <w:t>7.75%</w:t>
      </w:r>
      <w:r>
        <w:rPr>
          <w:spacing w:val="-1"/>
        </w:rPr>
        <w:t> </w:t>
      </w:r>
      <w:r>
        <w:rPr/>
        <w:t>notes</w:t>
      </w:r>
      <w:r>
        <w:rPr>
          <w:spacing w:val="-1"/>
        </w:rPr>
        <w:t> </w:t>
      </w:r>
      <w:r>
        <w:rPr/>
        <w:t>due</w:t>
      </w:r>
      <w:r>
        <w:rPr>
          <w:spacing w:val="-1"/>
        </w:rPr>
        <w:t> </w:t>
      </w:r>
      <w:r>
        <w:rPr/>
        <w:t>2022</w:t>
      </w:r>
      <w:r>
        <w:rPr>
          <w:spacing w:val="-1"/>
        </w:rPr>
        <w:t> </w:t>
      </w:r>
      <w:r>
        <w:rPr/>
        <w:t>upon</w:t>
      </w:r>
      <w:r>
        <w:rPr>
          <w:spacing w:val="-1"/>
        </w:rPr>
        <w:t> </w:t>
      </w:r>
      <w:r>
        <w:rPr>
          <w:spacing w:val="-2"/>
        </w:rPr>
        <w:t>maturity.</w:t>
      </w:r>
    </w:p>
    <w:p>
      <w:pPr>
        <w:pStyle w:val="BodyText"/>
        <w:spacing w:before="4"/>
      </w:pPr>
    </w:p>
    <w:p>
      <w:pPr>
        <w:pStyle w:val="BodyText"/>
        <w:spacing w:line="501" w:lineRule="auto" w:before="1"/>
        <w:ind w:left="644" w:right="2861"/>
      </w:pPr>
      <w:r>
        <w:rPr/>
        <w:t>In</w:t>
      </w:r>
      <w:r>
        <w:rPr>
          <w:spacing w:val="-3"/>
        </w:rPr>
        <w:t> </w:t>
      </w:r>
      <w:r>
        <w:rPr/>
        <w:t>October</w:t>
      </w:r>
      <w:r>
        <w:rPr>
          <w:spacing w:val="-3"/>
        </w:rPr>
        <w:t> </w:t>
      </w:r>
      <w:r>
        <w:rPr/>
        <w:t>2020,</w:t>
      </w:r>
      <w:r>
        <w:rPr>
          <w:spacing w:val="-3"/>
        </w:rPr>
        <w:t> </w:t>
      </w:r>
      <w:r>
        <w:rPr/>
        <w:t>the</w:t>
      </w:r>
      <w:r>
        <w:rPr>
          <w:spacing w:val="-3"/>
        </w:rPr>
        <w:t> </w:t>
      </w:r>
      <w:r>
        <w:rPr/>
        <w:t>Company</w:t>
      </w:r>
      <w:r>
        <w:rPr>
          <w:spacing w:val="-3"/>
        </w:rPr>
        <w:t> </w:t>
      </w:r>
      <w:r>
        <w:rPr/>
        <w:t>issued</w:t>
      </w:r>
      <w:r>
        <w:rPr>
          <w:spacing w:val="-2"/>
        </w:rPr>
        <w:t> </w:t>
      </w:r>
      <w:r>
        <w:rPr/>
        <w:t>$750</w:t>
      </w:r>
      <w:r>
        <w:rPr>
          <w:spacing w:val="-3"/>
        </w:rPr>
        <w:t> </w:t>
      </w:r>
      <w:r>
        <w:rPr/>
        <w:t>million</w:t>
      </w:r>
      <w:r>
        <w:rPr>
          <w:spacing w:val="-2"/>
        </w:rPr>
        <w:t> </w:t>
      </w:r>
      <w:r>
        <w:rPr/>
        <w:t>in</w:t>
      </w:r>
      <w:r>
        <w:rPr>
          <w:spacing w:val="-3"/>
        </w:rPr>
        <w:t> </w:t>
      </w:r>
      <w:r>
        <w:rPr/>
        <w:t>aggregate</w:t>
      </w:r>
      <w:r>
        <w:rPr>
          <w:spacing w:val="-3"/>
        </w:rPr>
        <w:t> </w:t>
      </w:r>
      <w:r>
        <w:rPr/>
        <w:t>principal</w:t>
      </w:r>
      <w:r>
        <w:rPr>
          <w:spacing w:val="-3"/>
        </w:rPr>
        <w:t> </w:t>
      </w:r>
      <w:r>
        <w:rPr/>
        <w:t>amount</w:t>
      </w:r>
      <w:r>
        <w:rPr>
          <w:spacing w:val="-3"/>
        </w:rPr>
        <w:t> </w:t>
      </w:r>
      <w:r>
        <w:rPr/>
        <w:t>of</w:t>
      </w:r>
      <w:r>
        <w:rPr>
          <w:spacing w:val="-2"/>
        </w:rPr>
        <w:t> </w:t>
      </w:r>
      <w:r>
        <w:rPr/>
        <w:t>4.75%</w:t>
      </w:r>
      <w:r>
        <w:rPr>
          <w:spacing w:val="-2"/>
        </w:rPr>
        <w:t> </w:t>
      </w:r>
      <w:r>
        <w:rPr/>
        <w:t>senior</w:t>
      </w:r>
      <w:r>
        <w:rPr>
          <w:spacing w:val="-3"/>
        </w:rPr>
        <w:t> </w:t>
      </w:r>
      <w:r>
        <w:rPr/>
        <w:t>notes</w:t>
      </w:r>
      <w:r>
        <w:rPr>
          <w:spacing w:val="-3"/>
        </w:rPr>
        <w:t> </w:t>
      </w:r>
      <w:r>
        <w:rPr/>
        <w:t>due</w:t>
      </w:r>
      <w:r>
        <w:rPr>
          <w:spacing w:val="-3"/>
        </w:rPr>
        <w:t> </w:t>
      </w:r>
      <w:r>
        <w:rPr/>
        <w:t>2028. In May 2020, the Company issued $750 million in aggregate principal amount of 6.75% senior notes due 2025.</w:t>
      </w:r>
    </w:p>
    <w:p>
      <w:pPr>
        <w:pStyle w:val="BodyText"/>
        <w:spacing w:line="190" w:lineRule="exact"/>
        <w:ind w:right="118"/>
        <w:jc w:val="right"/>
      </w:pPr>
      <w:r>
        <w:rPr/>
        <w:t>In</w:t>
      </w:r>
      <w:r>
        <w:rPr>
          <w:spacing w:val="20"/>
        </w:rPr>
        <w:t> </w:t>
      </w:r>
      <w:r>
        <w:rPr/>
        <w:t>March</w:t>
      </w:r>
      <w:r>
        <w:rPr>
          <w:spacing w:val="21"/>
        </w:rPr>
        <w:t> </w:t>
      </w:r>
      <w:r>
        <w:rPr/>
        <w:t>2020,</w:t>
      </w:r>
      <w:r>
        <w:rPr>
          <w:spacing w:val="21"/>
        </w:rPr>
        <w:t> </w:t>
      </w:r>
      <w:r>
        <w:rPr/>
        <w:t>the</w:t>
      </w:r>
      <w:r>
        <w:rPr>
          <w:spacing w:val="21"/>
        </w:rPr>
        <w:t> </w:t>
      </w:r>
      <w:r>
        <w:rPr/>
        <w:t>Company</w:t>
      </w:r>
      <w:r>
        <w:rPr>
          <w:spacing w:val="21"/>
        </w:rPr>
        <w:t> </w:t>
      </w:r>
      <w:r>
        <w:rPr/>
        <w:t>completed</w:t>
      </w:r>
      <w:r>
        <w:rPr>
          <w:spacing w:val="20"/>
        </w:rPr>
        <w:t> </w:t>
      </w:r>
      <w:r>
        <w:rPr/>
        <w:t>cash</w:t>
      </w:r>
      <w:r>
        <w:rPr>
          <w:spacing w:val="21"/>
        </w:rPr>
        <w:t> </w:t>
      </w:r>
      <w:r>
        <w:rPr/>
        <w:t>tender</w:t>
      </w:r>
      <w:r>
        <w:rPr>
          <w:spacing w:val="21"/>
        </w:rPr>
        <w:t> </w:t>
      </w:r>
      <w:r>
        <w:rPr/>
        <w:t>offers</w:t>
      </w:r>
      <w:r>
        <w:rPr>
          <w:spacing w:val="21"/>
        </w:rPr>
        <w:t> </w:t>
      </w:r>
      <w:r>
        <w:rPr/>
        <w:t>for</w:t>
      </w:r>
      <w:r>
        <w:rPr>
          <w:spacing w:val="21"/>
        </w:rPr>
        <w:t> </w:t>
      </w:r>
      <w:r>
        <w:rPr/>
        <w:t>an</w:t>
      </w:r>
      <w:r>
        <w:rPr>
          <w:spacing w:val="21"/>
        </w:rPr>
        <w:t> </w:t>
      </w:r>
      <w:r>
        <w:rPr/>
        <w:t>aggregate</w:t>
      </w:r>
      <w:r>
        <w:rPr>
          <w:spacing w:val="20"/>
        </w:rPr>
        <w:t> </w:t>
      </w:r>
      <w:r>
        <w:rPr/>
        <w:t>amount</w:t>
      </w:r>
      <w:r>
        <w:rPr>
          <w:spacing w:val="21"/>
        </w:rPr>
        <w:t> </w:t>
      </w:r>
      <w:r>
        <w:rPr/>
        <w:t>of</w:t>
      </w:r>
      <w:r>
        <w:rPr>
          <w:spacing w:val="21"/>
        </w:rPr>
        <w:t> </w:t>
      </w:r>
      <w:r>
        <w:rPr/>
        <w:t>$750</w:t>
      </w:r>
      <w:r>
        <w:rPr>
          <w:spacing w:val="21"/>
        </w:rPr>
        <w:t> </w:t>
      </w:r>
      <w:r>
        <w:rPr/>
        <w:t>million</w:t>
      </w:r>
      <w:r>
        <w:rPr>
          <w:spacing w:val="21"/>
        </w:rPr>
        <w:t> </w:t>
      </w:r>
      <w:r>
        <w:rPr/>
        <w:t>of</w:t>
      </w:r>
      <w:r>
        <w:rPr>
          <w:spacing w:val="21"/>
        </w:rPr>
        <w:t> </w:t>
      </w:r>
      <w:r>
        <w:rPr/>
        <w:t>its</w:t>
      </w:r>
      <w:r>
        <w:rPr>
          <w:spacing w:val="20"/>
        </w:rPr>
        <w:t> </w:t>
      </w:r>
      <w:r>
        <w:rPr/>
        <w:t>senior</w:t>
      </w:r>
      <w:r>
        <w:rPr>
          <w:spacing w:val="21"/>
        </w:rPr>
        <w:t> </w:t>
      </w:r>
      <w:r>
        <w:rPr/>
        <w:t>notes,</w:t>
      </w:r>
      <w:r>
        <w:rPr>
          <w:spacing w:val="21"/>
        </w:rPr>
        <w:t> </w:t>
      </w:r>
      <w:r>
        <w:rPr/>
        <w:t>comprised</w:t>
      </w:r>
      <w:r>
        <w:rPr>
          <w:spacing w:val="21"/>
        </w:rPr>
        <w:t> </w:t>
      </w:r>
      <w:r>
        <w:rPr/>
        <w:t>of</w:t>
      </w:r>
      <w:r>
        <w:rPr>
          <w:spacing w:val="21"/>
        </w:rPr>
        <w:t> </w:t>
      </w:r>
      <w:r>
        <w:rPr/>
        <w:t>$325</w:t>
      </w:r>
      <w:r>
        <w:rPr>
          <w:spacing w:val="21"/>
        </w:rPr>
        <w:t> </w:t>
      </w:r>
      <w:r>
        <w:rPr>
          <w:spacing w:val="-2"/>
        </w:rPr>
        <w:t>million</w:t>
      </w:r>
    </w:p>
    <w:p>
      <w:pPr>
        <w:pStyle w:val="BodyText"/>
        <w:spacing w:line="205" w:lineRule="exact"/>
        <w:ind w:right="118"/>
        <w:jc w:val="right"/>
      </w:pPr>
      <w:r>
        <w:rPr/>
        <w:t>principal</w:t>
      </w:r>
      <w:r>
        <w:rPr>
          <w:spacing w:val="32"/>
        </w:rPr>
        <w:t> </w:t>
      </w:r>
      <w:r>
        <w:rPr/>
        <w:t>amount</w:t>
      </w:r>
      <w:r>
        <w:rPr>
          <w:spacing w:val="32"/>
        </w:rPr>
        <w:t> </w:t>
      </w:r>
      <w:r>
        <w:rPr/>
        <w:t>of</w:t>
      </w:r>
      <w:r>
        <w:rPr>
          <w:spacing w:val="32"/>
        </w:rPr>
        <w:t> </w:t>
      </w:r>
      <w:r>
        <w:rPr/>
        <w:t>its</w:t>
      </w:r>
      <w:r>
        <w:rPr>
          <w:spacing w:val="32"/>
        </w:rPr>
        <w:t> </w:t>
      </w:r>
      <w:r>
        <w:rPr/>
        <w:t>outstanding</w:t>
      </w:r>
      <w:r>
        <w:rPr>
          <w:spacing w:val="32"/>
        </w:rPr>
        <w:t> </w:t>
      </w:r>
      <w:r>
        <w:rPr/>
        <w:t>5.75%</w:t>
      </w:r>
      <w:r>
        <w:rPr>
          <w:spacing w:val="32"/>
        </w:rPr>
        <w:t> </w:t>
      </w:r>
      <w:r>
        <w:rPr/>
        <w:t>senior</w:t>
      </w:r>
      <w:r>
        <w:rPr>
          <w:spacing w:val="32"/>
        </w:rPr>
        <w:t> </w:t>
      </w:r>
      <w:r>
        <w:rPr/>
        <w:t>notes</w:t>
      </w:r>
      <w:r>
        <w:rPr>
          <w:spacing w:val="32"/>
        </w:rPr>
        <w:t> </w:t>
      </w:r>
      <w:r>
        <w:rPr/>
        <w:t>due</w:t>
      </w:r>
      <w:r>
        <w:rPr>
          <w:spacing w:val="32"/>
        </w:rPr>
        <w:t> </w:t>
      </w:r>
      <w:r>
        <w:rPr/>
        <w:t>2025,</w:t>
      </w:r>
      <w:r>
        <w:rPr>
          <w:spacing w:val="32"/>
        </w:rPr>
        <w:t> </w:t>
      </w:r>
      <w:r>
        <w:rPr/>
        <w:t>$100</w:t>
      </w:r>
      <w:r>
        <w:rPr>
          <w:spacing w:val="32"/>
        </w:rPr>
        <w:t> </w:t>
      </w:r>
      <w:r>
        <w:rPr/>
        <w:t>million</w:t>
      </w:r>
      <w:r>
        <w:rPr>
          <w:spacing w:val="32"/>
        </w:rPr>
        <w:t> </w:t>
      </w:r>
      <w:r>
        <w:rPr/>
        <w:t>principal</w:t>
      </w:r>
      <w:r>
        <w:rPr>
          <w:spacing w:val="32"/>
        </w:rPr>
        <w:t> </w:t>
      </w:r>
      <w:r>
        <w:rPr/>
        <w:t>amount</w:t>
      </w:r>
      <w:r>
        <w:rPr>
          <w:spacing w:val="32"/>
        </w:rPr>
        <w:t> </w:t>
      </w:r>
      <w:r>
        <w:rPr/>
        <w:t>of</w:t>
      </w:r>
      <w:r>
        <w:rPr>
          <w:spacing w:val="32"/>
        </w:rPr>
        <w:t> </w:t>
      </w:r>
      <w:r>
        <w:rPr/>
        <w:t>its</w:t>
      </w:r>
      <w:r>
        <w:rPr>
          <w:spacing w:val="32"/>
        </w:rPr>
        <w:t> </w:t>
      </w:r>
      <w:r>
        <w:rPr/>
        <w:t>outstanding</w:t>
      </w:r>
      <w:r>
        <w:rPr>
          <w:spacing w:val="32"/>
        </w:rPr>
        <w:t> </w:t>
      </w:r>
      <w:r>
        <w:rPr/>
        <w:t>4.625%</w:t>
      </w:r>
      <w:r>
        <w:rPr>
          <w:spacing w:val="32"/>
        </w:rPr>
        <w:t> </w:t>
      </w:r>
      <w:r>
        <w:rPr/>
        <w:t>senior</w:t>
      </w:r>
      <w:r>
        <w:rPr>
          <w:spacing w:val="32"/>
        </w:rPr>
        <w:t> </w:t>
      </w:r>
      <w:r>
        <w:rPr/>
        <w:t>notes</w:t>
      </w:r>
      <w:r>
        <w:rPr>
          <w:spacing w:val="32"/>
        </w:rPr>
        <w:t> </w:t>
      </w:r>
      <w:r>
        <w:rPr/>
        <w:t>due</w:t>
      </w:r>
      <w:r>
        <w:rPr>
          <w:spacing w:val="32"/>
        </w:rPr>
        <w:t> </w:t>
      </w:r>
      <w:r>
        <w:rPr/>
        <w:t>2026,</w:t>
      </w:r>
      <w:r>
        <w:rPr>
          <w:spacing w:val="32"/>
        </w:rPr>
        <w:t> </w:t>
      </w:r>
      <w:r>
        <w:rPr>
          <w:spacing w:val="-5"/>
        </w:rPr>
        <w:t>and</w:t>
      </w:r>
    </w:p>
    <w:p>
      <w:pPr>
        <w:pStyle w:val="BodyText"/>
        <w:spacing w:line="235" w:lineRule="auto" w:before="12"/>
        <w:ind w:left="144"/>
      </w:pPr>
      <w:r>
        <w:rPr/>
        <w:t>$325 million principal amount of its outstanding 5.5% senior notes due 2027.</w:t>
      </w:r>
      <w:r>
        <w:rPr>
          <w:spacing w:val="-10"/>
        </w:rPr>
        <w:t> </w:t>
      </w:r>
      <w:r>
        <w:rPr/>
        <w:t>As a result, the Company incurred a $105 million loss on early retirement of </w:t>
      </w:r>
      <w:r>
        <w:rPr/>
        <w:t>debt recorded in “Other, net” in the consolidated statements of operations.</w:t>
      </w:r>
    </w:p>
    <w:p>
      <w:pPr>
        <w:pStyle w:val="BodyText"/>
        <w:spacing w:before="5"/>
      </w:pPr>
    </w:p>
    <w:p>
      <w:pPr>
        <w:pStyle w:val="BodyText"/>
        <w:spacing w:line="249" w:lineRule="auto"/>
        <w:ind w:left="144" w:right="118" w:firstLine="499"/>
        <w:jc w:val="both"/>
      </w:pPr>
      <w:r>
        <w:rPr>
          <w:b/>
        </w:rPr>
        <w:t>MGP</w:t>
      </w:r>
      <w:r>
        <w:rPr>
          <w:b/>
          <w:spacing w:val="-10"/>
        </w:rPr>
        <w:t> </w:t>
      </w:r>
      <w:r>
        <w:rPr>
          <w:b/>
        </w:rPr>
        <w:t>OP</w:t>
      </w:r>
      <w:r>
        <w:rPr>
          <w:b/>
          <w:spacing w:val="-10"/>
        </w:rPr>
        <w:t> </w:t>
      </w:r>
      <w:r>
        <w:rPr>
          <w:b/>
        </w:rPr>
        <w:t>senior</w:t>
      </w:r>
      <w:r>
        <w:rPr>
          <w:b/>
          <w:spacing w:val="-4"/>
        </w:rPr>
        <w:t> </w:t>
      </w:r>
      <w:r>
        <w:rPr>
          <w:b/>
        </w:rPr>
        <w:t>notes. </w:t>
      </w:r>
      <w:r>
        <w:rPr/>
        <w:t>In</w:t>
      </w:r>
      <w:r>
        <w:rPr>
          <w:spacing w:val="-10"/>
        </w:rPr>
        <w:t> </w:t>
      </w:r>
      <w:r>
        <w:rPr/>
        <w:t>April 2022, MGP</w:t>
      </w:r>
      <w:r>
        <w:rPr>
          <w:spacing w:val="-7"/>
        </w:rPr>
        <w:t> </w:t>
      </w:r>
      <w:r>
        <w:rPr/>
        <w:t>OP</w:t>
      </w:r>
      <w:r>
        <w:rPr>
          <w:spacing w:val="-7"/>
        </w:rPr>
        <w:t> </w:t>
      </w:r>
      <w:r>
        <w:rPr/>
        <w:t>senior secured credit facility and the senior notes of MGP</w:t>
      </w:r>
      <w:r>
        <w:rPr>
          <w:spacing w:val="-7"/>
        </w:rPr>
        <w:t> </w:t>
      </w:r>
      <w:r>
        <w:rPr/>
        <w:t>OP</w:t>
      </w:r>
      <w:r>
        <w:rPr>
          <w:spacing w:val="-7"/>
        </w:rPr>
        <w:t> </w:t>
      </w:r>
      <w:r>
        <w:rPr/>
        <w:t>were derecognized in connection with </w:t>
      </w:r>
      <w:r>
        <w:rPr/>
        <w:t>the deconsolidation of MGP as a result of the VICI Transaction.</w:t>
      </w:r>
    </w:p>
    <w:p>
      <w:pPr>
        <w:pStyle w:val="BodyText"/>
        <w:spacing w:line="484" w:lineRule="auto" w:before="204"/>
        <w:ind w:left="144" w:right="3328"/>
      </w:pPr>
      <w:r>
        <w:rPr/>
        <w:t>In</w:t>
      </w:r>
      <w:r>
        <w:rPr>
          <w:spacing w:val="-3"/>
        </w:rPr>
        <w:t> </w:t>
      </w:r>
      <w:r>
        <w:rPr/>
        <w:t>November</w:t>
      </w:r>
      <w:r>
        <w:rPr>
          <w:spacing w:val="-3"/>
        </w:rPr>
        <w:t> </w:t>
      </w:r>
      <w:r>
        <w:rPr/>
        <w:t>2020,</w:t>
      </w:r>
      <w:r>
        <w:rPr>
          <w:spacing w:val="-3"/>
        </w:rPr>
        <w:t> </w:t>
      </w:r>
      <w:r>
        <w:rPr/>
        <w:t>MGP</w:t>
      </w:r>
      <w:r>
        <w:rPr>
          <w:spacing w:val="-9"/>
        </w:rPr>
        <w:t> </w:t>
      </w:r>
      <w:r>
        <w:rPr/>
        <w:t>OP</w:t>
      </w:r>
      <w:r>
        <w:rPr>
          <w:spacing w:val="-9"/>
        </w:rPr>
        <w:t> </w:t>
      </w:r>
      <w:r>
        <w:rPr/>
        <w:t>issued</w:t>
      </w:r>
      <w:r>
        <w:rPr>
          <w:spacing w:val="-3"/>
        </w:rPr>
        <w:t> </w:t>
      </w:r>
      <w:r>
        <w:rPr/>
        <w:t>$750</w:t>
      </w:r>
      <w:r>
        <w:rPr>
          <w:spacing w:val="-3"/>
        </w:rPr>
        <w:t> </w:t>
      </w:r>
      <w:r>
        <w:rPr/>
        <w:t>million</w:t>
      </w:r>
      <w:r>
        <w:rPr>
          <w:spacing w:val="-3"/>
        </w:rPr>
        <w:t> </w:t>
      </w:r>
      <w:r>
        <w:rPr/>
        <w:t>in</w:t>
      </w:r>
      <w:r>
        <w:rPr>
          <w:spacing w:val="-3"/>
        </w:rPr>
        <w:t> </w:t>
      </w:r>
      <w:r>
        <w:rPr/>
        <w:t>aggregate</w:t>
      </w:r>
      <w:r>
        <w:rPr>
          <w:spacing w:val="-3"/>
        </w:rPr>
        <w:t> </w:t>
      </w:r>
      <w:r>
        <w:rPr/>
        <w:t>principal</w:t>
      </w:r>
      <w:r>
        <w:rPr>
          <w:spacing w:val="-3"/>
        </w:rPr>
        <w:t> </w:t>
      </w:r>
      <w:r>
        <w:rPr/>
        <w:t>amount</w:t>
      </w:r>
      <w:r>
        <w:rPr>
          <w:spacing w:val="-3"/>
        </w:rPr>
        <w:t> </w:t>
      </w:r>
      <w:r>
        <w:rPr/>
        <w:t>of</w:t>
      </w:r>
      <w:r>
        <w:rPr>
          <w:spacing w:val="-2"/>
        </w:rPr>
        <w:t> </w:t>
      </w:r>
      <w:r>
        <w:rPr/>
        <w:t>3.875%</w:t>
      </w:r>
      <w:r>
        <w:rPr>
          <w:spacing w:val="-2"/>
        </w:rPr>
        <w:t> </w:t>
      </w:r>
      <w:r>
        <w:rPr/>
        <w:t>senior</w:t>
      </w:r>
      <w:r>
        <w:rPr>
          <w:spacing w:val="-3"/>
        </w:rPr>
        <w:t> </w:t>
      </w:r>
      <w:r>
        <w:rPr/>
        <w:t>notes</w:t>
      </w:r>
      <w:r>
        <w:rPr>
          <w:spacing w:val="-3"/>
        </w:rPr>
        <w:t> </w:t>
      </w:r>
      <w:r>
        <w:rPr/>
        <w:t>due</w:t>
      </w:r>
      <w:r>
        <w:rPr>
          <w:spacing w:val="-3"/>
        </w:rPr>
        <w:t> </w:t>
      </w:r>
      <w:r>
        <w:rPr/>
        <w:t>2029. In June 2020, MGP OP issued $800 million in aggregate principal amount of 4.625% senior notes due 2025.</w:t>
      </w:r>
    </w:p>
    <w:p>
      <w:pPr>
        <w:pStyle w:val="BodyText"/>
        <w:spacing w:line="235" w:lineRule="auto" w:before="18"/>
        <w:ind w:left="144" w:right="118" w:firstLine="499"/>
        <w:jc w:val="both"/>
      </w:pPr>
      <w:r>
        <w:rPr>
          <w:b/>
        </w:rPr>
        <w:t>MGM China senior</w:t>
      </w:r>
      <w:r>
        <w:rPr>
          <w:b/>
          <w:spacing w:val="-1"/>
        </w:rPr>
        <w:t> </w:t>
      </w:r>
      <w:r>
        <w:rPr>
          <w:b/>
        </w:rPr>
        <w:t>notes. </w:t>
      </w:r>
      <w:r>
        <w:rPr/>
        <w:t>In March 2021, MGM China issued $750 million in aggregate principal amount of 4.75% senior notes due 2027 at an issue price of 99.97%.</w:t>
      </w:r>
    </w:p>
    <w:p>
      <w:pPr>
        <w:pStyle w:val="BodyText"/>
        <w:spacing w:before="4"/>
      </w:pPr>
    </w:p>
    <w:p>
      <w:pPr>
        <w:pStyle w:val="BodyText"/>
        <w:spacing w:before="1"/>
        <w:ind w:right="3656"/>
        <w:jc w:val="right"/>
      </w:pPr>
      <w:r>
        <w:rPr/>
        <w:t>In</w:t>
      </w:r>
      <w:r>
        <w:rPr>
          <w:spacing w:val="-1"/>
        </w:rPr>
        <w:t> </w:t>
      </w:r>
      <w:r>
        <w:rPr/>
        <w:t>June</w:t>
      </w:r>
      <w:r>
        <w:rPr>
          <w:spacing w:val="-1"/>
        </w:rPr>
        <w:t> </w:t>
      </w:r>
      <w:r>
        <w:rPr/>
        <w:t>2020,</w:t>
      </w:r>
      <w:r>
        <w:rPr>
          <w:spacing w:val="-1"/>
        </w:rPr>
        <w:t> </w:t>
      </w:r>
      <w:r>
        <w:rPr/>
        <w:t>MGM</w:t>
      </w:r>
      <w:r>
        <w:rPr>
          <w:spacing w:val="-1"/>
        </w:rPr>
        <w:t> </w:t>
      </w:r>
      <w:r>
        <w:rPr/>
        <w:t>China</w:t>
      </w:r>
      <w:r>
        <w:rPr>
          <w:spacing w:val="-1"/>
        </w:rPr>
        <w:t> </w:t>
      </w:r>
      <w:r>
        <w:rPr/>
        <w:t>issued $500</w:t>
      </w:r>
      <w:r>
        <w:rPr>
          <w:spacing w:val="-1"/>
        </w:rPr>
        <w:t> </w:t>
      </w:r>
      <w:r>
        <w:rPr/>
        <w:t>million in</w:t>
      </w:r>
      <w:r>
        <w:rPr>
          <w:spacing w:val="-1"/>
        </w:rPr>
        <w:t> </w:t>
      </w:r>
      <w:r>
        <w:rPr/>
        <w:t>aggregate</w:t>
      </w:r>
      <w:r>
        <w:rPr>
          <w:spacing w:val="-1"/>
        </w:rPr>
        <w:t> </w:t>
      </w:r>
      <w:r>
        <w:rPr/>
        <w:t>principal</w:t>
      </w:r>
      <w:r>
        <w:rPr>
          <w:spacing w:val="-1"/>
        </w:rPr>
        <w:t> </w:t>
      </w:r>
      <w:r>
        <w:rPr/>
        <w:t>amount</w:t>
      </w:r>
      <w:r>
        <w:rPr>
          <w:spacing w:val="-1"/>
        </w:rPr>
        <w:t> </w:t>
      </w:r>
      <w:r>
        <w:rPr/>
        <w:t>of 5.25% senior</w:t>
      </w:r>
      <w:r>
        <w:rPr>
          <w:spacing w:val="-1"/>
        </w:rPr>
        <w:t> </w:t>
      </w:r>
      <w:r>
        <w:rPr/>
        <w:t>notes</w:t>
      </w:r>
      <w:r>
        <w:rPr>
          <w:spacing w:val="-1"/>
        </w:rPr>
        <w:t> </w:t>
      </w:r>
      <w:r>
        <w:rPr/>
        <w:t>due</w:t>
      </w:r>
      <w:r>
        <w:rPr>
          <w:spacing w:val="-1"/>
        </w:rPr>
        <w:t> </w:t>
      </w:r>
      <w:r>
        <w:rPr>
          <w:spacing w:val="-2"/>
        </w:rPr>
        <w:t>2025.</w:t>
      </w:r>
    </w:p>
    <w:p>
      <w:pPr>
        <w:pStyle w:val="BodyText"/>
        <w:spacing w:before="4"/>
      </w:pPr>
    </w:p>
    <w:p>
      <w:pPr>
        <w:pStyle w:val="BodyText"/>
        <w:spacing w:line="249" w:lineRule="auto"/>
        <w:ind w:left="144" w:right="117" w:firstLine="499"/>
        <w:jc w:val="both"/>
      </w:pPr>
      <w:r>
        <w:rPr>
          <w:b/>
        </w:rPr>
        <w:t>LeoVegas senior unsecured notes. </w:t>
      </w:r>
      <w:r>
        <w:rPr/>
        <w:t>Upon the Company’s acquisition of LeoVegas, LeoVegas had senior unsecured notes of SEK 700 million in aggregate principal outstanding with an option to increase the issuance to SEK 800 million. The senior unsecured notes contain change-of-control provisions which provided for the holders to request that all or a portion of the principal amount held be repurchased at a price of 101%, together with accrued </w:t>
      </w:r>
      <w:r>
        <w:rPr/>
        <w:t>interest, during a period following notice. In connection with the change-of-control provisions, an aggregate of SEK 319 million of senior unsecured notes were repurchased in November and December 2022.</w:t>
      </w:r>
    </w:p>
    <w:p>
      <w:pPr>
        <w:pStyle w:val="BodyText"/>
        <w:spacing w:before="13"/>
      </w:pPr>
    </w:p>
    <w:p>
      <w:pPr>
        <w:pStyle w:val="BodyText"/>
        <w:spacing w:line="249" w:lineRule="auto"/>
        <w:ind w:left="144" w:right="118" w:firstLine="499"/>
        <w:jc w:val="both"/>
      </w:pPr>
      <w:r>
        <w:rPr/>
        <w:t>The notes mature in December 2023 with interest payable quarterly in arrears at an interest rate that resets quarterly based on Stockholm Interbank Offered Rate plus 550 basis points.</w:t>
      </w:r>
      <w:r>
        <w:rPr>
          <w:spacing w:val="-3"/>
        </w:rPr>
        <w:t> </w:t>
      </w:r>
      <w:r>
        <w:rPr/>
        <w:t>As of December 31, 2022, the interest rate in effect was 7.99%.</w:t>
      </w:r>
    </w:p>
    <w:p>
      <w:pPr>
        <w:pStyle w:val="BodyText"/>
        <w:spacing w:before="10"/>
      </w:pPr>
    </w:p>
    <w:p>
      <w:pPr>
        <w:spacing w:before="0"/>
        <w:ind w:left="88" w:right="142" w:firstLine="0"/>
        <w:jc w:val="center"/>
        <w:rPr>
          <w:sz w:val="18"/>
        </w:rPr>
      </w:pPr>
      <w:r>
        <w:rPr>
          <w:b/>
          <w:sz w:val="18"/>
        </w:rPr>
        <w:t>Maturities</w:t>
      </w:r>
      <w:r>
        <w:rPr>
          <w:b/>
          <w:spacing w:val="-2"/>
          <w:sz w:val="18"/>
        </w:rPr>
        <w:t> </w:t>
      </w:r>
      <w:r>
        <w:rPr>
          <w:b/>
          <w:sz w:val="18"/>
        </w:rPr>
        <w:t>of</w:t>
      </w:r>
      <w:r>
        <w:rPr>
          <w:b/>
          <w:spacing w:val="-1"/>
          <w:sz w:val="18"/>
        </w:rPr>
        <w:t> </w:t>
      </w:r>
      <w:r>
        <w:rPr>
          <w:b/>
          <w:sz w:val="18"/>
        </w:rPr>
        <w:t>long-term</w:t>
      </w:r>
      <w:r>
        <w:rPr>
          <w:b/>
          <w:spacing w:val="-2"/>
          <w:sz w:val="18"/>
        </w:rPr>
        <w:t> </w:t>
      </w:r>
      <w:r>
        <w:rPr>
          <w:b/>
          <w:sz w:val="18"/>
        </w:rPr>
        <w:t>debt. </w:t>
      </w:r>
      <w:r>
        <w:rPr>
          <w:sz w:val="18"/>
        </w:rPr>
        <w:t>The</w:t>
      </w:r>
      <w:r>
        <w:rPr>
          <w:spacing w:val="-2"/>
          <w:sz w:val="18"/>
        </w:rPr>
        <w:t> </w:t>
      </w:r>
      <w:r>
        <w:rPr>
          <w:sz w:val="18"/>
        </w:rPr>
        <w:t>maturities</w:t>
      </w:r>
      <w:r>
        <w:rPr>
          <w:spacing w:val="-1"/>
          <w:sz w:val="18"/>
        </w:rPr>
        <w:t> </w:t>
      </w:r>
      <w:r>
        <w:rPr>
          <w:sz w:val="18"/>
        </w:rPr>
        <w:t>of</w:t>
      </w:r>
      <w:r>
        <w:rPr>
          <w:spacing w:val="-2"/>
          <w:sz w:val="18"/>
        </w:rPr>
        <w:t> </w:t>
      </w:r>
      <w:r>
        <w:rPr>
          <w:sz w:val="18"/>
        </w:rPr>
        <w:t>the</w:t>
      </w:r>
      <w:r>
        <w:rPr>
          <w:spacing w:val="-1"/>
          <w:sz w:val="18"/>
        </w:rPr>
        <w:t> </w:t>
      </w:r>
      <w:r>
        <w:rPr>
          <w:sz w:val="18"/>
        </w:rPr>
        <w:t>principal</w:t>
      </w:r>
      <w:r>
        <w:rPr>
          <w:spacing w:val="-2"/>
          <w:sz w:val="18"/>
        </w:rPr>
        <w:t> </w:t>
      </w:r>
      <w:r>
        <w:rPr>
          <w:sz w:val="18"/>
        </w:rPr>
        <w:t>amount</w:t>
      </w:r>
      <w:r>
        <w:rPr>
          <w:spacing w:val="-1"/>
          <w:sz w:val="18"/>
        </w:rPr>
        <w:t> </w:t>
      </w:r>
      <w:r>
        <w:rPr>
          <w:sz w:val="18"/>
        </w:rPr>
        <w:t>of</w:t>
      </w:r>
      <w:r>
        <w:rPr>
          <w:spacing w:val="-1"/>
          <w:sz w:val="18"/>
        </w:rPr>
        <w:t> </w:t>
      </w:r>
      <w:r>
        <w:rPr>
          <w:sz w:val="18"/>
        </w:rPr>
        <w:t>the</w:t>
      </w:r>
      <w:r>
        <w:rPr>
          <w:spacing w:val="-2"/>
          <w:sz w:val="18"/>
        </w:rPr>
        <w:t> </w:t>
      </w:r>
      <w:r>
        <w:rPr>
          <w:sz w:val="18"/>
        </w:rPr>
        <w:t>Company’s</w:t>
      </w:r>
      <w:r>
        <w:rPr>
          <w:spacing w:val="-1"/>
          <w:sz w:val="18"/>
        </w:rPr>
        <w:t> </w:t>
      </w:r>
      <w:r>
        <w:rPr>
          <w:sz w:val="18"/>
        </w:rPr>
        <w:t>long-term</w:t>
      </w:r>
      <w:r>
        <w:rPr>
          <w:spacing w:val="-2"/>
          <w:sz w:val="18"/>
        </w:rPr>
        <w:t> </w:t>
      </w:r>
      <w:r>
        <w:rPr>
          <w:sz w:val="18"/>
        </w:rPr>
        <w:t>debt</w:t>
      </w:r>
      <w:r>
        <w:rPr>
          <w:spacing w:val="-1"/>
          <w:sz w:val="18"/>
        </w:rPr>
        <w:t> </w:t>
      </w:r>
      <w:r>
        <w:rPr>
          <w:sz w:val="18"/>
        </w:rPr>
        <w:t>as</w:t>
      </w:r>
      <w:r>
        <w:rPr>
          <w:spacing w:val="-2"/>
          <w:sz w:val="18"/>
        </w:rPr>
        <w:t> </w:t>
      </w:r>
      <w:r>
        <w:rPr>
          <w:sz w:val="18"/>
        </w:rPr>
        <w:t>of</w:t>
      </w:r>
      <w:r>
        <w:rPr>
          <w:spacing w:val="-1"/>
          <w:sz w:val="18"/>
        </w:rPr>
        <w:t> </w:t>
      </w:r>
      <w:r>
        <w:rPr>
          <w:sz w:val="18"/>
        </w:rPr>
        <w:t>December</w:t>
      </w:r>
      <w:r>
        <w:rPr>
          <w:spacing w:val="-2"/>
          <w:sz w:val="18"/>
        </w:rPr>
        <w:t> </w:t>
      </w:r>
      <w:r>
        <w:rPr>
          <w:sz w:val="18"/>
        </w:rPr>
        <w:t>31,</w:t>
      </w:r>
      <w:r>
        <w:rPr>
          <w:spacing w:val="-1"/>
          <w:sz w:val="18"/>
        </w:rPr>
        <w:t> </w:t>
      </w:r>
      <w:r>
        <w:rPr>
          <w:sz w:val="18"/>
        </w:rPr>
        <w:t>2022</w:t>
      </w:r>
      <w:r>
        <w:rPr>
          <w:spacing w:val="-2"/>
          <w:sz w:val="18"/>
        </w:rPr>
        <w:t> </w:t>
      </w:r>
      <w:r>
        <w:rPr>
          <w:sz w:val="18"/>
        </w:rPr>
        <w:t>are</w:t>
      </w:r>
      <w:r>
        <w:rPr>
          <w:spacing w:val="-1"/>
          <w:sz w:val="18"/>
        </w:rPr>
        <w:t> </w:t>
      </w:r>
      <w:r>
        <w:rPr>
          <w:sz w:val="18"/>
        </w:rPr>
        <w:t>as</w:t>
      </w:r>
      <w:r>
        <w:rPr>
          <w:spacing w:val="-1"/>
          <w:sz w:val="18"/>
        </w:rPr>
        <w:t> </w:t>
      </w:r>
      <w:r>
        <w:rPr>
          <w:spacing w:val="-2"/>
          <w:sz w:val="18"/>
        </w:rPr>
        <w:t>follows:</w:t>
      </w:r>
    </w:p>
    <w:p>
      <w:pPr>
        <w:pStyle w:val="BodyText"/>
        <w:spacing w:before="57"/>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7"/>
        <w:gridCol w:w="5498"/>
      </w:tblGrid>
      <w:tr>
        <w:trPr>
          <w:trHeight w:val="234" w:hRule="atLeast"/>
        </w:trPr>
        <w:tc>
          <w:tcPr>
            <w:tcW w:w="6017" w:type="dxa"/>
          </w:tcPr>
          <w:p>
            <w:pPr>
              <w:pStyle w:val="TableParagraph"/>
              <w:spacing w:line="199" w:lineRule="exact" w:before="0"/>
              <w:ind w:left="17"/>
              <w:rPr>
                <w:b/>
                <w:sz w:val="18"/>
              </w:rPr>
            </w:pPr>
            <w:r>
              <w:rPr>
                <w:b/>
                <w:sz w:val="18"/>
              </w:rPr>
              <w:t>Year</w:t>
            </w:r>
            <w:r>
              <w:rPr>
                <w:b/>
                <w:spacing w:val="-13"/>
                <w:sz w:val="18"/>
              </w:rPr>
              <w:t> </w:t>
            </w:r>
            <w:r>
              <w:rPr>
                <w:b/>
                <w:sz w:val="18"/>
              </w:rPr>
              <w:t>ending</w:t>
            </w:r>
            <w:r>
              <w:rPr>
                <w:b/>
                <w:spacing w:val="-8"/>
                <w:sz w:val="18"/>
              </w:rPr>
              <w:t> </w:t>
            </w:r>
            <w:r>
              <w:rPr>
                <w:b/>
                <w:sz w:val="18"/>
              </w:rPr>
              <w:t>December</w:t>
            </w:r>
            <w:r>
              <w:rPr>
                <w:b/>
                <w:spacing w:val="-10"/>
                <w:sz w:val="18"/>
              </w:rPr>
              <w:t> </w:t>
            </w:r>
            <w:r>
              <w:rPr>
                <w:b/>
                <w:spacing w:val="-5"/>
                <w:sz w:val="18"/>
              </w:rPr>
              <w:t>31,</w:t>
            </w:r>
          </w:p>
        </w:tc>
        <w:tc>
          <w:tcPr>
            <w:tcW w:w="5498" w:type="dxa"/>
          </w:tcPr>
          <w:p>
            <w:pPr>
              <w:pStyle w:val="TableParagraph"/>
              <w:spacing w:before="16"/>
              <w:ind w:right="324"/>
              <w:jc w:val="right"/>
              <w:rPr>
                <w:b/>
                <w:i/>
                <w:sz w:val="14"/>
              </w:rPr>
            </w:pPr>
            <w:r>
              <w:rPr>
                <w:b/>
                <w:i/>
                <w:sz w:val="14"/>
              </w:rPr>
              <w:t>(In</w:t>
            </w:r>
            <w:r>
              <w:rPr>
                <w:b/>
                <w:i/>
                <w:spacing w:val="3"/>
                <w:sz w:val="14"/>
              </w:rPr>
              <w:t> </w:t>
            </w:r>
            <w:r>
              <w:rPr>
                <w:b/>
                <w:i/>
                <w:spacing w:val="-2"/>
                <w:sz w:val="14"/>
              </w:rPr>
              <w:t>thousands)</w:t>
            </w:r>
          </w:p>
        </w:tc>
      </w:tr>
      <w:tr>
        <w:trPr>
          <w:trHeight w:val="263" w:hRule="atLeast"/>
        </w:trPr>
        <w:tc>
          <w:tcPr>
            <w:tcW w:w="6017" w:type="dxa"/>
            <w:shd w:val="clear" w:color="auto" w:fill="CFF0FB"/>
          </w:tcPr>
          <w:p>
            <w:pPr>
              <w:pStyle w:val="TableParagraph"/>
              <w:spacing w:before="14"/>
              <w:ind w:left="217"/>
              <w:rPr>
                <w:sz w:val="18"/>
              </w:rPr>
            </w:pPr>
            <w:r>
              <w:rPr>
                <w:spacing w:val="-4"/>
                <w:sz w:val="18"/>
              </w:rPr>
              <w:t>2023</w:t>
            </w:r>
          </w:p>
        </w:tc>
        <w:tc>
          <w:tcPr>
            <w:tcW w:w="5498" w:type="dxa"/>
            <w:shd w:val="clear" w:color="auto" w:fill="CFF0FB"/>
          </w:tcPr>
          <w:p>
            <w:pPr>
              <w:pStyle w:val="TableParagraph"/>
              <w:tabs>
                <w:tab w:pos="718" w:val="left" w:leader="none"/>
              </w:tabs>
              <w:spacing w:before="27"/>
              <w:ind w:right="70"/>
              <w:jc w:val="right"/>
              <w:rPr>
                <w:sz w:val="18"/>
              </w:rPr>
            </w:pPr>
            <w:r>
              <w:rPr>
                <w:spacing w:val="-10"/>
                <w:sz w:val="18"/>
              </w:rPr>
              <w:t>$</w:t>
            </w:r>
            <w:r>
              <w:rPr>
                <w:sz w:val="18"/>
              </w:rPr>
              <w:tab/>
            </w:r>
            <w:r>
              <w:rPr>
                <w:spacing w:val="-2"/>
                <w:sz w:val="18"/>
              </w:rPr>
              <w:t>1,286,580</w:t>
            </w:r>
          </w:p>
        </w:tc>
      </w:tr>
      <w:tr>
        <w:trPr>
          <w:trHeight w:val="256" w:hRule="atLeast"/>
        </w:trPr>
        <w:tc>
          <w:tcPr>
            <w:tcW w:w="6017" w:type="dxa"/>
          </w:tcPr>
          <w:p>
            <w:pPr>
              <w:pStyle w:val="TableParagraph"/>
              <w:ind w:left="217"/>
              <w:rPr>
                <w:sz w:val="18"/>
              </w:rPr>
            </w:pPr>
            <w:r>
              <w:rPr>
                <w:spacing w:val="-4"/>
                <w:sz w:val="18"/>
              </w:rPr>
              <w:t>2024</w:t>
            </w:r>
          </w:p>
        </w:tc>
        <w:tc>
          <w:tcPr>
            <w:tcW w:w="5498" w:type="dxa"/>
          </w:tcPr>
          <w:p>
            <w:pPr>
              <w:pStyle w:val="TableParagraph"/>
              <w:ind w:right="70"/>
              <w:jc w:val="right"/>
              <w:rPr>
                <w:sz w:val="18"/>
              </w:rPr>
            </w:pPr>
            <w:r>
              <w:rPr>
                <w:spacing w:val="-2"/>
                <w:sz w:val="18"/>
              </w:rPr>
              <w:t>2,224,057</w:t>
            </w:r>
          </w:p>
        </w:tc>
      </w:tr>
      <w:tr>
        <w:trPr>
          <w:trHeight w:val="256" w:hRule="atLeast"/>
        </w:trPr>
        <w:tc>
          <w:tcPr>
            <w:tcW w:w="6017" w:type="dxa"/>
            <w:shd w:val="clear" w:color="auto" w:fill="CFF0FB"/>
          </w:tcPr>
          <w:p>
            <w:pPr>
              <w:pStyle w:val="TableParagraph"/>
              <w:ind w:left="217"/>
              <w:rPr>
                <w:sz w:val="18"/>
              </w:rPr>
            </w:pPr>
            <w:r>
              <w:rPr>
                <w:spacing w:val="-4"/>
                <w:sz w:val="18"/>
              </w:rPr>
              <w:t>2025</w:t>
            </w:r>
          </w:p>
        </w:tc>
        <w:tc>
          <w:tcPr>
            <w:tcW w:w="5498" w:type="dxa"/>
            <w:shd w:val="clear" w:color="auto" w:fill="CFF0FB"/>
          </w:tcPr>
          <w:p>
            <w:pPr>
              <w:pStyle w:val="TableParagraph"/>
              <w:ind w:right="70"/>
              <w:jc w:val="right"/>
              <w:rPr>
                <w:sz w:val="18"/>
              </w:rPr>
            </w:pPr>
            <w:r>
              <w:rPr>
                <w:spacing w:val="-2"/>
                <w:sz w:val="18"/>
              </w:rPr>
              <w:t>1,925,000</w:t>
            </w:r>
          </w:p>
        </w:tc>
      </w:tr>
      <w:tr>
        <w:trPr>
          <w:trHeight w:val="256" w:hRule="atLeast"/>
        </w:trPr>
        <w:tc>
          <w:tcPr>
            <w:tcW w:w="6017" w:type="dxa"/>
          </w:tcPr>
          <w:p>
            <w:pPr>
              <w:pStyle w:val="TableParagraph"/>
              <w:ind w:left="217"/>
              <w:rPr>
                <w:sz w:val="18"/>
              </w:rPr>
            </w:pPr>
            <w:r>
              <w:rPr>
                <w:spacing w:val="-4"/>
                <w:sz w:val="18"/>
              </w:rPr>
              <w:t>2026</w:t>
            </w:r>
          </w:p>
        </w:tc>
        <w:tc>
          <w:tcPr>
            <w:tcW w:w="5498" w:type="dxa"/>
          </w:tcPr>
          <w:p>
            <w:pPr>
              <w:pStyle w:val="TableParagraph"/>
              <w:ind w:right="70"/>
              <w:jc w:val="right"/>
              <w:rPr>
                <w:sz w:val="18"/>
              </w:rPr>
            </w:pPr>
            <w:r>
              <w:rPr>
                <w:spacing w:val="-2"/>
                <w:sz w:val="18"/>
              </w:rPr>
              <w:t>1,150,000</w:t>
            </w:r>
          </w:p>
        </w:tc>
      </w:tr>
      <w:tr>
        <w:trPr>
          <w:trHeight w:val="256" w:hRule="atLeast"/>
        </w:trPr>
        <w:tc>
          <w:tcPr>
            <w:tcW w:w="6017" w:type="dxa"/>
            <w:shd w:val="clear" w:color="auto" w:fill="CFF0FB"/>
          </w:tcPr>
          <w:p>
            <w:pPr>
              <w:pStyle w:val="TableParagraph"/>
              <w:ind w:left="217"/>
              <w:rPr>
                <w:sz w:val="18"/>
              </w:rPr>
            </w:pPr>
            <w:r>
              <w:rPr>
                <w:spacing w:val="-4"/>
                <w:sz w:val="18"/>
              </w:rPr>
              <w:t>2027</w:t>
            </w:r>
          </w:p>
        </w:tc>
        <w:tc>
          <w:tcPr>
            <w:tcW w:w="5498" w:type="dxa"/>
            <w:shd w:val="clear" w:color="auto" w:fill="CFF0FB"/>
          </w:tcPr>
          <w:p>
            <w:pPr>
              <w:pStyle w:val="TableParagraph"/>
              <w:ind w:right="70"/>
              <w:jc w:val="right"/>
              <w:rPr>
                <w:sz w:val="18"/>
              </w:rPr>
            </w:pPr>
            <w:r>
              <w:rPr>
                <w:spacing w:val="-2"/>
                <w:sz w:val="18"/>
              </w:rPr>
              <w:t>1,425,000</w:t>
            </w:r>
          </w:p>
        </w:tc>
      </w:tr>
      <w:tr>
        <w:trPr>
          <w:trHeight w:val="276" w:hRule="atLeast"/>
        </w:trPr>
        <w:tc>
          <w:tcPr>
            <w:tcW w:w="6017" w:type="dxa"/>
          </w:tcPr>
          <w:p>
            <w:pPr>
              <w:pStyle w:val="TableParagraph"/>
              <w:ind w:left="217"/>
              <w:rPr>
                <w:sz w:val="18"/>
              </w:rPr>
            </w:pPr>
            <w:r>
              <w:rPr>
                <w:spacing w:val="-2"/>
                <w:sz w:val="18"/>
              </w:rPr>
              <w:t>Thereafter</w:t>
            </w:r>
          </w:p>
        </w:tc>
        <w:tc>
          <w:tcPr>
            <w:tcW w:w="5498" w:type="dxa"/>
          </w:tcPr>
          <w:p>
            <w:pPr>
              <w:pStyle w:val="TableParagraph"/>
              <w:ind w:right="70"/>
              <w:jc w:val="right"/>
              <w:rPr>
                <w:sz w:val="18"/>
              </w:rPr>
            </w:pPr>
            <w:r>
              <w:rPr>
                <w:spacing w:val="-2"/>
                <w:sz w:val="18"/>
              </w:rPr>
              <w:t>750,552</w:t>
            </w:r>
          </w:p>
        </w:tc>
      </w:tr>
      <w:tr>
        <w:trPr>
          <w:trHeight w:val="290" w:hRule="atLeast"/>
        </w:trPr>
        <w:tc>
          <w:tcPr>
            <w:tcW w:w="6017" w:type="dxa"/>
            <w:shd w:val="clear" w:color="auto" w:fill="CFF0FB"/>
          </w:tcPr>
          <w:p>
            <w:pPr>
              <w:pStyle w:val="TableParagraph"/>
              <w:spacing w:before="0"/>
              <w:rPr>
                <w:sz w:val="16"/>
              </w:rPr>
            </w:pPr>
          </w:p>
        </w:tc>
        <w:tc>
          <w:tcPr>
            <w:tcW w:w="5498" w:type="dxa"/>
            <w:shd w:val="clear" w:color="auto" w:fill="CFF0FB"/>
          </w:tcPr>
          <w:p>
            <w:pPr>
              <w:pStyle w:val="TableParagraph"/>
              <w:tabs>
                <w:tab w:pos="718" w:val="left" w:leader="none"/>
              </w:tabs>
              <w:spacing w:before="27"/>
              <w:ind w:right="70"/>
              <w:jc w:val="right"/>
              <w:rPr>
                <w:sz w:val="18"/>
              </w:rPr>
            </w:pPr>
            <w:r>
              <w:rPr>
                <w:spacing w:val="-10"/>
                <w:sz w:val="18"/>
              </w:rPr>
              <w:t>$</w:t>
            </w:r>
            <w:r>
              <w:rPr>
                <w:sz w:val="18"/>
              </w:rPr>
              <w:tab/>
            </w:r>
            <w:r>
              <w:rPr>
                <w:spacing w:val="-2"/>
                <w:sz w:val="18"/>
              </w:rPr>
              <w:t>8,761,189</w:t>
            </w:r>
          </w:p>
        </w:tc>
      </w:tr>
    </w:tbl>
    <w:p>
      <w:pPr>
        <w:pStyle w:val="BodyText"/>
        <w:spacing w:before="114"/>
      </w:pPr>
    </w:p>
    <w:p>
      <w:pPr>
        <w:pStyle w:val="BodyText"/>
        <w:spacing w:line="249" w:lineRule="auto" w:before="1"/>
        <w:ind w:left="144" w:right="118" w:firstLine="499"/>
        <w:jc w:val="both"/>
      </w:pPr>
      <w:r>
        <w:rPr>
          <w:b/>
        </w:rPr>
        <w:t>Fair value of long-term debt. </w:t>
      </w:r>
      <w:r>
        <w:rPr/>
        <w:t>The estimated fair value of the Company’s long-term debt was $8.4 billion and $13.4 billion at December 31, 2022 </w:t>
      </w:r>
      <w:r>
        <w:rPr/>
        <w:t>and 2021, respectively.</w:t>
      </w:r>
    </w:p>
    <w:p>
      <w:pPr>
        <w:pStyle w:val="BodyText"/>
      </w:pPr>
    </w:p>
    <w:p>
      <w:pPr>
        <w:pStyle w:val="BodyText"/>
      </w:pPr>
    </w:p>
    <w:p>
      <w:pPr>
        <w:pStyle w:val="BodyText"/>
        <w:spacing w:before="190"/>
      </w:pPr>
    </w:p>
    <w:p>
      <w:pPr>
        <w:pStyle w:val="BodyText"/>
        <w:ind w:left="24"/>
        <w:jc w:val="center"/>
      </w:pPr>
      <w:r>
        <w:rPr>
          <w:spacing w:val="-5"/>
        </w:rPr>
        <w:t>82</w:t>
      </w:r>
    </w:p>
    <w:p>
      <w:pPr>
        <w:pStyle w:val="BodyText"/>
        <w:spacing w:before="3"/>
        <w:rPr>
          <w:sz w:val="6"/>
        </w:rPr>
      </w:pPr>
      <w:r>
        <w:rPr/>
        <mc:AlternateContent>
          <mc:Choice Requires="wps">
            <w:drawing>
              <wp:anchor distT="0" distB="0" distL="0" distR="0" allowOverlap="1" layoutInCell="1" locked="0" behindDoc="1" simplePos="0" relativeHeight="487693312">
                <wp:simplePos x="0" y="0"/>
                <wp:positionH relativeFrom="page">
                  <wp:posOffset>231457</wp:posOffset>
                </wp:positionH>
                <wp:positionV relativeFrom="paragraph">
                  <wp:posOffset>60956</wp:posOffset>
                </wp:positionV>
                <wp:extent cx="7312659" cy="17145"/>
                <wp:effectExtent l="0" t="0" r="0" b="0"/>
                <wp:wrapTopAndBottom/>
                <wp:docPr id="531" name="Group 531"/>
                <wp:cNvGraphicFramePr>
                  <a:graphicFrameLocks/>
                </wp:cNvGraphicFramePr>
                <a:graphic>
                  <a:graphicData uri="http://schemas.microsoft.com/office/word/2010/wordprocessingGroup">
                    <wpg:wgp>
                      <wpg:cNvPr id="531" name="Group 531"/>
                      <wpg:cNvGrpSpPr/>
                      <wpg:grpSpPr>
                        <a:xfrm>
                          <a:off x="0" y="0"/>
                          <a:ext cx="7312659" cy="17145"/>
                          <a:chExt cx="7312659" cy="17145"/>
                        </a:xfrm>
                      </wpg:grpSpPr>
                      <wps:wsp>
                        <wps:cNvPr id="532" name="Graphic 53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33" name="Graphic 533"/>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34" name="Graphic 53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23168;mso-wrap-distance-left:0;mso-wrap-distance-right:0" id="docshapegroup529" coordorigin="364,96" coordsize="11516,27">
                <v:rect style="position:absolute;left:364;top:96;width:11516;height:14" id="docshape530" filled="true" fillcolor="#999999" stroked="false">
                  <v:fill type="solid"/>
                </v:rect>
                <v:shape style="position:absolute;left:364;top:95;width:11516;height:27" id="docshape531" coordorigin="364,96" coordsize="11516,27" path="m11880,96l11866,109,364,109,364,123,11866,123,11880,123,11880,109,11880,96xe" filled="true" fillcolor="#ededed" stroked="false">
                  <v:path arrowok="t"/>
                  <v:fill type="solid"/>
                </v:shape>
                <v:shape style="position:absolute;left:364;top:96;width:14;height:27" id="docshape532"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4"/>
        <w:spacing w:before="69"/>
      </w:pPr>
      <w:r>
        <w:rPr/>
        <w:t>NOTE</w:t>
      </w:r>
      <w:r>
        <w:rPr>
          <w:spacing w:val="-1"/>
        </w:rPr>
        <w:t> </w:t>
      </w:r>
      <w:r>
        <w:rPr/>
        <w:t>10</w:t>
      </w:r>
      <w:r>
        <w:rPr>
          <w:spacing w:val="-1"/>
        </w:rPr>
        <w:t> </w:t>
      </w:r>
      <w:r>
        <w:rPr/>
        <w:t>—</w:t>
      </w:r>
      <w:r>
        <w:rPr>
          <w:spacing w:val="-1"/>
        </w:rPr>
        <w:t> </w:t>
      </w:r>
      <w:r>
        <w:rPr/>
        <w:t>INCOME</w:t>
      </w:r>
      <w:r>
        <w:rPr>
          <w:spacing w:val="-4"/>
        </w:rPr>
        <w:t> </w:t>
      </w:r>
      <w:r>
        <w:rPr>
          <w:spacing w:val="-2"/>
        </w:rPr>
        <w:t>TAXES</w:t>
      </w:r>
    </w:p>
    <w:p>
      <w:pPr>
        <w:pStyle w:val="BodyText"/>
        <w:spacing w:before="21"/>
        <w:rPr>
          <w:b/>
        </w:rPr>
      </w:pPr>
    </w:p>
    <w:p>
      <w:pPr>
        <w:pStyle w:val="BodyText"/>
        <w:spacing w:line="235" w:lineRule="auto" w:before="1"/>
        <w:ind w:left="144" w:right="118" w:firstLine="499"/>
        <w:jc w:val="both"/>
      </w:pPr>
      <w:r>
        <w:rPr/>
        <w:t>The Company recognizes deferred income tax assets, net of applicable reserves, related to net operating losses, tax credit carryforwards and certain temporary differences.</w:t>
      </w:r>
      <w:r>
        <w:rPr>
          <w:spacing w:val="-1"/>
        </w:rPr>
        <w:t> </w:t>
      </w:r>
      <w:r>
        <w:rPr/>
        <w:t>The Company recognizes future tax benefits to the extent that realization of such benefit is more likely than not. Otherwise, a valuation allowance is applied.</w:t>
      </w:r>
    </w:p>
    <w:p>
      <w:pPr>
        <w:pStyle w:val="BodyText"/>
        <w:spacing w:before="17"/>
      </w:pPr>
    </w:p>
    <w:p>
      <w:pPr>
        <w:pStyle w:val="BodyText"/>
        <w:spacing w:before="1"/>
        <w:ind w:left="644"/>
      </w:pPr>
      <w:r>
        <w:rPr/>
        <w:t>Income</w:t>
      </w:r>
      <w:r>
        <w:rPr>
          <w:spacing w:val="-1"/>
        </w:rPr>
        <w:t> </w:t>
      </w:r>
      <w:r>
        <w:rPr/>
        <w:t>(loss)</w:t>
      </w:r>
      <w:r>
        <w:rPr>
          <w:spacing w:val="-1"/>
        </w:rPr>
        <w:t> </w:t>
      </w:r>
      <w:r>
        <w:rPr/>
        <w:t>before</w:t>
      </w:r>
      <w:r>
        <w:rPr>
          <w:spacing w:val="-1"/>
        </w:rPr>
        <w:t> </w:t>
      </w:r>
      <w:r>
        <w:rPr/>
        <w:t>income</w:t>
      </w:r>
      <w:r>
        <w:rPr>
          <w:spacing w:val="-1"/>
        </w:rPr>
        <w:t> </w:t>
      </w:r>
      <w:r>
        <w:rPr/>
        <w:t>taxes</w:t>
      </w:r>
      <w:r>
        <w:rPr>
          <w:spacing w:val="-1"/>
        </w:rPr>
        <w:t> </w:t>
      </w:r>
      <w:r>
        <w:rPr/>
        <w:t>for</w:t>
      </w:r>
      <w:r>
        <w:rPr>
          <w:spacing w:val="-1"/>
        </w:rPr>
        <w:t> </w:t>
      </w:r>
      <w:r>
        <w:rPr/>
        <w:t>domestic</w:t>
      </w:r>
      <w:r>
        <w:rPr>
          <w:spacing w:val="-1"/>
        </w:rPr>
        <w:t> </w:t>
      </w:r>
      <w:r>
        <w:rPr/>
        <w:t>and</w:t>
      </w:r>
      <w:r>
        <w:rPr>
          <w:spacing w:val="-1"/>
        </w:rPr>
        <w:t> </w:t>
      </w:r>
      <w:r>
        <w:rPr/>
        <w:t>foreign</w:t>
      </w:r>
      <w:r>
        <w:rPr>
          <w:spacing w:val="-1"/>
        </w:rPr>
        <w:t> </w:t>
      </w:r>
      <w:r>
        <w:rPr/>
        <w:t>operations</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BodyText"/>
        <w:spacing w:before="58"/>
      </w:pPr>
    </w:p>
    <w:p>
      <w:pPr>
        <w:pStyle w:val="Heading5"/>
        <w:ind w:left="6740"/>
      </w:pPr>
      <w:r>
        <w:rPr/>
        <mc:AlternateContent>
          <mc:Choice Requires="wps">
            <w:drawing>
              <wp:anchor distT="0" distB="0" distL="0" distR="0" allowOverlap="1" layoutInCell="1" locked="0" behindDoc="1" simplePos="0" relativeHeight="487693824">
                <wp:simplePos x="0" y="0"/>
                <wp:positionH relativeFrom="page">
                  <wp:posOffset>4500550</wp:posOffset>
                </wp:positionH>
                <wp:positionV relativeFrom="paragraph">
                  <wp:posOffset>149922</wp:posOffset>
                </wp:positionV>
                <wp:extent cx="3043555" cy="17145"/>
                <wp:effectExtent l="0" t="0" r="0" b="0"/>
                <wp:wrapTopAndBottom/>
                <wp:docPr id="535" name="Graphic 535"/>
                <wp:cNvGraphicFramePr>
                  <a:graphicFrameLocks/>
                </wp:cNvGraphicFramePr>
                <a:graphic>
                  <a:graphicData uri="http://schemas.microsoft.com/office/word/2010/wordprocessingShape">
                    <wps:wsp>
                      <wps:cNvPr id="535" name="Graphic 535"/>
                      <wps:cNvSpPr/>
                      <wps:spPr>
                        <a:xfrm>
                          <a:off x="0" y="0"/>
                          <a:ext cx="3043555" cy="17145"/>
                        </a:xfrm>
                        <a:custGeom>
                          <a:avLst/>
                          <a:gdLst/>
                          <a:ahLst/>
                          <a:cxnLst/>
                          <a:rect l="l" t="t" r="r" b="b"/>
                          <a:pathLst>
                            <a:path w="3043555" h="17145">
                              <a:moveTo>
                                <a:pt x="3043237" y="0"/>
                              </a:moveTo>
                              <a:lnTo>
                                <a:pt x="3043237" y="0"/>
                              </a:lnTo>
                              <a:lnTo>
                                <a:pt x="0" y="0"/>
                              </a:lnTo>
                              <a:lnTo>
                                <a:pt x="0" y="17145"/>
                              </a:lnTo>
                              <a:lnTo>
                                <a:pt x="3043237" y="17145"/>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1.804949pt;width:239.625011pt;height:1.35pt;mso-position-horizontal-relative:page;mso-position-vertical-relative:paragraph;z-index:-15622656;mso-wrap-distance-left:0;mso-wrap-distance-right:0" id="docshape533"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76" w:val="left" w:leader="none"/>
          <w:tab w:pos="10016" w:val="left" w:leader="none"/>
        </w:tabs>
        <w:spacing w:before="21" w:after="29"/>
        <w:ind w:left="6739"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536" name="Group 536"/>
                <wp:cNvGraphicFramePr>
                  <a:graphicFrameLocks/>
                </wp:cNvGraphicFramePr>
                <a:graphic>
                  <a:graphicData uri="http://schemas.microsoft.com/office/word/2010/wordprocessingGroup">
                    <wpg:wgp>
                      <wpg:cNvPr id="536" name="Group 536"/>
                      <wpg:cNvGrpSpPr/>
                      <wpg:grpSpPr>
                        <a:xfrm>
                          <a:off x="0" y="0"/>
                          <a:ext cx="3043555" cy="8890"/>
                          <a:chExt cx="3043555" cy="8890"/>
                        </a:xfrm>
                      </wpg:grpSpPr>
                      <wps:wsp>
                        <wps:cNvPr id="537" name="Graphic 537"/>
                        <wps:cNvSpPr/>
                        <wps:spPr>
                          <a:xfrm>
                            <a:off x="-12" y="-9"/>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534" coordorigin="0,0" coordsize="4793,14">
                <v:rect style="position:absolute;left:-1;top:-1;width:4793;height:14" id="docshape535" filled="true" fillcolor="#000000" stroked="false">
                  <v:fill type="solid"/>
                </v:rect>
              </v:group>
            </w:pict>
          </mc:Fallback>
        </mc:AlternateContent>
      </w:r>
      <w:r>
        <w:rPr>
          <w:sz w:val="2"/>
        </w:rPr>
      </w:r>
    </w:p>
    <w:p>
      <w:pPr>
        <w:spacing w:before="11" w:after="38"/>
        <w:ind w:left="6740"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8"/>
        <w:gridCol w:w="4172"/>
        <w:gridCol w:w="1637"/>
        <w:gridCol w:w="1586"/>
      </w:tblGrid>
      <w:tr>
        <w:trPr>
          <w:trHeight w:val="256" w:hRule="atLeast"/>
        </w:trPr>
        <w:tc>
          <w:tcPr>
            <w:tcW w:w="4118" w:type="dxa"/>
            <w:shd w:val="clear" w:color="auto" w:fill="CFF0FB"/>
          </w:tcPr>
          <w:p>
            <w:pPr>
              <w:pStyle w:val="TableParagraph"/>
              <w:ind w:left="17"/>
              <w:rPr>
                <w:sz w:val="18"/>
              </w:rPr>
            </w:pPr>
            <w:r>
              <w:rPr>
                <w:sz w:val="18"/>
              </w:rPr>
              <w:t>Domestic</w:t>
            </w:r>
            <w:r>
              <w:rPr>
                <w:spacing w:val="-1"/>
                <w:sz w:val="18"/>
              </w:rPr>
              <w:t> </w:t>
            </w:r>
            <w:r>
              <w:rPr>
                <w:spacing w:val="-2"/>
                <w:sz w:val="18"/>
              </w:rPr>
              <w:t>operations</w:t>
            </w:r>
          </w:p>
        </w:tc>
        <w:tc>
          <w:tcPr>
            <w:tcW w:w="4172" w:type="dxa"/>
            <w:shd w:val="clear" w:color="auto" w:fill="CFF0FB"/>
          </w:tcPr>
          <w:p>
            <w:pPr>
              <w:pStyle w:val="TableParagraph"/>
              <w:tabs>
                <w:tab w:pos="710" w:val="left" w:leader="none"/>
              </w:tabs>
              <w:ind w:right="122"/>
              <w:jc w:val="right"/>
              <w:rPr>
                <w:sz w:val="18"/>
              </w:rPr>
            </w:pPr>
            <w:r>
              <w:rPr>
                <w:spacing w:val="-10"/>
                <w:sz w:val="18"/>
              </w:rPr>
              <w:t>$</w:t>
            </w:r>
            <w:r>
              <w:rPr>
                <w:sz w:val="18"/>
              </w:rPr>
              <w:tab/>
            </w:r>
            <w:r>
              <w:rPr>
                <w:spacing w:val="-2"/>
                <w:sz w:val="18"/>
              </w:rPr>
              <w:t>4,251,418</w:t>
            </w:r>
          </w:p>
        </w:tc>
        <w:tc>
          <w:tcPr>
            <w:tcW w:w="1637" w:type="dxa"/>
            <w:shd w:val="clear" w:color="auto" w:fill="CFF0FB"/>
          </w:tcPr>
          <w:p>
            <w:pPr>
              <w:pStyle w:val="TableParagraph"/>
              <w:tabs>
                <w:tab w:pos="710" w:val="left" w:leader="none"/>
              </w:tabs>
              <w:ind w:right="122"/>
              <w:jc w:val="right"/>
              <w:rPr>
                <w:sz w:val="18"/>
              </w:rPr>
            </w:pPr>
            <w:r>
              <w:rPr>
                <w:spacing w:val="-10"/>
                <w:sz w:val="18"/>
              </w:rPr>
              <w:t>$</w:t>
            </w:r>
            <w:r>
              <w:rPr>
                <w:sz w:val="18"/>
              </w:rPr>
              <w:tab/>
            </w:r>
            <w:r>
              <w:rPr>
                <w:spacing w:val="-2"/>
                <w:sz w:val="18"/>
              </w:rPr>
              <w:t>2,094,324</w:t>
            </w:r>
          </w:p>
        </w:tc>
        <w:tc>
          <w:tcPr>
            <w:tcW w:w="1586" w:type="dxa"/>
            <w:shd w:val="clear" w:color="auto" w:fill="CFF0FB"/>
          </w:tcPr>
          <w:p>
            <w:pPr>
              <w:pStyle w:val="TableParagraph"/>
              <w:tabs>
                <w:tab w:pos="772" w:val="left" w:leader="none"/>
              </w:tabs>
              <w:ind w:right="23"/>
              <w:jc w:val="right"/>
              <w:rPr>
                <w:sz w:val="18"/>
              </w:rPr>
            </w:pPr>
            <w:r>
              <w:rPr>
                <w:spacing w:val="-10"/>
                <w:sz w:val="18"/>
              </w:rPr>
              <w:t>$</w:t>
            </w:r>
            <w:r>
              <w:rPr>
                <w:sz w:val="18"/>
              </w:rPr>
              <w:tab/>
            </w:r>
            <w:r>
              <w:rPr>
                <w:spacing w:val="-2"/>
                <w:sz w:val="18"/>
              </w:rPr>
              <w:t>(665,376)</w:t>
            </w:r>
          </w:p>
        </w:tc>
      </w:tr>
      <w:tr>
        <w:trPr>
          <w:trHeight w:val="255" w:hRule="atLeast"/>
        </w:trPr>
        <w:tc>
          <w:tcPr>
            <w:tcW w:w="4118" w:type="dxa"/>
          </w:tcPr>
          <w:p>
            <w:pPr>
              <w:pStyle w:val="TableParagraph"/>
              <w:spacing w:line="201" w:lineRule="exact" w:before="34"/>
              <w:ind w:left="17"/>
              <w:rPr>
                <w:sz w:val="18"/>
              </w:rPr>
            </w:pPr>
            <w:r>
              <w:rPr>
                <w:sz w:val="18"/>
              </w:rPr>
              <w:t>Foreign</w:t>
            </w:r>
            <w:r>
              <w:rPr>
                <w:spacing w:val="-1"/>
                <w:sz w:val="18"/>
              </w:rPr>
              <w:t> </w:t>
            </w:r>
            <w:r>
              <w:rPr>
                <w:spacing w:val="-2"/>
                <w:sz w:val="18"/>
              </w:rPr>
              <w:t>operations</w:t>
            </w:r>
          </w:p>
        </w:tc>
        <w:tc>
          <w:tcPr>
            <w:tcW w:w="4172" w:type="dxa"/>
            <w:tcBorders>
              <w:bottom w:val="single" w:sz="6" w:space="0" w:color="000000"/>
            </w:tcBorders>
          </w:tcPr>
          <w:p>
            <w:pPr>
              <w:pStyle w:val="TableParagraph"/>
              <w:ind w:right="77"/>
              <w:jc w:val="right"/>
              <w:rPr>
                <w:sz w:val="18"/>
              </w:rPr>
            </w:pPr>
            <w:r>
              <w:rPr>
                <w:spacing w:val="-2"/>
                <w:sz w:val="18"/>
              </w:rPr>
              <w:t>(3,347,619)</w:t>
            </w:r>
          </w:p>
        </w:tc>
        <w:tc>
          <w:tcPr>
            <w:tcW w:w="1637" w:type="dxa"/>
            <w:tcBorders>
              <w:bottom w:val="single" w:sz="6" w:space="0" w:color="000000"/>
            </w:tcBorders>
          </w:tcPr>
          <w:p>
            <w:pPr>
              <w:pStyle w:val="TableParagraph"/>
              <w:ind w:right="77"/>
              <w:jc w:val="right"/>
              <w:rPr>
                <w:sz w:val="18"/>
              </w:rPr>
            </w:pPr>
            <w:r>
              <w:rPr>
                <w:spacing w:val="-2"/>
                <w:sz w:val="18"/>
              </w:rPr>
              <w:t>(632,520)</w:t>
            </w:r>
          </w:p>
        </w:tc>
        <w:tc>
          <w:tcPr>
            <w:tcW w:w="1586" w:type="dxa"/>
            <w:tcBorders>
              <w:bottom w:val="single" w:sz="6" w:space="0" w:color="000000"/>
            </w:tcBorders>
          </w:tcPr>
          <w:p>
            <w:pPr>
              <w:pStyle w:val="TableParagraph"/>
              <w:ind w:right="23"/>
              <w:jc w:val="right"/>
              <w:rPr>
                <w:sz w:val="18"/>
              </w:rPr>
            </w:pPr>
            <w:r>
              <w:rPr>
                <w:spacing w:val="-2"/>
                <w:sz w:val="18"/>
              </w:rPr>
              <w:t>(846,103)</w:t>
            </w:r>
          </w:p>
        </w:tc>
      </w:tr>
      <w:tr>
        <w:trPr>
          <w:trHeight w:val="260" w:hRule="atLeast"/>
        </w:trPr>
        <w:tc>
          <w:tcPr>
            <w:tcW w:w="4118" w:type="dxa"/>
            <w:shd w:val="clear" w:color="auto" w:fill="CFF0FB"/>
          </w:tcPr>
          <w:p>
            <w:pPr>
              <w:pStyle w:val="TableParagraph"/>
              <w:spacing w:before="0"/>
              <w:rPr>
                <w:sz w:val="16"/>
              </w:rPr>
            </w:pPr>
          </w:p>
        </w:tc>
        <w:tc>
          <w:tcPr>
            <w:tcW w:w="4172" w:type="dxa"/>
            <w:tcBorders>
              <w:top w:val="single" w:sz="6" w:space="0" w:color="000000"/>
            </w:tcBorders>
            <w:shd w:val="clear" w:color="auto" w:fill="CFF0FB"/>
          </w:tcPr>
          <w:p>
            <w:pPr>
              <w:pStyle w:val="TableParagraph"/>
              <w:tabs>
                <w:tab w:pos="845" w:val="left" w:leader="none"/>
              </w:tabs>
              <w:spacing w:before="20"/>
              <w:ind w:right="122"/>
              <w:jc w:val="right"/>
              <w:rPr>
                <w:sz w:val="18"/>
              </w:rPr>
            </w:pPr>
            <w:r>
              <w:rPr/>
              <mc:AlternateContent>
                <mc:Choice Requires="wps">
                  <w:drawing>
                    <wp:anchor distT="0" distB="0" distL="0" distR="0" allowOverlap="1" layoutInCell="1" locked="0" behindDoc="1" simplePos="0" relativeHeight="477736448">
                      <wp:simplePos x="0" y="0"/>
                      <wp:positionH relativeFrom="column">
                        <wp:posOffset>1653918</wp:posOffset>
                      </wp:positionH>
                      <wp:positionV relativeFrom="paragraph">
                        <wp:posOffset>162299</wp:posOffset>
                      </wp:positionV>
                      <wp:extent cx="960119" cy="34290"/>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960119" cy="34290"/>
                                <a:chExt cx="960119" cy="34290"/>
                              </a:xfrm>
                            </wpg:grpSpPr>
                            <wps:wsp>
                              <wps:cNvPr id="539" name="Graphic 539"/>
                              <wps:cNvSpPr/>
                              <wps:spPr>
                                <a:xfrm>
                                  <a:off x="-12" y="-9"/>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229828pt;margin-top:12.779512pt;width:75.6pt;height:2.7pt;mso-position-horizontal-relative:column;mso-position-vertical-relative:paragraph;z-index:-25580032" id="docshapegroup536" coordorigin="2605,256" coordsize="1512,54">
                      <v:shape style="position:absolute;left:2604;top:255;width:1512;height:54" id="docshape537" coordorigin="2605,256" coordsize="1512,54" path="m4117,296l4090,296,2713,296,2605,296,2605,310,2713,310,4090,310,4117,310,4117,296xm4117,256l4090,256,2713,256,2605,256,2605,269,2713,269,4090,269,4117,269,4117,256xe" filled="true" fillcolor="#000000" stroked="false">
                        <v:path arrowok="t"/>
                        <v:fill type="solid"/>
                      </v:shape>
                      <w10:wrap type="none"/>
                    </v:group>
                  </w:pict>
                </mc:Fallback>
              </mc:AlternateContent>
            </w:r>
            <w:r>
              <w:rPr>
                <w:spacing w:val="-10"/>
                <w:sz w:val="18"/>
              </w:rPr>
              <w:t>$</w:t>
            </w:r>
            <w:r>
              <w:rPr>
                <w:sz w:val="18"/>
              </w:rPr>
              <w:tab/>
            </w:r>
            <w:r>
              <w:rPr>
                <w:spacing w:val="-2"/>
                <w:sz w:val="18"/>
              </w:rPr>
              <w:t>903,799</w:t>
            </w:r>
          </w:p>
        </w:tc>
        <w:tc>
          <w:tcPr>
            <w:tcW w:w="1637" w:type="dxa"/>
            <w:tcBorders>
              <w:top w:val="single" w:sz="6" w:space="0" w:color="000000"/>
            </w:tcBorders>
            <w:shd w:val="clear" w:color="auto" w:fill="CFF0FB"/>
          </w:tcPr>
          <w:p>
            <w:pPr>
              <w:pStyle w:val="TableParagraph"/>
              <w:tabs>
                <w:tab w:pos="710" w:val="left" w:leader="none"/>
              </w:tabs>
              <w:spacing w:before="20"/>
              <w:ind w:right="122"/>
              <w:jc w:val="right"/>
              <w:rPr>
                <w:sz w:val="18"/>
              </w:rPr>
            </w:pPr>
            <w:r>
              <w:rPr/>
              <mc:AlternateContent>
                <mc:Choice Requires="wps">
                  <w:drawing>
                    <wp:anchor distT="0" distB="0" distL="0" distR="0" allowOverlap="1" layoutInCell="1" locked="0" behindDoc="1" simplePos="0" relativeHeight="477736960">
                      <wp:simplePos x="0" y="0"/>
                      <wp:positionH relativeFrom="column">
                        <wp:posOffset>41478</wp:posOffset>
                      </wp:positionH>
                      <wp:positionV relativeFrom="paragraph">
                        <wp:posOffset>162299</wp:posOffset>
                      </wp:positionV>
                      <wp:extent cx="960119" cy="34290"/>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960119" cy="34290"/>
                                <a:chExt cx="960119" cy="34290"/>
                              </a:xfrm>
                            </wpg:grpSpPr>
                            <wps:wsp>
                              <wps:cNvPr id="541" name="Graphic 541"/>
                              <wps:cNvSpPr/>
                              <wps:spPr>
                                <a:xfrm>
                                  <a:off x="-12" y="-9"/>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66033pt;margin-top:12.779512pt;width:75.6pt;height:2.7pt;mso-position-horizontal-relative:column;mso-position-vertical-relative:paragraph;z-index:-25579520" id="docshapegroup538" coordorigin="65,256" coordsize="1512,54">
                      <v:shape style="position:absolute;left:65;top:255;width:1512;height:54" id="docshape539" coordorigin="65,256" coordsize="1512,54" path="m1577,296l1550,296,173,296,65,296,65,310,173,310,1550,310,1577,310,1577,296xm1577,256l1550,256,173,256,65,256,65,269,173,269,1550,269,1577,269,1577,256xe" filled="true" fillcolor="#000000" stroked="false">
                        <v:path arrowok="t"/>
                        <v:fill type="solid"/>
                      </v:shape>
                      <w10:wrap type="none"/>
                    </v:group>
                  </w:pict>
                </mc:Fallback>
              </mc:AlternateContent>
            </w:r>
            <w:r>
              <w:rPr>
                <w:spacing w:val="-10"/>
                <w:sz w:val="18"/>
              </w:rPr>
              <w:t>$</w:t>
            </w:r>
            <w:r>
              <w:rPr>
                <w:sz w:val="18"/>
              </w:rPr>
              <w:tab/>
            </w:r>
            <w:r>
              <w:rPr>
                <w:spacing w:val="-2"/>
                <w:sz w:val="18"/>
              </w:rPr>
              <w:t>1,461,804</w:t>
            </w:r>
          </w:p>
        </w:tc>
        <w:tc>
          <w:tcPr>
            <w:tcW w:w="1586" w:type="dxa"/>
            <w:tcBorders>
              <w:top w:val="single" w:sz="6" w:space="0" w:color="000000"/>
              <w:bottom w:val="double" w:sz="6" w:space="0" w:color="000000"/>
            </w:tcBorders>
            <w:shd w:val="clear" w:color="auto" w:fill="CFF0FB"/>
          </w:tcPr>
          <w:p>
            <w:pPr>
              <w:pStyle w:val="TableParagraph"/>
              <w:tabs>
                <w:tab w:pos="644" w:val="left" w:leader="none"/>
              </w:tabs>
              <w:spacing w:before="20"/>
              <w:ind w:right="23"/>
              <w:jc w:val="right"/>
              <w:rPr>
                <w:sz w:val="18"/>
              </w:rPr>
            </w:pPr>
            <w:r>
              <w:rPr>
                <w:spacing w:val="-10"/>
                <w:sz w:val="18"/>
              </w:rPr>
              <w:t>$</w:t>
            </w:r>
            <w:r>
              <w:rPr>
                <w:sz w:val="18"/>
              </w:rPr>
              <w:tab/>
            </w:r>
            <w:r>
              <w:rPr>
                <w:spacing w:val="-2"/>
                <w:sz w:val="18"/>
              </w:rPr>
              <w:t>(1,511,479)</w:t>
            </w:r>
          </w:p>
        </w:tc>
      </w:tr>
    </w:tbl>
    <w:p>
      <w:pPr>
        <w:pStyle w:val="BodyText"/>
        <w:spacing w:before="149"/>
        <w:rPr>
          <w:b/>
          <w:i/>
          <w:sz w:val="14"/>
        </w:rPr>
      </w:pPr>
    </w:p>
    <w:p>
      <w:pPr>
        <w:pStyle w:val="BodyText"/>
        <w:ind w:left="644"/>
      </w:pPr>
      <w:r>
        <w:rPr/>
        <w:t>The</w:t>
      </w:r>
      <w:r>
        <w:rPr>
          <w:spacing w:val="-1"/>
        </w:rPr>
        <w:t> </w:t>
      </w:r>
      <w:r>
        <w:rPr/>
        <w:t>benefit</w:t>
      </w:r>
      <w:r>
        <w:rPr>
          <w:spacing w:val="-1"/>
        </w:rPr>
        <w:t> </w:t>
      </w:r>
      <w:r>
        <w:rPr/>
        <w:t>(provision)</w:t>
      </w:r>
      <w:r>
        <w:rPr>
          <w:spacing w:val="-1"/>
        </w:rPr>
        <w:t> </w:t>
      </w:r>
      <w:r>
        <w:rPr/>
        <w:t>for</w:t>
      </w:r>
      <w:r>
        <w:rPr>
          <w:spacing w:val="-1"/>
        </w:rPr>
        <w:t> </w:t>
      </w:r>
      <w:r>
        <w:rPr/>
        <w:t>income</w:t>
      </w:r>
      <w:r>
        <w:rPr>
          <w:spacing w:val="-1"/>
        </w:rPr>
        <w:t> </w:t>
      </w:r>
      <w:r>
        <w:rPr/>
        <w:t>taxes</w:t>
      </w:r>
      <w:r>
        <w:rPr>
          <w:spacing w:val="-1"/>
        </w:rPr>
        <w:t> </w:t>
      </w:r>
      <w:r>
        <w:rPr/>
        <w:t>attributable</w:t>
      </w:r>
      <w:r>
        <w:rPr>
          <w:spacing w:val="-1"/>
        </w:rPr>
        <w:t> </w:t>
      </w:r>
      <w:r>
        <w:rPr/>
        <w:t>to</w:t>
      </w:r>
      <w:r>
        <w:rPr>
          <w:spacing w:val="-1"/>
        </w:rPr>
        <w:t> </w:t>
      </w:r>
      <w:r>
        <w:rPr/>
        <w:t>income</w:t>
      </w:r>
      <w:r>
        <w:rPr>
          <w:spacing w:val="-1"/>
        </w:rPr>
        <w:t> </w:t>
      </w:r>
      <w:r>
        <w:rPr/>
        <w:t>(loss)</w:t>
      </w:r>
      <w:r>
        <w:rPr>
          <w:spacing w:val="-1"/>
        </w:rPr>
        <w:t> </w:t>
      </w:r>
      <w:r>
        <w:rPr/>
        <w:t>before</w:t>
      </w:r>
      <w:r>
        <w:rPr>
          <w:spacing w:val="-1"/>
        </w:rPr>
        <w:t> </w:t>
      </w:r>
      <w:r>
        <w:rPr/>
        <w:t>income</w:t>
      </w:r>
      <w:r>
        <w:rPr>
          <w:spacing w:val="-1"/>
        </w:rPr>
        <w:t> </w:t>
      </w:r>
      <w:r>
        <w:rPr/>
        <w:t>taxes</w:t>
      </w:r>
      <w:r>
        <w:rPr>
          <w:spacing w:val="-1"/>
        </w:rPr>
        <w:t> </w:t>
      </w:r>
      <w:r>
        <w:rPr/>
        <w:t>is</w:t>
      </w:r>
      <w:r>
        <w:rPr>
          <w:spacing w:val="-1"/>
        </w:rPr>
        <w:t> </w:t>
      </w:r>
      <w:r>
        <w:rPr/>
        <w:t>as</w:t>
      </w:r>
      <w:r>
        <w:rPr>
          <w:spacing w:val="-1"/>
        </w:rPr>
        <w:t> </w:t>
      </w:r>
      <w:r>
        <w:rPr>
          <w:spacing w:val="-2"/>
        </w:rPr>
        <w:t>follows:</w:t>
      </w:r>
    </w:p>
    <w:p>
      <w:pPr>
        <w:pStyle w:val="BodyText"/>
        <w:spacing w:before="58"/>
      </w:pPr>
    </w:p>
    <w:p>
      <w:pPr>
        <w:pStyle w:val="Heading5"/>
        <w:spacing w:before="1" w:after="49"/>
        <w:ind w:left="0" w:right="1517"/>
        <w:jc w:val="right"/>
      </w:pPr>
      <w:r>
        <w:rPr/>
        <w:t>Year</w:t>
      </w:r>
      <w:r>
        <w:rPr>
          <w:spacing w:val="-13"/>
        </w:rPr>
        <w:t> </w:t>
      </w:r>
      <w:r>
        <w:rPr/>
        <w:t>Ended</w:t>
      </w:r>
      <w:r>
        <w:rPr>
          <w:spacing w:val="-8"/>
        </w:rPr>
        <w:t> </w:t>
      </w:r>
      <w:r>
        <w:rPr/>
        <w:t>December</w:t>
      </w:r>
      <w:r>
        <w:rPr>
          <w:spacing w:val="-10"/>
        </w:rPr>
        <w:t> </w:t>
      </w:r>
      <w:r>
        <w:rPr>
          <w:spacing w:val="-5"/>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3"/>
        <w:gridCol w:w="1574"/>
        <w:gridCol w:w="1636"/>
        <w:gridCol w:w="1582"/>
      </w:tblGrid>
      <w:tr>
        <w:trPr>
          <w:trHeight w:val="254" w:hRule="atLeast"/>
        </w:trPr>
        <w:tc>
          <w:tcPr>
            <w:tcW w:w="6723" w:type="dxa"/>
          </w:tcPr>
          <w:p>
            <w:pPr>
              <w:pStyle w:val="TableParagraph"/>
              <w:spacing w:before="0"/>
              <w:rPr>
                <w:sz w:val="16"/>
              </w:rPr>
            </w:pPr>
          </w:p>
        </w:tc>
        <w:tc>
          <w:tcPr>
            <w:tcW w:w="1574" w:type="dxa"/>
            <w:tcBorders>
              <w:top w:val="single" w:sz="6" w:space="0" w:color="000000"/>
              <w:bottom w:val="single" w:sz="6" w:space="0" w:color="000000"/>
            </w:tcBorders>
          </w:tcPr>
          <w:p>
            <w:pPr>
              <w:pStyle w:val="TableParagraph"/>
              <w:spacing w:before="20"/>
              <w:ind w:left="3" w:right="53"/>
              <w:jc w:val="center"/>
              <w:rPr>
                <w:b/>
                <w:sz w:val="18"/>
              </w:rPr>
            </w:pPr>
            <w:r>
              <w:rPr>
                <w:b/>
                <w:spacing w:val="-4"/>
                <w:sz w:val="18"/>
              </w:rPr>
              <w:t>2022</w:t>
            </w:r>
          </w:p>
        </w:tc>
        <w:tc>
          <w:tcPr>
            <w:tcW w:w="1636" w:type="dxa"/>
            <w:tcBorders>
              <w:top w:val="single" w:sz="6" w:space="0" w:color="000000"/>
              <w:bottom w:val="single" w:sz="6" w:space="0" w:color="000000"/>
            </w:tcBorders>
          </w:tcPr>
          <w:p>
            <w:pPr>
              <w:pStyle w:val="TableParagraph"/>
              <w:spacing w:before="20"/>
              <w:ind w:left="9"/>
              <w:jc w:val="center"/>
              <w:rPr>
                <w:b/>
                <w:sz w:val="18"/>
              </w:rPr>
            </w:pPr>
            <w:r>
              <w:rPr>
                <w:b/>
                <w:spacing w:val="-4"/>
                <w:sz w:val="18"/>
              </w:rPr>
              <w:t>2021</w:t>
            </w:r>
          </w:p>
        </w:tc>
        <w:tc>
          <w:tcPr>
            <w:tcW w:w="1582" w:type="dxa"/>
            <w:tcBorders>
              <w:top w:val="single" w:sz="6" w:space="0" w:color="000000"/>
              <w:bottom w:val="single" w:sz="6" w:space="0" w:color="000000"/>
            </w:tcBorders>
          </w:tcPr>
          <w:p>
            <w:pPr>
              <w:pStyle w:val="TableParagraph"/>
              <w:spacing w:before="20"/>
              <w:ind w:left="65" w:right="2"/>
              <w:jc w:val="center"/>
              <w:rPr>
                <w:b/>
                <w:sz w:val="18"/>
              </w:rPr>
            </w:pPr>
            <w:r>
              <w:rPr>
                <w:b/>
                <w:spacing w:val="-4"/>
                <w:sz w:val="18"/>
              </w:rPr>
              <w:t>2020</w:t>
            </w:r>
          </w:p>
        </w:tc>
      </w:tr>
      <w:tr>
        <w:trPr>
          <w:trHeight w:val="255" w:hRule="atLeast"/>
        </w:trPr>
        <w:tc>
          <w:tcPr>
            <w:tcW w:w="6723" w:type="dxa"/>
          </w:tcPr>
          <w:p>
            <w:pPr>
              <w:pStyle w:val="TableParagraph"/>
              <w:spacing w:before="6"/>
              <w:ind w:left="17"/>
              <w:rPr>
                <w:b/>
                <w:sz w:val="18"/>
              </w:rPr>
            </w:pPr>
            <w:r>
              <w:rPr>
                <w:b/>
                <w:spacing w:val="-2"/>
                <w:sz w:val="18"/>
                <w:u w:val="single"/>
              </w:rPr>
              <w:t>Federal:</w:t>
            </w:r>
          </w:p>
        </w:tc>
        <w:tc>
          <w:tcPr>
            <w:tcW w:w="1574" w:type="dxa"/>
            <w:tcBorders>
              <w:top w:val="single" w:sz="6" w:space="0" w:color="000000"/>
            </w:tcBorders>
          </w:tcPr>
          <w:p>
            <w:pPr>
              <w:pStyle w:val="TableParagraph"/>
              <w:spacing w:before="0"/>
              <w:rPr>
                <w:sz w:val="16"/>
              </w:rPr>
            </w:pPr>
          </w:p>
        </w:tc>
        <w:tc>
          <w:tcPr>
            <w:tcW w:w="1636" w:type="dxa"/>
            <w:tcBorders>
              <w:top w:val="single" w:sz="6" w:space="0" w:color="000000"/>
            </w:tcBorders>
          </w:tcPr>
          <w:p>
            <w:pPr>
              <w:pStyle w:val="TableParagraph"/>
              <w:spacing w:before="44"/>
              <w:ind w:left="384"/>
              <w:rPr>
                <w:b/>
                <w:i/>
                <w:sz w:val="14"/>
              </w:rPr>
            </w:pPr>
            <w:r>
              <w:rPr>
                <w:b/>
                <w:i/>
                <w:sz w:val="14"/>
              </w:rPr>
              <w:t>(In</w:t>
            </w:r>
            <w:r>
              <w:rPr>
                <w:b/>
                <w:i/>
                <w:spacing w:val="3"/>
                <w:sz w:val="14"/>
              </w:rPr>
              <w:t> </w:t>
            </w:r>
            <w:r>
              <w:rPr>
                <w:b/>
                <w:i/>
                <w:spacing w:val="-2"/>
                <w:sz w:val="14"/>
              </w:rPr>
              <w:t>thousands)</w:t>
            </w:r>
          </w:p>
        </w:tc>
        <w:tc>
          <w:tcPr>
            <w:tcW w:w="1582" w:type="dxa"/>
            <w:tcBorders>
              <w:top w:val="single" w:sz="6" w:space="0" w:color="000000"/>
            </w:tcBorders>
          </w:tcPr>
          <w:p>
            <w:pPr>
              <w:pStyle w:val="TableParagraph"/>
              <w:spacing w:before="0"/>
              <w:rPr>
                <w:sz w:val="16"/>
              </w:rPr>
            </w:pPr>
          </w:p>
        </w:tc>
      </w:tr>
      <w:tr>
        <w:trPr>
          <w:trHeight w:val="256" w:hRule="atLeast"/>
        </w:trPr>
        <w:tc>
          <w:tcPr>
            <w:tcW w:w="6723" w:type="dxa"/>
            <w:shd w:val="clear" w:color="auto" w:fill="CFF0FB"/>
          </w:tcPr>
          <w:p>
            <w:pPr>
              <w:pStyle w:val="TableParagraph"/>
              <w:ind w:left="217"/>
              <w:rPr>
                <w:sz w:val="18"/>
              </w:rPr>
            </w:pPr>
            <w:r>
              <w:rPr>
                <w:spacing w:val="-2"/>
                <w:sz w:val="18"/>
              </w:rPr>
              <w:t>Current</w:t>
            </w:r>
          </w:p>
        </w:tc>
        <w:tc>
          <w:tcPr>
            <w:tcW w:w="1574" w:type="dxa"/>
            <w:shd w:val="clear" w:color="auto" w:fill="CFF0FB"/>
          </w:tcPr>
          <w:p>
            <w:pPr>
              <w:pStyle w:val="TableParagraph"/>
              <w:tabs>
                <w:tab w:pos="769" w:val="left" w:leader="none"/>
              </w:tabs>
              <w:ind w:right="78"/>
              <w:jc w:val="right"/>
              <w:rPr>
                <w:sz w:val="18"/>
              </w:rPr>
            </w:pPr>
            <w:r>
              <w:rPr>
                <w:spacing w:val="-10"/>
                <w:sz w:val="18"/>
              </w:rPr>
              <w:t>$</w:t>
            </w:r>
            <w:r>
              <w:rPr>
                <w:sz w:val="18"/>
              </w:rPr>
              <w:tab/>
            </w:r>
            <w:r>
              <w:rPr>
                <w:spacing w:val="-2"/>
                <w:sz w:val="18"/>
              </w:rPr>
              <w:t>(206,426)</w:t>
            </w:r>
          </w:p>
        </w:tc>
        <w:tc>
          <w:tcPr>
            <w:tcW w:w="1636" w:type="dxa"/>
            <w:shd w:val="clear" w:color="auto" w:fill="CFF0FB"/>
          </w:tcPr>
          <w:p>
            <w:pPr>
              <w:pStyle w:val="TableParagraph"/>
              <w:tabs>
                <w:tab w:pos="949" w:val="left" w:leader="none"/>
              </w:tabs>
              <w:ind w:right="78"/>
              <w:jc w:val="right"/>
              <w:rPr>
                <w:sz w:val="18"/>
              </w:rPr>
            </w:pPr>
            <w:r>
              <w:rPr>
                <w:spacing w:val="-10"/>
                <w:sz w:val="18"/>
              </w:rPr>
              <w:t>$</w:t>
            </w:r>
            <w:r>
              <w:rPr>
                <w:sz w:val="18"/>
              </w:rPr>
              <w:tab/>
            </w:r>
            <w:r>
              <w:rPr>
                <w:spacing w:val="-2"/>
                <w:sz w:val="18"/>
              </w:rPr>
              <w:t>(8,984)</w:t>
            </w:r>
          </w:p>
        </w:tc>
        <w:tc>
          <w:tcPr>
            <w:tcW w:w="1582" w:type="dxa"/>
            <w:shd w:val="clear" w:color="auto" w:fill="CFF0FB"/>
          </w:tcPr>
          <w:p>
            <w:pPr>
              <w:pStyle w:val="TableParagraph"/>
              <w:tabs>
                <w:tab w:pos="842" w:val="left" w:leader="none"/>
              </w:tabs>
              <w:ind w:right="70"/>
              <w:jc w:val="right"/>
              <w:rPr>
                <w:sz w:val="18"/>
              </w:rPr>
            </w:pPr>
            <w:r>
              <w:rPr>
                <w:spacing w:val="-10"/>
                <w:sz w:val="18"/>
              </w:rPr>
              <w:t>$</w:t>
            </w:r>
            <w:r>
              <w:rPr>
                <w:sz w:val="18"/>
              </w:rPr>
              <w:tab/>
            </w:r>
            <w:r>
              <w:rPr>
                <w:spacing w:val="-2"/>
                <w:sz w:val="18"/>
              </w:rPr>
              <w:t>207,544</w:t>
            </w:r>
          </w:p>
        </w:tc>
      </w:tr>
      <w:tr>
        <w:trPr>
          <w:trHeight w:val="256" w:hRule="atLeast"/>
        </w:trPr>
        <w:tc>
          <w:tcPr>
            <w:tcW w:w="6723" w:type="dxa"/>
          </w:tcPr>
          <w:p>
            <w:pPr>
              <w:pStyle w:val="TableParagraph"/>
              <w:ind w:left="217"/>
              <w:rPr>
                <w:sz w:val="18"/>
              </w:rPr>
            </w:pPr>
            <w:r>
              <w:rPr>
                <w:sz w:val="18"/>
              </w:rPr>
              <w:t>Deferred</w:t>
            </w:r>
            <w:r>
              <w:rPr>
                <w:spacing w:val="-1"/>
                <w:sz w:val="18"/>
              </w:rPr>
              <w:t> </w:t>
            </w:r>
            <w:r>
              <w:rPr>
                <w:sz w:val="18"/>
              </w:rPr>
              <w:t>(excluding</w:t>
            </w:r>
            <w:r>
              <w:rPr>
                <w:spacing w:val="-1"/>
                <w:sz w:val="18"/>
              </w:rPr>
              <w:t> </w:t>
            </w:r>
            <w:r>
              <w:rPr>
                <w:sz w:val="18"/>
              </w:rPr>
              <w:t>separate</w:t>
            </w:r>
            <w:r>
              <w:rPr>
                <w:spacing w:val="-1"/>
                <w:sz w:val="18"/>
              </w:rPr>
              <w:t> </w:t>
            </w:r>
            <w:r>
              <w:rPr>
                <w:spacing w:val="-2"/>
                <w:sz w:val="18"/>
              </w:rPr>
              <w:t>components)</w:t>
            </w:r>
          </w:p>
        </w:tc>
        <w:tc>
          <w:tcPr>
            <w:tcW w:w="1574" w:type="dxa"/>
          </w:tcPr>
          <w:p>
            <w:pPr>
              <w:pStyle w:val="TableParagraph"/>
              <w:ind w:right="78"/>
              <w:jc w:val="right"/>
              <w:rPr>
                <w:sz w:val="18"/>
              </w:rPr>
            </w:pPr>
            <w:r>
              <w:rPr>
                <w:spacing w:val="-2"/>
                <w:sz w:val="18"/>
              </w:rPr>
              <w:t>(678,371)</w:t>
            </w:r>
          </w:p>
        </w:tc>
        <w:tc>
          <w:tcPr>
            <w:tcW w:w="1636" w:type="dxa"/>
          </w:tcPr>
          <w:p>
            <w:pPr>
              <w:pStyle w:val="TableParagraph"/>
              <w:ind w:right="78"/>
              <w:jc w:val="right"/>
              <w:rPr>
                <w:sz w:val="18"/>
              </w:rPr>
            </w:pPr>
            <w:r>
              <w:rPr>
                <w:spacing w:val="-2"/>
                <w:sz w:val="18"/>
              </w:rPr>
              <w:t>(189,657)</w:t>
            </w:r>
          </w:p>
        </w:tc>
        <w:tc>
          <w:tcPr>
            <w:tcW w:w="1582" w:type="dxa"/>
          </w:tcPr>
          <w:p>
            <w:pPr>
              <w:pStyle w:val="TableParagraph"/>
              <w:ind w:right="70"/>
              <w:jc w:val="right"/>
              <w:rPr>
                <w:sz w:val="18"/>
              </w:rPr>
            </w:pPr>
            <w:r>
              <w:rPr>
                <w:spacing w:val="-2"/>
                <w:sz w:val="18"/>
              </w:rPr>
              <w:t>19,852</w:t>
            </w:r>
          </w:p>
        </w:tc>
      </w:tr>
      <w:tr>
        <w:trPr>
          <w:trHeight w:val="269" w:hRule="atLeast"/>
        </w:trPr>
        <w:tc>
          <w:tcPr>
            <w:tcW w:w="6723" w:type="dxa"/>
            <w:shd w:val="clear" w:color="auto" w:fill="CFF0FB"/>
          </w:tcPr>
          <w:p>
            <w:pPr>
              <w:pStyle w:val="TableParagraph"/>
              <w:spacing w:line="219" w:lineRule="exact" w:before="31"/>
              <w:ind w:left="217"/>
              <w:rPr>
                <w:sz w:val="18"/>
              </w:rPr>
            </w:pPr>
            <w:r>
              <w:rPr>
                <w:sz w:val="18"/>
              </w:rPr>
              <w:t>Deferred </w:t>
            </w:r>
            <w:r>
              <w:rPr>
                <w:rFonts w:ascii="Calibri" w:hAnsi="Calibri"/>
                <w:sz w:val="18"/>
              </w:rPr>
              <w:t>–</w:t>
            </w:r>
            <w:r>
              <w:rPr>
                <w:rFonts w:ascii="Calibri" w:hAnsi="Calibri"/>
                <w:spacing w:val="4"/>
                <w:sz w:val="18"/>
              </w:rPr>
              <w:t> </w:t>
            </w:r>
            <w:r>
              <w:rPr>
                <w:sz w:val="18"/>
              </w:rPr>
              <w:t>valuation</w:t>
            </w:r>
            <w:r>
              <w:rPr>
                <w:spacing w:val="-1"/>
                <w:sz w:val="18"/>
              </w:rPr>
              <w:t> </w:t>
            </w:r>
            <w:r>
              <w:rPr>
                <w:spacing w:val="-2"/>
                <w:sz w:val="18"/>
              </w:rPr>
              <w:t>allowance</w:t>
            </w:r>
          </w:p>
        </w:tc>
        <w:tc>
          <w:tcPr>
            <w:tcW w:w="1574" w:type="dxa"/>
            <w:shd w:val="clear" w:color="auto" w:fill="CFF0FB"/>
          </w:tcPr>
          <w:p>
            <w:pPr>
              <w:pStyle w:val="TableParagraph"/>
              <w:spacing w:before="34"/>
              <w:ind w:right="123"/>
              <w:jc w:val="right"/>
              <w:rPr>
                <w:sz w:val="18"/>
              </w:rPr>
            </w:pPr>
            <w:r>
              <w:rPr>
                <w:spacing w:val="-2"/>
                <w:sz w:val="18"/>
              </w:rPr>
              <w:t>5,346</w:t>
            </w:r>
          </w:p>
        </w:tc>
        <w:tc>
          <w:tcPr>
            <w:tcW w:w="1636" w:type="dxa"/>
            <w:shd w:val="clear" w:color="auto" w:fill="CFF0FB"/>
          </w:tcPr>
          <w:p>
            <w:pPr>
              <w:pStyle w:val="TableParagraph"/>
              <w:spacing w:before="34"/>
              <w:ind w:right="78"/>
              <w:jc w:val="right"/>
              <w:rPr>
                <w:sz w:val="18"/>
              </w:rPr>
            </w:pPr>
            <w:r>
              <w:rPr>
                <w:spacing w:val="-2"/>
                <w:sz w:val="18"/>
              </w:rPr>
              <w:t>(14,967)</w:t>
            </w:r>
          </w:p>
        </w:tc>
        <w:tc>
          <w:tcPr>
            <w:tcW w:w="1582" w:type="dxa"/>
            <w:shd w:val="clear" w:color="auto" w:fill="CFF0FB"/>
          </w:tcPr>
          <w:p>
            <w:pPr>
              <w:pStyle w:val="TableParagraph"/>
              <w:spacing w:before="34"/>
              <w:ind w:right="25"/>
              <w:jc w:val="right"/>
              <w:rPr>
                <w:sz w:val="18"/>
              </w:rPr>
            </w:pPr>
            <w:r>
              <w:rPr>
                <w:spacing w:val="-2"/>
                <w:sz w:val="18"/>
              </w:rPr>
              <w:t>(42,109)</w:t>
            </w:r>
          </w:p>
        </w:tc>
      </w:tr>
      <w:tr>
        <w:trPr>
          <w:trHeight w:val="255" w:hRule="atLeast"/>
        </w:trPr>
        <w:tc>
          <w:tcPr>
            <w:tcW w:w="6723" w:type="dxa"/>
          </w:tcPr>
          <w:p>
            <w:pPr>
              <w:pStyle w:val="TableParagraph"/>
              <w:spacing w:line="201" w:lineRule="exact" w:before="34"/>
              <w:ind w:left="217"/>
              <w:rPr>
                <w:sz w:val="18"/>
              </w:rPr>
            </w:pPr>
            <w:r>
              <w:rPr>
                <w:sz w:val="18"/>
              </w:rPr>
              <w:t>Other</w:t>
            </w:r>
            <w:r>
              <w:rPr>
                <w:spacing w:val="-1"/>
                <w:sz w:val="18"/>
              </w:rPr>
              <w:t> </w:t>
            </w:r>
            <w:r>
              <w:rPr>
                <w:spacing w:val="-2"/>
                <w:sz w:val="18"/>
              </w:rPr>
              <w:t>noncurrent</w:t>
            </w:r>
          </w:p>
        </w:tc>
        <w:tc>
          <w:tcPr>
            <w:tcW w:w="1574" w:type="dxa"/>
            <w:tcBorders>
              <w:bottom w:val="single" w:sz="6" w:space="0" w:color="000000"/>
            </w:tcBorders>
          </w:tcPr>
          <w:p>
            <w:pPr>
              <w:pStyle w:val="TableParagraph"/>
              <w:ind w:right="123"/>
              <w:jc w:val="right"/>
              <w:rPr>
                <w:sz w:val="18"/>
              </w:rPr>
            </w:pPr>
            <w:r>
              <w:rPr>
                <w:spacing w:val="-2"/>
                <w:sz w:val="18"/>
              </w:rPr>
              <w:t>18,326</w:t>
            </w:r>
          </w:p>
        </w:tc>
        <w:tc>
          <w:tcPr>
            <w:tcW w:w="1636" w:type="dxa"/>
            <w:tcBorders>
              <w:bottom w:val="single" w:sz="6" w:space="0" w:color="000000"/>
            </w:tcBorders>
          </w:tcPr>
          <w:p>
            <w:pPr>
              <w:pStyle w:val="TableParagraph"/>
              <w:ind w:right="78"/>
              <w:jc w:val="right"/>
              <w:rPr>
                <w:sz w:val="18"/>
              </w:rPr>
            </w:pPr>
            <w:r>
              <w:rPr>
                <w:spacing w:val="-2"/>
                <w:sz w:val="18"/>
              </w:rPr>
              <w:t>(14,262)</w:t>
            </w:r>
          </w:p>
        </w:tc>
        <w:tc>
          <w:tcPr>
            <w:tcW w:w="1582" w:type="dxa"/>
            <w:tcBorders>
              <w:bottom w:val="single" w:sz="6" w:space="0" w:color="000000"/>
            </w:tcBorders>
          </w:tcPr>
          <w:p>
            <w:pPr>
              <w:pStyle w:val="TableParagraph"/>
              <w:ind w:right="70"/>
              <w:jc w:val="right"/>
              <w:rPr>
                <w:sz w:val="18"/>
              </w:rPr>
            </w:pPr>
            <w:r>
              <w:rPr>
                <w:spacing w:val="-2"/>
                <w:sz w:val="18"/>
              </w:rPr>
              <w:t>4,922</w:t>
            </w:r>
          </w:p>
        </w:tc>
      </w:tr>
      <w:tr>
        <w:trPr>
          <w:trHeight w:val="268" w:hRule="atLeast"/>
        </w:trPr>
        <w:tc>
          <w:tcPr>
            <w:tcW w:w="6723" w:type="dxa"/>
            <w:shd w:val="clear" w:color="auto" w:fill="CFF0FB"/>
          </w:tcPr>
          <w:p>
            <w:pPr>
              <w:pStyle w:val="TableParagraph"/>
              <w:spacing w:before="33"/>
              <w:ind w:left="462"/>
              <w:rPr>
                <w:sz w:val="18"/>
              </w:rPr>
            </w:pPr>
            <w:r>
              <w:rPr>
                <w:sz w:val="18"/>
              </w:rPr>
              <w:t>Benefit</w:t>
            </w:r>
            <w:r>
              <w:rPr>
                <w:spacing w:val="-1"/>
                <w:sz w:val="18"/>
              </w:rPr>
              <w:t> </w:t>
            </w:r>
            <w:r>
              <w:rPr>
                <w:sz w:val="18"/>
              </w:rPr>
              <w:t>(provision)</w:t>
            </w:r>
            <w:r>
              <w:rPr>
                <w:spacing w:val="-1"/>
                <w:sz w:val="18"/>
              </w:rPr>
              <w:t> </w:t>
            </w:r>
            <w:r>
              <w:rPr>
                <w:sz w:val="18"/>
              </w:rPr>
              <w:t>for</w:t>
            </w:r>
            <w:r>
              <w:rPr>
                <w:spacing w:val="-1"/>
                <w:sz w:val="18"/>
              </w:rPr>
              <w:t> </w:t>
            </w:r>
            <w:r>
              <w:rPr>
                <w:sz w:val="18"/>
              </w:rPr>
              <w:t>federal</w:t>
            </w:r>
            <w:r>
              <w:rPr>
                <w:spacing w:val="-1"/>
                <w:sz w:val="18"/>
              </w:rPr>
              <w:t> </w:t>
            </w:r>
            <w:r>
              <w:rPr>
                <w:sz w:val="18"/>
              </w:rPr>
              <w:t>income</w:t>
            </w:r>
            <w:r>
              <w:rPr>
                <w:spacing w:val="-1"/>
                <w:sz w:val="18"/>
              </w:rPr>
              <w:t> </w:t>
            </w:r>
            <w:r>
              <w:rPr>
                <w:spacing w:val="-2"/>
                <w:sz w:val="18"/>
              </w:rPr>
              <w:t>taxes</w:t>
            </w:r>
          </w:p>
        </w:tc>
        <w:tc>
          <w:tcPr>
            <w:tcW w:w="1574" w:type="dxa"/>
            <w:tcBorders>
              <w:top w:val="single" w:sz="6" w:space="0" w:color="000000"/>
              <w:bottom w:val="single" w:sz="6" w:space="0" w:color="000000"/>
            </w:tcBorders>
            <w:shd w:val="clear" w:color="auto" w:fill="CFF0FB"/>
          </w:tcPr>
          <w:p>
            <w:pPr>
              <w:pStyle w:val="TableParagraph"/>
              <w:spacing w:before="20"/>
              <w:ind w:right="78"/>
              <w:jc w:val="right"/>
              <w:rPr>
                <w:sz w:val="18"/>
              </w:rPr>
            </w:pPr>
            <w:r>
              <w:rPr>
                <w:spacing w:val="-2"/>
                <w:sz w:val="18"/>
              </w:rPr>
              <w:t>(861,125)</w:t>
            </w:r>
          </w:p>
        </w:tc>
        <w:tc>
          <w:tcPr>
            <w:tcW w:w="1636" w:type="dxa"/>
            <w:tcBorders>
              <w:top w:val="single" w:sz="6" w:space="0" w:color="000000"/>
              <w:bottom w:val="single" w:sz="6" w:space="0" w:color="000000"/>
            </w:tcBorders>
            <w:shd w:val="clear" w:color="auto" w:fill="CFF0FB"/>
          </w:tcPr>
          <w:p>
            <w:pPr>
              <w:pStyle w:val="TableParagraph"/>
              <w:spacing w:before="20"/>
              <w:ind w:right="78"/>
              <w:jc w:val="right"/>
              <w:rPr>
                <w:sz w:val="18"/>
              </w:rPr>
            </w:pPr>
            <w:r>
              <w:rPr>
                <w:spacing w:val="-2"/>
                <w:sz w:val="18"/>
              </w:rPr>
              <w:t>(227,870)</w:t>
            </w:r>
          </w:p>
        </w:tc>
        <w:tc>
          <w:tcPr>
            <w:tcW w:w="1582" w:type="dxa"/>
            <w:tcBorders>
              <w:top w:val="single" w:sz="6" w:space="0" w:color="000000"/>
              <w:bottom w:val="single" w:sz="6" w:space="0" w:color="000000"/>
            </w:tcBorders>
            <w:shd w:val="clear" w:color="auto" w:fill="CFF0FB"/>
          </w:tcPr>
          <w:p>
            <w:pPr>
              <w:pStyle w:val="TableParagraph"/>
              <w:spacing w:before="20"/>
              <w:ind w:right="70"/>
              <w:jc w:val="right"/>
              <w:rPr>
                <w:sz w:val="18"/>
              </w:rPr>
            </w:pPr>
            <w:r>
              <w:rPr>
                <w:spacing w:val="-2"/>
                <w:sz w:val="18"/>
              </w:rPr>
              <w:t>190,209</w:t>
            </w:r>
          </w:p>
        </w:tc>
      </w:tr>
      <w:tr>
        <w:trPr>
          <w:trHeight w:val="242" w:hRule="atLeast"/>
        </w:trPr>
        <w:tc>
          <w:tcPr>
            <w:tcW w:w="6723" w:type="dxa"/>
          </w:tcPr>
          <w:p>
            <w:pPr>
              <w:pStyle w:val="TableParagraph"/>
              <w:spacing w:before="6"/>
              <w:ind w:left="17"/>
              <w:rPr>
                <w:b/>
                <w:sz w:val="18"/>
              </w:rPr>
            </w:pPr>
            <w:r>
              <w:rPr>
                <w:b/>
                <w:spacing w:val="-2"/>
                <w:sz w:val="18"/>
                <w:u w:val="single"/>
              </w:rPr>
              <w:t>State:</w:t>
            </w:r>
          </w:p>
        </w:tc>
        <w:tc>
          <w:tcPr>
            <w:tcW w:w="1574" w:type="dxa"/>
            <w:tcBorders>
              <w:top w:val="single" w:sz="6" w:space="0" w:color="000000"/>
            </w:tcBorders>
          </w:tcPr>
          <w:p>
            <w:pPr>
              <w:pStyle w:val="TableParagraph"/>
              <w:spacing w:before="0"/>
              <w:rPr>
                <w:sz w:val="16"/>
              </w:rPr>
            </w:pPr>
          </w:p>
        </w:tc>
        <w:tc>
          <w:tcPr>
            <w:tcW w:w="1636" w:type="dxa"/>
            <w:tcBorders>
              <w:top w:val="single" w:sz="6" w:space="0" w:color="000000"/>
            </w:tcBorders>
          </w:tcPr>
          <w:p>
            <w:pPr>
              <w:pStyle w:val="TableParagraph"/>
              <w:spacing w:before="0"/>
              <w:rPr>
                <w:sz w:val="16"/>
              </w:rPr>
            </w:pPr>
          </w:p>
        </w:tc>
        <w:tc>
          <w:tcPr>
            <w:tcW w:w="1582" w:type="dxa"/>
            <w:tcBorders>
              <w:top w:val="single" w:sz="6" w:space="0" w:color="000000"/>
            </w:tcBorders>
          </w:tcPr>
          <w:p>
            <w:pPr>
              <w:pStyle w:val="TableParagraph"/>
              <w:spacing w:before="0"/>
              <w:rPr>
                <w:sz w:val="16"/>
              </w:rPr>
            </w:pPr>
          </w:p>
        </w:tc>
      </w:tr>
      <w:tr>
        <w:trPr>
          <w:trHeight w:val="256" w:hRule="atLeast"/>
        </w:trPr>
        <w:tc>
          <w:tcPr>
            <w:tcW w:w="6723" w:type="dxa"/>
            <w:shd w:val="clear" w:color="auto" w:fill="CFF0FB"/>
          </w:tcPr>
          <w:p>
            <w:pPr>
              <w:pStyle w:val="TableParagraph"/>
              <w:ind w:left="217"/>
              <w:rPr>
                <w:sz w:val="18"/>
              </w:rPr>
            </w:pPr>
            <w:r>
              <w:rPr>
                <w:spacing w:val="-2"/>
                <w:sz w:val="18"/>
              </w:rPr>
              <w:t>Current</w:t>
            </w:r>
          </w:p>
        </w:tc>
        <w:tc>
          <w:tcPr>
            <w:tcW w:w="1574" w:type="dxa"/>
            <w:shd w:val="clear" w:color="auto" w:fill="CFF0FB"/>
          </w:tcPr>
          <w:p>
            <w:pPr>
              <w:pStyle w:val="TableParagraph"/>
              <w:ind w:right="78"/>
              <w:jc w:val="right"/>
              <w:rPr>
                <w:sz w:val="18"/>
              </w:rPr>
            </w:pPr>
            <w:r>
              <w:rPr>
                <w:spacing w:val="-2"/>
                <w:sz w:val="18"/>
              </w:rPr>
              <w:t>(10,389)</w:t>
            </w:r>
          </w:p>
        </w:tc>
        <w:tc>
          <w:tcPr>
            <w:tcW w:w="1636" w:type="dxa"/>
            <w:shd w:val="clear" w:color="auto" w:fill="CFF0FB"/>
          </w:tcPr>
          <w:p>
            <w:pPr>
              <w:pStyle w:val="TableParagraph"/>
              <w:ind w:right="123"/>
              <w:jc w:val="right"/>
              <w:rPr>
                <w:sz w:val="18"/>
              </w:rPr>
            </w:pPr>
            <w:r>
              <w:rPr>
                <w:spacing w:val="-10"/>
                <w:sz w:val="18"/>
              </w:rPr>
              <w:t>5</w:t>
            </w:r>
          </w:p>
        </w:tc>
        <w:tc>
          <w:tcPr>
            <w:tcW w:w="1582" w:type="dxa"/>
            <w:shd w:val="clear" w:color="auto" w:fill="CFF0FB"/>
          </w:tcPr>
          <w:p>
            <w:pPr>
              <w:pStyle w:val="TableParagraph"/>
              <w:ind w:right="25"/>
              <w:jc w:val="right"/>
              <w:rPr>
                <w:sz w:val="18"/>
              </w:rPr>
            </w:pPr>
            <w:r>
              <w:rPr>
                <w:spacing w:val="-2"/>
                <w:sz w:val="18"/>
              </w:rPr>
              <w:t>(816)</w:t>
            </w:r>
          </w:p>
        </w:tc>
      </w:tr>
      <w:tr>
        <w:trPr>
          <w:trHeight w:val="269" w:hRule="atLeast"/>
        </w:trPr>
        <w:tc>
          <w:tcPr>
            <w:tcW w:w="6723" w:type="dxa"/>
          </w:tcPr>
          <w:p>
            <w:pPr>
              <w:pStyle w:val="TableParagraph"/>
              <w:ind w:left="217"/>
              <w:rPr>
                <w:sz w:val="18"/>
              </w:rPr>
            </w:pPr>
            <w:r>
              <w:rPr>
                <w:sz w:val="18"/>
              </w:rPr>
              <w:t>Deferred</w:t>
            </w:r>
            <w:r>
              <w:rPr>
                <w:spacing w:val="-1"/>
                <w:sz w:val="18"/>
              </w:rPr>
              <w:t> </w:t>
            </w:r>
            <w:r>
              <w:rPr>
                <w:sz w:val="18"/>
              </w:rPr>
              <w:t>(excluding</w:t>
            </w:r>
            <w:r>
              <w:rPr>
                <w:spacing w:val="-1"/>
                <w:sz w:val="18"/>
              </w:rPr>
              <w:t> </w:t>
            </w:r>
            <w:r>
              <w:rPr>
                <w:sz w:val="18"/>
              </w:rPr>
              <w:t>separate</w:t>
            </w:r>
            <w:r>
              <w:rPr>
                <w:spacing w:val="-1"/>
                <w:sz w:val="18"/>
              </w:rPr>
              <w:t> </w:t>
            </w:r>
            <w:r>
              <w:rPr>
                <w:spacing w:val="-2"/>
                <w:sz w:val="18"/>
              </w:rPr>
              <w:t>components)</w:t>
            </w:r>
          </w:p>
        </w:tc>
        <w:tc>
          <w:tcPr>
            <w:tcW w:w="1574" w:type="dxa"/>
          </w:tcPr>
          <w:p>
            <w:pPr>
              <w:pStyle w:val="TableParagraph"/>
              <w:ind w:right="78"/>
              <w:jc w:val="right"/>
              <w:rPr>
                <w:sz w:val="18"/>
              </w:rPr>
            </w:pPr>
            <w:r>
              <w:rPr>
                <w:spacing w:val="-2"/>
                <w:sz w:val="18"/>
              </w:rPr>
              <w:t>(33,878)</w:t>
            </w:r>
          </w:p>
        </w:tc>
        <w:tc>
          <w:tcPr>
            <w:tcW w:w="1636" w:type="dxa"/>
          </w:tcPr>
          <w:p>
            <w:pPr>
              <w:pStyle w:val="TableParagraph"/>
              <w:ind w:right="78"/>
              <w:jc w:val="right"/>
              <w:rPr>
                <w:sz w:val="18"/>
              </w:rPr>
            </w:pPr>
            <w:r>
              <w:rPr>
                <w:spacing w:val="-2"/>
                <w:sz w:val="18"/>
              </w:rPr>
              <w:t>(28,068)</w:t>
            </w:r>
          </w:p>
        </w:tc>
        <w:tc>
          <w:tcPr>
            <w:tcW w:w="1582" w:type="dxa"/>
          </w:tcPr>
          <w:p>
            <w:pPr>
              <w:pStyle w:val="TableParagraph"/>
              <w:ind w:right="25"/>
              <w:jc w:val="right"/>
              <w:rPr>
                <w:sz w:val="18"/>
              </w:rPr>
            </w:pPr>
            <w:r>
              <w:rPr>
                <w:spacing w:val="-2"/>
                <w:sz w:val="18"/>
              </w:rPr>
              <w:t>(33,087)</w:t>
            </w:r>
          </w:p>
        </w:tc>
      </w:tr>
      <w:tr>
        <w:trPr>
          <w:trHeight w:val="269" w:hRule="atLeast"/>
        </w:trPr>
        <w:tc>
          <w:tcPr>
            <w:tcW w:w="6723" w:type="dxa"/>
            <w:shd w:val="clear" w:color="auto" w:fill="CFF0FB"/>
          </w:tcPr>
          <w:p>
            <w:pPr>
              <w:pStyle w:val="TableParagraph"/>
              <w:spacing w:line="219" w:lineRule="exact" w:before="31"/>
              <w:ind w:left="217"/>
              <w:rPr>
                <w:sz w:val="18"/>
              </w:rPr>
            </w:pPr>
            <w:r>
              <w:rPr>
                <w:sz w:val="18"/>
              </w:rPr>
              <w:t>Deferred</w:t>
            </w:r>
            <w:r>
              <w:rPr>
                <w:spacing w:val="-2"/>
                <w:sz w:val="18"/>
              </w:rPr>
              <w:t> </w:t>
            </w:r>
            <w:r>
              <w:rPr>
                <w:rFonts w:ascii="Calibri" w:hAnsi="Calibri"/>
                <w:sz w:val="18"/>
              </w:rPr>
              <w:t>–</w:t>
            </w:r>
            <w:r>
              <w:rPr>
                <w:rFonts w:ascii="Calibri" w:hAnsi="Calibri"/>
                <w:spacing w:val="4"/>
                <w:sz w:val="18"/>
              </w:rPr>
              <w:t> </w:t>
            </w:r>
            <w:r>
              <w:rPr>
                <w:sz w:val="18"/>
              </w:rPr>
              <w:t>operating</w:t>
            </w:r>
            <w:r>
              <w:rPr>
                <w:spacing w:val="-1"/>
                <w:sz w:val="18"/>
              </w:rPr>
              <w:t> </w:t>
            </w:r>
            <w:r>
              <w:rPr>
                <w:sz w:val="18"/>
              </w:rPr>
              <w:t>loss</w:t>
            </w:r>
            <w:r>
              <w:rPr>
                <w:spacing w:val="-1"/>
                <w:sz w:val="18"/>
              </w:rPr>
              <w:t> </w:t>
            </w:r>
            <w:r>
              <w:rPr>
                <w:spacing w:val="-2"/>
                <w:sz w:val="18"/>
              </w:rPr>
              <w:t>carryforward</w:t>
            </w:r>
          </w:p>
        </w:tc>
        <w:tc>
          <w:tcPr>
            <w:tcW w:w="1574" w:type="dxa"/>
            <w:shd w:val="clear" w:color="auto" w:fill="CFF0FB"/>
          </w:tcPr>
          <w:p>
            <w:pPr>
              <w:pStyle w:val="TableParagraph"/>
              <w:spacing w:before="34"/>
              <w:ind w:right="78"/>
              <w:jc w:val="right"/>
              <w:rPr>
                <w:sz w:val="18"/>
              </w:rPr>
            </w:pPr>
            <w:r>
              <w:rPr>
                <w:spacing w:val="-2"/>
                <w:sz w:val="18"/>
              </w:rPr>
              <w:t>(15,442)</w:t>
            </w:r>
          </w:p>
        </w:tc>
        <w:tc>
          <w:tcPr>
            <w:tcW w:w="1636" w:type="dxa"/>
            <w:shd w:val="clear" w:color="auto" w:fill="CFF0FB"/>
          </w:tcPr>
          <w:p>
            <w:pPr>
              <w:pStyle w:val="TableParagraph"/>
              <w:spacing w:before="34"/>
              <w:ind w:right="78"/>
              <w:jc w:val="right"/>
              <w:rPr>
                <w:sz w:val="18"/>
              </w:rPr>
            </w:pPr>
            <w:r>
              <w:rPr>
                <w:spacing w:val="-2"/>
                <w:sz w:val="18"/>
              </w:rPr>
              <w:t>(27,936)</w:t>
            </w:r>
          </w:p>
        </w:tc>
        <w:tc>
          <w:tcPr>
            <w:tcW w:w="1582" w:type="dxa"/>
            <w:shd w:val="clear" w:color="auto" w:fill="CFF0FB"/>
          </w:tcPr>
          <w:p>
            <w:pPr>
              <w:pStyle w:val="TableParagraph"/>
              <w:spacing w:before="34"/>
              <w:ind w:right="70"/>
              <w:jc w:val="right"/>
              <w:rPr>
                <w:sz w:val="18"/>
              </w:rPr>
            </w:pPr>
            <w:r>
              <w:rPr>
                <w:spacing w:val="-2"/>
                <w:sz w:val="18"/>
              </w:rPr>
              <w:t>47,728</w:t>
            </w:r>
          </w:p>
        </w:tc>
      </w:tr>
      <w:tr>
        <w:trPr>
          <w:trHeight w:val="269" w:hRule="atLeast"/>
        </w:trPr>
        <w:tc>
          <w:tcPr>
            <w:tcW w:w="6723" w:type="dxa"/>
          </w:tcPr>
          <w:p>
            <w:pPr>
              <w:pStyle w:val="TableParagraph"/>
              <w:spacing w:line="219" w:lineRule="exact" w:before="31"/>
              <w:ind w:left="217"/>
              <w:rPr>
                <w:sz w:val="18"/>
              </w:rPr>
            </w:pPr>
            <w:r>
              <w:rPr>
                <w:sz w:val="18"/>
              </w:rPr>
              <w:t>Deferred </w:t>
            </w:r>
            <w:r>
              <w:rPr>
                <w:rFonts w:ascii="Calibri" w:hAnsi="Calibri"/>
                <w:sz w:val="18"/>
              </w:rPr>
              <w:t>–</w:t>
            </w:r>
            <w:r>
              <w:rPr>
                <w:rFonts w:ascii="Calibri" w:hAnsi="Calibri"/>
                <w:spacing w:val="4"/>
                <w:sz w:val="18"/>
              </w:rPr>
              <w:t> </w:t>
            </w:r>
            <w:r>
              <w:rPr>
                <w:sz w:val="18"/>
              </w:rPr>
              <w:t>valuation</w:t>
            </w:r>
            <w:r>
              <w:rPr>
                <w:spacing w:val="-1"/>
                <w:sz w:val="18"/>
              </w:rPr>
              <w:t> </w:t>
            </w:r>
            <w:r>
              <w:rPr>
                <w:spacing w:val="-2"/>
                <w:sz w:val="18"/>
              </w:rPr>
              <w:t>allowance</w:t>
            </w:r>
          </w:p>
        </w:tc>
        <w:tc>
          <w:tcPr>
            <w:tcW w:w="1574" w:type="dxa"/>
          </w:tcPr>
          <w:p>
            <w:pPr>
              <w:pStyle w:val="TableParagraph"/>
              <w:spacing w:before="34"/>
              <w:ind w:right="78"/>
              <w:jc w:val="right"/>
              <w:rPr>
                <w:sz w:val="18"/>
              </w:rPr>
            </w:pPr>
            <w:r>
              <w:rPr>
                <w:spacing w:val="-2"/>
                <w:sz w:val="18"/>
              </w:rPr>
              <w:t>(2,345)</w:t>
            </w:r>
          </w:p>
        </w:tc>
        <w:tc>
          <w:tcPr>
            <w:tcW w:w="1636" w:type="dxa"/>
          </w:tcPr>
          <w:p>
            <w:pPr>
              <w:pStyle w:val="TableParagraph"/>
              <w:spacing w:before="34"/>
              <w:ind w:right="78"/>
              <w:jc w:val="right"/>
              <w:rPr>
                <w:sz w:val="18"/>
              </w:rPr>
            </w:pPr>
            <w:r>
              <w:rPr>
                <w:spacing w:val="-2"/>
                <w:sz w:val="18"/>
              </w:rPr>
              <w:t>(601)</w:t>
            </w:r>
          </w:p>
        </w:tc>
        <w:tc>
          <w:tcPr>
            <w:tcW w:w="1582" w:type="dxa"/>
          </w:tcPr>
          <w:p>
            <w:pPr>
              <w:pStyle w:val="TableParagraph"/>
              <w:spacing w:before="34"/>
              <w:ind w:right="25"/>
              <w:jc w:val="right"/>
              <w:rPr>
                <w:sz w:val="18"/>
              </w:rPr>
            </w:pPr>
            <w:r>
              <w:rPr>
                <w:spacing w:val="-2"/>
                <w:sz w:val="18"/>
              </w:rPr>
              <w:t>(3,375)</w:t>
            </w:r>
          </w:p>
        </w:tc>
      </w:tr>
      <w:tr>
        <w:trPr>
          <w:trHeight w:val="269" w:hRule="atLeast"/>
        </w:trPr>
        <w:tc>
          <w:tcPr>
            <w:tcW w:w="6723" w:type="dxa"/>
            <w:shd w:val="clear" w:color="auto" w:fill="CFF0FB"/>
          </w:tcPr>
          <w:p>
            <w:pPr>
              <w:pStyle w:val="TableParagraph"/>
              <w:spacing w:before="34"/>
              <w:ind w:left="217"/>
              <w:rPr>
                <w:sz w:val="18"/>
              </w:rPr>
            </w:pPr>
            <w:r>
              <w:rPr>
                <w:sz w:val="18"/>
              </w:rPr>
              <w:t>Other</w:t>
            </w:r>
            <w:r>
              <w:rPr>
                <w:spacing w:val="-1"/>
                <w:sz w:val="18"/>
              </w:rPr>
              <w:t> </w:t>
            </w:r>
            <w:r>
              <w:rPr>
                <w:spacing w:val="-2"/>
                <w:sz w:val="18"/>
              </w:rPr>
              <w:t>noncurrent</w:t>
            </w:r>
          </w:p>
        </w:tc>
        <w:tc>
          <w:tcPr>
            <w:tcW w:w="1574" w:type="dxa"/>
            <w:tcBorders>
              <w:bottom w:val="single" w:sz="6" w:space="0" w:color="000000"/>
            </w:tcBorders>
            <w:shd w:val="clear" w:color="auto" w:fill="CFF0FB"/>
          </w:tcPr>
          <w:p>
            <w:pPr>
              <w:pStyle w:val="TableParagraph"/>
              <w:ind w:right="123"/>
              <w:jc w:val="right"/>
              <w:rPr>
                <w:sz w:val="18"/>
              </w:rPr>
            </w:pPr>
            <w:r>
              <w:rPr>
                <w:spacing w:val="-10"/>
                <w:sz w:val="18"/>
              </w:rPr>
              <w:t>—</w:t>
            </w:r>
          </w:p>
        </w:tc>
        <w:tc>
          <w:tcPr>
            <w:tcW w:w="1636" w:type="dxa"/>
            <w:tcBorders>
              <w:bottom w:val="single" w:sz="6" w:space="0" w:color="000000"/>
            </w:tcBorders>
            <w:shd w:val="clear" w:color="auto" w:fill="CFF0FB"/>
          </w:tcPr>
          <w:p>
            <w:pPr>
              <w:pStyle w:val="TableParagraph"/>
              <w:ind w:right="123"/>
              <w:jc w:val="right"/>
              <w:rPr>
                <w:sz w:val="18"/>
              </w:rPr>
            </w:pPr>
            <w:r>
              <w:rPr>
                <w:spacing w:val="-2"/>
                <w:sz w:val="18"/>
              </w:rPr>
              <w:t>13,260</w:t>
            </w:r>
          </w:p>
        </w:tc>
        <w:tc>
          <w:tcPr>
            <w:tcW w:w="1582" w:type="dxa"/>
            <w:tcBorders>
              <w:bottom w:val="single" w:sz="6" w:space="0" w:color="000000"/>
            </w:tcBorders>
            <w:shd w:val="clear" w:color="auto" w:fill="CFF0FB"/>
          </w:tcPr>
          <w:p>
            <w:pPr>
              <w:pStyle w:val="TableParagraph"/>
              <w:ind w:right="25"/>
              <w:jc w:val="right"/>
              <w:rPr>
                <w:sz w:val="18"/>
              </w:rPr>
            </w:pPr>
            <w:r>
              <w:rPr>
                <w:spacing w:val="-2"/>
                <w:sz w:val="18"/>
              </w:rPr>
              <w:t>(946)</w:t>
            </w:r>
          </w:p>
        </w:tc>
      </w:tr>
      <w:tr>
        <w:trPr>
          <w:trHeight w:val="254" w:hRule="atLeast"/>
        </w:trPr>
        <w:tc>
          <w:tcPr>
            <w:tcW w:w="6723" w:type="dxa"/>
          </w:tcPr>
          <w:p>
            <w:pPr>
              <w:pStyle w:val="TableParagraph"/>
              <w:spacing w:before="20"/>
              <w:ind w:left="462"/>
              <w:rPr>
                <w:sz w:val="18"/>
              </w:rPr>
            </w:pPr>
            <w:r>
              <w:rPr>
                <w:sz w:val="18"/>
              </w:rPr>
              <w:t>Benefit</w:t>
            </w:r>
            <w:r>
              <w:rPr>
                <w:spacing w:val="-1"/>
                <w:sz w:val="18"/>
              </w:rPr>
              <w:t> </w:t>
            </w:r>
            <w:r>
              <w:rPr>
                <w:sz w:val="18"/>
              </w:rPr>
              <w:t>(provision)</w:t>
            </w:r>
            <w:r>
              <w:rPr>
                <w:spacing w:val="-1"/>
                <w:sz w:val="18"/>
              </w:rPr>
              <w:t> </w:t>
            </w:r>
            <w:r>
              <w:rPr>
                <w:sz w:val="18"/>
              </w:rPr>
              <w:t>for</w:t>
            </w:r>
            <w:r>
              <w:rPr>
                <w:spacing w:val="-1"/>
                <w:sz w:val="18"/>
              </w:rPr>
              <w:t> </w:t>
            </w:r>
            <w:r>
              <w:rPr>
                <w:sz w:val="18"/>
              </w:rPr>
              <w:t>state</w:t>
            </w:r>
            <w:r>
              <w:rPr>
                <w:spacing w:val="-1"/>
                <w:sz w:val="18"/>
              </w:rPr>
              <w:t> </w:t>
            </w:r>
            <w:r>
              <w:rPr>
                <w:sz w:val="18"/>
              </w:rPr>
              <w:t>income</w:t>
            </w:r>
            <w:r>
              <w:rPr>
                <w:spacing w:val="-1"/>
                <w:sz w:val="18"/>
              </w:rPr>
              <w:t> </w:t>
            </w:r>
            <w:r>
              <w:rPr>
                <w:spacing w:val="-2"/>
                <w:sz w:val="18"/>
              </w:rPr>
              <w:t>taxes</w:t>
            </w:r>
          </w:p>
        </w:tc>
        <w:tc>
          <w:tcPr>
            <w:tcW w:w="1574" w:type="dxa"/>
            <w:tcBorders>
              <w:top w:val="single" w:sz="6" w:space="0" w:color="000000"/>
              <w:bottom w:val="single" w:sz="6" w:space="0" w:color="000000"/>
            </w:tcBorders>
          </w:tcPr>
          <w:p>
            <w:pPr>
              <w:pStyle w:val="TableParagraph"/>
              <w:spacing w:before="20"/>
              <w:ind w:right="78"/>
              <w:jc w:val="right"/>
              <w:rPr>
                <w:sz w:val="18"/>
              </w:rPr>
            </w:pPr>
            <w:r>
              <w:rPr>
                <w:spacing w:val="-2"/>
                <w:sz w:val="18"/>
              </w:rPr>
              <w:t>(62,054)</w:t>
            </w:r>
          </w:p>
        </w:tc>
        <w:tc>
          <w:tcPr>
            <w:tcW w:w="1636" w:type="dxa"/>
            <w:tcBorders>
              <w:top w:val="single" w:sz="6" w:space="0" w:color="000000"/>
              <w:bottom w:val="single" w:sz="6" w:space="0" w:color="000000"/>
            </w:tcBorders>
          </w:tcPr>
          <w:p>
            <w:pPr>
              <w:pStyle w:val="TableParagraph"/>
              <w:spacing w:before="20"/>
              <w:ind w:right="78"/>
              <w:jc w:val="right"/>
              <w:rPr>
                <w:sz w:val="18"/>
              </w:rPr>
            </w:pPr>
            <w:r>
              <w:rPr>
                <w:spacing w:val="-2"/>
                <w:sz w:val="18"/>
              </w:rPr>
              <w:t>(43,340)</w:t>
            </w:r>
          </w:p>
        </w:tc>
        <w:tc>
          <w:tcPr>
            <w:tcW w:w="1582" w:type="dxa"/>
            <w:tcBorders>
              <w:top w:val="single" w:sz="6" w:space="0" w:color="000000"/>
              <w:bottom w:val="single" w:sz="6" w:space="0" w:color="000000"/>
            </w:tcBorders>
          </w:tcPr>
          <w:p>
            <w:pPr>
              <w:pStyle w:val="TableParagraph"/>
              <w:spacing w:before="20"/>
              <w:ind w:right="70"/>
              <w:jc w:val="right"/>
              <w:rPr>
                <w:sz w:val="18"/>
              </w:rPr>
            </w:pPr>
            <w:r>
              <w:rPr>
                <w:spacing w:val="-2"/>
                <w:sz w:val="18"/>
              </w:rPr>
              <w:t>9,504</w:t>
            </w:r>
          </w:p>
        </w:tc>
      </w:tr>
      <w:tr>
        <w:trPr>
          <w:trHeight w:val="242" w:hRule="atLeast"/>
        </w:trPr>
        <w:tc>
          <w:tcPr>
            <w:tcW w:w="11515" w:type="dxa"/>
            <w:gridSpan w:val="4"/>
            <w:shd w:val="clear" w:color="auto" w:fill="CFF0FB"/>
          </w:tcPr>
          <w:p>
            <w:pPr>
              <w:pStyle w:val="TableParagraph"/>
              <w:spacing w:before="6"/>
              <w:ind w:left="17"/>
              <w:rPr>
                <w:b/>
                <w:sz w:val="18"/>
              </w:rPr>
            </w:pPr>
            <w:r>
              <w:rPr>
                <w:b/>
                <w:spacing w:val="-2"/>
                <w:sz w:val="18"/>
                <w:u w:val="single"/>
              </w:rPr>
              <w:t>Fore</w:t>
            </w:r>
            <w:r>
              <w:rPr>
                <w:b/>
                <w:spacing w:val="-2"/>
                <w:sz w:val="18"/>
              </w:rPr>
              <w:t>ig</w:t>
            </w:r>
            <w:r>
              <w:rPr>
                <w:b/>
                <w:spacing w:val="-2"/>
                <w:sz w:val="18"/>
                <w:u w:val="single"/>
              </w:rPr>
              <w:t>n:</w:t>
            </w:r>
          </w:p>
        </w:tc>
      </w:tr>
      <w:tr>
        <w:trPr>
          <w:trHeight w:val="269" w:hRule="atLeast"/>
        </w:trPr>
        <w:tc>
          <w:tcPr>
            <w:tcW w:w="6723" w:type="dxa"/>
          </w:tcPr>
          <w:p>
            <w:pPr>
              <w:pStyle w:val="TableParagraph"/>
              <w:ind w:left="217"/>
              <w:rPr>
                <w:sz w:val="18"/>
              </w:rPr>
            </w:pPr>
            <w:r>
              <w:rPr>
                <w:spacing w:val="-2"/>
                <w:sz w:val="18"/>
              </w:rPr>
              <w:t>Current</w:t>
            </w:r>
          </w:p>
        </w:tc>
        <w:tc>
          <w:tcPr>
            <w:tcW w:w="1574" w:type="dxa"/>
          </w:tcPr>
          <w:p>
            <w:pPr>
              <w:pStyle w:val="TableParagraph"/>
              <w:ind w:right="78"/>
              <w:jc w:val="right"/>
              <w:rPr>
                <w:sz w:val="18"/>
              </w:rPr>
            </w:pPr>
            <w:r>
              <w:rPr>
                <w:spacing w:val="-2"/>
                <w:sz w:val="18"/>
              </w:rPr>
              <w:t>(2,259)</w:t>
            </w:r>
          </w:p>
        </w:tc>
        <w:tc>
          <w:tcPr>
            <w:tcW w:w="1636" w:type="dxa"/>
          </w:tcPr>
          <w:p>
            <w:pPr>
              <w:pStyle w:val="TableParagraph"/>
              <w:ind w:right="78"/>
              <w:jc w:val="right"/>
              <w:rPr>
                <w:sz w:val="18"/>
              </w:rPr>
            </w:pPr>
            <w:r>
              <w:rPr>
                <w:spacing w:val="-2"/>
                <w:sz w:val="18"/>
              </w:rPr>
              <w:t>(3,717)</w:t>
            </w:r>
          </w:p>
        </w:tc>
        <w:tc>
          <w:tcPr>
            <w:tcW w:w="1582" w:type="dxa"/>
          </w:tcPr>
          <w:p>
            <w:pPr>
              <w:pStyle w:val="TableParagraph"/>
              <w:ind w:right="25"/>
              <w:jc w:val="right"/>
              <w:rPr>
                <w:sz w:val="18"/>
              </w:rPr>
            </w:pPr>
            <w:r>
              <w:rPr>
                <w:spacing w:val="-2"/>
                <w:sz w:val="18"/>
              </w:rPr>
              <w:t>(828)</w:t>
            </w:r>
          </w:p>
        </w:tc>
      </w:tr>
      <w:tr>
        <w:trPr>
          <w:trHeight w:val="256" w:hRule="atLeast"/>
        </w:trPr>
        <w:tc>
          <w:tcPr>
            <w:tcW w:w="6723" w:type="dxa"/>
            <w:shd w:val="clear" w:color="auto" w:fill="CFF0FB"/>
          </w:tcPr>
          <w:p>
            <w:pPr>
              <w:pStyle w:val="TableParagraph"/>
              <w:ind w:left="217"/>
              <w:rPr>
                <w:sz w:val="18"/>
              </w:rPr>
            </w:pPr>
            <w:r>
              <w:rPr>
                <w:sz w:val="18"/>
              </w:rPr>
              <w:t>Deferred</w:t>
            </w:r>
            <w:r>
              <w:rPr>
                <w:spacing w:val="-1"/>
                <w:sz w:val="18"/>
              </w:rPr>
              <w:t> </w:t>
            </w:r>
            <w:r>
              <w:rPr>
                <w:sz w:val="18"/>
              </w:rPr>
              <w:t>(excluding</w:t>
            </w:r>
            <w:r>
              <w:rPr>
                <w:spacing w:val="-1"/>
                <w:sz w:val="18"/>
              </w:rPr>
              <w:t> </w:t>
            </w:r>
            <w:r>
              <w:rPr>
                <w:sz w:val="18"/>
              </w:rPr>
              <w:t>separate</w:t>
            </w:r>
            <w:r>
              <w:rPr>
                <w:spacing w:val="-1"/>
                <w:sz w:val="18"/>
              </w:rPr>
              <w:t> </w:t>
            </w:r>
            <w:r>
              <w:rPr>
                <w:spacing w:val="-2"/>
                <w:sz w:val="18"/>
              </w:rPr>
              <w:t>components)</w:t>
            </w:r>
          </w:p>
        </w:tc>
        <w:tc>
          <w:tcPr>
            <w:tcW w:w="1574" w:type="dxa"/>
            <w:shd w:val="clear" w:color="auto" w:fill="CFF0FB"/>
          </w:tcPr>
          <w:p>
            <w:pPr>
              <w:pStyle w:val="TableParagraph"/>
              <w:ind w:right="123"/>
              <w:jc w:val="right"/>
              <w:rPr>
                <w:sz w:val="18"/>
              </w:rPr>
            </w:pPr>
            <w:r>
              <w:rPr>
                <w:spacing w:val="-2"/>
                <w:sz w:val="18"/>
              </w:rPr>
              <w:t>311,614</w:t>
            </w:r>
          </w:p>
        </w:tc>
        <w:tc>
          <w:tcPr>
            <w:tcW w:w="1636" w:type="dxa"/>
            <w:shd w:val="clear" w:color="auto" w:fill="CFF0FB"/>
          </w:tcPr>
          <w:p>
            <w:pPr>
              <w:pStyle w:val="TableParagraph"/>
              <w:ind w:right="123"/>
              <w:jc w:val="right"/>
              <w:rPr>
                <w:sz w:val="18"/>
              </w:rPr>
            </w:pPr>
            <w:r>
              <w:rPr>
                <w:spacing w:val="-2"/>
                <w:sz w:val="18"/>
              </w:rPr>
              <w:t>8,943</w:t>
            </w:r>
          </w:p>
        </w:tc>
        <w:tc>
          <w:tcPr>
            <w:tcW w:w="1582" w:type="dxa"/>
            <w:shd w:val="clear" w:color="auto" w:fill="CFF0FB"/>
          </w:tcPr>
          <w:p>
            <w:pPr>
              <w:pStyle w:val="TableParagraph"/>
              <w:ind w:right="70"/>
              <w:jc w:val="right"/>
              <w:rPr>
                <w:sz w:val="18"/>
              </w:rPr>
            </w:pPr>
            <w:r>
              <w:rPr>
                <w:spacing w:val="-2"/>
                <w:sz w:val="18"/>
              </w:rPr>
              <w:t>4,206</w:t>
            </w:r>
          </w:p>
        </w:tc>
      </w:tr>
      <w:tr>
        <w:trPr>
          <w:trHeight w:val="269" w:hRule="atLeast"/>
        </w:trPr>
        <w:tc>
          <w:tcPr>
            <w:tcW w:w="6723" w:type="dxa"/>
          </w:tcPr>
          <w:p>
            <w:pPr>
              <w:pStyle w:val="TableParagraph"/>
              <w:spacing w:line="219" w:lineRule="exact" w:before="31"/>
              <w:ind w:left="217"/>
              <w:rPr>
                <w:sz w:val="18"/>
              </w:rPr>
            </w:pPr>
            <w:r>
              <w:rPr>
                <w:sz w:val="18"/>
              </w:rPr>
              <w:t>Deferred</w:t>
            </w:r>
            <w:r>
              <w:rPr>
                <w:spacing w:val="-2"/>
                <w:sz w:val="18"/>
              </w:rPr>
              <w:t> </w:t>
            </w:r>
            <w:r>
              <w:rPr>
                <w:rFonts w:ascii="Calibri" w:hAnsi="Calibri"/>
                <w:sz w:val="18"/>
              </w:rPr>
              <w:t>–</w:t>
            </w:r>
            <w:r>
              <w:rPr>
                <w:rFonts w:ascii="Calibri" w:hAnsi="Calibri"/>
                <w:spacing w:val="4"/>
                <w:sz w:val="18"/>
              </w:rPr>
              <w:t> </w:t>
            </w:r>
            <w:r>
              <w:rPr>
                <w:sz w:val="18"/>
              </w:rPr>
              <w:t>operating</w:t>
            </w:r>
            <w:r>
              <w:rPr>
                <w:spacing w:val="-1"/>
                <w:sz w:val="18"/>
              </w:rPr>
              <w:t> </w:t>
            </w:r>
            <w:r>
              <w:rPr>
                <w:sz w:val="18"/>
              </w:rPr>
              <w:t>loss</w:t>
            </w:r>
            <w:r>
              <w:rPr>
                <w:spacing w:val="-1"/>
                <w:sz w:val="18"/>
              </w:rPr>
              <w:t> </w:t>
            </w:r>
            <w:r>
              <w:rPr>
                <w:spacing w:val="-2"/>
                <w:sz w:val="18"/>
              </w:rPr>
              <w:t>carryforward</w:t>
            </w:r>
          </w:p>
        </w:tc>
        <w:tc>
          <w:tcPr>
            <w:tcW w:w="1574" w:type="dxa"/>
          </w:tcPr>
          <w:p>
            <w:pPr>
              <w:pStyle w:val="TableParagraph"/>
              <w:spacing w:before="34"/>
              <w:ind w:right="123"/>
              <w:jc w:val="right"/>
              <w:rPr>
                <w:sz w:val="18"/>
              </w:rPr>
            </w:pPr>
            <w:r>
              <w:rPr>
                <w:spacing w:val="-2"/>
                <w:sz w:val="18"/>
              </w:rPr>
              <w:t>6,331</w:t>
            </w:r>
          </w:p>
        </w:tc>
        <w:tc>
          <w:tcPr>
            <w:tcW w:w="1636" w:type="dxa"/>
          </w:tcPr>
          <w:p>
            <w:pPr>
              <w:pStyle w:val="TableParagraph"/>
              <w:spacing w:before="34"/>
              <w:ind w:right="123"/>
              <w:jc w:val="right"/>
              <w:rPr>
                <w:sz w:val="18"/>
              </w:rPr>
            </w:pPr>
            <w:r>
              <w:rPr>
                <w:spacing w:val="-2"/>
                <w:sz w:val="18"/>
              </w:rPr>
              <w:t>5,793</w:t>
            </w:r>
          </w:p>
        </w:tc>
        <w:tc>
          <w:tcPr>
            <w:tcW w:w="1582" w:type="dxa"/>
          </w:tcPr>
          <w:p>
            <w:pPr>
              <w:pStyle w:val="TableParagraph"/>
              <w:spacing w:before="34"/>
              <w:ind w:right="70"/>
              <w:jc w:val="right"/>
              <w:rPr>
                <w:sz w:val="18"/>
              </w:rPr>
            </w:pPr>
            <w:r>
              <w:rPr>
                <w:spacing w:val="-2"/>
                <w:sz w:val="18"/>
              </w:rPr>
              <w:t>39,920</w:t>
            </w:r>
          </w:p>
        </w:tc>
      </w:tr>
      <w:tr>
        <w:trPr>
          <w:trHeight w:val="269" w:hRule="atLeast"/>
        </w:trPr>
        <w:tc>
          <w:tcPr>
            <w:tcW w:w="6723" w:type="dxa"/>
            <w:shd w:val="clear" w:color="auto" w:fill="CFF0FB"/>
          </w:tcPr>
          <w:p>
            <w:pPr>
              <w:pStyle w:val="TableParagraph"/>
              <w:spacing w:line="218" w:lineRule="exact" w:before="31"/>
              <w:ind w:left="217"/>
              <w:rPr>
                <w:sz w:val="18"/>
              </w:rPr>
            </w:pPr>
            <w:r>
              <w:rPr>
                <w:sz w:val="18"/>
              </w:rPr>
              <w:t>Deferred </w:t>
            </w:r>
            <w:r>
              <w:rPr>
                <w:rFonts w:ascii="Calibri" w:hAnsi="Calibri"/>
                <w:sz w:val="18"/>
              </w:rPr>
              <w:t>–</w:t>
            </w:r>
            <w:r>
              <w:rPr>
                <w:rFonts w:ascii="Calibri" w:hAnsi="Calibri"/>
                <w:spacing w:val="4"/>
                <w:sz w:val="18"/>
              </w:rPr>
              <w:t> </w:t>
            </w:r>
            <w:r>
              <w:rPr>
                <w:sz w:val="18"/>
              </w:rPr>
              <w:t>valuation</w:t>
            </w:r>
            <w:r>
              <w:rPr>
                <w:spacing w:val="-1"/>
                <w:sz w:val="18"/>
              </w:rPr>
              <w:t> </w:t>
            </w:r>
            <w:r>
              <w:rPr>
                <w:spacing w:val="-2"/>
                <w:sz w:val="18"/>
              </w:rPr>
              <w:t>allowance</w:t>
            </w:r>
          </w:p>
        </w:tc>
        <w:tc>
          <w:tcPr>
            <w:tcW w:w="1574" w:type="dxa"/>
            <w:tcBorders>
              <w:bottom w:val="single" w:sz="6" w:space="0" w:color="000000"/>
            </w:tcBorders>
            <w:shd w:val="clear" w:color="auto" w:fill="CFF0FB"/>
          </w:tcPr>
          <w:p>
            <w:pPr>
              <w:pStyle w:val="TableParagraph"/>
              <w:spacing w:before="34"/>
              <w:ind w:right="78"/>
              <w:jc w:val="right"/>
              <w:rPr>
                <w:sz w:val="18"/>
              </w:rPr>
            </w:pPr>
            <w:r>
              <w:rPr>
                <w:spacing w:val="-2"/>
                <w:sz w:val="18"/>
              </w:rPr>
              <w:t>(89,575)</w:t>
            </w:r>
          </w:p>
        </w:tc>
        <w:tc>
          <w:tcPr>
            <w:tcW w:w="1636" w:type="dxa"/>
            <w:tcBorders>
              <w:bottom w:val="single" w:sz="6" w:space="0" w:color="000000"/>
            </w:tcBorders>
            <w:shd w:val="clear" w:color="auto" w:fill="CFF0FB"/>
          </w:tcPr>
          <w:p>
            <w:pPr>
              <w:pStyle w:val="TableParagraph"/>
              <w:spacing w:before="34"/>
              <w:ind w:right="123"/>
              <w:jc w:val="right"/>
              <w:rPr>
                <w:sz w:val="18"/>
              </w:rPr>
            </w:pPr>
            <w:r>
              <w:rPr>
                <w:spacing w:val="-2"/>
                <w:sz w:val="18"/>
              </w:rPr>
              <w:t>6,776</w:t>
            </w:r>
          </w:p>
        </w:tc>
        <w:tc>
          <w:tcPr>
            <w:tcW w:w="1582" w:type="dxa"/>
            <w:tcBorders>
              <w:bottom w:val="single" w:sz="6" w:space="0" w:color="000000"/>
            </w:tcBorders>
            <w:shd w:val="clear" w:color="auto" w:fill="CFF0FB"/>
          </w:tcPr>
          <w:p>
            <w:pPr>
              <w:pStyle w:val="TableParagraph"/>
              <w:spacing w:before="34"/>
              <w:ind w:right="25"/>
              <w:jc w:val="right"/>
              <w:rPr>
                <w:sz w:val="18"/>
              </w:rPr>
            </w:pPr>
            <w:r>
              <w:rPr>
                <w:spacing w:val="-2"/>
                <w:sz w:val="18"/>
              </w:rPr>
              <w:t>(51,439)</w:t>
            </w:r>
          </w:p>
        </w:tc>
      </w:tr>
      <w:tr>
        <w:trPr>
          <w:trHeight w:val="254" w:hRule="atLeast"/>
        </w:trPr>
        <w:tc>
          <w:tcPr>
            <w:tcW w:w="8297" w:type="dxa"/>
            <w:gridSpan w:val="2"/>
          </w:tcPr>
          <w:p>
            <w:pPr>
              <w:pStyle w:val="TableParagraph"/>
              <w:tabs>
                <w:tab w:pos="7599" w:val="left" w:leader="none"/>
              </w:tabs>
              <w:spacing w:before="20"/>
              <w:ind w:left="462"/>
              <w:rPr>
                <w:sz w:val="18"/>
              </w:rPr>
            </w:pPr>
            <w:r>
              <w:rPr>
                <w:sz w:val="18"/>
              </w:rPr>
              <w:t>Benefit</w:t>
            </w:r>
            <w:r>
              <w:rPr>
                <w:spacing w:val="-1"/>
                <w:sz w:val="18"/>
              </w:rPr>
              <w:t> </w:t>
            </w:r>
            <w:r>
              <w:rPr>
                <w:sz w:val="18"/>
              </w:rPr>
              <w:t>(provision)</w:t>
            </w:r>
            <w:r>
              <w:rPr>
                <w:spacing w:val="-1"/>
                <w:sz w:val="18"/>
              </w:rPr>
              <w:t> </w:t>
            </w:r>
            <w:r>
              <w:rPr>
                <w:sz w:val="18"/>
              </w:rPr>
              <w:t>for</w:t>
            </w:r>
            <w:r>
              <w:rPr>
                <w:spacing w:val="-1"/>
                <w:sz w:val="18"/>
              </w:rPr>
              <w:t> </w:t>
            </w:r>
            <w:r>
              <w:rPr>
                <w:sz w:val="18"/>
              </w:rPr>
              <w:t>foreign</w:t>
            </w:r>
            <w:r>
              <w:rPr>
                <w:spacing w:val="-1"/>
                <w:sz w:val="18"/>
              </w:rPr>
              <w:t> </w:t>
            </w:r>
            <w:r>
              <w:rPr>
                <w:sz w:val="18"/>
              </w:rPr>
              <w:t>income</w:t>
            </w:r>
            <w:r>
              <w:rPr>
                <w:spacing w:val="-1"/>
                <w:sz w:val="18"/>
              </w:rPr>
              <w:t> </w:t>
            </w:r>
            <w:r>
              <w:rPr>
                <w:spacing w:val="-2"/>
                <w:sz w:val="18"/>
              </w:rPr>
              <w:t>taxes</w:t>
            </w:r>
            <w:r>
              <w:rPr>
                <w:sz w:val="18"/>
              </w:rPr>
              <w:tab/>
            </w:r>
            <w:r>
              <w:rPr>
                <w:spacing w:val="-2"/>
                <w:sz w:val="18"/>
              </w:rPr>
              <w:t>226,111</w:t>
            </w:r>
          </w:p>
        </w:tc>
        <w:tc>
          <w:tcPr>
            <w:tcW w:w="1636" w:type="dxa"/>
            <w:tcBorders>
              <w:top w:val="single" w:sz="6" w:space="0" w:color="000000"/>
              <w:bottom w:val="single" w:sz="6" w:space="0" w:color="000000"/>
            </w:tcBorders>
          </w:tcPr>
          <w:p>
            <w:pPr>
              <w:pStyle w:val="TableParagraph"/>
              <w:spacing w:before="20"/>
              <w:ind w:right="123"/>
              <w:jc w:val="right"/>
              <w:rPr>
                <w:sz w:val="18"/>
              </w:rPr>
            </w:pPr>
            <w:r>
              <w:rPr>
                <w:spacing w:val="-2"/>
                <w:sz w:val="18"/>
              </w:rPr>
              <w:t>17,795</w:t>
            </w:r>
          </w:p>
        </w:tc>
        <w:tc>
          <w:tcPr>
            <w:tcW w:w="1582" w:type="dxa"/>
            <w:tcBorders>
              <w:top w:val="single" w:sz="6" w:space="0" w:color="000000"/>
              <w:bottom w:val="single" w:sz="6" w:space="0" w:color="000000"/>
            </w:tcBorders>
          </w:tcPr>
          <w:p>
            <w:pPr>
              <w:pStyle w:val="TableParagraph"/>
              <w:spacing w:before="20"/>
              <w:ind w:right="25"/>
              <w:jc w:val="right"/>
              <w:rPr>
                <w:sz w:val="18"/>
              </w:rPr>
            </w:pPr>
            <w:r>
              <w:rPr>
                <w:spacing w:val="-2"/>
                <w:sz w:val="18"/>
              </w:rPr>
              <w:t>(8,141)</w:t>
            </w:r>
          </w:p>
        </w:tc>
      </w:tr>
      <w:tr>
        <w:trPr>
          <w:trHeight w:val="260" w:hRule="atLeast"/>
        </w:trPr>
        <w:tc>
          <w:tcPr>
            <w:tcW w:w="8297" w:type="dxa"/>
            <w:gridSpan w:val="2"/>
            <w:shd w:val="clear" w:color="auto" w:fill="CFF0FB"/>
          </w:tcPr>
          <w:p>
            <w:pPr>
              <w:pStyle w:val="TableParagraph"/>
              <w:tabs>
                <w:tab w:pos="769" w:val="left" w:leader="none"/>
              </w:tabs>
              <w:spacing w:before="20"/>
              <w:ind w:right="78"/>
              <w:jc w:val="right"/>
              <w:rPr>
                <w:sz w:val="18"/>
              </w:rPr>
            </w:pPr>
            <w:r>
              <w:rPr/>
              <mc:AlternateContent>
                <mc:Choice Requires="wps">
                  <w:drawing>
                    <wp:anchor distT="0" distB="0" distL="0" distR="0" allowOverlap="1" layoutInCell="1" locked="0" behindDoc="1" simplePos="0" relativeHeight="477737472">
                      <wp:simplePos x="0" y="0"/>
                      <wp:positionH relativeFrom="column">
                        <wp:posOffset>4269104</wp:posOffset>
                      </wp:positionH>
                      <wp:positionV relativeFrom="paragraph">
                        <wp:posOffset>162299</wp:posOffset>
                      </wp:positionV>
                      <wp:extent cx="969010" cy="34290"/>
                      <wp:effectExtent l="0" t="0" r="0" b="0"/>
                      <wp:wrapNone/>
                      <wp:docPr id="542" name="Group 542"/>
                      <wp:cNvGraphicFramePr>
                        <a:graphicFrameLocks/>
                      </wp:cNvGraphicFramePr>
                      <a:graphic>
                        <a:graphicData uri="http://schemas.microsoft.com/office/word/2010/wordprocessingGroup">
                          <wpg:wgp>
                            <wpg:cNvPr id="542" name="Group 542"/>
                            <wpg:cNvGrpSpPr/>
                            <wpg:grpSpPr>
                              <a:xfrm>
                                <a:off x="0" y="0"/>
                                <a:ext cx="969010" cy="34290"/>
                                <a:chExt cx="969010" cy="34290"/>
                              </a:xfrm>
                            </wpg:grpSpPr>
                            <wps:wsp>
                              <wps:cNvPr id="543" name="Graphic 543"/>
                              <wps:cNvSpPr/>
                              <wps:spPr>
                                <a:xfrm>
                                  <a:off x="-12" y="-8"/>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149963pt;margin-top:12.779492pt;width:76.3pt;height:2.7pt;mso-position-horizontal-relative:column;mso-position-vertical-relative:paragraph;z-index:-25579008" id="docshapegroup540" coordorigin="6723,256" coordsize="1526,54">
                      <v:shape style="position:absolute;left:6722;top:255;width:1526;height:54" id="docshape541" coordorigin="6723,256" coordsize="1526,54" path="m8248,296l8221,296,6844,296,6723,296,6723,310,6844,310,8221,310,8248,310,8248,296xm8248,256l8221,256,6844,256,6723,256,6723,269,6844,269,8221,269,8248,269,8248,256xe" filled="true" fillcolor="#000000" stroked="false">
                        <v:path arrowok="t"/>
                        <v:fill type="solid"/>
                      </v:shape>
                      <w10:wrap type="none"/>
                    </v:group>
                  </w:pict>
                </mc:Fallback>
              </mc:AlternateContent>
            </w:r>
            <w:r>
              <w:rPr>
                <w:spacing w:val="-10"/>
                <w:sz w:val="18"/>
              </w:rPr>
              <w:t>$</w:t>
            </w:r>
            <w:r>
              <w:rPr>
                <w:sz w:val="18"/>
              </w:rPr>
              <w:tab/>
            </w:r>
            <w:r>
              <w:rPr>
                <w:spacing w:val="-2"/>
                <w:sz w:val="18"/>
              </w:rPr>
              <w:t>(697,068)</w:t>
            </w:r>
          </w:p>
        </w:tc>
        <w:tc>
          <w:tcPr>
            <w:tcW w:w="1636" w:type="dxa"/>
            <w:tcBorders>
              <w:top w:val="single" w:sz="6" w:space="0" w:color="000000"/>
            </w:tcBorders>
            <w:shd w:val="clear" w:color="auto" w:fill="CFF0FB"/>
          </w:tcPr>
          <w:p>
            <w:pPr>
              <w:pStyle w:val="TableParagraph"/>
              <w:tabs>
                <w:tab w:pos="769" w:val="left" w:leader="none"/>
              </w:tabs>
              <w:spacing w:before="20"/>
              <w:ind w:right="78"/>
              <w:jc w:val="right"/>
              <w:rPr>
                <w:sz w:val="18"/>
              </w:rPr>
            </w:pPr>
            <w:r>
              <w:rPr/>
              <mc:AlternateContent>
                <mc:Choice Requires="wps">
                  <w:drawing>
                    <wp:anchor distT="0" distB="0" distL="0" distR="0" allowOverlap="1" layoutInCell="1" locked="0" behindDoc="1" simplePos="0" relativeHeight="477737984">
                      <wp:simplePos x="0" y="0"/>
                      <wp:positionH relativeFrom="column">
                        <wp:posOffset>37583</wp:posOffset>
                      </wp:positionH>
                      <wp:positionV relativeFrom="paragraph">
                        <wp:posOffset>162299</wp:posOffset>
                      </wp:positionV>
                      <wp:extent cx="969010" cy="34290"/>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969010" cy="34290"/>
                                <a:chExt cx="969010" cy="34290"/>
                              </a:xfrm>
                            </wpg:grpSpPr>
                            <wps:wsp>
                              <wps:cNvPr id="545" name="Graphic 545"/>
                              <wps:cNvSpPr/>
                              <wps:spPr>
                                <a:xfrm>
                                  <a:off x="-12" y="-8"/>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59327pt;margin-top:12.779492pt;width:76.3pt;height:2.7pt;mso-position-horizontal-relative:column;mso-position-vertical-relative:paragraph;z-index:-25578496" id="docshapegroup542" coordorigin="59,256" coordsize="1526,54">
                      <v:shape style="position:absolute;left:59;top:255;width:1526;height:54" id="docshape543" coordorigin="59,256" coordsize="1526,54" path="m1585,296l1558,296,181,296,59,296,59,310,181,310,1558,310,1585,310,1585,296xm1585,256l1558,256,181,256,59,256,59,269,181,269,1558,269,1585,269,1585,256xe" filled="true" fillcolor="#000000" stroked="false">
                        <v:path arrowok="t"/>
                        <v:fill type="solid"/>
                      </v:shape>
                      <w10:wrap type="none"/>
                    </v:group>
                  </w:pict>
                </mc:Fallback>
              </mc:AlternateContent>
            </w:r>
            <w:r>
              <w:rPr>
                <w:spacing w:val="-10"/>
                <w:sz w:val="18"/>
              </w:rPr>
              <w:t>$</w:t>
            </w:r>
            <w:r>
              <w:rPr>
                <w:sz w:val="18"/>
              </w:rPr>
              <w:tab/>
            </w:r>
            <w:r>
              <w:rPr>
                <w:spacing w:val="-2"/>
                <w:sz w:val="18"/>
              </w:rPr>
              <w:t>(253,415)</w:t>
            </w:r>
          </w:p>
        </w:tc>
        <w:tc>
          <w:tcPr>
            <w:tcW w:w="1582" w:type="dxa"/>
            <w:tcBorders>
              <w:top w:val="single" w:sz="6" w:space="0" w:color="000000"/>
              <w:bottom w:val="double" w:sz="6" w:space="0" w:color="000000"/>
            </w:tcBorders>
            <w:shd w:val="clear" w:color="auto" w:fill="CFF0FB"/>
          </w:tcPr>
          <w:p>
            <w:pPr>
              <w:pStyle w:val="TableParagraph"/>
              <w:tabs>
                <w:tab w:pos="842" w:val="left" w:leader="none"/>
              </w:tabs>
              <w:spacing w:before="20"/>
              <w:ind w:right="70"/>
              <w:jc w:val="right"/>
              <w:rPr>
                <w:sz w:val="18"/>
              </w:rPr>
            </w:pPr>
            <w:r>
              <w:rPr>
                <w:spacing w:val="-10"/>
                <w:sz w:val="18"/>
              </w:rPr>
              <w:t>$</w:t>
            </w:r>
            <w:r>
              <w:rPr>
                <w:sz w:val="18"/>
              </w:rPr>
              <w:tab/>
            </w:r>
            <w:r>
              <w:rPr>
                <w:spacing w:val="-2"/>
                <w:sz w:val="18"/>
              </w:rPr>
              <w:t>191,572</w:t>
            </w:r>
          </w:p>
        </w:tc>
      </w:tr>
    </w:tbl>
    <w:p>
      <w:pPr>
        <w:pStyle w:val="BodyText"/>
        <w:rPr>
          <w:b/>
        </w:rPr>
      </w:pPr>
    </w:p>
    <w:p>
      <w:pPr>
        <w:pStyle w:val="BodyText"/>
        <w:rPr>
          <w:b/>
        </w:rPr>
      </w:pPr>
    </w:p>
    <w:p>
      <w:pPr>
        <w:pStyle w:val="BodyText"/>
        <w:rPr>
          <w:b/>
        </w:rPr>
      </w:pPr>
    </w:p>
    <w:p>
      <w:pPr>
        <w:pStyle w:val="BodyText"/>
        <w:spacing w:before="95"/>
        <w:rPr>
          <w:b/>
        </w:rPr>
      </w:pPr>
    </w:p>
    <w:p>
      <w:pPr>
        <w:pStyle w:val="BodyText"/>
        <w:ind w:left="24"/>
        <w:jc w:val="center"/>
      </w:pPr>
      <w:r>
        <w:rPr>
          <w:spacing w:val="-5"/>
        </w:rPr>
        <w:t>83</w:t>
      </w:r>
    </w:p>
    <w:p>
      <w:pPr>
        <w:pStyle w:val="BodyText"/>
        <w:spacing w:before="3"/>
        <w:rPr>
          <w:sz w:val="6"/>
        </w:rPr>
      </w:pPr>
      <w:r>
        <w:rPr/>
        <mc:AlternateContent>
          <mc:Choice Requires="wps">
            <w:drawing>
              <wp:anchor distT="0" distB="0" distL="0" distR="0" allowOverlap="1" layoutInCell="1" locked="0" behindDoc="1" simplePos="0" relativeHeight="487694848">
                <wp:simplePos x="0" y="0"/>
                <wp:positionH relativeFrom="page">
                  <wp:posOffset>231457</wp:posOffset>
                </wp:positionH>
                <wp:positionV relativeFrom="paragraph">
                  <wp:posOffset>60956</wp:posOffset>
                </wp:positionV>
                <wp:extent cx="7312659" cy="17145"/>
                <wp:effectExtent l="0" t="0" r="0" b="0"/>
                <wp:wrapTopAndBottom/>
                <wp:docPr id="546" name="Group 546"/>
                <wp:cNvGraphicFramePr>
                  <a:graphicFrameLocks/>
                </wp:cNvGraphicFramePr>
                <a:graphic>
                  <a:graphicData uri="http://schemas.microsoft.com/office/word/2010/wordprocessingGroup">
                    <wpg:wgp>
                      <wpg:cNvPr id="546" name="Group 546"/>
                      <wpg:cNvGrpSpPr/>
                      <wpg:grpSpPr>
                        <a:xfrm>
                          <a:off x="0" y="0"/>
                          <a:ext cx="7312659" cy="17145"/>
                          <a:chExt cx="7312659" cy="17145"/>
                        </a:xfrm>
                      </wpg:grpSpPr>
                      <wps:wsp>
                        <wps:cNvPr id="547" name="Graphic 54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48" name="Graphic 548"/>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49" name="Graphic 54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21632;mso-wrap-distance-left:0;mso-wrap-distance-right:0" id="docshapegroup544" coordorigin="364,96" coordsize="11516,27">
                <v:rect style="position:absolute;left:364;top:96;width:11516;height:14" id="docshape545" filled="true" fillcolor="#999999" stroked="false">
                  <v:fill type="solid"/>
                </v:rect>
                <v:shape style="position:absolute;left:364;top:95;width:11516;height:27" id="docshape546" coordorigin="364,96" coordsize="11516,27" path="m11880,96l11866,109,364,109,364,123,11866,123,11880,123,11880,109,11880,96xe" filled="true" fillcolor="#ededed" stroked="false">
                  <v:path arrowok="t"/>
                  <v:fill type="solid"/>
                </v:shape>
                <v:shape style="position:absolute;left:364;top:96;width:14;height:27" id="docshape54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before="69"/>
        <w:ind w:left="644"/>
      </w:pPr>
      <w:r>
        <w:rPr/>
        <w:t>A</w:t>
      </w:r>
      <w:r>
        <w:rPr>
          <w:spacing w:val="-13"/>
        </w:rPr>
        <w:t> </w:t>
      </w:r>
      <w:r>
        <w:rPr/>
        <w:t>reconciliation</w:t>
      </w:r>
      <w:r>
        <w:rPr>
          <w:spacing w:val="-2"/>
        </w:rPr>
        <w:t> </w:t>
      </w:r>
      <w:r>
        <w:rPr/>
        <w:t>of</w:t>
      </w:r>
      <w:r>
        <w:rPr>
          <w:spacing w:val="-2"/>
        </w:rPr>
        <w:t> </w:t>
      </w:r>
      <w:r>
        <w:rPr/>
        <w:t>the</w:t>
      </w:r>
      <w:r>
        <w:rPr>
          <w:spacing w:val="-2"/>
        </w:rPr>
        <w:t> </w:t>
      </w:r>
      <w:r>
        <w:rPr/>
        <w:t>federal</w:t>
      </w:r>
      <w:r>
        <w:rPr>
          <w:spacing w:val="-1"/>
        </w:rPr>
        <w:t> </w:t>
      </w:r>
      <w:r>
        <w:rPr/>
        <w:t>income</w:t>
      </w:r>
      <w:r>
        <w:rPr>
          <w:spacing w:val="-2"/>
        </w:rPr>
        <w:t> </w:t>
      </w:r>
      <w:r>
        <w:rPr/>
        <w:t>tax</w:t>
      </w:r>
      <w:r>
        <w:rPr>
          <w:spacing w:val="-2"/>
        </w:rPr>
        <w:t> </w:t>
      </w:r>
      <w:r>
        <w:rPr/>
        <w:t>statutory</w:t>
      </w:r>
      <w:r>
        <w:rPr>
          <w:spacing w:val="-2"/>
        </w:rPr>
        <w:t> </w:t>
      </w:r>
      <w:r>
        <w:rPr/>
        <w:t>rate</w:t>
      </w:r>
      <w:r>
        <w:rPr>
          <w:spacing w:val="-2"/>
        </w:rPr>
        <w:t> </w:t>
      </w:r>
      <w:r>
        <w:rPr/>
        <w:t>and</w:t>
      </w:r>
      <w:r>
        <w:rPr>
          <w:spacing w:val="-2"/>
        </w:rPr>
        <w:t> </w:t>
      </w:r>
      <w:r>
        <w:rPr/>
        <w:t>the</w:t>
      </w:r>
      <w:r>
        <w:rPr>
          <w:spacing w:val="-1"/>
        </w:rPr>
        <w:t> </w:t>
      </w:r>
      <w:r>
        <w:rPr/>
        <w:t>Company’s</w:t>
      </w:r>
      <w:r>
        <w:rPr>
          <w:spacing w:val="-2"/>
        </w:rPr>
        <w:t> </w:t>
      </w:r>
      <w:r>
        <w:rPr/>
        <w:t>effective</w:t>
      </w:r>
      <w:r>
        <w:rPr>
          <w:spacing w:val="-2"/>
        </w:rPr>
        <w:t> </w:t>
      </w:r>
      <w:r>
        <w:rPr/>
        <w:t>tax</w:t>
      </w:r>
      <w:r>
        <w:rPr>
          <w:spacing w:val="-2"/>
        </w:rPr>
        <w:t> </w:t>
      </w:r>
      <w:r>
        <w:rPr/>
        <w:t>rate</w:t>
      </w:r>
      <w:r>
        <w:rPr>
          <w:spacing w:val="-2"/>
        </w:rPr>
        <w:t> </w:t>
      </w:r>
      <w:r>
        <w:rPr/>
        <w:t>is</w:t>
      </w:r>
      <w:r>
        <w:rPr>
          <w:spacing w:val="-2"/>
        </w:rPr>
        <w:t> </w:t>
      </w:r>
      <w:r>
        <w:rPr/>
        <w:t>as</w:t>
      </w:r>
      <w:r>
        <w:rPr>
          <w:spacing w:val="-1"/>
        </w:rPr>
        <w:t> </w:t>
      </w:r>
      <w:r>
        <w:rPr>
          <w:spacing w:val="-2"/>
        </w:rPr>
        <w:t>follows:</w:t>
      </w:r>
    </w:p>
    <w:p>
      <w:pPr>
        <w:pStyle w:val="Heading5"/>
        <w:spacing w:before="63" w:after="36"/>
        <w:ind w:left="8157"/>
        <w:jc w:val="left"/>
      </w:pPr>
      <w:r>
        <w:rPr/>
        <w:t>Year</w:t>
      </w:r>
      <w:r>
        <w:rPr>
          <w:spacing w:val="-13"/>
        </w:rPr>
        <w:t> </w:t>
      </w:r>
      <w:r>
        <w:rPr/>
        <w:t>Ended</w:t>
      </w:r>
      <w:r>
        <w:rPr>
          <w:spacing w:val="-8"/>
        </w:rPr>
        <w:t> </w:t>
      </w:r>
      <w:r>
        <w:rPr/>
        <w:t>December</w:t>
      </w:r>
      <w:r>
        <w:rPr>
          <w:spacing w:val="-10"/>
        </w:rPr>
        <w:t> </w:t>
      </w:r>
      <w:r>
        <w:rPr>
          <w:spacing w:val="-5"/>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7"/>
        <w:gridCol w:w="1023"/>
        <w:gridCol w:w="926"/>
        <w:gridCol w:w="740"/>
        <w:gridCol w:w="965"/>
        <w:gridCol w:w="740"/>
        <w:gridCol w:w="614"/>
      </w:tblGrid>
      <w:tr>
        <w:trPr>
          <w:trHeight w:val="254" w:hRule="atLeast"/>
        </w:trPr>
        <w:tc>
          <w:tcPr>
            <w:tcW w:w="6507" w:type="dxa"/>
          </w:tcPr>
          <w:p>
            <w:pPr>
              <w:pStyle w:val="TableParagraph"/>
              <w:spacing w:before="0"/>
              <w:rPr>
                <w:sz w:val="16"/>
              </w:rPr>
            </w:pPr>
          </w:p>
        </w:tc>
        <w:tc>
          <w:tcPr>
            <w:tcW w:w="1023" w:type="dxa"/>
            <w:tcBorders>
              <w:top w:val="single" w:sz="6" w:space="0" w:color="000000"/>
              <w:bottom w:val="single" w:sz="6" w:space="0" w:color="000000"/>
            </w:tcBorders>
          </w:tcPr>
          <w:p>
            <w:pPr>
              <w:pStyle w:val="TableParagraph"/>
              <w:spacing w:before="20"/>
              <w:ind w:left="616"/>
              <w:rPr>
                <w:b/>
                <w:sz w:val="18"/>
              </w:rPr>
            </w:pPr>
            <w:r>
              <w:rPr>
                <w:b/>
                <w:spacing w:val="-4"/>
                <w:sz w:val="18"/>
              </w:rPr>
              <w:t>2022</w:t>
            </w:r>
          </w:p>
        </w:tc>
        <w:tc>
          <w:tcPr>
            <w:tcW w:w="926" w:type="dxa"/>
            <w:tcBorders>
              <w:top w:val="single" w:sz="6" w:space="0" w:color="000000"/>
              <w:bottom w:val="single" w:sz="6" w:space="0" w:color="000000"/>
            </w:tcBorders>
          </w:tcPr>
          <w:p>
            <w:pPr>
              <w:pStyle w:val="TableParagraph"/>
              <w:spacing w:before="0"/>
              <w:rPr>
                <w:sz w:val="16"/>
              </w:rPr>
            </w:pPr>
          </w:p>
        </w:tc>
        <w:tc>
          <w:tcPr>
            <w:tcW w:w="740" w:type="dxa"/>
            <w:tcBorders>
              <w:top w:val="single" w:sz="6" w:space="0" w:color="000000"/>
              <w:bottom w:val="single" w:sz="6" w:space="0" w:color="000000"/>
            </w:tcBorders>
          </w:tcPr>
          <w:p>
            <w:pPr>
              <w:pStyle w:val="TableParagraph"/>
              <w:spacing w:before="20"/>
              <w:ind w:left="370"/>
              <w:rPr>
                <w:b/>
                <w:sz w:val="18"/>
              </w:rPr>
            </w:pPr>
            <w:r>
              <w:rPr>
                <w:b/>
                <w:spacing w:val="-4"/>
                <w:sz w:val="18"/>
              </w:rPr>
              <w:t>2021</w:t>
            </w:r>
          </w:p>
        </w:tc>
        <w:tc>
          <w:tcPr>
            <w:tcW w:w="965" w:type="dxa"/>
            <w:tcBorders>
              <w:top w:val="single" w:sz="6" w:space="0" w:color="000000"/>
              <w:bottom w:val="single" w:sz="6" w:space="0" w:color="000000"/>
            </w:tcBorders>
          </w:tcPr>
          <w:p>
            <w:pPr>
              <w:pStyle w:val="TableParagraph"/>
              <w:spacing w:before="0"/>
              <w:rPr>
                <w:sz w:val="16"/>
              </w:rPr>
            </w:pPr>
          </w:p>
        </w:tc>
        <w:tc>
          <w:tcPr>
            <w:tcW w:w="740" w:type="dxa"/>
            <w:tcBorders>
              <w:top w:val="single" w:sz="6" w:space="0" w:color="000000"/>
              <w:bottom w:val="single" w:sz="6" w:space="0" w:color="000000"/>
            </w:tcBorders>
          </w:tcPr>
          <w:p>
            <w:pPr>
              <w:pStyle w:val="TableParagraph"/>
              <w:spacing w:before="20"/>
              <w:ind w:left="370"/>
              <w:rPr>
                <w:b/>
                <w:sz w:val="18"/>
              </w:rPr>
            </w:pPr>
            <w:r>
              <w:rPr>
                <w:b/>
                <w:spacing w:val="-4"/>
                <w:sz w:val="18"/>
              </w:rPr>
              <w:t>2020</w:t>
            </w:r>
          </w:p>
        </w:tc>
        <w:tc>
          <w:tcPr>
            <w:tcW w:w="614" w:type="dxa"/>
            <w:tcBorders>
              <w:top w:val="single" w:sz="6" w:space="0" w:color="000000"/>
              <w:bottom w:val="single" w:sz="6" w:space="0" w:color="000000"/>
            </w:tcBorders>
          </w:tcPr>
          <w:p>
            <w:pPr>
              <w:pStyle w:val="TableParagraph"/>
              <w:spacing w:before="0"/>
              <w:rPr>
                <w:sz w:val="16"/>
              </w:rPr>
            </w:pPr>
          </w:p>
        </w:tc>
      </w:tr>
      <w:tr>
        <w:trPr>
          <w:trHeight w:val="255" w:hRule="atLeast"/>
        </w:trPr>
        <w:tc>
          <w:tcPr>
            <w:tcW w:w="6507" w:type="dxa"/>
            <w:shd w:val="clear" w:color="auto" w:fill="CCEDFF"/>
          </w:tcPr>
          <w:p>
            <w:pPr>
              <w:pStyle w:val="TableParagraph"/>
              <w:spacing w:before="20"/>
              <w:ind w:left="17"/>
              <w:rPr>
                <w:sz w:val="18"/>
              </w:rPr>
            </w:pPr>
            <w:r>
              <w:rPr>
                <w:sz w:val="18"/>
              </w:rPr>
              <w:t>Federal</w:t>
            </w:r>
            <w:r>
              <w:rPr>
                <w:spacing w:val="-1"/>
                <w:sz w:val="18"/>
              </w:rPr>
              <w:t> </w:t>
            </w:r>
            <w:r>
              <w:rPr>
                <w:sz w:val="18"/>
              </w:rPr>
              <w:t>income</w:t>
            </w:r>
            <w:r>
              <w:rPr>
                <w:spacing w:val="-1"/>
                <w:sz w:val="18"/>
              </w:rPr>
              <w:t> </w:t>
            </w:r>
            <w:r>
              <w:rPr>
                <w:sz w:val="18"/>
              </w:rPr>
              <w:t>tax</w:t>
            </w:r>
            <w:r>
              <w:rPr>
                <w:spacing w:val="-1"/>
                <w:sz w:val="18"/>
              </w:rPr>
              <w:t> </w:t>
            </w:r>
            <w:r>
              <w:rPr>
                <w:sz w:val="18"/>
              </w:rPr>
              <w:t>statutory</w:t>
            </w:r>
            <w:r>
              <w:rPr>
                <w:spacing w:val="-1"/>
                <w:sz w:val="18"/>
              </w:rPr>
              <w:t> </w:t>
            </w:r>
            <w:r>
              <w:rPr>
                <w:spacing w:val="-4"/>
                <w:sz w:val="18"/>
              </w:rPr>
              <w:t>rate</w:t>
            </w:r>
          </w:p>
        </w:tc>
        <w:tc>
          <w:tcPr>
            <w:tcW w:w="1023" w:type="dxa"/>
            <w:tcBorders>
              <w:top w:val="single" w:sz="6" w:space="0" w:color="000000"/>
            </w:tcBorders>
            <w:shd w:val="clear" w:color="auto" w:fill="CCEDFF"/>
          </w:tcPr>
          <w:p>
            <w:pPr>
              <w:pStyle w:val="TableParagraph"/>
              <w:spacing w:before="0"/>
              <w:rPr>
                <w:sz w:val="16"/>
              </w:rPr>
            </w:pPr>
          </w:p>
        </w:tc>
        <w:tc>
          <w:tcPr>
            <w:tcW w:w="926" w:type="dxa"/>
            <w:tcBorders>
              <w:top w:val="single" w:sz="6" w:space="0" w:color="000000"/>
            </w:tcBorders>
            <w:shd w:val="clear" w:color="auto" w:fill="CCEDFF"/>
          </w:tcPr>
          <w:p>
            <w:pPr>
              <w:pStyle w:val="TableParagraph"/>
              <w:spacing w:before="20"/>
              <w:ind w:left="46"/>
              <w:rPr>
                <w:sz w:val="18"/>
              </w:rPr>
            </w:pPr>
            <w:r>
              <w:rPr>
                <w:sz w:val="18"/>
              </w:rPr>
              <w:t>21.0 </w:t>
            </w:r>
            <w:r>
              <w:rPr>
                <w:spacing w:val="-10"/>
                <w:sz w:val="18"/>
              </w:rPr>
              <w:t>%</w:t>
            </w:r>
          </w:p>
        </w:tc>
        <w:tc>
          <w:tcPr>
            <w:tcW w:w="740" w:type="dxa"/>
            <w:tcBorders>
              <w:top w:val="single" w:sz="6" w:space="0" w:color="000000"/>
            </w:tcBorders>
            <w:shd w:val="clear" w:color="auto" w:fill="CCEDFF"/>
          </w:tcPr>
          <w:p>
            <w:pPr>
              <w:pStyle w:val="TableParagraph"/>
              <w:spacing w:before="0"/>
              <w:rPr>
                <w:sz w:val="16"/>
              </w:rPr>
            </w:pPr>
          </w:p>
        </w:tc>
        <w:tc>
          <w:tcPr>
            <w:tcW w:w="965" w:type="dxa"/>
            <w:tcBorders>
              <w:top w:val="single" w:sz="6" w:space="0" w:color="000000"/>
            </w:tcBorders>
            <w:shd w:val="clear" w:color="auto" w:fill="CCEDFF"/>
          </w:tcPr>
          <w:p>
            <w:pPr>
              <w:pStyle w:val="TableParagraph"/>
              <w:spacing w:before="20"/>
              <w:ind w:left="84"/>
              <w:rPr>
                <w:sz w:val="18"/>
              </w:rPr>
            </w:pPr>
            <w:r>
              <w:rPr>
                <w:sz w:val="18"/>
              </w:rPr>
              <w:t>21.0 </w:t>
            </w:r>
            <w:r>
              <w:rPr>
                <w:spacing w:val="-10"/>
                <w:sz w:val="18"/>
              </w:rPr>
              <w:t>%</w:t>
            </w:r>
          </w:p>
        </w:tc>
        <w:tc>
          <w:tcPr>
            <w:tcW w:w="740" w:type="dxa"/>
            <w:tcBorders>
              <w:top w:val="single" w:sz="6" w:space="0" w:color="000000"/>
            </w:tcBorders>
            <w:shd w:val="clear" w:color="auto" w:fill="CCEDFF"/>
          </w:tcPr>
          <w:p>
            <w:pPr>
              <w:pStyle w:val="TableParagraph"/>
              <w:spacing w:before="0"/>
              <w:rPr>
                <w:sz w:val="16"/>
              </w:rPr>
            </w:pPr>
          </w:p>
        </w:tc>
        <w:tc>
          <w:tcPr>
            <w:tcW w:w="614" w:type="dxa"/>
            <w:tcBorders>
              <w:top w:val="single" w:sz="6" w:space="0" w:color="000000"/>
            </w:tcBorders>
            <w:shd w:val="clear" w:color="auto" w:fill="CCEDFF"/>
          </w:tcPr>
          <w:p>
            <w:pPr>
              <w:pStyle w:val="TableParagraph"/>
              <w:spacing w:before="20"/>
              <w:ind w:right="15"/>
              <w:jc w:val="right"/>
              <w:rPr>
                <w:sz w:val="18"/>
              </w:rPr>
            </w:pPr>
            <w:r>
              <w:rPr>
                <w:sz w:val="18"/>
              </w:rPr>
              <w:t>21.0</w:t>
            </w:r>
            <w:r>
              <w:rPr>
                <w:spacing w:val="2"/>
                <w:sz w:val="18"/>
              </w:rPr>
              <w:t> </w:t>
            </w:r>
            <w:r>
              <w:rPr>
                <w:spacing w:val="-10"/>
                <w:sz w:val="18"/>
              </w:rPr>
              <w:t>%</w:t>
            </w:r>
          </w:p>
        </w:tc>
      </w:tr>
      <w:tr>
        <w:trPr>
          <w:trHeight w:val="269" w:hRule="atLeast"/>
        </w:trPr>
        <w:tc>
          <w:tcPr>
            <w:tcW w:w="6507" w:type="dxa"/>
          </w:tcPr>
          <w:p>
            <w:pPr>
              <w:pStyle w:val="TableParagraph"/>
              <w:ind w:left="17"/>
              <w:rPr>
                <w:sz w:val="18"/>
              </w:rPr>
            </w:pPr>
            <w:r>
              <w:rPr>
                <w:sz w:val="18"/>
              </w:rPr>
              <w:t>Net</w:t>
            </w:r>
            <w:r>
              <w:rPr>
                <w:spacing w:val="-1"/>
                <w:sz w:val="18"/>
              </w:rPr>
              <w:t> </w:t>
            </w:r>
            <w:r>
              <w:rPr>
                <w:sz w:val="18"/>
              </w:rPr>
              <w:t>operating</w:t>
            </w:r>
            <w:r>
              <w:rPr>
                <w:spacing w:val="-1"/>
                <w:sz w:val="18"/>
              </w:rPr>
              <w:t> </w:t>
            </w:r>
            <w:r>
              <w:rPr>
                <w:sz w:val="18"/>
              </w:rPr>
              <w:t>loss</w:t>
            </w:r>
            <w:r>
              <w:rPr>
                <w:spacing w:val="-1"/>
                <w:sz w:val="18"/>
              </w:rPr>
              <w:t> </w:t>
            </w:r>
            <w:r>
              <w:rPr>
                <w:sz w:val="18"/>
              </w:rPr>
              <w:t>carryback</w:t>
            </w:r>
            <w:r>
              <w:rPr>
                <w:spacing w:val="-1"/>
                <w:sz w:val="18"/>
              </w:rPr>
              <w:t> </w:t>
            </w:r>
            <w:r>
              <w:rPr>
                <w:sz w:val="18"/>
              </w:rPr>
              <w:t>rate</w:t>
            </w:r>
            <w:r>
              <w:rPr>
                <w:spacing w:val="-1"/>
                <w:sz w:val="18"/>
              </w:rPr>
              <w:t> </w:t>
            </w:r>
            <w:r>
              <w:rPr>
                <w:spacing w:val="-2"/>
                <w:sz w:val="18"/>
              </w:rPr>
              <w:t>differential</w:t>
            </w:r>
          </w:p>
        </w:tc>
        <w:tc>
          <w:tcPr>
            <w:tcW w:w="1023" w:type="dxa"/>
          </w:tcPr>
          <w:p>
            <w:pPr>
              <w:pStyle w:val="TableParagraph"/>
              <w:spacing w:before="0"/>
              <w:rPr>
                <w:sz w:val="16"/>
              </w:rPr>
            </w:pPr>
          </w:p>
        </w:tc>
        <w:tc>
          <w:tcPr>
            <w:tcW w:w="926" w:type="dxa"/>
          </w:tcPr>
          <w:p>
            <w:pPr>
              <w:pStyle w:val="TableParagraph"/>
              <w:ind w:left="181"/>
              <w:rPr>
                <w:sz w:val="18"/>
              </w:rPr>
            </w:pPr>
            <w:r>
              <w:rPr>
                <w:spacing w:val="-10"/>
                <w:sz w:val="18"/>
              </w:rPr>
              <w:t>—</w:t>
            </w:r>
          </w:p>
        </w:tc>
        <w:tc>
          <w:tcPr>
            <w:tcW w:w="740" w:type="dxa"/>
          </w:tcPr>
          <w:p>
            <w:pPr>
              <w:pStyle w:val="TableParagraph"/>
              <w:spacing w:before="0"/>
              <w:rPr>
                <w:sz w:val="16"/>
              </w:rPr>
            </w:pPr>
          </w:p>
        </w:tc>
        <w:tc>
          <w:tcPr>
            <w:tcW w:w="965" w:type="dxa"/>
          </w:tcPr>
          <w:p>
            <w:pPr>
              <w:pStyle w:val="TableParagraph"/>
              <w:ind w:left="219"/>
              <w:rPr>
                <w:sz w:val="18"/>
              </w:rPr>
            </w:pPr>
            <w:r>
              <w:rPr>
                <w:spacing w:val="-10"/>
                <w:sz w:val="18"/>
              </w:rPr>
              <w:t>—</w:t>
            </w:r>
          </w:p>
        </w:tc>
        <w:tc>
          <w:tcPr>
            <w:tcW w:w="740" w:type="dxa"/>
          </w:tcPr>
          <w:p>
            <w:pPr>
              <w:pStyle w:val="TableParagraph"/>
              <w:spacing w:before="0"/>
              <w:rPr>
                <w:sz w:val="16"/>
              </w:rPr>
            </w:pPr>
          </w:p>
        </w:tc>
        <w:tc>
          <w:tcPr>
            <w:tcW w:w="614" w:type="dxa"/>
          </w:tcPr>
          <w:p>
            <w:pPr>
              <w:pStyle w:val="TableParagraph"/>
              <w:ind w:left="174"/>
              <w:rPr>
                <w:sz w:val="18"/>
              </w:rPr>
            </w:pPr>
            <w:r>
              <w:rPr>
                <w:spacing w:val="-5"/>
                <w:sz w:val="18"/>
              </w:rPr>
              <w:t>5.5</w:t>
            </w:r>
          </w:p>
        </w:tc>
      </w:tr>
      <w:tr>
        <w:trPr>
          <w:trHeight w:val="256" w:hRule="atLeast"/>
        </w:trPr>
        <w:tc>
          <w:tcPr>
            <w:tcW w:w="6507" w:type="dxa"/>
            <w:shd w:val="clear" w:color="auto" w:fill="CCEDFF"/>
          </w:tcPr>
          <w:p>
            <w:pPr>
              <w:pStyle w:val="TableParagraph"/>
              <w:ind w:left="17"/>
              <w:rPr>
                <w:sz w:val="18"/>
              </w:rPr>
            </w:pPr>
            <w:r>
              <w:rPr>
                <w:sz w:val="18"/>
              </w:rPr>
              <w:t>Noncontrolling</w:t>
            </w:r>
            <w:r>
              <w:rPr>
                <w:spacing w:val="-1"/>
                <w:sz w:val="18"/>
              </w:rPr>
              <w:t> </w:t>
            </w:r>
            <w:r>
              <w:rPr>
                <w:spacing w:val="-2"/>
                <w:sz w:val="18"/>
              </w:rPr>
              <w:t>interest</w:t>
            </w:r>
          </w:p>
        </w:tc>
        <w:tc>
          <w:tcPr>
            <w:tcW w:w="1023" w:type="dxa"/>
            <w:shd w:val="clear" w:color="auto" w:fill="CCEDFF"/>
          </w:tcPr>
          <w:p>
            <w:pPr>
              <w:pStyle w:val="TableParagraph"/>
              <w:spacing w:before="0"/>
              <w:rPr>
                <w:sz w:val="16"/>
              </w:rPr>
            </w:pPr>
          </w:p>
        </w:tc>
        <w:tc>
          <w:tcPr>
            <w:tcW w:w="926" w:type="dxa"/>
            <w:shd w:val="clear" w:color="auto" w:fill="CCEDFF"/>
          </w:tcPr>
          <w:p>
            <w:pPr>
              <w:pStyle w:val="TableParagraph"/>
              <w:ind w:left="61"/>
              <w:rPr>
                <w:sz w:val="18"/>
              </w:rPr>
            </w:pPr>
            <w:r>
              <w:rPr>
                <w:spacing w:val="-2"/>
                <w:sz w:val="18"/>
              </w:rPr>
              <w:t>(2.4)</w:t>
            </w:r>
          </w:p>
        </w:tc>
        <w:tc>
          <w:tcPr>
            <w:tcW w:w="740" w:type="dxa"/>
            <w:shd w:val="clear" w:color="auto" w:fill="CCEDFF"/>
          </w:tcPr>
          <w:p>
            <w:pPr>
              <w:pStyle w:val="TableParagraph"/>
              <w:spacing w:before="0"/>
              <w:rPr>
                <w:sz w:val="16"/>
              </w:rPr>
            </w:pPr>
          </w:p>
        </w:tc>
        <w:tc>
          <w:tcPr>
            <w:tcW w:w="965" w:type="dxa"/>
            <w:shd w:val="clear" w:color="auto" w:fill="CCEDFF"/>
          </w:tcPr>
          <w:p>
            <w:pPr>
              <w:pStyle w:val="TableParagraph"/>
              <w:ind w:left="100"/>
              <w:rPr>
                <w:sz w:val="18"/>
              </w:rPr>
            </w:pPr>
            <w:r>
              <w:rPr>
                <w:spacing w:val="-2"/>
                <w:sz w:val="18"/>
              </w:rPr>
              <w:t>(3.2)</w:t>
            </w:r>
          </w:p>
        </w:tc>
        <w:tc>
          <w:tcPr>
            <w:tcW w:w="740" w:type="dxa"/>
            <w:shd w:val="clear" w:color="auto" w:fill="CCEDFF"/>
          </w:tcPr>
          <w:p>
            <w:pPr>
              <w:pStyle w:val="TableParagraph"/>
              <w:spacing w:before="0"/>
              <w:rPr>
                <w:sz w:val="16"/>
              </w:rPr>
            </w:pPr>
          </w:p>
        </w:tc>
        <w:tc>
          <w:tcPr>
            <w:tcW w:w="614" w:type="dxa"/>
            <w:shd w:val="clear" w:color="auto" w:fill="CCEDFF"/>
          </w:tcPr>
          <w:p>
            <w:pPr>
              <w:pStyle w:val="TableParagraph"/>
              <w:ind w:left="174"/>
              <w:rPr>
                <w:sz w:val="18"/>
              </w:rPr>
            </w:pPr>
            <w:r>
              <w:rPr>
                <w:spacing w:val="-5"/>
                <w:sz w:val="18"/>
              </w:rPr>
              <w:t>1.6</w:t>
            </w:r>
          </w:p>
        </w:tc>
      </w:tr>
      <w:tr>
        <w:trPr>
          <w:trHeight w:val="256" w:hRule="atLeast"/>
        </w:trPr>
        <w:tc>
          <w:tcPr>
            <w:tcW w:w="6507" w:type="dxa"/>
          </w:tcPr>
          <w:p>
            <w:pPr>
              <w:pStyle w:val="TableParagraph"/>
              <w:ind w:left="17"/>
              <w:rPr>
                <w:sz w:val="18"/>
              </w:rPr>
            </w:pPr>
            <w:r>
              <w:rPr>
                <w:sz w:val="18"/>
              </w:rPr>
              <w:t>Foreign</w:t>
            </w:r>
            <w:r>
              <w:rPr>
                <w:spacing w:val="-1"/>
                <w:sz w:val="18"/>
              </w:rPr>
              <w:t> </w:t>
            </w:r>
            <w:r>
              <w:rPr>
                <w:sz w:val="18"/>
              </w:rPr>
              <w:t>income/losses</w:t>
            </w:r>
            <w:r>
              <w:rPr>
                <w:spacing w:val="-1"/>
                <w:sz w:val="18"/>
              </w:rPr>
              <w:t> </w:t>
            </w:r>
            <w:r>
              <w:rPr>
                <w:sz w:val="18"/>
              </w:rPr>
              <w:t>taxed</w:t>
            </w:r>
            <w:r>
              <w:rPr>
                <w:spacing w:val="-1"/>
                <w:sz w:val="18"/>
              </w:rPr>
              <w:t> </w:t>
            </w:r>
            <w:r>
              <w:rPr>
                <w:sz w:val="18"/>
              </w:rPr>
              <w:t>at</w:t>
            </w:r>
            <w:r>
              <w:rPr>
                <w:spacing w:val="-1"/>
                <w:sz w:val="18"/>
              </w:rPr>
              <w:t> </w:t>
            </w:r>
            <w:r>
              <w:rPr>
                <w:sz w:val="18"/>
              </w:rPr>
              <w:t>other</w:t>
            </w:r>
            <w:r>
              <w:rPr>
                <w:spacing w:val="-1"/>
                <w:sz w:val="18"/>
              </w:rPr>
              <w:t> </w:t>
            </w:r>
            <w:r>
              <w:rPr>
                <w:sz w:val="18"/>
              </w:rPr>
              <w:t>than</w:t>
            </w:r>
            <w:r>
              <w:rPr>
                <w:spacing w:val="-1"/>
                <w:sz w:val="18"/>
              </w:rPr>
              <w:t> </w:t>
            </w:r>
            <w:r>
              <w:rPr>
                <w:sz w:val="18"/>
              </w:rPr>
              <w:t>U.S.</w:t>
            </w:r>
            <w:r>
              <w:rPr>
                <w:spacing w:val="-1"/>
                <w:sz w:val="18"/>
              </w:rPr>
              <w:t> </w:t>
            </w:r>
            <w:r>
              <w:rPr>
                <w:sz w:val="18"/>
              </w:rPr>
              <w:t>statutory</w:t>
            </w:r>
            <w:r>
              <w:rPr>
                <w:spacing w:val="-1"/>
                <w:sz w:val="18"/>
              </w:rPr>
              <w:t> </w:t>
            </w:r>
            <w:r>
              <w:rPr>
                <w:spacing w:val="-4"/>
                <w:sz w:val="18"/>
              </w:rPr>
              <w:t>rate</w:t>
            </w:r>
          </w:p>
        </w:tc>
        <w:tc>
          <w:tcPr>
            <w:tcW w:w="1023" w:type="dxa"/>
          </w:tcPr>
          <w:p>
            <w:pPr>
              <w:pStyle w:val="TableParagraph"/>
              <w:spacing w:before="0"/>
              <w:rPr>
                <w:sz w:val="16"/>
              </w:rPr>
            </w:pPr>
          </w:p>
        </w:tc>
        <w:tc>
          <w:tcPr>
            <w:tcW w:w="926" w:type="dxa"/>
          </w:tcPr>
          <w:p>
            <w:pPr>
              <w:pStyle w:val="TableParagraph"/>
              <w:ind w:left="46"/>
              <w:rPr>
                <w:sz w:val="18"/>
              </w:rPr>
            </w:pPr>
            <w:r>
              <w:rPr>
                <w:spacing w:val="-4"/>
                <w:sz w:val="18"/>
              </w:rPr>
              <w:t>53.3</w:t>
            </w:r>
          </w:p>
        </w:tc>
        <w:tc>
          <w:tcPr>
            <w:tcW w:w="740" w:type="dxa"/>
          </w:tcPr>
          <w:p>
            <w:pPr>
              <w:pStyle w:val="TableParagraph"/>
              <w:spacing w:before="0"/>
              <w:rPr>
                <w:sz w:val="16"/>
              </w:rPr>
            </w:pPr>
          </w:p>
        </w:tc>
        <w:tc>
          <w:tcPr>
            <w:tcW w:w="965" w:type="dxa"/>
          </w:tcPr>
          <w:p>
            <w:pPr>
              <w:pStyle w:val="TableParagraph"/>
              <w:ind w:left="174"/>
              <w:rPr>
                <w:sz w:val="18"/>
              </w:rPr>
            </w:pPr>
            <w:r>
              <w:rPr>
                <w:spacing w:val="-5"/>
                <w:sz w:val="18"/>
              </w:rPr>
              <w:t>8.2</w:t>
            </w:r>
          </w:p>
        </w:tc>
        <w:tc>
          <w:tcPr>
            <w:tcW w:w="740" w:type="dxa"/>
          </w:tcPr>
          <w:p>
            <w:pPr>
              <w:pStyle w:val="TableParagraph"/>
              <w:spacing w:before="0"/>
              <w:rPr>
                <w:sz w:val="16"/>
              </w:rPr>
            </w:pPr>
          </w:p>
        </w:tc>
        <w:tc>
          <w:tcPr>
            <w:tcW w:w="614" w:type="dxa"/>
          </w:tcPr>
          <w:p>
            <w:pPr>
              <w:pStyle w:val="TableParagraph"/>
              <w:ind w:left="9"/>
              <w:rPr>
                <w:sz w:val="18"/>
              </w:rPr>
            </w:pPr>
            <w:r>
              <w:rPr>
                <w:spacing w:val="-2"/>
                <w:sz w:val="18"/>
              </w:rPr>
              <w:t>(12.5)</w:t>
            </w:r>
          </w:p>
        </w:tc>
      </w:tr>
      <w:tr>
        <w:trPr>
          <w:trHeight w:val="256" w:hRule="atLeast"/>
        </w:trPr>
        <w:tc>
          <w:tcPr>
            <w:tcW w:w="6507" w:type="dxa"/>
            <w:shd w:val="clear" w:color="auto" w:fill="CCEDFF"/>
          </w:tcPr>
          <w:p>
            <w:pPr>
              <w:pStyle w:val="TableParagraph"/>
              <w:ind w:left="17"/>
              <w:rPr>
                <w:sz w:val="18"/>
              </w:rPr>
            </w:pPr>
            <w:r>
              <w:rPr>
                <w:sz w:val="18"/>
              </w:rPr>
              <w:t>Federal</w:t>
            </w:r>
            <w:r>
              <w:rPr>
                <w:spacing w:val="-1"/>
                <w:sz w:val="18"/>
              </w:rPr>
              <w:t> </w:t>
            </w:r>
            <w:r>
              <w:rPr>
                <w:sz w:val="18"/>
              </w:rPr>
              <w:t>valuation</w:t>
            </w:r>
            <w:r>
              <w:rPr>
                <w:spacing w:val="-1"/>
                <w:sz w:val="18"/>
              </w:rPr>
              <w:t> </w:t>
            </w:r>
            <w:r>
              <w:rPr>
                <w:spacing w:val="-2"/>
                <w:sz w:val="18"/>
              </w:rPr>
              <w:t>allowance</w:t>
            </w:r>
          </w:p>
        </w:tc>
        <w:tc>
          <w:tcPr>
            <w:tcW w:w="1023" w:type="dxa"/>
            <w:shd w:val="clear" w:color="auto" w:fill="CCEDFF"/>
          </w:tcPr>
          <w:p>
            <w:pPr>
              <w:pStyle w:val="TableParagraph"/>
              <w:spacing w:before="0"/>
              <w:rPr>
                <w:sz w:val="16"/>
              </w:rPr>
            </w:pPr>
          </w:p>
        </w:tc>
        <w:tc>
          <w:tcPr>
            <w:tcW w:w="926" w:type="dxa"/>
            <w:shd w:val="clear" w:color="auto" w:fill="CCEDFF"/>
          </w:tcPr>
          <w:p>
            <w:pPr>
              <w:pStyle w:val="TableParagraph"/>
              <w:ind w:left="61"/>
              <w:rPr>
                <w:sz w:val="18"/>
              </w:rPr>
            </w:pPr>
            <w:r>
              <w:rPr>
                <w:spacing w:val="-2"/>
                <w:sz w:val="18"/>
              </w:rPr>
              <w:t>(0.6)</w:t>
            </w:r>
          </w:p>
        </w:tc>
        <w:tc>
          <w:tcPr>
            <w:tcW w:w="740" w:type="dxa"/>
            <w:shd w:val="clear" w:color="auto" w:fill="CCEDFF"/>
          </w:tcPr>
          <w:p>
            <w:pPr>
              <w:pStyle w:val="TableParagraph"/>
              <w:spacing w:before="0"/>
              <w:rPr>
                <w:sz w:val="16"/>
              </w:rPr>
            </w:pPr>
          </w:p>
        </w:tc>
        <w:tc>
          <w:tcPr>
            <w:tcW w:w="965" w:type="dxa"/>
            <w:shd w:val="clear" w:color="auto" w:fill="CCEDFF"/>
          </w:tcPr>
          <w:p>
            <w:pPr>
              <w:pStyle w:val="TableParagraph"/>
              <w:ind w:left="174"/>
              <w:rPr>
                <w:sz w:val="18"/>
              </w:rPr>
            </w:pPr>
            <w:r>
              <w:rPr>
                <w:spacing w:val="-5"/>
                <w:sz w:val="18"/>
              </w:rPr>
              <w:t>1.0</w:t>
            </w:r>
          </w:p>
        </w:tc>
        <w:tc>
          <w:tcPr>
            <w:tcW w:w="740" w:type="dxa"/>
            <w:shd w:val="clear" w:color="auto" w:fill="CCEDFF"/>
          </w:tcPr>
          <w:p>
            <w:pPr>
              <w:pStyle w:val="TableParagraph"/>
              <w:spacing w:before="0"/>
              <w:rPr>
                <w:sz w:val="16"/>
              </w:rPr>
            </w:pPr>
          </w:p>
        </w:tc>
        <w:tc>
          <w:tcPr>
            <w:tcW w:w="614" w:type="dxa"/>
            <w:shd w:val="clear" w:color="auto" w:fill="CCEDFF"/>
          </w:tcPr>
          <w:p>
            <w:pPr>
              <w:pStyle w:val="TableParagraph"/>
              <w:ind w:left="99"/>
              <w:rPr>
                <w:sz w:val="18"/>
              </w:rPr>
            </w:pPr>
            <w:r>
              <w:rPr>
                <w:spacing w:val="-2"/>
                <w:sz w:val="18"/>
              </w:rPr>
              <w:t>(2.8)</w:t>
            </w:r>
          </w:p>
        </w:tc>
      </w:tr>
      <w:tr>
        <w:trPr>
          <w:trHeight w:val="256" w:hRule="atLeast"/>
        </w:trPr>
        <w:tc>
          <w:tcPr>
            <w:tcW w:w="6507" w:type="dxa"/>
          </w:tcPr>
          <w:p>
            <w:pPr>
              <w:pStyle w:val="TableParagraph"/>
              <w:ind w:left="17"/>
              <w:rPr>
                <w:sz w:val="18"/>
              </w:rPr>
            </w:pPr>
            <w:r>
              <w:rPr>
                <w:sz w:val="18"/>
              </w:rPr>
              <w:t>State</w:t>
            </w:r>
            <w:r>
              <w:rPr>
                <w:spacing w:val="-1"/>
                <w:sz w:val="18"/>
              </w:rPr>
              <w:t> </w:t>
            </w:r>
            <w:r>
              <w:rPr>
                <w:sz w:val="18"/>
              </w:rPr>
              <w:t>taxes,</w:t>
            </w:r>
            <w:r>
              <w:rPr>
                <w:spacing w:val="-1"/>
                <w:sz w:val="18"/>
              </w:rPr>
              <w:t> </w:t>
            </w:r>
            <w:r>
              <w:rPr>
                <w:spacing w:val="-5"/>
                <w:sz w:val="18"/>
              </w:rPr>
              <w:t>net</w:t>
            </w:r>
          </w:p>
        </w:tc>
        <w:tc>
          <w:tcPr>
            <w:tcW w:w="1023" w:type="dxa"/>
          </w:tcPr>
          <w:p>
            <w:pPr>
              <w:pStyle w:val="TableParagraph"/>
              <w:spacing w:before="0"/>
              <w:rPr>
                <w:sz w:val="16"/>
              </w:rPr>
            </w:pPr>
          </w:p>
        </w:tc>
        <w:tc>
          <w:tcPr>
            <w:tcW w:w="926" w:type="dxa"/>
          </w:tcPr>
          <w:p>
            <w:pPr>
              <w:pStyle w:val="TableParagraph"/>
              <w:ind w:left="136"/>
              <w:rPr>
                <w:sz w:val="18"/>
              </w:rPr>
            </w:pPr>
            <w:r>
              <w:rPr>
                <w:spacing w:val="-5"/>
                <w:sz w:val="18"/>
              </w:rPr>
              <w:t>5.5</w:t>
            </w:r>
          </w:p>
        </w:tc>
        <w:tc>
          <w:tcPr>
            <w:tcW w:w="740" w:type="dxa"/>
          </w:tcPr>
          <w:p>
            <w:pPr>
              <w:pStyle w:val="TableParagraph"/>
              <w:spacing w:before="0"/>
              <w:rPr>
                <w:sz w:val="16"/>
              </w:rPr>
            </w:pPr>
          </w:p>
        </w:tc>
        <w:tc>
          <w:tcPr>
            <w:tcW w:w="965" w:type="dxa"/>
          </w:tcPr>
          <w:p>
            <w:pPr>
              <w:pStyle w:val="TableParagraph"/>
              <w:ind w:left="174"/>
              <w:rPr>
                <w:sz w:val="18"/>
              </w:rPr>
            </w:pPr>
            <w:r>
              <w:rPr>
                <w:spacing w:val="-5"/>
                <w:sz w:val="18"/>
              </w:rPr>
              <w:t>2.3</w:t>
            </w:r>
          </w:p>
        </w:tc>
        <w:tc>
          <w:tcPr>
            <w:tcW w:w="740" w:type="dxa"/>
          </w:tcPr>
          <w:p>
            <w:pPr>
              <w:pStyle w:val="TableParagraph"/>
              <w:spacing w:before="0"/>
              <w:rPr>
                <w:sz w:val="16"/>
              </w:rPr>
            </w:pPr>
          </w:p>
        </w:tc>
        <w:tc>
          <w:tcPr>
            <w:tcW w:w="614" w:type="dxa"/>
          </w:tcPr>
          <w:p>
            <w:pPr>
              <w:pStyle w:val="TableParagraph"/>
              <w:ind w:left="174"/>
              <w:rPr>
                <w:sz w:val="18"/>
              </w:rPr>
            </w:pPr>
            <w:r>
              <w:rPr>
                <w:spacing w:val="-5"/>
                <w:sz w:val="18"/>
              </w:rPr>
              <w:t>0.5</w:t>
            </w:r>
          </w:p>
        </w:tc>
      </w:tr>
      <w:tr>
        <w:trPr>
          <w:trHeight w:val="269" w:hRule="atLeast"/>
        </w:trPr>
        <w:tc>
          <w:tcPr>
            <w:tcW w:w="6507" w:type="dxa"/>
            <w:shd w:val="clear" w:color="auto" w:fill="CCEDFF"/>
          </w:tcPr>
          <w:p>
            <w:pPr>
              <w:pStyle w:val="TableParagraph"/>
              <w:ind w:left="17"/>
              <w:rPr>
                <w:sz w:val="18"/>
              </w:rPr>
            </w:pPr>
            <w:r>
              <w:rPr>
                <w:sz w:val="18"/>
              </w:rPr>
              <w:t>Gain</w:t>
            </w:r>
            <w:r>
              <w:rPr>
                <w:spacing w:val="-3"/>
                <w:sz w:val="18"/>
              </w:rPr>
              <w:t> </w:t>
            </w:r>
            <w:r>
              <w:rPr>
                <w:sz w:val="18"/>
              </w:rPr>
              <w:t>on</w:t>
            </w:r>
            <w:r>
              <w:rPr>
                <w:spacing w:val="-3"/>
                <w:sz w:val="18"/>
              </w:rPr>
              <w:t> </w:t>
            </w:r>
            <w:r>
              <w:rPr>
                <w:sz w:val="18"/>
              </w:rPr>
              <w:t>consolidation</w:t>
            </w:r>
            <w:r>
              <w:rPr>
                <w:spacing w:val="-2"/>
                <w:sz w:val="18"/>
              </w:rPr>
              <w:t> </w:t>
            </w:r>
            <w:r>
              <w:rPr>
                <w:sz w:val="18"/>
              </w:rPr>
              <w:t>of</w:t>
            </w:r>
            <w:r>
              <w:rPr>
                <w:spacing w:val="-3"/>
                <w:sz w:val="18"/>
              </w:rPr>
              <w:t> </w:t>
            </w:r>
            <w:r>
              <w:rPr>
                <w:sz w:val="18"/>
              </w:rPr>
              <w:t>CityCenter,</w:t>
            </w:r>
            <w:r>
              <w:rPr>
                <w:spacing w:val="-2"/>
                <w:sz w:val="18"/>
              </w:rPr>
              <w:t> </w:t>
            </w:r>
            <w:r>
              <w:rPr>
                <w:spacing w:val="-5"/>
                <w:sz w:val="18"/>
              </w:rPr>
              <w:t>net</w:t>
            </w:r>
          </w:p>
        </w:tc>
        <w:tc>
          <w:tcPr>
            <w:tcW w:w="1023" w:type="dxa"/>
            <w:shd w:val="clear" w:color="auto" w:fill="CCEDFF"/>
          </w:tcPr>
          <w:p>
            <w:pPr>
              <w:pStyle w:val="TableParagraph"/>
              <w:spacing w:before="0"/>
              <w:rPr>
                <w:sz w:val="16"/>
              </w:rPr>
            </w:pPr>
          </w:p>
        </w:tc>
        <w:tc>
          <w:tcPr>
            <w:tcW w:w="926" w:type="dxa"/>
            <w:shd w:val="clear" w:color="auto" w:fill="CCEDFF"/>
          </w:tcPr>
          <w:p>
            <w:pPr>
              <w:pStyle w:val="TableParagraph"/>
              <w:ind w:left="181"/>
              <w:rPr>
                <w:sz w:val="18"/>
              </w:rPr>
            </w:pPr>
            <w:r>
              <w:rPr>
                <w:spacing w:val="-10"/>
                <w:sz w:val="18"/>
              </w:rPr>
              <w:t>—</w:t>
            </w:r>
          </w:p>
        </w:tc>
        <w:tc>
          <w:tcPr>
            <w:tcW w:w="740" w:type="dxa"/>
            <w:shd w:val="clear" w:color="auto" w:fill="CCEDFF"/>
          </w:tcPr>
          <w:p>
            <w:pPr>
              <w:pStyle w:val="TableParagraph"/>
              <w:spacing w:before="0"/>
              <w:rPr>
                <w:sz w:val="16"/>
              </w:rPr>
            </w:pPr>
          </w:p>
        </w:tc>
        <w:tc>
          <w:tcPr>
            <w:tcW w:w="965" w:type="dxa"/>
            <w:shd w:val="clear" w:color="auto" w:fill="CCEDFF"/>
          </w:tcPr>
          <w:p>
            <w:pPr>
              <w:pStyle w:val="TableParagraph"/>
              <w:ind w:left="9"/>
              <w:rPr>
                <w:sz w:val="18"/>
              </w:rPr>
            </w:pPr>
            <w:r>
              <w:rPr>
                <w:spacing w:val="-2"/>
                <w:sz w:val="18"/>
              </w:rPr>
              <w:t>(10.1)</w:t>
            </w:r>
          </w:p>
        </w:tc>
        <w:tc>
          <w:tcPr>
            <w:tcW w:w="740" w:type="dxa"/>
            <w:shd w:val="clear" w:color="auto" w:fill="CCEDFF"/>
          </w:tcPr>
          <w:p>
            <w:pPr>
              <w:pStyle w:val="TableParagraph"/>
              <w:spacing w:before="0"/>
              <w:rPr>
                <w:sz w:val="16"/>
              </w:rPr>
            </w:pPr>
          </w:p>
        </w:tc>
        <w:tc>
          <w:tcPr>
            <w:tcW w:w="614" w:type="dxa"/>
            <w:shd w:val="clear" w:color="auto" w:fill="CCEDFF"/>
          </w:tcPr>
          <w:p>
            <w:pPr>
              <w:pStyle w:val="TableParagraph"/>
              <w:ind w:left="5"/>
              <w:jc w:val="center"/>
              <w:rPr>
                <w:sz w:val="18"/>
              </w:rPr>
            </w:pPr>
            <w:r>
              <w:rPr>
                <w:spacing w:val="-10"/>
                <w:sz w:val="18"/>
              </w:rPr>
              <w:t>—</w:t>
            </w:r>
          </w:p>
        </w:tc>
      </w:tr>
      <w:tr>
        <w:trPr>
          <w:trHeight w:val="256" w:hRule="atLeast"/>
        </w:trPr>
        <w:tc>
          <w:tcPr>
            <w:tcW w:w="6507" w:type="dxa"/>
          </w:tcPr>
          <w:p>
            <w:pPr>
              <w:pStyle w:val="TableParagraph"/>
              <w:ind w:left="17"/>
              <w:rPr>
                <w:sz w:val="18"/>
              </w:rPr>
            </w:pPr>
            <w:r>
              <w:rPr>
                <w:sz w:val="18"/>
              </w:rPr>
              <w:t>General</w:t>
            </w:r>
            <w:r>
              <w:rPr>
                <w:spacing w:val="-1"/>
                <w:sz w:val="18"/>
              </w:rPr>
              <w:t> </w:t>
            </w:r>
            <w:r>
              <w:rPr>
                <w:sz w:val="18"/>
              </w:rPr>
              <w:t>business</w:t>
            </w:r>
            <w:r>
              <w:rPr>
                <w:spacing w:val="-1"/>
                <w:sz w:val="18"/>
              </w:rPr>
              <w:t> </w:t>
            </w:r>
            <w:r>
              <w:rPr>
                <w:spacing w:val="-2"/>
                <w:sz w:val="18"/>
              </w:rPr>
              <w:t>credits</w:t>
            </w:r>
          </w:p>
        </w:tc>
        <w:tc>
          <w:tcPr>
            <w:tcW w:w="1023" w:type="dxa"/>
          </w:tcPr>
          <w:p>
            <w:pPr>
              <w:pStyle w:val="TableParagraph"/>
              <w:spacing w:before="0"/>
              <w:rPr>
                <w:sz w:val="16"/>
              </w:rPr>
            </w:pPr>
          </w:p>
        </w:tc>
        <w:tc>
          <w:tcPr>
            <w:tcW w:w="926" w:type="dxa"/>
          </w:tcPr>
          <w:p>
            <w:pPr>
              <w:pStyle w:val="TableParagraph"/>
              <w:ind w:left="61"/>
              <w:rPr>
                <w:sz w:val="18"/>
              </w:rPr>
            </w:pPr>
            <w:r>
              <w:rPr>
                <w:spacing w:val="-2"/>
                <w:sz w:val="18"/>
              </w:rPr>
              <w:t>(1.5)</w:t>
            </w:r>
          </w:p>
        </w:tc>
        <w:tc>
          <w:tcPr>
            <w:tcW w:w="740" w:type="dxa"/>
          </w:tcPr>
          <w:p>
            <w:pPr>
              <w:pStyle w:val="TableParagraph"/>
              <w:spacing w:before="0"/>
              <w:rPr>
                <w:sz w:val="16"/>
              </w:rPr>
            </w:pPr>
          </w:p>
        </w:tc>
        <w:tc>
          <w:tcPr>
            <w:tcW w:w="965" w:type="dxa"/>
          </w:tcPr>
          <w:p>
            <w:pPr>
              <w:pStyle w:val="TableParagraph"/>
              <w:ind w:left="100"/>
              <w:rPr>
                <w:sz w:val="18"/>
              </w:rPr>
            </w:pPr>
            <w:r>
              <w:rPr>
                <w:spacing w:val="-2"/>
                <w:sz w:val="18"/>
              </w:rPr>
              <w:t>(0.3)</w:t>
            </w:r>
          </w:p>
        </w:tc>
        <w:tc>
          <w:tcPr>
            <w:tcW w:w="740" w:type="dxa"/>
          </w:tcPr>
          <w:p>
            <w:pPr>
              <w:pStyle w:val="TableParagraph"/>
              <w:spacing w:before="0"/>
              <w:rPr>
                <w:sz w:val="16"/>
              </w:rPr>
            </w:pPr>
          </w:p>
        </w:tc>
        <w:tc>
          <w:tcPr>
            <w:tcW w:w="614" w:type="dxa"/>
          </w:tcPr>
          <w:p>
            <w:pPr>
              <w:pStyle w:val="TableParagraph"/>
              <w:ind w:left="174"/>
              <w:rPr>
                <w:sz w:val="18"/>
              </w:rPr>
            </w:pPr>
            <w:r>
              <w:rPr>
                <w:spacing w:val="-5"/>
                <w:sz w:val="18"/>
              </w:rPr>
              <w:t>0.3</w:t>
            </w:r>
          </w:p>
        </w:tc>
      </w:tr>
      <w:tr>
        <w:trPr>
          <w:trHeight w:val="255" w:hRule="atLeast"/>
        </w:trPr>
        <w:tc>
          <w:tcPr>
            <w:tcW w:w="6507" w:type="dxa"/>
            <w:shd w:val="clear" w:color="auto" w:fill="CCEDFF"/>
          </w:tcPr>
          <w:p>
            <w:pPr>
              <w:pStyle w:val="TableParagraph"/>
              <w:ind w:left="17"/>
              <w:rPr>
                <w:sz w:val="18"/>
              </w:rPr>
            </w:pPr>
            <w:r>
              <w:rPr>
                <w:sz w:val="18"/>
              </w:rPr>
              <w:t>Permanent</w:t>
            </w:r>
            <w:r>
              <w:rPr>
                <w:spacing w:val="-1"/>
                <w:sz w:val="18"/>
              </w:rPr>
              <w:t> </w:t>
            </w:r>
            <w:r>
              <w:rPr>
                <w:sz w:val="18"/>
              </w:rPr>
              <w:t>and</w:t>
            </w:r>
            <w:r>
              <w:rPr>
                <w:spacing w:val="-1"/>
                <w:sz w:val="18"/>
              </w:rPr>
              <w:t> </w:t>
            </w:r>
            <w:r>
              <w:rPr>
                <w:sz w:val="18"/>
              </w:rPr>
              <w:t>other</w:t>
            </w:r>
            <w:r>
              <w:rPr>
                <w:spacing w:val="-1"/>
                <w:sz w:val="18"/>
              </w:rPr>
              <w:t> </w:t>
            </w:r>
            <w:r>
              <w:rPr>
                <w:spacing w:val="-2"/>
                <w:sz w:val="18"/>
              </w:rPr>
              <w:t>items</w:t>
            </w:r>
          </w:p>
        </w:tc>
        <w:tc>
          <w:tcPr>
            <w:tcW w:w="1023" w:type="dxa"/>
            <w:tcBorders>
              <w:bottom w:val="single" w:sz="6" w:space="0" w:color="000000"/>
            </w:tcBorders>
            <w:shd w:val="clear" w:color="auto" w:fill="CCEDFF"/>
          </w:tcPr>
          <w:p>
            <w:pPr>
              <w:pStyle w:val="TableParagraph"/>
              <w:spacing w:before="0"/>
              <w:rPr>
                <w:sz w:val="16"/>
              </w:rPr>
            </w:pPr>
          </w:p>
        </w:tc>
        <w:tc>
          <w:tcPr>
            <w:tcW w:w="926" w:type="dxa"/>
            <w:tcBorders>
              <w:bottom w:val="single" w:sz="6" w:space="0" w:color="000000"/>
            </w:tcBorders>
            <w:shd w:val="clear" w:color="auto" w:fill="CCEDFF"/>
          </w:tcPr>
          <w:p>
            <w:pPr>
              <w:pStyle w:val="TableParagraph"/>
              <w:ind w:left="136"/>
              <w:rPr>
                <w:sz w:val="18"/>
              </w:rPr>
            </w:pPr>
            <w:r>
              <w:rPr>
                <w:spacing w:val="-5"/>
                <w:sz w:val="18"/>
              </w:rPr>
              <w:t>1.8</w:t>
            </w:r>
          </w:p>
        </w:tc>
        <w:tc>
          <w:tcPr>
            <w:tcW w:w="740" w:type="dxa"/>
            <w:tcBorders>
              <w:bottom w:val="single" w:sz="6" w:space="0" w:color="000000"/>
            </w:tcBorders>
            <w:shd w:val="clear" w:color="auto" w:fill="CCEDFF"/>
          </w:tcPr>
          <w:p>
            <w:pPr>
              <w:pStyle w:val="TableParagraph"/>
              <w:spacing w:before="0"/>
              <w:rPr>
                <w:sz w:val="16"/>
              </w:rPr>
            </w:pPr>
          </w:p>
        </w:tc>
        <w:tc>
          <w:tcPr>
            <w:tcW w:w="965" w:type="dxa"/>
            <w:tcBorders>
              <w:bottom w:val="single" w:sz="6" w:space="0" w:color="000000"/>
            </w:tcBorders>
            <w:shd w:val="clear" w:color="auto" w:fill="CCEDFF"/>
          </w:tcPr>
          <w:p>
            <w:pPr>
              <w:pStyle w:val="TableParagraph"/>
              <w:ind w:left="100"/>
              <w:rPr>
                <w:sz w:val="18"/>
              </w:rPr>
            </w:pPr>
            <w:r>
              <w:rPr>
                <w:spacing w:val="-2"/>
                <w:sz w:val="18"/>
              </w:rPr>
              <w:t>(1.6)</w:t>
            </w:r>
          </w:p>
        </w:tc>
        <w:tc>
          <w:tcPr>
            <w:tcW w:w="740" w:type="dxa"/>
            <w:tcBorders>
              <w:bottom w:val="single" w:sz="6" w:space="0" w:color="000000"/>
            </w:tcBorders>
            <w:shd w:val="clear" w:color="auto" w:fill="CCEDFF"/>
          </w:tcPr>
          <w:p>
            <w:pPr>
              <w:pStyle w:val="TableParagraph"/>
              <w:spacing w:before="0"/>
              <w:rPr>
                <w:sz w:val="16"/>
              </w:rPr>
            </w:pPr>
          </w:p>
        </w:tc>
        <w:tc>
          <w:tcPr>
            <w:tcW w:w="614" w:type="dxa"/>
            <w:tcBorders>
              <w:bottom w:val="single" w:sz="6" w:space="0" w:color="000000"/>
            </w:tcBorders>
            <w:shd w:val="clear" w:color="auto" w:fill="CCEDFF"/>
          </w:tcPr>
          <w:p>
            <w:pPr>
              <w:pStyle w:val="TableParagraph"/>
              <w:ind w:left="99"/>
              <w:rPr>
                <w:sz w:val="18"/>
              </w:rPr>
            </w:pPr>
            <w:r>
              <w:rPr>
                <w:spacing w:val="-2"/>
                <w:sz w:val="18"/>
              </w:rPr>
              <w:t>(0.9)</w:t>
            </w:r>
          </w:p>
        </w:tc>
      </w:tr>
      <w:tr>
        <w:trPr>
          <w:trHeight w:val="227" w:hRule="atLeast"/>
        </w:trPr>
        <w:tc>
          <w:tcPr>
            <w:tcW w:w="6507" w:type="dxa"/>
          </w:tcPr>
          <w:p>
            <w:pPr>
              <w:pStyle w:val="TableParagraph"/>
              <w:spacing w:before="0"/>
              <w:rPr>
                <w:sz w:val="16"/>
              </w:rPr>
            </w:pPr>
          </w:p>
        </w:tc>
        <w:tc>
          <w:tcPr>
            <w:tcW w:w="1023" w:type="dxa"/>
            <w:tcBorders>
              <w:top w:val="single" w:sz="6" w:space="0" w:color="000000"/>
            </w:tcBorders>
          </w:tcPr>
          <w:p>
            <w:pPr>
              <w:pStyle w:val="TableParagraph"/>
              <w:spacing w:before="0"/>
              <w:rPr>
                <w:sz w:val="16"/>
              </w:rPr>
            </w:pPr>
          </w:p>
        </w:tc>
        <w:tc>
          <w:tcPr>
            <w:tcW w:w="926" w:type="dxa"/>
            <w:tcBorders>
              <w:top w:val="single" w:sz="6" w:space="0" w:color="000000"/>
            </w:tcBorders>
          </w:tcPr>
          <w:p>
            <w:pPr>
              <w:pStyle w:val="TableParagraph"/>
              <w:spacing w:line="187" w:lineRule="exact" w:before="20"/>
              <w:ind w:left="46"/>
              <w:rPr>
                <w:sz w:val="18"/>
              </w:rPr>
            </w:pPr>
            <w:r>
              <w:rPr>
                <w:sz w:val="18"/>
              </w:rPr>
              <w:t>77.1 </w:t>
            </w:r>
            <w:r>
              <w:rPr>
                <w:spacing w:val="-10"/>
                <w:sz w:val="18"/>
              </w:rPr>
              <w:t>%</w:t>
            </w:r>
          </w:p>
        </w:tc>
        <w:tc>
          <w:tcPr>
            <w:tcW w:w="740" w:type="dxa"/>
            <w:tcBorders>
              <w:top w:val="single" w:sz="6" w:space="0" w:color="000000"/>
            </w:tcBorders>
          </w:tcPr>
          <w:p>
            <w:pPr>
              <w:pStyle w:val="TableParagraph"/>
              <w:spacing w:before="0"/>
              <w:rPr>
                <w:sz w:val="16"/>
              </w:rPr>
            </w:pPr>
          </w:p>
        </w:tc>
        <w:tc>
          <w:tcPr>
            <w:tcW w:w="965" w:type="dxa"/>
            <w:tcBorders>
              <w:top w:val="single" w:sz="6" w:space="0" w:color="000000"/>
            </w:tcBorders>
          </w:tcPr>
          <w:p>
            <w:pPr>
              <w:pStyle w:val="TableParagraph"/>
              <w:spacing w:line="187" w:lineRule="exact" w:before="20"/>
              <w:ind w:left="84"/>
              <w:rPr>
                <w:sz w:val="18"/>
              </w:rPr>
            </w:pPr>
            <w:r>
              <w:rPr>
                <w:sz w:val="18"/>
              </w:rPr>
              <w:t>17.3 </w:t>
            </w:r>
            <w:r>
              <w:rPr>
                <w:spacing w:val="-10"/>
                <w:sz w:val="18"/>
              </w:rPr>
              <w:t>%</w:t>
            </w:r>
          </w:p>
        </w:tc>
        <w:tc>
          <w:tcPr>
            <w:tcW w:w="740" w:type="dxa"/>
            <w:tcBorders>
              <w:top w:val="single" w:sz="6" w:space="0" w:color="000000"/>
            </w:tcBorders>
          </w:tcPr>
          <w:p>
            <w:pPr>
              <w:pStyle w:val="TableParagraph"/>
              <w:spacing w:before="0"/>
              <w:rPr>
                <w:sz w:val="16"/>
              </w:rPr>
            </w:pPr>
          </w:p>
        </w:tc>
        <w:tc>
          <w:tcPr>
            <w:tcW w:w="614" w:type="dxa"/>
            <w:tcBorders>
              <w:top w:val="single" w:sz="6" w:space="0" w:color="000000"/>
            </w:tcBorders>
          </w:tcPr>
          <w:p>
            <w:pPr>
              <w:pStyle w:val="TableParagraph"/>
              <w:spacing w:line="187" w:lineRule="exact" w:before="20"/>
              <w:ind w:right="15"/>
              <w:jc w:val="right"/>
              <w:rPr>
                <w:sz w:val="18"/>
              </w:rPr>
            </w:pPr>
            <w:r>
              <w:rPr>
                <w:sz w:val="18"/>
              </w:rPr>
              <w:t>12.7</w:t>
            </w:r>
            <w:r>
              <w:rPr>
                <w:spacing w:val="2"/>
                <w:sz w:val="18"/>
              </w:rPr>
              <w:t> </w:t>
            </w:r>
            <w:r>
              <w:rPr>
                <w:spacing w:val="-10"/>
                <w:sz w:val="18"/>
              </w:rPr>
              <w:t>%</w:t>
            </w:r>
          </w:p>
        </w:tc>
      </w:tr>
    </w:tbl>
    <w:p>
      <w:pPr>
        <w:pStyle w:val="BodyText"/>
        <w:spacing w:before="5"/>
        <w:rPr>
          <w:b/>
          <w:sz w:val="2"/>
        </w:rPr>
      </w:pPr>
    </w:p>
    <w:p>
      <w:pPr>
        <w:spacing w:line="54" w:lineRule="exact"/>
        <w:ind w:left="6543" w:right="0" w:firstLine="0"/>
        <w:jc w:val="left"/>
        <w:rPr>
          <w:sz w:val="5"/>
        </w:rPr>
      </w:pPr>
      <w:r>
        <w:rPr>
          <w:position w:val="0"/>
          <w:sz w:val="5"/>
        </w:rPr>
        <mc:AlternateContent>
          <mc:Choice Requires="wps">
            <w:drawing>
              <wp:inline distT="0" distB="0" distL="0" distR="0">
                <wp:extent cx="1080135" cy="34290"/>
                <wp:effectExtent l="0" t="0" r="0" b="0"/>
                <wp:docPr id="550" name="Group 550"/>
                <wp:cNvGraphicFramePr>
                  <a:graphicFrameLocks/>
                </wp:cNvGraphicFramePr>
                <a:graphic>
                  <a:graphicData uri="http://schemas.microsoft.com/office/word/2010/wordprocessingGroup">
                    <wpg:wgp>
                      <wpg:cNvPr id="550" name="Group 550"/>
                      <wpg:cNvGrpSpPr/>
                      <wpg:grpSpPr>
                        <a:xfrm>
                          <a:off x="0" y="0"/>
                          <a:ext cx="1080135" cy="34290"/>
                          <a:chExt cx="1080135" cy="34290"/>
                        </a:xfrm>
                      </wpg:grpSpPr>
                      <wps:wsp>
                        <wps:cNvPr id="551" name="Graphic 551"/>
                        <wps:cNvSpPr/>
                        <wps:spPr>
                          <a:xfrm>
                            <a:off x="-12" y="-6"/>
                            <a:ext cx="1080135" cy="34290"/>
                          </a:xfrm>
                          <a:custGeom>
                            <a:avLst/>
                            <a:gdLst/>
                            <a:ahLst/>
                            <a:cxnLst/>
                            <a:rect l="l" t="t" r="r" b="b"/>
                            <a:pathLst>
                              <a:path w="1080135" h="34290">
                                <a:moveTo>
                                  <a:pt x="1080135" y="25717"/>
                                </a:moveTo>
                                <a:lnTo>
                                  <a:pt x="1080135" y="25717"/>
                                </a:lnTo>
                                <a:lnTo>
                                  <a:pt x="0" y="25717"/>
                                </a:lnTo>
                                <a:lnTo>
                                  <a:pt x="0" y="34290"/>
                                </a:lnTo>
                                <a:lnTo>
                                  <a:pt x="1080135" y="34290"/>
                                </a:lnTo>
                                <a:lnTo>
                                  <a:pt x="1080135" y="25717"/>
                                </a:lnTo>
                                <a:close/>
                              </a:path>
                              <a:path w="1080135" h="34290">
                                <a:moveTo>
                                  <a:pt x="1080135" y="0"/>
                                </a:moveTo>
                                <a:lnTo>
                                  <a:pt x="1080135" y="0"/>
                                </a:lnTo>
                                <a:lnTo>
                                  <a:pt x="0" y="0"/>
                                </a:lnTo>
                                <a:lnTo>
                                  <a:pt x="0" y="8572"/>
                                </a:lnTo>
                                <a:lnTo>
                                  <a:pt x="1080135" y="8572"/>
                                </a:lnTo>
                                <a:lnTo>
                                  <a:pt x="10801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5.05pt;height:2.7pt;mso-position-horizontal-relative:char;mso-position-vertical-relative:line" id="docshapegroup548" coordorigin="0,0" coordsize="1701,54">
                <v:shape style="position:absolute;left:-1;top:-1;width:1701;height:54" id="docshape549" coordorigin="0,0" coordsize="1701,54" path="m1701,40l1539,40,216,40,108,40,81,40,27,40,0,40,0,54,27,54,81,54,108,54,216,54,1539,54,1701,54,1701,40xm1701,0l1539,0,216,0,108,0,81,0,27,0,0,0,0,13,27,13,81,13,108,13,216,13,1539,13,1701,13,1701,0xe" filled="true" fillcolor="#000000" stroked="false">
                  <v:path arrowok="t"/>
                  <v:fill type="solid"/>
                </v:shape>
              </v:group>
            </w:pict>
          </mc:Fallback>
        </mc:AlternateContent>
      </w:r>
      <w:r>
        <w:rPr>
          <w:position w:val="0"/>
          <w:sz w:val="5"/>
        </w:rPr>
      </w:r>
      <w:r>
        <w:rPr>
          <w:spacing w:val="76"/>
          <w:position w:val="0"/>
          <w:sz w:val="5"/>
        </w:rPr>
        <w:t> </w:t>
      </w:r>
      <w:r>
        <w:rPr>
          <w:spacing w:val="76"/>
          <w:position w:val="0"/>
          <w:sz w:val="5"/>
        </w:rPr>
        <mc:AlternateContent>
          <mc:Choice Requires="wps">
            <w:drawing>
              <wp:inline distT="0" distB="0" distL="0" distR="0">
                <wp:extent cx="1020444" cy="34290"/>
                <wp:effectExtent l="0" t="0" r="0" b="0"/>
                <wp:docPr id="552" name="Group 552"/>
                <wp:cNvGraphicFramePr>
                  <a:graphicFrameLocks/>
                </wp:cNvGraphicFramePr>
                <a:graphic>
                  <a:graphicData uri="http://schemas.microsoft.com/office/word/2010/wordprocessingGroup">
                    <wpg:wgp>
                      <wpg:cNvPr id="552" name="Group 552"/>
                      <wpg:cNvGrpSpPr/>
                      <wpg:grpSpPr>
                        <a:xfrm>
                          <a:off x="0" y="0"/>
                          <a:ext cx="1020444" cy="34290"/>
                          <a:chExt cx="1020444" cy="34290"/>
                        </a:xfrm>
                      </wpg:grpSpPr>
                      <wps:wsp>
                        <wps:cNvPr id="553" name="Graphic 553"/>
                        <wps:cNvSpPr/>
                        <wps:spPr>
                          <a:xfrm>
                            <a:off x="-12" y="-6"/>
                            <a:ext cx="1020444" cy="34290"/>
                          </a:xfrm>
                          <a:custGeom>
                            <a:avLst/>
                            <a:gdLst/>
                            <a:ahLst/>
                            <a:cxnLst/>
                            <a:rect l="l" t="t" r="r" b="b"/>
                            <a:pathLst>
                              <a:path w="1020444" h="34290">
                                <a:moveTo>
                                  <a:pt x="1020127" y="25717"/>
                                </a:moveTo>
                                <a:lnTo>
                                  <a:pt x="908685" y="25717"/>
                                </a:lnTo>
                                <a:lnTo>
                                  <a:pt x="68580" y="25717"/>
                                </a:lnTo>
                                <a:lnTo>
                                  <a:pt x="0" y="25717"/>
                                </a:lnTo>
                                <a:lnTo>
                                  <a:pt x="0" y="34290"/>
                                </a:lnTo>
                                <a:lnTo>
                                  <a:pt x="68580" y="34290"/>
                                </a:lnTo>
                                <a:lnTo>
                                  <a:pt x="908685" y="34290"/>
                                </a:lnTo>
                                <a:lnTo>
                                  <a:pt x="1020127" y="34290"/>
                                </a:lnTo>
                                <a:lnTo>
                                  <a:pt x="1020127" y="25717"/>
                                </a:lnTo>
                                <a:close/>
                              </a:path>
                              <a:path w="1020444" h="34290">
                                <a:moveTo>
                                  <a:pt x="1020127" y="0"/>
                                </a:moveTo>
                                <a:lnTo>
                                  <a:pt x="908685" y="0"/>
                                </a:lnTo>
                                <a:lnTo>
                                  <a:pt x="68580" y="0"/>
                                </a:lnTo>
                                <a:lnTo>
                                  <a:pt x="0" y="0"/>
                                </a:lnTo>
                                <a:lnTo>
                                  <a:pt x="0" y="8572"/>
                                </a:lnTo>
                                <a:lnTo>
                                  <a:pt x="68580" y="8572"/>
                                </a:lnTo>
                                <a:lnTo>
                                  <a:pt x="908685" y="8572"/>
                                </a:lnTo>
                                <a:lnTo>
                                  <a:pt x="1020127" y="8572"/>
                                </a:lnTo>
                                <a:lnTo>
                                  <a:pt x="10201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350pt;height:2.7pt;mso-position-horizontal-relative:char;mso-position-vertical-relative:line" id="docshapegroup550" coordorigin="0,0" coordsize="1607,54">
                <v:shape style="position:absolute;left:-1;top:-1;width:1607;height:54" id="docshape551" coordorigin="0,0" coordsize="1607,54" path="m1606,40l1431,40,108,40,0,40,0,54,108,54,1431,54,1606,54,1606,40xm1606,0l1431,0,108,0,0,0,0,13,108,13,1431,13,1606,13,1606,0xe" filled="true" fillcolor="#000000" stroked="false">
                  <v:path arrowok="t"/>
                  <v:fill type="solid"/>
                </v:shape>
              </v:group>
            </w:pict>
          </mc:Fallback>
        </mc:AlternateContent>
      </w:r>
      <w:r>
        <w:rPr>
          <w:spacing w:val="76"/>
          <w:position w:val="0"/>
          <w:sz w:val="5"/>
        </w:rPr>
      </w:r>
      <w:r>
        <w:rPr>
          <w:spacing w:val="58"/>
          <w:position w:val="0"/>
          <w:sz w:val="5"/>
        </w:rPr>
        <w:t> </w:t>
      </w:r>
      <w:r>
        <w:rPr>
          <w:spacing w:val="58"/>
          <w:position w:val="0"/>
          <w:sz w:val="5"/>
        </w:rPr>
        <mc:AlternateContent>
          <mc:Choice Requires="wps">
            <w:drawing>
              <wp:inline distT="0" distB="0" distL="0" distR="0">
                <wp:extent cx="1020444" cy="34290"/>
                <wp:effectExtent l="0" t="0" r="0" b="0"/>
                <wp:docPr id="554" name="Group 554"/>
                <wp:cNvGraphicFramePr>
                  <a:graphicFrameLocks/>
                </wp:cNvGraphicFramePr>
                <a:graphic>
                  <a:graphicData uri="http://schemas.microsoft.com/office/word/2010/wordprocessingGroup">
                    <wpg:wgp>
                      <wpg:cNvPr id="554" name="Group 554"/>
                      <wpg:cNvGrpSpPr/>
                      <wpg:grpSpPr>
                        <a:xfrm>
                          <a:off x="0" y="0"/>
                          <a:ext cx="1020444" cy="34290"/>
                          <a:chExt cx="1020444" cy="34290"/>
                        </a:xfrm>
                      </wpg:grpSpPr>
                      <wps:wsp>
                        <wps:cNvPr id="555" name="Graphic 555"/>
                        <wps:cNvSpPr/>
                        <wps:spPr>
                          <a:xfrm>
                            <a:off x="-11" y="-6"/>
                            <a:ext cx="1020444" cy="34290"/>
                          </a:xfrm>
                          <a:custGeom>
                            <a:avLst/>
                            <a:gdLst/>
                            <a:ahLst/>
                            <a:cxnLst/>
                            <a:rect l="l" t="t" r="r" b="b"/>
                            <a:pathLst>
                              <a:path w="1020444" h="34290">
                                <a:moveTo>
                                  <a:pt x="1020127" y="25717"/>
                                </a:moveTo>
                                <a:lnTo>
                                  <a:pt x="908685" y="25717"/>
                                </a:lnTo>
                                <a:lnTo>
                                  <a:pt x="68580" y="25717"/>
                                </a:lnTo>
                                <a:lnTo>
                                  <a:pt x="0" y="25717"/>
                                </a:lnTo>
                                <a:lnTo>
                                  <a:pt x="0" y="34290"/>
                                </a:lnTo>
                                <a:lnTo>
                                  <a:pt x="68580" y="34290"/>
                                </a:lnTo>
                                <a:lnTo>
                                  <a:pt x="908685" y="34290"/>
                                </a:lnTo>
                                <a:lnTo>
                                  <a:pt x="1020127" y="34290"/>
                                </a:lnTo>
                                <a:lnTo>
                                  <a:pt x="1020127" y="25717"/>
                                </a:lnTo>
                                <a:close/>
                              </a:path>
                              <a:path w="1020444" h="34290">
                                <a:moveTo>
                                  <a:pt x="1020127" y="0"/>
                                </a:moveTo>
                                <a:lnTo>
                                  <a:pt x="908685" y="0"/>
                                </a:lnTo>
                                <a:lnTo>
                                  <a:pt x="68580" y="0"/>
                                </a:lnTo>
                                <a:lnTo>
                                  <a:pt x="0" y="0"/>
                                </a:lnTo>
                                <a:lnTo>
                                  <a:pt x="0" y="8572"/>
                                </a:lnTo>
                                <a:lnTo>
                                  <a:pt x="68580" y="8572"/>
                                </a:lnTo>
                                <a:lnTo>
                                  <a:pt x="908685" y="8572"/>
                                </a:lnTo>
                                <a:lnTo>
                                  <a:pt x="1020127" y="8572"/>
                                </a:lnTo>
                                <a:lnTo>
                                  <a:pt x="10201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350pt;height:2.7pt;mso-position-horizontal-relative:char;mso-position-vertical-relative:line" id="docshapegroup552" coordorigin="0,0" coordsize="1607,54">
                <v:shape style="position:absolute;left:-1;top:-1;width:1607;height:54" id="docshape553" coordorigin="0,0" coordsize="1607,54" path="m1606,40l1431,40,108,40,0,40,0,54,108,54,1431,54,1606,54,1606,40xm1606,0l1431,0,108,0,0,0,0,13,108,13,1431,13,1606,13,1606,0xe" filled="true" fillcolor="#000000" stroked="false">
                  <v:path arrowok="t"/>
                  <v:fill type="solid"/>
                </v:shape>
              </v:group>
            </w:pict>
          </mc:Fallback>
        </mc:AlternateContent>
      </w:r>
      <w:r>
        <w:rPr>
          <w:spacing w:val="58"/>
          <w:position w:val="0"/>
          <w:sz w:val="5"/>
        </w:rPr>
      </w:r>
    </w:p>
    <w:p>
      <w:pPr>
        <w:pStyle w:val="BodyText"/>
        <w:spacing w:before="5"/>
        <w:rPr>
          <w:b/>
        </w:rPr>
      </w:pPr>
    </w:p>
    <w:p>
      <w:pPr>
        <w:spacing w:after="0"/>
        <w:sectPr>
          <w:pgSz w:w="12240" w:h="15840"/>
          <w:pgMar w:top="1180" w:bottom="280" w:left="220" w:right="240"/>
        </w:sectPr>
      </w:pPr>
    </w:p>
    <w:p>
      <w:pPr>
        <w:pStyle w:val="BodyText"/>
        <w:spacing w:before="92"/>
        <w:ind w:left="144"/>
      </w:pPr>
      <w:r>
        <w:rPr/>
        <w:t>The</w:t>
      </w:r>
      <w:r>
        <w:rPr>
          <w:spacing w:val="-3"/>
        </w:rPr>
        <w:t> </w:t>
      </w:r>
      <w:r>
        <w:rPr/>
        <w:t>tax-effected</w:t>
      </w:r>
      <w:r>
        <w:rPr>
          <w:spacing w:val="-2"/>
        </w:rPr>
        <w:t> </w:t>
      </w:r>
      <w:r>
        <w:rPr/>
        <w:t>components</w:t>
      </w:r>
      <w:r>
        <w:rPr>
          <w:spacing w:val="-2"/>
        </w:rPr>
        <w:t> </w:t>
      </w:r>
      <w:r>
        <w:rPr/>
        <w:t>of</w:t>
      </w:r>
      <w:r>
        <w:rPr>
          <w:spacing w:val="-2"/>
        </w:rPr>
        <w:t> </w:t>
      </w:r>
      <w:r>
        <w:rPr/>
        <w:t>the</w:t>
      </w:r>
      <w:r>
        <w:rPr>
          <w:spacing w:val="-2"/>
        </w:rPr>
        <w:t> </w:t>
      </w:r>
      <w:r>
        <w:rPr/>
        <w:t>Company’s</w:t>
      </w:r>
      <w:r>
        <w:rPr>
          <w:spacing w:val="-2"/>
        </w:rPr>
        <w:t> </w:t>
      </w:r>
      <w:r>
        <w:rPr/>
        <w:t>net</w:t>
      </w:r>
      <w:r>
        <w:rPr>
          <w:spacing w:val="-3"/>
        </w:rPr>
        <w:t> </w:t>
      </w:r>
      <w:r>
        <w:rPr/>
        <w:t>deferred</w:t>
      </w:r>
      <w:r>
        <w:rPr>
          <w:spacing w:val="-2"/>
        </w:rPr>
        <w:t> </w:t>
      </w:r>
      <w:r>
        <w:rPr/>
        <w:t>tax</w:t>
      </w:r>
      <w:r>
        <w:rPr>
          <w:spacing w:val="-2"/>
        </w:rPr>
        <w:t> </w:t>
      </w:r>
      <w:r>
        <w:rPr/>
        <w:t>liability</w:t>
      </w:r>
      <w:r>
        <w:rPr>
          <w:spacing w:val="-2"/>
        </w:rPr>
        <w:t> </w:t>
      </w:r>
      <w:r>
        <w:rPr/>
        <w:t>are</w:t>
      </w:r>
      <w:r>
        <w:rPr>
          <w:spacing w:val="-2"/>
        </w:rPr>
        <w:t> </w:t>
      </w:r>
      <w:r>
        <w:rPr/>
        <w:t>as</w:t>
      </w:r>
      <w:r>
        <w:rPr>
          <w:spacing w:val="-2"/>
        </w:rPr>
        <w:t> follows:</w:t>
      </w:r>
    </w:p>
    <w:p>
      <w:pPr>
        <w:spacing w:line="240" w:lineRule="auto" w:before="142"/>
        <w:rPr>
          <w:sz w:val="18"/>
        </w:rPr>
      </w:pPr>
      <w:r>
        <w:rPr/>
        <w:br w:type="column"/>
      </w:r>
      <w:r>
        <w:rPr>
          <w:sz w:val="18"/>
        </w:rPr>
      </w:r>
    </w:p>
    <w:p>
      <w:pPr>
        <w:pStyle w:val="Heading5"/>
        <w:ind w:left="0" w:right="591"/>
      </w:pPr>
      <w:r>
        <w:rPr/>
        <w:t>December</w:t>
      </w:r>
      <w:r>
        <w:rPr>
          <w:spacing w:val="-4"/>
        </w:rPr>
        <w:t> </w:t>
      </w:r>
      <w:r>
        <w:rPr>
          <w:spacing w:val="-5"/>
        </w:rPr>
        <w:t>31,</w:t>
      </w:r>
    </w:p>
    <w:p>
      <w:pPr>
        <w:pStyle w:val="BodyText"/>
        <w:spacing w:before="5"/>
        <w:rPr>
          <w:b/>
          <w:sz w:val="2"/>
        </w:rPr>
      </w:pPr>
    </w:p>
    <w:p>
      <w:pPr>
        <w:pStyle w:val="BodyText"/>
        <w:spacing w:line="20" w:lineRule="exact"/>
        <w:ind w:left="-437"/>
        <w:rPr>
          <w:sz w:val="2"/>
        </w:rPr>
      </w:pPr>
      <w:r>
        <w:rPr>
          <w:sz w:val="2"/>
        </w:rPr>
        <mc:AlternateContent>
          <mc:Choice Requires="wps">
            <w:drawing>
              <wp:inline distT="0" distB="0" distL="0" distR="0">
                <wp:extent cx="1997710" cy="8890"/>
                <wp:effectExtent l="0" t="0" r="0" b="0"/>
                <wp:docPr id="556" name="Group 556"/>
                <wp:cNvGraphicFramePr>
                  <a:graphicFrameLocks/>
                </wp:cNvGraphicFramePr>
                <a:graphic>
                  <a:graphicData uri="http://schemas.microsoft.com/office/word/2010/wordprocessingGroup">
                    <wpg:wgp>
                      <wpg:cNvPr id="556" name="Group 556"/>
                      <wpg:cNvGrpSpPr/>
                      <wpg:grpSpPr>
                        <a:xfrm>
                          <a:off x="0" y="0"/>
                          <a:ext cx="1997710" cy="8890"/>
                          <a:chExt cx="1997710" cy="8890"/>
                        </a:xfrm>
                      </wpg:grpSpPr>
                      <wps:wsp>
                        <wps:cNvPr id="557" name="Graphic 557"/>
                        <wps:cNvSpPr/>
                        <wps:spPr>
                          <a:xfrm>
                            <a:off x="-12" y="-6"/>
                            <a:ext cx="1997710" cy="8890"/>
                          </a:xfrm>
                          <a:custGeom>
                            <a:avLst/>
                            <a:gdLst/>
                            <a:ahLst/>
                            <a:cxnLst/>
                            <a:rect l="l" t="t" r="r" b="b"/>
                            <a:pathLst>
                              <a:path w="1997710" h="8890">
                                <a:moveTo>
                                  <a:pt x="1997392" y="0"/>
                                </a:moveTo>
                                <a:lnTo>
                                  <a:pt x="1997392" y="0"/>
                                </a:lnTo>
                                <a:lnTo>
                                  <a:pt x="0" y="0"/>
                                </a:lnTo>
                                <a:lnTo>
                                  <a:pt x="0" y="8572"/>
                                </a:lnTo>
                                <a:lnTo>
                                  <a:pt x="1997392" y="8572"/>
                                </a:lnTo>
                                <a:lnTo>
                                  <a:pt x="1997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7.3pt;height:.7pt;mso-position-horizontal-relative:char;mso-position-vertical-relative:line" id="docshapegroup554" coordorigin="0,0" coordsize="3146,14">
                <v:rect style="position:absolute;left:-1;top:-1;width:3146;height:14" id="docshape555" filled="true" fillcolor="#000000" stroked="false">
                  <v:fill type="solid"/>
                </v:rect>
              </v:group>
            </w:pict>
          </mc:Fallback>
        </mc:AlternateContent>
      </w:r>
      <w:r>
        <w:rPr>
          <w:sz w:val="2"/>
        </w:rPr>
      </w:r>
    </w:p>
    <w:p>
      <w:pPr>
        <w:tabs>
          <w:tab w:pos="1626" w:val="left" w:leader="none"/>
        </w:tabs>
        <w:spacing w:before="15"/>
        <w:ind w:left="0" w:right="592" w:firstLine="0"/>
        <w:jc w:val="center"/>
        <w:rPr>
          <w:b/>
          <w:sz w:val="18"/>
        </w:rPr>
      </w:pPr>
      <w:r>
        <w:rPr>
          <w:b/>
          <w:spacing w:val="-4"/>
          <w:sz w:val="18"/>
        </w:rPr>
        <w:t>2022</w:t>
      </w:r>
      <w:r>
        <w:rPr>
          <w:b/>
          <w:sz w:val="18"/>
        </w:rPr>
        <w:tab/>
      </w:r>
      <w:r>
        <w:rPr>
          <w:b/>
          <w:spacing w:val="-4"/>
          <w:sz w:val="18"/>
        </w:rPr>
        <w:t>2021</w:t>
      </w:r>
    </w:p>
    <w:p>
      <w:pPr>
        <w:spacing w:after="0"/>
        <w:jc w:val="center"/>
        <w:rPr>
          <w:sz w:val="18"/>
        </w:rPr>
        <w:sectPr>
          <w:type w:val="continuous"/>
          <w:pgSz w:w="12240" w:h="15840"/>
          <w:pgMar w:top="1040" w:bottom="280" w:left="220" w:right="240"/>
          <w:cols w:num="2" w:equalWidth="0">
            <w:col w:w="6478" w:space="2432"/>
            <w:col w:w="2870"/>
          </w:cols>
        </w:sectPr>
      </w:pPr>
    </w:p>
    <w:p>
      <w:pPr>
        <w:pStyle w:val="BodyText"/>
        <w:spacing w:before="7"/>
        <w:rPr>
          <w:b/>
          <w:sz w:val="3"/>
        </w:rPr>
      </w:pPr>
    </w:p>
    <w:p>
      <w:pPr>
        <w:pStyle w:val="BodyText"/>
        <w:spacing w:line="20" w:lineRule="exact"/>
        <w:ind w:left="8474"/>
        <w:rPr>
          <w:sz w:val="2"/>
        </w:rPr>
      </w:pPr>
      <w:r>
        <w:rPr>
          <w:sz w:val="2"/>
        </w:rPr>
        <mc:AlternateContent>
          <mc:Choice Requires="wps">
            <w:drawing>
              <wp:inline distT="0" distB="0" distL="0" distR="0">
                <wp:extent cx="1997710" cy="8890"/>
                <wp:effectExtent l="0" t="0" r="0" b="0"/>
                <wp:docPr id="558" name="Group 558"/>
                <wp:cNvGraphicFramePr>
                  <a:graphicFrameLocks/>
                </wp:cNvGraphicFramePr>
                <a:graphic>
                  <a:graphicData uri="http://schemas.microsoft.com/office/word/2010/wordprocessingGroup">
                    <wpg:wgp>
                      <wpg:cNvPr id="558" name="Group 558"/>
                      <wpg:cNvGrpSpPr/>
                      <wpg:grpSpPr>
                        <a:xfrm>
                          <a:off x="0" y="0"/>
                          <a:ext cx="1997710" cy="8890"/>
                          <a:chExt cx="1997710" cy="8890"/>
                        </a:xfrm>
                      </wpg:grpSpPr>
                      <wps:wsp>
                        <wps:cNvPr id="559" name="Graphic 559"/>
                        <wps:cNvSpPr/>
                        <wps:spPr>
                          <a:xfrm>
                            <a:off x="-12" y="-6"/>
                            <a:ext cx="1997710" cy="8890"/>
                          </a:xfrm>
                          <a:custGeom>
                            <a:avLst/>
                            <a:gdLst/>
                            <a:ahLst/>
                            <a:cxnLst/>
                            <a:rect l="l" t="t" r="r" b="b"/>
                            <a:pathLst>
                              <a:path w="1997710" h="8890">
                                <a:moveTo>
                                  <a:pt x="1997392" y="0"/>
                                </a:moveTo>
                                <a:lnTo>
                                  <a:pt x="1997392" y="0"/>
                                </a:lnTo>
                                <a:lnTo>
                                  <a:pt x="0" y="0"/>
                                </a:lnTo>
                                <a:lnTo>
                                  <a:pt x="0" y="8572"/>
                                </a:lnTo>
                                <a:lnTo>
                                  <a:pt x="1997392" y="8572"/>
                                </a:lnTo>
                                <a:lnTo>
                                  <a:pt x="1997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7.3pt;height:.7pt;mso-position-horizontal-relative:char;mso-position-vertical-relative:line" id="docshapegroup556" coordorigin="0,0" coordsize="3146,14">
                <v:rect style="position:absolute;left:-1;top:-1;width:3146;height:14" id="docshape557" filled="true" fillcolor="#000000" stroked="false">
                  <v:fill type="solid"/>
                </v:rect>
              </v:group>
            </w:pict>
          </mc:Fallback>
        </mc:AlternateContent>
      </w:r>
      <w:r>
        <w:rPr>
          <w:sz w:val="2"/>
        </w:rPr>
      </w:r>
    </w:p>
    <w:p>
      <w:pPr>
        <w:tabs>
          <w:tab w:pos="9610" w:val="left" w:leader="none"/>
        </w:tabs>
        <w:spacing w:before="1" w:after="29"/>
        <w:ind w:left="162" w:right="0" w:firstLine="0"/>
        <w:jc w:val="left"/>
        <w:rPr>
          <w:b/>
          <w:i/>
          <w:sz w:val="14"/>
        </w:rPr>
      </w:pPr>
      <w:r>
        <w:rPr>
          <w:sz w:val="18"/>
        </w:rPr>
        <w:t>Deferred</w:t>
      </w:r>
      <w:r>
        <w:rPr>
          <w:spacing w:val="-1"/>
          <w:sz w:val="18"/>
        </w:rPr>
        <w:t> </w:t>
      </w:r>
      <w:r>
        <w:rPr>
          <w:sz w:val="18"/>
        </w:rPr>
        <w:t>tax</w:t>
      </w:r>
      <w:r>
        <w:rPr>
          <w:spacing w:val="-1"/>
          <w:sz w:val="18"/>
        </w:rPr>
        <w:t> </w:t>
      </w:r>
      <w:r>
        <w:rPr>
          <w:sz w:val="18"/>
        </w:rPr>
        <w:t>assets</w:t>
      </w:r>
      <w:r>
        <w:rPr>
          <w:spacing w:val="-1"/>
          <w:sz w:val="18"/>
        </w:rPr>
        <w:t> </w:t>
      </w:r>
      <w:r>
        <w:rPr>
          <w:sz w:val="18"/>
        </w:rPr>
        <w:t>–</w:t>
      </w:r>
      <w:r>
        <w:rPr>
          <w:spacing w:val="-1"/>
          <w:sz w:val="18"/>
        </w:rPr>
        <w:t> </w:t>
      </w:r>
      <w:r>
        <w:rPr>
          <w:sz w:val="18"/>
        </w:rPr>
        <w:t>federal</w:t>
      </w:r>
      <w:r>
        <w:rPr>
          <w:spacing w:val="-1"/>
          <w:sz w:val="18"/>
        </w:rPr>
        <w:t> </w:t>
      </w:r>
      <w:r>
        <w:rPr>
          <w:sz w:val="18"/>
        </w:rPr>
        <w:t>and</w:t>
      </w:r>
      <w:r>
        <w:rPr>
          <w:spacing w:val="-1"/>
          <w:sz w:val="18"/>
        </w:rPr>
        <w:t> </w:t>
      </w:r>
      <w:r>
        <w:rPr>
          <w:spacing w:val="-2"/>
          <w:sz w:val="18"/>
        </w:rPr>
        <w:t>state:</w:t>
      </w:r>
      <w:r>
        <w:rPr>
          <w:sz w:val="18"/>
        </w:rPr>
        <w:tab/>
      </w: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2"/>
        <w:gridCol w:w="4188"/>
        <w:gridCol w:w="1618"/>
      </w:tblGrid>
      <w:tr>
        <w:trPr>
          <w:trHeight w:val="256" w:hRule="atLeast"/>
        </w:trPr>
        <w:tc>
          <w:tcPr>
            <w:tcW w:w="5712" w:type="dxa"/>
            <w:shd w:val="clear" w:color="auto" w:fill="CCEDFF"/>
          </w:tcPr>
          <w:p>
            <w:pPr>
              <w:pStyle w:val="TableParagraph"/>
              <w:ind w:left="217"/>
              <w:rPr>
                <w:sz w:val="18"/>
              </w:rPr>
            </w:pPr>
            <w:r>
              <w:rPr>
                <w:sz w:val="18"/>
              </w:rPr>
              <w:t>Net</w:t>
            </w:r>
            <w:r>
              <w:rPr>
                <w:spacing w:val="-3"/>
                <w:sz w:val="18"/>
              </w:rPr>
              <w:t> </w:t>
            </w:r>
            <w:r>
              <w:rPr>
                <w:sz w:val="18"/>
              </w:rPr>
              <w:t>operating</w:t>
            </w:r>
            <w:r>
              <w:rPr>
                <w:spacing w:val="-1"/>
                <w:sz w:val="18"/>
              </w:rPr>
              <w:t> </w:t>
            </w:r>
            <w:r>
              <w:rPr>
                <w:sz w:val="18"/>
              </w:rPr>
              <w:t>loss</w:t>
            </w:r>
            <w:r>
              <w:rPr>
                <w:spacing w:val="-1"/>
                <w:sz w:val="18"/>
              </w:rPr>
              <w:t> </w:t>
            </w:r>
            <w:r>
              <w:rPr>
                <w:spacing w:val="-2"/>
                <w:sz w:val="18"/>
              </w:rPr>
              <w:t>carryforward</w:t>
            </w:r>
          </w:p>
        </w:tc>
        <w:tc>
          <w:tcPr>
            <w:tcW w:w="4188" w:type="dxa"/>
            <w:shd w:val="clear" w:color="auto" w:fill="CCEDFF"/>
          </w:tcPr>
          <w:p>
            <w:pPr>
              <w:pStyle w:val="TableParagraph"/>
              <w:tabs>
                <w:tab w:pos="940" w:val="left" w:leader="none"/>
              </w:tabs>
              <w:ind w:right="117"/>
              <w:jc w:val="right"/>
              <w:rPr>
                <w:sz w:val="18"/>
              </w:rPr>
            </w:pPr>
            <w:r>
              <w:rPr>
                <w:spacing w:val="-10"/>
                <w:sz w:val="18"/>
              </w:rPr>
              <w:t>$</w:t>
            </w:r>
            <w:r>
              <w:rPr>
                <w:sz w:val="18"/>
              </w:rPr>
              <w:tab/>
            </w:r>
            <w:r>
              <w:rPr>
                <w:spacing w:val="-2"/>
                <w:sz w:val="18"/>
              </w:rPr>
              <w:t>23,151</w:t>
            </w:r>
          </w:p>
        </w:tc>
        <w:tc>
          <w:tcPr>
            <w:tcW w:w="1618" w:type="dxa"/>
            <w:shd w:val="clear" w:color="auto" w:fill="CCEDFF"/>
          </w:tcPr>
          <w:p>
            <w:pPr>
              <w:pStyle w:val="TableParagraph"/>
              <w:tabs>
                <w:tab w:pos="940" w:val="left" w:leader="none"/>
              </w:tabs>
              <w:ind w:right="108"/>
              <w:jc w:val="right"/>
              <w:rPr>
                <w:sz w:val="18"/>
              </w:rPr>
            </w:pPr>
            <w:r>
              <w:rPr>
                <w:spacing w:val="-10"/>
                <w:sz w:val="18"/>
              </w:rPr>
              <w:t>$</w:t>
            </w:r>
            <w:r>
              <w:rPr>
                <w:sz w:val="18"/>
              </w:rPr>
              <w:tab/>
            </w:r>
            <w:r>
              <w:rPr>
                <w:spacing w:val="-2"/>
                <w:sz w:val="18"/>
              </w:rPr>
              <w:t>35,350</w:t>
            </w:r>
          </w:p>
        </w:tc>
      </w:tr>
      <w:tr>
        <w:trPr>
          <w:trHeight w:val="269" w:hRule="atLeast"/>
        </w:trPr>
        <w:tc>
          <w:tcPr>
            <w:tcW w:w="5712" w:type="dxa"/>
          </w:tcPr>
          <w:p>
            <w:pPr>
              <w:pStyle w:val="TableParagraph"/>
              <w:ind w:left="217"/>
              <w:rPr>
                <w:sz w:val="18"/>
              </w:rPr>
            </w:pPr>
            <w:r>
              <w:rPr>
                <w:sz w:val="18"/>
              </w:rPr>
              <w:t>Accruals,</w:t>
            </w:r>
            <w:r>
              <w:rPr>
                <w:spacing w:val="-1"/>
                <w:sz w:val="18"/>
              </w:rPr>
              <w:t> </w:t>
            </w:r>
            <w:r>
              <w:rPr>
                <w:sz w:val="18"/>
              </w:rPr>
              <w:t>reserves</w:t>
            </w:r>
            <w:r>
              <w:rPr>
                <w:spacing w:val="-1"/>
                <w:sz w:val="18"/>
              </w:rPr>
              <w:t> </w:t>
            </w:r>
            <w:r>
              <w:rPr>
                <w:sz w:val="18"/>
              </w:rPr>
              <w:t>and</w:t>
            </w:r>
            <w:r>
              <w:rPr>
                <w:spacing w:val="-1"/>
                <w:sz w:val="18"/>
              </w:rPr>
              <w:t> </w:t>
            </w:r>
            <w:r>
              <w:rPr>
                <w:spacing w:val="-2"/>
                <w:sz w:val="18"/>
              </w:rPr>
              <w:t>other</w:t>
            </w:r>
          </w:p>
        </w:tc>
        <w:tc>
          <w:tcPr>
            <w:tcW w:w="4188" w:type="dxa"/>
          </w:tcPr>
          <w:p>
            <w:pPr>
              <w:pStyle w:val="TableParagraph"/>
              <w:ind w:right="116"/>
              <w:jc w:val="right"/>
              <w:rPr>
                <w:sz w:val="18"/>
              </w:rPr>
            </w:pPr>
            <w:r>
              <w:rPr>
                <w:spacing w:val="-2"/>
                <w:sz w:val="18"/>
              </w:rPr>
              <w:t>9,481</w:t>
            </w:r>
          </w:p>
        </w:tc>
        <w:tc>
          <w:tcPr>
            <w:tcW w:w="1618" w:type="dxa"/>
          </w:tcPr>
          <w:p>
            <w:pPr>
              <w:pStyle w:val="TableParagraph"/>
              <w:ind w:right="108"/>
              <w:jc w:val="right"/>
              <w:rPr>
                <w:sz w:val="18"/>
              </w:rPr>
            </w:pPr>
            <w:r>
              <w:rPr>
                <w:spacing w:val="-2"/>
                <w:sz w:val="18"/>
              </w:rPr>
              <w:t>39,163</w:t>
            </w:r>
          </w:p>
        </w:tc>
      </w:tr>
      <w:tr>
        <w:trPr>
          <w:trHeight w:val="256" w:hRule="atLeast"/>
        </w:trPr>
        <w:tc>
          <w:tcPr>
            <w:tcW w:w="5712" w:type="dxa"/>
            <w:shd w:val="clear" w:color="auto" w:fill="CCEDFF"/>
          </w:tcPr>
          <w:p>
            <w:pPr>
              <w:pStyle w:val="TableParagraph"/>
              <w:ind w:left="217"/>
              <w:rPr>
                <w:sz w:val="18"/>
              </w:rPr>
            </w:pPr>
            <w:r>
              <w:rPr>
                <w:sz w:val="18"/>
              </w:rPr>
              <w:t>Lease</w:t>
            </w:r>
            <w:r>
              <w:rPr>
                <w:spacing w:val="-1"/>
                <w:sz w:val="18"/>
              </w:rPr>
              <w:t> </w:t>
            </w:r>
            <w:r>
              <w:rPr>
                <w:spacing w:val="-2"/>
                <w:sz w:val="18"/>
              </w:rPr>
              <w:t>liabilities</w:t>
            </w:r>
          </w:p>
        </w:tc>
        <w:tc>
          <w:tcPr>
            <w:tcW w:w="4188" w:type="dxa"/>
            <w:shd w:val="clear" w:color="auto" w:fill="CCEDFF"/>
          </w:tcPr>
          <w:p>
            <w:pPr>
              <w:pStyle w:val="TableParagraph"/>
              <w:ind w:right="116"/>
              <w:jc w:val="right"/>
              <w:rPr>
                <w:sz w:val="18"/>
              </w:rPr>
            </w:pPr>
            <w:r>
              <w:rPr>
                <w:spacing w:val="-2"/>
                <w:sz w:val="18"/>
              </w:rPr>
              <w:t>5,830,582</w:t>
            </w:r>
          </w:p>
        </w:tc>
        <w:tc>
          <w:tcPr>
            <w:tcW w:w="1618" w:type="dxa"/>
            <w:shd w:val="clear" w:color="auto" w:fill="CCEDFF"/>
          </w:tcPr>
          <w:p>
            <w:pPr>
              <w:pStyle w:val="TableParagraph"/>
              <w:ind w:right="108"/>
              <w:jc w:val="right"/>
              <w:rPr>
                <w:sz w:val="18"/>
              </w:rPr>
            </w:pPr>
            <w:r>
              <w:rPr>
                <w:spacing w:val="-2"/>
                <w:sz w:val="18"/>
              </w:rPr>
              <w:t>2,714,308</w:t>
            </w:r>
          </w:p>
        </w:tc>
      </w:tr>
      <w:tr>
        <w:trPr>
          <w:trHeight w:val="255" w:hRule="atLeast"/>
        </w:trPr>
        <w:tc>
          <w:tcPr>
            <w:tcW w:w="5712" w:type="dxa"/>
          </w:tcPr>
          <w:p>
            <w:pPr>
              <w:pStyle w:val="TableParagraph"/>
              <w:ind w:left="217"/>
              <w:rPr>
                <w:sz w:val="18"/>
              </w:rPr>
            </w:pPr>
            <w:r>
              <w:rPr>
                <w:spacing w:val="-2"/>
                <w:sz w:val="18"/>
              </w:rPr>
              <w:t>Tax</w:t>
            </w:r>
            <w:r>
              <w:rPr>
                <w:spacing w:val="-8"/>
                <w:sz w:val="18"/>
              </w:rPr>
              <w:t> </w:t>
            </w:r>
            <w:r>
              <w:rPr>
                <w:spacing w:val="-2"/>
                <w:sz w:val="18"/>
              </w:rPr>
              <w:t>credits</w:t>
            </w:r>
          </w:p>
        </w:tc>
        <w:tc>
          <w:tcPr>
            <w:tcW w:w="4188" w:type="dxa"/>
            <w:tcBorders>
              <w:bottom w:val="single" w:sz="6" w:space="0" w:color="000000"/>
            </w:tcBorders>
          </w:tcPr>
          <w:p>
            <w:pPr>
              <w:pStyle w:val="TableParagraph"/>
              <w:ind w:right="116"/>
              <w:jc w:val="right"/>
              <w:rPr>
                <w:sz w:val="18"/>
              </w:rPr>
            </w:pPr>
            <w:r>
              <w:rPr>
                <w:spacing w:val="-2"/>
                <w:sz w:val="18"/>
              </w:rPr>
              <w:t>2,764,266</w:t>
            </w:r>
          </w:p>
        </w:tc>
        <w:tc>
          <w:tcPr>
            <w:tcW w:w="1618" w:type="dxa"/>
            <w:tcBorders>
              <w:bottom w:val="single" w:sz="6" w:space="0" w:color="000000"/>
            </w:tcBorders>
          </w:tcPr>
          <w:p>
            <w:pPr>
              <w:pStyle w:val="TableParagraph"/>
              <w:ind w:right="108"/>
              <w:jc w:val="right"/>
              <w:rPr>
                <w:sz w:val="18"/>
              </w:rPr>
            </w:pPr>
            <w:r>
              <w:rPr>
                <w:spacing w:val="-2"/>
                <w:sz w:val="18"/>
              </w:rPr>
              <w:t>3,060,733</w:t>
            </w:r>
          </w:p>
        </w:tc>
      </w:tr>
      <w:tr>
        <w:trPr>
          <w:trHeight w:val="255" w:hRule="atLeast"/>
        </w:trPr>
        <w:tc>
          <w:tcPr>
            <w:tcW w:w="5712" w:type="dxa"/>
            <w:shd w:val="clear" w:color="auto" w:fill="CCEDFF"/>
          </w:tcPr>
          <w:p>
            <w:pPr>
              <w:pStyle w:val="TableParagraph"/>
              <w:spacing w:before="0"/>
              <w:rPr>
                <w:sz w:val="16"/>
              </w:rPr>
            </w:pPr>
          </w:p>
        </w:tc>
        <w:tc>
          <w:tcPr>
            <w:tcW w:w="4188" w:type="dxa"/>
            <w:tcBorders>
              <w:top w:val="single" w:sz="6" w:space="0" w:color="000000"/>
            </w:tcBorders>
            <w:shd w:val="clear" w:color="auto" w:fill="CCEDFF"/>
          </w:tcPr>
          <w:p>
            <w:pPr>
              <w:pStyle w:val="TableParagraph"/>
              <w:spacing w:before="20"/>
              <w:ind w:right="116"/>
              <w:jc w:val="right"/>
              <w:rPr>
                <w:sz w:val="18"/>
              </w:rPr>
            </w:pPr>
            <w:r>
              <w:rPr>
                <w:spacing w:val="-2"/>
                <w:sz w:val="18"/>
              </w:rPr>
              <w:t>8,627,480</w:t>
            </w:r>
          </w:p>
        </w:tc>
        <w:tc>
          <w:tcPr>
            <w:tcW w:w="1618" w:type="dxa"/>
            <w:tcBorders>
              <w:top w:val="single" w:sz="6" w:space="0" w:color="000000"/>
            </w:tcBorders>
            <w:shd w:val="clear" w:color="auto" w:fill="CCEDFF"/>
          </w:tcPr>
          <w:p>
            <w:pPr>
              <w:pStyle w:val="TableParagraph"/>
              <w:spacing w:before="20"/>
              <w:ind w:right="108"/>
              <w:jc w:val="right"/>
              <w:rPr>
                <w:sz w:val="18"/>
              </w:rPr>
            </w:pPr>
            <w:r>
              <w:rPr>
                <w:spacing w:val="-2"/>
                <w:sz w:val="18"/>
              </w:rPr>
              <w:t>5,849,554</w:t>
            </w:r>
          </w:p>
        </w:tc>
      </w:tr>
      <w:tr>
        <w:trPr>
          <w:trHeight w:val="255" w:hRule="atLeast"/>
        </w:trPr>
        <w:tc>
          <w:tcPr>
            <w:tcW w:w="5712" w:type="dxa"/>
          </w:tcPr>
          <w:p>
            <w:pPr>
              <w:pStyle w:val="TableParagraph"/>
              <w:spacing w:line="201" w:lineRule="exact" w:before="34"/>
              <w:ind w:left="17"/>
              <w:rPr>
                <w:sz w:val="18"/>
              </w:rPr>
            </w:pPr>
            <w:r>
              <w:rPr>
                <w:spacing w:val="-2"/>
                <w:sz w:val="18"/>
              </w:rPr>
              <w:t>Less:</w:t>
            </w:r>
            <w:r>
              <w:rPr>
                <w:spacing w:val="-1"/>
                <w:sz w:val="18"/>
              </w:rPr>
              <w:t> </w:t>
            </w:r>
            <w:r>
              <w:rPr>
                <w:spacing w:val="-2"/>
                <w:sz w:val="18"/>
              </w:rPr>
              <w:t>Valuation</w:t>
            </w:r>
            <w:r>
              <w:rPr>
                <w:spacing w:val="4"/>
                <w:sz w:val="18"/>
              </w:rPr>
              <w:t> </w:t>
            </w:r>
            <w:r>
              <w:rPr>
                <w:spacing w:val="-2"/>
                <w:sz w:val="18"/>
              </w:rPr>
              <w:t>allowance</w:t>
            </w:r>
          </w:p>
        </w:tc>
        <w:tc>
          <w:tcPr>
            <w:tcW w:w="4188" w:type="dxa"/>
            <w:tcBorders>
              <w:bottom w:val="single" w:sz="6" w:space="0" w:color="000000"/>
            </w:tcBorders>
          </w:tcPr>
          <w:p>
            <w:pPr>
              <w:pStyle w:val="TableParagraph"/>
              <w:ind w:right="71"/>
              <w:jc w:val="right"/>
              <w:rPr>
                <w:sz w:val="18"/>
              </w:rPr>
            </w:pPr>
            <w:r>
              <w:rPr>
                <w:spacing w:val="-2"/>
                <w:sz w:val="18"/>
              </w:rPr>
              <w:t>(2,641,770)</w:t>
            </w:r>
          </w:p>
        </w:tc>
        <w:tc>
          <w:tcPr>
            <w:tcW w:w="1618" w:type="dxa"/>
            <w:tcBorders>
              <w:bottom w:val="single" w:sz="6" w:space="0" w:color="000000"/>
            </w:tcBorders>
          </w:tcPr>
          <w:p>
            <w:pPr>
              <w:pStyle w:val="TableParagraph"/>
              <w:ind w:right="63"/>
              <w:jc w:val="right"/>
              <w:rPr>
                <w:sz w:val="18"/>
              </w:rPr>
            </w:pPr>
            <w:r>
              <w:rPr>
                <w:spacing w:val="-2"/>
                <w:sz w:val="18"/>
              </w:rPr>
              <w:t>(2,735,451)</w:t>
            </w:r>
          </w:p>
        </w:tc>
      </w:tr>
      <w:tr>
        <w:trPr>
          <w:trHeight w:val="268" w:hRule="atLeast"/>
        </w:trPr>
        <w:tc>
          <w:tcPr>
            <w:tcW w:w="5712" w:type="dxa"/>
            <w:shd w:val="clear" w:color="auto" w:fill="CCEDFF"/>
          </w:tcPr>
          <w:p>
            <w:pPr>
              <w:pStyle w:val="TableParagraph"/>
              <w:spacing w:before="0"/>
              <w:rPr>
                <w:sz w:val="16"/>
              </w:rPr>
            </w:pPr>
          </w:p>
        </w:tc>
        <w:tc>
          <w:tcPr>
            <w:tcW w:w="4188" w:type="dxa"/>
            <w:tcBorders>
              <w:top w:val="single" w:sz="6" w:space="0" w:color="000000"/>
              <w:bottom w:val="single" w:sz="6" w:space="0" w:color="000000"/>
            </w:tcBorders>
            <w:shd w:val="clear" w:color="auto" w:fill="CCEDFF"/>
          </w:tcPr>
          <w:p>
            <w:pPr>
              <w:pStyle w:val="TableParagraph"/>
              <w:spacing w:before="20"/>
              <w:ind w:right="116"/>
              <w:jc w:val="right"/>
              <w:rPr>
                <w:sz w:val="18"/>
              </w:rPr>
            </w:pPr>
            <w:r>
              <w:rPr>
                <w:spacing w:val="-2"/>
                <w:sz w:val="18"/>
              </w:rPr>
              <w:t>5,985,710</w:t>
            </w:r>
          </w:p>
        </w:tc>
        <w:tc>
          <w:tcPr>
            <w:tcW w:w="1618" w:type="dxa"/>
            <w:tcBorders>
              <w:top w:val="single" w:sz="6" w:space="0" w:color="000000"/>
              <w:bottom w:val="single" w:sz="6" w:space="0" w:color="000000"/>
            </w:tcBorders>
            <w:shd w:val="clear" w:color="auto" w:fill="CCEDFF"/>
          </w:tcPr>
          <w:p>
            <w:pPr>
              <w:pStyle w:val="TableParagraph"/>
              <w:spacing w:before="20"/>
              <w:ind w:right="108"/>
              <w:jc w:val="right"/>
              <w:rPr>
                <w:sz w:val="18"/>
              </w:rPr>
            </w:pPr>
            <w:r>
              <w:rPr>
                <w:spacing w:val="-2"/>
                <w:sz w:val="18"/>
              </w:rPr>
              <w:t>3,114,103</w:t>
            </w:r>
          </w:p>
        </w:tc>
      </w:tr>
      <w:tr>
        <w:trPr>
          <w:trHeight w:val="242" w:hRule="atLeast"/>
        </w:trPr>
        <w:tc>
          <w:tcPr>
            <w:tcW w:w="5712" w:type="dxa"/>
          </w:tcPr>
          <w:p>
            <w:pPr>
              <w:pStyle w:val="TableParagraph"/>
              <w:spacing w:before="6"/>
              <w:ind w:left="17"/>
              <w:rPr>
                <w:sz w:val="18"/>
              </w:rPr>
            </w:pPr>
            <w:r>
              <w:rPr>
                <w:sz w:val="18"/>
              </w:rPr>
              <w:t>Deferred</w:t>
            </w:r>
            <w:r>
              <w:rPr>
                <w:spacing w:val="-1"/>
                <w:sz w:val="18"/>
              </w:rPr>
              <w:t> </w:t>
            </w:r>
            <w:r>
              <w:rPr>
                <w:sz w:val="18"/>
              </w:rPr>
              <w:t>tax</w:t>
            </w:r>
            <w:r>
              <w:rPr>
                <w:spacing w:val="-1"/>
                <w:sz w:val="18"/>
              </w:rPr>
              <w:t> </w:t>
            </w:r>
            <w:r>
              <w:rPr>
                <w:sz w:val="18"/>
              </w:rPr>
              <w:t>assets</w:t>
            </w:r>
            <w:r>
              <w:rPr>
                <w:spacing w:val="-1"/>
                <w:sz w:val="18"/>
              </w:rPr>
              <w:t> </w:t>
            </w:r>
            <w:r>
              <w:rPr>
                <w:sz w:val="18"/>
              </w:rPr>
              <w:t>–</w:t>
            </w:r>
            <w:r>
              <w:rPr>
                <w:spacing w:val="-1"/>
                <w:sz w:val="18"/>
              </w:rPr>
              <w:t> </w:t>
            </w:r>
            <w:r>
              <w:rPr>
                <w:spacing w:val="-2"/>
                <w:sz w:val="18"/>
              </w:rPr>
              <w:t>foreign:</w:t>
            </w:r>
          </w:p>
        </w:tc>
        <w:tc>
          <w:tcPr>
            <w:tcW w:w="4188" w:type="dxa"/>
            <w:tcBorders>
              <w:top w:val="single" w:sz="6" w:space="0" w:color="000000"/>
            </w:tcBorders>
          </w:tcPr>
          <w:p>
            <w:pPr>
              <w:pStyle w:val="TableParagraph"/>
              <w:spacing w:before="0"/>
              <w:rPr>
                <w:sz w:val="16"/>
              </w:rPr>
            </w:pPr>
          </w:p>
        </w:tc>
        <w:tc>
          <w:tcPr>
            <w:tcW w:w="1618" w:type="dxa"/>
            <w:tcBorders>
              <w:top w:val="single" w:sz="6" w:space="0" w:color="000000"/>
            </w:tcBorders>
          </w:tcPr>
          <w:p>
            <w:pPr>
              <w:pStyle w:val="TableParagraph"/>
              <w:spacing w:before="0"/>
              <w:rPr>
                <w:sz w:val="16"/>
              </w:rPr>
            </w:pPr>
          </w:p>
        </w:tc>
      </w:tr>
      <w:tr>
        <w:trPr>
          <w:trHeight w:val="256" w:hRule="atLeast"/>
        </w:trPr>
        <w:tc>
          <w:tcPr>
            <w:tcW w:w="5712" w:type="dxa"/>
            <w:shd w:val="clear" w:color="auto" w:fill="CCEDFF"/>
          </w:tcPr>
          <w:p>
            <w:pPr>
              <w:pStyle w:val="TableParagraph"/>
              <w:ind w:left="217"/>
              <w:rPr>
                <w:sz w:val="18"/>
              </w:rPr>
            </w:pPr>
            <w:r>
              <w:rPr>
                <w:sz w:val="18"/>
              </w:rPr>
              <w:t>Net</w:t>
            </w:r>
            <w:r>
              <w:rPr>
                <w:spacing w:val="-3"/>
                <w:sz w:val="18"/>
              </w:rPr>
              <w:t> </w:t>
            </w:r>
            <w:r>
              <w:rPr>
                <w:sz w:val="18"/>
              </w:rPr>
              <w:t>operating</w:t>
            </w:r>
            <w:r>
              <w:rPr>
                <w:spacing w:val="-1"/>
                <w:sz w:val="18"/>
              </w:rPr>
              <w:t> </w:t>
            </w:r>
            <w:r>
              <w:rPr>
                <w:sz w:val="18"/>
              </w:rPr>
              <w:t>loss</w:t>
            </w:r>
            <w:r>
              <w:rPr>
                <w:spacing w:val="-1"/>
                <w:sz w:val="18"/>
              </w:rPr>
              <w:t> </w:t>
            </w:r>
            <w:r>
              <w:rPr>
                <w:spacing w:val="-2"/>
                <w:sz w:val="18"/>
              </w:rPr>
              <w:t>carryforward</w:t>
            </w:r>
          </w:p>
        </w:tc>
        <w:tc>
          <w:tcPr>
            <w:tcW w:w="4188" w:type="dxa"/>
            <w:shd w:val="clear" w:color="auto" w:fill="CCEDFF"/>
          </w:tcPr>
          <w:p>
            <w:pPr>
              <w:pStyle w:val="TableParagraph"/>
              <w:ind w:right="116"/>
              <w:jc w:val="right"/>
              <w:rPr>
                <w:sz w:val="18"/>
              </w:rPr>
            </w:pPr>
            <w:r>
              <w:rPr>
                <w:spacing w:val="-2"/>
                <w:sz w:val="18"/>
              </w:rPr>
              <w:t>198,686</w:t>
            </w:r>
          </w:p>
        </w:tc>
        <w:tc>
          <w:tcPr>
            <w:tcW w:w="1618" w:type="dxa"/>
            <w:shd w:val="clear" w:color="auto" w:fill="CCEDFF"/>
          </w:tcPr>
          <w:p>
            <w:pPr>
              <w:pStyle w:val="TableParagraph"/>
              <w:ind w:right="108"/>
              <w:jc w:val="right"/>
              <w:rPr>
                <w:sz w:val="18"/>
              </w:rPr>
            </w:pPr>
            <w:r>
              <w:rPr>
                <w:spacing w:val="-2"/>
                <w:sz w:val="18"/>
              </w:rPr>
              <w:t>185,936</w:t>
            </w:r>
          </w:p>
        </w:tc>
      </w:tr>
      <w:tr>
        <w:trPr>
          <w:trHeight w:val="269" w:hRule="atLeast"/>
        </w:trPr>
        <w:tc>
          <w:tcPr>
            <w:tcW w:w="5712" w:type="dxa"/>
          </w:tcPr>
          <w:p>
            <w:pPr>
              <w:pStyle w:val="TableParagraph"/>
              <w:ind w:left="217"/>
              <w:rPr>
                <w:sz w:val="18"/>
              </w:rPr>
            </w:pPr>
            <w:r>
              <w:rPr>
                <w:sz w:val="18"/>
              </w:rPr>
              <w:t>Accruals,</w:t>
            </w:r>
            <w:r>
              <w:rPr>
                <w:spacing w:val="-1"/>
                <w:sz w:val="18"/>
              </w:rPr>
              <w:t> </w:t>
            </w:r>
            <w:r>
              <w:rPr>
                <w:sz w:val="18"/>
              </w:rPr>
              <w:t>reserves</w:t>
            </w:r>
            <w:r>
              <w:rPr>
                <w:spacing w:val="-1"/>
                <w:sz w:val="18"/>
              </w:rPr>
              <w:t> </w:t>
            </w:r>
            <w:r>
              <w:rPr>
                <w:sz w:val="18"/>
              </w:rPr>
              <w:t>and</w:t>
            </w:r>
            <w:r>
              <w:rPr>
                <w:spacing w:val="-1"/>
                <w:sz w:val="18"/>
              </w:rPr>
              <w:t> </w:t>
            </w:r>
            <w:r>
              <w:rPr>
                <w:spacing w:val="-2"/>
                <w:sz w:val="18"/>
              </w:rPr>
              <w:t>other</w:t>
            </w:r>
          </w:p>
        </w:tc>
        <w:tc>
          <w:tcPr>
            <w:tcW w:w="4188" w:type="dxa"/>
          </w:tcPr>
          <w:p>
            <w:pPr>
              <w:pStyle w:val="TableParagraph"/>
              <w:ind w:right="117"/>
              <w:jc w:val="right"/>
              <w:rPr>
                <w:sz w:val="18"/>
              </w:rPr>
            </w:pPr>
            <w:r>
              <w:rPr>
                <w:spacing w:val="-2"/>
                <w:sz w:val="18"/>
              </w:rPr>
              <w:t>12,315</w:t>
            </w:r>
          </w:p>
        </w:tc>
        <w:tc>
          <w:tcPr>
            <w:tcW w:w="1618" w:type="dxa"/>
          </w:tcPr>
          <w:p>
            <w:pPr>
              <w:pStyle w:val="TableParagraph"/>
              <w:ind w:right="108"/>
              <w:jc w:val="right"/>
              <w:rPr>
                <w:sz w:val="18"/>
              </w:rPr>
            </w:pPr>
            <w:r>
              <w:rPr>
                <w:spacing w:val="-2"/>
                <w:sz w:val="18"/>
              </w:rPr>
              <w:t>15,228</w:t>
            </w:r>
          </w:p>
        </w:tc>
      </w:tr>
      <w:tr>
        <w:trPr>
          <w:trHeight w:val="256" w:hRule="atLeast"/>
        </w:trPr>
        <w:tc>
          <w:tcPr>
            <w:tcW w:w="5712" w:type="dxa"/>
            <w:shd w:val="clear" w:color="auto" w:fill="CCEDFF"/>
          </w:tcPr>
          <w:p>
            <w:pPr>
              <w:pStyle w:val="TableParagraph"/>
              <w:ind w:left="217"/>
              <w:rPr>
                <w:sz w:val="18"/>
              </w:rPr>
            </w:pPr>
            <w:r>
              <w:rPr>
                <w:sz w:val="18"/>
              </w:rPr>
              <w:t>Property</w:t>
            </w:r>
            <w:r>
              <w:rPr>
                <w:spacing w:val="-1"/>
                <w:sz w:val="18"/>
              </w:rPr>
              <w:t> </w:t>
            </w:r>
            <w:r>
              <w:rPr>
                <w:sz w:val="18"/>
              </w:rPr>
              <w:t>and</w:t>
            </w:r>
            <w:r>
              <w:rPr>
                <w:spacing w:val="-1"/>
                <w:sz w:val="18"/>
              </w:rPr>
              <w:t> </w:t>
            </w:r>
            <w:r>
              <w:rPr>
                <w:spacing w:val="-2"/>
                <w:sz w:val="18"/>
              </w:rPr>
              <w:t>equipment</w:t>
            </w:r>
          </w:p>
        </w:tc>
        <w:tc>
          <w:tcPr>
            <w:tcW w:w="4188" w:type="dxa"/>
            <w:shd w:val="clear" w:color="auto" w:fill="CCEDFF"/>
          </w:tcPr>
          <w:p>
            <w:pPr>
              <w:pStyle w:val="TableParagraph"/>
              <w:ind w:right="117"/>
              <w:jc w:val="right"/>
              <w:rPr>
                <w:sz w:val="18"/>
              </w:rPr>
            </w:pPr>
            <w:r>
              <w:rPr>
                <w:spacing w:val="-2"/>
                <w:sz w:val="18"/>
              </w:rPr>
              <w:t>32,585</w:t>
            </w:r>
          </w:p>
        </w:tc>
        <w:tc>
          <w:tcPr>
            <w:tcW w:w="1618" w:type="dxa"/>
            <w:shd w:val="clear" w:color="auto" w:fill="CCEDFF"/>
          </w:tcPr>
          <w:p>
            <w:pPr>
              <w:pStyle w:val="TableParagraph"/>
              <w:ind w:right="108"/>
              <w:jc w:val="right"/>
              <w:rPr>
                <w:sz w:val="18"/>
              </w:rPr>
            </w:pPr>
            <w:r>
              <w:rPr>
                <w:spacing w:val="-2"/>
                <w:sz w:val="18"/>
              </w:rPr>
              <w:t>27,366</w:t>
            </w:r>
          </w:p>
        </w:tc>
      </w:tr>
      <w:tr>
        <w:trPr>
          <w:trHeight w:val="255" w:hRule="atLeast"/>
        </w:trPr>
        <w:tc>
          <w:tcPr>
            <w:tcW w:w="5712" w:type="dxa"/>
          </w:tcPr>
          <w:p>
            <w:pPr>
              <w:pStyle w:val="TableParagraph"/>
              <w:ind w:left="217"/>
              <w:rPr>
                <w:sz w:val="18"/>
              </w:rPr>
            </w:pPr>
            <w:r>
              <w:rPr>
                <w:sz w:val="18"/>
              </w:rPr>
              <w:t>Lease</w:t>
            </w:r>
            <w:r>
              <w:rPr>
                <w:spacing w:val="-1"/>
                <w:sz w:val="18"/>
              </w:rPr>
              <w:t> </w:t>
            </w:r>
            <w:r>
              <w:rPr>
                <w:spacing w:val="-2"/>
                <w:sz w:val="18"/>
              </w:rPr>
              <w:t>liabilities</w:t>
            </w:r>
          </w:p>
        </w:tc>
        <w:tc>
          <w:tcPr>
            <w:tcW w:w="4188" w:type="dxa"/>
            <w:tcBorders>
              <w:bottom w:val="single" w:sz="6" w:space="0" w:color="000000"/>
            </w:tcBorders>
          </w:tcPr>
          <w:p>
            <w:pPr>
              <w:pStyle w:val="TableParagraph"/>
              <w:ind w:right="116"/>
              <w:jc w:val="right"/>
              <w:rPr>
                <w:sz w:val="18"/>
              </w:rPr>
            </w:pPr>
            <w:r>
              <w:rPr>
                <w:spacing w:val="-2"/>
                <w:sz w:val="18"/>
              </w:rPr>
              <w:t>1,219</w:t>
            </w:r>
          </w:p>
        </w:tc>
        <w:tc>
          <w:tcPr>
            <w:tcW w:w="1618" w:type="dxa"/>
            <w:tcBorders>
              <w:bottom w:val="single" w:sz="6" w:space="0" w:color="000000"/>
            </w:tcBorders>
          </w:tcPr>
          <w:p>
            <w:pPr>
              <w:pStyle w:val="TableParagraph"/>
              <w:ind w:right="108"/>
              <w:jc w:val="right"/>
              <w:rPr>
                <w:sz w:val="18"/>
              </w:rPr>
            </w:pPr>
            <w:r>
              <w:rPr>
                <w:spacing w:val="-2"/>
                <w:sz w:val="18"/>
              </w:rPr>
              <w:t>1,458</w:t>
            </w:r>
          </w:p>
        </w:tc>
      </w:tr>
      <w:tr>
        <w:trPr>
          <w:trHeight w:val="255" w:hRule="atLeast"/>
        </w:trPr>
        <w:tc>
          <w:tcPr>
            <w:tcW w:w="5712" w:type="dxa"/>
            <w:shd w:val="clear" w:color="auto" w:fill="CCEDFF"/>
          </w:tcPr>
          <w:p>
            <w:pPr>
              <w:pStyle w:val="TableParagraph"/>
              <w:spacing w:before="0"/>
              <w:rPr>
                <w:sz w:val="16"/>
              </w:rPr>
            </w:pPr>
          </w:p>
        </w:tc>
        <w:tc>
          <w:tcPr>
            <w:tcW w:w="4188" w:type="dxa"/>
            <w:tcBorders>
              <w:top w:val="single" w:sz="6" w:space="0" w:color="000000"/>
            </w:tcBorders>
            <w:shd w:val="clear" w:color="auto" w:fill="CCEDFF"/>
          </w:tcPr>
          <w:p>
            <w:pPr>
              <w:pStyle w:val="TableParagraph"/>
              <w:spacing w:before="20"/>
              <w:ind w:right="116"/>
              <w:jc w:val="right"/>
              <w:rPr>
                <w:sz w:val="18"/>
              </w:rPr>
            </w:pPr>
            <w:r>
              <w:rPr>
                <w:spacing w:val="-2"/>
                <w:sz w:val="18"/>
              </w:rPr>
              <w:t>244,805</w:t>
            </w:r>
          </w:p>
        </w:tc>
        <w:tc>
          <w:tcPr>
            <w:tcW w:w="1618" w:type="dxa"/>
            <w:tcBorders>
              <w:top w:val="single" w:sz="6" w:space="0" w:color="000000"/>
            </w:tcBorders>
            <w:shd w:val="clear" w:color="auto" w:fill="CCEDFF"/>
          </w:tcPr>
          <w:p>
            <w:pPr>
              <w:pStyle w:val="TableParagraph"/>
              <w:spacing w:before="20"/>
              <w:ind w:right="108"/>
              <w:jc w:val="right"/>
              <w:rPr>
                <w:sz w:val="18"/>
              </w:rPr>
            </w:pPr>
            <w:r>
              <w:rPr>
                <w:spacing w:val="-2"/>
                <w:sz w:val="18"/>
              </w:rPr>
              <w:t>229,988</w:t>
            </w:r>
          </w:p>
        </w:tc>
      </w:tr>
      <w:tr>
        <w:trPr>
          <w:trHeight w:val="255" w:hRule="atLeast"/>
        </w:trPr>
        <w:tc>
          <w:tcPr>
            <w:tcW w:w="5712" w:type="dxa"/>
          </w:tcPr>
          <w:p>
            <w:pPr>
              <w:pStyle w:val="TableParagraph"/>
              <w:spacing w:line="201" w:lineRule="exact" w:before="34"/>
              <w:ind w:left="17"/>
              <w:rPr>
                <w:sz w:val="18"/>
              </w:rPr>
            </w:pPr>
            <w:r>
              <w:rPr>
                <w:spacing w:val="-2"/>
                <w:sz w:val="18"/>
              </w:rPr>
              <w:t>Less:</w:t>
            </w:r>
            <w:r>
              <w:rPr>
                <w:spacing w:val="-1"/>
                <w:sz w:val="18"/>
              </w:rPr>
              <w:t> </w:t>
            </w:r>
            <w:r>
              <w:rPr>
                <w:spacing w:val="-2"/>
                <w:sz w:val="18"/>
              </w:rPr>
              <w:t>Valuation</w:t>
            </w:r>
            <w:r>
              <w:rPr>
                <w:spacing w:val="4"/>
                <w:sz w:val="18"/>
              </w:rPr>
              <w:t> </w:t>
            </w:r>
            <w:r>
              <w:rPr>
                <w:spacing w:val="-2"/>
                <w:sz w:val="18"/>
              </w:rPr>
              <w:t>allowance</w:t>
            </w:r>
          </w:p>
        </w:tc>
        <w:tc>
          <w:tcPr>
            <w:tcW w:w="4188" w:type="dxa"/>
            <w:tcBorders>
              <w:bottom w:val="single" w:sz="6" w:space="0" w:color="000000"/>
            </w:tcBorders>
          </w:tcPr>
          <w:p>
            <w:pPr>
              <w:pStyle w:val="TableParagraph"/>
              <w:ind w:right="71"/>
              <w:jc w:val="right"/>
              <w:rPr>
                <w:sz w:val="18"/>
              </w:rPr>
            </w:pPr>
            <w:r>
              <w:rPr>
                <w:spacing w:val="-2"/>
                <w:sz w:val="18"/>
              </w:rPr>
              <w:t>(244,805)</w:t>
            </w:r>
          </w:p>
        </w:tc>
        <w:tc>
          <w:tcPr>
            <w:tcW w:w="1618" w:type="dxa"/>
            <w:tcBorders>
              <w:bottom w:val="single" w:sz="6" w:space="0" w:color="000000"/>
            </w:tcBorders>
          </w:tcPr>
          <w:p>
            <w:pPr>
              <w:pStyle w:val="TableParagraph"/>
              <w:ind w:right="63"/>
              <w:jc w:val="right"/>
              <w:rPr>
                <w:sz w:val="18"/>
              </w:rPr>
            </w:pPr>
            <w:r>
              <w:rPr>
                <w:spacing w:val="-2"/>
                <w:sz w:val="18"/>
              </w:rPr>
              <w:t>(148,811)</w:t>
            </w:r>
          </w:p>
        </w:tc>
      </w:tr>
      <w:tr>
        <w:trPr>
          <w:trHeight w:val="268" w:hRule="atLeast"/>
        </w:trPr>
        <w:tc>
          <w:tcPr>
            <w:tcW w:w="5712" w:type="dxa"/>
            <w:shd w:val="clear" w:color="auto" w:fill="CCEDFF"/>
          </w:tcPr>
          <w:p>
            <w:pPr>
              <w:pStyle w:val="TableParagraph"/>
              <w:spacing w:before="0"/>
              <w:rPr>
                <w:sz w:val="16"/>
              </w:rPr>
            </w:pPr>
          </w:p>
        </w:tc>
        <w:tc>
          <w:tcPr>
            <w:tcW w:w="4188" w:type="dxa"/>
            <w:tcBorders>
              <w:top w:val="single" w:sz="6" w:space="0" w:color="000000"/>
              <w:bottom w:val="single" w:sz="6" w:space="0" w:color="000000"/>
            </w:tcBorders>
            <w:shd w:val="clear" w:color="auto" w:fill="CCEDFF"/>
          </w:tcPr>
          <w:p>
            <w:pPr>
              <w:pStyle w:val="TableParagraph"/>
              <w:spacing w:before="20"/>
              <w:ind w:right="117"/>
              <w:jc w:val="right"/>
              <w:rPr>
                <w:sz w:val="18"/>
              </w:rPr>
            </w:pPr>
            <w:r>
              <w:rPr>
                <w:spacing w:val="-10"/>
                <w:sz w:val="18"/>
              </w:rPr>
              <w:t>—</w:t>
            </w:r>
          </w:p>
        </w:tc>
        <w:tc>
          <w:tcPr>
            <w:tcW w:w="1618" w:type="dxa"/>
            <w:tcBorders>
              <w:top w:val="single" w:sz="6" w:space="0" w:color="000000"/>
              <w:bottom w:val="single" w:sz="6" w:space="0" w:color="000000"/>
            </w:tcBorders>
            <w:shd w:val="clear" w:color="auto" w:fill="CCEDFF"/>
          </w:tcPr>
          <w:p>
            <w:pPr>
              <w:pStyle w:val="TableParagraph"/>
              <w:spacing w:before="20"/>
              <w:ind w:right="108"/>
              <w:jc w:val="right"/>
              <w:rPr>
                <w:sz w:val="18"/>
              </w:rPr>
            </w:pPr>
            <w:r>
              <w:rPr>
                <w:spacing w:val="-2"/>
                <w:sz w:val="18"/>
              </w:rPr>
              <w:t>81,177</w:t>
            </w:r>
          </w:p>
        </w:tc>
      </w:tr>
      <w:tr>
        <w:trPr>
          <w:trHeight w:val="260" w:hRule="atLeast"/>
        </w:trPr>
        <w:tc>
          <w:tcPr>
            <w:tcW w:w="5712" w:type="dxa"/>
          </w:tcPr>
          <w:p>
            <w:pPr>
              <w:pStyle w:val="TableParagraph"/>
              <w:spacing w:line="193" w:lineRule="exact" w:before="47"/>
              <w:ind w:left="217"/>
              <w:rPr>
                <w:sz w:val="18"/>
              </w:rPr>
            </w:pPr>
            <w:r>
              <w:rPr>
                <w:sz w:val="18"/>
              </w:rPr>
              <w:t>Total</w:t>
            </w:r>
            <w:r>
              <w:rPr>
                <w:spacing w:val="-6"/>
                <w:sz w:val="18"/>
              </w:rPr>
              <w:t> </w:t>
            </w:r>
            <w:r>
              <w:rPr>
                <w:sz w:val="18"/>
              </w:rPr>
              <w:t>deferred</w:t>
            </w:r>
            <w:r>
              <w:rPr>
                <w:spacing w:val="-5"/>
                <w:sz w:val="18"/>
              </w:rPr>
              <w:t> </w:t>
            </w:r>
            <w:r>
              <w:rPr>
                <w:sz w:val="18"/>
              </w:rPr>
              <w:t>tax</w:t>
            </w:r>
            <w:r>
              <w:rPr>
                <w:spacing w:val="-5"/>
                <w:sz w:val="18"/>
              </w:rPr>
              <w:t> </w:t>
            </w:r>
            <w:r>
              <w:rPr>
                <w:spacing w:val="-2"/>
                <w:sz w:val="18"/>
              </w:rPr>
              <w:t>assets</w:t>
            </w:r>
          </w:p>
        </w:tc>
        <w:tc>
          <w:tcPr>
            <w:tcW w:w="4188" w:type="dxa"/>
            <w:tcBorders>
              <w:top w:val="single" w:sz="6" w:space="0" w:color="000000"/>
              <w:bottom w:val="double" w:sz="6" w:space="0" w:color="000000"/>
            </w:tcBorders>
          </w:tcPr>
          <w:p>
            <w:pPr>
              <w:pStyle w:val="TableParagraph"/>
              <w:tabs>
                <w:tab w:pos="715" w:val="left" w:leader="none"/>
              </w:tabs>
              <w:spacing w:before="20"/>
              <w:ind w:right="116"/>
              <w:jc w:val="right"/>
              <w:rPr>
                <w:sz w:val="18"/>
              </w:rPr>
            </w:pPr>
            <w:r>
              <w:rPr>
                <w:spacing w:val="-10"/>
                <w:sz w:val="18"/>
              </w:rPr>
              <w:t>$</w:t>
            </w:r>
            <w:r>
              <w:rPr>
                <w:sz w:val="18"/>
              </w:rPr>
              <w:tab/>
            </w:r>
            <w:r>
              <w:rPr>
                <w:spacing w:val="-2"/>
                <w:sz w:val="18"/>
              </w:rPr>
              <w:t>5,985,710</w:t>
            </w:r>
          </w:p>
        </w:tc>
        <w:tc>
          <w:tcPr>
            <w:tcW w:w="1618" w:type="dxa"/>
            <w:tcBorders>
              <w:top w:val="single" w:sz="6" w:space="0" w:color="000000"/>
              <w:bottom w:val="double" w:sz="6" w:space="0" w:color="000000"/>
            </w:tcBorders>
          </w:tcPr>
          <w:p>
            <w:pPr>
              <w:pStyle w:val="TableParagraph"/>
              <w:tabs>
                <w:tab w:pos="716" w:val="left" w:leader="none"/>
              </w:tabs>
              <w:spacing w:before="20"/>
              <w:ind w:right="108"/>
              <w:jc w:val="right"/>
              <w:rPr>
                <w:sz w:val="18"/>
              </w:rPr>
            </w:pPr>
            <w:r>
              <w:rPr>
                <w:spacing w:val="-10"/>
                <w:sz w:val="18"/>
              </w:rPr>
              <w:t>$</w:t>
            </w:r>
            <w:r>
              <w:rPr>
                <w:sz w:val="18"/>
              </w:rPr>
              <w:tab/>
            </w:r>
            <w:r>
              <w:rPr>
                <w:spacing w:val="-2"/>
                <w:sz w:val="18"/>
              </w:rPr>
              <w:t>3,195,280</w:t>
            </w:r>
          </w:p>
        </w:tc>
      </w:tr>
      <w:tr>
        <w:trPr>
          <w:trHeight w:val="233" w:hRule="atLeast"/>
        </w:trPr>
        <w:tc>
          <w:tcPr>
            <w:tcW w:w="11518" w:type="dxa"/>
            <w:gridSpan w:val="3"/>
            <w:shd w:val="clear" w:color="auto" w:fill="CCEDFF"/>
          </w:tcPr>
          <w:p>
            <w:pPr>
              <w:pStyle w:val="TableParagraph"/>
              <w:spacing w:line="205" w:lineRule="exact" w:before="0"/>
              <w:ind w:left="17"/>
              <w:rPr>
                <w:sz w:val="18"/>
              </w:rPr>
            </w:pPr>
            <w:r>
              <w:rPr>
                <w:sz w:val="18"/>
              </w:rPr>
              <w:t>Deferred</w:t>
            </w:r>
            <w:r>
              <w:rPr>
                <w:spacing w:val="-1"/>
                <w:sz w:val="18"/>
              </w:rPr>
              <w:t> </w:t>
            </w:r>
            <w:r>
              <w:rPr>
                <w:sz w:val="18"/>
              </w:rPr>
              <w:t>tax</w:t>
            </w:r>
            <w:r>
              <w:rPr>
                <w:spacing w:val="-1"/>
                <w:sz w:val="18"/>
              </w:rPr>
              <w:t> </w:t>
            </w:r>
            <w:r>
              <w:rPr>
                <w:sz w:val="18"/>
              </w:rPr>
              <w:t>liabilities</w:t>
            </w:r>
            <w:r>
              <w:rPr>
                <w:spacing w:val="-1"/>
                <w:sz w:val="18"/>
              </w:rPr>
              <w:t> </w:t>
            </w:r>
            <w:r>
              <w:rPr>
                <w:sz w:val="18"/>
              </w:rPr>
              <w:t>–</w:t>
            </w:r>
            <w:r>
              <w:rPr>
                <w:spacing w:val="-1"/>
                <w:sz w:val="18"/>
              </w:rPr>
              <w:t> </w:t>
            </w:r>
            <w:r>
              <w:rPr>
                <w:sz w:val="18"/>
              </w:rPr>
              <w:t>federal</w:t>
            </w:r>
            <w:r>
              <w:rPr>
                <w:spacing w:val="-1"/>
                <w:sz w:val="18"/>
              </w:rPr>
              <w:t> </w:t>
            </w:r>
            <w:r>
              <w:rPr>
                <w:sz w:val="18"/>
              </w:rPr>
              <w:t>and</w:t>
            </w:r>
            <w:r>
              <w:rPr>
                <w:spacing w:val="-1"/>
                <w:sz w:val="18"/>
              </w:rPr>
              <w:t> </w:t>
            </w:r>
            <w:r>
              <w:rPr>
                <w:spacing w:val="-2"/>
                <w:sz w:val="18"/>
              </w:rPr>
              <w:t>state:</w:t>
            </w:r>
          </w:p>
        </w:tc>
      </w:tr>
      <w:tr>
        <w:trPr>
          <w:trHeight w:val="256" w:hRule="atLeast"/>
        </w:trPr>
        <w:tc>
          <w:tcPr>
            <w:tcW w:w="5712" w:type="dxa"/>
          </w:tcPr>
          <w:p>
            <w:pPr>
              <w:pStyle w:val="TableParagraph"/>
              <w:ind w:left="217"/>
              <w:rPr>
                <w:sz w:val="18"/>
              </w:rPr>
            </w:pPr>
            <w:r>
              <w:rPr>
                <w:sz w:val="18"/>
              </w:rPr>
              <w:t>Property</w:t>
            </w:r>
            <w:r>
              <w:rPr>
                <w:spacing w:val="-1"/>
                <w:sz w:val="18"/>
              </w:rPr>
              <w:t> </w:t>
            </w:r>
            <w:r>
              <w:rPr>
                <w:sz w:val="18"/>
              </w:rPr>
              <w:t>and</w:t>
            </w:r>
            <w:r>
              <w:rPr>
                <w:spacing w:val="-1"/>
                <w:sz w:val="18"/>
              </w:rPr>
              <w:t> </w:t>
            </w:r>
            <w:r>
              <w:rPr>
                <w:spacing w:val="-2"/>
                <w:sz w:val="18"/>
              </w:rPr>
              <w:t>equipment</w:t>
            </w:r>
          </w:p>
        </w:tc>
        <w:tc>
          <w:tcPr>
            <w:tcW w:w="4188" w:type="dxa"/>
          </w:tcPr>
          <w:p>
            <w:pPr>
              <w:pStyle w:val="TableParagraph"/>
              <w:tabs>
                <w:tab w:pos="775" w:val="left" w:leader="none"/>
              </w:tabs>
              <w:ind w:right="71"/>
              <w:jc w:val="right"/>
              <w:rPr>
                <w:sz w:val="18"/>
              </w:rPr>
            </w:pPr>
            <w:r>
              <w:rPr>
                <w:spacing w:val="-10"/>
                <w:sz w:val="18"/>
              </w:rPr>
              <w:t>$</w:t>
            </w:r>
            <w:r>
              <w:rPr>
                <w:sz w:val="18"/>
              </w:rPr>
              <w:tab/>
            </w:r>
            <w:r>
              <w:rPr>
                <w:spacing w:val="-2"/>
                <w:sz w:val="18"/>
              </w:rPr>
              <w:t>(330,857)</w:t>
            </w:r>
          </w:p>
        </w:tc>
        <w:tc>
          <w:tcPr>
            <w:tcW w:w="1618" w:type="dxa"/>
          </w:tcPr>
          <w:p>
            <w:pPr>
              <w:pStyle w:val="TableParagraph"/>
              <w:tabs>
                <w:tab w:pos="641" w:val="left" w:leader="none"/>
              </w:tabs>
              <w:ind w:right="63"/>
              <w:jc w:val="right"/>
              <w:rPr>
                <w:sz w:val="18"/>
              </w:rPr>
            </w:pPr>
            <w:r>
              <w:rPr>
                <w:spacing w:val="-10"/>
                <w:sz w:val="18"/>
              </w:rPr>
              <w:t>$</w:t>
            </w:r>
            <w:r>
              <w:rPr>
                <w:sz w:val="18"/>
              </w:rPr>
              <w:tab/>
            </w:r>
            <w:r>
              <w:rPr>
                <w:spacing w:val="-2"/>
                <w:sz w:val="18"/>
              </w:rPr>
              <w:t>(1,361,356)</w:t>
            </w:r>
          </w:p>
        </w:tc>
      </w:tr>
      <w:tr>
        <w:trPr>
          <w:trHeight w:val="256" w:hRule="atLeast"/>
        </w:trPr>
        <w:tc>
          <w:tcPr>
            <w:tcW w:w="5712" w:type="dxa"/>
            <w:shd w:val="clear" w:color="auto" w:fill="CCEDFF"/>
          </w:tcPr>
          <w:p>
            <w:pPr>
              <w:pStyle w:val="TableParagraph"/>
              <w:ind w:left="217"/>
              <w:rPr>
                <w:sz w:val="18"/>
              </w:rPr>
            </w:pPr>
            <w:r>
              <w:rPr>
                <w:sz w:val="18"/>
              </w:rPr>
              <w:t>Investments</w:t>
            </w:r>
            <w:r>
              <w:rPr>
                <w:spacing w:val="-1"/>
                <w:sz w:val="18"/>
              </w:rPr>
              <w:t> </w:t>
            </w:r>
            <w:r>
              <w:rPr>
                <w:sz w:val="18"/>
              </w:rPr>
              <w:t>in</w:t>
            </w:r>
            <w:r>
              <w:rPr>
                <w:spacing w:val="-1"/>
                <w:sz w:val="18"/>
              </w:rPr>
              <w:t> </w:t>
            </w:r>
            <w:r>
              <w:rPr>
                <w:sz w:val="18"/>
              </w:rPr>
              <w:t>unconsolidated</w:t>
            </w:r>
            <w:r>
              <w:rPr>
                <w:spacing w:val="-1"/>
                <w:sz w:val="18"/>
              </w:rPr>
              <w:t> </w:t>
            </w:r>
            <w:r>
              <w:rPr>
                <w:spacing w:val="-2"/>
                <w:sz w:val="18"/>
              </w:rPr>
              <w:t>affiliates</w:t>
            </w:r>
          </w:p>
        </w:tc>
        <w:tc>
          <w:tcPr>
            <w:tcW w:w="4188" w:type="dxa"/>
            <w:shd w:val="clear" w:color="auto" w:fill="CCEDFF"/>
          </w:tcPr>
          <w:p>
            <w:pPr>
              <w:pStyle w:val="TableParagraph"/>
              <w:ind w:right="71"/>
              <w:jc w:val="right"/>
              <w:rPr>
                <w:sz w:val="18"/>
              </w:rPr>
            </w:pPr>
            <w:r>
              <w:rPr>
                <w:spacing w:val="-2"/>
                <w:sz w:val="18"/>
              </w:rPr>
              <w:t>(585,275)</w:t>
            </w:r>
          </w:p>
        </w:tc>
        <w:tc>
          <w:tcPr>
            <w:tcW w:w="1618" w:type="dxa"/>
            <w:shd w:val="clear" w:color="auto" w:fill="CCEDFF"/>
          </w:tcPr>
          <w:p>
            <w:pPr>
              <w:pStyle w:val="TableParagraph"/>
              <w:ind w:right="63"/>
              <w:jc w:val="right"/>
              <w:rPr>
                <w:sz w:val="18"/>
              </w:rPr>
            </w:pPr>
            <w:r>
              <w:rPr>
                <w:spacing w:val="-2"/>
                <w:sz w:val="18"/>
              </w:rPr>
              <w:t>(1,252,816)</w:t>
            </w:r>
          </w:p>
        </w:tc>
      </w:tr>
      <w:tr>
        <w:trPr>
          <w:trHeight w:val="256" w:hRule="atLeast"/>
        </w:trPr>
        <w:tc>
          <w:tcPr>
            <w:tcW w:w="5712" w:type="dxa"/>
          </w:tcPr>
          <w:p>
            <w:pPr>
              <w:pStyle w:val="TableParagraph"/>
              <w:ind w:left="217"/>
              <w:rPr>
                <w:sz w:val="18"/>
              </w:rPr>
            </w:pPr>
            <w:r>
              <w:rPr>
                <w:sz w:val="18"/>
              </w:rPr>
              <w:t>Investment</w:t>
            </w:r>
            <w:r>
              <w:rPr>
                <w:spacing w:val="-1"/>
                <w:sz w:val="18"/>
              </w:rPr>
              <w:t> </w:t>
            </w:r>
            <w:r>
              <w:rPr>
                <w:sz w:val="18"/>
              </w:rPr>
              <w:t>in</w:t>
            </w:r>
            <w:r>
              <w:rPr>
                <w:spacing w:val="-1"/>
                <w:sz w:val="18"/>
              </w:rPr>
              <w:t> </w:t>
            </w:r>
            <w:r>
              <w:rPr>
                <w:sz w:val="18"/>
              </w:rPr>
              <w:t>equity</w:t>
            </w:r>
            <w:r>
              <w:rPr>
                <w:spacing w:val="-1"/>
                <w:sz w:val="18"/>
              </w:rPr>
              <w:t> </w:t>
            </w:r>
            <w:r>
              <w:rPr>
                <w:spacing w:val="-2"/>
                <w:sz w:val="18"/>
              </w:rPr>
              <w:t>securities</w:t>
            </w:r>
          </w:p>
        </w:tc>
        <w:tc>
          <w:tcPr>
            <w:tcW w:w="4188" w:type="dxa"/>
          </w:tcPr>
          <w:p>
            <w:pPr>
              <w:pStyle w:val="TableParagraph"/>
              <w:ind w:right="71"/>
              <w:jc w:val="right"/>
              <w:rPr>
                <w:sz w:val="18"/>
              </w:rPr>
            </w:pPr>
            <w:r>
              <w:rPr>
                <w:spacing w:val="-2"/>
                <w:sz w:val="18"/>
              </w:rPr>
              <w:t>(2,236,093)</w:t>
            </w:r>
          </w:p>
        </w:tc>
        <w:tc>
          <w:tcPr>
            <w:tcW w:w="1618" w:type="dxa"/>
          </w:tcPr>
          <w:p>
            <w:pPr>
              <w:pStyle w:val="TableParagraph"/>
              <w:ind w:right="108"/>
              <w:jc w:val="right"/>
              <w:rPr>
                <w:sz w:val="18"/>
              </w:rPr>
            </w:pPr>
            <w:r>
              <w:rPr>
                <w:spacing w:val="-10"/>
                <w:sz w:val="18"/>
              </w:rPr>
              <w:t>—</w:t>
            </w:r>
          </w:p>
        </w:tc>
      </w:tr>
      <w:tr>
        <w:trPr>
          <w:trHeight w:val="269" w:hRule="atLeast"/>
        </w:trPr>
        <w:tc>
          <w:tcPr>
            <w:tcW w:w="5712" w:type="dxa"/>
            <w:shd w:val="clear" w:color="auto" w:fill="CCEDFF"/>
          </w:tcPr>
          <w:p>
            <w:pPr>
              <w:pStyle w:val="TableParagraph"/>
              <w:ind w:left="217"/>
              <w:rPr>
                <w:sz w:val="18"/>
              </w:rPr>
            </w:pPr>
            <w:r>
              <w:rPr>
                <w:sz w:val="18"/>
              </w:rPr>
              <w:t>ROU</w:t>
            </w:r>
            <w:r>
              <w:rPr>
                <w:spacing w:val="-1"/>
                <w:sz w:val="18"/>
              </w:rPr>
              <w:t> </w:t>
            </w:r>
            <w:r>
              <w:rPr>
                <w:spacing w:val="-2"/>
                <w:sz w:val="18"/>
              </w:rPr>
              <w:t>assets</w:t>
            </w:r>
          </w:p>
        </w:tc>
        <w:tc>
          <w:tcPr>
            <w:tcW w:w="4188" w:type="dxa"/>
            <w:shd w:val="clear" w:color="auto" w:fill="CCEDFF"/>
          </w:tcPr>
          <w:p>
            <w:pPr>
              <w:pStyle w:val="TableParagraph"/>
              <w:ind w:right="71"/>
              <w:jc w:val="right"/>
              <w:rPr>
                <w:sz w:val="18"/>
              </w:rPr>
            </w:pPr>
            <w:r>
              <w:rPr>
                <w:spacing w:val="-2"/>
                <w:sz w:val="18"/>
              </w:rPr>
              <w:t>(5,612,241)</w:t>
            </w:r>
          </w:p>
        </w:tc>
        <w:tc>
          <w:tcPr>
            <w:tcW w:w="1618" w:type="dxa"/>
            <w:shd w:val="clear" w:color="auto" w:fill="CCEDFF"/>
          </w:tcPr>
          <w:p>
            <w:pPr>
              <w:pStyle w:val="TableParagraph"/>
              <w:ind w:right="63"/>
              <w:jc w:val="right"/>
              <w:rPr>
                <w:sz w:val="18"/>
              </w:rPr>
            </w:pPr>
            <w:r>
              <w:rPr>
                <w:spacing w:val="-2"/>
                <w:sz w:val="18"/>
              </w:rPr>
              <w:t>(2,570,620)</w:t>
            </w:r>
          </w:p>
        </w:tc>
      </w:tr>
      <w:tr>
        <w:trPr>
          <w:trHeight w:val="255" w:hRule="atLeast"/>
        </w:trPr>
        <w:tc>
          <w:tcPr>
            <w:tcW w:w="5712" w:type="dxa"/>
          </w:tcPr>
          <w:p>
            <w:pPr>
              <w:pStyle w:val="TableParagraph"/>
              <w:ind w:left="217"/>
              <w:rPr>
                <w:sz w:val="18"/>
              </w:rPr>
            </w:pPr>
            <w:r>
              <w:rPr>
                <w:spacing w:val="-2"/>
                <w:sz w:val="18"/>
              </w:rPr>
              <w:t>Intangibles</w:t>
            </w:r>
          </w:p>
        </w:tc>
        <w:tc>
          <w:tcPr>
            <w:tcW w:w="4188" w:type="dxa"/>
            <w:tcBorders>
              <w:bottom w:val="single" w:sz="6" w:space="0" w:color="000000"/>
            </w:tcBorders>
          </w:tcPr>
          <w:p>
            <w:pPr>
              <w:pStyle w:val="TableParagraph"/>
              <w:ind w:right="71"/>
              <w:jc w:val="right"/>
              <w:rPr>
                <w:sz w:val="18"/>
              </w:rPr>
            </w:pPr>
            <w:r>
              <w:rPr>
                <w:spacing w:val="-2"/>
                <w:sz w:val="18"/>
              </w:rPr>
              <w:t>(160,991)</w:t>
            </w:r>
          </w:p>
        </w:tc>
        <w:tc>
          <w:tcPr>
            <w:tcW w:w="1618" w:type="dxa"/>
            <w:tcBorders>
              <w:bottom w:val="single" w:sz="6" w:space="0" w:color="000000"/>
            </w:tcBorders>
          </w:tcPr>
          <w:p>
            <w:pPr>
              <w:pStyle w:val="TableParagraph"/>
              <w:ind w:right="63"/>
              <w:jc w:val="right"/>
              <w:rPr>
                <w:sz w:val="18"/>
              </w:rPr>
            </w:pPr>
            <w:r>
              <w:rPr>
                <w:spacing w:val="-2"/>
                <w:sz w:val="18"/>
              </w:rPr>
              <w:t>(141,934)</w:t>
            </w:r>
          </w:p>
        </w:tc>
      </w:tr>
      <w:tr>
        <w:trPr>
          <w:trHeight w:val="254" w:hRule="atLeast"/>
        </w:trPr>
        <w:tc>
          <w:tcPr>
            <w:tcW w:w="5712" w:type="dxa"/>
            <w:shd w:val="clear" w:color="auto" w:fill="CCEDFF"/>
          </w:tcPr>
          <w:p>
            <w:pPr>
              <w:pStyle w:val="TableParagraph"/>
              <w:spacing w:before="0"/>
              <w:rPr>
                <w:sz w:val="16"/>
              </w:rPr>
            </w:pPr>
          </w:p>
        </w:tc>
        <w:tc>
          <w:tcPr>
            <w:tcW w:w="4188" w:type="dxa"/>
            <w:tcBorders>
              <w:top w:val="single" w:sz="6" w:space="0" w:color="000000"/>
              <w:bottom w:val="single" w:sz="6" w:space="0" w:color="000000"/>
            </w:tcBorders>
            <w:shd w:val="clear" w:color="auto" w:fill="CCEDFF"/>
          </w:tcPr>
          <w:p>
            <w:pPr>
              <w:pStyle w:val="TableParagraph"/>
              <w:spacing w:before="20"/>
              <w:ind w:right="71"/>
              <w:jc w:val="right"/>
              <w:rPr>
                <w:sz w:val="18"/>
              </w:rPr>
            </w:pPr>
            <w:r>
              <w:rPr>
                <w:spacing w:val="-2"/>
                <w:sz w:val="18"/>
              </w:rPr>
              <w:t>(8,925,457)</w:t>
            </w:r>
          </w:p>
        </w:tc>
        <w:tc>
          <w:tcPr>
            <w:tcW w:w="1618" w:type="dxa"/>
            <w:tcBorders>
              <w:top w:val="single" w:sz="6" w:space="0" w:color="000000"/>
              <w:bottom w:val="single" w:sz="6" w:space="0" w:color="000000"/>
            </w:tcBorders>
            <w:shd w:val="clear" w:color="auto" w:fill="CCEDFF"/>
          </w:tcPr>
          <w:p>
            <w:pPr>
              <w:pStyle w:val="TableParagraph"/>
              <w:spacing w:before="20"/>
              <w:ind w:right="63"/>
              <w:jc w:val="right"/>
              <w:rPr>
                <w:sz w:val="18"/>
              </w:rPr>
            </w:pPr>
            <w:r>
              <w:rPr>
                <w:spacing w:val="-2"/>
                <w:sz w:val="18"/>
              </w:rPr>
              <w:t>(5,326,726)</w:t>
            </w:r>
          </w:p>
        </w:tc>
      </w:tr>
      <w:tr>
        <w:trPr>
          <w:trHeight w:val="255" w:hRule="atLeast"/>
        </w:trPr>
        <w:tc>
          <w:tcPr>
            <w:tcW w:w="5712" w:type="dxa"/>
          </w:tcPr>
          <w:p>
            <w:pPr>
              <w:pStyle w:val="TableParagraph"/>
              <w:spacing w:before="20"/>
              <w:ind w:left="17"/>
              <w:rPr>
                <w:sz w:val="18"/>
              </w:rPr>
            </w:pPr>
            <w:r>
              <w:rPr>
                <w:sz w:val="18"/>
              </w:rPr>
              <w:t>Deferred</w:t>
            </w:r>
            <w:r>
              <w:rPr>
                <w:spacing w:val="-1"/>
                <w:sz w:val="18"/>
              </w:rPr>
              <w:t> </w:t>
            </w:r>
            <w:r>
              <w:rPr>
                <w:sz w:val="18"/>
              </w:rPr>
              <w:t>tax</w:t>
            </w:r>
            <w:r>
              <w:rPr>
                <w:spacing w:val="-1"/>
                <w:sz w:val="18"/>
              </w:rPr>
              <w:t> </w:t>
            </w:r>
            <w:r>
              <w:rPr>
                <w:sz w:val="18"/>
              </w:rPr>
              <w:t>liabilities</w:t>
            </w:r>
            <w:r>
              <w:rPr>
                <w:spacing w:val="-1"/>
                <w:sz w:val="18"/>
              </w:rPr>
              <w:t> </w:t>
            </w:r>
            <w:r>
              <w:rPr>
                <w:sz w:val="18"/>
              </w:rPr>
              <w:t>–</w:t>
            </w:r>
            <w:r>
              <w:rPr>
                <w:spacing w:val="-1"/>
                <w:sz w:val="18"/>
              </w:rPr>
              <w:t> </w:t>
            </w:r>
            <w:r>
              <w:rPr>
                <w:spacing w:val="-2"/>
                <w:sz w:val="18"/>
              </w:rPr>
              <w:t>foreign:</w:t>
            </w:r>
          </w:p>
        </w:tc>
        <w:tc>
          <w:tcPr>
            <w:tcW w:w="4188" w:type="dxa"/>
            <w:tcBorders>
              <w:top w:val="single" w:sz="6" w:space="0" w:color="000000"/>
            </w:tcBorders>
          </w:tcPr>
          <w:p>
            <w:pPr>
              <w:pStyle w:val="TableParagraph"/>
              <w:spacing w:before="0"/>
              <w:rPr>
                <w:sz w:val="16"/>
              </w:rPr>
            </w:pPr>
          </w:p>
        </w:tc>
        <w:tc>
          <w:tcPr>
            <w:tcW w:w="1618" w:type="dxa"/>
            <w:tcBorders>
              <w:top w:val="single" w:sz="6" w:space="0" w:color="000000"/>
            </w:tcBorders>
          </w:tcPr>
          <w:p>
            <w:pPr>
              <w:pStyle w:val="TableParagraph"/>
              <w:spacing w:before="0"/>
              <w:rPr>
                <w:sz w:val="16"/>
              </w:rPr>
            </w:pPr>
          </w:p>
        </w:tc>
      </w:tr>
      <w:tr>
        <w:trPr>
          <w:trHeight w:val="255" w:hRule="atLeast"/>
        </w:trPr>
        <w:tc>
          <w:tcPr>
            <w:tcW w:w="5712" w:type="dxa"/>
            <w:shd w:val="clear" w:color="auto" w:fill="CCEDFF"/>
          </w:tcPr>
          <w:p>
            <w:pPr>
              <w:pStyle w:val="TableParagraph"/>
              <w:ind w:left="217"/>
              <w:rPr>
                <w:sz w:val="18"/>
              </w:rPr>
            </w:pPr>
            <w:r>
              <w:rPr>
                <w:sz w:val="18"/>
              </w:rPr>
              <w:t>Intangibles</w:t>
            </w:r>
            <w:r>
              <w:rPr>
                <w:spacing w:val="-1"/>
                <w:sz w:val="18"/>
              </w:rPr>
              <w:t> </w:t>
            </w:r>
            <w:r>
              <w:rPr>
                <w:sz w:val="18"/>
              </w:rPr>
              <w:t>and</w:t>
            </w:r>
            <w:r>
              <w:rPr>
                <w:spacing w:val="-1"/>
                <w:sz w:val="18"/>
              </w:rPr>
              <w:t> </w:t>
            </w:r>
            <w:r>
              <w:rPr>
                <w:spacing w:val="-2"/>
                <w:sz w:val="18"/>
              </w:rPr>
              <w:t>other</w:t>
            </w:r>
          </w:p>
        </w:tc>
        <w:tc>
          <w:tcPr>
            <w:tcW w:w="4188" w:type="dxa"/>
            <w:tcBorders>
              <w:bottom w:val="single" w:sz="6" w:space="0" w:color="000000"/>
            </w:tcBorders>
            <w:shd w:val="clear" w:color="auto" w:fill="CCEDFF"/>
          </w:tcPr>
          <w:p>
            <w:pPr>
              <w:pStyle w:val="TableParagraph"/>
              <w:ind w:right="72"/>
              <w:jc w:val="right"/>
              <w:rPr>
                <w:sz w:val="18"/>
              </w:rPr>
            </w:pPr>
            <w:r>
              <w:rPr>
                <w:spacing w:val="-2"/>
                <w:sz w:val="18"/>
              </w:rPr>
              <w:t>(29,696)</w:t>
            </w:r>
          </w:p>
        </w:tc>
        <w:tc>
          <w:tcPr>
            <w:tcW w:w="1618" w:type="dxa"/>
            <w:tcBorders>
              <w:bottom w:val="single" w:sz="6" w:space="0" w:color="000000"/>
            </w:tcBorders>
            <w:shd w:val="clear" w:color="auto" w:fill="CCEDFF"/>
          </w:tcPr>
          <w:p>
            <w:pPr>
              <w:pStyle w:val="TableParagraph"/>
              <w:ind w:right="63"/>
              <w:jc w:val="right"/>
              <w:rPr>
                <w:sz w:val="18"/>
              </w:rPr>
            </w:pPr>
            <w:r>
              <w:rPr>
                <w:spacing w:val="-2"/>
                <w:sz w:val="18"/>
              </w:rPr>
              <w:t>(307,918)</w:t>
            </w:r>
          </w:p>
        </w:tc>
      </w:tr>
      <w:tr>
        <w:trPr>
          <w:trHeight w:val="255" w:hRule="atLeast"/>
        </w:trPr>
        <w:tc>
          <w:tcPr>
            <w:tcW w:w="5712" w:type="dxa"/>
          </w:tcPr>
          <w:p>
            <w:pPr>
              <w:pStyle w:val="TableParagraph"/>
              <w:spacing w:before="0"/>
              <w:rPr>
                <w:sz w:val="16"/>
              </w:rPr>
            </w:pPr>
          </w:p>
        </w:tc>
        <w:tc>
          <w:tcPr>
            <w:tcW w:w="4188" w:type="dxa"/>
            <w:tcBorders>
              <w:top w:val="single" w:sz="6" w:space="0" w:color="000000"/>
            </w:tcBorders>
          </w:tcPr>
          <w:p>
            <w:pPr>
              <w:pStyle w:val="TableParagraph"/>
              <w:spacing w:before="20"/>
              <w:ind w:right="72"/>
              <w:jc w:val="right"/>
              <w:rPr>
                <w:sz w:val="18"/>
              </w:rPr>
            </w:pPr>
            <w:r>
              <w:rPr>
                <w:spacing w:val="-2"/>
                <w:sz w:val="18"/>
              </w:rPr>
              <w:t>(29,696)</w:t>
            </w:r>
          </w:p>
        </w:tc>
        <w:tc>
          <w:tcPr>
            <w:tcW w:w="1618" w:type="dxa"/>
            <w:tcBorders>
              <w:top w:val="single" w:sz="6" w:space="0" w:color="000000"/>
            </w:tcBorders>
          </w:tcPr>
          <w:p>
            <w:pPr>
              <w:pStyle w:val="TableParagraph"/>
              <w:spacing w:before="20"/>
              <w:ind w:right="63"/>
              <w:jc w:val="right"/>
              <w:rPr>
                <w:sz w:val="18"/>
              </w:rPr>
            </w:pPr>
            <w:r>
              <w:rPr>
                <w:spacing w:val="-2"/>
                <w:sz w:val="18"/>
              </w:rPr>
              <w:t>(307,918)</w:t>
            </w:r>
          </w:p>
        </w:tc>
      </w:tr>
      <w:tr>
        <w:trPr>
          <w:trHeight w:val="260" w:hRule="atLeast"/>
        </w:trPr>
        <w:tc>
          <w:tcPr>
            <w:tcW w:w="5712" w:type="dxa"/>
            <w:shd w:val="clear" w:color="auto" w:fill="CCEDFF"/>
          </w:tcPr>
          <w:p>
            <w:pPr>
              <w:pStyle w:val="TableParagraph"/>
              <w:spacing w:line="193" w:lineRule="exact" w:before="48"/>
              <w:ind w:left="217"/>
              <w:rPr>
                <w:sz w:val="18"/>
              </w:rPr>
            </w:pPr>
            <w:r>
              <w:rPr>
                <w:sz w:val="18"/>
              </w:rPr>
              <w:t>Total</w:t>
            </w:r>
            <w:r>
              <w:rPr>
                <w:spacing w:val="-6"/>
                <w:sz w:val="18"/>
              </w:rPr>
              <w:t> </w:t>
            </w:r>
            <w:r>
              <w:rPr>
                <w:sz w:val="18"/>
              </w:rPr>
              <w:t>deferred</w:t>
            </w:r>
            <w:r>
              <w:rPr>
                <w:spacing w:val="-5"/>
                <w:sz w:val="18"/>
              </w:rPr>
              <w:t> </w:t>
            </w:r>
            <w:r>
              <w:rPr>
                <w:sz w:val="18"/>
              </w:rPr>
              <w:t>tax</w:t>
            </w:r>
            <w:r>
              <w:rPr>
                <w:spacing w:val="-5"/>
                <w:sz w:val="18"/>
              </w:rPr>
              <w:t> </w:t>
            </w:r>
            <w:r>
              <w:rPr>
                <w:spacing w:val="-2"/>
                <w:sz w:val="18"/>
              </w:rPr>
              <w:t>liability</w:t>
            </w:r>
          </w:p>
        </w:tc>
        <w:tc>
          <w:tcPr>
            <w:tcW w:w="4188" w:type="dxa"/>
            <w:tcBorders>
              <w:bottom w:val="double" w:sz="6" w:space="0" w:color="000000"/>
            </w:tcBorders>
            <w:shd w:val="clear" w:color="auto" w:fill="CCEDFF"/>
          </w:tcPr>
          <w:p>
            <w:pPr>
              <w:pStyle w:val="TableParagraph"/>
              <w:ind w:right="71"/>
              <w:jc w:val="right"/>
              <w:rPr>
                <w:sz w:val="18"/>
              </w:rPr>
            </w:pPr>
            <w:r>
              <w:rPr>
                <w:spacing w:val="-2"/>
                <w:sz w:val="18"/>
              </w:rPr>
              <w:t>(8,955,153)</w:t>
            </w:r>
          </w:p>
        </w:tc>
        <w:tc>
          <w:tcPr>
            <w:tcW w:w="1618" w:type="dxa"/>
            <w:tcBorders>
              <w:bottom w:val="double" w:sz="6" w:space="0" w:color="000000"/>
            </w:tcBorders>
            <w:shd w:val="clear" w:color="auto" w:fill="CCEDFF"/>
          </w:tcPr>
          <w:p>
            <w:pPr>
              <w:pStyle w:val="TableParagraph"/>
              <w:ind w:right="63"/>
              <w:jc w:val="right"/>
              <w:rPr>
                <w:sz w:val="18"/>
              </w:rPr>
            </w:pPr>
            <w:r>
              <w:rPr>
                <w:spacing w:val="-2"/>
                <w:sz w:val="18"/>
              </w:rPr>
              <w:t>(5,634,644)</w:t>
            </w:r>
          </w:p>
        </w:tc>
      </w:tr>
      <w:tr>
        <w:trPr>
          <w:trHeight w:val="314" w:hRule="atLeast"/>
        </w:trPr>
        <w:tc>
          <w:tcPr>
            <w:tcW w:w="5712" w:type="dxa"/>
          </w:tcPr>
          <w:p>
            <w:pPr>
              <w:pStyle w:val="TableParagraph"/>
              <w:spacing w:before="52"/>
              <w:ind w:left="217"/>
              <w:rPr>
                <w:sz w:val="18"/>
              </w:rPr>
            </w:pPr>
            <w:r>
              <w:rPr>
                <w:sz w:val="18"/>
              </w:rPr>
              <w:t>Net</w:t>
            </w:r>
            <w:r>
              <w:rPr>
                <w:spacing w:val="-1"/>
                <w:sz w:val="18"/>
              </w:rPr>
              <w:t> </w:t>
            </w:r>
            <w:r>
              <w:rPr>
                <w:sz w:val="18"/>
              </w:rPr>
              <w:t>deferred</w:t>
            </w:r>
            <w:r>
              <w:rPr>
                <w:spacing w:val="-1"/>
                <w:sz w:val="18"/>
              </w:rPr>
              <w:t> </w:t>
            </w:r>
            <w:r>
              <w:rPr>
                <w:sz w:val="18"/>
              </w:rPr>
              <w:t>tax</w:t>
            </w:r>
            <w:r>
              <w:rPr>
                <w:spacing w:val="-1"/>
                <w:sz w:val="18"/>
              </w:rPr>
              <w:t> </w:t>
            </w:r>
            <w:r>
              <w:rPr>
                <w:spacing w:val="-2"/>
                <w:sz w:val="18"/>
              </w:rPr>
              <w:t>liability</w:t>
            </w:r>
          </w:p>
        </w:tc>
        <w:tc>
          <w:tcPr>
            <w:tcW w:w="4188" w:type="dxa"/>
            <w:tcBorders>
              <w:top w:val="double" w:sz="6" w:space="0" w:color="000000"/>
            </w:tcBorders>
          </w:tcPr>
          <w:p>
            <w:pPr>
              <w:pStyle w:val="TableParagraph"/>
              <w:tabs>
                <w:tab w:pos="640" w:val="left" w:leader="none"/>
              </w:tabs>
              <w:spacing w:before="25"/>
              <w:ind w:right="71"/>
              <w:jc w:val="right"/>
              <w:rPr>
                <w:sz w:val="18"/>
              </w:rPr>
            </w:pPr>
            <w:r>
              <w:rPr/>
              <mc:AlternateContent>
                <mc:Choice Requires="wps">
                  <w:drawing>
                    <wp:anchor distT="0" distB="0" distL="0" distR="0" allowOverlap="1" layoutInCell="1" locked="0" behindDoc="1" simplePos="0" relativeHeight="477741568">
                      <wp:simplePos x="0" y="0"/>
                      <wp:positionH relativeFrom="column">
                        <wp:posOffset>1662400</wp:posOffset>
                      </wp:positionH>
                      <wp:positionV relativeFrom="paragraph">
                        <wp:posOffset>165475</wp:posOffset>
                      </wp:positionV>
                      <wp:extent cx="969010" cy="34290"/>
                      <wp:effectExtent l="0" t="0" r="0" b="0"/>
                      <wp:wrapNone/>
                      <wp:docPr id="560" name="Group 560"/>
                      <wp:cNvGraphicFramePr>
                        <a:graphicFrameLocks/>
                      </wp:cNvGraphicFramePr>
                      <a:graphic>
                        <a:graphicData uri="http://schemas.microsoft.com/office/word/2010/wordprocessingGroup">
                          <wpg:wgp>
                            <wpg:cNvPr id="560" name="Group 560"/>
                            <wpg:cNvGrpSpPr/>
                            <wpg:grpSpPr>
                              <a:xfrm>
                                <a:off x="0" y="0"/>
                                <a:ext cx="969010" cy="34290"/>
                                <a:chExt cx="969010" cy="34290"/>
                              </a:xfrm>
                            </wpg:grpSpPr>
                            <wps:wsp>
                              <wps:cNvPr id="561" name="Graphic 561"/>
                              <wps:cNvSpPr/>
                              <wps:spPr>
                                <a:xfrm>
                                  <a:off x="-12" y="-6"/>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897659pt;margin-top:13.029529pt;width:76.3pt;height:2.7pt;mso-position-horizontal-relative:column;mso-position-vertical-relative:paragraph;z-index:-25574912" id="docshapegroup558" coordorigin="2618,261" coordsize="1526,54">
                      <v:shape style="position:absolute;left:2617;top:260;width:1526;height:54" id="docshape559" coordorigin="2618,261" coordsize="1526,54" path="m4143,301l4116,301,2726,301,2618,301,2618,315,2726,315,4116,315,4143,315,4143,301xm4143,261l4116,261,2726,261,2618,261,2618,274,2726,274,4116,274,4143,274,4143,261xe" filled="true" fillcolor="#000000" stroked="false">
                        <v:path arrowok="t"/>
                        <v:fill type="solid"/>
                      </v:shape>
                      <w10:wrap type="none"/>
                    </v:group>
                  </w:pict>
                </mc:Fallback>
              </mc:AlternateContent>
            </w:r>
            <w:r>
              <w:rPr>
                <w:spacing w:val="-10"/>
                <w:sz w:val="18"/>
              </w:rPr>
              <w:t>$</w:t>
            </w:r>
            <w:r>
              <w:rPr>
                <w:sz w:val="18"/>
              </w:rPr>
              <w:tab/>
            </w:r>
            <w:r>
              <w:rPr>
                <w:spacing w:val="-2"/>
                <w:sz w:val="18"/>
              </w:rPr>
              <w:t>(2,969,443)</w:t>
            </w:r>
          </w:p>
        </w:tc>
        <w:tc>
          <w:tcPr>
            <w:tcW w:w="1618" w:type="dxa"/>
            <w:tcBorders>
              <w:top w:val="double" w:sz="6" w:space="0" w:color="000000"/>
            </w:tcBorders>
          </w:tcPr>
          <w:p>
            <w:pPr>
              <w:pStyle w:val="TableParagraph"/>
              <w:tabs>
                <w:tab w:pos="641" w:val="left" w:leader="none"/>
              </w:tabs>
              <w:spacing w:before="25"/>
              <w:ind w:right="63"/>
              <w:jc w:val="right"/>
              <w:rPr>
                <w:sz w:val="18"/>
              </w:rPr>
            </w:pPr>
            <w:r>
              <w:rPr/>
              <mc:AlternateContent>
                <mc:Choice Requires="wps">
                  <w:drawing>
                    <wp:anchor distT="0" distB="0" distL="0" distR="0" allowOverlap="1" layoutInCell="1" locked="0" behindDoc="1" simplePos="0" relativeHeight="477742080">
                      <wp:simplePos x="0" y="0"/>
                      <wp:positionH relativeFrom="column">
                        <wp:posOffset>32292</wp:posOffset>
                      </wp:positionH>
                      <wp:positionV relativeFrom="paragraph">
                        <wp:posOffset>165475</wp:posOffset>
                      </wp:positionV>
                      <wp:extent cx="969010" cy="34290"/>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969010" cy="34290"/>
                                <a:chExt cx="969010" cy="34290"/>
                              </a:xfrm>
                            </wpg:grpSpPr>
                            <wps:wsp>
                              <wps:cNvPr id="563" name="Graphic 563"/>
                              <wps:cNvSpPr/>
                              <wps:spPr>
                                <a:xfrm>
                                  <a:off x="-11" y="-6"/>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42728pt;margin-top:13.029529pt;width:76.3pt;height:2.7pt;mso-position-horizontal-relative:column;mso-position-vertical-relative:paragraph;z-index:-25574400" id="docshapegroup560" coordorigin="51,261" coordsize="1526,54">
                      <v:shape style="position:absolute;left:50;top:260;width:1526;height:54" id="docshape561" coordorigin="51,261" coordsize="1526,54" path="m1576,301l1549,301,172,301,51,301,51,315,172,315,1549,315,1576,315,1576,301xm1576,261l1549,261,172,261,51,261,51,274,172,274,1549,274,1576,274,1576,261xe" filled="true" fillcolor="#000000" stroked="false">
                        <v:path arrowok="t"/>
                        <v:fill type="solid"/>
                      </v:shape>
                      <w10:wrap type="none"/>
                    </v:group>
                  </w:pict>
                </mc:Fallback>
              </mc:AlternateContent>
            </w:r>
            <w:r>
              <w:rPr>
                <w:spacing w:val="-10"/>
                <w:sz w:val="18"/>
              </w:rPr>
              <w:t>$</w:t>
            </w:r>
            <w:r>
              <w:rPr>
                <w:sz w:val="18"/>
              </w:rPr>
              <w:tab/>
            </w:r>
            <w:r>
              <w:rPr>
                <w:spacing w:val="-2"/>
                <w:sz w:val="18"/>
              </w:rPr>
              <w:t>(2,439,364)</w:t>
            </w:r>
          </w:p>
        </w:tc>
      </w:tr>
    </w:tbl>
    <w:p>
      <w:pPr>
        <w:pStyle w:val="BodyText"/>
        <w:rPr>
          <w:b/>
          <w:i/>
        </w:rPr>
      </w:pPr>
    </w:p>
    <w:p>
      <w:pPr>
        <w:pStyle w:val="BodyText"/>
        <w:rPr>
          <w:b/>
          <w:i/>
        </w:rPr>
      </w:pPr>
    </w:p>
    <w:p>
      <w:pPr>
        <w:pStyle w:val="BodyText"/>
        <w:rPr>
          <w:b/>
          <w:i/>
        </w:rPr>
      </w:pPr>
    </w:p>
    <w:p>
      <w:pPr>
        <w:pStyle w:val="BodyText"/>
        <w:spacing w:before="103"/>
        <w:rPr>
          <w:b/>
          <w:i/>
        </w:rPr>
      </w:pPr>
    </w:p>
    <w:p>
      <w:pPr>
        <w:pStyle w:val="BodyText"/>
        <w:ind w:left="24"/>
        <w:jc w:val="center"/>
      </w:pPr>
      <w:r>
        <w:rPr>
          <w:spacing w:val="-5"/>
        </w:rPr>
        <w:t>84</w:t>
      </w:r>
    </w:p>
    <w:p>
      <w:pPr>
        <w:pStyle w:val="BodyText"/>
        <w:spacing w:before="3"/>
        <w:rPr>
          <w:sz w:val="6"/>
        </w:rPr>
      </w:pPr>
      <w:r>
        <w:rPr/>
        <mc:AlternateContent>
          <mc:Choice Requires="wps">
            <w:drawing>
              <wp:anchor distT="0" distB="0" distL="0" distR="0" allowOverlap="1" layoutInCell="1" locked="0" behindDoc="1" simplePos="0" relativeHeight="487699968">
                <wp:simplePos x="0" y="0"/>
                <wp:positionH relativeFrom="page">
                  <wp:posOffset>231457</wp:posOffset>
                </wp:positionH>
                <wp:positionV relativeFrom="paragraph">
                  <wp:posOffset>60956</wp:posOffset>
                </wp:positionV>
                <wp:extent cx="7312659" cy="17145"/>
                <wp:effectExtent l="0" t="0" r="0" b="0"/>
                <wp:wrapTopAndBottom/>
                <wp:docPr id="564" name="Group 564"/>
                <wp:cNvGraphicFramePr>
                  <a:graphicFrameLocks/>
                </wp:cNvGraphicFramePr>
                <a:graphic>
                  <a:graphicData uri="http://schemas.microsoft.com/office/word/2010/wordprocessingGroup">
                    <wpg:wgp>
                      <wpg:cNvPr id="564" name="Group 564"/>
                      <wpg:cNvGrpSpPr/>
                      <wpg:grpSpPr>
                        <a:xfrm>
                          <a:off x="0" y="0"/>
                          <a:ext cx="7312659" cy="17145"/>
                          <a:chExt cx="7312659" cy="17145"/>
                        </a:xfrm>
                      </wpg:grpSpPr>
                      <wps:wsp>
                        <wps:cNvPr id="565" name="Graphic 56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66" name="Graphic 566"/>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67" name="Graphic 56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16512;mso-wrap-distance-left:0;mso-wrap-distance-right:0" id="docshapegroup562" coordorigin="364,96" coordsize="11516,27">
                <v:rect style="position:absolute;left:364;top:96;width:11516;height:14" id="docshape563" filled="true" fillcolor="#999999" stroked="false">
                  <v:fill type="solid"/>
                </v:rect>
                <v:shape style="position:absolute;left:364;top:95;width:11516;height:27" id="docshape564" coordorigin="364,96" coordsize="11516,27" path="m11880,96l11866,109,364,109,364,123,11866,123,11880,123,11880,109,11880,96xe" filled="true" fillcolor="#ededed" stroked="false">
                  <v:path arrowok="t"/>
                  <v:fill type="solid"/>
                </v:shape>
                <v:shape style="position:absolute;left:364;top:96;width:14;height:27" id="docshape565"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BodyText"/>
        <w:spacing w:before="69"/>
        <w:ind w:left="644"/>
      </w:pPr>
      <w:r>
        <w:rPr/>
        <w:t>Deferred</w:t>
      </w:r>
      <w:r>
        <w:rPr>
          <w:spacing w:val="-1"/>
        </w:rPr>
        <w:t> </w:t>
      </w:r>
      <w:r>
        <w:rPr/>
        <w:t>income</w:t>
      </w:r>
      <w:r>
        <w:rPr>
          <w:spacing w:val="-1"/>
        </w:rPr>
        <w:t> </w:t>
      </w:r>
      <w:r>
        <w:rPr/>
        <w:t>tax</w:t>
      </w:r>
      <w:r>
        <w:rPr>
          <w:spacing w:val="-1"/>
        </w:rPr>
        <w:t> </w:t>
      </w:r>
      <w:r>
        <w:rPr/>
        <w:t>valuation</w:t>
      </w:r>
      <w:r>
        <w:rPr>
          <w:spacing w:val="-1"/>
        </w:rPr>
        <w:t> </w:t>
      </w:r>
      <w:r>
        <w:rPr/>
        <w:t>allowance</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Heading5"/>
        <w:spacing w:line="235" w:lineRule="auto" w:before="67"/>
        <w:ind w:left="5440" w:right="3123" w:firstLine="85"/>
        <w:jc w:val="left"/>
      </w:pPr>
      <w:r>
        <w:rPr/>
        <w:t>Balance at Beginning</w:t>
      </w:r>
      <w:r>
        <w:rPr>
          <w:spacing w:val="-1"/>
        </w:rPr>
        <w:t> </w:t>
      </w:r>
      <w:r>
        <w:rPr>
          <w:spacing w:val="-5"/>
        </w:rPr>
        <w:t>of</w:t>
      </w:r>
    </w:p>
    <w:p>
      <w:pPr>
        <w:tabs>
          <w:tab w:pos="7215" w:val="left" w:leader="none"/>
          <w:tab w:pos="8814" w:val="left" w:leader="none"/>
        </w:tabs>
        <w:spacing w:line="203" w:lineRule="exact" w:before="0"/>
        <w:ind w:left="5672" w:right="0" w:firstLine="0"/>
        <w:jc w:val="left"/>
        <w:rPr>
          <w:b/>
          <w:sz w:val="18"/>
        </w:rPr>
      </w:pPr>
      <w:r>
        <w:rPr>
          <w:b/>
          <w:spacing w:val="-2"/>
          <w:sz w:val="18"/>
        </w:rPr>
        <w:t>Period</w:t>
      </w:r>
      <w:r>
        <w:rPr>
          <w:b/>
          <w:sz w:val="18"/>
        </w:rPr>
        <w:tab/>
      </w:r>
      <w:r>
        <w:rPr>
          <w:b/>
          <w:spacing w:val="-2"/>
          <w:sz w:val="18"/>
        </w:rPr>
        <w:t>Increase</w:t>
      </w:r>
      <w:r>
        <w:rPr>
          <w:b/>
          <w:sz w:val="18"/>
        </w:rPr>
        <w:tab/>
      </w:r>
      <w:r>
        <w:rPr>
          <w:b/>
          <w:spacing w:val="-2"/>
          <w:sz w:val="18"/>
        </w:rPr>
        <w:t>Decrease</w:t>
      </w:r>
    </w:p>
    <w:p>
      <w:pPr>
        <w:tabs>
          <w:tab w:pos="7916" w:val="left" w:leader="none"/>
        </w:tabs>
        <w:spacing w:before="49"/>
        <w:ind w:left="162" w:right="0" w:firstLine="0"/>
        <w:jc w:val="left"/>
        <w:rPr>
          <w:b/>
          <w:i/>
          <w:sz w:val="14"/>
        </w:rPr>
      </w:pPr>
      <w:r>
        <w:rPr/>
        <mc:AlternateContent>
          <mc:Choice Requires="wps">
            <w:drawing>
              <wp:anchor distT="0" distB="0" distL="0" distR="0" allowOverlap="1" layoutInCell="1" locked="0" behindDoc="0" simplePos="0" relativeHeight="15842816">
                <wp:simplePos x="0" y="0"/>
                <wp:positionH relativeFrom="page">
                  <wp:posOffset>3420414</wp:posOffset>
                </wp:positionH>
                <wp:positionV relativeFrom="paragraph">
                  <wp:posOffset>18069</wp:posOffset>
                </wp:positionV>
                <wp:extent cx="4046220" cy="889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4046220" cy="8890"/>
                        </a:xfrm>
                        <a:custGeom>
                          <a:avLst/>
                          <a:gdLst/>
                          <a:ahLst/>
                          <a:cxnLst/>
                          <a:rect l="l" t="t" r="r" b="b"/>
                          <a:pathLst>
                            <a:path w="4046220" h="8890">
                              <a:moveTo>
                                <a:pt x="4046220" y="0"/>
                              </a:moveTo>
                              <a:lnTo>
                                <a:pt x="4046220" y="0"/>
                              </a:lnTo>
                              <a:lnTo>
                                <a:pt x="0" y="0"/>
                              </a:lnTo>
                              <a:lnTo>
                                <a:pt x="0" y="8572"/>
                              </a:lnTo>
                              <a:lnTo>
                                <a:pt x="4046220" y="8572"/>
                              </a:lnTo>
                              <a:lnTo>
                                <a:pt x="4046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324005pt;margin-top:1.422772pt;width:318.600015pt;height:.675pt;mso-position-horizontal-relative:page;mso-position-vertical-relative:paragraph;z-index:15842816" id="docshape566" filled="true" fillcolor="#000000" stroked="false">
                <v:fill type="solid"/>
                <w10:wrap type="none"/>
              </v:rect>
            </w:pict>
          </mc:Fallback>
        </mc:AlternateContent>
      </w:r>
      <w:r>
        <w:rPr>
          <w:sz w:val="18"/>
        </w:rPr>
        <w:t>Deferred</w:t>
      </w:r>
      <w:r>
        <w:rPr>
          <w:spacing w:val="-1"/>
          <w:sz w:val="18"/>
        </w:rPr>
        <w:t> </w:t>
      </w:r>
      <w:r>
        <w:rPr>
          <w:sz w:val="18"/>
        </w:rPr>
        <w:t>income</w:t>
      </w:r>
      <w:r>
        <w:rPr>
          <w:spacing w:val="-1"/>
          <w:sz w:val="18"/>
        </w:rPr>
        <w:t> </w:t>
      </w:r>
      <w:r>
        <w:rPr>
          <w:sz w:val="18"/>
        </w:rPr>
        <w:t>tax</w:t>
      </w:r>
      <w:r>
        <w:rPr>
          <w:spacing w:val="-1"/>
          <w:sz w:val="18"/>
        </w:rPr>
        <w:t> </w:t>
      </w:r>
      <w:r>
        <w:rPr>
          <w:sz w:val="18"/>
        </w:rPr>
        <w:t>valuation</w:t>
      </w:r>
      <w:r>
        <w:rPr>
          <w:spacing w:val="-1"/>
          <w:sz w:val="18"/>
        </w:rPr>
        <w:t> </w:t>
      </w:r>
      <w:r>
        <w:rPr>
          <w:spacing w:val="-2"/>
          <w:sz w:val="18"/>
        </w:rPr>
        <w:t>allowance:</w:t>
      </w:r>
      <w:r>
        <w:rPr>
          <w:sz w:val="18"/>
        </w:rPr>
        <w:tab/>
      </w:r>
      <w:r>
        <w:rPr>
          <w:b/>
          <w:i/>
          <w:position w:val="1"/>
          <w:sz w:val="14"/>
        </w:rPr>
        <w:t>(In</w:t>
      </w:r>
      <w:r>
        <w:rPr>
          <w:b/>
          <w:i/>
          <w:spacing w:val="3"/>
          <w:position w:val="1"/>
          <w:sz w:val="14"/>
        </w:rPr>
        <w:t> </w:t>
      </w:r>
      <w:r>
        <w:rPr>
          <w:b/>
          <w:i/>
          <w:spacing w:val="-2"/>
          <w:position w:val="1"/>
          <w:sz w:val="14"/>
        </w:rPr>
        <w:t>thousands)</w:t>
      </w:r>
    </w:p>
    <w:p>
      <w:pPr>
        <w:spacing w:line="240" w:lineRule="auto" w:before="0"/>
        <w:rPr>
          <w:b/>
          <w:i/>
          <w:sz w:val="18"/>
        </w:rPr>
      </w:pPr>
      <w:r>
        <w:rPr/>
        <w:br w:type="column"/>
      </w:r>
      <w:r>
        <w:rPr>
          <w:b/>
          <w:i/>
          <w:sz w:val="18"/>
        </w:rPr>
      </w:r>
    </w:p>
    <w:p>
      <w:pPr>
        <w:pStyle w:val="BodyText"/>
        <w:spacing w:before="131"/>
        <w:rPr>
          <w:b/>
          <w:i/>
        </w:rPr>
      </w:pPr>
    </w:p>
    <w:p>
      <w:pPr>
        <w:pStyle w:val="Heading5"/>
        <w:spacing w:line="235" w:lineRule="auto"/>
        <w:ind w:left="589" w:right="315" w:hanging="428"/>
        <w:jc w:val="left"/>
      </w:pPr>
      <w:r>
        <w:rPr/>
        <w:t>Balance</w:t>
      </w:r>
      <w:r>
        <w:rPr>
          <w:spacing w:val="-12"/>
        </w:rPr>
        <w:t> </w:t>
      </w:r>
      <w:r>
        <w:rPr/>
        <w:t>at</w:t>
      </w:r>
      <w:r>
        <w:rPr>
          <w:spacing w:val="-11"/>
        </w:rPr>
        <w:t> </w:t>
      </w:r>
      <w:r>
        <w:rPr/>
        <w:t>End</w:t>
      </w:r>
      <w:r>
        <w:rPr>
          <w:spacing w:val="-11"/>
        </w:rPr>
        <w:t> </w:t>
      </w:r>
      <w:r>
        <w:rPr/>
        <w:t>of </w:t>
      </w:r>
      <w:r>
        <w:rPr>
          <w:spacing w:val="-2"/>
        </w:rPr>
        <w:t>Period</w:t>
      </w:r>
    </w:p>
    <w:p>
      <w:pPr>
        <w:spacing w:after="0" w:line="235" w:lineRule="auto"/>
        <w:jc w:val="left"/>
        <w:sectPr>
          <w:pgSz w:w="12240" w:h="15840"/>
          <w:pgMar w:top="1180" w:bottom="280" w:left="220" w:right="240"/>
          <w:cols w:num="2" w:equalWidth="0">
            <w:col w:w="9541" w:space="394"/>
            <w:col w:w="1845"/>
          </w:cols>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3"/>
        <w:gridCol w:w="2830"/>
        <w:gridCol w:w="1608"/>
        <w:gridCol w:w="769"/>
        <w:gridCol w:w="2454"/>
      </w:tblGrid>
      <w:tr>
        <w:trPr>
          <w:trHeight w:val="229" w:hRule="atLeast"/>
        </w:trPr>
        <w:tc>
          <w:tcPr>
            <w:tcW w:w="3733" w:type="dxa"/>
            <w:shd w:val="clear" w:color="auto" w:fill="CCEDFF"/>
          </w:tcPr>
          <w:p>
            <w:pPr>
              <w:pStyle w:val="TableParagraph"/>
              <w:spacing w:line="202" w:lineRule="exact" w:before="7"/>
              <w:ind w:left="125"/>
              <w:rPr>
                <w:sz w:val="18"/>
              </w:rPr>
            </w:pPr>
            <w:r>
              <w:rPr>
                <w:sz w:val="18"/>
              </w:rPr>
              <w:t>Year</w:t>
            </w:r>
            <w:r>
              <w:rPr>
                <w:spacing w:val="-6"/>
                <w:sz w:val="18"/>
              </w:rPr>
              <w:t> </w:t>
            </w:r>
            <w:r>
              <w:rPr>
                <w:sz w:val="18"/>
              </w:rPr>
              <w:t>Ended</w:t>
            </w:r>
            <w:r>
              <w:rPr>
                <w:spacing w:val="-6"/>
                <w:sz w:val="18"/>
              </w:rPr>
              <w:t> </w:t>
            </w:r>
            <w:r>
              <w:rPr>
                <w:sz w:val="18"/>
              </w:rPr>
              <w:t>December</w:t>
            </w:r>
            <w:r>
              <w:rPr>
                <w:spacing w:val="-6"/>
                <w:sz w:val="18"/>
              </w:rPr>
              <w:t> </w:t>
            </w:r>
            <w:r>
              <w:rPr>
                <w:sz w:val="18"/>
              </w:rPr>
              <w:t>31,</w:t>
            </w:r>
            <w:r>
              <w:rPr>
                <w:spacing w:val="-5"/>
                <w:sz w:val="18"/>
              </w:rPr>
              <w:t> </w:t>
            </w:r>
            <w:r>
              <w:rPr>
                <w:spacing w:val="-4"/>
                <w:sz w:val="18"/>
              </w:rPr>
              <w:t>2022</w:t>
            </w:r>
          </w:p>
        </w:tc>
        <w:tc>
          <w:tcPr>
            <w:tcW w:w="2830" w:type="dxa"/>
            <w:shd w:val="clear" w:color="auto" w:fill="CCEDFF"/>
          </w:tcPr>
          <w:p>
            <w:pPr>
              <w:pStyle w:val="TableParagraph"/>
              <w:tabs>
                <w:tab w:pos="703" w:val="left" w:leader="none"/>
              </w:tabs>
              <w:spacing w:line="202" w:lineRule="exact" w:before="7"/>
              <w:ind w:right="93"/>
              <w:jc w:val="right"/>
              <w:rPr>
                <w:sz w:val="18"/>
              </w:rPr>
            </w:pPr>
            <w:r>
              <w:rPr>
                <w:spacing w:val="-10"/>
                <w:sz w:val="18"/>
              </w:rPr>
              <w:t>$</w:t>
            </w:r>
            <w:r>
              <w:rPr>
                <w:sz w:val="18"/>
              </w:rPr>
              <w:tab/>
            </w:r>
            <w:r>
              <w:rPr>
                <w:spacing w:val="-2"/>
                <w:sz w:val="18"/>
              </w:rPr>
              <w:t>2,884,262</w:t>
            </w:r>
          </w:p>
        </w:tc>
        <w:tc>
          <w:tcPr>
            <w:tcW w:w="1608" w:type="dxa"/>
            <w:shd w:val="clear" w:color="auto" w:fill="CCEDFF"/>
          </w:tcPr>
          <w:p>
            <w:pPr>
              <w:pStyle w:val="TableParagraph"/>
              <w:tabs>
                <w:tab w:pos="1012" w:val="left" w:leader="none"/>
              </w:tabs>
              <w:spacing w:line="202" w:lineRule="exact" w:before="7"/>
              <w:ind w:right="93"/>
              <w:jc w:val="right"/>
              <w:rPr>
                <w:sz w:val="18"/>
              </w:rPr>
            </w:pPr>
            <w:r>
              <w:rPr>
                <w:spacing w:val="-10"/>
                <w:sz w:val="18"/>
              </w:rPr>
              <w:t>$</w:t>
            </w:r>
            <w:r>
              <w:rPr>
                <w:sz w:val="18"/>
              </w:rPr>
              <w:tab/>
            </w:r>
            <w:r>
              <w:rPr>
                <w:spacing w:val="-2"/>
                <w:sz w:val="18"/>
              </w:rPr>
              <w:t>2,313</w:t>
            </w:r>
          </w:p>
        </w:tc>
        <w:tc>
          <w:tcPr>
            <w:tcW w:w="769" w:type="dxa"/>
            <w:shd w:val="clear" w:color="auto" w:fill="CCEDFF"/>
          </w:tcPr>
          <w:p>
            <w:pPr>
              <w:pStyle w:val="TableParagraph"/>
              <w:spacing w:line="202" w:lineRule="exact" w:before="7"/>
              <w:ind w:left="94"/>
              <w:rPr>
                <w:sz w:val="18"/>
              </w:rPr>
            </w:pPr>
            <w:r>
              <w:rPr>
                <w:spacing w:val="-10"/>
                <w:sz w:val="18"/>
              </w:rPr>
              <w:t>$</w:t>
            </w:r>
          </w:p>
        </w:tc>
        <w:tc>
          <w:tcPr>
            <w:tcW w:w="2454" w:type="dxa"/>
            <w:shd w:val="clear" w:color="auto" w:fill="CCEDFF"/>
          </w:tcPr>
          <w:p>
            <w:pPr>
              <w:pStyle w:val="TableParagraph"/>
              <w:tabs>
                <w:tab w:pos="1076" w:val="left" w:leader="none"/>
              </w:tabs>
              <w:spacing w:line="202" w:lineRule="exact" w:before="7"/>
              <w:ind w:right="71"/>
              <w:jc w:val="right"/>
              <w:rPr>
                <w:sz w:val="18"/>
              </w:rPr>
            </w:pPr>
            <w:r>
              <w:rPr>
                <w:sz w:val="18"/>
              </w:rPr>
              <w:t>—</w:t>
            </w:r>
            <w:r>
              <w:rPr>
                <w:spacing w:val="51"/>
                <w:sz w:val="18"/>
              </w:rPr>
              <w:t>  </w:t>
            </w:r>
            <w:r>
              <w:rPr>
                <w:spacing w:val="-12"/>
                <w:sz w:val="18"/>
              </w:rPr>
              <w:t>$</w:t>
            </w:r>
            <w:r>
              <w:rPr>
                <w:sz w:val="18"/>
              </w:rPr>
              <w:tab/>
            </w:r>
            <w:r>
              <w:rPr>
                <w:spacing w:val="-2"/>
                <w:sz w:val="18"/>
              </w:rPr>
              <w:t>2,886,575</w:t>
            </w:r>
          </w:p>
        </w:tc>
      </w:tr>
      <w:tr>
        <w:trPr>
          <w:trHeight w:val="242" w:hRule="atLeast"/>
        </w:trPr>
        <w:tc>
          <w:tcPr>
            <w:tcW w:w="3733" w:type="dxa"/>
          </w:tcPr>
          <w:p>
            <w:pPr>
              <w:pStyle w:val="TableParagraph"/>
              <w:spacing w:before="7"/>
              <w:ind w:left="125"/>
              <w:rPr>
                <w:sz w:val="18"/>
              </w:rPr>
            </w:pPr>
            <w:r>
              <w:rPr>
                <w:sz w:val="18"/>
              </w:rPr>
              <w:t>Year</w:t>
            </w:r>
            <w:r>
              <w:rPr>
                <w:spacing w:val="-6"/>
                <w:sz w:val="18"/>
              </w:rPr>
              <w:t> </w:t>
            </w:r>
            <w:r>
              <w:rPr>
                <w:sz w:val="18"/>
              </w:rPr>
              <w:t>Ended</w:t>
            </w:r>
            <w:r>
              <w:rPr>
                <w:spacing w:val="-6"/>
                <w:sz w:val="18"/>
              </w:rPr>
              <w:t> </w:t>
            </w:r>
            <w:r>
              <w:rPr>
                <w:sz w:val="18"/>
              </w:rPr>
              <w:t>December</w:t>
            </w:r>
            <w:r>
              <w:rPr>
                <w:spacing w:val="-6"/>
                <w:sz w:val="18"/>
              </w:rPr>
              <w:t> </w:t>
            </w:r>
            <w:r>
              <w:rPr>
                <w:sz w:val="18"/>
              </w:rPr>
              <w:t>31,</w:t>
            </w:r>
            <w:r>
              <w:rPr>
                <w:spacing w:val="-5"/>
                <w:sz w:val="18"/>
              </w:rPr>
              <w:t> </w:t>
            </w:r>
            <w:r>
              <w:rPr>
                <w:spacing w:val="-4"/>
                <w:sz w:val="18"/>
              </w:rPr>
              <w:t>2021</w:t>
            </w:r>
          </w:p>
        </w:tc>
        <w:tc>
          <w:tcPr>
            <w:tcW w:w="2830" w:type="dxa"/>
          </w:tcPr>
          <w:p>
            <w:pPr>
              <w:pStyle w:val="TableParagraph"/>
              <w:spacing w:before="7"/>
              <w:ind w:right="93"/>
              <w:jc w:val="right"/>
              <w:rPr>
                <w:sz w:val="18"/>
              </w:rPr>
            </w:pPr>
            <w:r>
              <w:rPr>
                <w:spacing w:val="-2"/>
                <w:sz w:val="18"/>
              </w:rPr>
              <w:t>2,875,595</w:t>
            </w:r>
          </w:p>
        </w:tc>
        <w:tc>
          <w:tcPr>
            <w:tcW w:w="1608" w:type="dxa"/>
          </w:tcPr>
          <w:p>
            <w:pPr>
              <w:pStyle w:val="TableParagraph"/>
              <w:spacing w:before="7"/>
              <w:ind w:right="93"/>
              <w:jc w:val="right"/>
              <w:rPr>
                <w:sz w:val="18"/>
              </w:rPr>
            </w:pPr>
            <w:r>
              <w:rPr>
                <w:spacing w:val="-2"/>
                <w:sz w:val="18"/>
              </w:rPr>
              <w:t>8,667</w:t>
            </w:r>
          </w:p>
        </w:tc>
        <w:tc>
          <w:tcPr>
            <w:tcW w:w="769" w:type="dxa"/>
          </w:tcPr>
          <w:p>
            <w:pPr>
              <w:pStyle w:val="TableParagraph"/>
              <w:spacing w:before="0"/>
              <w:rPr>
                <w:sz w:val="16"/>
              </w:rPr>
            </w:pPr>
          </w:p>
        </w:tc>
        <w:tc>
          <w:tcPr>
            <w:tcW w:w="2454" w:type="dxa"/>
          </w:tcPr>
          <w:p>
            <w:pPr>
              <w:pStyle w:val="TableParagraph"/>
              <w:tabs>
                <w:tab w:pos="1076" w:val="left" w:leader="none"/>
              </w:tabs>
              <w:spacing w:before="7"/>
              <w:ind w:right="71"/>
              <w:jc w:val="right"/>
              <w:rPr>
                <w:sz w:val="18"/>
              </w:rPr>
            </w:pPr>
            <w:r>
              <w:rPr>
                <w:spacing w:val="-10"/>
                <w:sz w:val="18"/>
              </w:rPr>
              <w:t>—</w:t>
            </w:r>
            <w:r>
              <w:rPr>
                <w:sz w:val="18"/>
              </w:rPr>
              <w:tab/>
            </w:r>
            <w:r>
              <w:rPr>
                <w:spacing w:val="-2"/>
                <w:sz w:val="18"/>
              </w:rPr>
              <w:t>2,884,262</w:t>
            </w:r>
          </w:p>
        </w:tc>
      </w:tr>
      <w:tr>
        <w:trPr>
          <w:trHeight w:val="229" w:hRule="atLeast"/>
        </w:trPr>
        <w:tc>
          <w:tcPr>
            <w:tcW w:w="3733" w:type="dxa"/>
            <w:shd w:val="clear" w:color="auto" w:fill="CCEDFF"/>
          </w:tcPr>
          <w:p>
            <w:pPr>
              <w:pStyle w:val="TableParagraph"/>
              <w:spacing w:line="202" w:lineRule="exact" w:before="7"/>
              <w:ind w:left="125"/>
              <w:rPr>
                <w:sz w:val="18"/>
              </w:rPr>
            </w:pPr>
            <w:r>
              <w:rPr>
                <w:sz w:val="18"/>
              </w:rPr>
              <w:t>Year</w:t>
            </w:r>
            <w:r>
              <w:rPr>
                <w:spacing w:val="-6"/>
                <w:sz w:val="18"/>
              </w:rPr>
              <w:t> </w:t>
            </w:r>
            <w:r>
              <w:rPr>
                <w:sz w:val="18"/>
              </w:rPr>
              <w:t>Ended</w:t>
            </w:r>
            <w:r>
              <w:rPr>
                <w:spacing w:val="-6"/>
                <w:sz w:val="18"/>
              </w:rPr>
              <w:t> </w:t>
            </w:r>
            <w:r>
              <w:rPr>
                <w:sz w:val="18"/>
              </w:rPr>
              <w:t>December</w:t>
            </w:r>
            <w:r>
              <w:rPr>
                <w:spacing w:val="-6"/>
                <w:sz w:val="18"/>
              </w:rPr>
              <w:t> </w:t>
            </w:r>
            <w:r>
              <w:rPr>
                <w:sz w:val="18"/>
              </w:rPr>
              <w:t>31,</w:t>
            </w:r>
            <w:r>
              <w:rPr>
                <w:spacing w:val="-5"/>
                <w:sz w:val="18"/>
              </w:rPr>
              <w:t> </w:t>
            </w:r>
            <w:r>
              <w:rPr>
                <w:spacing w:val="-4"/>
                <w:sz w:val="18"/>
              </w:rPr>
              <w:t>2020</w:t>
            </w:r>
          </w:p>
        </w:tc>
        <w:tc>
          <w:tcPr>
            <w:tcW w:w="2830" w:type="dxa"/>
            <w:shd w:val="clear" w:color="auto" w:fill="CCEDFF"/>
          </w:tcPr>
          <w:p>
            <w:pPr>
              <w:pStyle w:val="TableParagraph"/>
              <w:spacing w:line="202" w:lineRule="exact" w:before="7"/>
              <w:ind w:right="93"/>
              <w:jc w:val="right"/>
              <w:rPr>
                <w:sz w:val="18"/>
              </w:rPr>
            </w:pPr>
            <w:r>
              <w:rPr>
                <w:spacing w:val="-2"/>
                <w:sz w:val="18"/>
              </w:rPr>
              <w:t>2,574,056</w:t>
            </w:r>
          </w:p>
        </w:tc>
        <w:tc>
          <w:tcPr>
            <w:tcW w:w="1608" w:type="dxa"/>
            <w:shd w:val="clear" w:color="auto" w:fill="CCEDFF"/>
          </w:tcPr>
          <w:p>
            <w:pPr>
              <w:pStyle w:val="TableParagraph"/>
              <w:spacing w:line="202" w:lineRule="exact" w:before="7"/>
              <w:ind w:right="93"/>
              <w:jc w:val="right"/>
              <w:rPr>
                <w:sz w:val="18"/>
              </w:rPr>
            </w:pPr>
            <w:r>
              <w:rPr>
                <w:spacing w:val="-2"/>
                <w:sz w:val="18"/>
              </w:rPr>
              <w:t>301,539</w:t>
            </w:r>
          </w:p>
        </w:tc>
        <w:tc>
          <w:tcPr>
            <w:tcW w:w="769" w:type="dxa"/>
            <w:shd w:val="clear" w:color="auto" w:fill="CCEDFF"/>
          </w:tcPr>
          <w:p>
            <w:pPr>
              <w:pStyle w:val="TableParagraph"/>
              <w:spacing w:before="0"/>
              <w:rPr>
                <w:sz w:val="16"/>
              </w:rPr>
            </w:pPr>
          </w:p>
        </w:tc>
        <w:tc>
          <w:tcPr>
            <w:tcW w:w="2454" w:type="dxa"/>
            <w:shd w:val="clear" w:color="auto" w:fill="CCEDFF"/>
          </w:tcPr>
          <w:p>
            <w:pPr>
              <w:pStyle w:val="TableParagraph"/>
              <w:tabs>
                <w:tab w:pos="1076" w:val="left" w:leader="none"/>
              </w:tabs>
              <w:spacing w:line="202" w:lineRule="exact" w:before="7"/>
              <w:ind w:right="71"/>
              <w:jc w:val="right"/>
              <w:rPr>
                <w:sz w:val="18"/>
              </w:rPr>
            </w:pPr>
            <w:r>
              <w:rPr>
                <w:spacing w:val="-10"/>
                <w:sz w:val="18"/>
              </w:rPr>
              <w:t>—</w:t>
            </w:r>
            <w:r>
              <w:rPr>
                <w:sz w:val="18"/>
              </w:rPr>
              <w:tab/>
            </w:r>
            <w:r>
              <w:rPr>
                <w:spacing w:val="-2"/>
                <w:sz w:val="18"/>
              </w:rPr>
              <w:t>2,875,595</w:t>
            </w:r>
          </w:p>
        </w:tc>
      </w:tr>
    </w:tbl>
    <w:p>
      <w:pPr>
        <w:pStyle w:val="BodyText"/>
        <w:spacing w:before="114"/>
        <w:rPr>
          <w:b/>
        </w:rPr>
      </w:pPr>
    </w:p>
    <w:p>
      <w:pPr>
        <w:pStyle w:val="BodyText"/>
        <w:spacing w:before="1"/>
        <w:ind w:left="144" w:right="118" w:firstLine="499"/>
        <w:jc w:val="both"/>
      </w:pPr>
      <w:r>
        <w:rPr/>
        <w:t>The Company has recorded a valuation allowance of $2.6 billion on its foreign tax credit (“FTC”) carryover of $2.8 billion as of December 31, </w:t>
      </w:r>
      <w:r>
        <w:rPr/>
        <w:t>2022, resulting in an FTC net deferred tax asset of approximately $130 million. The FTCs are attributable to the Macau Special Gaming Tax, which is 35% of gross gaming revenue in Macau. Because MGM Grand Paradise is presently exempt from the Macau 12% complementary tax on gaming profits, the Company believes payment of the Macau Special Gaming Tax qualifies as a tax paid in lieu of an income tax that is creditable against U.S. taxes. While the Company generally does not expect to generate new FTC carryovers after the year ended December 31, 2017, it will be able to utilize its existing FTC carryovers to the extent it has active foreign source income during the 10-year FTC carryforward period. Such foreign source income includes the recapture, to the extent of a portion of U.S. taxable income each year, of overall domestic losses that totaled approximately $356 million at December 31, 2022. The Company relies on future U.S. source operating income in assessing utilization of the overall domestic losses and, by extension, future FTC realization during the 10-year FTC carryover period. The FTC carryovers will expire if not utilized as follows: $976 million in 2023; $780 million in 2024; $674 million in 2025; $134 million in 2026; and $200 million in 2027.</w:t>
      </w:r>
    </w:p>
    <w:p>
      <w:pPr>
        <w:pStyle w:val="BodyText"/>
        <w:spacing w:before="4"/>
      </w:pPr>
    </w:p>
    <w:p>
      <w:pPr>
        <w:pStyle w:val="BodyText"/>
        <w:ind w:left="144" w:right="118" w:firstLine="499"/>
        <w:jc w:val="both"/>
      </w:pPr>
      <w:r>
        <w:rPr/>
        <w:t>The Company’s assessment of the realization of its FTC deferred tax asset is based on available evidence, including assumptions concerning future U.S. operating profits and foreign source income.</w:t>
      </w:r>
      <w:r>
        <w:rPr>
          <w:spacing w:val="-6"/>
        </w:rPr>
        <w:t> </w:t>
      </w:r>
      <w:r>
        <w:rPr/>
        <w:t>As a result, significant judgment is required in assessing the possible need for a valuation allowance and </w:t>
      </w:r>
      <w:r>
        <w:rPr/>
        <w:t>changes to such assumptions could result in a material change in the valuation allowance with a corresponding impact on the provision for income taxes in the period including such change.</w:t>
      </w:r>
    </w:p>
    <w:p>
      <w:pPr>
        <w:pStyle w:val="BodyText"/>
        <w:spacing w:line="235" w:lineRule="auto" w:before="202"/>
        <w:ind w:left="144" w:right="118" w:firstLine="499"/>
        <w:jc w:val="both"/>
      </w:pPr>
      <w:r>
        <w:rPr/>
        <w:t>On September 5, 2022, MGM Grand Paradise was granted an extension of its exemption from the Macau 12% complementary tax on gaming </w:t>
      </w:r>
      <w:r>
        <w:rPr/>
        <w:t>profits through December 31, 2022, concurrent with the end of the term of its gaming subconcession. Absent the exemption from complementary tax on gaming profits, “Net income attributable to MGM Resorts International” would have increased by $3 million in 2022 and decreased by $10 million in 2021 and diluted earnings per share would have increased by $0.01 in 2022 and decreased by $0.02 in 2021. The Company continues to assume that MGM Grand Paradise will pay the Macau 12% complementary tax on gaming profits for all periods beyond December 31, 2022 and has factored that assumption into the measurement of Macau deferred tax assets and liabilities.</w:t>
      </w:r>
    </w:p>
    <w:p>
      <w:pPr>
        <w:pStyle w:val="BodyText"/>
        <w:spacing w:before="17"/>
      </w:pPr>
    </w:p>
    <w:p>
      <w:pPr>
        <w:pStyle w:val="BodyText"/>
        <w:spacing w:line="242" w:lineRule="auto"/>
        <w:ind w:left="144" w:right="118" w:firstLine="499"/>
        <w:jc w:val="both"/>
      </w:pPr>
      <w:r>
        <w:rPr/>
        <w:t>Non-gaming operations remain subject to the Macau complementary tax. At December 31, 2022, foreign net operating loss carryforwards </w:t>
      </w:r>
      <w:r>
        <w:rPr/>
        <w:t>primarily consisted of a complementary tax NOL carryforward of $1.6 billion at MGM Grand Paradise resulting from non-gaming operations that will expire if not utilized in years 2023 through 2025.</w:t>
      </w:r>
    </w:p>
    <w:p>
      <w:pPr>
        <w:pStyle w:val="BodyText"/>
        <w:spacing w:line="235" w:lineRule="auto" w:before="200"/>
        <w:ind w:left="144" w:right="118" w:firstLine="499"/>
        <w:jc w:val="both"/>
      </w:pPr>
      <w:r>
        <w:rPr/>
        <w:t>MGM</w:t>
      </w:r>
      <w:r>
        <w:rPr>
          <w:spacing w:val="-1"/>
        </w:rPr>
        <w:t> </w:t>
      </w:r>
      <w:r>
        <w:rPr/>
        <w:t>Grand</w:t>
      </w:r>
      <w:r>
        <w:rPr>
          <w:spacing w:val="-1"/>
        </w:rPr>
        <w:t> </w:t>
      </w:r>
      <w:r>
        <w:rPr/>
        <w:t>Paradise’s</w:t>
      </w:r>
      <w:r>
        <w:rPr>
          <w:spacing w:val="-1"/>
        </w:rPr>
        <w:t> </w:t>
      </w:r>
      <w:r>
        <w:rPr/>
        <w:t>exemption</w:t>
      </w:r>
      <w:r>
        <w:rPr>
          <w:spacing w:val="-1"/>
        </w:rPr>
        <w:t> </w:t>
      </w:r>
      <w:r>
        <w:rPr/>
        <w:t>from</w:t>
      </w:r>
      <w:r>
        <w:rPr>
          <w:spacing w:val="-1"/>
        </w:rPr>
        <w:t> </w:t>
      </w:r>
      <w:r>
        <w:rPr/>
        <w:t>the</w:t>
      </w:r>
      <w:r>
        <w:rPr>
          <w:spacing w:val="-1"/>
        </w:rPr>
        <w:t> </w:t>
      </w:r>
      <w:r>
        <w:rPr/>
        <w:t>12%</w:t>
      </w:r>
      <w:r>
        <w:rPr>
          <w:spacing w:val="-1"/>
        </w:rPr>
        <w:t> </w:t>
      </w:r>
      <w:r>
        <w:rPr/>
        <w:t>complementary</w:t>
      </w:r>
      <w:r>
        <w:rPr>
          <w:spacing w:val="-1"/>
        </w:rPr>
        <w:t> </w:t>
      </w:r>
      <w:r>
        <w:rPr/>
        <w:t>tax</w:t>
      </w:r>
      <w:r>
        <w:rPr>
          <w:spacing w:val="-1"/>
        </w:rPr>
        <w:t> </w:t>
      </w:r>
      <w:r>
        <w:rPr/>
        <w:t>on</w:t>
      </w:r>
      <w:r>
        <w:rPr>
          <w:spacing w:val="-1"/>
        </w:rPr>
        <w:t> </w:t>
      </w:r>
      <w:r>
        <w:rPr/>
        <w:t>gaming</w:t>
      </w:r>
      <w:r>
        <w:rPr>
          <w:spacing w:val="-1"/>
        </w:rPr>
        <w:t> </w:t>
      </w:r>
      <w:r>
        <w:rPr/>
        <w:t>profits</w:t>
      </w:r>
      <w:r>
        <w:rPr>
          <w:spacing w:val="-1"/>
        </w:rPr>
        <w:t> </w:t>
      </w:r>
      <w:r>
        <w:rPr/>
        <w:t>does</w:t>
      </w:r>
      <w:r>
        <w:rPr>
          <w:spacing w:val="-1"/>
        </w:rPr>
        <w:t> </w:t>
      </w:r>
      <w:r>
        <w:rPr/>
        <w:t>not</w:t>
      </w:r>
      <w:r>
        <w:rPr>
          <w:spacing w:val="-1"/>
        </w:rPr>
        <w:t> </w:t>
      </w:r>
      <w:r>
        <w:rPr/>
        <w:t>apply</w:t>
      </w:r>
      <w:r>
        <w:rPr>
          <w:spacing w:val="-1"/>
        </w:rPr>
        <w:t> </w:t>
      </w:r>
      <w:r>
        <w:rPr/>
        <w:t>to</w:t>
      </w:r>
      <w:r>
        <w:rPr>
          <w:spacing w:val="-1"/>
        </w:rPr>
        <w:t> </w:t>
      </w:r>
      <w:r>
        <w:rPr/>
        <w:t>dividend</w:t>
      </w:r>
      <w:r>
        <w:rPr>
          <w:spacing w:val="-1"/>
        </w:rPr>
        <w:t> </w:t>
      </w:r>
      <w:r>
        <w:rPr/>
        <w:t>distributions</w:t>
      </w:r>
      <w:r>
        <w:rPr>
          <w:spacing w:val="-1"/>
        </w:rPr>
        <w:t> </w:t>
      </w:r>
      <w:r>
        <w:rPr/>
        <w:t>of</w:t>
      </w:r>
      <w:r>
        <w:rPr>
          <w:spacing w:val="-1"/>
        </w:rPr>
        <w:t> </w:t>
      </w:r>
      <w:r>
        <w:rPr/>
        <w:t>such</w:t>
      </w:r>
      <w:r>
        <w:rPr>
          <w:spacing w:val="-1"/>
        </w:rPr>
        <w:t> </w:t>
      </w:r>
      <w:r>
        <w:rPr/>
        <w:t>profits</w:t>
      </w:r>
      <w:r>
        <w:rPr>
          <w:spacing w:val="-1"/>
        </w:rPr>
        <w:t> </w:t>
      </w:r>
      <w:r>
        <w:rPr/>
        <w:t>to</w:t>
      </w:r>
      <w:r>
        <w:rPr>
          <w:spacing w:val="-1"/>
        </w:rPr>
        <w:t> </w:t>
      </w:r>
      <w:r>
        <w:rPr/>
        <w:t>MGM China. Through the year ended December 31, 2022, in lieu of the 12% complementary tax that would otherwise be due by its shareholder, MGM China, on distributions of its gaming profits, MGM Grand Paradise agreed to pay a flat annual payment of approximately $2 million regardless of the amount </w:t>
      </w:r>
      <w:r>
        <w:rPr/>
        <w:t>of distributable dividends.</w:t>
      </w:r>
    </w:p>
    <w:p>
      <w:pPr>
        <w:pStyle w:val="BodyText"/>
        <w:spacing w:before="20"/>
      </w:pPr>
    </w:p>
    <w:p>
      <w:pPr>
        <w:pStyle w:val="BodyText"/>
        <w:spacing w:line="235" w:lineRule="auto" w:before="1"/>
        <w:ind w:left="144" w:right="118" w:firstLine="499"/>
        <w:jc w:val="both"/>
      </w:pPr>
      <w:r>
        <w:rPr/>
        <w:t>There is a $245 million valuation allowance on certain foreign deferred tax assets, which primarily relates to Macau deferred tax assets at MGM Grand Paradise.</w:t>
      </w:r>
      <w:r>
        <w:rPr>
          <w:spacing w:val="-3"/>
        </w:rPr>
        <w:t> </w:t>
      </w:r>
      <w:r>
        <w:rPr/>
        <w:t>The valuation allowance on Macau deferred tax assets increased by $89 million during 2022 as a result of accelerating amortization for the remaining useful life of the MGM Grand Paradise gaming subconcession.</w:t>
      </w:r>
    </w:p>
    <w:p>
      <w:pPr>
        <w:pStyle w:val="BodyText"/>
        <w:spacing w:before="18"/>
      </w:pPr>
    </w:p>
    <w:p>
      <w:pPr>
        <w:pStyle w:val="BodyText"/>
        <w:ind w:left="144" w:right="118" w:firstLine="499"/>
        <w:jc w:val="both"/>
      </w:pPr>
      <w:r>
        <w:rPr/>
        <w:t>The Company has NOLs in some of the states in which it operates that total $373 million as of December 31, 2022, which equates to deferred tax assets of $23 million after federal tax effect and before valuation allowance. The NOL carryforwards in most of the states will expire, if not utilized, between 2025 through 2041. Otherwise, the NOL</w:t>
      </w:r>
      <w:r>
        <w:rPr>
          <w:spacing w:val="-2"/>
        </w:rPr>
        <w:t> </w:t>
      </w:r>
      <w:r>
        <w:rPr/>
        <w:t>carryforward can be carried forward indefinitely. The Company has provided a valuation allowance of $8 million on </w:t>
      </w:r>
      <w:r>
        <w:rPr/>
        <w:t>some of its state deferred tax assets for the NOLs described above.</w:t>
      </w:r>
    </w:p>
    <w:p>
      <w:pPr>
        <w:pStyle w:val="BodyText"/>
      </w:pPr>
    </w:p>
    <w:p>
      <w:pPr>
        <w:pStyle w:val="BodyText"/>
      </w:pPr>
    </w:p>
    <w:p>
      <w:pPr>
        <w:pStyle w:val="BodyText"/>
        <w:spacing w:before="198"/>
      </w:pPr>
    </w:p>
    <w:p>
      <w:pPr>
        <w:pStyle w:val="BodyText"/>
        <w:ind w:left="24"/>
        <w:jc w:val="center"/>
      </w:pPr>
      <w:r>
        <w:rPr>
          <w:spacing w:val="-5"/>
        </w:rPr>
        <w:t>85</w:t>
      </w:r>
    </w:p>
    <w:p>
      <w:pPr>
        <w:pStyle w:val="BodyText"/>
        <w:spacing w:before="3"/>
        <w:rPr>
          <w:sz w:val="6"/>
        </w:rPr>
      </w:pPr>
      <w:r>
        <w:rPr/>
        <mc:AlternateContent>
          <mc:Choice Requires="wps">
            <w:drawing>
              <wp:anchor distT="0" distB="0" distL="0" distR="0" allowOverlap="1" layoutInCell="1" locked="0" behindDoc="1" simplePos="0" relativeHeight="487701504">
                <wp:simplePos x="0" y="0"/>
                <wp:positionH relativeFrom="page">
                  <wp:posOffset>231457</wp:posOffset>
                </wp:positionH>
                <wp:positionV relativeFrom="paragraph">
                  <wp:posOffset>60956</wp:posOffset>
                </wp:positionV>
                <wp:extent cx="7312659" cy="17145"/>
                <wp:effectExtent l="0" t="0" r="0" b="0"/>
                <wp:wrapTopAndBottom/>
                <wp:docPr id="569" name="Group 569"/>
                <wp:cNvGraphicFramePr>
                  <a:graphicFrameLocks/>
                </wp:cNvGraphicFramePr>
                <a:graphic>
                  <a:graphicData uri="http://schemas.microsoft.com/office/word/2010/wordprocessingGroup">
                    <wpg:wgp>
                      <wpg:cNvPr id="569" name="Group 569"/>
                      <wpg:cNvGrpSpPr/>
                      <wpg:grpSpPr>
                        <a:xfrm>
                          <a:off x="0" y="0"/>
                          <a:ext cx="7312659" cy="17145"/>
                          <a:chExt cx="7312659" cy="17145"/>
                        </a:xfrm>
                      </wpg:grpSpPr>
                      <wps:wsp>
                        <wps:cNvPr id="570" name="Graphic 57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71" name="Graphic 571"/>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72" name="Graphic 57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14976;mso-wrap-distance-left:0;mso-wrap-distance-right:0" id="docshapegroup567" coordorigin="364,96" coordsize="11516,27">
                <v:rect style="position:absolute;left:364;top:96;width:11516;height:14" id="docshape568" filled="true" fillcolor="#999999" stroked="false">
                  <v:fill type="solid"/>
                </v:rect>
                <v:shape style="position:absolute;left:364;top:95;width:11516;height:27" id="docshape569" coordorigin="364,96" coordsize="11516,27" path="m11880,96l11866,109,364,109,364,123,11866,123,11880,123,11880,109,11880,96xe" filled="true" fillcolor="#ededed" stroked="false">
                  <v:path arrowok="t"/>
                  <v:fill type="solid"/>
                </v:shape>
                <v:shape style="position:absolute;left:364;top:96;width:14;height:27" id="docshape570"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BodyText"/>
        <w:spacing w:before="69"/>
        <w:ind w:left="644"/>
      </w:pPr>
      <w:r>
        <w:rPr/>
        <w:t>A</w:t>
      </w:r>
      <w:r>
        <w:rPr>
          <w:spacing w:val="-10"/>
        </w:rPr>
        <w:t> </w:t>
      </w:r>
      <w:r>
        <w:rPr/>
        <w:t>reconciliation</w:t>
      </w:r>
      <w:r>
        <w:rPr>
          <w:spacing w:val="-1"/>
        </w:rPr>
        <w:t> </w:t>
      </w:r>
      <w:r>
        <w:rPr/>
        <w:t>of</w:t>
      </w:r>
      <w:r>
        <w:rPr>
          <w:spacing w:val="-1"/>
        </w:rPr>
        <w:t> </w:t>
      </w:r>
      <w:r>
        <w:rPr/>
        <w:t>the</w:t>
      </w:r>
      <w:r>
        <w:rPr>
          <w:spacing w:val="-1"/>
        </w:rPr>
        <w:t> </w:t>
      </w:r>
      <w:r>
        <w:rPr/>
        <w:t>beginning</w:t>
      </w:r>
      <w:r>
        <w:rPr>
          <w:spacing w:val="-1"/>
        </w:rPr>
        <w:t> </w:t>
      </w:r>
      <w:r>
        <w:rPr/>
        <w:t>and</w:t>
      </w:r>
      <w:r>
        <w:rPr>
          <w:spacing w:val="-1"/>
        </w:rPr>
        <w:t> </w:t>
      </w:r>
      <w:r>
        <w:rPr/>
        <w:t>ending</w:t>
      </w:r>
      <w:r>
        <w:rPr>
          <w:spacing w:val="-1"/>
        </w:rPr>
        <w:t> </w:t>
      </w:r>
      <w:r>
        <w:rPr/>
        <w:t>amounts</w:t>
      </w:r>
      <w:r>
        <w:rPr>
          <w:spacing w:val="-1"/>
        </w:rPr>
        <w:t> </w:t>
      </w:r>
      <w:r>
        <w:rPr/>
        <w:t>of</w:t>
      </w:r>
      <w:r>
        <w:rPr>
          <w:spacing w:val="-1"/>
        </w:rPr>
        <w:t> </w:t>
      </w:r>
      <w:r>
        <w:rPr/>
        <w:t>gross</w:t>
      </w:r>
      <w:r>
        <w:rPr>
          <w:spacing w:val="-1"/>
        </w:rPr>
        <w:t> </w:t>
      </w:r>
      <w:r>
        <w:rPr/>
        <w:t>unrecognized</w:t>
      </w:r>
      <w:r>
        <w:rPr>
          <w:spacing w:val="-1"/>
        </w:rPr>
        <w:t> </w:t>
      </w:r>
      <w:r>
        <w:rPr/>
        <w:t>tax</w:t>
      </w:r>
      <w:r>
        <w:rPr>
          <w:spacing w:val="-1"/>
        </w:rPr>
        <w:t> </w:t>
      </w:r>
      <w:r>
        <w:rPr/>
        <w:t>benefits</w:t>
      </w:r>
      <w:r>
        <w:rPr>
          <w:spacing w:val="-1"/>
        </w:rPr>
        <w:t> </w:t>
      </w:r>
      <w:r>
        <w:rPr/>
        <w:t>is</w:t>
      </w:r>
      <w:r>
        <w:rPr>
          <w:spacing w:val="-1"/>
        </w:rPr>
        <w:t> </w:t>
      </w:r>
      <w:r>
        <w:rPr/>
        <w:t>as</w:t>
      </w:r>
      <w:r>
        <w:rPr>
          <w:spacing w:val="-1"/>
        </w:rPr>
        <w:t> </w:t>
      </w:r>
      <w:r>
        <w:rPr>
          <w:spacing w:val="-2"/>
        </w:rPr>
        <w:t>follows:</w:t>
      </w:r>
    </w:p>
    <w:p>
      <w:pPr>
        <w:pStyle w:val="Heading5"/>
        <w:spacing w:before="63"/>
        <w:ind w:left="8270"/>
        <w:jc w:val="left"/>
      </w:pPr>
      <w:r>
        <w:rPr/>
        <mc:AlternateContent>
          <mc:Choice Requires="wps">
            <w:drawing>
              <wp:anchor distT="0" distB="0" distL="0" distR="0" allowOverlap="1" layoutInCell="1" locked="0" behindDoc="1" simplePos="0" relativeHeight="487702528">
                <wp:simplePos x="0" y="0"/>
                <wp:positionH relativeFrom="page">
                  <wp:posOffset>4500550</wp:posOffset>
                </wp:positionH>
                <wp:positionV relativeFrom="paragraph">
                  <wp:posOffset>189913</wp:posOffset>
                </wp:positionV>
                <wp:extent cx="3043555" cy="8890"/>
                <wp:effectExtent l="0" t="0" r="0" b="0"/>
                <wp:wrapTopAndBottom/>
                <wp:docPr id="573" name="Graphic 573"/>
                <wp:cNvGraphicFramePr>
                  <a:graphicFrameLocks/>
                </wp:cNvGraphicFramePr>
                <a:graphic>
                  <a:graphicData uri="http://schemas.microsoft.com/office/word/2010/wordprocessingShape">
                    <wps:wsp>
                      <wps:cNvPr id="573" name="Graphic 573"/>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4.953845pt;width:239.625011pt;height:.675pt;mso-position-horizontal-relative:page;mso-position-vertical-relative:paragraph;z-index:-15613952;mso-wrap-distance-left:0;mso-wrap-distance-right:0" id="docshape571"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86" w:val="left" w:leader="none"/>
          <w:tab w:pos="10021" w:val="left" w:leader="none"/>
        </w:tabs>
        <w:spacing w:before="21" w:after="29"/>
        <w:ind w:left="6752"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574" name="Group 574"/>
                <wp:cNvGraphicFramePr>
                  <a:graphicFrameLocks/>
                </wp:cNvGraphicFramePr>
                <a:graphic>
                  <a:graphicData uri="http://schemas.microsoft.com/office/word/2010/wordprocessingGroup">
                    <wpg:wgp>
                      <wpg:cNvPr id="574" name="Group 574"/>
                      <wpg:cNvGrpSpPr/>
                      <wpg:grpSpPr>
                        <a:xfrm>
                          <a:off x="0" y="0"/>
                          <a:ext cx="3043555" cy="8890"/>
                          <a:chExt cx="3043555" cy="8890"/>
                        </a:xfrm>
                      </wpg:grpSpPr>
                      <wps:wsp>
                        <wps:cNvPr id="575" name="Graphic 575"/>
                        <wps:cNvSpPr/>
                        <wps:spPr>
                          <a:xfrm>
                            <a:off x="-12" y="-3"/>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572" coordorigin="0,0" coordsize="4793,14">
                <v:rect style="position:absolute;left:-1;top:0;width:4793;height:14" id="docshape573" filled="true" fillcolor="#000000" stroked="false">
                  <v:fill type="solid"/>
                </v:rect>
              </v:group>
            </w:pict>
          </mc:Fallback>
        </mc:AlternateContent>
      </w:r>
      <w:r>
        <w:rPr>
          <w:sz w:val="2"/>
        </w:rPr>
      </w:r>
    </w:p>
    <w:p>
      <w:pPr>
        <w:spacing w:before="11" w:after="38"/>
        <w:ind w:left="6752"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1"/>
        <w:gridCol w:w="3168"/>
        <w:gridCol w:w="1634"/>
        <w:gridCol w:w="1582"/>
      </w:tblGrid>
      <w:tr>
        <w:trPr>
          <w:trHeight w:val="256" w:hRule="atLeast"/>
        </w:trPr>
        <w:tc>
          <w:tcPr>
            <w:tcW w:w="5131" w:type="dxa"/>
            <w:shd w:val="clear" w:color="auto" w:fill="CFF0FB"/>
          </w:tcPr>
          <w:p>
            <w:pPr>
              <w:pStyle w:val="TableParagraph"/>
              <w:ind w:left="17"/>
              <w:rPr>
                <w:sz w:val="18"/>
              </w:rPr>
            </w:pPr>
            <w:r>
              <w:rPr>
                <w:sz w:val="18"/>
              </w:rPr>
              <w:t>Gross</w:t>
            </w:r>
            <w:r>
              <w:rPr>
                <w:spacing w:val="-1"/>
                <w:sz w:val="18"/>
              </w:rPr>
              <w:t> </w:t>
            </w:r>
            <w:r>
              <w:rPr>
                <w:sz w:val="18"/>
              </w:rPr>
              <w:t>unrecognized</w:t>
            </w:r>
            <w:r>
              <w:rPr>
                <w:spacing w:val="-1"/>
                <w:sz w:val="18"/>
              </w:rPr>
              <w:t> </w:t>
            </w:r>
            <w:r>
              <w:rPr>
                <w:sz w:val="18"/>
              </w:rPr>
              <w:t>tax</w:t>
            </w:r>
            <w:r>
              <w:rPr>
                <w:spacing w:val="-1"/>
                <w:sz w:val="18"/>
              </w:rPr>
              <w:t> </w:t>
            </w:r>
            <w:r>
              <w:rPr>
                <w:sz w:val="18"/>
              </w:rPr>
              <w:t>benefits</w:t>
            </w:r>
            <w:r>
              <w:rPr>
                <w:spacing w:val="-1"/>
                <w:sz w:val="18"/>
              </w:rPr>
              <w:t> </w:t>
            </w:r>
            <w:r>
              <w:rPr>
                <w:sz w:val="18"/>
              </w:rPr>
              <w:t>at</w:t>
            </w:r>
            <w:r>
              <w:rPr>
                <w:spacing w:val="-1"/>
                <w:sz w:val="18"/>
              </w:rPr>
              <w:t> </w:t>
            </w:r>
            <w:r>
              <w:rPr>
                <w:sz w:val="18"/>
              </w:rPr>
              <w:t>January</w:t>
            </w:r>
            <w:r>
              <w:rPr>
                <w:spacing w:val="-1"/>
                <w:sz w:val="18"/>
              </w:rPr>
              <w:t> </w:t>
            </w:r>
            <w:r>
              <w:rPr>
                <w:spacing w:val="-10"/>
                <w:sz w:val="18"/>
              </w:rPr>
              <w:t>1</w:t>
            </w:r>
          </w:p>
        </w:tc>
        <w:tc>
          <w:tcPr>
            <w:tcW w:w="3168" w:type="dxa"/>
            <w:shd w:val="clear" w:color="auto" w:fill="CFF0FB"/>
          </w:tcPr>
          <w:p>
            <w:pPr>
              <w:pStyle w:val="TableParagraph"/>
              <w:tabs>
                <w:tab w:pos="931" w:val="left" w:leader="none"/>
              </w:tabs>
              <w:ind w:right="123"/>
              <w:jc w:val="right"/>
              <w:rPr>
                <w:sz w:val="18"/>
              </w:rPr>
            </w:pPr>
            <w:r>
              <w:rPr>
                <w:spacing w:val="-10"/>
                <w:sz w:val="18"/>
              </w:rPr>
              <w:t>$</w:t>
            </w:r>
            <w:r>
              <w:rPr>
                <w:sz w:val="18"/>
              </w:rPr>
              <w:tab/>
            </w:r>
            <w:r>
              <w:rPr>
                <w:spacing w:val="-2"/>
                <w:sz w:val="18"/>
              </w:rPr>
              <w:t>19,568</w:t>
            </w:r>
          </w:p>
        </w:tc>
        <w:tc>
          <w:tcPr>
            <w:tcW w:w="1634" w:type="dxa"/>
            <w:shd w:val="clear" w:color="auto" w:fill="CFF0FB"/>
          </w:tcPr>
          <w:p>
            <w:pPr>
              <w:pStyle w:val="TableParagraph"/>
              <w:tabs>
                <w:tab w:pos="931" w:val="left" w:leader="none"/>
              </w:tabs>
              <w:ind w:right="123"/>
              <w:jc w:val="right"/>
              <w:rPr>
                <w:sz w:val="18"/>
              </w:rPr>
            </w:pPr>
            <w:r>
              <w:rPr>
                <w:spacing w:val="-10"/>
                <w:sz w:val="18"/>
              </w:rPr>
              <w:t>$</w:t>
            </w:r>
            <w:r>
              <w:rPr>
                <w:sz w:val="18"/>
              </w:rPr>
              <w:tab/>
            </w:r>
            <w:r>
              <w:rPr>
                <w:spacing w:val="-2"/>
                <w:sz w:val="18"/>
              </w:rPr>
              <w:t>35,617</w:t>
            </w:r>
          </w:p>
        </w:tc>
        <w:tc>
          <w:tcPr>
            <w:tcW w:w="1582" w:type="dxa"/>
            <w:shd w:val="clear" w:color="auto" w:fill="CFF0FB"/>
          </w:tcPr>
          <w:p>
            <w:pPr>
              <w:pStyle w:val="TableParagraph"/>
              <w:tabs>
                <w:tab w:pos="932" w:val="left" w:leader="none"/>
              </w:tabs>
              <w:ind w:right="70"/>
              <w:jc w:val="right"/>
              <w:rPr>
                <w:sz w:val="18"/>
              </w:rPr>
            </w:pPr>
            <w:r>
              <w:rPr>
                <w:spacing w:val="-10"/>
                <w:sz w:val="18"/>
              </w:rPr>
              <w:t>$</w:t>
            </w:r>
            <w:r>
              <w:rPr>
                <w:sz w:val="18"/>
              </w:rPr>
              <w:tab/>
            </w:r>
            <w:r>
              <w:rPr>
                <w:spacing w:val="-2"/>
                <w:sz w:val="18"/>
              </w:rPr>
              <w:t>33,298</w:t>
            </w:r>
          </w:p>
        </w:tc>
      </w:tr>
      <w:tr>
        <w:trPr>
          <w:trHeight w:val="256" w:hRule="atLeast"/>
        </w:trPr>
        <w:tc>
          <w:tcPr>
            <w:tcW w:w="5131" w:type="dxa"/>
          </w:tcPr>
          <w:p>
            <w:pPr>
              <w:pStyle w:val="TableParagraph"/>
              <w:ind w:left="217"/>
              <w:rPr>
                <w:sz w:val="18"/>
              </w:rPr>
            </w:pPr>
            <w:r>
              <w:rPr>
                <w:sz w:val="18"/>
              </w:rPr>
              <w:t>Gross</w:t>
            </w:r>
            <w:r>
              <w:rPr>
                <w:spacing w:val="-1"/>
                <w:sz w:val="18"/>
              </w:rPr>
              <w:t> </w:t>
            </w:r>
            <w:r>
              <w:rPr>
                <w:sz w:val="18"/>
              </w:rPr>
              <w:t>increases</w:t>
            </w:r>
            <w:r>
              <w:rPr>
                <w:spacing w:val="-1"/>
                <w:sz w:val="18"/>
              </w:rPr>
              <w:t> </w:t>
            </w:r>
            <w:r>
              <w:rPr>
                <w:sz w:val="18"/>
              </w:rPr>
              <w:t>-</w:t>
            </w:r>
            <w:r>
              <w:rPr>
                <w:spacing w:val="-1"/>
                <w:sz w:val="18"/>
              </w:rPr>
              <w:t> </w:t>
            </w:r>
            <w:r>
              <w:rPr>
                <w:sz w:val="18"/>
              </w:rPr>
              <w:t>prior</w:t>
            </w:r>
            <w:r>
              <w:rPr>
                <w:spacing w:val="-1"/>
                <w:sz w:val="18"/>
              </w:rPr>
              <w:t> </w:t>
            </w:r>
            <w:r>
              <w:rPr>
                <w:sz w:val="18"/>
              </w:rPr>
              <w:t>period</w:t>
            </w:r>
            <w:r>
              <w:rPr>
                <w:spacing w:val="-1"/>
                <w:sz w:val="18"/>
              </w:rPr>
              <w:t> </w:t>
            </w:r>
            <w:r>
              <w:rPr>
                <w:sz w:val="18"/>
              </w:rPr>
              <w:t>tax</w:t>
            </w:r>
            <w:r>
              <w:rPr>
                <w:spacing w:val="-1"/>
                <w:sz w:val="18"/>
              </w:rPr>
              <w:t> </w:t>
            </w:r>
            <w:r>
              <w:rPr>
                <w:spacing w:val="-2"/>
                <w:sz w:val="18"/>
              </w:rPr>
              <w:t>positions</w:t>
            </w:r>
          </w:p>
        </w:tc>
        <w:tc>
          <w:tcPr>
            <w:tcW w:w="3168" w:type="dxa"/>
          </w:tcPr>
          <w:p>
            <w:pPr>
              <w:pStyle w:val="TableParagraph"/>
              <w:ind w:right="123"/>
              <w:jc w:val="right"/>
              <w:rPr>
                <w:sz w:val="18"/>
              </w:rPr>
            </w:pPr>
            <w:r>
              <w:rPr>
                <w:spacing w:val="-10"/>
                <w:sz w:val="18"/>
              </w:rPr>
              <w:t>—</w:t>
            </w:r>
          </w:p>
        </w:tc>
        <w:tc>
          <w:tcPr>
            <w:tcW w:w="1634" w:type="dxa"/>
          </w:tcPr>
          <w:p>
            <w:pPr>
              <w:pStyle w:val="TableParagraph"/>
              <w:ind w:right="123"/>
              <w:jc w:val="right"/>
              <w:rPr>
                <w:sz w:val="18"/>
              </w:rPr>
            </w:pPr>
            <w:r>
              <w:rPr>
                <w:spacing w:val="-2"/>
                <w:sz w:val="18"/>
              </w:rPr>
              <w:t>12,949</w:t>
            </w:r>
          </w:p>
        </w:tc>
        <w:tc>
          <w:tcPr>
            <w:tcW w:w="1582" w:type="dxa"/>
          </w:tcPr>
          <w:p>
            <w:pPr>
              <w:pStyle w:val="TableParagraph"/>
              <w:ind w:right="70"/>
              <w:jc w:val="right"/>
              <w:rPr>
                <w:sz w:val="18"/>
              </w:rPr>
            </w:pPr>
            <w:r>
              <w:rPr>
                <w:spacing w:val="-2"/>
                <w:sz w:val="18"/>
              </w:rPr>
              <w:t>3,717</w:t>
            </w:r>
          </w:p>
        </w:tc>
      </w:tr>
      <w:tr>
        <w:trPr>
          <w:trHeight w:val="269" w:hRule="atLeast"/>
        </w:trPr>
        <w:tc>
          <w:tcPr>
            <w:tcW w:w="5131" w:type="dxa"/>
            <w:shd w:val="clear" w:color="auto" w:fill="CFF0FB"/>
          </w:tcPr>
          <w:p>
            <w:pPr>
              <w:pStyle w:val="TableParagraph"/>
              <w:ind w:left="217"/>
              <w:rPr>
                <w:sz w:val="18"/>
              </w:rPr>
            </w:pPr>
            <w:r>
              <w:rPr>
                <w:sz w:val="18"/>
              </w:rPr>
              <w:t>Gross</w:t>
            </w:r>
            <w:r>
              <w:rPr>
                <w:spacing w:val="-1"/>
                <w:sz w:val="18"/>
              </w:rPr>
              <w:t> </w:t>
            </w:r>
            <w:r>
              <w:rPr>
                <w:sz w:val="18"/>
              </w:rPr>
              <w:t>decreases</w:t>
            </w:r>
            <w:r>
              <w:rPr>
                <w:spacing w:val="-1"/>
                <w:sz w:val="18"/>
              </w:rPr>
              <w:t> </w:t>
            </w:r>
            <w:r>
              <w:rPr>
                <w:sz w:val="18"/>
              </w:rPr>
              <w:t>-</w:t>
            </w:r>
            <w:r>
              <w:rPr>
                <w:spacing w:val="-1"/>
                <w:sz w:val="18"/>
              </w:rPr>
              <w:t> </w:t>
            </w:r>
            <w:r>
              <w:rPr>
                <w:sz w:val="18"/>
              </w:rPr>
              <w:t>prior</w:t>
            </w:r>
            <w:r>
              <w:rPr>
                <w:spacing w:val="-1"/>
                <w:sz w:val="18"/>
              </w:rPr>
              <w:t> </w:t>
            </w:r>
            <w:r>
              <w:rPr>
                <w:sz w:val="18"/>
              </w:rPr>
              <w:t>period</w:t>
            </w:r>
            <w:r>
              <w:rPr>
                <w:spacing w:val="-1"/>
                <w:sz w:val="18"/>
              </w:rPr>
              <w:t> </w:t>
            </w:r>
            <w:r>
              <w:rPr>
                <w:sz w:val="18"/>
              </w:rPr>
              <w:t>tax</w:t>
            </w:r>
            <w:r>
              <w:rPr>
                <w:spacing w:val="-1"/>
                <w:sz w:val="18"/>
              </w:rPr>
              <w:t> </w:t>
            </w:r>
            <w:r>
              <w:rPr>
                <w:spacing w:val="-2"/>
                <w:sz w:val="18"/>
              </w:rPr>
              <w:t>positions</w:t>
            </w:r>
          </w:p>
        </w:tc>
        <w:tc>
          <w:tcPr>
            <w:tcW w:w="3168" w:type="dxa"/>
            <w:shd w:val="clear" w:color="auto" w:fill="CFF0FB"/>
          </w:tcPr>
          <w:p>
            <w:pPr>
              <w:pStyle w:val="TableParagraph"/>
              <w:ind w:right="78"/>
              <w:jc w:val="right"/>
              <w:rPr>
                <w:sz w:val="18"/>
              </w:rPr>
            </w:pPr>
            <w:r>
              <w:rPr>
                <w:spacing w:val="-2"/>
                <w:sz w:val="18"/>
              </w:rPr>
              <w:t>(12,968)</w:t>
            </w:r>
          </w:p>
        </w:tc>
        <w:tc>
          <w:tcPr>
            <w:tcW w:w="1634" w:type="dxa"/>
            <w:shd w:val="clear" w:color="auto" w:fill="CFF0FB"/>
          </w:tcPr>
          <w:p>
            <w:pPr>
              <w:pStyle w:val="TableParagraph"/>
              <w:ind w:right="78"/>
              <w:jc w:val="right"/>
              <w:rPr>
                <w:sz w:val="18"/>
              </w:rPr>
            </w:pPr>
            <w:r>
              <w:rPr>
                <w:spacing w:val="-2"/>
                <w:sz w:val="18"/>
              </w:rPr>
              <w:t>(13,388)</w:t>
            </w:r>
          </w:p>
        </w:tc>
        <w:tc>
          <w:tcPr>
            <w:tcW w:w="1582" w:type="dxa"/>
            <w:shd w:val="clear" w:color="auto" w:fill="CFF0FB"/>
          </w:tcPr>
          <w:p>
            <w:pPr>
              <w:pStyle w:val="TableParagraph"/>
              <w:ind w:right="25"/>
              <w:jc w:val="right"/>
              <w:rPr>
                <w:sz w:val="18"/>
              </w:rPr>
            </w:pPr>
            <w:r>
              <w:rPr>
                <w:spacing w:val="-2"/>
                <w:sz w:val="18"/>
              </w:rPr>
              <w:t>(1,398)</w:t>
            </w:r>
          </w:p>
        </w:tc>
      </w:tr>
      <w:tr>
        <w:trPr>
          <w:trHeight w:val="256" w:hRule="atLeast"/>
        </w:trPr>
        <w:tc>
          <w:tcPr>
            <w:tcW w:w="5131" w:type="dxa"/>
          </w:tcPr>
          <w:p>
            <w:pPr>
              <w:pStyle w:val="TableParagraph"/>
              <w:ind w:left="217"/>
              <w:rPr>
                <w:sz w:val="18"/>
              </w:rPr>
            </w:pPr>
            <w:r>
              <w:rPr>
                <w:sz w:val="18"/>
              </w:rPr>
              <w:t>Gross</w:t>
            </w:r>
            <w:r>
              <w:rPr>
                <w:spacing w:val="-1"/>
                <w:sz w:val="18"/>
              </w:rPr>
              <w:t> </w:t>
            </w:r>
            <w:r>
              <w:rPr>
                <w:sz w:val="18"/>
              </w:rPr>
              <w:t>increases</w:t>
            </w:r>
            <w:r>
              <w:rPr>
                <w:spacing w:val="-1"/>
                <w:sz w:val="18"/>
              </w:rPr>
              <w:t> </w:t>
            </w:r>
            <w:r>
              <w:rPr>
                <w:sz w:val="18"/>
              </w:rPr>
              <w:t>-</w:t>
            </w:r>
            <w:r>
              <w:rPr>
                <w:spacing w:val="-1"/>
                <w:sz w:val="18"/>
              </w:rPr>
              <w:t> </w:t>
            </w:r>
            <w:r>
              <w:rPr>
                <w:sz w:val="18"/>
              </w:rPr>
              <w:t>current</w:t>
            </w:r>
            <w:r>
              <w:rPr>
                <w:spacing w:val="-1"/>
                <w:sz w:val="18"/>
              </w:rPr>
              <w:t> </w:t>
            </w:r>
            <w:r>
              <w:rPr>
                <w:sz w:val="18"/>
              </w:rPr>
              <w:t>period</w:t>
            </w:r>
            <w:r>
              <w:rPr>
                <w:spacing w:val="-1"/>
                <w:sz w:val="18"/>
              </w:rPr>
              <w:t> </w:t>
            </w:r>
            <w:r>
              <w:rPr>
                <w:sz w:val="18"/>
              </w:rPr>
              <w:t>tax</w:t>
            </w:r>
            <w:r>
              <w:rPr>
                <w:spacing w:val="-1"/>
                <w:sz w:val="18"/>
              </w:rPr>
              <w:t> </w:t>
            </w:r>
            <w:r>
              <w:rPr>
                <w:spacing w:val="-2"/>
                <w:sz w:val="18"/>
              </w:rPr>
              <w:t>positions</w:t>
            </w:r>
          </w:p>
        </w:tc>
        <w:tc>
          <w:tcPr>
            <w:tcW w:w="3168" w:type="dxa"/>
          </w:tcPr>
          <w:p>
            <w:pPr>
              <w:pStyle w:val="TableParagraph"/>
              <w:ind w:right="123"/>
              <w:jc w:val="right"/>
              <w:rPr>
                <w:sz w:val="18"/>
              </w:rPr>
            </w:pPr>
            <w:r>
              <w:rPr>
                <w:spacing w:val="-5"/>
                <w:sz w:val="18"/>
              </w:rPr>
              <w:t>285</w:t>
            </w:r>
          </w:p>
        </w:tc>
        <w:tc>
          <w:tcPr>
            <w:tcW w:w="1634" w:type="dxa"/>
          </w:tcPr>
          <w:p>
            <w:pPr>
              <w:pStyle w:val="TableParagraph"/>
              <w:ind w:right="123"/>
              <w:jc w:val="right"/>
              <w:rPr>
                <w:sz w:val="18"/>
              </w:rPr>
            </w:pPr>
            <w:r>
              <w:rPr>
                <w:spacing w:val="-5"/>
                <w:sz w:val="18"/>
              </w:rPr>
              <w:t>654</w:t>
            </w:r>
          </w:p>
        </w:tc>
        <w:tc>
          <w:tcPr>
            <w:tcW w:w="1582" w:type="dxa"/>
          </w:tcPr>
          <w:p>
            <w:pPr>
              <w:pStyle w:val="TableParagraph"/>
              <w:ind w:right="70"/>
              <w:jc w:val="right"/>
              <w:rPr>
                <w:sz w:val="18"/>
              </w:rPr>
            </w:pPr>
            <w:r>
              <w:rPr>
                <w:spacing w:val="-10"/>
                <w:sz w:val="18"/>
              </w:rPr>
              <w:t>—</w:t>
            </w:r>
          </w:p>
        </w:tc>
      </w:tr>
      <w:tr>
        <w:trPr>
          <w:trHeight w:val="255" w:hRule="atLeast"/>
        </w:trPr>
        <w:tc>
          <w:tcPr>
            <w:tcW w:w="5131" w:type="dxa"/>
            <w:shd w:val="clear" w:color="auto" w:fill="CFF0FB"/>
          </w:tcPr>
          <w:p>
            <w:pPr>
              <w:pStyle w:val="TableParagraph"/>
              <w:ind w:left="242"/>
              <w:rPr>
                <w:sz w:val="18"/>
              </w:rPr>
            </w:pPr>
            <w:r>
              <w:rPr>
                <w:sz w:val="18"/>
              </w:rPr>
              <w:t>Settlements</w:t>
            </w:r>
            <w:r>
              <w:rPr>
                <w:spacing w:val="-9"/>
                <w:sz w:val="18"/>
              </w:rPr>
              <w:t> </w:t>
            </w:r>
            <w:r>
              <w:rPr>
                <w:sz w:val="18"/>
              </w:rPr>
              <w:t>with</w:t>
            </w:r>
            <w:r>
              <w:rPr>
                <w:spacing w:val="-8"/>
                <w:sz w:val="18"/>
              </w:rPr>
              <w:t> </w:t>
            </w:r>
            <w:r>
              <w:rPr>
                <w:sz w:val="18"/>
              </w:rPr>
              <w:t>Taxing</w:t>
            </w:r>
            <w:r>
              <w:rPr>
                <w:spacing w:val="-11"/>
                <w:sz w:val="18"/>
              </w:rPr>
              <w:t> </w:t>
            </w:r>
            <w:r>
              <w:rPr>
                <w:spacing w:val="-2"/>
                <w:sz w:val="18"/>
              </w:rPr>
              <w:t>Authorities</w:t>
            </w:r>
          </w:p>
        </w:tc>
        <w:tc>
          <w:tcPr>
            <w:tcW w:w="3168" w:type="dxa"/>
            <w:tcBorders>
              <w:bottom w:val="single" w:sz="6" w:space="0" w:color="000000"/>
            </w:tcBorders>
            <w:shd w:val="clear" w:color="auto" w:fill="CFF0FB"/>
          </w:tcPr>
          <w:p>
            <w:pPr>
              <w:pStyle w:val="TableParagraph"/>
              <w:ind w:right="123"/>
              <w:jc w:val="right"/>
              <w:rPr>
                <w:sz w:val="18"/>
              </w:rPr>
            </w:pPr>
            <w:r>
              <w:rPr>
                <w:spacing w:val="-10"/>
                <w:sz w:val="18"/>
              </w:rPr>
              <w:t>—</w:t>
            </w:r>
          </w:p>
        </w:tc>
        <w:tc>
          <w:tcPr>
            <w:tcW w:w="1634" w:type="dxa"/>
            <w:tcBorders>
              <w:bottom w:val="single" w:sz="6" w:space="0" w:color="000000"/>
            </w:tcBorders>
            <w:shd w:val="clear" w:color="auto" w:fill="CFF0FB"/>
          </w:tcPr>
          <w:p>
            <w:pPr>
              <w:pStyle w:val="TableParagraph"/>
              <w:ind w:right="78"/>
              <w:jc w:val="right"/>
              <w:rPr>
                <w:sz w:val="18"/>
              </w:rPr>
            </w:pPr>
            <w:r>
              <w:rPr>
                <w:spacing w:val="-2"/>
                <w:sz w:val="18"/>
              </w:rPr>
              <w:t>(16,264)</w:t>
            </w:r>
          </w:p>
        </w:tc>
        <w:tc>
          <w:tcPr>
            <w:tcW w:w="1582" w:type="dxa"/>
            <w:tcBorders>
              <w:bottom w:val="single" w:sz="6" w:space="0" w:color="000000"/>
            </w:tcBorders>
            <w:shd w:val="clear" w:color="auto" w:fill="CFF0FB"/>
          </w:tcPr>
          <w:p>
            <w:pPr>
              <w:pStyle w:val="TableParagraph"/>
              <w:ind w:right="70"/>
              <w:jc w:val="right"/>
              <w:rPr>
                <w:sz w:val="18"/>
              </w:rPr>
            </w:pPr>
            <w:r>
              <w:rPr>
                <w:spacing w:val="-10"/>
                <w:sz w:val="18"/>
              </w:rPr>
              <w:t>—</w:t>
            </w:r>
          </w:p>
        </w:tc>
      </w:tr>
      <w:tr>
        <w:trPr>
          <w:trHeight w:val="309" w:hRule="atLeast"/>
        </w:trPr>
        <w:tc>
          <w:tcPr>
            <w:tcW w:w="5131" w:type="dxa"/>
          </w:tcPr>
          <w:p>
            <w:pPr>
              <w:pStyle w:val="TableParagraph"/>
              <w:spacing w:before="47"/>
              <w:ind w:left="17"/>
              <w:rPr>
                <w:sz w:val="18"/>
              </w:rPr>
            </w:pPr>
            <w:r>
              <w:rPr>
                <w:sz w:val="18"/>
              </w:rPr>
              <w:t>Gross</w:t>
            </w:r>
            <w:r>
              <w:rPr>
                <w:spacing w:val="-1"/>
                <w:sz w:val="18"/>
              </w:rPr>
              <w:t> </w:t>
            </w:r>
            <w:r>
              <w:rPr>
                <w:sz w:val="18"/>
              </w:rPr>
              <w:t>unrecognized</w:t>
            </w:r>
            <w:r>
              <w:rPr>
                <w:spacing w:val="-1"/>
                <w:sz w:val="18"/>
              </w:rPr>
              <w:t> </w:t>
            </w:r>
            <w:r>
              <w:rPr>
                <w:sz w:val="18"/>
              </w:rPr>
              <w:t>tax</w:t>
            </w:r>
            <w:r>
              <w:rPr>
                <w:spacing w:val="-1"/>
                <w:sz w:val="18"/>
              </w:rPr>
              <w:t> </w:t>
            </w:r>
            <w:r>
              <w:rPr>
                <w:sz w:val="18"/>
              </w:rPr>
              <w:t>benefits</w:t>
            </w:r>
            <w:r>
              <w:rPr>
                <w:spacing w:val="-1"/>
                <w:sz w:val="18"/>
              </w:rPr>
              <w:t> </w:t>
            </w:r>
            <w:r>
              <w:rPr>
                <w:sz w:val="18"/>
              </w:rPr>
              <w:t>at</w:t>
            </w:r>
            <w:r>
              <w:rPr>
                <w:spacing w:val="-1"/>
                <w:sz w:val="18"/>
              </w:rPr>
              <w:t> </w:t>
            </w:r>
            <w:r>
              <w:rPr>
                <w:sz w:val="18"/>
              </w:rPr>
              <w:t>December</w:t>
            </w:r>
            <w:r>
              <w:rPr>
                <w:spacing w:val="-1"/>
                <w:sz w:val="18"/>
              </w:rPr>
              <w:t> </w:t>
            </w:r>
            <w:r>
              <w:rPr>
                <w:spacing w:val="-5"/>
                <w:sz w:val="18"/>
              </w:rPr>
              <w:t>31</w:t>
            </w:r>
          </w:p>
        </w:tc>
        <w:tc>
          <w:tcPr>
            <w:tcW w:w="3168" w:type="dxa"/>
            <w:tcBorders>
              <w:top w:val="single" w:sz="6" w:space="0" w:color="000000"/>
            </w:tcBorders>
          </w:tcPr>
          <w:p>
            <w:pPr>
              <w:pStyle w:val="TableParagraph"/>
              <w:tabs>
                <w:tab w:pos="1021" w:val="left" w:leader="none"/>
              </w:tabs>
              <w:spacing w:before="20"/>
              <w:ind w:right="123"/>
              <w:jc w:val="right"/>
              <w:rPr>
                <w:sz w:val="18"/>
              </w:rPr>
            </w:pPr>
            <w:r>
              <w:rPr/>
              <mc:AlternateContent>
                <mc:Choice Requires="wps">
                  <w:drawing>
                    <wp:anchor distT="0" distB="0" distL="0" distR="0" allowOverlap="1" layoutInCell="1" locked="0" behindDoc="1" simplePos="0" relativeHeight="477745152">
                      <wp:simplePos x="0" y="0"/>
                      <wp:positionH relativeFrom="column">
                        <wp:posOffset>1010812</wp:posOffset>
                      </wp:positionH>
                      <wp:positionV relativeFrom="paragraph">
                        <wp:posOffset>162300</wp:posOffset>
                      </wp:positionV>
                      <wp:extent cx="969010" cy="34290"/>
                      <wp:effectExtent l="0" t="0" r="0" b="0"/>
                      <wp:wrapNone/>
                      <wp:docPr id="576" name="Group 576"/>
                      <wp:cNvGraphicFramePr>
                        <a:graphicFrameLocks/>
                      </wp:cNvGraphicFramePr>
                      <a:graphic>
                        <a:graphicData uri="http://schemas.microsoft.com/office/word/2010/wordprocessingGroup">
                          <wpg:wgp>
                            <wpg:cNvPr id="576" name="Group 576"/>
                            <wpg:cNvGrpSpPr/>
                            <wpg:grpSpPr>
                              <a:xfrm>
                                <a:off x="0" y="0"/>
                                <a:ext cx="969010" cy="34290"/>
                                <a:chExt cx="969010" cy="34290"/>
                              </a:xfrm>
                            </wpg:grpSpPr>
                            <wps:wsp>
                              <wps:cNvPr id="577" name="Graphic 577"/>
                              <wps:cNvSpPr/>
                              <wps:spPr>
                                <a:xfrm>
                                  <a:off x="-12" y="-3"/>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9.591545pt;margin-top:12.779546pt;width:76.3pt;height:2.7pt;mso-position-horizontal-relative:column;mso-position-vertical-relative:paragraph;z-index:-25571328" id="docshapegroup574" coordorigin="1592,256" coordsize="1526,54">
                      <v:shape style="position:absolute;left:1591;top:255;width:1526;height:54" id="docshape575" coordorigin="1592,256" coordsize="1526,54" path="m3117,296l3090,296,1713,296,1592,296,1592,310,1713,310,3090,310,3117,310,3117,296xm3117,256l3090,256,1713,256,1592,256,1592,269,1713,269,3090,269,3117,269,3117,256xe" filled="true" fillcolor="#000000" stroked="false">
                        <v:path arrowok="t"/>
                        <v:fill type="solid"/>
                      </v:shape>
                      <w10:wrap type="none"/>
                    </v:group>
                  </w:pict>
                </mc:Fallback>
              </mc:AlternateContent>
            </w:r>
            <w:r>
              <w:rPr>
                <w:spacing w:val="-10"/>
                <w:sz w:val="18"/>
              </w:rPr>
              <w:t>$</w:t>
            </w:r>
            <w:r>
              <w:rPr>
                <w:sz w:val="18"/>
              </w:rPr>
              <w:tab/>
            </w:r>
            <w:r>
              <w:rPr>
                <w:spacing w:val="-2"/>
                <w:sz w:val="18"/>
              </w:rPr>
              <w:t>6,885</w:t>
            </w:r>
          </w:p>
        </w:tc>
        <w:tc>
          <w:tcPr>
            <w:tcW w:w="1634" w:type="dxa"/>
            <w:tcBorders>
              <w:top w:val="single" w:sz="6" w:space="0" w:color="000000"/>
            </w:tcBorders>
          </w:tcPr>
          <w:p>
            <w:pPr>
              <w:pStyle w:val="TableParagraph"/>
              <w:tabs>
                <w:tab w:pos="931" w:val="left" w:leader="none"/>
              </w:tabs>
              <w:spacing w:before="20"/>
              <w:ind w:right="123"/>
              <w:jc w:val="right"/>
              <w:rPr>
                <w:sz w:val="18"/>
              </w:rPr>
            </w:pPr>
            <w:r>
              <w:rPr/>
              <mc:AlternateContent>
                <mc:Choice Requires="wps">
                  <w:drawing>
                    <wp:anchor distT="0" distB="0" distL="0" distR="0" allowOverlap="1" layoutInCell="1" locked="0" behindDoc="1" simplePos="0" relativeHeight="477745664">
                      <wp:simplePos x="0" y="0"/>
                      <wp:positionH relativeFrom="column">
                        <wp:posOffset>36147</wp:posOffset>
                      </wp:positionH>
                      <wp:positionV relativeFrom="paragraph">
                        <wp:posOffset>162300</wp:posOffset>
                      </wp:positionV>
                      <wp:extent cx="969010" cy="34290"/>
                      <wp:effectExtent l="0" t="0" r="0" b="0"/>
                      <wp:wrapNone/>
                      <wp:docPr id="578" name="Group 578"/>
                      <wp:cNvGraphicFramePr>
                        <a:graphicFrameLocks/>
                      </wp:cNvGraphicFramePr>
                      <a:graphic>
                        <a:graphicData uri="http://schemas.microsoft.com/office/word/2010/wordprocessingGroup">
                          <wpg:wgp>
                            <wpg:cNvPr id="578" name="Group 578"/>
                            <wpg:cNvGrpSpPr/>
                            <wpg:grpSpPr>
                              <a:xfrm>
                                <a:off x="0" y="0"/>
                                <a:ext cx="969010" cy="34290"/>
                                <a:chExt cx="969010" cy="34290"/>
                              </a:xfrm>
                            </wpg:grpSpPr>
                            <wps:wsp>
                              <wps:cNvPr id="579" name="Graphic 579"/>
                              <wps:cNvSpPr/>
                              <wps:spPr>
                                <a:xfrm>
                                  <a:off x="-12" y="-3"/>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46259pt;margin-top:12.779546pt;width:76.3pt;height:2.7pt;mso-position-horizontal-relative:column;mso-position-vertical-relative:paragraph;z-index:-25570816" id="docshapegroup576" coordorigin="57,256" coordsize="1526,54">
                      <v:shape style="position:absolute;left:56;top:255;width:1526;height:54" id="docshape577" coordorigin="57,256" coordsize="1526,54" path="m1582,296l1555,296,178,296,57,296,57,310,178,310,1555,310,1582,310,1582,296xm1582,256l1555,256,178,256,57,256,57,269,178,269,1555,269,1582,269,1582,256xe" filled="true" fillcolor="#000000" stroked="false">
                        <v:path arrowok="t"/>
                        <v:fill type="solid"/>
                      </v:shape>
                      <w10:wrap type="none"/>
                    </v:group>
                  </w:pict>
                </mc:Fallback>
              </mc:AlternateContent>
            </w:r>
            <w:r>
              <w:rPr>
                <w:spacing w:val="-10"/>
                <w:sz w:val="18"/>
              </w:rPr>
              <w:t>$</w:t>
            </w:r>
            <w:r>
              <w:rPr>
                <w:sz w:val="18"/>
              </w:rPr>
              <w:tab/>
            </w:r>
            <w:r>
              <w:rPr>
                <w:spacing w:val="-2"/>
                <w:sz w:val="18"/>
              </w:rPr>
              <w:t>19,568</w:t>
            </w:r>
          </w:p>
        </w:tc>
        <w:tc>
          <w:tcPr>
            <w:tcW w:w="1582" w:type="dxa"/>
            <w:tcBorders>
              <w:top w:val="single" w:sz="6" w:space="0" w:color="000000"/>
            </w:tcBorders>
          </w:tcPr>
          <w:p>
            <w:pPr>
              <w:pStyle w:val="TableParagraph"/>
              <w:tabs>
                <w:tab w:pos="932" w:val="left" w:leader="none"/>
              </w:tabs>
              <w:spacing w:before="20"/>
              <w:ind w:right="70"/>
              <w:jc w:val="right"/>
              <w:rPr>
                <w:sz w:val="18"/>
              </w:rPr>
            </w:pPr>
            <w:r>
              <w:rPr/>
              <mc:AlternateContent>
                <mc:Choice Requires="wps">
                  <w:drawing>
                    <wp:anchor distT="0" distB="0" distL="0" distR="0" allowOverlap="1" layoutInCell="1" locked="0" behindDoc="1" simplePos="0" relativeHeight="477746176">
                      <wp:simplePos x="0" y="0"/>
                      <wp:positionH relativeFrom="column">
                        <wp:posOffset>44318</wp:posOffset>
                      </wp:positionH>
                      <wp:positionV relativeFrom="paragraph">
                        <wp:posOffset>162300</wp:posOffset>
                      </wp:positionV>
                      <wp:extent cx="960119" cy="34290"/>
                      <wp:effectExtent l="0" t="0" r="0" b="0"/>
                      <wp:wrapNone/>
                      <wp:docPr id="580" name="Group 580"/>
                      <wp:cNvGraphicFramePr>
                        <a:graphicFrameLocks/>
                      </wp:cNvGraphicFramePr>
                      <a:graphic>
                        <a:graphicData uri="http://schemas.microsoft.com/office/word/2010/wordprocessingGroup">
                          <wpg:wgp>
                            <wpg:cNvPr id="580" name="Group 580"/>
                            <wpg:cNvGrpSpPr/>
                            <wpg:grpSpPr>
                              <a:xfrm>
                                <a:off x="0" y="0"/>
                                <a:ext cx="960119" cy="34290"/>
                                <a:chExt cx="960119" cy="34290"/>
                              </a:xfrm>
                            </wpg:grpSpPr>
                            <wps:wsp>
                              <wps:cNvPr id="581" name="Graphic 581"/>
                              <wps:cNvSpPr/>
                              <wps:spPr>
                                <a:xfrm>
                                  <a:off x="-11" y="-3"/>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89625pt;margin-top:12.779546pt;width:75.6pt;height:2.7pt;mso-position-horizontal-relative:column;mso-position-vertical-relative:paragraph;z-index:-25570304" id="docshapegroup578" coordorigin="70,256" coordsize="1512,54">
                      <v:shape style="position:absolute;left:69;top:255;width:1512;height:54" id="docshape579" coordorigin="70,256" coordsize="1512,54" path="m1582,296l1555,296,178,296,70,296,70,310,178,310,1555,310,1582,310,1582,296xm1582,256l1555,256,178,256,70,256,70,269,178,269,1555,269,1582,269,1582,256xe" filled="true" fillcolor="#000000" stroked="false">
                        <v:path arrowok="t"/>
                        <v:fill type="solid"/>
                      </v:shape>
                      <w10:wrap type="none"/>
                    </v:group>
                  </w:pict>
                </mc:Fallback>
              </mc:AlternateContent>
            </w:r>
            <w:r>
              <w:rPr>
                <w:spacing w:val="-10"/>
                <w:sz w:val="18"/>
              </w:rPr>
              <w:t>$</w:t>
            </w:r>
            <w:r>
              <w:rPr>
                <w:sz w:val="18"/>
              </w:rPr>
              <w:tab/>
            </w:r>
            <w:r>
              <w:rPr>
                <w:spacing w:val="-2"/>
                <w:sz w:val="18"/>
              </w:rPr>
              <w:t>35,617</w:t>
            </w:r>
          </w:p>
        </w:tc>
      </w:tr>
    </w:tbl>
    <w:p>
      <w:pPr>
        <w:pStyle w:val="BodyText"/>
        <w:spacing w:before="150"/>
        <w:rPr>
          <w:b/>
          <w:i/>
          <w:sz w:val="14"/>
        </w:rPr>
      </w:pPr>
    </w:p>
    <w:p>
      <w:pPr>
        <w:pStyle w:val="BodyText"/>
        <w:spacing w:line="235" w:lineRule="auto"/>
        <w:ind w:left="144" w:right="118" w:firstLine="499"/>
        <w:jc w:val="both"/>
      </w:pPr>
      <w:r>
        <w:rPr/>
        <w:t>The total amount of unrecognized tax benefits that, if recognized, would affect the effective tax rate was $7 million and $11 million at December 31, 2022 and 2021, respectively. The Company recognizes interest and penalties related to unrecognized tax benefits in income tax expense, which were </w:t>
      </w:r>
      <w:r>
        <w:rPr/>
        <w:t>not material for each of the periods presented.</w:t>
      </w:r>
    </w:p>
    <w:p>
      <w:pPr>
        <w:pStyle w:val="BodyText"/>
        <w:spacing w:before="8"/>
      </w:pPr>
    </w:p>
    <w:p>
      <w:pPr>
        <w:pStyle w:val="BodyText"/>
        <w:spacing w:line="235" w:lineRule="auto"/>
        <w:ind w:left="144" w:right="118" w:firstLine="499"/>
        <w:jc w:val="both"/>
      </w:pPr>
      <w:r>
        <w:rPr/>
        <w:t>The Company files income tax returns in the U.S. federal jurisdiction, various state and local jurisdictions, and foreign jurisdictions, although </w:t>
      </w:r>
      <w:r>
        <w:rPr/>
        <w:t>the</w:t>
      </w:r>
      <w:r>
        <w:rPr>
          <w:spacing w:val="40"/>
        </w:rPr>
        <w:t> </w:t>
      </w:r>
      <w:r>
        <w:rPr/>
        <w:t>income taxes paid in foreign jurisdictions are not material. As of December 31, 2022, other than adjustments resulting from the federal and state income tax audits discussed herein, the federal, state, and local tax jurisdictions in which the Company files tax returns generally cannot assess tax with respect to years ended prior to 2016. However, NOLs generated or utilized in earlier years may be subject to adjustment.</w:t>
      </w:r>
    </w:p>
    <w:p>
      <w:pPr>
        <w:pStyle w:val="BodyText"/>
        <w:spacing w:before="11"/>
      </w:pPr>
    </w:p>
    <w:p>
      <w:pPr>
        <w:pStyle w:val="BodyText"/>
        <w:spacing w:line="230" w:lineRule="auto"/>
        <w:ind w:left="144" w:right="118" w:firstLine="499"/>
        <w:jc w:val="both"/>
      </w:pPr>
      <w:r>
        <w:rPr/>
        <w:t>The Company's 2015 through 2019 U.S. consolidated federal income tax returns are currently under examination by the IRS. Such examination is expected to close during 2023, and the Company does not anticipate any material adjustments upon resolution of the examination. The Company's income </w:t>
      </w:r>
      <w:r>
        <w:rPr/>
        <w:t>tax returns</w:t>
      </w:r>
      <w:r>
        <w:rPr>
          <w:spacing w:val="-1"/>
        </w:rPr>
        <w:t> </w:t>
      </w:r>
      <w:r>
        <w:rPr/>
        <w:t>filed</w:t>
      </w:r>
      <w:r>
        <w:rPr>
          <w:spacing w:val="-1"/>
        </w:rPr>
        <w:t> </w:t>
      </w:r>
      <w:r>
        <w:rPr/>
        <w:t>in</w:t>
      </w:r>
      <w:r>
        <w:rPr>
          <w:spacing w:val="-1"/>
        </w:rPr>
        <w:t> </w:t>
      </w:r>
      <w:r>
        <w:rPr/>
        <w:t>New</w:t>
      </w:r>
      <w:r>
        <w:rPr>
          <w:spacing w:val="-8"/>
        </w:rPr>
        <w:t> </w:t>
      </w:r>
      <w:r>
        <w:rPr/>
        <w:t>York</w:t>
      </w:r>
      <w:r>
        <w:rPr>
          <w:spacing w:val="-1"/>
        </w:rPr>
        <w:t> </w:t>
      </w:r>
      <w:r>
        <w:rPr/>
        <w:t>City</w:t>
      </w:r>
      <w:r>
        <w:rPr>
          <w:spacing w:val="-1"/>
        </w:rPr>
        <w:t> </w:t>
      </w:r>
      <w:r>
        <w:rPr/>
        <w:t>for</w:t>
      </w:r>
      <w:r>
        <w:rPr>
          <w:spacing w:val="-1"/>
        </w:rPr>
        <w:t> </w:t>
      </w:r>
      <w:r>
        <w:rPr/>
        <w:t>the</w:t>
      </w:r>
      <w:r>
        <w:rPr>
          <w:spacing w:val="-1"/>
        </w:rPr>
        <w:t> </w:t>
      </w:r>
      <w:r>
        <w:rPr/>
        <w:t>tax</w:t>
      </w:r>
      <w:r>
        <w:rPr>
          <w:spacing w:val="-1"/>
        </w:rPr>
        <w:t> </w:t>
      </w:r>
      <w:r>
        <w:rPr/>
        <w:t>years</w:t>
      </w:r>
      <w:r>
        <w:rPr>
          <w:spacing w:val="-1"/>
        </w:rPr>
        <w:t> </w:t>
      </w:r>
      <w:r>
        <w:rPr/>
        <w:t>2017</w:t>
      </w:r>
      <w:r>
        <w:rPr>
          <w:spacing w:val="-1"/>
        </w:rPr>
        <w:t> </w:t>
      </w:r>
      <w:r>
        <w:rPr/>
        <w:t>through</w:t>
      </w:r>
      <w:r>
        <w:rPr>
          <w:spacing w:val="-1"/>
        </w:rPr>
        <w:t> </w:t>
      </w:r>
      <w:r>
        <w:rPr/>
        <w:t>2019</w:t>
      </w:r>
      <w:r>
        <w:rPr>
          <w:spacing w:val="-1"/>
        </w:rPr>
        <w:t> </w:t>
      </w:r>
      <w:r>
        <w:rPr/>
        <w:t>are</w:t>
      </w:r>
      <w:r>
        <w:rPr>
          <w:spacing w:val="-1"/>
        </w:rPr>
        <w:t> </w:t>
      </w:r>
      <w:r>
        <w:rPr/>
        <w:t>currently</w:t>
      </w:r>
      <w:r>
        <w:rPr>
          <w:spacing w:val="-1"/>
        </w:rPr>
        <w:t> </w:t>
      </w:r>
      <w:r>
        <w:rPr/>
        <w:t>under</w:t>
      </w:r>
      <w:r>
        <w:rPr>
          <w:spacing w:val="-1"/>
        </w:rPr>
        <w:t> </w:t>
      </w:r>
      <w:r>
        <w:rPr/>
        <w:t>examination.</w:t>
      </w:r>
      <w:r>
        <w:rPr>
          <w:spacing w:val="-10"/>
        </w:rPr>
        <w:t> </w:t>
      </w:r>
      <w:r>
        <w:rPr/>
        <w:t>Additionally,</w:t>
      </w:r>
      <w:r>
        <w:rPr>
          <w:spacing w:val="-1"/>
        </w:rPr>
        <w:t> </w:t>
      </w:r>
      <w:r>
        <w:rPr/>
        <w:t>in</w:t>
      </w:r>
      <w:r>
        <w:rPr>
          <w:spacing w:val="-1"/>
        </w:rPr>
        <w:t> </w:t>
      </w:r>
      <w:r>
        <w:rPr/>
        <w:t>2022,</w:t>
      </w:r>
      <w:r>
        <w:rPr>
          <w:spacing w:val="-1"/>
        </w:rPr>
        <w:t> </w:t>
      </w:r>
      <w:r>
        <w:rPr/>
        <w:t>the</w:t>
      </w:r>
      <w:r>
        <w:rPr>
          <w:spacing w:val="-1"/>
        </w:rPr>
        <w:t> </w:t>
      </w:r>
      <w:r>
        <w:rPr/>
        <w:t>Company</w:t>
      </w:r>
      <w:r>
        <w:rPr>
          <w:spacing w:val="-1"/>
        </w:rPr>
        <w:t> </w:t>
      </w:r>
      <w:r>
        <w:rPr/>
        <w:t>filed</w:t>
      </w:r>
      <w:r>
        <w:rPr>
          <w:spacing w:val="-1"/>
        </w:rPr>
        <w:t> </w:t>
      </w:r>
      <w:r>
        <w:rPr/>
        <w:t>a</w:t>
      </w:r>
      <w:r>
        <w:rPr>
          <w:spacing w:val="-1"/>
        </w:rPr>
        <w:t> </w:t>
      </w:r>
      <w:r>
        <w:rPr/>
        <w:t>complaint</w:t>
      </w:r>
      <w:r>
        <w:rPr>
          <w:spacing w:val="-1"/>
        </w:rPr>
        <w:t> </w:t>
      </w:r>
      <w:r>
        <w:rPr/>
        <w:t>with the Michigan Court of Claims appealing some of the adjustments from the Michigan examination of tax years 2014 through 2018. The Company does not anticipate any material adjustments upon resolution of either matter.</w:t>
      </w:r>
    </w:p>
    <w:p>
      <w:pPr>
        <w:pStyle w:val="BodyText"/>
        <w:spacing w:before="11"/>
      </w:pPr>
    </w:p>
    <w:p>
      <w:pPr>
        <w:pStyle w:val="BodyText"/>
        <w:spacing w:line="235" w:lineRule="auto" w:before="1"/>
        <w:ind w:left="144" w:right="118" w:firstLine="499"/>
        <w:jc w:val="both"/>
      </w:pPr>
      <w:r>
        <w:rPr/>
        <w:t>During the twelve months ended December 31, 2022, the Company reversed $13 million of unrecognized tax benefit upon the resolution of a </w:t>
      </w:r>
      <w:r>
        <w:rPr/>
        <w:t>tax accounting method issue related to its customer loyalty program.</w:t>
      </w:r>
    </w:p>
    <w:p>
      <w:pPr>
        <w:pStyle w:val="BodyText"/>
      </w:pPr>
    </w:p>
    <w:p>
      <w:pPr>
        <w:pStyle w:val="BodyText"/>
        <w:spacing w:before="27"/>
      </w:pPr>
    </w:p>
    <w:p>
      <w:pPr>
        <w:pStyle w:val="Heading4"/>
      </w:pPr>
      <w:r>
        <w:rPr/>
        <w:t>NOTE</w:t>
      </w:r>
      <w:r>
        <w:rPr>
          <w:spacing w:val="-5"/>
        </w:rPr>
        <w:t> </w:t>
      </w:r>
      <w:r>
        <w:rPr/>
        <w:t>11</w:t>
      </w:r>
      <w:r>
        <w:rPr>
          <w:spacing w:val="-4"/>
        </w:rPr>
        <w:t> </w:t>
      </w:r>
      <w:r>
        <w:rPr/>
        <w:t>–</w:t>
      </w:r>
      <w:r>
        <w:rPr>
          <w:spacing w:val="-4"/>
        </w:rPr>
        <w:t> </w:t>
      </w:r>
      <w:r>
        <w:rPr>
          <w:spacing w:val="-2"/>
        </w:rPr>
        <w:t>LEASES</w:t>
      </w:r>
    </w:p>
    <w:p>
      <w:pPr>
        <w:pStyle w:val="BodyText"/>
        <w:spacing w:before="4"/>
        <w:rPr>
          <w:b/>
        </w:rPr>
      </w:pPr>
    </w:p>
    <w:p>
      <w:pPr>
        <w:pStyle w:val="BodyText"/>
        <w:spacing w:line="249" w:lineRule="auto" w:before="1"/>
        <w:ind w:left="144" w:right="118" w:firstLine="499"/>
        <w:jc w:val="both"/>
      </w:pPr>
      <w:r>
        <w:rPr/>
        <w:t>The Company leases real estate, land underlying certain of its properties, and various equipment under operating and, to a lesser extent, finance lease </w:t>
      </w:r>
      <w:r>
        <w:rPr>
          <w:spacing w:val="-2"/>
        </w:rPr>
        <w:t>arrangements.</w:t>
      </w:r>
    </w:p>
    <w:p>
      <w:pPr>
        <w:pStyle w:val="BodyText"/>
        <w:spacing w:before="204"/>
        <w:ind w:left="144" w:right="118" w:firstLine="499"/>
        <w:jc w:val="both"/>
      </w:pPr>
      <w:r>
        <w:rPr>
          <w:b/>
        </w:rPr>
        <w:t>Real estate assets and land. </w:t>
      </w:r>
      <w:r>
        <w:rPr/>
        <w:t>The Company leases the real estate assets of its domestic resorts pursuant to triple-net lease agreements, which </w:t>
      </w:r>
      <w:r>
        <w:rPr/>
        <w:t>are classified as operating leases. The triple-net structure of the leases requires the Company to pay substantially all costs associated with each property, including real estate taxes, insurance, utilities and routine maintenance (with each lease obligating the Company to spend a specified percentage of net revenues at the properties on capital expenditures), in addition to the annual cash rent. Each of the leases also requires the Company to comply with certain financial</w:t>
      </w:r>
      <w:r>
        <w:rPr>
          <w:spacing w:val="40"/>
        </w:rPr>
        <w:t> </w:t>
      </w:r>
      <w:r>
        <w:rPr/>
        <w:t>covenants, which, if not met, would require the Company to maintain cash security or provide one or more letters of credit in favor of the landlord in an</w:t>
      </w:r>
      <w:r>
        <w:rPr>
          <w:spacing w:val="40"/>
        </w:rPr>
        <w:t> </w:t>
      </w:r>
      <w:r>
        <w:rPr/>
        <w:t>amount equal to 6 months or 1 year of rent, as applicable to the circumstances, under the VICI lease, 1 year of rent under the Mandalay Bay and MGM Grand Las</w:t>
      </w:r>
      <w:r>
        <w:rPr>
          <w:spacing w:val="-2"/>
        </w:rPr>
        <w:t> </w:t>
      </w:r>
      <w:r>
        <w:rPr/>
        <w:t>Vegas lease, the</w:t>
      </w:r>
      <w:r>
        <w:rPr>
          <w:spacing w:val="-8"/>
        </w:rPr>
        <w:t> </w:t>
      </w:r>
      <w:r>
        <w:rPr/>
        <w:t>Aria and</w:t>
      </w:r>
      <w:r>
        <w:rPr>
          <w:spacing w:val="-2"/>
        </w:rPr>
        <w:t> </w:t>
      </w:r>
      <w:r>
        <w:rPr/>
        <w:t>Vdara lease, and</w:t>
      </w:r>
      <w:r>
        <w:rPr>
          <w:spacing w:val="-2"/>
        </w:rPr>
        <w:t> </w:t>
      </w:r>
      <w:r>
        <w:rPr/>
        <w:t>The Cosmopolitan lease, and 2 years of rent under the Bellagio lease.</w:t>
      </w:r>
      <w:r>
        <w:rPr>
          <w:spacing w:val="-2"/>
        </w:rPr>
        <w:t> </w:t>
      </w:r>
      <w:r>
        <w:rPr/>
        <w:t>The Company was in compliance with its applicable covenants under its leases as of December 31, 2022.</w:t>
      </w:r>
    </w:p>
    <w:p>
      <w:pPr>
        <w:pStyle w:val="BodyText"/>
        <w:spacing w:before="15"/>
      </w:pPr>
    </w:p>
    <w:p>
      <w:pPr>
        <w:pStyle w:val="BodyText"/>
        <w:spacing w:line="237" w:lineRule="auto"/>
        <w:ind w:left="144" w:right="119" w:firstLine="499"/>
        <w:jc w:val="both"/>
      </w:pPr>
      <w:r>
        <w:rPr>
          <w:i/>
        </w:rPr>
        <w:t>Bellagio</w:t>
      </w:r>
      <w:r>
        <w:rPr>
          <w:i/>
          <w:spacing w:val="-2"/>
        </w:rPr>
        <w:t> </w:t>
      </w:r>
      <w:r>
        <w:rPr>
          <w:i/>
        </w:rPr>
        <w:t>lease</w:t>
      </w:r>
      <w:r>
        <w:rPr/>
        <w:t>.</w:t>
      </w:r>
      <w:r>
        <w:rPr>
          <w:spacing w:val="-6"/>
        </w:rPr>
        <w:t> </w:t>
      </w:r>
      <w:r>
        <w:rPr/>
        <w:t>The</w:t>
      </w:r>
      <w:r>
        <w:rPr>
          <w:spacing w:val="-2"/>
        </w:rPr>
        <w:t> </w:t>
      </w:r>
      <w:r>
        <w:rPr/>
        <w:t>Company</w:t>
      </w:r>
      <w:r>
        <w:rPr>
          <w:spacing w:val="-2"/>
        </w:rPr>
        <w:t> </w:t>
      </w:r>
      <w:r>
        <w:rPr/>
        <w:t>leases</w:t>
      </w:r>
      <w:r>
        <w:rPr>
          <w:spacing w:val="-2"/>
        </w:rPr>
        <w:t> </w:t>
      </w:r>
      <w:r>
        <w:rPr/>
        <w:t>the</w:t>
      </w:r>
      <w:r>
        <w:rPr>
          <w:spacing w:val="-2"/>
        </w:rPr>
        <w:t> </w:t>
      </w:r>
      <w:r>
        <w:rPr/>
        <w:t>real</w:t>
      </w:r>
      <w:r>
        <w:rPr>
          <w:spacing w:val="-2"/>
        </w:rPr>
        <w:t> </w:t>
      </w:r>
      <w:r>
        <w:rPr/>
        <w:t>estate</w:t>
      </w:r>
      <w:r>
        <w:rPr>
          <w:spacing w:val="-2"/>
        </w:rPr>
        <w:t> </w:t>
      </w:r>
      <w:r>
        <w:rPr/>
        <w:t>assets</w:t>
      </w:r>
      <w:r>
        <w:rPr>
          <w:spacing w:val="-2"/>
        </w:rPr>
        <w:t> </w:t>
      </w:r>
      <w:r>
        <w:rPr/>
        <w:t>of</w:t>
      </w:r>
      <w:r>
        <w:rPr>
          <w:spacing w:val="-2"/>
        </w:rPr>
        <w:t> </w:t>
      </w:r>
      <w:r>
        <w:rPr/>
        <w:t>Bellagio</w:t>
      </w:r>
      <w:r>
        <w:rPr>
          <w:spacing w:val="-2"/>
        </w:rPr>
        <w:t> </w:t>
      </w:r>
      <w:r>
        <w:rPr/>
        <w:t>from</w:t>
      </w:r>
      <w:r>
        <w:rPr>
          <w:spacing w:val="-2"/>
        </w:rPr>
        <w:t> </w:t>
      </w:r>
      <w:r>
        <w:rPr/>
        <w:t>Bellagio</w:t>
      </w:r>
      <w:r>
        <w:rPr>
          <w:spacing w:val="-2"/>
        </w:rPr>
        <w:t> </w:t>
      </w:r>
      <w:r>
        <w:rPr/>
        <w:t>BREIT</w:t>
      </w:r>
      <w:r>
        <w:rPr>
          <w:spacing w:val="-9"/>
        </w:rPr>
        <w:t> </w:t>
      </w:r>
      <w:r>
        <w:rPr/>
        <w:t>Venture.</w:t>
      </w:r>
      <w:r>
        <w:rPr>
          <w:spacing w:val="-6"/>
        </w:rPr>
        <w:t> </w:t>
      </w:r>
      <w:r>
        <w:rPr/>
        <w:t>The</w:t>
      </w:r>
      <w:r>
        <w:rPr>
          <w:spacing w:val="-2"/>
        </w:rPr>
        <w:t> </w:t>
      </w:r>
      <w:r>
        <w:rPr/>
        <w:t>Bellagio</w:t>
      </w:r>
      <w:r>
        <w:rPr>
          <w:spacing w:val="-2"/>
        </w:rPr>
        <w:t> </w:t>
      </w:r>
      <w:r>
        <w:rPr/>
        <w:t>lease</w:t>
      </w:r>
      <w:r>
        <w:rPr>
          <w:spacing w:val="-2"/>
        </w:rPr>
        <w:t> </w:t>
      </w:r>
      <w:r>
        <w:rPr/>
        <w:t>commenced</w:t>
      </w:r>
      <w:r>
        <w:rPr>
          <w:spacing w:val="-2"/>
        </w:rPr>
        <w:t> </w:t>
      </w:r>
      <w:r>
        <w:rPr/>
        <w:t>November</w:t>
      </w:r>
      <w:r>
        <w:rPr>
          <w:spacing w:val="-2"/>
        </w:rPr>
        <w:t> </w:t>
      </w:r>
      <w:r>
        <w:rPr/>
        <w:t>15,</w:t>
      </w:r>
      <w:r>
        <w:rPr>
          <w:spacing w:val="-2"/>
        </w:rPr>
        <w:t> </w:t>
      </w:r>
      <w:r>
        <w:rPr/>
        <w:t>2019 and has an initial term of 30 years with two 10-year renewal periods, exercisable at the Company’s option, with a fixed 2% rent escalator for the first 10 years and,</w:t>
      </w:r>
      <w:r>
        <w:rPr>
          <w:spacing w:val="-1"/>
        </w:rPr>
        <w:t> </w:t>
      </w:r>
      <w:r>
        <w:rPr/>
        <w:t>thereafter,</w:t>
      </w:r>
      <w:r>
        <w:rPr>
          <w:spacing w:val="-1"/>
        </w:rPr>
        <w:t> </w:t>
      </w:r>
      <w:r>
        <w:rPr/>
        <w:t>an</w:t>
      </w:r>
      <w:r>
        <w:rPr>
          <w:spacing w:val="-1"/>
        </w:rPr>
        <w:t> </w:t>
      </w:r>
      <w:r>
        <w:rPr/>
        <w:t>escalator</w:t>
      </w:r>
      <w:r>
        <w:rPr>
          <w:spacing w:val="-1"/>
        </w:rPr>
        <w:t> </w:t>
      </w:r>
      <w:r>
        <w:rPr/>
        <w:t>equal</w:t>
      </w:r>
      <w:r>
        <w:rPr>
          <w:spacing w:val="-1"/>
        </w:rPr>
        <w:t> </w:t>
      </w:r>
      <w:r>
        <w:rPr/>
        <w:t>to</w:t>
      </w:r>
      <w:r>
        <w:rPr>
          <w:spacing w:val="-1"/>
        </w:rPr>
        <w:t> </w:t>
      </w:r>
      <w:r>
        <w:rPr/>
        <w:t>the</w:t>
      </w:r>
      <w:r>
        <w:rPr>
          <w:spacing w:val="-1"/>
        </w:rPr>
        <w:t> </w:t>
      </w:r>
      <w:r>
        <w:rPr/>
        <w:t>greater</w:t>
      </w:r>
      <w:r>
        <w:rPr>
          <w:spacing w:val="-1"/>
        </w:rPr>
        <w:t> </w:t>
      </w:r>
      <w:r>
        <w:rPr/>
        <w:t>of</w:t>
      </w:r>
      <w:r>
        <w:rPr>
          <w:spacing w:val="-1"/>
        </w:rPr>
        <w:t> </w:t>
      </w:r>
      <w:r>
        <w:rPr/>
        <w:t>2%</w:t>
      </w:r>
      <w:r>
        <w:rPr>
          <w:spacing w:val="-1"/>
        </w:rPr>
        <w:t> </w:t>
      </w:r>
      <w:r>
        <w:rPr/>
        <w:t>and</w:t>
      </w:r>
      <w:r>
        <w:rPr>
          <w:spacing w:val="-1"/>
        </w:rPr>
        <w:t> </w:t>
      </w:r>
      <w:r>
        <w:rPr/>
        <w:t>the</w:t>
      </w:r>
      <w:r>
        <w:rPr>
          <w:spacing w:val="-1"/>
        </w:rPr>
        <w:t> </w:t>
      </w:r>
      <w:r>
        <w:rPr/>
        <w:t>CPI</w:t>
      </w:r>
      <w:r>
        <w:rPr>
          <w:spacing w:val="-1"/>
        </w:rPr>
        <w:t> </w:t>
      </w:r>
      <w:r>
        <w:rPr/>
        <w:t>increase</w:t>
      </w:r>
      <w:r>
        <w:rPr>
          <w:spacing w:val="-1"/>
        </w:rPr>
        <w:t> </w:t>
      </w:r>
      <w:r>
        <w:rPr/>
        <w:t>during</w:t>
      </w:r>
      <w:r>
        <w:rPr>
          <w:spacing w:val="-1"/>
        </w:rPr>
        <w:t> </w:t>
      </w:r>
      <w:r>
        <w:rPr/>
        <w:t>the</w:t>
      </w:r>
      <w:r>
        <w:rPr>
          <w:spacing w:val="-1"/>
        </w:rPr>
        <w:t> </w:t>
      </w:r>
      <w:r>
        <w:rPr/>
        <w:t>prior</w:t>
      </w:r>
      <w:r>
        <w:rPr>
          <w:spacing w:val="-1"/>
        </w:rPr>
        <w:t> </w:t>
      </w:r>
      <w:r>
        <w:rPr/>
        <w:t>year,</w:t>
      </w:r>
      <w:r>
        <w:rPr>
          <w:spacing w:val="-1"/>
        </w:rPr>
        <w:t> </w:t>
      </w:r>
      <w:r>
        <w:rPr/>
        <w:t>subject</w:t>
      </w:r>
      <w:r>
        <w:rPr>
          <w:spacing w:val="-1"/>
        </w:rPr>
        <w:t> </w:t>
      </w:r>
      <w:r>
        <w:rPr/>
        <w:t>to</w:t>
      </w:r>
      <w:r>
        <w:rPr>
          <w:spacing w:val="-1"/>
        </w:rPr>
        <w:t> </w:t>
      </w:r>
      <w:r>
        <w:rPr/>
        <w:t>a</w:t>
      </w:r>
      <w:r>
        <w:rPr>
          <w:spacing w:val="-1"/>
        </w:rPr>
        <w:t> </w:t>
      </w:r>
      <w:r>
        <w:rPr/>
        <w:t>cap</w:t>
      </w:r>
      <w:r>
        <w:rPr>
          <w:spacing w:val="-1"/>
        </w:rPr>
        <w:t> </w:t>
      </w:r>
      <w:r>
        <w:rPr/>
        <w:t>of</w:t>
      </w:r>
      <w:r>
        <w:rPr>
          <w:spacing w:val="-1"/>
        </w:rPr>
        <w:t> </w:t>
      </w:r>
      <w:r>
        <w:rPr/>
        <w:t>3%</w:t>
      </w:r>
      <w:r>
        <w:rPr>
          <w:spacing w:val="-1"/>
        </w:rPr>
        <w:t> </w:t>
      </w:r>
      <w:r>
        <w:rPr/>
        <w:t>during</w:t>
      </w:r>
      <w:r>
        <w:rPr>
          <w:spacing w:val="-1"/>
        </w:rPr>
        <w:t> </w:t>
      </w:r>
      <w:r>
        <w:rPr/>
        <w:t>the</w:t>
      </w:r>
      <w:r>
        <w:rPr>
          <w:spacing w:val="-1"/>
        </w:rPr>
        <w:t> </w:t>
      </w:r>
      <w:r>
        <w:rPr/>
        <w:t>11th</w:t>
      </w:r>
      <w:r>
        <w:rPr>
          <w:spacing w:val="-1"/>
        </w:rPr>
        <w:t> </w:t>
      </w:r>
      <w:r>
        <w:rPr/>
        <w:t>through</w:t>
      </w:r>
      <w:r>
        <w:rPr>
          <w:spacing w:val="-1"/>
        </w:rPr>
        <w:t> </w:t>
      </w:r>
      <w:r>
        <w:rPr/>
        <w:t>20th</w:t>
      </w:r>
      <w:r>
        <w:rPr>
          <w:spacing w:val="-1"/>
        </w:rPr>
        <w:t> </w:t>
      </w:r>
      <w:r>
        <w:rPr/>
        <w:t>years</w:t>
      </w:r>
      <w:r>
        <w:rPr>
          <w:spacing w:val="-1"/>
        </w:rPr>
        <w:t> </w:t>
      </w:r>
      <w:r>
        <w:rPr/>
        <w:t>and 4% thereafter.</w:t>
      </w:r>
      <w:r>
        <w:rPr>
          <w:spacing w:val="-7"/>
        </w:rPr>
        <w:t> </w:t>
      </w:r>
      <w:r>
        <w:rPr/>
        <w:t>Annual cash rent payments for the fourth lease year that commenced on December 1, 2022 increased to $260 million as a result of the 2% fixed annual escalator.</w:t>
      </w:r>
    </w:p>
    <w:p>
      <w:pPr>
        <w:pStyle w:val="BodyText"/>
        <w:spacing w:before="9"/>
      </w:pPr>
    </w:p>
    <w:p>
      <w:pPr>
        <w:pStyle w:val="BodyText"/>
        <w:ind w:left="144" w:right="118" w:firstLine="499"/>
        <w:jc w:val="both"/>
      </w:pPr>
      <w:r>
        <w:rPr>
          <w:i/>
        </w:rPr>
        <w:t>Mandalay Bay and MGM Grand Las Vegas lease</w:t>
      </w:r>
      <w:r>
        <w:rPr/>
        <w:t>. The Company leases the real estate assets of Mandalay Bay and MGM Grand Las Vegas from VICI BREIT Venture. The Mandalay Bay and MGM Grand Las Vegas lease commenced February 14, 2020 and has an initial term of 30 years with two 10-</w:t>
      </w:r>
      <w:r>
        <w:rPr/>
        <w:t>year renewal periods, exercisable at the Company’s option, with a fixed 2% rent escalator for the first 15 years and, thereafter, an escalator equal to the greater of</w:t>
      </w:r>
      <w:r>
        <w:rPr>
          <w:spacing w:val="40"/>
        </w:rPr>
        <w:t> </w:t>
      </w:r>
      <w:r>
        <w:rPr/>
        <w:t>2% and the</w:t>
      </w:r>
    </w:p>
    <w:p>
      <w:pPr>
        <w:pStyle w:val="BodyText"/>
      </w:pPr>
    </w:p>
    <w:p>
      <w:pPr>
        <w:pStyle w:val="BodyText"/>
        <w:spacing w:before="189"/>
      </w:pPr>
    </w:p>
    <w:p>
      <w:pPr>
        <w:pStyle w:val="BodyText"/>
        <w:ind w:left="24"/>
        <w:jc w:val="center"/>
      </w:pPr>
      <w:r>
        <w:rPr>
          <w:spacing w:val="-5"/>
        </w:rPr>
        <w:t>86</w:t>
      </w:r>
    </w:p>
    <w:p>
      <w:pPr>
        <w:pStyle w:val="BodyText"/>
        <w:spacing w:before="3"/>
        <w:rPr>
          <w:sz w:val="6"/>
        </w:rPr>
      </w:pPr>
      <w:r>
        <w:rPr/>
        <mc:AlternateContent>
          <mc:Choice Requires="wps">
            <w:drawing>
              <wp:anchor distT="0" distB="0" distL="0" distR="0" allowOverlap="1" layoutInCell="1" locked="0" behindDoc="1" simplePos="0" relativeHeight="487703552">
                <wp:simplePos x="0" y="0"/>
                <wp:positionH relativeFrom="page">
                  <wp:posOffset>231457</wp:posOffset>
                </wp:positionH>
                <wp:positionV relativeFrom="paragraph">
                  <wp:posOffset>60956</wp:posOffset>
                </wp:positionV>
                <wp:extent cx="7312659" cy="17145"/>
                <wp:effectExtent l="0" t="0" r="0" b="0"/>
                <wp:wrapTopAndBottom/>
                <wp:docPr id="582" name="Group 582"/>
                <wp:cNvGraphicFramePr>
                  <a:graphicFrameLocks/>
                </wp:cNvGraphicFramePr>
                <a:graphic>
                  <a:graphicData uri="http://schemas.microsoft.com/office/word/2010/wordprocessingGroup">
                    <wpg:wgp>
                      <wpg:cNvPr id="582" name="Group 582"/>
                      <wpg:cNvGrpSpPr/>
                      <wpg:grpSpPr>
                        <a:xfrm>
                          <a:off x="0" y="0"/>
                          <a:ext cx="7312659" cy="17145"/>
                          <a:chExt cx="7312659" cy="17145"/>
                        </a:xfrm>
                      </wpg:grpSpPr>
                      <wps:wsp>
                        <wps:cNvPr id="583" name="Graphic 58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84" name="Graphic 584"/>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85" name="Graphic 58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12928;mso-wrap-distance-left:0;mso-wrap-distance-right:0" id="docshapegroup580" coordorigin="364,96" coordsize="11516,27">
                <v:rect style="position:absolute;left:364;top:96;width:11516;height:14" id="docshape581" filled="true" fillcolor="#999999" stroked="false">
                  <v:fill type="solid"/>
                </v:rect>
                <v:shape style="position:absolute;left:364;top:95;width:11516;height:27" id="docshape582" coordorigin="364,96" coordsize="11516,27" path="m11880,96l11866,109,364,109,364,123,11866,123,11880,123,11880,109,11880,96xe" filled="true" fillcolor="#ededed" stroked="false">
                  <v:path arrowok="t"/>
                  <v:fill type="solid"/>
                </v:shape>
                <v:shape style="position:absolute;left:364;top:96;width:14;height:27" id="docshape58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05" w:lineRule="exact" w:before="63"/>
        <w:ind w:left="144"/>
      </w:pPr>
      <w:r>
        <w:rPr/>
        <w:t>CPI</w:t>
      </w:r>
      <w:r>
        <w:rPr>
          <w:spacing w:val="5"/>
        </w:rPr>
        <w:t> </w:t>
      </w:r>
      <w:r>
        <w:rPr/>
        <w:t>increase</w:t>
      </w:r>
      <w:r>
        <w:rPr>
          <w:spacing w:val="8"/>
        </w:rPr>
        <w:t> </w:t>
      </w:r>
      <w:r>
        <w:rPr/>
        <w:t>during</w:t>
      </w:r>
      <w:r>
        <w:rPr>
          <w:spacing w:val="8"/>
        </w:rPr>
        <w:t> </w:t>
      </w:r>
      <w:r>
        <w:rPr/>
        <w:t>the</w:t>
      </w:r>
      <w:r>
        <w:rPr>
          <w:spacing w:val="7"/>
        </w:rPr>
        <w:t> </w:t>
      </w:r>
      <w:r>
        <w:rPr/>
        <w:t>prior</w:t>
      </w:r>
      <w:r>
        <w:rPr>
          <w:spacing w:val="8"/>
        </w:rPr>
        <w:t> </w:t>
      </w:r>
      <w:r>
        <w:rPr/>
        <w:t>year,</w:t>
      </w:r>
      <w:r>
        <w:rPr>
          <w:spacing w:val="8"/>
        </w:rPr>
        <w:t> </w:t>
      </w:r>
      <w:r>
        <w:rPr/>
        <w:t>subject</w:t>
      </w:r>
      <w:r>
        <w:rPr>
          <w:spacing w:val="7"/>
        </w:rPr>
        <w:t> </w:t>
      </w:r>
      <w:r>
        <w:rPr/>
        <w:t>to</w:t>
      </w:r>
      <w:r>
        <w:rPr>
          <w:spacing w:val="8"/>
        </w:rPr>
        <w:t> </w:t>
      </w:r>
      <w:r>
        <w:rPr/>
        <w:t>a</w:t>
      </w:r>
      <w:r>
        <w:rPr>
          <w:spacing w:val="8"/>
        </w:rPr>
        <w:t> </w:t>
      </w:r>
      <w:r>
        <w:rPr/>
        <w:t>cap</w:t>
      </w:r>
      <w:r>
        <w:rPr>
          <w:spacing w:val="8"/>
        </w:rPr>
        <w:t> </w:t>
      </w:r>
      <w:r>
        <w:rPr/>
        <w:t>of</w:t>
      </w:r>
      <w:r>
        <w:rPr>
          <w:spacing w:val="7"/>
        </w:rPr>
        <w:t> </w:t>
      </w:r>
      <w:r>
        <w:rPr/>
        <w:t>3%.</w:t>
      </w:r>
      <w:r>
        <w:rPr>
          <w:spacing w:val="-2"/>
        </w:rPr>
        <w:t> </w:t>
      </w:r>
      <w:r>
        <w:rPr/>
        <w:t>Annual</w:t>
      </w:r>
      <w:r>
        <w:rPr>
          <w:spacing w:val="8"/>
        </w:rPr>
        <w:t> </w:t>
      </w:r>
      <w:r>
        <w:rPr/>
        <w:t>cash</w:t>
      </w:r>
      <w:r>
        <w:rPr>
          <w:spacing w:val="8"/>
        </w:rPr>
        <w:t> </w:t>
      </w:r>
      <w:r>
        <w:rPr/>
        <w:t>rent</w:t>
      </w:r>
      <w:r>
        <w:rPr>
          <w:spacing w:val="7"/>
        </w:rPr>
        <w:t> </w:t>
      </w:r>
      <w:r>
        <w:rPr/>
        <w:t>payments</w:t>
      </w:r>
      <w:r>
        <w:rPr>
          <w:spacing w:val="8"/>
        </w:rPr>
        <w:t> </w:t>
      </w:r>
      <w:r>
        <w:rPr/>
        <w:t>for</w:t>
      </w:r>
      <w:r>
        <w:rPr>
          <w:spacing w:val="8"/>
        </w:rPr>
        <w:t> </w:t>
      </w:r>
      <w:r>
        <w:rPr/>
        <w:t>the</w:t>
      </w:r>
      <w:r>
        <w:rPr>
          <w:spacing w:val="7"/>
        </w:rPr>
        <w:t> </w:t>
      </w:r>
      <w:r>
        <w:rPr/>
        <w:t>third</w:t>
      </w:r>
      <w:r>
        <w:rPr>
          <w:spacing w:val="8"/>
        </w:rPr>
        <w:t> </w:t>
      </w:r>
      <w:r>
        <w:rPr/>
        <w:t>lease</w:t>
      </w:r>
      <w:r>
        <w:rPr>
          <w:spacing w:val="8"/>
        </w:rPr>
        <w:t> </w:t>
      </w:r>
      <w:r>
        <w:rPr/>
        <w:t>year</w:t>
      </w:r>
      <w:r>
        <w:rPr>
          <w:spacing w:val="8"/>
        </w:rPr>
        <w:t> </w:t>
      </w:r>
      <w:r>
        <w:rPr/>
        <w:t>that</w:t>
      </w:r>
      <w:r>
        <w:rPr>
          <w:spacing w:val="7"/>
        </w:rPr>
        <w:t> </w:t>
      </w:r>
      <w:r>
        <w:rPr/>
        <w:t>commenced</w:t>
      </w:r>
      <w:r>
        <w:rPr>
          <w:spacing w:val="8"/>
        </w:rPr>
        <w:t> </w:t>
      </w:r>
      <w:r>
        <w:rPr/>
        <w:t>on</w:t>
      </w:r>
      <w:r>
        <w:rPr>
          <w:spacing w:val="8"/>
        </w:rPr>
        <w:t> </w:t>
      </w:r>
      <w:r>
        <w:rPr/>
        <w:t>March</w:t>
      </w:r>
      <w:r>
        <w:rPr>
          <w:spacing w:val="7"/>
        </w:rPr>
        <w:t> </w:t>
      </w:r>
      <w:r>
        <w:rPr/>
        <w:t>1,</w:t>
      </w:r>
      <w:r>
        <w:rPr>
          <w:spacing w:val="8"/>
        </w:rPr>
        <w:t> </w:t>
      </w:r>
      <w:r>
        <w:rPr/>
        <w:t>2022</w:t>
      </w:r>
      <w:r>
        <w:rPr>
          <w:spacing w:val="8"/>
        </w:rPr>
        <w:t> </w:t>
      </w:r>
      <w:r>
        <w:rPr/>
        <w:t>increased</w:t>
      </w:r>
      <w:r>
        <w:rPr>
          <w:spacing w:val="8"/>
        </w:rPr>
        <w:t> </w:t>
      </w:r>
      <w:r>
        <w:rPr>
          <w:spacing w:val="-5"/>
        </w:rPr>
        <w:t>to</w:t>
      </w:r>
    </w:p>
    <w:p>
      <w:pPr>
        <w:pStyle w:val="BodyText"/>
        <w:spacing w:line="205" w:lineRule="exact"/>
        <w:ind w:left="144"/>
      </w:pPr>
      <w:r>
        <w:rPr/>
        <w:t>$304</w:t>
      </w:r>
      <w:r>
        <w:rPr>
          <w:spacing w:val="-1"/>
        </w:rPr>
        <w:t> </w:t>
      </w:r>
      <w:r>
        <w:rPr/>
        <w:t>million</w:t>
      </w:r>
      <w:r>
        <w:rPr>
          <w:spacing w:val="-1"/>
        </w:rPr>
        <w:t> </w:t>
      </w:r>
      <w:r>
        <w:rPr/>
        <w:t>as</w:t>
      </w:r>
      <w:r>
        <w:rPr>
          <w:spacing w:val="-1"/>
        </w:rPr>
        <w:t> </w:t>
      </w:r>
      <w:r>
        <w:rPr/>
        <w:t>a</w:t>
      </w:r>
      <w:r>
        <w:rPr>
          <w:spacing w:val="-1"/>
        </w:rPr>
        <w:t> </w:t>
      </w:r>
      <w:r>
        <w:rPr/>
        <w:t>result</w:t>
      </w:r>
      <w:r>
        <w:rPr>
          <w:spacing w:val="-1"/>
        </w:rPr>
        <w:t> </w:t>
      </w:r>
      <w:r>
        <w:rPr/>
        <w:t>of</w:t>
      </w:r>
      <w:r>
        <w:rPr>
          <w:spacing w:val="-1"/>
        </w:rPr>
        <w:t> </w:t>
      </w:r>
      <w:r>
        <w:rPr/>
        <w:t>the</w:t>
      </w:r>
      <w:r>
        <w:rPr>
          <w:spacing w:val="-1"/>
        </w:rPr>
        <w:t> </w:t>
      </w:r>
      <w:r>
        <w:rPr/>
        <w:t>2%</w:t>
      </w:r>
      <w:r>
        <w:rPr>
          <w:spacing w:val="-1"/>
        </w:rPr>
        <w:t> </w:t>
      </w:r>
      <w:r>
        <w:rPr/>
        <w:t>fixed</w:t>
      </w:r>
      <w:r>
        <w:rPr>
          <w:spacing w:val="-1"/>
        </w:rPr>
        <w:t> </w:t>
      </w:r>
      <w:r>
        <w:rPr/>
        <w:t>annual</w:t>
      </w:r>
      <w:r>
        <w:rPr>
          <w:spacing w:val="-1"/>
        </w:rPr>
        <w:t> </w:t>
      </w:r>
      <w:r>
        <w:rPr>
          <w:spacing w:val="-2"/>
        </w:rPr>
        <w:t>escalator.</w:t>
      </w:r>
    </w:p>
    <w:p>
      <w:pPr>
        <w:pStyle w:val="BodyText"/>
        <w:spacing w:line="235" w:lineRule="auto" w:before="201"/>
        <w:ind w:left="144" w:right="118" w:firstLine="499"/>
        <w:jc w:val="both"/>
      </w:pPr>
      <w:r>
        <w:rPr>
          <w:i/>
        </w:rPr>
        <w:t>Aria and Vdara lease</w:t>
      </w:r>
      <w:r>
        <w:rPr/>
        <w:t>. The Company leases the real estate assets of Aria and Vdara from funds managed by Blackstone. The Aria and Vdara </w:t>
      </w:r>
      <w:r>
        <w:rPr/>
        <w:t>lease commenced September 28, 2021 and has an initial term of 30 years with three 10-year renewal periods, exercisable at the Company’s option, with a fixed 2% rent escalator for the first 15 years, and thereafter, an escalator equal to the greater of 2% and the CPI increase during the prior year, subject to a cap of 3%. Annual</w:t>
      </w:r>
      <w:r>
        <w:rPr>
          <w:spacing w:val="-1"/>
        </w:rPr>
        <w:t> </w:t>
      </w:r>
      <w:r>
        <w:rPr/>
        <w:t>cash</w:t>
      </w:r>
      <w:r>
        <w:rPr>
          <w:spacing w:val="-1"/>
        </w:rPr>
        <w:t> </w:t>
      </w:r>
      <w:r>
        <w:rPr/>
        <w:t>rent</w:t>
      </w:r>
      <w:r>
        <w:rPr>
          <w:spacing w:val="-1"/>
        </w:rPr>
        <w:t> </w:t>
      </w:r>
      <w:r>
        <w:rPr/>
        <w:t>payments</w:t>
      </w:r>
      <w:r>
        <w:rPr>
          <w:spacing w:val="-1"/>
        </w:rPr>
        <w:t> </w:t>
      </w:r>
      <w:r>
        <w:rPr/>
        <w:t>for</w:t>
      </w:r>
      <w:r>
        <w:rPr>
          <w:spacing w:val="-1"/>
        </w:rPr>
        <w:t> </w:t>
      </w:r>
      <w:r>
        <w:rPr/>
        <w:t>the</w:t>
      </w:r>
      <w:r>
        <w:rPr>
          <w:spacing w:val="-1"/>
        </w:rPr>
        <w:t> </w:t>
      </w:r>
      <w:r>
        <w:rPr/>
        <w:t>second</w:t>
      </w:r>
      <w:r>
        <w:rPr>
          <w:spacing w:val="-1"/>
        </w:rPr>
        <w:t> </w:t>
      </w:r>
      <w:r>
        <w:rPr/>
        <w:t>lease</w:t>
      </w:r>
      <w:r>
        <w:rPr>
          <w:spacing w:val="-1"/>
        </w:rPr>
        <w:t> </w:t>
      </w:r>
      <w:r>
        <w:rPr/>
        <w:t>year</w:t>
      </w:r>
      <w:r>
        <w:rPr>
          <w:spacing w:val="-1"/>
        </w:rPr>
        <w:t> </w:t>
      </w:r>
      <w:r>
        <w:rPr/>
        <w:t>that</w:t>
      </w:r>
      <w:r>
        <w:rPr>
          <w:spacing w:val="-1"/>
        </w:rPr>
        <w:t> </w:t>
      </w:r>
      <w:r>
        <w:rPr/>
        <w:t>commenced</w:t>
      </w:r>
      <w:r>
        <w:rPr>
          <w:spacing w:val="-1"/>
        </w:rPr>
        <w:t> </w:t>
      </w:r>
      <w:r>
        <w:rPr/>
        <w:t>on</w:t>
      </w:r>
      <w:r>
        <w:rPr>
          <w:spacing w:val="-1"/>
        </w:rPr>
        <w:t> </w:t>
      </w:r>
      <w:r>
        <w:rPr/>
        <w:t>October</w:t>
      </w:r>
      <w:r>
        <w:rPr>
          <w:spacing w:val="-1"/>
        </w:rPr>
        <w:t> </w:t>
      </w:r>
      <w:r>
        <w:rPr/>
        <w:t>1,</w:t>
      </w:r>
      <w:r>
        <w:rPr>
          <w:spacing w:val="-1"/>
        </w:rPr>
        <w:t> </w:t>
      </w:r>
      <w:r>
        <w:rPr/>
        <w:t>2022</w:t>
      </w:r>
      <w:r>
        <w:rPr>
          <w:spacing w:val="-1"/>
        </w:rPr>
        <w:t> </w:t>
      </w:r>
      <w:r>
        <w:rPr/>
        <w:t>increased</w:t>
      </w:r>
      <w:r>
        <w:rPr>
          <w:spacing w:val="-1"/>
        </w:rPr>
        <w:t> </w:t>
      </w:r>
      <w:r>
        <w:rPr/>
        <w:t>to</w:t>
      </w:r>
      <w:r>
        <w:rPr>
          <w:spacing w:val="-1"/>
        </w:rPr>
        <w:t> </w:t>
      </w:r>
      <w:r>
        <w:rPr/>
        <w:t>$219</w:t>
      </w:r>
      <w:r>
        <w:rPr>
          <w:spacing w:val="-1"/>
        </w:rPr>
        <w:t> </w:t>
      </w:r>
      <w:r>
        <w:rPr/>
        <w:t>million</w:t>
      </w:r>
      <w:r>
        <w:rPr>
          <w:spacing w:val="-1"/>
        </w:rPr>
        <w:t> </w:t>
      </w:r>
      <w:r>
        <w:rPr/>
        <w:t>as</w:t>
      </w:r>
      <w:r>
        <w:rPr>
          <w:spacing w:val="-1"/>
        </w:rPr>
        <w:t> </w:t>
      </w:r>
      <w:r>
        <w:rPr/>
        <w:t>a</w:t>
      </w:r>
      <w:r>
        <w:rPr>
          <w:spacing w:val="-1"/>
        </w:rPr>
        <w:t> </w:t>
      </w:r>
      <w:r>
        <w:rPr/>
        <w:t>result</w:t>
      </w:r>
      <w:r>
        <w:rPr>
          <w:spacing w:val="-1"/>
        </w:rPr>
        <w:t> </w:t>
      </w:r>
      <w:r>
        <w:rPr/>
        <w:t>of</w:t>
      </w:r>
      <w:r>
        <w:rPr>
          <w:spacing w:val="-1"/>
        </w:rPr>
        <w:t> </w:t>
      </w:r>
      <w:r>
        <w:rPr/>
        <w:t>the</w:t>
      </w:r>
      <w:r>
        <w:rPr>
          <w:spacing w:val="-1"/>
        </w:rPr>
        <w:t> </w:t>
      </w:r>
      <w:r>
        <w:rPr/>
        <w:t>2%</w:t>
      </w:r>
      <w:r>
        <w:rPr>
          <w:spacing w:val="-1"/>
        </w:rPr>
        <w:t> </w:t>
      </w:r>
      <w:r>
        <w:rPr/>
        <w:t>fixed</w:t>
      </w:r>
      <w:r>
        <w:rPr>
          <w:spacing w:val="-1"/>
        </w:rPr>
        <w:t> </w:t>
      </w:r>
      <w:r>
        <w:rPr/>
        <w:t>annual</w:t>
      </w:r>
      <w:r>
        <w:rPr>
          <w:spacing w:val="-1"/>
        </w:rPr>
        <w:t> </w:t>
      </w:r>
      <w:r>
        <w:rPr/>
        <w:t>escalator.</w:t>
      </w:r>
    </w:p>
    <w:p>
      <w:pPr>
        <w:pStyle w:val="BodyText"/>
        <w:spacing w:before="18"/>
      </w:pPr>
    </w:p>
    <w:p>
      <w:pPr>
        <w:pStyle w:val="BodyText"/>
        <w:spacing w:line="249" w:lineRule="auto"/>
        <w:ind w:left="144" w:right="118" w:firstLine="499"/>
        <w:jc w:val="both"/>
      </w:pPr>
      <w:r>
        <w:rPr>
          <w:i/>
        </w:rPr>
        <w:t>The</w:t>
      </w:r>
      <w:r>
        <w:rPr>
          <w:i/>
          <w:spacing w:val="-2"/>
        </w:rPr>
        <w:t> </w:t>
      </w:r>
      <w:r>
        <w:rPr>
          <w:i/>
        </w:rPr>
        <w:t>VICI</w:t>
      </w:r>
      <w:r>
        <w:rPr>
          <w:i/>
          <w:spacing w:val="-2"/>
        </w:rPr>
        <w:t> </w:t>
      </w:r>
      <w:r>
        <w:rPr>
          <w:i/>
        </w:rPr>
        <w:t>lease</w:t>
      </w:r>
      <w:r>
        <w:rPr>
          <w:i/>
          <w:spacing w:val="-2"/>
        </w:rPr>
        <w:t> </w:t>
      </w:r>
      <w:r>
        <w:rPr>
          <w:i/>
        </w:rPr>
        <w:t>and</w:t>
      </w:r>
      <w:r>
        <w:rPr>
          <w:i/>
          <w:spacing w:val="-2"/>
        </w:rPr>
        <w:t> </w:t>
      </w:r>
      <w:r>
        <w:rPr>
          <w:i/>
        </w:rPr>
        <w:t>ground</w:t>
      </w:r>
      <w:r>
        <w:rPr>
          <w:i/>
          <w:spacing w:val="-2"/>
        </w:rPr>
        <w:t> </w:t>
      </w:r>
      <w:r>
        <w:rPr>
          <w:i/>
        </w:rPr>
        <w:t>subleases.</w:t>
      </w:r>
      <w:r>
        <w:rPr>
          <w:i/>
          <w:spacing w:val="-2"/>
        </w:rPr>
        <w:t> </w:t>
      </w:r>
      <w:r>
        <w:rPr/>
        <w:t>The</w:t>
      </w:r>
      <w:r>
        <w:rPr>
          <w:spacing w:val="-2"/>
        </w:rPr>
        <w:t> </w:t>
      </w:r>
      <w:r>
        <w:rPr/>
        <w:t>Company</w:t>
      </w:r>
      <w:r>
        <w:rPr>
          <w:spacing w:val="-2"/>
        </w:rPr>
        <w:t> </w:t>
      </w:r>
      <w:r>
        <w:rPr/>
        <w:t>leases</w:t>
      </w:r>
      <w:r>
        <w:rPr>
          <w:spacing w:val="-2"/>
        </w:rPr>
        <w:t> </w:t>
      </w:r>
      <w:r>
        <w:rPr/>
        <w:t>the</w:t>
      </w:r>
      <w:r>
        <w:rPr>
          <w:spacing w:val="-2"/>
        </w:rPr>
        <w:t> </w:t>
      </w:r>
      <w:r>
        <w:rPr/>
        <w:t>real</w:t>
      </w:r>
      <w:r>
        <w:rPr>
          <w:spacing w:val="-2"/>
        </w:rPr>
        <w:t> </w:t>
      </w:r>
      <w:r>
        <w:rPr/>
        <w:t>estate</w:t>
      </w:r>
      <w:r>
        <w:rPr>
          <w:spacing w:val="-2"/>
        </w:rPr>
        <w:t> </w:t>
      </w:r>
      <w:r>
        <w:rPr/>
        <w:t>assets</w:t>
      </w:r>
      <w:r>
        <w:rPr>
          <w:spacing w:val="-2"/>
        </w:rPr>
        <w:t> </w:t>
      </w:r>
      <w:r>
        <w:rPr/>
        <w:t>of</w:t>
      </w:r>
      <w:r>
        <w:rPr>
          <w:spacing w:val="-2"/>
        </w:rPr>
        <w:t> </w:t>
      </w:r>
      <w:r>
        <w:rPr/>
        <w:t>Luxor,</w:t>
      </w:r>
      <w:r>
        <w:rPr>
          <w:spacing w:val="-2"/>
        </w:rPr>
        <w:t> </w:t>
      </w:r>
      <w:r>
        <w:rPr/>
        <w:t>New</w:t>
      </w:r>
      <w:r>
        <w:rPr>
          <w:spacing w:val="-8"/>
        </w:rPr>
        <w:t> </w:t>
      </w:r>
      <w:r>
        <w:rPr/>
        <w:t>York-New</w:t>
      </w:r>
      <w:r>
        <w:rPr>
          <w:spacing w:val="-8"/>
        </w:rPr>
        <w:t> </w:t>
      </w:r>
      <w:r>
        <w:rPr/>
        <w:t>York,</w:t>
      </w:r>
      <w:r>
        <w:rPr>
          <w:spacing w:val="-2"/>
        </w:rPr>
        <w:t> </w:t>
      </w:r>
      <w:r>
        <w:rPr/>
        <w:t>Park</w:t>
      </w:r>
      <w:r>
        <w:rPr>
          <w:spacing w:val="-2"/>
        </w:rPr>
        <w:t> </w:t>
      </w:r>
      <w:r>
        <w:rPr/>
        <w:t>MGM,</w:t>
      </w:r>
      <w:r>
        <w:rPr>
          <w:spacing w:val="-2"/>
        </w:rPr>
        <w:t> </w:t>
      </w:r>
      <w:r>
        <w:rPr/>
        <w:t>Excalibur,</w:t>
      </w:r>
      <w:r>
        <w:rPr>
          <w:spacing w:val="-5"/>
        </w:rPr>
        <w:t> </w:t>
      </w:r>
      <w:r>
        <w:rPr/>
        <w:t>The</w:t>
      </w:r>
      <w:r>
        <w:rPr>
          <w:spacing w:val="-2"/>
        </w:rPr>
        <w:t> </w:t>
      </w:r>
      <w:r>
        <w:rPr/>
        <w:t>Park,</w:t>
      </w:r>
      <w:r>
        <w:rPr>
          <w:spacing w:val="-2"/>
        </w:rPr>
        <w:t> </w:t>
      </w:r>
      <w:r>
        <w:rPr/>
        <w:t>Gold Strike Tunica, MGM Grand Detroit, Beau Rivage, Borgata, Empire City, MGM National Harbor, MGM Northfield Park, and MGM Springfield from VICI. The</w:t>
      </w:r>
      <w:r>
        <w:rPr>
          <w:spacing w:val="-2"/>
        </w:rPr>
        <w:t> </w:t>
      </w:r>
      <w:r>
        <w:rPr/>
        <w:t>VICI lease commenced</w:t>
      </w:r>
      <w:r>
        <w:rPr>
          <w:spacing w:val="-9"/>
        </w:rPr>
        <w:t> </w:t>
      </w:r>
      <w:r>
        <w:rPr/>
        <w:t>April 29, 2022 and has an initial term of 25 years, with three 10-year renewal periods, exercisable at the Company’s option, with a fixed</w:t>
      </w:r>
      <w:r>
        <w:rPr>
          <w:spacing w:val="-2"/>
        </w:rPr>
        <w:t> </w:t>
      </w:r>
      <w:r>
        <w:rPr/>
        <w:t>2%</w:t>
      </w:r>
      <w:r>
        <w:rPr>
          <w:spacing w:val="-2"/>
        </w:rPr>
        <w:t> </w:t>
      </w:r>
      <w:r>
        <w:rPr/>
        <w:t>rent</w:t>
      </w:r>
      <w:r>
        <w:rPr>
          <w:spacing w:val="-2"/>
        </w:rPr>
        <w:t> </w:t>
      </w:r>
      <w:r>
        <w:rPr/>
        <w:t>escalator</w:t>
      </w:r>
      <w:r>
        <w:rPr>
          <w:spacing w:val="-2"/>
        </w:rPr>
        <w:t> </w:t>
      </w:r>
      <w:r>
        <w:rPr/>
        <w:t>for</w:t>
      </w:r>
      <w:r>
        <w:rPr>
          <w:spacing w:val="-2"/>
        </w:rPr>
        <w:t> </w:t>
      </w:r>
      <w:r>
        <w:rPr/>
        <w:t>the</w:t>
      </w:r>
      <w:r>
        <w:rPr>
          <w:spacing w:val="-2"/>
        </w:rPr>
        <w:t> </w:t>
      </w:r>
      <w:r>
        <w:rPr/>
        <w:t>first</w:t>
      </w:r>
      <w:r>
        <w:rPr>
          <w:spacing w:val="-2"/>
        </w:rPr>
        <w:t> </w:t>
      </w:r>
      <w:r>
        <w:rPr/>
        <w:t>10</w:t>
      </w:r>
      <w:r>
        <w:rPr>
          <w:spacing w:val="-2"/>
        </w:rPr>
        <w:t> </w:t>
      </w:r>
      <w:r>
        <w:rPr/>
        <w:t>years,</w:t>
      </w:r>
      <w:r>
        <w:rPr>
          <w:spacing w:val="-2"/>
        </w:rPr>
        <w:t> </w:t>
      </w:r>
      <w:r>
        <w:rPr/>
        <w:t>and</w:t>
      </w:r>
      <w:r>
        <w:rPr>
          <w:spacing w:val="-2"/>
        </w:rPr>
        <w:t> </w:t>
      </w:r>
      <w:r>
        <w:rPr/>
        <w:t>thereafter,</w:t>
      </w:r>
      <w:r>
        <w:rPr>
          <w:spacing w:val="-2"/>
        </w:rPr>
        <w:t> </w:t>
      </w:r>
      <w:r>
        <w:rPr/>
        <w:t>an</w:t>
      </w:r>
      <w:r>
        <w:rPr>
          <w:spacing w:val="-2"/>
        </w:rPr>
        <w:t> </w:t>
      </w:r>
      <w:r>
        <w:rPr/>
        <w:t>escalator</w:t>
      </w:r>
      <w:r>
        <w:rPr>
          <w:spacing w:val="-2"/>
        </w:rPr>
        <w:t> </w:t>
      </w:r>
      <w:r>
        <w:rPr/>
        <w:t>equal</w:t>
      </w:r>
      <w:r>
        <w:rPr>
          <w:spacing w:val="-2"/>
        </w:rPr>
        <w:t> </w:t>
      </w:r>
      <w:r>
        <w:rPr/>
        <w:t>to</w:t>
      </w:r>
      <w:r>
        <w:rPr>
          <w:spacing w:val="-2"/>
        </w:rPr>
        <w:t> </w:t>
      </w:r>
      <w:r>
        <w:rPr/>
        <w:t>the</w:t>
      </w:r>
      <w:r>
        <w:rPr>
          <w:spacing w:val="-2"/>
        </w:rPr>
        <w:t> </w:t>
      </w:r>
      <w:r>
        <w:rPr/>
        <w:t>greater</w:t>
      </w:r>
      <w:r>
        <w:rPr>
          <w:spacing w:val="-2"/>
        </w:rPr>
        <w:t> </w:t>
      </w:r>
      <w:r>
        <w:rPr/>
        <w:t>of</w:t>
      </w:r>
      <w:r>
        <w:rPr>
          <w:spacing w:val="-2"/>
        </w:rPr>
        <w:t> </w:t>
      </w:r>
      <w:r>
        <w:rPr/>
        <w:t>2%</w:t>
      </w:r>
      <w:r>
        <w:rPr>
          <w:spacing w:val="-2"/>
        </w:rPr>
        <w:t> </w:t>
      </w:r>
      <w:r>
        <w:rPr/>
        <w:t>and</w:t>
      </w:r>
      <w:r>
        <w:rPr>
          <w:spacing w:val="-2"/>
        </w:rPr>
        <w:t> </w:t>
      </w:r>
      <w:r>
        <w:rPr/>
        <w:t>the</w:t>
      </w:r>
      <w:r>
        <w:rPr>
          <w:spacing w:val="-2"/>
        </w:rPr>
        <w:t> </w:t>
      </w:r>
      <w:r>
        <w:rPr/>
        <w:t>CPI</w:t>
      </w:r>
      <w:r>
        <w:rPr>
          <w:spacing w:val="-2"/>
        </w:rPr>
        <w:t> </w:t>
      </w:r>
      <w:r>
        <w:rPr/>
        <w:t>increase</w:t>
      </w:r>
      <w:r>
        <w:rPr>
          <w:spacing w:val="-2"/>
        </w:rPr>
        <w:t> </w:t>
      </w:r>
      <w:r>
        <w:rPr/>
        <w:t>during</w:t>
      </w:r>
      <w:r>
        <w:rPr>
          <w:spacing w:val="-2"/>
        </w:rPr>
        <w:t> </w:t>
      </w:r>
      <w:r>
        <w:rPr/>
        <w:t>the</w:t>
      </w:r>
      <w:r>
        <w:rPr>
          <w:spacing w:val="-2"/>
        </w:rPr>
        <w:t> </w:t>
      </w:r>
      <w:r>
        <w:rPr/>
        <w:t>prior</w:t>
      </w:r>
      <w:r>
        <w:rPr>
          <w:spacing w:val="-2"/>
        </w:rPr>
        <w:t> </w:t>
      </w:r>
      <w:r>
        <w:rPr/>
        <w:t>year</w:t>
      </w:r>
      <w:r>
        <w:rPr>
          <w:spacing w:val="-2"/>
        </w:rPr>
        <w:t> </w:t>
      </w:r>
      <w:r>
        <w:rPr/>
        <w:t>subject</w:t>
      </w:r>
      <w:r>
        <w:rPr>
          <w:spacing w:val="-2"/>
        </w:rPr>
        <w:t> </w:t>
      </w:r>
      <w:r>
        <w:rPr/>
        <w:t>to</w:t>
      </w:r>
      <w:r>
        <w:rPr>
          <w:spacing w:val="-2"/>
        </w:rPr>
        <w:t> </w:t>
      </w:r>
      <w:r>
        <w:rPr/>
        <w:t>a</w:t>
      </w:r>
      <w:r>
        <w:rPr>
          <w:spacing w:val="-2"/>
        </w:rPr>
        <w:t> </w:t>
      </w:r>
      <w:r>
        <w:rPr/>
        <w:t>cap</w:t>
      </w:r>
      <w:r>
        <w:rPr>
          <w:spacing w:val="-2"/>
        </w:rPr>
        <w:t> </w:t>
      </w:r>
      <w:r>
        <w:rPr/>
        <w:t>of 3%.</w:t>
      </w:r>
      <w:r>
        <w:rPr>
          <w:spacing w:val="-8"/>
        </w:rPr>
        <w:t> </w:t>
      </w:r>
      <w:r>
        <w:rPr/>
        <w:t>Additionally, the</w:t>
      </w:r>
      <w:r>
        <w:rPr>
          <w:spacing w:val="-1"/>
        </w:rPr>
        <w:t> </w:t>
      </w:r>
      <w:r>
        <w:rPr/>
        <w:t>VICI lease provides</w:t>
      </w:r>
      <w:r>
        <w:rPr>
          <w:spacing w:val="-1"/>
        </w:rPr>
        <w:t> </w:t>
      </w:r>
      <w:r>
        <w:rPr/>
        <w:t>VICI with a right of first offer with respect to any further gaming development by the Company on the undeveloped land adjacent to Empire City, which VICI may exercise should the Company elect to sell the property.</w:t>
      </w:r>
      <w:r>
        <w:rPr>
          <w:spacing w:val="-2"/>
        </w:rPr>
        <w:t> </w:t>
      </w:r>
      <w:r>
        <w:rPr/>
        <w:t>Annual cash rent payments for the first lease year that commenced on</w:t>
      </w:r>
      <w:r>
        <w:rPr>
          <w:spacing w:val="-8"/>
        </w:rPr>
        <w:t> </w:t>
      </w:r>
      <w:r>
        <w:rPr/>
        <w:t>April 29, 2022 was $860 million. In December 2022, in connection with the sale of the operations of</w:t>
      </w:r>
      <w:r>
        <w:rPr>
          <w:spacing w:val="-2"/>
        </w:rPr>
        <w:t> </w:t>
      </w:r>
      <w:r>
        <w:rPr/>
        <w:t>The Mirage, the</w:t>
      </w:r>
      <w:r>
        <w:rPr>
          <w:spacing w:val="-2"/>
        </w:rPr>
        <w:t> </w:t>
      </w:r>
      <w:r>
        <w:rPr/>
        <w:t>VICI lease was amended to remove The Mirage and to reflect a $90 million reduction in annual cash rent. The modification resulted in a reassessment of the lease classification and remeasurement of the VICI lease, with the lease continuing to be accounted for as an operating lease and $1.3 billion of operating lease ROU and $1.3 billion lease liabilities allocable to</w:t>
      </w:r>
      <w:r>
        <w:rPr>
          <w:spacing w:val="-2"/>
        </w:rPr>
        <w:t> </w:t>
      </w:r>
      <w:r>
        <w:rPr/>
        <w:t>The Mirage were derecognized (see Note 4). In February 2023, in connection with the sale of the operations of Gold Strike</w:t>
      </w:r>
      <w:r>
        <w:rPr>
          <w:spacing w:val="-2"/>
        </w:rPr>
        <w:t> </w:t>
      </w:r>
      <w:r>
        <w:rPr/>
        <w:t>Tunica, the VICI lease was amended to remove Gold Strike Tunica and to reflect a $40 million reduction in annual cash rent. Refer to Note 4 for further discussion of the respective sales.</w:t>
      </w:r>
    </w:p>
    <w:p>
      <w:pPr>
        <w:pStyle w:val="BodyText"/>
        <w:spacing w:before="18"/>
      </w:pPr>
    </w:p>
    <w:p>
      <w:pPr>
        <w:pStyle w:val="BodyText"/>
        <w:spacing w:line="242" w:lineRule="auto"/>
        <w:ind w:left="144" w:right="118" w:firstLine="486"/>
        <w:jc w:val="both"/>
      </w:pPr>
      <w:r>
        <w:rPr/>
        <w:t>The Company is required to pay the rent payments under the ground leases of the Borgata, Beau Rivage, and National Harbor through the term of the VICI lease. The ground subleases of Beau Rivage and National Harbor are classified as operating leases and the ground sublease of Borgata is classified as </w:t>
      </w:r>
      <w:r>
        <w:rPr/>
        <w:t>a finance lease.</w:t>
      </w:r>
    </w:p>
    <w:p>
      <w:pPr>
        <w:pStyle w:val="BodyText"/>
        <w:spacing w:before="2"/>
      </w:pPr>
    </w:p>
    <w:p>
      <w:pPr>
        <w:pStyle w:val="BodyText"/>
        <w:spacing w:line="249" w:lineRule="auto" w:before="1"/>
        <w:ind w:left="144" w:right="118" w:firstLine="499"/>
        <w:jc w:val="both"/>
      </w:pPr>
      <w:r>
        <w:rPr>
          <w:i/>
        </w:rPr>
        <w:t>The Cosmopolitan lease. </w:t>
      </w:r>
      <w:r>
        <w:rPr/>
        <w:t>The Company leases the real estate assets of The Cosmopolitan from a subsidiary of BREIT. The Cosmopolitan lease commenced May 17, 2022 and has an initial term of 30 years with three 10-year renewal periods, exercisable at the Company’s option, with a fixed 2% </w:t>
      </w:r>
      <w:r>
        <w:rPr/>
        <w:t>rent escalator for the first 15 years, and thereafter, an escalator equal to the greater of 2% and the CPI increase during the prior year, subject to a cap of 3%.</w:t>
      </w:r>
      <w:r>
        <w:rPr>
          <w:spacing w:val="-9"/>
        </w:rPr>
        <w:t> </w:t>
      </w:r>
      <w:r>
        <w:rPr/>
        <w:t>Annual cash rent payments for the first lease year that commenced on May 17, 2022 was $200 million.</w:t>
      </w:r>
    </w:p>
    <w:p>
      <w:pPr>
        <w:pStyle w:val="BodyText"/>
        <w:spacing w:before="11"/>
      </w:pPr>
    </w:p>
    <w:p>
      <w:pPr>
        <w:pStyle w:val="BodyText"/>
        <w:spacing w:line="249" w:lineRule="auto" w:before="1"/>
        <w:ind w:left="144" w:right="117" w:firstLine="499"/>
        <w:jc w:val="both"/>
      </w:pPr>
      <w:r>
        <w:rPr>
          <w:i/>
        </w:rPr>
        <w:t>MGM</w:t>
      </w:r>
      <w:r>
        <w:rPr>
          <w:i/>
          <w:spacing w:val="-1"/>
        </w:rPr>
        <w:t> </w:t>
      </w:r>
      <w:r>
        <w:rPr>
          <w:i/>
        </w:rPr>
        <w:t>China</w:t>
      </w:r>
      <w:r>
        <w:rPr>
          <w:i/>
          <w:spacing w:val="-1"/>
        </w:rPr>
        <w:t> </w:t>
      </w:r>
      <w:r>
        <w:rPr>
          <w:i/>
        </w:rPr>
        <w:t>land</w:t>
      </w:r>
      <w:r>
        <w:rPr>
          <w:i/>
          <w:spacing w:val="-1"/>
        </w:rPr>
        <w:t> </w:t>
      </w:r>
      <w:r>
        <w:rPr>
          <w:i/>
        </w:rPr>
        <w:t>concessions</w:t>
      </w:r>
      <w:r>
        <w:rPr/>
        <w:t>.</w:t>
      </w:r>
      <w:r>
        <w:rPr>
          <w:spacing w:val="-1"/>
        </w:rPr>
        <w:t> </w:t>
      </w:r>
      <w:r>
        <w:rPr/>
        <w:t>MGM</w:t>
      </w:r>
      <w:r>
        <w:rPr>
          <w:spacing w:val="-1"/>
        </w:rPr>
        <w:t> </w:t>
      </w:r>
      <w:r>
        <w:rPr/>
        <w:t>Grand</w:t>
      </w:r>
      <w:r>
        <w:rPr>
          <w:spacing w:val="-1"/>
        </w:rPr>
        <w:t> </w:t>
      </w:r>
      <w:r>
        <w:rPr/>
        <w:t>Paradise</w:t>
      </w:r>
      <w:r>
        <w:rPr>
          <w:spacing w:val="-1"/>
        </w:rPr>
        <w:t> </w:t>
      </w:r>
      <w:r>
        <w:rPr/>
        <w:t>has</w:t>
      </w:r>
      <w:r>
        <w:rPr>
          <w:spacing w:val="-1"/>
        </w:rPr>
        <w:t> </w:t>
      </w:r>
      <w:r>
        <w:rPr/>
        <w:t>MGM</w:t>
      </w:r>
      <w:r>
        <w:rPr>
          <w:spacing w:val="-1"/>
        </w:rPr>
        <w:t> </w:t>
      </w:r>
      <w:r>
        <w:rPr/>
        <w:t>Macau</w:t>
      </w:r>
      <w:r>
        <w:rPr>
          <w:spacing w:val="-1"/>
        </w:rPr>
        <w:t> </w:t>
      </w:r>
      <w:r>
        <w:rPr/>
        <w:t>and</w:t>
      </w:r>
      <w:r>
        <w:rPr>
          <w:spacing w:val="-1"/>
        </w:rPr>
        <w:t> </w:t>
      </w:r>
      <w:r>
        <w:rPr/>
        <w:t>MGM</w:t>
      </w:r>
      <w:r>
        <w:rPr>
          <w:spacing w:val="-1"/>
        </w:rPr>
        <w:t> </w:t>
      </w:r>
      <w:r>
        <w:rPr/>
        <w:t>Cotai</w:t>
      </w:r>
      <w:r>
        <w:rPr>
          <w:spacing w:val="-1"/>
        </w:rPr>
        <w:t> </w:t>
      </w:r>
      <w:r>
        <w:rPr/>
        <w:t>land</w:t>
      </w:r>
      <w:r>
        <w:rPr>
          <w:spacing w:val="-1"/>
        </w:rPr>
        <w:t> </w:t>
      </w:r>
      <w:r>
        <w:rPr/>
        <w:t>concession</w:t>
      </w:r>
      <w:r>
        <w:rPr>
          <w:spacing w:val="-1"/>
        </w:rPr>
        <w:t> </w:t>
      </w:r>
      <w:r>
        <w:rPr/>
        <w:t>contracts</w:t>
      </w:r>
      <w:r>
        <w:rPr>
          <w:spacing w:val="-1"/>
        </w:rPr>
        <w:t> </w:t>
      </w:r>
      <w:r>
        <w:rPr/>
        <w:t>with</w:t>
      </w:r>
      <w:r>
        <w:rPr>
          <w:spacing w:val="-1"/>
        </w:rPr>
        <w:t> </w:t>
      </w:r>
      <w:r>
        <w:rPr/>
        <w:t>the</w:t>
      </w:r>
      <w:r>
        <w:rPr>
          <w:spacing w:val="-1"/>
        </w:rPr>
        <w:t> </w:t>
      </w:r>
      <w:r>
        <w:rPr/>
        <w:t>government</w:t>
      </w:r>
      <w:r>
        <w:rPr>
          <w:spacing w:val="-1"/>
        </w:rPr>
        <w:t> </w:t>
      </w:r>
      <w:r>
        <w:rPr/>
        <w:t>of</w:t>
      </w:r>
      <w:r>
        <w:rPr>
          <w:spacing w:val="-1"/>
        </w:rPr>
        <w:t> </w:t>
      </w:r>
      <w:r>
        <w:rPr/>
        <w:t>Macau,</w:t>
      </w:r>
      <w:r>
        <w:rPr>
          <w:spacing w:val="-1"/>
        </w:rPr>
        <w:t> </w:t>
      </w:r>
      <w:r>
        <w:rPr/>
        <w:t>each with an initial 25-year contract term ending in</w:t>
      </w:r>
      <w:r>
        <w:rPr>
          <w:spacing w:val="-4"/>
        </w:rPr>
        <w:t> </w:t>
      </w:r>
      <w:r>
        <w:rPr/>
        <w:t>April 2031 and January 2038, respectively, with a right to renew for further consecutive periods of 10 years, at MGM Grand Paradise’s option. The land leases are classified as operating leases.</w:t>
      </w:r>
    </w:p>
    <w:p>
      <w:pPr>
        <w:pStyle w:val="BodyText"/>
        <w:spacing w:before="7"/>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6"/>
        <w:gridCol w:w="1550"/>
        <w:gridCol w:w="221"/>
        <w:gridCol w:w="1408"/>
        <w:gridCol w:w="431"/>
        <w:gridCol w:w="1168"/>
      </w:tblGrid>
      <w:tr>
        <w:trPr>
          <w:trHeight w:val="497" w:hRule="atLeast"/>
        </w:trPr>
        <w:tc>
          <w:tcPr>
            <w:tcW w:w="6736" w:type="dxa"/>
          </w:tcPr>
          <w:p>
            <w:pPr>
              <w:pStyle w:val="TableParagraph"/>
              <w:spacing w:line="199" w:lineRule="exact" w:before="0"/>
              <w:ind w:left="499"/>
              <w:rPr>
                <w:sz w:val="18"/>
              </w:rPr>
            </w:pPr>
            <w:r>
              <w:rPr>
                <w:sz w:val="18"/>
              </w:rPr>
              <w:t>Components</w:t>
            </w:r>
            <w:r>
              <w:rPr>
                <w:spacing w:val="-4"/>
                <w:sz w:val="18"/>
              </w:rPr>
              <w:t> </w:t>
            </w:r>
            <w:r>
              <w:rPr>
                <w:sz w:val="18"/>
              </w:rPr>
              <w:t>of</w:t>
            </w:r>
            <w:r>
              <w:rPr>
                <w:spacing w:val="-2"/>
                <w:sz w:val="18"/>
              </w:rPr>
              <w:t> </w:t>
            </w:r>
            <w:r>
              <w:rPr>
                <w:sz w:val="18"/>
              </w:rPr>
              <w:t>lease</w:t>
            </w:r>
            <w:r>
              <w:rPr>
                <w:spacing w:val="-2"/>
                <w:sz w:val="18"/>
              </w:rPr>
              <w:t> </w:t>
            </w:r>
            <w:r>
              <w:rPr>
                <w:sz w:val="18"/>
              </w:rPr>
              <w:t>costs</w:t>
            </w:r>
            <w:r>
              <w:rPr>
                <w:spacing w:val="-2"/>
                <w:sz w:val="18"/>
              </w:rPr>
              <w:t> </w:t>
            </w:r>
            <w:r>
              <w:rPr>
                <w:sz w:val="18"/>
              </w:rPr>
              <w:t>and</w:t>
            </w:r>
            <w:r>
              <w:rPr>
                <w:spacing w:val="-2"/>
                <w:sz w:val="18"/>
              </w:rPr>
              <w:t> </w:t>
            </w:r>
            <w:r>
              <w:rPr>
                <w:sz w:val="18"/>
              </w:rPr>
              <w:t>other</w:t>
            </w:r>
            <w:r>
              <w:rPr>
                <w:spacing w:val="-1"/>
                <w:sz w:val="18"/>
              </w:rPr>
              <w:t> </w:t>
            </w:r>
            <w:r>
              <w:rPr>
                <w:sz w:val="18"/>
              </w:rPr>
              <w:t>information</w:t>
            </w:r>
            <w:r>
              <w:rPr>
                <w:spacing w:val="-2"/>
                <w:sz w:val="18"/>
              </w:rPr>
              <w:t> </w:t>
            </w:r>
            <w:r>
              <w:rPr>
                <w:sz w:val="18"/>
              </w:rPr>
              <w:t>related</w:t>
            </w:r>
            <w:r>
              <w:rPr>
                <w:spacing w:val="-2"/>
                <w:sz w:val="18"/>
              </w:rPr>
              <w:t> </w:t>
            </w:r>
            <w:r>
              <w:rPr>
                <w:sz w:val="18"/>
              </w:rPr>
              <w:t>to</w:t>
            </w:r>
            <w:r>
              <w:rPr>
                <w:spacing w:val="-2"/>
                <w:sz w:val="18"/>
              </w:rPr>
              <w:t> </w:t>
            </w:r>
            <w:r>
              <w:rPr>
                <w:sz w:val="18"/>
              </w:rPr>
              <w:t>the</w:t>
            </w:r>
            <w:r>
              <w:rPr>
                <w:spacing w:val="-2"/>
                <w:sz w:val="18"/>
              </w:rPr>
              <w:t> </w:t>
            </w:r>
            <w:r>
              <w:rPr>
                <w:sz w:val="18"/>
              </w:rPr>
              <w:t>Company’s</w:t>
            </w:r>
            <w:r>
              <w:rPr>
                <w:spacing w:val="-2"/>
                <w:sz w:val="18"/>
              </w:rPr>
              <w:t> </w:t>
            </w:r>
            <w:r>
              <w:rPr>
                <w:sz w:val="18"/>
              </w:rPr>
              <w:t>leases</w:t>
            </w:r>
            <w:r>
              <w:rPr>
                <w:spacing w:val="-1"/>
                <w:sz w:val="18"/>
              </w:rPr>
              <w:t> </w:t>
            </w:r>
            <w:r>
              <w:rPr>
                <w:spacing w:val="-4"/>
                <w:sz w:val="18"/>
              </w:rPr>
              <w:t>are:</w:t>
            </w:r>
          </w:p>
        </w:tc>
        <w:tc>
          <w:tcPr>
            <w:tcW w:w="1771" w:type="dxa"/>
            <w:gridSpan w:val="2"/>
            <w:tcBorders>
              <w:bottom w:val="single" w:sz="6" w:space="0" w:color="000000"/>
            </w:tcBorders>
          </w:tcPr>
          <w:p>
            <w:pPr>
              <w:pStyle w:val="TableParagraph"/>
              <w:spacing w:before="41"/>
              <w:rPr>
                <w:sz w:val="18"/>
              </w:rPr>
            </w:pPr>
          </w:p>
          <w:p>
            <w:pPr>
              <w:pStyle w:val="TableParagraph"/>
              <w:spacing w:before="1"/>
              <w:ind w:right="17"/>
              <w:jc w:val="right"/>
              <w:rPr>
                <w:b/>
                <w:sz w:val="18"/>
              </w:rPr>
            </w:pPr>
            <w:r>
              <w:rPr>
                <w:b/>
                <w:spacing w:val="-4"/>
                <w:sz w:val="18"/>
              </w:rPr>
              <w:t>Year</w:t>
            </w:r>
          </w:p>
        </w:tc>
        <w:tc>
          <w:tcPr>
            <w:tcW w:w="1839" w:type="dxa"/>
            <w:gridSpan w:val="2"/>
            <w:tcBorders>
              <w:bottom w:val="single" w:sz="6" w:space="0" w:color="000000"/>
            </w:tcBorders>
          </w:tcPr>
          <w:p>
            <w:pPr>
              <w:pStyle w:val="TableParagraph"/>
              <w:spacing w:before="41"/>
              <w:rPr>
                <w:sz w:val="18"/>
              </w:rPr>
            </w:pPr>
          </w:p>
          <w:p>
            <w:pPr>
              <w:pStyle w:val="TableParagraph"/>
              <w:spacing w:before="1"/>
              <w:ind w:left="22"/>
              <w:rPr>
                <w:b/>
                <w:sz w:val="18"/>
              </w:rPr>
            </w:pPr>
            <w:r>
              <w:rPr>
                <w:b/>
                <w:sz w:val="18"/>
              </w:rPr>
              <w:t>Ended</w:t>
            </w:r>
            <w:r>
              <w:rPr>
                <w:b/>
                <w:spacing w:val="-1"/>
                <w:sz w:val="18"/>
              </w:rPr>
              <w:t> </w:t>
            </w:r>
            <w:r>
              <w:rPr>
                <w:b/>
                <w:sz w:val="18"/>
              </w:rPr>
              <w:t>December</w:t>
            </w:r>
            <w:r>
              <w:rPr>
                <w:b/>
                <w:spacing w:val="-4"/>
                <w:sz w:val="18"/>
              </w:rPr>
              <w:t> </w:t>
            </w:r>
            <w:r>
              <w:rPr>
                <w:b/>
                <w:spacing w:val="-5"/>
                <w:sz w:val="18"/>
              </w:rPr>
              <w:t>31,</w:t>
            </w:r>
          </w:p>
        </w:tc>
        <w:tc>
          <w:tcPr>
            <w:tcW w:w="1168" w:type="dxa"/>
            <w:tcBorders>
              <w:bottom w:val="single" w:sz="6" w:space="0" w:color="000000"/>
            </w:tcBorders>
          </w:tcPr>
          <w:p>
            <w:pPr>
              <w:pStyle w:val="TableParagraph"/>
              <w:spacing w:before="0"/>
              <w:rPr>
                <w:sz w:val="16"/>
              </w:rPr>
            </w:pPr>
          </w:p>
        </w:tc>
      </w:tr>
      <w:tr>
        <w:trPr>
          <w:trHeight w:val="254" w:hRule="atLeast"/>
        </w:trPr>
        <w:tc>
          <w:tcPr>
            <w:tcW w:w="6736" w:type="dxa"/>
          </w:tcPr>
          <w:p>
            <w:pPr>
              <w:pStyle w:val="TableParagraph"/>
              <w:spacing w:before="0"/>
              <w:rPr>
                <w:sz w:val="16"/>
              </w:rPr>
            </w:pPr>
          </w:p>
        </w:tc>
        <w:tc>
          <w:tcPr>
            <w:tcW w:w="1771" w:type="dxa"/>
            <w:gridSpan w:val="2"/>
            <w:tcBorders>
              <w:top w:val="single" w:sz="6" w:space="0" w:color="000000"/>
              <w:bottom w:val="single" w:sz="6" w:space="0" w:color="000000"/>
            </w:tcBorders>
          </w:tcPr>
          <w:p>
            <w:pPr>
              <w:pStyle w:val="TableParagraph"/>
              <w:spacing w:before="20"/>
              <w:ind w:left="577"/>
              <w:rPr>
                <w:b/>
                <w:sz w:val="18"/>
              </w:rPr>
            </w:pPr>
            <w:r>
              <w:rPr>
                <w:b/>
                <w:spacing w:val="-4"/>
                <w:sz w:val="18"/>
              </w:rPr>
              <w:t>2022</w:t>
            </w:r>
          </w:p>
        </w:tc>
        <w:tc>
          <w:tcPr>
            <w:tcW w:w="1839" w:type="dxa"/>
            <w:gridSpan w:val="2"/>
            <w:tcBorders>
              <w:top w:val="single" w:sz="6" w:space="0" w:color="000000"/>
              <w:bottom w:val="single" w:sz="6" w:space="0" w:color="000000"/>
            </w:tcBorders>
          </w:tcPr>
          <w:p>
            <w:pPr>
              <w:pStyle w:val="TableParagraph"/>
              <w:spacing w:before="20"/>
              <w:ind w:left="446"/>
              <w:rPr>
                <w:b/>
                <w:sz w:val="18"/>
              </w:rPr>
            </w:pPr>
            <w:r>
              <w:rPr>
                <w:b/>
                <w:spacing w:val="-4"/>
                <w:sz w:val="18"/>
              </w:rPr>
              <w:t>2021</w:t>
            </w:r>
          </w:p>
        </w:tc>
        <w:tc>
          <w:tcPr>
            <w:tcW w:w="1168" w:type="dxa"/>
            <w:tcBorders>
              <w:top w:val="single" w:sz="6" w:space="0" w:color="000000"/>
              <w:bottom w:val="single" w:sz="6" w:space="0" w:color="000000"/>
            </w:tcBorders>
          </w:tcPr>
          <w:p>
            <w:pPr>
              <w:pStyle w:val="TableParagraph"/>
              <w:spacing w:before="20"/>
              <w:ind w:left="228"/>
              <w:rPr>
                <w:b/>
                <w:sz w:val="18"/>
              </w:rPr>
            </w:pPr>
            <w:r>
              <w:rPr>
                <w:b/>
                <w:spacing w:val="-4"/>
                <w:sz w:val="18"/>
              </w:rPr>
              <w:t>2020</w:t>
            </w:r>
          </w:p>
        </w:tc>
      </w:tr>
      <w:tr>
        <w:trPr>
          <w:trHeight w:val="252" w:hRule="atLeast"/>
        </w:trPr>
        <w:tc>
          <w:tcPr>
            <w:tcW w:w="6736" w:type="dxa"/>
          </w:tcPr>
          <w:p>
            <w:pPr>
              <w:pStyle w:val="TableParagraph"/>
              <w:spacing w:before="0"/>
              <w:rPr>
                <w:sz w:val="16"/>
              </w:rPr>
            </w:pPr>
          </w:p>
        </w:tc>
        <w:tc>
          <w:tcPr>
            <w:tcW w:w="1771" w:type="dxa"/>
            <w:gridSpan w:val="2"/>
            <w:tcBorders>
              <w:top w:val="single" w:sz="6" w:space="0" w:color="000000"/>
            </w:tcBorders>
          </w:tcPr>
          <w:p>
            <w:pPr>
              <w:pStyle w:val="TableParagraph"/>
              <w:spacing w:before="0"/>
              <w:rPr>
                <w:sz w:val="16"/>
              </w:rPr>
            </w:pPr>
          </w:p>
        </w:tc>
        <w:tc>
          <w:tcPr>
            <w:tcW w:w="1839" w:type="dxa"/>
            <w:gridSpan w:val="2"/>
            <w:tcBorders>
              <w:top w:val="single" w:sz="6" w:space="0" w:color="000000"/>
            </w:tcBorders>
          </w:tcPr>
          <w:p>
            <w:pPr>
              <w:pStyle w:val="TableParagraph"/>
              <w:spacing w:before="25"/>
              <w:ind w:left="123"/>
              <w:rPr>
                <w:b/>
                <w:i/>
                <w:sz w:val="16"/>
              </w:rPr>
            </w:pPr>
            <w:r>
              <w:rPr>
                <w:b/>
                <w:i/>
                <w:sz w:val="16"/>
              </w:rPr>
              <w:t>(In</w:t>
            </w:r>
            <w:r>
              <w:rPr>
                <w:b/>
                <w:i/>
                <w:spacing w:val="2"/>
                <w:sz w:val="16"/>
              </w:rPr>
              <w:t> </w:t>
            </w:r>
            <w:r>
              <w:rPr>
                <w:b/>
                <w:i/>
                <w:spacing w:val="-2"/>
                <w:sz w:val="16"/>
              </w:rPr>
              <w:t>thousands)</w:t>
            </w:r>
          </w:p>
        </w:tc>
        <w:tc>
          <w:tcPr>
            <w:tcW w:w="1168" w:type="dxa"/>
            <w:tcBorders>
              <w:top w:val="single" w:sz="6" w:space="0" w:color="000000"/>
            </w:tcBorders>
          </w:tcPr>
          <w:p>
            <w:pPr>
              <w:pStyle w:val="TableParagraph"/>
              <w:spacing w:before="0"/>
              <w:rPr>
                <w:sz w:val="16"/>
              </w:rPr>
            </w:pPr>
          </w:p>
        </w:tc>
      </w:tr>
      <w:tr>
        <w:trPr>
          <w:trHeight w:val="273" w:hRule="atLeast"/>
        </w:trPr>
        <w:tc>
          <w:tcPr>
            <w:tcW w:w="6736" w:type="dxa"/>
            <w:shd w:val="clear" w:color="auto" w:fill="CFF0FB"/>
          </w:tcPr>
          <w:p>
            <w:pPr>
              <w:pStyle w:val="TableParagraph"/>
              <w:spacing w:line="241" w:lineRule="exact" w:before="0"/>
              <w:ind w:left="17"/>
              <w:rPr>
                <w:sz w:val="14"/>
              </w:rPr>
            </w:pPr>
            <w:r>
              <w:rPr>
                <w:sz w:val="18"/>
              </w:rPr>
              <w:t>Operating</w:t>
            </w:r>
            <w:r>
              <w:rPr>
                <w:spacing w:val="-1"/>
                <w:sz w:val="18"/>
              </w:rPr>
              <w:t> </w:t>
            </w:r>
            <w:r>
              <w:rPr>
                <w:sz w:val="18"/>
              </w:rPr>
              <w:t>lease</w:t>
            </w:r>
            <w:r>
              <w:rPr>
                <w:spacing w:val="-1"/>
                <w:sz w:val="18"/>
              </w:rPr>
              <w:t> </w:t>
            </w:r>
            <w:r>
              <w:rPr>
                <w:sz w:val="18"/>
              </w:rPr>
              <w:t>cost, </w:t>
            </w:r>
            <w:r>
              <w:rPr>
                <w:i/>
                <w:sz w:val="18"/>
              </w:rPr>
              <w:t>primarily</w:t>
            </w:r>
            <w:r>
              <w:rPr>
                <w:i/>
                <w:spacing w:val="-1"/>
                <w:sz w:val="18"/>
              </w:rPr>
              <w:t> </w:t>
            </w:r>
            <w:r>
              <w:rPr>
                <w:i/>
                <w:sz w:val="18"/>
              </w:rPr>
              <w:t>classified</w:t>
            </w:r>
            <w:r>
              <w:rPr>
                <w:i/>
                <w:spacing w:val="-1"/>
                <w:sz w:val="18"/>
              </w:rPr>
              <w:t> </w:t>
            </w:r>
            <w:r>
              <w:rPr>
                <w:i/>
                <w:sz w:val="18"/>
              </w:rPr>
              <w:t>within</w:t>
            </w:r>
            <w:r>
              <w:rPr>
                <w:i/>
                <w:spacing w:val="-1"/>
                <w:sz w:val="18"/>
              </w:rPr>
              <w:t> </w:t>
            </w:r>
            <w:r>
              <w:rPr>
                <w:i/>
                <w:sz w:val="18"/>
              </w:rPr>
              <w:t>“General</w:t>
            </w:r>
            <w:r>
              <w:rPr>
                <w:i/>
                <w:spacing w:val="-1"/>
                <w:sz w:val="18"/>
              </w:rPr>
              <w:t> </w:t>
            </w:r>
            <w:r>
              <w:rPr>
                <w:i/>
                <w:sz w:val="18"/>
              </w:rPr>
              <w:t>and</w:t>
            </w:r>
            <w:r>
              <w:rPr>
                <w:i/>
                <w:spacing w:val="-1"/>
                <w:sz w:val="18"/>
              </w:rPr>
              <w:t> </w:t>
            </w:r>
            <w:r>
              <w:rPr>
                <w:i/>
                <w:spacing w:val="-2"/>
                <w:sz w:val="18"/>
              </w:rPr>
              <w:t>administrative”</w:t>
            </w:r>
            <w:r>
              <w:rPr>
                <w:spacing w:val="-2"/>
                <w:position w:val="8"/>
                <w:sz w:val="14"/>
              </w:rPr>
              <w:t>(1)</w:t>
            </w:r>
          </w:p>
        </w:tc>
        <w:tc>
          <w:tcPr>
            <w:tcW w:w="1771" w:type="dxa"/>
            <w:gridSpan w:val="2"/>
            <w:shd w:val="clear" w:color="auto" w:fill="CFF0FB"/>
          </w:tcPr>
          <w:p>
            <w:pPr>
              <w:pStyle w:val="TableParagraph"/>
              <w:tabs>
                <w:tab w:pos="727" w:val="left" w:leader="none"/>
                <w:tab w:pos="1654" w:val="left" w:leader="none"/>
              </w:tabs>
              <w:spacing w:before="34"/>
              <w:ind w:left="14"/>
              <w:rPr>
                <w:sz w:val="18"/>
              </w:rPr>
            </w:pPr>
            <w:r>
              <w:rPr>
                <w:spacing w:val="-10"/>
                <w:sz w:val="18"/>
              </w:rPr>
              <w:t>$</w:t>
            </w:r>
            <w:r>
              <w:rPr>
                <w:sz w:val="18"/>
              </w:rPr>
              <w:tab/>
            </w:r>
            <w:r>
              <w:rPr>
                <w:spacing w:val="-2"/>
                <w:sz w:val="18"/>
              </w:rPr>
              <w:t>1,986,853</w:t>
            </w:r>
            <w:r>
              <w:rPr>
                <w:sz w:val="18"/>
              </w:rPr>
              <w:tab/>
            </w:r>
            <w:r>
              <w:rPr>
                <w:spacing w:val="-10"/>
                <w:sz w:val="18"/>
              </w:rPr>
              <w:t>$</w:t>
            </w:r>
          </w:p>
        </w:tc>
        <w:tc>
          <w:tcPr>
            <w:tcW w:w="1839" w:type="dxa"/>
            <w:gridSpan w:val="2"/>
            <w:shd w:val="clear" w:color="auto" w:fill="CFF0FB"/>
          </w:tcPr>
          <w:p>
            <w:pPr>
              <w:pStyle w:val="TableParagraph"/>
              <w:spacing w:before="34"/>
              <w:ind w:left="729"/>
              <w:rPr>
                <w:sz w:val="18"/>
              </w:rPr>
            </w:pPr>
            <w:r>
              <w:rPr>
                <w:sz w:val="18"/>
              </w:rPr>
              <w:t>870,779</w:t>
            </w:r>
            <w:r>
              <w:rPr>
                <w:spacing w:val="50"/>
                <w:sz w:val="18"/>
              </w:rPr>
              <w:t>  </w:t>
            </w:r>
            <w:r>
              <w:rPr>
                <w:spacing w:val="-10"/>
                <w:sz w:val="18"/>
              </w:rPr>
              <w:t>$</w:t>
            </w:r>
          </w:p>
        </w:tc>
        <w:tc>
          <w:tcPr>
            <w:tcW w:w="1168" w:type="dxa"/>
            <w:shd w:val="clear" w:color="auto" w:fill="CFF0FB"/>
          </w:tcPr>
          <w:p>
            <w:pPr>
              <w:pStyle w:val="TableParagraph"/>
              <w:spacing w:before="34"/>
              <w:ind w:left="511"/>
              <w:rPr>
                <w:sz w:val="18"/>
              </w:rPr>
            </w:pPr>
            <w:r>
              <w:rPr>
                <w:spacing w:val="-2"/>
                <w:sz w:val="18"/>
              </w:rPr>
              <w:t>751,002</w:t>
            </w:r>
          </w:p>
        </w:tc>
      </w:tr>
      <w:tr>
        <w:trPr>
          <w:trHeight w:val="484" w:hRule="atLeast"/>
        </w:trPr>
        <w:tc>
          <w:tcPr>
            <w:tcW w:w="11514" w:type="dxa"/>
            <w:gridSpan w:val="6"/>
          </w:tcPr>
          <w:p>
            <w:pPr>
              <w:pStyle w:val="TableParagraph"/>
              <w:spacing w:before="70"/>
              <w:rPr>
                <w:sz w:val="18"/>
              </w:rPr>
            </w:pPr>
          </w:p>
          <w:p>
            <w:pPr>
              <w:pStyle w:val="TableParagraph"/>
              <w:tabs>
                <w:tab w:pos="11515" w:val="left" w:leader="none"/>
              </w:tabs>
              <w:spacing w:line="187" w:lineRule="exact" w:before="0"/>
              <w:ind w:left="17" w:right="-15"/>
              <w:rPr>
                <w:sz w:val="18"/>
              </w:rPr>
            </w:pPr>
            <w:r>
              <w:rPr>
                <w:color w:val="000000"/>
                <w:sz w:val="18"/>
                <w:shd w:fill="CFF0FB" w:color="auto" w:val="clear"/>
              </w:rPr>
              <w:t>Finance</w:t>
            </w:r>
            <w:r>
              <w:rPr>
                <w:color w:val="000000"/>
                <w:spacing w:val="-1"/>
                <w:sz w:val="18"/>
                <w:shd w:fill="CFF0FB" w:color="auto" w:val="clear"/>
              </w:rPr>
              <w:t> </w:t>
            </w:r>
            <w:r>
              <w:rPr>
                <w:color w:val="000000"/>
                <w:sz w:val="18"/>
                <w:shd w:fill="CFF0FB" w:color="auto" w:val="clear"/>
              </w:rPr>
              <w:t>lease</w:t>
            </w:r>
            <w:r>
              <w:rPr>
                <w:color w:val="000000"/>
                <w:spacing w:val="-1"/>
                <w:sz w:val="18"/>
                <w:shd w:fill="CFF0FB" w:color="auto" w:val="clear"/>
              </w:rPr>
              <w:t> </w:t>
            </w:r>
            <w:r>
              <w:rPr>
                <w:color w:val="000000"/>
                <w:spacing w:val="-2"/>
                <w:sz w:val="18"/>
                <w:shd w:fill="CFF0FB" w:color="auto" w:val="clear"/>
              </w:rPr>
              <w:t>costs</w:t>
            </w:r>
            <w:r>
              <w:rPr>
                <w:color w:val="000000"/>
                <w:sz w:val="18"/>
                <w:shd w:fill="CFF0FB" w:color="auto" w:val="clear"/>
              </w:rPr>
              <w:tab/>
            </w:r>
          </w:p>
        </w:tc>
      </w:tr>
      <w:tr>
        <w:trPr>
          <w:trHeight w:val="312" w:hRule="atLeast"/>
        </w:trPr>
        <w:tc>
          <w:tcPr>
            <w:tcW w:w="6736" w:type="dxa"/>
          </w:tcPr>
          <w:p>
            <w:pPr>
              <w:pStyle w:val="TableParagraph"/>
              <w:spacing w:before="34"/>
              <w:ind w:left="93"/>
              <w:rPr>
                <w:sz w:val="14"/>
              </w:rPr>
            </w:pPr>
            <w:r>
              <w:rPr>
                <w:sz w:val="18"/>
              </w:rPr>
              <w:t>Interest</w:t>
            </w:r>
            <w:r>
              <w:rPr>
                <w:spacing w:val="-1"/>
                <w:sz w:val="18"/>
              </w:rPr>
              <w:t> </w:t>
            </w:r>
            <w:r>
              <w:rPr>
                <w:spacing w:val="-2"/>
                <w:sz w:val="18"/>
              </w:rPr>
              <w:t>expense</w:t>
            </w:r>
            <w:r>
              <w:rPr>
                <w:spacing w:val="-2"/>
                <w:position w:val="8"/>
                <w:sz w:val="14"/>
              </w:rPr>
              <w:t>(2)</w:t>
            </w:r>
          </w:p>
        </w:tc>
        <w:tc>
          <w:tcPr>
            <w:tcW w:w="1550" w:type="dxa"/>
          </w:tcPr>
          <w:p>
            <w:pPr>
              <w:pStyle w:val="TableParagraph"/>
              <w:tabs>
                <w:tab w:pos="1027" w:val="left" w:leader="none"/>
              </w:tabs>
              <w:spacing w:before="76"/>
              <w:ind w:right="100"/>
              <w:jc w:val="right"/>
              <w:rPr>
                <w:sz w:val="18"/>
              </w:rPr>
            </w:pPr>
            <w:r>
              <w:rPr>
                <w:spacing w:val="-10"/>
                <w:sz w:val="18"/>
              </w:rPr>
              <w:t>$</w:t>
            </w:r>
            <w:r>
              <w:rPr>
                <w:sz w:val="18"/>
              </w:rPr>
              <w:tab/>
            </w:r>
            <w:r>
              <w:rPr>
                <w:spacing w:val="-2"/>
                <w:sz w:val="18"/>
              </w:rPr>
              <w:t>9,233</w:t>
            </w:r>
          </w:p>
        </w:tc>
        <w:tc>
          <w:tcPr>
            <w:tcW w:w="1629" w:type="dxa"/>
            <w:gridSpan w:val="2"/>
          </w:tcPr>
          <w:p>
            <w:pPr>
              <w:pStyle w:val="TableParagraph"/>
              <w:tabs>
                <w:tab w:pos="1130" w:val="left" w:leader="none"/>
              </w:tabs>
              <w:spacing w:before="76"/>
              <w:ind w:left="104"/>
              <w:rPr>
                <w:sz w:val="18"/>
              </w:rPr>
            </w:pPr>
            <w:r>
              <w:rPr>
                <w:spacing w:val="-10"/>
                <w:sz w:val="18"/>
              </w:rPr>
              <w:t>$</w:t>
            </w:r>
            <w:r>
              <w:rPr>
                <w:sz w:val="18"/>
              </w:rPr>
              <w:tab/>
            </w:r>
            <w:r>
              <w:rPr>
                <w:spacing w:val="-2"/>
                <w:sz w:val="18"/>
              </w:rPr>
              <w:t>2,354</w:t>
            </w:r>
          </w:p>
        </w:tc>
        <w:tc>
          <w:tcPr>
            <w:tcW w:w="1599" w:type="dxa"/>
            <w:gridSpan w:val="2"/>
          </w:tcPr>
          <w:p>
            <w:pPr>
              <w:pStyle w:val="TableParagraph"/>
              <w:tabs>
                <w:tab w:pos="957" w:val="left" w:leader="none"/>
              </w:tabs>
              <w:spacing w:before="76"/>
              <w:ind w:left="96"/>
              <w:rPr>
                <w:sz w:val="18"/>
              </w:rPr>
            </w:pPr>
            <w:r>
              <w:rPr>
                <w:spacing w:val="-10"/>
                <w:sz w:val="18"/>
              </w:rPr>
              <w:t>$</w:t>
            </w:r>
            <w:r>
              <w:rPr>
                <w:sz w:val="18"/>
              </w:rPr>
              <w:tab/>
            </w:r>
            <w:r>
              <w:rPr>
                <w:spacing w:val="-2"/>
                <w:sz w:val="18"/>
              </w:rPr>
              <w:t>(21,320)</w:t>
            </w:r>
          </w:p>
        </w:tc>
      </w:tr>
      <w:tr>
        <w:trPr>
          <w:trHeight w:val="255" w:hRule="atLeast"/>
        </w:trPr>
        <w:tc>
          <w:tcPr>
            <w:tcW w:w="6736" w:type="dxa"/>
            <w:shd w:val="clear" w:color="auto" w:fill="CFF0FB"/>
          </w:tcPr>
          <w:p>
            <w:pPr>
              <w:pStyle w:val="TableParagraph"/>
              <w:ind w:left="93"/>
              <w:rPr>
                <w:sz w:val="18"/>
              </w:rPr>
            </w:pPr>
            <w:r>
              <w:rPr>
                <w:sz w:val="18"/>
              </w:rPr>
              <w:t>Amortization</w:t>
            </w:r>
            <w:r>
              <w:rPr>
                <w:spacing w:val="-1"/>
                <w:sz w:val="18"/>
              </w:rPr>
              <w:t> </w:t>
            </w:r>
            <w:r>
              <w:rPr>
                <w:spacing w:val="-2"/>
                <w:sz w:val="18"/>
              </w:rPr>
              <w:t>expense</w:t>
            </w:r>
          </w:p>
        </w:tc>
        <w:tc>
          <w:tcPr>
            <w:tcW w:w="1550" w:type="dxa"/>
            <w:tcBorders>
              <w:bottom w:val="single" w:sz="6" w:space="0" w:color="000000"/>
            </w:tcBorders>
            <w:shd w:val="clear" w:color="auto" w:fill="CFF0FB"/>
          </w:tcPr>
          <w:p>
            <w:pPr>
              <w:pStyle w:val="TableParagraph"/>
              <w:ind w:right="100"/>
              <w:jc w:val="right"/>
              <w:rPr>
                <w:sz w:val="18"/>
              </w:rPr>
            </w:pPr>
            <w:r>
              <w:rPr>
                <w:spacing w:val="-2"/>
                <w:sz w:val="18"/>
              </w:rPr>
              <w:t>76,039</w:t>
            </w:r>
          </w:p>
        </w:tc>
        <w:tc>
          <w:tcPr>
            <w:tcW w:w="1629" w:type="dxa"/>
            <w:gridSpan w:val="2"/>
            <w:tcBorders>
              <w:bottom w:val="single" w:sz="6" w:space="0" w:color="000000"/>
            </w:tcBorders>
            <w:shd w:val="clear" w:color="auto" w:fill="CFF0FB"/>
          </w:tcPr>
          <w:p>
            <w:pPr>
              <w:pStyle w:val="TableParagraph"/>
              <w:ind w:left="1040"/>
              <w:rPr>
                <w:sz w:val="18"/>
              </w:rPr>
            </w:pPr>
            <w:r>
              <w:rPr>
                <w:spacing w:val="-2"/>
                <w:sz w:val="18"/>
              </w:rPr>
              <w:t>73,475</w:t>
            </w:r>
          </w:p>
        </w:tc>
        <w:tc>
          <w:tcPr>
            <w:tcW w:w="1599" w:type="dxa"/>
            <w:gridSpan w:val="2"/>
            <w:tcBorders>
              <w:bottom w:val="single" w:sz="6" w:space="0" w:color="000000"/>
            </w:tcBorders>
            <w:shd w:val="clear" w:color="auto" w:fill="CFF0FB"/>
          </w:tcPr>
          <w:p>
            <w:pPr>
              <w:pStyle w:val="TableParagraph"/>
              <w:ind w:left="1032"/>
              <w:rPr>
                <w:sz w:val="18"/>
              </w:rPr>
            </w:pPr>
            <w:r>
              <w:rPr>
                <w:spacing w:val="-2"/>
                <w:sz w:val="18"/>
              </w:rPr>
              <w:t>70,476</w:t>
            </w:r>
          </w:p>
        </w:tc>
      </w:tr>
      <w:tr>
        <w:trPr>
          <w:trHeight w:val="227" w:hRule="atLeast"/>
        </w:trPr>
        <w:tc>
          <w:tcPr>
            <w:tcW w:w="6736" w:type="dxa"/>
          </w:tcPr>
          <w:p>
            <w:pPr>
              <w:pStyle w:val="TableParagraph"/>
              <w:spacing w:line="187" w:lineRule="exact" w:before="20"/>
              <w:ind w:left="217"/>
              <w:rPr>
                <w:sz w:val="18"/>
              </w:rPr>
            </w:pPr>
            <w:r>
              <w:rPr>
                <w:sz w:val="18"/>
              </w:rPr>
              <w:t>Total</w:t>
            </w:r>
            <w:r>
              <w:rPr>
                <w:spacing w:val="-6"/>
                <w:sz w:val="18"/>
              </w:rPr>
              <w:t> </w:t>
            </w:r>
            <w:r>
              <w:rPr>
                <w:sz w:val="18"/>
              </w:rPr>
              <w:t>finance</w:t>
            </w:r>
            <w:r>
              <w:rPr>
                <w:spacing w:val="-5"/>
                <w:sz w:val="18"/>
              </w:rPr>
              <w:t> </w:t>
            </w:r>
            <w:r>
              <w:rPr>
                <w:sz w:val="18"/>
              </w:rPr>
              <w:t>lease</w:t>
            </w:r>
            <w:r>
              <w:rPr>
                <w:spacing w:val="-5"/>
                <w:sz w:val="18"/>
              </w:rPr>
              <w:t> </w:t>
            </w:r>
            <w:r>
              <w:rPr>
                <w:spacing w:val="-2"/>
                <w:sz w:val="18"/>
              </w:rPr>
              <w:t>costs</w:t>
            </w:r>
          </w:p>
        </w:tc>
        <w:tc>
          <w:tcPr>
            <w:tcW w:w="1550" w:type="dxa"/>
            <w:tcBorders>
              <w:top w:val="single" w:sz="6" w:space="0" w:color="000000"/>
            </w:tcBorders>
          </w:tcPr>
          <w:p>
            <w:pPr>
              <w:pStyle w:val="TableParagraph"/>
              <w:tabs>
                <w:tab w:pos="937" w:val="left" w:leader="none"/>
              </w:tabs>
              <w:spacing w:line="187" w:lineRule="exact" w:before="20"/>
              <w:ind w:right="100"/>
              <w:jc w:val="right"/>
              <w:rPr>
                <w:sz w:val="18"/>
              </w:rPr>
            </w:pPr>
            <w:r>
              <w:rPr>
                <w:spacing w:val="-10"/>
                <w:sz w:val="18"/>
              </w:rPr>
              <w:t>$</w:t>
            </w:r>
            <w:r>
              <w:rPr>
                <w:sz w:val="18"/>
              </w:rPr>
              <w:tab/>
            </w:r>
            <w:r>
              <w:rPr>
                <w:spacing w:val="-2"/>
                <w:sz w:val="18"/>
              </w:rPr>
              <w:t>85,272</w:t>
            </w:r>
          </w:p>
        </w:tc>
        <w:tc>
          <w:tcPr>
            <w:tcW w:w="1629" w:type="dxa"/>
            <w:gridSpan w:val="2"/>
            <w:tcBorders>
              <w:top w:val="single" w:sz="6" w:space="0" w:color="000000"/>
            </w:tcBorders>
          </w:tcPr>
          <w:p>
            <w:pPr>
              <w:pStyle w:val="TableParagraph"/>
              <w:tabs>
                <w:tab w:pos="1040" w:val="left" w:leader="none"/>
              </w:tabs>
              <w:spacing w:line="187" w:lineRule="exact" w:before="20"/>
              <w:ind w:left="104"/>
              <w:rPr>
                <w:sz w:val="18"/>
              </w:rPr>
            </w:pPr>
            <w:r>
              <w:rPr>
                <w:spacing w:val="-10"/>
                <w:sz w:val="18"/>
              </w:rPr>
              <w:t>$</w:t>
            </w:r>
            <w:r>
              <w:rPr>
                <w:sz w:val="18"/>
              </w:rPr>
              <w:tab/>
            </w:r>
            <w:r>
              <w:rPr>
                <w:spacing w:val="-2"/>
                <w:sz w:val="18"/>
              </w:rPr>
              <w:t>75,829</w:t>
            </w:r>
          </w:p>
        </w:tc>
        <w:tc>
          <w:tcPr>
            <w:tcW w:w="1599" w:type="dxa"/>
            <w:gridSpan w:val="2"/>
            <w:tcBorders>
              <w:top w:val="single" w:sz="6" w:space="0" w:color="000000"/>
            </w:tcBorders>
          </w:tcPr>
          <w:p>
            <w:pPr>
              <w:pStyle w:val="TableParagraph"/>
              <w:tabs>
                <w:tab w:pos="1032" w:val="left" w:leader="none"/>
              </w:tabs>
              <w:spacing w:line="187" w:lineRule="exact" w:before="20"/>
              <w:ind w:left="96"/>
              <w:rPr>
                <w:sz w:val="18"/>
              </w:rPr>
            </w:pPr>
            <w:r>
              <w:rPr>
                <w:spacing w:val="-10"/>
                <w:sz w:val="18"/>
              </w:rPr>
              <w:t>$</w:t>
            </w:r>
            <w:r>
              <w:rPr>
                <w:sz w:val="18"/>
              </w:rPr>
              <w:tab/>
            </w:r>
            <w:r>
              <w:rPr>
                <w:spacing w:val="-2"/>
                <w:sz w:val="18"/>
              </w:rPr>
              <w:t>49,156</w:t>
            </w:r>
          </w:p>
        </w:tc>
      </w:tr>
    </w:tbl>
    <w:p>
      <w:pPr>
        <w:pStyle w:val="BodyText"/>
        <w:spacing w:before="8"/>
        <w:rPr>
          <w:sz w:val="2"/>
        </w:rPr>
      </w:pPr>
    </w:p>
    <w:p>
      <w:pPr>
        <w:spacing w:line="54" w:lineRule="exact"/>
        <w:ind w:left="6881" w:right="0" w:firstLine="0"/>
        <w:jc w:val="left"/>
        <w:rPr>
          <w:sz w:val="5"/>
        </w:rPr>
      </w:pPr>
      <w:r>
        <w:rPr>
          <w:position w:val="0"/>
          <w:sz w:val="5"/>
        </w:rPr>
        <mc:AlternateContent>
          <mc:Choice Requires="wps">
            <w:drawing>
              <wp:inline distT="0" distB="0" distL="0" distR="0">
                <wp:extent cx="969010" cy="34290"/>
                <wp:effectExtent l="0" t="0" r="0" b="0"/>
                <wp:docPr id="586" name="Group 586"/>
                <wp:cNvGraphicFramePr>
                  <a:graphicFrameLocks/>
                </wp:cNvGraphicFramePr>
                <a:graphic>
                  <a:graphicData uri="http://schemas.microsoft.com/office/word/2010/wordprocessingGroup">
                    <wpg:wgp>
                      <wpg:cNvPr id="586" name="Group 586"/>
                      <wpg:cNvGrpSpPr/>
                      <wpg:grpSpPr>
                        <a:xfrm>
                          <a:off x="0" y="0"/>
                          <a:ext cx="969010" cy="34290"/>
                          <a:chExt cx="969010" cy="34290"/>
                        </a:xfrm>
                      </wpg:grpSpPr>
                      <wps:wsp>
                        <wps:cNvPr id="587" name="Graphic 587"/>
                        <wps:cNvSpPr/>
                        <wps:spPr>
                          <a:xfrm>
                            <a:off x="-12" y="-2"/>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2.7pt;mso-position-horizontal-relative:char;mso-position-vertical-relative:line" id="docshapegroup584" coordorigin="0,0" coordsize="1526,54">
                <v:shape style="position:absolute;left:-1;top:0;width:1526;height:54" id="docshape585" coordorigin="0,0" coordsize="1526,54" path="m1525,40l1498,40,108,40,0,40,0,54,108,54,1498,54,1525,54,1525,40xm1525,0l1498,0,108,0,0,0,0,13,108,13,1498,13,1525,13,1525,0xe" filled="true" fillcolor="#000000" stroked="false">
                  <v:path arrowok="t"/>
                  <v:fill type="solid"/>
                </v:shape>
              </v:group>
            </w:pict>
          </mc:Fallback>
        </mc:AlternateContent>
      </w:r>
      <w:r>
        <w:rPr>
          <w:position w:val="0"/>
          <w:sz w:val="5"/>
        </w:rPr>
      </w:r>
      <w:r>
        <w:rPr>
          <w:spacing w:val="81"/>
          <w:position w:val="0"/>
          <w:sz w:val="5"/>
        </w:rPr>
        <w:t> </w:t>
      </w:r>
      <w:r>
        <w:rPr>
          <w:spacing w:val="81"/>
          <w:position w:val="0"/>
          <w:sz w:val="5"/>
        </w:rPr>
        <mc:AlternateContent>
          <mc:Choice Requires="wps">
            <w:drawing>
              <wp:inline distT="0" distB="0" distL="0" distR="0">
                <wp:extent cx="969010" cy="34290"/>
                <wp:effectExtent l="0" t="0" r="0" b="0"/>
                <wp:docPr id="588" name="Group 588"/>
                <wp:cNvGraphicFramePr>
                  <a:graphicFrameLocks/>
                </wp:cNvGraphicFramePr>
                <a:graphic>
                  <a:graphicData uri="http://schemas.microsoft.com/office/word/2010/wordprocessingGroup">
                    <wpg:wgp>
                      <wpg:cNvPr id="588" name="Group 588"/>
                      <wpg:cNvGrpSpPr/>
                      <wpg:grpSpPr>
                        <a:xfrm>
                          <a:off x="0" y="0"/>
                          <a:ext cx="969010" cy="34290"/>
                          <a:chExt cx="969010" cy="34290"/>
                        </a:xfrm>
                      </wpg:grpSpPr>
                      <wps:wsp>
                        <wps:cNvPr id="589" name="Graphic 589"/>
                        <wps:cNvSpPr/>
                        <wps:spPr>
                          <a:xfrm>
                            <a:off x="-12" y="-2"/>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2.7pt;mso-position-horizontal-relative:char;mso-position-vertical-relative:line" id="docshapegroup586" coordorigin="0,0" coordsize="1526,54">
                <v:shape style="position:absolute;left:-1;top:0;width:1526;height:54" id="docshape587" coordorigin="0,0" coordsize="1526,54" path="m1525,40l1498,40,121,40,0,40,0,54,121,54,1498,54,1525,54,1525,40xm1525,0l1498,0,121,0,0,0,0,13,121,13,1498,13,1525,13,1525,0xe" filled="true" fillcolor="#000000" stroked="false">
                  <v:path arrowok="t"/>
                  <v:fill type="solid"/>
                </v:shape>
              </v:group>
            </w:pict>
          </mc:Fallback>
        </mc:AlternateContent>
      </w:r>
      <w:r>
        <w:rPr>
          <w:spacing w:val="81"/>
          <w:position w:val="0"/>
          <w:sz w:val="5"/>
        </w:rPr>
      </w:r>
      <w:r>
        <w:rPr>
          <w:spacing w:val="67"/>
          <w:position w:val="0"/>
          <w:sz w:val="5"/>
        </w:rPr>
        <w:t> </w:t>
      </w:r>
      <w:r>
        <w:rPr>
          <w:spacing w:val="67"/>
          <w:position w:val="0"/>
          <w:sz w:val="5"/>
        </w:rPr>
        <mc:AlternateContent>
          <mc:Choice Requires="wps">
            <w:drawing>
              <wp:inline distT="0" distB="0" distL="0" distR="0">
                <wp:extent cx="969010" cy="34290"/>
                <wp:effectExtent l="0" t="0" r="0" b="0"/>
                <wp:docPr id="590" name="Group 590"/>
                <wp:cNvGraphicFramePr>
                  <a:graphicFrameLocks/>
                </wp:cNvGraphicFramePr>
                <a:graphic>
                  <a:graphicData uri="http://schemas.microsoft.com/office/word/2010/wordprocessingGroup">
                    <wpg:wgp>
                      <wpg:cNvPr id="590" name="Group 590"/>
                      <wpg:cNvGrpSpPr/>
                      <wpg:grpSpPr>
                        <a:xfrm>
                          <a:off x="0" y="0"/>
                          <a:ext cx="969010" cy="34290"/>
                          <a:chExt cx="969010" cy="34290"/>
                        </a:xfrm>
                      </wpg:grpSpPr>
                      <wps:wsp>
                        <wps:cNvPr id="591" name="Graphic 591"/>
                        <wps:cNvSpPr/>
                        <wps:spPr>
                          <a:xfrm>
                            <a:off x="-11" y="-2"/>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2.7pt;mso-position-horizontal-relative:char;mso-position-vertical-relative:line" id="docshapegroup588" coordorigin="0,0" coordsize="1526,54">
                <v:shape style="position:absolute;left:-1;top:0;width:1526;height:54" id="docshape589" coordorigin="0,0" coordsize="1526,54" path="m1525,40l1498,40,121,40,0,40,0,54,121,54,1498,54,1525,54,1525,40xm1525,0l1498,0,121,0,0,0,0,13,121,13,1498,13,1525,13,1525,0xe" filled="true" fillcolor="#000000" stroked="false">
                  <v:path arrowok="t"/>
                  <v:fill type="solid"/>
                </v:shape>
              </v:group>
            </w:pict>
          </mc:Fallback>
        </mc:AlternateContent>
      </w:r>
      <w:r>
        <w:rPr>
          <w:spacing w:val="67"/>
          <w:position w:val="0"/>
          <w:sz w:val="5"/>
        </w:rPr>
      </w:r>
    </w:p>
    <w:p>
      <w:pPr>
        <w:pStyle w:val="ListParagraph"/>
        <w:numPr>
          <w:ilvl w:val="0"/>
          <w:numId w:val="12"/>
        </w:numPr>
        <w:tabs>
          <w:tab w:pos="468" w:val="left" w:leader="none"/>
        </w:tabs>
        <w:spacing w:line="240" w:lineRule="auto" w:before="86" w:after="0"/>
        <w:ind w:left="468" w:right="118" w:hanging="324"/>
        <w:jc w:val="left"/>
        <w:rPr>
          <w:sz w:val="14"/>
        </w:rPr>
      </w:pPr>
      <w:r>
        <w:rPr>
          <w:sz w:val="14"/>
        </w:rPr>
        <w:t>The</w:t>
      </w:r>
      <w:r>
        <w:rPr>
          <w:spacing w:val="21"/>
          <w:sz w:val="14"/>
        </w:rPr>
        <w:t> </w:t>
      </w:r>
      <w:r>
        <w:rPr>
          <w:sz w:val="14"/>
        </w:rPr>
        <w:t>Bellagio</w:t>
      </w:r>
      <w:r>
        <w:rPr>
          <w:spacing w:val="21"/>
          <w:sz w:val="14"/>
        </w:rPr>
        <w:t> </w:t>
      </w:r>
      <w:r>
        <w:rPr>
          <w:sz w:val="14"/>
        </w:rPr>
        <w:t>lease</w:t>
      </w:r>
      <w:r>
        <w:rPr>
          <w:spacing w:val="21"/>
          <w:sz w:val="14"/>
        </w:rPr>
        <w:t> </w:t>
      </w:r>
      <w:r>
        <w:rPr>
          <w:sz w:val="14"/>
        </w:rPr>
        <w:t>is</w:t>
      </w:r>
      <w:r>
        <w:rPr>
          <w:spacing w:val="21"/>
          <w:sz w:val="14"/>
        </w:rPr>
        <w:t> </w:t>
      </w:r>
      <w:r>
        <w:rPr>
          <w:sz w:val="14"/>
        </w:rPr>
        <w:t>held</w:t>
      </w:r>
      <w:r>
        <w:rPr>
          <w:spacing w:val="21"/>
          <w:sz w:val="14"/>
        </w:rPr>
        <w:t> </w:t>
      </w:r>
      <w:r>
        <w:rPr>
          <w:sz w:val="14"/>
        </w:rPr>
        <w:t>with</w:t>
      </w:r>
      <w:r>
        <w:rPr>
          <w:spacing w:val="21"/>
          <w:sz w:val="14"/>
        </w:rPr>
        <w:t> </w:t>
      </w:r>
      <w:r>
        <w:rPr>
          <w:sz w:val="14"/>
        </w:rPr>
        <w:t>a</w:t>
      </w:r>
      <w:r>
        <w:rPr>
          <w:spacing w:val="21"/>
          <w:sz w:val="14"/>
        </w:rPr>
        <w:t> </w:t>
      </w:r>
      <w:r>
        <w:rPr>
          <w:sz w:val="14"/>
        </w:rPr>
        <w:t>related</w:t>
      </w:r>
      <w:r>
        <w:rPr>
          <w:spacing w:val="21"/>
          <w:sz w:val="14"/>
        </w:rPr>
        <w:t> </w:t>
      </w:r>
      <w:r>
        <w:rPr>
          <w:sz w:val="14"/>
        </w:rPr>
        <w:t>party,</w:t>
      </w:r>
      <w:r>
        <w:rPr>
          <w:spacing w:val="21"/>
          <w:sz w:val="14"/>
        </w:rPr>
        <w:t> </w:t>
      </w:r>
      <w:r>
        <w:rPr>
          <w:sz w:val="14"/>
        </w:rPr>
        <w:t>as</w:t>
      </w:r>
      <w:r>
        <w:rPr>
          <w:spacing w:val="21"/>
          <w:sz w:val="14"/>
        </w:rPr>
        <w:t> </w:t>
      </w:r>
      <w:r>
        <w:rPr>
          <w:sz w:val="14"/>
        </w:rPr>
        <w:t>further</w:t>
      </w:r>
      <w:r>
        <w:rPr>
          <w:spacing w:val="21"/>
          <w:sz w:val="14"/>
        </w:rPr>
        <w:t> </w:t>
      </w:r>
      <w:r>
        <w:rPr>
          <w:sz w:val="14"/>
        </w:rPr>
        <w:t>discussed</w:t>
      </w:r>
      <w:r>
        <w:rPr>
          <w:spacing w:val="21"/>
          <w:sz w:val="14"/>
        </w:rPr>
        <w:t> </w:t>
      </w:r>
      <w:r>
        <w:rPr>
          <w:sz w:val="14"/>
        </w:rPr>
        <w:t>in</w:t>
      </w:r>
      <w:r>
        <w:rPr>
          <w:spacing w:val="21"/>
          <w:sz w:val="14"/>
        </w:rPr>
        <w:t> </w:t>
      </w:r>
      <w:r>
        <w:rPr>
          <w:sz w:val="14"/>
        </w:rPr>
        <w:t>Note</w:t>
      </w:r>
      <w:r>
        <w:rPr>
          <w:spacing w:val="21"/>
          <w:sz w:val="14"/>
        </w:rPr>
        <w:t> </w:t>
      </w:r>
      <w:r>
        <w:rPr>
          <w:sz w:val="14"/>
        </w:rPr>
        <w:t>18.</w:t>
      </w:r>
      <w:r>
        <w:rPr>
          <w:spacing w:val="21"/>
          <w:sz w:val="14"/>
        </w:rPr>
        <w:t> </w:t>
      </w:r>
      <w:r>
        <w:rPr>
          <w:sz w:val="14"/>
        </w:rPr>
        <w:t>Operating</w:t>
      </w:r>
      <w:r>
        <w:rPr>
          <w:spacing w:val="21"/>
          <w:sz w:val="14"/>
        </w:rPr>
        <w:t> </w:t>
      </w:r>
      <w:r>
        <w:rPr>
          <w:sz w:val="14"/>
        </w:rPr>
        <w:t>lease</w:t>
      </w:r>
      <w:r>
        <w:rPr>
          <w:spacing w:val="21"/>
          <w:sz w:val="14"/>
        </w:rPr>
        <w:t> </w:t>
      </w:r>
      <w:r>
        <w:rPr>
          <w:sz w:val="14"/>
        </w:rPr>
        <w:t>cost</w:t>
      </w:r>
      <w:r>
        <w:rPr>
          <w:spacing w:val="21"/>
          <w:sz w:val="14"/>
        </w:rPr>
        <w:t> </w:t>
      </w:r>
      <w:r>
        <w:rPr>
          <w:sz w:val="14"/>
        </w:rPr>
        <w:t>includes</w:t>
      </w:r>
      <w:r>
        <w:rPr>
          <w:spacing w:val="21"/>
          <w:sz w:val="14"/>
        </w:rPr>
        <w:t> </w:t>
      </w:r>
      <w:r>
        <w:rPr>
          <w:sz w:val="14"/>
        </w:rPr>
        <w:t>$331</w:t>
      </w:r>
      <w:r>
        <w:rPr>
          <w:spacing w:val="21"/>
          <w:sz w:val="14"/>
        </w:rPr>
        <w:t> </w:t>
      </w:r>
      <w:r>
        <w:rPr>
          <w:sz w:val="14"/>
        </w:rPr>
        <w:t>million</w:t>
      </w:r>
      <w:r>
        <w:rPr>
          <w:spacing w:val="21"/>
          <w:sz w:val="14"/>
        </w:rPr>
        <w:t> </w:t>
      </w:r>
      <w:r>
        <w:rPr>
          <w:sz w:val="14"/>
        </w:rPr>
        <w:t>for</w:t>
      </w:r>
      <w:r>
        <w:rPr>
          <w:spacing w:val="21"/>
          <w:sz w:val="14"/>
        </w:rPr>
        <w:t> </w:t>
      </w:r>
      <w:r>
        <w:rPr>
          <w:sz w:val="14"/>
        </w:rPr>
        <w:t>each</w:t>
      </w:r>
      <w:r>
        <w:rPr>
          <w:spacing w:val="21"/>
          <w:sz w:val="14"/>
        </w:rPr>
        <w:t> </w:t>
      </w:r>
      <w:r>
        <w:rPr>
          <w:sz w:val="14"/>
        </w:rPr>
        <w:t>of</w:t>
      </w:r>
      <w:r>
        <w:rPr>
          <w:spacing w:val="21"/>
          <w:sz w:val="14"/>
        </w:rPr>
        <w:t> </w:t>
      </w:r>
      <w:r>
        <w:rPr>
          <w:sz w:val="14"/>
        </w:rPr>
        <w:t>the</w:t>
      </w:r>
      <w:r>
        <w:rPr>
          <w:spacing w:val="21"/>
          <w:sz w:val="14"/>
        </w:rPr>
        <w:t> </w:t>
      </w:r>
      <w:r>
        <w:rPr>
          <w:sz w:val="14"/>
        </w:rPr>
        <w:t>years</w:t>
      </w:r>
      <w:r>
        <w:rPr>
          <w:spacing w:val="21"/>
          <w:sz w:val="14"/>
        </w:rPr>
        <w:t> </w:t>
      </w:r>
      <w:r>
        <w:rPr>
          <w:sz w:val="14"/>
        </w:rPr>
        <w:t>ended</w:t>
      </w:r>
      <w:r>
        <w:rPr>
          <w:spacing w:val="21"/>
          <w:sz w:val="14"/>
        </w:rPr>
        <w:t> </w:t>
      </w:r>
      <w:r>
        <w:rPr>
          <w:sz w:val="14"/>
        </w:rPr>
        <w:t>December</w:t>
      </w:r>
      <w:r>
        <w:rPr>
          <w:spacing w:val="21"/>
          <w:sz w:val="14"/>
        </w:rPr>
        <w:t> </w:t>
      </w:r>
      <w:r>
        <w:rPr>
          <w:sz w:val="14"/>
        </w:rPr>
        <w:t>31,</w:t>
      </w:r>
      <w:r>
        <w:rPr>
          <w:spacing w:val="21"/>
          <w:sz w:val="14"/>
        </w:rPr>
        <w:t> </w:t>
      </w:r>
      <w:r>
        <w:rPr>
          <w:sz w:val="14"/>
        </w:rPr>
        <w:t>2022,</w:t>
      </w:r>
      <w:r>
        <w:rPr>
          <w:spacing w:val="21"/>
          <w:sz w:val="14"/>
        </w:rPr>
        <w:t> </w:t>
      </w:r>
      <w:r>
        <w:rPr>
          <w:sz w:val="14"/>
        </w:rPr>
        <w:t>2021,</w:t>
      </w:r>
      <w:r>
        <w:rPr>
          <w:spacing w:val="21"/>
          <w:sz w:val="14"/>
        </w:rPr>
        <w:t> </w:t>
      </w:r>
      <w:r>
        <w:rPr>
          <w:sz w:val="14"/>
        </w:rPr>
        <w:t>and</w:t>
      </w:r>
      <w:r>
        <w:rPr>
          <w:spacing w:val="21"/>
          <w:sz w:val="14"/>
        </w:rPr>
        <w:t> </w:t>
      </w:r>
      <w:r>
        <w:rPr>
          <w:sz w:val="14"/>
        </w:rPr>
        <w:t>2020,</w:t>
      </w:r>
      <w:r>
        <w:rPr>
          <w:spacing w:val="40"/>
          <w:sz w:val="14"/>
        </w:rPr>
        <w:t> </w:t>
      </w:r>
      <w:r>
        <w:rPr>
          <w:sz w:val="14"/>
        </w:rPr>
        <w:t>related to the Bellagio lease.</w:t>
      </w:r>
    </w:p>
    <w:p>
      <w:pPr>
        <w:pStyle w:val="ListParagraph"/>
        <w:numPr>
          <w:ilvl w:val="0"/>
          <w:numId w:val="12"/>
        </w:numPr>
        <w:tabs>
          <w:tab w:pos="467" w:val="left" w:leader="none"/>
        </w:tabs>
        <w:spacing w:line="240" w:lineRule="auto" w:before="2" w:after="0"/>
        <w:ind w:left="467" w:right="0" w:hanging="323"/>
        <w:jc w:val="left"/>
        <w:rPr>
          <w:sz w:val="14"/>
        </w:rPr>
      </w:pPr>
      <w:r>
        <w:rPr>
          <w:sz w:val="14"/>
        </w:rPr>
        <w:t>For</w:t>
      </w:r>
      <w:r>
        <w:rPr>
          <w:spacing w:val="6"/>
          <w:sz w:val="14"/>
        </w:rPr>
        <w:t> </w:t>
      </w:r>
      <w:r>
        <w:rPr>
          <w:sz w:val="14"/>
        </w:rPr>
        <w:t>the</w:t>
      </w:r>
      <w:r>
        <w:rPr>
          <w:spacing w:val="7"/>
          <w:sz w:val="14"/>
        </w:rPr>
        <w:t> </w:t>
      </w:r>
      <w:r>
        <w:rPr>
          <w:sz w:val="14"/>
        </w:rPr>
        <w:t>years</w:t>
      </w:r>
      <w:r>
        <w:rPr>
          <w:spacing w:val="7"/>
          <w:sz w:val="14"/>
        </w:rPr>
        <w:t> </w:t>
      </w:r>
      <w:r>
        <w:rPr>
          <w:sz w:val="14"/>
        </w:rPr>
        <w:t>ended</w:t>
      </w:r>
      <w:r>
        <w:rPr>
          <w:spacing w:val="6"/>
          <w:sz w:val="14"/>
        </w:rPr>
        <w:t> </w:t>
      </w:r>
      <w:r>
        <w:rPr>
          <w:sz w:val="14"/>
        </w:rPr>
        <w:t>December</w:t>
      </w:r>
      <w:r>
        <w:rPr>
          <w:spacing w:val="7"/>
          <w:sz w:val="14"/>
        </w:rPr>
        <w:t> </w:t>
      </w:r>
      <w:r>
        <w:rPr>
          <w:sz w:val="14"/>
        </w:rPr>
        <w:t>31,</w:t>
      </w:r>
      <w:r>
        <w:rPr>
          <w:spacing w:val="7"/>
          <w:sz w:val="14"/>
        </w:rPr>
        <w:t> </w:t>
      </w:r>
      <w:r>
        <w:rPr>
          <w:sz w:val="14"/>
        </w:rPr>
        <w:t>2021</w:t>
      </w:r>
      <w:r>
        <w:rPr>
          <w:spacing w:val="6"/>
          <w:sz w:val="14"/>
        </w:rPr>
        <w:t> </w:t>
      </w:r>
      <w:r>
        <w:rPr>
          <w:sz w:val="14"/>
        </w:rPr>
        <w:t>and</w:t>
      </w:r>
      <w:r>
        <w:rPr>
          <w:spacing w:val="7"/>
          <w:sz w:val="14"/>
        </w:rPr>
        <w:t> </w:t>
      </w:r>
      <w:r>
        <w:rPr>
          <w:sz w:val="14"/>
        </w:rPr>
        <w:t>2020,</w:t>
      </w:r>
      <w:r>
        <w:rPr>
          <w:spacing w:val="7"/>
          <w:sz w:val="14"/>
        </w:rPr>
        <w:t> </w:t>
      </w:r>
      <w:r>
        <w:rPr>
          <w:sz w:val="14"/>
        </w:rPr>
        <w:t>interest</w:t>
      </w:r>
      <w:r>
        <w:rPr>
          <w:spacing w:val="6"/>
          <w:sz w:val="14"/>
        </w:rPr>
        <w:t> </w:t>
      </w:r>
      <w:r>
        <w:rPr>
          <w:sz w:val="14"/>
        </w:rPr>
        <w:t>expense</w:t>
      </w:r>
      <w:r>
        <w:rPr>
          <w:spacing w:val="7"/>
          <w:sz w:val="14"/>
        </w:rPr>
        <w:t> </w:t>
      </w:r>
      <w:r>
        <w:rPr>
          <w:sz w:val="14"/>
        </w:rPr>
        <w:t>includes</w:t>
      </w:r>
      <w:r>
        <w:rPr>
          <w:spacing w:val="7"/>
          <w:sz w:val="14"/>
        </w:rPr>
        <w:t> </w:t>
      </w:r>
      <w:r>
        <w:rPr>
          <w:sz w:val="14"/>
        </w:rPr>
        <w:t>the</w:t>
      </w:r>
      <w:r>
        <w:rPr>
          <w:spacing w:val="6"/>
          <w:sz w:val="14"/>
        </w:rPr>
        <w:t> </w:t>
      </w:r>
      <w:r>
        <w:rPr>
          <w:sz w:val="14"/>
        </w:rPr>
        <w:t>effect</w:t>
      </w:r>
      <w:r>
        <w:rPr>
          <w:spacing w:val="7"/>
          <w:sz w:val="14"/>
        </w:rPr>
        <w:t> </w:t>
      </w:r>
      <w:r>
        <w:rPr>
          <w:sz w:val="14"/>
        </w:rPr>
        <w:t>of</w:t>
      </w:r>
      <w:r>
        <w:rPr>
          <w:spacing w:val="7"/>
          <w:sz w:val="14"/>
        </w:rPr>
        <w:t> </w:t>
      </w:r>
      <w:r>
        <w:rPr>
          <w:sz w:val="14"/>
        </w:rPr>
        <w:t>COVID-19</w:t>
      </w:r>
      <w:r>
        <w:rPr>
          <w:spacing w:val="7"/>
          <w:sz w:val="14"/>
        </w:rPr>
        <w:t> </w:t>
      </w:r>
      <w:r>
        <w:rPr>
          <w:sz w:val="14"/>
        </w:rPr>
        <w:t>related</w:t>
      </w:r>
      <w:r>
        <w:rPr>
          <w:spacing w:val="6"/>
          <w:sz w:val="14"/>
        </w:rPr>
        <w:t> </w:t>
      </w:r>
      <w:r>
        <w:rPr>
          <w:sz w:val="14"/>
        </w:rPr>
        <w:t>rent</w:t>
      </w:r>
      <w:r>
        <w:rPr>
          <w:spacing w:val="7"/>
          <w:sz w:val="14"/>
        </w:rPr>
        <w:t> </w:t>
      </w:r>
      <w:r>
        <w:rPr>
          <w:sz w:val="14"/>
        </w:rPr>
        <w:t>concessions,</w:t>
      </w:r>
      <w:r>
        <w:rPr>
          <w:spacing w:val="7"/>
          <w:sz w:val="14"/>
        </w:rPr>
        <w:t> </w:t>
      </w:r>
      <w:r>
        <w:rPr>
          <w:sz w:val="14"/>
        </w:rPr>
        <w:t>which</w:t>
      </w:r>
      <w:r>
        <w:rPr>
          <w:spacing w:val="6"/>
          <w:sz w:val="14"/>
        </w:rPr>
        <w:t> </w:t>
      </w:r>
      <w:r>
        <w:rPr>
          <w:sz w:val="14"/>
        </w:rPr>
        <w:t>was</w:t>
      </w:r>
      <w:r>
        <w:rPr>
          <w:spacing w:val="7"/>
          <w:sz w:val="14"/>
        </w:rPr>
        <w:t> </w:t>
      </w:r>
      <w:r>
        <w:rPr>
          <w:sz w:val="14"/>
        </w:rPr>
        <w:t>recognized</w:t>
      </w:r>
      <w:r>
        <w:rPr>
          <w:spacing w:val="7"/>
          <w:sz w:val="14"/>
        </w:rPr>
        <w:t> </w:t>
      </w:r>
      <w:r>
        <w:rPr>
          <w:sz w:val="14"/>
        </w:rPr>
        <w:t>as</w:t>
      </w:r>
      <w:r>
        <w:rPr>
          <w:spacing w:val="6"/>
          <w:sz w:val="14"/>
        </w:rPr>
        <w:t> </w:t>
      </w:r>
      <w:r>
        <w:rPr>
          <w:sz w:val="14"/>
        </w:rPr>
        <w:t>negative</w:t>
      </w:r>
      <w:r>
        <w:rPr>
          <w:spacing w:val="7"/>
          <w:sz w:val="14"/>
        </w:rPr>
        <w:t> </w:t>
      </w:r>
      <w:r>
        <w:rPr>
          <w:sz w:val="14"/>
        </w:rPr>
        <w:t>variable</w:t>
      </w:r>
      <w:r>
        <w:rPr>
          <w:spacing w:val="7"/>
          <w:sz w:val="14"/>
        </w:rPr>
        <w:t> </w:t>
      </w:r>
      <w:r>
        <w:rPr>
          <w:sz w:val="14"/>
        </w:rPr>
        <w:t>rent</w:t>
      </w:r>
      <w:r>
        <w:rPr>
          <w:spacing w:val="6"/>
          <w:sz w:val="14"/>
        </w:rPr>
        <w:t> </w:t>
      </w:r>
      <w:r>
        <w:rPr>
          <w:spacing w:val="-2"/>
          <w:sz w:val="14"/>
        </w:rPr>
        <w:t>expense.</w:t>
      </w:r>
    </w:p>
    <w:p>
      <w:pPr>
        <w:pStyle w:val="BodyText"/>
      </w:pPr>
    </w:p>
    <w:p>
      <w:pPr>
        <w:pStyle w:val="BodyText"/>
      </w:pPr>
    </w:p>
    <w:p>
      <w:pPr>
        <w:pStyle w:val="BodyText"/>
        <w:spacing w:before="206"/>
      </w:pPr>
    </w:p>
    <w:p>
      <w:pPr>
        <w:pStyle w:val="BodyText"/>
        <w:spacing w:before="1"/>
        <w:ind w:left="24"/>
        <w:jc w:val="center"/>
      </w:pPr>
      <w:r>
        <w:rPr>
          <w:spacing w:val="-5"/>
        </w:rPr>
        <w:t>87</w:t>
      </w:r>
    </w:p>
    <w:p>
      <w:pPr>
        <w:pStyle w:val="BodyText"/>
        <w:spacing w:before="3"/>
        <w:rPr>
          <w:sz w:val="6"/>
        </w:rPr>
      </w:pPr>
      <w:r>
        <w:rPr/>
        <mc:AlternateContent>
          <mc:Choice Requires="wps">
            <w:drawing>
              <wp:anchor distT="0" distB="0" distL="0" distR="0" allowOverlap="1" layoutInCell="1" locked="0" behindDoc="1" simplePos="0" relativeHeight="487707136">
                <wp:simplePos x="0" y="0"/>
                <wp:positionH relativeFrom="page">
                  <wp:posOffset>231457</wp:posOffset>
                </wp:positionH>
                <wp:positionV relativeFrom="paragraph">
                  <wp:posOffset>60971</wp:posOffset>
                </wp:positionV>
                <wp:extent cx="7312659" cy="17145"/>
                <wp:effectExtent l="0" t="0" r="0" b="0"/>
                <wp:wrapTopAndBottom/>
                <wp:docPr id="592" name="Group 592"/>
                <wp:cNvGraphicFramePr>
                  <a:graphicFrameLocks/>
                </wp:cNvGraphicFramePr>
                <a:graphic>
                  <a:graphicData uri="http://schemas.microsoft.com/office/word/2010/wordprocessingGroup">
                    <wpg:wgp>
                      <wpg:cNvPr id="592" name="Group 592"/>
                      <wpg:cNvGrpSpPr/>
                      <wpg:grpSpPr>
                        <a:xfrm>
                          <a:off x="0" y="0"/>
                          <a:ext cx="7312659" cy="17145"/>
                          <a:chExt cx="7312659" cy="17145"/>
                        </a:xfrm>
                      </wpg:grpSpPr>
                      <wps:wsp>
                        <wps:cNvPr id="593" name="Graphic 59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94" name="Graphic 594"/>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95" name="Graphic 59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0924pt;width:575.8pt;height:1.35pt;mso-position-horizontal-relative:page;mso-position-vertical-relative:paragraph;z-index:-15609344;mso-wrap-distance-left:0;mso-wrap-distance-right:0" id="docshapegroup590" coordorigin="364,96" coordsize="11516,27">
                <v:rect style="position:absolute;left:364;top:96;width:11516;height:14" id="docshape591" filled="true" fillcolor="#999999" stroked="false">
                  <v:fill type="solid"/>
                </v:rect>
                <v:shape style="position:absolute;left:364;top:96;width:11516;height:27" id="docshape592" coordorigin="364,96" coordsize="11516,27" path="m11880,96l11866,110,364,110,364,123,11866,123,11880,123,11880,110,11880,96xe" filled="true" fillcolor="#ededed" stroked="false">
                  <v:path arrowok="t"/>
                  <v:fill type="solid"/>
                </v:shape>
                <v:shape style="position:absolute;left:364;top:96;width:14;height:27" id="docshape593"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5"/>
        <w:spacing w:before="77"/>
        <w:ind w:left="8353"/>
      </w:pPr>
      <w:r>
        <w:rPr/>
        <mc:AlternateContent>
          <mc:Choice Requires="wps">
            <w:drawing>
              <wp:anchor distT="0" distB="0" distL="0" distR="0" allowOverlap="1" layoutInCell="1" locked="0" behindDoc="1" simplePos="0" relativeHeight="487707648">
                <wp:simplePos x="0" y="0"/>
                <wp:positionH relativeFrom="page">
                  <wp:posOffset>5520677</wp:posOffset>
                </wp:positionH>
                <wp:positionV relativeFrom="paragraph">
                  <wp:posOffset>198449</wp:posOffset>
                </wp:positionV>
                <wp:extent cx="2023110" cy="8890"/>
                <wp:effectExtent l="0" t="0" r="0" b="0"/>
                <wp:wrapTopAndBottom/>
                <wp:docPr id="596" name="Graphic 596"/>
                <wp:cNvGraphicFramePr>
                  <a:graphicFrameLocks/>
                </wp:cNvGraphicFramePr>
                <a:graphic>
                  <a:graphicData uri="http://schemas.microsoft.com/office/word/2010/wordprocessingShape">
                    <wps:wsp>
                      <wps:cNvPr id="596" name="Graphic 596"/>
                      <wps:cNvSpPr/>
                      <wps:spPr>
                        <a:xfrm>
                          <a:off x="0" y="0"/>
                          <a:ext cx="2023110" cy="8890"/>
                        </a:xfrm>
                        <a:custGeom>
                          <a:avLst/>
                          <a:gdLst/>
                          <a:ahLst/>
                          <a:cxnLst/>
                          <a:rect l="l" t="t" r="r" b="b"/>
                          <a:pathLst>
                            <a:path w="2023110" h="8890">
                              <a:moveTo>
                                <a:pt x="2023110" y="0"/>
                              </a:moveTo>
                              <a:lnTo>
                                <a:pt x="2023110" y="0"/>
                              </a:lnTo>
                              <a:lnTo>
                                <a:pt x="0" y="0"/>
                              </a:lnTo>
                              <a:lnTo>
                                <a:pt x="0" y="8572"/>
                              </a:lnTo>
                              <a:lnTo>
                                <a:pt x="2023110" y="8572"/>
                              </a:lnTo>
                              <a:lnTo>
                                <a:pt x="20231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4.699036pt;margin-top:15.625966pt;width:159.300008pt;height:.675pt;mso-position-horizontal-relative:page;mso-position-vertical-relative:paragraph;z-index:-15608832;mso-wrap-distance-left:0;mso-wrap-distance-right:0" id="docshape594" filled="true" fillcolor="#000000" stroked="false">
                <v:fill type="solid"/>
                <w10:wrap type="topAndBottom"/>
              </v:rect>
            </w:pict>
          </mc:Fallback>
        </mc:AlternateContent>
      </w:r>
      <w:r>
        <w:rPr/>
        <w:t>December</w:t>
      </w:r>
      <w:r>
        <w:rPr>
          <w:spacing w:val="-4"/>
        </w:rPr>
        <w:t> </w:t>
      </w:r>
      <w:r>
        <w:rPr>
          <w:spacing w:val="-5"/>
        </w:rPr>
        <w:t>31,</w:t>
      </w:r>
    </w:p>
    <w:p>
      <w:pPr>
        <w:tabs>
          <w:tab w:pos="10004" w:val="left" w:leader="none"/>
        </w:tabs>
        <w:spacing w:before="21" w:after="35"/>
        <w:ind w:left="8352" w:right="0" w:firstLine="0"/>
        <w:jc w:val="center"/>
        <w:rPr>
          <w:b/>
          <w:sz w:val="18"/>
        </w:rPr>
      </w:pPr>
      <w:r>
        <w:rPr>
          <w:b/>
          <w:spacing w:val="-4"/>
          <w:sz w:val="18"/>
        </w:rPr>
        <w:t>2022</w:t>
      </w:r>
      <w:r>
        <w:rPr>
          <w:b/>
          <w:sz w:val="18"/>
        </w:rPr>
        <w:tab/>
      </w:r>
      <w:r>
        <w:rPr>
          <w:b/>
          <w:spacing w:val="-4"/>
          <w:sz w:val="18"/>
        </w:rPr>
        <w:t>2021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9"/>
        <w:gridCol w:w="1539"/>
        <w:gridCol w:w="1647"/>
      </w:tblGrid>
      <w:tr>
        <w:trPr>
          <w:trHeight w:val="242" w:hRule="atLeast"/>
        </w:trPr>
        <w:tc>
          <w:tcPr>
            <w:tcW w:w="11515" w:type="dxa"/>
            <w:gridSpan w:val="3"/>
            <w:tcBorders>
              <w:top w:val="single" w:sz="6" w:space="0" w:color="000000"/>
            </w:tcBorders>
            <w:shd w:val="clear" w:color="auto" w:fill="CFF0FB"/>
          </w:tcPr>
          <w:p>
            <w:pPr>
              <w:pStyle w:val="TableParagraph"/>
              <w:spacing w:before="12"/>
              <w:ind w:right="1097"/>
              <w:jc w:val="right"/>
              <w:rPr>
                <w:b/>
                <w:i/>
                <w:sz w:val="16"/>
              </w:rPr>
            </w:pPr>
            <w:r>
              <w:rPr>
                <w:b/>
                <w:i/>
                <w:sz w:val="16"/>
              </w:rPr>
              <w:t>(In</w:t>
            </w:r>
            <w:r>
              <w:rPr>
                <w:b/>
                <w:i/>
                <w:spacing w:val="2"/>
                <w:sz w:val="16"/>
              </w:rPr>
              <w:t> </w:t>
            </w:r>
            <w:r>
              <w:rPr>
                <w:b/>
                <w:i/>
                <w:spacing w:val="-2"/>
                <w:sz w:val="16"/>
              </w:rPr>
              <w:t>thousands)</w:t>
            </w:r>
          </w:p>
        </w:tc>
      </w:tr>
      <w:tr>
        <w:trPr>
          <w:trHeight w:val="256" w:hRule="atLeast"/>
        </w:trPr>
        <w:tc>
          <w:tcPr>
            <w:tcW w:w="8329" w:type="dxa"/>
          </w:tcPr>
          <w:p>
            <w:pPr>
              <w:pStyle w:val="TableParagraph"/>
              <w:ind w:left="17"/>
              <w:rPr>
                <w:sz w:val="18"/>
              </w:rPr>
            </w:pPr>
            <w:r>
              <w:rPr>
                <w:sz w:val="18"/>
              </w:rPr>
              <w:t>Operating</w:t>
            </w:r>
            <w:r>
              <w:rPr>
                <w:spacing w:val="-1"/>
                <w:sz w:val="18"/>
              </w:rPr>
              <w:t> </w:t>
            </w:r>
            <w:r>
              <w:rPr>
                <w:spacing w:val="-2"/>
                <w:sz w:val="18"/>
              </w:rPr>
              <w:t>leases</w:t>
            </w:r>
          </w:p>
        </w:tc>
        <w:tc>
          <w:tcPr>
            <w:tcW w:w="1539" w:type="dxa"/>
          </w:tcPr>
          <w:p>
            <w:pPr>
              <w:pStyle w:val="TableParagraph"/>
              <w:spacing w:before="0"/>
              <w:rPr>
                <w:sz w:val="16"/>
              </w:rPr>
            </w:pPr>
          </w:p>
        </w:tc>
        <w:tc>
          <w:tcPr>
            <w:tcW w:w="1647" w:type="dxa"/>
          </w:tcPr>
          <w:p>
            <w:pPr>
              <w:pStyle w:val="TableParagraph"/>
              <w:spacing w:before="0"/>
              <w:rPr>
                <w:sz w:val="16"/>
              </w:rPr>
            </w:pPr>
          </w:p>
        </w:tc>
      </w:tr>
      <w:tr>
        <w:trPr>
          <w:trHeight w:val="260" w:hRule="atLeast"/>
        </w:trPr>
        <w:tc>
          <w:tcPr>
            <w:tcW w:w="8329" w:type="dxa"/>
            <w:shd w:val="clear" w:color="auto" w:fill="CFF0FB"/>
          </w:tcPr>
          <w:p>
            <w:pPr>
              <w:pStyle w:val="TableParagraph"/>
              <w:spacing w:line="226" w:lineRule="exact" w:before="15"/>
              <w:ind w:left="93"/>
              <w:rPr>
                <w:sz w:val="14"/>
              </w:rPr>
            </w:pPr>
            <w:r>
              <w:rPr>
                <w:sz w:val="18"/>
              </w:rPr>
              <w:t>Operating</w:t>
            </w:r>
            <w:r>
              <w:rPr>
                <w:spacing w:val="-1"/>
                <w:sz w:val="18"/>
              </w:rPr>
              <w:t> </w:t>
            </w:r>
            <w:r>
              <w:rPr>
                <w:sz w:val="18"/>
              </w:rPr>
              <w:t>lease</w:t>
            </w:r>
            <w:r>
              <w:rPr>
                <w:spacing w:val="-1"/>
                <w:sz w:val="18"/>
              </w:rPr>
              <w:t> </w:t>
            </w:r>
            <w:r>
              <w:rPr>
                <w:sz w:val="18"/>
              </w:rPr>
              <w:t>ROU</w:t>
            </w:r>
            <w:r>
              <w:rPr>
                <w:spacing w:val="-1"/>
                <w:sz w:val="18"/>
              </w:rPr>
              <w:t> </w:t>
            </w:r>
            <w:r>
              <w:rPr>
                <w:sz w:val="18"/>
              </w:rPr>
              <w:t>assets,</w:t>
            </w:r>
            <w:r>
              <w:rPr>
                <w:spacing w:val="-1"/>
                <w:sz w:val="18"/>
              </w:rPr>
              <w:t> </w:t>
            </w:r>
            <w:r>
              <w:rPr>
                <w:spacing w:val="-2"/>
                <w:sz w:val="18"/>
              </w:rPr>
              <w:t>net</w:t>
            </w:r>
            <w:r>
              <w:rPr>
                <w:spacing w:val="-2"/>
                <w:position w:val="7"/>
                <w:sz w:val="14"/>
              </w:rPr>
              <w:t>(1)</w:t>
            </w:r>
          </w:p>
        </w:tc>
        <w:tc>
          <w:tcPr>
            <w:tcW w:w="1539" w:type="dxa"/>
            <w:tcBorders>
              <w:bottom w:val="double" w:sz="6" w:space="0" w:color="000000"/>
            </w:tcBorders>
            <w:shd w:val="clear" w:color="auto" w:fill="CFF0FB"/>
          </w:tcPr>
          <w:p>
            <w:pPr>
              <w:pStyle w:val="TableParagraph"/>
              <w:tabs>
                <w:tab w:pos="597" w:val="left" w:leader="none"/>
              </w:tabs>
              <w:ind w:left="17"/>
              <w:rPr>
                <w:sz w:val="18"/>
              </w:rPr>
            </w:pPr>
            <w:r>
              <w:rPr>
                <w:spacing w:val="-10"/>
                <w:sz w:val="18"/>
              </w:rPr>
              <w:t>$</w:t>
            </w:r>
            <w:r>
              <w:rPr>
                <w:sz w:val="18"/>
              </w:rPr>
              <w:tab/>
            </w:r>
            <w:r>
              <w:rPr>
                <w:spacing w:val="-2"/>
                <w:sz w:val="18"/>
              </w:rPr>
              <w:t>24,530,929</w:t>
            </w:r>
          </w:p>
        </w:tc>
        <w:tc>
          <w:tcPr>
            <w:tcW w:w="1647" w:type="dxa"/>
            <w:tcBorders>
              <w:bottom w:val="double" w:sz="6" w:space="0" w:color="000000"/>
            </w:tcBorders>
            <w:shd w:val="clear" w:color="auto" w:fill="CFF0FB"/>
          </w:tcPr>
          <w:p>
            <w:pPr>
              <w:pStyle w:val="TableParagraph"/>
              <w:tabs>
                <w:tab w:pos="718" w:val="left" w:leader="none"/>
              </w:tabs>
              <w:ind w:left="130"/>
              <w:rPr>
                <w:sz w:val="18"/>
              </w:rPr>
            </w:pPr>
            <w:r>
              <w:rPr>
                <w:spacing w:val="-10"/>
                <w:sz w:val="18"/>
              </w:rPr>
              <w:t>$</w:t>
            </w:r>
            <w:r>
              <w:rPr>
                <w:sz w:val="18"/>
              </w:rPr>
              <w:tab/>
            </w:r>
            <w:r>
              <w:rPr>
                <w:spacing w:val="-2"/>
                <w:sz w:val="18"/>
              </w:rPr>
              <w:t>11,492,805</w:t>
            </w:r>
          </w:p>
        </w:tc>
      </w:tr>
      <w:tr>
        <w:trPr>
          <w:trHeight w:val="270" w:hRule="atLeast"/>
        </w:trPr>
        <w:tc>
          <w:tcPr>
            <w:tcW w:w="8329" w:type="dxa"/>
          </w:tcPr>
          <w:p>
            <w:pPr>
              <w:pStyle w:val="TableParagraph"/>
              <w:spacing w:before="25"/>
              <w:ind w:left="93"/>
              <w:rPr>
                <w:i/>
                <w:sz w:val="18"/>
              </w:rPr>
            </w:pPr>
            <w:r>
              <w:rPr>
                <w:sz w:val="18"/>
              </w:rPr>
              <w:t>Operating</w:t>
            </w:r>
            <w:r>
              <w:rPr>
                <w:spacing w:val="-1"/>
                <w:sz w:val="18"/>
              </w:rPr>
              <w:t> </w:t>
            </w:r>
            <w:r>
              <w:rPr>
                <w:sz w:val="18"/>
              </w:rPr>
              <w:t>lease</w:t>
            </w:r>
            <w:r>
              <w:rPr>
                <w:spacing w:val="-1"/>
                <w:sz w:val="18"/>
              </w:rPr>
              <w:t> </w:t>
            </w:r>
            <w:r>
              <w:rPr>
                <w:sz w:val="18"/>
              </w:rPr>
              <w:t>liabilities</w:t>
            </w:r>
            <w:r>
              <w:rPr>
                <w:spacing w:val="-1"/>
                <w:sz w:val="18"/>
              </w:rPr>
              <w:t> </w:t>
            </w:r>
            <w:r>
              <w:rPr>
                <w:sz w:val="18"/>
              </w:rPr>
              <w:t>-</w:t>
            </w:r>
            <w:r>
              <w:rPr>
                <w:spacing w:val="-1"/>
                <w:sz w:val="18"/>
              </w:rPr>
              <w:t> </w:t>
            </w:r>
            <w:r>
              <w:rPr>
                <w:sz w:val="18"/>
              </w:rPr>
              <w:t>current, </w:t>
            </w:r>
            <w:r>
              <w:rPr>
                <w:i/>
                <w:sz w:val="18"/>
              </w:rPr>
              <w:t>classified</w:t>
            </w:r>
            <w:r>
              <w:rPr>
                <w:i/>
                <w:spacing w:val="-1"/>
                <w:sz w:val="18"/>
              </w:rPr>
              <w:t> </w:t>
            </w:r>
            <w:r>
              <w:rPr>
                <w:i/>
                <w:sz w:val="18"/>
              </w:rPr>
              <w:t>within</w:t>
            </w:r>
            <w:r>
              <w:rPr>
                <w:i/>
                <w:spacing w:val="-1"/>
                <w:sz w:val="18"/>
              </w:rPr>
              <w:t> </w:t>
            </w:r>
            <w:r>
              <w:rPr>
                <w:i/>
                <w:sz w:val="18"/>
              </w:rPr>
              <w:t>“Other</w:t>
            </w:r>
            <w:r>
              <w:rPr>
                <w:i/>
                <w:spacing w:val="-1"/>
                <w:sz w:val="18"/>
              </w:rPr>
              <w:t> </w:t>
            </w:r>
            <w:r>
              <w:rPr>
                <w:i/>
                <w:sz w:val="18"/>
              </w:rPr>
              <w:t>accrued</w:t>
            </w:r>
            <w:r>
              <w:rPr>
                <w:i/>
                <w:spacing w:val="-1"/>
                <w:sz w:val="18"/>
              </w:rPr>
              <w:t> </w:t>
            </w:r>
            <w:r>
              <w:rPr>
                <w:i/>
                <w:spacing w:val="-2"/>
                <w:sz w:val="18"/>
              </w:rPr>
              <w:t>liabilities”</w:t>
            </w:r>
          </w:p>
        </w:tc>
        <w:tc>
          <w:tcPr>
            <w:tcW w:w="1539" w:type="dxa"/>
            <w:tcBorders>
              <w:top w:val="double" w:sz="6" w:space="0" w:color="000000"/>
            </w:tcBorders>
          </w:tcPr>
          <w:p>
            <w:pPr>
              <w:pStyle w:val="TableParagraph"/>
              <w:tabs>
                <w:tab w:pos="912" w:val="left" w:leader="none"/>
              </w:tabs>
              <w:spacing w:before="25"/>
              <w:ind w:left="17"/>
              <w:rPr>
                <w:sz w:val="18"/>
              </w:rPr>
            </w:pPr>
            <w:r>
              <w:rPr>
                <w:spacing w:val="-10"/>
                <w:sz w:val="18"/>
              </w:rPr>
              <w:t>$</w:t>
            </w:r>
            <w:r>
              <w:rPr>
                <w:sz w:val="18"/>
              </w:rPr>
              <w:tab/>
            </w:r>
            <w:r>
              <w:rPr>
                <w:spacing w:val="-2"/>
                <w:sz w:val="18"/>
              </w:rPr>
              <w:t>53,981</w:t>
            </w:r>
          </w:p>
        </w:tc>
        <w:tc>
          <w:tcPr>
            <w:tcW w:w="1647" w:type="dxa"/>
            <w:tcBorders>
              <w:top w:val="double" w:sz="6" w:space="0" w:color="000000"/>
            </w:tcBorders>
          </w:tcPr>
          <w:p>
            <w:pPr>
              <w:pStyle w:val="TableParagraph"/>
              <w:tabs>
                <w:tab w:pos="1026" w:val="left" w:leader="none"/>
              </w:tabs>
              <w:spacing w:before="25"/>
              <w:ind w:left="130"/>
              <w:rPr>
                <w:sz w:val="18"/>
              </w:rPr>
            </w:pPr>
            <w:r>
              <w:rPr>
                <w:spacing w:val="-10"/>
                <w:sz w:val="18"/>
              </w:rPr>
              <w:t>$</w:t>
            </w:r>
            <w:r>
              <w:rPr>
                <w:sz w:val="18"/>
              </w:rPr>
              <w:tab/>
            </w:r>
            <w:r>
              <w:rPr>
                <w:spacing w:val="-2"/>
                <w:sz w:val="18"/>
              </w:rPr>
              <w:t>31,706</w:t>
            </w:r>
          </w:p>
        </w:tc>
      </w:tr>
      <w:tr>
        <w:trPr>
          <w:trHeight w:val="259" w:hRule="atLeast"/>
        </w:trPr>
        <w:tc>
          <w:tcPr>
            <w:tcW w:w="8329" w:type="dxa"/>
            <w:shd w:val="clear" w:color="auto" w:fill="CFF0FB"/>
          </w:tcPr>
          <w:p>
            <w:pPr>
              <w:pStyle w:val="TableParagraph"/>
              <w:spacing w:line="236" w:lineRule="exact" w:before="0"/>
              <w:ind w:left="93"/>
              <w:rPr>
                <w:sz w:val="14"/>
              </w:rPr>
            </w:pPr>
            <w:r>
              <w:rPr>
                <w:sz w:val="18"/>
              </w:rPr>
              <w:t>Operating</w:t>
            </w:r>
            <w:r>
              <w:rPr>
                <w:spacing w:val="-3"/>
                <w:sz w:val="18"/>
              </w:rPr>
              <w:t> </w:t>
            </w:r>
            <w:r>
              <w:rPr>
                <w:sz w:val="18"/>
              </w:rPr>
              <w:t>lease</w:t>
            </w:r>
            <w:r>
              <w:rPr>
                <w:spacing w:val="-1"/>
                <w:sz w:val="18"/>
              </w:rPr>
              <w:t> </w:t>
            </w:r>
            <w:r>
              <w:rPr>
                <w:sz w:val="18"/>
              </w:rPr>
              <w:t>liabilities</w:t>
            </w:r>
            <w:r>
              <w:rPr>
                <w:spacing w:val="-1"/>
                <w:sz w:val="18"/>
              </w:rPr>
              <w:t> </w:t>
            </w:r>
            <w:r>
              <w:rPr>
                <w:sz w:val="18"/>
              </w:rPr>
              <w:t>-</w:t>
            </w:r>
            <w:r>
              <w:rPr>
                <w:spacing w:val="-1"/>
                <w:sz w:val="18"/>
              </w:rPr>
              <w:t> </w:t>
            </w:r>
            <w:r>
              <w:rPr>
                <w:sz w:val="18"/>
              </w:rPr>
              <w:t>long-</w:t>
            </w:r>
            <w:r>
              <w:rPr>
                <w:spacing w:val="-2"/>
                <w:sz w:val="18"/>
              </w:rPr>
              <w:t>term</w:t>
            </w:r>
            <w:r>
              <w:rPr>
                <w:spacing w:val="-2"/>
                <w:position w:val="8"/>
                <w:sz w:val="14"/>
              </w:rPr>
              <w:t>(2)</w:t>
            </w:r>
          </w:p>
        </w:tc>
        <w:tc>
          <w:tcPr>
            <w:tcW w:w="1539" w:type="dxa"/>
            <w:tcBorders>
              <w:bottom w:val="single" w:sz="6" w:space="0" w:color="000000"/>
            </w:tcBorders>
            <w:shd w:val="clear" w:color="auto" w:fill="CFF0FB"/>
          </w:tcPr>
          <w:p>
            <w:pPr>
              <w:pStyle w:val="TableParagraph"/>
              <w:ind w:left="597"/>
              <w:rPr>
                <w:sz w:val="18"/>
              </w:rPr>
            </w:pPr>
            <w:r>
              <w:rPr>
                <w:spacing w:val="-2"/>
                <w:sz w:val="18"/>
              </w:rPr>
              <w:t>25,149,299</w:t>
            </w:r>
          </w:p>
        </w:tc>
        <w:tc>
          <w:tcPr>
            <w:tcW w:w="1647" w:type="dxa"/>
            <w:tcBorders>
              <w:bottom w:val="single" w:sz="6" w:space="0" w:color="000000"/>
            </w:tcBorders>
            <w:shd w:val="clear" w:color="auto" w:fill="CFF0FB"/>
          </w:tcPr>
          <w:p>
            <w:pPr>
              <w:pStyle w:val="TableParagraph"/>
              <w:ind w:right="123"/>
              <w:jc w:val="right"/>
              <w:rPr>
                <w:sz w:val="18"/>
              </w:rPr>
            </w:pPr>
            <w:r>
              <w:rPr>
                <w:spacing w:val="-2"/>
                <w:sz w:val="18"/>
              </w:rPr>
              <w:t>11,802,464</w:t>
            </w:r>
          </w:p>
        </w:tc>
      </w:tr>
      <w:tr>
        <w:trPr>
          <w:trHeight w:val="273" w:hRule="atLeast"/>
        </w:trPr>
        <w:tc>
          <w:tcPr>
            <w:tcW w:w="8329" w:type="dxa"/>
          </w:tcPr>
          <w:p>
            <w:pPr>
              <w:pStyle w:val="TableParagraph"/>
              <w:spacing w:line="207" w:lineRule="exact" w:before="47"/>
              <w:ind w:left="217"/>
              <w:rPr>
                <w:sz w:val="18"/>
              </w:rPr>
            </w:pPr>
            <w:r>
              <w:rPr>
                <w:sz w:val="18"/>
              </w:rPr>
              <w:t>Total</w:t>
            </w:r>
            <w:r>
              <w:rPr>
                <w:spacing w:val="-6"/>
                <w:sz w:val="18"/>
              </w:rPr>
              <w:t> </w:t>
            </w:r>
            <w:r>
              <w:rPr>
                <w:sz w:val="18"/>
              </w:rPr>
              <w:t>operating</w:t>
            </w:r>
            <w:r>
              <w:rPr>
                <w:spacing w:val="-5"/>
                <w:sz w:val="18"/>
              </w:rPr>
              <w:t> </w:t>
            </w:r>
            <w:r>
              <w:rPr>
                <w:sz w:val="18"/>
              </w:rPr>
              <w:t>lease</w:t>
            </w:r>
            <w:r>
              <w:rPr>
                <w:spacing w:val="-5"/>
                <w:sz w:val="18"/>
              </w:rPr>
              <w:t> </w:t>
            </w:r>
            <w:r>
              <w:rPr>
                <w:spacing w:val="-2"/>
                <w:sz w:val="18"/>
              </w:rPr>
              <w:t>liabilities</w:t>
            </w:r>
          </w:p>
        </w:tc>
        <w:tc>
          <w:tcPr>
            <w:tcW w:w="1539" w:type="dxa"/>
            <w:tcBorders>
              <w:top w:val="single" w:sz="6" w:space="0" w:color="000000"/>
              <w:bottom w:val="double" w:sz="6" w:space="0" w:color="000000"/>
            </w:tcBorders>
          </w:tcPr>
          <w:p>
            <w:pPr>
              <w:pStyle w:val="TableParagraph"/>
              <w:tabs>
                <w:tab w:pos="597" w:val="left" w:leader="none"/>
              </w:tabs>
              <w:spacing w:before="20"/>
              <w:ind w:left="17"/>
              <w:rPr>
                <w:sz w:val="18"/>
              </w:rPr>
            </w:pPr>
            <w:r>
              <w:rPr>
                <w:spacing w:val="-10"/>
                <w:sz w:val="18"/>
              </w:rPr>
              <w:t>$</w:t>
            </w:r>
            <w:r>
              <w:rPr>
                <w:sz w:val="18"/>
              </w:rPr>
              <w:tab/>
            </w:r>
            <w:r>
              <w:rPr>
                <w:spacing w:val="-2"/>
                <w:sz w:val="18"/>
              </w:rPr>
              <w:t>25,203,280</w:t>
            </w:r>
          </w:p>
        </w:tc>
        <w:tc>
          <w:tcPr>
            <w:tcW w:w="1647" w:type="dxa"/>
            <w:tcBorders>
              <w:top w:val="single" w:sz="6" w:space="0" w:color="000000"/>
              <w:bottom w:val="double" w:sz="6" w:space="0" w:color="000000"/>
            </w:tcBorders>
          </w:tcPr>
          <w:p>
            <w:pPr>
              <w:pStyle w:val="TableParagraph"/>
              <w:tabs>
                <w:tab w:pos="718" w:val="left" w:leader="none"/>
              </w:tabs>
              <w:spacing w:before="20"/>
              <w:ind w:left="130"/>
              <w:rPr>
                <w:sz w:val="18"/>
              </w:rPr>
            </w:pPr>
            <w:r>
              <w:rPr>
                <w:spacing w:val="-10"/>
                <w:sz w:val="18"/>
              </w:rPr>
              <w:t>$</w:t>
            </w:r>
            <w:r>
              <w:rPr>
                <w:sz w:val="18"/>
              </w:rPr>
              <w:tab/>
            </w:r>
            <w:r>
              <w:rPr>
                <w:spacing w:val="-2"/>
                <w:sz w:val="18"/>
              </w:rPr>
              <w:t>11,834,170</w:t>
            </w:r>
          </w:p>
        </w:tc>
      </w:tr>
      <w:tr>
        <w:trPr>
          <w:trHeight w:val="233" w:hRule="atLeast"/>
        </w:trPr>
        <w:tc>
          <w:tcPr>
            <w:tcW w:w="8329" w:type="dxa"/>
            <w:shd w:val="clear" w:color="auto" w:fill="CFF0FB"/>
          </w:tcPr>
          <w:p>
            <w:pPr>
              <w:pStyle w:val="TableParagraph"/>
              <w:spacing w:before="0"/>
              <w:rPr>
                <w:sz w:val="16"/>
              </w:rPr>
            </w:pPr>
          </w:p>
        </w:tc>
        <w:tc>
          <w:tcPr>
            <w:tcW w:w="1539" w:type="dxa"/>
            <w:tcBorders>
              <w:top w:val="double" w:sz="6" w:space="0" w:color="000000"/>
            </w:tcBorders>
            <w:shd w:val="clear" w:color="auto" w:fill="CFF0FB"/>
          </w:tcPr>
          <w:p>
            <w:pPr>
              <w:pStyle w:val="TableParagraph"/>
              <w:spacing w:before="0"/>
              <w:rPr>
                <w:sz w:val="16"/>
              </w:rPr>
            </w:pPr>
          </w:p>
        </w:tc>
        <w:tc>
          <w:tcPr>
            <w:tcW w:w="1647" w:type="dxa"/>
            <w:tcBorders>
              <w:top w:val="double" w:sz="6" w:space="0" w:color="000000"/>
            </w:tcBorders>
            <w:shd w:val="clear" w:color="auto" w:fill="CFF0FB"/>
          </w:tcPr>
          <w:p>
            <w:pPr>
              <w:pStyle w:val="TableParagraph"/>
              <w:spacing w:before="0"/>
              <w:rPr>
                <w:sz w:val="16"/>
              </w:rPr>
            </w:pPr>
          </w:p>
        </w:tc>
      </w:tr>
      <w:tr>
        <w:trPr>
          <w:trHeight w:val="256" w:hRule="atLeast"/>
        </w:trPr>
        <w:tc>
          <w:tcPr>
            <w:tcW w:w="8329" w:type="dxa"/>
          </w:tcPr>
          <w:p>
            <w:pPr>
              <w:pStyle w:val="TableParagraph"/>
              <w:ind w:left="17"/>
              <w:rPr>
                <w:sz w:val="18"/>
              </w:rPr>
            </w:pPr>
            <w:r>
              <w:rPr>
                <w:sz w:val="18"/>
              </w:rPr>
              <w:t>Finance</w:t>
            </w:r>
            <w:r>
              <w:rPr>
                <w:spacing w:val="-1"/>
                <w:sz w:val="18"/>
              </w:rPr>
              <w:t> </w:t>
            </w:r>
            <w:r>
              <w:rPr>
                <w:spacing w:val="-2"/>
                <w:sz w:val="18"/>
              </w:rPr>
              <w:t>leases</w:t>
            </w:r>
          </w:p>
        </w:tc>
        <w:tc>
          <w:tcPr>
            <w:tcW w:w="1539" w:type="dxa"/>
          </w:tcPr>
          <w:p>
            <w:pPr>
              <w:pStyle w:val="TableParagraph"/>
              <w:spacing w:before="0"/>
              <w:rPr>
                <w:sz w:val="16"/>
              </w:rPr>
            </w:pPr>
          </w:p>
        </w:tc>
        <w:tc>
          <w:tcPr>
            <w:tcW w:w="1647" w:type="dxa"/>
          </w:tcPr>
          <w:p>
            <w:pPr>
              <w:pStyle w:val="TableParagraph"/>
              <w:spacing w:before="0"/>
              <w:rPr>
                <w:sz w:val="16"/>
              </w:rPr>
            </w:pPr>
          </w:p>
        </w:tc>
      </w:tr>
      <w:tr>
        <w:trPr>
          <w:trHeight w:val="260" w:hRule="atLeast"/>
        </w:trPr>
        <w:tc>
          <w:tcPr>
            <w:tcW w:w="8329" w:type="dxa"/>
            <w:shd w:val="clear" w:color="auto" w:fill="CFF0FB"/>
          </w:tcPr>
          <w:p>
            <w:pPr>
              <w:pStyle w:val="TableParagraph"/>
              <w:spacing w:line="193" w:lineRule="exact" w:before="48"/>
              <w:ind w:left="93"/>
              <w:rPr>
                <w:i/>
                <w:sz w:val="18"/>
              </w:rPr>
            </w:pPr>
            <w:r>
              <w:rPr>
                <w:sz w:val="18"/>
              </w:rPr>
              <w:t>Finance</w:t>
            </w:r>
            <w:r>
              <w:rPr>
                <w:spacing w:val="-2"/>
                <w:sz w:val="18"/>
              </w:rPr>
              <w:t> </w:t>
            </w:r>
            <w:r>
              <w:rPr>
                <w:sz w:val="18"/>
              </w:rPr>
              <w:t>lease</w:t>
            </w:r>
            <w:r>
              <w:rPr>
                <w:spacing w:val="-2"/>
                <w:sz w:val="18"/>
              </w:rPr>
              <w:t> </w:t>
            </w:r>
            <w:r>
              <w:rPr>
                <w:sz w:val="18"/>
              </w:rPr>
              <w:t>ROU</w:t>
            </w:r>
            <w:r>
              <w:rPr>
                <w:spacing w:val="-2"/>
                <w:sz w:val="18"/>
              </w:rPr>
              <w:t> </w:t>
            </w:r>
            <w:r>
              <w:rPr>
                <w:sz w:val="18"/>
              </w:rPr>
              <w:t>assets,</w:t>
            </w:r>
            <w:r>
              <w:rPr>
                <w:spacing w:val="-1"/>
                <w:sz w:val="18"/>
              </w:rPr>
              <w:t> </w:t>
            </w:r>
            <w:r>
              <w:rPr>
                <w:sz w:val="18"/>
              </w:rPr>
              <w:t>net,</w:t>
            </w:r>
            <w:r>
              <w:rPr>
                <w:spacing w:val="-1"/>
                <w:sz w:val="18"/>
              </w:rPr>
              <w:t> </w:t>
            </w:r>
            <w:r>
              <w:rPr>
                <w:i/>
                <w:sz w:val="18"/>
              </w:rPr>
              <w:t>classified</w:t>
            </w:r>
            <w:r>
              <w:rPr>
                <w:i/>
                <w:spacing w:val="-2"/>
                <w:sz w:val="18"/>
              </w:rPr>
              <w:t> </w:t>
            </w:r>
            <w:r>
              <w:rPr>
                <w:i/>
                <w:sz w:val="18"/>
              </w:rPr>
              <w:t>within</w:t>
            </w:r>
            <w:r>
              <w:rPr>
                <w:i/>
                <w:spacing w:val="-1"/>
                <w:sz w:val="18"/>
              </w:rPr>
              <w:t> </w:t>
            </w:r>
            <w:r>
              <w:rPr>
                <w:i/>
                <w:sz w:val="18"/>
              </w:rPr>
              <w:t>“Property</w:t>
            </w:r>
            <w:r>
              <w:rPr>
                <w:i/>
                <w:spacing w:val="-2"/>
                <w:sz w:val="18"/>
              </w:rPr>
              <w:t> </w:t>
            </w:r>
            <w:r>
              <w:rPr>
                <w:i/>
                <w:sz w:val="18"/>
              </w:rPr>
              <w:t>and</w:t>
            </w:r>
            <w:r>
              <w:rPr>
                <w:i/>
                <w:spacing w:val="-2"/>
                <w:sz w:val="18"/>
              </w:rPr>
              <w:t> </w:t>
            </w:r>
            <w:r>
              <w:rPr>
                <w:i/>
                <w:sz w:val="18"/>
              </w:rPr>
              <w:t>equipment,</w:t>
            </w:r>
            <w:r>
              <w:rPr>
                <w:i/>
                <w:spacing w:val="-1"/>
                <w:sz w:val="18"/>
              </w:rPr>
              <w:t> </w:t>
            </w:r>
            <w:r>
              <w:rPr>
                <w:i/>
                <w:spacing w:val="-4"/>
                <w:sz w:val="18"/>
              </w:rPr>
              <w:t>net”</w:t>
            </w:r>
          </w:p>
        </w:tc>
        <w:tc>
          <w:tcPr>
            <w:tcW w:w="1539" w:type="dxa"/>
            <w:tcBorders>
              <w:bottom w:val="double" w:sz="6" w:space="0" w:color="000000"/>
            </w:tcBorders>
            <w:shd w:val="clear" w:color="auto" w:fill="CFF0FB"/>
          </w:tcPr>
          <w:p>
            <w:pPr>
              <w:pStyle w:val="TableParagraph"/>
              <w:tabs>
                <w:tab w:pos="822" w:val="left" w:leader="none"/>
              </w:tabs>
              <w:ind w:left="17"/>
              <w:rPr>
                <w:sz w:val="18"/>
              </w:rPr>
            </w:pPr>
            <w:r>
              <w:rPr>
                <w:spacing w:val="-10"/>
                <w:sz w:val="18"/>
              </w:rPr>
              <w:t>$</w:t>
            </w:r>
            <w:r>
              <w:rPr>
                <w:sz w:val="18"/>
              </w:rPr>
              <w:tab/>
            </w:r>
            <w:r>
              <w:rPr>
                <w:spacing w:val="-2"/>
                <w:sz w:val="18"/>
              </w:rPr>
              <w:t>150,571</w:t>
            </w:r>
          </w:p>
        </w:tc>
        <w:tc>
          <w:tcPr>
            <w:tcW w:w="1647" w:type="dxa"/>
            <w:tcBorders>
              <w:bottom w:val="double" w:sz="6" w:space="0" w:color="000000"/>
            </w:tcBorders>
            <w:shd w:val="clear" w:color="auto" w:fill="CFF0FB"/>
          </w:tcPr>
          <w:p>
            <w:pPr>
              <w:pStyle w:val="TableParagraph"/>
              <w:tabs>
                <w:tab w:pos="936" w:val="left" w:leader="none"/>
              </w:tabs>
              <w:ind w:left="130"/>
              <w:rPr>
                <w:sz w:val="18"/>
              </w:rPr>
            </w:pPr>
            <w:r>
              <w:rPr>
                <w:spacing w:val="-10"/>
                <w:sz w:val="18"/>
              </w:rPr>
              <w:t>$</w:t>
            </w:r>
            <w:r>
              <w:rPr>
                <w:sz w:val="18"/>
              </w:rPr>
              <w:tab/>
            </w:r>
            <w:r>
              <w:rPr>
                <w:spacing w:val="-2"/>
                <w:sz w:val="18"/>
              </w:rPr>
              <w:t>151,909</w:t>
            </w:r>
          </w:p>
        </w:tc>
      </w:tr>
      <w:tr>
        <w:trPr>
          <w:trHeight w:val="260" w:hRule="atLeast"/>
        </w:trPr>
        <w:tc>
          <w:tcPr>
            <w:tcW w:w="8329" w:type="dxa"/>
          </w:tcPr>
          <w:p>
            <w:pPr>
              <w:pStyle w:val="TableParagraph"/>
              <w:spacing w:before="25"/>
              <w:ind w:left="93"/>
              <w:rPr>
                <w:i/>
                <w:sz w:val="18"/>
              </w:rPr>
            </w:pPr>
            <w:r>
              <w:rPr>
                <w:sz w:val="18"/>
              </w:rPr>
              <w:t>Finance</w:t>
            </w:r>
            <w:r>
              <w:rPr>
                <w:spacing w:val="-1"/>
                <w:sz w:val="18"/>
              </w:rPr>
              <w:t> </w:t>
            </w:r>
            <w:r>
              <w:rPr>
                <w:sz w:val="18"/>
              </w:rPr>
              <w:t>lease</w:t>
            </w:r>
            <w:r>
              <w:rPr>
                <w:spacing w:val="-1"/>
                <w:sz w:val="18"/>
              </w:rPr>
              <w:t> </w:t>
            </w:r>
            <w:r>
              <w:rPr>
                <w:sz w:val="18"/>
              </w:rPr>
              <w:t>liabilities</w:t>
            </w:r>
            <w:r>
              <w:rPr>
                <w:spacing w:val="-1"/>
                <w:sz w:val="18"/>
              </w:rPr>
              <w:t> </w:t>
            </w:r>
            <w:r>
              <w:rPr>
                <w:sz w:val="18"/>
              </w:rPr>
              <w:t>-</w:t>
            </w:r>
            <w:r>
              <w:rPr>
                <w:spacing w:val="-1"/>
                <w:sz w:val="18"/>
              </w:rPr>
              <w:t> </w:t>
            </w:r>
            <w:r>
              <w:rPr>
                <w:sz w:val="18"/>
              </w:rPr>
              <w:t>current, </w:t>
            </w:r>
            <w:r>
              <w:rPr>
                <w:i/>
                <w:sz w:val="18"/>
              </w:rPr>
              <w:t>classified</w:t>
            </w:r>
            <w:r>
              <w:rPr>
                <w:i/>
                <w:spacing w:val="-1"/>
                <w:sz w:val="18"/>
              </w:rPr>
              <w:t> </w:t>
            </w:r>
            <w:r>
              <w:rPr>
                <w:i/>
                <w:sz w:val="18"/>
              </w:rPr>
              <w:t>within</w:t>
            </w:r>
            <w:r>
              <w:rPr>
                <w:i/>
                <w:spacing w:val="-1"/>
                <w:sz w:val="18"/>
              </w:rPr>
              <w:t> </w:t>
            </w:r>
            <w:r>
              <w:rPr>
                <w:i/>
                <w:sz w:val="18"/>
              </w:rPr>
              <w:t>"Other</w:t>
            </w:r>
            <w:r>
              <w:rPr>
                <w:i/>
                <w:spacing w:val="-1"/>
                <w:sz w:val="18"/>
              </w:rPr>
              <w:t> </w:t>
            </w:r>
            <w:r>
              <w:rPr>
                <w:i/>
                <w:sz w:val="18"/>
              </w:rPr>
              <w:t>accrued</w:t>
            </w:r>
            <w:r>
              <w:rPr>
                <w:i/>
                <w:spacing w:val="-1"/>
                <w:sz w:val="18"/>
              </w:rPr>
              <w:t> </w:t>
            </w:r>
            <w:r>
              <w:rPr>
                <w:i/>
                <w:spacing w:val="-2"/>
                <w:sz w:val="18"/>
              </w:rPr>
              <w:t>liabilities"</w:t>
            </w:r>
          </w:p>
        </w:tc>
        <w:tc>
          <w:tcPr>
            <w:tcW w:w="1539" w:type="dxa"/>
            <w:tcBorders>
              <w:top w:val="double" w:sz="6" w:space="0" w:color="000000"/>
            </w:tcBorders>
          </w:tcPr>
          <w:p>
            <w:pPr>
              <w:pStyle w:val="TableParagraph"/>
              <w:tabs>
                <w:tab w:pos="912" w:val="left" w:leader="none"/>
              </w:tabs>
              <w:spacing w:before="25"/>
              <w:ind w:left="17"/>
              <w:rPr>
                <w:sz w:val="18"/>
              </w:rPr>
            </w:pPr>
            <w:r>
              <w:rPr>
                <w:spacing w:val="-10"/>
                <w:sz w:val="18"/>
              </w:rPr>
              <w:t>$</w:t>
            </w:r>
            <w:r>
              <w:rPr>
                <w:sz w:val="18"/>
              </w:rPr>
              <w:tab/>
            </w:r>
            <w:r>
              <w:rPr>
                <w:spacing w:val="-2"/>
                <w:sz w:val="18"/>
              </w:rPr>
              <w:t>72,420</w:t>
            </w:r>
          </w:p>
        </w:tc>
        <w:tc>
          <w:tcPr>
            <w:tcW w:w="1647" w:type="dxa"/>
            <w:tcBorders>
              <w:top w:val="double" w:sz="6" w:space="0" w:color="000000"/>
            </w:tcBorders>
          </w:tcPr>
          <w:p>
            <w:pPr>
              <w:pStyle w:val="TableParagraph"/>
              <w:tabs>
                <w:tab w:pos="1026" w:val="left" w:leader="none"/>
              </w:tabs>
              <w:spacing w:before="25"/>
              <w:ind w:left="130"/>
              <w:rPr>
                <w:sz w:val="18"/>
              </w:rPr>
            </w:pPr>
            <w:r>
              <w:rPr>
                <w:spacing w:val="-10"/>
                <w:sz w:val="18"/>
              </w:rPr>
              <w:t>$</w:t>
            </w:r>
            <w:r>
              <w:rPr>
                <w:sz w:val="18"/>
              </w:rPr>
              <w:tab/>
            </w:r>
            <w:r>
              <w:rPr>
                <w:spacing w:val="-2"/>
                <w:sz w:val="18"/>
              </w:rPr>
              <w:t>87,665</w:t>
            </w:r>
          </w:p>
        </w:tc>
      </w:tr>
      <w:tr>
        <w:trPr>
          <w:trHeight w:val="269" w:hRule="atLeast"/>
        </w:trPr>
        <w:tc>
          <w:tcPr>
            <w:tcW w:w="8329" w:type="dxa"/>
            <w:shd w:val="clear" w:color="auto" w:fill="CFF0FB"/>
          </w:tcPr>
          <w:p>
            <w:pPr>
              <w:pStyle w:val="TableParagraph"/>
              <w:spacing w:before="34"/>
              <w:ind w:left="93"/>
              <w:rPr>
                <w:i/>
                <w:sz w:val="18"/>
              </w:rPr>
            </w:pPr>
            <w:r>
              <w:rPr>
                <w:sz w:val="18"/>
              </w:rPr>
              <w:t>Finance</w:t>
            </w:r>
            <w:r>
              <w:rPr>
                <w:spacing w:val="-1"/>
                <w:sz w:val="18"/>
              </w:rPr>
              <w:t> </w:t>
            </w:r>
            <w:r>
              <w:rPr>
                <w:sz w:val="18"/>
              </w:rPr>
              <w:t>lease</w:t>
            </w:r>
            <w:r>
              <w:rPr>
                <w:spacing w:val="-1"/>
                <w:sz w:val="18"/>
              </w:rPr>
              <w:t> </w:t>
            </w:r>
            <w:r>
              <w:rPr>
                <w:sz w:val="18"/>
              </w:rPr>
              <w:t>liabilities</w:t>
            </w:r>
            <w:r>
              <w:rPr>
                <w:spacing w:val="-1"/>
                <w:sz w:val="18"/>
              </w:rPr>
              <w:t> </w:t>
            </w:r>
            <w:r>
              <w:rPr>
                <w:sz w:val="18"/>
              </w:rPr>
              <w:t>-</w:t>
            </w:r>
            <w:r>
              <w:rPr>
                <w:spacing w:val="-1"/>
                <w:sz w:val="18"/>
              </w:rPr>
              <w:t> </w:t>
            </w:r>
            <w:r>
              <w:rPr>
                <w:sz w:val="18"/>
              </w:rPr>
              <w:t>long-term, </w:t>
            </w:r>
            <w:r>
              <w:rPr>
                <w:i/>
                <w:sz w:val="18"/>
              </w:rPr>
              <w:t>classified</w:t>
            </w:r>
            <w:r>
              <w:rPr>
                <w:i/>
                <w:spacing w:val="-1"/>
                <w:sz w:val="18"/>
              </w:rPr>
              <w:t> </w:t>
            </w:r>
            <w:r>
              <w:rPr>
                <w:i/>
                <w:sz w:val="18"/>
              </w:rPr>
              <w:t>within</w:t>
            </w:r>
            <w:r>
              <w:rPr>
                <w:i/>
                <w:spacing w:val="-1"/>
                <w:sz w:val="18"/>
              </w:rPr>
              <w:t> </w:t>
            </w:r>
            <w:r>
              <w:rPr>
                <w:i/>
                <w:sz w:val="18"/>
              </w:rPr>
              <w:t>“Other</w:t>
            </w:r>
            <w:r>
              <w:rPr>
                <w:i/>
                <w:spacing w:val="-1"/>
                <w:sz w:val="18"/>
              </w:rPr>
              <w:t> </w:t>
            </w:r>
            <w:r>
              <w:rPr>
                <w:i/>
                <w:sz w:val="18"/>
              </w:rPr>
              <w:t>long-term</w:t>
            </w:r>
            <w:r>
              <w:rPr>
                <w:i/>
                <w:spacing w:val="-1"/>
                <w:sz w:val="18"/>
              </w:rPr>
              <w:t> </w:t>
            </w:r>
            <w:r>
              <w:rPr>
                <w:i/>
                <w:spacing w:val="-2"/>
                <w:sz w:val="18"/>
              </w:rPr>
              <w:t>obligations”</w:t>
            </w:r>
          </w:p>
        </w:tc>
        <w:tc>
          <w:tcPr>
            <w:tcW w:w="1539" w:type="dxa"/>
            <w:tcBorders>
              <w:bottom w:val="single" w:sz="6" w:space="0" w:color="000000"/>
            </w:tcBorders>
            <w:shd w:val="clear" w:color="auto" w:fill="CFF0FB"/>
          </w:tcPr>
          <w:p>
            <w:pPr>
              <w:pStyle w:val="TableParagraph"/>
              <w:spacing w:before="34"/>
              <w:ind w:left="912"/>
              <w:rPr>
                <w:sz w:val="18"/>
              </w:rPr>
            </w:pPr>
            <w:r>
              <w:rPr>
                <w:spacing w:val="-2"/>
                <w:sz w:val="18"/>
              </w:rPr>
              <w:t>88,181</w:t>
            </w:r>
          </w:p>
        </w:tc>
        <w:tc>
          <w:tcPr>
            <w:tcW w:w="1647" w:type="dxa"/>
            <w:tcBorders>
              <w:bottom w:val="single" w:sz="6" w:space="0" w:color="000000"/>
            </w:tcBorders>
            <w:shd w:val="clear" w:color="auto" w:fill="CFF0FB"/>
          </w:tcPr>
          <w:p>
            <w:pPr>
              <w:pStyle w:val="TableParagraph"/>
              <w:spacing w:before="34"/>
              <w:ind w:right="123"/>
              <w:jc w:val="right"/>
              <w:rPr>
                <w:sz w:val="18"/>
              </w:rPr>
            </w:pPr>
            <w:r>
              <w:rPr>
                <w:spacing w:val="-2"/>
                <w:sz w:val="18"/>
              </w:rPr>
              <w:t>75,560</w:t>
            </w:r>
          </w:p>
        </w:tc>
      </w:tr>
      <w:tr>
        <w:trPr>
          <w:trHeight w:val="260" w:hRule="atLeast"/>
        </w:trPr>
        <w:tc>
          <w:tcPr>
            <w:tcW w:w="8329" w:type="dxa"/>
          </w:tcPr>
          <w:p>
            <w:pPr>
              <w:pStyle w:val="TableParagraph"/>
              <w:spacing w:line="193" w:lineRule="exact" w:before="47"/>
              <w:ind w:left="217"/>
              <w:rPr>
                <w:sz w:val="18"/>
              </w:rPr>
            </w:pPr>
            <w:r>
              <w:rPr>
                <w:sz w:val="18"/>
              </w:rPr>
              <w:t>Total</w:t>
            </w:r>
            <w:r>
              <w:rPr>
                <w:spacing w:val="-6"/>
                <w:sz w:val="18"/>
              </w:rPr>
              <w:t> </w:t>
            </w:r>
            <w:r>
              <w:rPr>
                <w:sz w:val="18"/>
              </w:rPr>
              <w:t>finance</w:t>
            </w:r>
            <w:r>
              <w:rPr>
                <w:spacing w:val="-5"/>
                <w:sz w:val="18"/>
              </w:rPr>
              <w:t> </w:t>
            </w:r>
            <w:r>
              <w:rPr>
                <w:sz w:val="18"/>
              </w:rPr>
              <w:t>lease</w:t>
            </w:r>
            <w:r>
              <w:rPr>
                <w:spacing w:val="-5"/>
                <w:sz w:val="18"/>
              </w:rPr>
              <w:t> </w:t>
            </w:r>
            <w:r>
              <w:rPr>
                <w:spacing w:val="-2"/>
                <w:sz w:val="18"/>
              </w:rPr>
              <w:t>liabilities</w:t>
            </w:r>
          </w:p>
        </w:tc>
        <w:tc>
          <w:tcPr>
            <w:tcW w:w="1539" w:type="dxa"/>
            <w:tcBorders>
              <w:top w:val="single" w:sz="6" w:space="0" w:color="000000"/>
              <w:bottom w:val="double" w:sz="6" w:space="0" w:color="000000"/>
            </w:tcBorders>
          </w:tcPr>
          <w:p>
            <w:pPr>
              <w:pStyle w:val="TableParagraph"/>
              <w:tabs>
                <w:tab w:pos="822" w:val="left" w:leader="none"/>
              </w:tabs>
              <w:spacing w:before="20"/>
              <w:ind w:left="17"/>
              <w:rPr>
                <w:sz w:val="18"/>
              </w:rPr>
            </w:pPr>
            <w:r>
              <w:rPr>
                <w:spacing w:val="-10"/>
                <w:sz w:val="18"/>
              </w:rPr>
              <w:t>$</w:t>
            </w:r>
            <w:r>
              <w:rPr>
                <w:sz w:val="18"/>
              </w:rPr>
              <w:tab/>
            </w:r>
            <w:r>
              <w:rPr>
                <w:spacing w:val="-2"/>
                <w:sz w:val="18"/>
              </w:rPr>
              <w:t>160,601</w:t>
            </w:r>
          </w:p>
        </w:tc>
        <w:tc>
          <w:tcPr>
            <w:tcW w:w="1647" w:type="dxa"/>
            <w:tcBorders>
              <w:top w:val="single" w:sz="6" w:space="0" w:color="000000"/>
              <w:bottom w:val="double" w:sz="6" w:space="0" w:color="000000"/>
            </w:tcBorders>
          </w:tcPr>
          <w:p>
            <w:pPr>
              <w:pStyle w:val="TableParagraph"/>
              <w:tabs>
                <w:tab w:pos="936" w:val="left" w:leader="none"/>
              </w:tabs>
              <w:spacing w:before="20"/>
              <w:ind w:left="130"/>
              <w:rPr>
                <w:sz w:val="18"/>
              </w:rPr>
            </w:pPr>
            <w:r>
              <w:rPr>
                <w:spacing w:val="-10"/>
                <w:sz w:val="18"/>
              </w:rPr>
              <w:t>$</w:t>
            </w:r>
            <w:r>
              <w:rPr>
                <w:sz w:val="18"/>
              </w:rPr>
              <w:tab/>
            </w:r>
            <w:r>
              <w:rPr>
                <w:spacing w:val="-2"/>
                <w:sz w:val="18"/>
              </w:rPr>
              <w:t>163,225</w:t>
            </w:r>
          </w:p>
        </w:tc>
      </w:tr>
      <w:tr>
        <w:trPr>
          <w:trHeight w:val="247" w:hRule="atLeast"/>
        </w:trPr>
        <w:tc>
          <w:tcPr>
            <w:tcW w:w="8329" w:type="dxa"/>
            <w:shd w:val="clear" w:color="auto" w:fill="CFF0FB"/>
          </w:tcPr>
          <w:p>
            <w:pPr>
              <w:pStyle w:val="TableParagraph"/>
              <w:spacing w:before="0"/>
              <w:rPr>
                <w:sz w:val="16"/>
              </w:rPr>
            </w:pPr>
          </w:p>
        </w:tc>
        <w:tc>
          <w:tcPr>
            <w:tcW w:w="1539" w:type="dxa"/>
            <w:tcBorders>
              <w:top w:val="double" w:sz="6" w:space="0" w:color="000000"/>
            </w:tcBorders>
            <w:shd w:val="clear" w:color="auto" w:fill="CFF0FB"/>
          </w:tcPr>
          <w:p>
            <w:pPr>
              <w:pStyle w:val="TableParagraph"/>
              <w:spacing w:before="0"/>
              <w:rPr>
                <w:sz w:val="16"/>
              </w:rPr>
            </w:pPr>
          </w:p>
        </w:tc>
        <w:tc>
          <w:tcPr>
            <w:tcW w:w="1647" w:type="dxa"/>
            <w:tcBorders>
              <w:top w:val="double" w:sz="6" w:space="0" w:color="000000"/>
            </w:tcBorders>
            <w:shd w:val="clear" w:color="auto" w:fill="CFF0FB"/>
          </w:tcPr>
          <w:p>
            <w:pPr>
              <w:pStyle w:val="TableParagraph"/>
              <w:spacing w:before="0"/>
              <w:rPr>
                <w:sz w:val="16"/>
              </w:rPr>
            </w:pPr>
          </w:p>
        </w:tc>
      </w:tr>
      <w:tr>
        <w:trPr>
          <w:trHeight w:val="256" w:hRule="atLeast"/>
        </w:trPr>
        <w:tc>
          <w:tcPr>
            <w:tcW w:w="8329" w:type="dxa"/>
          </w:tcPr>
          <w:p>
            <w:pPr>
              <w:pStyle w:val="TableParagraph"/>
              <w:ind w:left="17"/>
              <w:rPr>
                <w:sz w:val="18"/>
              </w:rPr>
            </w:pPr>
            <w:r>
              <w:rPr>
                <w:sz w:val="18"/>
              </w:rPr>
              <w:t>Weighted</w:t>
            </w:r>
            <w:r>
              <w:rPr>
                <w:spacing w:val="-4"/>
                <w:sz w:val="18"/>
              </w:rPr>
              <w:t> </w:t>
            </w:r>
            <w:r>
              <w:rPr>
                <w:sz w:val="18"/>
              </w:rPr>
              <w:t>average</w:t>
            </w:r>
            <w:r>
              <w:rPr>
                <w:spacing w:val="-4"/>
                <w:sz w:val="18"/>
              </w:rPr>
              <w:t> </w:t>
            </w:r>
            <w:r>
              <w:rPr>
                <w:sz w:val="18"/>
              </w:rPr>
              <w:t>remaining</w:t>
            </w:r>
            <w:r>
              <w:rPr>
                <w:spacing w:val="-4"/>
                <w:sz w:val="18"/>
              </w:rPr>
              <w:t> </w:t>
            </w:r>
            <w:r>
              <w:rPr>
                <w:sz w:val="18"/>
              </w:rPr>
              <w:t>lease</w:t>
            </w:r>
            <w:r>
              <w:rPr>
                <w:spacing w:val="-4"/>
                <w:sz w:val="18"/>
              </w:rPr>
              <w:t> </w:t>
            </w:r>
            <w:r>
              <w:rPr>
                <w:sz w:val="18"/>
              </w:rPr>
              <w:t>term</w:t>
            </w:r>
            <w:r>
              <w:rPr>
                <w:spacing w:val="-4"/>
                <w:sz w:val="18"/>
              </w:rPr>
              <w:t> </w:t>
            </w:r>
            <w:r>
              <w:rPr>
                <w:spacing w:val="-2"/>
                <w:sz w:val="18"/>
              </w:rPr>
              <w:t>(years)</w:t>
            </w:r>
          </w:p>
        </w:tc>
        <w:tc>
          <w:tcPr>
            <w:tcW w:w="1539" w:type="dxa"/>
          </w:tcPr>
          <w:p>
            <w:pPr>
              <w:pStyle w:val="TableParagraph"/>
              <w:spacing w:before="0"/>
              <w:rPr>
                <w:sz w:val="16"/>
              </w:rPr>
            </w:pPr>
          </w:p>
        </w:tc>
        <w:tc>
          <w:tcPr>
            <w:tcW w:w="1647" w:type="dxa"/>
          </w:tcPr>
          <w:p>
            <w:pPr>
              <w:pStyle w:val="TableParagraph"/>
              <w:spacing w:before="0"/>
              <w:rPr>
                <w:sz w:val="16"/>
              </w:rPr>
            </w:pPr>
          </w:p>
        </w:tc>
      </w:tr>
      <w:tr>
        <w:trPr>
          <w:trHeight w:val="256" w:hRule="atLeast"/>
        </w:trPr>
        <w:tc>
          <w:tcPr>
            <w:tcW w:w="8329" w:type="dxa"/>
            <w:shd w:val="clear" w:color="auto" w:fill="CFF0FB"/>
          </w:tcPr>
          <w:p>
            <w:pPr>
              <w:pStyle w:val="TableParagraph"/>
              <w:ind w:left="93"/>
              <w:rPr>
                <w:sz w:val="18"/>
              </w:rPr>
            </w:pPr>
            <w:r>
              <w:rPr>
                <w:sz w:val="18"/>
              </w:rPr>
              <w:t>Operating</w:t>
            </w:r>
            <w:r>
              <w:rPr>
                <w:spacing w:val="-1"/>
                <w:sz w:val="18"/>
              </w:rPr>
              <w:t> </w:t>
            </w:r>
            <w:r>
              <w:rPr>
                <w:spacing w:val="-2"/>
                <w:sz w:val="18"/>
              </w:rPr>
              <w:t>leases</w:t>
            </w:r>
          </w:p>
        </w:tc>
        <w:tc>
          <w:tcPr>
            <w:tcW w:w="1539" w:type="dxa"/>
            <w:shd w:val="clear" w:color="auto" w:fill="CFF0FB"/>
          </w:tcPr>
          <w:p>
            <w:pPr>
              <w:pStyle w:val="TableParagraph"/>
              <w:ind w:right="21"/>
              <w:jc w:val="right"/>
              <w:rPr>
                <w:sz w:val="18"/>
              </w:rPr>
            </w:pPr>
            <w:r>
              <w:rPr>
                <w:spacing w:val="-5"/>
                <w:sz w:val="18"/>
              </w:rPr>
              <w:t>26</w:t>
            </w:r>
          </w:p>
        </w:tc>
        <w:tc>
          <w:tcPr>
            <w:tcW w:w="1647" w:type="dxa"/>
            <w:shd w:val="clear" w:color="auto" w:fill="CFF0FB"/>
          </w:tcPr>
          <w:p>
            <w:pPr>
              <w:pStyle w:val="TableParagraph"/>
              <w:ind w:right="15"/>
              <w:jc w:val="right"/>
              <w:rPr>
                <w:sz w:val="18"/>
              </w:rPr>
            </w:pPr>
            <w:r>
              <w:rPr>
                <w:spacing w:val="-5"/>
                <w:sz w:val="18"/>
              </w:rPr>
              <w:t>29</w:t>
            </w:r>
          </w:p>
        </w:tc>
      </w:tr>
      <w:tr>
        <w:trPr>
          <w:trHeight w:val="256" w:hRule="atLeast"/>
        </w:trPr>
        <w:tc>
          <w:tcPr>
            <w:tcW w:w="8329" w:type="dxa"/>
          </w:tcPr>
          <w:p>
            <w:pPr>
              <w:pStyle w:val="TableParagraph"/>
              <w:ind w:left="93"/>
              <w:rPr>
                <w:sz w:val="18"/>
              </w:rPr>
            </w:pPr>
            <w:r>
              <w:rPr>
                <w:sz w:val="18"/>
              </w:rPr>
              <w:t>Finance</w:t>
            </w:r>
            <w:r>
              <w:rPr>
                <w:spacing w:val="-1"/>
                <w:sz w:val="18"/>
              </w:rPr>
              <w:t> </w:t>
            </w:r>
            <w:r>
              <w:rPr>
                <w:spacing w:val="-2"/>
                <w:sz w:val="18"/>
              </w:rPr>
              <w:t>leases</w:t>
            </w:r>
          </w:p>
        </w:tc>
        <w:tc>
          <w:tcPr>
            <w:tcW w:w="1539" w:type="dxa"/>
          </w:tcPr>
          <w:p>
            <w:pPr>
              <w:pStyle w:val="TableParagraph"/>
              <w:ind w:right="21"/>
              <w:jc w:val="right"/>
              <w:rPr>
                <w:sz w:val="18"/>
              </w:rPr>
            </w:pPr>
            <w:r>
              <w:rPr>
                <w:spacing w:val="-5"/>
                <w:sz w:val="18"/>
              </w:rPr>
              <w:t>14</w:t>
            </w:r>
          </w:p>
        </w:tc>
        <w:tc>
          <w:tcPr>
            <w:tcW w:w="1647" w:type="dxa"/>
          </w:tcPr>
          <w:p>
            <w:pPr>
              <w:pStyle w:val="TableParagraph"/>
              <w:ind w:right="15"/>
              <w:jc w:val="right"/>
              <w:rPr>
                <w:sz w:val="18"/>
              </w:rPr>
            </w:pPr>
            <w:r>
              <w:rPr>
                <w:spacing w:val="-10"/>
                <w:sz w:val="18"/>
              </w:rPr>
              <w:t>2</w:t>
            </w:r>
          </w:p>
        </w:tc>
      </w:tr>
      <w:tr>
        <w:trPr>
          <w:trHeight w:val="256" w:hRule="atLeast"/>
        </w:trPr>
        <w:tc>
          <w:tcPr>
            <w:tcW w:w="8329" w:type="dxa"/>
            <w:shd w:val="clear" w:color="auto" w:fill="CFF0FB"/>
          </w:tcPr>
          <w:p>
            <w:pPr>
              <w:pStyle w:val="TableParagraph"/>
              <w:spacing w:before="0"/>
              <w:rPr>
                <w:sz w:val="16"/>
              </w:rPr>
            </w:pPr>
          </w:p>
        </w:tc>
        <w:tc>
          <w:tcPr>
            <w:tcW w:w="1539" w:type="dxa"/>
            <w:shd w:val="clear" w:color="auto" w:fill="CFF0FB"/>
          </w:tcPr>
          <w:p>
            <w:pPr>
              <w:pStyle w:val="TableParagraph"/>
              <w:spacing w:before="0"/>
              <w:rPr>
                <w:sz w:val="16"/>
              </w:rPr>
            </w:pPr>
          </w:p>
        </w:tc>
        <w:tc>
          <w:tcPr>
            <w:tcW w:w="1647" w:type="dxa"/>
            <w:shd w:val="clear" w:color="auto" w:fill="CFF0FB"/>
          </w:tcPr>
          <w:p>
            <w:pPr>
              <w:pStyle w:val="TableParagraph"/>
              <w:spacing w:before="0"/>
              <w:rPr>
                <w:sz w:val="16"/>
              </w:rPr>
            </w:pPr>
          </w:p>
        </w:tc>
      </w:tr>
      <w:tr>
        <w:trPr>
          <w:trHeight w:val="269" w:hRule="atLeast"/>
        </w:trPr>
        <w:tc>
          <w:tcPr>
            <w:tcW w:w="8329" w:type="dxa"/>
          </w:tcPr>
          <w:p>
            <w:pPr>
              <w:pStyle w:val="TableParagraph"/>
              <w:ind w:left="17"/>
              <w:rPr>
                <w:sz w:val="18"/>
              </w:rPr>
            </w:pPr>
            <w:r>
              <w:rPr>
                <w:sz w:val="18"/>
              </w:rPr>
              <w:t>Weighted</w:t>
            </w:r>
            <w:r>
              <w:rPr>
                <w:spacing w:val="-5"/>
                <w:sz w:val="18"/>
              </w:rPr>
              <w:t> </w:t>
            </w:r>
            <w:r>
              <w:rPr>
                <w:sz w:val="18"/>
              </w:rPr>
              <w:t>average</w:t>
            </w:r>
            <w:r>
              <w:rPr>
                <w:spacing w:val="-5"/>
                <w:sz w:val="18"/>
              </w:rPr>
              <w:t> </w:t>
            </w:r>
            <w:r>
              <w:rPr>
                <w:sz w:val="18"/>
              </w:rPr>
              <w:t>discount</w:t>
            </w:r>
            <w:r>
              <w:rPr>
                <w:spacing w:val="-5"/>
                <w:sz w:val="18"/>
              </w:rPr>
              <w:t> </w:t>
            </w:r>
            <w:r>
              <w:rPr>
                <w:sz w:val="18"/>
              </w:rPr>
              <w:t>rate</w:t>
            </w:r>
            <w:r>
              <w:rPr>
                <w:spacing w:val="-4"/>
                <w:sz w:val="18"/>
              </w:rPr>
              <w:t> </w:t>
            </w:r>
            <w:r>
              <w:rPr>
                <w:spacing w:val="-5"/>
                <w:sz w:val="18"/>
              </w:rPr>
              <w:t>(%)</w:t>
            </w:r>
          </w:p>
        </w:tc>
        <w:tc>
          <w:tcPr>
            <w:tcW w:w="1539" w:type="dxa"/>
          </w:tcPr>
          <w:p>
            <w:pPr>
              <w:pStyle w:val="TableParagraph"/>
              <w:spacing w:before="0"/>
              <w:rPr>
                <w:sz w:val="16"/>
              </w:rPr>
            </w:pPr>
          </w:p>
        </w:tc>
        <w:tc>
          <w:tcPr>
            <w:tcW w:w="1647" w:type="dxa"/>
          </w:tcPr>
          <w:p>
            <w:pPr>
              <w:pStyle w:val="TableParagraph"/>
              <w:spacing w:before="0"/>
              <w:rPr>
                <w:sz w:val="16"/>
              </w:rPr>
            </w:pPr>
          </w:p>
        </w:tc>
      </w:tr>
      <w:tr>
        <w:trPr>
          <w:trHeight w:val="256" w:hRule="atLeast"/>
        </w:trPr>
        <w:tc>
          <w:tcPr>
            <w:tcW w:w="8329" w:type="dxa"/>
            <w:shd w:val="clear" w:color="auto" w:fill="CFF0FB"/>
          </w:tcPr>
          <w:p>
            <w:pPr>
              <w:pStyle w:val="TableParagraph"/>
              <w:ind w:left="93"/>
              <w:rPr>
                <w:sz w:val="18"/>
              </w:rPr>
            </w:pPr>
            <w:r>
              <w:rPr>
                <w:sz w:val="18"/>
              </w:rPr>
              <w:t>Operating</w:t>
            </w:r>
            <w:r>
              <w:rPr>
                <w:spacing w:val="-1"/>
                <w:sz w:val="18"/>
              </w:rPr>
              <w:t> </w:t>
            </w:r>
            <w:r>
              <w:rPr>
                <w:spacing w:val="-2"/>
                <w:sz w:val="18"/>
              </w:rPr>
              <w:t>leases</w:t>
            </w:r>
          </w:p>
        </w:tc>
        <w:tc>
          <w:tcPr>
            <w:tcW w:w="1539" w:type="dxa"/>
            <w:shd w:val="clear" w:color="auto" w:fill="CFF0FB"/>
          </w:tcPr>
          <w:p>
            <w:pPr>
              <w:pStyle w:val="TableParagraph"/>
              <w:ind w:right="81"/>
              <w:jc w:val="right"/>
              <w:rPr>
                <w:sz w:val="18"/>
              </w:rPr>
            </w:pPr>
            <w:r>
              <w:rPr>
                <w:spacing w:val="-10"/>
                <w:sz w:val="18"/>
              </w:rPr>
              <w:t>7</w:t>
            </w:r>
          </w:p>
        </w:tc>
        <w:tc>
          <w:tcPr>
            <w:tcW w:w="1647" w:type="dxa"/>
            <w:shd w:val="clear" w:color="auto" w:fill="CFF0FB"/>
          </w:tcPr>
          <w:p>
            <w:pPr>
              <w:pStyle w:val="TableParagraph"/>
              <w:ind w:right="76"/>
              <w:jc w:val="right"/>
              <w:rPr>
                <w:sz w:val="18"/>
              </w:rPr>
            </w:pPr>
            <w:r>
              <w:rPr>
                <w:spacing w:val="-10"/>
                <w:sz w:val="18"/>
              </w:rPr>
              <w:t>7</w:t>
            </w:r>
          </w:p>
        </w:tc>
      </w:tr>
      <w:tr>
        <w:trPr>
          <w:trHeight w:val="227" w:hRule="atLeast"/>
        </w:trPr>
        <w:tc>
          <w:tcPr>
            <w:tcW w:w="8329" w:type="dxa"/>
          </w:tcPr>
          <w:p>
            <w:pPr>
              <w:pStyle w:val="TableParagraph"/>
              <w:spacing w:line="187" w:lineRule="exact"/>
              <w:ind w:left="93"/>
              <w:rPr>
                <w:sz w:val="18"/>
              </w:rPr>
            </w:pPr>
            <w:r>
              <w:rPr>
                <w:sz w:val="18"/>
              </w:rPr>
              <w:t>Finance</w:t>
            </w:r>
            <w:r>
              <w:rPr>
                <w:spacing w:val="-1"/>
                <w:sz w:val="18"/>
              </w:rPr>
              <w:t> </w:t>
            </w:r>
            <w:r>
              <w:rPr>
                <w:spacing w:val="-2"/>
                <w:sz w:val="18"/>
              </w:rPr>
              <w:t>leases</w:t>
            </w:r>
          </w:p>
        </w:tc>
        <w:tc>
          <w:tcPr>
            <w:tcW w:w="1539" w:type="dxa"/>
          </w:tcPr>
          <w:p>
            <w:pPr>
              <w:pStyle w:val="TableParagraph"/>
              <w:spacing w:line="187" w:lineRule="exact"/>
              <w:ind w:right="81"/>
              <w:jc w:val="right"/>
              <w:rPr>
                <w:sz w:val="18"/>
              </w:rPr>
            </w:pPr>
            <w:r>
              <w:rPr>
                <w:spacing w:val="-10"/>
                <w:sz w:val="18"/>
              </w:rPr>
              <w:t>5</w:t>
            </w:r>
          </w:p>
        </w:tc>
        <w:tc>
          <w:tcPr>
            <w:tcW w:w="1647" w:type="dxa"/>
          </w:tcPr>
          <w:p>
            <w:pPr>
              <w:pStyle w:val="TableParagraph"/>
              <w:spacing w:line="187" w:lineRule="exact"/>
              <w:ind w:right="76"/>
              <w:jc w:val="right"/>
              <w:rPr>
                <w:sz w:val="18"/>
              </w:rPr>
            </w:pPr>
            <w:r>
              <w:rPr>
                <w:spacing w:val="-10"/>
                <w:sz w:val="18"/>
              </w:rPr>
              <w:t>3</w:t>
            </w:r>
          </w:p>
        </w:tc>
      </w:tr>
    </w:tbl>
    <w:p>
      <w:pPr>
        <w:pStyle w:val="ListParagraph"/>
        <w:numPr>
          <w:ilvl w:val="0"/>
          <w:numId w:val="13"/>
        </w:numPr>
        <w:tabs>
          <w:tab w:pos="467" w:val="left" w:leader="none"/>
        </w:tabs>
        <w:spacing w:line="240" w:lineRule="auto" w:before="119" w:after="0"/>
        <w:ind w:left="467" w:right="0" w:hanging="323"/>
        <w:jc w:val="left"/>
        <w:rPr>
          <w:sz w:val="14"/>
        </w:rPr>
      </w:pPr>
      <w:r>
        <w:rPr>
          <w:sz w:val="14"/>
        </w:rPr>
        <w:t>As</w:t>
      </w:r>
      <w:r>
        <w:rPr>
          <w:spacing w:val="6"/>
          <w:sz w:val="14"/>
        </w:rPr>
        <w:t> </w:t>
      </w:r>
      <w:r>
        <w:rPr>
          <w:sz w:val="14"/>
        </w:rPr>
        <w:t>of</w:t>
      </w:r>
      <w:r>
        <w:rPr>
          <w:spacing w:val="6"/>
          <w:sz w:val="14"/>
        </w:rPr>
        <w:t> </w:t>
      </w:r>
      <w:r>
        <w:rPr>
          <w:sz w:val="14"/>
        </w:rPr>
        <w:t>December</w:t>
      </w:r>
      <w:r>
        <w:rPr>
          <w:spacing w:val="6"/>
          <w:sz w:val="14"/>
        </w:rPr>
        <w:t> </w:t>
      </w:r>
      <w:r>
        <w:rPr>
          <w:sz w:val="14"/>
        </w:rPr>
        <w:t>31,</w:t>
      </w:r>
      <w:r>
        <w:rPr>
          <w:spacing w:val="6"/>
          <w:sz w:val="14"/>
        </w:rPr>
        <w:t> </w:t>
      </w:r>
      <w:r>
        <w:rPr>
          <w:sz w:val="14"/>
        </w:rPr>
        <w:t>2022</w:t>
      </w:r>
      <w:r>
        <w:rPr>
          <w:spacing w:val="7"/>
          <w:sz w:val="14"/>
        </w:rPr>
        <w:t> </w:t>
      </w:r>
      <w:r>
        <w:rPr>
          <w:sz w:val="14"/>
        </w:rPr>
        <w:t>and</w:t>
      </w:r>
      <w:r>
        <w:rPr>
          <w:spacing w:val="6"/>
          <w:sz w:val="14"/>
        </w:rPr>
        <w:t> </w:t>
      </w:r>
      <w:r>
        <w:rPr>
          <w:sz w:val="14"/>
        </w:rPr>
        <w:t>2021,</w:t>
      </w:r>
      <w:r>
        <w:rPr>
          <w:spacing w:val="6"/>
          <w:sz w:val="14"/>
        </w:rPr>
        <w:t> </w:t>
      </w:r>
      <w:r>
        <w:rPr>
          <w:sz w:val="14"/>
        </w:rPr>
        <w:t>operating</w:t>
      </w:r>
      <w:r>
        <w:rPr>
          <w:spacing w:val="6"/>
          <w:sz w:val="14"/>
        </w:rPr>
        <w:t> </w:t>
      </w:r>
      <w:r>
        <w:rPr>
          <w:sz w:val="14"/>
        </w:rPr>
        <w:t>lease</w:t>
      </w:r>
      <w:r>
        <w:rPr>
          <w:spacing w:val="7"/>
          <w:sz w:val="14"/>
        </w:rPr>
        <w:t> </w:t>
      </w:r>
      <w:r>
        <w:rPr>
          <w:sz w:val="14"/>
        </w:rPr>
        <w:t>right-of-use</w:t>
      </w:r>
      <w:r>
        <w:rPr>
          <w:spacing w:val="6"/>
          <w:sz w:val="14"/>
        </w:rPr>
        <w:t> </w:t>
      </w:r>
      <w:r>
        <w:rPr>
          <w:sz w:val="14"/>
        </w:rPr>
        <w:t>assets,</w:t>
      </w:r>
      <w:r>
        <w:rPr>
          <w:spacing w:val="6"/>
          <w:sz w:val="14"/>
        </w:rPr>
        <w:t> </w:t>
      </w:r>
      <w:r>
        <w:rPr>
          <w:sz w:val="14"/>
        </w:rPr>
        <w:t>net</w:t>
      </w:r>
      <w:r>
        <w:rPr>
          <w:spacing w:val="6"/>
          <w:sz w:val="14"/>
        </w:rPr>
        <w:t> </w:t>
      </w:r>
      <w:r>
        <w:rPr>
          <w:sz w:val="14"/>
        </w:rPr>
        <w:t>included</w:t>
      </w:r>
      <w:r>
        <w:rPr>
          <w:spacing w:val="7"/>
          <w:sz w:val="14"/>
        </w:rPr>
        <w:t> </w:t>
      </w:r>
      <w:r>
        <w:rPr>
          <w:sz w:val="14"/>
        </w:rPr>
        <w:t>$3.5</w:t>
      </w:r>
      <w:r>
        <w:rPr>
          <w:spacing w:val="6"/>
          <w:sz w:val="14"/>
        </w:rPr>
        <w:t> </w:t>
      </w:r>
      <w:r>
        <w:rPr>
          <w:sz w:val="14"/>
        </w:rPr>
        <w:t>billion</w:t>
      </w:r>
      <w:r>
        <w:rPr>
          <w:spacing w:val="6"/>
          <w:sz w:val="14"/>
        </w:rPr>
        <w:t> </w:t>
      </w:r>
      <w:r>
        <w:rPr>
          <w:sz w:val="14"/>
        </w:rPr>
        <w:t>and</w:t>
      </w:r>
      <w:r>
        <w:rPr>
          <w:spacing w:val="6"/>
          <w:sz w:val="14"/>
        </w:rPr>
        <w:t> </w:t>
      </w:r>
      <w:r>
        <w:rPr>
          <w:sz w:val="14"/>
        </w:rPr>
        <w:t>$3.6</w:t>
      </w:r>
      <w:r>
        <w:rPr>
          <w:spacing w:val="7"/>
          <w:sz w:val="14"/>
        </w:rPr>
        <w:t> </w:t>
      </w:r>
      <w:r>
        <w:rPr>
          <w:sz w:val="14"/>
        </w:rPr>
        <w:t>billion</w:t>
      </w:r>
      <w:r>
        <w:rPr>
          <w:spacing w:val="6"/>
          <w:sz w:val="14"/>
        </w:rPr>
        <w:t> </w:t>
      </w:r>
      <w:r>
        <w:rPr>
          <w:sz w:val="14"/>
        </w:rPr>
        <w:t>related</w:t>
      </w:r>
      <w:r>
        <w:rPr>
          <w:spacing w:val="6"/>
          <w:sz w:val="14"/>
        </w:rPr>
        <w:t> </w:t>
      </w:r>
      <w:r>
        <w:rPr>
          <w:sz w:val="14"/>
        </w:rPr>
        <w:t>to</w:t>
      </w:r>
      <w:r>
        <w:rPr>
          <w:spacing w:val="6"/>
          <w:sz w:val="14"/>
        </w:rPr>
        <w:t> </w:t>
      </w:r>
      <w:r>
        <w:rPr>
          <w:sz w:val="14"/>
        </w:rPr>
        <w:t>the</w:t>
      </w:r>
      <w:r>
        <w:rPr>
          <w:spacing w:val="7"/>
          <w:sz w:val="14"/>
        </w:rPr>
        <w:t> </w:t>
      </w:r>
      <w:r>
        <w:rPr>
          <w:sz w:val="14"/>
        </w:rPr>
        <w:t>Bellagio</w:t>
      </w:r>
      <w:r>
        <w:rPr>
          <w:spacing w:val="6"/>
          <w:sz w:val="14"/>
        </w:rPr>
        <w:t> </w:t>
      </w:r>
      <w:r>
        <w:rPr>
          <w:sz w:val="14"/>
        </w:rPr>
        <w:t>lease,</w:t>
      </w:r>
      <w:r>
        <w:rPr>
          <w:spacing w:val="6"/>
          <w:sz w:val="14"/>
        </w:rPr>
        <w:t> </w:t>
      </w:r>
      <w:r>
        <w:rPr>
          <w:spacing w:val="-2"/>
          <w:sz w:val="14"/>
        </w:rPr>
        <w:t>respectively.</w:t>
      </w:r>
    </w:p>
    <w:p>
      <w:pPr>
        <w:pStyle w:val="ListParagraph"/>
        <w:numPr>
          <w:ilvl w:val="0"/>
          <w:numId w:val="13"/>
        </w:numPr>
        <w:tabs>
          <w:tab w:pos="467" w:val="left" w:leader="none"/>
        </w:tabs>
        <w:spacing w:line="240" w:lineRule="auto" w:before="1" w:after="0"/>
        <w:ind w:left="467" w:right="0" w:hanging="323"/>
        <w:jc w:val="left"/>
        <w:rPr>
          <w:sz w:val="14"/>
        </w:rPr>
      </w:pPr>
      <w:r>
        <w:rPr>
          <w:sz w:val="14"/>
        </w:rPr>
        <w:t>As</w:t>
      </w:r>
      <w:r>
        <w:rPr>
          <w:spacing w:val="6"/>
          <w:sz w:val="14"/>
        </w:rPr>
        <w:t> </w:t>
      </w:r>
      <w:r>
        <w:rPr>
          <w:sz w:val="14"/>
        </w:rPr>
        <w:t>of</w:t>
      </w:r>
      <w:r>
        <w:rPr>
          <w:spacing w:val="6"/>
          <w:sz w:val="14"/>
        </w:rPr>
        <w:t> </w:t>
      </w:r>
      <w:r>
        <w:rPr>
          <w:sz w:val="14"/>
        </w:rPr>
        <w:t>December</w:t>
      </w:r>
      <w:r>
        <w:rPr>
          <w:spacing w:val="6"/>
          <w:sz w:val="14"/>
        </w:rPr>
        <w:t> </w:t>
      </w:r>
      <w:r>
        <w:rPr>
          <w:sz w:val="14"/>
        </w:rPr>
        <w:t>31,</w:t>
      </w:r>
      <w:r>
        <w:rPr>
          <w:spacing w:val="6"/>
          <w:sz w:val="14"/>
        </w:rPr>
        <w:t> </w:t>
      </w:r>
      <w:r>
        <w:rPr>
          <w:sz w:val="14"/>
        </w:rPr>
        <w:t>2022</w:t>
      </w:r>
      <w:r>
        <w:rPr>
          <w:spacing w:val="6"/>
          <w:sz w:val="14"/>
        </w:rPr>
        <w:t> </w:t>
      </w:r>
      <w:r>
        <w:rPr>
          <w:sz w:val="14"/>
        </w:rPr>
        <w:t>and</w:t>
      </w:r>
      <w:r>
        <w:rPr>
          <w:spacing w:val="6"/>
          <w:sz w:val="14"/>
        </w:rPr>
        <w:t> </w:t>
      </w:r>
      <w:r>
        <w:rPr>
          <w:sz w:val="14"/>
        </w:rPr>
        <w:t>2021,</w:t>
      </w:r>
      <w:r>
        <w:rPr>
          <w:spacing w:val="6"/>
          <w:sz w:val="14"/>
        </w:rPr>
        <w:t> </w:t>
      </w:r>
      <w:r>
        <w:rPr>
          <w:sz w:val="14"/>
        </w:rPr>
        <w:t>operating</w:t>
      </w:r>
      <w:r>
        <w:rPr>
          <w:spacing w:val="6"/>
          <w:sz w:val="14"/>
        </w:rPr>
        <w:t> </w:t>
      </w:r>
      <w:r>
        <w:rPr>
          <w:sz w:val="14"/>
        </w:rPr>
        <w:t>lease</w:t>
      </w:r>
      <w:r>
        <w:rPr>
          <w:spacing w:val="6"/>
          <w:sz w:val="14"/>
        </w:rPr>
        <w:t> </w:t>
      </w:r>
      <w:r>
        <w:rPr>
          <w:sz w:val="14"/>
        </w:rPr>
        <w:t>liabilities</w:t>
      </w:r>
      <w:r>
        <w:rPr>
          <w:spacing w:val="6"/>
          <w:sz w:val="14"/>
        </w:rPr>
        <w:t> </w:t>
      </w:r>
      <w:r>
        <w:rPr>
          <w:sz w:val="14"/>
        </w:rPr>
        <w:t>–</w:t>
      </w:r>
      <w:r>
        <w:rPr>
          <w:spacing w:val="6"/>
          <w:sz w:val="14"/>
        </w:rPr>
        <w:t> </w:t>
      </w:r>
      <w:r>
        <w:rPr>
          <w:sz w:val="14"/>
        </w:rPr>
        <w:t>long-term</w:t>
      </w:r>
      <w:r>
        <w:rPr>
          <w:spacing w:val="6"/>
          <w:sz w:val="14"/>
        </w:rPr>
        <w:t> </w:t>
      </w:r>
      <w:r>
        <w:rPr>
          <w:sz w:val="14"/>
        </w:rPr>
        <w:t>included</w:t>
      </w:r>
      <w:r>
        <w:rPr>
          <w:spacing w:val="6"/>
          <w:sz w:val="14"/>
        </w:rPr>
        <w:t> </w:t>
      </w:r>
      <w:r>
        <w:rPr>
          <w:sz w:val="14"/>
        </w:rPr>
        <w:t>$3.8</w:t>
      </w:r>
      <w:r>
        <w:rPr>
          <w:spacing w:val="6"/>
          <w:sz w:val="14"/>
        </w:rPr>
        <w:t> </w:t>
      </w:r>
      <w:r>
        <w:rPr>
          <w:sz w:val="14"/>
        </w:rPr>
        <w:t>billion</w:t>
      </w:r>
      <w:r>
        <w:rPr>
          <w:spacing w:val="6"/>
          <w:sz w:val="14"/>
        </w:rPr>
        <w:t> </w:t>
      </w:r>
      <w:r>
        <w:rPr>
          <w:sz w:val="14"/>
        </w:rPr>
        <w:t>related</w:t>
      </w:r>
      <w:r>
        <w:rPr>
          <w:spacing w:val="6"/>
          <w:sz w:val="14"/>
        </w:rPr>
        <w:t> </w:t>
      </w:r>
      <w:r>
        <w:rPr>
          <w:sz w:val="14"/>
        </w:rPr>
        <w:t>to</w:t>
      </w:r>
      <w:r>
        <w:rPr>
          <w:spacing w:val="6"/>
          <w:sz w:val="14"/>
        </w:rPr>
        <w:t> </w:t>
      </w:r>
      <w:r>
        <w:rPr>
          <w:sz w:val="14"/>
        </w:rPr>
        <w:t>the</w:t>
      </w:r>
      <w:r>
        <w:rPr>
          <w:spacing w:val="6"/>
          <w:sz w:val="14"/>
        </w:rPr>
        <w:t> </w:t>
      </w:r>
      <w:r>
        <w:rPr>
          <w:sz w:val="14"/>
        </w:rPr>
        <w:t>Bellagio</w:t>
      </w:r>
      <w:r>
        <w:rPr>
          <w:spacing w:val="6"/>
          <w:sz w:val="14"/>
        </w:rPr>
        <w:t> </w:t>
      </w:r>
      <w:r>
        <w:rPr>
          <w:sz w:val="14"/>
        </w:rPr>
        <w:t>lease</w:t>
      </w:r>
      <w:r>
        <w:rPr>
          <w:spacing w:val="6"/>
          <w:sz w:val="14"/>
        </w:rPr>
        <w:t> </w:t>
      </w:r>
      <w:r>
        <w:rPr>
          <w:sz w:val="14"/>
        </w:rPr>
        <w:t>for</w:t>
      </w:r>
      <w:r>
        <w:rPr>
          <w:spacing w:val="6"/>
          <w:sz w:val="14"/>
        </w:rPr>
        <w:t> </w:t>
      </w:r>
      <w:r>
        <w:rPr>
          <w:sz w:val="14"/>
        </w:rPr>
        <w:t>each</w:t>
      </w:r>
      <w:r>
        <w:rPr>
          <w:spacing w:val="6"/>
          <w:sz w:val="14"/>
        </w:rPr>
        <w:t> </w:t>
      </w:r>
      <w:r>
        <w:rPr>
          <w:sz w:val="14"/>
        </w:rPr>
        <w:t>of</w:t>
      </w:r>
      <w:r>
        <w:rPr>
          <w:spacing w:val="6"/>
          <w:sz w:val="14"/>
        </w:rPr>
        <w:t> </w:t>
      </w:r>
      <w:r>
        <w:rPr>
          <w:sz w:val="14"/>
        </w:rPr>
        <w:t>the</w:t>
      </w:r>
      <w:r>
        <w:rPr>
          <w:spacing w:val="7"/>
          <w:sz w:val="14"/>
        </w:rPr>
        <w:t> </w:t>
      </w:r>
      <w:r>
        <w:rPr>
          <w:sz w:val="14"/>
        </w:rPr>
        <w:t>respective</w:t>
      </w:r>
      <w:r>
        <w:rPr>
          <w:spacing w:val="6"/>
          <w:sz w:val="14"/>
        </w:rPr>
        <w:t> </w:t>
      </w:r>
      <w:r>
        <w:rPr>
          <w:spacing w:val="-2"/>
          <w:sz w:val="14"/>
        </w:rPr>
        <w:t>periods.</w:t>
      </w:r>
    </w:p>
    <w:p>
      <w:pPr>
        <w:pStyle w:val="BodyText"/>
        <w:spacing w:before="67"/>
      </w:pPr>
    </w:p>
    <w:p>
      <w:pPr>
        <w:pStyle w:val="Heading5"/>
        <w:ind w:left="6751"/>
      </w:pPr>
      <w:r>
        <w:rPr/>
        <mc:AlternateContent>
          <mc:Choice Requires="wps">
            <w:drawing>
              <wp:anchor distT="0" distB="0" distL="0" distR="0" allowOverlap="1" layoutInCell="1" locked="0" behindDoc="1" simplePos="0" relativeHeight="487708160">
                <wp:simplePos x="0" y="0"/>
                <wp:positionH relativeFrom="page">
                  <wp:posOffset>4500550</wp:posOffset>
                </wp:positionH>
                <wp:positionV relativeFrom="paragraph">
                  <wp:posOffset>149716</wp:posOffset>
                </wp:positionV>
                <wp:extent cx="3043555" cy="17145"/>
                <wp:effectExtent l="0" t="0" r="0" b="0"/>
                <wp:wrapTopAndBottom/>
                <wp:docPr id="597" name="Graphic 597"/>
                <wp:cNvGraphicFramePr>
                  <a:graphicFrameLocks/>
                </wp:cNvGraphicFramePr>
                <a:graphic>
                  <a:graphicData uri="http://schemas.microsoft.com/office/word/2010/wordprocessingShape">
                    <wps:wsp>
                      <wps:cNvPr id="597" name="Graphic 597"/>
                      <wps:cNvSpPr/>
                      <wps:spPr>
                        <a:xfrm>
                          <a:off x="0" y="0"/>
                          <a:ext cx="3043555" cy="17145"/>
                        </a:xfrm>
                        <a:custGeom>
                          <a:avLst/>
                          <a:gdLst/>
                          <a:ahLst/>
                          <a:cxnLst/>
                          <a:rect l="l" t="t" r="r" b="b"/>
                          <a:pathLst>
                            <a:path w="3043555" h="17145">
                              <a:moveTo>
                                <a:pt x="3043237" y="0"/>
                              </a:moveTo>
                              <a:lnTo>
                                <a:pt x="3043237" y="0"/>
                              </a:lnTo>
                              <a:lnTo>
                                <a:pt x="0" y="0"/>
                              </a:lnTo>
                              <a:lnTo>
                                <a:pt x="0" y="17145"/>
                              </a:lnTo>
                              <a:lnTo>
                                <a:pt x="3043237" y="17145"/>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1.788694pt;width:239.625011pt;height:1.35pt;mso-position-horizontal-relative:page;mso-position-vertical-relative:paragraph;z-index:-15608320;mso-wrap-distance-left:0;mso-wrap-distance-right:0" id="docshape595"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91" w:val="left" w:leader="none"/>
          <w:tab w:pos="10015" w:val="left" w:leader="none"/>
        </w:tabs>
        <w:spacing w:before="21" w:after="35"/>
        <w:ind w:left="6751"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9"/>
        <w:gridCol w:w="2733"/>
        <w:gridCol w:w="1631"/>
        <w:gridCol w:w="1601"/>
      </w:tblGrid>
      <w:tr>
        <w:trPr>
          <w:trHeight w:val="242" w:hRule="atLeast"/>
        </w:trPr>
        <w:tc>
          <w:tcPr>
            <w:tcW w:w="11514" w:type="dxa"/>
            <w:gridSpan w:val="4"/>
            <w:tcBorders>
              <w:top w:val="single" w:sz="6" w:space="0" w:color="000000"/>
            </w:tcBorders>
            <w:shd w:val="clear" w:color="auto" w:fill="CFF0FB"/>
          </w:tcPr>
          <w:p>
            <w:pPr>
              <w:pStyle w:val="TableParagraph"/>
              <w:tabs>
                <w:tab w:pos="8628" w:val="left" w:leader="none"/>
              </w:tabs>
              <w:spacing w:before="6"/>
              <w:ind w:left="17"/>
              <w:rPr>
                <w:b/>
                <w:i/>
                <w:sz w:val="16"/>
              </w:rPr>
            </w:pPr>
            <w:r>
              <w:rPr>
                <w:b/>
                <w:sz w:val="18"/>
              </w:rPr>
              <w:t>Cash</w:t>
            </w:r>
            <w:r>
              <w:rPr>
                <w:b/>
                <w:spacing w:val="-2"/>
                <w:sz w:val="18"/>
              </w:rPr>
              <w:t> </w:t>
            </w:r>
            <w:r>
              <w:rPr>
                <w:b/>
                <w:sz w:val="18"/>
              </w:rPr>
              <w:t>paid</w:t>
            </w:r>
            <w:r>
              <w:rPr>
                <w:b/>
                <w:spacing w:val="-1"/>
                <w:sz w:val="18"/>
              </w:rPr>
              <w:t> </w:t>
            </w:r>
            <w:r>
              <w:rPr>
                <w:b/>
                <w:sz w:val="18"/>
              </w:rPr>
              <w:t>for</w:t>
            </w:r>
            <w:r>
              <w:rPr>
                <w:b/>
                <w:spacing w:val="-5"/>
                <w:sz w:val="18"/>
              </w:rPr>
              <w:t> </w:t>
            </w:r>
            <w:r>
              <w:rPr>
                <w:b/>
                <w:sz w:val="18"/>
              </w:rPr>
              <w:t>amounts</w:t>
            </w:r>
            <w:r>
              <w:rPr>
                <w:b/>
                <w:spacing w:val="-1"/>
                <w:sz w:val="18"/>
              </w:rPr>
              <w:t> </w:t>
            </w:r>
            <w:r>
              <w:rPr>
                <w:b/>
                <w:sz w:val="18"/>
              </w:rPr>
              <w:t>included</w:t>
            </w:r>
            <w:r>
              <w:rPr>
                <w:b/>
                <w:spacing w:val="-1"/>
                <w:sz w:val="18"/>
              </w:rPr>
              <w:t> </w:t>
            </w:r>
            <w:r>
              <w:rPr>
                <w:b/>
                <w:sz w:val="18"/>
              </w:rPr>
              <w:t>in</w:t>
            </w:r>
            <w:r>
              <w:rPr>
                <w:b/>
                <w:spacing w:val="-2"/>
                <w:sz w:val="18"/>
              </w:rPr>
              <w:t> </w:t>
            </w:r>
            <w:r>
              <w:rPr>
                <w:b/>
                <w:sz w:val="18"/>
              </w:rPr>
              <w:t>the</w:t>
            </w:r>
            <w:r>
              <w:rPr>
                <w:b/>
                <w:spacing w:val="-1"/>
                <w:sz w:val="18"/>
              </w:rPr>
              <w:t> </w:t>
            </w:r>
            <w:r>
              <w:rPr>
                <w:b/>
                <w:sz w:val="18"/>
              </w:rPr>
              <w:t>measurement</w:t>
            </w:r>
            <w:r>
              <w:rPr>
                <w:b/>
                <w:spacing w:val="-2"/>
                <w:sz w:val="18"/>
              </w:rPr>
              <w:t> </w:t>
            </w:r>
            <w:r>
              <w:rPr>
                <w:b/>
                <w:sz w:val="18"/>
              </w:rPr>
              <w:t>of</w:t>
            </w:r>
            <w:r>
              <w:rPr>
                <w:b/>
                <w:spacing w:val="-1"/>
                <w:sz w:val="18"/>
              </w:rPr>
              <w:t> </w:t>
            </w:r>
            <w:r>
              <w:rPr>
                <w:b/>
                <w:sz w:val="18"/>
              </w:rPr>
              <w:t>lease</w:t>
            </w:r>
            <w:r>
              <w:rPr>
                <w:b/>
                <w:spacing w:val="-1"/>
                <w:sz w:val="18"/>
              </w:rPr>
              <w:t> </w:t>
            </w:r>
            <w:r>
              <w:rPr>
                <w:b/>
                <w:spacing w:val="-2"/>
                <w:sz w:val="18"/>
              </w:rPr>
              <w:t>liabilities</w:t>
            </w:r>
            <w:r>
              <w:rPr>
                <w:b/>
                <w:sz w:val="18"/>
              </w:rPr>
              <w:tab/>
            </w:r>
            <w:r>
              <w:rPr>
                <w:b/>
                <w:i/>
                <w:sz w:val="16"/>
              </w:rPr>
              <w:t>(In</w:t>
            </w:r>
            <w:r>
              <w:rPr>
                <w:b/>
                <w:i/>
                <w:spacing w:val="2"/>
                <w:sz w:val="16"/>
              </w:rPr>
              <w:t> </w:t>
            </w:r>
            <w:r>
              <w:rPr>
                <w:b/>
                <w:i/>
                <w:spacing w:val="-2"/>
                <w:sz w:val="16"/>
              </w:rPr>
              <w:t>thousands)</w:t>
            </w:r>
          </w:p>
        </w:tc>
      </w:tr>
      <w:tr>
        <w:trPr>
          <w:trHeight w:val="269" w:hRule="atLeast"/>
        </w:trPr>
        <w:tc>
          <w:tcPr>
            <w:tcW w:w="5549" w:type="dxa"/>
          </w:tcPr>
          <w:p>
            <w:pPr>
              <w:pStyle w:val="TableParagraph"/>
              <w:ind w:left="93"/>
              <w:rPr>
                <w:sz w:val="18"/>
              </w:rPr>
            </w:pPr>
            <w:r>
              <w:rPr>
                <w:sz w:val="18"/>
              </w:rPr>
              <w:t>Operating</w:t>
            </w:r>
            <w:r>
              <w:rPr>
                <w:spacing w:val="-1"/>
                <w:sz w:val="18"/>
              </w:rPr>
              <w:t> </w:t>
            </w:r>
            <w:r>
              <w:rPr>
                <w:sz w:val="18"/>
              </w:rPr>
              <w:t>cash</w:t>
            </w:r>
            <w:r>
              <w:rPr>
                <w:spacing w:val="-1"/>
                <w:sz w:val="18"/>
              </w:rPr>
              <w:t> </w:t>
            </w:r>
            <w:r>
              <w:rPr>
                <w:sz w:val="18"/>
              </w:rPr>
              <w:t>outflows</w:t>
            </w:r>
            <w:r>
              <w:rPr>
                <w:spacing w:val="-1"/>
                <w:sz w:val="18"/>
              </w:rPr>
              <w:t> </w:t>
            </w:r>
            <w:r>
              <w:rPr>
                <w:sz w:val="18"/>
              </w:rPr>
              <w:t>from</w:t>
            </w:r>
            <w:r>
              <w:rPr>
                <w:spacing w:val="-1"/>
                <w:sz w:val="18"/>
              </w:rPr>
              <w:t> </w:t>
            </w:r>
            <w:r>
              <w:rPr>
                <w:sz w:val="18"/>
              </w:rPr>
              <w:t>operating</w:t>
            </w:r>
            <w:r>
              <w:rPr>
                <w:spacing w:val="-1"/>
                <w:sz w:val="18"/>
              </w:rPr>
              <w:t> </w:t>
            </w:r>
            <w:r>
              <w:rPr>
                <w:spacing w:val="-2"/>
                <w:sz w:val="18"/>
              </w:rPr>
              <w:t>leases</w:t>
            </w:r>
          </w:p>
        </w:tc>
        <w:tc>
          <w:tcPr>
            <w:tcW w:w="2733" w:type="dxa"/>
          </w:tcPr>
          <w:p>
            <w:pPr>
              <w:pStyle w:val="TableParagraph"/>
              <w:tabs>
                <w:tab w:pos="714" w:val="left" w:leader="none"/>
              </w:tabs>
              <w:ind w:right="101"/>
              <w:jc w:val="right"/>
              <w:rPr>
                <w:sz w:val="18"/>
              </w:rPr>
            </w:pPr>
            <w:r>
              <w:rPr>
                <w:spacing w:val="-10"/>
                <w:sz w:val="18"/>
              </w:rPr>
              <w:t>$</w:t>
            </w:r>
            <w:r>
              <w:rPr>
                <w:sz w:val="18"/>
              </w:rPr>
              <w:tab/>
            </w:r>
            <w:r>
              <w:rPr>
                <w:spacing w:val="-2"/>
                <w:sz w:val="18"/>
              </w:rPr>
              <w:t>1,535,637</w:t>
            </w:r>
          </w:p>
        </w:tc>
        <w:tc>
          <w:tcPr>
            <w:tcW w:w="1631" w:type="dxa"/>
          </w:tcPr>
          <w:p>
            <w:pPr>
              <w:pStyle w:val="TableParagraph"/>
              <w:tabs>
                <w:tab w:pos="847" w:val="left" w:leader="none"/>
              </w:tabs>
              <w:ind w:right="91"/>
              <w:jc w:val="right"/>
              <w:rPr>
                <w:sz w:val="18"/>
              </w:rPr>
            </w:pPr>
            <w:r>
              <w:rPr>
                <w:spacing w:val="-10"/>
                <w:sz w:val="18"/>
              </w:rPr>
              <w:t>$</w:t>
            </w:r>
            <w:r>
              <w:rPr>
                <w:sz w:val="18"/>
              </w:rPr>
              <w:tab/>
            </w:r>
            <w:r>
              <w:rPr>
                <w:spacing w:val="-2"/>
                <w:sz w:val="18"/>
              </w:rPr>
              <w:t>669,681</w:t>
            </w:r>
          </w:p>
        </w:tc>
        <w:tc>
          <w:tcPr>
            <w:tcW w:w="1601" w:type="dxa"/>
          </w:tcPr>
          <w:p>
            <w:pPr>
              <w:pStyle w:val="TableParagraph"/>
              <w:tabs>
                <w:tab w:pos="848" w:val="left" w:leader="none"/>
              </w:tabs>
              <w:ind w:right="69"/>
              <w:jc w:val="right"/>
              <w:rPr>
                <w:sz w:val="18"/>
              </w:rPr>
            </w:pPr>
            <w:r>
              <w:rPr>
                <w:spacing w:val="-10"/>
                <w:sz w:val="18"/>
              </w:rPr>
              <w:t>$</w:t>
            </w:r>
            <w:r>
              <w:rPr>
                <w:sz w:val="18"/>
              </w:rPr>
              <w:tab/>
            </w:r>
            <w:r>
              <w:rPr>
                <w:spacing w:val="-2"/>
                <w:sz w:val="18"/>
              </w:rPr>
              <w:t>572,186</w:t>
            </w:r>
          </w:p>
        </w:tc>
      </w:tr>
      <w:tr>
        <w:trPr>
          <w:trHeight w:val="252" w:hRule="atLeast"/>
        </w:trPr>
        <w:tc>
          <w:tcPr>
            <w:tcW w:w="5549" w:type="dxa"/>
            <w:shd w:val="clear" w:color="auto" w:fill="CFF0FB"/>
          </w:tcPr>
          <w:p>
            <w:pPr>
              <w:pStyle w:val="TableParagraph"/>
              <w:ind w:left="93"/>
              <w:rPr>
                <w:sz w:val="18"/>
              </w:rPr>
            </w:pPr>
            <w:r>
              <w:rPr>
                <w:sz w:val="18"/>
              </w:rPr>
              <w:t>Operating</w:t>
            </w:r>
            <w:r>
              <w:rPr>
                <w:spacing w:val="-1"/>
                <w:sz w:val="18"/>
              </w:rPr>
              <w:t> </w:t>
            </w:r>
            <w:r>
              <w:rPr>
                <w:sz w:val="18"/>
              </w:rPr>
              <w:t>cash</w:t>
            </w:r>
            <w:r>
              <w:rPr>
                <w:spacing w:val="-1"/>
                <w:sz w:val="18"/>
              </w:rPr>
              <w:t> </w:t>
            </w:r>
            <w:r>
              <w:rPr>
                <w:sz w:val="18"/>
              </w:rPr>
              <w:t>outflows</w:t>
            </w:r>
            <w:r>
              <w:rPr>
                <w:spacing w:val="-1"/>
                <w:sz w:val="18"/>
              </w:rPr>
              <w:t> </w:t>
            </w:r>
            <w:r>
              <w:rPr>
                <w:sz w:val="18"/>
              </w:rPr>
              <w:t>from</w:t>
            </w:r>
            <w:r>
              <w:rPr>
                <w:spacing w:val="-1"/>
                <w:sz w:val="18"/>
              </w:rPr>
              <w:t> </w:t>
            </w:r>
            <w:r>
              <w:rPr>
                <w:sz w:val="18"/>
              </w:rPr>
              <w:t>finance</w:t>
            </w:r>
            <w:r>
              <w:rPr>
                <w:spacing w:val="-1"/>
                <w:sz w:val="18"/>
              </w:rPr>
              <w:t> </w:t>
            </w:r>
            <w:r>
              <w:rPr>
                <w:spacing w:val="-2"/>
                <w:sz w:val="18"/>
              </w:rPr>
              <w:t>leases</w:t>
            </w:r>
          </w:p>
        </w:tc>
        <w:tc>
          <w:tcPr>
            <w:tcW w:w="2733" w:type="dxa"/>
            <w:shd w:val="clear" w:color="auto" w:fill="CFF0FB"/>
          </w:tcPr>
          <w:p>
            <w:pPr>
              <w:pStyle w:val="TableParagraph"/>
              <w:ind w:right="101"/>
              <w:jc w:val="right"/>
              <w:rPr>
                <w:sz w:val="18"/>
              </w:rPr>
            </w:pPr>
            <w:r>
              <w:rPr>
                <w:spacing w:val="-2"/>
                <w:sz w:val="18"/>
              </w:rPr>
              <w:t>6,654</w:t>
            </w:r>
          </w:p>
        </w:tc>
        <w:tc>
          <w:tcPr>
            <w:tcW w:w="1631" w:type="dxa"/>
            <w:shd w:val="clear" w:color="auto" w:fill="CFF0FB"/>
          </w:tcPr>
          <w:p>
            <w:pPr>
              <w:pStyle w:val="TableParagraph"/>
              <w:ind w:right="91"/>
              <w:jc w:val="right"/>
              <w:rPr>
                <w:sz w:val="18"/>
              </w:rPr>
            </w:pPr>
            <w:r>
              <w:rPr>
                <w:spacing w:val="-2"/>
                <w:sz w:val="18"/>
              </w:rPr>
              <w:t>4,761</w:t>
            </w:r>
          </w:p>
        </w:tc>
        <w:tc>
          <w:tcPr>
            <w:tcW w:w="1601" w:type="dxa"/>
            <w:shd w:val="clear" w:color="auto" w:fill="CFF0FB"/>
          </w:tcPr>
          <w:p>
            <w:pPr>
              <w:pStyle w:val="TableParagraph"/>
              <w:ind w:right="69"/>
              <w:jc w:val="right"/>
              <w:rPr>
                <w:sz w:val="18"/>
              </w:rPr>
            </w:pPr>
            <w:r>
              <w:rPr>
                <w:spacing w:val="-2"/>
                <w:sz w:val="18"/>
              </w:rPr>
              <w:t>2,956</w:t>
            </w:r>
          </w:p>
        </w:tc>
      </w:tr>
      <w:tr>
        <w:trPr>
          <w:trHeight w:val="273" w:hRule="atLeast"/>
        </w:trPr>
        <w:tc>
          <w:tcPr>
            <w:tcW w:w="5549" w:type="dxa"/>
          </w:tcPr>
          <w:p>
            <w:pPr>
              <w:pStyle w:val="TableParagraph"/>
              <w:spacing w:line="241" w:lineRule="exact" w:before="0"/>
              <w:ind w:left="93"/>
              <w:rPr>
                <w:sz w:val="14"/>
              </w:rPr>
            </w:pPr>
            <w:r>
              <w:rPr>
                <w:sz w:val="18"/>
              </w:rPr>
              <w:t>Financing</w:t>
            </w:r>
            <w:r>
              <w:rPr>
                <w:spacing w:val="-1"/>
                <w:sz w:val="18"/>
              </w:rPr>
              <w:t> </w:t>
            </w:r>
            <w:r>
              <w:rPr>
                <w:sz w:val="18"/>
              </w:rPr>
              <w:t>cash</w:t>
            </w:r>
            <w:r>
              <w:rPr>
                <w:spacing w:val="-1"/>
                <w:sz w:val="18"/>
              </w:rPr>
              <w:t> </w:t>
            </w:r>
            <w:r>
              <w:rPr>
                <w:sz w:val="18"/>
              </w:rPr>
              <w:t>outflows</w:t>
            </w:r>
            <w:r>
              <w:rPr>
                <w:spacing w:val="-1"/>
                <w:sz w:val="18"/>
              </w:rPr>
              <w:t> </w:t>
            </w:r>
            <w:r>
              <w:rPr>
                <w:sz w:val="18"/>
              </w:rPr>
              <w:t>from</w:t>
            </w:r>
            <w:r>
              <w:rPr>
                <w:spacing w:val="-1"/>
                <w:sz w:val="18"/>
              </w:rPr>
              <w:t> </w:t>
            </w:r>
            <w:r>
              <w:rPr>
                <w:sz w:val="18"/>
              </w:rPr>
              <w:t>finance</w:t>
            </w:r>
            <w:r>
              <w:rPr>
                <w:spacing w:val="-1"/>
                <w:sz w:val="18"/>
              </w:rPr>
              <w:t> </w:t>
            </w:r>
            <w:r>
              <w:rPr>
                <w:spacing w:val="-2"/>
                <w:sz w:val="18"/>
              </w:rPr>
              <w:t>leases</w:t>
            </w:r>
            <w:r>
              <w:rPr>
                <w:spacing w:val="-2"/>
                <w:position w:val="8"/>
                <w:sz w:val="14"/>
              </w:rPr>
              <w:t>(1)</w:t>
            </w:r>
          </w:p>
        </w:tc>
        <w:tc>
          <w:tcPr>
            <w:tcW w:w="2733" w:type="dxa"/>
          </w:tcPr>
          <w:p>
            <w:pPr>
              <w:pStyle w:val="TableParagraph"/>
              <w:spacing w:before="34"/>
              <w:ind w:right="101"/>
              <w:jc w:val="right"/>
              <w:rPr>
                <w:sz w:val="18"/>
              </w:rPr>
            </w:pPr>
            <w:r>
              <w:rPr>
                <w:spacing w:val="-2"/>
                <w:sz w:val="18"/>
              </w:rPr>
              <w:t>84,139</w:t>
            </w:r>
          </w:p>
        </w:tc>
        <w:tc>
          <w:tcPr>
            <w:tcW w:w="1631" w:type="dxa"/>
          </w:tcPr>
          <w:p>
            <w:pPr>
              <w:pStyle w:val="TableParagraph"/>
              <w:spacing w:before="34"/>
              <w:ind w:right="92"/>
              <w:jc w:val="right"/>
              <w:rPr>
                <w:sz w:val="18"/>
              </w:rPr>
            </w:pPr>
            <w:r>
              <w:rPr>
                <w:spacing w:val="-2"/>
                <w:sz w:val="18"/>
              </w:rPr>
              <w:t>73,257</w:t>
            </w:r>
          </w:p>
        </w:tc>
        <w:tc>
          <w:tcPr>
            <w:tcW w:w="1601" w:type="dxa"/>
          </w:tcPr>
          <w:p>
            <w:pPr>
              <w:pStyle w:val="TableParagraph"/>
              <w:spacing w:before="34"/>
              <w:ind w:right="69"/>
              <w:jc w:val="right"/>
              <w:rPr>
                <w:sz w:val="18"/>
              </w:rPr>
            </w:pPr>
            <w:r>
              <w:rPr>
                <w:spacing w:val="-2"/>
                <w:sz w:val="18"/>
              </w:rPr>
              <w:t>34,494</w:t>
            </w:r>
          </w:p>
        </w:tc>
      </w:tr>
      <w:tr>
        <w:trPr>
          <w:trHeight w:val="256" w:hRule="atLeast"/>
        </w:trPr>
        <w:tc>
          <w:tcPr>
            <w:tcW w:w="5549" w:type="dxa"/>
            <w:shd w:val="clear" w:color="auto" w:fill="CFF0FB"/>
          </w:tcPr>
          <w:p>
            <w:pPr>
              <w:pStyle w:val="TableParagraph"/>
              <w:spacing w:before="0"/>
              <w:rPr>
                <w:sz w:val="16"/>
              </w:rPr>
            </w:pPr>
          </w:p>
        </w:tc>
        <w:tc>
          <w:tcPr>
            <w:tcW w:w="2733" w:type="dxa"/>
            <w:shd w:val="clear" w:color="auto" w:fill="CFF0FB"/>
          </w:tcPr>
          <w:p>
            <w:pPr>
              <w:pStyle w:val="TableParagraph"/>
              <w:spacing w:before="0"/>
              <w:rPr>
                <w:sz w:val="16"/>
              </w:rPr>
            </w:pPr>
          </w:p>
        </w:tc>
        <w:tc>
          <w:tcPr>
            <w:tcW w:w="1631" w:type="dxa"/>
            <w:shd w:val="clear" w:color="auto" w:fill="CFF0FB"/>
          </w:tcPr>
          <w:p>
            <w:pPr>
              <w:pStyle w:val="TableParagraph"/>
              <w:spacing w:before="0"/>
              <w:rPr>
                <w:sz w:val="16"/>
              </w:rPr>
            </w:pPr>
          </w:p>
        </w:tc>
        <w:tc>
          <w:tcPr>
            <w:tcW w:w="1601" w:type="dxa"/>
            <w:shd w:val="clear" w:color="auto" w:fill="CFF0FB"/>
          </w:tcPr>
          <w:p>
            <w:pPr>
              <w:pStyle w:val="TableParagraph"/>
              <w:spacing w:before="0"/>
              <w:rPr>
                <w:sz w:val="16"/>
              </w:rPr>
            </w:pPr>
          </w:p>
        </w:tc>
      </w:tr>
      <w:tr>
        <w:trPr>
          <w:trHeight w:val="269" w:hRule="atLeast"/>
        </w:trPr>
        <w:tc>
          <w:tcPr>
            <w:tcW w:w="5549" w:type="dxa"/>
          </w:tcPr>
          <w:p>
            <w:pPr>
              <w:pStyle w:val="TableParagraph"/>
              <w:ind w:left="17"/>
              <w:rPr>
                <w:b/>
                <w:sz w:val="18"/>
              </w:rPr>
            </w:pPr>
            <w:r>
              <w:rPr>
                <w:b/>
                <w:sz w:val="18"/>
              </w:rPr>
              <w:t>ROU</w:t>
            </w:r>
            <w:r>
              <w:rPr>
                <w:b/>
                <w:spacing w:val="-1"/>
                <w:sz w:val="18"/>
              </w:rPr>
              <w:t> </w:t>
            </w:r>
            <w:r>
              <w:rPr>
                <w:b/>
                <w:sz w:val="18"/>
              </w:rPr>
              <w:t>assets</w:t>
            </w:r>
            <w:r>
              <w:rPr>
                <w:b/>
                <w:spacing w:val="-1"/>
                <w:sz w:val="18"/>
              </w:rPr>
              <w:t> </w:t>
            </w:r>
            <w:r>
              <w:rPr>
                <w:b/>
                <w:sz w:val="18"/>
              </w:rPr>
              <w:t>obtained</w:t>
            </w:r>
            <w:r>
              <w:rPr>
                <w:b/>
                <w:spacing w:val="-1"/>
                <w:sz w:val="18"/>
              </w:rPr>
              <w:t> </w:t>
            </w:r>
            <w:r>
              <w:rPr>
                <w:b/>
                <w:sz w:val="18"/>
              </w:rPr>
              <w:t>in</w:t>
            </w:r>
            <w:r>
              <w:rPr>
                <w:b/>
                <w:spacing w:val="-1"/>
                <w:sz w:val="18"/>
              </w:rPr>
              <w:t> </w:t>
            </w:r>
            <w:r>
              <w:rPr>
                <w:b/>
                <w:sz w:val="18"/>
              </w:rPr>
              <w:t>exchange</w:t>
            </w:r>
            <w:r>
              <w:rPr>
                <w:b/>
                <w:spacing w:val="-1"/>
                <w:sz w:val="18"/>
              </w:rPr>
              <w:t> </w:t>
            </w:r>
            <w:r>
              <w:rPr>
                <w:b/>
                <w:sz w:val="18"/>
              </w:rPr>
              <w:t>for</w:t>
            </w:r>
            <w:r>
              <w:rPr>
                <w:b/>
                <w:spacing w:val="-4"/>
                <w:sz w:val="18"/>
              </w:rPr>
              <w:t> </w:t>
            </w:r>
            <w:r>
              <w:rPr>
                <w:b/>
                <w:sz w:val="18"/>
              </w:rPr>
              <w:t>new</w:t>
            </w:r>
            <w:r>
              <w:rPr>
                <w:b/>
                <w:spacing w:val="-1"/>
                <w:sz w:val="18"/>
              </w:rPr>
              <w:t> </w:t>
            </w:r>
            <w:r>
              <w:rPr>
                <w:b/>
                <w:sz w:val="18"/>
              </w:rPr>
              <w:t>lease</w:t>
            </w:r>
            <w:r>
              <w:rPr>
                <w:b/>
                <w:spacing w:val="-1"/>
                <w:sz w:val="18"/>
              </w:rPr>
              <w:t> </w:t>
            </w:r>
            <w:r>
              <w:rPr>
                <w:b/>
                <w:spacing w:val="-2"/>
                <w:sz w:val="18"/>
              </w:rPr>
              <w:t>liabilities</w:t>
            </w:r>
          </w:p>
        </w:tc>
        <w:tc>
          <w:tcPr>
            <w:tcW w:w="2733" w:type="dxa"/>
          </w:tcPr>
          <w:p>
            <w:pPr>
              <w:pStyle w:val="TableParagraph"/>
              <w:spacing w:before="0"/>
              <w:rPr>
                <w:sz w:val="16"/>
              </w:rPr>
            </w:pPr>
          </w:p>
        </w:tc>
        <w:tc>
          <w:tcPr>
            <w:tcW w:w="1631" w:type="dxa"/>
          </w:tcPr>
          <w:p>
            <w:pPr>
              <w:pStyle w:val="TableParagraph"/>
              <w:spacing w:before="0"/>
              <w:rPr>
                <w:sz w:val="16"/>
              </w:rPr>
            </w:pPr>
          </w:p>
        </w:tc>
        <w:tc>
          <w:tcPr>
            <w:tcW w:w="1601" w:type="dxa"/>
          </w:tcPr>
          <w:p>
            <w:pPr>
              <w:pStyle w:val="TableParagraph"/>
              <w:spacing w:before="0"/>
              <w:rPr>
                <w:sz w:val="16"/>
              </w:rPr>
            </w:pPr>
          </w:p>
        </w:tc>
      </w:tr>
      <w:tr>
        <w:trPr>
          <w:trHeight w:val="256" w:hRule="atLeast"/>
        </w:trPr>
        <w:tc>
          <w:tcPr>
            <w:tcW w:w="5549" w:type="dxa"/>
            <w:shd w:val="clear" w:color="auto" w:fill="CFF0FB"/>
          </w:tcPr>
          <w:p>
            <w:pPr>
              <w:pStyle w:val="TableParagraph"/>
              <w:ind w:left="93"/>
              <w:rPr>
                <w:sz w:val="18"/>
              </w:rPr>
            </w:pPr>
            <w:r>
              <w:rPr>
                <w:sz w:val="18"/>
              </w:rPr>
              <w:t>Operating</w:t>
            </w:r>
            <w:r>
              <w:rPr>
                <w:spacing w:val="-1"/>
                <w:sz w:val="18"/>
              </w:rPr>
              <w:t> </w:t>
            </w:r>
            <w:r>
              <w:rPr>
                <w:spacing w:val="-2"/>
                <w:sz w:val="18"/>
              </w:rPr>
              <w:t>leases</w:t>
            </w:r>
          </w:p>
        </w:tc>
        <w:tc>
          <w:tcPr>
            <w:tcW w:w="2733" w:type="dxa"/>
            <w:shd w:val="clear" w:color="auto" w:fill="CFF0FB"/>
          </w:tcPr>
          <w:p>
            <w:pPr>
              <w:pStyle w:val="TableParagraph"/>
              <w:tabs>
                <w:tab w:pos="624" w:val="left" w:leader="none"/>
              </w:tabs>
              <w:ind w:right="101"/>
              <w:jc w:val="right"/>
              <w:rPr>
                <w:sz w:val="18"/>
              </w:rPr>
            </w:pPr>
            <w:r>
              <w:rPr>
                <w:spacing w:val="-10"/>
                <w:sz w:val="18"/>
              </w:rPr>
              <w:t>$</w:t>
            </w:r>
            <w:r>
              <w:rPr>
                <w:sz w:val="18"/>
              </w:rPr>
              <w:tab/>
            </w:r>
            <w:r>
              <w:rPr>
                <w:spacing w:val="-2"/>
                <w:sz w:val="18"/>
              </w:rPr>
              <w:t>15,538,208</w:t>
            </w:r>
          </w:p>
        </w:tc>
        <w:tc>
          <w:tcPr>
            <w:tcW w:w="1631" w:type="dxa"/>
            <w:shd w:val="clear" w:color="auto" w:fill="CFF0FB"/>
          </w:tcPr>
          <w:p>
            <w:pPr>
              <w:pStyle w:val="TableParagraph"/>
              <w:tabs>
                <w:tab w:pos="712" w:val="left" w:leader="none"/>
              </w:tabs>
              <w:ind w:right="91"/>
              <w:jc w:val="right"/>
              <w:rPr>
                <w:sz w:val="18"/>
              </w:rPr>
            </w:pPr>
            <w:r>
              <w:rPr>
                <w:spacing w:val="-10"/>
                <w:sz w:val="18"/>
              </w:rPr>
              <w:t>$</w:t>
            </w:r>
            <w:r>
              <w:rPr>
                <w:sz w:val="18"/>
              </w:rPr>
              <w:tab/>
            </w:r>
            <w:r>
              <w:rPr>
                <w:spacing w:val="-2"/>
                <w:sz w:val="18"/>
              </w:rPr>
              <w:t>3,388,120</w:t>
            </w:r>
          </w:p>
        </w:tc>
        <w:tc>
          <w:tcPr>
            <w:tcW w:w="1601" w:type="dxa"/>
            <w:shd w:val="clear" w:color="auto" w:fill="CFF0FB"/>
          </w:tcPr>
          <w:p>
            <w:pPr>
              <w:pStyle w:val="TableParagraph"/>
              <w:tabs>
                <w:tab w:pos="713" w:val="left" w:leader="none"/>
              </w:tabs>
              <w:ind w:right="69"/>
              <w:jc w:val="right"/>
              <w:rPr>
                <w:sz w:val="18"/>
              </w:rPr>
            </w:pPr>
            <w:r>
              <w:rPr>
                <w:spacing w:val="-10"/>
                <w:sz w:val="18"/>
              </w:rPr>
              <w:t>$</w:t>
            </w:r>
            <w:r>
              <w:rPr>
                <w:sz w:val="18"/>
              </w:rPr>
              <w:tab/>
            </w:r>
            <w:r>
              <w:rPr>
                <w:spacing w:val="-2"/>
                <w:sz w:val="18"/>
              </w:rPr>
              <w:t>4,120,955</w:t>
            </w:r>
          </w:p>
        </w:tc>
      </w:tr>
      <w:tr>
        <w:trPr>
          <w:trHeight w:val="227" w:hRule="atLeast"/>
        </w:trPr>
        <w:tc>
          <w:tcPr>
            <w:tcW w:w="5549" w:type="dxa"/>
          </w:tcPr>
          <w:p>
            <w:pPr>
              <w:pStyle w:val="TableParagraph"/>
              <w:spacing w:line="187" w:lineRule="exact"/>
              <w:ind w:left="93"/>
              <w:rPr>
                <w:sz w:val="18"/>
              </w:rPr>
            </w:pPr>
            <w:r>
              <w:rPr>
                <w:sz w:val="18"/>
              </w:rPr>
              <w:t>Finance</w:t>
            </w:r>
            <w:r>
              <w:rPr>
                <w:spacing w:val="-1"/>
                <w:sz w:val="18"/>
              </w:rPr>
              <w:t> </w:t>
            </w:r>
            <w:r>
              <w:rPr>
                <w:spacing w:val="-2"/>
                <w:sz w:val="18"/>
              </w:rPr>
              <w:t>leases</w:t>
            </w:r>
          </w:p>
        </w:tc>
        <w:tc>
          <w:tcPr>
            <w:tcW w:w="2733" w:type="dxa"/>
          </w:tcPr>
          <w:p>
            <w:pPr>
              <w:pStyle w:val="TableParagraph"/>
              <w:spacing w:line="187" w:lineRule="exact"/>
              <w:ind w:right="101"/>
              <w:jc w:val="right"/>
              <w:rPr>
                <w:sz w:val="18"/>
              </w:rPr>
            </w:pPr>
            <w:r>
              <w:rPr>
                <w:spacing w:val="-2"/>
                <w:sz w:val="18"/>
              </w:rPr>
              <w:t>87,856</w:t>
            </w:r>
          </w:p>
        </w:tc>
        <w:tc>
          <w:tcPr>
            <w:tcW w:w="1631" w:type="dxa"/>
          </w:tcPr>
          <w:p>
            <w:pPr>
              <w:pStyle w:val="TableParagraph"/>
              <w:spacing w:line="187" w:lineRule="exact"/>
              <w:ind w:right="92"/>
              <w:jc w:val="right"/>
              <w:rPr>
                <w:sz w:val="18"/>
              </w:rPr>
            </w:pPr>
            <w:r>
              <w:rPr>
                <w:spacing w:val="-2"/>
                <w:sz w:val="18"/>
              </w:rPr>
              <w:t>24,433</w:t>
            </w:r>
          </w:p>
        </w:tc>
        <w:tc>
          <w:tcPr>
            <w:tcW w:w="1601" w:type="dxa"/>
          </w:tcPr>
          <w:p>
            <w:pPr>
              <w:pStyle w:val="TableParagraph"/>
              <w:spacing w:line="187" w:lineRule="exact"/>
              <w:ind w:right="69"/>
              <w:jc w:val="right"/>
              <w:rPr>
                <w:sz w:val="18"/>
              </w:rPr>
            </w:pPr>
            <w:r>
              <w:rPr>
                <w:spacing w:val="-2"/>
                <w:sz w:val="18"/>
              </w:rPr>
              <w:t>177,085</w:t>
            </w:r>
          </w:p>
        </w:tc>
      </w:tr>
    </w:tbl>
    <w:p>
      <w:pPr>
        <w:pStyle w:val="ListParagraph"/>
        <w:numPr>
          <w:ilvl w:val="0"/>
          <w:numId w:val="14"/>
        </w:numPr>
        <w:tabs>
          <w:tab w:pos="467" w:val="left" w:leader="none"/>
        </w:tabs>
        <w:spacing w:line="240" w:lineRule="auto" w:before="125" w:after="0"/>
        <w:ind w:left="467" w:right="0" w:hanging="323"/>
        <w:jc w:val="left"/>
        <w:rPr>
          <w:sz w:val="14"/>
        </w:rPr>
      </w:pPr>
      <w:r>
        <w:rPr>
          <w:sz w:val="14"/>
        </w:rPr>
        <w:t>Included</w:t>
      </w:r>
      <w:r>
        <w:rPr>
          <w:spacing w:val="7"/>
          <w:sz w:val="14"/>
        </w:rPr>
        <w:t> </w:t>
      </w:r>
      <w:r>
        <w:rPr>
          <w:sz w:val="14"/>
        </w:rPr>
        <w:t>within</w:t>
      </w:r>
      <w:r>
        <w:rPr>
          <w:spacing w:val="8"/>
          <w:sz w:val="14"/>
        </w:rPr>
        <w:t> </w:t>
      </w:r>
      <w:r>
        <w:rPr>
          <w:sz w:val="14"/>
        </w:rPr>
        <w:t>“Other”</w:t>
      </w:r>
      <w:r>
        <w:rPr>
          <w:spacing w:val="7"/>
          <w:sz w:val="14"/>
        </w:rPr>
        <w:t> </w:t>
      </w:r>
      <w:r>
        <w:rPr>
          <w:sz w:val="14"/>
        </w:rPr>
        <w:t>within</w:t>
      </w:r>
      <w:r>
        <w:rPr>
          <w:spacing w:val="8"/>
          <w:sz w:val="14"/>
        </w:rPr>
        <w:t> </w:t>
      </w:r>
      <w:r>
        <w:rPr>
          <w:sz w:val="14"/>
        </w:rPr>
        <w:t>“Cash</w:t>
      </w:r>
      <w:r>
        <w:rPr>
          <w:spacing w:val="7"/>
          <w:sz w:val="14"/>
        </w:rPr>
        <w:t> </w:t>
      </w:r>
      <w:r>
        <w:rPr>
          <w:sz w:val="14"/>
        </w:rPr>
        <w:t>flows</w:t>
      </w:r>
      <w:r>
        <w:rPr>
          <w:spacing w:val="8"/>
          <w:sz w:val="14"/>
        </w:rPr>
        <w:t> </w:t>
      </w:r>
      <w:r>
        <w:rPr>
          <w:sz w:val="14"/>
        </w:rPr>
        <w:t>from</w:t>
      </w:r>
      <w:r>
        <w:rPr>
          <w:spacing w:val="7"/>
          <w:sz w:val="14"/>
        </w:rPr>
        <w:t> </w:t>
      </w:r>
      <w:r>
        <w:rPr>
          <w:sz w:val="14"/>
        </w:rPr>
        <w:t>financing</w:t>
      </w:r>
      <w:r>
        <w:rPr>
          <w:spacing w:val="8"/>
          <w:sz w:val="14"/>
        </w:rPr>
        <w:t> </w:t>
      </w:r>
      <w:r>
        <w:rPr>
          <w:sz w:val="14"/>
        </w:rPr>
        <w:t>activities”</w:t>
      </w:r>
      <w:r>
        <w:rPr>
          <w:spacing w:val="7"/>
          <w:sz w:val="14"/>
        </w:rPr>
        <w:t> </w:t>
      </w:r>
      <w:r>
        <w:rPr>
          <w:sz w:val="14"/>
        </w:rPr>
        <w:t>on</w:t>
      </w:r>
      <w:r>
        <w:rPr>
          <w:spacing w:val="8"/>
          <w:sz w:val="14"/>
        </w:rPr>
        <w:t> </w:t>
      </w:r>
      <w:r>
        <w:rPr>
          <w:sz w:val="14"/>
        </w:rPr>
        <w:t>the</w:t>
      </w:r>
      <w:r>
        <w:rPr>
          <w:spacing w:val="7"/>
          <w:sz w:val="14"/>
        </w:rPr>
        <w:t> </w:t>
      </w:r>
      <w:r>
        <w:rPr>
          <w:sz w:val="14"/>
        </w:rPr>
        <w:t>consolidated</w:t>
      </w:r>
      <w:r>
        <w:rPr>
          <w:spacing w:val="8"/>
          <w:sz w:val="14"/>
        </w:rPr>
        <w:t> </w:t>
      </w:r>
      <w:r>
        <w:rPr>
          <w:sz w:val="14"/>
        </w:rPr>
        <w:t>statements</w:t>
      </w:r>
      <w:r>
        <w:rPr>
          <w:spacing w:val="7"/>
          <w:sz w:val="14"/>
        </w:rPr>
        <w:t> </w:t>
      </w:r>
      <w:r>
        <w:rPr>
          <w:sz w:val="14"/>
        </w:rPr>
        <w:t>of</w:t>
      </w:r>
      <w:r>
        <w:rPr>
          <w:spacing w:val="8"/>
          <w:sz w:val="14"/>
        </w:rPr>
        <w:t> </w:t>
      </w:r>
      <w:r>
        <w:rPr>
          <w:sz w:val="14"/>
        </w:rPr>
        <w:t>cash</w:t>
      </w:r>
      <w:r>
        <w:rPr>
          <w:spacing w:val="7"/>
          <w:sz w:val="14"/>
        </w:rPr>
        <w:t> </w:t>
      </w:r>
      <w:r>
        <w:rPr>
          <w:spacing w:val="-2"/>
          <w:sz w:val="14"/>
        </w:rPr>
        <w:t>flows.</w:t>
      </w:r>
    </w:p>
    <w:p>
      <w:pPr>
        <w:pStyle w:val="BodyText"/>
      </w:pPr>
    </w:p>
    <w:p>
      <w:pPr>
        <w:pStyle w:val="BodyText"/>
      </w:pPr>
    </w:p>
    <w:p>
      <w:pPr>
        <w:pStyle w:val="BodyText"/>
        <w:spacing w:before="206"/>
      </w:pPr>
    </w:p>
    <w:p>
      <w:pPr>
        <w:pStyle w:val="BodyText"/>
        <w:ind w:left="24"/>
        <w:jc w:val="center"/>
      </w:pPr>
      <w:r>
        <w:rPr>
          <w:spacing w:val="-5"/>
        </w:rPr>
        <w:t>88</w:t>
      </w:r>
    </w:p>
    <w:p>
      <w:pPr>
        <w:pStyle w:val="BodyText"/>
        <w:spacing w:before="3"/>
        <w:rPr>
          <w:sz w:val="6"/>
        </w:rPr>
      </w:pPr>
      <w:r>
        <w:rPr/>
        <mc:AlternateContent>
          <mc:Choice Requires="wps">
            <w:drawing>
              <wp:anchor distT="0" distB="0" distL="0" distR="0" allowOverlap="1" layoutInCell="1" locked="0" behindDoc="1" simplePos="0" relativeHeight="487708672">
                <wp:simplePos x="0" y="0"/>
                <wp:positionH relativeFrom="page">
                  <wp:posOffset>231457</wp:posOffset>
                </wp:positionH>
                <wp:positionV relativeFrom="paragraph">
                  <wp:posOffset>60956</wp:posOffset>
                </wp:positionV>
                <wp:extent cx="7312659" cy="17145"/>
                <wp:effectExtent l="0" t="0" r="0" b="0"/>
                <wp:wrapTopAndBottom/>
                <wp:docPr id="598" name="Group 598"/>
                <wp:cNvGraphicFramePr>
                  <a:graphicFrameLocks/>
                </wp:cNvGraphicFramePr>
                <a:graphic>
                  <a:graphicData uri="http://schemas.microsoft.com/office/word/2010/wordprocessingGroup">
                    <wpg:wgp>
                      <wpg:cNvPr id="598" name="Group 598"/>
                      <wpg:cNvGrpSpPr/>
                      <wpg:grpSpPr>
                        <a:xfrm>
                          <a:off x="0" y="0"/>
                          <a:ext cx="7312659" cy="17145"/>
                          <a:chExt cx="7312659" cy="17145"/>
                        </a:xfrm>
                      </wpg:grpSpPr>
                      <wps:wsp>
                        <wps:cNvPr id="599" name="Graphic 59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00" name="Graphic 600"/>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01" name="Graphic 60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07808;mso-wrap-distance-left:0;mso-wrap-distance-right:0" id="docshapegroup596" coordorigin="364,96" coordsize="11516,27">
                <v:rect style="position:absolute;left:364;top:96;width:11516;height:14" id="docshape597" filled="true" fillcolor="#999999" stroked="false">
                  <v:fill type="solid"/>
                </v:rect>
                <v:shape style="position:absolute;left:364;top:95;width:11516;height:27" id="docshape598" coordorigin="364,96" coordsize="11516,27" path="m11880,96l11866,109,364,109,364,123,11866,123,11880,123,11880,109,11880,96xe" filled="true" fillcolor="#ededed" stroked="false">
                  <v:path arrowok="t"/>
                  <v:fill type="solid"/>
                </v:shape>
                <v:shape style="position:absolute;left:364;top:96;width:14;height:27" id="docshape59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40" w:bottom="280" w:left="220" w:right="240"/>
        </w:sectPr>
      </w:pPr>
    </w:p>
    <w:p>
      <w:pPr>
        <w:pStyle w:val="BodyText"/>
        <w:spacing w:before="69"/>
        <w:ind w:left="644"/>
      </w:pPr>
      <w:r>
        <w:rPr/>
        <w:t>Maturities</w:t>
      </w:r>
      <w:r>
        <w:rPr>
          <w:spacing w:val="-1"/>
        </w:rPr>
        <w:t> </w:t>
      </w:r>
      <w:r>
        <w:rPr/>
        <w:t>of</w:t>
      </w:r>
      <w:r>
        <w:rPr>
          <w:spacing w:val="-1"/>
        </w:rPr>
        <w:t> </w:t>
      </w:r>
      <w:r>
        <w:rPr/>
        <w:t>lease</w:t>
      </w:r>
      <w:r>
        <w:rPr>
          <w:spacing w:val="-1"/>
        </w:rPr>
        <w:t> </w:t>
      </w:r>
      <w:r>
        <w:rPr/>
        <w:t>liabilities</w:t>
      </w:r>
      <w:r>
        <w:rPr>
          <w:spacing w:val="-1"/>
        </w:rPr>
        <w:t> </w:t>
      </w:r>
      <w:r>
        <w:rPr/>
        <w:t>were</w:t>
      </w:r>
      <w:r>
        <w:rPr>
          <w:spacing w:val="-1"/>
        </w:rPr>
        <w:t> </w:t>
      </w:r>
      <w:r>
        <w:rPr/>
        <w:t>as</w:t>
      </w:r>
      <w:r>
        <w:rPr>
          <w:spacing w:val="-1"/>
        </w:rPr>
        <w:t> </w:t>
      </w:r>
      <w:r>
        <w:rPr>
          <w:spacing w:val="-2"/>
        </w:rPr>
        <w:t>follows:</w:t>
      </w:r>
    </w:p>
    <w:p>
      <w:pPr>
        <w:pStyle w:val="Heading5"/>
        <w:tabs>
          <w:tab w:pos="10314" w:val="left" w:leader="none"/>
        </w:tabs>
        <w:spacing w:before="63"/>
        <w:ind w:left="8579"/>
        <w:jc w:val="left"/>
      </w:pPr>
      <w:r>
        <w:rPr/>
        <mc:AlternateContent>
          <mc:Choice Requires="wps">
            <w:drawing>
              <wp:anchor distT="0" distB="0" distL="0" distR="0" allowOverlap="1" layoutInCell="1" locked="0" behindDoc="1" simplePos="0" relativeHeight="487709184">
                <wp:simplePos x="0" y="0"/>
                <wp:positionH relativeFrom="page">
                  <wp:posOffset>5529250</wp:posOffset>
                </wp:positionH>
                <wp:positionV relativeFrom="paragraph">
                  <wp:posOffset>189888</wp:posOffset>
                </wp:positionV>
                <wp:extent cx="2014855" cy="8890"/>
                <wp:effectExtent l="0" t="0" r="0" b="0"/>
                <wp:wrapTopAndBottom/>
                <wp:docPr id="602" name="Graphic 602"/>
                <wp:cNvGraphicFramePr>
                  <a:graphicFrameLocks/>
                </wp:cNvGraphicFramePr>
                <a:graphic>
                  <a:graphicData uri="http://schemas.microsoft.com/office/word/2010/wordprocessingShape">
                    <wps:wsp>
                      <wps:cNvPr id="602" name="Graphic 602"/>
                      <wps:cNvSpPr/>
                      <wps:spPr>
                        <a:xfrm>
                          <a:off x="0" y="0"/>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374023pt;margin-top:14.951845pt;width:158.625008pt;height:.675pt;mso-position-horizontal-relative:page;mso-position-vertical-relative:paragraph;z-index:-15607296;mso-wrap-distance-left:0;mso-wrap-distance-right:0" id="docshape600" filled="true" fillcolor="#000000" stroked="false">
                <v:fill type="solid"/>
                <w10:wrap type="topAndBottom"/>
              </v:rect>
            </w:pict>
          </mc:Fallback>
        </mc:AlternateContent>
      </w:r>
      <w:r>
        <w:rPr/>
        <w:t>Operating</w:t>
      </w:r>
      <w:r>
        <w:rPr>
          <w:spacing w:val="-1"/>
        </w:rPr>
        <w:t> </w:t>
      </w:r>
      <w:r>
        <w:rPr>
          <w:spacing w:val="-2"/>
        </w:rPr>
        <w:t>Leases</w:t>
      </w:r>
      <w:r>
        <w:rPr/>
        <w:tab/>
        <w:t>Finance</w:t>
      </w:r>
      <w:r>
        <w:rPr>
          <w:spacing w:val="-1"/>
        </w:rPr>
        <w:t> </w:t>
      </w:r>
      <w:r>
        <w:rPr>
          <w:spacing w:val="-2"/>
        </w:rPr>
        <w:t>Leases</w:t>
      </w:r>
    </w:p>
    <w:p>
      <w:pPr>
        <w:tabs>
          <w:tab w:pos="9580" w:val="left" w:leader="none"/>
        </w:tabs>
        <w:spacing w:before="7" w:after="29"/>
        <w:ind w:left="162" w:right="0" w:firstLine="0"/>
        <w:jc w:val="left"/>
        <w:rPr>
          <w:b/>
          <w:i/>
          <w:sz w:val="16"/>
        </w:rPr>
      </w:pPr>
      <w:r>
        <w:rPr>
          <w:b/>
          <w:sz w:val="18"/>
        </w:rPr>
        <w:t>Year</w:t>
      </w:r>
      <w:r>
        <w:rPr>
          <w:b/>
          <w:spacing w:val="-13"/>
          <w:sz w:val="18"/>
        </w:rPr>
        <w:t> </w:t>
      </w:r>
      <w:r>
        <w:rPr>
          <w:b/>
          <w:sz w:val="18"/>
        </w:rPr>
        <w:t>ending</w:t>
      </w:r>
      <w:r>
        <w:rPr>
          <w:b/>
          <w:spacing w:val="-8"/>
          <w:sz w:val="18"/>
        </w:rPr>
        <w:t> </w:t>
      </w:r>
      <w:r>
        <w:rPr>
          <w:b/>
          <w:sz w:val="18"/>
        </w:rPr>
        <w:t>December</w:t>
      </w:r>
      <w:r>
        <w:rPr>
          <w:b/>
          <w:spacing w:val="-10"/>
          <w:sz w:val="18"/>
        </w:rPr>
        <w:t> </w:t>
      </w:r>
      <w:r>
        <w:rPr>
          <w:b/>
          <w:spacing w:val="-5"/>
          <w:sz w:val="18"/>
        </w:rPr>
        <w:t>31,</w:t>
      </w:r>
      <w:r>
        <w:rPr>
          <w:b/>
          <w:sz w:val="18"/>
        </w:rPr>
        <w:tab/>
      </w: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4"/>
        <w:gridCol w:w="3812"/>
        <w:gridCol w:w="1590"/>
      </w:tblGrid>
      <w:tr>
        <w:trPr>
          <w:trHeight w:val="269" w:hRule="atLeast"/>
        </w:trPr>
        <w:tc>
          <w:tcPr>
            <w:tcW w:w="6114" w:type="dxa"/>
            <w:shd w:val="clear" w:color="auto" w:fill="CFF0FB"/>
          </w:tcPr>
          <w:p>
            <w:pPr>
              <w:pStyle w:val="TableParagraph"/>
              <w:ind w:left="17"/>
              <w:rPr>
                <w:sz w:val="18"/>
              </w:rPr>
            </w:pPr>
            <w:r>
              <w:rPr>
                <w:spacing w:val="-4"/>
                <w:sz w:val="18"/>
              </w:rPr>
              <w:t>2023</w:t>
            </w:r>
          </w:p>
        </w:tc>
        <w:tc>
          <w:tcPr>
            <w:tcW w:w="3812" w:type="dxa"/>
            <w:shd w:val="clear" w:color="auto" w:fill="CFF0FB"/>
          </w:tcPr>
          <w:p>
            <w:pPr>
              <w:pStyle w:val="TableParagraph"/>
              <w:tabs>
                <w:tab w:pos="718" w:val="left" w:leader="none"/>
              </w:tabs>
              <w:ind w:right="124"/>
              <w:jc w:val="right"/>
              <w:rPr>
                <w:sz w:val="18"/>
              </w:rPr>
            </w:pPr>
            <w:r>
              <w:rPr>
                <w:spacing w:val="-10"/>
                <w:sz w:val="18"/>
              </w:rPr>
              <w:t>$</w:t>
            </w:r>
            <w:r>
              <w:rPr>
                <w:sz w:val="18"/>
              </w:rPr>
              <w:tab/>
            </w:r>
            <w:r>
              <w:rPr>
                <w:spacing w:val="-2"/>
                <w:sz w:val="18"/>
              </w:rPr>
              <w:t>1,795,625</w:t>
            </w:r>
          </w:p>
        </w:tc>
        <w:tc>
          <w:tcPr>
            <w:tcW w:w="1590" w:type="dxa"/>
            <w:shd w:val="clear" w:color="auto" w:fill="CFF0FB"/>
          </w:tcPr>
          <w:p>
            <w:pPr>
              <w:pStyle w:val="TableParagraph"/>
              <w:tabs>
                <w:tab w:pos="940" w:val="left" w:leader="none"/>
              </w:tabs>
              <w:ind w:right="71"/>
              <w:jc w:val="right"/>
              <w:rPr>
                <w:sz w:val="18"/>
              </w:rPr>
            </w:pPr>
            <w:r>
              <w:rPr>
                <w:spacing w:val="-10"/>
                <w:sz w:val="18"/>
              </w:rPr>
              <w:t>$</w:t>
            </w:r>
            <w:r>
              <w:rPr>
                <w:sz w:val="18"/>
              </w:rPr>
              <w:tab/>
            </w:r>
            <w:r>
              <w:rPr>
                <w:spacing w:val="-2"/>
                <w:sz w:val="18"/>
              </w:rPr>
              <w:t>78,710</w:t>
            </w:r>
          </w:p>
        </w:tc>
      </w:tr>
      <w:tr>
        <w:trPr>
          <w:trHeight w:val="256" w:hRule="atLeast"/>
        </w:trPr>
        <w:tc>
          <w:tcPr>
            <w:tcW w:w="6114" w:type="dxa"/>
          </w:tcPr>
          <w:p>
            <w:pPr>
              <w:pStyle w:val="TableParagraph"/>
              <w:ind w:left="17"/>
              <w:rPr>
                <w:sz w:val="18"/>
              </w:rPr>
            </w:pPr>
            <w:r>
              <w:rPr>
                <w:spacing w:val="-4"/>
                <w:sz w:val="18"/>
              </w:rPr>
              <w:t>2024</w:t>
            </w:r>
          </w:p>
        </w:tc>
        <w:tc>
          <w:tcPr>
            <w:tcW w:w="3812" w:type="dxa"/>
          </w:tcPr>
          <w:p>
            <w:pPr>
              <w:pStyle w:val="TableParagraph"/>
              <w:ind w:right="124"/>
              <w:jc w:val="right"/>
              <w:rPr>
                <w:sz w:val="18"/>
              </w:rPr>
            </w:pPr>
            <w:r>
              <w:rPr>
                <w:spacing w:val="-2"/>
                <w:sz w:val="18"/>
              </w:rPr>
              <w:t>1,825,986</w:t>
            </w:r>
          </w:p>
        </w:tc>
        <w:tc>
          <w:tcPr>
            <w:tcW w:w="1590" w:type="dxa"/>
          </w:tcPr>
          <w:p>
            <w:pPr>
              <w:pStyle w:val="TableParagraph"/>
              <w:ind w:right="71"/>
              <w:jc w:val="right"/>
              <w:rPr>
                <w:sz w:val="18"/>
              </w:rPr>
            </w:pPr>
            <w:r>
              <w:rPr>
                <w:spacing w:val="-2"/>
                <w:sz w:val="18"/>
              </w:rPr>
              <w:t>8,763</w:t>
            </w:r>
          </w:p>
        </w:tc>
      </w:tr>
      <w:tr>
        <w:trPr>
          <w:trHeight w:val="256" w:hRule="atLeast"/>
        </w:trPr>
        <w:tc>
          <w:tcPr>
            <w:tcW w:w="6114" w:type="dxa"/>
            <w:shd w:val="clear" w:color="auto" w:fill="CFF0FB"/>
          </w:tcPr>
          <w:p>
            <w:pPr>
              <w:pStyle w:val="TableParagraph"/>
              <w:ind w:left="17"/>
              <w:rPr>
                <w:sz w:val="18"/>
              </w:rPr>
            </w:pPr>
            <w:r>
              <w:rPr>
                <w:spacing w:val="-4"/>
                <w:sz w:val="18"/>
              </w:rPr>
              <w:t>2025</w:t>
            </w:r>
          </w:p>
        </w:tc>
        <w:tc>
          <w:tcPr>
            <w:tcW w:w="3812" w:type="dxa"/>
            <w:shd w:val="clear" w:color="auto" w:fill="CFF0FB"/>
          </w:tcPr>
          <w:p>
            <w:pPr>
              <w:pStyle w:val="TableParagraph"/>
              <w:ind w:right="124"/>
              <w:jc w:val="right"/>
              <w:rPr>
                <w:sz w:val="18"/>
              </w:rPr>
            </w:pPr>
            <w:r>
              <w:rPr>
                <w:spacing w:val="-2"/>
                <w:sz w:val="18"/>
              </w:rPr>
              <w:t>1,856,204</w:t>
            </w:r>
          </w:p>
        </w:tc>
        <w:tc>
          <w:tcPr>
            <w:tcW w:w="1590" w:type="dxa"/>
            <w:shd w:val="clear" w:color="auto" w:fill="CFF0FB"/>
          </w:tcPr>
          <w:p>
            <w:pPr>
              <w:pStyle w:val="TableParagraph"/>
              <w:ind w:right="71"/>
              <w:jc w:val="right"/>
              <w:rPr>
                <w:sz w:val="18"/>
              </w:rPr>
            </w:pPr>
            <w:r>
              <w:rPr>
                <w:spacing w:val="-2"/>
                <w:sz w:val="18"/>
              </w:rPr>
              <w:t>8,258</w:t>
            </w:r>
          </w:p>
        </w:tc>
      </w:tr>
      <w:tr>
        <w:trPr>
          <w:trHeight w:val="256" w:hRule="atLeast"/>
        </w:trPr>
        <w:tc>
          <w:tcPr>
            <w:tcW w:w="6114" w:type="dxa"/>
          </w:tcPr>
          <w:p>
            <w:pPr>
              <w:pStyle w:val="TableParagraph"/>
              <w:ind w:left="17"/>
              <w:rPr>
                <w:sz w:val="18"/>
              </w:rPr>
            </w:pPr>
            <w:r>
              <w:rPr>
                <w:spacing w:val="-4"/>
                <w:sz w:val="18"/>
              </w:rPr>
              <w:t>2026</w:t>
            </w:r>
          </w:p>
        </w:tc>
        <w:tc>
          <w:tcPr>
            <w:tcW w:w="3812" w:type="dxa"/>
          </w:tcPr>
          <w:p>
            <w:pPr>
              <w:pStyle w:val="TableParagraph"/>
              <w:ind w:right="124"/>
              <w:jc w:val="right"/>
              <w:rPr>
                <w:sz w:val="18"/>
              </w:rPr>
            </w:pPr>
            <w:r>
              <w:rPr>
                <w:spacing w:val="-2"/>
                <w:sz w:val="18"/>
              </w:rPr>
              <w:t>1,883,099</w:t>
            </w:r>
          </w:p>
        </w:tc>
        <w:tc>
          <w:tcPr>
            <w:tcW w:w="1590" w:type="dxa"/>
          </w:tcPr>
          <w:p>
            <w:pPr>
              <w:pStyle w:val="TableParagraph"/>
              <w:ind w:right="71"/>
              <w:jc w:val="right"/>
              <w:rPr>
                <w:sz w:val="18"/>
              </w:rPr>
            </w:pPr>
            <w:r>
              <w:rPr>
                <w:spacing w:val="-2"/>
                <w:sz w:val="18"/>
              </w:rPr>
              <w:t>7,021</w:t>
            </w:r>
          </w:p>
        </w:tc>
      </w:tr>
      <w:tr>
        <w:trPr>
          <w:trHeight w:val="256" w:hRule="atLeast"/>
        </w:trPr>
        <w:tc>
          <w:tcPr>
            <w:tcW w:w="6114" w:type="dxa"/>
            <w:shd w:val="clear" w:color="auto" w:fill="CFF0FB"/>
          </w:tcPr>
          <w:p>
            <w:pPr>
              <w:pStyle w:val="TableParagraph"/>
              <w:ind w:left="17"/>
              <w:rPr>
                <w:sz w:val="18"/>
              </w:rPr>
            </w:pPr>
            <w:r>
              <w:rPr>
                <w:spacing w:val="-4"/>
                <w:sz w:val="18"/>
              </w:rPr>
              <w:t>2027</w:t>
            </w:r>
          </w:p>
        </w:tc>
        <w:tc>
          <w:tcPr>
            <w:tcW w:w="3812" w:type="dxa"/>
            <w:shd w:val="clear" w:color="auto" w:fill="CFF0FB"/>
          </w:tcPr>
          <w:p>
            <w:pPr>
              <w:pStyle w:val="TableParagraph"/>
              <w:ind w:right="124"/>
              <w:jc w:val="right"/>
              <w:rPr>
                <w:sz w:val="18"/>
              </w:rPr>
            </w:pPr>
            <w:r>
              <w:rPr>
                <w:spacing w:val="-2"/>
                <w:sz w:val="18"/>
              </w:rPr>
              <w:t>839,326</w:t>
            </w:r>
          </w:p>
        </w:tc>
        <w:tc>
          <w:tcPr>
            <w:tcW w:w="1590" w:type="dxa"/>
            <w:shd w:val="clear" w:color="auto" w:fill="CFF0FB"/>
          </w:tcPr>
          <w:p>
            <w:pPr>
              <w:pStyle w:val="TableParagraph"/>
              <w:ind w:right="71"/>
              <w:jc w:val="right"/>
              <w:rPr>
                <w:sz w:val="18"/>
              </w:rPr>
            </w:pPr>
            <w:r>
              <w:rPr>
                <w:spacing w:val="-2"/>
                <w:sz w:val="18"/>
              </w:rPr>
              <w:t>6,992</w:t>
            </w:r>
          </w:p>
        </w:tc>
      </w:tr>
      <w:tr>
        <w:trPr>
          <w:trHeight w:val="269" w:hRule="atLeast"/>
        </w:trPr>
        <w:tc>
          <w:tcPr>
            <w:tcW w:w="6114" w:type="dxa"/>
          </w:tcPr>
          <w:p>
            <w:pPr>
              <w:pStyle w:val="TableParagraph"/>
              <w:ind w:left="17"/>
              <w:rPr>
                <w:sz w:val="18"/>
              </w:rPr>
            </w:pPr>
            <w:r>
              <w:rPr>
                <w:spacing w:val="-2"/>
                <w:sz w:val="18"/>
              </w:rPr>
              <w:t>Thereafter</w:t>
            </w:r>
          </w:p>
        </w:tc>
        <w:tc>
          <w:tcPr>
            <w:tcW w:w="3812" w:type="dxa"/>
            <w:tcBorders>
              <w:bottom w:val="single" w:sz="6" w:space="0" w:color="000000"/>
            </w:tcBorders>
          </w:tcPr>
          <w:p>
            <w:pPr>
              <w:pStyle w:val="TableParagraph"/>
              <w:ind w:right="124"/>
              <w:jc w:val="right"/>
              <w:rPr>
                <w:sz w:val="18"/>
              </w:rPr>
            </w:pPr>
            <w:r>
              <w:rPr>
                <w:spacing w:val="-2"/>
                <w:sz w:val="18"/>
              </w:rPr>
              <w:t>51,965,868</w:t>
            </w:r>
          </w:p>
        </w:tc>
        <w:tc>
          <w:tcPr>
            <w:tcW w:w="1590" w:type="dxa"/>
            <w:tcBorders>
              <w:bottom w:val="single" w:sz="6" w:space="0" w:color="000000"/>
            </w:tcBorders>
          </w:tcPr>
          <w:p>
            <w:pPr>
              <w:pStyle w:val="TableParagraph"/>
              <w:ind w:right="71"/>
              <w:jc w:val="right"/>
              <w:rPr>
                <w:sz w:val="18"/>
              </w:rPr>
            </w:pPr>
            <w:r>
              <w:rPr>
                <w:spacing w:val="-2"/>
                <w:sz w:val="18"/>
              </w:rPr>
              <w:t>135,187</w:t>
            </w:r>
          </w:p>
        </w:tc>
      </w:tr>
      <w:tr>
        <w:trPr>
          <w:trHeight w:val="255" w:hRule="atLeast"/>
        </w:trPr>
        <w:tc>
          <w:tcPr>
            <w:tcW w:w="6114" w:type="dxa"/>
            <w:shd w:val="clear" w:color="auto" w:fill="CFF0FB"/>
          </w:tcPr>
          <w:p>
            <w:pPr>
              <w:pStyle w:val="TableParagraph"/>
              <w:spacing w:before="6"/>
              <w:ind w:left="93"/>
              <w:rPr>
                <w:sz w:val="18"/>
              </w:rPr>
            </w:pPr>
            <w:r>
              <w:rPr>
                <w:sz w:val="18"/>
              </w:rPr>
              <w:t>Total</w:t>
            </w:r>
            <w:r>
              <w:rPr>
                <w:spacing w:val="-5"/>
                <w:sz w:val="18"/>
              </w:rPr>
              <w:t> </w:t>
            </w:r>
            <w:r>
              <w:rPr>
                <w:sz w:val="18"/>
              </w:rPr>
              <w:t>future</w:t>
            </w:r>
            <w:r>
              <w:rPr>
                <w:spacing w:val="-4"/>
                <w:sz w:val="18"/>
              </w:rPr>
              <w:t> </w:t>
            </w:r>
            <w:r>
              <w:rPr>
                <w:sz w:val="18"/>
              </w:rPr>
              <w:t>minimum</w:t>
            </w:r>
            <w:r>
              <w:rPr>
                <w:spacing w:val="-4"/>
                <w:sz w:val="18"/>
              </w:rPr>
              <w:t> </w:t>
            </w:r>
            <w:r>
              <w:rPr>
                <w:sz w:val="18"/>
              </w:rPr>
              <w:t>lease</w:t>
            </w:r>
            <w:r>
              <w:rPr>
                <w:spacing w:val="-4"/>
                <w:sz w:val="18"/>
              </w:rPr>
              <w:t> </w:t>
            </w:r>
            <w:r>
              <w:rPr>
                <w:spacing w:val="-2"/>
                <w:sz w:val="18"/>
              </w:rPr>
              <w:t>payments</w:t>
            </w:r>
          </w:p>
        </w:tc>
        <w:tc>
          <w:tcPr>
            <w:tcW w:w="3812" w:type="dxa"/>
            <w:tcBorders>
              <w:top w:val="single" w:sz="6" w:space="0" w:color="000000"/>
            </w:tcBorders>
            <w:shd w:val="clear" w:color="auto" w:fill="CFF0FB"/>
          </w:tcPr>
          <w:p>
            <w:pPr>
              <w:pStyle w:val="TableParagraph"/>
              <w:spacing w:before="20"/>
              <w:ind w:right="124"/>
              <w:jc w:val="right"/>
              <w:rPr>
                <w:sz w:val="18"/>
              </w:rPr>
            </w:pPr>
            <w:r>
              <w:rPr>
                <w:spacing w:val="-2"/>
                <w:sz w:val="18"/>
              </w:rPr>
              <w:t>60,166,108</w:t>
            </w:r>
          </w:p>
        </w:tc>
        <w:tc>
          <w:tcPr>
            <w:tcW w:w="1590" w:type="dxa"/>
            <w:tcBorders>
              <w:top w:val="single" w:sz="6" w:space="0" w:color="000000"/>
            </w:tcBorders>
            <w:shd w:val="clear" w:color="auto" w:fill="CFF0FB"/>
          </w:tcPr>
          <w:p>
            <w:pPr>
              <w:pStyle w:val="TableParagraph"/>
              <w:spacing w:before="20"/>
              <w:ind w:right="71"/>
              <w:jc w:val="right"/>
              <w:rPr>
                <w:sz w:val="18"/>
              </w:rPr>
            </w:pPr>
            <w:r>
              <w:rPr>
                <w:spacing w:val="-2"/>
                <w:sz w:val="18"/>
              </w:rPr>
              <w:t>244,931</w:t>
            </w:r>
          </w:p>
        </w:tc>
      </w:tr>
      <w:tr>
        <w:trPr>
          <w:trHeight w:val="255" w:hRule="atLeast"/>
        </w:trPr>
        <w:tc>
          <w:tcPr>
            <w:tcW w:w="6114" w:type="dxa"/>
          </w:tcPr>
          <w:p>
            <w:pPr>
              <w:pStyle w:val="TableParagraph"/>
              <w:ind w:left="17"/>
              <w:rPr>
                <w:sz w:val="18"/>
              </w:rPr>
            </w:pPr>
            <w:r>
              <w:rPr>
                <w:sz w:val="18"/>
              </w:rPr>
              <w:t>Less:</w:t>
            </w:r>
            <w:r>
              <w:rPr>
                <w:spacing w:val="-10"/>
                <w:sz w:val="18"/>
              </w:rPr>
              <w:t> </w:t>
            </w:r>
            <w:r>
              <w:rPr>
                <w:sz w:val="18"/>
              </w:rPr>
              <w:t>Amount</w:t>
            </w:r>
            <w:r>
              <w:rPr>
                <w:spacing w:val="-1"/>
                <w:sz w:val="18"/>
              </w:rPr>
              <w:t> </w:t>
            </w:r>
            <w:r>
              <w:rPr>
                <w:sz w:val="18"/>
              </w:rPr>
              <w:t>of</w:t>
            </w:r>
            <w:r>
              <w:rPr>
                <w:spacing w:val="-1"/>
                <w:sz w:val="18"/>
              </w:rPr>
              <w:t> </w:t>
            </w:r>
            <w:r>
              <w:rPr>
                <w:sz w:val="18"/>
              </w:rPr>
              <w:t>lease</w:t>
            </w:r>
            <w:r>
              <w:rPr>
                <w:spacing w:val="-1"/>
                <w:sz w:val="18"/>
              </w:rPr>
              <w:t> </w:t>
            </w:r>
            <w:r>
              <w:rPr>
                <w:sz w:val="18"/>
              </w:rPr>
              <w:t>payments</w:t>
            </w:r>
            <w:r>
              <w:rPr>
                <w:spacing w:val="-1"/>
                <w:sz w:val="18"/>
              </w:rPr>
              <w:t> </w:t>
            </w:r>
            <w:r>
              <w:rPr>
                <w:sz w:val="18"/>
              </w:rPr>
              <w:t>representing</w:t>
            </w:r>
            <w:r>
              <w:rPr>
                <w:spacing w:val="-1"/>
                <w:sz w:val="18"/>
              </w:rPr>
              <w:t> </w:t>
            </w:r>
            <w:r>
              <w:rPr>
                <w:spacing w:val="-2"/>
                <w:sz w:val="18"/>
              </w:rPr>
              <w:t>interest</w:t>
            </w:r>
          </w:p>
        </w:tc>
        <w:tc>
          <w:tcPr>
            <w:tcW w:w="3812" w:type="dxa"/>
            <w:tcBorders>
              <w:bottom w:val="single" w:sz="6" w:space="0" w:color="000000"/>
            </w:tcBorders>
          </w:tcPr>
          <w:p>
            <w:pPr>
              <w:pStyle w:val="TableParagraph"/>
              <w:ind w:right="79"/>
              <w:jc w:val="right"/>
              <w:rPr>
                <w:sz w:val="18"/>
              </w:rPr>
            </w:pPr>
            <w:r>
              <w:rPr>
                <w:spacing w:val="-2"/>
                <w:sz w:val="18"/>
              </w:rPr>
              <w:t>(34,962,828)</w:t>
            </w:r>
          </w:p>
        </w:tc>
        <w:tc>
          <w:tcPr>
            <w:tcW w:w="1590" w:type="dxa"/>
            <w:tcBorders>
              <w:bottom w:val="single" w:sz="6" w:space="0" w:color="000000"/>
            </w:tcBorders>
          </w:tcPr>
          <w:p>
            <w:pPr>
              <w:pStyle w:val="TableParagraph"/>
              <w:ind w:right="26"/>
              <w:jc w:val="right"/>
              <w:rPr>
                <w:sz w:val="18"/>
              </w:rPr>
            </w:pPr>
            <w:r>
              <w:rPr>
                <w:spacing w:val="-2"/>
                <w:sz w:val="18"/>
              </w:rPr>
              <w:t>(84,330)</w:t>
            </w:r>
          </w:p>
        </w:tc>
      </w:tr>
      <w:tr>
        <w:trPr>
          <w:trHeight w:val="254" w:hRule="atLeast"/>
        </w:trPr>
        <w:tc>
          <w:tcPr>
            <w:tcW w:w="6114" w:type="dxa"/>
            <w:shd w:val="clear" w:color="auto" w:fill="CFF0FB"/>
          </w:tcPr>
          <w:p>
            <w:pPr>
              <w:pStyle w:val="TableParagraph"/>
              <w:spacing w:before="6"/>
              <w:ind w:left="93"/>
              <w:rPr>
                <w:sz w:val="18"/>
              </w:rPr>
            </w:pPr>
            <w:r>
              <w:rPr>
                <w:sz w:val="18"/>
              </w:rPr>
              <w:t>Present</w:t>
            </w:r>
            <w:r>
              <w:rPr>
                <w:spacing w:val="-1"/>
                <w:sz w:val="18"/>
              </w:rPr>
              <w:t> </w:t>
            </w:r>
            <w:r>
              <w:rPr>
                <w:sz w:val="18"/>
              </w:rPr>
              <w:t>value</w:t>
            </w:r>
            <w:r>
              <w:rPr>
                <w:spacing w:val="-1"/>
                <w:sz w:val="18"/>
              </w:rPr>
              <w:t> </w:t>
            </w:r>
            <w:r>
              <w:rPr>
                <w:sz w:val="18"/>
              </w:rPr>
              <w:t>of</w:t>
            </w:r>
            <w:r>
              <w:rPr>
                <w:spacing w:val="-1"/>
                <w:sz w:val="18"/>
              </w:rPr>
              <w:t> </w:t>
            </w:r>
            <w:r>
              <w:rPr>
                <w:sz w:val="18"/>
              </w:rPr>
              <w:t>future</w:t>
            </w:r>
            <w:r>
              <w:rPr>
                <w:spacing w:val="-1"/>
                <w:sz w:val="18"/>
              </w:rPr>
              <w:t> </w:t>
            </w:r>
            <w:r>
              <w:rPr>
                <w:sz w:val="18"/>
              </w:rPr>
              <w:t>minimum</w:t>
            </w:r>
            <w:r>
              <w:rPr>
                <w:spacing w:val="-1"/>
                <w:sz w:val="18"/>
              </w:rPr>
              <w:t> </w:t>
            </w:r>
            <w:r>
              <w:rPr>
                <w:sz w:val="18"/>
              </w:rPr>
              <w:t>lease</w:t>
            </w:r>
            <w:r>
              <w:rPr>
                <w:spacing w:val="-1"/>
                <w:sz w:val="18"/>
              </w:rPr>
              <w:t> </w:t>
            </w:r>
            <w:r>
              <w:rPr>
                <w:spacing w:val="-2"/>
                <w:sz w:val="18"/>
              </w:rPr>
              <w:t>payments</w:t>
            </w:r>
          </w:p>
        </w:tc>
        <w:tc>
          <w:tcPr>
            <w:tcW w:w="3812" w:type="dxa"/>
            <w:tcBorders>
              <w:top w:val="single" w:sz="6" w:space="0" w:color="000000"/>
              <w:bottom w:val="single" w:sz="6" w:space="0" w:color="000000"/>
            </w:tcBorders>
            <w:shd w:val="clear" w:color="auto" w:fill="CFF0FB"/>
          </w:tcPr>
          <w:p>
            <w:pPr>
              <w:pStyle w:val="TableParagraph"/>
              <w:spacing w:before="20"/>
              <w:ind w:right="124"/>
              <w:jc w:val="right"/>
              <w:rPr>
                <w:sz w:val="18"/>
              </w:rPr>
            </w:pPr>
            <w:r>
              <w:rPr>
                <w:spacing w:val="-2"/>
                <w:sz w:val="18"/>
              </w:rPr>
              <w:t>25,203,280</w:t>
            </w:r>
          </w:p>
        </w:tc>
        <w:tc>
          <w:tcPr>
            <w:tcW w:w="1590" w:type="dxa"/>
            <w:tcBorders>
              <w:top w:val="single" w:sz="6" w:space="0" w:color="000000"/>
              <w:bottom w:val="single" w:sz="6" w:space="0" w:color="000000"/>
            </w:tcBorders>
            <w:shd w:val="clear" w:color="auto" w:fill="CFF0FB"/>
          </w:tcPr>
          <w:p>
            <w:pPr>
              <w:pStyle w:val="TableParagraph"/>
              <w:spacing w:before="20"/>
              <w:ind w:right="71"/>
              <w:jc w:val="right"/>
              <w:rPr>
                <w:sz w:val="18"/>
              </w:rPr>
            </w:pPr>
            <w:r>
              <w:rPr>
                <w:spacing w:val="-2"/>
                <w:sz w:val="18"/>
              </w:rPr>
              <w:t>160,601</w:t>
            </w:r>
          </w:p>
        </w:tc>
      </w:tr>
      <w:tr>
        <w:trPr>
          <w:trHeight w:val="254" w:hRule="atLeast"/>
        </w:trPr>
        <w:tc>
          <w:tcPr>
            <w:tcW w:w="6114" w:type="dxa"/>
          </w:tcPr>
          <w:p>
            <w:pPr>
              <w:pStyle w:val="TableParagraph"/>
              <w:spacing w:before="20"/>
              <w:ind w:left="17"/>
              <w:rPr>
                <w:sz w:val="18"/>
              </w:rPr>
            </w:pPr>
            <w:r>
              <w:rPr>
                <w:sz w:val="18"/>
              </w:rPr>
              <w:t>Less:</w:t>
            </w:r>
            <w:r>
              <w:rPr>
                <w:spacing w:val="-1"/>
                <w:sz w:val="18"/>
              </w:rPr>
              <w:t> </w:t>
            </w:r>
            <w:r>
              <w:rPr>
                <w:sz w:val="18"/>
              </w:rPr>
              <w:t>Current</w:t>
            </w:r>
            <w:r>
              <w:rPr>
                <w:spacing w:val="-1"/>
                <w:sz w:val="18"/>
              </w:rPr>
              <w:t> </w:t>
            </w:r>
            <w:r>
              <w:rPr>
                <w:spacing w:val="-2"/>
                <w:sz w:val="18"/>
              </w:rPr>
              <w:t>portion</w:t>
            </w:r>
          </w:p>
        </w:tc>
        <w:tc>
          <w:tcPr>
            <w:tcW w:w="3812" w:type="dxa"/>
            <w:tcBorders>
              <w:top w:val="single" w:sz="6" w:space="0" w:color="000000"/>
              <w:bottom w:val="single" w:sz="6" w:space="0" w:color="000000"/>
            </w:tcBorders>
          </w:tcPr>
          <w:p>
            <w:pPr>
              <w:pStyle w:val="TableParagraph"/>
              <w:spacing w:before="20"/>
              <w:ind w:right="79"/>
              <w:jc w:val="right"/>
              <w:rPr>
                <w:sz w:val="18"/>
              </w:rPr>
            </w:pPr>
            <w:r>
              <w:rPr>
                <w:spacing w:val="-2"/>
                <w:sz w:val="18"/>
              </w:rPr>
              <w:t>(53,981)</w:t>
            </w:r>
          </w:p>
        </w:tc>
        <w:tc>
          <w:tcPr>
            <w:tcW w:w="1590" w:type="dxa"/>
            <w:tcBorders>
              <w:top w:val="single" w:sz="6" w:space="0" w:color="000000"/>
              <w:bottom w:val="single" w:sz="6" w:space="0" w:color="000000"/>
            </w:tcBorders>
          </w:tcPr>
          <w:p>
            <w:pPr>
              <w:pStyle w:val="TableParagraph"/>
              <w:spacing w:before="20"/>
              <w:ind w:right="26"/>
              <w:jc w:val="right"/>
              <w:rPr>
                <w:sz w:val="18"/>
              </w:rPr>
            </w:pPr>
            <w:r>
              <w:rPr>
                <w:spacing w:val="-2"/>
                <w:sz w:val="18"/>
              </w:rPr>
              <w:t>(72,420)</w:t>
            </w:r>
          </w:p>
        </w:tc>
      </w:tr>
      <w:tr>
        <w:trPr>
          <w:trHeight w:val="260" w:hRule="atLeast"/>
        </w:trPr>
        <w:tc>
          <w:tcPr>
            <w:tcW w:w="6114" w:type="dxa"/>
            <w:shd w:val="clear" w:color="auto" w:fill="CFF0FB"/>
          </w:tcPr>
          <w:p>
            <w:pPr>
              <w:pStyle w:val="TableParagraph"/>
              <w:spacing w:before="20"/>
              <w:ind w:left="93"/>
              <w:rPr>
                <w:sz w:val="18"/>
              </w:rPr>
            </w:pPr>
            <w:r>
              <w:rPr>
                <w:sz w:val="18"/>
              </w:rPr>
              <w:t>Long-term</w:t>
            </w:r>
            <w:r>
              <w:rPr>
                <w:spacing w:val="-1"/>
                <w:sz w:val="18"/>
              </w:rPr>
              <w:t> </w:t>
            </w:r>
            <w:r>
              <w:rPr>
                <w:sz w:val="18"/>
              </w:rPr>
              <w:t>portion</w:t>
            </w:r>
            <w:r>
              <w:rPr>
                <w:spacing w:val="-1"/>
                <w:sz w:val="18"/>
              </w:rPr>
              <w:t> </w:t>
            </w:r>
            <w:r>
              <w:rPr>
                <w:sz w:val="18"/>
              </w:rPr>
              <w:t>of</w:t>
            </w:r>
            <w:r>
              <w:rPr>
                <w:spacing w:val="-1"/>
                <w:sz w:val="18"/>
              </w:rPr>
              <w:t> </w:t>
            </w:r>
            <w:r>
              <w:rPr>
                <w:sz w:val="18"/>
              </w:rPr>
              <w:t>lease</w:t>
            </w:r>
            <w:r>
              <w:rPr>
                <w:spacing w:val="-1"/>
                <w:sz w:val="18"/>
              </w:rPr>
              <w:t> </w:t>
            </w:r>
            <w:r>
              <w:rPr>
                <w:spacing w:val="-2"/>
                <w:sz w:val="18"/>
              </w:rPr>
              <w:t>liabilities</w:t>
            </w:r>
          </w:p>
        </w:tc>
        <w:tc>
          <w:tcPr>
            <w:tcW w:w="3812" w:type="dxa"/>
            <w:tcBorders>
              <w:top w:val="single" w:sz="6" w:space="0" w:color="000000"/>
            </w:tcBorders>
            <w:shd w:val="clear" w:color="auto" w:fill="CFF0FB"/>
          </w:tcPr>
          <w:p>
            <w:pPr>
              <w:pStyle w:val="TableParagraph"/>
              <w:tabs>
                <w:tab w:pos="628" w:val="left" w:leader="none"/>
              </w:tabs>
              <w:spacing w:before="20"/>
              <w:ind w:right="124"/>
              <w:jc w:val="right"/>
              <w:rPr>
                <w:sz w:val="18"/>
              </w:rPr>
            </w:pPr>
            <w:r>
              <w:rPr/>
              <mc:AlternateContent>
                <mc:Choice Requires="wps">
                  <w:drawing>
                    <wp:anchor distT="0" distB="0" distL="0" distR="0" allowOverlap="1" layoutInCell="1" locked="0" behindDoc="1" simplePos="0" relativeHeight="477751296">
                      <wp:simplePos x="0" y="0"/>
                      <wp:positionH relativeFrom="column">
                        <wp:posOffset>1415701</wp:posOffset>
                      </wp:positionH>
                      <wp:positionV relativeFrom="paragraph">
                        <wp:posOffset>162301</wp:posOffset>
                      </wp:positionV>
                      <wp:extent cx="969010" cy="34290"/>
                      <wp:effectExtent l="0" t="0" r="0" b="0"/>
                      <wp:wrapNone/>
                      <wp:docPr id="603" name="Group 603"/>
                      <wp:cNvGraphicFramePr>
                        <a:graphicFrameLocks/>
                      </wp:cNvGraphicFramePr>
                      <a:graphic>
                        <a:graphicData uri="http://schemas.microsoft.com/office/word/2010/wordprocessingGroup">
                          <wpg:wgp>
                            <wpg:cNvPr id="603" name="Group 603"/>
                            <wpg:cNvGrpSpPr/>
                            <wpg:grpSpPr>
                              <a:xfrm>
                                <a:off x="0" y="0"/>
                                <a:ext cx="969010" cy="34290"/>
                                <a:chExt cx="969010" cy="34290"/>
                              </a:xfrm>
                            </wpg:grpSpPr>
                            <wps:wsp>
                              <wps:cNvPr id="604" name="Graphic 604"/>
                              <wps:cNvSpPr/>
                              <wps:spPr>
                                <a:xfrm>
                                  <a:off x="-12" y="-13"/>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1.472557pt;margin-top:12.779642pt;width:76.3pt;height:2.7pt;mso-position-horizontal-relative:column;mso-position-vertical-relative:paragraph;z-index:-25565184" id="docshapegroup601" coordorigin="2229,256" coordsize="1526,54">
                      <v:shape style="position:absolute;left:2229;top:255;width:1526;height:54" id="docshape602" coordorigin="2229,256" coordsize="1526,54" path="m3755,296l3728,296,2351,296,2229,296,2229,310,2351,310,3728,310,3755,310,3755,296xm3755,256l3728,256,2351,256,2229,256,2229,269,2351,269,3728,269,3755,269,3755,256xe" filled="true" fillcolor="#000000" stroked="false">
                        <v:path arrowok="t"/>
                        <v:fill type="solid"/>
                      </v:shape>
                      <w10:wrap type="none"/>
                    </v:group>
                  </w:pict>
                </mc:Fallback>
              </mc:AlternateContent>
            </w:r>
            <w:r>
              <w:rPr>
                <w:spacing w:val="-10"/>
                <w:sz w:val="18"/>
              </w:rPr>
              <w:t>$</w:t>
            </w:r>
            <w:r>
              <w:rPr>
                <w:sz w:val="18"/>
              </w:rPr>
              <w:tab/>
            </w:r>
            <w:r>
              <w:rPr>
                <w:spacing w:val="-2"/>
                <w:sz w:val="18"/>
              </w:rPr>
              <w:t>25,149,299</w:t>
            </w:r>
          </w:p>
        </w:tc>
        <w:tc>
          <w:tcPr>
            <w:tcW w:w="1590" w:type="dxa"/>
            <w:tcBorders>
              <w:top w:val="single" w:sz="6" w:space="0" w:color="000000"/>
              <w:bottom w:val="double" w:sz="6" w:space="0" w:color="000000"/>
            </w:tcBorders>
            <w:shd w:val="clear" w:color="auto" w:fill="CFF0FB"/>
          </w:tcPr>
          <w:p>
            <w:pPr>
              <w:pStyle w:val="TableParagraph"/>
              <w:tabs>
                <w:tab w:pos="940" w:val="left" w:leader="none"/>
              </w:tabs>
              <w:spacing w:before="20"/>
              <w:ind w:right="71"/>
              <w:jc w:val="right"/>
              <w:rPr>
                <w:sz w:val="18"/>
              </w:rPr>
            </w:pPr>
            <w:r>
              <w:rPr>
                <w:spacing w:val="-10"/>
                <w:sz w:val="18"/>
              </w:rPr>
              <w:t>$</w:t>
            </w:r>
            <w:r>
              <w:rPr>
                <w:sz w:val="18"/>
              </w:rPr>
              <w:tab/>
            </w:r>
            <w:r>
              <w:rPr>
                <w:spacing w:val="-2"/>
                <w:sz w:val="18"/>
              </w:rPr>
              <w:t>88,181</w:t>
            </w:r>
          </w:p>
        </w:tc>
      </w:tr>
    </w:tbl>
    <w:p>
      <w:pPr>
        <w:pStyle w:val="BodyText"/>
        <w:rPr>
          <w:b/>
          <w:i/>
        </w:rPr>
      </w:pPr>
    </w:p>
    <w:p>
      <w:pPr>
        <w:pStyle w:val="BodyText"/>
        <w:rPr>
          <w:b/>
          <w:i/>
        </w:rPr>
      </w:pPr>
    </w:p>
    <w:p>
      <w:pPr>
        <w:pStyle w:val="BodyText"/>
        <w:spacing w:before="126"/>
        <w:rPr>
          <w:b/>
          <w:i/>
        </w:rPr>
      </w:pPr>
    </w:p>
    <w:p>
      <w:pPr>
        <w:pStyle w:val="Heading4"/>
        <w:spacing w:before="1"/>
      </w:pPr>
      <w:r>
        <w:rPr/>
        <w:t>NOTE</w:t>
      </w:r>
      <w:r>
        <w:rPr>
          <w:spacing w:val="-1"/>
        </w:rPr>
        <w:t> </w:t>
      </w:r>
      <w:r>
        <w:rPr/>
        <w:t>12</w:t>
      </w:r>
      <w:r>
        <w:rPr>
          <w:spacing w:val="-1"/>
        </w:rPr>
        <w:t> </w:t>
      </w:r>
      <w:r>
        <w:rPr/>
        <w:t>–</w:t>
      </w:r>
      <w:r>
        <w:rPr>
          <w:spacing w:val="-1"/>
        </w:rPr>
        <w:t> </w:t>
      </w:r>
      <w:r>
        <w:rPr/>
        <w:t>COMMITMENTS</w:t>
      </w:r>
      <w:r>
        <w:rPr>
          <w:spacing w:val="-10"/>
        </w:rPr>
        <w:t> </w:t>
      </w:r>
      <w:r>
        <w:rPr/>
        <w:t>AND</w:t>
      </w:r>
      <w:r>
        <w:rPr>
          <w:spacing w:val="-1"/>
        </w:rPr>
        <w:t> </w:t>
      </w:r>
      <w:r>
        <w:rPr>
          <w:spacing w:val="-2"/>
        </w:rPr>
        <w:t>CONTINGENCIES</w:t>
      </w:r>
    </w:p>
    <w:p>
      <w:pPr>
        <w:pStyle w:val="BodyText"/>
        <w:spacing w:before="4"/>
        <w:rPr>
          <w:b/>
        </w:rPr>
      </w:pPr>
    </w:p>
    <w:p>
      <w:pPr>
        <w:pStyle w:val="BodyText"/>
        <w:spacing w:line="249" w:lineRule="auto"/>
        <w:ind w:left="144" w:right="118" w:firstLine="499"/>
        <w:jc w:val="both"/>
      </w:pPr>
      <w:r>
        <w:rPr>
          <w:b/>
        </w:rPr>
        <w:t>Litigation</w:t>
      </w:r>
      <w:r>
        <w:rPr>
          <w:i/>
        </w:rPr>
        <w:t>.</w:t>
      </w:r>
      <w:r>
        <w:rPr>
          <w:i/>
          <w:spacing w:val="-5"/>
        </w:rPr>
        <w:t> </w:t>
      </w:r>
      <w:r>
        <w:rPr/>
        <w:t>The</w:t>
      </w:r>
      <w:r>
        <w:rPr>
          <w:spacing w:val="-2"/>
        </w:rPr>
        <w:t> </w:t>
      </w:r>
      <w:r>
        <w:rPr/>
        <w:t>Company</w:t>
      </w:r>
      <w:r>
        <w:rPr>
          <w:spacing w:val="-2"/>
        </w:rPr>
        <w:t> </w:t>
      </w:r>
      <w:r>
        <w:rPr/>
        <w:t>is</w:t>
      </w:r>
      <w:r>
        <w:rPr>
          <w:spacing w:val="-2"/>
        </w:rPr>
        <w:t> </w:t>
      </w:r>
      <w:r>
        <w:rPr/>
        <w:t>a</w:t>
      </w:r>
      <w:r>
        <w:rPr>
          <w:spacing w:val="-2"/>
        </w:rPr>
        <w:t> </w:t>
      </w:r>
      <w:r>
        <w:rPr/>
        <w:t>party</w:t>
      </w:r>
      <w:r>
        <w:rPr>
          <w:spacing w:val="-2"/>
        </w:rPr>
        <w:t> </w:t>
      </w:r>
      <w:r>
        <w:rPr/>
        <w:t>to</w:t>
      </w:r>
      <w:r>
        <w:rPr>
          <w:spacing w:val="-2"/>
        </w:rPr>
        <w:t> </w:t>
      </w:r>
      <w:r>
        <w:rPr/>
        <w:t>various</w:t>
      </w:r>
      <w:r>
        <w:rPr>
          <w:spacing w:val="-2"/>
        </w:rPr>
        <w:t> </w:t>
      </w:r>
      <w:r>
        <w:rPr/>
        <w:t>legal</w:t>
      </w:r>
      <w:r>
        <w:rPr>
          <w:spacing w:val="-2"/>
        </w:rPr>
        <w:t> </w:t>
      </w:r>
      <w:r>
        <w:rPr/>
        <w:t>proceedings,</w:t>
      </w:r>
      <w:r>
        <w:rPr>
          <w:spacing w:val="-2"/>
        </w:rPr>
        <w:t> </w:t>
      </w:r>
      <w:r>
        <w:rPr/>
        <w:t>most</w:t>
      </w:r>
      <w:r>
        <w:rPr>
          <w:spacing w:val="-2"/>
        </w:rPr>
        <w:t> </w:t>
      </w:r>
      <w:r>
        <w:rPr/>
        <w:t>of</w:t>
      </w:r>
      <w:r>
        <w:rPr>
          <w:spacing w:val="-2"/>
        </w:rPr>
        <w:t> </w:t>
      </w:r>
      <w:r>
        <w:rPr/>
        <w:t>which</w:t>
      </w:r>
      <w:r>
        <w:rPr>
          <w:spacing w:val="-2"/>
        </w:rPr>
        <w:t> </w:t>
      </w:r>
      <w:r>
        <w:rPr/>
        <w:t>relate</w:t>
      </w:r>
      <w:r>
        <w:rPr>
          <w:spacing w:val="-2"/>
        </w:rPr>
        <w:t> </w:t>
      </w:r>
      <w:r>
        <w:rPr/>
        <w:t>to</w:t>
      </w:r>
      <w:r>
        <w:rPr>
          <w:spacing w:val="-2"/>
        </w:rPr>
        <w:t> </w:t>
      </w:r>
      <w:r>
        <w:rPr/>
        <w:t>routine</w:t>
      </w:r>
      <w:r>
        <w:rPr>
          <w:spacing w:val="-2"/>
        </w:rPr>
        <w:t> </w:t>
      </w:r>
      <w:r>
        <w:rPr/>
        <w:t>matters</w:t>
      </w:r>
      <w:r>
        <w:rPr>
          <w:spacing w:val="-2"/>
        </w:rPr>
        <w:t> </w:t>
      </w:r>
      <w:r>
        <w:rPr/>
        <w:t>incidental</w:t>
      </w:r>
      <w:r>
        <w:rPr>
          <w:spacing w:val="-2"/>
        </w:rPr>
        <w:t> </w:t>
      </w:r>
      <w:r>
        <w:rPr/>
        <w:t>to</w:t>
      </w:r>
      <w:r>
        <w:rPr>
          <w:spacing w:val="-2"/>
        </w:rPr>
        <w:t> </w:t>
      </w:r>
      <w:r>
        <w:rPr/>
        <w:t>its</w:t>
      </w:r>
      <w:r>
        <w:rPr>
          <w:spacing w:val="-2"/>
        </w:rPr>
        <w:t> </w:t>
      </w:r>
      <w:r>
        <w:rPr/>
        <w:t>business.</w:t>
      </w:r>
      <w:r>
        <w:rPr>
          <w:spacing w:val="-2"/>
        </w:rPr>
        <w:t> </w:t>
      </w:r>
      <w:r>
        <w:rPr/>
        <w:t>Management</w:t>
      </w:r>
      <w:r>
        <w:rPr>
          <w:spacing w:val="-2"/>
        </w:rPr>
        <w:t> </w:t>
      </w:r>
      <w:r>
        <w:rPr/>
        <w:t>does</w:t>
      </w:r>
      <w:r>
        <w:rPr>
          <w:spacing w:val="-2"/>
        </w:rPr>
        <w:t> </w:t>
      </w:r>
      <w:r>
        <w:rPr/>
        <w:t>not believe that the outcome of such proceedings will have a material adverse effect on the Company’s financial position, results of operations or cash flows.</w:t>
      </w:r>
    </w:p>
    <w:p>
      <w:pPr>
        <w:pStyle w:val="BodyText"/>
        <w:spacing w:line="223" w:lineRule="auto" w:before="202"/>
        <w:ind w:left="144" w:right="118" w:firstLine="499"/>
        <w:jc w:val="both"/>
      </w:pPr>
      <w:r>
        <w:rPr>
          <w:b/>
        </w:rPr>
        <w:t>Commitments. </w:t>
      </w:r>
      <w:r>
        <w:rPr>
          <w:i/>
        </w:rPr>
        <w:t>MGM Grand Paradise concession contract. </w:t>
      </w:r>
      <w:r>
        <w:rPr/>
        <w:t>Pursuant to the concession contract, MGM Grand Paradise is required to pay (i) a special gaming</w:t>
      </w:r>
      <w:r>
        <w:rPr>
          <w:spacing w:val="-1"/>
        </w:rPr>
        <w:t> </w:t>
      </w:r>
      <w:r>
        <w:rPr/>
        <w:t>tax</w:t>
      </w:r>
      <w:r>
        <w:rPr>
          <w:spacing w:val="-1"/>
        </w:rPr>
        <w:t> </w:t>
      </w:r>
      <w:r>
        <w:rPr/>
        <w:t>of</w:t>
      </w:r>
      <w:r>
        <w:rPr>
          <w:spacing w:val="-1"/>
        </w:rPr>
        <w:t> </w:t>
      </w:r>
      <w:r>
        <w:rPr/>
        <w:t>35%</w:t>
      </w:r>
      <w:r>
        <w:rPr>
          <w:spacing w:val="-1"/>
        </w:rPr>
        <w:t> </w:t>
      </w:r>
      <w:r>
        <w:rPr/>
        <w:t>of</w:t>
      </w:r>
      <w:r>
        <w:rPr>
          <w:spacing w:val="-1"/>
        </w:rPr>
        <w:t> </w:t>
      </w:r>
      <w:r>
        <w:rPr/>
        <w:t>gross</w:t>
      </w:r>
      <w:r>
        <w:rPr>
          <w:spacing w:val="-1"/>
        </w:rPr>
        <w:t> </w:t>
      </w:r>
      <w:r>
        <w:rPr/>
        <w:t>gaming</w:t>
      </w:r>
      <w:r>
        <w:rPr>
          <w:spacing w:val="-1"/>
        </w:rPr>
        <w:t> </w:t>
      </w:r>
      <w:r>
        <w:rPr/>
        <w:t>revenue,</w:t>
      </w:r>
      <w:r>
        <w:rPr>
          <w:spacing w:val="-1"/>
        </w:rPr>
        <w:t> </w:t>
      </w:r>
      <w:r>
        <w:rPr/>
        <w:t>which</w:t>
      </w:r>
      <w:r>
        <w:rPr>
          <w:spacing w:val="-1"/>
        </w:rPr>
        <w:t> </w:t>
      </w:r>
      <w:r>
        <w:rPr/>
        <w:t>is</w:t>
      </w:r>
      <w:r>
        <w:rPr>
          <w:spacing w:val="-1"/>
        </w:rPr>
        <w:t> </w:t>
      </w:r>
      <w:r>
        <w:rPr/>
        <w:t>subject</w:t>
      </w:r>
      <w:r>
        <w:rPr>
          <w:spacing w:val="-1"/>
        </w:rPr>
        <w:t> </w:t>
      </w:r>
      <w:r>
        <w:rPr/>
        <w:t>to</w:t>
      </w:r>
      <w:r>
        <w:rPr>
          <w:spacing w:val="-1"/>
        </w:rPr>
        <w:t> </w:t>
      </w:r>
      <w:r>
        <w:rPr/>
        <w:t>a</w:t>
      </w:r>
      <w:r>
        <w:rPr>
          <w:spacing w:val="-1"/>
        </w:rPr>
        <w:t> </w:t>
      </w:r>
      <w:r>
        <w:rPr/>
        <w:t>minimum</w:t>
      </w:r>
      <w:r>
        <w:rPr>
          <w:spacing w:val="-1"/>
        </w:rPr>
        <w:t> </w:t>
      </w:r>
      <w:r>
        <w:rPr/>
        <w:t>annual</w:t>
      </w:r>
      <w:r>
        <w:rPr>
          <w:spacing w:val="-1"/>
        </w:rPr>
        <w:t> </w:t>
      </w:r>
      <w:r>
        <w:rPr/>
        <w:t>payment</w:t>
      </w:r>
      <w:r>
        <w:rPr>
          <w:spacing w:val="-1"/>
        </w:rPr>
        <w:t> </w:t>
      </w:r>
      <w:r>
        <w:rPr/>
        <w:t>that</w:t>
      </w:r>
      <w:r>
        <w:rPr>
          <w:spacing w:val="-1"/>
        </w:rPr>
        <w:t> </w:t>
      </w:r>
      <w:r>
        <w:rPr/>
        <w:t>would</w:t>
      </w:r>
      <w:r>
        <w:rPr>
          <w:spacing w:val="-1"/>
        </w:rPr>
        <w:t> </w:t>
      </w:r>
      <w:r>
        <w:rPr/>
        <w:t>be</w:t>
      </w:r>
      <w:r>
        <w:rPr>
          <w:spacing w:val="-1"/>
        </w:rPr>
        <w:t> </w:t>
      </w:r>
      <w:r>
        <w:rPr/>
        <w:t>levied</w:t>
      </w:r>
      <w:r>
        <w:rPr>
          <w:spacing w:val="-1"/>
        </w:rPr>
        <w:t> </w:t>
      </w:r>
      <w:r>
        <w:rPr/>
        <w:t>in</w:t>
      </w:r>
      <w:r>
        <w:rPr>
          <w:spacing w:val="-1"/>
        </w:rPr>
        <w:t> </w:t>
      </w:r>
      <w:r>
        <w:rPr/>
        <w:t>the</w:t>
      </w:r>
      <w:r>
        <w:rPr>
          <w:spacing w:val="-1"/>
        </w:rPr>
        <w:t> </w:t>
      </w:r>
      <w:r>
        <w:rPr/>
        <w:t>form</w:t>
      </w:r>
      <w:r>
        <w:rPr>
          <w:spacing w:val="-1"/>
        </w:rPr>
        <w:t> </w:t>
      </w:r>
      <w:r>
        <w:rPr/>
        <w:t>of</w:t>
      </w:r>
      <w:r>
        <w:rPr>
          <w:spacing w:val="-1"/>
        </w:rPr>
        <w:t> </w:t>
      </w:r>
      <w:r>
        <w:rPr/>
        <w:t>a</w:t>
      </w:r>
      <w:r>
        <w:rPr>
          <w:spacing w:val="-1"/>
        </w:rPr>
        <w:t> </w:t>
      </w:r>
      <w:r>
        <w:rPr/>
        <w:t>special</w:t>
      </w:r>
      <w:r>
        <w:rPr>
          <w:spacing w:val="-1"/>
        </w:rPr>
        <w:t> </w:t>
      </w:r>
      <w:r>
        <w:rPr/>
        <w:t>premium</w:t>
      </w:r>
      <w:r>
        <w:rPr>
          <w:spacing w:val="-1"/>
        </w:rPr>
        <w:t> </w:t>
      </w:r>
      <w:r>
        <w:rPr/>
        <w:t>in</w:t>
      </w:r>
      <w:r>
        <w:rPr>
          <w:spacing w:val="-1"/>
        </w:rPr>
        <w:t> </w:t>
      </w:r>
      <w:r>
        <w:rPr/>
        <w:t>the</w:t>
      </w:r>
      <w:r>
        <w:rPr>
          <w:spacing w:val="-1"/>
        </w:rPr>
        <w:t> </w:t>
      </w:r>
      <w:r>
        <w:rPr/>
        <w:t>event the minimum amount is not achieved, (ii) a fixed annual premium, (iii) a variable premium based on the number of gaming tables and machines, and (iv) special levies of up to 5% of gross gaming revenue. In addition, MGM Grand Paradise is required to make annual payments in connection with the temporary use of the reverted gaming assets based upon square meters of the reverted casino areas. Based upon the approved number of gaming tables and slot machines, estimates of the Macau average price index, and square meters of the reverted casino areas, each as of January 1, 2023, the minimum future payments for the above obligations are approximately MOP 22.8 billion ($2.8 billion as of December 31, 2022).</w:t>
      </w:r>
    </w:p>
    <w:p>
      <w:pPr>
        <w:pStyle w:val="BodyText"/>
        <w:spacing w:before="14"/>
      </w:pPr>
    </w:p>
    <w:p>
      <w:pPr>
        <w:pStyle w:val="BodyText"/>
        <w:ind w:left="144" w:right="118" w:firstLine="499"/>
        <w:jc w:val="both"/>
      </w:pPr>
      <w:r>
        <w:rPr/>
        <w:t>The gaming concession also obligates MGM Grand Paradise to invest in various gaming and non-gaming projects and the development of international tourist markets over the ten-year term of the concession in an amount of approximately MOP 16.7 billion ($2.1 billion as of December 31, 2022) of which</w:t>
      </w:r>
      <w:r>
        <w:rPr>
          <w:spacing w:val="40"/>
        </w:rPr>
        <w:t> </w:t>
      </w:r>
      <w:r>
        <w:rPr/>
        <w:t>MOP</w:t>
      </w:r>
      <w:r>
        <w:rPr>
          <w:spacing w:val="-6"/>
        </w:rPr>
        <w:t> </w:t>
      </w:r>
      <w:r>
        <w:rPr/>
        <w:t>15 billion ($1.9 billion as of December 31, 2022) is designated for non-gaming projects, for which the non-gaming commitment is subject to increases of up to 20% in the following years if the market-wide Macau annual gross gaming revenue achieves or exceeds MOP</w:t>
      </w:r>
      <w:r>
        <w:rPr>
          <w:spacing w:val="-1"/>
        </w:rPr>
        <w:t> </w:t>
      </w:r>
      <w:r>
        <w:rPr/>
        <w:t>180 billion ($22.4 billion as of December 31, 2022).</w:t>
      </w:r>
      <w:r>
        <w:rPr>
          <w:spacing w:val="-3"/>
        </w:rPr>
        <w:t> </w:t>
      </w:r>
      <w:r>
        <w:rPr/>
        <w:t>The increased commitment is subject to a 4% reduction per year if the triggering event occurs on or after the sixth year of the term of the concession contract. The projects related to the investment are subject to annual review and Macau government approval and, therefore, the timing and magnitude of </w:t>
      </w:r>
      <w:r>
        <w:rPr/>
        <w:t>the projects comprising the investment are subject to change.</w:t>
      </w:r>
    </w:p>
    <w:p>
      <w:pPr>
        <w:pStyle w:val="BodyText"/>
        <w:spacing w:line="235" w:lineRule="auto" w:before="201"/>
        <w:ind w:left="144" w:right="118" w:firstLine="499"/>
        <w:jc w:val="both"/>
      </w:pPr>
      <w:r>
        <w:rPr/>
        <w:t>The</w:t>
      </w:r>
      <w:r>
        <w:rPr>
          <w:spacing w:val="-2"/>
        </w:rPr>
        <w:t> </w:t>
      </w:r>
      <w:r>
        <w:rPr/>
        <w:t>gaming</w:t>
      </w:r>
      <w:r>
        <w:rPr>
          <w:spacing w:val="-2"/>
        </w:rPr>
        <w:t> </w:t>
      </w:r>
      <w:r>
        <w:rPr/>
        <w:t>law</w:t>
      </w:r>
      <w:r>
        <w:rPr>
          <w:spacing w:val="-2"/>
        </w:rPr>
        <w:t> </w:t>
      </w:r>
      <w:r>
        <w:rPr/>
        <w:t>also</w:t>
      </w:r>
      <w:r>
        <w:rPr>
          <w:spacing w:val="-2"/>
        </w:rPr>
        <w:t> </w:t>
      </w:r>
      <w:r>
        <w:rPr/>
        <w:t>requires</w:t>
      </w:r>
      <w:r>
        <w:rPr>
          <w:spacing w:val="-2"/>
        </w:rPr>
        <w:t> </w:t>
      </w:r>
      <w:r>
        <w:rPr/>
        <w:t>concessionaires</w:t>
      </w:r>
      <w:r>
        <w:rPr>
          <w:spacing w:val="-2"/>
        </w:rPr>
        <w:t> </w:t>
      </w:r>
      <w:r>
        <w:rPr/>
        <w:t>to</w:t>
      </w:r>
      <w:r>
        <w:rPr>
          <w:spacing w:val="-2"/>
        </w:rPr>
        <w:t> </w:t>
      </w:r>
      <w:r>
        <w:rPr/>
        <w:t>maintain</w:t>
      </w:r>
      <w:r>
        <w:rPr>
          <w:spacing w:val="-2"/>
        </w:rPr>
        <w:t> </w:t>
      </w:r>
      <w:r>
        <w:rPr/>
        <w:t>share</w:t>
      </w:r>
      <w:r>
        <w:rPr>
          <w:spacing w:val="-2"/>
        </w:rPr>
        <w:t> </w:t>
      </w:r>
      <w:r>
        <w:rPr/>
        <w:t>capital</w:t>
      </w:r>
      <w:r>
        <w:rPr>
          <w:spacing w:val="-2"/>
        </w:rPr>
        <w:t> </w:t>
      </w:r>
      <w:r>
        <w:rPr/>
        <w:t>of</w:t>
      </w:r>
      <w:r>
        <w:rPr>
          <w:spacing w:val="-2"/>
        </w:rPr>
        <w:t> </w:t>
      </w:r>
      <w:r>
        <w:rPr/>
        <w:t>at</w:t>
      </w:r>
      <w:r>
        <w:rPr>
          <w:spacing w:val="-2"/>
        </w:rPr>
        <w:t> </w:t>
      </w:r>
      <w:r>
        <w:rPr/>
        <w:t>least</w:t>
      </w:r>
      <w:r>
        <w:rPr>
          <w:spacing w:val="-2"/>
        </w:rPr>
        <w:t> </w:t>
      </w:r>
      <w:r>
        <w:rPr/>
        <w:t>MOP</w:t>
      </w:r>
      <w:r>
        <w:rPr>
          <w:spacing w:val="-8"/>
        </w:rPr>
        <w:t> </w:t>
      </w:r>
      <w:r>
        <w:rPr/>
        <w:t>5</w:t>
      </w:r>
      <w:r>
        <w:rPr>
          <w:spacing w:val="-2"/>
        </w:rPr>
        <w:t> </w:t>
      </w:r>
      <w:r>
        <w:rPr/>
        <w:t>billion</w:t>
      </w:r>
      <w:r>
        <w:rPr>
          <w:spacing w:val="-2"/>
        </w:rPr>
        <w:t> </w:t>
      </w:r>
      <w:r>
        <w:rPr/>
        <w:t>(approximately</w:t>
      </w:r>
      <w:r>
        <w:rPr>
          <w:spacing w:val="-2"/>
        </w:rPr>
        <w:t> </w:t>
      </w:r>
      <w:r>
        <w:rPr/>
        <w:t>$622</w:t>
      </w:r>
      <w:r>
        <w:rPr>
          <w:spacing w:val="-2"/>
        </w:rPr>
        <w:t> </w:t>
      </w:r>
      <w:r>
        <w:rPr/>
        <w:t>million</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2022), which further required a cash deposit of such amount until commencement of activity under the concession on January 1, 2023 at which point the deposit </w:t>
      </w:r>
      <w:r>
        <w:rPr/>
        <w:t>was available for use in operations, provided that the net asset value of the concessionaire is not at any time less than such amount.</w:t>
      </w:r>
    </w:p>
    <w:p>
      <w:pPr>
        <w:pStyle w:val="BodyText"/>
        <w:spacing w:before="22"/>
      </w:pPr>
    </w:p>
    <w:p>
      <w:pPr>
        <w:pStyle w:val="BodyText"/>
        <w:spacing w:line="235" w:lineRule="auto"/>
        <w:ind w:left="144" w:right="118" w:firstLine="499"/>
        <w:jc w:val="both"/>
      </w:pPr>
      <w:r>
        <w:rPr>
          <w:b/>
        </w:rPr>
        <w:t>Other guarantees. </w:t>
      </w:r>
      <w:r>
        <w:rPr/>
        <w:t>The Company and its subsidiaries are party to various guarantee contracts in the normal course of business, which are generally supported</w:t>
      </w:r>
      <w:r>
        <w:rPr>
          <w:spacing w:val="10"/>
        </w:rPr>
        <w:t> </w:t>
      </w:r>
      <w:r>
        <w:rPr/>
        <w:t>by</w:t>
      </w:r>
      <w:r>
        <w:rPr>
          <w:spacing w:val="13"/>
        </w:rPr>
        <w:t> </w:t>
      </w:r>
      <w:r>
        <w:rPr/>
        <w:t>letters</w:t>
      </w:r>
      <w:r>
        <w:rPr>
          <w:spacing w:val="12"/>
        </w:rPr>
        <w:t> </w:t>
      </w:r>
      <w:r>
        <w:rPr/>
        <w:t>of</w:t>
      </w:r>
      <w:r>
        <w:rPr>
          <w:spacing w:val="13"/>
        </w:rPr>
        <w:t> </w:t>
      </w:r>
      <w:r>
        <w:rPr/>
        <w:t>credit</w:t>
      </w:r>
      <w:r>
        <w:rPr>
          <w:spacing w:val="13"/>
        </w:rPr>
        <w:t> </w:t>
      </w:r>
      <w:r>
        <w:rPr/>
        <w:t>issued</w:t>
      </w:r>
      <w:r>
        <w:rPr>
          <w:spacing w:val="12"/>
        </w:rPr>
        <w:t> </w:t>
      </w:r>
      <w:r>
        <w:rPr/>
        <w:t>by</w:t>
      </w:r>
      <w:r>
        <w:rPr>
          <w:spacing w:val="13"/>
        </w:rPr>
        <w:t> </w:t>
      </w:r>
      <w:r>
        <w:rPr/>
        <w:t>financial</w:t>
      </w:r>
      <w:r>
        <w:rPr>
          <w:spacing w:val="12"/>
        </w:rPr>
        <w:t> </w:t>
      </w:r>
      <w:r>
        <w:rPr/>
        <w:t>institutions.</w:t>
      </w:r>
      <w:r>
        <w:rPr>
          <w:spacing w:val="10"/>
        </w:rPr>
        <w:t> </w:t>
      </w:r>
      <w:r>
        <w:rPr/>
        <w:t>The</w:t>
      </w:r>
      <w:r>
        <w:rPr>
          <w:spacing w:val="13"/>
        </w:rPr>
        <w:t> </w:t>
      </w:r>
      <w:r>
        <w:rPr/>
        <w:t>Company’s</w:t>
      </w:r>
      <w:r>
        <w:rPr>
          <w:spacing w:val="12"/>
        </w:rPr>
        <w:t> </w:t>
      </w:r>
      <w:r>
        <w:rPr/>
        <w:t>senior</w:t>
      </w:r>
      <w:r>
        <w:rPr>
          <w:spacing w:val="13"/>
        </w:rPr>
        <w:t> </w:t>
      </w:r>
      <w:r>
        <w:rPr/>
        <w:t>credit</w:t>
      </w:r>
      <w:r>
        <w:rPr>
          <w:spacing w:val="12"/>
        </w:rPr>
        <w:t> </w:t>
      </w:r>
      <w:r>
        <w:rPr/>
        <w:t>facility</w:t>
      </w:r>
      <w:r>
        <w:rPr>
          <w:spacing w:val="13"/>
        </w:rPr>
        <w:t> </w:t>
      </w:r>
      <w:r>
        <w:rPr/>
        <w:t>limits</w:t>
      </w:r>
      <w:r>
        <w:rPr>
          <w:spacing w:val="13"/>
        </w:rPr>
        <w:t> </w:t>
      </w:r>
      <w:r>
        <w:rPr/>
        <w:t>the</w:t>
      </w:r>
      <w:r>
        <w:rPr>
          <w:spacing w:val="12"/>
        </w:rPr>
        <w:t> </w:t>
      </w:r>
      <w:r>
        <w:rPr/>
        <w:t>amount</w:t>
      </w:r>
      <w:r>
        <w:rPr>
          <w:spacing w:val="13"/>
        </w:rPr>
        <w:t> </w:t>
      </w:r>
      <w:r>
        <w:rPr/>
        <w:t>of</w:t>
      </w:r>
      <w:r>
        <w:rPr>
          <w:spacing w:val="12"/>
        </w:rPr>
        <w:t> </w:t>
      </w:r>
      <w:r>
        <w:rPr/>
        <w:t>letters</w:t>
      </w:r>
      <w:r>
        <w:rPr>
          <w:spacing w:val="13"/>
        </w:rPr>
        <w:t> </w:t>
      </w:r>
      <w:r>
        <w:rPr/>
        <w:t>of</w:t>
      </w:r>
      <w:r>
        <w:rPr>
          <w:spacing w:val="13"/>
        </w:rPr>
        <w:t> </w:t>
      </w:r>
      <w:r>
        <w:rPr/>
        <w:t>credit</w:t>
      </w:r>
      <w:r>
        <w:rPr>
          <w:spacing w:val="12"/>
        </w:rPr>
        <w:t> </w:t>
      </w:r>
      <w:r>
        <w:rPr/>
        <w:t>that</w:t>
      </w:r>
      <w:r>
        <w:rPr>
          <w:spacing w:val="13"/>
        </w:rPr>
        <w:t> </w:t>
      </w:r>
      <w:r>
        <w:rPr/>
        <w:t>can</w:t>
      </w:r>
      <w:r>
        <w:rPr>
          <w:spacing w:val="12"/>
        </w:rPr>
        <w:t> </w:t>
      </w:r>
      <w:r>
        <w:rPr/>
        <w:t>be</w:t>
      </w:r>
      <w:r>
        <w:rPr>
          <w:spacing w:val="13"/>
        </w:rPr>
        <w:t> </w:t>
      </w:r>
      <w:r>
        <w:rPr/>
        <w:t>issued</w:t>
      </w:r>
      <w:r>
        <w:rPr>
          <w:spacing w:val="13"/>
        </w:rPr>
        <w:t> </w:t>
      </w:r>
      <w:r>
        <w:rPr>
          <w:spacing w:val="-5"/>
        </w:rPr>
        <w:t>to</w:t>
      </w:r>
    </w:p>
    <w:p>
      <w:pPr>
        <w:pStyle w:val="BodyText"/>
        <w:spacing w:line="235" w:lineRule="auto" w:before="13"/>
        <w:ind w:left="144"/>
      </w:pPr>
      <w:r>
        <w:rPr>
          <w:color w:val="202529"/>
        </w:rPr>
        <w:t>$1.35</w:t>
      </w:r>
      <w:r>
        <w:rPr>
          <w:color w:val="202529"/>
          <w:spacing w:val="16"/>
        </w:rPr>
        <w:t> </w:t>
      </w:r>
      <w:r>
        <w:rPr>
          <w:color w:val="202529"/>
        </w:rPr>
        <w:t>billion</w:t>
      </w:r>
      <w:r>
        <w:rPr/>
        <w:t>. At</w:t>
      </w:r>
      <w:r>
        <w:rPr>
          <w:spacing w:val="16"/>
        </w:rPr>
        <w:t> </w:t>
      </w:r>
      <w:r>
        <w:rPr/>
        <w:t>December</w:t>
      </w:r>
      <w:r>
        <w:rPr>
          <w:spacing w:val="16"/>
        </w:rPr>
        <w:t> </w:t>
      </w:r>
      <w:r>
        <w:rPr/>
        <w:t>31,</w:t>
      </w:r>
      <w:r>
        <w:rPr>
          <w:spacing w:val="16"/>
        </w:rPr>
        <w:t> </w:t>
      </w:r>
      <w:r>
        <w:rPr/>
        <w:t>2022,</w:t>
      </w:r>
      <w:r>
        <w:rPr>
          <w:spacing w:val="16"/>
        </w:rPr>
        <w:t> </w:t>
      </w:r>
      <w:r>
        <w:rPr>
          <w:color w:val="202529"/>
        </w:rPr>
        <w:t>$31</w:t>
      </w:r>
      <w:r>
        <w:rPr>
          <w:color w:val="202529"/>
          <w:spacing w:val="16"/>
        </w:rPr>
        <w:t> </w:t>
      </w:r>
      <w:r>
        <w:rPr>
          <w:color w:val="202529"/>
        </w:rPr>
        <w:t>million</w:t>
      </w:r>
      <w:r>
        <w:rPr>
          <w:color w:val="202529"/>
          <w:spacing w:val="16"/>
        </w:rPr>
        <w:t> </w:t>
      </w:r>
      <w:r>
        <w:rPr/>
        <w:t>in</w:t>
      </w:r>
      <w:r>
        <w:rPr>
          <w:spacing w:val="16"/>
        </w:rPr>
        <w:t> </w:t>
      </w:r>
      <w:r>
        <w:rPr/>
        <w:t>letters</w:t>
      </w:r>
      <w:r>
        <w:rPr>
          <w:spacing w:val="16"/>
        </w:rPr>
        <w:t> </w:t>
      </w:r>
      <w:r>
        <w:rPr/>
        <w:t>of</w:t>
      </w:r>
      <w:r>
        <w:rPr>
          <w:spacing w:val="16"/>
        </w:rPr>
        <w:t> </w:t>
      </w:r>
      <w:r>
        <w:rPr/>
        <w:t>credit</w:t>
      </w:r>
      <w:r>
        <w:rPr>
          <w:spacing w:val="16"/>
        </w:rPr>
        <w:t> </w:t>
      </w:r>
      <w:r>
        <w:rPr/>
        <w:t>were</w:t>
      </w:r>
      <w:r>
        <w:rPr>
          <w:spacing w:val="16"/>
        </w:rPr>
        <w:t> </w:t>
      </w:r>
      <w:r>
        <w:rPr/>
        <w:t>outstanding</w:t>
      </w:r>
      <w:r>
        <w:rPr>
          <w:spacing w:val="16"/>
        </w:rPr>
        <w:t> </w:t>
      </w:r>
      <w:r>
        <w:rPr/>
        <w:t>under</w:t>
      </w:r>
      <w:r>
        <w:rPr>
          <w:spacing w:val="16"/>
        </w:rPr>
        <w:t> </w:t>
      </w:r>
      <w:r>
        <w:rPr/>
        <w:t>the</w:t>
      </w:r>
      <w:r>
        <w:rPr>
          <w:spacing w:val="16"/>
        </w:rPr>
        <w:t> </w:t>
      </w:r>
      <w:r>
        <w:rPr/>
        <w:t>Company’s</w:t>
      </w:r>
      <w:r>
        <w:rPr>
          <w:spacing w:val="16"/>
        </w:rPr>
        <w:t> </w:t>
      </w:r>
      <w:r>
        <w:rPr/>
        <w:t>senior</w:t>
      </w:r>
      <w:r>
        <w:rPr>
          <w:spacing w:val="16"/>
        </w:rPr>
        <w:t> </w:t>
      </w:r>
      <w:r>
        <w:rPr/>
        <w:t>credit</w:t>
      </w:r>
      <w:r>
        <w:rPr>
          <w:spacing w:val="16"/>
        </w:rPr>
        <w:t> </w:t>
      </w:r>
      <w:r>
        <w:rPr/>
        <w:t>facility.</w:t>
      </w:r>
      <w:r>
        <w:rPr>
          <w:spacing w:val="13"/>
        </w:rPr>
        <w:t> </w:t>
      </w:r>
      <w:r>
        <w:rPr/>
        <w:t>The</w:t>
      </w:r>
      <w:r>
        <w:rPr>
          <w:spacing w:val="16"/>
        </w:rPr>
        <w:t> </w:t>
      </w:r>
      <w:r>
        <w:rPr/>
        <w:t>amount</w:t>
      </w:r>
      <w:r>
        <w:rPr>
          <w:spacing w:val="16"/>
        </w:rPr>
        <w:t> </w:t>
      </w:r>
      <w:r>
        <w:rPr/>
        <w:t>of</w:t>
      </w:r>
      <w:r>
        <w:rPr>
          <w:spacing w:val="16"/>
        </w:rPr>
        <w:t> </w:t>
      </w:r>
      <w:r>
        <w:rPr/>
        <w:t>available borrowings under the credit facility is reduced by any outstanding letters of credit.</w:t>
      </w:r>
    </w:p>
    <w:p>
      <w:pPr>
        <w:pStyle w:val="BodyText"/>
        <w:spacing w:before="4"/>
      </w:pPr>
    </w:p>
    <w:p>
      <w:pPr>
        <w:pStyle w:val="BodyText"/>
        <w:spacing w:line="242" w:lineRule="auto"/>
        <w:ind w:left="144" w:right="117" w:firstLine="499"/>
        <w:jc w:val="both"/>
      </w:pPr>
      <w:r>
        <w:rPr>
          <w:i/>
        </w:rPr>
        <w:t>MGM</w:t>
      </w:r>
      <w:r>
        <w:rPr>
          <w:i/>
          <w:spacing w:val="18"/>
        </w:rPr>
        <w:t> </w:t>
      </w:r>
      <w:r>
        <w:rPr>
          <w:i/>
        </w:rPr>
        <w:t>China</w:t>
      </w:r>
      <w:r>
        <w:rPr>
          <w:i/>
          <w:spacing w:val="18"/>
        </w:rPr>
        <w:t> </w:t>
      </w:r>
      <w:r>
        <w:rPr>
          <w:i/>
        </w:rPr>
        <w:t>bank</w:t>
      </w:r>
      <w:r>
        <w:rPr>
          <w:i/>
          <w:spacing w:val="18"/>
        </w:rPr>
        <w:t> </w:t>
      </w:r>
      <w:r>
        <w:rPr>
          <w:i/>
        </w:rPr>
        <w:t>guarantees.</w:t>
      </w:r>
      <w:r>
        <w:rPr>
          <w:i/>
          <w:spacing w:val="19"/>
        </w:rPr>
        <w:t> </w:t>
      </w:r>
      <w:r>
        <w:rPr>
          <w:color w:val="202529"/>
        </w:rPr>
        <w:t>In</w:t>
      </w:r>
      <w:r>
        <w:rPr>
          <w:color w:val="202529"/>
          <w:spacing w:val="18"/>
        </w:rPr>
        <w:t> </w:t>
      </w:r>
      <w:r>
        <w:rPr>
          <w:color w:val="202529"/>
        </w:rPr>
        <w:t>May</w:t>
      </w:r>
      <w:r>
        <w:rPr>
          <w:color w:val="202529"/>
          <w:spacing w:val="18"/>
        </w:rPr>
        <w:t> </w:t>
      </w:r>
      <w:r>
        <w:rPr>
          <w:color w:val="202529"/>
        </w:rPr>
        <w:t>2019,</w:t>
      </w:r>
      <w:r>
        <w:rPr>
          <w:color w:val="202529"/>
          <w:spacing w:val="18"/>
        </w:rPr>
        <w:t> </w:t>
      </w:r>
      <w:r>
        <w:rPr>
          <w:color w:val="202529"/>
        </w:rPr>
        <w:t>MGM</w:t>
      </w:r>
      <w:r>
        <w:rPr>
          <w:color w:val="202529"/>
          <w:spacing w:val="18"/>
        </w:rPr>
        <w:t> </w:t>
      </w:r>
      <w:r>
        <w:rPr>
          <w:color w:val="202529"/>
        </w:rPr>
        <w:t>Grand</w:t>
      </w:r>
      <w:r>
        <w:rPr>
          <w:color w:val="202529"/>
          <w:spacing w:val="18"/>
        </w:rPr>
        <w:t> </w:t>
      </w:r>
      <w:r>
        <w:rPr>
          <w:color w:val="202529"/>
        </w:rPr>
        <w:t>Paradise</w:t>
      </w:r>
      <w:r>
        <w:rPr>
          <w:color w:val="202529"/>
          <w:spacing w:val="18"/>
        </w:rPr>
        <w:t> </w:t>
      </w:r>
      <w:r>
        <w:rPr>
          <w:color w:val="202529"/>
        </w:rPr>
        <w:t>provided</w:t>
      </w:r>
      <w:r>
        <w:rPr>
          <w:color w:val="202529"/>
          <w:spacing w:val="18"/>
        </w:rPr>
        <w:t> </w:t>
      </w:r>
      <w:r>
        <w:rPr>
          <w:color w:val="202529"/>
        </w:rPr>
        <w:t>a</w:t>
      </w:r>
      <w:r>
        <w:rPr>
          <w:color w:val="202529"/>
          <w:spacing w:val="18"/>
        </w:rPr>
        <w:t> </w:t>
      </w:r>
      <w:r>
        <w:rPr>
          <w:color w:val="202529"/>
        </w:rPr>
        <w:t>bank</w:t>
      </w:r>
      <w:r>
        <w:rPr>
          <w:color w:val="202529"/>
          <w:spacing w:val="18"/>
        </w:rPr>
        <w:t> </w:t>
      </w:r>
      <w:r>
        <w:rPr>
          <w:color w:val="202529"/>
        </w:rPr>
        <w:t>guarantee</w:t>
      </w:r>
      <w:r>
        <w:rPr>
          <w:color w:val="202529"/>
          <w:spacing w:val="18"/>
        </w:rPr>
        <w:t> </w:t>
      </w:r>
      <w:r>
        <w:rPr>
          <w:color w:val="202529"/>
        </w:rPr>
        <w:t>to</w:t>
      </w:r>
      <w:r>
        <w:rPr>
          <w:color w:val="202529"/>
          <w:spacing w:val="18"/>
        </w:rPr>
        <w:t> </w:t>
      </w:r>
      <w:r>
        <w:rPr>
          <w:color w:val="202529"/>
        </w:rPr>
        <w:t>the</w:t>
      </w:r>
      <w:r>
        <w:rPr>
          <w:color w:val="202529"/>
          <w:spacing w:val="18"/>
        </w:rPr>
        <w:t> </w:t>
      </w:r>
      <w:r>
        <w:rPr>
          <w:color w:val="202529"/>
        </w:rPr>
        <w:t>government</w:t>
      </w:r>
      <w:r>
        <w:rPr>
          <w:color w:val="202529"/>
          <w:spacing w:val="18"/>
        </w:rPr>
        <w:t> </w:t>
      </w:r>
      <w:r>
        <w:rPr>
          <w:color w:val="202529"/>
        </w:rPr>
        <w:t>of</w:t>
      </w:r>
      <w:r>
        <w:rPr>
          <w:color w:val="202529"/>
          <w:spacing w:val="18"/>
        </w:rPr>
        <w:t> </w:t>
      </w:r>
      <w:r>
        <w:rPr>
          <w:color w:val="202529"/>
        </w:rPr>
        <w:t>Macau</w:t>
      </w:r>
      <w:r>
        <w:rPr>
          <w:color w:val="202529"/>
          <w:spacing w:val="18"/>
        </w:rPr>
        <w:t> </w:t>
      </w:r>
      <w:r>
        <w:rPr>
          <w:color w:val="202529"/>
        </w:rPr>
        <w:t>in</w:t>
      </w:r>
      <w:r>
        <w:rPr>
          <w:color w:val="202529"/>
          <w:spacing w:val="18"/>
        </w:rPr>
        <w:t> </w:t>
      </w:r>
      <w:r>
        <w:rPr>
          <w:color w:val="202529"/>
        </w:rPr>
        <w:t>the</w:t>
      </w:r>
      <w:r>
        <w:rPr>
          <w:color w:val="202529"/>
          <w:spacing w:val="18"/>
        </w:rPr>
        <w:t> </w:t>
      </w:r>
      <w:r>
        <w:rPr>
          <w:color w:val="202529"/>
        </w:rPr>
        <w:t>amount</w:t>
      </w:r>
      <w:r>
        <w:rPr>
          <w:color w:val="202529"/>
          <w:spacing w:val="18"/>
        </w:rPr>
        <w:t> </w:t>
      </w:r>
      <w:r>
        <w:rPr>
          <w:color w:val="202529"/>
        </w:rPr>
        <w:t>of</w:t>
      </w:r>
      <w:r>
        <w:rPr>
          <w:color w:val="202529"/>
          <w:spacing w:val="18"/>
        </w:rPr>
        <w:t> </w:t>
      </w:r>
      <w:r>
        <w:rPr>
          <w:color w:val="202529"/>
        </w:rPr>
        <w:t>MOP 820 million, which was increased in September 2022 to MOP</w:t>
      </w:r>
      <w:r>
        <w:rPr>
          <w:color w:val="202529"/>
          <w:spacing w:val="-4"/>
        </w:rPr>
        <w:t> </w:t>
      </w:r>
      <w:r>
        <w:rPr>
          <w:color w:val="202529"/>
        </w:rPr>
        <w:t>880 million (approximately $110 million as of December 31, 2022) to warrant the fulfillment of an existing commitment of labor liabilities upon</w:t>
      </w:r>
    </w:p>
    <w:p>
      <w:pPr>
        <w:pStyle w:val="BodyText"/>
      </w:pPr>
    </w:p>
    <w:p>
      <w:pPr>
        <w:pStyle w:val="BodyText"/>
        <w:spacing w:before="188"/>
      </w:pPr>
    </w:p>
    <w:p>
      <w:pPr>
        <w:pStyle w:val="BodyText"/>
        <w:ind w:left="24"/>
        <w:jc w:val="center"/>
      </w:pPr>
      <w:r>
        <w:rPr>
          <w:spacing w:val="-5"/>
        </w:rPr>
        <w:t>89</w:t>
      </w:r>
    </w:p>
    <w:p>
      <w:pPr>
        <w:pStyle w:val="BodyText"/>
        <w:spacing w:before="3"/>
        <w:rPr>
          <w:sz w:val="6"/>
        </w:rPr>
      </w:pPr>
      <w:r>
        <w:rPr/>
        <mc:AlternateContent>
          <mc:Choice Requires="wps">
            <w:drawing>
              <wp:anchor distT="0" distB="0" distL="0" distR="0" allowOverlap="1" layoutInCell="1" locked="0" behindDoc="1" simplePos="0" relativeHeight="487709696">
                <wp:simplePos x="0" y="0"/>
                <wp:positionH relativeFrom="page">
                  <wp:posOffset>231457</wp:posOffset>
                </wp:positionH>
                <wp:positionV relativeFrom="paragraph">
                  <wp:posOffset>60956</wp:posOffset>
                </wp:positionV>
                <wp:extent cx="7312659" cy="17145"/>
                <wp:effectExtent l="0" t="0" r="0" b="0"/>
                <wp:wrapTopAndBottom/>
                <wp:docPr id="605" name="Group 605"/>
                <wp:cNvGraphicFramePr>
                  <a:graphicFrameLocks/>
                </wp:cNvGraphicFramePr>
                <a:graphic>
                  <a:graphicData uri="http://schemas.microsoft.com/office/word/2010/wordprocessingGroup">
                    <wpg:wgp>
                      <wpg:cNvPr id="605" name="Group 605"/>
                      <wpg:cNvGrpSpPr/>
                      <wpg:grpSpPr>
                        <a:xfrm>
                          <a:off x="0" y="0"/>
                          <a:ext cx="7312659" cy="17145"/>
                          <a:chExt cx="7312659" cy="17145"/>
                        </a:xfrm>
                      </wpg:grpSpPr>
                      <wps:wsp>
                        <wps:cNvPr id="606" name="Graphic 6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07" name="Graphic 607"/>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08" name="Graphic 6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06784;mso-wrap-distance-left:0;mso-wrap-distance-right:0" id="docshapegroup603" coordorigin="364,96" coordsize="11516,27">
                <v:rect style="position:absolute;left:364;top:96;width:11516;height:14" id="docshape604" filled="true" fillcolor="#999999" stroked="false">
                  <v:fill type="solid"/>
                </v:rect>
                <v:shape style="position:absolute;left:364;top:95;width:11516;height:27" id="docshape605" coordorigin="364,96" coordsize="11516,27" path="m11880,96l11866,109,364,109,364,123,11866,123,11880,123,11880,109,11880,96xe" filled="true" fillcolor="#ededed" stroked="false">
                  <v:path arrowok="t"/>
                  <v:fill type="solid"/>
                </v:shape>
                <v:shape style="position:absolute;left:364;top:96;width:14;height:27" id="docshape606"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before="63"/>
        <w:ind w:left="144" w:right="118"/>
        <w:jc w:val="both"/>
      </w:pPr>
      <w:r>
        <w:rPr>
          <w:color w:val="202529"/>
        </w:rPr>
        <w:t>expiration of the gaming subconcession. In connection with the expiration of the gaming subconcession and issuance of the gaming concession in </w:t>
      </w:r>
      <w:r>
        <w:rPr>
          <w:color w:val="202529"/>
        </w:rPr>
        <w:t>January</w:t>
      </w:r>
      <w:r>
        <w:rPr>
          <w:color w:val="202529"/>
          <w:spacing w:val="40"/>
        </w:rPr>
        <w:t> </w:t>
      </w:r>
      <w:r>
        <w:rPr>
          <w:color w:val="202529"/>
        </w:rPr>
        <w:t>2023,</w:t>
      </w:r>
      <w:r>
        <w:rPr>
          <w:color w:val="202529"/>
          <w:spacing w:val="10"/>
        </w:rPr>
        <w:t> </w:t>
      </w:r>
      <w:r>
        <w:rPr>
          <w:color w:val="202529"/>
        </w:rPr>
        <w:t>the</w:t>
      </w:r>
      <w:r>
        <w:rPr>
          <w:color w:val="202529"/>
          <w:spacing w:val="10"/>
        </w:rPr>
        <w:t> </w:t>
      </w:r>
      <w:r>
        <w:rPr>
          <w:color w:val="202529"/>
        </w:rPr>
        <w:t>bank</w:t>
      </w:r>
      <w:r>
        <w:rPr>
          <w:color w:val="202529"/>
          <w:spacing w:val="10"/>
        </w:rPr>
        <w:t> </w:t>
      </w:r>
      <w:r>
        <w:rPr>
          <w:color w:val="202529"/>
        </w:rPr>
        <w:t>guarantees</w:t>
      </w:r>
      <w:r>
        <w:rPr>
          <w:color w:val="202529"/>
          <w:spacing w:val="10"/>
        </w:rPr>
        <w:t> </w:t>
      </w:r>
      <w:r>
        <w:rPr>
          <w:color w:val="202529"/>
        </w:rPr>
        <w:t>were</w:t>
      </w:r>
      <w:r>
        <w:rPr>
          <w:color w:val="202529"/>
          <w:spacing w:val="10"/>
        </w:rPr>
        <w:t> </w:t>
      </w:r>
      <w:r>
        <w:rPr>
          <w:color w:val="202529"/>
        </w:rPr>
        <w:t>cancelled</w:t>
      </w:r>
      <w:r>
        <w:rPr>
          <w:color w:val="202529"/>
          <w:spacing w:val="10"/>
        </w:rPr>
        <w:t> </w:t>
      </w:r>
      <w:r>
        <w:rPr>
          <w:color w:val="202529"/>
        </w:rPr>
        <w:t>and</w:t>
      </w:r>
      <w:r>
        <w:rPr>
          <w:color w:val="202529"/>
          <w:spacing w:val="10"/>
        </w:rPr>
        <w:t> </w:t>
      </w:r>
      <w:r>
        <w:rPr>
          <w:color w:val="202529"/>
        </w:rPr>
        <w:t>bank</w:t>
      </w:r>
      <w:r>
        <w:rPr>
          <w:color w:val="202529"/>
          <w:spacing w:val="10"/>
        </w:rPr>
        <w:t> </w:t>
      </w:r>
      <w:r>
        <w:rPr>
          <w:color w:val="202529"/>
        </w:rPr>
        <w:t>guarantees,</w:t>
      </w:r>
      <w:r>
        <w:rPr>
          <w:color w:val="202529"/>
          <w:spacing w:val="10"/>
        </w:rPr>
        <w:t> </w:t>
      </w:r>
      <w:r>
        <w:rPr>
          <w:color w:val="202529"/>
        </w:rPr>
        <w:t>secured</w:t>
      </w:r>
      <w:r>
        <w:rPr>
          <w:color w:val="202529"/>
          <w:spacing w:val="10"/>
        </w:rPr>
        <w:t> </w:t>
      </w:r>
      <w:r>
        <w:rPr>
          <w:color w:val="202529"/>
        </w:rPr>
        <w:t>by</w:t>
      </w:r>
      <w:r>
        <w:rPr>
          <w:color w:val="202529"/>
          <w:spacing w:val="10"/>
        </w:rPr>
        <w:t> </w:t>
      </w:r>
      <w:r>
        <w:rPr>
          <w:color w:val="202529"/>
        </w:rPr>
        <w:t>pledged</w:t>
      </w:r>
      <w:r>
        <w:rPr>
          <w:color w:val="202529"/>
          <w:spacing w:val="10"/>
        </w:rPr>
        <w:t> </w:t>
      </w:r>
      <w:r>
        <w:rPr>
          <w:color w:val="202529"/>
        </w:rPr>
        <w:t>cash,</w:t>
      </w:r>
      <w:r>
        <w:rPr>
          <w:color w:val="202529"/>
          <w:spacing w:val="10"/>
        </w:rPr>
        <w:t> </w:t>
      </w:r>
      <w:r>
        <w:rPr>
          <w:color w:val="202529"/>
        </w:rPr>
        <w:t>were</w:t>
      </w:r>
      <w:r>
        <w:rPr>
          <w:color w:val="202529"/>
          <w:spacing w:val="10"/>
        </w:rPr>
        <w:t> </w:t>
      </w:r>
      <w:r>
        <w:rPr>
          <w:color w:val="202529"/>
        </w:rPr>
        <w:t>provided</w:t>
      </w:r>
      <w:r>
        <w:rPr>
          <w:color w:val="202529"/>
          <w:spacing w:val="10"/>
        </w:rPr>
        <w:t> </w:t>
      </w:r>
      <w:r>
        <w:rPr>
          <w:color w:val="202529"/>
        </w:rPr>
        <w:t>to</w:t>
      </w:r>
      <w:r>
        <w:rPr>
          <w:color w:val="202529"/>
          <w:spacing w:val="10"/>
        </w:rPr>
        <w:t> </w:t>
      </w:r>
      <w:r>
        <w:rPr>
          <w:color w:val="202529"/>
        </w:rPr>
        <w:t>the</w:t>
      </w:r>
      <w:r>
        <w:rPr>
          <w:color w:val="202529"/>
          <w:spacing w:val="10"/>
        </w:rPr>
        <w:t> </w:t>
      </w:r>
      <w:r>
        <w:rPr>
          <w:color w:val="202529"/>
        </w:rPr>
        <w:t>government</w:t>
      </w:r>
      <w:r>
        <w:rPr>
          <w:color w:val="202529"/>
          <w:spacing w:val="10"/>
        </w:rPr>
        <w:t> </w:t>
      </w:r>
      <w:r>
        <w:rPr>
          <w:color w:val="202529"/>
        </w:rPr>
        <w:t>of</w:t>
      </w:r>
      <w:r>
        <w:rPr>
          <w:color w:val="202529"/>
          <w:spacing w:val="10"/>
        </w:rPr>
        <w:t> </w:t>
      </w:r>
      <w:r>
        <w:rPr>
          <w:color w:val="202529"/>
        </w:rPr>
        <w:t>Macau</w:t>
      </w:r>
      <w:r>
        <w:rPr>
          <w:color w:val="202529"/>
          <w:spacing w:val="10"/>
        </w:rPr>
        <w:t> </w:t>
      </w:r>
      <w:r>
        <w:rPr>
          <w:color w:val="202529"/>
        </w:rPr>
        <w:t>in</w:t>
      </w:r>
      <w:r>
        <w:rPr>
          <w:color w:val="202529"/>
          <w:spacing w:val="10"/>
        </w:rPr>
        <w:t> </w:t>
      </w:r>
      <w:r>
        <w:rPr>
          <w:color w:val="202529"/>
        </w:rPr>
        <w:t>the</w:t>
      </w:r>
      <w:r>
        <w:rPr>
          <w:color w:val="202529"/>
          <w:spacing w:val="10"/>
        </w:rPr>
        <w:t> </w:t>
      </w:r>
      <w:r>
        <w:rPr>
          <w:color w:val="202529"/>
        </w:rPr>
        <w:t>amount</w:t>
      </w:r>
      <w:r>
        <w:rPr>
          <w:color w:val="202529"/>
          <w:spacing w:val="10"/>
        </w:rPr>
        <w:t> </w:t>
      </w:r>
      <w:r>
        <w:rPr>
          <w:color w:val="202529"/>
        </w:rPr>
        <w:t>of</w:t>
      </w:r>
      <w:r>
        <w:rPr>
          <w:color w:val="202529"/>
          <w:spacing w:val="10"/>
        </w:rPr>
        <w:t> </w:t>
      </w:r>
      <w:r>
        <w:rPr>
          <w:color w:val="202529"/>
        </w:rPr>
        <w:t>MOP 1</w:t>
      </w:r>
      <w:r>
        <w:rPr>
          <w:color w:val="202529"/>
          <w:spacing w:val="-1"/>
        </w:rPr>
        <w:t> </w:t>
      </w:r>
      <w:r>
        <w:rPr>
          <w:color w:val="202529"/>
        </w:rPr>
        <w:t>billion</w:t>
      </w:r>
      <w:r>
        <w:rPr>
          <w:color w:val="202529"/>
          <w:spacing w:val="-1"/>
        </w:rPr>
        <w:t> </w:t>
      </w:r>
      <w:r>
        <w:rPr>
          <w:color w:val="202529"/>
        </w:rPr>
        <w:t>(approximately</w:t>
      </w:r>
      <w:r>
        <w:rPr>
          <w:color w:val="202529"/>
          <w:spacing w:val="-1"/>
        </w:rPr>
        <w:t> </w:t>
      </w:r>
      <w:r>
        <w:rPr>
          <w:color w:val="202529"/>
        </w:rPr>
        <w:t>$124</w:t>
      </w:r>
      <w:r>
        <w:rPr>
          <w:color w:val="202529"/>
          <w:spacing w:val="-1"/>
        </w:rPr>
        <w:t> </w:t>
      </w:r>
      <w:r>
        <w:rPr>
          <w:color w:val="202529"/>
        </w:rPr>
        <w:t>million</w:t>
      </w:r>
      <w:r>
        <w:rPr>
          <w:color w:val="202529"/>
          <w:spacing w:val="-1"/>
        </w:rPr>
        <w:t> </w:t>
      </w:r>
      <w:r>
        <w:rPr>
          <w:color w:val="202529"/>
        </w:rPr>
        <w:t>as</w:t>
      </w:r>
      <w:r>
        <w:rPr>
          <w:color w:val="202529"/>
          <w:spacing w:val="-1"/>
        </w:rPr>
        <w:t> </w:t>
      </w:r>
      <w:r>
        <w:rPr>
          <w:color w:val="202529"/>
        </w:rPr>
        <w:t>of</w:t>
      </w:r>
      <w:r>
        <w:rPr>
          <w:color w:val="202529"/>
          <w:spacing w:val="-1"/>
        </w:rPr>
        <w:t> </w:t>
      </w:r>
      <w:r>
        <w:rPr>
          <w:color w:val="202529"/>
        </w:rPr>
        <w:t>December</w:t>
      </w:r>
      <w:r>
        <w:rPr>
          <w:color w:val="202529"/>
          <w:spacing w:val="-1"/>
        </w:rPr>
        <w:t> </w:t>
      </w:r>
      <w:r>
        <w:rPr>
          <w:color w:val="202529"/>
        </w:rPr>
        <w:t>31,</w:t>
      </w:r>
      <w:r>
        <w:rPr>
          <w:color w:val="202529"/>
          <w:spacing w:val="-1"/>
        </w:rPr>
        <w:t> </w:t>
      </w:r>
      <w:r>
        <w:rPr>
          <w:color w:val="202529"/>
        </w:rPr>
        <w:t>2022)</w:t>
      </w:r>
      <w:r>
        <w:rPr>
          <w:color w:val="202529"/>
          <w:spacing w:val="-1"/>
        </w:rPr>
        <w:t> </w:t>
      </w:r>
      <w:r>
        <w:rPr>
          <w:color w:val="202529"/>
        </w:rPr>
        <w:t>to</w:t>
      </w:r>
      <w:r>
        <w:rPr>
          <w:color w:val="202529"/>
          <w:spacing w:val="-1"/>
        </w:rPr>
        <w:t> </w:t>
      </w:r>
      <w:r>
        <w:rPr>
          <w:color w:val="202529"/>
        </w:rPr>
        <w:t>warrant</w:t>
      </w:r>
      <w:r>
        <w:rPr>
          <w:color w:val="202529"/>
          <w:spacing w:val="-1"/>
        </w:rPr>
        <w:t> </w:t>
      </w:r>
      <w:r>
        <w:rPr>
          <w:color w:val="202529"/>
        </w:rPr>
        <w:t>the</w:t>
      </w:r>
      <w:r>
        <w:rPr>
          <w:color w:val="202529"/>
          <w:spacing w:val="-1"/>
        </w:rPr>
        <w:t> </w:t>
      </w:r>
      <w:r>
        <w:rPr>
          <w:color w:val="202529"/>
        </w:rPr>
        <w:t>fulfillment</w:t>
      </w:r>
      <w:r>
        <w:rPr>
          <w:color w:val="202529"/>
          <w:spacing w:val="-1"/>
        </w:rPr>
        <w:t> </w:t>
      </w:r>
      <w:r>
        <w:rPr>
          <w:color w:val="202529"/>
        </w:rPr>
        <w:t>of</w:t>
      </w:r>
      <w:r>
        <w:rPr>
          <w:color w:val="202529"/>
          <w:spacing w:val="-1"/>
        </w:rPr>
        <w:t> </w:t>
      </w:r>
      <w:r>
        <w:rPr>
          <w:color w:val="202529"/>
        </w:rPr>
        <w:t>labor</w:t>
      </w:r>
      <w:r>
        <w:rPr>
          <w:color w:val="202529"/>
          <w:spacing w:val="-1"/>
        </w:rPr>
        <w:t> </w:t>
      </w:r>
      <w:r>
        <w:rPr>
          <w:color w:val="202529"/>
        </w:rPr>
        <w:t>liabilities</w:t>
      </w:r>
      <w:r>
        <w:rPr>
          <w:color w:val="202529"/>
          <w:spacing w:val="-1"/>
        </w:rPr>
        <w:t> </w:t>
      </w:r>
      <w:r>
        <w:rPr>
          <w:color w:val="202529"/>
        </w:rPr>
        <w:t>and</w:t>
      </w:r>
      <w:r>
        <w:rPr>
          <w:color w:val="202529"/>
          <w:spacing w:val="-1"/>
        </w:rPr>
        <w:t> </w:t>
      </w:r>
      <w:r>
        <w:rPr>
          <w:color w:val="202529"/>
        </w:rPr>
        <w:t>of</w:t>
      </w:r>
      <w:r>
        <w:rPr>
          <w:color w:val="202529"/>
          <w:spacing w:val="-1"/>
        </w:rPr>
        <w:t> </w:t>
      </w:r>
      <w:r>
        <w:rPr>
          <w:color w:val="202529"/>
        </w:rPr>
        <w:t>damages</w:t>
      </w:r>
      <w:r>
        <w:rPr>
          <w:color w:val="202529"/>
          <w:spacing w:val="-1"/>
        </w:rPr>
        <w:t> </w:t>
      </w:r>
      <w:r>
        <w:rPr>
          <w:color w:val="202529"/>
        </w:rPr>
        <w:t>or</w:t>
      </w:r>
      <w:r>
        <w:rPr>
          <w:color w:val="202529"/>
          <w:spacing w:val="-1"/>
        </w:rPr>
        <w:t> </w:t>
      </w:r>
      <w:r>
        <w:rPr>
          <w:color w:val="202529"/>
        </w:rPr>
        <w:t>losses</w:t>
      </w:r>
      <w:r>
        <w:rPr>
          <w:color w:val="202529"/>
          <w:spacing w:val="-1"/>
        </w:rPr>
        <w:t> </w:t>
      </w:r>
      <w:r>
        <w:rPr>
          <w:color w:val="202529"/>
        </w:rPr>
        <w:t>that</w:t>
      </w:r>
      <w:r>
        <w:rPr>
          <w:color w:val="202529"/>
          <w:spacing w:val="-1"/>
        </w:rPr>
        <w:t> </w:t>
      </w:r>
      <w:r>
        <w:rPr>
          <w:color w:val="202529"/>
        </w:rPr>
        <w:t>may</w:t>
      </w:r>
      <w:r>
        <w:rPr>
          <w:color w:val="202529"/>
          <w:spacing w:val="-1"/>
        </w:rPr>
        <w:t> </w:t>
      </w:r>
      <w:r>
        <w:rPr>
          <w:color w:val="202529"/>
        </w:rPr>
        <w:t>result</w:t>
      </w:r>
      <w:r>
        <w:rPr>
          <w:color w:val="202529"/>
          <w:spacing w:val="-1"/>
        </w:rPr>
        <w:t> </w:t>
      </w:r>
      <w:r>
        <w:rPr>
          <w:color w:val="202529"/>
        </w:rPr>
        <w:t>if</w:t>
      </w:r>
      <w:r>
        <w:rPr>
          <w:color w:val="202529"/>
          <w:spacing w:val="-1"/>
        </w:rPr>
        <w:t> </w:t>
      </w:r>
      <w:r>
        <w:rPr>
          <w:color w:val="202529"/>
        </w:rPr>
        <w:t>there</w:t>
      </w:r>
      <w:r>
        <w:rPr>
          <w:color w:val="202529"/>
          <w:spacing w:val="-1"/>
        </w:rPr>
        <w:t> </w:t>
      </w:r>
      <w:r>
        <w:rPr>
          <w:color w:val="202529"/>
        </w:rPr>
        <w:t>is noncompliance with the concession. The guarantees expire 180 days after the end of the concession term.</w:t>
      </w:r>
    </w:p>
    <w:p>
      <w:pPr>
        <w:pStyle w:val="BodyText"/>
        <w:spacing w:before="6"/>
      </w:pPr>
    </w:p>
    <w:p>
      <w:pPr>
        <w:pStyle w:val="BodyText"/>
        <w:spacing w:line="237" w:lineRule="auto"/>
        <w:ind w:left="144" w:right="118" w:firstLine="499"/>
        <w:jc w:val="both"/>
      </w:pPr>
      <w:r>
        <w:rPr>
          <w:i/>
        </w:rPr>
        <w:t>Bellagio</w:t>
      </w:r>
      <w:r>
        <w:rPr>
          <w:i/>
          <w:spacing w:val="-2"/>
        </w:rPr>
        <w:t> </w:t>
      </w:r>
      <w:r>
        <w:rPr>
          <w:i/>
        </w:rPr>
        <w:t>BREIT</w:t>
      </w:r>
      <w:r>
        <w:rPr>
          <w:i/>
          <w:spacing w:val="-5"/>
        </w:rPr>
        <w:t> </w:t>
      </w:r>
      <w:r>
        <w:rPr>
          <w:i/>
        </w:rPr>
        <w:t>Venture</w:t>
      </w:r>
      <w:r>
        <w:rPr>
          <w:i/>
          <w:spacing w:val="-2"/>
        </w:rPr>
        <w:t> </w:t>
      </w:r>
      <w:r>
        <w:rPr>
          <w:i/>
        </w:rPr>
        <w:t>shortfall</w:t>
      </w:r>
      <w:r>
        <w:rPr>
          <w:i/>
          <w:spacing w:val="-2"/>
        </w:rPr>
        <w:t> </w:t>
      </w:r>
      <w:r>
        <w:rPr>
          <w:i/>
        </w:rPr>
        <w:t>guarantee.</w:t>
      </w:r>
      <w:r>
        <w:rPr>
          <w:i/>
          <w:spacing w:val="-5"/>
        </w:rPr>
        <w:t> </w:t>
      </w:r>
      <w:r>
        <w:rPr>
          <w:color w:val="202529"/>
        </w:rPr>
        <w:t>The</w:t>
      </w:r>
      <w:r>
        <w:rPr>
          <w:color w:val="202529"/>
          <w:spacing w:val="-2"/>
        </w:rPr>
        <w:t> </w:t>
      </w:r>
      <w:r>
        <w:rPr>
          <w:color w:val="202529"/>
        </w:rPr>
        <w:t>Company</w:t>
      </w:r>
      <w:r>
        <w:rPr>
          <w:color w:val="202529"/>
          <w:spacing w:val="-2"/>
        </w:rPr>
        <w:t> </w:t>
      </w:r>
      <w:r>
        <w:rPr>
          <w:color w:val="202529"/>
        </w:rPr>
        <w:t>provides</w:t>
      </w:r>
      <w:r>
        <w:rPr>
          <w:color w:val="202529"/>
          <w:spacing w:val="-2"/>
        </w:rPr>
        <w:t> </w:t>
      </w:r>
      <w:r>
        <w:rPr>
          <w:color w:val="202529"/>
        </w:rPr>
        <w:t>a</w:t>
      </w:r>
      <w:r>
        <w:rPr>
          <w:color w:val="202529"/>
          <w:spacing w:val="-2"/>
        </w:rPr>
        <w:t> </w:t>
      </w:r>
      <w:r>
        <w:rPr>
          <w:color w:val="202529"/>
        </w:rPr>
        <w:t>shortfall</w:t>
      </w:r>
      <w:r>
        <w:rPr>
          <w:color w:val="202529"/>
          <w:spacing w:val="-2"/>
        </w:rPr>
        <w:t> </w:t>
      </w:r>
      <w:r>
        <w:rPr>
          <w:color w:val="202529"/>
        </w:rPr>
        <w:t>guarantee</w:t>
      </w:r>
      <w:r>
        <w:rPr>
          <w:color w:val="202529"/>
          <w:spacing w:val="-2"/>
        </w:rPr>
        <w:t> </w:t>
      </w:r>
      <w:r>
        <w:rPr>
          <w:color w:val="202529"/>
        </w:rPr>
        <w:t>of</w:t>
      </w:r>
      <w:r>
        <w:rPr>
          <w:color w:val="202529"/>
          <w:spacing w:val="-2"/>
        </w:rPr>
        <w:t> </w:t>
      </w:r>
      <w:r>
        <w:rPr>
          <w:color w:val="202529"/>
        </w:rPr>
        <w:t>the</w:t>
      </w:r>
      <w:r>
        <w:rPr>
          <w:color w:val="202529"/>
          <w:spacing w:val="-2"/>
        </w:rPr>
        <w:t> </w:t>
      </w:r>
      <w:r>
        <w:rPr>
          <w:color w:val="202529"/>
        </w:rPr>
        <w:t>$3.01</w:t>
      </w:r>
      <w:r>
        <w:rPr>
          <w:color w:val="202529"/>
          <w:spacing w:val="-2"/>
        </w:rPr>
        <w:t> </w:t>
      </w:r>
      <w:r>
        <w:rPr>
          <w:color w:val="202529"/>
        </w:rPr>
        <w:t>billion</w:t>
      </w:r>
      <w:r>
        <w:rPr>
          <w:color w:val="202529"/>
          <w:spacing w:val="-2"/>
        </w:rPr>
        <w:t> </w:t>
      </w:r>
      <w:r>
        <w:rPr>
          <w:color w:val="202529"/>
        </w:rPr>
        <w:t>principal</w:t>
      </w:r>
      <w:r>
        <w:rPr>
          <w:color w:val="202529"/>
          <w:spacing w:val="-2"/>
        </w:rPr>
        <w:t> </w:t>
      </w:r>
      <w:r>
        <w:rPr>
          <w:color w:val="202529"/>
        </w:rPr>
        <w:t>amount</w:t>
      </w:r>
      <w:r>
        <w:rPr>
          <w:color w:val="202529"/>
          <w:spacing w:val="-2"/>
        </w:rPr>
        <w:t> </w:t>
      </w:r>
      <w:r>
        <w:rPr>
          <w:color w:val="202529"/>
        </w:rPr>
        <w:t>of</w:t>
      </w:r>
      <w:r>
        <w:rPr>
          <w:color w:val="202529"/>
          <w:spacing w:val="-2"/>
        </w:rPr>
        <w:t> </w:t>
      </w:r>
      <w:r>
        <w:rPr>
          <w:color w:val="202529"/>
        </w:rPr>
        <w:t>indebtedness</w:t>
      </w:r>
      <w:r>
        <w:rPr>
          <w:color w:val="202529"/>
          <w:spacing w:val="-2"/>
        </w:rPr>
        <w:t> </w:t>
      </w:r>
      <w:r>
        <w:rPr>
          <w:color w:val="202529"/>
        </w:rPr>
        <w:t>(and</w:t>
      </w:r>
      <w:r>
        <w:rPr>
          <w:color w:val="202529"/>
          <w:spacing w:val="-2"/>
        </w:rPr>
        <w:t> </w:t>
      </w:r>
      <w:r>
        <w:rPr>
          <w:color w:val="202529"/>
        </w:rPr>
        <w:t>any interest accrued and unpaid thereon) of Bellagio BREIT Venture, which matures in 2029. The terms of the shortfall guarantee provide that after the </w:t>
      </w:r>
      <w:r>
        <w:rPr>
          <w:color w:val="202529"/>
        </w:rPr>
        <w:t>lenders</w:t>
      </w:r>
      <w:r>
        <w:rPr>
          <w:color w:val="202529"/>
          <w:spacing w:val="40"/>
        </w:rPr>
        <w:t> </w:t>
      </w:r>
      <w:r>
        <w:rPr>
          <w:color w:val="202529"/>
        </w:rPr>
        <w:t>have exhausted certain remedies to collect on the obligations under the indebtedness, the Company would then be responsible for any shortfall between the value of the collateral, which is the real estate assets of Bellagio owned by Bellagio BREIT Venture, and the debt obligation. This guarantee is accounted for under ASC 460 at fair value; such value is immaterial.</w:t>
      </w:r>
    </w:p>
    <w:p>
      <w:pPr>
        <w:pStyle w:val="BodyText"/>
        <w:spacing w:before="24"/>
      </w:pPr>
    </w:p>
    <w:p>
      <w:pPr>
        <w:pStyle w:val="BodyText"/>
        <w:spacing w:line="237" w:lineRule="auto"/>
        <w:ind w:left="144" w:right="118" w:firstLine="499"/>
        <w:jc w:val="both"/>
      </w:pPr>
      <w:r>
        <w:rPr>
          <w:i/>
        </w:rPr>
        <w:t>VICI BREIT Venture shortfall guarantee. </w:t>
      </w:r>
      <w:r>
        <w:rPr>
          <w:color w:val="202529"/>
        </w:rPr>
        <w:t>The Company provides a shortfall guarantee of the $3.0 billion principal amount of indebtedness (and </w:t>
      </w:r>
      <w:r>
        <w:rPr>
          <w:color w:val="202529"/>
        </w:rPr>
        <w:t>any interest accrued and unpaid thereon) of VICI BREIT Venture, which has an initial term of 12 years, maturing in 2032, with an anticipated repayment date of March 2030. The terms of the shortfall guarantee provide that after the lenders have exhausted certain remedies to collect on the obligations under the indebtedness, the Company would then be responsible for any shortfall between the value of the collateral, which is the real estate assets of Mandalay Bay and MGM Grand Las Vegas, owned by VICI BREIT Venture, and the debt obligation. This guarantee is accounted for under</w:t>
      </w:r>
      <w:r>
        <w:rPr>
          <w:color w:val="202529"/>
          <w:spacing w:val="-4"/>
        </w:rPr>
        <w:t> </w:t>
      </w:r>
      <w:r>
        <w:rPr>
          <w:color w:val="202529"/>
        </w:rPr>
        <w:t>ASC 460 at fair value; such value is </w:t>
      </w:r>
      <w:r>
        <w:rPr>
          <w:color w:val="202529"/>
          <w:spacing w:val="-2"/>
        </w:rPr>
        <w:t>immaterial</w:t>
      </w:r>
      <w:r>
        <w:rPr>
          <w:spacing w:val="-2"/>
        </w:rPr>
        <w:t>.</w:t>
      </w:r>
    </w:p>
    <w:p>
      <w:pPr>
        <w:pStyle w:val="BodyText"/>
      </w:pPr>
    </w:p>
    <w:p>
      <w:pPr>
        <w:pStyle w:val="BodyText"/>
      </w:pPr>
    </w:p>
    <w:p>
      <w:pPr>
        <w:pStyle w:val="BodyText"/>
      </w:pPr>
    </w:p>
    <w:p>
      <w:pPr>
        <w:pStyle w:val="BodyText"/>
      </w:pPr>
    </w:p>
    <w:p>
      <w:pPr>
        <w:pStyle w:val="BodyText"/>
        <w:spacing w:before="2"/>
      </w:pPr>
    </w:p>
    <w:p>
      <w:pPr>
        <w:pStyle w:val="BodyText"/>
        <w:ind w:left="24"/>
        <w:jc w:val="center"/>
      </w:pPr>
      <w:r>
        <w:rPr>
          <w:spacing w:val="-5"/>
        </w:rPr>
        <w:t>90</w:t>
      </w:r>
    </w:p>
    <w:p>
      <w:pPr>
        <w:pStyle w:val="BodyText"/>
        <w:spacing w:before="3"/>
        <w:rPr>
          <w:sz w:val="6"/>
        </w:rPr>
      </w:pPr>
      <w:r>
        <w:rPr/>
        <mc:AlternateContent>
          <mc:Choice Requires="wps">
            <w:drawing>
              <wp:anchor distT="0" distB="0" distL="0" distR="0" allowOverlap="1" layoutInCell="1" locked="0" behindDoc="1" simplePos="0" relativeHeight="487710720">
                <wp:simplePos x="0" y="0"/>
                <wp:positionH relativeFrom="page">
                  <wp:posOffset>231457</wp:posOffset>
                </wp:positionH>
                <wp:positionV relativeFrom="paragraph">
                  <wp:posOffset>60956</wp:posOffset>
                </wp:positionV>
                <wp:extent cx="7312659" cy="17145"/>
                <wp:effectExtent l="0" t="0" r="0" b="0"/>
                <wp:wrapTopAndBottom/>
                <wp:docPr id="609" name="Group 609"/>
                <wp:cNvGraphicFramePr>
                  <a:graphicFrameLocks/>
                </wp:cNvGraphicFramePr>
                <a:graphic>
                  <a:graphicData uri="http://schemas.microsoft.com/office/word/2010/wordprocessingGroup">
                    <wpg:wgp>
                      <wpg:cNvPr id="609" name="Group 609"/>
                      <wpg:cNvGrpSpPr/>
                      <wpg:grpSpPr>
                        <a:xfrm>
                          <a:off x="0" y="0"/>
                          <a:ext cx="7312659" cy="17145"/>
                          <a:chExt cx="7312659" cy="17145"/>
                        </a:xfrm>
                      </wpg:grpSpPr>
                      <wps:wsp>
                        <wps:cNvPr id="610" name="Graphic 6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11" name="Graphic 611"/>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12" name="Graphic 6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05760;mso-wrap-distance-left:0;mso-wrap-distance-right:0" id="docshapegroup607" coordorigin="364,96" coordsize="11516,27">
                <v:rect style="position:absolute;left:364;top:96;width:11516;height:14" id="docshape608" filled="true" fillcolor="#999999" stroked="false">
                  <v:fill type="solid"/>
                </v:rect>
                <v:shape style="position:absolute;left:364;top:96;width:11516;height:27" id="docshape609" coordorigin="364,96" coordsize="11516,27" path="m11880,96l11866,109,364,109,364,123,11866,123,11880,123,11880,109,11880,96xe" filled="true" fillcolor="#ededed" stroked="false">
                  <v:path arrowok="t"/>
                  <v:fill type="solid"/>
                </v:shape>
                <v:shape style="position:absolute;left:364;top:96;width:14;height:27" id="docshape610"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4"/>
        <w:spacing w:before="63"/>
      </w:pPr>
      <w:r>
        <w:rPr/>
        <w:t>NOTE</w:t>
      </w:r>
      <w:r>
        <w:rPr>
          <w:spacing w:val="-3"/>
        </w:rPr>
        <w:t> </w:t>
      </w:r>
      <w:r>
        <w:rPr/>
        <w:t>13</w:t>
      </w:r>
      <w:r>
        <w:rPr>
          <w:spacing w:val="-2"/>
        </w:rPr>
        <w:t> </w:t>
      </w:r>
      <w:r>
        <w:rPr/>
        <w:t>—</w:t>
      </w:r>
      <w:r>
        <w:rPr>
          <w:spacing w:val="-2"/>
        </w:rPr>
        <w:t> </w:t>
      </w:r>
      <w:r>
        <w:rPr/>
        <w:t>STOCKHOLDERS’</w:t>
      </w:r>
      <w:r>
        <w:rPr>
          <w:spacing w:val="-14"/>
        </w:rPr>
        <w:t> </w:t>
      </w:r>
      <w:r>
        <w:rPr>
          <w:spacing w:val="-2"/>
        </w:rPr>
        <w:t>EQUITY</w:t>
      </w:r>
    </w:p>
    <w:p>
      <w:pPr>
        <w:pStyle w:val="BodyText"/>
        <w:spacing w:before="4"/>
        <w:rPr>
          <w:b/>
        </w:rPr>
      </w:pPr>
    </w:p>
    <w:p>
      <w:pPr>
        <w:spacing w:before="0"/>
        <w:ind w:left="394" w:right="0" w:firstLine="0"/>
        <w:jc w:val="left"/>
        <w:rPr>
          <w:i/>
          <w:sz w:val="18"/>
        </w:rPr>
      </w:pPr>
      <w:r>
        <w:rPr>
          <w:i/>
          <w:sz w:val="18"/>
        </w:rPr>
        <w:t>Accumulated</w:t>
      </w:r>
      <w:r>
        <w:rPr>
          <w:i/>
          <w:spacing w:val="-3"/>
          <w:sz w:val="18"/>
        </w:rPr>
        <w:t> </w:t>
      </w:r>
      <w:r>
        <w:rPr>
          <w:i/>
          <w:sz w:val="18"/>
        </w:rPr>
        <w:t>Other</w:t>
      </w:r>
      <w:r>
        <w:rPr>
          <w:i/>
          <w:spacing w:val="-3"/>
          <w:sz w:val="18"/>
        </w:rPr>
        <w:t> </w:t>
      </w:r>
      <w:r>
        <w:rPr>
          <w:i/>
          <w:sz w:val="18"/>
        </w:rPr>
        <w:t>Comprehensive</w:t>
      </w:r>
      <w:r>
        <w:rPr>
          <w:i/>
          <w:spacing w:val="-3"/>
          <w:sz w:val="18"/>
        </w:rPr>
        <w:t> </w:t>
      </w:r>
      <w:r>
        <w:rPr>
          <w:i/>
          <w:sz w:val="18"/>
        </w:rPr>
        <w:t>Income</w:t>
      </w:r>
      <w:r>
        <w:rPr>
          <w:i/>
          <w:spacing w:val="-2"/>
          <w:sz w:val="18"/>
        </w:rPr>
        <w:t> (Loss)</w:t>
      </w:r>
    </w:p>
    <w:p>
      <w:pPr>
        <w:pStyle w:val="BodyText"/>
        <w:spacing w:before="18"/>
        <w:rPr>
          <w:i/>
        </w:rPr>
      </w:pPr>
    </w:p>
    <w:p>
      <w:pPr>
        <w:pStyle w:val="BodyText"/>
        <w:ind w:left="644"/>
      </w:pPr>
      <w:r>
        <w:rPr/>
        <w:t>Changes</w:t>
      </w:r>
      <w:r>
        <w:rPr>
          <w:spacing w:val="-1"/>
        </w:rPr>
        <w:t> </w:t>
      </w:r>
      <w:r>
        <w:rPr/>
        <w:t>in</w:t>
      </w:r>
      <w:r>
        <w:rPr>
          <w:spacing w:val="-1"/>
        </w:rPr>
        <w:t> </w:t>
      </w:r>
      <w:r>
        <w:rPr/>
        <w:t>accumulated</w:t>
      </w:r>
      <w:r>
        <w:rPr>
          <w:spacing w:val="-1"/>
        </w:rPr>
        <w:t> </w:t>
      </w:r>
      <w:r>
        <w:rPr/>
        <w:t>other</w:t>
      </w:r>
      <w:r>
        <w:rPr>
          <w:spacing w:val="-1"/>
        </w:rPr>
        <w:t> </w:t>
      </w:r>
      <w:r>
        <w:rPr/>
        <w:t>comprehensive</w:t>
      </w:r>
      <w:r>
        <w:rPr>
          <w:spacing w:val="-1"/>
        </w:rPr>
        <w:t> </w:t>
      </w:r>
      <w:r>
        <w:rPr/>
        <w:t>income</w:t>
      </w:r>
      <w:r>
        <w:rPr>
          <w:spacing w:val="-1"/>
        </w:rPr>
        <w:t> </w:t>
      </w:r>
      <w:r>
        <w:rPr/>
        <w:t>(loss)</w:t>
      </w:r>
      <w:r>
        <w:rPr>
          <w:spacing w:val="-1"/>
        </w:rPr>
        <w:t> </w:t>
      </w:r>
      <w:r>
        <w:rPr/>
        <w:t>attributable</w:t>
      </w:r>
      <w:r>
        <w:rPr>
          <w:spacing w:val="-1"/>
        </w:rPr>
        <w:t> </w:t>
      </w:r>
      <w:r>
        <w:rPr/>
        <w:t>to</w:t>
      </w:r>
      <w:r>
        <w:rPr>
          <w:spacing w:val="-1"/>
        </w:rPr>
        <w:t> </w:t>
      </w:r>
      <w:r>
        <w:rPr/>
        <w:t>MGM</w:t>
      </w:r>
      <w:r>
        <w:rPr>
          <w:spacing w:val="-1"/>
        </w:rPr>
        <w:t> </w:t>
      </w:r>
      <w:r>
        <w:rPr/>
        <w:t>Resorts</w:t>
      </w:r>
      <w:r>
        <w:rPr>
          <w:spacing w:val="-1"/>
        </w:rPr>
        <w:t> </w:t>
      </w:r>
      <w:r>
        <w:rPr/>
        <w:t>International</w:t>
      </w:r>
      <w:r>
        <w:rPr>
          <w:spacing w:val="-1"/>
        </w:rPr>
        <w:t> </w:t>
      </w:r>
      <w:r>
        <w:rPr/>
        <w:t>are</w:t>
      </w:r>
      <w:r>
        <w:rPr>
          <w:spacing w:val="-1"/>
        </w:rPr>
        <w:t> </w:t>
      </w:r>
      <w:r>
        <w:rPr/>
        <w:t>as</w:t>
      </w:r>
      <w:r>
        <w:rPr>
          <w:spacing w:val="-1"/>
        </w:rPr>
        <w:t> </w:t>
      </w:r>
      <w:r>
        <w:rPr>
          <w:spacing w:val="-2"/>
        </w:rPr>
        <w:t>follows:</w:t>
      </w:r>
    </w:p>
    <w:p>
      <w:pPr>
        <w:pStyle w:val="BodyText"/>
        <w:spacing w:before="101"/>
        <w:rPr>
          <w:sz w:val="14"/>
        </w:rPr>
      </w:pPr>
    </w:p>
    <w:p>
      <w:pPr>
        <w:spacing w:before="1"/>
        <w:ind w:left="305" w:right="0" w:firstLine="0"/>
        <w:jc w:val="center"/>
        <w:rPr>
          <w:b/>
          <w:sz w:val="14"/>
        </w:rPr>
      </w:pPr>
      <w:r>
        <w:rPr>
          <w:b/>
          <w:sz w:val="14"/>
        </w:rPr>
        <w:t>Currency</w:t>
      </w:r>
      <w:r>
        <w:rPr>
          <w:b/>
          <w:spacing w:val="6"/>
          <w:sz w:val="14"/>
        </w:rPr>
        <w:t> </w:t>
      </w:r>
      <w:r>
        <w:rPr>
          <w:b/>
          <w:spacing w:val="-2"/>
          <w:sz w:val="14"/>
        </w:rPr>
        <w:t>Translation</w:t>
      </w:r>
    </w:p>
    <w:p>
      <w:pPr>
        <w:tabs>
          <w:tab w:pos="6334" w:val="left" w:leader="none"/>
          <w:tab w:pos="8325" w:val="left" w:leader="none"/>
          <w:tab w:pos="9959" w:val="left" w:leader="none"/>
        </w:tabs>
        <w:spacing w:before="1"/>
        <w:ind w:left="4898" w:right="0" w:firstLine="0"/>
        <w:jc w:val="center"/>
        <w:rPr>
          <w:b/>
          <w:sz w:val="14"/>
        </w:rPr>
      </w:pPr>
      <w:r>
        <w:rPr/>
        <mc:AlternateContent>
          <mc:Choice Requires="wps">
            <w:drawing>
              <wp:anchor distT="0" distB="0" distL="0" distR="0" allowOverlap="1" layoutInCell="1" locked="0" behindDoc="1" simplePos="0" relativeHeight="487711232">
                <wp:simplePos x="0" y="0"/>
                <wp:positionH relativeFrom="page">
                  <wp:posOffset>3497567</wp:posOffset>
                </wp:positionH>
                <wp:positionV relativeFrom="paragraph">
                  <wp:posOffset>126450</wp:posOffset>
                </wp:positionV>
                <wp:extent cx="4020820" cy="8890"/>
                <wp:effectExtent l="0" t="0" r="0" b="0"/>
                <wp:wrapTopAndBottom/>
                <wp:docPr id="613" name="Graphic 613"/>
                <wp:cNvGraphicFramePr>
                  <a:graphicFrameLocks/>
                </wp:cNvGraphicFramePr>
                <a:graphic>
                  <a:graphicData uri="http://schemas.microsoft.com/office/word/2010/wordprocessingShape">
                    <wps:wsp>
                      <wps:cNvPr id="613" name="Graphic 613"/>
                      <wps:cNvSpPr/>
                      <wps:spPr>
                        <a:xfrm>
                          <a:off x="0" y="0"/>
                          <a:ext cx="4020820" cy="8890"/>
                        </a:xfrm>
                        <a:custGeom>
                          <a:avLst/>
                          <a:gdLst/>
                          <a:ahLst/>
                          <a:cxnLst/>
                          <a:rect l="l" t="t" r="r" b="b"/>
                          <a:pathLst>
                            <a:path w="4020820" h="8890">
                              <a:moveTo>
                                <a:pt x="4020502" y="0"/>
                              </a:moveTo>
                              <a:lnTo>
                                <a:pt x="4020502" y="0"/>
                              </a:lnTo>
                              <a:lnTo>
                                <a:pt x="0" y="0"/>
                              </a:lnTo>
                              <a:lnTo>
                                <a:pt x="0" y="8572"/>
                              </a:lnTo>
                              <a:lnTo>
                                <a:pt x="4020502" y="8572"/>
                              </a:lnTo>
                              <a:lnTo>
                                <a:pt x="40205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5.399017pt;margin-top:9.956731pt;width:316.575015pt;height:.675pt;mso-position-horizontal-relative:page;mso-position-vertical-relative:paragraph;z-index:-15605248;mso-wrap-distance-left:0;mso-wrap-distance-right:0" id="docshape611" filled="true" fillcolor="#000000" stroked="false">
                <v:fill type="solid"/>
                <w10:wrap type="topAndBottom"/>
              </v:rect>
            </w:pict>
          </mc:Fallback>
        </mc:AlternateContent>
      </w:r>
      <w:r>
        <w:rPr>
          <w:b/>
          <w:spacing w:val="-2"/>
          <w:sz w:val="14"/>
        </w:rPr>
        <w:t>Adjustments</w:t>
      </w:r>
      <w:r>
        <w:rPr>
          <w:b/>
          <w:sz w:val="14"/>
        </w:rPr>
        <w:tab/>
        <w:t>Cash</w:t>
      </w:r>
      <w:r>
        <w:rPr>
          <w:b/>
          <w:spacing w:val="5"/>
          <w:sz w:val="14"/>
        </w:rPr>
        <w:t> </w:t>
      </w:r>
      <w:r>
        <w:rPr>
          <w:b/>
          <w:sz w:val="14"/>
        </w:rPr>
        <w:t>Flow</w:t>
      </w:r>
      <w:r>
        <w:rPr>
          <w:b/>
          <w:spacing w:val="6"/>
          <w:sz w:val="14"/>
        </w:rPr>
        <w:t> </w:t>
      </w:r>
      <w:r>
        <w:rPr>
          <w:b/>
          <w:spacing w:val="-2"/>
          <w:sz w:val="14"/>
        </w:rPr>
        <w:t>Hedges</w:t>
      </w:r>
      <w:r>
        <w:rPr>
          <w:b/>
          <w:sz w:val="14"/>
        </w:rPr>
        <w:tab/>
      </w:r>
      <w:r>
        <w:rPr>
          <w:b/>
          <w:spacing w:val="-2"/>
          <w:sz w:val="14"/>
        </w:rPr>
        <w:t>Other</w:t>
      </w:r>
      <w:r>
        <w:rPr>
          <w:b/>
          <w:sz w:val="14"/>
        </w:rPr>
        <w:tab/>
      </w:r>
      <w:r>
        <w:rPr>
          <w:b/>
          <w:spacing w:val="-4"/>
          <w:sz w:val="14"/>
        </w:rPr>
        <w:t>Total</w:t>
      </w:r>
    </w:p>
    <w:p>
      <w:pPr>
        <w:spacing w:before="17" w:after="38"/>
        <w:ind w:left="5129"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3"/>
        <w:gridCol w:w="539"/>
        <w:gridCol w:w="1017"/>
        <w:gridCol w:w="594"/>
        <w:gridCol w:w="1013"/>
        <w:gridCol w:w="592"/>
        <w:gridCol w:w="1012"/>
        <w:gridCol w:w="593"/>
        <w:gridCol w:w="1004"/>
      </w:tblGrid>
      <w:tr>
        <w:trPr>
          <w:trHeight w:val="215" w:hRule="atLeast"/>
        </w:trPr>
        <w:tc>
          <w:tcPr>
            <w:tcW w:w="5143" w:type="dxa"/>
            <w:shd w:val="clear" w:color="auto" w:fill="CCEDFF"/>
          </w:tcPr>
          <w:p>
            <w:pPr>
              <w:pStyle w:val="TableParagraph"/>
              <w:spacing w:before="17"/>
              <w:ind w:left="52"/>
              <w:rPr>
                <w:b/>
                <w:sz w:val="14"/>
              </w:rPr>
            </w:pPr>
            <w:r>
              <w:rPr>
                <w:b/>
                <w:sz w:val="14"/>
              </w:rPr>
              <w:t>Balances,</w:t>
            </w:r>
            <w:r>
              <w:rPr>
                <w:b/>
                <w:spacing w:val="7"/>
                <w:sz w:val="14"/>
              </w:rPr>
              <w:t> </w:t>
            </w:r>
            <w:r>
              <w:rPr>
                <w:b/>
                <w:sz w:val="14"/>
              </w:rPr>
              <w:t>January</w:t>
            </w:r>
            <w:r>
              <w:rPr>
                <w:b/>
                <w:spacing w:val="8"/>
                <w:sz w:val="14"/>
              </w:rPr>
              <w:t> </w:t>
            </w:r>
            <w:r>
              <w:rPr>
                <w:b/>
                <w:sz w:val="14"/>
              </w:rPr>
              <w:t>1,</w:t>
            </w:r>
            <w:r>
              <w:rPr>
                <w:b/>
                <w:spacing w:val="8"/>
                <w:sz w:val="14"/>
              </w:rPr>
              <w:t> </w:t>
            </w:r>
            <w:r>
              <w:rPr>
                <w:b/>
                <w:spacing w:val="-4"/>
                <w:sz w:val="14"/>
              </w:rPr>
              <w:t>2020</w:t>
            </w:r>
          </w:p>
        </w:tc>
        <w:tc>
          <w:tcPr>
            <w:tcW w:w="539" w:type="dxa"/>
            <w:tcBorders>
              <w:bottom w:val="single" w:sz="6" w:space="0" w:color="000000"/>
            </w:tcBorders>
            <w:shd w:val="clear" w:color="auto" w:fill="CCEDFF"/>
          </w:tcPr>
          <w:p>
            <w:pPr>
              <w:pStyle w:val="TableParagraph"/>
              <w:spacing w:before="17"/>
              <w:ind w:left="15"/>
              <w:rPr>
                <w:sz w:val="14"/>
              </w:rPr>
            </w:pPr>
            <w:r>
              <w:rPr>
                <w:spacing w:val="-10"/>
                <w:sz w:val="14"/>
              </w:rPr>
              <w:t>$</w:t>
            </w:r>
          </w:p>
        </w:tc>
        <w:tc>
          <w:tcPr>
            <w:tcW w:w="1017" w:type="dxa"/>
            <w:tcBorders>
              <w:bottom w:val="single" w:sz="6" w:space="0" w:color="000000"/>
            </w:tcBorders>
            <w:shd w:val="clear" w:color="auto" w:fill="CCEDFF"/>
          </w:tcPr>
          <w:p>
            <w:pPr>
              <w:pStyle w:val="TableParagraph"/>
              <w:spacing w:before="17"/>
              <w:ind w:right="69"/>
              <w:jc w:val="right"/>
              <w:rPr>
                <w:sz w:val="14"/>
              </w:rPr>
            </w:pPr>
            <w:r>
              <w:rPr>
                <w:spacing w:val="-2"/>
                <w:sz w:val="14"/>
              </w:rPr>
              <w:t>(2,747)</w:t>
            </w:r>
          </w:p>
        </w:tc>
        <w:tc>
          <w:tcPr>
            <w:tcW w:w="594" w:type="dxa"/>
            <w:tcBorders>
              <w:bottom w:val="single" w:sz="6" w:space="0" w:color="000000"/>
            </w:tcBorders>
            <w:shd w:val="clear" w:color="auto" w:fill="CCEDFF"/>
          </w:tcPr>
          <w:p>
            <w:pPr>
              <w:pStyle w:val="TableParagraph"/>
              <w:spacing w:before="17"/>
              <w:ind w:left="75"/>
              <w:rPr>
                <w:sz w:val="14"/>
              </w:rPr>
            </w:pPr>
            <w:r>
              <w:rPr>
                <w:spacing w:val="-10"/>
                <w:sz w:val="14"/>
              </w:rPr>
              <w:t>$</w:t>
            </w:r>
          </w:p>
        </w:tc>
        <w:tc>
          <w:tcPr>
            <w:tcW w:w="1013" w:type="dxa"/>
            <w:tcBorders>
              <w:bottom w:val="single" w:sz="6" w:space="0" w:color="000000"/>
            </w:tcBorders>
            <w:shd w:val="clear" w:color="auto" w:fill="CCEDFF"/>
          </w:tcPr>
          <w:p>
            <w:pPr>
              <w:pStyle w:val="TableParagraph"/>
              <w:spacing w:before="17"/>
              <w:ind w:right="66"/>
              <w:jc w:val="right"/>
              <w:rPr>
                <w:sz w:val="14"/>
              </w:rPr>
            </w:pPr>
            <w:r>
              <w:rPr>
                <w:spacing w:val="-2"/>
                <w:sz w:val="14"/>
              </w:rPr>
              <w:t>(10,829)</w:t>
            </w:r>
          </w:p>
        </w:tc>
        <w:tc>
          <w:tcPr>
            <w:tcW w:w="592" w:type="dxa"/>
            <w:tcBorders>
              <w:bottom w:val="single" w:sz="6" w:space="0" w:color="000000"/>
            </w:tcBorders>
            <w:shd w:val="clear" w:color="auto" w:fill="CCEDFF"/>
          </w:tcPr>
          <w:p>
            <w:pPr>
              <w:pStyle w:val="TableParagraph"/>
              <w:spacing w:before="17"/>
              <w:ind w:left="76"/>
              <w:rPr>
                <w:sz w:val="14"/>
              </w:rPr>
            </w:pPr>
            <w:r>
              <w:rPr>
                <w:spacing w:val="-10"/>
                <w:sz w:val="14"/>
              </w:rPr>
              <w:t>$</w:t>
            </w:r>
          </w:p>
        </w:tc>
        <w:tc>
          <w:tcPr>
            <w:tcW w:w="1012" w:type="dxa"/>
            <w:tcBorders>
              <w:bottom w:val="single" w:sz="6" w:space="0" w:color="000000"/>
            </w:tcBorders>
            <w:shd w:val="clear" w:color="auto" w:fill="CCEDFF"/>
          </w:tcPr>
          <w:p>
            <w:pPr>
              <w:pStyle w:val="TableParagraph"/>
              <w:spacing w:before="17"/>
              <w:ind w:right="100"/>
              <w:jc w:val="right"/>
              <w:rPr>
                <w:sz w:val="14"/>
              </w:rPr>
            </w:pPr>
            <w:r>
              <w:rPr>
                <w:spacing w:val="-2"/>
                <w:sz w:val="14"/>
              </w:rPr>
              <w:t>3,374</w:t>
            </w:r>
          </w:p>
        </w:tc>
        <w:tc>
          <w:tcPr>
            <w:tcW w:w="593" w:type="dxa"/>
            <w:tcBorders>
              <w:bottom w:val="single" w:sz="6" w:space="0" w:color="000000"/>
            </w:tcBorders>
            <w:shd w:val="clear" w:color="auto" w:fill="CCEDFF"/>
          </w:tcPr>
          <w:p>
            <w:pPr>
              <w:pStyle w:val="TableParagraph"/>
              <w:spacing w:before="17"/>
              <w:ind w:left="78"/>
              <w:rPr>
                <w:sz w:val="14"/>
              </w:rPr>
            </w:pPr>
            <w:r>
              <w:rPr>
                <w:spacing w:val="-10"/>
                <w:sz w:val="14"/>
              </w:rPr>
              <w:t>$</w:t>
            </w:r>
          </w:p>
        </w:tc>
        <w:tc>
          <w:tcPr>
            <w:tcW w:w="1004" w:type="dxa"/>
            <w:tcBorders>
              <w:bottom w:val="single" w:sz="6" w:space="0" w:color="000000"/>
            </w:tcBorders>
            <w:shd w:val="clear" w:color="auto" w:fill="CCEDFF"/>
          </w:tcPr>
          <w:p>
            <w:pPr>
              <w:pStyle w:val="TableParagraph"/>
              <w:spacing w:before="17"/>
              <w:ind w:right="53"/>
              <w:jc w:val="right"/>
              <w:rPr>
                <w:sz w:val="14"/>
              </w:rPr>
            </w:pPr>
            <w:r>
              <w:rPr>
                <w:spacing w:val="-2"/>
                <w:sz w:val="14"/>
              </w:rPr>
              <w:t>(10,202)</w:t>
            </w:r>
          </w:p>
        </w:tc>
      </w:tr>
      <w:tr>
        <w:trPr>
          <w:trHeight w:val="228" w:hRule="atLeast"/>
        </w:trPr>
        <w:tc>
          <w:tcPr>
            <w:tcW w:w="5143" w:type="dxa"/>
          </w:tcPr>
          <w:p>
            <w:pPr>
              <w:pStyle w:val="TableParagraph"/>
              <w:spacing w:before="17"/>
              <w:ind w:left="52"/>
              <w:rPr>
                <w:sz w:val="14"/>
              </w:rPr>
            </w:pPr>
            <w:r>
              <w:rPr>
                <w:sz w:val="14"/>
              </w:rPr>
              <w:t>Other</w:t>
            </w:r>
            <w:r>
              <w:rPr>
                <w:spacing w:val="8"/>
                <w:sz w:val="14"/>
              </w:rPr>
              <w:t> </w:t>
            </w:r>
            <w:r>
              <w:rPr>
                <w:sz w:val="14"/>
              </w:rPr>
              <w:t>comprehensive</w:t>
            </w:r>
            <w:r>
              <w:rPr>
                <w:spacing w:val="9"/>
                <w:sz w:val="14"/>
              </w:rPr>
              <w:t> </w:t>
            </w:r>
            <w:r>
              <w:rPr>
                <w:sz w:val="14"/>
              </w:rPr>
              <w:t>income</w:t>
            </w:r>
            <w:r>
              <w:rPr>
                <w:spacing w:val="9"/>
                <w:sz w:val="14"/>
              </w:rPr>
              <w:t> </w:t>
            </w:r>
            <w:r>
              <w:rPr>
                <w:sz w:val="14"/>
              </w:rPr>
              <w:t>(loss)</w:t>
            </w:r>
            <w:r>
              <w:rPr>
                <w:spacing w:val="9"/>
                <w:sz w:val="14"/>
              </w:rPr>
              <w:t> </w:t>
            </w:r>
            <w:r>
              <w:rPr>
                <w:sz w:val="14"/>
              </w:rPr>
              <w:t>before</w:t>
            </w:r>
            <w:r>
              <w:rPr>
                <w:spacing w:val="9"/>
                <w:sz w:val="14"/>
              </w:rPr>
              <w:t> </w:t>
            </w:r>
            <w:r>
              <w:rPr>
                <w:spacing w:val="-2"/>
                <w:sz w:val="14"/>
              </w:rPr>
              <w:t>reclassifications</w:t>
            </w:r>
          </w:p>
        </w:tc>
        <w:tc>
          <w:tcPr>
            <w:tcW w:w="539" w:type="dxa"/>
            <w:tcBorders>
              <w:top w:val="single" w:sz="6" w:space="0" w:color="000000"/>
            </w:tcBorders>
          </w:tcPr>
          <w:p>
            <w:pPr>
              <w:pStyle w:val="TableParagraph"/>
              <w:spacing w:before="0"/>
              <w:rPr>
                <w:sz w:val="14"/>
              </w:rPr>
            </w:pPr>
          </w:p>
        </w:tc>
        <w:tc>
          <w:tcPr>
            <w:tcW w:w="1017" w:type="dxa"/>
            <w:tcBorders>
              <w:top w:val="single" w:sz="6" w:space="0" w:color="000000"/>
            </w:tcBorders>
          </w:tcPr>
          <w:p>
            <w:pPr>
              <w:pStyle w:val="TableParagraph"/>
              <w:spacing w:before="17"/>
              <w:ind w:right="105"/>
              <w:jc w:val="right"/>
              <w:rPr>
                <w:sz w:val="14"/>
              </w:rPr>
            </w:pPr>
            <w:r>
              <w:rPr>
                <w:spacing w:val="-2"/>
                <w:sz w:val="14"/>
              </w:rPr>
              <w:t>27,762</w:t>
            </w:r>
          </w:p>
        </w:tc>
        <w:tc>
          <w:tcPr>
            <w:tcW w:w="594" w:type="dxa"/>
            <w:tcBorders>
              <w:top w:val="single" w:sz="6" w:space="0" w:color="000000"/>
            </w:tcBorders>
          </w:tcPr>
          <w:p>
            <w:pPr>
              <w:pStyle w:val="TableParagraph"/>
              <w:spacing w:before="0"/>
              <w:rPr>
                <w:sz w:val="14"/>
              </w:rPr>
            </w:pPr>
          </w:p>
        </w:tc>
        <w:tc>
          <w:tcPr>
            <w:tcW w:w="1013" w:type="dxa"/>
            <w:tcBorders>
              <w:top w:val="single" w:sz="6" w:space="0" w:color="000000"/>
            </w:tcBorders>
          </w:tcPr>
          <w:p>
            <w:pPr>
              <w:pStyle w:val="TableParagraph"/>
              <w:spacing w:before="17"/>
              <w:ind w:right="66"/>
              <w:jc w:val="right"/>
              <w:rPr>
                <w:sz w:val="14"/>
              </w:rPr>
            </w:pPr>
            <w:r>
              <w:rPr>
                <w:spacing w:val="-2"/>
                <w:sz w:val="14"/>
              </w:rPr>
              <w:t>(94,740)</w:t>
            </w:r>
          </w:p>
        </w:tc>
        <w:tc>
          <w:tcPr>
            <w:tcW w:w="592" w:type="dxa"/>
            <w:tcBorders>
              <w:top w:val="single" w:sz="6" w:space="0" w:color="000000"/>
            </w:tcBorders>
          </w:tcPr>
          <w:p>
            <w:pPr>
              <w:pStyle w:val="TableParagraph"/>
              <w:spacing w:before="0"/>
              <w:rPr>
                <w:sz w:val="14"/>
              </w:rPr>
            </w:pPr>
          </w:p>
        </w:tc>
        <w:tc>
          <w:tcPr>
            <w:tcW w:w="1012" w:type="dxa"/>
            <w:tcBorders>
              <w:top w:val="single" w:sz="6" w:space="0" w:color="000000"/>
            </w:tcBorders>
          </w:tcPr>
          <w:p>
            <w:pPr>
              <w:pStyle w:val="TableParagraph"/>
              <w:spacing w:before="17"/>
              <w:ind w:right="100"/>
              <w:jc w:val="right"/>
              <w:rPr>
                <w:sz w:val="14"/>
              </w:rPr>
            </w:pPr>
            <w:r>
              <w:rPr>
                <w:spacing w:val="-10"/>
                <w:sz w:val="14"/>
              </w:rPr>
              <w:t>—</w:t>
            </w:r>
          </w:p>
        </w:tc>
        <w:tc>
          <w:tcPr>
            <w:tcW w:w="593" w:type="dxa"/>
            <w:tcBorders>
              <w:top w:val="single" w:sz="6" w:space="0" w:color="000000"/>
            </w:tcBorders>
          </w:tcPr>
          <w:p>
            <w:pPr>
              <w:pStyle w:val="TableParagraph"/>
              <w:spacing w:before="0"/>
              <w:rPr>
                <w:sz w:val="14"/>
              </w:rPr>
            </w:pPr>
          </w:p>
        </w:tc>
        <w:tc>
          <w:tcPr>
            <w:tcW w:w="1004" w:type="dxa"/>
            <w:tcBorders>
              <w:top w:val="single" w:sz="6" w:space="0" w:color="000000"/>
            </w:tcBorders>
          </w:tcPr>
          <w:p>
            <w:pPr>
              <w:pStyle w:val="TableParagraph"/>
              <w:spacing w:before="17"/>
              <w:ind w:right="53"/>
              <w:jc w:val="right"/>
              <w:rPr>
                <w:sz w:val="14"/>
              </w:rPr>
            </w:pPr>
            <w:r>
              <w:rPr>
                <w:spacing w:val="-2"/>
                <w:sz w:val="14"/>
              </w:rPr>
              <w:t>(66,978)</w:t>
            </w:r>
          </w:p>
        </w:tc>
      </w:tr>
      <w:tr>
        <w:trPr>
          <w:trHeight w:val="215" w:hRule="atLeast"/>
        </w:trPr>
        <w:tc>
          <w:tcPr>
            <w:tcW w:w="5143" w:type="dxa"/>
            <w:shd w:val="clear" w:color="auto" w:fill="CCEDFF"/>
          </w:tcPr>
          <w:p>
            <w:pPr>
              <w:pStyle w:val="TableParagraph"/>
              <w:spacing w:before="17"/>
              <w:ind w:left="52"/>
              <w:rPr>
                <w:sz w:val="14"/>
              </w:rPr>
            </w:pPr>
            <w:r>
              <w:rPr>
                <w:sz w:val="14"/>
              </w:rPr>
              <w:t>Amounts</w:t>
            </w:r>
            <w:r>
              <w:rPr>
                <w:spacing w:val="8"/>
                <w:sz w:val="14"/>
              </w:rPr>
              <w:t> </w:t>
            </w:r>
            <w:r>
              <w:rPr>
                <w:sz w:val="14"/>
              </w:rPr>
              <w:t>reclassified</w:t>
            </w:r>
            <w:r>
              <w:rPr>
                <w:spacing w:val="9"/>
                <w:sz w:val="14"/>
              </w:rPr>
              <w:t> </w:t>
            </w:r>
            <w:r>
              <w:rPr>
                <w:sz w:val="14"/>
              </w:rPr>
              <w:t>from</w:t>
            </w:r>
            <w:r>
              <w:rPr>
                <w:spacing w:val="9"/>
                <w:sz w:val="14"/>
              </w:rPr>
              <w:t> </w:t>
            </w:r>
            <w:r>
              <w:rPr>
                <w:sz w:val="14"/>
              </w:rPr>
              <w:t>accumulated</w:t>
            </w:r>
            <w:r>
              <w:rPr>
                <w:spacing w:val="9"/>
                <w:sz w:val="14"/>
              </w:rPr>
              <w:t> </w:t>
            </w:r>
            <w:r>
              <w:rPr>
                <w:sz w:val="14"/>
              </w:rPr>
              <w:t>other</w:t>
            </w:r>
            <w:r>
              <w:rPr>
                <w:spacing w:val="9"/>
                <w:sz w:val="14"/>
              </w:rPr>
              <w:t> </w:t>
            </w:r>
            <w:r>
              <w:rPr>
                <w:sz w:val="14"/>
              </w:rPr>
              <w:t>comprehensive</w:t>
            </w:r>
            <w:r>
              <w:rPr>
                <w:spacing w:val="9"/>
                <w:sz w:val="14"/>
              </w:rPr>
              <w:t> </w:t>
            </w:r>
            <w:r>
              <w:rPr>
                <w:sz w:val="14"/>
              </w:rPr>
              <w:t>loss</w:t>
            </w:r>
            <w:r>
              <w:rPr>
                <w:spacing w:val="9"/>
                <w:sz w:val="14"/>
              </w:rPr>
              <w:t> </w:t>
            </w:r>
            <w:r>
              <w:rPr>
                <w:sz w:val="14"/>
              </w:rPr>
              <w:t>to</w:t>
            </w:r>
            <w:r>
              <w:rPr>
                <w:spacing w:val="9"/>
                <w:sz w:val="14"/>
              </w:rPr>
              <w:t> </w:t>
            </w:r>
            <w:r>
              <w:rPr>
                <w:sz w:val="14"/>
              </w:rPr>
              <w:t>interest</w:t>
            </w:r>
            <w:r>
              <w:rPr>
                <w:spacing w:val="9"/>
                <w:sz w:val="14"/>
              </w:rPr>
              <w:t> </w:t>
            </w:r>
            <w:r>
              <w:rPr>
                <w:spacing w:val="-2"/>
                <w:sz w:val="14"/>
              </w:rPr>
              <w:t>expense</w:t>
            </w:r>
          </w:p>
        </w:tc>
        <w:tc>
          <w:tcPr>
            <w:tcW w:w="539" w:type="dxa"/>
            <w:shd w:val="clear" w:color="auto" w:fill="CCEDFF"/>
          </w:tcPr>
          <w:p>
            <w:pPr>
              <w:pStyle w:val="TableParagraph"/>
              <w:spacing w:before="0"/>
              <w:rPr>
                <w:sz w:val="14"/>
              </w:rPr>
            </w:pPr>
          </w:p>
        </w:tc>
        <w:tc>
          <w:tcPr>
            <w:tcW w:w="1017" w:type="dxa"/>
            <w:shd w:val="clear" w:color="auto" w:fill="CCEDFF"/>
          </w:tcPr>
          <w:p>
            <w:pPr>
              <w:pStyle w:val="TableParagraph"/>
              <w:spacing w:before="17"/>
              <w:ind w:right="105"/>
              <w:jc w:val="right"/>
              <w:rPr>
                <w:sz w:val="14"/>
              </w:rPr>
            </w:pPr>
            <w:r>
              <w:rPr>
                <w:spacing w:val="-10"/>
                <w:sz w:val="14"/>
              </w:rPr>
              <w:t>—</w:t>
            </w:r>
          </w:p>
        </w:tc>
        <w:tc>
          <w:tcPr>
            <w:tcW w:w="594" w:type="dxa"/>
            <w:shd w:val="clear" w:color="auto" w:fill="CCEDFF"/>
          </w:tcPr>
          <w:p>
            <w:pPr>
              <w:pStyle w:val="TableParagraph"/>
              <w:spacing w:before="0"/>
              <w:rPr>
                <w:sz w:val="14"/>
              </w:rPr>
            </w:pPr>
          </w:p>
        </w:tc>
        <w:tc>
          <w:tcPr>
            <w:tcW w:w="1013" w:type="dxa"/>
            <w:shd w:val="clear" w:color="auto" w:fill="CCEDFF"/>
          </w:tcPr>
          <w:p>
            <w:pPr>
              <w:pStyle w:val="TableParagraph"/>
              <w:spacing w:before="17"/>
              <w:ind w:right="102"/>
              <w:jc w:val="right"/>
              <w:rPr>
                <w:sz w:val="14"/>
              </w:rPr>
            </w:pPr>
            <w:r>
              <w:rPr>
                <w:spacing w:val="-2"/>
                <w:sz w:val="14"/>
              </w:rPr>
              <w:t>17,922</w:t>
            </w:r>
          </w:p>
        </w:tc>
        <w:tc>
          <w:tcPr>
            <w:tcW w:w="592" w:type="dxa"/>
            <w:shd w:val="clear" w:color="auto" w:fill="CCEDFF"/>
          </w:tcPr>
          <w:p>
            <w:pPr>
              <w:pStyle w:val="TableParagraph"/>
              <w:spacing w:before="0"/>
              <w:rPr>
                <w:sz w:val="14"/>
              </w:rPr>
            </w:pPr>
          </w:p>
        </w:tc>
        <w:tc>
          <w:tcPr>
            <w:tcW w:w="1012" w:type="dxa"/>
            <w:shd w:val="clear" w:color="auto" w:fill="CCEDFF"/>
          </w:tcPr>
          <w:p>
            <w:pPr>
              <w:pStyle w:val="TableParagraph"/>
              <w:spacing w:before="17"/>
              <w:ind w:right="100"/>
              <w:jc w:val="right"/>
              <w:rPr>
                <w:sz w:val="14"/>
              </w:rPr>
            </w:pPr>
            <w:r>
              <w:rPr>
                <w:spacing w:val="-10"/>
                <w:sz w:val="14"/>
              </w:rPr>
              <w:t>—</w:t>
            </w:r>
          </w:p>
        </w:tc>
        <w:tc>
          <w:tcPr>
            <w:tcW w:w="593" w:type="dxa"/>
            <w:shd w:val="clear" w:color="auto" w:fill="CCEDFF"/>
          </w:tcPr>
          <w:p>
            <w:pPr>
              <w:pStyle w:val="TableParagraph"/>
              <w:spacing w:before="0"/>
              <w:rPr>
                <w:sz w:val="14"/>
              </w:rPr>
            </w:pPr>
          </w:p>
        </w:tc>
        <w:tc>
          <w:tcPr>
            <w:tcW w:w="1004" w:type="dxa"/>
            <w:shd w:val="clear" w:color="auto" w:fill="CCEDFF"/>
          </w:tcPr>
          <w:p>
            <w:pPr>
              <w:pStyle w:val="TableParagraph"/>
              <w:spacing w:before="17"/>
              <w:ind w:right="89"/>
              <w:jc w:val="right"/>
              <w:rPr>
                <w:sz w:val="14"/>
              </w:rPr>
            </w:pPr>
            <w:r>
              <w:rPr>
                <w:spacing w:val="-2"/>
                <w:sz w:val="14"/>
              </w:rPr>
              <w:t>17,922</w:t>
            </w:r>
          </w:p>
        </w:tc>
      </w:tr>
      <w:tr>
        <w:trPr>
          <w:trHeight w:val="215" w:hRule="atLeast"/>
        </w:trPr>
        <w:tc>
          <w:tcPr>
            <w:tcW w:w="5143" w:type="dxa"/>
          </w:tcPr>
          <w:p>
            <w:pPr>
              <w:pStyle w:val="TableParagraph"/>
              <w:spacing w:before="17"/>
              <w:ind w:left="52"/>
              <w:rPr>
                <w:sz w:val="14"/>
              </w:rPr>
            </w:pPr>
            <w:r>
              <w:rPr>
                <w:sz w:val="14"/>
              </w:rPr>
              <w:t>Amounts</w:t>
            </w:r>
            <w:r>
              <w:rPr>
                <w:spacing w:val="8"/>
                <w:sz w:val="14"/>
              </w:rPr>
              <w:t> </w:t>
            </w:r>
            <w:r>
              <w:rPr>
                <w:sz w:val="14"/>
              </w:rPr>
              <w:t>reclassified</w:t>
            </w:r>
            <w:r>
              <w:rPr>
                <w:spacing w:val="8"/>
                <w:sz w:val="14"/>
              </w:rPr>
              <w:t> </w:t>
            </w:r>
            <w:r>
              <w:rPr>
                <w:sz w:val="14"/>
              </w:rPr>
              <w:t>from</w:t>
            </w:r>
            <w:r>
              <w:rPr>
                <w:spacing w:val="8"/>
                <w:sz w:val="14"/>
              </w:rPr>
              <w:t> </w:t>
            </w:r>
            <w:r>
              <w:rPr>
                <w:sz w:val="14"/>
              </w:rPr>
              <w:t>accumulated</w:t>
            </w:r>
            <w:r>
              <w:rPr>
                <w:spacing w:val="8"/>
                <w:sz w:val="14"/>
              </w:rPr>
              <w:t> </w:t>
            </w:r>
            <w:r>
              <w:rPr>
                <w:sz w:val="14"/>
              </w:rPr>
              <w:t>other</w:t>
            </w:r>
            <w:r>
              <w:rPr>
                <w:spacing w:val="9"/>
                <w:sz w:val="14"/>
              </w:rPr>
              <w:t> </w:t>
            </w:r>
            <w:r>
              <w:rPr>
                <w:sz w:val="14"/>
              </w:rPr>
              <w:t>comprehensive</w:t>
            </w:r>
            <w:r>
              <w:rPr>
                <w:spacing w:val="8"/>
                <w:sz w:val="14"/>
              </w:rPr>
              <w:t> </w:t>
            </w:r>
            <w:r>
              <w:rPr>
                <w:sz w:val="14"/>
              </w:rPr>
              <w:t>loss</w:t>
            </w:r>
            <w:r>
              <w:rPr>
                <w:spacing w:val="8"/>
                <w:sz w:val="14"/>
              </w:rPr>
              <w:t> </w:t>
            </w:r>
            <w:r>
              <w:rPr>
                <w:sz w:val="14"/>
              </w:rPr>
              <w:t>to</w:t>
            </w:r>
            <w:r>
              <w:rPr>
                <w:spacing w:val="8"/>
                <w:sz w:val="14"/>
              </w:rPr>
              <w:t> </w:t>
            </w:r>
            <w:r>
              <w:rPr>
                <w:sz w:val="14"/>
              </w:rPr>
              <w:t>“Other,</w:t>
            </w:r>
            <w:r>
              <w:rPr>
                <w:spacing w:val="9"/>
                <w:sz w:val="14"/>
              </w:rPr>
              <w:t> </w:t>
            </w:r>
            <w:r>
              <w:rPr>
                <w:spacing w:val="-4"/>
                <w:sz w:val="14"/>
              </w:rPr>
              <w:t>net”</w:t>
            </w:r>
          </w:p>
        </w:tc>
        <w:tc>
          <w:tcPr>
            <w:tcW w:w="539" w:type="dxa"/>
            <w:tcBorders>
              <w:bottom w:val="single" w:sz="6" w:space="0" w:color="000000"/>
            </w:tcBorders>
          </w:tcPr>
          <w:p>
            <w:pPr>
              <w:pStyle w:val="TableParagraph"/>
              <w:spacing w:before="0"/>
              <w:rPr>
                <w:sz w:val="14"/>
              </w:rPr>
            </w:pPr>
          </w:p>
        </w:tc>
        <w:tc>
          <w:tcPr>
            <w:tcW w:w="1017" w:type="dxa"/>
            <w:tcBorders>
              <w:bottom w:val="single" w:sz="6" w:space="0" w:color="000000"/>
            </w:tcBorders>
          </w:tcPr>
          <w:p>
            <w:pPr>
              <w:pStyle w:val="TableParagraph"/>
              <w:spacing w:before="17"/>
              <w:ind w:right="105"/>
              <w:jc w:val="right"/>
              <w:rPr>
                <w:sz w:val="14"/>
              </w:rPr>
            </w:pPr>
            <w:r>
              <w:rPr>
                <w:spacing w:val="-10"/>
                <w:sz w:val="14"/>
              </w:rPr>
              <w:t>—</w:t>
            </w:r>
          </w:p>
        </w:tc>
        <w:tc>
          <w:tcPr>
            <w:tcW w:w="594" w:type="dxa"/>
            <w:tcBorders>
              <w:bottom w:val="single" w:sz="6" w:space="0" w:color="000000"/>
            </w:tcBorders>
          </w:tcPr>
          <w:p>
            <w:pPr>
              <w:pStyle w:val="TableParagraph"/>
              <w:spacing w:before="0"/>
              <w:rPr>
                <w:sz w:val="14"/>
              </w:rPr>
            </w:pPr>
          </w:p>
        </w:tc>
        <w:tc>
          <w:tcPr>
            <w:tcW w:w="1013" w:type="dxa"/>
            <w:tcBorders>
              <w:bottom w:val="single" w:sz="6" w:space="0" w:color="000000"/>
            </w:tcBorders>
          </w:tcPr>
          <w:p>
            <w:pPr>
              <w:pStyle w:val="TableParagraph"/>
              <w:spacing w:before="17"/>
              <w:ind w:right="66"/>
              <w:jc w:val="right"/>
              <w:rPr>
                <w:sz w:val="14"/>
              </w:rPr>
            </w:pPr>
            <w:r>
              <w:rPr>
                <w:spacing w:val="-2"/>
                <w:sz w:val="14"/>
              </w:rPr>
              <w:t>(2,547)</w:t>
            </w:r>
          </w:p>
        </w:tc>
        <w:tc>
          <w:tcPr>
            <w:tcW w:w="592" w:type="dxa"/>
            <w:tcBorders>
              <w:bottom w:val="single" w:sz="6" w:space="0" w:color="000000"/>
            </w:tcBorders>
          </w:tcPr>
          <w:p>
            <w:pPr>
              <w:pStyle w:val="TableParagraph"/>
              <w:spacing w:before="0"/>
              <w:rPr>
                <w:sz w:val="14"/>
              </w:rPr>
            </w:pPr>
          </w:p>
        </w:tc>
        <w:tc>
          <w:tcPr>
            <w:tcW w:w="1012" w:type="dxa"/>
            <w:tcBorders>
              <w:bottom w:val="single" w:sz="6" w:space="0" w:color="000000"/>
            </w:tcBorders>
          </w:tcPr>
          <w:p>
            <w:pPr>
              <w:pStyle w:val="TableParagraph"/>
              <w:spacing w:before="17"/>
              <w:ind w:right="100"/>
              <w:jc w:val="right"/>
              <w:rPr>
                <w:sz w:val="14"/>
              </w:rPr>
            </w:pPr>
            <w:r>
              <w:rPr>
                <w:spacing w:val="-10"/>
                <w:sz w:val="14"/>
              </w:rPr>
              <w:t>—</w:t>
            </w:r>
          </w:p>
        </w:tc>
        <w:tc>
          <w:tcPr>
            <w:tcW w:w="593" w:type="dxa"/>
            <w:tcBorders>
              <w:bottom w:val="single" w:sz="6" w:space="0" w:color="000000"/>
            </w:tcBorders>
          </w:tcPr>
          <w:p>
            <w:pPr>
              <w:pStyle w:val="TableParagraph"/>
              <w:spacing w:before="0"/>
              <w:rPr>
                <w:sz w:val="14"/>
              </w:rPr>
            </w:pPr>
          </w:p>
        </w:tc>
        <w:tc>
          <w:tcPr>
            <w:tcW w:w="1004" w:type="dxa"/>
            <w:tcBorders>
              <w:bottom w:val="single" w:sz="6" w:space="0" w:color="000000"/>
            </w:tcBorders>
          </w:tcPr>
          <w:p>
            <w:pPr>
              <w:pStyle w:val="TableParagraph"/>
              <w:spacing w:before="17"/>
              <w:ind w:right="53"/>
              <w:jc w:val="right"/>
              <w:rPr>
                <w:sz w:val="14"/>
              </w:rPr>
            </w:pPr>
            <w:r>
              <w:rPr>
                <w:spacing w:val="-2"/>
                <w:sz w:val="14"/>
              </w:rPr>
              <w:t>(2,547)</w:t>
            </w:r>
          </w:p>
        </w:tc>
      </w:tr>
      <w:tr>
        <w:trPr>
          <w:trHeight w:val="215" w:hRule="atLeast"/>
        </w:trPr>
        <w:tc>
          <w:tcPr>
            <w:tcW w:w="5143" w:type="dxa"/>
            <w:shd w:val="clear" w:color="auto" w:fill="CCEDFF"/>
          </w:tcPr>
          <w:p>
            <w:pPr>
              <w:pStyle w:val="TableParagraph"/>
              <w:spacing w:before="3"/>
              <w:ind w:left="252"/>
              <w:rPr>
                <w:sz w:val="14"/>
              </w:rPr>
            </w:pPr>
            <w:r>
              <w:rPr>
                <w:sz w:val="14"/>
              </w:rPr>
              <w:t>Other</w:t>
            </w:r>
            <w:r>
              <w:rPr>
                <w:spacing w:val="7"/>
                <w:sz w:val="14"/>
              </w:rPr>
              <w:t> </w:t>
            </w:r>
            <w:r>
              <w:rPr>
                <w:sz w:val="14"/>
              </w:rPr>
              <w:t>comprehensive</w:t>
            </w:r>
            <w:r>
              <w:rPr>
                <w:spacing w:val="7"/>
                <w:sz w:val="14"/>
              </w:rPr>
              <w:t> </w:t>
            </w:r>
            <w:r>
              <w:rPr>
                <w:sz w:val="14"/>
              </w:rPr>
              <w:t>income</w:t>
            </w:r>
            <w:r>
              <w:rPr>
                <w:spacing w:val="8"/>
                <w:sz w:val="14"/>
              </w:rPr>
              <w:t> </w:t>
            </w:r>
            <w:r>
              <w:rPr>
                <w:sz w:val="14"/>
              </w:rPr>
              <w:t>(loss),</w:t>
            </w:r>
            <w:r>
              <w:rPr>
                <w:spacing w:val="7"/>
                <w:sz w:val="14"/>
              </w:rPr>
              <w:t> </w:t>
            </w:r>
            <w:r>
              <w:rPr>
                <w:sz w:val="14"/>
              </w:rPr>
              <w:t>net</w:t>
            </w:r>
            <w:r>
              <w:rPr>
                <w:spacing w:val="7"/>
                <w:sz w:val="14"/>
              </w:rPr>
              <w:t> </w:t>
            </w:r>
            <w:r>
              <w:rPr>
                <w:sz w:val="14"/>
              </w:rPr>
              <w:t>of</w:t>
            </w:r>
            <w:r>
              <w:rPr>
                <w:spacing w:val="8"/>
                <w:sz w:val="14"/>
              </w:rPr>
              <w:t> </w:t>
            </w:r>
            <w:r>
              <w:rPr>
                <w:spacing w:val="-5"/>
                <w:sz w:val="14"/>
              </w:rPr>
              <w:t>tax</w:t>
            </w:r>
          </w:p>
        </w:tc>
        <w:tc>
          <w:tcPr>
            <w:tcW w:w="539" w:type="dxa"/>
            <w:tcBorders>
              <w:top w:val="single" w:sz="6" w:space="0" w:color="000000"/>
            </w:tcBorders>
            <w:shd w:val="clear" w:color="auto" w:fill="CCEDFF"/>
          </w:tcPr>
          <w:p>
            <w:pPr>
              <w:pStyle w:val="TableParagraph"/>
              <w:spacing w:before="0"/>
              <w:rPr>
                <w:sz w:val="14"/>
              </w:rPr>
            </w:pPr>
          </w:p>
        </w:tc>
        <w:tc>
          <w:tcPr>
            <w:tcW w:w="1017" w:type="dxa"/>
            <w:tcBorders>
              <w:top w:val="single" w:sz="6" w:space="0" w:color="000000"/>
            </w:tcBorders>
            <w:shd w:val="clear" w:color="auto" w:fill="CCEDFF"/>
          </w:tcPr>
          <w:p>
            <w:pPr>
              <w:pStyle w:val="TableParagraph"/>
              <w:spacing w:before="17"/>
              <w:ind w:right="105"/>
              <w:jc w:val="right"/>
              <w:rPr>
                <w:sz w:val="14"/>
              </w:rPr>
            </w:pPr>
            <w:r>
              <w:rPr>
                <w:spacing w:val="-2"/>
                <w:sz w:val="14"/>
              </w:rPr>
              <w:t>27,762</w:t>
            </w:r>
          </w:p>
        </w:tc>
        <w:tc>
          <w:tcPr>
            <w:tcW w:w="594" w:type="dxa"/>
            <w:tcBorders>
              <w:top w:val="single" w:sz="6" w:space="0" w:color="000000"/>
            </w:tcBorders>
            <w:shd w:val="clear" w:color="auto" w:fill="CCEDFF"/>
          </w:tcPr>
          <w:p>
            <w:pPr>
              <w:pStyle w:val="TableParagraph"/>
              <w:spacing w:before="0"/>
              <w:rPr>
                <w:sz w:val="14"/>
              </w:rPr>
            </w:pPr>
          </w:p>
        </w:tc>
        <w:tc>
          <w:tcPr>
            <w:tcW w:w="1013" w:type="dxa"/>
            <w:tcBorders>
              <w:top w:val="single" w:sz="6" w:space="0" w:color="000000"/>
            </w:tcBorders>
            <w:shd w:val="clear" w:color="auto" w:fill="CCEDFF"/>
          </w:tcPr>
          <w:p>
            <w:pPr>
              <w:pStyle w:val="TableParagraph"/>
              <w:spacing w:before="17"/>
              <w:ind w:right="66"/>
              <w:jc w:val="right"/>
              <w:rPr>
                <w:sz w:val="14"/>
              </w:rPr>
            </w:pPr>
            <w:r>
              <w:rPr>
                <w:spacing w:val="-2"/>
                <w:sz w:val="14"/>
              </w:rPr>
              <w:t>(79,365)</w:t>
            </w:r>
          </w:p>
        </w:tc>
        <w:tc>
          <w:tcPr>
            <w:tcW w:w="592" w:type="dxa"/>
            <w:tcBorders>
              <w:top w:val="single" w:sz="6" w:space="0" w:color="000000"/>
            </w:tcBorders>
            <w:shd w:val="clear" w:color="auto" w:fill="CCEDFF"/>
          </w:tcPr>
          <w:p>
            <w:pPr>
              <w:pStyle w:val="TableParagraph"/>
              <w:spacing w:before="0"/>
              <w:rPr>
                <w:sz w:val="14"/>
              </w:rPr>
            </w:pPr>
          </w:p>
        </w:tc>
        <w:tc>
          <w:tcPr>
            <w:tcW w:w="1012" w:type="dxa"/>
            <w:tcBorders>
              <w:top w:val="single" w:sz="6" w:space="0" w:color="000000"/>
            </w:tcBorders>
            <w:shd w:val="clear" w:color="auto" w:fill="CCEDFF"/>
          </w:tcPr>
          <w:p>
            <w:pPr>
              <w:pStyle w:val="TableParagraph"/>
              <w:spacing w:before="17"/>
              <w:ind w:right="100"/>
              <w:jc w:val="right"/>
              <w:rPr>
                <w:sz w:val="14"/>
              </w:rPr>
            </w:pPr>
            <w:r>
              <w:rPr>
                <w:spacing w:val="-10"/>
                <w:sz w:val="14"/>
              </w:rPr>
              <w:t>—</w:t>
            </w:r>
          </w:p>
        </w:tc>
        <w:tc>
          <w:tcPr>
            <w:tcW w:w="593" w:type="dxa"/>
            <w:tcBorders>
              <w:top w:val="single" w:sz="6" w:space="0" w:color="000000"/>
            </w:tcBorders>
            <w:shd w:val="clear" w:color="auto" w:fill="CCEDFF"/>
          </w:tcPr>
          <w:p>
            <w:pPr>
              <w:pStyle w:val="TableParagraph"/>
              <w:spacing w:before="0"/>
              <w:rPr>
                <w:sz w:val="14"/>
              </w:rPr>
            </w:pPr>
          </w:p>
        </w:tc>
        <w:tc>
          <w:tcPr>
            <w:tcW w:w="1004" w:type="dxa"/>
            <w:tcBorders>
              <w:top w:val="single" w:sz="6" w:space="0" w:color="000000"/>
            </w:tcBorders>
            <w:shd w:val="clear" w:color="auto" w:fill="CCEDFF"/>
          </w:tcPr>
          <w:p>
            <w:pPr>
              <w:pStyle w:val="TableParagraph"/>
              <w:spacing w:before="17"/>
              <w:ind w:right="53"/>
              <w:jc w:val="right"/>
              <w:rPr>
                <w:sz w:val="14"/>
              </w:rPr>
            </w:pPr>
            <w:r>
              <w:rPr>
                <w:spacing w:val="-2"/>
                <w:sz w:val="14"/>
              </w:rPr>
              <w:t>(51,603)</w:t>
            </w:r>
          </w:p>
        </w:tc>
      </w:tr>
      <w:tr>
        <w:trPr>
          <w:trHeight w:val="215" w:hRule="atLeast"/>
        </w:trPr>
        <w:tc>
          <w:tcPr>
            <w:tcW w:w="5143" w:type="dxa"/>
          </w:tcPr>
          <w:p>
            <w:pPr>
              <w:pStyle w:val="TableParagraph"/>
              <w:spacing w:before="17"/>
              <w:ind w:left="52"/>
              <w:rPr>
                <w:sz w:val="14"/>
              </w:rPr>
            </w:pPr>
            <w:r>
              <w:rPr>
                <w:sz w:val="14"/>
              </w:rPr>
              <w:t>Other</w:t>
            </w:r>
            <w:r>
              <w:rPr>
                <w:spacing w:val="9"/>
                <w:sz w:val="14"/>
              </w:rPr>
              <w:t> </w:t>
            </w:r>
            <w:r>
              <w:rPr>
                <w:sz w:val="14"/>
              </w:rPr>
              <w:t>changes</w:t>
            </w:r>
            <w:r>
              <w:rPr>
                <w:spacing w:val="9"/>
                <w:sz w:val="14"/>
              </w:rPr>
              <w:t> </w:t>
            </w:r>
            <w:r>
              <w:rPr>
                <w:sz w:val="14"/>
              </w:rPr>
              <w:t>in</w:t>
            </w:r>
            <w:r>
              <w:rPr>
                <w:spacing w:val="9"/>
                <w:sz w:val="14"/>
              </w:rPr>
              <w:t> </w:t>
            </w:r>
            <w:r>
              <w:rPr>
                <w:sz w:val="14"/>
              </w:rPr>
              <w:t>accumulated</w:t>
            </w:r>
            <w:r>
              <w:rPr>
                <w:spacing w:val="9"/>
                <w:sz w:val="14"/>
              </w:rPr>
              <w:t> </w:t>
            </w:r>
            <w:r>
              <w:rPr>
                <w:sz w:val="14"/>
              </w:rPr>
              <w:t>other</w:t>
            </w:r>
            <w:r>
              <w:rPr>
                <w:spacing w:val="9"/>
                <w:sz w:val="14"/>
              </w:rPr>
              <w:t> </w:t>
            </w:r>
            <w:r>
              <w:rPr>
                <w:sz w:val="14"/>
              </w:rPr>
              <w:t>comprehensive</w:t>
            </w:r>
            <w:r>
              <w:rPr>
                <w:spacing w:val="9"/>
                <w:sz w:val="14"/>
              </w:rPr>
              <w:t> </w:t>
            </w:r>
            <w:r>
              <w:rPr>
                <w:spacing w:val="-2"/>
                <w:sz w:val="14"/>
              </w:rPr>
              <w:t>loss:</w:t>
            </w:r>
          </w:p>
        </w:tc>
        <w:tc>
          <w:tcPr>
            <w:tcW w:w="539" w:type="dxa"/>
          </w:tcPr>
          <w:p>
            <w:pPr>
              <w:pStyle w:val="TableParagraph"/>
              <w:spacing w:before="0"/>
              <w:rPr>
                <w:sz w:val="14"/>
              </w:rPr>
            </w:pPr>
          </w:p>
        </w:tc>
        <w:tc>
          <w:tcPr>
            <w:tcW w:w="1017" w:type="dxa"/>
          </w:tcPr>
          <w:p>
            <w:pPr>
              <w:pStyle w:val="TableParagraph"/>
              <w:spacing w:before="0"/>
              <w:rPr>
                <w:sz w:val="14"/>
              </w:rPr>
            </w:pPr>
          </w:p>
        </w:tc>
        <w:tc>
          <w:tcPr>
            <w:tcW w:w="594" w:type="dxa"/>
          </w:tcPr>
          <w:p>
            <w:pPr>
              <w:pStyle w:val="TableParagraph"/>
              <w:spacing w:before="0"/>
              <w:rPr>
                <w:sz w:val="14"/>
              </w:rPr>
            </w:pPr>
          </w:p>
        </w:tc>
        <w:tc>
          <w:tcPr>
            <w:tcW w:w="1013" w:type="dxa"/>
          </w:tcPr>
          <w:p>
            <w:pPr>
              <w:pStyle w:val="TableParagraph"/>
              <w:spacing w:before="0"/>
              <w:rPr>
                <w:sz w:val="14"/>
              </w:rPr>
            </w:pPr>
          </w:p>
        </w:tc>
        <w:tc>
          <w:tcPr>
            <w:tcW w:w="592" w:type="dxa"/>
          </w:tcPr>
          <w:p>
            <w:pPr>
              <w:pStyle w:val="TableParagraph"/>
              <w:spacing w:before="0"/>
              <w:rPr>
                <w:sz w:val="14"/>
              </w:rPr>
            </w:pPr>
          </w:p>
        </w:tc>
        <w:tc>
          <w:tcPr>
            <w:tcW w:w="1012" w:type="dxa"/>
          </w:tcPr>
          <w:p>
            <w:pPr>
              <w:pStyle w:val="TableParagraph"/>
              <w:spacing w:before="0"/>
              <w:rPr>
                <w:sz w:val="14"/>
              </w:rPr>
            </w:pPr>
          </w:p>
        </w:tc>
        <w:tc>
          <w:tcPr>
            <w:tcW w:w="593" w:type="dxa"/>
          </w:tcPr>
          <w:p>
            <w:pPr>
              <w:pStyle w:val="TableParagraph"/>
              <w:spacing w:before="0"/>
              <w:rPr>
                <w:sz w:val="14"/>
              </w:rPr>
            </w:pPr>
          </w:p>
        </w:tc>
        <w:tc>
          <w:tcPr>
            <w:tcW w:w="1004" w:type="dxa"/>
          </w:tcPr>
          <w:p>
            <w:pPr>
              <w:pStyle w:val="TableParagraph"/>
              <w:spacing w:before="0"/>
              <w:rPr>
                <w:sz w:val="14"/>
              </w:rPr>
            </w:pPr>
          </w:p>
        </w:tc>
      </w:tr>
      <w:tr>
        <w:trPr>
          <w:trHeight w:val="215" w:hRule="atLeast"/>
        </w:trPr>
        <w:tc>
          <w:tcPr>
            <w:tcW w:w="5143" w:type="dxa"/>
            <w:shd w:val="clear" w:color="auto" w:fill="CCEDFF"/>
          </w:tcPr>
          <w:p>
            <w:pPr>
              <w:pStyle w:val="TableParagraph"/>
              <w:spacing w:before="17"/>
              <w:ind w:left="268"/>
              <w:rPr>
                <w:sz w:val="14"/>
              </w:rPr>
            </w:pPr>
            <w:r>
              <w:rPr>
                <w:sz w:val="14"/>
              </w:rPr>
              <w:t>MGP</w:t>
            </w:r>
            <w:r>
              <w:rPr>
                <w:spacing w:val="-1"/>
                <w:sz w:val="14"/>
              </w:rPr>
              <w:t> </w:t>
            </w:r>
            <w:r>
              <w:rPr>
                <w:sz w:val="14"/>
              </w:rPr>
              <w:t>Class</w:t>
            </w:r>
            <w:r>
              <w:rPr>
                <w:spacing w:val="-2"/>
                <w:sz w:val="14"/>
              </w:rPr>
              <w:t> </w:t>
            </w:r>
            <w:r>
              <w:rPr>
                <w:sz w:val="14"/>
              </w:rPr>
              <w:t>A</w:t>
            </w:r>
            <w:r>
              <w:rPr>
                <w:spacing w:val="-2"/>
                <w:sz w:val="14"/>
              </w:rPr>
              <w:t> </w:t>
            </w:r>
            <w:r>
              <w:rPr>
                <w:sz w:val="14"/>
              </w:rPr>
              <w:t>share</w:t>
            </w:r>
            <w:r>
              <w:rPr>
                <w:spacing w:val="6"/>
                <w:sz w:val="14"/>
              </w:rPr>
              <w:t> </w:t>
            </w:r>
            <w:r>
              <w:rPr>
                <w:spacing w:val="-2"/>
                <w:sz w:val="14"/>
              </w:rPr>
              <w:t>issuances</w:t>
            </w:r>
          </w:p>
        </w:tc>
        <w:tc>
          <w:tcPr>
            <w:tcW w:w="3163" w:type="dxa"/>
            <w:gridSpan w:val="4"/>
            <w:shd w:val="clear" w:color="auto" w:fill="CCEDFF"/>
          </w:tcPr>
          <w:p>
            <w:pPr>
              <w:pStyle w:val="TableParagraph"/>
              <w:tabs>
                <w:tab w:pos="2914" w:val="left" w:leader="none"/>
              </w:tabs>
              <w:spacing w:before="17"/>
              <w:ind w:left="1304"/>
              <w:rPr>
                <w:sz w:val="14"/>
              </w:rPr>
            </w:pPr>
            <w:r>
              <w:rPr>
                <w:spacing w:val="-10"/>
                <w:sz w:val="14"/>
              </w:rPr>
              <w:t>—</w:t>
            </w:r>
            <w:r>
              <w:rPr>
                <w:sz w:val="14"/>
              </w:rPr>
              <w:tab/>
            </w:r>
            <w:r>
              <w:rPr>
                <w:spacing w:val="-10"/>
                <w:sz w:val="14"/>
              </w:rPr>
              <w:t>—</w:t>
            </w:r>
          </w:p>
        </w:tc>
        <w:tc>
          <w:tcPr>
            <w:tcW w:w="1604" w:type="dxa"/>
            <w:gridSpan w:val="2"/>
            <w:shd w:val="clear" w:color="auto" w:fill="CCEDFF"/>
          </w:tcPr>
          <w:p>
            <w:pPr>
              <w:pStyle w:val="TableParagraph"/>
              <w:spacing w:before="17"/>
              <w:ind w:right="100"/>
              <w:jc w:val="right"/>
              <w:rPr>
                <w:sz w:val="14"/>
              </w:rPr>
            </w:pPr>
            <w:r>
              <w:rPr>
                <w:spacing w:val="-5"/>
                <w:sz w:val="14"/>
              </w:rPr>
              <w:t>646</w:t>
            </w:r>
          </w:p>
        </w:tc>
        <w:tc>
          <w:tcPr>
            <w:tcW w:w="1597" w:type="dxa"/>
            <w:gridSpan w:val="2"/>
            <w:shd w:val="clear" w:color="auto" w:fill="CCEDFF"/>
          </w:tcPr>
          <w:p>
            <w:pPr>
              <w:pStyle w:val="TableParagraph"/>
              <w:spacing w:before="17"/>
              <w:ind w:right="88"/>
              <w:jc w:val="right"/>
              <w:rPr>
                <w:sz w:val="14"/>
              </w:rPr>
            </w:pPr>
            <w:r>
              <w:rPr>
                <w:spacing w:val="-5"/>
                <w:sz w:val="14"/>
              </w:rPr>
              <w:t>646</w:t>
            </w:r>
          </w:p>
        </w:tc>
      </w:tr>
      <w:tr>
        <w:trPr>
          <w:trHeight w:val="229" w:hRule="atLeast"/>
        </w:trPr>
        <w:tc>
          <w:tcPr>
            <w:tcW w:w="5143" w:type="dxa"/>
          </w:tcPr>
          <w:p>
            <w:pPr>
              <w:pStyle w:val="TableParagraph"/>
              <w:spacing w:before="17"/>
              <w:ind w:left="268"/>
              <w:rPr>
                <w:sz w:val="14"/>
              </w:rPr>
            </w:pPr>
            <w:r>
              <w:rPr>
                <w:sz w:val="14"/>
              </w:rPr>
              <w:t>MGM</w:t>
            </w:r>
            <w:r>
              <w:rPr>
                <w:spacing w:val="4"/>
                <w:sz w:val="14"/>
              </w:rPr>
              <w:t> </w:t>
            </w:r>
            <w:r>
              <w:rPr>
                <w:sz w:val="14"/>
              </w:rPr>
              <w:t>Grand</w:t>
            </w:r>
            <w:r>
              <w:rPr>
                <w:spacing w:val="4"/>
                <w:sz w:val="14"/>
              </w:rPr>
              <w:t> </w:t>
            </w:r>
            <w:r>
              <w:rPr>
                <w:sz w:val="14"/>
              </w:rPr>
              <w:t>Las</w:t>
            </w:r>
            <w:r>
              <w:rPr>
                <w:spacing w:val="2"/>
                <w:sz w:val="14"/>
              </w:rPr>
              <w:t> </w:t>
            </w:r>
            <w:r>
              <w:rPr>
                <w:sz w:val="14"/>
              </w:rPr>
              <w:t>Vegas</w:t>
            </w:r>
            <w:r>
              <w:rPr>
                <w:spacing w:val="4"/>
                <w:sz w:val="14"/>
              </w:rPr>
              <w:t> </w:t>
            </w:r>
            <w:r>
              <w:rPr>
                <w:sz w:val="14"/>
              </w:rPr>
              <w:t>and</w:t>
            </w:r>
            <w:r>
              <w:rPr>
                <w:spacing w:val="4"/>
                <w:sz w:val="14"/>
              </w:rPr>
              <w:t> </w:t>
            </w:r>
            <w:r>
              <w:rPr>
                <w:sz w:val="14"/>
              </w:rPr>
              <w:t>Mandalay</w:t>
            </w:r>
            <w:r>
              <w:rPr>
                <w:spacing w:val="4"/>
                <w:sz w:val="14"/>
              </w:rPr>
              <w:t> </w:t>
            </w:r>
            <w:r>
              <w:rPr>
                <w:sz w:val="14"/>
              </w:rPr>
              <w:t>Bay</w:t>
            </w:r>
            <w:r>
              <w:rPr>
                <w:spacing w:val="4"/>
                <w:sz w:val="14"/>
              </w:rPr>
              <w:t> </w:t>
            </w:r>
            <w:r>
              <w:rPr>
                <w:spacing w:val="-2"/>
                <w:sz w:val="14"/>
              </w:rPr>
              <w:t>transaction</w:t>
            </w:r>
          </w:p>
        </w:tc>
        <w:tc>
          <w:tcPr>
            <w:tcW w:w="3163" w:type="dxa"/>
            <w:gridSpan w:val="4"/>
          </w:tcPr>
          <w:p>
            <w:pPr>
              <w:pStyle w:val="TableParagraph"/>
              <w:tabs>
                <w:tab w:pos="2914" w:val="left" w:leader="none"/>
              </w:tabs>
              <w:spacing w:before="17"/>
              <w:ind w:left="1304"/>
              <w:rPr>
                <w:sz w:val="14"/>
              </w:rPr>
            </w:pPr>
            <w:r>
              <w:rPr>
                <w:spacing w:val="-10"/>
                <w:sz w:val="14"/>
              </w:rPr>
              <w:t>—</w:t>
            </w:r>
            <w:r>
              <w:rPr>
                <w:sz w:val="14"/>
              </w:rPr>
              <w:tab/>
            </w:r>
            <w:r>
              <w:rPr>
                <w:spacing w:val="-10"/>
                <w:sz w:val="14"/>
              </w:rPr>
              <w:t>—</w:t>
            </w:r>
          </w:p>
        </w:tc>
        <w:tc>
          <w:tcPr>
            <w:tcW w:w="1604" w:type="dxa"/>
            <w:gridSpan w:val="2"/>
          </w:tcPr>
          <w:p>
            <w:pPr>
              <w:pStyle w:val="TableParagraph"/>
              <w:spacing w:before="17"/>
              <w:ind w:right="64"/>
              <w:jc w:val="right"/>
              <w:rPr>
                <w:sz w:val="14"/>
              </w:rPr>
            </w:pPr>
            <w:r>
              <w:rPr>
                <w:spacing w:val="-4"/>
                <w:sz w:val="14"/>
              </w:rPr>
              <w:t>(59)</w:t>
            </w:r>
          </w:p>
        </w:tc>
        <w:tc>
          <w:tcPr>
            <w:tcW w:w="1597" w:type="dxa"/>
            <w:gridSpan w:val="2"/>
          </w:tcPr>
          <w:p>
            <w:pPr>
              <w:pStyle w:val="TableParagraph"/>
              <w:spacing w:before="17"/>
              <w:ind w:right="53"/>
              <w:jc w:val="right"/>
              <w:rPr>
                <w:sz w:val="14"/>
              </w:rPr>
            </w:pPr>
            <w:r>
              <w:rPr>
                <w:spacing w:val="-4"/>
                <w:sz w:val="14"/>
              </w:rPr>
              <w:t>(59)</w:t>
            </w:r>
          </w:p>
        </w:tc>
      </w:tr>
      <w:tr>
        <w:trPr>
          <w:trHeight w:val="215" w:hRule="atLeast"/>
        </w:trPr>
        <w:tc>
          <w:tcPr>
            <w:tcW w:w="5143" w:type="dxa"/>
            <w:shd w:val="clear" w:color="auto" w:fill="CCEDFF"/>
          </w:tcPr>
          <w:p>
            <w:pPr>
              <w:pStyle w:val="TableParagraph"/>
              <w:spacing w:before="17"/>
              <w:ind w:left="268"/>
              <w:rPr>
                <w:sz w:val="14"/>
              </w:rPr>
            </w:pPr>
            <w:r>
              <w:rPr>
                <w:sz w:val="14"/>
              </w:rPr>
              <w:t>Redemption</w:t>
            </w:r>
            <w:r>
              <w:rPr>
                <w:spacing w:val="6"/>
                <w:sz w:val="14"/>
              </w:rPr>
              <w:t> </w:t>
            </w:r>
            <w:r>
              <w:rPr>
                <w:sz w:val="14"/>
              </w:rPr>
              <w:t>of</w:t>
            </w:r>
            <w:r>
              <w:rPr>
                <w:spacing w:val="7"/>
                <w:sz w:val="14"/>
              </w:rPr>
              <w:t> </w:t>
            </w:r>
            <w:r>
              <w:rPr>
                <w:sz w:val="14"/>
              </w:rPr>
              <w:t>MGP</w:t>
            </w:r>
            <w:r>
              <w:rPr>
                <w:spacing w:val="1"/>
                <w:sz w:val="14"/>
              </w:rPr>
              <w:t> </w:t>
            </w:r>
            <w:r>
              <w:rPr>
                <w:sz w:val="14"/>
              </w:rPr>
              <w:t>OP</w:t>
            </w:r>
            <w:r>
              <w:rPr>
                <w:spacing w:val="1"/>
                <w:sz w:val="14"/>
              </w:rPr>
              <w:t> </w:t>
            </w:r>
            <w:r>
              <w:rPr>
                <w:spacing w:val="-2"/>
                <w:sz w:val="14"/>
              </w:rPr>
              <w:t>units</w:t>
            </w:r>
          </w:p>
        </w:tc>
        <w:tc>
          <w:tcPr>
            <w:tcW w:w="3163" w:type="dxa"/>
            <w:gridSpan w:val="4"/>
            <w:shd w:val="clear" w:color="auto" w:fill="CCEDFF"/>
          </w:tcPr>
          <w:p>
            <w:pPr>
              <w:pStyle w:val="TableParagraph"/>
              <w:tabs>
                <w:tab w:pos="2914" w:val="left" w:leader="none"/>
              </w:tabs>
              <w:spacing w:before="17"/>
              <w:ind w:left="1304"/>
              <w:rPr>
                <w:sz w:val="14"/>
              </w:rPr>
            </w:pPr>
            <w:r>
              <w:rPr>
                <w:spacing w:val="-10"/>
                <w:sz w:val="14"/>
              </w:rPr>
              <w:t>—</w:t>
            </w:r>
            <w:r>
              <w:rPr>
                <w:sz w:val="14"/>
              </w:rPr>
              <w:tab/>
            </w:r>
            <w:r>
              <w:rPr>
                <w:spacing w:val="-10"/>
                <w:sz w:val="14"/>
              </w:rPr>
              <w:t>—</w:t>
            </w:r>
          </w:p>
        </w:tc>
        <w:tc>
          <w:tcPr>
            <w:tcW w:w="1604" w:type="dxa"/>
            <w:gridSpan w:val="2"/>
            <w:shd w:val="clear" w:color="auto" w:fill="CCEDFF"/>
          </w:tcPr>
          <w:p>
            <w:pPr>
              <w:pStyle w:val="TableParagraph"/>
              <w:spacing w:before="17"/>
              <w:ind w:right="100"/>
              <w:jc w:val="right"/>
              <w:rPr>
                <w:sz w:val="14"/>
              </w:rPr>
            </w:pPr>
            <w:r>
              <w:rPr>
                <w:spacing w:val="-2"/>
                <w:sz w:val="14"/>
              </w:rPr>
              <w:t>8,773</w:t>
            </w:r>
          </w:p>
        </w:tc>
        <w:tc>
          <w:tcPr>
            <w:tcW w:w="1597" w:type="dxa"/>
            <w:gridSpan w:val="2"/>
            <w:shd w:val="clear" w:color="auto" w:fill="CCEDFF"/>
          </w:tcPr>
          <w:p>
            <w:pPr>
              <w:pStyle w:val="TableParagraph"/>
              <w:spacing w:before="17"/>
              <w:ind w:right="89"/>
              <w:jc w:val="right"/>
              <w:rPr>
                <w:sz w:val="14"/>
              </w:rPr>
            </w:pPr>
            <w:r>
              <w:rPr>
                <w:spacing w:val="-2"/>
                <w:sz w:val="14"/>
              </w:rPr>
              <w:t>8,773</w:t>
            </w:r>
          </w:p>
        </w:tc>
      </w:tr>
      <w:tr>
        <w:trPr>
          <w:trHeight w:val="215" w:hRule="atLeast"/>
        </w:trPr>
        <w:tc>
          <w:tcPr>
            <w:tcW w:w="5143" w:type="dxa"/>
          </w:tcPr>
          <w:p>
            <w:pPr>
              <w:pStyle w:val="TableParagraph"/>
              <w:spacing w:before="17"/>
              <w:ind w:left="268"/>
              <w:rPr>
                <w:sz w:val="14"/>
              </w:rPr>
            </w:pPr>
            <w:r>
              <w:rPr>
                <w:spacing w:val="-4"/>
                <w:sz w:val="14"/>
              </w:rPr>
              <w:t>Other</w:t>
            </w:r>
          </w:p>
        </w:tc>
        <w:tc>
          <w:tcPr>
            <w:tcW w:w="3163" w:type="dxa"/>
            <w:gridSpan w:val="4"/>
          </w:tcPr>
          <w:p>
            <w:pPr>
              <w:pStyle w:val="TableParagraph"/>
              <w:tabs>
                <w:tab w:pos="2914" w:val="left" w:leader="none"/>
              </w:tabs>
              <w:spacing w:before="17"/>
              <w:ind w:left="1304"/>
              <w:rPr>
                <w:sz w:val="14"/>
              </w:rPr>
            </w:pPr>
            <w:r>
              <w:rPr>
                <w:spacing w:val="-10"/>
                <w:sz w:val="14"/>
              </w:rPr>
              <w:t>—</w:t>
            </w:r>
            <w:r>
              <w:rPr>
                <w:sz w:val="14"/>
              </w:rPr>
              <w:tab/>
            </w:r>
            <w:r>
              <w:rPr>
                <w:spacing w:val="-10"/>
                <w:sz w:val="14"/>
              </w:rPr>
              <w:t>—</w:t>
            </w:r>
          </w:p>
        </w:tc>
        <w:tc>
          <w:tcPr>
            <w:tcW w:w="1604" w:type="dxa"/>
            <w:gridSpan w:val="2"/>
          </w:tcPr>
          <w:p>
            <w:pPr>
              <w:pStyle w:val="TableParagraph"/>
              <w:spacing w:before="17"/>
              <w:ind w:right="64"/>
              <w:jc w:val="right"/>
              <w:rPr>
                <w:sz w:val="14"/>
              </w:rPr>
            </w:pPr>
            <w:r>
              <w:rPr>
                <w:spacing w:val="-2"/>
                <w:sz w:val="14"/>
              </w:rPr>
              <w:t>(1,018)</w:t>
            </w:r>
          </w:p>
        </w:tc>
        <w:tc>
          <w:tcPr>
            <w:tcW w:w="1597" w:type="dxa"/>
            <w:gridSpan w:val="2"/>
          </w:tcPr>
          <w:p>
            <w:pPr>
              <w:pStyle w:val="TableParagraph"/>
              <w:spacing w:before="17"/>
              <w:ind w:right="53"/>
              <w:jc w:val="right"/>
              <w:rPr>
                <w:sz w:val="14"/>
              </w:rPr>
            </w:pPr>
            <w:r>
              <w:rPr>
                <w:spacing w:val="-2"/>
                <w:sz w:val="14"/>
              </w:rPr>
              <w:t>(1,018)</w:t>
            </w:r>
          </w:p>
        </w:tc>
      </w:tr>
      <w:tr>
        <w:trPr>
          <w:trHeight w:val="215" w:hRule="atLeast"/>
        </w:trPr>
        <w:tc>
          <w:tcPr>
            <w:tcW w:w="5143" w:type="dxa"/>
            <w:shd w:val="clear" w:color="auto" w:fill="CCEDFF"/>
          </w:tcPr>
          <w:p>
            <w:pPr>
              <w:pStyle w:val="TableParagraph"/>
              <w:spacing w:before="17"/>
              <w:ind w:left="52"/>
              <w:rPr>
                <w:sz w:val="14"/>
              </w:rPr>
            </w:pPr>
            <w:r>
              <w:rPr>
                <w:sz w:val="14"/>
              </w:rPr>
              <w:t>Changes</w:t>
            </w:r>
            <w:r>
              <w:rPr>
                <w:spacing w:val="9"/>
                <w:sz w:val="14"/>
              </w:rPr>
              <w:t> </w:t>
            </w:r>
            <w:r>
              <w:rPr>
                <w:sz w:val="14"/>
              </w:rPr>
              <w:t>in</w:t>
            </w:r>
            <w:r>
              <w:rPr>
                <w:spacing w:val="10"/>
                <w:sz w:val="14"/>
              </w:rPr>
              <w:t> </w:t>
            </w:r>
            <w:r>
              <w:rPr>
                <w:sz w:val="14"/>
              </w:rPr>
              <w:t>accumulated</w:t>
            </w:r>
            <w:r>
              <w:rPr>
                <w:spacing w:val="10"/>
                <w:sz w:val="14"/>
              </w:rPr>
              <w:t> </w:t>
            </w:r>
            <w:r>
              <w:rPr>
                <w:sz w:val="14"/>
              </w:rPr>
              <w:t>other</w:t>
            </w:r>
            <w:r>
              <w:rPr>
                <w:spacing w:val="9"/>
                <w:sz w:val="14"/>
              </w:rPr>
              <w:t> </w:t>
            </w:r>
            <w:r>
              <w:rPr>
                <w:sz w:val="14"/>
              </w:rPr>
              <w:t>comprehensive</w:t>
            </w:r>
            <w:r>
              <w:rPr>
                <w:spacing w:val="10"/>
                <w:sz w:val="14"/>
              </w:rPr>
              <w:t> </w:t>
            </w:r>
            <w:r>
              <w:rPr>
                <w:spacing w:val="-4"/>
                <w:sz w:val="14"/>
              </w:rPr>
              <w:t>loss</w:t>
            </w:r>
          </w:p>
        </w:tc>
        <w:tc>
          <w:tcPr>
            <w:tcW w:w="539" w:type="dxa"/>
            <w:tcBorders>
              <w:top w:val="single" w:sz="6" w:space="0" w:color="000000"/>
            </w:tcBorders>
            <w:shd w:val="clear" w:color="auto" w:fill="CCEDFF"/>
          </w:tcPr>
          <w:p>
            <w:pPr>
              <w:pStyle w:val="TableParagraph"/>
              <w:spacing w:before="0"/>
              <w:rPr>
                <w:sz w:val="14"/>
              </w:rPr>
            </w:pPr>
          </w:p>
        </w:tc>
        <w:tc>
          <w:tcPr>
            <w:tcW w:w="1017" w:type="dxa"/>
            <w:tcBorders>
              <w:top w:val="single" w:sz="6" w:space="0" w:color="000000"/>
            </w:tcBorders>
            <w:shd w:val="clear" w:color="auto" w:fill="CCEDFF"/>
          </w:tcPr>
          <w:p>
            <w:pPr>
              <w:pStyle w:val="TableParagraph"/>
              <w:spacing w:before="17"/>
              <w:ind w:right="105"/>
              <w:jc w:val="right"/>
              <w:rPr>
                <w:sz w:val="14"/>
              </w:rPr>
            </w:pPr>
            <w:r>
              <w:rPr>
                <w:spacing w:val="-2"/>
                <w:sz w:val="14"/>
              </w:rPr>
              <w:t>27,762</w:t>
            </w:r>
          </w:p>
        </w:tc>
        <w:tc>
          <w:tcPr>
            <w:tcW w:w="594" w:type="dxa"/>
            <w:tcBorders>
              <w:top w:val="single" w:sz="6" w:space="0" w:color="000000"/>
            </w:tcBorders>
            <w:shd w:val="clear" w:color="auto" w:fill="CCEDFF"/>
          </w:tcPr>
          <w:p>
            <w:pPr>
              <w:pStyle w:val="TableParagraph"/>
              <w:spacing w:before="0"/>
              <w:rPr>
                <w:sz w:val="14"/>
              </w:rPr>
            </w:pPr>
          </w:p>
        </w:tc>
        <w:tc>
          <w:tcPr>
            <w:tcW w:w="1013" w:type="dxa"/>
            <w:tcBorders>
              <w:top w:val="single" w:sz="6" w:space="0" w:color="000000"/>
            </w:tcBorders>
            <w:shd w:val="clear" w:color="auto" w:fill="CCEDFF"/>
          </w:tcPr>
          <w:p>
            <w:pPr>
              <w:pStyle w:val="TableParagraph"/>
              <w:spacing w:before="17"/>
              <w:ind w:right="66"/>
              <w:jc w:val="right"/>
              <w:rPr>
                <w:sz w:val="14"/>
              </w:rPr>
            </w:pPr>
            <w:r>
              <w:rPr>
                <w:spacing w:val="-2"/>
                <w:sz w:val="14"/>
              </w:rPr>
              <w:t>(79,365)</w:t>
            </w:r>
          </w:p>
        </w:tc>
        <w:tc>
          <w:tcPr>
            <w:tcW w:w="592" w:type="dxa"/>
            <w:tcBorders>
              <w:top w:val="single" w:sz="6" w:space="0" w:color="000000"/>
            </w:tcBorders>
            <w:shd w:val="clear" w:color="auto" w:fill="CCEDFF"/>
          </w:tcPr>
          <w:p>
            <w:pPr>
              <w:pStyle w:val="TableParagraph"/>
              <w:spacing w:before="0"/>
              <w:rPr>
                <w:sz w:val="14"/>
              </w:rPr>
            </w:pPr>
          </w:p>
        </w:tc>
        <w:tc>
          <w:tcPr>
            <w:tcW w:w="1012" w:type="dxa"/>
            <w:tcBorders>
              <w:top w:val="single" w:sz="6" w:space="0" w:color="000000"/>
            </w:tcBorders>
            <w:shd w:val="clear" w:color="auto" w:fill="CCEDFF"/>
          </w:tcPr>
          <w:p>
            <w:pPr>
              <w:pStyle w:val="TableParagraph"/>
              <w:spacing w:before="17"/>
              <w:ind w:right="100"/>
              <w:jc w:val="right"/>
              <w:rPr>
                <w:sz w:val="14"/>
              </w:rPr>
            </w:pPr>
            <w:r>
              <w:rPr>
                <w:spacing w:val="-2"/>
                <w:sz w:val="14"/>
              </w:rPr>
              <w:t>8,342</w:t>
            </w:r>
          </w:p>
        </w:tc>
        <w:tc>
          <w:tcPr>
            <w:tcW w:w="593" w:type="dxa"/>
            <w:tcBorders>
              <w:top w:val="single" w:sz="6" w:space="0" w:color="000000"/>
            </w:tcBorders>
            <w:shd w:val="clear" w:color="auto" w:fill="CCEDFF"/>
          </w:tcPr>
          <w:p>
            <w:pPr>
              <w:pStyle w:val="TableParagraph"/>
              <w:spacing w:before="0"/>
              <w:rPr>
                <w:sz w:val="14"/>
              </w:rPr>
            </w:pPr>
          </w:p>
        </w:tc>
        <w:tc>
          <w:tcPr>
            <w:tcW w:w="1004" w:type="dxa"/>
            <w:tcBorders>
              <w:top w:val="single" w:sz="6" w:space="0" w:color="000000"/>
            </w:tcBorders>
            <w:shd w:val="clear" w:color="auto" w:fill="CCEDFF"/>
          </w:tcPr>
          <w:p>
            <w:pPr>
              <w:pStyle w:val="TableParagraph"/>
              <w:spacing w:before="17"/>
              <w:ind w:right="53"/>
              <w:jc w:val="right"/>
              <w:rPr>
                <w:sz w:val="14"/>
              </w:rPr>
            </w:pPr>
            <w:r>
              <w:rPr>
                <w:spacing w:val="-2"/>
                <w:sz w:val="14"/>
              </w:rPr>
              <w:t>(43,261)</w:t>
            </w:r>
          </w:p>
        </w:tc>
      </w:tr>
      <w:tr>
        <w:trPr>
          <w:trHeight w:val="215" w:hRule="atLeast"/>
        </w:trPr>
        <w:tc>
          <w:tcPr>
            <w:tcW w:w="5143" w:type="dxa"/>
          </w:tcPr>
          <w:p>
            <w:pPr>
              <w:pStyle w:val="TableParagraph"/>
              <w:spacing w:before="31"/>
              <w:ind w:left="52"/>
              <w:rPr>
                <w:sz w:val="14"/>
              </w:rPr>
            </w:pPr>
            <w:r>
              <w:rPr>
                <w:sz w:val="14"/>
              </w:rPr>
              <w:t>Other</w:t>
            </w:r>
            <w:r>
              <w:rPr>
                <w:spacing w:val="9"/>
                <w:sz w:val="14"/>
              </w:rPr>
              <w:t> </w:t>
            </w:r>
            <w:r>
              <w:rPr>
                <w:sz w:val="14"/>
              </w:rPr>
              <w:t>comprehensive</w:t>
            </w:r>
            <w:r>
              <w:rPr>
                <w:spacing w:val="10"/>
                <w:sz w:val="14"/>
              </w:rPr>
              <w:t> </w:t>
            </w:r>
            <w:r>
              <w:rPr>
                <w:sz w:val="14"/>
              </w:rPr>
              <w:t>(income)</w:t>
            </w:r>
            <w:r>
              <w:rPr>
                <w:spacing w:val="10"/>
                <w:sz w:val="14"/>
              </w:rPr>
              <w:t> </w:t>
            </w:r>
            <w:r>
              <w:rPr>
                <w:sz w:val="14"/>
              </w:rPr>
              <w:t>loss</w:t>
            </w:r>
            <w:r>
              <w:rPr>
                <w:spacing w:val="10"/>
                <w:sz w:val="14"/>
              </w:rPr>
              <w:t> </w:t>
            </w:r>
            <w:r>
              <w:rPr>
                <w:sz w:val="14"/>
              </w:rPr>
              <w:t>attributable</w:t>
            </w:r>
            <w:r>
              <w:rPr>
                <w:spacing w:val="10"/>
                <w:sz w:val="14"/>
              </w:rPr>
              <w:t> </w:t>
            </w:r>
            <w:r>
              <w:rPr>
                <w:sz w:val="14"/>
              </w:rPr>
              <w:t>to</w:t>
            </w:r>
            <w:r>
              <w:rPr>
                <w:spacing w:val="10"/>
                <w:sz w:val="14"/>
              </w:rPr>
              <w:t> </w:t>
            </w:r>
            <w:r>
              <w:rPr>
                <w:sz w:val="14"/>
              </w:rPr>
              <w:t>noncontrolling</w:t>
            </w:r>
            <w:r>
              <w:rPr>
                <w:spacing w:val="10"/>
                <w:sz w:val="14"/>
              </w:rPr>
              <w:t> </w:t>
            </w:r>
            <w:r>
              <w:rPr>
                <w:spacing w:val="-2"/>
                <w:sz w:val="14"/>
              </w:rPr>
              <w:t>interest</w:t>
            </w:r>
          </w:p>
        </w:tc>
        <w:tc>
          <w:tcPr>
            <w:tcW w:w="539" w:type="dxa"/>
            <w:tcBorders>
              <w:bottom w:val="single" w:sz="6" w:space="0" w:color="000000"/>
            </w:tcBorders>
          </w:tcPr>
          <w:p>
            <w:pPr>
              <w:pStyle w:val="TableParagraph"/>
              <w:spacing w:before="0"/>
              <w:rPr>
                <w:sz w:val="14"/>
              </w:rPr>
            </w:pPr>
          </w:p>
        </w:tc>
        <w:tc>
          <w:tcPr>
            <w:tcW w:w="1017" w:type="dxa"/>
            <w:tcBorders>
              <w:bottom w:val="single" w:sz="6" w:space="0" w:color="000000"/>
            </w:tcBorders>
          </w:tcPr>
          <w:p>
            <w:pPr>
              <w:pStyle w:val="TableParagraph"/>
              <w:spacing w:before="17"/>
              <w:ind w:right="69"/>
              <w:jc w:val="right"/>
              <w:rPr>
                <w:sz w:val="14"/>
              </w:rPr>
            </w:pPr>
            <w:r>
              <w:rPr>
                <w:spacing w:val="-2"/>
                <w:sz w:val="14"/>
              </w:rPr>
              <w:t>(12,051)</w:t>
            </w:r>
          </w:p>
        </w:tc>
        <w:tc>
          <w:tcPr>
            <w:tcW w:w="594" w:type="dxa"/>
            <w:tcBorders>
              <w:bottom w:val="single" w:sz="6" w:space="0" w:color="000000"/>
            </w:tcBorders>
          </w:tcPr>
          <w:p>
            <w:pPr>
              <w:pStyle w:val="TableParagraph"/>
              <w:spacing w:before="0"/>
              <w:rPr>
                <w:sz w:val="14"/>
              </w:rPr>
            </w:pPr>
          </w:p>
        </w:tc>
        <w:tc>
          <w:tcPr>
            <w:tcW w:w="1013" w:type="dxa"/>
            <w:tcBorders>
              <w:bottom w:val="single" w:sz="6" w:space="0" w:color="000000"/>
            </w:tcBorders>
          </w:tcPr>
          <w:p>
            <w:pPr>
              <w:pStyle w:val="TableParagraph"/>
              <w:spacing w:before="17"/>
              <w:ind w:right="102"/>
              <w:jc w:val="right"/>
              <w:rPr>
                <w:sz w:val="14"/>
              </w:rPr>
            </w:pPr>
            <w:r>
              <w:rPr>
                <w:spacing w:val="-2"/>
                <w:sz w:val="14"/>
              </w:rPr>
              <w:t>34,837</w:t>
            </w:r>
          </w:p>
        </w:tc>
        <w:tc>
          <w:tcPr>
            <w:tcW w:w="592" w:type="dxa"/>
            <w:tcBorders>
              <w:bottom w:val="single" w:sz="6" w:space="0" w:color="000000"/>
            </w:tcBorders>
          </w:tcPr>
          <w:p>
            <w:pPr>
              <w:pStyle w:val="TableParagraph"/>
              <w:spacing w:before="0"/>
              <w:rPr>
                <w:sz w:val="14"/>
              </w:rPr>
            </w:pPr>
          </w:p>
        </w:tc>
        <w:tc>
          <w:tcPr>
            <w:tcW w:w="1012" w:type="dxa"/>
            <w:tcBorders>
              <w:bottom w:val="single" w:sz="6" w:space="0" w:color="000000"/>
            </w:tcBorders>
          </w:tcPr>
          <w:p>
            <w:pPr>
              <w:pStyle w:val="TableParagraph"/>
              <w:spacing w:before="17"/>
              <w:ind w:right="100"/>
              <w:jc w:val="right"/>
              <w:rPr>
                <w:sz w:val="14"/>
              </w:rPr>
            </w:pPr>
            <w:r>
              <w:rPr>
                <w:spacing w:val="-10"/>
                <w:sz w:val="14"/>
              </w:rPr>
              <w:t>—</w:t>
            </w:r>
          </w:p>
        </w:tc>
        <w:tc>
          <w:tcPr>
            <w:tcW w:w="593" w:type="dxa"/>
            <w:tcBorders>
              <w:bottom w:val="single" w:sz="6" w:space="0" w:color="000000"/>
            </w:tcBorders>
          </w:tcPr>
          <w:p>
            <w:pPr>
              <w:pStyle w:val="TableParagraph"/>
              <w:spacing w:before="0"/>
              <w:rPr>
                <w:sz w:val="14"/>
              </w:rPr>
            </w:pPr>
          </w:p>
        </w:tc>
        <w:tc>
          <w:tcPr>
            <w:tcW w:w="1004" w:type="dxa"/>
            <w:tcBorders>
              <w:bottom w:val="single" w:sz="6" w:space="0" w:color="000000"/>
            </w:tcBorders>
          </w:tcPr>
          <w:p>
            <w:pPr>
              <w:pStyle w:val="TableParagraph"/>
              <w:spacing w:before="17"/>
              <w:ind w:right="89"/>
              <w:jc w:val="right"/>
              <w:rPr>
                <w:sz w:val="14"/>
              </w:rPr>
            </w:pPr>
            <w:r>
              <w:rPr>
                <w:spacing w:val="-2"/>
                <w:sz w:val="14"/>
              </w:rPr>
              <w:t>22,786</w:t>
            </w:r>
          </w:p>
        </w:tc>
      </w:tr>
      <w:tr>
        <w:trPr>
          <w:trHeight w:val="227" w:hRule="atLeast"/>
        </w:trPr>
        <w:tc>
          <w:tcPr>
            <w:tcW w:w="5143" w:type="dxa"/>
            <w:shd w:val="clear" w:color="auto" w:fill="CCEDFF"/>
          </w:tcPr>
          <w:p>
            <w:pPr>
              <w:pStyle w:val="TableParagraph"/>
              <w:spacing w:before="17"/>
              <w:ind w:left="52"/>
              <w:rPr>
                <w:b/>
                <w:sz w:val="14"/>
              </w:rPr>
            </w:pPr>
            <w:r>
              <w:rPr>
                <w:b/>
                <w:sz w:val="14"/>
              </w:rPr>
              <w:t>Balances,</w:t>
            </w:r>
            <w:r>
              <w:rPr>
                <w:b/>
                <w:spacing w:val="9"/>
                <w:sz w:val="14"/>
              </w:rPr>
              <w:t> </w:t>
            </w:r>
            <w:r>
              <w:rPr>
                <w:b/>
                <w:sz w:val="14"/>
              </w:rPr>
              <w:t>December</w:t>
            </w:r>
            <w:r>
              <w:rPr>
                <w:b/>
                <w:spacing w:val="6"/>
                <w:sz w:val="14"/>
              </w:rPr>
              <w:t> </w:t>
            </w:r>
            <w:r>
              <w:rPr>
                <w:b/>
                <w:sz w:val="14"/>
              </w:rPr>
              <w:t>31,</w:t>
            </w:r>
            <w:r>
              <w:rPr>
                <w:b/>
                <w:spacing w:val="9"/>
                <w:sz w:val="14"/>
              </w:rPr>
              <w:t> </w:t>
            </w:r>
            <w:r>
              <w:rPr>
                <w:b/>
                <w:spacing w:val="-4"/>
                <w:sz w:val="14"/>
              </w:rPr>
              <w:t>2020</w:t>
            </w:r>
          </w:p>
        </w:tc>
        <w:tc>
          <w:tcPr>
            <w:tcW w:w="539" w:type="dxa"/>
            <w:tcBorders>
              <w:top w:val="single" w:sz="6" w:space="0" w:color="000000"/>
              <w:bottom w:val="single" w:sz="6" w:space="0" w:color="000000"/>
            </w:tcBorders>
            <w:shd w:val="clear" w:color="auto" w:fill="CCEDFF"/>
          </w:tcPr>
          <w:p>
            <w:pPr>
              <w:pStyle w:val="TableParagraph"/>
              <w:spacing w:before="0"/>
              <w:rPr>
                <w:sz w:val="14"/>
              </w:rPr>
            </w:pPr>
          </w:p>
        </w:tc>
        <w:tc>
          <w:tcPr>
            <w:tcW w:w="1017" w:type="dxa"/>
            <w:tcBorders>
              <w:top w:val="single" w:sz="6" w:space="0" w:color="000000"/>
              <w:bottom w:val="single" w:sz="6" w:space="0" w:color="000000"/>
            </w:tcBorders>
            <w:shd w:val="clear" w:color="auto" w:fill="CCEDFF"/>
          </w:tcPr>
          <w:p>
            <w:pPr>
              <w:pStyle w:val="TableParagraph"/>
              <w:spacing w:before="17"/>
              <w:ind w:right="105"/>
              <w:jc w:val="right"/>
              <w:rPr>
                <w:sz w:val="14"/>
              </w:rPr>
            </w:pPr>
            <w:r>
              <w:rPr>
                <w:spacing w:val="-2"/>
                <w:sz w:val="14"/>
              </w:rPr>
              <w:t>12,964</w:t>
            </w:r>
          </w:p>
        </w:tc>
        <w:tc>
          <w:tcPr>
            <w:tcW w:w="594" w:type="dxa"/>
            <w:tcBorders>
              <w:top w:val="single" w:sz="6" w:space="0" w:color="000000"/>
              <w:bottom w:val="single" w:sz="6" w:space="0" w:color="000000"/>
            </w:tcBorders>
            <w:shd w:val="clear" w:color="auto" w:fill="CCEDFF"/>
          </w:tcPr>
          <w:p>
            <w:pPr>
              <w:pStyle w:val="TableParagraph"/>
              <w:spacing w:before="0"/>
              <w:rPr>
                <w:sz w:val="14"/>
              </w:rPr>
            </w:pPr>
          </w:p>
        </w:tc>
        <w:tc>
          <w:tcPr>
            <w:tcW w:w="1013" w:type="dxa"/>
            <w:tcBorders>
              <w:top w:val="single" w:sz="6" w:space="0" w:color="000000"/>
              <w:bottom w:val="single" w:sz="6" w:space="0" w:color="000000"/>
            </w:tcBorders>
            <w:shd w:val="clear" w:color="auto" w:fill="CCEDFF"/>
          </w:tcPr>
          <w:p>
            <w:pPr>
              <w:pStyle w:val="TableParagraph"/>
              <w:spacing w:before="17"/>
              <w:ind w:right="66"/>
              <w:jc w:val="right"/>
              <w:rPr>
                <w:sz w:val="14"/>
              </w:rPr>
            </w:pPr>
            <w:r>
              <w:rPr>
                <w:spacing w:val="-2"/>
                <w:sz w:val="14"/>
              </w:rPr>
              <w:t>(55,357)</w:t>
            </w:r>
          </w:p>
        </w:tc>
        <w:tc>
          <w:tcPr>
            <w:tcW w:w="592" w:type="dxa"/>
            <w:tcBorders>
              <w:top w:val="single" w:sz="6" w:space="0" w:color="000000"/>
              <w:bottom w:val="single" w:sz="6" w:space="0" w:color="000000"/>
            </w:tcBorders>
            <w:shd w:val="clear" w:color="auto" w:fill="CCEDFF"/>
          </w:tcPr>
          <w:p>
            <w:pPr>
              <w:pStyle w:val="TableParagraph"/>
              <w:spacing w:before="0"/>
              <w:rPr>
                <w:sz w:val="14"/>
              </w:rPr>
            </w:pPr>
          </w:p>
        </w:tc>
        <w:tc>
          <w:tcPr>
            <w:tcW w:w="1012" w:type="dxa"/>
            <w:tcBorders>
              <w:top w:val="single" w:sz="6" w:space="0" w:color="000000"/>
              <w:bottom w:val="single" w:sz="6" w:space="0" w:color="000000"/>
            </w:tcBorders>
            <w:shd w:val="clear" w:color="auto" w:fill="CCEDFF"/>
          </w:tcPr>
          <w:p>
            <w:pPr>
              <w:pStyle w:val="TableParagraph"/>
              <w:spacing w:before="17"/>
              <w:ind w:right="100"/>
              <w:jc w:val="right"/>
              <w:rPr>
                <w:sz w:val="14"/>
              </w:rPr>
            </w:pPr>
            <w:r>
              <w:rPr>
                <w:spacing w:val="-2"/>
                <w:sz w:val="14"/>
              </w:rPr>
              <w:t>11,716</w:t>
            </w:r>
          </w:p>
        </w:tc>
        <w:tc>
          <w:tcPr>
            <w:tcW w:w="593" w:type="dxa"/>
            <w:tcBorders>
              <w:top w:val="single" w:sz="6" w:space="0" w:color="000000"/>
              <w:bottom w:val="single" w:sz="6" w:space="0" w:color="000000"/>
            </w:tcBorders>
            <w:shd w:val="clear" w:color="auto" w:fill="CCEDFF"/>
          </w:tcPr>
          <w:p>
            <w:pPr>
              <w:pStyle w:val="TableParagraph"/>
              <w:spacing w:before="0"/>
              <w:rPr>
                <w:sz w:val="14"/>
              </w:rPr>
            </w:pPr>
          </w:p>
        </w:tc>
        <w:tc>
          <w:tcPr>
            <w:tcW w:w="1004" w:type="dxa"/>
            <w:tcBorders>
              <w:top w:val="single" w:sz="6" w:space="0" w:color="000000"/>
              <w:bottom w:val="single" w:sz="6" w:space="0" w:color="000000"/>
            </w:tcBorders>
            <w:shd w:val="clear" w:color="auto" w:fill="CCEDFF"/>
          </w:tcPr>
          <w:p>
            <w:pPr>
              <w:pStyle w:val="TableParagraph"/>
              <w:spacing w:before="17"/>
              <w:ind w:right="53"/>
              <w:jc w:val="right"/>
              <w:rPr>
                <w:sz w:val="14"/>
              </w:rPr>
            </w:pPr>
            <w:r>
              <w:rPr>
                <w:spacing w:val="-2"/>
                <w:sz w:val="14"/>
              </w:rPr>
              <w:t>(30,677)</w:t>
            </w:r>
          </w:p>
        </w:tc>
      </w:tr>
      <w:tr>
        <w:trPr>
          <w:trHeight w:val="215" w:hRule="atLeast"/>
        </w:trPr>
        <w:tc>
          <w:tcPr>
            <w:tcW w:w="5143" w:type="dxa"/>
          </w:tcPr>
          <w:p>
            <w:pPr>
              <w:pStyle w:val="TableParagraph"/>
              <w:spacing w:before="3"/>
              <w:ind w:left="52"/>
              <w:rPr>
                <w:sz w:val="14"/>
              </w:rPr>
            </w:pPr>
            <w:r>
              <w:rPr>
                <w:sz w:val="14"/>
              </w:rPr>
              <w:t>Other</w:t>
            </w:r>
            <w:r>
              <w:rPr>
                <w:spacing w:val="8"/>
                <w:sz w:val="14"/>
              </w:rPr>
              <w:t> </w:t>
            </w:r>
            <w:r>
              <w:rPr>
                <w:sz w:val="14"/>
              </w:rPr>
              <w:t>comprehensive</w:t>
            </w:r>
            <w:r>
              <w:rPr>
                <w:spacing w:val="9"/>
                <w:sz w:val="14"/>
              </w:rPr>
              <w:t> </w:t>
            </w:r>
            <w:r>
              <w:rPr>
                <w:sz w:val="14"/>
              </w:rPr>
              <w:t>income</w:t>
            </w:r>
            <w:r>
              <w:rPr>
                <w:spacing w:val="9"/>
                <w:sz w:val="14"/>
              </w:rPr>
              <w:t> </w:t>
            </w:r>
            <w:r>
              <w:rPr>
                <w:sz w:val="14"/>
              </w:rPr>
              <w:t>(loss)</w:t>
            </w:r>
            <w:r>
              <w:rPr>
                <w:spacing w:val="9"/>
                <w:sz w:val="14"/>
              </w:rPr>
              <w:t> </w:t>
            </w:r>
            <w:r>
              <w:rPr>
                <w:sz w:val="14"/>
              </w:rPr>
              <w:t>before</w:t>
            </w:r>
            <w:r>
              <w:rPr>
                <w:spacing w:val="9"/>
                <w:sz w:val="14"/>
              </w:rPr>
              <w:t> </w:t>
            </w:r>
            <w:r>
              <w:rPr>
                <w:spacing w:val="-2"/>
                <w:sz w:val="14"/>
              </w:rPr>
              <w:t>reclassifications</w:t>
            </w:r>
          </w:p>
        </w:tc>
        <w:tc>
          <w:tcPr>
            <w:tcW w:w="539" w:type="dxa"/>
            <w:tcBorders>
              <w:top w:val="single" w:sz="6" w:space="0" w:color="000000"/>
            </w:tcBorders>
          </w:tcPr>
          <w:p>
            <w:pPr>
              <w:pStyle w:val="TableParagraph"/>
              <w:spacing w:before="0"/>
              <w:rPr>
                <w:sz w:val="14"/>
              </w:rPr>
            </w:pPr>
          </w:p>
        </w:tc>
        <w:tc>
          <w:tcPr>
            <w:tcW w:w="1017" w:type="dxa"/>
            <w:tcBorders>
              <w:top w:val="single" w:sz="6" w:space="0" w:color="000000"/>
            </w:tcBorders>
          </w:tcPr>
          <w:p>
            <w:pPr>
              <w:pStyle w:val="TableParagraph"/>
              <w:spacing w:before="17"/>
              <w:ind w:right="69"/>
              <w:jc w:val="right"/>
              <w:rPr>
                <w:sz w:val="14"/>
              </w:rPr>
            </w:pPr>
            <w:r>
              <w:rPr>
                <w:spacing w:val="-2"/>
                <w:sz w:val="14"/>
              </w:rPr>
              <w:t>(24,655)</w:t>
            </w:r>
          </w:p>
        </w:tc>
        <w:tc>
          <w:tcPr>
            <w:tcW w:w="594" w:type="dxa"/>
            <w:tcBorders>
              <w:top w:val="single" w:sz="6" w:space="0" w:color="000000"/>
            </w:tcBorders>
          </w:tcPr>
          <w:p>
            <w:pPr>
              <w:pStyle w:val="TableParagraph"/>
              <w:spacing w:before="0"/>
              <w:rPr>
                <w:sz w:val="14"/>
              </w:rPr>
            </w:pPr>
          </w:p>
        </w:tc>
        <w:tc>
          <w:tcPr>
            <w:tcW w:w="1013" w:type="dxa"/>
            <w:tcBorders>
              <w:top w:val="single" w:sz="6" w:space="0" w:color="000000"/>
            </w:tcBorders>
          </w:tcPr>
          <w:p>
            <w:pPr>
              <w:pStyle w:val="TableParagraph"/>
              <w:spacing w:before="17"/>
              <w:ind w:right="102"/>
              <w:jc w:val="right"/>
              <w:rPr>
                <w:sz w:val="14"/>
              </w:rPr>
            </w:pPr>
            <w:r>
              <w:rPr>
                <w:spacing w:val="-2"/>
                <w:sz w:val="14"/>
              </w:rPr>
              <w:t>12,588</w:t>
            </w:r>
          </w:p>
        </w:tc>
        <w:tc>
          <w:tcPr>
            <w:tcW w:w="592" w:type="dxa"/>
            <w:tcBorders>
              <w:top w:val="single" w:sz="6" w:space="0" w:color="000000"/>
            </w:tcBorders>
          </w:tcPr>
          <w:p>
            <w:pPr>
              <w:pStyle w:val="TableParagraph"/>
              <w:spacing w:before="0"/>
              <w:rPr>
                <w:sz w:val="14"/>
              </w:rPr>
            </w:pPr>
          </w:p>
        </w:tc>
        <w:tc>
          <w:tcPr>
            <w:tcW w:w="1012" w:type="dxa"/>
            <w:tcBorders>
              <w:top w:val="single" w:sz="6" w:space="0" w:color="000000"/>
            </w:tcBorders>
          </w:tcPr>
          <w:p>
            <w:pPr>
              <w:pStyle w:val="TableParagraph"/>
              <w:spacing w:before="17"/>
              <w:ind w:right="100"/>
              <w:jc w:val="right"/>
              <w:rPr>
                <w:sz w:val="14"/>
              </w:rPr>
            </w:pPr>
            <w:r>
              <w:rPr>
                <w:spacing w:val="-10"/>
                <w:sz w:val="14"/>
              </w:rPr>
              <w:t>—</w:t>
            </w:r>
          </w:p>
        </w:tc>
        <w:tc>
          <w:tcPr>
            <w:tcW w:w="593" w:type="dxa"/>
            <w:tcBorders>
              <w:top w:val="single" w:sz="6" w:space="0" w:color="000000"/>
            </w:tcBorders>
          </w:tcPr>
          <w:p>
            <w:pPr>
              <w:pStyle w:val="TableParagraph"/>
              <w:spacing w:before="0"/>
              <w:rPr>
                <w:sz w:val="14"/>
              </w:rPr>
            </w:pPr>
          </w:p>
        </w:tc>
        <w:tc>
          <w:tcPr>
            <w:tcW w:w="1004" w:type="dxa"/>
            <w:tcBorders>
              <w:top w:val="single" w:sz="6" w:space="0" w:color="000000"/>
            </w:tcBorders>
          </w:tcPr>
          <w:p>
            <w:pPr>
              <w:pStyle w:val="TableParagraph"/>
              <w:spacing w:before="17"/>
              <w:ind w:right="53"/>
              <w:jc w:val="right"/>
              <w:rPr>
                <w:sz w:val="14"/>
              </w:rPr>
            </w:pPr>
            <w:r>
              <w:rPr>
                <w:spacing w:val="-2"/>
                <w:sz w:val="14"/>
              </w:rPr>
              <w:t>(12,067)</w:t>
            </w:r>
          </w:p>
        </w:tc>
      </w:tr>
      <w:tr>
        <w:trPr>
          <w:trHeight w:val="215" w:hRule="atLeast"/>
        </w:trPr>
        <w:tc>
          <w:tcPr>
            <w:tcW w:w="5143" w:type="dxa"/>
            <w:shd w:val="clear" w:color="auto" w:fill="CCEDFF"/>
          </w:tcPr>
          <w:p>
            <w:pPr>
              <w:pStyle w:val="TableParagraph"/>
              <w:spacing w:before="17"/>
              <w:ind w:left="52"/>
              <w:rPr>
                <w:sz w:val="14"/>
              </w:rPr>
            </w:pPr>
            <w:r>
              <w:rPr>
                <w:sz w:val="14"/>
              </w:rPr>
              <w:t>Amounts</w:t>
            </w:r>
            <w:r>
              <w:rPr>
                <w:spacing w:val="8"/>
                <w:sz w:val="14"/>
              </w:rPr>
              <w:t> </w:t>
            </w:r>
            <w:r>
              <w:rPr>
                <w:sz w:val="14"/>
              </w:rPr>
              <w:t>reclassified</w:t>
            </w:r>
            <w:r>
              <w:rPr>
                <w:spacing w:val="9"/>
                <w:sz w:val="14"/>
              </w:rPr>
              <w:t> </w:t>
            </w:r>
            <w:r>
              <w:rPr>
                <w:sz w:val="14"/>
              </w:rPr>
              <w:t>from</w:t>
            </w:r>
            <w:r>
              <w:rPr>
                <w:spacing w:val="9"/>
                <w:sz w:val="14"/>
              </w:rPr>
              <w:t> </w:t>
            </w:r>
            <w:r>
              <w:rPr>
                <w:sz w:val="14"/>
              </w:rPr>
              <w:t>accumulated</w:t>
            </w:r>
            <w:r>
              <w:rPr>
                <w:spacing w:val="9"/>
                <w:sz w:val="14"/>
              </w:rPr>
              <w:t> </w:t>
            </w:r>
            <w:r>
              <w:rPr>
                <w:sz w:val="14"/>
              </w:rPr>
              <w:t>other</w:t>
            </w:r>
            <w:r>
              <w:rPr>
                <w:spacing w:val="9"/>
                <w:sz w:val="14"/>
              </w:rPr>
              <w:t> </w:t>
            </w:r>
            <w:r>
              <w:rPr>
                <w:sz w:val="14"/>
              </w:rPr>
              <w:t>comprehensive</w:t>
            </w:r>
            <w:r>
              <w:rPr>
                <w:spacing w:val="9"/>
                <w:sz w:val="14"/>
              </w:rPr>
              <w:t> </w:t>
            </w:r>
            <w:r>
              <w:rPr>
                <w:sz w:val="14"/>
              </w:rPr>
              <w:t>loss</w:t>
            </w:r>
            <w:r>
              <w:rPr>
                <w:spacing w:val="9"/>
                <w:sz w:val="14"/>
              </w:rPr>
              <w:t> </w:t>
            </w:r>
            <w:r>
              <w:rPr>
                <w:sz w:val="14"/>
              </w:rPr>
              <w:t>to</w:t>
            </w:r>
            <w:r>
              <w:rPr>
                <w:spacing w:val="9"/>
                <w:sz w:val="14"/>
              </w:rPr>
              <w:t> </w:t>
            </w:r>
            <w:r>
              <w:rPr>
                <w:sz w:val="14"/>
              </w:rPr>
              <w:t>interest</w:t>
            </w:r>
            <w:r>
              <w:rPr>
                <w:spacing w:val="9"/>
                <w:sz w:val="14"/>
              </w:rPr>
              <w:t> </w:t>
            </w:r>
            <w:r>
              <w:rPr>
                <w:spacing w:val="-2"/>
                <w:sz w:val="14"/>
              </w:rPr>
              <w:t>expense</w:t>
            </w:r>
          </w:p>
        </w:tc>
        <w:tc>
          <w:tcPr>
            <w:tcW w:w="539" w:type="dxa"/>
            <w:tcBorders>
              <w:bottom w:val="single" w:sz="6" w:space="0" w:color="000000"/>
            </w:tcBorders>
            <w:shd w:val="clear" w:color="auto" w:fill="CCEDFF"/>
          </w:tcPr>
          <w:p>
            <w:pPr>
              <w:pStyle w:val="TableParagraph"/>
              <w:spacing w:before="0"/>
              <w:rPr>
                <w:sz w:val="14"/>
              </w:rPr>
            </w:pPr>
          </w:p>
        </w:tc>
        <w:tc>
          <w:tcPr>
            <w:tcW w:w="1017" w:type="dxa"/>
            <w:tcBorders>
              <w:bottom w:val="single" w:sz="6" w:space="0" w:color="000000"/>
            </w:tcBorders>
            <w:shd w:val="clear" w:color="auto" w:fill="CCEDFF"/>
          </w:tcPr>
          <w:p>
            <w:pPr>
              <w:pStyle w:val="TableParagraph"/>
              <w:spacing w:before="17"/>
              <w:ind w:right="105"/>
              <w:jc w:val="right"/>
              <w:rPr>
                <w:sz w:val="14"/>
              </w:rPr>
            </w:pPr>
            <w:r>
              <w:rPr>
                <w:spacing w:val="-10"/>
                <w:sz w:val="14"/>
              </w:rPr>
              <w:t>—</w:t>
            </w:r>
          </w:p>
        </w:tc>
        <w:tc>
          <w:tcPr>
            <w:tcW w:w="594" w:type="dxa"/>
            <w:tcBorders>
              <w:bottom w:val="single" w:sz="6" w:space="0" w:color="000000"/>
            </w:tcBorders>
            <w:shd w:val="clear" w:color="auto" w:fill="CCEDFF"/>
          </w:tcPr>
          <w:p>
            <w:pPr>
              <w:pStyle w:val="TableParagraph"/>
              <w:spacing w:before="0"/>
              <w:rPr>
                <w:sz w:val="14"/>
              </w:rPr>
            </w:pPr>
          </w:p>
        </w:tc>
        <w:tc>
          <w:tcPr>
            <w:tcW w:w="1013" w:type="dxa"/>
            <w:tcBorders>
              <w:bottom w:val="single" w:sz="6" w:space="0" w:color="000000"/>
            </w:tcBorders>
            <w:shd w:val="clear" w:color="auto" w:fill="CCEDFF"/>
          </w:tcPr>
          <w:p>
            <w:pPr>
              <w:pStyle w:val="TableParagraph"/>
              <w:spacing w:before="17"/>
              <w:ind w:right="102"/>
              <w:jc w:val="right"/>
              <w:rPr>
                <w:sz w:val="14"/>
              </w:rPr>
            </w:pPr>
            <w:r>
              <w:rPr>
                <w:spacing w:val="-2"/>
                <w:sz w:val="14"/>
              </w:rPr>
              <w:t>22,200</w:t>
            </w:r>
          </w:p>
        </w:tc>
        <w:tc>
          <w:tcPr>
            <w:tcW w:w="592" w:type="dxa"/>
            <w:tcBorders>
              <w:bottom w:val="single" w:sz="6" w:space="0" w:color="000000"/>
            </w:tcBorders>
            <w:shd w:val="clear" w:color="auto" w:fill="CCEDFF"/>
          </w:tcPr>
          <w:p>
            <w:pPr>
              <w:pStyle w:val="TableParagraph"/>
              <w:spacing w:before="0"/>
              <w:rPr>
                <w:sz w:val="14"/>
              </w:rPr>
            </w:pPr>
          </w:p>
        </w:tc>
        <w:tc>
          <w:tcPr>
            <w:tcW w:w="1012" w:type="dxa"/>
            <w:tcBorders>
              <w:bottom w:val="single" w:sz="6" w:space="0" w:color="000000"/>
            </w:tcBorders>
            <w:shd w:val="clear" w:color="auto" w:fill="CCEDFF"/>
          </w:tcPr>
          <w:p>
            <w:pPr>
              <w:pStyle w:val="TableParagraph"/>
              <w:spacing w:before="17"/>
              <w:ind w:right="100"/>
              <w:jc w:val="right"/>
              <w:rPr>
                <w:sz w:val="14"/>
              </w:rPr>
            </w:pPr>
            <w:r>
              <w:rPr>
                <w:spacing w:val="-10"/>
                <w:sz w:val="14"/>
              </w:rPr>
              <w:t>—</w:t>
            </w:r>
          </w:p>
        </w:tc>
        <w:tc>
          <w:tcPr>
            <w:tcW w:w="593" w:type="dxa"/>
            <w:tcBorders>
              <w:bottom w:val="single" w:sz="6" w:space="0" w:color="000000"/>
            </w:tcBorders>
            <w:shd w:val="clear" w:color="auto" w:fill="CCEDFF"/>
          </w:tcPr>
          <w:p>
            <w:pPr>
              <w:pStyle w:val="TableParagraph"/>
              <w:spacing w:before="0"/>
              <w:rPr>
                <w:sz w:val="14"/>
              </w:rPr>
            </w:pPr>
          </w:p>
        </w:tc>
        <w:tc>
          <w:tcPr>
            <w:tcW w:w="1004" w:type="dxa"/>
            <w:tcBorders>
              <w:bottom w:val="single" w:sz="6" w:space="0" w:color="000000"/>
            </w:tcBorders>
            <w:shd w:val="clear" w:color="auto" w:fill="CCEDFF"/>
          </w:tcPr>
          <w:p>
            <w:pPr>
              <w:pStyle w:val="TableParagraph"/>
              <w:spacing w:before="17"/>
              <w:ind w:right="89"/>
              <w:jc w:val="right"/>
              <w:rPr>
                <w:sz w:val="14"/>
              </w:rPr>
            </w:pPr>
            <w:r>
              <w:rPr>
                <w:spacing w:val="-2"/>
                <w:sz w:val="14"/>
              </w:rPr>
              <w:t>22,200</w:t>
            </w:r>
          </w:p>
        </w:tc>
      </w:tr>
      <w:tr>
        <w:trPr>
          <w:trHeight w:val="215" w:hRule="atLeast"/>
        </w:trPr>
        <w:tc>
          <w:tcPr>
            <w:tcW w:w="5143" w:type="dxa"/>
          </w:tcPr>
          <w:p>
            <w:pPr>
              <w:pStyle w:val="TableParagraph"/>
              <w:spacing w:before="3"/>
              <w:ind w:left="252"/>
              <w:rPr>
                <w:sz w:val="14"/>
              </w:rPr>
            </w:pPr>
            <w:r>
              <w:rPr>
                <w:sz w:val="14"/>
              </w:rPr>
              <w:t>Other</w:t>
            </w:r>
            <w:r>
              <w:rPr>
                <w:spacing w:val="7"/>
                <w:sz w:val="14"/>
              </w:rPr>
              <w:t> </w:t>
            </w:r>
            <w:r>
              <w:rPr>
                <w:sz w:val="14"/>
              </w:rPr>
              <w:t>comprehensive</w:t>
            </w:r>
            <w:r>
              <w:rPr>
                <w:spacing w:val="7"/>
                <w:sz w:val="14"/>
              </w:rPr>
              <w:t> </w:t>
            </w:r>
            <w:r>
              <w:rPr>
                <w:sz w:val="14"/>
              </w:rPr>
              <w:t>income</w:t>
            </w:r>
            <w:r>
              <w:rPr>
                <w:spacing w:val="8"/>
                <w:sz w:val="14"/>
              </w:rPr>
              <w:t> </w:t>
            </w:r>
            <w:r>
              <w:rPr>
                <w:sz w:val="14"/>
              </w:rPr>
              <w:t>(loss),</w:t>
            </w:r>
            <w:r>
              <w:rPr>
                <w:spacing w:val="7"/>
                <w:sz w:val="14"/>
              </w:rPr>
              <w:t> </w:t>
            </w:r>
            <w:r>
              <w:rPr>
                <w:sz w:val="14"/>
              </w:rPr>
              <w:t>net</w:t>
            </w:r>
            <w:r>
              <w:rPr>
                <w:spacing w:val="7"/>
                <w:sz w:val="14"/>
              </w:rPr>
              <w:t> </w:t>
            </w:r>
            <w:r>
              <w:rPr>
                <w:sz w:val="14"/>
              </w:rPr>
              <w:t>of</w:t>
            </w:r>
            <w:r>
              <w:rPr>
                <w:spacing w:val="8"/>
                <w:sz w:val="14"/>
              </w:rPr>
              <w:t> </w:t>
            </w:r>
            <w:r>
              <w:rPr>
                <w:spacing w:val="-5"/>
                <w:sz w:val="14"/>
              </w:rPr>
              <w:t>tax</w:t>
            </w:r>
          </w:p>
        </w:tc>
        <w:tc>
          <w:tcPr>
            <w:tcW w:w="539" w:type="dxa"/>
            <w:tcBorders>
              <w:top w:val="single" w:sz="6" w:space="0" w:color="000000"/>
            </w:tcBorders>
          </w:tcPr>
          <w:p>
            <w:pPr>
              <w:pStyle w:val="TableParagraph"/>
              <w:spacing w:before="0"/>
              <w:rPr>
                <w:sz w:val="14"/>
              </w:rPr>
            </w:pPr>
          </w:p>
        </w:tc>
        <w:tc>
          <w:tcPr>
            <w:tcW w:w="1017" w:type="dxa"/>
            <w:tcBorders>
              <w:top w:val="single" w:sz="6" w:space="0" w:color="000000"/>
            </w:tcBorders>
          </w:tcPr>
          <w:p>
            <w:pPr>
              <w:pStyle w:val="TableParagraph"/>
              <w:spacing w:before="17"/>
              <w:ind w:right="69"/>
              <w:jc w:val="right"/>
              <w:rPr>
                <w:sz w:val="14"/>
              </w:rPr>
            </w:pPr>
            <w:r>
              <w:rPr>
                <w:spacing w:val="-2"/>
                <w:sz w:val="14"/>
              </w:rPr>
              <w:t>(24,655)</w:t>
            </w:r>
          </w:p>
        </w:tc>
        <w:tc>
          <w:tcPr>
            <w:tcW w:w="594" w:type="dxa"/>
            <w:tcBorders>
              <w:top w:val="single" w:sz="6" w:space="0" w:color="000000"/>
            </w:tcBorders>
          </w:tcPr>
          <w:p>
            <w:pPr>
              <w:pStyle w:val="TableParagraph"/>
              <w:spacing w:before="0"/>
              <w:rPr>
                <w:sz w:val="14"/>
              </w:rPr>
            </w:pPr>
          </w:p>
        </w:tc>
        <w:tc>
          <w:tcPr>
            <w:tcW w:w="1013" w:type="dxa"/>
            <w:tcBorders>
              <w:top w:val="single" w:sz="6" w:space="0" w:color="000000"/>
            </w:tcBorders>
          </w:tcPr>
          <w:p>
            <w:pPr>
              <w:pStyle w:val="TableParagraph"/>
              <w:spacing w:before="17"/>
              <w:ind w:right="102"/>
              <w:jc w:val="right"/>
              <w:rPr>
                <w:sz w:val="14"/>
              </w:rPr>
            </w:pPr>
            <w:r>
              <w:rPr>
                <w:spacing w:val="-2"/>
                <w:sz w:val="14"/>
              </w:rPr>
              <w:t>34,788</w:t>
            </w:r>
          </w:p>
        </w:tc>
        <w:tc>
          <w:tcPr>
            <w:tcW w:w="592" w:type="dxa"/>
            <w:tcBorders>
              <w:top w:val="single" w:sz="6" w:space="0" w:color="000000"/>
            </w:tcBorders>
          </w:tcPr>
          <w:p>
            <w:pPr>
              <w:pStyle w:val="TableParagraph"/>
              <w:spacing w:before="0"/>
              <w:rPr>
                <w:sz w:val="14"/>
              </w:rPr>
            </w:pPr>
          </w:p>
        </w:tc>
        <w:tc>
          <w:tcPr>
            <w:tcW w:w="1012" w:type="dxa"/>
            <w:tcBorders>
              <w:top w:val="single" w:sz="6" w:space="0" w:color="000000"/>
            </w:tcBorders>
          </w:tcPr>
          <w:p>
            <w:pPr>
              <w:pStyle w:val="TableParagraph"/>
              <w:spacing w:before="17"/>
              <w:ind w:right="100"/>
              <w:jc w:val="right"/>
              <w:rPr>
                <w:sz w:val="14"/>
              </w:rPr>
            </w:pPr>
            <w:r>
              <w:rPr>
                <w:spacing w:val="-10"/>
                <w:sz w:val="14"/>
              </w:rPr>
              <w:t>—</w:t>
            </w:r>
          </w:p>
        </w:tc>
        <w:tc>
          <w:tcPr>
            <w:tcW w:w="593" w:type="dxa"/>
            <w:tcBorders>
              <w:top w:val="single" w:sz="6" w:space="0" w:color="000000"/>
            </w:tcBorders>
          </w:tcPr>
          <w:p>
            <w:pPr>
              <w:pStyle w:val="TableParagraph"/>
              <w:spacing w:before="0"/>
              <w:rPr>
                <w:sz w:val="14"/>
              </w:rPr>
            </w:pPr>
          </w:p>
        </w:tc>
        <w:tc>
          <w:tcPr>
            <w:tcW w:w="1004" w:type="dxa"/>
            <w:tcBorders>
              <w:top w:val="single" w:sz="6" w:space="0" w:color="000000"/>
            </w:tcBorders>
          </w:tcPr>
          <w:p>
            <w:pPr>
              <w:pStyle w:val="TableParagraph"/>
              <w:spacing w:before="17"/>
              <w:ind w:right="89"/>
              <w:jc w:val="right"/>
              <w:rPr>
                <w:sz w:val="14"/>
              </w:rPr>
            </w:pPr>
            <w:r>
              <w:rPr>
                <w:spacing w:val="-2"/>
                <w:sz w:val="14"/>
              </w:rPr>
              <w:t>10,133</w:t>
            </w:r>
          </w:p>
        </w:tc>
      </w:tr>
      <w:tr>
        <w:trPr>
          <w:trHeight w:val="215" w:hRule="atLeast"/>
        </w:trPr>
        <w:tc>
          <w:tcPr>
            <w:tcW w:w="5143" w:type="dxa"/>
            <w:shd w:val="clear" w:color="auto" w:fill="CCEDFF"/>
          </w:tcPr>
          <w:p>
            <w:pPr>
              <w:pStyle w:val="TableParagraph"/>
              <w:spacing w:before="17"/>
              <w:ind w:left="52"/>
              <w:rPr>
                <w:sz w:val="14"/>
              </w:rPr>
            </w:pPr>
            <w:r>
              <w:rPr>
                <w:sz w:val="14"/>
              </w:rPr>
              <w:t>Other</w:t>
            </w:r>
            <w:r>
              <w:rPr>
                <w:spacing w:val="9"/>
                <w:sz w:val="14"/>
              </w:rPr>
              <w:t> </w:t>
            </w:r>
            <w:r>
              <w:rPr>
                <w:sz w:val="14"/>
              </w:rPr>
              <w:t>changes</w:t>
            </w:r>
            <w:r>
              <w:rPr>
                <w:spacing w:val="9"/>
                <w:sz w:val="14"/>
              </w:rPr>
              <w:t> </w:t>
            </w:r>
            <w:r>
              <w:rPr>
                <w:sz w:val="14"/>
              </w:rPr>
              <w:t>in</w:t>
            </w:r>
            <w:r>
              <w:rPr>
                <w:spacing w:val="9"/>
                <w:sz w:val="14"/>
              </w:rPr>
              <w:t> </w:t>
            </w:r>
            <w:r>
              <w:rPr>
                <w:sz w:val="14"/>
              </w:rPr>
              <w:t>accumulated</w:t>
            </w:r>
            <w:r>
              <w:rPr>
                <w:spacing w:val="9"/>
                <w:sz w:val="14"/>
              </w:rPr>
              <w:t> </w:t>
            </w:r>
            <w:r>
              <w:rPr>
                <w:sz w:val="14"/>
              </w:rPr>
              <w:t>other</w:t>
            </w:r>
            <w:r>
              <w:rPr>
                <w:spacing w:val="9"/>
                <w:sz w:val="14"/>
              </w:rPr>
              <w:t> </w:t>
            </w:r>
            <w:r>
              <w:rPr>
                <w:sz w:val="14"/>
              </w:rPr>
              <w:t>comprehensive</w:t>
            </w:r>
            <w:r>
              <w:rPr>
                <w:spacing w:val="9"/>
                <w:sz w:val="14"/>
              </w:rPr>
              <w:t> </w:t>
            </w:r>
            <w:r>
              <w:rPr>
                <w:spacing w:val="-2"/>
                <w:sz w:val="14"/>
              </w:rPr>
              <w:t>loss:</w:t>
            </w:r>
          </w:p>
        </w:tc>
        <w:tc>
          <w:tcPr>
            <w:tcW w:w="539" w:type="dxa"/>
            <w:shd w:val="clear" w:color="auto" w:fill="CCEDFF"/>
          </w:tcPr>
          <w:p>
            <w:pPr>
              <w:pStyle w:val="TableParagraph"/>
              <w:spacing w:before="0"/>
              <w:rPr>
                <w:sz w:val="14"/>
              </w:rPr>
            </w:pPr>
          </w:p>
        </w:tc>
        <w:tc>
          <w:tcPr>
            <w:tcW w:w="1017" w:type="dxa"/>
            <w:shd w:val="clear" w:color="auto" w:fill="CCEDFF"/>
          </w:tcPr>
          <w:p>
            <w:pPr>
              <w:pStyle w:val="TableParagraph"/>
              <w:spacing w:before="0"/>
              <w:rPr>
                <w:sz w:val="14"/>
              </w:rPr>
            </w:pPr>
          </w:p>
        </w:tc>
        <w:tc>
          <w:tcPr>
            <w:tcW w:w="594" w:type="dxa"/>
            <w:shd w:val="clear" w:color="auto" w:fill="CCEDFF"/>
          </w:tcPr>
          <w:p>
            <w:pPr>
              <w:pStyle w:val="TableParagraph"/>
              <w:spacing w:before="0"/>
              <w:rPr>
                <w:sz w:val="14"/>
              </w:rPr>
            </w:pPr>
          </w:p>
        </w:tc>
        <w:tc>
          <w:tcPr>
            <w:tcW w:w="1013" w:type="dxa"/>
            <w:shd w:val="clear" w:color="auto" w:fill="CCEDFF"/>
          </w:tcPr>
          <w:p>
            <w:pPr>
              <w:pStyle w:val="TableParagraph"/>
              <w:spacing w:before="0"/>
              <w:rPr>
                <w:sz w:val="14"/>
              </w:rPr>
            </w:pPr>
          </w:p>
        </w:tc>
        <w:tc>
          <w:tcPr>
            <w:tcW w:w="592" w:type="dxa"/>
            <w:shd w:val="clear" w:color="auto" w:fill="CCEDFF"/>
          </w:tcPr>
          <w:p>
            <w:pPr>
              <w:pStyle w:val="TableParagraph"/>
              <w:spacing w:before="0"/>
              <w:rPr>
                <w:sz w:val="14"/>
              </w:rPr>
            </w:pPr>
          </w:p>
        </w:tc>
        <w:tc>
          <w:tcPr>
            <w:tcW w:w="1012" w:type="dxa"/>
            <w:shd w:val="clear" w:color="auto" w:fill="CCEDFF"/>
          </w:tcPr>
          <w:p>
            <w:pPr>
              <w:pStyle w:val="TableParagraph"/>
              <w:spacing w:before="0"/>
              <w:rPr>
                <w:sz w:val="14"/>
              </w:rPr>
            </w:pPr>
          </w:p>
        </w:tc>
        <w:tc>
          <w:tcPr>
            <w:tcW w:w="593" w:type="dxa"/>
            <w:shd w:val="clear" w:color="auto" w:fill="CCEDFF"/>
          </w:tcPr>
          <w:p>
            <w:pPr>
              <w:pStyle w:val="TableParagraph"/>
              <w:spacing w:before="0"/>
              <w:rPr>
                <w:sz w:val="14"/>
              </w:rPr>
            </w:pPr>
          </w:p>
        </w:tc>
        <w:tc>
          <w:tcPr>
            <w:tcW w:w="1004" w:type="dxa"/>
            <w:shd w:val="clear" w:color="auto" w:fill="CCEDFF"/>
          </w:tcPr>
          <w:p>
            <w:pPr>
              <w:pStyle w:val="TableParagraph"/>
              <w:spacing w:before="0"/>
              <w:rPr>
                <w:sz w:val="14"/>
              </w:rPr>
            </w:pPr>
          </w:p>
        </w:tc>
      </w:tr>
      <w:tr>
        <w:trPr>
          <w:trHeight w:val="215" w:hRule="atLeast"/>
        </w:trPr>
        <w:tc>
          <w:tcPr>
            <w:tcW w:w="5143" w:type="dxa"/>
          </w:tcPr>
          <w:p>
            <w:pPr>
              <w:pStyle w:val="TableParagraph"/>
              <w:spacing w:before="17"/>
              <w:ind w:left="252"/>
              <w:rPr>
                <w:sz w:val="14"/>
              </w:rPr>
            </w:pPr>
            <w:r>
              <w:rPr>
                <w:sz w:val="14"/>
              </w:rPr>
              <w:t>MGP</w:t>
            </w:r>
            <w:r>
              <w:rPr>
                <w:spacing w:val="-1"/>
                <w:sz w:val="14"/>
              </w:rPr>
              <w:t> </w:t>
            </w:r>
            <w:r>
              <w:rPr>
                <w:sz w:val="14"/>
              </w:rPr>
              <w:t>Class</w:t>
            </w:r>
            <w:r>
              <w:rPr>
                <w:spacing w:val="-2"/>
                <w:sz w:val="14"/>
              </w:rPr>
              <w:t> </w:t>
            </w:r>
            <w:r>
              <w:rPr>
                <w:sz w:val="14"/>
              </w:rPr>
              <w:t>A</w:t>
            </w:r>
            <w:r>
              <w:rPr>
                <w:spacing w:val="-2"/>
                <w:sz w:val="14"/>
              </w:rPr>
              <w:t> </w:t>
            </w:r>
            <w:r>
              <w:rPr>
                <w:sz w:val="14"/>
              </w:rPr>
              <w:t>share</w:t>
            </w:r>
            <w:r>
              <w:rPr>
                <w:spacing w:val="6"/>
                <w:sz w:val="14"/>
              </w:rPr>
              <w:t> </w:t>
            </w:r>
            <w:r>
              <w:rPr>
                <w:spacing w:val="-2"/>
                <w:sz w:val="14"/>
              </w:rPr>
              <w:t>issuances</w:t>
            </w:r>
          </w:p>
        </w:tc>
        <w:tc>
          <w:tcPr>
            <w:tcW w:w="3163" w:type="dxa"/>
            <w:gridSpan w:val="4"/>
          </w:tcPr>
          <w:p>
            <w:pPr>
              <w:pStyle w:val="TableParagraph"/>
              <w:tabs>
                <w:tab w:pos="2914" w:val="left" w:leader="none"/>
              </w:tabs>
              <w:spacing w:before="17"/>
              <w:ind w:left="1304"/>
              <w:rPr>
                <w:sz w:val="14"/>
              </w:rPr>
            </w:pPr>
            <w:r>
              <w:rPr>
                <w:spacing w:val="-10"/>
                <w:sz w:val="14"/>
              </w:rPr>
              <w:t>—</w:t>
            </w:r>
            <w:r>
              <w:rPr>
                <w:sz w:val="14"/>
              </w:rPr>
              <w:tab/>
            </w:r>
            <w:r>
              <w:rPr>
                <w:spacing w:val="-10"/>
                <w:sz w:val="14"/>
              </w:rPr>
              <w:t>—</w:t>
            </w:r>
          </w:p>
        </w:tc>
        <w:tc>
          <w:tcPr>
            <w:tcW w:w="1604" w:type="dxa"/>
            <w:gridSpan w:val="2"/>
          </w:tcPr>
          <w:p>
            <w:pPr>
              <w:pStyle w:val="TableParagraph"/>
              <w:spacing w:before="17"/>
              <w:ind w:right="100"/>
              <w:jc w:val="right"/>
              <w:rPr>
                <w:sz w:val="14"/>
              </w:rPr>
            </w:pPr>
            <w:r>
              <w:rPr>
                <w:spacing w:val="-2"/>
                <w:sz w:val="14"/>
              </w:rPr>
              <w:t>3,240</w:t>
            </w:r>
          </w:p>
        </w:tc>
        <w:tc>
          <w:tcPr>
            <w:tcW w:w="1597" w:type="dxa"/>
            <w:gridSpan w:val="2"/>
          </w:tcPr>
          <w:p>
            <w:pPr>
              <w:pStyle w:val="TableParagraph"/>
              <w:spacing w:before="17"/>
              <w:ind w:right="89"/>
              <w:jc w:val="right"/>
              <w:rPr>
                <w:sz w:val="14"/>
              </w:rPr>
            </w:pPr>
            <w:r>
              <w:rPr>
                <w:spacing w:val="-2"/>
                <w:sz w:val="14"/>
              </w:rPr>
              <w:t>3,240</w:t>
            </w:r>
          </w:p>
        </w:tc>
      </w:tr>
      <w:tr>
        <w:trPr>
          <w:trHeight w:val="229" w:hRule="atLeast"/>
        </w:trPr>
        <w:tc>
          <w:tcPr>
            <w:tcW w:w="5143" w:type="dxa"/>
            <w:shd w:val="clear" w:color="auto" w:fill="CCEDFF"/>
          </w:tcPr>
          <w:p>
            <w:pPr>
              <w:pStyle w:val="TableParagraph"/>
              <w:spacing w:before="17"/>
              <w:ind w:left="252"/>
              <w:rPr>
                <w:sz w:val="14"/>
              </w:rPr>
            </w:pPr>
            <w:r>
              <w:rPr>
                <w:sz w:val="14"/>
              </w:rPr>
              <w:t>Redemption</w:t>
            </w:r>
            <w:r>
              <w:rPr>
                <w:spacing w:val="6"/>
                <w:sz w:val="14"/>
              </w:rPr>
              <w:t> </w:t>
            </w:r>
            <w:r>
              <w:rPr>
                <w:sz w:val="14"/>
              </w:rPr>
              <w:t>of</w:t>
            </w:r>
            <w:r>
              <w:rPr>
                <w:spacing w:val="7"/>
                <w:sz w:val="14"/>
              </w:rPr>
              <w:t> </w:t>
            </w:r>
            <w:r>
              <w:rPr>
                <w:sz w:val="14"/>
              </w:rPr>
              <w:t>MGP</w:t>
            </w:r>
            <w:r>
              <w:rPr>
                <w:spacing w:val="1"/>
                <w:sz w:val="14"/>
              </w:rPr>
              <w:t> </w:t>
            </w:r>
            <w:r>
              <w:rPr>
                <w:sz w:val="14"/>
              </w:rPr>
              <w:t>OP</w:t>
            </w:r>
            <w:r>
              <w:rPr>
                <w:spacing w:val="1"/>
                <w:sz w:val="14"/>
              </w:rPr>
              <w:t> </w:t>
            </w:r>
            <w:r>
              <w:rPr>
                <w:spacing w:val="-2"/>
                <w:sz w:val="14"/>
              </w:rPr>
              <w:t>units</w:t>
            </w:r>
          </w:p>
        </w:tc>
        <w:tc>
          <w:tcPr>
            <w:tcW w:w="3163" w:type="dxa"/>
            <w:gridSpan w:val="4"/>
            <w:shd w:val="clear" w:color="auto" w:fill="CCEDFF"/>
          </w:tcPr>
          <w:p>
            <w:pPr>
              <w:pStyle w:val="TableParagraph"/>
              <w:tabs>
                <w:tab w:pos="2914" w:val="left" w:leader="none"/>
              </w:tabs>
              <w:spacing w:before="17"/>
              <w:ind w:left="1304"/>
              <w:rPr>
                <w:sz w:val="14"/>
              </w:rPr>
            </w:pPr>
            <w:r>
              <w:rPr>
                <w:spacing w:val="-10"/>
                <w:sz w:val="14"/>
              </w:rPr>
              <w:t>—</w:t>
            </w:r>
            <w:r>
              <w:rPr>
                <w:sz w:val="14"/>
              </w:rPr>
              <w:tab/>
            </w:r>
            <w:r>
              <w:rPr>
                <w:spacing w:val="-10"/>
                <w:sz w:val="14"/>
              </w:rPr>
              <w:t>—</w:t>
            </w:r>
          </w:p>
        </w:tc>
        <w:tc>
          <w:tcPr>
            <w:tcW w:w="1604" w:type="dxa"/>
            <w:gridSpan w:val="2"/>
            <w:shd w:val="clear" w:color="auto" w:fill="CCEDFF"/>
          </w:tcPr>
          <w:p>
            <w:pPr>
              <w:pStyle w:val="TableParagraph"/>
              <w:spacing w:before="17"/>
              <w:ind w:right="100"/>
              <w:jc w:val="right"/>
              <w:rPr>
                <w:sz w:val="14"/>
              </w:rPr>
            </w:pPr>
            <w:r>
              <w:rPr>
                <w:spacing w:val="-2"/>
                <w:sz w:val="14"/>
              </w:rPr>
              <w:t>5,327</w:t>
            </w:r>
          </w:p>
        </w:tc>
        <w:tc>
          <w:tcPr>
            <w:tcW w:w="1597" w:type="dxa"/>
            <w:gridSpan w:val="2"/>
            <w:shd w:val="clear" w:color="auto" w:fill="CCEDFF"/>
          </w:tcPr>
          <w:p>
            <w:pPr>
              <w:pStyle w:val="TableParagraph"/>
              <w:spacing w:before="17"/>
              <w:ind w:right="89"/>
              <w:jc w:val="right"/>
              <w:rPr>
                <w:sz w:val="14"/>
              </w:rPr>
            </w:pPr>
            <w:r>
              <w:rPr>
                <w:spacing w:val="-2"/>
                <w:sz w:val="14"/>
              </w:rPr>
              <w:t>5,327</w:t>
            </w:r>
          </w:p>
        </w:tc>
      </w:tr>
      <w:tr>
        <w:trPr>
          <w:trHeight w:val="228" w:hRule="atLeast"/>
        </w:trPr>
        <w:tc>
          <w:tcPr>
            <w:tcW w:w="5143" w:type="dxa"/>
          </w:tcPr>
          <w:p>
            <w:pPr>
              <w:pStyle w:val="TableParagraph"/>
              <w:spacing w:before="17"/>
              <w:ind w:left="252"/>
              <w:rPr>
                <w:sz w:val="14"/>
              </w:rPr>
            </w:pPr>
            <w:r>
              <w:rPr>
                <w:spacing w:val="-4"/>
                <w:sz w:val="14"/>
              </w:rPr>
              <w:t>Other</w:t>
            </w:r>
          </w:p>
        </w:tc>
        <w:tc>
          <w:tcPr>
            <w:tcW w:w="3163" w:type="dxa"/>
            <w:gridSpan w:val="4"/>
          </w:tcPr>
          <w:p>
            <w:pPr>
              <w:pStyle w:val="TableParagraph"/>
              <w:tabs>
                <w:tab w:pos="2914" w:val="left" w:leader="none"/>
              </w:tabs>
              <w:spacing w:before="17"/>
              <w:ind w:left="1304"/>
              <w:rPr>
                <w:sz w:val="14"/>
              </w:rPr>
            </w:pPr>
            <w:r>
              <w:rPr>
                <w:spacing w:val="-10"/>
                <w:sz w:val="14"/>
              </w:rPr>
              <w:t>—</w:t>
            </w:r>
            <w:r>
              <w:rPr>
                <w:sz w:val="14"/>
              </w:rPr>
              <w:tab/>
            </w:r>
            <w:r>
              <w:rPr>
                <w:spacing w:val="-10"/>
                <w:sz w:val="14"/>
              </w:rPr>
              <w:t>—</w:t>
            </w:r>
          </w:p>
        </w:tc>
        <w:tc>
          <w:tcPr>
            <w:tcW w:w="1604" w:type="dxa"/>
            <w:gridSpan w:val="2"/>
          </w:tcPr>
          <w:p>
            <w:pPr>
              <w:pStyle w:val="TableParagraph"/>
              <w:spacing w:before="17"/>
              <w:ind w:right="64"/>
              <w:jc w:val="right"/>
              <w:rPr>
                <w:sz w:val="14"/>
              </w:rPr>
            </w:pPr>
            <w:r>
              <w:rPr>
                <w:spacing w:val="-2"/>
                <w:sz w:val="14"/>
              </w:rPr>
              <w:t>(2,358)</w:t>
            </w:r>
          </w:p>
        </w:tc>
        <w:tc>
          <w:tcPr>
            <w:tcW w:w="1597" w:type="dxa"/>
            <w:gridSpan w:val="2"/>
          </w:tcPr>
          <w:p>
            <w:pPr>
              <w:pStyle w:val="TableParagraph"/>
              <w:spacing w:before="17"/>
              <w:ind w:right="53"/>
              <w:jc w:val="right"/>
              <w:rPr>
                <w:sz w:val="14"/>
              </w:rPr>
            </w:pPr>
            <w:r>
              <w:rPr>
                <w:spacing w:val="-2"/>
                <w:sz w:val="14"/>
              </w:rPr>
              <w:t>(2,358)</w:t>
            </w:r>
          </w:p>
        </w:tc>
      </w:tr>
      <w:tr>
        <w:trPr>
          <w:trHeight w:val="201" w:hRule="atLeast"/>
        </w:trPr>
        <w:tc>
          <w:tcPr>
            <w:tcW w:w="5143" w:type="dxa"/>
            <w:shd w:val="clear" w:color="auto" w:fill="CCEDFF"/>
          </w:tcPr>
          <w:p>
            <w:pPr>
              <w:pStyle w:val="TableParagraph"/>
              <w:spacing w:before="3"/>
              <w:ind w:left="52"/>
              <w:rPr>
                <w:sz w:val="14"/>
              </w:rPr>
            </w:pPr>
            <w:r>
              <w:rPr>
                <w:sz w:val="14"/>
              </w:rPr>
              <w:t>Changes</w:t>
            </w:r>
            <w:r>
              <w:rPr>
                <w:spacing w:val="9"/>
                <w:sz w:val="14"/>
              </w:rPr>
              <w:t> </w:t>
            </w:r>
            <w:r>
              <w:rPr>
                <w:sz w:val="14"/>
              </w:rPr>
              <w:t>in</w:t>
            </w:r>
            <w:r>
              <w:rPr>
                <w:spacing w:val="10"/>
                <w:sz w:val="14"/>
              </w:rPr>
              <w:t> </w:t>
            </w:r>
            <w:r>
              <w:rPr>
                <w:sz w:val="14"/>
              </w:rPr>
              <w:t>accumulated</w:t>
            </w:r>
            <w:r>
              <w:rPr>
                <w:spacing w:val="10"/>
                <w:sz w:val="14"/>
              </w:rPr>
              <w:t> </w:t>
            </w:r>
            <w:r>
              <w:rPr>
                <w:sz w:val="14"/>
              </w:rPr>
              <w:t>other</w:t>
            </w:r>
            <w:r>
              <w:rPr>
                <w:spacing w:val="9"/>
                <w:sz w:val="14"/>
              </w:rPr>
              <w:t> </w:t>
            </w:r>
            <w:r>
              <w:rPr>
                <w:sz w:val="14"/>
              </w:rPr>
              <w:t>comprehensive</w:t>
            </w:r>
            <w:r>
              <w:rPr>
                <w:spacing w:val="10"/>
                <w:sz w:val="14"/>
              </w:rPr>
              <w:t> </w:t>
            </w:r>
            <w:r>
              <w:rPr>
                <w:spacing w:val="-4"/>
                <w:sz w:val="14"/>
              </w:rPr>
              <w:t>loss</w:t>
            </w:r>
          </w:p>
        </w:tc>
        <w:tc>
          <w:tcPr>
            <w:tcW w:w="539" w:type="dxa"/>
            <w:tcBorders>
              <w:top w:val="single" w:sz="6" w:space="0" w:color="000000"/>
            </w:tcBorders>
            <w:shd w:val="clear" w:color="auto" w:fill="CCEDFF"/>
          </w:tcPr>
          <w:p>
            <w:pPr>
              <w:pStyle w:val="TableParagraph"/>
              <w:spacing w:before="0"/>
              <w:rPr>
                <w:sz w:val="14"/>
              </w:rPr>
            </w:pPr>
          </w:p>
        </w:tc>
        <w:tc>
          <w:tcPr>
            <w:tcW w:w="1017" w:type="dxa"/>
            <w:tcBorders>
              <w:top w:val="single" w:sz="6" w:space="0" w:color="000000"/>
            </w:tcBorders>
            <w:shd w:val="clear" w:color="auto" w:fill="CCEDFF"/>
          </w:tcPr>
          <w:p>
            <w:pPr>
              <w:pStyle w:val="TableParagraph"/>
              <w:spacing w:before="17"/>
              <w:ind w:right="69"/>
              <w:jc w:val="right"/>
              <w:rPr>
                <w:sz w:val="14"/>
              </w:rPr>
            </w:pPr>
            <w:r>
              <w:rPr>
                <w:spacing w:val="-2"/>
                <w:sz w:val="14"/>
              </w:rPr>
              <w:t>(24,655)</w:t>
            </w:r>
          </w:p>
        </w:tc>
        <w:tc>
          <w:tcPr>
            <w:tcW w:w="594" w:type="dxa"/>
            <w:tcBorders>
              <w:top w:val="single" w:sz="6" w:space="0" w:color="000000"/>
            </w:tcBorders>
            <w:shd w:val="clear" w:color="auto" w:fill="CCEDFF"/>
          </w:tcPr>
          <w:p>
            <w:pPr>
              <w:pStyle w:val="TableParagraph"/>
              <w:spacing w:before="0"/>
              <w:rPr>
                <w:sz w:val="14"/>
              </w:rPr>
            </w:pPr>
          </w:p>
        </w:tc>
        <w:tc>
          <w:tcPr>
            <w:tcW w:w="1013" w:type="dxa"/>
            <w:tcBorders>
              <w:top w:val="single" w:sz="6" w:space="0" w:color="000000"/>
            </w:tcBorders>
            <w:shd w:val="clear" w:color="auto" w:fill="CCEDFF"/>
          </w:tcPr>
          <w:p>
            <w:pPr>
              <w:pStyle w:val="TableParagraph"/>
              <w:spacing w:before="17"/>
              <w:ind w:right="102"/>
              <w:jc w:val="right"/>
              <w:rPr>
                <w:sz w:val="14"/>
              </w:rPr>
            </w:pPr>
            <w:r>
              <w:rPr>
                <w:spacing w:val="-2"/>
                <w:sz w:val="14"/>
              </w:rPr>
              <w:t>34,788</w:t>
            </w:r>
          </w:p>
        </w:tc>
        <w:tc>
          <w:tcPr>
            <w:tcW w:w="592" w:type="dxa"/>
            <w:tcBorders>
              <w:top w:val="single" w:sz="6" w:space="0" w:color="000000"/>
            </w:tcBorders>
            <w:shd w:val="clear" w:color="auto" w:fill="CCEDFF"/>
          </w:tcPr>
          <w:p>
            <w:pPr>
              <w:pStyle w:val="TableParagraph"/>
              <w:spacing w:before="0"/>
              <w:rPr>
                <w:sz w:val="14"/>
              </w:rPr>
            </w:pPr>
          </w:p>
        </w:tc>
        <w:tc>
          <w:tcPr>
            <w:tcW w:w="1012" w:type="dxa"/>
            <w:tcBorders>
              <w:top w:val="single" w:sz="6" w:space="0" w:color="000000"/>
            </w:tcBorders>
            <w:shd w:val="clear" w:color="auto" w:fill="CCEDFF"/>
          </w:tcPr>
          <w:p>
            <w:pPr>
              <w:pStyle w:val="TableParagraph"/>
              <w:spacing w:before="17"/>
              <w:ind w:right="100"/>
              <w:jc w:val="right"/>
              <w:rPr>
                <w:sz w:val="14"/>
              </w:rPr>
            </w:pPr>
            <w:r>
              <w:rPr>
                <w:spacing w:val="-2"/>
                <w:sz w:val="14"/>
              </w:rPr>
              <w:t>6,209</w:t>
            </w:r>
          </w:p>
        </w:tc>
        <w:tc>
          <w:tcPr>
            <w:tcW w:w="593" w:type="dxa"/>
            <w:tcBorders>
              <w:top w:val="single" w:sz="6" w:space="0" w:color="000000"/>
            </w:tcBorders>
            <w:shd w:val="clear" w:color="auto" w:fill="CCEDFF"/>
          </w:tcPr>
          <w:p>
            <w:pPr>
              <w:pStyle w:val="TableParagraph"/>
              <w:spacing w:before="0"/>
              <w:rPr>
                <w:sz w:val="14"/>
              </w:rPr>
            </w:pPr>
          </w:p>
        </w:tc>
        <w:tc>
          <w:tcPr>
            <w:tcW w:w="1004" w:type="dxa"/>
            <w:tcBorders>
              <w:top w:val="single" w:sz="6" w:space="0" w:color="000000"/>
            </w:tcBorders>
            <w:shd w:val="clear" w:color="auto" w:fill="CCEDFF"/>
          </w:tcPr>
          <w:p>
            <w:pPr>
              <w:pStyle w:val="TableParagraph"/>
              <w:spacing w:before="17"/>
              <w:ind w:right="89"/>
              <w:jc w:val="right"/>
              <w:rPr>
                <w:sz w:val="14"/>
              </w:rPr>
            </w:pPr>
            <w:r>
              <w:rPr>
                <w:spacing w:val="-2"/>
                <w:sz w:val="14"/>
              </w:rPr>
              <w:t>16,342</w:t>
            </w:r>
          </w:p>
        </w:tc>
      </w:tr>
      <w:tr>
        <w:trPr>
          <w:trHeight w:val="215" w:hRule="atLeast"/>
        </w:trPr>
        <w:tc>
          <w:tcPr>
            <w:tcW w:w="5143" w:type="dxa"/>
          </w:tcPr>
          <w:p>
            <w:pPr>
              <w:pStyle w:val="TableParagraph"/>
              <w:spacing w:before="17"/>
              <w:ind w:left="52"/>
              <w:rPr>
                <w:sz w:val="14"/>
              </w:rPr>
            </w:pPr>
            <w:r>
              <w:rPr>
                <w:sz w:val="14"/>
              </w:rPr>
              <w:t>Other</w:t>
            </w:r>
            <w:r>
              <w:rPr>
                <w:spacing w:val="9"/>
                <w:sz w:val="14"/>
              </w:rPr>
              <w:t> </w:t>
            </w:r>
            <w:r>
              <w:rPr>
                <w:sz w:val="14"/>
              </w:rPr>
              <w:t>comprehensive</w:t>
            </w:r>
            <w:r>
              <w:rPr>
                <w:spacing w:val="10"/>
                <w:sz w:val="14"/>
              </w:rPr>
              <w:t> </w:t>
            </w:r>
            <w:r>
              <w:rPr>
                <w:sz w:val="14"/>
              </w:rPr>
              <w:t>(income)</w:t>
            </w:r>
            <w:r>
              <w:rPr>
                <w:spacing w:val="10"/>
                <w:sz w:val="14"/>
              </w:rPr>
              <w:t> </w:t>
            </w:r>
            <w:r>
              <w:rPr>
                <w:sz w:val="14"/>
              </w:rPr>
              <w:t>loss</w:t>
            </w:r>
            <w:r>
              <w:rPr>
                <w:spacing w:val="10"/>
                <w:sz w:val="14"/>
              </w:rPr>
              <w:t> </w:t>
            </w:r>
            <w:r>
              <w:rPr>
                <w:sz w:val="14"/>
              </w:rPr>
              <w:t>attributable</w:t>
            </w:r>
            <w:r>
              <w:rPr>
                <w:spacing w:val="10"/>
                <w:sz w:val="14"/>
              </w:rPr>
              <w:t> </w:t>
            </w:r>
            <w:r>
              <w:rPr>
                <w:sz w:val="14"/>
              </w:rPr>
              <w:t>to</w:t>
            </w:r>
            <w:r>
              <w:rPr>
                <w:spacing w:val="10"/>
                <w:sz w:val="14"/>
              </w:rPr>
              <w:t> </w:t>
            </w:r>
            <w:r>
              <w:rPr>
                <w:sz w:val="14"/>
              </w:rPr>
              <w:t>noncontrolling</w:t>
            </w:r>
            <w:r>
              <w:rPr>
                <w:spacing w:val="10"/>
                <w:sz w:val="14"/>
              </w:rPr>
              <w:t> </w:t>
            </w:r>
            <w:r>
              <w:rPr>
                <w:spacing w:val="-2"/>
                <w:sz w:val="14"/>
              </w:rPr>
              <w:t>interest</w:t>
            </w:r>
          </w:p>
        </w:tc>
        <w:tc>
          <w:tcPr>
            <w:tcW w:w="539" w:type="dxa"/>
            <w:tcBorders>
              <w:bottom w:val="single" w:sz="6" w:space="0" w:color="000000"/>
            </w:tcBorders>
          </w:tcPr>
          <w:p>
            <w:pPr>
              <w:pStyle w:val="TableParagraph"/>
              <w:spacing w:before="0"/>
              <w:rPr>
                <w:sz w:val="14"/>
              </w:rPr>
            </w:pPr>
          </w:p>
        </w:tc>
        <w:tc>
          <w:tcPr>
            <w:tcW w:w="1017" w:type="dxa"/>
            <w:tcBorders>
              <w:bottom w:val="single" w:sz="6" w:space="0" w:color="000000"/>
            </w:tcBorders>
          </w:tcPr>
          <w:p>
            <w:pPr>
              <w:pStyle w:val="TableParagraph"/>
              <w:spacing w:before="17"/>
              <w:ind w:right="105"/>
              <w:jc w:val="right"/>
              <w:rPr>
                <w:sz w:val="14"/>
              </w:rPr>
            </w:pPr>
            <w:r>
              <w:rPr>
                <w:spacing w:val="-2"/>
                <w:sz w:val="14"/>
              </w:rPr>
              <w:t>10,784</w:t>
            </w:r>
          </w:p>
        </w:tc>
        <w:tc>
          <w:tcPr>
            <w:tcW w:w="594" w:type="dxa"/>
            <w:tcBorders>
              <w:bottom w:val="single" w:sz="6" w:space="0" w:color="000000"/>
            </w:tcBorders>
          </w:tcPr>
          <w:p>
            <w:pPr>
              <w:pStyle w:val="TableParagraph"/>
              <w:spacing w:before="0"/>
              <w:rPr>
                <w:sz w:val="14"/>
              </w:rPr>
            </w:pPr>
          </w:p>
        </w:tc>
        <w:tc>
          <w:tcPr>
            <w:tcW w:w="1013" w:type="dxa"/>
            <w:tcBorders>
              <w:bottom w:val="single" w:sz="6" w:space="0" w:color="000000"/>
            </w:tcBorders>
          </w:tcPr>
          <w:p>
            <w:pPr>
              <w:pStyle w:val="TableParagraph"/>
              <w:spacing w:before="17"/>
              <w:ind w:right="66"/>
              <w:jc w:val="right"/>
              <w:rPr>
                <w:sz w:val="14"/>
              </w:rPr>
            </w:pPr>
            <w:r>
              <w:rPr>
                <w:spacing w:val="-2"/>
                <w:sz w:val="14"/>
              </w:rPr>
              <w:t>(21,065)</w:t>
            </w:r>
          </w:p>
        </w:tc>
        <w:tc>
          <w:tcPr>
            <w:tcW w:w="592" w:type="dxa"/>
            <w:tcBorders>
              <w:bottom w:val="single" w:sz="6" w:space="0" w:color="000000"/>
            </w:tcBorders>
          </w:tcPr>
          <w:p>
            <w:pPr>
              <w:pStyle w:val="TableParagraph"/>
              <w:spacing w:before="0"/>
              <w:rPr>
                <w:sz w:val="14"/>
              </w:rPr>
            </w:pPr>
          </w:p>
        </w:tc>
        <w:tc>
          <w:tcPr>
            <w:tcW w:w="1012" w:type="dxa"/>
            <w:tcBorders>
              <w:bottom w:val="single" w:sz="6" w:space="0" w:color="000000"/>
            </w:tcBorders>
          </w:tcPr>
          <w:p>
            <w:pPr>
              <w:pStyle w:val="TableParagraph"/>
              <w:spacing w:before="17"/>
              <w:ind w:right="100"/>
              <w:jc w:val="right"/>
              <w:rPr>
                <w:sz w:val="14"/>
              </w:rPr>
            </w:pPr>
            <w:r>
              <w:rPr>
                <w:spacing w:val="-10"/>
                <w:sz w:val="14"/>
              </w:rPr>
              <w:t>—</w:t>
            </w:r>
          </w:p>
        </w:tc>
        <w:tc>
          <w:tcPr>
            <w:tcW w:w="593" w:type="dxa"/>
            <w:tcBorders>
              <w:bottom w:val="single" w:sz="6" w:space="0" w:color="000000"/>
            </w:tcBorders>
          </w:tcPr>
          <w:p>
            <w:pPr>
              <w:pStyle w:val="TableParagraph"/>
              <w:spacing w:before="0"/>
              <w:rPr>
                <w:sz w:val="14"/>
              </w:rPr>
            </w:pPr>
          </w:p>
        </w:tc>
        <w:tc>
          <w:tcPr>
            <w:tcW w:w="1004" w:type="dxa"/>
            <w:tcBorders>
              <w:bottom w:val="single" w:sz="6" w:space="0" w:color="000000"/>
            </w:tcBorders>
          </w:tcPr>
          <w:p>
            <w:pPr>
              <w:pStyle w:val="TableParagraph"/>
              <w:spacing w:before="17"/>
              <w:ind w:right="53"/>
              <w:jc w:val="right"/>
              <w:rPr>
                <w:sz w:val="14"/>
              </w:rPr>
            </w:pPr>
            <w:r>
              <w:rPr>
                <w:spacing w:val="-2"/>
                <w:sz w:val="14"/>
              </w:rPr>
              <w:t>(10,281)</w:t>
            </w:r>
          </w:p>
        </w:tc>
      </w:tr>
      <w:tr>
        <w:trPr>
          <w:trHeight w:val="214" w:hRule="atLeast"/>
        </w:trPr>
        <w:tc>
          <w:tcPr>
            <w:tcW w:w="5143" w:type="dxa"/>
            <w:shd w:val="clear" w:color="auto" w:fill="CCEDFF"/>
          </w:tcPr>
          <w:p>
            <w:pPr>
              <w:pStyle w:val="TableParagraph"/>
              <w:spacing w:before="17"/>
              <w:ind w:left="52"/>
              <w:rPr>
                <w:b/>
                <w:sz w:val="14"/>
              </w:rPr>
            </w:pPr>
            <w:r>
              <w:rPr>
                <w:b/>
                <w:sz w:val="14"/>
              </w:rPr>
              <w:t>Balances,</w:t>
            </w:r>
            <w:r>
              <w:rPr>
                <w:b/>
                <w:spacing w:val="9"/>
                <w:sz w:val="14"/>
              </w:rPr>
              <w:t> </w:t>
            </w:r>
            <w:r>
              <w:rPr>
                <w:b/>
                <w:sz w:val="14"/>
              </w:rPr>
              <w:t>December</w:t>
            </w:r>
            <w:r>
              <w:rPr>
                <w:b/>
                <w:spacing w:val="6"/>
                <w:sz w:val="14"/>
              </w:rPr>
              <w:t> </w:t>
            </w:r>
            <w:r>
              <w:rPr>
                <w:b/>
                <w:sz w:val="14"/>
              </w:rPr>
              <w:t>31,</w:t>
            </w:r>
            <w:r>
              <w:rPr>
                <w:b/>
                <w:spacing w:val="9"/>
                <w:sz w:val="14"/>
              </w:rPr>
              <w:t> </w:t>
            </w:r>
            <w:r>
              <w:rPr>
                <w:b/>
                <w:spacing w:val="-4"/>
                <w:sz w:val="14"/>
              </w:rPr>
              <w:t>2021</w:t>
            </w:r>
          </w:p>
        </w:tc>
        <w:tc>
          <w:tcPr>
            <w:tcW w:w="539" w:type="dxa"/>
            <w:tcBorders>
              <w:top w:val="single" w:sz="6" w:space="0" w:color="000000"/>
              <w:bottom w:val="single" w:sz="6" w:space="0" w:color="000000"/>
            </w:tcBorders>
            <w:shd w:val="clear" w:color="auto" w:fill="CCEDFF"/>
          </w:tcPr>
          <w:p>
            <w:pPr>
              <w:pStyle w:val="TableParagraph"/>
              <w:spacing w:before="0"/>
              <w:rPr>
                <w:sz w:val="14"/>
              </w:rPr>
            </w:pPr>
          </w:p>
        </w:tc>
        <w:tc>
          <w:tcPr>
            <w:tcW w:w="1017" w:type="dxa"/>
            <w:tcBorders>
              <w:top w:val="single" w:sz="6" w:space="0" w:color="000000"/>
              <w:bottom w:val="single" w:sz="6" w:space="0" w:color="000000"/>
            </w:tcBorders>
            <w:shd w:val="clear" w:color="auto" w:fill="CCEDFF"/>
          </w:tcPr>
          <w:p>
            <w:pPr>
              <w:pStyle w:val="TableParagraph"/>
              <w:spacing w:before="17"/>
              <w:ind w:right="69"/>
              <w:jc w:val="right"/>
              <w:rPr>
                <w:sz w:val="14"/>
              </w:rPr>
            </w:pPr>
            <w:r>
              <w:rPr>
                <w:spacing w:val="-2"/>
                <w:sz w:val="14"/>
              </w:rPr>
              <w:t>(907)</w:t>
            </w:r>
          </w:p>
        </w:tc>
        <w:tc>
          <w:tcPr>
            <w:tcW w:w="594" w:type="dxa"/>
            <w:tcBorders>
              <w:top w:val="single" w:sz="6" w:space="0" w:color="000000"/>
              <w:bottom w:val="single" w:sz="6" w:space="0" w:color="000000"/>
            </w:tcBorders>
            <w:shd w:val="clear" w:color="auto" w:fill="CCEDFF"/>
          </w:tcPr>
          <w:p>
            <w:pPr>
              <w:pStyle w:val="TableParagraph"/>
              <w:spacing w:before="0"/>
              <w:rPr>
                <w:sz w:val="14"/>
              </w:rPr>
            </w:pPr>
          </w:p>
        </w:tc>
        <w:tc>
          <w:tcPr>
            <w:tcW w:w="1013" w:type="dxa"/>
            <w:tcBorders>
              <w:top w:val="single" w:sz="6" w:space="0" w:color="000000"/>
              <w:bottom w:val="single" w:sz="6" w:space="0" w:color="000000"/>
            </w:tcBorders>
            <w:shd w:val="clear" w:color="auto" w:fill="CCEDFF"/>
          </w:tcPr>
          <w:p>
            <w:pPr>
              <w:pStyle w:val="TableParagraph"/>
              <w:spacing w:before="17"/>
              <w:ind w:right="66"/>
              <w:jc w:val="right"/>
              <w:rPr>
                <w:sz w:val="14"/>
              </w:rPr>
            </w:pPr>
            <w:r>
              <w:rPr>
                <w:spacing w:val="-2"/>
                <w:sz w:val="14"/>
              </w:rPr>
              <w:t>(41,634)</w:t>
            </w:r>
          </w:p>
        </w:tc>
        <w:tc>
          <w:tcPr>
            <w:tcW w:w="592" w:type="dxa"/>
            <w:tcBorders>
              <w:top w:val="single" w:sz="6" w:space="0" w:color="000000"/>
              <w:bottom w:val="single" w:sz="6" w:space="0" w:color="000000"/>
            </w:tcBorders>
            <w:shd w:val="clear" w:color="auto" w:fill="CCEDFF"/>
          </w:tcPr>
          <w:p>
            <w:pPr>
              <w:pStyle w:val="TableParagraph"/>
              <w:spacing w:before="0"/>
              <w:rPr>
                <w:sz w:val="14"/>
              </w:rPr>
            </w:pPr>
          </w:p>
        </w:tc>
        <w:tc>
          <w:tcPr>
            <w:tcW w:w="1012" w:type="dxa"/>
            <w:tcBorders>
              <w:top w:val="single" w:sz="6" w:space="0" w:color="000000"/>
              <w:bottom w:val="single" w:sz="6" w:space="0" w:color="000000"/>
            </w:tcBorders>
            <w:shd w:val="clear" w:color="auto" w:fill="CCEDFF"/>
          </w:tcPr>
          <w:p>
            <w:pPr>
              <w:pStyle w:val="TableParagraph"/>
              <w:spacing w:before="17"/>
              <w:ind w:right="100"/>
              <w:jc w:val="right"/>
              <w:rPr>
                <w:sz w:val="14"/>
              </w:rPr>
            </w:pPr>
            <w:r>
              <w:rPr>
                <w:spacing w:val="-2"/>
                <w:sz w:val="14"/>
              </w:rPr>
              <w:t>17,925</w:t>
            </w:r>
          </w:p>
        </w:tc>
        <w:tc>
          <w:tcPr>
            <w:tcW w:w="593" w:type="dxa"/>
            <w:tcBorders>
              <w:top w:val="single" w:sz="6" w:space="0" w:color="000000"/>
              <w:bottom w:val="single" w:sz="6" w:space="0" w:color="000000"/>
            </w:tcBorders>
            <w:shd w:val="clear" w:color="auto" w:fill="CCEDFF"/>
          </w:tcPr>
          <w:p>
            <w:pPr>
              <w:pStyle w:val="TableParagraph"/>
              <w:spacing w:before="0"/>
              <w:rPr>
                <w:sz w:val="14"/>
              </w:rPr>
            </w:pPr>
          </w:p>
        </w:tc>
        <w:tc>
          <w:tcPr>
            <w:tcW w:w="1004" w:type="dxa"/>
            <w:tcBorders>
              <w:top w:val="single" w:sz="6" w:space="0" w:color="000000"/>
              <w:bottom w:val="single" w:sz="6" w:space="0" w:color="000000"/>
            </w:tcBorders>
            <w:shd w:val="clear" w:color="auto" w:fill="CCEDFF"/>
          </w:tcPr>
          <w:p>
            <w:pPr>
              <w:pStyle w:val="TableParagraph"/>
              <w:spacing w:before="17"/>
              <w:ind w:right="53"/>
              <w:jc w:val="right"/>
              <w:rPr>
                <w:sz w:val="14"/>
              </w:rPr>
            </w:pPr>
            <w:r>
              <w:rPr>
                <w:spacing w:val="-2"/>
                <w:sz w:val="14"/>
              </w:rPr>
              <w:t>(24,616)</w:t>
            </w:r>
          </w:p>
        </w:tc>
      </w:tr>
      <w:tr>
        <w:trPr>
          <w:trHeight w:val="215" w:hRule="atLeast"/>
        </w:trPr>
        <w:tc>
          <w:tcPr>
            <w:tcW w:w="5143" w:type="dxa"/>
          </w:tcPr>
          <w:p>
            <w:pPr>
              <w:pStyle w:val="TableParagraph"/>
              <w:spacing w:before="17"/>
              <w:ind w:left="52"/>
              <w:rPr>
                <w:sz w:val="14"/>
              </w:rPr>
            </w:pPr>
            <w:r>
              <w:rPr>
                <w:sz w:val="14"/>
              </w:rPr>
              <w:t>Other</w:t>
            </w:r>
            <w:r>
              <w:rPr>
                <w:spacing w:val="9"/>
                <w:sz w:val="14"/>
              </w:rPr>
              <w:t> </w:t>
            </w:r>
            <w:r>
              <w:rPr>
                <w:sz w:val="14"/>
              </w:rPr>
              <w:t>comprehensive</w:t>
            </w:r>
            <w:r>
              <w:rPr>
                <w:spacing w:val="10"/>
                <w:sz w:val="14"/>
              </w:rPr>
              <w:t> </w:t>
            </w:r>
            <w:r>
              <w:rPr>
                <w:sz w:val="14"/>
              </w:rPr>
              <w:t>income</w:t>
            </w:r>
            <w:r>
              <w:rPr>
                <w:spacing w:val="10"/>
                <w:sz w:val="14"/>
              </w:rPr>
              <w:t> </w:t>
            </w:r>
            <w:r>
              <w:rPr>
                <w:sz w:val="14"/>
              </w:rPr>
              <w:t>before</w:t>
            </w:r>
            <w:r>
              <w:rPr>
                <w:spacing w:val="9"/>
                <w:sz w:val="14"/>
              </w:rPr>
              <w:t> </w:t>
            </w:r>
            <w:r>
              <w:rPr>
                <w:spacing w:val="-2"/>
                <w:sz w:val="14"/>
              </w:rPr>
              <w:t>reclassifications</w:t>
            </w:r>
          </w:p>
        </w:tc>
        <w:tc>
          <w:tcPr>
            <w:tcW w:w="539" w:type="dxa"/>
            <w:tcBorders>
              <w:top w:val="single" w:sz="6" w:space="0" w:color="000000"/>
            </w:tcBorders>
          </w:tcPr>
          <w:p>
            <w:pPr>
              <w:pStyle w:val="TableParagraph"/>
              <w:spacing w:before="0"/>
              <w:rPr>
                <w:sz w:val="14"/>
              </w:rPr>
            </w:pPr>
          </w:p>
        </w:tc>
        <w:tc>
          <w:tcPr>
            <w:tcW w:w="1017" w:type="dxa"/>
            <w:tcBorders>
              <w:top w:val="single" w:sz="6" w:space="0" w:color="000000"/>
            </w:tcBorders>
          </w:tcPr>
          <w:p>
            <w:pPr>
              <w:pStyle w:val="TableParagraph"/>
              <w:spacing w:before="17"/>
              <w:ind w:right="105"/>
              <w:jc w:val="right"/>
              <w:rPr>
                <w:sz w:val="14"/>
              </w:rPr>
            </w:pPr>
            <w:r>
              <w:rPr>
                <w:spacing w:val="-2"/>
                <w:sz w:val="14"/>
              </w:rPr>
              <w:t>27,336</w:t>
            </w:r>
          </w:p>
        </w:tc>
        <w:tc>
          <w:tcPr>
            <w:tcW w:w="594" w:type="dxa"/>
            <w:tcBorders>
              <w:top w:val="single" w:sz="6" w:space="0" w:color="000000"/>
            </w:tcBorders>
          </w:tcPr>
          <w:p>
            <w:pPr>
              <w:pStyle w:val="TableParagraph"/>
              <w:spacing w:before="0"/>
              <w:rPr>
                <w:sz w:val="14"/>
              </w:rPr>
            </w:pPr>
          </w:p>
        </w:tc>
        <w:tc>
          <w:tcPr>
            <w:tcW w:w="1013" w:type="dxa"/>
            <w:tcBorders>
              <w:top w:val="single" w:sz="6" w:space="0" w:color="000000"/>
            </w:tcBorders>
          </w:tcPr>
          <w:p>
            <w:pPr>
              <w:pStyle w:val="TableParagraph"/>
              <w:spacing w:before="17"/>
              <w:ind w:right="102"/>
              <w:jc w:val="right"/>
              <w:rPr>
                <w:sz w:val="14"/>
              </w:rPr>
            </w:pPr>
            <w:r>
              <w:rPr>
                <w:spacing w:val="-2"/>
                <w:sz w:val="14"/>
              </w:rPr>
              <w:t>30,692</w:t>
            </w:r>
          </w:p>
        </w:tc>
        <w:tc>
          <w:tcPr>
            <w:tcW w:w="592" w:type="dxa"/>
            <w:tcBorders>
              <w:top w:val="single" w:sz="6" w:space="0" w:color="000000"/>
            </w:tcBorders>
          </w:tcPr>
          <w:p>
            <w:pPr>
              <w:pStyle w:val="TableParagraph"/>
              <w:spacing w:before="0"/>
              <w:rPr>
                <w:sz w:val="14"/>
              </w:rPr>
            </w:pPr>
          </w:p>
        </w:tc>
        <w:tc>
          <w:tcPr>
            <w:tcW w:w="1012" w:type="dxa"/>
            <w:tcBorders>
              <w:top w:val="single" w:sz="6" w:space="0" w:color="000000"/>
            </w:tcBorders>
          </w:tcPr>
          <w:p>
            <w:pPr>
              <w:pStyle w:val="TableParagraph"/>
              <w:spacing w:before="17"/>
              <w:ind w:right="100"/>
              <w:jc w:val="right"/>
              <w:rPr>
                <w:sz w:val="14"/>
              </w:rPr>
            </w:pPr>
            <w:r>
              <w:rPr>
                <w:spacing w:val="-10"/>
                <w:sz w:val="14"/>
              </w:rPr>
              <w:t>—</w:t>
            </w:r>
          </w:p>
        </w:tc>
        <w:tc>
          <w:tcPr>
            <w:tcW w:w="593" w:type="dxa"/>
            <w:tcBorders>
              <w:top w:val="single" w:sz="6" w:space="0" w:color="000000"/>
            </w:tcBorders>
          </w:tcPr>
          <w:p>
            <w:pPr>
              <w:pStyle w:val="TableParagraph"/>
              <w:spacing w:before="0"/>
              <w:rPr>
                <w:sz w:val="14"/>
              </w:rPr>
            </w:pPr>
          </w:p>
        </w:tc>
        <w:tc>
          <w:tcPr>
            <w:tcW w:w="1004" w:type="dxa"/>
            <w:tcBorders>
              <w:top w:val="single" w:sz="6" w:space="0" w:color="000000"/>
            </w:tcBorders>
          </w:tcPr>
          <w:p>
            <w:pPr>
              <w:pStyle w:val="TableParagraph"/>
              <w:spacing w:before="17"/>
              <w:ind w:right="89"/>
              <w:jc w:val="right"/>
              <w:rPr>
                <w:sz w:val="14"/>
              </w:rPr>
            </w:pPr>
            <w:r>
              <w:rPr>
                <w:spacing w:val="-2"/>
                <w:sz w:val="14"/>
              </w:rPr>
              <w:t>58,028</w:t>
            </w:r>
          </w:p>
        </w:tc>
      </w:tr>
      <w:tr>
        <w:trPr>
          <w:trHeight w:val="228" w:hRule="atLeast"/>
        </w:trPr>
        <w:tc>
          <w:tcPr>
            <w:tcW w:w="5143" w:type="dxa"/>
            <w:shd w:val="clear" w:color="auto" w:fill="CCEDFF"/>
          </w:tcPr>
          <w:p>
            <w:pPr>
              <w:pStyle w:val="TableParagraph"/>
              <w:spacing w:before="31"/>
              <w:ind w:left="52"/>
              <w:rPr>
                <w:sz w:val="14"/>
              </w:rPr>
            </w:pPr>
            <w:r>
              <w:rPr>
                <w:sz w:val="14"/>
              </w:rPr>
              <w:t>Amounts</w:t>
            </w:r>
            <w:r>
              <w:rPr>
                <w:spacing w:val="8"/>
                <w:sz w:val="14"/>
              </w:rPr>
              <w:t> </w:t>
            </w:r>
            <w:r>
              <w:rPr>
                <w:sz w:val="14"/>
              </w:rPr>
              <w:t>reclassified</w:t>
            </w:r>
            <w:r>
              <w:rPr>
                <w:spacing w:val="9"/>
                <w:sz w:val="14"/>
              </w:rPr>
              <w:t> </w:t>
            </w:r>
            <w:r>
              <w:rPr>
                <w:sz w:val="14"/>
              </w:rPr>
              <w:t>from</w:t>
            </w:r>
            <w:r>
              <w:rPr>
                <w:spacing w:val="9"/>
                <w:sz w:val="14"/>
              </w:rPr>
              <w:t> </w:t>
            </w:r>
            <w:r>
              <w:rPr>
                <w:sz w:val="14"/>
              </w:rPr>
              <w:t>accumulated</w:t>
            </w:r>
            <w:r>
              <w:rPr>
                <w:spacing w:val="9"/>
                <w:sz w:val="14"/>
              </w:rPr>
              <w:t> </w:t>
            </w:r>
            <w:r>
              <w:rPr>
                <w:sz w:val="14"/>
              </w:rPr>
              <w:t>other</w:t>
            </w:r>
            <w:r>
              <w:rPr>
                <w:spacing w:val="9"/>
                <w:sz w:val="14"/>
              </w:rPr>
              <w:t> </w:t>
            </w:r>
            <w:r>
              <w:rPr>
                <w:sz w:val="14"/>
              </w:rPr>
              <w:t>comprehensive</w:t>
            </w:r>
            <w:r>
              <w:rPr>
                <w:spacing w:val="9"/>
                <w:sz w:val="14"/>
              </w:rPr>
              <w:t> </w:t>
            </w:r>
            <w:r>
              <w:rPr>
                <w:sz w:val="14"/>
              </w:rPr>
              <w:t>loss</w:t>
            </w:r>
            <w:r>
              <w:rPr>
                <w:spacing w:val="9"/>
                <w:sz w:val="14"/>
              </w:rPr>
              <w:t> </w:t>
            </w:r>
            <w:r>
              <w:rPr>
                <w:sz w:val="14"/>
              </w:rPr>
              <w:t>to</w:t>
            </w:r>
            <w:r>
              <w:rPr>
                <w:spacing w:val="9"/>
                <w:sz w:val="14"/>
              </w:rPr>
              <w:t> </w:t>
            </w:r>
            <w:r>
              <w:rPr>
                <w:sz w:val="14"/>
              </w:rPr>
              <w:t>interest</w:t>
            </w:r>
            <w:r>
              <w:rPr>
                <w:spacing w:val="9"/>
                <w:sz w:val="14"/>
              </w:rPr>
              <w:t> </w:t>
            </w:r>
            <w:r>
              <w:rPr>
                <w:spacing w:val="-2"/>
                <w:sz w:val="14"/>
              </w:rPr>
              <w:t>expense</w:t>
            </w:r>
          </w:p>
        </w:tc>
        <w:tc>
          <w:tcPr>
            <w:tcW w:w="539" w:type="dxa"/>
            <w:tcBorders>
              <w:bottom w:val="single" w:sz="6" w:space="0" w:color="000000"/>
            </w:tcBorders>
            <w:shd w:val="clear" w:color="auto" w:fill="CCEDFF"/>
          </w:tcPr>
          <w:p>
            <w:pPr>
              <w:pStyle w:val="TableParagraph"/>
              <w:spacing w:before="0"/>
              <w:rPr>
                <w:sz w:val="14"/>
              </w:rPr>
            </w:pPr>
          </w:p>
        </w:tc>
        <w:tc>
          <w:tcPr>
            <w:tcW w:w="1017" w:type="dxa"/>
            <w:tcBorders>
              <w:bottom w:val="single" w:sz="6" w:space="0" w:color="000000"/>
            </w:tcBorders>
            <w:shd w:val="clear" w:color="auto" w:fill="CCEDFF"/>
          </w:tcPr>
          <w:p>
            <w:pPr>
              <w:pStyle w:val="TableParagraph"/>
              <w:spacing w:before="17"/>
              <w:ind w:right="105"/>
              <w:jc w:val="right"/>
              <w:rPr>
                <w:sz w:val="14"/>
              </w:rPr>
            </w:pPr>
            <w:r>
              <w:rPr>
                <w:spacing w:val="-10"/>
                <w:sz w:val="14"/>
              </w:rPr>
              <w:t>—</w:t>
            </w:r>
          </w:p>
        </w:tc>
        <w:tc>
          <w:tcPr>
            <w:tcW w:w="594" w:type="dxa"/>
            <w:tcBorders>
              <w:bottom w:val="single" w:sz="6" w:space="0" w:color="000000"/>
            </w:tcBorders>
            <w:shd w:val="clear" w:color="auto" w:fill="CCEDFF"/>
          </w:tcPr>
          <w:p>
            <w:pPr>
              <w:pStyle w:val="TableParagraph"/>
              <w:spacing w:before="0"/>
              <w:rPr>
                <w:sz w:val="14"/>
              </w:rPr>
            </w:pPr>
          </w:p>
        </w:tc>
        <w:tc>
          <w:tcPr>
            <w:tcW w:w="1013" w:type="dxa"/>
            <w:tcBorders>
              <w:bottom w:val="single" w:sz="6" w:space="0" w:color="000000"/>
            </w:tcBorders>
            <w:shd w:val="clear" w:color="auto" w:fill="CCEDFF"/>
          </w:tcPr>
          <w:p>
            <w:pPr>
              <w:pStyle w:val="TableParagraph"/>
              <w:spacing w:before="17"/>
              <w:ind w:right="102"/>
              <w:jc w:val="right"/>
              <w:rPr>
                <w:sz w:val="14"/>
              </w:rPr>
            </w:pPr>
            <w:r>
              <w:rPr>
                <w:spacing w:val="-2"/>
                <w:sz w:val="14"/>
              </w:rPr>
              <w:t>7,000</w:t>
            </w:r>
          </w:p>
        </w:tc>
        <w:tc>
          <w:tcPr>
            <w:tcW w:w="592" w:type="dxa"/>
            <w:tcBorders>
              <w:bottom w:val="single" w:sz="6" w:space="0" w:color="000000"/>
            </w:tcBorders>
            <w:shd w:val="clear" w:color="auto" w:fill="CCEDFF"/>
          </w:tcPr>
          <w:p>
            <w:pPr>
              <w:pStyle w:val="TableParagraph"/>
              <w:spacing w:before="0"/>
              <w:rPr>
                <w:sz w:val="14"/>
              </w:rPr>
            </w:pPr>
          </w:p>
        </w:tc>
        <w:tc>
          <w:tcPr>
            <w:tcW w:w="1012" w:type="dxa"/>
            <w:tcBorders>
              <w:bottom w:val="single" w:sz="6" w:space="0" w:color="000000"/>
            </w:tcBorders>
            <w:shd w:val="clear" w:color="auto" w:fill="CCEDFF"/>
          </w:tcPr>
          <w:p>
            <w:pPr>
              <w:pStyle w:val="TableParagraph"/>
              <w:spacing w:before="17"/>
              <w:ind w:right="100"/>
              <w:jc w:val="right"/>
              <w:rPr>
                <w:sz w:val="14"/>
              </w:rPr>
            </w:pPr>
            <w:r>
              <w:rPr>
                <w:spacing w:val="-10"/>
                <w:sz w:val="14"/>
              </w:rPr>
              <w:t>—</w:t>
            </w:r>
          </w:p>
        </w:tc>
        <w:tc>
          <w:tcPr>
            <w:tcW w:w="593" w:type="dxa"/>
            <w:tcBorders>
              <w:bottom w:val="single" w:sz="6" w:space="0" w:color="000000"/>
            </w:tcBorders>
            <w:shd w:val="clear" w:color="auto" w:fill="CCEDFF"/>
          </w:tcPr>
          <w:p>
            <w:pPr>
              <w:pStyle w:val="TableParagraph"/>
              <w:spacing w:before="0"/>
              <w:rPr>
                <w:sz w:val="14"/>
              </w:rPr>
            </w:pPr>
          </w:p>
        </w:tc>
        <w:tc>
          <w:tcPr>
            <w:tcW w:w="1004" w:type="dxa"/>
            <w:tcBorders>
              <w:bottom w:val="single" w:sz="6" w:space="0" w:color="000000"/>
            </w:tcBorders>
            <w:shd w:val="clear" w:color="auto" w:fill="CCEDFF"/>
          </w:tcPr>
          <w:p>
            <w:pPr>
              <w:pStyle w:val="TableParagraph"/>
              <w:spacing w:before="17"/>
              <w:ind w:right="89"/>
              <w:jc w:val="right"/>
              <w:rPr>
                <w:sz w:val="14"/>
              </w:rPr>
            </w:pPr>
            <w:r>
              <w:rPr>
                <w:spacing w:val="-2"/>
                <w:sz w:val="14"/>
              </w:rPr>
              <w:t>7,000</w:t>
            </w:r>
          </w:p>
        </w:tc>
      </w:tr>
      <w:tr>
        <w:trPr>
          <w:trHeight w:val="215" w:hRule="atLeast"/>
        </w:trPr>
        <w:tc>
          <w:tcPr>
            <w:tcW w:w="5143" w:type="dxa"/>
          </w:tcPr>
          <w:p>
            <w:pPr>
              <w:pStyle w:val="TableParagraph"/>
              <w:spacing w:before="3"/>
              <w:ind w:left="252"/>
              <w:rPr>
                <w:sz w:val="14"/>
              </w:rPr>
            </w:pPr>
            <w:r>
              <w:rPr>
                <w:sz w:val="14"/>
              </w:rPr>
              <w:t>Other</w:t>
            </w:r>
            <w:r>
              <w:rPr>
                <w:spacing w:val="7"/>
                <w:sz w:val="14"/>
              </w:rPr>
              <w:t> </w:t>
            </w:r>
            <w:r>
              <w:rPr>
                <w:sz w:val="14"/>
              </w:rPr>
              <w:t>comprehensive</w:t>
            </w:r>
            <w:r>
              <w:rPr>
                <w:spacing w:val="8"/>
                <w:sz w:val="14"/>
              </w:rPr>
              <w:t> </w:t>
            </w:r>
            <w:r>
              <w:rPr>
                <w:sz w:val="14"/>
              </w:rPr>
              <w:t>income,</w:t>
            </w:r>
            <w:r>
              <w:rPr>
                <w:spacing w:val="7"/>
                <w:sz w:val="14"/>
              </w:rPr>
              <w:t> </w:t>
            </w:r>
            <w:r>
              <w:rPr>
                <w:sz w:val="14"/>
              </w:rPr>
              <w:t>net</w:t>
            </w:r>
            <w:r>
              <w:rPr>
                <w:spacing w:val="8"/>
                <w:sz w:val="14"/>
              </w:rPr>
              <w:t> </w:t>
            </w:r>
            <w:r>
              <w:rPr>
                <w:sz w:val="14"/>
              </w:rPr>
              <w:t>of</w:t>
            </w:r>
            <w:r>
              <w:rPr>
                <w:spacing w:val="8"/>
                <w:sz w:val="14"/>
              </w:rPr>
              <w:t> </w:t>
            </w:r>
            <w:r>
              <w:rPr>
                <w:spacing w:val="-5"/>
                <w:sz w:val="14"/>
              </w:rPr>
              <w:t>tax</w:t>
            </w:r>
          </w:p>
        </w:tc>
        <w:tc>
          <w:tcPr>
            <w:tcW w:w="539" w:type="dxa"/>
            <w:tcBorders>
              <w:top w:val="single" w:sz="6" w:space="0" w:color="000000"/>
            </w:tcBorders>
          </w:tcPr>
          <w:p>
            <w:pPr>
              <w:pStyle w:val="TableParagraph"/>
              <w:spacing w:before="0"/>
              <w:rPr>
                <w:sz w:val="14"/>
              </w:rPr>
            </w:pPr>
          </w:p>
        </w:tc>
        <w:tc>
          <w:tcPr>
            <w:tcW w:w="1017" w:type="dxa"/>
            <w:tcBorders>
              <w:top w:val="single" w:sz="6" w:space="0" w:color="000000"/>
            </w:tcBorders>
          </w:tcPr>
          <w:p>
            <w:pPr>
              <w:pStyle w:val="TableParagraph"/>
              <w:spacing w:before="17"/>
              <w:ind w:right="105"/>
              <w:jc w:val="right"/>
              <w:rPr>
                <w:sz w:val="14"/>
              </w:rPr>
            </w:pPr>
            <w:r>
              <w:rPr>
                <w:spacing w:val="-2"/>
                <w:sz w:val="14"/>
              </w:rPr>
              <w:t>27,336</w:t>
            </w:r>
          </w:p>
        </w:tc>
        <w:tc>
          <w:tcPr>
            <w:tcW w:w="594" w:type="dxa"/>
            <w:tcBorders>
              <w:top w:val="single" w:sz="6" w:space="0" w:color="000000"/>
            </w:tcBorders>
          </w:tcPr>
          <w:p>
            <w:pPr>
              <w:pStyle w:val="TableParagraph"/>
              <w:spacing w:before="0"/>
              <w:rPr>
                <w:sz w:val="14"/>
              </w:rPr>
            </w:pPr>
          </w:p>
        </w:tc>
        <w:tc>
          <w:tcPr>
            <w:tcW w:w="1013" w:type="dxa"/>
            <w:tcBorders>
              <w:top w:val="single" w:sz="6" w:space="0" w:color="000000"/>
            </w:tcBorders>
          </w:tcPr>
          <w:p>
            <w:pPr>
              <w:pStyle w:val="TableParagraph"/>
              <w:spacing w:before="17"/>
              <w:ind w:right="102"/>
              <w:jc w:val="right"/>
              <w:rPr>
                <w:sz w:val="14"/>
              </w:rPr>
            </w:pPr>
            <w:r>
              <w:rPr>
                <w:spacing w:val="-2"/>
                <w:sz w:val="14"/>
              </w:rPr>
              <w:t>37,692</w:t>
            </w:r>
          </w:p>
        </w:tc>
        <w:tc>
          <w:tcPr>
            <w:tcW w:w="592" w:type="dxa"/>
            <w:tcBorders>
              <w:top w:val="single" w:sz="6" w:space="0" w:color="000000"/>
            </w:tcBorders>
          </w:tcPr>
          <w:p>
            <w:pPr>
              <w:pStyle w:val="TableParagraph"/>
              <w:spacing w:before="0"/>
              <w:rPr>
                <w:sz w:val="14"/>
              </w:rPr>
            </w:pPr>
          </w:p>
        </w:tc>
        <w:tc>
          <w:tcPr>
            <w:tcW w:w="1012" w:type="dxa"/>
            <w:tcBorders>
              <w:top w:val="single" w:sz="6" w:space="0" w:color="000000"/>
            </w:tcBorders>
          </w:tcPr>
          <w:p>
            <w:pPr>
              <w:pStyle w:val="TableParagraph"/>
              <w:spacing w:before="17"/>
              <w:ind w:right="100"/>
              <w:jc w:val="right"/>
              <w:rPr>
                <w:sz w:val="14"/>
              </w:rPr>
            </w:pPr>
            <w:r>
              <w:rPr>
                <w:spacing w:val="-10"/>
                <w:sz w:val="14"/>
              </w:rPr>
              <w:t>—</w:t>
            </w:r>
          </w:p>
        </w:tc>
        <w:tc>
          <w:tcPr>
            <w:tcW w:w="593" w:type="dxa"/>
            <w:tcBorders>
              <w:top w:val="single" w:sz="6" w:space="0" w:color="000000"/>
            </w:tcBorders>
          </w:tcPr>
          <w:p>
            <w:pPr>
              <w:pStyle w:val="TableParagraph"/>
              <w:spacing w:before="0"/>
              <w:rPr>
                <w:sz w:val="14"/>
              </w:rPr>
            </w:pPr>
          </w:p>
        </w:tc>
        <w:tc>
          <w:tcPr>
            <w:tcW w:w="1004" w:type="dxa"/>
            <w:tcBorders>
              <w:top w:val="single" w:sz="6" w:space="0" w:color="000000"/>
            </w:tcBorders>
          </w:tcPr>
          <w:p>
            <w:pPr>
              <w:pStyle w:val="TableParagraph"/>
              <w:spacing w:before="17"/>
              <w:ind w:right="89"/>
              <w:jc w:val="right"/>
              <w:rPr>
                <w:sz w:val="14"/>
              </w:rPr>
            </w:pPr>
            <w:r>
              <w:rPr>
                <w:spacing w:val="-2"/>
                <w:sz w:val="14"/>
              </w:rPr>
              <w:t>65,028</w:t>
            </w:r>
          </w:p>
        </w:tc>
      </w:tr>
      <w:tr>
        <w:trPr>
          <w:trHeight w:val="215" w:hRule="atLeast"/>
        </w:trPr>
        <w:tc>
          <w:tcPr>
            <w:tcW w:w="5143" w:type="dxa"/>
            <w:shd w:val="clear" w:color="auto" w:fill="CCEDFF"/>
          </w:tcPr>
          <w:p>
            <w:pPr>
              <w:pStyle w:val="TableParagraph"/>
              <w:spacing w:before="17"/>
              <w:ind w:left="52"/>
              <w:rPr>
                <w:sz w:val="14"/>
              </w:rPr>
            </w:pPr>
            <w:r>
              <w:rPr>
                <w:sz w:val="14"/>
              </w:rPr>
              <w:t>Other</w:t>
            </w:r>
            <w:r>
              <w:rPr>
                <w:spacing w:val="9"/>
                <w:sz w:val="14"/>
              </w:rPr>
              <w:t> </w:t>
            </w:r>
            <w:r>
              <w:rPr>
                <w:sz w:val="14"/>
              </w:rPr>
              <w:t>changes</w:t>
            </w:r>
            <w:r>
              <w:rPr>
                <w:spacing w:val="9"/>
                <w:sz w:val="14"/>
              </w:rPr>
              <w:t> </w:t>
            </w:r>
            <w:r>
              <w:rPr>
                <w:sz w:val="14"/>
              </w:rPr>
              <w:t>in</w:t>
            </w:r>
            <w:r>
              <w:rPr>
                <w:spacing w:val="9"/>
                <w:sz w:val="14"/>
              </w:rPr>
              <w:t> </w:t>
            </w:r>
            <w:r>
              <w:rPr>
                <w:sz w:val="14"/>
              </w:rPr>
              <w:t>accumulated</w:t>
            </w:r>
            <w:r>
              <w:rPr>
                <w:spacing w:val="9"/>
                <w:sz w:val="14"/>
              </w:rPr>
              <w:t> </w:t>
            </w:r>
            <w:r>
              <w:rPr>
                <w:sz w:val="14"/>
              </w:rPr>
              <w:t>other</w:t>
            </w:r>
            <w:r>
              <w:rPr>
                <w:spacing w:val="9"/>
                <w:sz w:val="14"/>
              </w:rPr>
              <w:t> </w:t>
            </w:r>
            <w:r>
              <w:rPr>
                <w:sz w:val="14"/>
              </w:rPr>
              <w:t>comprehensive</w:t>
            </w:r>
            <w:r>
              <w:rPr>
                <w:spacing w:val="9"/>
                <w:sz w:val="14"/>
              </w:rPr>
              <w:t> </w:t>
            </w:r>
            <w:r>
              <w:rPr>
                <w:spacing w:val="-2"/>
                <w:sz w:val="14"/>
              </w:rPr>
              <w:t>income:</w:t>
            </w:r>
          </w:p>
        </w:tc>
        <w:tc>
          <w:tcPr>
            <w:tcW w:w="539" w:type="dxa"/>
            <w:shd w:val="clear" w:color="auto" w:fill="CCEDFF"/>
          </w:tcPr>
          <w:p>
            <w:pPr>
              <w:pStyle w:val="TableParagraph"/>
              <w:spacing w:before="0"/>
              <w:rPr>
                <w:sz w:val="14"/>
              </w:rPr>
            </w:pPr>
          </w:p>
        </w:tc>
        <w:tc>
          <w:tcPr>
            <w:tcW w:w="1017" w:type="dxa"/>
            <w:shd w:val="clear" w:color="auto" w:fill="CCEDFF"/>
          </w:tcPr>
          <w:p>
            <w:pPr>
              <w:pStyle w:val="TableParagraph"/>
              <w:spacing w:before="0"/>
              <w:rPr>
                <w:sz w:val="14"/>
              </w:rPr>
            </w:pPr>
          </w:p>
        </w:tc>
        <w:tc>
          <w:tcPr>
            <w:tcW w:w="594" w:type="dxa"/>
            <w:shd w:val="clear" w:color="auto" w:fill="CCEDFF"/>
          </w:tcPr>
          <w:p>
            <w:pPr>
              <w:pStyle w:val="TableParagraph"/>
              <w:spacing w:before="0"/>
              <w:rPr>
                <w:sz w:val="14"/>
              </w:rPr>
            </w:pPr>
          </w:p>
        </w:tc>
        <w:tc>
          <w:tcPr>
            <w:tcW w:w="1013" w:type="dxa"/>
            <w:shd w:val="clear" w:color="auto" w:fill="CCEDFF"/>
          </w:tcPr>
          <w:p>
            <w:pPr>
              <w:pStyle w:val="TableParagraph"/>
              <w:spacing w:before="0"/>
              <w:rPr>
                <w:sz w:val="14"/>
              </w:rPr>
            </w:pPr>
          </w:p>
        </w:tc>
        <w:tc>
          <w:tcPr>
            <w:tcW w:w="592" w:type="dxa"/>
            <w:shd w:val="clear" w:color="auto" w:fill="CCEDFF"/>
          </w:tcPr>
          <w:p>
            <w:pPr>
              <w:pStyle w:val="TableParagraph"/>
              <w:spacing w:before="0"/>
              <w:rPr>
                <w:sz w:val="14"/>
              </w:rPr>
            </w:pPr>
          </w:p>
        </w:tc>
        <w:tc>
          <w:tcPr>
            <w:tcW w:w="1012" w:type="dxa"/>
            <w:shd w:val="clear" w:color="auto" w:fill="CCEDFF"/>
          </w:tcPr>
          <w:p>
            <w:pPr>
              <w:pStyle w:val="TableParagraph"/>
              <w:spacing w:before="0"/>
              <w:rPr>
                <w:sz w:val="14"/>
              </w:rPr>
            </w:pPr>
          </w:p>
        </w:tc>
        <w:tc>
          <w:tcPr>
            <w:tcW w:w="593" w:type="dxa"/>
            <w:shd w:val="clear" w:color="auto" w:fill="CCEDFF"/>
          </w:tcPr>
          <w:p>
            <w:pPr>
              <w:pStyle w:val="TableParagraph"/>
              <w:spacing w:before="0"/>
              <w:rPr>
                <w:sz w:val="14"/>
              </w:rPr>
            </w:pPr>
          </w:p>
        </w:tc>
        <w:tc>
          <w:tcPr>
            <w:tcW w:w="1004" w:type="dxa"/>
            <w:shd w:val="clear" w:color="auto" w:fill="CCEDFF"/>
          </w:tcPr>
          <w:p>
            <w:pPr>
              <w:pStyle w:val="TableParagraph"/>
              <w:spacing w:before="0"/>
              <w:rPr>
                <w:sz w:val="14"/>
              </w:rPr>
            </w:pPr>
          </w:p>
        </w:tc>
      </w:tr>
      <w:tr>
        <w:trPr>
          <w:trHeight w:val="215" w:hRule="atLeast"/>
        </w:trPr>
        <w:tc>
          <w:tcPr>
            <w:tcW w:w="5143" w:type="dxa"/>
          </w:tcPr>
          <w:p>
            <w:pPr>
              <w:pStyle w:val="TableParagraph"/>
              <w:spacing w:before="17"/>
              <w:ind w:left="252"/>
              <w:rPr>
                <w:sz w:val="14"/>
              </w:rPr>
            </w:pPr>
            <w:r>
              <w:rPr>
                <w:sz w:val="14"/>
              </w:rPr>
              <w:t>Deconsolidation</w:t>
            </w:r>
            <w:r>
              <w:rPr>
                <w:spacing w:val="10"/>
                <w:sz w:val="14"/>
              </w:rPr>
              <w:t> </w:t>
            </w:r>
            <w:r>
              <w:rPr>
                <w:sz w:val="14"/>
              </w:rPr>
              <w:t>of</w:t>
            </w:r>
            <w:r>
              <w:rPr>
                <w:spacing w:val="10"/>
                <w:sz w:val="14"/>
              </w:rPr>
              <w:t> </w:t>
            </w:r>
            <w:r>
              <w:rPr>
                <w:spacing w:val="-5"/>
                <w:sz w:val="14"/>
              </w:rPr>
              <w:t>MGP</w:t>
            </w:r>
          </w:p>
        </w:tc>
        <w:tc>
          <w:tcPr>
            <w:tcW w:w="539" w:type="dxa"/>
          </w:tcPr>
          <w:p>
            <w:pPr>
              <w:pStyle w:val="TableParagraph"/>
              <w:spacing w:before="0"/>
              <w:rPr>
                <w:sz w:val="14"/>
              </w:rPr>
            </w:pPr>
          </w:p>
        </w:tc>
        <w:tc>
          <w:tcPr>
            <w:tcW w:w="1017" w:type="dxa"/>
          </w:tcPr>
          <w:p>
            <w:pPr>
              <w:pStyle w:val="TableParagraph"/>
              <w:spacing w:before="17"/>
              <w:ind w:right="105"/>
              <w:jc w:val="right"/>
              <w:rPr>
                <w:sz w:val="14"/>
              </w:rPr>
            </w:pPr>
            <w:r>
              <w:rPr>
                <w:spacing w:val="-10"/>
                <w:sz w:val="14"/>
              </w:rPr>
              <w:t>—</w:t>
            </w:r>
          </w:p>
        </w:tc>
        <w:tc>
          <w:tcPr>
            <w:tcW w:w="594" w:type="dxa"/>
          </w:tcPr>
          <w:p>
            <w:pPr>
              <w:pStyle w:val="TableParagraph"/>
              <w:spacing w:before="0"/>
              <w:rPr>
                <w:sz w:val="14"/>
              </w:rPr>
            </w:pPr>
          </w:p>
        </w:tc>
        <w:tc>
          <w:tcPr>
            <w:tcW w:w="1013" w:type="dxa"/>
          </w:tcPr>
          <w:p>
            <w:pPr>
              <w:pStyle w:val="TableParagraph"/>
              <w:spacing w:before="17"/>
              <w:ind w:right="102"/>
              <w:jc w:val="right"/>
              <w:rPr>
                <w:sz w:val="14"/>
              </w:rPr>
            </w:pPr>
            <w:r>
              <w:rPr>
                <w:spacing w:val="-2"/>
                <w:sz w:val="14"/>
              </w:rPr>
              <w:t>28,151</w:t>
            </w:r>
          </w:p>
        </w:tc>
        <w:tc>
          <w:tcPr>
            <w:tcW w:w="592" w:type="dxa"/>
          </w:tcPr>
          <w:p>
            <w:pPr>
              <w:pStyle w:val="TableParagraph"/>
              <w:spacing w:before="0"/>
              <w:rPr>
                <w:sz w:val="14"/>
              </w:rPr>
            </w:pPr>
          </w:p>
        </w:tc>
        <w:tc>
          <w:tcPr>
            <w:tcW w:w="1012" w:type="dxa"/>
          </w:tcPr>
          <w:p>
            <w:pPr>
              <w:pStyle w:val="TableParagraph"/>
              <w:spacing w:before="17"/>
              <w:ind w:right="64"/>
              <w:jc w:val="right"/>
              <w:rPr>
                <w:sz w:val="14"/>
              </w:rPr>
            </w:pPr>
            <w:r>
              <w:rPr>
                <w:spacing w:val="-2"/>
                <w:sz w:val="14"/>
              </w:rPr>
              <w:t>(17,067)</w:t>
            </w:r>
          </w:p>
        </w:tc>
        <w:tc>
          <w:tcPr>
            <w:tcW w:w="593" w:type="dxa"/>
          </w:tcPr>
          <w:p>
            <w:pPr>
              <w:pStyle w:val="TableParagraph"/>
              <w:spacing w:before="0"/>
              <w:rPr>
                <w:sz w:val="14"/>
              </w:rPr>
            </w:pPr>
          </w:p>
        </w:tc>
        <w:tc>
          <w:tcPr>
            <w:tcW w:w="1004" w:type="dxa"/>
          </w:tcPr>
          <w:p>
            <w:pPr>
              <w:pStyle w:val="TableParagraph"/>
              <w:spacing w:before="17"/>
              <w:ind w:right="89"/>
              <w:jc w:val="right"/>
              <w:rPr>
                <w:sz w:val="14"/>
              </w:rPr>
            </w:pPr>
            <w:r>
              <w:rPr>
                <w:spacing w:val="-2"/>
                <w:sz w:val="14"/>
              </w:rPr>
              <w:t>11,084</w:t>
            </w:r>
          </w:p>
        </w:tc>
      </w:tr>
      <w:tr>
        <w:trPr>
          <w:trHeight w:val="215" w:hRule="atLeast"/>
        </w:trPr>
        <w:tc>
          <w:tcPr>
            <w:tcW w:w="5143" w:type="dxa"/>
            <w:shd w:val="clear" w:color="auto" w:fill="CCEDFF"/>
          </w:tcPr>
          <w:p>
            <w:pPr>
              <w:pStyle w:val="TableParagraph"/>
              <w:spacing w:before="17"/>
              <w:ind w:left="268"/>
              <w:rPr>
                <w:sz w:val="14"/>
              </w:rPr>
            </w:pPr>
            <w:r>
              <w:rPr>
                <w:spacing w:val="-4"/>
                <w:sz w:val="14"/>
              </w:rPr>
              <w:t>Other</w:t>
            </w:r>
          </w:p>
        </w:tc>
        <w:tc>
          <w:tcPr>
            <w:tcW w:w="539" w:type="dxa"/>
            <w:tcBorders>
              <w:bottom w:val="single" w:sz="6" w:space="0" w:color="000000"/>
            </w:tcBorders>
            <w:shd w:val="clear" w:color="auto" w:fill="CCEDFF"/>
          </w:tcPr>
          <w:p>
            <w:pPr>
              <w:pStyle w:val="TableParagraph"/>
              <w:spacing w:before="0"/>
              <w:rPr>
                <w:sz w:val="14"/>
              </w:rPr>
            </w:pPr>
          </w:p>
        </w:tc>
        <w:tc>
          <w:tcPr>
            <w:tcW w:w="1017" w:type="dxa"/>
            <w:tcBorders>
              <w:bottom w:val="single" w:sz="6" w:space="0" w:color="000000"/>
            </w:tcBorders>
            <w:shd w:val="clear" w:color="auto" w:fill="CCEDFF"/>
          </w:tcPr>
          <w:p>
            <w:pPr>
              <w:pStyle w:val="TableParagraph"/>
              <w:spacing w:before="17"/>
              <w:ind w:right="105"/>
              <w:jc w:val="right"/>
              <w:rPr>
                <w:sz w:val="14"/>
              </w:rPr>
            </w:pPr>
            <w:r>
              <w:rPr>
                <w:spacing w:val="-2"/>
                <w:sz w:val="14"/>
              </w:rPr>
              <w:t>1,074</w:t>
            </w:r>
          </w:p>
        </w:tc>
        <w:tc>
          <w:tcPr>
            <w:tcW w:w="594" w:type="dxa"/>
            <w:tcBorders>
              <w:bottom w:val="single" w:sz="6" w:space="0" w:color="000000"/>
            </w:tcBorders>
            <w:shd w:val="clear" w:color="auto" w:fill="CCEDFF"/>
          </w:tcPr>
          <w:p>
            <w:pPr>
              <w:pStyle w:val="TableParagraph"/>
              <w:spacing w:before="0"/>
              <w:rPr>
                <w:sz w:val="14"/>
              </w:rPr>
            </w:pPr>
          </w:p>
        </w:tc>
        <w:tc>
          <w:tcPr>
            <w:tcW w:w="1013" w:type="dxa"/>
            <w:tcBorders>
              <w:bottom w:val="single" w:sz="6" w:space="0" w:color="000000"/>
            </w:tcBorders>
            <w:shd w:val="clear" w:color="auto" w:fill="CCEDFF"/>
          </w:tcPr>
          <w:p>
            <w:pPr>
              <w:pStyle w:val="TableParagraph"/>
              <w:spacing w:before="17"/>
              <w:ind w:right="102"/>
              <w:jc w:val="right"/>
              <w:rPr>
                <w:sz w:val="14"/>
              </w:rPr>
            </w:pPr>
            <w:r>
              <w:rPr>
                <w:spacing w:val="-10"/>
                <w:sz w:val="14"/>
              </w:rPr>
              <w:t>—</w:t>
            </w:r>
          </w:p>
        </w:tc>
        <w:tc>
          <w:tcPr>
            <w:tcW w:w="592" w:type="dxa"/>
            <w:tcBorders>
              <w:bottom w:val="single" w:sz="6" w:space="0" w:color="000000"/>
            </w:tcBorders>
            <w:shd w:val="clear" w:color="auto" w:fill="CCEDFF"/>
          </w:tcPr>
          <w:p>
            <w:pPr>
              <w:pStyle w:val="TableParagraph"/>
              <w:spacing w:before="0"/>
              <w:rPr>
                <w:sz w:val="14"/>
              </w:rPr>
            </w:pPr>
          </w:p>
        </w:tc>
        <w:tc>
          <w:tcPr>
            <w:tcW w:w="1012" w:type="dxa"/>
            <w:tcBorders>
              <w:bottom w:val="single" w:sz="6" w:space="0" w:color="000000"/>
            </w:tcBorders>
            <w:shd w:val="clear" w:color="auto" w:fill="CCEDFF"/>
          </w:tcPr>
          <w:p>
            <w:pPr>
              <w:pStyle w:val="TableParagraph"/>
              <w:spacing w:before="17"/>
              <w:ind w:right="64"/>
              <w:jc w:val="right"/>
              <w:rPr>
                <w:sz w:val="14"/>
              </w:rPr>
            </w:pPr>
            <w:r>
              <w:rPr>
                <w:spacing w:val="-2"/>
                <w:sz w:val="14"/>
              </w:rPr>
              <w:t>(1,794)</w:t>
            </w:r>
          </w:p>
        </w:tc>
        <w:tc>
          <w:tcPr>
            <w:tcW w:w="593" w:type="dxa"/>
            <w:tcBorders>
              <w:bottom w:val="single" w:sz="6" w:space="0" w:color="000000"/>
            </w:tcBorders>
            <w:shd w:val="clear" w:color="auto" w:fill="CCEDFF"/>
          </w:tcPr>
          <w:p>
            <w:pPr>
              <w:pStyle w:val="TableParagraph"/>
              <w:spacing w:before="0"/>
              <w:rPr>
                <w:sz w:val="14"/>
              </w:rPr>
            </w:pPr>
          </w:p>
        </w:tc>
        <w:tc>
          <w:tcPr>
            <w:tcW w:w="1004" w:type="dxa"/>
            <w:tcBorders>
              <w:bottom w:val="single" w:sz="6" w:space="0" w:color="000000"/>
            </w:tcBorders>
            <w:shd w:val="clear" w:color="auto" w:fill="CCEDFF"/>
          </w:tcPr>
          <w:p>
            <w:pPr>
              <w:pStyle w:val="TableParagraph"/>
              <w:spacing w:before="17"/>
              <w:ind w:right="53"/>
              <w:jc w:val="right"/>
              <w:rPr>
                <w:sz w:val="14"/>
              </w:rPr>
            </w:pPr>
            <w:r>
              <w:rPr>
                <w:spacing w:val="-2"/>
                <w:sz w:val="14"/>
              </w:rPr>
              <w:t>(720)</w:t>
            </w:r>
          </w:p>
        </w:tc>
      </w:tr>
      <w:tr>
        <w:trPr>
          <w:trHeight w:val="215" w:hRule="atLeast"/>
        </w:trPr>
        <w:tc>
          <w:tcPr>
            <w:tcW w:w="5143" w:type="dxa"/>
          </w:tcPr>
          <w:p>
            <w:pPr>
              <w:pStyle w:val="TableParagraph"/>
              <w:spacing w:before="17"/>
              <w:ind w:left="52"/>
              <w:rPr>
                <w:sz w:val="14"/>
              </w:rPr>
            </w:pPr>
            <w:r>
              <w:rPr>
                <w:sz w:val="14"/>
              </w:rPr>
              <w:t>Changes</w:t>
            </w:r>
            <w:r>
              <w:rPr>
                <w:spacing w:val="9"/>
                <w:sz w:val="14"/>
              </w:rPr>
              <w:t> </w:t>
            </w:r>
            <w:r>
              <w:rPr>
                <w:sz w:val="14"/>
              </w:rPr>
              <w:t>in</w:t>
            </w:r>
            <w:r>
              <w:rPr>
                <w:spacing w:val="10"/>
                <w:sz w:val="14"/>
              </w:rPr>
              <w:t> </w:t>
            </w:r>
            <w:r>
              <w:rPr>
                <w:sz w:val="14"/>
              </w:rPr>
              <w:t>accumulated</w:t>
            </w:r>
            <w:r>
              <w:rPr>
                <w:spacing w:val="10"/>
                <w:sz w:val="14"/>
              </w:rPr>
              <w:t> </w:t>
            </w:r>
            <w:r>
              <w:rPr>
                <w:sz w:val="14"/>
              </w:rPr>
              <w:t>other</w:t>
            </w:r>
            <w:r>
              <w:rPr>
                <w:spacing w:val="9"/>
                <w:sz w:val="14"/>
              </w:rPr>
              <w:t> </w:t>
            </w:r>
            <w:r>
              <w:rPr>
                <w:sz w:val="14"/>
              </w:rPr>
              <w:t>comprehensive</w:t>
            </w:r>
            <w:r>
              <w:rPr>
                <w:spacing w:val="10"/>
                <w:sz w:val="14"/>
              </w:rPr>
              <w:t> </w:t>
            </w:r>
            <w:r>
              <w:rPr>
                <w:spacing w:val="-2"/>
                <w:sz w:val="14"/>
              </w:rPr>
              <w:t>income</w:t>
            </w:r>
          </w:p>
        </w:tc>
        <w:tc>
          <w:tcPr>
            <w:tcW w:w="539" w:type="dxa"/>
            <w:tcBorders>
              <w:top w:val="single" w:sz="6" w:space="0" w:color="000000"/>
            </w:tcBorders>
          </w:tcPr>
          <w:p>
            <w:pPr>
              <w:pStyle w:val="TableParagraph"/>
              <w:spacing w:before="0"/>
              <w:rPr>
                <w:sz w:val="14"/>
              </w:rPr>
            </w:pPr>
          </w:p>
        </w:tc>
        <w:tc>
          <w:tcPr>
            <w:tcW w:w="1017" w:type="dxa"/>
            <w:tcBorders>
              <w:top w:val="single" w:sz="6" w:space="0" w:color="000000"/>
            </w:tcBorders>
          </w:tcPr>
          <w:p>
            <w:pPr>
              <w:pStyle w:val="TableParagraph"/>
              <w:spacing w:before="17"/>
              <w:ind w:right="105"/>
              <w:jc w:val="right"/>
              <w:rPr>
                <w:sz w:val="14"/>
              </w:rPr>
            </w:pPr>
            <w:r>
              <w:rPr>
                <w:spacing w:val="-2"/>
                <w:sz w:val="14"/>
              </w:rPr>
              <w:t>28,410</w:t>
            </w:r>
          </w:p>
        </w:tc>
        <w:tc>
          <w:tcPr>
            <w:tcW w:w="594" w:type="dxa"/>
            <w:tcBorders>
              <w:top w:val="single" w:sz="6" w:space="0" w:color="000000"/>
            </w:tcBorders>
          </w:tcPr>
          <w:p>
            <w:pPr>
              <w:pStyle w:val="TableParagraph"/>
              <w:spacing w:before="0"/>
              <w:rPr>
                <w:sz w:val="14"/>
              </w:rPr>
            </w:pPr>
          </w:p>
        </w:tc>
        <w:tc>
          <w:tcPr>
            <w:tcW w:w="1013" w:type="dxa"/>
            <w:tcBorders>
              <w:top w:val="single" w:sz="6" w:space="0" w:color="000000"/>
            </w:tcBorders>
          </w:tcPr>
          <w:p>
            <w:pPr>
              <w:pStyle w:val="TableParagraph"/>
              <w:spacing w:before="17"/>
              <w:ind w:right="102"/>
              <w:jc w:val="right"/>
              <w:rPr>
                <w:sz w:val="14"/>
              </w:rPr>
            </w:pPr>
            <w:r>
              <w:rPr>
                <w:spacing w:val="-2"/>
                <w:sz w:val="14"/>
              </w:rPr>
              <w:t>65,843</w:t>
            </w:r>
          </w:p>
        </w:tc>
        <w:tc>
          <w:tcPr>
            <w:tcW w:w="592" w:type="dxa"/>
            <w:tcBorders>
              <w:top w:val="single" w:sz="6" w:space="0" w:color="000000"/>
            </w:tcBorders>
          </w:tcPr>
          <w:p>
            <w:pPr>
              <w:pStyle w:val="TableParagraph"/>
              <w:spacing w:before="0"/>
              <w:rPr>
                <w:sz w:val="14"/>
              </w:rPr>
            </w:pPr>
          </w:p>
        </w:tc>
        <w:tc>
          <w:tcPr>
            <w:tcW w:w="1012" w:type="dxa"/>
            <w:tcBorders>
              <w:top w:val="single" w:sz="6" w:space="0" w:color="000000"/>
            </w:tcBorders>
          </w:tcPr>
          <w:p>
            <w:pPr>
              <w:pStyle w:val="TableParagraph"/>
              <w:spacing w:before="17"/>
              <w:ind w:right="64"/>
              <w:jc w:val="right"/>
              <w:rPr>
                <w:sz w:val="14"/>
              </w:rPr>
            </w:pPr>
            <w:r>
              <w:rPr>
                <w:spacing w:val="-2"/>
                <w:sz w:val="14"/>
              </w:rPr>
              <w:t>(18,861)</w:t>
            </w:r>
          </w:p>
        </w:tc>
        <w:tc>
          <w:tcPr>
            <w:tcW w:w="593" w:type="dxa"/>
            <w:tcBorders>
              <w:top w:val="single" w:sz="6" w:space="0" w:color="000000"/>
            </w:tcBorders>
          </w:tcPr>
          <w:p>
            <w:pPr>
              <w:pStyle w:val="TableParagraph"/>
              <w:spacing w:before="0"/>
              <w:rPr>
                <w:sz w:val="14"/>
              </w:rPr>
            </w:pPr>
          </w:p>
        </w:tc>
        <w:tc>
          <w:tcPr>
            <w:tcW w:w="1004" w:type="dxa"/>
            <w:tcBorders>
              <w:top w:val="single" w:sz="6" w:space="0" w:color="000000"/>
            </w:tcBorders>
          </w:tcPr>
          <w:p>
            <w:pPr>
              <w:pStyle w:val="TableParagraph"/>
              <w:spacing w:before="17"/>
              <w:ind w:right="89"/>
              <w:jc w:val="right"/>
              <w:rPr>
                <w:sz w:val="14"/>
              </w:rPr>
            </w:pPr>
            <w:r>
              <w:rPr>
                <w:spacing w:val="-2"/>
                <w:sz w:val="14"/>
              </w:rPr>
              <w:t>75,392</w:t>
            </w:r>
          </w:p>
        </w:tc>
      </w:tr>
      <w:tr>
        <w:trPr>
          <w:trHeight w:val="215" w:hRule="atLeast"/>
        </w:trPr>
        <w:tc>
          <w:tcPr>
            <w:tcW w:w="5143" w:type="dxa"/>
            <w:shd w:val="clear" w:color="auto" w:fill="CCEDFF"/>
          </w:tcPr>
          <w:p>
            <w:pPr>
              <w:pStyle w:val="TableParagraph"/>
              <w:spacing w:before="31"/>
              <w:ind w:left="52"/>
              <w:rPr>
                <w:sz w:val="14"/>
              </w:rPr>
            </w:pPr>
            <w:r>
              <w:rPr>
                <w:sz w:val="14"/>
              </w:rPr>
              <w:t>Other</w:t>
            </w:r>
            <w:r>
              <w:rPr>
                <w:spacing w:val="9"/>
                <w:sz w:val="14"/>
              </w:rPr>
              <w:t> </w:t>
            </w:r>
            <w:r>
              <w:rPr>
                <w:sz w:val="14"/>
              </w:rPr>
              <w:t>comprehensive</w:t>
            </w:r>
            <w:r>
              <w:rPr>
                <w:spacing w:val="10"/>
                <w:sz w:val="14"/>
              </w:rPr>
              <w:t> </w:t>
            </w:r>
            <w:r>
              <w:rPr>
                <w:sz w:val="14"/>
              </w:rPr>
              <w:t>(income)</w:t>
            </w:r>
            <w:r>
              <w:rPr>
                <w:spacing w:val="10"/>
                <w:sz w:val="14"/>
              </w:rPr>
              <w:t> </w:t>
            </w:r>
            <w:r>
              <w:rPr>
                <w:sz w:val="14"/>
              </w:rPr>
              <w:t>loss</w:t>
            </w:r>
            <w:r>
              <w:rPr>
                <w:spacing w:val="10"/>
                <w:sz w:val="14"/>
              </w:rPr>
              <w:t> </w:t>
            </w:r>
            <w:r>
              <w:rPr>
                <w:sz w:val="14"/>
              </w:rPr>
              <w:t>attributable</w:t>
            </w:r>
            <w:r>
              <w:rPr>
                <w:spacing w:val="10"/>
                <w:sz w:val="14"/>
              </w:rPr>
              <w:t> </w:t>
            </w:r>
            <w:r>
              <w:rPr>
                <w:sz w:val="14"/>
              </w:rPr>
              <w:t>to</w:t>
            </w:r>
            <w:r>
              <w:rPr>
                <w:spacing w:val="10"/>
                <w:sz w:val="14"/>
              </w:rPr>
              <w:t> </w:t>
            </w:r>
            <w:r>
              <w:rPr>
                <w:sz w:val="14"/>
              </w:rPr>
              <w:t>noncontrolling</w:t>
            </w:r>
            <w:r>
              <w:rPr>
                <w:spacing w:val="10"/>
                <w:sz w:val="14"/>
              </w:rPr>
              <w:t> </w:t>
            </w:r>
            <w:r>
              <w:rPr>
                <w:spacing w:val="-2"/>
                <w:sz w:val="14"/>
              </w:rPr>
              <w:t>interest</w:t>
            </w:r>
          </w:p>
        </w:tc>
        <w:tc>
          <w:tcPr>
            <w:tcW w:w="539" w:type="dxa"/>
            <w:tcBorders>
              <w:bottom w:val="single" w:sz="6" w:space="0" w:color="000000"/>
            </w:tcBorders>
            <w:shd w:val="clear" w:color="auto" w:fill="CCEDFF"/>
          </w:tcPr>
          <w:p>
            <w:pPr>
              <w:pStyle w:val="TableParagraph"/>
              <w:spacing w:before="0"/>
              <w:rPr>
                <w:sz w:val="14"/>
              </w:rPr>
            </w:pPr>
          </w:p>
        </w:tc>
        <w:tc>
          <w:tcPr>
            <w:tcW w:w="1017" w:type="dxa"/>
            <w:tcBorders>
              <w:bottom w:val="single" w:sz="6" w:space="0" w:color="000000"/>
            </w:tcBorders>
            <w:shd w:val="clear" w:color="auto" w:fill="CCEDFF"/>
          </w:tcPr>
          <w:p>
            <w:pPr>
              <w:pStyle w:val="TableParagraph"/>
              <w:spacing w:before="17"/>
              <w:ind w:right="105"/>
              <w:jc w:val="right"/>
              <w:rPr>
                <w:sz w:val="14"/>
              </w:rPr>
            </w:pPr>
            <w:r>
              <w:rPr>
                <w:spacing w:val="-2"/>
                <w:sz w:val="14"/>
              </w:rPr>
              <w:t>6,932</w:t>
            </w:r>
          </w:p>
        </w:tc>
        <w:tc>
          <w:tcPr>
            <w:tcW w:w="594" w:type="dxa"/>
            <w:tcBorders>
              <w:bottom w:val="single" w:sz="6" w:space="0" w:color="000000"/>
            </w:tcBorders>
            <w:shd w:val="clear" w:color="auto" w:fill="CCEDFF"/>
          </w:tcPr>
          <w:p>
            <w:pPr>
              <w:pStyle w:val="TableParagraph"/>
              <w:spacing w:before="0"/>
              <w:rPr>
                <w:sz w:val="14"/>
              </w:rPr>
            </w:pPr>
          </w:p>
        </w:tc>
        <w:tc>
          <w:tcPr>
            <w:tcW w:w="1013" w:type="dxa"/>
            <w:tcBorders>
              <w:bottom w:val="single" w:sz="6" w:space="0" w:color="000000"/>
            </w:tcBorders>
            <w:shd w:val="clear" w:color="auto" w:fill="CCEDFF"/>
          </w:tcPr>
          <w:p>
            <w:pPr>
              <w:pStyle w:val="TableParagraph"/>
              <w:spacing w:before="17"/>
              <w:ind w:right="66"/>
              <w:jc w:val="right"/>
              <w:rPr>
                <w:sz w:val="14"/>
              </w:rPr>
            </w:pPr>
            <w:r>
              <w:rPr>
                <w:spacing w:val="-2"/>
                <w:sz w:val="14"/>
              </w:rPr>
              <w:t>(24,209)</w:t>
            </w:r>
          </w:p>
        </w:tc>
        <w:tc>
          <w:tcPr>
            <w:tcW w:w="592" w:type="dxa"/>
            <w:tcBorders>
              <w:bottom w:val="single" w:sz="6" w:space="0" w:color="000000"/>
            </w:tcBorders>
            <w:shd w:val="clear" w:color="auto" w:fill="CCEDFF"/>
          </w:tcPr>
          <w:p>
            <w:pPr>
              <w:pStyle w:val="TableParagraph"/>
              <w:spacing w:before="0"/>
              <w:rPr>
                <w:sz w:val="14"/>
              </w:rPr>
            </w:pPr>
          </w:p>
        </w:tc>
        <w:tc>
          <w:tcPr>
            <w:tcW w:w="1012" w:type="dxa"/>
            <w:tcBorders>
              <w:bottom w:val="single" w:sz="6" w:space="0" w:color="000000"/>
            </w:tcBorders>
            <w:shd w:val="clear" w:color="auto" w:fill="CCEDFF"/>
          </w:tcPr>
          <w:p>
            <w:pPr>
              <w:pStyle w:val="TableParagraph"/>
              <w:spacing w:before="17"/>
              <w:ind w:right="100"/>
              <w:jc w:val="right"/>
              <w:rPr>
                <w:sz w:val="14"/>
              </w:rPr>
            </w:pPr>
            <w:r>
              <w:rPr>
                <w:spacing w:val="-10"/>
                <w:sz w:val="14"/>
              </w:rPr>
              <w:t>—</w:t>
            </w:r>
          </w:p>
        </w:tc>
        <w:tc>
          <w:tcPr>
            <w:tcW w:w="593" w:type="dxa"/>
            <w:tcBorders>
              <w:bottom w:val="single" w:sz="6" w:space="0" w:color="000000"/>
            </w:tcBorders>
            <w:shd w:val="clear" w:color="auto" w:fill="CCEDFF"/>
          </w:tcPr>
          <w:p>
            <w:pPr>
              <w:pStyle w:val="TableParagraph"/>
              <w:spacing w:before="0"/>
              <w:rPr>
                <w:sz w:val="14"/>
              </w:rPr>
            </w:pPr>
          </w:p>
        </w:tc>
        <w:tc>
          <w:tcPr>
            <w:tcW w:w="1004" w:type="dxa"/>
            <w:tcBorders>
              <w:bottom w:val="single" w:sz="6" w:space="0" w:color="000000"/>
            </w:tcBorders>
            <w:shd w:val="clear" w:color="auto" w:fill="CCEDFF"/>
          </w:tcPr>
          <w:p>
            <w:pPr>
              <w:pStyle w:val="TableParagraph"/>
              <w:spacing w:before="17"/>
              <w:ind w:right="53"/>
              <w:jc w:val="right"/>
              <w:rPr>
                <w:sz w:val="14"/>
              </w:rPr>
            </w:pPr>
            <w:r>
              <w:rPr>
                <w:spacing w:val="-2"/>
                <w:sz w:val="14"/>
              </w:rPr>
              <w:t>(17,277)</w:t>
            </w:r>
          </w:p>
        </w:tc>
      </w:tr>
      <w:tr>
        <w:trPr>
          <w:trHeight w:val="233" w:hRule="atLeast"/>
        </w:trPr>
        <w:tc>
          <w:tcPr>
            <w:tcW w:w="5143" w:type="dxa"/>
          </w:tcPr>
          <w:p>
            <w:pPr>
              <w:pStyle w:val="TableParagraph"/>
              <w:spacing w:before="17"/>
              <w:ind w:left="52"/>
              <w:rPr>
                <w:b/>
                <w:sz w:val="14"/>
              </w:rPr>
            </w:pPr>
            <w:r>
              <w:rPr>
                <w:b/>
                <w:sz w:val="14"/>
              </w:rPr>
              <w:t>Balances,</w:t>
            </w:r>
            <w:r>
              <w:rPr>
                <w:b/>
                <w:spacing w:val="9"/>
                <w:sz w:val="14"/>
              </w:rPr>
              <w:t> </w:t>
            </w:r>
            <w:r>
              <w:rPr>
                <w:b/>
                <w:sz w:val="14"/>
              </w:rPr>
              <w:t>December</w:t>
            </w:r>
            <w:r>
              <w:rPr>
                <w:b/>
                <w:spacing w:val="6"/>
                <w:sz w:val="14"/>
              </w:rPr>
              <w:t> </w:t>
            </w:r>
            <w:r>
              <w:rPr>
                <w:b/>
                <w:sz w:val="14"/>
              </w:rPr>
              <w:t>31,</w:t>
            </w:r>
            <w:r>
              <w:rPr>
                <w:b/>
                <w:spacing w:val="9"/>
                <w:sz w:val="14"/>
              </w:rPr>
              <w:t> </w:t>
            </w:r>
            <w:r>
              <w:rPr>
                <w:b/>
                <w:spacing w:val="-4"/>
                <w:sz w:val="14"/>
              </w:rPr>
              <w:t>2022</w:t>
            </w:r>
          </w:p>
        </w:tc>
        <w:tc>
          <w:tcPr>
            <w:tcW w:w="539" w:type="dxa"/>
            <w:tcBorders>
              <w:top w:val="single" w:sz="6" w:space="0" w:color="000000"/>
              <w:bottom w:val="double" w:sz="6" w:space="0" w:color="000000"/>
            </w:tcBorders>
          </w:tcPr>
          <w:p>
            <w:pPr>
              <w:pStyle w:val="TableParagraph"/>
              <w:spacing w:before="17"/>
              <w:ind w:left="15"/>
              <w:rPr>
                <w:sz w:val="14"/>
              </w:rPr>
            </w:pPr>
            <w:r>
              <w:rPr>
                <w:spacing w:val="-10"/>
                <w:sz w:val="14"/>
              </w:rPr>
              <w:t>$</w:t>
            </w:r>
          </w:p>
        </w:tc>
        <w:tc>
          <w:tcPr>
            <w:tcW w:w="1017" w:type="dxa"/>
            <w:tcBorders>
              <w:top w:val="single" w:sz="6" w:space="0" w:color="000000"/>
              <w:bottom w:val="double" w:sz="6" w:space="0" w:color="000000"/>
            </w:tcBorders>
          </w:tcPr>
          <w:p>
            <w:pPr>
              <w:pStyle w:val="TableParagraph"/>
              <w:spacing w:before="17"/>
              <w:ind w:right="105"/>
              <w:jc w:val="right"/>
              <w:rPr>
                <w:sz w:val="14"/>
              </w:rPr>
            </w:pPr>
            <w:r>
              <w:rPr>
                <w:spacing w:val="-2"/>
                <w:sz w:val="14"/>
              </w:rPr>
              <w:t>34,435</w:t>
            </w:r>
          </w:p>
        </w:tc>
        <w:tc>
          <w:tcPr>
            <w:tcW w:w="594" w:type="dxa"/>
            <w:tcBorders>
              <w:top w:val="single" w:sz="6" w:space="0" w:color="000000"/>
              <w:bottom w:val="double" w:sz="6" w:space="0" w:color="000000"/>
            </w:tcBorders>
          </w:tcPr>
          <w:p>
            <w:pPr>
              <w:pStyle w:val="TableParagraph"/>
              <w:spacing w:before="17"/>
              <w:ind w:left="75"/>
              <w:rPr>
                <w:sz w:val="14"/>
              </w:rPr>
            </w:pPr>
            <w:r>
              <w:rPr>
                <w:spacing w:val="-10"/>
                <w:sz w:val="14"/>
              </w:rPr>
              <w:t>$</w:t>
            </w:r>
          </w:p>
        </w:tc>
        <w:tc>
          <w:tcPr>
            <w:tcW w:w="1013" w:type="dxa"/>
            <w:tcBorders>
              <w:top w:val="single" w:sz="6" w:space="0" w:color="000000"/>
              <w:bottom w:val="double" w:sz="6" w:space="0" w:color="000000"/>
            </w:tcBorders>
          </w:tcPr>
          <w:p>
            <w:pPr>
              <w:pStyle w:val="TableParagraph"/>
              <w:spacing w:before="17"/>
              <w:ind w:right="102"/>
              <w:jc w:val="right"/>
              <w:rPr>
                <w:sz w:val="14"/>
              </w:rPr>
            </w:pPr>
            <w:r>
              <w:rPr>
                <w:spacing w:val="-10"/>
                <w:sz w:val="14"/>
              </w:rPr>
              <w:t>—</w:t>
            </w:r>
          </w:p>
        </w:tc>
        <w:tc>
          <w:tcPr>
            <w:tcW w:w="592" w:type="dxa"/>
            <w:tcBorders>
              <w:top w:val="single" w:sz="6" w:space="0" w:color="000000"/>
              <w:bottom w:val="double" w:sz="6" w:space="0" w:color="000000"/>
            </w:tcBorders>
          </w:tcPr>
          <w:p>
            <w:pPr>
              <w:pStyle w:val="TableParagraph"/>
              <w:spacing w:before="17"/>
              <w:ind w:left="76"/>
              <w:rPr>
                <w:sz w:val="14"/>
              </w:rPr>
            </w:pPr>
            <w:r>
              <w:rPr>
                <w:spacing w:val="-10"/>
                <w:sz w:val="14"/>
              </w:rPr>
              <w:t>$</w:t>
            </w:r>
          </w:p>
        </w:tc>
        <w:tc>
          <w:tcPr>
            <w:tcW w:w="1012" w:type="dxa"/>
            <w:tcBorders>
              <w:top w:val="single" w:sz="6" w:space="0" w:color="000000"/>
              <w:bottom w:val="double" w:sz="6" w:space="0" w:color="000000"/>
            </w:tcBorders>
          </w:tcPr>
          <w:p>
            <w:pPr>
              <w:pStyle w:val="TableParagraph"/>
              <w:spacing w:before="17"/>
              <w:ind w:right="64"/>
              <w:jc w:val="right"/>
              <w:rPr>
                <w:sz w:val="14"/>
              </w:rPr>
            </w:pPr>
            <w:r>
              <w:rPr>
                <w:spacing w:val="-2"/>
                <w:sz w:val="14"/>
              </w:rPr>
              <w:t>(936)</w:t>
            </w:r>
          </w:p>
        </w:tc>
        <w:tc>
          <w:tcPr>
            <w:tcW w:w="593" w:type="dxa"/>
            <w:tcBorders>
              <w:top w:val="single" w:sz="6" w:space="0" w:color="000000"/>
              <w:bottom w:val="double" w:sz="6" w:space="0" w:color="000000"/>
            </w:tcBorders>
          </w:tcPr>
          <w:p>
            <w:pPr>
              <w:pStyle w:val="TableParagraph"/>
              <w:spacing w:before="17"/>
              <w:ind w:left="78"/>
              <w:rPr>
                <w:sz w:val="14"/>
              </w:rPr>
            </w:pPr>
            <w:r>
              <w:rPr>
                <w:spacing w:val="-10"/>
                <w:sz w:val="14"/>
              </w:rPr>
              <w:t>$</w:t>
            </w:r>
          </w:p>
        </w:tc>
        <w:tc>
          <w:tcPr>
            <w:tcW w:w="1004" w:type="dxa"/>
            <w:tcBorders>
              <w:top w:val="single" w:sz="6" w:space="0" w:color="000000"/>
              <w:bottom w:val="double" w:sz="6" w:space="0" w:color="000000"/>
            </w:tcBorders>
          </w:tcPr>
          <w:p>
            <w:pPr>
              <w:pStyle w:val="TableParagraph"/>
              <w:spacing w:before="17"/>
              <w:ind w:right="89"/>
              <w:jc w:val="right"/>
              <w:rPr>
                <w:sz w:val="14"/>
              </w:rPr>
            </w:pPr>
            <w:r>
              <w:rPr>
                <w:spacing w:val="-2"/>
                <w:sz w:val="14"/>
              </w:rPr>
              <w:t>33,499</w:t>
            </w:r>
          </w:p>
        </w:tc>
      </w:tr>
    </w:tbl>
    <w:p>
      <w:pPr>
        <w:pStyle w:val="BodyText"/>
        <w:rPr>
          <w:b/>
          <w:i/>
          <w:sz w:val="14"/>
        </w:rPr>
      </w:pPr>
    </w:p>
    <w:p>
      <w:pPr>
        <w:pStyle w:val="BodyText"/>
        <w:rPr>
          <w:b/>
          <w:i/>
          <w:sz w:val="14"/>
        </w:rPr>
      </w:pPr>
    </w:p>
    <w:p>
      <w:pPr>
        <w:pStyle w:val="BodyText"/>
        <w:rPr>
          <w:b/>
          <w:i/>
          <w:sz w:val="14"/>
        </w:rPr>
      </w:pPr>
    </w:p>
    <w:p>
      <w:pPr>
        <w:pStyle w:val="BodyText"/>
        <w:rPr>
          <w:b/>
          <w:i/>
          <w:sz w:val="14"/>
        </w:rPr>
      </w:pPr>
    </w:p>
    <w:p>
      <w:pPr>
        <w:pStyle w:val="BodyText"/>
        <w:spacing w:before="115"/>
        <w:rPr>
          <w:b/>
          <w:i/>
          <w:sz w:val="14"/>
        </w:rPr>
      </w:pPr>
    </w:p>
    <w:p>
      <w:pPr>
        <w:pStyle w:val="BodyText"/>
        <w:ind w:left="24"/>
        <w:jc w:val="center"/>
      </w:pPr>
      <w:r>
        <w:rPr>
          <w:spacing w:val="-5"/>
        </w:rPr>
        <w:t>91</w:t>
      </w:r>
    </w:p>
    <w:p>
      <w:pPr>
        <w:pStyle w:val="BodyText"/>
        <w:spacing w:before="3"/>
        <w:rPr>
          <w:sz w:val="6"/>
        </w:rPr>
      </w:pPr>
      <w:r>
        <w:rPr/>
        <mc:AlternateContent>
          <mc:Choice Requires="wps">
            <w:drawing>
              <wp:anchor distT="0" distB="0" distL="0" distR="0" allowOverlap="1" layoutInCell="1" locked="0" behindDoc="1" simplePos="0" relativeHeight="487711744">
                <wp:simplePos x="0" y="0"/>
                <wp:positionH relativeFrom="page">
                  <wp:posOffset>231457</wp:posOffset>
                </wp:positionH>
                <wp:positionV relativeFrom="paragraph">
                  <wp:posOffset>60956</wp:posOffset>
                </wp:positionV>
                <wp:extent cx="7312659" cy="17145"/>
                <wp:effectExtent l="0" t="0" r="0" b="0"/>
                <wp:wrapTopAndBottom/>
                <wp:docPr id="614" name="Group 614"/>
                <wp:cNvGraphicFramePr>
                  <a:graphicFrameLocks/>
                </wp:cNvGraphicFramePr>
                <a:graphic>
                  <a:graphicData uri="http://schemas.microsoft.com/office/word/2010/wordprocessingGroup">
                    <wpg:wgp>
                      <wpg:cNvPr id="614" name="Group 614"/>
                      <wpg:cNvGrpSpPr/>
                      <wpg:grpSpPr>
                        <a:xfrm>
                          <a:off x="0" y="0"/>
                          <a:ext cx="7312659" cy="17145"/>
                          <a:chExt cx="7312659" cy="17145"/>
                        </a:xfrm>
                      </wpg:grpSpPr>
                      <wps:wsp>
                        <wps:cNvPr id="615" name="Graphic 61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16" name="Graphic 616"/>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17" name="Graphic 61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04736;mso-wrap-distance-left:0;mso-wrap-distance-right:0" id="docshapegroup612" coordorigin="364,96" coordsize="11516,27">
                <v:rect style="position:absolute;left:364;top:96;width:11516;height:14" id="docshape613" filled="true" fillcolor="#999999" stroked="false">
                  <v:fill type="solid"/>
                </v:rect>
                <v:shape style="position:absolute;left:364;top:95;width:11516;height:27" id="docshape614" coordorigin="364,96" coordsize="11516,27" path="m11880,96l11866,109,364,109,364,123,11866,123,11880,123,11880,109,11880,96xe" filled="true" fillcolor="#ededed" stroked="false">
                  <v:path arrowok="t"/>
                  <v:fill type="solid"/>
                </v:shape>
                <v:shape style="position:absolute;left:364;top:96;width:14;height:27" id="docshape61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spacing w:before="63"/>
        <w:ind w:left="394" w:right="0" w:firstLine="0"/>
        <w:jc w:val="left"/>
        <w:rPr>
          <w:i/>
          <w:sz w:val="18"/>
        </w:rPr>
      </w:pPr>
      <w:r>
        <w:rPr>
          <w:i/>
          <w:sz w:val="18"/>
        </w:rPr>
        <w:t>Noncontrolling</w:t>
      </w:r>
      <w:r>
        <w:rPr>
          <w:i/>
          <w:spacing w:val="-8"/>
          <w:sz w:val="18"/>
        </w:rPr>
        <w:t> </w:t>
      </w:r>
      <w:r>
        <w:rPr>
          <w:i/>
          <w:spacing w:val="-2"/>
          <w:sz w:val="18"/>
        </w:rPr>
        <w:t>interest</w:t>
      </w:r>
    </w:p>
    <w:p>
      <w:pPr>
        <w:pStyle w:val="BodyText"/>
        <w:spacing w:before="7"/>
        <w:rPr>
          <w:i/>
        </w:rPr>
      </w:pPr>
    </w:p>
    <w:p>
      <w:pPr>
        <w:pStyle w:val="BodyText"/>
        <w:spacing w:line="235" w:lineRule="auto" w:before="1"/>
        <w:ind w:left="144" w:firstLine="499"/>
      </w:pPr>
      <w:r>
        <w:rPr/>
        <w:t>The</w:t>
      </w:r>
      <w:r>
        <w:rPr>
          <w:spacing w:val="-2"/>
        </w:rPr>
        <w:t> </w:t>
      </w:r>
      <w:r>
        <w:rPr/>
        <w:t>following</w:t>
      </w:r>
      <w:r>
        <w:rPr>
          <w:spacing w:val="-2"/>
        </w:rPr>
        <w:t> </w:t>
      </w:r>
      <w:r>
        <w:rPr/>
        <w:t>is</w:t>
      </w:r>
      <w:r>
        <w:rPr>
          <w:spacing w:val="-2"/>
        </w:rPr>
        <w:t> </w:t>
      </w:r>
      <w:r>
        <w:rPr/>
        <w:t>a</w:t>
      </w:r>
      <w:r>
        <w:rPr>
          <w:spacing w:val="-2"/>
        </w:rPr>
        <w:t> </w:t>
      </w:r>
      <w:r>
        <w:rPr/>
        <w:t>summary</w:t>
      </w:r>
      <w:r>
        <w:rPr>
          <w:spacing w:val="-2"/>
        </w:rPr>
        <w:t> </w:t>
      </w:r>
      <w:r>
        <w:rPr/>
        <w:t>of</w:t>
      </w:r>
      <w:r>
        <w:rPr>
          <w:spacing w:val="-2"/>
        </w:rPr>
        <w:t> </w:t>
      </w:r>
      <w:r>
        <w:rPr/>
        <w:t>net</w:t>
      </w:r>
      <w:r>
        <w:rPr>
          <w:spacing w:val="-2"/>
        </w:rPr>
        <w:t> </w:t>
      </w:r>
      <w:r>
        <w:rPr/>
        <w:t>income</w:t>
      </w:r>
      <w:r>
        <w:rPr>
          <w:spacing w:val="-2"/>
        </w:rPr>
        <w:t> </w:t>
      </w:r>
      <w:r>
        <w:rPr/>
        <w:t>attributable</w:t>
      </w:r>
      <w:r>
        <w:rPr>
          <w:spacing w:val="-2"/>
        </w:rPr>
        <w:t> </w:t>
      </w:r>
      <w:r>
        <w:rPr/>
        <w:t>to</w:t>
      </w:r>
      <w:r>
        <w:rPr>
          <w:spacing w:val="-2"/>
        </w:rPr>
        <w:t> </w:t>
      </w:r>
      <w:r>
        <w:rPr/>
        <w:t>MGM</w:t>
      </w:r>
      <w:r>
        <w:rPr>
          <w:spacing w:val="-2"/>
        </w:rPr>
        <w:t> </w:t>
      </w:r>
      <w:r>
        <w:rPr/>
        <w:t>Resorts</w:t>
      </w:r>
      <w:r>
        <w:rPr>
          <w:spacing w:val="-2"/>
        </w:rPr>
        <w:t> </w:t>
      </w:r>
      <w:r>
        <w:rPr/>
        <w:t>International</w:t>
      </w:r>
      <w:r>
        <w:rPr>
          <w:spacing w:val="-2"/>
        </w:rPr>
        <w:t> </w:t>
      </w:r>
      <w:r>
        <w:rPr/>
        <w:t>and</w:t>
      </w:r>
      <w:r>
        <w:rPr>
          <w:spacing w:val="-2"/>
        </w:rPr>
        <w:t> </w:t>
      </w:r>
      <w:r>
        <w:rPr/>
        <w:t>transfers</w:t>
      </w:r>
      <w:r>
        <w:rPr>
          <w:spacing w:val="-2"/>
        </w:rPr>
        <w:t> </w:t>
      </w:r>
      <w:r>
        <w:rPr/>
        <w:t>to</w:t>
      </w:r>
      <w:r>
        <w:rPr>
          <w:spacing w:val="-2"/>
        </w:rPr>
        <w:t> </w:t>
      </w:r>
      <w:r>
        <w:rPr/>
        <w:t>noncontrolling</w:t>
      </w:r>
      <w:r>
        <w:rPr>
          <w:spacing w:val="-2"/>
        </w:rPr>
        <w:t> </w:t>
      </w:r>
      <w:r>
        <w:rPr/>
        <w:t>interest,</w:t>
      </w:r>
      <w:r>
        <w:rPr>
          <w:spacing w:val="-2"/>
        </w:rPr>
        <w:t> </w:t>
      </w:r>
      <w:r>
        <w:rPr/>
        <w:t>which</w:t>
      </w:r>
      <w:r>
        <w:rPr>
          <w:spacing w:val="-2"/>
        </w:rPr>
        <w:t> </w:t>
      </w:r>
      <w:r>
        <w:rPr/>
        <w:t>shows</w:t>
      </w:r>
      <w:r>
        <w:rPr>
          <w:spacing w:val="-2"/>
        </w:rPr>
        <w:t> </w:t>
      </w:r>
      <w:r>
        <w:rPr/>
        <w:t>the</w:t>
      </w:r>
      <w:r>
        <w:rPr>
          <w:spacing w:val="-2"/>
        </w:rPr>
        <w:t> </w:t>
      </w:r>
      <w:r>
        <w:rPr/>
        <w:t>effects</w:t>
      </w:r>
      <w:r>
        <w:rPr>
          <w:spacing w:val="-2"/>
        </w:rPr>
        <w:t> </w:t>
      </w:r>
      <w:r>
        <w:rPr/>
        <w:t>of changes in the Company’s ownership interest in a subsidiary on the equity attributable to the Company:</w:t>
      </w:r>
    </w:p>
    <w:p>
      <w:pPr>
        <w:pStyle w:val="Heading5"/>
        <w:spacing w:before="63" w:after="36"/>
        <w:ind w:left="0" w:right="1182"/>
        <w:jc w:val="right"/>
      </w:pPr>
      <w:r>
        <w:rPr/>
        <w:t>For</w:t>
      </w:r>
      <w:r>
        <w:rPr>
          <w:spacing w:val="-8"/>
        </w:rPr>
        <w:t> </w:t>
      </w:r>
      <w:r>
        <w:rPr/>
        <w:t>the</w:t>
      </w:r>
      <w:r>
        <w:rPr>
          <w:spacing w:val="-11"/>
        </w:rPr>
        <w:t> </w:t>
      </w:r>
      <w:r>
        <w:rPr/>
        <w:t>Years</w:t>
      </w:r>
      <w:r>
        <w:rPr>
          <w:spacing w:val="-5"/>
        </w:rPr>
        <w:t> </w:t>
      </w:r>
      <w:r>
        <w:rPr/>
        <w:t>Ended</w:t>
      </w:r>
      <w:r>
        <w:rPr>
          <w:spacing w:val="-6"/>
        </w:rPr>
        <w:t> </w:t>
      </w:r>
      <w:r>
        <w:rPr/>
        <w:t>December</w:t>
      </w:r>
      <w:r>
        <w:rPr>
          <w:spacing w:val="-7"/>
        </w:rPr>
        <w:t> </w:t>
      </w:r>
      <w:r>
        <w:rPr>
          <w:spacing w:val="-5"/>
        </w:rPr>
        <w:t>31,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3"/>
        <w:gridCol w:w="416"/>
        <w:gridCol w:w="1155"/>
        <w:gridCol w:w="480"/>
        <w:gridCol w:w="1155"/>
        <w:gridCol w:w="511"/>
        <w:gridCol w:w="1072"/>
      </w:tblGrid>
      <w:tr>
        <w:trPr>
          <w:trHeight w:val="254" w:hRule="atLeast"/>
        </w:trPr>
        <w:tc>
          <w:tcPr>
            <w:tcW w:w="6723" w:type="dxa"/>
            <w:vMerge w:val="restart"/>
          </w:tcPr>
          <w:p>
            <w:pPr>
              <w:pStyle w:val="TableParagraph"/>
              <w:spacing w:before="0"/>
              <w:rPr>
                <w:sz w:val="16"/>
              </w:rPr>
            </w:pPr>
          </w:p>
        </w:tc>
        <w:tc>
          <w:tcPr>
            <w:tcW w:w="1571" w:type="dxa"/>
            <w:gridSpan w:val="2"/>
            <w:tcBorders>
              <w:top w:val="single" w:sz="6" w:space="0" w:color="000000"/>
              <w:bottom w:val="single" w:sz="6" w:space="0" w:color="000000"/>
            </w:tcBorders>
          </w:tcPr>
          <w:p>
            <w:pPr>
              <w:pStyle w:val="TableParagraph"/>
              <w:spacing w:before="20"/>
              <w:ind w:right="53"/>
              <w:jc w:val="center"/>
              <w:rPr>
                <w:b/>
                <w:sz w:val="18"/>
              </w:rPr>
            </w:pPr>
            <w:r>
              <w:rPr>
                <w:b/>
                <w:spacing w:val="-4"/>
                <w:sz w:val="18"/>
              </w:rPr>
              <w:t>2022</w:t>
            </w:r>
          </w:p>
        </w:tc>
        <w:tc>
          <w:tcPr>
            <w:tcW w:w="1635" w:type="dxa"/>
            <w:gridSpan w:val="2"/>
            <w:tcBorders>
              <w:top w:val="single" w:sz="6" w:space="0" w:color="000000"/>
              <w:bottom w:val="single" w:sz="6" w:space="0" w:color="000000"/>
            </w:tcBorders>
          </w:tcPr>
          <w:p>
            <w:pPr>
              <w:pStyle w:val="TableParagraph"/>
              <w:spacing w:before="20"/>
              <w:ind w:left="10"/>
              <w:jc w:val="center"/>
              <w:rPr>
                <w:b/>
                <w:sz w:val="18"/>
              </w:rPr>
            </w:pPr>
            <w:r>
              <w:rPr>
                <w:b/>
                <w:spacing w:val="-4"/>
                <w:sz w:val="18"/>
              </w:rPr>
              <w:t>2021</w:t>
            </w:r>
          </w:p>
        </w:tc>
        <w:tc>
          <w:tcPr>
            <w:tcW w:w="1583" w:type="dxa"/>
            <w:gridSpan w:val="2"/>
            <w:tcBorders>
              <w:top w:val="single" w:sz="6" w:space="0" w:color="000000"/>
              <w:bottom w:val="single" w:sz="6" w:space="0" w:color="000000"/>
            </w:tcBorders>
          </w:tcPr>
          <w:p>
            <w:pPr>
              <w:pStyle w:val="TableParagraph"/>
              <w:spacing w:before="20"/>
              <w:ind w:left="67"/>
              <w:jc w:val="center"/>
              <w:rPr>
                <w:b/>
                <w:sz w:val="18"/>
              </w:rPr>
            </w:pPr>
            <w:r>
              <w:rPr>
                <w:b/>
                <w:spacing w:val="-4"/>
                <w:sz w:val="18"/>
              </w:rPr>
              <w:t>2020</w:t>
            </w:r>
          </w:p>
        </w:tc>
      </w:tr>
      <w:tr>
        <w:trPr>
          <w:trHeight w:val="255" w:hRule="atLeast"/>
        </w:trPr>
        <w:tc>
          <w:tcPr>
            <w:tcW w:w="6723" w:type="dxa"/>
            <w:vMerge/>
            <w:tcBorders>
              <w:top w:val="nil"/>
            </w:tcBorders>
          </w:tcPr>
          <w:p>
            <w:pPr>
              <w:rPr>
                <w:sz w:val="2"/>
                <w:szCs w:val="2"/>
              </w:rPr>
            </w:pPr>
          </w:p>
        </w:tc>
        <w:tc>
          <w:tcPr>
            <w:tcW w:w="1571" w:type="dxa"/>
            <w:gridSpan w:val="2"/>
            <w:tcBorders>
              <w:top w:val="single" w:sz="6" w:space="0" w:color="000000"/>
            </w:tcBorders>
          </w:tcPr>
          <w:p>
            <w:pPr>
              <w:pStyle w:val="TableParagraph"/>
              <w:spacing w:before="0"/>
              <w:rPr>
                <w:sz w:val="16"/>
              </w:rPr>
            </w:pPr>
          </w:p>
        </w:tc>
        <w:tc>
          <w:tcPr>
            <w:tcW w:w="1635" w:type="dxa"/>
            <w:gridSpan w:val="2"/>
            <w:tcBorders>
              <w:top w:val="single" w:sz="6" w:space="0" w:color="000000"/>
            </w:tcBorders>
          </w:tcPr>
          <w:p>
            <w:pPr>
              <w:pStyle w:val="TableParagraph"/>
              <w:spacing w:before="30"/>
              <w:ind w:left="386"/>
              <w:rPr>
                <w:b/>
                <w:i/>
                <w:sz w:val="14"/>
              </w:rPr>
            </w:pPr>
            <w:r>
              <w:rPr>
                <w:b/>
                <w:i/>
                <w:sz w:val="14"/>
              </w:rPr>
              <w:t>(In</w:t>
            </w:r>
            <w:r>
              <w:rPr>
                <w:b/>
                <w:i/>
                <w:spacing w:val="3"/>
                <w:sz w:val="14"/>
              </w:rPr>
              <w:t> </w:t>
            </w:r>
            <w:r>
              <w:rPr>
                <w:b/>
                <w:i/>
                <w:spacing w:val="-2"/>
                <w:sz w:val="14"/>
              </w:rPr>
              <w:t>thousands)</w:t>
            </w:r>
          </w:p>
        </w:tc>
        <w:tc>
          <w:tcPr>
            <w:tcW w:w="1583" w:type="dxa"/>
            <w:gridSpan w:val="2"/>
            <w:tcBorders>
              <w:top w:val="single" w:sz="6" w:space="0" w:color="000000"/>
            </w:tcBorders>
          </w:tcPr>
          <w:p>
            <w:pPr>
              <w:pStyle w:val="TableParagraph"/>
              <w:spacing w:before="0"/>
              <w:rPr>
                <w:sz w:val="16"/>
              </w:rPr>
            </w:pPr>
          </w:p>
        </w:tc>
      </w:tr>
      <w:tr>
        <w:trPr>
          <w:trHeight w:val="256" w:hRule="atLeast"/>
        </w:trPr>
        <w:tc>
          <w:tcPr>
            <w:tcW w:w="6723" w:type="dxa"/>
            <w:shd w:val="clear" w:color="auto" w:fill="CCEDFF"/>
          </w:tcPr>
          <w:p>
            <w:pPr>
              <w:pStyle w:val="TableParagraph"/>
              <w:ind w:right="2330"/>
              <w:jc w:val="right"/>
              <w:rPr>
                <w:sz w:val="18"/>
              </w:rPr>
            </w:pPr>
            <w:r>
              <w:rPr>
                <w:sz w:val="18"/>
              </w:rPr>
              <w:t>Net</w:t>
            </w:r>
            <w:r>
              <w:rPr>
                <w:spacing w:val="-1"/>
                <w:sz w:val="18"/>
              </w:rPr>
              <w:t> </w:t>
            </w:r>
            <w:r>
              <w:rPr>
                <w:sz w:val="18"/>
              </w:rPr>
              <w:t>income</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tc>
        <w:tc>
          <w:tcPr>
            <w:tcW w:w="1571" w:type="dxa"/>
            <w:gridSpan w:val="2"/>
            <w:shd w:val="clear" w:color="auto" w:fill="CCEDFF"/>
          </w:tcPr>
          <w:p>
            <w:pPr>
              <w:pStyle w:val="TableParagraph"/>
              <w:tabs>
                <w:tab w:pos="725" w:val="left" w:leader="none"/>
              </w:tabs>
              <w:ind w:left="16"/>
              <w:rPr>
                <w:sz w:val="18"/>
              </w:rPr>
            </w:pPr>
            <w:r>
              <w:rPr>
                <w:spacing w:val="-10"/>
                <w:sz w:val="18"/>
              </w:rPr>
              <w:t>$</w:t>
            </w:r>
            <w:r>
              <w:rPr>
                <w:sz w:val="18"/>
              </w:rPr>
              <w:tab/>
            </w:r>
            <w:r>
              <w:rPr>
                <w:spacing w:val="-2"/>
                <w:sz w:val="18"/>
              </w:rPr>
              <w:t>1,473,093</w:t>
            </w:r>
          </w:p>
        </w:tc>
        <w:tc>
          <w:tcPr>
            <w:tcW w:w="1635" w:type="dxa"/>
            <w:gridSpan w:val="2"/>
            <w:shd w:val="clear" w:color="auto" w:fill="CCEDFF"/>
          </w:tcPr>
          <w:p>
            <w:pPr>
              <w:pStyle w:val="TableParagraph"/>
              <w:tabs>
                <w:tab w:pos="790" w:val="left" w:leader="none"/>
              </w:tabs>
              <w:ind w:left="81"/>
              <w:rPr>
                <w:sz w:val="18"/>
              </w:rPr>
            </w:pPr>
            <w:r>
              <w:rPr>
                <w:spacing w:val="-10"/>
                <w:sz w:val="18"/>
              </w:rPr>
              <w:t>$</w:t>
            </w:r>
            <w:r>
              <w:rPr>
                <w:sz w:val="18"/>
              </w:rPr>
              <w:tab/>
            </w:r>
            <w:r>
              <w:rPr>
                <w:spacing w:val="-2"/>
                <w:sz w:val="18"/>
              </w:rPr>
              <w:t>1,254,370</w:t>
            </w:r>
          </w:p>
        </w:tc>
        <w:tc>
          <w:tcPr>
            <w:tcW w:w="1583" w:type="dxa"/>
            <w:gridSpan w:val="2"/>
            <w:shd w:val="clear" w:color="auto" w:fill="CCEDFF"/>
          </w:tcPr>
          <w:p>
            <w:pPr>
              <w:pStyle w:val="TableParagraph"/>
              <w:tabs>
                <w:tab w:pos="718" w:val="left" w:leader="none"/>
              </w:tabs>
              <w:ind w:left="82"/>
              <w:rPr>
                <w:sz w:val="18"/>
              </w:rPr>
            </w:pPr>
            <w:r>
              <w:rPr>
                <w:spacing w:val="-10"/>
                <w:sz w:val="18"/>
              </w:rPr>
              <w:t>$</w:t>
            </w:r>
            <w:r>
              <w:rPr>
                <w:sz w:val="18"/>
              </w:rPr>
              <w:tab/>
            </w:r>
            <w:r>
              <w:rPr>
                <w:spacing w:val="-2"/>
                <w:sz w:val="18"/>
              </w:rPr>
              <w:t>(1,032,724)</w:t>
            </w:r>
          </w:p>
        </w:tc>
      </w:tr>
      <w:tr>
        <w:trPr>
          <w:trHeight w:val="256" w:hRule="atLeast"/>
        </w:trPr>
        <w:tc>
          <w:tcPr>
            <w:tcW w:w="6723" w:type="dxa"/>
          </w:tcPr>
          <w:p>
            <w:pPr>
              <w:pStyle w:val="TableParagraph"/>
              <w:ind w:left="217"/>
              <w:rPr>
                <w:sz w:val="18"/>
              </w:rPr>
            </w:pPr>
            <w:r>
              <w:rPr>
                <w:sz w:val="18"/>
              </w:rPr>
              <w:t>Transfers</w:t>
            </w:r>
            <w:r>
              <w:rPr>
                <w:spacing w:val="-4"/>
                <w:sz w:val="18"/>
              </w:rPr>
              <w:t> </w:t>
            </w:r>
            <w:r>
              <w:rPr>
                <w:sz w:val="18"/>
              </w:rPr>
              <w:t>from/(to)</w:t>
            </w:r>
            <w:r>
              <w:rPr>
                <w:spacing w:val="-3"/>
                <w:sz w:val="18"/>
              </w:rPr>
              <w:t> </w:t>
            </w:r>
            <w:r>
              <w:rPr>
                <w:sz w:val="18"/>
              </w:rPr>
              <w:t>noncontrolling</w:t>
            </w:r>
            <w:r>
              <w:rPr>
                <w:spacing w:val="-3"/>
                <w:sz w:val="18"/>
              </w:rPr>
              <w:t> </w:t>
            </w:r>
            <w:r>
              <w:rPr>
                <w:spacing w:val="-2"/>
                <w:sz w:val="18"/>
              </w:rPr>
              <w:t>interest:</w:t>
            </w:r>
          </w:p>
        </w:tc>
        <w:tc>
          <w:tcPr>
            <w:tcW w:w="1571" w:type="dxa"/>
            <w:gridSpan w:val="2"/>
          </w:tcPr>
          <w:p>
            <w:pPr>
              <w:pStyle w:val="TableParagraph"/>
              <w:spacing w:before="0"/>
              <w:rPr>
                <w:sz w:val="16"/>
              </w:rPr>
            </w:pPr>
          </w:p>
        </w:tc>
        <w:tc>
          <w:tcPr>
            <w:tcW w:w="1635" w:type="dxa"/>
            <w:gridSpan w:val="2"/>
          </w:tcPr>
          <w:p>
            <w:pPr>
              <w:pStyle w:val="TableParagraph"/>
              <w:spacing w:before="0"/>
              <w:rPr>
                <w:sz w:val="16"/>
              </w:rPr>
            </w:pPr>
          </w:p>
        </w:tc>
        <w:tc>
          <w:tcPr>
            <w:tcW w:w="1583" w:type="dxa"/>
            <w:gridSpan w:val="2"/>
          </w:tcPr>
          <w:p>
            <w:pPr>
              <w:pStyle w:val="TableParagraph"/>
              <w:spacing w:before="0"/>
              <w:rPr>
                <w:sz w:val="16"/>
              </w:rPr>
            </w:pPr>
          </w:p>
        </w:tc>
      </w:tr>
      <w:tr>
        <w:trPr>
          <w:trHeight w:val="256" w:hRule="atLeast"/>
        </w:trPr>
        <w:tc>
          <w:tcPr>
            <w:tcW w:w="6723" w:type="dxa"/>
            <w:shd w:val="clear" w:color="auto" w:fill="CCEDFF"/>
          </w:tcPr>
          <w:p>
            <w:pPr>
              <w:pStyle w:val="TableParagraph"/>
              <w:ind w:left="462"/>
              <w:rPr>
                <w:sz w:val="18"/>
              </w:rPr>
            </w:pPr>
            <w:r>
              <w:rPr>
                <w:sz w:val="18"/>
              </w:rPr>
              <w:t>MGP</w:t>
            </w:r>
            <w:r>
              <w:rPr>
                <w:spacing w:val="-7"/>
                <w:sz w:val="18"/>
              </w:rPr>
              <w:t> </w:t>
            </w:r>
            <w:r>
              <w:rPr>
                <w:sz w:val="18"/>
              </w:rPr>
              <w:t>Class</w:t>
            </w:r>
            <w:r>
              <w:rPr>
                <w:spacing w:val="-10"/>
                <w:sz w:val="18"/>
              </w:rPr>
              <w:t> </w:t>
            </w:r>
            <w:r>
              <w:rPr>
                <w:sz w:val="18"/>
              </w:rPr>
              <w:t>A</w:t>
            </w:r>
            <w:r>
              <w:rPr>
                <w:spacing w:val="-10"/>
                <w:sz w:val="18"/>
              </w:rPr>
              <w:t> </w:t>
            </w:r>
            <w:r>
              <w:rPr>
                <w:sz w:val="18"/>
              </w:rPr>
              <w:t>share</w:t>
            </w:r>
            <w:r>
              <w:rPr>
                <w:spacing w:val="-1"/>
                <w:sz w:val="18"/>
              </w:rPr>
              <w:t> </w:t>
            </w:r>
            <w:r>
              <w:rPr>
                <w:spacing w:val="-2"/>
                <w:sz w:val="18"/>
              </w:rPr>
              <w:t>issuances</w:t>
            </w:r>
          </w:p>
        </w:tc>
        <w:tc>
          <w:tcPr>
            <w:tcW w:w="1571" w:type="dxa"/>
            <w:gridSpan w:val="2"/>
            <w:shd w:val="clear" w:color="auto" w:fill="CCEDFF"/>
          </w:tcPr>
          <w:p>
            <w:pPr>
              <w:pStyle w:val="TableParagraph"/>
              <w:ind w:right="123"/>
              <w:jc w:val="right"/>
              <w:rPr>
                <w:sz w:val="18"/>
              </w:rPr>
            </w:pPr>
            <w:r>
              <w:rPr>
                <w:spacing w:val="-10"/>
                <w:sz w:val="18"/>
              </w:rPr>
              <w:t>—</w:t>
            </w:r>
          </w:p>
        </w:tc>
        <w:tc>
          <w:tcPr>
            <w:tcW w:w="1635" w:type="dxa"/>
            <w:gridSpan w:val="2"/>
            <w:shd w:val="clear" w:color="auto" w:fill="CCEDFF"/>
          </w:tcPr>
          <w:p>
            <w:pPr>
              <w:pStyle w:val="TableParagraph"/>
              <w:ind w:left="925"/>
              <w:rPr>
                <w:sz w:val="18"/>
              </w:rPr>
            </w:pPr>
            <w:r>
              <w:rPr>
                <w:spacing w:val="-2"/>
                <w:sz w:val="18"/>
              </w:rPr>
              <w:t>103,174</w:t>
            </w:r>
          </w:p>
        </w:tc>
        <w:tc>
          <w:tcPr>
            <w:tcW w:w="1583" w:type="dxa"/>
            <w:gridSpan w:val="2"/>
            <w:shd w:val="clear" w:color="auto" w:fill="CCEDFF"/>
          </w:tcPr>
          <w:p>
            <w:pPr>
              <w:pStyle w:val="TableParagraph"/>
              <w:ind w:left="1018"/>
              <w:rPr>
                <w:sz w:val="18"/>
              </w:rPr>
            </w:pPr>
            <w:r>
              <w:rPr>
                <w:spacing w:val="-2"/>
                <w:sz w:val="18"/>
              </w:rPr>
              <w:t>64,834</w:t>
            </w:r>
          </w:p>
        </w:tc>
      </w:tr>
      <w:tr>
        <w:trPr>
          <w:trHeight w:val="256" w:hRule="atLeast"/>
        </w:trPr>
        <w:tc>
          <w:tcPr>
            <w:tcW w:w="6723" w:type="dxa"/>
          </w:tcPr>
          <w:p>
            <w:pPr>
              <w:pStyle w:val="TableParagraph"/>
              <w:ind w:right="2298"/>
              <w:jc w:val="right"/>
              <w:rPr>
                <w:sz w:val="18"/>
              </w:rPr>
            </w:pPr>
            <w:r>
              <w:rPr>
                <w:sz w:val="18"/>
              </w:rPr>
              <w:t>MGM</w:t>
            </w:r>
            <w:r>
              <w:rPr>
                <w:spacing w:val="-4"/>
                <w:sz w:val="18"/>
              </w:rPr>
              <w:t> </w:t>
            </w:r>
            <w:r>
              <w:rPr>
                <w:sz w:val="18"/>
              </w:rPr>
              <w:t>Grand</w:t>
            </w:r>
            <w:r>
              <w:rPr>
                <w:spacing w:val="-4"/>
                <w:sz w:val="18"/>
              </w:rPr>
              <w:t> </w:t>
            </w:r>
            <w:r>
              <w:rPr>
                <w:sz w:val="18"/>
              </w:rPr>
              <w:t>Las</w:t>
            </w:r>
            <w:r>
              <w:rPr>
                <w:spacing w:val="-7"/>
                <w:sz w:val="18"/>
              </w:rPr>
              <w:t> </w:t>
            </w:r>
            <w:r>
              <w:rPr>
                <w:sz w:val="18"/>
              </w:rPr>
              <w:t>Vegas</w:t>
            </w:r>
            <w:r>
              <w:rPr>
                <w:spacing w:val="-4"/>
                <w:sz w:val="18"/>
              </w:rPr>
              <w:t> </w:t>
            </w:r>
            <w:r>
              <w:rPr>
                <w:sz w:val="18"/>
              </w:rPr>
              <w:t>and</w:t>
            </w:r>
            <w:r>
              <w:rPr>
                <w:spacing w:val="-4"/>
                <w:sz w:val="18"/>
              </w:rPr>
              <w:t> </w:t>
            </w:r>
            <w:r>
              <w:rPr>
                <w:sz w:val="18"/>
              </w:rPr>
              <w:t>Mandalay</w:t>
            </w:r>
            <w:r>
              <w:rPr>
                <w:spacing w:val="-4"/>
                <w:sz w:val="18"/>
              </w:rPr>
              <w:t> </w:t>
            </w:r>
            <w:r>
              <w:rPr>
                <w:sz w:val="18"/>
              </w:rPr>
              <w:t>Bay</w:t>
            </w:r>
            <w:r>
              <w:rPr>
                <w:spacing w:val="-3"/>
                <w:sz w:val="18"/>
              </w:rPr>
              <w:t> </w:t>
            </w:r>
            <w:r>
              <w:rPr>
                <w:spacing w:val="-2"/>
                <w:sz w:val="18"/>
              </w:rPr>
              <w:t>transaction</w:t>
            </w:r>
          </w:p>
        </w:tc>
        <w:tc>
          <w:tcPr>
            <w:tcW w:w="1571" w:type="dxa"/>
            <w:gridSpan w:val="2"/>
          </w:tcPr>
          <w:p>
            <w:pPr>
              <w:pStyle w:val="TableParagraph"/>
              <w:ind w:right="123"/>
              <w:jc w:val="right"/>
              <w:rPr>
                <w:sz w:val="18"/>
              </w:rPr>
            </w:pPr>
            <w:r>
              <w:rPr>
                <w:spacing w:val="-10"/>
                <w:sz w:val="18"/>
              </w:rPr>
              <w:t>—</w:t>
            </w:r>
          </w:p>
        </w:tc>
        <w:tc>
          <w:tcPr>
            <w:tcW w:w="1635" w:type="dxa"/>
            <w:gridSpan w:val="2"/>
          </w:tcPr>
          <w:p>
            <w:pPr>
              <w:pStyle w:val="TableParagraph"/>
              <w:ind w:right="122"/>
              <w:jc w:val="right"/>
              <w:rPr>
                <w:sz w:val="18"/>
              </w:rPr>
            </w:pPr>
            <w:r>
              <w:rPr>
                <w:spacing w:val="-10"/>
                <w:sz w:val="18"/>
              </w:rPr>
              <w:t>—</w:t>
            </w:r>
          </w:p>
        </w:tc>
        <w:tc>
          <w:tcPr>
            <w:tcW w:w="1583" w:type="dxa"/>
            <w:gridSpan w:val="2"/>
          </w:tcPr>
          <w:p>
            <w:pPr>
              <w:pStyle w:val="TableParagraph"/>
              <w:ind w:left="1033"/>
              <w:rPr>
                <w:sz w:val="18"/>
              </w:rPr>
            </w:pPr>
            <w:r>
              <w:rPr>
                <w:spacing w:val="-2"/>
                <w:sz w:val="18"/>
              </w:rPr>
              <w:t>(6,562)</w:t>
            </w:r>
          </w:p>
        </w:tc>
      </w:tr>
      <w:tr>
        <w:trPr>
          <w:trHeight w:val="269" w:hRule="atLeast"/>
        </w:trPr>
        <w:tc>
          <w:tcPr>
            <w:tcW w:w="6723" w:type="dxa"/>
            <w:shd w:val="clear" w:color="auto" w:fill="CCEDFF"/>
          </w:tcPr>
          <w:p>
            <w:pPr>
              <w:pStyle w:val="TableParagraph"/>
              <w:ind w:left="462"/>
              <w:rPr>
                <w:sz w:val="18"/>
              </w:rPr>
            </w:pPr>
            <w:r>
              <w:rPr>
                <w:sz w:val="18"/>
              </w:rPr>
              <w:t>Redemption</w:t>
            </w:r>
            <w:r>
              <w:rPr>
                <w:spacing w:val="-1"/>
                <w:sz w:val="18"/>
              </w:rPr>
              <w:t> </w:t>
            </w:r>
            <w:r>
              <w:rPr>
                <w:sz w:val="18"/>
              </w:rPr>
              <w:t>of</w:t>
            </w:r>
            <w:r>
              <w:rPr>
                <w:spacing w:val="-1"/>
                <w:sz w:val="18"/>
              </w:rPr>
              <w:t> </w:t>
            </w:r>
            <w:r>
              <w:rPr>
                <w:sz w:val="18"/>
              </w:rPr>
              <w:t>MGP</w:t>
            </w:r>
            <w:r>
              <w:rPr>
                <w:spacing w:val="-7"/>
                <w:sz w:val="18"/>
              </w:rPr>
              <w:t> </w:t>
            </w:r>
            <w:r>
              <w:rPr>
                <w:sz w:val="18"/>
              </w:rPr>
              <w:t>OP</w:t>
            </w:r>
            <w:r>
              <w:rPr>
                <w:spacing w:val="-7"/>
                <w:sz w:val="18"/>
              </w:rPr>
              <w:t> </w:t>
            </w:r>
            <w:r>
              <w:rPr>
                <w:spacing w:val="-2"/>
                <w:sz w:val="18"/>
              </w:rPr>
              <w:t>units</w:t>
            </w:r>
          </w:p>
        </w:tc>
        <w:tc>
          <w:tcPr>
            <w:tcW w:w="1571" w:type="dxa"/>
            <w:gridSpan w:val="2"/>
            <w:shd w:val="clear" w:color="auto" w:fill="CCEDFF"/>
          </w:tcPr>
          <w:p>
            <w:pPr>
              <w:pStyle w:val="TableParagraph"/>
              <w:ind w:right="123"/>
              <w:jc w:val="right"/>
              <w:rPr>
                <w:sz w:val="18"/>
              </w:rPr>
            </w:pPr>
            <w:r>
              <w:rPr>
                <w:spacing w:val="-10"/>
                <w:sz w:val="18"/>
              </w:rPr>
              <w:t>—</w:t>
            </w:r>
          </w:p>
        </w:tc>
        <w:tc>
          <w:tcPr>
            <w:tcW w:w="1635" w:type="dxa"/>
            <w:gridSpan w:val="2"/>
            <w:shd w:val="clear" w:color="auto" w:fill="CCEDFF"/>
          </w:tcPr>
          <w:p>
            <w:pPr>
              <w:pStyle w:val="TableParagraph"/>
              <w:ind w:left="925"/>
              <w:rPr>
                <w:sz w:val="18"/>
              </w:rPr>
            </w:pPr>
            <w:r>
              <w:rPr>
                <w:spacing w:val="-2"/>
                <w:sz w:val="18"/>
              </w:rPr>
              <w:t>176,659</w:t>
            </w:r>
          </w:p>
        </w:tc>
        <w:tc>
          <w:tcPr>
            <w:tcW w:w="1583" w:type="dxa"/>
            <w:gridSpan w:val="2"/>
            <w:shd w:val="clear" w:color="auto" w:fill="CCEDFF"/>
          </w:tcPr>
          <w:p>
            <w:pPr>
              <w:pStyle w:val="TableParagraph"/>
              <w:ind w:left="1018"/>
              <w:rPr>
                <w:sz w:val="18"/>
              </w:rPr>
            </w:pPr>
            <w:r>
              <w:rPr>
                <w:spacing w:val="-2"/>
                <w:sz w:val="18"/>
              </w:rPr>
              <w:t>92,632</w:t>
            </w:r>
          </w:p>
        </w:tc>
      </w:tr>
      <w:tr>
        <w:trPr>
          <w:trHeight w:val="256" w:hRule="atLeast"/>
        </w:trPr>
        <w:tc>
          <w:tcPr>
            <w:tcW w:w="6723" w:type="dxa"/>
          </w:tcPr>
          <w:p>
            <w:pPr>
              <w:pStyle w:val="TableParagraph"/>
              <w:ind w:left="462"/>
              <w:rPr>
                <w:sz w:val="18"/>
              </w:rPr>
            </w:pPr>
            <w:r>
              <w:rPr>
                <w:sz w:val="18"/>
              </w:rPr>
              <w:t>Deconsolidation</w:t>
            </w:r>
            <w:r>
              <w:rPr>
                <w:spacing w:val="-1"/>
                <w:sz w:val="18"/>
              </w:rPr>
              <w:t> </w:t>
            </w:r>
            <w:r>
              <w:rPr>
                <w:sz w:val="18"/>
              </w:rPr>
              <w:t>of</w:t>
            </w:r>
            <w:r>
              <w:rPr>
                <w:spacing w:val="-1"/>
                <w:sz w:val="18"/>
              </w:rPr>
              <w:t> </w:t>
            </w:r>
            <w:r>
              <w:rPr>
                <w:spacing w:val="-5"/>
                <w:sz w:val="18"/>
              </w:rPr>
              <w:t>MGP</w:t>
            </w:r>
          </w:p>
        </w:tc>
        <w:tc>
          <w:tcPr>
            <w:tcW w:w="1571" w:type="dxa"/>
            <w:gridSpan w:val="2"/>
          </w:tcPr>
          <w:p>
            <w:pPr>
              <w:pStyle w:val="TableParagraph"/>
              <w:ind w:left="957"/>
              <w:rPr>
                <w:sz w:val="18"/>
              </w:rPr>
            </w:pPr>
            <w:r>
              <w:rPr>
                <w:spacing w:val="-2"/>
                <w:sz w:val="18"/>
              </w:rPr>
              <w:t>11,084</w:t>
            </w:r>
          </w:p>
        </w:tc>
        <w:tc>
          <w:tcPr>
            <w:tcW w:w="1635" w:type="dxa"/>
            <w:gridSpan w:val="2"/>
          </w:tcPr>
          <w:p>
            <w:pPr>
              <w:pStyle w:val="TableParagraph"/>
              <w:ind w:right="122"/>
              <w:jc w:val="right"/>
              <w:rPr>
                <w:sz w:val="18"/>
              </w:rPr>
            </w:pPr>
            <w:r>
              <w:rPr>
                <w:spacing w:val="-10"/>
                <w:sz w:val="18"/>
              </w:rPr>
              <w:t>—</w:t>
            </w:r>
          </w:p>
        </w:tc>
        <w:tc>
          <w:tcPr>
            <w:tcW w:w="1583" w:type="dxa"/>
            <w:gridSpan w:val="2"/>
          </w:tcPr>
          <w:p>
            <w:pPr>
              <w:pStyle w:val="TableParagraph"/>
              <w:ind w:right="67"/>
              <w:jc w:val="right"/>
              <w:rPr>
                <w:sz w:val="18"/>
              </w:rPr>
            </w:pPr>
            <w:r>
              <w:rPr>
                <w:spacing w:val="-10"/>
                <w:sz w:val="18"/>
              </w:rPr>
              <w:t>—</w:t>
            </w:r>
          </w:p>
        </w:tc>
      </w:tr>
      <w:tr>
        <w:trPr>
          <w:trHeight w:val="255" w:hRule="atLeast"/>
        </w:trPr>
        <w:tc>
          <w:tcPr>
            <w:tcW w:w="6723" w:type="dxa"/>
            <w:shd w:val="clear" w:color="auto" w:fill="CCEDFF"/>
          </w:tcPr>
          <w:p>
            <w:pPr>
              <w:pStyle w:val="TableParagraph"/>
              <w:ind w:left="462"/>
              <w:rPr>
                <w:sz w:val="18"/>
              </w:rPr>
            </w:pPr>
            <w:r>
              <w:rPr>
                <w:spacing w:val="-2"/>
                <w:sz w:val="18"/>
              </w:rPr>
              <w:t>Other</w:t>
            </w:r>
          </w:p>
        </w:tc>
        <w:tc>
          <w:tcPr>
            <w:tcW w:w="1571" w:type="dxa"/>
            <w:gridSpan w:val="2"/>
            <w:tcBorders>
              <w:bottom w:val="single" w:sz="6" w:space="0" w:color="000000"/>
            </w:tcBorders>
            <w:shd w:val="clear" w:color="auto" w:fill="CCEDFF"/>
          </w:tcPr>
          <w:p>
            <w:pPr>
              <w:pStyle w:val="TableParagraph"/>
              <w:ind w:right="78"/>
              <w:jc w:val="right"/>
              <w:rPr>
                <w:sz w:val="18"/>
              </w:rPr>
            </w:pPr>
            <w:r>
              <w:rPr>
                <w:spacing w:val="-2"/>
                <w:sz w:val="18"/>
              </w:rPr>
              <w:t>(120)</w:t>
            </w:r>
          </w:p>
        </w:tc>
        <w:tc>
          <w:tcPr>
            <w:tcW w:w="1635" w:type="dxa"/>
            <w:gridSpan w:val="2"/>
            <w:tcBorders>
              <w:bottom w:val="single" w:sz="6" w:space="0" w:color="000000"/>
            </w:tcBorders>
            <w:shd w:val="clear" w:color="auto" w:fill="CCEDFF"/>
          </w:tcPr>
          <w:p>
            <w:pPr>
              <w:pStyle w:val="TableParagraph"/>
              <w:ind w:left="1030"/>
              <w:rPr>
                <w:sz w:val="18"/>
              </w:rPr>
            </w:pPr>
            <w:r>
              <w:rPr>
                <w:spacing w:val="-2"/>
                <w:sz w:val="18"/>
              </w:rPr>
              <w:t>(5,062)</w:t>
            </w:r>
          </w:p>
        </w:tc>
        <w:tc>
          <w:tcPr>
            <w:tcW w:w="1583" w:type="dxa"/>
            <w:gridSpan w:val="2"/>
            <w:tcBorders>
              <w:bottom w:val="single" w:sz="6" w:space="0" w:color="000000"/>
            </w:tcBorders>
            <w:shd w:val="clear" w:color="auto" w:fill="CCEDFF"/>
          </w:tcPr>
          <w:p>
            <w:pPr>
              <w:pStyle w:val="TableParagraph"/>
              <w:ind w:left="1033"/>
              <w:rPr>
                <w:sz w:val="18"/>
              </w:rPr>
            </w:pPr>
            <w:r>
              <w:rPr>
                <w:spacing w:val="-2"/>
                <w:sz w:val="18"/>
              </w:rPr>
              <w:t>(1,759)</w:t>
            </w:r>
          </w:p>
        </w:tc>
      </w:tr>
      <w:tr>
        <w:trPr>
          <w:trHeight w:val="254" w:hRule="atLeast"/>
        </w:trPr>
        <w:tc>
          <w:tcPr>
            <w:tcW w:w="6723" w:type="dxa"/>
          </w:tcPr>
          <w:p>
            <w:pPr>
              <w:pStyle w:val="TableParagraph"/>
              <w:spacing w:before="6"/>
              <w:ind w:left="217"/>
              <w:rPr>
                <w:sz w:val="18"/>
              </w:rPr>
            </w:pPr>
            <w:r>
              <w:rPr>
                <w:sz w:val="18"/>
              </w:rPr>
              <w:t>Net</w:t>
            </w:r>
            <w:r>
              <w:rPr>
                <w:spacing w:val="-1"/>
                <w:sz w:val="18"/>
              </w:rPr>
              <w:t> </w:t>
            </w:r>
            <w:r>
              <w:rPr>
                <w:sz w:val="18"/>
              </w:rPr>
              <w:t>transfers</w:t>
            </w:r>
            <w:r>
              <w:rPr>
                <w:spacing w:val="-1"/>
                <w:sz w:val="18"/>
              </w:rPr>
              <w:t> </w:t>
            </w:r>
            <w:r>
              <w:rPr>
                <w:sz w:val="18"/>
              </w:rPr>
              <w:t>from</w:t>
            </w:r>
            <w:r>
              <w:rPr>
                <w:spacing w:val="-1"/>
                <w:sz w:val="18"/>
              </w:rPr>
              <w:t> </w:t>
            </w:r>
            <w:r>
              <w:rPr>
                <w:sz w:val="18"/>
              </w:rPr>
              <w:t>noncontrolling</w:t>
            </w:r>
            <w:r>
              <w:rPr>
                <w:spacing w:val="-1"/>
                <w:sz w:val="18"/>
              </w:rPr>
              <w:t> </w:t>
            </w:r>
            <w:r>
              <w:rPr>
                <w:spacing w:val="-2"/>
                <w:sz w:val="18"/>
              </w:rPr>
              <w:t>interest</w:t>
            </w:r>
          </w:p>
        </w:tc>
        <w:tc>
          <w:tcPr>
            <w:tcW w:w="1571" w:type="dxa"/>
            <w:gridSpan w:val="2"/>
            <w:tcBorders>
              <w:top w:val="single" w:sz="6" w:space="0" w:color="000000"/>
            </w:tcBorders>
          </w:tcPr>
          <w:p>
            <w:pPr>
              <w:pStyle w:val="TableParagraph"/>
              <w:spacing w:before="20"/>
              <w:ind w:left="950"/>
              <w:rPr>
                <w:sz w:val="18"/>
              </w:rPr>
            </w:pPr>
            <w:r>
              <w:rPr>
                <w:spacing w:val="-2"/>
                <w:sz w:val="18"/>
              </w:rPr>
              <w:t>10,964</w:t>
            </w:r>
          </w:p>
        </w:tc>
        <w:tc>
          <w:tcPr>
            <w:tcW w:w="1635" w:type="dxa"/>
            <w:gridSpan w:val="2"/>
            <w:tcBorders>
              <w:top w:val="single" w:sz="6" w:space="0" w:color="000000"/>
            </w:tcBorders>
          </w:tcPr>
          <w:p>
            <w:pPr>
              <w:pStyle w:val="TableParagraph"/>
              <w:spacing w:before="20"/>
              <w:ind w:left="925"/>
              <w:rPr>
                <w:sz w:val="18"/>
              </w:rPr>
            </w:pPr>
            <w:r>
              <w:rPr>
                <w:spacing w:val="-2"/>
                <w:sz w:val="18"/>
              </w:rPr>
              <w:t>274,771</w:t>
            </w:r>
          </w:p>
        </w:tc>
        <w:tc>
          <w:tcPr>
            <w:tcW w:w="1583" w:type="dxa"/>
            <w:gridSpan w:val="2"/>
            <w:tcBorders>
              <w:top w:val="single" w:sz="6" w:space="0" w:color="000000"/>
            </w:tcBorders>
          </w:tcPr>
          <w:p>
            <w:pPr>
              <w:pStyle w:val="TableParagraph"/>
              <w:spacing w:before="20"/>
              <w:ind w:left="928"/>
              <w:rPr>
                <w:sz w:val="18"/>
              </w:rPr>
            </w:pPr>
            <w:r>
              <w:rPr>
                <w:spacing w:val="-2"/>
                <w:sz w:val="18"/>
              </w:rPr>
              <w:t>149,145</w:t>
            </w:r>
          </w:p>
        </w:tc>
      </w:tr>
      <w:tr>
        <w:trPr>
          <w:trHeight w:val="435" w:hRule="atLeast"/>
        </w:trPr>
        <w:tc>
          <w:tcPr>
            <w:tcW w:w="6723" w:type="dxa"/>
            <w:shd w:val="clear" w:color="auto" w:fill="CCEDFF"/>
          </w:tcPr>
          <w:p>
            <w:pPr>
              <w:pStyle w:val="TableParagraph"/>
              <w:spacing w:line="202" w:lineRule="exact" w:before="11"/>
              <w:ind w:left="17"/>
              <w:rPr>
                <w:sz w:val="18"/>
              </w:rPr>
            </w:pPr>
            <w:r>
              <w:rPr>
                <w:sz w:val="18"/>
              </w:rPr>
              <w:t>Change</w:t>
            </w:r>
            <w:r>
              <w:rPr>
                <w:spacing w:val="-4"/>
                <w:sz w:val="18"/>
              </w:rPr>
              <w:t> </w:t>
            </w:r>
            <w:r>
              <w:rPr>
                <w:sz w:val="18"/>
              </w:rPr>
              <w:t>from</w:t>
            </w:r>
            <w:r>
              <w:rPr>
                <w:spacing w:val="-4"/>
                <w:sz w:val="18"/>
              </w:rPr>
              <w:t> </w:t>
            </w:r>
            <w:r>
              <w:rPr>
                <w:sz w:val="18"/>
              </w:rPr>
              <w:t>net</w:t>
            </w:r>
            <w:r>
              <w:rPr>
                <w:spacing w:val="-4"/>
                <w:sz w:val="18"/>
              </w:rPr>
              <w:t> </w:t>
            </w:r>
            <w:r>
              <w:rPr>
                <w:sz w:val="18"/>
              </w:rPr>
              <w:t>income</w:t>
            </w:r>
            <w:r>
              <w:rPr>
                <w:spacing w:val="-4"/>
                <w:sz w:val="18"/>
              </w:rPr>
              <w:t> </w:t>
            </w:r>
            <w:r>
              <w:rPr>
                <w:sz w:val="18"/>
              </w:rPr>
              <w:t>(loss)</w:t>
            </w:r>
            <w:r>
              <w:rPr>
                <w:spacing w:val="-4"/>
                <w:sz w:val="18"/>
              </w:rPr>
              <w:t> </w:t>
            </w:r>
            <w:r>
              <w:rPr>
                <w:sz w:val="18"/>
              </w:rPr>
              <w:t>attributable</w:t>
            </w:r>
            <w:r>
              <w:rPr>
                <w:spacing w:val="-4"/>
                <w:sz w:val="18"/>
              </w:rPr>
              <w:t> </w:t>
            </w:r>
            <w:r>
              <w:rPr>
                <w:sz w:val="18"/>
              </w:rPr>
              <w:t>to</w:t>
            </w:r>
            <w:r>
              <w:rPr>
                <w:spacing w:val="-4"/>
                <w:sz w:val="18"/>
              </w:rPr>
              <w:t> </w:t>
            </w:r>
            <w:r>
              <w:rPr>
                <w:sz w:val="18"/>
              </w:rPr>
              <w:t>MGM</w:t>
            </w:r>
            <w:r>
              <w:rPr>
                <w:spacing w:val="-4"/>
                <w:sz w:val="18"/>
              </w:rPr>
              <w:t> </w:t>
            </w:r>
            <w:r>
              <w:rPr>
                <w:sz w:val="18"/>
              </w:rPr>
              <w:t>Resorts</w:t>
            </w:r>
            <w:r>
              <w:rPr>
                <w:spacing w:val="-4"/>
                <w:sz w:val="18"/>
              </w:rPr>
              <w:t> </w:t>
            </w:r>
            <w:r>
              <w:rPr>
                <w:sz w:val="18"/>
              </w:rPr>
              <w:t>International</w:t>
            </w:r>
            <w:r>
              <w:rPr>
                <w:spacing w:val="-4"/>
                <w:sz w:val="18"/>
              </w:rPr>
              <w:t> </w:t>
            </w:r>
            <w:r>
              <w:rPr>
                <w:sz w:val="18"/>
              </w:rPr>
              <w:t>and</w:t>
            </w:r>
            <w:r>
              <w:rPr>
                <w:spacing w:val="-4"/>
                <w:sz w:val="18"/>
              </w:rPr>
              <w:t> </w:t>
            </w:r>
            <w:r>
              <w:rPr>
                <w:sz w:val="18"/>
              </w:rPr>
              <w:t>transfers</w:t>
            </w:r>
            <w:r>
              <w:rPr>
                <w:spacing w:val="-4"/>
                <w:sz w:val="18"/>
              </w:rPr>
              <w:t> </w:t>
            </w:r>
            <w:r>
              <w:rPr>
                <w:sz w:val="18"/>
              </w:rPr>
              <w:t>to noncontrolling interest</w:t>
            </w:r>
          </w:p>
        </w:tc>
        <w:tc>
          <w:tcPr>
            <w:tcW w:w="416" w:type="dxa"/>
            <w:tcBorders>
              <w:top w:val="single" w:sz="6" w:space="0" w:color="000000"/>
            </w:tcBorders>
            <w:shd w:val="clear" w:color="auto" w:fill="CCEDFF"/>
          </w:tcPr>
          <w:p>
            <w:pPr>
              <w:pStyle w:val="TableParagraph"/>
              <w:spacing w:before="195"/>
              <w:ind w:left="16"/>
              <w:rPr>
                <w:sz w:val="18"/>
              </w:rPr>
            </w:pPr>
            <w:r>
              <w:rPr/>
              <mc:AlternateContent>
                <mc:Choice Requires="wps">
                  <w:drawing>
                    <wp:anchor distT="0" distB="0" distL="0" distR="0" allowOverlap="1" layoutInCell="1" locked="0" behindDoc="1" simplePos="0" relativeHeight="477753856">
                      <wp:simplePos x="0" y="0"/>
                      <wp:positionH relativeFrom="column">
                        <wp:posOffset>0</wp:posOffset>
                      </wp:positionH>
                      <wp:positionV relativeFrom="paragraph">
                        <wp:posOffset>273427</wp:posOffset>
                      </wp:positionV>
                      <wp:extent cx="960119" cy="34290"/>
                      <wp:effectExtent l="0" t="0" r="0" b="0"/>
                      <wp:wrapNone/>
                      <wp:docPr id="618" name="Group 618"/>
                      <wp:cNvGraphicFramePr>
                        <a:graphicFrameLocks/>
                      </wp:cNvGraphicFramePr>
                      <a:graphic>
                        <a:graphicData uri="http://schemas.microsoft.com/office/word/2010/wordprocessingGroup">
                          <wpg:wgp>
                            <wpg:cNvPr id="618" name="Group 618"/>
                            <wpg:cNvGrpSpPr/>
                            <wpg:grpSpPr>
                              <a:xfrm>
                                <a:off x="0" y="0"/>
                                <a:ext cx="960119" cy="34290"/>
                                <a:chExt cx="960119" cy="34290"/>
                              </a:xfrm>
                            </wpg:grpSpPr>
                            <wps:wsp>
                              <wps:cNvPr id="619" name="Graphic 619"/>
                              <wps:cNvSpPr/>
                              <wps:spPr>
                                <a:xfrm>
                                  <a:off x="-12" y="-12"/>
                                  <a:ext cx="960119" cy="34290"/>
                                </a:xfrm>
                                <a:custGeom>
                                  <a:avLst/>
                                  <a:gdLst/>
                                  <a:ahLst/>
                                  <a:cxnLst/>
                                  <a:rect l="l" t="t" r="r" b="b"/>
                                  <a:pathLst>
                                    <a:path w="960119" h="34290">
                                      <a:moveTo>
                                        <a:pt x="942975" y="0"/>
                                      </a:moveTo>
                                      <a:lnTo>
                                        <a:pt x="68580" y="0"/>
                                      </a:lnTo>
                                      <a:lnTo>
                                        <a:pt x="68580" y="8572"/>
                                      </a:lnTo>
                                      <a:lnTo>
                                        <a:pt x="942975" y="8572"/>
                                      </a:lnTo>
                                      <a:lnTo>
                                        <a:pt x="942975" y="0"/>
                                      </a:lnTo>
                                      <a:close/>
                                    </a:path>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1.529718pt;width:75.6pt;height:2.7pt;mso-position-horizontal-relative:column;mso-position-vertical-relative:paragraph;z-index:-25562624" id="docshapegroup616" coordorigin="0,431" coordsize="1512,54">
                      <v:shape style="position:absolute;left:-1;top:430;width:1512;height:54" id="docshape617" coordorigin="0,431" coordsize="1512,54" path="m1485,431l108,431,108,444,1485,444,1485,431xm1512,471l1485,471,108,471,0,471,0,485,108,485,1485,485,1512,485,1512,471xe" filled="true" fillcolor="#000000" stroked="false">
                        <v:path arrowok="t"/>
                        <v:fill type="solid"/>
                      </v:shape>
                      <w10:wrap type="none"/>
                    </v:group>
                  </w:pict>
                </mc:Fallback>
              </mc:AlternateContent>
            </w:r>
            <w:r>
              <w:rPr>
                <w:spacing w:val="-10"/>
                <w:sz w:val="18"/>
              </w:rPr>
              <w:t>$</w:t>
            </w:r>
          </w:p>
        </w:tc>
        <w:tc>
          <w:tcPr>
            <w:tcW w:w="1155" w:type="dxa"/>
            <w:tcBorders>
              <w:top w:val="single" w:sz="6" w:space="0" w:color="000000"/>
            </w:tcBorders>
            <w:shd w:val="clear" w:color="auto" w:fill="CCEDFF"/>
          </w:tcPr>
          <w:p>
            <w:pPr>
              <w:pStyle w:val="TableParagraph"/>
              <w:spacing w:before="195"/>
              <w:ind w:left="309"/>
              <w:rPr>
                <w:sz w:val="18"/>
              </w:rPr>
            </w:pPr>
            <w:r>
              <w:rPr>
                <w:spacing w:val="-2"/>
                <w:sz w:val="18"/>
              </w:rPr>
              <w:t>1,484,057</w:t>
            </w:r>
          </w:p>
        </w:tc>
        <w:tc>
          <w:tcPr>
            <w:tcW w:w="480" w:type="dxa"/>
            <w:tcBorders>
              <w:top w:val="single" w:sz="6" w:space="0" w:color="000000"/>
            </w:tcBorders>
            <w:shd w:val="clear" w:color="auto" w:fill="CCEDFF"/>
          </w:tcPr>
          <w:p>
            <w:pPr>
              <w:pStyle w:val="TableParagraph"/>
              <w:spacing w:before="195"/>
              <w:ind w:left="81"/>
              <w:rPr>
                <w:sz w:val="18"/>
              </w:rPr>
            </w:pPr>
            <w:r>
              <w:rPr/>
              <mc:AlternateContent>
                <mc:Choice Requires="wps">
                  <w:drawing>
                    <wp:anchor distT="0" distB="0" distL="0" distR="0" allowOverlap="1" layoutInCell="1" locked="0" behindDoc="1" simplePos="0" relativeHeight="477754368">
                      <wp:simplePos x="0" y="0"/>
                      <wp:positionH relativeFrom="column">
                        <wp:posOffset>39321</wp:posOffset>
                      </wp:positionH>
                      <wp:positionV relativeFrom="paragraph">
                        <wp:posOffset>273427</wp:posOffset>
                      </wp:positionV>
                      <wp:extent cx="969010" cy="34290"/>
                      <wp:effectExtent l="0" t="0" r="0" b="0"/>
                      <wp:wrapNone/>
                      <wp:docPr id="620" name="Group 620"/>
                      <wp:cNvGraphicFramePr>
                        <a:graphicFrameLocks/>
                      </wp:cNvGraphicFramePr>
                      <a:graphic>
                        <a:graphicData uri="http://schemas.microsoft.com/office/word/2010/wordprocessingGroup">
                          <wpg:wgp>
                            <wpg:cNvPr id="620" name="Group 620"/>
                            <wpg:cNvGrpSpPr/>
                            <wpg:grpSpPr>
                              <a:xfrm>
                                <a:off x="0" y="0"/>
                                <a:ext cx="969010" cy="34290"/>
                                <a:chExt cx="969010" cy="34290"/>
                              </a:xfrm>
                            </wpg:grpSpPr>
                            <wps:wsp>
                              <wps:cNvPr id="621" name="Graphic 621"/>
                              <wps:cNvSpPr/>
                              <wps:spPr>
                                <a:xfrm>
                                  <a:off x="-12" y="-12"/>
                                  <a:ext cx="969010" cy="34290"/>
                                </a:xfrm>
                                <a:custGeom>
                                  <a:avLst/>
                                  <a:gdLst/>
                                  <a:ahLst/>
                                  <a:cxnLst/>
                                  <a:rect l="l" t="t" r="r" b="b"/>
                                  <a:pathLst>
                                    <a:path w="969010" h="34290">
                                      <a:moveTo>
                                        <a:pt x="951547" y="0"/>
                                      </a:moveTo>
                                      <a:lnTo>
                                        <a:pt x="77152" y="0"/>
                                      </a:lnTo>
                                      <a:lnTo>
                                        <a:pt x="77152" y="8572"/>
                                      </a:lnTo>
                                      <a:lnTo>
                                        <a:pt x="951547" y="8572"/>
                                      </a:lnTo>
                                      <a:lnTo>
                                        <a:pt x="951547" y="0"/>
                                      </a:lnTo>
                                      <a:close/>
                                    </a:path>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96214pt;margin-top:21.529718pt;width:76.3pt;height:2.7pt;mso-position-horizontal-relative:column;mso-position-vertical-relative:paragraph;z-index:-25562112" id="docshapegroup618" coordorigin="62,431" coordsize="1526,54">
                      <v:shape style="position:absolute;left:61;top:430;width:1526;height:54" id="docshape619" coordorigin="62,431" coordsize="1526,54" path="m1560,431l183,431,183,444,1560,444,1560,431xm1587,471l1560,471,183,471,62,471,62,485,183,485,1560,485,1587,485,1587,471xe" filled="true" fillcolor="#000000" stroked="false">
                        <v:path arrowok="t"/>
                        <v:fill type="solid"/>
                      </v:shape>
                      <w10:wrap type="none"/>
                    </v:group>
                  </w:pict>
                </mc:Fallback>
              </mc:AlternateContent>
            </w:r>
            <w:r>
              <w:rPr>
                <w:spacing w:val="-10"/>
                <w:sz w:val="18"/>
              </w:rPr>
              <w:t>$</w:t>
            </w:r>
          </w:p>
        </w:tc>
        <w:tc>
          <w:tcPr>
            <w:tcW w:w="1155" w:type="dxa"/>
            <w:tcBorders>
              <w:top w:val="single" w:sz="6" w:space="0" w:color="000000"/>
            </w:tcBorders>
            <w:shd w:val="clear" w:color="auto" w:fill="CCEDFF"/>
          </w:tcPr>
          <w:p>
            <w:pPr>
              <w:pStyle w:val="TableParagraph"/>
              <w:spacing w:before="195"/>
              <w:ind w:left="310"/>
              <w:rPr>
                <w:sz w:val="18"/>
              </w:rPr>
            </w:pPr>
            <w:r>
              <w:rPr>
                <w:spacing w:val="-2"/>
                <w:sz w:val="18"/>
              </w:rPr>
              <w:t>1,529,141</w:t>
            </w:r>
          </w:p>
        </w:tc>
        <w:tc>
          <w:tcPr>
            <w:tcW w:w="511" w:type="dxa"/>
            <w:tcBorders>
              <w:top w:val="single" w:sz="6" w:space="0" w:color="000000"/>
              <w:bottom w:val="double" w:sz="6" w:space="0" w:color="000000"/>
            </w:tcBorders>
            <w:shd w:val="clear" w:color="auto" w:fill="CCEDFF"/>
          </w:tcPr>
          <w:p>
            <w:pPr>
              <w:pStyle w:val="TableParagraph"/>
              <w:spacing w:before="195"/>
              <w:ind w:left="82"/>
              <w:rPr>
                <w:sz w:val="18"/>
              </w:rPr>
            </w:pPr>
            <w:r>
              <w:rPr>
                <w:spacing w:val="-10"/>
                <w:sz w:val="18"/>
              </w:rPr>
              <w:t>$</w:t>
            </w:r>
          </w:p>
        </w:tc>
        <w:tc>
          <w:tcPr>
            <w:tcW w:w="1072" w:type="dxa"/>
            <w:tcBorders>
              <w:top w:val="single" w:sz="6" w:space="0" w:color="000000"/>
              <w:bottom w:val="double" w:sz="6" w:space="0" w:color="000000"/>
            </w:tcBorders>
            <w:shd w:val="clear" w:color="auto" w:fill="CCEDFF"/>
          </w:tcPr>
          <w:p>
            <w:pPr>
              <w:pStyle w:val="TableParagraph"/>
              <w:spacing w:before="195"/>
              <w:ind w:left="342"/>
              <w:rPr>
                <w:sz w:val="18"/>
              </w:rPr>
            </w:pPr>
            <w:r>
              <w:rPr>
                <w:spacing w:val="-2"/>
                <w:sz w:val="18"/>
              </w:rPr>
              <w:t>(883,579)</w:t>
            </w:r>
          </w:p>
        </w:tc>
      </w:tr>
    </w:tbl>
    <w:p>
      <w:pPr>
        <w:pStyle w:val="BodyText"/>
        <w:spacing w:before="102"/>
        <w:rPr>
          <w:b/>
        </w:rPr>
      </w:pPr>
    </w:p>
    <w:p>
      <w:pPr>
        <w:spacing w:before="0"/>
        <w:ind w:left="394" w:right="0" w:firstLine="0"/>
        <w:jc w:val="left"/>
        <w:rPr>
          <w:i/>
          <w:sz w:val="18"/>
        </w:rPr>
      </w:pPr>
      <w:r>
        <w:rPr>
          <w:i/>
          <w:sz w:val="18"/>
        </w:rPr>
        <w:t>Noncontrolling</w:t>
      </w:r>
      <w:r>
        <w:rPr>
          <w:i/>
          <w:spacing w:val="-6"/>
          <w:sz w:val="18"/>
        </w:rPr>
        <w:t> </w:t>
      </w:r>
      <w:r>
        <w:rPr>
          <w:i/>
          <w:sz w:val="18"/>
        </w:rPr>
        <w:t>interest</w:t>
      </w:r>
      <w:r>
        <w:rPr>
          <w:i/>
          <w:spacing w:val="-6"/>
          <w:sz w:val="18"/>
        </w:rPr>
        <w:t> </w:t>
      </w:r>
      <w:r>
        <w:rPr>
          <w:i/>
          <w:sz w:val="18"/>
        </w:rPr>
        <w:t>ownership</w:t>
      </w:r>
      <w:r>
        <w:rPr>
          <w:i/>
          <w:spacing w:val="-5"/>
          <w:sz w:val="18"/>
        </w:rPr>
        <w:t> </w:t>
      </w:r>
      <w:r>
        <w:rPr>
          <w:i/>
          <w:spacing w:val="-2"/>
          <w:sz w:val="18"/>
        </w:rPr>
        <w:t>transactions</w:t>
      </w:r>
    </w:p>
    <w:p>
      <w:pPr>
        <w:pStyle w:val="BodyText"/>
        <w:spacing w:before="6"/>
        <w:rPr>
          <w:i/>
        </w:rPr>
      </w:pPr>
    </w:p>
    <w:p>
      <w:pPr>
        <w:pStyle w:val="BodyText"/>
        <w:spacing w:line="237" w:lineRule="auto"/>
        <w:ind w:left="144" w:right="117" w:firstLine="499"/>
        <w:jc w:val="both"/>
      </w:pPr>
      <w:r>
        <w:rPr>
          <w:b/>
          <w:color w:val="202529"/>
        </w:rPr>
        <w:t>MGP</w:t>
      </w:r>
      <w:r>
        <w:rPr>
          <w:b/>
          <w:color w:val="202529"/>
          <w:spacing w:val="-6"/>
        </w:rPr>
        <w:t> </w:t>
      </w:r>
      <w:r>
        <w:rPr>
          <w:b/>
          <w:color w:val="202529"/>
        </w:rPr>
        <w:t>Class</w:t>
      </w:r>
      <w:r>
        <w:rPr>
          <w:b/>
          <w:color w:val="202529"/>
          <w:spacing w:val="-6"/>
        </w:rPr>
        <w:t> </w:t>
      </w:r>
      <w:r>
        <w:rPr>
          <w:b/>
          <w:color w:val="202529"/>
        </w:rPr>
        <w:t>A</w:t>
      </w:r>
      <w:r>
        <w:rPr>
          <w:b/>
          <w:color w:val="202529"/>
          <w:spacing w:val="-6"/>
        </w:rPr>
        <w:t> </w:t>
      </w:r>
      <w:r>
        <w:rPr>
          <w:b/>
          <w:color w:val="202529"/>
        </w:rPr>
        <w:t>share issuance – Forward settlements. </w:t>
      </w:r>
      <w:r>
        <w:rPr>
          <w:color w:val="202529"/>
        </w:rPr>
        <w:t>On February 11, 2020 through February 13, 2020, MGP</w:t>
      </w:r>
      <w:r>
        <w:rPr>
          <w:color w:val="202529"/>
          <w:spacing w:val="-2"/>
        </w:rPr>
        <w:t> </w:t>
      </w:r>
      <w:r>
        <w:rPr>
          <w:color w:val="202529"/>
        </w:rPr>
        <w:t>settled approximately 13 million Class A</w:t>
      </w:r>
      <w:r>
        <w:rPr>
          <w:color w:val="202529"/>
          <w:spacing w:val="-8"/>
        </w:rPr>
        <w:t> </w:t>
      </w:r>
      <w:r>
        <w:rPr>
          <w:color w:val="202529"/>
        </w:rPr>
        <w:t>shares issued under forward sales agreements from MGP’s November 2019 offering and under MGP’s</w:t>
      </w:r>
      <w:r>
        <w:rPr>
          <w:color w:val="202529"/>
          <w:spacing w:val="-8"/>
        </w:rPr>
        <w:t> </w:t>
      </w:r>
      <w:r>
        <w:rPr>
          <w:color w:val="202529"/>
        </w:rPr>
        <w:t>At-the-Market (“ATM”) program. In connection with the settlements, MGP OP issued an equal amount of MGP OP units to MGP. The Company adjusted the carrying value of the noncontrolling interests for </w:t>
      </w:r>
      <w:r>
        <w:rPr>
          <w:color w:val="202529"/>
        </w:rPr>
        <w:t>the change in noncontrolling interests’ ownership percentage of the MGP OP’s net assets, with offsetting adjustments to capital in excess of par value and accumulated other comprehensive income. Subsequent to the settlements, the Company indirectly owned 61.2% of the partnership units in the MGP</w:t>
      </w:r>
      <w:r>
        <w:rPr>
          <w:color w:val="202529"/>
          <w:spacing w:val="-1"/>
        </w:rPr>
        <w:t> </w:t>
      </w:r>
      <w:r>
        <w:rPr>
          <w:color w:val="202529"/>
        </w:rPr>
        <w:t>OP.</w:t>
      </w:r>
    </w:p>
    <w:p>
      <w:pPr>
        <w:pStyle w:val="BodyText"/>
        <w:spacing w:before="22"/>
      </w:pPr>
    </w:p>
    <w:p>
      <w:pPr>
        <w:pStyle w:val="BodyText"/>
        <w:ind w:left="144" w:right="117" w:firstLine="499"/>
        <w:jc w:val="both"/>
      </w:pPr>
      <w:r>
        <w:rPr>
          <w:b/>
          <w:color w:val="202529"/>
        </w:rPr>
        <w:t>MGP</w:t>
      </w:r>
      <w:r>
        <w:rPr>
          <w:b/>
          <w:color w:val="202529"/>
          <w:spacing w:val="-7"/>
        </w:rPr>
        <w:t> </w:t>
      </w:r>
      <w:r>
        <w:rPr>
          <w:b/>
          <w:color w:val="202529"/>
        </w:rPr>
        <w:t>Class</w:t>
      </w:r>
      <w:r>
        <w:rPr>
          <w:b/>
          <w:color w:val="202529"/>
          <w:spacing w:val="-7"/>
        </w:rPr>
        <w:t> </w:t>
      </w:r>
      <w:r>
        <w:rPr>
          <w:b/>
          <w:color w:val="202529"/>
        </w:rPr>
        <w:t>A</w:t>
      </w:r>
      <w:r>
        <w:rPr>
          <w:b/>
          <w:color w:val="202529"/>
          <w:spacing w:val="-7"/>
        </w:rPr>
        <w:t> </w:t>
      </w:r>
      <w:r>
        <w:rPr>
          <w:b/>
          <w:color w:val="202529"/>
        </w:rPr>
        <w:t>share issuance – BREIT. </w:t>
      </w:r>
      <w:r>
        <w:rPr>
          <w:color w:val="202529"/>
        </w:rPr>
        <w:t>On February 14, 2020, in connection with MGP’s registered sale of approximately 5 million Class</w:t>
      </w:r>
      <w:r>
        <w:rPr>
          <w:color w:val="202529"/>
          <w:spacing w:val="-7"/>
        </w:rPr>
        <w:t> </w:t>
      </w:r>
      <w:r>
        <w:rPr>
          <w:color w:val="202529"/>
        </w:rPr>
        <w:t>A</w:t>
      </w:r>
      <w:r>
        <w:rPr>
          <w:color w:val="202529"/>
          <w:spacing w:val="-7"/>
        </w:rPr>
        <w:t> </w:t>
      </w:r>
      <w:r>
        <w:rPr>
          <w:color w:val="202529"/>
        </w:rPr>
        <w:t>shares to BREIT, MGP</w:t>
      </w:r>
      <w:r>
        <w:rPr>
          <w:color w:val="202529"/>
          <w:spacing w:val="-7"/>
        </w:rPr>
        <w:t> </w:t>
      </w:r>
      <w:r>
        <w:rPr>
          <w:color w:val="202529"/>
        </w:rPr>
        <w:t>OP</w:t>
      </w:r>
      <w:r>
        <w:rPr>
          <w:color w:val="202529"/>
          <w:spacing w:val="-7"/>
        </w:rPr>
        <w:t> </w:t>
      </w:r>
      <w:r>
        <w:rPr>
          <w:color w:val="202529"/>
        </w:rPr>
        <w:t>issued an equal amount of MGP</w:t>
      </w:r>
      <w:r>
        <w:rPr>
          <w:color w:val="202529"/>
          <w:spacing w:val="-7"/>
        </w:rPr>
        <w:t> </w:t>
      </w:r>
      <w:r>
        <w:rPr>
          <w:color w:val="202529"/>
        </w:rPr>
        <w:t>OP</w:t>
      </w:r>
      <w:r>
        <w:rPr>
          <w:color w:val="202529"/>
          <w:spacing w:val="-7"/>
        </w:rPr>
        <w:t> </w:t>
      </w:r>
      <w:r>
        <w:rPr>
          <w:color w:val="202529"/>
        </w:rPr>
        <w:t>units to MGP.</w:t>
      </w:r>
      <w:r>
        <w:rPr>
          <w:color w:val="202529"/>
          <w:spacing w:val="-4"/>
        </w:rPr>
        <w:t> </w:t>
      </w:r>
      <w:r>
        <w:rPr>
          <w:color w:val="202529"/>
        </w:rPr>
        <w:t>The Company adjusted the carrying value of the noncontrolling interests for the change </w:t>
      </w:r>
      <w:r>
        <w:rPr>
          <w:color w:val="202529"/>
        </w:rPr>
        <w:t>in noncontrolling interests’ ownership percentage of MGP OP’s net assets, with offsetting adjustments to capital in excess of par value and accumulated other comprehensive income. Subsequent to the issuance, the Company indirectly owned 60.3% of the partnership units in MGP OP.</w:t>
      </w:r>
    </w:p>
    <w:p>
      <w:pPr>
        <w:pStyle w:val="BodyText"/>
        <w:spacing w:before="6"/>
      </w:pPr>
    </w:p>
    <w:p>
      <w:pPr>
        <w:pStyle w:val="BodyText"/>
        <w:spacing w:line="237" w:lineRule="auto" w:before="1"/>
        <w:ind w:left="144" w:right="117" w:firstLine="499"/>
        <w:jc w:val="both"/>
      </w:pPr>
      <w:r>
        <w:rPr>
          <w:b/>
        </w:rPr>
        <w:t>MGP</w:t>
      </w:r>
      <w:r>
        <w:rPr>
          <w:b/>
          <w:spacing w:val="-9"/>
        </w:rPr>
        <w:t> </w:t>
      </w:r>
      <w:r>
        <w:rPr>
          <w:b/>
        </w:rPr>
        <w:t>Class</w:t>
      </w:r>
      <w:r>
        <w:rPr>
          <w:b/>
          <w:spacing w:val="-9"/>
        </w:rPr>
        <w:t> </w:t>
      </w:r>
      <w:r>
        <w:rPr>
          <w:b/>
        </w:rPr>
        <w:t>A</w:t>
      </w:r>
      <w:r>
        <w:rPr>
          <w:b/>
          <w:spacing w:val="-9"/>
        </w:rPr>
        <w:t> </w:t>
      </w:r>
      <w:r>
        <w:rPr>
          <w:b/>
        </w:rPr>
        <w:t>share issuance – MGM Grand Las</w:t>
      </w:r>
      <w:r>
        <w:rPr>
          <w:b/>
          <w:spacing w:val="-3"/>
        </w:rPr>
        <w:t> </w:t>
      </w:r>
      <w:r>
        <w:rPr>
          <w:b/>
        </w:rPr>
        <w:t>Vegas and Mandalay Bay transaction. </w:t>
      </w:r>
      <w:r>
        <w:rPr/>
        <w:t>In February 2020, in connection with the MGM Grand Las Vegas and Mandalay Bay transaction, MGP</w:t>
      </w:r>
      <w:r>
        <w:rPr>
          <w:spacing w:val="-3"/>
        </w:rPr>
        <w:t> </w:t>
      </w:r>
      <w:r>
        <w:rPr/>
        <w:t>OP</w:t>
      </w:r>
      <w:r>
        <w:rPr>
          <w:spacing w:val="-3"/>
        </w:rPr>
        <w:t> </w:t>
      </w:r>
      <w:r>
        <w:rPr/>
        <w:t>issued approximately </w:t>
      </w:r>
      <w:r>
        <w:rPr>
          <w:color w:val="202529"/>
        </w:rPr>
        <w:t>3 million </w:t>
      </w:r>
      <w:r>
        <w:rPr/>
        <w:t>MGP</w:t>
      </w:r>
      <w:r>
        <w:rPr>
          <w:spacing w:val="-3"/>
        </w:rPr>
        <w:t> </w:t>
      </w:r>
      <w:r>
        <w:rPr/>
        <w:t>OP</w:t>
      </w:r>
      <w:r>
        <w:rPr>
          <w:spacing w:val="-3"/>
        </w:rPr>
        <w:t> </w:t>
      </w:r>
      <w:r>
        <w:rPr/>
        <w:t>units to the Company as discussed in Note 1. The Company adjusted the carrying value of the noncontrolling interests for the change in noncontrolling interests’ ownership percentage of MGP OP’s net assets, with </w:t>
      </w:r>
      <w:r>
        <w:rPr/>
        <w:t>offsetting adjustments to capital in excess of par value and accumulated other comprehensive income. Subsequent to the issuance, the Company indirectly owned </w:t>
      </w:r>
      <w:r>
        <w:rPr>
          <w:color w:val="202529"/>
        </w:rPr>
        <w:t>60.6% </w:t>
      </w:r>
      <w:r>
        <w:rPr/>
        <w:t>of the partnership units in MGP OP.</w:t>
      </w:r>
    </w:p>
    <w:p>
      <w:pPr>
        <w:pStyle w:val="BodyText"/>
        <w:spacing w:before="22"/>
      </w:pPr>
    </w:p>
    <w:p>
      <w:pPr>
        <w:pStyle w:val="BodyText"/>
        <w:ind w:left="144" w:right="117" w:firstLine="499"/>
        <w:jc w:val="both"/>
      </w:pPr>
      <w:r>
        <w:rPr>
          <w:b/>
        </w:rPr>
        <w:t>Redemption of MGP OP units. </w:t>
      </w:r>
      <w:r>
        <w:rPr/>
        <w:t>On January 14, 2020, the Company, MGP OP, and MGP entered into an agreement for MGP OP to waive its right following</w:t>
      </w:r>
      <w:r>
        <w:rPr>
          <w:spacing w:val="-1"/>
        </w:rPr>
        <w:t> </w:t>
      </w:r>
      <w:r>
        <w:rPr/>
        <w:t>the</w:t>
      </w:r>
      <w:r>
        <w:rPr>
          <w:spacing w:val="-1"/>
        </w:rPr>
        <w:t> </w:t>
      </w:r>
      <w:r>
        <w:rPr/>
        <w:t>closing</w:t>
      </w:r>
      <w:r>
        <w:rPr>
          <w:spacing w:val="-1"/>
        </w:rPr>
        <w:t> </w:t>
      </w:r>
      <w:r>
        <w:rPr/>
        <w:t>of</w:t>
      </w:r>
      <w:r>
        <w:rPr>
          <w:spacing w:val="-1"/>
        </w:rPr>
        <w:t> </w:t>
      </w:r>
      <w:r>
        <w:rPr/>
        <w:t>the</w:t>
      </w:r>
      <w:r>
        <w:rPr>
          <w:spacing w:val="-1"/>
        </w:rPr>
        <w:t> </w:t>
      </w:r>
      <w:r>
        <w:rPr/>
        <w:t>MGM</w:t>
      </w:r>
      <w:r>
        <w:rPr>
          <w:spacing w:val="-1"/>
        </w:rPr>
        <w:t> </w:t>
      </w:r>
      <w:r>
        <w:rPr/>
        <w:t>Grand</w:t>
      </w:r>
      <w:r>
        <w:rPr>
          <w:spacing w:val="-1"/>
        </w:rPr>
        <w:t> </w:t>
      </w:r>
      <w:r>
        <w:rPr/>
        <w:t>Las</w:t>
      </w:r>
      <w:r>
        <w:rPr>
          <w:spacing w:val="-4"/>
        </w:rPr>
        <w:t> </w:t>
      </w:r>
      <w:r>
        <w:rPr/>
        <w:t>Vegas</w:t>
      </w:r>
      <w:r>
        <w:rPr>
          <w:spacing w:val="-1"/>
        </w:rPr>
        <w:t> </w:t>
      </w:r>
      <w:r>
        <w:rPr/>
        <w:t>and</w:t>
      </w:r>
      <w:r>
        <w:rPr>
          <w:spacing w:val="-1"/>
        </w:rPr>
        <w:t> </w:t>
      </w:r>
      <w:r>
        <w:rPr/>
        <w:t>Mandalay</w:t>
      </w:r>
      <w:r>
        <w:rPr>
          <w:spacing w:val="-1"/>
        </w:rPr>
        <w:t> </w:t>
      </w:r>
      <w:r>
        <w:rPr/>
        <w:t>Bay</w:t>
      </w:r>
      <w:r>
        <w:rPr>
          <w:spacing w:val="-1"/>
        </w:rPr>
        <w:t> </w:t>
      </w:r>
      <w:r>
        <w:rPr/>
        <w:t>transaction</w:t>
      </w:r>
      <w:r>
        <w:rPr>
          <w:spacing w:val="-1"/>
        </w:rPr>
        <w:t> </w:t>
      </w:r>
      <w:r>
        <w:rPr/>
        <w:t>to</w:t>
      </w:r>
      <w:r>
        <w:rPr>
          <w:spacing w:val="-1"/>
        </w:rPr>
        <w:t> </w:t>
      </w:r>
      <w:r>
        <w:rPr/>
        <w:t>issue</w:t>
      </w:r>
      <w:r>
        <w:rPr>
          <w:spacing w:val="-1"/>
        </w:rPr>
        <w:t> </w:t>
      </w:r>
      <w:r>
        <w:rPr/>
        <w:t>MGP</w:t>
      </w:r>
      <w:r>
        <w:rPr>
          <w:spacing w:val="-7"/>
        </w:rPr>
        <w:t> </w:t>
      </w:r>
      <w:r>
        <w:rPr/>
        <w:t>Class</w:t>
      </w:r>
      <w:r>
        <w:rPr>
          <w:spacing w:val="-10"/>
        </w:rPr>
        <w:t> </w:t>
      </w:r>
      <w:r>
        <w:rPr/>
        <w:t>A</w:t>
      </w:r>
      <w:r>
        <w:rPr>
          <w:spacing w:val="-10"/>
        </w:rPr>
        <w:t> </w:t>
      </w:r>
      <w:r>
        <w:rPr/>
        <w:t>shares,</w:t>
      </w:r>
      <w:r>
        <w:rPr>
          <w:spacing w:val="-1"/>
        </w:rPr>
        <w:t> </w:t>
      </w:r>
      <w:r>
        <w:rPr/>
        <w:t>in</w:t>
      </w:r>
      <w:r>
        <w:rPr>
          <w:spacing w:val="-1"/>
        </w:rPr>
        <w:t> </w:t>
      </w:r>
      <w:r>
        <w:rPr/>
        <w:t>lieu</w:t>
      </w:r>
      <w:r>
        <w:rPr>
          <w:spacing w:val="-1"/>
        </w:rPr>
        <w:t> </w:t>
      </w:r>
      <w:r>
        <w:rPr/>
        <w:t>of</w:t>
      </w:r>
      <w:r>
        <w:rPr>
          <w:spacing w:val="-1"/>
        </w:rPr>
        <w:t> </w:t>
      </w:r>
      <w:r>
        <w:rPr/>
        <w:t>cash,</w:t>
      </w:r>
      <w:r>
        <w:rPr>
          <w:spacing w:val="-1"/>
        </w:rPr>
        <w:t> </w:t>
      </w:r>
      <w:r>
        <w:rPr/>
        <w:t>to</w:t>
      </w:r>
      <w:r>
        <w:rPr>
          <w:spacing w:val="-1"/>
        </w:rPr>
        <w:t> </w:t>
      </w:r>
      <w:r>
        <w:rPr/>
        <w:t>the</w:t>
      </w:r>
      <w:r>
        <w:rPr>
          <w:spacing w:val="-1"/>
        </w:rPr>
        <w:t> </w:t>
      </w:r>
      <w:r>
        <w:rPr/>
        <w:t>Company</w:t>
      </w:r>
      <w:r>
        <w:rPr>
          <w:spacing w:val="-1"/>
        </w:rPr>
        <w:t> </w:t>
      </w:r>
      <w:r>
        <w:rPr/>
        <w:t>in</w:t>
      </w:r>
      <w:r>
        <w:rPr>
          <w:spacing w:val="-1"/>
        </w:rPr>
        <w:t> </w:t>
      </w:r>
      <w:r>
        <w:rPr/>
        <w:t>connection with</w:t>
      </w:r>
      <w:r>
        <w:rPr>
          <w:spacing w:val="-2"/>
        </w:rPr>
        <w:t> </w:t>
      </w:r>
      <w:r>
        <w:rPr/>
        <w:t>the</w:t>
      </w:r>
      <w:r>
        <w:rPr>
          <w:spacing w:val="-2"/>
        </w:rPr>
        <w:t> </w:t>
      </w:r>
      <w:r>
        <w:rPr/>
        <w:t>Company</w:t>
      </w:r>
      <w:r>
        <w:rPr>
          <w:spacing w:val="-2"/>
        </w:rPr>
        <w:t> </w:t>
      </w:r>
      <w:r>
        <w:rPr/>
        <w:t>exercising</w:t>
      </w:r>
      <w:r>
        <w:rPr>
          <w:spacing w:val="-2"/>
        </w:rPr>
        <w:t> </w:t>
      </w:r>
      <w:r>
        <w:rPr/>
        <w:t>its</w:t>
      </w:r>
      <w:r>
        <w:rPr>
          <w:spacing w:val="-2"/>
        </w:rPr>
        <w:t> </w:t>
      </w:r>
      <w:r>
        <w:rPr/>
        <w:t>right</w:t>
      </w:r>
      <w:r>
        <w:rPr>
          <w:spacing w:val="-2"/>
        </w:rPr>
        <w:t> </w:t>
      </w:r>
      <w:r>
        <w:rPr/>
        <w:t>to</w:t>
      </w:r>
      <w:r>
        <w:rPr>
          <w:spacing w:val="-2"/>
        </w:rPr>
        <w:t> </w:t>
      </w:r>
      <w:r>
        <w:rPr/>
        <w:t>require</w:t>
      </w:r>
      <w:r>
        <w:rPr>
          <w:spacing w:val="-2"/>
        </w:rPr>
        <w:t> </w:t>
      </w:r>
      <w:r>
        <w:rPr/>
        <w:t>MGP</w:t>
      </w:r>
      <w:r>
        <w:rPr>
          <w:spacing w:val="-8"/>
        </w:rPr>
        <w:t> </w:t>
      </w:r>
      <w:r>
        <w:rPr/>
        <w:t>OP</w:t>
      </w:r>
      <w:r>
        <w:rPr>
          <w:spacing w:val="-8"/>
        </w:rPr>
        <w:t> </w:t>
      </w:r>
      <w:r>
        <w:rPr/>
        <w:t>to</w:t>
      </w:r>
      <w:r>
        <w:rPr>
          <w:spacing w:val="-2"/>
        </w:rPr>
        <w:t> </w:t>
      </w:r>
      <w:r>
        <w:rPr/>
        <w:t>redeem</w:t>
      </w:r>
      <w:r>
        <w:rPr>
          <w:spacing w:val="-2"/>
        </w:rPr>
        <w:t> </w:t>
      </w:r>
      <w:r>
        <w:rPr/>
        <w:t>MGP</w:t>
      </w:r>
      <w:r>
        <w:rPr>
          <w:spacing w:val="-8"/>
        </w:rPr>
        <w:t> </w:t>
      </w:r>
      <w:r>
        <w:rPr/>
        <w:t>OP</w:t>
      </w:r>
      <w:r>
        <w:rPr>
          <w:spacing w:val="-8"/>
        </w:rPr>
        <w:t> </w:t>
      </w:r>
      <w:r>
        <w:rPr/>
        <w:t>units</w:t>
      </w:r>
      <w:r>
        <w:rPr>
          <w:spacing w:val="-2"/>
        </w:rPr>
        <w:t> </w:t>
      </w:r>
      <w:r>
        <w:rPr/>
        <w:t>that</w:t>
      </w:r>
      <w:r>
        <w:rPr>
          <w:spacing w:val="-2"/>
        </w:rPr>
        <w:t> </w:t>
      </w:r>
      <w:r>
        <w:rPr/>
        <w:t>the</w:t>
      </w:r>
      <w:r>
        <w:rPr>
          <w:spacing w:val="-2"/>
        </w:rPr>
        <w:t> </w:t>
      </w:r>
      <w:r>
        <w:rPr/>
        <w:t>Company</w:t>
      </w:r>
      <w:r>
        <w:rPr>
          <w:spacing w:val="-2"/>
        </w:rPr>
        <w:t> </w:t>
      </w:r>
      <w:r>
        <w:rPr/>
        <w:t>holds,</w:t>
      </w:r>
      <w:r>
        <w:rPr>
          <w:spacing w:val="-2"/>
        </w:rPr>
        <w:t> </w:t>
      </w:r>
      <w:r>
        <w:rPr/>
        <w:t>at</w:t>
      </w:r>
      <w:r>
        <w:rPr>
          <w:spacing w:val="-2"/>
        </w:rPr>
        <w:t> </w:t>
      </w:r>
      <w:r>
        <w:rPr/>
        <w:t>a</w:t>
      </w:r>
      <w:r>
        <w:rPr>
          <w:spacing w:val="-2"/>
        </w:rPr>
        <w:t> </w:t>
      </w:r>
      <w:r>
        <w:rPr/>
        <w:t>price</w:t>
      </w:r>
      <w:r>
        <w:rPr>
          <w:spacing w:val="-2"/>
        </w:rPr>
        <w:t> </w:t>
      </w:r>
      <w:r>
        <w:rPr/>
        <w:t>per</w:t>
      </w:r>
      <w:r>
        <w:rPr>
          <w:spacing w:val="-2"/>
        </w:rPr>
        <w:t> </w:t>
      </w:r>
      <w:r>
        <w:rPr/>
        <w:t>unit</w:t>
      </w:r>
      <w:r>
        <w:rPr>
          <w:spacing w:val="-2"/>
        </w:rPr>
        <w:t> </w:t>
      </w:r>
      <w:r>
        <w:rPr/>
        <w:t>equal</w:t>
      </w:r>
      <w:r>
        <w:rPr>
          <w:spacing w:val="-2"/>
        </w:rPr>
        <w:t> </w:t>
      </w:r>
      <w:r>
        <w:rPr/>
        <w:t>to</w:t>
      </w:r>
      <w:r>
        <w:rPr>
          <w:spacing w:val="-2"/>
        </w:rPr>
        <w:t> </w:t>
      </w:r>
      <w:r>
        <w:rPr/>
        <w:t>a</w:t>
      </w:r>
      <w:r>
        <w:rPr>
          <w:spacing w:val="-2"/>
        </w:rPr>
        <w:t> </w:t>
      </w:r>
      <w:r>
        <w:rPr/>
        <w:t>3%</w:t>
      </w:r>
      <w:r>
        <w:rPr>
          <w:spacing w:val="-2"/>
        </w:rPr>
        <w:t> </w:t>
      </w:r>
      <w:r>
        <w:rPr/>
        <w:t>discount</w:t>
      </w:r>
      <w:r>
        <w:rPr>
          <w:spacing w:val="-2"/>
        </w:rPr>
        <w:t> </w:t>
      </w:r>
      <w:r>
        <w:rPr/>
        <w:t>to</w:t>
      </w:r>
      <w:r>
        <w:rPr>
          <w:spacing w:val="-2"/>
        </w:rPr>
        <w:t> </w:t>
      </w:r>
      <w:r>
        <w:rPr/>
        <w:t>the</w:t>
      </w:r>
      <w:r>
        <w:rPr>
          <w:spacing w:val="-2"/>
        </w:rPr>
        <w:t> </w:t>
      </w:r>
      <w:r>
        <w:rPr/>
        <w:t>ten day average closing price prior to the date of the notice of redemption.</w:t>
      </w:r>
      <w:r>
        <w:rPr>
          <w:spacing w:val="-1"/>
        </w:rPr>
        <w:t> </w:t>
      </w:r>
      <w:r>
        <w:rPr/>
        <w:t>The waiver was effective upon closing of the transaction on February 14, 2020 and was scheduled to terminate on the earlier of February 14, 2022 or upon the Company’s receipt of cash proceeds of $1.4 billion as consideration for the redemption of</w:t>
      </w:r>
      <w:r>
        <w:rPr>
          <w:spacing w:val="-1"/>
        </w:rPr>
        <w:t> </w:t>
      </w:r>
      <w:r>
        <w:rPr/>
        <w:t>the</w:t>
      </w:r>
      <w:r>
        <w:rPr>
          <w:spacing w:val="-1"/>
        </w:rPr>
        <w:t> </w:t>
      </w:r>
      <w:r>
        <w:rPr/>
        <w:t>Company’s</w:t>
      </w:r>
      <w:r>
        <w:rPr>
          <w:spacing w:val="-1"/>
        </w:rPr>
        <w:t> </w:t>
      </w:r>
      <w:r>
        <w:rPr/>
        <w:t>MGP</w:t>
      </w:r>
      <w:r>
        <w:rPr>
          <w:spacing w:val="-8"/>
        </w:rPr>
        <w:t> </w:t>
      </w:r>
      <w:r>
        <w:rPr/>
        <w:t>OP</w:t>
      </w:r>
      <w:r>
        <w:rPr>
          <w:spacing w:val="-8"/>
        </w:rPr>
        <w:t> </w:t>
      </w:r>
      <w:r>
        <w:rPr/>
        <w:t>units.</w:t>
      </w:r>
      <w:r>
        <w:rPr>
          <w:spacing w:val="-1"/>
        </w:rPr>
        <w:t> </w:t>
      </w:r>
      <w:r>
        <w:rPr/>
        <w:t>On</w:t>
      </w:r>
      <w:r>
        <w:rPr>
          <w:spacing w:val="-1"/>
        </w:rPr>
        <w:t> </w:t>
      </w:r>
      <w:r>
        <w:rPr/>
        <w:t>May</w:t>
      </w:r>
      <w:r>
        <w:rPr>
          <w:spacing w:val="-1"/>
        </w:rPr>
        <w:t> </w:t>
      </w:r>
      <w:r>
        <w:rPr/>
        <w:t>18,</w:t>
      </w:r>
      <w:r>
        <w:rPr>
          <w:spacing w:val="-1"/>
        </w:rPr>
        <w:t> </w:t>
      </w:r>
      <w:r>
        <w:rPr/>
        <w:t>2020,</w:t>
      </w:r>
      <w:r>
        <w:rPr>
          <w:spacing w:val="-1"/>
        </w:rPr>
        <w:t> </w:t>
      </w:r>
      <w:r>
        <w:rPr/>
        <w:t>MGP</w:t>
      </w:r>
      <w:r>
        <w:rPr>
          <w:spacing w:val="-8"/>
        </w:rPr>
        <w:t> </w:t>
      </w:r>
      <w:r>
        <w:rPr/>
        <w:t>OP</w:t>
      </w:r>
      <w:r>
        <w:rPr>
          <w:spacing w:val="-8"/>
        </w:rPr>
        <w:t> </w:t>
      </w:r>
      <w:r>
        <w:rPr/>
        <w:t>redeemed</w:t>
      </w:r>
      <w:r>
        <w:rPr>
          <w:spacing w:val="-1"/>
        </w:rPr>
        <w:t> </w:t>
      </w:r>
      <w:r>
        <w:rPr/>
        <w:t>approximately</w:t>
      </w:r>
      <w:r>
        <w:rPr>
          <w:spacing w:val="-1"/>
        </w:rPr>
        <w:t> </w:t>
      </w:r>
      <w:r>
        <w:rPr>
          <w:color w:val="202529"/>
        </w:rPr>
        <w:t>30</w:t>
      </w:r>
      <w:r>
        <w:rPr>
          <w:color w:val="202529"/>
          <w:spacing w:val="-1"/>
        </w:rPr>
        <w:t> </w:t>
      </w:r>
      <w:r>
        <w:rPr>
          <w:color w:val="202529"/>
        </w:rPr>
        <w:t>million</w:t>
      </w:r>
      <w:r>
        <w:rPr>
          <w:color w:val="202529"/>
          <w:spacing w:val="-1"/>
        </w:rPr>
        <w:t> </w:t>
      </w:r>
      <w:r>
        <w:rPr/>
        <w:t>MGP</w:t>
      </w:r>
      <w:r>
        <w:rPr>
          <w:spacing w:val="-8"/>
        </w:rPr>
        <w:t> </w:t>
      </w:r>
      <w:r>
        <w:rPr/>
        <w:t>OP</w:t>
      </w:r>
      <w:r>
        <w:rPr>
          <w:spacing w:val="-8"/>
        </w:rPr>
        <w:t> </w:t>
      </w:r>
      <w:r>
        <w:rPr/>
        <w:t>units</w:t>
      </w:r>
      <w:r>
        <w:rPr>
          <w:spacing w:val="-1"/>
        </w:rPr>
        <w:t> </w:t>
      </w:r>
      <w:r>
        <w:rPr/>
        <w:t>from</w:t>
      </w:r>
      <w:r>
        <w:rPr>
          <w:spacing w:val="-1"/>
        </w:rPr>
        <w:t> </w:t>
      </w:r>
      <w:r>
        <w:rPr/>
        <w:t>the</w:t>
      </w:r>
      <w:r>
        <w:rPr>
          <w:spacing w:val="-1"/>
        </w:rPr>
        <w:t> </w:t>
      </w:r>
      <w:r>
        <w:rPr/>
        <w:t>Company</w:t>
      </w:r>
      <w:r>
        <w:rPr>
          <w:spacing w:val="-1"/>
        </w:rPr>
        <w:t> </w:t>
      </w:r>
      <w:r>
        <w:rPr/>
        <w:t>for</w:t>
      </w:r>
      <w:r>
        <w:rPr>
          <w:spacing w:val="-1"/>
        </w:rPr>
        <w:t> </w:t>
      </w:r>
      <w:r>
        <w:rPr>
          <w:color w:val="202529"/>
        </w:rPr>
        <w:t>$700</w:t>
      </w:r>
      <w:r>
        <w:rPr>
          <w:color w:val="202529"/>
          <w:spacing w:val="-1"/>
        </w:rPr>
        <w:t> </w:t>
      </w:r>
      <w:r>
        <w:rPr>
          <w:color w:val="202529"/>
        </w:rPr>
        <w:t>million</w:t>
      </w:r>
      <w:r>
        <w:rPr>
          <w:color w:val="202529"/>
          <w:spacing w:val="-1"/>
        </w:rPr>
        <w:t> </w:t>
      </w:r>
      <w:r>
        <w:rPr/>
        <w:t>pursuant to the waiver agreement. The Company adjusted the carrying value of the noncontrolling interests for the change in noncontrolling interests ownership percentage of MGP</w:t>
      </w:r>
      <w:r>
        <w:rPr>
          <w:spacing w:val="-3"/>
        </w:rPr>
        <w:t> </w:t>
      </w:r>
      <w:r>
        <w:rPr/>
        <w:t>OP’s net assets, with offsetting adjustments to capital in excess of par value and accumulated other comprehensive income. Subsequent to the redemption, the Company indirectly owned </w:t>
      </w:r>
      <w:r>
        <w:rPr>
          <w:color w:val="202529"/>
        </w:rPr>
        <w:t>56.7% </w:t>
      </w:r>
      <w:r>
        <w:rPr/>
        <w:t>of the partnership units in MGP</w:t>
      </w:r>
      <w:r>
        <w:rPr>
          <w:spacing w:val="-1"/>
        </w:rPr>
        <w:t> </w:t>
      </w:r>
      <w:r>
        <w:rPr/>
        <w:t>OP. Further, on December 2, 2020, MGP</w:t>
      </w:r>
      <w:r>
        <w:rPr>
          <w:spacing w:val="-1"/>
        </w:rPr>
        <w:t> </w:t>
      </w:r>
      <w:r>
        <w:rPr/>
        <w:t>OP</w:t>
      </w:r>
      <w:r>
        <w:rPr>
          <w:spacing w:val="-1"/>
        </w:rPr>
        <w:t> </w:t>
      </w:r>
      <w:r>
        <w:rPr/>
        <w:t>redeemed approximately 24 million MGP OP units from the Company for </w:t>
      </w:r>
      <w:r>
        <w:rPr>
          <w:color w:val="202529"/>
        </w:rPr>
        <w:t>$700 million </w:t>
      </w:r>
      <w:r>
        <w:rPr/>
        <w:t>pursuant to the waiver agreement. As a result, the waiver terminated in accordance with its</w:t>
      </w:r>
      <w:r>
        <w:rPr>
          <w:spacing w:val="40"/>
        </w:rPr>
        <w:t> </w:t>
      </w:r>
      <w:r>
        <w:rPr/>
        <w:t>terms. The Company adjusted the carrying value of the noncontrolling interests for the change in noncontrolling</w:t>
      </w:r>
    </w:p>
    <w:p>
      <w:pPr>
        <w:pStyle w:val="BodyText"/>
      </w:pPr>
    </w:p>
    <w:p>
      <w:pPr>
        <w:pStyle w:val="BodyText"/>
        <w:spacing w:before="184"/>
      </w:pPr>
    </w:p>
    <w:p>
      <w:pPr>
        <w:pStyle w:val="BodyText"/>
        <w:spacing w:before="1"/>
        <w:ind w:left="24"/>
        <w:jc w:val="center"/>
      </w:pPr>
      <w:r>
        <w:rPr>
          <w:spacing w:val="-5"/>
        </w:rPr>
        <w:t>92</w:t>
      </w:r>
    </w:p>
    <w:p>
      <w:pPr>
        <w:pStyle w:val="BodyText"/>
        <w:spacing w:before="3"/>
        <w:rPr>
          <w:sz w:val="6"/>
        </w:rPr>
      </w:pPr>
      <w:r>
        <w:rPr/>
        <mc:AlternateContent>
          <mc:Choice Requires="wps">
            <w:drawing>
              <wp:anchor distT="0" distB="0" distL="0" distR="0" allowOverlap="1" layoutInCell="1" locked="0" behindDoc="1" simplePos="0" relativeHeight="487712256">
                <wp:simplePos x="0" y="0"/>
                <wp:positionH relativeFrom="page">
                  <wp:posOffset>231457</wp:posOffset>
                </wp:positionH>
                <wp:positionV relativeFrom="paragraph">
                  <wp:posOffset>60988</wp:posOffset>
                </wp:positionV>
                <wp:extent cx="7312659" cy="17145"/>
                <wp:effectExtent l="0" t="0" r="0" b="0"/>
                <wp:wrapTopAndBottom/>
                <wp:docPr id="622" name="Group 622"/>
                <wp:cNvGraphicFramePr>
                  <a:graphicFrameLocks/>
                </wp:cNvGraphicFramePr>
                <a:graphic>
                  <a:graphicData uri="http://schemas.microsoft.com/office/word/2010/wordprocessingGroup">
                    <wpg:wgp>
                      <wpg:cNvPr id="622" name="Group 622"/>
                      <wpg:cNvGrpSpPr/>
                      <wpg:grpSpPr>
                        <a:xfrm>
                          <a:off x="0" y="0"/>
                          <a:ext cx="7312659" cy="17145"/>
                          <a:chExt cx="7312659" cy="17145"/>
                        </a:xfrm>
                      </wpg:grpSpPr>
                      <wps:wsp>
                        <wps:cNvPr id="623" name="Graphic 62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24" name="Graphic 624"/>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25" name="Graphic 62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2258pt;width:575.8pt;height:1.35pt;mso-position-horizontal-relative:page;mso-position-vertical-relative:paragraph;z-index:-15604224;mso-wrap-distance-left:0;mso-wrap-distance-right:0" id="docshapegroup620" coordorigin="364,96" coordsize="11516,27">
                <v:rect style="position:absolute;left:364;top:96;width:11516;height:14" id="docshape621" filled="true" fillcolor="#999999" stroked="false">
                  <v:fill type="solid"/>
                </v:rect>
                <v:shape style="position:absolute;left:364;top:96;width:11516;height:27" id="docshape622" coordorigin="364,96" coordsize="11516,27" path="m11880,96l11866,110,364,110,364,123,11866,123,11880,123,11880,110,11880,96xe" filled="true" fillcolor="#ededed" stroked="false">
                  <v:path arrowok="t"/>
                  <v:fill type="solid"/>
                </v:shape>
                <v:shape style="position:absolute;left:364;top:96;width:14;height:27" id="docshape623"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35" w:lineRule="auto" w:before="66"/>
        <w:ind w:left="144" w:right="119"/>
        <w:jc w:val="both"/>
      </w:pPr>
      <w:r>
        <w:rPr/>
        <w:t>interests’ ownership percentage of MGP OP’s net assets, with offsetting adjustments to capital in excess of par value and accumulated other comprehensive income. Subsequent to the redemption and as of December 31, 2020, the Company indirectly owned </w:t>
      </w:r>
      <w:r>
        <w:rPr>
          <w:color w:val="202529"/>
        </w:rPr>
        <w:t>53.0% </w:t>
      </w:r>
      <w:r>
        <w:rPr/>
        <w:t>of the partnership units in MGP</w:t>
      </w:r>
      <w:r>
        <w:rPr>
          <w:spacing w:val="-2"/>
        </w:rPr>
        <w:t> </w:t>
      </w:r>
      <w:r>
        <w:rPr/>
        <w:t>OP.</w:t>
      </w:r>
    </w:p>
    <w:p>
      <w:pPr>
        <w:pStyle w:val="BodyText"/>
        <w:spacing w:before="5"/>
      </w:pPr>
    </w:p>
    <w:p>
      <w:pPr>
        <w:pStyle w:val="BodyText"/>
        <w:ind w:left="144" w:right="118" w:firstLine="499"/>
        <w:jc w:val="both"/>
      </w:pPr>
      <w:r>
        <w:rPr>
          <w:b/>
        </w:rPr>
        <w:t>MGP Class A share issuance – March 2021. </w:t>
      </w:r>
      <w:r>
        <w:rPr/>
        <w:t>On March 15, 2021, MGP completed an offering of 22 million of its Class A shares, the proceeds of which were used to partially satisfy MGP’s obligations pursuant to the notice of redemption delivered by certain MGM subsidiaries, discussed </w:t>
      </w:r>
      <w:r>
        <w:rPr/>
        <w:t>below. Subsequent to MGP’s Class</w:t>
      </w:r>
      <w:r>
        <w:rPr>
          <w:spacing w:val="-6"/>
        </w:rPr>
        <w:t> </w:t>
      </w:r>
      <w:r>
        <w:rPr/>
        <w:t>A</w:t>
      </w:r>
      <w:r>
        <w:rPr>
          <w:spacing w:val="-6"/>
        </w:rPr>
        <w:t> </w:t>
      </w:r>
      <w:r>
        <w:rPr/>
        <w:t>share issuance and the redemption of MGP</w:t>
      </w:r>
      <w:r>
        <w:rPr>
          <w:spacing w:val="-3"/>
        </w:rPr>
        <w:t> </w:t>
      </w:r>
      <w:r>
        <w:rPr/>
        <w:t>OP</w:t>
      </w:r>
      <w:r>
        <w:rPr>
          <w:spacing w:val="-3"/>
        </w:rPr>
        <w:t> </w:t>
      </w:r>
      <w:r>
        <w:rPr/>
        <w:t>units, discussed below, the Company indirectly owned 42.1% of the partnership units in MGP OP.</w:t>
      </w:r>
    </w:p>
    <w:p>
      <w:pPr>
        <w:pStyle w:val="BodyText"/>
        <w:spacing w:before="4"/>
      </w:pPr>
    </w:p>
    <w:p>
      <w:pPr>
        <w:pStyle w:val="BodyText"/>
        <w:spacing w:before="1"/>
        <w:ind w:left="144" w:right="118" w:firstLine="499"/>
        <w:jc w:val="both"/>
      </w:pPr>
      <w:r>
        <w:rPr>
          <w:b/>
        </w:rPr>
        <w:t>Redemption of MGP OP units – March 2021. </w:t>
      </w:r>
      <w:r>
        <w:rPr/>
        <w:t>In March 2021, subsidiaries of the Company delivered a notice of redemption to MGP </w:t>
      </w:r>
      <w:r>
        <w:rPr/>
        <w:t>covering approximately 37 million MGP OP units that they held in accordance with the terms of MGP OP’s partnership agreement. Upon receipt of the notice of redemption, MGP formed a conflicts committee to determine the mix of consideration that it would provide for the MGP OP units. The conflicts committee determined</w:t>
      </w:r>
      <w:r>
        <w:rPr>
          <w:spacing w:val="-1"/>
        </w:rPr>
        <w:t> </w:t>
      </w:r>
      <w:r>
        <w:rPr/>
        <w:t>that</w:t>
      </w:r>
      <w:r>
        <w:rPr>
          <w:spacing w:val="-1"/>
        </w:rPr>
        <w:t> </w:t>
      </w:r>
      <w:r>
        <w:rPr/>
        <w:t>MGP</w:t>
      </w:r>
      <w:r>
        <w:rPr>
          <w:spacing w:val="-6"/>
        </w:rPr>
        <w:t> </w:t>
      </w:r>
      <w:r>
        <w:rPr/>
        <w:t>would</w:t>
      </w:r>
      <w:r>
        <w:rPr>
          <w:spacing w:val="-1"/>
        </w:rPr>
        <w:t> </w:t>
      </w:r>
      <w:r>
        <w:rPr/>
        <w:t>redeem</w:t>
      </w:r>
      <w:r>
        <w:rPr>
          <w:spacing w:val="-1"/>
        </w:rPr>
        <w:t> </w:t>
      </w:r>
      <w:r>
        <w:rPr/>
        <w:t>approximately</w:t>
      </w:r>
      <w:r>
        <w:rPr>
          <w:spacing w:val="-1"/>
        </w:rPr>
        <w:t> </w:t>
      </w:r>
      <w:r>
        <w:rPr/>
        <w:t>15</w:t>
      </w:r>
      <w:r>
        <w:rPr>
          <w:spacing w:val="-1"/>
        </w:rPr>
        <w:t> </w:t>
      </w:r>
      <w:r>
        <w:rPr/>
        <w:t>million</w:t>
      </w:r>
      <w:r>
        <w:rPr>
          <w:spacing w:val="-1"/>
        </w:rPr>
        <w:t> </w:t>
      </w:r>
      <w:r>
        <w:rPr/>
        <w:t>MGP</w:t>
      </w:r>
      <w:r>
        <w:rPr>
          <w:spacing w:val="-6"/>
        </w:rPr>
        <w:t> </w:t>
      </w:r>
      <w:r>
        <w:rPr/>
        <w:t>OP</w:t>
      </w:r>
      <w:r>
        <w:rPr>
          <w:spacing w:val="-6"/>
        </w:rPr>
        <w:t> </w:t>
      </w:r>
      <w:r>
        <w:rPr/>
        <w:t>units</w:t>
      </w:r>
      <w:r>
        <w:rPr>
          <w:spacing w:val="-1"/>
        </w:rPr>
        <w:t> </w:t>
      </w:r>
      <w:r>
        <w:rPr/>
        <w:t>for</w:t>
      </w:r>
      <w:r>
        <w:rPr>
          <w:spacing w:val="-1"/>
        </w:rPr>
        <w:t> </w:t>
      </w:r>
      <w:r>
        <w:rPr/>
        <w:t>cash</w:t>
      </w:r>
      <w:r>
        <w:rPr>
          <w:spacing w:val="-1"/>
        </w:rPr>
        <w:t> </w:t>
      </w:r>
      <w:r>
        <w:rPr/>
        <w:t>(with</w:t>
      </w:r>
      <w:r>
        <w:rPr>
          <w:spacing w:val="-1"/>
        </w:rPr>
        <w:t> </w:t>
      </w:r>
      <w:r>
        <w:rPr/>
        <w:t>such</w:t>
      </w:r>
      <w:r>
        <w:rPr>
          <w:spacing w:val="-1"/>
        </w:rPr>
        <w:t> </w:t>
      </w:r>
      <w:r>
        <w:rPr/>
        <w:t>MGP</w:t>
      </w:r>
      <w:r>
        <w:rPr>
          <w:spacing w:val="-6"/>
        </w:rPr>
        <w:t> </w:t>
      </w:r>
      <w:r>
        <w:rPr/>
        <w:t>OP</w:t>
      </w:r>
      <w:r>
        <w:rPr>
          <w:spacing w:val="-6"/>
        </w:rPr>
        <w:t> </w:t>
      </w:r>
      <w:r>
        <w:rPr/>
        <w:t>units</w:t>
      </w:r>
      <w:r>
        <w:rPr>
          <w:spacing w:val="-1"/>
        </w:rPr>
        <w:t> </w:t>
      </w:r>
      <w:r>
        <w:rPr/>
        <w:t>retired</w:t>
      </w:r>
      <w:r>
        <w:rPr>
          <w:spacing w:val="-1"/>
        </w:rPr>
        <w:t> </w:t>
      </w:r>
      <w:r>
        <w:rPr/>
        <w:t>upon</w:t>
      </w:r>
      <w:r>
        <w:rPr>
          <w:spacing w:val="-1"/>
        </w:rPr>
        <w:t> </w:t>
      </w:r>
      <w:r>
        <w:rPr/>
        <w:t>redemption)</w:t>
      </w:r>
      <w:r>
        <w:rPr>
          <w:spacing w:val="-1"/>
        </w:rPr>
        <w:t> </w:t>
      </w:r>
      <w:r>
        <w:rPr/>
        <w:t>and</w:t>
      </w:r>
      <w:r>
        <w:rPr>
          <w:spacing w:val="-1"/>
        </w:rPr>
        <w:t> </w:t>
      </w:r>
      <w:r>
        <w:rPr/>
        <w:t>would</w:t>
      </w:r>
      <w:r>
        <w:rPr>
          <w:spacing w:val="-1"/>
        </w:rPr>
        <w:t> </w:t>
      </w:r>
      <w:r>
        <w:rPr/>
        <w:t>satisfy</w:t>
      </w:r>
      <w:r>
        <w:rPr>
          <w:spacing w:val="-1"/>
        </w:rPr>
        <w:t> </w:t>
      </w:r>
      <w:r>
        <w:rPr/>
        <w:t>its remaining obligation under that notice covering the remaining 22 million MGP</w:t>
      </w:r>
      <w:r>
        <w:rPr>
          <w:spacing w:val="-4"/>
        </w:rPr>
        <w:t> </w:t>
      </w:r>
      <w:r>
        <w:rPr/>
        <w:t>OP</w:t>
      </w:r>
      <w:r>
        <w:rPr>
          <w:spacing w:val="-4"/>
        </w:rPr>
        <w:t> </w:t>
      </w:r>
      <w:r>
        <w:rPr/>
        <w:t>units using the proceeds, net of the underwriters’</w:t>
      </w:r>
      <w:r>
        <w:rPr>
          <w:spacing w:val="-11"/>
        </w:rPr>
        <w:t> </w:t>
      </w:r>
      <w:r>
        <w:rPr/>
        <w:t>discount, of MGP’s Class A offering, for aggregate cash proceeds received by the Company of approximately $1.2 billion. The Company adjusted the carrying value of the noncontrolling interests for the change in noncontrolling interests’ ownership percentage of MGP OP’s net assets, with offsetting adjustments to capital in excess of par value and accumulated other comprehensive loss. Subsequent to the collective transactions, the Company indirectly owned 42.1% of the partnership units in MGP OP.</w:t>
      </w:r>
    </w:p>
    <w:p>
      <w:pPr>
        <w:pStyle w:val="BodyText"/>
        <w:spacing w:before="9"/>
      </w:pPr>
    </w:p>
    <w:p>
      <w:pPr>
        <w:pStyle w:val="BodyText"/>
        <w:spacing w:line="242" w:lineRule="auto"/>
        <w:ind w:left="144" w:right="118" w:firstLine="499"/>
        <w:jc w:val="both"/>
      </w:pPr>
      <w:r>
        <w:rPr>
          <w:b/>
        </w:rPr>
        <w:t>MGP</w:t>
      </w:r>
      <w:r>
        <w:rPr>
          <w:b/>
          <w:spacing w:val="-11"/>
        </w:rPr>
        <w:t> </w:t>
      </w:r>
      <w:r>
        <w:rPr>
          <w:b/>
        </w:rPr>
        <w:t>Class</w:t>
      </w:r>
      <w:r>
        <w:rPr>
          <w:b/>
          <w:spacing w:val="-11"/>
        </w:rPr>
        <w:t> </w:t>
      </w:r>
      <w:r>
        <w:rPr>
          <w:b/>
        </w:rPr>
        <w:t>A</w:t>
      </w:r>
      <w:r>
        <w:rPr>
          <w:b/>
          <w:spacing w:val="-11"/>
        </w:rPr>
        <w:t> </w:t>
      </w:r>
      <w:r>
        <w:rPr>
          <w:b/>
        </w:rPr>
        <w:t>share</w:t>
      </w:r>
      <w:r>
        <w:rPr>
          <w:b/>
          <w:spacing w:val="-2"/>
        </w:rPr>
        <w:t> </w:t>
      </w:r>
      <w:r>
        <w:rPr>
          <w:b/>
        </w:rPr>
        <w:t>issuances</w:t>
      </w:r>
      <w:r>
        <w:rPr>
          <w:b/>
          <w:spacing w:val="-2"/>
        </w:rPr>
        <w:t> </w:t>
      </w:r>
      <w:r>
        <w:rPr>
          <w:b/>
        </w:rPr>
        <w:t>–</w:t>
      </w:r>
      <w:r>
        <w:rPr>
          <w:b/>
          <w:spacing w:val="-11"/>
        </w:rPr>
        <w:t> </w:t>
      </w:r>
      <w:r>
        <w:rPr>
          <w:b/>
        </w:rPr>
        <w:t>ATM</w:t>
      </w:r>
      <w:r>
        <w:rPr>
          <w:b/>
          <w:spacing w:val="-2"/>
        </w:rPr>
        <w:t> </w:t>
      </w:r>
      <w:r>
        <w:rPr>
          <w:b/>
        </w:rPr>
        <w:t>program.</w:t>
      </w:r>
      <w:r>
        <w:rPr>
          <w:b/>
          <w:spacing w:val="-2"/>
        </w:rPr>
        <w:t> </w:t>
      </w:r>
      <w:r>
        <w:rPr/>
        <w:t>During</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2021,</w:t>
      </w:r>
      <w:r>
        <w:rPr>
          <w:spacing w:val="-2"/>
        </w:rPr>
        <w:t> </w:t>
      </w:r>
      <w:r>
        <w:rPr/>
        <w:t>MGP</w:t>
      </w:r>
      <w:r>
        <w:rPr>
          <w:spacing w:val="-8"/>
        </w:rPr>
        <w:t> </w:t>
      </w:r>
      <w:r>
        <w:rPr/>
        <w:t>issued</w:t>
      </w:r>
      <w:r>
        <w:rPr>
          <w:spacing w:val="-2"/>
        </w:rPr>
        <w:t> </w:t>
      </w:r>
      <w:r>
        <w:rPr/>
        <w:t>approximately</w:t>
      </w:r>
      <w:r>
        <w:rPr>
          <w:spacing w:val="-2"/>
        </w:rPr>
        <w:t> </w:t>
      </w:r>
      <w:r>
        <w:rPr/>
        <w:t>3</w:t>
      </w:r>
      <w:r>
        <w:rPr>
          <w:spacing w:val="-2"/>
        </w:rPr>
        <w:t> </w:t>
      </w:r>
      <w:r>
        <w:rPr/>
        <w:t>million</w:t>
      </w:r>
      <w:r>
        <w:rPr>
          <w:spacing w:val="-2"/>
        </w:rPr>
        <w:t> </w:t>
      </w:r>
      <w:r>
        <w:rPr/>
        <w:t>Class</w:t>
      </w:r>
      <w:r>
        <w:rPr>
          <w:spacing w:val="-11"/>
        </w:rPr>
        <w:t> </w:t>
      </w:r>
      <w:r>
        <w:rPr/>
        <w:t>A</w:t>
      </w:r>
      <w:r>
        <w:rPr>
          <w:spacing w:val="-11"/>
        </w:rPr>
        <w:t> </w:t>
      </w:r>
      <w:r>
        <w:rPr/>
        <w:t>shares</w:t>
      </w:r>
      <w:r>
        <w:rPr>
          <w:spacing w:val="-2"/>
        </w:rPr>
        <w:t> </w:t>
      </w:r>
      <w:r>
        <w:rPr/>
        <w:t>under its ATM program, which completed its ATM program. In connection with the issuances, MGP OP issued an equal amount of MGP OP units to MGP. The Company adjusted the carrying value of the noncontrolling interests for the change in noncontrolling interests’</w:t>
      </w:r>
      <w:r>
        <w:rPr>
          <w:spacing w:val="-9"/>
        </w:rPr>
        <w:t> </w:t>
      </w:r>
      <w:r>
        <w:rPr/>
        <w:t>ownership percentage of MGP</w:t>
      </w:r>
      <w:r>
        <w:rPr>
          <w:spacing w:val="-2"/>
        </w:rPr>
        <w:t> </w:t>
      </w:r>
      <w:r>
        <w:rPr/>
        <w:t>OP’s net </w:t>
      </w:r>
      <w:r>
        <w:rPr/>
        <w:t>assets, with offsetting adjustments to capital in excess of par value and accumulated other comprehensive loss. Subsequent to the collective issuances, the Company indirectly owned 41.6% of the partnership units in MGP OP.</w:t>
      </w:r>
    </w:p>
    <w:p>
      <w:pPr>
        <w:pStyle w:val="BodyText"/>
        <w:spacing w:before="3"/>
      </w:pPr>
    </w:p>
    <w:p>
      <w:pPr>
        <w:pStyle w:val="BodyText"/>
        <w:spacing w:line="242" w:lineRule="auto"/>
        <w:ind w:left="144" w:right="118" w:firstLine="499"/>
        <w:jc w:val="both"/>
      </w:pPr>
      <w:r>
        <w:rPr>
          <w:b/>
        </w:rPr>
        <w:t>Deconsolidation of MGP. </w:t>
      </w:r>
      <w:r>
        <w:rPr>
          <w:color w:val="202529"/>
        </w:rPr>
        <w:t>On April 29, 2022, the Company completed the VICI Transaction, whereby VICI acquired MGP. In connection with </w:t>
      </w:r>
      <w:r>
        <w:rPr>
          <w:color w:val="202529"/>
        </w:rPr>
        <w:t>the transaction, the Company no longer holds a controlling interest in MGP</w:t>
      </w:r>
      <w:r>
        <w:rPr>
          <w:color w:val="202529"/>
          <w:spacing w:val="-3"/>
        </w:rPr>
        <w:t> </w:t>
      </w:r>
      <w:r>
        <w:rPr>
          <w:color w:val="202529"/>
        </w:rPr>
        <w:t>and deconsolidated MGP, including the accumulated other comprehensive loss related to MGP.</w:t>
      </w:r>
    </w:p>
    <w:p>
      <w:pPr>
        <w:pStyle w:val="BodyText"/>
        <w:spacing w:before="3"/>
      </w:pPr>
    </w:p>
    <w:p>
      <w:pPr>
        <w:spacing w:before="0"/>
        <w:ind w:left="394" w:right="0" w:firstLine="0"/>
        <w:jc w:val="left"/>
        <w:rPr>
          <w:i/>
          <w:sz w:val="18"/>
        </w:rPr>
      </w:pPr>
      <w:r>
        <w:rPr>
          <w:i/>
          <w:sz w:val="18"/>
        </w:rPr>
        <w:t>Other</w:t>
      </w:r>
      <w:r>
        <w:rPr>
          <w:i/>
          <w:spacing w:val="-1"/>
          <w:sz w:val="18"/>
        </w:rPr>
        <w:t> </w:t>
      </w:r>
      <w:r>
        <w:rPr>
          <w:i/>
          <w:sz w:val="18"/>
        </w:rPr>
        <w:t>equity</w:t>
      </w:r>
      <w:r>
        <w:rPr>
          <w:i/>
          <w:spacing w:val="-1"/>
          <w:sz w:val="18"/>
        </w:rPr>
        <w:t> </w:t>
      </w:r>
      <w:r>
        <w:rPr>
          <w:i/>
          <w:spacing w:val="-2"/>
          <w:sz w:val="18"/>
        </w:rPr>
        <w:t>activity</w:t>
      </w:r>
    </w:p>
    <w:p>
      <w:pPr>
        <w:pStyle w:val="BodyText"/>
        <w:spacing w:before="4"/>
        <w:rPr>
          <w:i/>
        </w:rPr>
      </w:pPr>
    </w:p>
    <w:p>
      <w:pPr>
        <w:pStyle w:val="BodyText"/>
        <w:ind w:left="144" w:right="118" w:firstLine="499"/>
        <w:jc w:val="both"/>
      </w:pPr>
      <w:r>
        <w:rPr>
          <w:b/>
        </w:rPr>
        <w:t>MGM Resorts International stock repurchases. </w:t>
      </w:r>
      <w:r>
        <w:rPr/>
        <w:t>In February 2020, upon substantial completion of the May 2018 $2.0 billion stock repurchase </w:t>
      </w:r>
      <w:r>
        <w:rPr/>
        <w:t>plan, the Company announced that the Board of Directors authorized a $3.0 billion stock repurchase plan. In March 2022, the Company announced that the Board of Directors authorized a $2.0 billion stock repurchase plan, and, in February 2023, the Company announced that the Board of Directors authorized a $2.0 billion stock repurchase plan. Under these stock repurchase plans, the Company may repurchase shares from time to time in the open market or in privately negotiated agreements. Repurchases of common stock may also be made under a Rule 10b5-1 plan, which would permit common stock to be repurchased when the Company might otherwise be precluded from doing so under insider trading laws. The timing, volume and nature of stock repurchases will be at the sole discretion of management, dependent on market conditions, applicable securities laws, and other factors, and may be suspended or discontinued at any time.</w:t>
      </w:r>
    </w:p>
    <w:p>
      <w:pPr>
        <w:pStyle w:val="BodyText"/>
        <w:spacing w:before="18"/>
      </w:pPr>
    </w:p>
    <w:p>
      <w:pPr>
        <w:pStyle w:val="BodyText"/>
        <w:spacing w:line="205" w:lineRule="exact" w:before="1"/>
        <w:ind w:left="644"/>
        <w:jc w:val="both"/>
      </w:pPr>
      <w:r>
        <w:rPr/>
        <w:t>During</w:t>
      </w:r>
      <w:r>
        <w:rPr>
          <w:spacing w:val="20"/>
        </w:rPr>
        <w:t> </w:t>
      </w:r>
      <w:r>
        <w:rPr/>
        <w:t>the</w:t>
      </w:r>
      <w:r>
        <w:rPr>
          <w:spacing w:val="23"/>
        </w:rPr>
        <w:t> </w:t>
      </w:r>
      <w:r>
        <w:rPr/>
        <w:t>year</w:t>
      </w:r>
      <w:r>
        <w:rPr>
          <w:spacing w:val="23"/>
        </w:rPr>
        <w:t> </w:t>
      </w:r>
      <w:r>
        <w:rPr/>
        <w:t>ended</w:t>
      </w:r>
      <w:r>
        <w:rPr>
          <w:spacing w:val="22"/>
        </w:rPr>
        <w:t> </w:t>
      </w:r>
      <w:r>
        <w:rPr/>
        <w:t>December</w:t>
      </w:r>
      <w:r>
        <w:rPr>
          <w:spacing w:val="23"/>
        </w:rPr>
        <w:t> </w:t>
      </w:r>
      <w:r>
        <w:rPr/>
        <w:t>31,</w:t>
      </w:r>
      <w:r>
        <w:rPr>
          <w:spacing w:val="23"/>
        </w:rPr>
        <w:t> </w:t>
      </w:r>
      <w:r>
        <w:rPr/>
        <w:t>2020,</w:t>
      </w:r>
      <w:r>
        <w:rPr>
          <w:spacing w:val="22"/>
        </w:rPr>
        <w:t> </w:t>
      </w:r>
      <w:r>
        <w:rPr/>
        <w:t>the</w:t>
      </w:r>
      <w:r>
        <w:rPr>
          <w:spacing w:val="23"/>
        </w:rPr>
        <w:t> </w:t>
      </w:r>
      <w:r>
        <w:rPr/>
        <w:t>Company</w:t>
      </w:r>
      <w:r>
        <w:rPr>
          <w:spacing w:val="23"/>
        </w:rPr>
        <w:t> </w:t>
      </w:r>
      <w:r>
        <w:rPr/>
        <w:t>repurchased</w:t>
      </w:r>
      <w:r>
        <w:rPr>
          <w:spacing w:val="22"/>
        </w:rPr>
        <w:t> </w:t>
      </w:r>
      <w:r>
        <w:rPr/>
        <w:t>approximately</w:t>
      </w:r>
      <w:r>
        <w:rPr>
          <w:spacing w:val="23"/>
        </w:rPr>
        <w:t> </w:t>
      </w:r>
      <w:r>
        <w:rPr/>
        <w:t>11</w:t>
      </w:r>
      <w:r>
        <w:rPr>
          <w:spacing w:val="23"/>
        </w:rPr>
        <w:t> </w:t>
      </w:r>
      <w:r>
        <w:rPr/>
        <w:t>million</w:t>
      </w:r>
      <w:r>
        <w:rPr>
          <w:spacing w:val="22"/>
        </w:rPr>
        <w:t> </w:t>
      </w:r>
      <w:r>
        <w:rPr/>
        <w:t>shares</w:t>
      </w:r>
      <w:r>
        <w:rPr>
          <w:spacing w:val="23"/>
        </w:rPr>
        <w:t> </w:t>
      </w:r>
      <w:r>
        <w:rPr/>
        <w:t>of</w:t>
      </w:r>
      <w:r>
        <w:rPr>
          <w:spacing w:val="23"/>
        </w:rPr>
        <w:t> </w:t>
      </w:r>
      <w:r>
        <w:rPr/>
        <w:t>its</w:t>
      </w:r>
      <w:r>
        <w:rPr>
          <w:spacing w:val="22"/>
        </w:rPr>
        <w:t> </w:t>
      </w:r>
      <w:r>
        <w:rPr/>
        <w:t>common</w:t>
      </w:r>
      <w:r>
        <w:rPr>
          <w:spacing w:val="23"/>
        </w:rPr>
        <w:t> </w:t>
      </w:r>
      <w:r>
        <w:rPr/>
        <w:t>stock</w:t>
      </w:r>
      <w:r>
        <w:rPr>
          <w:spacing w:val="23"/>
        </w:rPr>
        <w:t> </w:t>
      </w:r>
      <w:r>
        <w:rPr/>
        <w:t>at</w:t>
      </w:r>
      <w:r>
        <w:rPr>
          <w:spacing w:val="22"/>
        </w:rPr>
        <w:t> </w:t>
      </w:r>
      <w:r>
        <w:rPr/>
        <w:t>an</w:t>
      </w:r>
      <w:r>
        <w:rPr>
          <w:spacing w:val="23"/>
        </w:rPr>
        <w:t> </w:t>
      </w:r>
      <w:r>
        <w:rPr/>
        <w:t>average</w:t>
      </w:r>
      <w:r>
        <w:rPr>
          <w:spacing w:val="23"/>
        </w:rPr>
        <w:t> </w:t>
      </w:r>
      <w:r>
        <w:rPr/>
        <w:t>price</w:t>
      </w:r>
      <w:r>
        <w:rPr>
          <w:spacing w:val="23"/>
        </w:rPr>
        <w:t> </w:t>
      </w:r>
      <w:r>
        <w:rPr>
          <w:spacing w:val="-5"/>
        </w:rPr>
        <w:t>of</w:t>
      </w:r>
    </w:p>
    <w:p>
      <w:pPr>
        <w:pStyle w:val="BodyText"/>
        <w:spacing w:line="205" w:lineRule="exact"/>
        <w:ind w:left="144"/>
        <w:jc w:val="both"/>
      </w:pPr>
      <w:r>
        <w:rPr/>
        <w:t>$32.57</w:t>
      </w:r>
      <w:r>
        <w:rPr>
          <w:spacing w:val="-1"/>
        </w:rPr>
        <w:t> </w:t>
      </w:r>
      <w:r>
        <w:rPr/>
        <w:t>per</w:t>
      </w:r>
      <w:r>
        <w:rPr>
          <w:spacing w:val="-1"/>
        </w:rPr>
        <w:t> </w:t>
      </w:r>
      <w:r>
        <w:rPr/>
        <w:t>share</w:t>
      </w:r>
      <w:r>
        <w:rPr>
          <w:spacing w:val="-1"/>
        </w:rPr>
        <w:t> </w:t>
      </w:r>
      <w:r>
        <w:rPr/>
        <w:t>for</w:t>
      </w:r>
      <w:r>
        <w:rPr>
          <w:spacing w:val="-1"/>
        </w:rPr>
        <w:t> </w:t>
      </w:r>
      <w:r>
        <w:rPr/>
        <w:t>an</w:t>
      </w:r>
      <w:r>
        <w:rPr>
          <w:spacing w:val="-1"/>
        </w:rPr>
        <w:t> </w:t>
      </w:r>
      <w:r>
        <w:rPr/>
        <w:t>aggregate</w:t>
      </w:r>
      <w:r>
        <w:rPr>
          <w:spacing w:val="-1"/>
        </w:rPr>
        <w:t> </w:t>
      </w:r>
      <w:r>
        <w:rPr/>
        <w:t>amount</w:t>
      </w:r>
      <w:r>
        <w:rPr>
          <w:spacing w:val="-1"/>
        </w:rPr>
        <w:t> </w:t>
      </w:r>
      <w:r>
        <w:rPr/>
        <w:t>of</w:t>
      </w:r>
      <w:r>
        <w:rPr>
          <w:spacing w:val="-1"/>
        </w:rPr>
        <w:t> </w:t>
      </w:r>
      <w:r>
        <w:rPr/>
        <w:t>$354</w:t>
      </w:r>
      <w:r>
        <w:rPr>
          <w:spacing w:val="-1"/>
        </w:rPr>
        <w:t> </w:t>
      </w:r>
      <w:r>
        <w:rPr/>
        <w:t>million.</w:t>
      </w:r>
      <w:r>
        <w:rPr>
          <w:spacing w:val="-1"/>
        </w:rPr>
        <w:t> </w:t>
      </w:r>
      <w:r>
        <w:rPr/>
        <w:t>Repurchased</w:t>
      </w:r>
      <w:r>
        <w:rPr>
          <w:spacing w:val="-1"/>
        </w:rPr>
        <w:t> </w:t>
      </w:r>
      <w:r>
        <w:rPr/>
        <w:t>shares</w:t>
      </w:r>
      <w:r>
        <w:rPr>
          <w:spacing w:val="-1"/>
        </w:rPr>
        <w:t> </w:t>
      </w:r>
      <w:r>
        <w:rPr/>
        <w:t>were</w:t>
      </w:r>
      <w:r>
        <w:rPr>
          <w:spacing w:val="-1"/>
        </w:rPr>
        <w:t> </w:t>
      </w:r>
      <w:r>
        <w:rPr>
          <w:spacing w:val="-2"/>
        </w:rPr>
        <w:t>retired.</w:t>
      </w:r>
    </w:p>
    <w:p>
      <w:pPr>
        <w:pStyle w:val="BodyText"/>
        <w:spacing w:before="4"/>
      </w:pPr>
    </w:p>
    <w:p>
      <w:pPr>
        <w:pStyle w:val="BodyText"/>
        <w:ind w:left="644"/>
        <w:jc w:val="both"/>
      </w:pPr>
      <w:r>
        <w:rPr/>
        <w:t>During</w:t>
      </w:r>
      <w:r>
        <w:rPr>
          <w:spacing w:val="23"/>
        </w:rPr>
        <w:t> </w:t>
      </w:r>
      <w:r>
        <w:rPr/>
        <w:t>the</w:t>
      </w:r>
      <w:r>
        <w:rPr>
          <w:spacing w:val="23"/>
        </w:rPr>
        <w:t> </w:t>
      </w:r>
      <w:r>
        <w:rPr/>
        <w:t>year</w:t>
      </w:r>
      <w:r>
        <w:rPr>
          <w:spacing w:val="23"/>
        </w:rPr>
        <w:t> </w:t>
      </w:r>
      <w:r>
        <w:rPr/>
        <w:t>ended</w:t>
      </w:r>
      <w:r>
        <w:rPr>
          <w:spacing w:val="23"/>
        </w:rPr>
        <w:t> </w:t>
      </w:r>
      <w:r>
        <w:rPr/>
        <w:t>December</w:t>
      </w:r>
      <w:r>
        <w:rPr>
          <w:spacing w:val="23"/>
        </w:rPr>
        <w:t> </w:t>
      </w:r>
      <w:r>
        <w:rPr/>
        <w:t>31,</w:t>
      </w:r>
      <w:r>
        <w:rPr>
          <w:spacing w:val="23"/>
        </w:rPr>
        <w:t> </w:t>
      </w:r>
      <w:r>
        <w:rPr/>
        <w:t>2021,</w:t>
      </w:r>
      <w:r>
        <w:rPr>
          <w:spacing w:val="23"/>
        </w:rPr>
        <w:t> </w:t>
      </w:r>
      <w:r>
        <w:rPr/>
        <w:t>the</w:t>
      </w:r>
      <w:r>
        <w:rPr>
          <w:spacing w:val="23"/>
        </w:rPr>
        <w:t> </w:t>
      </w:r>
      <w:r>
        <w:rPr/>
        <w:t>Company</w:t>
      </w:r>
      <w:r>
        <w:rPr>
          <w:spacing w:val="23"/>
        </w:rPr>
        <w:t> </w:t>
      </w:r>
      <w:r>
        <w:rPr/>
        <w:t>repurchased</w:t>
      </w:r>
      <w:r>
        <w:rPr>
          <w:spacing w:val="23"/>
        </w:rPr>
        <w:t> </w:t>
      </w:r>
      <w:r>
        <w:rPr/>
        <w:t>approximately</w:t>
      </w:r>
      <w:r>
        <w:rPr>
          <w:spacing w:val="23"/>
        </w:rPr>
        <w:t> </w:t>
      </w:r>
      <w:r>
        <w:rPr/>
        <w:t>43</w:t>
      </w:r>
      <w:r>
        <w:rPr>
          <w:spacing w:val="23"/>
        </w:rPr>
        <w:t> </w:t>
      </w:r>
      <w:r>
        <w:rPr/>
        <w:t>million</w:t>
      </w:r>
      <w:r>
        <w:rPr>
          <w:spacing w:val="23"/>
        </w:rPr>
        <w:t> </w:t>
      </w:r>
      <w:r>
        <w:rPr/>
        <w:t>shares</w:t>
      </w:r>
      <w:r>
        <w:rPr>
          <w:spacing w:val="23"/>
        </w:rPr>
        <w:t> </w:t>
      </w:r>
      <w:r>
        <w:rPr/>
        <w:t>of</w:t>
      </w:r>
      <w:r>
        <w:rPr>
          <w:spacing w:val="23"/>
        </w:rPr>
        <w:t> </w:t>
      </w:r>
      <w:r>
        <w:rPr/>
        <w:t>its</w:t>
      </w:r>
      <w:r>
        <w:rPr>
          <w:spacing w:val="23"/>
        </w:rPr>
        <w:t> </w:t>
      </w:r>
      <w:r>
        <w:rPr/>
        <w:t>common</w:t>
      </w:r>
      <w:r>
        <w:rPr>
          <w:spacing w:val="23"/>
        </w:rPr>
        <w:t> </w:t>
      </w:r>
      <w:r>
        <w:rPr/>
        <w:t>stock</w:t>
      </w:r>
      <w:r>
        <w:rPr>
          <w:spacing w:val="23"/>
        </w:rPr>
        <w:t> </w:t>
      </w:r>
      <w:r>
        <w:rPr/>
        <w:t>at</w:t>
      </w:r>
      <w:r>
        <w:rPr>
          <w:spacing w:val="23"/>
        </w:rPr>
        <w:t> </w:t>
      </w:r>
      <w:r>
        <w:rPr/>
        <w:t>an</w:t>
      </w:r>
      <w:r>
        <w:rPr>
          <w:spacing w:val="23"/>
        </w:rPr>
        <w:t> </w:t>
      </w:r>
      <w:r>
        <w:rPr/>
        <w:t>average</w:t>
      </w:r>
      <w:r>
        <w:rPr>
          <w:spacing w:val="23"/>
        </w:rPr>
        <w:t> </w:t>
      </w:r>
      <w:r>
        <w:rPr/>
        <w:t>price</w:t>
      </w:r>
      <w:r>
        <w:rPr>
          <w:spacing w:val="23"/>
        </w:rPr>
        <w:t> </w:t>
      </w:r>
      <w:r>
        <w:rPr>
          <w:spacing w:val="-5"/>
        </w:rPr>
        <w:t>of</w:t>
      </w:r>
    </w:p>
    <w:p>
      <w:pPr>
        <w:pStyle w:val="BodyText"/>
        <w:spacing w:line="235" w:lineRule="auto" w:before="12"/>
        <w:ind w:left="144" w:right="118"/>
        <w:jc w:val="both"/>
      </w:pPr>
      <w:r>
        <w:rPr/>
        <w:t>$40.70</w:t>
      </w:r>
      <w:r>
        <w:rPr>
          <w:spacing w:val="-1"/>
        </w:rPr>
        <w:t> </w:t>
      </w:r>
      <w:r>
        <w:rPr/>
        <w:t>per</w:t>
      </w:r>
      <w:r>
        <w:rPr>
          <w:spacing w:val="-1"/>
        </w:rPr>
        <w:t> </w:t>
      </w:r>
      <w:r>
        <w:rPr/>
        <w:t>share</w:t>
      </w:r>
      <w:r>
        <w:rPr>
          <w:spacing w:val="-1"/>
        </w:rPr>
        <w:t> </w:t>
      </w:r>
      <w:r>
        <w:rPr/>
        <w:t>for</w:t>
      </w:r>
      <w:r>
        <w:rPr>
          <w:spacing w:val="-1"/>
        </w:rPr>
        <w:t> </w:t>
      </w:r>
      <w:r>
        <w:rPr/>
        <w:t>an</w:t>
      </w:r>
      <w:r>
        <w:rPr>
          <w:spacing w:val="-1"/>
        </w:rPr>
        <w:t> </w:t>
      </w:r>
      <w:r>
        <w:rPr/>
        <w:t>aggregate</w:t>
      </w:r>
      <w:r>
        <w:rPr>
          <w:spacing w:val="-1"/>
        </w:rPr>
        <w:t> </w:t>
      </w:r>
      <w:r>
        <w:rPr/>
        <w:t>amount</w:t>
      </w:r>
      <w:r>
        <w:rPr>
          <w:spacing w:val="-1"/>
        </w:rPr>
        <w:t> </w:t>
      </w:r>
      <w:r>
        <w:rPr/>
        <w:t>of</w:t>
      </w:r>
      <w:r>
        <w:rPr>
          <w:spacing w:val="-1"/>
        </w:rPr>
        <w:t> </w:t>
      </w:r>
      <w:r>
        <w:rPr/>
        <w:t>$1.8</w:t>
      </w:r>
      <w:r>
        <w:rPr>
          <w:spacing w:val="-1"/>
        </w:rPr>
        <w:t> </w:t>
      </w:r>
      <w:r>
        <w:rPr/>
        <w:t>billion.</w:t>
      </w:r>
      <w:r>
        <w:rPr>
          <w:spacing w:val="-1"/>
        </w:rPr>
        <w:t> </w:t>
      </w:r>
      <w:r>
        <w:rPr/>
        <w:t>Repurchased</w:t>
      </w:r>
      <w:r>
        <w:rPr>
          <w:spacing w:val="-1"/>
        </w:rPr>
        <w:t> </w:t>
      </w:r>
      <w:r>
        <w:rPr/>
        <w:t>shares</w:t>
      </w:r>
      <w:r>
        <w:rPr>
          <w:spacing w:val="-1"/>
        </w:rPr>
        <w:t> </w:t>
      </w:r>
      <w:r>
        <w:rPr/>
        <w:t>were</w:t>
      </w:r>
      <w:r>
        <w:rPr>
          <w:spacing w:val="-1"/>
        </w:rPr>
        <w:t> </w:t>
      </w:r>
      <w:r>
        <w:rPr/>
        <w:t>retired.</w:t>
      </w:r>
      <w:r>
        <w:rPr>
          <w:spacing w:val="-1"/>
        </w:rPr>
        <w:t> </w:t>
      </w:r>
      <w:r>
        <w:rPr/>
        <w:t>During</w:t>
      </w:r>
      <w:r>
        <w:rPr>
          <w:spacing w:val="-1"/>
        </w:rPr>
        <w:t> </w:t>
      </w:r>
      <w:r>
        <w:rPr/>
        <w:t>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2021,</w:t>
      </w:r>
      <w:r>
        <w:rPr>
          <w:spacing w:val="-1"/>
        </w:rPr>
        <w:t> </w:t>
      </w:r>
      <w:r>
        <w:rPr/>
        <w:t>the</w:t>
      </w:r>
      <w:r>
        <w:rPr>
          <w:spacing w:val="-1"/>
        </w:rPr>
        <w:t> </w:t>
      </w:r>
      <w:r>
        <w:rPr/>
        <w:t>Company</w:t>
      </w:r>
      <w:r>
        <w:rPr>
          <w:spacing w:val="-1"/>
        </w:rPr>
        <w:t> </w:t>
      </w:r>
      <w:r>
        <w:rPr/>
        <w:t>completed its May 2018 $2.0 billion stock repurchase plan.</w:t>
      </w:r>
    </w:p>
    <w:p>
      <w:pPr>
        <w:pStyle w:val="BodyText"/>
        <w:spacing w:before="5"/>
      </w:pPr>
    </w:p>
    <w:p>
      <w:pPr>
        <w:pStyle w:val="BodyText"/>
        <w:ind w:left="644"/>
        <w:jc w:val="both"/>
      </w:pPr>
      <w:r>
        <w:rPr/>
        <w:t>During</w:t>
      </w:r>
      <w:r>
        <w:rPr>
          <w:spacing w:val="23"/>
        </w:rPr>
        <w:t> </w:t>
      </w:r>
      <w:r>
        <w:rPr/>
        <w:t>the</w:t>
      </w:r>
      <w:r>
        <w:rPr>
          <w:spacing w:val="23"/>
        </w:rPr>
        <w:t> </w:t>
      </w:r>
      <w:r>
        <w:rPr/>
        <w:t>year</w:t>
      </w:r>
      <w:r>
        <w:rPr>
          <w:spacing w:val="23"/>
        </w:rPr>
        <w:t> </w:t>
      </w:r>
      <w:r>
        <w:rPr/>
        <w:t>ended</w:t>
      </w:r>
      <w:r>
        <w:rPr>
          <w:spacing w:val="23"/>
        </w:rPr>
        <w:t> </w:t>
      </w:r>
      <w:r>
        <w:rPr/>
        <w:t>December</w:t>
      </w:r>
      <w:r>
        <w:rPr>
          <w:spacing w:val="23"/>
        </w:rPr>
        <w:t> </w:t>
      </w:r>
      <w:r>
        <w:rPr/>
        <w:t>31,</w:t>
      </w:r>
      <w:r>
        <w:rPr>
          <w:spacing w:val="23"/>
        </w:rPr>
        <w:t> </w:t>
      </w:r>
      <w:r>
        <w:rPr/>
        <w:t>2022,</w:t>
      </w:r>
      <w:r>
        <w:rPr>
          <w:spacing w:val="23"/>
        </w:rPr>
        <w:t> </w:t>
      </w:r>
      <w:r>
        <w:rPr/>
        <w:t>the</w:t>
      </w:r>
      <w:r>
        <w:rPr>
          <w:spacing w:val="23"/>
        </w:rPr>
        <w:t> </w:t>
      </w:r>
      <w:r>
        <w:rPr/>
        <w:t>Company</w:t>
      </w:r>
      <w:r>
        <w:rPr>
          <w:spacing w:val="23"/>
        </w:rPr>
        <w:t> </w:t>
      </w:r>
      <w:r>
        <w:rPr/>
        <w:t>repurchased</w:t>
      </w:r>
      <w:r>
        <w:rPr>
          <w:spacing w:val="23"/>
        </w:rPr>
        <w:t> </w:t>
      </w:r>
      <w:r>
        <w:rPr/>
        <w:t>approximately</w:t>
      </w:r>
      <w:r>
        <w:rPr>
          <w:spacing w:val="23"/>
        </w:rPr>
        <w:t> </w:t>
      </w:r>
      <w:r>
        <w:rPr/>
        <w:t>76</w:t>
      </w:r>
      <w:r>
        <w:rPr>
          <w:spacing w:val="23"/>
        </w:rPr>
        <w:t> </w:t>
      </w:r>
      <w:r>
        <w:rPr/>
        <w:t>million</w:t>
      </w:r>
      <w:r>
        <w:rPr>
          <w:spacing w:val="23"/>
        </w:rPr>
        <w:t> </w:t>
      </w:r>
      <w:r>
        <w:rPr/>
        <w:t>shares</w:t>
      </w:r>
      <w:r>
        <w:rPr>
          <w:spacing w:val="23"/>
        </w:rPr>
        <w:t> </w:t>
      </w:r>
      <w:r>
        <w:rPr/>
        <w:t>of</w:t>
      </w:r>
      <w:r>
        <w:rPr>
          <w:spacing w:val="23"/>
        </w:rPr>
        <w:t> </w:t>
      </w:r>
      <w:r>
        <w:rPr/>
        <w:t>its</w:t>
      </w:r>
      <w:r>
        <w:rPr>
          <w:spacing w:val="23"/>
        </w:rPr>
        <w:t> </w:t>
      </w:r>
      <w:r>
        <w:rPr/>
        <w:t>common</w:t>
      </w:r>
      <w:r>
        <w:rPr>
          <w:spacing w:val="23"/>
        </w:rPr>
        <w:t> </w:t>
      </w:r>
      <w:r>
        <w:rPr/>
        <w:t>stock</w:t>
      </w:r>
      <w:r>
        <w:rPr>
          <w:spacing w:val="23"/>
        </w:rPr>
        <w:t> </w:t>
      </w:r>
      <w:r>
        <w:rPr/>
        <w:t>at</w:t>
      </w:r>
      <w:r>
        <w:rPr>
          <w:spacing w:val="23"/>
        </w:rPr>
        <w:t> </w:t>
      </w:r>
      <w:r>
        <w:rPr/>
        <w:t>an</w:t>
      </w:r>
      <w:r>
        <w:rPr>
          <w:spacing w:val="23"/>
        </w:rPr>
        <w:t> </w:t>
      </w:r>
      <w:r>
        <w:rPr/>
        <w:t>average</w:t>
      </w:r>
      <w:r>
        <w:rPr>
          <w:spacing w:val="23"/>
        </w:rPr>
        <w:t> </w:t>
      </w:r>
      <w:r>
        <w:rPr/>
        <w:t>price</w:t>
      </w:r>
      <w:r>
        <w:rPr>
          <w:spacing w:val="23"/>
        </w:rPr>
        <w:t> </w:t>
      </w:r>
      <w:r>
        <w:rPr>
          <w:spacing w:val="-5"/>
        </w:rPr>
        <w:t>of</w:t>
      </w:r>
    </w:p>
    <w:p>
      <w:pPr>
        <w:pStyle w:val="BodyText"/>
        <w:spacing w:before="9"/>
        <w:ind w:left="144" w:right="118"/>
        <w:jc w:val="both"/>
      </w:pPr>
      <w:r>
        <w:rPr/>
        <w:t>$36.32 per share for an aggregate amount of $2.8 billion, which included the February 2022 repurchase of 4.5 million shares at a price of $45.00 per share for an aggregate amount of $202.5 million from funds managed by Corvex Management LP, a related party. Repurchased shares were retired. During the year ended December 31, 2022, the Company completed its February 2020 $3.0 billion stock repurchase plan.</w:t>
      </w:r>
      <w:r>
        <w:rPr>
          <w:spacing w:val="-5"/>
        </w:rPr>
        <w:t> </w:t>
      </w:r>
      <w:r>
        <w:rPr/>
        <w:t>As of December 31, 2022 the remaining </w:t>
      </w:r>
      <w:r>
        <w:rPr/>
        <w:t>availability under the March 2022 $2.0 billion stock repurchase plan was $475 million.</w:t>
      </w:r>
    </w:p>
    <w:p>
      <w:pPr>
        <w:pStyle w:val="BodyText"/>
      </w:pPr>
    </w:p>
    <w:p>
      <w:pPr>
        <w:pStyle w:val="BodyText"/>
      </w:pPr>
    </w:p>
    <w:p>
      <w:pPr>
        <w:pStyle w:val="BodyText"/>
        <w:spacing w:before="198"/>
      </w:pPr>
    </w:p>
    <w:p>
      <w:pPr>
        <w:pStyle w:val="BodyText"/>
        <w:spacing w:before="1"/>
        <w:ind w:left="24"/>
        <w:jc w:val="center"/>
      </w:pPr>
      <w:r>
        <w:rPr>
          <w:spacing w:val="-5"/>
        </w:rPr>
        <w:t>93</w:t>
      </w:r>
    </w:p>
    <w:p>
      <w:pPr>
        <w:pStyle w:val="BodyText"/>
        <w:spacing w:before="2"/>
        <w:rPr>
          <w:sz w:val="6"/>
        </w:rPr>
      </w:pPr>
      <w:r>
        <w:rPr/>
        <mc:AlternateContent>
          <mc:Choice Requires="wps">
            <w:drawing>
              <wp:anchor distT="0" distB="0" distL="0" distR="0" allowOverlap="1" layoutInCell="1" locked="0" behindDoc="1" simplePos="0" relativeHeight="487713792">
                <wp:simplePos x="0" y="0"/>
                <wp:positionH relativeFrom="page">
                  <wp:posOffset>231457</wp:posOffset>
                </wp:positionH>
                <wp:positionV relativeFrom="paragraph">
                  <wp:posOffset>60321</wp:posOffset>
                </wp:positionV>
                <wp:extent cx="7312659" cy="17145"/>
                <wp:effectExtent l="0" t="0" r="0" b="0"/>
                <wp:wrapTopAndBottom/>
                <wp:docPr id="626" name="Group 626"/>
                <wp:cNvGraphicFramePr>
                  <a:graphicFrameLocks/>
                </wp:cNvGraphicFramePr>
                <a:graphic>
                  <a:graphicData uri="http://schemas.microsoft.com/office/word/2010/wordprocessingGroup">
                    <wpg:wgp>
                      <wpg:cNvPr id="626" name="Group 626"/>
                      <wpg:cNvGrpSpPr/>
                      <wpg:grpSpPr>
                        <a:xfrm>
                          <a:off x="0" y="0"/>
                          <a:ext cx="7312659" cy="17145"/>
                          <a:chExt cx="7312659" cy="17145"/>
                        </a:xfrm>
                      </wpg:grpSpPr>
                      <wps:wsp>
                        <wps:cNvPr id="627" name="Graphic 62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28" name="Graphic 628"/>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29" name="Graphic 62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602688;mso-wrap-distance-left:0;mso-wrap-distance-right:0" id="docshapegroup624" coordorigin="364,95" coordsize="11516,27">
                <v:rect style="position:absolute;left:364;top:95;width:11516;height:14" id="docshape625" filled="true" fillcolor="#999999" stroked="false">
                  <v:fill type="solid"/>
                </v:rect>
                <v:shape style="position:absolute;left:364;top:94;width:11516;height:27" id="docshape626" coordorigin="364,95" coordsize="11516,27" path="m11880,95l11866,108,364,108,364,122,11866,122,11880,122,11880,108,11880,95xe" filled="true" fillcolor="#ededed" stroked="false">
                  <v:path arrowok="t"/>
                  <v:fill type="solid"/>
                </v:shape>
                <v:shape style="position:absolute;left:364;top:95;width:14;height:27" id="docshape627" coordorigin="364,95" coordsize="14,27" path="m364,122l364,95,378,95,378,108,364,122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69"/>
        <w:ind w:left="644"/>
      </w:pPr>
      <w:r>
        <w:rPr/>
        <w:t>Subsequent</w:t>
      </w:r>
      <w:r>
        <w:rPr>
          <w:spacing w:val="4"/>
        </w:rPr>
        <w:t> </w:t>
      </w:r>
      <w:r>
        <w:rPr/>
        <w:t>to</w:t>
      </w:r>
      <w:r>
        <w:rPr>
          <w:spacing w:val="4"/>
        </w:rPr>
        <w:t> </w:t>
      </w:r>
      <w:r>
        <w:rPr/>
        <w:t>the</w:t>
      </w:r>
      <w:r>
        <w:rPr>
          <w:spacing w:val="4"/>
        </w:rPr>
        <w:t> </w:t>
      </w:r>
      <w:r>
        <w:rPr/>
        <w:t>year</w:t>
      </w:r>
      <w:r>
        <w:rPr>
          <w:spacing w:val="4"/>
        </w:rPr>
        <w:t> </w:t>
      </w:r>
      <w:r>
        <w:rPr/>
        <w:t>ended</w:t>
      </w:r>
      <w:r>
        <w:rPr>
          <w:spacing w:val="4"/>
        </w:rPr>
        <w:t> </w:t>
      </w:r>
      <w:r>
        <w:rPr/>
        <w:t>December</w:t>
      </w:r>
      <w:r>
        <w:rPr>
          <w:spacing w:val="4"/>
        </w:rPr>
        <w:t> </w:t>
      </w:r>
      <w:r>
        <w:rPr/>
        <w:t>31,</w:t>
      </w:r>
      <w:r>
        <w:rPr>
          <w:spacing w:val="4"/>
        </w:rPr>
        <w:t> </w:t>
      </w:r>
      <w:r>
        <w:rPr/>
        <w:t>2022,</w:t>
      </w:r>
      <w:r>
        <w:rPr>
          <w:spacing w:val="4"/>
        </w:rPr>
        <w:t> </w:t>
      </w:r>
      <w:r>
        <w:rPr/>
        <w:t>the</w:t>
      </w:r>
      <w:r>
        <w:rPr>
          <w:spacing w:val="4"/>
        </w:rPr>
        <w:t> </w:t>
      </w:r>
      <w:r>
        <w:rPr/>
        <w:t>Company</w:t>
      </w:r>
      <w:r>
        <w:rPr>
          <w:spacing w:val="4"/>
        </w:rPr>
        <w:t> </w:t>
      </w:r>
      <w:r>
        <w:rPr/>
        <w:t>repurchased</w:t>
      </w:r>
      <w:r>
        <w:rPr>
          <w:spacing w:val="4"/>
        </w:rPr>
        <w:t> </w:t>
      </w:r>
      <w:r>
        <w:rPr/>
        <w:t>approximately</w:t>
      </w:r>
      <w:r>
        <w:rPr>
          <w:spacing w:val="4"/>
        </w:rPr>
        <w:t> </w:t>
      </w:r>
      <w:r>
        <w:rPr/>
        <w:t>6</w:t>
      </w:r>
      <w:r>
        <w:rPr>
          <w:spacing w:val="4"/>
        </w:rPr>
        <w:t> </w:t>
      </w:r>
      <w:r>
        <w:rPr/>
        <w:t>million</w:t>
      </w:r>
      <w:r>
        <w:rPr>
          <w:spacing w:val="4"/>
        </w:rPr>
        <w:t> </w:t>
      </w:r>
      <w:r>
        <w:rPr/>
        <w:t>shares</w:t>
      </w:r>
      <w:r>
        <w:rPr>
          <w:spacing w:val="4"/>
        </w:rPr>
        <w:t> </w:t>
      </w:r>
      <w:r>
        <w:rPr/>
        <w:t>of</w:t>
      </w:r>
      <w:r>
        <w:rPr>
          <w:spacing w:val="4"/>
        </w:rPr>
        <w:t> </w:t>
      </w:r>
      <w:r>
        <w:rPr/>
        <w:t>its</w:t>
      </w:r>
      <w:r>
        <w:rPr>
          <w:spacing w:val="4"/>
        </w:rPr>
        <w:t> </w:t>
      </w:r>
      <w:r>
        <w:rPr/>
        <w:t>common</w:t>
      </w:r>
      <w:r>
        <w:rPr>
          <w:spacing w:val="4"/>
        </w:rPr>
        <w:t> </w:t>
      </w:r>
      <w:r>
        <w:rPr/>
        <w:t>stock</w:t>
      </w:r>
      <w:r>
        <w:rPr>
          <w:spacing w:val="4"/>
        </w:rPr>
        <w:t> </w:t>
      </w:r>
      <w:r>
        <w:rPr/>
        <w:t>at</w:t>
      </w:r>
      <w:r>
        <w:rPr>
          <w:spacing w:val="4"/>
        </w:rPr>
        <w:t> </w:t>
      </w:r>
      <w:r>
        <w:rPr/>
        <w:t>an</w:t>
      </w:r>
      <w:r>
        <w:rPr>
          <w:spacing w:val="4"/>
        </w:rPr>
        <w:t> </w:t>
      </w:r>
      <w:r>
        <w:rPr/>
        <w:t>average</w:t>
      </w:r>
      <w:r>
        <w:rPr>
          <w:spacing w:val="4"/>
        </w:rPr>
        <w:t> </w:t>
      </w:r>
      <w:r>
        <w:rPr/>
        <w:t>price</w:t>
      </w:r>
      <w:r>
        <w:rPr>
          <w:spacing w:val="4"/>
        </w:rPr>
        <w:t> </w:t>
      </w:r>
      <w:r>
        <w:rPr>
          <w:spacing w:val="-5"/>
        </w:rPr>
        <w:t>of</w:t>
      </w:r>
    </w:p>
    <w:p>
      <w:pPr>
        <w:pStyle w:val="BodyText"/>
        <w:spacing w:before="9"/>
        <w:ind w:left="144"/>
      </w:pPr>
      <w:r>
        <w:rPr/>
        <w:t>$38.12</w:t>
      </w:r>
      <w:r>
        <w:rPr>
          <w:spacing w:val="-1"/>
        </w:rPr>
        <w:t> </w:t>
      </w:r>
      <w:r>
        <w:rPr/>
        <w:t>per</w:t>
      </w:r>
      <w:r>
        <w:rPr>
          <w:spacing w:val="-1"/>
        </w:rPr>
        <w:t> </w:t>
      </w:r>
      <w:r>
        <w:rPr/>
        <w:t>share</w:t>
      </w:r>
      <w:r>
        <w:rPr>
          <w:spacing w:val="-1"/>
        </w:rPr>
        <w:t> </w:t>
      </w:r>
      <w:r>
        <w:rPr/>
        <w:t>for</w:t>
      </w:r>
      <w:r>
        <w:rPr>
          <w:spacing w:val="-1"/>
        </w:rPr>
        <w:t> </w:t>
      </w:r>
      <w:r>
        <w:rPr/>
        <w:t>an</w:t>
      </w:r>
      <w:r>
        <w:rPr>
          <w:spacing w:val="-1"/>
        </w:rPr>
        <w:t> </w:t>
      </w:r>
      <w:r>
        <w:rPr/>
        <w:t>aggregate</w:t>
      </w:r>
      <w:r>
        <w:rPr>
          <w:spacing w:val="-1"/>
        </w:rPr>
        <w:t> </w:t>
      </w:r>
      <w:r>
        <w:rPr/>
        <w:t>amount</w:t>
      </w:r>
      <w:r>
        <w:rPr>
          <w:spacing w:val="-1"/>
        </w:rPr>
        <w:t> </w:t>
      </w:r>
      <w:r>
        <w:rPr/>
        <w:t>of</w:t>
      </w:r>
      <w:r>
        <w:rPr>
          <w:spacing w:val="-1"/>
        </w:rPr>
        <w:t> </w:t>
      </w:r>
      <w:r>
        <w:rPr/>
        <w:t>$210</w:t>
      </w:r>
      <w:r>
        <w:rPr>
          <w:spacing w:val="-1"/>
        </w:rPr>
        <w:t> </w:t>
      </w:r>
      <w:r>
        <w:rPr/>
        <w:t>million.</w:t>
      </w:r>
      <w:r>
        <w:rPr>
          <w:spacing w:val="-1"/>
        </w:rPr>
        <w:t> </w:t>
      </w:r>
      <w:r>
        <w:rPr/>
        <w:t>Repurchased</w:t>
      </w:r>
      <w:r>
        <w:rPr>
          <w:spacing w:val="-1"/>
        </w:rPr>
        <w:t> </w:t>
      </w:r>
      <w:r>
        <w:rPr/>
        <w:t>shares</w:t>
      </w:r>
      <w:r>
        <w:rPr>
          <w:spacing w:val="-1"/>
        </w:rPr>
        <w:t> </w:t>
      </w:r>
      <w:r>
        <w:rPr/>
        <w:t>were</w:t>
      </w:r>
      <w:r>
        <w:rPr>
          <w:spacing w:val="-1"/>
        </w:rPr>
        <w:t> </w:t>
      </w:r>
      <w:r>
        <w:rPr>
          <w:spacing w:val="-2"/>
        </w:rPr>
        <w:t>retired.</w:t>
      </w:r>
    </w:p>
    <w:p>
      <w:pPr>
        <w:pStyle w:val="BodyText"/>
        <w:spacing w:before="4"/>
      </w:pPr>
    </w:p>
    <w:p>
      <w:pPr>
        <w:pStyle w:val="Heading4"/>
        <w:spacing w:before="1"/>
      </w:pPr>
      <w:r>
        <w:rPr/>
        <w:t>NOTE</w:t>
      </w:r>
      <w:r>
        <w:rPr>
          <w:spacing w:val="-2"/>
        </w:rPr>
        <w:t> </w:t>
      </w:r>
      <w:r>
        <w:rPr/>
        <w:t>14</w:t>
      </w:r>
      <w:r>
        <w:rPr>
          <w:spacing w:val="-2"/>
        </w:rPr>
        <w:t> </w:t>
      </w:r>
      <w:r>
        <w:rPr/>
        <w:t>—</w:t>
      </w:r>
      <w:r>
        <w:rPr>
          <w:spacing w:val="-2"/>
        </w:rPr>
        <w:t> </w:t>
      </w:r>
      <w:r>
        <w:rPr/>
        <w:t>STOCK-BASED</w:t>
      </w:r>
      <w:r>
        <w:rPr>
          <w:spacing w:val="-2"/>
        </w:rPr>
        <w:t> COMPENSATION</w:t>
      </w:r>
    </w:p>
    <w:p>
      <w:pPr>
        <w:pStyle w:val="BodyText"/>
        <w:spacing w:before="4"/>
        <w:rPr>
          <w:b/>
        </w:rPr>
      </w:pPr>
    </w:p>
    <w:p>
      <w:pPr>
        <w:pStyle w:val="BodyText"/>
        <w:spacing w:line="242" w:lineRule="auto"/>
        <w:ind w:left="144" w:right="118" w:firstLine="499"/>
        <w:jc w:val="both"/>
      </w:pPr>
      <w:r>
        <w:rPr>
          <w:b/>
        </w:rPr>
        <w:t>MGM Resorts International 2022 Omnibus Incentive Plan. </w:t>
      </w:r>
      <w:r>
        <w:rPr/>
        <w:t>On May 4, 2022, the MGM Resorts 2022 Omnibus Incentive Plan (“2022 </w:t>
      </w:r>
      <w:r>
        <w:rPr/>
        <w:t>Omnibus Plan”) was approved and replaced and superseded the amended and restated MGM Resorts 2005 Omnibus Incentive Plan.</w:t>
      </w:r>
      <w:r>
        <w:rPr>
          <w:spacing w:val="-4"/>
        </w:rPr>
        <w:t> </w:t>
      </w:r>
      <w:r>
        <w:rPr/>
        <w:t>The Company’s 2022 Omnibus Plan allows it to grant up to approximately 18 million shares or stock-based awards, such as stock options, stock appreciation rights (“SARs”), restricted stock units (“RSUs”), performance share units (“PSUs”) and other stock-based awards to eligible directors, officers, employees, and consultants of the Company and its </w:t>
      </w:r>
      <w:r>
        <w:rPr>
          <w:spacing w:val="-2"/>
        </w:rPr>
        <w:t>subsidiaries.</w:t>
      </w:r>
    </w:p>
    <w:p>
      <w:pPr>
        <w:pStyle w:val="BodyText"/>
        <w:spacing w:before="3"/>
      </w:pPr>
    </w:p>
    <w:p>
      <w:pPr>
        <w:pStyle w:val="BodyText"/>
        <w:spacing w:line="242" w:lineRule="auto"/>
        <w:ind w:left="144" w:right="118" w:firstLine="499"/>
        <w:jc w:val="both"/>
      </w:pPr>
      <w:r>
        <w:rPr/>
        <w:t>As of December 31, 2022, the Company had an aggregate of approximately 16 million shares of common stock available for grant as stock-</w:t>
      </w:r>
      <w:r>
        <w:rPr/>
        <w:t>based</w:t>
      </w:r>
      <w:r>
        <w:rPr>
          <w:spacing w:val="40"/>
        </w:rPr>
        <w:t> </w:t>
      </w:r>
      <w:r>
        <w:rPr/>
        <w:t>awards under the 2022 Omnibus Plan. Additionally, as of December 31, 2022, the Company had less than 1 million aggregate SARs outstanding and approximately 6 million aggregate RSUs and PSUs outstanding, including deferred share units and dividend equivalent units related to RSUs and PSUs.</w:t>
      </w:r>
    </w:p>
    <w:p>
      <w:pPr>
        <w:pStyle w:val="BodyText"/>
        <w:spacing w:before="7"/>
      </w:pPr>
    </w:p>
    <w:p>
      <w:pPr>
        <w:pStyle w:val="BodyText"/>
        <w:spacing w:line="235" w:lineRule="auto"/>
        <w:ind w:left="144" w:right="118" w:firstLine="499"/>
        <w:jc w:val="both"/>
      </w:pPr>
      <w:r>
        <w:rPr/>
        <w:t>As of December 31, 2022, there was $101 million of unamortized compensation expense related to stock-based awards, which is expected to be recognized over a weighted average period of 1.7 years.</w:t>
      </w:r>
    </w:p>
    <w:p>
      <w:pPr>
        <w:pStyle w:val="BodyText"/>
        <w:spacing w:before="21"/>
      </w:pPr>
    </w:p>
    <w:p>
      <w:pPr>
        <w:spacing w:line="235" w:lineRule="auto" w:before="1"/>
        <w:ind w:left="144" w:right="118" w:firstLine="499"/>
        <w:jc w:val="both"/>
        <w:rPr>
          <w:sz w:val="18"/>
        </w:rPr>
      </w:pPr>
      <w:r>
        <w:rPr>
          <w:b/>
          <w:sz w:val="18"/>
        </w:rPr>
        <w:t>MGM Growth Properties 2016 Omnibus Incentive Plan and MGM China Share Option Plan. </w:t>
      </w:r>
      <w:r>
        <w:rPr>
          <w:sz w:val="18"/>
        </w:rPr>
        <w:t>The Company’s subsidiaries, MGP and MGM China,</w:t>
      </w:r>
      <w:r>
        <w:rPr>
          <w:spacing w:val="-2"/>
          <w:sz w:val="18"/>
        </w:rPr>
        <w:t> </w:t>
      </w:r>
      <w:r>
        <w:rPr>
          <w:sz w:val="18"/>
        </w:rPr>
        <w:t>each</w:t>
      </w:r>
      <w:r>
        <w:rPr>
          <w:spacing w:val="-2"/>
          <w:sz w:val="18"/>
        </w:rPr>
        <w:t> </w:t>
      </w:r>
      <w:r>
        <w:rPr>
          <w:sz w:val="18"/>
        </w:rPr>
        <w:t>adopted</w:t>
      </w:r>
      <w:r>
        <w:rPr>
          <w:spacing w:val="-2"/>
          <w:sz w:val="18"/>
        </w:rPr>
        <w:t> </w:t>
      </w:r>
      <w:r>
        <w:rPr>
          <w:sz w:val="18"/>
        </w:rPr>
        <w:t>their</w:t>
      </w:r>
      <w:r>
        <w:rPr>
          <w:spacing w:val="-2"/>
          <w:sz w:val="18"/>
        </w:rPr>
        <w:t> </w:t>
      </w:r>
      <w:r>
        <w:rPr>
          <w:sz w:val="18"/>
        </w:rPr>
        <w:t>own</w:t>
      </w:r>
      <w:r>
        <w:rPr>
          <w:spacing w:val="-2"/>
          <w:sz w:val="18"/>
        </w:rPr>
        <w:t> </w:t>
      </w:r>
      <w:r>
        <w:rPr>
          <w:sz w:val="18"/>
        </w:rPr>
        <w:t>equity</w:t>
      </w:r>
      <w:r>
        <w:rPr>
          <w:spacing w:val="-2"/>
          <w:sz w:val="18"/>
        </w:rPr>
        <w:t> </w:t>
      </w:r>
      <w:r>
        <w:rPr>
          <w:sz w:val="18"/>
        </w:rPr>
        <w:t>award</w:t>
      </w:r>
      <w:r>
        <w:rPr>
          <w:spacing w:val="-2"/>
          <w:sz w:val="18"/>
        </w:rPr>
        <w:t> </w:t>
      </w:r>
      <w:r>
        <w:rPr>
          <w:sz w:val="18"/>
        </w:rPr>
        <w:t>plans</w:t>
      </w:r>
      <w:r>
        <w:rPr>
          <w:spacing w:val="-2"/>
          <w:sz w:val="18"/>
        </w:rPr>
        <w:t> </w:t>
      </w:r>
      <w:r>
        <w:rPr>
          <w:sz w:val="18"/>
        </w:rPr>
        <w:t>for</w:t>
      </w:r>
      <w:r>
        <w:rPr>
          <w:spacing w:val="-2"/>
          <w:sz w:val="18"/>
        </w:rPr>
        <w:t> </w:t>
      </w:r>
      <w:r>
        <w:rPr>
          <w:sz w:val="18"/>
        </w:rPr>
        <w:t>the</w:t>
      </w:r>
      <w:r>
        <w:rPr>
          <w:spacing w:val="-2"/>
          <w:sz w:val="18"/>
        </w:rPr>
        <w:t> </w:t>
      </w:r>
      <w:r>
        <w:rPr>
          <w:sz w:val="18"/>
        </w:rPr>
        <w:t>issuance</w:t>
      </w:r>
      <w:r>
        <w:rPr>
          <w:spacing w:val="-2"/>
          <w:sz w:val="18"/>
        </w:rPr>
        <w:t> </w:t>
      </w:r>
      <w:r>
        <w:rPr>
          <w:sz w:val="18"/>
        </w:rPr>
        <w:t>of</w:t>
      </w:r>
      <w:r>
        <w:rPr>
          <w:spacing w:val="-2"/>
          <w:sz w:val="18"/>
        </w:rPr>
        <w:t> </w:t>
      </w:r>
      <w:r>
        <w:rPr>
          <w:sz w:val="18"/>
        </w:rPr>
        <w:t>stock-based</w:t>
      </w:r>
      <w:r>
        <w:rPr>
          <w:spacing w:val="-2"/>
          <w:sz w:val="18"/>
        </w:rPr>
        <w:t> </w:t>
      </w:r>
      <w:r>
        <w:rPr>
          <w:sz w:val="18"/>
        </w:rPr>
        <w:t>awards</w:t>
      </w:r>
      <w:r>
        <w:rPr>
          <w:spacing w:val="-2"/>
          <w:sz w:val="18"/>
        </w:rPr>
        <w:t> </w:t>
      </w:r>
      <w:r>
        <w:rPr>
          <w:sz w:val="18"/>
        </w:rPr>
        <w:t>to</w:t>
      </w:r>
      <w:r>
        <w:rPr>
          <w:spacing w:val="-2"/>
          <w:sz w:val="18"/>
        </w:rPr>
        <w:t> </w:t>
      </w:r>
      <w:r>
        <w:rPr>
          <w:sz w:val="18"/>
        </w:rPr>
        <w:t>each</w:t>
      </w:r>
      <w:r>
        <w:rPr>
          <w:spacing w:val="-2"/>
          <w:sz w:val="18"/>
        </w:rPr>
        <w:t> </w:t>
      </w:r>
      <w:r>
        <w:rPr>
          <w:sz w:val="18"/>
        </w:rPr>
        <w:t>subsidiary’s</w:t>
      </w:r>
      <w:r>
        <w:rPr>
          <w:spacing w:val="-2"/>
          <w:sz w:val="18"/>
        </w:rPr>
        <w:t> </w:t>
      </w:r>
      <w:r>
        <w:rPr>
          <w:sz w:val="18"/>
        </w:rPr>
        <w:t>eligible</w:t>
      </w:r>
      <w:r>
        <w:rPr>
          <w:spacing w:val="-2"/>
          <w:sz w:val="18"/>
        </w:rPr>
        <w:t> </w:t>
      </w:r>
      <w:r>
        <w:rPr>
          <w:sz w:val="18"/>
        </w:rPr>
        <w:t>recipients.</w:t>
      </w:r>
      <w:r>
        <w:rPr>
          <w:spacing w:val="-6"/>
          <w:sz w:val="18"/>
        </w:rPr>
        <w:t> </w:t>
      </w:r>
      <w:r>
        <w:rPr>
          <w:sz w:val="18"/>
        </w:rPr>
        <w:t>Vesting</w:t>
      </w:r>
      <w:r>
        <w:rPr>
          <w:spacing w:val="-2"/>
          <w:sz w:val="18"/>
        </w:rPr>
        <w:t> </w:t>
      </w:r>
      <w:r>
        <w:rPr>
          <w:sz w:val="18"/>
        </w:rPr>
        <w:t>of</w:t>
      </w:r>
      <w:r>
        <w:rPr>
          <w:spacing w:val="-2"/>
          <w:sz w:val="18"/>
        </w:rPr>
        <w:t> </w:t>
      </w:r>
      <w:r>
        <w:rPr>
          <w:sz w:val="18"/>
        </w:rPr>
        <w:t>MGP’s</w:t>
      </w:r>
      <w:r>
        <w:rPr>
          <w:spacing w:val="-2"/>
          <w:sz w:val="18"/>
        </w:rPr>
        <w:t> </w:t>
      </w:r>
      <w:r>
        <w:rPr>
          <w:sz w:val="18"/>
        </w:rPr>
        <w:t>outstanding awards was accelerated as a result of the change of control of MGP related to the VICI Transaction.</w:t>
      </w:r>
    </w:p>
    <w:p>
      <w:pPr>
        <w:pStyle w:val="BodyText"/>
        <w:spacing w:before="17"/>
      </w:pPr>
    </w:p>
    <w:p>
      <w:pPr>
        <w:spacing w:before="1"/>
        <w:ind w:left="0" w:right="4471" w:firstLine="0"/>
        <w:jc w:val="center"/>
        <w:rPr>
          <w:sz w:val="18"/>
        </w:rPr>
      </w:pPr>
      <w:r>
        <w:rPr>
          <w:b/>
          <w:sz w:val="18"/>
        </w:rPr>
        <w:t>Recognition</w:t>
      </w:r>
      <w:r>
        <w:rPr>
          <w:b/>
          <w:spacing w:val="-1"/>
          <w:sz w:val="18"/>
        </w:rPr>
        <w:t> </w:t>
      </w:r>
      <w:r>
        <w:rPr>
          <w:b/>
          <w:sz w:val="18"/>
        </w:rPr>
        <w:t>of</w:t>
      </w:r>
      <w:r>
        <w:rPr>
          <w:b/>
          <w:spacing w:val="-1"/>
          <w:sz w:val="18"/>
        </w:rPr>
        <w:t> </w:t>
      </w:r>
      <w:r>
        <w:rPr>
          <w:b/>
          <w:sz w:val="18"/>
        </w:rPr>
        <w:t>compensation</w:t>
      </w:r>
      <w:r>
        <w:rPr>
          <w:b/>
          <w:spacing w:val="-1"/>
          <w:sz w:val="18"/>
        </w:rPr>
        <w:t> </w:t>
      </w:r>
      <w:r>
        <w:rPr>
          <w:b/>
          <w:sz w:val="18"/>
        </w:rPr>
        <w:t>cost. </w:t>
      </w:r>
      <w:r>
        <w:rPr>
          <w:sz w:val="18"/>
        </w:rPr>
        <w:t>Compensation</w:t>
      </w:r>
      <w:r>
        <w:rPr>
          <w:spacing w:val="-1"/>
          <w:sz w:val="18"/>
        </w:rPr>
        <w:t> </w:t>
      </w:r>
      <w:r>
        <w:rPr>
          <w:sz w:val="18"/>
        </w:rPr>
        <w:t>cost</w:t>
      </w:r>
      <w:r>
        <w:rPr>
          <w:spacing w:val="-1"/>
          <w:sz w:val="18"/>
        </w:rPr>
        <w:t> </w:t>
      </w:r>
      <w:r>
        <w:rPr>
          <w:sz w:val="18"/>
        </w:rPr>
        <w:t>was</w:t>
      </w:r>
      <w:r>
        <w:rPr>
          <w:spacing w:val="-1"/>
          <w:sz w:val="18"/>
        </w:rPr>
        <w:t> </w:t>
      </w:r>
      <w:r>
        <w:rPr>
          <w:sz w:val="18"/>
        </w:rPr>
        <w:t>recognized</w:t>
      </w:r>
      <w:r>
        <w:rPr>
          <w:spacing w:val="-1"/>
          <w:sz w:val="18"/>
        </w:rPr>
        <w:t> </w:t>
      </w:r>
      <w:r>
        <w:rPr>
          <w:sz w:val="18"/>
        </w:rPr>
        <w:t>as</w:t>
      </w:r>
      <w:r>
        <w:rPr>
          <w:spacing w:val="-1"/>
          <w:sz w:val="18"/>
        </w:rPr>
        <w:t> </w:t>
      </w:r>
      <w:r>
        <w:rPr>
          <w:spacing w:val="-2"/>
          <w:sz w:val="18"/>
        </w:rPr>
        <w:t>follows:</w:t>
      </w:r>
    </w:p>
    <w:p>
      <w:pPr>
        <w:pStyle w:val="Heading5"/>
        <w:spacing w:before="49"/>
        <w:ind w:left="6756"/>
      </w:pPr>
      <w:r>
        <w:rPr/>
        <mc:AlternateContent>
          <mc:Choice Requires="wps">
            <w:drawing>
              <wp:anchor distT="0" distB="0" distL="0" distR="0" allowOverlap="1" layoutInCell="1" locked="0" behindDoc="1" simplePos="0" relativeHeight="487714304">
                <wp:simplePos x="0" y="0"/>
                <wp:positionH relativeFrom="page">
                  <wp:posOffset>4509122</wp:posOffset>
                </wp:positionH>
                <wp:positionV relativeFrom="paragraph">
                  <wp:posOffset>181015</wp:posOffset>
                </wp:positionV>
                <wp:extent cx="3034665" cy="8890"/>
                <wp:effectExtent l="0" t="0" r="0" b="0"/>
                <wp:wrapTopAndBottom/>
                <wp:docPr id="630" name="Graphic 630"/>
                <wp:cNvGraphicFramePr>
                  <a:graphicFrameLocks/>
                </wp:cNvGraphicFramePr>
                <a:graphic>
                  <a:graphicData uri="http://schemas.microsoft.com/office/word/2010/wordprocessingShape">
                    <wps:wsp>
                      <wps:cNvPr id="630" name="Graphic 630"/>
                      <wps:cNvSpPr/>
                      <wps:spPr>
                        <a:xfrm>
                          <a:off x="0" y="0"/>
                          <a:ext cx="3034665" cy="8890"/>
                        </a:xfrm>
                        <a:custGeom>
                          <a:avLst/>
                          <a:gdLst/>
                          <a:ahLst/>
                          <a:cxnLst/>
                          <a:rect l="l" t="t" r="r" b="b"/>
                          <a:pathLst>
                            <a:path w="3034665" h="8890">
                              <a:moveTo>
                                <a:pt x="3034665" y="0"/>
                              </a:moveTo>
                              <a:lnTo>
                                <a:pt x="3034665" y="0"/>
                              </a:lnTo>
                              <a:lnTo>
                                <a:pt x="0" y="0"/>
                              </a:lnTo>
                              <a:lnTo>
                                <a:pt x="0" y="8572"/>
                              </a:lnTo>
                              <a:lnTo>
                                <a:pt x="3034665" y="8572"/>
                              </a:lnTo>
                              <a:lnTo>
                                <a:pt x="3034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049011pt;margin-top:14.253175pt;width:238.950011pt;height:.675pt;mso-position-horizontal-relative:page;mso-position-vertical-relative:paragraph;z-index:-15602176;mso-wrap-distance-left:0;mso-wrap-distance-right:0" id="docshape628"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88" w:val="left" w:leader="none"/>
          <w:tab w:pos="10022" w:val="left" w:leader="none"/>
        </w:tabs>
        <w:spacing w:before="21" w:after="29"/>
        <w:ind w:left="6755"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81"/>
        <w:rPr>
          <w:sz w:val="2"/>
        </w:rPr>
      </w:pPr>
      <w:r>
        <w:rPr>
          <w:sz w:val="2"/>
        </w:rPr>
        <mc:AlternateContent>
          <mc:Choice Requires="wps">
            <w:drawing>
              <wp:inline distT="0" distB="0" distL="0" distR="0">
                <wp:extent cx="3034665" cy="8890"/>
                <wp:effectExtent l="0" t="0" r="0" b="0"/>
                <wp:docPr id="631" name="Group 631"/>
                <wp:cNvGraphicFramePr>
                  <a:graphicFrameLocks/>
                </wp:cNvGraphicFramePr>
                <a:graphic>
                  <a:graphicData uri="http://schemas.microsoft.com/office/word/2010/wordprocessingGroup">
                    <wpg:wgp>
                      <wpg:cNvPr id="631" name="Group 631"/>
                      <wpg:cNvGrpSpPr/>
                      <wpg:grpSpPr>
                        <a:xfrm>
                          <a:off x="0" y="0"/>
                          <a:ext cx="3034665" cy="8890"/>
                          <a:chExt cx="3034665" cy="8890"/>
                        </a:xfrm>
                      </wpg:grpSpPr>
                      <wps:wsp>
                        <wps:cNvPr id="632" name="Graphic 632"/>
                        <wps:cNvSpPr/>
                        <wps:spPr>
                          <a:xfrm>
                            <a:off x="-12" y="-4"/>
                            <a:ext cx="3034665" cy="8890"/>
                          </a:xfrm>
                          <a:custGeom>
                            <a:avLst/>
                            <a:gdLst/>
                            <a:ahLst/>
                            <a:cxnLst/>
                            <a:rect l="l" t="t" r="r" b="b"/>
                            <a:pathLst>
                              <a:path w="3034665" h="8890">
                                <a:moveTo>
                                  <a:pt x="3034665" y="0"/>
                                </a:moveTo>
                                <a:lnTo>
                                  <a:pt x="3034665" y="0"/>
                                </a:lnTo>
                                <a:lnTo>
                                  <a:pt x="0" y="0"/>
                                </a:lnTo>
                                <a:lnTo>
                                  <a:pt x="0" y="8572"/>
                                </a:lnTo>
                                <a:lnTo>
                                  <a:pt x="3034665" y="8572"/>
                                </a:lnTo>
                                <a:lnTo>
                                  <a:pt x="30346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8.95pt;height:.7pt;mso-position-horizontal-relative:char;mso-position-vertical-relative:line" id="docshapegroup629" coordorigin="0,0" coordsize="4779,14">
                <v:rect style="position:absolute;left:-1;top:0;width:4779;height:14" id="docshape630" filled="true" fillcolor="#000000" stroked="false">
                  <v:fill type="solid"/>
                </v:rect>
              </v:group>
            </w:pict>
          </mc:Fallback>
        </mc:AlternateContent>
      </w:r>
      <w:r>
        <w:rPr>
          <w:sz w:val="2"/>
        </w:rPr>
      </w:r>
    </w:p>
    <w:p>
      <w:pPr>
        <w:tabs>
          <w:tab w:pos="8829" w:val="left" w:leader="none"/>
        </w:tabs>
        <w:spacing w:before="14" w:after="29"/>
        <w:ind w:left="162" w:right="0" w:firstLine="0"/>
        <w:jc w:val="left"/>
        <w:rPr>
          <w:b/>
          <w:i/>
          <w:sz w:val="14"/>
        </w:rPr>
      </w:pPr>
      <w:r>
        <w:rPr>
          <w:sz w:val="18"/>
        </w:rPr>
        <w:t>Compensation</w:t>
      </w:r>
      <w:r>
        <w:rPr>
          <w:spacing w:val="-1"/>
          <w:sz w:val="18"/>
        </w:rPr>
        <w:t> </w:t>
      </w:r>
      <w:r>
        <w:rPr>
          <w:spacing w:val="-2"/>
          <w:sz w:val="18"/>
        </w:rPr>
        <w:t>cost:</w:t>
      </w:r>
      <w:r>
        <w:rPr>
          <w:sz w:val="18"/>
        </w:rPr>
        <w:tab/>
      </w: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6"/>
        <w:gridCol w:w="1512"/>
        <w:gridCol w:w="122"/>
        <w:gridCol w:w="1512"/>
        <w:gridCol w:w="122"/>
        <w:gridCol w:w="1512"/>
      </w:tblGrid>
      <w:tr>
        <w:trPr>
          <w:trHeight w:val="256" w:hRule="atLeast"/>
        </w:trPr>
        <w:tc>
          <w:tcPr>
            <w:tcW w:w="6736" w:type="dxa"/>
            <w:shd w:val="clear" w:color="auto" w:fill="CFF0FB"/>
          </w:tcPr>
          <w:p>
            <w:pPr>
              <w:pStyle w:val="TableParagraph"/>
              <w:ind w:left="217"/>
              <w:rPr>
                <w:sz w:val="18"/>
              </w:rPr>
            </w:pPr>
            <w:r>
              <w:rPr>
                <w:sz w:val="18"/>
              </w:rPr>
              <w:t>Omnibus</w:t>
            </w:r>
            <w:r>
              <w:rPr>
                <w:spacing w:val="-1"/>
                <w:sz w:val="18"/>
              </w:rPr>
              <w:t> </w:t>
            </w:r>
            <w:r>
              <w:rPr>
                <w:spacing w:val="-4"/>
                <w:sz w:val="18"/>
              </w:rPr>
              <w:t>Plan</w:t>
            </w:r>
          </w:p>
        </w:tc>
        <w:tc>
          <w:tcPr>
            <w:tcW w:w="1512" w:type="dxa"/>
            <w:shd w:val="clear" w:color="auto" w:fill="CFF0FB"/>
          </w:tcPr>
          <w:p>
            <w:pPr>
              <w:pStyle w:val="TableParagraph"/>
              <w:tabs>
                <w:tab w:pos="930" w:val="left" w:leader="none"/>
              </w:tabs>
              <w:ind w:right="70"/>
              <w:jc w:val="right"/>
              <w:rPr>
                <w:sz w:val="18"/>
              </w:rPr>
            </w:pPr>
            <w:r>
              <w:rPr>
                <w:spacing w:val="-10"/>
                <w:sz w:val="18"/>
              </w:rPr>
              <w:t>$</w:t>
            </w:r>
            <w:r>
              <w:rPr>
                <w:sz w:val="18"/>
              </w:rPr>
              <w:tab/>
            </w:r>
            <w:r>
              <w:rPr>
                <w:spacing w:val="-2"/>
                <w:sz w:val="18"/>
              </w:rPr>
              <w:t>60,264</w:t>
            </w:r>
          </w:p>
        </w:tc>
        <w:tc>
          <w:tcPr>
            <w:tcW w:w="122" w:type="dxa"/>
            <w:shd w:val="clear" w:color="auto" w:fill="CFF0FB"/>
          </w:tcPr>
          <w:p>
            <w:pPr>
              <w:pStyle w:val="TableParagraph"/>
              <w:spacing w:before="0"/>
              <w:rPr>
                <w:sz w:val="16"/>
              </w:rPr>
            </w:pPr>
          </w:p>
        </w:tc>
        <w:tc>
          <w:tcPr>
            <w:tcW w:w="1512" w:type="dxa"/>
            <w:shd w:val="clear" w:color="auto" w:fill="CFF0FB"/>
          </w:tcPr>
          <w:p>
            <w:pPr>
              <w:pStyle w:val="TableParagraph"/>
              <w:tabs>
                <w:tab w:pos="930" w:val="left" w:leader="none"/>
              </w:tabs>
              <w:ind w:right="71"/>
              <w:jc w:val="right"/>
              <w:rPr>
                <w:sz w:val="18"/>
              </w:rPr>
            </w:pPr>
            <w:r>
              <w:rPr>
                <w:spacing w:val="-10"/>
                <w:sz w:val="18"/>
              </w:rPr>
              <w:t>$</w:t>
            </w:r>
            <w:r>
              <w:rPr>
                <w:sz w:val="18"/>
              </w:rPr>
              <w:tab/>
            </w:r>
            <w:r>
              <w:rPr>
                <w:spacing w:val="-2"/>
                <w:sz w:val="18"/>
              </w:rPr>
              <w:t>53,683</w:t>
            </w:r>
          </w:p>
        </w:tc>
        <w:tc>
          <w:tcPr>
            <w:tcW w:w="122" w:type="dxa"/>
            <w:shd w:val="clear" w:color="auto" w:fill="CFF0FB"/>
          </w:tcPr>
          <w:p>
            <w:pPr>
              <w:pStyle w:val="TableParagraph"/>
              <w:spacing w:before="0"/>
              <w:rPr>
                <w:sz w:val="16"/>
              </w:rPr>
            </w:pPr>
          </w:p>
        </w:tc>
        <w:tc>
          <w:tcPr>
            <w:tcW w:w="1512" w:type="dxa"/>
            <w:shd w:val="clear" w:color="auto" w:fill="CFF0FB"/>
          </w:tcPr>
          <w:p>
            <w:pPr>
              <w:pStyle w:val="TableParagraph"/>
              <w:tabs>
                <w:tab w:pos="931" w:val="left" w:leader="none"/>
              </w:tabs>
              <w:ind w:right="71"/>
              <w:jc w:val="right"/>
              <w:rPr>
                <w:sz w:val="18"/>
              </w:rPr>
            </w:pPr>
            <w:r>
              <w:rPr>
                <w:spacing w:val="-10"/>
                <w:sz w:val="18"/>
              </w:rPr>
              <w:t>$</w:t>
            </w:r>
            <w:r>
              <w:rPr>
                <w:sz w:val="18"/>
              </w:rPr>
              <w:tab/>
            </w:r>
            <w:r>
              <w:rPr>
                <w:spacing w:val="-2"/>
                <w:sz w:val="18"/>
              </w:rPr>
              <w:t>93,096</w:t>
            </w:r>
          </w:p>
        </w:tc>
      </w:tr>
      <w:tr>
        <w:trPr>
          <w:trHeight w:val="256" w:hRule="atLeast"/>
        </w:trPr>
        <w:tc>
          <w:tcPr>
            <w:tcW w:w="6736" w:type="dxa"/>
          </w:tcPr>
          <w:p>
            <w:pPr>
              <w:pStyle w:val="TableParagraph"/>
              <w:ind w:left="217"/>
              <w:rPr>
                <w:sz w:val="18"/>
              </w:rPr>
            </w:pPr>
            <w:r>
              <w:rPr>
                <w:sz w:val="18"/>
              </w:rPr>
              <w:t>MGM</w:t>
            </w:r>
            <w:r>
              <w:rPr>
                <w:spacing w:val="-1"/>
                <w:sz w:val="18"/>
              </w:rPr>
              <w:t> </w:t>
            </w:r>
            <w:r>
              <w:rPr>
                <w:sz w:val="18"/>
              </w:rPr>
              <w:t>Growth</w:t>
            </w:r>
            <w:r>
              <w:rPr>
                <w:spacing w:val="-1"/>
                <w:sz w:val="18"/>
              </w:rPr>
              <w:t> </w:t>
            </w:r>
            <w:r>
              <w:rPr>
                <w:sz w:val="18"/>
              </w:rPr>
              <w:t>Properties</w:t>
            </w:r>
            <w:r>
              <w:rPr>
                <w:spacing w:val="-1"/>
                <w:sz w:val="18"/>
              </w:rPr>
              <w:t> </w:t>
            </w:r>
            <w:r>
              <w:rPr>
                <w:sz w:val="18"/>
              </w:rPr>
              <w:t>Omnibus</w:t>
            </w:r>
            <w:r>
              <w:rPr>
                <w:spacing w:val="-1"/>
                <w:sz w:val="18"/>
              </w:rPr>
              <w:t> </w:t>
            </w:r>
            <w:r>
              <w:rPr>
                <w:sz w:val="18"/>
              </w:rPr>
              <w:t>Incentive</w:t>
            </w:r>
            <w:r>
              <w:rPr>
                <w:spacing w:val="-1"/>
                <w:sz w:val="18"/>
              </w:rPr>
              <w:t> </w:t>
            </w:r>
            <w:r>
              <w:rPr>
                <w:spacing w:val="-4"/>
                <w:sz w:val="18"/>
              </w:rPr>
              <w:t>Plan</w:t>
            </w:r>
          </w:p>
        </w:tc>
        <w:tc>
          <w:tcPr>
            <w:tcW w:w="1512" w:type="dxa"/>
          </w:tcPr>
          <w:p>
            <w:pPr>
              <w:pStyle w:val="TableParagraph"/>
              <w:ind w:right="70"/>
              <w:jc w:val="right"/>
              <w:rPr>
                <w:sz w:val="18"/>
              </w:rPr>
            </w:pPr>
            <w:r>
              <w:rPr>
                <w:spacing w:val="-2"/>
                <w:sz w:val="18"/>
              </w:rPr>
              <w:t>5,112</w:t>
            </w:r>
          </w:p>
        </w:tc>
        <w:tc>
          <w:tcPr>
            <w:tcW w:w="122" w:type="dxa"/>
          </w:tcPr>
          <w:p>
            <w:pPr>
              <w:pStyle w:val="TableParagraph"/>
              <w:spacing w:before="0"/>
              <w:rPr>
                <w:sz w:val="16"/>
              </w:rPr>
            </w:pPr>
          </w:p>
        </w:tc>
        <w:tc>
          <w:tcPr>
            <w:tcW w:w="1512" w:type="dxa"/>
          </w:tcPr>
          <w:p>
            <w:pPr>
              <w:pStyle w:val="TableParagraph"/>
              <w:ind w:right="71"/>
              <w:jc w:val="right"/>
              <w:rPr>
                <w:sz w:val="18"/>
              </w:rPr>
            </w:pPr>
            <w:r>
              <w:rPr>
                <w:spacing w:val="-2"/>
                <w:sz w:val="18"/>
              </w:rPr>
              <w:t>4,827</w:t>
            </w:r>
          </w:p>
        </w:tc>
        <w:tc>
          <w:tcPr>
            <w:tcW w:w="122" w:type="dxa"/>
          </w:tcPr>
          <w:p>
            <w:pPr>
              <w:pStyle w:val="TableParagraph"/>
              <w:spacing w:before="0"/>
              <w:rPr>
                <w:sz w:val="16"/>
              </w:rPr>
            </w:pPr>
          </w:p>
        </w:tc>
        <w:tc>
          <w:tcPr>
            <w:tcW w:w="1512" w:type="dxa"/>
          </w:tcPr>
          <w:p>
            <w:pPr>
              <w:pStyle w:val="TableParagraph"/>
              <w:ind w:right="71"/>
              <w:jc w:val="right"/>
              <w:rPr>
                <w:sz w:val="18"/>
              </w:rPr>
            </w:pPr>
            <w:r>
              <w:rPr>
                <w:spacing w:val="-2"/>
                <w:sz w:val="18"/>
              </w:rPr>
              <w:t>2,854</w:t>
            </w:r>
          </w:p>
        </w:tc>
      </w:tr>
      <w:tr>
        <w:trPr>
          <w:trHeight w:val="255" w:hRule="atLeast"/>
        </w:trPr>
        <w:tc>
          <w:tcPr>
            <w:tcW w:w="6736" w:type="dxa"/>
            <w:shd w:val="clear" w:color="auto" w:fill="CFF0FB"/>
          </w:tcPr>
          <w:p>
            <w:pPr>
              <w:pStyle w:val="TableParagraph"/>
              <w:ind w:left="217"/>
              <w:rPr>
                <w:sz w:val="18"/>
              </w:rPr>
            </w:pPr>
            <w:r>
              <w:rPr>
                <w:sz w:val="18"/>
              </w:rPr>
              <w:t>MGM</w:t>
            </w:r>
            <w:r>
              <w:rPr>
                <w:spacing w:val="-1"/>
                <w:sz w:val="18"/>
              </w:rPr>
              <w:t> </w:t>
            </w:r>
            <w:r>
              <w:rPr>
                <w:sz w:val="18"/>
              </w:rPr>
              <w:t>China</w:t>
            </w:r>
            <w:r>
              <w:rPr>
                <w:spacing w:val="-1"/>
                <w:sz w:val="18"/>
              </w:rPr>
              <w:t> </w:t>
            </w:r>
            <w:r>
              <w:rPr>
                <w:sz w:val="18"/>
              </w:rPr>
              <w:t>Share</w:t>
            </w:r>
            <w:r>
              <w:rPr>
                <w:spacing w:val="-1"/>
                <w:sz w:val="18"/>
              </w:rPr>
              <w:t> </w:t>
            </w:r>
            <w:r>
              <w:rPr>
                <w:sz w:val="18"/>
              </w:rPr>
              <w:t>Option</w:t>
            </w:r>
            <w:r>
              <w:rPr>
                <w:spacing w:val="-1"/>
                <w:sz w:val="18"/>
              </w:rPr>
              <w:t> </w:t>
            </w:r>
            <w:r>
              <w:rPr>
                <w:spacing w:val="-4"/>
                <w:sz w:val="18"/>
              </w:rPr>
              <w:t>Plan</w:t>
            </w:r>
          </w:p>
        </w:tc>
        <w:tc>
          <w:tcPr>
            <w:tcW w:w="1512" w:type="dxa"/>
            <w:tcBorders>
              <w:bottom w:val="single" w:sz="6" w:space="0" w:color="000000"/>
            </w:tcBorders>
            <w:shd w:val="clear" w:color="auto" w:fill="CFF0FB"/>
          </w:tcPr>
          <w:p>
            <w:pPr>
              <w:pStyle w:val="TableParagraph"/>
              <w:ind w:right="70"/>
              <w:jc w:val="right"/>
              <w:rPr>
                <w:sz w:val="18"/>
              </w:rPr>
            </w:pPr>
            <w:r>
              <w:rPr>
                <w:spacing w:val="-2"/>
                <w:sz w:val="18"/>
              </w:rPr>
              <w:t>5,920</w:t>
            </w:r>
          </w:p>
        </w:tc>
        <w:tc>
          <w:tcPr>
            <w:tcW w:w="122" w:type="dxa"/>
            <w:shd w:val="clear" w:color="auto" w:fill="CFF0FB"/>
          </w:tcPr>
          <w:p>
            <w:pPr>
              <w:pStyle w:val="TableParagraph"/>
              <w:spacing w:before="0"/>
              <w:rPr>
                <w:sz w:val="16"/>
              </w:rPr>
            </w:pPr>
          </w:p>
        </w:tc>
        <w:tc>
          <w:tcPr>
            <w:tcW w:w="1512" w:type="dxa"/>
            <w:tcBorders>
              <w:bottom w:val="single" w:sz="6" w:space="0" w:color="000000"/>
            </w:tcBorders>
            <w:shd w:val="clear" w:color="auto" w:fill="CFF0FB"/>
          </w:tcPr>
          <w:p>
            <w:pPr>
              <w:pStyle w:val="TableParagraph"/>
              <w:ind w:right="71"/>
              <w:jc w:val="right"/>
              <w:rPr>
                <w:sz w:val="18"/>
              </w:rPr>
            </w:pPr>
            <w:r>
              <w:rPr>
                <w:spacing w:val="-2"/>
                <w:sz w:val="18"/>
              </w:rPr>
              <w:t>6,673</w:t>
            </w:r>
          </w:p>
        </w:tc>
        <w:tc>
          <w:tcPr>
            <w:tcW w:w="122" w:type="dxa"/>
            <w:shd w:val="clear" w:color="auto" w:fill="CFF0FB"/>
          </w:tcPr>
          <w:p>
            <w:pPr>
              <w:pStyle w:val="TableParagraph"/>
              <w:spacing w:before="0"/>
              <w:rPr>
                <w:sz w:val="16"/>
              </w:rPr>
            </w:pPr>
          </w:p>
        </w:tc>
        <w:tc>
          <w:tcPr>
            <w:tcW w:w="1512" w:type="dxa"/>
            <w:tcBorders>
              <w:bottom w:val="single" w:sz="6" w:space="0" w:color="000000"/>
            </w:tcBorders>
            <w:shd w:val="clear" w:color="auto" w:fill="CFF0FB"/>
          </w:tcPr>
          <w:p>
            <w:pPr>
              <w:pStyle w:val="TableParagraph"/>
              <w:ind w:right="71"/>
              <w:jc w:val="right"/>
              <w:rPr>
                <w:sz w:val="18"/>
              </w:rPr>
            </w:pPr>
            <w:r>
              <w:rPr>
                <w:spacing w:val="-2"/>
                <w:sz w:val="18"/>
              </w:rPr>
              <w:t>11,006</w:t>
            </w:r>
          </w:p>
        </w:tc>
      </w:tr>
      <w:tr>
        <w:trPr>
          <w:trHeight w:val="269" w:hRule="atLeast"/>
        </w:trPr>
        <w:tc>
          <w:tcPr>
            <w:tcW w:w="6736" w:type="dxa"/>
          </w:tcPr>
          <w:p>
            <w:pPr>
              <w:pStyle w:val="TableParagraph"/>
              <w:spacing w:before="20"/>
              <w:ind w:left="462"/>
              <w:rPr>
                <w:sz w:val="18"/>
              </w:rPr>
            </w:pPr>
            <w:r>
              <w:rPr>
                <w:sz w:val="18"/>
              </w:rPr>
              <w:t>Total</w:t>
            </w:r>
            <w:r>
              <w:rPr>
                <w:spacing w:val="-8"/>
                <w:sz w:val="18"/>
              </w:rPr>
              <w:t> </w:t>
            </w:r>
            <w:r>
              <w:rPr>
                <w:sz w:val="18"/>
              </w:rPr>
              <w:t>compensation</w:t>
            </w:r>
            <w:r>
              <w:rPr>
                <w:spacing w:val="-7"/>
                <w:sz w:val="18"/>
              </w:rPr>
              <w:t> </w:t>
            </w:r>
            <w:r>
              <w:rPr>
                <w:spacing w:val="-4"/>
                <w:sz w:val="18"/>
              </w:rPr>
              <w:t>cost</w:t>
            </w:r>
          </w:p>
        </w:tc>
        <w:tc>
          <w:tcPr>
            <w:tcW w:w="1512" w:type="dxa"/>
            <w:tcBorders>
              <w:top w:val="single" w:sz="6" w:space="0" w:color="000000"/>
            </w:tcBorders>
          </w:tcPr>
          <w:p>
            <w:pPr>
              <w:pStyle w:val="TableParagraph"/>
              <w:spacing w:before="20"/>
              <w:ind w:right="70"/>
              <w:jc w:val="right"/>
              <w:rPr>
                <w:sz w:val="18"/>
              </w:rPr>
            </w:pPr>
            <w:r>
              <w:rPr>
                <w:spacing w:val="-2"/>
                <w:sz w:val="18"/>
              </w:rPr>
              <w:t>71,296</w:t>
            </w:r>
          </w:p>
        </w:tc>
        <w:tc>
          <w:tcPr>
            <w:tcW w:w="122" w:type="dxa"/>
          </w:tcPr>
          <w:p>
            <w:pPr>
              <w:pStyle w:val="TableParagraph"/>
              <w:spacing w:before="0"/>
              <w:rPr>
                <w:sz w:val="16"/>
              </w:rPr>
            </w:pPr>
          </w:p>
        </w:tc>
        <w:tc>
          <w:tcPr>
            <w:tcW w:w="1512" w:type="dxa"/>
            <w:tcBorders>
              <w:top w:val="single" w:sz="6" w:space="0" w:color="000000"/>
            </w:tcBorders>
          </w:tcPr>
          <w:p>
            <w:pPr>
              <w:pStyle w:val="TableParagraph"/>
              <w:spacing w:before="20"/>
              <w:ind w:right="71"/>
              <w:jc w:val="right"/>
              <w:rPr>
                <w:sz w:val="18"/>
              </w:rPr>
            </w:pPr>
            <w:r>
              <w:rPr>
                <w:spacing w:val="-2"/>
                <w:sz w:val="18"/>
              </w:rPr>
              <w:t>65,183</w:t>
            </w:r>
          </w:p>
        </w:tc>
        <w:tc>
          <w:tcPr>
            <w:tcW w:w="122" w:type="dxa"/>
          </w:tcPr>
          <w:p>
            <w:pPr>
              <w:pStyle w:val="TableParagraph"/>
              <w:spacing w:before="0"/>
              <w:rPr>
                <w:sz w:val="16"/>
              </w:rPr>
            </w:pPr>
          </w:p>
        </w:tc>
        <w:tc>
          <w:tcPr>
            <w:tcW w:w="1512" w:type="dxa"/>
            <w:tcBorders>
              <w:top w:val="single" w:sz="6" w:space="0" w:color="000000"/>
            </w:tcBorders>
          </w:tcPr>
          <w:p>
            <w:pPr>
              <w:pStyle w:val="TableParagraph"/>
              <w:spacing w:before="20"/>
              <w:ind w:right="71"/>
              <w:jc w:val="right"/>
              <w:rPr>
                <w:sz w:val="18"/>
              </w:rPr>
            </w:pPr>
            <w:r>
              <w:rPr>
                <w:spacing w:val="-2"/>
                <w:sz w:val="18"/>
              </w:rPr>
              <w:t>106,956</w:t>
            </w:r>
          </w:p>
        </w:tc>
      </w:tr>
      <w:tr>
        <w:trPr>
          <w:trHeight w:val="255" w:hRule="atLeast"/>
        </w:trPr>
        <w:tc>
          <w:tcPr>
            <w:tcW w:w="6736" w:type="dxa"/>
            <w:shd w:val="clear" w:color="auto" w:fill="CFF0FB"/>
          </w:tcPr>
          <w:p>
            <w:pPr>
              <w:pStyle w:val="TableParagraph"/>
              <w:ind w:left="17"/>
              <w:rPr>
                <w:sz w:val="18"/>
              </w:rPr>
            </w:pPr>
            <w:r>
              <w:rPr>
                <w:sz w:val="18"/>
              </w:rPr>
              <w:t>Less:</w:t>
            </w:r>
            <w:r>
              <w:rPr>
                <w:spacing w:val="-1"/>
                <w:sz w:val="18"/>
              </w:rPr>
              <w:t> </w:t>
            </w:r>
            <w:r>
              <w:rPr>
                <w:sz w:val="18"/>
              </w:rPr>
              <w:t>Reimbursed</w:t>
            </w:r>
            <w:r>
              <w:rPr>
                <w:spacing w:val="-1"/>
                <w:sz w:val="18"/>
              </w:rPr>
              <w:t> </w:t>
            </w:r>
            <w:r>
              <w:rPr>
                <w:sz w:val="18"/>
              </w:rPr>
              <w:t>costs</w:t>
            </w:r>
            <w:r>
              <w:rPr>
                <w:spacing w:val="-1"/>
                <w:sz w:val="18"/>
              </w:rPr>
              <w:t> </w:t>
            </w:r>
            <w:r>
              <w:rPr>
                <w:sz w:val="18"/>
              </w:rPr>
              <w:t>and</w:t>
            </w:r>
            <w:r>
              <w:rPr>
                <w:spacing w:val="-1"/>
                <w:sz w:val="18"/>
              </w:rPr>
              <w:t> </w:t>
            </w:r>
            <w:r>
              <w:rPr>
                <w:sz w:val="18"/>
              </w:rPr>
              <w:t>capitalized</w:t>
            </w:r>
            <w:r>
              <w:rPr>
                <w:spacing w:val="-1"/>
                <w:sz w:val="18"/>
              </w:rPr>
              <w:t> </w:t>
            </w:r>
            <w:r>
              <w:rPr>
                <w:spacing w:val="-4"/>
                <w:sz w:val="18"/>
              </w:rPr>
              <w:t>cost</w:t>
            </w:r>
          </w:p>
        </w:tc>
        <w:tc>
          <w:tcPr>
            <w:tcW w:w="1512" w:type="dxa"/>
            <w:tcBorders>
              <w:bottom w:val="single" w:sz="6" w:space="0" w:color="000000"/>
            </w:tcBorders>
            <w:shd w:val="clear" w:color="auto" w:fill="CFF0FB"/>
          </w:tcPr>
          <w:p>
            <w:pPr>
              <w:pStyle w:val="TableParagraph"/>
              <w:ind w:right="70"/>
              <w:jc w:val="right"/>
              <w:rPr>
                <w:sz w:val="18"/>
              </w:rPr>
            </w:pPr>
            <w:r>
              <w:rPr>
                <w:spacing w:val="-10"/>
                <w:sz w:val="18"/>
              </w:rPr>
              <w:t>—</w:t>
            </w:r>
          </w:p>
        </w:tc>
        <w:tc>
          <w:tcPr>
            <w:tcW w:w="122" w:type="dxa"/>
            <w:shd w:val="clear" w:color="auto" w:fill="CFF0FB"/>
          </w:tcPr>
          <w:p>
            <w:pPr>
              <w:pStyle w:val="TableParagraph"/>
              <w:spacing w:before="0"/>
              <w:rPr>
                <w:sz w:val="16"/>
              </w:rPr>
            </w:pPr>
          </w:p>
        </w:tc>
        <w:tc>
          <w:tcPr>
            <w:tcW w:w="1512" w:type="dxa"/>
            <w:tcBorders>
              <w:bottom w:val="single" w:sz="6" w:space="0" w:color="000000"/>
            </w:tcBorders>
            <w:shd w:val="clear" w:color="auto" w:fill="CFF0FB"/>
          </w:tcPr>
          <w:p>
            <w:pPr>
              <w:pStyle w:val="TableParagraph"/>
              <w:ind w:right="26"/>
              <w:jc w:val="right"/>
              <w:rPr>
                <w:sz w:val="18"/>
              </w:rPr>
            </w:pPr>
            <w:r>
              <w:rPr>
                <w:spacing w:val="-2"/>
                <w:sz w:val="18"/>
              </w:rPr>
              <w:t>(1,198)</w:t>
            </w:r>
          </w:p>
        </w:tc>
        <w:tc>
          <w:tcPr>
            <w:tcW w:w="122" w:type="dxa"/>
            <w:shd w:val="clear" w:color="auto" w:fill="CFF0FB"/>
          </w:tcPr>
          <w:p>
            <w:pPr>
              <w:pStyle w:val="TableParagraph"/>
              <w:spacing w:before="0"/>
              <w:rPr>
                <w:sz w:val="16"/>
              </w:rPr>
            </w:pPr>
          </w:p>
        </w:tc>
        <w:tc>
          <w:tcPr>
            <w:tcW w:w="1512" w:type="dxa"/>
            <w:tcBorders>
              <w:bottom w:val="single" w:sz="6" w:space="0" w:color="000000"/>
            </w:tcBorders>
            <w:shd w:val="clear" w:color="auto" w:fill="CFF0FB"/>
          </w:tcPr>
          <w:p>
            <w:pPr>
              <w:pStyle w:val="TableParagraph"/>
              <w:ind w:right="26"/>
              <w:jc w:val="right"/>
              <w:rPr>
                <w:sz w:val="18"/>
              </w:rPr>
            </w:pPr>
            <w:r>
              <w:rPr>
                <w:spacing w:val="-2"/>
                <w:sz w:val="18"/>
              </w:rPr>
              <w:t>(2,118)</w:t>
            </w:r>
          </w:p>
        </w:tc>
      </w:tr>
      <w:tr>
        <w:trPr>
          <w:trHeight w:val="255" w:hRule="atLeast"/>
        </w:trPr>
        <w:tc>
          <w:tcPr>
            <w:tcW w:w="6736" w:type="dxa"/>
          </w:tcPr>
          <w:p>
            <w:pPr>
              <w:pStyle w:val="TableParagraph"/>
              <w:spacing w:before="6"/>
              <w:ind w:left="462"/>
              <w:rPr>
                <w:sz w:val="18"/>
              </w:rPr>
            </w:pPr>
            <w:r>
              <w:rPr>
                <w:sz w:val="18"/>
              </w:rPr>
              <w:t>Compensation</w:t>
            </w:r>
            <w:r>
              <w:rPr>
                <w:spacing w:val="-1"/>
                <w:sz w:val="18"/>
              </w:rPr>
              <w:t> </w:t>
            </w:r>
            <w:r>
              <w:rPr>
                <w:sz w:val="18"/>
              </w:rPr>
              <w:t>cost</w:t>
            </w:r>
            <w:r>
              <w:rPr>
                <w:spacing w:val="-1"/>
                <w:sz w:val="18"/>
              </w:rPr>
              <w:t> </w:t>
            </w:r>
            <w:r>
              <w:rPr>
                <w:sz w:val="18"/>
              </w:rPr>
              <w:t>after</w:t>
            </w:r>
            <w:r>
              <w:rPr>
                <w:spacing w:val="-1"/>
                <w:sz w:val="18"/>
              </w:rPr>
              <w:t> </w:t>
            </w:r>
            <w:r>
              <w:rPr>
                <w:sz w:val="18"/>
              </w:rPr>
              <w:t>reimbursed</w:t>
            </w:r>
            <w:r>
              <w:rPr>
                <w:spacing w:val="-1"/>
                <w:sz w:val="18"/>
              </w:rPr>
              <w:t> </w:t>
            </w:r>
            <w:r>
              <w:rPr>
                <w:sz w:val="18"/>
              </w:rPr>
              <w:t>costs</w:t>
            </w:r>
            <w:r>
              <w:rPr>
                <w:spacing w:val="-1"/>
                <w:sz w:val="18"/>
              </w:rPr>
              <w:t> </w:t>
            </w:r>
            <w:r>
              <w:rPr>
                <w:sz w:val="18"/>
              </w:rPr>
              <w:t>and</w:t>
            </w:r>
            <w:r>
              <w:rPr>
                <w:spacing w:val="-1"/>
                <w:sz w:val="18"/>
              </w:rPr>
              <w:t> </w:t>
            </w:r>
            <w:r>
              <w:rPr>
                <w:sz w:val="18"/>
              </w:rPr>
              <w:t>capitalized</w:t>
            </w:r>
            <w:r>
              <w:rPr>
                <w:spacing w:val="-1"/>
                <w:sz w:val="18"/>
              </w:rPr>
              <w:t> </w:t>
            </w:r>
            <w:r>
              <w:rPr>
                <w:spacing w:val="-4"/>
                <w:sz w:val="18"/>
              </w:rPr>
              <w:t>cost</w:t>
            </w:r>
          </w:p>
        </w:tc>
        <w:tc>
          <w:tcPr>
            <w:tcW w:w="1512" w:type="dxa"/>
            <w:tcBorders>
              <w:top w:val="single" w:sz="6" w:space="0" w:color="000000"/>
            </w:tcBorders>
          </w:tcPr>
          <w:p>
            <w:pPr>
              <w:pStyle w:val="TableParagraph"/>
              <w:spacing w:before="20"/>
              <w:ind w:right="70"/>
              <w:jc w:val="right"/>
              <w:rPr>
                <w:sz w:val="18"/>
              </w:rPr>
            </w:pPr>
            <w:r>
              <w:rPr>
                <w:spacing w:val="-2"/>
                <w:sz w:val="18"/>
              </w:rPr>
              <w:t>71,296</w:t>
            </w:r>
          </w:p>
        </w:tc>
        <w:tc>
          <w:tcPr>
            <w:tcW w:w="122" w:type="dxa"/>
          </w:tcPr>
          <w:p>
            <w:pPr>
              <w:pStyle w:val="TableParagraph"/>
              <w:spacing w:before="0"/>
              <w:rPr>
                <w:sz w:val="16"/>
              </w:rPr>
            </w:pPr>
          </w:p>
        </w:tc>
        <w:tc>
          <w:tcPr>
            <w:tcW w:w="1512" w:type="dxa"/>
            <w:tcBorders>
              <w:top w:val="single" w:sz="6" w:space="0" w:color="000000"/>
            </w:tcBorders>
          </w:tcPr>
          <w:p>
            <w:pPr>
              <w:pStyle w:val="TableParagraph"/>
              <w:spacing w:before="20"/>
              <w:ind w:right="71"/>
              <w:jc w:val="right"/>
              <w:rPr>
                <w:sz w:val="18"/>
              </w:rPr>
            </w:pPr>
            <w:r>
              <w:rPr>
                <w:spacing w:val="-2"/>
                <w:sz w:val="18"/>
              </w:rPr>
              <w:t>63,985</w:t>
            </w:r>
          </w:p>
        </w:tc>
        <w:tc>
          <w:tcPr>
            <w:tcW w:w="122" w:type="dxa"/>
          </w:tcPr>
          <w:p>
            <w:pPr>
              <w:pStyle w:val="TableParagraph"/>
              <w:spacing w:before="0"/>
              <w:rPr>
                <w:sz w:val="16"/>
              </w:rPr>
            </w:pPr>
          </w:p>
        </w:tc>
        <w:tc>
          <w:tcPr>
            <w:tcW w:w="1512" w:type="dxa"/>
            <w:tcBorders>
              <w:top w:val="single" w:sz="6" w:space="0" w:color="000000"/>
            </w:tcBorders>
          </w:tcPr>
          <w:p>
            <w:pPr>
              <w:pStyle w:val="TableParagraph"/>
              <w:spacing w:before="20"/>
              <w:ind w:right="71"/>
              <w:jc w:val="right"/>
              <w:rPr>
                <w:sz w:val="18"/>
              </w:rPr>
            </w:pPr>
            <w:r>
              <w:rPr>
                <w:spacing w:val="-2"/>
                <w:sz w:val="18"/>
              </w:rPr>
              <w:t>104,838</w:t>
            </w:r>
          </w:p>
        </w:tc>
      </w:tr>
      <w:tr>
        <w:trPr>
          <w:trHeight w:val="255" w:hRule="atLeast"/>
        </w:trPr>
        <w:tc>
          <w:tcPr>
            <w:tcW w:w="6736" w:type="dxa"/>
            <w:shd w:val="clear" w:color="auto" w:fill="CFF0FB"/>
          </w:tcPr>
          <w:p>
            <w:pPr>
              <w:pStyle w:val="TableParagraph"/>
              <w:ind w:left="217"/>
              <w:rPr>
                <w:sz w:val="18"/>
              </w:rPr>
            </w:pPr>
            <w:r>
              <w:rPr>
                <w:sz w:val="18"/>
              </w:rPr>
              <w:t>Less:</w:t>
            </w:r>
            <w:r>
              <w:rPr>
                <w:spacing w:val="-1"/>
                <w:sz w:val="18"/>
              </w:rPr>
              <w:t> </w:t>
            </w:r>
            <w:r>
              <w:rPr>
                <w:sz w:val="18"/>
              </w:rPr>
              <w:t>Related</w:t>
            </w:r>
            <w:r>
              <w:rPr>
                <w:spacing w:val="-1"/>
                <w:sz w:val="18"/>
              </w:rPr>
              <w:t> </w:t>
            </w:r>
            <w:r>
              <w:rPr>
                <w:sz w:val="18"/>
              </w:rPr>
              <w:t>tax</w:t>
            </w:r>
            <w:r>
              <w:rPr>
                <w:spacing w:val="-1"/>
                <w:sz w:val="18"/>
              </w:rPr>
              <w:t> </w:t>
            </w:r>
            <w:r>
              <w:rPr>
                <w:spacing w:val="-2"/>
                <w:sz w:val="18"/>
              </w:rPr>
              <w:t>benefit</w:t>
            </w:r>
          </w:p>
        </w:tc>
        <w:tc>
          <w:tcPr>
            <w:tcW w:w="1512" w:type="dxa"/>
            <w:tcBorders>
              <w:bottom w:val="single" w:sz="6" w:space="0" w:color="000000"/>
            </w:tcBorders>
            <w:shd w:val="clear" w:color="auto" w:fill="CFF0FB"/>
          </w:tcPr>
          <w:p>
            <w:pPr>
              <w:pStyle w:val="TableParagraph"/>
              <w:ind w:right="25"/>
              <w:jc w:val="right"/>
              <w:rPr>
                <w:sz w:val="18"/>
              </w:rPr>
            </w:pPr>
            <w:r>
              <w:rPr>
                <w:spacing w:val="-2"/>
                <w:sz w:val="18"/>
              </w:rPr>
              <w:t>(14,458)</w:t>
            </w:r>
          </w:p>
        </w:tc>
        <w:tc>
          <w:tcPr>
            <w:tcW w:w="122" w:type="dxa"/>
            <w:shd w:val="clear" w:color="auto" w:fill="CFF0FB"/>
          </w:tcPr>
          <w:p>
            <w:pPr>
              <w:pStyle w:val="TableParagraph"/>
              <w:spacing w:before="0"/>
              <w:rPr>
                <w:sz w:val="16"/>
              </w:rPr>
            </w:pPr>
          </w:p>
        </w:tc>
        <w:tc>
          <w:tcPr>
            <w:tcW w:w="1512" w:type="dxa"/>
            <w:tcBorders>
              <w:bottom w:val="single" w:sz="6" w:space="0" w:color="000000"/>
            </w:tcBorders>
            <w:shd w:val="clear" w:color="auto" w:fill="CFF0FB"/>
          </w:tcPr>
          <w:p>
            <w:pPr>
              <w:pStyle w:val="TableParagraph"/>
              <w:ind w:right="26"/>
              <w:jc w:val="right"/>
              <w:rPr>
                <w:sz w:val="18"/>
              </w:rPr>
            </w:pPr>
            <w:r>
              <w:rPr>
                <w:spacing w:val="-2"/>
                <w:sz w:val="18"/>
              </w:rPr>
              <w:t>(12,982)</w:t>
            </w:r>
          </w:p>
        </w:tc>
        <w:tc>
          <w:tcPr>
            <w:tcW w:w="122" w:type="dxa"/>
            <w:shd w:val="clear" w:color="auto" w:fill="CFF0FB"/>
          </w:tcPr>
          <w:p>
            <w:pPr>
              <w:pStyle w:val="TableParagraph"/>
              <w:spacing w:before="0"/>
              <w:rPr>
                <w:sz w:val="16"/>
              </w:rPr>
            </w:pPr>
          </w:p>
        </w:tc>
        <w:tc>
          <w:tcPr>
            <w:tcW w:w="1512" w:type="dxa"/>
            <w:tcBorders>
              <w:bottom w:val="single" w:sz="6" w:space="0" w:color="000000"/>
            </w:tcBorders>
            <w:shd w:val="clear" w:color="auto" w:fill="CFF0FB"/>
          </w:tcPr>
          <w:p>
            <w:pPr>
              <w:pStyle w:val="TableParagraph"/>
              <w:ind w:right="26"/>
              <w:jc w:val="right"/>
              <w:rPr>
                <w:sz w:val="18"/>
              </w:rPr>
            </w:pPr>
            <w:r>
              <w:rPr>
                <w:spacing w:val="-2"/>
                <w:sz w:val="18"/>
              </w:rPr>
              <w:t>(20,605)</w:t>
            </w:r>
          </w:p>
        </w:tc>
      </w:tr>
      <w:tr>
        <w:trPr>
          <w:trHeight w:val="260" w:hRule="atLeast"/>
        </w:trPr>
        <w:tc>
          <w:tcPr>
            <w:tcW w:w="6736" w:type="dxa"/>
          </w:tcPr>
          <w:p>
            <w:pPr>
              <w:pStyle w:val="TableParagraph"/>
              <w:spacing w:before="20"/>
              <w:ind w:left="462"/>
              <w:rPr>
                <w:sz w:val="18"/>
              </w:rPr>
            </w:pPr>
            <w:r>
              <w:rPr>
                <w:sz w:val="18"/>
              </w:rPr>
              <w:t>Compensation</w:t>
            </w:r>
            <w:r>
              <w:rPr>
                <w:spacing w:val="-1"/>
                <w:sz w:val="18"/>
              </w:rPr>
              <w:t> </w:t>
            </w:r>
            <w:r>
              <w:rPr>
                <w:sz w:val="18"/>
              </w:rPr>
              <w:t>cost,</w:t>
            </w:r>
            <w:r>
              <w:rPr>
                <w:spacing w:val="-1"/>
                <w:sz w:val="18"/>
              </w:rPr>
              <w:t> </w:t>
            </w:r>
            <w:r>
              <w:rPr>
                <w:sz w:val="18"/>
              </w:rPr>
              <w:t>net</w:t>
            </w:r>
            <w:r>
              <w:rPr>
                <w:spacing w:val="-1"/>
                <w:sz w:val="18"/>
              </w:rPr>
              <w:t> </w:t>
            </w:r>
            <w:r>
              <w:rPr>
                <w:sz w:val="18"/>
              </w:rPr>
              <w:t>of</w:t>
            </w:r>
            <w:r>
              <w:rPr>
                <w:spacing w:val="-1"/>
                <w:sz w:val="18"/>
              </w:rPr>
              <w:t> </w:t>
            </w:r>
            <w:r>
              <w:rPr>
                <w:sz w:val="18"/>
              </w:rPr>
              <w:t>tax</w:t>
            </w:r>
            <w:r>
              <w:rPr>
                <w:spacing w:val="-1"/>
                <w:sz w:val="18"/>
              </w:rPr>
              <w:t> </w:t>
            </w:r>
            <w:r>
              <w:rPr>
                <w:spacing w:val="-2"/>
                <w:sz w:val="18"/>
              </w:rPr>
              <w:t>benefit</w:t>
            </w:r>
          </w:p>
        </w:tc>
        <w:tc>
          <w:tcPr>
            <w:tcW w:w="1512" w:type="dxa"/>
            <w:tcBorders>
              <w:top w:val="single" w:sz="6" w:space="0" w:color="000000"/>
              <w:bottom w:val="double" w:sz="6" w:space="0" w:color="000000"/>
            </w:tcBorders>
          </w:tcPr>
          <w:p>
            <w:pPr>
              <w:pStyle w:val="TableParagraph"/>
              <w:tabs>
                <w:tab w:pos="930" w:val="left" w:leader="none"/>
              </w:tabs>
              <w:spacing w:before="20"/>
              <w:ind w:right="70"/>
              <w:jc w:val="right"/>
              <w:rPr>
                <w:sz w:val="18"/>
              </w:rPr>
            </w:pPr>
            <w:r>
              <w:rPr>
                <w:spacing w:val="-10"/>
                <w:sz w:val="18"/>
              </w:rPr>
              <w:t>$</w:t>
            </w:r>
            <w:r>
              <w:rPr>
                <w:sz w:val="18"/>
              </w:rPr>
              <w:tab/>
            </w:r>
            <w:r>
              <w:rPr>
                <w:spacing w:val="-2"/>
                <w:sz w:val="18"/>
              </w:rPr>
              <w:t>56,838</w:t>
            </w:r>
          </w:p>
        </w:tc>
        <w:tc>
          <w:tcPr>
            <w:tcW w:w="122" w:type="dxa"/>
          </w:tcPr>
          <w:p>
            <w:pPr>
              <w:pStyle w:val="TableParagraph"/>
              <w:spacing w:before="0"/>
              <w:rPr>
                <w:sz w:val="16"/>
              </w:rPr>
            </w:pPr>
          </w:p>
        </w:tc>
        <w:tc>
          <w:tcPr>
            <w:tcW w:w="1512" w:type="dxa"/>
            <w:tcBorders>
              <w:top w:val="single" w:sz="6" w:space="0" w:color="000000"/>
              <w:bottom w:val="double" w:sz="6" w:space="0" w:color="000000"/>
            </w:tcBorders>
          </w:tcPr>
          <w:p>
            <w:pPr>
              <w:pStyle w:val="TableParagraph"/>
              <w:tabs>
                <w:tab w:pos="930" w:val="left" w:leader="none"/>
              </w:tabs>
              <w:spacing w:before="20"/>
              <w:ind w:right="71"/>
              <w:jc w:val="right"/>
              <w:rPr>
                <w:sz w:val="18"/>
              </w:rPr>
            </w:pPr>
            <w:r>
              <w:rPr>
                <w:spacing w:val="-10"/>
                <w:sz w:val="18"/>
              </w:rPr>
              <w:t>$</w:t>
            </w:r>
            <w:r>
              <w:rPr>
                <w:sz w:val="18"/>
              </w:rPr>
              <w:tab/>
            </w:r>
            <w:r>
              <w:rPr>
                <w:spacing w:val="-2"/>
                <w:sz w:val="18"/>
              </w:rPr>
              <w:t>51,003</w:t>
            </w:r>
          </w:p>
        </w:tc>
        <w:tc>
          <w:tcPr>
            <w:tcW w:w="122" w:type="dxa"/>
          </w:tcPr>
          <w:p>
            <w:pPr>
              <w:pStyle w:val="TableParagraph"/>
              <w:spacing w:before="0"/>
              <w:rPr>
                <w:sz w:val="16"/>
              </w:rPr>
            </w:pPr>
          </w:p>
        </w:tc>
        <w:tc>
          <w:tcPr>
            <w:tcW w:w="1512" w:type="dxa"/>
            <w:tcBorders>
              <w:top w:val="single" w:sz="6" w:space="0" w:color="000000"/>
              <w:bottom w:val="double" w:sz="6" w:space="0" w:color="000000"/>
            </w:tcBorders>
          </w:tcPr>
          <w:p>
            <w:pPr>
              <w:pStyle w:val="TableParagraph"/>
              <w:tabs>
                <w:tab w:pos="931" w:val="left" w:leader="none"/>
              </w:tabs>
              <w:spacing w:before="20"/>
              <w:ind w:right="71"/>
              <w:jc w:val="right"/>
              <w:rPr>
                <w:sz w:val="18"/>
              </w:rPr>
            </w:pPr>
            <w:r>
              <w:rPr>
                <w:spacing w:val="-10"/>
                <w:sz w:val="18"/>
              </w:rPr>
              <w:t>$</w:t>
            </w:r>
            <w:r>
              <w:rPr>
                <w:sz w:val="18"/>
              </w:rPr>
              <w:tab/>
            </w:r>
            <w:r>
              <w:rPr>
                <w:spacing w:val="-2"/>
                <w:sz w:val="18"/>
              </w:rPr>
              <w:t>84,233</w:t>
            </w:r>
          </w:p>
        </w:tc>
      </w:tr>
      <w:tr>
        <w:trPr>
          <w:trHeight w:val="515" w:hRule="atLeast"/>
        </w:trPr>
        <w:tc>
          <w:tcPr>
            <w:tcW w:w="6736" w:type="dxa"/>
          </w:tcPr>
          <w:p>
            <w:pPr>
              <w:pStyle w:val="TableParagraph"/>
              <w:spacing w:before="101"/>
              <w:rPr>
                <w:b/>
                <w:i/>
                <w:sz w:val="18"/>
              </w:rPr>
            </w:pPr>
          </w:p>
          <w:p>
            <w:pPr>
              <w:pStyle w:val="TableParagraph"/>
              <w:spacing w:line="187" w:lineRule="exact" w:before="1"/>
              <w:rPr>
                <w:b/>
                <w:sz w:val="18"/>
              </w:rPr>
            </w:pPr>
            <w:r>
              <w:rPr>
                <w:b/>
                <w:sz w:val="18"/>
              </w:rPr>
              <w:t>NOTE</w:t>
            </w:r>
            <w:r>
              <w:rPr>
                <w:b/>
                <w:spacing w:val="-1"/>
                <w:sz w:val="18"/>
              </w:rPr>
              <w:t> </w:t>
            </w:r>
            <w:r>
              <w:rPr>
                <w:b/>
                <w:sz w:val="18"/>
              </w:rPr>
              <w:t>15</w:t>
            </w:r>
            <w:r>
              <w:rPr>
                <w:b/>
                <w:spacing w:val="-1"/>
                <w:sz w:val="18"/>
              </w:rPr>
              <w:t> </w:t>
            </w:r>
            <w:r>
              <w:rPr>
                <w:b/>
                <w:sz w:val="18"/>
              </w:rPr>
              <w:t>—</w:t>
            </w:r>
            <w:r>
              <w:rPr>
                <w:b/>
                <w:spacing w:val="-1"/>
                <w:sz w:val="18"/>
              </w:rPr>
              <w:t> </w:t>
            </w:r>
            <w:r>
              <w:rPr>
                <w:b/>
                <w:sz w:val="18"/>
              </w:rPr>
              <w:t>EMPLOYEE</w:t>
            </w:r>
            <w:r>
              <w:rPr>
                <w:b/>
                <w:spacing w:val="-1"/>
                <w:sz w:val="18"/>
              </w:rPr>
              <w:t> </w:t>
            </w:r>
            <w:r>
              <w:rPr>
                <w:b/>
                <w:sz w:val="18"/>
              </w:rPr>
              <w:t>BENEFIT</w:t>
            </w:r>
            <w:r>
              <w:rPr>
                <w:b/>
                <w:spacing w:val="-4"/>
                <w:sz w:val="18"/>
              </w:rPr>
              <w:t> </w:t>
            </w:r>
            <w:r>
              <w:rPr>
                <w:b/>
                <w:spacing w:val="-2"/>
                <w:sz w:val="18"/>
              </w:rPr>
              <w:t>PLANS</w:t>
            </w:r>
          </w:p>
        </w:tc>
        <w:tc>
          <w:tcPr>
            <w:tcW w:w="1512" w:type="dxa"/>
            <w:tcBorders>
              <w:top w:val="double" w:sz="6" w:space="0" w:color="000000"/>
            </w:tcBorders>
          </w:tcPr>
          <w:p>
            <w:pPr>
              <w:pStyle w:val="TableParagraph"/>
              <w:spacing w:before="0"/>
              <w:rPr>
                <w:sz w:val="16"/>
              </w:rPr>
            </w:pPr>
          </w:p>
        </w:tc>
        <w:tc>
          <w:tcPr>
            <w:tcW w:w="122" w:type="dxa"/>
          </w:tcPr>
          <w:p>
            <w:pPr>
              <w:pStyle w:val="TableParagraph"/>
              <w:spacing w:before="0"/>
              <w:rPr>
                <w:sz w:val="16"/>
              </w:rPr>
            </w:pPr>
          </w:p>
        </w:tc>
        <w:tc>
          <w:tcPr>
            <w:tcW w:w="1512" w:type="dxa"/>
            <w:tcBorders>
              <w:top w:val="double" w:sz="6" w:space="0" w:color="000000"/>
            </w:tcBorders>
          </w:tcPr>
          <w:p>
            <w:pPr>
              <w:pStyle w:val="TableParagraph"/>
              <w:spacing w:before="0"/>
              <w:rPr>
                <w:sz w:val="16"/>
              </w:rPr>
            </w:pPr>
          </w:p>
        </w:tc>
        <w:tc>
          <w:tcPr>
            <w:tcW w:w="122" w:type="dxa"/>
          </w:tcPr>
          <w:p>
            <w:pPr>
              <w:pStyle w:val="TableParagraph"/>
              <w:spacing w:before="0"/>
              <w:rPr>
                <w:sz w:val="16"/>
              </w:rPr>
            </w:pPr>
          </w:p>
        </w:tc>
        <w:tc>
          <w:tcPr>
            <w:tcW w:w="1512" w:type="dxa"/>
            <w:tcBorders>
              <w:top w:val="double" w:sz="6" w:space="0" w:color="000000"/>
            </w:tcBorders>
          </w:tcPr>
          <w:p>
            <w:pPr>
              <w:pStyle w:val="TableParagraph"/>
              <w:spacing w:before="0"/>
              <w:rPr>
                <w:sz w:val="16"/>
              </w:rPr>
            </w:pPr>
          </w:p>
        </w:tc>
      </w:tr>
    </w:tbl>
    <w:p>
      <w:pPr>
        <w:pStyle w:val="BodyText"/>
        <w:spacing w:before="11"/>
        <w:rPr>
          <w:b/>
          <w:i/>
        </w:rPr>
      </w:pPr>
    </w:p>
    <w:p>
      <w:pPr>
        <w:pStyle w:val="BodyText"/>
        <w:spacing w:line="218" w:lineRule="auto"/>
        <w:ind w:left="144" w:right="118" w:firstLine="499"/>
      </w:pPr>
      <w:r>
        <w:rPr>
          <w:b/>
        </w:rPr>
        <w:t>Multiemployer</w:t>
      </w:r>
      <w:r>
        <w:rPr>
          <w:b/>
          <w:spacing w:val="20"/>
        </w:rPr>
        <w:t> </w:t>
      </w:r>
      <w:r>
        <w:rPr>
          <w:b/>
        </w:rPr>
        <w:t>benefit</w:t>
      </w:r>
      <w:r>
        <w:rPr>
          <w:b/>
          <w:spacing w:val="23"/>
        </w:rPr>
        <w:t> </w:t>
      </w:r>
      <w:r>
        <w:rPr>
          <w:b/>
        </w:rPr>
        <w:t>plans.</w:t>
      </w:r>
      <w:r>
        <w:rPr>
          <w:b/>
          <w:spacing w:val="23"/>
        </w:rPr>
        <w:t> </w:t>
      </w:r>
      <w:r>
        <w:rPr/>
        <w:t>The</w:t>
      </w:r>
      <w:r>
        <w:rPr>
          <w:spacing w:val="23"/>
        </w:rPr>
        <w:t> </w:t>
      </w:r>
      <w:r>
        <w:rPr/>
        <w:t>Company</w:t>
      </w:r>
      <w:r>
        <w:rPr>
          <w:spacing w:val="23"/>
        </w:rPr>
        <w:t> </w:t>
      </w:r>
      <w:r>
        <w:rPr/>
        <w:t>currently</w:t>
      </w:r>
      <w:r>
        <w:rPr>
          <w:spacing w:val="23"/>
        </w:rPr>
        <w:t> </w:t>
      </w:r>
      <w:r>
        <w:rPr/>
        <w:t>participates</w:t>
      </w:r>
      <w:r>
        <w:rPr>
          <w:spacing w:val="23"/>
        </w:rPr>
        <w:t> </w:t>
      </w:r>
      <w:r>
        <w:rPr/>
        <w:t>in</w:t>
      </w:r>
      <w:r>
        <w:rPr>
          <w:spacing w:val="23"/>
        </w:rPr>
        <w:t> </w:t>
      </w:r>
      <w:r>
        <w:rPr/>
        <w:t>multiemployer</w:t>
      </w:r>
      <w:r>
        <w:rPr>
          <w:spacing w:val="23"/>
        </w:rPr>
        <w:t> </w:t>
      </w:r>
      <w:r>
        <w:rPr/>
        <w:t>pension</w:t>
      </w:r>
      <w:r>
        <w:rPr>
          <w:spacing w:val="23"/>
        </w:rPr>
        <w:t> </w:t>
      </w:r>
      <w:r>
        <w:rPr/>
        <w:t>plans</w:t>
      </w:r>
      <w:r>
        <w:rPr>
          <w:spacing w:val="23"/>
        </w:rPr>
        <w:t> </w:t>
      </w:r>
      <w:r>
        <w:rPr/>
        <w:t>in</w:t>
      </w:r>
      <w:r>
        <w:rPr>
          <w:spacing w:val="23"/>
        </w:rPr>
        <w:t> </w:t>
      </w:r>
      <w:r>
        <w:rPr/>
        <w:t>which</w:t>
      </w:r>
      <w:r>
        <w:rPr>
          <w:spacing w:val="23"/>
        </w:rPr>
        <w:t> </w:t>
      </w:r>
      <w:r>
        <w:rPr/>
        <w:t>the</w:t>
      </w:r>
      <w:r>
        <w:rPr>
          <w:spacing w:val="23"/>
        </w:rPr>
        <w:t> </w:t>
      </w:r>
      <w:r>
        <w:rPr/>
        <w:t>risks</w:t>
      </w:r>
      <w:r>
        <w:rPr>
          <w:spacing w:val="23"/>
        </w:rPr>
        <w:t> </w:t>
      </w:r>
      <w:r>
        <w:rPr/>
        <w:t>of</w:t>
      </w:r>
      <w:r>
        <w:rPr>
          <w:spacing w:val="23"/>
        </w:rPr>
        <w:t> </w:t>
      </w:r>
      <w:r>
        <w:rPr/>
        <w:t>participating</w:t>
      </w:r>
      <w:r>
        <w:rPr>
          <w:spacing w:val="23"/>
        </w:rPr>
        <w:t> </w:t>
      </w:r>
      <w:r>
        <w:rPr/>
        <w:t>differs</w:t>
      </w:r>
      <w:r>
        <w:rPr>
          <w:spacing w:val="23"/>
        </w:rPr>
        <w:t> </w:t>
      </w:r>
      <w:r>
        <w:rPr/>
        <w:t>from single-employer plans in the following aspects:</w:t>
      </w:r>
    </w:p>
    <w:p>
      <w:pPr>
        <w:pStyle w:val="ListParagraph"/>
        <w:numPr>
          <w:ilvl w:val="1"/>
          <w:numId w:val="14"/>
        </w:numPr>
        <w:tabs>
          <w:tab w:pos="818" w:val="left" w:leader="none"/>
        </w:tabs>
        <w:spacing w:line="205" w:lineRule="exact" w:before="202" w:after="0"/>
        <w:ind w:left="818" w:right="0" w:hanging="174"/>
        <w:jc w:val="left"/>
        <w:rPr>
          <w:sz w:val="18"/>
        </w:rPr>
      </w:pPr>
      <w:r>
        <w:rPr>
          <w:sz w:val="18"/>
        </w:rPr>
        <w:t>Assets</w:t>
      </w:r>
      <w:r>
        <w:rPr>
          <w:spacing w:val="-1"/>
          <w:sz w:val="18"/>
        </w:rPr>
        <w:t> </w:t>
      </w:r>
      <w:r>
        <w:rPr>
          <w:sz w:val="18"/>
        </w:rPr>
        <w:t>contributed</w:t>
      </w:r>
      <w:r>
        <w:rPr>
          <w:spacing w:val="-1"/>
          <w:sz w:val="18"/>
        </w:rPr>
        <w:t> </w:t>
      </w:r>
      <w:r>
        <w:rPr>
          <w:sz w:val="18"/>
        </w:rPr>
        <w:t>to</w:t>
      </w:r>
      <w:r>
        <w:rPr>
          <w:spacing w:val="-1"/>
          <w:sz w:val="18"/>
        </w:rPr>
        <w:t> </w:t>
      </w:r>
      <w:r>
        <w:rPr>
          <w:sz w:val="18"/>
        </w:rPr>
        <w:t>the</w:t>
      </w:r>
      <w:r>
        <w:rPr>
          <w:spacing w:val="-1"/>
          <w:sz w:val="18"/>
        </w:rPr>
        <w:t> </w:t>
      </w:r>
      <w:r>
        <w:rPr>
          <w:sz w:val="18"/>
        </w:rPr>
        <w:t>multiemployer</w:t>
      </w:r>
      <w:r>
        <w:rPr>
          <w:spacing w:val="-1"/>
          <w:sz w:val="18"/>
        </w:rPr>
        <w:t> </w:t>
      </w:r>
      <w:r>
        <w:rPr>
          <w:sz w:val="18"/>
        </w:rPr>
        <w:t>plan</w:t>
      </w:r>
      <w:r>
        <w:rPr>
          <w:spacing w:val="-1"/>
          <w:sz w:val="18"/>
        </w:rPr>
        <w:t> </w:t>
      </w:r>
      <w:r>
        <w:rPr>
          <w:sz w:val="18"/>
        </w:rPr>
        <w:t>by</w:t>
      </w:r>
      <w:r>
        <w:rPr>
          <w:spacing w:val="-1"/>
          <w:sz w:val="18"/>
        </w:rPr>
        <w:t> </w:t>
      </w:r>
      <w:r>
        <w:rPr>
          <w:sz w:val="18"/>
        </w:rPr>
        <w:t>one</w:t>
      </w:r>
      <w:r>
        <w:rPr>
          <w:spacing w:val="-1"/>
          <w:sz w:val="18"/>
        </w:rPr>
        <w:t> </w:t>
      </w:r>
      <w:r>
        <w:rPr>
          <w:sz w:val="18"/>
        </w:rPr>
        <w:t>employer</w:t>
      </w:r>
      <w:r>
        <w:rPr>
          <w:spacing w:val="-1"/>
          <w:sz w:val="18"/>
        </w:rPr>
        <w:t> </w:t>
      </w:r>
      <w:r>
        <w:rPr>
          <w:sz w:val="18"/>
        </w:rPr>
        <w:t>may</w:t>
      </w:r>
      <w:r>
        <w:rPr>
          <w:spacing w:val="-1"/>
          <w:sz w:val="18"/>
        </w:rPr>
        <w:t> </w:t>
      </w:r>
      <w:r>
        <w:rPr>
          <w:sz w:val="18"/>
        </w:rPr>
        <w:t>be</w:t>
      </w:r>
      <w:r>
        <w:rPr>
          <w:spacing w:val="-1"/>
          <w:sz w:val="18"/>
        </w:rPr>
        <w:t> </w:t>
      </w:r>
      <w:r>
        <w:rPr>
          <w:sz w:val="18"/>
        </w:rPr>
        <w:t>used</w:t>
      </w:r>
      <w:r>
        <w:rPr>
          <w:spacing w:val="-1"/>
          <w:sz w:val="18"/>
        </w:rPr>
        <w:t> </w:t>
      </w:r>
      <w:r>
        <w:rPr>
          <w:sz w:val="18"/>
        </w:rPr>
        <w:t>to</w:t>
      </w:r>
      <w:r>
        <w:rPr>
          <w:spacing w:val="-1"/>
          <w:sz w:val="18"/>
        </w:rPr>
        <w:t> </w:t>
      </w:r>
      <w:r>
        <w:rPr>
          <w:sz w:val="18"/>
        </w:rPr>
        <w:t>provide</w:t>
      </w:r>
      <w:r>
        <w:rPr>
          <w:spacing w:val="-1"/>
          <w:sz w:val="18"/>
        </w:rPr>
        <w:t> </w:t>
      </w:r>
      <w:r>
        <w:rPr>
          <w:sz w:val="18"/>
        </w:rPr>
        <w:t>benefits</w:t>
      </w:r>
      <w:r>
        <w:rPr>
          <w:spacing w:val="-1"/>
          <w:sz w:val="18"/>
        </w:rPr>
        <w:t> </w:t>
      </w:r>
      <w:r>
        <w:rPr>
          <w:sz w:val="18"/>
        </w:rPr>
        <w:t>to</w:t>
      </w:r>
      <w:r>
        <w:rPr>
          <w:spacing w:val="-1"/>
          <w:sz w:val="18"/>
        </w:rPr>
        <w:t> </w:t>
      </w:r>
      <w:r>
        <w:rPr>
          <w:sz w:val="18"/>
        </w:rPr>
        <w:t>employees</w:t>
      </w:r>
      <w:r>
        <w:rPr>
          <w:spacing w:val="-1"/>
          <w:sz w:val="18"/>
        </w:rPr>
        <w:t> </w:t>
      </w:r>
      <w:r>
        <w:rPr>
          <w:sz w:val="18"/>
        </w:rPr>
        <w:t>of</w:t>
      </w:r>
      <w:r>
        <w:rPr>
          <w:spacing w:val="-1"/>
          <w:sz w:val="18"/>
        </w:rPr>
        <w:t> </w:t>
      </w:r>
      <w:r>
        <w:rPr>
          <w:sz w:val="18"/>
        </w:rPr>
        <w:t>other</w:t>
      </w:r>
      <w:r>
        <w:rPr>
          <w:spacing w:val="-1"/>
          <w:sz w:val="18"/>
        </w:rPr>
        <w:t> </w:t>
      </w:r>
      <w:r>
        <w:rPr>
          <w:sz w:val="18"/>
        </w:rPr>
        <w:t>participating</w:t>
      </w:r>
      <w:r>
        <w:rPr>
          <w:spacing w:val="-1"/>
          <w:sz w:val="18"/>
        </w:rPr>
        <w:t> </w:t>
      </w:r>
      <w:r>
        <w:rPr>
          <w:spacing w:val="-2"/>
          <w:sz w:val="18"/>
        </w:rPr>
        <w:t>employers;</w:t>
      </w:r>
    </w:p>
    <w:p>
      <w:pPr>
        <w:pStyle w:val="ListParagraph"/>
        <w:numPr>
          <w:ilvl w:val="1"/>
          <w:numId w:val="14"/>
        </w:numPr>
        <w:tabs>
          <w:tab w:pos="874" w:val="left" w:leader="none"/>
        </w:tabs>
        <w:spacing w:line="249" w:lineRule="auto" w:before="0" w:after="0"/>
        <w:ind w:left="144" w:right="118" w:firstLine="499"/>
        <w:jc w:val="left"/>
        <w:rPr>
          <w:sz w:val="18"/>
        </w:rPr>
      </w:pPr>
      <w:r>
        <w:rPr>
          <w:sz w:val="18"/>
        </w:rPr>
        <w:t>If</w:t>
      </w:r>
      <w:r>
        <w:rPr>
          <w:spacing w:val="35"/>
          <w:sz w:val="18"/>
        </w:rPr>
        <w:t> </w:t>
      </w:r>
      <w:r>
        <w:rPr>
          <w:sz w:val="18"/>
        </w:rPr>
        <w:t>a</w:t>
      </w:r>
      <w:r>
        <w:rPr>
          <w:spacing w:val="35"/>
          <w:sz w:val="18"/>
        </w:rPr>
        <w:t> </w:t>
      </w:r>
      <w:r>
        <w:rPr>
          <w:sz w:val="18"/>
        </w:rPr>
        <w:t>participating</w:t>
      </w:r>
      <w:r>
        <w:rPr>
          <w:spacing w:val="35"/>
          <w:sz w:val="18"/>
        </w:rPr>
        <w:t> </w:t>
      </w:r>
      <w:r>
        <w:rPr>
          <w:sz w:val="18"/>
        </w:rPr>
        <w:t>employer</w:t>
      </w:r>
      <w:r>
        <w:rPr>
          <w:spacing w:val="35"/>
          <w:sz w:val="18"/>
        </w:rPr>
        <w:t> </w:t>
      </w:r>
      <w:r>
        <w:rPr>
          <w:sz w:val="18"/>
        </w:rPr>
        <w:t>stops</w:t>
      </w:r>
      <w:r>
        <w:rPr>
          <w:spacing w:val="35"/>
          <w:sz w:val="18"/>
        </w:rPr>
        <w:t> </w:t>
      </w:r>
      <w:r>
        <w:rPr>
          <w:sz w:val="18"/>
        </w:rPr>
        <w:t>contributing</w:t>
      </w:r>
      <w:r>
        <w:rPr>
          <w:spacing w:val="35"/>
          <w:sz w:val="18"/>
        </w:rPr>
        <w:t> </w:t>
      </w:r>
      <w:r>
        <w:rPr>
          <w:sz w:val="18"/>
        </w:rPr>
        <w:t>to</w:t>
      </w:r>
      <w:r>
        <w:rPr>
          <w:spacing w:val="35"/>
          <w:sz w:val="18"/>
        </w:rPr>
        <w:t> </w:t>
      </w:r>
      <w:r>
        <w:rPr>
          <w:sz w:val="18"/>
        </w:rPr>
        <w:t>the</w:t>
      </w:r>
      <w:r>
        <w:rPr>
          <w:spacing w:val="35"/>
          <w:sz w:val="18"/>
        </w:rPr>
        <w:t> </w:t>
      </w:r>
      <w:r>
        <w:rPr>
          <w:sz w:val="18"/>
        </w:rPr>
        <w:t>plan,</w:t>
      </w:r>
      <w:r>
        <w:rPr>
          <w:spacing w:val="35"/>
          <w:sz w:val="18"/>
        </w:rPr>
        <w:t> </w:t>
      </w:r>
      <w:r>
        <w:rPr>
          <w:sz w:val="18"/>
        </w:rPr>
        <w:t>the</w:t>
      </w:r>
      <w:r>
        <w:rPr>
          <w:spacing w:val="35"/>
          <w:sz w:val="18"/>
        </w:rPr>
        <w:t> </w:t>
      </w:r>
      <w:r>
        <w:rPr>
          <w:sz w:val="18"/>
        </w:rPr>
        <w:t>unfunded</w:t>
      </w:r>
      <w:r>
        <w:rPr>
          <w:spacing w:val="35"/>
          <w:sz w:val="18"/>
        </w:rPr>
        <w:t> </w:t>
      </w:r>
      <w:r>
        <w:rPr>
          <w:sz w:val="18"/>
        </w:rPr>
        <w:t>obligations</w:t>
      </w:r>
      <w:r>
        <w:rPr>
          <w:spacing w:val="35"/>
          <w:sz w:val="18"/>
        </w:rPr>
        <w:t> </w:t>
      </w:r>
      <w:r>
        <w:rPr>
          <w:sz w:val="18"/>
        </w:rPr>
        <w:t>of</w:t>
      </w:r>
      <w:r>
        <w:rPr>
          <w:spacing w:val="35"/>
          <w:sz w:val="18"/>
        </w:rPr>
        <w:t> </w:t>
      </w:r>
      <w:r>
        <w:rPr>
          <w:sz w:val="18"/>
        </w:rPr>
        <w:t>the</w:t>
      </w:r>
      <w:r>
        <w:rPr>
          <w:spacing w:val="35"/>
          <w:sz w:val="18"/>
        </w:rPr>
        <w:t> </w:t>
      </w:r>
      <w:r>
        <w:rPr>
          <w:sz w:val="18"/>
        </w:rPr>
        <w:t>plan</w:t>
      </w:r>
      <w:r>
        <w:rPr>
          <w:spacing w:val="35"/>
          <w:sz w:val="18"/>
        </w:rPr>
        <w:t> </w:t>
      </w:r>
      <w:r>
        <w:rPr>
          <w:sz w:val="18"/>
        </w:rPr>
        <w:t>may</w:t>
      </w:r>
      <w:r>
        <w:rPr>
          <w:spacing w:val="35"/>
          <w:sz w:val="18"/>
        </w:rPr>
        <w:t> </w:t>
      </w:r>
      <w:r>
        <w:rPr>
          <w:sz w:val="18"/>
        </w:rPr>
        <w:t>be</w:t>
      </w:r>
      <w:r>
        <w:rPr>
          <w:spacing w:val="35"/>
          <w:sz w:val="18"/>
        </w:rPr>
        <w:t> </w:t>
      </w:r>
      <w:r>
        <w:rPr>
          <w:sz w:val="18"/>
        </w:rPr>
        <w:t>borne</w:t>
      </w:r>
      <w:r>
        <w:rPr>
          <w:spacing w:val="35"/>
          <w:sz w:val="18"/>
        </w:rPr>
        <w:t> </w:t>
      </w:r>
      <w:r>
        <w:rPr>
          <w:sz w:val="18"/>
        </w:rPr>
        <w:t>by</w:t>
      </w:r>
      <w:r>
        <w:rPr>
          <w:spacing w:val="35"/>
          <w:sz w:val="18"/>
        </w:rPr>
        <w:t> </w:t>
      </w:r>
      <w:r>
        <w:rPr>
          <w:sz w:val="18"/>
        </w:rPr>
        <w:t>the</w:t>
      </w:r>
      <w:r>
        <w:rPr>
          <w:spacing w:val="35"/>
          <w:sz w:val="18"/>
        </w:rPr>
        <w:t> </w:t>
      </w:r>
      <w:r>
        <w:rPr>
          <w:sz w:val="18"/>
        </w:rPr>
        <w:t>remaining</w:t>
      </w:r>
      <w:r>
        <w:rPr>
          <w:spacing w:val="35"/>
          <w:sz w:val="18"/>
        </w:rPr>
        <w:t> </w:t>
      </w:r>
      <w:r>
        <w:rPr>
          <w:sz w:val="18"/>
        </w:rPr>
        <w:t>participating </w:t>
      </w:r>
      <w:r>
        <w:rPr>
          <w:spacing w:val="-2"/>
          <w:sz w:val="18"/>
        </w:rPr>
        <w:t>employers;</w:t>
      </w:r>
    </w:p>
    <w:p>
      <w:pPr>
        <w:pStyle w:val="ListParagraph"/>
        <w:numPr>
          <w:ilvl w:val="1"/>
          <w:numId w:val="14"/>
        </w:numPr>
        <w:tabs>
          <w:tab w:pos="839" w:val="left" w:leader="none"/>
        </w:tabs>
        <w:spacing w:line="235" w:lineRule="auto" w:before="0" w:after="0"/>
        <w:ind w:left="144" w:right="118" w:firstLine="499"/>
        <w:jc w:val="left"/>
        <w:rPr>
          <w:sz w:val="18"/>
        </w:rPr>
      </w:pPr>
      <w:r>
        <w:rPr>
          <w:sz w:val="18"/>
        </w:rPr>
        <w:t>If</w:t>
      </w:r>
      <w:r>
        <w:rPr>
          <w:spacing w:val="10"/>
          <w:sz w:val="18"/>
        </w:rPr>
        <w:t> </w:t>
      </w:r>
      <w:r>
        <w:rPr>
          <w:sz w:val="18"/>
        </w:rPr>
        <w:t>an</w:t>
      </w:r>
      <w:r>
        <w:rPr>
          <w:spacing w:val="10"/>
          <w:sz w:val="18"/>
        </w:rPr>
        <w:t> </w:t>
      </w:r>
      <w:r>
        <w:rPr>
          <w:sz w:val="18"/>
        </w:rPr>
        <w:t>entity</w:t>
      </w:r>
      <w:r>
        <w:rPr>
          <w:spacing w:val="10"/>
          <w:sz w:val="18"/>
        </w:rPr>
        <w:t> </w:t>
      </w:r>
      <w:r>
        <w:rPr>
          <w:sz w:val="18"/>
        </w:rPr>
        <w:t>chooses</w:t>
      </w:r>
      <w:r>
        <w:rPr>
          <w:spacing w:val="10"/>
          <w:sz w:val="18"/>
        </w:rPr>
        <w:t> </w:t>
      </w:r>
      <w:r>
        <w:rPr>
          <w:sz w:val="18"/>
        </w:rPr>
        <w:t>to</w:t>
      </w:r>
      <w:r>
        <w:rPr>
          <w:spacing w:val="10"/>
          <w:sz w:val="18"/>
        </w:rPr>
        <w:t> </w:t>
      </w:r>
      <w:r>
        <w:rPr>
          <w:sz w:val="18"/>
        </w:rPr>
        <w:t>stop</w:t>
      </w:r>
      <w:r>
        <w:rPr>
          <w:spacing w:val="10"/>
          <w:sz w:val="18"/>
        </w:rPr>
        <w:t> </w:t>
      </w:r>
      <w:r>
        <w:rPr>
          <w:sz w:val="18"/>
        </w:rPr>
        <w:t>participating</w:t>
      </w:r>
      <w:r>
        <w:rPr>
          <w:spacing w:val="10"/>
          <w:sz w:val="18"/>
        </w:rPr>
        <w:t> </w:t>
      </w:r>
      <w:r>
        <w:rPr>
          <w:sz w:val="18"/>
        </w:rPr>
        <w:t>in</w:t>
      </w:r>
      <w:r>
        <w:rPr>
          <w:spacing w:val="10"/>
          <w:sz w:val="18"/>
        </w:rPr>
        <w:t> </w:t>
      </w:r>
      <w:r>
        <w:rPr>
          <w:sz w:val="18"/>
        </w:rPr>
        <w:t>some</w:t>
      </w:r>
      <w:r>
        <w:rPr>
          <w:spacing w:val="10"/>
          <w:sz w:val="18"/>
        </w:rPr>
        <w:t> </w:t>
      </w:r>
      <w:r>
        <w:rPr>
          <w:sz w:val="18"/>
        </w:rPr>
        <w:t>of</w:t>
      </w:r>
      <w:r>
        <w:rPr>
          <w:spacing w:val="10"/>
          <w:sz w:val="18"/>
        </w:rPr>
        <w:t> </w:t>
      </w:r>
      <w:r>
        <w:rPr>
          <w:sz w:val="18"/>
        </w:rPr>
        <w:t>its</w:t>
      </w:r>
      <w:r>
        <w:rPr>
          <w:spacing w:val="10"/>
          <w:sz w:val="18"/>
        </w:rPr>
        <w:t> </w:t>
      </w:r>
      <w:r>
        <w:rPr>
          <w:sz w:val="18"/>
        </w:rPr>
        <w:t>multiemployer</w:t>
      </w:r>
      <w:r>
        <w:rPr>
          <w:spacing w:val="10"/>
          <w:sz w:val="18"/>
        </w:rPr>
        <w:t> </w:t>
      </w:r>
      <w:r>
        <w:rPr>
          <w:sz w:val="18"/>
        </w:rPr>
        <w:t>plans,</w:t>
      </w:r>
      <w:r>
        <w:rPr>
          <w:spacing w:val="10"/>
          <w:sz w:val="18"/>
        </w:rPr>
        <w:t> </w:t>
      </w:r>
      <w:r>
        <w:rPr>
          <w:sz w:val="18"/>
        </w:rPr>
        <w:t>the</w:t>
      </w:r>
      <w:r>
        <w:rPr>
          <w:spacing w:val="10"/>
          <w:sz w:val="18"/>
        </w:rPr>
        <w:t> </w:t>
      </w:r>
      <w:r>
        <w:rPr>
          <w:sz w:val="18"/>
        </w:rPr>
        <w:t>entity</w:t>
      </w:r>
      <w:r>
        <w:rPr>
          <w:spacing w:val="10"/>
          <w:sz w:val="18"/>
        </w:rPr>
        <w:t> </w:t>
      </w:r>
      <w:r>
        <w:rPr>
          <w:sz w:val="18"/>
        </w:rPr>
        <w:t>may</w:t>
      </w:r>
      <w:r>
        <w:rPr>
          <w:spacing w:val="10"/>
          <w:sz w:val="18"/>
        </w:rPr>
        <w:t> </w:t>
      </w:r>
      <w:r>
        <w:rPr>
          <w:sz w:val="18"/>
        </w:rPr>
        <w:t>be</w:t>
      </w:r>
      <w:r>
        <w:rPr>
          <w:spacing w:val="10"/>
          <w:sz w:val="18"/>
        </w:rPr>
        <w:t> </w:t>
      </w:r>
      <w:r>
        <w:rPr>
          <w:sz w:val="18"/>
        </w:rPr>
        <w:t>required</w:t>
      </w:r>
      <w:r>
        <w:rPr>
          <w:spacing w:val="10"/>
          <w:sz w:val="18"/>
        </w:rPr>
        <w:t> </w:t>
      </w:r>
      <w:r>
        <w:rPr>
          <w:sz w:val="18"/>
        </w:rPr>
        <w:t>to</w:t>
      </w:r>
      <w:r>
        <w:rPr>
          <w:spacing w:val="10"/>
          <w:sz w:val="18"/>
        </w:rPr>
        <w:t> </w:t>
      </w:r>
      <w:r>
        <w:rPr>
          <w:sz w:val="18"/>
        </w:rPr>
        <w:t>pay</w:t>
      </w:r>
      <w:r>
        <w:rPr>
          <w:spacing w:val="10"/>
          <w:sz w:val="18"/>
        </w:rPr>
        <w:t> </w:t>
      </w:r>
      <w:r>
        <w:rPr>
          <w:sz w:val="18"/>
        </w:rPr>
        <w:t>those</w:t>
      </w:r>
      <w:r>
        <w:rPr>
          <w:spacing w:val="10"/>
          <w:sz w:val="18"/>
        </w:rPr>
        <w:t> </w:t>
      </w:r>
      <w:r>
        <w:rPr>
          <w:sz w:val="18"/>
        </w:rPr>
        <w:t>plans</w:t>
      </w:r>
      <w:r>
        <w:rPr>
          <w:spacing w:val="10"/>
          <w:sz w:val="18"/>
        </w:rPr>
        <w:t> </w:t>
      </w:r>
      <w:r>
        <w:rPr>
          <w:sz w:val="18"/>
        </w:rPr>
        <w:t>an</w:t>
      </w:r>
      <w:r>
        <w:rPr>
          <w:spacing w:val="10"/>
          <w:sz w:val="18"/>
        </w:rPr>
        <w:t> </w:t>
      </w:r>
      <w:r>
        <w:rPr>
          <w:sz w:val="18"/>
        </w:rPr>
        <w:t>amount</w:t>
      </w:r>
      <w:r>
        <w:rPr>
          <w:spacing w:val="10"/>
          <w:sz w:val="18"/>
        </w:rPr>
        <w:t> </w:t>
      </w:r>
      <w:r>
        <w:rPr>
          <w:sz w:val="18"/>
        </w:rPr>
        <w:t>based</w:t>
      </w:r>
      <w:r>
        <w:rPr>
          <w:spacing w:val="10"/>
          <w:sz w:val="18"/>
        </w:rPr>
        <w:t> </w:t>
      </w:r>
      <w:r>
        <w:rPr>
          <w:sz w:val="18"/>
        </w:rPr>
        <w:t>on</w:t>
      </w:r>
      <w:r>
        <w:rPr>
          <w:spacing w:val="10"/>
          <w:sz w:val="18"/>
        </w:rPr>
        <w:t> </w:t>
      </w:r>
      <w:r>
        <w:rPr>
          <w:sz w:val="18"/>
        </w:rPr>
        <w:t>the underfunded status of the plan, referred to as a withdrawal liability; and</w:t>
      </w:r>
    </w:p>
    <w:p>
      <w:pPr>
        <w:pStyle w:val="ListParagraph"/>
        <w:numPr>
          <w:ilvl w:val="1"/>
          <w:numId w:val="14"/>
        </w:numPr>
        <w:tabs>
          <w:tab w:pos="847" w:val="left" w:leader="none"/>
        </w:tabs>
        <w:spacing w:line="235" w:lineRule="auto" w:before="2" w:after="0"/>
        <w:ind w:left="144" w:right="118" w:firstLine="499"/>
        <w:jc w:val="left"/>
        <w:rPr>
          <w:sz w:val="18"/>
        </w:rPr>
      </w:pPr>
      <w:r>
        <w:rPr>
          <w:sz w:val="18"/>
        </w:rPr>
        <w:t>If the plan is terminated by withdrawal of all employers and if the value of the non-forfeitable benefits exceeds plan assets and withdrawal liability</w:t>
      </w:r>
      <w:r>
        <w:rPr>
          <w:spacing w:val="40"/>
          <w:sz w:val="18"/>
        </w:rPr>
        <w:t> </w:t>
      </w:r>
      <w:r>
        <w:rPr>
          <w:sz w:val="18"/>
        </w:rPr>
        <w:t>payments, employers are required by law to make up the insufficient difference.</w:t>
      </w:r>
    </w:p>
    <w:p>
      <w:pPr>
        <w:pStyle w:val="BodyText"/>
      </w:pPr>
    </w:p>
    <w:p>
      <w:pPr>
        <w:pStyle w:val="BodyText"/>
      </w:pPr>
    </w:p>
    <w:p>
      <w:pPr>
        <w:pStyle w:val="BodyText"/>
        <w:spacing w:before="199"/>
      </w:pPr>
    </w:p>
    <w:p>
      <w:pPr>
        <w:pStyle w:val="BodyText"/>
        <w:ind w:left="24"/>
        <w:jc w:val="center"/>
      </w:pPr>
      <w:r>
        <w:rPr>
          <w:spacing w:val="-5"/>
        </w:rPr>
        <w:t>94</w:t>
      </w:r>
    </w:p>
    <w:p>
      <w:pPr>
        <w:pStyle w:val="BodyText"/>
        <w:spacing w:before="3"/>
        <w:rPr>
          <w:sz w:val="6"/>
        </w:rPr>
      </w:pPr>
      <w:r>
        <w:rPr/>
        <mc:AlternateContent>
          <mc:Choice Requires="wps">
            <w:drawing>
              <wp:anchor distT="0" distB="0" distL="0" distR="0" allowOverlap="1" layoutInCell="1" locked="0" behindDoc="1" simplePos="0" relativeHeight="487715328">
                <wp:simplePos x="0" y="0"/>
                <wp:positionH relativeFrom="page">
                  <wp:posOffset>231457</wp:posOffset>
                </wp:positionH>
                <wp:positionV relativeFrom="paragraph">
                  <wp:posOffset>60956</wp:posOffset>
                </wp:positionV>
                <wp:extent cx="7312659" cy="17145"/>
                <wp:effectExtent l="0" t="0" r="0" b="0"/>
                <wp:wrapTopAndBottom/>
                <wp:docPr id="633" name="Group 633"/>
                <wp:cNvGraphicFramePr>
                  <a:graphicFrameLocks/>
                </wp:cNvGraphicFramePr>
                <a:graphic>
                  <a:graphicData uri="http://schemas.microsoft.com/office/word/2010/wordprocessingGroup">
                    <wpg:wgp>
                      <wpg:cNvPr id="633" name="Group 633"/>
                      <wpg:cNvGrpSpPr/>
                      <wpg:grpSpPr>
                        <a:xfrm>
                          <a:off x="0" y="0"/>
                          <a:ext cx="7312659" cy="17145"/>
                          <a:chExt cx="7312659" cy="17145"/>
                        </a:xfrm>
                      </wpg:grpSpPr>
                      <wps:wsp>
                        <wps:cNvPr id="634" name="Graphic 63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35" name="Graphic 635"/>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36" name="Graphic 63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01152;mso-wrap-distance-left:0;mso-wrap-distance-right:0" id="docshapegroup631" coordorigin="364,96" coordsize="11516,27">
                <v:rect style="position:absolute;left:364;top:96;width:11516;height:14" id="docshape632" filled="true" fillcolor="#999999" stroked="false">
                  <v:fill type="solid"/>
                </v:rect>
                <v:shape style="position:absolute;left:364;top:95;width:11516;height:27" id="docshape633" coordorigin="364,96" coordsize="11516,27" path="m11880,96l11866,109,364,109,364,123,11866,123,11880,123,11880,109,11880,96xe" filled="true" fillcolor="#ededed" stroked="false">
                  <v:path arrowok="t"/>
                  <v:fill type="solid"/>
                </v:shape>
                <v:shape style="position:absolute;left:364;top:96;width:14;height:27" id="docshape634"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before="63"/>
        <w:ind w:left="644"/>
      </w:pPr>
      <w:r>
        <w:rPr/>
        <w:t>The</w:t>
      </w:r>
      <w:r>
        <w:rPr>
          <w:spacing w:val="-5"/>
        </w:rPr>
        <w:t> </w:t>
      </w:r>
      <w:r>
        <w:rPr/>
        <w:t>Company’s</w:t>
      </w:r>
      <w:r>
        <w:rPr>
          <w:spacing w:val="-2"/>
        </w:rPr>
        <w:t> </w:t>
      </w:r>
      <w:r>
        <w:rPr/>
        <w:t>participation</w:t>
      </w:r>
      <w:r>
        <w:rPr>
          <w:spacing w:val="-2"/>
        </w:rPr>
        <w:t> </w:t>
      </w:r>
      <w:r>
        <w:rPr/>
        <w:t>in</w:t>
      </w:r>
      <w:r>
        <w:rPr>
          <w:spacing w:val="-2"/>
        </w:rPr>
        <w:t> </w:t>
      </w:r>
      <w:r>
        <w:rPr/>
        <w:t>these</w:t>
      </w:r>
      <w:r>
        <w:rPr>
          <w:spacing w:val="-3"/>
        </w:rPr>
        <w:t> </w:t>
      </w:r>
      <w:r>
        <w:rPr/>
        <w:t>plans</w:t>
      </w:r>
      <w:r>
        <w:rPr>
          <w:spacing w:val="-2"/>
        </w:rPr>
        <w:t> </w:t>
      </w:r>
      <w:r>
        <w:rPr/>
        <w:t>is</w:t>
      </w:r>
      <w:r>
        <w:rPr>
          <w:spacing w:val="-2"/>
        </w:rPr>
        <w:t> </w:t>
      </w:r>
      <w:r>
        <w:rPr/>
        <w:t>presented</w:t>
      </w:r>
      <w:r>
        <w:rPr>
          <w:spacing w:val="-2"/>
        </w:rPr>
        <w:t> below.</w:t>
      </w:r>
    </w:p>
    <w:p>
      <w:pPr>
        <w:pStyle w:val="BodyText"/>
        <w:spacing w:before="5"/>
        <w:rPr>
          <w:sz w:val="15"/>
        </w:rPr>
      </w:pPr>
    </w:p>
    <w:p>
      <w:pPr>
        <w:spacing w:after="0"/>
        <w:rPr>
          <w:sz w:val="15"/>
        </w:rPr>
        <w:sectPr>
          <w:pgSz w:w="12240" w:h="15840"/>
          <w:pgMar w:top="1200" w:bottom="280" w:left="220" w:right="240"/>
        </w:sectPr>
      </w:pPr>
    </w:p>
    <w:p>
      <w:pPr>
        <w:pStyle w:val="BodyText"/>
        <w:rPr>
          <w:sz w:val="14"/>
        </w:rPr>
      </w:pPr>
    </w:p>
    <w:p>
      <w:pPr>
        <w:pStyle w:val="BodyText"/>
        <w:spacing w:before="32"/>
        <w:rPr>
          <w:sz w:val="14"/>
        </w:rPr>
      </w:pPr>
    </w:p>
    <w:p>
      <w:pPr>
        <w:spacing w:before="1"/>
        <w:ind w:left="0" w:right="0" w:firstLine="0"/>
        <w:jc w:val="right"/>
        <w:rPr>
          <w:b/>
          <w:sz w:val="14"/>
        </w:rPr>
      </w:pPr>
      <w:r>
        <w:rPr>
          <w:b/>
          <w:spacing w:val="-2"/>
          <w:sz w:val="14"/>
        </w:rPr>
        <w:t>EIN/Pension</w:t>
      </w:r>
    </w:p>
    <w:p>
      <w:pPr>
        <w:spacing w:line="240" w:lineRule="auto" w:before="18"/>
        <w:rPr>
          <w:b/>
          <w:sz w:val="14"/>
        </w:rPr>
      </w:pPr>
      <w:r>
        <w:rPr/>
        <w:br w:type="column"/>
      </w:r>
      <w:r>
        <w:rPr>
          <w:b/>
          <w:sz w:val="14"/>
        </w:rPr>
      </w:r>
    </w:p>
    <w:p>
      <w:pPr>
        <w:spacing w:line="261" w:lineRule="auto" w:before="0"/>
        <w:ind w:left="475" w:right="0" w:hanging="12"/>
        <w:jc w:val="left"/>
        <w:rPr>
          <w:b/>
          <w:sz w:val="14"/>
        </w:rPr>
      </w:pPr>
      <w:r>
        <w:rPr>
          <w:b/>
          <w:spacing w:val="-2"/>
          <w:w w:val="105"/>
          <w:sz w:val="14"/>
        </w:rPr>
        <w:t>Pension</w:t>
      </w:r>
      <w:r>
        <w:rPr>
          <w:b/>
          <w:spacing w:val="-8"/>
          <w:w w:val="105"/>
          <w:sz w:val="14"/>
        </w:rPr>
        <w:t> </w:t>
      </w:r>
      <w:r>
        <w:rPr>
          <w:b/>
          <w:spacing w:val="-2"/>
          <w:w w:val="105"/>
          <w:sz w:val="14"/>
        </w:rPr>
        <w:t>Protection</w:t>
      </w:r>
      <w:r>
        <w:rPr>
          <w:b/>
          <w:spacing w:val="40"/>
          <w:w w:val="105"/>
          <w:sz w:val="14"/>
        </w:rPr>
        <w:t> </w:t>
      </w:r>
      <w:r>
        <w:rPr>
          <w:b/>
          <w:sz w:val="14"/>
        </w:rPr>
        <w:t>Act</w:t>
      </w:r>
      <w:r>
        <w:rPr>
          <w:b/>
          <w:spacing w:val="5"/>
          <w:sz w:val="14"/>
        </w:rPr>
        <w:t> </w:t>
      </w:r>
      <w:r>
        <w:rPr>
          <w:b/>
          <w:sz w:val="14"/>
        </w:rPr>
        <w:t>Zone</w:t>
      </w:r>
      <w:r>
        <w:rPr>
          <w:b/>
          <w:spacing w:val="6"/>
          <w:sz w:val="14"/>
        </w:rPr>
        <w:t> </w:t>
      </w:r>
      <w:r>
        <w:rPr>
          <w:b/>
          <w:sz w:val="14"/>
        </w:rPr>
        <w:t>Status</w:t>
      </w:r>
      <w:r>
        <w:rPr>
          <w:b/>
          <w:spacing w:val="7"/>
          <w:sz w:val="14"/>
        </w:rPr>
        <w:t> </w:t>
      </w:r>
      <w:r>
        <w:rPr>
          <w:b/>
          <w:spacing w:val="-5"/>
          <w:sz w:val="14"/>
          <w:vertAlign w:val="superscript"/>
        </w:rPr>
        <w:t>(2)</w:t>
      </w:r>
    </w:p>
    <w:p>
      <w:pPr>
        <w:spacing w:line="240" w:lineRule="auto" w:before="0"/>
        <w:rPr>
          <w:b/>
          <w:sz w:val="14"/>
        </w:rPr>
      </w:pPr>
      <w:r>
        <w:rPr/>
        <w:br w:type="column"/>
      </w:r>
      <w:r>
        <w:rPr>
          <w:b/>
          <w:sz w:val="14"/>
        </w:rPr>
      </w:r>
    </w:p>
    <w:p>
      <w:pPr>
        <w:pStyle w:val="BodyText"/>
        <w:spacing w:before="32"/>
        <w:rPr>
          <w:b/>
          <w:sz w:val="14"/>
        </w:rPr>
      </w:pPr>
    </w:p>
    <w:p>
      <w:pPr>
        <w:spacing w:before="1"/>
        <w:ind w:left="516" w:right="0" w:firstLine="0"/>
        <w:jc w:val="left"/>
        <w:rPr>
          <w:b/>
          <w:sz w:val="14"/>
        </w:rPr>
      </w:pPr>
      <w:r>
        <w:rPr>
          <w:b/>
          <w:spacing w:val="-2"/>
          <w:sz w:val="14"/>
        </w:rPr>
        <w:t>FIP/RP</w:t>
      </w:r>
    </w:p>
    <w:p>
      <w:pPr>
        <w:spacing w:line="240" w:lineRule="auto" w:before="4"/>
        <w:rPr>
          <w:b/>
          <w:sz w:val="14"/>
        </w:rPr>
      </w:pPr>
      <w:r>
        <w:rPr/>
        <w:br w:type="column"/>
      </w:r>
      <w:r>
        <w:rPr>
          <w:b/>
          <w:sz w:val="14"/>
        </w:rPr>
      </w:r>
    </w:p>
    <w:p>
      <w:pPr>
        <w:spacing w:before="1"/>
        <w:ind w:left="718" w:right="1" w:firstLine="0"/>
        <w:jc w:val="center"/>
        <w:rPr>
          <w:b/>
          <w:sz w:val="14"/>
        </w:rPr>
      </w:pPr>
      <w:r>
        <w:rPr>
          <w:b/>
          <w:sz w:val="14"/>
        </w:rPr>
        <w:t>Contributions</w:t>
      </w:r>
      <w:r>
        <w:rPr>
          <w:b/>
          <w:spacing w:val="7"/>
          <w:sz w:val="14"/>
        </w:rPr>
        <w:t> </w:t>
      </w:r>
      <w:r>
        <w:rPr>
          <w:b/>
          <w:sz w:val="14"/>
        </w:rPr>
        <w:t>by</w:t>
      </w:r>
      <w:r>
        <w:rPr>
          <w:b/>
          <w:spacing w:val="8"/>
          <w:sz w:val="14"/>
        </w:rPr>
        <w:t> </w:t>
      </w:r>
      <w:r>
        <w:rPr>
          <w:b/>
          <w:sz w:val="14"/>
        </w:rPr>
        <w:t>the</w:t>
      </w:r>
      <w:r>
        <w:rPr>
          <w:b/>
          <w:spacing w:val="8"/>
          <w:sz w:val="14"/>
        </w:rPr>
        <w:t> </w:t>
      </w:r>
      <w:r>
        <w:rPr>
          <w:b/>
          <w:spacing w:val="-2"/>
          <w:sz w:val="14"/>
        </w:rPr>
        <w:t>Company</w:t>
      </w:r>
    </w:p>
    <w:p>
      <w:pPr>
        <w:spacing w:before="28"/>
        <w:ind w:left="718" w:right="1" w:firstLine="0"/>
        <w:jc w:val="center"/>
        <w:rPr>
          <w:b/>
          <w:sz w:val="14"/>
        </w:rPr>
      </w:pPr>
      <w:r>
        <w:rPr>
          <w:b/>
          <w:i/>
          <w:w w:val="105"/>
          <w:sz w:val="14"/>
        </w:rPr>
        <w:t>(in</w:t>
      </w:r>
      <w:r>
        <w:rPr>
          <w:b/>
          <w:i/>
          <w:spacing w:val="-7"/>
          <w:w w:val="105"/>
          <w:sz w:val="14"/>
        </w:rPr>
        <w:t> </w:t>
      </w:r>
      <w:r>
        <w:rPr>
          <w:b/>
          <w:i/>
          <w:spacing w:val="-2"/>
          <w:w w:val="105"/>
          <w:sz w:val="14"/>
        </w:rPr>
        <w:t>thousands)</w:t>
      </w:r>
      <w:r>
        <w:rPr>
          <w:b/>
          <w:spacing w:val="-2"/>
          <w:w w:val="105"/>
          <w:sz w:val="14"/>
          <w:vertAlign w:val="superscript"/>
        </w:rPr>
        <w:t>(4)</w:t>
      </w:r>
    </w:p>
    <w:p>
      <w:pPr>
        <w:spacing w:line="240" w:lineRule="auto" w:before="0"/>
        <w:rPr>
          <w:b/>
          <w:sz w:val="14"/>
        </w:rPr>
      </w:pPr>
      <w:r>
        <w:rPr/>
        <w:br w:type="column"/>
      </w:r>
      <w:r>
        <w:rPr>
          <w:b/>
          <w:sz w:val="14"/>
        </w:rPr>
      </w:r>
    </w:p>
    <w:p>
      <w:pPr>
        <w:pStyle w:val="BodyText"/>
        <w:spacing w:before="32"/>
        <w:rPr>
          <w:b/>
          <w:sz w:val="14"/>
        </w:rPr>
      </w:pPr>
    </w:p>
    <w:p>
      <w:pPr>
        <w:spacing w:before="1"/>
        <w:ind w:left="546" w:right="0" w:firstLine="0"/>
        <w:jc w:val="left"/>
        <w:rPr>
          <w:b/>
          <w:sz w:val="14"/>
        </w:rPr>
      </w:pPr>
      <w:r>
        <w:rPr>
          <w:b/>
          <w:spacing w:val="-2"/>
          <w:sz w:val="14"/>
        </w:rPr>
        <w:t>Surcharge</w:t>
      </w:r>
    </w:p>
    <w:p>
      <w:pPr>
        <w:spacing w:before="98"/>
        <w:ind w:left="292" w:right="202" w:firstLine="0"/>
        <w:jc w:val="center"/>
        <w:rPr>
          <w:b/>
          <w:sz w:val="14"/>
        </w:rPr>
      </w:pPr>
      <w:r>
        <w:rPr/>
        <w:br w:type="column"/>
      </w:r>
      <w:r>
        <w:rPr>
          <w:b/>
          <w:sz w:val="14"/>
        </w:rPr>
        <w:t>Expiration</w:t>
      </w:r>
      <w:r>
        <w:rPr>
          <w:b/>
          <w:spacing w:val="-9"/>
          <w:sz w:val="14"/>
        </w:rPr>
        <w:t> </w:t>
      </w:r>
      <w:r>
        <w:rPr>
          <w:b/>
          <w:sz w:val="14"/>
        </w:rPr>
        <w:t>Dates</w:t>
      </w:r>
      <w:r>
        <w:rPr>
          <w:b/>
          <w:spacing w:val="40"/>
          <w:sz w:val="14"/>
        </w:rPr>
        <w:t> </w:t>
      </w:r>
      <w:r>
        <w:rPr>
          <w:b/>
          <w:sz w:val="14"/>
        </w:rPr>
        <w:t>of</w:t>
      </w:r>
      <w:r>
        <w:rPr>
          <w:b/>
          <w:spacing w:val="-6"/>
          <w:sz w:val="14"/>
        </w:rPr>
        <w:t> </w:t>
      </w:r>
      <w:r>
        <w:rPr>
          <w:b/>
          <w:sz w:val="14"/>
        </w:rPr>
        <w:t>Collective</w:t>
      </w:r>
      <w:r>
        <w:rPr>
          <w:b/>
          <w:spacing w:val="40"/>
          <w:sz w:val="14"/>
        </w:rPr>
        <w:t> </w:t>
      </w:r>
      <w:r>
        <w:rPr>
          <w:b/>
          <w:spacing w:val="-2"/>
          <w:sz w:val="14"/>
        </w:rPr>
        <w:t>Bargaining</w:t>
      </w:r>
    </w:p>
    <w:p>
      <w:pPr>
        <w:spacing w:after="0"/>
        <w:jc w:val="center"/>
        <w:rPr>
          <w:sz w:val="14"/>
        </w:rPr>
        <w:sectPr>
          <w:type w:val="continuous"/>
          <w:pgSz w:w="12240" w:h="15840"/>
          <w:pgMar w:top="1040" w:bottom="280" w:left="220" w:right="240"/>
          <w:cols w:num="6" w:equalWidth="0">
            <w:col w:w="3628" w:space="40"/>
            <w:col w:w="1617" w:space="39"/>
            <w:col w:w="981" w:space="39"/>
            <w:col w:w="2633" w:space="40"/>
            <w:col w:w="1184" w:space="40"/>
            <w:col w:w="1539"/>
          </w:cols>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364"/>
        <w:gridCol w:w="780"/>
        <w:gridCol w:w="761"/>
        <w:gridCol w:w="1116"/>
        <w:gridCol w:w="950"/>
        <w:gridCol w:w="891"/>
        <w:gridCol w:w="988"/>
        <w:gridCol w:w="968"/>
        <w:gridCol w:w="1262"/>
      </w:tblGrid>
      <w:tr>
        <w:trPr>
          <w:trHeight w:val="204" w:hRule="atLeast"/>
        </w:trPr>
        <w:tc>
          <w:tcPr>
            <w:tcW w:w="2434" w:type="dxa"/>
            <w:tcBorders>
              <w:bottom w:val="single" w:sz="6" w:space="0" w:color="000000"/>
            </w:tcBorders>
          </w:tcPr>
          <w:p>
            <w:pPr>
              <w:pStyle w:val="TableParagraph"/>
              <w:spacing w:before="3"/>
              <w:ind w:left="693"/>
              <w:rPr>
                <w:b/>
                <w:sz w:val="14"/>
              </w:rPr>
            </w:pPr>
            <w:r>
              <w:rPr>
                <w:b/>
                <w:sz w:val="14"/>
              </w:rPr>
              <w:t>Pension</w:t>
            </w:r>
            <w:r>
              <w:rPr>
                <w:b/>
                <w:spacing w:val="9"/>
                <w:sz w:val="14"/>
              </w:rPr>
              <w:t> </w:t>
            </w:r>
            <w:r>
              <w:rPr>
                <w:b/>
                <w:spacing w:val="-2"/>
                <w:sz w:val="14"/>
              </w:rPr>
              <w:t>Fund</w:t>
            </w:r>
            <w:r>
              <w:rPr>
                <w:b/>
                <w:spacing w:val="-2"/>
                <w:sz w:val="14"/>
                <w:vertAlign w:val="superscript"/>
              </w:rPr>
              <w:t>(1)</w:t>
            </w:r>
          </w:p>
        </w:tc>
        <w:tc>
          <w:tcPr>
            <w:tcW w:w="1364" w:type="dxa"/>
            <w:tcBorders>
              <w:bottom w:val="single" w:sz="6" w:space="0" w:color="000000"/>
            </w:tcBorders>
          </w:tcPr>
          <w:p>
            <w:pPr>
              <w:pStyle w:val="TableParagraph"/>
              <w:spacing w:before="3"/>
              <w:ind w:right="40"/>
              <w:jc w:val="center"/>
              <w:rPr>
                <w:b/>
                <w:sz w:val="14"/>
              </w:rPr>
            </w:pPr>
            <w:r>
              <w:rPr>
                <w:b/>
                <w:sz w:val="14"/>
              </w:rPr>
              <w:t>Plan</w:t>
            </w:r>
            <w:r>
              <w:rPr>
                <w:b/>
                <w:spacing w:val="5"/>
                <w:sz w:val="14"/>
              </w:rPr>
              <w:t> </w:t>
            </w:r>
            <w:r>
              <w:rPr>
                <w:b/>
                <w:spacing w:val="-2"/>
                <w:sz w:val="14"/>
              </w:rPr>
              <w:t>Number</w:t>
            </w:r>
          </w:p>
        </w:tc>
        <w:tc>
          <w:tcPr>
            <w:tcW w:w="780" w:type="dxa"/>
            <w:tcBorders>
              <w:bottom w:val="single" w:sz="6" w:space="0" w:color="000000"/>
            </w:tcBorders>
          </w:tcPr>
          <w:p>
            <w:pPr>
              <w:pStyle w:val="TableParagraph"/>
              <w:spacing w:before="3"/>
              <w:ind w:left="26"/>
              <w:jc w:val="center"/>
              <w:rPr>
                <w:b/>
                <w:sz w:val="14"/>
              </w:rPr>
            </w:pPr>
            <w:r>
              <w:rPr>
                <w:b/>
                <w:spacing w:val="-4"/>
                <w:sz w:val="14"/>
              </w:rPr>
              <w:t>2021</w:t>
            </w:r>
          </w:p>
        </w:tc>
        <w:tc>
          <w:tcPr>
            <w:tcW w:w="761" w:type="dxa"/>
            <w:tcBorders>
              <w:bottom w:val="single" w:sz="6" w:space="0" w:color="000000"/>
            </w:tcBorders>
          </w:tcPr>
          <w:p>
            <w:pPr>
              <w:pStyle w:val="TableParagraph"/>
              <w:spacing w:before="3"/>
              <w:ind w:right="3"/>
              <w:jc w:val="center"/>
              <w:rPr>
                <w:b/>
                <w:sz w:val="14"/>
              </w:rPr>
            </w:pPr>
            <w:r>
              <w:rPr>
                <w:b/>
                <w:spacing w:val="-4"/>
                <w:sz w:val="14"/>
              </w:rPr>
              <w:t>2020</w:t>
            </w:r>
          </w:p>
        </w:tc>
        <w:tc>
          <w:tcPr>
            <w:tcW w:w="1116" w:type="dxa"/>
            <w:tcBorders>
              <w:bottom w:val="single" w:sz="6" w:space="0" w:color="000000"/>
            </w:tcBorders>
          </w:tcPr>
          <w:p>
            <w:pPr>
              <w:pStyle w:val="TableParagraph"/>
              <w:spacing w:before="3"/>
              <w:ind w:left="61"/>
              <w:jc w:val="center"/>
              <w:rPr>
                <w:b/>
                <w:sz w:val="14"/>
              </w:rPr>
            </w:pPr>
            <w:r>
              <w:rPr>
                <w:b/>
                <w:sz w:val="14"/>
              </w:rPr>
              <w:t>Status</w:t>
            </w:r>
            <w:r>
              <w:rPr>
                <w:b/>
                <w:spacing w:val="8"/>
                <w:sz w:val="14"/>
              </w:rPr>
              <w:t> </w:t>
            </w:r>
            <w:r>
              <w:rPr>
                <w:b/>
                <w:spacing w:val="-5"/>
                <w:sz w:val="14"/>
                <w:vertAlign w:val="superscript"/>
              </w:rPr>
              <w:t>(3)</w:t>
            </w:r>
          </w:p>
        </w:tc>
        <w:tc>
          <w:tcPr>
            <w:tcW w:w="950" w:type="dxa"/>
            <w:tcBorders>
              <w:bottom w:val="single" w:sz="6" w:space="0" w:color="000000"/>
            </w:tcBorders>
          </w:tcPr>
          <w:p>
            <w:pPr>
              <w:pStyle w:val="TableParagraph"/>
              <w:spacing w:before="3"/>
              <w:ind w:left="107"/>
              <w:jc w:val="center"/>
              <w:rPr>
                <w:b/>
                <w:sz w:val="14"/>
              </w:rPr>
            </w:pPr>
            <w:r>
              <w:rPr>
                <w:b/>
                <w:spacing w:val="-4"/>
                <w:sz w:val="14"/>
              </w:rPr>
              <w:t>2022</w:t>
            </w:r>
          </w:p>
        </w:tc>
        <w:tc>
          <w:tcPr>
            <w:tcW w:w="891" w:type="dxa"/>
            <w:tcBorders>
              <w:bottom w:val="single" w:sz="6" w:space="0" w:color="000000"/>
            </w:tcBorders>
          </w:tcPr>
          <w:p>
            <w:pPr>
              <w:pStyle w:val="TableParagraph"/>
              <w:spacing w:before="3"/>
              <w:ind w:left="48"/>
              <w:jc w:val="center"/>
              <w:rPr>
                <w:b/>
                <w:sz w:val="14"/>
              </w:rPr>
            </w:pPr>
            <w:r>
              <w:rPr>
                <w:b/>
                <w:spacing w:val="-4"/>
                <w:sz w:val="14"/>
              </w:rPr>
              <w:t>2021</w:t>
            </w:r>
          </w:p>
        </w:tc>
        <w:tc>
          <w:tcPr>
            <w:tcW w:w="988" w:type="dxa"/>
            <w:tcBorders>
              <w:bottom w:val="single" w:sz="6" w:space="0" w:color="000000"/>
            </w:tcBorders>
          </w:tcPr>
          <w:p>
            <w:pPr>
              <w:pStyle w:val="TableParagraph"/>
              <w:spacing w:before="3"/>
              <w:ind w:right="46"/>
              <w:jc w:val="center"/>
              <w:rPr>
                <w:b/>
                <w:sz w:val="14"/>
              </w:rPr>
            </w:pPr>
            <w:r>
              <w:rPr>
                <w:b/>
                <w:spacing w:val="-4"/>
                <w:sz w:val="14"/>
              </w:rPr>
              <w:t>2020</w:t>
            </w:r>
          </w:p>
        </w:tc>
        <w:tc>
          <w:tcPr>
            <w:tcW w:w="968" w:type="dxa"/>
            <w:tcBorders>
              <w:bottom w:val="single" w:sz="6" w:space="0" w:color="000000"/>
            </w:tcBorders>
          </w:tcPr>
          <w:p>
            <w:pPr>
              <w:pStyle w:val="TableParagraph"/>
              <w:spacing w:before="3"/>
              <w:ind w:right="59"/>
              <w:jc w:val="center"/>
              <w:rPr>
                <w:b/>
                <w:sz w:val="14"/>
              </w:rPr>
            </w:pPr>
            <w:r>
              <w:rPr>
                <w:b/>
                <w:spacing w:val="-2"/>
                <w:sz w:val="14"/>
              </w:rPr>
              <w:t>Imposed</w:t>
            </w:r>
          </w:p>
        </w:tc>
        <w:tc>
          <w:tcPr>
            <w:tcW w:w="1262" w:type="dxa"/>
            <w:tcBorders>
              <w:bottom w:val="single" w:sz="6" w:space="0" w:color="000000"/>
            </w:tcBorders>
          </w:tcPr>
          <w:p>
            <w:pPr>
              <w:pStyle w:val="TableParagraph"/>
              <w:spacing w:before="3"/>
              <w:ind w:left="53" w:right="1"/>
              <w:jc w:val="center"/>
              <w:rPr>
                <w:b/>
                <w:sz w:val="14"/>
              </w:rPr>
            </w:pPr>
            <w:r>
              <w:rPr>
                <w:b/>
                <w:spacing w:val="-2"/>
                <w:sz w:val="14"/>
              </w:rPr>
              <w:t>Agreements</w:t>
            </w:r>
          </w:p>
        </w:tc>
      </w:tr>
      <w:tr>
        <w:trPr>
          <w:trHeight w:val="195" w:hRule="atLeast"/>
        </w:trPr>
        <w:tc>
          <w:tcPr>
            <w:tcW w:w="2434" w:type="dxa"/>
            <w:tcBorders>
              <w:top w:val="single" w:sz="6" w:space="0" w:color="000000"/>
            </w:tcBorders>
            <w:shd w:val="clear" w:color="auto" w:fill="CFF0FB"/>
          </w:tcPr>
          <w:p>
            <w:pPr>
              <w:pStyle w:val="TableParagraph"/>
              <w:spacing w:before="0"/>
              <w:rPr>
                <w:sz w:val="12"/>
              </w:rPr>
            </w:pPr>
          </w:p>
        </w:tc>
        <w:tc>
          <w:tcPr>
            <w:tcW w:w="1364" w:type="dxa"/>
            <w:tcBorders>
              <w:top w:val="single" w:sz="6" w:space="0" w:color="000000"/>
            </w:tcBorders>
            <w:shd w:val="clear" w:color="auto" w:fill="CFF0FB"/>
          </w:tcPr>
          <w:p>
            <w:pPr>
              <w:pStyle w:val="TableParagraph"/>
              <w:spacing w:before="0"/>
              <w:rPr>
                <w:sz w:val="12"/>
              </w:rPr>
            </w:pPr>
          </w:p>
        </w:tc>
        <w:tc>
          <w:tcPr>
            <w:tcW w:w="780" w:type="dxa"/>
            <w:tcBorders>
              <w:top w:val="single" w:sz="6" w:space="0" w:color="000000"/>
            </w:tcBorders>
            <w:shd w:val="clear" w:color="auto" w:fill="CFF0FB"/>
          </w:tcPr>
          <w:p>
            <w:pPr>
              <w:pStyle w:val="TableParagraph"/>
              <w:spacing w:before="0"/>
              <w:rPr>
                <w:sz w:val="12"/>
              </w:rPr>
            </w:pPr>
          </w:p>
        </w:tc>
        <w:tc>
          <w:tcPr>
            <w:tcW w:w="761" w:type="dxa"/>
            <w:tcBorders>
              <w:top w:val="single" w:sz="6" w:space="0" w:color="000000"/>
            </w:tcBorders>
            <w:shd w:val="clear" w:color="auto" w:fill="CFF0FB"/>
          </w:tcPr>
          <w:p>
            <w:pPr>
              <w:pStyle w:val="TableParagraph"/>
              <w:spacing w:before="0"/>
              <w:rPr>
                <w:sz w:val="12"/>
              </w:rPr>
            </w:pPr>
          </w:p>
        </w:tc>
        <w:tc>
          <w:tcPr>
            <w:tcW w:w="1116" w:type="dxa"/>
            <w:tcBorders>
              <w:top w:val="single" w:sz="6" w:space="0" w:color="000000"/>
            </w:tcBorders>
            <w:shd w:val="clear" w:color="auto" w:fill="CFF0FB"/>
          </w:tcPr>
          <w:p>
            <w:pPr>
              <w:pStyle w:val="TableParagraph"/>
              <w:spacing w:before="0"/>
              <w:rPr>
                <w:sz w:val="12"/>
              </w:rPr>
            </w:pPr>
          </w:p>
        </w:tc>
        <w:tc>
          <w:tcPr>
            <w:tcW w:w="950" w:type="dxa"/>
            <w:tcBorders>
              <w:top w:val="single" w:sz="6" w:space="0" w:color="000000"/>
            </w:tcBorders>
            <w:shd w:val="clear" w:color="auto" w:fill="CFF0FB"/>
          </w:tcPr>
          <w:p>
            <w:pPr>
              <w:pStyle w:val="TableParagraph"/>
              <w:spacing w:before="0"/>
              <w:rPr>
                <w:sz w:val="12"/>
              </w:rPr>
            </w:pPr>
          </w:p>
        </w:tc>
        <w:tc>
          <w:tcPr>
            <w:tcW w:w="891" w:type="dxa"/>
            <w:tcBorders>
              <w:top w:val="single" w:sz="6" w:space="0" w:color="000000"/>
            </w:tcBorders>
            <w:shd w:val="clear" w:color="auto" w:fill="CFF0FB"/>
          </w:tcPr>
          <w:p>
            <w:pPr>
              <w:pStyle w:val="TableParagraph"/>
              <w:spacing w:before="0"/>
              <w:rPr>
                <w:sz w:val="12"/>
              </w:rPr>
            </w:pPr>
          </w:p>
        </w:tc>
        <w:tc>
          <w:tcPr>
            <w:tcW w:w="988" w:type="dxa"/>
            <w:tcBorders>
              <w:top w:val="single" w:sz="6" w:space="0" w:color="000000"/>
            </w:tcBorders>
            <w:shd w:val="clear" w:color="auto" w:fill="CFF0FB"/>
          </w:tcPr>
          <w:p>
            <w:pPr>
              <w:pStyle w:val="TableParagraph"/>
              <w:spacing w:before="0"/>
              <w:rPr>
                <w:sz w:val="12"/>
              </w:rPr>
            </w:pPr>
          </w:p>
        </w:tc>
        <w:tc>
          <w:tcPr>
            <w:tcW w:w="968" w:type="dxa"/>
            <w:tcBorders>
              <w:top w:val="single" w:sz="6" w:space="0" w:color="000000"/>
            </w:tcBorders>
            <w:shd w:val="clear" w:color="auto" w:fill="CFF0FB"/>
          </w:tcPr>
          <w:p>
            <w:pPr>
              <w:pStyle w:val="TableParagraph"/>
              <w:spacing w:before="0"/>
              <w:rPr>
                <w:sz w:val="12"/>
              </w:rPr>
            </w:pPr>
          </w:p>
        </w:tc>
        <w:tc>
          <w:tcPr>
            <w:tcW w:w="1262" w:type="dxa"/>
            <w:tcBorders>
              <w:top w:val="single" w:sz="6" w:space="0" w:color="000000"/>
            </w:tcBorders>
            <w:shd w:val="clear" w:color="auto" w:fill="CFF0FB"/>
          </w:tcPr>
          <w:p>
            <w:pPr>
              <w:pStyle w:val="TableParagraph"/>
              <w:spacing w:line="149" w:lineRule="exact" w:before="27"/>
              <w:ind w:left="53"/>
              <w:jc w:val="center"/>
              <w:rPr>
                <w:sz w:val="14"/>
              </w:rPr>
            </w:pPr>
            <w:r>
              <w:rPr>
                <w:spacing w:val="-2"/>
                <w:sz w:val="14"/>
              </w:rPr>
              <w:t>05/31/2023</w:t>
            </w:r>
            <w:r>
              <w:rPr>
                <w:spacing w:val="-2"/>
                <w:position w:val="4"/>
                <w:sz w:val="9"/>
              </w:rPr>
              <w:t>(5)</w:t>
            </w:r>
            <w:r>
              <w:rPr>
                <w:spacing w:val="-2"/>
                <w:sz w:val="14"/>
              </w:rPr>
              <w:t>;</w:t>
            </w:r>
          </w:p>
        </w:tc>
      </w:tr>
      <w:tr>
        <w:trPr>
          <w:trHeight w:val="370" w:hRule="atLeast"/>
        </w:trPr>
        <w:tc>
          <w:tcPr>
            <w:tcW w:w="2434" w:type="dxa"/>
            <w:shd w:val="clear" w:color="auto" w:fill="CFF0FB"/>
          </w:tcPr>
          <w:p>
            <w:pPr>
              <w:pStyle w:val="TableParagraph"/>
              <w:spacing w:before="7"/>
              <w:ind w:left="26" w:right="91"/>
              <w:rPr>
                <w:sz w:val="14"/>
              </w:rPr>
            </w:pPr>
            <w:r>
              <w:rPr>
                <w:sz w:val="14"/>
              </w:rPr>
              <w:t>Southern Nevada Culinary </w:t>
            </w:r>
            <w:r>
              <w:rPr>
                <w:sz w:val="14"/>
              </w:rPr>
              <w:t>and</w:t>
            </w:r>
            <w:r>
              <w:rPr>
                <w:spacing w:val="40"/>
                <w:sz w:val="14"/>
              </w:rPr>
              <w:t> </w:t>
            </w:r>
            <w:r>
              <w:rPr>
                <w:sz w:val="14"/>
              </w:rPr>
              <w:t>Bartenders Pension Plan</w:t>
            </w:r>
          </w:p>
        </w:tc>
        <w:tc>
          <w:tcPr>
            <w:tcW w:w="1364" w:type="dxa"/>
            <w:shd w:val="clear" w:color="auto" w:fill="CFF0FB"/>
          </w:tcPr>
          <w:p>
            <w:pPr>
              <w:pStyle w:val="TableParagraph"/>
              <w:spacing w:before="7"/>
              <w:rPr>
                <w:b/>
                <w:sz w:val="14"/>
              </w:rPr>
            </w:pPr>
          </w:p>
          <w:p>
            <w:pPr>
              <w:pStyle w:val="TableParagraph"/>
              <w:spacing w:before="1"/>
              <w:ind w:right="40"/>
              <w:jc w:val="center"/>
              <w:rPr>
                <w:sz w:val="14"/>
              </w:rPr>
            </w:pPr>
            <w:r>
              <w:rPr>
                <w:sz w:val="14"/>
              </w:rPr>
              <w:t>88-</w:t>
            </w:r>
            <w:r>
              <w:rPr>
                <w:spacing w:val="-2"/>
                <w:sz w:val="14"/>
              </w:rPr>
              <w:t>6016617/001</w:t>
            </w:r>
          </w:p>
        </w:tc>
        <w:tc>
          <w:tcPr>
            <w:tcW w:w="780" w:type="dxa"/>
            <w:shd w:val="clear" w:color="auto" w:fill="CFF0FB"/>
          </w:tcPr>
          <w:p>
            <w:pPr>
              <w:pStyle w:val="TableParagraph"/>
              <w:spacing w:before="7"/>
              <w:rPr>
                <w:b/>
                <w:sz w:val="14"/>
              </w:rPr>
            </w:pPr>
          </w:p>
          <w:p>
            <w:pPr>
              <w:pStyle w:val="TableParagraph"/>
              <w:spacing w:before="1"/>
              <w:ind w:left="26"/>
              <w:jc w:val="center"/>
              <w:rPr>
                <w:sz w:val="14"/>
              </w:rPr>
            </w:pPr>
            <w:r>
              <w:rPr>
                <w:spacing w:val="-2"/>
                <w:sz w:val="14"/>
              </w:rPr>
              <w:t>Green</w:t>
            </w:r>
          </w:p>
        </w:tc>
        <w:tc>
          <w:tcPr>
            <w:tcW w:w="761" w:type="dxa"/>
            <w:shd w:val="clear" w:color="auto" w:fill="CFF0FB"/>
          </w:tcPr>
          <w:p>
            <w:pPr>
              <w:pStyle w:val="TableParagraph"/>
              <w:spacing w:before="7"/>
              <w:rPr>
                <w:b/>
                <w:sz w:val="14"/>
              </w:rPr>
            </w:pPr>
          </w:p>
          <w:p>
            <w:pPr>
              <w:pStyle w:val="TableParagraph"/>
              <w:spacing w:before="1"/>
              <w:ind w:right="3"/>
              <w:jc w:val="center"/>
              <w:rPr>
                <w:sz w:val="14"/>
              </w:rPr>
            </w:pPr>
            <w:r>
              <w:rPr>
                <w:spacing w:val="-2"/>
                <w:sz w:val="14"/>
              </w:rPr>
              <w:t>Green</w:t>
            </w:r>
          </w:p>
        </w:tc>
        <w:tc>
          <w:tcPr>
            <w:tcW w:w="1116" w:type="dxa"/>
            <w:shd w:val="clear" w:color="auto" w:fill="CFF0FB"/>
          </w:tcPr>
          <w:p>
            <w:pPr>
              <w:pStyle w:val="TableParagraph"/>
              <w:spacing w:before="7"/>
              <w:rPr>
                <w:b/>
                <w:sz w:val="14"/>
              </w:rPr>
            </w:pPr>
          </w:p>
          <w:p>
            <w:pPr>
              <w:pStyle w:val="TableParagraph"/>
              <w:spacing w:before="1"/>
              <w:ind w:left="61"/>
              <w:jc w:val="center"/>
              <w:rPr>
                <w:sz w:val="14"/>
              </w:rPr>
            </w:pPr>
            <w:r>
              <w:rPr>
                <w:spacing w:val="-5"/>
                <w:sz w:val="14"/>
              </w:rPr>
              <w:t>No</w:t>
            </w:r>
          </w:p>
        </w:tc>
        <w:tc>
          <w:tcPr>
            <w:tcW w:w="950" w:type="dxa"/>
            <w:shd w:val="clear" w:color="auto" w:fill="CFF0FB"/>
          </w:tcPr>
          <w:p>
            <w:pPr>
              <w:pStyle w:val="TableParagraph"/>
              <w:spacing w:before="7"/>
              <w:rPr>
                <w:b/>
                <w:sz w:val="14"/>
              </w:rPr>
            </w:pPr>
          </w:p>
          <w:p>
            <w:pPr>
              <w:pStyle w:val="TableParagraph"/>
              <w:tabs>
                <w:tab w:pos="378" w:val="left" w:leader="none"/>
              </w:tabs>
              <w:spacing w:before="1"/>
              <w:ind w:left="63"/>
              <w:jc w:val="center"/>
              <w:rPr>
                <w:sz w:val="14"/>
              </w:rPr>
            </w:pPr>
            <w:r>
              <w:rPr>
                <w:spacing w:val="-10"/>
                <w:sz w:val="14"/>
              </w:rPr>
              <w:t>$</w:t>
            </w:r>
            <w:r>
              <w:rPr>
                <w:sz w:val="14"/>
              </w:rPr>
              <w:tab/>
            </w:r>
            <w:r>
              <w:rPr>
                <w:spacing w:val="-2"/>
                <w:sz w:val="14"/>
              </w:rPr>
              <w:t>56,235</w:t>
            </w:r>
          </w:p>
        </w:tc>
        <w:tc>
          <w:tcPr>
            <w:tcW w:w="891" w:type="dxa"/>
            <w:shd w:val="clear" w:color="auto" w:fill="CFF0FB"/>
          </w:tcPr>
          <w:p>
            <w:pPr>
              <w:pStyle w:val="TableParagraph"/>
              <w:spacing w:before="7"/>
              <w:rPr>
                <w:b/>
                <w:sz w:val="14"/>
              </w:rPr>
            </w:pPr>
          </w:p>
          <w:p>
            <w:pPr>
              <w:pStyle w:val="TableParagraph"/>
              <w:tabs>
                <w:tab w:pos="319" w:val="left" w:leader="none"/>
              </w:tabs>
              <w:spacing w:before="1"/>
              <w:ind w:left="4"/>
              <w:jc w:val="center"/>
              <w:rPr>
                <w:sz w:val="14"/>
              </w:rPr>
            </w:pPr>
            <w:r>
              <w:rPr>
                <w:spacing w:val="-10"/>
                <w:sz w:val="14"/>
              </w:rPr>
              <w:t>$</w:t>
            </w:r>
            <w:r>
              <w:rPr>
                <w:sz w:val="14"/>
              </w:rPr>
              <w:tab/>
            </w:r>
            <w:r>
              <w:rPr>
                <w:spacing w:val="-2"/>
                <w:sz w:val="14"/>
              </w:rPr>
              <w:t>37,242</w:t>
            </w:r>
          </w:p>
        </w:tc>
        <w:tc>
          <w:tcPr>
            <w:tcW w:w="988" w:type="dxa"/>
            <w:shd w:val="clear" w:color="auto" w:fill="CFF0FB"/>
          </w:tcPr>
          <w:p>
            <w:pPr>
              <w:pStyle w:val="TableParagraph"/>
              <w:spacing w:before="7"/>
              <w:rPr>
                <w:b/>
                <w:sz w:val="14"/>
              </w:rPr>
            </w:pPr>
          </w:p>
          <w:p>
            <w:pPr>
              <w:pStyle w:val="TableParagraph"/>
              <w:tabs>
                <w:tab w:pos="315" w:val="left" w:leader="none"/>
              </w:tabs>
              <w:spacing w:before="1"/>
              <w:ind w:right="90"/>
              <w:jc w:val="center"/>
              <w:rPr>
                <w:sz w:val="14"/>
              </w:rPr>
            </w:pPr>
            <w:r>
              <w:rPr>
                <w:spacing w:val="-10"/>
                <w:sz w:val="14"/>
              </w:rPr>
              <w:t>$</w:t>
            </w:r>
            <w:r>
              <w:rPr>
                <w:sz w:val="14"/>
              </w:rPr>
              <w:tab/>
            </w:r>
            <w:r>
              <w:rPr>
                <w:spacing w:val="-2"/>
                <w:sz w:val="14"/>
              </w:rPr>
              <w:t>24,610</w:t>
            </w:r>
          </w:p>
        </w:tc>
        <w:tc>
          <w:tcPr>
            <w:tcW w:w="968" w:type="dxa"/>
            <w:shd w:val="clear" w:color="auto" w:fill="CFF0FB"/>
          </w:tcPr>
          <w:p>
            <w:pPr>
              <w:pStyle w:val="TableParagraph"/>
              <w:spacing w:before="7"/>
              <w:rPr>
                <w:b/>
                <w:sz w:val="14"/>
              </w:rPr>
            </w:pPr>
          </w:p>
          <w:p>
            <w:pPr>
              <w:pStyle w:val="TableParagraph"/>
              <w:spacing w:before="1"/>
              <w:ind w:right="59"/>
              <w:jc w:val="center"/>
              <w:rPr>
                <w:sz w:val="14"/>
              </w:rPr>
            </w:pPr>
            <w:r>
              <w:rPr>
                <w:spacing w:val="-5"/>
                <w:sz w:val="14"/>
              </w:rPr>
              <w:t>No</w:t>
            </w:r>
          </w:p>
        </w:tc>
        <w:tc>
          <w:tcPr>
            <w:tcW w:w="1262" w:type="dxa"/>
            <w:shd w:val="clear" w:color="auto" w:fill="CFF0FB"/>
          </w:tcPr>
          <w:p>
            <w:pPr>
              <w:pStyle w:val="TableParagraph"/>
              <w:spacing w:before="7"/>
              <w:ind w:left="261"/>
              <w:rPr>
                <w:sz w:val="14"/>
              </w:rPr>
            </w:pPr>
            <w:r>
              <w:rPr>
                <w:spacing w:val="-2"/>
                <w:w w:val="105"/>
                <w:sz w:val="14"/>
              </w:rPr>
              <w:t>05/31/2024</w:t>
            </w:r>
            <w:r>
              <w:rPr>
                <w:spacing w:val="-2"/>
                <w:w w:val="105"/>
                <w:sz w:val="14"/>
                <w:vertAlign w:val="superscript"/>
              </w:rPr>
              <w:t>(5);</w:t>
            </w:r>
          </w:p>
          <w:p>
            <w:pPr>
              <w:pStyle w:val="TableParagraph"/>
              <w:spacing w:before="1"/>
              <w:ind w:left="275"/>
              <w:rPr>
                <w:sz w:val="14"/>
              </w:rPr>
            </w:pPr>
            <w:r>
              <w:rPr>
                <w:spacing w:val="-2"/>
                <w:w w:val="105"/>
                <w:sz w:val="14"/>
              </w:rPr>
              <w:t>05/31/2025</w:t>
            </w:r>
            <w:r>
              <w:rPr>
                <w:spacing w:val="-2"/>
                <w:w w:val="105"/>
                <w:sz w:val="14"/>
                <w:vertAlign w:val="superscript"/>
              </w:rPr>
              <w:t>(5)</w:t>
            </w:r>
          </w:p>
        </w:tc>
      </w:tr>
      <w:tr>
        <w:trPr>
          <w:trHeight w:val="368" w:hRule="atLeast"/>
        </w:trPr>
        <w:tc>
          <w:tcPr>
            <w:tcW w:w="2434" w:type="dxa"/>
          </w:tcPr>
          <w:p>
            <w:pPr>
              <w:pStyle w:val="TableParagraph"/>
              <w:spacing w:before="26"/>
              <w:ind w:left="26"/>
              <w:rPr>
                <w:sz w:val="14"/>
              </w:rPr>
            </w:pPr>
            <w:r>
              <w:rPr>
                <w:sz w:val="14"/>
              </w:rPr>
              <w:t>The Legacy Plan of the UNITE </w:t>
            </w:r>
            <w:r>
              <w:rPr>
                <w:sz w:val="14"/>
              </w:rPr>
              <w:t>HERE</w:t>
            </w:r>
            <w:r>
              <w:rPr>
                <w:spacing w:val="40"/>
                <w:sz w:val="14"/>
              </w:rPr>
              <w:t> </w:t>
            </w:r>
            <w:r>
              <w:rPr>
                <w:sz w:val="14"/>
              </w:rPr>
              <w:t>Retirement Fund (UHF)</w:t>
            </w:r>
          </w:p>
        </w:tc>
        <w:tc>
          <w:tcPr>
            <w:tcW w:w="1364" w:type="dxa"/>
          </w:tcPr>
          <w:p>
            <w:pPr>
              <w:pStyle w:val="TableParagraph"/>
              <w:spacing w:before="28"/>
              <w:rPr>
                <w:b/>
                <w:sz w:val="14"/>
              </w:rPr>
            </w:pPr>
          </w:p>
          <w:p>
            <w:pPr>
              <w:pStyle w:val="TableParagraph"/>
              <w:spacing w:line="159" w:lineRule="exact" w:before="1"/>
              <w:ind w:right="40"/>
              <w:jc w:val="center"/>
              <w:rPr>
                <w:sz w:val="14"/>
              </w:rPr>
            </w:pPr>
            <w:r>
              <w:rPr>
                <w:sz w:val="14"/>
              </w:rPr>
              <w:t>82-</w:t>
            </w:r>
            <w:r>
              <w:rPr>
                <w:spacing w:val="-2"/>
                <w:sz w:val="14"/>
              </w:rPr>
              <w:t>0994119/001</w:t>
            </w:r>
          </w:p>
        </w:tc>
        <w:tc>
          <w:tcPr>
            <w:tcW w:w="780" w:type="dxa"/>
          </w:tcPr>
          <w:p>
            <w:pPr>
              <w:pStyle w:val="TableParagraph"/>
              <w:spacing w:before="28"/>
              <w:rPr>
                <w:b/>
                <w:sz w:val="14"/>
              </w:rPr>
            </w:pPr>
          </w:p>
          <w:p>
            <w:pPr>
              <w:pStyle w:val="TableParagraph"/>
              <w:spacing w:line="159" w:lineRule="exact" w:before="1"/>
              <w:ind w:left="26"/>
              <w:jc w:val="center"/>
              <w:rPr>
                <w:sz w:val="14"/>
              </w:rPr>
            </w:pPr>
            <w:r>
              <w:rPr>
                <w:spacing w:val="-5"/>
                <w:sz w:val="14"/>
              </w:rPr>
              <w:t>Red</w:t>
            </w:r>
          </w:p>
        </w:tc>
        <w:tc>
          <w:tcPr>
            <w:tcW w:w="761" w:type="dxa"/>
          </w:tcPr>
          <w:p>
            <w:pPr>
              <w:pStyle w:val="TableParagraph"/>
              <w:spacing w:before="28"/>
              <w:rPr>
                <w:b/>
                <w:sz w:val="14"/>
              </w:rPr>
            </w:pPr>
          </w:p>
          <w:p>
            <w:pPr>
              <w:pStyle w:val="TableParagraph"/>
              <w:spacing w:line="159" w:lineRule="exact" w:before="1"/>
              <w:ind w:right="3"/>
              <w:jc w:val="center"/>
              <w:rPr>
                <w:sz w:val="14"/>
              </w:rPr>
            </w:pPr>
            <w:r>
              <w:rPr>
                <w:spacing w:val="-5"/>
                <w:sz w:val="14"/>
              </w:rPr>
              <w:t>Red</w:t>
            </w:r>
          </w:p>
        </w:tc>
        <w:tc>
          <w:tcPr>
            <w:tcW w:w="1116" w:type="dxa"/>
          </w:tcPr>
          <w:p>
            <w:pPr>
              <w:pStyle w:val="TableParagraph"/>
              <w:spacing w:before="42"/>
              <w:rPr>
                <w:b/>
                <w:sz w:val="14"/>
              </w:rPr>
            </w:pPr>
          </w:p>
          <w:p>
            <w:pPr>
              <w:pStyle w:val="TableParagraph"/>
              <w:spacing w:line="145" w:lineRule="exact" w:before="0"/>
              <w:ind w:left="61"/>
              <w:jc w:val="center"/>
              <w:rPr>
                <w:sz w:val="14"/>
              </w:rPr>
            </w:pPr>
            <w:r>
              <w:rPr>
                <w:spacing w:val="-2"/>
                <w:sz w:val="14"/>
              </w:rPr>
              <w:t>Implemented</w:t>
            </w:r>
          </w:p>
        </w:tc>
        <w:tc>
          <w:tcPr>
            <w:tcW w:w="950" w:type="dxa"/>
          </w:tcPr>
          <w:p>
            <w:pPr>
              <w:pStyle w:val="TableParagraph"/>
              <w:spacing w:before="28"/>
              <w:rPr>
                <w:b/>
                <w:sz w:val="14"/>
              </w:rPr>
            </w:pPr>
          </w:p>
          <w:p>
            <w:pPr>
              <w:pStyle w:val="TableParagraph"/>
              <w:tabs>
                <w:tab w:pos="450" w:val="left" w:leader="none"/>
              </w:tabs>
              <w:spacing w:line="159" w:lineRule="exact" w:before="1"/>
              <w:ind w:left="63"/>
              <w:jc w:val="center"/>
              <w:rPr>
                <w:sz w:val="14"/>
              </w:rPr>
            </w:pPr>
            <w:r>
              <w:rPr>
                <w:spacing w:val="-10"/>
                <w:sz w:val="14"/>
              </w:rPr>
              <w:t>$</w:t>
            </w:r>
            <w:r>
              <w:rPr>
                <w:sz w:val="14"/>
              </w:rPr>
              <w:tab/>
            </w:r>
            <w:r>
              <w:rPr>
                <w:spacing w:val="-2"/>
                <w:sz w:val="14"/>
              </w:rPr>
              <w:t>8,650</w:t>
            </w:r>
          </w:p>
        </w:tc>
        <w:tc>
          <w:tcPr>
            <w:tcW w:w="891" w:type="dxa"/>
          </w:tcPr>
          <w:p>
            <w:pPr>
              <w:pStyle w:val="TableParagraph"/>
              <w:spacing w:before="28"/>
              <w:rPr>
                <w:b/>
                <w:sz w:val="14"/>
              </w:rPr>
            </w:pPr>
          </w:p>
          <w:p>
            <w:pPr>
              <w:pStyle w:val="TableParagraph"/>
              <w:tabs>
                <w:tab w:pos="391" w:val="left" w:leader="none"/>
              </w:tabs>
              <w:spacing w:line="159" w:lineRule="exact" w:before="1"/>
              <w:ind w:left="4"/>
              <w:jc w:val="center"/>
              <w:rPr>
                <w:sz w:val="14"/>
              </w:rPr>
            </w:pPr>
            <w:r>
              <w:rPr>
                <w:spacing w:val="-10"/>
                <w:sz w:val="14"/>
              </w:rPr>
              <w:t>$</w:t>
            </w:r>
            <w:r>
              <w:rPr>
                <w:sz w:val="14"/>
              </w:rPr>
              <w:tab/>
            </w:r>
            <w:r>
              <w:rPr>
                <w:spacing w:val="-2"/>
                <w:sz w:val="14"/>
              </w:rPr>
              <w:t>7,683</w:t>
            </w:r>
          </w:p>
        </w:tc>
        <w:tc>
          <w:tcPr>
            <w:tcW w:w="988" w:type="dxa"/>
          </w:tcPr>
          <w:p>
            <w:pPr>
              <w:pStyle w:val="TableParagraph"/>
              <w:spacing w:before="28"/>
              <w:rPr>
                <w:b/>
                <w:sz w:val="14"/>
              </w:rPr>
            </w:pPr>
          </w:p>
          <w:p>
            <w:pPr>
              <w:pStyle w:val="TableParagraph"/>
              <w:tabs>
                <w:tab w:pos="387" w:val="left" w:leader="none"/>
              </w:tabs>
              <w:spacing w:line="159" w:lineRule="exact" w:before="1"/>
              <w:ind w:right="90"/>
              <w:jc w:val="center"/>
              <w:rPr>
                <w:sz w:val="14"/>
              </w:rPr>
            </w:pPr>
            <w:r>
              <w:rPr>
                <w:spacing w:val="-10"/>
                <w:sz w:val="14"/>
              </w:rPr>
              <w:t>$</w:t>
            </w:r>
            <w:r>
              <w:rPr>
                <w:sz w:val="14"/>
              </w:rPr>
              <w:tab/>
            </w:r>
            <w:r>
              <w:rPr>
                <w:spacing w:val="-2"/>
                <w:sz w:val="14"/>
              </w:rPr>
              <w:t>5,151</w:t>
            </w:r>
          </w:p>
        </w:tc>
        <w:tc>
          <w:tcPr>
            <w:tcW w:w="968" w:type="dxa"/>
          </w:tcPr>
          <w:p>
            <w:pPr>
              <w:pStyle w:val="TableParagraph"/>
              <w:spacing w:before="28"/>
              <w:rPr>
                <w:b/>
                <w:sz w:val="14"/>
              </w:rPr>
            </w:pPr>
          </w:p>
          <w:p>
            <w:pPr>
              <w:pStyle w:val="TableParagraph"/>
              <w:spacing w:line="159" w:lineRule="exact" w:before="1"/>
              <w:ind w:right="59"/>
              <w:jc w:val="center"/>
              <w:rPr>
                <w:sz w:val="14"/>
              </w:rPr>
            </w:pPr>
            <w:r>
              <w:rPr>
                <w:spacing w:val="-5"/>
                <w:sz w:val="14"/>
              </w:rPr>
              <w:t>No</w:t>
            </w:r>
          </w:p>
        </w:tc>
        <w:tc>
          <w:tcPr>
            <w:tcW w:w="1262" w:type="dxa"/>
          </w:tcPr>
          <w:p>
            <w:pPr>
              <w:pStyle w:val="TableParagraph"/>
              <w:spacing w:before="28"/>
              <w:rPr>
                <w:b/>
                <w:sz w:val="14"/>
              </w:rPr>
            </w:pPr>
          </w:p>
          <w:p>
            <w:pPr>
              <w:pStyle w:val="TableParagraph"/>
              <w:spacing w:line="159" w:lineRule="exact" w:before="1"/>
              <w:ind w:left="53"/>
              <w:jc w:val="center"/>
              <w:rPr>
                <w:sz w:val="14"/>
              </w:rPr>
            </w:pPr>
            <w:r>
              <w:rPr>
                <w:spacing w:val="-2"/>
                <w:sz w:val="14"/>
              </w:rPr>
              <w:t>5/31/2026</w:t>
            </w:r>
          </w:p>
        </w:tc>
      </w:tr>
    </w:tbl>
    <w:p>
      <w:pPr>
        <w:pStyle w:val="ListParagraph"/>
        <w:numPr>
          <w:ilvl w:val="0"/>
          <w:numId w:val="15"/>
        </w:numPr>
        <w:tabs>
          <w:tab w:pos="468" w:val="left" w:leader="none"/>
        </w:tabs>
        <w:spacing w:line="261" w:lineRule="auto" w:before="107" w:after="0"/>
        <w:ind w:left="468" w:right="118" w:hanging="324"/>
        <w:jc w:val="both"/>
        <w:rPr>
          <w:sz w:val="14"/>
        </w:rPr>
      </w:pPr>
      <w:r>
        <w:rPr>
          <w:sz w:val="14"/>
        </w:rPr>
        <w:t>The Company was listed in the plan's Form 5500 as providing more than 5% of the total contributions for the plan years 2021 and 2020 for both plans. At the date the financial statements were</w:t>
      </w:r>
      <w:r>
        <w:rPr>
          <w:spacing w:val="80"/>
          <w:sz w:val="14"/>
        </w:rPr>
        <w:t> </w:t>
      </w:r>
      <w:r>
        <w:rPr>
          <w:sz w:val="14"/>
        </w:rPr>
        <w:t>issued, Form 5500 was not available for the plan year 2022.</w:t>
      </w:r>
    </w:p>
    <w:p>
      <w:pPr>
        <w:pStyle w:val="ListParagraph"/>
        <w:numPr>
          <w:ilvl w:val="0"/>
          <w:numId w:val="15"/>
        </w:numPr>
        <w:tabs>
          <w:tab w:pos="467" w:val="left" w:leader="none"/>
        </w:tabs>
        <w:spacing w:line="148" w:lineRule="exact" w:before="0" w:after="0"/>
        <w:ind w:left="467" w:right="0" w:hanging="323"/>
        <w:jc w:val="both"/>
        <w:rPr>
          <w:sz w:val="14"/>
        </w:rPr>
      </w:pPr>
      <w:r>
        <w:rPr>
          <w:sz w:val="14"/>
        </w:rPr>
        <w:t>The</w:t>
      </w:r>
      <w:r>
        <w:rPr>
          <w:spacing w:val="11"/>
          <w:sz w:val="14"/>
        </w:rPr>
        <w:t> </w:t>
      </w:r>
      <w:r>
        <w:rPr>
          <w:sz w:val="14"/>
        </w:rPr>
        <w:t>zone</w:t>
      </w:r>
      <w:r>
        <w:rPr>
          <w:spacing w:val="11"/>
          <w:sz w:val="14"/>
        </w:rPr>
        <w:t> </w:t>
      </w:r>
      <w:r>
        <w:rPr>
          <w:sz w:val="14"/>
        </w:rPr>
        <w:t>status</w:t>
      </w:r>
      <w:r>
        <w:rPr>
          <w:spacing w:val="11"/>
          <w:sz w:val="14"/>
        </w:rPr>
        <w:t> </w:t>
      </w:r>
      <w:r>
        <w:rPr>
          <w:sz w:val="14"/>
        </w:rPr>
        <w:t>is</w:t>
      </w:r>
      <w:r>
        <w:rPr>
          <w:spacing w:val="12"/>
          <w:sz w:val="14"/>
        </w:rPr>
        <w:t> </w:t>
      </w:r>
      <w:r>
        <w:rPr>
          <w:sz w:val="14"/>
        </w:rPr>
        <w:t>based</w:t>
      </w:r>
      <w:r>
        <w:rPr>
          <w:spacing w:val="11"/>
          <w:sz w:val="14"/>
        </w:rPr>
        <w:t> </w:t>
      </w:r>
      <w:r>
        <w:rPr>
          <w:sz w:val="14"/>
        </w:rPr>
        <w:t>on</w:t>
      </w:r>
      <w:r>
        <w:rPr>
          <w:spacing w:val="11"/>
          <w:sz w:val="14"/>
        </w:rPr>
        <w:t> </w:t>
      </w:r>
      <w:r>
        <w:rPr>
          <w:sz w:val="14"/>
        </w:rPr>
        <w:t>information</w:t>
      </w:r>
      <w:r>
        <w:rPr>
          <w:spacing w:val="11"/>
          <w:sz w:val="14"/>
        </w:rPr>
        <w:t> </w:t>
      </w:r>
      <w:r>
        <w:rPr>
          <w:sz w:val="14"/>
        </w:rPr>
        <w:t>that</w:t>
      </w:r>
      <w:r>
        <w:rPr>
          <w:spacing w:val="12"/>
          <w:sz w:val="14"/>
        </w:rPr>
        <w:t> </w:t>
      </w:r>
      <w:r>
        <w:rPr>
          <w:sz w:val="14"/>
        </w:rPr>
        <w:t>the</w:t>
      </w:r>
      <w:r>
        <w:rPr>
          <w:spacing w:val="11"/>
          <w:sz w:val="14"/>
        </w:rPr>
        <w:t> </w:t>
      </w:r>
      <w:r>
        <w:rPr>
          <w:sz w:val="14"/>
        </w:rPr>
        <w:t>Company</w:t>
      </w:r>
      <w:r>
        <w:rPr>
          <w:spacing w:val="11"/>
          <w:sz w:val="14"/>
        </w:rPr>
        <w:t> </w:t>
      </w:r>
      <w:r>
        <w:rPr>
          <w:sz w:val="14"/>
        </w:rPr>
        <w:t>received</w:t>
      </w:r>
      <w:r>
        <w:rPr>
          <w:spacing w:val="11"/>
          <w:sz w:val="14"/>
        </w:rPr>
        <w:t> </w:t>
      </w:r>
      <w:r>
        <w:rPr>
          <w:sz w:val="14"/>
        </w:rPr>
        <w:t>from</w:t>
      </w:r>
      <w:r>
        <w:rPr>
          <w:spacing w:val="12"/>
          <w:sz w:val="14"/>
        </w:rPr>
        <w:t> </w:t>
      </w:r>
      <w:r>
        <w:rPr>
          <w:sz w:val="14"/>
        </w:rPr>
        <w:t>the</w:t>
      </w:r>
      <w:r>
        <w:rPr>
          <w:spacing w:val="11"/>
          <w:sz w:val="14"/>
        </w:rPr>
        <w:t> </w:t>
      </w:r>
      <w:r>
        <w:rPr>
          <w:sz w:val="14"/>
        </w:rPr>
        <w:t>plan</w:t>
      </w:r>
      <w:r>
        <w:rPr>
          <w:spacing w:val="11"/>
          <w:sz w:val="14"/>
        </w:rPr>
        <w:t> </w:t>
      </w:r>
      <w:r>
        <w:rPr>
          <w:sz w:val="14"/>
        </w:rPr>
        <w:t>and</w:t>
      </w:r>
      <w:r>
        <w:rPr>
          <w:spacing w:val="11"/>
          <w:sz w:val="14"/>
        </w:rPr>
        <w:t> </w:t>
      </w:r>
      <w:r>
        <w:rPr>
          <w:sz w:val="14"/>
        </w:rPr>
        <w:t>is</w:t>
      </w:r>
      <w:r>
        <w:rPr>
          <w:spacing w:val="12"/>
          <w:sz w:val="14"/>
        </w:rPr>
        <w:t> </w:t>
      </w:r>
      <w:r>
        <w:rPr>
          <w:sz w:val="14"/>
        </w:rPr>
        <w:t>certified</w:t>
      </w:r>
      <w:r>
        <w:rPr>
          <w:spacing w:val="11"/>
          <w:sz w:val="14"/>
        </w:rPr>
        <w:t> </w:t>
      </w:r>
      <w:r>
        <w:rPr>
          <w:sz w:val="14"/>
        </w:rPr>
        <w:t>by</w:t>
      </w:r>
      <w:r>
        <w:rPr>
          <w:spacing w:val="11"/>
          <w:sz w:val="14"/>
        </w:rPr>
        <w:t> </w:t>
      </w:r>
      <w:r>
        <w:rPr>
          <w:sz w:val="14"/>
        </w:rPr>
        <w:t>the</w:t>
      </w:r>
      <w:r>
        <w:rPr>
          <w:spacing w:val="12"/>
          <w:sz w:val="14"/>
        </w:rPr>
        <w:t> </w:t>
      </w:r>
      <w:r>
        <w:rPr>
          <w:sz w:val="14"/>
        </w:rPr>
        <w:t>plan's</w:t>
      </w:r>
      <w:r>
        <w:rPr>
          <w:spacing w:val="11"/>
          <w:sz w:val="14"/>
        </w:rPr>
        <w:t> </w:t>
      </w:r>
      <w:r>
        <w:rPr>
          <w:sz w:val="14"/>
        </w:rPr>
        <w:t>actuary.</w:t>
      </w:r>
      <w:r>
        <w:rPr>
          <w:spacing w:val="11"/>
          <w:sz w:val="14"/>
        </w:rPr>
        <w:t> </w:t>
      </w:r>
      <w:r>
        <w:rPr>
          <w:sz w:val="14"/>
        </w:rPr>
        <w:t>Plans</w:t>
      </w:r>
      <w:r>
        <w:rPr>
          <w:spacing w:val="11"/>
          <w:sz w:val="14"/>
        </w:rPr>
        <w:t> </w:t>
      </w:r>
      <w:r>
        <w:rPr>
          <w:sz w:val="14"/>
        </w:rPr>
        <w:t>in</w:t>
      </w:r>
      <w:r>
        <w:rPr>
          <w:spacing w:val="12"/>
          <w:sz w:val="14"/>
        </w:rPr>
        <w:t> </w:t>
      </w:r>
      <w:r>
        <w:rPr>
          <w:sz w:val="14"/>
        </w:rPr>
        <w:t>the</w:t>
      </w:r>
      <w:r>
        <w:rPr>
          <w:spacing w:val="11"/>
          <w:sz w:val="14"/>
        </w:rPr>
        <w:t> </w:t>
      </w:r>
      <w:r>
        <w:rPr>
          <w:sz w:val="14"/>
        </w:rPr>
        <w:t>red</w:t>
      </w:r>
      <w:r>
        <w:rPr>
          <w:spacing w:val="11"/>
          <w:sz w:val="14"/>
        </w:rPr>
        <w:t> </w:t>
      </w:r>
      <w:r>
        <w:rPr>
          <w:sz w:val="14"/>
        </w:rPr>
        <w:t>zone</w:t>
      </w:r>
      <w:r>
        <w:rPr>
          <w:spacing w:val="11"/>
          <w:sz w:val="14"/>
        </w:rPr>
        <w:t> </w:t>
      </w:r>
      <w:r>
        <w:rPr>
          <w:sz w:val="14"/>
        </w:rPr>
        <w:t>are</w:t>
      </w:r>
      <w:r>
        <w:rPr>
          <w:spacing w:val="12"/>
          <w:sz w:val="14"/>
        </w:rPr>
        <w:t> </w:t>
      </w:r>
      <w:r>
        <w:rPr>
          <w:sz w:val="14"/>
        </w:rPr>
        <w:t>generally</w:t>
      </w:r>
      <w:r>
        <w:rPr>
          <w:spacing w:val="11"/>
          <w:sz w:val="14"/>
        </w:rPr>
        <w:t> </w:t>
      </w:r>
      <w:r>
        <w:rPr>
          <w:sz w:val="14"/>
        </w:rPr>
        <w:t>less</w:t>
      </w:r>
      <w:r>
        <w:rPr>
          <w:spacing w:val="11"/>
          <w:sz w:val="14"/>
        </w:rPr>
        <w:t> </w:t>
      </w:r>
      <w:r>
        <w:rPr>
          <w:sz w:val="14"/>
        </w:rPr>
        <w:t>than</w:t>
      </w:r>
      <w:r>
        <w:rPr>
          <w:spacing w:val="11"/>
          <w:sz w:val="14"/>
        </w:rPr>
        <w:t> </w:t>
      </w:r>
      <w:r>
        <w:rPr>
          <w:sz w:val="14"/>
        </w:rPr>
        <w:t>65%</w:t>
      </w:r>
      <w:r>
        <w:rPr>
          <w:spacing w:val="12"/>
          <w:sz w:val="14"/>
        </w:rPr>
        <w:t> </w:t>
      </w:r>
      <w:r>
        <w:rPr>
          <w:sz w:val="14"/>
        </w:rPr>
        <w:t>funded</w:t>
      </w:r>
      <w:r>
        <w:rPr>
          <w:spacing w:val="11"/>
          <w:sz w:val="14"/>
        </w:rPr>
        <w:t> </w:t>
      </w:r>
      <w:r>
        <w:rPr>
          <w:sz w:val="14"/>
        </w:rPr>
        <w:t>(critical</w:t>
      </w:r>
      <w:r>
        <w:rPr>
          <w:spacing w:val="11"/>
          <w:sz w:val="14"/>
        </w:rPr>
        <w:t> </w:t>
      </w:r>
      <w:r>
        <w:rPr>
          <w:spacing w:val="-2"/>
          <w:sz w:val="14"/>
        </w:rPr>
        <w:t>status)</w:t>
      </w:r>
    </w:p>
    <w:p>
      <w:pPr>
        <w:spacing w:before="1"/>
        <w:ind w:left="468" w:right="0" w:firstLine="0"/>
        <w:jc w:val="both"/>
        <w:rPr>
          <w:sz w:val="14"/>
        </w:rPr>
      </w:pPr>
      <w:r>
        <w:rPr>
          <w:sz w:val="14"/>
        </w:rPr>
        <w:t>and</w:t>
      </w:r>
      <w:r>
        <w:rPr>
          <w:spacing w:val="4"/>
          <w:sz w:val="14"/>
        </w:rPr>
        <w:t> </w:t>
      </w:r>
      <w:r>
        <w:rPr>
          <w:sz w:val="14"/>
        </w:rPr>
        <w:t>plans</w:t>
      </w:r>
      <w:r>
        <w:rPr>
          <w:spacing w:val="4"/>
          <w:sz w:val="14"/>
        </w:rPr>
        <w:t> </w:t>
      </w:r>
      <w:r>
        <w:rPr>
          <w:sz w:val="14"/>
        </w:rPr>
        <w:t>in</w:t>
      </w:r>
      <w:r>
        <w:rPr>
          <w:spacing w:val="4"/>
          <w:sz w:val="14"/>
        </w:rPr>
        <w:t> </w:t>
      </w:r>
      <w:r>
        <w:rPr>
          <w:sz w:val="14"/>
        </w:rPr>
        <w:t>the</w:t>
      </w:r>
      <w:r>
        <w:rPr>
          <w:spacing w:val="5"/>
          <w:sz w:val="14"/>
        </w:rPr>
        <w:t> </w:t>
      </w:r>
      <w:r>
        <w:rPr>
          <w:sz w:val="14"/>
        </w:rPr>
        <w:t>green</w:t>
      </w:r>
      <w:r>
        <w:rPr>
          <w:spacing w:val="4"/>
          <w:sz w:val="14"/>
        </w:rPr>
        <w:t> </w:t>
      </w:r>
      <w:r>
        <w:rPr>
          <w:sz w:val="14"/>
        </w:rPr>
        <w:t>zone</w:t>
      </w:r>
      <w:r>
        <w:rPr>
          <w:spacing w:val="4"/>
          <w:sz w:val="14"/>
        </w:rPr>
        <w:t> </w:t>
      </w:r>
      <w:r>
        <w:rPr>
          <w:sz w:val="14"/>
        </w:rPr>
        <w:t>are</w:t>
      </w:r>
      <w:r>
        <w:rPr>
          <w:spacing w:val="4"/>
          <w:sz w:val="14"/>
        </w:rPr>
        <w:t> </w:t>
      </w:r>
      <w:r>
        <w:rPr>
          <w:sz w:val="14"/>
        </w:rPr>
        <w:t>at</w:t>
      </w:r>
      <w:r>
        <w:rPr>
          <w:spacing w:val="5"/>
          <w:sz w:val="14"/>
        </w:rPr>
        <w:t> </w:t>
      </w:r>
      <w:r>
        <w:rPr>
          <w:sz w:val="14"/>
        </w:rPr>
        <w:t>least</w:t>
      </w:r>
      <w:r>
        <w:rPr>
          <w:spacing w:val="4"/>
          <w:sz w:val="14"/>
        </w:rPr>
        <w:t> </w:t>
      </w:r>
      <w:r>
        <w:rPr>
          <w:sz w:val="14"/>
        </w:rPr>
        <w:t>80%</w:t>
      </w:r>
      <w:r>
        <w:rPr>
          <w:spacing w:val="4"/>
          <w:sz w:val="14"/>
        </w:rPr>
        <w:t> </w:t>
      </w:r>
      <w:r>
        <w:rPr>
          <w:spacing w:val="-2"/>
          <w:sz w:val="14"/>
        </w:rPr>
        <w:t>funded.</w:t>
      </w:r>
    </w:p>
    <w:p>
      <w:pPr>
        <w:pStyle w:val="ListParagraph"/>
        <w:numPr>
          <w:ilvl w:val="0"/>
          <w:numId w:val="15"/>
        </w:numPr>
        <w:tabs>
          <w:tab w:pos="467" w:val="left" w:leader="none"/>
        </w:tabs>
        <w:spacing w:line="240" w:lineRule="auto" w:before="1" w:after="0"/>
        <w:ind w:left="467" w:right="0" w:hanging="323"/>
        <w:jc w:val="both"/>
        <w:rPr>
          <w:sz w:val="14"/>
        </w:rPr>
      </w:pPr>
      <w:r>
        <w:rPr>
          <w:sz w:val="14"/>
        </w:rPr>
        <w:t>Indicates</w:t>
      </w:r>
      <w:r>
        <w:rPr>
          <w:spacing w:val="6"/>
          <w:sz w:val="14"/>
        </w:rPr>
        <w:t> </w:t>
      </w:r>
      <w:r>
        <w:rPr>
          <w:sz w:val="14"/>
        </w:rPr>
        <w:t>plans</w:t>
      </w:r>
      <w:r>
        <w:rPr>
          <w:spacing w:val="6"/>
          <w:sz w:val="14"/>
        </w:rPr>
        <w:t> </w:t>
      </w:r>
      <w:r>
        <w:rPr>
          <w:sz w:val="14"/>
        </w:rPr>
        <w:t>for</w:t>
      </w:r>
      <w:r>
        <w:rPr>
          <w:spacing w:val="6"/>
          <w:sz w:val="14"/>
        </w:rPr>
        <w:t> </w:t>
      </w:r>
      <w:r>
        <w:rPr>
          <w:sz w:val="14"/>
        </w:rPr>
        <w:t>which</w:t>
      </w:r>
      <w:r>
        <w:rPr>
          <w:spacing w:val="6"/>
          <w:sz w:val="14"/>
        </w:rPr>
        <w:t> </w:t>
      </w:r>
      <w:r>
        <w:rPr>
          <w:sz w:val="14"/>
        </w:rPr>
        <w:t>a</w:t>
      </w:r>
      <w:r>
        <w:rPr>
          <w:spacing w:val="6"/>
          <w:sz w:val="14"/>
        </w:rPr>
        <w:t> </w:t>
      </w:r>
      <w:r>
        <w:rPr>
          <w:sz w:val="14"/>
        </w:rPr>
        <w:t>Financial</w:t>
      </w:r>
      <w:r>
        <w:rPr>
          <w:spacing w:val="6"/>
          <w:sz w:val="14"/>
        </w:rPr>
        <w:t> </w:t>
      </w:r>
      <w:r>
        <w:rPr>
          <w:sz w:val="14"/>
        </w:rPr>
        <w:t>Improvement</w:t>
      </w:r>
      <w:r>
        <w:rPr>
          <w:spacing w:val="6"/>
          <w:sz w:val="14"/>
        </w:rPr>
        <w:t> </w:t>
      </w:r>
      <w:r>
        <w:rPr>
          <w:sz w:val="14"/>
        </w:rPr>
        <w:t>Plan</w:t>
      </w:r>
      <w:r>
        <w:rPr>
          <w:spacing w:val="6"/>
          <w:sz w:val="14"/>
        </w:rPr>
        <w:t> </w:t>
      </w:r>
      <w:r>
        <w:rPr>
          <w:sz w:val="14"/>
        </w:rPr>
        <w:t>(FIP)</w:t>
      </w:r>
      <w:r>
        <w:rPr>
          <w:spacing w:val="6"/>
          <w:sz w:val="14"/>
        </w:rPr>
        <w:t> </w:t>
      </w:r>
      <w:r>
        <w:rPr>
          <w:sz w:val="14"/>
        </w:rPr>
        <w:t>or</w:t>
      </w:r>
      <w:r>
        <w:rPr>
          <w:spacing w:val="7"/>
          <w:sz w:val="14"/>
        </w:rPr>
        <w:t> </w:t>
      </w:r>
      <w:r>
        <w:rPr>
          <w:sz w:val="14"/>
        </w:rPr>
        <w:t>a</w:t>
      </w:r>
      <w:r>
        <w:rPr>
          <w:spacing w:val="6"/>
          <w:sz w:val="14"/>
        </w:rPr>
        <w:t> </w:t>
      </w:r>
      <w:r>
        <w:rPr>
          <w:sz w:val="14"/>
        </w:rPr>
        <w:t>Rehabilitation</w:t>
      </w:r>
      <w:r>
        <w:rPr>
          <w:spacing w:val="6"/>
          <w:sz w:val="14"/>
        </w:rPr>
        <w:t> </w:t>
      </w:r>
      <w:r>
        <w:rPr>
          <w:sz w:val="14"/>
        </w:rPr>
        <w:t>Plan</w:t>
      </w:r>
      <w:r>
        <w:rPr>
          <w:spacing w:val="6"/>
          <w:sz w:val="14"/>
        </w:rPr>
        <w:t> </w:t>
      </w:r>
      <w:r>
        <w:rPr>
          <w:sz w:val="14"/>
        </w:rPr>
        <w:t>(RP)</w:t>
      </w:r>
      <w:r>
        <w:rPr>
          <w:spacing w:val="6"/>
          <w:sz w:val="14"/>
        </w:rPr>
        <w:t> </w:t>
      </w:r>
      <w:r>
        <w:rPr>
          <w:sz w:val="14"/>
        </w:rPr>
        <w:t>is</w:t>
      </w:r>
      <w:r>
        <w:rPr>
          <w:spacing w:val="6"/>
          <w:sz w:val="14"/>
        </w:rPr>
        <w:t> </w:t>
      </w:r>
      <w:r>
        <w:rPr>
          <w:sz w:val="14"/>
        </w:rPr>
        <w:t>either</w:t>
      </w:r>
      <w:r>
        <w:rPr>
          <w:spacing w:val="6"/>
          <w:sz w:val="14"/>
        </w:rPr>
        <w:t> </w:t>
      </w:r>
      <w:r>
        <w:rPr>
          <w:sz w:val="14"/>
        </w:rPr>
        <w:t>pending</w:t>
      </w:r>
      <w:r>
        <w:rPr>
          <w:spacing w:val="6"/>
          <w:sz w:val="14"/>
        </w:rPr>
        <w:t> </w:t>
      </w:r>
      <w:r>
        <w:rPr>
          <w:sz w:val="14"/>
        </w:rPr>
        <w:t>or</w:t>
      </w:r>
      <w:r>
        <w:rPr>
          <w:spacing w:val="6"/>
          <w:sz w:val="14"/>
        </w:rPr>
        <w:t> </w:t>
      </w:r>
      <w:r>
        <w:rPr>
          <w:sz w:val="14"/>
        </w:rPr>
        <w:t>has</w:t>
      </w:r>
      <w:r>
        <w:rPr>
          <w:spacing w:val="6"/>
          <w:sz w:val="14"/>
        </w:rPr>
        <w:t> </w:t>
      </w:r>
      <w:r>
        <w:rPr>
          <w:sz w:val="14"/>
        </w:rPr>
        <w:t>been</w:t>
      </w:r>
      <w:r>
        <w:rPr>
          <w:spacing w:val="7"/>
          <w:sz w:val="14"/>
        </w:rPr>
        <w:t> </w:t>
      </w:r>
      <w:r>
        <w:rPr>
          <w:spacing w:val="-2"/>
          <w:sz w:val="14"/>
        </w:rPr>
        <w:t>implemented.</w:t>
      </w:r>
    </w:p>
    <w:p>
      <w:pPr>
        <w:pStyle w:val="ListParagraph"/>
        <w:numPr>
          <w:ilvl w:val="0"/>
          <w:numId w:val="15"/>
        </w:numPr>
        <w:tabs>
          <w:tab w:pos="467" w:val="left" w:leader="none"/>
        </w:tabs>
        <w:spacing w:line="240" w:lineRule="auto" w:before="14" w:after="0"/>
        <w:ind w:left="467" w:right="0" w:hanging="323"/>
        <w:jc w:val="both"/>
        <w:rPr>
          <w:sz w:val="14"/>
        </w:rPr>
      </w:pPr>
      <w:r>
        <w:rPr>
          <w:sz w:val="14"/>
        </w:rPr>
        <w:t>There</w:t>
      </w:r>
      <w:r>
        <w:rPr>
          <w:spacing w:val="6"/>
          <w:sz w:val="14"/>
        </w:rPr>
        <w:t> </w:t>
      </w:r>
      <w:r>
        <w:rPr>
          <w:sz w:val="14"/>
        </w:rPr>
        <w:t>have</w:t>
      </w:r>
      <w:r>
        <w:rPr>
          <w:spacing w:val="6"/>
          <w:sz w:val="14"/>
        </w:rPr>
        <w:t> </w:t>
      </w:r>
      <w:r>
        <w:rPr>
          <w:sz w:val="14"/>
        </w:rPr>
        <w:t>been</w:t>
      </w:r>
      <w:r>
        <w:rPr>
          <w:spacing w:val="6"/>
          <w:sz w:val="14"/>
        </w:rPr>
        <w:t> </w:t>
      </w:r>
      <w:r>
        <w:rPr>
          <w:sz w:val="14"/>
        </w:rPr>
        <w:t>no</w:t>
      </w:r>
      <w:r>
        <w:rPr>
          <w:spacing w:val="7"/>
          <w:sz w:val="14"/>
        </w:rPr>
        <w:t> </w:t>
      </w:r>
      <w:r>
        <w:rPr>
          <w:sz w:val="14"/>
        </w:rPr>
        <w:t>significant</w:t>
      </w:r>
      <w:r>
        <w:rPr>
          <w:spacing w:val="6"/>
          <w:sz w:val="14"/>
        </w:rPr>
        <w:t> </w:t>
      </w:r>
      <w:r>
        <w:rPr>
          <w:sz w:val="14"/>
        </w:rPr>
        <w:t>changes</w:t>
      </w:r>
      <w:r>
        <w:rPr>
          <w:spacing w:val="6"/>
          <w:sz w:val="14"/>
        </w:rPr>
        <w:t> </w:t>
      </w:r>
      <w:r>
        <w:rPr>
          <w:sz w:val="14"/>
        </w:rPr>
        <w:t>that</w:t>
      </w:r>
      <w:r>
        <w:rPr>
          <w:spacing w:val="7"/>
          <w:sz w:val="14"/>
        </w:rPr>
        <w:t> </w:t>
      </w:r>
      <w:r>
        <w:rPr>
          <w:sz w:val="14"/>
        </w:rPr>
        <w:t>affect</w:t>
      </w:r>
      <w:r>
        <w:rPr>
          <w:spacing w:val="6"/>
          <w:sz w:val="14"/>
        </w:rPr>
        <w:t> </w:t>
      </w:r>
      <w:r>
        <w:rPr>
          <w:sz w:val="14"/>
        </w:rPr>
        <w:t>the</w:t>
      </w:r>
      <w:r>
        <w:rPr>
          <w:spacing w:val="6"/>
          <w:sz w:val="14"/>
        </w:rPr>
        <w:t> </w:t>
      </w:r>
      <w:r>
        <w:rPr>
          <w:sz w:val="14"/>
        </w:rPr>
        <w:t>comparability</w:t>
      </w:r>
      <w:r>
        <w:rPr>
          <w:spacing w:val="7"/>
          <w:sz w:val="14"/>
        </w:rPr>
        <w:t> </w:t>
      </w:r>
      <w:r>
        <w:rPr>
          <w:sz w:val="14"/>
        </w:rPr>
        <w:t>of</w:t>
      </w:r>
      <w:r>
        <w:rPr>
          <w:spacing w:val="6"/>
          <w:sz w:val="14"/>
        </w:rPr>
        <w:t> </w:t>
      </w:r>
      <w:r>
        <w:rPr>
          <w:spacing w:val="-2"/>
          <w:sz w:val="14"/>
        </w:rPr>
        <w:t>contributions.</w:t>
      </w:r>
    </w:p>
    <w:p>
      <w:pPr>
        <w:pStyle w:val="ListParagraph"/>
        <w:numPr>
          <w:ilvl w:val="0"/>
          <w:numId w:val="15"/>
        </w:numPr>
        <w:tabs>
          <w:tab w:pos="468" w:val="left" w:leader="none"/>
        </w:tabs>
        <w:spacing w:line="240" w:lineRule="auto" w:before="1" w:after="0"/>
        <w:ind w:left="468" w:right="118" w:hanging="324"/>
        <w:jc w:val="both"/>
        <w:rPr>
          <w:sz w:val="14"/>
        </w:rPr>
      </w:pPr>
      <w:r>
        <w:rPr>
          <w:sz w:val="14"/>
        </w:rPr>
        <w:t>The</w:t>
      </w:r>
      <w:r>
        <w:rPr>
          <w:spacing w:val="15"/>
          <w:sz w:val="14"/>
        </w:rPr>
        <w:t> </w:t>
      </w:r>
      <w:r>
        <w:rPr>
          <w:sz w:val="14"/>
        </w:rPr>
        <w:t>Company</w:t>
      </w:r>
      <w:r>
        <w:rPr>
          <w:spacing w:val="15"/>
          <w:sz w:val="14"/>
        </w:rPr>
        <w:t> </w:t>
      </w:r>
      <w:r>
        <w:rPr>
          <w:sz w:val="14"/>
        </w:rPr>
        <w:t>is</w:t>
      </w:r>
      <w:r>
        <w:rPr>
          <w:spacing w:val="15"/>
          <w:sz w:val="14"/>
        </w:rPr>
        <w:t> </w:t>
      </w:r>
      <w:r>
        <w:rPr>
          <w:sz w:val="14"/>
        </w:rPr>
        <w:t>party</w:t>
      </w:r>
      <w:r>
        <w:rPr>
          <w:spacing w:val="15"/>
          <w:sz w:val="14"/>
        </w:rPr>
        <w:t> </w:t>
      </w:r>
      <w:r>
        <w:rPr>
          <w:sz w:val="14"/>
        </w:rPr>
        <w:t>to</w:t>
      </w:r>
      <w:r>
        <w:rPr>
          <w:spacing w:val="15"/>
          <w:sz w:val="14"/>
        </w:rPr>
        <w:t> </w:t>
      </w:r>
      <w:r>
        <w:rPr>
          <w:sz w:val="14"/>
        </w:rPr>
        <w:t>eleven</w:t>
      </w:r>
      <w:r>
        <w:rPr>
          <w:spacing w:val="15"/>
          <w:sz w:val="14"/>
        </w:rPr>
        <w:t> </w:t>
      </w:r>
      <w:r>
        <w:rPr>
          <w:sz w:val="14"/>
        </w:rPr>
        <w:t>collective</w:t>
      </w:r>
      <w:r>
        <w:rPr>
          <w:spacing w:val="15"/>
          <w:sz w:val="14"/>
        </w:rPr>
        <w:t> </w:t>
      </w:r>
      <w:r>
        <w:rPr>
          <w:sz w:val="14"/>
        </w:rPr>
        <w:t>bargaining</w:t>
      </w:r>
      <w:r>
        <w:rPr>
          <w:spacing w:val="15"/>
          <w:sz w:val="14"/>
        </w:rPr>
        <w:t> </w:t>
      </w:r>
      <w:r>
        <w:rPr>
          <w:sz w:val="14"/>
        </w:rPr>
        <w:t>agreements</w:t>
      </w:r>
      <w:r>
        <w:rPr>
          <w:spacing w:val="15"/>
          <w:sz w:val="14"/>
        </w:rPr>
        <w:t> </w:t>
      </w:r>
      <w:r>
        <w:rPr>
          <w:sz w:val="14"/>
        </w:rPr>
        <w:t>(CBA)</w:t>
      </w:r>
      <w:r>
        <w:rPr>
          <w:spacing w:val="15"/>
          <w:sz w:val="14"/>
        </w:rPr>
        <w:t> </w:t>
      </w:r>
      <w:r>
        <w:rPr>
          <w:sz w:val="14"/>
        </w:rPr>
        <w:t>that</w:t>
      </w:r>
      <w:r>
        <w:rPr>
          <w:spacing w:val="15"/>
          <w:sz w:val="14"/>
        </w:rPr>
        <w:t> </w:t>
      </w:r>
      <w:r>
        <w:rPr>
          <w:sz w:val="14"/>
        </w:rPr>
        <w:t>provide</w:t>
      </w:r>
      <w:r>
        <w:rPr>
          <w:spacing w:val="15"/>
          <w:sz w:val="14"/>
        </w:rPr>
        <w:t> </w:t>
      </w:r>
      <w:r>
        <w:rPr>
          <w:sz w:val="14"/>
        </w:rPr>
        <w:t>for</w:t>
      </w:r>
      <w:r>
        <w:rPr>
          <w:spacing w:val="15"/>
          <w:sz w:val="14"/>
        </w:rPr>
        <w:t> </w:t>
      </w:r>
      <w:r>
        <w:rPr>
          <w:sz w:val="14"/>
        </w:rPr>
        <w:t>contributions</w:t>
      </w:r>
      <w:r>
        <w:rPr>
          <w:spacing w:val="15"/>
          <w:sz w:val="14"/>
        </w:rPr>
        <w:t> </w:t>
      </w:r>
      <w:r>
        <w:rPr>
          <w:sz w:val="14"/>
        </w:rPr>
        <w:t>to</w:t>
      </w:r>
      <w:r>
        <w:rPr>
          <w:spacing w:val="15"/>
          <w:sz w:val="14"/>
        </w:rPr>
        <w:t> </w:t>
      </w:r>
      <w:r>
        <w:rPr>
          <w:sz w:val="14"/>
        </w:rPr>
        <w:t>the</w:t>
      </w:r>
      <w:r>
        <w:rPr>
          <w:spacing w:val="15"/>
          <w:sz w:val="14"/>
        </w:rPr>
        <w:t> </w:t>
      </w:r>
      <w:r>
        <w:rPr>
          <w:sz w:val="14"/>
        </w:rPr>
        <w:t>Southern</w:t>
      </w:r>
      <w:r>
        <w:rPr>
          <w:spacing w:val="15"/>
          <w:sz w:val="14"/>
        </w:rPr>
        <w:t> </w:t>
      </w:r>
      <w:r>
        <w:rPr>
          <w:sz w:val="14"/>
        </w:rPr>
        <w:t>Nevada</w:t>
      </w:r>
      <w:r>
        <w:rPr>
          <w:spacing w:val="15"/>
          <w:sz w:val="14"/>
        </w:rPr>
        <w:t> </w:t>
      </w:r>
      <w:r>
        <w:rPr>
          <w:sz w:val="14"/>
        </w:rPr>
        <w:t>Culinary</w:t>
      </w:r>
      <w:r>
        <w:rPr>
          <w:spacing w:val="15"/>
          <w:sz w:val="14"/>
        </w:rPr>
        <w:t> </w:t>
      </w:r>
      <w:r>
        <w:rPr>
          <w:sz w:val="14"/>
        </w:rPr>
        <w:t>and</w:t>
      </w:r>
      <w:r>
        <w:rPr>
          <w:spacing w:val="15"/>
          <w:sz w:val="14"/>
        </w:rPr>
        <w:t> </w:t>
      </w:r>
      <w:r>
        <w:rPr>
          <w:sz w:val="14"/>
        </w:rPr>
        <w:t>Bartenders</w:t>
      </w:r>
      <w:r>
        <w:rPr>
          <w:spacing w:val="15"/>
          <w:sz w:val="14"/>
        </w:rPr>
        <w:t> </w:t>
      </w:r>
      <w:r>
        <w:rPr>
          <w:sz w:val="14"/>
        </w:rPr>
        <w:t>Pension</w:t>
      </w:r>
      <w:r>
        <w:rPr>
          <w:spacing w:val="15"/>
          <w:sz w:val="14"/>
        </w:rPr>
        <w:t> </w:t>
      </w:r>
      <w:r>
        <w:rPr>
          <w:sz w:val="14"/>
        </w:rPr>
        <w:t>Plan,</w:t>
      </w:r>
      <w:r>
        <w:rPr>
          <w:spacing w:val="15"/>
          <w:sz w:val="14"/>
        </w:rPr>
        <w:t> </w:t>
      </w:r>
      <w:r>
        <w:rPr>
          <w:sz w:val="14"/>
        </w:rPr>
        <w:t>which</w:t>
      </w:r>
      <w:r>
        <w:rPr>
          <w:spacing w:val="15"/>
          <w:sz w:val="14"/>
        </w:rPr>
        <w:t> </w:t>
      </w:r>
      <w:r>
        <w:rPr>
          <w:sz w:val="14"/>
        </w:rPr>
        <w:t>are</w:t>
      </w:r>
      <w:r>
        <w:rPr>
          <w:spacing w:val="15"/>
          <w:sz w:val="14"/>
        </w:rPr>
        <w:t> </w:t>
      </w:r>
      <w:r>
        <w:rPr>
          <w:sz w:val="14"/>
        </w:rPr>
        <w:t>primarily</w:t>
      </w:r>
      <w:r>
        <w:rPr>
          <w:spacing w:val="15"/>
          <w:sz w:val="14"/>
        </w:rPr>
        <w:t> </w:t>
      </w:r>
      <w:r>
        <w:rPr>
          <w:sz w:val="14"/>
        </w:rPr>
        <w:t>with</w:t>
      </w:r>
      <w:r>
        <w:rPr>
          <w:spacing w:val="40"/>
          <w:sz w:val="14"/>
        </w:rPr>
        <w:t> </w:t>
      </w:r>
      <w:r>
        <w:rPr>
          <w:sz w:val="14"/>
        </w:rPr>
        <w:t>the</w:t>
      </w:r>
      <w:r>
        <w:rPr>
          <w:spacing w:val="16"/>
          <w:sz w:val="14"/>
        </w:rPr>
        <w:t> </w:t>
      </w:r>
      <w:r>
        <w:rPr>
          <w:sz w:val="14"/>
        </w:rPr>
        <w:t>Local</w:t>
      </w:r>
      <w:r>
        <w:rPr>
          <w:spacing w:val="16"/>
          <w:sz w:val="14"/>
        </w:rPr>
        <w:t> </w:t>
      </w:r>
      <w:r>
        <w:rPr>
          <w:sz w:val="14"/>
        </w:rPr>
        <w:t>Joint</w:t>
      </w:r>
      <w:r>
        <w:rPr>
          <w:spacing w:val="16"/>
          <w:sz w:val="14"/>
        </w:rPr>
        <w:t> </w:t>
      </w:r>
      <w:r>
        <w:rPr>
          <w:sz w:val="14"/>
        </w:rPr>
        <w:t>Executive</w:t>
      </w:r>
      <w:r>
        <w:rPr>
          <w:spacing w:val="16"/>
          <w:sz w:val="14"/>
        </w:rPr>
        <w:t> </w:t>
      </w:r>
      <w:r>
        <w:rPr>
          <w:sz w:val="14"/>
        </w:rPr>
        <w:t>Board</w:t>
      </w:r>
      <w:r>
        <w:rPr>
          <w:spacing w:val="16"/>
          <w:sz w:val="14"/>
        </w:rPr>
        <w:t> </w:t>
      </w:r>
      <w:r>
        <w:rPr>
          <w:sz w:val="14"/>
        </w:rPr>
        <w:t>of</w:t>
      </w:r>
      <w:r>
        <w:rPr>
          <w:spacing w:val="16"/>
          <w:sz w:val="14"/>
        </w:rPr>
        <w:t> </w:t>
      </w:r>
      <w:r>
        <w:rPr>
          <w:sz w:val="14"/>
        </w:rPr>
        <w:t>Las</w:t>
      </w:r>
      <w:r>
        <w:rPr>
          <w:spacing w:val="13"/>
          <w:sz w:val="14"/>
        </w:rPr>
        <w:t> </w:t>
      </w:r>
      <w:r>
        <w:rPr>
          <w:sz w:val="14"/>
        </w:rPr>
        <w:t>Vegas,</w:t>
      </w:r>
      <w:r>
        <w:rPr>
          <w:spacing w:val="16"/>
          <w:sz w:val="14"/>
        </w:rPr>
        <w:t> </w:t>
      </w:r>
      <w:r>
        <w:rPr>
          <w:sz w:val="14"/>
        </w:rPr>
        <w:t>for</w:t>
      </w:r>
      <w:r>
        <w:rPr>
          <w:spacing w:val="16"/>
          <w:sz w:val="14"/>
        </w:rPr>
        <w:t> </w:t>
      </w:r>
      <w:r>
        <w:rPr>
          <w:sz w:val="14"/>
        </w:rPr>
        <w:t>and</w:t>
      </w:r>
      <w:r>
        <w:rPr>
          <w:spacing w:val="16"/>
          <w:sz w:val="14"/>
        </w:rPr>
        <w:t> </w:t>
      </w:r>
      <w:r>
        <w:rPr>
          <w:sz w:val="14"/>
        </w:rPr>
        <w:t>on</w:t>
      </w:r>
      <w:r>
        <w:rPr>
          <w:spacing w:val="16"/>
          <w:sz w:val="14"/>
        </w:rPr>
        <w:t> </w:t>
      </w:r>
      <w:r>
        <w:rPr>
          <w:sz w:val="14"/>
        </w:rPr>
        <w:t>behalf</w:t>
      </w:r>
      <w:r>
        <w:rPr>
          <w:spacing w:val="16"/>
          <w:sz w:val="14"/>
        </w:rPr>
        <w:t> </w:t>
      </w:r>
      <w:r>
        <w:rPr>
          <w:sz w:val="14"/>
        </w:rPr>
        <w:t>of</w:t>
      </w:r>
      <w:r>
        <w:rPr>
          <w:spacing w:val="16"/>
          <w:sz w:val="14"/>
        </w:rPr>
        <w:t> </w:t>
      </w:r>
      <w:r>
        <w:rPr>
          <w:sz w:val="14"/>
        </w:rPr>
        <w:t>the</w:t>
      </w:r>
      <w:r>
        <w:rPr>
          <w:spacing w:val="16"/>
          <w:sz w:val="14"/>
        </w:rPr>
        <w:t> </w:t>
      </w:r>
      <w:r>
        <w:rPr>
          <w:sz w:val="14"/>
        </w:rPr>
        <w:t>Culinary</w:t>
      </w:r>
      <w:r>
        <w:rPr>
          <w:spacing w:val="13"/>
          <w:sz w:val="14"/>
        </w:rPr>
        <w:t> </w:t>
      </w:r>
      <w:r>
        <w:rPr>
          <w:sz w:val="14"/>
        </w:rPr>
        <w:t>Workers</w:t>
      </w:r>
      <w:r>
        <w:rPr>
          <w:spacing w:val="16"/>
          <w:sz w:val="14"/>
        </w:rPr>
        <w:t> </w:t>
      </w:r>
      <w:r>
        <w:rPr>
          <w:sz w:val="14"/>
        </w:rPr>
        <w:t>Union</w:t>
      </w:r>
      <w:r>
        <w:rPr>
          <w:spacing w:val="16"/>
          <w:sz w:val="14"/>
        </w:rPr>
        <w:t> </w:t>
      </w:r>
      <w:r>
        <w:rPr>
          <w:sz w:val="14"/>
        </w:rPr>
        <w:t>and</w:t>
      </w:r>
      <w:r>
        <w:rPr>
          <w:spacing w:val="16"/>
          <w:sz w:val="14"/>
        </w:rPr>
        <w:t> </w:t>
      </w:r>
      <w:r>
        <w:rPr>
          <w:sz w:val="14"/>
        </w:rPr>
        <w:t>Bartenders</w:t>
      </w:r>
      <w:r>
        <w:rPr>
          <w:spacing w:val="16"/>
          <w:sz w:val="14"/>
        </w:rPr>
        <w:t> </w:t>
      </w:r>
      <w:r>
        <w:rPr>
          <w:sz w:val="14"/>
        </w:rPr>
        <w:t>Union.</w:t>
      </w:r>
      <w:r>
        <w:rPr>
          <w:spacing w:val="13"/>
          <w:sz w:val="14"/>
        </w:rPr>
        <w:t> </w:t>
      </w:r>
      <w:r>
        <w:rPr>
          <w:sz w:val="14"/>
        </w:rPr>
        <w:t>The</w:t>
      </w:r>
      <w:r>
        <w:rPr>
          <w:spacing w:val="16"/>
          <w:sz w:val="14"/>
        </w:rPr>
        <w:t> </w:t>
      </w:r>
      <w:r>
        <w:rPr>
          <w:sz w:val="14"/>
        </w:rPr>
        <w:t>agreements</w:t>
      </w:r>
      <w:r>
        <w:rPr>
          <w:spacing w:val="16"/>
          <w:sz w:val="14"/>
        </w:rPr>
        <w:t> </w:t>
      </w:r>
      <w:r>
        <w:rPr>
          <w:sz w:val="14"/>
        </w:rPr>
        <w:t>between Aria,</w:t>
      </w:r>
      <w:r>
        <w:rPr>
          <w:spacing w:val="16"/>
          <w:sz w:val="14"/>
        </w:rPr>
        <w:t> </w:t>
      </w:r>
      <w:r>
        <w:rPr>
          <w:sz w:val="14"/>
        </w:rPr>
        <w:t>Bellagio,</w:t>
      </w:r>
      <w:r>
        <w:rPr>
          <w:spacing w:val="13"/>
          <w:sz w:val="14"/>
        </w:rPr>
        <w:t> </w:t>
      </w:r>
      <w:r>
        <w:rPr>
          <w:sz w:val="14"/>
        </w:rPr>
        <w:t>The</w:t>
      </w:r>
      <w:r>
        <w:rPr>
          <w:spacing w:val="16"/>
          <w:sz w:val="14"/>
        </w:rPr>
        <w:t> </w:t>
      </w:r>
      <w:r>
        <w:rPr>
          <w:sz w:val="14"/>
        </w:rPr>
        <w:t>Cosmopolitan,</w:t>
      </w:r>
      <w:r>
        <w:rPr>
          <w:spacing w:val="16"/>
          <w:sz w:val="14"/>
        </w:rPr>
        <w:t> </w:t>
      </w:r>
      <w:r>
        <w:rPr>
          <w:sz w:val="14"/>
        </w:rPr>
        <w:t>and</w:t>
      </w:r>
      <w:r>
        <w:rPr>
          <w:spacing w:val="16"/>
          <w:sz w:val="14"/>
        </w:rPr>
        <w:t> </w:t>
      </w:r>
      <w:r>
        <w:rPr>
          <w:sz w:val="14"/>
        </w:rPr>
        <w:t>MGM</w:t>
      </w:r>
      <w:r>
        <w:rPr>
          <w:spacing w:val="40"/>
          <w:sz w:val="14"/>
        </w:rPr>
        <w:t> </w:t>
      </w:r>
      <w:r>
        <w:rPr>
          <w:sz w:val="14"/>
        </w:rPr>
        <w:t>Grand</w:t>
      </w:r>
      <w:r>
        <w:rPr>
          <w:spacing w:val="13"/>
          <w:sz w:val="14"/>
        </w:rPr>
        <w:t> </w:t>
      </w:r>
      <w:r>
        <w:rPr>
          <w:sz w:val="14"/>
        </w:rPr>
        <w:t>Las Vegas</w:t>
      </w:r>
      <w:r>
        <w:rPr>
          <w:spacing w:val="13"/>
          <w:sz w:val="14"/>
        </w:rPr>
        <w:t> </w:t>
      </w:r>
      <w:r>
        <w:rPr>
          <w:sz w:val="14"/>
        </w:rPr>
        <w:t>are</w:t>
      </w:r>
      <w:r>
        <w:rPr>
          <w:spacing w:val="13"/>
          <w:sz w:val="14"/>
        </w:rPr>
        <w:t> </w:t>
      </w:r>
      <w:r>
        <w:rPr>
          <w:sz w:val="14"/>
        </w:rPr>
        <w:t>the</w:t>
      </w:r>
      <w:r>
        <w:rPr>
          <w:spacing w:val="13"/>
          <w:sz w:val="14"/>
        </w:rPr>
        <w:t> </w:t>
      </w:r>
      <w:r>
        <w:rPr>
          <w:sz w:val="14"/>
        </w:rPr>
        <w:t>most</w:t>
      </w:r>
      <w:r>
        <w:rPr>
          <w:spacing w:val="13"/>
          <w:sz w:val="14"/>
        </w:rPr>
        <w:t> </w:t>
      </w:r>
      <w:r>
        <w:rPr>
          <w:sz w:val="14"/>
        </w:rPr>
        <w:t>significant</w:t>
      </w:r>
      <w:r>
        <w:rPr>
          <w:spacing w:val="13"/>
          <w:sz w:val="14"/>
        </w:rPr>
        <w:t> </w:t>
      </w:r>
      <w:r>
        <w:rPr>
          <w:sz w:val="14"/>
        </w:rPr>
        <w:t>because</w:t>
      </w:r>
      <w:r>
        <w:rPr>
          <w:spacing w:val="13"/>
          <w:sz w:val="14"/>
        </w:rPr>
        <w:t> </w:t>
      </w:r>
      <w:r>
        <w:rPr>
          <w:sz w:val="14"/>
        </w:rPr>
        <w:t>more</w:t>
      </w:r>
      <w:r>
        <w:rPr>
          <w:spacing w:val="13"/>
          <w:sz w:val="14"/>
        </w:rPr>
        <w:t> </w:t>
      </w:r>
      <w:r>
        <w:rPr>
          <w:sz w:val="14"/>
        </w:rPr>
        <w:t>than</w:t>
      </w:r>
      <w:r>
        <w:rPr>
          <w:spacing w:val="13"/>
          <w:sz w:val="14"/>
        </w:rPr>
        <w:t> </w:t>
      </w:r>
      <w:r>
        <w:rPr>
          <w:sz w:val="14"/>
        </w:rPr>
        <w:t>half</w:t>
      </w:r>
      <w:r>
        <w:rPr>
          <w:spacing w:val="13"/>
          <w:sz w:val="14"/>
        </w:rPr>
        <w:t> </w:t>
      </w:r>
      <w:r>
        <w:rPr>
          <w:sz w:val="14"/>
        </w:rPr>
        <w:t>of</w:t>
      </w:r>
      <w:r>
        <w:rPr>
          <w:spacing w:val="13"/>
          <w:sz w:val="14"/>
        </w:rPr>
        <w:t> </w:t>
      </w:r>
      <w:r>
        <w:rPr>
          <w:sz w:val="14"/>
        </w:rPr>
        <w:t>the</w:t>
      </w:r>
      <w:r>
        <w:rPr>
          <w:spacing w:val="13"/>
          <w:sz w:val="14"/>
        </w:rPr>
        <w:t> </w:t>
      </w:r>
      <w:r>
        <w:rPr>
          <w:sz w:val="14"/>
        </w:rPr>
        <w:t>Company’s</w:t>
      </w:r>
      <w:r>
        <w:rPr>
          <w:spacing w:val="13"/>
          <w:sz w:val="14"/>
        </w:rPr>
        <w:t> </w:t>
      </w:r>
      <w:r>
        <w:rPr>
          <w:sz w:val="14"/>
        </w:rPr>
        <w:t>employee</w:t>
      </w:r>
      <w:r>
        <w:rPr>
          <w:spacing w:val="13"/>
          <w:sz w:val="14"/>
        </w:rPr>
        <w:t> </w:t>
      </w:r>
      <w:r>
        <w:rPr>
          <w:sz w:val="14"/>
        </w:rPr>
        <w:t>participants</w:t>
      </w:r>
      <w:r>
        <w:rPr>
          <w:spacing w:val="13"/>
          <w:sz w:val="14"/>
        </w:rPr>
        <w:t> </w:t>
      </w:r>
      <w:r>
        <w:rPr>
          <w:sz w:val="14"/>
        </w:rPr>
        <w:t>in</w:t>
      </w:r>
      <w:r>
        <w:rPr>
          <w:spacing w:val="13"/>
          <w:sz w:val="14"/>
        </w:rPr>
        <w:t> </w:t>
      </w:r>
      <w:r>
        <w:rPr>
          <w:sz w:val="14"/>
        </w:rPr>
        <w:t>this</w:t>
      </w:r>
      <w:r>
        <w:rPr>
          <w:spacing w:val="13"/>
          <w:sz w:val="14"/>
        </w:rPr>
        <w:t> </w:t>
      </w:r>
      <w:r>
        <w:rPr>
          <w:sz w:val="14"/>
        </w:rPr>
        <w:t>plan</w:t>
      </w:r>
      <w:r>
        <w:rPr>
          <w:spacing w:val="13"/>
          <w:sz w:val="14"/>
        </w:rPr>
        <w:t> </w:t>
      </w:r>
      <w:r>
        <w:rPr>
          <w:sz w:val="14"/>
        </w:rPr>
        <w:t>are</w:t>
      </w:r>
      <w:r>
        <w:rPr>
          <w:spacing w:val="13"/>
          <w:sz w:val="14"/>
        </w:rPr>
        <w:t> </w:t>
      </w:r>
      <w:r>
        <w:rPr>
          <w:sz w:val="14"/>
        </w:rPr>
        <w:t>covered</w:t>
      </w:r>
      <w:r>
        <w:rPr>
          <w:spacing w:val="13"/>
          <w:sz w:val="14"/>
        </w:rPr>
        <w:t> </w:t>
      </w:r>
      <w:r>
        <w:rPr>
          <w:sz w:val="14"/>
        </w:rPr>
        <w:t>by</w:t>
      </w:r>
      <w:r>
        <w:rPr>
          <w:spacing w:val="13"/>
          <w:sz w:val="14"/>
        </w:rPr>
        <w:t> </w:t>
      </w:r>
      <w:r>
        <w:rPr>
          <w:sz w:val="14"/>
        </w:rPr>
        <w:t>those</w:t>
      </w:r>
      <w:r>
        <w:rPr>
          <w:spacing w:val="13"/>
          <w:sz w:val="14"/>
        </w:rPr>
        <w:t> </w:t>
      </w:r>
      <w:r>
        <w:rPr>
          <w:sz w:val="14"/>
        </w:rPr>
        <w:t>four</w:t>
      </w:r>
      <w:r>
        <w:rPr>
          <w:spacing w:val="13"/>
          <w:sz w:val="14"/>
        </w:rPr>
        <w:t> </w:t>
      </w:r>
      <w:r>
        <w:rPr>
          <w:sz w:val="14"/>
        </w:rPr>
        <w:t>agreements.</w:t>
      </w:r>
    </w:p>
    <w:p>
      <w:pPr>
        <w:pStyle w:val="BodyText"/>
        <w:spacing w:before="78"/>
        <w:rPr>
          <w:sz w:val="14"/>
        </w:rPr>
      </w:pPr>
    </w:p>
    <w:p>
      <w:pPr>
        <w:pStyle w:val="BodyText"/>
        <w:spacing w:line="235" w:lineRule="auto"/>
        <w:ind w:left="144" w:firstLine="499"/>
      </w:pPr>
      <w:r>
        <w:rPr>
          <w:b/>
        </w:rPr>
        <w:t>Multiemployer</w:t>
      </w:r>
      <w:r>
        <w:rPr>
          <w:b/>
          <w:spacing w:val="-3"/>
        </w:rPr>
        <w:t> </w:t>
      </w:r>
      <w:r>
        <w:rPr>
          <w:b/>
        </w:rPr>
        <w:t>benefit plans other</w:t>
      </w:r>
      <w:r>
        <w:rPr>
          <w:b/>
          <w:spacing w:val="-3"/>
        </w:rPr>
        <w:t> </w:t>
      </w:r>
      <w:r>
        <w:rPr>
          <w:b/>
        </w:rPr>
        <w:t>than pensions</w:t>
      </w:r>
      <w:r>
        <w:rPr/>
        <w:t>. Pursuant to its collective bargaining agreements referenced above, the Company also contributes to UNITE</w:t>
      </w:r>
      <w:r>
        <w:rPr>
          <w:spacing w:val="21"/>
        </w:rPr>
        <w:t> </w:t>
      </w:r>
      <w:r>
        <w:rPr/>
        <w:t>HERE</w:t>
      </w:r>
      <w:r>
        <w:rPr>
          <w:spacing w:val="23"/>
        </w:rPr>
        <w:t> </w:t>
      </w:r>
      <w:r>
        <w:rPr/>
        <w:t>Health</w:t>
      </w:r>
      <w:r>
        <w:rPr>
          <w:spacing w:val="23"/>
        </w:rPr>
        <w:t> </w:t>
      </w:r>
      <w:r>
        <w:rPr/>
        <w:t>(the</w:t>
      </w:r>
      <w:r>
        <w:rPr>
          <w:spacing w:val="23"/>
        </w:rPr>
        <w:t> </w:t>
      </w:r>
      <w:r>
        <w:rPr/>
        <w:t>“Health</w:t>
      </w:r>
      <w:r>
        <w:rPr>
          <w:spacing w:val="23"/>
        </w:rPr>
        <w:t> </w:t>
      </w:r>
      <w:r>
        <w:rPr/>
        <w:t>Fund”),</w:t>
      </w:r>
      <w:r>
        <w:rPr>
          <w:spacing w:val="23"/>
        </w:rPr>
        <w:t> </w:t>
      </w:r>
      <w:r>
        <w:rPr/>
        <w:t>which</w:t>
      </w:r>
      <w:r>
        <w:rPr>
          <w:spacing w:val="23"/>
        </w:rPr>
        <w:t> </w:t>
      </w:r>
      <w:r>
        <w:rPr/>
        <w:t>provides</w:t>
      </w:r>
      <w:r>
        <w:rPr>
          <w:spacing w:val="23"/>
        </w:rPr>
        <w:t> </w:t>
      </w:r>
      <w:r>
        <w:rPr/>
        <w:t>healthcare</w:t>
      </w:r>
      <w:r>
        <w:rPr>
          <w:spacing w:val="23"/>
        </w:rPr>
        <w:t> </w:t>
      </w:r>
      <w:r>
        <w:rPr/>
        <w:t>benefits</w:t>
      </w:r>
      <w:r>
        <w:rPr>
          <w:spacing w:val="23"/>
        </w:rPr>
        <w:t> </w:t>
      </w:r>
      <w:r>
        <w:rPr/>
        <w:t>to</w:t>
      </w:r>
      <w:r>
        <w:rPr>
          <w:spacing w:val="23"/>
        </w:rPr>
        <w:t> </w:t>
      </w:r>
      <w:r>
        <w:rPr/>
        <w:t>its</w:t>
      </w:r>
      <w:r>
        <w:rPr>
          <w:spacing w:val="23"/>
        </w:rPr>
        <w:t> </w:t>
      </w:r>
      <w:r>
        <w:rPr/>
        <w:t>active</w:t>
      </w:r>
      <w:r>
        <w:rPr>
          <w:spacing w:val="23"/>
        </w:rPr>
        <w:t> </w:t>
      </w:r>
      <w:r>
        <w:rPr/>
        <w:t>and</w:t>
      </w:r>
      <w:r>
        <w:rPr>
          <w:spacing w:val="23"/>
        </w:rPr>
        <w:t> </w:t>
      </w:r>
      <w:r>
        <w:rPr/>
        <w:t>retired</w:t>
      </w:r>
      <w:r>
        <w:rPr>
          <w:spacing w:val="23"/>
        </w:rPr>
        <w:t> </w:t>
      </w:r>
      <w:r>
        <w:rPr/>
        <w:t>members.</w:t>
      </w:r>
      <w:r>
        <w:rPr>
          <w:spacing w:val="20"/>
        </w:rPr>
        <w:t> </w:t>
      </w:r>
      <w:r>
        <w:rPr/>
        <w:t>The</w:t>
      </w:r>
      <w:r>
        <w:rPr>
          <w:spacing w:val="23"/>
        </w:rPr>
        <w:t> </w:t>
      </w:r>
      <w:r>
        <w:rPr/>
        <w:t>Company</w:t>
      </w:r>
      <w:r>
        <w:rPr>
          <w:spacing w:val="23"/>
        </w:rPr>
        <w:t> </w:t>
      </w:r>
      <w:r>
        <w:rPr/>
        <w:t>contributed</w:t>
      </w:r>
      <w:r>
        <w:rPr>
          <w:spacing w:val="23"/>
        </w:rPr>
        <w:t> </w:t>
      </w:r>
      <w:r>
        <w:rPr/>
        <w:t>$218</w:t>
      </w:r>
      <w:r>
        <w:rPr>
          <w:spacing w:val="23"/>
        </w:rPr>
        <w:t> </w:t>
      </w:r>
      <w:r>
        <w:rPr>
          <w:spacing w:val="-2"/>
        </w:rPr>
        <w:t>million,</w:t>
      </w:r>
    </w:p>
    <w:p>
      <w:pPr>
        <w:pStyle w:val="BodyText"/>
        <w:spacing w:line="203" w:lineRule="exact"/>
        <w:ind w:left="144"/>
      </w:pPr>
      <w:r>
        <w:rPr/>
        <w:t>$143</w:t>
      </w:r>
      <w:r>
        <w:rPr>
          <w:spacing w:val="-3"/>
        </w:rPr>
        <w:t> </w:t>
      </w:r>
      <w:r>
        <w:rPr/>
        <w:t>million,</w:t>
      </w:r>
      <w:r>
        <w:rPr>
          <w:spacing w:val="-1"/>
        </w:rPr>
        <w:t> </w:t>
      </w:r>
      <w:r>
        <w:rPr/>
        <w:t>and</w:t>
      </w:r>
      <w:r>
        <w:rPr>
          <w:spacing w:val="-1"/>
        </w:rPr>
        <w:t> </w:t>
      </w:r>
      <w:r>
        <w:rPr/>
        <w:t>$138</w:t>
      </w:r>
      <w:r>
        <w:rPr>
          <w:spacing w:val="-1"/>
        </w:rPr>
        <w:t> </w:t>
      </w:r>
      <w:r>
        <w:rPr/>
        <w:t>million</w:t>
      </w:r>
      <w:r>
        <w:rPr>
          <w:spacing w:val="-1"/>
        </w:rPr>
        <w:t> </w:t>
      </w:r>
      <w:r>
        <w:rPr/>
        <w:t>to</w:t>
      </w:r>
      <w:r>
        <w:rPr>
          <w:spacing w:val="-1"/>
        </w:rPr>
        <w:t> </w:t>
      </w:r>
      <w:r>
        <w:rPr/>
        <w:t>the</w:t>
      </w:r>
      <w:r>
        <w:rPr>
          <w:spacing w:val="-1"/>
        </w:rPr>
        <w:t> </w:t>
      </w:r>
      <w:r>
        <w:rPr/>
        <w:t>Health</w:t>
      </w:r>
      <w:r>
        <w:rPr>
          <w:spacing w:val="-1"/>
        </w:rPr>
        <w:t> </w:t>
      </w:r>
      <w:r>
        <w:rPr/>
        <w:t>Fund</w:t>
      </w:r>
      <w:r>
        <w:rPr>
          <w:spacing w:val="-1"/>
        </w:rPr>
        <w:t> </w:t>
      </w:r>
      <w:r>
        <w:rPr/>
        <w:t>in</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2021,</w:t>
      </w:r>
      <w:r>
        <w:rPr>
          <w:spacing w:val="-1"/>
        </w:rPr>
        <w:t> </w:t>
      </w:r>
      <w:r>
        <w:rPr/>
        <w:t>and</w:t>
      </w:r>
      <w:r>
        <w:rPr>
          <w:spacing w:val="-1"/>
        </w:rPr>
        <w:t> </w:t>
      </w:r>
      <w:r>
        <w:rPr/>
        <w:t>2020,</w:t>
      </w:r>
      <w:r>
        <w:rPr>
          <w:spacing w:val="-1"/>
        </w:rPr>
        <w:t> </w:t>
      </w:r>
      <w:r>
        <w:rPr>
          <w:spacing w:val="-2"/>
        </w:rPr>
        <w:t>respectively.</w:t>
      </w:r>
    </w:p>
    <w:p>
      <w:pPr>
        <w:pStyle w:val="BodyText"/>
      </w:pPr>
    </w:p>
    <w:p>
      <w:pPr>
        <w:pStyle w:val="BodyText"/>
        <w:spacing w:before="27"/>
      </w:pPr>
    </w:p>
    <w:p>
      <w:pPr>
        <w:pStyle w:val="Heading4"/>
      </w:pPr>
      <w:r>
        <w:rPr/>
        <w:t>NOTE</w:t>
      </w:r>
      <w:r>
        <w:rPr>
          <w:spacing w:val="-5"/>
        </w:rPr>
        <w:t> </w:t>
      </w:r>
      <w:r>
        <w:rPr/>
        <w:t>16</w:t>
      </w:r>
      <w:r>
        <w:rPr>
          <w:spacing w:val="-2"/>
        </w:rPr>
        <w:t> </w:t>
      </w:r>
      <w:r>
        <w:rPr/>
        <w:t>—</w:t>
      </w:r>
      <w:r>
        <w:rPr>
          <w:spacing w:val="-3"/>
        </w:rPr>
        <w:t> </w:t>
      </w:r>
      <w:r>
        <w:rPr/>
        <w:t>PROPERTY</w:t>
      </w:r>
      <w:r>
        <w:rPr>
          <w:spacing w:val="-11"/>
        </w:rPr>
        <w:t> </w:t>
      </w:r>
      <w:r>
        <w:rPr/>
        <w:t>TRANSACTIONS,</w:t>
      </w:r>
      <w:r>
        <w:rPr>
          <w:spacing w:val="-2"/>
        </w:rPr>
        <w:t> </w:t>
      </w:r>
      <w:r>
        <w:rPr>
          <w:spacing w:val="-5"/>
        </w:rPr>
        <w:t>NET</w:t>
      </w:r>
    </w:p>
    <w:p>
      <w:pPr>
        <w:pStyle w:val="BodyText"/>
        <w:spacing w:before="5"/>
        <w:rPr>
          <w:b/>
        </w:rPr>
      </w:pPr>
    </w:p>
    <w:p>
      <w:pPr>
        <w:pStyle w:val="BodyText"/>
        <w:ind w:right="6685"/>
        <w:jc w:val="center"/>
      </w:pPr>
      <w:r>
        <w:rPr/>
        <w:t>Property</w:t>
      </w:r>
      <w:r>
        <w:rPr>
          <w:spacing w:val="-1"/>
        </w:rPr>
        <w:t> </w:t>
      </w:r>
      <w:r>
        <w:rPr/>
        <w:t>transactions,</w:t>
      </w:r>
      <w:r>
        <w:rPr>
          <w:spacing w:val="-1"/>
        </w:rPr>
        <w:t> </w:t>
      </w:r>
      <w:r>
        <w:rPr/>
        <w:t>net</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Heading5"/>
        <w:spacing w:before="49"/>
        <w:ind w:left="6747"/>
      </w:pPr>
      <w:r>
        <w:rPr/>
        <mc:AlternateContent>
          <mc:Choice Requires="wps">
            <w:drawing>
              <wp:anchor distT="0" distB="0" distL="0" distR="0" allowOverlap="1" layoutInCell="1" locked="0" behindDoc="1" simplePos="0" relativeHeight="487715840">
                <wp:simplePos x="0" y="0"/>
                <wp:positionH relativeFrom="page">
                  <wp:posOffset>4500550</wp:posOffset>
                </wp:positionH>
                <wp:positionV relativeFrom="paragraph">
                  <wp:posOffset>181082</wp:posOffset>
                </wp:positionV>
                <wp:extent cx="3043555" cy="8890"/>
                <wp:effectExtent l="0" t="0" r="0" b="0"/>
                <wp:wrapTopAndBottom/>
                <wp:docPr id="637" name="Graphic 637"/>
                <wp:cNvGraphicFramePr>
                  <a:graphicFrameLocks/>
                </wp:cNvGraphicFramePr>
                <a:graphic>
                  <a:graphicData uri="http://schemas.microsoft.com/office/word/2010/wordprocessingShape">
                    <wps:wsp>
                      <wps:cNvPr id="637" name="Graphic 637"/>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4.258461pt;width:239.625011pt;height:.675pt;mso-position-horizontal-relative:page;mso-position-vertical-relative:paragraph;z-index:-15600640;mso-wrap-distance-left:0;mso-wrap-distance-right:0" id="docshape635"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86" w:val="left" w:leader="none"/>
          <w:tab w:pos="10021" w:val="left" w:leader="none"/>
        </w:tabs>
        <w:spacing w:before="21" w:after="42"/>
        <w:ind w:left="6749"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638" name="Group 638"/>
                <wp:cNvGraphicFramePr>
                  <a:graphicFrameLocks/>
                </wp:cNvGraphicFramePr>
                <a:graphic>
                  <a:graphicData uri="http://schemas.microsoft.com/office/word/2010/wordprocessingGroup">
                    <wpg:wgp>
                      <wpg:cNvPr id="638" name="Group 638"/>
                      <wpg:cNvGrpSpPr/>
                      <wpg:grpSpPr>
                        <a:xfrm>
                          <a:off x="0" y="0"/>
                          <a:ext cx="3043555" cy="8890"/>
                          <a:chExt cx="3043555" cy="8890"/>
                        </a:xfrm>
                      </wpg:grpSpPr>
                      <wps:wsp>
                        <wps:cNvPr id="639" name="Graphic 639"/>
                        <wps:cNvSpPr/>
                        <wps:spPr>
                          <a:xfrm>
                            <a:off x="-12" y="-11"/>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636" coordorigin="0,0" coordsize="4793,14">
                <v:rect style="position:absolute;left:-1;top:-1;width:4793;height:14" id="docshape637" filled="true" fillcolor="#000000" stroked="false">
                  <v:fill type="solid"/>
                </v:rect>
              </v:group>
            </w:pict>
          </mc:Fallback>
        </mc:AlternateContent>
      </w:r>
      <w:r>
        <w:rPr>
          <w:sz w:val="2"/>
        </w:rPr>
      </w:r>
    </w:p>
    <w:p>
      <w:pPr>
        <w:spacing w:before="11" w:after="38"/>
        <w:ind w:left="6747"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7"/>
        <w:gridCol w:w="3302"/>
        <w:gridCol w:w="1635"/>
        <w:gridCol w:w="1581"/>
      </w:tblGrid>
      <w:tr>
        <w:trPr>
          <w:trHeight w:val="256" w:hRule="atLeast"/>
        </w:trPr>
        <w:tc>
          <w:tcPr>
            <w:tcW w:w="4997" w:type="dxa"/>
            <w:shd w:val="clear" w:color="auto" w:fill="CCEDFF"/>
          </w:tcPr>
          <w:p>
            <w:pPr>
              <w:pStyle w:val="TableParagraph"/>
              <w:ind w:left="17"/>
              <w:rPr>
                <w:sz w:val="18"/>
              </w:rPr>
            </w:pPr>
            <w:r>
              <w:rPr>
                <w:sz w:val="18"/>
              </w:rPr>
              <w:t>Gain</w:t>
            </w:r>
            <w:r>
              <w:rPr>
                <w:spacing w:val="-1"/>
                <w:sz w:val="18"/>
              </w:rPr>
              <w:t> </w:t>
            </w:r>
            <w:r>
              <w:rPr>
                <w:sz w:val="18"/>
              </w:rPr>
              <w:t>on</w:t>
            </w:r>
            <w:r>
              <w:rPr>
                <w:spacing w:val="-1"/>
                <w:sz w:val="18"/>
              </w:rPr>
              <w:t> </w:t>
            </w:r>
            <w:r>
              <w:rPr>
                <w:sz w:val="18"/>
              </w:rPr>
              <w:t>sale</w:t>
            </w:r>
            <w:r>
              <w:rPr>
                <w:spacing w:val="-1"/>
                <w:sz w:val="18"/>
              </w:rPr>
              <w:t> </w:t>
            </w:r>
            <w:r>
              <w:rPr>
                <w:sz w:val="18"/>
              </w:rPr>
              <w:t>of</w:t>
            </w:r>
            <w:r>
              <w:rPr>
                <w:spacing w:val="-1"/>
                <w:sz w:val="18"/>
              </w:rPr>
              <w:t> </w:t>
            </w:r>
            <w:r>
              <w:rPr>
                <w:sz w:val="18"/>
              </w:rPr>
              <w:t>the</w:t>
            </w:r>
            <w:r>
              <w:rPr>
                <w:spacing w:val="-1"/>
                <w:sz w:val="18"/>
              </w:rPr>
              <w:t> </w:t>
            </w:r>
            <w:r>
              <w:rPr>
                <w:sz w:val="18"/>
              </w:rPr>
              <w:t>operations</w:t>
            </w:r>
            <w:r>
              <w:rPr>
                <w:spacing w:val="-1"/>
                <w:sz w:val="18"/>
              </w:rPr>
              <w:t> </w:t>
            </w:r>
            <w:r>
              <w:rPr>
                <w:sz w:val="18"/>
              </w:rPr>
              <w:t>of</w:t>
            </w:r>
            <w:r>
              <w:rPr>
                <w:spacing w:val="-4"/>
                <w:sz w:val="18"/>
              </w:rPr>
              <w:t> </w:t>
            </w:r>
            <w:r>
              <w:rPr>
                <w:sz w:val="18"/>
              </w:rPr>
              <w:t>The</w:t>
            </w:r>
            <w:r>
              <w:rPr>
                <w:spacing w:val="-1"/>
                <w:sz w:val="18"/>
              </w:rPr>
              <w:t> </w:t>
            </w:r>
            <w:r>
              <w:rPr>
                <w:spacing w:val="-2"/>
                <w:sz w:val="18"/>
              </w:rPr>
              <w:t>Mirage</w:t>
            </w:r>
          </w:p>
        </w:tc>
        <w:tc>
          <w:tcPr>
            <w:tcW w:w="3302" w:type="dxa"/>
            <w:shd w:val="clear" w:color="auto" w:fill="CCEDFF"/>
          </w:tcPr>
          <w:p>
            <w:pPr>
              <w:pStyle w:val="TableParagraph"/>
              <w:tabs>
                <w:tab w:pos="637" w:val="left" w:leader="none"/>
              </w:tabs>
              <w:ind w:right="79"/>
              <w:jc w:val="right"/>
              <w:rPr>
                <w:sz w:val="18"/>
              </w:rPr>
            </w:pPr>
            <w:r>
              <w:rPr>
                <w:spacing w:val="-10"/>
                <w:sz w:val="18"/>
              </w:rPr>
              <w:t>$</w:t>
            </w:r>
            <w:r>
              <w:rPr>
                <w:sz w:val="18"/>
              </w:rPr>
              <w:tab/>
            </w:r>
            <w:r>
              <w:rPr>
                <w:spacing w:val="-2"/>
                <w:sz w:val="18"/>
              </w:rPr>
              <w:t>(1,066,784)</w:t>
            </w:r>
          </w:p>
        </w:tc>
        <w:tc>
          <w:tcPr>
            <w:tcW w:w="1635" w:type="dxa"/>
            <w:shd w:val="clear" w:color="auto" w:fill="CCEDFF"/>
          </w:tcPr>
          <w:p>
            <w:pPr>
              <w:pStyle w:val="TableParagraph"/>
              <w:tabs>
                <w:tab w:pos="1247" w:val="left" w:leader="none"/>
              </w:tabs>
              <w:ind w:right="124"/>
              <w:jc w:val="right"/>
              <w:rPr>
                <w:sz w:val="18"/>
              </w:rPr>
            </w:pPr>
            <w:r>
              <w:rPr>
                <w:spacing w:val="-10"/>
                <w:sz w:val="18"/>
              </w:rPr>
              <w:t>$</w:t>
            </w:r>
            <w:r>
              <w:rPr>
                <w:sz w:val="18"/>
              </w:rPr>
              <w:tab/>
            </w:r>
            <w:r>
              <w:rPr>
                <w:spacing w:val="-10"/>
                <w:sz w:val="18"/>
              </w:rPr>
              <w:t>—</w:t>
            </w:r>
          </w:p>
        </w:tc>
        <w:tc>
          <w:tcPr>
            <w:tcW w:w="1581" w:type="dxa"/>
            <w:shd w:val="clear" w:color="auto" w:fill="CCEDFF"/>
          </w:tcPr>
          <w:p>
            <w:pPr>
              <w:pStyle w:val="TableParagraph"/>
              <w:tabs>
                <w:tab w:pos="1246" w:val="left" w:leader="none"/>
              </w:tabs>
              <w:ind w:right="70"/>
              <w:jc w:val="right"/>
              <w:rPr>
                <w:sz w:val="18"/>
              </w:rPr>
            </w:pPr>
            <w:r>
              <w:rPr>
                <w:spacing w:val="-10"/>
                <w:sz w:val="18"/>
              </w:rPr>
              <w:t>$</w:t>
            </w:r>
            <w:r>
              <w:rPr>
                <w:sz w:val="18"/>
              </w:rPr>
              <w:tab/>
            </w:r>
            <w:r>
              <w:rPr>
                <w:spacing w:val="-10"/>
                <w:sz w:val="18"/>
              </w:rPr>
              <w:t>—</w:t>
            </w:r>
          </w:p>
        </w:tc>
      </w:tr>
      <w:tr>
        <w:trPr>
          <w:trHeight w:val="255" w:hRule="atLeast"/>
        </w:trPr>
        <w:tc>
          <w:tcPr>
            <w:tcW w:w="4997" w:type="dxa"/>
          </w:tcPr>
          <w:p>
            <w:pPr>
              <w:pStyle w:val="TableParagraph"/>
              <w:ind w:left="17"/>
              <w:rPr>
                <w:sz w:val="18"/>
              </w:rPr>
            </w:pPr>
            <w:r>
              <w:rPr>
                <w:sz w:val="18"/>
              </w:rPr>
              <w:t>Other</w:t>
            </w:r>
            <w:r>
              <w:rPr>
                <w:spacing w:val="-1"/>
                <w:sz w:val="18"/>
              </w:rPr>
              <w:t> </w:t>
            </w:r>
            <w:r>
              <w:rPr>
                <w:sz w:val="18"/>
              </w:rPr>
              <w:t>property</w:t>
            </w:r>
            <w:r>
              <w:rPr>
                <w:spacing w:val="-1"/>
                <w:sz w:val="18"/>
              </w:rPr>
              <w:t> </w:t>
            </w:r>
            <w:r>
              <w:rPr>
                <w:sz w:val="18"/>
              </w:rPr>
              <w:t>transactions,</w:t>
            </w:r>
            <w:r>
              <w:rPr>
                <w:spacing w:val="-1"/>
                <w:sz w:val="18"/>
              </w:rPr>
              <w:t> </w:t>
            </w:r>
            <w:r>
              <w:rPr>
                <w:spacing w:val="-5"/>
                <w:sz w:val="18"/>
              </w:rPr>
              <w:t>net</w:t>
            </w:r>
          </w:p>
        </w:tc>
        <w:tc>
          <w:tcPr>
            <w:tcW w:w="3302" w:type="dxa"/>
            <w:tcBorders>
              <w:bottom w:val="single" w:sz="6" w:space="0" w:color="000000"/>
            </w:tcBorders>
          </w:tcPr>
          <w:p>
            <w:pPr>
              <w:pStyle w:val="TableParagraph"/>
              <w:ind w:right="124"/>
              <w:jc w:val="right"/>
              <w:rPr>
                <w:sz w:val="18"/>
              </w:rPr>
            </w:pPr>
            <w:r>
              <w:rPr>
                <w:spacing w:val="-2"/>
                <w:sz w:val="18"/>
              </w:rPr>
              <w:t>29,787</w:t>
            </w:r>
          </w:p>
        </w:tc>
        <w:tc>
          <w:tcPr>
            <w:tcW w:w="1635" w:type="dxa"/>
            <w:tcBorders>
              <w:bottom w:val="single" w:sz="6" w:space="0" w:color="000000"/>
            </w:tcBorders>
          </w:tcPr>
          <w:p>
            <w:pPr>
              <w:pStyle w:val="TableParagraph"/>
              <w:ind w:right="79"/>
              <w:jc w:val="right"/>
              <w:rPr>
                <w:sz w:val="18"/>
              </w:rPr>
            </w:pPr>
            <w:r>
              <w:rPr>
                <w:spacing w:val="-2"/>
                <w:sz w:val="18"/>
              </w:rPr>
              <w:t>(67,736)</w:t>
            </w:r>
          </w:p>
        </w:tc>
        <w:tc>
          <w:tcPr>
            <w:tcW w:w="1581" w:type="dxa"/>
            <w:tcBorders>
              <w:bottom w:val="single" w:sz="6" w:space="0" w:color="000000"/>
            </w:tcBorders>
          </w:tcPr>
          <w:p>
            <w:pPr>
              <w:pStyle w:val="TableParagraph"/>
              <w:ind w:right="70"/>
              <w:jc w:val="right"/>
              <w:rPr>
                <w:sz w:val="18"/>
              </w:rPr>
            </w:pPr>
            <w:r>
              <w:rPr>
                <w:spacing w:val="-2"/>
                <w:sz w:val="18"/>
              </w:rPr>
              <w:t>93,567</w:t>
            </w:r>
          </w:p>
        </w:tc>
      </w:tr>
      <w:tr>
        <w:trPr>
          <w:trHeight w:val="260" w:hRule="atLeast"/>
        </w:trPr>
        <w:tc>
          <w:tcPr>
            <w:tcW w:w="4997" w:type="dxa"/>
            <w:shd w:val="clear" w:color="auto" w:fill="CCEDFF"/>
          </w:tcPr>
          <w:p>
            <w:pPr>
              <w:pStyle w:val="TableParagraph"/>
              <w:spacing w:before="0"/>
              <w:rPr>
                <w:sz w:val="16"/>
              </w:rPr>
            </w:pPr>
          </w:p>
        </w:tc>
        <w:tc>
          <w:tcPr>
            <w:tcW w:w="3302" w:type="dxa"/>
            <w:tcBorders>
              <w:top w:val="single" w:sz="6" w:space="0" w:color="000000"/>
            </w:tcBorders>
            <w:shd w:val="clear" w:color="auto" w:fill="CCEDFF"/>
          </w:tcPr>
          <w:p>
            <w:pPr>
              <w:pStyle w:val="TableParagraph"/>
              <w:tabs>
                <w:tab w:pos="637" w:val="left" w:leader="none"/>
              </w:tabs>
              <w:spacing w:before="20"/>
              <w:ind w:right="79"/>
              <w:jc w:val="right"/>
              <w:rPr>
                <w:sz w:val="18"/>
              </w:rPr>
            </w:pPr>
            <w:r>
              <w:rPr/>
              <mc:AlternateContent>
                <mc:Choice Requires="wps">
                  <w:drawing>
                    <wp:anchor distT="0" distB="0" distL="0" distR="0" allowOverlap="1" layoutInCell="1" locked="0" behindDoc="1" simplePos="0" relativeHeight="477758464">
                      <wp:simplePos x="0" y="0"/>
                      <wp:positionH relativeFrom="column">
                        <wp:posOffset>1096159</wp:posOffset>
                      </wp:positionH>
                      <wp:positionV relativeFrom="paragraph">
                        <wp:posOffset>162303</wp:posOffset>
                      </wp:positionV>
                      <wp:extent cx="969010" cy="34290"/>
                      <wp:effectExtent l="0" t="0" r="0" b="0"/>
                      <wp:wrapNone/>
                      <wp:docPr id="640" name="Group 640"/>
                      <wp:cNvGraphicFramePr>
                        <a:graphicFrameLocks/>
                      </wp:cNvGraphicFramePr>
                      <a:graphic>
                        <a:graphicData uri="http://schemas.microsoft.com/office/word/2010/wordprocessingGroup">
                          <wpg:wgp>
                            <wpg:cNvPr id="640" name="Group 640"/>
                            <wpg:cNvGrpSpPr/>
                            <wpg:grpSpPr>
                              <a:xfrm>
                                <a:off x="0" y="0"/>
                                <a:ext cx="969010" cy="34290"/>
                                <a:chExt cx="969010" cy="34290"/>
                              </a:xfrm>
                            </wpg:grpSpPr>
                            <wps:wsp>
                              <wps:cNvPr id="641" name="Graphic 641"/>
                              <wps:cNvSpPr/>
                              <wps:spPr>
                                <a:xfrm>
                                  <a:off x="-12" y="-11"/>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31179pt;margin-top:12.779782pt;width:76.3pt;height:2.7pt;mso-position-horizontal-relative:column;mso-position-vertical-relative:paragraph;z-index:-25558016" id="docshapegroup638" coordorigin="1726,256" coordsize="1526,54">
                      <v:shape style="position:absolute;left:1726;top:255;width:1526;height:54" id="docshape639" coordorigin="1726,256" coordsize="1526,54" path="m3252,296l3225,296,1834,296,1726,296,1726,310,1834,310,3225,310,3252,310,3252,296xm3252,256l3225,256,1834,256,1726,256,1726,269,1834,269,3225,269,3252,269,3252,256xe" filled="true" fillcolor="#000000" stroked="false">
                        <v:path arrowok="t"/>
                        <v:fill type="solid"/>
                      </v:shape>
                      <w10:wrap type="none"/>
                    </v:group>
                  </w:pict>
                </mc:Fallback>
              </mc:AlternateContent>
            </w:r>
            <w:r>
              <w:rPr>
                <w:spacing w:val="-10"/>
                <w:sz w:val="18"/>
              </w:rPr>
              <w:t>$</w:t>
            </w:r>
            <w:r>
              <w:rPr>
                <w:sz w:val="18"/>
              </w:rPr>
              <w:tab/>
            </w:r>
            <w:r>
              <w:rPr>
                <w:spacing w:val="-2"/>
                <w:sz w:val="18"/>
              </w:rPr>
              <w:t>(1,036,997)</w:t>
            </w:r>
          </w:p>
        </w:tc>
        <w:tc>
          <w:tcPr>
            <w:tcW w:w="1635" w:type="dxa"/>
            <w:tcBorders>
              <w:top w:val="single" w:sz="6" w:space="0" w:color="000000"/>
            </w:tcBorders>
            <w:shd w:val="clear" w:color="auto" w:fill="CCEDFF"/>
          </w:tcPr>
          <w:p>
            <w:pPr>
              <w:pStyle w:val="TableParagraph"/>
              <w:tabs>
                <w:tab w:pos="858" w:val="left" w:leader="none"/>
              </w:tabs>
              <w:spacing w:before="20"/>
              <w:ind w:right="79"/>
              <w:jc w:val="right"/>
              <w:rPr>
                <w:sz w:val="18"/>
              </w:rPr>
            </w:pPr>
            <w:r>
              <w:rPr/>
              <mc:AlternateContent>
                <mc:Choice Requires="wps">
                  <w:drawing>
                    <wp:anchor distT="0" distB="0" distL="0" distR="0" allowOverlap="1" layoutInCell="1" locked="0" behindDoc="1" simplePos="0" relativeHeight="477758976">
                      <wp:simplePos x="0" y="0"/>
                      <wp:positionH relativeFrom="column">
                        <wp:posOffset>36522</wp:posOffset>
                      </wp:positionH>
                      <wp:positionV relativeFrom="paragraph">
                        <wp:posOffset>162303</wp:posOffset>
                      </wp:positionV>
                      <wp:extent cx="969010" cy="34290"/>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969010" cy="34290"/>
                                <a:chExt cx="969010" cy="34290"/>
                              </a:xfrm>
                            </wpg:grpSpPr>
                            <wps:wsp>
                              <wps:cNvPr id="643" name="Graphic 643"/>
                              <wps:cNvSpPr/>
                              <wps:spPr>
                                <a:xfrm>
                                  <a:off x="-12" y="-11"/>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75802pt;margin-top:12.779782pt;width:76.3pt;height:2.7pt;mso-position-horizontal-relative:column;mso-position-vertical-relative:paragraph;z-index:-25557504" id="docshapegroup640" coordorigin="58,256" coordsize="1526,54">
                      <v:shape style="position:absolute;left:57;top:255;width:1526;height:54" id="docshape641" coordorigin="57,256" coordsize="1526,54" path="m1583,296l1556,296,179,296,57,296,57,310,179,310,1556,310,1583,310,1583,296xm1583,256l1556,256,179,256,57,256,57,269,179,269,1556,269,1583,269,1583,256xe" filled="true" fillcolor="#000000" stroked="false">
                        <v:path arrowok="t"/>
                        <v:fill type="solid"/>
                      </v:shape>
                      <w10:wrap type="none"/>
                    </v:group>
                  </w:pict>
                </mc:Fallback>
              </mc:AlternateContent>
            </w:r>
            <w:r>
              <w:rPr>
                <w:spacing w:val="-10"/>
                <w:sz w:val="18"/>
              </w:rPr>
              <w:t>$</w:t>
            </w:r>
            <w:r>
              <w:rPr>
                <w:sz w:val="18"/>
              </w:rPr>
              <w:tab/>
            </w:r>
            <w:r>
              <w:rPr>
                <w:spacing w:val="-2"/>
                <w:sz w:val="18"/>
              </w:rPr>
              <w:t>(67,736)</w:t>
            </w:r>
          </w:p>
        </w:tc>
        <w:tc>
          <w:tcPr>
            <w:tcW w:w="1581" w:type="dxa"/>
            <w:tcBorders>
              <w:top w:val="single" w:sz="6" w:space="0" w:color="000000"/>
              <w:bottom w:val="double" w:sz="6" w:space="0" w:color="000000"/>
            </w:tcBorders>
            <w:shd w:val="clear" w:color="auto" w:fill="CCEDFF"/>
          </w:tcPr>
          <w:p>
            <w:pPr>
              <w:pStyle w:val="TableParagraph"/>
              <w:tabs>
                <w:tab w:pos="931" w:val="left" w:leader="none"/>
              </w:tabs>
              <w:spacing w:before="20"/>
              <w:ind w:right="70"/>
              <w:jc w:val="right"/>
              <w:rPr>
                <w:sz w:val="18"/>
              </w:rPr>
            </w:pPr>
            <w:r>
              <w:rPr>
                <w:spacing w:val="-10"/>
                <w:sz w:val="18"/>
              </w:rPr>
              <w:t>$</w:t>
            </w:r>
            <w:r>
              <w:rPr>
                <w:sz w:val="18"/>
              </w:rPr>
              <w:tab/>
            </w:r>
            <w:r>
              <w:rPr>
                <w:spacing w:val="-2"/>
                <w:sz w:val="18"/>
              </w:rPr>
              <w:t>93,567</w:t>
            </w:r>
          </w:p>
        </w:tc>
      </w:tr>
    </w:tbl>
    <w:p>
      <w:pPr>
        <w:pStyle w:val="BodyText"/>
        <w:spacing w:before="103"/>
        <w:rPr>
          <w:b/>
          <w:i/>
        </w:rPr>
      </w:pPr>
    </w:p>
    <w:p>
      <w:pPr>
        <w:spacing w:before="0"/>
        <w:ind w:left="644" w:right="0" w:firstLine="0"/>
        <w:jc w:val="left"/>
        <w:rPr>
          <w:sz w:val="18"/>
        </w:rPr>
      </w:pPr>
      <w:r>
        <w:rPr>
          <w:b/>
          <w:sz w:val="18"/>
        </w:rPr>
        <w:t>Gain</w:t>
      </w:r>
      <w:r>
        <w:rPr>
          <w:b/>
          <w:spacing w:val="-1"/>
          <w:sz w:val="18"/>
        </w:rPr>
        <w:t> </w:t>
      </w:r>
      <w:r>
        <w:rPr>
          <w:b/>
          <w:sz w:val="18"/>
        </w:rPr>
        <w:t>on</w:t>
      </w:r>
      <w:r>
        <w:rPr>
          <w:b/>
          <w:spacing w:val="-1"/>
          <w:sz w:val="18"/>
        </w:rPr>
        <w:t> </w:t>
      </w:r>
      <w:r>
        <w:rPr>
          <w:b/>
          <w:sz w:val="18"/>
        </w:rPr>
        <w:t>sale</w:t>
      </w:r>
      <w:r>
        <w:rPr>
          <w:b/>
          <w:spacing w:val="-1"/>
          <w:sz w:val="18"/>
        </w:rPr>
        <w:t> </w:t>
      </w:r>
      <w:r>
        <w:rPr>
          <w:b/>
          <w:sz w:val="18"/>
        </w:rPr>
        <w:t>of</w:t>
      </w:r>
      <w:r>
        <w:rPr>
          <w:b/>
          <w:spacing w:val="-1"/>
          <w:sz w:val="18"/>
        </w:rPr>
        <w:t> </w:t>
      </w:r>
      <w:r>
        <w:rPr>
          <w:b/>
          <w:sz w:val="18"/>
        </w:rPr>
        <w:t>the</w:t>
      </w:r>
      <w:r>
        <w:rPr>
          <w:b/>
          <w:spacing w:val="-1"/>
          <w:sz w:val="18"/>
        </w:rPr>
        <w:t> </w:t>
      </w:r>
      <w:r>
        <w:rPr>
          <w:b/>
          <w:sz w:val="18"/>
        </w:rPr>
        <w:t>operations</w:t>
      </w:r>
      <w:r>
        <w:rPr>
          <w:b/>
          <w:spacing w:val="-1"/>
          <w:sz w:val="18"/>
        </w:rPr>
        <w:t> </w:t>
      </w:r>
      <w:r>
        <w:rPr>
          <w:b/>
          <w:sz w:val="18"/>
        </w:rPr>
        <w:t>of</w:t>
      </w:r>
      <w:r>
        <w:rPr>
          <w:b/>
          <w:spacing w:val="-4"/>
          <w:sz w:val="18"/>
        </w:rPr>
        <w:t> </w:t>
      </w:r>
      <w:r>
        <w:rPr>
          <w:b/>
          <w:sz w:val="18"/>
        </w:rPr>
        <w:t>The</w:t>
      </w:r>
      <w:r>
        <w:rPr>
          <w:b/>
          <w:spacing w:val="-1"/>
          <w:sz w:val="18"/>
        </w:rPr>
        <w:t> </w:t>
      </w:r>
      <w:r>
        <w:rPr>
          <w:b/>
          <w:sz w:val="18"/>
        </w:rPr>
        <w:t>Mirage. </w:t>
      </w:r>
      <w:r>
        <w:rPr>
          <w:sz w:val="18"/>
        </w:rPr>
        <w:t>Refer</w:t>
      </w:r>
      <w:r>
        <w:rPr>
          <w:spacing w:val="-1"/>
          <w:sz w:val="18"/>
        </w:rPr>
        <w:t> </w:t>
      </w:r>
      <w:r>
        <w:rPr>
          <w:sz w:val="18"/>
        </w:rPr>
        <w:t>to</w:t>
      </w:r>
      <w:r>
        <w:rPr>
          <w:spacing w:val="-1"/>
          <w:sz w:val="18"/>
        </w:rPr>
        <w:t> </w:t>
      </w:r>
      <w:r>
        <w:rPr>
          <w:sz w:val="18"/>
        </w:rPr>
        <w:t>Note</w:t>
      </w:r>
      <w:r>
        <w:rPr>
          <w:spacing w:val="-1"/>
          <w:sz w:val="18"/>
        </w:rPr>
        <w:t> </w:t>
      </w:r>
      <w:r>
        <w:rPr>
          <w:sz w:val="18"/>
        </w:rPr>
        <w:t>4</w:t>
      </w:r>
      <w:r>
        <w:rPr>
          <w:spacing w:val="-1"/>
          <w:sz w:val="18"/>
        </w:rPr>
        <w:t> </w:t>
      </w:r>
      <w:r>
        <w:rPr>
          <w:sz w:val="18"/>
        </w:rPr>
        <w:t>for</w:t>
      </w:r>
      <w:r>
        <w:rPr>
          <w:spacing w:val="-1"/>
          <w:sz w:val="18"/>
        </w:rPr>
        <w:t> </w:t>
      </w:r>
      <w:r>
        <w:rPr>
          <w:spacing w:val="-2"/>
          <w:sz w:val="18"/>
        </w:rPr>
        <w:t>discussion.</w:t>
      </w:r>
    </w:p>
    <w:p>
      <w:pPr>
        <w:pStyle w:val="BodyText"/>
        <w:spacing w:before="4"/>
      </w:pPr>
    </w:p>
    <w:p>
      <w:pPr>
        <w:pStyle w:val="BodyText"/>
        <w:spacing w:before="1"/>
        <w:ind w:left="644"/>
      </w:pPr>
      <w:r>
        <w:rPr>
          <w:b/>
        </w:rPr>
        <w:t>Other.</w:t>
      </w:r>
      <w:r>
        <w:rPr>
          <w:b/>
          <w:spacing w:val="-4"/>
        </w:rPr>
        <w:t> </w:t>
      </w:r>
      <w:r>
        <w:rPr/>
        <w:t>Other</w:t>
      </w:r>
      <w:r>
        <w:rPr>
          <w:spacing w:val="-2"/>
        </w:rPr>
        <w:t> </w:t>
      </w:r>
      <w:r>
        <w:rPr/>
        <w:t>property</w:t>
      </w:r>
      <w:r>
        <w:rPr>
          <w:spacing w:val="-3"/>
        </w:rPr>
        <w:t> </w:t>
      </w:r>
      <w:r>
        <w:rPr/>
        <w:t>transactions,</w:t>
      </w:r>
      <w:r>
        <w:rPr>
          <w:spacing w:val="-2"/>
        </w:rPr>
        <w:t> </w:t>
      </w:r>
      <w:r>
        <w:rPr/>
        <w:t>net</w:t>
      </w:r>
      <w:r>
        <w:rPr>
          <w:spacing w:val="-3"/>
        </w:rPr>
        <w:t> </w:t>
      </w:r>
      <w:r>
        <w:rPr/>
        <w:t>in</w:t>
      </w:r>
      <w:r>
        <w:rPr>
          <w:spacing w:val="-2"/>
        </w:rPr>
        <w:t> </w:t>
      </w:r>
      <w:r>
        <w:rPr/>
        <w:t>2022</w:t>
      </w:r>
      <w:r>
        <w:rPr>
          <w:spacing w:val="-2"/>
        </w:rPr>
        <w:t> </w:t>
      </w:r>
      <w:r>
        <w:rPr/>
        <w:t>includes</w:t>
      </w:r>
      <w:r>
        <w:rPr>
          <w:spacing w:val="-3"/>
        </w:rPr>
        <w:t> </w:t>
      </w:r>
      <w:r>
        <w:rPr/>
        <w:t>miscellaneous</w:t>
      </w:r>
      <w:r>
        <w:rPr>
          <w:spacing w:val="-2"/>
        </w:rPr>
        <w:t> </w:t>
      </w:r>
      <w:r>
        <w:rPr/>
        <w:t>asset</w:t>
      </w:r>
      <w:r>
        <w:rPr>
          <w:spacing w:val="-3"/>
        </w:rPr>
        <w:t> </w:t>
      </w:r>
      <w:r>
        <w:rPr/>
        <w:t>disposals</w:t>
      </w:r>
      <w:r>
        <w:rPr>
          <w:spacing w:val="-2"/>
        </w:rPr>
        <w:t> </w:t>
      </w:r>
      <w:r>
        <w:rPr/>
        <w:t>and</w:t>
      </w:r>
      <w:r>
        <w:rPr>
          <w:spacing w:val="-2"/>
        </w:rPr>
        <w:t> </w:t>
      </w:r>
      <w:r>
        <w:rPr/>
        <w:t>write-</w:t>
      </w:r>
      <w:r>
        <w:rPr>
          <w:spacing w:val="-2"/>
        </w:rPr>
        <w:t>downs.</w:t>
      </w:r>
    </w:p>
    <w:p>
      <w:pPr>
        <w:pStyle w:val="BodyText"/>
        <w:spacing w:before="21"/>
      </w:pPr>
    </w:p>
    <w:p>
      <w:pPr>
        <w:pStyle w:val="BodyText"/>
        <w:spacing w:line="235" w:lineRule="auto"/>
        <w:ind w:left="144" w:right="118" w:firstLine="499"/>
        <w:jc w:val="both"/>
      </w:pPr>
      <w:r>
        <w:rPr/>
        <w:t>Other property transactions, net in 2021 includes a gain of $76 million relating to the sale of art and a gain of $29 million related to a reduction in the estimate of contingent consideration related to the Empire City acquisition, partially offset by an other-than-temporary impairment charge of $22 million</w:t>
      </w:r>
      <w:r>
        <w:rPr>
          <w:spacing w:val="40"/>
        </w:rPr>
        <w:t> </w:t>
      </w:r>
      <w:r>
        <w:rPr/>
        <w:t>related to an investment in an unconsolidated affiliate, as discussed in Note 6, as well as miscellaneous asset disposals and write-downs.</w:t>
      </w:r>
    </w:p>
    <w:p>
      <w:pPr>
        <w:pStyle w:val="BodyText"/>
        <w:spacing w:before="21"/>
      </w:pPr>
    </w:p>
    <w:p>
      <w:pPr>
        <w:pStyle w:val="BodyText"/>
        <w:spacing w:line="235" w:lineRule="auto" w:before="1"/>
        <w:ind w:left="144" w:right="118" w:firstLine="499"/>
        <w:jc w:val="both"/>
      </w:pPr>
      <w:r>
        <w:rPr/>
        <w:t>Other property transactions, net in 2020 includes other-than-temporary impairment charges of $64 million related to an investment in an </w:t>
      </w:r>
      <w:r>
        <w:rPr/>
        <w:t>unconsolidated affiliate, as discussed in Note 6, a loss of $17 million related to production show costs, as well as miscellaneous asset disposals and write-downs.</w:t>
      </w:r>
    </w:p>
    <w:p>
      <w:pPr>
        <w:pStyle w:val="BodyText"/>
      </w:pPr>
    </w:p>
    <w:p>
      <w:pPr>
        <w:pStyle w:val="BodyText"/>
        <w:spacing w:before="13"/>
      </w:pPr>
    </w:p>
    <w:p>
      <w:pPr>
        <w:pStyle w:val="Heading4"/>
        <w:spacing w:before="1"/>
      </w:pPr>
      <w:r>
        <w:rPr/>
        <w:t>NOTE</w:t>
      </w:r>
      <w:r>
        <w:rPr>
          <w:spacing w:val="-1"/>
        </w:rPr>
        <w:t> </w:t>
      </w:r>
      <w:r>
        <w:rPr/>
        <w:t>17</w:t>
      </w:r>
      <w:r>
        <w:rPr>
          <w:spacing w:val="-1"/>
        </w:rPr>
        <w:t> </w:t>
      </w:r>
      <w:r>
        <w:rPr/>
        <w:t>—</w:t>
      </w:r>
      <w:r>
        <w:rPr>
          <w:spacing w:val="-1"/>
        </w:rPr>
        <w:t> </w:t>
      </w:r>
      <w:r>
        <w:rPr/>
        <w:t>SEGMENT</w:t>
      </w:r>
      <w:r>
        <w:rPr>
          <w:spacing w:val="-4"/>
        </w:rPr>
        <w:t> </w:t>
      </w:r>
      <w:r>
        <w:rPr>
          <w:spacing w:val="-2"/>
        </w:rPr>
        <w:t>INFORMATION</w:t>
      </w:r>
    </w:p>
    <w:p>
      <w:pPr>
        <w:pStyle w:val="BodyText"/>
        <w:spacing w:before="17"/>
        <w:rPr>
          <w:b/>
        </w:rPr>
      </w:pPr>
    </w:p>
    <w:p>
      <w:pPr>
        <w:pStyle w:val="BodyText"/>
        <w:spacing w:before="1"/>
        <w:ind w:left="144" w:right="118" w:firstLine="499"/>
        <w:jc w:val="both"/>
      </w:pPr>
      <w:r>
        <w:rPr/>
        <w:t>The Company’s management views each of its casino resorts as an operating segment. Operating segments are aggregated based on their </w:t>
      </w:r>
      <w:r>
        <w:rPr/>
        <w:t>similar economic characteristics, types of customers, types of services and products provided, the regulatory environments in which they operate and their</w:t>
      </w:r>
      <w:r>
        <w:rPr>
          <w:spacing w:val="40"/>
        </w:rPr>
        <w:t> </w:t>
      </w:r>
      <w:r>
        <w:rPr/>
        <w:t>management and reporting structure. The Company has aggregated its operating segments into the following reportable segments: Las Vegas Strip Resorts, Regional Operations and MGM China.</w:t>
      </w:r>
    </w:p>
    <w:p>
      <w:pPr>
        <w:pStyle w:val="BodyText"/>
      </w:pPr>
    </w:p>
    <w:p>
      <w:pPr>
        <w:pStyle w:val="BodyText"/>
      </w:pPr>
    </w:p>
    <w:p>
      <w:pPr>
        <w:pStyle w:val="BodyText"/>
        <w:spacing w:before="197"/>
      </w:pPr>
    </w:p>
    <w:p>
      <w:pPr>
        <w:pStyle w:val="BodyText"/>
        <w:spacing w:before="1"/>
        <w:ind w:left="24"/>
        <w:jc w:val="center"/>
      </w:pPr>
      <w:r>
        <w:rPr>
          <w:spacing w:val="-5"/>
        </w:rPr>
        <w:t>95</w:t>
      </w:r>
    </w:p>
    <w:p>
      <w:pPr>
        <w:pStyle w:val="BodyText"/>
        <w:spacing w:before="3"/>
        <w:rPr>
          <w:sz w:val="6"/>
        </w:rPr>
      </w:pPr>
      <w:r>
        <w:rPr/>
        <mc:AlternateContent>
          <mc:Choice Requires="wps">
            <w:drawing>
              <wp:anchor distT="0" distB="0" distL="0" distR="0" allowOverlap="1" layoutInCell="1" locked="0" behindDoc="1" simplePos="0" relativeHeight="487716864">
                <wp:simplePos x="0" y="0"/>
                <wp:positionH relativeFrom="page">
                  <wp:posOffset>231457</wp:posOffset>
                </wp:positionH>
                <wp:positionV relativeFrom="paragraph">
                  <wp:posOffset>61024</wp:posOffset>
                </wp:positionV>
                <wp:extent cx="7312659" cy="17145"/>
                <wp:effectExtent l="0" t="0" r="0" b="0"/>
                <wp:wrapTopAndBottom/>
                <wp:docPr id="644" name="Group 644"/>
                <wp:cNvGraphicFramePr>
                  <a:graphicFrameLocks/>
                </wp:cNvGraphicFramePr>
                <a:graphic>
                  <a:graphicData uri="http://schemas.microsoft.com/office/word/2010/wordprocessingGroup">
                    <wpg:wgp>
                      <wpg:cNvPr id="644" name="Group 644"/>
                      <wpg:cNvGrpSpPr/>
                      <wpg:grpSpPr>
                        <a:xfrm>
                          <a:off x="0" y="0"/>
                          <a:ext cx="7312659" cy="17145"/>
                          <a:chExt cx="7312659" cy="17145"/>
                        </a:xfrm>
                      </wpg:grpSpPr>
                      <wps:wsp>
                        <wps:cNvPr id="645" name="Graphic 64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46" name="Graphic 646"/>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47" name="Graphic 64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5106pt;width:575.8pt;height:1.35pt;mso-position-horizontal-relative:page;mso-position-vertical-relative:paragraph;z-index:-15599616;mso-wrap-distance-left:0;mso-wrap-distance-right:0" id="docshapegroup642" coordorigin="364,96" coordsize="11516,27">
                <v:rect style="position:absolute;left:364;top:96;width:11516;height:14" id="docshape643" filled="true" fillcolor="#999999" stroked="false">
                  <v:fill type="solid"/>
                </v:rect>
                <v:shape style="position:absolute;left:364;top:96;width:11516;height:27" id="docshape644" coordorigin="364,96" coordsize="11516,27" path="m11880,96l11866,110,364,110,364,123,11866,123,11880,123,11880,110,11880,96xe" filled="true" fillcolor="#ededed" stroked="false">
                  <v:path arrowok="t"/>
                  <v:fill type="solid"/>
                </v:shape>
                <v:shape style="position:absolute;left:364;top:96;width:14;height:27" id="docshape645"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BodyText"/>
        <w:spacing w:before="69"/>
        <w:ind w:left="144" w:right="118" w:firstLine="499"/>
        <w:jc w:val="both"/>
      </w:pPr>
      <w:r>
        <w:rPr>
          <w:b/>
        </w:rPr>
        <w:t>Las Vegas Strip Resorts. </w:t>
      </w:r>
      <w:r>
        <w:rPr/>
        <w:t>Las Vegas Strip Resorts consists of the following casino resorts in Las Vegas, Nevada: Aria (including Vdara) (upon </w:t>
      </w:r>
      <w:r>
        <w:rPr/>
        <w:t>its acquisition in September 2021), Bellagio,</w:t>
      </w:r>
      <w:r>
        <w:rPr>
          <w:spacing w:val="-2"/>
        </w:rPr>
        <w:t> </w:t>
      </w:r>
      <w:r>
        <w:rPr/>
        <w:t>The Cosmopolitan (upon its acquisition in May 2022), MGM Grand Las</w:t>
      </w:r>
      <w:r>
        <w:rPr>
          <w:spacing w:val="-2"/>
        </w:rPr>
        <w:t> </w:t>
      </w:r>
      <w:r>
        <w:rPr/>
        <w:t>Vegas (including</w:t>
      </w:r>
      <w:r>
        <w:rPr>
          <w:spacing w:val="-2"/>
        </w:rPr>
        <w:t> </w:t>
      </w:r>
      <w:r>
        <w:rPr/>
        <w:t>The Signature), Mandalay Bay (including Delano and Four Seasons),</w:t>
      </w:r>
      <w:r>
        <w:rPr>
          <w:spacing w:val="-1"/>
        </w:rPr>
        <w:t> </w:t>
      </w:r>
      <w:r>
        <w:rPr/>
        <w:t>The Mirage (until its disposition in December 2022), Luxor, New</w:t>
      </w:r>
      <w:r>
        <w:rPr>
          <w:spacing w:val="-4"/>
        </w:rPr>
        <w:t> </w:t>
      </w:r>
      <w:r>
        <w:rPr/>
        <w:t>York-New</w:t>
      </w:r>
      <w:r>
        <w:rPr>
          <w:spacing w:val="-4"/>
        </w:rPr>
        <w:t> </w:t>
      </w:r>
      <w:r>
        <w:rPr/>
        <w:t>York (including</w:t>
      </w:r>
      <w:r>
        <w:rPr>
          <w:spacing w:val="-1"/>
        </w:rPr>
        <w:t> </w:t>
      </w:r>
      <w:r>
        <w:rPr/>
        <w:t>The Park), Excalibur, and Park MGM (including NoMad Las Vegas).</w:t>
      </w:r>
    </w:p>
    <w:p>
      <w:pPr>
        <w:pStyle w:val="BodyText"/>
        <w:spacing w:before="21"/>
      </w:pPr>
    </w:p>
    <w:p>
      <w:pPr>
        <w:pStyle w:val="BodyText"/>
        <w:spacing w:line="235" w:lineRule="auto" w:before="1"/>
        <w:ind w:left="144" w:right="118" w:firstLine="499"/>
        <w:jc w:val="both"/>
      </w:pPr>
      <w:r>
        <w:rPr>
          <w:b/>
        </w:rPr>
        <w:t>Regional Operations. </w:t>
      </w:r>
      <w:r>
        <w:rPr/>
        <w:t>Regional Operations consists of the following casino resorts: MGM Grand Detroit in Detroit, Michigan; Beau Rivage in Biloxi, Mississippi; Gold Strike Tunica in Tunica, Mississippi; Borgata in Atlantic City, New Jersey; MGM National Harbor in Prince George’s County, </w:t>
      </w:r>
      <w:r>
        <w:rPr/>
        <w:t>Maryland; MGM Springfield in Springfield, Massachusetts; Empire City in</w:t>
      </w:r>
      <w:r>
        <w:rPr>
          <w:spacing w:val="-2"/>
        </w:rPr>
        <w:t> </w:t>
      </w:r>
      <w:r>
        <w:rPr/>
        <w:t>Yonkers, New</w:t>
      </w:r>
      <w:r>
        <w:rPr>
          <w:spacing w:val="-2"/>
        </w:rPr>
        <w:t> </w:t>
      </w:r>
      <w:r>
        <w:rPr/>
        <w:t>York; and MGM Northfield Park in Northfield Park, Ohio.</w:t>
      </w:r>
    </w:p>
    <w:p>
      <w:pPr>
        <w:pStyle w:val="BodyText"/>
        <w:spacing w:before="18"/>
      </w:pPr>
    </w:p>
    <w:p>
      <w:pPr>
        <w:pStyle w:val="BodyText"/>
        <w:ind w:left="644"/>
      </w:pPr>
      <w:r>
        <w:rPr>
          <w:b/>
        </w:rPr>
        <w:t>MGM</w:t>
      </w:r>
      <w:r>
        <w:rPr>
          <w:b/>
          <w:spacing w:val="-1"/>
        </w:rPr>
        <w:t> </w:t>
      </w:r>
      <w:r>
        <w:rPr>
          <w:b/>
        </w:rPr>
        <w:t>China. </w:t>
      </w:r>
      <w:r>
        <w:rPr/>
        <w:t>MGM</w:t>
      </w:r>
      <w:r>
        <w:rPr>
          <w:spacing w:val="-1"/>
        </w:rPr>
        <w:t> </w:t>
      </w:r>
      <w:r>
        <w:rPr/>
        <w:t>China</w:t>
      </w:r>
      <w:r>
        <w:rPr>
          <w:spacing w:val="-1"/>
        </w:rPr>
        <w:t> </w:t>
      </w:r>
      <w:r>
        <w:rPr/>
        <w:t>consists</w:t>
      </w:r>
      <w:r>
        <w:rPr>
          <w:spacing w:val="-1"/>
        </w:rPr>
        <w:t> </w:t>
      </w:r>
      <w:r>
        <w:rPr/>
        <w:t>of</w:t>
      </w:r>
      <w:r>
        <w:rPr>
          <w:spacing w:val="-1"/>
        </w:rPr>
        <w:t> </w:t>
      </w:r>
      <w:r>
        <w:rPr/>
        <w:t>MGM</w:t>
      </w:r>
      <w:r>
        <w:rPr>
          <w:spacing w:val="-1"/>
        </w:rPr>
        <w:t> </w:t>
      </w:r>
      <w:r>
        <w:rPr/>
        <w:t>Macau</w:t>
      </w:r>
      <w:r>
        <w:rPr>
          <w:spacing w:val="-1"/>
        </w:rPr>
        <w:t> </w:t>
      </w:r>
      <w:r>
        <w:rPr/>
        <w:t>and</w:t>
      </w:r>
      <w:r>
        <w:rPr>
          <w:spacing w:val="-1"/>
        </w:rPr>
        <w:t> </w:t>
      </w:r>
      <w:r>
        <w:rPr/>
        <w:t>MGM</w:t>
      </w:r>
      <w:r>
        <w:rPr>
          <w:spacing w:val="-1"/>
        </w:rPr>
        <w:t> </w:t>
      </w:r>
      <w:r>
        <w:rPr>
          <w:spacing w:val="-2"/>
        </w:rPr>
        <w:t>Cotai.</w:t>
      </w:r>
    </w:p>
    <w:p>
      <w:pPr>
        <w:pStyle w:val="BodyText"/>
        <w:spacing w:before="4"/>
      </w:pPr>
    </w:p>
    <w:p>
      <w:pPr>
        <w:pStyle w:val="BodyText"/>
        <w:spacing w:line="242" w:lineRule="auto"/>
        <w:ind w:left="144" w:right="118" w:firstLine="499"/>
        <w:jc w:val="both"/>
      </w:pPr>
      <w:r>
        <w:rPr/>
        <w:t>The Company’s operations related to LeoVegas (upon its acquisition in September 2022), investments in unconsolidated affiliates, and certain </w:t>
      </w:r>
      <w:r>
        <w:rPr/>
        <w:t>other corporate operations and management services have not been identified as separate reportable segments; therefore, these operations are included in “Corporate and other” in the following segment disclosures to reconcile to consolidated results.</w:t>
      </w:r>
    </w:p>
    <w:p>
      <w:pPr>
        <w:pStyle w:val="BodyText"/>
        <w:spacing w:before="170"/>
        <w:ind w:left="144" w:right="118" w:firstLine="499"/>
        <w:jc w:val="both"/>
      </w:pPr>
      <w:r>
        <w:rPr/>
        <w:t>Adjusted Property EBITDAR is the Company’s reportable segment GAAP measure, which management utilizes as the primary profit measure for its reportable segments and underlying operating segments.</w:t>
      </w:r>
      <w:r>
        <w:rPr>
          <w:spacing w:val="-9"/>
        </w:rPr>
        <w:t> </w:t>
      </w:r>
      <w:r>
        <w:rPr/>
        <w:t>Adjusted Property EBITDAR is a measure defined as earnings before interest and other non-</w:t>
      </w:r>
      <w:r>
        <w:rPr/>
        <w:t>operating income (expense), taxes, depreciation and amortization, preopening and start-up expenses, property transactions, net, gain on REIT transactions, net, restructuring costs (which represents costs related to severance, accelerated stock compensation expense, and consulting fees directly related to the operating model component of the MGM 2020 Plan), rent expense related to triple-net operating leases and ground leases, income from unconsolidated affiliates related to investments in real estate ventures, and also excludes gain on consolidation of CityCenter, net, gain related to CityCenter’s sale of Harmon land recorded within income from unconsolidated affiliates, corporate expense (which includes CEO transition expense and October 1 litigation settlement) and stock compensation expense, which are not allocated to each operating segment, and rent expense related to the master lease with MGP that eliminated in </w:t>
      </w:r>
      <w:r>
        <w:rPr>
          <w:spacing w:val="-2"/>
        </w:rPr>
        <w:t>consolidation.</w:t>
      </w:r>
    </w:p>
    <w:p>
      <w:pPr>
        <w:pStyle w:val="BodyText"/>
        <w:spacing w:before="175"/>
        <w:ind w:left="644"/>
      </w:pPr>
      <w:r>
        <w:rPr/>
        <w:t>The</w:t>
      </w:r>
      <w:r>
        <w:rPr>
          <w:spacing w:val="-5"/>
        </w:rPr>
        <w:t> </w:t>
      </w:r>
      <w:r>
        <w:rPr/>
        <w:t>following</w:t>
      </w:r>
      <w:r>
        <w:rPr>
          <w:spacing w:val="-2"/>
        </w:rPr>
        <w:t> </w:t>
      </w:r>
      <w:r>
        <w:rPr/>
        <w:t>tables</w:t>
      </w:r>
      <w:r>
        <w:rPr>
          <w:spacing w:val="-3"/>
        </w:rPr>
        <w:t> </w:t>
      </w:r>
      <w:r>
        <w:rPr/>
        <w:t>present</w:t>
      </w:r>
      <w:r>
        <w:rPr>
          <w:spacing w:val="-2"/>
        </w:rPr>
        <w:t> </w:t>
      </w:r>
      <w:r>
        <w:rPr/>
        <w:t>the</w:t>
      </w:r>
      <w:r>
        <w:rPr>
          <w:spacing w:val="-3"/>
        </w:rPr>
        <w:t> </w:t>
      </w:r>
      <w:r>
        <w:rPr/>
        <w:t>Company’s</w:t>
      </w:r>
      <w:r>
        <w:rPr>
          <w:spacing w:val="-2"/>
        </w:rPr>
        <w:t> </w:t>
      </w:r>
      <w:r>
        <w:rPr/>
        <w:t>segment</w:t>
      </w:r>
      <w:r>
        <w:rPr>
          <w:spacing w:val="-2"/>
        </w:rPr>
        <w:t> information:</w:t>
      </w:r>
    </w:p>
    <w:p>
      <w:pPr>
        <w:pStyle w:val="BodyText"/>
        <w:spacing w:before="32"/>
      </w:pPr>
    </w:p>
    <w:p>
      <w:pPr>
        <w:pStyle w:val="Heading5"/>
        <w:ind w:left="6709"/>
      </w:pPr>
      <w:r>
        <w:rPr/>
        <mc:AlternateContent>
          <mc:Choice Requires="wps">
            <w:drawing>
              <wp:anchor distT="0" distB="0" distL="0" distR="0" allowOverlap="1" layoutInCell="1" locked="0" behindDoc="1" simplePos="0" relativeHeight="487718400">
                <wp:simplePos x="0" y="0"/>
                <wp:positionH relativeFrom="page">
                  <wp:posOffset>4491977</wp:posOffset>
                </wp:positionH>
                <wp:positionV relativeFrom="paragraph">
                  <wp:posOffset>149649</wp:posOffset>
                </wp:positionV>
                <wp:extent cx="3043555" cy="8890"/>
                <wp:effectExtent l="0" t="0" r="0" b="0"/>
                <wp:wrapTopAndBottom/>
                <wp:docPr id="648" name="Graphic 648"/>
                <wp:cNvGraphicFramePr>
                  <a:graphicFrameLocks/>
                </wp:cNvGraphicFramePr>
                <a:graphic>
                  <a:graphicData uri="http://schemas.microsoft.com/office/word/2010/wordprocessingShape">
                    <wps:wsp>
                      <wps:cNvPr id="648" name="Graphic 648"/>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699005pt;margin-top:11.783425pt;width:239.625011pt;height:.675pt;mso-position-horizontal-relative:page;mso-position-vertical-relative:paragraph;z-index:-15598080;mso-wrap-distance-left:0;mso-wrap-distance-right:0" id="docshape646"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47" w:val="left" w:leader="none"/>
          <w:tab w:pos="9984" w:val="left" w:leader="none"/>
        </w:tabs>
        <w:spacing w:before="21" w:after="42"/>
        <w:ind w:left="6710"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54"/>
        <w:rPr>
          <w:sz w:val="2"/>
        </w:rPr>
      </w:pPr>
      <w:r>
        <w:rPr>
          <w:sz w:val="2"/>
        </w:rPr>
        <mc:AlternateContent>
          <mc:Choice Requires="wps">
            <w:drawing>
              <wp:inline distT="0" distB="0" distL="0" distR="0">
                <wp:extent cx="3043555" cy="8890"/>
                <wp:effectExtent l="0" t="0" r="0" b="0"/>
                <wp:docPr id="649" name="Group 649"/>
                <wp:cNvGraphicFramePr>
                  <a:graphicFrameLocks/>
                </wp:cNvGraphicFramePr>
                <a:graphic>
                  <a:graphicData uri="http://schemas.microsoft.com/office/word/2010/wordprocessingGroup">
                    <wpg:wgp>
                      <wpg:cNvPr id="649" name="Group 649"/>
                      <wpg:cNvGrpSpPr/>
                      <wpg:grpSpPr>
                        <a:xfrm>
                          <a:off x="0" y="0"/>
                          <a:ext cx="3043555" cy="8890"/>
                          <a:chExt cx="3043555" cy="8890"/>
                        </a:xfrm>
                      </wpg:grpSpPr>
                      <wps:wsp>
                        <wps:cNvPr id="650" name="Graphic 650"/>
                        <wps:cNvSpPr/>
                        <wps:spPr>
                          <a:xfrm>
                            <a:off x="-12" y="-11"/>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647" coordorigin="0,0" coordsize="4793,14">
                <v:rect style="position:absolute;left:-1;top:-1;width:4793;height:14" id="docshape648" filled="true" fillcolor="#000000" stroked="false">
                  <v:fill type="solid"/>
                </v:rect>
              </v:group>
            </w:pict>
          </mc:Fallback>
        </mc:AlternateContent>
      </w:r>
      <w:r>
        <w:rPr>
          <w:sz w:val="2"/>
        </w:rPr>
      </w:r>
    </w:p>
    <w:p>
      <w:pPr>
        <w:spacing w:before="24"/>
        <w:ind w:left="6709" w:right="0" w:firstLine="0"/>
        <w:jc w:val="center"/>
        <w:rPr>
          <w:b/>
          <w:i/>
          <w:sz w:val="14"/>
        </w:rPr>
      </w:pPr>
      <w:r>
        <w:rPr/>
        <mc:AlternateContent>
          <mc:Choice Requires="wps">
            <w:drawing>
              <wp:anchor distT="0" distB="0" distL="0" distR="0" allowOverlap="1" layoutInCell="1" locked="0" behindDoc="1" simplePos="0" relativeHeight="487719424">
                <wp:simplePos x="0" y="0"/>
                <wp:positionH relativeFrom="page">
                  <wp:posOffset>231457</wp:posOffset>
                </wp:positionH>
                <wp:positionV relativeFrom="paragraph">
                  <wp:posOffset>150177</wp:posOffset>
                </wp:positionV>
                <wp:extent cx="7312659" cy="163195"/>
                <wp:effectExtent l="0" t="0" r="0" b="0"/>
                <wp:wrapTopAndBottom/>
                <wp:docPr id="651" name="Textbox 651"/>
                <wp:cNvGraphicFramePr>
                  <a:graphicFrameLocks/>
                </wp:cNvGraphicFramePr>
                <a:graphic>
                  <a:graphicData uri="http://schemas.microsoft.com/office/word/2010/wordprocessingShape">
                    <wps:wsp>
                      <wps:cNvPr id="651" name="Textbox 651"/>
                      <wps:cNvSpPr txBox="1"/>
                      <wps:spPr>
                        <a:xfrm>
                          <a:off x="0" y="0"/>
                          <a:ext cx="7312659" cy="163195"/>
                        </a:xfrm>
                        <a:prstGeom prst="rect">
                          <a:avLst/>
                        </a:prstGeom>
                        <a:solidFill>
                          <a:srgbClr val="CCEDFF"/>
                        </a:solidFill>
                      </wps:spPr>
                      <wps:txbx>
                        <w:txbxContent>
                          <w:p>
                            <w:pPr>
                              <w:spacing w:before="21"/>
                              <w:ind w:left="17" w:right="0" w:firstLine="0"/>
                              <w:jc w:val="left"/>
                              <w:rPr>
                                <w:b/>
                                <w:color w:val="000000"/>
                                <w:sz w:val="18"/>
                              </w:rPr>
                            </w:pPr>
                            <w:r>
                              <w:rPr>
                                <w:b/>
                                <w:color w:val="000000"/>
                                <w:sz w:val="18"/>
                              </w:rPr>
                              <w:t>Net</w:t>
                            </w:r>
                            <w:r>
                              <w:rPr>
                                <w:b/>
                                <w:color w:val="000000"/>
                                <w:spacing w:val="-1"/>
                                <w:sz w:val="18"/>
                              </w:rPr>
                              <w:t> </w:t>
                            </w:r>
                            <w:r>
                              <w:rPr>
                                <w:b/>
                                <w:color w:val="000000"/>
                                <w:spacing w:val="-2"/>
                                <w:sz w:val="18"/>
                              </w:rPr>
                              <w:t>revenue</w:t>
                            </w:r>
                          </w:p>
                        </w:txbxContent>
                      </wps:txbx>
                      <wps:bodyPr wrap="square" lIns="0" tIns="0" rIns="0" bIns="0" rtlCol="0">
                        <a:noAutofit/>
                      </wps:bodyPr>
                    </wps:wsp>
                  </a:graphicData>
                </a:graphic>
              </wp:anchor>
            </w:drawing>
          </mc:Choice>
          <mc:Fallback>
            <w:pict>
              <v:shape style="position:absolute;margin-left:18.224997pt;margin-top:11.824999pt;width:575.8pt;height:12.85pt;mso-position-horizontal-relative:page;mso-position-vertical-relative:paragraph;z-index:-15597056;mso-wrap-distance-left:0;mso-wrap-distance-right:0" type="#_x0000_t202" id="docshape649" filled="true" fillcolor="#ccedff" stroked="false">
                <v:textbox inset="0,0,0,0">
                  <w:txbxContent>
                    <w:p>
                      <w:pPr>
                        <w:spacing w:before="21"/>
                        <w:ind w:left="17" w:right="0" w:firstLine="0"/>
                        <w:jc w:val="left"/>
                        <w:rPr>
                          <w:b/>
                          <w:color w:val="000000"/>
                          <w:sz w:val="18"/>
                        </w:rPr>
                      </w:pPr>
                      <w:r>
                        <w:rPr>
                          <w:b/>
                          <w:color w:val="000000"/>
                          <w:sz w:val="18"/>
                        </w:rPr>
                        <w:t>Net</w:t>
                      </w:r>
                      <w:r>
                        <w:rPr>
                          <w:b/>
                          <w:color w:val="000000"/>
                          <w:spacing w:val="-1"/>
                          <w:sz w:val="18"/>
                        </w:rPr>
                        <w:t> </w:t>
                      </w:r>
                      <w:r>
                        <w:rPr>
                          <w:b/>
                          <w:color w:val="000000"/>
                          <w:spacing w:val="-2"/>
                          <w:sz w:val="18"/>
                        </w:rPr>
                        <w:t>revenue</w:t>
                      </w:r>
                    </w:p>
                  </w:txbxContent>
                </v:textbox>
                <v:fill type="solid"/>
                <w10:wrap type="topAndBottom"/>
              </v:shape>
            </w:pict>
          </mc:Fallback>
        </mc:AlternateContent>
      </w:r>
      <w:r>
        <w:rPr>
          <w:b/>
          <w:i/>
          <w:sz w:val="14"/>
        </w:rPr>
        <w:t>(In</w:t>
      </w:r>
      <w:r>
        <w:rPr>
          <w:b/>
          <w:i/>
          <w:spacing w:val="3"/>
          <w:sz w:val="14"/>
        </w:rPr>
        <w:t> </w:t>
      </w:r>
      <w:r>
        <w:rPr>
          <w:b/>
          <w:i/>
          <w:spacing w:val="-2"/>
          <w:sz w:val="14"/>
        </w:rPr>
        <w:t>thousands)</w:t>
      </w:r>
    </w:p>
    <w:p>
      <w:pPr>
        <w:pStyle w:val="BodyText"/>
        <w:spacing w:before="21" w:after="42"/>
        <w:ind w:left="361"/>
      </w:pPr>
      <w:r>
        <w:rPr/>
        <w:t>Las</w:t>
      </w:r>
      <w:r>
        <w:rPr>
          <w:spacing w:val="-11"/>
        </w:rPr>
        <w:t> </w:t>
      </w:r>
      <w:r>
        <w:rPr/>
        <w:t>Vegas</w:t>
      </w:r>
      <w:r>
        <w:rPr>
          <w:spacing w:val="-8"/>
        </w:rPr>
        <w:t> </w:t>
      </w:r>
      <w:r>
        <w:rPr/>
        <w:t>Strip</w:t>
      </w:r>
      <w:r>
        <w:rPr>
          <w:spacing w:val="-7"/>
        </w:rPr>
        <w:t> </w:t>
      </w:r>
      <w:r>
        <w:rPr>
          <w:spacing w:val="-2"/>
        </w:rPr>
        <w:t>Resorts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2"/>
        <w:gridCol w:w="2763"/>
        <w:gridCol w:w="1636"/>
        <w:gridCol w:w="1623"/>
      </w:tblGrid>
      <w:tr>
        <w:trPr>
          <w:trHeight w:val="256" w:hRule="atLeast"/>
        </w:trPr>
        <w:tc>
          <w:tcPr>
            <w:tcW w:w="5492" w:type="dxa"/>
            <w:shd w:val="clear" w:color="auto" w:fill="CCEDFF"/>
          </w:tcPr>
          <w:p>
            <w:pPr>
              <w:pStyle w:val="TableParagraph"/>
              <w:ind w:left="462"/>
              <w:rPr>
                <w:sz w:val="18"/>
              </w:rPr>
            </w:pPr>
            <w:r>
              <w:rPr>
                <w:spacing w:val="-2"/>
                <w:sz w:val="18"/>
              </w:rPr>
              <w:t>Casino</w:t>
            </w:r>
          </w:p>
        </w:tc>
        <w:tc>
          <w:tcPr>
            <w:tcW w:w="2763" w:type="dxa"/>
            <w:shd w:val="clear" w:color="auto" w:fill="CCEDFF"/>
          </w:tcPr>
          <w:p>
            <w:pPr>
              <w:pStyle w:val="TableParagraph"/>
              <w:tabs>
                <w:tab w:pos="711" w:val="left" w:leader="none"/>
              </w:tabs>
              <w:ind w:right="101"/>
              <w:jc w:val="right"/>
              <w:rPr>
                <w:sz w:val="18"/>
              </w:rPr>
            </w:pPr>
            <w:r>
              <w:rPr>
                <w:spacing w:val="-10"/>
                <w:sz w:val="18"/>
              </w:rPr>
              <w:t>$</w:t>
            </w:r>
            <w:r>
              <w:rPr>
                <w:sz w:val="18"/>
              </w:rPr>
              <w:tab/>
            </w:r>
            <w:r>
              <w:rPr>
                <w:spacing w:val="-2"/>
                <w:sz w:val="18"/>
              </w:rPr>
              <w:t>2,104,096</w:t>
            </w:r>
          </w:p>
        </w:tc>
        <w:tc>
          <w:tcPr>
            <w:tcW w:w="1636" w:type="dxa"/>
            <w:shd w:val="clear" w:color="auto" w:fill="CCEDFF"/>
          </w:tcPr>
          <w:p>
            <w:pPr>
              <w:pStyle w:val="TableParagraph"/>
              <w:tabs>
                <w:tab w:pos="709" w:val="left" w:leader="none"/>
              </w:tabs>
              <w:ind w:right="100"/>
              <w:jc w:val="right"/>
              <w:rPr>
                <w:sz w:val="18"/>
              </w:rPr>
            </w:pPr>
            <w:r>
              <w:rPr>
                <w:spacing w:val="-10"/>
                <w:sz w:val="18"/>
              </w:rPr>
              <w:t>$</w:t>
            </w:r>
            <w:r>
              <w:rPr>
                <w:sz w:val="18"/>
              </w:rPr>
              <w:tab/>
            </w:r>
            <w:r>
              <w:rPr>
                <w:spacing w:val="-2"/>
                <w:sz w:val="18"/>
              </w:rPr>
              <w:t>1,549,419</w:t>
            </w:r>
          </w:p>
        </w:tc>
        <w:tc>
          <w:tcPr>
            <w:tcW w:w="1623" w:type="dxa"/>
            <w:shd w:val="clear" w:color="auto" w:fill="CCEDFF"/>
          </w:tcPr>
          <w:p>
            <w:pPr>
              <w:pStyle w:val="TableParagraph"/>
              <w:tabs>
                <w:tab w:pos="844" w:val="left" w:leader="none"/>
              </w:tabs>
              <w:ind w:right="87"/>
              <w:jc w:val="right"/>
              <w:rPr>
                <w:sz w:val="18"/>
              </w:rPr>
            </w:pPr>
            <w:r>
              <w:rPr>
                <w:spacing w:val="-10"/>
                <w:sz w:val="18"/>
              </w:rPr>
              <w:t>$</w:t>
            </w:r>
            <w:r>
              <w:rPr>
                <w:sz w:val="18"/>
              </w:rPr>
              <w:tab/>
            </w:r>
            <w:r>
              <w:rPr>
                <w:spacing w:val="-2"/>
                <w:sz w:val="18"/>
              </w:rPr>
              <w:t>728,254</w:t>
            </w:r>
          </w:p>
        </w:tc>
      </w:tr>
      <w:tr>
        <w:trPr>
          <w:trHeight w:val="256" w:hRule="atLeast"/>
        </w:trPr>
        <w:tc>
          <w:tcPr>
            <w:tcW w:w="5492" w:type="dxa"/>
          </w:tcPr>
          <w:p>
            <w:pPr>
              <w:pStyle w:val="TableParagraph"/>
              <w:ind w:left="462"/>
              <w:rPr>
                <w:sz w:val="18"/>
              </w:rPr>
            </w:pPr>
            <w:r>
              <w:rPr>
                <w:spacing w:val="-2"/>
                <w:sz w:val="18"/>
              </w:rPr>
              <w:t>Rooms</w:t>
            </w:r>
          </w:p>
        </w:tc>
        <w:tc>
          <w:tcPr>
            <w:tcW w:w="2763" w:type="dxa"/>
          </w:tcPr>
          <w:p>
            <w:pPr>
              <w:pStyle w:val="TableParagraph"/>
              <w:ind w:right="101"/>
              <w:jc w:val="right"/>
              <w:rPr>
                <w:sz w:val="18"/>
              </w:rPr>
            </w:pPr>
            <w:r>
              <w:rPr>
                <w:spacing w:val="-2"/>
                <w:sz w:val="18"/>
              </w:rPr>
              <w:t>2,729,715</w:t>
            </w:r>
          </w:p>
        </w:tc>
        <w:tc>
          <w:tcPr>
            <w:tcW w:w="1636" w:type="dxa"/>
          </w:tcPr>
          <w:p>
            <w:pPr>
              <w:pStyle w:val="TableParagraph"/>
              <w:ind w:right="100"/>
              <w:jc w:val="right"/>
              <w:rPr>
                <w:sz w:val="18"/>
              </w:rPr>
            </w:pPr>
            <w:r>
              <w:rPr>
                <w:spacing w:val="-2"/>
                <w:sz w:val="18"/>
              </w:rPr>
              <w:t>1,402,712</w:t>
            </w:r>
          </w:p>
        </w:tc>
        <w:tc>
          <w:tcPr>
            <w:tcW w:w="1623" w:type="dxa"/>
          </w:tcPr>
          <w:p>
            <w:pPr>
              <w:pStyle w:val="TableParagraph"/>
              <w:ind w:right="87"/>
              <w:jc w:val="right"/>
              <w:rPr>
                <w:sz w:val="18"/>
              </w:rPr>
            </w:pPr>
            <w:r>
              <w:rPr>
                <w:spacing w:val="-2"/>
                <w:sz w:val="18"/>
              </w:rPr>
              <w:t>662,813</w:t>
            </w:r>
          </w:p>
        </w:tc>
      </w:tr>
      <w:tr>
        <w:trPr>
          <w:trHeight w:val="256" w:hRule="atLeast"/>
        </w:trPr>
        <w:tc>
          <w:tcPr>
            <w:tcW w:w="5492" w:type="dxa"/>
            <w:shd w:val="clear" w:color="auto" w:fill="CCEDFF"/>
          </w:tcPr>
          <w:p>
            <w:pPr>
              <w:pStyle w:val="TableParagraph"/>
              <w:ind w:left="462"/>
              <w:rPr>
                <w:sz w:val="18"/>
              </w:rPr>
            </w:pPr>
            <w:r>
              <w:rPr>
                <w:sz w:val="18"/>
              </w:rPr>
              <w:t>Food</w:t>
            </w:r>
            <w:r>
              <w:rPr>
                <w:spacing w:val="-1"/>
                <w:sz w:val="18"/>
              </w:rPr>
              <w:t> </w:t>
            </w:r>
            <w:r>
              <w:rPr>
                <w:sz w:val="18"/>
              </w:rPr>
              <w:t>and</w:t>
            </w:r>
            <w:r>
              <w:rPr>
                <w:spacing w:val="-1"/>
                <w:sz w:val="18"/>
              </w:rPr>
              <w:t> </w:t>
            </w:r>
            <w:r>
              <w:rPr>
                <w:spacing w:val="-2"/>
                <w:sz w:val="18"/>
              </w:rPr>
              <w:t>beverage</w:t>
            </w:r>
          </w:p>
        </w:tc>
        <w:tc>
          <w:tcPr>
            <w:tcW w:w="2763" w:type="dxa"/>
            <w:shd w:val="clear" w:color="auto" w:fill="CCEDFF"/>
          </w:tcPr>
          <w:p>
            <w:pPr>
              <w:pStyle w:val="TableParagraph"/>
              <w:ind w:right="101"/>
              <w:jc w:val="right"/>
              <w:rPr>
                <w:sz w:val="18"/>
              </w:rPr>
            </w:pPr>
            <w:r>
              <w:rPr>
                <w:spacing w:val="-2"/>
                <w:sz w:val="18"/>
              </w:rPr>
              <w:t>2,125,738</w:t>
            </w:r>
          </w:p>
        </w:tc>
        <w:tc>
          <w:tcPr>
            <w:tcW w:w="1636" w:type="dxa"/>
            <w:shd w:val="clear" w:color="auto" w:fill="CCEDFF"/>
          </w:tcPr>
          <w:p>
            <w:pPr>
              <w:pStyle w:val="TableParagraph"/>
              <w:ind w:right="100"/>
              <w:jc w:val="right"/>
              <w:rPr>
                <w:sz w:val="18"/>
              </w:rPr>
            </w:pPr>
            <w:r>
              <w:rPr>
                <w:spacing w:val="-2"/>
                <w:sz w:val="18"/>
              </w:rPr>
              <w:t>1,015,366</w:t>
            </w:r>
          </w:p>
        </w:tc>
        <w:tc>
          <w:tcPr>
            <w:tcW w:w="1623" w:type="dxa"/>
            <w:shd w:val="clear" w:color="auto" w:fill="CCEDFF"/>
          </w:tcPr>
          <w:p>
            <w:pPr>
              <w:pStyle w:val="TableParagraph"/>
              <w:ind w:right="87"/>
              <w:jc w:val="right"/>
              <w:rPr>
                <w:sz w:val="18"/>
              </w:rPr>
            </w:pPr>
            <w:r>
              <w:rPr>
                <w:spacing w:val="-2"/>
                <w:sz w:val="18"/>
              </w:rPr>
              <w:t>471,529</w:t>
            </w:r>
          </w:p>
        </w:tc>
      </w:tr>
      <w:tr>
        <w:trPr>
          <w:trHeight w:val="255" w:hRule="atLeast"/>
        </w:trPr>
        <w:tc>
          <w:tcPr>
            <w:tcW w:w="5492" w:type="dxa"/>
          </w:tcPr>
          <w:p>
            <w:pPr>
              <w:pStyle w:val="TableParagraph"/>
              <w:ind w:left="462"/>
              <w:rPr>
                <w:sz w:val="18"/>
              </w:rPr>
            </w:pPr>
            <w:r>
              <w:rPr>
                <w:sz w:val="18"/>
              </w:rPr>
              <w:t>Entertainment,</w:t>
            </w:r>
            <w:r>
              <w:rPr>
                <w:spacing w:val="-1"/>
                <w:sz w:val="18"/>
              </w:rPr>
              <w:t> </w:t>
            </w:r>
            <w:r>
              <w:rPr>
                <w:sz w:val="18"/>
              </w:rPr>
              <w:t>retail</w:t>
            </w:r>
            <w:r>
              <w:rPr>
                <w:spacing w:val="-1"/>
                <w:sz w:val="18"/>
              </w:rPr>
              <w:t> </w:t>
            </w:r>
            <w:r>
              <w:rPr>
                <w:sz w:val="18"/>
              </w:rPr>
              <w:t>and</w:t>
            </w:r>
            <w:r>
              <w:rPr>
                <w:spacing w:val="-1"/>
                <w:sz w:val="18"/>
              </w:rPr>
              <w:t> </w:t>
            </w:r>
            <w:r>
              <w:rPr>
                <w:spacing w:val="-2"/>
                <w:sz w:val="18"/>
              </w:rPr>
              <w:t>other</w:t>
            </w:r>
          </w:p>
        </w:tc>
        <w:tc>
          <w:tcPr>
            <w:tcW w:w="2763" w:type="dxa"/>
            <w:tcBorders>
              <w:bottom w:val="single" w:sz="6" w:space="0" w:color="000000"/>
            </w:tcBorders>
          </w:tcPr>
          <w:p>
            <w:pPr>
              <w:pStyle w:val="TableParagraph"/>
              <w:ind w:right="101"/>
              <w:jc w:val="right"/>
              <w:rPr>
                <w:sz w:val="18"/>
              </w:rPr>
            </w:pPr>
            <w:r>
              <w:rPr>
                <w:spacing w:val="-2"/>
                <w:sz w:val="18"/>
              </w:rPr>
              <w:t>1,438,823</w:t>
            </w:r>
          </w:p>
        </w:tc>
        <w:tc>
          <w:tcPr>
            <w:tcW w:w="1636" w:type="dxa"/>
            <w:tcBorders>
              <w:bottom w:val="single" w:sz="6" w:space="0" w:color="000000"/>
            </w:tcBorders>
          </w:tcPr>
          <w:p>
            <w:pPr>
              <w:pStyle w:val="TableParagraph"/>
              <w:ind w:right="100"/>
              <w:jc w:val="right"/>
              <w:rPr>
                <w:sz w:val="18"/>
              </w:rPr>
            </w:pPr>
            <w:r>
              <w:rPr>
                <w:spacing w:val="-2"/>
                <w:sz w:val="18"/>
              </w:rPr>
              <w:t>769,688</w:t>
            </w:r>
          </w:p>
        </w:tc>
        <w:tc>
          <w:tcPr>
            <w:tcW w:w="1623" w:type="dxa"/>
            <w:tcBorders>
              <w:bottom w:val="single" w:sz="6" w:space="0" w:color="000000"/>
            </w:tcBorders>
          </w:tcPr>
          <w:p>
            <w:pPr>
              <w:pStyle w:val="TableParagraph"/>
              <w:ind w:right="87"/>
              <w:jc w:val="right"/>
              <w:rPr>
                <w:sz w:val="18"/>
              </w:rPr>
            </w:pPr>
            <w:r>
              <w:rPr>
                <w:spacing w:val="-2"/>
                <w:sz w:val="18"/>
              </w:rPr>
              <w:t>383,189</w:t>
            </w:r>
          </w:p>
        </w:tc>
      </w:tr>
      <w:tr>
        <w:trPr>
          <w:trHeight w:val="268" w:hRule="atLeast"/>
        </w:trPr>
        <w:tc>
          <w:tcPr>
            <w:tcW w:w="5492" w:type="dxa"/>
            <w:shd w:val="clear" w:color="auto" w:fill="CCEDFF"/>
          </w:tcPr>
          <w:p>
            <w:pPr>
              <w:pStyle w:val="TableParagraph"/>
              <w:spacing w:before="0"/>
              <w:rPr>
                <w:sz w:val="16"/>
              </w:rPr>
            </w:pPr>
          </w:p>
        </w:tc>
        <w:tc>
          <w:tcPr>
            <w:tcW w:w="2763" w:type="dxa"/>
            <w:tcBorders>
              <w:top w:val="single" w:sz="6" w:space="0" w:color="000000"/>
              <w:bottom w:val="single" w:sz="6" w:space="0" w:color="000000"/>
            </w:tcBorders>
            <w:shd w:val="clear" w:color="auto" w:fill="CCEDFF"/>
          </w:tcPr>
          <w:p>
            <w:pPr>
              <w:pStyle w:val="TableParagraph"/>
              <w:spacing w:before="20"/>
              <w:ind w:right="101"/>
              <w:jc w:val="right"/>
              <w:rPr>
                <w:sz w:val="18"/>
              </w:rPr>
            </w:pPr>
            <w:r>
              <w:rPr>
                <w:spacing w:val="-2"/>
                <w:sz w:val="18"/>
              </w:rPr>
              <w:t>8,398,372</w:t>
            </w:r>
          </w:p>
        </w:tc>
        <w:tc>
          <w:tcPr>
            <w:tcW w:w="1636" w:type="dxa"/>
            <w:tcBorders>
              <w:top w:val="single" w:sz="6" w:space="0" w:color="000000"/>
              <w:bottom w:val="single" w:sz="6" w:space="0" w:color="000000"/>
            </w:tcBorders>
            <w:shd w:val="clear" w:color="auto" w:fill="CCEDFF"/>
          </w:tcPr>
          <w:p>
            <w:pPr>
              <w:pStyle w:val="TableParagraph"/>
              <w:spacing w:before="20"/>
              <w:ind w:right="100"/>
              <w:jc w:val="right"/>
              <w:rPr>
                <w:sz w:val="18"/>
              </w:rPr>
            </w:pPr>
            <w:r>
              <w:rPr>
                <w:spacing w:val="-2"/>
                <w:sz w:val="18"/>
              </w:rPr>
              <w:t>4,737,185</w:t>
            </w:r>
          </w:p>
        </w:tc>
        <w:tc>
          <w:tcPr>
            <w:tcW w:w="1623" w:type="dxa"/>
            <w:tcBorders>
              <w:top w:val="single" w:sz="6" w:space="0" w:color="000000"/>
              <w:bottom w:val="single" w:sz="6" w:space="0" w:color="000000"/>
            </w:tcBorders>
            <w:shd w:val="clear" w:color="auto" w:fill="CCEDFF"/>
          </w:tcPr>
          <w:p>
            <w:pPr>
              <w:pStyle w:val="TableParagraph"/>
              <w:spacing w:before="20"/>
              <w:ind w:right="87"/>
              <w:jc w:val="right"/>
              <w:rPr>
                <w:sz w:val="18"/>
              </w:rPr>
            </w:pPr>
            <w:r>
              <w:rPr>
                <w:spacing w:val="-2"/>
                <w:sz w:val="18"/>
              </w:rPr>
              <w:t>2,245,785</w:t>
            </w:r>
          </w:p>
        </w:tc>
      </w:tr>
      <w:tr>
        <w:trPr>
          <w:trHeight w:val="242" w:hRule="atLeast"/>
        </w:trPr>
        <w:tc>
          <w:tcPr>
            <w:tcW w:w="5492" w:type="dxa"/>
          </w:tcPr>
          <w:p>
            <w:pPr>
              <w:pStyle w:val="TableParagraph"/>
              <w:spacing w:before="6"/>
              <w:ind w:left="217"/>
              <w:rPr>
                <w:sz w:val="18"/>
              </w:rPr>
            </w:pPr>
            <w:r>
              <w:rPr>
                <w:sz w:val="18"/>
              </w:rPr>
              <w:t>Regional</w:t>
            </w:r>
            <w:r>
              <w:rPr>
                <w:spacing w:val="-1"/>
                <w:sz w:val="18"/>
              </w:rPr>
              <w:t> </w:t>
            </w:r>
            <w:r>
              <w:rPr>
                <w:spacing w:val="-2"/>
                <w:sz w:val="18"/>
              </w:rPr>
              <w:t>Operations</w:t>
            </w:r>
          </w:p>
        </w:tc>
        <w:tc>
          <w:tcPr>
            <w:tcW w:w="2763" w:type="dxa"/>
            <w:tcBorders>
              <w:top w:val="single" w:sz="6" w:space="0" w:color="000000"/>
            </w:tcBorders>
          </w:tcPr>
          <w:p>
            <w:pPr>
              <w:pStyle w:val="TableParagraph"/>
              <w:spacing w:before="0"/>
              <w:rPr>
                <w:sz w:val="16"/>
              </w:rPr>
            </w:pPr>
          </w:p>
        </w:tc>
        <w:tc>
          <w:tcPr>
            <w:tcW w:w="1636" w:type="dxa"/>
            <w:tcBorders>
              <w:top w:val="single" w:sz="6" w:space="0" w:color="000000"/>
            </w:tcBorders>
          </w:tcPr>
          <w:p>
            <w:pPr>
              <w:pStyle w:val="TableParagraph"/>
              <w:spacing w:before="0"/>
              <w:rPr>
                <w:sz w:val="16"/>
              </w:rPr>
            </w:pPr>
          </w:p>
        </w:tc>
        <w:tc>
          <w:tcPr>
            <w:tcW w:w="1623" w:type="dxa"/>
            <w:tcBorders>
              <w:top w:val="single" w:sz="6" w:space="0" w:color="000000"/>
            </w:tcBorders>
          </w:tcPr>
          <w:p>
            <w:pPr>
              <w:pStyle w:val="TableParagraph"/>
              <w:spacing w:before="0"/>
              <w:rPr>
                <w:sz w:val="16"/>
              </w:rPr>
            </w:pPr>
          </w:p>
        </w:tc>
      </w:tr>
      <w:tr>
        <w:trPr>
          <w:trHeight w:val="256" w:hRule="atLeast"/>
        </w:trPr>
        <w:tc>
          <w:tcPr>
            <w:tcW w:w="5492" w:type="dxa"/>
            <w:shd w:val="clear" w:color="auto" w:fill="CCEDFF"/>
          </w:tcPr>
          <w:p>
            <w:pPr>
              <w:pStyle w:val="TableParagraph"/>
              <w:ind w:left="462"/>
              <w:rPr>
                <w:sz w:val="18"/>
              </w:rPr>
            </w:pPr>
            <w:r>
              <w:rPr>
                <w:spacing w:val="-2"/>
                <w:sz w:val="18"/>
              </w:rPr>
              <w:t>Casino</w:t>
            </w:r>
          </w:p>
        </w:tc>
        <w:tc>
          <w:tcPr>
            <w:tcW w:w="2763" w:type="dxa"/>
            <w:shd w:val="clear" w:color="auto" w:fill="CCEDFF"/>
          </w:tcPr>
          <w:p>
            <w:pPr>
              <w:pStyle w:val="TableParagraph"/>
              <w:ind w:right="101"/>
              <w:jc w:val="right"/>
              <w:rPr>
                <w:sz w:val="18"/>
              </w:rPr>
            </w:pPr>
            <w:r>
              <w:rPr>
                <w:spacing w:val="-2"/>
                <w:sz w:val="18"/>
              </w:rPr>
              <w:t>2,901,072</w:t>
            </w:r>
          </w:p>
        </w:tc>
        <w:tc>
          <w:tcPr>
            <w:tcW w:w="1636" w:type="dxa"/>
            <w:shd w:val="clear" w:color="auto" w:fill="CCEDFF"/>
          </w:tcPr>
          <w:p>
            <w:pPr>
              <w:pStyle w:val="TableParagraph"/>
              <w:ind w:right="100"/>
              <w:jc w:val="right"/>
              <w:rPr>
                <w:sz w:val="18"/>
              </w:rPr>
            </w:pPr>
            <w:r>
              <w:rPr>
                <w:spacing w:val="-2"/>
                <w:sz w:val="18"/>
              </w:rPr>
              <w:t>2,721,515</w:t>
            </w:r>
          </w:p>
        </w:tc>
        <w:tc>
          <w:tcPr>
            <w:tcW w:w="1623" w:type="dxa"/>
            <w:shd w:val="clear" w:color="auto" w:fill="CCEDFF"/>
          </w:tcPr>
          <w:p>
            <w:pPr>
              <w:pStyle w:val="TableParagraph"/>
              <w:ind w:right="87"/>
              <w:jc w:val="right"/>
              <w:rPr>
                <w:sz w:val="18"/>
              </w:rPr>
            </w:pPr>
            <w:r>
              <w:rPr>
                <w:spacing w:val="-2"/>
                <w:sz w:val="18"/>
              </w:rPr>
              <w:t>1,569,193</w:t>
            </w:r>
          </w:p>
        </w:tc>
      </w:tr>
      <w:tr>
        <w:trPr>
          <w:trHeight w:val="269" w:hRule="atLeast"/>
        </w:trPr>
        <w:tc>
          <w:tcPr>
            <w:tcW w:w="5492" w:type="dxa"/>
          </w:tcPr>
          <w:p>
            <w:pPr>
              <w:pStyle w:val="TableParagraph"/>
              <w:ind w:left="462"/>
              <w:rPr>
                <w:sz w:val="18"/>
              </w:rPr>
            </w:pPr>
            <w:r>
              <w:rPr>
                <w:spacing w:val="-2"/>
                <w:sz w:val="18"/>
              </w:rPr>
              <w:t>Rooms</w:t>
            </w:r>
          </w:p>
        </w:tc>
        <w:tc>
          <w:tcPr>
            <w:tcW w:w="2763" w:type="dxa"/>
          </w:tcPr>
          <w:p>
            <w:pPr>
              <w:pStyle w:val="TableParagraph"/>
              <w:ind w:right="100"/>
              <w:jc w:val="right"/>
              <w:rPr>
                <w:sz w:val="18"/>
              </w:rPr>
            </w:pPr>
            <w:r>
              <w:rPr>
                <w:spacing w:val="-2"/>
                <w:sz w:val="18"/>
              </w:rPr>
              <w:t>284,213</w:t>
            </w:r>
          </w:p>
        </w:tc>
        <w:tc>
          <w:tcPr>
            <w:tcW w:w="1636" w:type="dxa"/>
          </w:tcPr>
          <w:p>
            <w:pPr>
              <w:pStyle w:val="TableParagraph"/>
              <w:ind w:right="100"/>
              <w:jc w:val="right"/>
              <w:rPr>
                <w:sz w:val="18"/>
              </w:rPr>
            </w:pPr>
            <w:r>
              <w:rPr>
                <w:spacing w:val="-2"/>
                <w:sz w:val="18"/>
              </w:rPr>
              <w:t>220,828</w:t>
            </w:r>
          </w:p>
        </w:tc>
        <w:tc>
          <w:tcPr>
            <w:tcW w:w="1623" w:type="dxa"/>
          </w:tcPr>
          <w:p>
            <w:pPr>
              <w:pStyle w:val="TableParagraph"/>
              <w:ind w:right="87"/>
              <w:jc w:val="right"/>
              <w:rPr>
                <w:sz w:val="18"/>
              </w:rPr>
            </w:pPr>
            <w:r>
              <w:rPr>
                <w:spacing w:val="-2"/>
                <w:sz w:val="18"/>
              </w:rPr>
              <w:t>130,945</w:t>
            </w:r>
          </w:p>
        </w:tc>
      </w:tr>
      <w:tr>
        <w:trPr>
          <w:trHeight w:val="256" w:hRule="atLeast"/>
        </w:trPr>
        <w:tc>
          <w:tcPr>
            <w:tcW w:w="5492" w:type="dxa"/>
            <w:shd w:val="clear" w:color="auto" w:fill="CCEDFF"/>
          </w:tcPr>
          <w:p>
            <w:pPr>
              <w:pStyle w:val="TableParagraph"/>
              <w:ind w:left="462"/>
              <w:rPr>
                <w:sz w:val="18"/>
              </w:rPr>
            </w:pPr>
            <w:r>
              <w:rPr>
                <w:sz w:val="18"/>
              </w:rPr>
              <w:t>Food</w:t>
            </w:r>
            <w:r>
              <w:rPr>
                <w:spacing w:val="-1"/>
                <w:sz w:val="18"/>
              </w:rPr>
              <w:t> </w:t>
            </w:r>
            <w:r>
              <w:rPr>
                <w:sz w:val="18"/>
              </w:rPr>
              <w:t>and</w:t>
            </w:r>
            <w:r>
              <w:rPr>
                <w:spacing w:val="-1"/>
                <w:sz w:val="18"/>
              </w:rPr>
              <w:t> </w:t>
            </w:r>
            <w:r>
              <w:rPr>
                <w:spacing w:val="-2"/>
                <w:sz w:val="18"/>
              </w:rPr>
              <w:t>beverage</w:t>
            </w:r>
          </w:p>
        </w:tc>
        <w:tc>
          <w:tcPr>
            <w:tcW w:w="2763" w:type="dxa"/>
            <w:shd w:val="clear" w:color="auto" w:fill="CCEDFF"/>
          </w:tcPr>
          <w:p>
            <w:pPr>
              <w:pStyle w:val="TableParagraph"/>
              <w:ind w:right="100"/>
              <w:jc w:val="right"/>
              <w:rPr>
                <w:sz w:val="18"/>
              </w:rPr>
            </w:pPr>
            <w:r>
              <w:rPr>
                <w:spacing w:val="-2"/>
                <w:sz w:val="18"/>
              </w:rPr>
              <w:t>429,188</w:t>
            </w:r>
          </w:p>
        </w:tc>
        <w:tc>
          <w:tcPr>
            <w:tcW w:w="1636" w:type="dxa"/>
            <w:shd w:val="clear" w:color="auto" w:fill="CCEDFF"/>
          </w:tcPr>
          <w:p>
            <w:pPr>
              <w:pStyle w:val="TableParagraph"/>
              <w:ind w:right="100"/>
              <w:jc w:val="right"/>
              <w:rPr>
                <w:sz w:val="18"/>
              </w:rPr>
            </w:pPr>
            <w:r>
              <w:rPr>
                <w:spacing w:val="-2"/>
                <w:sz w:val="18"/>
              </w:rPr>
              <w:t>307,750</w:t>
            </w:r>
          </w:p>
        </w:tc>
        <w:tc>
          <w:tcPr>
            <w:tcW w:w="1623" w:type="dxa"/>
            <w:shd w:val="clear" w:color="auto" w:fill="CCEDFF"/>
          </w:tcPr>
          <w:p>
            <w:pPr>
              <w:pStyle w:val="TableParagraph"/>
              <w:ind w:right="87"/>
              <w:jc w:val="right"/>
              <w:rPr>
                <w:sz w:val="18"/>
              </w:rPr>
            </w:pPr>
            <w:r>
              <w:rPr>
                <w:spacing w:val="-2"/>
                <w:sz w:val="18"/>
              </w:rPr>
              <w:t>184,153</w:t>
            </w:r>
          </w:p>
        </w:tc>
      </w:tr>
      <w:tr>
        <w:trPr>
          <w:trHeight w:val="255" w:hRule="atLeast"/>
        </w:trPr>
        <w:tc>
          <w:tcPr>
            <w:tcW w:w="5492" w:type="dxa"/>
          </w:tcPr>
          <w:p>
            <w:pPr>
              <w:pStyle w:val="TableParagraph"/>
              <w:ind w:left="462"/>
              <w:rPr>
                <w:sz w:val="18"/>
              </w:rPr>
            </w:pPr>
            <w:r>
              <w:rPr>
                <w:sz w:val="18"/>
              </w:rPr>
              <w:t>Entertainment,</w:t>
            </w:r>
            <w:r>
              <w:rPr>
                <w:spacing w:val="-5"/>
                <w:sz w:val="18"/>
              </w:rPr>
              <w:t> </w:t>
            </w:r>
            <w:r>
              <w:rPr>
                <w:sz w:val="18"/>
              </w:rPr>
              <w:t>retail</w:t>
            </w:r>
            <w:r>
              <w:rPr>
                <w:spacing w:val="-2"/>
                <w:sz w:val="18"/>
              </w:rPr>
              <w:t> </w:t>
            </w:r>
            <w:r>
              <w:rPr>
                <w:sz w:val="18"/>
              </w:rPr>
              <w:t>and</w:t>
            </w:r>
            <w:r>
              <w:rPr>
                <w:spacing w:val="-2"/>
                <w:sz w:val="18"/>
              </w:rPr>
              <w:t> </w:t>
            </w:r>
            <w:r>
              <w:rPr>
                <w:sz w:val="18"/>
              </w:rPr>
              <w:t>other,</w:t>
            </w:r>
            <w:r>
              <w:rPr>
                <w:spacing w:val="-3"/>
                <w:sz w:val="18"/>
              </w:rPr>
              <w:t> </w:t>
            </w:r>
            <w:r>
              <w:rPr>
                <w:sz w:val="18"/>
              </w:rPr>
              <w:t>and</w:t>
            </w:r>
            <w:r>
              <w:rPr>
                <w:spacing w:val="-2"/>
                <w:sz w:val="18"/>
              </w:rPr>
              <w:t> </w:t>
            </w:r>
            <w:r>
              <w:rPr>
                <w:sz w:val="18"/>
              </w:rPr>
              <w:t>reimbursed</w:t>
            </w:r>
            <w:r>
              <w:rPr>
                <w:spacing w:val="-2"/>
                <w:sz w:val="18"/>
              </w:rPr>
              <w:t> costs</w:t>
            </w:r>
          </w:p>
        </w:tc>
        <w:tc>
          <w:tcPr>
            <w:tcW w:w="2763" w:type="dxa"/>
            <w:tcBorders>
              <w:bottom w:val="single" w:sz="6" w:space="0" w:color="000000"/>
            </w:tcBorders>
          </w:tcPr>
          <w:p>
            <w:pPr>
              <w:pStyle w:val="TableParagraph"/>
              <w:ind w:right="100"/>
              <w:jc w:val="right"/>
              <w:rPr>
                <w:sz w:val="18"/>
              </w:rPr>
            </w:pPr>
            <w:r>
              <w:rPr>
                <w:spacing w:val="-2"/>
                <w:sz w:val="18"/>
              </w:rPr>
              <w:t>201,412</w:t>
            </w:r>
          </w:p>
        </w:tc>
        <w:tc>
          <w:tcPr>
            <w:tcW w:w="1636" w:type="dxa"/>
            <w:tcBorders>
              <w:bottom w:val="single" w:sz="6" w:space="0" w:color="000000"/>
            </w:tcBorders>
          </w:tcPr>
          <w:p>
            <w:pPr>
              <w:pStyle w:val="TableParagraph"/>
              <w:ind w:right="100"/>
              <w:jc w:val="right"/>
              <w:rPr>
                <w:sz w:val="18"/>
              </w:rPr>
            </w:pPr>
            <w:r>
              <w:rPr>
                <w:spacing w:val="-2"/>
                <w:sz w:val="18"/>
              </w:rPr>
              <w:t>142,270</w:t>
            </w:r>
          </w:p>
        </w:tc>
        <w:tc>
          <w:tcPr>
            <w:tcW w:w="1623" w:type="dxa"/>
            <w:tcBorders>
              <w:bottom w:val="single" w:sz="6" w:space="0" w:color="000000"/>
            </w:tcBorders>
          </w:tcPr>
          <w:p>
            <w:pPr>
              <w:pStyle w:val="TableParagraph"/>
              <w:ind w:right="87"/>
              <w:jc w:val="right"/>
              <w:rPr>
                <w:sz w:val="18"/>
              </w:rPr>
            </w:pPr>
            <w:r>
              <w:rPr>
                <w:spacing w:val="-2"/>
                <w:sz w:val="18"/>
              </w:rPr>
              <w:t>82,880</w:t>
            </w:r>
          </w:p>
        </w:tc>
      </w:tr>
      <w:tr>
        <w:trPr>
          <w:trHeight w:val="254" w:hRule="atLeast"/>
        </w:trPr>
        <w:tc>
          <w:tcPr>
            <w:tcW w:w="5492" w:type="dxa"/>
            <w:shd w:val="clear" w:color="auto" w:fill="CCEDFF"/>
          </w:tcPr>
          <w:p>
            <w:pPr>
              <w:pStyle w:val="TableParagraph"/>
              <w:spacing w:before="0"/>
              <w:rPr>
                <w:sz w:val="16"/>
              </w:rPr>
            </w:pPr>
          </w:p>
        </w:tc>
        <w:tc>
          <w:tcPr>
            <w:tcW w:w="2763" w:type="dxa"/>
            <w:tcBorders>
              <w:top w:val="single" w:sz="6" w:space="0" w:color="000000"/>
              <w:bottom w:val="single" w:sz="6" w:space="0" w:color="000000"/>
            </w:tcBorders>
            <w:shd w:val="clear" w:color="auto" w:fill="CCEDFF"/>
          </w:tcPr>
          <w:p>
            <w:pPr>
              <w:pStyle w:val="TableParagraph"/>
              <w:spacing w:before="20"/>
              <w:ind w:right="101"/>
              <w:jc w:val="right"/>
              <w:rPr>
                <w:sz w:val="18"/>
              </w:rPr>
            </w:pPr>
            <w:r>
              <w:rPr>
                <w:spacing w:val="-2"/>
                <w:sz w:val="18"/>
              </w:rPr>
              <w:t>3,815,885</w:t>
            </w:r>
          </w:p>
        </w:tc>
        <w:tc>
          <w:tcPr>
            <w:tcW w:w="1636" w:type="dxa"/>
            <w:tcBorders>
              <w:top w:val="single" w:sz="6" w:space="0" w:color="000000"/>
              <w:bottom w:val="single" w:sz="6" w:space="0" w:color="000000"/>
            </w:tcBorders>
            <w:shd w:val="clear" w:color="auto" w:fill="CCEDFF"/>
          </w:tcPr>
          <w:p>
            <w:pPr>
              <w:pStyle w:val="TableParagraph"/>
              <w:spacing w:before="20"/>
              <w:ind w:right="100"/>
              <w:jc w:val="right"/>
              <w:rPr>
                <w:sz w:val="18"/>
              </w:rPr>
            </w:pPr>
            <w:r>
              <w:rPr>
                <w:spacing w:val="-2"/>
                <w:sz w:val="18"/>
              </w:rPr>
              <w:t>3,392,363</w:t>
            </w:r>
          </w:p>
        </w:tc>
        <w:tc>
          <w:tcPr>
            <w:tcW w:w="1623" w:type="dxa"/>
            <w:tcBorders>
              <w:top w:val="single" w:sz="6" w:space="0" w:color="000000"/>
              <w:bottom w:val="single" w:sz="6" w:space="0" w:color="000000"/>
            </w:tcBorders>
            <w:shd w:val="clear" w:color="auto" w:fill="CCEDFF"/>
          </w:tcPr>
          <w:p>
            <w:pPr>
              <w:pStyle w:val="TableParagraph"/>
              <w:spacing w:before="20"/>
              <w:ind w:right="87"/>
              <w:jc w:val="right"/>
              <w:rPr>
                <w:sz w:val="18"/>
              </w:rPr>
            </w:pPr>
            <w:r>
              <w:rPr>
                <w:spacing w:val="-2"/>
                <w:sz w:val="18"/>
              </w:rPr>
              <w:t>1,967,171</w:t>
            </w:r>
          </w:p>
        </w:tc>
      </w:tr>
      <w:tr>
        <w:trPr>
          <w:trHeight w:val="255" w:hRule="atLeast"/>
        </w:trPr>
        <w:tc>
          <w:tcPr>
            <w:tcW w:w="5492" w:type="dxa"/>
          </w:tcPr>
          <w:p>
            <w:pPr>
              <w:pStyle w:val="TableParagraph"/>
              <w:spacing w:before="20"/>
              <w:ind w:left="217"/>
              <w:rPr>
                <w:sz w:val="18"/>
              </w:rPr>
            </w:pPr>
            <w:r>
              <w:rPr>
                <w:sz w:val="18"/>
              </w:rPr>
              <w:t>MGM</w:t>
            </w:r>
            <w:r>
              <w:rPr>
                <w:spacing w:val="-1"/>
                <w:sz w:val="18"/>
              </w:rPr>
              <w:t> </w:t>
            </w:r>
            <w:r>
              <w:rPr>
                <w:spacing w:val="-2"/>
                <w:sz w:val="18"/>
              </w:rPr>
              <w:t>China</w:t>
            </w:r>
          </w:p>
        </w:tc>
        <w:tc>
          <w:tcPr>
            <w:tcW w:w="2763" w:type="dxa"/>
            <w:tcBorders>
              <w:top w:val="single" w:sz="6" w:space="0" w:color="000000"/>
            </w:tcBorders>
          </w:tcPr>
          <w:p>
            <w:pPr>
              <w:pStyle w:val="TableParagraph"/>
              <w:spacing w:before="0"/>
              <w:rPr>
                <w:sz w:val="16"/>
              </w:rPr>
            </w:pPr>
          </w:p>
        </w:tc>
        <w:tc>
          <w:tcPr>
            <w:tcW w:w="1636" w:type="dxa"/>
            <w:tcBorders>
              <w:top w:val="single" w:sz="6" w:space="0" w:color="000000"/>
            </w:tcBorders>
          </w:tcPr>
          <w:p>
            <w:pPr>
              <w:pStyle w:val="TableParagraph"/>
              <w:spacing w:before="0"/>
              <w:rPr>
                <w:sz w:val="16"/>
              </w:rPr>
            </w:pPr>
          </w:p>
        </w:tc>
        <w:tc>
          <w:tcPr>
            <w:tcW w:w="1623" w:type="dxa"/>
            <w:tcBorders>
              <w:top w:val="single" w:sz="6" w:space="0" w:color="000000"/>
            </w:tcBorders>
          </w:tcPr>
          <w:p>
            <w:pPr>
              <w:pStyle w:val="TableParagraph"/>
              <w:spacing w:before="0"/>
              <w:rPr>
                <w:sz w:val="16"/>
              </w:rPr>
            </w:pPr>
          </w:p>
        </w:tc>
      </w:tr>
      <w:tr>
        <w:trPr>
          <w:trHeight w:val="256" w:hRule="atLeast"/>
        </w:trPr>
        <w:tc>
          <w:tcPr>
            <w:tcW w:w="5492" w:type="dxa"/>
            <w:shd w:val="clear" w:color="auto" w:fill="CCEDFF"/>
          </w:tcPr>
          <w:p>
            <w:pPr>
              <w:pStyle w:val="TableParagraph"/>
              <w:ind w:left="462"/>
              <w:rPr>
                <w:sz w:val="18"/>
              </w:rPr>
            </w:pPr>
            <w:r>
              <w:rPr>
                <w:spacing w:val="-2"/>
                <w:sz w:val="18"/>
              </w:rPr>
              <w:t>Casino</w:t>
            </w:r>
          </w:p>
        </w:tc>
        <w:tc>
          <w:tcPr>
            <w:tcW w:w="2763" w:type="dxa"/>
            <w:shd w:val="clear" w:color="auto" w:fill="CCEDFF"/>
          </w:tcPr>
          <w:p>
            <w:pPr>
              <w:pStyle w:val="TableParagraph"/>
              <w:ind w:right="100"/>
              <w:jc w:val="right"/>
              <w:rPr>
                <w:sz w:val="18"/>
              </w:rPr>
            </w:pPr>
            <w:r>
              <w:rPr>
                <w:spacing w:val="-2"/>
                <w:sz w:val="18"/>
              </w:rPr>
              <w:t>567,573</w:t>
            </w:r>
          </w:p>
        </w:tc>
        <w:tc>
          <w:tcPr>
            <w:tcW w:w="1636" w:type="dxa"/>
            <w:shd w:val="clear" w:color="auto" w:fill="CCEDFF"/>
          </w:tcPr>
          <w:p>
            <w:pPr>
              <w:pStyle w:val="TableParagraph"/>
              <w:ind w:right="100"/>
              <w:jc w:val="right"/>
              <w:rPr>
                <w:sz w:val="18"/>
              </w:rPr>
            </w:pPr>
            <w:r>
              <w:rPr>
                <w:spacing w:val="-2"/>
                <w:sz w:val="18"/>
              </w:rPr>
              <w:t>1,057,962</w:t>
            </w:r>
          </w:p>
        </w:tc>
        <w:tc>
          <w:tcPr>
            <w:tcW w:w="1623" w:type="dxa"/>
            <w:shd w:val="clear" w:color="auto" w:fill="CCEDFF"/>
          </w:tcPr>
          <w:p>
            <w:pPr>
              <w:pStyle w:val="TableParagraph"/>
              <w:ind w:right="87"/>
              <w:jc w:val="right"/>
              <w:rPr>
                <w:sz w:val="18"/>
              </w:rPr>
            </w:pPr>
            <w:r>
              <w:rPr>
                <w:spacing w:val="-2"/>
                <w:sz w:val="18"/>
              </w:rPr>
              <w:t>565,671</w:t>
            </w:r>
          </w:p>
        </w:tc>
      </w:tr>
      <w:tr>
        <w:trPr>
          <w:trHeight w:val="256" w:hRule="atLeast"/>
        </w:trPr>
        <w:tc>
          <w:tcPr>
            <w:tcW w:w="5492" w:type="dxa"/>
          </w:tcPr>
          <w:p>
            <w:pPr>
              <w:pStyle w:val="TableParagraph"/>
              <w:ind w:left="462"/>
              <w:rPr>
                <w:sz w:val="18"/>
              </w:rPr>
            </w:pPr>
            <w:r>
              <w:rPr>
                <w:spacing w:val="-2"/>
                <w:sz w:val="18"/>
              </w:rPr>
              <w:t>Rooms</w:t>
            </w:r>
          </w:p>
        </w:tc>
        <w:tc>
          <w:tcPr>
            <w:tcW w:w="2763" w:type="dxa"/>
          </w:tcPr>
          <w:p>
            <w:pPr>
              <w:pStyle w:val="TableParagraph"/>
              <w:ind w:right="101"/>
              <w:jc w:val="right"/>
              <w:rPr>
                <w:sz w:val="18"/>
              </w:rPr>
            </w:pPr>
            <w:r>
              <w:rPr>
                <w:spacing w:val="-2"/>
                <w:sz w:val="18"/>
              </w:rPr>
              <w:t>43,216</w:t>
            </w:r>
          </w:p>
        </w:tc>
        <w:tc>
          <w:tcPr>
            <w:tcW w:w="1636" w:type="dxa"/>
          </w:tcPr>
          <w:p>
            <w:pPr>
              <w:pStyle w:val="TableParagraph"/>
              <w:ind w:right="100"/>
              <w:jc w:val="right"/>
              <w:rPr>
                <w:sz w:val="18"/>
              </w:rPr>
            </w:pPr>
            <w:r>
              <w:rPr>
                <w:spacing w:val="-2"/>
                <w:sz w:val="18"/>
              </w:rPr>
              <w:t>66,498</w:t>
            </w:r>
          </w:p>
        </w:tc>
        <w:tc>
          <w:tcPr>
            <w:tcW w:w="1623" w:type="dxa"/>
          </w:tcPr>
          <w:p>
            <w:pPr>
              <w:pStyle w:val="TableParagraph"/>
              <w:ind w:right="87"/>
              <w:jc w:val="right"/>
              <w:rPr>
                <w:sz w:val="18"/>
              </w:rPr>
            </w:pPr>
            <w:r>
              <w:rPr>
                <w:spacing w:val="-2"/>
                <w:sz w:val="18"/>
              </w:rPr>
              <w:t>36,624</w:t>
            </w:r>
          </w:p>
        </w:tc>
      </w:tr>
      <w:tr>
        <w:trPr>
          <w:trHeight w:val="256" w:hRule="atLeast"/>
        </w:trPr>
        <w:tc>
          <w:tcPr>
            <w:tcW w:w="5492" w:type="dxa"/>
            <w:shd w:val="clear" w:color="auto" w:fill="CCEDFF"/>
          </w:tcPr>
          <w:p>
            <w:pPr>
              <w:pStyle w:val="TableParagraph"/>
              <w:ind w:left="462"/>
              <w:rPr>
                <w:sz w:val="18"/>
              </w:rPr>
            </w:pPr>
            <w:r>
              <w:rPr>
                <w:sz w:val="18"/>
              </w:rPr>
              <w:t>Food</w:t>
            </w:r>
            <w:r>
              <w:rPr>
                <w:spacing w:val="-1"/>
                <w:sz w:val="18"/>
              </w:rPr>
              <w:t> </w:t>
            </w:r>
            <w:r>
              <w:rPr>
                <w:sz w:val="18"/>
              </w:rPr>
              <w:t>and</w:t>
            </w:r>
            <w:r>
              <w:rPr>
                <w:spacing w:val="-1"/>
                <w:sz w:val="18"/>
              </w:rPr>
              <w:t> </w:t>
            </w:r>
            <w:r>
              <w:rPr>
                <w:spacing w:val="-2"/>
                <w:sz w:val="18"/>
              </w:rPr>
              <w:t>beverage</w:t>
            </w:r>
          </w:p>
        </w:tc>
        <w:tc>
          <w:tcPr>
            <w:tcW w:w="2763" w:type="dxa"/>
            <w:shd w:val="clear" w:color="auto" w:fill="CCEDFF"/>
          </w:tcPr>
          <w:p>
            <w:pPr>
              <w:pStyle w:val="TableParagraph"/>
              <w:ind w:right="101"/>
              <w:jc w:val="right"/>
              <w:rPr>
                <w:sz w:val="18"/>
              </w:rPr>
            </w:pPr>
            <w:r>
              <w:rPr>
                <w:spacing w:val="-2"/>
                <w:sz w:val="18"/>
              </w:rPr>
              <w:t>49,312</w:t>
            </w:r>
          </w:p>
        </w:tc>
        <w:tc>
          <w:tcPr>
            <w:tcW w:w="1636" w:type="dxa"/>
            <w:shd w:val="clear" w:color="auto" w:fill="CCEDFF"/>
          </w:tcPr>
          <w:p>
            <w:pPr>
              <w:pStyle w:val="TableParagraph"/>
              <w:ind w:right="100"/>
              <w:jc w:val="right"/>
              <w:rPr>
                <w:sz w:val="18"/>
              </w:rPr>
            </w:pPr>
            <w:r>
              <w:rPr>
                <w:spacing w:val="-2"/>
                <w:sz w:val="18"/>
              </w:rPr>
              <w:t>68,489</w:t>
            </w:r>
          </w:p>
        </w:tc>
        <w:tc>
          <w:tcPr>
            <w:tcW w:w="1623" w:type="dxa"/>
            <w:shd w:val="clear" w:color="auto" w:fill="CCEDFF"/>
          </w:tcPr>
          <w:p>
            <w:pPr>
              <w:pStyle w:val="TableParagraph"/>
              <w:ind w:right="87"/>
              <w:jc w:val="right"/>
              <w:rPr>
                <w:sz w:val="18"/>
              </w:rPr>
            </w:pPr>
            <w:r>
              <w:rPr>
                <w:spacing w:val="-2"/>
                <w:sz w:val="18"/>
              </w:rPr>
              <w:t>40,284</w:t>
            </w:r>
          </w:p>
        </w:tc>
      </w:tr>
      <w:tr>
        <w:trPr>
          <w:trHeight w:val="269" w:hRule="atLeast"/>
        </w:trPr>
        <w:tc>
          <w:tcPr>
            <w:tcW w:w="5492" w:type="dxa"/>
          </w:tcPr>
          <w:p>
            <w:pPr>
              <w:pStyle w:val="TableParagraph"/>
              <w:spacing w:before="34"/>
              <w:ind w:left="462"/>
              <w:rPr>
                <w:sz w:val="18"/>
              </w:rPr>
            </w:pPr>
            <w:r>
              <w:rPr>
                <w:sz w:val="18"/>
              </w:rPr>
              <w:t>Entertainment,</w:t>
            </w:r>
            <w:r>
              <w:rPr>
                <w:spacing w:val="-1"/>
                <w:sz w:val="18"/>
              </w:rPr>
              <w:t> </w:t>
            </w:r>
            <w:r>
              <w:rPr>
                <w:sz w:val="18"/>
              </w:rPr>
              <w:t>retail</w:t>
            </w:r>
            <w:r>
              <w:rPr>
                <w:spacing w:val="-1"/>
                <w:sz w:val="18"/>
              </w:rPr>
              <w:t> </w:t>
            </w:r>
            <w:r>
              <w:rPr>
                <w:sz w:val="18"/>
              </w:rPr>
              <w:t>and</w:t>
            </w:r>
            <w:r>
              <w:rPr>
                <w:spacing w:val="-1"/>
                <w:sz w:val="18"/>
              </w:rPr>
              <w:t> </w:t>
            </w:r>
            <w:r>
              <w:rPr>
                <w:spacing w:val="-2"/>
                <w:sz w:val="18"/>
              </w:rPr>
              <w:t>other</w:t>
            </w:r>
          </w:p>
        </w:tc>
        <w:tc>
          <w:tcPr>
            <w:tcW w:w="2763" w:type="dxa"/>
            <w:tcBorders>
              <w:bottom w:val="single" w:sz="6" w:space="0" w:color="000000"/>
            </w:tcBorders>
          </w:tcPr>
          <w:p>
            <w:pPr>
              <w:pStyle w:val="TableParagraph"/>
              <w:ind w:right="101"/>
              <w:jc w:val="right"/>
              <w:rPr>
                <w:sz w:val="18"/>
              </w:rPr>
            </w:pPr>
            <w:r>
              <w:rPr>
                <w:spacing w:val="-2"/>
                <w:sz w:val="18"/>
              </w:rPr>
              <w:t>13,492</w:t>
            </w:r>
          </w:p>
        </w:tc>
        <w:tc>
          <w:tcPr>
            <w:tcW w:w="1636" w:type="dxa"/>
            <w:tcBorders>
              <w:bottom w:val="single" w:sz="6" w:space="0" w:color="000000"/>
            </w:tcBorders>
          </w:tcPr>
          <w:p>
            <w:pPr>
              <w:pStyle w:val="TableParagraph"/>
              <w:ind w:right="100"/>
              <w:jc w:val="right"/>
              <w:rPr>
                <w:sz w:val="18"/>
              </w:rPr>
            </w:pPr>
            <w:r>
              <w:rPr>
                <w:spacing w:val="-2"/>
                <w:sz w:val="18"/>
              </w:rPr>
              <w:t>17,812</w:t>
            </w:r>
          </w:p>
        </w:tc>
        <w:tc>
          <w:tcPr>
            <w:tcW w:w="1623" w:type="dxa"/>
            <w:tcBorders>
              <w:bottom w:val="single" w:sz="6" w:space="0" w:color="000000"/>
            </w:tcBorders>
          </w:tcPr>
          <w:p>
            <w:pPr>
              <w:pStyle w:val="TableParagraph"/>
              <w:ind w:right="87"/>
              <w:jc w:val="right"/>
              <w:rPr>
                <w:sz w:val="18"/>
              </w:rPr>
            </w:pPr>
            <w:r>
              <w:rPr>
                <w:spacing w:val="-2"/>
                <w:sz w:val="18"/>
              </w:rPr>
              <w:t>14,124</w:t>
            </w:r>
          </w:p>
        </w:tc>
      </w:tr>
      <w:tr>
        <w:trPr>
          <w:trHeight w:val="254" w:hRule="atLeast"/>
        </w:trPr>
        <w:tc>
          <w:tcPr>
            <w:tcW w:w="5492" w:type="dxa"/>
            <w:shd w:val="clear" w:color="auto" w:fill="CCEDFF"/>
          </w:tcPr>
          <w:p>
            <w:pPr>
              <w:pStyle w:val="TableParagraph"/>
              <w:spacing w:before="0"/>
              <w:rPr>
                <w:sz w:val="16"/>
              </w:rPr>
            </w:pPr>
          </w:p>
        </w:tc>
        <w:tc>
          <w:tcPr>
            <w:tcW w:w="2763" w:type="dxa"/>
            <w:tcBorders>
              <w:top w:val="single" w:sz="6" w:space="0" w:color="000000"/>
              <w:bottom w:val="single" w:sz="6" w:space="0" w:color="000000"/>
            </w:tcBorders>
            <w:shd w:val="clear" w:color="auto" w:fill="CCEDFF"/>
          </w:tcPr>
          <w:p>
            <w:pPr>
              <w:pStyle w:val="TableParagraph"/>
              <w:spacing w:before="20"/>
              <w:ind w:right="100"/>
              <w:jc w:val="right"/>
              <w:rPr>
                <w:sz w:val="18"/>
              </w:rPr>
            </w:pPr>
            <w:r>
              <w:rPr>
                <w:spacing w:val="-2"/>
                <w:sz w:val="18"/>
              </w:rPr>
              <w:t>673,593</w:t>
            </w:r>
          </w:p>
        </w:tc>
        <w:tc>
          <w:tcPr>
            <w:tcW w:w="1636" w:type="dxa"/>
            <w:tcBorders>
              <w:top w:val="single" w:sz="6" w:space="0" w:color="000000"/>
              <w:bottom w:val="single" w:sz="6" w:space="0" w:color="000000"/>
            </w:tcBorders>
            <w:shd w:val="clear" w:color="auto" w:fill="CCEDFF"/>
          </w:tcPr>
          <w:p>
            <w:pPr>
              <w:pStyle w:val="TableParagraph"/>
              <w:spacing w:before="20"/>
              <w:ind w:right="100"/>
              <w:jc w:val="right"/>
              <w:rPr>
                <w:sz w:val="18"/>
              </w:rPr>
            </w:pPr>
            <w:r>
              <w:rPr>
                <w:spacing w:val="-2"/>
                <w:sz w:val="18"/>
              </w:rPr>
              <w:t>1,210,761</w:t>
            </w:r>
          </w:p>
        </w:tc>
        <w:tc>
          <w:tcPr>
            <w:tcW w:w="1623" w:type="dxa"/>
            <w:tcBorders>
              <w:top w:val="single" w:sz="6" w:space="0" w:color="000000"/>
              <w:bottom w:val="single" w:sz="6" w:space="0" w:color="000000"/>
            </w:tcBorders>
            <w:shd w:val="clear" w:color="auto" w:fill="CCEDFF"/>
          </w:tcPr>
          <w:p>
            <w:pPr>
              <w:pStyle w:val="TableParagraph"/>
              <w:spacing w:before="20"/>
              <w:ind w:right="87"/>
              <w:jc w:val="right"/>
              <w:rPr>
                <w:sz w:val="18"/>
              </w:rPr>
            </w:pPr>
            <w:r>
              <w:rPr>
                <w:spacing w:val="-2"/>
                <w:sz w:val="18"/>
              </w:rPr>
              <w:t>656,703</w:t>
            </w:r>
          </w:p>
        </w:tc>
      </w:tr>
      <w:tr>
        <w:trPr>
          <w:trHeight w:val="255" w:hRule="atLeast"/>
        </w:trPr>
        <w:tc>
          <w:tcPr>
            <w:tcW w:w="5492" w:type="dxa"/>
          </w:tcPr>
          <w:p>
            <w:pPr>
              <w:pStyle w:val="TableParagraph"/>
              <w:spacing w:before="20"/>
              <w:ind w:left="462"/>
              <w:rPr>
                <w:sz w:val="18"/>
              </w:rPr>
            </w:pPr>
            <w:r>
              <w:rPr>
                <w:sz w:val="18"/>
              </w:rPr>
              <w:t>Reportable</w:t>
            </w:r>
            <w:r>
              <w:rPr>
                <w:spacing w:val="-3"/>
                <w:sz w:val="18"/>
              </w:rPr>
              <w:t> </w:t>
            </w:r>
            <w:r>
              <w:rPr>
                <w:sz w:val="18"/>
              </w:rPr>
              <w:t>segment</w:t>
            </w:r>
            <w:r>
              <w:rPr>
                <w:spacing w:val="-1"/>
                <w:sz w:val="18"/>
              </w:rPr>
              <w:t> </w:t>
            </w:r>
            <w:r>
              <w:rPr>
                <w:sz w:val="18"/>
              </w:rPr>
              <w:t>net</w:t>
            </w:r>
            <w:r>
              <w:rPr>
                <w:spacing w:val="-1"/>
                <w:sz w:val="18"/>
              </w:rPr>
              <w:t> </w:t>
            </w:r>
            <w:r>
              <w:rPr>
                <w:spacing w:val="-2"/>
                <w:sz w:val="18"/>
              </w:rPr>
              <w:t>revenues</w:t>
            </w:r>
          </w:p>
        </w:tc>
        <w:tc>
          <w:tcPr>
            <w:tcW w:w="2763" w:type="dxa"/>
            <w:tcBorders>
              <w:top w:val="single" w:sz="6" w:space="0" w:color="000000"/>
            </w:tcBorders>
          </w:tcPr>
          <w:p>
            <w:pPr>
              <w:pStyle w:val="TableParagraph"/>
              <w:spacing w:before="20"/>
              <w:ind w:right="101"/>
              <w:jc w:val="right"/>
              <w:rPr>
                <w:sz w:val="18"/>
              </w:rPr>
            </w:pPr>
            <w:r>
              <w:rPr>
                <w:spacing w:val="-2"/>
                <w:sz w:val="18"/>
              </w:rPr>
              <w:t>12,887,850</w:t>
            </w:r>
          </w:p>
        </w:tc>
        <w:tc>
          <w:tcPr>
            <w:tcW w:w="1636" w:type="dxa"/>
            <w:tcBorders>
              <w:top w:val="single" w:sz="6" w:space="0" w:color="000000"/>
            </w:tcBorders>
          </w:tcPr>
          <w:p>
            <w:pPr>
              <w:pStyle w:val="TableParagraph"/>
              <w:spacing w:before="20"/>
              <w:ind w:right="100"/>
              <w:jc w:val="right"/>
              <w:rPr>
                <w:sz w:val="18"/>
              </w:rPr>
            </w:pPr>
            <w:r>
              <w:rPr>
                <w:spacing w:val="-2"/>
                <w:sz w:val="18"/>
              </w:rPr>
              <w:t>9,340,309</w:t>
            </w:r>
          </w:p>
        </w:tc>
        <w:tc>
          <w:tcPr>
            <w:tcW w:w="1623" w:type="dxa"/>
            <w:tcBorders>
              <w:top w:val="single" w:sz="6" w:space="0" w:color="000000"/>
            </w:tcBorders>
          </w:tcPr>
          <w:p>
            <w:pPr>
              <w:pStyle w:val="TableParagraph"/>
              <w:spacing w:before="20"/>
              <w:ind w:right="87"/>
              <w:jc w:val="right"/>
              <w:rPr>
                <w:sz w:val="18"/>
              </w:rPr>
            </w:pPr>
            <w:r>
              <w:rPr>
                <w:spacing w:val="-2"/>
                <w:sz w:val="18"/>
              </w:rPr>
              <w:t>4,869,659</w:t>
            </w:r>
          </w:p>
        </w:tc>
      </w:tr>
      <w:tr>
        <w:trPr>
          <w:trHeight w:val="255" w:hRule="atLeast"/>
        </w:trPr>
        <w:tc>
          <w:tcPr>
            <w:tcW w:w="5492" w:type="dxa"/>
            <w:shd w:val="clear" w:color="auto" w:fill="CCEDFF"/>
          </w:tcPr>
          <w:p>
            <w:pPr>
              <w:pStyle w:val="TableParagraph"/>
              <w:ind w:left="217"/>
              <w:rPr>
                <w:sz w:val="18"/>
              </w:rPr>
            </w:pPr>
            <w:r>
              <w:rPr>
                <w:sz w:val="18"/>
              </w:rPr>
              <w:t>Corporate</w:t>
            </w:r>
            <w:r>
              <w:rPr>
                <w:spacing w:val="-1"/>
                <w:sz w:val="18"/>
              </w:rPr>
              <w:t> </w:t>
            </w:r>
            <w:r>
              <w:rPr>
                <w:sz w:val="18"/>
              </w:rPr>
              <w:t>and</w:t>
            </w:r>
            <w:r>
              <w:rPr>
                <w:spacing w:val="-1"/>
                <w:sz w:val="18"/>
              </w:rPr>
              <w:t> </w:t>
            </w:r>
            <w:r>
              <w:rPr>
                <w:spacing w:val="-2"/>
                <w:sz w:val="18"/>
              </w:rPr>
              <w:t>other</w:t>
            </w:r>
          </w:p>
        </w:tc>
        <w:tc>
          <w:tcPr>
            <w:tcW w:w="2763" w:type="dxa"/>
            <w:tcBorders>
              <w:bottom w:val="single" w:sz="6" w:space="0" w:color="000000"/>
            </w:tcBorders>
            <w:shd w:val="clear" w:color="auto" w:fill="CCEDFF"/>
          </w:tcPr>
          <w:p>
            <w:pPr>
              <w:pStyle w:val="TableParagraph"/>
              <w:ind w:right="100"/>
              <w:jc w:val="right"/>
              <w:rPr>
                <w:sz w:val="18"/>
              </w:rPr>
            </w:pPr>
            <w:r>
              <w:rPr>
                <w:spacing w:val="-2"/>
                <w:sz w:val="18"/>
              </w:rPr>
              <w:t>239,635</w:t>
            </w:r>
          </w:p>
        </w:tc>
        <w:tc>
          <w:tcPr>
            <w:tcW w:w="1636" w:type="dxa"/>
            <w:tcBorders>
              <w:bottom w:val="single" w:sz="6" w:space="0" w:color="000000"/>
            </w:tcBorders>
            <w:shd w:val="clear" w:color="auto" w:fill="CCEDFF"/>
          </w:tcPr>
          <w:p>
            <w:pPr>
              <w:pStyle w:val="TableParagraph"/>
              <w:ind w:right="100"/>
              <w:jc w:val="right"/>
              <w:rPr>
                <w:sz w:val="18"/>
              </w:rPr>
            </w:pPr>
            <w:r>
              <w:rPr>
                <w:spacing w:val="-2"/>
                <w:sz w:val="18"/>
              </w:rPr>
              <w:t>339,831</w:t>
            </w:r>
          </w:p>
        </w:tc>
        <w:tc>
          <w:tcPr>
            <w:tcW w:w="1623" w:type="dxa"/>
            <w:tcBorders>
              <w:bottom w:val="single" w:sz="6" w:space="0" w:color="000000"/>
            </w:tcBorders>
            <w:shd w:val="clear" w:color="auto" w:fill="CCEDFF"/>
          </w:tcPr>
          <w:p>
            <w:pPr>
              <w:pStyle w:val="TableParagraph"/>
              <w:ind w:right="87"/>
              <w:jc w:val="right"/>
              <w:rPr>
                <w:sz w:val="18"/>
              </w:rPr>
            </w:pPr>
            <w:r>
              <w:rPr>
                <w:spacing w:val="-2"/>
                <w:sz w:val="18"/>
              </w:rPr>
              <w:t>292,423</w:t>
            </w:r>
          </w:p>
        </w:tc>
      </w:tr>
      <w:tr>
        <w:trPr>
          <w:trHeight w:val="323" w:hRule="atLeast"/>
        </w:trPr>
        <w:tc>
          <w:tcPr>
            <w:tcW w:w="5492" w:type="dxa"/>
          </w:tcPr>
          <w:p>
            <w:pPr>
              <w:pStyle w:val="TableParagraph"/>
              <w:spacing w:before="0"/>
              <w:rPr>
                <w:sz w:val="16"/>
              </w:rPr>
            </w:pPr>
          </w:p>
        </w:tc>
        <w:tc>
          <w:tcPr>
            <w:tcW w:w="2763" w:type="dxa"/>
            <w:tcBorders>
              <w:top w:val="single" w:sz="6" w:space="0" w:color="000000"/>
            </w:tcBorders>
          </w:tcPr>
          <w:p>
            <w:pPr>
              <w:pStyle w:val="TableParagraph"/>
              <w:tabs>
                <w:tab w:pos="621" w:val="left" w:leader="none"/>
              </w:tabs>
              <w:spacing w:before="20"/>
              <w:ind w:right="101"/>
              <w:jc w:val="right"/>
              <w:rPr>
                <w:sz w:val="18"/>
              </w:rPr>
            </w:pPr>
            <w:r>
              <w:rPr/>
              <mc:AlternateContent>
                <mc:Choice Requires="wps">
                  <w:drawing>
                    <wp:anchor distT="0" distB="0" distL="0" distR="0" allowOverlap="1" layoutInCell="1" locked="0" behindDoc="1" simplePos="0" relativeHeight="477761536">
                      <wp:simplePos x="0" y="0"/>
                      <wp:positionH relativeFrom="column">
                        <wp:posOffset>773028</wp:posOffset>
                      </wp:positionH>
                      <wp:positionV relativeFrom="paragraph">
                        <wp:posOffset>170876</wp:posOffset>
                      </wp:positionV>
                      <wp:extent cx="960119" cy="34290"/>
                      <wp:effectExtent l="0" t="0" r="0" b="0"/>
                      <wp:wrapNone/>
                      <wp:docPr id="652" name="Group 652"/>
                      <wp:cNvGraphicFramePr>
                        <a:graphicFrameLocks/>
                      </wp:cNvGraphicFramePr>
                      <a:graphic>
                        <a:graphicData uri="http://schemas.microsoft.com/office/word/2010/wordprocessingGroup">
                          <wpg:wgp>
                            <wpg:cNvPr id="652" name="Group 652"/>
                            <wpg:cNvGrpSpPr/>
                            <wpg:grpSpPr>
                              <a:xfrm>
                                <a:off x="0" y="0"/>
                                <a:ext cx="960119" cy="34290"/>
                                <a:chExt cx="960119" cy="34290"/>
                              </a:xfrm>
                            </wpg:grpSpPr>
                            <wps:wsp>
                              <wps:cNvPr id="653" name="Graphic 653"/>
                              <wps:cNvSpPr/>
                              <wps:spPr>
                                <a:xfrm>
                                  <a:off x="-12" y="-10"/>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86837pt;margin-top:13.454837pt;width:75.6pt;height:2.7pt;mso-position-horizontal-relative:column;mso-position-vertical-relative:paragraph;z-index:-25554944" id="docshapegroup650" coordorigin="1217,269" coordsize="1512,54">
                      <v:shape style="position:absolute;left:1217;top:269;width:1512;height:54" id="docshape651" coordorigin="1217,269" coordsize="1512,54" path="m2729,310l2702,310,1325,310,1217,310,1217,323,1325,323,2702,323,2729,323,2729,310xm2729,269l2702,269,1325,269,1217,269,1217,283,1325,283,2702,283,2729,283,2729,269xe" filled="true" fillcolor="#000000" stroked="false">
                        <v:path arrowok="t"/>
                        <v:fill type="solid"/>
                      </v:shape>
                      <w10:wrap type="none"/>
                    </v:group>
                  </w:pict>
                </mc:Fallback>
              </mc:AlternateContent>
            </w:r>
            <w:r>
              <w:rPr>
                <w:spacing w:val="-10"/>
                <w:sz w:val="18"/>
              </w:rPr>
              <w:t>$</w:t>
            </w:r>
            <w:r>
              <w:rPr>
                <w:sz w:val="18"/>
              </w:rPr>
              <w:tab/>
            </w:r>
            <w:r>
              <w:rPr>
                <w:spacing w:val="-2"/>
                <w:sz w:val="18"/>
              </w:rPr>
              <w:t>13,127,485</w:t>
            </w:r>
          </w:p>
        </w:tc>
        <w:tc>
          <w:tcPr>
            <w:tcW w:w="1636" w:type="dxa"/>
            <w:tcBorders>
              <w:top w:val="single" w:sz="6" w:space="0" w:color="000000"/>
            </w:tcBorders>
          </w:tcPr>
          <w:p>
            <w:pPr>
              <w:pStyle w:val="TableParagraph"/>
              <w:tabs>
                <w:tab w:pos="709" w:val="left" w:leader="none"/>
              </w:tabs>
              <w:spacing w:before="20"/>
              <w:ind w:right="100"/>
              <w:jc w:val="right"/>
              <w:rPr>
                <w:sz w:val="18"/>
              </w:rPr>
            </w:pPr>
            <w:r>
              <w:rPr/>
              <mc:AlternateContent>
                <mc:Choice Requires="wps">
                  <w:drawing>
                    <wp:anchor distT="0" distB="0" distL="0" distR="0" allowOverlap="1" layoutInCell="1" locked="0" behindDoc="1" simplePos="0" relativeHeight="477762048">
                      <wp:simplePos x="0" y="0"/>
                      <wp:positionH relativeFrom="column">
                        <wp:posOffset>55477</wp:posOffset>
                      </wp:positionH>
                      <wp:positionV relativeFrom="paragraph">
                        <wp:posOffset>170876</wp:posOffset>
                      </wp:positionV>
                      <wp:extent cx="960119" cy="34290"/>
                      <wp:effectExtent l="0" t="0" r="0" b="0"/>
                      <wp:wrapNone/>
                      <wp:docPr id="654" name="Group 654"/>
                      <wp:cNvGraphicFramePr>
                        <a:graphicFrameLocks/>
                      </wp:cNvGraphicFramePr>
                      <a:graphic>
                        <a:graphicData uri="http://schemas.microsoft.com/office/word/2010/wordprocessingGroup">
                          <wpg:wgp>
                            <wpg:cNvPr id="654" name="Group 654"/>
                            <wpg:cNvGrpSpPr/>
                            <wpg:grpSpPr>
                              <a:xfrm>
                                <a:off x="0" y="0"/>
                                <a:ext cx="960119" cy="34290"/>
                                <a:chExt cx="960119" cy="34290"/>
                              </a:xfrm>
                            </wpg:grpSpPr>
                            <wps:wsp>
                              <wps:cNvPr id="655" name="Graphic 655"/>
                              <wps:cNvSpPr/>
                              <wps:spPr>
                                <a:xfrm>
                                  <a:off x="-12" y="-10"/>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68335pt;margin-top:13.454837pt;width:75.6pt;height:2.7pt;mso-position-horizontal-relative:column;mso-position-vertical-relative:paragraph;z-index:-25554432" id="docshapegroup652" coordorigin="87,269" coordsize="1512,54">
                      <v:shape style="position:absolute;left:87;top:269;width:1512;height:54" id="docshape653" coordorigin="87,269" coordsize="1512,54" path="m1599,310l1572,310,195,310,87,310,87,323,195,323,1572,323,1599,323,1599,310xm1599,269l1572,269,195,269,87,269,87,283,195,283,1572,283,1599,283,1599,269xe" filled="true" fillcolor="#000000" stroked="false">
                        <v:path arrowok="t"/>
                        <v:fill type="solid"/>
                      </v:shape>
                      <w10:wrap type="none"/>
                    </v:group>
                  </w:pict>
                </mc:Fallback>
              </mc:AlternateContent>
            </w:r>
            <w:r>
              <w:rPr>
                <w:spacing w:val="-10"/>
                <w:sz w:val="18"/>
              </w:rPr>
              <w:t>$</w:t>
            </w:r>
            <w:r>
              <w:rPr>
                <w:sz w:val="18"/>
              </w:rPr>
              <w:tab/>
            </w:r>
            <w:r>
              <w:rPr>
                <w:spacing w:val="-2"/>
                <w:sz w:val="18"/>
              </w:rPr>
              <w:t>9,680,140</w:t>
            </w:r>
          </w:p>
        </w:tc>
        <w:tc>
          <w:tcPr>
            <w:tcW w:w="1623" w:type="dxa"/>
            <w:tcBorders>
              <w:top w:val="single" w:sz="6" w:space="0" w:color="000000"/>
            </w:tcBorders>
          </w:tcPr>
          <w:p>
            <w:pPr>
              <w:pStyle w:val="TableParagraph"/>
              <w:tabs>
                <w:tab w:pos="709" w:val="left" w:leader="none"/>
              </w:tabs>
              <w:spacing w:before="20"/>
              <w:ind w:right="87"/>
              <w:jc w:val="right"/>
              <w:rPr>
                <w:sz w:val="18"/>
              </w:rPr>
            </w:pPr>
            <w:r>
              <w:rPr/>
              <mc:AlternateContent>
                <mc:Choice Requires="wps">
                  <w:drawing>
                    <wp:anchor distT="0" distB="0" distL="0" distR="0" allowOverlap="1" layoutInCell="1" locked="0" behindDoc="1" simplePos="0" relativeHeight="477762560">
                      <wp:simplePos x="0" y="0"/>
                      <wp:positionH relativeFrom="column">
                        <wp:posOffset>53736</wp:posOffset>
                      </wp:positionH>
                      <wp:positionV relativeFrom="paragraph">
                        <wp:posOffset>170876</wp:posOffset>
                      </wp:positionV>
                      <wp:extent cx="969010" cy="34290"/>
                      <wp:effectExtent l="0" t="0" r="0" b="0"/>
                      <wp:wrapNone/>
                      <wp:docPr id="656" name="Group 656"/>
                      <wp:cNvGraphicFramePr>
                        <a:graphicFrameLocks/>
                      </wp:cNvGraphicFramePr>
                      <a:graphic>
                        <a:graphicData uri="http://schemas.microsoft.com/office/word/2010/wordprocessingGroup">
                          <wpg:wgp>
                            <wpg:cNvPr id="656" name="Group 656"/>
                            <wpg:cNvGrpSpPr/>
                            <wpg:grpSpPr>
                              <a:xfrm>
                                <a:off x="0" y="0"/>
                                <a:ext cx="969010" cy="34290"/>
                                <a:chExt cx="969010" cy="34290"/>
                              </a:xfrm>
                            </wpg:grpSpPr>
                            <wps:wsp>
                              <wps:cNvPr id="657" name="Graphic 657"/>
                              <wps:cNvSpPr/>
                              <wps:spPr>
                                <a:xfrm>
                                  <a:off x="-11" y="-10"/>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31229pt;margin-top:13.454837pt;width:76.3pt;height:2.7pt;mso-position-horizontal-relative:column;mso-position-vertical-relative:paragraph;z-index:-25553920" id="docshapegroup654" coordorigin="85,269" coordsize="1526,54">
                      <v:shape style="position:absolute;left:84;top:269;width:1526;height:54" id="docshape655" coordorigin="85,269" coordsize="1526,54" path="m1610,310l1583,310,206,310,85,310,85,323,206,323,1583,323,1610,323,1610,310xm1610,269l1583,269,206,269,85,269,85,283,206,283,1583,283,1610,283,1610,269xe" filled="true" fillcolor="#000000" stroked="false">
                        <v:path arrowok="t"/>
                        <v:fill type="solid"/>
                      </v:shape>
                      <w10:wrap type="none"/>
                    </v:group>
                  </w:pict>
                </mc:Fallback>
              </mc:AlternateContent>
            </w:r>
            <w:r>
              <w:rPr>
                <w:spacing w:val="-10"/>
                <w:sz w:val="18"/>
              </w:rPr>
              <w:t>$</w:t>
            </w:r>
            <w:r>
              <w:rPr>
                <w:sz w:val="18"/>
              </w:rPr>
              <w:tab/>
            </w:r>
            <w:r>
              <w:rPr>
                <w:spacing w:val="-2"/>
                <w:sz w:val="18"/>
              </w:rPr>
              <w:t>5,162,082</w:t>
            </w:r>
          </w:p>
        </w:tc>
      </w:tr>
    </w:tbl>
    <w:p>
      <w:pPr>
        <w:pStyle w:val="BodyText"/>
      </w:pPr>
    </w:p>
    <w:p>
      <w:pPr>
        <w:pStyle w:val="BodyText"/>
      </w:pPr>
    </w:p>
    <w:p>
      <w:pPr>
        <w:pStyle w:val="BodyText"/>
        <w:spacing w:before="73"/>
      </w:pPr>
    </w:p>
    <w:p>
      <w:pPr>
        <w:pStyle w:val="BodyText"/>
        <w:ind w:left="24"/>
        <w:jc w:val="center"/>
      </w:pPr>
      <w:r>
        <w:rPr>
          <w:spacing w:val="-5"/>
        </w:rPr>
        <w:t>96</w:t>
      </w:r>
    </w:p>
    <w:p>
      <w:pPr>
        <w:pStyle w:val="BodyText"/>
        <w:spacing w:before="3"/>
        <w:rPr>
          <w:sz w:val="6"/>
        </w:rPr>
      </w:pPr>
      <w:r>
        <w:rPr/>
        <mc:AlternateContent>
          <mc:Choice Requires="wps">
            <w:drawing>
              <wp:anchor distT="0" distB="0" distL="0" distR="0" allowOverlap="1" layoutInCell="1" locked="0" behindDoc="1" simplePos="0" relativeHeight="487719936">
                <wp:simplePos x="0" y="0"/>
                <wp:positionH relativeFrom="page">
                  <wp:posOffset>231457</wp:posOffset>
                </wp:positionH>
                <wp:positionV relativeFrom="paragraph">
                  <wp:posOffset>60956</wp:posOffset>
                </wp:positionV>
                <wp:extent cx="7312659" cy="17145"/>
                <wp:effectExtent l="0" t="0" r="0" b="0"/>
                <wp:wrapTopAndBottom/>
                <wp:docPr id="658" name="Group 658"/>
                <wp:cNvGraphicFramePr>
                  <a:graphicFrameLocks/>
                </wp:cNvGraphicFramePr>
                <a:graphic>
                  <a:graphicData uri="http://schemas.microsoft.com/office/word/2010/wordprocessingGroup">
                    <wpg:wgp>
                      <wpg:cNvPr id="658" name="Group 658"/>
                      <wpg:cNvGrpSpPr/>
                      <wpg:grpSpPr>
                        <a:xfrm>
                          <a:off x="0" y="0"/>
                          <a:ext cx="7312659" cy="17145"/>
                          <a:chExt cx="7312659" cy="17145"/>
                        </a:xfrm>
                      </wpg:grpSpPr>
                      <wps:wsp>
                        <wps:cNvPr id="659" name="Graphic 65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60" name="Graphic 660"/>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61" name="Graphic 66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96544;mso-wrap-distance-left:0;mso-wrap-distance-right:0" id="docshapegroup656" coordorigin="364,96" coordsize="11516,27">
                <v:rect style="position:absolute;left:364;top:96;width:11516;height:14" id="docshape657" filled="true" fillcolor="#999999" stroked="false">
                  <v:fill type="solid"/>
                </v:rect>
                <v:shape style="position:absolute;left:364;top:95;width:11516;height:27" id="docshape658" coordorigin="364,96" coordsize="11516,27" path="m11880,96l11866,109,364,109,364,123,11866,123,11880,123,11880,109,11880,96xe" filled="true" fillcolor="#ededed" stroked="false">
                  <v:path arrowok="t"/>
                  <v:fill type="solid"/>
                </v:shape>
                <v:shape style="position:absolute;left:364;top:96;width:14;height:27" id="docshape65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5"/>
        <w:spacing w:before="77"/>
        <w:ind w:left="6709"/>
      </w:pPr>
      <w:r>
        <w:rPr/>
        <mc:AlternateContent>
          <mc:Choice Requires="wps">
            <w:drawing>
              <wp:anchor distT="0" distB="0" distL="0" distR="0" allowOverlap="1" layoutInCell="1" locked="0" behindDoc="1" simplePos="0" relativeHeight="487721984">
                <wp:simplePos x="0" y="0"/>
                <wp:positionH relativeFrom="page">
                  <wp:posOffset>4483405</wp:posOffset>
                </wp:positionH>
                <wp:positionV relativeFrom="paragraph">
                  <wp:posOffset>198462</wp:posOffset>
                </wp:positionV>
                <wp:extent cx="3051810" cy="8890"/>
                <wp:effectExtent l="0" t="0" r="0" b="0"/>
                <wp:wrapTopAndBottom/>
                <wp:docPr id="662" name="Graphic 662"/>
                <wp:cNvGraphicFramePr>
                  <a:graphicFrameLocks/>
                </wp:cNvGraphicFramePr>
                <a:graphic>
                  <a:graphicData uri="http://schemas.microsoft.com/office/word/2010/wordprocessingShape">
                    <wps:wsp>
                      <wps:cNvPr id="662" name="Graphic 662"/>
                      <wps:cNvSpPr/>
                      <wps:spPr>
                        <a:xfrm>
                          <a:off x="0" y="0"/>
                          <a:ext cx="3051810" cy="8890"/>
                        </a:xfrm>
                        <a:custGeom>
                          <a:avLst/>
                          <a:gdLst/>
                          <a:ahLst/>
                          <a:cxnLst/>
                          <a:rect l="l" t="t" r="r" b="b"/>
                          <a:pathLst>
                            <a:path w="3051810" h="8890">
                              <a:moveTo>
                                <a:pt x="3051810" y="0"/>
                              </a:moveTo>
                              <a:lnTo>
                                <a:pt x="3051810" y="0"/>
                              </a:lnTo>
                              <a:lnTo>
                                <a:pt x="0" y="0"/>
                              </a:lnTo>
                              <a:lnTo>
                                <a:pt x="0" y="8572"/>
                              </a:lnTo>
                              <a:lnTo>
                                <a:pt x="3051810" y="8572"/>
                              </a:lnTo>
                              <a:lnTo>
                                <a:pt x="30518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024017pt;margin-top:15.626966pt;width:240.300011pt;height:.675pt;mso-position-horizontal-relative:page;mso-position-vertical-relative:paragraph;z-index:-15594496;mso-wrap-distance-left:0;mso-wrap-distance-right:0" id="docshape660"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44" w:val="left" w:leader="none"/>
          <w:tab w:pos="9982" w:val="left" w:leader="none"/>
        </w:tabs>
        <w:spacing w:before="21" w:after="29"/>
        <w:ind w:left="6708"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40"/>
        <w:rPr>
          <w:sz w:val="2"/>
        </w:rPr>
      </w:pPr>
      <w:r>
        <w:rPr>
          <w:sz w:val="2"/>
        </w:rPr>
        <mc:AlternateContent>
          <mc:Choice Requires="wps">
            <w:drawing>
              <wp:inline distT="0" distB="0" distL="0" distR="0">
                <wp:extent cx="3051810" cy="8890"/>
                <wp:effectExtent l="0" t="0" r="0" b="0"/>
                <wp:docPr id="663" name="Group 663"/>
                <wp:cNvGraphicFramePr>
                  <a:graphicFrameLocks/>
                </wp:cNvGraphicFramePr>
                <a:graphic>
                  <a:graphicData uri="http://schemas.microsoft.com/office/word/2010/wordprocessingGroup">
                    <wpg:wgp>
                      <wpg:cNvPr id="663" name="Group 663"/>
                      <wpg:cNvGrpSpPr/>
                      <wpg:grpSpPr>
                        <a:xfrm>
                          <a:off x="0" y="0"/>
                          <a:ext cx="3051810" cy="8890"/>
                          <a:chExt cx="3051810" cy="8890"/>
                        </a:xfrm>
                      </wpg:grpSpPr>
                      <wps:wsp>
                        <wps:cNvPr id="664" name="Graphic 664"/>
                        <wps:cNvSpPr/>
                        <wps:spPr>
                          <a:xfrm>
                            <a:off x="-12" y="-6"/>
                            <a:ext cx="3051810" cy="8890"/>
                          </a:xfrm>
                          <a:custGeom>
                            <a:avLst/>
                            <a:gdLst/>
                            <a:ahLst/>
                            <a:cxnLst/>
                            <a:rect l="l" t="t" r="r" b="b"/>
                            <a:pathLst>
                              <a:path w="3051810" h="8890">
                                <a:moveTo>
                                  <a:pt x="3051810" y="0"/>
                                </a:moveTo>
                                <a:lnTo>
                                  <a:pt x="3051810" y="0"/>
                                </a:lnTo>
                                <a:lnTo>
                                  <a:pt x="0" y="0"/>
                                </a:lnTo>
                                <a:lnTo>
                                  <a:pt x="0" y="8572"/>
                                </a:lnTo>
                                <a:lnTo>
                                  <a:pt x="3051810" y="8572"/>
                                </a:lnTo>
                                <a:lnTo>
                                  <a:pt x="30518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0.3pt;height:.7pt;mso-position-horizontal-relative:char;mso-position-vertical-relative:line" id="docshapegroup661" coordorigin="0,0" coordsize="4806,14">
                <v:rect style="position:absolute;left:-1;top:-1;width:4806;height:14" id="docshape662" filled="true" fillcolor="#000000" stroked="false">
                  <v:fill type="solid"/>
                </v:rect>
              </v:group>
            </w:pict>
          </mc:Fallback>
        </mc:AlternateContent>
      </w:r>
      <w:r>
        <w:rPr>
          <w:sz w:val="2"/>
        </w:rPr>
      </w:r>
    </w:p>
    <w:p>
      <w:pPr>
        <w:spacing w:before="11" w:after="38"/>
        <w:ind w:left="6709" w:right="0" w:firstLine="0"/>
        <w:jc w:val="center"/>
        <w:rPr>
          <w:b/>
          <w:i/>
          <w:sz w:val="14"/>
        </w:rPr>
      </w:pPr>
      <w:r>
        <w:rPr>
          <w:b/>
          <w:i/>
          <w:sz w:val="14"/>
        </w:rPr>
        <w:t>(In</w:t>
      </w:r>
      <w:r>
        <w:rPr>
          <w:b/>
          <w:i/>
          <w:spacing w:val="3"/>
          <w:sz w:val="14"/>
        </w:rPr>
        <w:t> </w:t>
      </w:r>
      <w:r>
        <w:rPr>
          <w:b/>
          <w:i/>
          <w:spacing w:val="-2"/>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0"/>
        <w:gridCol w:w="2365"/>
        <w:gridCol w:w="1636"/>
        <w:gridCol w:w="1602"/>
      </w:tblGrid>
      <w:tr>
        <w:trPr>
          <w:trHeight w:val="256" w:hRule="atLeast"/>
        </w:trPr>
        <w:tc>
          <w:tcPr>
            <w:tcW w:w="11513" w:type="dxa"/>
            <w:gridSpan w:val="4"/>
            <w:shd w:val="clear" w:color="auto" w:fill="CCEDFF"/>
          </w:tcPr>
          <w:p>
            <w:pPr>
              <w:pStyle w:val="TableParagraph"/>
              <w:ind w:left="17"/>
              <w:rPr>
                <w:b/>
                <w:sz w:val="18"/>
              </w:rPr>
            </w:pPr>
            <w:r>
              <w:rPr>
                <w:b/>
                <w:sz w:val="18"/>
              </w:rPr>
              <w:t>Adjusted</w:t>
            </w:r>
            <w:r>
              <w:rPr>
                <w:b/>
                <w:spacing w:val="-3"/>
                <w:sz w:val="18"/>
              </w:rPr>
              <w:t> </w:t>
            </w:r>
            <w:r>
              <w:rPr>
                <w:b/>
                <w:sz w:val="18"/>
              </w:rPr>
              <w:t>Property</w:t>
            </w:r>
            <w:r>
              <w:rPr>
                <w:b/>
                <w:spacing w:val="-3"/>
                <w:sz w:val="18"/>
              </w:rPr>
              <w:t> </w:t>
            </w:r>
            <w:r>
              <w:rPr>
                <w:b/>
                <w:spacing w:val="-2"/>
                <w:sz w:val="18"/>
              </w:rPr>
              <w:t>EBITDAR</w:t>
            </w:r>
          </w:p>
        </w:tc>
      </w:tr>
      <w:tr>
        <w:trPr>
          <w:trHeight w:val="269" w:hRule="atLeast"/>
        </w:trPr>
        <w:tc>
          <w:tcPr>
            <w:tcW w:w="5910" w:type="dxa"/>
          </w:tcPr>
          <w:p>
            <w:pPr>
              <w:pStyle w:val="TableParagraph"/>
              <w:ind w:left="217"/>
              <w:rPr>
                <w:sz w:val="18"/>
              </w:rPr>
            </w:pPr>
            <w:r>
              <w:rPr>
                <w:sz w:val="18"/>
              </w:rPr>
              <w:t>Las</w:t>
            </w:r>
            <w:r>
              <w:rPr>
                <w:spacing w:val="-11"/>
                <w:sz w:val="18"/>
              </w:rPr>
              <w:t> </w:t>
            </w:r>
            <w:r>
              <w:rPr>
                <w:sz w:val="18"/>
              </w:rPr>
              <w:t>Vegas</w:t>
            </w:r>
            <w:r>
              <w:rPr>
                <w:spacing w:val="-8"/>
                <w:sz w:val="18"/>
              </w:rPr>
              <w:t> </w:t>
            </w:r>
            <w:r>
              <w:rPr>
                <w:sz w:val="18"/>
              </w:rPr>
              <w:t>Strip</w:t>
            </w:r>
            <w:r>
              <w:rPr>
                <w:spacing w:val="-7"/>
                <w:sz w:val="18"/>
              </w:rPr>
              <w:t> </w:t>
            </w:r>
            <w:r>
              <w:rPr>
                <w:spacing w:val="-2"/>
                <w:sz w:val="18"/>
              </w:rPr>
              <w:t>Resorts</w:t>
            </w:r>
          </w:p>
        </w:tc>
        <w:tc>
          <w:tcPr>
            <w:tcW w:w="2365" w:type="dxa"/>
          </w:tcPr>
          <w:p>
            <w:pPr>
              <w:pStyle w:val="TableParagraph"/>
              <w:tabs>
                <w:tab w:pos="709" w:val="left" w:leader="none"/>
              </w:tabs>
              <w:ind w:right="122"/>
              <w:jc w:val="right"/>
              <w:rPr>
                <w:sz w:val="18"/>
              </w:rPr>
            </w:pPr>
            <w:r>
              <w:rPr>
                <w:spacing w:val="-10"/>
                <w:sz w:val="18"/>
              </w:rPr>
              <w:t>$</w:t>
            </w:r>
            <w:r>
              <w:rPr>
                <w:sz w:val="18"/>
              </w:rPr>
              <w:tab/>
            </w:r>
            <w:r>
              <w:rPr>
                <w:spacing w:val="-2"/>
                <w:sz w:val="18"/>
              </w:rPr>
              <w:t>3,142,308</w:t>
            </w:r>
          </w:p>
        </w:tc>
        <w:tc>
          <w:tcPr>
            <w:tcW w:w="1636" w:type="dxa"/>
          </w:tcPr>
          <w:p>
            <w:pPr>
              <w:pStyle w:val="TableParagraph"/>
              <w:tabs>
                <w:tab w:pos="716" w:val="left" w:leader="none"/>
              </w:tabs>
              <w:ind w:right="122"/>
              <w:jc w:val="right"/>
              <w:rPr>
                <w:sz w:val="18"/>
              </w:rPr>
            </w:pPr>
            <w:r>
              <w:rPr>
                <w:spacing w:val="-10"/>
                <w:sz w:val="18"/>
              </w:rPr>
              <w:t>$</w:t>
            </w:r>
            <w:r>
              <w:rPr>
                <w:sz w:val="18"/>
              </w:rPr>
              <w:tab/>
            </w:r>
            <w:r>
              <w:rPr>
                <w:spacing w:val="-2"/>
                <w:sz w:val="18"/>
              </w:rPr>
              <w:t>1,738,211</w:t>
            </w:r>
          </w:p>
        </w:tc>
        <w:tc>
          <w:tcPr>
            <w:tcW w:w="1602" w:type="dxa"/>
          </w:tcPr>
          <w:p>
            <w:pPr>
              <w:pStyle w:val="TableParagraph"/>
              <w:tabs>
                <w:tab w:pos="845" w:val="left" w:leader="none"/>
              </w:tabs>
              <w:ind w:right="85"/>
              <w:jc w:val="right"/>
              <w:rPr>
                <w:sz w:val="18"/>
              </w:rPr>
            </w:pPr>
            <w:r>
              <w:rPr>
                <w:spacing w:val="-10"/>
                <w:sz w:val="18"/>
              </w:rPr>
              <w:t>$</w:t>
            </w:r>
            <w:r>
              <w:rPr>
                <w:sz w:val="18"/>
              </w:rPr>
              <w:tab/>
            </w:r>
            <w:r>
              <w:rPr>
                <w:spacing w:val="-2"/>
                <w:sz w:val="18"/>
              </w:rPr>
              <w:t>232,188</w:t>
            </w:r>
          </w:p>
        </w:tc>
      </w:tr>
      <w:tr>
        <w:trPr>
          <w:trHeight w:val="256" w:hRule="atLeast"/>
        </w:trPr>
        <w:tc>
          <w:tcPr>
            <w:tcW w:w="5910" w:type="dxa"/>
            <w:shd w:val="clear" w:color="auto" w:fill="CCEDFF"/>
          </w:tcPr>
          <w:p>
            <w:pPr>
              <w:pStyle w:val="TableParagraph"/>
              <w:ind w:left="217"/>
              <w:rPr>
                <w:sz w:val="18"/>
              </w:rPr>
            </w:pPr>
            <w:r>
              <w:rPr>
                <w:sz w:val="18"/>
              </w:rPr>
              <w:t>Regional</w:t>
            </w:r>
            <w:r>
              <w:rPr>
                <w:spacing w:val="-1"/>
                <w:sz w:val="18"/>
              </w:rPr>
              <w:t> </w:t>
            </w:r>
            <w:r>
              <w:rPr>
                <w:spacing w:val="-2"/>
                <w:sz w:val="18"/>
              </w:rPr>
              <w:t>Operations</w:t>
            </w:r>
          </w:p>
        </w:tc>
        <w:tc>
          <w:tcPr>
            <w:tcW w:w="2365" w:type="dxa"/>
            <w:shd w:val="clear" w:color="auto" w:fill="CCEDFF"/>
          </w:tcPr>
          <w:p>
            <w:pPr>
              <w:pStyle w:val="TableParagraph"/>
              <w:ind w:right="122"/>
              <w:jc w:val="right"/>
              <w:rPr>
                <w:sz w:val="18"/>
              </w:rPr>
            </w:pPr>
            <w:r>
              <w:rPr>
                <w:spacing w:val="-2"/>
                <w:sz w:val="18"/>
              </w:rPr>
              <w:t>1,294,630</w:t>
            </w:r>
          </w:p>
        </w:tc>
        <w:tc>
          <w:tcPr>
            <w:tcW w:w="1636" w:type="dxa"/>
            <w:shd w:val="clear" w:color="auto" w:fill="CCEDFF"/>
          </w:tcPr>
          <w:p>
            <w:pPr>
              <w:pStyle w:val="TableParagraph"/>
              <w:ind w:right="122"/>
              <w:jc w:val="right"/>
              <w:rPr>
                <w:sz w:val="18"/>
              </w:rPr>
            </w:pPr>
            <w:r>
              <w:rPr>
                <w:spacing w:val="-2"/>
                <w:sz w:val="18"/>
              </w:rPr>
              <w:t>1,217,814</w:t>
            </w:r>
          </w:p>
        </w:tc>
        <w:tc>
          <w:tcPr>
            <w:tcW w:w="1602" w:type="dxa"/>
            <w:shd w:val="clear" w:color="auto" w:fill="CCEDFF"/>
          </w:tcPr>
          <w:p>
            <w:pPr>
              <w:pStyle w:val="TableParagraph"/>
              <w:ind w:right="85"/>
              <w:jc w:val="right"/>
              <w:rPr>
                <w:sz w:val="18"/>
              </w:rPr>
            </w:pPr>
            <w:r>
              <w:rPr>
                <w:spacing w:val="-2"/>
                <w:sz w:val="18"/>
              </w:rPr>
              <w:t>343,990</w:t>
            </w:r>
          </w:p>
        </w:tc>
      </w:tr>
      <w:tr>
        <w:trPr>
          <w:trHeight w:val="255" w:hRule="atLeast"/>
        </w:trPr>
        <w:tc>
          <w:tcPr>
            <w:tcW w:w="5910" w:type="dxa"/>
          </w:tcPr>
          <w:p>
            <w:pPr>
              <w:pStyle w:val="TableParagraph"/>
              <w:ind w:left="217"/>
              <w:rPr>
                <w:sz w:val="18"/>
              </w:rPr>
            </w:pPr>
            <w:r>
              <w:rPr>
                <w:sz w:val="18"/>
              </w:rPr>
              <w:t>MGM</w:t>
            </w:r>
            <w:r>
              <w:rPr>
                <w:spacing w:val="-1"/>
                <w:sz w:val="18"/>
              </w:rPr>
              <w:t> </w:t>
            </w:r>
            <w:r>
              <w:rPr>
                <w:spacing w:val="-2"/>
                <w:sz w:val="18"/>
              </w:rPr>
              <w:t>China</w:t>
            </w:r>
          </w:p>
        </w:tc>
        <w:tc>
          <w:tcPr>
            <w:tcW w:w="2365" w:type="dxa"/>
            <w:tcBorders>
              <w:bottom w:val="single" w:sz="6" w:space="0" w:color="000000"/>
            </w:tcBorders>
          </w:tcPr>
          <w:p>
            <w:pPr>
              <w:pStyle w:val="TableParagraph"/>
              <w:ind w:right="77"/>
              <w:jc w:val="right"/>
              <w:rPr>
                <w:sz w:val="18"/>
              </w:rPr>
            </w:pPr>
            <w:r>
              <w:rPr>
                <w:spacing w:val="-2"/>
                <w:sz w:val="18"/>
              </w:rPr>
              <w:t>(203,136)</w:t>
            </w:r>
          </w:p>
        </w:tc>
        <w:tc>
          <w:tcPr>
            <w:tcW w:w="1636" w:type="dxa"/>
            <w:tcBorders>
              <w:bottom w:val="single" w:sz="6" w:space="0" w:color="000000"/>
            </w:tcBorders>
          </w:tcPr>
          <w:p>
            <w:pPr>
              <w:pStyle w:val="TableParagraph"/>
              <w:ind w:right="122"/>
              <w:jc w:val="right"/>
              <w:rPr>
                <w:sz w:val="18"/>
              </w:rPr>
            </w:pPr>
            <w:r>
              <w:rPr>
                <w:spacing w:val="-2"/>
                <w:sz w:val="18"/>
              </w:rPr>
              <w:t>25,367</w:t>
            </w:r>
          </w:p>
        </w:tc>
        <w:tc>
          <w:tcPr>
            <w:tcW w:w="1602" w:type="dxa"/>
            <w:tcBorders>
              <w:bottom w:val="single" w:sz="6" w:space="0" w:color="000000"/>
            </w:tcBorders>
          </w:tcPr>
          <w:p>
            <w:pPr>
              <w:pStyle w:val="TableParagraph"/>
              <w:ind w:right="40"/>
              <w:jc w:val="right"/>
              <w:rPr>
                <w:sz w:val="18"/>
              </w:rPr>
            </w:pPr>
            <w:r>
              <w:rPr>
                <w:spacing w:val="-2"/>
                <w:sz w:val="18"/>
              </w:rPr>
              <w:t>(193,832)</w:t>
            </w:r>
          </w:p>
        </w:tc>
      </w:tr>
      <w:tr>
        <w:trPr>
          <w:trHeight w:val="255" w:hRule="atLeast"/>
        </w:trPr>
        <w:tc>
          <w:tcPr>
            <w:tcW w:w="5910" w:type="dxa"/>
            <w:shd w:val="clear" w:color="auto" w:fill="CCEDFF"/>
          </w:tcPr>
          <w:p>
            <w:pPr>
              <w:pStyle w:val="TableParagraph"/>
              <w:spacing w:before="20"/>
              <w:ind w:left="462"/>
              <w:rPr>
                <w:sz w:val="18"/>
              </w:rPr>
            </w:pPr>
            <w:r>
              <w:rPr>
                <w:sz w:val="18"/>
              </w:rPr>
              <w:t>Reportable</w:t>
            </w:r>
            <w:r>
              <w:rPr>
                <w:spacing w:val="-1"/>
                <w:sz w:val="18"/>
              </w:rPr>
              <w:t> </w:t>
            </w:r>
            <w:r>
              <w:rPr>
                <w:sz w:val="18"/>
              </w:rPr>
              <w:t>segment</w:t>
            </w:r>
            <w:r>
              <w:rPr>
                <w:spacing w:val="-10"/>
                <w:sz w:val="18"/>
              </w:rPr>
              <w:t> </w:t>
            </w:r>
            <w:r>
              <w:rPr>
                <w:sz w:val="18"/>
              </w:rPr>
              <w:t>Adjusted</w:t>
            </w:r>
            <w:r>
              <w:rPr>
                <w:spacing w:val="-1"/>
                <w:sz w:val="18"/>
              </w:rPr>
              <w:t> </w:t>
            </w:r>
            <w:r>
              <w:rPr>
                <w:sz w:val="18"/>
              </w:rPr>
              <w:t>Property</w:t>
            </w:r>
            <w:r>
              <w:rPr>
                <w:spacing w:val="-1"/>
                <w:sz w:val="18"/>
              </w:rPr>
              <w:t> </w:t>
            </w:r>
            <w:r>
              <w:rPr>
                <w:spacing w:val="-2"/>
                <w:sz w:val="18"/>
              </w:rPr>
              <w:t>EBITDAR</w:t>
            </w:r>
          </w:p>
        </w:tc>
        <w:tc>
          <w:tcPr>
            <w:tcW w:w="2365" w:type="dxa"/>
            <w:tcBorders>
              <w:top w:val="single" w:sz="6" w:space="0" w:color="000000"/>
            </w:tcBorders>
            <w:shd w:val="clear" w:color="auto" w:fill="CCEDFF"/>
          </w:tcPr>
          <w:p>
            <w:pPr>
              <w:pStyle w:val="TableParagraph"/>
              <w:spacing w:before="20"/>
              <w:ind w:right="122"/>
              <w:jc w:val="right"/>
              <w:rPr>
                <w:sz w:val="18"/>
              </w:rPr>
            </w:pPr>
            <w:r>
              <w:rPr>
                <w:spacing w:val="-2"/>
                <w:sz w:val="18"/>
              </w:rPr>
              <w:t>4,233,802</w:t>
            </w:r>
          </w:p>
        </w:tc>
        <w:tc>
          <w:tcPr>
            <w:tcW w:w="1636" w:type="dxa"/>
            <w:tcBorders>
              <w:top w:val="single" w:sz="6" w:space="0" w:color="000000"/>
            </w:tcBorders>
            <w:shd w:val="clear" w:color="auto" w:fill="CCEDFF"/>
          </w:tcPr>
          <w:p>
            <w:pPr>
              <w:pStyle w:val="TableParagraph"/>
              <w:spacing w:before="20"/>
              <w:ind w:right="122"/>
              <w:jc w:val="right"/>
              <w:rPr>
                <w:sz w:val="18"/>
              </w:rPr>
            </w:pPr>
            <w:r>
              <w:rPr>
                <w:spacing w:val="-2"/>
                <w:sz w:val="18"/>
              </w:rPr>
              <w:t>2,981,392</w:t>
            </w:r>
          </w:p>
        </w:tc>
        <w:tc>
          <w:tcPr>
            <w:tcW w:w="1602" w:type="dxa"/>
            <w:tcBorders>
              <w:top w:val="single" w:sz="6" w:space="0" w:color="000000"/>
            </w:tcBorders>
            <w:shd w:val="clear" w:color="auto" w:fill="CCEDFF"/>
          </w:tcPr>
          <w:p>
            <w:pPr>
              <w:pStyle w:val="TableParagraph"/>
              <w:spacing w:before="20"/>
              <w:ind w:right="85"/>
              <w:jc w:val="right"/>
              <w:rPr>
                <w:sz w:val="18"/>
              </w:rPr>
            </w:pPr>
            <w:r>
              <w:rPr>
                <w:spacing w:val="-2"/>
                <w:sz w:val="18"/>
              </w:rPr>
              <w:t>382,346</w:t>
            </w:r>
          </w:p>
        </w:tc>
      </w:tr>
    </w:tbl>
    <w:p>
      <w:pPr>
        <w:pStyle w:val="BodyText"/>
        <w:spacing w:before="43"/>
        <w:rPr>
          <w:b/>
          <w:i/>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0"/>
        <w:gridCol w:w="2365"/>
        <w:gridCol w:w="1636"/>
        <w:gridCol w:w="1602"/>
      </w:tblGrid>
      <w:tr>
        <w:trPr>
          <w:trHeight w:val="256" w:hRule="atLeast"/>
        </w:trPr>
        <w:tc>
          <w:tcPr>
            <w:tcW w:w="11513" w:type="dxa"/>
            <w:gridSpan w:val="4"/>
            <w:shd w:val="clear" w:color="auto" w:fill="CCEDFF"/>
          </w:tcPr>
          <w:p>
            <w:pPr>
              <w:pStyle w:val="TableParagraph"/>
              <w:ind w:left="17"/>
              <w:rPr>
                <w:b/>
                <w:sz w:val="18"/>
              </w:rPr>
            </w:pPr>
            <w:r>
              <w:rPr>
                <w:b/>
                <w:sz w:val="18"/>
              </w:rPr>
              <w:t>Other</w:t>
            </w:r>
            <w:r>
              <w:rPr>
                <w:b/>
                <w:spacing w:val="-4"/>
                <w:sz w:val="18"/>
              </w:rPr>
              <w:t> </w:t>
            </w:r>
            <w:r>
              <w:rPr>
                <w:b/>
                <w:sz w:val="18"/>
              </w:rPr>
              <w:t>operating</w:t>
            </w:r>
            <w:r>
              <w:rPr>
                <w:b/>
                <w:spacing w:val="-1"/>
                <w:sz w:val="18"/>
              </w:rPr>
              <w:t> </w:t>
            </w:r>
            <w:r>
              <w:rPr>
                <w:b/>
                <w:sz w:val="18"/>
              </w:rPr>
              <w:t>income</w:t>
            </w:r>
            <w:r>
              <w:rPr>
                <w:b/>
                <w:spacing w:val="-1"/>
                <w:sz w:val="18"/>
              </w:rPr>
              <w:t> </w:t>
            </w:r>
            <w:r>
              <w:rPr>
                <w:b/>
                <w:spacing w:val="-2"/>
                <w:sz w:val="18"/>
              </w:rPr>
              <w:t>(expense)</w:t>
            </w:r>
          </w:p>
        </w:tc>
      </w:tr>
      <w:tr>
        <w:trPr>
          <w:trHeight w:val="256" w:hRule="atLeast"/>
        </w:trPr>
        <w:tc>
          <w:tcPr>
            <w:tcW w:w="5910" w:type="dxa"/>
          </w:tcPr>
          <w:p>
            <w:pPr>
              <w:pStyle w:val="TableParagraph"/>
              <w:ind w:left="217"/>
              <w:rPr>
                <w:sz w:val="18"/>
              </w:rPr>
            </w:pPr>
            <w:r>
              <w:rPr>
                <w:sz w:val="18"/>
              </w:rPr>
              <w:t>Corporate</w:t>
            </w:r>
            <w:r>
              <w:rPr>
                <w:spacing w:val="-4"/>
                <w:sz w:val="18"/>
              </w:rPr>
              <w:t> </w:t>
            </w:r>
            <w:r>
              <w:rPr>
                <w:sz w:val="18"/>
              </w:rPr>
              <w:t>and</w:t>
            </w:r>
            <w:r>
              <w:rPr>
                <w:spacing w:val="-4"/>
                <w:sz w:val="18"/>
              </w:rPr>
              <w:t> </w:t>
            </w:r>
            <w:r>
              <w:rPr>
                <w:sz w:val="18"/>
              </w:rPr>
              <w:t>other,</w:t>
            </w:r>
            <w:r>
              <w:rPr>
                <w:spacing w:val="-3"/>
                <w:sz w:val="18"/>
              </w:rPr>
              <w:t> </w:t>
            </w:r>
            <w:r>
              <w:rPr>
                <w:spacing w:val="-5"/>
                <w:sz w:val="18"/>
              </w:rPr>
              <w:t>net</w:t>
            </w:r>
          </w:p>
        </w:tc>
        <w:tc>
          <w:tcPr>
            <w:tcW w:w="2365" w:type="dxa"/>
          </w:tcPr>
          <w:p>
            <w:pPr>
              <w:pStyle w:val="TableParagraph"/>
              <w:spacing w:before="30"/>
              <w:ind w:right="77"/>
              <w:jc w:val="right"/>
              <w:rPr>
                <w:sz w:val="17"/>
              </w:rPr>
            </w:pPr>
            <w:r>
              <w:rPr>
                <w:spacing w:val="-2"/>
                <w:sz w:val="17"/>
              </w:rPr>
              <w:t>(736,548)</w:t>
            </w:r>
          </w:p>
        </w:tc>
        <w:tc>
          <w:tcPr>
            <w:tcW w:w="1636" w:type="dxa"/>
          </w:tcPr>
          <w:p>
            <w:pPr>
              <w:pStyle w:val="TableParagraph"/>
              <w:spacing w:before="30"/>
              <w:ind w:right="77"/>
              <w:jc w:val="right"/>
              <w:rPr>
                <w:sz w:val="17"/>
              </w:rPr>
            </w:pPr>
            <w:r>
              <w:rPr>
                <w:spacing w:val="-2"/>
                <w:sz w:val="17"/>
              </w:rPr>
              <w:t>(560,309)</w:t>
            </w:r>
          </w:p>
        </w:tc>
        <w:tc>
          <w:tcPr>
            <w:tcW w:w="1602" w:type="dxa"/>
          </w:tcPr>
          <w:p>
            <w:pPr>
              <w:pStyle w:val="TableParagraph"/>
              <w:spacing w:before="30"/>
              <w:ind w:right="40"/>
              <w:jc w:val="right"/>
              <w:rPr>
                <w:sz w:val="17"/>
              </w:rPr>
            </w:pPr>
            <w:r>
              <w:rPr>
                <w:spacing w:val="-2"/>
                <w:sz w:val="17"/>
              </w:rPr>
              <w:t>(530,843)</w:t>
            </w:r>
          </w:p>
        </w:tc>
      </w:tr>
      <w:tr>
        <w:trPr>
          <w:trHeight w:val="256" w:hRule="atLeast"/>
        </w:trPr>
        <w:tc>
          <w:tcPr>
            <w:tcW w:w="5910" w:type="dxa"/>
            <w:shd w:val="clear" w:color="auto" w:fill="CCEDFF"/>
          </w:tcPr>
          <w:p>
            <w:pPr>
              <w:pStyle w:val="TableParagraph"/>
              <w:ind w:left="217"/>
              <w:rPr>
                <w:sz w:val="18"/>
              </w:rPr>
            </w:pPr>
            <w:r>
              <w:rPr>
                <w:sz w:val="18"/>
              </w:rPr>
              <w:t>Preopening</w:t>
            </w:r>
            <w:r>
              <w:rPr>
                <w:spacing w:val="-3"/>
                <w:sz w:val="18"/>
              </w:rPr>
              <w:t> </w:t>
            </w:r>
            <w:r>
              <w:rPr>
                <w:sz w:val="18"/>
              </w:rPr>
              <w:t>and</w:t>
            </w:r>
            <w:r>
              <w:rPr>
                <w:spacing w:val="-1"/>
                <w:sz w:val="18"/>
              </w:rPr>
              <w:t> </w:t>
            </w:r>
            <w:r>
              <w:rPr>
                <w:sz w:val="18"/>
              </w:rPr>
              <w:t>start-up</w:t>
            </w:r>
            <w:r>
              <w:rPr>
                <w:spacing w:val="-1"/>
                <w:sz w:val="18"/>
              </w:rPr>
              <w:t> </w:t>
            </w:r>
            <w:r>
              <w:rPr>
                <w:spacing w:val="-2"/>
                <w:sz w:val="18"/>
              </w:rPr>
              <w:t>expenses</w:t>
            </w:r>
          </w:p>
        </w:tc>
        <w:tc>
          <w:tcPr>
            <w:tcW w:w="2365" w:type="dxa"/>
            <w:shd w:val="clear" w:color="auto" w:fill="CCEDFF"/>
          </w:tcPr>
          <w:p>
            <w:pPr>
              <w:pStyle w:val="TableParagraph"/>
              <w:spacing w:before="30"/>
              <w:ind w:right="77"/>
              <w:jc w:val="right"/>
              <w:rPr>
                <w:sz w:val="17"/>
              </w:rPr>
            </w:pPr>
            <w:r>
              <w:rPr>
                <w:spacing w:val="-2"/>
                <w:sz w:val="17"/>
              </w:rPr>
              <w:t>(1,876)</w:t>
            </w:r>
          </w:p>
        </w:tc>
        <w:tc>
          <w:tcPr>
            <w:tcW w:w="1636" w:type="dxa"/>
            <w:shd w:val="clear" w:color="auto" w:fill="CCEDFF"/>
          </w:tcPr>
          <w:p>
            <w:pPr>
              <w:pStyle w:val="TableParagraph"/>
              <w:spacing w:before="30"/>
              <w:ind w:right="77"/>
              <w:jc w:val="right"/>
              <w:rPr>
                <w:sz w:val="17"/>
              </w:rPr>
            </w:pPr>
            <w:r>
              <w:rPr>
                <w:spacing w:val="-2"/>
                <w:sz w:val="17"/>
              </w:rPr>
              <w:t>(5,094)</w:t>
            </w:r>
          </w:p>
        </w:tc>
        <w:tc>
          <w:tcPr>
            <w:tcW w:w="1602" w:type="dxa"/>
            <w:shd w:val="clear" w:color="auto" w:fill="CCEDFF"/>
          </w:tcPr>
          <w:p>
            <w:pPr>
              <w:pStyle w:val="TableParagraph"/>
              <w:spacing w:before="30"/>
              <w:ind w:right="40"/>
              <w:jc w:val="right"/>
              <w:rPr>
                <w:sz w:val="17"/>
              </w:rPr>
            </w:pPr>
            <w:r>
              <w:rPr>
                <w:spacing w:val="-4"/>
                <w:sz w:val="17"/>
              </w:rPr>
              <w:t>(84)</w:t>
            </w:r>
          </w:p>
        </w:tc>
      </w:tr>
      <w:tr>
        <w:trPr>
          <w:trHeight w:val="256" w:hRule="atLeast"/>
        </w:trPr>
        <w:tc>
          <w:tcPr>
            <w:tcW w:w="5910" w:type="dxa"/>
          </w:tcPr>
          <w:p>
            <w:pPr>
              <w:pStyle w:val="TableParagraph"/>
              <w:ind w:left="217"/>
              <w:rPr>
                <w:sz w:val="18"/>
              </w:rPr>
            </w:pPr>
            <w:r>
              <w:rPr>
                <w:sz w:val="18"/>
              </w:rPr>
              <w:t>Property</w:t>
            </w:r>
            <w:r>
              <w:rPr>
                <w:spacing w:val="-1"/>
                <w:sz w:val="18"/>
              </w:rPr>
              <w:t> </w:t>
            </w:r>
            <w:r>
              <w:rPr>
                <w:sz w:val="18"/>
              </w:rPr>
              <w:t>transactions,</w:t>
            </w:r>
            <w:r>
              <w:rPr>
                <w:spacing w:val="-1"/>
                <w:sz w:val="18"/>
              </w:rPr>
              <w:t> </w:t>
            </w:r>
            <w:r>
              <w:rPr>
                <w:spacing w:val="-5"/>
                <w:sz w:val="18"/>
              </w:rPr>
              <w:t>net</w:t>
            </w:r>
          </w:p>
        </w:tc>
        <w:tc>
          <w:tcPr>
            <w:tcW w:w="2365" w:type="dxa"/>
          </w:tcPr>
          <w:p>
            <w:pPr>
              <w:pStyle w:val="TableParagraph"/>
              <w:spacing w:before="30"/>
              <w:ind w:right="120"/>
              <w:jc w:val="right"/>
              <w:rPr>
                <w:sz w:val="17"/>
              </w:rPr>
            </w:pPr>
            <w:r>
              <w:rPr>
                <w:spacing w:val="-2"/>
                <w:sz w:val="17"/>
              </w:rPr>
              <w:t>1,036,997</w:t>
            </w:r>
          </w:p>
        </w:tc>
        <w:tc>
          <w:tcPr>
            <w:tcW w:w="1636" w:type="dxa"/>
          </w:tcPr>
          <w:p>
            <w:pPr>
              <w:pStyle w:val="TableParagraph"/>
              <w:spacing w:before="30"/>
              <w:ind w:right="119"/>
              <w:jc w:val="right"/>
              <w:rPr>
                <w:sz w:val="17"/>
              </w:rPr>
            </w:pPr>
            <w:r>
              <w:rPr>
                <w:spacing w:val="-2"/>
                <w:sz w:val="17"/>
              </w:rPr>
              <w:t>67,736</w:t>
            </w:r>
          </w:p>
        </w:tc>
        <w:tc>
          <w:tcPr>
            <w:tcW w:w="1602" w:type="dxa"/>
          </w:tcPr>
          <w:p>
            <w:pPr>
              <w:pStyle w:val="TableParagraph"/>
              <w:spacing w:before="30"/>
              <w:ind w:right="40"/>
              <w:jc w:val="right"/>
              <w:rPr>
                <w:sz w:val="17"/>
              </w:rPr>
            </w:pPr>
            <w:r>
              <w:rPr>
                <w:spacing w:val="-2"/>
                <w:sz w:val="17"/>
              </w:rPr>
              <w:t>(93,567)</w:t>
            </w:r>
          </w:p>
        </w:tc>
      </w:tr>
      <w:tr>
        <w:trPr>
          <w:trHeight w:val="269" w:hRule="atLeast"/>
        </w:trPr>
        <w:tc>
          <w:tcPr>
            <w:tcW w:w="5910" w:type="dxa"/>
            <w:shd w:val="clear" w:color="auto" w:fill="CCEDFF"/>
          </w:tcPr>
          <w:p>
            <w:pPr>
              <w:pStyle w:val="TableParagraph"/>
              <w:ind w:left="217"/>
              <w:rPr>
                <w:sz w:val="18"/>
              </w:rPr>
            </w:pPr>
            <w:r>
              <w:rPr>
                <w:sz w:val="18"/>
              </w:rPr>
              <w:t>Depreciation</w:t>
            </w:r>
            <w:r>
              <w:rPr>
                <w:spacing w:val="-1"/>
                <w:sz w:val="18"/>
              </w:rPr>
              <w:t> </w:t>
            </w:r>
            <w:r>
              <w:rPr>
                <w:sz w:val="18"/>
              </w:rPr>
              <w:t>and</w:t>
            </w:r>
            <w:r>
              <w:rPr>
                <w:spacing w:val="-1"/>
                <w:sz w:val="18"/>
              </w:rPr>
              <w:t> </w:t>
            </w:r>
            <w:r>
              <w:rPr>
                <w:spacing w:val="-2"/>
                <w:sz w:val="18"/>
              </w:rPr>
              <w:t>amortization</w:t>
            </w:r>
          </w:p>
        </w:tc>
        <w:tc>
          <w:tcPr>
            <w:tcW w:w="2365" w:type="dxa"/>
            <w:shd w:val="clear" w:color="auto" w:fill="CCEDFF"/>
          </w:tcPr>
          <w:p>
            <w:pPr>
              <w:pStyle w:val="TableParagraph"/>
              <w:spacing w:before="30"/>
              <w:ind w:right="77"/>
              <w:jc w:val="right"/>
              <w:rPr>
                <w:sz w:val="17"/>
              </w:rPr>
            </w:pPr>
            <w:r>
              <w:rPr>
                <w:spacing w:val="-2"/>
                <w:sz w:val="17"/>
              </w:rPr>
              <w:t>(3,482,050)</w:t>
            </w:r>
          </w:p>
        </w:tc>
        <w:tc>
          <w:tcPr>
            <w:tcW w:w="1636" w:type="dxa"/>
            <w:shd w:val="clear" w:color="auto" w:fill="CCEDFF"/>
          </w:tcPr>
          <w:p>
            <w:pPr>
              <w:pStyle w:val="TableParagraph"/>
              <w:spacing w:before="30"/>
              <w:ind w:right="77"/>
              <w:jc w:val="right"/>
              <w:rPr>
                <w:sz w:val="17"/>
              </w:rPr>
            </w:pPr>
            <w:r>
              <w:rPr>
                <w:spacing w:val="-2"/>
                <w:sz w:val="17"/>
              </w:rPr>
              <w:t>(1,150,610)</w:t>
            </w:r>
          </w:p>
        </w:tc>
        <w:tc>
          <w:tcPr>
            <w:tcW w:w="1602" w:type="dxa"/>
            <w:shd w:val="clear" w:color="auto" w:fill="CCEDFF"/>
          </w:tcPr>
          <w:p>
            <w:pPr>
              <w:pStyle w:val="TableParagraph"/>
              <w:spacing w:before="30"/>
              <w:ind w:right="40"/>
              <w:jc w:val="right"/>
              <w:rPr>
                <w:sz w:val="17"/>
              </w:rPr>
            </w:pPr>
            <w:r>
              <w:rPr>
                <w:spacing w:val="-2"/>
                <w:sz w:val="17"/>
              </w:rPr>
              <w:t>(1,210,556)</w:t>
            </w:r>
          </w:p>
        </w:tc>
      </w:tr>
      <w:tr>
        <w:trPr>
          <w:trHeight w:val="256" w:hRule="atLeast"/>
        </w:trPr>
        <w:tc>
          <w:tcPr>
            <w:tcW w:w="5910" w:type="dxa"/>
          </w:tcPr>
          <w:p>
            <w:pPr>
              <w:pStyle w:val="TableParagraph"/>
              <w:ind w:left="217"/>
              <w:rPr>
                <w:sz w:val="18"/>
              </w:rPr>
            </w:pPr>
            <w:r>
              <w:rPr>
                <w:sz w:val="18"/>
              </w:rPr>
              <w:t>Gain</w:t>
            </w:r>
            <w:r>
              <w:rPr>
                <w:spacing w:val="-1"/>
                <w:sz w:val="18"/>
              </w:rPr>
              <w:t> </w:t>
            </w:r>
            <w:r>
              <w:rPr>
                <w:sz w:val="18"/>
              </w:rPr>
              <w:t>on</w:t>
            </w:r>
            <w:r>
              <w:rPr>
                <w:spacing w:val="-1"/>
                <w:sz w:val="18"/>
              </w:rPr>
              <w:t> </w:t>
            </w:r>
            <w:r>
              <w:rPr>
                <w:sz w:val="18"/>
              </w:rPr>
              <w:t>REIT</w:t>
            </w:r>
            <w:r>
              <w:rPr>
                <w:spacing w:val="-4"/>
                <w:sz w:val="18"/>
              </w:rPr>
              <w:t> </w:t>
            </w:r>
            <w:r>
              <w:rPr>
                <w:sz w:val="18"/>
              </w:rPr>
              <w:t>transactions,</w:t>
            </w:r>
            <w:r>
              <w:rPr>
                <w:spacing w:val="-1"/>
                <w:sz w:val="18"/>
              </w:rPr>
              <w:t> </w:t>
            </w:r>
            <w:r>
              <w:rPr>
                <w:spacing w:val="-5"/>
                <w:sz w:val="18"/>
              </w:rPr>
              <w:t>net</w:t>
            </w:r>
          </w:p>
        </w:tc>
        <w:tc>
          <w:tcPr>
            <w:tcW w:w="2365" w:type="dxa"/>
          </w:tcPr>
          <w:p>
            <w:pPr>
              <w:pStyle w:val="TableParagraph"/>
              <w:spacing w:before="16"/>
              <w:ind w:right="120"/>
              <w:jc w:val="right"/>
              <w:rPr>
                <w:sz w:val="17"/>
              </w:rPr>
            </w:pPr>
            <w:r>
              <w:rPr>
                <w:spacing w:val="-2"/>
                <w:sz w:val="17"/>
              </w:rPr>
              <w:t>2,277,747</w:t>
            </w:r>
          </w:p>
        </w:tc>
        <w:tc>
          <w:tcPr>
            <w:tcW w:w="1636" w:type="dxa"/>
          </w:tcPr>
          <w:p>
            <w:pPr>
              <w:pStyle w:val="TableParagraph"/>
              <w:spacing w:before="16"/>
              <w:ind w:right="119"/>
              <w:jc w:val="right"/>
              <w:rPr>
                <w:sz w:val="17"/>
              </w:rPr>
            </w:pPr>
            <w:r>
              <w:rPr>
                <w:spacing w:val="-10"/>
                <w:sz w:val="17"/>
              </w:rPr>
              <w:t>—</w:t>
            </w:r>
          </w:p>
        </w:tc>
        <w:tc>
          <w:tcPr>
            <w:tcW w:w="1602" w:type="dxa"/>
          </w:tcPr>
          <w:p>
            <w:pPr>
              <w:pStyle w:val="TableParagraph"/>
              <w:spacing w:before="16"/>
              <w:ind w:right="83"/>
              <w:jc w:val="right"/>
              <w:rPr>
                <w:sz w:val="17"/>
              </w:rPr>
            </w:pPr>
            <w:r>
              <w:rPr>
                <w:spacing w:val="-2"/>
                <w:sz w:val="17"/>
              </w:rPr>
              <w:t>1,491,945</w:t>
            </w:r>
          </w:p>
        </w:tc>
      </w:tr>
      <w:tr>
        <w:trPr>
          <w:trHeight w:val="256" w:hRule="atLeast"/>
        </w:trPr>
        <w:tc>
          <w:tcPr>
            <w:tcW w:w="5910" w:type="dxa"/>
            <w:shd w:val="clear" w:color="auto" w:fill="CCEDFF"/>
          </w:tcPr>
          <w:p>
            <w:pPr>
              <w:pStyle w:val="TableParagraph"/>
              <w:ind w:left="217"/>
              <w:rPr>
                <w:sz w:val="18"/>
              </w:rPr>
            </w:pPr>
            <w:r>
              <w:rPr>
                <w:sz w:val="18"/>
              </w:rPr>
              <w:t>Gain</w:t>
            </w:r>
            <w:r>
              <w:rPr>
                <w:spacing w:val="-3"/>
                <w:sz w:val="18"/>
              </w:rPr>
              <w:t> </w:t>
            </w:r>
            <w:r>
              <w:rPr>
                <w:sz w:val="18"/>
              </w:rPr>
              <w:t>on</w:t>
            </w:r>
            <w:r>
              <w:rPr>
                <w:spacing w:val="-3"/>
                <w:sz w:val="18"/>
              </w:rPr>
              <w:t> </w:t>
            </w:r>
            <w:r>
              <w:rPr>
                <w:sz w:val="18"/>
              </w:rPr>
              <w:t>consolidation</w:t>
            </w:r>
            <w:r>
              <w:rPr>
                <w:spacing w:val="-2"/>
                <w:sz w:val="18"/>
              </w:rPr>
              <w:t> </w:t>
            </w:r>
            <w:r>
              <w:rPr>
                <w:sz w:val="18"/>
              </w:rPr>
              <w:t>of</w:t>
            </w:r>
            <w:r>
              <w:rPr>
                <w:spacing w:val="-3"/>
                <w:sz w:val="18"/>
              </w:rPr>
              <w:t> </w:t>
            </w:r>
            <w:r>
              <w:rPr>
                <w:sz w:val="18"/>
              </w:rPr>
              <w:t>CityCenter,</w:t>
            </w:r>
            <w:r>
              <w:rPr>
                <w:spacing w:val="-2"/>
                <w:sz w:val="18"/>
              </w:rPr>
              <w:t> </w:t>
            </w:r>
            <w:r>
              <w:rPr>
                <w:spacing w:val="-5"/>
                <w:sz w:val="18"/>
              </w:rPr>
              <w:t>net</w:t>
            </w:r>
          </w:p>
        </w:tc>
        <w:tc>
          <w:tcPr>
            <w:tcW w:w="2365" w:type="dxa"/>
            <w:shd w:val="clear" w:color="auto" w:fill="CCEDFF"/>
          </w:tcPr>
          <w:p>
            <w:pPr>
              <w:pStyle w:val="TableParagraph"/>
              <w:spacing w:before="16"/>
              <w:ind w:right="120"/>
              <w:jc w:val="right"/>
              <w:rPr>
                <w:sz w:val="17"/>
              </w:rPr>
            </w:pPr>
            <w:r>
              <w:rPr>
                <w:spacing w:val="-10"/>
                <w:sz w:val="17"/>
              </w:rPr>
              <w:t>—</w:t>
            </w:r>
          </w:p>
        </w:tc>
        <w:tc>
          <w:tcPr>
            <w:tcW w:w="1636" w:type="dxa"/>
            <w:shd w:val="clear" w:color="auto" w:fill="CCEDFF"/>
          </w:tcPr>
          <w:p>
            <w:pPr>
              <w:pStyle w:val="TableParagraph"/>
              <w:spacing w:before="16"/>
              <w:ind w:right="119"/>
              <w:jc w:val="right"/>
              <w:rPr>
                <w:sz w:val="17"/>
              </w:rPr>
            </w:pPr>
            <w:r>
              <w:rPr>
                <w:spacing w:val="-2"/>
                <w:sz w:val="17"/>
              </w:rPr>
              <w:t>1,562,329</w:t>
            </w:r>
          </w:p>
        </w:tc>
        <w:tc>
          <w:tcPr>
            <w:tcW w:w="1602" w:type="dxa"/>
            <w:shd w:val="clear" w:color="auto" w:fill="CCEDFF"/>
          </w:tcPr>
          <w:p>
            <w:pPr>
              <w:pStyle w:val="TableParagraph"/>
              <w:spacing w:before="16"/>
              <w:ind w:right="83"/>
              <w:jc w:val="right"/>
              <w:rPr>
                <w:sz w:val="17"/>
              </w:rPr>
            </w:pPr>
            <w:r>
              <w:rPr>
                <w:spacing w:val="-10"/>
                <w:sz w:val="17"/>
              </w:rPr>
              <w:t>—</w:t>
            </w:r>
          </w:p>
        </w:tc>
      </w:tr>
      <w:tr>
        <w:trPr>
          <w:trHeight w:val="256" w:hRule="atLeast"/>
        </w:trPr>
        <w:tc>
          <w:tcPr>
            <w:tcW w:w="5910" w:type="dxa"/>
          </w:tcPr>
          <w:p>
            <w:pPr>
              <w:pStyle w:val="TableParagraph"/>
              <w:ind w:left="217"/>
              <w:rPr>
                <w:sz w:val="18"/>
              </w:rPr>
            </w:pPr>
            <w:r>
              <w:rPr>
                <w:sz w:val="18"/>
              </w:rPr>
              <w:t>CEO</w:t>
            </w:r>
            <w:r>
              <w:rPr>
                <w:spacing w:val="-1"/>
                <w:sz w:val="18"/>
              </w:rPr>
              <w:t> </w:t>
            </w:r>
            <w:r>
              <w:rPr>
                <w:sz w:val="18"/>
              </w:rPr>
              <w:t>transition</w:t>
            </w:r>
            <w:r>
              <w:rPr>
                <w:spacing w:val="-1"/>
                <w:sz w:val="18"/>
              </w:rPr>
              <w:t> </w:t>
            </w:r>
            <w:r>
              <w:rPr>
                <w:spacing w:val="-2"/>
                <w:sz w:val="18"/>
              </w:rPr>
              <w:t>expense</w:t>
            </w:r>
          </w:p>
        </w:tc>
        <w:tc>
          <w:tcPr>
            <w:tcW w:w="2365" w:type="dxa"/>
          </w:tcPr>
          <w:p>
            <w:pPr>
              <w:pStyle w:val="TableParagraph"/>
              <w:spacing w:before="30"/>
              <w:ind w:right="120"/>
              <w:jc w:val="right"/>
              <w:rPr>
                <w:sz w:val="17"/>
              </w:rPr>
            </w:pPr>
            <w:r>
              <w:rPr>
                <w:spacing w:val="-10"/>
                <w:sz w:val="17"/>
              </w:rPr>
              <w:t>—</w:t>
            </w:r>
          </w:p>
        </w:tc>
        <w:tc>
          <w:tcPr>
            <w:tcW w:w="1636" w:type="dxa"/>
          </w:tcPr>
          <w:p>
            <w:pPr>
              <w:pStyle w:val="TableParagraph"/>
              <w:spacing w:before="30"/>
              <w:ind w:right="119"/>
              <w:jc w:val="right"/>
              <w:rPr>
                <w:sz w:val="17"/>
              </w:rPr>
            </w:pPr>
            <w:r>
              <w:rPr>
                <w:spacing w:val="-10"/>
                <w:sz w:val="17"/>
              </w:rPr>
              <w:t>—</w:t>
            </w:r>
          </w:p>
        </w:tc>
        <w:tc>
          <w:tcPr>
            <w:tcW w:w="1602" w:type="dxa"/>
          </w:tcPr>
          <w:p>
            <w:pPr>
              <w:pStyle w:val="TableParagraph"/>
              <w:spacing w:before="30"/>
              <w:ind w:right="40"/>
              <w:jc w:val="right"/>
              <w:rPr>
                <w:sz w:val="17"/>
              </w:rPr>
            </w:pPr>
            <w:r>
              <w:rPr>
                <w:spacing w:val="-2"/>
                <w:sz w:val="17"/>
              </w:rPr>
              <w:t>(44,401)</w:t>
            </w:r>
          </w:p>
        </w:tc>
      </w:tr>
      <w:tr>
        <w:trPr>
          <w:trHeight w:val="256" w:hRule="atLeast"/>
        </w:trPr>
        <w:tc>
          <w:tcPr>
            <w:tcW w:w="5910" w:type="dxa"/>
            <w:shd w:val="clear" w:color="auto" w:fill="CCEDFF"/>
          </w:tcPr>
          <w:p>
            <w:pPr>
              <w:pStyle w:val="TableParagraph"/>
              <w:ind w:left="217"/>
              <w:rPr>
                <w:sz w:val="18"/>
              </w:rPr>
            </w:pPr>
            <w:r>
              <w:rPr>
                <w:sz w:val="18"/>
              </w:rPr>
              <w:t>October</w:t>
            </w:r>
            <w:r>
              <w:rPr>
                <w:spacing w:val="-1"/>
                <w:sz w:val="18"/>
              </w:rPr>
              <w:t> </w:t>
            </w:r>
            <w:r>
              <w:rPr>
                <w:sz w:val="18"/>
              </w:rPr>
              <w:t>1</w:t>
            </w:r>
            <w:r>
              <w:rPr>
                <w:spacing w:val="-1"/>
                <w:sz w:val="18"/>
              </w:rPr>
              <w:t> </w:t>
            </w:r>
            <w:r>
              <w:rPr>
                <w:sz w:val="18"/>
              </w:rPr>
              <w:t>litigation</w:t>
            </w:r>
            <w:r>
              <w:rPr>
                <w:spacing w:val="-1"/>
                <w:sz w:val="18"/>
              </w:rPr>
              <w:t> </w:t>
            </w:r>
            <w:r>
              <w:rPr>
                <w:spacing w:val="-2"/>
                <w:sz w:val="18"/>
              </w:rPr>
              <w:t>settlement</w:t>
            </w:r>
          </w:p>
        </w:tc>
        <w:tc>
          <w:tcPr>
            <w:tcW w:w="2365" w:type="dxa"/>
            <w:shd w:val="clear" w:color="auto" w:fill="CCEDFF"/>
          </w:tcPr>
          <w:p>
            <w:pPr>
              <w:pStyle w:val="TableParagraph"/>
              <w:spacing w:before="30"/>
              <w:ind w:right="120"/>
              <w:jc w:val="right"/>
              <w:rPr>
                <w:sz w:val="17"/>
              </w:rPr>
            </w:pPr>
            <w:r>
              <w:rPr>
                <w:spacing w:val="-10"/>
                <w:sz w:val="17"/>
              </w:rPr>
              <w:t>—</w:t>
            </w:r>
          </w:p>
        </w:tc>
        <w:tc>
          <w:tcPr>
            <w:tcW w:w="1636" w:type="dxa"/>
            <w:shd w:val="clear" w:color="auto" w:fill="CCEDFF"/>
          </w:tcPr>
          <w:p>
            <w:pPr>
              <w:pStyle w:val="TableParagraph"/>
              <w:spacing w:before="30"/>
              <w:ind w:right="119"/>
              <w:jc w:val="right"/>
              <w:rPr>
                <w:sz w:val="17"/>
              </w:rPr>
            </w:pPr>
            <w:r>
              <w:rPr>
                <w:spacing w:val="-10"/>
                <w:sz w:val="17"/>
              </w:rPr>
              <w:t>—</w:t>
            </w:r>
          </w:p>
        </w:tc>
        <w:tc>
          <w:tcPr>
            <w:tcW w:w="1602" w:type="dxa"/>
            <w:shd w:val="clear" w:color="auto" w:fill="CCEDFF"/>
          </w:tcPr>
          <w:p>
            <w:pPr>
              <w:pStyle w:val="TableParagraph"/>
              <w:spacing w:before="30"/>
              <w:ind w:right="40"/>
              <w:jc w:val="right"/>
              <w:rPr>
                <w:sz w:val="17"/>
              </w:rPr>
            </w:pPr>
            <w:r>
              <w:rPr>
                <w:spacing w:val="-2"/>
                <w:sz w:val="17"/>
              </w:rPr>
              <w:t>(49,000)</w:t>
            </w:r>
          </w:p>
        </w:tc>
      </w:tr>
      <w:tr>
        <w:trPr>
          <w:trHeight w:val="256" w:hRule="atLeast"/>
        </w:trPr>
        <w:tc>
          <w:tcPr>
            <w:tcW w:w="5910" w:type="dxa"/>
          </w:tcPr>
          <w:p>
            <w:pPr>
              <w:pStyle w:val="TableParagraph"/>
              <w:ind w:left="217"/>
              <w:rPr>
                <w:sz w:val="18"/>
              </w:rPr>
            </w:pPr>
            <w:r>
              <w:rPr>
                <w:spacing w:val="-2"/>
                <w:sz w:val="18"/>
              </w:rPr>
              <w:t>Restructuring</w:t>
            </w:r>
          </w:p>
        </w:tc>
        <w:tc>
          <w:tcPr>
            <w:tcW w:w="2365" w:type="dxa"/>
          </w:tcPr>
          <w:p>
            <w:pPr>
              <w:pStyle w:val="TableParagraph"/>
              <w:spacing w:before="30"/>
              <w:ind w:right="120"/>
              <w:jc w:val="right"/>
              <w:rPr>
                <w:sz w:val="17"/>
              </w:rPr>
            </w:pPr>
            <w:r>
              <w:rPr>
                <w:spacing w:val="-10"/>
                <w:sz w:val="17"/>
              </w:rPr>
              <w:t>—</w:t>
            </w:r>
          </w:p>
        </w:tc>
        <w:tc>
          <w:tcPr>
            <w:tcW w:w="1636" w:type="dxa"/>
          </w:tcPr>
          <w:p>
            <w:pPr>
              <w:pStyle w:val="TableParagraph"/>
              <w:spacing w:before="30"/>
              <w:ind w:right="119"/>
              <w:jc w:val="right"/>
              <w:rPr>
                <w:sz w:val="17"/>
              </w:rPr>
            </w:pPr>
            <w:r>
              <w:rPr>
                <w:spacing w:val="-10"/>
                <w:sz w:val="17"/>
              </w:rPr>
              <w:t>—</w:t>
            </w:r>
          </w:p>
        </w:tc>
        <w:tc>
          <w:tcPr>
            <w:tcW w:w="1602" w:type="dxa"/>
          </w:tcPr>
          <w:p>
            <w:pPr>
              <w:pStyle w:val="TableParagraph"/>
              <w:spacing w:before="30"/>
              <w:ind w:right="40"/>
              <w:jc w:val="right"/>
              <w:rPr>
                <w:sz w:val="17"/>
              </w:rPr>
            </w:pPr>
            <w:r>
              <w:rPr>
                <w:spacing w:val="-2"/>
                <w:sz w:val="17"/>
              </w:rPr>
              <w:t>(26,025)</w:t>
            </w:r>
          </w:p>
        </w:tc>
      </w:tr>
      <w:tr>
        <w:trPr>
          <w:trHeight w:val="269" w:hRule="atLeast"/>
        </w:trPr>
        <w:tc>
          <w:tcPr>
            <w:tcW w:w="5910" w:type="dxa"/>
            <w:shd w:val="clear" w:color="auto" w:fill="CCEDFF"/>
          </w:tcPr>
          <w:p>
            <w:pPr>
              <w:pStyle w:val="TableParagraph"/>
              <w:ind w:left="217"/>
              <w:rPr>
                <w:sz w:val="18"/>
              </w:rPr>
            </w:pPr>
            <w:r>
              <w:rPr>
                <w:sz w:val="18"/>
              </w:rPr>
              <w:t>Triple-net</w:t>
            </w:r>
            <w:r>
              <w:rPr>
                <w:spacing w:val="-4"/>
                <w:sz w:val="18"/>
              </w:rPr>
              <w:t> </w:t>
            </w:r>
            <w:r>
              <w:rPr>
                <w:sz w:val="18"/>
              </w:rPr>
              <w:t>operating</w:t>
            </w:r>
            <w:r>
              <w:rPr>
                <w:spacing w:val="-2"/>
                <w:sz w:val="18"/>
              </w:rPr>
              <w:t> </w:t>
            </w:r>
            <w:r>
              <w:rPr>
                <w:sz w:val="18"/>
              </w:rPr>
              <w:t>lease</w:t>
            </w:r>
            <w:r>
              <w:rPr>
                <w:spacing w:val="-2"/>
                <w:sz w:val="18"/>
              </w:rPr>
              <w:t> </w:t>
            </w:r>
            <w:r>
              <w:rPr>
                <w:sz w:val="18"/>
              </w:rPr>
              <w:t>and</w:t>
            </w:r>
            <w:r>
              <w:rPr>
                <w:spacing w:val="-2"/>
                <w:sz w:val="18"/>
              </w:rPr>
              <w:t> </w:t>
            </w:r>
            <w:r>
              <w:rPr>
                <w:sz w:val="18"/>
              </w:rPr>
              <w:t>ground</w:t>
            </w:r>
            <w:r>
              <w:rPr>
                <w:spacing w:val="-2"/>
                <w:sz w:val="18"/>
              </w:rPr>
              <w:t> </w:t>
            </w:r>
            <w:r>
              <w:rPr>
                <w:sz w:val="18"/>
              </w:rPr>
              <w:t>lease</w:t>
            </w:r>
            <w:r>
              <w:rPr>
                <w:spacing w:val="-2"/>
                <w:sz w:val="18"/>
              </w:rPr>
              <w:t> </w:t>
            </w:r>
            <w:r>
              <w:rPr>
                <w:sz w:val="18"/>
              </w:rPr>
              <w:t>rent</w:t>
            </w:r>
            <w:r>
              <w:rPr>
                <w:spacing w:val="-2"/>
                <w:sz w:val="18"/>
              </w:rPr>
              <w:t> expense</w:t>
            </w:r>
          </w:p>
        </w:tc>
        <w:tc>
          <w:tcPr>
            <w:tcW w:w="2365" w:type="dxa"/>
            <w:shd w:val="clear" w:color="auto" w:fill="CCEDFF"/>
          </w:tcPr>
          <w:p>
            <w:pPr>
              <w:pStyle w:val="TableParagraph"/>
              <w:spacing w:before="30"/>
              <w:ind w:right="77"/>
              <w:jc w:val="right"/>
              <w:rPr>
                <w:sz w:val="17"/>
              </w:rPr>
            </w:pPr>
            <w:r>
              <w:rPr>
                <w:spacing w:val="-2"/>
                <w:sz w:val="17"/>
              </w:rPr>
              <w:t>(1,950,566)</w:t>
            </w:r>
          </w:p>
        </w:tc>
        <w:tc>
          <w:tcPr>
            <w:tcW w:w="1636" w:type="dxa"/>
            <w:shd w:val="clear" w:color="auto" w:fill="CCEDFF"/>
          </w:tcPr>
          <w:p>
            <w:pPr>
              <w:pStyle w:val="TableParagraph"/>
              <w:spacing w:before="30"/>
              <w:ind w:right="77"/>
              <w:jc w:val="right"/>
              <w:rPr>
                <w:sz w:val="17"/>
              </w:rPr>
            </w:pPr>
            <w:r>
              <w:rPr>
                <w:spacing w:val="-2"/>
                <w:sz w:val="17"/>
              </w:rPr>
              <w:t>(833,158)</w:t>
            </w:r>
          </w:p>
        </w:tc>
        <w:tc>
          <w:tcPr>
            <w:tcW w:w="1602" w:type="dxa"/>
            <w:shd w:val="clear" w:color="auto" w:fill="CCEDFF"/>
          </w:tcPr>
          <w:p>
            <w:pPr>
              <w:pStyle w:val="TableParagraph"/>
              <w:spacing w:before="30"/>
              <w:ind w:right="40"/>
              <w:jc w:val="right"/>
              <w:rPr>
                <w:sz w:val="17"/>
              </w:rPr>
            </w:pPr>
            <w:r>
              <w:rPr>
                <w:spacing w:val="-2"/>
                <w:sz w:val="17"/>
              </w:rPr>
              <w:t>(710,683)</w:t>
            </w:r>
          </w:p>
        </w:tc>
      </w:tr>
      <w:tr>
        <w:trPr>
          <w:trHeight w:val="256" w:hRule="atLeast"/>
        </w:trPr>
        <w:tc>
          <w:tcPr>
            <w:tcW w:w="5910" w:type="dxa"/>
          </w:tcPr>
          <w:p>
            <w:pPr>
              <w:pStyle w:val="TableParagraph"/>
              <w:ind w:left="217"/>
              <w:rPr>
                <w:sz w:val="18"/>
              </w:rPr>
            </w:pPr>
            <w:r>
              <w:rPr>
                <w:sz w:val="18"/>
              </w:rPr>
              <w:t>Gain</w:t>
            </w:r>
            <w:r>
              <w:rPr>
                <w:spacing w:val="-1"/>
                <w:sz w:val="18"/>
              </w:rPr>
              <w:t> </w:t>
            </w:r>
            <w:r>
              <w:rPr>
                <w:sz w:val="18"/>
              </w:rPr>
              <w:t>related</w:t>
            </w:r>
            <w:r>
              <w:rPr>
                <w:spacing w:val="-1"/>
                <w:sz w:val="18"/>
              </w:rPr>
              <w:t> </w:t>
            </w:r>
            <w:r>
              <w:rPr>
                <w:sz w:val="18"/>
              </w:rPr>
              <w:t>to</w:t>
            </w:r>
            <w:r>
              <w:rPr>
                <w:spacing w:val="-1"/>
                <w:sz w:val="18"/>
              </w:rPr>
              <w:t> </w:t>
            </w:r>
            <w:r>
              <w:rPr>
                <w:sz w:val="18"/>
              </w:rPr>
              <w:t>sale</w:t>
            </w:r>
            <w:r>
              <w:rPr>
                <w:spacing w:val="-1"/>
                <w:sz w:val="18"/>
              </w:rPr>
              <w:t> </w:t>
            </w:r>
            <w:r>
              <w:rPr>
                <w:sz w:val="18"/>
              </w:rPr>
              <w:t>of</w:t>
            </w:r>
            <w:r>
              <w:rPr>
                <w:spacing w:val="-1"/>
                <w:sz w:val="18"/>
              </w:rPr>
              <w:t> </w:t>
            </w:r>
            <w:r>
              <w:rPr>
                <w:sz w:val="18"/>
              </w:rPr>
              <w:t>Harmon</w:t>
            </w:r>
            <w:r>
              <w:rPr>
                <w:spacing w:val="-1"/>
                <w:sz w:val="18"/>
              </w:rPr>
              <w:t> </w:t>
            </w:r>
            <w:r>
              <w:rPr>
                <w:sz w:val="18"/>
              </w:rPr>
              <w:t>land</w:t>
            </w:r>
            <w:r>
              <w:rPr>
                <w:spacing w:val="-1"/>
                <w:sz w:val="18"/>
              </w:rPr>
              <w:t> </w:t>
            </w:r>
            <w:r>
              <w:rPr>
                <w:sz w:val="18"/>
              </w:rPr>
              <w:t>-</w:t>
            </w:r>
            <w:r>
              <w:rPr>
                <w:spacing w:val="-1"/>
                <w:sz w:val="18"/>
              </w:rPr>
              <w:t> </w:t>
            </w:r>
            <w:r>
              <w:rPr>
                <w:sz w:val="18"/>
              </w:rPr>
              <w:t>unconsolidated</w:t>
            </w:r>
            <w:r>
              <w:rPr>
                <w:spacing w:val="-1"/>
                <w:sz w:val="18"/>
              </w:rPr>
              <w:t> </w:t>
            </w:r>
            <w:r>
              <w:rPr>
                <w:spacing w:val="-2"/>
                <w:sz w:val="18"/>
              </w:rPr>
              <w:t>affiliate</w:t>
            </w:r>
          </w:p>
        </w:tc>
        <w:tc>
          <w:tcPr>
            <w:tcW w:w="2365" w:type="dxa"/>
          </w:tcPr>
          <w:p>
            <w:pPr>
              <w:pStyle w:val="TableParagraph"/>
              <w:spacing w:before="16"/>
              <w:ind w:right="120"/>
              <w:jc w:val="right"/>
              <w:rPr>
                <w:sz w:val="17"/>
              </w:rPr>
            </w:pPr>
            <w:r>
              <w:rPr>
                <w:spacing w:val="-10"/>
                <w:sz w:val="17"/>
              </w:rPr>
              <w:t>—</w:t>
            </w:r>
          </w:p>
        </w:tc>
        <w:tc>
          <w:tcPr>
            <w:tcW w:w="1636" w:type="dxa"/>
          </w:tcPr>
          <w:p>
            <w:pPr>
              <w:pStyle w:val="TableParagraph"/>
              <w:spacing w:before="16"/>
              <w:ind w:right="119"/>
              <w:jc w:val="right"/>
              <w:rPr>
                <w:sz w:val="17"/>
              </w:rPr>
            </w:pPr>
            <w:r>
              <w:rPr>
                <w:spacing w:val="-2"/>
                <w:sz w:val="17"/>
              </w:rPr>
              <w:t>49,755</w:t>
            </w:r>
          </w:p>
        </w:tc>
        <w:tc>
          <w:tcPr>
            <w:tcW w:w="1602" w:type="dxa"/>
          </w:tcPr>
          <w:p>
            <w:pPr>
              <w:pStyle w:val="TableParagraph"/>
              <w:spacing w:before="16"/>
              <w:ind w:right="83"/>
              <w:jc w:val="right"/>
              <w:rPr>
                <w:sz w:val="17"/>
              </w:rPr>
            </w:pPr>
            <w:r>
              <w:rPr>
                <w:spacing w:val="-10"/>
                <w:sz w:val="17"/>
              </w:rPr>
              <w:t>—</w:t>
            </w:r>
          </w:p>
        </w:tc>
      </w:tr>
      <w:tr>
        <w:trPr>
          <w:trHeight w:val="255" w:hRule="atLeast"/>
        </w:trPr>
        <w:tc>
          <w:tcPr>
            <w:tcW w:w="5910" w:type="dxa"/>
            <w:shd w:val="clear" w:color="auto" w:fill="CCEDFF"/>
          </w:tcPr>
          <w:p>
            <w:pPr>
              <w:pStyle w:val="TableParagraph"/>
              <w:ind w:left="217"/>
              <w:rPr>
                <w:sz w:val="18"/>
              </w:rPr>
            </w:pPr>
            <w:r>
              <w:rPr>
                <w:sz w:val="18"/>
              </w:rPr>
              <w:t>Income</w:t>
            </w:r>
            <w:r>
              <w:rPr>
                <w:spacing w:val="-4"/>
                <w:sz w:val="18"/>
              </w:rPr>
              <w:t> </w:t>
            </w:r>
            <w:r>
              <w:rPr>
                <w:sz w:val="18"/>
              </w:rPr>
              <w:t>from</w:t>
            </w:r>
            <w:r>
              <w:rPr>
                <w:spacing w:val="-1"/>
                <w:sz w:val="18"/>
              </w:rPr>
              <w:t> </w:t>
            </w:r>
            <w:r>
              <w:rPr>
                <w:sz w:val="18"/>
              </w:rPr>
              <w:t>unconsolidated</w:t>
            </w:r>
            <w:r>
              <w:rPr>
                <w:spacing w:val="-2"/>
                <w:sz w:val="18"/>
              </w:rPr>
              <w:t> </w:t>
            </w:r>
            <w:r>
              <w:rPr>
                <w:sz w:val="18"/>
              </w:rPr>
              <w:t>affiliates</w:t>
            </w:r>
            <w:r>
              <w:rPr>
                <w:spacing w:val="-1"/>
                <w:sz w:val="18"/>
              </w:rPr>
              <w:t> </w:t>
            </w:r>
            <w:r>
              <w:rPr>
                <w:sz w:val="18"/>
              </w:rPr>
              <w:t>related</w:t>
            </w:r>
            <w:r>
              <w:rPr>
                <w:spacing w:val="-2"/>
                <w:sz w:val="18"/>
              </w:rPr>
              <w:t> </w:t>
            </w:r>
            <w:r>
              <w:rPr>
                <w:sz w:val="18"/>
              </w:rPr>
              <w:t>to</w:t>
            </w:r>
            <w:r>
              <w:rPr>
                <w:spacing w:val="-1"/>
                <w:sz w:val="18"/>
              </w:rPr>
              <w:t> </w:t>
            </w:r>
            <w:r>
              <w:rPr>
                <w:sz w:val="18"/>
              </w:rPr>
              <w:t>real</w:t>
            </w:r>
            <w:r>
              <w:rPr>
                <w:spacing w:val="-2"/>
                <w:sz w:val="18"/>
              </w:rPr>
              <w:t> </w:t>
            </w:r>
            <w:r>
              <w:rPr>
                <w:sz w:val="18"/>
              </w:rPr>
              <w:t>estate</w:t>
            </w:r>
            <w:r>
              <w:rPr>
                <w:spacing w:val="-1"/>
                <w:sz w:val="18"/>
              </w:rPr>
              <w:t> </w:t>
            </w:r>
            <w:r>
              <w:rPr>
                <w:spacing w:val="-2"/>
                <w:sz w:val="18"/>
              </w:rPr>
              <w:t>ventures</w:t>
            </w:r>
          </w:p>
        </w:tc>
        <w:tc>
          <w:tcPr>
            <w:tcW w:w="2365" w:type="dxa"/>
            <w:tcBorders>
              <w:bottom w:val="single" w:sz="6" w:space="0" w:color="000000"/>
            </w:tcBorders>
            <w:shd w:val="clear" w:color="auto" w:fill="CCEDFF"/>
          </w:tcPr>
          <w:p>
            <w:pPr>
              <w:pStyle w:val="TableParagraph"/>
              <w:spacing w:before="16"/>
              <w:ind w:right="120"/>
              <w:jc w:val="right"/>
              <w:rPr>
                <w:sz w:val="17"/>
              </w:rPr>
            </w:pPr>
            <w:r>
              <w:rPr>
                <w:spacing w:val="-2"/>
                <w:sz w:val="17"/>
              </w:rPr>
              <w:t>61,866</w:t>
            </w:r>
          </w:p>
        </w:tc>
        <w:tc>
          <w:tcPr>
            <w:tcW w:w="1636" w:type="dxa"/>
            <w:tcBorders>
              <w:bottom w:val="single" w:sz="6" w:space="0" w:color="000000"/>
            </w:tcBorders>
            <w:shd w:val="clear" w:color="auto" w:fill="CCEDFF"/>
          </w:tcPr>
          <w:p>
            <w:pPr>
              <w:pStyle w:val="TableParagraph"/>
              <w:spacing w:before="16"/>
              <w:ind w:right="119"/>
              <w:jc w:val="right"/>
              <w:rPr>
                <w:sz w:val="17"/>
              </w:rPr>
            </w:pPr>
            <w:r>
              <w:rPr>
                <w:spacing w:val="-2"/>
                <w:sz w:val="17"/>
              </w:rPr>
              <w:t>166,658</w:t>
            </w:r>
          </w:p>
        </w:tc>
        <w:tc>
          <w:tcPr>
            <w:tcW w:w="1602" w:type="dxa"/>
            <w:tcBorders>
              <w:bottom w:val="single" w:sz="6" w:space="0" w:color="000000"/>
            </w:tcBorders>
            <w:shd w:val="clear" w:color="auto" w:fill="CCEDFF"/>
          </w:tcPr>
          <w:p>
            <w:pPr>
              <w:pStyle w:val="TableParagraph"/>
              <w:spacing w:before="16"/>
              <w:ind w:right="83"/>
              <w:jc w:val="right"/>
              <w:rPr>
                <w:sz w:val="17"/>
              </w:rPr>
            </w:pPr>
            <w:r>
              <w:rPr>
                <w:spacing w:val="-2"/>
                <w:sz w:val="17"/>
              </w:rPr>
              <w:t>148,434</w:t>
            </w:r>
          </w:p>
        </w:tc>
      </w:tr>
      <w:tr>
        <w:trPr>
          <w:trHeight w:val="241" w:hRule="atLeast"/>
        </w:trPr>
        <w:tc>
          <w:tcPr>
            <w:tcW w:w="5910" w:type="dxa"/>
          </w:tcPr>
          <w:p>
            <w:pPr>
              <w:pStyle w:val="TableParagraph"/>
              <w:spacing w:before="6"/>
              <w:ind w:left="462"/>
              <w:rPr>
                <w:sz w:val="18"/>
              </w:rPr>
            </w:pPr>
            <w:r>
              <w:rPr>
                <w:sz w:val="18"/>
              </w:rPr>
              <w:t>Operating</w:t>
            </w:r>
            <w:r>
              <w:rPr>
                <w:spacing w:val="-1"/>
                <w:sz w:val="18"/>
              </w:rPr>
              <w:t> </w:t>
            </w:r>
            <w:r>
              <w:rPr>
                <w:sz w:val="18"/>
              </w:rPr>
              <w:t>income</w:t>
            </w:r>
            <w:r>
              <w:rPr>
                <w:spacing w:val="-1"/>
                <w:sz w:val="18"/>
              </w:rPr>
              <w:t> </w:t>
            </w:r>
            <w:r>
              <w:rPr>
                <w:spacing w:val="-2"/>
                <w:sz w:val="18"/>
              </w:rPr>
              <w:t>(loss)</w:t>
            </w:r>
          </w:p>
        </w:tc>
        <w:tc>
          <w:tcPr>
            <w:tcW w:w="2365" w:type="dxa"/>
            <w:tcBorders>
              <w:top w:val="single" w:sz="6" w:space="0" w:color="000000"/>
              <w:bottom w:val="single" w:sz="6" w:space="0" w:color="000000"/>
            </w:tcBorders>
          </w:tcPr>
          <w:p>
            <w:pPr>
              <w:pStyle w:val="TableParagraph"/>
              <w:spacing w:before="16"/>
              <w:ind w:right="120"/>
              <w:jc w:val="right"/>
              <w:rPr>
                <w:sz w:val="17"/>
              </w:rPr>
            </w:pPr>
            <w:r>
              <w:rPr>
                <w:spacing w:val="-2"/>
                <w:sz w:val="17"/>
              </w:rPr>
              <w:t>1,439,372</w:t>
            </w:r>
          </w:p>
        </w:tc>
        <w:tc>
          <w:tcPr>
            <w:tcW w:w="1636" w:type="dxa"/>
            <w:tcBorders>
              <w:top w:val="single" w:sz="6" w:space="0" w:color="000000"/>
              <w:bottom w:val="single" w:sz="6" w:space="0" w:color="000000"/>
            </w:tcBorders>
          </w:tcPr>
          <w:p>
            <w:pPr>
              <w:pStyle w:val="TableParagraph"/>
              <w:spacing w:before="16"/>
              <w:ind w:right="119"/>
              <w:jc w:val="right"/>
              <w:rPr>
                <w:sz w:val="17"/>
              </w:rPr>
            </w:pPr>
            <w:r>
              <w:rPr>
                <w:spacing w:val="-2"/>
                <w:sz w:val="17"/>
              </w:rPr>
              <w:t>2,278,699</w:t>
            </w:r>
          </w:p>
        </w:tc>
        <w:tc>
          <w:tcPr>
            <w:tcW w:w="1602" w:type="dxa"/>
            <w:tcBorders>
              <w:top w:val="single" w:sz="6" w:space="0" w:color="000000"/>
              <w:bottom w:val="single" w:sz="6" w:space="0" w:color="000000"/>
            </w:tcBorders>
          </w:tcPr>
          <w:p>
            <w:pPr>
              <w:pStyle w:val="TableParagraph"/>
              <w:spacing w:before="16"/>
              <w:ind w:right="40"/>
              <w:jc w:val="right"/>
              <w:rPr>
                <w:sz w:val="17"/>
              </w:rPr>
            </w:pPr>
            <w:r>
              <w:rPr>
                <w:spacing w:val="-2"/>
                <w:sz w:val="17"/>
              </w:rPr>
              <w:t>(642,434)</w:t>
            </w:r>
          </w:p>
        </w:tc>
      </w:tr>
      <w:tr>
        <w:trPr>
          <w:trHeight w:val="255" w:hRule="atLeast"/>
        </w:trPr>
        <w:tc>
          <w:tcPr>
            <w:tcW w:w="5910" w:type="dxa"/>
            <w:shd w:val="clear" w:color="auto" w:fill="CCEDFF"/>
          </w:tcPr>
          <w:p>
            <w:pPr>
              <w:pStyle w:val="TableParagraph"/>
              <w:spacing w:before="6"/>
              <w:ind w:left="17"/>
              <w:rPr>
                <w:b/>
                <w:sz w:val="18"/>
              </w:rPr>
            </w:pPr>
            <w:r>
              <w:rPr>
                <w:b/>
                <w:sz w:val="18"/>
              </w:rPr>
              <w:t>Non-operating</w:t>
            </w:r>
            <w:r>
              <w:rPr>
                <w:b/>
                <w:spacing w:val="-1"/>
                <w:sz w:val="18"/>
              </w:rPr>
              <w:t> </w:t>
            </w:r>
            <w:r>
              <w:rPr>
                <w:b/>
                <w:sz w:val="18"/>
              </w:rPr>
              <w:t>income</w:t>
            </w:r>
            <w:r>
              <w:rPr>
                <w:b/>
                <w:spacing w:val="-1"/>
                <w:sz w:val="18"/>
              </w:rPr>
              <w:t> </w:t>
            </w:r>
            <w:r>
              <w:rPr>
                <w:b/>
                <w:spacing w:val="-2"/>
                <w:sz w:val="18"/>
              </w:rPr>
              <w:t>(expense)</w:t>
            </w:r>
          </w:p>
        </w:tc>
        <w:tc>
          <w:tcPr>
            <w:tcW w:w="2365" w:type="dxa"/>
            <w:tcBorders>
              <w:top w:val="single" w:sz="6" w:space="0" w:color="000000"/>
            </w:tcBorders>
            <w:shd w:val="clear" w:color="auto" w:fill="CCEDFF"/>
          </w:tcPr>
          <w:p>
            <w:pPr>
              <w:pStyle w:val="TableParagraph"/>
              <w:spacing w:before="0"/>
              <w:rPr>
                <w:sz w:val="16"/>
              </w:rPr>
            </w:pPr>
          </w:p>
        </w:tc>
        <w:tc>
          <w:tcPr>
            <w:tcW w:w="1636" w:type="dxa"/>
            <w:tcBorders>
              <w:top w:val="single" w:sz="6" w:space="0" w:color="000000"/>
            </w:tcBorders>
            <w:shd w:val="clear" w:color="auto" w:fill="CCEDFF"/>
          </w:tcPr>
          <w:p>
            <w:pPr>
              <w:pStyle w:val="TableParagraph"/>
              <w:spacing w:before="0"/>
              <w:rPr>
                <w:sz w:val="16"/>
              </w:rPr>
            </w:pPr>
          </w:p>
        </w:tc>
        <w:tc>
          <w:tcPr>
            <w:tcW w:w="1602" w:type="dxa"/>
            <w:tcBorders>
              <w:top w:val="single" w:sz="6" w:space="0" w:color="000000"/>
            </w:tcBorders>
            <w:shd w:val="clear" w:color="auto" w:fill="CCEDFF"/>
          </w:tcPr>
          <w:p>
            <w:pPr>
              <w:pStyle w:val="TableParagraph"/>
              <w:spacing w:before="0"/>
              <w:rPr>
                <w:sz w:val="16"/>
              </w:rPr>
            </w:pPr>
          </w:p>
        </w:tc>
      </w:tr>
      <w:tr>
        <w:trPr>
          <w:trHeight w:val="256" w:hRule="atLeast"/>
        </w:trPr>
        <w:tc>
          <w:tcPr>
            <w:tcW w:w="5910" w:type="dxa"/>
          </w:tcPr>
          <w:p>
            <w:pPr>
              <w:pStyle w:val="TableParagraph"/>
              <w:ind w:left="217"/>
              <w:rPr>
                <w:sz w:val="18"/>
              </w:rPr>
            </w:pPr>
            <w:r>
              <w:rPr>
                <w:sz w:val="18"/>
              </w:rPr>
              <w:t>Interest</w:t>
            </w:r>
            <w:r>
              <w:rPr>
                <w:spacing w:val="-3"/>
                <w:sz w:val="18"/>
              </w:rPr>
              <w:t> </w:t>
            </w:r>
            <w:r>
              <w:rPr>
                <w:sz w:val="18"/>
              </w:rPr>
              <w:t>expense,</w:t>
            </w:r>
            <w:r>
              <w:rPr>
                <w:spacing w:val="-1"/>
                <w:sz w:val="18"/>
              </w:rPr>
              <w:t> </w:t>
            </w:r>
            <w:r>
              <w:rPr>
                <w:sz w:val="18"/>
              </w:rPr>
              <w:t>net</w:t>
            </w:r>
            <w:r>
              <w:rPr>
                <w:spacing w:val="-1"/>
                <w:sz w:val="18"/>
              </w:rPr>
              <w:t> </w:t>
            </w:r>
            <w:r>
              <w:rPr>
                <w:sz w:val="18"/>
              </w:rPr>
              <w:t>of</w:t>
            </w:r>
            <w:r>
              <w:rPr>
                <w:spacing w:val="-1"/>
                <w:sz w:val="18"/>
              </w:rPr>
              <w:t> </w:t>
            </w:r>
            <w:r>
              <w:rPr>
                <w:sz w:val="18"/>
              </w:rPr>
              <w:t>amounts</w:t>
            </w:r>
            <w:r>
              <w:rPr>
                <w:spacing w:val="-1"/>
                <w:sz w:val="18"/>
              </w:rPr>
              <w:t> </w:t>
            </w:r>
            <w:r>
              <w:rPr>
                <w:spacing w:val="-2"/>
                <w:sz w:val="18"/>
              </w:rPr>
              <w:t>capitalized</w:t>
            </w:r>
          </w:p>
        </w:tc>
        <w:tc>
          <w:tcPr>
            <w:tcW w:w="2365" w:type="dxa"/>
          </w:tcPr>
          <w:p>
            <w:pPr>
              <w:pStyle w:val="TableParagraph"/>
              <w:spacing w:before="16"/>
              <w:ind w:right="77"/>
              <w:jc w:val="right"/>
              <w:rPr>
                <w:sz w:val="17"/>
              </w:rPr>
            </w:pPr>
            <w:r>
              <w:rPr>
                <w:spacing w:val="-2"/>
                <w:sz w:val="17"/>
              </w:rPr>
              <w:t>(594,954)</w:t>
            </w:r>
          </w:p>
        </w:tc>
        <w:tc>
          <w:tcPr>
            <w:tcW w:w="1636" w:type="dxa"/>
          </w:tcPr>
          <w:p>
            <w:pPr>
              <w:pStyle w:val="TableParagraph"/>
              <w:spacing w:before="16"/>
              <w:ind w:right="77"/>
              <w:jc w:val="right"/>
              <w:rPr>
                <w:sz w:val="17"/>
              </w:rPr>
            </w:pPr>
            <w:r>
              <w:rPr>
                <w:spacing w:val="-2"/>
                <w:sz w:val="17"/>
              </w:rPr>
              <w:t>(799,593)</w:t>
            </w:r>
          </w:p>
        </w:tc>
        <w:tc>
          <w:tcPr>
            <w:tcW w:w="1602" w:type="dxa"/>
          </w:tcPr>
          <w:p>
            <w:pPr>
              <w:pStyle w:val="TableParagraph"/>
              <w:spacing w:before="16"/>
              <w:ind w:right="40"/>
              <w:jc w:val="right"/>
              <w:rPr>
                <w:sz w:val="17"/>
              </w:rPr>
            </w:pPr>
            <w:r>
              <w:rPr>
                <w:spacing w:val="-2"/>
                <w:sz w:val="17"/>
              </w:rPr>
              <w:t>(676,380)</w:t>
            </w:r>
          </w:p>
        </w:tc>
      </w:tr>
      <w:tr>
        <w:trPr>
          <w:trHeight w:val="256" w:hRule="atLeast"/>
        </w:trPr>
        <w:tc>
          <w:tcPr>
            <w:tcW w:w="5910" w:type="dxa"/>
            <w:shd w:val="clear" w:color="auto" w:fill="CCEDFF"/>
          </w:tcPr>
          <w:p>
            <w:pPr>
              <w:pStyle w:val="TableParagraph"/>
              <w:ind w:left="217"/>
              <w:rPr>
                <w:sz w:val="18"/>
              </w:rPr>
            </w:pPr>
            <w:r>
              <w:rPr>
                <w:sz w:val="18"/>
              </w:rPr>
              <w:t>Non-operating</w:t>
            </w:r>
            <w:r>
              <w:rPr>
                <w:spacing w:val="-1"/>
                <w:sz w:val="18"/>
              </w:rPr>
              <w:t> </w:t>
            </w:r>
            <w:r>
              <w:rPr>
                <w:sz w:val="18"/>
              </w:rPr>
              <w:t>items</w:t>
            </w:r>
            <w:r>
              <w:rPr>
                <w:spacing w:val="-1"/>
                <w:sz w:val="18"/>
              </w:rPr>
              <w:t> </w:t>
            </w:r>
            <w:r>
              <w:rPr>
                <w:sz w:val="18"/>
              </w:rPr>
              <w:t>from</w:t>
            </w:r>
            <w:r>
              <w:rPr>
                <w:spacing w:val="-1"/>
                <w:sz w:val="18"/>
              </w:rPr>
              <w:t> </w:t>
            </w:r>
            <w:r>
              <w:rPr>
                <w:sz w:val="18"/>
              </w:rPr>
              <w:t>unconsolidated</w:t>
            </w:r>
            <w:r>
              <w:rPr>
                <w:spacing w:val="-1"/>
                <w:sz w:val="18"/>
              </w:rPr>
              <w:t> </w:t>
            </w:r>
            <w:r>
              <w:rPr>
                <w:spacing w:val="-2"/>
                <w:sz w:val="18"/>
              </w:rPr>
              <w:t>affiliates</w:t>
            </w:r>
          </w:p>
        </w:tc>
        <w:tc>
          <w:tcPr>
            <w:tcW w:w="2365" w:type="dxa"/>
            <w:shd w:val="clear" w:color="auto" w:fill="CCEDFF"/>
          </w:tcPr>
          <w:p>
            <w:pPr>
              <w:pStyle w:val="TableParagraph"/>
              <w:spacing w:before="30"/>
              <w:ind w:right="77"/>
              <w:jc w:val="right"/>
              <w:rPr>
                <w:sz w:val="17"/>
              </w:rPr>
            </w:pPr>
            <w:r>
              <w:rPr>
                <w:spacing w:val="-2"/>
                <w:sz w:val="17"/>
              </w:rPr>
              <w:t>(23,457)</w:t>
            </w:r>
          </w:p>
        </w:tc>
        <w:tc>
          <w:tcPr>
            <w:tcW w:w="1636" w:type="dxa"/>
            <w:shd w:val="clear" w:color="auto" w:fill="CCEDFF"/>
          </w:tcPr>
          <w:p>
            <w:pPr>
              <w:pStyle w:val="TableParagraph"/>
              <w:spacing w:before="30"/>
              <w:ind w:right="77"/>
              <w:jc w:val="right"/>
              <w:rPr>
                <w:sz w:val="17"/>
              </w:rPr>
            </w:pPr>
            <w:r>
              <w:rPr>
                <w:spacing w:val="-2"/>
                <w:sz w:val="17"/>
              </w:rPr>
              <w:t>(83,243)</w:t>
            </w:r>
          </w:p>
        </w:tc>
        <w:tc>
          <w:tcPr>
            <w:tcW w:w="1602" w:type="dxa"/>
            <w:shd w:val="clear" w:color="auto" w:fill="CCEDFF"/>
          </w:tcPr>
          <w:p>
            <w:pPr>
              <w:pStyle w:val="TableParagraph"/>
              <w:spacing w:before="30"/>
              <w:ind w:right="40"/>
              <w:jc w:val="right"/>
              <w:rPr>
                <w:sz w:val="17"/>
              </w:rPr>
            </w:pPr>
            <w:r>
              <w:rPr>
                <w:spacing w:val="-2"/>
                <w:sz w:val="17"/>
              </w:rPr>
              <w:t>(103,304)</w:t>
            </w:r>
          </w:p>
        </w:tc>
      </w:tr>
      <w:tr>
        <w:trPr>
          <w:trHeight w:val="255" w:hRule="atLeast"/>
        </w:trPr>
        <w:tc>
          <w:tcPr>
            <w:tcW w:w="5910" w:type="dxa"/>
          </w:tcPr>
          <w:p>
            <w:pPr>
              <w:pStyle w:val="TableParagraph"/>
              <w:ind w:left="217"/>
              <w:rPr>
                <w:sz w:val="18"/>
              </w:rPr>
            </w:pPr>
            <w:r>
              <w:rPr>
                <w:sz w:val="18"/>
              </w:rPr>
              <w:t>Other,</w:t>
            </w:r>
            <w:r>
              <w:rPr>
                <w:spacing w:val="-9"/>
                <w:sz w:val="18"/>
              </w:rPr>
              <w:t> </w:t>
            </w:r>
            <w:r>
              <w:rPr>
                <w:spacing w:val="-5"/>
                <w:sz w:val="18"/>
              </w:rPr>
              <w:t>net</w:t>
            </w:r>
          </w:p>
        </w:tc>
        <w:tc>
          <w:tcPr>
            <w:tcW w:w="2365" w:type="dxa"/>
            <w:tcBorders>
              <w:bottom w:val="single" w:sz="6" w:space="0" w:color="000000"/>
            </w:tcBorders>
          </w:tcPr>
          <w:p>
            <w:pPr>
              <w:pStyle w:val="TableParagraph"/>
              <w:spacing w:before="16"/>
              <w:ind w:right="120"/>
              <w:jc w:val="right"/>
              <w:rPr>
                <w:sz w:val="17"/>
              </w:rPr>
            </w:pPr>
            <w:r>
              <w:rPr>
                <w:spacing w:val="-2"/>
                <w:sz w:val="17"/>
              </w:rPr>
              <w:t>82,838</w:t>
            </w:r>
          </w:p>
        </w:tc>
        <w:tc>
          <w:tcPr>
            <w:tcW w:w="1636" w:type="dxa"/>
            <w:tcBorders>
              <w:bottom w:val="single" w:sz="6" w:space="0" w:color="000000"/>
            </w:tcBorders>
          </w:tcPr>
          <w:p>
            <w:pPr>
              <w:pStyle w:val="TableParagraph"/>
              <w:spacing w:before="16"/>
              <w:ind w:right="119"/>
              <w:jc w:val="right"/>
              <w:rPr>
                <w:sz w:val="17"/>
              </w:rPr>
            </w:pPr>
            <w:r>
              <w:rPr>
                <w:spacing w:val="-2"/>
                <w:sz w:val="17"/>
              </w:rPr>
              <w:t>65,941</w:t>
            </w:r>
          </w:p>
        </w:tc>
        <w:tc>
          <w:tcPr>
            <w:tcW w:w="1602" w:type="dxa"/>
            <w:tcBorders>
              <w:bottom w:val="single" w:sz="6" w:space="0" w:color="000000"/>
            </w:tcBorders>
          </w:tcPr>
          <w:p>
            <w:pPr>
              <w:pStyle w:val="TableParagraph"/>
              <w:spacing w:before="16"/>
              <w:ind w:right="40"/>
              <w:jc w:val="right"/>
              <w:rPr>
                <w:sz w:val="17"/>
              </w:rPr>
            </w:pPr>
            <w:r>
              <w:rPr>
                <w:spacing w:val="-2"/>
                <w:sz w:val="17"/>
              </w:rPr>
              <w:t>(89,361)</w:t>
            </w:r>
          </w:p>
        </w:tc>
      </w:tr>
      <w:tr>
        <w:trPr>
          <w:trHeight w:val="241" w:hRule="atLeast"/>
        </w:trPr>
        <w:tc>
          <w:tcPr>
            <w:tcW w:w="5910" w:type="dxa"/>
            <w:shd w:val="clear" w:color="auto" w:fill="CCEDFF"/>
          </w:tcPr>
          <w:p>
            <w:pPr>
              <w:pStyle w:val="TableParagraph"/>
              <w:spacing w:before="0"/>
              <w:rPr>
                <w:sz w:val="16"/>
              </w:rPr>
            </w:pPr>
          </w:p>
        </w:tc>
        <w:tc>
          <w:tcPr>
            <w:tcW w:w="2365" w:type="dxa"/>
            <w:tcBorders>
              <w:top w:val="single" w:sz="6" w:space="0" w:color="000000"/>
              <w:bottom w:val="single" w:sz="6" w:space="0" w:color="000000"/>
            </w:tcBorders>
            <w:shd w:val="clear" w:color="auto" w:fill="CCEDFF"/>
          </w:tcPr>
          <w:p>
            <w:pPr>
              <w:pStyle w:val="TableParagraph"/>
              <w:spacing w:before="16"/>
              <w:ind w:right="77"/>
              <w:jc w:val="right"/>
              <w:rPr>
                <w:sz w:val="17"/>
              </w:rPr>
            </w:pPr>
            <w:r>
              <w:rPr>
                <w:spacing w:val="-2"/>
                <w:sz w:val="17"/>
              </w:rPr>
              <w:t>(535,573)</w:t>
            </w:r>
          </w:p>
        </w:tc>
        <w:tc>
          <w:tcPr>
            <w:tcW w:w="1636" w:type="dxa"/>
            <w:tcBorders>
              <w:top w:val="single" w:sz="6" w:space="0" w:color="000000"/>
              <w:bottom w:val="single" w:sz="6" w:space="0" w:color="000000"/>
            </w:tcBorders>
            <w:shd w:val="clear" w:color="auto" w:fill="CCEDFF"/>
          </w:tcPr>
          <w:p>
            <w:pPr>
              <w:pStyle w:val="TableParagraph"/>
              <w:spacing w:before="16"/>
              <w:ind w:right="77"/>
              <w:jc w:val="right"/>
              <w:rPr>
                <w:sz w:val="17"/>
              </w:rPr>
            </w:pPr>
            <w:r>
              <w:rPr>
                <w:spacing w:val="-2"/>
                <w:sz w:val="17"/>
              </w:rPr>
              <w:t>(816,895)</w:t>
            </w:r>
          </w:p>
        </w:tc>
        <w:tc>
          <w:tcPr>
            <w:tcW w:w="1602" w:type="dxa"/>
            <w:tcBorders>
              <w:top w:val="single" w:sz="6" w:space="0" w:color="000000"/>
              <w:bottom w:val="single" w:sz="6" w:space="0" w:color="000000"/>
            </w:tcBorders>
            <w:shd w:val="clear" w:color="auto" w:fill="CCEDFF"/>
          </w:tcPr>
          <w:p>
            <w:pPr>
              <w:pStyle w:val="TableParagraph"/>
              <w:spacing w:before="16"/>
              <w:ind w:right="40"/>
              <w:jc w:val="right"/>
              <w:rPr>
                <w:sz w:val="17"/>
              </w:rPr>
            </w:pPr>
            <w:r>
              <w:rPr>
                <w:spacing w:val="-2"/>
                <w:sz w:val="17"/>
              </w:rPr>
              <w:t>(869,045)</w:t>
            </w:r>
          </w:p>
        </w:tc>
      </w:tr>
      <w:tr>
        <w:trPr>
          <w:trHeight w:val="255" w:hRule="atLeast"/>
        </w:trPr>
        <w:tc>
          <w:tcPr>
            <w:tcW w:w="5910" w:type="dxa"/>
          </w:tcPr>
          <w:p>
            <w:pPr>
              <w:pStyle w:val="TableParagraph"/>
              <w:spacing w:before="20"/>
              <w:ind w:left="17"/>
              <w:rPr>
                <w:b/>
                <w:sz w:val="18"/>
              </w:rPr>
            </w:pPr>
            <w:r>
              <w:rPr>
                <w:b/>
                <w:sz w:val="18"/>
              </w:rPr>
              <w:t>Income</w:t>
            </w:r>
            <w:r>
              <w:rPr>
                <w:b/>
                <w:spacing w:val="-2"/>
                <w:sz w:val="18"/>
              </w:rPr>
              <w:t> </w:t>
            </w:r>
            <w:r>
              <w:rPr>
                <w:b/>
                <w:sz w:val="18"/>
              </w:rPr>
              <w:t>(loss)</w:t>
            </w:r>
            <w:r>
              <w:rPr>
                <w:b/>
                <w:spacing w:val="-2"/>
                <w:sz w:val="18"/>
              </w:rPr>
              <w:t> </w:t>
            </w:r>
            <w:r>
              <w:rPr>
                <w:b/>
                <w:sz w:val="18"/>
              </w:rPr>
              <w:t>before</w:t>
            </w:r>
            <w:r>
              <w:rPr>
                <w:b/>
                <w:spacing w:val="-2"/>
                <w:sz w:val="18"/>
              </w:rPr>
              <w:t> </w:t>
            </w:r>
            <w:r>
              <w:rPr>
                <w:b/>
                <w:sz w:val="18"/>
              </w:rPr>
              <w:t>income</w:t>
            </w:r>
            <w:r>
              <w:rPr>
                <w:b/>
                <w:spacing w:val="-2"/>
                <w:sz w:val="18"/>
              </w:rPr>
              <w:t> taxes</w:t>
            </w:r>
          </w:p>
        </w:tc>
        <w:tc>
          <w:tcPr>
            <w:tcW w:w="2365" w:type="dxa"/>
            <w:tcBorders>
              <w:top w:val="single" w:sz="6" w:space="0" w:color="000000"/>
            </w:tcBorders>
          </w:tcPr>
          <w:p>
            <w:pPr>
              <w:pStyle w:val="TableParagraph"/>
              <w:spacing w:before="16"/>
              <w:ind w:right="120"/>
              <w:jc w:val="right"/>
              <w:rPr>
                <w:sz w:val="17"/>
              </w:rPr>
            </w:pPr>
            <w:r>
              <w:rPr>
                <w:spacing w:val="-2"/>
                <w:sz w:val="17"/>
              </w:rPr>
              <w:t>903,799</w:t>
            </w:r>
          </w:p>
        </w:tc>
        <w:tc>
          <w:tcPr>
            <w:tcW w:w="1636" w:type="dxa"/>
            <w:tcBorders>
              <w:top w:val="single" w:sz="6" w:space="0" w:color="000000"/>
            </w:tcBorders>
          </w:tcPr>
          <w:p>
            <w:pPr>
              <w:pStyle w:val="TableParagraph"/>
              <w:spacing w:before="16"/>
              <w:ind w:right="119"/>
              <w:jc w:val="right"/>
              <w:rPr>
                <w:sz w:val="17"/>
              </w:rPr>
            </w:pPr>
            <w:r>
              <w:rPr>
                <w:spacing w:val="-2"/>
                <w:sz w:val="17"/>
              </w:rPr>
              <w:t>1,461,804</w:t>
            </w:r>
          </w:p>
        </w:tc>
        <w:tc>
          <w:tcPr>
            <w:tcW w:w="1602" w:type="dxa"/>
            <w:tcBorders>
              <w:top w:val="single" w:sz="6" w:space="0" w:color="000000"/>
            </w:tcBorders>
          </w:tcPr>
          <w:p>
            <w:pPr>
              <w:pStyle w:val="TableParagraph"/>
              <w:spacing w:before="16"/>
              <w:ind w:right="40"/>
              <w:jc w:val="right"/>
              <w:rPr>
                <w:sz w:val="17"/>
              </w:rPr>
            </w:pPr>
            <w:r>
              <w:rPr>
                <w:spacing w:val="-2"/>
                <w:sz w:val="17"/>
              </w:rPr>
              <w:t>(1,511,479)</w:t>
            </w:r>
          </w:p>
        </w:tc>
      </w:tr>
      <w:tr>
        <w:trPr>
          <w:trHeight w:val="241" w:hRule="atLeast"/>
        </w:trPr>
        <w:tc>
          <w:tcPr>
            <w:tcW w:w="5910" w:type="dxa"/>
            <w:shd w:val="clear" w:color="auto" w:fill="CCEDFF"/>
          </w:tcPr>
          <w:p>
            <w:pPr>
              <w:pStyle w:val="TableParagraph"/>
              <w:spacing w:line="201" w:lineRule="exact"/>
              <w:ind w:left="217"/>
              <w:rPr>
                <w:sz w:val="18"/>
              </w:rPr>
            </w:pPr>
            <w:r>
              <w:rPr>
                <w:sz w:val="18"/>
              </w:rPr>
              <w:t>Benefit</w:t>
            </w:r>
            <w:r>
              <w:rPr>
                <w:spacing w:val="-1"/>
                <w:sz w:val="18"/>
              </w:rPr>
              <w:t> </w:t>
            </w:r>
            <w:r>
              <w:rPr>
                <w:sz w:val="18"/>
              </w:rPr>
              <w:t>(provision)</w:t>
            </w:r>
            <w:r>
              <w:rPr>
                <w:spacing w:val="-1"/>
                <w:sz w:val="18"/>
              </w:rPr>
              <w:t> </w:t>
            </w:r>
            <w:r>
              <w:rPr>
                <w:sz w:val="18"/>
              </w:rPr>
              <w:t>for</w:t>
            </w:r>
            <w:r>
              <w:rPr>
                <w:spacing w:val="-1"/>
                <w:sz w:val="18"/>
              </w:rPr>
              <w:t> </w:t>
            </w:r>
            <w:r>
              <w:rPr>
                <w:sz w:val="18"/>
              </w:rPr>
              <w:t>income</w:t>
            </w:r>
            <w:r>
              <w:rPr>
                <w:spacing w:val="-1"/>
                <w:sz w:val="18"/>
              </w:rPr>
              <w:t> </w:t>
            </w:r>
            <w:r>
              <w:rPr>
                <w:spacing w:val="-2"/>
                <w:sz w:val="18"/>
              </w:rPr>
              <w:t>taxes</w:t>
            </w:r>
          </w:p>
        </w:tc>
        <w:tc>
          <w:tcPr>
            <w:tcW w:w="2365" w:type="dxa"/>
            <w:tcBorders>
              <w:bottom w:val="single" w:sz="12" w:space="0" w:color="000000"/>
            </w:tcBorders>
            <w:shd w:val="clear" w:color="auto" w:fill="CCEDFF"/>
          </w:tcPr>
          <w:p>
            <w:pPr>
              <w:pStyle w:val="TableParagraph"/>
              <w:spacing w:before="16"/>
              <w:ind w:right="77"/>
              <w:jc w:val="right"/>
              <w:rPr>
                <w:sz w:val="17"/>
              </w:rPr>
            </w:pPr>
            <w:r>
              <w:rPr>
                <w:spacing w:val="-2"/>
                <w:sz w:val="17"/>
              </w:rPr>
              <w:t>(697,068)</w:t>
            </w:r>
          </w:p>
        </w:tc>
        <w:tc>
          <w:tcPr>
            <w:tcW w:w="1636" w:type="dxa"/>
            <w:tcBorders>
              <w:bottom w:val="single" w:sz="12" w:space="0" w:color="000000"/>
            </w:tcBorders>
            <w:shd w:val="clear" w:color="auto" w:fill="CCEDFF"/>
          </w:tcPr>
          <w:p>
            <w:pPr>
              <w:pStyle w:val="TableParagraph"/>
              <w:spacing w:before="16"/>
              <w:ind w:right="77"/>
              <w:jc w:val="right"/>
              <w:rPr>
                <w:sz w:val="17"/>
              </w:rPr>
            </w:pPr>
            <w:r>
              <w:rPr>
                <w:spacing w:val="-2"/>
                <w:sz w:val="17"/>
              </w:rPr>
              <w:t>(253,415)</w:t>
            </w:r>
          </w:p>
        </w:tc>
        <w:tc>
          <w:tcPr>
            <w:tcW w:w="1602" w:type="dxa"/>
            <w:tcBorders>
              <w:bottom w:val="single" w:sz="12" w:space="0" w:color="000000"/>
            </w:tcBorders>
            <w:shd w:val="clear" w:color="auto" w:fill="CCEDFF"/>
          </w:tcPr>
          <w:p>
            <w:pPr>
              <w:pStyle w:val="TableParagraph"/>
              <w:spacing w:before="16"/>
              <w:ind w:right="83"/>
              <w:jc w:val="right"/>
              <w:rPr>
                <w:sz w:val="17"/>
              </w:rPr>
            </w:pPr>
            <w:r>
              <w:rPr>
                <w:spacing w:val="-2"/>
                <w:sz w:val="17"/>
              </w:rPr>
              <w:t>191,572</w:t>
            </w:r>
          </w:p>
        </w:tc>
      </w:tr>
      <w:tr>
        <w:trPr>
          <w:trHeight w:val="241" w:hRule="atLeast"/>
        </w:trPr>
        <w:tc>
          <w:tcPr>
            <w:tcW w:w="5910" w:type="dxa"/>
          </w:tcPr>
          <w:p>
            <w:pPr>
              <w:pStyle w:val="TableParagraph"/>
              <w:spacing w:before="6"/>
              <w:ind w:left="17"/>
              <w:rPr>
                <w:b/>
                <w:sz w:val="18"/>
              </w:rPr>
            </w:pPr>
            <w:r>
              <w:rPr>
                <w:b/>
                <w:sz w:val="18"/>
              </w:rPr>
              <w:t>Net</w:t>
            </w:r>
            <w:r>
              <w:rPr>
                <w:b/>
                <w:spacing w:val="-1"/>
                <w:sz w:val="18"/>
              </w:rPr>
              <w:t> </w:t>
            </w:r>
            <w:r>
              <w:rPr>
                <w:b/>
                <w:sz w:val="18"/>
              </w:rPr>
              <w:t>income</w:t>
            </w:r>
            <w:r>
              <w:rPr>
                <w:b/>
                <w:spacing w:val="-1"/>
                <w:sz w:val="18"/>
              </w:rPr>
              <w:t> </w:t>
            </w:r>
            <w:r>
              <w:rPr>
                <w:b/>
                <w:spacing w:val="-2"/>
                <w:sz w:val="18"/>
              </w:rPr>
              <w:t>(loss)</w:t>
            </w:r>
          </w:p>
        </w:tc>
        <w:tc>
          <w:tcPr>
            <w:tcW w:w="2365" w:type="dxa"/>
            <w:tcBorders>
              <w:top w:val="single" w:sz="12" w:space="0" w:color="000000"/>
            </w:tcBorders>
          </w:tcPr>
          <w:p>
            <w:pPr>
              <w:pStyle w:val="TableParagraph"/>
              <w:spacing w:before="15"/>
              <w:ind w:right="120"/>
              <w:jc w:val="right"/>
              <w:rPr>
                <w:sz w:val="17"/>
              </w:rPr>
            </w:pPr>
            <w:r>
              <w:rPr>
                <w:spacing w:val="-2"/>
                <w:sz w:val="17"/>
              </w:rPr>
              <w:t>206,731</w:t>
            </w:r>
          </w:p>
        </w:tc>
        <w:tc>
          <w:tcPr>
            <w:tcW w:w="1636" w:type="dxa"/>
            <w:tcBorders>
              <w:top w:val="single" w:sz="12" w:space="0" w:color="000000"/>
            </w:tcBorders>
          </w:tcPr>
          <w:p>
            <w:pPr>
              <w:pStyle w:val="TableParagraph"/>
              <w:spacing w:before="15"/>
              <w:ind w:right="119"/>
              <w:jc w:val="right"/>
              <w:rPr>
                <w:sz w:val="17"/>
              </w:rPr>
            </w:pPr>
            <w:r>
              <w:rPr>
                <w:spacing w:val="-2"/>
                <w:sz w:val="17"/>
              </w:rPr>
              <w:t>1,208,389</w:t>
            </w:r>
          </w:p>
        </w:tc>
        <w:tc>
          <w:tcPr>
            <w:tcW w:w="1602" w:type="dxa"/>
            <w:tcBorders>
              <w:top w:val="single" w:sz="12" w:space="0" w:color="000000"/>
            </w:tcBorders>
          </w:tcPr>
          <w:p>
            <w:pPr>
              <w:pStyle w:val="TableParagraph"/>
              <w:spacing w:before="15"/>
              <w:ind w:right="40"/>
              <w:jc w:val="right"/>
              <w:rPr>
                <w:sz w:val="17"/>
              </w:rPr>
            </w:pPr>
            <w:r>
              <w:rPr>
                <w:spacing w:val="-2"/>
                <w:sz w:val="17"/>
              </w:rPr>
              <w:t>(1,319,907)</w:t>
            </w:r>
          </w:p>
        </w:tc>
      </w:tr>
      <w:tr>
        <w:trPr>
          <w:trHeight w:val="255" w:hRule="atLeast"/>
        </w:trPr>
        <w:tc>
          <w:tcPr>
            <w:tcW w:w="5910" w:type="dxa"/>
            <w:shd w:val="clear" w:color="auto" w:fill="CCEDFF"/>
          </w:tcPr>
          <w:p>
            <w:pPr>
              <w:pStyle w:val="TableParagraph"/>
              <w:ind w:left="217"/>
              <w:rPr>
                <w:sz w:val="18"/>
              </w:rPr>
            </w:pPr>
            <w:r>
              <w:rPr>
                <w:sz w:val="18"/>
              </w:rPr>
              <w:t>Less:</w:t>
            </w:r>
            <w:r>
              <w:rPr>
                <w:spacing w:val="-1"/>
                <w:sz w:val="18"/>
              </w:rPr>
              <w:t> </w:t>
            </w:r>
            <w:r>
              <w:rPr>
                <w:sz w:val="18"/>
              </w:rPr>
              <w:t>Net</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noncontrolling</w:t>
            </w:r>
            <w:r>
              <w:rPr>
                <w:spacing w:val="-1"/>
                <w:sz w:val="18"/>
              </w:rPr>
              <w:t> </w:t>
            </w:r>
            <w:r>
              <w:rPr>
                <w:spacing w:val="-2"/>
                <w:sz w:val="18"/>
              </w:rPr>
              <w:t>interests</w:t>
            </w:r>
          </w:p>
        </w:tc>
        <w:tc>
          <w:tcPr>
            <w:tcW w:w="2365" w:type="dxa"/>
            <w:tcBorders>
              <w:bottom w:val="single" w:sz="6" w:space="0" w:color="000000"/>
            </w:tcBorders>
            <w:shd w:val="clear" w:color="auto" w:fill="CCEDFF"/>
          </w:tcPr>
          <w:p>
            <w:pPr>
              <w:pStyle w:val="TableParagraph"/>
              <w:spacing w:before="16"/>
              <w:ind w:right="120"/>
              <w:jc w:val="right"/>
              <w:rPr>
                <w:sz w:val="17"/>
              </w:rPr>
            </w:pPr>
            <w:r>
              <w:rPr>
                <w:spacing w:val="-2"/>
                <w:sz w:val="17"/>
              </w:rPr>
              <w:t>1,266,362</w:t>
            </w:r>
          </w:p>
        </w:tc>
        <w:tc>
          <w:tcPr>
            <w:tcW w:w="1636" w:type="dxa"/>
            <w:tcBorders>
              <w:bottom w:val="single" w:sz="6" w:space="0" w:color="000000"/>
            </w:tcBorders>
            <w:shd w:val="clear" w:color="auto" w:fill="CCEDFF"/>
          </w:tcPr>
          <w:p>
            <w:pPr>
              <w:pStyle w:val="TableParagraph"/>
              <w:spacing w:before="16"/>
              <w:ind w:right="119"/>
              <w:jc w:val="right"/>
              <w:rPr>
                <w:sz w:val="17"/>
              </w:rPr>
            </w:pPr>
            <w:r>
              <w:rPr>
                <w:spacing w:val="-2"/>
                <w:sz w:val="17"/>
              </w:rPr>
              <w:t>45,981</w:t>
            </w:r>
          </w:p>
        </w:tc>
        <w:tc>
          <w:tcPr>
            <w:tcW w:w="1602" w:type="dxa"/>
            <w:tcBorders>
              <w:bottom w:val="single" w:sz="6" w:space="0" w:color="000000"/>
            </w:tcBorders>
            <w:shd w:val="clear" w:color="auto" w:fill="CCEDFF"/>
          </w:tcPr>
          <w:p>
            <w:pPr>
              <w:pStyle w:val="TableParagraph"/>
              <w:spacing w:before="16"/>
              <w:ind w:right="83"/>
              <w:jc w:val="right"/>
              <w:rPr>
                <w:sz w:val="17"/>
              </w:rPr>
            </w:pPr>
            <w:r>
              <w:rPr>
                <w:spacing w:val="-2"/>
                <w:sz w:val="17"/>
              </w:rPr>
              <w:t>287,183</w:t>
            </w:r>
          </w:p>
        </w:tc>
      </w:tr>
      <w:tr>
        <w:trPr>
          <w:trHeight w:val="296" w:hRule="atLeast"/>
        </w:trPr>
        <w:tc>
          <w:tcPr>
            <w:tcW w:w="5910" w:type="dxa"/>
          </w:tcPr>
          <w:p>
            <w:pPr>
              <w:pStyle w:val="TableParagraph"/>
              <w:spacing w:before="20"/>
              <w:ind w:left="17"/>
              <w:rPr>
                <w:b/>
                <w:sz w:val="18"/>
              </w:rPr>
            </w:pPr>
            <w:r>
              <w:rPr>
                <w:b/>
                <w:sz w:val="18"/>
              </w:rPr>
              <w:t>Net</w:t>
            </w:r>
            <w:r>
              <w:rPr>
                <w:b/>
                <w:spacing w:val="-1"/>
                <w:sz w:val="18"/>
              </w:rPr>
              <w:t> </w:t>
            </w:r>
            <w:r>
              <w:rPr>
                <w:b/>
                <w:sz w:val="18"/>
              </w:rPr>
              <w:t>income</w:t>
            </w:r>
            <w:r>
              <w:rPr>
                <w:b/>
                <w:spacing w:val="-1"/>
                <w:sz w:val="18"/>
              </w:rPr>
              <w:t> </w:t>
            </w:r>
            <w:r>
              <w:rPr>
                <w:b/>
                <w:sz w:val="18"/>
              </w:rPr>
              <w:t>(loss)</w:t>
            </w:r>
            <w:r>
              <w:rPr>
                <w:b/>
                <w:spacing w:val="-1"/>
                <w:sz w:val="18"/>
              </w:rPr>
              <w:t> </w:t>
            </w:r>
            <w:r>
              <w:rPr>
                <w:b/>
                <w:sz w:val="18"/>
              </w:rPr>
              <w:t>attributable</w:t>
            </w:r>
            <w:r>
              <w:rPr>
                <w:b/>
                <w:spacing w:val="-1"/>
                <w:sz w:val="18"/>
              </w:rPr>
              <w:t> </w:t>
            </w:r>
            <w:r>
              <w:rPr>
                <w:b/>
                <w:sz w:val="18"/>
              </w:rPr>
              <w:t>to</w:t>
            </w:r>
            <w:r>
              <w:rPr>
                <w:b/>
                <w:spacing w:val="-1"/>
                <w:sz w:val="18"/>
              </w:rPr>
              <w:t> </w:t>
            </w:r>
            <w:r>
              <w:rPr>
                <w:b/>
                <w:sz w:val="18"/>
              </w:rPr>
              <w:t>MGM</w:t>
            </w:r>
            <w:r>
              <w:rPr>
                <w:b/>
                <w:spacing w:val="-1"/>
                <w:sz w:val="18"/>
              </w:rPr>
              <w:t> </w:t>
            </w:r>
            <w:r>
              <w:rPr>
                <w:b/>
                <w:sz w:val="18"/>
              </w:rPr>
              <w:t>Resorts</w:t>
            </w:r>
            <w:r>
              <w:rPr>
                <w:b/>
                <w:spacing w:val="-1"/>
                <w:sz w:val="18"/>
              </w:rPr>
              <w:t> </w:t>
            </w:r>
            <w:r>
              <w:rPr>
                <w:b/>
                <w:spacing w:val="-2"/>
                <w:sz w:val="18"/>
              </w:rPr>
              <w:t>International</w:t>
            </w:r>
          </w:p>
        </w:tc>
        <w:tc>
          <w:tcPr>
            <w:tcW w:w="2365" w:type="dxa"/>
            <w:tcBorders>
              <w:top w:val="single" w:sz="6" w:space="0" w:color="000000"/>
            </w:tcBorders>
          </w:tcPr>
          <w:p>
            <w:pPr>
              <w:pStyle w:val="TableParagraph"/>
              <w:tabs>
                <w:tab w:pos="748" w:val="left" w:leader="none"/>
              </w:tabs>
              <w:spacing w:before="16"/>
              <w:ind w:right="120"/>
              <w:jc w:val="right"/>
              <w:rPr>
                <w:sz w:val="17"/>
              </w:rPr>
            </w:pPr>
            <w:r>
              <w:rPr/>
              <mc:AlternateContent>
                <mc:Choice Requires="wps">
                  <w:drawing>
                    <wp:anchor distT="0" distB="0" distL="0" distR="0" allowOverlap="1" layoutInCell="1" locked="0" behindDoc="1" simplePos="0" relativeHeight="477767168">
                      <wp:simplePos x="0" y="0"/>
                      <wp:positionH relativeFrom="column">
                        <wp:posOffset>498794</wp:posOffset>
                      </wp:positionH>
                      <wp:positionV relativeFrom="paragraph">
                        <wp:posOffset>153835</wp:posOffset>
                      </wp:positionV>
                      <wp:extent cx="969010" cy="34290"/>
                      <wp:effectExtent l="0" t="0" r="0" b="0"/>
                      <wp:wrapNone/>
                      <wp:docPr id="665" name="Group 665"/>
                      <wp:cNvGraphicFramePr>
                        <a:graphicFrameLocks/>
                      </wp:cNvGraphicFramePr>
                      <a:graphic>
                        <a:graphicData uri="http://schemas.microsoft.com/office/word/2010/wordprocessingGroup">
                          <wpg:wgp>
                            <wpg:cNvPr id="665" name="Group 665"/>
                            <wpg:cNvGrpSpPr/>
                            <wpg:grpSpPr>
                              <a:xfrm>
                                <a:off x="0" y="0"/>
                                <a:ext cx="969010" cy="34290"/>
                                <a:chExt cx="969010" cy="34290"/>
                              </a:xfrm>
                            </wpg:grpSpPr>
                            <wps:wsp>
                              <wps:cNvPr id="666" name="Graphic 666"/>
                              <wps:cNvSpPr/>
                              <wps:spPr>
                                <a:xfrm>
                                  <a:off x="-12" y="-5"/>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275169pt;margin-top:12.113046pt;width:76.3pt;height:2.7pt;mso-position-horizontal-relative:column;mso-position-vertical-relative:paragraph;z-index:-25549312" id="docshapegroup663" coordorigin="786,242" coordsize="1526,54">
                      <v:shape style="position:absolute;left:785;top:242;width:1526;height:54" id="docshape664" coordorigin="785,242" coordsize="1526,54" path="m2311,283l2284,283,907,283,785,283,785,296,907,296,2284,296,2311,296,2311,283xm2311,242l2284,242,907,242,785,242,785,256,907,256,2284,256,2311,256,2311,242xe" filled="true" fillcolor="#000000" stroked="false">
                        <v:path arrowok="t"/>
                        <v:fill type="solid"/>
                      </v:shape>
                      <w10:wrap type="none"/>
                    </v:group>
                  </w:pict>
                </mc:Fallback>
              </mc:AlternateContent>
            </w:r>
            <w:r>
              <w:rPr>
                <w:spacing w:val="-10"/>
                <w:sz w:val="17"/>
              </w:rPr>
              <w:t>$</w:t>
            </w:r>
            <w:r>
              <w:rPr>
                <w:sz w:val="17"/>
              </w:rPr>
              <w:tab/>
            </w:r>
            <w:r>
              <w:rPr>
                <w:spacing w:val="-2"/>
                <w:sz w:val="17"/>
              </w:rPr>
              <w:t>1,473,093</w:t>
            </w:r>
          </w:p>
        </w:tc>
        <w:tc>
          <w:tcPr>
            <w:tcW w:w="1636" w:type="dxa"/>
            <w:tcBorders>
              <w:top w:val="single" w:sz="6" w:space="0" w:color="000000"/>
            </w:tcBorders>
          </w:tcPr>
          <w:p>
            <w:pPr>
              <w:pStyle w:val="TableParagraph"/>
              <w:tabs>
                <w:tab w:pos="748" w:val="left" w:leader="none"/>
              </w:tabs>
              <w:spacing w:before="16"/>
              <w:ind w:right="119"/>
              <w:jc w:val="right"/>
              <w:rPr>
                <w:sz w:val="17"/>
              </w:rPr>
            </w:pPr>
            <w:r>
              <w:rPr/>
              <mc:AlternateContent>
                <mc:Choice Requires="wps">
                  <w:drawing>
                    <wp:anchor distT="0" distB="0" distL="0" distR="0" allowOverlap="1" layoutInCell="1" locked="0" behindDoc="1" simplePos="0" relativeHeight="477767680">
                      <wp:simplePos x="0" y="0"/>
                      <wp:positionH relativeFrom="column">
                        <wp:posOffset>42400</wp:posOffset>
                      </wp:positionH>
                      <wp:positionV relativeFrom="paragraph">
                        <wp:posOffset>153835</wp:posOffset>
                      </wp:positionV>
                      <wp:extent cx="960119" cy="34290"/>
                      <wp:effectExtent l="0" t="0" r="0" b="0"/>
                      <wp:wrapNone/>
                      <wp:docPr id="667" name="Group 667"/>
                      <wp:cNvGraphicFramePr>
                        <a:graphicFrameLocks/>
                      </wp:cNvGraphicFramePr>
                      <a:graphic>
                        <a:graphicData uri="http://schemas.microsoft.com/office/word/2010/wordprocessingGroup">
                          <wpg:wgp>
                            <wpg:cNvPr id="667" name="Group 667"/>
                            <wpg:cNvGrpSpPr/>
                            <wpg:grpSpPr>
                              <a:xfrm>
                                <a:off x="0" y="0"/>
                                <a:ext cx="960119" cy="34290"/>
                                <a:chExt cx="960119" cy="34290"/>
                              </a:xfrm>
                            </wpg:grpSpPr>
                            <wps:wsp>
                              <wps:cNvPr id="668" name="Graphic 668"/>
                              <wps:cNvSpPr/>
                              <wps:spPr>
                                <a:xfrm>
                                  <a:off x="-12" y="-5"/>
                                  <a:ext cx="960119" cy="34290"/>
                                </a:xfrm>
                                <a:custGeom>
                                  <a:avLst/>
                                  <a:gdLst/>
                                  <a:ahLst/>
                                  <a:cxnLst/>
                                  <a:rect l="l" t="t" r="r" b="b"/>
                                  <a:pathLst>
                                    <a:path w="960119" h="34290">
                                      <a:moveTo>
                                        <a:pt x="960120" y="25717"/>
                                      </a:moveTo>
                                      <a:lnTo>
                                        <a:pt x="942975" y="25717"/>
                                      </a:lnTo>
                                      <a:lnTo>
                                        <a:pt x="68580" y="25717"/>
                                      </a:lnTo>
                                      <a:lnTo>
                                        <a:pt x="0" y="25717"/>
                                      </a:lnTo>
                                      <a:lnTo>
                                        <a:pt x="0" y="34290"/>
                                      </a:lnTo>
                                      <a:lnTo>
                                        <a:pt x="68580" y="34290"/>
                                      </a:lnTo>
                                      <a:lnTo>
                                        <a:pt x="942975" y="34290"/>
                                      </a:lnTo>
                                      <a:lnTo>
                                        <a:pt x="960120" y="34290"/>
                                      </a:lnTo>
                                      <a:lnTo>
                                        <a:pt x="960120" y="25717"/>
                                      </a:lnTo>
                                      <a:close/>
                                    </a:path>
                                    <a:path w="960119" h="34290">
                                      <a:moveTo>
                                        <a:pt x="960120" y="0"/>
                                      </a:moveTo>
                                      <a:lnTo>
                                        <a:pt x="942975" y="0"/>
                                      </a:lnTo>
                                      <a:lnTo>
                                        <a:pt x="68580" y="0"/>
                                      </a:lnTo>
                                      <a:lnTo>
                                        <a:pt x="0" y="0"/>
                                      </a:lnTo>
                                      <a:lnTo>
                                        <a:pt x="0" y="8572"/>
                                      </a:lnTo>
                                      <a:lnTo>
                                        <a:pt x="68580" y="8572"/>
                                      </a:lnTo>
                                      <a:lnTo>
                                        <a:pt x="942975"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38598pt;margin-top:12.113046pt;width:75.6pt;height:2.7pt;mso-position-horizontal-relative:column;mso-position-vertical-relative:paragraph;z-index:-25548800" id="docshapegroup665" coordorigin="67,242" coordsize="1512,54">
                      <v:shape style="position:absolute;left:66;top:242;width:1512;height:54" id="docshape666" coordorigin="67,242" coordsize="1512,54" path="m1579,283l1552,283,175,283,67,283,67,296,175,296,1552,296,1579,296,1579,283xm1579,242l1552,242,175,242,67,242,67,256,175,256,1552,256,1579,256,1579,242xe" filled="true" fillcolor="#000000" stroked="false">
                        <v:path arrowok="t"/>
                        <v:fill type="solid"/>
                      </v:shape>
                      <w10:wrap type="none"/>
                    </v:group>
                  </w:pict>
                </mc:Fallback>
              </mc:AlternateContent>
            </w:r>
            <w:r>
              <w:rPr>
                <w:spacing w:val="-10"/>
                <w:sz w:val="17"/>
              </w:rPr>
              <w:t>$</w:t>
            </w:r>
            <w:r>
              <w:rPr>
                <w:sz w:val="17"/>
              </w:rPr>
              <w:tab/>
            </w:r>
            <w:r>
              <w:rPr>
                <w:spacing w:val="-2"/>
                <w:sz w:val="17"/>
              </w:rPr>
              <w:t>1,254,370</w:t>
            </w:r>
          </w:p>
        </w:tc>
        <w:tc>
          <w:tcPr>
            <w:tcW w:w="1602" w:type="dxa"/>
            <w:tcBorders>
              <w:top w:val="single" w:sz="6" w:space="0" w:color="000000"/>
            </w:tcBorders>
          </w:tcPr>
          <w:p>
            <w:pPr>
              <w:pStyle w:val="TableParagraph"/>
              <w:tabs>
                <w:tab w:pos="678" w:val="left" w:leader="none"/>
              </w:tabs>
              <w:spacing w:before="16"/>
              <w:ind w:right="40"/>
              <w:jc w:val="right"/>
              <w:rPr>
                <w:sz w:val="17"/>
              </w:rPr>
            </w:pPr>
            <w:r>
              <w:rPr/>
              <mc:AlternateContent>
                <mc:Choice Requires="wps">
                  <w:drawing>
                    <wp:anchor distT="0" distB="0" distL="0" distR="0" allowOverlap="1" layoutInCell="1" locked="0" behindDoc="1" simplePos="0" relativeHeight="477768192">
                      <wp:simplePos x="0" y="0"/>
                      <wp:positionH relativeFrom="column">
                        <wp:posOffset>40257</wp:posOffset>
                      </wp:positionH>
                      <wp:positionV relativeFrom="paragraph">
                        <wp:posOffset>153835</wp:posOffset>
                      </wp:positionV>
                      <wp:extent cx="969010" cy="34290"/>
                      <wp:effectExtent l="0" t="0" r="0" b="0"/>
                      <wp:wrapNone/>
                      <wp:docPr id="669" name="Group 669"/>
                      <wp:cNvGraphicFramePr>
                        <a:graphicFrameLocks/>
                      </wp:cNvGraphicFramePr>
                      <a:graphic>
                        <a:graphicData uri="http://schemas.microsoft.com/office/word/2010/wordprocessingGroup">
                          <wpg:wgp>
                            <wpg:cNvPr id="669" name="Group 669"/>
                            <wpg:cNvGrpSpPr/>
                            <wpg:grpSpPr>
                              <a:xfrm>
                                <a:off x="0" y="0"/>
                                <a:ext cx="969010" cy="34290"/>
                                <a:chExt cx="969010" cy="34290"/>
                              </a:xfrm>
                            </wpg:grpSpPr>
                            <wps:wsp>
                              <wps:cNvPr id="670" name="Graphic 670"/>
                              <wps:cNvSpPr/>
                              <wps:spPr>
                                <a:xfrm>
                                  <a:off x="-11" y="-5"/>
                                  <a:ext cx="969010" cy="34290"/>
                                </a:xfrm>
                                <a:custGeom>
                                  <a:avLst/>
                                  <a:gdLst/>
                                  <a:ahLst/>
                                  <a:cxnLst/>
                                  <a:rect l="l" t="t" r="r" b="b"/>
                                  <a:pathLst>
                                    <a:path w="969010" h="34290">
                                      <a:moveTo>
                                        <a:pt x="968692" y="25717"/>
                                      </a:moveTo>
                                      <a:lnTo>
                                        <a:pt x="951547" y="25717"/>
                                      </a:lnTo>
                                      <a:lnTo>
                                        <a:pt x="68580" y="25717"/>
                                      </a:lnTo>
                                      <a:lnTo>
                                        <a:pt x="0" y="25717"/>
                                      </a:lnTo>
                                      <a:lnTo>
                                        <a:pt x="0" y="34290"/>
                                      </a:lnTo>
                                      <a:lnTo>
                                        <a:pt x="68580" y="34290"/>
                                      </a:lnTo>
                                      <a:lnTo>
                                        <a:pt x="951547" y="34290"/>
                                      </a:lnTo>
                                      <a:lnTo>
                                        <a:pt x="968692" y="34290"/>
                                      </a:lnTo>
                                      <a:lnTo>
                                        <a:pt x="968692" y="25717"/>
                                      </a:lnTo>
                                      <a:close/>
                                    </a:path>
                                    <a:path w="969010" h="34290">
                                      <a:moveTo>
                                        <a:pt x="968692" y="0"/>
                                      </a:moveTo>
                                      <a:lnTo>
                                        <a:pt x="951547" y="0"/>
                                      </a:lnTo>
                                      <a:lnTo>
                                        <a:pt x="68580" y="0"/>
                                      </a:lnTo>
                                      <a:lnTo>
                                        <a:pt x="0" y="0"/>
                                      </a:lnTo>
                                      <a:lnTo>
                                        <a:pt x="0" y="8572"/>
                                      </a:lnTo>
                                      <a:lnTo>
                                        <a:pt x="68580"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69852pt;margin-top:12.113046pt;width:76.3pt;height:2.7pt;mso-position-horizontal-relative:column;mso-position-vertical-relative:paragraph;z-index:-25548288" id="docshapegroup667" coordorigin="63,242" coordsize="1526,54">
                      <v:shape style="position:absolute;left:63;top:242;width:1526;height:54" id="docshape668" coordorigin="63,242" coordsize="1526,54" path="m1589,283l1562,283,171,283,63,283,63,296,171,296,1562,296,1589,296,1589,283xm1589,242l1562,242,171,242,63,242,63,256,171,256,1562,256,1589,256,1589,242xe" filled="true" fillcolor="#000000" stroked="false">
                        <v:path arrowok="t"/>
                        <v:fill type="solid"/>
                      </v:shape>
                      <w10:wrap type="none"/>
                    </v:group>
                  </w:pict>
                </mc:Fallback>
              </mc:AlternateContent>
            </w:r>
            <w:r>
              <w:rPr>
                <w:spacing w:val="-10"/>
                <w:sz w:val="17"/>
              </w:rPr>
              <w:t>$</w:t>
            </w:r>
            <w:r>
              <w:rPr>
                <w:sz w:val="17"/>
              </w:rPr>
              <w:tab/>
            </w:r>
            <w:r>
              <w:rPr>
                <w:spacing w:val="-2"/>
                <w:sz w:val="17"/>
              </w:rPr>
              <w:t>(1,032,724)</w:t>
            </w:r>
          </w:p>
        </w:tc>
      </w:tr>
    </w:tbl>
    <w:p>
      <w:pPr>
        <w:pStyle w:val="BodyText"/>
        <w:rPr>
          <w:b/>
          <w:i/>
          <w:sz w:val="14"/>
        </w:rPr>
      </w:pPr>
    </w:p>
    <w:p>
      <w:pPr>
        <w:pStyle w:val="BodyText"/>
        <w:rPr>
          <w:b/>
          <w:i/>
          <w:sz w:val="14"/>
        </w:rPr>
      </w:pPr>
    </w:p>
    <w:p>
      <w:pPr>
        <w:pStyle w:val="BodyText"/>
        <w:spacing w:before="105"/>
        <w:rPr>
          <w:b/>
          <w:i/>
          <w:sz w:val="14"/>
        </w:rPr>
      </w:pPr>
    </w:p>
    <w:p>
      <w:pPr>
        <w:pStyle w:val="Heading5"/>
        <w:ind w:left="6751"/>
      </w:pPr>
      <w:r>
        <w:rPr/>
        <mc:AlternateContent>
          <mc:Choice Requires="wps">
            <w:drawing>
              <wp:anchor distT="0" distB="0" distL="0" distR="0" allowOverlap="1" layoutInCell="1" locked="0" behindDoc="1" simplePos="0" relativeHeight="487723008">
                <wp:simplePos x="0" y="0"/>
                <wp:positionH relativeFrom="page">
                  <wp:posOffset>4500550</wp:posOffset>
                </wp:positionH>
                <wp:positionV relativeFrom="paragraph">
                  <wp:posOffset>149879</wp:posOffset>
                </wp:positionV>
                <wp:extent cx="3043555" cy="8890"/>
                <wp:effectExtent l="0" t="0" r="0" b="0"/>
                <wp:wrapTopAndBottom/>
                <wp:docPr id="671" name="Graphic 671"/>
                <wp:cNvGraphicFramePr>
                  <a:graphicFrameLocks/>
                </wp:cNvGraphicFramePr>
                <a:graphic>
                  <a:graphicData uri="http://schemas.microsoft.com/office/word/2010/wordprocessingShape">
                    <wps:wsp>
                      <wps:cNvPr id="671" name="Graphic 671"/>
                      <wps:cNvSpPr/>
                      <wps:spPr>
                        <a:xfrm>
                          <a:off x="0" y="0"/>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74023pt;margin-top:11.801566pt;width:239.625011pt;height:.675pt;mso-position-horizontal-relative:page;mso-position-vertical-relative:paragraph;z-index:-15593472;mso-wrap-distance-left:0;mso-wrap-distance-right:0" id="docshape669" filled="true" fillcolor="#000000" stroked="false">
                <v:fill type="solid"/>
                <w10:wrap type="topAndBottom"/>
              </v:rect>
            </w:pict>
          </mc:Fallback>
        </mc:AlternateContent>
      </w:r>
      <w:r>
        <w:rPr/>
        <w:t>Year</w:t>
      </w:r>
      <w:r>
        <w:rPr>
          <w:spacing w:val="-13"/>
        </w:rPr>
        <w:t> </w:t>
      </w:r>
      <w:r>
        <w:rPr/>
        <w:t>Ended</w:t>
      </w:r>
      <w:r>
        <w:rPr>
          <w:spacing w:val="-8"/>
        </w:rPr>
        <w:t> </w:t>
      </w:r>
      <w:r>
        <w:rPr/>
        <w:t>December</w:t>
      </w:r>
      <w:r>
        <w:rPr>
          <w:spacing w:val="-10"/>
        </w:rPr>
        <w:t> </w:t>
      </w:r>
      <w:r>
        <w:rPr>
          <w:spacing w:val="-5"/>
        </w:rPr>
        <w:t>31,</w:t>
      </w:r>
    </w:p>
    <w:p>
      <w:pPr>
        <w:tabs>
          <w:tab w:pos="8385" w:val="left" w:leader="none"/>
          <w:tab w:pos="10020" w:val="left" w:leader="none"/>
        </w:tabs>
        <w:spacing w:before="21" w:after="42"/>
        <w:ind w:left="6750" w:right="0" w:firstLine="0"/>
        <w:jc w:val="center"/>
        <w:rPr>
          <w:b/>
          <w:sz w:val="18"/>
        </w:rPr>
      </w:pPr>
      <w:r>
        <w:rPr>
          <w:b/>
          <w:spacing w:val="-4"/>
          <w:sz w:val="18"/>
        </w:rPr>
        <w:t>2022</w:t>
      </w:r>
      <w:r>
        <w:rPr>
          <w:b/>
          <w:sz w:val="18"/>
        </w:rPr>
        <w:tab/>
      </w:r>
      <w:r>
        <w:rPr>
          <w:b/>
          <w:spacing w:val="-4"/>
          <w:sz w:val="18"/>
        </w:rPr>
        <w:t>2021</w:t>
      </w:r>
      <w:r>
        <w:rPr>
          <w:b/>
          <w:sz w:val="18"/>
        </w:rPr>
        <w:tab/>
      </w:r>
      <w:r>
        <w:rPr>
          <w:b/>
          <w:spacing w:val="-4"/>
          <w:sz w:val="18"/>
        </w:rPr>
        <w:t>2020</w:t>
      </w:r>
    </w:p>
    <w:p>
      <w:pPr>
        <w:pStyle w:val="BodyText"/>
        <w:spacing w:line="20" w:lineRule="exact"/>
        <w:ind w:left="6867"/>
        <w:rPr>
          <w:sz w:val="2"/>
        </w:rPr>
      </w:pPr>
      <w:r>
        <w:rPr>
          <w:sz w:val="2"/>
        </w:rPr>
        <mc:AlternateContent>
          <mc:Choice Requires="wps">
            <w:drawing>
              <wp:inline distT="0" distB="0" distL="0" distR="0">
                <wp:extent cx="3043555" cy="8890"/>
                <wp:effectExtent l="0" t="0" r="0" b="0"/>
                <wp:docPr id="672" name="Group 672"/>
                <wp:cNvGraphicFramePr>
                  <a:graphicFrameLocks/>
                </wp:cNvGraphicFramePr>
                <a:graphic>
                  <a:graphicData uri="http://schemas.microsoft.com/office/word/2010/wordprocessingGroup">
                    <wpg:wgp>
                      <wpg:cNvPr id="672" name="Group 672"/>
                      <wpg:cNvGrpSpPr/>
                      <wpg:grpSpPr>
                        <a:xfrm>
                          <a:off x="0" y="0"/>
                          <a:ext cx="3043555" cy="8890"/>
                          <a:chExt cx="3043555" cy="8890"/>
                        </a:xfrm>
                      </wpg:grpSpPr>
                      <wps:wsp>
                        <wps:cNvPr id="673" name="Graphic 673"/>
                        <wps:cNvSpPr/>
                        <wps:spPr>
                          <a:xfrm>
                            <a:off x="-12" y="-5"/>
                            <a:ext cx="3043555" cy="8890"/>
                          </a:xfrm>
                          <a:custGeom>
                            <a:avLst/>
                            <a:gdLst/>
                            <a:ahLst/>
                            <a:cxnLst/>
                            <a:rect l="l" t="t" r="r" b="b"/>
                            <a:pathLst>
                              <a:path w="3043555" h="8890">
                                <a:moveTo>
                                  <a:pt x="3043237" y="0"/>
                                </a:moveTo>
                                <a:lnTo>
                                  <a:pt x="3043237" y="0"/>
                                </a:lnTo>
                                <a:lnTo>
                                  <a:pt x="0" y="0"/>
                                </a:lnTo>
                                <a:lnTo>
                                  <a:pt x="0" y="8572"/>
                                </a:lnTo>
                                <a:lnTo>
                                  <a:pt x="3043237" y="8572"/>
                                </a:lnTo>
                                <a:lnTo>
                                  <a:pt x="30432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65pt;height:.7pt;mso-position-horizontal-relative:char;mso-position-vertical-relative:line" id="docshapegroup670" coordorigin="0,0" coordsize="4793,14">
                <v:rect style="position:absolute;left:-1;top:0;width:4793;height:14" id="docshape671" filled="true" fillcolor="#000000" stroked="false">
                  <v:fill type="solid"/>
                </v:rect>
              </v:group>
            </w:pict>
          </mc:Fallback>
        </mc:AlternateContent>
      </w:r>
      <w:r>
        <w:rPr>
          <w:sz w:val="2"/>
        </w:rPr>
      </w:r>
    </w:p>
    <w:p>
      <w:pPr>
        <w:tabs>
          <w:tab w:pos="8665" w:val="left" w:leader="none"/>
        </w:tabs>
        <w:spacing w:before="1" w:after="29"/>
        <w:ind w:left="0" w:right="1912" w:firstLine="0"/>
        <w:jc w:val="center"/>
        <w:rPr>
          <w:b/>
          <w:i/>
          <w:sz w:val="14"/>
        </w:rPr>
      </w:pPr>
      <w:r>
        <w:rPr>
          <w:b/>
          <w:sz w:val="18"/>
        </w:rPr>
        <w:t>Capital</w:t>
      </w:r>
      <w:r>
        <w:rPr>
          <w:b/>
          <w:spacing w:val="-1"/>
          <w:sz w:val="18"/>
        </w:rPr>
        <w:t> </w:t>
      </w:r>
      <w:r>
        <w:rPr>
          <w:b/>
          <w:spacing w:val="-2"/>
          <w:sz w:val="18"/>
        </w:rPr>
        <w:t>expenditures:</w:t>
      </w:r>
      <w:r>
        <w:rPr>
          <w:b/>
          <w:sz w:val="18"/>
        </w:rPr>
        <w:tab/>
      </w:r>
      <w:r>
        <w:rPr>
          <w:b/>
          <w:i/>
          <w:position w:val="1"/>
          <w:sz w:val="14"/>
        </w:rPr>
        <w:t>(In</w:t>
      </w:r>
      <w:r>
        <w:rPr>
          <w:b/>
          <w:i/>
          <w:spacing w:val="3"/>
          <w:position w:val="1"/>
          <w:sz w:val="14"/>
        </w:rPr>
        <w:t> </w:t>
      </w:r>
      <w:r>
        <w:rPr>
          <w:b/>
          <w:i/>
          <w:spacing w:val="-2"/>
          <w:position w:val="1"/>
          <w:sz w:val="14"/>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5"/>
        <w:gridCol w:w="3210"/>
        <w:gridCol w:w="1634"/>
        <w:gridCol w:w="1604"/>
      </w:tblGrid>
      <w:tr>
        <w:trPr>
          <w:trHeight w:val="256" w:hRule="atLeast"/>
        </w:trPr>
        <w:tc>
          <w:tcPr>
            <w:tcW w:w="5065" w:type="dxa"/>
            <w:shd w:val="clear" w:color="auto" w:fill="CCEDFF"/>
          </w:tcPr>
          <w:p>
            <w:pPr>
              <w:pStyle w:val="TableParagraph"/>
              <w:ind w:left="217"/>
              <w:rPr>
                <w:sz w:val="18"/>
              </w:rPr>
            </w:pPr>
            <w:r>
              <w:rPr>
                <w:sz w:val="18"/>
              </w:rPr>
              <w:t>Las</w:t>
            </w:r>
            <w:r>
              <w:rPr>
                <w:spacing w:val="-11"/>
                <w:sz w:val="18"/>
              </w:rPr>
              <w:t> </w:t>
            </w:r>
            <w:r>
              <w:rPr>
                <w:sz w:val="18"/>
              </w:rPr>
              <w:t>Vegas</w:t>
            </w:r>
            <w:r>
              <w:rPr>
                <w:spacing w:val="-8"/>
                <w:sz w:val="18"/>
              </w:rPr>
              <w:t> </w:t>
            </w:r>
            <w:r>
              <w:rPr>
                <w:sz w:val="18"/>
              </w:rPr>
              <w:t>Strip</w:t>
            </w:r>
            <w:r>
              <w:rPr>
                <w:spacing w:val="-7"/>
                <w:sz w:val="18"/>
              </w:rPr>
              <w:t> </w:t>
            </w:r>
            <w:r>
              <w:rPr>
                <w:spacing w:val="-2"/>
                <w:sz w:val="18"/>
              </w:rPr>
              <w:t>Resorts</w:t>
            </w:r>
          </w:p>
        </w:tc>
        <w:tc>
          <w:tcPr>
            <w:tcW w:w="3210" w:type="dxa"/>
            <w:shd w:val="clear" w:color="auto" w:fill="CCEDFF"/>
          </w:tcPr>
          <w:p>
            <w:pPr>
              <w:pStyle w:val="TableParagraph"/>
              <w:tabs>
                <w:tab w:pos="849" w:val="left" w:leader="none"/>
              </w:tabs>
              <w:ind w:right="100"/>
              <w:jc w:val="right"/>
              <w:rPr>
                <w:sz w:val="18"/>
              </w:rPr>
            </w:pPr>
            <w:r>
              <w:rPr>
                <w:spacing w:val="-10"/>
                <w:sz w:val="18"/>
              </w:rPr>
              <w:t>$</w:t>
            </w:r>
            <w:r>
              <w:rPr>
                <w:sz w:val="18"/>
              </w:rPr>
              <w:tab/>
            </w:r>
            <w:r>
              <w:rPr>
                <w:spacing w:val="-2"/>
                <w:sz w:val="18"/>
              </w:rPr>
              <w:t>411,222</w:t>
            </w:r>
          </w:p>
        </w:tc>
        <w:tc>
          <w:tcPr>
            <w:tcW w:w="1634" w:type="dxa"/>
            <w:shd w:val="clear" w:color="auto" w:fill="CCEDFF"/>
          </w:tcPr>
          <w:p>
            <w:pPr>
              <w:pStyle w:val="TableParagraph"/>
              <w:tabs>
                <w:tab w:pos="842" w:val="left" w:leader="none"/>
              </w:tabs>
              <w:ind w:right="99"/>
              <w:jc w:val="right"/>
              <w:rPr>
                <w:sz w:val="18"/>
              </w:rPr>
            </w:pPr>
            <w:r>
              <w:rPr>
                <w:spacing w:val="-10"/>
                <w:sz w:val="18"/>
              </w:rPr>
              <w:t>$</w:t>
            </w:r>
            <w:r>
              <w:rPr>
                <w:sz w:val="18"/>
              </w:rPr>
              <w:tab/>
            </w:r>
            <w:r>
              <w:rPr>
                <w:spacing w:val="-2"/>
                <w:sz w:val="18"/>
              </w:rPr>
              <w:t>266,944</w:t>
            </w:r>
          </w:p>
        </w:tc>
        <w:tc>
          <w:tcPr>
            <w:tcW w:w="1604" w:type="dxa"/>
            <w:shd w:val="clear" w:color="auto" w:fill="CCEDFF"/>
          </w:tcPr>
          <w:p>
            <w:pPr>
              <w:pStyle w:val="TableParagraph"/>
              <w:tabs>
                <w:tab w:pos="939" w:val="left" w:leader="none"/>
              </w:tabs>
              <w:ind w:right="68"/>
              <w:jc w:val="right"/>
              <w:rPr>
                <w:sz w:val="18"/>
              </w:rPr>
            </w:pPr>
            <w:r>
              <w:rPr>
                <w:spacing w:val="-10"/>
                <w:sz w:val="18"/>
              </w:rPr>
              <w:t>$</w:t>
            </w:r>
            <w:r>
              <w:rPr>
                <w:sz w:val="18"/>
              </w:rPr>
              <w:tab/>
            </w:r>
            <w:r>
              <w:rPr>
                <w:spacing w:val="-2"/>
                <w:sz w:val="18"/>
              </w:rPr>
              <w:t>87,511</w:t>
            </w:r>
          </w:p>
        </w:tc>
      </w:tr>
      <w:tr>
        <w:trPr>
          <w:trHeight w:val="269" w:hRule="atLeast"/>
        </w:trPr>
        <w:tc>
          <w:tcPr>
            <w:tcW w:w="5065" w:type="dxa"/>
          </w:tcPr>
          <w:p>
            <w:pPr>
              <w:pStyle w:val="TableParagraph"/>
              <w:ind w:left="217"/>
              <w:rPr>
                <w:sz w:val="18"/>
              </w:rPr>
            </w:pPr>
            <w:r>
              <w:rPr>
                <w:sz w:val="18"/>
              </w:rPr>
              <w:t>Regional</w:t>
            </w:r>
            <w:r>
              <w:rPr>
                <w:spacing w:val="-1"/>
                <w:sz w:val="18"/>
              </w:rPr>
              <w:t> </w:t>
            </w:r>
            <w:r>
              <w:rPr>
                <w:spacing w:val="-2"/>
                <w:sz w:val="18"/>
              </w:rPr>
              <w:t>Operations</w:t>
            </w:r>
          </w:p>
        </w:tc>
        <w:tc>
          <w:tcPr>
            <w:tcW w:w="3210" w:type="dxa"/>
          </w:tcPr>
          <w:p>
            <w:pPr>
              <w:pStyle w:val="TableParagraph"/>
              <w:ind w:right="100"/>
              <w:jc w:val="right"/>
              <w:rPr>
                <w:sz w:val="18"/>
              </w:rPr>
            </w:pPr>
            <w:r>
              <w:rPr>
                <w:spacing w:val="-2"/>
                <w:sz w:val="18"/>
              </w:rPr>
              <w:t>190,811</w:t>
            </w:r>
          </w:p>
        </w:tc>
        <w:tc>
          <w:tcPr>
            <w:tcW w:w="1634" w:type="dxa"/>
          </w:tcPr>
          <w:p>
            <w:pPr>
              <w:pStyle w:val="TableParagraph"/>
              <w:ind w:right="99"/>
              <w:jc w:val="right"/>
              <w:rPr>
                <w:sz w:val="18"/>
              </w:rPr>
            </w:pPr>
            <w:r>
              <w:rPr>
                <w:spacing w:val="-2"/>
                <w:sz w:val="18"/>
              </w:rPr>
              <w:t>77,406</w:t>
            </w:r>
          </w:p>
        </w:tc>
        <w:tc>
          <w:tcPr>
            <w:tcW w:w="1604" w:type="dxa"/>
          </w:tcPr>
          <w:p>
            <w:pPr>
              <w:pStyle w:val="TableParagraph"/>
              <w:ind w:right="68"/>
              <w:jc w:val="right"/>
              <w:rPr>
                <w:sz w:val="18"/>
              </w:rPr>
            </w:pPr>
            <w:r>
              <w:rPr>
                <w:spacing w:val="-2"/>
                <w:sz w:val="18"/>
              </w:rPr>
              <w:t>41,456</w:t>
            </w:r>
          </w:p>
        </w:tc>
      </w:tr>
      <w:tr>
        <w:trPr>
          <w:trHeight w:val="255" w:hRule="atLeast"/>
        </w:trPr>
        <w:tc>
          <w:tcPr>
            <w:tcW w:w="5065" w:type="dxa"/>
            <w:shd w:val="clear" w:color="auto" w:fill="CCEDFF"/>
          </w:tcPr>
          <w:p>
            <w:pPr>
              <w:pStyle w:val="TableParagraph"/>
              <w:ind w:left="217"/>
              <w:rPr>
                <w:sz w:val="18"/>
              </w:rPr>
            </w:pPr>
            <w:r>
              <w:rPr>
                <w:sz w:val="18"/>
              </w:rPr>
              <w:t>MGM</w:t>
            </w:r>
            <w:r>
              <w:rPr>
                <w:spacing w:val="-1"/>
                <w:sz w:val="18"/>
              </w:rPr>
              <w:t> </w:t>
            </w:r>
            <w:r>
              <w:rPr>
                <w:spacing w:val="-2"/>
                <w:sz w:val="18"/>
              </w:rPr>
              <w:t>China</w:t>
            </w:r>
          </w:p>
        </w:tc>
        <w:tc>
          <w:tcPr>
            <w:tcW w:w="3210" w:type="dxa"/>
            <w:tcBorders>
              <w:bottom w:val="single" w:sz="6" w:space="0" w:color="000000"/>
            </w:tcBorders>
            <w:shd w:val="clear" w:color="auto" w:fill="CCEDFF"/>
          </w:tcPr>
          <w:p>
            <w:pPr>
              <w:pStyle w:val="TableParagraph"/>
              <w:ind w:right="100"/>
              <w:jc w:val="right"/>
              <w:rPr>
                <w:sz w:val="18"/>
              </w:rPr>
            </w:pPr>
            <w:r>
              <w:rPr>
                <w:spacing w:val="-2"/>
                <w:sz w:val="18"/>
              </w:rPr>
              <w:t>30,540</w:t>
            </w:r>
          </w:p>
        </w:tc>
        <w:tc>
          <w:tcPr>
            <w:tcW w:w="1634" w:type="dxa"/>
            <w:tcBorders>
              <w:bottom w:val="single" w:sz="6" w:space="0" w:color="000000"/>
            </w:tcBorders>
            <w:shd w:val="clear" w:color="auto" w:fill="CCEDFF"/>
          </w:tcPr>
          <w:p>
            <w:pPr>
              <w:pStyle w:val="TableParagraph"/>
              <w:ind w:right="99"/>
              <w:jc w:val="right"/>
              <w:rPr>
                <w:sz w:val="18"/>
              </w:rPr>
            </w:pPr>
            <w:r>
              <w:rPr>
                <w:spacing w:val="-2"/>
                <w:sz w:val="18"/>
              </w:rPr>
              <w:t>67,989</w:t>
            </w:r>
          </w:p>
        </w:tc>
        <w:tc>
          <w:tcPr>
            <w:tcW w:w="1604" w:type="dxa"/>
            <w:tcBorders>
              <w:bottom w:val="single" w:sz="6" w:space="0" w:color="000000"/>
            </w:tcBorders>
            <w:shd w:val="clear" w:color="auto" w:fill="CCEDFF"/>
          </w:tcPr>
          <w:p>
            <w:pPr>
              <w:pStyle w:val="TableParagraph"/>
              <w:ind w:right="68"/>
              <w:jc w:val="right"/>
              <w:rPr>
                <w:sz w:val="18"/>
              </w:rPr>
            </w:pPr>
            <w:r>
              <w:rPr>
                <w:spacing w:val="-2"/>
                <w:sz w:val="18"/>
              </w:rPr>
              <w:t>108,352</w:t>
            </w:r>
          </w:p>
        </w:tc>
      </w:tr>
      <w:tr>
        <w:trPr>
          <w:trHeight w:val="255" w:hRule="atLeast"/>
        </w:trPr>
        <w:tc>
          <w:tcPr>
            <w:tcW w:w="5065" w:type="dxa"/>
          </w:tcPr>
          <w:p>
            <w:pPr>
              <w:pStyle w:val="TableParagraph"/>
              <w:spacing w:before="20"/>
              <w:ind w:left="462"/>
              <w:rPr>
                <w:sz w:val="18"/>
              </w:rPr>
            </w:pPr>
            <w:r>
              <w:rPr>
                <w:sz w:val="18"/>
              </w:rPr>
              <w:t>Reportable</w:t>
            </w:r>
            <w:r>
              <w:rPr>
                <w:spacing w:val="-3"/>
                <w:sz w:val="18"/>
              </w:rPr>
              <w:t> </w:t>
            </w:r>
            <w:r>
              <w:rPr>
                <w:sz w:val="18"/>
              </w:rPr>
              <w:t>segment</w:t>
            </w:r>
            <w:r>
              <w:rPr>
                <w:spacing w:val="-1"/>
                <w:sz w:val="18"/>
              </w:rPr>
              <w:t> </w:t>
            </w:r>
            <w:r>
              <w:rPr>
                <w:sz w:val="18"/>
              </w:rPr>
              <w:t>capital</w:t>
            </w:r>
            <w:r>
              <w:rPr>
                <w:spacing w:val="-1"/>
                <w:sz w:val="18"/>
              </w:rPr>
              <w:t> </w:t>
            </w:r>
            <w:r>
              <w:rPr>
                <w:spacing w:val="-2"/>
                <w:sz w:val="18"/>
              </w:rPr>
              <w:t>expenditures</w:t>
            </w:r>
          </w:p>
        </w:tc>
        <w:tc>
          <w:tcPr>
            <w:tcW w:w="3210" w:type="dxa"/>
            <w:tcBorders>
              <w:top w:val="single" w:sz="6" w:space="0" w:color="000000"/>
            </w:tcBorders>
          </w:tcPr>
          <w:p>
            <w:pPr>
              <w:pStyle w:val="TableParagraph"/>
              <w:spacing w:before="20"/>
              <w:ind w:right="100"/>
              <w:jc w:val="right"/>
              <w:rPr>
                <w:sz w:val="18"/>
              </w:rPr>
            </w:pPr>
            <w:r>
              <w:rPr>
                <w:spacing w:val="-2"/>
                <w:sz w:val="18"/>
              </w:rPr>
              <w:t>632,573</w:t>
            </w:r>
          </w:p>
        </w:tc>
        <w:tc>
          <w:tcPr>
            <w:tcW w:w="1634" w:type="dxa"/>
            <w:tcBorders>
              <w:top w:val="single" w:sz="6" w:space="0" w:color="000000"/>
            </w:tcBorders>
          </w:tcPr>
          <w:p>
            <w:pPr>
              <w:pStyle w:val="TableParagraph"/>
              <w:spacing w:before="20"/>
              <w:ind w:right="99"/>
              <w:jc w:val="right"/>
              <w:rPr>
                <w:sz w:val="18"/>
              </w:rPr>
            </w:pPr>
            <w:r>
              <w:rPr>
                <w:spacing w:val="-2"/>
                <w:sz w:val="18"/>
              </w:rPr>
              <w:t>412,339</w:t>
            </w:r>
          </w:p>
        </w:tc>
        <w:tc>
          <w:tcPr>
            <w:tcW w:w="1604" w:type="dxa"/>
            <w:tcBorders>
              <w:top w:val="single" w:sz="6" w:space="0" w:color="000000"/>
            </w:tcBorders>
          </w:tcPr>
          <w:p>
            <w:pPr>
              <w:pStyle w:val="TableParagraph"/>
              <w:spacing w:before="20"/>
              <w:ind w:right="68"/>
              <w:jc w:val="right"/>
              <w:rPr>
                <w:sz w:val="18"/>
              </w:rPr>
            </w:pPr>
            <w:r>
              <w:rPr>
                <w:spacing w:val="-2"/>
                <w:sz w:val="18"/>
              </w:rPr>
              <w:t>237,319</w:t>
            </w:r>
          </w:p>
        </w:tc>
      </w:tr>
      <w:tr>
        <w:trPr>
          <w:trHeight w:val="255" w:hRule="atLeast"/>
        </w:trPr>
        <w:tc>
          <w:tcPr>
            <w:tcW w:w="5065" w:type="dxa"/>
            <w:shd w:val="clear" w:color="auto" w:fill="CCEDFF"/>
          </w:tcPr>
          <w:p>
            <w:pPr>
              <w:pStyle w:val="TableParagraph"/>
              <w:ind w:left="217"/>
              <w:rPr>
                <w:sz w:val="18"/>
              </w:rPr>
            </w:pPr>
            <w:r>
              <w:rPr>
                <w:sz w:val="18"/>
              </w:rPr>
              <w:t>Corporate</w:t>
            </w:r>
            <w:r>
              <w:rPr>
                <w:spacing w:val="-1"/>
                <w:sz w:val="18"/>
              </w:rPr>
              <w:t> </w:t>
            </w:r>
            <w:r>
              <w:rPr>
                <w:sz w:val="18"/>
              </w:rPr>
              <w:t>and</w:t>
            </w:r>
            <w:r>
              <w:rPr>
                <w:spacing w:val="-1"/>
                <w:sz w:val="18"/>
              </w:rPr>
              <w:t> </w:t>
            </w:r>
            <w:r>
              <w:rPr>
                <w:spacing w:val="-2"/>
                <w:sz w:val="18"/>
              </w:rPr>
              <w:t>other</w:t>
            </w:r>
          </w:p>
        </w:tc>
        <w:tc>
          <w:tcPr>
            <w:tcW w:w="3210" w:type="dxa"/>
            <w:tcBorders>
              <w:bottom w:val="single" w:sz="6" w:space="0" w:color="000000"/>
            </w:tcBorders>
            <w:shd w:val="clear" w:color="auto" w:fill="CCEDFF"/>
          </w:tcPr>
          <w:p>
            <w:pPr>
              <w:pStyle w:val="TableParagraph"/>
              <w:ind w:right="100"/>
              <w:jc w:val="right"/>
              <w:rPr>
                <w:sz w:val="18"/>
              </w:rPr>
            </w:pPr>
            <w:r>
              <w:rPr>
                <w:spacing w:val="-2"/>
                <w:sz w:val="18"/>
              </w:rPr>
              <w:t>132,494</w:t>
            </w:r>
          </w:p>
        </w:tc>
        <w:tc>
          <w:tcPr>
            <w:tcW w:w="1634" w:type="dxa"/>
            <w:tcBorders>
              <w:bottom w:val="single" w:sz="6" w:space="0" w:color="000000"/>
            </w:tcBorders>
            <w:shd w:val="clear" w:color="auto" w:fill="CCEDFF"/>
          </w:tcPr>
          <w:p>
            <w:pPr>
              <w:pStyle w:val="TableParagraph"/>
              <w:ind w:right="99"/>
              <w:jc w:val="right"/>
              <w:rPr>
                <w:sz w:val="18"/>
              </w:rPr>
            </w:pPr>
            <w:r>
              <w:rPr>
                <w:spacing w:val="-2"/>
                <w:sz w:val="18"/>
              </w:rPr>
              <w:t>78,358</w:t>
            </w:r>
          </w:p>
        </w:tc>
        <w:tc>
          <w:tcPr>
            <w:tcW w:w="1604" w:type="dxa"/>
            <w:tcBorders>
              <w:bottom w:val="single" w:sz="6" w:space="0" w:color="000000"/>
            </w:tcBorders>
            <w:shd w:val="clear" w:color="auto" w:fill="CCEDFF"/>
          </w:tcPr>
          <w:p>
            <w:pPr>
              <w:pStyle w:val="TableParagraph"/>
              <w:ind w:right="68"/>
              <w:jc w:val="right"/>
              <w:rPr>
                <w:sz w:val="18"/>
              </w:rPr>
            </w:pPr>
            <w:r>
              <w:rPr>
                <w:spacing w:val="-2"/>
                <w:sz w:val="18"/>
              </w:rPr>
              <w:t>33,260</w:t>
            </w:r>
          </w:p>
        </w:tc>
      </w:tr>
      <w:tr>
        <w:trPr>
          <w:trHeight w:val="227" w:hRule="atLeast"/>
        </w:trPr>
        <w:tc>
          <w:tcPr>
            <w:tcW w:w="5065" w:type="dxa"/>
          </w:tcPr>
          <w:p>
            <w:pPr>
              <w:pStyle w:val="TableParagraph"/>
              <w:spacing w:before="0"/>
              <w:rPr>
                <w:sz w:val="16"/>
              </w:rPr>
            </w:pPr>
          </w:p>
        </w:tc>
        <w:tc>
          <w:tcPr>
            <w:tcW w:w="3210" w:type="dxa"/>
            <w:tcBorders>
              <w:top w:val="single" w:sz="6" w:space="0" w:color="000000"/>
            </w:tcBorders>
          </w:tcPr>
          <w:p>
            <w:pPr>
              <w:pStyle w:val="TableParagraph"/>
              <w:tabs>
                <w:tab w:pos="842" w:val="left" w:leader="none"/>
              </w:tabs>
              <w:spacing w:line="187" w:lineRule="exact" w:before="20"/>
              <w:ind w:right="100"/>
              <w:jc w:val="right"/>
              <w:rPr>
                <w:sz w:val="18"/>
              </w:rPr>
            </w:pPr>
            <w:r>
              <w:rPr>
                <w:spacing w:val="-10"/>
                <w:sz w:val="18"/>
              </w:rPr>
              <w:t>$</w:t>
            </w:r>
            <w:r>
              <w:rPr>
                <w:sz w:val="18"/>
              </w:rPr>
              <w:tab/>
            </w:r>
            <w:r>
              <w:rPr>
                <w:spacing w:val="-2"/>
                <w:sz w:val="18"/>
              </w:rPr>
              <w:t>765,067</w:t>
            </w:r>
          </w:p>
        </w:tc>
        <w:tc>
          <w:tcPr>
            <w:tcW w:w="1634" w:type="dxa"/>
            <w:tcBorders>
              <w:top w:val="single" w:sz="6" w:space="0" w:color="000000"/>
            </w:tcBorders>
          </w:tcPr>
          <w:p>
            <w:pPr>
              <w:pStyle w:val="TableParagraph"/>
              <w:tabs>
                <w:tab w:pos="842" w:val="left" w:leader="none"/>
              </w:tabs>
              <w:spacing w:line="187" w:lineRule="exact" w:before="20"/>
              <w:ind w:right="99"/>
              <w:jc w:val="right"/>
              <w:rPr>
                <w:sz w:val="18"/>
              </w:rPr>
            </w:pPr>
            <w:r>
              <w:rPr>
                <w:spacing w:val="-10"/>
                <w:sz w:val="18"/>
              </w:rPr>
              <w:t>$</w:t>
            </w:r>
            <w:r>
              <w:rPr>
                <w:sz w:val="18"/>
              </w:rPr>
              <w:tab/>
            </w:r>
            <w:r>
              <w:rPr>
                <w:spacing w:val="-2"/>
                <w:sz w:val="18"/>
              </w:rPr>
              <w:t>490,697</w:t>
            </w:r>
          </w:p>
        </w:tc>
        <w:tc>
          <w:tcPr>
            <w:tcW w:w="1604" w:type="dxa"/>
            <w:tcBorders>
              <w:top w:val="single" w:sz="6" w:space="0" w:color="000000"/>
            </w:tcBorders>
          </w:tcPr>
          <w:p>
            <w:pPr>
              <w:pStyle w:val="TableParagraph"/>
              <w:tabs>
                <w:tab w:pos="843" w:val="left" w:leader="none"/>
              </w:tabs>
              <w:spacing w:line="187" w:lineRule="exact" w:before="20"/>
              <w:ind w:right="68"/>
              <w:jc w:val="right"/>
              <w:rPr>
                <w:sz w:val="18"/>
              </w:rPr>
            </w:pPr>
            <w:r>
              <w:rPr>
                <w:spacing w:val="-10"/>
                <w:sz w:val="18"/>
              </w:rPr>
              <w:t>$</w:t>
            </w:r>
            <w:r>
              <w:rPr>
                <w:sz w:val="18"/>
              </w:rPr>
              <w:tab/>
            </w:r>
            <w:r>
              <w:rPr>
                <w:spacing w:val="-2"/>
                <w:sz w:val="18"/>
              </w:rPr>
              <w:t>270,579</w:t>
            </w:r>
          </w:p>
        </w:tc>
      </w:tr>
    </w:tbl>
    <w:p>
      <w:pPr>
        <w:pStyle w:val="BodyText"/>
        <w:spacing w:before="9"/>
        <w:rPr>
          <w:b/>
          <w:i/>
          <w:sz w:val="2"/>
        </w:rPr>
      </w:pPr>
    </w:p>
    <w:p>
      <w:pPr>
        <w:spacing w:line="54" w:lineRule="exact"/>
        <w:ind w:left="6867" w:right="0" w:firstLine="0"/>
        <w:jc w:val="left"/>
        <w:rPr>
          <w:sz w:val="5"/>
        </w:rPr>
      </w:pPr>
      <w:r>
        <w:rPr>
          <w:position w:val="0"/>
          <w:sz w:val="5"/>
        </w:rPr>
        <mc:AlternateContent>
          <mc:Choice Requires="wps">
            <w:drawing>
              <wp:inline distT="0" distB="0" distL="0" distR="0">
                <wp:extent cx="969010" cy="34290"/>
                <wp:effectExtent l="0" t="0" r="0" b="0"/>
                <wp:docPr id="674" name="Group 674"/>
                <wp:cNvGraphicFramePr>
                  <a:graphicFrameLocks/>
                </wp:cNvGraphicFramePr>
                <a:graphic>
                  <a:graphicData uri="http://schemas.microsoft.com/office/word/2010/wordprocessingGroup">
                    <wpg:wgp>
                      <wpg:cNvPr id="674" name="Group 674"/>
                      <wpg:cNvGrpSpPr/>
                      <wpg:grpSpPr>
                        <a:xfrm>
                          <a:off x="0" y="0"/>
                          <a:ext cx="969010" cy="34290"/>
                          <a:chExt cx="969010" cy="34290"/>
                        </a:xfrm>
                      </wpg:grpSpPr>
                      <wps:wsp>
                        <wps:cNvPr id="675" name="Graphic 675"/>
                        <wps:cNvSpPr/>
                        <wps:spPr>
                          <a:xfrm>
                            <a:off x="-12" y="-5"/>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2.7pt;mso-position-horizontal-relative:char;mso-position-vertical-relative:line" id="docshapegroup672" coordorigin="0,0" coordsize="1526,54">
                <v:shape style="position:absolute;left:-1;top:0;width:1526;height:54" id="docshape673" coordorigin="0,0" coordsize="1526,54" path="m1525,40l1498,40,121,40,0,40,0,54,121,54,1498,54,1525,54,1525,40xm1525,0l1498,0,121,0,0,0,0,13,121,13,1498,13,1525,13,1525,0xe" filled="true" fillcolor="#000000" stroked="false">
                  <v:path arrowok="t"/>
                  <v:fill type="solid"/>
                </v:shape>
              </v:group>
            </w:pict>
          </mc:Fallback>
        </mc:AlternateContent>
      </w:r>
      <w:r>
        <w:rPr>
          <w:position w:val="0"/>
          <w:sz w:val="5"/>
        </w:rPr>
      </w:r>
      <w:r>
        <w:rPr>
          <w:spacing w:val="81"/>
          <w:position w:val="0"/>
          <w:sz w:val="5"/>
        </w:rPr>
        <w:t> </w:t>
      </w:r>
      <w:r>
        <w:rPr>
          <w:spacing w:val="81"/>
          <w:position w:val="0"/>
          <w:sz w:val="5"/>
        </w:rPr>
        <mc:AlternateContent>
          <mc:Choice Requires="wps">
            <w:drawing>
              <wp:inline distT="0" distB="0" distL="0" distR="0">
                <wp:extent cx="969010" cy="34290"/>
                <wp:effectExtent l="0" t="0" r="0" b="0"/>
                <wp:docPr id="676" name="Group 676"/>
                <wp:cNvGraphicFramePr>
                  <a:graphicFrameLocks/>
                </wp:cNvGraphicFramePr>
                <a:graphic>
                  <a:graphicData uri="http://schemas.microsoft.com/office/word/2010/wordprocessingGroup">
                    <wpg:wgp>
                      <wpg:cNvPr id="676" name="Group 676"/>
                      <wpg:cNvGrpSpPr/>
                      <wpg:grpSpPr>
                        <a:xfrm>
                          <a:off x="0" y="0"/>
                          <a:ext cx="969010" cy="34290"/>
                          <a:chExt cx="969010" cy="34290"/>
                        </a:xfrm>
                      </wpg:grpSpPr>
                      <wps:wsp>
                        <wps:cNvPr id="677" name="Graphic 677"/>
                        <wps:cNvSpPr/>
                        <wps:spPr>
                          <a:xfrm>
                            <a:off x="-12" y="-5"/>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2.7pt;mso-position-horizontal-relative:char;mso-position-vertical-relative:line" id="docshapegroup674" coordorigin="0,0" coordsize="1526,54">
                <v:shape style="position:absolute;left:-1;top:0;width:1526;height:54" id="docshape675" coordorigin="0,0" coordsize="1526,54" path="m1525,40l1498,40,121,40,0,40,0,54,121,54,1498,54,1525,54,1525,40xm1525,0l1498,0,121,0,0,0,0,13,121,13,1498,13,1525,13,1525,0xe" filled="true" fillcolor="#000000" stroked="false">
                  <v:path arrowok="t"/>
                  <v:fill type="solid"/>
                </v:shape>
              </v:group>
            </w:pict>
          </mc:Fallback>
        </mc:AlternateContent>
      </w:r>
      <w:r>
        <w:rPr>
          <w:spacing w:val="81"/>
          <w:position w:val="0"/>
          <w:sz w:val="5"/>
        </w:rPr>
      </w:r>
      <w:r>
        <w:rPr>
          <w:spacing w:val="81"/>
          <w:position w:val="0"/>
          <w:sz w:val="5"/>
        </w:rPr>
        <w:t> </w:t>
      </w:r>
      <w:r>
        <w:rPr>
          <w:spacing w:val="81"/>
          <w:position w:val="0"/>
          <w:sz w:val="5"/>
        </w:rPr>
        <mc:AlternateContent>
          <mc:Choice Requires="wps">
            <w:drawing>
              <wp:inline distT="0" distB="0" distL="0" distR="0">
                <wp:extent cx="969010" cy="34290"/>
                <wp:effectExtent l="0" t="0" r="0" b="0"/>
                <wp:docPr id="678" name="Group 678"/>
                <wp:cNvGraphicFramePr>
                  <a:graphicFrameLocks/>
                </wp:cNvGraphicFramePr>
                <a:graphic>
                  <a:graphicData uri="http://schemas.microsoft.com/office/word/2010/wordprocessingGroup">
                    <wpg:wgp>
                      <wpg:cNvPr id="678" name="Group 678"/>
                      <wpg:cNvGrpSpPr/>
                      <wpg:grpSpPr>
                        <a:xfrm>
                          <a:off x="0" y="0"/>
                          <a:ext cx="969010" cy="34290"/>
                          <a:chExt cx="969010" cy="34290"/>
                        </a:xfrm>
                      </wpg:grpSpPr>
                      <wps:wsp>
                        <wps:cNvPr id="679" name="Graphic 679"/>
                        <wps:cNvSpPr/>
                        <wps:spPr>
                          <a:xfrm>
                            <a:off x="-11" y="-5"/>
                            <a:ext cx="969010" cy="34290"/>
                          </a:xfrm>
                          <a:custGeom>
                            <a:avLst/>
                            <a:gdLst/>
                            <a:ahLst/>
                            <a:cxnLst/>
                            <a:rect l="l" t="t" r="r" b="b"/>
                            <a:pathLst>
                              <a:path w="969010" h="34290">
                                <a:moveTo>
                                  <a:pt x="968692" y="25717"/>
                                </a:moveTo>
                                <a:lnTo>
                                  <a:pt x="951547" y="25717"/>
                                </a:lnTo>
                                <a:lnTo>
                                  <a:pt x="77152" y="25717"/>
                                </a:lnTo>
                                <a:lnTo>
                                  <a:pt x="0" y="25717"/>
                                </a:lnTo>
                                <a:lnTo>
                                  <a:pt x="0" y="34290"/>
                                </a:lnTo>
                                <a:lnTo>
                                  <a:pt x="77152" y="34290"/>
                                </a:lnTo>
                                <a:lnTo>
                                  <a:pt x="951547" y="34290"/>
                                </a:lnTo>
                                <a:lnTo>
                                  <a:pt x="968692" y="34290"/>
                                </a:lnTo>
                                <a:lnTo>
                                  <a:pt x="968692" y="25717"/>
                                </a:lnTo>
                                <a:close/>
                              </a:path>
                              <a:path w="969010" h="34290">
                                <a:moveTo>
                                  <a:pt x="968692" y="0"/>
                                </a:moveTo>
                                <a:lnTo>
                                  <a:pt x="951547" y="0"/>
                                </a:lnTo>
                                <a:lnTo>
                                  <a:pt x="77152" y="0"/>
                                </a:lnTo>
                                <a:lnTo>
                                  <a:pt x="0" y="0"/>
                                </a:lnTo>
                                <a:lnTo>
                                  <a:pt x="0" y="8572"/>
                                </a:lnTo>
                                <a:lnTo>
                                  <a:pt x="77152" y="8572"/>
                                </a:lnTo>
                                <a:lnTo>
                                  <a:pt x="951547"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2.7pt;mso-position-horizontal-relative:char;mso-position-vertical-relative:line" id="docshapegroup676" coordorigin="0,0" coordsize="1526,54">
                <v:shape style="position:absolute;left:-1;top:0;width:1526;height:54" id="docshape677" coordorigin="0,0" coordsize="1526,54" path="m1525,40l1498,40,121,40,0,40,0,54,121,54,1498,54,1525,54,1525,40xm1525,0l1498,0,121,0,0,0,0,13,121,13,1498,13,1525,13,1525,0xe" filled="true" fillcolor="#000000" stroked="false">
                  <v:path arrowok="t"/>
                  <v:fill type="solid"/>
                </v:shape>
              </v:group>
            </w:pict>
          </mc:Fallback>
        </mc:AlternateContent>
      </w:r>
      <w:r>
        <w:rPr>
          <w:spacing w:val="81"/>
          <w:position w:val="0"/>
          <w:sz w:val="5"/>
        </w:rPr>
      </w:r>
    </w:p>
    <w:p>
      <w:pPr>
        <w:pStyle w:val="BodyText"/>
        <w:spacing w:before="101"/>
        <w:rPr>
          <w:b/>
          <w:i/>
        </w:rPr>
      </w:pPr>
    </w:p>
    <w:p>
      <w:pPr>
        <w:pStyle w:val="BodyText"/>
        <w:spacing w:line="235" w:lineRule="auto"/>
        <w:ind w:left="144" w:firstLine="499"/>
      </w:pPr>
      <w:r>
        <w:rPr/>
        <w:t>Total assets are not allocated to segments for internal reporting presentations or when determining the allocation of resources and, accordingly, are not </w:t>
      </w:r>
      <w:r>
        <w:rPr>
          <w:spacing w:val="-2"/>
        </w:rPr>
        <w:t>presented.</w:t>
      </w:r>
    </w:p>
    <w:p>
      <w:pPr>
        <w:pStyle w:val="BodyText"/>
      </w:pPr>
    </w:p>
    <w:p>
      <w:pPr>
        <w:pStyle w:val="BodyText"/>
      </w:pPr>
    </w:p>
    <w:p>
      <w:pPr>
        <w:pStyle w:val="BodyText"/>
        <w:spacing w:before="198"/>
      </w:pPr>
    </w:p>
    <w:p>
      <w:pPr>
        <w:pStyle w:val="BodyText"/>
        <w:ind w:left="24"/>
        <w:jc w:val="center"/>
      </w:pPr>
      <w:r>
        <w:rPr>
          <w:spacing w:val="-5"/>
        </w:rPr>
        <w:t>97</w:t>
      </w:r>
    </w:p>
    <w:p>
      <w:pPr>
        <w:pStyle w:val="BodyText"/>
        <w:spacing w:before="3"/>
        <w:rPr>
          <w:sz w:val="6"/>
        </w:rPr>
      </w:pPr>
      <w:r>
        <w:rPr/>
        <mc:AlternateContent>
          <mc:Choice Requires="wps">
            <w:drawing>
              <wp:anchor distT="0" distB="0" distL="0" distR="0" allowOverlap="1" layoutInCell="1" locked="0" behindDoc="1" simplePos="0" relativeHeight="487725568">
                <wp:simplePos x="0" y="0"/>
                <wp:positionH relativeFrom="page">
                  <wp:posOffset>231457</wp:posOffset>
                </wp:positionH>
                <wp:positionV relativeFrom="paragraph">
                  <wp:posOffset>60956</wp:posOffset>
                </wp:positionV>
                <wp:extent cx="7312659" cy="17145"/>
                <wp:effectExtent l="0" t="0" r="0" b="0"/>
                <wp:wrapTopAndBottom/>
                <wp:docPr id="680" name="Group 680"/>
                <wp:cNvGraphicFramePr>
                  <a:graphicFrameLocks/>
                </wp:cNvGraphicFramePr>
                <a:graphic>
                  <a:graphicData uri="http://schemas.microsoft.com/office/word/2010/wordprocessingGroup">
                    <wpg:wgp>
                      <wpg:cNvPr id="680" name="Group 680"/>
                      <wpg:cNvGrpSpPr/>
                      <wpg:grpSpPr>
                        <a:xfrm>
                          <a:off x="0" y="0"/>
                          <a:ext cx="7312659" cy="17145"/>
                          <a:chExt cx="7312659" cy="17145"/>
                        </a:xfrm>
                      </wpg:grpSpPr>
                      <wps:wsp>
                        <wps:cNvPr id="681" name="Graphic 68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82" name="Graphic 682"/>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83" name="Graphic 68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90912;mso-wrap-distance-left:0;mso-wrap-distance-right:0" id="docshapegroup678" coordorigin="364,96" coordsize="11516,27">
                <v:rect style="position:absolute;left:364;top:96;width:11516;height:14" id="docshape679" filled="true" fillcolor="#999999" stroked="false">
                  <v:fill type="solid"/>
                </v:rect>
                <v:shape style="position:absolute;left:364;top:95;width:11516;height:27" id="docshape680" coordorigin="364,96" coordsize="11516,27" path="m11880,96l11866,109,364,109,364,123,11866,123,11880,123,11880,109,11880,96xe" filled="true" fillcolor="#ededed" stroked="false">
                  <v:path arrowok="t"/>
                  <v:fill type="solid"/>
                </v:shape>
                <v:shape style="position:absolute;left:364;top:96;width:14;height:27" id="docshape68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40" w:bottom="280" w:left="220" w:right="240"/>
        </w:sectPr>
      </w:pPr>
    </w:p>
    <w:p>
      <w:pPr>
        <w:pStyle w:val="BodyText"/>
        <w:spacing w:line="235" w:lineRule="auto" w:before="66"/>
        <w:ind w:left="144" w:right="118" w:firstLine="499"/>
        <w:jc w:val="both"/>
      </w:pPr>
      <w:r>
        <w:rPr/>
        <w:t>Long-lived</w:t>
      </w:r>
      <w:r>
        <w:rPr>
          <w:spacing w:val="-2"/>
        </w:rPr>
        <w:t> </w:t>
      </w:r>
      <w:r>
        <w:rPr/>
        <w:t>assets,</w:t>
      </w:r>
      <w:r>
        <w:rPr>
          <w:spacing w:val="-2"/>
        </w:rPr>
        <w:t> </w:t>
      </w:r>
      <w:r>
        <w:rPr/>
        <w:t>which</w:t>
      </w:r>
      <w:r>
        <w:rPr>
          <w:spacing w:val="-2"/>
        </w:rPr>
        <w:t> </w:t>
      </w:r>
      <w:r>
        <w:rPr/>
        <w:t>includes</w:t>
      </w:r>
      <w:r>
        <w:rPr>
          <w:spacing w:val="-2"/>
        </w:rPr>
        <w:t> </w:t>
      </w:r>
      <w:r>
        <w:rPr/>
        <w:t>property</w:t>
      </w:r>
      <w:r>
        <w:rPr>
          <w:spacing w:val="-2"/>
        </w:rPr>
        <w:t> </w:t>
      </w:r>
      <w:r>
        <w:rPr/>
        <w:t>and</w:t>
      </w:r>
      <w:r>
        <w:rPr>
          <w:spacing w:val="-2"/>
        </w:rPr>
        <w:t> </w:t>
      </w:r>
      <w:r>
        <w:rPr/>
        <w:t>equipment,</w:t>
      </w:r>
      <w:r>
        <w:rPr>
          <w:spacing w:val="-2"/>
        </w:rPr>
        <w:t> </w:t>
      </w:r>
      <w:r>
        <w:rPr/>
        <w:t>net,</w:t>
      </w:r>
      <w:r>
        <w:rPr>
          <w:spacing w:val="-2"/>
        </w:rPr>
        <w:t> </w:t>
      </w:r>
      <w:r>
        <w:rPr/>
        <w:t>operating</w:t>
      </w:r>
      <w:r>
        <w:rPr>
          <w:spacing w:val="-2"/>
        </w:rPr>
        <w:t> </w:t>
      </w:r>
      <w:r>
        <w:rPr/>
        <w:t>and</w:t>
      </w:r>
      <w:r>
        <w:rPr>
          <w:spacing w:val="-2"/>
        </w:rPr>
        <w:t> </w:t>
      </w:r>
      <w:r>
        <w:rPr/>
        <w:t>finance</w:t>
      </w:r>
      <w:r>
        <w:rPr>
          <w:spacing w:val="-2"/>
        </w:rPr>
        <w:t> </w:t>
      </w:r>
      <w:r>
        <w:rPr/>
        <w:t>lease</w:t>
      </w:r>
      <w:r>
        <w:rPr>
          <w:spacing w:val="-2"/>
        </w:rPr>
        <w:t> </w:t>
      </w:r>
      <w:r>
        <w:rPr/>
        <w:t>right-of-use</w:t>
      </w:r>
      <w:r>
        <w:rPr>
          <w:spacing w:val="-2"/>
        </w:rPr>
        <w:t> </w:t>
      </w:r>
      <w:r>
        <w:rPr/>
        <w:t>assets,</w:t>
      </w:r>
      <w:r>
        <w:rPr>
          <w:spacing w:val="-2"/>
        </w:rPr>
        <w:t> </w:t>
      </w:r>
      <w:r>
        <w:rPr/>
        <w:t>net,</w:t>
      </w:r>
      <w:r>
        <w:rPr>
          <w:spacing w:val="-2"/>
        </w:rPr>
        <w:t> </w:t>
      </w:r>
      <w:r>
        <w:rPr/>
        <w:t>goodwill,</w:t>
      </w:r>
      <w:r>
        <w:rPr>
          <w:spacing w:val="-2"/>
        </w:rPr>
        <w:t> </w:t>
      </w:r>
      <w:r>
        <w:rPr/>
        <w:t>and</w:t>
      </w:r>
      <w:r>
        <w:rPr>
          <w:spacing w:val="-2"/>
        </w:rPr>
        <w:t> </w:t>
      </w:r>
      <w:r>
        <w:rPr/>
        <w:t>other</w:t>
      </w:r>
      <w:r>
        <w:rPr>
          <w:spacing w:val="-2"/>
        </w:rPr>
        <w:t> </w:t>
      </w:r>
      <w:r>
        <w:rPr/>
        <w:t>intangible</w:t>
      </w:r>
      <w:r>
        <w:rPr>
          <w:spacing w:val="-2"/>
        </w:rPr>
        <w:t> </w:t>
      </w:r>
      <w:r>
        <w:rPr/>
        <w:t>assets, net, presented by geographic region are as follows:</w:t>
      </w:r>
    </w:p>
    <w:p>
      <w:pPr>
        <w:pStyle w:val="BodyText"/>
        <w:spacing w:before="57"/>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0"/>
        <w:gridCol w:w="1543"/>
        <w:gridCol w:w="1621"/>
        <w:gridCol w:w="1599"/>
      </w:tblGrid>
      <w:tr>
        <w:trPr>
          <w:trHeight w:val="227" w:hRule="atLeast"/>
        </w:trPr>
        <w:tc>
          <w:tcPr>
            <w:tcW w:w="8293" w:type="dxa"/>
            <w:gridSpan w:val="2"/>
          </w:tcPr>
          <w:p>
            <w:pPr>
              <w:pStyle w:val="TableParagraph"/>
              <w:spacing w:before="0"/>
              <w:rPr>
                <w:sz w:val="16"/>
              </w:rPr>
            </w:pPr>
          </w:p>
        </w:tc>
        <w:tc>
          <w:tcPr>
            <w:tcW w:w="1621" w:type="dxa"/>
            <w:tcBorders>
              <w:bottom w:val="single" w:sz="6" w:space="0" w:color="000000"/>
            </w:tcBorders>
          </w:tcPr>
          <w:p>
            <w:pPr>
              <w:pStyle w:val="TableParagraph"/>
              <w:spacing w:line="199" w:lineRule="exact" w:before="0"/>
              <w:ind w:left="315"/>
              <w:rPr>
                <w:b/>
                <w:sz w:val="18"/>
              </w:rPr>
            </w:pPr>
            <w:r>
              <w:rPr>
                <w:b/>
                <w:sz w:val="18"/>
              </w:rPr>
              <w:t>December</w:t>
            </w:r>
            <w:r>
              <w:rPr>
                <w:b/>
                <w:spacing w:val="-4"/>
                <w:sz w:val="18"/>
              </w:rPr>
              <w:t> </w:t>
            </w:r>
            <w:r>
              <w:rPr>
                <w:b/>
                <w:spacing w:val="-5"/>
                <w:sz w:val="18"/>
              </w:rPr>
              <w:t>31,</w:t>
            </w:r>
          </w:p>
        </w:tc>
        <w:tc>
          <w:tcPr>
            <w:tcW w:w="1599" w:type="dxa"/>
            <w:tcBorders>
              <w:bottom w:val="single" w:sz="6" w:space="0" w:color="000000"/>
            </w:tcBorders>
          </w:tcPr>
          <w:p>
            <w:pPr>
              <w:pStyle w:val="TableParagraph"/>
              <w:spacing w:before="0"/>
              <w:rPr>
                <w:sz w:val="16"/>
              </w:rPr>
            </w:pPr>
          </w:p>
        </w:tc>
      </w:tr>
      <w:tr>
        <w:trPr>
          <w:trHeight w:val="254" w:hRule="atLeast"/>
        </w:trPr>
        <w:tc>
          <w:tcPr>
            <w:tcW w:w="8293" w:type="dxa"/>
            <w:gridSpan w:val="2"/>
          </w:tcPr>
          <w:p>
            <w:pPr>
              <w:pStyle w:val="TableParagraph"/>
              <w:spacing w:before="20"/>
              <w:ind w:right="601"/>
              <w:jc w:val="right"/>
              <w:rPr>
                <w:b/>
                <w:sz w:val="18"/>
              </w:rPr>
            </w:pPr>
            <w:r>
              <w:rPr>
                <w:b/>
                <w:spacing w:val="-4"/>
                <w:sz w:val="18"/>
              </w:rPr>
              <w:t>2022</w:t>
            </w:r>
          </w:p>
        </w:tc>
        <w:tc>
          <w:tcPr>
            <w:tcW w:w="1621" w:type="dxa"/>
            <w:tcBorders>
              <w:top w:val="single" w:sz="6" w:space="0" w:color="000000"/>
              <w:bottom w:val="single" w:sz="6" w:space="0" w:color="000000"/>
            </w:tcBorders>
          </w:tcPr>
          <w:p>
            <w:pPr>
              <w:pStyle w:val="TableParagraph"/>
              <w:spacing w:before="20"/>
              <w:ind w:left="55"/>
              <w:jc w:val="center"/>
              <w:rPr>
                <w:b/>
                <w:sz w:val="18"/>
              </w:rPr>
            </w:pPr>
            <w:r>
              <w:rPr>
                <w:b/>
                <w:spacing w:val="-4"/>
                <w:sz w:val="18"/>
              </w:rPr>
              <w:t>2021</w:t>
            </w:r>
          </w:p>
        </w:tc>
        <w:tc>
          <w:tcPr>
            <w:tcW w:w="1599" w:type="dxa"/>
            <w:tcBorders>
              <w:top w:val="single" w:sz="6" w:space="0" w:color="000000"/>
              <w:bottom w:val="single" w:sz="6" w:space="0" w:color="000000"/>
            </w:tcBorders>
          </w:tcPr>
          <w:p>
            <w:pPr>
              <w:pStyle w:val="TableParagraph"/>
              <w:spacing w:before="20"/>
              <w:ind w:left="80"/>
              <w:jc w:val="center"/>
              <w:rPr>
                <w:b/>
                <w:sz w:val="18"/>
              </w:rPr>
            </w:pPr>
            <w:r>
              <w:rPr>
                <w:b/>
                <w:spacing w:val="-4"/>
                <w:sz w:val="18"/>
              </w:rPr>
              <w:t>2020</w:t>
            </w:r>
          </w:p>
        </w:tc>
      </w:tr>
      <w:tr>
        <w:trPr>
          <w:trHeight w:val="255" w:hRule="atLeast"/>
        </w:trPr>
        <w:tc>
          <w:tcPr>
            <w:tcW w:w="8293" w:type="dxa"/>
            <w:gridSpan w:val="2"/>
          </w:tcPr>
          <w:p>
            <w:pPr>
              <w:pStyle w:val="TableParagraph"/>
              <w:spacing w:before="6"/>
              <w:ind w:left="17"/>
              <w:rPr>
                <w:b/>
                <w:sz w:val="18"/>
              </w:rPr>
            </w:pPr>
            <w:r>
              <w:rPr>
                <w:b/>
                <w:sz w:val="18"/>
              </w:rPr>
              <w:t>Long-lived</w:t>
            </w:r>
            <w:r>
              <w:rPr>
                <w:b/>
                <w:spacing w:val="-1"/>
                <w:sz w:val="18"/>
              </w:rPr>
              <w:t> </w:t>
            </w:r>
            <w:r>
              <w:rPr>
                <w:b/>
                <w:spacing w:val="-2"/>
                <w:sz w:val="18"/>
              </w:rPr>
              <w:t>assets:</w:t>
            </w:r>
          </w:p>
        </w:tc>
        <w:tc>
          <w:tcPr>
            <w:tcW w:w="1621" w:type="dxa"/>
            <w:tcBorders>
              <w:top w:val="single" w:sz="6" w:space="0" w:color="000000"/>
            </w:tcBorders>
          </w:tcPr>
          <w:p>
            <w:pPr>
              <w:pStyle w:val="TableParagraph"/>
              <w:spacing w:before="57"/>
              <w:ind w:left="400"/>
              <w:rPr>
                <w:b/>
                <w:i/>
                <w:sz w:val="14"/>
              </w:rPr>
            </w:pPr>
            <w:r>
              <w:rPr>
                <w:b/>
                <w:i/>
                <w:sz w:val="14"/>
              </w:rPr>
              <w:t>(In</w:t>
            </w:r>
            <w:r>
              <w:rPr>
                <w:b/>
                <w:i/>
                <w:spacing w:val="3"/>
                <w:sz w:val="14"/>
              </w:rPr>
              <w:t> </w:t>
            </w:r>
            <w:r>
              <w:rPr>
                <w:b/>
                <w:i/>
                <w:spacing w:val="-2"/>
                <w:sz w:val="14"/>
              </w:rPr>
              <w:t>thousands)</w:t>
            </w:r>
          </w:p>
        </w:tc>
        <w:tc>
          <w:tcPr>
            <w:tcW w:w="1599" w:type="dxa"/>
            <w:tcBorders>
              <w:top w:val="single" w:sz="6" w:space="0" w:color="000000"/>
            </w:tcBorders>
          </w:tcPr>
          <w:p>
            <w:pPr>
              <w:pStyle w:val="TableParagraph"/>
              <w:spacing w:before="0"/>
              <w:rPr>
                <w:sz w:val="16"/>
              </w:rPr>
            </w:pPr>
          </w:p>
        </w:tc>
      </w:tr>
      <w:tr>
        <w:trPr>
          <w:trHeight w:val="256" w:hRule="atLeast"/>
        </w:trPr>
        <w:tc>
          <w:tcPr>
            <w:tcW w:w="6750" w:type="dxa"/>
            <w:shd w:val="clear" w:color="auto" w:fill="CFF0FB"/>
          </w:tcPr>
          <w:p>
            <w:pPr>
              <w:pStyle w:val="TableParagraph"/>
              <w:ind w:left="217"/>
              <w:rPr>
                <w:sz w:val="18"/>
              </w:rPr>
            </w:pPr>
            <w:r>
              <w:rPr>
                <w:sz w:val="18"/>
              </w:rPr>
              <w:t>United</w:t>
            </w:r>
            <w:r>
              <w:rPr>
                <w:spacing w:val="-1"/>
                <w:sz w:val="18"/>
              </w:rPr>
              <w:t> </w:t>
            </w:r>
            <w:r>
              <w:rPr>
                <w:spacing w:val="-2"/>
                <w:sz w:val="18"/>
              </w:rPr>
              <w:t>States</w:t>
            </w:r>
          </w:p>
        </w:tc>
        <w:tc>
          <w:tcPr>
            <w:tcW w:w="1543" w:type="dxa"/>
            <w:shd w:val="clear" w:color="auto" w:fill="CFF0FB"/>
          </w:tcPr>
          <w:p>
            <w:pPr>
              <w:pStyle w:val="TableParagraph"/>
              <w:tabs>
                <w:tab w:pos="621" w:val="left" w:leader="none"/>
              </w:tabs>
              <w:ind w:right="92"/>
              <w:jc w:val="right"/>
              <w:rPr>
                <w:sz w:val="18"/>
              </w:rPr>
            </w:pPr>
            <w:r>
              <w:rPr>
                <w:spacing w:val="-10"/>
                <w:sz w:val="18"/>
              </w:rPr>
              <w:t>$</w:t>
            </w:r>
            <w:r>
              <w:rPr>
                <w:sz w:val="18"/>
              </w:rPr>
              <w:tab/>
            </w:r>
            <w:r>
              <w:rPr>
                <w:spacing w:val="-2"/>
                <w:sz w:val="18"/>
              </w:rPr>
              <w:t>31,330,909</w:t>
            </w:r>
          </w:p>
        </w:tc>
        <w:tc>
          <w:tcPr>
            <w:tcW w:w="1621" w:type="dxa"/>
            <w:shd w:val="clear" w:color="auto" w:fill="CFF0FB"/>
          </w:tcPr>
          <w:p>
            <w:pPr>
              <w:pStyle w:val="TableParagraph"/>
              <w:tabs>
                <w:tab w:pos="621" w:val="left" w:leader="none"/>
              </w:tabs>
              <w:ind w:right="91"/>
              <w:jc w:val="right"/>
              <w:rPr>
                <w:sz w:val="18"/>
              </w:rPr>
            </w:pPr>
            <w:r>
              <w:rPr>
                <w:spacing w:val="-10"/>
                <w:sz w:val="18"/>
              </w:rPr>
              <w:t>$</w:t>
            </w:r>
            <w:r>
              <w:rPr>
                <w:sz w:val="18"/>
              </w:rPr>
              <w:tab/>
            </w:r>
            <w:r>
              <w:rPr>
                <w:spacing w:val="-2"/>
                <w:sz w:val="18"/>
              </w:rPr>
              <w:t>25,848,917</w:t>
            </w:r>
          </w:p>
        </w:tc>
        <w:tc>
          <w:tcPr>
            <w:tcW w:w="1599" w:type="dxa"/>
            <w:shd w:val="clear" w:color="auto" w:fill="CFF0FB"/>
          </w:tcPr>
          <w:p>
            <w:pPr>
              <w:pStyle w:val="TableParagraph"/>
              <w:tabs>
                <w:tab w:pos="621" w:val="left" w:leader="none"/>
              </w:tabs>
              <w:ind w:right="68"/>
              <w:jc w:val="right"/>
              <w:rPr>
                <w:sz w:val="18"/>
              </w:rPr>
            </w:pPr>
            <w:r>
              <w:rPr>
                <w:spacing w:val="-10"/>
                <w:sz w:val="18"/>
              </w:rPr>
              <w:t>$</w:t>
            </w:r>
            <w:r>
              <w:rPr>
                <w:sz w:val="18"/>
              </w:rPr>
              <w:tab/>
            </w:r>
            <w:r>
              <w:rPr>
                <w:spacing w:val="-2"/>
                <w:sz w:val="18"/>
              </w:rPr>
              <w:t>21,035,992</w:t>
            </w:r>
          </w:p>
        </w:tc>
      </w:tr>
      <w:tr>
        <w:trPr>
          <w:trHeight w:val="255" w:hRule="atLeast"/>
        </w:trPr>
        <w:tc>
          <w:tcPr>
            <w:tcW w:w="6750" w:type="dxa"/>
          </w:tcPr>
          <w:p>
            <w:pPr>
              <w:pStyle w:val="TableParagraph"/>
              <w:spacing w:line="201" w:lineRule="exact" w:before="34"/>
              <w:ind w:left="217"/>
              <w:rPr>
                <w:sz w:val="18"/>
              </w:rPr>
            </w:pPr>
            <w:r>
              <w:rPr>
                <w:sz w:val="18"/>
              </w:rPr>
              <w:t>China</w:t>
            </w:r>
            <w:r>
              <w:rPr>
                <w:spacing w:val="-1"/>
                <w:sz w:val="18"/>
              </w:rPr>
              <w:t> </w:t>
            </w:r>
            <w:r>
              <w:rPr>
                <w:sz w:val="18"/>
              </w:rPr>
              <w:t>and</w:t>
            </w:r>
            <w:r>
              <w:rPr>
                <w:spacing w:val="-1"/>
                <w:sz w:val="18"/>
              </w:rPr>
              <w:t> </w:t>
            </w:r>
            <w:r>
              <w:rPr>
                <w:sz w:val="18"/>
              </w:rPr>
              <w:t>all</w:t>
            </w:r>
            <w:r>
              <w:rPr>
                <w:spacing w:val="-1"/>
                <w:sz w:val="18"/>
              </w:rPr>
              <w:t> </w:t>
            </w:r>
            <w:r>
              <w:rPr>
                <w:sz w:val="18"/>
              </w:rPr>
              <w:t>other</w:t>
            </w:r>
            <w:r>
              <w:rPr>
                <w:spacing w:val="-1"/>
                <w:sz w:val="18"/>
              </w:rPr>
              <w:t> </w:t>
            </w:r>
            <w:r>
              <w:rPr>
                <w:sz w:val="18"/>
              </w:rPr>
              <w:t>foreign</w:t>
            </w:r>
            <w:r>
              <w:rPr>
                <w:spacing w:val="-1"/>
                <w:sz w:val="18"/>
              </w:rPr>
              <w:t> </w:t>
            </w:r>
            <w:r>
              <w:rPr>
                <w:spacing w:val="-2"/>
                <w:sz w:val="18"/>
              </w:rPr>
              <w:t>countries</w:t>
            </w:r>
          </w:p>
        </w:tc>
        <w:tc>
          <w:tcPr>
            <w:tcW w:w="1543" w:type="dxa"/>
            <w:tcBorders>
              <w:bottom w:val="single" w:sz="6" w:space="0" w:color="000000"/>
            </w:tcBorders>
          </w:tcPr>
          <w:p>
            <w:pPr>
              <w:pStyle w:val="TableParagraph"/>
              <w:ind w:right="92"/>
              <w:jc w:val="right"/>
              <w:rPr>
                <w:sz w:val="18"/>
              </w:rPr>
            </w:pPr>
            <w:r>
              <w:rPr>
                <w:spacing w:val="-2"/>
                <w:sz w:val="18"/>
              </w:rPr>
              <w:t>5,004,512</w:t>
            </w:r>
          </w:p>
        </w:tc>
        <w:tc>
          <w:tcPr>
            <w:tcW w:w="1621" w:type="dxa"/>
            <w:tcBorders>
              <w:bottom w:val="single" w:sz="6" w:space="0" w:color="000000"/>
            </w:tcBorders>
          </w:tcPr>
          <w:p>
            <w:pPr>
              <w:pStyle w:val="TableParagraph"/>
              <w:ind w:right="91"/>
              <w:jc w:val="right"/>
              <w:rPr>
                <w:sz w:val="18"/>
              </w:rPr>
            </w:pPr>
            <w:r>
              <w:rPr>
                <w:spacing w:val="-2"/>
                <w:sz w:val="18"/>
              </w:rPr>
              <w:t>7,176,763</w:t>
            </w:r>
          </w:p>
        </w:tc>
        <w:tc>
          <w:tcPr>
            <w:tcW w:w="1599" w:type="dxa"/>
            <w:tcBorders>
              <w:bottom w:val="single" w:sz="6" w:space="0" w:color="000000"/>
            </w:tcBorders>
          </w:tcPr>
          <w:p>
            <w:pPr>
              <w:pStyle w:val="TableParagraph"/>
              <w:ind w:right="68"/>
              <w:jc w:val="right"/>
              <w:rPr>
                <w:sz w:val="18"/>
              </w:rPr>
            </w:pPr>
            <w:r>
              <w:rPr>
                <w:spacing w:val="-2"/>
                <w:sz w:val="18"/>
              </w:rPr>
              <w:t>7,617,819</w:t>
            </w:r>
          </w:p>
        </w:tc>
      </w:tr>
      <w:tr>
        <w:trPr>
          <w:trHeight w:val="273" w:hRule="atLeast"/>
        </w:trPr>
        <w:tc>
          <w:tcPr>
            <w:tcW w:w="6750" w:type="dxa"/>
            <w:shd w:val="clear" w:color="auto" w:fill="CCEDFF"/>
          </w:tcPr>
          <w:p>
            <w:pPr>
              <w:pStyle w:val="TableParagraph"/>
              <w:spacing w:before="0"/>
              <w:rPr>
                <w:sz w:val="16"/>
              </w:rPr>
            </w:pPr>
          </w:p>
        </w:tc>
        <w:tc>
          <w:tcPr>
            <w:tcW w:w="1543" w:type="dxa"/>
            <w:tcBorders>
              <w:top w:val="single" w:sz="6" w:space="0" w:color="000000"/>
              <w:bottom w:val="double" w:sz="6" w:space="0" w:color="000000"/>
            </w:tcBorders>
            <w:shd w:val="clear" w:color="auto" w:fill="CCEDFF"/>
          </w:tcPr>
          <w:p>
            <w:pPr>
              <w:pStyle w:val="TableParagraph"/>
              <w:tabs>
                <w:tab w:pos="621" w:val="left" w:leader="none"/>
              </w:tabs>
              <w:spacing w:before="20"/>
              <w:ind w:right="92"/>
              <w:jc w:val="right"/>
              <w:rPr>
                <w:sz w:val="18"/>
              </w:rPr>
            </w:pPr>
            <w:r>
              <w:rPr>
                <w:spacing w:val="-10"/>
                <w:sz w:val="18"/>
              </w:rPr>
              <w:t>$</w:t>
            </w:r>
            <w:r>
              <w:rPr>
                <w:sz w:val="18"/>
              </w:rPr>
              <w:tab/>
            </w:r>
            <w:r>
              <w:rPr>
                <w:spacing w:val="-2"/>
                <w:sz w:val="18"/>
              </w:rPr>
              <w:t>36,335,421</w:t>
            </w:r>
          </w:p>
        </w:tc>
        <w:tc>
          <w:tcPr>
            <w:tcW w:w="1621" w:type="dxa"/>
            <w:tcBorders>
              <w:top w:val="single" w:sz="6" w:space="0" w:color="000000"/>
              <w:bottom w:val="double" w:sz="6" w:space="0" w:color="000000"/>
            </w:tcBorders>
            <w:shd w:val="clear" w:color="auto" w:fill="CCEDFF"/>
          </w:tcPr>
          <w:p>
            <w:pPr>
              <w:pStyle w:val="TableParagraph"/>
              <w:tabs>
                <w:tab w:pos="621" w:val="left" w:leader="none"/>
              </w:tabs>
              <w:spacing w:before="20"/>
              <w:ind w:right="91"/>
              <w:jc w:val="right"/>
              <w:rPr>
                <w:sz w:val="18"/>
              </w:rPr>
            </w:pPr>
            <w:r>
              <w:rPr>
                <w:spacing w:val="-10"/>
                <w:sz w:val="18"/>
              </w:rPr>
              <w:t>$</w:t>
            </w:r>
            <w:r>
              <w:rPr>
                <w:sz w:val="18"/>
              </w:rPr>
              <w:tab/>
            </w:r>
            <w:r>
              <w:rPr>
                <w:spacing w:val="-2"/>
                <w:sz w:val="18"/>
              </w:rPr>
              <w:t>33,025,680</w:t>
            </w:r>
          </w:p>
        </w:tc>
        <w:tc>
          <w:tcPr>
            <w:tcW w:w="1599" w:type="dxa"/>
            <w:tcBorders>
              <w:top w:val="single" w:sz="6" w:space="0" w:color="000000"/>
              <w:bottom w:val="double" w:sz="6" w:space="0" w:color="000000"/>
            </w:tcBorders>
            <w:shd w:val="clear" w:color="auto" w:fill="CCEDFF"/>
          </w:tcPr>
          <w:p>
            <w:pPr>
              <w:pStyle w:val="TableParagraph"/>
              <w:tabs>
                <w:tab w:pos="628" w:val="left" w:leader="none"/>
              </w:tabs>
              <w:spacing w:before="20"/>
              <w:ind w:right="68"/>
              <w:jc w:val="right"/>
              <w:rPr>
                <w:sz w:val="18"/>
              </w:rPr>
            </w:pPr>
            <w:r>
              <w:rPr>
                <w:spacing w:val="-10"/>
                <w:sz w:val="18"/>
              </w:rPr>
              <w:t>$</w:t>
            </w:r>
            <w:r>
              <w:rPr>
                <w:sz w:val="18"/>
              </w:rPr>
              <w:tab/>
            </w:r>
            <w:r>
              <w:rPr>
                <w:spacing w:val="-2"/>
                <w:sz w:val="18"/>
              </w:rPr>
              <w:t>28,653,811</w:t>
            </w:r>
          </w:p>
        </w:tc>
      </w:tr>
    </w:tbl>
    <w:p>
      <w:pPr>
        <w:pStyle w:val="BodyText"/>
        <w:spacing w:before="92"/>
      </w:pPr>
    </w:p>
    <w:p>
      <w:pPr>
        <w:pStyle w:val="Heading4"/>
      </w:pPr>
      <w:r>
        <w:rPr/>
        <w:t>NOTE</w:t>
      </w:r>
      <w:r>
        <w:rPr>
          <w:spacing w:val="-12"/>
        </w:rPr>
        <w:t> </w:t>
      </w:r>
      <w:r>
        <w:rPr/>
        <w:t>18</w:t>
      </w:r>
      <w:r>
        <w:rPr>
          <w:spacing w:val="-10"/>
        </w:rPr>
        <w:t> </w:t>
      </w:r>
      <w:r>
        <w:rPr/>
        <w:t>—</w:t>
      </w:r>
      <w:r>
        <w:rPr>
          <w:spacing w:val="-8"/>
        </w:rPr>
        <w:t> </w:t>
      </w:r>
      <w:r>
        <w:rPr/>
        <w:t>RELATED</w:t>
      </w:r>
      <w:r>
        <w:rPr>
          <w:spacing w:val="-8"/>
        </w:rPr>
        <w:t> </w:t>
      </w:r>
      <w:r>
        <w:rPr/>
        <w:t>PARTY</w:t>
      </w:r>
      <w:r>
        <w:rPr>
          <w:spacing w:val="-11"/>
        </w:rPr>
        <w:t> </w:t>
      </w:r>
      <w:r>
        <w:rPr>
          <w:spacing w:val="-2"/>
        </w:rPr>
        <w:t>TRANSACTIONS</w:t>
      </w:r>
    </w:p>
    <w:p>
      <w:pPr>
        <w:pStyle w:val="BodyText"/>
        <w:spacing w:before="18"/>
        <w:rPr>
          <w:b/>
        </w:rPr>
      </w:pPr>
    </w:p>
    <w:p>
      <w:pPr>
        <w:spacing w:before="0"/>
        <w:ind w:left="394" w:right="0" w:firstLine="0"/>
        <w:jc w:val="left"/>
        <w:rPr>
          <w:i/>
          <w:sz w:val="18"/>
        </w:rPr>
      </w:pPr>
      <w:r>
        <w:rPr>
          <w:i/>
          <w:spacing w:val="-2"/>
          <w:sz w:val="18"/>
        </w:rPr>
        <w:t>CityCenter</w:t>
      </w:r>
    </w:p>
    <w:p>
      <w:pPr>
        <w:pStyle w:val="BodyText"/>
        <w:spacing w:before="4"/>
        <w:rPr>
          <w:i/>
        </w:rPr>
      </w:pPr>
    </w:p>
    <w:p>
      <w:pPr>
        <w:pStyle w:val="BodyText"/>
        <w:spacing w:before="1"/>
        <w:ind w:left="144" w:right="118" w:firstLine="499"/>
        <w:jc w:val="both"/>
      </w:pPr>
      <w:r>
        <w:rPr>
          <w:b/>
        </w:rPr>
        <w:t>Management agreements. </w:t>
      </w:r>
      <w:r>
        <w:rPr/>
        <w:t>Until the Company's acquisition of CityCenter in September 2021, the Company was party to a management </w:t>
      </w:r>
      <w:r>
        <w:rPr/>
        <w:t>agreement pursuant to which it managed the operations of CityCenter for a fee of 2% of revenue and 5% of EBITDA</w:t>
      </w:r>
      <w:r>
        <w:rPr>
          <w:spacing w:val="-4"/>
        </w:rPr>
        <w:t> </w:t>
      </w:r>
      <w:r>
        <w:rPr/>
        <w:t>(as defined within the management agreement) for Aria and Vdara. The Company earned fees of $29 million and $16 million during the years ended December 31, 2021 and 2020, respectively. The Company incurred costs reimbursable by CityCenter, primarily for employee compensation and certain allocated costs in performing the Company's management services, of $187 million and $212 million during the years ended December 31, 2021 and 2020, respectively. The management agreement was terminated in connection with the Company's acquisition of CityCenter.</w:t>
      </w:r>
    </w:p>
    <w:p>
      <w:pPr>
        <w:pStyle w:val="BodyText"/>
        <w:spacing w:before="9"/>
      </w:pPr>
    </w:p>
    <w:p>
      <w:pPr>
        <w:spacing w:before="0"/>
        <w:ind w:left="394" w:right="0" w:firstLine="0"/>
        <w:jc w:val="left"/>
        <w:rPr>
          <w:i/>
          <w:sz w:val="18"/>
        </w:rPr>
      </w:pPr>
      <w:r>
        <w:rPr>
          <w:i/>
          <w:sz w:val="18"/>
        </w:rPr>
        <w:t>MGM</w:t>
      </w:r>
      <w:r>
        <w:rPr>
          <w:i/>
          <w:spacing w:val="-1"/>
          <w:sz w:val="18"/>
        </w:rPr>
        <w:t> </w:t>
      </w:r>
      <w:r>
        <w:rPr>
          <w:i/>
          <w:spacing w:val="-2"/>
          <w:sz w:val="18"/>
        </w:rPr>
        <w:t>China</w:t>
      </w:r>
    </w:p>
    <w:p>
      <w:pPr>
        <w:pStyle w:val="BodyText"/>
        <w:spacing w:before="4"/>
        <w:rPr>
          <w:i/>
        </w:rPr>
      </w:pPr>
    </w:p>
    <w:p>
      <w:pPr>
        <w:pStyle w:val="BodyText"/>
        <w:ind w:left="144" w:right="118" w:firstLine="499"/>
        <w:jc w:val="both"/>
      </w:pPr>
      <w:r>
        <w:rPr/>
        <w:t>Ms. Ho, Pansy Catilina Chiu King (“Ms. Ho”) is the Co-Chairperson of the Board of Directors of, and holds a minority ownership interest in, MGM China. Ms. Ho is also the managing director of Shun Tak Holdings Limited (together with its subsidiaries “Shun Tak”), a leading conglomerate in Hong Kong with core businesses in transportation, property, hospitality and investments. Shun Tak provides various services and products, including ferry tickets, travel products, rental of hotel rooms, laundry services and property cleaning services to MGM China. In addition, MGM China leases office space from Shun </w:t>
      </w:r>
      <w:r>
        <w:rPr/>
        <w:t>Tak. MGM China incurred expenses relating to Shun Tak of $3 million, $7 million and $7 million for the years ended December 31, 2022, 2021 and 2020, </w:t>
      </w:r>
      <w:r>
        <w:rPr>
          <w:spacing w:val="-2"/>
        </w:rPr>
        <w:t>respectively.</w:t>
      </w:r>
    </w:p>
    <w:p>
      <w:pPr>
        <w:pStyle w:val="BodyText"/>
        <w:spacing w:before="9"/>
      </w:pPr>
    </w:p>
    <w:p>
      <w:pPr>
        <w:pStyle w:val="BodyText"/>
        <w:spacing w:line="242" w:lineRule="auto"/>
        <w:ind w:left="144" w:right="117" w:firstLine="499"/>
        <w:jc w:val="both"/>
      </w:pPr>
      <w:r>
        <w:rPr>
          <w:color w:val="202529"/>
        </w:rPr>
        <w:t>In addition, Ms. Ho indirectly holds a 50% interest in an entity that provides, along with its subsidiary, marketing and public relations </w:t>
      </w:r>
      <w:r>
        <w:rPr>
          <w:color w:val="202529"/>
        </w:rPr>
        <w:t>consulting services, including for the tendering of MGM China's gaming concession, to MGM China, which totaled $5 million, $4 million, and $1 million for the years ended December 31, 2022, 2021, and 2020, respectively.</w:t>
      </w:r>
    </w:p>
    <w:p>
      <w:pPr>
        <w:pStyle w:val="BodyText"/>
        <w:spacing w:before="5"/>
      </w:pPr>
    </w:p>
    <w:p>
      <w:pPr>
        <w:pStyle w:val="BodyText"/>
        <w:spacing w:line="237" w:lineRule="auto"/>
        <w:ind w:left="144" w:right="118" w:firstLine="499"/>
        <w:jc w:val="both"/>
      </w:pPr>
      <w:r>
        <w:rPr/>
        <w:t>On September 1, 2016, the Company purchased 188.1 million common shares of its MGM China subsidiary from Grand Paradise Macau (“GPM”), an entity controlled by Ms. Ho. As part of the consideration for the purchase, the Company agreed to pay GPM or its nominee a deferred cash payment of </w:t>
      </w:r>
      <w:r>
        <w:rPr/>
        <w:t>$50 million. The payments included amounts equal to the ordinary dividends received on such shares, with a final lump sum payment due on the fifth anniversary</w:t>
      </w:r>
      <w:r>
        <w:rPr>
          <w:spacing w:val="40"/>
        </w:rPr>
        <w:t> </w:t>
      </w:r>
      <w:r>
        <w:rPr/>
        <w:t>of the closing date of the transaction, which was made in September 2021. Such amounts were paid to Expert Angels Limited, an entity controlled by an immediate family member of Ms. Ho.</w:t>
      </w:r>
    </w:p>
    <w:p>
      <w:pPr>
        <w:pStyle w:val="BodyText"/>
        <w:spacing w:before="24"/>
      </w:pPr>
    </w:p>
    <w:p>
      <w:pPr>
        <w:pStyle w:val="BodyText"/>
        <w:spacing w:line="237" w:lineRule="auto"/>
        <w:ind w:left="144" w:right="118" w:firstLine="499"/>
        <w:jc w:val="both"/>
      </w:pPr>
      <w:r>
        <w:rPr/>
        <w:t>MGM Branding and Development Holdings, Ltd. (together with its subsidiary MGM Development Services, Ltd., “MGM Branding and</w:t>
      </w:r>
      <w:r>
        <w:rPr>
          <w:spacing w:val="40"/>
        </w:rPr>
        <w:t> </w:t>
      </w:r>
      <w:r>
        <w:rPr/>
        <w:t>Development”), an entity included in the Company’s consolidated financial statements in which Ms. Ho indirectly holds a noncontrolling interest, is party to </w:t>
      </w:r>
      <w:r>
        <w:rPr/>
        <w:t>a brand license agreement and a development services agreement with MGM China, for which the related amounts are eliminated in consolidation. An entity owned by Ms. Ho received distributions of $5 million, $8 million and $5 million for the years ended December 31, 2022, 2021 and 2020, respectively, in connection with the ownership of a noncontrolling interest in MGM Branding and Development Holdings, Ltd.</w:t>
      </w:r>
    </w:p>
    <w:p>
      <w:pPr>
        <w:pStyle w:val="BodyText"/>
        <w:spacing w:before="8"/>
      </w:pPr>
    </w:p>
    <w:p>
      <w:pPr>
        <w:pStyle w:val="BodyText"/>
        <w:spacing w:line="242" w:lineRule="auto" w:before="1"/>
        <w:ind w:left="144" w:right="118" w:firstLine="499"/>
        <w:jc w:val="both"/>
      </w:pPr>
      <w:r>
        <w:rPr/>
        <w:t>On August 21, 2022, Ms. Ho and MGM Grand Paradise entered into an agreement for her services as Managing Director of MGM Grand Paradise during the term of the new concession (the “Services Agreement”). The Services Agreement became effective on January 1, 2023 after satisfying certain conditions precedent as defined in the agreement. Pursuant to the Services Agreement, Ms. Ho will receive compensation of $8 million annually during the</w:t>
      </w:r>
      <w:r>
        <w:rPr>
          <w:spacing w:val="40"/>
        </w:rPr>
        <w:t> </w:t>
      </w:r>
      <w:r>
        <w:rPr/>
        <w:t>term of the concession and will be entitled to incentive payments up to an aggregate total amount of $95 million.</w:t>
      </w:r>
      <w:r>
        <w:rPr>
          <w:spacing w:val="-2"/>
        </w:rPr>
        <w:t> </w:t>
      </w:r>
      <w:r>
        <w:rPr/>
        <w:t>The amount of the incentive payments earned are subject to the achievement of certain EBITDA</w:t>
      </w:r>
      <w:r>
        <w:rPr>
          <w:spacing w:val="-1"/>
        </w:rPr>
        <w:t> </w:t>
      </w:r>
      <w:r>
        <w:rPr/>
        <w:t>targets, as defined in the agreement.</w:t>
      </w:r>
    </w:p>
    <w:p>
      <w:pPr>
        <w:pStyle w:val="BodyText"/>
      </w:pPr>
    </w:p>
    <w:p>
      <w:pPr>
        <w:pStyle w:val="BodyText"/>
      </w:pPr>
    </w:p>
    <w:p>
      <w:pPr>
        <w:pStyle w:val="BodyText"/>
        <w:spacing w:before="196"/>
      </w:pPr>
    </w:p>
    <w:p>
      <w:pPr>
        <w:pStyle w:val="BodyText"/>
        <w:ind w:left="24"/>
        <w:jc w:val="center"/>
      </w:pPr>
      <w:r>
        <w:rPr>
          <w:spacing w:val="-5"/>
        </w:rPr>
        <w:t>98</w:t>
      </w:r>
    </w:p>
    <w:p>
      <w:pPr>
        <w:pStyle w:val="BodyText"/>
        <w:spacing w:before="3"/>
        <w:rPr>
          <w:sz w:val="6"/>
        </w:rPr>
      </w:pPr>
      <w:r>
        <w:rPr/>
        <mc:AlternateContent>
          <mc:Choice Requires="wps">
            <w:drawing>
              <wp:anchor distT="0" distB="0" distL="0" distR="0" allowOverlap="1" layoutInCell="1" locked="0" behindDoc="1" simplePos="0" relativeHeight="487727616">
                <wp:simplePos x="0" y="0"/>
                <wp:positionH relativeFrom="page">
                  <wp:posOffset>231457</wp:posOffset>
                </wp:positionH>
                <wp:positionV relativeFrom="paragraph">
                  <wp:posOffset>60956</wp:posOffset>
                </wp:positionV>
                <wp:extent cx="7312659" cy="17145"/>
                <wp:effectExtent l="0" t="0" r="0" b="0"/>
                <wp:wrapTopAndBottom/>
                <wp:docPr id="684" name="Group 684"/>
                <wp:cNvGraphicFramePr>
                  <a:graphicFrameLocks/>
                </wp:cNvGraphicFramePr>
                <a:graphic>
                  <a:graphicData uri="http://schemas.microsoft.com/office/word/2010/wordprocessingGroup">
                    <wpg:wgp>
                      <wpg:cNvPr id="684" name="Group 684"/>
                      <wpg:cNvGrpSpPr/>
                      <wpg:grpSpPr>
                        <a:xfrm>
                          <a:off x="0" y="0"/>
                          <a:ext cx="7312659" cy="17145"/>
                          <a:chExt cx="7312659" cy="17145"/>
                        </a:xfrm>
                      </wpg:grpSpPr>
                      <wps:wsp>
                        <wps:cNvPr id="685" name="Graphic 68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86" name="Graphic 686"/>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87" name="Graphic 68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88864;mso-wrap-distance-left:0;mso-wrap-distance-right:0" id="docshapegroup682" coordorigin="364,96" coordsize="11516,27">
                <v:rect style="position:absolute;left:364;top:96;width:11516;height:14" id="docshape683" filled="true" fillcolor="#999999" stroked="false">
                  <v:fill type="solid"/>
                </v:rect>
                <v:shape style="position:absolute;left:364;top:95;width:11516;height:27" id="docshape684" coordorigin="364,96" coordsize="11516,27" path="m11880,96l11866,109,364,109,364,123,11866,123,11880,123,11880,109,11880,96xe" filled="true" fillcolor="#ededed" stroked="false">
                  <v:path arrowok="t"/>
                  <v:fill type="solid"/>
                </v:shape>
                <v:shape style="position:absolute;left:364;top:96;width:14;height:27" id="docshape68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spacing w:before="69"/>
        <w:ind w:left="419" w:right="0" w:firstLine="0"/>
        <w:jc w:val="left"/>
        <w:rPr>
          <w:i/>
          <w:sz w:val="18"/>
        </w:rPr>
      </w:pPr>
      <w:r>
        <w:rPr>
          <w:i/>
          <w:spacing w:val="-5"/>
          <w:sz w:val="18"/>
        </w:rPr>
        <w:t>MGP</w:t>
      </w:r>
    </w:p>
    <w:p>
      <w:pPr>
        <w:pStyle w:val="BodyText"/>
        <w:spacing w:before="21"/>
        <w:rPr>
          <w:i/>
        </w:rPr>
      </w:pPr>
    </w:p>
    <w:p>
      <w:pPr>
        <w:pStyle w:val="BodyText"/>
        <w:spacing w:line="235" w:lineRule="auto" w:before="1"/>
        <w:ind w:left="144" w:right="118" w:firstLine="499"/>
        <w:jc w:val="both"/>
      </w:pPr>
      <w:r>
        <w:rPr/>
        <w:t>Prior to the closing of the VICI Transaction, the Company leased the real estate assets of The Mirage, Luxor, New York-New York, Park MGM, Excalibur,</w:t>
      </w:r>
      <w:r>
        <w:rPr>
          <w:spacing w:val="-3"/>
        </w:rPr>
        <w:t> </w:t>
      </w:r>
      <w:r>
        <w:rPr/>
        <w:t>The Park, Gold Strike</w:t>
      </w:r>
      <w:r>
        <w:rPr>
          <w:spacing w:val="-3"/>
        </w:rPr>
        <w:t> </w:t>
      </w:r>
      <w:r>
        <w:rPr/>
        <w:t>Tunica, MGM Grand Detroit, Beau Rivage, Borgata, Empire City, MGM National Harbor, MGM Northfield Park, and MGM Springfield pursuant to a master lease with MGP.</w:t>
      </w:r>
    </w:p>
    <w:p>
      <w:pPr>
        <w:pStyle w:val="BodyText"/>
        <w:spacing w:before="21"/>
      </w:pPr>
    </w:p>
    <w:p>
      <w:pPr>
        <w:pStyle w:val="BodyText"/>
        <w:spacing w:line="235" w:lineRule="auto"/>
        <w:ind w:left="144" w:right="118" w:firstLine="499"/>
        <w:jc w:val="both"/>
      </w:pPr>
      <w:r>
        <w:rPr/>
        <w:t>In February 2020, Mandalay Bay was removed from the master lease with MGP in connection with the MGM Grand Las Vegas and Mandalay </w:t>
      </w:r>
      <w:r>
        <w:rPr/>
        <w:t>Bay transaction and the annual cash rent under the master lease with MGP</w:t>
      </w:r>
      <w:r>
        <w:rPr>
          <w:spacing w:val="-1"/>
        </w:rPr>
        <w:t> </w:t>
      </w:r>
      <w:r>
        <w:rPr/>
        <w:t>was reduced by $133 million to a total of $813 million.</w:t>
      </w:r>
    </w:p>
    <w:p>
      <w:pPr>
        <w:pStyle w:val="BodyText"/>
        <w:spacing w:before="5"/>
      </w:pPr>
    </w:p>
    <w:p>
      <w:pPr>
        <w:pStyle w:val="BodyText"/>
        <w:spacing w:line="249" w:lineRule="auto"/>
        <w:ind w:left="144" w:right="118" w:firstLine="499"/>
        <w:jc w:val="both"/>
      </w:pPr>
      <w:r>
        <w:rPr/>
        <w:t>The annual cash rent payments under the master lease with MGP</w:t>
      </w:r>
      <w:r>
        <w:rPr>
          <w:spacing w:val="-4"/>
        </w:rPr>
        <w:t> </w:t>
      </w:r>
      <w:r>
        <w:rPr/>
        <w:t>for the fifth lease year, which commenced on</w:t>
      </w:r>
      <w:r>
        <w:rPr>
          <w:spacing w:val="-7"/>
        </w:rPr>
        <w:t> </w:t>
      </w:r>
      <w:r>
        <w:rPr/>
        <w:t>April 1, 2020, increased to $828 </w:t>
      </w:r>
      <w:r>
        <w:rPr/>
        <w:t>million from $813 million, as a result of a 2% fixed annual rent escalator that went into effect on</w:t>
      </w:r>
      <w:r>
        <w:rPr>
          <w:spacing w:val="-4"/>
        </w:rPr>
        <w:t> </w:t>
      </w:r>
      <w:r>
        <w:rPr/>
        <w:t>April 1, 2020.</w:t>
      </w:r>
    </w:p>
    <w:p>
      <w:pPr>
        <w:pStyle w:val="BodyText"/>
      </w:pPr>
    </w:p>
    <w:p>
      <w:pPr>
        <w:pStyle w:val="BodyText"/>
        <w:spacing w:line="235" w:lineRule="auto"/>
        <w:ind w:left="144" w:right="118" w:firstLine="499"/>
        <w:jc w:val="both"/>
      </w:pPr>
      <w:r>
        <w:rPr/>
        <w:t>The annual cash rent payments under the master lease with MGP</w:t>
      </w:r>
      <w:r>
        <w:rPr>
          <w:spacing w:val="-6"/>
        </w:rPr>
        <w:t> </w:t>
      </w:r>
      <w:r>
        <w:rPr/>
        <w:t>for the sixth lease year, which commenced on</w:t>
      </w:r>
      <w:r>
        <w:rPr>
          <w:spacing w:val="-9"/>
        </w:rPr>
        <w:t> </w:t>
      </w:r>
      <w:r>
        <w:rPr/>
        <w:t>April 1, 2021, increased to $843 million from $828 million, as a result of a 2% fixed annual rent escalator that went into effect on</w:t>
      </w:r>
      <w:r>
        <w:rPr>
          <w:spacing w:val="-4"/>
        </w:rPr>
        <w:t> </w:t>
      </w:r>
      <w:r>
        <w:rPr/>
        <w:t>April 1, 2021.</w:t>
      </w:r>
    </w:p>
    <w:p>
      <w:pPr>
        <w:pStyle w:val="BodyText"/>
        <w:spacing w:before="19"/>
      </w:pPr>
    </w:p>
    <w:p>
      <w:pPr>
        <w:pStyle w:val="BodyText"/>
        <w:ind w:left="144" w:right="118" w:firstLine="499"/>
        <w:jc w:val="both"/>
      </w:pPr>
      <w:r>
        <w:rPr>
          <w:color w:val="202529"/>
        </w:rPr>
        <w:t>On October 29, 2021, MGP acquired the real estate assets of MGM Springfield from the Company for $400 million of cash consideration, which </w:t>
      </w:r>
      <w:r>
        <w:rPr>
          <w:color w:val="202529"/>
        </w:rPr>
        <w:t>was accounted for as a transaction between entities under common control. The Company adjusted the carrying value of noncontrolling interests to adjust for its share</w:t>
      </w:r>
      <w:r>
        <w:rPr>
          <w:color w:val="202529"/>
          <w:spacing w:val="-2"/>
        </w:rPr>
        <w:t> </w:t>
      </w:r>
      <w:r>
        <w:rPr>
          <w:color w:val="202529"/>
        </w:rPr>
        <w:t>of</w:t>
      </w:r>
      <w:r>
        <w:rPr>
          <w:color w:val="202529"/>
          <w:spacing w:val="-2"/>
        </w:rPr>
        <w:t> </w:t>
      </w:r>
      <w:r>
        <w:rPr>
          <w:color w:val="202529"/>
        </w:rPr>
        <w:t>the</w:t>
      </w:r>
      <w:r>
        <w:rPr>
          <w:color w:val="202529"/>
          <w:spacing w:val="-2"/>
        </w:rPr>
        <w:t> </w:t>
      </w:r>
      <w:r>
        <w:rPr>
          <w:color w:val="202529"/>
        </w:rPr>
        <w:t>difference</w:t>
      </w:r>
      <w:r>
        <w:rPr>
          <w:color w:val="202529"/>
          <w:spacing w:val="-2"/>
        </w:rPr>
        <w:t> </w:t>
      </w:r>
      <w:r>
        <w:rPr>
          <w:color w:val="202529"/>
        </w:rPr>
        <w:t>between</w:t>
      </w:r>
      <w:r>
        <w:rPr>
          <w:color w:val="202529"/>
          <w:spacing w:val="-2"/>
        </w:rPr>
        <w:t> </w:t>
      </w:r>
      <w:r>
        <w:rPr>
          <w:color w:val="202529"/>
        </w:rPr>
        <w:t>the</w:t>
      </w:r>
      <w:r>
        <w:rPr>
          <w:color w:val="202529"/>
          <w:spacing w:val="-2"/>
        </w:rPr>
        <w:t> </w:t>
      </w:r>
      <w:r>
        <w:rPr>
          <w:color w:val="202529"/>
        </w:rPr>
        <w:t>carrying</w:t>
      </w:r>
      <w:r>
        <w:rPr>
          <w:color w:val="202529"/>
          <w:spacing w:val="-2"/>
        </w:rPr>
        <w:t> </w:t>
      </w:r>
      <w:r>
        <w:rPr>
          <w:color w:val="202529"/>
        </w:rPr>
        <w:t>value</w:t>
      </w:r>
      <w:r>
        <w:rPr>
          <w:color w:val="202529"/>
          <w:spacing w:val="-2"/>
        </w:rPr>
        <w:t> </w:t>
      </w:r>
      <w:r>
        <w:rPr>
          <w:color w:val="202529"/>
        </w:rPr>
        <w:t>of</w:t>
      </w:r>
      <w:r>
        <w:rPr>
          <w:color w:val="202529"/>
          <w:spacing w:val="-2"/>
        </w:rPr>
        <w:t> </w:t>
      </w:r>
      <w:r>
        <w:rPr>
          <w:color w:val="202529"/>
        </w:rPr>
        <w:t>the</w:t>
      </w:r>
      <w:r>
        <w:rPr>
          <w:color w:val="202529"/>
          <w:spacing w:val="-2"/>
        </w:rPr>
        <w:t> </w:t>
      </w:r>
      <w:r>
        <w:rPr>
          <w:color w:val="202529"/>
        </w:rPr>
        <w:t>net</w:t>
      </w:r>
      <w:r>
        <w:rPr>
          <w:color w:val="202529"/>
          <w:spacing w:val="-2"/>
        </w:rPr>
        <w:t> </w:t>
      </w:r>
      <w:r>
        <w:rPr>
          <w:color w:val="202529"/>
        </w:rPr>
        <w:t>assets</w:t>
      </w:r>
      <w:r>
        <w:rPr>
          <w:color w:val="202529"/>
          <w:spacing w:val="-2"/>
        </w:rPr>
        <w:t> </w:t>
      </w:r>
      <w:r>
        <w:rPr>
          <w:color w:val="202529"/>
        </w:rPr>
        <w:t>transferred</w:t>
      </w:r>
      <w:r>
        <w:rPr>
          <w:color w:val="202529"/>
          <w:spacing w:val="-2"/>
        </w:rPr>
        <w:t> </w:t>
      </w:r>
      <w:r>
        <w:rPr>
          <w:color w:val="202529"/>
        </w:rPr>
        <w:t>and</w:t>
      </w:r>
      <w:r>
        <w:rPr>
          <w:color w:val="202529"/>
          <w:spacing w:val="-2"/>
        </w:rPr>
        <w:t> </w:t>
      </w:r>
      <w:r>
        <w:rPr>
          <w:color w:val="202529"/>
        </w:rPr>
        <w:t>the</w:t>
      </w:r>
      <w:r>
        <w:rPr>
          <w:color w:val="202529"/>
          <w:spacing w:val="-2"/>
        </w:rPr>
        <w:t> </w:t>
      </w:r>
      <w:r>
        <w:rPr>
          <w:color w:val="202529"/>
        </w:rPr>
        <w:t>consideration</w:t>
      </w:r>
      <w:r>
        <w:rPr>
          <w:color w:val="202529"/>
          <w:spacing w:val="-2"/>
        </w:rPr>
        <w:t> </w:t>
      </w:r>
      <w:r>
        <w:rPr>
          <w:color w:val="202529"/>
        </w:rPr>
        <w:t>received,</w:t>
      </w:r>
      <w:r>
        <w:rPr>
          <w:color w:val="202529"/>
          <w:spacing w:val="-2"/>
        </w:rPr>
        <w:t> </w:t>
      </w:r>
      <w:r>
        <w:rPr>
          <w:color w:val="202529"/>
        </w:rPr>
        <w:t>with</w:t>
      </w:r>
      <w:r>
        <w:rPr>
          <w:color w:val="202529"/>
          <w:spacing w:val="-2"/>
        </w:rPr>
        <w:t> </w:t>
      </w:r>
      <w:r>
        <w:rPr>
          <w:color w:val="202529"/>
        </w:rPr>
        <w:t>offsetting</w:t>
      </w:r>
      <w:r>
        <w:rPr>
          <w:color w:val="202529"/>
          <w:spacing w:val="-2"/>
        </w:rPr>
        <w:t> </w:t>
      </w:r>
      <w:r>
        <w:rPr>
          <w:color w:val="202529"/>
        </w:rPr>
        <w:t>adjustments</w:t>
      </w:r>
      <w:r>
        <w:rPr>
          <w:color w:val="202529"/>
          <w:spacing w:val="-2"/>
        </w:rPr>
        <w:t> </w:t>
      </w:r>
      <w:r>
        <w:rPr>
          <w:color w:val="202529"/>
        </w:rPr>
        <w:t>to</w:t>
      </w:r>
      <w:r>
        <w:rPr>
          <w:color w:val="202529"/>
          <w:spacing w:val="-2"/>
        </w:rPr>
        <w:t> </w:t>
      </w:r>
      <w:r>
        <w:rPr>
          <w:color w:val="202529"/>
        </w:rPr>
        <w:t>capital</w:t>
      </w:r>
      <w:r>
        <w:rPr>
          <w:color w:val="202529"/>
          <w:spacing w:val="-2"/>
        </w:rPr>
        <w:t> </w:t>
      </w:r>
      <w:r>
        <w:rPr>
          <w:color w:val="202529"/>
        </w:rPr>
        <w:t>in</w:t>
      </w:r>
      <w:r>
        <w:rPr>
          <w:color w:val="202529"/>
          <w:spacing w:val="-2"/>
        </w:rPr>
        <w:t> </w:t>
      </w:r>
      <w:r>
        <w:rPr>
          <w:color w:val="202529"/>
        </w:rPr>
        <w:t>excess</w:t>
      </w:r>
      <w:r>
        <w:rPr>
          <w:color w:val="202529"/>
          <w:spacing w:val="-2"/>
        </w:rPr>
        <w:t> </w:t>
      </w:r>
      <w:r>
        <w:rPr>
          <w:color w:val="202529"/>
        </w:rPr>
        <w:t>of par value. The master lease with MGP</w:t>
      </w:r>
      <w:r>
        <w:rPr>
          <w:color w:val="202529"/>
          <w:spacing w:val="-3"/>
        </w:rPr>
        <w:t> </w:t>
      </w:r>
      <w:r>
        <w:rPr>
          <w:color w:val="202529"/>
        </w:rPr>
        <w:t>was amended to add MGM Springfield and reflect a $30 million increase in annual cash rent to a total of $873 million. Until final regulatory approvals are obtained, which were not necessary for the transaction to close, the Company and VICI (as the landlord of the property following the</w:t>
      </w:r>
      <w:r>
        <w:rPr>
          <w:color w:val="202529"/>
          <w:spacing w:val="-1"/>
        </w:rPr>
        <w:t> </w:t>
      </w:r>
      <w:r>
        <w:rPr>
          <w:color w:val="202529"/>
        </w:rPr>
        <w:t>VICI</w:t>
      </w:r>
      <w:r>
        <w:rPr>
          <w:color w:val="202529"/>
          <w:spacing w:val="-1"/>
        </w:rPr>
        <w:t> </w:t>
      </w:r>
      <w:r>
        <w:rPr>
          <w:color w:val="202529"/>
        </w:rPr>
        <w:t>Transaction) are subject to a trust agreement, which provides for the property to go into a trust (or, at the Company’s option, be returned to the Company) during the interim period in the event that the regulator finds reasonable cause to believe that VICI may not be found suitable. The property would then remain in trust until a final determination regarding VICI’s suitability is made.</w:t>
      </w:r>
    </w:p>
    <w:p>
      <w:pPr>
        <w:pStyle w:val="BodyText"/>
      </w:pPr>
    </w:p>
    <w:p>
      <w:pPr>
        <w:pStyle w:val="BodyText"/>
        <w:ind w:left="644"/>
        <w:jc w:val="both"/>
      </w:pPr>
      <w:r>
        <w:rPr>
          <w:color w:val="202529"/>
        </w:rPr>
        <w:t>The</w:t>
      </w:r>
      <w:r>
        <w:rPr>
          <w:color w:val="202529"/>
          <w:spacing w:val="36"/>
        </w:rPr>
        <w:t> </w:t>
      </w:r>
      <w:r>
        <w:rPr>
          <w:color w:val="202529"/>
        </w:rPr>
        <w:t>annual</w:t>
      </w:r>
      <w:r>
        <w:rPr>
          <w:color w:val="202529"/>
          <w:spacing w:val="37"/>
        </w:rPr>
        <w:t> </w:t>
      </w:r>
      <w:r>
        <w:rPr>
          <w:color w:val="202529"/>
        </w:rPr>
        <w:t>cash</w:t>
      </w:r>
      <w:r>
        <w:rPr>
          <w:color w:val="202529"/>
          <w:spacing w:val="36"/>
        </w:rPr>
        <w:t> </w:t>
      </w:r>
      <w:r>
        <w:rPr>
          <w:color w:val="202529"/>
        </w:rPr>
        <w:t>rent</w:t>
      </w:r>
      <w:r>
        <w:rPr>
          <w:color w:val="202529"/>
          <w:spacing w:val="37"/>
        </w:rPr>
        <w:t> </w:t>
      </w:r>
      <w:r>
        <w:rPr>
          <w:color w:val="202529"/>
        </w:rPr>
        <w:t>payments</w:t>
      </w:r>
      <w:r>
        <w:rPr>
          <w:color w:val="202529"/>
          <w:spacing w:val="37"/>
        </w:rPr>
        <w:t> </w:t>
      </w:r>
      <w:r>
        <w:rPr>
          <w:color w:val="202529"/>
        </w:rPr>
        <w:t>under</w:t>
      </w:r>
      <w:r>
        <w:rPr>
          <w:color w:val="202529"/>
          <w:spacing w:val="36"/>
        </w:rPr>
        <w:t> </w:t>
      </w:r>
      <w:r>
        <w:rPr>
          <w:color w:val="202529"/>
        </w:rPr>
        <w:t>the</w:t>
      </w:r>
      <w:r>
        <w:rPr>
          <w:color w:val="202529"/>
          <w:spacing w:val="37"/>
        </w:rPr>
        <w:t> </w:t>
      </w:r>
      <w:r>
        <w:rPr>
          <w:color w:val="202529"/>
        </w:rPr>
        <w:t>master</w:t>
      </w:r>
      <w:r>
        <w:rPr>
          <w:color w:val="202529"/>
          <w:spacing w:val="37"/>
        </w:rPr>
        <w:t> </w:t>
      </w:r>
      <w:r>
        <w:rPr>
          <w:color w:val="202529"/>
        </w:rPr>
        <w:t>lease</w:t>
      </w:r>
      <w:r>
        <w:rPr>
          <w:color w:val="202529"/>
          <w:spacing w:val="36"/>
        </w:rPr>
        <w:t> </w:t>
      </w:r>
      <w:r>
        <w:rPr>
          <w:color w:val="202529"/>
        </w:rPr>
        <w:t>with</w:t>
      </w:r>
      <w:r>
        <w:rPr>
          <w:color w:val="202529"/>
          <w:spacing w:val="37"/>
        </w:rPr>
        <w:t> </w:t>
      </w:r>
      <w:r>
        <w:rPr>
          <w:color w:val="202529"/>
        </w:rPr>
        <w:t>MGP</w:t>
      </w:r>
      <w:r>
        <w:rPr>
          <w:color w:val="202529"/>
          <w:spacing w:val="30"/>
        </w:rPr>
        <w:t> </w:t>
      </w:r>
      <w:r>
        <w:rPr>
          <w:color w:val="202529"/>
        </w:rPr>
        <w:t>for</w:t>
      </w:r>
      <w:r>
        <w:rPr>
          <w:color w:val="202529"/>
          <w:spacing w:val="36"/>
        </w:rPr>
        <w:t> </w:t>
      </w:r>
      <w:r>
        <w:rPr>
          <w:color w:val="202529"/>
        </w:rPr>
        <w:t>the</w:t>
      </w:r>
      <w:r>
        <w:rPr>
          <w:color w:val="202529"/>
          <w:spacing w:val="37"/>
        </w:rPr>
        <w:t> </w:t>
      </w:r>
      <w:r>
        <w:rPr>
          <w:color w:val="202529"/>
        </w:rPr>
        <w:t>seventh</w:t>
      </w:r>
      <w:r>
        <w:rPr>
          <w:color w:val="202529"/>
          <w:spacing w:val="37"/>
        </w:rPr>
        <w:t> </w:t>
      </w:r>
      <w:r>
        <w:rPr>
          <w:color w:val="202529"/>
        </w:rPr>
        <w:t>lease</w:t>
      </w:r>
      <w:r>
        <w:rPr>
          <w:color w:val="202529"/>
          <w:spacing w:val="36"/>
        </w:rPr>
        <w:t> </w:t>
      </w:r>
      <w:r>
        <w:rPr>
          <w:color w:val="202529"/>
        </w:rPr>
        <w:t>year,</w:t>
      </w:r>
      <w:r>
        <w:rPr>
          <w:color w:val="202529"/>
          <w:spacing w:val="37"/>
        </w:rPr>
        <w:t> </w:t>
      </w:r>
      <w:r>
        <w:rPr>
          <w:color w:val="202529"/>
        </w:rPr>
        <w:t>which</w:t>
      </w:r>
      <w:r>
        <w:rPr>
          <w:color w:val="202529"/>
          <w:spacing w:val="37"/>
        </w:rPr>
        <w:t> </w:t>
      </w:r>
      <w:r>
        <w:rPr>
          <w:color w:val="202529"/>
        </w:rPr>
        <w:t>commenced</w:t>
      </w:r>
      <w:r>
        <w:rPr>
          <w:color w:val="202529"/>
          <w:spacing w:val="36"/>
        </w:rPr>
        <w:t> </w:t>
      </w:r>
      <w:r>
        <w:rPr>
          <w:color w:val="202529"/>
        </w:rPr>
        <w:t>on</w:t>
      </w:r>
      <w:r>
        <w:rPr>
          <w:color w:val="202529"/>
          <w:spacing w:val="27"/>
        </w:rPr>
        <w:t> </w:t>
      </w:r>
      <w:r>
        <w:rPr>
          <w:color w:val="202529"/>
        </w:rPr>
        <w:t>April</w:t>
      </w:r>
      <w:r>
        <w:rPr>
          <w:color w:val="202529"/>
          <w:spacing w:val="37"/>
        </w:rPr>
        <w:t> </w:t>
      </w:r>
      <w:r>
        <w:rPr>
          <w:color w:val="202529"/>
        </w:rPr>
        <w:t>1,</w:t>
      </w:r>
      <w:r>
        <w:rPr>
          <w:color w:val="202529"/>
          <w:spacing w:val="36"/>
        </w:rPr>
        <w:t> </w:t>
      </w:r>
      <w:r>
        <w:rPr>
          <w:color w:val="202529"/>
        </w:rPr>
        <w:t>2022,</w:t>
      </w:r>
      <w:r>
        <w:rPr>
          <w:color w:val="202529"/>
          <w:spacing w:val="37"/>
        </w:rPr>
        <w:t> </w:t>
      </w:r>
      <w:r>
        <w:rPr>
          <w:color w:val="202529"/>
        </w:rPr>
        <w:t>increased</w:t>
      </w:r>
      <w:r>
        <w:rPr>
          <w:color w:val="202529"/>
          <w:spacing w:val="37"/>
        </w:rPr>
        <w:t> </w:t>
      </w:r>
      <w:r>
        <w:rPr>
          <w:color w:val="202529"/>
          <w:spacing w:val="-5"/>
        </w:rPr>
        <w:t>to</w:t>
      </w:r>
    </w:p>
    <w:p>
      <w:pPr>
        <w:pStyle w:val="BodyText"/>
        <w:spacing w:before="9"/>
        <w:ind w:left="144" w:right="118"/>
        <w:jc w:val="both"/>
      </w:pPr>
      <w:r>
        <w:rPr>
          <w:color w:val="202529"/>
        </w:rPr>
        <w:t>$877 million from $873 million, due to the sixth 2% annual base rent escalator that went into effect on</w:t>
      </w:r>
      <w:r>
        <w:rPr>
          <w:color w:val="202529"/>
          <w:spacing w:val="-4"/>
        </w:rPr>
        <w:t> </w:t>
      </w:r>
      <w:r>
        <w:rPr>
          <w:color w:val="202529"/>
        </w:rPr>
        <w:t>April 1, 2022, as the adjusted net revenue to rent ratio</w:t>
      </w:r>
      <w:r>
        <w:rPr>
          <w:color w:val="202529"/>
          <w:spacing w:val="40"/>
        </w:rPr>
        <w:t> </w:t>
      </w:r>
      <w:r>
        <w:rPr>
          <w:color w:val="202529"/>
        </w:rPr>
        <w:t>on which such escalator was contingent was met, which increased annual cash rent by $16 million, partially offset by the percentage rent reset that went </w:t>
      </w:r>
      <w:r>
        <w:rPr>
          <w:color w:val="202529"/>
        </w:rPr>
        <w:t>into effect on</w:t>
      </w:r>
      <w:r>
        <w:rPr>
          <w:color w:val="202529"/>
          <w:spacing w:val="-7"/>
        </w:rPr>
        <w:t> </w:t>
      </w:r>
      <w:r>
        <w:rPr>
          <w:color w:val="202529"/>
        </w:rPr>
        <w:t>April 1, 2022, calculated based on the percentage of average actual annual net revenue of the leased properties during the preceding five year period, which decreased annual cash rent by $12 million.</w:t>
      </w:r>
    </w:p>
    <w:p>
      <w:pPr>
        <w:pStyle w:val="BodyText"/>
        <w:spacing w:before="4"/>
      </w:pPr>
    </w:p>
    <w:p>
      <w:pPr>
        <w:pStyle w:val="BodyText"/>
        <w:spacing w:line="249" w:lineRule="auto" w:before="1"/>
        <w:ind w:left="144" w:right="117" w:firstLine="499"/>
        <w:jc w:val="both"/>
      </w:pPr>
      <w:r>
        <w:rPr>
          <w:color w:val="202529"/>
        </w:rPr>
        <w:t>In</w:t>
      </w:r>
      <w:r>
        <w:rPr>
          <w:color w:val="202529"/>
          <w:spacing w:val="-12"/>
        </w:rPr>
        <w:t> </w:t>
      </w:r>
      <w:r>
        <w:rPr>
          <w:color w:val="202529"/>
        </w:rPr>
        <w:t>April</w:t>
      </w:r>
      <w:r>
        <w:rPr>
          <w:color w:val="202529"/>
          <w:spacing w:val="-4"/>
        </w:rPr>
        <w:t> </w:t>
      </w:r>
      <w:r>
        <w:rPr>
          <w:color w:val="202529"/>
        </w:rPr>
        <w:t>2022,</w:t>
      </w:r>
      <w:r>
        <w:rPr>
          <w:color w:val="202529"/>
          <w:spacing w:val="-3"/>
        </w:rPr>
        <w:t> </w:t>
      </w:r>
      <w:r>
        <w:rPr>
          <w:color w:val="202529"/>
        </w:rPr>
        <w:t>the</w:t>
      </w:r>
      <w:r>
        <w:rPr>
          <w:color w:val="202529"/>
          <w:spacing w:val="-3"/>
        </w:rPr>
        <w:t> </w:t>
      </w:r>
      <w:r>
        <w:rPr>
          <w:color w:val="202529"/>
        </w:rPr>
        <w:t>Company</w:t>
      </w:r>
      <w:r>
        <w:rPr>
          <w:color w:val="202529"/>
          <w:spacing w:val="-3"/>
        </w:rPr>
        <w:t> </w:t>
      </w:r>
      <w:r>
        <w:rPr>
          <w:color w:val="202529"/>
        </w:rPr>
        <w:t>completed</w:t>
      </w:r>
      <w:r>
        <w:rPr>
          <w:color w:val="202529"/>
          <w:spacing w:val="-3"/>
        </w:rPr>
        <w:t> </w:t>
      </w:r>
      <w:r>
        <w:rPr>
          <w:color w:val="202529"/>
        </w:rPr>
        <w:t>the</w:t>
      </w:r>
      <w:r>
        <w:rPr>
          <w:color w:val="202529"/>
          <w:spacing w:val="-7"/>
        </w:rPr>
        <w:t> </w:t>
      </w:r>
      <w:r>
        <w:rPr>
          <w:color w:val="202529"/>
        </w:rPr>
        <w:t>VICI</w:t>
      </w:r>
      <w:r>
        <w:rPr>
          <w:color w:val="202529"/>
          <w:spacing w:val="-7"/>
        </w:rPr>
        <w:t> </w:t>
      </w:r>
      <w:r>
        <w:rPr>
          <w:color w:val="202529"/>
        </w:rPr>
        <w:t>Transaction,</w:t>
      </w:r>
      <w:r>
        <w:rPr>
          <w:color w:val="202529"/>
          <w:spacing w:val="-3"/>
        </w:rPr>
        <w:t> </w:t>
      </w:r>
      <w:r>
        <w:rPr>
          <w:color w:val="202529"/>
        </w:rPr>
        <w:t>which</w:t>
      </w:r>
      <w:r>
        <w:rPr>
          <w:color w:val="202529"/>
          <w:spacing w:val="-3"/>
        </w:rPr>
        <w:t> </w:t>
      </w:r>
      <w:r>
        <w:rPr>
          <w:color w:val="202529"/>
        </w:rPr>
        <w:t>resulted</w:t>
      </w:r>
      <w:r>
        <w:rPr>
          <w:color w:val="202529"/>
          <w:spacing w:val="-3"/>
        </w:rPr>
        <w:t> </w:t>
      </w:r>
      <w:r>
        <w:rPr>
          <w:color w:val="202529"/>
        </w:rPr>
        <w:t>in</w:t>
      </w:r>
      <w:r>
        <w:rPr>
          <w:color w:val="202529"/>
          <w:spacing w:val="-3"/>
        </w:rPr>
        <w:t> </w:t>
      </w:r>
      <w:r>
        <w:rPr>
          <w:color w:val="202529"/>
        </w:rPr>
        <w:t>the</w:t>
      </w:r>
      <w:r>
        <w:rPr>
          <w:color w:val="202529"/>
          <w:spacing w:val="-3"/>
        </w:rPr>
        <w:t> </w:t>
      </w:r>
      <w:r>
        <w:rPr>
          <w:color w:val="202529"/>
        </w:rPr>
        <w:t>deconsolidation</w:t>
      </w:r>
      <w:r>
        <w:rPr>
          <w:color w:val="202529"/>
          <w:spacing w:val="-3"/>
        </w:rPr>
        <w:t> </w:t>
      </w:r>
      <w:r>
        <w:rPr>
          <w:color w:val="202529"/>
        </w:rPr>
        <w:t>of</w:t>
      </w:r>
      <w:r>
        <w:rPr>
          <w:color w:val="202529"/>
          <w:spacing w:val="-3"/>
        </w:rPr>
        <w:t> </w:t>
      </w:r>
      <w:r>
        <w:rPr/>
        <w:t>MGP,</w:t>
      </w:r>
      <w:r>
        <w:rPr>
          <w:spacing w:val="-3"/>
        </w:rPr>
        <w:t> </w:t>
      </w:r>
      <w:r>
        <w:rPr/>
        <w:t>including</w:t>
      </w:r>
      <w:r>
        <w:rPr>
          <w:spacing w:val="-3"/>
        </w:rPr>
        <w:t> </w:t>
      </w:r>
      <w:r>
        <w:rPr/>
        <w:t>its</w:t>
      </w:r>
      <w:r>
        <w:rPr>
          <w:spacing w:val="-3"/>
        </w:rPr>
        <w:t> </w:t>
      </w:r>
      <w:r>
        <w:rPr/>
        <w:t>investment</w:t>
      </w:r>
      <w:r>
        <w:rPr>
          <w:spacing w:val="-3"/>
        </w:rPr>
        <w:t> </w:t>
      </w:r>
      <w:r>
        <w:rPr/>
        <w:t>in</w:t>
      </w:r>
      <w:r>
        <w:rPr>
          <w:spacing w:val="-3"/>
        </w:rPr>
        <w:t> </w:t>
      </w:r>
      <w:r>
        <w:rPr/>
        <w:t>the</w:t>
      </w:r>
      <w:r>
        <w:rPr>
          <w:spacing w:val="-7"/>
        </w:rPr>
        <w:t> </w:t>
      </w:r>
      <w:r>
        <w:rPr/>
        <w:t>VICI</w:t>
      </w:r>
      <w:r>
        <w:rPr>
          <w:spacing w:val="-3"/>
        </w:rPr>
        <w:t> </w:t>
      </w:r>
      <w:r>
        <w:rPr/>
        <w:t>BREIT Venture. Refer to Note 4 for additional information on the VICI Transaction. </w:t>
      </w:r>
      <w:r>
        <w:rPr>
          <w:color w:val="202529"/>
        </w:rPr>
        <w:t>As part of the transaction, the Company entered into an amended and restated master lease with VICI. Refer to Note 11 for further discussion on the master lease with VICI.</w:t>
      </w:r>
    </w:p>
    <w:p>
      <w:pPr>
        <w:pStyle w:val="BodyText"/>
        <w:spacing w:before="14"/>
      </w:pPr>
    </w:p>
    <w:p>
      <w:pPr>
        <w:pStyle w:val="BodyText"/>
        <w:spacing w:line="235" w:lineRule="auto"/>
        <w:ind w:left="144" w:right="118" w:firstLine="499"/>
        <w:jc w:val="both"/>
      </w:pPr>
      <w:r>
        <w:rPr/>
        <w:t>All intercompany transactions, including transactions under the master lease with MGP, have been eliminated in the Company’s consolidation of </w:t>
      </w:r>
      <w:r>
        <w:rPr/>
        <w:t>MGP. The public ownership of MGP’s Class</w:t>
      </w:r>
      <w:r>
        <w:rPr>
          <w:spacing w:val="-4"/>
        </w:rPr>
        <w:t> </w:t>
      </w:r>
      <w:r>
        <w:rPr/>
        <w:t>A</w:t>
      </w:r>
      <w:r>
        <w:rPr>
          <w:spacing w:val="-4"/>
        </w:rPr>
        <w:t> </w:t>
      </w:r>
      <w:r>
        <w:rPr/>
        <w:t>shares was recognized as noncontrolling interests in the Company’s consolidated financial statements.</w:t>
      </w:r>
    </w:p>
    <w:p>
      <w:pPr>
        <w:pStyle w:val="BodyText"/>
        <w:spacing w:before="18"/>
      </w:pPr>
    </w:p>
    <w:p>
      <w:pPr>
        <w:spacing w:before="1"/>
        <w:ind w:left="419" w:right="0" w:firstLine="0"/>
        <w:jc w:val="left"/>
        <w:rPr>
          <w:i/>
          <w:sz w:val="18"/>
        </w:rPr>
      </w:pPr>
      <w:r>
        <w:rPr>
          <w:i/>
          <w:sz w:val="18"/>
        </w:rPr>
        <w:t>Bellagio</w:t>
      </w:r>
      <w:r>
        <w:rPr>
          <w:i/>
          <w:spacing w:val="-1"/>
          <w:sz w:val="18"/>
        </w:rPr>
        <w:t> </w:t>
      </w:r>
      <w:r>
        <w:rPr>
          <w:i/>
          <w:sz w:val="18"/>
        </w:rPr>
        <w:t>BREIT</w:t>
      </w:r>
      <w:r>
        <w:rPr>
          <w:i/>
          <w:spacing w:val="-4"/>
          <w:sz w:val="18"/>
        </w:rPr>
        <w:t> </w:t>
      </w:r>
      <w:r>
        <w:rPr>
          <w:i/>
          <w:spacing w:val="-2"/>
          <w:sz w:val="18"/>
        </w:rPr>
        <w:t>Venture</w:t>
      </w:r>
    </w:p>
    <w:p>
      <w:pPr>
        <w:pStyle w:val="BodyText"/>
        <w:spacing w:before="7"/>
        <w:rPr>
          <w:i/>
        </w:rPr>
      </w:pPr>
    </w:p>
    <w:p>
      <w:pPr>
        <w:pStyle w:val="BodyText"/>
        <w:spacing w:line="235" w:lineRule="auto" w:before="1"/>
        <w:ind w:left="144" w:right="118" w:firstLine="499"/>
        <w:jc w:val="both"/>
      </w:pPr>
      <w:r>
        <w:rPr/>
        <w:t>The Company has a </w:t>
      </w:r>
      <w:r>
        <w:rPr>
          <w:color w:val="202529"/>
        </w:rPr>
        <w:t>5% </w:t>
      </w:r>
      <w:r>
        <w:rPr/>
        <w:t>ownership interest in Bellagio BREIT Venture, which owns the real estate assets of Bellagio and leases such assets to a subsidiary of the Company pursuant to a lease agreement. Refer to Note 11 for further information related to the Bellagio lease.</w:t>
      </w:r>
    </w:p>
    <w:p>
      <w:pPr>
        <w:pStyle w:val="BodyText"/>
      </w:pPr>
    </w:p>
    <w:p>
      <w:pPr>
        <w:pStyle w:val="BodyText"/>
      </w:pPr>
    </w:p>
    <w:p>
      <w:pPr>
        <w:pStyle w:val="BodyText"/>
      </w:pPr>
    </w:p>
    <w:p>
      <w:pPr>
        <w:pStyle w:val="BodyText"/>
      </w:pPr>
    </w:p>
    <w:p>
      <w:pPr>
        <w:pStyle w:val="BodyText"/>
      </w:pPr>
    </w:p>
    <w:p>
      <w:pPr>
        <w:pStyle w:val="BodyText"/>
      </w:pPr>
    </w:p>
    <w:p>
      <w:pPr>
        <w:pStyle w:val="BodyText"/>
        <w:spacing w:before="18"/>
      </w:pPr>
    </w:p>
    <w:p>
      <w:pPr>
        <w:pStyle w:val="BodyText"/>
        <w:ind w:left="24"/>
        <w:jc w:val="center"/>
      </w:pPr>
      <w:r>
        <w:rPr>
          <w:spacing w:val="-5"/>
        </w:rPr>
        <w:t>99</w:t>
      </w:r>
    </w:p>
    <w:p>
      <w:pPr>
        <w:pStyle w:val="BodyText"/>
        <w:spacing w:before="3"/>
        <w:rPr>
          <w:sz w:val="6"/>
        </w:rPr>
      </w:pPr>
      <w:r>
        <w:rPr/>
        <mc:AlternateContent>
          <mc:Choice Requires="wps">
            <w:drawing>
              <wp:anchor distT="0" distB="0" distL="0" distR="0" allowOverlap="1" layoutInCell="1" locked="0" behindDoc="1" simplePos="0" relativeHeight="487728128">
                <wp:simplePos x="0" y="0"/>
                <wp:positionH relativeFrom="page">
                  <wp:posOffset>231457</wp:posOffset>
                </wp:positionH>
                <wp:positionV relativeFrom="paragraph">
                  <wp:posOffset>60956</wp:posOffset>
                </wp:positionV>
                <wp:extent cx="7312659" cy="17145"/>
                <wp:effectExtent l="0" t="0" r="0" b="0"/>
                <wp:wrapTopAndBottom/>
                <wp:docPr id="688" name="Group 688"/>
                <wp:cNvGraphicFramePr>
                  <a:graphicFrameLocks/>
                </wp:cNvGraphicFramePr>
                <a:graphic>
                  <a:graphicData uri="http://schemas.microsoft.com/office/word/2010/wordprocessingGroup">
                    <wpg:wgp>
                      <wpg:cNvPr id="688" name="Group 688"/>
                      <wpg:cNvGrpSpPr/>
                      <wpg:grpSpPr>
                        <a:xfrm>
                          <a:off x="0" y="0"/>
                          <a:ext cx="7312659" cy="17145"/>
                          <a:chExt cx="7312659" cy="17145"/>
                        </a:xfrm>
                      </wpg:grpSpPr>
                      <wps:wsp>
                        <wps:cNvPr id="689" name="Graphic 68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90" name="Graphic 690"/>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91" name="Graphic 69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88352;mso-wrap-distance-left:0;mso-wrap-distance-right:0" id="docshapegroup686" coordorigin="364,96" coordsize="11516,27">
                <v:rect style="position:absolute;left:364;top:96;width:11516;height:14" id="docshape687" filled="true" fillcolor="#999999" stroked="false">
                  <v:fill type="solid"/>
                </v:rect>
                <v:shape style="position:absolute;left:364;top:95;width:11516;height:27" id="docshape688" coordorigin="364,96" coordsize="11516,27" path="m11880,96l11866,109,364,109,364,123,11866,123,11880,123,11880,109,11880,96xe" filled="true" fillcolor="#ededed" stroked="false">
                  <v:path arrowok="t"/>
                  <v:fill type="solid"/>
                </v:shape>
                <v:shape style="position:absolute;left:364;top:96;width:14;height:27" id="docshape68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4"/>
        <w:spacing w:before="79"/>
      </w:pPr>
      <w:bookmarkStart w:name="_bookmark19" w:id="20"/>
      <w:bookmarkEnd w:id="20"/>
      <w:r>
        <w:rPr>
          <w:b w:val="0"/>
        </w:rPr>
      </w:r>
      <w:r>
        <w:rPr/>
        <w:t>ITEM</w:t>
      </w:r>
      <w:r>
        <w:rPr>
          <w:spacing w:val="-2"/>
        </w:rPr>
        <w:t> </w:t>
      </w:r>
      <w:r>
        <w:rPr/>
        <w:t>9.</w:t>
      </w:r>
      <w:r>
        <w:rPr>
          <w:spacing w:val="42"/>
        </w:rPr>
        <w:t>  </w:t>
      </w:r>
      <w:r>
        <w:rPr/>
        <w:t>CHANGES</w:t>
      </w:r>
      <w:r>
        <w:rPr>
          <w:spacing w:val="-2"/>
        </w:rPr>
        <w:t> </w:t>
      </w:r>
      <w:r>
        <w:rPr/>
        <w:t>IN</w:t>
      </w:r>
      <w:r>
        <w:rPr>
          <w:spacing w:val="-10"/>
        </w:rPr>
        <w:t> </w:t>
      </w:r>
      <w:r>
        <w:rPr/>
        <w:t>AND</w:t>
      </w:r>
      <w:r>
        <w:rPr>
          <w:spacing w:val="-2"/>
        </w:rPr>
        <w:t> </w:t>
      </w:r>
      <w:r>
        <w:rPr/>
        <w:t>DISAGREEMENTS</w:t>
      </w:r>
      <w:r>
        <w:rPr>
          <w:spacing w:val="-5"/>
        </w:rPr>
        <w:t> </w:t>
      </w:r>
      <w:r>
        <w:rPr/>
        <w:t>WITH</w:t>
      </w:r>
      <w:r>
        <w:rPr>
          <w:spacing w:val="-11"/>
        </w:rPr>
        <w:t> </w:t>
      </w:r>
      <w:r>
        <w:rPr/>
        <w:t>ACCOUNTANTS</w:t>
      </w:r>
      <w:r>
        <w:rPr>
          <w:spacing w:val="-2"/>
        </w:rPr>
        <w:t> </w:t>
      </w:r>
      <w:r>
        <w:rPr/>
        <w:t>ON</w:t>
      </w:r>
      <w:r>
        <w:rPr>
          <w:spacing w:val="-11"/>
        </w:rPr>
        <w:t> </w:t>
      </w:r>
      <w:r>
        <w:rPr/>
        <w:t>ACCOUNTING</w:t>
      </w:r>
      <w:r>
        <w:rPr>
          <w:spacing w:val="-11"/>
        </w:rPr>
        <w:t> </w:t>
      </w:r>
      <w:r>
        <w:rPr/>
        <w:t>AND</w:t>
      </w:r>
      <w:r>
        <w:rPr>
          <w:spacing w:val="-2"/>
        </w:rPr>
        <w:t> </w:t>
      </w:r>
      <w:r>
        <w:rPr/>
        <w:t>FINANCIAL</w:t>
      </w:r>
      <w:r>
        <w:rPr>
          <w:spacing w:val="-10"/>
        </w:rPr>
        <w:t> </w:t>
      </w:r>
      <w:r>
        <w:rPr>
          <w:spacing w:val="-2"/>
        </w:rPr>
        <w:t>DISCLOSURE</w:t>
      </w:r>
    </w:p>
    <w:p>
      <w:pPr>
        <w:pStyle w:val="BodyText"/>
        <w:spacing w:before="4"/>
        <w:rPr>
          <w:b/>
        </w:rPr>
      </w:pPr>
    </w:p>
    <w:p>
      <w:pPr>
        <w:pStyle w:val="BodyText"/>
        <w:ind w:left="644"/>
      </w:pPr>
      <w:r>
        <w:rPr>
          <w:spacing w:val="-2"/>
        </w:rPr>
        <w:t>None.</w:t>
      </w:r>
    </w:p>
    <w:p>
      <w:pPr>
        <w:pStyle w:val="BodyText"/>
        <w:spacing w:before="18"/>
      </w:pPr>
    </w:p>
    <w:p>
      <w:pPr>
        <w:pStyle w:val="Heading4"/>
      </w:pPr>
      <w:bookmarkStart w:name="_bookmark20" w:id="21"/>
      <w:bookmarkEnd w:id="21"/>
      <w:r>
        <w:rPr>
          <w:b w:val="0"/>
        </w:rPr>
      </w:r>
      <w:r>
        <w:rPr/>
        <w:t>ITEM</w:t>
      </w:r>
      <w:r>
        <w:rPr>
          <w:spacing w:val="-1"/>
        </w:rPr>
        <w:t> </w:t>
      </w:r>
      <w:r>
        <w:rPr/>
        <w:t>9A.</w:t>
      </w:r>
      <w:r>
        <w:rPr>
          <w:spacing w:val="44"/>
        </w:rPr>
        <w:t>  </w:t>
      </w:r>
      <w:r>
        <w:rPr/>
        <w:t>CONTROLS</w:t>
      </w:r>
      <w:r>
        <w:rPr>
          <w:spacing w:val="-9"/>
        </w:rPr>
        <w:t> </w:t>
      </w:r>
      <w:r>
        <w:rPr/>
        <w:t>AND</w:t>
      </w:r>
      <w:r>
        <w:rPr>
          <w:spacing w:val="-1"/>
        </w:rPr>
        <w:t> </w:t>
      </w:r>
      <w:r>
        <w:rPr>
          <w:spacing w:val="-2"/>
        </w:rPr>
        <w:t>PROCEDURES</w:t>
      </w:r>
    </w:p>
    <w:p>
      <w:pPr>
        <w:pStyle w:val="BodyText"/>
        <w:spacing w:before="5"/>
        <w:rPr>
          <w:b/>
        </w:rPr>
      </w:pPr>
    </w:p>
    <w:p>
      <w:pPr>
        <w:pStyle w:val="Heading5"/>
        <w:jc w:val="left"/>
      </w:pPr>
      <w:r>
        <w:rPr/>
        <w:t>Disclosure</w:t>
      </w:r>
      <w:r>
        <w:rPr>
          <w:spacing w:val="-4"/>
        </w:rPr>
        <w:t> </w:t>
      </w:r>
      <w:r>
        <w:rPr/>
        <w:t>Controls</w:t>
      </w:r>
      <w:r>
        <w:rPr>
          <w:spacing w:val="-4"/>
        </w:rPr>
        <w:t> </w:t>
      </w:r>
      <w:r>
        <w:rPr/>
        <w:t>and</w:t>
      </w:r>
      <w:r>
        <w:rPr>
          <w:spacing w:val="-3"/>
        </w:rPr>
        <w:t> </w:t>
      </w:r>
      <w:r>
        <w:rPr>
          <w:spacing w:val="-2"/>
        </w:rPr>
        <w:t>Procedures</w:t>
      </w:r>
    </w:p>
    <w:p>
      <w:pPr>
        <w:pStyle w:val="BodyText"/>
        <w:spacing w:before="4"/>
        <w:rPr>
          <w:b/>
        </w:rPr>
      </w:pPr>
    </w:p>
    <w:p>
      <w:pPr>
        <w:pStyle w:val="BodyText"/>
        <w:ind w:left="144" w:right="118" w:firstLine="499"/>
        <w:jc w:val="both"/>
      </w:pPr>
      <w:r>
        <w:rPr/>
        <w:t>Our Chief Executive Officer (principal executive officer) and Chief Financial Officer (principal financial officer) have concluded that our disclosure controls and procedures (as defined in Rules 13a-15(e) and 15d-15(e) under the Securities Exchange Act of 1934, as amended (“the Exchange Act”)) were effective as of December 31, 2022 to provide reasonable assurance that information required to be disclosed in the Company’s reports under the Exchange</w:t>
      </w:r>
      <w:r>
        <w:rPr>
          <w:spacing w:val="-8"/>
        </w:rPr>
        <w:t> </w:t>
      </w:r>
      <w:r>
        <w:rPr/>
        <w:t>Act is recorded, processed, summarized and reported within the time periods specified in the SEC rules and regulations and to provide that such information </w:t>
      </w:r>
      <w:r>
        <w:rPr/>
        <w:t>is accumulated and communicated to management to allow timely decisions regarding required disclosures.</w:t>
      </w:r>
      <w:r>
        <w:rPr>
          <w:spacing w:val="-3"/>
        </w:rPr>
        <w:t> </w:t>
      </w:r>
      <w:r>
        <w:rPr/>
        <w:t>This conclusion is based on an evaluation as required by Rules 13a-15(b) and 15d-15(b) under the Exchange Act conducted under the supervision and participation of the principal executive officer and principal financial officer along with company management.</w:t>
      </w:r>
    </w:p>
    <w:p>
      <w:pPr>
        <w:pStyle w:val="BodyText"/>
        <w:spacing w:before="5"/>
      </w:pPr>
    </w:p>
    <w:p>
      <w:pPr>
        <w:pStyle w:val="Heading5"/>
        <w:jc w:val="left"/>
      </w:pPr>
      <w:r>
        <w:rPr/>
        <w:t>Changes</w:t>
      </w:r>
      <w:r>
        <w:rPr>
          <w:spacing w:val="-2"/>
        </w:rPr>
        <w:t> </w:t>
      </w:r>
      <w:r>
        <w:rPr/>
        <w:t>in</w:t>
      </w:r>
      <w:r>
        <w:rPr>
          <w:spacing w:val="-2"/>
        </w:rPr>
        <w:t> </w:t>
      </w:r>
      <w:r>
        <w:rPr/>
        <w:t>Internal</w:t>
      </w:r>
      <w:r>
        <w:rPr>
          <w:spacing w:val="-2"/>
        </w:rPr>
        <w:t> </w:t>
      </w:r>
      <w:r>
        <w:rPr/>
        <w:t>Control</w:t>
      </w:r>
      <w:r>
        <w:rPr>
          <w:spacing w:val="-1"/>
        </w:rPr>
        <w:t> </w:t>
      </w:r>
      <w:r>
        <w:rPr/>
        <w:t>over</w:t>
      </w:r>
      <w:r>
        <w:rPr>
          <w:spacing w:val="-5"/>
        </w:rPr>
        <w:t> </w:t>
      </w:r>
      <w:r>
        <w:rPr/>
        <w:t>Financial</w:t>
      </w:r>
      <w:r>
        <w:rPr>
          <w:spacing w:val="-1"/>
        </w:rPr>
        <w:t> </w:t>
      </w:r>
      <w:r>
        <w:rPr>
          <w:spacing w:val="-2"/>
        </w:rPr>
        <w:t>Reporting</w:t>
      </w:r>
    </w:p>
    <w:p>
      <w:pPr>
        <w:pStyle w:val="BodyText"/>
        <w:spacing w:before="8"/>
        <w:rPr>
          <w:b/>
        </w:rPr>
      </w:pPr>
    </w:p>
    <w:p>
      <w:pPr>
        <w:pStyle w:val="BodyText"/>
        <w:spacing w:line="235" w:lineRule="auto"/>
        <w:ind w:left="144" w:right="118" w:firstLine="499"/>
        <w:jc w:val="both"/>
      </w:pPr>
      <w:r>
        <w:rPr/>
        <w:t>During the quarter ended December 31, 2022, there were no changes in our internal control over financial reporting that materially affected, or are reasonably likely to materially affect, our internal control over financial reporting.</w:t>
      </w:r>
    </w:p>
    <w:p>
      <w:pPr>
        <w:pStyle w:val="BodyText"/>
        <w:spacing w:before="18"/>
      </w:pPr>
    </w:p>
    <w:p>
      <w:pPr>
        <w:pStyle w:val="Heading5"/>
        <w:jc w:val="left"/>
      </w:pPr>
      <w:r>
        <w:rPr/>
        <w:t>Management’s</w:t>
      </w:r>
      <w:r>
        <w:rPr>
          <w:spacing w:val="-12"/>
        </w:rPr>
        <w:t> </w:t>
      </w:r>
      <w:r>
        <w:rPr/>
        <w:t>Annual</w:t>
      </w:r>
      <w:r>
        <w:rPr>
          <w:spacing w:val="-2"/>
        </w:rPr>
        <w:t> </w:t>
      </w:r>
      <w:r>
        <w:rPr/>
        <w:t>Report</w:t>
      </w:r>
      <w:r>
        <w:rPr>
          <w:spacing w:val="-2"/>
        </w:rPr>
        <w:t> </w:t>
      </w:r>
      <w:r>
        <w:rPr/>
        <w:t>on</w:t>
      </w:r>
      <w:r>
        <w:rPr>
          <w:spacing w:val="-3"/>
        </w:rPr>
        <w:t> </w:t>
      </w:r>
      <w:r>
        <w:rPr/>
        <w:t>Internal</w:t>
      </w:r>
      <w:r>
        <w:rPr>
          <w:spacing w:val="-2"/>
        </w:rPr>
        <w:t> </w:t>
      </w:r>
      <w:r>
        <w:rPr/>
        <w:t>Control</w:t>
      </w:r>
      <w:r>
        <w:rPr>
          <w:spacing w:val="-3"/>
        </w:rPr>
        <w:t> </w:t>
      </w:r>
      <w:r>
        <w:rPr/>
        <w:t>over</w:t>
      </w:r>
      <w:r>
        <w:rPr>
          <w:spacing w:val="-5"/>
        </w:rPr>
        <w:t> </w:t>
      </w:r>
      <w:r>
        <w:rPr/>
        <w:t>Financial</w:t>
      </w:r>
      <w:r>
        <w:rPr>
          <w:spacing w:val="-2"/>
        </w:rPr>
        <w:t> Reporting</w:t>
      </w:r>
    </w:p>
    <w:p>
      <w:pPr>
        <w:pStyle w:val="BodyText"/>
        <w:spacing w:before="5"/>
        <w:rPr>
          <w:b/>
        </w:rPr>
      </w:pPr>
    </w:p>
    <w:p>
      <w:pPr>
        <w:spacing w:before="0"/>
        <w:ind w:left="394" w:right="0" w:firstLine="0"/>
        <w:jc w:val="left"/>
        <w:rPr>
          <w:i/>
          <w:sz w:val="18"/>
        </w:rPr>
      </w:pPr>
      <w:r>
        <w:rPr>
          <w:i/>
          <w:spacing w:val="-2"/>
          <w:sz w:val="18"/>
        </w:rPr>
        <w:t>Management’s</w:t>
      </w:r>
      <w:r>
        <w:rPr>
          <w:i/>
          <w:spacing w:val="-1"/>
          <w:sz w:val="18"/>
        </w:rPr>
        <w:t> </w:t>
      </w:r>
      <w:r>
        <w:rPr>
          <w:i/>
          <w:spacing w:val="-2"/>
          <w:sz w:val="18"/>
        </w:rPr>
        <w:t>Responsibilities</w:t>
      </w:r>
    </w:p>
    <w:p>
      <w:pPr>
        <w:pStyle w:val="BodyText"/>
        <w:spacing w:before="4"/>
        <w:rPr>
          <w:i/>
        </w:rPr>
      </w:pPr>
    </w:p>
    <w:p>
      <w:pPr>
        <w:pStyle w:val="BodyText"/>
        <w:spacing w:line="249" w:lineRule="auto"/>
        <w:ind w:left="144" w:right="118" w:firstLine="499"/>
        <w:jc w:val="both"/>
      </w:pPr>
      <w:r>
        <w:rPr/>
        <w:t>Management</w:t>
      </w:r>
      <w:r>
        <w:rPr>
          <w:spacing w:val="-2"/>
        </w:rPr>
        <w:t> </w:t>
      </w:r>
      <w:r>
        <w:rPr/>
        <w:t>is</w:t>
      </w:r>
      <w:r>
        <w:rPr>
          <w:spacing w:val="-2"/>
        </w:rPr>
        <w:t> </w:t>
      </w:r>
      <w:r>
        <w:rPr/>
        <w:t>responsible</w:t>
      </w:r>
      <w:r>
        <w:rPr>
          <w:spacing w:val="-2"/>
        </w:rPr>
        <w:t> </w:t>
      </w:r>
      <w:r>
        <w:rPr/>
        <w:t>for</w:t>
      </w:r>
      <w:r>
        <w:rPr>
          <w:spacing w:val="-2"/>
        </w:rPr>
        <w:t> </w:t>
      </w:r>
      <w:r>
        <w:rPr/>
        <w:t>establishing</w:t>
      </w:r>
      <w:r>
        <w:rPr>
          <w:spacing w:val="-2"/>
        </w:rPr>
        <w:t> </w:t>
      </w:r>
      <w:r>
        <w:rPr/>
        <w:t>and</w:t>
      </w:r>
      <w:r>
        <w:rPr>
          <w:spacing w:val="-2"/>
        </w:rPr>
        <w:t> </w:t>
      </w:r>
      <w:r>
        <w:rPr/>
        <w:t>maintaining</w:t>
      </w:r>
      <w:r>
        <w:rPr>
          <w:spacing w:val="-2"/>
        </w:rPr>
        <w:t> </w:t>
      </w:r>
      <w:r>
        <w:rPr/>
        <w:t>adequate</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(as</w:t>
      </w:r>
      <w:r>
        <w:rPr>
          <w:spacing w:val="-2"/>
        </w:rPr>
        <w:t> </w:t>
      </w:r>
      <w:r>
        <w:rPr/>
        <w:t>defined</w:t>
      </w:r>
      <w:r>
        <w:rPr>
          <w:spacing w:val="-2"/>
        </w:rPr>
        <w:t> </w:t>
      </w:r>
      <w:r>
        <w:rPr/>
        <w:t>in</w:t>
      </w:r>
      <w:r>
        <w:rPr>
          <w:spacing w:val="-2"/>
        </w:rPr>
        <w:t> </w:t>
      </w:r>
      <w:r>
        <w:rPr/>
        <w:t>Sections</w:t>
      </w:r>
      <w:r>
        <w:rPr>
          <w:spacing w:val="-2"/>
        </w:rPr>
        <w:t> </w:t>
      </w:r>
      <w:r>
        <w:rPr/>
        <w:t>13a-15(f)</w:t>
      </w:r>
      <w:r>
        <w:rPr>
          <w:spacing w:val="-2"/>
        </w:rPr>
        <w:t> </w:t>
      </w:r>
      <w:r>
        <w:rPr/>
        <w:t>and</w:t>
      </w:r>
      <w:r>
        <w:rPr>
          <w:spacing w:val="-2"/>
        </w:rPr>
        <w:t> </w:t>
      </w:r>
      <w:r>
        <w:rPr/>
        <w:t>15d- 15(f) of the Exchange Act) for MGM Resorts International and subsidiaries (the “Company”).</w:t>
      </w:r>
    </w:p>
    <w:p>
      <w:pPr>
        <w:spacing w:before="204"/>
        <w:ind w:left="394" w:right="0" w:firstLine="0"/>
        <w:jc w:val="left"/>
        <w:rPr>
          <w:i/>
          <w:sz w:val="18"/>
        </w:rPr>
      </w:pPr>
      <w:r>
        <w:rPr>
          <w:i/>
          <w:sz w:val="18"/>
        </w:rPr>
        <w:t>Objective</w:t>
      </w:r>
      <w:r>
        <w:rPr>
          <w:i/>
          <w:spacing w:val="-3"/>
          <w:sz w:val="18"/>
        </w:rPr>
        <w:t> </w:t>
      </w:r>
      <w:r>
        <w:rPr>
          <w:i/>
          <w:sz w:val="18"/>
        </w:rPr>
        <w:t>of</w:t>
      </w:r>
      <w:r>
        <w:rPr>
          <w:i/>
          <w:spacing w:val="-2"/>
          <w:sz w:val="18"/>
        </w:rPr>
        <w:t> </w:t>
      </w:r>
      <w:r>
        <w:rPr>
          <w:i/>
          <w:sz w:val="18"/>
        </w:rPr>
        <w:t>Internal</w:t>
      </w:r>
      <w:r>
        <w:rPr>
          <w:i/>
          <w:spacing w:val="-2"/>
          <w:sz w:val="18"/>
        </w:rPr>
        <w:t> </w:t>
      </w:r>
      <w:r>
        <w:rPr>
          <w:i/>
          <w:sz w:val="18"/>
        </w:rPr>
        <w:t>Control</w:t>
      </w:r>
      <w:r>
        <w:rPr>
          <w:i/>
          <w:spacing w:val="-2"/>
          <w:sz w:val="18"/>
        </w:rPr>
        <w:t> </w:t>
      </w:r>
      <w:r>
        <w:rPr>
          <w:i/>
          <w:sz w:val="18"/>
        </w:rPr>
        <w:t>over</w:t>
      </w:r>
      <w:r>
        <w:rPr>
          <w:i/>
          <w:spacing w:val="-2"/>
          <w:sz w:val="18"/>
        </w:rPr>
        <w:t> </w:t>
      </w:r>
      <w:r>
        <w:rPr>
          <w:i/>
          <w:sz w:val="18"/>
        </w:rPr>
        <w:t>Financial</w:t>
      </w:r>
      <w:r>
        <w:rPr>
          <w:i/>
          <w:spacing w:val="-2"/>
          <w:sz w:val="18"/>
        </w:rPr>
        <w:t> Reporting</w:t>
      </w:r>
    </w:p>
    <w:p>
      <w:pPr>
        <w:pStyle w:val="BodyText"/>
        <w:spacing w:before="5"/>
        <w:rPr>
          <w:i/>
        </w:rPr>
      </w:pPr>
    </w:p>
    <w:p>
      <w:pPr>
        <w:pStyle w:val="BodyText"/>
        <w:ind w:left="144" w:right="118" w:firstLine="499"/>
        <w:jc w:val="both"/>
      </w:pPr>
      <w:r>
        <w:rPr/>
        <w:t>In establishing adequate internal control over financial reporting, management has developed and maintained a system of internal control, policies and procedures designed to provide reasonable assurance that information contained in the accompanying consolidated financial statements and other </w:t>
      </w:r>
      <w:r>
        <w:rPr/>
        <w:t>information presented in this annual report is reliable, does not contain any untrue statement of a material fact or omit to state a material fact, and fairly presents in all material respects the financial condition, results of operations and cash flows of the Company as of and for the periods presented in this annual report. These include controls and procedures designed to ensure that this information is accumulated and communicated to the Company’s management, including its principal executive officer and principal financial officer, as appropriate for all timely decisions regarding required disclosure. Significant elements of the Company’s internal control over financial reporting include, for example:</w:t>
      </w:r>
    </w:p>
    <w:p>
      <w:pPr>
        <w:pStyle w:val="BodyText"/>
        <w:spacing w:before="18"/>
      </w:pPr>
    </w:p>
    <w:p>
      <w:pPr>
        <w:pStyle w:val="ListParagraph"/>
        <w:numPr>
          <w:ilvl w:val="0"/>
          <w:numId w:val="16"/>
        </w:numPr>
        <w:tabs>
          <w:tab w:pos="792" w:val="left" w:leader="none"/>
        </w:tabs>
        <w:spacing w:line="205" w:lineRule="exact" w:before="0" w:after="0"/>
        <w:ind w:left="792" w:right="0" w:hanging="324"/>
        <w:jc w:val="left"/>
        <w:rPr>
          <w:sz w:val="18"/>
        </w:rPr>
      </w:pPr>
      <w:r>
        <w:rPr>
          <w:sz w:val="18"/>
        </w:rPr>
        <w:t>Hiring</w:t>
      </w:r>
      <w:r>
        <w:rPr>
          <w:spacing w:val="-1"/>
          <w:sz w:val="18"/>
        </w:rPr>
        <w:t> </w:t>
      </w:r>
      <w:r>
        <w:rPr>
          <w:sz w:val="18"/>
        </w:rPr>
        <w:t>skilled</w:t>
      </w:r>
      <w:r>
        <w:rPr>
          <w:spacing w:val="-1"/>
          <w:sz w:val="18"/>
        </w:rPr>
        <w:t> </w:t>
      </w:r>
      <w:r>
        <w:rPr>
          <w:sz w:val="18"/>
        </w:rPr>
        <w:t>accounting</w:t>
      </w:r>
      <w:r>
        <w:rPr>
          <w:spacing w:val="-1"/>
          <w:sz w:val="18"/>
        </w:rPr>
        <w:t> </w:t>
      </w:r>
      <w:r>
        <w:rPr>
          <w:sz w:val="18"/>
        </w:rPr>
        <w:t>personnel</w:t>
      </w:r>
      <w:r>
        <w:rPr>
          <w:spacing w:val="-1"/>
          <w:sz w:val="18"/>
        </w:rPr>
        <w:t> </w:t>
      </w:r>
      <w:r>
        <w:rPr>
          <w:sz w:val="18"/>
        </w:rPr>
        <w:t>and</w:t>
      </w:r>
      <w:r>
        <w:rPr>
          <w:spacing w:val="-1"/>
          <w:sz w:val="18"/>
        </w:rPr>
        <w:t> </w:t>
      </w:r>
      <w:r>
        <w:rPr>
          <w:sz w:val="18"/>
        </w:rPr>
        <w:t>training</w:t>
      </w:r>
      <w:r>
        <w:rPr>
          <w:spacing w:val="-1"/>
          <w:sz w:val="18"/>
        </w:rPr>
        <w:t> </w:t>
      </w:r>
      <w:r>
        <w:rPr>
          <w:sz w:val="18"/>
        </w:rPr>
        <w:t>them</w:t>
      </w:r>
      <w:r>
        <w:rPr>
          <w:spacing w:val="-1"/>
          <w:sz w:val="18"/>
        </w:rPr>
        <w:t> </w:t>
      </w:r>
      <w:r>
        <w:rPr>
          <w:spacing w:val="-2"/>
          <w:sz w:val="18"/>
        </w:rPr>
        <w:t>appropriately;</w:t>
      </w:r>
    </w:p>
    <w:p>
      <w:pPr>
        <w:pStyle w:val="ListParagraph"/>
        <w:numPr>
          <w:ilvl w:val="0"/>
          <w:numId w:val="16"/>
        </w:numPr>
        <w:tabs>
          <w:tab w:pos="792" w:val="left" w:leader="none"/>
        </w:tabs>
        <w:spacing w:line="203" w:lineRule="exact" w:before="0" w:after="0"/>
        <w:ind w:left="792" w:right="0" w:hanging="324"/>
        <w:jc w:val="left"/>
        <w:rPr>
          <w:sz w:val="18"/>
        </w:rPr>
      </w:pPr>
      <w:r>
        <w:rPr>
          <w:sz w:val="18"/>
        </w:rPr>
        <w:t>Written</w:t>
      </w:r>
      <w:r>
        <w:rPr>
          <w:spacing w:val="-5"/>
          <w:sz w:val="18"/>
        </w:rPr>
        <w:t> </w:t>
      </w:r>
      <w:r>
        <w:rPr>
          <w:sz w:val="18"/>
        </w:rPr>
        <w:t>accounting</w:t>
      </w:r>
      <w:r>
        <w:rPr>
          <w:spacing w:val="-5"/>
          <w:sz w:val="18"/>
        </w:rPr>
        <w:t> </w:t>
      </w:r>
      <w:r>
        <w:rPr>
          <w:spacing w:val="-2"/>
          <w:sz w:val="18"/>
        </w:rPr>
        <w:t>policies;</w:t>
      </w:r>
    </w:p>
    <w:p>
      <w:pPr>
        <w:pStyle w:val="ListParagraph"/>
        <w:numPr>
          <w:ilvl w:val="0"/>
          <w:numId w:val="16"/>
        </w:numPr>
        <w:tabs>
          <w:tab w:pos="792" w:val="left" w:leader="none"/>
        </w:tabs>
        <w:spacing w:line="205" w:lineRule="exact" w:before="0" w:after="0"/>
        <w:ind w:left="792" w:right="0" w:hanging="324"/>
        <w:jc w:val="left"/>
        <w:rPr>
          <w:sz w:val="18"/>
        </w:rPr>
      </w:pPr>
      <w:r>
        <w:rPr>
          <w:sz w:val="18"/>
        </w:rPr>
        <w:t>Written</w:t>
      </w:r>
      <w:r>
        <w:rPr>
          <w:spacing w:val="-5"/>
          <w:sz w:val="18"/>
        </w:rPr>
        <w:t> </w:t>
      </w:r>
      <w:r>
        <w:rPr>
          <w:sz w:val="18"/>
        </w:rPr>
        <w:t>documentation</w:t>
      </w:r>
      <w:r>
        <w:rPr>
          <w:spacing w:val="-2"/>
          <w:sz w:val="18"/>
        </w:rPr>
        <w:t> </w:t>
      </w:r>
      <w:r>
        <w:rPr>
          <w:sz w:val="18"/>
        </w:rPr>
        <w:t>of</w:t>
      </w:r>
      <w:r>
        <w:rPr>
          <w:spacing w:val="-2"/>
          <w:sz w:val="18"/>
        </w:rPr>
        <w:t> </w:t>
      </w:r>
      <w:r>
        <w:rPr>
          <w:sz w:val="18"/>
        </w:rPr>
        <w:t>accounting</w:t>
      </w:r>
      <w:r>
        <w:rPr>
          <w:spacing w:val="-3"/>
          <w:sz w:val="18"/>
        </w:rPr>
        <w:t> </w:t>
      </w:r>
      <w:r>
        <w:rPr>
          <w:sz w:val="18"/>
        </w:rPr>
        <w:t>systems</w:t>
      </w:r>
      <w:r>
        <w:rPr>
          <w:spacing w:val="-2"/>
          <w:sz w:val="18"/>
        </w:rPr>
        <w:t> </w:t>
      </w:r>
      <w:r>
        <w:rPr>
          <w:sz w:val="18"/>
        </w:rPr>
        <w:t>and</w:t>
      </w:r>
      <w:r>
        <w:rPr>
          <w:spacing w:val="-2"/>
          <w:sz w:val="18"/>
        </w:rPr>
        <w:t> procedures;</w:t>
      </w:r>
    </w:p>
    <w:p>
      <w:pPr>
        <w:pStyle w:val="ListParagraph"/>
        <w:numPr>
          <w:ilvl w:val="0"/>
          <w:numId w:val="16"/>
        </w:numPr>
        <w:tabs>
          <w:tab w:pos="792" w:val="left" w:leader="none"/>
        </w:tabs>
        <w:spacing w:line="205" w:lineRule="exact" w:before="9" w:after="0"/>
        <w:ind w:left="792" w:right="0" w:hanging="324"/>
        <w:jc w:val="left"/>
        <w:rPr>
          <w:sz w:val="18"/>
        </w:rPr>
      </w:pPr>
      <w:r>
        <w:rPr>
          <w:sz w:val="18"/>
        </w:rPr>
        <w:t>Segregation</w:t>
      </w:r>
      <w:r>
        <w:rPr>
          <w:spacing w:val="-1"/>
          <w:sz w:val="18"/>
        </w:rPr>
        <w:t> </w:t>
      </w:r>
      <w:r>
        <w:rPr>
          <w:sz w:val="18"/>
        </w:rPr>
        <w:t>of</w:t>
      </w:r>
      <w:r>
        <w:rPr>
          <w:spacing w:val="-1"/>
          <w:sz w:val="18"/>
        </w:rPr>
        <w:t> </w:t>
      </w:r>
      <w:r>
        <w:rPr>
          <w:sz w:val="18"/>
        </w:rPr>
        <w:t>incompatible</w:t>
      </w:r>
      <w:r>
        <w:rPr>
          <w:spacing w:val="-1"/>
          <w:sz w:val="18"/>
        </w:rPr>
        <w:t> </w:t>
      </w:r>
      <w:r>
        <w:rPr>
          <w:spacing w:val="-2"/>
          <w:sz w:val="18"/>
        </w:rPr>
        <w:t>duties;</w:t>
      </w:r>
    </w:p>
    <w:p>
      <w:pPr>
        <w:pStyle w:val="ListParagraph"/>
        <w:numPr>
          <w:ilvl w:val="0"/>
          <w:numId w:val="16"/>
        </w:numPr>
        <w:tabs>
          <w:tab w:pos="792" w:val="left" w:leader="none"/>
        </w:tabs>
        <w:spacing w:line="203" w:lineRule="exact" w:before="0" w:after="0"/>
        <w:ind w:left="792" w:right="0" w:hanging="324"/>
        <w:jc w:val="left"/>
        <w:rPr>
          <w:sz w:val="18"/>
        </w:rPr>
      </w:pPr>
      <w:r>
        <w:rPr>
          <w:sz w:val="18"/>
        </w:rPr>
        <w:t>Internal</w:t>
      </w:r>
      <w:r>
        <w:rPr>
          <w:spacing w:val="-4"/>
          <w:sz w:val="18"/>
        </w:rPr>
        <w:t> </w:t>
      </w:r>
      <w:r>
        <w:rPr>
          <w:sz w:val="18"/>
        </w:rPr>
        <w:t>audit</w:t>
      </w:r>
      <w:r>
        <w:rPr>
          <w:spacing w:val="-1"/>
          <w:sz w:val="18"/>
        </w:rPr>
        <w:t> </w:t>
      </w:r>
      <w:r>
        <w:rPr>
          <w:sz w:val="18"/>
        </w:rPr>
        <w:t>function</w:t>
      </w:r>
      <w:r>
        <w:rPr>
          <w:spacing w:val="-1"/>
          <w:sz w:val="18"/>
        </w:rPr>
        <w:t> </w:t>
      </w:r>
      <w:r>
        <w:rPr>
          <w:sz w:val="18"/>
        </w:rPr>
        <w:t>to</w:t>
      </w:r>
      <w:r>
        <w:rPr>
          <w:spacing w:val="-2"/>
          <w:sz w:val="18"/>
        </w:rPr>
        <w:t> </w:t>
      </w:r>
      <w:r>
        <w:rPr>
          <w:sz w:val="18"/>
        </w:rPr>
        <w:t>monitor</w:t>
      </w:r>
      <w:r>
        <w:rPr>
          <w:spacing w:val="-1"/>
          <w:sz w:val="18"/>
        </w:rPr>
        <w:t> </w:t>
      </w:r>
      <w:r>
        <w:rPr>
          <w:sz w:val="18"/>
        </w:rPr>
        <w:t>the</w:t>
      </w:r>
      <w:r>
        <w:rPr>
          <w:spacing w:val="-1"/>
          <w:sz w:val="18"/>
        </w:rPr>
        <w:t> </w:t>
      </w:r>
      <w:r>
        <w:rPr>
          <w:sz w:val="18"/>
        </w:rPr>
        <w:t>effectiveness</w:t>
      </w:r>
      <w:r>
        <w:rPr>
          <w:spacing w:val="-2"/>
          <w:sz w:val="18"/>
        </w:rPr>
        <w:t> </w:t>
      </w:r>
      <w:r>
        <w:rPr>
          <w:sz w:val="18"/>
        </w:rPr>
        <w:t>of</w:t>
      </w:r>
      <w:r>
        <w:rPr>
          <w:spacing w:val="-1"/>
          <w:sz w:val="18"/>
        </w:rPr>
        <w:t> </w:t>
      </w:r>
      <w:r>
        <w:rPr>
          <w:sz w:val="18"/>
        </w:rPr>
        <w:t>the</w:t>
      </w:r>
      <w:r>
        <w:rPr>
          <w:spacing w:val="-1"/>
          <w:sz w:val="18"/>
        </w:rPr>
        <w:t> </w:t>
      </w:r>
      <w:r>
        <w:rPr>
          <w:sz w:val="18"/>
        </w:rPr>
        <w:t>system</w:t>
      </w:r>
      <w:r>
        <w:rPr>
          <w:spacing w:val="-2"/>
          <w:sz w:val="18"/>
        </w:rPr>
        <w:t> </w:t>
      </w:r>
      <w:r>
        <w:rPr>
          <w:sz w:val="18"/>
        </w:rPr>
        <w:t>of</w:t>
      </w:r>
      <w:r>
        <w:rPr>
          <w:spacing w:val="-1"/>
          <w:sz w:val="18"/>
        </w:rPr>
        <w:t> </w:t>
      </w:r>
      <w:r>
        <w:rPr>
          <w:sz w:val="18"/>
        </w:rPr>
        <w:t>internal</w:t>
      </w:r>
      <w:r>
        <w:rPr>
          <w:spacing w:val="-1"/>
          <w:sz w:val="18"/>
        </w:rPr>
        <w:t> </w:t>
      </w:r>
      <w:r>
        <w:rPr>
          <w:sz w:val="18"/>
        </w:rPr>
        <w:t>control;</w:t>
      </w:r>
      <w:r>
        <w:rPr>
          <w:spacing w:val="-1"/>
          <w:sz w:val="18"/>
        </w:rPr>
        <w:t> </w:t>
      </w:r>
      <w:r>
        <w:rPr>
          <w:spacing w:val="-5"/>
          <w:sz w:val="18"/>
        </w:rPr>
        <w:t>and</w:t>
      </w:r>
    </w:p>
    <w:p>
      <w:pPr>
        <w:pStyle w:val="ListParagraph"/>
        <w:numPr>
          <w:ilvl w:val="0"/>
          <w:numId w:val="16"/>
        </w:numPr>
        <w:tabs>
          <w:tab w:pos="792" w:val="left" w:leader="none"/>
        </w:tabs>
        <w:spacing w:line="205" w:lineRule="exact" w:before="0" w:after="0"/>
        <w:ind w:left="792" w:right="0" w:hanging="324"/>
        <w:jc w:val="left"/>
        <w:rPr>
          <w:sz w:val="18"/>
        </w:rPr>
      </w:pPr>
      <w:r>
        <w:rPr>
          <w:sz w:val="18"/>
        </w:rPr>
        <w:t>Oversight</w:t>
      </w:r>
      <w:r>
        <w:rPr>
          <w:spacing w:val="-1"/>
          <w:sz w:val="18"/>
        </w:rPr>
        <w:t> </w:t>
      </w:r>
      <w:r>
        <w:rPr>
          <w:sz w:val="18"/>
        </w:rPr>
        <w:t>by</w:t>
      </w:r>
      <w:r>
        <w:rPr>
          <w:spacing w:val="-1"/>
          <w:sz w:val="18"/>
        </w:rPr>
        <w:t> </w:t>
      </w:r>
      <w:r>
        <w:rPr>
          <w:sz w:val="18"/>
        </w:rPr>
        <w:t>an</w:t>
      </w:r>
      <w:r>
        <w:rPr>
          <w:spacing w:val="-1"/>
          <w:sz w:val="18"/>
        </w:rPr>
        <w:t> </w:t>
      </w:r>
      <w:r>
        <w:rPr>
          <w:sz w:val="18"/>
        </w:rPr>
        <w:t>independent</w:t>
      </w:r>
      <w:r>
        <w:rPr>
          <w:spacing w:val="-10"/>
          <w:sz w:val="18"/>
        </w:rPr>
        <w:t> </w:t>
      </w:r>
      <w:r>
        <w:rPr>
          <w:sz w:val="18"/>
        </w:rPr>
        <w:t>Audit</w:t>
      </w:r>
      <w:r>
        <w:rPr>
          <w:spacing w:val="-1"/>
          <w:sz w:val="18"/>
        </w:rPr>
        <w:t> </w:t>
      </w:r>
      <w:r>
        <w:rPr>
          <w:sz w:val="18"/>
        </w:rPr>
        <w:t>Committee</w:t>
      </w:r>
      <w:r>
        <w:rPr>
          <w:spacing w:val="-1"/>
          <w:sz w:val="18"/>
        </w:rPr>
        <w:t> </w:t>
      </w:r>
      <w:r>
        <w:rPr>
          <w:sz w:val="18"/>
        </w:rPr>
        <w:t>of</w:t>
      </w:r>
      <w:r>
        <w:rPr>
          <w:spacing w:val="-1"/>
          <w:sz w:val="18"/>
        </w:rPr>
        <w:t> </w:t>
      </w:r>
      <w:r>
        <w:rPr>
          <w:sz w:val="18"/>
        </w:rPr>
        <w:t>the</w:t>
      </w:r>
      <w:r>
        <w:rPr>
          <w:spacing w:val="-1"/>
          <w:sz w:val="18"/>
        </w:rPr>
        <w:t> </w:t>
      </w:r>
      <w:r>
        <w:rPr>
          <w:sz w:val="18"/>
        </w:rPr>
        <w:t>Board</w:t>
      </w:r>
      <w:r>
        <w:rPr>
          <w:spacing w:val="-1"/>
          <w:sz w:val="18"/>
        </w:rPr>
        <w:t> </w:t>
      </w:r>
      <w:r>
        <w:rPr>
          <w:sz w:val="18"/>
        </w:rPr>
        <w:t>of</w:t>
      </w:r>
      <w:r>
        <w:rPr>
          <w:spacing w:val="-1"/>
          <w:sz w:val="18"/>
        </w:rPr>
        <w:t> </w:t>
      </w:r>
      <w:r>
        <w:rPr>
          <w:spacing w:val="-2"/>
          <w:sz w:val="18"/>
        </w:rPr>
        <w:t>Directors.</w:t>
      </w:r>
    </w:p>
    <w:p>
      <w:pPr>
        <w:pStyle w:val="BodyText"/>
        <w:spacing w:before="18"/>
      </w:pPr>
    </w:p>
    <w:p>
      <w:pPr>
        <w:spacing w:before="0"/>
        <w:ind w:left="394" w:right="0" w:firstLine="0"/>
        <w:jc w:val="left"/>
        <w:rPr>
          <w:i/>
          <w:sz w:val="18"/>
        </w:rPr>
      </w:pPr>
      <w:r>
        <w:rPr>
          <w:i/>
          <w:spacing w:val="-2"/>
          <w:sz w:val="18"/>
        </w:rPr>
        <w:t>Management’s</w:t>
      </w:r>
      <w:r>
        <w:rPr>
          <w:i/>
          <w:spacing w:val="-1"/>
          <w:sz w:val="18"/>
        </w:rPr>
        <w:t> </w:t>
      </w:r>
      <w:r>
        <w:rPr>
          <w:i/>
          <w:spacing w:val="-2"/>
          <w:sz w:val="18"/>
        </w:rPr>
        <w:t>Evaluation</w:t>
      </w:r>
    </w:p>
    <w:p>
      <w:pPr>
        <w:pStyle w:val="BodyText"/>
        <w:spacing w:before="4"/>
        <w:rPr>
          <w:i/>
        </w:rPr>
      </w:pPr>
    </w:p>
    <w:p>
      <w:pPr>
        <w:pStyle w:val="BodyText"/>
        <w:spacing w:line="242" w:lineRule="auto" w:before="1"/>
        <w:ind w:left="144" w:right="118" w:firstLine="499"/>
        <w:jc w:val="both"/>
      </w:pPr>
      <w:r>
        <w:rPr/>
        <w:t>Management, with the participation of the Company’s principal executive officer and principal financial officer, has evaluated the Company’s internal control over financial reporting using the criteria established in Internal Control—Integrated Framework (2013) issued by the Committee of </w:t>
      </w:r>
      <w:r>
        <w:rPr/>
        <w:t>Sponsoring Organizations of the Treadway Commission.</w:t>
      </w:r>
    </w:p>
    <w:p>
      <w:pPr>
        <w:pStyle w:val="BodyText"/>
        <w:spacing w:line="235" w:lineRule="auto" w:before="199"/>
        <w:ind w:left="144" w:right="118" w:firstLine="499"/>
        <w:jc w:val="both"/>
      </w:pPr>
      <w:r>
        <w:rPr/>
        <w:t>In making its evaluation of the Company’s internal controls over financial reporting as of December 31, 2022, management excluded</w:t>
      </w:r>
      <w:r>
        <w:rPr>
          <w:spacing w:val="-3"/>
        </w:rPr>
        <w:t> </w:t>
      </w:r>
      <w:r>
        <w:rPr/>
        <w:t>The Cosmopolitan from its evaluation because it was acquired in the second quarter of 2022. The</w:t>
      </w:r>
    </w:p>
    <w:p>
      <w:pPr>
        <w:pStyle w:val="BodyText"/>
      </w:pPr>
    </w:p>
    <w:p>
      <w:pPr>
        <w:pStyle w:val="BodyText"/>
        <w:spacing w:before="190"/>
      </w:pPr>
    </w:p>
    <w:p>
      <w:pPr>
        <w:pStyle w:val="BodyText"/>
        <w:ind w:left="24"/>
        <w:jc w:val="center"/>
      </w:pPr>
      <w:r>
        <w:rPr>
          <w:spacing w:val="-5"/>
        </w:rPr>
        <w:t>100</w:t>
      </w:r>
    </w:p>
    <w:p>
      <w:pPr>
        <w:pStyle w:val="BodyText"/>
        <w:spacing w:before="3"/>
        <w:rPr>
          <w:sz w:val="6"/>
        </w:rPr>
      </w:pPr>
      <w:r>
        <w:rPr/>
        <mc:AlternateContent>
          <mc:Choice Requires="wps">
            <w:drawing>
              <wp:anchor distT="0" distB="0" distL="0" distR="0" allowOverlap="1" layoutInCell="1" locked="0" behindDoc="1" simplePos="0" relativeHeight="487728640">
                <wp:simplePos x="0" y="0"/>
                <wp:positionH relativeFrom="page">
                  <wp:posOffset>231457</wp:posOffset>
                </wp:positionH>
                <wp:positionV relativeFrom="paragraph">
                  <wp:posOffset>60956</wp:posOffset>
                </wp:positionV>
                <wp:extent cx="7312659" cy="17145"/>
                <wp:effectExtent l="0" t="0" r="0" b="0"/>
                <wp:wrapTopAndBottom/>
                <wp:docPr id="692" name="Group 692"/>
                <wp:cNvGraphicFramePr>
                  <a:graphicFrameLocks/>
                </wp:cNvGraphicFramePr>
                <a:graphic>
                  <a:graphicData uri="http://schemas.microsoft.com/office/word/2010/wordprocessingGroup">
                    <wpg:wgp>
                      <wpg:cNvPr id="692" name="Group 692"/>
                      <wpg:cNvGrpSpPr/>
                      <wpg:grpSpPr>
                        <a:xfrm>
                          <a:off x="0" y="0"/>
                          <a:ext cx="7312659" cy="17145"/>
                          <a:chExt cx="7312659" cy="17145"/>
                        </a:xfrm>
                      </wpg:grpSpPr>
                      <wps:wsp>
                        <wps:cNvPr id="693" name="Graphic 69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94" name="Graphic 694"/>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95" name="Graphic 69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87840;mso-wrap-distance-left:0;mso-wrap-distance-right:0" id="docshapegroup690" coordorigin="364,96" coordsize="11516,27">
                <v:rect style="position:absolute;left:364;top:96;width:11516;height:14" id="docshape691" filled="true" fillcolor="#999999" stroked="false">
                  <v:fill type="solid"/>
                </v:rect>
                <v:shape style="position:absolute;left:364;top:95;width:11516;height:27" id="docshape692" coordorigin="364,96" coordsize="11516,27" path="m11880,96l11866,109,364,109,364,123,11866,123,11880,123,11880,109,11880,96xe" filled="true" fillcolor="#ededed" stroked="false">
                  <v:path arrowok="t"/>
                  <v:fill type="solid"/>
                </v:shape>
                <v:shape style="position:absolute;left:364;top:96;width:14;height:27" id="docshape69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BodyText"/>
        <w:spacing w:line="235" w:lineRule="auto" w:before="73"/>
        <w:ind w:left="144"/>
      </w:pPr>
      <w:r>
        <w:rPr/>
        <w:t>Cosmopolitan represented approximately 11% of the Company’s total assets at December 31, 2022 and approximately 6% of the Company’s total revenues </w:t>
      </w:r>
      <w:r>
        <w:rPr/>
        <w:t>for the year ended December 31, 2022.</w:t>
      </w:r>
    </w:p>
    <w:p>
      <w:pPr>
        <w:pStyle w:val="BodyText"/>
        <w:spacing w:before="8"/>
      </w:pPr>
    </w:p>
    <w:p>
      <w:pPr>
        <w:pStyle w:val="BodyText"/>
        <w:spacing w:line="235" w:lineRule="auto"/>
        <w:ind w:left="144" w:firstLine="499"/>
      </w:pPr>
      <w:r>
        <w:rPr/>
        <w:t>Based</w:t>
      </w:r>
      <w:r>
        <w:rPr>
          <w:spacing w:val="20"/>
        </w:rPr>
        <w:t> </w:t>
      </w:r>
      <w:r>
        <w:rPr/>
        <w:t>on</w:t>
      </w:r>
      <w:r>
        <w:rPr>
          <w:spacing w:val="20"/>
        </w:rPr>
        <w:t> </w:t>
      </w:r>
      <w:r>
        <w:rPr/>
        <w:t>its</w:t>
      </w:r>
      <w:r>
        <w:rPr>
          <w:spacing w:val="20"/>
        </w:rPr>
        <w:t> </w:t>
      </w:r>
      <w:r>
        <w:rPr/>
        <w:t>evaluation</w:t>
      </w:r>
      <w:r>
        <w:rPr>
          <w:spacing w:val="20"/>
        </w:rPr>
        <w:t> </w:t>
      </w:r>
      <w:r>
        <w:rPr/>
        <w:t>as</w:t>
      </w:r>
      <w:r>
        <w:rPr>
          <w:spacing w:val="20"/>
        </w:rPr>
        <w:t> </w:t>
      </w:r>
      <w:r>
        <w:rPr/>
        <w:t>of</w:t>
      </w:r>
      <w:r>
        <w:rPr>
          <w:spacing w:val="20"/>
        </w:rPr>
        <w:t> </w:t>
      </w:r>
      <w:r>
        <w:rPr/>
        <w:t>December</w:t>
      </w:r>
      <w:r>
        <w:rPr>
          <w:spacing w:val="20"/>
        </w:rPr>
        <w:t> </w:t>
      </w:r>
      <w:r>
        <w:rPr/>
        <w:t>31,</w:t>
      </w:r>
      <w:r>
        <w:rPr>
          <w:spacing w:val="20"/>
        </w:rPr>
        <w:t> </w:t>
      </w:r>
      <w:r>
        <w:rPr/>
        <w:t>2022,</w:t>
      </w:r>
      <w:r>
        <w:rPr>
          <w:spacing w:val="20"/>
        </w:rPr>
        <w:t> </w:t>
      </w:r>
      <w:r>
        <w:rPr/>
        <w:t>management</w:t>
      </w:r>
      <w:r>
        <w:rPr>
          <w:spacing w:val="20"/>
        </w:rPr>
        <w:t> </w:t>
      </w:r>
      <w:r>
        <w:rPr/>
        <w:t>believes</w:t>
      </w:r>
      <w:r>
        <w:rPr>
          <w:spacing w:val="20"/>
        </w:rPr>
        <w:t> </w:t>
      </w:r>
      <w:r>
        <w:rPr/>
        <w:t>that</w:t>
      </w:r>
      <w:r>
        <w:rPr>
          <w:spacing w:val="20"/>
        </w:rPr>
        <w:t> </w:t>
      </w:r>
      <w:r>
        <w:rPr/>
        <w:t>the</w:t>
      </w:r>
      <w:r>
        <w:rPr>
          <w:spacing w:val="20"/>
        </w:rPr>
        <w:t> </w:t>
      </w:r>
      <w:r>
        <w:rPr/>
        <w:t>Company’s</w:t>
      </w:r>
      <w:r>
        <w:rPr>
          <w:spacing w:val="20"/>
        </w:rPr>
        <w:t> </w:t>
      </w:r>
      <w:r>
        <w:rPr/>
        <w:t>internal</w:t>
      </w:r>
      <w:r>
        <w:rPr>
          <w:spacing w:val="20"/>
        </w:rPr>
        <w:t> </w:t>
      </w:r>
      <w:r>
        <w:rPr/>
        <w:t>control</w:t>
      </w:r>
      <w:r>
        <w:rPr>
          <w:spacing w:val="20"/>
        </w:rPr>
        <w:t> </w:t>
      </w:r>
      <w:r>
        <w:rPr/>
        <w:t>over</w:t>
      </w:r>
      <w:r>
        <w:rPr>
          <w:spacing w:val="20"/>
        </w:rPr>
        <w:t> </w:t>
      </w:r>
      <w:r>
        <w:rPr/>
        <w:t>financial</w:t>
      </w:r>
      <w:r>
        <w:rPr>
          <w:spacing w:val="20"/>
        </w:rPr>
        <w:t> </w:t>
      </w:r>
      <w:r>
        <w:rPr/>
        <w:t>reporting</w:t>
      </w:r>
      <w:r>
        <w:rPr>
          <w:spacing w:val="20"/>
        </w:rPr>
        <w:t> </w:t>
      </w:r>
      <w:r>
        <w:rPr/>
        <w:t>is</w:t>
      </w:r>
      <w:r>
        <w:rPr>
          <w:spacing w:val="20"/>
        </w:rPr>
        <w:t> </w:t>
      </w:r>
      <w:r>
        <w:rPr/>
        <w:t>effective</w:t>
      </w:r>
      <w:r>
        <w:rPr>
          <w:spacing w:val="20"/>
        </w:rPr>
        <w:t> </w:t>
      </w:r>
      <w:r>
        <w:rPr/>
        <w:t>in achieving the objectives described above.</w:t>
      </w:r>
    </w:p>
    <w:p>
      <w:pPr>
        <w:pStyle w:val="BodyText"/>
        <w:spacing w:before="18"/>
      </w:pPr>
    </w:p>
    <w:p>
      <w:pPr>
        <w:pStyle w:val="BodyText"/>
        <w:spacing w:line="205" w:lineRule="exact"/>
        <w:ind w:left="644"/>
      </w:pPr>
      <w:r>
        <w:rPr/>
        <w:t>The</w:t>
      </w:r>
      <w:r>
        <w:rPr>
          <w:spacing w:val="24"/>
        </w:rPr>
        <w:t> </w:t>
      </w:r>
      <w:r>
        <w:rPr/>
        <w:t>Company’s</w:t>
      </w:r>
      <w:r>
        <w:rPr>
          <w:spacing w:val="25"/>
        </w:rPr>
        <w:t> </w:t>
      </w:r>
      <w:r>
        <w:rPr/>
        <w:t>independent</w:t>
      </w:r>
      <w:r>
        <w:rPr>
          <w:spacing w:val="25"/>
        </w:rPr>
        <w:t> </w:t>
      </w:r>
      <w:r>
        <w:rPr/>
        <w:t>registered</w:t>
      </w:r>
      <w:r>
        <w:rPr>
          <w:spacing w:val="24"/>
        </w:rPr>
        <w:t> </w:t>
      </w:r>
      <w:r>
        <w:rPr/>
        <w:t>public</w:t>
      </w:r>
      <w:r>
        <w:rPr>
          <w:spacing w:val="25"/>
        </w:rPr>
        <w:t> </w:t>
      </w:r>
      <w:r>
        <w:rPr/>
        <w:t>accounting</w:t>
      </w:r>
      <w:r>
        <w:rPr>
          <w:spacing w:val="25"/>
        </w:rPr>
        <w:t> </w:t>
      </w:r>
      <w:r>
        <w:rPr/>
        <w:t>firm’s</w:t>
      </w:r>
      <w:r>
        <w:rPr>
          <w:spacing w:val="24"/>
        </w:rPr>
        <w:t> </w:t>
      </w:r>
      <w:r>
        <w:rPr/>
        <w:t>report</w:t>
      </w:r>
      <w:r>
        <w:rPr>
          <w:spacing w:val="25"/>
        </w:rPr>
        <w:t> </w:t>
      </w:r>
      <w:r>
        <w:rPr/>
        <w:t>on</w:t>
      </w:r>
      <w:r>
        <w:rPr>
          <w:spacing w:val="25"/>
        </w:rPr>
        <w:t> </w:t>
      </w:r>
      <w:r>
        <w:rPr/>
        <w:t>the</w:t>
      </w:r>
      <w:r>
        <w:rPr>
          <w:spacing w:val="24"/>
        </w:rPr>
        <w:t> </w:t>
      </w:r>
      <w:r>
        <w:rPr/>
        <w:t>effectiveness</w:t>
      </w:r>
      <w:r>
        <w:rPr>
          <w:spacing w:val="25"/>
        </w:rPr>
        <w:t> </w:t>
      </w:r>
      <w:r>
        <w:rPr/>
        <w:t>of</w:t>
      </w:r>
      <w:r>
        <w:rPr>
          <w:spacing w:val="25"/>
        </w:rPr>
        <w:t> </w:t>
      </w:r>
      <w:r>
        <w:rPr/>
        <w:t>our</w:t>
      </w:r>
      <w:r>
        <w:rPr>
          <w:spacing w:val="24"/>
        </w:rPr>
        <w:t> </w:t>
      </w:r>
      <w:r>
        <w:rPr/>
        <w:t>internal</w:t>
      </w:r>
      <w:r>
        <w:rPr>
          <w:spacing w:val="25"/>
        </w:rPr>
        <w:t> </w:t>
      </w:r>
      <w:r>
        <w:rPr/>
        <w:t>control</w:t>
      </w:r>
      <w:r>
        <w:rPr>
          <w:spacing w:val="25"/>
        </w:rPr>
        <w:t> </w:t>
      </w:r>
      <w:r>
        <w:rPr/>
        <w:t>over</w:t>
      </w:r>
      <w:r>
        <w:rPr>
          <w:spacing w:val="24"/>
        </w:rPr>
        <w:t> </w:t>
      </w:r>
      <w:r>
        <w:rPr/>
        <w:t>financial</w:t>
      </w:r>
      <w:r>
        <w:rPr>
          <w:spacing w:val="25"/>
        </w:rPr>
        <w:t> </w:t>
      </w:r>
      <w:r>
        <w:rPr/>
        <w:t>reporting</w:t>
      </w:r>
      <w:r>
        <w:rPr>
          <w:spacing w:val="25"/>
        </w:rPr>
        <w:t> </w:t>
      </w:r>
      <w:r>
        <w:rPr>
          <w:spacing w:val="-2"/>
        </w:rPr>
        <w:t>appears</w:t>
      </w:r>
    </w:p>
    <w:p>
      <w:pPr>
        <w:pStyle w:val="BodyText"/>
        <w:spacing w:line="205" w:lineRule="exact"/>
        <w:ind w:left="144"/>
      </w:pPr>
      <w:r>
        <w:rPr>
          <w:spacing w:val="-2"/>
        </w:rPr>
        <w:t>herein.</w:t>
      </w:r>
    </w:p>
    <w:p>
      <w:pPr>
        <w:pStyle w:val="BodyText"/>
        <w:spacing w:before="5"/>
      </w:pPr>
    </w:p>
    <w:p>
      <w:pPr>
        <w:pStyle w:val="Heading4"/>
      </w:pPr>
      <w:bookmarkStart w:name="_bookmark21" w:id="22"/>
      <w:bookmarkEnd w:id="22"/>
      <w:r>
        <w:rPr>
          <w:b w:val="0"/>
        </w:rPr>
      </w:r>
      <w:r>
        <w:rPr/>
        <w:t>ITEM</w:t>
      </w:r>
      <w:r>
        <w:rPr>
          <w:spacing w:val="-1"/>
        </w:rPr>
        <w:t> </w:t>
      </w:r>
      <w:r>
        <w:rPr/>
        <w:t>9B.</w:t>
      </w:r>
      <w:r>
        <w:rPr>
          <w:spacing w:val="44"/>
        </w:rPr>
        <w:t>  </w:t>
      </w:r>
      <w:r>
        <w:rPr/>
        <w:t>OTHER </w:t>
      </w:r>
      <w:r>
        <w:rPr>
          <w:spacing w:val="-2"/>
        </w:rPr>
        <w:t>INFORMATION</w:t>
      </w:r>
    </w:p>
    <w:p>
      <w:pPr>
        <w:pStyle w:val="BodyText"/>
        <w:spacing w:before="18"/>
        <w:rPr>
          <w:b/>
        </w:rPr>
      </w:pPr>
    </w:p>
    <w:p>
      <w:pPr>
        <w:pStyle w:val="BodyText"/>
        <w:ind w:left="644"/>
      </w:pPr>
      <w:r>
        <w:rPr>
          <w:spacing w:val="-2"/>
        </w:rPr>
        <w:t>None.</w:t>
      </w:r>
    </w:p>
    <w:p>
      <w:pPr>
        <w:pStyle w:val="BodyText"/>
        <w:spacing w:before="4"/>
      </w:pPr>
    </w:p>
    <w:p>
      <w:pPr>
        <w:pStyle w:val="Heading4"/>
      </w:pPr>
      <w:bookmarkStart w:name="_bookmark22" w:id="23"/>
      <w:bookmarkEnd w:id="23"/>
      <w:r>
        <w:rPr>
          <w:b w:val="0"/>
        </w:rPr>
      </w:r>
      <w:r>
        <w:rPr/>
        <w:t>ITEM</w:t>
      </w:r>
      <w:r>
        <w:rPr>
          <w:spacing w:val="-3"/>
        </w:rPr>
        <w:t> </w:t>
      </w:r>
      <w:r>
        <w:rPr/>
        <w:t>9C.</w:t>
      </w:r>
      <w:r>
        <w:rPr>
          <w:spacing w:val="42"/>
        </w:rPr>
        <w:t>  </w:t>
      </w:r>
      <w:r>
        <w:rPr/>
        <w:t>DISCLOSURE</w:t>
      </w:r>
      <w:r>
        <w:rPr>
          <w:spacing w:val="-2"/>
        </w:rPr>
        <w:t> </w:t>
      </w:r>
      <w:r>
        <w:rPr/>
        <w:t>REGARDING</w:t>
      </w:r>
      <w:r>
        <w:rPr>
          <w:spacing w:val="-3"/>
        </w:rPr>
        <w:t> </w:t>
      </w:r>
      <w:r>
        <w:rPr/>
        <w:t>FOREIGN</w:t>
      </w:r>
      <w:r>
        <w:rPr>
          <w:spacing w:val="-2"/>
        </w:rPr>
        <w:t> </w:t>
      </w:r>
      <w:r>
        <w:rPr/>
        <w:t>JURISDICTIONS</w:t>
      </w:r>
      <w:r>
        <w:rPr>
          <w:spacing w:val="-5"/>
        </w:rPr>
        <w:t> </w:t>
      </w:r>
      <w:r>
        <w:rPr/>
        <w:t>THAT</w:t>
      </w:r>
      <w:r>
        <w:rPr>
          <w:spacing w:val="-5"/>
        </w:rPr>
        <w:t> </w:t>
      </w:r>
      <w:r>
        <w:rPr/>
        <w:t>PREVENT</w:t>
      </w:r>
      <w:r>
        <w:rPr>
          <w:spacing w:val="-5"/>
        </w:rPr>
        <w:t> </w:t>
      </w:r>
      <w:r>
        <w:rPr>
          <w:spacing w:val="-2"/>
        </w:rPr>
        <w:t>INSPECTIONS</w:t>
      </w:r>
    </w:p>
    <w:p>
      <w:pPr>
        <w:pStyle w:val="BodyText"/>
        <w:spacing w:before="5"/>
        <w:rPr>
          <w:b/>
        </w:rPr>
      </w:pPr>
    </w:p>
    <w:p>
      <w:pPr>
        <w:pStyle w:val="BodyText"/>
        <w:ind w:left="644"/>
      </w:pPr>
      <w:r>
        <w:rPr/>
        <w:t>Not</w:t>
      </w:r>
      <w:r>
        <w:rPr>
          <w:spacing w:val="-1"/>
        </w:rPr>
        <w:t> </w:t>
      </w:r>
      <w:r>
        <w:rPr>
          <w:spacing w:val="-2"/>
        </w:rPr>
        <w:t>applicable.</w:t>
      </w:r>
    </w:p>
    <w:p>
      <w:pPr>
        <w:pStyle w:val="BodyText"/>
      </w:pPr>
    </w:p>
    <w:p>
      <w:pPr>
        <w:pStyle w:val="BodyText"/>
        <w:spacing w:before="189"/>
      </w:pPr>
    </w:p>
    <w:p>
      <w:pPr>
        <w:pStyle w:val="BodyText"/>
        <w:ind w:left="24"/>
        <w:jc w:val="center"/>
      </w:pPr>
      <w:r>
        <w:rPr>
          <w:spacing w:val="-5"/>
        </w:rPr>
        <w:t>101</w:t>
      </w:r>
    </w:p>
    <w:p>
      <w:pPr>
        <w:pStyle w:val="BodyText"/>
        <w:spacing w:before="3"/>
        <w:rPr>
          <w:sz w:val="6"/>
        </w:rPr>
      </w:pPr>
      <w:r>
        <w:rPr/>
        <mc:AlternateContent>
          <mc:Choice Requires="wps">
            <w:drawing>
              <wp:anchor distT="0" distB="0" distL="0" distR="0" allowOverlap="1" layoutInCell="1" locked="0" behindDoc="1" simplePos="0" relativeHeight="487729152">
                <wp:simplePos x="0" y="0"/>
                <wp:positionH relativeFrom="page">
                  <wp:posOffset>231457</wp:posOffset>
                </wp:positionH>
                <wp:positionV relativeFrom="paragraph">
                  <wp:posOffset>60956</wp:posOffset>
                </wp:positionV>
                <wp:extent cx="7312659" cy="17145"/>
                <wp:effectExtent l="0" t="0" r="0" b="0"/>
                <wp:wrapTopAndBottom/>
                <wp:docPr id="696" name="Group 696"/>
                <wp:cNvGraphicFramePr>
                  <a:graphicFrameLocks/>
                </wp:cNvGraphicFramePr>
                <a:graphic>
                  <a:graphicData uri="http://schemas.microsoft.com/office/word/2010/wordprocessingGroup">
                    <wpg:wgp>
                      <wpg:cNvPr id="696" name="Group 696"/>
                      <wpg:cNvGrpSpPr/>
                      <wpg:grpSpPr>
                        <a:xfrm>
                          <a:off x="0" y="0"/>
                          <a:ext cx="7312659" cy="17145"/>
                          <a:chExt cx="7312659" cy="17145"/>
                        </a:xfrm>
                      </wpg:grpSpPr>
                      <wps:wsp>
                        <wps:cNvPr id="697" name="Graphic 69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98" name="Graphic 698"/>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99" name="Graphic 69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87328;mso-wrap-distance-left:0;mso-wrap-distance-right:0" id="docshapegroup694" coordorigin="364,96" coordsize="11516,27">
                <v:rect style="position:absolute;left:364;top:96;width:11516;height:14" id="docshape695" filled="true" fillcolor="#999999" stroked="false">
                  <v:fill type="solid"/>
                </v:rect>
                <v:shape style="position:absolute;left:364;top:95;width:11516;height:27" id="docshape696" coordorigin="364,96" coordsize="11516,27" path="m11880,96l11866,109,364,109,364,123,11866,123,11880,123,11880,109,11880,96xe" filled="true" fillcolor="#ededed" stroked="false">
                  <v:path arrowok="t"/>
                  <v:fill type="solid"/>
                </v:shape>
                <v:shape style="position:absolute;left:364;top:96;width:14;height:27" id="docshape697"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4"/>
        <w:spacing w:before="63"/>
        <w:ind w:left="24"/>
        <w:jc w:val="center"/>
      </w:pPr>
      <w:r>
        <w:rPr>
          <w:spacing w:val="-5"/>
        </w:rPr>
        <w:t>PART III</w:t>
      </w:r>
    </w:p>
    <w:p>
      <w:pPr>
        <w:pStyle w:val="BodyText"/>
        <w:rPr>
          <w:b/>
        </w:rPr>
      </w:pPr>
    </w:p>
    <w:p>
      <w:pPr>
        <w:pStyle w:val="BodyText"/>
        <w:spacing w:before="13"/>
        <w:rPr>
          <w:b/>
        </w:rPr>
      </w:pPr>
    </w:p>
    <w:p>
      <w:pPr>
        <w:spacing w:before="0"/>
        <w:ind w:left="144" w:right="0" w:firstLine="0"/>
        <w:jc w:val="left"/>
        <w:rPr>
          <w:b/>
          <w:sz w:val="18"/>
        </w:rPr>
      </w:pPr>
      <w:bookmarkStart w:name="_bookmark23" w:id="24"/>
      <w:bookmarkEnd w:id="24"/>
      <w:r>
        <w:rPr/>
      </w:r>
      <w:r>
        <w:rPr>
          <w:b/>
          <w:sz w:val="18"/>
        </w:rPr>
        <w:t>ITEM</w:t>
      </w:r>
      <w:r>
        <w:rPr>
          <w:b/>
          <w:spacing w:val="-4"/>
          <w:sz w:val="18"/>
        </w:rPr>
        <w:t> </w:t>
      </w:r>
      <w:r>
        <w:rPr>
          <w:b/>
          <w:sz w:val="18"/>
        </w:rPr>
        <w:t>10.</w:t>
      </w:r>
      <w:r>
        <w:rPr>
          <w:b/>
          <w:spacing w:val="41"/>
          <w:sz w:val="18"/>
        </w:rPr>
        <w:t>  </w:t>
      </w:r>
      <w:r>
        <w:rPr>
          <w:b/>
          <w:sz w:val="18"/>
        </w:rPr>
        <w:t>DIRECTORS,</w:t>
      </w:r>
      <w:r>
        <w:rPr>
          <w:b/>
          <w:spacing w:val="-3"/>
          <w:sz w:val="18"/>
        </w:rPr>
        <w:t> </w:t>
      </w:r>
      <w:r>
        <w:rPr>
          <w:b/>
          <w:sz w:val="18"/>
        </w:rPr>
        <w:t>EXECUTIVE</w:t>
      </w:r>
      <w:r>
        <w:rPr>
          <w:b/>
          <w:spacing w:val="-3"/>
          <w:sz w:val="18"/>
        </w:rPr>
        <w:t> </w:t>
      </w:r>
      <w:r>
        <w:rPr>
          <w:b/>
          <w:sz w:val="18"/>
        </w:rPr>
        <w:t>OFFICERS</w:t>
      </w:r>
      <w:r>
        <w:rPr>
          <w:b/>
          <w:spacing w:val="-11"/>
          <w:sz w:val="18"/>
        </w:rPr>
        <w:t> </w:t>
      </w:r>
      <w:r>
        <w:rPr>
          <w:b/>
          <w:sz w:val="18"/>
        </w:rPr>
        <w:t>AND</w:t>
      </w:r>
      <w:r>
        <w:rPr>
          <w:b/>
          <w:spacing w:val="-3"/>
          <w:sz w:val="18"/>
        </w:rPr>
        <w:t> </w:t>
      </w:r>
      <w:r>
        <w:rPr>
          <w:b/>
          <w:sz w:val="18"/>
        </w:rPr>
        <w:t>CORPORATE</w:t>
      </w:r>
      <w:r>
        <w:rPr>
          <w:b/>
          <w:spacing w:val="-2"/>
          <w:sz w:val="18"/>
        </w:rPr>
        <w:t> GOVERNANCE</w:t>
      </w:r>
    </w:p>
    <w:p>
      <w:pPr>
        <w:pStyle w:val="BodyText"/>
        <w:spacing w:before="8"/>
        <w:rPr>
          <w:b/>
        </w:rPr>
      </w:pPr>
    </w:p>
    <w:p>
      <w:pPr>
        <w:pStyle w:val="BodyText"/>
        <w:spacing w:line="235" w:lineRule="auto"/>
        <w:ind w:left="144" w:right="118" w:firstLine="499"/>
      </w:pPr>
      <w:r>
        <w:rPr/>
        <w:t>The</w:t>
      </w:r>
      <w:r>
        <w:rPr>
          <w:spacing w:val="-2"/>
        </w:rPr>
        <w:t> </w:t>
      </w:r>
      <w:r>
        <w:rPr/>
        <w:t>information</w:t>
      </w:r>
      <w:r>
        <w:rPr>
          <w:spacing w:val="-2"/>
        </w:rPr>
        <w:t> </w:t>
      </w:r>
      <w:r>
        <w:rPr/>
        <w:t>required</w:t>
      </w:r>
      <w:r>
        <w:rPr>
          <w:spacing w:val="-2"/>
        </w:rPr>
        <w:t> </w:t>
      </w:r>
      <w:r>
        <w:rPr/>
        <w:t>by</w:t>
      </w:r>
      <w:r>
        <w:rPr>
          <w:spacing w:val="-2"/>
        </w:rPr>
        <w:t> </w:t>
      </w:r>
      <w:r>
        <w:rPr/>
        <w:t>this</w:t>
      </w:r>
      <w:r>
        <w:rPr>
          <w:spacing w:val="-2"/>
        </w:rPr>
        <w:t> </w:t>
      </w:r>
      <w:r>
        <w:rPr/>
        <w:t>Item</w:t>
      </w:r>
      <w:r>
        <w:rPr>
          <w:spacing w:val="-2"/>
        </w:rPr>
        <w:t> </w:t>
      </w:r>
      <w:r>
        <w:rPr/>
        <w:t>will</w:t>
      </w:r>
      <w:r>
        <w:rPr>
          <w:spacing w:val="-2"/>
        </w:rPr>
        <w:t> </w:t>
      </w:r>
      <w:r>
        <w:rPr/>
        <w:t>be</w:t>
      </w:r>
      <w:r>
        <w:rPr>
          <w:spacing w:val="-2"/>
        </w:rPr>
        <w:t> </w:t>
      </w:r>
      <w:r>
        <w:rPr/>
        <w:t>included</w:t>
      </w:r>
      <w:r>
        <w:rPr>
          <w:spacing w:val="-2"/>
        </w:rPr>
        <w:t> </w:t>
      </w:r>
      <w:r>
        <w:rPr/>
        <w:t>in</w:t>
      </w:r>
      <w:r>
        <w:rPr>
          <w:spacing w:val="-2"/>
        </w:rPr>
        <w:t> </w:t>
      </w:r>
      <w:r>
        <w:rPr/>
        <w:t>our</w:t>
      </w:r>
      <w:r>
        <w:rPr>
          <w:spacing w:val="-2"/>
        </w:rPr>
        <w:t> </w:t>
      </w:r>
      <w:r>
        <w:rPr/>
        <w:t>definitive</w:t>
      </w:r>
      <w:r>
        <w:rPr>
          <w:spacing w:val="-2"/>
        </w:rPr>
        <w:t> </w:t>
      </w:r>
      <w:r>
        <w:rPr/>
        <w:t>Proxy</w:t>
      </w:r>
      <w:r>
        <w:rPr>
          <w:spacing w:val="-2"/>
        </w:rPr>
        <w:t> </w:t>
      </w:r>
      <w:r>
        <w:rPr/>
        <w:t>Statement</w:t>
      </w:r>
      <w:r>
        <w:rPr>
          <w:spacing w:val="-2"/>
        </w:rPr>
        <w:t> </w:t>
      </w:r>
      <w:r>
        <w:rPr/>
        <w:t>for</w:t>
      </w:r>
      <w:r>
        <w:rPr>
          <w:spacing w:val="-2"/>
        </w:rPr>
        <w:t> </w:t>
      </w:r>
      <w:r>
        <w:rPr/>
        <w:t>our</w:t>
      </w:r>
      <w:r>
        <w:rPr>
          <w:spacing w:val="-2"/>
        </w:rPr>
        <w:t> </w:t>
      </w:r>
      <w:r>
        <w:rPr/>
        <w:t>2023</w:t>
      </w:r>
      <w:r>
        <w:rPr>
          <w:spacing w:val="-11"/>
        </w:rPr>
        <w:t> </w:t>
      </w:r>
      <w:r>
        <w:rPr/>
        <w:t>Annual</w:t>
      </w:r>
      <w:r>
        <w:rPr>
          <w:spacing w:val="-2"/>
        </w:rPr>
        <w:t> </w:t>
      </w:r>
      <w:r>
        <w:rPr/>
        <w:t>Meeting</w:t>
      </w:r>
      <w:r>
        <w:rPr>
          <w:spacing w:val="-2"/>
        </w:rPr>
        <w:t> </w:t>
      </w:r>
      <w:r>
        <w:rPr/>
        <w:t>of</w:t>
      </w:r>
      <w:r>
        <w:rPr>
          <w:spacing w:val="-2"/>
        </w:rPr>
        <w:t> </w:t>
      </w:r>
      <w:r>
        <w:rPr/>
        <w:t>Stockholders,</w:t>
      </w:r>
      <w:r>
        <w:rPr>
          <w:spacing w:val="-2"/>
        </w:rPr>
        <w:t> </w:t>
      </w:r>
      <w:r>
        <w:rPr/>
        <w:t>which</w:t>
      </w:r>
      <w:r>
        <w:rPr>
          <w:spacing w:val="-2"/>
        </w:rPr>
        <w:t> </w:t>
      </w:r>
      <w:r>
        <w:rPr/>
        <w:t>we</w:t>
      </w:r>
      <w:r>
        <w:rPr>
          <w:spacing w:val="-2"/>
        </w:rPr>
        <w:t> </w:t>
      </w:r>
      <w:r>
        <w:rPr/>
        <w:t>expect to file with the SEC within 120 days after December 31, 2022 (the “Proxy Statement”), and is incorporated herein by reference.</w:t>
      </w:r>
    </w:p>
    <w:p>
      <w:pPr>
        <w:pStyle w:val="BodyText"/>
        <w:spacing w:before="5"/>
      </w:pPr>
    </w:p>
    <w:p>
      <w:pPr>
        <w:pStyle w:val="Heading4"/>
      </w:pPr>
      <w:bookmarkStart w:name="_bookmark24" w:id="25"/>
      <w:bookmarkEnd w:id="25"/>
      <w:r>
        <w:rPr>
          <w:b w:val="0"/>
        </w:rPr>
      </w:r>
      <w:r>
        <w:rPr/>
        <w:t>ITEM</w:t>
      </w:r>
      <w:r>
        <w:rPr>
          <w:spacing w:val="-3"/>
        </w:rPr>
        <w:t> </w:t>
      </w:r>
      <w:r>
        <w:rPr/>
        <w:t>11.</w:t>
      </w:r>
      <w:r>
        <w:rPr>
          <w:spacing w:val="41"/>
        </w:rPr>
        <w:t>  </w:t>
      </w:r>
      <w:r>
        <w:rPr/>
        <w:t>EXECUTIVE</w:t>
      </w:r>
      <w:r>
        <w:rPr>
          <w:spacing w:val="-2"/>
        </w:rPr>
        <w:t> COMPENSATION</w:t>
      </w:r>
    </w:p>
    <w:p>
      <w:pPr>
        <w:pStyle w:val="BodyText"/>
        <w:spacing w:before="4"/>
        <w:rPr>
          <w:b/>
        </w:rPr>
      </w:pPr>
    </w:p>
    <w:p>
      <w:pPr>
        <w:pStyle w:val="BodyText"/>
        <w:spacing w:before="1"/>
        <w:ind w:left="644"/>
      </w:pPr>
      <w:r>
        <w:rPr/>
        <w:t>The</w:t>
      </w:r>
      <w:r>
        <w:rPr>
          <w:spacing w:val="-1"/>
        </w:rPr>
        <w:t> </w:t>
      </w:r>
      <w:r>
        <w:rPr/>
        <w:t>information</w:t>
      </w:r>
      <w:r>
        <w:rPr>
          <w:spacing w:val="-1"/>
        </w:rPr>
        <w:t> </w:t>
      </w:r>
      <w:r>
        <w:rPr/>
        <w:t>required</w:t>
      </w:r>
      <w:r>
        <w:rPr>
          <w:spacing w:val="-1"/>
        </w:rPr>
        <w:t> </w:t>
      </w:r>
      <w:r>
        <w:rPr/>
        <w:t>by</w:t>
      </w:r>
      <w:r>
        <w:rPr>
          <w:spacing w:val="-1"/>
        </w:rPr>
        <w:t> </w:t>
      </w:r>
      <w:r>
        <w:rPr/>
        <w:t>this</w:t>
      </w:r>
      <w:r>
        <w:rPr>
          <w:spacing w:val="-1"/>
        </w:rPr>
        <w:t> </w:t>
      </w:r>
      <w:r>
        <w:rPr/>
        <w:t>Item</w:t>
      </w:r>
      <w:r>
        <w:rPr>
          <w:spacing w:val="-1"/>
        </w:rPr>
        <w:t> </w:t>
      </w:r>
      <w:r>
        <w:rPr/>
        <w:t>will</w:t>
      </w:r>
      <w:r>
        <w:rPr>
          <w:spacing w:val="-1"/>
        </w:rPr>
        <w:t> </w:t>
      </w:r>
      <w:r>
        <w:rPr/>
        <w:t>be</w:t>
      </w:r>
      <w:r>
        <w:rPr>
          <w:spacing w:val="-1"/>
        </w:rPr>
        <w:t> </w:t>
      </w:r>
      <w:r>
        <w:rPr/>
        <w:t>included</w:t>
      </w:r>
      <w:r>
        <w:rPr>
          <w:spacing w:val="-1"/>
        </w:rPr>
        <w:t> </w:t>
      </w:r>
      <w:r>
        <w:rPr/>
        <w:t>in</w:t>
      </w:r>
      <w:r>
        <w:rPr>
          <w:spacing w:val="-1"/>
        </w:rPr>
        <w:t> </w:t>
      </w:r>
      <w:r>
        <w:rPr/>
        <w:t>the</w:t>
      </w:r>
      <w:r>
        <w:rPr>
          <w:spacing w:val="-1"/>
        </w:rPr>
        <w:t> </w:t>
      </w:r>
      <w:r>
        <w:rPr/>
        <w:t>Proxy</w:t>
      </w:r>
      <w:r>
        <w:rPr>
          <w:spacing w:val="-1"/>
        </w:rPr>
        <w:t> </w:t>
      </w:r>
      <w:r>
        <w:rPr/>
        <w:t>Statement,</w:t>
      </w:r>
      <w:r>
        <w:rPr>
          <w:spacing w:val="-1"/>
        </w:rPr>
        <w:t> </w:t>
      </w:r>
      <w:r>
        <w:rPr/>
        <w:t>and</w:t>
      </w:r>
      <w:r>
        <w:rPr>
          <w:spacing w:val="-1"/>
        </w:rPr>
        <w:t> </w:t>
      </w:r>
      <w:r>
        <w:rPr/>
        <w:t>is</w:t>
      </w:r>
      <w:r>
        <w:rPr>
          <w:spacing w:val="-1"/>
        </w:rPr>
        <w:t> </w:t>
      </w:r>
      <w:r>
        <w:rPr/>
        <w:t>incorporated</w:t>
      </w:r>
      <w:r>
        <w:rPr>
          <w:spacing w:val="-1"/>
        </w:rPr>
        <w:t> </w:t>
      </w:r>
      <w:r>
        <w:rPr/>
        <w:t>herein</w:t>
      </w:r>
      <w:r>
        <w:rPr>
          <w:spacing w:val="-1"/>
        </w:rPr>
        <w:t> </w:t>
      </w:r>
      <w:r>
        <w:rPr/>
        <w:t>by</w:t>
      </w:r>
      <w:r>
        <w:rPr>
          <w:spacing w:val="-1"/>
        </w:rPr>
        <w:t> </w:t>
      </w:r>
      <w:r>
        <w:rPr>
          <w:spacing w:val="-2"/>
        </w:rPr>
        <w:t>reference.</w:t>
      </w:r>
    </w:p>
    <w:p>
      <w:pPr>
        <w:pStyle w:val="BodyText"/>
        <w:spacing w:before="21"/>
      </w:pPr>
    </w:p>
    <w:p>
      <w:pPr>
        <w:pStyle w:val="Heading4"/>
        <w:spacing w:line="235" w:lineRule="auto"/>
        <w:ind w:right="118"/>
      </w:pPr>
      <w:bookmarkStart w:name="_bookmark25" w:id="26"/>
      <w:bookmarkEnd w:id="26"/>
      <w:r>
        <w:rPr>
          <w:b w:val="0"/>
        </w:rPr>
      </w:r>
      <w:r>
        <w:rPr/>
        <w:t>ITEM</w:t>
      </w:r>
      <w:r>
        <w:rPr>
          <w:spacing w:val="-12"/>
        </w:rPr>
        <w:t> </w:t>
      </w:r>
      <w:r>
        <w:rPr/>
        <w:t>12.</w:t>
      </w:r>
      <w:r>
        <w:rPr>
          <w:spacing w:val="80"/>
          <w:w w:val="150"/>
        </w:rPr>
        <w:t> </w:t>
      </w:r>
      <w:r>
        <w:rPr/>
        <w:t>SECURITY</w:t>
      </w:r>
      <w:r>
        <w:rPr>
          <w:spacing w:val="-12"/>
        </w:rPr>
        <w:t> </w:t>
      </w:r>
      <w:r>
        <w:rPr/>
        <w:t>OWNERSHIP</w:t>
      </w:r>
      <w:r>
        <w:rPr>
          <w:spacing w:val="-11"/>
        </w:rPr>
        <w:t> </w:t>
      </w:r>
      <w:r>
        <w:rPr/>
        <w:t>OF</w:t>
      </w:r>
      <w:r>
        <w:rPr>
          <w:spacing w:val="-11"/>
        </w:rPr>
        <w:t> </w:t>
      </w:r>
      <w:r>
        <w:rPr/>
        <w:t>CERTAIN</w:t>
      </w:r>
      <w:r>
        <w:rPr>
          <w:spacing w:val="-6"/>
        </w:rPr>
        <w:t> </w:t>
      </w:r>
      <w:r>
        <w:rPr/>
        <w:t>BENEFICIAL</w:t>
      </w:r>
      <w:r>
        <w:rPr>
          <w:spacing w:val="-12"/>
        </w:rPr>
        <w:t> </w:t>
      </w:r>
      <w:r>
        <w:rPr/>
        <w:t>OWNERS</w:t>
      </w:r>
      <w:r>
        <w:rPr>
          <w:spacing w:val="-11"/>
        </w:rPr>
        <w:t> </w:t>
      </w:r>
      <w:r>
        <w:rPr/>
        <w:t>AND</w:t>
      </w:r>
      <w:r>
        <w:rPr>
          <w:spacing w:val="-6"/>
        </w:rPr>
        <w:t> </w:t>
      </w:r>
      <w:r>
        <w:rPr/>
        <w:t>MANAGEMENT</w:t>
      </w:r>
      <w:r>
        <w:rPr>
          <w:spacing w:val="-14"/>
        </w:rPr>
        <w:t> </w:t>
      </w:r>
      <w:r>
        <w:rPr/>
        <w:t>AND</w:t>
      </w:r>
      <w:r>
        <w:rPr>
          <w:spacing w:val="-6"/>
        </w:rPr>
        <w:t> </w:t>
      </w:r>
      <w:r>
        <w:rPr/>
        <w:t>RELATED</w:t>
      </w:r>
      <w:r>
        <w:rPr>
          <w:spacing w:val="-6"/>
        </w:rPr>
        <w:t> </w:t>
      </w:r>
      <w:r>
        <w:rPr/>
        <w:t>STOCKHOLDER </w:t>
      </w:r>
      <w:r>
        <w:rPr>
          <w:spacing w:val="-2"/>
        </w:rPr>
        <w:t>MATTERS</w:t>
      </w:r>
    </w:p>
    <w:p>
      <w:pPr>
        <w:pStyle w:val="BodyText"/>
        <w:spacing w:before="198"/>
        <w:ind w:left="644"/>
      </w:pPr>
      <w:r>
        <w:rPr/>
        <w:t>The</w:t>
      </w:r>
      <w:r>
        <w:rPr>
          <w:spacing w:val="-1"/>
        </w:rPr>
        <w:t> </w:t>
      </w:r>
      <w:r>
        <w:rPr/>
        <w:t>information</w:t>
      </w:r>
      <w:r>
        <w:rPr>
          <w:spacing w:val="-1"/>
        </w:rPr>
        <w:t> </w:t>
      </w:r>
      <w:r>
        <w:rPr/>
        <w:t>required</w:t>
      </w:r>
      <w:r>
        <w:rPr>
          <w:spacing w:val="-1"/>
        </w:rPr>
        <w:t> </w:t>
      </w:r>
      <w:r>
        <w:rPr/>
        <w:t>by</w:t>
      </w:r>
      <w:r>
        <w:rPr>
          <w:spacing w:val="-1"/>
        </w:rPr>
        <w:t> </w:t>
      </w:r>
      <w:r>
        <w:rPr/>
        <w:t>this</w:t>
      </w:r>
      <w:r>
        <w:rPr>
          <w:spacing w:val="-1"/>
        </w:rPr>
        <w:t> </w:t>
      </w:r>
      <w:r>
        <w:rPr/>
        <w:t>Item</w:t>
      </w:r>
      <w:r>
        <w:rPr>
          <w:spacing w:val="-1"/>
        </w:rPr>
        <w:t> </w:t>
      </w:r>
      <w:r>
        <w:rPr/>
        <w:t>will</w:t>
      </w:r>
      <w:r>
        <w:rPr>
          <w:spacing w:val="-1"/>
        </w:rPr>
        <w:t> </w:t>
      </w:r>
      <w:r>
        <w:rPr/>
        <w:t>be</w:t>
      </w:r>
      <w:r>
        <w:rPr>
          <w:spacing w:val="-1"/>
        </w:rPr>
        <w:t> </w:t>
      </w:r>
      <w:r>
        <w:rPr/>
        <w:t>included</w:t>
      </w:r>
      <w:r>
        <w:rPr>
          <w:spacing w:val="-1"/>
        </w:rPr>
        <w:t> </w:t>
      </w:r>
      <w:r>
        <w:rPr/>
        <w:t>in</w:t>
      </w:r>
      <w:r>
        <w:rPr>
          <w:spacing w:val="-1"/>
        </w:rPr>
        <w:t> </w:t>
      </w:r>
      <w:r>
        <w:rPr/>
        <w:t>the</w:t>
      </w:r>
      <w:r>
        <w:rPr>
          <w:spacing w:val="-1"/>
        </w:rPr>
        <w:t> </w:t>
      </w:r>
      <w:r>
        <w:rPr/>
        <w:t>Proxy</w:t>
      </w:r>
      <w:r>
        <w:rPr>
          <w:spacing w:val="-1"/>
        </w:rPr>
        <w:t> </w:t>
      </w:r>
      <w:r>
        <w:rPr/>
        <w:t>Statement,</w:t>
      </w:r>
      <w:r>
        <w:rPr>
          <w:spacing w:val="-1"/>
        </w:rPr>
        <w:t> </w:t>
      </w:r>
      <w:r>
        <w:rPr/>
        <w:t>and</w:t>
      </w:r>
      <w:r>
        <w:rPr>
          <w:spacing w:val="-1"/>
        </w:rPr>
        <w:t> </w:t>
      </w:r>
      <w:r>
        <w:rPr/>
        <w:t>is</w:t>
      </w:r>
      <w:r>
        <w:rPr>
          <w:spacing w:val="-1"/>
        </w:rPr>
        <w:t> </w:t>
      </w:r>
      <w:r>
        <w:rPr/>
        <w:t>incorporated</w:t>
      </w:r>
      <w:r>
        <w:rPr>
          <w:spacing w:val="-1"/>
        </w:rPr>
        <w:t> </w:t>
      </w:r>
      <w:r>
        <w:rPr/>
        <w:t>herein</w:t>
      </w:r>
      <w:r>
        <w:rPr>
          <w:spacing w:val="-1"/>
        </w:rPr>
        <w:t> </w:t>
      </w:r>
      <w:r>
        <w:rPr/>
        <w:t>by</w:t>
      </w:r>
      <w:r>
        <w:rPr>
          <w:spacing w:val="-1"/>
        </w:rPr>
        <w:t> </w:t>
      </w:r>
      <w:r>
        <w:rPr>
          <w:spacing w:val="-2"/>
        </w:rPr>
        <w:t>reference.</w:t>
      </w:r>
    </w:p>
    <w:p>
      <w:pPr>
        <w:pStyle w:val="BodyText"/>
        <w:spacing w:before="18"/>
      </w:pPr>
    </w:p>
    <w:p>
      <w:pPr>
        <w:pStyle w:val="Heading5"/>
        <w:jc w:val="left"/>
      </w:pPr>
      <w:r>
        <w:rPr/>
        <w:t>Equity</w:t>
      </w:r>
      <w:r>
        <w:rPr>
          <w:spacing w:val="-1"/>
        </w:rPr>
        <w:t> </w:t>
      </w:r>
      <w:r>
        <w:rPr/>
        <w:t>Compensation</w:t>
      </w:r>
      <w:r>
        <w:rPr>
          <w:spacing w:val="-1"/>
        </w:rPr>
        <w:t> </w:t>
      </w:r>
      <w:r>
        <w:rPr/>
        <w:t>Plan</w:t>
      </w:r>
      <w:r>
        <w:rPr>
          <w:spacing w:val="-1"/>
        </w:rPr>
        <w:t> </w:t>
      </w:r>
      <w:r>
        <w:rPr>
          <w:spacing w:val="-2"/>
        </w:rPr>
        <w:t>Information</w:t>
      </w:r>
    </w:p>
    <w:p>
      <w:pPr>
        <w:pStyle w:val="BodyText"/>
        <w:spacing w:before="18"/>
        <w:rPr>
          <w:b/>
        </w:rPr>
      </w:pPr>
    </w:p>
    <w:p>
      <w:pPr>
        <w:pStyle w:val="BodyText"/>
        <w:spacing w:before="1"/>
        <w:ind w:left="644"/>
      </w:pPr>
      <w:r>
        <w:rPr/>
        <w:t>The</w:t>
      </w:r>
      <w:r>
        <w:rPr>
          <w:spacing w:val="-1"/>
        </w:rPr>
        <w:t> </w:t>
      </w:r>
      <w:r>
        <w:rPr/>
        <w:t>following</w:t>
      </w:r>
      <w:r>
        <w:rPr>
          <w:spacing w:val="-1"/>
        </w:rPr>
        <w:t> </w:t>
      </w:r>
      <w:r>
        <w:rPr/>
        <w:t>table</w:t>
      </w:r>
      <w:r>
        <w:rPr>
          <w:spacing w:val="-1"/>
        </w:rPr>
        <w:t> </w:t>
      </w:r>
      <w:r>
        <w:rPr/>
        <w:t>includes</w:t>
      </w:r>
      <w:r>
        <w:rPr>
          <w:spacing w:val="-1"/>
        </w:rPr>
        <w:t> </w:t>
      </w:r>
      <w:r>
        <w:rPr/>
        <w:t>information</w:t>
      </w:r>
      <w:r>
        <w:rPr>
          <w:spacing w:val="-1"/>
        </w:rPr>
        <w:t> </w:t>
      </w:r>
      <w:r>
        <w:rPr/>
        <w:t>about</w:t>
      </w:r>
      <w:r>
        <w:rPr>
          <w:spacing w:val="-1"/>
        </w:rPr>
        <w:t> </w:t>
      </w:r>
      <w:r>
        <w:rPr/>
        <w:t>our</w:t>
      </w:r>
      <w:r>
        <w:rPr>
          <w:spacing w:val="-1"/>
        </w:rPr>
        <w:t> </w:t>
      </w:r>
      <w:r>
        <w:rPr/>
        <w:t>equity</w:t>
      </w:r>
      <w:r>
        <w:rPr>
          <w:spacing w:val="-1"/>
        </w:rPr>
        <w:t> </w:t>
      </w:r>
      <w:r>
        <w:rPr/>
        <w:t>compensation</w:t>
      </w:r>
      <w:r>
        <w:rPr>
          <w:spacing w:val="-1"/>
        </w:rPr>
        <w:t> </w:t>
      </w:r>
      <w:r>
        <w:rPr/>
        <w:t>plans</w:t>
      </w:r>
      <w:r>
        <w:rPr>
          <w:spacing w:val="-1"/>
        </w:rPr>
        <w:t> </w:t>
      </w:r>
      <w:r>
        <w:rPr/>
        <w:t>at</w:t>
      </w:r>
      <w:r>
        <w:rPr>
          <w:spacing w:val="-1"/>
        </w:rPr>
        <w:t> </w:t>
      </w:r>
      <w:r>
        <w:rPr/>
        <w:t>December</w:t>
      </w:r>
      <w:r>
        <w:rPr>
          <w:spacing w:val="-1"/>
        </w:rPr>
        <w:t> </w:t>
      </w:r>
      <w:r>
        <w:rPr/>
        <w:t>31,</w:t>
      </w:r>
      <w:r>
        <w:rPr>
          <w:spacing w:val="-1"/>
        </w:rPr>
        <w:t> </w:t>
      </w:r>
      <w:r>
        <w:rPr>
          <w:spacing w:val="-2"/>
        </w:rPr>
        <w:t>2022:</w:t>
      </w:r>
    </w:p>
    <w:p>
      <w:pPr>
        <w:pStyle w:val="BodyText"/>
        <w:rPr>
          <w:sz w:val="15"/>
        </w:rPr>
      </w:pPr>
    </w:p>
    <w:p>
      <w:pPr>
        <w:spacing w:after="0"/>
        <w:rPr>
          <w:sz w:val="15"/>
        </w:rPr>
        <w:sectPr>
          <w:pgSz w:w="12240" w:h="15840"/>
          <w:pgMar w:top="1200" w:bottom="280" w:left="220" w:right="240"/>
        </w:sectPr>
      </w:pPr>
    </w:p>
    <w:p>
      <w:pPr>
        <w:spacing w:line="240" w:lineRule="auto" w:before="93"/>
        <w:ind w:left="5940" w:right="0" w:firstLine="0"/>
        <w:jc w:val="center"/>
        <w:rPr>
          <w:b/>
          <w:sz w:val="18"/>
        </w:rPr>
      </w:pPr>
      <w:r>
        <w:rPr>
          <w:b/>
          <w:sz w:val="18"/>
        </w:rPr>
        <w:t>Securities</w:t>
      </w:r>
      <w:r>
        <w:rPr>
          <w:b/>
          <w:spacing w:val="-12"/>
          <w:sz w:val="18"/>
        </w:rPr>
        <w:t> </w:t>
      </w:r>
      <w:r>
        <w:rPr>
          <w:b/>
          <w:sz w:val="18"/>
        </w:rPr>
        <w:t>to</w:t>
      </w:r>
      <w:r>
        <w:rPr>
          <w:b/>
          <w:spacing w:val="-11"/>
          <w:sz w:val="18"/>
        </w:rPr>
        <w:t> </w:t>
      </w:r>
      <w:r>
        <w:rPr>
          <w:b/>
          <w:sz w:val="18"/>
        </w:rPr>
        <w:t>be</w:t>
      </w:r>
      <w:r>
        <w:rPr>
          <w:b/>
          <w:spacing w:val="-11"/>
          <w:sz w:val="18"/>
        </w:rPr>
        <w:t> </w:t>
      </w:r>
      <w:r>
        <w:rPr>
          <w:b/>
          <w:sz w:val="18"/>
        </w:rPr>
        <w:t>issued upon exercise of outstanding options, warrants and rights</w:t>
      </w:r>
    </w:p>
    <w:p>
      <w:pPr>
        <w:spacing w:line="240" w:lineRule="auto" w:before="93"/>
        <w:ind w:left="307" w:right="0" w:firstLine="0"/>
        <w:jc w:val="center"/>
        <w:rPr>
          <w:b/>
          <w:sz w:val="18"/>
        </w:rPr>
      </w:pPr>
      <w:r>
        <w:rPr/>
        <w:br w:type="column"/>
      </w:r>
      <w:r>
        <w:rPr>
          <w:b/>
          <w:sz w:val="18"/>
        </w:rPr>
        <w:t>Weighted average exercise price of outstanding</w:t>
      </w:r>
      <w:r>
        <w:rPr>
          <w:b/>
          <w:spacing w:val="-12"/>
          <w:sz w:val="18"/>
        </w:rPr>
        <w:t> </w:t>
      </w:r>
      <w:r>
        <w:rPr>
          <w:b/>
          <w:sz w:val="18"/>
        </w:rPr>
        <w:t>options, warrants</w:t>
      </w:r>
      <w:r>
        <w:rPr>
          <w:b/>
          <w:spacing w:val="-1"/>
          <w:sz w:val="18"/>
        </w:rPr>
        <w:t> </w:t>
      </w:r>
      <w:r>
        <w:rPr>
          <w:b/>
          <w:sz w:val="18"/>
        </w:rPr>
        <w:t>and</w:t>
      </w:r>
      <w:r>
        <w:rPr>
          <w:b/>
          <w:spacing w:val="-1"/>
          <w:sz w:val="18"/>
        </w:rPr>
        <w:t> </w:t>
      </w:r>
      <w:r>
        <w:rPr>
          <w:b/>
          <w:spacing w:val="-2"/>
          <w:sz w:val="18"/>
        </w:rPr>
        <w:t>rights</w:t>
      </w:r>
    </w:p>
    <w:p>
      <w:pPr>
        <w:spacing w:line="240" w:lineRule="auto" w:before="93"/>
        <w:ind w:left="273" w:right="173" w:firstLine="0"/>
        <w:jc w:val="center"/>
        <w:rPr>
          <w:b/>
          <w:sz w:val="18"/>
        </w:rPr>
      </w:pPr>
      <w:r>
        <w:rPr/>
        <w:br w:type="column"/>
      </w:r>
      <w:r>
        <w:rPr>
          <w:b/>
          <w:sz w:val="18"/>
        </w:rPr>
        <w:t>Securities</w:t>
      </w:r>
      <w:r>
        <w:rPr>
          <w:b/>
          <w:spacing w:val="-12"/>
          <w:sz w:val="18"/>
        </w:rPr>
        <w:t> </w:t>
      </w:r>
      <w:r>
        <w:rPr>
          <w:b/>
          <w:sz w:val="18"/>
        </w:rPr>
        <w:t>available</w:t>
      </w:r>
      <w:r>
        <w:rPr>
          <w:b/>
          <w:spacing w:val="-11"/>
          <w:sz w:val="18"/>
        </w:rPr>
        <w:t> </w:t>
      </w:r>
      <w:r>
        <w:rPr>
          <w:b/>
          <w:sz w:val="18"/>
        </w:rPr>
        <w:t>for future issuance under equity compensation </w:t>
      </w:r>
      <w:r>
        <w:rPr>
          <w:b/>
          <w:spacing w:val="-2"/>
          <w:sz w:val="18"/>
        </w:rPr>
        <w:t>plans</w:t>
      </w:r>
    </w:p>
    <w:p>
      <w:pPr>
        <w:spacing w:after="0" w:line="240" w:lineRule="auto"/>
        <w:jc w:val="center"/>
        <w:rPr>
          <w:sz w:val="18"/>
        </w:rPr>
        <w:sectPr>
          <w:type w:val="continuous"/>
          <w:pgSz w:w="12240" w:h="15840"/>
          <w:pgMar w:top="1040" w:bottom="280" w:left="220" w:right="240"/>
          <w:cols w:num="3" w:equalWidth="0">
            <w:col w:w="7625" w:space="40"/>
            <w:col w:w="1868" w:space="39"/>
            <w:col w:w="2208"/>
          </w:cols>
        </w:sectPr>
      </w:pPr>
    </w:p>
    <w:p>
      <w:pPr>
        <w:pStyle w:val="BodyText"/>
        <w:spacing w:before="5"/>
        <w:rPr>
          <w:b/>
          <w:sz w:val="2"/>
        </w:rPr>
      </w:pPr>
    </w:p>
    <w:p>
      <w:pPr>
        <w:pStyle w:val="BodyText"/>
        <w:spacing w:line="20" w:lineRule="exact"/>
        <w:ind w:left="5855"/>
        <w:rPr>
          <w:sz w:val="2"/>
        </w:rPr>
      </w:pPr>
      <w:r>
        <w:rPr>
          <w:sz w:val="2"/>
        </w:rPr>
        <mc:AlternateContent>
          <mc:Choice Requires="wps">
            <w:drawing>
              <wp:inline distT="0" distB="0" distL="0" distR="0">
                <wp:extent cx="3686175" cy="8890"/>
                <wp:effectExtent l="0" t="0" r="0" b="0"/>
                <wp:docPr id="700" name="Group 700"/>
                <wp:cNvGraphicFramePr>
                  <a:graphicFrameLocks/>
                </wp:cNvGraphicFramePr>
                <a:graphic>
                  <a:graphicData uri="http://schemas.microsoft.com/office/word/2010/wordprocessingGroup">
                    <wpg:wgp>
                      <wpg:cNvPr id="700" name="Group 700"/>
                      <wpg:cNvGrpSpPr/>
                      <wpg:grpSpPr>
                        <a:xfrm>
                          <a:off x="0" y="0"/>
                          <a:ext cx="3686175" cy="8890"/>
                          <a:chExt cx="3686175" cy="8890"/>
                        </a:xfrm>
                      </wpg:grpSpPr>
                      <wps:wsp>
                        <wps:cNvPr id="701" name="Graphic 701"/>
                        <wps:cNvSpPr/>
                        <wps:spPr>
                          <a:xfrm>
                            <a:off x="-12" y="-10"/>
                            <a:ext cx="3686175" cy="8890"/>
                          </a:xfrm>
                          <a:custGeom>
                            <a:avLst/>
                            <a:gdLst/>
                            <a:ahLst/>
                            <a:cxnLst/>
                            <a:rect l="l" t="t" r="r" b="b"/>
                            <a:pathLst>
                              <a:path w="3686175" h="8890">
                                <a:moveTo>
                                  <a:pt x="3686175" y="0"/>
                                </a:moveTo>
                                <a:lnTo>
                                  <a:pt x="3686175" y="0"/>
                                </a:lnTo>
                                <a:lnTo>
                                  <a:pt x="0" y="0"/>
                                </a:lnTo>
                                <a:lnTo>
                                  <a:pt x="0" y="8572"/>
                                </a:lnTo>
                                <a:lnTo>
                                  <a:pt x="3686175" y="8572"/>
                                </a:lnTo>
                                <a:lnTo>
                                  <a:pt x="36861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0.25pt;height:.7pt;mso-position-horizontal-relative:char;mso-position-vertical-relative:line" id="docshapegroup698" coordorigin="0,0" coordsize="5805,14">
                <v:rect style="position:absolute;left:-1;top:-1;width:5805;height:14" id="docshape699" filled="true" fillcolor="#000000" stroked="false">
                  <v:fill type="solid"/>
                </v:rect>
              </v:group>
            </w:pict>
          </mc:Fallback>
        </mc:AlternateContent>
      </w:r>
      <w:r>
        <w:rPr>
          <w:sz w:val="2"/>
        </w:rPr>
      </w:r>
    </w:p>
    <w:p>
      <w:pPr>
        <w:spacing w:before="11"/>
        <w:ind w:left="7651" w:right="0" w:firstLine="0"/>
        <w:jc w:val="left"/>
        <w:rPr>
          <w:b/>
          <w:i/>
          <w:sz w:val="14"/>
        </w:rPr>
      </w:pPr>
      <w:r>
        <w:rPr/>
        <mc:AlternateContent>
          <mc:Choice Requires="wps">
            <w:drawing>
              <wp:anchor distT="0" distB="0" distL="0" distR="0" allowOverlap="1" layoutInCell="1" locked="0" behindDoc="1" simplePos="0" relativeHeight="487730176">
                <wp:simplePos x="0" y="0"/>
                <wp:positionH relativeFrom="page">
                  <wp:posOffset>231457</wp:posOffset>
                </wp:positionH>
                <wp:positionV relativeFrom="paragraph">
                  <wp:posOffset>133359</wp:posOffset>
                </wp:positionV>
                <wp:extent cx="7312659" cy="171450"/>
                <wp:effectExtent l="0" t="0" r="0" b="0"/>
                <wp:wrapTopAndBottom/>
                <wp:docPr id="702" name="Textbox 702"/>
                <wp:cNvGraphicFramePr>
                  <a:graphicFrameLocks/>
                </wp:cNvGraphicFramePr>
                <a:graphic>
                  <a:graphicData uri="http://schemas.microsoft.com/office/word/2010/wordprocessingShape">
                    <wps:wsp>
                      <wps:cNvPr id="702" name="Textbox 702"/>
                      <wps:cNvSpPr txBox="1"/>
                      <wps:spPr>
                        <a:xfrm>
                          <a:off x="0" y="0"/>
                          <a:ext cx="7312659" cy="171450"/>
                        </a:xfrm>
                        <a:prstGeom prst="rect">
                          <a:avLst/>
                        </a:prstGeom>
                        <a:solidFill>
                          <a:srgbClr val="CFF0FB"/>
                        </a:solidFill>
                      </wps:spPr>
                      <wps:txbx>
                        <w:txbxContent>
                          <w:p>
                            <w:pPr>
                              <w:pStyle w:val="BodyText"/>
                              <w:tabs>
                                <w:tab w:pos="7147" w:val="left" w:leader="none"/>
                                <w:tab w:pos="9066" w:val="left" w:leader="none"/>
                                <w:tab w:pos="11002" w:val="left" w:leader="none"/>
                              </w:tabs>
                              <w:spacing w:before="34"/>
                              <w:ind w:left="17"/>
                              <w:rPr>
                                <w:color w:val="000000"/>
                              </w:rPr>
                            </w:pPr>
                            <w:r>
                              <w:rPr>
                                <w:color w:val="000000"/>
                              </w:rPr>
                              <w:t>Equity</w:t>
                            </w:r>
                            <w:r>
                              <w:rPr>
                                <w:color w:val="000000"/>
                                <w:spacing w:val="-1"/>
                              </w:rPr>
                              <w:t> </w:t>
                            </w:r>
                            <w:r>
                              <w:rPr>
                                <w:color w:val="000000"/>
                              </w:rPr>
                              <w:t>compensation</w:t>
                            </w:r>
                            <w:r>
                              <w:rPr>
                                <w:color w:val="000000"/>
                                <w:spacing w:val="-1"/>
                              </w:rPr>
                              <w:t> </w:t>
                            </w:r>
                            <w:r>
                              <w:rPr>
                                <w:color w:val="000000"/>
                              </w:rPr>
                              <w:t>plans</w:t>
                            </w:r>
                            <w:r>
                              <w:rPr>
                                <w:color w:val="000000"/>
                                <w:spacing w:val="-1"/>
                              </w:rPr>
                              <w:t> </w:t>
                            </w:r>
                            <w:r>
                              <w:rPr>
                                <w:color w:val="000000"/>
                              </w:rPr>
                              <w:t>approved</w:t>
                            </w:r>
                            <w:r>
                              <w:rPr>
                                <w:color w:val="000000"/>
                                <w:spacing w:val="-1"/>
                              </w:rPr>
                              <w:t> </w:t>
                            </w:r>
                            <w:r>
                              <w:rPr>
                                <w:color w:val="000000"/>
                              </w:rPr>
                              <w:t>by</w:t>
                            </w:r>
                            <w:r>
                              <w:rPr>
                                <w:color w:val="000000"/>
                                <w:spacing w:val="-1"/>
                              </w:rPr>
                              <w:t> </w:t>
                            </w:r>
                            <w:r>
                              <w:rPr>
                                <w:color w:val="000000"/>
                              </w:rPr>
                              <w:t>security</w:t>
                            </w:r>
                            <w:r>
                              <w:rPr>
                                <w:color w:val="000000"/>
                                <w:spacing w:val="-1"/>
                              </w:rPr>
                              <w:t> </w:t>
                            </w:r>
                            <w:r>
                              <w:rPr>
                                <w:color w:val="000000"/>
                              </w:rPr>
                              <w:t>holders </w:t>
                            </w:r>
                            <w:r>
                              <w:rPr>
                                <w:color w:val="000000"/>
                                <w:spacing w:val="-5"/>
                                <w:vertAlign w:val="superscript"/>
                              </w:rPr>
                              <w:t>(1)</w:t>
                            </w:r>
                            <w:r>
                              <w:rPr>
                                <w:color w:val="000000"/>
                                <w:vertAlign w:val="baseline"/>
                              </w:rPr>
                              <w:tab/>
                              <w:t>6,345</w:t>
                            </w:r>
                            <w:r>
                              <w:rPr>
                                <w:color w:val="000000"/>
                                <w:spacing w:val="67"/>
                                <w:w w:val="150"/>
                                <w:vertAlign w:val="baseline"/>
                              </w:rPr>
                              <w:t> </w:t>
                            </w:r>
                            <w:r>
                              <w:rPr>
                                <w:color w:val="000000"/>
                                <w:spacing w:val="-10"/>
                                <w:vertAlign w:val="baseline"/>
                              </w:rPr>
                              <w:t>$</w:t>
                            </w:r>
                            <w:r>
                              <w:rPr>
                                <w:color w:val="000000"/>
                                <w:vertAlign w:val="baseline"/>
                              </w:rPr>
                              <w:tab/>
                            </w:r>
                            <w:r>
                              <w:rPr>
                                <w:color w:val="000000"/>
                                <w:spacing w:val="-2"/>
                                <w:vertAlign w:val="baseline"/>
                              </w:rPr>
                              <w:t>26.21</w:t>
                            </w:r>
                            <w:r>
                              <w:rPr>
                                <w:color w:val="000000"/>
                                <w:vertAlign w:val="baseline"/>
                              </w:rPr>
                              <w:tab/>
                            </w:r>
                            <w:r>
                              <w:rPr>
                                <w:color w:val="000000"/>
                                <w:spacing w:val="-2"/>
                                <w:vertAlign w:val="baseline"/>
                              </w:rPr>
                              <w:t>16,397</w:t>
                            </w:r>
                          </w:p>
                        </w:txbxContent>
                      </wps:txbx>
                      <wps:bodyPr wrap="square" lIns="0" tIns="0" rIns="0" bIns="0" rtlCol="0">
                        <a:noAutofit/>
                      </wps:bodyPr>
                    </wps:wsp>
                  </a:graphicData>
                </a:graphic>
              </wp:anchor>
            </w:drawing>
          </mc:Choice>
          <mc:Fallback>
            <w:pict>
              <v:shape style="position:absolute;margin-left:18.224997pt;margin-top:10.500752pt;width:575.8pt;height:13.5pt;mso-position-horizontal-relative:page;mso-position-vertical-relative:paragraph;z-index:-15586304;mso-wrap-distance-left:0;mso-wrap-distance-right:0" type="#_x0000_t202" id="docshape700" filled="true" fillcolor="#cff0fb" stroked="false">
                <v:textbox inset="0,0,0,0">
                  <w:txbxContent>
                    <w:p>
                      <w:pPr>
                        <w:pStyle w:val="BodyText"/>
                        <w:tabs>
                          <w:tab w:pos="7147" w:val="left" w:leader="none"/>
                          <w:tab w:pos="9066" w:val="left" w:leader="none"/>
                          <w:tab w:pos="11002" w:val="left" w:leader="none"/>
                        </w:tabs>
                        <w:spacing w:before="34"/>
                        <w:ind w:left="17"/>
                        <w:rPr>
                          <w:color w:val="000000"/>
                        </w:rPr>
                      </w:pPr>
                      <w:r>
                        <w:rPr>
                          <w:color w:val="000000"/>
                        </w:rPr>
                        <w:t>Equity</w:t>
                      </w:r>
                      <w:r>
                        <w:rPr>
                          <w:color w:val="000000"/>
                          <w:spacing w:val="-1"/>
                        </w:rPr>
                        <w:t> </w:t>
                      </w:r>
                      <w:r>
                        <w:rPr>
                          <w:color w:val="000000"/>
                        </w:rPr>
                        <w:t>compensation</w:t>
                      </w:r>
                      <w:r>
                        <w:rPr>
                          <w:color w:val="000000"/>
                          <w:spacing w:val="-1"/>
                        </w:rPr>
                        <w:t> </w:t>
                      </w:r>
                      <w:r>
                        <w:rPr>
                          <w:color w:val="000000"/>
                        </w:rPr>
                        <w:t>plans</w:t>
                      </w:r>
                      <w:r>
                        <w:rPr>
                          <w:color w:val="000000"/>
                          <w:spacing w:val="-1"/>
                        </w:rPr>
                        <w:t> </w:t>
                      </w:r>
                      <w:r>
                        <w:rPr>
                          <w:color w:val="000000"/>
                        </w:rPr>
                        <w:t>approved</w:t>
                      </w:r>
                      <w:r>
                        <w:rPr>
                          <w:color w:val="000000"/>
                          <w:spacing w:val="-1"/>
                        </w:rPr>
                        <w:t> </w:t>
                      </w:r>
                      <w:r>
                        <w:rPr>
                          <w:color w:val="000000"/>
                        </w:rPr>
                        <w:t>by</w:t>
                      </w:r>
                      <w:r>
                        <w:rPr>
                          <w:color w:val="000000"/>
                          <w:spacing w:val="-1"/>
                        </w:rPr>
                        <w:t> </w:t>
                      </w:r>
                      <w:r>
                        <w:rPr>
                          <w:color w:val="000000"/>
                        </w:rPr>
                        <w:t>security</w:t>
                      </w:r>
                      <w:r>
                        <w:rPr>
                          <w:color w:val="000000"/>
                          <w:spacing w:val="-1"/>
                        </w:rPr>
                        <w:t> </w:t>
                      </w:r>
                      <w:r>
                        <w:rPr>
                          <w:color w:val="000000"/>
                        </w:rPr>
                        <w:t>holders </w:t>
                      </w:r>
                      <w:r>
                        <w:rPr>
                          <w:color w:val="000000"/>
                          <w:spacing w:val="-5"/>
                          <w:vertAlign w:val="superscript"/>
                        </w:rPr>
                        <w:t>(1)</w:t>
                      </w:r>
                      <w:r>
                        <w:rPr>
                          <w:color w:val="000000"/>
                          <w:vertAlign w:val="baseline"/>
                        </w:rPr>
                        <w:tab/>
                        <w:t>6,345</w:t>
                      </w:r>
                      <w:r>
                        <w:rPr>
                          <w:color w:val="000000"/>
                          <w:spacing w:val="67"/>
                          <w:w w:val="150"/>
                          <w:vertAlign w:val="baseline"/>
                        </w:rPr>
                        <w:t> </w:t>
                      </w:r>
                      <w:r>
                        <w:rPr>
                          <w:color w:val="000000"/>
                          <w:spacing w:val="-10"/>
                          <w:vertAlign w:val="baseline"/>
                        </w:rPr>
                        <w:t>$</w:t>
                      </w:r>
                      <w:r>
                        <w:rPr>
                          <w:color w:val="000000"/>
                          <w:vertAlign w:val="baseline"/>
                        </w:rPr>
                        <w:tab/>
                      </w:r>
                      <w:r>
                        <w:rPr>
                          <w:color w:val="000000"/>
                          <w:spacing w:val="-2"/>
                          <w:vertAlign w:val="baseline"/>
                        </w:rPr>
                        <w:t>26.21</w:t>
                      </w:r>
                      <w:r>
                        <w:rPr>
                          <w:color w:val="000000"/>
                          <w:vertAlign w:val="baseline"/>
                        </w:rPr>
                        <w:tab/>
                      </w:r>
                      <w:r>
                        <w:rPr>
                          <w:color w:val="000000"/>
                          <w:spacing w:val="-2"/>
                          <w:vertAlign w:val="baseline"/>
                        </w:rPr>
                        <w:t>16,397</w:t>
                      </w:r>
                    </w:p>
                  </w:txbxContent>
                </v:textbox>
                <v:fill type="solid"/>
                <w10:wrap type="topAndBottom"/>
              </v:shape>
            </w:pict>
          </mc:Fallback>
        </mc:AlternateContent>
      </w:r>
      <w:r>
        <w:rPr>
          <w:b/>
          <w:i/>
          <w:sz w:val="14"/>
        </w:rPr>
        <w:t>(In</w:t>
      </w:r>
      <w:r>
        <w:rPr>
          <w:b/>
          <w:i/>
          <w:spacing w:val="6"/>
          <w:sz w:val="14"/>
        </w:rPr>
        <w:t> </w:t>
      </w:r>
      <w:r>
        <w:rPr>
          <w:b/>
          <w:i/>
          <w:sz w:val="14"/>
        </w:rPr>
        <w:t>thousands,</w:t>
      </w:r>
      <w:r>
        <w:rPr>
          <w:b/>
          <w:i/>
          <w:spacing w:val="7"/>
          <w:sz w:val="14"/>
        </w:rPr>
        <w:t> </w:t>
      </w:r>
      <w:r>
        <w:rPr>
          <w:b/>
          <w:i/>
          <w:sz w:val="14"/>
        </w:rPr>
        <w:t>except</w:t>
      </w:r>
      <w:r>
        <w:rPr>
          <w:b/>
          <w:i/>
          <w:spacing w:val="7"/>
          <w:sz w:val="14"/>
        </w:rPr>
        <w:t> </w:t>
      </w:r>
      <w:r>
        <w:rPr>
          <w:b/>
          <w:i/>
          <w:sz w:val="14"/>
        </w:rPr>
        <w:t>per</w:t>
      </w:r>
      <w:r>
        <w:rPr>
          <w:b/>
          <w:i/>
          <w:spacing w:val="6"/>
          <w:sz w:val="14"/>
        </w:rPr>
        <w:t> </w:t>
      </w:r>
      <w:r>
        <w:rPr>
          <w:b/>
          <w:i/>
          <w:sz w:val="14"/>
        </w:rPr>
        <w:t>share</w:t>
      </w:r>
      <w:r>
        <w:rPr>
          <w:b/>
          <w:i/>
          <w:spacing w:val="7"/>
          <w:sz w:val="14"/>
        </w:rPr>
        <w:t> </w:t>
      </w:r>
      <w:r>
        <w:rPr>
          <w:b/>
          <w:i/>
          <w:spacing w:val="-2"/>
          <w:sz w:val="14"/>
        </w:rPr>
        <w:t>data)</w:t>
      </w:r>
    </w:p>
    <w:p>
      <w:pPr>
        <w:pStyle w:val="BodyText"/>
        <w:tabs>
          <w:tab w:pos="7516" w:val="left" w:leader="none"/>
          <w:tab w:pos="9492" w:val="left" w:leader="none"/>
          <w:tab w:pos="11461" w:val="left" w:leader="none"/>
        </w:tabs>
        <w:spacing w:before="34"/>
        <w:ind w:left="162"/>
      </w:pPr>
      <w:r>
        <w:rPr/>
        <w:t>Equity</w:t>
      </w:r>
      <w:r>
        <w:rPr>
          <w:spacing w:val="-1"/>
        </w:rPr>
        <w:t> </w:t>
      </w:r>
      <w:r>
        <w:rPr/>
        <w:t>compensation</w:t>
      </w:r>
      <w:r>
        <w:rPr>
          <w:spacing w:val="-1"/>
        </w:rPr>
        <w:t> </w:t>
      </w:r>
      <w:r>
        <w:rPr/>
        <w:t>plans</w:t>
      </w:r>
      <w:r>
        <w:rPr>
          <w:spacing w:val="-1"/>
        </w:rPr>
        <w:t> </w:t>
      </w:r>
      <w:r>
        <w:rPr/>
        <w:t>not</w:t>
      </w:r>
      <w:r>
        <w:rPr>
          <w:spacing w:val="-1"/>
        </w:rPr>
        <w:t> </w:t>
      </w:r>
      <w:r>
        <w:rPr/>
        <w:t>approved</w:t>
      </w:r>
      <w:r>
        <w:rPr>
          <w:spacing w:val="-1"/>
        </w:rPr>
        <w:t> </w:t>
      </w:r>
      <w:r>
        <w:rPr/>
        <w:t>by</w:t>
      </w:r>
      <w:r>
        <w:rPr>
          <w:spacing w:val="-1"/>
        </w:rPr>
        <w:t> </w:t>
      </w:r>
      <w:r>
        <w:rPr/>
        <w:t>security</w:t>
      </w:r>
      <w:r>
        <w:rPr>
          <w:spacing w:val="-1"/>
        </w:rPr>
        <w:t> </w:t>
      </w:r>
      <w:r>
        <w:rPr>
          <w:spacing w:val="-2"/>
        </w:rPr>
        <w:t>holders</w:t>
      </w:r>
      <w:r>
        <w:rPr/>
        <w:tab/>
      </w:r>
      <w:r>
        <w:rPr>
          <w:spacing w:val="-10"/>
        </w:rPr>
        <w:t>—</w:t>
      </w:r>
      <w:r>
        <w:rPr/>
        <w:tab/>
      </w:r>
      <w:r>
        <w:rPr>
          <w:spacing w:val="-10"/>
        </w:rPr>
        <w:t>—</w:t>
      </w:r>
      <w:r>
        <w:rPr/>
        <w:tab/>
      </w:r>
      <w:r>
        <w:rPr>
          <w:spacing w:val="-10"/>
        </w:rPr>
        <w:t>—</w:t>
      </w:r>
    </w:p>
    <w:p>
      <w:pPr>
        <w:pStyle w:val="BodyText"/>
        <w:spacing w:before="177"/>
      </w:pPr>
    </w:p>
    <w:p>
      <w:pPr>
        <w:spacing w:before="0"/>
        <w:ind w:left="581" w:right="171" w:hanging="420"/>
        <w:jc w:val="both"/>
        <w:rPr>
          <w:sz w:val="14"/>
        </w:rPr>
      </w:pPr>
      <w:r>
        <w:rPr>
          <w:sz w:val="14"/>
        </w:rPr>
        <w:t>(1)</w:t>
      </w:r>
      <w:r>
        <w:rPr>
          <w:spacing w:val="80"/>
          <w:w w:val="150"/>
          <w:sz w:val="14"/>
        </w:rPr>
        <w:t>  </w:t>
      </w:r>
      <w:r>
        <w:rPr>
          <w:sz w:val="14"/>
        </w:rPr>
        <w:t>As</w:t>
      </w:r>
      <w:r>
        <w:rPr>
          <w:spacing w:val="9"/>
          <w:sz w:val="14"/>
        </w:rPr>
        <w:t> </w:t>
      </w:r>
      <w:r>
        <w:rPr>
          <w:sz w:val="14"/>
        </w:rPr>
        <w:t>of</w:t>
      </w:r>
      <w:r>
        <w:rPr>
          <w:spacing w:val="9"/>
          <w:sz w:val="14"/>
        </w:rPr>
        <w:t> </w:t>
      </w:r>
      <w:r>
        <w:rPr>
          <w:sz w:val="14"/>
        </w:rPr>
        <w:t>December</w:t>
      </w:r>
      <w:r>
        <w:rPr>
          <w:spacing w:val="9"/>
          <w:sz w:val="14"/>
        </w:rPr>
        <w:t> </w:t>
      </w:r>
      <w:r>
        <w:rPr>
          <w:sz w:val="14"/>
        </w:rPr>
        <w:t>31,</w:t>
      </w:r>
      <w:r>
        <w:rPr>
          <w:spacing w:val="9"/>
          <w:sz w:val="14"/>
        </w:rPr>
        <w:t> </w:t>
      </w:r>
      <w:r>
        <w:rPr>
          <w:sz w:val="14"/>
        </w:rPr>
        <w:t>2022,</w:t>
      </w:r>
      <w:r>
        <w:rPr>
          <w:spacing w:val="9"/>
          <w:sz w:val="14"/>
        </w:rPr>
        <w:t> </w:t>
      </w:r>
      <w:r>
        <w:rPr>
          <w:sz w:val="14"/>
        </w:rPr>
        <w:t>we</w:t>
      </w:r>
      <w:r>
        <w:rPr>
          <w:spacing w:val="9"/>
          <w:sz w:val="14"/>
        </w:rPr>
        <w:t> </w:t>
      </w:r>
      <w:r>
        <w:rPr>
          <w:sz w:val="14"/>
        </w:rPr>
        <w:t>had</w:t>
      </w:r>
      <w:r>
        <w:rPr>
          <w:spacing w:val="9"/>
          <w:sz w:val="14"/>
        </w:rPr>
        <w:t> </w:t>
      </w:r>
      <w:r>
        <w:rPr>
          <w:sz w:val="14"/>
        </w:rPr>
        <w:t>4.3</w:t>
      </w:r>
      <w:r>
        <w:rPr>
          <w:spacing w:val="9"/>
          <w:sz w:val="14"/>
        </w:rPr>
        <w:t> </w:t>
      </w:r>
      <w:r>
        <w:rPr>
          <w:sz w:val="14"/>
        </w:rPr>
        <w:t>million</w:t>
      </w:r>
      <w:r>
        <w:rPr>
          <w:spacing w:val="9"/>
          <w:sz w:val="14"/>
        </w:rPr>
        <w:t> </w:t>
      </w:r>
      <w:r>
        <w:rPr>
          <w:sz w:val="14"/>
        </w:rPr>
        <w:t>restricted</w:t>
      </w:r>
      <w:r>
        <w:rPr>
          <w:spacing w:val="9"/>
          <w:sz w:val="14"/>
        </w:rPr>
        <w:t> </w:t>
      </w:r>
      <w:r>
        <w:rPr>
          <w:sz w:val="14"/>
        </w:rPr>
        <w:t>stock</w:t>
      </w:r>
      <w:r>
        <w:rPr>
          <w:spacing w:val="9"/>
          <w:sz w:val="14"/>
        </w:rPr>
        <w:t> </w:t>
      </w:r>
      <w:r>
        <w:rPr>
          <w:sz w:val="14"/>
        </w:rPr>
        <w:t>units</w:t>
      </w:r>
      <w:r>
        <w:rPr>
          <w:spacing w:val="9"/>
          <w:sz w:val="14"/>
        </w:rPr>
        <w:t> </w:t>
      </w:r>
      <w:r>
        <w:rPr>
          <w:sz w:val="14"/>
        </w:rPr>
        <w:t>and</w:t>
      </w:r>
      <w:r>
        <w:rPr>
          <w:spacing w:val="9"/>
          <w:sz w:val="14"/>
        </w:rPr>
        <w:t> </w:t>
      </w:r>
      <w:r>
        <w:rPr>
          <w:sz w:val="14"/>
        </w:rPr>
        <w:t>1.6</w:t>
      </w:r>
      <w:r>
        <w:rPr>
          <w:spacing w:val="9"/>
          <w:sz w:val="14"/>
        </w:rPr>
        <w:t> </w:t>
      </w:r>
      <w:r>
        <w:rPr>
          <w:sz w:val="14"/>
        </w:rPr>
        <w:t>million</w:t>
      </w:r>
      <w:r>
        <w:rPr>
          <w:spacing w:val="9"/>
          <w:sz w:val="14"/>
        </w:rPr>
        <w:t> </w:t>
      </w:r>
      <w:r>
        <w:rPr>
          <w:sz w:val="14"/>
        </w:rPr>
        <w:t>performance</w:t>
      </w:r>
      <w:r>
        <w:rPr>
          <w:spacing w:val="9"/>
          <w:sz w:val="14"/>
        </w:rPr>
        <w:t> </w:t>
      </w:r>
      <w:r>
        <w:rPr>
          <w:sz w:val="14"/>
        </w:rPr>
        <w:t>share</w:t>
      </w:r>
      <w:r>
        <w:rPr>
          <w:spacing w:val="9"/>
          <w:sz w:val="14"/>
        </w:rPr>
        <w:t> </w:t>
      </w:r>
      <w:r>
        <w:rPr>
          <w:sz w:val="14"/>
        </w:rPr>
        <w:t>units</w:t>
      </w:r>
      <w:r>
        <w:rPr>
          <w:spacing w:val="9"/>
          <w:sz w:val="14"/>
        </w:rPr>
        <w:t> </w:t>
      </w:r>
      <w:r>
        <w:rPr>
          <w:sz w:val="14"/>
        </w:rPr>
        <w:t>outstanding</w:t>
      </w:r>
      <w:r>
        <w:rPr>
          <w:spacing w:val="9"/>
          <w:sz w:val="14"/>
        </w:rPr>
        <w:t> </w:t>
      </w:r>
      <w:r>
        <w:rPr>
          <w:sz w:val="14"/>
        </w:rPr>
        <w:t>that</w:t>
      </w:r>
      <w:r>
        <w:rPr>
          <w:spacing w:val="9"/>
          <w:sz w:val="14"/>
        </w:rPr>
        <w:t> </w:t>
      </w:r>
      <w:r>
        <w:rPr>
          <w:sz w:val="14"/>
        </w:rPr>
        <w:t>do</w:t>
      </w:r>
      <w:r>
        <w:rPr>
          <w:spacing w:val="9"/>
          <w:sz w:val="14"/>
        </w:rPr>
        <w:t> </w:t>
      </w:r>
      <w:r>
        <w:rPr>
          <w:sz w:val="14"/>
        </w:rPr>
        <w:t>not</w:t>
      </w:r>
      <w:r>
        <w:rPr>
          <w:spacing w:val="9"/>
          <w:sz w:val="14"/>
        </w:rPr>
        <w:t> </w:t>
      </w:r>
      <w:r>
        <w:rPr>
          <w:sz w:val="14"/>
        </w:rPr>
        <w:t>have</w:t>
      </w:r>
      <w:r>
        <w:rPr>
          <w:spacing w:val="9"/>
          <w:sz w:val="14"/>
        </w:rPr>
        <w:t> </w:t>
      </w:r>
      <w:r>
        <w:rPr>
          <w:sz w:val="14"/>
        </w:rPr>
        <w:t>an</w:t>
      </w:r>
      <w:r>
        <w:rPr>
          <w:spacing w:val="9"/>
          <w:sz w:val="14"/>
        </w:rPr>
        <w:t> </w:t>
      </w:r>
      <w:r>
        <w:rPr>
          <w:sz w:val="14"/>
        </w:rPr>
        <w:t>exercise</w:t>
      </w:r>
      <w:r>
        <w:rPr>
          <w:spacing w:val="9"/>
          <w:sz w:val="14"/>
        </w:rPr>
        <w:t> </w:t>
      </w:r>
      <w:r>
        <w:rPr>
          <w:sz w:val="14"/>
        </w:rPr>
        <w:t>price;</w:t>
      </w:r>
      <w:r>
        <w:rPr>
          <w:spacing w:val="9"/>
          <w:sz w:val="14"/>
        </w:rPr>
        <w:t> </w:t>
      </w:r>
      <w:r>
        <w:rPr>
          <w:sz w:val="14"/>
        </w:rPr>
        <w:t>therefore,</w:t>
      </w:r>
      <w:r>
        <w:rPr>
          <w:spacing w:val="9"/>
          <w:sz w:val="14"/>
        </w:rPr>
        <w:t> </w:t>
      </w:r>
      <w:r>
        <w:rPr>
          <w:sz w:val="14"/>
        </w:rPr>
        <w:t>the</w:t>
      </w:r>
      <w:r>
        <w:rPr>
          <w:spacing w:val="9"/>
          <w:sz w:val="14"/>
        </w:rPr>
        <w:t> </w:t>
      </w:r>
      <w:r>
        <w:rPr>
          <w:sz w:val="14"/>
        </w:rPr>
        <w:t>weighted</w:t>
      </w:r>
      <w:r>
        <w:rPr>
          <w:spacing w:val="9"/>
          <w:sz w:val="14"/>
        </w:rPr>
        <w:t> </w:t>
      </w:r>
      <w:r>
        <w:rPr>
          <w:sz w:val="14"/>
        </w:rPr>
        <w:t>average</w:t>
      </w:r>
      <w:r>
        <w:rPr>
          <w:spacing w:val="9"/>
          <w:sz w:val="14"/>
        </w:rPr>
        <w:t> </w:t>
      </w:r>
      <w:r>
        <w:rPr>
          <w:sz w:val="14"/>
        </w:rPr>
        <w:t>per</w:t>
      </w:r>
      <w:r>
        <w:rPr>
          <w:spacing w:val="40"/>
          <w:sz w:val="14"/>
        </w:rPr>
        <w:t> </w:t>
      </w:r>
      <w:r>
        <w:rPr>
          <w:sz w:val="14"/>
        </w:rPr>
        <w:t>share exercise price only relates to outstanding stock appreciation rights. The amount included in the securities outstanding above for performance share units assumes that each target price </w:t>
      </w:r>
      <w:r>
        <w:rPr>
          <w:sz w:val="14"/>
        </w:rPr>
        <w:t>is</w:t>
      </w:r>
      <w:r>
        <w:rPr>
          <w:spacing w:val="40"/>
          <w:sz w:val="14"/>
        </w:rPr>
        <w:t> </w:t>
      </w:r>
      <w:r>
        <w:rPr>
          <w:spacing w:val="-2"/>
          <w:sz w:val="14"/>
        </w:rPr>
        <w:t>achieved.</w:t>
      </w:r>
    </w:p>
    <w:p>
      <w:pPr>
        <w:pStyle w:val="BodyText"/>
        <w:rPr>
          <w:sz w:val="14"/>
        </w:rPr>
      </w:pPr>
    </w:p>
    <w:p>
      <w:pPr>
        <w:pStyle w:val="BodyText"/>
        <w:spacing w:before="22"/>
        <w:rPr>
          <w:sz w:val="14"/>
        </w:rPr>
      </w:pPr>
    </w:p>
    <w:p>
      <w:pPr>
        <w:pStyle w:val="Heading4"/>
      </w:pPr>
      <w:bookmarkStart w:name="_bookmark26" w:id="27"/>
      <w:bookmarkEnd w:id="27"/>
      <w:r>
        <w:rPr>
          <w:b w:val="0"/>
        </w:rPr>
      </w:r>
      <w:r>
        <w:rPr/>
        <w:t>ITEM</w:t>
      </w:r>
      <w:r>
        <w:rPr>
          <w:spacing w:val="-11"/>
        </w:rPr>
        <w:t> </w:t>
      </w:r>
      <w:r>
        <w:rPr/>
        <w:t>13.</w:t>
      </w:r>
      <w:r>
        <w:rPr>
          <w:spacing w:val="35"/>
        </w:rPr>
        <w:t>  </w:t>
      </w:r>
      <w:r>
        <w:rPr/>
        <w:t>CERTAIN</w:t>
      </w:r>
      <w:r>
        <w:rPr>
          <w:spacing w:val="-5"/>
        </w:rPr>
        <w:t> </w:t>
      </w:r>
      <w:r>
        <w:rPr/>
        <w:t>RELATIONSHIPS</w:t>
      </w:r>
      <w:r>
        <w:rPr>
          <w:spacing w:val="-11"/>
        </w:rPr>
        <w:t> </w:t>
      </w:r>
      <w:r>
        <w:rPr/>
        <w:t>AND</w:t>
      </w:r>
      <w:r>
        <w:rPr>
          <w:spacing w:val="-6"/>
        </w:rPr>
        <w:t> </w:t>
      </w:r>
      <w:r>
        <w:rPr/>
        <w:t>RELATED</w:t>
      </w:r>
      <w:r>
        <w:rPr>
          <w:spacing w:val="-8"/>
        </w:rPr>
        <w:t> </w:t>
      </w:r>
      <w:r>
        <w:rPr/>
        <w:t>TRANSACTIONS,</w:t>
      </w:r>
      <w:r>
        <w:rPr>
          <w:spacing w:val="-11"/>
        </w:rPr>
        <w:t> </w:t>
      </w:r>
      <w:r>
        <w:rPr/>
        <w:t>AND</w:t>
      </w:r>
      <w:r>
        <w:rPr>
          <w:spacing w:val="-6"/>
        </w:rPr>
        <w:t> </w:t>
      </w:r>
      <w:r>
        <w:rPr/>
        <w:t>DIRECTORS,</w:t>
      </w:r>
      <w:r>
        <w:rPr>
          <w:spacing w:val="-5"/>
        </w:rPr>
        <w:t> </w:t>
      </w:r>
      <w:r>
        <w:rPr>
          <w:spacing w:val="-2"/>
        </w:rPr>
        <w:t>INDEPENDENCE</w:t>
      </w:r>
    </w:p>
    <w:p>
      <w:pPr>
        <w:pStyle w:val="BodyText"/>
        <w:spacing w:before="4"/>
        <w:rPr>
          <w:b/>
        </w:rPr>
      </w:pPr>
    </w:p>
    <w:p>
      <w:pPr>
        <w:pStyle w:val="BodyText"/>
        <w:ind w:left="644"/>
      </w:pPr>
      <w:r>
        <w:rPr/>
        <w:t>The</w:t>
      </w:r>
      <w:r>
        <w:rPr>
          <w:spacing w:val="-1"/>
        </w:rPr>
        <w:t> </w:t>
      </w:r>
      <w:r>
        <w:rPr/>
        <w:t>information</w:t>
      </w:r>
      <w:r>
        <w:rPr>
          <w:spacing w:val="-1"/>
        </w:rPr>
        <w:t> </w:t>
      </w:r>
      <w:r>
        <w:rPr/>
        <w:t>required</w:t>
      </w:r>
      <w:r>
        <w:rPr>
          <w:spacing w:val="-1"/>
        </w:rPr>
        <w:t> </w:t>
      </w:r>
      <w:r>
        <w:rPr/>
        <w:t>by</w:t>
      </w:r>
      <w:r>
        <w:rPr>
          <w:spacing w:val="-1"/>
        </w:rPr>
        <w:t> </w:t>
      </w:r>
      <w:r>
        <w:rPr/>
        <w:t>this</w:t>
      </w:r>
      <w:r>
        <w:rPr>
          <w:spacing w:val="-1"/>
        </w:rPr>
        <w:t> </w:t>
      </w:r>
      <w:r>
        <w:rPr/>
        <w:t>Item</w:t>
      </w:r>
      <w:r>
        <w:rPr>
          <w:spacing w:val="-1"/>
        </w:rPr>
        <w:t> </w:t>
      </w:r>
      <w:r>
        <w:rPr/>
        <w:t>will</w:t>
      </w:r>
      <w:r>
        <w:rPr>
          <w:spacing w:val="-1"/>
        </w:rPr>
        <w:t> </w:t>
      </w:r>
      <w:r>
        <w:rPr/>
        <w:t>be</w:t>
      </w:r>
      <w:r>
        <w:rPr>
          <w:spacing w:val="-1"/>
        </w:rPr>
        <w:t> </w:t>
      </w:r>
      <w:r>
        <w:rPr/>
        <w:t>included</w:t>
      </w:r>
      <w:r>
        <w:rPr>
          <w:spacing w:val="-1"/>
        </w:rPr>
        <w:t> </w:t>
      </w:r>
      <w:r>
        <w:rPr/>
        <w:t>in</w:t>
      </w:r>
      <w:r>
        <w:rPr>
          <w:spacing w:val="-1"/>
        </w:rPr>
        <w:t> </w:t>
      </w:r>
      <w:r>
        <w:rPr/>
        <w:t>the</w:t>
      </w:r>
      <w:r>
        <w:rPr>
          <w:spacing w:val="-1"/>
        </w:rPr>
        <w:t> </w:t>
      </w:r>
      <w:r>
        <w:rPr/>
        <w:t>Proxy</w:t>
      </w:r>
      <w:r>
        <w:rPr>
          <w:spacing w:val="-1"/>
        </w:rPr>
        <w:t> </w:t>
      </w:r>
      <w:r>
        <w:rPr/>
        <w:t>Statement,</w:t>
      </w:r>
      <w:r>
        <w:rPr>
          <w:spacing w:val="-1"/>
        </w:rPr>
        <w:t> </w:t>
      </w:r>
      <w:r>
        <w:rPr/>
        <w:t>and</w:t>
      </w:r>
      <w:r>
        <w:rPr>
          <w:spacing w:val="-1"/>
        </w:rPr>
        <w:t> </w:t>
      </w:r>
      <w:r>
        <w:rPr/>
        <w:t>is</w:t>
      </w:r>
      <w:r>
        <w:rPr>
          <w:spacing w:val="-1"/>
        </w:rPr>
        <w:t> </w:t>
      </w:r>
      <w:r>
        <w:rPr/>
        <w:t>incorporated</w:t>
      </w:r>
      <w:r>
        <w:rPr>
          <w:spacing w:val="-1"/>
        </w:rPr>
        <w:t> </w:t>
      </w:r>
      <w:r>
        <w:rPr/>
        <w:t>herein</w:t>
      </w:r>
      <w:r>
        <w:rPr>
          <w:spacing w:val="-1"/>
        </w:rPr>
        <w:t> </w:t>
      </w:r>
      <w:r>
        <w:rPr/>
        <w:t>by</w:t>
      </w:r>
      <w:r>
        <w:rPr>
          <w:spacing w:val="-1"/>
        </w:rPr>
        <w:t> </w:t>
      </w:r>
      <w:r>
        <w:rPr>
          <w:spacing w:val="-2"/>
        </w:rPr>
        <w:t>reference.</w:t>
      </w:r>
    </w:p>
    <w:p>
      <w:pPr>
        <w:pStyle w:val="BodyText"/>
        <w:spacing w:before="18"/>
      </w:pPr>
    </w:p>
    <w:p>
      <w:pPr>
        <w:pStyle w:val="Heading4"/>
      </w:pPr>
      <w:bookmarkStart w:name="_bookmark27" w:id="28"/>
      <w:bookmarkEnd w:id="28"/>
      <w:r>
        <w:rPr>
          <w:b w:val="0"/>
        </w:rPr>
      </w:r>
      <w:r>
        <w:rPr/>
        <w:t>ITEM</w:t>
      </w:r>
      <w:r>
        <w:rPr>
          <w:spacing w:val="-6"/>
        </w:rPr>
        <w:t> </w:t>
      </w:r>
      <w:r>
        <w:rPr/>
        <w:t>14.</w:t>
      </w:r>
      <w:r>
        <w:rPr>
          <w:spacing w:val="41"/>
        </w:rPr>
        <w:t>  </w:t>
      </w:r>
      <w:r>
        <w:rPr/>
        <w:t>PRINCIPAL</w:t>
      </w:r>
      <w:r>
        <w:rPr>
          <w:spacing w:val="-20"/>
        </w:rPr>
        <w:t> </w:t>
      </w:r>
      <w:r>
        <w:rPr/>
        <w:t>ACCOUNTING</w:t>
      </w:r>
      <w:r>
        <w:rPr>
          <w:spacing w:val="-3"/>
        </w:rPr>
        <w:t> </w:t>
      </w:r>
      <w:r>
        <w:rPr/>
        <w:t>FEES</w:t>
      </w:r>
      <w:r>
        <w:rPr>
          <w:spacing w:val="-11"/>
        </w:rPr>
        <w:t> </w:t>
      </w:r>
      <w:r>
        <w:rPr/>
        <w:t>AND</w:t>
      </w:r>
      <w:r>
        <w:rPr>
          <w:spacing w:val="-2"/>
        </w:rPr>
        <w:t> SERVICES</w:t>
      </w:r>
    </w:p>
    <w:p>
      <w:pPr>
        <w:pStyle w:val="BodyText"/>
        <w:spacing w:before="198"/>
        <w:ind w:left="644"/>
      </w:pPr>
      <w:r>
        <w:rPr/>
        <w:t>The</w:t>
      </w:r>
      <w:r>
        <w:rPr>
          <w:spacing w:val="-1"/>
        </w:rPr>
        <w:t> </w:t>
      </w:r>
      <w:r>
        <w:rPr/>
        <w:t>information</w:t>
      </w:r>
      <w:r>
        <w:rPr>
          <w:spacing w:val="-1"/>
        </w:rPr>
        <w:t> </w:t>
      </w:r>
      <w:r>
        <w:rPr/>
        <w:t>required</w:t>
      </w:r>
      <w:r>
        <w:rPr>
          <w:spacing w:val="-1"/>
        </w:rPr>
        <w:t> </w:t>
      </w:r>
      <w:r>
        <w:rPr/>
        <w:t>by</w:t>
      </w:r>
      <w:r>
        <w:rPr>
          <w:spacing w:val="-1"/>
        </w:rPr>
        <w:t> </w:t>
      </w:r>
      <w:r>
        <w:rPr/>
        <w:t>this</w:t>
      </w:r>
      <w:r>
        <w:rPr>
          <w:spacing w:val="-1"/>
        </w:rPr>
        <w:t> </w:t>
      </w:r>
      <w:r>
        <w:rPr/>
        <w:t>Item</w:t>
      </w:r>
      <w:r>
        <w:rPr>
          <w:spacing w:val="-1"/>
        </w:rPr>
        <w:t> </w:t>
      </w:r>
      <w:r>
        <w:rPr/>
        <w:t>will</w:t>
      </w:r>
      <w:r>
        <w:rPr>
          <w:spacing w:val="-1"/>
        </w:rPr>
        <w:t> </w:t>
      </w:r>
      <w:r>
        <w:rPr/>
        <w:t>be</w:t>
      </w:r>
      <w:r>
        <w:rPr>
          <w:spacing w:val="-1"/>
        </w:rPr>
        <w:t> </w:t>
      </w:r>
      <w:r>
        <w:rPr/>
        <w:t>included</w:t>
      </w:r>
      <w:r>
        <w:rPr>
          <w:spacing w:val="-1"/>
        </w:rPr>
        <w:t> </w:t>
      </w:r>
      <w:r>
        <w:rPr/>
        <w:t>in</w:t>
      </w:r>
      <w:r>
        <w:rPr>
          <w:spacing w:val="-1"/>
        </w:rPr>
        <w:t> </w:t>
      </w:r>
      <w:r>
        <w:rPr/>
        <w:t>the</w:t>
      </w:r>
      <w:r>
        <w:rPr>
          <w:spacing w:val="-1"/>
        </w:rPr>
        <w:t> </w:t>
      </w:r>
      <w:r>
        <w:rPr/>
        <w:t>Proxy</w:t>
      </w:r>
      <w:r>
        <w:rPr>
          <w:spacing w:val="-1"/>
        </w:rPr>
        <w:t> </w:t>
      </w:r>
      <w:r>
        <w:rPr/>
        <w:t>Statement,</w:t>
      </w:r>
      <w:r>
        <w:rPr>
          <w:spacing w:val="-1"/>
        </w:rPr>
        <w:t> </w:t>
      </w:r>
      <w:r>
        <w:rPr/>
        <w:t>and</w:t>
      </w:r>
      <w:r>
        <w:rPr>
          <w:spacing w:val="-1"/>
        </w:rPr>
        <w:t> </w:t>
      </w:r>
      <w:r>
        <w:rPr/>
        <w:t>is</w:t>
      </w:r>
      <w:r>
        <w:rPr>
          <w:spacing w:val="-1"/>
        </w:rPr>
        <w:t> </w:t>
      </w:r>
      <w:r>
        <w:rPr/>
        <w:t>incorporated</w:t>
      </w:r>
      <w:r>
        <w:rPr>
          <w:spacing w:val="-1"/>
        </w:rPr>
        <w:t> </w:t>
      </w:r>
      <w:r>
        <w:rPr/>
        <w:t>herein</w:t>
      </w:r>
      <w:r>
        <w:rPr>
          <w:spacing w:val="-1"/>
        </w:rPr>
        <w:t> </w:t>
      </w:r>
      <w:r>
        <w:rPr/>
        <w:t>by</w:t>
      </w:r>
      <w:r>
        <w:rPr>
          <w:spacing w:val="-1"/>
        </w:rPr>
        <w:t> </w:t>
      </w:r>
      <w:r>
        <w:rPr>
          <w:spacing w:val="-2"/>
        </w:rPr>
        <w:t>reference.</w:t>
      </w:r>
    </w:p>
    <w:p>
      <w:pPr>
        <w:pStyle w:val="BodyText"/>
      </w:pPr>
    </w:p>
    <w:p>
      <w:pPr>
        <w:pStyle w:val="BodyText"/>
        <w:spacing w:before="189"/>
      </w:pPr>
    </w:p>
    <w:p>
      <w:pPr>
        <w:pStyle w:val="BodyText"/>
        <w:ind w:left="24"/>
        <w:jc w:val="center"/>
      </w:pPr>
      <w:r>
        <w:rPr>
          <w:spacing w:val="-5"/>
        </w:rPr>
        <w:t>102</w:t>
      </w:r>
    </w:p>
    <w:p>
      <w:pPr>
        <w:pStyle w:val="BodyText"/>
        <w:spacing w:before="3"/>
        <w:rPr>
          <w:sz w:val="6"/>
        </w:rPr>
      </w:pPr>
      <w:r>
        <w:rPr/>
        <mc:AlternateContent>
          <mc:Choice Requires="wps">
            <w:drawing>
              <wp:anchor distT="0" distB="0" distL="0" distR="0" allowOverlap="1" layoutInCell="1" locked="0" behindDoc="1" simplePos="0" relativeHeight="487730688">
                <wp:simplePos x="0" y="0"/>
                <wp:positionH relativeFrom="page">
                  <wp:posOffset>231457</wp:posOffset>
                </wp:positionH>
                <wp:positionV relativeFrom="paragraph">
                  <wp:posOffset>60956</wp:posOffset>
                </wp:positionV>
                <wp:extent cx="7312659" cy="17145"/>
                <wp:effectExtent l="0" t="0" r="0" b="0"/>
                <wp:wrapTopAndBottom/>
                <wp:docPr id="703" name="Group 703"/>
                <wp:cNvGraphicFramePr>
                  <a:graphicFrameLocks/>
                </wp:cNvGraphicFramePr>
                <a:graphic>
                  <a:graphicData uri="http://schemas.microsoft.com/office/word/2010/wordprocessingGroup">
                    <wpg:wgp>
                      <wpg:cNvPr id="703" name="Group 703"/>
                      <wpg:cNvGrpSpPr/>
                      <wpg:grpSpPr>
                        <a:xfrm>
                          <a:off x="0" y="0"/>
                          <a:ext cx="7312659" cy="17145"/>
                          <a:chExt cx="7312659" cy="17145"/>
                        </a:xfrm>
                      </wpg:grpSpPr>
                      <wps:wsp>
                        <wps:cNvPr id="704" name="Graphic 70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05" name="Graphic 705"/>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06" name="Graphic 7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85792;mso-wrap-distance-left:0;mso-wrap-distance-right:0" id="docshapegroup701" coordorigin="364,96" coordsize="11516,27">
                <v:rect style="position:absolute;left:364;top:96;width:11516;height:14" id="docshape702" filled="true" fillcolor="#999999" stroked="false">
                  <v:fill type="solid"/>
                </v:rect>
                <v:shape style="position:absolute;left:364;top:95;width:11516;height:27" id="docshape703" coordorigin="364,96" coordsize="11516,27" path="m11880,96l11866,109,364,109,364,123,11866,123,11880,123,11880,109,11880,96xe" filled="true" fillcolor="#ededed" stroked="false">
                  <v:path arrowok="t"/>
                  <v:fill type="solid"/>
                </v:shape>
                <v:shape style="position:absolute;left:364;top:96;width:14;height:27" id="docshape704"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p>
      <w:pPr>
        <w:pStyle w:val="Heading4"/>
        <w:spacing w:before="63"/>
        <w:ind w:left="24"/>
        <w:jc w:val="center"/>
      </w:pPr>
      <w:r>
        <w:rPr>
          <w:spacing w:val="-5"/>
        </w:rPr>
        <w:t>PART IV</w:t>
      </w:r>
    </w:p>
    <w:p>
      <w:pPr>
        <w:pStyle w:val="BodyText"/>
        <w:spacing w:before="4"/>
        <w:rPr>
          <w:b/>
        </w:rPr>
      </w:pPr>
    </w:p>
    <w:p>
      <w:pPr>
        <w:spacing w:before="0"/>
        <w:ind w:left="144" w:right="0" w:firstLine="0"/>
        <w:jc w:val="left"/>
        <w:rPr>
          <w:b/>
          <w:sz w:val="18"/>
        </w:rPr>
      </w:pPr>
      <w:bookmarkStart w:name="_bookmark28" w:id="29"/>
      <w:bookmarkEnd w:id="29"/>
      <w:r>
        <w:rPr/>
      </w:r>
      <w:r>
        <w:rPr>
          <w:b/>
          <w:sz w:val="18"/>
        </w:rPr>
        <w:t>ITEM</w:t>
      </w:r>
      <w:r>
        <w:rPr>
          <w:b/>
          <w:spacing w:val="-7"/>
          <w:sz w:val="18"/>
        </w:rPr>
        <w:t> </w:t>
      </w:r>
      <w:r>
        <w:rPr>
          <w:b/>
          <w:sz w:val="18"/>
        </w:rPr>
        <w:t>15.</w:t>
      </w:r>
      <w:r>
        <w:rPr>
          <w:b/>
          <w:spacing w:val="37"/>
          <w:sz w:val="18"/>
        </w:rPr>
        <w:t>  </w:t>
      </w:r>
      <w:r>
        <w:rPr>
          <w:b/>
          <w:sz w:val="18"/>
        </w:rPr>
        <w:t>EXHIBITS,</w:t>
      </w:r>
      <w:r>
        <w:rPr>
          <w:b/>
          <w:spacing w:val="-4"/>
          <w:sz w:val="18"/>
        </w:rPr>
        <w:t> </w:t>
      </w:r>
      <w:r>
        <w:rPr>
          <w:b/>
          <w:sz w:val="18"/>
        </w:rPr>
        <w:t>FINANCIAL</w:t>
      </w:r>
      <w:r>
        <w:rPr>
          <w:b/>
          <w:spacing w:val="-11"/>
          <w:sz w:val="18"/>
        </w:rPr>
        <w:t> </w:t>
      </w:r>
      <w:r>
        <w:rPr>
          <w:b/>
          <w:sz w:val="18"/>
        </w:rPr>
        <w:t>STATEMENT</w:t>
      </w:r>
      <w:r>
        <w:rPr>
          <w:b/>
          <w:spacing w:val="-7"/>
          <w:sz w:val="18"/>
        </w:rPr>
        <w:t> </w:t>
      </w:r>
      <w:r>
        <w:rPr>
          <w:b/>
          <w:spacing w:val="-2"/>
          <w:sz w:val="18"/>
        </w:rPr>
        <w:t>SCHEDULES</w:t>
      </w:r>
    </w:p>
    <w:p>
      <w:pPr>
        <w:pStyle w:val="BodyText"/>
        <w:tabs>
          <w:tab w:pos="1408" w:val="left" w:leader="none"/>
        </w:tabs>
        <w:spacing w:line="235" w:lineRule="auto" w:before="188"/>
        <w:ind w:left="144" w:right="118" w:firstLine="499"/>
      </w:pPr>
      <w:r>
        <w:rPr>
          <w:spacing w:val="-2"/>
        </w:rPr>
        <w:t>(a)(1).</w:t>
      </w:r>
      <w:r>
        <w:rPr/>
        <w:tab/>
      </w:r>
      <w:r>
        <w:rPr>
          <w:b/>
        </w:rPr>
        <w:t>Financial</w:t>
      </w:r>
      <w:r>
        <w:rPr>
          <w:b/>
          <w:spacing w:val="30"/>
        </w:rPr>
        <w:t> </w:t>
      </w:r>
      <w:r>
        <w:rPr>
          <w:b/>
        </w:rPr>
        <w:t>Statements.</w:t>
      </w:r>
      <w:r>
        <w:rPr>
          <w:b/>
          <w:spacing w:val="30"/>
        </w:rPr>
        <w:t> </w:t>
      </w:r>
      <w:r>
        <w:rPr/>
        <w:t>The</w:t>
      </w:r>
      <w:r>
        <w:rPr>
          <w:spacing w:val="30"/>
        </w:rPr>
        <w:t> </w:t>
      </w:r>
      <w:r>
        <w:rPr/>
        <w:t>following</w:t>
      </w:r>
      <w:r>
        <w:rPr>
          <w:spacing w:val="30"/>
        </w:rPr>
        <w:t> </w:t>
      </w:r>
      <w:r>
        <w:rPr/>
        <w:t>consolidated</w:t>
      </w:r>
      <w:r>
        <w:rPr>
          <w:spacing w:val="30"/>
        </w:rPr>
        <w:t> </w:t>
      </w:r>
      <w:r>
        <w:rPr/>
        <w:t>financial</w:t>
      </w:r>
      <w:r>
        <w:rPr>
          <w:spacing w:val="30"/>
        </w:rPr>
        <w:t> </w:t>
      </w:r>
      <w:r>
        <w:rPr/>
        <w:t>statements</w:t>
      </w:r>
      <w:r>
        <w:rPr>
          <w:spacing w:val="30"/>
        </w:rPr>
        <w:t> </w:t>
      </w:r>
      <w:r>
        <w:rPr/>
        <w:t>of</w:t>
      </w:r>
      <w:r>
        <w:rPr>
          <w:spacing w:val="30"/>
        </w:rPr>
        <w:t> </w:t>
      </w:r>
      <w:r>
        <w:rPr/>
        <w:t>the</w:t>
      </w:r>
      <w:r>
        <w:rPr>
          <w:spacing w:val="30"/>
        </w:rPr>
        <w:t> </w:t>
      </w:r>
      <w:r>
        <w:rPr/>
        <w:t>Company</w:t>
      </w:r>
      <w:r>
        <w:rPr>
          <w:spacing w:val="30"/>
        </w:rPr>
        <w:t> </w:t>
      </w:r>
      <w:r>
        <w:rPr/>
        <w:t>are</w:t>
      </w:r>
      <w:r>
        <w:rPr>
          <w:spacing w:val="30"/>
        </w:rPr>
        <w:t> </w:t>
      </w:r>
      <w:r>
        <w:rPr/>
        <w:t>filed</w:t>
      </w:r>
      <w:r>
        <w:rPr>
          <w:spacing w:val="30"/>
        </w:rPr>
        <w:t> </w:t>
      </w:r>
      <w:r>
        <w:rPr/>
        <w:t>as</w:t>
      </w:r>
      <w:r>
        <w:rPr>
          <w:spacing w:val="30"/>
        </w:rPr>
        <w:t> </w:t>
      </w:r>
      <w:r>
        <w:rPr/>
        <w:t>part</w:t>
      </w:r>
      <w:r>
        <w:rPr>
          <w:spacing w:val="30"/>
        </w:rPr>
        <w:t> </w:t>
      </w:r>
      <w:r>
        <w:rPr/>
        <w:t>of</w:t>
      </w:r>
      <w:r>
        <w:rPr>
          <w:spacing w:val="30"/>
        </w:rPr>
        <w:t> </w:t>
      </w:r>
      <w:r>
        <w:rPr/>
        <w:t>this</w:t>
      </w:r>
      <w:r>
        <w:rPr>
          <w:spacing w:val="30"/>
        </w:rPr>
        <w:t> </w:t>
      </w:r>
      <w:r>
        <w:rPr/>
        <w:t>report</w:t>
      </w:r>
      <w:r>
        <w:rPr>
          <w:spacing w:val="30"/>
        </w:rPr>
        <w:t> </w:t>
      </w:r>
      <w:r>
        <w:rPr/>
        <w:t>under</w:t>
      </w:r>
      <w:r>
        <w:rPr>
          <w:spacing w:val="30"/>
        </w:rPr>
        <w:t> </w:t>
      </w:r>
      <w:r>
        <w:rPr/>
        <w:t>Item</w:t>
      </w:r>
      <w:r>
        <w:rPr>
          <w:spacing w:val="30"/>
        </w:rPr>
        <w:t> </w:t>
      </w:r>
      <w:r>
        <w:rPr/>
        <w:t>8</w:t>
      </w:r>
      <w:r>
        <w:rPr>
          <w:spacing w:val="30"/>
        </w:rPr>
        <w:t> </w:t>
      </w:r>
      <w:r>
        <w:rPr/>
        <w:t>– “Financial Statements and Supplementary Data.”</w:t>
      </w:r>
    </w:p>
    <w:p>
      <w:pPr>
        <w:pStyle w:val="BodyText"/>
        <w:tabs>
          <w:tab w:pos="11632" w:val="right" w:leader="none"/>
        </w:tabs>
        <w:spacing w:before="283"/>
        <w:ind w:left="171"/>
      </w:pPr>
      <w:hyperlink w:history="true" w:anchor="_bookmark11">
        <w:r>
          <w:rPr>
            <w:color w:val="0000FF"/>
            <w:u w:val="single" w:color="0000FF"/>
          </w:rPr>
          <w:t>Reports of</w:t>
        </w:r>
        <w:r>
          <w:rPr>
            <w:color w:val="0000FF"/>
            <w:spacing w:val="1"/>
            <w:u w:val="single" w:color="0000FF"/>
          </w:rPr>
          <w:t> </w:t>
        </w:r>
        <w:r>
          <w:rPr>
            <w:color w:val="0000FF"/>
            <w:u w:val="single" w:color="0000FF"/>
          </w:rPr>
          <w:t>Independent Registered</w:t>
        </w:r>
        <w:r>
          <w:rPr>
            <w:color w:val="0000FF"/>
            <w:spacing w:val="1"/>
            <w:u w:val="single" w:color="0000FF"/>
          </w:rPr>
          <w:t> </w:t>
        </w:r>
        <w:r>
          <w:rPr>
            <w:color w:val="0000FF"/>
            <w:u w:val="single" w:color="0000FF"/>
          </w:rPr>
          <w:t>Public</w:t>
        </w:r>
        <w:r>
          <w:rPr>
            <w:color w:val="0000FF"/>
            <w:spacing w:val="-9"/>
            <w:u w:val="single" w:color="0000FF"/>
          </w:rPr>
          <w:t> </w:t>
        </w:r>
        <w:r>
          <w:rPr>
            <w:color w:val="0000FF"/>
            <w:u w:val="single" w:color="0000FF"/>
          </w:rPr>
          <w:t>Accounting</w:t>
        </w:r>
        <w:r>
          <w:rPr>
            <w:color w:val="0000FF"/>
            <w:spacing w:val="-8"/>
            <w:u w:val="single" w:color="0000FF"/>
          </w:rPr>
          <w:t> </w:t>
        </w:r>
        <w:r>
          <w:rPr>
            <w:color w:val="0000FF"/>
            <w:spacing w:val="-4"/>
            <w:u w:val="single" w:color="0000FF"/>
          </w:rPr>
          <w:t>Firm</w:t>
        </w:r>
      </w:hyperlink>
      <w:r>
        <w:rPr>
          <w:color w:val="0000FF"/>
        </w:rPr>
        <w:tab/>
      </w:r>
      <w:hyperlink w:history="true" w:anchor="_bookmark11">
        <w:r>
          <w:rPr>
            <w:spacing w:val="-5"/>
            <w:position w:val="1"/>
          </w:rPr>
          <w:t>53</w:t>
        </w:r>
      </w:hyperlink>
    </w:p>
    <w:p>
      <w:pPr>
        <w:pStyle w:val="BodyText"/>
        <w:tabs>
          <w:tab w:pos="11632" w:val="right" w:leader="none"/>
        </w:tabs>
        <w:spacing w:before="40"/>
        <w:ind w:left="171"/>
      </w:pPr>
      <w:hyperlink w:history="true" w:anchor="_bookmark13">
        <w:r>
          <w:rPr>
            <w:color w:val="0000FF"/>
            <w:u w:val="single" w:color="0000FF"/>
          </w:rPr>
          <w:t>Consolidated</w:t>
        </w:r>
        <w:r>
          <w:rPr>
            <w:color w:val="0000FF"/>
            <w:spacing w:val="-1"/>
            <w:u w:val="single" w:color="0000FF"/>
          </w:rPr>
          <w:t> </w:t>
        </w:r>
        <w:r>
          <w:rPr>
            <w:color w:val="0000FF"/>
            <w:u w:val="single" w:color="0000FF"/>
          </w:rPr>
          <w:t>Balance</w:t>
        </w:r>
        <w:r>
          <w:rPr>
            <w:color w:val="0000FF"/>
            <w:spacing w:val="-1"/>
            <w:u w:val="single" w:color="0000FF"/>
          </w:rPr>
          <w:t> </w:t>
        </w:r>
        <w:r>
          <w:rPr>
            <w:color w:val="0000FF"/>
            <w:u w:val="single" w:color="0000FF"/>
          </w:rPr>
          <w:t>Sheets</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December</w:t>
        </w:r>
        <w:r>
          <w:rPr>
            <w:color w:val="0000FF"/>
            <w:spacing w:val="-1"/>
            <w:u w:val="single" w:color="0000FF"/>
          </w:rPr>
          <w:t> </w:t>
        </w:r>
        <w:r>
          <w:rPr>
            <w:color w:val="0000FF"/>
            <w:u w:val="single" w:color="0000FF"/>
          </w:rPr>
          <w:t>31,</w:t>
        </w:r>
        <w:r>
          <w:rPr>
            <w:color w:val="0000FF"/>
            <w:spacing w:val="-1"/>
            <w:u w:val="single" w:color="0000FF"/>
          </w:rPr>
          <w:t> </w:t>
        </w:r>
        <w:r>
          <w:rPr>
            <w:color w:val="0000FF"/>
            <w:u w:val="single" w:color="0000FF"/>
          </w:rPr>
          <w:t>2022</w:t>
        </w:r>
        <w:r>
          <w:rPr>
            <w:color w:val="0000FF"/>
            <w:spacing w:val="-1"/>
            <w:u w:val="single" w:color="0000FF"/>
          </w:rPr>
          <w:t> </w:t>
        </w:r>
        <w:r>
          <w:rPr>
            <w:color w:val="0000FF"/>
            <w:u w:val="single" w:color="0000FF"/>
          </w:rPr>
          <w:t>and</w:t>
        </w:r>
        <w:r>
          <w:rPr>
            <w:color w:val="0000FF"/>
            <w:spacing w:val="-1"/>
            <w:u w:val="single" w:color="0000FF"/>
          </w:rPr>
          <w:t> </w:t>
        </w:r>
        <w:r>
          <w:rPr>
            <w:color w:val="0000FF"/>
            <w:spacing w:val="-4"/>
            <w:u w:val="single" w:color="0000FF"/>
          </w:rPr>
          <w:t>2021</w:t>
        </w:r>
      </w:hyperlink>
      <w:r>
        <w:rPr>
          <w:color w:val="0000FF"/>
        </w:rPr>
        <w:tab/>
      </w:r>
      <w:hyperlink w:history="true" w:anchor="_bookmark13">
        <w:r>
          <w:rPr>
            <w:spacing w:val="-5"/>
            <w:position w:val="1"/>
          </w:rPr>
          <w:t>57</w:t>
        </w:r>
      </w:hyperlink>
    </w:p>
    <w:p>
      <w:pPr>
        <w:pStyle w:val="BodyText"/>
        <w:spacing w:before="22"/>
        <w:ind w:left="171"/>
      </w:pPr>
      <w:r>
        <w:rPr/>
        <w:t>Years</w:t>
      </w:r>
      <w:r>
        <w:rPr>
          <w:spacing w:val="-4"/>
        </w:rPr>
        <w:t> </w:t>
      </w:r>
      <w:r>
        <w:rPr/>
        <w:t>Ended</w:t>
      </w:r>
      <w:r>
        <w:rPr>
          <w:spacing w:val="-4"/>
        </w:rPr>
        <w:t> </w:t>
      </w:r>
      <w:r>
        <w:rPr/>
        <w:t>December</w:t>
      </w:r>
      <w:r>
        <w:rPr>
          <w:spacing w:val="-4"/>
        </w:rPr>
        <w:t> </w:t>
      </w:r>
      <w:r>
        <w:rPr/>
        <w:t>31,</w:t>
      </w:r>
      <w:r>
        <w:rPr>
          <w:spacing w:val="-3"/>
        </w:rPr>
        <w:t> </w:t>
      </w:r>
      <w:r>
        <w:rPr/>
        <w:t>2022,</w:t>
      </w:r>
      <w:r>
        <w:rPr>
          <w:spacing w:val="-4"/>
        </w:rPr>
        <w:t> </w:t>
      </w:r>
      <w:r>
        <w:rPr/>
        <w:t>2021</w:t>
      </w:r>
      <w:r>
        <w:rPr>
          <w:spacing w:val="-4"/>
        </w:rPr>
        <w:t> </w:t>
      </w:r>
      <w:r>
        <w:rPr/>
        <w:t>and</w:t>
      </w:r>
      <w:r>
        <w:rPr>
          <w:spacing w:val="-3"/>
        </w:rPr>
        <w:t> </w:t>
      </w:r>
      <w:r>
        <w:rPr>
          <w:spacing w:val="-4"/>
        </w:rPr>
        <w:t>2020</w:t>
      </w:r>
    </w:p>
    <w:p>
      <w:pPr>
        <w:pStyle w:val="BodyText"/>
        <w:tabs>
          <w:tab w:pos="11632" w:val="right" w:leader="none"/>
        </w:tabs>
        <w:spacing w:before="40"/>
        <w:ind w:left="387"/>
      </w:pPr>
      <w:hyperlink w:history="true" w:anchor="_bookmark14">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spacing w:val="-2"/>
            <w:u w:val="single" w:color="0000FF"/>
          </w:rPr>
          <w:t>Operations</w:t>
        </w:r>
      </w:hyperlink>
      <w:r>
        <w:rPr>
          <w:color w:val="0000FF"/>
        </w:rPr>
        <w:tab/>
      </w:r>
      <w:hyperlink w:history="true" w:anchor="_bookmark14">
        <w:r>
          <w:rPr>
            <w:spacing w:val="-5"/>
            <w:position w:val="1"/>
          </w:rPr>
          <w:t>58</w:t>
        </w:r>
      </w:hyperlink>
    </w:p>
    <w:p>
      <w:pPr>
        <w:pStyle w:val="BodyText"/>
        <w:tabs>
          <w:tab w:pos="11632" w:val="right" w:leader="none"/>
        </w:tabs>
        <w:spacing w:before="53"/>
        <w:ind w:left="387"/>
      </w:pPr>
      <w:hyperlink w:history="true" w:anchor="_bookmark15">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Comprehensive</w:t>
        </w:r>
        <w:r>
          <w:rPr>
            <w:color w:val="0000FF"/>
            <w:spacing w:val="-1"/>
            <w:u w:val="single" w:color="0000FF"/>
          </w:rPr>
          <w:t> </w:t>
        </w:r>
        <w:r>
          <w:rPr>
            <w:color w:val="0000FF"/>
            <w:u w:val="single" w:color="0000FF"/>
          </w:rPr>
          <w:t>Income</w:t>
        </w:r>
        <w:r>
          <w:rPr>
            <w:color w:val="0000FF"/>
            <w:spacing w:val="-1"/>
            <w:u w:val="single" w:color="0000FF"/>
          </w:rPr>
          <w:t> </w:t>
        </w:r>
        <w:r>
          <w:rPr>
            <w:color w:val="0000FF"/>
            <w:spacing w:val="-2"/>
            <w:u w:val="single" w:color="0000FF"/>
          </w:rPr>
          <w:t>(Loss</w:t>
        </w:r>
        <w:r>
          <w:rPr>
            <w:color w:val="0000FF"/>
            <w:spacing w:val="-2"/>
          </w:rPr>
          <w:t>)</w:t>
        </w:r>
      </w:hyperlink>
      <w:r>
        <w:rPr>
          <w:color w:val="0000FF"/>
        </w:rPr>
        <w:tab/>
      </w:r>
      <w:hyperlink w:history="true" w:anchor="_bookmark15">
        <w:r>
          <w:rPr>
            <w:spacing w:val="-5"/>
            <w:position w:val="1"/>
          </w:rPr>
          <w:t>59</w:t>
        </w:r>
      </w:hyperlink>
    </w:p>
    <w:p>
      <w:pPr>
        <w:pStyle w:val="BodyText"/>
        <w:tabs>
          <w:tab w:pos="11632" w:val="right" w:leader="none"/>
        </w:tabs>
        <w:spacing w:before="39"/>
        <w:ind w:left="387"/>
      </w:pPr>
      <w:hyperlink w:history="true" w:anchor="_bookmark16">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Cash</w:t>
        </w:r>
        <w:r>
          <w:rPr>
            <w:color w:val="0000FF"/>
            <w:spacing w:val="-1"/>
            <w:u w:val="single" w:color="0000FF"/>
          </w:rPr>
          <w:t> </w:t>
        </w:r>
        <w:r>
          <w:rPr>
            <w:color w:val="0000FF"/>
            <w:spacing w:val="-2"/>
            <w:u w:val="single" w:color="0000FF"/>
          </w:rPr>
          <w:t>Flows</w:t>
        </w:r>
      </w:hyperlink>
      <w:r>
        <w:rPr>
          <w:color w:val="0000FF"/>
        </w:rPr>
        <w:tab/>
      </w:r>
      <w:hyperlink w:history="true" w:anchor="_bookmark16">
        <w:r>
          <w:rPr>
            <w:spacing w:val="-5"/>
            <w:position w:val="1"/>
          </w:rPr>
          <w:t>60</w:t>
        </w:r>
      </w:hyperlink>
    </w:p>
    <w:p>
      <w:pPr>
        <w:pStyle w:val="BodyText"/>
        <w:tabs>
          <w:tab w:pos="11632" w:val="right" w:leader="none"/>
        </w:tabs>
        <w:spacing w:before="40"/>
        <w:ind w:left="387"/>
      </w:pPr>
      <w:r>
        <w:rPr/>
        <mc:AlternateContent>
          <mc:Choice Requires="wps">
            <w:drawing>
              <wp:anchor distT="0" distB="0" distL="0" distR="0" allowOverlap="1" layoutInCell="1" locked="0" behindDoc="0" simplePos="0" relativeHeight="15874560">
                <wp:simplePos x="0" y="0"/>
                <wp:positionH relativeFrom="page">
                  <wp:posOffset>2611348</wp:posOffset>
                </wp:positionH>
                <wp:positionV relativeFrom="paragraph">
                  <wp:posOffset>146933</wp:posOffset>
                </wp:positionV>
                <wp:extent cx="19685" cy="8890"/>
                <wp:effectExtent l="0" t="0" r="0" b="0"/>
                <wp:wrapNone/>
                <wp:docPr id="707" name="Graphic 707"/>
                <wp:cNvGraphicFramePr>
                  <a:graphicFrameLocks/>
                </wp:cNvGraphicFramePr>
                <a:graphic>
                  <a:graphicData uri="http://schemas.microsoft.com/office/word/2010/wordprocessingShape">
                    <wps:wsp>
                      <wps:cNvPr id="707" name="Graphic 707"/>
                      <wps:cNvSpPr/>
                      <wps:spPr>
                        <a:xfrm>
                          <a:off x="0" y="0"/>
                          <a:ext cx="19685" cy="8890"/>
                        </a:xfrm>
                        <a:custGeom>
                          <a:avLst/>
                          <a:gdLst/>
                          <a:ahLst/>
                          <a:cxnLst/>
                          <a:rect l="l" t="t" r="r" b="b"/>
                          <a:pathLst>
                            <a:path w="19685" h="8890">
                              <a:moveTo>
                                <a:pt x="19062" y="0"/>
                              </a:moveTo>
                              <a:lnTo>
                                <a:pt x="0" y="0"/>
                              </a:lnTo>
                              <a:lnTo>
                                <a:pt x="0" y="8572"/>
                              </a:lnTo>
                              <a:lnTo>
                                <a:pt x="19062" y="8572"/>
                              </a:lnTo>
                              <a:lnTo>
                                <a:pt x="1906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5.618011pt;margin-top:11.569606pt;width:1.501pt;height:.675pt;mso-position-horizontal-relative:page;mso-position-vertical-relative:paragraph;z-index:15874560" id="docshape705" filled="true" fillcolor="#0000ff" stroked="false">
                <v:fill type="solid"/>
                <w10:wrap type="none"/>
              </v:rect>
            </w:pict>
          </mc:Fallback>
        </mc:AlternateContent>
      </w:r>
      <w:hyperlink w:history="true" w:anchor="_bookmark17">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Stockholders’</w:t>
        </w:r>
        <w:r>
          <w:rPr>
            <w:color w:val="0000FF"/>
            <w:spacing w:val="-14"/>
            <w:u w:val="single" w:color="0000FF"/>
          </w:rPr>
          <w:t> </w:t>
        </w:r>
        <w:r>
          <w:rPr>
            <w:color w:val="0000FF"/>
            <w:spacing w:val="-2"/>
            <w:u w:val="single" w:color="0000FF"/>
          </w:rPr>
          <w:t>Equi</w:t>
        </w:r>
        <w:r>
          <w:rPr>
            <w:color w:val="0000FF"/>
            <w:spacing w:val="-2"/>
          </w:rPr>
          <w:t>ty</w:t>
        </w:r>
      </w:hyperlink>
      <w:r>
        <w:rPr>
          <w:color w:val="0000FF"/>
        </w:rPr>
        <w:tab/>
      </w:r>
      <w:hyperlink w:history="true" w:anchor="_bookmark17">
        <w:r>
          <w:rPr>
            <w:spacing w:val="-5"/>
            <w:position w:val="1"/>
          </w:rPr>
          <w:t>61</w:t>
        </w:r>
      </w:hyperlink>
    </w:p>
    <w:p>
      <w:pPr>
        <w:pStyle w:val="BodyText"/>
        <w:tabs>
          <w:tab w:pos="11632" w:val="right" w:leader="none"/>
        </w:tabs>
        <w:spacing w:before="39"/>
        <w:ind w:left="171"/>
      </w:pPr>
      <w:hyperlink w:history="true" w:anchor="_bookmark18">
        <w:r>
          <w:rPr>
            <w:color w:val="0000FF"/>
            <w:u w:val="single" w:color="0000FF"/>
          </w:rPr>
          <w:t>Notes</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Consolidated</w:t>
        </w:r>
        <w:r>
          <w:rPr>
            <w:color w:val="0000FF"/>
            <w:spacing w:val="-1"/>
            <w:u w:val="single" w:color="0000FF"/>
          </w:rPr>
          <w:t> </w:t>
        </w:r>
        <w:r>
          <w:rPr>
            <w:color w:val="0000FF"/>
            <w:u w:val="single" w:color="0000FF"/>
          </w:rPr>
          <w:t>Financial</w:t>
        </w:r>
        <w:r>
          <w:rPr>
            <w:color w:val="0000FF"/>
            <w:spacing w:val="-1"/>
            <w:u w:val="single" w:color="0000FF"/>
          </w:rPr>
          <w:t> </w:t>
        </w:r>
        <w:r>
          <w:rPr>
            <w:color w:val="0000FF"/>
            <w:spacing w:val="-2"/>
            <w:u w:val="single" w:color="0000FF"/>
          </w:rPr>
          <w:t>Statements</w:t>
        </w:r>
      </w:hyperlink>
      <w:r>
        <w:rPr>
          <w:color w:val="0000FF"/>
        </w:rPr>
        <w:tab/>
      </w:r>
      <w:hyperlink w:history="true" w:anchor="_bookmark18">
        <w:r>
          <w:rPr>
            <w:spacing w:val="-5"/>
            <w:position w:val="1"/>
          </w:rPr>
          <w:t>62</w:t>
        </w:r>
      </w:hyperlink>
    </w:p>
    <w:p>
      <w:pPr>
        <w:pStyle w:val="BodyText"/>
        <w:spacing w:line="235" w:lineRule="auto" w:before="323"/>
        <w:ind w:left="144" w:firstLine="488"/>
      </w:pPr>
      <w:r>
        <w:rPr/>
        <w:t>Financial statement schedules have been omitted because they are not applicable, or the required information is included in the consolidated </w:t>
      </w:r>
      <w:r>
        <w:rPr/>
        <w:t>financial</w:t>
      </w:r>
      <w:r>
        <w:rPr>
          <w:spacing w:val="80"/>
        </w:rPr>
        <w:t> </w:t>
      </w:r>
      <w:r>
        <w:rPr/>
        <w:t>statements or the notes thereto.</w:t>
      </w:r>
    </w:p>
    <w:p>
      <w:pPr>
        <w:spacing w:before="225"/>
        <w:ind w:left="644" w:right="0" w:firstLine="0"/>
        <w:jc w:val="left"/>
        <w:rPr>
          <w:b/>
          <w:sz w:val="18"/>
        </w:rPr>
      </w:pPr>
      <w:r>
        <w:rPr>
          <w:sz w:val="18"/>
        </w:rPr>
        <w:t>(a)(3).</w:t>
      </w:r>
      <w:r>
        <w:rPr>
          <w:spacing w:val="44"/>
          <w:sz w:val="18"/>
        </w:rPr>
        <w:t>  </w:t>
      </w:r>
      <w:r>
        <w:rPr>
          <w:b/>
          <w:spacing w:val="-2"/>
          <w:sz w:val="18"/>
        </w:rPr>
        <w:t>Exhibits.</w:t>
      </w:r>
    </w:p>
    <w:p>
      <w:pPr>
        <w:pStyle w:val="BodyText"/>
        <w:spacing w:before="45"/>
        <w:rPr>
          <w:b/>
        </w:rPr>
      </w:pPr>
    </w:p>
    <w:p>
      <w:pPr>
        <w:pStyle w:val="BodyText"/>
        <w:spacing w:line="193" w:lineRule="exact"/>
        <w:ind w:left="162"/>
      </w:pPr>
      <w:r>
        <w:rPr>
          <w:spacing w:val="-2"/>
        </w:rPr>
        <w:t>Exhibit</w:t>
      </w:r>
    </w:p>
    <w:p>
      <w:pPr>
        <w:tabs>
          <w:tab w:pos="1430" w:val="left" w:leader="none"/>
        </w:tabs>
        <w:spacing w:line="194" w:lineRule="exact" w:before="0"/>
        <w:ind w:left="162" w:right="0" w:firstLine="0"/>
        <w:jc w:val="left"/>
        <w:rPr>
          <w:b/>
          <w:sz w:val="14"/>
        </w:rPr>
      </w:pPr>
      <w:r>
        <w:rPr/>
        <mc:AlternateContent>
          <mc:Choice Requires="wps">
            <w:drawing>
              <wp:anchor distT="0" distB="0" distL="0" distR="0" allowOverlap="1" layoutInCell="1" locked="0" behindDoc="1" simplePos="0" relativeHeight="487731200">
                <wp:simplePos x="0" y="0"/>
                <wp:positionH relativeFrom="page">
                  <wp:posOffset>231444</wp:posOffset>
                </wp:positionH>
                <wp:positionV relativeFrom="paragraph">
                  <wp:posOffset>138979</wp:posOffset>
                </wp:positionV>
                <wp:extent cx="728980" cy="8890"/>
                <wp:effectExtent l="0" t="0" r="0" b="0"/>
                <wp:wrapTopAndBottom/>
                <wp:docPr id="708" name="Graphic 708"/>
                <wp:cNvGraphicFramePr>
                  <a:graphicFrameLocks/>
                </wp:cNvGraphicFramePr>
                <a:graphic>
                  <a:graphicData uri="http://schemas.microsoft.com/office/word/2010/wordprocessingShape">
                    <wps:wsp>
                      <wps:cNvPr id="708" name="Graphic 708"/>
                      <wps:cNvSpPr/>
                      <wps:spPr>
                        <a:xfrm>
                          <a:off x="0" y="0"/>
                          <a:ext cx="728980" cy="8890"/>
                        </a:xfrm>
                        <a:custGeom>
                          <a:avLst/>
                          <a:gdLst/>
                          <a:ahLst/>
                          <a:cxnLst/>
                          <a:rect l="l" t="t" r="r" b="b"/>
                          <a:pathLst>
                            <a:path w="728980" h="8890">
                              <a:moveTo>
                                <a:pt x="728662" y="0"/>
                              </a:moveTo>
                              <a:lnTo>
                                <a:pt x="711517" y="0"/>
                              </a:lnTo>
                              <a:lnTo>
                                <a:pt x="68580" y="0"/>
                              </a:lnTo>
                              <a:lnTo>
                                <a:pt x="0" y="0"/>
                              </a:lnTo>
                              <a:lnTo>
                                <a:pt x="0" y="8572"/>
                              </a:lnTo>
                              <a:lnTo>
                                <a:pt x="68580" y="8572"/>
                              </a:lnTo>
                              <a:lnTo>
                                <a:pt x="711517" y="8572"/>
                              </a:lnTo>
                              <a:lnTo>
                                <a:pt x="728662" y="8572"/>
                              </a:lnTo>
                              <a:lnTo>
                                <a:pt x="7286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0.943282pt;width:57.4pt;height:.7pt;mso-position-horizontal-relative:page;mso-position-vertical-relative:paragraph;z-index:-15585280;mso-wrap-distance-left:0;mso-wrap-distance-right:0" id="docshape706" coordorigin="364,219" coordsize="1148,14" path="m1512,219l1485,219,472,219,364,219,364,232,472,232,1485,232,1512,232,1512,219xe" filled="true" fillcolor="#000000" stroked="false">
                <v:path arrowok="t"/>
                <v:fill type="solid"/>
                <w10:wrap type="topAndBottom"/>
              </v:shape>
            </w:pict>
          </mc:Fallback>
        </mc:AlternateContent>
      </w:r>
      <w:r>
        <w:rPr>
          <w:spacing w:val="-2"/>
          <w:position w:val="1"/>
          <w:sz w:val="18"/>
        </w:rPr>
        <w:t>Number</w:t>
      </w:r>
      <w:r>
        <w:rPr>
          <w:position w:val="1"/>
          <w:sz w:val="18"/>
        </w:rPr>
        <w:tab/>
      </w:r>
      <w:r>
        <w:rPr>
          <w:b/>
          <w:spacing w:val="-2"/>
          <w:sz w:val="14"/>
        </w:rPr>
        <w:t>Description</w:t>
      </w:r>
    </w:p>
    <w:p>
      <w:pPr>
        <w:pStyle w:val="ListParagraph"/>
        <w:numPr>
          <w:ilvl w:val="1"/>
          <w:numId w:val="17"/>
        </w:numPr>
        <w:tabs>
          <w:tab w:pos="1430" w:val="left" w:leader="none"/>
        </w:tabs>
        <w:spacing w:line="196" w:lineRule="auto" w:before="18" w:after="0"/>
        <w:ind w:left="1430" w:right="135" w:hanging="1269"/>
        <w:jc w:val="both"/>
        <w:rPr>
          <w:position w:val="-2"/>
          <w:sz w:val="18"/>
        </w:rPr>
      </w:pPr>
      <w:hyperlink r:id="rId9">
        <w:r>
          <w:rPr>
            <w:color w:val="0000FF"/>
            <w:sz w:val="18"/>
            <w:u w:val="single" w:color="0000FF"/>
          </w:rPr>
          <w:t>Equi</w:t>
        </w:r>
        <w:r>
          <w:rPr>
            <w:color w:val="0000FF"/>
            <w:sz w:val="18"/>
          </w:rPr>
          <w:t>ty</w:t>
        </w:r>
        <w:r>
          <w:rPr>
            <w:color w:val="0000FF"/>
            <w:spacing w:val="22"/>
            <w:sz w:val="18"/>
            <w:u w:val="single" w:color="0000FF"/>
          </w:rPr>
          <w:t> </w:t>
        </w:r>
        <w:r>
          <w:rPr>
            <w:color w:val="0000FF"/>
            <w:sz w:val="18"/>
            <w:u w:val="single" w:color="0000FF"/>
          </w:rPr>
          <w:t>Purchase</w:t>
        </w:r>
        <w:r>
          <w:rPr>
            <w:color w:val="0000FF"/>
            <w:spacing w:val="-12"/>
            <w:sz w:val="18"/>
            <w:u w:val="single" w:color="0000FF"/>
          </w:rPr>
          <w:t> </w:t>
        </w:r>
        <w:r>
          <w:rPr>
            <w:color w:val="0000FF"/>
            <w:sz w:val="18"/>
            <w:u w:val="single" w:color="0000FF"/>
          </w:rPr>
          <w:t>Agreement</w:t>
        </w:r>
        <w:r>
          <w:rPr>
            <w:color w:val="0000FF"/>
            <w:spacing w:val="-3"/>
            <w:sz w:val="18"/>
            <w:u w:val="single" w:color="0000FF"/>
          </w:rPr>
          <w:t> </w:t>
        </w:r>
        <w:r>
          <w:rPr>
            <w:color w:val="0000FF"/>
            <w:sz w:val="18"/>
            <w:u w:val="single" w:color="0000FF"/>
          </w:rPr>
          <w:t>by</w:t>
        </w:r>
        <w:r>
          <w:rPr>
            <w:color w:val="0000FF"/>
            <w:spacing w:val="22"/>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between</w:t>
        </w:r>
        <w:r>
          <w:rPr>
            <w:color w:val="0000FF"/>
            <w:spacing w:val="-3"/>
            <w:sz w:val="18"/>
            <w:u w:val="single" w:color="0000FF"/>
          </w:rPr>
          <w:t> </w:t>
        </w:r>
        <w:r>
          <w:rPr>
            <w:color w:val="0000FF"/>
            <w:sz w:val="18"/>
            <w:u w:val="single" w:color="0000FF"/>
          </w:rPr>
          <w:t>MGM</w:t>
        </w:r>
        <w:r>
          <w:rPr>
            <w:color w:val="0000FF"/>
            <w:spacing w:val="-3"/>
            <w:sz w:val="18"/>
            <w:u w:val="single" w:color="0000FF"/>
          </w:rPr>
          <w:t> </w:t>
        </w:r>
        <w:r>
          <w:rPr>
            <w:color w:val="0000FF"/>
            <w:sz w:val="18"/>
            <w:u w:val="single" w:color="0000FF"/>
          </w:rPr>
          <w:t>CC</w:t>
        </w:r>
        <w:r>
          <w:rPr>
            <w:color w:val="0000FF"/>
            <w:spacing w:val="-3"/>
            <w:sz w:val="18"/>
            <w:u w:val="single" w:color="0000FF"/>
          </w:rPr>
          <w:t> </w:t>
        </w:r>
        <w:r>
          <w:rPr>
            <w:color w:val="0000FF"/>
            <w:sz w:val="18"/>
            <w:u w:val="single" w:color="0000FF"/>
          </w:rPr>
          <w:t>Holdings,</w:t>
        </w:r>
        <w:r>
          <w:rPr>
            <w:color w:val="0000FF"/>
            <w:spacing w:val="-3"/>
            <w:sz w:val="18"/>
            <w:u w:val="single" w:color="0000FF"/>
          </w:rPr>
          <w:t> </w:t>
        </w:r>
        <w:r>
          <w:rPr>
            <w:color w:val="0000FF"/>
            <w:sz w:val="18"/>
            <w:u w:val="single" w:color="0000FF"/>
          </w:rPr>
          <w:t>Inc.,</w:t>
        </w:r>
        <w:r>
          <w:rPr>
            <w:color w:val="0000FF"/>
            <w:spacing w:val="-3"/>
            <w:sz w:val="18"/>
            <w:u w:val="single" w:color="0000FF"/>
          </w:rPr>
          <w:t> </w:t>
        </w:r>
        <w:r>
          <w:rPr>
            <w:color w:val="0000FF"/>
            <w:sz w:val="18"/>
            <w:u w:val="single" w:color="0000FF"/>
          </w:rPr>
          <w:t>Infini</w:t>
        </w:r>
        <w:r>
          <w:rPr>
            <w:color w:val="0000FF"/>
            <w:sz w:val="18"/>
          </w:rPr>
          <w:t>ty</w:t>
        </w:r>
        <w:r>
          <w:rPr>
            <w:color w:val="0000FF"/>
            <w:spacing w:val="19"/>
            <w:sz w:val="18"/>
            <w:u w:val="single" w:color="0000FF"/>
          </w:rPr>
          <w:t> </w:t>
        </w:r>
        <w:r>
          <w:rPr>
            <w:color w:val="0000FF"/>
            <w:sz w:val="18"/>
            <w:u w:val="single" w:color="0000FF"/>
          </w:rPr>
          <w:t>World</w:t>
        </w:r>
        <w:r>
          <w:rPr>
            <w:color w:val="0000FF"/>
            <w:spacing w:val="-3"/>
            <w:sz w:val="18"/>
            <w:u w:val="single" w:color="0000FF"/>
          </w:rPr>
          <w:t> </w:t>
        </w:r>
        <w:r>
          <w:rPr>
            <w:color w:val="0000FF"/>
            <w:sz w:val="18"/>
            <w:u w:val="single" w:color="0000FF"/>
          </w:rPr>
          <w:t>Development</w:t>
        </w:r>
        <w:r>
          <w:rPr>
            <w:color w:val="0000FF"/>
            <w:spacing w:val="-3"/>
            <w:sz w:val="18"/>
            <w:u w:val="single" w:color="0000FF"/>
          </w:rPr>
          <w:t> </w:t>
        </w:r>
        <w:r>
          <w:rPr>
            <w:color w:val="0000FF"/>
            <w:sz w:val="18"/>
            <w:u w:val="single" w:color="0000FF"/>
          </w:rPr>
          <w:t>Corp.</w:t>
        </w:r>
        <w:r>
          <w:rPr>
            <w:color w:val="0000FF"/>
            <w:spacing w:val="-3"/>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sole</w:t>
        </w:r>
        <w:r>
          <w:rPr>
            <w:color w:val="0000FF"/>
            <w:sz w:val="18"/>
          </w:rPr>
          <w:t>ly</w:t>
        </w:r>
        <w:r>
          <w:rPr>
            <w:color w:val="0000FF"/>
            <w:spacing w:val="22"/>
            <w:sz w:val="18"/>
            <w:u w:val="single" w:color="0000FF"/>
          </w:rPr>
          <w:t> </w:t>
        </w:r>
        <w:r>
          <w:rPr>
            <w:color w:val="0000FF"/>
            <w:sz w:val="18"/>
            <w:u w:val="single" w:color="0000FF"/>
          </w:rPr>
          <w:t>for</w:t>
        </w:r>
        <w:r>
          <w:rPr>
            <w:color w:val="0000FF"/>
            <w:spacing w:val="-3"/>
            <w:sz w:val="18"/>
            <w:u w:val="single" w:color="0000FF"/>
          </w:rPr>
          <w:t> </w:t>
        </w:r>
        <w:r>
          <w:rPr>
            <w:color w:val="0000FF"/>
            <w:sz w:val="18"/>
            <w:u w:val="single" w:color="0000FF"/>
          </w:rPr>
          <w:t>purposes</w:t>
        </w:r>
        <w:r>
          <w:rPr>
            <w:color w:val="0000FF"/>
            <w:spacing w:val="-3"/>
            <w:sz w:val="18"/>
            <w:u w:val="single" w:color="0000FF"/>
          </w:rPr>
          <w:t> </w:t>
        </w:r>
        <w:r>
          <w:rPr>
            <w:color w:val="0000FF"/>
            <w:sz w:val="18"/>
            <w:u w:val="single" w:color="0000FF"/>
          </w:rPr>
          <w:t>of</w:t>
        </w:r>
        <w:r>
          <w:rPr>
            <w:color w:val="0000FF"/>
            <w:spacing w:val="-12"/>
            <w:sz w:val="18"/>
            <w:u w:val="single" w:color="0000FF"/>
          </w:rPr>
          <w:t> </w:t>
        </w:r>
        <w:r>
          <w:rPr>
            <w:color w:val="0000FF"/>
            <w:sz w:val="18"/>
            <w:u w:val="single" w:color="0000FF"/>
          </w:rPr>
          <w:t>Article</w:t>
        </w:r>
        <w:r>
          <w:rPr>
            <w:color w:val="0000FF"/>
            <w:sz w:val="18"/>
          </w:rPr>
          <w:t> </w:t>
        </w:r>
        <w:r>
          <w:rPr>
            <w:color w:val="0000FF"/>
            <w:sz w:val="18"/>
            <w:u w:val="single" w:color="0000FF"/>
          </w:rPr>
          <w:t>X</w:t>
        </w:r>
        <w:r>
          <w:rPr>
            <w:color w:val="0000FF"/>
            <w:spacing w:val="-8"/>
            <w:sz w:val="18"/>
            <w:u w:val="single" w:color="0000FF"/>
          </w:rPr>
          <w:t> </w:t>
        </w:r>
        <w:r>
          <w:rPr>
            <w:color w:val="0000FF"/>
            <w:sz w:val="18"/>
            <w:u w:val="single" w:color="0000FF"/>
          </w:rPr>
          <w:t>thereof,</w:t>
        </w:r>
        <w:r>
          <w:rPr>
            <w:color w:val="0000FF"/>
            <w:spacing w:val="-2"/>
            <w:sz w:val="18"/>
            <w:u w:val="single" w:color="0000FF"/>
          </w:rPr>
          <w:t> </w:t>
        </w:r>
        <w:r>
          <w:rPr>
            <w:color w:val="0000FF"/>
            <w:sz w:val="18"/>
            <w:u w:val="single" w:color="0000FF"/>
          </w:rPr>
          <w:t>MGM</w:t>
        </w:r>
        <w:r>
          <w:rPr>
            <w:color w:val="0000FF"/>
            <w:spacing w:val="-2"/>
            <w:sz w:val="18"/>
            <w:u w:val="single" w:color="0000FF"/>
          </w:rPr>
          <w:t> </w:t>
        </w:r>
        <w:r>
          <w:rPr>
            <w:color w:val="0000FF"/>
            <w:sz w:val="18"/>
            <w:u w:val="single" w:color="0000FF"/>
          </w:rPr>
          <w:t>Resorts</w:t>
        </w:r>
        <w:r>
          <w:rPr>
            <w:color w:val="0000FF"/>
            <w:spacing w:val="-2"/>
            <w:sz w:val="18"/>
            <w:u w:val="single" w:color="0000FF"/>
          </w:rPr>
          <w:t> </w:t>
        </w:r>
        <w:r>
          <w:rPr>
            <w:color w:val="0000FF"/>
            <w:sz w:val="18"/>
            <w:u w:val="single" w:color="0000FF"/>
          </w:rPr>
          <w:t>International,</w:t>
        </w:r>
        <w:r>
          <w:rPr>
            <w:color w:val="0000FF"/>
            <w:spacing w:val="-2"/>
            <w:sz w:val="18"/>
            <w:u w:val="single" w:color="0000FF"/>
          </w:rPr>
          <w:t> </w:t>
        </w:r>
        <w:r>
          <w:rPr>
            <w:color w:val="0000FF"/>
            <w:sz w:val="18"/>
            <w:u w:val="single" w:color="0000FF"/>
          </w:rPr>
          <w:t>dated</w:t>
        </w:r>
        <w:r>
          <w:rPr>
            <w:color w:val="0000FF"/>
            <w:spacing w:val="-2"/>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of</w:t>
        </w:r>
        <w:r>
          <w:rPr>
            <w:color w:val="0000FF"/>
            <w:spacing w:val="-2"/>
            <w:sz w:val="18"/>
            <w:u w:val="single" w:color="0000FF"/>
          </w:rPr>
          <w:t> </w:t>
        </w:r>
        <w:r>
          <w:rPr>
            <w:color w:val="0000FF"/>
            <w:sz w:val="18"/>
            <w:u w:val="single" w:color="0000FF"/>
          </w:rPr>
          <w:t>June</w:t>
        </w:r>
        <w:r>
          <w:rPr>
            <w:color w:val="0000FF"/>
            <w:spacing w:val="-2"/>
            <w:sz w:val="18"/>
            <w:u w:val="single" w:color="0000FF"/>
          </w:rPr>
          <w:t> </w:t>
        </w:r>
        <w:r>
          <w:rPr>
            <w:color w:val="0000FF"/>
            <w:sz w:val="18"/>
            <w:u w:val="single" w:color="0000FF"/>
          </w:rPr>
          <w:t>30,</w:t>
        </w:r>
        <w:r>
          <w:rPr>
            <w:color w:val="0000FF"/>
            <w:spacing w:val="-2"/>
            <w:sz w:val="18"/>
            <w:u w:val="single" w:color="0000FF"/>
          </w:rPr>
          <w:t> </w:t>
        </w:r>
        <w:r>
          <w:rPr>
            <w:color w:val="0000FF"/>
            <w:sz w:val="18"/>
            <w:u w:val="single" w:color="0000FF"/>
          </w:rPr>
          <w:t>2021</w:t>
        </w:r>
        <w:r>
          <w:rPr>
            <w:color w:val="0000FF"/>
            <w:spacing w:val="-2"/>
            <w:sz w:val="18"/>
            <w:u w:val="single" w:color="0000FF"/>
          </w:rPr>
          <w:t> </w:t>
        </w:r>
        <w:r>
          <w:rPr>
            <w:color w:val="0000FF"/>
            <w:sz w:val="18"/>
            <w:u w:val="single" w:color="0000FF"/>
          </w:rPr>
          <w:t>(incorporated</w:t>
        </w:r>
        <w:r>
          <w:rPr>
            <w:color w:val="0000FF"/>
            <w:spacing w:val="-2"/>
            <w:sz w:val="18"/>
            <w:u w:val="single" w:color="0000FF"/>
          </w:rPr>
          <w:t> </w:t>
        </w:r>
        <w:r>
          <w:rPr>
            <w:color w:val="0000FF"/>
            <w:sz w:val="18"/>
            <w:u w:val="single" w:color="0000FF"/>
          </w:rPr>
          <w:t>by</w:t>
        </w:r>
        <w:r>
          <w:rPr>
            <w:color w:val="0000FF"/>
            <w:spacing w:val="26"/>
            <w:sz w:val="18"/>
            <w:u w:val="single" w:color="0000FF"/>
          </w:rPr>
          <w:t> </w:t>
        </w:r>
        <w:r>
          <w:rPr>
            <w:color w:val="0000FF"/>
            <w:sz w:val="18"/>
            <w:u w:val="single" w:color="0000FF"/>
          </w:rPr>
          <w:t>reference</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Exhibit</w:t>
        </w:r>
        <w:r>
          <w:rPr>
            <w:color w:val="0000FF"/>
            <w:spacing w:val="-2"/>
            <w:sz w:val="18"/>
            <w:u w:val="single" w:color="0000FF"/>
          </w:rPr>
          <w:t> </w:t>
        </w:r>
        <w:r>
          <w:rPr>
            <w:color w:val="0000FF"/>
            <w:sz w:val="18"/>
            <w:u w:val="single" w:color="0000FF"/>
          </w:rPr>
          <w:t>2.1</w:t>
        </w:r>
        <w:r>
          <w:rPr>
            <w:color w:val="0000FF"/>
            <w:spacing w:val="-2"/>
            <w:sz w:val="18"/>
            <w:u w:val="single" w:color="0000FF"/>
          </w:rPr>
          <w:t> </w:t>
        </w:r>
        <w:r>
          <w:rPr>
            <w:color w:val="0000FF"/>
            <w:sz w:val="18"/>
            <w:u w:val="single" w:color="0000FF"/>
          </w:rPr>
          <w:t>of</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Company</w:t>
        </w:r>
        <w:r>
          <w:rPr>
            <w:color w:val="0000FF"/>
            <w:spacing w:val="-12"/>
            <w:sz w:val="18"/>
            <w:u w:val="single" w:color="0000FF"/>
          </w:rPr>
          <w:t> </w:t>
        </w:r>
        <w:r>
          <w:rPr>
            <w:color w:val="0000FF"/>
            <w:sz w:val="18"/>
            <w:u w:val="single" w:color="0000FF"/>
          </w:rPr>
          <w:t>’s</w:t>
        </w:r>
        <w:r>
          <w:rPr>
            <w:color w:val="0000FF"/>
            <w:spacing w:val="-1"/>
            <w:sz w:val="18"/>
            <w:u w:val="single" w:color="0000FF"/>
          </w:rPr>
          <w:t> </w:t>
        </w:r>
        <w:r>
          <w:rPr>
            <w:color w:val="0000FF"/>
            <w:sz w:val="18"/>
            <w:u w:val="single" w:color="0000FF"/>
          </w:rPr>
          <w:t>Current</w:t>
        </w:r>
        <w:r>
          <w:rPr>
            <w:color w:val="0000FF"/>
            <w:spacing w:val="-2"/>
            <w:sz w:val="18"/>
            <w:u w:val="single" w:color="0000FF"/>
          </w:rPr>
          <w:t> </w:t>
        </w:r>
        <w:r>
          <w:rPr>
            <w:color w:val="0000FF"/>
            <w:sz w:val="18"/>
            <w:u w:val="single" w:color="0000FF"/>
          </w:rPr>
          <w:t>Report</w:t>
        </w:r>
      </w:hyperlink>
      <w:r>
        <w:rPr>
          <w:color w:val="0000FF"/>
          <w:sz w:val="18"/>
        </w:rPr>
        <w:t> </w:t>
      </w:r>
      <w:hyperlink r:id="rId9">
        <w:r>
          <w:rPr>
            <w:color w:val="0000FF"/>
            <w:sz w:val="18"/>
            <w:u w:val="single" w:color="0000FF"/>
          </w:rPr>
          <w:t>on Form 8-K filed on Ju</w:t>
        </w:r>
        <w:r>
          <w:rPr>
            <w:color w:val="0000FF"/>
            <w:sz w:val="18"/>
          </w:rPr>
          <w:t>ly</w:t>
        </w:r>
        <w:r>
          <w:rPr>
            <w:color w:val="0000FF"/>
            <w:spacing w:val="40"/>
            <w:sz w:val="18"/>
            <w:u w:val="single" w:color="0000FF"/>
          </w:rPr>
          <w:t> </w:t>
        </w:r>
        <w:r>
          <w:rPr>
            <w:color w:val="0000FF"/>
            <w:sz w:val="18"/>
            <w:u w:val="single" w:color="0000FF"/>
          </w:rPr>
          <w:t>1, 2021).</w:t>
        </w:r>
      </w:hyperlink>
    </w:p>
    <w:p>
      <w:pPr>
        <w:pStyle w:val="ListParagraph"/>
        <w:numPr>
          <w:ilvl w:val="1"/>
          <w:numId w:val="17"/>
        </w:numPr>
        <w:tabs>
          <w:tab w:pos="1430" w:val="left" w:leader="none"/>
        </w:tabs>
        <w:spacing w:line="204" w:lineRule="auto" w:before="59" w:after="0"/>
        <w:ind w:left="1430" w:right="135" w:hanging="1269"/>
        <w:jc w:val="both"/>
        <w:rPr>
          <w:sz w:val="18"/>
        </w:rPr>
      </w:pPr>
      <w:hyperlink r:id="rId10">
        <w:r>
          <w:rPr>
            <w:color w:val="0000FF"/>
            <w:position w:val="1"/>
            <w:sz w:val="18"/>
            <w:u w:val="single" w:color="0000FF"/>
          </w:rPr>
          <w:t>Master</w:t>
        </w:r>
        <w:r>
          <w:rPr>
            <w:color w:val="0000FF"/>
            <w:spacing w:val="-7"/>
            <w:position w:val="1"/>
            <w:sz w:val="18"/>
            <w:u w:val="single" w:color="0000FF"/>
          </w:rPr>
          <w:t> </w:t>
        </w:r>
        <w:r>
          <w:rPr>
            <w:color w:val="0000FF"/>
            <w:position w:val="1"/>
            <w:sz w:val="18"/>
            <w:u w:val="single" w:color="0000FF"/>
          </w:rPr>
          <w:t>Transaction</w:t>
        </w:r>
        <w:r>
          <w:rPr>
            <w:color w:val="0000FF"/>
            <w:spacing w:val="-7"/>
            <w:position w:val="1"/>
            <w:sz w:val="18"/>
            <w:u w:val="single" w:color="0000FF"/>
          </w:rPr>
          <w:t> </w:t>
        </w:r>
        <w:r>
          <w:rPr>
            <w:color w:val="0000FF"/>
            <w:position w:val="1"/>
            <w:sz w:val="18"/>
            <w:u w:val="single" w:color="0000FF"/>
          </w:rPr>
          <w:t>Agreement by</w:t>
        </w:r>
        <w:r>
          <w:rPr>
            <w:color w:val="0000FF"/>
            <w:spacing w:val="30"/>
            <w:position w:val="1"/>
            <w:sz w:val="18"/>
            <w:u w:val="single" w:color="0000FF"/>
          </w:rPr>
          <w:t> </w:t>
        </w:r>
        <w:r>
          <w:rPr>
            <w:color w:val="0000FF"/>
            <w:position w:val="1"/>
            <w:sz w:val="18"/>
            <w:u w:val="single" w:color="0000FF"/>
          </w:rPr>
          <w:t>and among</w:t>
        </w:r>
        <w:r>
          <w:rPr>
            <w:color w:val="0000FF"/>
            <w:spacing w:val="-6"/>
            <w:position w:val="1"/>
            <w:sz w:val="18"/>
            <w:u w:val="single" w:color="0000FF"/>
          </w:rPr>
          <w:t> </w:t>
        </w:r>
        <w:r>
          <w:rPr>
            <w:color w:val="0000FF"/>
            <w:position w:val="1"/>
            <w:sz w:val="18"/>
            <w:u w:val="single" w:color="0000FF"/>
          </w:rPr>
          <w:t>MGM Resorts International, Ci</w:t>
        </w:r>
        <w:r>
          <w:rPr>
            <w:color w:val="0000FF"/>
            <w:position w:val="1"/>
            <w:sz w:val="18"/>
          </w:rPr>
          <w:t>ty</w:t>
        </w:r>
        <w:r>
          <w:rPr>
            <w:color w:val="0000FF"/>
            <w:spacing w:val="-12"/>
            <w:position w:val="1"/>
            <w:sz w:val="18"/>
            <w:u w:val="single" w:color="0000FF"/>
          </w:rPr>
          <w:t> </w:t>
        </w:r>
        <w:r>
          <w:rPr>
            <w:color w:val="0000FF"/>
            <w:position w:val="1"/>
            <w:sz w:val="18"/>
            <w:u w:val="single" w:color="0000FF"/>
          </w:rPr>
          <w:t>Center Land, LLC and</w:t>
        </w:r>
        <w:r>
          <w:rPr>
            <w:color w:val="0000FF"/>
            <w:spacing w:val="-7"/>
            <w:position w:val="1"/>
            <w:sz w:val="18"/>
            <w:u w:val="single" w:color="0000FF"/>
          </w:rPr>
          <w:t> </w:t>
        </w:r>
        <w:r>
          <w:rPr>
            <w:color w:val="0000FF"/>
            <w:position w:val="1"/>
            <w:sz w:val="18"/>
            <w:u w:val="single" w:color="0000FF"/>
          </w:rPr>
          <w:t>Ace Purchaser LLC, dated as of June</w:t>
        </w:r>
      </w:hyperlink>
      <w:r>
        <w:rPr>
          <w:color w:val="0000FF"/>
          <w:position w:val="1"/>
          <w:sz w:val="18"/>
        </w:rPr>
        <w:t> </w:t>
      </w:r>
      <w:hyperlink r:id="rId10">
        <w:r>
          <w:rPr>
            <w:color w:val="0000FF"/>
            <w:sz w:val="18"/>
            <w:u w:val="single" w:color="0000FF"/>
          </w:rPr>
          <w:t>30, 2021 (incorporated by</w:t>
        </w:r>
        <w:r>
          <w:rPr>
            <w:color w:val="0000FF"/>
            <w:spacing w:val="34"/>
            <w:sz w:val="18"/>
            <w:u w:val="single" w:color="0000FF"/>
          </w:rPr>
          <w:t> </w:t>
        </w:r>
        <w:r>
          <w:rPr>
            <w:color w:val="0000FF"/>
            <w:sz w:val="18"/>
            <w:u w:val="single" w:color="0000FF"/>
          </w:rPr>
          <w:t>reference to Exhibit 2.2 of the Company</w:t>
        </w:r>
        <w:r>
          <w:rPr>
            <w:color w:val="0000FF"/>
            <w:spacing w:val="-14"/>
            <w:sz w:val="18"/>
            <w:u w:val="single" w:color="0000FF"/>
          </w:rPr>
          <w:t> </w:t>
        </w:r>
        <w:r>
          <w:rPr>
            <w:color w:val="0000FF"/>
            <w:sz w:val="18"/>
            <w:u w:val="single" w:color="0000FF"/>
          </w:rPr>
          <w:t>’s Current Report on Form 8-K filed on Ju</w:t>
        </w:r>
        <w:r>
          <w:rPr>
            <w:color w:val="0000FF"/>
            <w:sz w:val="18"/>
          </w:rPr>
          <w:t>ly</w:t>
        </w:r>
        <w:r>
          <w:rPr>
            <w:color w:val="0000FF"/>
            <w:spacing w:val="34"/>
            <w:sz w:val="18"/>
            <w:u w:val="single" w:color="0000FF"/>
          </w:rPr>
          <w:t> </w:t>
        </w:r>
        <w:r>
          <w:rPr>
            <w:color w:val="0000FF"/>
            <w:sz w:val="18"/>
            <w:u w:val="single" w:color="0000FF"/>
          </w:rPr>
          <w:t>1, 2021).</w:t>
        </w:r>
      </w:hyperlink>
    </w:p>
    <w:p>
      <w:pPr>
        <w:pStyle w:val="ListParagraph"/>
        <w:numPr>
          <w:ilvl w:val="1"/>
          <w:numId w:val="17"/>
        </w:numPr>
        <w:tabs>
          <w:tab w:pos="1430" w:val="left" w:leader="none"/>
        </w:tabs>
        <w:spacing w:line="196" w:lineRule="auto" w:before="62" w:after="0"/>
        <w:ind w:left="1430" w:right="135" w:hanging="1269"/>
        <w:jc w:val="both"/>
        <w:rPr>
          <w:sz w:val="18"/>
        </w:rPr>
      </w:pPr>
      <w:hyperlink r:id="rId11">
        <w:r>
          <w:rPr>
            <w:color w:val="0000FF"/>
            <w:position w:val="1"/>
            <w:sz w:val="18"/>
            <w:u w:val="single" w:color="0000FF"/>
          </w:rPr>
          <w:t>Master Transaction Agreement, by</w:t>
        </w:r>
        <w:r>
          <w:rPr>
            <w:color w:val="0000FF"/>
            <w:spacing w:val="40"/>
            <w:position w:val="1"/>
            <w:sz w:val="18"/>
            <w:u w:val="single" w:color="0000FF"/>
          </w:rPr>
          <w:t> </w:t>
        </w:r>
        <w:r>
          <w:rPr>
            <w:color w:val="0000FF"/>
            <w:position w:val="1"/>
            <w:sz w:val="18"/>
            <w:u w:val="single" w:color="0000FF"/>
          </w:rPr>
          <w:t>and among MGM Resorts International, MGM Growth Properties LLC, MGM Growth </w:t>
        </w:r>
        <w:r>
          <w:rPr>
            <w:color w:val="0000FF"/>
            <w:position w:val="1"/>
            <w:sz w:val="18"/>
            <w:u w:val="single" w:color="0000FF"/>
          </w:rPr>
          <w:t>Properties</w:t>
        </w:r>
        <w:r>
          <w:rPr>
            <w:color w:val="0000FF"/>
            <w:position w:val="1"/>
            <w:sz w:val="18"/>
          </w:rPr>
          <w:t> </w:t>
        </w:r>
        <w:r>
          <w:rPr>
            <w:color w:val="0000FF"/>
            <w:sz w:val="18"/>
            <w:u w:val="single" w:color="0000FF"/>
          </w:rPr>
          <w:t>Operating Partnership LP, VICI Properties Inc., Venus Sub LLC, VICI Properties L.P. and VICI Properties OP LLC, dated as of August 4</w:t>
        </w:r>
        <w:r>
          <w:rPr>
            <w:color w:val="0000FF"/>
            <w:sz w:val="18"/>
          </w:rPr>
          <w:t>,</w:t>
        </w:r>
      </w:hyperlink>
      <w:r>
        <w:rPr>
          <w:color w:val="0000FF"/>
          <w:sz w:val="18"/>
        </w:rPr>
        <w:t> </w:t>
      </w:r>
      <w:hyperlink r:id="rId11">
        <w:r>
          <w:rPr>
            <w:color w:val="0000FF"/>
            <w:sz w:val="18"/>
            <w:u w:val="single" w:color="0000FF"/>
          </w:rPr>
          <w:t>2021 (incorporated by</w:t>
        </w:r>
        <w:r>
          <w:rPr>
            <w:color w:val="0000FF"/>
            <w:spacing w:val="37"/>
            <w:sz w:val="18"/>
            <w:u w:val="single" w:color="0000FF"/>
          </w:rPr>
          <w:t> </w:t>
        </w:r>
        <w:r>
          <w:rPr>
            <w:color w:val="0000FF"/>
            <w:sz w:val="18"/>
            <w:u w:val="single" w:color="0000FF"/>
          </w:rPr>
          <w:t>reference to Exhibit 2.1 of the Company</w:t>
        </w:r>
        <w:r>
          <w:rPr>
            <w:color w:val="0000FF"/>
            <w:spacing w:val="-13"/>
            <w:sz w:val="18"/>
            <w:u w:val="single" w:color="0000FF"/>
          </w:rPr>
          <w:t> </w:t>
        </w:r>
        <w:r>
          <w:rPr>
            <w:color w:val="0000FF"/>
            <w:sz w:val="18"/>
            <w:u w:val="single" w:color="0000FF"/>
          </w:rPr>
          <w:t>’s Current Report on Form 8-K filed on</w:t>
        </w:r>
        <w:r>
          <w:rPr>
            <w:color w:val="0000FF"/>
            <w:spacing w:val="-7"/>
            <w:sz w:val="18"/>
            <w:u w:val="single" w:color="0000FF"/>
          </w:rPr>
          <w:t> </w:t>
        </w:r>
        <w:r>
          <w:rPr>
            <w:color w:val="0000FF"/>
            <w:sz w:val="18"/>
            <w:u w:val="single" w:color="0000FF"/>
          </w:rPr>
          <w:t>August 5, 2021).</w:t>
        </w:r>
      </w:hyperlink>
    </w:p>
    <w:p>
      <w:pPr>
        <w:pStyle w:val="ListParagraph"/>
        <w:numPr>
          <w:ilvl w:val="1"/>
          <w:numId w:val="17"/>
        </w:numPr>
        <w:tabs>
          <w:tab w:pos="1430" w:val="left" w:leader="none"/>
        </w:tabs>
        <w:spacing w:line="196" w:lineRule="auto" w:before="75" w:after="0"/>
        <w:ind w:left="1430" w:right="135" w:hanging="1269"/>
        <w:jc w:val="both"/>
        <w:rPr>
          <w:sz w:val="18"/>
        </w:rPr>
      </w:pPr>
      <w:hyperlink r:id="rId12">
        <w:r>
          <w:rPr>
            <w:color w:val="0000FF"/>
            <w:position w:val="1"/>
            <w:sz w:val="18"/>
            <w:u w:val="single" w:color="0000FF"/>
          </w:rPr>
          <w:t>Purchase Agreement by</w:t>
        </w:r>
        <w:r>
          <w:rPr>
            <w:color w:val="0000FF"/>
            <w:spacing w:val="40"/>
            <w:position w:val="1"/>
            <w:sz w:val="18"/>
            <w:u w:val="single" w:color="0000FF"/>
          </w:rPr>
          <w:t> </w:t>
        </w:r>
        <w:r>
          <w:rPr>
            <w:color w:val="0000FF"/>
            <w:position w:val="1"/>
            <w:sz w:val="18"/>
            <w:u w:val="single" w:color="0000FF"/>
          </w:rPr>
          <w:t>and among BRE Spade Parent LLC, BRE Spade PropCo Holdings LLC, BRE Spade Mezz 1 LLC, BRE Spade</w:t>
        </w:r>
        <w:r>
          <w:rPr>
            <w:color w:val="0000FF"/>
            <w:position w:val="1"/>
            <w:sz w:val="18"/>
          </w:rPr>
          <w:t> </w:t>
        </w:r>
        <w:r>
          <w:rPr>
            <w:color w:val="0000FF"/>
            <w:sz w:val="18"/>
            <w:u w:val="single" w:color="0000FF"/>
          </w:rPr>
          <w:t>Voteco LLC and MGM Resorts International, dated as of September 26, 2021 (incorporated by</w:t>
        </w:r>
        <w:r>
          <w:rPr>
            <w:color w:val="0000FF"/>
            <w:spacing w:val="36"/>
            <w:sz w:val="18"/>
            <w:u w:val="single" w:color="0000FF"/>
          </w:rPr>
          <w:t> </w:t>
        </w:r>
        <w:r>
          <w:rPr>
            <w:color w:val="0000FF"/>
            <w:sz w:val="18"/>
            <w:u w:val="single" w:color="0000FF"/>
          </w:rPr>
          <w:t>reference to Exhibit 2.1 of the Company</w:t>
        </w:r>
        <w:r>
          <w:rPr>
            <w:color w:val="0000FF"/>
            <w:spacing w:val="-12"/>
            <w:sz w:val="18"/>
            <w:u w:val="single" w:color="0000FF"/>
          </w:rPr>
          <w:t> </w:t>
        </w:r>
        <w:r>
          <w:rPr>
            <w:color w:val="0000FF"/>
            <w:sz w:val="18"/>
            <w:u w:val="single" w:color="0000FF"/>
          </w:rPr>
          <w:t>’s</w:t>
        </w:r>
      </w:hyperlink>
      <w:r>
        <w:rPr>
          <w:color w:val="0000FF"/>
          <w:sz w:val="18"/>
        </w:rPr>
        <w:t> </w:t>
      </w:r>
      <w:hyperlink r:id="rId12">
        <w:r>
          <w:rPr>
            <w:color w:val="0000FF"/>
            <w:sz w:val="18"/>
            <w:u w:val="single" w:color="0000FF"/>
          </w:rPr>
          <w:t>Current Report on Form 8-K filed on September 28, 2021).</w:t>
        </w:r>
      </w:hyperlink>
    </w:p>
    <w:p>
      <w:pPr>
        <w:pStyle w:val="ListParagraph"/>
        <w:numPr>
          <w:ilvl w:val="1"/>
          <w:numId w:val="17"/>
        </w:numPr>
        <w:tabs>
          <w:tab w:pos="1430" w:val="left" w:leader="none"/>
        </w:tabs>
        <w:spacing w:line="187" w:lineRule="auto" w:before="81" w:after="0"/>
        <w:ind w:left="1430" w:right="136" w:hanging="1269"/>
        <w:jc w:val="both"/>
        <w:rPr>
          <w:sz w:val="18"/>
        </w:rPr>
      </w:pPr>
      <w:r>
        <w:rPr/>
        <mc:AlternateContent>
          <mc:Choice Requires="wps">
            <w:drawing>
              <wp:anchor distT="0" distB="0" distL="0" distR="0" allowOverlap="1" layoutInCell="1" locked="0" behindDoc="0" simplePos="0" relativeHeight="15875072">
                <wp:simplePos x="0" y="0"/>
                <wp:positionH relativeFrom="page">
                  <wp:posOffset>7513256</wp:posOffset>
                </wp:positionH>
                <wp:positionV relativeFrom="paragraph">
                  <wp:posOffset>141284</wp:posOffset>
                </wp:positionV>
                <wp:extent cx="19685" cy="8890"/>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19685" cy="8890"/>
                        </a:xfrm>
                        <a:custGeom>
                          <a:avLst/>
                          <a:gdLst/>
                          <a:ahLst/>
                          <a:cxnLst/>
                          <a:rect l="l" t="t" r="r" b="b"/>
                          <a:pathLst>
                            <a:path w="19685" h="8890">
                              <a:moveTo>
                                <a:pt x="19151" y="0"/>
                              </a:moveTo>
                              <a:lnTo>
                                <a:pt x="0" y="0"/>
                              </a:lnTo>
                              <a:lnTo>
                                <a:pt x="0" y="8572"/>
                              </a:lnTo>
                              <a:lnTo>
                                <a:pt x="19151" y="8572"/>
                              </a:lnTo>
                              <a:lnTo>
                                <a:pt x="1915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595032pt;margin-top:11.124801pt;width:1.508pt;height:.675pt;mso-position-horizontal-relative:page;mso-position-vertical-relative:paragraph;z-index:15875072" id="docshape707" filled="true" fillcolor="#0000ff" stroked="false">
                <v:fill type="solid"/>
                <w10:wrap type="none"/>
              </v:rect>
            </w:pict>
          </mc:Fallback>
        </mc:AlternateContent>
      </w:r>
      <w:hyperlink r:id="rId13">
        <w:r>
          <w:rPr>
            <w:color w:val="0000FF"/>
            <w:position w:val="1"/>
            <w:sz w:val="18"/>
            <w:u w:val="single" w:color="0000FF"/>
          </w:rPr>
          <w:t>Purchase Agreement by</w:t>
        </w:r>
        <w:r>
          <w:rPr>
            <w:color w:val="0000FF"/>
            <w:spacing w:val="40"/>
            <w:position w:val="1"/>
            <w:sz w:val="18"/>
            <w:u w:val="single" w:color="0000FF"/>
          </w:rPr>
          <w:t> </w:t>
        </w:r>
        <w:r>
          <w:rPr>
            <w:color w:val="0000FF"/>
            <w:position w:val="1"/>
            <w:sz w:val="18"/>
            <w:u w:val="single" w:color="0000FF"/>
          </w:rPr>
          <w:t>and between MGM Resorts International and HR Nevada, LLC, dated as of December 13, 2021 (incorporated by</w:t>
        </w:r>
      </w:hyperlink>
      <w:r>
        <w:rPr>
          <w:color w:val="0000FF"/>
          <w:position w:val="1"/>
          <w:sz w:val="18"/>
        </w:rPr>
        <w:t> </w:t>
      </w:r>
      <w:hyperlink r:id="rId13">
        <w:r>
          <w:rPr>
            <w:color w:val="0000FF"/>
            <w:sz w:val="18"/>
            <w:u w:val="single" w:color="0000FF"/>
          </w:rPr>
          <w:t>reference to Exhibit 2.1 of the Company</w:t>
        </w:r>
        <w:r>
          <w:rPr>
            <w:color w:val="0000FF"/>
            <w:spacing w:val="-11"/>
            <w:sz w:val="18"/>
            <w:u w:val="single" w:color="0000FF"/>
          </w:rPr>
          <w:t> </w:t>
        </w:r>
        <w:r>
          <w:rPr>
            <w:color w:val="0000FF"/>
            <w:sz w:val="18"/>
            <w:u w:val="single" w:color="0000FF"/>
          </w:rPr>
          <w:t>’s Current Report on Form 8-K filed on December 14, 2021).</w:t>
        </w:r>
      </w:hyperlink>
    </w:p>
    <w:p>
      <w:pPr>
        <w:pStyle w:val="ListParagraph"/>
        <w:numPr>
          <w:ilvl w:val="1"/>
          <w:numId w:val="18"/>
        </w:numPr>
        <w:tabs>
          <w:tab w:pos="1430" w:val="left" w:leader="none"/>
        </w:tabs>
        <w:spacing w:line="204" w:lineRule="auto" w:before="61" w:after="0"/>
        <w:ind w:left="1430" w:right="136" w:hanging="1269"/>
        <w:jc w:val="both"/>
        <w:rPr>
          <w:sz w:val="18"/>
        </w:rPr>
      </w:pPr>
      <w:hyperlink r:id="rId14">
        <w:r>
          <w:rPr>
            <w:color w:val="0000FF"/>
            <w:position w:val="1"/>
            <w:sz w:val="18"/>
            <w:u w:val="single" w:color="0000FF"/>
          </w:rPr>
          <w:t>Amended</w:t>
        </w:r>
        <w:r>
          <w:rPr>
            <w:color w:val="0000FF"/>
            <w:spacing w:val="-4"/>
            <w:position w:val="1"/>
            <w:sz w:val="18"/>
            <w:u w:val="single" w:color="0000FF"/>
          </w:rPr>
          <w:t> </w:t>
        </w:r>
        <w:r>
          <w:rPr>
            <w:color w:val="0000FF"/>
            <w:position w:val="1"/>
            <w:sz w:val="18"/>
            <w:u w:val="single" w:color="0000FF"/>
          </w:rPr>
          <w:t>and Restated Certificate of Incorporation of the Company</w:t>
        </w:r>
        <w:r>
          <w:rPr>
            <w:color w:val="0000FF"/>
            <w:spacing w:val="-12"/>
            <w:position w:val="1"/>
            <w:sz w:val="18"/>
            <w:u w:val="single" w:color="0000FF"/>
          </w:rPr>
          <w:t> </w:t>
        </w:r>
        <w:r>
          <w:rPr>
            <w:color w:val="0000FF"/>
            <w:position w:val="1"/>
            <w:sz w:val="18"/>
          </w:rPr>
          <w:t>,</w:t>
        </w:r>
        <w:r>
          <w:rPr>
            <w:color w:val="0000FF"/>
            <w:position w:val="1"/>
            <w:sz w:val="18"/>
            <w:u w:val="single" w:color="0000FF"/>
          </w:rPr>
          <w:t> dated June 14, 2011 (incorporated by</w:t>
        </w:r>
        <w:r>
          <w:rPr>
            <w:color w:val="0000FF"/>
            <w:spacing w:val="40"/>
            <w:position w:val="1"/>
            <w:sz w:val="18"/>
            <w:u w:val="single" w:color="0000FF"/>
          </w:rPr>
          <w:t> </w:t>
        </w:r>
        <w:r>
          <w:rPr>
            <w:color w:val="0000FF"/>
            <w:position w:val="1"/>
            <w:sz w:val="18"/>
            <w:u w:val="single" w:color="0000FF"/>
          </w:rPr>
          <w:t>reference to Exhibit 3.1 to the</w:t>
        </w:r>
      </w:hyperlink>
      <w:r>
        <w:rPr>
          <w:color w:val="0000FF"/>
          <w:position w:val="1"/>
          <w:sz w:val="18"/>
        </w:rPr>
        <w:t> </w:t>
      </w:r>
      <w:hyperlink r:id="rId14">
        <w:r>
          <w:rPr>
            <w:color w:val="0000FF"/>
            <w:sz w:val="18"/>
            <w:u w:val="single" w:color="0000FF"/>
          </w:rPr>
          <w:t>Company</w:t>
        </w:r>
        <w:r>
          <w:rPr>
            <w:color w:val="0000FF"/>
            <w:spacing w:val="-12"/>
            <w:sz w:val="18"/>
            <w:u w:val="single" w:color="0000FF"/>
          </w:rPr>
          <w:t> </w:t>
        </w:r>
        <w:r>
          <w:rPr>
            <w:color w:val="0000FF"/>
            <w:sz w:val="18"/>
            <w:u w:val="single" w:color="0000FF"/>
          </w:rPr>
          <w:t>’s Q</w:t>
        </w:r>
        <w:r>
          <w:rPr>
            <w:color w:val="0000FF"/>
            <w:spacing w:val="-32"/>
            <w:sz w:val="18"/>
            <w:u w:val="single" w:color="0000FF"/>
          </w:rPr>
          <w:t> </w:t>
        </w:r>
        <w:r>
          <w:rPr>
            <w:color w:val="0000FF"/>
            <w:sz w:val="18"/>
            <w:u w:val="single" w:color="0000FF"/>
          </w:rPr>
          <w:t>uarter</w:t>
        </w:r>
        <w:r>
          <w:rPr>
            <w:color w:val="0000FF"/>
            <w:sz w:val="18"/>
          </w:rPr>
          <w:t>ly</w:t>
        </w:r>
        <w:r>
          <w:rPr>
            <w:color w:val="0000FF"/>
            <w:spacing w:val="37"/>
            <w:sz w:val="18"/>
            <w:u w:val="single" w:color="0000FF"/>
          </w:rPr>
          <w:t> </w:t>
        </w:r>
        <w:r>
          <w:rPr>
            <w:color w:val="0000FF"/>
            <w:sz w:val="18"/>
            <w:u w:val="single" w:color="0000FF"/>
          </w:rPr>
          <w:t>Report on Form 10-Q filed on</w:t>
        </w:r>
        <w:r>
          <w:rPr>
            <w:color w:val="0000FF"/>
            <w:spacing w:val="-7"/>
            <w:sz w:val="18"/>
            <w:u w:val="single" w:color="0000FF"/>
          </w:rPr>
          <w:t> </w:t>
        </w:r>
        <w:r>
          <w:rPr>
            <w:color w:val="0000FF"/>
            <w:sz w:val="18"/>
            <w:u w:val="single" w:color="0000FF"/>
          </w:rPr>
          <w:t>August 9, 2011).</w:t>
        </w:r>
      </w:hyperlink>
    </w:p>
    <w:p>
      <w:pPr>
        <w:pStyle w:val="ListParagraph"/>
        <w:numPr>
          <w:ilvl w:val="1"/>
          <w:numId w:val="18"/>
        </w:numPr>
        <w:tabs>
          <w:tab w:pos="1430" w:val="left" w:leader="none"/>
        </w:tabs>
        <w:spacing w:line="187" w:lineRule="auto" w:before="68" w:after="0"/>
        <w:ind w:left="1430" w:right="136" w:hanging="1269"/>
        <w:jc w:val="both"/>
        <w:rPr>
          <w:sz w:val="18"/>
        </w:rPr>
      </w:pPr>
      <w:hyperlink r:id="rId15">
        <w:r>
          <w:rPr>
            <w:color w:val="0000FF"/>
            <w:position w:val="1"/>
            <w:sz w:val="18"/>
            <w:u w:val="single" w:color="0000FF"/>
          </w:rPr>
          <w:t>Amended</w:t>
        </w:r>
        <w:r>
          <w:rPr>
            <w:color w:val="0000FF"/>
            <w:spacing w:val="-3"/>
            <w:position w:val="1"/>
            <w:sz w:val="18"/>
            <w:u w:val="single" w:color="0000FF"/>
          </w:rPr>
          <w:t> </w:t>
        </w:r>
        <w:r>
          <w:rPr>
            <w:color w:val="0000FF"/>
            <w:position w:val="1"/>
            <w:sz w:val="18"/>
            <w:u w:val="single" w:color="0000FF"/>
          </w:rPr>
          <w:t>and Restated Bylaws of the Company</w:t>
        </w:r>
        <w:r>
          <w:rPr>
            <w:color w:val="0000FF"/>
            <w:spacing w:val="-12"/>
            <w:position w:val="1"/>
            <w:sz w:val="18"/>
            <w:u w:val="single" w:color="0000FF"/>
          </w:rPr>
          <w:t> </w:t>
        </w:r>
        <w:r>
          <w:rPr>
            <w:color w:val="0000FF"/>
            <w:position w:val="1"/>
            <w:sz w:val="18"/>
          </w:rPr>
          <w:t>,</w:t>
        </w:r>
        <w:r>
          <w:rPr>
            <w:color w:val="0000FF"/>
            <w:position w:val="1"/>
            <w:sz w:val="18"/>
            <w:u w:val="single" w:color="0000FF"/>
          </w:rPr>
          <w:t> effective October 7, 2022 (incorporated by</w:t>
        </w:r>
        <w:r>
          <w:rPr>
            <w:color w:val="0000FF"/>
            <w:spacing w:val="40"/>
            <w:position w:val="1"/>
            <w:sz w:val="18"/>
            <w:u w:val="single" w:color="0000FF"/>
          </w:rPr>
          <w:t> </w:t>
        </w:r>
        <w:r>
          <w:rPr>
            <w:color w:val="0000FF"/>
            <w:position w:val="1"/>
            <w:sz w:val="18"/>
            <w:u w:val="single" w:color="0000FF"/>
          </w:rPr>
          <w:t>reference to Exhibit 3.1 of the Company</w:t>
        </w:r>
        <w:r>
          <w:rPr>
            <w:color w:val="0000FF"/>
            <w:spacing w:val="-12"/>
            <w:position w:val="1"/>
            <w:sz w:val="18"/>
            <w:u w:val="single" w:color="0000FF"/>
          </w:rPr>
          <w:t> </w:t>
        </w:r>
        <w:r>
          <w:rPr>
            <w:color w:val="0000FF"/>
            <w:position w:val="1"/>
            <w:sz w:val="18"/>
            <w:u w:val="single" w:color="0000FF"/>
          </w:rPr>
          <w:t>’s</w:t>
        </w:r>
      </w:hyperlink>
      <w:r>
        <w:rPr>
          <w:color w:val="0000FF"/>
          <w:position w:val="1"/>
          <w:sz w:val="18"/>
        </w:rPr>
        <w:t> </w:t>
      </w:r>
      <w:hyperlink r:id="rId15">
        <w:r>
          <w:rPr>
            <w:color w:val="0000FF"/>
            <w:sz w:val="18"/>
            <w:u w:val="single" w:color="0000FF"/>
          </w:rPr>
          <w:t>Current Report on Form 8-K filed on October 11, 2022).</w:t>
        </w:r>
      </w:hyperlink>
    </w:p>
    <w:p>
      <w:pPr>
        <w:pStyle w:val="BodyText"/>
        <w:tabs>
          <w:tab w:pos="1430" w:val="left" w:leader="none"/>
        </w:tabs>
        <w:spacing w:line="187" w:lineRule="auto" w:before="86"/>
        <w:ind w:left="1430" w:right="137" w:hanging="1269"/>
      </w:pPr>
      <w:r>
        <w:rPr/>
        <mc:AlternateContent>
          <mc:Choice Requires="wps">
            <w:drawing>
              <wp:anchor distT="0" distB="0" distL="0" distR="0" allowOverlap="1" layoutInCell="1" locked="0" behindDoc="0" simplePos="0" relativeHeight="15875584">
                <wp:simplePos x="0" y="0"/>
                <wp:positionH relativeFrom="page">
                  <wp:posOffset>7513256</wp:posOffset>
                </wp:positionH>
                <wp:positionV relativeFrom="paragraph">
                  <wp:posOffset>144043</wp:posOffset>
                </wp:positionV>
                <wp:extent cx="19685" cy="8890"/>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19685" cy="8890"/>
                        </a:xfrm>
                        <a:custGeom>
                          <a:avLst/>
                          <a:gdLst/>
                          <a:ahLst/>
                          <a:cxnLst/>
                          <a:rect l="l" t="t" r="r" b="b"/>
                          <a:pathLst>
                            <a:path w="19685" h="8890">
                              <a:moveTo>
                                <a:pt x="19151" y="0"/>
                              </a:moveTo>
                              <a:lnTo>
                                <a:pt x="0" y="0"/>
                              </a:lnTo>
                              <a:lnTo>
                                <a:pt x="0" y="8572"/>
                              </a:lnTo>
                              <a:lnTo>
                                <a:pt x="19151" y="8572"/>
                              </a:lnTo>
                              <a:lnTo>
                                <a:pt x="1915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595032pt;margin-top:11.34204pt;width:1.508pt;height:.675pt;mso-position-horizontal-relative:page;mso-position-vertical-relative:paragraph;z-index:15875584" id="docshape708" filled="true" fillcolor="#0000ff" stroked="false">
                <v:fill type="solid"/>
                <w10:wrap type="none"/>
              </v:rect>
            </w:pict>
          </mc:Fallback>
        </mc:AlternateContent>
      </w:r>
      <w:r>
        <w:rPr>
          <w:spacing w:val="-2"/>
        </w:rPr>
        <w:t>4.1(1)</w:t>
      </w:r>
      <w:r>
        <w:rPr/>
        <w:tab/>
      </w:r>
      <w:hyperlink r:id="rId16">
        <w:r>
          <w:rPr>
            <w:color w:val="0000FF"/>
            <w:position w:val="1"/>
            <w:u w:val="single" w:color="0000FF"/>
          </w:rPr>
          <w:t>Indenture,</w:t>
        </w:r>
        <w:r>
          <w:rPr>
            <w:color w:val="0000FF"/>
            <w:spacing w:val="29"/>
            <w:position w:val="1"/>
            <w:u w:val="single" w:color="0000FF"/>
          </w:rPr>
          <w:t> </w:t>
        </w:r>
        <w:r>
          <w:rPr>
            <w:color w:val="0000FF"/>
            <w:position w:val="1"/>
            <w:u w:val="single" w:color="0000FF"/>
          </w:rPr>
          <w:t>dated</w:t>
        </w:r>
        <w:r>
          <w:rPr>
            <w:color w:val="0000FF"/>
            <w:spacing w:val="30"/>
            <w:position w:val="1"/>
            <w:u w:val="single" w:color="0000FF"/>
          </w:rPr>
          <w:t> </w:t>
        </w:r>
        <w:r>
          <w:rPr>
            <w:color w:val="0000FF"/>
            <w:position w:val="1"/>
            <w:u w:val="single" w:color="0000FF"/>
          </w:rPr>
          <w:t>November</w:t>
        </w:r>
        <w:r>
          <w:rPr>
            <w:color w:val="0000FF"/>
            <w:spacing w:val="30"/>
            <w:position w:val="1"/>
            <w:u w:val="single" w:color="0000FF"/>
          </w:rPr>
          <w:t> </w:t>
        </w:r>
        <w:r>
          <w:rPr>
            <w:color w:val="0000FF"/>
            <w:position w:val="1"/>
            <w:u w:val="single" w:color="0000FF"/>
          </w:rPr>
          <w:t>15,</w:t>
        </w:r>
        <w:r>
          <w:rPr>
            <w:color w:val="0000FF"/>
            <w:spacing w:val="30"/>
            <w:position w:val="1"/>
            <w:u w:val="single" w:color="0000FF"/>
          </w:rPr>
          <w:t> </w:t>
        </w:r>
        <w:r>
          <w:rPr>
            <w:color w:val="0000FF"/>
            <w:position w:val="1"/>
            <w:u w:val="single" w:color="0000FF"/>
          </w:rPr>
          <w:t>1996,</w:t>
        </w:r>
        <w:r>
          <w:rPr>
            <w:color w:val="0000FF"/>
            <w:spacing w:val="30"/>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and</w:t>
        </w:r>
        <w:r>
          <w:rPr>
            <w:color w:val="0000FF"/>
            <w:spacing w:val="30"/>
            <w:position w:val="1"/>
            <w:u w:val="single" w:color="0000FF"/>
          </w:rPr>
          <w:t> </w:t>
        </w:r>
        <w:r>
          <w:rPr>
            <w:color w:val="0000FF"/>
            <w:position w:val="1"/>
            <w:u w:val="single" w:color="0000FF"/>
          </w:rPr>
          <w:t>between</w:t>
        </w:r>
        <w:r>
          <w:rPr>
            <w:color w:val="0000FF"/>
            <w:spacing w:val="30"/>
            <w:position w:val="1"/>
            <w:u w:val="single" w:color="0000FF"/>
          </w:rPr>
          <w:t> </w:t>
        </w:r>
        <w:r>
          <w:rPr>
            <w:color w:val="0000FF"/>
            <w:position w:val="1"/>
            <w:u w:val="single" w:color="0000FF"/>
          </w:rPr>
          <w:t>Mandalay</w:t>
        </w:r>
        <w:r>
          <w:rPr>
            <w:color w:val="0000FF"/>
            <w:spacing w:val="40"/>
            <w:position w:val="1"/>
            <w:u w:val="single" w:color="0000FF"/>
          </w:rPr>
          <w:t> </w:t>
        </w:r>
        <w:r>
          <w:rPr>
            <w:color w:val="0000FF"/>
            <w:position w:val="1"/>
            <w:u w:val="single" w:color="0000FF"/>
          </w:rPr>
          <w:t>and</w:t>
        </w:r>
        <w:r>
          <w:rPr>
            <w:color w:val="0000FF"/>
            <w:spacing w:val="27"/>
            <w:position w:val="1"/>
            <w:u w:val="single" w:color="0000FF"/>
          </w:rPr>
          <w:t> </w:t>
        </w:r>
        <w:r>
          <w:rPr>
            <w:color w:val="0000FF"/>
            <w:position w:val="1"/>
            <w:u w:val="single" w:color="0000FF"/>
          </w:rPr>
          <w:t>Wells</w:t>
        </w:r>
        <w:r>
          <w:rPr>
            <w:color w:val="0000FF"/>
            <w:spacing w:val="30"/>
            <w:position w:val="1"/>
            <w:u w:val="single" w:color="0000FF"/>
          </w:rPr>
          <w:t> </w:t>
        </w:r>
        <w:r>
          <w:rPr>
            <w:color w:val="0000FF"/>
            <w:position w:val="1"/>
            <w:u w:val="single" w:color="0000FF"/>
          </w:rPr>
          <w:t>Fargo</w:t>
        </w:r>
        <w:r>
          <w:rPr>
            <w:color w:val="0000FF"/>
            <w:spacing w:val="30"/>
            <w:position w:val="1"/>
            <w:u w:val="single" w:color="0000FF"/>
          </w:rPr>
          <w:t> </w:t>
        </w:r>
        <w:r>
          <w:rPr>
            <w:color w:val="0000FF"/>
            <w:position w:val="1"/>
            <w:u w:val="single" w:color="0000FF"/>
          </w:rPr>
          <w:t>Bank</w:t>
        </w:r>
        <w:r>
          <w:rPr>
            <w:color w:val="0000FF"/>
            <w:spacing w:val="30"/>
            <w:position w:val="1"/>
            <w:u w:val="single" w:color="0000FF"/>
          </w:rPr>
          <w:t> </w:t>
        </w:r>
        <w:r>
          <w:rPr>
            <w:color w:val="0000FF"/>
            <w:position w:val="1"/>
            <w:u w:val="single" w:color="0000FF"/>
          </w:rPr>
          <w:t>(Colorado</w:t>
        </w:r>
        <w:r>
          <w:rPr>
            <w:color w:val="0000FF"/>
            <w:position w:val="1"/>
          </w:rPr>
          <w:t>)</w:t>
        </w:r>
        <w:r>
          <w:rPr>
            <w:color w:val="0000FF"/>
            <w:spacing w:val="-33"/>
            <w:position w:val="1"/>
            <w:u w:val="single" w:color="0000FF"/>
          </w:rPr>
          <w:t> </w:t>
        </w:r>
        <w:r>
          <w:rPr>
            <w:color w:val="0000FF"/>
            <w:position w:val="1"/>
          </w:rPr>
          <w:t>,</w:t>
        </w:r>
        <w:r>
          <w:rPr>
            <w:color w:val="0000FF"/>
            <w:spacing w:val="30"/>
            <w:position w:val="1"/>
            <w:u w:val="single" w:color="0000FF"/>
          </w:rPr>
          <w:t> </w:t>
        </w:r>
        <w:r>
          <w:rPr>
            <w:color w:val="0000FF"/>
            <w:position w:val="1"/>
            <w:u w:val="single" w:color="0000FF"/>
          </w:rPr>
          <w:t>N.A.,</w:t>
        </w:r>
        <w:r>
          <w:rPr>
            <w:color w:val="0000FF"/>
            <w:spacing w:val="30"/>
            <w:position w:val="1"/>
            <w:u w:val="single" w:color="0000FF"/>
          </w:rPr>
          <w:t> </w:t>
        </w:r>
        <w:r>
          <w:rPr>
            <w:color w:val="0000FF"/>
            <w:position w:val="1"/>
            <w:u w:val="single" w:color="0000FF"/>
          </w:rPr>
          <w:t>as</w:t>
        </w:r>
        <w:r>
          <w:rPr>
            <w:color w:val="0000FF"/>
            <w:spacing w:val="27"/>
            <w:position w:val="1"/>
            <w:u w:val="single" w:color="0000FF"/>
          </w:rPr>
          <w:t> </w:t>
        </w:r>
        <w:r>
          <w:rPr>
            <w:color w:val="0000FF"/>
            <w:position w:val="1"/>
            <w:u w:val="single" w:color="0000FF"/>
          </w:rPr>
          <w:t>Trustee</w:t>
        </w:r>
        <w:r>
          <w:rPr>
            <w:color w:val="0000FF"/>
            <w:spacing w:val="30"/>
            <w:position w:val="1"/>
            <w:u w:val="single" w:color="0000FF"/>
          </w:rPr>
          <w:t> </w:t>
        </w:r>
        <w:r>
          <w:rPr>
            <w:color w:val="0000FF"/>
            <w:position w:val="1"/>
            <w:u w:val="single" w:color="0000FF"/>
          </w:rPr>
          <w:t>(the</w:t>
        </w:r>
        <w:r>
          <w:rPr>
            <w:color w:val="0000FF"/>
            <w:spacing w:val="30"/>
            <w:position w:val="1"/>
            <w:u w:val="single" w:color="0000FF"/>
          </w:rPr>
          <w:t> </w:t>
        </w:r>
        <w:r>
          <w:rPr>
            <w:color w:val="0000FF"/>
            <w:position w:val="1"/>
            <w:u w:val="single" w:color="0000FF"/>
          </w:rPr>
          <w:t>“Mandalay</w:t>
        </w:r>
      </w:hyperlink>
      <w:r>
        <w:rPr>
          <w:color w:val="0000FF"/>
          <w:position w:val="1"/>
        </w:rPr>
        <w:t> </w:t>
      </w:r>
      <w:hyperlink r:id="rId16">
        <w:r>
          <w:rPr>
            <w:color w:val="0000FF"/>
            <w:u w:val="single" w:color="0000FF"/>
          </w:rPr>
          <w:t>November 1996 Indenture”) (incorporated by</w:t>
        </w:r>
        <w:r>
          <w:rPr>
            <w:color w:val="0000FF"/>
            <w:spacing w:val="40"/>
            <w:u w:val="single" w:color="0000FF"/>
          </w:rPr>
          <w:t> </w:t>
        </w:r>
        <w:r>
          <w:rPr>
            <w:color w:val="0000FF"/>
            <w:u w:val="single" w:color="0000FF"/>
          </w:rPr>
          <w:t>reference to Exhibit 4(e) to the Mandalay</w:t>
        </w:r>
        <w:r>
          <w:rPr>
            <w:color w:val="0000FF"/>
            <w:spacing w:val="40"/>
            <w:u w:val="single" w:color="0000FF"/>
          </w:rPr>
          <w:t> </w:t>
        </w:r>
        <w:r>
          <w:rPr>
            <w:color w:val="0000FF"/>
            <w:u w:val="single" w:color="0000FF"/>
          </w:rPr>
          <w:t>October 1996 10-Q</w:t>
        </w:r>
        <w:r>
          <w:rPr>
            <w:color w:val="0000FF"/>
          </w:rPr>
          <w:t>).</w:t>
        </w:r>
      </w:hyperlink>
    </w:p>
    <w:p>
      <w:pPr>
        <w:pStyle w:val="BodyText"/>
        <w:spacing w:line="20" w:lineRule="exact"/>
        <w:ind w:left="9163"/>
        <w:rPr>
          <w:sz w:val="2"/>
        </w:rPr>
      </w:pPr>
      <w:r>
        <w:rPr>
          <w:sz w:val="2"/>
        </w:rPr>
        <mc:AlternateContent>
          <mc:Choice Requires="wps">
            <w:drawing>
              <wp:inline distT="0" distB="0" distL="0" distR="0">
                <wp:extent cx="74930" cy="8890"/>
                <wp:effectExtent l="0" t="0" r="0" b="0"/>
                <wp:docPr id="711" name="Group 711"/>
                <wp:cNvGraphicFramePr>
                  <a:graphicFrameLocks/>
                </wp:cNvGraphicFramePr>
                <a:graphic>
                  <a:graphicData uri="http://schemas.microsoft.com/office/word/2010/wordprocessingGroup">
                    <wpg:wgp>
                      <wpg:cNvPr id="711" name="Group 711"/>
                      <wpg:cNvGrpSpPr/>
                      <wpg:grpSpPr>
                        <a:xfrm>
                          <a:off x="0" y="0"/>
                          <a:ext cx="74930" cy="8890"/>
                          <a:chExt cx="74930" cy="8890"/>
                        </a:xfrm>
                      </wpg:grpSpPr>
                      <wps:wsp>
                        <wps:cNvPr id="712" name="Graphic 712"/>
                        <wps:cNvSpPr/>
                        <wps:spPr>
                          <a:xfrm>
                            <a:off x="-6" y="-6"/>
                            <a:ext cx="74930" cy="8890"/>
                          </a:xfrm>
                          <a:custGeom>
                            <a:avLst/>
                            <a:gdLst/>
                            <a:ahLst/>
                            <a:cxnLst/>
                            <a:rect l="l" t="t" r="r" b="b"/>
                            <a:pathLst>
                              <a:path w="74930" h="8890">
                                <a:moveTo>
                                  <a:pt x="7340" y="0"/>
                                </a:moveTo>
                                <a:lnTo>
                                  <a:pt x="0" y="0"/>
                                </a:lnTo>
                                <a:lnTo>
                                  <a:pt x="0" y="8572"/>
                                </a:lnTo>
                                <a:lnTo>
                                  <a:pt x="7340" y="8572"/>
                                </a:lnTo>
                                <a:lnTo>
                                  <a:pt x="7340" y="0"/>
                                </a:lnTo>
                                <a:close/>
                              </a:path>
                              <a:path w="74930" h="8890">
                                <a:moveTo>
                                  <a:pt x="74561" y="0"/>
                                </a:moveTo>
                                <a:lnTo>
                                  <a:pt x="37668" y="0"/>
                                </a:lnTo>
                                <a:lnTo>
                                  <a:pt x="37668" y="8572"/>
                                </a:lnTo>
                                <a:lnTo>
                                  <a:pt x="74561" y="8572"/>
                                </a:lnTo>
                                <a:lnTo>
                                  <a:pt x="74561"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5.9pt;height:.7pt;mso-position-horizontal-relative:char;mso-position-vertical-relative:line" id="docshapegroup709" coordorigin="0,0" coordsize="118,14">
                <v:shape style="position:absolute;left:-1;top:-1;width:118;height:14" id="docshape710" coordorigin="0,0" coordsize="118,14" path="m12,0l0,0,0,13,12,13,12,0xm117,0l59,0,59,13,117,13,117,0xe" filled="true" fillcolor="#0000ff" stroked="false">
                  <v:path arrowok="t"/>
                  <v:fill type="solid"/>
                </v:shape>
              </v:group>
            </w:pict>
          </mc:Fallback>
        </mc:AlternateContent>
      </w:r>
      <w:r>
        <w:rPr>
          <w:sz w:val="2"/>
        </w:rPr>
      </w:r>
    </w:p>
    <w:p>
      <w:pPr>
        <w:pStyle w:val="BodyText"/>
        <w:tabs>
          <w:tab w:pos="1430" w:val="left" w:leader="none"/>
        </w:tabs>
        <w:spacing w:line="204" w:lineRule="auto" w:before="40"/>
        <w:ind w:left="1430" w:right="137" w:hanging="1269"/>
      </w:pPr>
      <w:r>
        <w:rPr>
          <w:spacing w:val="-2"/>
        </w:rPr>
        <w:t>4.1(2)</w:t>
      </w:r>
      <w:r>
        <w:rPr/>
        <w:tab/>
      </w:r>
      <w:hyperlink r:id="rId16">
        <w:r>
          <w:rPr>
            <w:color w:val="0000FF"/>
            <w:position w:val="1"/>
            <w:u w:val="single" w:color="0000FF"/>
          </w:rPr>
          <w:t>Su</w:t>
        </w:r>
        <w:r>
          <w:rPr>
            <w:color w:val="0000FF"/>
            <w:position w:val="1"/>
          </w:rPr>
          <w:t>p</w:t>
        </w:r>
        <w:r>
          <w:rPr>
            <w:color w:val="0000FF"/>
            <w:spacing w:val="-8"/>
            <w:position w:val="1"/>
            <w:u w:val="single" w:color="0000FF"/>
          </w:rPr>
          <w:t> </w:t>
        </w:r>
        <w:r>
          <w:rPr>
            <w:color w:val="0000FF"/>
            <w:position w:val="1"/>
          </w:rPr>
          <w:t>p</w:t>
        </w:r>
        <w:r>
          <w:rPr>
            <w:color w:val="0000FF"/>
            <w:spacing w:val="-8"/>
            <w:position w:val="1"/>
            <w:u w:val="single" w:color="0000FF"/>
          </w:rPr>
          <w:t> </w:t>
        </w:r>
        <w:r>
          <w:rPr>
            <w:color w:val="0000FF"/>
            <w:position w:val="1"/>
            <w:u w:val="single" w:color="0000FF"/>
          </w:rPr>
          <w:t>lemental</w:t>
        </w:r>
        <w:r>
          <w:rPr>
            <w:color w:val="0000FF"/>
            <w:spacing w:val="-4"/>
            <w:position w:val="1"/>
            <w:u w:val="single" w:color="0000FF"/>
          </w:rPr>
          <w:t> </w:t>
        </w:r>
        <w:r>
          <w:rPr>
            <w:color w:val="0000FF"/>
            <w:position w:val="1"/>
            <w:u w:val="single" w:color="0000FF"/>
          </w:rPr>
          <w:t>Indenture,</w:t>
        </w:r>
        <w:r>
          <w:rPr>
            <w:color w:val="0000FF"/>
            <w:spacing w:val="-4"/>
            <w:position w:val="1"/>
            <w:u w:val="single" w:color="0000FF"/>
          </w:rPr>
          <w:t> </w:t>
        </w:r>
        <w:r>
          <w:rPr>
            <w:color w:val="0000FF"/>
            <w:position w:val="1"/>
            <w:u w:val="single" w:color="0000FF"/>
          </w:rPr>
          <w:t>dated</w:t>
        </w:r>
        <w:r>
          <w:rPr>
            <w:color w:val="0000FF"/>
            <w:spacing w:val="-4"/>
            <w:position w:val="1"/>
            <w:u w:val="single" w:color="0000FF"/>
          </w:rPr>
          <w:t> </w:t>
        </w:r>
        <w:r>
          <w:rPr>
            <w:color w:val="0000FF"/>
            <w:position w:val="1"/>
            <w:u w:val="single" w:color="0000FF"/>
          </w:rPr>
          <w:t>as</w:t>
        </w:r>
        <w:r>
          <w:rPr>
            <w:color w:val="0000FF"/>
            <w:spacing w:val="-4"/>
            <w:position w:val="1"/>
            <w:u w:val="single" w:color="0000FF"/>
          </w:rPr>
          <w:t> </w:t>
        </w:r>
        <w:r>
          <w:rPr>
            <w:color w:val="0000FF"/>
            <w:position w:val="1"/>
            <w:u w:val="single" w:color="0000FF"/>
          </w:rPr>
          <w:t>of</w:t>
        </w:r>
        <w:r>
          <w:rPr>
            <w:color w:val="0000FF"/>
            <w:spacing w:val="-4"/>
            <w:position w:val="1"/>
            <w:u w:val="single" w:color="0000FF"/>
          </w:rPr>
          <w:t> </w:t>
        </w:r>
        <w:r>
          <w:rPr>
            <w:color w:val="0000FF"/>
            <w:position w:val="1"/>
            <w:u w:val="single" w:color="0000FF"/>
          </w:rPr>
          <w:t>November</w:t>
        </w:r>
        <w:r>
          <w:rPr>
            <w:color w:val="0000FF"/>
            <w:spacing w:val="-4"/>
            <w:position w:val="1"/>
            <w:u w:val="single" w:color="0000FF"/>
          </w:rPr>
          <w:t> </w:t>
        </w:r>
        <w:r>
          <w:rPr>
            <w:color w:val="0000FF"/>
            <w:position w:val="1"/>
            <w:u w:val="single" w:color="0000FF"/>
          </w:rPr>
          <w:t>15,</w:t>
        </w:r>
        <w:r>
          <w:rPr>
            <w:color w:val="0000FF"/>
            <w:spacing w:val="-4"/>
            <w:position w:val="1"/>
            <w:u w:val="single" w:color="0000FF"/>
          </w:rPr>
          <w:t> </w:t>
        </w:r>
        <w:r>
          <w:rPr>
            <w:color w:val="0000FF"/>
            <w:position w:val="1"/>
            <w:u w:val="single" w:color="0000FF"/>
          </w:rPr>
          <w:t>1996,</w:t>
        </w:r>
        <w:r>
          <w:rPr>
            <w:color w:val="0000FF"/>
            <w:spacing w:val="-4"/>
            <w:position w:val="1"/>
            <w:u w:val="single" w:color="0000FF"/>
          </w:rPr>
          <w:t> </w:t>
        </w:r>
        <w:r>
          <w:rPr>
            <w:color w:val="0000FF"/>
            <w:position w:val="1"/>
            <w:u w:val="single" w:color="0000FF"/>
          </w:rPr>
          <w:t>to</w:t>
        </w:r>
        <w:r>
          <w:rPr>
            <w:color w:val="0000FF"/>
            <w:spacing w:val="-4"/>
            <w:position w:val="1"/>
            <w:u w:val="single" w:color="0000FF"/>
          </w:rPr>
          <w:t> </w:t>
        </w:r>
        <w:r>
          <w:rPr>
            <w:color w:val="0000FF"/>
            <w:position w:val="1"/>
            <w:u w:val="single" w:color="0000FF"/>
          </w:rPr>
          <w:t>the</w:t>
        </w:r>
        <w:r>
          <w:rPr>
            <w:color w:val="0000FF"/>
            <w:spacing w:val="-4"/>
            <w:position w:val="1"/>
            <w:u w:val="single" w:color="0000FF"/>
          </w:rPr>
          <w:t> </w:t>
        </w:r>
        <w:r>
          <w:rPr>
            <w:color w:val="0000FF"/>
            <w:position w:val="1"/>
            <w:u w:val="single" w:color="0000FF"/>
          </w:rPr>
          <w:t>Mandalay</w:t>
        </w:r>
        <w:r>
          <w:rPr>
            <w:color w:val="0000FF"/>
            <w:spacing w:val="22"/>
            <w:position w:val="1"/>
            <w:u w:val="single" w:color="0000FF"/>
          </w:rPr>
          <w:t> </w:t>
        </w:r>
        <w:r>
          <w:rPr>
            <w:color w:val="0000FF"/>
            <w:position w:val="1"/>
            <w:u w:val="single" w:color="0000FF"/>
          </w:rPr>
          <w:t>November</w:t>
        </w:r>
        <w:r>
          <w:rPr>
            <w:color w:val="0000FF"/>
            <w:spacing w:val="-4"/>
            <w:position w:val="1"/>
            <w:u w:val="single" w:color="0000FF"/>
          </w:rPr>
          <w:t> </w:t>
        </w:r>
        <w:r>
          <w:rPr>
            <w:color w:val="0000FF"/>
            <w:position w:val="1"/>
            <w:u w:val="single" w:color="0000FF"/>
          </w:rPr>
          <w:t>1996</w:t>
        </w:r>
        <w:r>
          <w:rPr>
            <w:color w:val="0000FF"/>
            <w:spacing w:val="-4"/>
            <w:position w:val="1"/>
            <w:u w:val="single" w:color="0000FF"/>
          </w:rPr>
          <w:t> </w:t>
        </w:r>
        <w:r>
          <w:rPr>
            <w:color w:val="0000FF"/>
            <w:position w:val="1"/>
            <w:u w:val="single" w:color="0000FF"/>
          </w:rPr>
          <w:t>Indenture,</w:t>
        </w:r>
        <w:r>
          <w:rPr>
            <w:color w:val="0000FF"/>
            <w:spacing w:val="-4"/>
            <w:position w:val="1"/>
            <w:u w:val="single" w:color="0000FF"/>
          </w:rPr>
          <w:t> </w:t>
        </w:r>
        <w:r>
          <w:rPr>
            <w:color w:val="0000FF"/>
            <w:position w:val="1"/>
            <w:u w:val="single" w:color="0000FF"/>
          </w:rPr>
          <w:t>with</w:t>
        </w:r>
        <w:r>
          <w:rPr>
            <w:color w:val="0000FF"/>
            <w:spacing w:val="-4"/>
            <w:position w:val="1"/>
            <w:u w:val="single" w:color="0000FF"/>
          </w:rPr>
          <w:t> </w:t>
        </w:r>
        <w:r>
          <w:rPr>
            <w:color w:val="0000FF"/>
            <w:position w:val="1"/>
            <w:u w:val="single" w:color="0000FF"/>
          </w:rPr>
          <w:t>respect</w:t>
        </w:r>
        <w:r>
          <w:rPr>
            <w:color w:val="0000FF"/>
            <w:spacing w:val="-4"/>
            <w:position w:val="1"/>
            <w:u w:val="single" w:color="0000FF"/>
          </w:rPr>
          <w:t> </w:t>
        </w:r>
        <w:r>
          <w:rPr>
            <w:color w:val="0000FF"/>
            <w:position w:val="1"/>
            <w:u w:val="single" w:color="0000FF"/>
          </w:rPr>
          <w:t>to</w:t>
        </w:r>
        <w:r>
          <w:rPr>
            <w:color w:val="0000FF"/>
            <w:spacing w:val="-4"/>
            <w:position w:val="1"/>
            <w:u w:val="single" w:color="0000FF"/>
          </w:rPr>
          <w:t> </w:t>
        </w:r>
        <w:r>
          <w:rPr>
            <w:color w:val="0000FF"/>
            <w:position w:val="1"/>
            <w:u w:val="single" w:color="0000FF"/>
          </w:rPr>
          <w:t>$150</w:t>
        </w:r>
        <w:r>
          <w:rPr>
            <w:color w:val="0000FF"/>
            <w:spacing w:val="-4"/>
            <w:position w:val="1"/>
            <w:u w:val="single" w:color="0000FF"/>
          </w:rPr>
          <w:t> </w:t>
        </w:r>
        <w:r>
          <w:rPr>
            <w:color w:val="0000FF"/>
            <w:position w:val="1"/>
            <w:u w:val="single" w:color="0000FF"/>
          </w:rPr>
          <w:t>million</w:t>
        </w:r>
        <w:r>
          <w:rPr>
            <w:color w:val="0000FF"/>
            <w:spacing w:val="-4"/>
            <w:position w:val="1"/>
            <w:u w:val="single" w:color="0000FF"/>
          </w:rPr>
          <w:t> </w:t>
        </w:r>
        <w:r>
          <w:rPr>
            <w:color w:val="0000FF"/>
            <w:position w:val="1"/>
            <w:u w:val="single" w:color="0000FF"/>
          </w:rPr>
          <w:t>a</w:t>
        </w:r>
        <w:r>
          <w:rPr>
            <w:color w:val="0000FF"/>
            <w:position w:val="1"/>
          </w:rPr>
          <w:t>gg</w:t>
        </w:r>
        <w:r>
          <w:rPr>
            <w:color w:val="0000FF"/>
            <w:position w:val="1"/>
            <w:u w:val="single" w:color="0000FF"/>
          </w:rPr>
          <w:t>regate</w:t>
        </w:r>
      </w:hyperlink>
      <w:r>
        <w:rPr>
          <w:color w:val="0000FF"/>
          <w:position w:val="1"/>
        </w:rPr>
        <w:t> </w:t>
      </w:r>
      <w:hyperlink r:id="rId16">
        <w:r>
          <w:rPr>
            <w:color w:val="0000FF"/>
          </w:rPr>
          <w:t>p</w:t>
        </w:r>
        <w:r>
          <w:rPr>
            <w:color w:val="0000FF"/>
            <w:u w:val="single" w:color="0000FF"/>
          </w:rPr>
          <w:t> rincipal amount of 7.0% Senior Notes due 2036 (incorporated by</w:t>
        </w:r>
        <w:r>
          <w:rPr>
            <w:color w:val="0000FF"/>
            <w:spacing w:val="34"/>
            <w:u w:val="single" w:color="0000FF"/>
          </w:rPr>
          <w:t> </w:t>
        </w:r>
        <w:r>
          <w:rPr>
            <w:color w:val="0000FF"/>
            <w:u w:val="single" w:color="0000FF"/>
          </w:rPr>
          <w:t>reference to Exhibit 4(f) to the Mandalay</w:t>
        </w:r>
        <w:r>
          <w:rPr>
            <w:color w:val="0000FF"/>
            <w:spacing w:val="34"/>
            <w:u w:val="single" w:color="0000FF"/>
          </w:rPr>
          <w:t> </w:t>
        </w:r>
        <w:r>
          <w:rPr>
            <w:color w:val="0000FF"/>
            <w:u w:val="single" w:color="0000FF"/>
          </w:rPr>
          <w:t>October 1996 10-Q</w:t>
        </w:r>
        <w:r>
          <w:rPr>
            <w:color w:val="0000FF"/>
          </w:rPr>
          <w:t>).</w:t>
        </w:r>
      </w:hyperlink>
    </w:p>
    <w:p>
      <w:pPr>
        <w:pStyle w:val="BodyText"/>
        <w:spacing w:line="20" w:lineRule="exact"/>
        <w:ind w:left="10633"/>
        <w:rPr>
          <w:sz w:val="2"/>
        </w:rPr>
      </w:pPr>
      <w:r>
        <w:rPr>
          <w:sz w:val="2"/>
        </w:rPr>
        <mc:AlternateContent>
          <mc:Choice Requires="wps">
            <w:drawing>
              <wp:inline distT="0" distB="0" distL="0" distR="0">
                <wp:extent cx="74930" cy="8890"/>
                <wp:effectExtent l="0" t="0" r="0" b="0"/>
                <wp:docPr id="713" name="Group 713"/>
                <wp:cNvGraphicFramePr>
                  <a:graphicFrameLocks/>
                </wp:cNvGraphicFramePr>
                <a:graphic>
                  <a:graphicData uri="http://schemas.microsoft.com/office/word/2010/wordprocessingGroup">
                    <wpg:wgp>
                      <wpg:cNvPr id="713" name="Group 713"/>
                      <wpg:cNvGrpSpPr/>
                      <wpg:grpSpPr>
                        <a:xfrm>
                          <a:off x="0" y="0"/>
                          <a:ext cx="74930" cy="8890"/>
                          <a:chExt cx="74930" cy="8890"/>
                        </a:xfrm>
                      </wpg:grpSpPr>
                      <wps:wsp>
                        <wps:cNvPr id="714" name="Graphic 714"/>
                        <wps:cNvSpPr/>
                        <wps:spPr>
                          <a:xfrm>
                            <a:off x="-3" y="-6"/>
                            <a:ext cx="74930" cy="8890"/>
                          </a:xfrm>
                          <a:custGeom>
                            <a:avLst/>
                            <a:gdLst/>
                            <a:ahLst/>
                            <a:cxnLst/>
                            <a:rect l="l" t="t" r="r" b="b"/>
                            <a:pathLst>
                              <a:path w="74930" h="8890">
                                <a:moveTo>
                                  <a:pt x="7327" y="0"/>
                                </a:moveTo>
                                <a:lnTo>
                                  <a:pt x="0" y="0"/>
                                </a:lnTo>
                                <a:lnTo>
                                  <a:pt x="0" y="8572"/>
                                </a:lnTo>
                                <a:lnTo>
                                  <a:pt x="7327" y="8572"/>
                                </a:lnTo>
                                <a:lnTo>
                                  <a:pt x="7327" y="0"/>
                                </a:lnTo>
                                <a:close/>
                              </a:path>
                              <a:path w="74930" h="8890">
                                <a:moveTo>
                                  <a:pt x="74574" y="0"/>
                                </a:moveTo>
                                <a:lnTo>
                                  <a:pt x="37668" y="0"/>
                                </a:lnTo>
                                <a:lnTo>
                                  <a:pt x="37668" y="8572"/>
                                </a:lnTo>
                                <a:lnTo>
                                  <a:pt x="74574" y="8572"/>
                                </a:lnTo>
                                <a:lnTo>
                                  <a:pt x="74574"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5.9pt;height:.7pt;mso-position-horizontal-relative:char;mso-position-vertical-relative:line" id="docshapegroup711" coordorigin="0,0" coordsize="118,14">
                <v:shape style="position:absolute;left:0;top:-1;width:118;height:14" id="docshape712" coordorigin="0,0" coordsize="118,14" path="m12,0l0,0,0,13,12,13,12,0xm117,0l59,0,59,13,117,13,117,0xe" filled="true" fillcolor="#0000ff" stroked="false">
                  <v:path arrowok="t"/>
                  <v:fill type="solid"/>
                </v:shape>
              </v:group>
            </w:pict>
          </mc:Fallback>
        </mc:AlternateContent>
      </w:r>
      <w:r>
        <w:rPr>
          <w:sz w:val="2"/>
        </w:rPr>
      </w:r>
    </w:p>
    <w:p>
      <w:pPr>
        <w:pStyle w:val="BodyText"/>
        <w:tabs>
          <w:tab w:pos="1430" w:val="left" w:leader="none"/>
        </w:tabs>
        <w:spacing w:line="187" w:lineRule="auto" w:before="48"/>
        <w:ind w:left="1430" w:right="137" w:hanging="1269"/>
      </w:pPr>
      <w:r>
        <w:rPr>
          <w:spacing w:val="-2"/>
        </w:rPr>
        <w:t>4.1(3)</w:t>
      </w:r>
      <w:r>
        <w:rPr/>
        <w:tab/>
      </w:r>
      <w:hyperlink r:id="rId16">
        <w:r>
          <w:rPr>
            <w:color w:val="0000FF"/>
            <w:position w:val="1"/>
            <w:u w:val="single" w:color="0000FF"/>
          </w:rPr>
          <w:t>7.0%</w:t>
        </w:r>
        <w:r>
          <w:rPr>
            <w:color w:val="0000FF"/>
            <w:spacing w:val="28"/>
            <w:position w:val="1"/>
            <w:u w:val="single" w:color="0000FF"/>
          </w:rPr>
          <w:t> </w:t>
        </w:r>
        <w:r>
          <w:rPr>
            <w:color w:val="0000FF"/>
            <w:position w:val="1"/>
            <w:u w:val="single" w:color="0000FF"/>
          </w:rPr>
          <w:t>Senior</w:t>
        </w:r>
        <w:r>
          <w:rPr>
            <w:color w:val="0000FF"/>
            <w:spacing w:val="28"/>
            <w:position w:val="1"/>
            <w:u w:val="single" w:color="0000FF"/>
          </w:rPr>
          <w:t> </w:t>
        </w:r>
        <w:r>
          <w:rPr>
            <w:color w:val="0000FF"/>
            <w:position w:val="1"/>
            <w:u w:val="single" w:color="0000FF"/>
          </w:rPr>
          <w:t>Notes</w:t>
        </w:r>
        <w:r>
          <w:rPr>
            <w:color w:val="0000FF"/>
            <w:spacing w:val="28"/>
            <w:position w:val="1"/>
            <w:u w:val="single" w:color="0000FF"/>
          </w:rPr>
          <w:t> </w:t>
        </w:r>
        <w:r>
          <w:rPr>
            <w:color w:val="0000FF"/>
            <w:position w:val="1"/>
            <w:u w:val="single" w:color="0000FF"/>
          </w:rPr>
          <w:t>due</w:t>
        </w:r>
        <w:r>
          <w:rPr>
            <w:color w:val="0000FF"/>
            <w:spacing w:val="28"/>
            <w:position w:val="1"/>
            <w:u w:val="single" w:color="0000FF"/>
          </w:rPr>
          <w:t> </w:t>
        </w:r>
        <w:r>
          <w:rPr>
            <w:color w:val="0000FF"/>
            <w:position w:val="1"/>
            <w:u w:val="single" w:color="0000FF"/>
          </w:rPr>
          <w:t>February</w:t>
        </w:r>
        <w:r>
          <w:rPr>
            <w:color w:val="0000FF"/>
            <w:spacing w:val="40"/>
            <w:position w:val="1"/>
            <w:u w:val="single" w:color="0000FF"/>
          </w:rPr>
          <w:t> </w:t>
        </w:r>
        <w:r>
          <w:rPr>
            <w:color w:val="0000FF"/>
            <w:position w:val="1"/>
            <w:u w:val="single" w:color="0000FF"/>
          </w:rPr>
          <w:t>15,</w:t>
        </w:r>
        <w:r>
          <w:rPr>
            <w:color w:val="0000FF"/>
            <w:spacing w:val="28"/>
            <w:position w:val="1"/>
            <w:u w:val="single" w:color="0000FF"/>
          </w:rPr>
          <w:t> </w:t>
        </w:r>
        <w:r>
          <w:rPr>
            <w:color w:val="0000FF"/>
            <w:position w:val="1"/>
            <w:u w:val="single" w:color="0000FF"/>
          </w:rPr>
          <w:t>2036,</w:t>
        </w:r>
        <w:r>
          <w:rPr>
            <w:color w:val="0000FF"/>
            <w:spacing w:val="28"/>
            <w:position w:val="1"/>
            <w:u w:val="single" w:color="0000FF"/>
          </w:rPr>
          <w:t> </w:t>
        </w:r>
        <w:r>
          <w:rPr>
            <w:color w:val="0000FF"/>
            <w:position w:val="1"/>
            <w:u w:val="single" w:color="0000FF"/>
          </w:rPr>
          <w:t>in</w:t>
        </w:r>
        <w:r>
          <w:rPr>
            <w:color w:val="0000FF"/>
            <w:spacing w:val="28"/>
            <w:position w:val="1"/>
            <w:u w:val="single" w:color="0000FF"/>
          </w:rPr>
          <w:t> </w:t>
        </w:r>
        <w:r>
          <w:rPr>
            <w:color w:val="0000FF"/>
            <w:position w:val="1"/>
            <w:u w:val="single" w:color="0000FF"/>
          </w:rPr>
          <w:t>the</w:t>
        </w:r>
        <w:r>
          <w:rPr>
            <w:color w:val="0000FF"/>
            <w:spacing w:val="28"/>
            <w:position w:val="1"/>
            <w:u w:val="single" w:color="0000FF"/>
          </w:rPr>
          <w:t> </w:t>
        </w:r>
        <w:r>
          <w:rPr>
            <w:color w:val="0000FF"/>
            <w:position w:val="1"/>
            <w:u w:val="single" w:color="0000FF"/>
          </w:rPr>
          <w:t>principal</w:t>
        </w:r>
        <w:r>
          <w:rPr>
            <w:color w:val="0000FF"/>
            <w:spacing w:val="28"/>
            <w:position w:val="1"/>
            <w:u w:val="single" w:color="0000FF"/>
          </w:rPr>
          <w:t> </w:t>
        </w:r>
        <w:r>
          <w:rPr>
            <w:color w:val="0000FF"/>
            <w:position w:val="1"/>
            <w:u w:val="single" w:color="0000FF"/>
          </w:rPr>
          <w:t>amount</w:t>
        </w:r>
        <w:r>
          <w:rPr>
            <w:color w:val="0000FF"/>
            <w:spacing w:val="28"/>
            <w:position w:val="1"/>
            <w:u w:val="single" w:color="0000FF"/>
          </w:rPr>
          <w:t> </w:t>
        </w:r>
        <w:r>
          <w:rPr>
            <w:color w:val="0000FF"/>
            <w:position w:val="1"/>
            <w:u w:val="single" w:color="0000FF"/>
          </w:rPr>
          <w:t>of</w:t>
        </w:r>
        <w:r>
          <w:rPr>
            <w:color w:val="0000FF"/>
            <w:spacing w:val="28"/>
            <w:position w:val="1"/>
            <w:u w:val="single" w:color="0000FF"/>
          </w:rPr>
          <w:t> </w:t>
        </w:r>
        <w:r>
          <w:rPr>
            <w:color w:val="0000FF"/>
            <w:position w:val="1"/>
            <w:u w:val="single" w:color="0000FF"/>
          </w:rPr>
          <w:t>$150,000,000</w:t>
        </w:r>
        <w:r>
          <w:rPr>
            <w:color w:val="0000FF"/>
            <w:spacing w:val="28"/>
            <w:position w:val="1"/>
            <w:u w:val="single" w:color="0000FF"/>
          </w:rPr>
          <w:t> </w:t>
        </w:r>
        <w:r>
          <w:rPr>
            <w:color w:val="0000FF"/>
            <w:position w:val="1"/>
            <w:u w:val="single" w:color="0000FF"/>
          </w:rPr>
          <w:t>(incorporated</w:t>
        </w:r>
        <w:r>
          <w:rPr>
            <w:color w:val="0000FF"/>
            <w:spacing w:val="28"/>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reference</w:t>
        </w:r>
        <w:r>
          <w:rPr>
            <w:color w:val="0000FF"/>
            <w:spacing w:val="28"/>
            <w:position w:val="1"/>
            <w:u w:val="single" w:color="0000FF"/>
          </w:rPr>
          <w:t> </w:t>
        </w:r>
        <w:r>
          <w:rPr>
            <w:color w:val="0000FF"/>
            <w:position w:val="1"/>
            <w:u w:val="single" w:color="0000FF"/>
          </w:rPr>
          <w:t>to</w:t>
        </w:r>
        <w:r>
          <w:rPr>
            <w:color w:val="0000FF"/>
            <w:spacing w:val="28"/>
            <w:position w:val="1"/>
            <w:u w:val="single" w:color="0000FF"/>
          </w:rPr>
          <w:t> </w:t>
        </w:r>
        <w:r>
          <w:rPr>
            <w:color w:val="0000FF"/>
            <w:position w:val="1"/>
            <w:u w:val="single" w:color="0000FF"/>
          </w:rPr>
          <w:t>Exhibit</w:t>
        </w:r>
        <w:r>
          <w:rPr>
            <w:color w:val="0000FF"/>
            <w:spacing w:val="28"/>
            <w:position w:val="1"/>
            <w:u w:val="single" w:color="0000FF"/>
          </w:rPr>
          <w:t> </w:t>
        </w:r>
        <w:r>
          <w:rPr>
            <w:color w:val="0000FF"/>
            <w:position w:val="1"/>
            <w:u w:val="single" w:color="0000FF"/>
          </w:rPr>
          <w:t>4</w:t>
        </w:r>
        <w:r>
          <w:rPr>
            <w:color w:val="0000FF"/>
            <w:position w:val="1"/>
          </w:rPr>
          <w:t>(g)</w:t>
        </w:r>
        <w:r>
          <w:rPr>
            <w:color w:val="0000FF"/>
            <w:spacing w:val="39"/>
            <w:position w:val="1"/>
            <w:u w:val="single" w:color="0000FF"/>
          </w:rPr>
          <w:t> </w:t>
        </w:r>
        <w:r>
          <w:rPr>
            <w:color w:val="0000FF"/>
            <w:position w:val="1"/>
            <w:u w:val="single" w:color="0000FF"/>
          </w:rPr>
          <w:t>to</w:t>
        </w:r>
        <w:r>
          <w:rPr>
            <w:color w:val="0000FF"/>
            <w:spacing w:val="28"/>
            <w:position w:val="1"/>
            <w:u w:val="single" w:color="0000FF"/>
          </w:rPr>
          <w:t> </w:t>
        </w:r>
        <w:r>
          <w:rPr>
            <w:color w:val="0000FF"/>
            <w:position w:val="1"/>
            <w:u w:val="single" w:color="0000FF"/>
          </w:rPr>
          <w:t>the</w:t>
        </w:r>
      </w:hyperlink>
      <w:r>
        <w:rPr>
          <w:color w:val="0000FF"/>
          <w:position w:val="1"/>
        </w:rPr>
        <w:t> </w:t>
      </w:r>
      <w:hyperlink r:id="rId16">
        <w:r>
          <w:rPr>
            <w:color w:val="0000FF"/>
            <w:u w:val="single" w:color="0000FF"/>
          </w:rPr>
          <w:t>Mandalay</w:t>
        </w:r>
        <w:r>
          <w:rPr>
            <w:color w:val="0000FF"/>
            <w:spacing w:val="40"/>
            <w:u w:val="single" w:color="0000FF"/>
          </w:rPr>
          <w:t> </w:t>
        </w:r>
        <w:r>
          <w:rPr>
            <w:color w:val="0000FF"/>
            <w:u w:val="single" w:color="0000FF"/>
          </w:rPr>
          <w:t>October 1996 10-Q</w:t>
        </w:r>
        <w:r>
          <w:rPr>
            <w:color w:val="0000FF"/>
          </w:rPr>
          <w:t>).</w:t>
        </w:r>
      </w:hyperlink>
    </w:p>
    <w:p>
      <w:pPr>
        <w:pStyle w:val="BodyText"/>
        <w:spacing w:line="20" w:lineRule="exact"/>
        <w:ind w:left="3582"/>
        <w:rPr>
          <w:sz w:val="2"/>
        </w:rPr>
      </w:pPr>
      <w:r>
        <w:rPr>
          <w:sz w:val="2"/>
        </w:rPr>
        <mc:AlternateContent>
          <mc:Choice Requires="wps">
            <w:drawing>
              <wp:inline distT="0" distB="0" distL="0" distR="0">
                <wp:extent cx="74930" cy="8890"/>
                <wp:effectExtent l="0" t="0" r="0" b="0"/>
                <wp:docPr id="715" name="Group 715"/>
                <wp:cNvGraphicFramePr>
                  <a:graphicFrameLocks/>
                </wp:cNvGraphicFramePr>
                <a:graphic>
                  <a:graphicData uri="http://schemas.microsoft.com/office/word/2010/wordprocessingGroup">
                    <wpg:wgp>
                      <wpg:cNvPr id="715" name="Group 715"/>
                      <wpg:cNvGrpSpPr/>
                      <wpg:grpSpPr>
                        <a:xfrm>
                          <a:off x="0" y="0"/>
                          <a:ext cx="74930" cy="8890"/>
                          <a:chExt cx="74930" cy="8890"/>
                        </a:xfrm>
                      </wpg:grpSpPr>
                      <wps:wsp>
                        <wps:cNvPr id="716" name="Graphic 716"/>
                        <wps:cNvSpPr/>
                        <wps:spPr>
                          <a:xfrm>
                            <a:off x="-6" y="-6"/>
                            <a:ext cx="74930" cy="8890"/>
                          </a:xfrm>
                          <a:custGeom>
                            <a:avLst/>
                            <a:gdLst/>
                            <a:ahLst/>
                            <a:cxnLst/>
                            <a:rect l="l" t="t" r="r" b="b"/>
                            <a:pathLst>
                              <a:path w="74930" h="8890">
                                <a:moveTo>
                                  <a:pt x="7340" y="0"/>
                                </a:moveTo>
                                <a:lnTo>
                                  <a:pt x="0" y="0"/>
                                </a:lnTo>
                                <a:lnTo>
                                  <a:pt x="0" y="8572"/>
                                </a:lnTo>
                                <a:lnTo>
                                  <a:pt x="7340" y="8572"/>
                                </a:lnTo>
                                <a:lnTo>
                                  <a:pt x="7340" y="0"/>
                                </a:lnTo>
                                <a:close/>
                              </a:path>
                              <a:path w="74930" h="8890">
                                <a:moveTo>
                                  <a:pt x="74510" y="0"/>
                                </a:moveTo>
                                <a:lnTo>
                                  <a:pt x="37668" y="0"/>
                                </a:lnTo>
                                <a:lnTo>
                                  <a:pt x="37668" y="8572"/>
                                </a:lnTo>
                                <a:lnTo>
                                  <a:pt x="74510" y="8572"/>
                                </a:lnTo>
                                <a:lnTo>
                                  <a:pt x="7451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5.9pt;height:.7pt;mso-position-horizontal-relative:char;mso-position-vertical-relative:line" id="docshapegroup713" coordorigin="0,0" coordsize="118,14">
                <v:shape style="position:absolute;left:-1;top:-1;width:118;height:14" id="docshape714" coordorigin="0,0" coordsize="118,14" path="m12,0l0,0,0,13,12,13,12,0xm117,0l59,0,59,13,117,13,117,0xe" filled="true" fillcolor="#0000ff" stroked="false">
                  <v:path arrowok="t"/>
                  <v:fill type="solid"/>
                </v:shape>
              </v:group>
            </w:pict>
          </mc:Fallback>
        </mc:AlternateContent>
      </w:r>
      <w:r>
        <w:rPr>
          <w:sz w:val="2"/>
        </w:rPr>
      </w:r>
    </w:p>
    <w:p>
      <w:pPr>
        <w:pStyle w:val="BodyText"/>
        <w:tabs>
          <w:tab w:pos="1430" w:val="left" w:leader="none"/>
        </w:tabs>
        <w:spacing w:line="187" w:lineRule="auto" w:before="66"/>
        <w:ind w:left="1430" w:right="137" w:hanging="1269"/>
      </w:pPr>
      <w:r>
        <w:rPr>
          <w:spacing w:val="-2"/>
        </w:rPr>
        <w:t>4.1(4)</w:t>
      </w:r>
      <w:r>
        <w:rPr/>
        <w:tab/>
      </w:r>
      <w:hyperlink r:id="rId17">
        <w:r>
          <w:rPr>
            <w:color w:val="0000FF"/>
            <w:position w:val="1"/>
            <w:u w:val="single" w:color="0000FF"/>
          </w:rPr>
          <w:t>Indenture,</w:t>
        </w:r>
        <w:r>
          <w:rPr>
            <w:color w:val="0000FF"/>
            <w:spacing w:val="-5"/>
            <w:position w:val="1"/>
            <w:u w:val="single" w:color="0000FF"/>
          </w:rPr>
          <w:t> </w:t>
        </w:r>
        <w:r>
          <w:rPr>
            <w:color w:val="0000FF"/>
            <w:position w:val="1"/>
            <w:u w:val="single" w:color="0000FF"/>
          </w:rPr>
          <w:t>date</w:t>
        </w:r>
      </w:hyperlink>
      <w:r>
        <w:rPr>
          <w:color w:val="0000FF"/>
          <w:position w:val="1"/>
          <w:u w:val="single" w:color="0000FF"/>
        </w:rPr>
        <w:t>d</w:t>
      </w:r>
      <w:r>
        <w:rPr>
          <w:color w:val="0000FF"/>
          <w:spacing w:val="-4"/>
          <w:position w:val="1"/>
          <w:u w:val="single" w:color="0000FF"/>
        </w:rPr>
        <w:t> </w:t>
      </w:r>
      <w:hyperlink r:id="rId17">
        <w:r>
          <w:rPr>
            <w:color w:val="0000FF"/>
            <w:position w:val="1"/>
            <w:u w:val="single" w:color="0000FF"/>
          </w:rPr>
          <w:t>March</w:t>
        </w:r>
        <w:r>
          <w:rPr>
            <w:color w:val="0000FF"/>
            <w:spacing w:val="-4"/>
            <w:position w:val="1"/>
            <w:u w:val="single" w:color="0000FF"/>
          </w:rPr>
          <w:t> </w:t>
        </w:r>
        <w:r>
          <w:rPr>
            <w:color w:val="0000FF"/>
            <w:position w:val="1"/>
            <w:u w:val="single" w:color="0000FF"/>
          </w:rPr>
          <w:t>22,</w:t>
        </w:r>
        <w:r>
          <w:rPr>
            <w:color w:val="0000FF"/>
            <w:spacing w:val="-4"/>
            <w:position w:val="1"/>
            <w:u w:val="single" w:color="0000FF"/>
          </w:rPr>
          <w:t> </w:t>
        </w:r>
        <w:r>
          <w:rPr>
            <w:color w:val="0000FF"/>
            <w:position w:val="1"/>
            <w:u w:val="single" w:color="0000FF"/>
          </w:rPr>
          <w:t>2012,</w:t>
        </w:r>
        <w:r>
          <w:rPr>
            <w:color w:val="0000FF"/>
            <w:spacing w:val="-4"/>
            <w:position w:val="1"/>
            <w:u w:val="single" w:color="0000FF"/>
          </w:rPr>
          <w:t> </w:t>
        </w:r>
        <w:r>
          <w:rPr>
            <w:color w:val="0000FF"/>
            <w:position w:val="1"/>
            <w:u w:val="single" w:color="0000FF"/>
          </w:rPr>
          <w:t>between</w:t>
        </w:r>
        <w:r>
          <w:rPr>
            <w:color w:val="0000FF"/>
            <w:spacing w:val="-4"/>
            <w:position w:val="1"/>
            <w:u w:val="single" w:color="0000FF"/>
          </w:rPr>
          <w:t> </w:t>
        </w:r>
        <w:r>
          <w:rPr>
            <w:color w:val="0000FF"/>
            <w:position w:val="1"/>
            <w:u w:val="single" w:color="0000FF"/>
          </w:rPr>
          <w:t>the</w:t>
        </w:r>
        <w:r>
          <w:rPr>
            <w:color w:val="0000FF"/>
            <w:spacing w:val="-4"/>
            <w:position w:val="1"/>
            <w:u w:val="single" w:color="0000FF"/>
          </w:rPr>
          <w:t> </w:t>
        </w:r>
        <w:r>
          <w:rPr>
            <w:color w:val="0000FF"/>
            <w:position w:val="1"/>
            <w:u w:val="single" w:color="0000FF"/>
          </w:rPr>
          <w:t>Company</w:t>
        </w:r>
        <w:r>
          <w:rPr>
            <w:color w:val="0000FF"/>
            <w:spacing w:val="23"/>
            <w:position w:val="1"/>
            <w:u w:val="single" w:color="0000FF"/>
          </w:rPr>
          <w:t> </w:t>
        </w:r>
        <w:r>
          <w:rPr>
            <w:color w:val="0000FF"/>
            <w:position w:val="1"/>
            <w:u w:val="single" w:color="0000FF"/>
          </w:rPr>
          <w:t>and</w:t>
        </w:r>
        <w:r>
          <w:rPr>
            <w:color w:val="0000FF"/>
            <w:spacing w:val="-4"/>
            <w:position w:val="1"/>
            <w:u w:val="single" w:color="0000FF"/>
          </w:rPr>
          <w:t> </w:t>
        </w:r>
        <w:r>
          <w:rPr>
            <w:color w:val="0000FF"/>
            <w:position w:val="1"/>
            <w:u w:val="single" w:color="0000FF"/>
          </w:rPr>
          <w:t>U.S.</w:t>
        </w:r>
        <w:r>
          <w:rPr>
            <w:color w:val="0000FF"/>
            <w:spacing w:val="-4"/>
            <w:position w:val="1"/>
            <w:u w:val="single" w:color="0000FF"/>
          </w:rPr>
          <w:t> </w:t>
        </w:r>
        <w:r>
          <w:rPr>
            <w:color w:val="0000FF"/>
            <w:position w:val="1"/>
            <w:u w:val="single" w:color="0000FF"/>
          </w:rPr>
          <w:t>Bank</w:t>
        </w:r>
        <w:r>
          <w:rPr>
            <w:color w:val="0000FF"/>
            <w:spacing w:val="-4"/>
            <w:position w:val="1"/>
            <w:u w:val="single" w:color="0000FF"/>
          </w:rPr>
          <w:t> </w:t>
        </w:r>
        <w:r>
          <w:rPr>
            <w:color w:val="0000FF"/>
            <w:position w:val="1"/>
            <w:u w:val="single" w:color="0000FF"/>
          </w:rPr>
          <w:t>National</w:t>
        </w:r>
        <w:r>
          <w:rPr>
            <w:color w:val="0000FF"/>
            <w:spacing w:val="-12"/>
            <w:position w:val="1"/>
            <w:u w:val="single" w:color="0000FF"/>
          </w:rPr>
          <w:t> </w:t>
        </w:r>
        <w:r>
          <w:rPr>
            <w:color w:val="0000FF"/>
            <w:position w:val="1"/>
            <w:u w:val="single" w:color="0000FF"/>
          </w:rPr>
          <w:t>Association,</w:t>
        </w:r>
        <w:r>
          <w:rPr>
            <w:color w:val="0000FF"/>
            <w:spacing w:val="-3"/>
            <w:position w:val="1"/>
            <w:u w:val="single" w:color="0000FF"/>
          </w:rPr>
          <w:t> </w:t>
        </w:r>
        <w:r>
          <w:rPr>
            <w:color w:val="0000FF"/>
            <w:position w:val="1"/>
            <w:u w:val="single" w:color="0000FF"/>
          </w:rPr>
          <w:t>as</w:t>
        </w:r>
        <w:r>
          <w:rPr>
            <w:color w:val="0000FF"/>
            <w:spacing w:val="-4"/>
            <w:position w:val="1"/>
            <w:u w:val="single" w:color="0000FF"/>
          </w:rPr>
          <w:t> </w:t>
        </w:r>
        <w:r>
          <w:rPr>
            <w:color w:val="0000FF"/>
            <w:position w:val="1"/>
            <w:u w:val="single" w:color="0000FF"/>
          </w:rPr>
          <w:t>trustee</w:t>
        </w:r>
        <w:r>
          <w:rPr>
            <w:color w:val="0000FF"/>
            <w:spacing w:val="-4"/>
            <w:position w:val="1"/>
            <w:u w:val="single" w:color="0000FF"/>
          </w:rPr>
          <w:t> </w:t>
        </w:r>
        <w:r>
          <w:rPr>
            <w:color w:val="0000FF"/>
            <w:position w:val="1"/>
            <w:u w:val="single" w:color="0000FF"/>
          </w:rPr>
          <w:t>(incorporated</w:t>
        </w:r>
        <w:r>
          <w:rPr>
            <w:color w:val="0000FF"/>
            <w:spacing w:val="-4"/>
            <w:position w:val="1"/>
            <w:u w:val="single" w:color="0000FF"/>
          </w:rPr>
          <w:t> </w:t>
        </w:r>
        <w:r>
          <w:rPr>
            <w:color w:val="0000FF"/>
            <w:position w:val="1"/>
            <w:u w:val="single" w:color="0000FF"/>
          </w:rPr>
          <w:t>by</w:t>
        </w:r>
        <w:r>
          <w:rPr>
            <w:color w:val="0000FF"/>
            <w:spacing w:val="23"/>
            <w:position w:val="1"/>
            <w:u w:val="single" w:color="0000FF"/>
          </w:rPr>
          <w:t> </w:t>
        </w:r>
        <w:r>
          <w:rPr>
            <w:color w:val="0000FF"/>
            <w:position w:val="1"/>
            <w:u w:val="single" w:color="0000FF"/>
          </w:rPr>
          <w:t>reference</w:t>
        </w:r>
        <w:r>
          <w:rPr>
            <w:color w:val="0000FF"/>
            <w:spacing w:val="-4"/>
            <w:position w:val="1"/>
            <w:u w:val="single" w:color="0000FF"/>
          </w:rPr>
          <w:t> </w:t>
        </w:r>
        <w:r>
          <w:rPr>
            <w:color w:val="0000FF"/>
            <w:position w:val="1"/>
            <w:u w:val="single" w:color="0000FF"/>
          </w:rPr>
          <w:t>to</w:t>
        </w:r>
        <w:r>
          <w:rPr>
            <w:color w:val="0000FF"/>
            <w:spacing w:val="-4"/>
            <w:position w:val="1"/>
            <w:u w:val="single" w:color="0000FF"/>
          </w:rPr>
          <w:t> </w:t>
        </w:r>
        <w:r>
          <w:rPr>
            <w:color w:val="0000FF"/>
            <w:position w:val="1"/>
            <w:u w:val="single" w:color="0000FF"/>
          </w:rPr>
          <w:t>Exhibit</w:t>
        </w:r>
      </w:hyperlink>
      <w:r>
        <w:rPr>
          <w:color w:val="0000FF"/>
          <w:position w:val="1"/>
        </w:rPr>
        <w:t> </w:t>
      </w:r>
      <w:hyperlink r:id="rId17">
        <w:r>
          <w:rPr>
            <w:color w:val="0000FF"/>
            <w:u w:val="single" w:color="0000FF"/>
          </w:rPr>
          <w:t>4.1 of the Company</w:t>
        </w:r>
        <w:r>
          <w:rPr>
            <w:color w:val="0000FF"/>
            <w:spacing w:val="-10"/>
            <w:u w:val="single" w:color="0000FF"/>
          </w:rPr>
          <w:t> </w:t>
        </w:r>
        <w:r>
          <w:rPr>
            <w:color w:val="0000FF"/>
            <w:u w:val="single" w:color="0000FF"/>
          </w:rPr>
          <w:t>’s Current Report on Form 8-K filed on March 22, 2012).</w:t>
        </w:r>
      </w:hyperlink>
    </w:p>
    <w:p>
      <w:pPr>
        <w:pStyle w:val="BodyText"/>
      </w:pPr>
    </w:p>
    <w:p>
      <w:pPr>
        <w:pStyle w:val="BodyText"/>
      </w:pPr>
    </w:p>
    <w:p>
      <w:pPr>
        <w:pStyle w:val="BodyText"/>
        <w:spacing w:before="99"/>
      </w:pPr>
    </w:p>
    <w:p>
      <w:pPr>
        <w:pStyle w:val="BodyText"/>
        <w:ind w:left="24"/>
        <w:jc w:val="center"/>
      </w:pPr>
      <w:r>
        <w:rPr>
          <w:spacing w:val="-5"/>
        </w:rPr>
        <w:t>103</w:t>
      </w:r>
    </w:p>
    <w:p>
      <w:pPr>
        <w:pStyle w:val="BodyText"/>
        <w:spacing w:before="3"/>
        <w:rPr>
          <w:sz w:val="6"/>
        </w:rPr>
      </w:pPr>
      <w:r>
        <w:rPr/>
        <mc:AlternateContent>
          <mc:Choice Requires="wps">
            <w:drawing>
              <wp:anchor distT="0" distB="0" distL="0" distR="0" allowOverlap="1" layoutInCell="1" locked="0" behindDoc="1" simplePos="0" relativeHeight="487733248">
                <wp:simplePos x="0" y="0"/>
                <wp:positionH relativeFrom="page">
                  <wp:posOffset>231457</wp:posOffset>
                </wp:positionH>
                <wp:positionV relativeFrom="paragraph">
                  <wp:posOffset>60956</wp:posOffset>
                </wp:positionV>
                <wp:extent cx="7312659" cy="17145"/>
                <wp:effectExtent l="0" t="0" r="0" b="0"/>
                <wp:wrapTopAndBottom/>
                <wp:docPr id="717" name="Group 717"/>
                <wp:cNvGraphicFramePr>
                  <a:graphicFrameLocks/>
                </wp:cNvGraphicFramePr>
                <a:graphic>
                  <a:graphicData uri="http://schemas.microsoft.com/office/word/2010/wordprocessingGroup">
                    <wpg:wgp>
                      <wpg:cNvPr id="717" name="Group 717"/>
                      <wpg:cNvGrpSpPr/>
                      <wpg:grpSpPr>
                        <a:xfrm>
                          <a:off x="0" y="0"/>
                          <a:ext cx="7312659" cy="17145"/>
                          <a:chExt cx="7312659" cy="17145"/>
                        </a:xfrm>
                      </wpg:grpSpPr>
                      <wps:wsp>
                        <wps:cNvPr id="718" name="Graphic 71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19" name="Graphic 719"/>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20" name="Graphic 72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83232;mso-wrap-distance-left:0;mso-wrap-distance-right:0" id="docshapegroup715" coordorigin="364,96" coordsize="11516,27">
                <v:rect style="position:absolute;left:364;top:96;width:11516;height:14" id="docshape716" filled="true" fillcolor="#999999" stroked="false">
                  <v:fill type="solid"/>
                </v:rect>
                <v:shape style="position:absolute;left:364;top:95;width:11516;height:27" id="docshape717" coordorigin="364,96" coordsize="11516,27" path="m11880,96l11866,109,364,109,364,123,11866,123,11880,123,11880,109,11880,96xe" filled="true" fillcolor="#ededed" stroked="false">
                  <v:path arrowok="t"/>
                  <v:fill type="solid"/>
                </v:shape>
                <v:shape style="position:absolute;left:364;top:96;width:14;height:27" id="docshape718"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tabs>
          <w:tab w:pos="1430" w:val="left" w:leader="none"/>
        </w:tabs>
        <w:spacing w:line="204" w:lineRule="auto" w:before="98"/>
        <w:ind w:left="1430" w:right="135" w:hanging="1268"/>
        <w:jc w:val="both"/>
      </w:pPr>
      <w:r>
        <w:rPr>
          <w:spacing w:val="-2"/>
        </w:rPr>
        <w:t>4.1(5)</w:t>
      </w:r>
      <w:r>
        <w:rPr/>
        <w:tab/>
      </w:r>
      <w:hyperlink r:id="rId18">
        <w:r>
          <w:rPr>
            <w:color w:val="0000FF"/>
            <w:position w:val="1"/>
            <w:u w:val="single" w:color="0000FF"/>
          </w:rPr>
          <w:t>Fourth Su</w:t>
        </w:r>
        <w:r>
          <w:rPr>
            <w:color w:val="0000FF"/>
            <w:position w:val="1"/>
          </w:rPr>
          <w:t>p</w:t>
        </w:r>
        <w:r>
          <w:rPr>
            <w:color w:val="0000FF"/>
            <w:spacing w:val="-6"/>
            <w:position w:val="1"/>
            <w:u w:val="single" w:color="0000FF"/>
          </w:rPr>
          <w:t> </w:t>
        </w:r>
        <w:r>
          <w:rPr>
            <w:color w:val="0000FF"/>
            <w:position w:val="1"/>
          </w:rPr>
          <w:t>p</w:t>
        </w:r>
        <w:r>
          <w:rPr>
            <w:color w:val="0000FF"/>
            <w:spacing w:val="-6"/>
            <w:position w:val="1"/>
            <w:u w:val="single" w:color="0000FF"/>
          </w:rPr>
          <w:t> </w:t>
        </w:r>
        <w:r>
          <w:rPr>
            <w:color w:val="0000FF"/>
            <w:position w:val="1"/>
            <w:u w:val="single" w:color="0000FF"/>
          </w:rPr>
          <w:t>lemental Indenture, dated November 25, 2014, among the Company</w:t>
        </w:r>
        <w:r>
          <w:rPr>
            <w:color w:val="0000FF"/>
            <w:position w:val="1"/>
          </w:rPr>
          <w:t>,</w:t>
        </w:r>
        <w:r>
          <w:rPr>
            <w:color w:val="0000FF"/>
            <w:position w:val="1"/>
            <w:u w:val="single" w:color="0000FF"/>
          </w:rPr>
          <w:t> the guarantors named therein and U.S. Bank National</w:t>
        </w:r>
        <w:r>
          <w:rPr>
            <w:color w:val="0000FF"/>
            <w:position w:val="1"/>
          </w:rPr>
          <w:t> </w:t>
        </w:r>
        <w:r>
          <w:rPr>
            <w:color w:val="0000FF"/>
            <w:u w:val="single" w:color="0000FF"/>
          </w:rPr>
          <w:t>Association, as trustee, to the Indenture, dated as of March 22, 2012, among the Company</w:t>
        </w:r>
        <w:r>
          <w:rPr>
            <w:color w:val="0000FF"/>
            <w:spacing w:val="38"/>
            <w:u w:val="single" w:color="0000FF"/>
          </w:rPr>
          <w:t> </w:t>
        </w:r>
        <w:r>
          <w:rPr>
            <w:color w:val="0000FF"/>
            <w:u w:val="single" w:color="0000FF"/>
          </w:rPr>
          <w:t>and U.S. Bank National Association, as trustee</w:t>
        </w:r>
        <w:r>
          <w:rPr>
            <w:color w:val="0000FF"/>
          </w:rPr>
          <w:t>,</w:t>
        </w:r>
      </w:hyperlink>
      <w:r>
        <w:rPr>
          <w:color w:val="0000FF"/>
        </w:rPr>
        <w:t> </w:t>
      </w:r>
      <w:hyperlink r:id="rId18">
        <w:r>
          <w:rPr>
            <w:color w:val="0000FF"/>
            <w:u w:val="single" w:color="0000FF"/>
          </w:rPr>
          <w:t>relating</w:t>
        </w:r>
        <w:r>
          <w:rPr>
            <w:color w:val="0000FF"/>
            <w:spacing w:val="-10"/>
            <w:u w:val="single" w:color="0000FF"/>
          </w:rPr>
          <w:t> </w:t>
        </w:r>
        <w:r>
          <w:rPr>
            <w:color w:val="0000FF"/>
            <w:u w:val="single" w:color="0000FF"/>
          </w:rPr>
          <w:t>to the 6.000% senior notes due 2023 (incorporated by</w:t>
        </w:r>
        <w:r>
          <w:rPr>
            <w:color w:val="0000FF"/>
            <w:spacing w:val="32"/>
            <w:u w:val="single" w:color="0000FF"/>
          </w:rPr>
          <w:t> </w:t>
        </w:r>
        <w:r>
          <w:rPr>
            <w:color w:val="0000FF"/>
            <w:u w:val="single" w:color="0000FF"/>
          </w:rPr>
          <w:t>reference to Exhibit 4.1 of the Company</w:t>
        </w:r>
        <w:r>
          <w:rPr>
            <w:color w:val="0000FF"/>
            <w:spacing w:val="-12"/>
            <w:u w:val="single" w:color="0000FF"/>
          </w:rPr>
          <w:t> </w:t>
        </w:r>
        <w:r>
          <w:rPr>
            <w:color w:val="0000FF"/>
            <w:u w:val="single" w:color="0000FF"/>
          </w:rPr>
          <w:t>’s Current Report on Form 8-K filed</w:t>
        </w:r>
      </w:hyperlink>
      <w:r>
        <w:rPr>
          <w:color w:val="0000FF"/>
        </w:rPr>
        <w:t> </w:t>
      </w:r>
      <w:hyperlink r:id="rId18">
        <w:r>
          <w:rPr>
            <w:color w:val="0000FF"/>
            <w:u w:val="single" w:color="0000FF"/>
          </w:rPr>
          <w:t>on November 25, 2014).</w:t>
        </w:r>
      </w:hyperlink>
    </w:p>
    <w:p>
      <w:pPr>
        <w:pStyle w:val="BodyText"/>
        <w:tabs>
          <w:tab w:pos="1430" w:val="left" w:leader="none"/>
        </w:tabs>
        <w:spacing w:line="204" w:lineRule="auto" w:before="70"/>
        <w:ind w:left="1430" w:right="135" w:hanging="1268"/>
        <w:jc w:val="both"/>
      </w:pPr>
      <w:r>
        <w:rPr/>
        <mc:AlternateContent>
          <mc:Choice Requires="wps">
            <w:drawing>
              <wp:anchor distT="0" distB="0" distL="0" distR="0" allowOverlap="1" layoutInCell="1" locked="0" behindDoc="1" simplePos="0" relativeHeight="477776896">
                <wp:simplePos x="0" y="0"/>
                <wp:positionH relativeFrom="page">
                  <wp:posOffset>1047851</wp:posOffset>
                </wp:positionH>
                <wp:positionV relativeFrom="paragraph">
                  <wp:posOffset>252932</wp:posOffset>
                </wp:positionV>
                <wp:extent cx="3943985" cy="8890"/>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3943985" cy="8890"/>
                        </a:xfrm>
                        <a:custGeom>
                          <a:avLst/>
                          <a:gdLst/>
                          <a:ahLst/>
                          <a:cxnLst/>
                          <a:rect l="l" t="t" r="r" b="b"/>
                          <a:pathLst>
                            <a:path w="3943985" h="8890">
                              <a:moveTo>
                                <a:pt x="960843" y="0"/>
                              </a:moveTo>
                              <a:lnTo>
                                <a:pt x="0" y="0"/>
                              </a:lnTo>
                              <a:lnTo>
                                <a:pt x="0" y="8572"/>
                              </a:lnTo>
                              <a:lnTo>
                                <a:pt x="960843" y="8572"/>
                              </a:lnTo>
                              <a:lnTo>
                                <a:pt x="960843" y="0"/>
                              </a:lnTo>
                              <a:close/>
                            </a:path>
                            <a:path w="3943985" h="8890">
                              <a:moveTo>
                                <a:pt x="1463560" y="0"/>
                              </a:moveTo>
                              <a:lnTo>
                                <a:pt x="992619" y="0"/>
                              </a:lnTo>
                              <a:lnTo>
                                <a:pt x="992619" y="8572"/>
                              </a:lnTo>
                              <a:lnTo>
                                <a:pt x="1463560" y="8572"/>
                              </a:lnTo>
                              <a:lnTo>
                                <a:pt x="1463560" y="0"/>
                              </a:lnTo>
                              <a:close/>
                            </a:path>
                            <a:path w="3943985" h="8890">
                              <a:moveTo>
                                <a:pt x="2270010" y="0"/>
                              </a:moveTo>
                              <a:lnTo>
                                <a:pt x="1495348" y="0"/>
                              </a:lnTo>
                              <a:lnTo>
                                <a:pt x="1495348" y="8572"/>
                              </a:lnTo>
                              <a:lnTo>
                                <a:pt x="2270010" y="8572"/>
                              </a:lnTo>
                              <a:lnTo>
                                <a:pt x="2270010" y="0"/>
                              </a:lnTo>
                              <a:close/>
                            </a:path>
                            <a:path w="3943985" h="8890">
                              <a:moveTo>
                                <a:pt x="3334855" y="0"/>
                              </a:moveTo>
                              <a:lnTo>
                                <a:pt x="2301798" y="0"/>
                              </a:lnTo>
                              <a:lnTo>
                                <a:pt x="2301798" y="8572"/>
                              </a:lnTo>
                              <a:lnTo>
                                <a:pt x="3334855" y="8572"/>
                              </a:lnTo>
                              <a:lnTo>
                                <a:pt x="3334855" y="0"/>
                              </a:lnTo>
                              <a:close/>
                            </a:path>
                            <a:path w="3943985" h="8890">
                              <a:moveTo>
                                <a:pt x="3629152" y="0"/>
                              </a:moveTo>
                              <a:lnTo>
                                <a:pt x="3366643" y="0"/>
                              </a:lnTo>
                              <a:lnTo>
                                <a:pt x="3366643" y="8572"/>
                              </a:lnTo>
                              <a:lnTo>
                                <a:pt x="3629152" y="8572"/>
                              </a:lnTo>
                              <a:lnTo>
                                <a:pt x="3629152" y="0"/>
                              </a:lnTo>
                              <a:close/>
                            </a:path>
                            <a:path w="3943985" h="8890">
                              <a:moveTo>
                                <a:pt x="3943820" y="0"/>
                              </a:moveTo>
                              <a:lnTo>
                                <a:pt x="3660940" y="0"/>
                              </a:lnTo>
                              <a:lnTo>
                                <a:pt x="3660940" y="8572"/>
                              </a:lnTo>
                              <a:lnTo>
                                <a:pt x="3943820" y="8572"/>
                              </a:lnTo>
                              <a:lnTo>
                                <a:pt x="394382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82.508003pt;margin-top:19.915956pt;width:310.55pt;height:.7pt;mso-position-horizontal-relative:page;mso-position-vertical-relative:paragraph;z-index:-25539584" id="docshape719" coordorigin="1650,398" coordsize="6211,14" path="m3163,398l1650,398,1650,412,3163,412,3163,398xm3955,398l3213,398,3213,412,3955,412,3955,398xm5225,398l4005,398,4005,412,5225,412,5225,398xm6902,398l5275,398,5275,412,6902,412,6902,398xm7365,398l6952,398,6952,412,7365,412,7365,398xm7861,398l7415,398,7415,412,7861,412,7861,398xe" filled="true" fillcolor="#0000ff" stroked="false">
                <v:path arrowok="t"/>
                <v:fill type="solid"/>
                <w10:wrap type="none"/>
              </v:shape>
            </w:pict>
          </mc:Fallback>
        </mc:AlternateContent>
      </w:r>
      <w:r>
        <w:rPr>
          <w:spacing w:val="-2"/>
        </w:rPr>
        <w:t>4.1(6)</w:t>
      </w:r>
      <w:r>
        <w:rPr/>
        <w:tab/>
      </w:r>
      <w:hyperlink r:id="rId19">
        <w:r>
          <w:rPr>
            <w:color w:val="0000FF"/>
            <w:position w:val="1"/>
            <w:u w:val="single" w:color="0000FF"/>
          </w:rPr>
          <w:t>Fifth Su</w:t>
        </w:r>
        <w:r>
          <w:rPr>
            <w:color w:val="0000FF"/>
            <w:position w:val="1"/>
          </w:rPr>
          <w:t>p</w:t>
        </w:r>
        <w:r>
          <w:rPr>
            <w:color w:val="0000FF"/>
            <w:spacing w:val="-6"/>
            <w:position w:val="1"/>
            <w:u w:val="single" w:color="0000FF"/>
          </w:rPr>
          <w:t> </w:t>
        </w:r>
        <w:r>
          <w:rPr>
            <w:color w:val="0000FF"/>
            <w:position w:val="1"/>
          </w:rPr>
          <w:t>p</w:t>
        </w:r>
        <w:r>
          <w:rPr>
            <w:color w:val="0000FF"/>
            <w:spacing w:val="-6"/>
            <w:position w:val="1"/>
            <w:u w:val="single" w:color="0000FF"/>
          </w:rPr>
          <w:t> </w:t>
        </w:r>
        <w:r>
          <w:rPr>
            <w:color w:val="0000FF"/>
            <w:position w:val="1"/>
            <w:u w:val="single" w:color="0000FF"/>
          </w:rPr>
          <w:t>lemental Indenture, dated August 19, 2016, among MGM Resorts International, the guarantors named therein and U.S. Bank</w:t>
        </w:r>
        <w:r>
          <w:rPr>
            <w:color w:val="0000FF"/>
            <w:position w:val="1"/>
          </w:rPr>
          <w:t> </w:t>
        </w:r>
        <w:r>
          <w:rPr>
            <w:color w:val="0000FF"/>
          </w:rPr>
          <w:t>National Association, as trustee, to the Indenture, dated as of March 22, 2012, among</w:t>
        </w:r>
        <w:r>
          <w:rPr>
            <w:color w:val="0000FF"/>
            <w:u w:val="single" w:color="0000FF"/>
          </w:rPr>
          <w:t> MGM Resorts International and U.S. Bank National</w:t>
        </w:r>
      </w:hyperlink>
      <w:r>
        <w:rPr>
          <w:color w:val="0000FF"/>
        </w:rPr>
        <w:t> </w:t>
      </w:r>
      <w:hyperlink r:id="rId19">
        <w:r>
          <w:rPr>
            <w:color w:val="0000FF"/>
            <w:u w:val="single" w:color="0000FF"/>
          </w:rPr>
          <w:t>Association, as trustee, relating to the 4.625% senior notes due 2026 (incorporated by</w:t>
        </w:r>
        <w:r>
          <w:rPr>
            <w:color w:val="0000FF"/>
            <w:spacing w:val="40"/>
            <w:u w:val="single" w:color="0000FF"/>
          </w:rPr>
          <w:t> </w:t>
        </w:r>
        <w:r>
          <w:rPr>
            <w:color w:val="0000FF"/>
            <w:u w:val="single" w:color="0000FF"/>
          </w:rPr>
          <w:t>reference to Exhibit 4.1 of the Company</w:t>
        </w:r>
        <w:r>
          <w:rPr>
            <w:color w:val="0000FF"/>
            <w:spacing w:val="-12"/>
            <w:u w:val="single" w:color="0000FF"/>
          </w:rPr>
          <w:t> </w:t>
        </w:r>
        <w:r>
          <w:rPr>
            <w:color w:val="0000FF"/>
            <w:u w:val="single" w:color="0000FF"/>
          </w:rPr>
          <w:t>’s Current</w:t>
        </w:r>
      </w:hyperlink>
      <w:r>
        <w:rPr>
          <w:color w:val="0000FF"/>
        </w:rPr>
        <w:t> </w:t>
      </w:r>
      <w:hyperlink r:id="rId19">
        <w:r>
          <w:rPr>
            <w:color w:val="0000FF"/>
            <w:u w:val="single" w:color="0000FF"/>
          </w:rPr>
          <w:t>Report on Form 8-K filed on August 19, 2016).</w:t>
        </w:r>
      </w:hyperlink>
    </w:p>
    <w:p>
      <w:pPr>
        <w:pStyle w:val="BodyText"/>
        <w:tabs>
          <w:tab w:pos="1430" w:val="left" w:leader="none"/>
        </w:tabs>
        <w:spacing w:line="204" w:lineRule="auto" w:before="55"/>
        <w:ind w:left="1430" w:right="135" w:hanging="1268"/>
        <w:jc w:val="both"/>
      </w:pPr>
      <w:r>
        <w:rPr/>
        <mc:AlternateContent>
          <mc:Choice Requires="wps">
            <w:drawing>
              <wp:anchor distT="0" distB="0" distL="0" distR="0" allowOverlap="1" layoutInCell="1" locked="0" behindDoc="1" simplePos="0" relativeHeight="477777408">
                <wp:simplePos x="0" y="0"/>
                <wp:positionH relativeFrom="page">
                  <wp:posOffset>1047851</wp:posOffset>
                </wp:positionH>
                <wp:positionV relativeFrom="paragraph">
                  <wp:posOffset>243890</wp:posOffset>
                </wp:positionV>
                <wp:extent cx="3943985" cy="8890"/>
                <wp:effectExtent l="0" t="0" r="0" b="0"/>
                <wp:wrapNone/>
                <wp:docPr id="722" name="Graphic 722"/>
                <wp:cNvGraphicFramePr>
                  <a:graphicFrameLocks/>
                </wp:cNvGraphicFramePr>
                <a:graphic>
                  <a:graphicData uri="http://schemas.microsoft.com/office/word/2010/wordprocessingShape">
                    <wps:wsp>
                      <wps:cNvPr id="722" name="Graphic 722"/>
                      <wps:cNvSpPr/>
                      <wps:spPr>
                        <a:xfrm>
                          <a:off x="0" y="0"/>
                          <a:ext cx="3943985" cy="8890"/>
                        </a:xfrm>
                        <a:custGeom>
                          <a:avLst/>
                          <a:gdLst/>
                          <a:ahLst/>
                          <a:cxnLst/>
                          <a:rect l="l" t="t" r="r" b="b"/>
                          <a:pathLst>
                            <a:path w="3943985" h="8890">
                              <a:moveTo>
                                <a:pt x="960843" y="0"/>
                              </a:moveTo>
                              <a:lnTo>
                                <a:pt x="0" y="0"/>
                              </a:lnTo>
                              <a:lnTo>
                                <a:pt x="0" y="8572"/>
                              </a:lnTo>
                              <a:lnTo>
                                <a:pt x="960843" y="8572"/>
                              </a:lnTo>
                              <a:lnTo>
                                <a:pt x="960843" y="0"/>
                              </a:lnTo>
                              <a:close/>
                            </a:path>
                            <a:path w="3943985" h="8890">
                              <a:moveTo>
                                <a:pt x="1463560" y="0"/>
                              </a:moveTo>
                              <a:lnTo>
                                <a:pt x="992619" y="0"/>
                              </a:lnTo>
                              <a:lnTo>
                                <a:pt x="992619" y="8572"/>
                              </a:lnTo>
                              <a:lnTo>
                                <a:pt x="1463560" y="8572"/>
                              </a:lnTo>
                              <a:lnTo>
                                <a:pt x="1463560" y="0"/>
                              </a:lnTo>
                              <a:close/>
                            </a:path>
                            <a:path w="3943985" h="8890">
                              <a:moveTo>
                                <a:pt x="2270010" y="0"/>
                              </a:moveTo>
                              <a:lnTo>
                                <a:pt x="1495348" y="0"/>
                              </a:lnTo>
                              <a:lnTo>
                                <a:pt x="1495348" y="8572"/>
                              </a:lnTo>
                              <a:lnTo>
                                <a:pt x="2270010" y="8572"/>
                              </a:lnTo>
                              <a:lnTo>
                                <a:pt x="2270010" y="0"/>
                              </a:lnTo>
                              <a:close/>
                            </a:path>
                            <a:path w="3943985" h="8890">
                              <a:moveTo>
                                <a:pt x="3334855" y="0"/>
                              </a:moveTo>
                              <a:lnTo>
                                <a:pt x="2301798" y="0"/>
                              </a:lnTo>
                              <a:lnTo>
                                <a:pt x="2301798" y="8572"/>
                              </a:lnTo>
                              <a:lnTo>
                                <a:pt x="3334855" y="8572"/>
                              </a:lnTo>
                              <a:lnTo>
                                <a:pt x="3334855" y="0"/>
                              </a:lnTo>
                              <a:close/>
                            </a:path>
                            <a:path w="3943985" h="8890">
                              <a:moveTo>
                                <a:pt x="3629152" y="0"/>
                              </a:moveTo>
                              <a:lnTo>
                                <a:pt x="3366643" y="0"/>
                              </a:lnTo>
                              <a:lnTo>
                                <a:pt x="3366643" y="8572"/>
                              </a:lnTo>
                              <a:lnTo>
                                <a:pt x="3629152" y="8572"/>
                              </a:lnTo>
                              <a:lnTo>
                                <a:pt x="3629152" y="0"/>
                              </a:lnTo>
                              <a:close/>
                            </a:path>
                            <a:path w="3943985" h="8890">
                              <a:moveTo>
                                <a:pt x="3943820" y="0"/>
                              </a:moveTo>
                              <a:lnTo>
                                <a:pt x="3660940" y="0"/>
                              </a:lnTo>
                              <a:lnTo>
                                <a:pt x="3660940" y="8572"/>
                              </a:lnTo>
                              <a:lnTo>
                                <a:pt x="3943820" y="8572"/>
                              </a:lnTo>
                              <a:lnTo>
                                <a:pt x="394382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82.508003pt;margin-top:19.203947pt;width:310.55pt;height:.7pt;mso-position-horizontal-relative:page;mso-position-vertical-relative:paragraph;z-index:-25539072" id="docshape720" coordorigin="1650,384" coordsize="6211,14" path="m3163,384l1650,384,1650,398,3163,398,3163,384xm3955,384l3213,384,3213,398,3955,398,3955,384xm5225,384l4005,384,4005,398,5225,398,5225,384xm6902,384l5275,384,5275,398,6902,398,6902,384xm7365,384l6952,384,6952,398,7365,398,7365,384xm7861,384l7415,384,7415,398,7861,398,7861,384xe" filled="true" fillcolor="#0000ff" stroked="false">
                <v:path arrowok="t"/>
                <v:fill type="solid"/>
                <w10:wrap type="none"/>
              </v:shape>
            </w:pict>
          </mc:Fallback>
        </mc:AlternateContent>
      </w:r>
      <w:r>
        <w:rPr>
          <w:spacing w:val="-2"/>
        </w:rPr>
        <w:t>4.1(7)</w:t>
      </w:r>
      <w:r>
        <w:rPr/>
        <w:tab/>
      </w:r>
      <w:hyperlink r:id="rId20">
        <w:r>
          <w:rPr>
            <w:color w:val="0000FF"/>
            <w:position w:val="1"/>
            <w:u w:val="single" w:color="0000FF"/>
          </w:rPr>
          <w:t>Sixth Su</w:t>
        </w:r>
        <w:r>
          <w:rPr>
            <w:color w:val="0000FF"/>
            <w:position w:val="1"/>
          </w:rPr>
          <w:t>p</w:t>
        </w:r>
        <w:r>
          <w:rPr>
            <w:color w:val="0000FF"/>
            <w:spacing w:val="-5"/>
            <w:position w:val="1"/>
            <w:u w:val="single" w:color="0000FF"/>
          </w:rPr>
          <w:t> </w:t>
        </w:r>
        <w:r>
          <w:rPr>
            <w:color w:val="0000FF"/>
            <w:position w:val="1"/>
          </w:rPr>
          <w:t>p</w:t>
        </w:r>
        <w:r>
          <w:rPr>
            <w:color w:val="0000FF"/>
            <w:spacing w:val="-5"/>
            <w:position w:val="1"/>
            <w:u w:val="single" w:color="0000FF"/>
          </w:rPr>
          <w:t> </w:t>
        </w:r>
        <w:r>
          <w:rPr>
            <w:color w:val="0000FF"/>
            <w:position w:val="1"/>
            <w:u w:val="single" w:color="0000FF"/>
          </w:rPr>
          <w:t>lemental Indenture, dated June 18, 2018, among MGM Resorts International, the guarantors named therein and U.S. Bank</w:t>
        </w:r>
        <w:r>
          <w:rPr>
            <w:color w:val="0000FF"/>
            <w:position w:val="1"/>
          </w:rPr>
          <w:t> </w:t>
        </w:r>
        <w:r>
          <w:rPr>
            <w:color w:val="0000FF"/>
          </w:rPr>
          <w:t>National Association, as trustee, to the Indenture, dated as of March 22, 2012, among</w:t>
        </w:r>
        <w:r>
          <w:rPr>
            <w:color w:val="0000FF"/>
            <w:u w:val="single" w:color="0000FF"/>
          </w:rPr>
          <w:t> MGM Resorts International and U.S. Bank National</w:t>
        </w:r>
      </w:hyperlink>
      <w:r>
        <w:rPr>
          <w:color w:val="0000FF"/>
        </w:rPr>
        <w:t> </w:t>
      </w:r>
      <w:hyperlink r:id="rId20">
        <w:r>
          <w:rPr>
            <w:color w:val="0000FF"/>
            <w:u w:val="single" w:color="0000FF"/>
          </w:rPr>
          <w:t>Association, as trustee, relating to the 5.750% senior notes due 2025 (incorporated by</w:t>
        </w:r>
        <w:r>
          <w:rPr>
            <w:color w:val="0000FF"/>
            <w:spacing w:val="40"/>
            <w:u w:val="single" w:color="0000FF"/>
          </w:rPr>
          <w:t> </w:t>
        </w:r>
        <w:r>
          <w:rPr>
            <w:color w:val="0000FF"/>
            <w:u w:val="single" w:color="0000FF"/>
          </w:rPr>
          <w:t>reference to Exhibit 4.1 of the Company</w:t>
        </w:r>
        <w:r>
          <w:rPr>
            <w:color w:val="0000FF"/>
            <w:spacing w:val="-12"/>
            <w:u w:val="single" w:color="0000FF"/>
          </w:rPr>
          <w:t> </w:t>
        </w:r>
        <w:r>
          <w:rPr>
            <w:color w:val="0000FF"/>
            <w:u w:val="single" w:color="0000FF"/>
          </w:rPr>
          <w:t>’s Current</w:t>
        </w:r>
      </w:hyperlink>
      <w:r>
        <w:rPr>
          <w:color w:val="0000FF"/>
        </w:rPr>
        <w:t> </w:t>
      </w:r>
      <w:hyperlink r:id="rId20">
        <w:r>
          <w:rPr>
            <w:color w:val="0000FF"/>
            <w:u w:val="single" w:color="0000FF"/>
          </w:rPr>
          <w:t>Report on Form 8-K filed on June 18, 2018).</w:t>
        </w:r>
      </w:hyperlink>
    </w:p>
    <w:p>
      <w:pPr>
        <w:pStyle w:val="BodyText"/>
        <w:tabs>
          <w:tab w:pos="1430" w:val="left" w:leader="none"/>
        </w:tabs>
        <w:spacing w:line="204" w:lineRule="auto" w:before="56"/>
        <w:ind w:left="1430" w:right="135" w:hanging="1268"/>
        <w:jc w:val="both"/>
      </w:pPr>
      <w:r>
        <w:rPr/>
        <mc:AlternateContent>
          <mc:Choice Requires="wps">
            <w:drawing>
              <wp:anchor distT="0" distB="0" distL="0" distR="0" allowOverlap="1" layoutInCell="1" locked="0" behindDoc="1" simplePos="0" relativeHeight="477777920">
                <wp:simplePos x="0" y="0"/>
                <wp:positionH relativeFrom="page">
                  <wp:posOffset>1047851</wp:posOffset>
                </wp:positionH>
                <wp:positionV relativeFrom="paragraph">
                  <wp:posOffset>252945</wp:posOffset>
                </wp:positionV>
                <wp:extent cx="3943985" cy="8890"/>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3943985" cy="8890"/>
                        </a:xfrm>
                        <a:custGeom>
                          <a:avLst/>
                          <a:gdLst/>
                          <a:ahLst/>
                          <a:cxnLst/>
                          <a:rect l="l" t="t" r="r" b="b"/>
                          <a:pathLst>
                            <a:path w="3943985" h="8890">
                              <a:moveTo>
                                <a:pt x="960843" y="0"/>
                              </a:moveTo>
                              <a:lnTo>
                                <a:pt x="0" y="0"/>
                              </a:lnTo>
                              <a:lnTo>
                                <a:pt x="0" y="8572"/>
                              </a:lnTo>
                              <a:lnTo>
                                <a:pt x="960843" y="8572"/>
                              </a:lnTo>
                              <a:lnTo>
                                <a:pt x="960843" y="0"/>
                              </a:lnTo>
                              <a:close/>
                            </a:path>
                            <a:path w="3943985" h="8890">
                              <a:moveTo>
                                <a:pt x="1463560" y="0"/>
                              </a:moveTo>
                              <a:lnTo>
                                <a:pt x="992619" y="0"/>
                              </a:lnTo>
                              <a:lnTo>
                                <a:pt x="992619" y="8572"/>
                              </a:lnTo>
                              <a:lnTo>
                                <a:pt x="1463560" y="8572"/>
                              </a:lnTo>
                              <a:lnTo>
                                <a:pt x="1463560" y="0"/>
                              </a:lnTo>
                              <a:close/>
                            </a:path>
                            <a:path w="3943985" h="8890">
                              <a:moveTo>
                                <a:pt x="2270010" y="0"/>
                              </a:moveTo>
                              <a:lnTo>
                                <a:pt x="1495348" y="0"/>
                              </a:lnTo>
                              <a:lnTo>
                                <a:pt x="1495348" y="8572"/>
                              </a:lnTo>
                              <a:lnTo>
                                <a:pt x="2270010" y="8572"/>
                              </a:lnTo>
                              <a:lnTo>
                                <a:pt x="2270010" y="0"/>
                              </a:lnTo>
                              <a:close/>
                            </a:path>
                            <a:path w="3943985" h="8890">
                              <a:moveTo>
                                <a:pt x="3334855" y="0"/>
                              </a:moveTo>
                              <a:lnTo>
                                <a:pt x="2301798" y="0"/>
                              </a:lnTo>
                              <a:lnTo>
                                <a:pt x="2301798" y="8572"/>
                              </a:lnTo>
                              <a:lnTo>
                                <a:pt x="3334855" y="8572"/>
                              </a:lnTo>
                              <a:lnTo>
                                <a:pt x="3334855" y="0"/>
                              </a:lnTo>
                              <a:close/>
                            </a:path>
                            <a:path w="3943985" h="8890">
                              <a:moveTo>
                                <a:pt x="3629152" y="0"/>
                              </a:moveTo>
                              <a:lnTo>
                                <a:pt x="3366643" y="0"/>
                              </a:lnTo>
                              <a:lnTo>
                                <a:pt x="3366643" y="8572"/>
                              </a:lnTo>
                              <a:lnTo>
                                <a:pt x="3629152" y="8572"/>
                              </a:lnTo>
                              <a:lnTo>
                                <a:pt x="3629152" y="0"/>
                              </a:lnTo>
                              <a:close/>
                            </a:path>
                            <a:path w="3943985" h="8890">
                              <a:moveTo>
                                <a:pt x="3943820" y="0"/>
                              </a:moveTo>
                              <a:lnTo>
                                <a:pt x="3660940" y="0"/>
                              </a:lnTo>
                              <a:lnTo>
                                <a:pt x="3660940" y="8572"/>
                              </a:lnTo>
                              <a:lnTo>
                                <a:pt x="3943820" y="8572"/>
                              </a:lnTo>
                              <a:lnTo>
                                <a:pt x="394382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82.508003pt;margin-top:19.916937pt;width:310.55pt;height:.7pt;mso-position-horizontal-relative:page;mso-position-vertical-relative:paragraph;z-index:-25538560" id="docshape721" coordorigin="1650,398" coordsize="6211,14" path="m3163,398l1650,398,1650,412,3163,412,3163,398xm3955,398l3213,398,3213,412,3955,412,3955,398xm5225,398l4005,398,4005,412,5225,412,5225,398xm6902,398l5275,398,5275,412,6902,412,6902,398xm7365,398l6952,398,6952,412,7365,412,7365,398xm7861,398l7415,398,7415,412,7861,412,7861,398xe" filled="true" fillcolor="#0000ff" stroked="false">
                <v:path arrowok="t"/>
                <v:fill type="solid"/>
                <w10:wrap type="none"/>
              </v:shape>
            </w:pict>
          </mc:Fallback>
        </mc:AlternateContent>
      </w:r>
      <w:r>
        <w:rPr>
          <w:spacing w:val="-2"/>
        </w:rPr>
        <w:t>4.1(8)</w:t>
      </w:r>
      <w:r>
        <w:rPr/>
        <w:tab/>
      </w:r>
      <w:hyperlink r:id="rId21">
        <w:r>
          <w:rPr>
            <w:color w:val="0000FF"/>
            <w:position w:val="1"/>
            <w:u w:val="single" w:color="0000FF"/>
          </w:rPr>
          <w:t>Seventh Su</w:t>
        </w:r>
        <w:r>
          <w:rPr>
            <w:color w:val="0000FF"/>
            <w:position w:val="1"/>
          </w:rPr>
          <w:t>p</w:t>
        </w:r>
        <w:r>
          <w:rPr>
            <w:color w:val="0000FF"/>
            <w:spacing w:val="-6"/>
            <w:position w:val="1"/>
            <w:u w:val="single" w:color="0000FF"/>
          </w:rPr>
          <w:t> </w:t>
        </w:r>
        <w:r>
          <w:rPr>
            <w:color w:val="0000FF"/>
            <w:position w:val="1"/>
          </w:rPr>
          <w:t>p</w:t>
        </w:r>
        <w:r>
          <w:rPr>
            <w:color w:val="0000FF"/>
            <w:spacing w:val="-6"/>
            <w:position w:val="1"/>
            <w:u w:val="single" w:color="0000FF"/>
          </w:rPr>
          <w:t> </w:t>
        </w:r>
        <w:r>
          <w:rPr>
            <w:color w:val="0000FF"/>
            <w:position w:val="1"/>
            <w:u w:val="single" w:color="0000FF"/>
          </w:rPr>
          <w:t>lemental Indenture, dated April 10, 2019, among MGM Resorts International, the guarantors named therein and U.S. Bank</w:t>
        </w:r>
        <w:r>
          <w:rPr>
            <w:color w:val="0000FF"/>
            <w:position w:val="1"/>
          </w:rPr>
          <w:t> </w:t>
        </w:r>
        <w:r>
          <w:rPr>
            <w:color w:val="0000FF"/>
          </w:rPr>
          <w:t>National Association, as trustee, to the Indenture, dated as of March 22, 2012, among</w:t>
        </w:r>
        <w:r>
          <w:rPr>
            <w:color w:val="0000FF"/>
            <w:u w:val="single" w:color="0000FF"/>
          </w:rPr>
          <w:t> MGM Resorts International and U.S. Bank National</w:t>
        </w:r>
      </w:hyperlink>
      <w:r>
        <w:rPr>
          <w:color w:val="0000FF"/>
        </w:rPr>
        <w:t> </w:t>
      </w:r>
      <w:hyperlink r:id="rId21">
        <w:r>
          <w:rPr>
            <w:color w:val="0000FF"/>
            <w:u w:val="single" w:color="0000FF"/>
          </w:rPr>
          <w:t>Association, as trustee, relating to the 5.500% senior notes due 2027 (incorporated by</w:t>
        </w:r>
        <w:r>
          <w:rPr>
            <w:color w:val="0000FF"/>
            <w:spacing w:val="40"/>
            <w:u w:val="single" w:color="0000FF"/>
          </w:rPr>
          <w:t> </w:t>
        </w:r>
        <w:r>
          <w:rPr>
            <w:color w:val="0000FF"/>
            <w:u w:val="single" w:color="0000FF"/>
          </w:rPr>
          <w:t>reference to Exhibit 4.1 of the Company</w:t>
        </w:r>
        <w:r>
          <w:rPr>
            <w:color w:val="0000FF"/>
            <w:spacing w:val="-12"/>
            <w:u w:val="single" w:color="0000FF"/>
          </w:rPr>
          <w:t> </w:t>
        </w:r>
        <w:r>
          <w:rPr>
            <w:color w:val="0000FF"/>
            <w:u w:val="single" w:color="0000FF"/>
          </w:rPr>
          <w:t>’s Current</w:t>
        </w:r>
      </w:hyperlink>
      <w:r>
        <w:rPr>
          <w:color w:val="0000FF"/>
        </w:rPr>
        <w:t> </w:t>
      </w:r>
      <w:hyperlink r:id="rId21">
        <w:r>
          <w:rPr>
            <w:color w:val="0000FF"/>
            <w:u w:val="single" w:color="0000FF"/>
          </w:rPr>
          <w:t>Report on Form 8-K filed on April 10, 2019).</w:t>
        </w:r>
      </w:hyperlink>
    </w:p>
    <w:p>
      <w:pPr>
        <w:pStyle w:val="BodyText"/>
        <w:tabs>
          <w:tab w:pos="1430" w:val="left" w:leader="none"/>
        </w:tabs>
        <w:spacing w:line="204" w:lineRule="auto" w:before="69"/>
        <w:ind w:left="1430" w:right="135" w:hanging="1268"/>
        <w:jc w:val="both"/>
      </w:pPr>
      <w:r>
        <w:rPr/>
        <mc:AlternateContent>
          <mc:Choice Requires="wps">
            <w:drawing>
              <wp:anchor distT="0" distB="0" distL="0" distR="0" allowOverlap="1" layoutInCell="1" locked="0" behindDoc="1" simplePos="0" relativeHeight="477778432">
                <wp:simplePos x="0" y="0"/>
                <wp:positionH relativeFrom="page">
                  <wp:posOffset>1047851</wp:posOffset>
                </wp:positionH>
                <wp:positionV relativeFrom="paragraph">
                  <wp:posOffset>252792</wp:posOffset>
                </wp:positionV>
                <wp:extent cx="3943985" cy="8890"/>
                <wp:effectExtent l="0" t="0" r="0" b="0"/>
                <wp:wrapNone/>
                <wp:docPr id="724" name="Graphic 724"/>
                <wp:cNvGraphicFramePr>
                  <a:graphicFrameLocks/>
                </wp:cNvGraphicFramePr>
                <a:graphic>
                  <a:graphicData uri="http://schemas.microsoft.com/office/word/2010/wordprocessingShape">
                    <wps:wsp>
                      <wps:cNvPr id="724" name="Graphic 724"/>
                      <wps:cNvSpPr/>
                      <wps:spPr>
                        <a:xfrm>
                          <a:off x="0" y="0"/>
                          <a:ext cx="3943985" cy="8890"/>
                        </a:xfrm>
                        <a:custGeom>
                          <a:avLst/>
                          <a:gdLst/>
                          <a:ahLst/>
                          <a:cxnLst/>
                          <a:rect l="l" t="t" r="r" b="b"/>
                          <a:pathLst>
                            <a:path w="3943985" h="8890">
                              <a:moveTo>
                                <a:pt x="960843" y="0"/>
                              </a:moveTo>
                              <a:lnTo>
                                <a:pt x="0" y="0"/>
                              </a:lnTo>
                              <a:lnTo>
                                <a:pt x="0" y="8572"/>
                              </a:lnTo>
                              <a:lnTo>
                                <a:pt x="960843" y="8572"/>
                              </a:lnTo>
                              <a:lnTo>
                                <a:pt x="960843" y="0"/>
                              </a:lnTo>
                              <a:close/>
                            </a:path>
                            <a:path w="3943985" h="8890">
                              <a:moveTo>
                                <a:pt x="1463560" y="0"/>
                              </a:moveTo>
                              <a:lnTo>
                                <a:pt x="992619" y="0"/>
                              </a:lnTo>
                              <a:lnTo>
                                <a:pt x="992619" y="8572"/>
                              </a:lnTo>
                              <a:lnTo>
                                <a:pt x="1463560" y="8572"/>
                              </a:lnTo>
                              <a:lnTo>
                                <a:pt x="1463560" y="0"/>
                              </a:lnTo>
                              <a:close/>
                            </a:path>
                            <a:path w="3943985" h="8890">
                              <a:moveTo>
                                <a:pt x="2270010" y="0"/>
                              </a:moveTo>
                              <a:lnTo>
                                <a:pt x="1495348" y="0"/>
                              </a:lnTo>
                              <a:lnTo>
                                <a:pt x="1495348" y="8572"/>
                              </a:lnTo>
                              <a:lnTo>
                                <a:pt x="2270010" y="8572"/>
                              </a:lnTo>
                              <a:lnTo>
                                <a:pt x="2270010" y="0"/>
                              </a:lnTo>
                              <a:close/>
                            </a:path>
                            <a:path w="3943985" h="8890">
                              <a:moveTo>
                                <a:pt x="3334855" y="0"/>
                              </a:moveTo>
                              <a:lnTo>
                                <a:pt x="2301798" y="0"/>
                              </a:lnTo>
                              <a:lnTo>
                                <a:pt x="2301798" y="8572"/>
                              </a:lnTo>
                              <a:lnTo>
                                <a:pt x="3334855" y="8572"/>
                              </a:lnTo>
                              <a:lnTo>
                                <a:pt x="3334855" y="0"/>
                              </a:lnTo>
                              <a:close/>
                            </a:path>
                            <a:path w="3943985" h="8890">
                              <a:moveTo>
                                <a:pt x="3629152" y="0"/>
                              </a:moveTo>
                              <a:lnTo>
                                <a:pt x="3366643" y="0"/>
                              </a:lnTo>
                              <a:lnTo>
                                <a:pt x="3366643" y="8572"/>
                              </a:lnTo>
                              <a:lnTo>
                                <a:pt x="3629152" y="8572"/>
                              </a:lnTo>
                              <a:lnTo>
                                <a:pt x="3629152" y="0"/>
                              </a:lnTo>
                              <a:close/>
                            </a:path>
                            <a:path w="3943985" h="8890">
                              <a:moveTo>
                                <a:pt x="3943820" y="0"/>
                              </a:moveTo>
                              <a:lnTo>
                                <a:pt x="3660940" y="0"/>
                              </a:lnTo>
                              <a:lnTo>
                                <a:pt x="3660940" y="8572"/>
                              </a:lnTo>
                              <a:lnTo>
                                <a:pt x="3943820" y="8572"/>
                              </a:lnTo>
                              <a:lnTo>
                                <a:pt x="394382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82.508003pt;margin-top:19.904926pt;width:310.55pt;height:.7pt;mso-position-horizontal-relative:page;mso-position-vertical-relative:paragraph;z-index:-25538048" id="docshape722" coordorigin="1650,398" coordsize="6211,14" path="m3163,398l1650,398,1650,412,3163,412,3163,398xm3955,398l3213,398,3213,412,3955,412,3955,398xm5225,398l4005,398,4005,412,5225,412,5225,398xm6902,398l5275,398,5275,412,6902,412,6902,398xm7365,398l6952,398,6952,412,7365,412,7365,398xm7861,398l7415,398,7415,412,7861,412,7861,398xe" filled="true" fillcolor="#0000ff" stroked="false">
                <v:path arrowok="t"/>
                <v:fill type="solid"/>
                <w10:wrap type="none"/>
              </v:shape>
            </w:pict>
          </mc:Fallback>
        </mc:AlternateContent>
      </w:r>
      <w:r>
        <w:rPr>
          <w:spacing w:val="-2"/>
        </w:rPr>
        <w:t>4.1(9)</w:t>
      </w:r>
      <w:r>
        <w:rPr/>
        <w:tab/>
      </w:r>
      <w:hyperlink r:id="rId22">
        <w:r>
          <w:rPr>
            <w:color w:val="0000FF"/>
            <w:position w:val="1"/>
            <w:u w:val="single" w:color="0000FF"/>
          </w:rPr>
          <w:t>E</w:t>
        </w:r>
        <w:r>
          <w:rPr>
            <w:color w:val="0000FF"/>
            <w:position w:val="1"/>
          </w:rPr>
          <w:t>ig</w:t>
        </w:r>
        <w:r>
          <w:rPr>
            <w:color w:val="0000FF"/>
            <w:position w:val="1"/>
            <w:u w:val="single" w:color="0000FF"/>
          </w:rPr>
          <w:t>hth Su</w:t>
        </w:r>
        <w:r>
          <w:rPr>
            <w:color w:val="0000FF"/>
            <w:position w:val="1"/>
          </w:rPr>
          <w:t>p</w:t>
        </w:r>
        <w:r>
          <w:rPr>
            <w:color w:val="0000FF"/>
            <w:spacing w:val="-6"/>
            <w:position w:val="1"/>
            <w:u w:val="single" w:color="0000FF"/>
          </w:rPr>
          <w:t> </w:t>
        </w:r>
        <w:r>
          <w:rPr>
            <w:color w:val="0000FF"/>
            <w:position w:val="1"/>
          </w:rPr>
          <w:t>p</w:t>
        </w:r>
        <w:r>
          <w:rPr>
            <w:color w:val="0000FF"/>
            <w:spacing w:val="-6"/>
            <w:position w:val="1"/>
            <w:u w:val="single" w:color="0000FF"/>
          </w:rPr>
          <w:t> </w:t>
        </w:r>
        <w:r>
          <w:rPr>
            <w:color w:val="0000FF"/>
            <w:position w:val="1"/>
            <w:u w:val="single" w:color="0000FF"/>
          </w:rPr>
          <w:t>lemental Indenture, dated May</w:t>
        </w:r>
        <w:r>
          <w:rPr>
            <w:color w:val="0000FF"/>
            <w:spacing w:val="40"/>
            <w:position w:val="1"/>
            <w:u w:val="single" w:color="0000FF"/>
          </w:rPr>
          <w:t> </w:t>
        </w:r>
        <w:r>
          <w:rPr>
            <w:color w:val="0000FF"/>
            <w:position w:val="1"/>
            <w:u w:val="single" w:color="0000FF"/>
          </w:rPr>
          <w:t>4, 2020, among MGM Resorts International, the guarantors named therein and U.S. Bank</w:t>
        </w:r>
        <w:r>
          <w:rPr>
            <w:color w:val="0000FF"/>
            <w:position w:val="1"/>
          </w:rPr>
          <w:t> </w:t>
        </w:r>
        <w:r>
          <w:rPr>
            <w:color w:val="0000FF"/>
          </w:rPr>
          <w:t>National Association, as trustee, to the Indenture, dated as of March 22, 2012, among</w:t>
        </w:r>
        <w:r>
          <w:rPr>
            <w:color w:val="0000FF"/>
            <w:u w:val="single" w:color="0000FF"/>
          </w:rPr>
          <w:t> MGM Resorts International and U.S. Bank National</w:t>
        </w:r>
      </w:hyperlink>
      <w:r>
        <w:rPr>
          <w:color w:val="0000FF"/>
        </w:rPr>
        <w:t> </w:t>
      </w:r>
      <w:hyperlink r:id="rId22">
        <w:r>
          <w:rPr>
            <w:color w:val="0000FF"/>
            <w:u w:val="single" w:color="0000FF"/>
          </w:rPr>
          <w:t>Association, as trustee, relating to the 6.750% senior notes due 2025 (incorporated by</w:t>
        </w:r>
        <w:r>
          <w:rPr>
            <w:color w:val="0000FF"/>
            <w:spacing w:val="40"/>
            <w:u w:val="single" w:color="0000FF"/>
          </w:rPr>
          <w:t> </w:t>
        </w:r>
        <w:r>
          <w:rPr>
            <w:color w:val="0000FF"/>
            <w:u w:val="single" w:color="0000FF"/>
          </w:rPr>
          <w:t>reference to Exhibit 4.1 of the Company</w:t>
        </w:r>
        <w:r>
          <w:rPr>
            <w:color w:val="0000FF"/>
            <w:spacing w:val="-12"/>
            <w:u w:val="single" w:color="0000FF"/>
          </w:rPr>
          <w:t> </w:t>
        </w:r>
        <w:r>
          <w:rPr>
            <w:color w:val="0000FF"/>
            <w:u w:val="single" w:color="0000FF"/>
          </w:rPr>
          <w:t>’s Current</w:t>
        </w:r>
      </w:hyperlink>
      <w:r>
        <w:rPr>
          <w:color w:val="0000FF"/>
        </w:rPr>
        <w:t> </w:t>
      </w:r>
      <w:hyperlink r:id="rId22">
        <w:r>
          <w:rPr>
            <w:color w:val="0000FF"/>
            <w:u w:val="single" w:color="0000FF"/>
          </w:rPr>
          <w:t>Report on Form 8-K filed on May</w:t>
        </w:r>
        <w:r>
          <w:rPr>
            <w:color w:val="0000FF"/>
            <w:spacing w:val="40"/>
            <w:u w:val="single" w:color="0000FF"/>
          </w:rPr>
          <w:t> </w:t>
        </w:r>
        <w:r>
          <w:rPr>
            <w:color w:val="0000FF"/>
            <w:u w:val="single" w:color="0000FF"/>
          </w:rPr>
          <w:t>4, 2020).</w:t>
        </w:r>
      </w:hyperlink>
    </w:p>
    <w:p>
      <w:pPr>
        <w:pStyle w:val="BodyText"/>
        <w:tabs>
          <w:tab w:pos="1430" w:val="left" w:leader="none"/>
        </w:tabs>
        <w:spacing w:line="204" w:lineRule="auto" w:before="56"/>
        <w:ind w:left="1430" w:right="135" w:hanging="1268"/>
        <w:jc w:val="both"/>
      </w:pPr>
      <w:r>
        <w:rPr/>
        <mc:AlternateContent>
          <mc:Choice Requires="wps">
            <w:drawing>
              <wp:anchor distT="0" distB="0" distL="0" distR="0" allowOverlap="1" layoutInCell="1" locked="0" behindDoc="1" simplePos="0" relativeHeight="477778944">
                <wp:simplePos x="0" y="0"/>
                <wp:positionH relativeFrom="page">
                  <wp:posOffset>1047851</wp:posOffset>
                </wp:positionH>
                <wp:positionV relativeFrom="paragraph">
                  <wp:posOffset>244385</wp:posOffset>
                </wp:positionV>
                <wp:extent cx="3943985" cy="8890"/>
                <wp:effectExtent l="0" t="0" r="0" b="0"/>
                <wp:wrapNone/>
                <wp:docPr id="725" name="Graphic 725"/>
                <wp:cNvGraphicFramePr>
                  <a:graphicFrameLocks/>
                </wp:cNvGraphicFramePr>
                <a:graphic>
                  <a:graphicData uri="http://schemas.microsoft.com/office/word/2010/wordprocessingShape">
                    <wps:wsp>
                      <wps:cNvPr id="725" name="Graphic 725"/>
                      <wps:cNvSpPr/>
                      <wps:spPr>
                        <a:xfrm>
                          <a:off x="0" y="0"/>
                          <a:ext cx="3943985" cy="8890"/>
                        </a:xfrm>
                        <a:custGeom>
                          <a:avLst/>
                          <a:gdLst/>
                          <a:ahLst/>
                          <a:cxnLst/>
                          <a:rect l="l" t="t" r="r" b="b"/>
                          <a:pathLst>
                            <a:path w="3943985" h="8890">
                              <a:moveTo>
                                <a:pt x="960843" y="0"/>
                              </a:moveTo>
                              <a:lnTo>
                                <a:pt x="0" y="0"/>
                              </a:lnTo>
                              <a:lnTo>
                                <a:pt x="0" y="8572"/>
                              </a:lnTo>
                              <a:lnTo>
                                <a:pt x="960843" y="8572"/>
                              </a:lnTo>
                              <a:lnTo>
                                <a:pt x="960843" y="0"/>
                              </a:lnTo>
                              <a:close/>
                            </a:path>
                            <a:path w="3943985" h="8890">
                              <a:moveTo>
                                <a:pt x="1463560" y="0"/>
                              </a:moveTo>
                              <a:lnTo>
                                <a:pt x="992619" y="0"/>
                              </a:lnTo>
                              <a:lnTo>
                                <a:pt x="992619" y="8572"/>
                              </a:lnTo>
                              <a:lnTo>
                                <a:pt x="1463560" y="8572"/>
                              </a:lnTo>
                              <a:lnTo>
                                <a:pt x="1463560" y="0"/>
                              </a:lnTo>
                              <a:close/>
                            </a:path>
                            <a:path w="3943985" h="8890">
                              <a:moveTo>
                                <a:pt x="2270010" y="0"/>
                              </a:moveTo>
                              <a:lnTo>
                                <a:pt x="1495348" y="0"/>
                              </a:lnTo>
                              <a:lnTo>
                                <a:pt x="1495348" y="8572"/>
                              </a:lnTo>
                              <a:lnTo>
                                <a:pt x="2270010" y="8572"/>
                              </a:lnTo>
                              <a:lnTo>
                                <a:pt x="2270010" y="0"/>
                              </a:lnTo>
                              <a:close/>
                            </a:path>
                            <a:path w="3943985" h="8890">
                              <a:moveTo>
                                <a:pt x="3334855" y="0"/>
                              </a:moveTo>
                              <a:lnTo>
                                <a:pt x="2301798" y="0"/>
                              </a:lnTo>
                              <a:lnTo>
                                <a:pt x="2301798" y="8572"/>
                              </a:lnTo>
                              <a:lnTo>
                                <a:pt x="3334855" y="8572"/>
                              </a:lnTo>
                              <a:lnTo>
                                <a:pt x="3334855" y="0"/>
                              </a:lnTo>
                              <a:close/>
                            </a:path>
                            <a:path w="3943985" h="8890">
                              <a:moveTo>
                                <a:pt x="3629152" y="0"/>
                              </a:moveTo>
                              <a:lnTo>
                                <a:pt x="3366643" y="0"/>
                              </a:lnTo>
                              <a:lnTo>
                                <a:pt x="3366643" y="8572"/>
                              </a:lnTo>
                              <a:lnTo>
                                <a:pt x="3629152" y="8572"/>
                              </a:lnTo>
                              <a:lnTo>
                                <a:pt x="3629152" y="0"/>
                              </a:lnTo>
                              <a:close/>
                            </a:path>
                            <a:path w="3943985" h="8890">
                              <a:moveTo>
                                <a:pt x="3943820" y="0"/>
                              </a:moveTo>
                              <a:lnTo>
                                <a:pt x="3660940" y="0"/>
                              </a:lnTo>
                              <a:lnTo>
                                <a:pt x="3660940" y="8572"/>
                              </a:lnTo>
                              <a:lnTo>
                                <a:pt x="3943820" y="8572"/>
                              </a:lnTo>
                              <a:lnTo>
                                <a:pt x="394382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82.508003pt;margin-top:19.242916pt;width:310.55pt;height:.7pt;mso-position-horizontal-relative:page;mso-position-vertical-relative:paragraph;z-index:-25537536" id="docshape723" coordorigin="1650,385" coordsize="6211,14" path="m3163,385l1650,385,1650,398,3163,398,3163,385xm3955,385l3213,385,3213,398,3955,398,3955,385xm5225,385l4005,385,4005,398,5225,398,5225,385xm6902,385l5275,385,5275,398,6902,398,6902,385xm7365,385l6952,385,6952,398,7365,398,7365,385xm7861,385l7415,385,7415,398,7861,398,7861,385xe" filled="true" fillcolor="#0000ff" stroked="false">
                <v:path arrowok="t"/>
                <v:fill type="solid"/>
                <w10:wrap type="none"/>
              </v:shape>
            </w:pict>
          </mc:Fallback>
        </mc:AlternateContent>
      </w:r>
      <w:r>
        <w:rPr>
          <w:spacing w:val="-2"/>
        </w:rPr>
        <w:t>4.1(10)</w:t>
      </w:r>
      <w:r>
        <w:rPr/>
        <w:tab/>
      </w:r>
      <w:hyperlink r:id="rId23">
        <w:r>
          <w:rPr>
            <w:color w:val="0000FF"/>
            <w:position w:val="1"/>
            <w:u w:val="single" w:color="0000FF"/>
          </w:rPr>
          <w:t>Ninth Su</w:t>
        </w:r>
        <w:r>
          <w:rPr>
            <w:color w:val="0000FF"/>
            <w:position w:val="1"/>
          </w:rPr>
          <w:t>p</w:t>
        </w:r>
        <w:r>
          <w:rPr>
            <w:color w:val="0000FF"/>
            <w:spacing w:val="-6"/>
            <w:position w:val="1"/>
            <w:u w:val="single" w:color="0000FF"/>
          </w:rPr>
          <w:t> </w:t>
        </w:r>
        <w:r>
          <w:rPr>
            <w:color w:val="0000FF"/>
            <w:position w:val="1"/>
          </w:rPr>
          <w:t>p</w:t>
        </w:r>
        <w:r>
          <w:rPr>
            <w:color w:val="0000FF"/>
            <w:spacing w:val="-6"/>
            <w:position w:val="1"/>
            <w:u w:val="single" w:color="0000FF"/>
          </w:rPr>
          <w:t> </w:t>
        </w:r>
        <w:r>
          <w:rPr>
            <w:color w:val="0000FF"/>
            <w:position w:val="1"/>
            <w:u w:val="single" w:color="0000FF"/>
          </w:rPr>
          <w:t>lemental Indenture, dated October 13, 2020, among MGM Resorts International, the guarantors named therein and U.S. Bank</w:t>
        </w:r>
        <w:r>
          <w:rPr>
            <w:color w:val="0000FF"/>
            <w:position w:val="1"/>
          </w:rPr>
          <w:t> </w:t>
        </w:r>
        <w:r>
          <w:rPr>
            <w:color w:val="0000FF"/>
          </w:rPr>
          <w:t>National Association, as trustee, to the Indenture, dated as of March 22, 2012, among</w:t>
        </w:r>
        <w:r>
          <w:rPr>
            <w:color w:val="0000FF"/>
            <w:u w:val="single" w:color="0000FF"/>
          </w:rPr>
          <w:t> MGM Resorts International and U.S. Bank National</w:t>
        </w:r>
      </w:hyperlink>
      <w:r>
        <w:rPr>
          <w:color w:val="0000FF"/>
        </w:rPr>
        <w:t> </w:t>
      </w:r>
      <w:hyperlink r:id="rId23">
        <w:r>
          <w:rPr>
            <w:color w:val="0000FF"/>
            <w:u w:val="single" w:color="0000FF"/>
          </w:rPr>
          <w:t>Association, as trustee, relating to the 4.750% senior notes due 2028 (incorporated by</w:t>
        </w:r>
        <w:r>
          <w:rPr>
            <w:color w:val="0000FF"/>
            <w:spacing w:val="40"/>
            <w:u w:val="single" w:color="0000FF"/>
          </w:rPr>
          <w:t> </w:t>
        </w:r>
        <w:r>
          <w:rPr>
            <w:color w:val="0000FF"/>
            <w:u w:val="single" w:color="0000FF"/>
          </w:rPr>
          <w:t>reference to Exhibit 4.1 of the Company</w:t>
        </w:r>
        <w:r>
          <w:rPr>
            <w:color w:val="0000FF"/>
            <w:spacing w:val="-12"/>
            <w:u w:val="single" w:color="0000FF"/>
          </w:rPr>
          <w:t> </w:t>
        </w:r>
        <w:r>
          <w:rPr>
            <w:color w:val="0000FF"/>
            <w:u w:val="single" w:color="0000FF"/>
          </w:rPr>
          <w:t>’s Current</w:t>
        </w:r>
      </w:hyperlink>
      <w:r>
        <w:rPr>
          <w:color w:val="0000FF"/>
        </w:rPr>
        <w:t> </w:t>
      </w:r>
      <w:hyperlink r:id="rId23">
        <w:r>
          <w:rPr>
            <w:color w:val="0000FF"/>
            <w:u w:val="single" w:color="0000FF"/>
          </w:rPr>
          <w:t>Report on Form 8-K filed on October 13, 2020).</w:t>
        </w:r>
      </w:hyperlink>
    </w:p>
    <w:p>
      <w:pPr>
        <w:pStyle w:val="BodyText"/>
        <w:tabs>
          <w:tab w:pos="1430" w:val="left" w:leader="none"/>
        </w:tabs>
        <w:spacing w:line="204" w:lineRule="auto" w:before="56"/>
        <w:ind w:left="1430" w:right="135" w:hanging="1268"/>
        <w:jc w:val="both"/>
      </w:pPr>
      <w:r>
        <w:rPr>
          <w:spacing w:val="-2"/>
        </w:rPr>
        <w:t>4.1(11)</w:t>
      </w:r>
      <w:r>
        <w:rPr/>
        <w:tab/>
      </w:r>
      <w:hyperlink r:id="rId24">
        <w:r>
          <w:rPr>
            <w:color w:val="0000FF"/>
            <w:position w:val="1"/>
            <w:u w:val="single" w:color="0000FF"/>
          </w:rPr>
          <w:t>Indenture</w:t>
        </w:r>
        <w:r>
          <w:rPr>
            <w:color w:val="0000FF"/>
            <w:spacing w:val="-2"/>
            <w:position w:val="1"/>
            <w:u w:val="single" w:color="0000FF"/>
          </w:rPr>
          <w:t> </w:t>
        </w:r>
        <w:r>
          <w:rPr>
            <w:color w:val="0000FF"/>
            <w:position w:val="1"/>
            <w:u w:val="single" w:color="0000FF"/>
          </w:rPr>
          <w:t>governing the 5.375% senior notes due 2024, dated as of May</w:t>
        </w:r>
        <w:r>
          <w:rPr>
            <w:color w:val="0000FF"/>
            <w:spacing w:val="39"/>
            <w:position w:val="1"/>
            <w:u w:val="single" w:color="0000FF"/>
          </w:rPr>
          <w:t> </w:t>
        </w:r>
        <w:r>
          <w:rPr>
            <w:color w:val="0000FF"/>
            <w:position w:val="1"/>
            <w:u w:val="single" w:color="0000FF"/>
          </w:rPr>
          <w:t>16, 2019, between MGM China Holdings Limited and U.S. Bank</w:t>
        </w:r>
        <w:r>
          <w:rPr>
            <w:color w:val="0000FF"/>
            <w:position w:val="1"/>
          </w:rPr>
          <w:t> </w:t>
        </w:r>
        <w:r>
          <w:rPr>
            <w:color w:val="0000FF"/>
            <w:u w:val="single" w:color="0000FF"/>
          </w:rPr>
          <w:t>National</w:t>
        </w:r>
        <w:r>
          <w:rPr>
            <w:color w:val="0000FF"/>
            <w:spacing w:val="-9"/>
            <w:u w:val="single" w:color="0000FF"/>
          </w:rPr>
          <w:t> </w:t>
        </w:r>
        <w:r>
          <w:rPr>
            <w:color w:val="0000FF"/>
            <w:u w:val="single" w:color="0000FF"/>
          </w:rPr>
          <w:t>Association, as trustee (incorporated by</w:t>
        </w:r>
        <w:r>
          <w:rPr>
            <w:color w:val="0000FF"/>
            <w:spacing w:val="33"/>
            <w:u w:val="single" w:color="0000FF"/>
          </w:rPr>
          <w:t> </w:t>
        </w:r>
        <w:r>
          <w:rPr>
            <w:color w:val="0000FF"/>
            <w:u w:val="single" w:color="0000FF"/>
          </w:rPr>
          <w:t>reference to Exhibit 4.1 of the Company</w:t>
        </w:r>
        <w:r>
          <w:rPr>
            <w:color w:val="0000FF"/>
            <w:spacing w:val="-12"/>
            <w:u w:val="single" w:color="0000FF"/>
          </w:rPr>
          <w:t> </w:t>
        </w:r>
        <w:r>
          <w:rPr>
            <w:color w:val="0000FF"/>
            <w:u w:val="single" w:color="0000FF"/>
          </w:rPr>
          <w:t>’s Current Report on Form 8-K filed on May</w:t>
        </w:r>
        <w:r>
          <w:rPr>
            <w:color w:val="0000FF"/>
            <w:spacing w:val="33"/>
            <w:u w:val="single" w:color="0000FF"/>
          </w:rPr>
          <w:t> </w:t>
        </w:r>
        <w:r>
          <w:rPr>
            <w:color w:val="0000FF"/>
            <w:u w:val="single" w:color="0000FF"/>
          </w:rPr>
          <w:t>16</w:t>
        </w:r>
        <w:r>
          <w:rPr>
            <w:color w:val="0000FF"/>
          </w:rPr>
          <w:t>,</w:t>
        </w:r>
      </w:hyperlink>
      <w:r>
        <w:rPr>
          <w:color w:val="0000FF"/>
        </w:rPr>
        <w:t> </w:t>
      </w:r>
      <w:hyperlink r:id="rId24">
        <w:r>
          <w:rPr>
            <w:color w:val="0000FF"/>
            <w:spacing w:val="-2"/>
            <w:u w:val="single" w:color="0000FF"/>
          </w:rPr>
          <w:t>2019).</w:t>
        </w:r>
      </w:hyperlink>
    </w:p>
    <w:p>
      <w:pPr>
        <w:pStyle w:val="BodyText"/>
        <w:tabs>
          <w:tab w:pos="1430" w:val="left" w:leader="none"/>
        </w:tabs>
        <w:spacing w:line="204" w:lineRule="auto" w:before="56"/>
        <w:ind w:left="1430" w:right="135" w:hanging="1268"/>
        <w:jc w:val="both"/>
      </w:pPr>
      <w:r>
        <w:rPr>
          <w:spacing w:val="-2"/>
        </w:rPr>
        <w:t>4.1(12)</w:t>
      </w:r>
      <w:r>
        <w:rPr/>
        <w:tab/>
      </w:r>
      <w:hyperlink r:id="rId25">
        <w:r>
          <w:rPr>
            <w:color w:val="0000FF"/>
            <w:position w:val="1"/>
            <w:u w:val="single" w:color="0000FF"/>
          </w:rPr>
          <w:t>Indenture</w:t>
        </w:r>
        <w:r>
          <w:rPr>
            <w:color w:val="0000FF"/>
            <w:spacing w:val="-2"/>
            <w:position w:val="1"/>
            <w:u w:val="single" w:color="0000FF"/>
          </w:rPr>
          <w:t> </w:t>
        </w:r>
        <w:r>
          <w:rPr>
            <w:color w:val="0000FF"/>
            <w:position w:val="1"/>
            <w:u w:val="single" w:color="0000FF"/>
          </w:rPr>
          <w:t>governing the 5.875% senior notes due 2026, dated as of May</w:t>
        </w:r>
        <w:r>
          <w:rPr>
            <w:color w:val="0000FF"/>
            <w:spacing w:val="39"/>
            <w:position w:val="1"/>
            <w:u w:val="single" w:color="0000FF"/>
          </w:rPr>
          <w:t> </w:t>
        </w:r>
        <w:r>
          <w:rPr>
            <w:color w:val="0000FF"/>
            <w:position w:val="1"/>
            <w:u w:val="single" w:color="0000FF"/>
          </w:rPr>
          <w:t>16, 2019, between MGM China Holdings Limited and U.S. Bank</w:t>
        </w:r>
        <w:r>
          <w:rPr>
            <w:color w:val="0000FF"/>
            <w:position w:val="1"/>
          </w:rPr>
          <w:t> </w:t>
        </w:r>
        <w:r>
          <w:rPr>
            <w:color w:val="0000FF"/>
            <w:u w:val="single" w:color="0000FF"/>
          </w:rPr>
          <w:t>National</w:t>
        </w:r>
        <w:r>
          <w:rPr>
            <w:color w:val="0000FF"/>
            <w:spacing w:val="-9"/>
            <w:u w:val="single" w:color="0000FF"/>
          </w:rPr>
          <w:t> </w:t>
        </w:r>
        <w:r>
          <w:rPr>
            <w:color w:val="0000FF"/>
            <w:u w:val="single" w:color="0000FF"/>
          </w:rPr>
          <w:t>Association, as trustee (incorporated by</w:t>
        </w:r>
        <w:r>
          <w:rPr>
            <w:color w:val="0000FF"/>
            <w:spacing w:val="33"/>
            <w:u w:val="single" w:color="0000FF"/>
          </w:rPr>
          <w:t> </w:t>
        </w:r>
        <w:r>
          <w:rPr>
            <w:color w:val="0000FF"/>
            <w:u w:val="single" w:color="0000FF"/>
          </w:rPr>
          <w:t>reference to Exhibit 4.2 of the Company</w:t>
        </w:r>
        <w:r>
          <w:rPr>
            <w:color w:val="0000FF"/>
            <w:spacing w:val="-12"/>
            <w:u w:val="single" w:color="0000FF"/>
          </w:rPr>
          <w:t> </w:t>
        </w:r>
        <w:r>
          <w:rPr>
            <w:color w:val="0000FF"/>
            <w:u w:val="single" w:color="0000FF"/>
          </w:rPr>
          <w:t>’s Current Report on Form 8-K filed on May</w:t>
        </w:r>
        <w:r>
          <w:rPr>
            <w:color w:val="0000FF"/>
            <w:spacing w:val="33"/>
            <w:u w:val="single" w:color="0000FF"/>
          </w:rPr>
          <w:t> </w:t>
        </w:r>
        <w:r>
          <w:rPr>
            <w:color w:val="0000FF"/>
            <w:u w:val="single" w:color="0000FF"/>
          </w:rPr>
          <w:t>16</w:t>
        </w:r>
        <w:r>
          <w:rPr>
            <w:color w:val="0000FF"/>
          </w:rPr>
          <w:t>,</w:t>
        </w:r>
      </w:hyperlink>
      <w:r>
        <w:rPr>
          <w:color w:val="0000FF"/>
        </w:rPr>
        <w:t> </w:t>
      </w:r>
      <w:hyperlink r:id="rId25">
        <w:r>
          <w:rPr>
            <w:color w:val="0000FF"/>
            <w:spacing w:val="-2"/>
            <w:u w:val="single" w:color="0000FF"/>
          </w:rPr>
          <w:t>2019).</w:t>
        </w:r>
      </w:hyperlink>
    </w:p>
    <w:p>
      <w:pPr>
        <w:pStyle w:val="BodyText"/>
        <w:tabs>
          <w:tab w:pos="1430" w:val="left" w:leader="none"/>
        </w:tabs>
        <w:spacing w:line="204" w:lineRule="auto" w:before="56"/>
        <w:ind w:left="1430" w:right="135" w:hanging="1268"/>
        <w:jc w:val="both"/>
      </w:pPr>
      <w:r>
        <w:rPr>
          <w:spacing w:val="-2"/>
        </w:rPr>
        <w:t>4.1(13)</w:t>
      </w:r>
      <w:r>
        <w:rPr/>
        <w:tab/>
      </w:r>
      <w:hyperlink r:id="rId26">
        <w:r>
          <w:rPr>
            <w:color w:val="0000FF"/>
            <w:position w:val="1"/>
            <w:u w:val="single" w:color="0000FF"/>
          </w:rPr>
          <w:t>Indenture</w:t>
        </w:r>
        <w:r>
          <w:rPr>
            <w:color w:val="0000FF"/>
            <w:spacing w:val="-2"/>
            <w:position w:val="1"/>
            <w:u w:val="single" w:color="0000FF"/>
          </w:rPr>
          <w:t> </w:t>
        </w:r>
        <w:r>
          <w:rPr>
            <w:color w:val="0000FF"/>
            <w:position w:val="1"/>
            <w:u w:val="single" w:color="0000FF"/>
          </w:rPr>
          <w:t>governing the 5.25% senior notes due 2025, dated as of June 18. 2020, between MGM China Holdings Limited and Wilmington</w:t>
        </w:r>
        <w:r>
          <w:rPr>
            <w:color w:val="0000FF"/>
            <w:position w:val="1"/>
          </w:rPr>
          <w:t> </w:t>
        </w:r>
        <w:r>
          <w:rPr>
            <w:color w:val="0000FF"/>
            <w:u w:val="single" w:color="0000FF"/>
          </w:rPr>
          <w:t>Savings</w:t>
        </w:r>
        <w:r>
          <w:rPr>
            <w:color w:val="0000FF"/>
            <w:spacing w:val="-12"/>
            <w:u w:val="single" w:color="0000FF"/>
          </w:rPr>
          <w:t> </w:t>
        </w:r>
        <w:r>
          <w:rPr>
            <w:color w:val="0000FF"/>
            <w:u w:val="single" w:color="0000FF"/>
          </w:rPr>
          <w:t>Fund</w:t>
        </w:r>
        <w:r>
          <w:rPr>
            <w:color w:val="0000FF"/>
            <w:spacing w:val="-11"/>
            <w:u w:val="single" w:color="0000FF"/>
          </w:rPr>
          <w:t> </w:t>
        </w:r>
        <w:r>
          <w:rPr>
            <w:color w:val="0000FF"/>
            <w:u w:val="single" w:color="0000FF"/>
          </w:rPr>
          <w:t>Socie</w:t>
        </w:r>
        <w:r>
          <w:rPr>
            <w:color w:val="0000FF"/>
          </w:rPr>
          <w:t>ty</w:t>
        </w:r>
        <w:r>
          <w:rPr>
            <w:color w:val="0000FF"/>
            <w:spacing w:val="-11"/>
            <w:u w:val="single" w:color="0000FF"/>
          </w:rPr>
          <w:t> </w:t>
        </w:r>
        <w:r>
          <w:rPr>
            <w:color w:val="0000FF"/>
          </w:rPr>
          <w:t>,</w:t>
        </w:r>
        <w:r>
          <w:rPr>
            <w:color w:val="0000FF"/>
            <w:spacing w:val="-5"/>
            <w:u w:val="single" w:color="0000FF"/>
          </w:rPr>
          <w:t> </w:t>
        </w:r>
        <w:r>
          <w:rPr>
            <w:color w:val="0000FF"/>
            <w:u w:val="single" w:color="0000FF"/>
          </w:rPr>
          <w:t>FSB,</w:t>
        </w:r>
        <w:r>
          <w:rPr>
            <w:color w:val="0000FF"/>
            <w:spacing w:val="-1"/>
            <w:u w:val="single" w:color="0000FF"/>
          </w:rPr>
          <w:t> </w:t>
        </w:r>
        <w:r>
          <w:rPr>
            <w:color w:val="0000FF"/>
            <w:u w:val="single" w:color="0000FF"/>
          </w:rPr>
          <w:t>as</w:t>
        </w:r>
        <w:r>
          <w:rPr>
            <w:color w:val="0000FF"/>
            <w:spacing w:val="-1"/>
            <w:u w:val="single" w:color="0000FF"/>
          </w:rPr>
          <w:t> </w:t>
        </w:r>
        <w:r>
          <w:rPr>
            <w:color w:val="0000FF"/>
            <w:u w:val="single" w:color="0000FF"/>
          </w:rPr>
          <w:t>trustee</w:t>
        </w:r>
        <w:r>
          <w:rPr>
            <w:color w:val="0000FF"/>
            <w:spacing w:val="-1"/>
            <w:u w:val="single" w:color="0000FF"/>
          </w:rPr>
          <w:t> </w:t>
        </w:r>
        <w:r>
          <w:rPr>
            <w:color w:val="0000FF"/>
            <w:u w:val="single" w:color="0000FF"/>
          </w:rPr>
          <w:t>(incorporated</w:t>
        </w:r>
        <w:r>
          <w:rPr>
            <w:color w:val="0000FF"/>
            <w:spacing w:val="-1"/>
            <w:u w:val="single" w:color="0000FF"/>
          </w:rPr>
          <w:t> </w:t>
        </w:r>
        <w:r>
          <w:rPr>
            <w:color w:val="0000FF"/>
            <w:u w:val="single" w:color="0000FF"/>
          </w:rPr>
          <w:t>by</w:t>
        </w:r>
        <w:r>
          <w:rPr>
            <w:color w:val="0000FF"/>
            <w:spacing w:val="26"/>
            <w:u w:val="single" w:color="0000FF"/>
          </w:rPr>
          <w:t> </w:t>
        </w:r>
        <w:r>
          <w:rPr>
            <w:color w:val="0000FF"/>
            <w:u w:val="single" w:color="0000FF"/>
          </w:rPr>
          <w:t>reference</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Exhibit</w:t>
        </w:r>
        <w:r>
          <w:rPr>
            <w:color w:val="0000FF"/>
            <w:spacing w:val="-1"/>
            <w:u w:val="single" w:color="0000FF"/>
          </w:rPr>
          <w:t> </w:t>
        </w:r>
        <w:r>
          <w:rPr>
            <w:color w:val="0000FF"/>
            <w:u w:val="single" w:color="0000FF"/>
          </w:rPr>
          <w:t>4.1</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the</w:t>
        </w:r>
        <w:r>
          <w:rPr>
            <w:color w:val="0000FF"/>
            <w:spacing w:val="-1"/>
            <w:u w:val="single" w:color="0000FF"/>
          </w:rPr>
          <w:t> </w:t>
        </w:r>
        <w:r>
          <w:rPr>
            <w:color w:val="0000FF"/>
            <w:u w:val="single" w:color="0000FF"/>
          </w:rPr>
          <w:t>Company</w:t>
        </w:r>
        <w:r>
          <w:rPr>
            <w:color w:val="0000FF"/>
            <w:spacing w:val="-12"/>
            <w:u w:val="single" w:color="0000FF"/>
          </w:rPr>
          <w:t> </w:t>
        </w:r>
        <w:r>
          <w:rPr>
            <w:color w:val="0000FF"/>
            <w:u w:val="single" w:color="0000FF"/>
          </w:rPr>
          <w:t>'s</w:t>
        </w:r>
        <w:r>
          <w:rPr>
            <w:color w:val="0000FF"/>
            <w:spacing w:val="-1"/>
            <w:u w:val="single" w:color="0000FF"/>
          </w:rPr>
          <w:t> </w:t>
        </w:r>
        <w:r>
          <w:rPr>
            <w:color w:val="0000FF"/>
            <w:u w:val="single" w:color="0000FF"/>
          </w:rPr>
          <w:t>Current</w:t>
        </w:r>
        <w:r>
          <w:rPr>
            <w:color w:val="0000FF"/>
            <w:spacing w:val="-1"/>
            <w:u w:val="single" w:color="0000FF"/>
          </w:rPr>
          <w:t> </w:t>
        </w:r>
        <w:r>
          <w:rPr>
            <w:color w:val="0000FF"/>
            <w:u w:val="single" w:color="0000FF"/>
          </w:rPr>
          <w:t>Report</w:t>
        </w:r>
        <w:r>
          <w:rPr>
            <w:color w:val="0000FF"/>
            <w:spacing w:val="-1"/>
            <w:u w:val="single" w:color="0000FF"/>
          </w:rPr>
          <w:t> </w:t>
        </w:r>
        <w:r>
          <w:rPr>
            <w:color w:val="0000FF"/>
            <w:u w:val="single" w:color="0000FF"/>
          </w:rPr>
          <w:t>on</w:t>
        </w:r>
        <w:r>
          <w:rPr>
            <w:color w:val="0000FF"/>
            <w:spacing w:val="-1"/>
            <w:u w:val="single" w:color="0000FF"/>
          </w:rPr>
          <w:t> </w:t>
        </w:r>
        <w:r>
          <w:rPr>
            <w:color w:val="0000FF"/>
            <w:u w:val="single" w:color="0000FF"/>
          </w:rPr>
          <w:t>Form</w:t>
        </w:r>
        <w:r>
          <w:rPr>
            <w:color w:val="0000FF"/>
            <w:spacing w:val="-1"/>
            <w:u w:val="single" w:color="0000FF"/>
          </w:rPr>
          <w:t> </w:t>
        </w:r>
        <w:r>
          <w:rPr>
            <w:color w:val="0000FF"/>
            <w:u w:val="single" w:color="0000FF"/>
          </w:rPr>
          <w:t>8-K</w:t>
        </w:r>
        <w:r>
          <w:rPr>
            <w:color w:val="0000FF"/>
            <w:spacing w:val="-1"/>
            <w:u w:val="single" w:color="0000FF"/>
          </w:rPr>
          <w:t> </w:t>
        </w:r>
        <w:r>
          <w:rPr>
            <w:color w:val="0000FF"/>
            <w:u w:val="single" w:color="0000FF"/>
          </w:rPr>
          <w:t>filed</w:t>
        </w:r>
        <w:r>
          <w:rPr>
            <w:color w:val="0000FF"/>
            <w:spacing w:val="-1"/>
            <w:u w:val="single" w:color="0000FF"/>
          </w:rPr>
          <w:t> </w:t>
        </w:r>
        <w:r>
          <w:rPr>
            <w:color w:val="0000FF"/>
            <w:u w:val="single" w:color="0000FF"/>
          </w:rPr>
          <w:t>on</w:t>
        </w:r>
        <w:r>
          <w:rPr>
            <w:color w:val="0000FF"/>
            <w:spacing w:val="-1"/>
            <w:u w:val="single" w:color="0000FF"/>
          </w:rPr>
          <w:t> </w:t>
        </w:r>
        <w:r>
          <w:rPr>
            <w:color w:val="0000FF"/>
            <w:u w:val="single" w:color="0000FF"/>
          </w:rPr>
          <w:t>June</w:t>
        </w:r>
      </w:hyperlink>
      <w:r>
        <w:rPr>
          <w:color w:val="0000FF"/>
        </w:rPr>
        <w:t> </w:t>
      </w:r>
      <w:hyperlink r:id="rId26">
        <w:r>
          <w:rPr>
            <w:color w:val="0000FF"/>
            <w:u w:val="single" w:color="0000FF"/>
          </w:rPr>
          <w:t>22, 2020).</w:t>
        </w:r>
      </w:hyperlink>
    </w:p>
    <w:p>
      <w:pPr>
        <w:pStyle w:val="BodyText"/>
        <w:tabs>
          <w:tab w:pos="1430" w:val="left" w:leader="none"/>
        </w:tabs>
        <w:spacing w:line="204" w:lineRule="auto" w:before="57"/>
        <w:ind w:left="1430" w:right="135" w:hanging="1268"/>
        <w:jc w:val="both"/>
      </w:pPr>
      <w:r>
        <w:rPr>
          <w:spacing w:val="-2"/>
        </w:rPr>
        <w:t>4.1(14)</w:t>
      </w:r>
      <w:r>
        <w:rPr/>
        <w:tab/>
      </w:r>
      <w:hyperlink r:id="rId27">
        <w:r>
          <w:rPr>
            <w:color w:val="0000FF"/>
            <w:position w:val="1"/>
            <w:u w:val="single" w:color="0000FF"/>
          </w:rPr>
          <w:t>Indenture</w:t>
        </w:r>
        <w:r>
          <w:rPr>
            <w:color w:val="0000FF"/>
            <w:position w:val="1"/>
          </w:rPr>
          <w:t> g</w:t>
        </w:r>
        <w:r>
          <w:rPr>
            <w:color w:val="0000FF"/>
            <w:position w:val="1"/>
            <w:u w:val="single" w:color="0000FF"/>
          </w:rPr>
          <w:t>overning</w:t>
        </w:r>
        <w:r>
          <w:rPr>
            <w:color w:val="0000FF"/>
            <w:spacing w:val="-7"/>
            <w:position w:val="1"/>
            <w:u w:val="single" w:color="0000FF"/>
          </w:rPr>
          <w:t> </w:t>
        </w:r>
        <w:r>
          <w:rPr>
            <w:color w:val="0000FF"/>
            <w:position w:val="1"/>
            <w:u w:val="single" w:color="0000FF"/>
          </w:rPr>
          <w:t>the 4.75% senior notes due 2027, dated as of March 31, 2021, between MGM China Holdings Limited and </w:t>
        </w:r>
        <w:r>
          <w:rPr>
            <w:color w:val="0000FF"/>
            <w:position w:val="1"/>
            <w:u w:val="single" w:color="0000FF"/>
          </w:rPr>
          <w:t>Wilmington</w:t>
        </w:r>
        <w:r>
          <w:rPr>
            <w:color w:val="0000FF"/>
            <w:position w:val="1"/>
          </w:rPr>
          <w:t> </w:t>
        </w:r>
        <w:r>
          <w:rPr>
            <w:color w:val="0000FF"/>
            <w:u w:val="single" w:color="0000FF"/>
          </w:rPr>
          <w:t>Savings</w:t>
        </w:r>
        <w:r>
          <w:rPr>
            <w:color w:val="0000FF"/>
            <w:spacing w:val="-7"/>
            <w:u w:val="single" w:color="0000FF"/>
          </w:rPr>
          <w:t> </w:t>
        </w:r>
        <w:r>
          <w:rPr>
            <w:color w:val="0000FF"/>
            <w:u w:val="single" w:color="0000FF"/>
          </w:rPr>
          <w:t>Fund Socie</w:t>
        </w:r>
        <w:r>
          <w:rPr>
            <w:color w:val="0000FF"/>
          </w:rPr>
          <w:t>ty</w:t>
        </w:r>
        <w:r>
          <w:rPr>
            <w:color w:val="0000FF"/>
            <w:spacing w:val="-12"/>
            <w:u w:val="single" w:color="0000FF"/>
          </w:rPr>
          <w:t> </w:t>
        </w:r>
        <w:r>
          <w:rPr>
            <w:color w:val="0000FF"/>
          </w:rPr>
          <w:t>,</w:t>
        </w:r>
        <w:r>
          <w:rPr>
            <w:color w:val="0000FF"/>
            <w:u w:val="single" w:color="0000FF"/>
          </w:rPr>
          <w:t> FSB, as trustee (incorporated by</w:t>
        </w:r>
        <w:r>
          <w:rPr>
            <w:color w:val="0000FF"/>
            <w:spacing w:val="40"/>
            <w:u w:val="single" w:color="0000FF"/>
          </w:rPr>
          <w:t> </w:t>
        </w:r>
        <w:r>
          <w:rPr>
            <w:color w:val="0000FF"/>
            <w:u w:val="single" w:color="0000FF"/>
          </w:rPr>
          <w:t>reference to Exhibit 4.1 of the Company</w:t>
        </w:r>
        <w:r>
          <w:rPr>
            <w:color w:val="0000FF"/>
            <w:spacing w:val="-12"/>
            <w:u w:val="single" w:color="0000FF"/>
          </w:rPr>
          <w:t> </w:t>
        </w:r>
        <w:r>
          <w:rPr>
            <w:color w:val="0000FF"/>
            <w:u w:val="single" w:color="0000FF"/>
          </w:rPr>
          <w:t>'s Current Report on Form 8-K filed on</w:t>
        </w:r>
      </w:hyperlink>
      <w:r>
        <w:rPr>
          <w:color w:val="0000FF"/>
        </w:rPr>
        <w:t> </w:t>
      </w:r>
      <w:hyperlink r:id="rId27">
        <w:r>
          <w:rPr>
            <w:color w:val="0000FF"/>
            <w:u w:val="single" w:color="0000FF"/>
          </w:rPr>
          <w:t>March 31, 2021).</w:t>
        </w:r>
      </w:hyperlink>
    </w:p>
    <w:p>
      <w:pPr>
        <w:pStyle w:val="ListParagraph"/>
        <w:numPr>
          <w:ilvl w:val="1"/>
          <w:numId w:val="19"/>
        </w:numPr>
        <w:tabs>
          <w:tab w:pos="1430" w:val="left" w:leader="none"/>
        </w:tabs>
        <w:spacing w:line="204" w:lineRule="auto" w:before="56" w:after="0"/>
        <w:ind w:left="1430" w:right="136" w:hanging="1268"/>
        <w:jc w:val="both"/>
        <w:rPr>
          <w:sz w:val="18"/>
        </w:rPr>
      </w:pPr>
      <w:hyperlink r:id="rId28">
        <w:r>
          <w:rPr>
            <w:color w:val="0000FF"/>
            <w:position w:val="1"/>
            <w:sz w:val="18"/>
            <w:u w:val="single" w:color="0000FF"/>
          </w:rPr>
          <w:t>Guarantee</w:t>
        </w:r>
        <w:r>
          <w:rPr>
            <w:color w:val="0000FF"/>
            <w:spacing w:val="-12"/>
            <w:position w:val="1"/>
            <w:sz w:val="18"/>
            <w:u w:val="single" w:color="0000FF"/>
          </w:rPr>
          <w:t> </w:t>
        </w:r>
        <w:r>
          <w:rPr>
            <w:color w:val="0000FF"/>
            <w:position w:val="1"/>
            <w:sz w:val="18"/>
            <w:u w:val="single" w:color="0000FF"/>
          </w:rPr>
          <w:t>(Mandalay</w:t>
        </w:r>
        <w:r>
          <w:rPr>
            <w:color w:val="0000FF"/>
            <w:spacing w:val="3"/>
            <w:position w:val="1"/>
            <w:sz w:val="18"/>
            <w:u w:val="single" w:color="0000FF"/>
          </w:rPr>
          <w:t> </w:t>
        </w:r>
        <w:r>
          <w:rPr>
            <w:color w:val="0000FF"/>
            <w:position w:val="1"/>
            <w:sz w:val="18"/>
            <w:u w:val="single" w:color="0000FF"/>
          </w:rPr>
          <w:t>Resort</w:t>
        </w:r>
        <w:r>
          <w:rPr>
            <w:color w:val="0000FF"/>
            <w:spacing w:val="-5"/>
            <w:position w:val="1"/>
            <w:sz w:val="18"/>
            <w:u w:val="single" w:color="0000FF"/>
          </w:rPr>
          <w:t> </w:t>
        </w:r>
        <w:r>
          <w:rPr>
            <w:color w:val="0000FF"/>
            <w:position w:val="1"/>
            <w:sz w:val="18"/>
            <w:u w:val="single" w:color="0000FF"/>
          </w:rPr>
          <w:t>Group</w:t>
        </w:r>
        <w:r>
          <w:rPr>
            <w:color w:val="0000FF"/>
            <w:spacing w:val="-5"/>
            <w:position w:val="1"/>
            <w:sz w:val="18"/>
            <w:u w:val="single" w:color="0000FF"/>
          </w:rPr>
          <w:t> </w:t>
        </w:r>
        <w:r>
          <w:rPr>
            <w:color w:val="0000FF"/>
            <w:position w:val="1"/>
            <w:sz w:val="18"/>
            <w:u w:val="single" w:color="0000FF"/>
          </w:rPr>
          <w:t>7.0%</w:t>
        </w:r>
        <w:r>
          <w:rPr>
            <w:color w:val="0000FF"/>
            <w:spacing w:val="-5"/>
            <w:position w:val="1"/>
            <w:sz w:val="18"/>
            <w:u w:val="single" w:color="0000FF"/>
          </w:rPr>
          <w:t> </w:t>
        </w:r>
        <w:r>
          <w:rPr>
            <w:color w:val="0000FF"/>
            <w:position w:val="1"/>
            <w:sz w:val="18"/>
            <w:u w:val="single" w:color="0000FF"/>
          </w:rPr>
          <w:t>Senior</w:t>
        </w:r>
        <w:r>
          <w:rPr>
            <w:color w:val="0000FF"/>
            <w:spacing w:val="-5"/>
            <w:position w:val="1"/>
            <w:sz w:val="18"/>
            <w:u w:val="single" w:color="0000FF"/>
          </w:rPr>
          <w:t> </w:t>
        </w:r>
        <w:r>
          <w:rPr>
            <w:color w:val="0000FF"/>
            <w:position w:val="1"/>
            <w:sz w:val="18"/>
            <w:u w:val="single" w:color="0000FF"/>
          </w:rPr>
          <w:t>Notes</w:t>
        </w:r>
        <w:r>
          <w:rPr>
            <w:color w:val="0000FF"/>
            <w:spacing w:val="-5"/>
            <w:position w:val="1"/>
            <w:sz w:val="18"/>
            <w:u w:val="single" w:color="0000FF"/>
          </w:rPr>
          <w:t> </w:t>
        </w:r>
        <w:r>
          <w:rPr>
            <w:color w:val="0000FF"/>
            <w:position w:val="1"/>
            <w:sz w:val="18"/>
            <w:u w:val="single" w:color="0000FF"/>
          </w:rPr>
          <w:t>due</w:t>
        </w:r>
        <w:r>
          <w:rPr>
            <w:color w:val="0000FF"/>
            <w:spacing w:val="-5"/>
            <w:position w:val="1"/>
            <w:sz w:val="18"/>
            <w:u w:val="single" w:color="0000FF"/>
          </w:rPr>
          <w:t> </w:t>
        </w:r>
        <w:r>
          <w:rPr>
            <w:color w:val="0000FF"/>
            <w:position w:val="1"/>
            <w:sz w:val="18"/>
            <w:u w:val="single" w:color="0000FF"/>
          </w:rPr>
          <w:t>2036</w:t>
        </w:r>
        <w:r>
          <w:rPr>
            <w:color w:val="0000FF"/>
            <w:position w:val="1"/>
            <w:sz w:val="18"/>
          </w:rPr>
          <w:t>)</w:t>
        </w:r>
        <w:r>
          <w:rPr>
            <w:color w:val="0000FF"/>
            <w:spacing w:val="-12"/>
            <w:position w:val="1"/>
            <w:sz w:val="18"/>
            <w:u w:val="single" w:color="0000FF"/>
          </w:rPr>
          <w:t> </w:t>
        </w:r>
        <w:r>
          <w:rPr>
            <w:color w:val="0000FF"/>
            <w:position w:val="1"/>
            <w:sz w:val="18"/>
          </w:rPr>
          <w:t>,</w:t>
        </w:r>
        <w:r>
          <w:rPr>
            <w:color w:val="0000FF"/>
            <w:spacing w:val="-5"/>
            <w:position w:val="1"/>
            <w:sz w:val="18"/>
            <w:u w:val="single" w:color="0000FF"/>
          </w:rPr>
          <w:t> </w:t>
        </w:r>
        <w:r>
          <w:rPr>
            <w:color w:val="0000FF"/>
            <w:position w:val="1"/>
            <w:sz w:val="18"/>
            <w:u w:val="single" w:color="0000FF"/>
          </w:rPr>
          <w:t>dated</w:t>
        </w:r>
        <w:r>
          <w:rPr>
            <w:color w:val="0000FF"/>
            <w:spacing w:val="-5"/>
            <w:position w:val="1"/>
            <w:sz w:val="18"/>
            <w:u w:val="single" w:color="0000FF"/>
          </w:rPr>
          <w:t> </w:t>
        </w:r>
        <w:r>
          <w:rPr>
            <w:color w:val="0000FF"/>
            <w:position w:val="1"/>
            <w:sz w:val="18"/>
            <w:u w:val="single" w:color="0000FF"/>
          </w:rPr>
          <w:t>as</w:t>
        </w:r>
        <w:r>
          <w:rPr>
            <w:color w:val="0000FF"/>
            <w:spacing w:val="-5"/>
            <w:position w:val="1"/>
            <w:sz w:val="18"/>
            <w:u w:val="single" w:color="0000FF"/>
          </w:rPr>
          <w:t> </w:t>
        </w:r>
        <w:r>
          <w:rPr>
            <w:color w:val="0000FF"/>
            <w:position w:val="1"/>
            <w:sz w:val="18"/>
            <w:u w:val="single" w:color="0000FF"/>
          </w:rPr>
          <w:t>of</w:t>
        </w:r>
        <w:r>
          <w:rPr>
            <w:color w:val="0000FF"/>
            <w:spacing w:val="-12"/>
            <w:position w:val="1"/>
            <w:sz w:val="18"/>
            <w:u w:val="single" w:color="0000FF"/>
          </w:rPr>
          <w:t> </w:t>
        </w:r>
        <w:r>
          <w:rPr>
            <w:color w:val="0000FF"/>
            <w:position w:val="1"/>
            <w:sz w:val="18"/>
            <w:u w:val="single" w:color="0000FF"/>
          </w:rPr>
          <w:t>April</w:t>
        </w:r>
        <w:r>
          <w:rPr>
            <w:color w:val="0000FF"/>
            <w:spacing w:val="-4"/>
            <w:position w:val="1"/>
            <w:sz w:val="18"/>
            <w:u w:val="single" w:color="0000FF"/>
          </w:rPr>
          <w:t> </w:t>
        </w:r>
        <w:r>
          <w:rPr>
            <w:color w:val="0000FF"/>
            <w:position w:val="1"/>
            <w:sz w:val="18"/>
            <w:u w:val="single" w:color="0000FF"/>
          </w:rPr>
          <w:t>25,</w:t>
        </w:r>
        <w:r>
          <w:rPr>
            <w:color w:val="0000FF"/>
            <w:spacing w:val="-5"/>
            <w:position w:val="1"/>
            <w:sz w:val="18"/>
            <w:u w:val="single" w:color="0000FF"/>
          </w:rPr>
          <w:t> </w:t>
        </w:r>
        <w:r>
          <w:rPr>
            <w:color w:val="0000FF"/>
            <w:position w:val="1"/>
            <w:sz w:val="18"/>
            <w:u w:val="single" w:color="0000FF"/>
          </w:rPr>
          <w:t>2005,</w:t>
        </w:r>
        <w:r>
          <w:rPr>
            <w:color w:val="0000FF"/>
            <w:spacing w:val="-5"/>
            <w:position w:val="1"/>
            <w:sz w:val="18"/>
            <w:u w:val="single" w:color="0000FF"/>
          </w:rPr>
          <w:t> </w:t>
        </w:r>
        <w:r>
          <w:rPr>
            <w:color w:val="0000FF"/>
            <w:position w:val="1"/>
            <w:sz w:val="18"/>
            <w:u w:val="single" w:color="0000FF"/>
          </w:rPr>
          <w:t>by</w:t>
        </w:r>
        <w:r>
          <w:rPr>
            <w:color w:val="0000FF"/>
            <w:spacing w:val="21"/>
            <w:position w:val="1"/>
            <w:sz w:val="18"/>
            <w:u w:val="single" w:color="0000FF"/>
          </w:rPr>
          <w:t> </w:t>
        </w:r>
        <w:r>
          <w:rPr>
            <w:color w:val="0000FF"/>
            <w:position w:val="1"/>
            <w:sz w:val="18"/>
            <w:u w:val="single" w:color="0000FF"/>
          </w:rPr>
          <w:t>the</w:t>
        </w:r>
        <w:r>
          <w:rPr>
            <w:color w:val="0000FF"/>
            <w:spacing w:val="-5"/>
            <w:position w:val="1"/>
            <w:sz w:val="18"/>
            <w:u w:val="single" w:color="0000FF"/>
          </w:rPr>
          <w:t> </w:t>
        </w:r>
        <w:r>
          <w:rPr>
            <w:color w:val="0000FF"/>
            <w:position w:val="1"/>
            <w:sz w:val="18"/>
            <w:u w:val="single" w:color="0000FF"/>
          </w:rPr>
          <w:t>Company</w:t>
        </w:r>
        <w:r>
          <w:rPr>
            <w:color w:val="0000FF"/>
            <w:spacing w:val="21"/>
            <w:position w:val="1"/>
            <w:sz w:val="18"/>
            <w:u w:val="single" w:color="0000FF"/>
          </w:rPr>
          <w:t> </w:t>
        </w:r>
        <w:r>
          <w:rPr>
            <w:color w:val="0000FF"/>
            <w:position w:val="1"/>
            <w:sz w:val="18"/>
            <w:u w:val="single" w:color="0000FF"/>
          </w:rPr>
          <w:t>and</w:t>
        </w:r>
        <w:r>
          <w:rPr>
            <w:color w:val="0000FF"/>
            <w:spacing w:val="-5"/>
            <w:position w:val="1"/>
            <w:sz w:val="18"/>
            <w:u w:val="single" w:color="0000FF"/>
          </w:rPr>
          <w:t> </w:t>
        </w:r>
        <w:r>
          <w:rPr>
            <w:color w:val="0000FF"/>
            <w:position w:val="1"/>
            <w:sz w:val="18"/>
            <w:u w:val="single" w:color="0000FF"/>
          </w:rPr>
          <w:t>certain</w:t>
        </w:r>
        <w:r>
          <w:rPr>
            <w:color w:val="0000FF"/>
            <w:spacing w:val="-5"/>
            <w:position w:val="1"/>
            <w:sz w:val="18"/>
            <w:u w:val="single" w:color="0000FF"/>
          </w:rPr>
          <w:t> </w:t>
        </w:r>
        <w:r>
          <w:rPr>
            <w:color w:val="0000FF"/>
            <w:position w:val="1"/>
            <w:sz w:val="18"/>
            <w:u w:val="single" w:color="0000FF"/>
          </w:rPr>
          <w:t>subsidiaries</w:t>
        </w:r>
        <w:r>
          <w:rPr>
            <w:color w:val="0000FF"/>
            <w:spacing w:val="-5"/>
            <w:position w:val="1"/>
            <w:sz w:val="18"/>
            <w:u w:val="single" w:color="0000FF"/>
          </w:rPr>
          <w:t> </w:t>
        </w:r>
        <w:r>
          <w:rPr>
            <w:color w:val="0000FF"/>
            <w:position w:val="1"/>
            <w:sz w:val="18"/>
            <w:u w:val="single" w:color="0000FF"/>
          </w:rPr>
          <w:t>of</w:t>
        </w:r>
        <w:r>
          <w:rPr>
            <w:color w:val="0000FF"/>
            <w:spacing w:val="-5"/>
            <w:position w:val="1"/>
            <w:sz w:val="18"/>
            <w:u w:val="single" w:color="0000FF"/>
          </w:rPr>
          <w:t> </w:t>
        </w:r>
        <w:r>
          <w:rPr>
            <w:color w:val="0000FF"/>
            <w:position w:val="1"/>
            <w:sz w:val="18"/>
            <w:u w:val="single" w:color="0000FF"/>
          </w:rPr>
          <w:t>the</w:t>
        </w:r>
        <w:r>
          <w:rPr>
            <w:color w:val="0000FF"/>
            <w:position w:val="1"/>
            <w:sz w:val="18"/>
          </w:rPr>
          <w:t> </w:t>
        </w:r>
        <w:r>
          <w:rPr>
            <w:color w:val="0000FF"/>
            <w:sz w:val="18"/>
            <w:u w:val="single" w:color="0000FF"/>
          </w:rPr>
          <w:t>Company</w:t>
        </w:r>
        <w:r>
          <w:rPr>
            <w:color w:val="0000FF"/>
            <w:spacing w:val="-12"/>
            <w:sz w:val="18"/>
            <w:u w:val="single" w:color="0000FF"/>
          </w:rPr>
          <w:t> </w:t>
        </w:r>
        <w:r>
          <w:rPr>
            <w:color w:val="0000FF"/>
            <w:sz w:val="18"/>
          </w:rPr>
          <w:t>,</w:t>
        </w:r>
        <w:r>
          <w:rPr>
            <w:color w:val="0000FF"/>
            <w:sz w:val="18"/>
            <w:u w:val="single" w:color="0000FF"/>
          </w:rPr>
          <w:t> in favor of The Bank of New York, as trustee for the benefit of the holders of the Notes pursuant to the Indenture referred to</w:t>
        </w:r>
      </w:hyperlink>
      <w:r>
        <w:rPr>
          <w:color w:val="0000FF"/>
          <w:sz w:val="18"/>
        </w:rPr>
        <w:t> </w:t>
      </w:r>
      <w:hyperlink r:id="rId28">
        <w:r>
          <w:rPr>
            <w:color w:val="0000FF"/>
            <w:sz w:val="18"/>
            <w:u w:val="single" w:color="0000FF"/>
          </w:rPr>
          <w:t>therein (incorporated by</w:t>
        </w:r>
        <w:r>
          <w:rPr>
            <w:color w:val="0000FF"/>
            <w:spacing w:val="33"/>
            <w:sz w:val="18"/>
            <w:u w:val="single" w:color="0000FF"/>
          </w:rPr>
          <w:t> </w:t>
        </w:r>
        <w:r>
          <w:rPr>
            <w:color w:val="0000FF"/>
            <w:sz w:val="18"/>
            <w:u w:val="single" w:color="0000FF"/>
          </w:rPr>
          <w:t>reference to Exhibit 10.22 of the Company</w:t>
        </w:r>
        <w:r>
          <w:rPr>
            <w:color w:val="0000FF"/>
            <w:spacing w:val="-14"/>
            <w:sz w:val="18"/>
            <w:u w:val="single" w:color="0000FF"/>
          </w:rPr>
          <w:t> </w:t>
        </w:r>
        <w:r>
          <w:rPr>
            <w:color w:val="0000FF"/>
            <w:sz w:val="18"/>
            <w:u w:val="single" w:color="0000FF"/>
          </w:rPr>
          <w:t>'s Q</w:t>
        </w:r>
        <w:r>
          <w:rPr>
            <w:color w:val="0000FF"/>
            <w:spacing w:val="-33"/>
            <w:sz w:val="18"/>
            <w:u w:val="single" w:color="0000FF"/>
          </w:rPr>
          <w:t> </w:t>
        </w:r>
        <w:r>
          <w:rPr>
            <w:color w:val="0000FF"/>
            <w:sz w:val="18"/>
            <w:u w:val="single" w:color="0000FF"/>
          </w:rPr>
          <w:t>uarter</w:t>
        </w:r>
        <w:r>
          <w:rPr>
            <w:color w:val="0000FF"/>
            <w:sz w:val="18"/>
          </w:rPr>
          <w:t>ly</w:t>
        </w:r>
        <w:r>
          <w:rPr>
            <w:color w:val="0000FF"/>
            <w:spacing w:val="33"/>
            <w:sz w:val="18"/>
            <w:u w:val="single" w:color="0000FF"/>
          </w:rPr>
          <w:t> </w:t>
        </w:r>
        <w:r>
          <w:rPr>
            <w:color w:val="0000FF"/>
            <w:sz w:val="18"/>
            <w:u w:val="single" w:color="0000FF"/>
          </w:rPr>
          <w:t>Report on Form 10-Q filed on November 9, 2005).</w:t>
        </w:r>
      </w:hyperlink>
    </w:p>
    <w:p>
      <w:pPr>
        <w:pStyle w:val="ListParagraph"/>
        <w:numPr>
          <w:ilvl w:val="1"/>
          <w:numId w:val="19"/>
        </w:numPr>
        <w:tabs>
          <w:tab w:pos="1430" w:val="left" w:leader="none"/>
        </w:tabs>
        <w:spacing w:line="187" w:lineRule="auto" w:before="68" w:after="0"/>
        <w:ind w:left="1430" w:right="136" w:hanging="1268"/>
        <w:jc w:val="both"/>
        <w:rPr>
          <w:sz w:val="18"/>
        </w:rPr>
      </w:pPr>
      <w:hyperlink r:id="rId29">
        <w:r>
          <w:rPr>
            <w:color w:val="0000FF"/>
            <w:position w:val="1"/>
            <w:sz w:val="18"/>
            <w:u w:val="single" w:color="0000FF"/>
          </w:rPr>
          <w:t>Description of MGM Common Stock (incorporated by</w:t>
        </w:r>
        <w:r>
          <w:rPr>
            <w:color w:val="0000FF"/>
            <w:spacing w:val="40"/>
            <w:position w:val="1"/>
            <w:sz w:val="18"/>
            <w:u w:val="single" w:color="0000FF"/>
          </w:rPr>
          <w:t> </w:t>
        </w:r>
        <w:r>
          <w:rPr>
            <w:color w:val="0000FF"/>
            <w:position w:val="1"/>
            <w:sz w:val="18"/>
            <w:u w:val="single" w:color="0000FF"/>
          </w:rPr>
          <w:t>reference to Exhibit 4.4 of the Company</w:t>
        </w:r>
        <w:r>
          <w:rPr>
            <w:color w:val="0000FF"/>
            <w:spacing w:val="-12"/>
            <w:position w:val="1"/>
            <w:sz w:val="18"/>
            <w:u w:val="single" w:color="0000FF"/>
          </w:rPr>
          <w:t> </w:t>
        </w:r>
        <w:r>
          <w:rPr>
            <w:color w:val="0000FF"/>
            <w:position w:val="1"/>
            <w:sz w:val="18"/>
            <w:u w:val="single" w:color="0000FF"/>
          </w:rPr>
          <w:t>'s Annual Report on Form 10-K filed on</w:t>
        </w:r>
      </w:hyperlink>
      <w:r>
        <w:rPr>
          <w:color w:val="0000FF"/>
          <w:position w:val="1"/>
          <w:sz w:val="18"/>
        </w:rPr>
        <w:t> </w:t>
      </w:r>
      <w:hyperlink r:id="rId29">
        <w:r>
          <w:rPr>
            <w:color w:val="0000FF"/>
            <w:sz w:val="18"/>
            <w:u w:val="single" w:color="0000FF"/>
          </w:rPr>
          <w:t>February</w:t>
        </w:r>
        <w:r>
          <w:rPr>
            <w:color w:val="0000FF"/>
            <w:spacing w:val="40"/>
            <w:sz w:val="18"/>
            <w:u w:val="single" w:color="0000FF"/>
          </w:rPr>
          <w:t> </w:t>
        </w:r>
        <w:r>
          <w:rPr>
            <w:color w:val="0000FF"/>
            <w:sz w:val="18"/>
            <w:u w:val="single" w:color="0000FF"/>
          </w:rPr>
          <w:t>26, 2021).</w:t>
        </w:r>
      </w:hyperlink>
    </w:p>
    <w:p>
      <w:pPr>
        <w:pStyle w:val="BodyText"/>
        <w:tabs>
          <w:tab w:pos="1430" w:val="left" w:leader="none"/>
        </w:tabs>
        <w:spacing w:line="187" w:lineRule="auto" w:before="85"/>
        <w:ind w:left="1430" w:right="136" w:hanging="1268"/>
        <w:jc w:val="both"/>
      </w:pPr>
      <w:r>
        <w:rPr>
          <w:spacing w:val="-2"/>
        </w:rPr>
        <w:t>10.1(1)</w:t>
      </w:r>
      <w:r>
        <w:rPr/>
        <w:tab/>
      </w:r>
      <w:hyperlink r:id="rId30">
        <w:r>
          <w:rPr>
            <w:color w:val="0000FF"/>
            <w:position w:val="1"/>
            <w:u w:val="single" w:color="0000FF"/>
          </w:rPr>
          <w:t>Credit</w:t>
        </w:r>
        <w:r>
          <w:rPr>
            <w:color w:val="0000FF"/>
            <w:spacing w:val="-12"/>
            <w:position w:val="1"/>
            <w:u w:val="single" w:color="0000FF"/>
          </w:rPr>
          <w:t> </w:t>
        </w:r>
        <w:r>
          <w:rPr>
            <w:color w:val="0000FF"/>
            <w:position w:val="1"/>
            <w:u w:val="single" w:color="0000FF"/>
          </w:rPr>
          <w:t>Agreement,</w:t>
        </w:r>
        <w:r>
          <w:rPr>
            <w:color w:val="0000FF"/>
            <w:spacing w:val="-11"/>
            <w:position w:val="1"/>
            <w:u w:val="single" w:color="0000FF"/>
          </w:rPr>
          <w:t> </w:t>
        </w:r>
        <w:r>
          <w:rPr>
            <w:color w:val="0000FF"/>
            <w:position w:val="1"/>
            <w:u w:val="single" w:color="0000FF"/>
          </w:rPr>
          <w:t>dated</w:t>
        </w:r>
        <w:r>
          <w:rPr>
            <w:color w:val="0000FF"/>
            <w:spacing w:val="-6"/>
            <w:position w:val="1"/>
            <w:u w:val="single" w:color="0000FF"/>
          </w:rPr>
          <w:t> </w:t>
        </w:r>
        <w:r>
          <w:rPr>
            <w:color w:val="0000FF"/>
            <w:position w:val="1"/>
            <w:u w:val="single" w:color="0000FF"/>
          </w:rPr>
          <w:t>as</w:t>
        </w:r>
        <w:r>
          <w:rPr>
            <w:color w:val="0000FF"/>
            <w:spacing w:val="-1"/>
            <w:position w:val="1"/>
            <w:u w:val="single" w:color="0000FF"/>
          </w:rPr>
          <w:t> </w:t>
        </w:r>
        <w:r>
          <w:rPr>
            <w:color w:val="0000FF"/>
            <w:position w:val="1"/>
            <w:u w:val="single" w:color="0000FF"/>
          </w:rPr>
          <w:t>of</w:t>
        </w:r>
        <w:r>
          <w:rPr>
            <w:color w:val="0000FF"/>
            <w:spacing w:val="-1"/>
            <w:position w:val="1"/>
            <w:u w:val="single" w:color="0000FF"/>
          </w:rPr>
          <w:t> </w:t>
        </w:r>
        <w:r>
          <w:rPr>
            <w:color w:val="0000FF"/>
            <w:position w:val="1"/>
            <w:u w:val="single" w:color="0000FF"/>
          </w:rPr>
          <w:t>November</w:t>
        </w:r>
        <w:r>
          <w:rPr>
            <w:color w:val="0000FF"/>
            <w:spacing w:val="-1"/>
            <w:position w:val="1"/>
            <w:u w:val="single" w:color="0000FF"/>
          </w:rPr>
          <w:t> </w:t>
        </w:r>
        <w:r>
          <w:rPr>
            <w:color w:val="0000FF"/>
            <w:position w:val="1"/>
            <w:u w:val="single" w:color="0000FF"/>
          </w:rPr>
          <w:t>24,</w:t>
        </w:r>
        <w:r>
          <w:rPr>
            <w:color w:val="0000FF"/>
            <w:spacing w:val="-1"/>
            <w:position w:val="1"/>
            <w:u w:val="single" w:color="0000FF"/>
          </w:rPr>
          <w:t> </w:t>
        </w:r>
        <w:r>
          <w:rPr>
            <w:color w:val="0000FF"/>
            <w:position w:val="1"/>
            <w:u w:val="single" w:color="0000FF"/>
          </w:rPr>
          <w:t>2021,</w:t>
        </w:r>
        <w:r>
          <w:rPr>
            <w:color w:val="0000FF"/>
            <w:spacing w:val="-1"/>
            <w:position w:val="1"/>
            <w:u w:val="single" w:color="0000FF"/>
          </w:rPr>
          <w:t> </w:t>
        </w:r>
        <w:r>
          <w:rPr>
            <w:color w:val="0000FF"/>
            <w:position w:val="1"/>
            <w:u w:val="single" w:color="0000FF"/>
          </w:rPr>
          <w:t>among</w:t>
        </w:r>
        <w:r>
          <w:rPr>
            <w:color w:val="0000FF"/>
            <w:spacing w:val="-11"/>
            <w:position w:val="1"/>
            <w:u w:val="single" w:color="0000FF"/>
          </w:rPr>
          <w:t> </w:t>
        </w:r>
        <w:r>
          <w:rPr>
            <w:color w:val="0000FF"/>
            <w:position w:val="1"/>
            <w:u w:val="single" w:color="0000FF"/>
          </w:rPr>
          <w:t>the</w:t>
        </w:r>
        <w:r>
          <w:rPr>
            <w:color w:val="0000FF"/>
            <w:spacing w:val="-1"/>
            <w:position w:val="1"/>
            <w:u w:val="single" w:color="0000FF"/>
          </w:rPr>
          <w:t> </w:t>
        </w:r>
        <w:r>
          <w:rPr>
            <w:color w:val="0000FF"/>
            <w:position w:val="1"/>
            <w:u w:val="single" w:color="0000FF"/>
          </w:rPr>
          <w:t>Company</w:t>
        </w:r>
        <w:r>
          <w:rPr>
            <w:color w:val="0000FF"/>
            <w:spacing w:val="-12"/>
            <w:position w:val="1"/>
            <w:u w:val="single" w:color="0000FF"/>
          </w:rPr>
          <w:t> </w:t>
        </w:r>
        <w:r>
          <w:rPr>
            <w:color w:val="0000FF"/>
            <w:position w:val="1"/>
          </w:rPr>
          <w:t>,</w:t>
        </w:r>
        <w:r>
          <w:rPr>
            <w:color w:val="0000FF"/>
            <w:spacing w:val="-1"/>
            <w:position w:val="1"/>
            <w:u w:val="single" w:color="0000FF"/>
          </w:rPr>
          <w:t> </w:t>
        </w:r>
        <w:r>
          <w:rPr>
            <w:color w:val="0000FF"/>
            <w:position w:val="1"/>
            <w:u w:val="single" w:color="0000FF"/>
          </w:rPr>
          <w:t>Bank</w:t>
        </w:r>
        <w:r>
          <w:rPr>
            <w:color w:val="0000FF"/>
            <w:spacing w:val="-1"/>
            <w:position w:val="1"/>
            <w:u w:val="single" w:color="0000FF"/>
          </w:rPr>
          <w:t> </w:t>
        </w:r>
        <w:r>
          <w:rPr>
            <w:color w:val="0000FF"/>
            <w:position w:val="1"/>
            <w:u w:val="single" w:color="0000FF"/>
          </w:rPr>
          <w:t>of</w:t>
        </w:r>
        <w:r>
          <w:rPr>
            <w:color w:val="0000FF"/>
            <w:spacing w:val="-11"/>
            <w:position w:val="1"/>
            <w:u w:val="single" w:color="0000FF"/>
          </w:rPr>
          <w:t> </w:t>
        </w:r>
        <w:r>
          <w:rPr>
            <w:color w:val="0000FF"/>
            <w:position w:val="1"/>
            <w:u w:val="single" w:color="0000FF"/>
          </w:rPr>
          <w:t>America,</w:t>
        </w:r>
        <w:r>
          <w:rPr>
            <w:color w:val="0000FF"/>
            <w:spacing w:val="-1"/>
            <w:position w:val="1"/>
            <w:u w:val="single" w:color="0000FF"/>
          </w:rPr>
          <w:t> </w:t>
        </w:r>
        <w:r>
          <w:rPr>
            <w:color w:val="0000FF"/>
            <w:position w:val="1"/>
            <w:u w:val="single" w:color="0000FF"/>
          </w:rPr>
          <w:t>N.A.,</w:t>
        </w:r>
        <w:r>
          <w:rPr>
            <w:color w:val="0000FF"/>
            <w:spacing w:val="-1"/>
            <w:position w:val="1"/>
            <w:u w:val="single" w:color="0000FF"/>
          </w:rPr>
          <w:t> </w:t>
        </w:r>
        <w:r>
          <w:rPr>
            <w:color w:val="0000FF"/>
            <w:position w:val="1"/>
            <w:u w:val="single" w:color="0000FF"/>
          </w:rPr>
          <w:t>as</w:t>
        </w:r>
        <w:r>
          <w:rPr>
            <w:color w:val="0000FF"/>
            <w:spacing w:val="-1"/>
            <w:position w:val="1"/>
            <w:u w:val="single" w:color="0000FF"/>
          </w:rPr>
          <w:t> </w:t>
        </w:r>
        <w:r>
          <w:rPr>
            <w:color w:val="0000FF"/>
            <w:position w:val="1"/>
            <w:u w:val="single" w:color="0000FF"/>
          </w:rPr>
          <w:t>administrative</w:t>
        </w:r>
        <w:r>
          <w:rPr>
            <w:color w:val="0000FF"/>
            <w:spacing w:val="-1"/>
            <w:position w:val="1"/>
            <w:u w:val="single" w:color="0000FF"/>
          </w:rPr>
          <w:t> </w:t>
        </w:r>
        <w:r>
          <w:rPr>
            <w:color w:val="0000FF"/>
            <w:position w:val="1"/>
            <w:u w:val="single" w:color="0000FF"/>
          </w:rPr>
          <w:t>agent,</w:t>
        </w:r>
        <w:r>
          <w:rPr>
            <w:color w:val="0000FF"/>
            <w:spacing w:val="-1"/>
            <w:position w:val="1"/>
            <w:u w:val="single" w:color="0000FF"/>
          </w:rPr>
          <w:t> </w:t>
        </w:r>
        <w:r>
          <w:rPr>
            <w:color w:val="0000FF"/>
            <w:position w:val="1"/>
            <w:u w:val="single" w:color="0000FF"/>
          </w:rPr>
          <w:t>and</w:t>
        </w:r>
        <w:r>
          <w:rPr>
            <w:color w:val="0000FF"/>
            <w:spacing w:val="-1"/>
            <w:position w:val="1"/>
            <w:u w:val="single" w:color="0000FF"/>
          </w:rPr>
          <w:t> </w:t>
        </w:r>
        <w:r>
          <w:rPr>
            <w:color w:val="0000FF"/>
            <w:position w:val="1"/>
            <w:u w:val="single" w:color="0000FF"/>
          </w:rPr>
          <w:t>certain</w:t>
        </w:r>
        <w:r>
          <w:rPr>
            <w:color w:val="0000FF"/>
            <w:spacing w:val="-1"/>
            <w:position w:val="1"/>
            <w:u w:val="single" w:color="0000FF"/>
          </w:rPr>
          <w:t> </w:t>
        </w:r>
        <w:r>
          <w:rPr>
            <w:color w:val="0000FF"/>
            <w:position w:val="1"/>
            <w:u w:val="single" w:color="0000FF"/>
          </w:rPr>
          <w:t>lenders</w:t>
        </w:r>
      </w:hyperlink>
      <w:r>
        <w:rPr>
          <w:color w:val="0000FF"/>
          <w:position w:val="1"/>
        </w:rPr>
        <w:t> </w:t>
      </w:r>
      <w:hyperlink r:id="rId30">
        <w:r>
          <w:rPr>
            <w:color w:val="0000FF"/>
          </w:rPr>
          <w:t>p</w:t>
        </w:r>
        <w:r>
          <w:rPr>
            <w:color w:val="0000FF"/>
            <w:spacing w:val="-2"/>
            <w:u w:val="single" w:color="0000FF"/>
          </w:rPr>
          <w:t> </w:t>
        </w:r>
        <w:r>
          <w:rPr>
            <w:color w:val="0000FF"/>
            <w:u w:val="single" w:color="0000FF"/>
          </w:rPr>
          <w:t>ar</w:t>
        </w:r>
        <w:r>
          <w:rPr>
            <w:color w:val="0000FF"/>
          </w:rPr>
          <w:t>ty</w:t>
        </w:r>
        <w:r>
          <w:rPr>
            <w:color w:val="0000FF"/>
            <w:spacing w:val="30"/>
            <w:u w:val="single" w:color="0000FF"/>
          </w:rPr>
          <w:t> </w:t>
        </w:r>
        <w:r>
          <w:rPr>
            <w:color w:val="0000FF"/>
            <w:u w:val="single" w:color="0000FF"/>
          </w:rPr>
          <w:t>thereto</w:t>
        </w:r>
        <w:r>
          <w:rPr>
            <w:color w:val="0000FF"/>
            <w:spacing w:val="-1"/>
            <w:u w:val="single" w:color="0000FF"/>
          </w:rPr>
          <w:t> </w:t>
        </w:r>
        <w:r>
          <w:rPr>
            <w:color w:val="0000FF"/>
            <w:u w:val="single" w:color="0000FF"/>
          </w:rPr>
          <w:t>(incorporated</w:t>
        </w:r>
        <w:r>
          <w:rPr>
            <w:color w:val="0000FF"/>
            <w:spacing w:val="-1"/>
            <w:u w:val="single" w:color="0000FF"/>
          </w:rPr>
          <w:t> </w:t>
        </w:r>
        <w:r>
          <w:rPr>
            <w:color w:val="0000FF"/>
            <w:u w:val="single" w:color="0000FF"/>
          </w:rPr>
          <w:t>by</w:t>
        </w:r>
        <w:r>
          <w:rPr>
            <w:color w:val="0000FF"/>
            <w:spacing w:val="30"/>
            <w:u w:val="single" w:color="0000FF"/>
          </w:rPr>
          <w:t> </w:t>
        </w:r>
        <w:r>
          <w:rPr>
            <w:color w:val="0000FF"/>
            <w:u w:val="single" w:color="0000FF"/>
          </w:rPr>
          <w:t>reference</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Exhibit</w:t>
        </w:r>
        <w:r>
          <w:rPr>
            <w:color w:val="0000FF"/>
            <w:spacing w:val="-1"/>
            <w:u w:val="single" w:color="0000FF"/>
          </w:rPr>
          <w:t> </w:t>
        </w:r>
        <w:r>
          <w:rPr>
            <w:color w:val="0000FF"/>
            <w:u w:val="single" w:color="0000FF"/>
          </w:rPr>
          <w:t>10.1</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the</w:t>
        </w:r>
        <w:r>
          <w:rPr>
            <w:color w:val="0000FF"/>
            <w:spacing w:val="-1"/>
            <w:u w:val="single" w:color="0000FF"/>
          </w:rPr>
          <w:t> </w:t>
        </w:r>
        <w:r>
          <w:rPr>
            <w:color w:val="0000FF"/>
            <w:u w:val="single" w:color="0000FF"/>
          </w:rPr>
          <w:t>Company</w:t>
        </w:r>
        <w:r>
          <w:rPr>
            <w:color w:val="0000FF"/>
            <w:spacing w:val="-15"/>
            <w:u w:val="single" w:color="0000FF"/>
          </w:rPr>
          <w:t> </w:t>
        </w:r>
        <w:r>
          <w:rPr>
            <w:color w:val="0000FF"/>
            <w:u w:val="single" w:color="0000FF"/>
          </w:rPr>
          <w:t>’s</w:t>
        </w:r>
        <w:r>
          <w:rPr>
            <w:color w:val="0000FF"/>
            <w:spacing w:val="-1"/>
            <w:u w:val="single" w:color="0000FF"/>
          </w:rPr>
          <w:t> </w:t>
        </w:r>
        <w:r>
          <w:rPr>
            <w:color w:val="0000FF"/>
            <w:u w:val="single" w:color="0000FF"/>
          </w:rPr>
          <w:t>Current</w:t>
        </w:r>
        <w:r>
          <w:rPr>
            <w:color w:val="0000FF"/>
            <w:spacing w:val="-1"/>
            <w:u w:val="single" w:color="0000FF"/>
          </w:rPr>
          <w:t> </w:t>
        </w:r>
        <w:r>
          <w:rPr>
            <w:color w:val="0000FF"/>
            <w:u w:val="single" w:color="0000FF"/>
          </w:rPr>
          <w:t>Report</w:t>
        </w:r>
        <w:r>
          <w:rPr>
            <w:color w:val="0000FF"/>
            <w:spacing w:val="-1"/>
            <w:u w:val="single" w:color="0000FF"/>
          </w:rPr>
          <w:t> </w:t>
        </w:r>
        <w:r>
          <w:rPr>
            <w:color w:val="0000FF"/>
            <w:u w:val="single" w:color="0000FF"/>
          </w:rPr>
          <w:t>on</w:t>
        </w:r>
        <w:r>
          <w:rPr>
            <w:color w:val="0000FF"/>
            <w:spacing w:val="-1"/>
            <w:u w:val="single" w:color="0000FF"/>
          </w:rPr>
          <w:t> </w:t>
        </w:r>
        <w:r>
          <w:rPr>
            <w:color w:val="0000FF"/>
            <w:u w:val="single" w:color="0000FF"/>
          </w:rPr>
          <w:t>Form</w:t>
        </w:r>
        <w:r>
          <w:rPr>
            <w:color w:val="0000FF"/>
            <w:spacing w:val="-1"/>
            <w:u w:val="single" w:color="0000FF"/>
          </w:rPr>
          <w:t> </w:t>
        </w:r>
        <w:r>
          <w:rPr>
            <w:color w:val="0000FF"/>
            <w:u w:val="single" w:color="0000FF"/>
          </w:rPr>
          <w:t>8-K</w:t>
        </w:r>
        <w:r>
          <w:rPr>
            <w:color w:val="0000FF"/>
            <w:spacing w:val="-1"/>
            <w:u w:val="single" w:color="0000FF"/>
          </w:rPr>
          <w:t> </w:t>
        </w:r>
        <w:r>
          <w:rPr>
            <w:color w:val="0000FF"/>
            <w:u w:val="single" w:color="0000FF"/>
          </w:rPr>
          <w:t>filed</w:t>
        </w:r>
        <w:r>
          <w:rPr>
            <w:color w:val="0000FF"/>
            <w:spacing w:val="-1"/>
            <w:u w:val="single" w:color="0000FF"/>
          </w:rPr>
          <w:t> </w:t>
        </w:r>
        <w:r>
          <w:rPr>
            <w:color w:val="0000FF"/>
            <w:u w:val="single" w:color="0000FF"/>
          </w:rPr>
          <w:t>on</w:t>
        </w:r>
        <w:r>
          <w:rPr>
            <w:color w:val="0000FF"/>
            <w:spacing w:val="-1"/>
            <w:u w:val="single" w:color="0000FF"/>
          </w:rPr>
          <w:t> </w:t>
        </w:r>
        <w:r>
          <w:rPr>
            <w:color w:val="0000FF"/>
            <w:u w:val="single" w:color="0000FF"/>
          </w:rPr>
          <w:t>November</w:t>
        </w:r>
        <w:r>
          <w:rPr>
            <w:color w:val="0000FF"/>
            <w:spacing w:val="-1"/>
            <w:u w:val="single" w:color="0000FF"/>
          </w:rPr>
          <w:t> </w:t>
        </w:r>
        <w:r>
          <w:rPr>
            <w:color w:val="0000FF"/>
            <w:u w:val="single" w:color="0000FF"/>
          </w:rPr>
          <w:t>26,</w:t>
        </w:r>
        <w:r>
          <w:rPr>
            <w:color w:val="0000FF"/>
            <w:spacing w:val="-1"/>
            <w:u w:val="single" w:color="0000FF"/>
          </w:rPr>
          <w:t> </w:t>
        </w:r>
        <w:r>
          <w:rPr>
            <w:color w:val="0000FF"/>
            <w:u w:val="single" w:color="0000FF"/>
          </w:rPr>
          <w:t>2021).</w:t>
        </w:r>
      </w:hyperlink>
    </w:p>
    <w:p>
      <w:pPr>
        <w:pStyle w:val="BodyText"/>
        <w:tabs>
          <w:tab w:pos="1430" w:val="left" w:leader="none"/>
        </w:tabs>
        <w:spacing w:line="204" w:lineRule="auto" w:before="61"/>
        <w:ind w:left="1430" w:right="136" w:hanging="1268"/>
        <w:jc w:val="both"/>
      </w:pPr>
      <w:r>
        <w:rPr/>
        <mc:AlternateContent>
          <mc:Choice Requires="wps">
            <w:drawing>
              <wp:anchor distT="0" distB="0" distL="0" distR="0" allowOverlap="1" layoutInCell="1" locked="0" behindDoc="1" simplePos="0" relativeHeight="477779456">
                <wp:simplePos x="0" y="0"/>
                <wp:positionH relativeFrom="page">
                  <wp:posOffset>7493800</wp:posOffset>
                </wp:positionH>
                <wp:positionV relativeFrom="paragraph">
                  <wp:posOffset>135767</wp:posOffset>
                </wp:positionV>
                <wp:extent cx="38735" cy="8890"/>
                <wp:effectExtent l="0" t="0" r="0" b="0"/>
                <wp:wrapNone/>
                <wp:docPr id="726" name="Graphic 726"/>
                <wp:cNvGraphicFramePr>
                  <a:graphicFrameLocks/>
                </wp:cNvGraphicFramePr>
                <a:graphic>
                  <a:graphicData uri="http://schemas.microsoft.com/office/word/2010/wordprocessingShape">
                    <wps:wsp>
                      <wps:cNvPr id="726" name="Graphic 726"/>
                      <wps:cNvSpPr/>
                      <wps:spPr>
                        <a:xfrm>
                          <a:off x="0" y="0"/>
                          <a:ext cx="38735" cy="8890"/>
                        </a:xfrm>
                        <a:custGeom>
                          <a:avLst/>
                          <a:gdLst/>
                          <a:ahLst/>
                          <a:cxnLst/>
                          <a:rect l="l" t="t" r="r" b="b"/>
                          <a:pathLst>
                            <a:path w="38735" h="8890">
                              <a:moveTo>
                                <a:pt x="38608" y="0"/>
                              </a:moveTo>
                              <a:lnTo>
                                <a:pt x="0" y="0"/>
                              </a:lnTo>
                              <a:lnTo>
                                <a:pt x="0" y="8572"/>
                              </a:lnTo>
                              <a:lnTo>
                                <a:pt x="38608" y="8572"/>
                              </a:lnTo>
                              <a:lnTo>
                                <a:pt x="3860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0.063049pt;margin-top:10.690364pt;width:3.04pt;height:.675pt;mso-position-horizontal-relative:page;mso-position-vertical-relative:paragraph;z-index:-25537024" id="docshape724" filled="true" fillcolor="#0000ff" stroked="false">
                <v:fill type="solid"/>
                <w10:wrap type="none"/>
              </v:rect>
            </w:pict>
          </mc:Fallback>
        </mc:AlternateContent>
      </w:r>
      <w:r>
        <w:rPr>
          <w:spacing w:val="-2"/>
        </w:rPr>
        <w:t>10.1(2)</w:t>
      </w:r>
      <w:r>
        <w:rPr/>
        <w:tab/>
      </w:r>
      <w:hyperlink r:id="rId31">
        <w:r>
          <w:rPr>
            <w:color w:val="0000FF"/>
            <w:position w:val="1"/>
            <w:u w:val="single" w:color="0000FF"/>
          </w:rPr>
          <w:t>Revolving</w:t>
        </w:r>
        <w:r>
          <w:rPr>
            <w:color w:val="0000FF"/>
            <w:spacing w:val="-12"/>
            <w:position w:val="1"/>
            <w:u w:val="single" w:color="0000FF"/>
          </w:rPr>
          <w:t> </w:t>
        </w:r>
        <w:r>
          <w:rPr>
            <w:color w:val="0000FF"/>
            <w:position w:val="1"/>
            <w:u w:val="single" w:color="0000FF"/>
          </w:rPr>
          <w:t>Credit</w:t>
        </w:r>
        <w:r>
          <w:rPr>
            <w:color w:val="0000FF"/>
            <w:spacing w:val="-11"/>
            <w:position w:val="1"/>
            <w:u w:val="single" w:color="0000FF"/>
          </w:rPr>
          <w:t> </w:t>
        </w:r>
        <w:r>
          <w:rPr>
            <w:color w:val="0000FF"/>
            <w:position w:val="1"/>
            <w:u w:val="single" w:color="0000FF"/>
          </w:rPr>
          <w:t>Facili</w:t>
        </w:r>
        <w:r>
          <w:rPr>
            <w:color w:val="0000FF"/>
            <w:position w:val="1"/>
          </w:rPr>
          <w:t>ty</w:t>
        </w:r>
        <w:r>
          <w:rPr>
            <w:color w:val="0000FF"/>
            <w:spacing w:val="20"/>
            <w:position w:val="1"/>
            <w:u w:val="single" w:color="0000FF"/>
          </w:rPr>
          <w:t> </w:t>
        </w:r>
        <w:r>
          <w:rPr>
            <w:color w:val="0000FF"/>
            <w:position w:val="1"/>
            <w:u w:val="single" w:color="0000FF"/>
          </w:rPr>
          <w:t>Agreement, dated</w:t>
        </w:r>
        <w:r>
          <w:rPr>
            <w:color w:val="0000FF"/>
            <w:spacing w:val="-4"/>
            <w:position w:val="1"/>
            <w:u w:val="single" w:color="0000FF"/>
          </w:rPr>
          <w:t> </w:t>
        </w:r>
        <w:r>
          <w:rPr>
            <w:color w:val="0000FF"/>
            <w:position w:val="1"/>
            <w:u w:val="single" w:color="0000FF"/>
          </w:rPr>
          <w:t>August 12, 2019 (the “2019 Revolving</w:t>
        </w:r>
        <w:r>
          <w:rPr>
            <w:color w:val="0000FF"/>
            <w:spacing w:val="-3"/>
            <w:position w:val="1"/>
            <w:u w:val="single" w:color="0000FF"/>
          </w:rPr>
          <w:t> </w:t>
        </w:r>
        <w:r>
          <w:rPr>
            <w:color w:val="0000FF"/>
            <w:position w:val="1"/>
            <w:u w:val="single" w:color="0000FF"/>
          </w:rPr>
          <w:t>Credit Facili</w:t>
        </w:r>
        <w:r>
          <w:rPr>
            <w:color w:val="0000FF"/>
            <w:position w:val="1"/>
          </w:rPr>
          <w:t>ty</w:t>
        </w:r>
        <w:r>
          <w:rPr>
            <w:color w:val="0000FF"/>
            <w:spacing w:val="-12"/>
            <w:position w:val="1"/>
            <w:u w:val="single" w:color="0000FF"/>
          </w:rPr>
          <w:t> </w:t>
        </w:r>
        <w:r>
          <w:rPr>
            <w:color w:val="0000FF"/>
            <w:position w:val="1"/>
            <w:u w:val="single" w:color="0000FF"/>
          </w:rPr>
          <w:t>”</w:t>
        </w:r>
        <w:r>
          <w:rPr>
            <w:color w:val="0000FF"/>
            <w:position w:val="1"/>
          </w:rPr>
          <w:t>)</w:t>
        </w:r>
        <w:r>
          <w:rPr>
            <w:color w:val="0000FF"/>
            <w:spacing w:val="-11"/>
            <w:position w:val="1"/>
            <w:u w:val="single" w:color="0000FF"/>
          </w:rPr>
          <w:t> </w:t>
        </w:r>
        <w:r>
          <w:rPr>
            <w:color w:val="0000FF"/>
            <w:position w:val="1"/>
          </w:rPr>
          <w:t>,</w:t>
        </w:r>
        <w:r>
          <w:rPr>
            <w:color w:val="0000FF"/>
            <w:position w:val="1"/>
            <w:u w:val="single" w:color="0000FF"/>
          </w:rPr>
          <w:t> by</w:t>
        </w:r>
        <w:r>
          <w:rPr>
            <w:color w:val="0000FF"/>
            <w:spacing w:val="32"/>
            <w:position w:val="1"/>
            <w:u w:val="single" w:color="0000FF"/>
          </w:rPr>
          <w:t> </w:t>
        </w:r>
        <w:r>
          <w:rPr>
            <w:color w:val="0000FF"/>
            <w:position w:val="1"/>
            <w:u w:val="single" w:color="0000FF"/>
          </w:rPr>
          <w:t>and among</w:t>
        </w:r>
        <w:r>
          <w:rPr>
            <w:color w:val="0000FF"/>
            <w:spacing w:val="-3"/>
            <w:position w:val="1"/>
            <w:u w:val="single" w:color="0000FF"/>
          </w:rPr>
          <w:t> </w:t>
        </w:r>
        <w:r>
          <w:rPr>
            <w:color w:val="0000FF"/>
            <w:position w:val="1"/>
            <w:u w:val="single" w:color="0000FF"/>
          </w:rPr>
          <w:t>MGM China Holdin</w:t>
        </w:r>
        <w:r>
          <w:rPr>
            <w:color w:val="0000FF"/>
            <w:position w:val="1"/>
          </w:rPr>
          <w:t>gs </w:t>
        </w:r>
        <w:r>
          <w:rPr>
            <w:color w:val="0000FF"/>
            <w:u w:val="single" w:color="0000FF"/>
          </w:rPr>
          <w:t>Limited and certain Arrangers and Lenders par</w:t>
        </w:r>
        <w:r>
          <w:rPr>
            <w:color w:val="0000FF"/>
          </w:rPr>
          <w:t>ty</w:t>
        </w:r>
        <w:r>
          <w:rPr>
            <w:color w:val="0000FF"/>
            <w:spacing w:val="40"/>
            <w:u w:val="single" w:color="0000FF"/>
          </w:rPr>
          <w:t> </w:t>
        </w:r>
        <w:r>
          <w:rPr>
            <w:color w:val="0000FF"/>
            <w:u w:val="single" w:color="0000FF"/>
          </w:rPr>
          <w:t>thereto (incorporated by</w:t>
        </w:r>
        <w:r>
          <w:rPr>
            <w:color w:val="0000FF"/>
            <w:spacing w:val="40"/>
            <w:u w:val="single" w:color="0000FF"/>
          </w:rPr>
          <w:t> </w:t>
        </w:r>
        <w:r>
          <w:rPr>
            <w:color w:val="0000FF"/>
            <w:u w:val="single" w:color="0000FF"/>
          </w:rPr>
          <w:t>reference to Exhibit 10.1 of the Company</w:t>
        </w:r>
        <w:r>
          <w:rPr>
            <w:color w:val="0000FF"/>
            <w:spacing w:val="-12"/>
            <w:u w:val="single" w:color="0000FF"/>
          </w:rPr>
          <w:t> </w:t>
        </w:r>
        <w:r>
          <w:rPr>
            <w:color w:val="0000FF"/>
            <w:u w:val="single" w:color="0000FF"/>
          </w:rPr>
          <w:t>’s Current Report on</w:t>
        </w:r>
      </w:hyperlink>
      <w:r>
        <w:rPr>
          <w:color w:val="0000FF"/>
        </w:rPr>
        <w:t> </w:t>
      </w:r>
      <w:hyperlink r:id="rId31">
        <w:r>
          <w:rPr>
            <w:color w:val="0000FF"/>
            <w:u w:val="single" w:color="0000FF"/>
          </w:rPr>
          <w:t>Form 8-K filed on August 13, 2019).</w:t>
        </w:r>
      </w:hyperlink>
    </w:p>
    <w:p>
      <w:pPr>
        <w:pStyle w:val="BodyText"/>
        <w:tabs>
          <w:tab w:pos="1430" w:val="left" w:leader="none"/>
        </w:tabs>
        <w:spacing w:line="204" w:lineRule="auto" w:before="56"/>
        <w:ind w:left="1430" w:right="135" w:hanging="1268"/>
        <w:jc w:val="both"/>
      </w:pPr>
      <w:r>
        <w:rPr/>
        <mc:AlternateContent>
          <mc:Choice Requires="wps">
            <w:drawing>
              <wp:anchor distT="0" distB="0" distL="0" distR="0" allowOverlap="1" layoutInCell="1" locked="0" behindDoc="0" simplePos="0" relativeHeight="15879680">
                <wp:simplePos x="0" y="0"/>
                <wp:positionH relativeFrom="page">
                  <wp:posOffset>7524508</wp:posOffset>
                </wp:positionH>
                <wp:positionV relativeFrom="paragraph">
                  <wp:posOffset>252731</wp:posOffset>
                </wp:positionV>
                <wp:extent cx="8255" cy="8890"/>
                <wp:effectExtent l="0" t="0" r="0" b="0"/>
                <wp:wrapNone/>
                <wp:docPr id="727" name="Graphic 727"/>
                <wp:cNvGraphicFramePr>
                  <a:graphicFrameLocks/>
                </wp:cNvGraphicFramePr>
                <a:graphic>
                  <a:graphicData uri="http://schemas.microsoft.com/office/word/2010/wordprocessingShape">
                    <wps:wsp>
                      <wps:cNvPr id="727" name="Graphic 727"/>
                      <wps:cNvSpPr/>
                      <wps:spPr>
                        <a:xfrm>
                          <a:off x="0" y="0"/>
                          <a:ext cx="8255" cy="8890"/>
                        </a:xfrm>
                        <a:custGeom>
                          <a:avLst/>
                          <a:gdLst/>
                          <a:ahLst/>
                          <a:cxnLst/>
                          <a:rect l="l" t="t" r="r" b="b"/>
                          <a:pathLst>
                            <a:path w="8255" h="8890">
                              <a:moveTo>
                                <a:pt x="7899" y="0"/>
                              </a:moveTo>
                              <a:lnTo>
                                <a:pt x="0" y="0"/>
                              </a:lnTo>
                              <a:lnTo>
                                <a:pt x="0" y="8572"/>
                              </a:lnTo>
                              <a:lnTo>
                                <a:pt x="7899" y="8572"/>
                              </a:lnTo>
                              <a:lnTo>
                                <a:pt x="789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2.481018pt;margin-top:19.900106pt;width:.622pt;height:.675pt;mso-position-horizontal-relative:page;mso-position-vertical-relative:paragraph;z-index:15879680" id="docshape725" filled="true" fillcolor="#0000ff" stroked="false">
                <v:fill type="solid"/>
                <w10:wrap type="none"/>
              </v:rect>
            </w:pict>
          </mc:Fallback>
        </mc:AlternateContent>
      </w:r>
      <w:r>
        <w:rPr>
          <w:spacing w:val="-2"/>
        </w:rPr>
        <w:t>10.1(3)</w:t>
      </w:r>
      <w:r>
        <w:rPr/>
        <w:tab/>
      </w:r>
      <w:hyperlink r:id="rId32">
        <w:r>
          <w:rPr>
            <w:color w:val="0000FF"/>
            <w:position w:val="1"/>
            <w:u w:val="single" w:color="0000FF"/>
          </w:rPr>
          <w:t>Amendment</w:t>
        </w:r>
        <w:r>
          <w:rPr>
            <w:color w:val="0000FF"/>
            <w:spacing w:val="-8"/>
            <w:position w:val="1"/>
            <w:u w:val="single" w:color="0000FF"/>
          </w:rPr>
          <w:t> </w:t>
        </w:r>
        <w:r>
          <w:rPr>
            <w:color w:val="0000FF"/>
            <w:position w:val="1"/>
            <w:u w:val="single" w:color="0000FF"/>
          </w:rPr>
          <w:t>Letter</w:t>
        </w:r>
        <w:r>
          <w:rPr>
            <w:color w:val="0000FF"/>
            <w:spacing w:val="-5"/>
            <w:position w:val="1"/>
            <w:u w:val="single" w:color="0000FF"/>
          </w:rPr>
          <w:t> </w:t>
        </w:r>
        <w:r>
          <w:rPr>
            <w:color w:val="0000FF"/>
            <w:position w:val="1"/>
            <w:u w:val="single" w:color="0000FF"/>
          </w:rPr>
          <w:t>to</w:t>
        </w:r>
        <w:r>
          <w:rPr>
            <w:color w:val="0000FF"/>
            <w:spacing w:val="-5"/>
            <w:position w:val="1"/>
            <w:u w:val="single" w:color="0000FF"/>
          </w:rPr>
          <w:t> </w:t>
        </w:r>
        <w:r>
          <w:rPr>
            <w:color w:val="0000FF"/>
            <w:position w:val="1"/>
            <w:u w:val="single" w:color="0000FF"/>
          </w:rPr>
          <w:t>the</w:t>
        </w:r>
        <w:r>
          <w:rPr>
            <w:color w:val="0000FF"/>
            <w:spacing w:val="-5"/>
            <w:position w:val="1"/>
            <w:u w:val="single" w:color="0000FF"/>
          </w:rPr>
          <w:t> </w:t>
        </w:r>
        <w:r>
          <w:rPr>
            <w:color w:val="0000FF"/>
            <w:position w:val="1"/>
            <w:u w:val="single" w:color="0000FF"/>
          </w:rPr>
          <w:t>2019</w:t>
        </w:r>
        <w:r>
          <w:rPr>
            <w:color w:val="0000FF"/>
            <w:spacing w:val="-5"/>
            <w:position w:val="1"/>
            <w:u w:val="single" w:color="0000FF"/>
          </w:rPr>
          <w:t> </w:t>
        </w:r>
        <w:r>
          <w:rPr>
            <w:color w:val="0000FF"/>
            <w:position w:val="1"/>
            <w:u w:val="single" w:color="0000FF"/>
          </w:rPr>
          <w:t>Revolving</w:t>
        </w:r>
        <w:r>
          <w:rPr>
            <w:color w:val="0000FF"/>
            <w:spacing w:val="-12"/>
            <w:position w:val="1"/>
            <w:u w:val="single" w:color="0000FF"/>
          </w:rPr>
          <w:t> </w:t>
        </w:r>
        <w:r>
          <w:rPr>
            <w:color w:val="0000FF"/>
            <w:position w:val="1"/>
            <w:u w:val="single" w:color="0000FF"/>
          </w:rPr>
          <w:t>Credit</w:t>
        </w:r>
        <w:r>
          <w:rPr>
            <w:color w:val="0000FF"/>
            <w:spacing w:val="-4"/>
            <w:position w:val="1"/>
            <w:u w:val="single" w:color="0000FF"/>
          </w:rPr>
          <w:t> </w:t>
        </w:r>
        <w:r>
          <w:rPr>
            <w:color w:val="0000FF"/>
            <w:position w:val="1"/>
            <w:u w:val="single" w:color="0000FF"/>
          </w:rPr>
          <w:t>Facili</w:t>
        </w:r>
        <w:r>
          <w:rPr>
            <w:color w:val="0000FF"/>
            <w:position w:val="1"/>
          </w:rPr>
          <w:t>ty</w:t>
        </w:r>
        <w:r>
          <w:rPr>
            <w:color w:val="0000FF"/>
            <w:spacing w:val="13"/>
            <w:position w:val="1"/>
            <w:u w:val="single" w:color="0000FF"/>
          </w:rPr>
          <w:t> </w:t>
        </w:r>
        <w:r>
          <w:rPr>
            <w:color w:val="0000FF"/>
            <w:position w:val="1"/>
            <w:u w:val="single" w:color="0000FF"/>
          </w:rPr>
          <w:t>Agreement,</w:t>
        </w:r>
        <w:r>
          <w:rPr>
            <w:color w:val="0000FF"/>
            <w:spacing w:val="-5"/>
            <w:position w:val="1"/>
            <w:u w:val="single" w:color="0000FF"/>
          </w:rPr>
          <w:t> </w:t>
        </w:r>
        <w:r>
          <w:rPr>
            <w:color w:val="0000FF"/>
            <w:position w:val="1"/>
            <w:u w:val="single" w:color="0000FF"/>
          </w:rPr>
          <w:t>dated</w:t>
        </w:r>
        <w:r>
          <w:rPr>
            <w:color w:val="0000FF"/>
            <w:spacing w:val="-5"/>
            <w:position w:val="1"/>
            <w:u w:val="single" w:color="0000FF"/>
          </w:rPr>
          <w:t> </w:t>
        </w:r>
        <w:r>
          <w:rPr>
            <w:color w:val="0000FF"/>
            <w:position w:val="1"/>
            <w:u w:val="single" w:color="0000FF"/>
          </w:rPr>
          <w:t>February</w:t>
        </w:r>
        <w:r>
          <w:rPr>
            <w:color w:val="0000FF"/>
            <w:spacing w:val="22"/>
            <w:position w:val="1"/>
            <w:u w:val="single" w:color="0000FF"/>
          </w:rPr>
          <w:t> </w:t>
        </w:r>
        <w:r>
          <w:rPr>
            <w:color w:val="0000FF"/>
            <w:position w:val="1"/>
            <w:u w:val="single" w:color="0000FF"/>
          </w:rPr>
          <w:t>18,</w:t>
        </w:r>
        <w:r>
          <w:rPr>
            <w:color w:val="0000FF"/>
            <w:spacing w:val="-5"/>
            <w:position w:val="1"/>
            <w:u w:val="single" w:color="0000FF"/>
          </w:rPr>
          <w:t> </w:t>
        </w:r>
        <w:r>
          <w:rPr>
            <w:color w:val="0000FF"/>
            <w:position w:val="1"/>
            <w:u w:val="single" w:color="0000FF"/>
          </w:rPr>
          <w:t>2020,</w:t>
        </w:r>
        <w:r>
          <w:rPr>
            <w:color w:val="0000FF"/>
            <w:spacing w:val="-5"/>
            <w:position w:val="1"/>
            <w:u w:val="single" w:color="0000FF"/>
          </w:rPr>
          <w:t> </w:t>
        </w:r>
        <w:r>
          <w:rPr>
            <w:color w:val="0000FF"/>
            <w:position w:val="1"/>
            <w:u w:val="single" w:color="0000FF"/>
          </w:rPr>
          <w:t>by</w:t>
        </w:r>
        <w:r>
          <w:rPr>
            <w:color w:val="0000FF"/>
            <w:spacing w:val="22"/>
            <w:position w:val="1"/>
            <w:u w:val="single" w:color="0000FF"/>
          </w:rPr>
          <w:t> </w:t>
        </w:r>
        <w:r>
          <w:rPr>
            <w:color w:val="0000FF"/>
            <w:position w:val="1"/>
            <w:u w:val="single" w:color="0000FF"/>
          </w:rPr>
          <w:t>and</w:t>
        </w:r>
        <w:r>
          <w:rPr>
            <w:color w:val="0000FF"/>
            <w:spacing w:val="-5"/>
            <w:position w:val="1"/>
            <w:u w:val="single" w:color="0000FF"/>
          </w:rPr>
          <w:t> </w:t>
        </w:r>
        <w:r>
          <w:rPr>
            <w:color w:val="0000FF"/>
            <w:position w:val="1"/>
            <w:u w:val="single" w:color="0000FF"/>
          </w:rPr>
          <w:t>among</w:t>
        </w:r>
        <w:r>
          <w:rPr>
            <w:color w:val="0000FF"/>
            <w:spacing w:val="-12"/>
            <w:position w:val="1"/>
            <w:u w:val="single" w:color="0000FF"/>
          </w:rPr>
          <w:t> </w:t>
        </w:r>
        <w:r>
          <w:rPr>
            <w:color w:val="0000FF"/>
            <w:position w:val="1"/>
            <w:u w:val="single" w:color="0000FF"/>
          </w:rPr>
          <w:t>MGM</w:t>
        </w:r>
        <w:r>
          <w:rPr>
            <w:color w:val="0000FF"/>
            <w:spacing w:val="-4"/>
            <w:position w:val="1"/>
            <w:u w:val="single" w:color="0000FF"/>
          </w:rPr>
          <w:t> </w:t>
        </w:r>
        <w:r>
          <w:rPr>
            <w:color w:val="0000FF"/>
            <w:position w:val="1"/>
            <w:u w:val="single" w:color="0000FF"/>
          </w:rPr>
          <w:t>China</w:t>
        </w:r>
        <w:r>
          <w:rPr>
            <w:color w:val="0000FF"/>
            <w:spacing w:val="-5"/>
            <w:position w:val="1"/>
            <w:u w:val="single" w:color="0000FF"/>
          </w:rPr>
          <w:t> </w:t>
        </w:r>
        <w:r>
          <w:rPr>
            <w:color w:val="0000FF"/>
            <w:position w:val="1"/>
            <w:u w:val="single" w:color="0000FF"/>
          </w:rPr>
          <w:t>Holdings</w:t>
        </w:r>
        <w:r>
          <w:rPr>
            <w:color w:val="0000FF"/>
            <w:spacing w:val="-5"/>
            <w:position w:val="1"/>
            <w:u w:val="single" w:color="0000FF"/>
          </w:rPr>
          <w:t> </w:t>
        </w:r>
        <w:r>
          <w:rPr>
            <w:color w:val="0000FF"/>
            <w:position w:val="1"/>
            <w:u w:val="single" w:color="0000FF"/>
          </w:rPr>
          <w:t>Limited</w:t>
        </w:r>
        <w:r>
          <w:rPr>
            <w:color w:val="0000FF"/>
            <w:position w:val="1"/>
          </w:rPr>
          <w:t> </w:t>
        </w:r>
        <w:r>
          <w:rPr>
            <w:color w:val="0000FF"/>
            <w:u w:val="single" w:color="0000FF"/>
          </w:rPr>
          <w:t>and</w:t>
        </w:r>
        <w:r>
          <w:rPr>
            <w:color w:val="0000FF"/>
            <w:spacing w:val="-12"/>
            <w:u w:val="single" w:color="0000FF"/>
          </w:rPr>
          <w:t> </w:t>
        </w:r>
        <w:r>
          <w:rPr>
            <w:color w:val="0000FF"/>
            <w:u w:val="single" w:color="0000FF"/>
          </w:rPr>
          <w:t>certain</w:t>
        </w:r>
        <w:r>
          <w:rPr>
            <w:color w:val="0000FF"/>
            <w:spacing w:val="-11"/>
            <w:u w:val="single" w:color="0000FF"/>
          </w:rPr>
          <w:t> </w:t>
        </w:r>
        <w:r>
          <w:rPr>
            <w:color w:val="0000FF"/>
            <w:u w:val="single" w:color="0000FF"/>
          </w:rPr>
          <w:t>Arrangers</w:t>
        </w:r>
        <w:r>
          <w:rPr>
            <w:color w:val="0000FF"/>
            <w:spacing w:val="-11"/>
            <w:u w:val="single" w:color="0000FF"/>
          </w:rPr>
          <w:t> </w:t>
        </w:r>
        <w:r>
          <w:rPr>
            <w:color w:val="0000FF"/>
            <w:u w:val="single" w:color="0000FF"/>
          </w:rPr>
          <w:t>and</w:t>
        </w:r>
        <w:r>
          <w:rPr>
            <w:color w:val="0000FF"/>
            <w:spacing w:val="-11"/>
            <w:u w:val="single" w:color="0000FF"/>
          </w:rPr>
          <w:t> </w:t>
        </w:r>
        <w:r>
          <w:rPr>
            <w:color w:val="0000FF"/>
            <w:u w:val="single" w:color="0000FF"/>
          </w:rPr>
          <w:t>Lenders</w:t>
        </w:r>
        <w:r>
          <w:rPr>
            <w:color w:val="0000FF"/>
            <w:spacing w:val="-12"/>
            <w:u w:val="single" w:color="0000FF"/>
          </w:rPr>
          <w:t> </w:t>
        </w:r>
        <w:r>
          <w:rPr>
            <w:color w:val="0000FF"/>
            <w:u w:val="single" w:color="0000FF"/>
          </w:rPr>
          <w:t>Par</w:t>
        </w:r>
        <w:r>
          <w:rPr>
            <w:color w:val="0000FF"/>
          </w:rPr>
          <w:t>ty</w:t>
        </w:r>
        <w:r>
          <w:rPr>
            <w:color w:val="0000FF"/>
            <w:spacing w:val="-1"/>
            <w:u w:val="single" w:color="0000FF"/>
          </w:rPr>
          <w:t> </w:t>
        </w:r>
        <w:r>
          <w:rPr>
            <w:color w:val="0000FF"/>
            <w:u w:val="single" w:color="0000FF"/>
          </w:rPr>
          <w:t>thereto</w:t>
        </w:r>
        <w:r>
          <w:rPr>
            <w:color w:val="0000FF"/>
            <w:spacing w:val="-7"/>
            <w:u w:val="single" w:color="0000FF"/>
          </w:rPr>
          <w:t> </w:t>
        </w:r>
        <w:r>
          <w:rPr>
            <w:color w:val="0000FF"/>
            <w:u w:val="single" w:color="0000FF"/>
          </w:rPr>
          <w:t>(incorporated</w:t>
        </w:r>
        <w:r>
          <w:rPr>
            <w:color w:val="0000FF"/>
            <w:spacing w:val="-7"/>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10.1</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Company</w:t>
        </w:r>
        <w:r>
          <w:rPr>
            <w:color w:val="0000FF"/>
            <w:spacing w:val="-12"/>
            <w:u w:val="single" w:color="0000FF"/>
          </w:rPr>
          <w:t> </w:t>
        </w:r>
        <w:r>
          <w:rPr>
            <w:color w:val="0000FF"/>
            <w:u w:val="single" w:color="0000FF"/>
          </w:rPr>
          <w:t>’s</w:t>
        </w:r>
        <w:r>
          <w:rPr>
            <w:color w:val="0000FF"/>
            <w:spacing w:val="-7"/>
            <w:u w:val="single" w:color="0000FF"/>
          </w:rPr>
          <w:t> </w:t>
        </w:r>
        <w:r>
          <w:rPr>
            <w:color w:val="0000FF"/>
            <w:u w:val="single" w:color="0000FF"/>
          </w:rPr>
          <w:t>Q</w:t>
        </w:r>
        <w:r>
          <w:rPr>
            <w:color w:val="0000FF"/>
            <w:spacing w:val="-12"/>
            <w:u w:val="single" w:color="0000FF"/>
          </w:rPr>
          <w:t> </w:t>
        </w:r>
        <w:r>
          <w:rPr>
            <w:color w:val="0000FF"/>
            <w:u w:val="single" w:color="0000FF"/>
          </w:rPr>
          <w:t>uarter</w:t>
        </w:r>
        <w:r>
          <w:rPr>
            <w:color w:val="0000FF"/>
          </w:rPr>
          <w:t>ly</w:t>
        </w:r>
        <w:r>
          <w:rPr>
            <w:color w:val="0000FF"/>
            <w:spacing w:val="18"/>
            <w:u w:val="single" w:color="0000FF"/>
          </w:rPr>
          <w:t> </w:t>
        </w:r>
        <w:r>
          <w:rPr>
            <w:color w:val="0000FF"/>
            <w:u w:val="single" w:color="0000FF"/>
          </w:rPr>
          <w:t>Report</w:t>
        </w:r>
        <w:r>
          <w:rPr>
            <w:color w:val="0000FF"/>
            <w:spacing w:val="-7"/>
            <w:u w:val="single" w:color="0000FF"/>
          </w:rPr>
          <w:t> </w:t>
        </w:r>
        <w:r>
          <w:rPr>
            <w:color w:val="0000FF"/>
            <w:u w:val="single" w:color="0000FF"/>
          </w:rPr>
          <w:t>on</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10-</w:t>
        </w:r>
        <w:r>
          <w:rPr>
            <w:color w:val="0000FF"/>
            <w:u w:val="single" w:color="0000FF"/>
          </w:rPr>
          <w:t>Q</w:t>
        </w:r>
      </w:hyperlink>
      <w:r>
        <w:rPr>
          <w:color w:val="0000FF"/>
        </w:rPr>
        <w:t> </w:t>
      </w:r>
      <w:hyperlink r:id="rId32">
        <w:r>
          <w:rPr>
            <w:color w:val="0000FF"/>
            <w:u w:val="single" w:color="0000FF"/>
          </w:rPr>
          <w:t>filed on May</w:t>
        </w:r>
        <w:r>
          <w:rPr>
            <w:color w:val="0000FF"/>
            <w:spacing w:val="40"/>
            <w:u w:val="single" w:color="0000FF"/>
          </w:rPr>
          <w:t> </w:t>
        </w:r>
        <w:r>
          <w:rPr>
            <w:color w:val="0000FF"/>
            <w:u w:val="single" w:color="0000FF"/>
          </w:rPr>
          <w:t>1, 2020).</w:t>
        </w:r>
      </w:hyperlink>
    </w:p>
    <w:p>
      <w:pPr>
        <w:pStyle w:val="BodyText"/>
        <w:tabs>
          <w:tab w:pos="1430" w:val="left" w:leader="none"/>
        </w:tabs>
        <w:spacing w:line="204" w:lineRule="auto" w:before="56"/>
        <w:ind w:left="1430" w:right="136" w:hanging="1268"/>
        <w:jc w:val="both"/>
      </w:pPr>
      <w:r>
        <w:rPr/>
        <mc:AlternateContent>
          <mc:Choice Requires="wps">
            <w:drawing>
              <wp:anchor distT="0" distB="0" distL="0" distR="0" allowOverlap="1" layoutInCell="1" locked="0" behindDoc="0" simplePos="0" relativeHeight="15880192">
                <wp:simplePos x="0" y="0"/>
                <wp:positionH relativeFrom="page">
                  <wp:posOffset>7524496</wp:posOffset>
                </wp:positionH>
                <wp:positionV relativeFrom="paragraph">
                  <wp:posOffset>252855</wp:posOffset>
                </wp:positionV>
                <wp:extent cx="8255" cy="8890"/>
                <wp:effectExtent l="0" t="0" r="0" b="0"/>
                <wp:wrapNone/>
                <wp:docPr id="728" name="Graphic 728"/>
                <wp:cNvGraphicFramePr>
                  <a:graphicFrameLocks/>
                </wp:cNvGraphicFramePr>
                <a:graphic>
                  <a:graphicData uri="http://schemas.microsoft.com/office/word/2010/wordprocessingShape">
                    <wps:wsp>
                      <wps:cNvPr id="728" name="Graphic 728"/>
                      <wps:cNvSpPr/>
                      <wps:spPr>
                        <a:xfrm>
                          <a:off x="0" y="0"/>
                          <a:ext cx="8255" cy="8890"/>
                        </a:xfrm>
                        <a:custGeom>
                          <a:avLst/>
                          <a:gdLst/>
                          <a:ahLst/>
                          <a:cxnLst/>
                          <a:rect l="l" t="t" r="r" b="b"/>
                          <a:pathLst>
                            <a:path w="8255" h="8890">
                              <a:moveTo>
                                <a:pt x="7912" y="0"/>
                              </a:moveTo>
                              <a:lnTo>
                                <a:pt x="0" y="0"/>
                              </a:lnTo>
                              <a:lnTo>
                                <a:pt x="0" y="8572"/>
                              </a:lnTo>
                              <a:lnTo>
                                <a:pt x="7912" y="8572"/>
                              </a:lnTo>
                              <a:lnTo>
                                <a:pt x="791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2.480042pt;margin-top:19.909849pt;width:.623pt;height:.675pt;mso-position-horizontal-relative:page;mso-position-vertical-relative:paragraph;z-index:15880192" id="docshape726" filled="true" fillcolor="#0000ff" stroked="false">
                <v:fill type="solid"/>
                <w10:wrap type="none"/>
              </v:rect>
            </w:pict>
          </mc:Fallback>
        </mc:AlternateContent>
      </w:r>
      <w:r>
        <w:rPr>
          <w:spacing w:val="-2"/>
        </w:rPr>
        <w:t>10.1(4)</w:t>
      </w:r>
      <w:r>
        <w:rPr/>
        <w:tab/>
      </w:r>
      <w:hyperlink r:id="rId33">
        <w:r>
          <w:rPr>
            <w:color w:val="0000FF"/>
            <w:position w:val="1"/>
            <w:u w:val="single" w:color="0000FF"/>
          </w:rPr>
          <w:t>Amendment Letter to the 2019 Revolving</w:t>
        </w:r>
        <w:r>
          <w:rPr>
            <w:color w:val="0000FF"/>
            <w:spacing w:val="-8"/>
            <w:position w:val="1"/>
            <w:u w:val="single" w:color="0000FF"/>
          </w:rPr>
          <w:t> </w:t>
        </w:r>
        <w:r>
          <w:rPr>
            <w:color w:val="0000FF"/>
            <w:position w:val="1"/>
            <w:u w:val="single" w:color="0000FF"/>
          </w:rPr>
          <w:t>Credit Facili</w:t>
        </w:r>
        <w:r>
          <w:rPr>
            <w:color w:val="0000FF"/>
            <w:position w:val="1"/>
          </w:rPr>
          <w:t>ty</w:t>
        </w:r>
        <w:r>
          <w:rPr>
            <w:color w:val="0000FF"/>
            <w:spacing w:val="19"/>
            <w:position w:val="1"/>
            <w:u w:val="single" w:color="0000FF"/>
          </w:rPr>
          <w:t> </w:t>
        </w:r>
        <w:r>
          <w:rPr>
            <w:color w:val="0000FF"/>
            <w:position w:val="1"/>
            <w:u w:val="single" w:color="0000FF"/>
          </w:rPr>
          <w:t>Agreement, dated</w:t>
        </w:r>
        <w:r>
          <w:rPr>
            <w:color w:val="0000FF"/>
            <w:spacing w:val="-9"/>
            <w:position w:val="1"/>
            <w:u w:val="single" w:color="0000FF"/>
          </w:rPr>
          <w:t> </w:t>
        </w:r>
        <w:r>
          <w:rPr>
            <w:color w:val="0000FF"/>
            <w:position w:val="1"/>
            <w:u w:val="single" w:color="0000FF"/>
          </w:rPr>
          <w:t>April 9, 2020, by</w:t>
        </w:r>
        <w:r>
          <w:rPr>
            <w:color w:val="0000FF"/>
            <w:spacing w:val="28"/>
            <w:position w:val="1"/>
            <w:u w:val="single" w:color="0000FF"/>
          </w:rPr>
          <w:t> </w:t>
        </w:r>
        <w:r>
          <w:rPr>
            <w:color w:val="0000FF"/>
            <w:position w:val="1"/>
            <w:u w:val="single" w:color="0000FF"/>
          </w:rPr>
          <w:t>and among</w:t>
        </w:r>
        <w:r>
          <w:rPr>
            <w:color w:val="0000FF"/>
            <w:spacing w:val="-8"/>
            <w:position w:val="1"/>
            <w:u w:val="single" w:color="0000FF"/>
          </w:rPr>
          <w:t> </w:t>
        </w:r>
        <w:r>
          <w:rPr>
            <w:color w:val="0000FF"/>
            <w:position w:val="1"/>
            <w:u w:val="single" w:color="0000FF"/>
          </w:rPr>
          <w:t>MGM China Holdings Limited and</w:t>
        </w:r>
        <w:r>
          <w:rPr>
            <w:color w:val="0000FF"/>
            <w:position w:val="1"/>
          </w:rPr>
          <w:t> </w:t>
        </w:r>
        <w:r>
          <w:rPr>
            <w:color w:val="0000FF"/>
            <w:u w:val="single" w:color="0000FF"/>
          </w:rPr>
          <w:t>certain</w:t>
        </w:r>
        <w:r>
          <w:rPr>
            <w:color w:val="0000FF"/>
            <w:spacing w:val="-12"/>
            <w:u w:val="single" w:color="0000FF"/>
          </w:rPr>
          <w:t> </w:t>
        </w:r>
        <w:r>
          <w:rPr>
            <w:color w:val="0000FF"/>
            <w:u w:val="single" w:color="0000FF"/>
          </w:rPr>
          <w:t>Arrangers</w:t>
        </w:r>
        <w:r>
          <w:rPr>
            <w:color w:val="0000FF"/>
            <w:spacing w:val="-11"/>
            <w:u w:val="single" w:color="0000FF"/>
          </w:rPr>
          <w:t> </w:t>
        </w:r>
        <w:r>
          <w:rPr>
            <w:color w:val="0000FF"/>
            <w:u w:val="single" w:color="0000FF"/>
          </w:rPr>
          <w:t>and Lenders Par</w:t>
        </w:r>
        <w:r>
          <w:rPr>
            <w:color w:val="0000FF"/>
          </w:rPr>
          <w:t>ty</w:t>
        </w:r>
        <w:r>
          <w:rPr>
            <w:color w:val="0000FF"/>
            <w:spacing w:val="34"/>
            <w:u w:val="single" w:color="0000FF"/>
          </w:rPr>
          <w:t> </w:t>
        </w:r>
        <w:r>
          <w:rPr>
            <w:color w:val="0000FF"/>
            <w:u w:val="single" w:color="0000FF"/>
          </w:rPr>
          <w:t>thereto (incorporated by</w:t>
        </w:r>
        <w:r>
          <w:rPr>
            <w:color w:val="0000FF"/>
            <w:spacing w:val="34"/>
            <w:u w:val="single" w:color="0000FF"/>
          </w:rPr>
          <w:t> </w:t>
        </w:r>
        <w:r>
          <w:rPr>
            <w:color w:val="0000FF"/>
            <w:u w:val="single" w:color="0000FF"/>
          </w:rPr>
          <w:t>reference to Exhibit 10.3 of the Company</w:t>
        </w:r>
        <w:r>
          <w:rPr>
            <w:color w:val="0000FF"/>
            <w:spacing w:val="-12"/>
            <w:u w:val="single" w:color="0000FF"/>
          </w:rPr>
          <w:t> </w:t>
        </w:r>
        <w:r>
          <w:rPr>
            <w:color w:val="0000FF"/>
            <w:u w:val="single" w:color="0000FF"/>
          </w:rPr>
          <w:t>’s Q</w:t>
        </w:r>
        <w:r>
          <w:rPr>
            <w:color w:val="0000FF"/>
            <w:spacing w:val="-12"/>
            <w:u w:val="single" w:color="0000FF"/>
          </w:rPr>
          <w:t> </w:t>
        </w:r>
        <w:r>
          <w:rPr>
            <w:color w:val="0000FF"/>
            <w:u w:val="single" w:color="0000FF"/>
          </w:rPr>
          <w:t>uarter</w:t>
        </w:r>
        <w:r>
          <w:rPr>
            <w:color w:val="0000FF"/>
          </w:rPr>
          <w:t>ly</w:t>
        </w:r>
        <w:r>
          <w:rPr>
            <w:color w:val="0000FF"/>
            <w:spacing w:val="35"/>
            <w:u w:val="single" w:color="0000FF"/>
          </w:rPr>
          <w:t> </w:t>
        </w:r>
        <w:r>
          <w:rPr>
            <w:color w:val="0000FF"/>
            <w:u w:val="single" w:color="0000FF"/>
          </w:rPr>
          <w:t>Report on Form 10-</w:t>
        </w:r>
        <w:r>
          <w:rPr>
            <w:color w:val="0000FF"/>
            <w:u w:val="single" w:color="0000FF"/>
          </w:rPr>
          <w:t>Q</w:t>
        </w:r>
      </w:hyperlink>
      <w:r>
        <w:rPr>
          <w:color w:val="0000FF"/>
        </w:rPr>
        <w:t> </w:t>
      </w:r>
      <w:hyperlink r:id="rId33">
        <w:r>
          <w:rPr>
            <w:color w:val="0000FF"/>
            <w:u w:val="single" w:color="0000FF"/>
          </w:rPr>
          <w:t>filed on August 3, 2020).</w:t>
        </w:r>
      </w:hyperlink>
    </w:p>
    <w:p>
      <w:pPr>
        <w:pStyle w:val="BodyText"/>
      </w:pPr>
    </w:p>
    <w:p>
      <w:pPr>
        <w:pStyle w:val="BodyText"/>
      </w:pPr>
    </w:p>
    <w:p>
      <w:pPr>
        <w:pStyle w:val="BodyText"/>
        <w:spacing w:before="95"/>
      </w:pPr>
    </w:p>
    <w:p>
      <w:pPr>
        <w:pStyle w:val="BodyText"/>
        <w:ind w:left="24"/>
        <w:jc w:val="center"/>
      </w:pPr>
      <w:r>
        <w:rPr>
          <w:spacing w:val="-5"/>
        </w:rPr>
        <w:t>104</w:t>
      </w:r>
    </w:p>
    <w:p>
      <w:pPr>
        <w:pStyle w:val="BodyText"/>
        <w:spacing w:before="3"/>
        <w:rPr>
          <w:sz w:val="6"/>
        </w:rPr>
      </w:pPr>
      <w:r>
        <w:rPr/>
        <mc:AlternateContent>
          <mc:Choice Requires="wps">
            <w:drawing>
              <wp:anchor distT="0" distB="0" distL="0" distR="0" allowOverlap="1" layoutInCell="1" locked="0" behindDoc="1" simplePos="0" relativeHeight="487735296">
                <wp:simplePos x="0" y="0"/>
                <wp:positionH relativeFrom="page">
                  <wp:posOffset>231457</wp:posOffset>
                </wp:positionH>
                <wp:positionV relativeFrom="paragraph">
                  <wp:posOffset>60956</wp:posOffset>
                </wp:positionV>
                <wp:extent cx="7312659" cy="17145"/>
                <wp:effectExtent l="0" t="0" r="0" b="0"/>
                <wp:wrapTopAndBottom/>
                <wp:docPr id="729" name="Group 729"/>
                <wp:cNvGraphicFramePr>
                  <a:graphicFrameLocks/>
                </wp:cNvGraphicFramePr>
                <a:graphic>
                  <a:graphicData uri="http://schemas.microsoft.com/office/word/2010/wordprocessingGroup">
                    <wpg:wgp>
                      <wpg:cNvPr id="729" name="Group 729"/>
                      <wpg:cNvGrpSpPr/>
                      <wpg:grpSpPr>
                        <a:xfrm>
                          <a:off x="0" y="0"/>
                          <a:ext cx="7312659" cy="17145"/>
                          <a:chExt cx="7312659" cy="17145"/>
                        </a:xfrm>
                      </wpg:grpSpPr>
                      <wps:wsp>
                        <wps:cNvPr id="730" name="Graphic 73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31" name="Graphic 731"/>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32" name="Graphic 73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81184;mso-wrap-distance-left:0;mso-wrap-distance-right:0" id="docshapegroup727" coordorigin="364,96" coordsize="11516,27">
                <v:rect style="position:absolute;left:364;top:96;width:11516;height:14" id="docshape728" filled="true" fillcolor="#999999" stroked="false">
                  <v:fill type="solid"/>
                </v:rect>
                <v:shape style="position:absolute;left:364;top:95;width:11516;height:27" id="docshape729" coordorigin="364,96" coordsize="11516,27" path="m11880,96l11866,109,364,109,364,123,11866,123,11880,123,11880,109,11880,96xe" filled="true" fillcolor="#ededed" stroked="false">
                  <v:path arrowok="t"/>
                  <v:fill type="solid"/>
                </v:shape>
                <v:shape style="position:absolute;left:364;top:96;width:14;height:27" id="docshape730"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20" w:bottom="280" w:left="220" w:right="240"/>
        </w:sectPr>
      </w:pPr>
    </w:p>
    <w:p>
      <w:pPr>
        <w:pStyle w:val="BodyText"/>
        <w:tabs>
          <w:tab w:pos="1431" w:val="left" w:leader="none"/>
        </w:tabs>
        <w:spacing w:line="204" w:lineRule="auto" w:before="98"/>
        <w:ind w:left="1431" w:right="136" w:hanging="1269"/>
        <w:jc w:val="both"/>
      </w:pPr>
      <w:r>
        <w:rPr/>
        <mc:AlternateContent>
          <mc:Choice Requires="wps">
            <w:drawing>
              <wp:anchor distT="0" distB="0" distL="0" distR="0" allowOverlap="1" layoutInCell="1" locked="0" behindDoc="1" simplePos="0" relativeHeight="477781504">
                <wp:simplePos x="0" y="0"/>
                <wp:positionH relativeFrom="page">
                  <wp:posOffset>7493813</wp:posOffset>
                </wp:positionH>
                <wp:positionV relativeFrom="paragraph">
                  <wp:posOffset>159714</wp:posOffset>
                </wp:positionV>
                <wp:extent cx="38735" cy="8890"/>
                <wp:effectExtent l="0" t="0" r="0" b="0"/>
                <wp:wrapNone/>
                <wp:docPr id="733" name="Graphic 733"/>
                <wp:cNvGraphicFramePr>
                  <a:graphicFrameLocks/>
                </wp:cNvGraphicFramePr>
                <a:graphic>
                  <a:graphicData uri="http://schemas.microsoft.com/office/word/2010/wordprocessingShape">
                    <wps:wsp>
                      <wps:cNvPr id="733" name="Graphic 733"/>
                      <wps:cNvSpPr/>
                      <wps:spPr>
                        <a:xfrm>
                          <a:off x="0" y="0"/>
                          <a:ext cx="38735" cy="8890"/>
                        </a:xfrm>
                        <a:custGeom>
                          <a:avLst/>
                          <a:gdLst/>
                          <a:ahLst/>
                          <a:cxnLst/>
                          <a:rect l="l" t="t" r="r" b="b"/>
                          <a:pathLst>
                            <a:path w="38735" h="8890">
                              <a:moveTo>
                                <a:pt x="38595" y="0"/>
                              </a:moveTo>
                              <a:lnTo>
                                <a:pt x="0" y="0"/>
                              </a:lnTo>
                              <a:lnTo>
                                <a:pt x="0" y="8572"/>
                              </a:lnTo>
                              <a:lnTo>
                                <a:pt x="38595" y="8572"/>
                              </a:lnTo>
                              <a:lnTo>
                                <a:pt x="3859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0.064026pt;margin-top:12.575966pt;width:3.039pt;height:.675pt;mso-position-horizontal-relative:page;mso-position-vertical-relative:paragraph;z-index:-25534976" id="docshape731" filled="true" fillcolor="#0000ff" stroked="false">
                <v:fill type="solid"/>
                <w10:wrap type="none"/>
              </v:rect>
            </w:pict>
          </mc:Fallback>
        </mc:AlternateContent>
      </w:r>
      <w:r>
        <w:rPr>
          <w:spacing w:val="-2"/>
        </w:rPr>
        <w:t>10.1(5)</w:t>
      </w:r>
      <w:r>
        <w:rPr/>
        <w:tab/>
      </w:r>
      <w:hyperlink r:id="rId34">
        <w:r>
          <w:rPr>
            <w:color w:val="0000FF"/>
            <w:position w:val="1"/>
            <w:u w:val="single" w:color="0000FF"/>
          </w:rPr>
          <w:t>Revolving</w:t>
        </w:r>
        <w:r>
          <w:rPr>
            <w:color w:val="0000FF"/>
            <w:spacing w:val="-12"/>
            <w:position w:val="1"/>
            <w:u w:val="single" w:color="0000FF"/>
          </w:rPr>
          <w:t> </w:t>
        </w:r>
        <w:r>
          <w:rPr>
            <w:color w:val="0000FF"/>
            <w:position w:val="1"/>
            <w:u w:val="single" w:color="0000FF"/>
          </w:rPr>
          <w:t>Credit Facili</w:t>
        </w:r>
        <w:r>
          <w:rPr>
            <w:color w:val="0000FF"/>
            <w:position w:val="1"/>
          </w:rPr>
          <w:t>ty</w:t>
        </w:r>
        <w:r>
          <w:rPr>
            <w:color w:val="0000FF"/>
            <w:spacing w:val="32"/>
            <w:position w:val="1"/>
            <w:u w:val="single" w:color="0000FF"/>
          </w:rPr>
          <w:t> </w:t>
        </w:r>
        <w:r>
          <w:rPr>
            <w:color w:val="0000FF"/>
            <w:position w:val="1"/>
            <w:u w:val="single" w:color="0000FF"/>
          </w:rPr>
          <w:t>Agreement, dated May</w:t>
        </w:r>
        <w:r>
          <w:rPr>
            <w:color w:val="0000FF"/>
            <w:spacing w:val="40"/>
            <w:position w:val="1"/>
            <w:u w:val="single" w:color="0000FF"/>
          </w:rPr>
          <w:t> </w:t>
        </w:r>
        <w:r>
          <w:rPr>
            <w:color w:val="0000FF"/>
            <w:position w:val="1"/>
            <w:u w:val="single" w:color="0000FF"/>
          </w:rPr>
          <w:t>26, 2020 (the “2020 Revolving Credit Facili</w:t>
        </w:r>
        <w:r>
          <w:rPr>
            <w:color w:val="0000FF"/>
            <w:position w:val="1"/>
          </w:rPr>
          <w:t>ty</w:t>
        </w:r>
        <w:r>
          <w:rPr>
            <w:color w:val="0000FF"/>
            <w:spacing w:val="-12"/>
            <w:position w:val="1"/>
            <w:u w:val="single" w:color="0000FF"/>
          </w:rPr>
          <w:t> </w:t>
        </w:r>
        <w:r>
          <w:rPr>
            <w:color w:val="0000FF"/>
            <w:position w:val="1"/>
            <w:u w:val="single" w:color="0000FF"/>
          </w:rPr>
          <w:t>”</w:t>
        </w:r>
        <w:r>
          <w:rPr>
            <w:color w:val="0000FF"/>
            <w:position w:val="1"/>
          </w:rPr>
          <w:t>)</w:t>
        </w:r>
        <w:r>
          <w:rPr>
            <w:color w:val="0000FF"/>
            <w:spacing w:val="-11"/>
            <w:position w:val="1"/>
            <w:u w:val="single" w:color="0000FF"/>
          </w:rPr>
          <w:t> </w:t>
        </w:r>
        <w:r>
          <w:rPr>
            <w:color w:val="0000FF"/>
            <w:position w:val="1"/>
          </w:rPr>
          <w:t>,</w:t>
        </w:r>
        <w:r>
          <w:rPr>
            <w:color w:val="0000FF"/>
            <w:position w:val="1"/>
            <w:u w:val="single" w:color="0000FF"/>
          </w:rPr>
          <w:t> by</w:t>
        </w:r>
        <w:r>
          <w:rPr>
            <w:color w:val="0000FF"/>
            <w:spacing w:val="40"/>
            <w:position w:val="1"/>
            <w:u w:val="single" w:color="0000FF"/>
          </w:rPr>
          <w:t> </w:t>
        </w:r>
        <w:r>
          <w:rPr>
            <w:color w:val="0000FF"/>
            <w:position w:val="1"/>
            <w:u w:val="single" w:color="0000FF"/>
          </w:rPr>
          <w:t>and among MGM China Holdin</w:t>
        </w:r>
        <w:r>
          <w:rPr>
            <w:color w:val="0000FF"/>
            <w:position w:val="1"/>
          </w:rPr>
          <w:t>gs </w:t>
        </w:r>
        <w:r>
          <w:rPr>
            <w:color w:val="0000FF"/>
            <w:u w:val="single" w:color="0000FF"/>
          </w:rPr>
          <w:t>Limited</w:t>
        </w:r>
        <w:r>
          <w:rPr>
            <w:color w:val="0000FF"/>
            <w:spacing w:val="-7"/>
            <w:u w:val="single" w:color="0000FF"/>
          </w:rPr>
          <w:t> </w:t>
        </w:r>
        <w:r>
          <w:rPr>
            <w:color w:val="0000FF"/>
            <w:u w:val="single" w:color="0000FF"/>
          </w:rPr>
          <w:t>and certain Lenders par</w:t>
        </w:r>
        <w:r>
          <w:rPr>
            <w:color w:val="0000FF"/>
          </w:rPr>
          <w:t>ty</w:t>
        </w:r>
        <w:r>
          <w:rPr>
            <w:color w:val="0000FF"/>
            <w:spacing w:val="27"/>
            <w:u w:val="single" w:color="0000FF"/>
          </w:rPr>
          <w:t> </w:t>
        </w:r>
        <w:r>
          <w:rPr>
            <w:color w:val="0000FF"/>
            <w:u w:val="single" w:color="0000FF"/>
          </w:rPr>
          <w:t>thereto (incorporated by</w:t>
        </w:r>
        <w:r>
          <w:rPr>
            <w:color w:val="0000FF"/>
            <w:spacing w:val="27"/>
            <w:u w:val="single" w:color="0000FF"/>
          </w:rPr>
          <w:t> </w:t>
        </w:r>
        <w:r>
          <w:rPr>
            <w:color w:val="0000FF"/>
            <w:u w:val="single" w:color="0000FF"/>
          </w:rPr>
          <w:t>reference to Exhibit 10.1 of the Company</w:t>
        </w:r>
        <w:r>
          <w:rPr>
            <w:color w:val="0000FF"/>
            <w:spacing w:val="-12"/>
            <w:u w:val="single" w:color="0000FF"/>
          </w:rPr>
          <w:t> </w:t>
        </w:r>
        <w:r>
          <w:rPr>
            <w:color w:val="0000FF"/>
            <w:u w:val="single" w:color="0000FF"/>
          </w:rPr>
          <w:t>'s Current Report on Form 8-K filed on</w:t>
        </w:r>
      </w:hyperlink>
      <w:r>
        <w:rPr>
          <w:color w:val="0000FF"/>
        </w:rPr>
        <w:t> </w:t>
      </w:r>
      <w:hyperlink r:id="rId34">
        <w:r>
          <w:rPr>
            <w:color w:val="0000FF"/>
            <w:u w:val="single" w:color="0000FF"/>
          </w:rPr>
          <w:t>May</w:t>
        </w:r>
        <w:r>
          <w:rPr>
            <w:color w:val="0000FF"/>
            <w:spacing w:val="40"/>
            <w:u w:val="single" w:color="0000FF"/>
          </w:rPr>
          <w:t> </w:t>
        </w:r>
        <w:r>
          <w:rPr>
            <w:color w:val="0000FF"/>
            <w:u w:val="single" w:color="0000FF"/>
          </w:rPr>
          <w:t>29, 2020).</w:t>
        </w:r>
      </w:hyperlink>
    </w:p>
    <w:p>
      <w:pPr>
        <w:pStyle w:val="BodyText"/>
        <w:tabs>
          <w:tab w:pos="1293" w:val="left" w:leader="none"/>
        </w:tabs>
        <w:spacing w:line="201" w:lineRule="exact" w:before="31"/>
        <w:ind w:left="24"/>
        <w:jc w:val="center"/>
      </w:pPr>
      <w:r>
        <w:rPr>
          <w:spacing w:val="-2"/>
        </w:rPr>
        <w:t>10.1(6)</w:t>
      </w:r>
      <w:r>
        <w:rPr/>
        <w:tab/>
      </w:r>
      <w:hyperlink r:id="rId35">
        <w:r>
          <w:rPr>
            <w:color w:val="0000FF"/>
            <w:position w:val="1"/>
            <w:u w:val="single" w:color="0000FF"/>
          </w:rPr>
          <w:t>Increase</w:t>
        </w:r>
        <w:r>
          <w:rPr>
            <w:color w:val="0000FF"/>
            <w:spacing w:val="20"/>
            <w:position w:val="1"/>
            <w:u w:val="single" w:color="0000FF"/>
          </w:rPr>
          <w:t> </w:t>
        </w:r>
        <w:r>
          <w:rPr>
            <w:color w:val="0000FF"/>
            <w:position w:val="1"/>
            <w:u w:val="single" w:color="0000FF"/>
          </w:rPr>
          <w:t>Confirmation</w:t>
        </w:r>
        <w:r>
          <w:rPr>
            <w:color w:val="0000FF"/>
            <w:spacing w:val="22"/>
            <w:position w:val="1"/>
            <w:u w:val="single" w:color="0000FF"/>
          </w:rPr>
          <w:t> </w:t>
        </w:r>
        <w:r>
          <w:rPr>
            <w:color w:val="0000FF"/>
            <w:position w:val="1"/>
            <w:u w:val="single" w:color="0000FF"/>
          </w:rPr>
          <w:t>to</w:t>
        </w:r>
        <w:r>
          <w:rPr>
            <w:color w:val="0000FF"/>
            <w:spacing w:val="23"/>
            <w:position w:val="1"/>
            <w:u w:val="single" w:color="0000FF"/>
          </w:rPr>
          <w:t> </w:t>
        </w:r>
        <w:r>
          <w:rPr>
            <w:color w:val="0000FF"/>
            <w:position w:val="1"/>
            <w:u w:val="single" w:color="0000FF"/>
          </w:rPr>
          <w:t>2020</w:t>
        </w:r>
        <w:r>
          <w:rPr>
            <w:color w:val="0000FF"/>
            <w:spacing w:val="22"/>
            <w:position w:val="1"/>
            <w:u w:val="single" w:color="0000FF"/>
          </w:rPr>
          <w:t> </w:t>
        </w:r>
        <w:r>
          <w:rPr>
            <w:color w:val="0000FF"/>
            <w:position w:val="1"/>
            <w:u w:val="single" w:color="0000FF"/>
          </w:rPr>
          <w:t>Revolving</w:t>
        </w:r>
        <w:r>
          <w:rPr>
            <w:color w:val="0000FF"/>
            <w:spacing w:val="13"/>
            <w:position w:val="1"/>
            <w:u w:val="single" w:color="0000FF"/>
          </w:rPr>
          <w:t> </w:t>
        </w:r>
        <w:r>
          <w:rPr>
            <w:color w:val="0000FF"/>
            <w:position w:val="1"/>
            <w:u w:val="single" w:color="0000FF"/>
          </w:rPr>
          <w:t>Credit</w:t>
        </w:r>
        <w:r>
          <w:rPr>
            <w:color w:val="0000FF"/>
            <w:spacing w:val="22"/>
            <w:position w:val="1"/>
            <w:u w:val="single" w:color="0000FF"/>
          </w:rPr>
          <w:t> </w:t>
        </w:r>
        <w:r>
          <w:rPr>
            <w:color w:val="0000FF"/>
            <w:position w:val="1"/>
            <w:u w:val="single" w:color="0000FF"/>
          </w:rPr>
          <w:t>Facili</w:t>
        </w:r>
        <w:r>
          <w:rPr>
            <w:color w:val="0000FF"/>
            <w:position w:val="1"/>
          </w:rPr>
          <w:t>ty</w:t>
        </w:r>
        <w:r>
          <w:rPr>
            <w:color w:val="0000FF"/>
            <w:spacing w:val="52"/>
            <w:position w:val="1"/>
            <w:u w:val="single" w:color="0000FF"/>
          </w:rPr>
          <w:t> </w:t>
        </w:r>
        <w:r>
          <w:rPr>
            <w:color w:val="0000FF"/>
            <w:position w:val="1"/>
            <w:u w:val="single" w:color="0000FF"/>
          </w:rPr>
          <w:t>dated</w:t>
        </w:r>
        <w:r>
          <w:rPr>
            <w:color w:val="0000FF"/>
            <w:spacing w:val="22"/>
            <w:position w:val="1"/>
            <w:u w:val="single" w:color="0000FF"/>
          </w:rPr>
          <w:t> </w:t>
        </w:r>
        <w:r>
          <w:rPr>
            <w:color w:val="0000FF"/>
            <w:position w:val="1"/>
            <w:u w:val="single" w:color="0000FF"/>
          </w:rPr>
          <w:t>as</w:t>
        </w:r>
        <w:r>
          <w:rPr>
            <w:color w:val="0000FF"/>
            <w:spacing w:val="23"/>
            <w:position w:val="1"/>
            <w:u w:val="single" w:color="0000FF"/>
          </w:rPr>
          <w:t> </w:t>
        </w:r>
        <w:r>
          <w:rPr>
            <w:color w:val="0000FF"/>
            <w:position w:val="1"/>
            <w:u w:val="single" w:color="0000FF"/>
          </w:rPr>
          <w:t>of</w:t>
        </w:r>
        <w:r>
          <w:rPr>
            <w:color w:val="0000FF"/>
            <w:spacing w:val="22"/>
            <w:position w:val="1"/>
            <w:u w:val="single" w:color="0000FF"/>
          </w:rPr>
          <w:t> </w:t>
        </w:r>
        <w:r>
          <w:rPr>
            <w:color w:val="0000FF"/>
            <w:position w:val="1"/>
            <w:u w:val="single" w:color="0000FF"/>
          </w:rPr>
          <w:t>June</w:t>
        </w:r>
        <w:r>
          <w:rPr>
            <w:color w:val="0000FF"/>
            <w:spacing w:val="22"/>
            <w:position w:val="1"/>
            <w:u w:val="single" w:color="0000FF"/>
          </w:rPr>
          <w:t> </w:t>
        </w:r>
        <w:r>
          <w:rPr>
            <w:color w:val="0000FF"/>
            <w:position w:val="1"/>
            <w:u w:val="single" w:color="0000FF"/>
          </w:rPr>
          <w:t>29,</w:t>
        </w:r>
        <w:r>
          <w:rPr>
            <w:color w:val="0000FF"/>
            <w:spacing w:val="23"/>
            <w:position w:val="1"/>
            <w:u w:val="single" w:color="0000FF"/>
          </w:rPr>
          <w:t> </w:t>
        </w:r>
        <w:r>
          <w:rPr>
            <w:color w:val="0000FF"/>
            <w:position w:val="1"/>
            <w:u w:val="single" w:color="0000FF"/>
          </w:rPr>
          <w:t>2020</w:t>
        </w:r>
        <w:r>
          <w:rPr>
            <w:color w:val="0000FF"/>
            <w:spacing w:val="22"/>
            <w:position w:val="1"/>
            <w:u w:val="single" w:color="0000FF"/>
          </w:rPr>
          <w:t> </w:t>
        </w:r>
        <w:r>
          <w:rPr>
            <w:color w:val="0000FF"/>
            <w:position w:val="1"/>
            <w:u w:val="single" w:color="0000FF"/>
          </w:rPr>
          <w:t>between</w:t>
        </w:r>
        <w:r>
          <w:rPr>
            <w:color w:val="0000FF"/>
            <w:spacing w:val="23"/>
            <w:position w:val="1"/>
            <w:u w:val="single" w:color="0000FF"/>
          </w:rPr>
          <w:t> </w:t>
        </w:r>
        <w:r>
          <w:rPr>
            <w:color w:val="0000FF"/>
            <w:position w:val="1"/>
            <w:u w:val="single" w:color="0000FF"/>
          </w:rPr>
          <w:t>the</w:t>
        </w:r>
        <w:r>
          <w:rPr>
            <w:color w:val="0000FF"/>
            <w:spacing w:val="22"/>
            <w:position w:val="1"/>
            <w:u w:val="single" w:color="0000FF"/>
          </w:rPr>
          <w:t> </w:t>
        </w:r>
        <w:r>
          <w:rPr>
            <w:color w:val="0000FF"/>
            <w:position w:val="1"/>
            <w:u w:val="single" w:color="0000FF"/>
          </w:rPr>
          <w:t>Increase</w:t>
        </w:r>
        <w:r>
          <w:rPr>
            <w:color w:val="0000FF"/>
            <w:spacing w:val="23"/>
            <w:position w:val="1"/>
            <w:u w:val="single" w:color="0000FF"/>
          </w:rPr>
          <w:t> </w:t>
        </w:r>
        <w:r>
          <w:rPr>
            <w:color w:val="0000FF"/>
            <w:position w:val="1"/>
            <w:u w:val="single" w:color="0000FF"/>
          </w:rPr>
          <w:t>Lender</w:t>
        </w:r>
        <w:r>
          <w:rPr>
            <w:color w:val="0000FF"/>
            <w:spacing w:val="22"/>
            <w:position w:val="1"/>
            <w:u w:val="single" w:color="0000FF"/>
          </w:rPr>
          <w:t> </w:t>
        </w:r>
        <w:r>
          <w:rPr>
            <w:color w:val="0000FF"/>
            <w:position w:val="1"/>
            <w:u w:val="single" w:color="0000FF"/>
          </w:rPr>
          <w:t>and</w:t>
        </w:r>
        <w:r>
          <w:rPr>
            <w:color w:val="0000FF"/>
            <w:spacing w:val="22"/>
            <w:position w:val="1"/>
            <w:u w:val="single" w:color="0000FF"/>
          </w:rPr>
          <w:t> </w:t>
        </w:r>
        <w:r>
          <w:rPr>
            <w:color w:val="0000FF"/>
            <w:position w:val="1"/>
            <w:u w:val="single" w:color="0000FF"/>
          </w:rPr>
          <w:t>the</w:t>
        </w:r>
        <w:r>
          <w:rPr>
            <w:color w:val="0000FF"/>
            <w:spacing w:val="23"/>
            <w:position w:val="1"/>
            <w:u w:val="single" w:color="0000FF"/>
          </w:rPr>
          <w:t> </w:t>
        </w:r>
        <w:r>
          <w:rPr>
            <w:color w:val="0000FF"/>
            <w:position w:val="1"/>
            <w:u w:val="single" w:color="0000FF"/>
          </w:rPr>
          <w:t>Facili</w:t>
        </w:r>
        <w:r>
          <w:rPr>
            <w:color w:val="0000FF"/>
            <w:position w:val="1"/>
          </w:rPr>
          <w:t>ty</w:t>
        </w:r>
        <w:r>
          <w:rPr>
            <w:color w:val="0000FF"/>
            <w:spacing w:val="42"/>
            <w:position w:val="1"/>
            <w:u w:val="single" w:color="0000FF"/>
          </w:rPr>
          <w:t> </w:t>
        </w:r>
        <w:r>
          <w:rPr>
            <w:color w:val="0000FF"/>
            <w:spacing w:val="-2"/>
            <w:position w:val="1"/>
            <w:u w:val="single" w:color="0000FF"/>
          </w:rPr>
          <w:t>Agent</w:t>
        </w:r>
      </w:hyperlink>
    </w:p>
    <w:p>
      <w:pPr>
        <w:pStyle w:val="BodyText"/>
        <w:spacing w:line="191" w:lineRule="exact"/>
        <w:ind w:right="14"/>
        <w:jc w:val="center"/>
      </w:pPr>
      <w:hyperlink r:id="rId35">
        <w:r>
          <w:rPr>
            <w:color w:val="0000FF"/>
            <w:spacing w:val="-47"/>
            <w:u w:val="single" w:color="0000FF"/>
          </w:rPr>
          <w:t> </w:t>
        </w:r>
        <w:r>
          <w:rPr>
            <w:color w:val="0000FF"/>
          </w:rPr>
          <w:t>(</w:t>
        </w:r>
        <w:r>
          <w:rPr>
            <w:color w:val="0000FF"/>
            <w:u w:val="single" w:color="0000FF"/>
          </w:rPr>
          <w:t>incorporated</w:t>
        </w:r>
        <w:r>
          <w:rPr>
            <w:color w:val="0000FF"/>
            <w:spacing w:val="-14"/>
            <w:u w:val="single" w:color="0000FF"/>
          </w:rPr>
          <w:t> </w:t>
        </w:r>
        <w:r>
          <w:rPr>
            <w:color w:val="0000FF"/>
            <w:u w:val="single" w:color="0000FF"/>
          </w:rPr>
          <w:t>by</w:t>
        </w:r>
        <w:r>
          <w:rPr>
            <w:color w:val="0000FF"/>
            <w:spacing w:val="20"/>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10.1(13)</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5"/>
            <w:u w:val="single" w:color="0000FF"/>
          </w:rPr>
          <w:t> </w:t>
        </w:r>
        <w:r>
          <w:rPr>
            <w:color w:val="0000FF"/>
            <w:u w:val="single" w:color="0000FF"/>
          </w:rPr>
          <w:t>’s</w:t>
        </w:r>
        <w:r>
          <w:rPr>
            <w:color w:val="0000FF"/>
            <w:spacing w:val="-11"/>
            <w:u w:val="single" w:color="0000FF"/>
          </w:rPr>
          <w:t> </w:t>
        </w:r>
        <w:r>
          <w:rPr>
            <w:color w:val="0000FF"/>
            <w:u w:val="single" w:color="0000FF"/>
          </w:rPr>
          <w:t>Annual</w:t>
        </w:r>
        <w:r>
          <w:rPr>
            <w:color w:val="0000FF"/>
            <w:spacing w:val="-6"/>
            <w:u w:val="single" w:color="0000FF"/>
          </w:rPr>
          <w:t> </w:t>
        </w:r>
        <w:r>
          <w:rPr>
            <w:color w:val="0000FF"/>
            <w:u w:val="single" w:color="0000FF"/>
          </w:rPr>
          <w:t>Report</w:t>
        </w:r>
        <w:r>
          <w:rPr>
            <w:color w:val="0000FF"/>
            <w:spacing w:val="-7"/>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filed</w:t>
        </w:r>
        <w:r>
          <w:rPr>
            <w:color w:val="0000FF"/>
            <w:spacing w:val="-6"/>
            <w:u w:val="single" w:color="0000FF"/>
          </w:rPr>
          <w:t> </w:t>
        </w:r>
        <w:r>
          <w:rPr>
            <w:color w:val="0000FF"/>
            <w:u w:val="single" w:color="0000FF"/>
          </w:rPr>
          <w:t>on</w:t>
        </w:r>
        <w:r>
          <w:rPr>
            <w:color w:val="0000FF"/>
            <w:spacing w:val="-6"/>
            <w:u w:val="single" w:color="0000FF"/>
          </w:rPr>
          <w:t> </w:t>
        </w:r>
        <w:r>
          <w:rPr>
            <w:color w:val="0000FF"/>
            <w:u w:val="single" w:color="0000FF"/>
          </w:rPr>
          <w:t>February</w:t>
        </w:r>
        <w:r>
          <w:rPr>
            <w:color w:val="0000FF"/>
            <w:spacing w:val="21"/>
            <w:u w:val="single" w:color="0000FF"/>
          </w:rPr>
          <w:t> </w:t>
        </w:r>
        <w:r>
          <w:rPr>
            <w:color w:val="0000FF"/>
            <w:u w:val="single" w:color="0000FF"/>
          </w:rPr>
          <w:t>26,</w:t>
        </w:r>
        <w:r>
          <w:rPr>
            <w:color w:val="0000FF"/>
            <w:spacing w:val="-6"/>
            <w:u w:val="single" w:color="0000FF"/>
          </w:rPr>
          <w:t> </w:t>
        </w:r>
        <w:r>
          <w:rPr>
            <w:color w:val="0000FF"/>
            <w:spacing w:val="-2"/>
            <w:u w:val="single" w:color="0000FF"/>
          </w:rPr>
          <w:t>2021).</w:t>
        </w:r>
      </w:hyperlink>
    </w:p>
    <w:p>
      <w:pPr>
        <w:pStyle w:val="BodyText"/>
        <w:tabs>
          <w:tab w:pos="1431" w:val="left" w:leader="none"/>
        </w:tabs>
        <w:spacing w:line="204" w:lineRule="auto" w:before="52"/>
        <w:ind w:left="1431" w:right="135" w:hanging="1269"/>
        <w:jc w:val="both"/>
      </w:pPr>
      <w:r>
        <w:rPr/>
        <mc:AlternateContent>
          <mc:Choice Requires="wps">
            <w:drawing>
              <wp:anchor distT="0" distB="0" distL="0" distR="0" allowOverlap="1" layoutInCell="1" locked="0" behindDoc="1" simplePos="0" relativeHeight="477782016">
                <wp:simplePos x="0" y="0"/>
                <wp:positionH relativeFrom="page">
                  <wp:posOffset>1048651</wp:posOffset>
                </wp:positionH>
                <wp:positionV relativeFrom="paragraph">
                  <wp:posOffset>241446</wp:posOffset>
                </wp:positionV>
                <wp:extent cx="259079" cy="8890"/>
                <wp:effectExtent l="0" t="0" r="0" b="0"/>
                <wp:wrapNone/>
                <wp:docPr id="734" name="Graphic 734"/>
                <wp:cNvGraphicFramePr>
                  <a:graphicFrameLocks/>
                </wp:cNvGraphicFramePr>
                <a:graphic>
                  <a:graphicData uri="http://schemas.microsoft.com/office/word/2010/wordprocessingShape">
                    <wps:wsp>
                      <wps:cNvPr id="734" name="Graphic 734"/>
                      <wps:cNvSpPr/>
                      <wps:spPr>
                        <a:xfrm>
                          <a:off x="0" y="0"/>
                          <a:ext cx="259079" cy="8890"/>
                        </a:xfrm>
                        <a:custGeom>
                          <a:avLst/>
                          <a:gdLst/>
                          <a:ahLst/>
                          <a:cxnLst/>
                          <a:rect l="l" t="t" r="r" b="b"/>
                          <a:pathLst>
                            <a:path w="259079" h="8890">
                              <a:moveTo>
                                <a:pt x="258457" y="0"/>
                              </a:moveTo>
                              <a:lnTo>
                                <a:pt x="0" y="0"/>
                              </a:lnTo>
                              <a:lnTo>
                                <a:pt x="0" y="8572"/>
                              </a:lnTo>
                              <a:lnTo>
                                <a:pt x="258457" y="8572"/>
                              </a:lnTo>
                              <a:lnTo>
                                <a:pt x="25845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82.571007pt;margin-top:19.011564pt;width:20.351001pt;height:.675pt;mso-position-horizontal-relative:page;mso-position-vertical-relative:paragraph;z-index:-25534464" id="docshape732" filled="true" fillcolor="#0000ff" stroked="false">
                <v:fill type="solid"/>
                <w10:wrap type="none"/>
              </v:rect>
            </w:pict>
          </mc:Fallback>
        </mc:AlternateContent>
      </w:r>
      <w:r>
        <w:rPr>
          <w:spacing w:val="-2"/>
        </w:rPr>
        <w:t>10.1(7)</w:t>
      </w:r>
      <w:r>
        <w:rPr/>
        <w:tab/>
      </w:r>
      <w:hyperlink r:id="rId36">
        <w:r>
          <w:rPr>
            <w:color w:val="0000FF"/>
            <w:position w:val="1"/>
            <w:u w:val="single" w:color="0000FF"/>
          </w:rPr>
          <w:t>Amendment</w:t>
        </w:r>
        <w:r>
          <w:rPr>
            <w:color w:val="0000FF"/>
            <w:spacing w:val="-12"/>
            <w:position w:val="1"/>
            <w:u w:val="single" w:color="0000FF"/>
          </w:rPr>
          <w:t> </w:t>
        </w:r>
        <w:r>
          <w:rPr>
            <w:color w:val="0000FF"/>
            <w:position w:val="1"/>
            <w:u w:val="single" w:color="0000FF"/>
          </w:rPr>
          <w:t>Letter to the 2019 Revolving</w:t>
        </w:r>
        <w:r>
          <w:rPr>
            <w:color w:val="0000FF"/>
            <w:spacing w:val="-3"/>
            <w:position w:val="1"/>
            <w:u w:val="single" w:color="0000FF"/>
          </w:rPr>
          <w:t> </w:t>
        </w:r>
        <w:r>
          <w:rPr>
            <w:color w:val="0000FF"/>
            <w:position w:val="1"/>
            <w:u w:val="single" w:color="0000FF"/>
          </w:rPr>
          <w:t>Credit Facili</w:t>
        </w:r>
        <w:r>
          <w:rPr>
            <w:color w:val="0000FF"/>
            <w:position w:val="1"/>
          </w:rPr>
          <w:t>ty</w:t>
        </w:r>
        <w:r>
          <w:rPr>
            <w:color w:val="0000FF"/>
            <w:spacing w:val="-12"/>
            <w:position w:val="1"/>
            <w:u w:val="single" w:color="0000FF"/>
          </w:rPr>
          <w:t> </w:t>
        </w:r>
        <w:r>
          <w:rPr>
            <w:color w:val="0000FF"/>
            <w:position w:val="1"/>
          </w:rPr>
          <w:t>,</w:t>
        </w:r>
        <w:r>
          <w:rPr>
            <w:color w:val="0000FF"/>
            <w:position w:val="1"/>
            <w:u w:val="single" w:color="0000FF"/>
          </w:rPr>
          <w:t> dated October 5, 2020, by</w:t>
        </w:r>
        <w:r>
          <w:rPr>
            <w:color w:val="0000FF"/>
            <w:spacing w:val="33"/>
            <w:position w:val="1"/>
            <w:u w:val="single" w:color="0000FF"/>
          </w:rPr>
          <w:t> </w:t>
        </w:r>
        <w:r>
          <w:rPr>
            <w:color w:val="0000FF"/>
            <w:position w:val="1"/>
            <w:u w:val="single" w:color="0000FF"/>
          </w:rPr>
          <w:t>and among</w:t>
        </w:r>
        <w:r>
          <w:rPr>
            <w:color w:val="0000FF"/>
            <w:spacing w:val="-3"/>
            <w:position w:val="1"/>
            <w:u w:val="single" w:color="0000FF"/>
          </w:rPr>
          <w:t> </w:t>
        </w:r>
        <w:r>
          <w:rPr>
            <w:color w:val="0000FF"/>
            <w:position w:val="1"/>
            <w:u w:val="single" w:color="0000FF"/>
          </w:rPr>
          <w:t>MGM China Holdings Limited and certain</w:t>
        </w:r>
        <w:r>
          <w:rPr>
            <w:color w:val="0000FF"/>
            <w:position w:val="1"/>
          </w:rPr>
          <w:t> </w:t>
        </w:r>
        <w:r>
          <w:rPr>
            <w:color w:val="0000FF"/>
          </w:rPr>
          <w:t>Arrang</w:t>
        </w:r>
        <w:r>
          <w:rPr>
            <w:color w:val="0000FF"/>
            <w:u w:val="single" w:color="0000FF"/>
          </w:rPr>
          <w:t>ers</w:t>
        </w:r>
        <w:r>
          <w:rPr>
            <w:color w:val="0000FF"/>
            <w:spacing w:val="-8"/>
            <w:u w:val="single" w:color="0000FF"/>
          </w:rPr>
          <w:t> </w:t>
        </w:r>
        <w:r>
          <w:rPr>
            <w:color w:val="0000FF"/>
            <w:u w:val="single" w:color="0000FF"/>
          </w:rPr>
          <w:t>and</w:t>
        </w:r>
        <w:r>
          <w:rPr>
            <w:color w:val="0000FF"/>
            <w:spacing w:val="-1"/>
            <w:u w:val="single" w:color="0000FF"/>
          </w:rPr>
          <w:t> </w:t>
        </w:r>
        <w:r>
          <w:rPr>
            <w:color w:val="0000FF"/>
            <w:u w:val="single" w:color="0000FF"/>
          </w:rPr>
          <w:t>Lenders</w:t>
        </w:r>
        <w:r>
          <w:rPr>
            <w:color w:val="0000FF"/>
            <w:spacing w:val="-1"/>
            <w:u w:val="single" w:color="0000FF"/>
          </w:rPr>
          <w:t> </w:t>
        </w:r>
        <w:r>
          <w:rPr>
            <w:color w:val="0000FF"/>
            <w:u w:val="single" w:color="0000FF"/>
          </w:rPr>
          <w:t>Par</w:t>
        </w:r>
        <w:r>
          <w:rPr>
            <w:color w:val="0000FF"/>
          </w:rPr>
          <w:t>ty</w:t>
        </w:r>
        <w:r>
          <w:rPr>
            <w:color w:val="0000FF"/>
            <w:spacing w:val="25"/>
            <w:u w:val="single" w:color="0000FF"/>
          </w:rPr>
          <w:t> </w:t>
        </w:r>
        <w:r>
          <w:rPr>
            <w:color w:val="0000FF"/>
            <w:u w:val="single" w:color="0000FF"/>
          </w:rPr>
          <w:t>thereto</w:t>
        </w:r>
        <w:r>
          <w:rPr>
            <w:color w:val="0000FF"/>
            <w:spacing w:val="-1"/>
            <w:u w:val="single" w:color="0000FF"/>
          </w:rPr>
          <w:t> </w:t>
        </w:r>
        <w:r>
          <w:rPr>
            <w:color w:val="0000FF"/>
            <w:u w:val="single" w:color="0000FF"/>
          </w:rPr>
          <w:t>(incorporated</w:t>
        </w:r>
        <w:r>
          <w:rPr>
            <w:color w:val="0000FF"/>
            <w:spacing w:val="-1"/>
            <w:u w:val="single" w:color="0000FF"/>
          </w:rPr>
          <w:t> </w:t>
        </w:r>
        <w:r>
          <w:rPr>
            <w:color w:val="0000FF"/>
            <w:u w:val="single" w:color="0000FF"/>
          </w:rPr>
          <w:t>by</w:t>
        </w:r>
        <w:r>
          <w:rPr>
            <w:color w:val="0000FF"/>
            <w:spacing w:val="25"/>
            <w:u w:val="single" w:color="0000FF"/>
          </w:rPr>
          <w:t> </w:t>
        </w:r>
        <w:r>
          <w:rPr>
            <w:color w:val="0000FF"/>
            <w:u w:val="single" w:color="0000FF"/>
          </w:rPr>
          <w:t>reference</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Exhibit</w:t>
        </w:r>
        <w:r>
          <w:rPr>
            <w:color w:val="0000FF"/>
            <w:spacing w:val="-1"/>
            <w:u w:val="single" w:color="0000FF"/>
          </w:rPr>
          <w:t> </w:t>
        </w:r>
        <w:r>
          <w:rPr>
            <w:color w:val="0000FF"/>
            <w:u w:val="single" w:color="0000FF"/>
          </w:rPr>
          <w:t>10.1(14)</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the</w:t>
        </w:r>
        <w:r>
          <w:rPr>
            <w:color w:val="0000FF"/>
            <w:spacing w:val="-1"/>
            <w:u w:val="single" w:color="0000FF"/>
          </w:rPr>
          <w:t> </w:t>
        </w:r>
        <w:r>
          <w:rPr>
            <w:color w:val="0000FF"/>
            <w:u w:val="single" w:color="0000FF"/>
          </w:rPr>
          <w:t>Company</w:t>
        </w:r>
        <w:r>
          <w:rPr>
            <w:color w:val="0000FF"/>
            <w:spacing w:val="-12"/>
            <w:u w:val="single" w:color="0000FF"/>
          </w:rPr>
          <w:t> </w:t>
        </w:r>
        <w:r>
          <w:rPr>
            <w:color w:val="0000FF"/>
            <w:u w:val="single" w:color="0000FF"/>
          </w:rPr>
          <w:t>’s</w:t>
        </w:r>
        <w:r>
          <w:rPr>
            <w:color w:val="0000FF"/>
            <w:spacing w:val="-9"/>
            <w:u w:val="single" w:color="0000FF"/>
          </w:rPr>
          <w:t> </w:t>
        </w:r>
        <w:r>
          <w:rPr>
            <w:color w:val="0000FF"/>
            <w:u w:val="single" w:color="0000FF"/>
          </w:rPr>
          <w:t>Annual</w:t>
        </w:r>
        <w:r>
          <w:rPr>
            <w:color w:val="0000FF"/>
            <w:spacing w:val="-1"/>
            <w:u w:val="single" w:color="0000FF"/>
          </w:rPr>
          <w:t> </w:t>
        </w:r>
        <w:r>
          <w:rPr>
            <w:color w:val="0000FF"/>
            <w:u w:val="single" w:color="0000FF"/>
          </w:rPr>
          <w:t>Report</w:t>
        </w:r>
        <w:r>
          <w:rPr>
            <w:color w:val="0000FF"/>
            <w:spacing w:val="-1"/>
            <w:u w:val="single" w:color="0000FF"/>
          </w:rPr>
          <w:t> </w:t>
        </w:r>
        <w:r>
          <w:rPr>
            <w:color w:val="0000FF"/>
            <w:u w:val="single" w:color="0000FF"/>
          </w:rPr>
          <w:t>on</w:t>
        </w:r>
        <w:r>
          <w:rPr>
            <w:color w:val="0000FF"/>
            <w:spacing w:val="-1"/>
            <w:u w:val="single" w:color="0000FF"/>
          </w:rPr>
          <w:t> </w:t>
        </w:r>
        <w:r>
          <w:rPr>
            <w:color w:val="0000FF"/>
            <w:u w:val="single" w:color="0000FF"/>
          </w:rPr>
          <w:t>Form</w:t>
        </w:r>
        <w:r>
          <w:rPr>
            <w:color w:val="0000FF"/>
            <w:spacing w:val="-1"/>
            <w:u w:val="single" w:color="0000FF"/>
          </w:rPr>
          <w:t> </w:t>
        </w:r>
        <w:r>
          <w:rPr>
            <w:color w:val="0000FF"/>
            <w:u w:val="single" w:color="0000FF"/>
          </w:rPr>
          <w:t>10-K</w:t>
        </w:r>
        <w:r>
          <w:rPr>
            <w:color w:val="0000FF"/>
            <w:spacing w:val="-1"/>
            <w:u w:val="single" w:color="0000FF"/>
          </w:rPr>
          <w:t> </w:t>
        </w:r>
        <w:r>
          <w:rPr>
            <w:color w:val="0000FF"/>
            <w:u w:val="single" w:color="0000FF"/>
          </w:rPr>
          <w:t>filed</w:t>
        </w:r>
        <w:r>
          <w:rPr>
            <w:color w:val="0000FF"/>
            <w:spacing w:val="-1"/>
            <w:u w:val="single" w:color="0000FF"/>
          </w:rPr>
          <w:t> </w:t>
        </w:r>
        <w:r>
          <w:rPr>
            <w:color w:val="0000FF"/>
            <w:u w:val="single" w:color="0000FF"/>
          </w:rPr>
          <w:t>on</w:t>
        </w:r>
      </w:hyperlink>
      <w:r>
        <w:rPr>
          <w:color w:val="0000FF"/>
        </w:rPr>
        <w:t> </w:t>
      </w:r>
      <w:hyperlink r:id="rId36">
        <w:r>
          <w:rPr>
            <w:color w:val="0000FF"/>
            <w:u w:val="single" w:color="0000FF"/>
          </w:rPr>
          <w:t>February</w:t>
        </w:r>
        <w:r>
          <w:rPr>
            <w:color w:val="0000FF"/>
            <w:spacing w:val="40"/>
            <w:u w:val="single" w:color="0000FF"/>
          </w:rPr>
          <w:t> </w:t>
        </w:r>
        <w:r>
          <w:rPr>
            <w:color w:val="0000FF"/>
            <w:u w:val="single" w:color="0000FF"/>
          </w:rPr>
          <w:t>26, 2021).</w:t>
        </w:r>
      </w:hyperlink>
    </w:p>
    <w:p>
      <w:pPr>
        <w:pStyle w:val="BodyText"/>
        <w:tabs>
          <w:tab w:pos="1431" w:val="left" w:leader="none"/>
        </w:tabs>
        <w:spacing w:line="204" w:lineRule="auto" w:before="56"/>
        <w:ind w:left="1431" w:right="135" w:hanging="1269"/>
        <w:jc w:val="both"/>
      </w:pPr>
      <w:r>
        <w:rPr/>
        <mc:AlternateContent>
          <mc:Choice Requires="wps">
            <w:drawing>
              <wp:anchor distT="0" distB="0" distL="0" distR="0" allowOverlap="1" layoutInCell="1" locked="0" behindDoc="1" simplePos="0" relativeHeight="477782528">
                <wp:simplePos x="0" y="0"/>
                <wp:positionH relativeFrom="page">
                  <wp:posOffset>1048651</wp:posOffset>
                </wp:positionH>
                <wp:positionV relativeFrom="paragraph">
                  <wp:posOffset>244110</wp:posOffset>
                </wp:positionV>
                <wp:extent cx="259079" cy="8890"/>
                <wp:effectExtent l="0" t="0" r="0" b="0"/>
                <wp:wrapNone/>
                <wp:docPr id="735" name="Graphic 735"/>
                <wp:cNvGraphicFramePr>
                  <a:graphicFrameLocks/>
                </wp:cNvGraphicFramePr>
                <a:graphic>
                  <a:graphicData uri="http://schemas.microsoft.com/office/word/2010/wordprocessingShape">
                    <wps:wsp>
                      <wps:cNvPr id="735" name="Graphic 735"/>
                      <wps:cNvSpPr/>
                      <wps:spPr>
                        <a:xfrm>
                          <a:off x="0" y="0"/>
                          <a:ext cx="259079" cy="8890"/>
                        </a:xfrm>
                        <a:custGeom>
                          <a:avLst/>
                          <a:gdLst/>
                          <a:ahLst/>
                          <a:cxnLst/>
                          <a:rect l="l" t="t" r="r" b="b"/>
                          <a:pathLst>
                            <a:path w="259079" h="8890">
                              <a:moveTo>
                                <a:pt x="258457" y="0"/>
                              </a:moveTo>
                              <a:lnTo>
                                <a:pt x="0" y="0"/>
                              </a:lnTo>
                              <a:lnTo>
                                <a:pt x="0" y="8572"/>
                              </a:lnTo>
                              <a:lnTo>
                                <a:pt x="258457" y="8572"/>
                              </a:lnTo>
                              <a:lnTo>
                                <a:pt x="25845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82.571007pt;margin-top:19.221308pt;width:20.351001pt;height:.675pt;mso-position-horizontal-relative:page;mso-position-vertical-relative:paragraph;z-index:-25533952" id="docshape733" filled="true" fillcolor="#0000ff" stroked="false">
                <v:fill type="solid"/>
                <w10:wrap type="none"/>
              </v:rect>
            </w:pict>
          </mc:Fallback>
        </mc:AlternateContent>
      </w:r>
      <w:r>
        <w:rPr>
          <w:spacing w:val="-2"/>
        </w:rPr>
        <w:t>10.1(8)</w:t>
      </w:r>
      <w:r>
        <w:rPr/>
        <w:tab/>
      </w:r>
      <w:hyperlink r:id="rId37">
        <w:r>
          <w:rPr>
            <w:color w:val="0000FF"/>
            <w:position w:val="1"/>
            <w:u w:val="single" w:color="0000FF"/>
          </w:rPr>
          <w:t>Amendment</w:t>
        </w:r>
        <w:r>
          <w:rPr>
            <w:color w:val="0000FF"/>
            <w:spacing w:val="-12"/>
            <w:position w:val="1"/>
            <w:u w:val="single" w:color="0000FF"/>
          </w:rPr>
          <w:t> </w:t>
        </w:r>
        <w:r>
          <w:rPr>
            <w:color w:val="0000FF"/>
            <w:position w:val="1"/>
            <w:u w:val="single" w:color="0000FF"/>
          </w:rPr>
          <w:t>Letter to the 2020 Revolving</w:t>
        </w:r>
        <w:r>
          <w:rPr>
            <w:color w:val="0000FF"/>
            <w:spacing w:val="-3"/>
            <w:position w:val="1"/>
            <w:u w:val="single" w:color="0000FF"/>
          </w:rPr>
          <w:t> </w:t>
        </w:r>
        <w:r>
          <w:rPr>
            <w:color w:val="0000FF"/>
            <w:position w:val="1"/>
            <w:u w:val="single" w:color="0000FF"/>
          </w:rPr>
          <w:t>Credit Facili</w:t>
        </w:r>
        <w:r>
          <w:rPr>
            <w:color w:val="0000FF"/>
            <w:position w:val="1"/>
          </w:rPr>
          <w:t>ty</w:t>
        </w:r>
        <w:r>
          <w:rPr>
            <w:color w:val="0000FF"/>
            <w:spacing w:val="-12"/>
            <w:position w:val="1"/>
            <w:u w:val="single" w:color="0000FF"/>
          </w:rPr>
          <w:t> </w:t>
        </w:r>
        <w:r>
          <w:rPr>
            <w:color w:val="0000FF"/>
            <w:position w:val="1"/>
          </w:rPr>
          <w:t>,</w:t>
        </w:r>
        <w:r>
          <w:rPr>
            <w:color w:val="0000FF"/>
            <w:position w:val="1"/>
            <w:u w:val="single" w:color="0000FF"/>
          </w:rPr>
          <w:t> dated October 5, 2020, by</w:t>
        </w:r>
        <w:r>
          <w:rPr>
            <w:color w:val="0000FF"/>
            <w:spacing w:val="33"/>
            <w:position w:val="1"/>
            <w:u w:val="single" w:color="0000FF"/>
          </w:rPr>
          <w:t> </w:t>
        </w:r>
        <w:r>
          <w:rPr>
            <w:color w:val="0000FF"/>
            <w:position w:val="1"/>
            <w:u w:val="single" w:color="0000FF"/>
          </w:rPr>
          <w:t>and among</w:t>
        </w:r>
        <w:r>
          <w:rPr>
            <w:color w:val="0000FF"/>
            <w:spacing w:val="-3"/>
            <w:position w:val="1"/>
            <w:u w:val="single" w:color="0000FF"/>
          </w:rPr>
          <w:t> </w:t>
        </w:r>
        <w:r>
          <w:rPr>
            <w:color w:val="0000FF"/>
            <w:position w:val="1"/>
            <w:u w:val="single" w:color="0000FF"/>
          </w:rPr>
          <w:t>MGM China Holdings Limited and certain</w:t>
        </w:r>
        <w:r>
          <w:rPr>
            <w:color w:val="0000FF"/>
            <w:position w:val="1"/>
          </w:rPr>
          <w:t> </w:t>
        </w:r>
        <w:r>
          <w:rPr>
            <w:color w:val="0000FF"/>
          </w:rPr>
          <w:t>Arrang</w:t>
        </w:r>
        <w:r>
          <w:rPr>
            <w:color w:val="0000FF"/>
            <w:u w:val="single" w:color="0000FF"/>
          </w:rPr>
          <w:t>ers</w:t>
        </w:r>
        <w:r>
          <w:rPr>
            <w:color w:val="0000FF"/>
            <w:spacing w:val="-8"/>
            <w:u w:val="single" w:color="0000FF"/>
          </w:rPr>
          <w:t> </w:t>
        </w:r>
        <w:r>
          <w:rPr>
            <w:color w:val="0000FF"/>
            <w:u w:val="single" w:color="0000FF"/>
          </w:rPr>
          <w:t>and</w:t>
        </w:r>
        <w:r>
          <w:rPr>
            <w:color w:val="0000FF"/>
            <w:spacing w:val="-1"/>
            <w:u w:val="single" w:color="0000FF"/>
          </w:rPr>
          <w:t> </w:t>
        </w:r>
        <w:r>
          <w:rPr>
            <w:color w:val="0000FF"/>
            <w:u w:val="single" w:color="0000FF"/>
          </w:rPr>
          <w:t>Lenders</w:t>
        </w:r>
        <w:r>
          <w:rPr>
            <w:color w:val="0000FF"/>
            <w:spacing w:val="-1"/>
            <w:u w:val="single" w:color="0000FF"/>
          </w:rPr>
          <w:t> </w:t>
        </w:r>
        <w:r>
          <w:rPr>
            <w:color w:val="0000FF"/>
            <w:u w:val="single" w:color="0000FF"/>
          </w:rPr>
          <w:t>Par</w:t>
        </w:r>
        <w:r>
          <w:rPr>
            <w:color w:val="0000FF"/>
          </w:rPr>
          <w:t>ty</w:t>
        </w:r>
        <w:r>
          <w:rPr>
            <w:color w:val="0000FF"/>
            <w:spacing w:val="25"/>
            <w:u w:val="single" w:color="0000FF"/>
          </w:rPr>
          <w:t> </w:t>
        </w:r>
        <w:r>
          <w:rPr>
            <w:color w:val="0000FF"/>
            <w:u w:val="single" w:color="0000FF"/>
          </w:rPr>
          <w:t>thereto</w:t>
        </w:r>
        <w:r>
          <w:rPr>
            <w:color w:val="0000FF"/>
            <w:spacing w:val="-1"/>
            <w:u w:val="single" w:color="0000FF"/>
          </w:rPr>
          <w:t> </w:t>
        </w:r>
        <w:r>
          <w:rPr>
            <w:color w:val="0000FF"/>
            <w:u w:val="single" w:color="0000FF"/>
          </w:rPr>
          <w:t>(incorporated</w:t>
        </w:r>
        <w:r>
          <w:rPr>
            <w:color w:val="0000FF"/>
            <w:spacing w:val="-1"/>
            <w:u w:val="single" w:color="0000FF"/>
          </w:rPr>
          <w:t> </w:t>
        </w:r>
        <w:r>
          <w:rPr>
            <w:color w:val="0000FF"/>
            <w:u w:val="single" w:color="0000FF"/>
          </w:rPr>
          <w:t>by</w:t>
        </w:r>
        <w:r>
          <w:rPr>
            <w:color w:val="0000FF"/>
            <w:spacing w:val="25"/>
            <w:u w:val="single" w:color="0000FF"/>
          </w:rPr>
          <w:t> </w:t>
        </w:r>
        <w:r>
          <w:rPr>
            <w:color w:val="0000FF"/>
            <w:u w:val="single" w:color="0000FF"/>
          </w:rPr>
          <w:t>reference</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Exhibit</w:t>
        </w:r>
        <w:r>
          <w:rPr>
            <w:color w:val="0000FF"/>
            <w:spacing w:val="-1"/>
            <w:u w:val="single" w:color="0000FF"/>
          </w:rPr>
          <w:t> </w:t>
        </w:r>
        <w:r>
          <w:rPr>
            <w:color w:val="0000FF"/>
            <w:u w:val="single" w:color="0000FF"/>
          </w:rPr>
          <w:t>10.1(15)</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the</w:t>
        </w:r>
        <w:r>
          <w:rPr>
            <w:color w:val="0000FF"/>
            <w:spacing w:val="-1"/>
            <w:u w:val="single" w:color="0000FF"/>
          </w:rPr>
          <w:t> </w:t>
        </w:r>
        <w:r>
          <w:rPr>
            <w:color w:val="0000FF"/>
            <w:u w:val="single" w:color="0000FF"/>
          </w:rPr>
          <w:t>Company</w:t>
        </w:r>
        <w:r>
          <w:rPr>
            <w:color w:val="0000FF"/>
            <w:spacing w:val="-12"/>
            <w:u w:val="single" w:color="0000FF"/>
          </w:rPr>
          <w:t> </w:t>
        </w:r>
        <w:r>
          <w:rPr>
            <w:color w:val="0000FF"/>
            <w:u w:val="single" w:color="0000FF"/>
          </w:rPr>
          <w:t>’s</w:t>
        </w:r>
        <w:r>
          <w:rPr>
            <w:color w:val="0000FF"/>
            <w:spacing w:val="-9"/>
            <w:u w:val="single" w:color="0000FF"/>
          </w:rPr>
          <w:t> </w:t>
        </w:r>
        <w:r>
          <w:rPr>
            <w:color w:val="0000FF"/>
            <w:u w:val="single" w:color="0000FF"/>
          </w:rPr>
          <w:t>Annual</w:t>
        </w:r>
        <w:r>
          <w:rPr>
            <w:color w:val="0000FF"/>
            <w:spacing w:val="-1"/>
            <w:u w:val="single" w:color="0000FF"/>
          </w:rPr>
          <w:t> </w:t>
        </w:r>
        <w:r>
          <w:rPr>
            <w:color w:val="0000FF"/>
            <w:u w:val="single" w:color="0000FF"/>
          </w:rPr>
          <w:t>Report</w:t>
        </w:r>
        <w:r>
          <w:rPr>
            <w:color w:val="0000FF"/>
            <w:spacing w:val="-1"/>
            <w:u w:val="single" w:color="0000FF"/>
          </w:rPr>
          <w:t> </w:t>
        </w:r>
        <w:r>
          <w:rPr>
            <w:color w:val="0000FF"/>
            <w:u w:val="single" w:color="0000FF"/>
          </w:rPr>
          <w:t>on</w:t>
        </w:r>
        <w:r>
          <w:rPr>
            <w:color w:val="0000FF"/>
            <w:spacing w:val="-1"/>
            <w:u w:val="single" w:color="0000FF"/>
          </w:rPr>
          <w:t> </w:t>
        </w:r>
        <w:r>
          <w:rPr>
            <w:color w:val="0000FF"/>
            <w:u w:val="single" w:color="0000FF"/>
          </w:rPr>
          <w:t>Form</w:t>
        </w:r>
        <w:r>
          <w:rPr>
            <w:color w:val="0000FF"/>
            <w:spacing w:val="-1"/>
            <w:u w:val="single" w:color="0000FF"/>
          </w:rPr>
          <w:t> </w:t>
        </w:r>
        <w:r>
          <w:rPr>
            <w:color w:val="0000FF"/>
            <w:u w:val="single" w:color="0000FF"/>
          </w:rPr>
          <w:t>10-K</w:t>
        </w:r>
        <w:r>
          <w:rPr>
            <w:color w:val="0000FF"/>
            <w:spacing w:val="-1"/>
            <w:u w:val="single" w:color="0000FF"/>
          </w:rPr>
          <w:t> </w:t>
        </w:r>
        <w:r>
          <w:rPr>
            <w:color w:val="0000FF"/>
            <w:u w:val="single" w:color="0000FF"/>
          </w:rPr>
          <w:t>filed</w:t>
        </w:r>
        <w:r>
          <w:rPr>
            <w:color w:val="0000FF"/>
            <w:spacing w:val="-1"/>
            <w:u w:val="single" w:color="0000FF"/>
          </w:rPr>
          <w:t> </w:t>
        </w:r>
        <w:r>
          <w:rPr>
            <w:color w:val="0000FF"/>
            <w:u w:val="single" w:color="0000FF"/>
          </w:rPr>
          <w:t>on</w:t>
        </w:r>
      </w:hyperlink>
      <w:r>
        <w:rPr>
          <w:color w:val="0000FF"/>
        </w:rPr>
        <w:t> </w:t>
      </w:r>
      <w:hyperlink r:id="rId37">
        <w:r>
          <w:rPr>
            <w:color w:val="0000FF"/>
            <w:u w:val="single" w:color="0000FF"/>
          </w:rPr>
          <w:t>February</w:t>
        </w:r>
        <w:r>
          <w:rPr>
            <w:color w:val="0000FF"/>
            <w:spacing w:val="40"/>
            <w:u w:val="single" w:color="0000FF"/>
          </w:rPr>
          <w:t> </w:t>
        </w:r>
        <w:r>
          <w:rPr>
            <w:color w:val="0000FF"/>
            <w:u w:val="single" w:color="0000FF"/>
          </w:rPr>
          <w:t>26, 2021).</w:t>
        </w:r>
      </w:hyperlink>
    </w:p>
    <w:p>
      <w:pPr>
        <w:pStyle w:val="BodyText"/>
        <w:tabs>
          <w:tab w:pos="1431" w:val="left" w:leader="none"/>
        </w:tabs>
        <w:spacing w:line="204" w:lineRule="auto" w:before="56"/>
        <w:ind w:left="1431" w:right="136" w:hanging="1269"/>
        <w:jc w:val="both"/>
      </w:pPr>
      <w:r>
        <w:rPr/>
        <mc:AlternateContent>
          <mc:Choice Requires="wps">
            <w:drawing>
              <wp:anchor distT="0" distB="0" distL="0" distR="0" allowOverlap="1" layoutInCell="1" locked="0" behindDoc="1" simplePos="0" relativeHeight="477783040">
                <wp:simplePos x="0" y="0"/>
                <wp:positionH relativeFrom="page">
                  <wp:posOffset>1048651</wp:posOffset>
                </wp:positionH>
                <wp:positionV relativeFrom="paragraph">
                  <wp:posOffset>244234</wp:posOffset>
                </wp:positionV>
                <wp:extent cx="259079" cy="8890"/>
                <wp:effectExtent l="0" t="0" r="0" b="0"/>
                <wp:wrapNone/>
                <wp:docPr id="736" name="Graphic 736"/>
                <wp:cNvGraphicFramePr>
                  <a:graphicFrameLocks/>
                </wp:cNvGraphicFramePr>
                <a:graphic>
                  <a:graphicData uri="http://schemas.microsoft.com/office/word/2010/wordprocessingShape">
                    <wps:wsp>
                      <wps:cNvPr id="736" name="Graphic 736"/>
                      <wps:cNvSpPr/>
                      <wps:spPr>
                        <a:xfrm>
                          <a:off x="0" y="0"/>
                          <a:ext cx="259079" cy="8890"/>
                        </a:xfrm>
                        <a:custGeom>
                          <a:avLst/>
                          <a:gdLst/>
                          <a:ahLst/>
                          <a:cxnLst/>
                          <a:rect l="l" t="t" r="r" b="b"/>
                          <a:pathLst>
                            <a:path w="259079" h="8890">
                              <a:moveTo>
                                <a:pt x="258457" y="0"/>
                              </a:moveTo>
                              <a:lnTo>
                                <a:pt x="0" y="0"/>
                              </a:lnTo>
                              <a:lnTo>
                                <a:pt x="0" y="8572"/>
                              </a:lnTo>
                              <a:lnTo>
                                <a:pt x="258457" y="8572"/>
                              </a:lnTo>
                              <a:lnTo>
                                <a:pt x="25845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82.571007pt;margin-top:19.23105pt;width:20.351001pt;height:.675pt;mso-position-horizontal-relative:page;mso-position-vertical-relative:paragraph;z-index:-25533440" id="docshape734"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7783552">
                <wp:simplePos x="0" y="0"/>
                <wp:positionH relativeFrom="page">
                  <wp:posOffset>1378267</wp:posOffset>
                </wp:positionH>
                <wp:positionV relativeFrom="paragraph">
                  <wp:posOffset>244234</wp:posOffset>
                </wp:positionV>
                <wp:extent cx="946785" cy="8890"/>
                <wp:effectExtent l="0" t="0" r="0" b="0"/>
                <wp:wrapNone/>
                <wp:docPr id="737" name="Graphic 737"/>
                <wp:cNvGraphicFramePr>
                  <a:graphicFrameLocks/>
                </wp:cNvGraphicFramePr>
                <a:graphic>
                  <a:graphicData uri="http://schemas.microsoft.com/office/word/2010/wordprocessingShape">
                    <wps:wsp>
                      <wps:cNvPr id="737" name="Graphic 737"/>
                      <wps:cNvSpPr/>
                      <wps:spPr>
                        <a:xfrm>
                          <a:off x="0" y="0"/>
                          <a:ext cx="946785" cy="8890"/>
                        </a:xfrm>
                        <a:custGeom>
                          <a:avLst/>
                          <a:gdLst/>
                          <a:ahLst/>
                          <a:cxnLst/>
                          <a:rect l="l" t="t" r="r" b="b"/>
                          <a:pathLst>
                            <a:path w="946785" h="8890">
                              <a:moveTo>
                                <a:pt x="946492" y="0"/>
                              </a:moveTo>
                              <a:lnTo>
                                <a:pt x="0" y="0"/>
                              </a:lnTo>
                              <a:lnTo>
                                <a:pt x="0" y="8572"/>
                              </a:lnTo>
                              <a:lnTo>
                                <a:pt x="946492" y="8572"/>
                              </a:lnTo>
                              <a:lnTo>
                                <a:pt x="94649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08.525002pt;margin-top:19.23105pt;width:74.527004pt;height:.675pt;mso-position-horizontal-relative:page;mso-position-vertical-relative:paragraph;z-index:-25532928" id="docshape735"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7784064">
                <wp:simplePos x="0" y="0"/>
                <wp:positionH relativeFrom="page">
                  <wp:posOffset>2370302</wp:posOffset>
                </wp:positionH>
                <wp:positionV relativeFrom="paragraph">
                  <wp:posOffset>244234</wp:posOffset>
                </wp:positionV>
                <wp:extent cx="1111250" cy="8890"/>
                <wp:effectExtent l="0" t="0" r="0" b="0"/>
                <wp:wrapNone/>
                <wp:docPr id="738" name="Graphic 738"/>
                <wp:cNvGraphicFramePr>
                  <a:graphicFrameLocks/>
                </wp:cNvGraphicFramePr>
                <a:graphic>
                  <a:graphicData uri="http://schemas.microsoft.com/office/word/2010/wordprocessingShape">
                    <wps:wsp>
                      <wps:cNvPr id="738" name="Graphic 738"/>
                      <wps:cNvSpPr/>
                      <wps:spPr>
                        <a:xfrm>
                          <a:off x="0" y="0"/>
                          <a:ext cx="1111250" cy="8890"/>
                        </a:xfrm>
                        <a:custGeom>
                          <a:avLst/>
                          <a:gdLst/>
                          <a:ahLst/>
                          <a:cxnLst/>
                          <a:rect l="l" t="t" r="r" b="b"/>
                          <a:pathLst>
                            <a:path w="1111250" h="8890">
                              <a:moveTo>
                                <a:pt x="417817" y="0"/>
                              </a:moveTo>
                              <a:lnTo>
                                <a:pt x="0" y="0"/>
                              </a:lnTo>
                              <a:lnTo>
                                <a:pt x="0" y="8572"/>
                              </a:lnTo>
                              <a:lnTo>
                                <a:pt x="417817" y="8572"/>
                              </a:lnTo>
                              <a:lnTo>
                                <a:pt x="417817" y="0"/>
                              </a:lnTo>
                              <a:close/>
                            </a:path>
                            <a:path w="1111250" h="8890">
                              <a:moveTo>
                                <a:pt x="679208" y="0"/>
                              </a:moveTo>
                              <a:lnTo>
                                <a:pt x="448513" y="0"/>
                              </a:lnTo>
                              <a:lnTo>
                                <a:pt x="448513" y="8572"/>
                              </a:lnTo>
                              <a:lnTo>
                                <a:pt x="679208" y="8572"/>
                              </a:lnTo>
                              <a:lnTo>
                                <a:pt x="679208" y="0"/>
                              </a:lnTo>
                              <a:close/>
                            </a:path>
                            <a:path w="1111250" h="8890">
                              <a:moveTo>
                                <a:pt x="1111084" y="0"/>
                              </a:moveTo>
                              <a:lnTo>
                                <a:pt x="711479" y="0"/>
                              </a:lnTo>
                              <a:lnTo>
                                <a:pt x="711479" y="8572"/>
                              </a:lnTo>
                              <a:lnTo>
                                <a:pt x="1111084" y="8572"/>
                              </a:lnTo>
                              <a:lnTo>
                                <a:pt x="111108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6.638016pt;margin-top:19.23105pt;width:87.5pt;height:.7pt;mso-position-horizontal-relative:page;mso-position-vertical-relative:paragraph;z-index:-25532416" id="docshape736" coordorigin="3733,385" coordsize="1750,14" path="m4391,385l3733,385,3733,398,4391,398,4391,385xm4802,385l4439,385,4439,398,4802,398,4802,385xm5483,385l4853,385,4853,398,5483,398,5483,385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77784576">
                <wp:simplePos x="0" y="0"/>
                <wp:positionH relativeFrom="page">
                  <wp:posOffset>3526929</wp:posOffset>
                </wp:positionH>
                <wp:positionV relativeFrom="paragraph">
                  <wp:posOffset>244234</wp:posOffset>
                </wp:positionV>
                <wp:extent cx="1939925" cy="8890"/>
                <wp:effectExtent l="0" t="0" r="0" b="0"/>
                <wp:wrapNone/>
                <wp:docPr id="739" name="Graphic 739"/>
                <wp:cNvGraphicFramePr>
                  <a:graphicFrameLocks/>
                </wp:cNvGraphicFramePr>
                <a:graphic>
                  <a:graphicData uri="http://schemas.microsoft.com/office/word/2010/wordprocessingShape">
                    <wps:wsp>
                      <wps:cNvPr id="739" name="Graphic 739"/>
                      <wps:cNvSpPr/>
                      <wps:spPr>
                        <a:xfrm>
                          <a:off x="0" y="0"/>
                          <a:ext cx="1939925" cy="8890"/>
                        </a:xfrm>
                        <a:custGeom>
                          <a:avLst/>
                          <a:gdLst/>
                          <a:ahLst/>
                          <a:cxnLst/>
                          <a:rect l="l" t="t" r="r" b="b"/>
                          <a:pathLst>
                            <a:path w="1939925" h="8890">
                              <a:moveTo>
                                <a:pt x="1779028" y="0"/>
                              </a:moveTo>
                              <a:lnTo>
                                <a:pt x="0" y="0"/>
                              </a:lnTo>
                              <a:lnTo>
                                <a:pt x="0" y="8572"/>
                              </a:lnTo>
                              <a:lnTo>
                                <a:pt x="1779028" y="8572"/>
                              </a:lnTo>
                              <a:lnTo>
                                <a:pt x="1779028" y="0"/>
                              </a:lnTo>
                              <a:close/>
                            </a:path>
                            <a:path w="1939925" h="8890">
                              <a:moveTo>
                                <a:pt x="1939582" y="0"/>
                              </a:moveTo>
                              <a:lnTo>
                                <a:pt x="1811299" y="0"/>
                              </a:lnTo>
                              <a:lnTo>
                                <a:pt x="1811299" y="8572"/>
                              </a:lnTo>
                              <a:lnTo>
                                <a:pt x="1939582" y="8572"/>
                              </a:lnTo>
                              <a:lnTo>
                                <a:pt x="193958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77.710999pt;margin-top:19.23105pt;width:152.75pt;height:.7pt;mso-position-horizontal-relative:page;mso-position-vertical-relative:paragraph;z-index:-25531904" id="docshape737" coordorigin="5554,385" coordsize="3055,14" path="m8356,385l5554,385,5554,398,8356,398,8356,385xm8609,385l8407,385,8407,398,8609,398,8609,385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77785088">
                <wp:simplePos x="0" y="0"/>
                <wp:positionH relativeFrom="page">
                  <wp:posOffset>7127773</wp:posOffset>
                </wp:positionH>
                <wp:positionV relativeFrom="paragraph">
                  <wp:posOffset>244234</wp:posOffset>
                </wp:positionV>
                <wp:extent cx="405130" cy="8890"/>
                <wp:effectExtent l="0" t="0" r="0" b="0"/>
                <wp:wrapNone/>
                <wp:docPr id="740" name="Graphic 740"/>
                <wp:cNvGraphicFramePr>
                  <a:graphicFrameLocks/>
                </wp:cNvGraphicFramePr>
                <a:graphic>
                  <a:graphicData uri="http://schemas.microsoft.com/office/word/2010/wordprocessingShape">
                    <wps:wsp>
                      <wps:cNvPr id="740" name="Graphic 740"/>
                      <wps:cNvSpPr/>
                      <wps:spPr>
                        <a:xfrm>
                          <a:off x="0" y="0"/>
                          <a:ext cx="405130" cy="8890"/>
                        </a:xfrm>
                        <a:custGeom>
                          <a:avLst/>
                          <a:gdLst/>
                          <a:ahLst/>
                          <a:cxnLst/>
                          <a:rect l="l" t="t" r="r" b="b"/>
                          <a:pathLst>
                            <a:path w="405130" h="8890">
                              <a:moveTo>
                                <a:pt x="404634" y="0"/>
                              </a:moveTo>
                              <a:lnTo>
                                <a:pt x="0" y="0"/>
                              </a:lnTo>
                              <a:lnTo>
                                <a:pt x="0" y="8572"/>
                              </a:lnTo>
                              <a:lnTo>
                                <a:pt x="404634" y="8572"/>
                              </a:lnTo>
                              <a:lnTo>
                                <a:pt x="40463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1.242004pt;margin-top:19.23105pt;width:31.861002pt;height:.675pt;mso-position-horizontal-relative:page;mso-position-vertical-relative:paragraph;z-index:-25531392" id="docshape738" filled="true" fillcolor="#0000ff" stroked="false">
                <v:fill type="solid"/>
                <w10:wrap type="none"/>
              </v:rect>
            </w:pict>
          </mc:Fallback>
        </mc:AlternateContent>
      </w:r>
      <w:r>
        <w:rPr>
          <w:spacing w:val="-2"/>
        </w:rPr>
        <w:t>10.1(9)</w:t>
      </w:r>
      <w:r>
        <w:rPr/>
        <w:tab/>
      </w:r>
      <w:hyperlink r:id="rId38">
        <w:r>
          <w:rPr>
            <w:color w:val="0000FF"/>
            <w:position w:val="1"/>
            <w:u w:val="single" w:color="0000FF"/>
          </w:rPr>
          <w:t>Amendment</w:t>
        </w:r>
        <w:r>
          <w:rPr>
            <w:color w:val="0000FF"/>
            <w:spacing w:val="-12"/>
            <w:position w:val="1"/>
            <w:u w:val="single" w:color="0000FF"/>
          </w:rPr>
          <w:t> </w:t>
        </w:r>
        <w:r>
          <w:rPr>
            <w:color w:val="0000FF"/>
            <w:position w:val="1"/>
            <w:u w:val="single" w:color="0000FF"/>
          </w:rPr>
          <w:t>Letter</w:t>
        </w:r>
        <w:r>
          <w:rPr>
            <w:color w:val="0000FF"/>
            <w:spacing w:val="-11"/>
            <w:position w:val="1"/>
            <w:u w:val="single" w:color="0000FF"/>
          </w:rPr>
          <w:t> </w:t>
        </w:r>
        <w:r>
          <w:rPr>
            <w:color w:val="0000FF"/>
            <w:position w:val="1"/>
            <w:u w:val="single" w:color="0000FF"/>
          </w:rPr>
          <w:t>to</w:t>
        </w:r>
        <w:r>
          <w:rPr>
            <w:color w:val="0000FF"/>
            <w:spacing w:val="-7"/>
            <w:position w:val="1"/>
            <w:u w:val="single" w:color="0000FF"/>
          </w:rPr>
          <w:t> </w:t>
        </w:r>
        <w:r>
          <w:rPr>
            <w:color w:val="0000FF"/>
            <w:position w:val="1"/>
            <w:u w:val="single" w:color="0000FF"/>
          </w:rPr>
          <w:t>the</w:t>
        </w:r>
        <w:r>
          <w:rPr>
            <w:color w:val="0000FF"/>
            <w:spacing w:val="-4"/>
            <w:position w:val="1"/>
            <w:u w:val="single" w:color="0000FF"/>
          </w:rPr>
          <w:t> </w:t>
        </w:r>
        <w:r>
          <w:rPr>
            <w:color w:val="0000FF"/>
            <w:position w:val="1"/>
            <w:u w:val="single" w:color="0000FF"/>
          </w:rPr>
          <w:t>2019</w:t>
        </w:r>
        <w:r>
          <w:rPr>
            <w:color w:val="0000FF"/>
            <w:spacing w:val="-4"/>
            <w:position w:val="1"/>
            <w:u w:val="single" w:color="0000FF"/>
          </w:rPr>
          <w:t> </w:t>
        </w:r>
        <w:r>
          <w:rPr>
            <w:color w:val="0000FF"/>
            <w:position w:val="1"/>
            <w:u w:val="single" w:color="0000FF"/>
          </w:rPr>
          <w:t>Revolving</w:t>
        </w:r>
        <w:r>
          <w:rPr>
            <w:color w:val="0000FF"/>
            <w:spacing w:val="-12"/>
            <w:position w:val="1"/>
            <w:u w:val="single" w:color="0000FF"/>
          </w:rPr>
          <w:t> </w:t>
        </w:r>
        <w:r>
          <w:rPr>
            <w:color w:val="0000FF"/>
            <w:position w:val="1"/>
            <w:u w:val="single" w:color="0000FF"/>
          </w:rPr>
          <w:t>Credit</w:t>
        </w:r>
        <w:r>
          <w:rPr>
            <w:color w:val="0000FF"/>
            <w:spacing w:val="-3"/>
            <w:position w:val="1"/>
            <w:u w:val="single" w:color="0000FF"/>
          </w:rPr>
          <w:t> </w:t>
        </w:r>
        <w:r>
          <w:rPr>
            <w:color w:val="0000FF"/>
            <w:position w:val="1"/>
            <w:u w:val="single" w:color="0000FF"/>
          </w:rPr>
          <w:t>Facili</w:t>
        </w:r>
        <w:r>
          <w:rPr>
            <w:color w:val="0000FF"/>
            <w:position w:val="1"/>
          </w:rPr>
          <w:t>ty</w:t>
        </w:r>
        <w:r>
          <w:rPr>
            <w:color w:val="0000FF"/>
            <w:spacing w:val="-12"/>
            <w:position w:val="1"/>
            <w:u w:val="single" w:color="0000FF"/>
          </w:rPr>
          <w:t> </w:t>
        </w:r>
        <w:r>
          <w:rPr>
            <w:color w:val="0000FF"/>
            <w:position w:val="1"/>
          </w:rPr>
          <w:t>,</w:t>
        </w:r>
        <w:r>
          <w:rPr>
            <w:color w:val="0000FF"/>
            <w:spacing w:val="-3"/>
            <w:position w:val="1"/>
            <w:u w:val="single" w:color="0000FF"/>
          </w:rPr>
          <w:t> </w:t>
        </w:r>
        <w:r>
          <w:rPr>
            <w:color w:val="0000FF"/>
            <w:position w:val="1"/>
            <w:u w:val="single" w:color="0000FF"/>
          </w:rPr>
          <w:t>dated</w:t>
        </w:r>
        <w:r>
          <w:rPr>
            <w:color w:val="0000FF"/>
            <w:spacing w:val="-4"/>
            <w:position w:val="1"/>
            <w:u w:val="single" w:color="0000FF"/>
          </w:rPr>
          <w:t> </w:t>
        </w:r>
        <w:r>
          <w:rPr>
            <w:color w:val="0000FF"/>
            <w:position w:val="1"/>
            <w:u w:val="single" w:color="0000FF"/>
          </w:rPr>
          <w:t>February</w:t>
        </w:r>
        <w:r>
          <w:rPr>
            <w:color w:val="0000FF"/>
            <w:spacing w:val="23"/>
            <w:position w:val="1"/>
            <w:u w:val="single" w:color="0000FF"/>
          </w:rPr>
          <w:t> </w:t>
        </w:r>
        <w:r>
          <w:rPr>
            <w:color w:val="0000FF"/>
            <w:position w:val="1"/>
            <w:u w:val="single" w:color="0000FF"/>
          </w:rPr>
          <w:t>24,</w:t>
        </w:r>
        <w:r>
          <w:rPr>
            <w:color w:val="0000FF"/>
            <w:spacing w:val="-4"/>
            <w:position w:val="1"/>
            <w:u w:val="single" w:color="0000FF"/>
          </w:rPr>
          <w:t> </w:t>
        </w:r>
        <w:r>
          <w:rPr>
            <w:color w:val="0000FF"/>
            <w:position w:val="1"/>
            <w:u w:val="single" w:color="0000FF"/>
          </w:rPr>
          <w:t>2021,</w:t>
        </w:r>
        <w:r>
          <w:rPr>
            <w:color w:val="0000FF"/>
            <w:spacing w:val="-4"/>
            <w:position w:val="1"/>
            <w:u w:val="single" w:color="0000FF"/>
          </w:rPr>
          <w:t> </w:t>
        </w:r>
        <w:r>
          <w:rPr>
            <w:color w:val="0000FF"/>
            <w:position w:val="1"/>
            <w:u w:val="single" w:color="0000FF"/>
          </w:rPr>
          <w:t>by</w:t>
        </w:r>
        <w:r>
          <w:rPr>
            <w:color w:val="0000FF"/>
            <w:spacing w:val="23"/>
            <w:position w:val="1"/>
            <w:u w:val="single" w:color="0000FF"/>
          </w:rPr>
          <w:t> </w:t>
        </w:r>
        <w:r>
          <w:rPr>
            <w:color w:val="0000FF"/>
            <w:position w:val="1"/>
            <w:u w:val="single" w:color="0000FF"/>
          </w:rPr>
          <w:t>and</w:t>
        </w:r>
        <w:r>
          <w:rPr>
            <w:color w:val="0000FF"/>
            <w:spacing w:val="-4"/>
            <w:position w:val="1"/>
            <w:u w:val="single" w:color="0000FF"/>
          </w:rPr>
          <w:t> </w:t>
        </w:r>
        <w:r>
          <w:rPr>
            <w:color w:val="0000FF"/>
            <w:position w:val="1"/>
            <w:u w:val="single" w:color="0000FF"/>
          </w:rPr>
          <w:t>among</w:t>
        </w:r>
        <w:r>
          <w:rPr>
            <w:color w:val="0000FF"/>
            <w:spacing w:val="-12"/>
            <w:position w:val="1"/>
            <w:u w:val="single" w:color="0000FF"/>
          </w:rPr>
          <w:t> </w:t>
        </w:r>
        <w:r>
          <w:rPr>
            <w:color w:val="0000FF"/>
            <w:position w:val="1"/>
            <w:u w:val="single" w:color="0000FF"/>
          </w:rPr>
          <w:t>MGM</w:t>
        </w:r>
        <w:r>
          <w:rPr>
            <w:color w:val="0000FF"/>
            <w:spacing w:val="-3"/>
            <w:position w:val="1"/>
            <w:u w:val="single" w:color="0000FF"/>
          </w:rPr>
          <w:t> </w:t>
        </w:r>
        <w:r>
          <w:rPr>
            <w:color w:val="0000FF"/>
            <w:position w:val="1"/>
            <w:u w:val="single" w:color="0000FF"/>
          </w:rPr>
          <w:t>China</w:t>
        </w:r>
        <w:r>
          <w:rPr>
            <w:color w:val="0000FF"/>
            <w:spacing w:val="-4"/>
            <w:position w:val="1"/>
            <w:u w:val="single" w:color="0000FF"/>
          </w:rPr>
          <w:t> </w:t>
        </w:r>
        <w:r>
          <w:rPr>
            <w:color w:val="0000FF"/>
            <w:position w:val="1"/>
            <w:u w:val="single" w:color="0000FF"/>
          </w:rPr>
          <w:t>Holdings</w:t>
        </w:r>
        <w:r>
          <w:rPr>
            <w:color w:val="0000FF"/>
            <w:spacing w:val="-4"/>
            <w:position w:val="1"/>
            <w:u w:val="single" w:color="0000FF"/>
          </w:rPr>
          <w:t> </w:t>
        </w:r>
        <w:r>
          <w:rPr>
            <w:color w:val="0000FF"/>
            <w:position w:val="1"/>
            <w:u w:val="single" w:color="0000FF"/>
          </w:rPr>
          <w:t>Limited</w:t>
        </w:r>
        <w:r>
          <w:rPr>
            <w:color w:val="0000FF"/>
            <w:spacing w:val="-4"/>
            <w:position w:val="1"/>
            <w:u w:val="single" w:color="0000FF"/>
          </w:rPr>
          <w:t> </w:t>
        </w:r>
        <w:r>
          <w:rPr>
            <w:color w:val="0000FF"/>
            <w:position w:val="1"/>
            <w:u w:val="single" w:color="0000FF"/>
          </w:rPr>
          <w:t>and</w:t>
        </w:r>
        <w:r>
          <w:rPr>
            <w:color w:val="0000FF"/>
            <w:spacing w:val="-4"/>
            <w:position w:val="1"/>
            <w:u w:val="single" w:color="0000FF"/>
          </w:rPr>
          <w:t> </w:t>
        </w:r>
        <w:r>
          <w:rPr>
            <w:color w:val="0000FF"/>
            <w:position w:val="1"/>
            <w:u w:val="single" w:color="0000FF"/>
          </w:rPr>
          <w:t>certain</w:t>
        </w:r>
        <w:r>
          <w:rPr>
            <w:color w:val="0000FF"/>
            <w:position w:val="1"/>
          </w:rPr>
          <w:t> </w:t>
        </w:r>
        <w:r>
          <w:rPr>
            <w:color w:val="0000FF"/>
          </w:rPr>
          <w:t>Arrangers</w:t>
        </w:r>
        <w:r>
          <w:rPr>
            <w:color w:val="0000FF"/>
            <w:spacing w:val="-12"/>
          </w:rPr>
          <w:t> </w:t>
        </w:r>
        <w:r>
          <w:rPr>
            <w:color w:val="0000FF"/>
          </w:rPr>
          <w:t>and</w:t>
        </w:r>
        <w:r>
          <w:rPr>
            <w:color w:val="0000FF"/>
            <w:spacing w:val="-4"/>
          </w:rPr>
          <w:t> </w:t>
        </w:r>
        <w:r>
          <w:rPr>
            <w:color w:val="0000FF"/>
          </w:rPr>
          <w:t>Lenders Party thereto (incorporated by reference to Exhibit 10.3 of the Company</w:t>
        </w:r>
        <w:r>
          <w:rPr>
            <w:color w:val="0000FF"/>
            <w:spacing w:val="-12"/>
            <w:u w:val="single" w:color="0000FF"/>
          </w:rPr>
          <w:t> </w:t>
        </w:r>
        <w:r>
          <w:rPr>
            <w:color w:val="0000FF"/>
            <w:u w:val="single" w:color="0000FF"/>
          </w:rPr>
          <w:t>’s Q</w:t>
        </w:r>
        <w:r>
          <w:rPr>
            <w:color w:val="0000FF"/>
            <w:spacing w:val="-12"/>
            <w:u w:val="single" w:color="0000FF"/>
          </w:rPr>
          <w:t> </w:t>
        </w:r>
        <w:r>
          <w:rPr>
            <w:color w:val="0000FF"/>
            <w:u w:val="single" w:color="0000FF"/>
          </w:rPr>
          <w:t>uarter</w:t>
        </w:r>
        <w:r>
          <w:rPr>
            <w:color w:val="0000FF"/>
          </w:rPr>
          <w:t>ly</w:t>
        </w:r>
        <w:r>
          <w:rPr>
            <w:color w:val="0000FF"/>
            <w:spacing w:val="34"/>
            <w:u w:val="single" w:color="0000FF"/>
          </w:rPr>
          <w:t> </w:t>
        </w:r>
        <w:r>
          <w:rPr>
            <w:color w:val="0000FF"/>
            <w:u w:val="single" w:color="0000FF"/>
          </w:rPr>
          <w:t>Report on Form 10-Q</w:t>
        </w:r>
        <w:r>
          <w:rPr>
            <w:color w:val="0000FF"/>
          </w:rPr>
          <w:t> filed on</w:t>
        </w:r>
      </w:hyperlink>
      <w:r>
        <w:rPr>
          <w:color w:val="0000FF"/>
        </w:rPr>
        <w:t> </w:t>
      </w:r>
      <w:hyperlink r:id="rId38">
        <w:r>
          <w:rPr>
            <w:color w:val="0000FF"/>
            <w:u w:val="single" w:color="0000FF"/>
          </w:rPr>
          <w:t>May</w:t>
        </w:r>
        <w:r>
          <w:rPr>
            <w:color w:val="0000FF"/>
            <w:spacing w:val="40"/>
            <w:u w:val="single" w:color="0000FF"/>
          </w:rPr>
          <w:t> </w:t>
        </w:r>
        <w:r>
          <w:rPr>
            <w:color w:val="0000FF"/>
            <w:u w:val="single" w:color="0000FF"/>
          </w:rPr>
          <w:t>3, 2021).</w:t>
        </w:r>
      </w:hyperlink>
    </w:p>
    <w:p>
      <w:pPr>
        <w:pStyle w:val="BodyText"/>
        <w:tabs>
          <w:tab w:pos="1431" w:val="left" w:leader="none"/>
        </w:tabs>
        <w:spacing w:line="204" w:lineRule="auto" w:before="56"/>
        <w:ind w:left="1431" w:right="136" w:hanging="1269"/>
        <w:jc w:val="both"/>
      </w:pPr>
      <w:r>
        <w:rPr/>
        <mc:AlternateContent>
          <mc:Choice Requires="wps">
            <w:drawing>
              <wp:anchor distT="0" distB="0" distL="0" distR="0" allowOverlap="1" layoutInCell="1" locked="0" behindDoc="1" simplePos="0" relativeHeight="477785600">
                <wp:simplePos x="0" y="0"/>
                <wp:positionH relativeFrom="page">
                  <wp:posOffset>1048651</wp:posOffset>
                </wp:positionH>
                <wp:positionV relativeFrom="paragraph">
                  <wp:posOffset>244358</wp:posOffset>
                </wp:positionV>
                <wp:extent cx="259079" cy="8890"/>
                <wp:effectExtent l="0" t="0" r="0" b="0"/>
                <wp:wrapNone/>
                <wp:docPr id="741" name="Graphic 741"/>
                <wp:cNvGraphicFramePr>
                  <a:graphicFrameLocks/>
                </wp:cNvGraphicFramePr>
                <a:graphic>
                  <a:graphicData uri="http://schemas.microsoft.com/office/word/2010/wordprocessingShape">
                    <wps:wsp>
                      <wps:cNvPr id="741" name="Graphic 741"/>
                      <wps:cNvSpPr/>
                      <wps:spPr>
                        <a:xfrm>
                          <a:off x="0" y="0"/>
                          <a:ext cx="259079" cy="8890"/>
                        </a:xfrm>
                        <a:custGeom>
                          <a:avLst/>
                          <a:gdLst/>
                          <a:ahLst/>
                          <a:cxnLst/>
                          <a:rect l="l" t="t" r="r" b="b"/>
                          <a:pathLst>
                            <a:path w="259079" h="8890">
                              <a:moveTo>
                                <a:pt x="258457" y="0"/>
                              </a:moveTo>
                              <a:lnTo>
                                <a:pt x="0" y="0"/>
                              </a:lnTo>
                              <a:lnTo>
                                <a:pt x="0" y="8572"/>
                              </a:lnTo>
                              <a:lnTo>
                                <a:pt x="258457" y="8572"/>
                              </a:lnTo>
                              <a:lnTo>
                                <a:pt x="25845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82.571007pt;margin-top:19.240791pt;width:20.351001pt;height:.675pt;mso-position-horizontal-relative:page;mso-position-vertical-relative:paragraph;z-index:-25530880" id="docshape739"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7786112">
                <wp:simplePos x="0" y="0"/>
                <wp:positionH relativeFrom="page">
                  <wp:posOffset>1378267</wp:posOffset>
                </wp:positionH>
                <wp:positionV relativeFrom="paragraph">
                  <wp:posOffset>244358</wp:posOffset>
                </wp:positionV>
                <wp:extent cx="946785" cy="8890"/>
                <wp:effectExtent l="0" t="0" r="0" b="0"/>
                <wp:wrapNone/>
                <wp:docPr id="742" name="Graphic 742"/>
                <wp:cNvGraphicFramePr>
                  <a:graphicFrameLocks/>
                </wp:cNvGraphicFramePr>
                <a:graphic>
                  <a:graphicData uri="http://schemas.microsoft.com/office/word/2010/wordprocessingShape">
                    <wps:wsp>
                      <wps:cNvPr id="742" name="Graphic 742"/>
                      <wps:cNvSpPr/>
                      <wps:spPr>
                        <a:xfrm>
                          <a:off x="0" y="0"/>
                          <a:ext cx="946785" cy="8890"/>
                        </a:xfrm>
                        <a:custGeom>
                          <a:avLst/>
                          <a:gdLst/>
                          <a:ahLst/>
                          <a:cxnLst/>
                          <a:rect l="l" t="t" r="r" b="b"/>
                          <a:pathLst>
                            <a:path w="946785" h="8890">
                              <a:moveTo>
                                <a:pt x="946492" y="0"/>
                              </a:moveTo>
                              <a:lnTo>
                                <a:pt x="0" y="0"/>
                              </a:lnTo>
                              <a:lnTo>
                                <a:pt x="0" y="8572"/>
                              </a:lnTo>
                              <a:lnTo>
                                <a:pt x="946492" y="8572"/>
                              </a:lnTo>
                              <a:lnTo>
                                <a:pt x="94649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08.525002pt;margin-top:19.240791pt;width:74.527004pt;height:.675pt;mso-position-horizontal-relative:page;mso-position-vertical-relative:paragraph;z-index:-25530368" id="docshape740"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7786624">
                <wp:simplePos x="0" y="0"/>
                <wp:positionH relativeFrom="page">
                  <wp:posOffset>2370302</wp:posOffset>
                </wp:positionH>
                <wp:positionV relativeFrom="paragraph">
                  <wp:posOffset>244358</wp:posOffset>
                </wp:positionV>
                <wp:extent cx="1111250" cy="8890"/>
                <wp:effectExtent l="0" t="0" r="0" b="0"/>
                <wp:wrapNone/>
                <wp:docPr id="743" name="Graphic 743"/>
                <wp:cNvGraphicFramePr>
                  <a:graphicFrameLocks/>
                </wp:cNvGraphicFramePr>
                <a:graphic>
                  <a:graphicData uri="http://schemas.microsoft.com/office/word/2010/wordprocessingShape">
                    <wps:wsp>
                      <wps:cNvPr id="743" name="Graphic 743"/>
                      <wps:cNvSpPr/>
                      <wps:spPr>
                        <a:xfrm>
                          <a:off x="0" y="0"/>
                          <a:ext cx="1111250" cy="8890"/>
                        </a:xfrm>
                        <a:custGeom>
                          <a:avLst/>
                          <a:gdLst/>
                          <a:ahLst/>
                          <a:cxnLst/>
                          <a:rect l="l" t="t" r="r" b="b"/>
                          <a:pathLst>
                            <a:path w="1111250" h="8890">
                              <a:moveTo>
                                <a:pt x="417817" y="0"/>
                              </a:moveTo>
                              <a:lnTo>
                                <a:pt x="0" y="0"/>
                              </a:lnTo>
                              <a:lnTo>
                                <a:pt x="0" y="8572"/>
                              </a:lnTo>
                              <a:lnTo>
                                <a:pt x="417817" y="8572"/>
                              </a:lnTo>
                              <a:lnTo>
                                <a:pt x="417817" y="0"/>
                              </a:lnTo>
                              <a:close/>
                            </a:path>
                            <a:path w="1111250" h="8890">
                              <a:moveTo>
                                <a:pt x="679208" y="0"/>
                              </a:moveTo>
                              <a:lnTo>
                                <a:pt x="448513" y="0"/>
                              </a:lnTo>
                              <a:lnTo>
                                <a:pt x="448513" y="8572"/>
                              </a:lnTo>
                              <a:lnTo>
                                <a:pt x="679208" y="8572"/>
                              </a:lnTo>
                              <a:lnTo>
                                <a:pt x="679208" y="0"/>
                              </a:lnTo>
                              <a:close/>
                            </a:path>
                            <a:path w="1111250" h="8890">
                              <a:moveTo>
                                <a:pt x="1111084" y="0"/>
                              </a:moveTo>
                              <a:lnTo>
                                <a:pt x="711479" y="0"/>
                              </a:lnTo>
                              <a:lnTo>
                                <a:pt x="711479" y="8572"/>
                              </a:lnTo>
                              <a:lnTo>
                                <a:pt x="1111084" y="8572"/>
                              </a:lnTo>
                              <a:lnTo>
                                <a:pt x="111108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6.638016pt;margin-top:19.240791pt;width:87.5pt;height:.7pt;mso-position-horizontal-relative:page;mso-position-vertical-relative:paragraph;z-index:-25529856" id="docshape741" coordorigin="3733,385" coordsize="1750,14" path="m4391,385l3733,385,3733,398,4391,398,4391,385xm4802,385l4439,385,4439,398,4802,398,4802,385xm5483,385l4853,385,4853,398,5483,398,5483,385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77787136">
                <wp:simplePos x="0" y="0"/>
                <wp:positionH relativeFrom="page">
                  <wp:posOffset>3526929</wp:posOffset>
                </wp:positionH>
                <wp:positionV relativeFrom="paragraph">
                  <wp:posOffset>244358</wp:posOffset>
                </wp:positionV>
                <wp:extent cx="1939925" cy="8890"/>
                <wp:effectExtent l="0" t="0" r="0" b="0"/>
                <wp:wrapNone/>
                <wp:docPr id="744" name="Graphic 744"/>
                <wp:cNvGraphicFramePr>
                  <a:graphicFrameLocks/>
                </wp:cNvGraphicFramePr>
                <a:graphic>
                  <a:graphicData uri="http://schemas.microsoft.com/office/word/2010/wordprocessingShape">
                    <wps:wsp>
                      <wps:cNvPr id="744" name="Graphic 744"/>
                      <wps:cNvSpPr/>
                      <wps:spPr>
                        <a:xfrm>
                          <a:off x="0" y="0"/>
                          <a:ext cx="1939925" cy="8890"/>
                        </a:xfrm>
                        <a:custGeom>
                          <a:avLst/>
                          <a:gdLst/>
                          <a:ahLst/>
                          <a:cxnLst/>
                          <a:rect l="l" t="t" r="r" b="b"/>
                          <a:pathLst>
                            <a:path w="1939925" h="8890">
                              <a:moveTo>
                                <a:pt x="1779028" y="0"/>
                              </a:moveTo>
                              <a:lnTo>
                                <a:pt x="0" y="0"/>
                              </a:lnTo>
                              <a:lnTo>
                                <a:pt x="0" y="8572"/>
                              </a:lnTo>
                              <a:lnTo>
                                <a:pt x="1779028" y="8572"/>
                              </a:lnTo>
                              <a:lnTo>
                                <a:pt x="1779028" y="0"/>
                              </a:lnTo>
                              <a:close/>
                            </a:path>
                            <a:path w="1939925" h="8890">
                              <a:moveTo>
                                <a:pt x="1939582" y="0"/>
                              </a:moveTo>
                              <a:lnTo>
                                <a:pt x="1811299" y="0"/>
                              </a:lnTo>
                              <a:lnTo>
                                <a:pt x="1811299" y="8572"/>
                              </a:lnTo>
                              <a:lnTo>
                                <a:pt x="1939582" y="8572"/>
                              </a:lnTo>
                              <a:lnTo>
                                <a:pt x="193958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77.710999pt;margin-top:19.240791pt;width:152.75pt;height:.7pt;mso-position-horizontal-relative:page;mso-position-vertical-relative:paragraph;z-index:-25529344" id="docshape742" coordorigin="5554,385" coordsize="3055,14" path="m8356,385l5554,385,5554,398,8356,398,8356,385xm8609,385l8407,385,8407,398,8609,398,8609,385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77787648">
                <wp:simplePos x="0" y="0"/>
                <wp:positionH relativeFrom="page">
                  <wp:posOffset>7127773</wp:posOffset>
                </wp:positionH>
                <wp:positionV relativeFrom="paragraph">
                  <wp:posOffset>244358</wp:posOffset>
                </wp:positionV>
                <wp:extent cx="405130" cy="8890"/>
                <wp:effectExtent l="0" t="0" r="0" b="0"/>
                <wp:wrapNone/>
                <wp:docPr id="745" name="Graphic 745"/>
                <wp:cNvGraphicFramePr>
                  <a:graphicFrameLocks/>
                </wp:cNvGraphicFramePr>
                <a:graphic>
                  <a:graphicData uri="http://schemas.microsoft.com/office/word/2010/wordprocessingShape">
                    <wps:wsp>
                      <wps:cNvPr id="745" name="Graphic 745"/>
                      <wps:cNvSpPr/>
                      <wps:spPr>
                        <a:xfrm>
                          <a:off x="0" y="0"/>
                          <a:ext cx="405130" cy="8890"/>
                        </a:xfrm>
                        <a:custGeom>
                          <a:avLst/>
                          <a:gdLst/>
                          <a:ahLst/>
                          <a:cxnLst/>
                          <a:rect l="l" t="t" r="r" b="b"/>
                          <a:pathLst>
                            <a:path w="405130" h="8890">
                              <a:moveTo>
                                <a:pt x="404634" y="0"/>
                              </a:moveTo>
                              <a:lnTo>
                                <a:pt x="0" y="0"/>
                              </a:lnTo>
                              <a:lnTo>
                                <a:pt x="0" y="8572"/>
                              </a:lnTo>
                              <a:lnTo>
                                <a:pt x="404634" y="8572"/>
                              </a:lnTo>
                              <a:lnTo>
                                <a:pt x="40463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1.242004pt;margin-top:19.240791pt;width:31.861002pt;height:.675pt;mso-position-horizontal-relative:page;mso-position-vertical-relative:paragraph;z-index:-25528832" id="docshape743" filled="true" fillcolor="#0000ff" stroked="false">
                <v:fill type="solid"/>
                <w10:wrap type="none"/>
              </v:rect>
            </w:pict>
          </mc:Fallback>
        </mc:AlternateContent>
      </w:r>
      <w:r>
        <w:rPr>
          <w:spacing w:val="-2"/>
        </w:rPr>
        <w:t>10.1(10)</w:t>
      </w:r>
      <w:r>
        <w:rPr/>
        <w:tab/>
      </w:r>
      <w:hyperlink r:id="rId39">
        <w:r>
          <w:rPr>
            <w:color w:val="0000FF"/>
            <w:position w:val="1"/>
            <w:u w:val="single" w:color="0000FF"/>
          </w:rPr>
          <w:t>Amendment</w:t>
        </w:r>
        <w:r>
          <w:rPr>
            <w:color w:val="0000FF"/>
            <w:spacing w:val="-12"/>
            <w:position w:val="1"/>
            <w:u w:val="single" w:color="0000FF"/>
          </w:rPr>
          <w:t> </w:t>
        </w:r>
        <w:r>
          <w:rPr>
            <w:color w:val="0000FF"/>
            <w:position w:val="1"/>
            <w:u w:val="single" w:color="0000FF"/>
          </w:rPr>
          <w:t>Letter</w:t>
        </w:r>
        <w:r>
          <w:rPr>
            <w:color w:val="0000FF"/>
            <w:spacing w:val="-11"/>
            <w:position w:val="1"/>
            <w:u w:val="single" w:color="0000FF"/>
          </w:rPr>
          <w:t> </w:t>
        </w:r>
        <w:r>
          <w:rPr>
            <w:color w:val="0000FF"/>
            <w:position w:val="1"/>
            <w:u w:val="single" w:color="0000FF"/>
          </w:rPr>
          <w:t>to</w:t>
        </w:r>
        <w:r>
          <w:rPr>
            <w:color w:val="0000FF"/>
            <w:spacing w:val="-7"/>
            <w:position w:val="1"/>
            <w:u w:val="single" w:color="0000FF"/>
          </w:rPr>
          <w:t> </w:t>
        </w:r>
        <w:r>
          <w:rPr>
            <w:color w:val="0000FF"/>
            <w:position w:val="1"/>
            <w:u w:val="single" w:color="0000FF"/>
          </w:rPr>
          <w:t>the</w:t>
        </w:r>
        <w:r>
          <w:rPr>
            <w:color w:val="0000FF"/>
            <w:spacing w:val="-4"/>
            <w:position w:val="1"/>
            <w:u w:val="single" w:color="0000FF"/>
          </w:rPr>
          <w:t> </w:t>
        </w:r>
        <w:r>
          <w:rPr>
            <w:color w:val="0000FF"/>
            <w:position w:val="1"/>
            <w:u w:val="single" w:color="0000FF"/>
          </w:rPr>
          <w:t>2020</w:t>
        </w:r>
        <w:r>
          <w:rPr>
            <w:color w:val="0000FF"/>
            <w:spacing w:val="-4"/>
            <w:position w:val="1"/>
            <w:u w:val="single" w:color="0000FF"/>
          </w:rPr>
          <w:t> </w:t>
        </w:r>
        <w:r>
          <w:rPr>
            <w:color w:val="0000FF"/>
            <w:position w:val="1"/>
            <w:u w:val="single" w:color="0000FF"/>
          </w:rPr>
          <w:t>Revolving</w:t>
        </w:r>
        <w:r>
          <w:rPr>
            <w:color w:val="0000FF"/>
            <w:spacing w:val="-12"/>
            <w:position w:val="1"/>
            <w:u w:val="single" w:color="0000FF"/>
          </w:rPr>
          <w:t> </w:t>
        </w:r>
        <w:r>
          <w:rPr>
            <w:color w:val="0000FF"/>
            <w:position w:val="1"/>
            <w:u w:val="single" w:color="0000FF"/>
          </w:rPr>
          <w:t>Credit</w:t>
        </w:r>
        <w:r>
          <w:rPr>
            <w:color w:val="0000FF"/>
            <w:spacing w:val="-3"/>
            <w:position w:val="1"/>
            <w:u w:val="single" w:color="0000FF"/>
          </w:rPr>
          <w:t> </w:t>
        </w:r>
        <w:r>
          <w:rPr>
            <w:color w:val="0000FF"/>
            <w:position w:val="1"/>
            <w:u w:val="single" w:color="0000FF"/>
          </w:rPr>
          <w:t>Facili</w:t>
        </w:r>
        <w:r>
          <w:rPr>
            <w:color w:val="0000FF"/>
            <w:position w:val="1"/>
          </w:rPr>
          <w:t>ty</w:t>
        </w:r>
        <w:r>
          <w:rPr>
            <w:color w:val="0000FF"/>
            <w:spacing w:val="-12"/>
            <w:position w:val="1"/>
            <w:u w:val="single" w:color="0000FF"/>
          </w:rPr>
          <w:t> </w:t>
        </w:r>
        <w:r>
          <w:rPr>
            <w:color w:val="0000FF"/>
            <w:position w:val="1"/>
          </w:rPr>
          <w:t>,</w:t>
        </w:r>
        <w:r>
          <w:rPr>
            <w:color w:val="0000FF"/>
            <w:spacing w:val="-3"/>
            <w:position w:val="1"/>
            <w:u w:val="single" w:color="0000FF"/>
          </w:rPr>
          <w:t> </w:t>
        </w:r>
        <w:r>
          <w:rPr>
            <w:color w:val="0000FF"/>
            <w:position w:val="1"/>
            <w:u w:val="single" w:color="0000FF"/>
          </w:rPr>
          <w:t>dated</w:t>
        </w:r>
        <w:r>
          <w:rPr>
            <w:color w:val="0000FF"/>
            <w:spacing w:val="-4"/>
            <w:position w:val="1"/>
            <w:u w:val="single" w:color="0000FF"/>
          </w:rPr>
          <w:t> </w:t>
        </w:r>
        <w:r>
          <w:rPr>
            <w:color w:val="0000FF"/>
            <w:position w:val="1"/>
            <w:u w:val="single" w:color="0000FF"/>
          </w:rPr>
          <w:t>February</w:t>
        </w:r>
        <w:r>
          <w:rPr>
            <w:color w:val="0000FF"/>
            <w:spacing w:val="23"/>
            <w:position w:val="1"/>
            <w:u w:val="single" w:color="0000FF"/>
          </w:rPr>
          <w:t> </w:t>
        </w:r>
        <w:r>
          <w:rPr>
            <w:color w:val="0000FF"/>
            <w:position w:val="1"/>
            <w:u w:val="single" w:color="0000FF"/>
          </w:rPr>
          <w:t>24,</w:t>
        </w:r>
        <w:r>
          <w:rPr>
            <w:color w:val="0000FF"/>
            <w:spacing w:val="-4"/>
            <w:position w:val="1"/>
            <w:u w:val="single" w:color="0000FF"/>
          </w:rPr>
          <w:t> </w:t>
        </w:r>
        <w:r>
          <w:rPr>
            <w:color w:val="0000FF"/>
            <w:position w:val="1"/>
            <w:u w:val="single" w:color="0000FF"/>
          </w:rPr>
          <w:t>2021,</w:t>
        </w:r>
        <w:r>
          <w:rPr>
            <w:color w:val="0000FF"/>
            <w:spacing w:val="-4"/>
            <w:position w:val="1"/>
            <w:u w:val="single" w:color="0000FF"/>
          </w:rPr>
          <w:t> </w:t>
        </w:r>
        <w:r>
          <w:rPr>
            <w:color w:val="0000FF"/>
            <w:position w:val="1"/>
            <w:u w:val="single" w:color="0000FF"/>
          </w:rPr>
          <w:t>by</w:t>
        </w:r>
        <w:r>
          <w:rPr>
            <w:color w:val="0000FF"/>
            <w:spacing w:val="23"/>
            <w:position w:val="1"/>
            <w:u w:val="single" w:color="0000FF"/>
          </w:rPr>
          <w:t> </w:t>
        </w:r>
        <w:r>
          <w:rPr>
            <w:color w:val="0000FF"/>
            <w:position w:val="1"/>
            <w:u w:val="single" w:color="0000FF"/>
          </w:rPr>
          <w:t>and</w:t>
        </w:r>
        <w:r>
          <w:rPr>
            <w:color w:val="0000FF"/>
            <w:spacing w:val="-4"/>
            <w:position w:val="1"/>
            <w:u w:val="single" w:color="0000FF"/>
          </w:rPr>
          <w:t> </w:t>
        </w:r>
        <w:r>
          <w:rPr>
            <w:color w:val="0000FF"/>
            <w:position w:val="1"/>
            <w:u w:val="single" w:color="0000FF"/>
          </w:rPr>
          <w:t>among</w:t>
        </w:r>
        <w:r>
          <w:rPr>
            <w:color w:val="0000FF"/>
            <w:spacing w:val="-12"/>
            <w:position w:val="1"/>
            <w:u w:val="single" w:color="0000FF"/>
          </w:rPr>
          <w:t> </w:t>
        </w:r>
        <w:r>
          <w:rPr>
            <w:color w:val="0000FF"/>
            <w:position w:val="1"/>
            <w:u w:val="single" w:color="0000FF"/>
          </w:rPr>
          <w:t>MGM</w:t>
        </w:r>
        <w:r>
          <w:rPr>
            <w:color w:val="0000FF"/>
            <w:spacing w:val="-3"/>
            <w:position w:val="1"/>
            <w:u w:val="single" w:color="0000FF"/>
          </w:rPr>
          <w:t> </w:t>
        </w:r>
        <w:r>
          <w:rPr>
            <w:color w:val="0000FF"/>
            <w:position w:val="1"/>
            <w:u w:val="single" w:color="0000FF"/>
          </w:rPr>
          <w:t>China</w:t>
        </w:r>
        <w:r>
          <w:rPr>
            <w:color w:val="0000FF"/>
            <w:spacing w:val="-4"/>
            <w:position w:val="1"/>
            <w:u w:val="single" w:color="0000FF"/>
          </w:rPr>
          <w:t> </w:t>
        </w:r>
        <w:r>
          <w:rPr>
            <w:color w:val="0000FF"/>
            <w:position w:val="1"/>
            <w:u w:val="single" w:color="0000FF"/>
          </w:rPr>
          <w:t>Holdings</w:t>
        </w:r>
        <w:r>
          <w:rPr>
            <w:color w:val="0000FF"/>
            <w:spacing w:val="-4"/>
            <w:position w:val="1"/>
            <w:u w:val="single" w:color="0000FF"/>
          </w:rPr>
          <w:t> </w:t>
        </w:r>
        <w:r>
          <w:rPr>
            <w:color w:val="0000FF"/>
            <w:position w:val="1"/>
            <w:u w:val="single" w:color="0000FF"/>
          </w:rPr>
          <w:t>Limited</w:t>
        </w:r>
        <w:r>
          <w:rPr>
            <w:color w:val="0000FF"/>
            <w:spacing w:val="-4"/>
            <w:position w:val="1"/>
            <w:u w:val="single" w:color="0000FF"/>
          </w:rPr>
          <w:t> </w:t>
        </w:r>
        <w:r>
          <w:rPr>
            <w:color w:val="0000FF"/>
            <w:position w:val="1"/>
            <w:u w:val="single" w:color="0000FF"/>
          </w:rPr>
          <w:t>and</w:t>
        </w:r>
        <w:r>
          <w:rPr>
            <w:color w:val="0000FF"/>
            <w:spacing w:val="-4"/>
            <w:position w:val="1"/>
            <w:u w:val="single" w:color="0000FF"/>
          </w:rPr>
          <w:t> </w:t>
        </w:r>
        <w:r>
          <w:rPr>
            <w:color w:val="0000FF"/>
            <w:position w:val="1"/>
            <w:u w:val="single" w:color="0000FF"/>
          </w:rPr>
          <w:t>certain</w:t>
        </w:r>
        <w:r>
          <w:rPr>
            <w:color w:val="0000FF"/>
            <w:position w:val="1"/>
          </w:rPr>
          <w:t> </w:t>
        </w:r>
        <w:r>
          <w:rPr>
            <w:color w:val="0000FF"/>
          </w:rPr>
          <w:t>Arrangers</w:t>
        </w:r>
        <w:r>
          <w:rPr>
            <w:color w:val="0000FF"/>
            <w:spacing w:val="-12"/>
          </w:rPr>
          <w:t> </w:t>
        </w:r>
        <w:r>
          <w:rPr>
            <w:color w:val="0000FF"/>
          </w:rPr>
          <w:t>and</w:t>
        </w:r>
        <w:r>
          <w:rPr>
            <w:color w:val="0000FF"/>
            <w:spacing w:val="-4"/>
          </w:rPr>
          <w:t> </w:t>
        </w:r>
        <w:r>
          <w:rPr>
            <w:color w:val="0000FF"/>
          </w:rPr>
          <w:t>Lenders Party thereto (incorporated by reference to Exhibit 10.4 of the Company</w:t>
        </w:r>
        <w:r>
          <w:rPr>
            <w:color w:val="0000FF"/>
            <w:spacing w:val="-12"/>
            <w:u w:val="single" w:color="0000FF"/>
          </w:rPr>
          <w:t> </w:t>
        </w:r>
        <w:r>
          <w:rPr>
            <w:color w:val="0000FF"/>
            <w:u w:val="single" w:color="0000FF"/>
          </w:rPr>
          <w:t>’s Q</w:t>
        </w:r>
        <w:r>
          <w:rPr>
            <w:color w:val="0000FF"/>
            <w:spacing w:val="-12"/>
            <w:u w:val="single" w:color="0000FF"/>
          </w:rPr>
          <w:t> </w:t>
        </w:r>
        <w:r>
          <w:rPr>
            <w:color w:val="0000FF"/>
            <w:u w:val="single" w:color="0000FF"/>
          </w:rPr>
          <w:t>uarter</w:t>
        </w:r>
        <w:r>
          <w:rPr>
            <w:color w:val="0000FF"/>
          </w:rPr>
          <w:t>ly</w:t>
        </w:r>
        <w:r>
          <w:rPr>
            <w:color w:val="0000FF"/>
            <w:spacing w:val="34"/>
            <w:u w:val="single" w:color="0000FF"/>
          </w:rPr>
          <w:t> </w:t>
        </w:r>
        <w:r>
          <w:rPr>
            <w:color w:val="0000FF"/>
            <w:u w:val="single" w:color="0000FF"/>
          </w:rPr>
          <w:t>Report on Form 10-Q</w:t>
        </w:r>
        <w:r>
          <w:rPr>
            <w:color w:val="0000FF"/>
          </w:rPr>
          <w:t> filed on</w:t>
        </w:r>
      </w:hyperlink>
      <w:r>
        <w:rPr>
          <w:color w:val="0000FF"/>
        </w:rPr>
        <w:t> </w:t>
      </w:r>
      <w:hyperlink r:id="rId39">
        <w:r>
          <w:rPr>
            <w:color w:val="0000FF"/>
            <w:u w:val="single" w:color="0000FF"/>
          </w:rPr>
          <w:t>May</w:t>
        </w:r>
        <w:r>
          <w:rPr>
            <w:color w:val="0000FF"/>
            <w:spacing w:val="40"/>
            <w:u w:val="single" w:color="0000FF"/>
          </w:rPr>
          <w:t> </w:t>
        </w:r>
        <w:r>
          <w:rPr>
            <w:color w:val="0000FF"/>
            <w:u w:val="single" w:color="0000FF"/>
          </w:rPr>
          <w:t>3, 2021).</w:t>
        </w:r>
      </w:hyperlink>
    </w:p>
    <w:p>
      <w:pPr>
        <w:pStyle w:val="BodyText"/>
        <w:tabs>
          <w:tab w:pos="1431" w:val="left" w:leader="none"/>
        </w:tabs>
        <w:spacing w:line="204" w:lineRule="auto" w:before="56"/>
        <w:ind w:left="1431" w:right="136" w:hanging="1269"/>
        <w:jc w:val="both"/>
      </w:pPr>
      <w:r>
        <w:rPr/>
        <mc:AlternateContent>
          <mc:Choice Requires="wps">
            <w:drawing>
              <wp:anchor distT="0" distB="0" distL="0" distR="0" allowOverlap="1" layoutInCell="1" locked="0" behindDoc="1" simplePos="0" relativeHeight="477788160">
                <wp:simplePos x="0" y="0"/>
                <wp:positionH relativeFrom="page">
                  <wp:posOffset>1048651</wp:posOffset>
                </wp:positionH>
                <wp:positionV relativeFrom="paragraph">
                  <wp:posOffset>244481</wp:posOffset>
                </wp:positionV>
                <wp:extent cx="259079" cy="8890"/>
                <wp:effectExtent l="0" t="0" r="0" b="0"/>
                <wp:wrapNone/>
                <wp:docPr id="746" name="Graphic 746"/>
                <wp:cNvGraphicFramePr>
                  <a:graphicFrameLocks/>
                </wp:cNvGraphicFramePr>
                <a:graphic>
                  <a:graphicData uri="http://schemas.microsoft.com/office/word/2010/wordprocessingShape">
                    <wps:wsp>
                      <wps:cNvPr id="746" name="Graphic 746"/>
                      <wps:cNvSpPr/>
                      <wps:spPr>
                        <a:xfrm>
                          <a:off x="0" y="0"/>
                          <a:ext cx="259079" cy="8890"/>
                        </a:xfrm>
                        <a:custGeom>
                          <a:avLst/>
                          <a:gdLst/>
                          <a:ahLst/>
                          <a:cxnLst/>
                          <a:rect l="l" t="t" r="r" b="b"/>
                          <a:pathLst>
                            <a:path w="259079" h="8890">
                              <a:moveTo>
                                <a:pt x="258457" y="0"/>
                              </a:moveTo>
                              <a:lnTo>
                                <a:pt x="0" y="0"/>
                              </a:lnTo>
                              <a:lnTo>
                                <a:pt x="0" y="8572"/>
                              </a:lnTo>
                              <a:lnTo>
                                <a:pt x="258457" y="8572"/>
                              </a:lnTo>
                              <a:lnTo>
                                <a:pt x="25845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82.571007pt;margin-top:19.250534pt;width:20.351001pt;height:.675pt;mso-position-horizontal-relative:page;mso-position-vertical-relative:paragraph;z-index:-25528320" id="docshape744"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7788672">
                <wp:simplePos x="0" y="0"/>
                <wp:positionH relativeFrom="page">
                  <wp:posOffset>1378267</wp:posOffset>
                </wp:positionH>
                <wp:positionV relativeFrom="paragraph">
                  <wp:posOffset>244481</wp:posOffset>
                </wp:positionV>
                <wp:extent cx="946785" cy="8890"/>
                <wp:effectExtent l="0" t="0" r="0" b="0"/>
                <wp:wrapNone/>
                <wp:docPr id="747" name="Graphic 747"/>
                <wp:cNvGraphicFramePr>
                  <a:graphicFrameLocks/>
                </wp:cNvGraphicFramePr>
                <a:graphic>
                  <a:graphicData uri="http://schemas.microsoft.com/office/word/2010/wordprocessingShape">
                    <wps:wsp>
                      <wps:cNvPr id="747" name="Graphic 747"/>
                      <wps:cNvSpPr/>
                      <wps:spPr>
                        <a:xfrm>
                          <a:off x="0" y="0"/>
                          <a:ext cx="946785" cy="8890"/>
                        </a:xfrm>
                        <a:custGeom>
                          <a:avLst/>
                          <a:gdLst/>
                          <a:ahLst/>
                          <a:cxnLst/>
                          <a:rect l="l" t="t" r="r" b="b"/>
                          <a:pathLst>
                            <a:path w="946785" h="8890">
                              <a:moveTo>
                                <a:pt x="946492" y="0"/>
                              </a:moveTo>
                              <a:lnTo>
                                <a:pt x="0" y="0"/>
                              </a:lnTo>
                              <a:lnTo>
                                <a:pt x="0" y="8572"/>
                              </a:lnTo>
                              <a:lnTo>
                                <a:pt x="946492" y="8572"/>
                              </a:lnTo>
                              <a:lnTo>
                                <a:pt x="94649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08.525002pt;margin-top:19.250534pt;width:74.527004pt;height:.675pt;mso-position-horizontal-relative:page;mso-position-vertical-relative:paragraph;z-index:-25527808" id="docshape745"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7789184">
                <wp:simplePos x="0" y="0"/>
                <wp:positionH relativeFrom="page">
                  <wp:posOffset>2370302</wp:posOffset>
                </wp:positionH>
                <wp:positionV relativeFrom="paragraph">
                  <wp:posOffset>244481</wp:posOffset>
                </wp:positionV>
                <wp:extent cx="1111250" cy="8890"/>
                <wp:effectExtent l="0" t="0" r="0" b="0"/>
                <wp:wrapNone/>
                <wp:docPr id="748" name="Graphic 748"/>
                <wp:cNvGraphicFramePr>
                  <a:graphicFrameLocks/>
                </wp:cNvGraphicFramePr>
                <a:graphic>
                  <a:graphicData uri="http://schemas.microsoft.com/office/word/2010/wordprocessingShape">
                    <wps:wsp>
                      <wps:cNvPr id="748" name="Graphic 748"/>
                      <wps:cNvSpPr/>
                      <wps:spPr>
                        <a:xfrm>
                          <a:off x="0" y="0"/>
                          <a:ext cx="1111250" cy="8890"/>
                        </a:xfrm>
                        <a:custGeom>
                          <a:avLst/>
                          <a:gdLst/>
                          <a:ahLst/>
                          <a:cxnLst/>
                          <a:rect l="l" t="t" r="r" b="b"/>
                          <a:pathLst>
                            <a:path w="1111250" h="8890">
                              <a:moveTo>
                                <a:pt x="417817" y="0"/>
                              </a:moveTo>
                              <a:lnTo>
                                <a:pt x="0" y="0"/>
                              </a:lnTo>
                              <a:lnTo>
                                <a:pt x="0" y="8572"/>
                              </a:lnTo>
                              <a:lnTo>
                                <a:pt x="417817" y="8572"/>
                              </a:lnTo>
                              <a:lnTo>
                                <a:pt x="417817" y="0"/>
                              </a:lnTo>
                              <a:close/>
                            </a:path>
                            <a:path w="1111250" h="8890">
                              <a:moveTo>
                                <a:pt x="679208" y="0"/>
                              </a:moveTo>
                              <a:lnTo>
                                <a:pt x="448513" y="0"/>
                              </a:lnTo>
                              <a:lnTo>
                                <a:pt x="448513" y="8572"/>
                              </a:lnTo>
                              <a:lnTo>
                                <a:pt x="679208" y="8572"/>
                              </a:lnTo>
                              <a:lnTo>
                                <a:pt x="679208" y="0"/>
                              </a:lnTo>
                              <a:close/>
                            </a:path>
                            <a:path w="1111250" h="8890">
                              <a:moveTo>
                                <a:pt x="1111084" y="0"/>
                              </a:moveTo>
                              <a:lnTo>
                                <a:pt x="711479" y="0"/>
                              </a:lnTo>
                              <a:lnTo>
                                <a:pt x="711479" y="8572"/>
                              </a:lnTo>
                              <a:lnTo>
                                <a:pt x="1111084" y="8572"/>
                              </a:lnTo>
                              <a:lnTo>
                                <a:pt x="111108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6.638016pt;margin-top:19.250534pt;width:87.5pt;height:.7pt;mso-position-horizontal-relative:page;mso-position-vertical-relative:paragraph;z-index:-25527296" id="docshape746" coordorigin="3733,385" coordsize="1750,14" path="m4391,385l3733,385,3733,399,4391,399,4391,385xm4802,385l4439,385,4439,399,4802,399,4802,385xm5483,385l4853,385,4853,399,5483,399,5483,385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77789696">
                <wp:simplePos x="0" y="0"/>
                <wp:positionH relativeFrom="page">
                  <wp:posOffset>3526929</wp:posOffset>
                </wp:positionH>
                <wp:positionV relativeFrom="paragraph">
                  <wp:posOffset>244481</wp:posOffset>
                </wp:positionV>
                <wp:extent cx="1939925" cy="8890"/>
                <wp:effectExtent l="0" t="0" r="0" b="0"/>
                <wp:wrapNone/>
                <wp:docPr id="749" name="Graphic 749"/>
                <wp:cNvGraphicFramePr>
                  <a:graphicFrameLocks/>
                </wp:cNvGraphicFramePr>
                <a:graphic>
                  <a:graphicData uri="http://schemas.microsoft.com/office/word/2010/wordprocessingShape">
                    <wps:wsp>
                      <wps:cNvPr id="749" name="Graphic 749"/>
                      <wps:cNvSpPr/>
                      <wps:spPr>
                        <a:xfrm>
                          <a:off x="0" y="0"/>
                          <a:ext cx="1939925" cy="8890"/>
                        </a:xfrm>
                        <a:custGeom>
                          <a:avLst/>
                          <a:gdLst/>
                          <a:ahLst/>
                          <a:cxnLst/>
                          <a:rect l="l" t="t" r="r" b="b"/>
                          <a:pathLst>
                            <a:path w="1939925" h="8890">
                              <a:moveTo>
                                <a:pt x="1779028" y="0"/>
                              </a:moveTo>
                              <a:lnTo>
                                <a:pt x="0" y="0"/>
                              </a:lnTo>
                              <a:lnTo>
                                <a:pt x="0" y="8572"/>
                              </a:lnTo>
                              <a:lnTo>
                                <a:pt x="1779028" y="8572"/>
                              </a:lnTo>
                              <a:lnTo>
                                <a:pt x="1779028" y="0"/>
                              </a:lnTo>
                              <a:close/>
                            </a:path>
                            <a:path w="1939925" h="8890">
                              <a:moveTo>
                                <a:pt x="1939582" y="0"/>
                              </a:moveTo>
                              <a:lnTo>
                                <a:pt x="1811299" y="0"/>
                              </a:lnTo>
                              <a:lnTo>
                                <a:pt x="1811299" y="8572"/>
                              </a:lnTo>
                              <a:lnTo>
                                <a:pt x="1939582" y="8572"/>
                              </a:lnTo>
                              <a:lnTo>
                                <a:pt x="193958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77.710999pt;margin-top:19.250534pt;width:152.75pt;height:.7pt;mso-position-horizontal-relative:page;mso-position-vertical-relative:paragraph;z-index:-25526784" id="docshape747" coordorigin="5554,385" coordsize="3055,14" path="m8356,385l5554,385,5554,399,8356,399,8356,385xm8609,385l8407,385,8407,399,8609,399,8609,385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77790208">
                <wp:simplePos x="0" y="0"/>
                <wp:positionH relativeFrom="page">
                  <wp:posOffset>7127773</wp:posOffset>
                </wp:positionH>
                <wp:positionV relativeFrom="paragraph">
                  <wp:posOffset>244481</wp:posOffset>
                </wp:positionV>
                <wp:extent cx="405130" cy="8890"/>
                <wp:effectExtent l="0" t="0" r="0" b="0"/>
                <wp:wrapNone/>
                <wp:docPr id="750" name="Graphic 750"/>
                <wp:cNvGraphicFramePr>
                  <a:graphicFrameLocks/>
                </wp:cNvGraphicFramePr>
                <a:graphic>
                  <a:graphicData uri="http://schemas.microsoft.com/office/word/2010/wordprocessingShape">
                    <wps:wsp>
                      <wps:cNvPr id="750" name="Graphic 750"/>
                      <wps:cNvSpPr/>
                      <wps:spPr>
                        <a:xfrm>
                          <a:off x="0" y="0"/>
                          <a:ext cx="405130" cy="8890"/>
                        </a:xfrm>
                        <a:custGeom>
                          <a:avLst/>
                          <a:gdLst/>
                          <a:ahLst/>
                          <a:cxnLst/>
                          <a:rect l="l" t="t" r="r" b="b"/>
                          <a:pathLst>
                            <a:path w="405130" h="8890">
                              <a:moveTo>
                                <a:pt x="404634" y="0"/>
                              </a:moveTo>
                              <a:lnTo>
                                <a:pt x="0" y="0"/>
                              </a:lnTo>
                              <a:lnTo>
                                <a:pt x="0" y="8572"/>
                              </a:lnTo>
                              <a:lnTo>
                                <a:pt x="404634" y="8572"/>
                              </a:lnTo>
                              <a:lnTo>
                                <a:pt x="40463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1.242004pt;margin-top:19.250534pt;width:31.861002pt;height:.675pt;mso-position-horizontal-relative:page;mso-position-vertical-relative:paragraph;z-index:-25526272" id="docshape748" filled="true" fillcolor="#0000ff" stroked="false">
                <v:fill type="solid"/>
                <w10:wrap type="none"/>
              </v:rect>
            </w:pict>
          </mc:Fallback>
        </mc:AlternateContent>
      </w:r>
      <w:r>
        <w:rPr>
          <w:spacing w:val="-2"/>
        </w:rPr>
        <w:t>10.1(11)</w:t>
      </w:r>
      <w:r>
        <w:rPr/>
        <w:tab/>
      </w:r>
      <w:hyperlink r:id="rId40">
        <w:r>
          <w:rPr>
            <w:color w:val="0000FF"/>
            <w:position w:val="1"/>
            <w:u w:val="single" w:color="0000FF"/>
          </w:rPr>
          <w:t>Amendment</w:t>
        </w:r>
        <w:r>
          <w:rPr>
            <w:color w:val="0000FF"/>
            <w:spacing w:val="-12"/>
            <w:position w:val="1"/>
            <w:u w:val="single" w:color="0000FF"/>
          </w:rPr>
          <w:t> </w:t>
        </w:r>
        <w:r>
          <w:rPr>
            <w:color w:val="0000FF"/>
            <w:position w:val="1"/>
            <w:u w:val="single" w:color="0000FF"/>
          </w:rPr>
          <w:t>Letter</w:t>
        </w:r>
        <w:r>
          <w:rPr>
            <w:color w:val="0000FF"/>
            <w:spacing w:val="-11"/>
            <w:position w:val="1"/>
            <w:u w:val="single" w:color="0000FF"/>
          </w:rPr>
          <w:t> </w:t>
        </w:r>
        <w:r>
          <w:rPr>
            <w:color w:val="0000FF"/>
            <w:position w:val="1"/>
            <w:u w:val="single" w:color="0000FF"/>
          </w:rPr>
          <w:t>to</w:t>
        </w:r>
        <w:r>
          <w:rPr>
            <w:color w:val="0000FF"/>
            <w:spacing w:val="-7"/>
            <w:position w:val="1"/>
            <w:u w:val="single" w:color="0000FF"/>
          </w:rPr>
          <w:t> </w:t>
        </w:r>
        <w:r>
          <w:rPr>
            <w:color w:val="0000FF"/>
            <w:position w:val="1"/>
            <w:u w:val="single" w:color="0000FF"/>
          </w:rPr>
          <w:t>the</w:t>
        </w:r>
        <w:r>
          <w:rPr>
            <w:color w:val="0000FF"/>
            <w:spacing w:val="-4"/>
            <w:position w:val="1"/>
            <w:u w:val="single" w:color="0000FF"/>
          </w:rPr>
          <w:t> </w:t>
        </w:r>
        <w:r>
          <w:rPr>
            <w:color w:val="0000FF"/>
            <w:position w:val="1"/>
            <w:u w:val="single" w:color="0000FF"/>
          </w:rPr>
          <w:t>2019</w:t>
        </w:r>
        <w:r>
          <w:rPr>
            <w:color w:val="0000FF"/>
            <w:spacing w:val="-4"/>
            <w:position w:val="1"/>
            <w:u w:val="single" w:color="0000FF"/>
          </w:rPr>
          <w:t> </w:t>
        </w:r>
        <w:r>
          <w:rPr>
            <w:color w:val="0000FF"/>
            <w:position w:val="1"/>
            <w:u w:val="single" w:color="0000FF"/>
          </w:rPr>
          <w:t>Revolving</w:t>
        </w:r>
        <w:r>
          <w:rPr>
            <w:color w:val="0000FF"/>
            <w:spacing w:val="-12"/>
            <w:position w:val="1"/>
            <w:u w:val="single" w:color="0000FF"/>
          </w:rPr>
          <w:t> </w:t>
        </w:r>
        <w:r>
          <w:rPr>
            <w:color w:val="0000FF"/>
            <w:position w:val="1"/>
            <w:u w:val="single" w:color="0000FF"/>
          </w:rPr>
          <w:t>Credit</w:t>
        </w:r>
        <w:r>
          <w:rPr>
            <w:color w:val="0000FF"/>
            <w:spacing w:val="-3"/>
            <w:position w:val="1"/>
            <w:u w:val="single" w:color="0000FF"/>
          </w:rPr>
          <w:t> </w:t>
        </w:r>
        <w:r>
          <w:rPr>
            <w:color w:val="0000FF"/>
            <w:position w:val="1"/>
            <w:u w:val="single" w:color="0000FF"/>
          </w:rPr>
          <w:t>Facili</w:t>
        </w:r>
        <w:r>
          <w:rPr>
            <w:color w:val="0000FF"/>
            <w:position w:val="1"/>
          </w:rPr>
          <w:t>ty</w:t>
        </w:r>
        <w:r>
          <w:rPr>
            <w:color w:val="0000FF"/>
            <w:spacing w:val="-12"/>
            <w:position w:val="1"/>
            <w:u w:val="single" w:color="0000FF"/>
          </w:rPr>
          <w:t> </w:t>
        </w:r>
        <w:r>
          <w:rPr>
            <w:color w:val="0000FF"/>
            <w:position w:val="1"/>
          </w:rPr>
          <w:t>,</w:t>
        </w:r>
        <w:r>
          <w:rPr>
            <w:color w:val="0000FF"/>
            <w:spacing w:val="-3"/>
            <w:position w:val="1"/>
            <w:u w:val="single" w:color="0000FF"/>
          </w:rPr>
          <w:t> </w:t>
        </w:r>
        <w:r>
          <w:rPr>
            <w:color w:val="0000FF"/>
            <w:position w:val="1"/>
            <w:u w:val="single" w:color="0000FF"/>
          </w:rPr>
          <w:t>dated</w:t>
        </w:r>
        <w:r>
          <w:rPr>
            <w:color w:val="0000FF"/>
            <w:spacing w:val="-4"/>
            <w:position w:val="1"/>
            <w:u w:val="single" w:color="0000FF"/>
          </w:rPr>
          <w:t> </w:t>
        </w:r>
        <w:r>
          <w:rPr>
            <w:color w:val="0000FF"/>
            <w:position w:val="1"/>
            <w:u w:val="single" w:color="0000FF"/>
          </w:rPr>
          <w:t>February</w:t>
        </w:r>
        <w:r>
          <w:rPr>
            <w:color w:val="0000FF"/>
            <w:spacing w:val="23"/>
            <w:position w:val="1"/>
            <w:u w:val="single" w:color="0000FF"/>
          </w:rPr>
          <w:t> </w:t>
        </w:r>
        <w:r>
          <w:rPr>
            <w:color w:val="0000FF"/>
            <w:position w:val="1"/>
            <w:u w:val="single" w:color="0000FF"/>
          </w:rPr>
          <w:t>10,</w:t>
        </w:r>
        <w:r>
          <w:rPr>
            <w:color w:val="0000FF"/>
            <w:spacing w:val="-4"/>
            <w:position w:val="1"/>
            <w:u w:val="single" w:color="0000FF"/>
          </w:rPr>
          <w:t> </w:t>
        </w:r>
        <w:r>
          <w:rPr>
            <w:color w:val="0000FF"/>
            <w:position w:val="1"/>
            <w:u w:val="single" w:color="0000FF"/>
          </w:rPr>
          <w:t>2022,</w:t>
        </w:r>
        <w:r>
          <w:rPr>
            <w:color w:val="0000FF"/>
            <w:spacing w:val="-4"/>
            <w:position w:val="1"/>
            <w:u w:val="single" w:color="0000FF"/>
          </w:rPr>
          <w:t> </w:t>
        </w:r>
        <w:r>
          <w:rPr>
            <w:color w:val="0000FF"/>
            <w:position w:val="1"/>
            <w:u w:val="single" w:color="0000FF"/>
          </w:rPr>
          <w:t>by</w:t>
        </w:r>
        <w:r>
          <w:rPr>
            <w:color w:val="0000FF"/>
            <w:spacing w:val="23"/>
            <w:position w:val="1"/>
            <w:u w:val="single" w:color="0000FF"/>
          </w:rPr>
          <w:t> </w:t>
        </w:r>
        <w:r>
          <w:rPr>
            <w:color w:val="0000FF"/>
            <w:position w:val="1"/>
            <w:u w:val="single" w:color="0000FF"/>
          </w:rPr>
          <w:t>and</w:t>
        </w:r>
        <w:r>
          <w:rPr>
            <w:color w:val="0000FF"/>
            <w:spacing w:val="-4"/>
            <w:position w:val="1"/>
            <w:u w:val="single" w:color="0000FF"/>
          </w:rPr>
          <w:t> </w:t>
        </w:r>
        <w:r>
          <w:rPr>
            <w:color w:val="0000FF"/>
            <w:position w:val="1"/>
            <w:u w:val="single" w:color="0000FF"/>
          </w:rPr>
          <w:t>among</w:t>
        </w:r>
        <w:r>
          <w:rPr>
            <w:color w:val="0000FF"/>
            <w:spacing w:val="-12"/>
            <w:position w:val="1"/>
            <w:u w:val="single" w:color="0000FF"/>
          </w:rPr>
          <w:t> </w:t>
        </w:r>
        <w:r>
          <w:rPr>
            <w:color w:val="0000FF"/>
            <w:position w:val="1"/>
            <w:u w:val="single" w:color="0000FF"/>
          </w:rPr>
          <w:t>MGM</w:t>
        </w:r>
        <w:r>
          <w:rPr>
            <w:color w:val="0000FF"/>
            <w:spacing w:val="-3"/>
            <w:position w:val="1"/>
            <w:u w:val="single" w:color="0000FF"/>
          </w:rPr>
          <w:t> </w:t>
        </w:r>
        <w:r>
          <w:rPr>
            <w:color w:val="0000FF"/>
            <w:position w:val="1"/>
            <w:u w:val="single" w:color="0000FF"/>
          </w:rPr>
          <w:t>China</w:t>
        </w:r>
        <w:r>
          <w:rPr>
            <w:color w:val="0000FF"/>
            <w:spacing w:val="-4"/>
            <w:position w:val="1"/>
            <w:u w:val="single" w:color="0000FF"/>
          </w:rPr>
          <w:t> </w:t>
        </w:r>
        <w:r>
          <w:rPr>
            <w:color w:val="0000FF"/>
            <w:position w:val="1"/>
            <w:u w:val="single" w:color="0000FF"/>
          </w:rPr>
          <w:t>Holdings</w:t>
        </w:r>
        <w:r>
          <w:rPr>
            <w:color w:val="0000FF"/>
            <w:spacing w:val="-4"/>
            <w:position w:val="1"/>
            <w:u w:val="single" w:color="0000FF"/>
          </w:rPr>
          <w:t> </w:t>
        </w:r>
        <w:r>
          <w:rPr>
            <w:color w:val="0000FF"/>
            <w:position w:val="1"/>
            <w:u w:val="single" w:color="0000FF"/>
          </w:rPr>
          <w:t>Limited</w:t>
        </w:r>
        <w:r>
          <w:rPr>
            <w:color w:val="0000FF"/>
            <w:spacing w:val="-4"/>
            <w:position w:val="1"/>
            <w:u w:val="single" w:color="0000FF"/>
          </w:rPr>
          <w:t> </w:t>
        </w:r>
        <w:r>
          <w:rPr>
            <w:color w:val="0000FF"/>
            <w:position w:val="1"/>
            <w:u w:val="single" w:color="0000FF"/>
          </w:rPr>
          <w:t>and</w:t>
        </w:r>
        <w:r>
          <w:rPr>
            <w:color w:val="0000FF"/>
            <w:spacing w:val="-4"/>
            <w:position w:val="1"/>
            <w:u w:val="single" w:color="0000FF"/>
          </w:rPr>
          <w:t> </w:t>
        </w:r>
        <w:r>
          <w:rPr>
            <w:color w:val="0000FF"/>
            <w:position w:val="1"/>
            <w:u w:val="single" w:color="0000FF"/>
          </w:rPr>
          <w:t>certain</w:t>
        </w:r>
        <w:r>
          <w:rPr>
            <w:color w:val="0000FF"/>
            <w:position w:val="1"/>
          </w:rPr>
          <w:t> </w:t>
        </w:r>
        <w:r>
          <w:rPr>
            <w:color w:val="0000FF"/>
          </w:rPr>
          <w:t>Arrangers</w:t>
        </w:r>
        <w:r>
          <w:rPr>
            <w:color w:val="0000FF"/>
            <w:spacing w:val="-12"/>
          </w:rPr>
          <w:t> </w:t>
        </w:r>
        <w:r>
          <w:rPr>
            <w:color w:val="0000FF"/>
          </w:rPr>
          <w:t>and</w:t>
        </w:r>
        <w:r>
          <w:rPr>
            <w:color w:val="0000FF"/>
            <w:spacing w:val="-4"/>
          </w:rPr>
          <w:t> </w:t>
        </w:r>
        <w:r>
          <w:rPr>
            <w:color w:val="0000FF"/>
          </w:rPr>
          <w:t>Lenders Party thereto (incorporated by reference to Exhibit 10.1 of the Company</w:t>
        </w:r>
        <w:r>
          <w:rPr>
            <w:color w:val="0000FF"/>
            <w:spacing w:val="-12"/>
            <w:u w:val="single" w:color="0000FF"/>
          </w:rPr>
          <w:t> </w:t>
        </w:r>
        <w:r>
          <w:rPr>
            <w:color w:val="0000FF"/>
            <w:u w:val="single" w:color="0000FF"/>
          </w:rPr>
          <w:t>’s Q</w:t>
        </w:r>
        <w:r>
          <w:rPr>
            <w:color w:val="0000FF"/>
            <w:spacing w:val="-12"/>
            <w:u w:val="single" w:color="0000FF"/>
          </w:rPr>
          <w:t> </w:t>
        </w:r>
        <w:r>
          <w:rPr>
            <w:color w:val="0000FF"/>
            <w:u w:val="single" w:color="0000FF"/>
          </w:rPr>
          <w:t>uarter</w:t>
        </w:r>
        <w:r>
          <w:rPr>
            <w:color w:val="0000FF"/>
          </w:rPr>
          <w:t>ly</w:t>
        </w:r>
        <w:r>
          <w:rPr>
            <w:color w:val="0000FF"/>
            <w:spacing w:val="34"/>
            <w:u w:val="single" w:color="0000FF"/>
          </w:rPr>
          <w:t> </w:t>
        </w:r>
        <w:r>
          <w:rPr>
            <w:color w:val="0000FF"/>
            <w:u w:val="single" w:color="0000FF"/>
          </w:rPr>
          <w:t>Report on Form 10-Q</w:t>
        </w:r>
        <w:r>
          <w:rPr>
            <w:color w:val="0000FF"/>
          </w:rPr>
          <w:t> filed on</w:t>
        </w:r>
      </w:hyperlink>
      <w:r>
        <w:rPr>
          <w:color w:val="0000FF"/>
        </w:rPr>
        <w:t> </w:t>
      </w:r>
      <w:hyperlink r:id="rId40">
        <w:r>
          <w:rPr>
            <w:color w:val="0000FF"/>
            <w:u w:val="single" w:color="0000FF"/>
          </w:rPr>
          <w:t>May</w:t>
        </w:r>
        <w:r>
          <w:rPr>
            <w:color w:val="0000FF"/>
            <w:spacing w:val="40"/>
            <w:u w:val="single" w:color="0000FF"/>
          </w:rPr>
          <w:t> </w:t>
        </w:r>
        <w:r>
          <w:rPr>
            <w:color w:val="0000FF"/>
            <w:u w:val="single" w:color="0000FF"/>
          </w:rPr>
          <w:t>2, 2022).</w:t>
        </w:r>
      </w:hyperlink>
    </w:p>
    <w:p>
      <w:pPr>
        <w:pStyle w:val="BodyText"/>
        <w:tabs>
          <w:tab w:pos="1431" w:val="left" w:leader="none"/>
        </w:tabs>
        <w:spacing w:line="204" w:lineRule="auto" w:before="57"/>
        <w:ind w:left="1431" w:right="136" w:hanging="1269"/>
        <w:jc w:val="both"/>
      </w:pPr>
      <w:r>
        <w:rPr/>
        <mc:AlternateContent>
          <mc:Choice Requires="wps">
            <w:drawing>
              <wp:anchor distT="0" distB="0" distL="0" distR="0" allowOverlap="1" layoutInCell="1" locked="0" behindDoc="1" simplePos="0" relativeHeight="477790720">
                <wp:simplePos x="0" y="0"/>
                <wp:positionH relativeFrom="page">
                  <wp:posOffset>1048651</wp:posOffset>
                </wp:positionH>
                <wp:positionV relativeFrom="paragraph">
                  <wp:posOffset>244605</wp:posOffset>
                </wp:positionV>
                <wp:extent cx="259079" cy="8890"/>
                <wp:effectExtent l="0" t="0" r="0" b="0"/>
                <wp:wrapNone/>
                <wp:docPr id="751" name="Graphic 751"/>
                <wp:cNvGraphicFramePr>
                  <a:graphicFrameLocks/>
                </wp:cNvGraphicFramePr>
                <a:graphic>
                  <a:graphicData uri="http://schemas.microsoft.com/office/word/2010/wordprocessingShape">
                    <wps:wsp>
                      <wps:cNvPr id="751" name="Graphic 751"/>
                      <wps:cNvSpPr/>
                      <wps:spPr>
                        <a:xfrm>
                          <a:off x="0" y="0"/>
                          <a:ext cx="259079" cy="8890"/>
                        </a:xfrm>
                        <a:custGeom>
                          <a:avLst/>
                          <a:gdLst/>
                          <a:ahLst/>
                          <a:cxnLst/>
                          <a:rect l="l" t="t" r="r" b="b"/>
                          <a:pathLst>
                            <a:path w="259079" h="8890">
                              <a:moveTo>
                                <a:pt x="258457" y="0"/>
                              </a:moveTo>
                              <a:lnTo>
                                <a:pt x="0" y="0"/>
                              </a:lnTo>
                              <a:lnTo>
                                <a:pt x="0" y="8572"/>
                              </a:lnTo>
                              <a:lnTo>
                                <a:pt x="258457" y="8572"/>
                              </a:lnTo>
                              <a:lnTo>
                                <a:pt x="25845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82.571007pt;margin-top:19.260277pt;width:20.351001pt;height:.675pt;mso-position-horizontal-relative:page;mso-position-vertical-relative:paragraph;z-index:-25525760" id="docshape749"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7791232">
                <wp:simplePos x="0" y="0"/>
                <wp:positionH relativeFrom="page">
                  <wp:posOffset>1378267</wp:posOffset>
                </wp:positionH>
                <wp:positionV relativeFrom="paragraph">
                  <wp:posOffset>244605</wp:posOffset>
                </wp:positionV>
                <wp:extent cx="946785" cy="8890"/>
                <wp:effectExtent l="0" t="0" r="0" b="0"/>
                <wp:wrapNone/>
                <wp:docPr id="752" name="Graphic 752"/>
                <wp:cNvGraphicFramePr>
                  <a:graphicFrameLocks/>
                </wp:cNvGraphicFramePr>
                <a:graphic>
                  <a:graphicData uri="http://schemas.microsoft.com/office/word/2010/wordprocessingShape">
                    <wps:wsp>
                      <wps:cNvPr id="752" name="Graphic 752"/>
                      <wps:cNvSpPr/>
                      <wps:spPr>
                        <a:xfrm>
                          <a:off x="0" y="0"/>
                          <a:ext cx="946785" cy="8890"/>
                        </a:xfrm>
                        <a:custGeom>
                          <a:avLst/>
                          <a:gdLst/>
                          <a:ahLst/>
                          <a:cxnLst/>
                          <a:rect l="l" t="t" r="r" b="b"/>
                          <a:pathLst>
                            <a:path w="946785" h="8890">
                              <a:moveTo>
                                <a:pt x="946492" y="0"/>
                              </a:moveTo>
                              <a:lnTo>
                                <a:pt x="0" y="0"/>
                              </a:lnTo>
                              <a:lnTo>
                                <a:pt x="0" y="8572"/>
                              </a:lnTo>
                              <a:lnTo>
                                <a:pt x="946492" y="8572"/>
                              </a:lnTo>
                              <a:lnTo>
                                <a:pt x="94649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08.525002pt;margin-top:19.260277pt;width:74.527004pt;height:.675pt;mso-position-horizontal-relative:page;mso-position-vertical-relative:paragraph;z-index:-25525248" id="docshape750"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7791744">
                <wp:simplePos x="0" y="0"/>
                <wp:positionH relativeFrom="page">
                  <wp:posOffset>2370302</wp:posOffset>
                </wp:positionH>
                <wp:positionV relativeFrom="paragraph">
                  <wp:posOffset>244605</wp:posOffset>
                </wp:positionV>
                <wp:extent cx="1111250" cy="8890"/>
                <wp:effectExtent l="0" t="0" r="0" b="0"/>
                <wp:wrapNone/>
                <wp:docPr id="753" name="Graphic 753"/>
                <wp:cNvGraphicFramePr>
                  <a:graphicFrameLocks/>
                </wp:cNvGraphicFramePr>
                <a:graphic>
                  <a:graphicData uri="http://schemas.microsoft.com/office/word/2010/wordprocessingShape">
                    <wps:wsp>
                      <wps:cNvPr id="753" name="Graphic 753"/>
                      <wps:cNvSpPr/>
                      <wps:spPr>
                        <a:xfrm>
                          <a:off x="0" y="0"/>
                          <a:ext cx="1111250" cy="8890"/>
                        </a:xfrm>
                        <a:custGeom>
                          <a:avLst/>
                          <a:gdLst/>
                          <a:ahLst/>
                          <a:cxnLst/>
                          <a:rect l="l" t="t" r="r" b="b"/>
                          <a:pathLst>
                            <a:path w="1111250" h="8890">
                              <a:moveTo>
                                <a:pt x="417817" y="0"/>
                              </a:moveTo>
                              <a:lnTo>
                                <a:pt x="0" y="0"/>
                              </a:lnTo>
                              <a:lnTo>
                                <a:pt x="0" y="8572"/>
                              </a:lnTo>
                              <a:lnTo>
                                <a:pt x="417817" y="8572"/>
                              </a:lnTo>
                              <a:lnTo>
                                <a:pt x="417817" y="0"/>
                              </a:lnTo>
                              <a:close/>
                            </a:path>
                            <a:path w="1111250" h="8890">
                              <a:moveTo>
                                <a:pt x="679208" y="0"/>
                              </a:moveTo>
                              <a:lnTo>
                                <a:pt x="448513" y="0"/>
                              </a:lnTo>
                              <a:lnTo>
                                <a:pt x="448513" y="8572"/>
                              </a:lnTo>
                              <a:lnTo>
                                <a:pt x="679208" y="8572"/>
                              </a:lnTo>
                              <a:lnTo>
                                <a:pt x="679208" y="0"/>
                              </a:lnTo>
                              <a:close/>
                            </a:path>
                            <a:path w="1111250" h="8890">
                              <a:moveTo>
                                <a:pt x="1111084" y="0"/>
                              </a:moveTo>
                              <a:lnTo>
                                <a:pt x="711479" y="0"/>
                              </a:lnTo>
                              <a:lnTo>
                                <a:pt x="711479" y="8572"/>
                              </a:lnTo>
                              <a:lnTo>
                                <a:pt x="1111084" y="8572"/>
                              </a:lnTo>
                              <a:lnTo>
                                <a:pt x="111108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186.638016pt;margin-top:19.260277pt;width:87.5pt;height:.7pt;mso-position-horizontal-relative:page;mso-position-vertical-relative:paragraph;z-index:-25524736" id="docshape751" coordorigin="3733,385" coordsize="1750,14" path="m4391,385l3733,385,3733,399,4391,399,4391,385xm4802,385l4439,385,4439,399,4802,399,4802,385xm5483,385l4853,385,4853,399,5483,399,5483,385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77792256">
                <wp:simplePos x="0" y="0"/>
                <wp:positionH relativeFrom="page">
                  <wp:posOffset>3526929</wp:posOffset>
                </wp:positionH>
                <wp:positionV relativeFrom="paragraph">
                  <wp:posOffset>244605</wp:posOffset>
                </wp:positionV>
                <wp:extent cx="1939925" cy="8890"/>
                <wp:effectExtent l="0" t="0" r="0" b="0"/>
                <wp:wrapNone/>
                <wp:docPr id="754" name="Graphic 754"/>
                <wp:cNvGraphicFramePr>
                  <a:graphicFrameLocks/>
                </wp:cNvGraphicFramePr>
                <a:graphic>
                  <a:graphicData uri="http://schemas.microsoft.com/office/word/2010/wordprocessingShape">
                    <wps:wsp>
                      <wps:cNvPr id="754" name="Graphic 754"/>
                      <wps:cNvSpPr/>
                      <wps:spPr>
                        <a:xfrm>
                          <a:off x="0" y="0"/>
                          <a:ext cx="1939925" cy="8890"/>
                        </a:xfrm>
                        <a:custGeom>
                          <a:avLst/>
                          <a:gdLst/>
                          <a:ahLst/>
                          <a:cxnLst/>
                          <a:rect l="l" t="t" r="r" b="b"/>
                          <a:pathLst>
                            <a:path w="1939925" h="8890">
                              <a:moveTo>
                                <a:pt x="1779028" y="0"/>
                              </a:moveTo>
                              <a:lnTo>
                                <a:pt x="0" y="0"/>
                              </a:lnTo>
                              <a:lnTo>
                                <a:pt x="0" y="8572"/>
                              </a:lnTo>
                              <a:lnTo>
                                <a:pt x="1779028" y="8572"/>
                              </a:lnTo>
                              <a:lnTo>
                                <a:pt x="1779028" y="0"/>
                              </a:lnTo>
                              <a:close/>
                            </a:path>
                            <a:path w="1939925" h="8890">
                              <a:moveTo>
                                <a:pt x="1939582" y="0"/>
                              </a:moveTo>
                              <a:lnTo>
                                <a:pt x="1811299" y="0"/>
                              </a:lnTo>
                              <a:lnTo>
                                <a:pt x="1811299" y="8572"/>
                              </a:lnTo>
                              <a:lnTo>
                                <a:pt x="1939582" y="8572"/>
                              </a:lnTo>
                              <a:lnTo>
                                <a:pt x="193958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277.710999pt;margin-top:19.260277pt;width:152.75pt;height:.7pt;mso-position-horizontal-relative:page;mso-position-vertical-relative:paragraph;z-index:-25524224" id="docshape752" coordorigin="5554,385" coordsize="3055,14" path="m8356,385l5554,385,5554,399,8356,399,8356,385xm8609,385l8407,385,8407,399,8609,399,8609,385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77792768">
                <wp:simplePos x="0" y="0"/>
                <wp:positionH relativeFrom="page">
                  <wp:posOffset>7127773</wp:posOffset>
                </wp:positionH>
                <wp:positionV relativeFrom="paragraph">
                  <wp:posOffset>244605</wp:posOffset>
                </wp:positionV>
                <wp:extent cx="405130" cy="8890"/>
                <wp:effectExtent l="0" t="0" r="0" b="0"/>
                <wp:wrapNone/>
                <wp:docPr id="755" name="Graphic 755"/>
                <wp:cNvGraphicFramePr>
                  <a:graphicFrameLocks/>
                </wp:cNvGraphicFramePr>
                <a:graphic>
                  <a:graphicData uri="http://schemas.microsoft.com/office/word/2010/wordprocessingShape">
                    <wps:wsp>
                      <wps:cNvPr id="755" name="Graphic 755"/>
                      <wps:cNvSpPr/>
                      <wps:spPr>
                        <a:xfrm>
                          <a:off x="0" y="0"/>
                          <a:ext cx="405130" cy="8890"/>
                        </a:xfrm>
                        <a:custGeom>
                          <a:avLst/>
                          <a:gdLst/>
                          <a:ahLst/>
                          <a:cxnLst/>
                          <a:rect l="l" t="t" r="r" b="b"/>
                          <a:pathLst>
                            <a:path w="405130" h="8890">
                              <a:moveTo>
                                <a:pt x="404634" y="0"/>
                              </a:moveTo>
                              <a:lnTo>
                                <a:pt x="0" y="0"/>
                              </a:lnTo>
                              <a:lnTo>
                                <a:pt x="0" y="8572"/>
                              </a:lnTo>
                              <a:lnTo>
                                <a:pt x="404634" y="8572"/>
                              </a:lnTo>
                              <a:lnTo>
                                <a:pt x="40463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1.242004pt;margin-top:19.260277pt;width:31.861002pt;height:.675pt;mso-position-horizontal-relative:page;mso-position-vertical-relative:paragraph;z-index:-25523712" id="docshape753" filled="true" fillcolor="#0000ff" stroked="false">
                <v:fill type="solid"/>
                <w10:wrap type="none"/>
              </v:rect>
            </w:pict>
          </mc:Fallback>
        </mc:AlternateContent>
      </w:r>
      <w:r>
        <w:rPr>
          <w:spacing w:val="-2"/>
        </w:rPr>
        <w:t>10.1(12)</w:t>
      </w:r>
      <w:r>
        <w:rPr/>
        <w:tab/>
      </w:r>
      <w:hyperlink r:id="rId41">
        <w:r>
          <w:rPr>
            <w:color w:val="0000FF"/>
            <w:position w:val="1"/>
            <w:u w:val="single" w:color="0000FF"/>
          </w:rPr>
          <w:t>Amendment</w:t>
        </w:r>
        <w:r>
          <w:rPr>
            <w:color w:val="0000FF"/>
            <w:spacing w:val="-12"/>
            <w:position w:val="1"/>
            <w:u w:val="single" w:color="0000FF"/>
          </w:rPr>
          <w:t> </w:t>
        </w:r>
        <w:r>
          <w:rPr>
            <w:color w:val="0000FF"/>
            <w:position w:val="1"/>
            <w:u w:val="single" w:color="0000FF"/>
          </w:rPr>
          <w:t>Letter</w:t>
        </w:r>
        <w:r>
          <w:rPr>
            <w:color w:val="0000FF"/>
            <w:spacing w:val="-11"/>
            <w:position w:val="1"/>
            <w:u w:val="single" w:color="0000FF"/>
          </w:rPr>
          <w:t> </w:t>
        </w:r>
        <w:r>
          <w:rPr>
            <w:color w:val="0000FF"/>
            <w:position w:val="1"/>
            <w:u w:val="single" w:color="0000FF"/>
          </w:rPr>
          <w:t>to</w:t>
        </w:r>
        <w:r>
          <w:rPr>
            <w:color w:val="0000FF"/>
            <w:spacing w:val="-7"/>
            <w:position w:val="1"/>
            <w:u w:val="single" w:color="0000FF"/>
          </w:rPr>
          <w:t> </w:t>
        </w:r>
        <w:r>
          <w:rPr>
            <w:color w:val="0000FF"/>
            <w:position w:val="1"/>
            <w:u w:val="single" w:color="0000FF"/>
          </w:rPr>
          <w:t>the</w:t>
        </w:r>
        <w:r>
          <w:rPr>
            <w:color w:val="0000FF"/>
            <w:spacing w:val="-4"/>
            <w:position w:val="1"/>
            <w:u w:val="single" w:color="0000FF"/>
          </w:rPr>
          <w:t> </w:t>
        </w:r>
        <w:r>
          <w:rPr>
            <w:color w:val="0000FF"/>
            <w:position w:val="1"/>
            <w:u w:val="single" w:color="0000FF"/>
          </w:rPr>
          <w:t>2020</w:t>
        </w:r>
        <w:r>
          <w:rPr>
            <w:color w:val="0000FF"/>
            <w:spacing w:val="-4"/>
            <w:position w:val="1"/>
            <w:u w:val="single" w:color="0000FF"/>
          </w:rPr>
          <w:t> </w:t>
        </w:r>
        <w:r>
          <w:rPr>
            <w:color w:val="0000FF"/>
            <w:position w:val="1"/>
            <w:u w:val="single" w:color="0000FF"/>
          </w:rPr>
          <w:t>Revolving</w:t>
        </w:r>
        <w:r>
          <w:rPr>
            <w:color w:val="0000FF"/>
            <w:spacing w:val="-12"/>
            <w:position w:val="1"/>
            <w:u w:val="single" w:color="0000FF"/>
          </w:rPr>
          <w:t> </w:t>
        </w:r>
        <w:r>
          <w:rPr>
            <w:color w:val="0000FF"/>
            <w:position w:val="1"/>
            <w:u w:val="single" w:color="0000FF"/>
          </w:rPr>
          <w:t>Credit</w:t>
        </w:r>
        <w:r>
          <w:rPr>
            <w:color w:val="0000FF"/>
            <w:spacing w:val="-3"/>
            <w:position w:val="1"/>
            <w:u w:val="single" w:color="0000FF"/>
          </w:rPr>
          <w:t> </w:t>
        </w:r>
        <w:r>
          <w:rPr>
            <w:color w:val="0000FF"/>
            <w:position w:val="1"/>
            <w:u w:val="single" w:color="0000FF"/>
          </w:rPr>
          <w:t>Facili</w:t>
        </w:r>
        <w:r>
          <w:rPr>
            <w:color w:val="0000FF"/>
            <w:position w:val="1"/>
          </w:rPr>
          <w:t>ty</w:t>
        </w:r>
        <w:r>
          <w:rPr>
            <w:color w:val="0000FF"/>
            <w:spacing w:val="-12"/>
            <w:position w:val="1"/>
            <w:u w:val="single" w:color="0000FF"/>
          </w:rPr>
          <w:t> </w:t>
        </w:r>
        <w:r>
          <w:rPr>
            <w:color w:val="0000FF"/>
            <w:position w:val="1"/>
          </w:rPr>
          <w:t>,</w:t>
        </w:r>
        <w:r>
          <w:rPr>
            <w:color w:val="0000FF"/>
            <w:spacing w:val="-3"/>
            <w:position w:val="1"/>
            <w:u w:val="single" w:color="0000FF"/>
          </w:rPr>
          <w:t> </w:t>
        </w:r>
        <w:r>
          <w:rPr>
            <w:color w:val="0000FF"/>
            <w:position w:val="1"/>
            <w:u w:val="single" w:color="0000FF"/>
          </w:rPr>
          <w:t>dated</w:t>
        </w:r>
        <w:r>
          <w:rPr>
            <w:color w:val="0000FF"/>
            <w:spacing w:val="-4"/>
            <w:position w:val="1"/>
            <w:u w:val="single" w:color="0000FF"/>
          </w:rPr>
          <w:t> </w:t>
        </w:r>
        <w:r>
          <w:rPr>
            <w:color w:val="0000FF"/>
            <w:position w:val="1"/>
            <w:u w:val="single" w:color="0000FF"/>
          </w:rPr>
          <w:t>February</w:t>
        </w:r>
        <w:r>
          <w:rPr>
            <w:color w:val="0000FF"/>
            <w:spacing w:val="23"/>
            <w:position w:val="1"/>
            <w:u w:val="single" w:color="0000FF"/>
          </w:rPr>
          <w:t> </w:t>
        </w:r>
        <w:r>
          <w:rPr>
            <w:color w:val="0000FF"/>
            <w:position w:val="1"/>
            <w:u w:val="single" w:color="0000FF"/>
          </w:rPr>
          <w:t>10,</w:t>
        </w:r>
        <w:r>
          <w:rPr>
            <w:color w:val="0000FF"/>
            <w:spacing w:val="-4"/>
            <w:position w:val="1"/>
            <w:u w:val="single" w:color="0000FF"/>
          </w:rPr>
          <w:t> </w:t>
        </w:r>
        <w:r>
          <w:rPr>
            <w:color w:val="0000FF"/>
            <w:position w:val="1"/>
            <w:u w:val="single" w:color="0000FF"/>
          </w:rPr>
          <w:t>2022,</w:t>
        </w:r>
        <w:r>
          <w:rPr>
            <w:color w:val="0000FF"/>
            <w:spacing w:val="-4"/>
            <w:position w:val="1"/>
            <w:u w:val="single" w:color="0000FF"/>
          </w:rPr>
          <w:t> </w:t>
        </w:r>
        <w:r>
          <w:rPr>
            <w:color w:val="0000FF"/>
            <w:position w:val="1"/>
            <w:u w:val="single" w:color="0000FF"/>
          </w:rPr>
          <w:t>by</w:t>
        </w:r>
        <w:r>
          <w:rPr>
            <w:color w:val="0000FF"/>
            <w:spacing w:val="23"/>
            <w:position w:val="1"/>
            <w:u w:val="single" w:color="0000FF"/>
          </w:rPr>
          <w:t> </w:t>
        </w:r>
        <w:r>
          <w:rPr>
            <w:color w:val="0000FF"/>
            <w:position w:val="1"/>
            <w:u w:val="single" w:color="0000FF"/>
          </w:rPr>
          <w:t>and</w:t>
        </w:r>
        <w:r>
          <w:rPr>
            <w:color w:val="0000FF"/>
            <w:spacing w:val="-4"/>
            <w:position w:val="1"/>
            <w:u w:val="single" w:color="0000FF"/>
          </w:rPr>
          <w:t> </w:t>
        </w:r>
        <w:r>
          <w:rPr>
            <w:color w:val="0000FF"/>
            <w:position w:val="1"/>
            <w:u w:val="single" w:color="0000FF"/>
          </w:rPr>
          <w:t>among</w:t>
        </w:r>
        <w:r>
          <w:rPr>
            <w:color w:val="0000FF"/>
            <w:spacing w:val="-12"/>
            <w:position w:val="1"/>
            <w:u w:val="single" w:color="0000FF"/>
          </w:rPr>
          <w:t> </w:t>
        </w:r>
        <w:r>
          <w:rPr>
            <w:color w:val="0000FF"/>
            <w:position w:val="1"/>
            <w:u w:val="single" w:color="0000FF"/>
          </w:rPr>
          <w:t>MGM</w:t>
        </w:r>
        <w:r>
          <w:rPr>
            <w:color w:val="0000FF"/>
            <w:spacing w:val="-3"/>
            <w:position w:val="1"/>
            <w:u w:val="single" w:color="0000FF"/>
          </w:rPr>
          <w:t> </w:t>
        </w:r>
        <w:r>
          <w:rPr>
            <w:color w:val="0000FF"/>
            <w:position w:val="1"/>
            <w:u w:val="single" w:color="0000FF"/>
          </w:rPr>
          <w:t>China</w:t>
        </w:r>
        <w:r>
          <w:rPr>
            <w:color w:val="0000FF"/>
            <w:spacing w:val="-4"/>
            <w:position w:val="1"/>
            <w:u w:val="single" w:color="0000FF"/>
          </w:rPr>
          <w:t> </w:t>
        </w:r>
        <w:r>
          <w:rPr>
            <w:color w:val="0000FF"/>
            <w:position w:val="1"/>
            <w:u w:val="single" w:color="0000FF"/>
          </w:rPr>
          <w:t>Holdings</w:t>
        </w:r>
        <w:r>
          <w:rPr>
            <w:color w:val="0000FF"/>
            <w:spacing w:val="-4"/>
            <w:position w:val="1"/>
            <w:u w:val="single" w:color="0000FF"/>
          </w:rPr>
          <w:t> </w:t>
        </w:r>
        <w:r>
          <w:rPr>
            <w:color w:val="0000FF"/>
            <w:position w:val="1"/>
            <w:u w:val="single" w:color="0000FF"/>
          </w:rPr>
          <w:t>Limited</w:t>
        </w:r>
        <w:r>
          <w:rPr>
            <w:color w:val="0000FF"/>
            <w:spacing w:val="-4"/>
            <w:position w:val="1"/>
            <w:u w:val="single" w:color="0000FF"/>
          </w:rPr>
          <w:t> </w:t>
        </w:r>
        <w:r>
          <w:rPr>
            <w:color w:val="0000FF"/>
            <w:position w:val="1"/>
            <w:u w:val="single" w:color="0000FF"/>
          </w:rPr>
          <w:t>and</w:t>
        </w:r>
        <w:r>
          <w:rPr>
            <w:color w:val="0000FF"/>
            <w:spacing w:val="-4"/>
            <w:position w:val="1"/>
            <w:u w:val="single" w:color="0000FF"/>
          </w:rPr>
          <w:t> </w:t>
        </w:r>
        <w:r>
          <w:rPr>
            <w:color w:val="0000FF"/>
            <w:position w:val="1"/>
            <w:u w:val="single" w:color="0000FF"/>
          </w:rPr>
          <w:t>certain</w:t>
        </w:r>
        <w:r>
          <w:rPr>
            <w:color w:val="0000FF"/>
            <w:position w:val="1"/>
          </w:rPr>
          <w:t> </w:t>
        </w:r>
        <w:r>
          <w:rPr>
            <w:color w:val="0000FF"/>
          </w:rPr>
          <w:t>Arrangers</w:t>
        </w:r>
        <w:r>
          <w:rPr>
            <w:color w:val="0000FF"/>
            <w:spacing w:val="-12"/>
          </w:rPr>
          <w:t> </w:t>
        </w:r>
        <w:r>
          <w:rPr>
            <w:color w:val="0000FF"/>
          </w:rPr>
          <w:t>and</w:t>
        </w:r>
        <w:r>
          <w:rPr>
            <w:color w:val="0000FF"/>
            <w:spacing w:val="-4"/>
          </w:rPr>
          <w:t> </w:t>
        </w:r>
        <w:r>
          <w:rPr>
            <w:color w:val="0000FF"/>
          </w:rPr>
          <w:t>Lenders Party thereto (incorporated by reference to Exhibit 10.2 of the Company</w:t>
        </w:r>
        <w:r>
          <w:rPr>
            <w:color w:val="0000FF"/>
            <w:spacing w:val="-12"/>
            <w:u w:val="single" w:color="0000FF"/>
          </w:rPr>
          <w:t> </w:t>
        </w:r>
        <w:r>
          <w:rPr>
            <w:color w:val="0000FF"/>
            <w:u w:val="single" w:color="0000FF"/>
          </w:rPr>
          <w:t>’s Q</w:t>
        </w:r>
        <w:r>
          <w:rPr>
            <w:color w:val="0000FF"/>
            <w:spacing w:val="-12"/>
            <w:u w:val="single" w:color="0000FF"/>
          </w:rPr>
          <w:t> </w:t>
        </w:r>
        <w:r>
          <w:rPr>
            <w:color w:val="0000FF"/>
            <w:u w:val="single" w:color="0000FF"/>
          </w:rPr>
          <w:t>uarter</w:t>
        </w:r>
        <w:r>
          <w:rPr>
            <w:color w:val="0000FF"/>
          </w:rPr>
          <w:t>ly</w:t>
        </w:r>
        <w:r>
          <w:rPr>
            <w:color w:val="0000FF"/>
            <w:spacing w:val="34"/>
            <w:u w:val="single" w:color="0000FF"/>
          </w:rPr>
          <w:t> </w:t>
        </w:r>
        <w:r>
          <w:rPr>
            <w:color w:val="0000FF"/>
            <w:u w:val="single" w:color="0000FF"/>
          </w:rPr>
          <w:t>Report on Form 10-Q</w:t>
        </w:r>
        <w:r>
          <w:rPr>
            <w:color w:val="0000FF"/>
          </w:rPr>
          <w:t> filed on</w:t>
        </w:r>
      </w:hyperlink>
      <w:r>
        <w:rPr>
          <w:color w:val="0000FF"/>
        </w:rPr>
        <w:t> </w:t>
      </w:r>
      <w:hyperlink r:id="rId41">
        <w:r>
          <w:rPr>
            <w:color w:val="0000FF"/>
            <w:u w:val="single" w:color="0000FF"/>
          </w:rPr>
          <w:t>May</w:t>
        </w:r>
        <w:r>
          <w:rPr>
            <w:color w:val="0000FF"/>
            <w:spacing w:val="40"/>
            <w:u w:val="single" w:color="0000FF"/>
          </w:rPr>
          <w:t> </w:t>
        </w:r>
        <w:r>
          <w:rPr>
            <w:color w:val="0000FF"/>
            <w:u w:val="single" w:color="0000FF"/>
          </w:rPr>
          <w:t>2, 2022).</w:t>
        </w:r>
      </w:hyperlink>
    </w:p>
    <w:p>
      <w:pPr>
        <w:pStyle w:val="BodyText"/>
        <w:tabs>
          <w:tab w:pos="1431" w:val="left" w:leader="none"/>
        </w:tabs>
        <w:spacing w:line="187" w:lineRule="auto" w:before="68"/>
        <w:ind w:left="1431" w:right="135" w:hanging="1269"/>
        <w:jc w:val="both"/>
      </w:pPr>
      <w:r>
        <w:rPr>
          <w:spacing w:val="-2"/>
        </w:rPr>
        <w:t>10.1(13)</w:t>
      </w:r>
      <w:r>
        <w:rPr/>
        <w:tab/>
      </w:r>
      <w:hyperlink r:id="rId42">
        <w:r>
          <w:rPr>
            <w:color w:val="0000FF"/>
            <w:position w:val="1"/>
            <w:u w:val="single" w:color="0000FF"/>
          </w:rPr>
          <w:t>Guaran</w:t>
        </w:r>
        <w:r>
          <w:rPr>
            <w:color w:val="0000FF"/>
            <w:position w:val="1"/>
          </w:rPr>
          <w:t>ty</w:t>
        </w:r>
        <w:r>
          <w:rPr>
            <w:color w:val="0000FF"/>
            <w:spacing w:val="12"/>
            <w:position w:val="1"/>
            <w:u w:val="single" w:color="0000FF"/>
          </w:rPr>
          <w:t> </w:t>
        </w:r>
        <w:r>
          <w:rPr>
            <w:color w:val="0000FF"/>
            <w:position w:val="1"/>
            <w:u w:val="single" w:color="0000FF"/>
          </w:rPr>
          <w:t>Agreement, dated as of November 15, 2019 (incorporated by</w:t>
        </w:r>
        <w:r>
          <w:rPr>
            <w:color w:val="0000FF"/>
            <w:spacing w:val="28"/>
            <w:position w:val="1"/>
            <w:u w:val="single" w:color="0000FF"/>
          </w:rPr>
          <w:t> </w:t>
        </w:r>
        <w:r>
          <w:rPr>
            <w:color w:val="0000FF"/>
            <w:position w:val="1"/>
            <w:u w:val="single" w:color="0000FF"/>
          </w:rPr>
          <w:t>reference to Exhibit 10.3 to the Company</w:t>
        </w:r>
        <w:r>
          <w:rPr>
            <w:color w:val="0000FF"/>
            <w:spacing w:val="-12"/>
            <w:position w:val="1"/>
            <w:u w:val="single" w:color="0000FF"/>
          </w:rPr>
          <w:t> </w:t>
        </w:r>
        <w:r>
          <w:rPr>
            <w:color w:val="0000FF"/>
            <w:position w:val="1"/>
            <w:u w:val="single" w:color="0000FF"/>
          </w:rPr>
          <w:t>’s Current Report on </w:t>
        </w:r>
        <w:r>
          <w:rPr>
            <w:color w:val="0000FF"/>
            <w:position w:val="1"/>
            <w:u w:val="single" w:color="0000FF"/>
          </w:rPr>
          <w:t>Form</w:t>
        </w:r>
      </w:hyperlink>
      <w:r>
        <w:rPr>
          <w:color w:val="0000FF"/>
          <w:position w:val="1"/>
        </w:rPr>
        <w:t> </w:t>
      </w:r>
      <w:hyperlink r:id="rId42">
        <w:r>
          <w:rPr>
            <w:color w:val="0000FF"/>
            <w:u w:val="single" w:color="0000FF"/>
          </w:rPr>
          <w:t>8-K filed on November 18, 2019).</w:t>
        </w:r>
      </w:hyperlink>
    </w:p>
    <w:p>
      <w:pPr>
        <w:pStyle w:val="BodyText"/>
        <w:tabs>
          <w:tab w:pos="1431" w:val="left" w:leader="none"/>
        </w:tabs>
        <w:spacing w:line="187" w:lineRule="auto" w:before="85"/>
        <w:ind w:left="1431" w:right="136" w:hanging="1269"/>
        <w:jc w:val="both"/>
      </w:pPr>
      <w:r>
        <w:rPr>
          <w:spacing w:val="-2"/>
        </w:rPr>
        <w:t>10.1(14)</w:t>
      </w:r>
      <w:r>
        <w:rPr/>
        <w:tab/>
      </w:r>
      <w:hyperlink r:id="rId43">
        <w:r>
          <w:rPr>
            <w:color w:val="0000FF"/>
            <w:position w:val="1"/>
            <w:u w:val="single" w:color="0000FF"/>
          </w:rPr>
          <w:t>Guaran</w:t>
        </w:r>
        <w:r>
          <w:rPr>
            <w:color w:val="0000FF"/>
            <w:position w:val="1"/>
          </w:rPr>
          <w:t>ty</w:t>
        </w:r>
        <w:r>
          <w:rPr>
            <w:color w:val="0000FF"/>
            <w:spacing w:val="-12"/>
            <w:position w:val="1"/>
            <w:u w:val="single" w:color="0000FF"/>
          </w:rPr>
          <w:t> </w:t>
        </w:r>
        <w:r>
          <w:rPr>
            <w:color w:val="0000FF"/>
            <w:position w:val="1"/>
            <w:u w:val="single" w:color="0000FF"/>
          </w:rPr>
          <w:t>Agreement,</w:t>
        </w:r>
        <w:r>
          <w:rPr>
            <w:color w:val="0000FF"/>
            <w:spacing w:val="-9"/>
            <w:position w:val="1"/>
            <w:u w:val="single" w:color="0000FF"/>
          </w:rPr>
          <w:t> </w:t>
        </w:r>
        <w:r>
          <w:rPr>
            <w:color w:val="0000FF"/>
            <w:position w:val="1"/>
            <w:u w:val="single" w:color="0000FF"/>
          </w:rPr>
          <w:t>dated</w:t>
        </w:r>
        <w:r>
          <w:rPr>
            <w:color w:val="0000FF"/>
            <w:spacing w:val="-3"/>
            <w:position w:val="1"/>
            <w:u w:val="single" w:color="0000FF"/>
          </w:rPr>
          <w:t> </w:t>
        </w:r>
        <w:r>
          <w:rPr>
            <w:color w:val="0000FF"/>
            <w:position w:val="1"/>
            <w:u w:val="single" w:color="0000FF"/>
          </w:rPr>
          <w:t>as</w:t>
        </w:r>
        <w:r>
          <w:rPr>
            <w:color w:val="0000FF"/>
            <w:spacing w:val="-3"/>
            <w:position w:val="1"/>
            <w:u w:val="single" w:color="0000FF"/>
          </w:rPr>
          <w:t> </w:t>
        </w:r>
        <w:r>
          <w:rPr>
            <w:color w:val="0000FF"/>
            <w:position w:val="1"/>
            <w:u w:val="single" w:color="0000FF"/>
          </w:rPr>
          <w:t>of</w:t>
        </w:r>
        <w:r>
          <w:rPr>
            <w:color w:val="0000FF"/>
            <w:spacing w:val="-3"/>
            <w:position w:val="1"/>
            <w:u w:val="single" w:color="0000FF"/>
          </w:rPr>
          <w:t> </w:t>
        </w:r>
        <w:r>
          <w:rPr>
            <w:color w:val="0000FF"/>
            <w:position w:val="1"/>
            <w:u w:val="single" w:color="0000FF"/>
          </w:rPr>
          <w:t>February</w:t>
        </w:r>
        <w:r>
          <w:rPr>
            <w:color w:val="0000FF"/>
            <w:spacing w:val="22"/>
            <w:position w:val="1"/>
            <w:u w:val="single" w:color="0000FF"/>
          </w:rPr>
          <w:t> </w:t>
        </w:r>
        <w:r>
          <w:rPr>
            <w:color w:val="0000FF"/>
            <w:position w:val="1"/>
            <w:u w:val="single" w:color="0000FF"/>
          </w:rPr>
          <w:t>14,</w:t>
        </w:r>
        <w:r>
          <w:rPr>
            <w:color w:val="0000FF"/>
            <w:spacing w:val="-3"/>
            <w:position w:val="1"/>
            <w:u w:val="single" w:color="0000FF"/>
          </w:rPr>
          <w:t> </w:t>
        </w:r>
        <w:r>
          <w:rPr>
            <w:color w:val="0000FF"/>
            <w:position w:val="1"/>
            <w:u w:val="single" w:color="0000FF"/>
          </w:rPr>
          <w:t>2020</w:t>
        </w:r>
        <w:r>
          <w:rPr>
            <w:color w:val="0000FF"/>
            <w:spacing w:val="-3"/>
            <w:position w:val="1"/>
            <w:u w:val="single" w:color="0000FF"/>
          </w:rPr>
          <w:t> </w:t>
        </w:r>
        <w:r>
          <w:rPr>
            <w:color w:val="0000FF"/>
            <w:position w:val="1"/>
            <w:u w:val="single" w:color="0000FF"/>
          </w:rPr>
          <w:t>(incorporated</w:t>
        </w:r>
        <w:r>
          <w:rPr>
            <w:color w:val="0000FF"/>
            <w:spacing w:val="-3"/>
            <w:position w:val="1"/>
            <w:u w:val="single" w:color="0000FF"/>
          </w:rPr>
          <w:t> </w:t>
        </w:r>
        <w:r>
          <w:rPr>
            <w:color w:val="0000FF"/>
            <w:position w:val="1"/>
            <w:u w:val="single" w:color="0000FF"/>
          </w:rPr>
          <w:t>by</w:t>
        </w:r>
        <w:r>
          <w:rPr>
            <w:color w:val="0000FF"/>
            <w:spacing w:val="22"/>
            <w:position w:val="1"/>
            <w:u w:val="single" w:color="0000FF"/>
          </w:rPr>
          <w:t> </w:t>
        </w:r>
        <w:r>
          <w:rPr>
            <w:color w:val="0000FF"/>
            <w:position w:val="1"/>
            <w:u w:val="single" w:color="0000FF"/>
          </w:rPr>
          <w:t>reference</w:t>
        </w:r>
        <w:r>
          <w:rPr>
            <w:color w:val="0000FF"/>
            <w:spacing w:val="-3"/>
            <w:position w:val="1"/>
            <w:u w:val="single" w:color="0000FF"/>
          </w:rPr>
          <w:t> </w:t>
        </w:r>
        <w:r>
          <w:rPr>
            <w:color w:val="0000FF"/>
            <w:position w:val="1"/>
            <w:u w:val="single" w:color="0000FF"/>
          </w:rPr>
          <w:t>to</w:t>
        </w:r>
        <w:r>
          <w:rPr>
            <w:color w:val="0000FF"/>
            <w:spacing w:val="-3"/>
            <w:position w:val="1"/>
            <w:u w:val="single" w:color="0000FF"/>
          </w:rPr>
          <w:t> </w:t>
        </w:r>
        <w:r>
          <w:rPr>
            <w:color w:val="0000FF"/>
            <w:position w:val="1"/>
            <w:u w:val="single" w:color="0000FF"/>
          </w:rPr>
          <w:t>Exhibit</w:t>
        </w:r>
        <w:r>
          <w:rPr>
            <w:color w:val="0000FF"/>
            <w:spacing w:val="-3"/>
            <w:position w:val="1"/>
            <w:u w:val="single" w:color="0000FF"/>
          </w:rPr>
          <w:t> </w:t>
        </w:r>
        <w:r>
          <w:rPr>
            <w:color w:val="0000FF"/>
            <w:position w:val="1"/>
            <w:u w:val="single" w:color="0000FF"/>
          </w:rPr>
          <w:t>10.2</w:t>
        </w:r>
        <w:r>
          <w:rPr>
            <w:color w:val="0000FF"/>
            <w:spacing w:val="-3"/>
            <w:position w:val="1"/>
            <w:u w:val="single" w:color="0000FF"/>
          </w:rPr>
          <w:t> </w:t>
        </w:r>
        <w:r>
          <w:rPr>
            <w:color w:val="0000FF"/>
            <w:position w:val="1"/>
            <w:u w:val="single" w:color="0000FF"/>
          </w:rPr>
          <w:t>of</w:t>
        </w:r>
        <w:r>
          <w:rPr>
            <w:color w:val="0000FF"/>
            <w:spacing w:val="-3"/>
            <w:position w:val="1"/>
            <w:u w:val="single" w:color="0000FF"/>
          </w:rPr>
          <w:t> </w:t>
        </w:r>
        <w:r>
          <w:rPr>
            <w:color w:val="0000FF"/>
            <w:position w:val="1"/>
            <w:u w:val="single" w:color="0000FF"/>
          </w:rPr>
          <w:t>the</w:t>
        </w:r>
        <w:r>
          <w:rPr>
            <w:color w:val="0000FF"/>
            <w:spacing w:val="-3"/>
            <w:position w:val="1"/>
            <w:u w:val="single" w:color="0000FF"/>
          </w:rPr>
          <w:t> </w:t>
        </w:r>
        <w:r>
          <w:rPr>
            <w:color w:val="0000FF"/>
            <w:position w:val="1"/>
            <w:u w:val="single" w:color="0000FF"/>
          </w:rPr>
          <w:t>Company</w:t>
        </w:r>
        <w:r>
          <w:rPr>
            <w:color w:val="0000FF"/>
            <w:spacing w:val="-12"/>
            <w:position w:val="1"/>
            <w:u w:val="single" w:color="0000FF"/>
          </w:rPr>
          <w:t> </w:t>
        </w:r>
        <w:r>
          <w:rPr>
            <w:color w:val="0000FF"/>
            <w:position w:val="1"/>
            <w:u w:val="single" w:color="0000FF"/>
          </w:rPr>
          <w:t>’s</w:t>
        </w:r>
        <w:r>
          <w:rPr>
            <w:color w:val="0000FF"/>
            <w:spacing w:val="-2"/>
            <w:position w:val="1"/>
            <w:u w:val="single" w:color="0000FF"/>
          </w:rPr>
          <w:t> </w:t>
        </w:r>
        <w:r>
          <w:rPr>
            <w:color w:val="0000FF"/>
            <w:position w:val="1"/>
            <w:u w:val="single" w:color="0000FF"/>
          </w:rPr>
          <w:t>Q</w:t>
        </w:r>
        <w:r>
          <w:rPr>
            <w:color w:val="0000FF"/>
            <w:spacing w:val="-12"/>
            <w:position w:val="1"/>
            <w:u w:val="single" w:color="0000FF"/>
          </w:rPr>
          <w:t> </w:t>
        </w:r>
        <w:r>
          <w:rPr>
            <w:color w:val="0000FF"/>
            <w:position w:val="1"/>
            <w:u w:val="single" w:color="0000FF"/>
          </w:rPr>
          <w:t>uarter</w:t>
        </w:r>
        <w:r>
          <w:rPr>
            <w:color w:val="0000FF"/>
            <w:position w:val="1"/>
          </w:rPr>
          <w:t>ly</w:t>
        </w:r>
        <w:r>
          <w:rPr>
            <w:color w:val="0000FF"/>
            <w:spacing w:val="23"/>
            <w:position w:val="1"/>
            <w:u w:val="single" w:color="0000FF"/>
          </w:rPr>
          <w:t> </w:t>
        </w:r>
        <w:r>
          <w:rPr>
            <w:color w:val="0000FF"/>
            <w:position w:val="1"/>
            <w:u w:val="single" w:color="0000FF"/>
          </w:rPr>
          <w:t>Report</w:t>
        </w:r>
        <w:r>
          <w:rPr>
            <w:color w:val="0000FF"/>
            <w:spacing w:val="-3"/>
            <w:position w:val="1"/>
            <w:u w:val="single" w:color="0000FF"/>
          </w:rPr>
          <w:t> </w:t>
        </w:r>
        <w:r>
          <w:rPr>
            <w:color w:val="0000FF"/>
            <w:position w:val="1"/>
            <w:u w:val="single" w:color="0000FF"/>
          </w:rPr>
          <w:t>on</w:t>
        </w:r>
        <w:r>
          <w:rPr>
            <w:color w:val="0000FF"/>
            <w:spacing w:val="-3"/>
            <w:position w:val="1"/>
            <w:u w:val="single" w:color="0000FF"/>
          </w:rPr>
          <w:t> </w:t>
        </w:r>
        <w:r>
          <w:rPr>
            <w:color w:val="0000FF"/>
            <w:position w:val="1"/>
            <w:u w:val="single" w:color="0000FF"/>
          </w:rPr>
          <w:t>Form</w:t>
        </w:r>
      </w:hyperlink>
      <w:r>
        <w:rPr>
          <w:color w:val="0000FF"/>
          <w:position w:val="1"/>
        </w:rPr>
        <w:t> </w:t>
      </w:r>
      <w:hyperlink r:id="rId43">
        <w:r>
          <w:rPr>
            <w:color w:val="0000FF"/>
            <w:u w:val="single" w:color="0000FF"/>
          </w:rPr>
          <w:t>10-Q filed on May</w:t>
        </w:r>
        <w:r>
          <w:rPr>
            <w:color w:val="0000FF"/>
            <w:spacing w:val="40"/>
            <w:u w:val="single" w:color="0000FF"/>
          </w:rPr>
          <w:t> </w:t>
        </w:r>
        <w:r>
          <w:rPr>
            <w:color w:val="0000FF"/>
            <w:u w:val="single" w:color="0000FF"/>
          </w:rPr>
          <w:t>1, 2020).</w:t>
        </w:r>
      </w:hyperlink>
    </w:p>
    <w:p>
      <w:pPr>
        <w:pStyle w:val="BodyText"/>
        <w:tabs>
          <w:tab w:pos="1431" w:val="left" w:leader="none"/>
        </w:tabs>
        <w:spacing w:before="49"/>
        <w:ind w:left="162"/>
        <w:jc w:val="both"/>
      </w:pPr>
      <w:r>
        <w:rPr>
          <w:spacing w:val="-2"/>
          <w:position w:val="1"/>
        </w:rPr>
        <w:t>10.2(1)</w:t>
      </w:r>
      <w:r>
        <w:rPr>
          <w:position w:val="1"/>
        </w:rPr>
        <w:tab/>
      </w:r>
      <w:hyperlink w:history="true" w:anchor="_bookmark31">
        <w:r>
          <w:rPr>
            <w:color w:val="0000FF"/>
            <w:u w:val="single" w:color="0000FF"/>
          </w:rPr>
          <w:t>Concession</w:t>
        </w:r>
        <w:r>
          <w:rPr>
            <w:color w:val="0000FF"/>
            <w:spacing w:val="-6"/>
            <w:u w:val="single" w:color="0000FF"/>
          </w:rPr>
          <w:t> </w:t>
        </w:r>
        <w:r>
          <w:rPr>
            <w:color w:val="0000FF"/>
            <w:u w:val="single" w:color="0000FF"/>
          </w:rPr>
          <w:t>Contract,</w:t>
        </w:r>
        <w:r>
          <w:rPr>
            <w:color w:val="0000FF"/>
            <w:spacing w:val="-4"/>
            <w:u w:val="single" w:color="0000FF"/>
          </w:rPr>
          <w:t> </w:t>
        </w:r>
        <w:r>
          <w:rPr>
            <w:color w:val="0000FF"/>
            <w:u w:val="single" w:color="0000FF"/>
          </w:rPr>
          <w:t>effective</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January</w:t>
        </w:r>
        <w:r>
          <w:rPr>
            <w:color w:val="0000FF"/>
            <w:spacing w:val="25"/>
            <w:u w:val="single" w:color="0000FF"/>
          </w:rPr>
          <w:t> </w:t>
        </w:r>
        <w:r>
          <w:rPr>
            <w:color w:val="0000FF"/>
            <w:u w:val="single" w:color="0000FF"/>
          </w:rPr>
          <w:t>1,</w:t>
        </w:r>
        <w:r>
          <w:rPr>
            <w:color w:val="0000FF"/>
            <w:spacing w:val="-4"/>
            <w:u w:val="single" w:color="0000FF"/>
          </w:rPr>
          <w:t> </w:t>
        </w:r>
        <w:r>
          <w:rPr>
            <w:color w:val="0000FF"/>
            <w:u w:val="single" w:color="0000FF"/>
          </w:rPr>
          <w:t>2023,</w:t>
        </w:r>
        <w:r>
          <w:rPr>
            <w:color w:val="0000FF"/>
            <w:spacing w:val="-4"/>
            <w:u w:val="single" w:color="0000FF"/>
          </w:rPr>
          <w:t> </w:t>
        </w:r>
        <w:r>
          <w:rPr>
            <w:color w:val="0000FF"/>
            <w:u w:val="single" w:color="0000FF"/>
          </w:rPr>
          <w:t>by</w:t>
        </w:r>
        <w:r>
          <w:rPr>
            <w:color w:val="0000FF"/>
            <w:spacing w:val="25"/>
            <w:u w:val="single" w:color="0000FF"/>
          </w:rPr>
          <w:t> </w:t>
        </w:r>
        <w:r>
          <w:rPr>
            <w:color w:val="0000FF"/>
            <w:u w:val="single" w:color="0000FF"/>
          </w:rPr>
          <w:t>and</w:t>
        </w:r>
        <w:r>
          <w:rPr>
            <w:color w:val="0000FF"/>
            <w:spacing w:val="-4"/>
            <w:u w:val="single" w:color="0000FF"/>
          </w:rPr>
          <w:t> </w:t>
        </w:r>
        <w:r>
          <w:rPr>
            <w:color w:val="0000FF"/>
            <w:u w:val="single" w:color="0000FF"/>
          </w:rPr>
          <w:t>between</w:t>
        </w:r>
        <w:r>
          <w:rPr>
            <w:color w:val="0000FF"/>
            <w:spacing w:val="-4"/>
            <w:u w:val="single" w:color="0000FF"/>
          </w:rPr>
          <w:t> </w:t>
        </w:r>
        <w:r>
          <w:rPr>
            <w:color w:val="0000FF"/>
            <w:u w:val="single" w:color="0000FF"/>
          </w:rPr>
          <w:t>MGM</w:t>
        </w:r>
        <w:r>
          <w:rPr>
            <w:color w:val="0000FF"/>
            <w:spacing w:val="-4"/>
            <w:u w:val="single" w:color="0000FF"/>
          </w:rPr>
          <w:t> </w:t>
        </w:r>
        <w:r>
          <w:rPr>
            <w:color w:val="0000FF"/>
            <w:u w:val="single" w:color="0000FF"/>
          </w:rPr>
          <w:t>Grand</w:t>
        </w:r>
        <w:r>
          <w:rPr>
            <w:color w:val="0000FF"/>
            <w:spacing w:val="-4"/>
            <w:u w:val="single" w:color="0000FF"/>
          </w:rPr>
          <w:t> </w:t>
        </w:r>
        <w:r>
          <w:rPr>
            <w:color w:val="0000FF"/>
            <w:u w:val="single" w:color="0000FF"/>
          </w:rPr>
          <w:t>Paradise</w:t>
        </w:r>
        <w:r>
          <w:rPr>
            <w:color w:val="0000FF"/>
            <w:spacing w:val="-4"/>
            <w:u w:val="single" w:color="0000FF"/>
          </w:rPr>
          <w:t> </w:t>
        </w:r>
        <w:r>
          <w:rPr>
            <w:color w:val="0000FF"/>
            <w:u w:val="single" w:color="0000FF"/>
          </w:rPr>
          <w:t>S.A.</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the</w:t>
        </w:r>
        <w:r>
          <w:rPr>
            <w:color w:val="0000FF"/>
            <w:spacing w:val="-4"/>
            <w:u w:val="single" w:color="0000FF"/>
          </w:rPr>
          <w:t> </w:t>
        </w:r>
        <w:r>
          <w:rPr>
            <w:color w:val="0000FF"/>
            <w:u w:val="single" w:color="0000FF"/>
          </w:rPr>
          <w:t>Government</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the</w:t>
        </w:r>
        <w:r>
          <w:rPr>
            <w:color w:val="0000FF"/>
            <w:spacing w:val="-4"/>
            <w:u w:val="single" w:color="0000FF"/>
          </w:rPr>
          <w:t> </w:t>
        </w:r>
        <w:r>
          <w:rPr>
            <w:color w:val="0000FF"/>
            <w:u w:val="single" w:color="0000FF"/>
          </w:rPr>
          <w:t>Macau</w:t>
        </w:r>
        <w:r>
          <w:rPr>
            <w:color w:val="0000FF"/>
            <w:spacing w:val="-3"/>
            <w:u w:val="single" w:color="0000FF"/>
          </w:rPr>
          <w:t> </w:t>
        </w:r>
        <w:r>
          <w:rPr>
            <w:color w:val="0000FF"/>
            <w:spacing w:val="-4"/>
            <w:u w:val="single" w:color="0000FF"/>
          </w:rPr>
          <w:t>SAR.</w:t>
        </w:r>
      </w:hyperlink>
    </w:p>
    <w:p>
      <w:pPr>
        <w:pStyle w:val="BodyText"/>
        <w:tabs>
          <w:tab w:pos="1431" w:val="left" w:leader="none"/>
        </w:tabs>
        <w:spacing w:line="204" w:lineRule="auto" w:before="51"/>
        <w:ind w:left="1431" w:right="135" w:hanging="1269"/>
        <w:jc w:val="both"/>
      </w:pPr>
      <w:r>
        <w:rPr>
          <w:spacing w:val="-2"/>
        </w:rPr>
        <w:t>10.2(2)</w:t>
      </w:r>
      <w:r>
        <w:rPr/>
        <w:tab/>
      </w:r>
      <w:hyperlink r:id="rId44">
        <w:r>
          <w:rPr>
            <w:color w:val="0000FF"/>
            <w:position w:val="1"/>
            <w:u w:val="single" w:color="0000FF"/>
          </w:rPr>
          <w:t>Land Concession</w:t>
        </w:r>
        <w:r>
          <w:rPr>
            <w:color w:val="0000FF"/>
            <w:spacing w:val="-2"/>
            <w:position w:val="1"/>
            <w:u w:val="single" w:color="0000FF"/>
          </w:rPr>
          <w:t> </w:t>
        </w:r>
        <w:r>
          <w:rPr>
            <w:color w:val="0000FF"/>
            <w:position w:val="1"/>
            <w:u w:val="single" w:color="0000FF"/>
          </w:rPr>
          <w:t>Agreement, dated as of</w:t>
        </w:r>
        <w:r>
          <w:rPr>
            <w:color w:val="0000FF"/>
            <w:spacing w:val="-2"/>
            <w:position w:val="1"/>
            <w:u w:val="single" w:color="0000FF"/>
          </w:rPr>
          <w:t> </w:t>
        </w:r>
        <w:r>
          <w:rPr>
            <w:color w:val="0000FF"/>
            <w:position w:val="1"/>
            <w:u w:val="single" w:color="0000FF"/>
          </w:rPr>
          <w:t>April 18, 2005, relating</w:t>
        </w:r>
        <w:r>
          <w:rPr>
            <w:color w:val="0000FF"/>
            <w:spacing w:val="-1"/>
            <w:position w:val="1"/>
            <w:u w:val="single" w:color="0000FF"/>
          </w:rPr>
          <w:t> </w:t>
        </w:r>
        <w:r>
          <w:rPr>
            <w:color w:val="0000FF"/>
            <w:position w:val="1"/>
            <w:u w:val="single" w:color="0000FF"/>
          </w:rPr>
          <w:t>to the MGM Macau resort and casino between the Special</w:t>
        </w:r>
        <w:r>
          <w:rPr>
            <w:color w:val="0000FF"/>
            <w:spacing w:val="-2"/>
            <w:position w:val="1"/>
            <w:u w:val="single" w:color="0000FF"/>
          </w:rPr>
          <w:t> </w:t>
        </w:r>
        <w:r>
          <w:rPr>
            <w:color w:val="0000FF"/>
            <w:position w:val="1"/>
            <w:u w:val="single" w:color="0000FF"/>
          </w:rPr>
          <w:t>Administrative</w:t>
        </w:r>
        <w:r>
          <w:rPr>
            <w:color w:val="0000FF"/>
            <w:position w:val="1"/>
          </w:rPr>
          <w:t> </w:t>
        </w:r>
        <w:r>
          <w:rPr>
            <w:color w:val="0000FF"/>
            <w:u w:val="single" w:color="0000FF"/>
          </w:rPr>
          <w:t>Region</w:t>
        </w:r>
        <w:r>
          <w:rPr>
            <w:color w:val="0000FF"/>
            <w:spacing w:val="-12"/>
            <w:u w:val="single" w:color="0000FF"/>
          </w:rPr>
          <w:t> </w:t>
        </w:r>
        <w:r>
          <w:rPr>
            <w:color w:val="0000FF"/>
            <w:u w:val="single" w:color="0000FF"/>
          </w:rPr>
          <w:t>of</w:t>
        </w:r>
        <w:r>
          <w:rPr>
            <w:color w:val="0000FF"/>
            <w:spacing w:val="-5"/>
            <w:u w:val="single" w:color="0000FF"/>
          </w:rPr>
          <w:t> </w:t>
        </w:r>
        <w:r>
          <w:rPr>
            <w:color w:val="0000FF"/>
            <w:u w:val="single" w:color="0000FF"/>
          </w:rPr>
          <w:t>Macau and MGM Grand Paradise, S.A. (incorporated by</w:t>
        </w:r>
        <w:r>
          <w:rPr>
            <w:color w:val="0000FF"/>
            <w:spacing w:val="33"/>
            <w:u w:val="single" w:color="0000FF"/>
          </w:rPr>
          <w:t> </w:t>
        </w:r>
        <w:r>
          <w:rPr>
            <w:color w:val="0000FF"/>
            <w:u w:val="single" w:color="0000FF"/>
          </w:rPr>
          <w:t>reference to Exhibit 10.2 of the Company</w:t>
        </w:r>
        <w:r>
          <w:rPr>
            <w:color w:val="0000FF"/>
            <w:spacing w:val="-12"/>
            <w:u w:val="single" w:color="0000FF"/>
          </w:rPr>
          <w:t> </w:t>
        </w:r>
        <w:r>
          <w:rPr>
            <w:color w:val="0000FF"/>
            <w:u w:val="single" w:color="0000FF"/>
          </w:rPr>
          <w:t>’s Q</w:t>
        </w:r>
        <w:r>
          <w:rPr>
            <w:color w:val="0000FF"/>
            <w:spacing w:val="-12"/>
            <w:u w:val="single" w:color="0000FF"/>
          </w:rPr>
          <w:t> </w:t>
        </w:r>
        <w:r>
          <w:rPr>
            <w:color w:val="0000FF"/>
            <w:u w:val="single" w:color="0000FF"/>
          </w:rPr>
          <w:t>uarter</w:t>
        </w:r>
        <w:r>
          <w:rPr>
            <w:color w:val="0000FF"/>
          </w:rPr>
          <w:t>ly</w:t>
        </w:r>
        <w:r>
          <w:rPr>
            <w:color w:val="0000FF"/>
            <w:spacing w:val="34"/>
            <w:u w:val="single" w:color="0000FF"/>
          </w:rPr>
          <w:t> </w:t>
        </w:r>
        <w:r>
          <w:rPr>
            <w:color w:val="0000FF"/>
            <w:u w:val="single" w:color="0000FF"/>
          </w:rPr>
          <w:t>Report on Form</w:t>
        </w:r>
      </w:hyperlink>
      <w:r>
        <w:rPr>
          <w:color w:val="0000FF"/>
        </w:rPr>
        <w:t> </w:t>
      </w:r>
      <w:hyperlink r:id="rId44">
        <w:r>
          <w:rPr>
            <w:color w:val="0000FF"/>
            <w:u w:val="single" w:color="0000FF"/>
          </w:rPr>
          <w:t>10-Q filed on August 9, 2011).</w:t>
        </w:r>
      </w:hyperlink>
    </w:p>
    <w:p>
      <w:pPr>
        <w:pStyle w:val="BodyText"/>
        <w:tabs>
          <w:tab w:pos="1431" w:val="left" w:leader="none"/>
        </w:tabs>
        <w:spacing w:line="204" w:lineRule="auto" w:before="56"/>
        <w:ind w:left="1431" w:right="137" w:hanging="1269"/>
        <w:jc w:val="both"/>
      </w:pPr>
      <w:r>
        <w:rPr>
          <w:spacing w:val="-2"/>
        </w:rPr>
        <w:t>10.2(3)</w:t>
      </w:r>
      <w:r>
        <w:rPr/>
        <w:tab/>
      </w:r>
      <w:hyperlink r:id="rId45">
        <w:r>
          <w:rPr>
            <w:color w:val="0000FF"/>
            <w:position w:val="1"/>
            <w:u w:val="single" w:color="0000FF"/>
          </w:rPr>
          <w:t>Land Concession Agreement, effective as of January</w:t>
        </w:r>
        <w:r>
          <w:rPr>
            <w:color w:val="0000FF"/>
            <w:spacing w:val="40"/>
            <w:position w:val="1"/>
            <w:u w:val="single" w:color="0000FF"/>
          </w:rPr>
          <w:t> </w:t>
        </w:r>
        <w:r>
          <w:rPr>
            <w:color w:val="0000FF"/>
            <w:position w:val="1"/>
            <w:u w:val="single" w:color="0000FF"/>
          </w:rPr>
          <w:t>9, 2013, relating to the MGM Cotai resort and casino between the </w:t>
        </w:r>
        <w:r>
          <w:rPr>
            <w:color w:val="0000FF"/>
            <w:position w:val="1"/>
            <w:u w:val="single" w:color="0000FF"/>
          </w:rPr>
          <w:t>Special</w:t>
        </w:r>
        <w:r>
          <w:rPr>
            <w:color w:val="0000FF"/>
            <w:position w:val="1"/>
          </w:rPr>
          <w:t> </w:t>
        </w:r>
        <w:r>
          <w:rPr>
            <w:color w:val="0000FF"/>
            <w:u w:val="single" w:color="0000FF"/>
          </w:rPr>
          <w:t>Administrative Region of Macau and MGM Grand Paradise S.A. (incorporated by</w:t>
        </w:r>
        <w:r>
          <w:rPr>
            <w:color w:val="0000FF"/>
            <w:spacing w:val="40"/>
            <w:u w:val="single" w:color="0000FF"/>
          </w:rPr>
          <w:t> </w:t>
        </w:r>
        <w:r>
          <w:rPr>
            <w:color w:val="0000FF"/>
            <w:u w:val="single" w:color="0000FF"/>
          </w:rPr>
          <w:t>reference to Exhibit 10.2(4) of the Company</w:t>
        </w:r>
        <w:r>
          <w:rPr>
            <w:color w:val="0000FF"/>
            <w:spacing w:val="-12"/>
            <w:u w:val="single" w:color="0000FF"/>
          </w:rPr>
          <w:t> </w:t>
        </w:r>
        <w:r>
          <w:rPr>
            <w:color w:val="0000FF"/>
            <w:u w:val="single" w:color="0000FF"/>
          </w:rPr>
          <w:t>’s Annual</w:t>
        </w:r>
      </w:hyperlink>
      <w:r>
        <w:rPr>
          <w:color w:val="0000FF"/>
        </w:rPr>
        <w:t> </w:t>
      </w:r>
      <w:hyperlink r:id="rId45">
        <w:r>
          <w:rPr>
            <w:color w:val="0000FF"/>
            <w:u w:val="single" w:color="0000FF"/>
          </w:rPr>
          <w:t>Report on Form 10-K filed on March 1, 2013).</w:t>
        </w:r>
      </w:hyperlink>
    </w:p>
    <w:p>
      <w:pPr>
        <w:pStyle w:val="BodyText"/>
        <w:tabs>
          <w:tab w:pos="1431" w:val="left" w:leader="none"/>
        </w:tabs>
        <w:spacing w:line="204" w:lineRule="auto" w:before="56"/>
        <w:ind w:left="1431" w:right="135" w:hanging="1269"/>
        <w:jc w:val="both"/>
      </w:pPr>
      <w:r>
        <w:rPr>
          <w:spacing w:val="-2"/>
        </w:rPr>
        <w:t>10.3(1)</w:t>
      </w:r>
      <w:r>
        <w:rPr/>
        <w:tab/>
      </w:r>
      <w:hyperlink r:id="rId46">
        <w:r>
          <w:rPr>
            <w:color w:val="0000FF"/>
            <w:position w:val="1"/>
            <w:u w:val="single" w:color="0000FF"/>
          </w:rPr>
          <w:t>Amended and Restated Master Lease, by</w:t>
        </w:r>
        <w:r>
          <w:rPr>
            <w:color w:val="0000FF"/>
            <w:spacing w:val="34"/>
            <w:position w:val="1"/>
            <w:u w:val="single" w:color="0000FF"/>
          </w:rPr>
          <w:t> </w:t>
        </w:r>
        <w:r>
          <w:rPr>
            <w:color w:val="0000FF"/>
            <w:position w:val="1"/>
            <w:u w:val="single" w:color="0000FF"/>
          </w:rPr>
          <w:t>and between MGP</w:t>
        </w:r>
        <w:r>
          <w:rPr>
            <w:color w:val="0000FF"/>
            <w:spacing w:val="-1"/>
            <w:position w:val="1"/>
            <w:u w:val="single" w:color="0000FF"/>
          </w:rPr>
          <w:t> </w:t>
        </w:r>
        <w:r>
          <w:rPr>
            <w:color w:val="0000FF"/>
            <w:position w:val="1"/>
            <w:u w:val="single" w:color="0000FF"/>
          </w:rPr>
          <w:t>Lessor, LLC and MGM Lessee, LLC, dated as of</w:t>
        </w:r>
        <w:r>
          <w:rPr>
            <w:color w:val="0000FF"/>
            <w:spacing w:val="-4"/>
            <w:position w:val="1"/>
            <w:u w:val="single" w:color="0000FF"/>
          </w:rPr>
          <w:t> </w:t>
        </w:r>
        <w:r>
          <w:rPr>
            <w:color w:val="0000FF"/>
            <w:position w:val="1"/>
            <w:u w:val="single" w:color="0000FF"/>
          </w:rPr>
          <w:t>April 29, 2022 (incorporated</w:t>
        </w:r>
      </w:hyperlink>
      <w:r>
        <w:rPr>
          <w:color w:val="0000FF"/>
          <w:position w:val="1"/>
        </w:rPr>
        <w:t> </w:t>
      </w:r>
      <w:hyperlink r:id="rId46">
        <w:r>
          <w:rPr>
            <w:color w:val="0000FF"/>
            <w:u w:val="single" w:color="0000FF"/>
          </w:rPr>
          <w:t>by</w:t>
        </w:r>
        <w:r>
          <w:rPr>
            <w:color w:val="0000FF"/>
            <w:spacing w:val="38"/>
            <w:u w:val="single" w:color="0000FF"/>
          </w:rPr>
          <w:t> </w:t>
        </w:r>
        <w:r>
          <w:rPr>
            <w:color w:val="0000FF"/>
            <w:u w:val="single" w:color="0000FF"/>
          </w:rPr>
          <w:t>reference to Exhibit 10.1 of the Company</w:t>
        </w:r>
        <w:r>
          <w:rPr>
            <w:color w:val="0000FF"/>
            <w:spacing w:val="-12"/>
            <w:u w:val="single" w:color="0000FF"/>
          </w:rPr>
          <w:t> </w:t>
        </w:r>
        <w:r>
          <w:rPr>
            <w:color w:val="0000FF"/>
            <w:u w:val="single" w:color="0000FF"/>
          </w:rPr>
          <w:t>’s Current Report on Form 8-K filed on</w:t>
        </w:r>
        <w:r>
          <w:rPr>
            <w:color w:val="0000FF"/>
            <w:spacing w:val="-7"/>
            <w:u w:val="single" w:color="0000FF"/>
          </w:rPr>
          <w:t> </w:t>
        </w:r>
        <w:r>
          <w:rPr>
            <w:color w:val="0000FF"/>
            <w:u w:val="single" w:color="0000FF"/>
          </w:rPr>
          <w:t>April 29, 2022).</w:t>
        </w:r>
      </w:hyperlink>
    </w:p>
    <w:p>
      <w:pPr>
        <w:pStyle w:val="BodyText"/>
        <w:tabs>
          <w:tab w:pos="1431" w:val="left" w:leader="none"/>
        </w:tabs>
        <w:spacing w:line="187" w:lineRule="auto" w:before="69"/>
        <w:ind w:left="1431" w:right="136" w:hanging="1269"/>
        <w:jc w:val="both"/>
      </w:pPr>
      <w:r>
        <w:rPr>
          <w:spacing w:val="-2"/>
        </w:rPr>
        <w:t>10.3(2)</w:t>
      </w:r>
      <w:r>
        <w:rPr/>
        <w:tab/>
      </w:r>
      <w:hyperlink r:id="rId47">
        <w:r>
          <w:rPr>
            <w:color w:val="0000FF"/>
            <w:position w:val="1"/>
            <w:u w:val="single" w:color="0000FF"/>
          </w:rPr>
          <w:t>First Amendment to Amended and Restated Master Lease, dated as of December 19, 2022, by</w:t>
        </w:r>
        <w:r>
          <w:rPr>
            <w:color w:val="0000FF"/>
            <w:spacing w:val="40"/>
            <w:position w:val="1"/>
            <w:u w:val="single" w:color="0000FF"/>
          </w:rPr>
          <w:t> </w:t>
        </w:r>
        <w:r>
          <w:rPr>
            <w:color w:val="0000FF"/>
            <w:position w:val="1"/>
            <w:u w:val="single" w:color="0000FF"/>
          </w:rPr>
          <w:t>and between MGP Lessor, LLC and MGM</w:t>
        </w:r>
      </w:hyperlink>
      <w:r>
        <w:rPr>
          <w:color w:val="0000FF"/>
          <w:position w:val="1"/>
        </w:rPr>
        <w:t> </w:t>
      </w:r>
      <w:hyperlink r:id="rId47">
        <w:r>
          <w:rPr>
            <w:color w:val="0000FF"/>
            <w:u w:val="single" w:color="0000FF"/>
          </w:rPr>
          <w:t>Lessee, LLC (incorporated by</w:t>
        </w:r>
        <w:r>
          <w:rPr>
            <w:color w:val="0000FF"/>
            <w:spacing w:val="37"/>
            <w:u w:val="single" w:color="0000FF"/>
          </w:rPr>
          <w:t> </w:t>
        </w:r>
        <w:r>
          <w:rPr>
            <w:color w:val="0000FF"/>
            <w:u w:val="single" w:color="0000FF"/>
          </w:rPr>
          <w:t>reference to Exhibit 10.1 of the Company</w:t>
        </w:r>
        <w:r>
          <w:rPr>
            <w:color w:val="0000FF"/>
            <w:spacing w:val="-13"/>
            <w:u w:val="single" w:color="0000FF"/>
          </w:rPr>
          <w:t> </w:t>
        </w:r>
        <w:r>
          <w:rPr>
            <w:color w:val="0000FF"/>
            <w:u w:val="single" w:color="0000FF"/>
          </w:rPr>
          <w:t>’s Current Report on Form 8-K filed on December 19, 2022).</w:t>
        </w:r>
      </w:hyperlink>
    </w:p>
    <w:p>
      <w:pPr>
        <w:pStyle w:val="BodyText"/>
        <w:tabs>
          <w:tab w:pos="1431" w:val="left" w:leader="none"/>
        </w:tabs>
        <w:spacing w:line="187" w:lineRule="auto" w:before="85"/>
        <w:ind w:left="1431" w:right="136" w:hanging="1269"/>
      </w:pPr>
      <w:r>
        <w:rPr>
          <w:spacing w:val="-2"/>
        </w:rPr>
        <w:t>10.3(3)</w:t>
      </w:r>
      <w:r>
        <w:rPr/>
        <w:tab/>
      </w:r>
      <w:hyperlink r:id="rId48">
        <w:r>
          <w:rPr>
            <w:color w:val="0000FF"/>
            <w:position w:val="1"/>
            <w:u w:val="single" w:color="0000FF"/>
          </w:rPr>
          <w:t>Lease,</w:t>
        </w:r>
        <w:r>
          <w:rPr>
            <w:color w:val="0000FF"/>
            <w:spacing w:val="-1"/>
            <w:position w:val="1"/>
            <w:u w:val="single" w:color="0000FF"/>
          </w:rPr>
          <w:t> </w:t>
        </w:r>
        <w:r>
          <w:rPr>
            <w:color w:val="0000FF"/>
            <w:position w:val="1"/>
            <w:u w:val="single" w:color="0000FF"/>
          </w:rPr>
          <w:t>by</w:t>
        </w:r>
        <w:r>
          <w:rPr>
            <w:color w:val="0000FF"/>
            <w:spacing w:val="26"/>
            <w:position w:val="1"/>
            <w:u w:val="single" w:color="0000FF"/>
          </w:rPr>
          <w:t> </w:t>
        </w:r>
        <w:r>
          <w:rPr>
            <w:color w:val="0000FF"/>
            <w:position w:val="1"/>
            <w:u w:val="single" w:color="0000FF"/>
          </w:rPr>
          <w:t>and</w:t>
        </w:r>
        <w:r>
          <w:rPr>
            <w:color w:val="0000FF"/>
            <w:spacing w:val="-1"/>
            <w:position w:val="1"/>
            <w:u w:val="single" w:color="0000FF"/>
          </w:rPr>
          <w:t> </w:t>
        </w:r>
        <w:r>
          <w:rPr>
            <w:color w:val="0000FF"/>
            <w:position w:val="1"/>
            <w:u w:val="single" w:color="0000FF"/>
          </w:rPr>
          <w:t>between</w:t>
        </w:r>
        <w:r>
          <w:rPr>
            <w:color w:val="0000FF"/>
            <w:spacing w:val="-1"/>
            <w:position w:val="1"/>
            <w:u w:val="single" w:color="0000FF"/>
          </w:rPr>
          <w:t> </w:t>
        </w:r>
        <w:r>
          <w:rPr>
            <w:color w:val="0000FF"/>
            <w:position w:val="1"/>
            <w:u w:val="single" w:color="0000FF"/>
          </w:rPr>
          <w:t>BCORE</w:t>
        </w:r>
        <w:r>
          <w:rPr>
            <w:color w:val="0000FF"/>
            <w:spacing w:val="-1"/>
            <w:position w:val="1"/>
            <w:u w:val="single" w:color="0000FF"/>
          </w:rPr>
          <w:t> </w:t>
        </w:r>
        <w:r>
          <w:rPr>
            <w:color w:val="0000FF"/>
            <w:position w:val="1"/>
            <w:u w:val="single" w:color="0000FF"/>
          </w:rPr>
          <w:t>Paradise</w:t>
        </w:r>
        <w:r>
          <w:rPr>
            <w:color w:val="0000FF"/>
            <w:spacing w:val="-1"/>
            <w:position w:val="1"/>
            <w:u w:val="single" w:color="0000FF"/>
          </w:rPr>
          <w:t> </w:t>
        </w:r>
        <w:r>
          <w:rPr>
            <w:color w:val="0000FF"/>
            <w:position w:val="1"/>
            <w:u w:val="single" w:color="0000FF"/>
          </w:rPr>
          <w:t>LLC</w:t>
        </w:r>
        <w:r>
          <w:rPr>
            <w:color w:val="0000FF"/>
            <w:spacing w:val="-1"/>
            <w:position w:val="1"/>
            <w:u w:val="single" w:color="0000FF"/>
          </w:rPr>
          <w:t> </w:t>
        </w:r>
        <w:r>
          <w:rPr>
            <w:color w:val="0000FF"/>
            <w:position w:val="1"/>
            <w:u w:val="single" w:color="0000FF"/>
          </w:rPr>
          <w:t>and</w:t>
        </w:r>
        <w:r>
          <w:rPr>
            <w:color w:val="0000FF"/>
            <w:spacing w:val="-1"/>
            <w:position w:val="1"/>
            <w:u w:val="single" w:color="0000FF"/>
          </w:rPr>
          <w:t> </w:t>
        </w:r>
        <w:r>
          <w:rPr>
            <w:color w:val="0000FF"/>
            <w:position w:val="1"/>
            <w:u w:val="single" w:color="0000FF"/>
          </w:rPr>
          <w:t>Bellagio,</w:t>
        </w:r>
        <w:r>
          <w:rPr>
            <w:color w:val="0000FF"/>
            <w:spacing w:val="-1"/>
            <w:position w:val="1"/>
            <w:u w:val="single" w:color="0000FF"/>
          </w:rPr>
          <w:t> </w:t>
        </w:r>
        <w:r>
          <w:rPr>
            <w:color w:val="0000FF"/>
            <w:position w:val="1"/>
            <w:u w:val="single" w:color="0000FF"/>
          </w:rPr>
          <w:t>LLC,</w:t>
        </w:r>
        <w:r>
          <w:rPr>
            <w:color w:val="0000FF"/>
            <w:spacing w:val="-1"/>
            <w:position w:val="1"/>
            <w:u w:val="single" w:color="0000FF"/>
          </w:rPr>
          <w:t> </w:t>
        </w:r>
        <w:r>
          <w:rPr>
            <w:color w:val="0000FF"/>
            <w:position w:val="1"/>
            <w:u w:val="single" w:color="0000FF"/>
          </w:rPr>
          <w:t>dated</w:t>
        </w:r>
        <w:r>
          <w:rPr>
            <w:color w:val="0000FF"/>
            <w:spacing w:val="-1"/>
            <w:position w:val="1"/>
            <w:u w:val="single" w:color="0000FF"/>
          </w:rPr>
          <w:t> </w:t>
        </w:r>
        <w:r>
          <w:rPr>
            <w:color w:val="0000FF"/>
            <w:position w:val="1"/>
            <w:u w:val="single" w:color="0000FF"/>
          </w:rPr>
          <w:t>as</w:t>
        </w:r>
        <w:r>
          <w:rPr>
            <w:color w:val="0000FF"/>
            <w:spacing w:val="-1"/>
            <w:position w:val="1"/>
            <w:u w:val="single" w:color="0000FF"/>
          </w:rPr>
          <w:t> </w:t>
        </w:r>
        <w:r>
          <w:rPr>
            <w:color w:val="0000FF"/>
            <w:position w:val="1"/>
            <w:u w:val="single" w:color="0000FF"/>
          </w:rPr>
          <w:t>of</w:t>
        </w:r>
        <w:r>
          <w:rPr>
            <w:color w:val="0000FF"/>
            <w:spacing w:val="-1"/>
            <w:position w:val="1"/>
            <w:u w:val="single" w:color="0000FF"/>
          </w:rPr>
          <w:t> </w:t>
        </w:r>
        <w:r>
          <w:rPr>
            <w:color w:val="0000FF"/>
            <w:position w:val="1"/>
            <w:u w:val="single" w:color="0000FF"/>
          </w:rPr>
          <w:t>November</w:t>
        </w:r>
        <w:r>
          <w:rPr>
            <w:color w:val="0000FF"/>
            <w:spacing w:val="-1"/>
            <w:position w:val="1"/>
            <w:u w:val="single" w:color="0000FF"/>
          </w:rPr>
          <w:t> </w:t>
        </w:r>
        <w:r>
          <w:rPr>
            <w:color w:val="0000FF"/>
            <w:position w:val="1"/>
            <w:u w:val="single" w:color="0000FF"/>
          </w:rPr>
          <w:t>15,</w:t>
        </w:r>
        <w:r>
          <w:rPr>
            <w:color w:val="0000FF"/>
            <w:spacing w:val="-1"/>
            <w:position w:val="1"/>
            <w:u w:val="single" w:color="0000FF"/>
          </w:rPr>
          <w:t> </w:t>
        </w:r>
        <w:r>
          <w:rPr>
            <w:color w:val="0000FF"/>
            <w:position w:val="1"/>
            <w:u w:val="single" w:color="0000FF"/>
          </w:rPr>
          <w:t>2019</w:t>
        </w:r>
        <w:r>
          <w:rPr>
            <w:color w:val="0000FF"/>
            <w:spacing w:val="-1"/>
            <w:position w:val="1"/>
            <w:u w:val="single" w:color="0000FF"/>
          </w:rPr>
          <w:t> </w:t>
        </w:r>
        <w:r>
          <w:rPr>
            <w:color w:val="0000FF"/>
            <w:position w:val="1"/>
            <w:u w:val="single" w:color="0000FF"/>
          </w:rPr>
          <w:t>(incorporated</w:t>
        </w:r>
        <w:r>
          <w:rPr>
            <w:color w:val="0000FF"/>
            <w:spacing w:val="-1"/>
            <w:position w:val="1"/>
            <w:u w:val="single" w:color="0000FF"/>
          </w:rPr>
          <w:t> </w:t>
        </w:r>
        <w:r>
          <w:rPr>
            <w:color w:val="0000FF"/>
            <w:position w:val="1"/>
            <w:u w:val="single" w:color="0000FF"/>
          </w:rPr>
          <w:t>by</w:t>
        </w:r>
        <w:r>
          <w:rPr>
            <w:color w:val="0000FF"/>
            <w:spacing w:val="26"/>
            <w:position w:val="1"/>
            <w:u w:val="single" w:color="0000FF"/>
          </w:rPr>
          <w:t> </w:t>
        </w:r>
        <w:r>
          <w:rPr>
            <w:color w:val="0000FF"/>
            <w:position w:val="1"/>
            <w:u w:val="single" w:color="0000FF"/>
          </w:rPr>
          <w:t>reference</w:t>
        </w:r>
        <w:r>
          <w:rPr>
            <w:color w:val="0000FF"/>
            <w:spacing w:val="-1"/>
            <w:position w:val="1"/>
            <w:u w:val="single" w:color="0000FF"/>
          </w:rPr>
          <w:t> </w:t>
        </w:r>
        <w:r>
          <w:rPr>
            <w:color w:val="0000FF"/>
            <w:position w:val="1"/>
            <w:u w:val="single" w:color="0000FF"/>
          </w:rPr>
          <w:t>to</w:t>
        </w:r>
        <w:r>
          <w:rPr>
            <w:color w:val="0000FF"/>
            <w:spacing w:val="-1"/>
            <w:position w:val="1"/>
            <w:u w:val="single" w:color="0000FF"/>
          </w:rPr>
          <w:t> </w:t>
        </w:r>
        <w:r>
          <w:rPr>
            <w:color w:val="0000FF"/>
            <w:position w:val="1"/>
            <w:u w:val="single" w:color="0000FF"/>
          </w:rPr>
          <w:t>Exhibit</w:t>
        </w:r>
        <w:r>
          <w:rPr>
            <w:color w:val="0000FF"/>
            <w:spacing w:val="-1"/>
            <w:position w:val="1"/>
            <w:u w:val="single" w:color="0000FF"/>
          </w:rPr>
          <w:t> </w:t>
        </w:r>
        <w:r>
          <w:rPr>
            <w:color w:val="0000FF"/>
            <w:position w:val="1"/>
            <w:u w:val="single" w:color="0000FF"/>
          </w:rPr>
          <w:t>10.1</w:t>
        </w:r>
      </w:hyperlink>
      <w:r>
        <w:rPr>
          <w:color w:val="0000FF"/>
          <w:position w:val="1"/>
        </w:rPr>
        <w:t> </w:t>
      </w:r>
      <w:hyperlink r:id="rId48">
        <w:r>
          <w:rPr>
            <w:color w:val="0000FF"/>
            <w:u w:val="single" w:color="0000FF"/>
          </w:rPr>
          <w:t>of the Company</w:t>
        </w:r>
        <w:r>
          <w:rPr>
            <w:color w:val="0000FF"/>
            <w:spacing w:val="-9"/>
            <w:u w:val="single" w:color="0000FF"/>
          </w:rPr>
          <w:t> </w:t>
        </w:r>
        <w:r>
          <w:rPr>
            <w:color w:val="0000FF"/>
            <w:u w:val="single" w:color="0000FF"/>
          </w:rPr>
          <w:t>’s Current Report on Form 8-K filed on November 18, 2019).</w:t>
        </w:r>
      </w:hyperlink>
    </w:p>
    <w:p>
      <w:pPr>
        <w:pStyle w:val="BodyText"/>
        <w:tabs>
          <w:tab w:pos="1431" w:val="left" w:leader="none"/>
        </w:tabs>
        <w:spacing w:line="204" w:lineRule="auto" w:before="61"/>
        <w:ind w:left="1431" w:right="136" w:hanging="1269"/>
      </w:pPr>
      <w:r>
        <w:rPr>
          <w:spacing w:val="-2"/>
        </w:rPr>
        <w:t>10.3(4)</w:t>
      </w:r>
      <w:r>
        <w:rPr/>
        <w:tab/>
      </w:r>
      <w:hyperlink r:id="rId49">
        <w:r>
          <w:rPr>
            <w:color w:val="0000FF"/>
            <w:position w:val="1"/>
            <w:u w:val="single" w:color="0000FF"/>
          </w:rPr>
          <w:t>First</w:t>
        </w:r>
        <w:r>
          <w:rPr>
            <w:color w:val="0000FF"/>
            <w:spacing w:val="-9"/>
            <w:position w:val="1"/>
            <w:u w:val="single" w:color="0000FF"/>
          </w:rPr>
          <w:t> </w:t>
        </w:r>
        <w:r>
          <w:rPr>
            <w:color w:val="0000FF"/>
            <w:position w:val="1"/>
            <w:u w:val="single" w:color="0000FF"/>
          </w:rPr>
          <w:t>Amendment to Lease, by</w:t>
        </w:r>
        <w:r>
          <w:rPr>
            <w:color w:val="0000FF"/>
            <w:spacing w:val="27"/>
            <w:position w:val="1"/>
            <w:u w:val="single" w:color="0000FF"/>
          </w:rPr>
          <w:t> </w:t>
        </w:r>
        <w:r>
          <w:rPr>
            <w:color w:val="0000FF"/>
            <w:position w:val="1"/>
            <w:u w:val="single" w:color="0000FF"/>
          </w:rPr>
          <w:t>and between BCORE Paradise LLC and Bellagio, LLC, dated as of</w:t>
        </w:r>
        <w:r>
          <w:rPr>
            <w:color w:val="0000FF"/>
            <w:spacing w:val="-9"/>
            <w:position w:val="1"/>
            <w:u w:val="single" w:color="0000FF"/>
          </w:rPr>
          <w:t> </w:t>
        </w:r>
        <w:r>
          <w:rPr>
            <w:color w:val="0000FF"/>
            <w:position w:val="1"/>
            <w:u w:val="single" w:color="0000FF"/>
          </w:rPr>
          <w:t>April 14, 2021 (incorporated by</w:t>
        </w:r>
        <w:r>
          <w:rPr>
            <w:color w:val="0000FF"/>
            <w:spacing w:val="27"/>
            <w:position w:val="1"/>
            <w:u w:val="single" w:color="0000FF"/>
          </w:rPr>
          <w:t> </w:t>
        </w:r>
        <w:r>
          <w:rPr>
            <w:color w:val="0000FF"/>
            <w:position w:val="1"/>
            <w:u w:val="single" w:color="0000FF"/>
          </w:rPr>
          <w:t>reference</w:t>
        </w:r>
      </w:hyperlink>
      <w:r>
        <w:rPr>
          <w:color w:val="0000FF"/>
          <w:position w:val="1"/>
        </w:rPr>
        <w:t> </w:t>
      </w:r>
      <w:hyperlink r:id="rId49">
        <w:r>
          <w:rPr>
            <w:color w:val="0000FF"/>
            <w:u w:val="single" w:color="0000FF"/>
          </w:rPr>
          <w:t>to Exhibit 10.1 of the Company</w:t>
        </w:r>
        <w:r>
          <w:rPr>
            <w:color w:val="0000FF"/>
            <w:spacing w:val="-13"/>
            <w:u w:val="single" w:color="0000FF"/>
          </w:rPr>
          <w:t> </w:t>
        </w:r>
        <w:r>
          <w:rPr>
            <w:color w:val="0000FF"/>
            <w:u w:val="single" w:color="0000FF"/>
          </w:rPr>
          <w:t>’s Q</w:t>
        </w:r>
        <w:r>
          <w:rPr>
            <w:color w:val="0000FF"/>
            <w:spacing w:val="-32"/>
            <w:u w:val="single" w:color="0000FF"/>
          </w:rPr>
          <w:t> </w:t>
        </w:r>
        <w:r>
          <w:rPr>
            <w:color w:val="0000FF"/>
            <w:u w:val="single" w:color="0000FF"/>
          </w:rPr>
          <w:t>uarter</w:t>
        </w:r>
        <w:r>
          <w:rPr>
            <w:color w:val="0000FF"/>
          </w:rPr>
          <w:t>ly</w:t>
        </w:r>
        <w:r>
          <w:rPr>
            <w:color w:val="0000FF"/>
            <w:spacing w:val="36"/>
            <w:u w:val="single" w:color="0000FF"/>
          </w:rPr>
          <w:t> </w:t>
        </w:r>
        <w:r>
          <w:rPr>
            <w:color w:val="0000FF"/>
            <w:u w:val="single" w:color="0000FF"/>
          </w:rPr>
          <w:t>Report on Form 10-Q filed on</w:t>
        </w:r>
        <w:r>
          <w:rPr>
            <w:color w:val="0000FF"/>
            <w:spacing w:val="-8"/>
            <w:u w:val="single" w:color="0000FF"/>
          </w:rPr>
          <w:t> </w:t>
        </w:r>
        <w:r>
          <w:rPr>
            <w:color w:val="0000FF"/>
            <w:u w:val="single" w:color="0000FF"/>
          </w:rPr>
          <w:t>August 6, 2021).</w:t>
        </w:r>
      </w:hyperlink>
    </w:p>
    <w:p>
      <w:pPr>
        <w:pStyle w:val="BodyText"/>
        <w:tabs>
          <w:tab w:pos="1431" w:val="left" w:leader="none"/>
        </w:tabs>
        <w:spacing w:line="187" w:lineRule="auto" w:before="68"/>
        <w:ind w:left="1431" w:right="136" w:hanging="1269"/>
      </w:pPr>
      <w:r>
        <w:rPr/>
        <mc:AlternateContent>
          <mc:Choice Requires="wps">
            <w:drawing>
              <wp:anchor distT="0" distB="0" distL="0" distR="0" allowOverlap="1" layoutInCell="1" locked="0" behindDoc="0" simplePos="0" relativeHeight="15892992">
                <wp:simplePos x="0" y="0"/>
                <wp:positionH relativeFrom="page">
                  <wp:posOffset>7513256</wp:posOffset>
                </wp:positionH>
                <wp:positionV relativeFrom="paragraph">
                  <wp:posOffset>133030</wp:posOffset>
                </wp:positionV>
                <wp:extent cx="19685" cy="8890"/>
                <wp:effectExtent l="0" t="0" r="0" b="0"/>
                <wp:wrapNone/>
                <wp:docPr id="756" name="Graphic 756"/>
                <wp:cNvGraphicFramePr>
                  <a:graphicFrameLocks/>
                </wp:cNvGraphicFramePr>
                <a:graphic>
                  <a:graphicData uri="http://schemas.microsoft.com/office/word/2010/wordprocessingShape">
                    <wps:wsp>
                      <wps:cNvPr id="756" name="Graphic 756"/>
                      <wps:cNvSpPr/>
                      <wps:spPr>
                        <a:xfrm>
                          <a:off x="0" y="0"/>
                          <a:ext cx="19685" cy="8890"/>
                        </a:xfrm>
                        <a:custGeom>
                          <a:avLst/>
                          <a:gdLst/>
                          <a:ahLst/>
                          <a:cxnLst/>
                          <a:rect l="l" t="t" r="r" b="b"/>
                          <a:pathLst>
                            <a:path w="19685" h="8890">
                              <a:moveTo>
                                <a:pt x="19151" y="0"/>
                              </a:moveTo>
                              <a:lnTo>
                                <a:pt x="0" y="0"/>
                              </a:lnTo>
                              <a:lnTo>
                                <a:pt x="0" y="8572"/>
                              </a:lnTo>
                              <a:lnTo>
                                <a:pt x="19151" y="8572"/>
                              </a:lnTo>
                              <a:lnTo>
                                <a:pt x="1915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595032pt;margin-top:10.474863pt;width:1.508pt;height:.675pt;mso-position-horizontal-relative:page;mso-position-vertical-relative:paragraph;z-index:15892992" id="docshape754" filled="true" fillcolor="#0000ff" stroked="false">
                <v:fill type="solid"/>
                <w10:wrap type="none"/>
              </v:rect>
            </w:pict>
          </mc:Fallback>
        </mc:AlternateContent>
      </w:r>
      <w:r>
        <w:rPr>
          <w:spacing w:val="-2"/>
        </w:rPr>
        <w:t>10.3(5)</w:t>
      </w:r>
      <w:r>
        <w:rPr/>
        <w:tab/>
      </w:r>
      <w:hyperlink r:id="rId50">
        <w:r>
          <w:rPr>
            <w:color w:val="0000FF"/>
            <w:position w:val="1"/>
            <w:u w:val="single" w:color="0000FF"/>
          </w:rPr>
          <w:t>Second Amendment to Lease, by</w:t>
        </w:r>
        <w:r>
          <w:rPr>
            <w:color w:val="0000FF"/>
            <w:spacing w:val="39"/>
            <w:position w:val="1"/>
            <w:u w:val="single" w:color="0000FF"/>
          </w:rPr>
          <w:t> </w:t>
        </w:r>
        <w:r>
          <w:rPr>
            <w:color w:val="0000FF"/>
            <w:position w:val="1"/>
            <w:u w:val="single" w:color="0000FF"/>
          </w:rPr>
          <w:t>and between BCORE Paradise LLC and Bellagio, LLC, dated as of February</w:t>
        </w:r>
        <w:r>
          <w:rPr>
            <w:color w:val="0000FF"/>
            <w:spacing w:val="39"/>
            <w:position w:val="1"/>
            <w:u w:val="single" w:color="0000FF"/>
          </w:rPr>
          <w:t> </w:t>
        </w:r>
        <w:r>
          <w:rPr>
            <w:color w:val="0000FF"/>
            <w:position w:val="1"/>
            <w:u w:val="single" w:color="0000FF"/>
          </w:rPr>
          <w:t>22, 2022 (incorporated by</w:t>
        </w:r>
      </w:hyperlink>
      <w:r>
        <w:rPr>
          <w:color w:val="0000FF"/>
          <w:spacing w:val="40"/>
          <w:position w:val="1"/>
        </w:rPr>
        <w:t> </w:t>
      </w:r>
      <w:hyperlink r:id="rId50">
        <w:r>
          <w:rPr>
            <w:color w:val="0000FF"/>
            <w:u w:val="single" w:color="0000FF"/>
          </w:rPr>
          <w:t>reference to Exhibit 10.3 of the Company</w:t>
        </w:r>
        <w:r>
          <w:rPr>
            <w:color w:val="0000FF"/>
            <w:spacing w:val="-14"/>
            <w:u w:val="single" w:color="0000FF"/>
          </w:rPr>
          <w:t> </w:t>
        </w:r>
        <w:r>
          <w:rPr>
            <w:color w:val="0000FF"/>
            <w:u w:val="single" w:color="0000FF"/>
          </w:rPr>
          <w:t>’s Q</w:t>
        </w:r>
        <w:r>
          <w:rPr>
            <w:color w:val="0000FF"/>
            <w:spacing w:val="-33"/>
            <w:u w:val="single" w:color="0000FF"/>
          </w:rPr>
          <w:t> </w:t>
        </w:r>
        <w:r>
          <w:rPr>
            <w:color w:val="0000FF"/>
            <w:u w:val="single" w:color="0000FF"/>
          </w:rPr>
          <w:t>uarter</w:t>
        </w:r>
        <w:r>
          <w:rPr>
            <w:color w:val="0000FF"/>
          </w:rPr>
          <w:t>ly</w:t>
        </w:r>
        <w:r>
          <w:rPr>
            <w:color w:val="0000FF"/>
            <w:spacing w:val="32"/>
            <w:u w:val="single" w:color="0000FF"/>
          </w:rPr>
          <w:t> </w:t>
        </w:r>
        <w:r>
          <w:rPr>
            <w:color w:val="0000FF"/>
            <w:u w:val="single" w:color="0000FF"/>
          </w:rPr>
          <w:t>Report on Form 10-Q filed on May</w:t>
        </w:r>
        <w:r>
          <w:rPr>
            <w:color w:val="0000FF"/>
            <w:spacing w:val="32"/>
            <w:u w:val="single" w:color="0000FF"/>
          </w:rPr>
          <w:t> </w:t>
        </w:r>
        <w:r>
          <w:rPr>
            <w:color w:val="0000FF"/>
            <w:u w:val="single" w:color="0000FF"/>
          </w:rPr>
          <w:t>2, 2022).</w:t>
        </w:r>
      </w:hyperlink>
    </w:p>
    <w:p>
      <w:pPr>
        <w:pStyle w:val="BodyText"/>
        <w:tabs>
          <w:tab w:pos="1431" w:val="left" w:leader="none"/>
        </w:tabs>
        <w:spacing w:line="194" w:lineRule="exact" w:before="49"/>
        <w:ind w:left="162"/>
      </w:pPr>
      <w:r>
        <w:rPr>
          <w:spacing w:val="-2"/>
        </w:rPr>
        <w:t>10.3(6)</w:t>
      </w:r>
      <w:r>
        <w:rPr/>
        <w:tab/>
      </w:r>
      <w:hyperlink r:id="rId51">
        <w:r>
          <w:rPr>
            <w:color w:val="0000FF"/>
            <w:position w:val="1"/>
            <w:u w:val="single" w:color="0000FF"/>
          </w:rPr>
          <w:t>Lease,</w:t>
        </w:r>
        <w:r>
          <w:rPr>
            <w:color w:val="0000FF"/>
            <w:spacing w:val="19"/>
            <w:position w:val="1"/>
            <w:u w:val="single" w:color="0000FF"/>
          </w:rPr>
          <w:t> </w:t>
        </w:r>
        <w:r>
          <w:rPr>
            <w:color w:val="0000FF"/>
            <w:position w:val="1"/>
            <w:u w:val="single" w:color="0000FF"/>
          </w:rPr>
          <w:t>by</w:t>
        </w:r>
        <w:r>
          <w:rPr>
            <w:color w:val="0000FF"/>
            <w:spacing w:val="50"/>
            <w:position w:val="1"/>
            <w:u w:val="single" w:color="0000FF"/>
          </w:rPr>
          <w:t> </w:t>
        </w:r>
        <w:r>
          <w:rPr>
            <w:color w:val="0000FF"/>
            <w:position w:val="1"/>
            <w:u w:val="single" w:color="0000FF"/>
          </w:rPr>
          <w:t>and</w:t>
        </w:r>
        <w:r>
          <w:rPr>
            <w:color w:val="0000FF"/>
            <w:spacing w:val="22"/>
            <w:position w:val="1"/>
            <w:u w:val="single" w:color="0000FF"/>
          </w:rPr>
          <w:t> </w:t>
        </w:r>
        <w:r>
          <w:rPr>
            <w:color w:val="0000FF"/>
            <w:position w:val="1"/>
            <w:u w:val="single" w:color="0000FF"/>
          </w:rPr>
          <w:t>between</w:t>
        </w:r>
        <w:r>
          <w:rPr>
            <w:color w:val="0000FF"/>
            <w:spacing w:val="22"/>
            <w:position w:val="1"/>
            <w:u w:val="single" w:color="0000FF"/>
          </w:rPr>
          <w:t> </w:t>
        </w:r>
        <w:r>
          <w:rPr>
            <w:color w:val="0000FF"/>
            <w:position w:val="1"/>
            <w:u w:val="single" w:color="0000FF"/>
          </w:rPr>
          <w:t>Mandalay</w:t>
        </w:r>
        <w:r>
          <w:rPr>
            <w:color w:val="0000FF"/>
            <w:spacing w:val="50"/>
            <w:position w:val="1"/>
            <w:u w:val="single" w:color="0000FF"/>
          </w:rPr>
          <w:t> </w:t>
        </w:r>
        <w:r>
          <w:rPr>
            <w:color w:val="0000FF"/>
            <w:position w:val="1"/>
            <w:u w:val="single" w:color="0000FF"/>
          </w:rPr>
          <w:t>PropCo,</w:t>
        </w:r>
        <w:r>
          <w:rPr>
            <w:color w:val="0000FF"/>
            <w:spacing w:val="22"/>
            <w:position w:val="1"/>
            <w:u w:val="single" w:color="0000FF"/>
          </w:rPr>
          <w:t> </w:t>
        </w:r>
        <w:r>
          <w:rPr>
            <w:color w:val="0000FF"/>
            <w:position w:val="1"/>
            <w:u w:val="single" w:color="0000FF"/>
          </w:rPr>
          <w:t>LLC,</w:t>
        </w:r>
        <w:r>
          <w:rPr>
            <w:color w:val="0000FF"/>
            <w:spacing w:val="22"/>
            <w:position w:val="1"/>
            <w:u w:val="single" w:color="0000FF"/>
          </w:rPr>
          <w:t> </w:t>
        </w:r>
        <w:r>
          <w:rPr>
            <w:color w:val="0000FF"/>
            <w:position w:val="1"/>
            <w:u w:val="single" w:color="0000FF"/>
          </w:rPr>
          <w:t>MGM</w:t>
        </w:r>
        <w:r>
          <w:rPr>
            <w:color w:val="0000FF"/>
            <w:spacing w:val="22"/>
            <w:position w:val="1"/>
            <w:u w:val="single" w:color="0000FF"/>
          </w:rPr>
          <w:t> </w:t>
        </w:r>
        <w:r>
          <w:rPr>
            <w:color w:val="0000FF"/>
            <w:position w:val="1"/>
            <w:u w:val="single" w:color="0000FF"/>
          </w:rPr>
          <w:t>Grand</w:t>
        </w:r>
        <w:r>
          <w:rPr>
            <w:color w:val="0000FF"/>
            <w:spacing w:val="21"/>
            <w:position w:val="1"/>
            <w:u w:val="single" w:color="0000FF"/>
          </w:rPr>
          <w:t> </w:t>
        </w:r>
        <w:r>
          <w:rPr>
            <w:color w:val="0000FF"/>
            <w:position w:val="1"/>
            <w:u w:val="single" w:color="0000FF"/>
          </w:rPr>
          <w:t>PropCo,</w:t>
        </w:r>
        <w:r>
          <w:rPr>
            <w:color w:val="0000FF"/>
            <w:spacing w:val="22"/>
            <w:position w:val="1"/>
            <w:u w:val="single" w:color="0000FF"/>
          </w:rPr>
          <w:t> </w:t>
        </w:r>
        <w:r>
          <w:rPr>
            <w:color w:val="0000FF"/>
            <w:position w:val="1"/>
            <w:u w:val="single" w:color="0000FF"/>
          </w:rPr>
          <w:t>LLC</w:t>
        </w:r>
        <w:r>
          <w:rPr>
            <w:color w:val="0000FF"/>
            <w:spacing w:val="22"/>
            <w:position w:val="1"/>
            <w:u w:val="single" w:color="0000FF"/>
          </w:rPr>
          <w:t> </w:t>
        </w:r>
        <w:r>
          <w:rPr>
            <w:color w:val="0000FF"/>
            <w:position w:val="1"/>
            <w:u w:val="single" w:color="0000FF"/>
          </w:rPr>
          <w:t>and</w:t>
        </w:r>
        <w:r>
          <w:rPr>
            <w:color w:val="0000FF"/>
            <w:spacing w:val="22"/>
            <w:position w:val="1"/>
            <w:u w:val="single" w:color="0000FF"/>
          </w:rPr>
          <w:t> </w:t>
        </w:r>
        <w:r>
          <w:rPr>
            <w:color w:val="0000FF"/>
            <w:position w:val="1"/>
            <w:u w:val="single" w:color="0000FF"/>
          </w:rPr>
          <w:t>MGM</w:t>
        </w:r>
        <w:r>
          <w:rPr>
            <w:color w:val="0000FF"/>
            <w:spacing w:val="22"/>
            <w:position w:val="1"/>
            <w:u w:val="single" w:color="0000FF"/>
          </w:rPr>
          <w:t> </w:t>
        </w:r>
        <w:r>
          <w:rPr>
            <w:color w:val="0000FF"/>
            <w:position w:val="1"/>
            <w:u w:val="single" w:color="0000FF"/>
          </w:rPr>
          <w:t>Lessee</w:t>
        </w:r>
        <w:r>
          <w:rPr>
            <w:color w:val="0000FF"/>
            <w:spacing w:val="22"/>
            <w:position w:val="1"/>
            <w:u w:val="single" w:color="0000FF"/>
          </w:rPr>
          <w:t> </w:t>
        </w:r>
        <w:r>
          <w:rPr>
            <w:color w:val="0000FF"/>
            <w:position w:val="1"/>
            <w:u w:val="single" w:color="0000FF"/>
          </w:rPr>
          <w:t>II,</w:t>
        </w:r>
        <w:r>
          <w:rPr>
            <w:color w:val="0000FF"/>
            <w:spacing w:val="21"/>
            <w:position w:val="1"/>
            <w:u w:val="single" w:color="0000FF"/>
          </w:rPr>
          <w:t> </w:t>
        </w:r>
        <w:r>
          <w:rPr>
            <w:color w:val="0000FF"/>
            <w:position w:val="1"/>
            <w:u w:val="single" w:color="0000FF"/>
          </w:rPr>
          <w:t>LLC,</w:t>
        </w:r>
        <w:r>
          <w:rPr>
            <w:color w:val="0000FF"/>
            <w:spacing w:val="22"/>
            <w:position w:val="1"/>
            <w:u w:val="single" w:color="0000FF"/>
          </w:rPr>
          <w:t> </w:t>
        </w:r>
        <w:r>
          <w:rPr>
            <w:color w:val="0000FF"/>
            <w:position w:val="1"/>
            <w:u w:val="single" w:color="0000FF"/>
          </w:rPr>
          <w:t>dated</w:t>
        </w:r>
        <w:r>
          <w:rPr>
            <w:color w:val="0000FF"/>
            <w:spacing w:val="22"/>
            <w:position w:val="1"/>
            <w:u w:val="single" w:color="0000FF"/>
          </w:rPr>
          <w:t> </w:t>
        </w:r>
        <w:r>
          <w:rPr>
            <w:color w:val="0000FF"/>
            <w:position w:val="1"/>
            <w:u w:val="single" w:color="0000FF"/>
          </w:rPr>
          <w:t>as</w:t>
        </w:r>
        <w:r>
          <w:rPr>
            <w:color w:val="0000FF"/>
            <w:spacing w:val="22"/>
            <w:position w:val="1"/>
            <w:u w:val="single" w:color="0000FF"/>
          </w:rPr>
          <w:t> </w:t>
        </w:r>
        <w:r>
          <w:rPr>
            <w:color w:val="0000FF"/>
            <w:position w:val="1"/>
            <w:u w:val="single" w:color="0000FF"/>
          </w:rPr>
          <w:t>of</w:t>
        </w:r>
        <w:r>
          <w:rPr>
            <w:color w:val="0000FF"/>
            <w:spacing w:val="22"/>
            <w:position w:val="1"/>
            <w:u w:val="single" w:color="0000FF"/>
          </w:rPr>
          <w:t> </w:t>
        </w:r>
        <w:r>
          <w:rPr>
            <w:color w:val="0000FF"/>
            <w:position w:val="1"/>
            <w:u w:val="single" w:color="0000FF"/>
          </w:rPr>
          <w:t>February</w:t>
        </w:r>
        <w:r>
          <w:rPr>
            <w:color w:val="0000FF"/>
            <w:spacing w:val="50"/>
            <w:position w:val="1"/>
            <w:u w:val="single" w:color="0000FF"/>
          </w:rPr>
          <w:t> </w:t>
        </w:r>
        <w:r>
          <w:rPr>
            <w:color w:val="0000FF"/>
            <w:position w:val="1"/>
            <w:u w:val="single" w:color="0000FF"/>
          </w:rPr>
          <w:t>14,</w:t>
        </w:r>
        <w:r>
          <w:rPr>
            <w:color w:val="0000FF"/>
            <w:spacing w:val="22"/>
            <w:position w:val="1"/>
            <w:u w:val="single" w:color="0000FF"/>
          </w:rPr>
          <w:t> </w:t>
        </w:r>
        <w:r>
          <w:rPr>
            <w:color w:val="0000FF"/>
            <w:spacing w:val="-4"/>
            <w:position w:val="1"/>
            <w:u w:val="single" w:color="0000FF"/>
          </w:rPr>
          <w:t>2020</w:t>
        </w:r>
      </w:hyperlink>
    </w:p>
    <w:p>
      <w:pPr>
        <w:pStyle w:val="BodyText"/>
        <w:spacing w:line="184" w:lineRule="exact"/>
        <w:ind w:left="1431"/>
      </w:pPr>
      <w:hyperlink r:id="rId51">
        <w:r>
          <w:rPr>
            <w:color w:val="0000FF"/>
            <w:spacing w:val="-47"/>
            <w:u w:val="single" w:color="0000FF"/>
          </w:rPr>
          <w:t> </w:t>
        </w:r>
        <w:r>
          <w:rPr>
            <w:color w:val="0000FF"/>
          </w:rPr>
          <w:t>(</w:t>
        </w:r>
        <w:r>
          <w:rPr>
            <w:color w:val="0000FF"/>
            <w:u w:val="single" w:color="0000FF"/>
          </w:rPr>
          <w:t>incorporated</w:t>
        </w:r>
        <w:r>
          <w:rPr>
            <w:color w:val="0000FF"/>
            <w:spacing w:val="-11"/>
            <w:u w:val="single" w:color="0000FF"/>
          </w:rPr>
          <w:t> </w:t>
        </w:r>
        <w:r>
          <w:rPr>
            <w:color w:val="0000FF"/>
            <w:u w:val="single" w:color="0000FF"/>
          </w:rPr>
          <w:t>by</w:t>
        </w:r>
        <w:r>
          <w:rPr>
            <w:color w:val="0000FF"/>
            <w:spacing w:val="22"/>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6"/>
            <w:u w:val="single" w:color="0000FF"/>
          </w:rPr>
          <w:t> </w:t>
        </w:r>
        <w:r>
          <w:rPr>
            <w:color w:val="0000FF"/>
            <w:u w:val="single" w:color="0000FF"/>
          </w:rPr>
          <w:t>10.1</w:t>
        </w:r>
        <w:r>
          <w:rPr>
            <w:color w:val="0000FF"/>
            <w:spacing w:val="-6"/>
            <w:u w:val="single" w:color="0000FF"/>
          </w:rPr>
          <w:t> </w:t>
        </w:r>
        <w:r>
          <w:rPr>
            <w:color w:val="0000FF"/>
            <w:u w:val="single" w:color="0000FF"/>
          </w:rPr>
          <w:t>of</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5"/>
            <w:u w:val="single" w:color="0000FF"/>
          </w:rPr>
          <w:t> </w:t>
        </w:r>
        <w:r>
          <w:rPr>
            <w:color w:val="0000FF"/>
            <w:u w:val="single" w:color="0000FF"/>
          </w:rPr>
          <w:t>'s</w:t>
        </w:r>
        <w:r>
          <w:rPr>
            <w:color w:val="0000FF"/>
            <w:spacing w:val="-6"/>
            <w:u w:val="single" w:color="0000FF"/>
          </w:rPr>
          <w:t> </w:t>
        </w:r>
        <w:r>
          <w:rPr>
            <w:color w:val="0000FF"/>
            <w:u w:val="single" w:color="0000FF"/>
          </w:rPr>
          <w:t>Current</w:t>
        </w:r>
        <w:r>
          <w:rPr>
            <w:color w:val="0000FF"/>
            <w:spacing w:val="-5"/>
            <w:u w:val="single" w:color="0000FF"/>
          </w:rPr>
          <w:t> </w:t>
        </w:r>
        <w:r>
          <w:rPr>
            <w:color w:val="0000FF"/>
            <w:u w:val="single" w:color="0000FF"/>
          </w:rPr>
          <w:t>Report</w:t>
        </w:r>
        <w:r>
          <w:rPr>
            <w:color w:val="0000FF"/>
            <w:spacing w:val="-6"/>
            <w:u w:val="single" w:color="0000FF"/>
          </w:rPr>
          <w:t> </w:t>
        </w:r>
        <w:r>
          <w:rPr>
            <w:color w:val="0000FF"/>
            <w:u w:val="single" w:color="0000FF"/>
          </w:rPr>
          <w:t>on</w:t>
        </w:r>
        <w:r>
          <w:rPr>
            <w:color w:val="0000FF"/>
            <w:spacing w:val="-5"/>
            <w:u w:val="single" w:color="0000FF"/>
          </w:rPr>
          <w:t> </w:t>
        </w:r>
        <w:r>
          <w:rPr>
            <w:color w:val="0000FF"/>
            <w:u w:val="single" w:color="0000FF"/>
          </w:rPr>
          <w:t>Form</w:t>
        </w:r>
        <w:r>
          <w:rPr>
            <w:color w:val="0000FF"/>
            <w:spacing w:val="-6"/>
            <w:u w:val="single" w:color="0000FF"/>
          </w:rPr>
          <w:t> </w:t>
        </w:r>
        <w:r>
          <w:rPr>
            <w:color w:val="0000FF"/>
            <w:u w:val="single" w:color="0000FF"/>
          </w:rPr>
          <w:t>8-K</w:t>
        </w:r>
        <w:r>
          <w:rPr>
            <w:color w:val="0000FF"/>
            <w:spacing w:val="-6"/>
            <w:u w:val="single" w:color="0000FF"/>
          </w:rPr>
          <w:t> </w:t>
        </w:r>
        <w:r>
          <w:rPr>
            <w:color w:val="0000FF"/>
            <w:u w:val="single" w:color="0000FF"/>
          </w:rPr>
          <w:t>filed</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February</w:t>
        </w:r>
        <w:r>
          <w:rPr>
            <w:color w:val="0000FF"/>
            <w:spacing w:val="22"/>
            <w:u w:val="single" w:color="0000FF"/>
          </w:rPr>
          <w:t> </w:t>
        </w:r>
        <w:r>
          <w:rPr>
            <w:color w:val="0000FF"/>
            <w:u w:val="single" w:color="0000FF"/>
          </w:rPr>
          <w:t>18,</w:t>
        </w:r>
        <w:r>
          <w:rPr>
            <w:color w:val="0000FF"/>
            <w:spacing w:val="-5"/>
            <w:u w:val="single" w:color="0000FF"/>
          </w:rPr>
          <w:t> </w:t>
        </w:r>
        <w:r>
          <w:rPr>
            <w:color w:val="0000FF"/>
            <w:spacing w:val="-2"/>
            <w:u w:val="single" w:color="0000FF"/>
          </w:rPr>
          <w:t>2020).</w:t>
        </w:r>
      </w:hyperlink>
    </w:p>
    <w:p>
      <w:pPr>
        <w:pStyle w:val="BodyText"/>
        <w:tabs>
          <w:tab w:pos="1431" w:val="left" w:leader="none"/>
        </w:tabs>
        <w:spacing w:line="201" w:lineRule="exact" w:before="26"/>
        <w:ind w:left="162"/>
      </w:pPr>
      <w:r>
        <w:rPr>
          <w:spacing w:val="-2"/>
        </w:rPr>
        <w:t>10.3(7)</w:t>
      </w:r>
      <w:r>
        <w:rPr/>
        <w:tab/>
      </w:r>
      <w:hyperlink r:id="rId52">
        <w:r>
          <w:rPr>
            <w:color w:val="0000FF"/>
            <w:position w:val="1"/>
            <w:u w:val="single" w:color="0000FF"/>
          </w:rPr>
          <w:t>Master</w:t>
        </w:r>
        <w:r>
          <w:rPr>
            <w:color w:val="0000FF"/>
            <w:spacing w:val="36"/>
            <w:position w:val="1"/>
            <w:u w:val="single" w:color="0000FF"/>
          </w:rPr>
          <w:t> </w:t>
        </w:r>
        <w:r>
          <w:rPr>
            <w:color w:val="0000FF"/>
            <w:position w:val="1"/>
            <w:u w:val="single" w:color="0000FF"/>
          </w:rPr>
          <w:t>Lease</w:t>
        </w:r>
        <w:r>
          <w:rPr>
            <w:color w:val="0000FF"/>
            <w:spacing w:val="36"/>
            <w:position w:val="1"/>
            <w:u w:val="single" w:color="0000FF"/>
          </w:rPr>
          <w:t> </w:t>
        </w:r>
        <w:r>
          <w:rPr>
            <w:color w:val="0000FF"/>
            <w:position w:val="1"/>
            <w:u w:val="single" w:color="0000FF"/>
          </w:rPr>
          <w:t>by</w:t>
        </w:r>
        <w:r>
          <w:rPr>
            <w:color w:val="0000FF"/>
            <w:spacing w:val="65"/>
            <w:position w:val="1"/>
            <w:u w:val="single" w:color="0000FF"/>
          </w:rPr>
          <w:t> </w:t>
        </w:r>
        <w:r>
          <w:rPr>
            <w:color w:val="0000FF"/>
            <w:position w:val="1"/>
            <w:u w:val="single" w:color="0000FF"/>
          </w:rPr>
          <w:t>and</w:t>
        </w:r>
        <w:r>
          <w:rPr>
            <w:color w:val="0000FF"/>
            <w:spacing w:val="36"/>
            <w:position w:val="1"/>
            <w:u w:val="single" w:color="0000FF"/>
          </w:rPr>
          <w:t> </w:t>
        </w:r>
        <w:r>
          <w:rPr>
            <w:color w:val="0000FF"/>
            <w:position w:val="1"/>
            <w:u w:val="single" w:color="0000FF"/>
          </w:rPr>
          <w:t>among</w:t>
        </w:r>
        <w:r>
          <w:rPr>
            <w:color w:val="0000FF"/>
            <w:spacing w:val="17"/>
            <w:position w:val="1"/>
            <w:u w:val="single" w:color="0000FF"/>
          </w:rPr>
          <w:t> </w:t>
        </w:r>
        <w:r>
          <w:rPr>
            <w:color w:val="0000FF"/>
            <w:position w:val="1"/>
            <w:u w:val="single" w:color="0000FF"/>
          </w:rPr>
          <w:t>Ace</w:t>
        </w:r>
        <w:r>
          <w:rPr>
            <w:color w:val="0000FF"/>
            <w:spacing w:val="26"/>
            <w:position w:val="1"/>
            <w:u w:val="single" w:color="0000FF"/>
          </w:rPr>
          <w:t> </w:t>
        </w:r>
        <w:r>
          <w:rPr>
            <w:color w:val="0000FF"/>
            <w:position w:val="1"/>
            <w:u w:val="single" w:color="0000FF"/>
          </w:rPr>
          <w:t>A</w:t>
        </w:r>
        <w:r>
          <w:rPr>
            <w:color w:val="0000FF"/>
            <w:spacing w:val="26"/>
            <w:position w:val="1"/>
            <w:u w:val="single" w:color="0000FF"/>
          </w:rPr>
          <w:t> </w:t>
        </w:r>
        <w:r>
          <w:rPr>
            <w:color w:val="0000FF"/>
            <w:position w:val="1"/>
            <w:u w:val="single" w:color="0000FF"/>
          </w:rPr>
          <w:t>PropCo</w:t>
        </w:r>
        <w:r>
          <w:rPr>
            <w:color w:val="0000FF"/>
            <w:spacing w:val="36"/>
            <w:position w:val="1"/>
            <w:u w:val="single" w:color="0000FF"/>
          </w:rPr>
          <w:t> </w:t>
        </w:r>
        <w:r>
          <w:rPr>
            <w:color w:val="0000FF"/>
            <w:position w:val="1"/>
            <w:u w:val="single" w:color="0000FF"/>
          </w:rPr>
          <w:t>LLC,</w:t>
        </w:r>
        <w:r>
          <w:rPr>
            <w:color w:val="0000FF"/>
            <w:spacing w:val="26"/>
            <w:position w:val="1"/>
            <w:u w:val="single" w:color="0000FF"/>
          </w:rPr>
          <w:t> </w:t>
        </w:r>
        <w:r>
          <w:rPr>
            <w:color w:val="0000FF"/>
            <w:position w:val="1"/>
            <w:u w:val="single" w:color="0000FF"/>
          </w:rPr>
          <w:t>Ace</w:t>
        </w:r>
        <w:r>
          <w:rPr>
            <w:color w:val="0000FF"/>
            <w:spacing w:val="32"/>
            <w:position w:val="1"/>
            <w:u w:val="single" w:color="0000FF"/>
          </w:rPr>
          <w:t> </w:t>
        </w:r>
        <w:r>
          <w:rPr>
            <w:color w:val="0000FF"/>
            <w:position w:val="1"/>
            <w:u w:val="single" w:color="0000FF"/>
          </w:rPr>
          <w:t>V</w:t>
        </w:r>
        <w:r>
          <w:rPr>
            <w:color w:val="0000FF"/>
            <w:spacing w:val="32"/>
            <w:position w:val="1"/>
            <w:u w:val="single" w:color="0000FF"/>
          </w:rPr>
          <w:t> </w:t>
        </w:r>
        <w:r>
          <w:rPr>
            <w:color w:val="0000FF"/>
            <w:position w:val="1"/>
            <w:u w:val="single" w:color="0000FF"/>
          </w:rPr>
          <w:t>PropCo</w:t>
        </w:r>
        <w:r>
          <w:rPr>
            <w:color w:val="0000FF"/>
            <w:spacing w:val="36"/>
            <w:position w:val="1"/>
            <w:u w:val="single" w:color="0000FF"/>
          </w:rPr>
          <w:t> </w:t>
        </w:r>
        <w:r>
          <w:rPr>
            <w:color w:val="0000FF"/>
            <w:position w:val="1"/>
            <w:u w:val="single" w:color="0000FF"/>
          </w:rPr>
          <w:t>LLC</w:t>
        </w:r>
        <w:r>
          <w:rPr>
            <w:color w:val="0000FF"/>
            <w:spacing w:val="36"/>
            <w:position w:val="1"/>
            <w:u w:val="single" w:color="0000FF"/>
          </w:rPr>
          <w:t> </w:t>
        </w:r>
        <w:r>
          <w:rPr>
            <w:color w:val="0000FF"/>
            <w:position w:val="1"/>
            <w:u w:val="single" w:color="0000FF"/>
          </w:rPr>
          <w:t>and</w:t>
        </w:r>
        <w:r>
          <w:rPr>
            <w:color w:val="0000FF"/>
            <w:spacing w:val="36"/>
            <w:position w:val="1"/>
            <w:u w:val="single" w:color="0000FF"/>
          </w:rPr>
          <w:t> </w:t>
        </w:r>
        <w:r>
          <w:rPr>
            <w:color w:val="0000FF"/>
            <w:position w:val="1"/>
            <w:u w:val="single" w:color="0000FF"/>
          </w:rPr>
          <w:t>MGM</w:t>
        </w:r>
        <w:r>
          <w:rPr>
            <w:color w:val="0000FF"/>
            <w:spacing w:val="36"/>
            <w:position w:val="1"/>
            <w:u w:val="single" w:color="0000FF"/>
          </w:rPr>
          <w:t> </w:t>
        </w:r>
        <w:r>
          <w:rPr>
            <w:color w:val="0000FF"/>
            <w:position w:val="1"/>
            <w:u w:val="single" w:color="0000FF"/>
          </w:rPr>
          <w:t>Lessee</w:t>
        </w:r>
        <w:r>
          <w:rPr>
            <w:color w:val="0000FF"/>
            <w:spacing w:val="36"/>
            <w:position w:val="1"/>
            <w:u w:val="single" w:color="0000FF"/>
          </w:rPr>
          <w:t> </w:t>
        </w:r>
        <w:r>
          <w:rPr>
            <w:color w:val="0000FF"/>
            <w:position w:val="1"/>
            <w:u w:val="single" w:color="0000FF"/>
          </w:rPr>
          <w:t>III,</w:t>
        </w:r>
        <w:r>
          <w:rPr>
            <w:color w:val="0000FF"/>
            <w:spacing w:val="36"/>
            <w:position w:val="1"/>
            <w:u w:val="single" w:color="0000FF"/>
          </w:rPr>
          <w:t> </w:t>
        </w:r>
        <w:r>
          <w:rPr>
            <w:color w:val="0000FF"/>
            <w:position w:val="1"/>
            <w:u w:val="single" w:color="0000FF"/>
          </w:rPr>
          <w:t>LLC,</w:t>
        </w:r>
        <w:r>
          <w:rPr>
            <w:color w:val="0000FF"/>
            <w:spacing w:val="36"/>
            <w:position w:val="1"/>
            <w:u w:val="single" w:color="0000FF"/>
          </w:rPr>
          <w:t> </w:t>
        </w:r>
        <w:r>
          <w:rPr>
            <w:color w:val="0000FF"/>
            <w:position w:val="1"/>
            <w:u w:val="single" w:color="0000FF"/>
          </w:rPr>
          <w:t>dated</w:t>
        </w:r>
        <w:r>
          <w:rPr>
            <w:color w:val="0000FF"/>
            <w:spacing w:val="36"/>
            <w:position w:val="1"/>
            <w:u w:val="single" w:color="0000FF"/>
          </w:rPr>
          <w:t> </w:t>
        </w:r>
        <w:r>
          <w:rPr>
            <w:color w:val="0000FF"/>
            <w:position w:val="1"/>
            <w:u w:val="single" w:color="0000FF"/>
          </w:rPr>
          <w:t>as</w:t>
        </w:r>
        <w:r>
          <w:rPr>
            <w:color w:val="0000FF"/>
            <w:spacing w:val="36"/>
            <w:position w:val="1"/>
            <w:u w:val="single" w:color="0000FF"/>
          </w:rPr>
          <w:t> </w:t>
        </w:r>
        <w:r>
          <w:rPr>
            <w:color w:val="0000FF"/>
            <w:position w:val="1"/>
            <w:u w:val="single" w:color="0000FF"/>
          </w:rPr>
          <w:t>of</w:t>
        </w:r>
        <w:r>
          <w:rPr>
            <w:color w:val="0000FF"/>
            <w:spacing w:val="36"/>
            <w:position w:val="1"/>
            <w:u w:val="single" w:color="0000FF"/>
          </w:rPr>
          <w:t> </w:t>
        </w:r>
        <w:r>
          <w:rPr>
            <w:color w:val="0000FF"/>
            <w:position w:val="1"/>
            <w:u w:val="single" w:color="0000FF"/>
          </w:rPr>
          <w:t>September</w:t>
        </w:r>
        <w:r>
          <w:rPr>
            <w:color w:val="0000FF"/>
            <w:spacing w:val="36"/>
            <w:position w:val="1"/>
            <w:u w:val="single" w:color="0000FF"/>
          </w:rPr>
          <w:t> </w:t>
        </w:r>
        <w:r>
          <w:rPr>
            <w:color w:val="0000FF"/>
            <w:position w:val="1"/>
            <w:u w:val="single" w:color="0000FF"/>
          </w:rPr>
          <w:t>28,</w:t>
        </w:r>
        <w:r>
          <w:rPr>
            <w:color w:val="0000FF"/>
            <w:spacing w:val="37"/>
            <w:position w:val="1"/>
            <w:u w:val="single" w:color="0000FF"/>
          </w:rPr>
          <w:t> </w:t>
        </w:r>
        <w:r>
          <w:rPr>
            <w:color w:val="0000FF"/>
            <w:spacing w:val="-4"/>
            <w:position w:val="1"/>
            <w:u w:val="single" w:color="0000FF"/>
          </w:rPr>
          <w:t>2021</w:t>
        </w:r>
      </w:hyperlink>
    </w:p>
    <w:p>
      <w:pPr>
        <w:pStyle w:val="BodyText"/>
        <w:spacing w:line="191" w:lineRule="exact"/>
        <w:ind w:left="1431"/>
      </w:pPr>
      <w:hyperlink r:id="rId52">
        <w:r>
          <w:rPr>
            <w:color w:val="0000FF"/>
            <w:spacing w:val="-47"/>
            <w:u w:val="single" w:color="0000FF"/>
          </w:rPr>
          <w:t> </w:t>
        </w:r>
        <w:r>
          <w:rPr>
            <w:color w:val="0000FF"/>
          </w:rPr>
          <w:t>(</w:t>
        </w:r>
        <w:r>
          <w:rPr>
            <w:color w:val="0000FF"/>
            <w:u w:val="single" w:color="0000FF"/>
          </w:rPr>
          <w:t>incorporated</w:t>
        </w:r>
        <w:r>
          <w:rPr>
            <w:color w:val="0000FF"/>
            <w:spacing w:val="-9"/>
            <w:u w:val="single" w:color="0000FF"/>
          </w:rPr>
          <w:t> </w:t>
        </w:r>
        <w:r>
          <w:rPr>
            <w:color w:val="0000FF"/>
            <w:u w:val="single" w:color="0000FF"/>
          </w:rPr>
          <w:t>by</w:t>
        </w:r>
        <w:r>
          <w:rPr>
            <w:color w:val="0000FF"/>
            <w:spacing w:val="25"/>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4"/>
            <w:u w:val="single" w:color="0000FF"/>
          </w:rPr>
          <w:t> </w:t>
        </w:r>
        <w:r>
          <w:rPr>
            <w:color w:val="0000FF"/>
            <w:u w:val="single" w:color="0000FF"/>
          </w:rPr>
          <w:t>Exhibit</w:t>
        </w:r>
        <w:r>
          <w:rPr>
            <w:color w:val="0000FF"/>
            <w:spacing w:val="-4"/>
            <w:u w:val="single" w:color="0000FF"/>
          </w:rPr>
          <w:t> </w:t>
        </w:r>
        <w:r>
          <w:rPr>
            <w:color w:val="0000FF"/>
            <w:u w:val="single" w:color="0000FF"/>
          </w:rPr>
          <w:t>10.1</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Company</w:t>
        </w:r>
        <w:r>
          <w:rPr>
            <w:color w:val="0000FF"/>
            <w:spacing w:val="-15"/>
            <w:u w:val="single" w:color="0000FF"/>
          </w:rPr>
          <w:t> </w:t>
        </w:r>
        <w:r>
          <w:rPr>
            <w:color w:val="0000FF"/>
            <w:u w:val="single" w:color="0000FF"/>
          </w:rPr>
          <w:t>'s</w:t>
        </w:r>
        <w:r>
          <w:rPr>
            <w:color w:val="0000FF"/>
            <w:spacing w:val="-4"/>
            <w:u w:val="single" w:color="0000FF"/>
          </w:rPr>
          <w:t> </w:t>
        </w:r>
        <w:r>
          <w:rPr>
            <w:color w:val="0000FF"/>
            <w:u w:val="single" w:color="0000FF"/>
          </w:rPr>
          <w:t>Current</w:t>
        </w:r>
        <w:r>
          <w:rPr>
            <w:color w:val="0000FF"/>
            <w:spacing w:val="-4"/>
            <w:u w:val="single" w:color="0000FF"/>
          </w:rPr>
          <w:t> </w:t>
        </w:r>
        <w:r>
          <w:rPr>
            <w:color w:val="0000FF"/>
            <w:u w:val="single" w:color="0000FF"/>
          </w:rPr>
          <w:t>Report</w:t>
        </w:r>
        <w:r>
          <w:rPr>
            <w:color w:val="0000FF"/>
            <w:spacing w:val="-4"/>
            <w:u w:val="single" w:color="0000FF"/>
          </w:rPr>
          <w:t> </w:t>
        </w:r>
        <w:r>
          <w:rPr>
            <w:color w:val="0000FF"/>
            <w:u w:val="single" w:color="0000FF"/>
          </w:rPr>
          <w:t>on</w:t>
        </w:r>
        <w:r>
          <w:rPr>
            <w:color w:val="0000FF"/>
            <w:spacing w:val="-4"/>
            <w:u w:val="single" w:color="0000FF"/>
          </w:rPr>
          <w:t> </w:t>
        </w:r>
        <w:r>
          <w:rPr>
            <w:color w:val="0000FF"/>
            <w:u w:val="single" w:color="0000FF"/>
          </w:rPr>
          <w:t>Form</w:t>
        </w:r>
        <w:r>
          <w:rPr>
            <w:color w:val="0000FF"/>
            <w:spacing w:val="-4"/>
            <w:u w:val="single" w:color="0000FF"/>
          </w:rPr>
          <w:t> </w:t>
        </w:r>
        <w:r>
          <w:rPr>
            <w:color w:val="0000FF"/>
            <w:u w:val="single" w:color="0000FF"/>
          </w:rPr>
          <w:t>8-K</w:t>
        </w:r>
        <w:r>
          <w:rPr>
            <w:color w:val="0000FF"/>
            <w:spacing w:val="-5"/>
            <w:u w:val="single" w:color="0000FF"/>
          </w:rPr>
          <w:t> </w:t>
        </w:r>
        <w:r>
          <w:rPr>
            <w:color w:val="0000FF"/>
            <w:u w:val="single" w:color="0000FF"/>
          </w:rPr>
          <w:t>filed</w:t>
        </w:r>
        <w:r>
          <w:rPr>
            <w:color w:val="0000FF"/>
            <w:spacing w:val="-4"/>
            <w:u w:val="single" w:color="0000FF"/>
          </w:rPr>
          <w:t> </w:t>
        </w:r>
        <w:r>
          <w:rPr>
            <w:color w:val="0000FF"/>
            <w:u w:val="single" w:color="0000FF"/>
          </w:rPr>
          <w:t>on</w:t>
        </w:r>
        <w:r>
          <w:rPr>
            <w:color w:val="0000FF"/>
            <w:spacing w:val="-4"/>
            <w:u w:val="single" w:color="0000FF"/>
          </w:rPr>
          <w:t> </w:t>
        </w:r>
        <w:r>
          <w:rPr>
            <w:color w:val="0000FF"/>
            <w:u w:val="single" w:color="0000FF"/>
          </w:rPr>
          <w:t>September</w:t>
        </w:r>
        <w:r>
          <w:rPr>
            <w:color w:val="0000FF"/>
            <w:spacing w:val="-4"/>
            <w:u w:val="single" w:color="0000FF"/>
          </w:rPr>
          <w:t> </w:t>
        </w:r>
        <w:r>
          <w:rPr>
            <w:color w:val="0000FF"/>
            <w:u w:val="single" w:color="0000FF"/>
          </w:rPr>
          <w:t>28,</w:t>
        </w:r>
        <w:r>
          <w:rPr>
            <w:color w:val="0000FF"/>
            <w:spacing w:val="-4"/>
            <w:u w:val="single" w:color="0000FF"/>
          </w:rPr>
          <w:t> </w:t>
        </w:r>
        <w:r>
          <w:rPr>
            <w:color w:val="0000FF"/>
            <w:spacing w:val="-2"/>
            <w:u w:val="single" w:color="0000FF"/>
          </w:rPr>
          <w:t>2021).</w:t>
        </w:r>
      </w:hyperlink>
    </w:p>
    <w:p>
      <w:pPr>
        <w:pStyle w:val="BodyText"/>
        <w:tabs>
          <w:tab w:pos="1431" w:val="left" w:leader="none"/>
        </w:tabs>
        <w:spacing w:line="187" w:lineRule="auto" w:before="63"/>
        <w:ind w:left="1431" w:right="136" w:hanging="1269"/>
      </w:pPr>
      <w:r>
        <w:rPr>
          <w:spacing w:val="-2"/>
        </w:rPr>
        <w:t>10.3(8)</w:t>
      </w:r>
      <w:r>
        <w:rPr/>
        <w:tab/>
      </w:r>
      <w:hyperlink r:id="rId53">
        <w:r>
          <w:rPr>
            <w:color w:val="0000FF"/>
            <w:position w:val="1"/>
            <w:u w:val="single" w:color="0000FF"/>
          </w:rPr>
          <w:t>Lease</w:t>
        </w:r>
        <w:r>
          <w:rPr>
            <w:color w:val="0000FF"/>
            <w:spacing w:val="-2"/>
            <w:position w:val="1"/>
            <w:u w:val="single" w:color="0000FF"/>
          </w:rPr>
          <w:t> </w:t>
        </w:r>
        <w:r>
          <w:rPr>
            <w:color w:val="0000FF"/>
            <w:position w:val="1"/>
            <w:u w:val="single" w:color="0000FF"/>
          </w:rPr>
          <w:t>by</w:t>
        </w:r>
        <w:r>
          <w:rPr>
            <w:color w:val="0000FF"/>
            <w:spacing w:val="24"/>
            <w:position w:val="1"/>
            <w:u w:val="single" w:color="0000FF"/>
          </w:rPr>
          <w:t> </w:t>
        </w:r>
        <w:r>
          <w:rPr>
            <w:color w:val="0000FF"/>
            <w:position w:val="1"/>
            <w:u w:val="single" w:color="0000FF"/>
          </w:rPr>
          <w:t>and</w:t>
        </w:r>
        <w:r>
          <w:rPr>
            <w:color w:val="0000FF"/>
            <w:spacing w:val="-2"/>
            <w:position w:val="1"/>
            <w:u w:val="single" w:color="0000FF"/>
          </w:rPr>
          <w:t> </w:t>
        </w:r>
        <w:r>
          <w:rPr>
            <w:color w:val="0000FF"/>
            <w:position w:val="1"/>
            <w:u w:val="single" w:color="0000FF"/>
          </w:rPr>
          <w:t>between</w:t>
        </w:r>
        <w:r>
          <w:rPr>
            <w:color w:val="0000FF"/>
            <w:spacing w:val="-2"/>
            <w:position w:val="1"/>
            <w:u w:val="single" w:color="0000FF"/>
          </w:rPr>
          <w:t> </w:t>
        </w:r>
        <w:r>
          <w:rPr>
            <w:color w:val="0000FF"/>
            <w:position w:val="1"/>
            <w:u w:val="single" w:color="0000FF"/>
          </w:rPr>
          <w:t>Marker</w:t>
        </w:r>
        <w:r>
          <w:rPr>
            <w:color w:val="0000FF"/>
            <w:spacing w:val="-2"/>
            <w:position w:val="1"/>
            <w:u w:val="single" w:color="0000FF"/>
          </w:rPr>
          <w:t> </w:t>
        </w:r>
        <w:r>
          <w:rPr>
            <w:color w:val="0000FF"/>
            <w:position w:val="1"/>
            <w:u w:val="single" w:color="0000FF"/>
          </w:rPr>
          <w:t>LV</w:t>
        </w:r>
        <w:r>
          <w:rPr>
            <w:color w:val="0000FF"/>
            <w:spacing w:val="-5"/>
            <w:position w:val="1"/>
            <w:u w:val="single" w:color="0000FF"/>
          </w:rPr>
          <w:t> </w:t>
        </w:r>
        <w:r>
          <w:rPr>
            <w:color w:val="0000FF"/>
            <w:position w:val="1"/>
            <w:u w:val="single" w:color="0000FF"/>
          </w:rPr>
          <w:t>Propco</w:t>
        </w:r>
        <w:r>
          <w:rPr>
            <w:color w:val="0000FF"/>
            <w:spacing w:val="-2"/>
            <w:position w:val="1"/>
            <w:u w:val="single" w:color="0000FF"/>
          </w:rPr>
          <w:t> </w:t>
        </w:r>
        <w:r>
          <w:rPr>
            <w:color w:val="0000FF"/>
            <w:position w:val="1"/>
            <w:u w:val="single" w:color="0000FF"/>
          </w:rPr>
          <w:t>LLC</w:t>
        </w:r>
        <w:r>
          <w:rPr>
            <w:color w:val="0000FF"/>
            <w:spacing w:val="-2"/>
            <w:position w:val="1"/>
            <w:u w:val="single" w:color="0000FF"/>
          </w:rPr>
          <w:t> </w:t>
        </w:r>
        <w:r>
          <w:rPr>
            <w:color w:val="0000FF"/>
            <w:position w:val="1"/>
            <w:u w:val="single" w:color="0000FF"/>
          </w:rPr>
          <w:t>and</w:t>
        </w:r>
        <w:r>
          <w:rPr>
            <w:color w:val="0000FF"/>
            <w:spacing w:val="-2"/>
            <w:position w:val="1"/>
            <w:u w:val="single" w:color="0000FF"/>
          </w:rPr>
          <w:t> </w:t>
        </w:r>
        <w:r>
          <w:rPr>
            <w:color w:val="0000FF"/>
            <w:position w:val="1"/>
            <w:u w:val="single" w:color="0000FF"/>
          </w:rPr>
          <w:t>Nevada</w:t>
        </w:r>
        <w:r>
          <w:rPr>
            <w:color w:val="0000FF"/>
            <w:spacing w:val="-2"/>
            <w:position w:val="1"/>
            <w:u w:val="single" w:color="0000FF"/>
          </w:rPr>
          <w:t> </w:t>
        </w:r>
        <w:r>
          <w:rPr>
            <w:color w:val="0000FF"/>
            <w:position w:val="1"/>
            <w:u w:val="single" w:color="0000FF"/>
          </w:rPr>
          <w:t>Proper</w:t>
        </w:r>
        <w:r>
          <w:rPr>
            <w:color w:val="0000FF"/>
            <w:position w:val="1"/>
          </w:rPr>
          <w:t>ty</w:t>
        </w:r>
        <w:r>
          <w:rPr>
            <w:color w:val="0000FF"/>
            <w:spacing w:val="24"/>
            <w:position w:val="1"/>
            <w:u w:val="single" w:color="0000FF"/>
          </w:rPr>
          <w:t> </w:t>
        </w:r>
        <w:r>
          <w:rPr>
            <w:color w:val="0000FF"/>
            <w:position w:val="1"/>
            <w:u w:val="single" w:color="0000FF"/>
          </w:rPr>
          <w:t>1</w:t>
        </w:r>
        <w:r>
          <w:rPr>
            <w:color w:val="0000FF"/>
            <w:spacing w:val="-2"/>
            <w:position w:val="1"/>
            <w:u w:val="single" w:color="0000FF"/>
          </w:rPr>
          <w:t> </w:t>
        </w:r>
        <w:r>
          <w:rPr>
            <w:color w:val="0000FF"/>
            <w:position w:val="1"/>
            <w:u w:val="single" w:color="0000FF"/>
          </w:rPr>
          <w:t>LLC,</w:t>
        </w:r>
        <w:r>
          <w:rPr>
            <w:color w:val="0000FF"/>
            <w:spacing w:val="-2"/>
            <w:position w:val="1"/>
            <w:u w:val="single" w:color="0000FF"/>
          </w:rPr>
          <w:t> </w:t>
        </w:r>
        <w:r>
          <w:rPr>
            <w:color w:val="0000FF"/>
            <w:position w:val="1"/>
            <w:u w:val="single" w:color="0000FF"/>
          </w:rPr>
          <w:t>dated</w:t>
        </w:r>
        <w:r>
          <w:rPr>
            <w:color w:val="0000FF"/>
            <w:spacing w:val="-2"/>
            <w:position w:val="1"/>
            <w:u w:val="single" w:color="0000FF"/>
          </w:rPr>
          <w:t> </w:t>
        </w:r>
        <w:r>
          <w:rPr>
            <w:color w:val="0000FF"/>
            <w:position w:val="1"/>
            <w:u w:val="single" w:color="0000FF"/>
          </w:rPr>
          <w:t>as</w:t>
        </w:r>
        <w:r>
          <w:rPr>
            <w:color w:val="0000FF"/>
            <w:spacing w:val="-2"/>
            <w:position w:val="1"/>
            <w:u w:val="single" w:color="0000FF"/>
          </w:rPr>
          <w:t> </w:t>
        </w:r>
        <w:r>
          <w:rPr>
            <w:color w:val="0000FF"/>
            <w:position w:val="1"/>
            <w:u w:val="single" w:color="0000FF"/>
          </w:rPr>
          <w:t>of</w:t>
        </w:r>
        <w:r>
          <w:rPr>
            <w:color w:val="0000FF"/>
            <w:spacing w:val="-2"/>
            <w:position w:val="1"/>
            <w:u w:val="single" w:color="0000FF"/>
          </w:rPr>
          <w:t> </w:t>
        </w:r>
        <w:r>
          <w:rPr>
            <w:color w:val="0000FF"/>
            <w:position w:val="1"/>
            <w:u w:val="single" w:color="0000FF"/>
          </w:rPr>
          <w:t>May</w:t>
        </w:r>
        <w:r>
          <w:rPr>
            <w:color w:val="0000FF"/>
            <w:spacing w:val="24"/>
            <w:position w:val="1"/>
            <w:u w:val="single" w:color="0000FF"/>
          </w:rPr>
          <w:t> </w:t>
        </w:r>
        <w:r>
          <w:rPr>
            <w:color w:val="0000FF"/>
            <w:position w:val="1"/>
            <w:u w:val="single" w:color="0000FF"/>
          </w:rPr>
          <w:t>17,</w:t>
        </w:r>
        <w:r>
          <w:rPr>
            <w:color w:val="0000FF"/>
            <w:spacing w:val="-2"/>
            <w:position w:val="1"/>
            <w:u w:val="single" w:color="0000FF"/>
          </w:rPr>
          <w:t> </w:t>
        </w:r>
        <w:r>
          <w:rPr>
            <w:color w:val="0000FF"/>
            <w:position w:val="1"/>
            <w:u w:val="single" w:color="0000FF"/>
          </w:rPr>
          <w:t>2022</w:t>
        </w:r>
        <w:r>
          <w:rPr>
            <w:color w:val="0000FF"/>
            <w:spacing w:val="-2"/>
            <w:position w:val="1"/>
            <w:u w:val="single" w:color="0000FF"/>
          </w:rPr>
          <w:t> </w:t>
        </w:r>
        <w:r>
          <w:rPr>
            <w:color w:val="0000FF"/>
            <w:position w:val="1"/>
            <w:u w:val="single" w:color="0000FF"/>
          </w:rPr>
          <w:t>(incorporated</w:t>
        </w:r>
        <w:r>
          <w:rPr>
            <w:color w:val="0000FF"/>
            <w:spacing w:val="-2"/>
            <w:position w:val="1"/>
            <w:u w:val="single" w:color="0000FF"/>
          </w:rPr>
          <w:t> </w:t>
        </w:r>
        <w:r>
          <w:rPr>
            <w:color w:val="0000FF"/>
            <w:position w:val="1"/>
            <w:u w:val="single" w:color="0000FF"/>
          </w:rPr>
          <w:t>by</w:t>
        </w:r>
        <w:r>
          <w:rPr>
            <w:color w:val="0000FF"/>
            <w:spacing w:val="24"/>
            <w:position w:val="1"/>
            <w:u w:val="single" w:color="0000FF"/>
          </w:rPr>
          <w:t> </w:t>
        </w:r>
        <w:r>
          <w:rPr>
            <w:color w:val="0000FF"/>
            <w:position w:val="1"/>
            <w:u w:val="single" w:color="0000FF"/>
          </w:rPr>
          <w:t>reference</w:t>
        </w:r>
        <w:r>
          <w:rPr>
            <w:color w:val="0000FF"/>
            <w:spacing w:val="-2"/>
            <w:position w:val="1"/>
            <w:u w:val="single" w:color="0000FF"/>
          </w:rPr>
          <w:t> </w:t>
        </w:r>
        <w:r>
          <w:rPr>
            <w:color w:val="0000FF"/>
            <w:position w:val="1"/>
            <w:u w:val="single" w:color="0000FF"/>
          </w:rPr>
          <w:t>to</w:t>
        </w:r>
        <w:r>
          <w:rPr>
            <w:color w:val="0000FF"/>
            <w:spacing w:val="-2"/>
            <w:position w:val="1"/>
            <w:u w:val="single" w:color="0000FF"/>
          </w:rPr>
          <w:t> </w:t>
        </w:r>
        <w:r>
          <w:rPr>
            <w:color w:val="0000FF"/>
            <w:position w:val="1"/>
            <w:u w:val="single" w:color="0000FF"/>
          </w:rPr>
          <w:t>Exhibit</w:t>
        </w:r>
      </w:hyperlink>
      <w:r>
        <w:rPr>
          <w:color w:val="0000FF"/>
          <w:position w:val="1"/>
        </w:rPr>
        <w:t> </w:t>
      </w:r>
      <w:hyperlink r:id="rId53">
        <w:r>
          <w:rPr>
            <w:color w:val="0000FF"/>
            <w:u w:val="single" w:color="0000FF"/>
          </w:rPr>
          <w:t>10.1 of the Current Report on Form 8-K filed on May</w:t>
        </w:r>
        <w:r>
          <w:rPr>
            <w:color w:val="0000FF"/>
            <w:spacing w:val="40"/>
            <w:u w:val="single" w:color="0000FF"/>
          </w:rPr>
          <w:t> </w:t>
        </w:r>
        <w:r>
          <w:rPr>
            <w:color w:val="0000FF"/>
            <w:u w:val="single" w:color="0000FF"/>
          </w:rPr>
          <w:t>17, 2022).</w:t>
        </w:r>
      </w:hyperlink>
    </w:p>
    <w:p>
      <w:pPr>
        <w:pStyle w:val="BodyText"/>
      </w:pPr>
    </w:p>
    <w:p>
      <w:pPr>
        <w:pStyle w:val="BodyText"/>
      </w:pPr>
    </w:p>
    <w:p>
      <w:pPr>
        <w:pStyle w:val="BodyText"/>
        <w:spacing w:before="99"/>
      </w:pPr>
    </w:p>
    <w:p>
      <w:pPr>
        <w:pStyle w:val="BodyText"/>
        <w:ind w:left="24"/>
        <w:jc w:val="center"/>
      </w:pPr>
      <w:r>
        <w:rPr>
          <w:spacing w:val="-5"/>
        </w:rPr>
        <w:t>105</w:t>
      </w:r>
    </w:p>
    <w:p>
      <w:pPr>
        <w:pStyle w:val="BodyText"/>
        <w:spacing w:before="3"/>
        <w:rPr>
          <w:sz w:val="6"/>
        </w:rPr>
      </w:pPr>
      <w:r>
        <w:rPr/>
        <mc:AlternateContent>
          <mc:Choice Requires="wps">
            <w:drawing>
              <wp:anchor distT="0" distB="0" distL="0" distR="0" allowOverlap="1" layoutInCell="1" locked="0" behindDoc="1" simplePos="0" relativeHeight="487739904">
                <wp:simplePos x="0" y="0"/>
                <wp:positionH relativeFrom="page">
                  <wp:posOffset>231457</wp:posOffset>
                </wp:positionH>
                <wp:positionV relativeFrom="paragraph">
                  <wp:posOffset>60956</wp:posOffset>
                </wp:positionV>
                <wp:extent cx="7312659" cy="17145"/>
                <wp:effectExtent l="0" t="0" r="0" b="0"/>
                <wp:wrapTopAndBottom/>
                <wp:docPr id="757" name="Group 757"/>
                <wp:cNvGraphicFramePr>
                  <a:graphicFrameLocks/>
                </wp:cNvGraphicFramePr>
                <a:graphic>
                  <a:graphicData uri="http://schemas.microsoft.com/office/word/2010/wordprocessingGroup">
                    <wpg:wgp>
                      <wpg:cNvPr id="757" name="Group 757"/>
                      <wpg:cNvGrpSpPr/>
                      <wpg:grpSpPr>
                        <a:xfrm>
                          <a:off x="0" y="0"/>
                          <a:ext cx="7312659" cy="17145"/>
                          <a:chExt cx="7312659" cy="17145"/>
                        </a:xfrm>
                      </wpg:grpSpPr>
                      <wps:wsp>
                        <wps:cNvPr id="758" name="Graphic 75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59" name="Graphic 759"/>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60" name="Graphic 76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76576;mso-wrap-distance-left:0;mso-wrap-distance-right:0" id="docshapegroup755" coordorigin="364,96" coordsize="11516,27">
                <v:rect style="position:absolute;left:364;top:96;width:11516;height:14" id="docshape756" filled="true" fillcolor="#999999" stroked="false">
                  <v:fill type="solid"/>
                </v:rect>
                <v:shape style="position:absolute;left:364;top:95;width:11516;height:27" id="docshape757" coordorigin="364,96" coordsize="11516,27" path="m11880,96l11866,109,364,109,364,123,11866,123,11880,123,11880,109,11880,96xe" filled="true" fillcolor="#ededed" stroked="false">
                  <v:path arrowok="t"/>
                  <v:fill type="solid"/>
                </v:shape>
                <v:shape style="position:absolute;left:364;top:96;width:14;height:27" id="docshape758"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20" w:bottom="280" w:left="220" w:right="240"/>
        </w:sectPr>
      </w:pPr>
    </w:p>
    <w:p>
      <w:pPr>
        <w:pStyle w:val="BodyText"/>
        <w:tabs>
          <w:tab w:pos="1433" w:val="left" w:leader="none"/>
        </w:tabs>
        <w:spacing w:line="187" w:lineRule="auto" w:before="104"/>
        <w:ind w:left="1433" w:right="136" w:hanging="1271"/>
        <w:jc w:val="both"/>
      </w:pPr>
      <w:r>
        <w:rPr>
          <w:spacing w:val="-2"/>
        </w:rPr>
        <w:t>10.3(9)</w:t>
      </w:r>
      <w:r>
        <w:rPr/>
        <w:tab/>
      </w:r>
      <w:hyperlink r:id="rId54">
        <w:r>
          <w:rPr>
            <w:color w:val="0000FF"/>
            <w:position w:val="1"/>
            <w:u w:val="single" w:color="0000FF"/>
          </w:rPr>
          <w:t>Tax Protection Agreement, by</w:t>
        </w:r>
        <w:r>
          <w:rPr>
            <w:color w:val="0000FF"/>
            <w:spacing w:val="40"/>
            <w:position w:val="1"/>
            <w:u w:val="single" w:color="0000FF"/>
          </w:rPr>
          <w:t> </w:t>
        </w:r>
        <w:r>
          <w:rPr>
            <w:color w:val="0000FF"/>
            <w:position w:val="1"/>
            <w:u w:val="single" w:color="0000FF"/>
          </w:rPr>
          <w:t>and among Bellagio, LLC, BCORE Paradise Parent LLC and BCORE Paradise JV LLC, dated as of</w:t>
        </w:r>
      </w:hyperlink>
      <w:r>
        <w:rPr>
          <w:color w:val="0000FF"/>
          <w:position w:val="1"/>
        </w:rPr>
        <w:t> </w:t>
      </w:r>
      <w:hyperlink r:id="rId54">
        <w:r>
          <w:rPr>
            <w:color w:val="0000FF"/>
            <w:u w:val="single" w:color="0000FF"/>
          </w:rPr>
          <w:t>November</w:t>
        </w:r>
        <w:r>
          <w:rPr>
            <w:color w:val="0000FF"/>
            <w:spacing w:val="-2"/>
            <w:u w:val="single" w:color="0000FF"/>
          </w:rPr>
          <w:t> </w:t>
        </w:r>
        <w:r>
          <w:rPr>
            <w:color w:val="0000FF"/>
            <w:u w:val="single" w:color="0000FF"/>
          </w:rPr>
          <w:t>15,</w:t>
        </w:r>
        <w:r>
          <w:rPr>
            <w:color w:val="0000FF"/>
            <w:spacing w:val="-2"/>
            <w:u w:val="single" w:color="0000FF"/>
          </w:rPr>
          <w:t> </w:t>
        </w:r>
        <w:r>
          <w:rPr>
            <w:color w:val="0000FF"/>
            <w:u w:val="single" w:color="0000FF"/>
          </w:rPr>
          <w:t>2019</w:t>
        </w:r>
        <w:r>
          <w:rPr>
            <w:color w:val="0000FF"/>
            <w:spacing w:val="-2"/>
            <w:u w:val="single" w:color="0000FF"/>
          </w:rPr>
          <w:t> </w:t>
        </w:r>
        <w:r>
          <w:rPr>
            <w:color w:val="0000FF"/>
            <w:u w:val="single" w:color="0000FF"/>
          </w:rPr>
          <w:t>(incorporated</w:t>
        </w:r>
        <w:r>
          <w:rPr>
            <w:color w:val="0000FF"/>
            <w:spacing w:val="-2"/>
            <w:u w:val="single" w:color="0000FF"/>
          </w:rPr>
          <w:t> </w:t>
        </w:r>
        <w:r>
          <w:rPr>
            <w:color w:val="0000FF"/>
            <w:u w:val="single" w:color="0000FF"/>
          </w:rPr>
          <w:t>by</w:t>
        </w:r>
        <w:r>
          <w:rPr>
            <w:color w:val="0000FF"/>
            <w:spacing w:val="29"/>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10.2</w:t>
        </w:r>
        <w:r>
          <w:rPr>
            <w:color w:val="0000FF"/>
            <w:spacing w:val="-2"/>
            <w:u w:val="single" w:color="0000FF"/>
          </w:rPr>
          <w:t> </w:t>
        </w:r>
        <w:r>
          <w:rPr>
            <w:color w:val="0000FF"/>
            <w:u w:val="single" w:color="0000FF"/>
          </w:rPr>
          <w:t>of</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Company</w:t>
        </w:r>
        <w:r>
          <w:rPr>
            <w:color w:val="0000FF"/>
            <w:spacing w:val="-15"/>
            <w:u w:val="single" w:color="0000FF"/>
          </w:rPr>
          <w:t> </w:t>
        </w:r>
        <w:r>
          <w:rPr>
            <w:color w:val="0000FF"/>
            <w:u w:val="single" w:color="0000FF"/>
          </w:rPr>
          <w:t>’s</w:t>
        </w:r>
        <w:r>
          <w:rPr>
            <w:color w:val="0000FF"/>
            <w:spacing w:val="-2"/>
            <w:u w:val="single" w:color="0000FF"/>
          </w:rPr>
          <w:t> </w:t>
        </w:r>
        <w:r>
          <w:rPr>
            <w:color w:val="0000FF"/>
            <w:u w:val="single" w:color="0000FF"/>
          </w:rPr>
          <w:t>Current</w:t>
        </w:r>
        <w:r>
          <w:rPr>
            <w:color w:val="0000FF"/>
            <w:spacing w:val="-2"/>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8-K</w:t>
        </w:r>
        <w:r>
          <w:rPr>
            <w:color w:val="0000FF"/>
            <w:spacing w:val="-2"/>
            <w:u w:val="single" w:color="0000FF"/>
          </w:rPr>
          <w:t> </w:t>
        </w:r>
        <w:r>
          <w:rPr>
            <w:color w:val="0000FF"/>
            <w:u w:val="single" w:color="0000FF"/>
          </w:rPr>
          <w:t>filed</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November</w:t>
        </w:r>
        <w:r>
          <w:rPr>
            <w:color w:val="0000FF"/>
            <w:spacing w:val="-2"/>
            <w:u w:val="single" w:color="0000FF"/>
          </w:rPr>
          <w:t> </w:t>
        </w:r>
        <w:r>
          <w:rPr>
            <w:color w:val="0000FF"/>
            <w:u w:val="single" w:color="0000FF"/>
          </w:rPr>
          <w:t>18,</w:t>
        </w:r>
        <w:r>
          <w:rPr>
            <w:color w:val="0000FF"/>
            <w:spacing w:val="-2"/>
            <w:u w:val="single" w:color="0000FF"/>
          </w:rPr>
          <w:t> </w:t>
        </w:r>
        <w:r>
          <w:rPr>
            <w:color w:val="0000FF"/>
            <w:u w:val="single" w:color="0000FF"/>
          </w:rPr>
          <w:t>2019).</w:t>
        </w:r>
      </w:hyperlink>
    </w:p>
    <w:p>
      <w:pPr>
        <w:pStyle w:val="BodyText"/>
        <w:tabs>
          <w:tab w:pos="1433" w:val="left" w:leader="none"/>
        </w:tabs>
        <w:spacing w:line="204" w:lineRule="auto" w:before="60"/>
        <w:ind w:left="1433" w:right="136" w:hanging="1271"/>
        <w:jc w:val="both"/>
      </w:pPr>
      <w:r>
        <w:rPr>
          <w:spacing w:val="-2"/>
        </w:rPr>
        <w:t>10.3(10)</w:t>
      </w:r>
      <w:r>
        <w:rPr/>
        <w:tab/>
      </w:r>
      <w:hyperlink r:id="rId55">
        <w:r>
          <w:rPr>
            <w:color w:val="0000FF"/>
            <w:position w:val="1"/>
            <w:u w:val="single" w:color="0000FF"/>
          </w:rPr>
          <w:t>Tax Protection</w:t>
        </w:r>
        <w:r>
          <w:rPr>
            <w:color w:val="0000FF"/>
            <w:spacing w:val="-8"/>
            <w:position w:val="1"/>
            <w:u w:val="single" w:color="0000FF"/>
          </w:rPr>
          <w:t> </w:t>
        </w:r>
        <w:r>
          <w:rPr>
            <w:color w:val="0000FF"/>
            <w:position w:val="1"/>
            <w:u w:val="single" w:color="0000FF"/>
          </w:rPr>
          <w:t>Agreement, by</w:t>
        </w:r>
        <w:r>
          <w:rPr>
            <w:color w:val="0000FF"/>
            <w:spacing w:val="29"/>
            <w:position w:val="1"/>
            <w:u w:val="single" w:color="0000FF"/>
          </w:rPr>
          <w:t> </w:t>
        </w:r>
        <w:r>
          <w:rPr>
            <w:color w:val="0000FF"/>
            <w:position w:val="1"/>
            <w:u w:val="single" w:color="0000FF"/>
          </w:rPr>
          <w:t>and among</w:t>
        </w:r>
        <w:r>
          <w:rPr>
            <w:color w:val="0000FF"/>
            <w:spacing w:val="-8"/>
            <w:position w:val="1"/>
            <w:u w:val="single" w:color="0000FF"/>
          </w:rPr>
          <w:t> </w:t>
        </w:r>
        <w:r>
          <w:rPr>
            <w:color w:val="0000FF"/>
            <w:position w:val="1"/>
            <w:u w:val="single" w:color="0000FF"/>
          </w:rPr>
          <w:t>MGM Resorts International, MGM Growth Properties Operating</w:t>
        </w:r>
        <w:r>
          <w:rPr>
            <w:color w:val="0000FF"/>
            <w:spacing w:val="-8"/>
            <w:position w:val="1"/>
            <w:u w:val="single" w:color="0000FF"/>
          </w:rPr>
          <w:t> </w:t>
        </w:r>
        <w:r>
          <w:rPr>
            <w:color w:val="0000FF"/>
            <w:position w:val="1"/>
            <w:u w:val="single" w:color="0000FF"/>
          </w:rPr>
          <w:t>Partnership LP</w:t>
        </w:r>
        <w:r>
          <w:rPr>
            <w:color w:val="0000FF"/>
            <w:spacing w:val="-5"/>
            <w:position w:val="1"/>
            <w:u w:val="single" w:color="0000FF"/>
          </w:rPr>
          <w:t> </w:t>
        </w:r>
        <w:r>
          <w:rPr>
            <w:color w:val="0000FF"/>
            <w:position w:val="1"/>
            <w:u w:val="single" w:color="0000FF"/>
          </w:rPr>
          <w:t>and MGP</w:t>
        </w:r>
        <w:r>
          <w:rPr>
            <w:color w:val="0000FF"/>
            <w:spacing w:val="-5"/>
            <w:position w:val="1"/>
            <w:u w:val="single" w:color="0000FF"/>
          </w:rPr>
          <w:t> </w:t>
        </w:r>
        <w:r>
          <w:rPr>
            <w:color w:val="0000FF"/>
            <w:position w:val="1"/>
            <w:u w:val="single" w:color="0000FF"/>
          </w:rPr>
          <w:t>BREIT</w:t>
        </w:r>
        <w:r>
          <w:rPr>
            <w:color w:val="0000FF"/>
            <w:position w:val="1"/>
          </w:rPr>
          <w:t> </w:t>
        </w:r>
        <w:r>
          <w:rPr>
            <w:color w:val="0000FF"/>
            <w:u w:val="single" w:color="0000FF"/>
          </w:rPr>
          <w:t>Venture</w:t>
        </w:r>
        <w:r>
          <w:rPr>
            <w:color w:val="0000FF"/>
            <w:spacing w:val="-12"/>
            <w:u w:val="single" w:color="0000FF"/>
          </w:rPr>
          <w:t> </w:t>
        </w:r>
        <w:r>
          <w:rPr>
            <w:color w:val="0000FF"/>
            <w:u w:val="single" w:color="0000FF"/>
          </w:rPr>
          <w:t>1</w:t>
        </w:r>
        <w:r>
          <w:rPr>
            <w:color w:val="0000FF"/>
            <w:spacing w:val="-6"/>
            <w:u w:val="single" w:color="0000FF"/>
          </w:rPr>
          <w:t> </w:t>
        </w:r>
        <w:r>
          <w:rPr>
            <w:color w:val="0000FF"/>
            <w:u w:val="single" w:color="0000FF"/>
          </w:rPr>
          <w:t>LLC,</w:t>
        </w:r>
        <w:r>
          <w:rPr>
            <w:color w:val="0000FF"/>
            <w:spacing w:val="-6"/>
            <w:u w:val="single" w:color="0000FF"/>
          </w:rPr>
          <w:t> </w:t>
        </w:r>
        <w:r>
          <w:rPr>
            <w:color w:val="0000FF"/>
            <w:u w:val="single" w:color="0000FF"/>
          </w:rPr>
          <w:t>dated</w:t>
        </w:r>
        <w:r>
          <w:rPr>
            <w:color w:val="0000FF"/>
            <w:spacing w:val="-6"/>
            <w:u w:val="single" w:color="0000FF"/>
          </w:rPr>
          <w:t> </w:t>
        </w:r>
        <w:r>
          <w:rPr>
            <w:color w:val="0000FF"/>
            <w:u w:val="single" w:color="0000FF"/>
          </w:rPr>
          <w:t>as</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February</w:t>
        </w:r>
        <w:r>
          <w:rPr>
            <w:color w:val="0000FF"/>
            <w:spacing w:val="21"/>
            <w:u w:val="single" w:color="0000FF"/>
          </w:rPr>
          <w:t> </w:t>
        </w:r>
        <w:r>
          <w:rPr>
            <w:color w:val="0000FF"/>
            <w:u w:val="single" w:color="0000FF"/>
          </w:rPr>
          <w:t>14,</w:t>
        </w:r>
        <w:r>
          <w:rPr>
            <w:color w:val="0000FF"/>
            <w:spacing w:val="-6"/>
            <w:u w:val="single" w:color="0000FF"/>
          </w:rPr>
          <w:t> </w:t>
        </w:r>
        <w:r>
          <w:rPr>
            <w:color w:val="0000FF"/>
            <w:u w:val="single" w:color="0000FF"/>
          </w:rPr>
          <w:t>2020</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10.3</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2"/>
            <w:u w:val="single" w:color="0000FF"/>
          </w:rPr>
          <w:t> </w:t>
        </w:r>
        <w:r>
          <w:rPr>
            <w:color w:val="0000FF"/>
            <w:u w:val="single" w:color="0000FF"/>
          </w:rPr>
          <w:t>'s</w:t>
        </w:r>
        <w:r>
          <w:rPr>
            <w:color w:val="0000FF"/>
            <w:spacing w:val="-5"/>
            <w:u w:val="single" w:color="0000FF"/>
          </w:rPr>
          <w:t> </w:t>
        </w:r>
        <w:r>
          <w:rPr>
            <w:color w:val="0000FF"/>
            <w:u w:val="single" w:color="0000FF"/>
          </w:rPr>
          <w:t>Current</w:t>
        </w:r>
        <w:r>
          <w:rPr>
            <w:color w:val="0000FF"/>
            <w:spacing w:val="-6"/>
            <w:u w:val="single" w:color="0000FF"/>
          </w:rPr>
          <w:t> </w:t>
        </w:r>
        <w:r>
          <w:rPr>
            <w:color w:val="0000FF"/>
            <w:u w:val="single" w:color="0000FF"/>
          </w:rPr>
          <w:t>Report</w:t>
        </w:r>
        <w:r>
          <w:rPr>
            <w:color w:val="0000FF"/>
            <w:spacing w:val="-6"/>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8-K</w:t>
        </w:r>
        <w:r>
          <w:rPr>
            <w:color w:val="0000FF"/>
            <w:spacing w:val="-6"/>
            <w:u w:val="single" w:color="0000FF"/>
          </w:rPr>
          <w:t> </w:t>
        </w:r>
        <w:r>
          <w:rPr>
            <w:color w:val="0000FF"/>
            <w:u w:val="single" w:color="0000FF"/>
          </w:rPr>
          <w:t>filed</w:t>
        </w:r>
      </w:hyperlink>
      <w:r>
        <w:rPr>
          <w:color w:val="0000FF"/>
        </w:rPr>
        <w:t> </w:t>
      </w:r>
      <w:hyperlink r:id="rId55">
        <w:r>
          <w:rPr>
            <w:color w:val="0000FF"/>
            <w:u w:val="single" w:color="0000FF"/>
          </w:rPr>
          <w:t>on February</w:t>
        </w:r>
        <w:r>
          <w:rPr>
            <w:color w:val="0000FF"/>
            <w:spacing w:val="40"/>
            <w:u w:val="single" w:color="0000FF"/>
          </w:rPr>
          <w:t> </w:t>
        </w:r>
        <w:r>
          <w:rPr>
            <w:color w:val="0000FF"/>
            <w:u w:val="single" w:color="0000FF"/>
          </w:rPr>
          <w:t>18, 2020).</w:t>
        </w:r>
      </w:hyperlink>
    </w:p>
    <w:p>
      <w:pPr>
        <w:pStyle w:val="BodyText"/>
        <w:tabs>
          <w:tab w:pos="1433" w:val="left" w:leader="none"/>
        </w:tabs>
        <w:spacing w:line="204" w:lineRule="auto" w:before="56"/>
        <w:ind w:left="1433" w:right="136" w:hanging="1271"/>
        <w:jc w:val="both"/>
      </w:pPr>
      <w:r>
        <w:rPr>
          <w:spacing w:val="-2"/>
        </w:rPr>
        <w:t>10.3(11)</w:t>
      </w:r>
      <w:r>
        <w:rPr/>
        <w:tab/>
      </w:r>
      <w:hyperlink r:id="rId56">
        <w:r>
          <w:rPr>
            <w:color w:val="0000FF"/>
            <w:position w:val="1"/>
            <w:u w:val="single" w:color="0000FF"/>
          </w:rPr>
          <w:t>Tax Protection</w:t>
        </w:r>
        <w:r>
          <w:rPr>
            <w:color w:val="0000FF"/>
            <w:spacing w:val="-4"/>
            <w:position w:val="1"/>
            <w:u w:val="single" w:color="0000FF"/>
          </w:rPr>
          <w:t> </w:t>
        </w:r>
        <w:r>
          <w:rPr>
            <w:color w:val="0000FF"/>
            <w:position w:val="1"/>
            <w:u w:val="single" w:color="0000FF"/>
          </w:rPr>
          <w:t>Agreement, by</w:t>
        </w:r>
        <w:r>
          <w:rPr>
            <w:color w:val="0000FF"/>
            <w:spacing w:val="33"/>
            <w:position w:val="1"/>
            <w:u w:val="single" w:color="0000FF"/>
          </w:rPr>
          <w:t> </w:t>
        </w:r>
        <w:r>
          <w:rPr>
            <w:color w:val="0000FF"/>
            <w:position w:val="1"/>
            <w:u w:val="single" w:color="0000FF"/>
          </w:rPr>
          <w:t>and among</w:t>
        </w:r>
        <w:r>
          <w:rPr>
            <w:color w:val="0000FF"/>
            <w:spacing w:val="-7"/>
            <w:position w:val="1"/>
            <w:u w:val="single" w:color="0000FF"/>
          </w:rPr>
          <w:t> </w:t>
        </w:r>
        <w:r>
          <w:rPr>
            <w:color w:val="0000FF"/>
            <w:position w:val="1"/>
            <w:u w:val="single" w:color="0000FF"/>
          </w:rPr>
          <w:t>VICI Properties, Inc., VICI Properties OP</w:t>
        </w:r>
        <w:r>
          <w:rPr>
            <w:color w:val="0000FF"/>
            <w:spacing w:val="-1"/>
            <w:position w:val="1"/>
            <w:u w:val="single" w:color="0000FF"/>
          </w:rPr>
          <w:t> </w:t>
        </w:r>
        <w:r>
          <w:rPr>
            <w:color w:val="0000FF"/>
            <w:position w:val="1"/>
            <w:u w:val="single" w:color="0000FF"/>
          </w:rPr>
          <w:t>LLC, MGM Resorts International and the other parties</w:t>
        </w:r>
      </w:hyperlink>
      <w:r>
        <w:rPr>
          <w:color w:val="0000FF"/>
          <w:position w:val="1"/>
        </w:rPr>
        <w:t> </w:t>
      </w:r>
      <w:hyperlink r:id="rId56">
        <w:r>
          <w:rPr>
            <w:color w:val="0000FF"/>
            <w:u w:val="single" w:color="0000FF"/>
          </w:rPr>
          <w:t>thereto, dated as of</w:t>
        </w:r>
        <w:r>
          <w:rPr>
            <w:color w:val="0000FF"/>
            <w:spacing w:val="-6"/>
            <w:u w:val="single" w:color="0000FF"/>
          </w:rPr>
          <w:t> </w:t>
        </w:r>
        <w:r>
          <w:rPr>
            <w:color w:val="0000FF"/>
            <w:u w:val="single" w:color="0000FF"/>
          </w:rPr>
          <w:t>April 29, 2022 (incorporated by</w:t>
        </w:r>
        <w:r>
          <w:rPr>
            <w:color w:val="0000FF"/>
            <w:spacing w:val="39"/>
            <w:u w:val="single" w:color="0000FF"/>
          </w:rPr>
          <w:t> </w:t>
        </w:r>
        <w:r>
          <w:rPr>
            <w:color w:val="0000FF"/>
            <w:u w:val="single" w:color="0000FF"/>
          </w:rPr>
          <w:t>reference to Exhibit 10.2 of the Current Report on Form 8-K filed on</w:t>
        </w:r>
        <w:r>
          <w:rPr>
            <w:color w:val="0000FF"/>
            <w:spacing w:val="-6"/>
            <w:u w:val="single" w:color="0000FF"/>
          </w:rPr>
          <w:t> </w:t>
        </w:r>
        <w:r>
          <w:rPr>
            <w:color w:val="0000FF"/>
            <w:u w:val="single" w:color="0000FF"/>
          </w:rPr>
          <w:t>April 29, 2022).</w:t>
        </w:r>
      </w:hyperlink>
    </w:p>
    <w:p>
      <w:pPr>
        <w:pStyle w:val="BodyText"/>
        <w:tabs>
          <w:tab w:pos="1433" w:val="left" w:leader="none"/>
        </w:tabs>
        <w:spacing w:line="187" w:lineRule="auto" w:before="69"/>
        <w:ind w:left="1433" w:right="136" w:hanging="1271"/>
        <w:jc w:val="both"/>
      </w:pPr>
      <w:r>
        <w:rPr>
          <w:spacing w:val="-2"/>
        </w:rPr>
        <w:t>*10.4(1)</w:t>
      </w:r>
      <w:r>
        <w:rPr/>
        <w:tab/>
      </w:r>
      <w:hyperlink r:id="rId57">
        <w:r>
          <w:rPr>
            <w:color w:val="0000FF"/>
            <w:position w:val="1"/>
            <w:u w:val="single" w:color="0000FF"/>
          </w:rPr>
          <w:t>Amended</w:t>
        </w:r>
        <w:r>
          <w:rPr>
            <w:color w:val="0000FF"/>
            <w:spacing w:val="-4"/>
            <w:position w:val="1"/>
            <w:u w:val="single" w:color="0000FF"/>
          </w:rPr>
          <w:t> </w:t>
        </w:r>
        <w:r>
          <w:rPr>
            <w:color w:val="0000FF"/>
            <w:position w:val="1"/>
            <w:u w:val="single" w:color="0000FF"/>
          </w:rPr>
          <w:t>and Restated 2005 Omnibus Incentive Plan (incorporated by</w:t>
        </w:r>
        <w:r>
          <w:rPr>
            <w:color w:val="0000FF"/>
            <w:spacing w:val="30"/>
            <w:position w:val="1"/>
            <w:u w:val="single" w:color="0000FF"/>
          </w:rPr>
          <w:t> </w:t>
        </w:r>
        <w:r>
          <w:rPr>
            <w:color w:val="0000FF"/>
            <w:position w:val="1"/>
            <w:u w:val="single" w:color="0000FF"/>
          </w:rPr>
          <w:t>reference to Exhibit 10.1 of the Company</w:t>
        </w:r>
        <w:r>
          <w:rPr>
            <w:color w:val="0000FF"/>
            <w:spacing w:val="-12"/>
            <w:position w:val="1"/>
            <w:u w:val="single" w:color="0000FF"/>
          </w:rPr>
          <w:t> </w:t>
        </w:r>
        <w:r>
          <w:rPr>
            <w:color w:val="0000FF"/>
            <w:position w:val="1"/>
            <w:u w:val="single" w:color="0000FF"/>
          </w:rPr>
          <w:t>’s Current Report on Form</w:t>
        </w:r>
      </w:hyperlink>
      <w:r>
        <w:rPr>
          <w:color w:val="0000FF"/>
          <w:position w:val="1"/>
        </w:rPr>
        <w:t> </w:t>
      </w:r>
      <w:hyperlink r:id="rId57">
        <w:r>
          <w:rPr>
            <w:color w:val="0000FF"/>
            <w:u w:val="single" w:color="0000FF"/>
          </w:rPr>
          <w:t>8-K filed on June 10, 2014).</w:t>
        </w:r>
      </w:hyperlink>
    </w:p>
    <w:p>
      <w:pPr>
        <w:pStyle w:val="BodyText"/>
        <w:tabs>
          <w:tab w:pos="1433" w:val="left" w:leader="none"/>
        </w:tabs>
        <w:spacing w:line="187" w:lineRule="auto" w:before="85"/>
        <w:ind w:left="1433" w:right="137" w:hanging="1271"/>
      </w:pPr>
      <w:r>
        <w:rPr>
          <w:spacing w:val="-2"/>
        </w:rPr>
        <w:t>*10.4(2)</w:t>
      </w:r>
      <w:r>
        <w:rPr/>
        <w:tab/>
      </w:r>
      <w:hyperlink r:id="rId58">
        <w:r>
          <w:rPr>
            <w:color w:val="0000FF"/>
            <w:position w:val="1"/>
            <w:u w:val="single" w:color="0000FF"/>
          </w:rPr>
          <w:t>MGM</w:t>
        </w:r>
        <w:r>
          <w:rPr>
            <w:color w:val="0000FF"/>
            <w:spacing w:val="16"/>
            <w:position w:val="1"/>
            <w:u w:val="single" w:color="0000FF"/>
          </w:rPr>
          <w:t> </w:t>
        </w:r>
        <w:r>
          <w:rPr>
            <w:color w:val="0000FF"/>
            <w:position w:val="1"/>
            <w:u w:val="single" w:color="0000FF"/>
          </w:rPr>
          <w:t>Resorts</w:t>
        </w:r>
        <w:r>
          <w:rPr>
            <w:color w:val="0000FF"/>
            <w:spacing w:val="16"/>
            <w:position w:val="1"/>
            <w:u w:val="single" w:color="0000FF"/>
          </w:rPr>
          <w:t> </w:t>
        </w:r>
        <w:r>
          <w:rPr>
            <w:color w:val="0000FF"/>
            <w:position w:val="1"/>
            <w:u w:val="single" w:color="0000FF"/>
          </w:rPr>
          <w:t>International</w:t>
        </w:r>
        <w:r>
          <w:rPr>
            <w:color w:val="0000FF"/>
            <w:spacing w:val="16"/>
            <w:position w:val="1"/>
            <w:u w:val="single" w:color="0000FF"/>
          </w:rPr>
          <w:t> </w:t>
        </w:r>
        <w:r>
          <w:rPr>
            <w:color w:val="0000FF"/>
            <w:position w:val="1"/>
            <w:u w:val="single" w:color="0000FF"/>
          </w:rPr>
          <w:t>2022</w:t>
        </w:r>
        <w:r>
          <w:rPr>
            <w:color w:val="0000FF"/>
            <w:spacing w:val="16"/>
            <w:position w:val="1"/>
            <w:u w:val="single" w:color="0000FF"/>
          </w:rPr>
          <w:t> </w:t>
        </w:r>
        <w:r>
          <w:rPr>
            <w:color w:val="0000FF"/>
            <w:position w:val="1"/>
            <w:u w:val="single" w:color="0000FF"/>
          </w:rPr>
          <w:t>Omnibus</w:t>
        </w:r>
        <w:r>
          <w:rPr>
            <w:color w:val="0000FF"/>
            <w:spacing w:val="16"/>
            <w:position w:val="1"/>
            <w:u w:val="single" w:color="0000FF"/>
          </w:rPr>
          <w:t> </w:t>
        </w:r>
        <w:r>
          <w:rPr>
            <w:color w:val="0000FF"/>
            <w:position w:val="1"/>
            <w:u w:val="single" w:color="0000FF"/>
          </w:rPr>
          <w:t>Incentive</w:t>
        </w:r>
        <w:r>
          <w:rPr>
            <w:color w:val="0000FF"/>
            <w:spacing w:val="16"/>
            <w:position w:val="1"/>
            <w:u w:val="single" w:color="0000FF"/>
          </w:rPr>
          <w:t> </w:t>
        </w:r>
        <w:r>
          <w:rPr>
            <w:color w:val="0000FF"/>
            <w:position w:val="1"/>
            <w:u w:val="single" w:color="0000FF"/>
          </w:rPr>
          <w:t>Plan</w:t>
        </w:r>
        <w:r>
          <w:rPr>
            <w:color w:val="0000FF"/>
            <w:spacing w:val="16"/>
            <w:position w:val="1"/>
            <w:u w:val="single" w:color="0000FF"/>
          </w:rPr>
          <w:t> </w:t>
        </w:r>
        <w:r>
          <w:rPr>
            <w:color w:val="0000FF"/>
            <w:position w:val="1"/>
            <w:u w:val="single" w:color="0000FF"/>
          </w:rPr>
          <w:t>(incorporated</w:t>
        </w:r>
        <w:r>
          <w:rPr>
            <w:color w:val="0000FF"/>
            <w:spacing w:val="16"/>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reference</w:t>
        </w:r>
        <w:r>
          <w:rPr>
            <w:color w:val="0000FF"/>
            <w:spacing w:val="16"/>
            <w:position w:val="1"/>
            <w:u w:val="single" w:color="0000FF"/>
          </w:rPr>
          <w:t> </w:t>
        </w:r>
        <w:r>
          <w:rPr>
            <w:color w:val="0000FF"/>
            <w:position w:val="1"/>
            <w:u w:val="single" w:color="0000FF"/>
          </w:rPr>
          <w:t>to</w:t>
        </w:r>
        <w:r>
          <w:rPr>
            <w:color w:val="0000FF"/>
            <w:spacing w:val="16"/>
            <w:position w:val="1"/>
            <w:u w:val="single" w:color="0000FF"/>
          </w:rPr>
          <w:t> </w:t>
        </w:r>
        <w:r>
          <w:rPr>
            <w:color w:val="0000FF"/>
            <w:position w:val="1"/>
            <w:u w:val="single" w:color="0000FF"/>
          </w:rPr>
          <w:t>Exhibit</w:t>
        </w:r>
        <w:r>
          <w:rPr>
            <w:color w:val="0000FF"/>
            <w:spacing w:val="16"/>
            <w:position w:val="1"/>
            <w:u w:val="single" w:color="0000FF"/>
          </w:rPr>
          <w:t> </w:t>
        </w:r>
        <w:r>
          <w:rPr>
            <w:color w:val="0000FF"/>
            <w:position w:val="1"/>
            <w:u w:val="single" w:color="0000FF"/>
          </w:rPr>
          <w:t>10.1</w:t>
        </w:r>
        <w:r>
          <w:rPr>
            <w:color w:val="0000FF"/>
            <w:spacing w:val="16"/>
            <w:position w:val="1"/>
            <w:u w:val="single" w:color="0000FF"/>
          </w:rPr>
          <w:t> </w:t>
        </w:r>
        <w:r>
          <w:rPr>
            <w:color w:val="0000FF"/>
            <w:position w:val="1"/>
            <w:u w:val="single" w:color="0000FF"/>
          </w:rPr>
          <w:t>of</w:t>
        </w:r>
        <w:r>
          <w:rPr>
            <w:color w:val="0000FF"/>
            <w:spacing w:val="16"/>
            <w:position w:val="1"/>
            <w:u w:val="single" w:color="0000FF"/>
          </w:rPr>
          <w:t> </w:t>
        </w:r>
        <w:r>
          <w:rPr>
            <w:color w:val="0000FF"/>
            <w:position w:val="1"/>
            <w:u w:val="single" w:color="0000FF"/>
          </w:rPr>
          <w:t>the</w:t>
        </w:r>
        <w:r>
          <w:rPr>
            <w:color w:val="0000FF"/>
            <w:spacing w:val="16"/>
            <w:position w:val="1"/>
            <w:u w:val="single" w:color="0000FF"/>
          </w:rPr>
          <w:t> </w:t>
        </w:r>
        <w:r>
          <w:rPr>
            <w:color w:val="0000FF"/>
            <w:position w:val="1"/>
            <w:u w:val="single" w:color="0000FF"/>
          </w:rPr>
          <w:t>Current</w:t>
        </w:r>
        <w:r>
          <w:rPr>
            <w:color w:val="0000FF"/>
            <w:spacing w:val="16"/>
            <w:position w:val="1"/>
            <w:u w:val="single" w:color="0000FF"/>
          </w:rPr>
          <w:t> </w:t>
        </w:r>
        <w:r>
          <w:rPr>
            <w:color w:val="0000FF"/>
            <w:position w:val="1"/>
            <w:u w:val="single" w:color="0000FF"/>
          </w:rPr>
          <w:t>Report</w:t>
        </w:r>
        <w:r>
          <w:rPr>
            <w:color w:val="0000FF"/>
            <w:spacing w:val="16"/>
            <w:position w:val="1"/>
            <w:u w:val="single" w:color="0000FF"/>
          </w:rPr>
          <w:t> </w:t>
        </w:r>
        <w:r>
          <w:rPr>
            <w:color w:val="0000FF"/>
            <w:position w:val="1"/>
            <w:u w:val="single" w:color="0000FF"/>
          </w:rPr>
          <w:t>on</w:t>
        </w:r>
        <w:r>
          <w:rPr>
            <w:color w:val="0000FF"/>
            <w:spacing w:val="16"/>
            <w:position w:val="1"/>
            <w:u w:val="single" w:color="0000FF"/>
          </w:rPr>
          <w:t> </w:t>
        </w:r>
        <w:r>
          <w:rPr>
            <w:color w:val="0000FF"/>
            <w:position w:val="1"/>
            <w:u w:val="single" w:color="0000FF"/>
          </w:rPr>
          <w:t>Form</w:t>
        </w:r>
        <w:r>
          <w:rPr>
            <w:color w:val="0000FF"/>
            <w:spacing w:val="16"/>
            <w:position w:val="1"/>
            <w:u w:val="single" w:color="0000FF"/>
          </w:rPr>
          <w:t> </w:t>
        </w:r>
        <w:r>
          <w:rPr>
            <w:color w:val="0000FF"/>
            <w:position w:val="1"/>
            <w:u w:val="single" w:color="0000FF"/>
          </w:rPr>
          <w:t>8-K</w:t>
        </w:r>
      </w:hyperlink>
      <w:r>
        <w:rPr>
          <w:color w:val="0000FF"/>
          <w:position w:val="1"/>
        </w:rPr>
        <w:t> </w:t>
      </w:r>
      <w:hyperlink r:id="rId58">
        <w:r>
          <w:rPr>
            <w:color w:val="0000FF"/>
            <w:u w:val="single" w:color="0000FF"/>
          </w:rPr>
          <w:t>filed on May</w:t>
        </w:r>
        <w:r>
          <w:rPr>
            <w:color w:val="0000FF"/>
            <w:spacing w:val="40"/>
            <w:u w:val="single" w:color="0000FF"/>
          </w:rPr>
          <w:t> </w:t>
        </w:r>
        <w:r>
          <w:rPr>
            <w:color w:val="0000FF"/>
            <w:u w:val="single" w:color="0000FF"/>
          </w:rPr>
          <w:t>9, 2022)</w:t>
        </w:r>
      </w:hyperlink>
      <w:r>
        <w:rPr>
          <w:color w:val="0000FF"/>
          <w:u w:val="single" w:color="0000FF"/>
        </w:rPr>
        <w:t>.</w:t>
      </w:r>
    </w:p>
    <w:p>
      <w:pPr>
        <w:pStyle w:val="BodyText"/>
        <w:tabs>
          <w:tab w:pos="1433" w:val="left" w:leader="none"/>
        </w:tabs>
        <w:spacing w:line="204" w:lineRule="auto" w:before="61"/>
        <w:ind w:left="1433" w:right="137" w:hanging="1271"/>
      </w:pPr>
      <w:r>
        <w:rPr>
          <w:spacing w:val="-2"/>
        </w:rPr>
        <w:t>*10.4(3)</w:t>
      </w:r>
      <w:r>
        <w:rPr/>
        <w:tab/>
      </w:r>
      <w:hyperlink r:id="rId59">
        <w:r>
          <w:rPr>
            <w:color w:val="0000FF"/>
            <w:position w:val="1"/>
            <w:u w:val="single" w:color="0000FF"/>
          </w:rPr>
          <w:t>Second</w:t>
        </w:r>
        <w:r>
          <w:rPr>
            <w:color w:val="0000FF"/>
            <w:spacing w:val="-8"/>
            <w:position w:val="1"/>
            <w:u w:val="single" w:color="0000FF"/>
          </w:rPr>
          <w:t> </w:t>
        </w:r>
        <w:r>
          <w:rPr>
            <w:color w:val="0000FF"/>
            <w:position w:val="1"/>
            <w:u w:val="single" w:color="0000FF"/>
          </w:rPr>
          <w:t>Amended and Restated</w:t>
        </w:r>
        <w:r>
          <w:rPr>
            <w:color w:val="0000FF"/>
            <w:spacing w:val="-8"/>
            <w:position w:val="1"/>
            <w:u w:val="single" w:color="0000FF"/>
          </w:rPr>
          <w:t> </w:t>
        </w:r>
        <w:r>
          <w:rPr>
            <w:color w:val="0000FF"/>
            <w:position w:val="1"/>
            <w:u w:val="single" w:color="0000FF"/>
          </w:rPr>
          <w:t>Annual Performance-Based Incentive Plan for Executive Officers (incorporated by</w:t>
        </w:r>
        <w:r>
          <w:rPr>
            <w:color w:val="0000FF"/>
            <w:spacing w:val="26"/>
            <w:position w:val="1"/>
            <w:u w:val="single" w:color="0000FF"/>
          </w:rPr>
          <w:t> </w:t>
        </w:r>
        <w:r>
          <w:rPr>
            <w:color w:val="0000FF"/>
            <w:position w:val="1"/>
            <w:u w:val="single" w:color="0000FF"/>
          </w:rPr>
          <w:t>reference to</w:t>
        </w:r>
        <w:r>
          <w:rPr>
            <w:color w:val="0000FF"/>
            <w:spacing w:val="-8"/>
            <w:position w:val="1"/>
            <w:u w:val="single" w:color="0000FF"/>
          </w:rPr>
          <w:t> </w:t>
        </w:r>
        <w:r>
          <w:rPr>
            <w:color w:val="0000FF"/>
            <w:position w:val="1"/>
            <w:u w:val="single" w:color="0000FF"/>
          </w:rPr>
          <w:t>A</w:t>
        </w:r>
        <w:r>
          <w:rPr>
            <w:color w:val="0000FF"/>
            <w:position w:val="1"/>
          </w:rPr>
          <w:t>p</w:t>
        </w:r>
        <w:r>
          <w:rPr>
            <w:color w:val="0000FF"/>
            <w:spacing w:val="-9"/>
            <w:position w:val="1"/>
            <w:u w:val="single" w:color="0000FF"/>
          </w:rPr>
          <w:t> </w:t>
        </w:r>
        <w:r>
          <w:rPr>
            <w:color w:val="0000FF"/>
            <w:position w:val="1"/>
          </w:rPr>
          <w:t>p</w:t>
        </w:r>
        <w:r>
          <w:rPr>
            <w:color w:val="0000FF"/>
            <w:spacing w:val="-9"/>
            <w:position w:val="1"/>
            <w:u w:val="single" w:color="0000FF"/>
          </w:rPr>
          <w:t> </w:t>
        </w:r>
        <w:r>
          <w:rPr>
            <w:color w:val="0000FF"/>
            <w:position w:val="1"/>
            <w:u w:val="single" w:color="0000FF"/>
          </w:rPr>
          <w:t>endix</w:t>
        </w:r>
        <w:r>
          <w:rPr>
            <w:color w:val="0000FF"/>
            <w:spacing w:val="-8"/>
            <w:position w:val="1"/>
            <w:u w:val="single" w:color="0000FF"/>
          </w:rPr>
          <w:t> </w:t>
        </w:r>
        <w:r>
          <w:rPr>
            <w:color w:val="0000FF"/>
            <w:position w:val="1"/>
            <w:u w:val="single" w:color="0000FF"/>
          </w:rPr>
          <w:t>A</w:t>
        </w:r>
      </w:hyperlink>
      <w:r>
        <w:rPr>
          <w:color w:val="0000FF"/>
          <w:position w:val="1"/>
        </w:rPr>
        <w:t> </w:t>
      </w:r>
      <w:hyperlink r:id="rId59">
        <w:r>
          <w:rPr>
            <w:color w:val="0000FF"/>
            <w:u w:val="single" w:color="0000FF"/>
          </w:rPr>
          <w:t>of the Company</w:t>
        </w:r>
        <w:r>
          <w:rPr>
            <w:color w:val="0000FF"/>
            <w:spacing w:val="-10"/>
            <w:u w:val="single" w:color="0000FF"/>
          </w:rPr>
          <w:t> </w:t>
        </w:r>
        <w:r>
          <w:rPr>
            <w:color w:val="0000FF"/>
            <w:u w:val="single" w:color="0000FF"/>
          </w:rPr>
          <w:t>’s Proxy</w:t>
        </w:r>
        <w:r>
          <w:rPr>
            <w:color w:val="0000FF"/>
            <w:spacing w:val="40"/>
            <w:u w:val="single" w:color="0000FF"/>
          </w:rPr>
          <w:t> </w:t>
        </w:r>
        <w:r>
          <w:rPr>
            <w:color w:val="0000FF"/>
            <w:u w:val="single" w:color="0000FF"/>
          </w:rPr>
          <w:t>Statement filed on</w:t>
        </w:r>
        <w:r>
          <w:rPr>
            <w:color w:val="0000FF"/>
            <w:spacing w:val="-4"/>
            <w:u w:val="single" w:color="0000FF"/>
          </w:rPr>
          <w:t> </w:t>
        </w:r>
        <w:r>
          <w:rPr>
            <w:color w:val="0000FF"/>
            <w:u w:val="single" w:color="0000FF"/>
          </w:rPr>
          <w:t>April 20, 2016).</w:t>
        </w:r>
      </w:hyperlink>
    </w:p>
    <w:p>
      <w:pPr>
        <w:pStyle w:val="BodyText"/>
        <w:tabs>
          <w:tab w:pos="1433" w:val="left" w:leader="none"/>
        </w:tabs>
        <w:spacing w:line="187" w:lineRule="auto" w:before="68"/>
        <w:ind w:left="1433" w:right="137" w:hanging="1271"/>
      </w:pPr>
      <w:r>
        <w:rPr>
          <w:spacing w:val="-2"/>
        </w:rPr>
        <w:t>*10.4(4)</w:t>
      </w:r>
      <w:r>
        <w:rPr/>
        <w:tab/>
      </w:r>
      <w:hyperlink r:id="rId60">
        <w:r>
          <w:rPr>
            <w:color w:val="0000FF"/>
            <w:position w:val="1"/>
            <w:u w:val="single" w:color="0000FF"/>
          </w:rPr>
          <w:t>Deferred Compensation Plan II, as</w:t>
        </w:r>
        <w:r>
          <w:rPr>
            <w:color w:val="0000FF"/>
            <w:spacing w:val="-9"/>
            <w:position w:val="1"/>
            <w:u w:val="single" w:color="0000FF"/>
          </w:rPr>
          <w:t> </w:t>
        </w:r>
        <w:r>
          <w:rPr>
            <w:color w:val="0000FF"/>
            <w:position w:val="1"/>
            <w:u w:val="single" w:color="0000FF"/>
          </w:rPr>
          <w:t>Amended and Restated, effective December 17, 2014 (incorporated by</w:t>
        </w:r>
        <w:r>
          <w:rPr>
            <w:color w:val="0000FF"/>
            <w:spacing w:val="29"/>
            <w:position w:val="1"/>
            <w:u w:val="single" w:color="0000FF"/>
          </w:rPr>
          <w:t> </w:t>
        </w:r>
        <w:r>
          <w:rPr>
            <w:color w:val="0000FF"/>
            <w:position w:val="1"/>
            <w:u w:val="single" w:color="0000FF"/>
          </w:rPr>
          <w:t>reference to Exhibit 10.4(6) of the</w:t>
        </w:r>
      </w:hyperlink>
      <w:r>
        <w:rPr>
          <w:color w:val="0000FF"/>
          <w:position w:val="1"/>
        </w:rPr>
        <w:t> </w:t>
      </w:r>
      <w:hyperlink r:id="rId60">
        <w:r>
          <w:rPr>
            <w:color w:val="0000FF"/>
            <w:u w:val="single" w:color="0000FF"/>
          </w:rPr>
          <w:t>Company</w:t>
        </w:r>
        <w:r>
          <w:rPr>
            <w:color w:val="0000FF"/>
            <w:spacing w:val="-8"/>
            <w:u w:val="single" w:color="0000FF"/>
          </w:rPr>
          <w:t> </w:t>
        </w:r>
        <w:r>
          <w:rPr>
            <w:color w:val="0000FF"/>
            <w:u w:val="single" w:color="0000FF"/>
          </w:rPr>
          <w:t>’s</w:t>
        </w:r>
        <w:r>
          <w:rPr>
            <w:color w:val="0000FF"/>
            <w:spacing w:val="-1"/>
            <w:u w:val="single" w:color="0000FF"/>
          </w:rPr>
          <w:t> </w:t>
        </w:r>
        <w:r>
          <w:rPr>
            <w:color w:val="0000FF"/>
            <w:u w:val="single" w:color="0000FF"/>
          </w:rPr>
          <w:t>Annual Report on Form 10-K filed on March 2, 2015).</w:t>
        </w:r>
      </w:hyperlink>
    </w:p>
    <w:p>
      <w:pPr>
        <w:pStyle w:val="BodyText"/>
        <w:tabs>
          <w:tab w:pos="1433" w:val="left" w:leader="none"/>
        </w:tabs>
        <w:spacing w:before="59"/>
        <w:ind w:left="162"/>
      </w:pPr>
      <w:r>
        <w:rPr>
          <w:spacing w:val="-2"/>
        </w:rPr>
        <w:t>*10.4(5)</w:t>
      </w:r>
      <w:r>
        <w:rPr/>
        <w:tab/>
      </w:r>
      <w:hyperlink w:history="true" w:anchor="_bookmark32">
        <w:r>
          <w:rPr>
            <w:color w:val="0000FF"/>
            <w:u w:val="single" w:color="0000FF"/>
          </w:rPr>
          <w:t>Amendment</w:t>
        </w:r>
        <w:r>
          <w:rPr>
            <w:color w:val="0000FF"/>
            <w:spacing w:val="-5"/>
            <w:u w:val="single" w:color="0000FF"/>
          </w:rPr>
          <w:t> </w:t>
        </w:r>
        <w:r>
          <w:rPr>
            <w:color w:val="0000FF"/>
            <w:u w:val="single" w:color="0000FF"/>
          </w:rPr>
          <w:t>Number</w:t>
        </w:r>
        <w:r>
          <w:rPr>
            <w:color w:val="0000FF"/>
            <w:spacing w:val="-5"/>
            <w:u w:val="single" w:color="0000FF"/>
          </w:rPr>
          <w:t> </w:t>
        </w:r>
        <w:r>
          <w:rPr>
            <w:color w:val="0000FF"/>
            <w:u w:val="single" w:color="0000FF"/>
          </w:rPr>
          <w:t>Two</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MGM</w:t>
        </w:r>
        <w:r>
          <w:rPr>
            <w:color w:val="0000FF"/>
            <w:spacing w:val="-2"/>
            <w:u w:val="single" w:color="0000FF"/>
          </w:rPr>
          <w:t> </w:t>
        </w:r>
        <w:r>
          <w:rPr>
            <w:color w:val="0000FF"/>
            <w:u w:val="single" w:color="0000FF"/>
          </w:rPr>
          <w:t>Resorts</w:t>
        </w:r>
        <w:r>
          <w:rPr>
            <w:color w:val="0000FF"/>
            <w:spacing w:val="-2"/>
            <w:u w:val="single" w:color="0000FF"/>
          </w:rPr>
          <w:t> </w:t>
        </w:r>
        <w:r>
          <w:rPr>
            <w:color w:val="0000FF"/>
            <w:u w:val="single" w:color="0000FF"/>
          </w:rPr>
          <w:t>Deferred</w:t>
        </w:r>
        <w:r>
          <w:rPr>
            <w:color w:val="0000FF"/>
            <w:spacing w:val="-2"/>
            <w:u w:val="single" w:color="0000FF"/>
          </w:rPr>
          <w:t> </w:t>
        </w:r>
        <w:r>
          <w:rPr>
            <w:color w:val="0000FF"/>
            <w:u w:val="single" w:color="0000FF"/>
          </w:rPr>
          <w:t>Compensation</w:t>
        </w:r>
        <w:r>
          <w:rPr>
            <w:color w:val="0000FF"/>
            <w:spacing w:val="-2"/>
            <w:u w:val="single" w:color="0000FF"/>
          </w:rPr>
          <w:t> </w:t>
        </w:r>
        <w:r>
          <w:rPr>
            <w:color w:val="0000FF"/>
            <w:u w:val="single" w:color="0000FF"/>
          </w:rPr>
          <w:t>Plan</w:t>
        </w:r>
        <w:r>
          <w:rPr>
            <w:color w:val="0000FF"/>
            <w:spacing w:val="-3"/>
            <w:u w:val="single" w:color="0000FF"/>
          </w:rPr>
          <w:t> </w:t>
        </w:r>
        <w:r>
          <w:rPr>
            <w:color w:val="0000FF"/>
            <w:u w:val="single" w:color="0000FF"/>
          </w:rPr>
          <w:t>II,</w:t>
        </w:r>
        <w:r>
          <w:rPr>
            <w:color w:val="0000FF"/>
            <w:spacing w:val="-2"/>
            <w:u w:val="single" w:color="0000FF"/>
          </w:rPr>
          <w:t> </w:t>
        </w:r>
        <w:r>
          <w:rPr>
            <w:color w:val="0000FF"/>
            <w:u w:val="single" w:color="0000FF"/>
          </w:rPr>
          <w:t>effective</w:t>
        </w:r>
        <w:r>
          <w:rPr>
            <w:color w:val="0000FF"/>
            <w:spacing w:val="-2"/>
            <w:u w:val="single" w:color="0000FF"/>
          </w:rPr>
          <w:t> </w:t>
        </w:r>
        <w:r>
          <w:rPr>
            <w:color w:val="0000FF"/>
            <w:u w:val="single" w:color="0000FF"/>
          </w:rPr>
          <w:t>November</w:t>
        </w:r>
        <w:r>
          <w:rPr>
            <w:color w:val="0000FF"/>
            <w:spacing w:val="-2"/>
            <w:u w:val="single" w:color="0000FF"/>
          </w:rPr>
          <w:t> </w:t>
        </w:r>
        <w:r>
          <w:rPr>
            <w:color w:val="0000FF"/>
            <w:u w:val="single" w:color="0000FF"/>
          </w:rPr>
          <w:t>1,</w:t>
        </w:r>
        <w:r>
          <w:rPr>
            <w:color w:val="0000FF"/>
            <w:spacing w:val="-2"/>
            <w:u w:val="single" w:color="0000FF"/>
          </w:rPr>
          <w:t> 2022.</w:t>
        </w:r>
      </w:hyperlink>
    </w:p>
    <w:p>
      <w:pPr>
        <w:pStyle w:val="BodyText"/>
        <w:tabs>
          <w:tab w:pos="1433" w:val="left" w:leader="none"/>
        </w:tabs>
        <w:spacing w:line="187" w:lineRule="auto" w:before="76"/>
        <w:ind w:left="1433" w:right="137" w:hanging="1271"/>
      </w:pPr>
      <w:r>
        <w:rPr>
          <w:spacing w:val="-2"/>
        </w:rPr>
        <w:t>*10.4(6)</w:t>
      </w:r>
      <w:r>
        <w:rPr/>
        <w:tab/>
      </w:r>
      <w:hyperlink r:id="rId61">
        <w:r>
          <w:rPr>
            <w:color w:val="0000FF"/>
            <w:position w:val="1"/>
            <w:u w:val="single" w:color="0000FF"/>
          </w:rPr>
          <w:t>Su</w:t>
        </w:r>
        <w:r>
          <w:rPr>
            <w:color w:val="0000FF"/>
            <w:position w:val="1"/>
          </w:rPr>
          <w:t>p</w:t>
        </w:r>
        <w:r>
          <w:rPr>
            <w:color w:val="0000FF"/>
            <w:spacing w:val="-12"/>
            <w:position w:val="1"/>
            <w:u w:val="single" w:color="0000FF"/>
          </w:rPr>
          <w:t> </w:t>
        </w:r>
        <w:r>
          <w:rPr>
            <w:color w:val="0000FF"/>
            <w:position w:val="1"/>
          </w:rPr>
          <w:t>p</w:t>
        </w:r>
        <w:r>
          <w:rPr>
            <w:color w:val="0000FF"/>
            <w:spacing w:val="-7"/>
            <w:position w:val="1"/>
            <w:u w:val="single" w:color="0000FF"/>
          </w:rPr>
          <w:t> </w:t>
        </w:r>
        <w:r>
          <w:rPr>
            <w:color w:val="0000FF"/>
            <w:position w:val="1"/>
            <w:u w:val="single" w:color="0000FF"/>
          </w:rPr>
          <w:t>lemental Executive Retirement Plan II, dated as of December 30, 2004 (incorporated by</w:t>
        </w:r>
        <w:r>
          <w:rPr>
            <w:color w:val="0000FF"/>
            <w:spacing w:val="36"/>
            <w:position w:val="1"/>
            <w:u w:val="single" w:color="0000FF"/>
          </w:rPr>
          <w:t> </w:t>
        </w:r>
        <w:r>
          <w:rPr>
            <w:color w:val="0000FF"/>
            <w:position w:val="1"/>
            <w:u w:val="single" w:color="0000FF"/>
          </w:rPr>
          <w:t>reference to Exhibit 10.1 of the Company</w:t>
        </w:r>
        <w:r>
          <w:rPr>
            <w:color w:val="0000FF"/>
            <w:spacing w:val="-15"/>
            <w:position w:val="1"/>
            <w:u w:val="single" w:color="0000FF"/>
          </w:rPr>
          <w:t> </w:t>
        </w:r>
        <w:r>
          <w:rPr>
            <w:color w:val="0000FF"/>
            <w:position w:val="1"/>
            <w:u w:val="single" w:color="0000FF"/>
          </w:rPr>
          <w:t>'s</w:t>
        </w:r>
      </w:hyperlink>
      <w:r>
        <w:rPr>
          <w:color w:val="0000FF"/>
          <w:spacing w:val="40"/>
          <w:position w:val="1"/>
        </w:rPr>
        <w:t> </w:t>
      </w:r>
      <w:hyperlink r:id="rId61">
        <w:r>
          <w:rPr>
            <w:color w:val="0000FF"/>
            <w:u w:val="single" w:color="0000FF"/>
          </w:rPr>
          <w:t>Current Report on Form 8-K filed on January</w:t>
        </w:r>
        <w:r>
          <w:rPr>
            <w:color w:val="0000FF"/>
            <w:spacing w:val="40"/>
            <w:u w:val="single" w:color="0000FF"/>
          </w:rPr>
          <w:t> </w:t>
        </w:r>
        <w:r>
          <w:rPr>
            <w:color w:val="0000FF"/>
            <w:u w:val="single" w:color="0000FF"/>
          </w:rPr>
          <w:t>10, 2005).</w:t>
        </w:r>
      </w:hyperlink>
    </w:p>
    <w:p>
      <w:pPr>
        <w:pStyle w:val="BodyText"/>
        <w:tabs>
          <w:tab w:pos="1433" w:val="left" w:leader="none"/>
        </w:tabs>
        <w:spacing w:line="204" w:lineRule="auto" w:before="60"/>
        <w:ind w:left="1433" w:right="137" w:hanging="1271"/>
      </w:pPr>
      <w:r>
        <w:rPr>
          <w:spacing w:val="-2"/>
        </w:rPr>
        <w:t>*10.4(7)</w:t>
      </w:r>
      <w:r>
        <w:rPr/>
        <w:tab/>
      </w:r>
      <w:hyperlink r:id="rId62">
        <w:r>
          <w:rPr>
            <w:color w:val="0000FF"/>
            <w:position w:val="1"/>
            <w:u w:val="single" w:color="0000FF"/>
          </w:rPr>
          <w:t>Amendment</w:t>
        </w:r>
        <w:r>
          <w:rPr>
            <w:color w:val="0000FF"/>
            <w:spacing w:val="23"/>
            <w:position w:val="1"/>
            <w:u w:val="single" w:color="0000FF"/>
          </w:rPr>
          <w:t> </w:t>
        </w:r>
        <w:r>
          <w:rPr>
            <w:color w:val="0000FF"/>
            <w:position w:val="1"/>
            <w:u w:val="single" w:color="0000FF"/>
          </w:rPr>
          <w:t>No.</w:t>
        </w:r>
        <w:r>
          <w:rPr>
            <w:color w:val="0000FF"/>
            <w:spacing w:val="23"/>
            <w:position w:val="1"/>
            <w:u w:val="single" w:color="0000FF"/>
          </w:rPr>
          <w:t> </w:t>
        </w:r>
        <w:r>
          <w:rPr>
            <w:color w:val="0000FF"/>
            <w:position w:val="1"/>
            <w:u w:val="single" w:color="0000FF"/>
          </w:rPr>
          <w:t>1</w:t>
        </w:r>
        <w:r>
          <w:rPr>
            <w:color w:val="0000FF"/>
            <w:spacing w:val="23"/>
            <w:position w:val="1"/>
            <w:u w:val="single" w:color="0000FF"/>
          </w:rPr>
          <w:t> </w:t>
        </w:r>
        <w:r>
          <w:rPr>
            <w:color w:val="0000FF"/>
            <w:position w:val="1"/>
            <w:u w:val="single" w:color="0000FF"/>
          </w:rPr>
          <w:t>to</w:t>
        </w:r>
        <w:r>
          <w:rPr>
            <w:color w:val="0000FF"/>
            <w:spacing w:val="23"/>
            <w:position w:val="1"/>
            <w:u w:val="single" w:color="0000FF"/>
          </w:rPr>
          <w:t> </w:t>
        </w:r>
        <w:r>
          <w:rPr>
            <w:color w:val="0000FF"/>
            <w:position w:val="1"/>
            <w:u w:val="single" w:color="0000FF"/>
          </w:rPr>
          <w:t>the</w:t>
        </w:r>
        <w:r>
          <w:rPr>
            <w:color w:val="0000FF"/>
            <w:spacing w:val="23"/>
            <w:position w:val="1"/>
            <w:u w:val="single" w:color="0000FF"/>
          </w:rPr>
          <w:t> </w:t>
        </w:r>
        <w:r>
          <w:rPr>
            <w:color w:val="0000FF"/>
            <w:position w:val="1"/>
            <w:u w:val="single" w:color="0000FF"/>
          </w:rPr>
          <w:t>Su</w:t>
        </w:r>
        <w:r>
          <w:rPr>
            <w:color w:val="0000FF"/>
            <w:position w:val="1"/>
          </w:rPr>
          <w:t>p</w:t>
        </w:r>
        <w:r>
          <w:rPr>
            <w:color w:val="0000FF"/>
            <w:spacing w:val="-7"/>
            <w:position w:val="1"/>
            <w:u w:val="single" w:color="0000FF"/>
          </w:rPr>
          <w:t> </w:t>
        </w:r>
        <w:r>
          <w:rPr>
            <w:color w:val="0000FF"/>
            <w:position w:val="1"/>
          </w:rPr>
          <w:t>p</w:t>
        </w:r>
        <w:r>
          <w:rPr>
            <w:color w:val="0000FF"/>
            <w:spacing w:val="-7"/>
            <w:position w:val="1"/>
            <w:u w:val="single" w:color="0000FF"/>
          </w:rPr>
          <w:t> </w:t>
        </w:r>
        <w:r>
          <w:rPr>
            <w:color w:val="0000FF"/>
            <w:position w:val="1"/>
            <w:u w:val="single" w:color="0000FF"/>
          </w:rPr>
          <w:t>lemental</w:t>
        </w:r>
        <w:r>
          <w:rPr>
            <w:color w:val="0000FF"/>
            <w:spacing w:val="23"/>
            <w:position w:val="1"/>
            <w:u w:val="single" w:color="0000FF"/>
          </w:rPr>
          <w:t> </w:t>
        </w:r>
        <w:r>
          <w:rPr>
            <w:color w:val="0000FF"/>
            <w:position w:val="1"/>
            <w:u w:val="single" w:color="0000FF"/>
          </w:rPr>
          <w:t>Executive</w:t>
        </w:r>
        <w:r>
          <w:rPr>
            <w:color w:val="0000FF"/>
            <w:spacing w:val="23"/>
            <w:position w:val="1"/>
            <w:u w:val="single" w:color="0000FF"/>
          </w:rPr>
          <w:t> </w:t>
        </w:r>
        <w:r>
          <w:rPr>
            <w:color w:val="0000FF"/>
            <w:position w:val="1"/>
            <w:u w:val="single" w:color="0000FF"/>
          </w:rPr>
          <w:t>Retirement</w:t>
        </w:r>
        <w:r>
          <w:rPr>
            <w:color w:val="0000FF"/>
            <w:spacing w:val="23"/>
            <w:position w:val="1"/>
            <w:u w:val="single" w:color="0000FF"/>
          </w:rPr>
          <w:t> </w:t>
        </w:r>
        <w:r>
          <w:rPr>
            <w:color w:val="0000FF"/>
            <w:position w:val="1"/>
            <w:u w:val="single" w:color="0000FF"/>
          </w:rPr>
          <w:t>Plan</w:t>
        </w:r>
        <w:r>
          <w:rPr>
            <w:color w:val="0000FF"/>
            <w:spacing w:val="23"/>
            <w:position w:val="1"/>
            <w:u w:val="single" w:color="0000FF"/>
          </w:rPr>
          <w:t> </w:t>
        </w:r>
        <w:r>
          <w:rPr>
            <w:color w:val="0000FF"/>
            <w:position w:val="1"/>
            <w:u w:val="single" w:color="0000FF"/>
          </w:rPr>
          <w:t>II,</w:t>
        </w:r>
        <w:r>
          <w:rPr>
            <w:color w:val="0000FF"/>
            <w:spacing w:val="23"/>
            <w:position w:val="1"/>
            <w:u w:val="single" w:color="0000FF"/>
          </w:rPr>
          <w:t> </w:t>
        </w:r>
        <w:r>
          <w:rPr>
            <w:color w:val="0000FF"/>
            <w:position w:val="1"/>
            <w:u w:val="single" w:color="0000FF"/>
          </w:rPr>
          <w:t>dated</w:t>
        </w:r>
        <w:r>
          <w:rPr>
            <w:color w:val="0000FF"/>
            <w:spacing w:val="23"/>
            <w:position w:val="1"/>
            <w:u w:val="single" w:color="0000FF"/>
          </w:rPr>
          <w:t> </w:t>
        </w:r>
        <w:r>
          <w:rPr>
            <w:color w:val="0000FF"/>
            <w:position w:val="1"/>
            <w:u w:val="single" w:color="0000FF"/>
          </w:rPr>
          <w:t>as</w:t>
        </w:r>
        <w:r>
          <w:rPr>
            <w:color w:val="0000FF"/>
            <w:spacing w:val="23"/>
            <w:position w:val="1"/>
            <w:u w:val="single" w:color="0000FF"/>
          </w:rPr>
          <w:t> </w:t>
        </w:r>
        <w:r>
          <w:rPr>
            <w:color w:val="0000FF"/>
            <w:position w:val="1"/>
            <w:u w:val="single" w:color="0000FF"/>
          </w:rPr>
          <w:t>of</w:t>
        </w:r>
        <w:r>
          <w:rPr>
            <w:color w:val="0000FF"/>
            <w:spacing w:val="23"/>
            <w:position w:val="1"/>
            <w:u w:val="single" w:color="0000FF"/>
          </w:rPr>
          <w:t> </w:t>
        </w:r>
        <w:r>
          <w:rPr>
            <w:color w:val="0000FF"/>
            <w:position w:val="1"/>
            <w:u w:val="single" w:color="0000FF"/>
          </w:rPr>
          <w:t>Ju</w:t>
        </w:r>
        <w:r>
          <w:rPr>
            <w:color w:val="0000FF"/>
            <w:position w:val="1"/>
          </w:rPr>
          <w:t>ly</w:t>
        </w:r>
        <w:r>
          <w:rPr>
            <w:color w:val="0000FF"/>
            <w:spacing w:val="40"/>
            <w:position w:val="1"/>
            <w:u w:val="single" w:color="0000FF"/>
          </w:rPr>
          <w:t> </w:t>
        </w:r>
        <w:r>
          <w:rPr>
            <w:color w:val="0000FF"/>
            <w:position w:val="1"/>
            <w:u w:val="single" w:color="0000FF"/>
          </w:rPr>
          <w:t>10,</w:t>
        </w:r>
        <w:r>
          <w:rPr>
            <w:color w:val="0000FF"/>
            <w:spacing w:val="23"/>
            <w:position w:val="1"/>
            <w:u w:val="single" w:color="0000FF"/>
          </w:rPr>
          <w:t> </w:t>
        </w:r>
        <w:r>
          <w:rPr>
            <w:color w:val="0000FF"/>
            <w:position w:val="1"/>
            <w:u w:val="single" w:color="0000FF"/>
          </w:rPr>
          <w:t>2007</w:t>
        </w:r>
        <w:r>
          <w:rPr>
            <w:color w:val="0000FF"/>
            <w:spacing w:val="23"/>
            <w:position w:val="1"/>
            <w:u w:val="single" w:color="0000FF"/>
          </w:rPr>
          <w:t> </w:t>
        </w:r>
        <w:r>
          <w:rPr>
            <w:color w:val="0000FF"/>
            <w:position w:val="1"/>
            <w:u w:val="single" w:color="0000FF"/>
          </w:rPr>
          <w:t>(incorporated</w:t>
        </w:r>
        <w:r>
          <w:rPr>
            <w:color w:val="0000FF"/>
            <w:spacing w:val="23"/>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reference</w:t>
        </w:r>
        <w:r>
          <w:rPr>
            <w:color w:val="0000FF"/>
            <w:spacing w:val="23"/>
            <w:position w:val="1"/>
            <w:u w:val="single" w:color="0000FF"/>
          </w:rPr>
          <w:t> </w:t>
        </w:r>
        <w:r>
          <w:rPr>
            <w:color w:val="0000FF"/>
            <w:position w:val="1"/>
            <w:u w:val="single" w:color="0000FF"/>
          </w:rPr>
          <w:t>to</w:t>
        </w:r>
        <w:r>
          <w:rPr>
            <w:color w:val="0000FF"/>
            <w:spacing w:val="23"/>
            <w:position w:val="1"/>
            <w:u w:val="single" w:color="0000FF"/>
          </w:rPr>
          <w:t> </w:t>
        </w:r>
        <w:r>
          <w:rPr>
            <w:color w:val="0000FF"/>
            <w:position w:val="1"/>
            <w:u w:val="single" w:color="0000FF"/>
          </w:rPr>
          <w:t>Exhibit</w:t>
        </w:r>
      </w:hyperlink>
      <w:r>
        <w:rPr>
          <w:color w:val="0000FF"/>
          <w:position w:val="1"/>
        </w:rPr>
        <w:t> </w:t>
      </w:r>
      <w:hyperlink r:id="rId62">
        <w:r>
          <w:rPr>
            <w:color w:val="0000FF"/>
            <w:u w:val="single" w:color="0000FF"/>
          </w:rPr>
          <w:t>10.3(12) of the Company</w:t>
        </w:r>
        <w:r>
          <w:rPr>
            <w:color w:val="0000FF"/>
            <w:spacing w:val="-11"/>
            <w:u w:val="single" w:color="0000FF"/>
          </w:rPr>
          <w:t> </w:t>
        </w:r>
        <w:r>
          <w:rPr>
            <w:color w:val="0000FF"/>
            <w:u w:val="single" w:color="0000FF"/>
          </w:rPr>
          <w:t>'s</w:t>
        </w:r>
        <w:r>
          <w:rPr>
            <w:color w:val="0000FF"/>
            <w:spacing w:val="-5"/>
            <w:u w:val="single" w:color="0000FF"/>
          </w:rPr>
          <w:t> </w:t>
        </w:r>
        <w:r>
          <w:rPr>
            <w:color w:val="0000FF"/>
            <w:u w:val="single" w:color="0000FF"/>
          </w:rPr>
          <w:t>Annual Report on Form 10-K filed on February</w:t>
        </w:r>
        <w:r>
          <w:rPr>
            <w:color w:val="0000FF"/>
            <w:spacing w:val="40"/>
            <w:u w:val="single" w:color="0000FF"/>
          </w:rPr>
          <w:t> </w:t>
        </w:r>
        <w:r>
          <w:rPr>
            <w:color w:val="0000FF"/>
            <w:u w:val="single" w:color="0000FF"/>
          </w:rPr>
          <w:t>29, 2008 ).</w:t>
        </w:r>
      </w:hyperlink>
    </w:p>
    <w:p>
      <w:pPr>
        <w:pStyle w:val="BodyText"/>
        <w:tabs>
          <w:tab w:pos="1433" w:val="left" w:leader="none"/>
        </w:tabs>
        <w:spacing w:line="187" w:lineRule="auto" w:before="69"/>
        <w:ind w:left="1433" w:right="137" w:hanging="1271"/>
      </w:pPr>
      <w:r>
        <w:rPr>
          <w:spacing w:val="-2"/>
        </w:rPr>
        <w:t>*10.4(8)</w:t>
      </w:r>
      <w:r>
        <w:rPr/>
        <w:tab/>
      </w:r>
      <w:hyperlink r:id="rId63">
        <w:r>
          <w:rPr>
            <w:color w:val="0000FF"/>
            <w:position w:val="1"/>
            <w:u w:val="single" w:color="0000FF"/>
          </w:rPr>
          <w:t>Amendment No. 2 to the Su</w:t>
        </w:r>
        <w:r>
          <w:rPr>
            <w:color w:val="0000FF"/>
            <w:position w:val="1"/>
          </w:rPr>
          <w:t>p</w:t>
        </w:r>
        <w:r>
          <w:rPr>
            <w:color w:val="0000FF"/>
            <w:spacing w:val="-7"/>
            <w:position w:val="1"/>
            <w:u w:val="single" w:color="0000FF"/>
          </w:rPr>
          <w:t> </w:t>
        </w:r>
        <w:r>
          <w:rPr>
            <w:color w:val="0000FF"/>
            <w:position w:val="1"/>
          </w:rPr>
          <w:t>p</w:t>
        </w:r>
        <w:r>
          <w:rPr>
            <w:color w:val="0000FF"/>
            <w:spacing w:val="-7"/>
            <w:position w:val="1"/>
            <w:u w:val="single" w:color="0000FF"/>
          </w:rPr>
          <w:t> </w:t>
        </w:r>
        <w:r>
          <w:rPr>
            <w:color w:val="0000FF"/>
            <w:position w:val="1"/>
            <w:u w:val="single" w:color="0000FF"/>
          </w:rPr>
          <w:t>lemental Executive Retirement Plan II, dated as of October 15, 2007 (incorporated by</w:t>
        </w:r>
        <w:r>
          <w:rPr>
            <w:color w:val="0000FF"/>
            <w:spacing w:val="38"/>
            <w:position w:val="1"/>
            <w:u w:val="single" w:color="0000FF"/>
          </w:rPr>
          <w:t> </w:t>
        </w:r>
        <w:r>
          <w:rPr>
            <w:color w:val="0000FF"/>
            <w:position w:val="1"/>
            <w:u w:val="single" w:color="0000FF"/>
          </w:rPr>
          <w:t>reference to Exhibit</w:t>
        </w:r>
      </w:hyperlink>
      <w:r>
        <w:rPr>
          <w:color w:val="0000FF"/>
          <w:spacing w:val="40"/>
          <w:position w:val="1"/>
        </w:rPr>
        <w:t> </w:t>
      </w:r>
      <w:hyperlink r:id="rId63">
        <w:r>
          <w:rPr>
            <w:color w:val="0000FF"/>
            <w:u w:val="single" w:color="0000FF"/>
          </w:rPr>
          <w:t>10.3(14) of the Company</w:t>
        </w:r>
        <w:r>
          <w:rPr>
            <w:color w:val="0000FF"/>
            <w:spacing w:val="-11"/>
            <w:u w:val="single" w:color="0000FF"/>
          </w:rPr>
          <w:t> </w:t>
        </w:r>
        <w:r>
          <w:rPr>
            <w:color w:val="0000FF"/>
            <w:u w:val="single" w:color="0000FF"/>
          </w:rPr>
          <w:t>'s</w:t>
        </w:r>
        <w:r>
          <w:rPr>
            <w:color w:val="0000FF"/>
            <w:spacing w:val="-5"/>
            <w:u w:val="single" w:color="0000FF"/>
          </w:rPr>
          <w:t> </w:t>
        </w:r>
        <w:r>
          <w:rPr>
            <w:color w:val="0000FF"/>
            <w:u w:val="single" w:color="0000FF"/>
          </w:rPr>
          <w:t>Annual Report on Form 10-K filed on February</w:t>
        </w:r>
        <w:r>
          <w:rPr>
            <w:color w:val="0000FF"/>
            <w:spacing w:val="40"/>
            <w:u w:val="single" w:color="0000FF"/>
          </w:rPr>
          <w:t> </w:t>
        </w:r>
        <w:r>
          <w:rPr>
            <w:color w:val="0000FF"/>
            <w:u w:val="single" w:color="0000FF"/>
          </w:rPr>
          <w:t>29, 2008)</w:t>
        </w:r>
      </w:hyperlink>
      <w:r>
        <w:rPr>
          <w:color w:val="0000FF"/>
          <w:u w:val="single" w:color="0000FF"/>
        </w:rPr>
        <w:t>.</w:t>
      </w:r>
    </w:p>
    <w:p>
      <w:pPr>
        <w:pStyle w:val="BodyText"/>
        <w:tabs>
          <w:tab w:pos="1433" w:val="left" w:leader="none"/>
        </w:tabs>
        <w:spacing w:line="187" w:lineRule="auto" w:before="85"/>
        <w:ind w:left="1433" w:right="137" w:hanging="1271"/>
      </w:pPr>
      <w:r>
        <w:rPr>
          <w:spacing w:val="-2"/>
        </w:rPr>
        <w:t>*10.4(9)</w:t>
      </w:r>
      <w:r>
        <w:rPr/>
        <w:tab/>
      </w:r>
      <w:hyperlink r:id="rId64">
        <w:r>
          <w:rPr>
            <w:color w:val="0000FF"/>
            <w:position w:val="1"/>
            <w:u w:val="single" w:color="0000FF"/>
          </w:rPr>
          <w:t>Amendment No. 1 to the Su</w:t>
        </w:r>
        <w:r>
          <w:rPr>
            <w:color w:val="0000FF"/>
            <w:position w:val="1"/>
          </w:rPr>
          <w:t>p</w:t>
        </w:r>
        <w:r>
          <w:rPr>
            <w:color w:val="0000FF"/>
            <w:spacing w:val="-7"/>
            <w:position w:val="1"/>
            <w:u w:val="single" w:color="0000FF"/>
          </w:rPr>
          <w:t> </w:t>
        </w:r>
        <w:r>
          <w:rPr>
            <w:color w:val="0000FF"/>
            <w:position w:val="1"/>
          </w:rPr>
          <w:t>p</w:t>
        </w:r>
        <w:r>
          <w:rPr>
            <w:color w:val="0000FF"/>
            <w:spacing w:val="-7"/>
            <w:position w:val="1"/>
            <w:u w:val="single" w:color="0000FF"/>
          </w:rPr>
          <w:t> </w:t>
        </w:r>
        <w:r>
          <w:rPr>
            <w:color w:val="0000FF"/>
            <w:position w:val="1"/>
            <w:u w:val="single" w:color="0000FF"/>
          </w:rPr>
          <w:t>lemental Executive Retirement Plan II, dated as of November 4, 2008 (incorporated by</w:t>
        </w:r>
        <w:r>
          <w:rPr>
            <w:color w:val="0000FF"/>
            <w:spacing w:val="33"/>
            <w:position w:val="1"/>
            <w:u w:val="single" w:color="0000FF"/>
          </w:rPr>
          <w:t> </w:t>
        </w:r>
        <w:r>
          <w:rPr>
            <w:color w:val="0000FF"/>
            <w:position w:val="1"/>
            <w:u w:val="single" w:color="0000FF"/>
          </w:rPr>
          <w:t>reference to Exhibit</w:t>
        </w:r>
      </w:hyperlink>
      <w:r>
        <w:rPr>
          <w:color w:val="0000FF"/>
          <w:position w:val="1"/>
        </w:rPr>
        <w:t> </w:t>
      </w:r>
      <w:hyperlink r:id="rId64">
        <w:r>
          <w:rPr>
            <w:color w:val="0000FF"/>
            <w:u w:val="single" w:color="0000FF"/>
          </w:rPr>
          <w:t>10.2 of the Company</w:t>
        </w:r>
        <w:r>
          <w:rPr>
            <w:color w:val="0000FF"/>
            <w:spacing w:val="-10"/>
            <w:u w:val="single" w:color="0000FF"/>
          </w:rPr>
          <w:t> </w:t>
        </w:r>
        <w:r>
          <w:rPr>
            <w:color w:val="0000FF"/>
            <w:u w:val="single" w:color="0000FF"/>
          </w:rPr>
          <w:t>’s Current Report on Form 8-K filed on November 7, 2008).</w:t>
        </w:r>
      </w:hyperlink>
    </w:p>
    <w:p>
      <w:pPr>
        <w:pStyle w:val="BodyText"/>
        <w:tabs>
          <w:tab w:pos="1433" w:val="left" w:leader="none"/>
        </w:tabs>
        <w:spacing w:before="49"/>
        <w:ind w:left="162"/>
      </w:pPr>
      <w:r>
        <w:rPr>
          <w:spacing w:val="-2"/>
          <w:position w:val="1"/>
        </w:rPr>
        <w:t>*10.4(10)</w:t>
      </w:r>
      <w:r>
        <w:rPr>
          <w:position w:val="1"/>
        </w:rPr>
        <w:tab/>
      </w:r>
      <w:hyperlink w:history="true" w:anchor="_bookmark33">
        <w:r>
          <w:rPr>
            <w:color w:val="0000FF"/>
            <w:u w:val="single" w:color="0000FF"/>
          </w:rPr>
          <w:t>Amendment</w:t>
        </w:r>
        <w:r>
          <w:rPr>
            <w:color w:val="0000FF"/>
            <w:spacing w:val="-8"/>
            <w:u w:val="single" w:color="0000FF"/>
          </w:rPr>
          <w:t> </w:t>
        </w:r>
        <w:r>
          <w:rPr>
            <w:color w:val="0000FF"/>
            <w:u w:val="single" w:color="0000FF"/>
          </w:rPr>
          <w:t>No.</w:t>
        </w:r>
        <w:r>
          <w:rPr>
            <w:color w:val="0000FF"/>
            <w:spacing w:val="-7"/>
            <w:u w:val="single" w:color="0000FF"/>
          </w:rPr>
          <w:t> </w:t>
        </w:r>
        <w:r>
          <w:rPr>
            <w:color w:val="0000FF"/>
            <w:u w:val="single" w:color="0000FF"/>
          </w:rPr>
          <w:t>4</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Su</w:t>
        </w:r>
        <w:r>
          <w:rPr>
            <w:color w:val="0000FF"/>
          </w:rPr>
          <w:t>p</w:t>
        </w:r>
        <w:r>
          <w:rPr>
            <w:color w:val="0000FF"/>
            <w:spacing w:val="-8"/>
            <w:u w:val="single" w:color="0000FF"/>
          </w:rPr>
          <w:t> </w:t>
        </w:r>
        <w:r>
          <w:rPr>
            <w:color w:val="0000FF"/>
          </w:rPr>
          <w:t>p</w:t>
        </w:r>
        <w:r>
          <w:rPr>
            <w:color w:val="0000FF"/>
            <w:spacing w:val="-8"/>
            <w:u w:val="single" w:color="0000FF"/>
          </w:rPr>
          <w:t> </w:t>
        </w:r>
        <w:r>
          <w:rPr>
            <w:color w:val="0000FF"/>
            <w:u w:val="single" w:color="0000FF"/>
          </w:rPr>
          <w:t>lemental</w:t>
        </w:r>
        <w:r>
          <w:rPr>
            <w:color w:val="0000FF"/>
            <w:spacing w:val="-7"/>
            <w:u w:val="single" w:color="0000FF"/>
          </w:rPr>
          <w:t> </w:t>
        </w:r>
        <w:r>
          <w:rPr>
            <w:color w:val="0000FF"/>
            <w:u w:val="single" w:color="0000FF"/>
          </w:rPr>
          <w:t>Executive</w:t>
        </w:r>
        <w:r>
          <w:rPr>
            <w:color w:val="0000FF"/>
            <w:spacing w:val="-8"/>
            <w:u w:val="single" w:color="0000FF"/>
          </w:rPr>
          <w:t> </w:t>
        </w:r>
        <w:r>
          <w:rPr>
            <w:color w:val="0000FF"/>
            <w:u w:val="single" w:color="0000FF"/>
          </w:rPr>
          <w:t>Retirement</w:t>
        </w:r>
        <w:r>
          <w:rPr>
            <w:color w:val="0000FF"/>
            <w:spacing w:val="-7"/>
            <w:u w:val="single" w:color="0000FF"/>
          </w:rPr>
          <w:t> </w:t>
        </w:r>
        <w:r>
          <w:rPr>
            <w:color w:val="0000FF"/>
            <w:u w:val="single" w:color="0000FF"/>
          </w:rPr>
          <w:t>Plan</w:t>
        </w:r>
        <w:r>
          <w:rPr>
            <w:color w:val="0000FF"/>
            <w:spacing w:val="-7"/>
            <w:u w:val="single" w:color="0000FF"/>
          </w:rPr>
          <w:t> </w:t>
        </w:r>
        <w:r>
          <w:rPr>
            <w:color w:val="0000FF"/>
            <w:u w:val="single" w:color="0000FF"/>
          </w:rPr>
          <w:t>II,</w:t>
        </w:r>
        <w:r>
          <w:rPr>
            <w:color w:val="0000FF"/>
            <w:spacing w:val="-7"/>
            <w:u w:val="single" w:color="0000FF"/>
          </w:rPr>
          <w:t> </w:t>
        </w:r>
        <w:r>
          <w:rPr>
            <w:color w:val="0000FF"/>
            <w:u w:val="single" w:color="0000FF"/>
          </w:rPr>
          <w:t>effective</w:t>
        </w:r>
        <w:r>
          <w:rPr>
            <w:color w:val="0000FF"/>
            <w:spacing w:val="-7"/>
            <w:u w:val="single" w:color="0000FF"/>
          </w:rPr>
          <w:t> </w:t>
        </w:r>
        <w:r>
          <w:rPr>
            <w:color w:val="0000FF"/>
            <w:u w:val="single" w:color="0000FF"/>
          </w:rPr>
          <w:t>November</w:t>
        </w:r>
        <w:r>
          <w:rPr>
            <w:color w:val="0000FF"/>
            <w:spacing w:val="-7"/>
            <w:u w:val="single" w:color="0000FF"/>
          </w:rPr>
          <w:t> </w:t>
        </w:r>
        <w:r>
          <w:rPr>
            <w:color w:val="0000FF"/>
            <w:u w:val="single" w:color="0000FF"/>
          </w:rPr>
          <w:t>1,</w:t>
        </w:r>
        <w:r>
          <w:rPr>
            <w:color w:val="0000FF"/>
            <w:spacing w:val="-7"/>
            <w:u w:val="single" w:color="0000FF"/>
          </w:rPr>
          <w:t> </w:t>
        </w:r>
        <w:r>
          <w:rPr>
            <w:color w:val="0000FF"/>
            <w:spacing w:val="-2"/>
            <w:u w:val="single" w:color="0000FF"/>
          </w:rPr>
          <w:t>2022.</w:t>
        </w:r>
      </w:hyperlink>
    </w:p>
    <w:p>
      <w:pPr>
        <w:pStyle w:val="BodyText"/>
        <w:tabs>
          <w:tab w:pos="1433" w:val="left" w:leader="none"/>
        </w:tabs>
        <w:spacing w:line="187" w:lineRule="auto" w:before="77"/>
        <w:ind w:left="1433" w:right="137" w:hanging="1271"/>
      </w:pPr>
      <w:r>
        <w:rPr/>
        <mc:AlternateContent>
          <mc:Choice Requires="wps">
            <w:drawing>
              <wp:anchor distT="0" distB="0" distL="0" distR="0" allowOverlap="1" layoutInCell="1" locked="0" behindDoc="0" simplePos="0" relativeHeight="15894016">
                <wp:simplePos x="0" y="0"/>
                <wp:positionH relativeFrom="page">
                  <wp:posOffset>7513231</wp:posOffset>
                </wp:positionH>
                <wp:positionV relativeFrom="paragraph">
                  <wp:posOffset>138398</wp:posOffset>
                </wp:positionV>
                <wp:extent cx="19685" cy="8890"/>
                <wp:effectExtent l="0" t="0" r="0" b="0"/>
                <wp:wrapNone/>
                <wp:docPr id="761" name="Graphic 761"/>
                <wp:cNvGraphicFramePr>
                  <a:graphicFrameLocks/>
                </wp:cNvGraphicFramePr>
                <a:graphic>
                  <a:graphicData uri="http://schemas.microsoft.com/office/word/2010/wordprocessingShape">
                    <wps:wsp>
                      <wps:cNvPr id="761" name="Graphic 761"/>
                      <wps:cNvSpPr/>
                      <wps:spPr>
                        <a:xfrm>
                          <a:off x="0" y="0"/>
                          <a:ext cx="19685" cy="8890"/>
                        </a:xfrm>
                        <a:custGeom>
                          <a:avLst/>
                          <a:gdLst/>
                          <a:ahLst/>
                          <a:cxnLst/>
                          <a:rect l="l" t="t" r="r" b="b"/>
                          <a:pathLst>
                            <a:path w="19685" h="8890">
                              <a:moveTo>
                                <a:pt x="19177" y="0"/>
                              </a:moveTo>
                              <a:lnTo>
                                <a:pt x="0" y="0"/>
                              </a:lnTo>
                              <a:lnTo>
                                <a:pt x="0" y="8572"/>
                              </a:lnTo>
                              <a:lnTo>
                                <a:pt x="19177" y="8572"/>
                              </a:lnTo>
                              <a:lnTo>
                                <a:pt x="1917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593018pt;margin-top:10.897557pt;width:1.51pt;height:.675pt;mso-position-horizontal-relative:page;mso-position-vertical-relative:paragraph;z-index:15894016" id="docshape759" filled="true" fillcolor="#0000ff" stroked="false">
                <v:fill type="solid"/>
                <w10:wrap type="none"/>
              </v:rect>
            </w:pict>
          </mc:Fallback>
        </mc:AlternateContent>
      </w:r>
      <w:r>
        <w:rPr>
          <w:spacing w:val="-2"/>
        </w:rPr>
        <w:t>*10.4(11)</w:t>
      </w:r>
      <w:r>
        <w:rPr/>
        <w:tab/>
      </w:r>
      <w:hyperlink r:id="rId65">
        <w:r>
          <w:rPr>
            <w:color w:val="0000FF"/>
            <w:position w:val="1"/>
            <w:u w:val="single" w:color="0000FF"/>
          </w:rPr>
          <w:t>Employment</w:t>
        </w:r>
        <w:r>
          <w:rPr>
            <w:color w:val="0000FF"/>
            <w:spacing w:val="22"/>
            <w:position w:val="1"/>
            <w:u w:val="single" w:color="0000FF"/>
          </w:rPr>
          <w:t> </w:t>
        </w:r>
        <w:r>
          <w:rPr>
            <w:color w:val="0000FF"/>
            <w:position w:val="1"/>
            <w:u w:val="single" w:color="0000FF"/>
          </w:rPr>
          <w:t>Agreement,</w:t>
        </w:r>
        <w:r>
          <w:rPr>
            <w:color w:val="0000FF"/>
            <w:spacing w:val="31"/>
            <w:position w:val="1"/>
            <w:u w:val="single" w:color="0000FF"/>
          </w:rPr>
          <w:t> </w:t>
        </w:r>
        <w:r>
          <w:rPr>
            <w:color w:val="0000FF"/>
            <w:position w:val="1"/>
            <w:u w:val="single" w:color="0000FF"/>
          </w:rPr>
          <w:t>effective</w:t>
        </w:r>
        <w:r>
          <w:rPr>
            <w:color w:val="0000FF"/>
            <w:spacing w:val="31"/>
            <w:position w:val="1"/>
            <w:u w:val="single" w:color="0000FF"/>
          </w:rPr>
          <w:t> </w:t>
        </w:r>
        <w:r>
          <w:rPr>
            <w:color w:val="0000FF"/>
            <w:position w:val="1"/>
            <w:u w:val="single" w:color="0000FF"/>
          </w:rPr>
          <w:t>as</w:t>
        </w:r>
        <w:r>
          <w:rPr>
            <w:color w:val="0000FF"/>
            <w:spacing w:val="31"/>
            <w:position w:val="1"/>
            <w:u w:val="single" w:color="0000FF"/>
          </w:rPr>
          <w:t> </w:t>
        </w:r>
        <w:r>
          <w:rPr>
            <w:color w:val="0000FF"/>
            <w:position w:val="1"/>
            <w:u w:val="single" w:color="0000FF"/>
          </w:rPr>
          <w:t>of</w:t>
        </w:r>
        <w:r>
          <w:rPr>
            <w:color w:val="0000FF"/>
            <w:spacing w:val="31"/>
            <w:position w:val="1"/>
            <w:u w:val="single" w:color="0000FF"/>
          </w:rPr>
          <w:t> </w:t>
        </w:r>
        <w:r>
          <w:rPr>
            <w:color w:val="0000FF"/>
            <w:position w:val="1"/>
            <w:u w:val="single" w:color="0000FF"/>
          </w:rPr>
          <w:t>September</w:t>
        </w:r>
        <w:r>
          <w:rPr>
            <w:color w:val="0000FF"/>
            <w:spacing w:val="31"/>
            <w:position w:val="1"/>
            <w:u w:val="single" w:color="0000FF"/>
          </w:rPr>
          <w:t> </w:t>
        </w:r>
        <w:r>
          <w:rPr>
            <w:color w:val="0000FF"/>
            <w:position w:val="1"/>
            <w:u w:val="single" w:color="0000FF"/>
          </w:rPr>
          <w:t>1,</w:t>
        </w:r>
        <w:r>
          <w:rPr>
            <w:color w:val="0000FF"/>
            <w:spacing w:val="31"/>
            <w:position w:val="1"/>
            <w:u w:val="single" w:color="0000FF"/>
          </w:rPr>
          <w:t> </w:t>
        </w:r>
        <w:r>
          <w:rPr>
            <w:color w:val="0000FF"/>
            <w:position w:val="1"/>
            <w:u w:val="single" w:color="0000FF"/>
          </w:rPr>
          <w:t>2022,</w:t>
        </w:r>
        <w:r>
          <w:rPr>
            <w:color w:val="0000FF"/>
            <w:spacing w:val="31"/>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and</w:t>
        </w:r>
        <w:r>
          <w:rPr>
            <w:color w:val="0000FF"/>
            <w:spacing w:val="31"/>
            <w:position w:val="1"/>
            <w:u w:val="single" w:color="0000FF"/>
          </w:rPr>
          <w:t> </w:t>
        </w:r>
        <w:r>
          <w:rPr>
            <w:color w:val="0000FF"/>
            <w:position w:val="1"/>
            <w:u w:val="single" w:color="0000FF"/>
          </w:rPr>
          <w:t>between</w:t>
        </w:r>
        <w:r>
          <w:rPr>
            <w:color w:val="0000FF"/>
            <w:spacing w:val="31"/>
            <w:position w:val="1"/>
            <w:u w:val="single" w:color="0000FF"/>
          </w:rPr>
          <w:t> </w:t>
        </w:r>
        <w:r>
          <w:rPr>
            <w:color w:val="0000FF"/>
            <w:position w:val="1"/>
            <w:u w:val="single" w:color="0000FF"/>
          </w:rPr>
          <w:t>the</w:t>
        </w:r>
        <w:r>
          <w:rPr>
            <w:color w:val="0000FF"/>
            <w:spacing w:val="31"/>
            <w:position w:val="1"/>
            <w:u w:val="single" w:color="0000FF"/>
          </w:rPr>
          <w:t> </w:t>
        </w:r>
        <w:r>
          <w:rPr>
            <w:color w:val="0000FF"/>
            <w:position w:val="1"/>
            <w:u w:val="single" w:color="0000FF"/>
          </w:rPr>
          <w:t>Company</w:t>
        </w:r>
        <w:r>
          <w:rPr>
            <w:color w:val="0000FF"/>
            <w:spacing w:val="40"/>
            <w:position w:val="1"/>
            <w:u w:val="single" w:color="0000FF"/>
          </w:rPr>
          <w:t> </w:t>
        </w:r>
        <w:r>
          <w:rPr>
            <w:color w:val="0000FF"/>
            <w:position w:val="1"/>
            <w:u w:val="single" w:color="0000FF"/>
          </w:rPr>
          <w:t>and</w:t>
        </w:r>
        <w:r>
          <w:rPr>
            <w:color w:val="0000FF"/>
            <w:spacing w:val="28"/>
            <w:position w:val="1"/>
            <w:u w:val="single" w:color="0000FF"/>
          </w:rPr>
          <w:t> </w:t>
        </w:r>
        <w:r>
          <w:rPr>
            <w:color w:val="0000FF"/>
            <w:position w:val="1"/>
            <w:u w:val="single" w:color="0000FF"/>
          </w:rPr>
          <w:t>William</w:t>
        </w:r>
        <w:r>
          <w:rPr>
            <w:color w:val="0000FF"/>
            <w:spacing w:val="31"/>
            <w:position w:val="1"/>
            <w:u w:val="single" w:color="0000FF"/>
          </w:rPr>
          <w:t> </w:t>
        </w:r>
        <w:r>
          <w:rPr>
            <w:color w:val="0000FF"/>
            <w:position w:val="1"/>
            <w:u w:val="single" w:color="0000FF"/>
          </w:rPr>
          <w:t>Hornbuckle</w:t>
        </w:r>
        <w:r>
          <w:rPr>
            <w:color w:val="0000FF"/>
            <w:spacing w:val="31"/>
            <w:position w:val="1"/>
            <w:u w:val="single" w:color="0000FF"/>
          </w:rPr>
          <w:t> </w:t>
        </w:r>
        <w:r>
          <w:rPr>
            <w:color w:val="0000FF"/>
            <w:position w:val="1"/>
            <w:u w:val="single" w:color="0000FF"/>
          </w:rPr>
          <w:t>(incorporated</w:t>
        </w:r>
        <w:r>
          <w:rPr>
            <w:color w:val="0000FF"/>
            <w:spacing w:val="31"/>
            <w:position w:val="1"/>
            <w:u w:val="single" w:color="0000FF"/>
          </w:rPr>
          <w:t> </w:t>
        </w:r>
        <w:r>
          <w:rPr>
            <w:color w:val="0000FF"/>
            <w:position w:val="1"/>
            <w:u w:val="single" w:color="0000FF"/>
          </w:rPr>
          <w:t>by</w:t>
        </w:r>
      </w:hyperlink>
      <w:r>
        <w:rPr>
          <w:color w:val="0000FF"/>
          <w:position w:val="1"/>
        </w:rPr>
        <w:t> </w:t>
      </w:r>
      <w:hyperlink r:id="rId65">
        <w:r>
          <w:rPr>
            <w:color w:val="0000FF"/>
            <w:u w:val="single" w:color="0000FF"/>
          </w:rPr>
          <w:t>reference to Exhibit 10.1 of the Company</w:t>
        </w:r>
        <w:r>
          <w:rPr>
            <w:color w:val="0000FF"/>
            <w:spacing w:val="-11"/>
            <w:u w:val="single" w:color="0000FF"/>
          </w:rPr>
          <w:t> </w:t>
        </w:r>
        <w:r>
          <w:rPr>
            <w:color w:val="0000FF"/>
            <w:u w:val="single" w:color="0000FF"/>
          </w:rPr>
          <w:t>’s Current Report on Form 8-K filed on</w:t>
        </w:r>
        <w:r>
          <w:rPr>
            <w:color w:val="0000FF"/>
            <w:spacing w:val="-5"/>
            <w:u w:val="single" w:color="0000FF"/>
          </w:rPr>
          <w:t> </w:t>
        </w:r>
        <w:r>
          <w:rPr>
            <w:color w:val="0000FF"/>
            <w:u w:val="single" w:color="0000FF"/>
          </w:rPr>
          <w:t>August 22, 2022).</w:t>
        </w:r>
      </w:hyperlink>
    </w:p>
    <w:p>
      <w:pPr>
        <w:pStyle w:val="BodyText"/>
        <w:tabs>
          <w:tab w:pos="1433" w:val="left" w:leader="none"/>
        </w:tabs>
        <w:spacing w:line="204" w:lineRule="auto" w:before="60"/>
        <w:ind w:left="1433" w:right="137" w:hanging="1271"/>
      </w:pPr>
      <w:r>
        <w:rPr>
          <w:spacing w:val="-2"/>
        </w:rPr>
        <w:t>*10.4(12)</w:t>
      </w:r>
      <w:r>
        <w:rPr/>
        <w:tab/>
      </w:r>
      <w:hyperlink r:id="rId66">
        <w:r>
          <w:rPr>
            <w:color w:val="0000FF"/>
            <w:position w:val="1"/>
            <w:u w:val="single" w:color="0000FF"/>
          </w:rPr>
          <w:t>Employment</w:t>
        </w:r>
        <w:r>
          <w:rPr>
            <w:color w:val="0000FF"/>
            <w:spacing w:val="-8"/>
            <w:position w:val="1"/>
            <w:u w:val="single" w:color="0000FF"/>
          </w:rPr>
          <w:t> </w:t>
        </w:r>
        <w:r>
          <w:rPr>
            <w:color w:val="0000FF"/>
            <w:position w:val="1"/>
            <w:u w:val="single" w:color="0000FF"/>
          </w:rPr>
          <w:t>Agreement, effective as of September 1, 2022, by</w:t>
        </w:r>
        <w:r>
          <w:rPr>
            <w:color w:val="0000FF"/>
            <w:spacing w:val="27"/>
            <w:position w:val="1"/>
            <w:u w:val="single" w:color="0000FF"/>
          </w:rPr>
          <w:t> </w:t>
        </w:r>
        <w:r>
          <w:rPr>
            <w:color w:val="0000FF"/>
            <w:position w:val="1"/>
            <w:u w:val="single" w:color="0000FF"/>
          </w:rPr>
          <w:t>and between the Company</w:t>
        </w:r>
        <w:r>
          <w:rPr>
            <w:color w:val="0000FF"/>
            <w:spacing w:val="27"/>
            <w:position w:val="1"/>
            <w:u w:val="single" w:color="0000FF"/>
          </w:rPr>
          <w:t> </w:t>
        </w:r>
        <w:r>
          <w:rPr>
            <w:color w:val="0000FF"/>
            <w:position w:val="1"/>
            <w:u w:val="single" w:color="0000FF"/>
          </w:rPr>
          <w:t>and Corey</w:t>
        </w:r>
        <w:r>
          <w:rPr>
            <w:color w:val="0000FF"/>
            <w:spacing w:val="27"/>
            <w:position w:val="1"/>
            <w:u w:val="single" w:color="0000FF"/>
          </w:rPr>
          <w:t> </w:t>
        </w:r>
        <w:r>
          <w:rPr>
            <w:color w:val="0000FF"/>
            <w:position w:val="1"/>
            <w:u w:val="single" w:color="0000FF"/>
          </w:rPr>
          <w:t>Sanders (incorporated by</w:t>
        </w:r>
        <w:r>
          <w:rPr>
            <w:color w:val="0000FF"/>
            <w:spacing w:val="27"/>
            <w:position w:val="1"/>
            <w:u w:val="single" w:color="0000FF"/>
          </w:rPr>
          <w:t> </w:t>
        </w:r>
        <w:r>
          <w:rPr>
            <w:color w:val="0000FF"/>
            <w:position w:val="1"/>
            <w:u w:val="single" w:color="0000FF"/>
          </w:rPr>
          <w:t>reference to</w:t>
        </w:r>
      </w:hyperlink>
      <w:r>
        <w:rPr>
          <w:color w:val="0000FF"/>
          <w:position w:val="1"/>
        </w:rPr>
        <w:t> </w:t>
      </w:r>
      <w:hyperlink r:id="rId66">
        <w:r>
          <w:rPr>
            <w:color w:val="0000FF"/>
            <w:u w:val="single" w:color="0000FF"/>
          </w:rPr>
          <w:t>Exhibit 10.2 of the Company</w:t>
        </w:r>
        <w:r>
          <w:rPr>
            <w:color w:val="0000FF"/>
            <w:spacing w:val="-10"/>
            <w:u w:val="single" w:color="0000FF"/>
          </w:rPr>
          <w:t> </w:t>
        </w:r>
        <w:r>
          <w:rPr>
            <w:color w:val="0000FF"/>
            <w:u w:val="single" w:color="0000FF"/>
          </w:rPr>
          <w:t>’s Current Report on Form 8-K filed on</w:t>
        </w:r>
        <w:r>
          <w:rPr>
            <w:color w:val="0000FF"/>
            <w:spacing w:val="-4"/>
            <w:u w:val="single" w:color="0000FF"/>
          </w:rPr>
          <w:t> </w:t>
        </w:r>
        <w:r>
          <w:rPr>
            <w:color w:val="0000FF"/>
            <w:u w:val="single" w:color="0000FF"/>
          </w:rPr>
          <w:t>August 22, 2022).</w:t>
        </w:r>
      </w:hyperlink>
    </w:p>
    <w:p>
      <w:pPr>
        <w:pStyle w:val="BodyText"/>
        <w:tabs>
          <w:tab w:pos="1433" w:val="left" w:leader="none"/>
        </w:tabs>
        <w:spacing w:line="187" w:lineRule="auto" w:before="68"/>
        <w:ind w:left="1433" w:right="137" w:hanging="1271"/>
      </w:pPr>
      <w:r>
        <w:rPr/>
        <mc:AlternateContent>
          <mc:Choice Requires="wps">
            <w:drawing>
              <wp:anchor distT="0" distB="0" distL="0" distR="0" allowOverlap="1" layoutInCell="1" locked="0" behindDoc="0" simplePos="0" relativeHeight="15894528">
                <wp:simplePos x="0" y="0"/>
                <wp:positionH relativeFrom="page">
                  <wp:posOffset>7513294</wp:posOffset>
                </wp:positionH>
                <wp:positionV relativeFrom="paragraph">
                  <wp:posOffset>133152</wp:posOffset>
                </wp:positionV>
                <wp:extent cx="19685" cy="8890"/>
                <wp:effectExtent l="0" t="0" r="0" b="0"/>
                <wp:wrapNone/>
                <wp:docPr id="762" name="Graphic 762"/>
                <wp:cNvGraphicFramePr>
                  <a:graphicFrameLocks/>
                </wp:cNvGraphicFramePr>
                <a:graphic>
                  <a:graphicData uri="http://schemas.microsoft.com/office/word/2010/wordprocessingShape">
                    <wps:wsp>
                      <wps:cNvPr id="762" name="Graphic 762"/>
                      <wps:cNvSpPr/>
                      <wps:spPr>
                        <a:xfrm>
                          <a:off x="0" y="0"/>
                          <a:ext cx="19685" cy="8890"/>
                        </a:xfrm>
                        <a:custGeom>
                          <a:avLst/>
                          <a:gdLst/>
                          <a:ahLst/>
                          <a:cxnLst/>
                          <a:rect l="l" t="t" r="r" b="b"/>
                          <a:pathLst>
                            <a:path w="19685" h="8890">
                              <a:moveTo>
                                <a:pt x="19113" y="0"/>
                              </a:moveTo>
                              <a:lnTo>
                                <a:pt x="0" y="0"/>
                              </a:lnTo>
                              <a:lnTo>
                                <a:pt x="0" y="8572"/>
                              </a:lnTo>
                              <a:lnTo>
                                <a:pt x="19113" y="8572"/>
                              </a:lnTo>
                              <a:lnTo>
                                <a:pt x="1911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598022pt;margin-top:10.484425pt;width:1.505pt;height:.675pt;mso-position-horizontal-relative:page;mso-position-vertical-relative:paragraph;z-index:15894528" id="docshape760" filled="true" fillcolor="#0000ff" stroked="false">
                <v:fill type="solid"/>
                <w10:wrap type="none"/>
              </v:rect>
            </w:pict>
          </mc:Fallback>
        </mc:AlternateContent>
      </w:r>
      <w:r>
        <w:rPr>
          <w:spacing w:val="-2"/>
        </w:rPr>
        <w:t>*10.4(13)</w:t>
      </w:r>
      <w:r>
        <w:rPr/>
        <w:tab/>
      </w:r>
      <w:hyperlink r:id="rId67">
        <w:r>
          <w:rPr>
            <w:color w:val="0000FF"/>
            <w:position w:val="1"/>
            <w:u w:val="single" w:color="0000FF"/>
          </w:rPr>
          <w:t>Employment</w:t>
        </w:r>
        <w:r>
          <w:rPr>
            <w:color w:val="0000FF"/>
            <w:spacing w:val="17"/>
            <w:position w:val="1"/>
            <w:u w:val="single" w:color="0000FF"/>
          </w:rPr>
          <w:t> </w:t>
        </w:r>
        <w:r>
          <w:rPr>
            <w:color w:val="0000FF"/>
            <w:position w:val="1"/>
            <w:u w:val="single" w:color="0000FF"/>
          </w:rPr>
          <w:t>Agreement,</w:t>
        </w:r>
        <w:r>
          <w:rPr>
            <w:color w:val="0000FF"/>
            <w:spacing w:val="26"/>
            <w:position w:val="1"/>
            <w:u w:val="single" w:color="0000FF"/>
          </w:rPr>
          <w:t> </w:t>
        </w:r>
        <w:r>
          <w:rPr>
            <w:color w:val="0000FF"/>
            <w:position w:val="1"/>
            <w:u w:val="single" w:color="0000FF"/>
          </w:rPr>
          <w:t>effective</w:t>
        </w:r>
        <w:r>
          <w:rPr>
            <w:color w:val="0000FF"/>
            <w:spacing w:val="26"/>
            <w:position w:val="1"/>
            <w:u w:val="single" w:color="0000FF"/>
          </w:rPr>
          <w:t> </w:t>
        </w:r>
        <w:r>
          <w:rPr>
            <w:color w:val="0000FF"/>
            <w:position w:val="1"/>
            <w:u w:val="single" w:color="0000FF"/>
          </w:rPr>
          <w:t>as</w:t>
        </w:r>
        <w:r>
          <w:rPr>
            <w:color w:val="0000FF"/>
            <w:spacing w:val="26"/>
            <w:position w:val="1"/>
            <w:u w:val="single" w:color="0000FF"/>
          </w:rPr>
          <w:t> </w:t>
        </w:r>
        <w:r>
          <w:rPr>
            <w:color w:val="0000FF"/>
            <w:position w:val="1"/>
            <w:u w:val="single" w:color="0000FF"/>
          </w:rPr>
          <w:t>of</w:t>
        </w:r>
        <w:r>
          <w:rPr>
            <w:color w:val="0000FF"/>
            <w:spacing w:val="26"/>
            <w:position w:val="1"/>
            <w:u w:val="single" w:color="0000FF"/>
          </w:rPr>
          <w:t> </w:t>
        </w:r>
        <w:r>
          <w:rPr>
            <w:color w:val="0000FF"/>
            <w:position w:val="1"/>
            <w:u w:val="single" w:color="0000FF"/>
          </w:rPr>
          <w:t>September</w:t>
        </w:r>
        <w:r>
          <w:rPr>
            <w:color w:val="0000FF"/>
            <w:spacing w:val="26"/>
            <w:position w:val="1"/>
            <w:u w:val="single" w:color="0000FF"/>
          </w:rPr>
          <w:t> </w:t>
        </w:r>
        <w:r>
          <w:rPr>
            <w:color w:val="0000FF"/>
            <w:position w:val="1"/>
            <w:u w:val="single" w:color="0000FF"/>
          </w:rPr>
          <w:t>1,</w:t>
        </w:r>
        <w:r>
          <w:rPr>
            <w:color w:val="0000FF"/>
            <w:spacing w:val="26"/>
            <w:position w:val="1"/>
            <w:u w:val="single" w:color="0000FF"/>
          </w:rPr>
          <w:t> </w:t>
        </w:r>
        <w:r>
          <w:rPr>
            <w:color w:val="0000FF"/>
            <w:position w:val="1"/>
            <w:u w:val="single" w:color="0000FF"/>
          </w:rPr>
          <w:t>2022,</w:t>
        </w:r>
        <w:r>
          <w:rPr>
            <w:color w:val="0000FF"/>
            <w:spacing w:val="26"/>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and</w:t>
        </w:r>
        <w:r>
          <w:rPr>
            <w:color w:val="0000FF"/>
            <w:spacing w:val="26"/>
            <w:position w:val="1"/>
            <w:u w:val="single" w:color="0000FF"/>
          </w:rPr>
          <w:t> </w:t>
        </w:r>
        <w:r>
          <w:rPr>
            <w:color w:val="0000FF"/>
            <w:position w:val="1"/>
            <w:u w:val="single" w:color="0000FF"/>
          </w:rPr>
          <w:t>between</w:t>
        </w:r>
        <w:r>
          <w:rPr>
            <w:color w:val="0000FF"/>
            <w:spacing w:val="26"/>
            <w:position w:val="1"/>
            <w:u w:val="single" w:color="0000FF"/>
          </w:rPr>
          <w:t> </w:t>
        </w:r>
        <w:r>
          <w:rPr>
            <w:color w:val="0000FF"/>
            <w:position w:val="1"/>
            <w:u w:val="single" w:color="0000FF"/>
          </w:rPr>
          <w:t>the</w:t>
        </w:r>
        <w:r>
          <w:rPr>
            <w:color w:val="0000FF"/>
            <w:spacing w:val="26"/>
            <w:position w:val="1"/>
            <w:u w:val="single" w:color="0000FF"/>
          </w:rPr>
          <w:t> </w:t>
        </w:r>
        <w:r>
          <w:rPr>
            <w:color w:val="0000FF"/>
            <w:position w:val="1"/>
            <w:u w:val="single" w:color="0000FF"/>
          </w:rPr>
          <w:t>Company</w:t>
        </w:r>
        <w:r>
          <w:rPr>
            <w:color w:val="0000FF"/>
            <w:spacing w:val="40"/>
            <w:position w:val="1"/>
            <w:u w:val="single" w:color="0000FF"/>
          </w:rPr>
          <w:t> </w:t>
        </w:r>
        <w:r>
          <w:rPr>
            <w:color w:val="0000FF"/>
            <w:position w:val="1"/>
            <w:u w:val="single" w:color="0000FF"/>
          </w:rPr>
          <w:t>and</w:t>
        </w:r>
        <w:r>
          <w:rPr>
            <w:color w:val="0000FF"/>
            <w:spacing w:val="26"/>
            <w:position w:val="1"/>
            <w:u w:val="single" w:color="0000FF"/>
          </w:rPr>
          <w:t> </w:t>
        </w:r>
        <w:r>
          <w:rPr>
            <w:color w:val="0000FF"/>
            <w:position w:val="1"/>
            <w:u w:val="single" w:color="0000FF"/>
          </w:rPr>
          <w:t>Jonathan</w:t>
        </w:r>
        <w:r>
          <w:rPr>
            <w:color w:val="0000FF"/>
            <w:spacing w:val="26"/>
            <w:position w:val="1"/>
            <w:u w:val="single" w:color="0000FF"/>
          </w:rPr>
          <w:t> </w:t>
        </w:r>
        <w:r>
          <w:rPr>
            <w:color w:val="0000FF"/>
            <w:position w:val="1"/>
            <w:u w:val="single" w:color="0000FF"/>
          </w:rPr>
          <w:t>S.</w:t>
        </w:r>
        <w:r>
          <w:rPr>
            <w:color w:val="0000FF"/>
            <w:spacing w:val="26"/>
            <w:position w:val="1"/>
            <w:u w:val="single" w:color="0000FF"/>
          </w:rPr>
          <w:t> </w:t>
        </w:r>
        <w:r>
          <w:rPr>
            <w:color w:val="0000FF"/>
            <w:position w:val="1"/>
            <w:u w:val="single" w:color="0000FF"/>
          </w:rPr>
          <w:t>Halkyard</w:t>
        </w:r>
        <w:r>
          <w:rPr>
            <w:color w:val="0000FF"/>
            <w:spacing w:val="26"/>
            <w:position w:val="1"/>
            <w:u w:val="single" w:color="0000FF"/>
          </w:rPr>
          <w:t> </w:t>
        </w:r>
        <w:r>
          <w:rPr>
            <w:color w:val="0000FF"/>
            <w:position w:val="1"/>
            <w:u w:val="single" w:color="0000FF"/>
          </w:rPr>
          <w:t>(incorporated</w:t>
        </w:r>
        <w:r>
          <w:rPr>
            <w:color w:val="0000FF"/>
            <w:spacing w:val="26"/>
            <w:position w:val="1"/>
            <w:u w:val="single" w:color="0000FF"/>
          </w:rPr>
          <w:t> </w:t>
        </w:r>
        <w:r>
          <w:rPr>
            <w:color w:val="0000FF"/>
            <w:position w:val="1"/>
            <w:u w:val="single" w:color="0000FF"/>
          </w:rPr>
          <w:t>by</w:t>
        </w:r>
      </w:hyperlink>
      <w:r>
        <w:rPr>
          <w:color w:val="0000FF"/>
          <w:position w:val="1"/>
        </w:rPr>
        <w:t> </w:t>
      </w:r>
      <w:hyperlink r:id="rId67">
        <w:r>
          <w:rPr>
            <w:color w:val="0000FF"/>
            <w:u w:val="single" w:color="0000FF"/>
          </w:rPr>
          <w:t>reference to Exhibit 10.3 of the Company</w:t>
        </w:r>
        <w:r>
          <w:rPr>
            <w:color w:val="0000FF"/>
            <w:spacing w:val="-11"/>
            <w:u w:val="single" w:color="0000FF"/>
          </w:rPr>
          <w:t> </w:t>
        </w:r>
        <w:r>
          <w:rPr>
            <w:color w:val="0000FF"/>
            <w:u w:val="single" w:color="0000FF"/>
          </w:rPr>
          <w:t>’s Current Report on Form 8-K filed on</w:t>
        </w:r>
        <w:r>
          <w:rPr>
            <w:color w:val="0000FF"/>
            <w:spacing w:val="-5"/>
            <w:u w:val="single" w:color="0000FF"/>
          </w:rPr>
          <w:t> </w:t>
        </w:r>
        <w:r>
          <w:rPr>
            <w:color w:val="0000FF"/>
            <w:u w:val="single" w:color="0000FF"/>
          </w:rPr>
          <w:t>August 22, 2022).</w:t>
        </w:r>
      </w:hyperlink>
    </w:p>
    <w:p>
      <w:pPr>
        <w:pStyle w:val="BodyText"/>
        <w:tabs>
          <w:tab w:pos="1433" w:val="left" w:leader="none"/>
        </w:tabs>
        <w:spacing w:line="187" w:lineRule="auto" w:before="86"/>
        <w:ind w:left="1433" w:right="137" w:hanging="1271"/>
      </w:pPr>
      <w:r>
        <w:rPr>
          <w:spacing w:val="-2"/>
        </w:rPr>
        <w:t>*10.4(14)</w:t>
      </w:r>
      <w:r>
        <w:rPr/>
        <w:tab/>
      </w:r>
      <w:hyperlink r:id="rId68">
        <w:r>
          <w:rPr>
            <w:color w:val="0000FF"/>
            <w:position w:val="1"/>
            <w:u w:val="single" w:color="0000FF"/>
          </w:rPr>
          <w:t>Employment</w:t>
        </w:r>
        <w:r>
          <w:rPr>
            <w:color w:val="0000FF"/>
            <w:spacing w:val="-10"/>
            <w:position w:val="1"/>
            <w:u w:val="single" w:color="0000FF"/>
          </w:rPr>
          <w:t> </w:t>
        </w:r>
        <w:r>
          <w:rPr>
            <w:color w:val="0000FF"/>
            <w:position w:val="1"/>
            <w:u w:val="single" w:color="0000FF"/>
          </w:rPr>
          <w:t>Agreement,</w:t>
        </w:r>
        <w:r>
          <w:rPr>
            <w:color w:val="0000FF"/>
            <w:spacing w:val="-1"/>
            <w:position w:val="1"/>
            <w:u w:val="single" w:color="0000FF"/>
          </w:rPr>
          <w:t> </w:t>
        </w:r>
        <w:r>
          <w:rPr>
            <w:color w:val="0000FF"/>
            <w:position w:val="1"/>
            <w:u w:val="single" w:color="0000FF"/>
          </w:rPr>
          <w:t>effective</w:t>
        </w:r>
        <w:r>
          <w:rPr>
            <w:color w:val="0000FF"/>
            <w:spacing w:val="-1"/>
            <w:position w:val="1"/>
            <w:u w:val="single" w:color="0000FF"/>
          </w:rPr>
          <w:t> </w:t>
        </w:r>
        <w:r>
          <w:rPr>
            <w:color w:val="0000FF"/>
            <w:position w:val="1"/>
            <w:u w:val="single" w:color="0000FF"/>
          </w:rPr>
          <w:t>as</w:t>
        </w:r>
        <w:r>
          <w:rPr>
            <w:color w:val="0000FF"/>
            <w:spacing w:val="-1"/>
            <w:position w:val="1"/>
            <w:u w:val="single" w:color="0000FF"/>
          </w:rPr>
          <w:t> </w:t>
        </w:r>
        <w:r>
          <w:rPr>
            <w:color w:val="0000FF"/>
            <w:position w:val="1"/>
            <w:u w:val="single" w:color="0000FF"/>
          </w:rPr>
          <w:t>of</w:t>
        </w:r>
        <w:r>
          <w:rPr>
            <w:color w:val="0000FF"/>
            <w:spacing w:val="-1"/>
            <w:position w:val="1"/>
            <w:u w:val="single" w:color="0000FF"/>
          </w:rPr>
          <w:t> </w:t>
        </w:r>
        <w:r>
          <w:rPr>
            <w:color w:val="0000FF"/>
            <w:position w:val="1"/>
            <w:u w:val="single" w:color="0000FF"/>
          </w:rPr>
          <w:t>September</w:t>
        </w:r>
        <w:r>
          <w:rPr>
            <w:color w:val="0000FF"/>
            <w:spacing w:val="-1"/>
            <w:position w:val="1"/>
            <w:u w:val="single" w:color="0000FF"/>
          </w:rPr>
          <w:t> </w:t>
        </w:r>
        <w:r>
          <w:rPr>
            <w:color w:val="0000FF"/>
            <w:position w:val="1"/>
            <w:u w:val="single" w:color="0000FF"/>
          </w:rPr>
          <w:t>1,</w:t>
        </w:r>
        <w:r>
          <w:rPr>
            <w:color w:val="0000FF"/>
            <w:spacing w:val="-1"/>
            <w:position w:val="1"/>
            <w:u w:val="single" w:color="0000FF"/>
          </w:rPr>
          <w:t> </w:t>
        </w:r>
        <w:r>
          <w:rPr>
            <w:color w:val="0000FF"/>
            <w:position w:val="1"/>
            <w:u w:val="single" w:color="0000FF"/>
          </w:rPr>
          <w:t>2022,</w:t>
        </w:r>
        <w:r>
          <w:rPr>
            <w:color w:val="0000FF"/>
            <w:spacing w:val="-1"/>
            <w:position w:val="1"/>
            <w:u w:val="single" w:color="0000FF"/>
          </w:rPr>
          <w:t> </w:t>
        </w:r>
        <w:r>
          <w:rPr>
            <w:color w:val="0000FF"/>
            <w:position w:val="1"/>
            <w:u w:val="single" w:color="0000FF"/>
          </w:rPr>
          <w:t>by</w:t>
        </w:r>
        <w:r>
          <w:rPr>
            <w:color w:val="0000FF"/>
            <w:spacing w:val="25"/>
            <w:position w:val="1"/>
            <w:u w:val="single" w:color="0000FF"/>
          </w:rPr>
          <w:t> </w:t>
        </w:r>
        <w:r>
          <w:rPr>
            <w:color w:val="0000FF"/>
            <w:position w:val="1"/>
            <w:u w:val="single" w:color="0000FF"/>
          </w:rPr>
          <w:t>and</w:t>
        </w:r>
        <w:r>
          <w:rPr>
            <w:color w:val="0000FF"/>
            <w:spacing w:val="-1"/>
            <w:position w:val="1"/>
            <w:u w:val="single" w:color="0000FF"/>
          </w:rPr>
          <w:t> </w:t>
        </w:r>
        <w:r>
          <w:rPr>
            <w:color w:val="0000FF"/>
            <w:position w:val="1"/>
            <w:u w:val="single" w:color="0000FF"/>
          </w:rPr>
          <w:t>between</w:t>
        </w:r>
        <w:r>
          <w:rPr>
            <w:color w:val="0000FF"/>
            <w:spacing w:val="-1"/>
            <w:position w:val="1"/>
            <w:u w:val="single" w:color="0000FF"/>
          </w:rPr>
          <w:t> </w:t>
        </w:r>
        <w:r>
          <w:rPr>
            <w:color w:val="0000FF"/>
            <w:position w:val="1"/>
            <w:u w:val="single" w:color="0000FF"/>
          </w:rPr>
          <w:t>the</w:t>
        </w:r>
        <w:r>
          <w:rPr>
            <w:color w:val="0000FF"/>
            <w:spacing w:val="-1"/>
            <w:position w:val="1"/>
            <w:u w:val="single" w:color="0000FF"/>
          </w:rPr>
          <w:t> </w:t>
        </w:r>
        <w:r>
          <w:rPr>
            <w:color w:val="0000FF"/>
            <w:position w:val="1"/>
            <w:u w:val="single" w:color="0000FF"/>
          </w:rPr>
          <w:t>Company</w:t>
        </w:r>
        <w:r>
          <w:rPr>
            <w:color w:val="0000FF"/>
            <w:spacing w:val="25"/>
            <w:position w:val="1"/>
            <w:u w:val="single" w:color="0000FF"/>
          </w:rPr>
          <w:t> </w:t>
        </w:r>
        <w:r>
          <w:rPr>
            <w:color w:val="0000FF"/>
            <w:position w:val="1"/>
            <w:u w:val="single" w:color="0000FF"/>
          </w:rPr>
          <w:t>and</w:t>
        </w:r>
        <w:r>
          <w:rPr>
            <w:color w:val="0000FF"/>
            <w:spacing w:val="-1"/>
            <w:position w:val="1"/>
            <w:u w:val="single" w:color="0000FF"/>
          </w:rPr>
          <w:t> </w:t>
        </w:r>
        <w:r>
          <w:rPr>
            <w:color w:val="0000FF"/>
            <w:position w:val="1"/>
            <w:u w:val="single" w:color="0000FF"/>
          </w:rPr>
          <w:t>John</w:t>
        </w:r>
        <w:r>
          <w:rPr>
            <w:color w:val="0000FF"/>
            <w:spacing w:val="-1"/>
            <w:position w:val="1"/>
            <w:u w:val="single" w:color="0000FF"/>
          </w:rPr>
          <w:t> </w:t>
        </w:r>
        <w:r>
          <w:rPr>
            <w:color w:val="0000FF"/>
            <w:position w:val="1"/>
            <w:u w:val="single" w:color="0000FF"/>
          </w:rPr>
          <w:t>McManus</w:t>
        </w:r>
        <w:r>
          <w:rPr>
            <w:color w:val="0000FF"/>
            <w:spacing w:val="-1"/>
            <w:position w:val="1"/>
            <w:u w:val="single" w:color="0000FF"/>
          </w:rPr>
          <w:t> </w:t>
        </w:r>
        <w:r>
          <w:rPr>
            <w:color w:val="0000FF"/>
            <w:position w:val="1"/>
            <w:u w:val="single" w:color="0000FF"/>
          </w:rPr>
          <w:t>(incorporated</w:t>
        </w:r>
        <w:r>
          <w:rPr>
            <w:color w:val="0000FF"/>
            <w:spacing w:val="-1"/>
            <w:position w:val="1"/>
            <w:u w:val="single" w:color="0000FF"/>
          </w:rPr>
          <w:t> </w:t>
        </w:r>
        <w:r>
          <w:rPr>
            <w:color w:val="0000FF"/>
            <w:position w:val="1"/>
            <w:u w:val="single" w:color="0000FF"/>
          </w:rPr>
          <w:t>by</w:t>
        </w:r>
        <w:r>
          <w:rPr>
            <w:color w:val="0000FF"/>
            <w:spacing w:val="25"/>
            <w:position w:val="1"/>
            <w:u w:val="single" w:color="0000FF"/>
          </w:rPr>
          <w:t> </w:t>
        </w:r>
        <w:r>
          <w:rPr>
            <w:color w:val="0000FF"/>
            <w:position w:val="1"/>
            <w:u w:val="single" w:color="0000FF"/>
          </w:rPr>
          <w:t>reference</w:t>
        </w:r>
        <w:r>
          <w:rPr>
            <w:color w:val="0000FF"/>
            <w:spacing w:val="-1"/>
            <w:position w:val="1"/>
            <w:u w:val="single" w:color="0000FF"/>
          </w:rPr>
          <w:t> </w:t>
        </w:r>
        <w:r>
          <w:rPr>
            <w:color w:val="0000FF"/>
            <w:position w:val="1"/>
            <w:u w:val="single" w:color="0000FF"/>
          </w:rPr>
          <w:t>to</w:t>
        </w:r>
      </w:hyperlink>
      <w:r>
        <w:rPr>
          <w:color w:val="0000FF"/>
          <w:position w:val="1"/>
        </w:rPr>
        <w:t> </w:t>
      </w:r>
      <w:hyperlink r:id="rId68">
        <w:r>
          <w:rPr>
            <w:color w:val="0000FF"/>
            <w:u w:val="single" w:color="0000FF"/>
          </w:rPr>
          <w:t>Exhibit 10.4 of the Company</w:t>
        </w:r>
        <w:r>
          <w:rPr>
            <w:color w:val="0000FF"/>
            <w:spacing w:val="-10"/>
            <w:u w:val="single" w:color="0000FF"/>
          </w:rPr>
          <w:t> </w:t>
        </w:r>
        <w:r>
          <w:rPr>
            <w:color w:val="0000FF"/>
            <w:u w:val="single" w:color="0000FF"/>
          </w:rPr>
          <w:t>’s Current Report on Form 8-K filed on</w:t>
        </w:r>
        <w:r>
          <w:rPr>
            <w:color w:val="0000FF"/>
            <w:spacing w:val="-4"/>
            <w:u w:val="single" w:color="0000FF"/>
          </w:rPr>
          <w:t> </w:t>
        </w:r>
        <w:r>
          <w:rPr>
            <w:color w:val="0000FF"/>
            <w:u w:val="single" w:color="0000FF"/>
          </w:rPr>
          <w:t>August 22, 2022).</w:t>
        </w:r>
      </w:hyperlink>
    </w:p>
    <w:p>
      <w:pPr>
        <w:pStyle w:val="BodyText"/>
        <w:tabs>
          <w:tab w:pos="1433" w:val="left" w:leader="none"/>
        </w:tabs>
        <w:spacing w:before="49"/>
        <w:ind w:left="162"/>
      </w:pPr>
      <w:r>
        <w:rPr>
          <w:spacing w:val="-2"/>
          <w:position w:val="1"/>
        </w:rPr>
        <w:t>*10.4(15)</w:t>
      </w:r>
      <w:r>
        <w:rPr>
          <w:position w:val="1"/>
        </w:rPr>
        <w:tab/>
      </w:r>
      <w:hyperlink w:history="true" w:anchor="_bookmark34">
        <w:r>
          <w:rPr>
            <w:color w:val="0000FF"/>
            <w:u w:val="single" w:color="0000FF"/>
          </w:rPr>
          <w:t>First</w:t>
        </w:r>
        <w:r>
          <w:rPr>
            <w:color w:val="0000FF"/>
            <w:spacing w:val="-14"/>
            <w:u w:val="single" w:color="0000FF"/>
          </w:rPr>
          <w:t> </w:t>
        </w:r>
        <w:r>
          <w:rPr>
            <w:color w:val="0000FF"/>
            <w:u w:val="single" w:color="0000FF"/>
          </w:rPr>
          <w:t>Amendment</w:t>
        </w:r>
        <w:r>
          <w:rPr>
            <w:color w:val="0000FF"/>
            <w:spacing w:val="-8"/>
            <w:u w:val="single" w:color="0000FF"/>
          </w:rPr>
          <w:t> </w:t>
        </w:r>
        <w:r>
          <w:rPr>
            <w:color w:val="0000FF"/>
            <w:u w:val="single" w:color="0000FF"/>
          </w:rPr>
          <w:t>to</w:t>
        </w:r>
        <w:r>
          <w:rPr>
            <w:color w:val="0000FF"/>
            <w:spacing w:val="-5"/>
            <w:u w:val="single" w:color="0000FF"/>
          </w:rPr>
          <w:t> </w:t>
        </w:r>
        <w:r>
          <w:rPr>
            <w:color w:val="0000FF"/>
            <w:u w:val="single" w:color="0000FF"/>
          </w:rPr>
          <w:t>Employment</w:t>
        </w:r>
        <w:r>
          <w:rPr>
            <w:color w:val="0000FF"/>
            <w:spacing w:val="-11"/>
            <w:u w:val="single" w:color="0000FF"/>
          </w:rPr>
          <w:t> </w:t>
        </w:r>
        <w:r>
          <w:rPr>
            <w:color w:val="0000FF"/>
            <w:u w:val="single" w:color="0000FF"/>
          </w:rPr>
          <w:t>Agreement,</w:t>
        </w:r>
        <w:r>
          <w:rPr>
            <w:color w:val="0000FF"/>
            <w:spacing w:val="-4"/>
            <w:u w:val="single" w:color="0000FF"/>
          </w:rPr>
          <w:t> </w:t>
        </w:r>
        <w:r>
          <w:rPr>
            <w:color w:val="0000FF"/>
            <w:u w:val="single" w:color="0000FF"/>
          </w:rPr>
          <w:t>dated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December</w:t>
        </w:r>
        <w:r>
          <w:rPr>
            <w:color w:val="0000FF"/>
            <w:spacing w:val="-4"/>
            <w:u w:val="single" w:color="0000FF"/>
          </w:rPr>
          <w:t> </w:t>
        </w:r>
        <w:r>
          <w:rPr>
            <w:color w:val="0000FF"/>
            <w:u w:val="single" w:color="0000FF"/>
          </w:rPr>
          <w:t>6,</w:t>
        </w:r>
        <w:r>
          <w:rPr>
            <w:color w:val="0000FF"/>
            <w:spacing w:val="-5"/>
            <w:u w:val="single" w:color="0000FF"/>
          </w:rPr>
          <w:t> </w:t>
        </w:r>
        <w:r>
          <w:rPr>
            <w:color w:val="0000FF"/>
            <w:u w:val="single" w:color="0000FF"/>
          </w:rPr>
          <w:t>2022,</w:t>
        </w:r>
        <w:r>
          <w:rPr>
            <w:color w:val="0000FF"/>
            <w:spacing w:val="-5"/>
            <w:u w:val="single" w:color="0000FF"/>
          </w:rPr>
          <w:t> </w:t>
        </w:r>
        <w:r>
          <w:rPr>
            <w:color w:val="0000FF"/>
            <w:u w:val="single" w:color="0000FF"/>
          </w:rPr>
          <w:t>by</w:t>
        </w:r>
        <w:r>
          <w:rPr>
            <w:color w:val="0000FF"/>
            <w:spacing w:val="24"/>
            <w:u w:val="single" w:color="0000FF"/>
          </w:rPr>
          <w:t> </w:t>
        </w:r>
        <w:r>
          <w:rPr>
            <w:color w:val="0000FF"/>
            <w:u w:val="single" w:color="0000FF"/>
          </w:rPr>
          <w:t>and</w:t>
        </w:r>
        <w:r>
          <w:rPr>
            <w:color w:val="0000FF"/>
            <w:spacing w:val="-5"/>
            <w:u w:val="single" w:color="0000FF"/>
          </w:rPr>
          <w:t> </w:t>
        </w:r>
        <w:r>
          <w:rPr>
            <w:color w:val="0000FF"/>
            <w:u w:val="single" w:color="0000FF"/>
          </w:rPr>
          <w:t>between</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Company</w:t>
        </w:r>
        <w:r>
          <w:rPr>
            <w:color w:val="0000FF"/>
            <w:spacing w:val="24"/>
            <w:u w:val="single" w:color="0000FF"/>
          </w:rPr>
          <w:t> </w:t>
        </w:r>
        <w:r>
          <w:rPr>
            <w:color w:val="0000FF"/>
            <w:u w:val="single" w:color="0000FF"/>
          </w:rPr>
          <w:t>and</w:t>
        </w:r>
        <w:r>
          <w:rPr>
            <w:color w:val="0000FF"/>
            <w:spacing w:val="-8"/>
            <w:u w:val="single" w:color="0000FF"/>
          </w:rPr>
          <w:t> </w:t>
        </w:r>
        <w:r>
          <w:rPr>
            <w:color w:val="0000FF"/>
            <w:u w:val="single" w:color="0000FF"/>
          </w:rPr>
          <w:t>William</w:t>
        </w:r>
        <w:r>
          <w:rPr>
            <w:color w:val="0000FF"/>
            <w:spacing w:val="-4"/>
            <w:u w:val="single" w:color="0000FF"/>
          </w:rPr>
          <w:t> </w:t>
        </w:r>
        <w:r>
          <w:rPr>
            <w:color w:val="0000FF"/>
            <w:spacing w:val="-2"/>
            <w:u w:val="single" w:color="0000FF"/>
          </w:rPr>
          <w:t>Hornbuckle.</w:t>
        </w:r>
      </w:hyperlink>
    </w:p>
    <w:p>
      <w:pPr>
        <w:pStyle w:val="BodyText"/>
        <w:tabs>
          <w:tab w:pos="1433" w:val="left" w:leader="none"/>
        </w:tabs>
        <w:spacing w:before="39"/>
        <w:ind w:left="162"/>
      </w:pPr>
      <w:r>
        <w:rPr>
          <w:spacing w:val="-2"/>
          <w:position w:val="1"/>
        </w:rPr>
        <w:t>*10.4(16)</w:t>
      </w:r>
      <w:r>
        <w:rPr>
          <w:position w:val="1"/>
        </w:rPr>
        <w:tab/>
      </w:r>
      <w:hyperlink w:history="true" w:anchor="_bookmark35">
        <w:r>
          <w:rPr>
            <w:color w:val="0000FF"/>
            <w:u w:val="single" w:color="0000FF"/>
          </w:rPr>
          <w:t>First</w:t>
        </w:r>
        <w:r>
          <w:rPr>
            <w:color w:val="0000FF"/>
            <w:spacing w:val="-14"/>
            <w:u w:val="single" w:color="0000FF"/>
          </w:rPr>
          <w:t> </w:t>
        </w:r>
        <w:r>
          <w:rPr>
            <w:color w:val="0000FF"/>
            <w:u w:val="single" w:color="0000FF"/>
          </w:rPr>
          <w:t>Amendment</w:t>
        </w:r>
        <w:r>
          <w:rPr>
            <w:color w:val="0000FF"/>
            <w:spacing w:val="-10"/>
            <w:u w:val="single" w:color="0000FF"/>
          </w:rPr>
          <w:t> </w:t>
        </w:r>
        <w:r>
          <w:rPr>
            <w:color w:val="0000FF"/>
            <w:u w:val="single" w:color="0000FF"/>
          </w:rPr>
          <w:t>to</w:t>
        </w:r>
        <w:r>
          <w:rPr>
            <w:color w:val="0000FF"/>
            <w:spacing w:val="-6"/>
            <w:u w:val="single" w:color="0000FF"/>
          </w:rPr>
          <w:t> </w:t>
        </w:r>
        <w:r>
          <w:rPr>
            <w:color w:val="0000FF"/>
            <w:u w:val="single" w:color="0000FF"/>
          </w:rPr>
          <w:t>Employment</w:t>
        </w:r>
        <w:r>
          <w:rPr>
            <w:color w:val="0000FF"/>
            <w:spacing w:val="-11"/>
            <w:u w:val="single" w:color="0000FF"/>
          </w:rPr>
          <w:t> </w:t>
        </w:r>
        <w:r>
          <w:rPr>
            <w:color w:val="0000FF"/>
            <w:u w:val="single" w:color="0000FF"/>
          </w:rPr>
          <w:t>Agreement,</w:t>
        </w:r>
        <w:r>
          <w:rPr>
            <w:color w:val="0000FF"/>
            <w:spacing w:val="-6"/>
            <w:u w:val="single" w:color="0000FF"/>
          </w:rPr>
          <w:t> </w:t>
        </w:r>
        <w:r>
          <w:rPr>
            <w:color w:val="0000FF"/>
            <w:u w:val="single" w:color="0000FF"/>
          </w:rPr>
          <w:t>dated</w:t>
        </w:r>
        <w:r>
          <w:rPr>
            <w:color w:val="0000FF"/>
            <w:spacing w:val="-6"/>
            <w:u w:val="single" w:color="0000FF"/>
          </w:rPr>
          <w:t> </w:t>
        </w:r>
        <w:r>
          <w:rPr>
            <w:color w:val="0000FF"/>
            <w:u w:val="single" w:color="0000FF"/>
          </w:rPr>
          <w:t>as</w:t>
        </w:r>
        <w:r>
          <w:rPr>
            <w:color w:val="0000FF"/>
            <w:spacing w:val="-6"/>
            <w:u w:val="single" w:color="0000FF"/>
          </w:rPr>
          <w:t> </w:t>
        </w:r>
        <w:r>
          <w:rPr>
            <w:color w:val="0000FF"/>
            <w:u w:val="single" w:color="0000FF"/>
          </w:rPr>
          <w:t>of</w:t>
        </w:r>
        <w:r>
          <w:rPr>
            <w:color w:val="0000FF"/>
            <w:spacing w:val="-5"/>
            <w:u w:val="single" w:color="0000FF"/>
          </w:rPr>
          <w:t> </w:t>
        </w:r>
        <w:r>
          <w:rPr>
            <w:color w:val="0000FF"/>
            <w:u w:val="single" w:color="0000FF"/>
          </w:rPr>
          <w:t>December</w:t>
        </w:r>
        <w:r>
          <w:rPr>
            <w:color w:val="0000FF"/>
            <w:spacing w:val="-6"/>
            <w:u w:val="single" w:color="0000FF"/>
          </w:rPr>
          <w:t> </w:t>
        </w:r>
        <w:r>
          <w:rPr>
            <w:color w:val="0000FF"/>
            <w:u w:val="single" w:color="0000FF"/>
          </w:rPr>
          <w:t>6,</w:t>
        </w:r>
        <w:r>
          <w:rPr>
            <w:color w:val="0000FF"/>
            <w:spacing w:val="-6"/>
            <w:u w:val="single" w:color="0000FF"/>
          </w:rPr>
          <w:t> </w:t>
        </w:r>
        <w:r>
          <w:rPr>
            <w:color w:val="0000FF"/>
            <w:u w:val="single" w:color="0000FF"/>
          </w:rPr>
          <w:t>2022,</w:t>
        </w:r>
        <w:r>
          <w:rPr>
            <w:color w:val="0000FF"/>
            <w:spacing w:val="-5"/>
            <w:u w:val="single" w:color="0000FF"/>
          </w:rPr>
          <w:t> </w:t>
        </w:r>
        <w:r>
          <w:rPr>
            <w:color w:val="0000FF"/>
            <w:u w:val="single" w:color="0000FF"/>
          </w:rPr>
          <w:t>by</w:t>
        </w:r>
        <w:r>
          <w:rPr>
            <w:color w:val="0000FF"/>
            <w:spacing w:val="21"/>
            <w:u w:val="single" w:color="0000FF"/>
          </w:rPr>
          <w:t> </w:t>
        </w:r>
        <w:r>
          <w:rPr>
            <w:color w:val="0000FF"/>
            <w:u w:val="single" w:color="0000FF"/>
          </w:rPr>
          <w:t>and</w:t>
        </w:r>
        <w:r>
          <w:rPr>
            <w:color w:val="0000FF"/>
            <w:spacing w:val="-5"/>
            <w:u w:val="single" w:color="0000FF"/>
          </w:rPr>
          <w:t> </w:t>
        </w:r>
        <w:r>
          <w:rPr>
            <w:color w:val="0000FF"/>
            <w:u w:val="single" w:color="0000FF"/>
          </w:rPr>
          <w:t>between</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22"/>
            <w:u w:val="single" w:color="0000FF"/>
          </w:rPr>
          <w:t> </w:t>
        </w:r>
        <w:r>
          <w:rPr>
            <w:color w:val="0000FF"/>
            <w:u w:val="single" w:color="0000FF"/>
          </w:rPr>
          <w:t>and</w:t>
        </w:r>
        <w:r>
          <w:rPr>
            <w:color w:val="0000FF"/>
            <w:spacing w:val="-5"/>
            <w:u w:val="single" w:color="0000FF"/>
          </w:rPr>
          <w:t> </w:t>
        </w:r>
        <w:r>
          <w:rPr>
            <w:color w:val="0000FF"/>
            <w:u w:val="single" w:color="0000FF"/>
          </w:rPr>
          <w:t>Corey</w:t>
        </w:r>
        <w:r>
          <w:rPr>
            <w:color w:val="0000FF"/>
            <w:spacing w:val="22"/>
            <w:u w:val="single" w:color="0000FF"/>
          </w:rPr>
          <w:t> </w:t>
        </w:r>
        <w:r>
          <w:rPr>
            <w:color w:val="0000FF"/>
            <w:spacing w:val="-2"/>
            <w:u w:val="single" w:color="0000FF"/>
          </w:rPr>
          <w:t>Sanders.</w:t>
        </w:r>
      </w:hyperlink>
    </w:p>
    <w:p>
      <w:pPr>
        <w:pStyle w:val="BodyText"/>
        <w:tabs>
          <w:tab w:pos="1433" w:val="left" w:leader="none"/>
        </w:tabs>
        <w:spacing w:before="50"/>
        <w:ind w:left="162"/>
      </w:pPr>
      <w:r>
        <w:rPr>
          <w:spacing w:val="-2"/>
        </w:rPr>
        <w:t>*10.4(17)</w:t>
      </w:r>
      <w:r>
        <w:rPr/>
        <w:tab/>
      </w:r>
      <w:hyperlink w:history="true" w:anchor="_bookmark36">
        <w:r>
          <w:rPr>
            <w:color w:val="0000FF"/>
            <w:u w:val="single" w:color="0000FF"/>
          </w:rPr>
          <w:t>First</w:t>
        </w:r>
        <w:r>
          <w:rPr>
            <w:color w:val="0000FF"/>
            <w:spacing w:val="-14"/>
            <w:u w:val="single" w:color="0000FF"/>
          </w:rPr>
          <w:t> </w:t>
        </w:r>
        <w:r>
          <w:rPr>
            <w:color w:val="0000FF"/>
            <w:u w:val="single" w:color="0000FF"/>
          </w:rPr>
          <w:t>Amendment</w:t>
        </w:r>
        <w:r>
          <w:rPr>
            <w:color w:val="0000FF"/>
            <w:spacing w:val="-7"/>
            <w:u w:val="single" w:color="0000FF"/>
          </w:rPr>
          <w:t> </w:t>
        </w:r>
        <w:r>
          <w:rPr>
            <w:color w:val="0000FF"/>
            <w:u w:val="single" w:color="0000FF"/>
          </w:rPr>
          <w:t>to</w:t>
        </w:r>
        <w:r>
          <w:rPr>
            <w:color w:val="0000FF"/>
            <w:spacing w:val="-4"/>
            <w:u w:val="single" w:color="0000FF"/>
          </w:rPr>
          <w:t> </w:t>
        </w:r>
        <w:r>
          <w:rPr>
            <w:color w:val="0000FF"/>
            <w:u w:val="single" w:color="0000FF"/>
          </w:rPr>
          <w:t>Employment</w:t>
        </w:r>
        <w:r>
          <w:rPr>
            <w:color w:val="0000FF"/>
            <w:spacing w:val="-11"/>
            <w:u w:val="single" w:color="0000FF"/>
          </w:rPr>
          <w:t> </w:t>
        </w:r>
        <w:r>
          <w:rPr>
            <w:color w:val="0000FF"/>
            <w:u w:val="single" w:color="0000FF"/>
          </w:rPr>
          <w:t>Agreement,</w:t>
        </w:r>
        <w:r>
          <w:rPr>
            <w:color w:val="0000FF"/>
            <w:spacing w:val="-4"/>
            <w:u w:val="single" w:color="0000FF"/>
          </w:rPr>
          <w:t> </w:t>
        </w:r>
        <w:r>
          <w:rPr>
            <w:color w:val="0000FF"/>
            <w:u w:val="single" w:color="0000FF"/>
          </w:rPr>
          <w:t>dated</w:t>
        </w:r>
        <w:r>
          <w:rPr>
            <w:color w:val="0000FF"/>
            <w:spacing w:val="-5"/>
            <w:u w:val="single" w:color="0000FF"/>
          </w:rPr>
          <w:t> </w:t>
        </w:r>
        <w:r>
          <w:rPr>
            <w:color w:val="0000FF"/>
            <w:u w:val="single" w:color="0000FF"/>
          </w:rPr>
          <w:t>as</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December</w:t>
        </w:r>
        <w:r>
          <w:rPr>
            <w:color w:val="0000FF"/>
            <w:spacing w:val="-5"/>
            <w:u w:val="single" w:color="0000FF"/>
          </w:rPr>
          <w:t> </w:t>
        </w:r>
        <w:r>
          <w:rPr>
            <w:color w:val="0000FF"/>
            <w:u w:val="single" w:color="0000FF"/>
          </w:rPr>
          <w:t>6,</w:t>
        </w:r>
        <w:r>
          <w:rPr>
            <w:color w:val="0000FF"/>
            <w:spacing w:val="-4"/>
            <w:u w:val="single" w:color="0000FF"/>
          </w:rPr>
          <w:t> </w:t>
        </w:r>
        <w:r>
          <w:rPr>
            <w:color w:val="0000FF"/>
            <w:u w:val="single" w:color="0000FF"/>
          </w:rPr>
          <w:t>2022,</w:t>
        </w:r>
        <w:r>
          <w:rPr>
            <w:color w:val="0000FF"/>
            <w:spacing w:val="-4"/>
            <w:u w:val="single" w:color="0000FF"/>
          </w:rPr>
          <w:t> </w:t>
        </w:r>
        <w:r>
          <w:rPr>
            <w:color w:val="0000FF"/>
            <w:u w:val="single" w:color="0000FF"/>
          </w:rPr>
          <w:t>by</w:t>
        </w:r>
        <w:r>
          <w:rPr>
            <w:color w:val="0000FF"/>
            <w:spacing w:val="24"/>
            <w:u w:val="single" w:color="0000FF"/>
          </w:rPr>
          <w:t> </w:t>
        </w:r>
        <w:r>
          <w:rPr>
            <w:color w:val="0000FF"/>
            <w:u w:val="single" w:color="0000FF"/>
          </w:rPr>
          <w:t>and</w:t>
        </w:r>
        <w:r>
          <w:rPr>
            <w:color w:val="0000FF"/>
            <w:spacing w:val="-4"/>
            <w:u w:val="single" w:color="0000FF"/>
          </w:rPr>
          <w:t> </w:t>
        </w:r>
        <w:r>
          <w:rPr>
            <w:color w:val="0000FF"/>
            <w:u w:val="single" w:color="0000FF"/>
          </w:rPr>
          <w:t>between</w:t>
        </w:r>
        <w:r>
          <w:rPr>
            <w:color w:val="0000FF"/>
            <w:spacing w:val="-4"/>
            <w:u w:val="single" w:color="0000FF"/>
          </w:rPr>
          <w:t> </w:t>
        </w:r>
        <w:r>
          <w:rPr>
            <w:color w:val="0000FF"/>
            <w:u w:val="single" w:color="0000FF"/>
          </w:rPr>
          <w:t>the</w:t>
        </w:r>
        <w:r>
          <w:rPr>
            <w:color w:val="0000FF"/>
            <w:spacing w:val="-4"/>
            <w:u w:val="single" w:color="0000FF"/>
          </w:rPr>
          <w:t> </w:t>
        </w:r>
        <w:r>
          <w:rPr>
            <w:color w:val="0000FF"/>
            <w:u w:val="single" w:color="0000FF"/>
          </w:rPr>
          <w:t>Company</w:t>
        </w:r>
        <w:r>
          <w:rPr>
            <w:color w:val="0000FF"/>
            <w:spacing w:val="24"/>
            <w:u w:val="single" w:color="0000FF"/>
          </w:rPr>
          <w:t> </w:t>
        </w:r>
        <w:r>
          <w:rPr>
            <w:color w:val="0000FF"/>
            <w:u w:val="single" w:color="0000FF"/>
          </w:rPr>
          <w:t>and</w:t>
        </w:r>
        <w:r>
          <w:rPr>
            <w:color w:val="0000FF"/>
            <w:spacing w:val="-4"/>
            <w:u w:val="single" w:color="0000FF"/>
          </w:rPr>
          <w:t> </w:t>
        </w:r>
        <w:r>
          <w:rPr>
            <w:color w:val="0000FF"/>
            <w:u w:val="single" w:color="0000FF"/>
          </w:rPr>
          <w:t>Jonathan</w:t>
        </w:r>
        <w:r>
          <w:rPr>
            <w:color w:val="0000FF"/>
            <w:spacing w:val="-4"/>
            <w:u w:val="single" w:color="0000FF"/>
          </w:rPr>
          <w:t> </w:t>
        </w:r>
        <w:r>
          <w:rPr>
            <w:color w:val="0000FF"/>
            <w:spacing w:val="-2"/>
            <w:u w:val="single" w:color="0000FF"/>
          </w:rPr>
          <w:t>Halkyard.</w:t>
        </w:r>
      </w:hyperlink>
    </w:p>
    <w:p>
      <w:pPr>
        <w:pStyle w:val="BodyText"/>
        <w:tabs>
          <w:tab w:pos="1433" w:val="left" w:leader="none"/>
        </w:tabs>
        <w:spacing w:before="53"/>
        <w:ind w:left="162"/>
      </w:pPr>
      <w:r>
        <w:rPr>
          <w:spacing w:val="-2"/>
          <w:position w:val="1"/>
        </w:rPr>
        <w:t>*10.4(18)</w:t>
      </w:r>
      <w:r>
        <w:rPr>
          <w:position w:val="1"/>
        </w:rPr>
        <w:tab/>
      </w:r>
      <w:hyperlink w:history="true" w:anchor="_bookmark37">
        <w:r>
          <w:rPr>
            <w:color w:val="0000FF"/>
            <w:u w:val="single" w:color="0000FF"/>
          </w:rPr>
          <w:t>First</w:t>
        </w:r>
        <w:r>
          <w:rPr>
            <w:color w:val="0000FF"/>
            <w:spacing w:val="-14"/>
            <w:u w:val="single" w:color="0000FF"/>
          </w:rPr>
          <w:t> </w:t>
        </w:r>
        <w:r>
          <w:rPr>
            <w:color w:val="0000FF"/>
            <w:u w:val="single" w:color="0000FF"/>
          </w:rPr>
          <w:t>Amendment</w:t>
        </w:r>
        <w:r>
          <w:rPr>
            <w:color w:val="0000FF"/>
            <w:spacing w:val="-7"/>
            <w:u w:val="single" w:color="0000FF"/>
          </w:rPr>
          <w:t> </w:t>
        </w:r>
        <w:r>
          <w:rPr>
            <w:color w:val="0000FF"/>
            <w:u w:val="single" w:color="0000FF"/>
          </w:rPr>
          <w:t>to</w:t>
        </w:r>
        <w:r>
          <w:rPr>
            <w:color w:val="0000FF"/>
            <w:spacing w:val="-4"/>
            <w:u w:val="single" w:color="0000FF"/>
          </w:rPr>
          <w:t> </w:t>
        </w:r>
        <w:r>
          <w:rPr>
            <w:color w:val="0000FF"/>
            <w:u w:val="single" w:color="0000FF"/>
          </w:rPr>
          <w:t>Employment</w:t>
        </w:r>
        <w:r>
          <w:rPr>
            <w:color w:val="0000FF"/>
            <w:spacing w:val="-11"/>
            <w:u w:val="single" w:color="0000FF"/>
          </w:rPr>
          <w:t> </w:t>
        </w:r>
        <w:r>
          <w:rPr>
            <w:color w:val="0000FF"/>
            <w:u w:val="single" w:color="0000FF"/>
          </w:rPr>
          <w:t>Agreement,</w:t>
        </w:r>
        <w:r>
          <w:rPr>
            <w:color w:val="0000FF"/>
            <w:spacing w:val="-4"/>
            <w:u w:val="single" w:color="0000FF"/>
          </w:rPr>
          <w:t> </w:t>
        </w:r>
        <w:r>
          <w:rPr>
            <w:color w:val="0000FF"/>
            <w:u w:val="single" w:color="0000FF"/>
          </w:rPr>
          <w:t>dated</w:t>
        </w:r>
        <w:r>
          <w:rPr>
            <w:color w:val="0000FF"/>
            <w:spacing w:val="-5"/>
            <w:u w:val="single" w:color="0000FF"/>
          </w:rPr>
          <w:t> </w:t>
        </w:r>
        <w:r>
          <w:rPr>
            <w:color w:val="0000FF"/>
            <w:u w:val="single" w:color="0000FF"/>
          </w:rPr>
          <w:t>as</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December</w:t>
        </w:r>
        <w:r>
          <w:rPr>
            <w:color w:val="0000FF"/>
            <w:spacing w:val="-5"/>
            <w:u w:val="single" w:color="0000FF"/>
          </w:rPr>
          <w:t> </w:t>
        </w:r>
        <w:r>
          <w:rPr>
            <w:color w:val="0000FF"/>
            <w:u w:val="single" w:color="0000FF"/>
          </w:rPr>
          <w:t>6,</w:t>
        </w:r>
        <w:r>
          <w:rPr>
            <w:color w:val="0000FF"/>
            <w:spacing w:val="-4"/>
            <w:u w:val="single" w:color="0000FF"/>
          </w:rPr>
          <w:t> </w:t>
        </w:r>
        <w:r>
          <w:rPr>
            <w:color w:val="0000FF"/>
            <w:u w:val="single" w:color="0000FF"/>
          </w:rPr>
          <w:t>2022,</w:t>
        </w:r>
        <w:r>
          <w:rPr>
            <w:color w:val="0000FF"/>
            <w:spacing w:val="-4"/>
            <w:u w:val="single" w:color="0000FF"/>
          </w:rPr>
          <w:t> </w:t>
        </w:r>
        <w:r>
          <w:rPr>
            <w:color w:val="0000FF"/>
            <w:u w:val="single" w:color="0000FF"/>
          </w:rPr>
          <w:t>by</w:t>
        </w:r>
        <w:r>
          <w:rPr>
            <w:color w:val="0000FF"/>
            <w:spacing w:val="24"/>
            <w:u w:val="single" w:color="0000FF"/>
          </w:rPr>
          <w:t> </w:t>
        </w:r>
        <w:r>
          <w:rPr>
            <w:color w:val="0000FF"/>
            <w:u w:val="single" w:color="0000FF"/>
          </w:rPr>
          <w:t>and</w:t>
        </w:r>
        <w:r>
          <w:rPr>
            <w:color w:val="0000FF"/>
            <w:spacing w:val="-4"/>
            <w:u w:val="single" w:color="0000FF"/>
          </w:rPr>
          <w:t> </w:t>
        </w:r>
        <w:r>
          <w:rPr>
            <w:color w:val="0000FF"/>
            <w:u w:val="single" w:color="0000FF"/>
          </w:rPr>
          <w:t>between</w:t>
        </w:r>
        <w:r>
          <w:rPr>
            <w:color w:val="0000FF"/>
            <w:spacing w:val="-4"/>
            <w:u w:val="single" w:color="0000FF"/>
          </w:rPr>
          <w:t> </w:t>
        </w:r>
        <w:r>
          <w:rPr>
            <w:color w:val="0000FF"/>
            <w:u w:val="single" w:color="0000FF"/>
          </w:rPr>
          <w:t>the</w:t>
        </w:r>
        <w:r>
          <w:rPr>
            <w:color w:val="0000FF"/>
            <w:spacing w:val="-4"/>
            <w:u w:val="single" w:color="0000FF"/>
          </w:rPr>
          <w:t> </w:t>
        </w:r>
        <w:r>
          <w:rPr>
            <w:color w:val="0000FF"/>
            <w:u w:val="single" w:color="0000FF"/>
          </w:rPr>
          <w:t>Company</w:t>
        </w:r>
        <w:r>
          <w:rPr>
            <w:color w:val="0000FF"/>
            <w:spacing w:val="24"/>
            <w:u w:val="single" w:color="0000FF"/>
          </w:rPr>
          <w:t> </w:t>
        </w:r>
        <w:r>
          <w:rPr>
            <w:color w:val="0000FF"/>
            <w:u w:val="single" w:color="0000FF"/>
          </w:rPr>
          <w:t>and</w:t>
        </w:r>
        <w:r>
          <w:rPr>
            <w:color w:val="0000FF"/>
            <w:spacing w:val="-4"/>
            <w:u w:val="single" w:color="0000FF"/>
          </w:rPr>
          <w:t> </w:t>
        </w:r>
        <w:r>
          <w:rPr>
            <w:color w:val="0000FF"/>
            <w:u w:val="single" w:color="0000FF"/>
          </w:rPr>
          <w:t>John</w:t>
        </w:r>
        <w:r>
          <w:rPr>
            <w:color w:val="0000FF"/>
            <w:spacing w:val="-4"/>
            <w:u w:val="single" w:color="0000FF"/>
          </w:rPr>
          <w:t> </w:t>
        </w:r>
        <w:r>
          <w:rPr>
            <w:color w:val="0000FF"/>
            <w:spacing w:val="-2"/>
            <w:u w:val="single" w:color="0000FF"/>
          </w:rPr>
          <w:t>McManus.</w:t>
        </w:r>
      </w:hyperlink>
    </w:p>
    <w:p>
      <w:pPr>
        <w:pStyle w:val="BodyText"/>
        <w:tabs>
          <w:tab w:pos="1433" w:val="left" w:leader="none"/>
        </w:tabs>
        <w:spacing w:before="39"/>
        <w:ind w:left="162"/>
      </w:pPr>
      <w:r>
        <w:rPr>
          <w:spacing w:val="-2"/>
          <w:position w:val="1"/>
        </w:rPr>
        <w:t>*10.4(19)</w:t>
      </w:r>
      <w:r>
        <w:rPr>
          <w:position w:val="1"/>
        </w:rPr>
        <w:tab/>
      </w:r>
      <w:hyperlink w:history="true" w:anchor="_bookmark38">
        <w:r>
          <w:rPr>
            <w:color w:val="0000FF"/>
            <w:u w:val="single" w:color="0000FF"/>
          </w:rPr>
          <w:t>Employment</w:t>
        </w:r>
        <w:r>
          <w:rPr>
            <w:color w:val="0000FF"/>
            <w:spacing w:val="-9"/>
            <w:u w:val="single" w:color="0000FF"/>
          </w:rPr>
          <w:t> </w:t>
        </w:r>
        <w:r>
          <w:rPr>
            <w:color w:val="0000FF"/>
            <w:u w:val="single" w:color="0000FF"/>
          </w:rPr>
          <w:t>agreement,</w:t>
        </w:r>
        <w:r>
          <w:rPr>
            <w:color w:val="0000FF"/>
            <w:spacing w:val="-7"/>
            <w:u w:val="single" w:color="0000FF"/>
          </w:rPr>
          <w:t> </w:t>
        </w:r>
        <w:r>
          <w:rPr>
            <w:color w:val="0000FF"/>
            <w:u w:val="single" w:color="0000FF"/>
          </w:rPr>
          <w:t>effective</w:t>
        </w:r>
        <w:r>
          <w:rPr>
            <w:color w:val="0000FF"/>
            <w:spacing w:val="-6"/>
            <w:u w:val="single" w:color="0000FF"/>
          </w:rPr>
          <w:t> </w:t>
        </w:r>
        <w:r>
          <w:rPr>
            <w:color w:val="0000FF"/>
            <w:u w:val="single" w:color="0000FF"/>
          </w:rPr>
          <w:t>as</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October</w:t>
        </w:r>
        <w:r>
          <w:rPr>
            <w:color w:val="0000FF"/>
            <w:spacing w:val="-6"/>
            <w:u w:val="single" w:color="0000FF"/>
          </w:rPr>
          <w:t> </w:t>
        </w:r>
        <w:r>
          <w:rPr>
            <w:color w:val="0000FF"/>
            <w:u w:val="single" w:color="0000FF"/>
          </w:rPr>
          <w:t>1,</w:t>
        </w:r>
        <w:r>
          <w:rPr>
            <w:color w:val="0000FF"/>
            <w:spacing w:val="-7"/>
            <w:u w:val="single" w:color="0000FF"/>
          </w:rPr>
          <w:t> </w:t>
        </w:r>
        <w:r>
          <w:rPr>
            <w:color w:val="0000FF"/>
            <w:u w:val="single" w:color="0000FF"/>
          </w:rPr>
          <w:t>2022,</w:t>
        </w:r>
        <w:r>
          <w:rPr>
            <w:color w:val="0000FF"/>
            <w:spacing w:val="-7"/>
            <w:u w:val="single" w:color="0000FF"/>
          </w:rPr>
          <w:t> </w:t>
        </w:r>
        <w:r>
          <w:rPr>
            <w:color w:val="0000FF"/>
            <w:u w:val="single" w:color="0000FF"/>
          </w:rPr>
          <w:t>by</w:t>
        </w:r>
        <w:r>
          <w:rPr>
            <w:color w:val="0000FF"/>
            <w:spacing w:val="21"/>
            <w:u w:val="single" w:color="0000FF"/>
          </w:rPr>
          <w:t> </w:t>
        </w:r>
        <w:r>
          <w:rPr>
            <w:color w:val="0000FF"/>
            <w:u w:val="single" w:color="0000FF"/>
          </w:rPr>
          <w:t>and</w:t>
        </w:r>
        <w:r>
          <w:rPr>
            <w:color w:val="0000FF"/>
            <w:spacing w:val="-7"/>
            <w:u w:val="single" w:color="0000FF"/>
          </w:rPr>
          <w:t> </w:t>
        </w:r>
        <w:r>
          <w:rPr>
            <w:color w:val="0000FF"/>
            <w:u w:val="single" w:color="0000FF"/>
          </w:rPr>
          <w:t>between</w:t>
        </w:r>
        <w:r>
          <w:rPr>
            <w:color w:val="0000FF"/>
            <w:spacing w:val="-7"/>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20"/>
            <w:u w:val="single" w:color="0000FF"/>
          </w:rPr>
          <w:t> </w:t>
        </w:r>
        <w:r>
          <w:rPr>
            <w:color w:val="0000FF"/>
            <w:u w:val="single" w:color="0000FF"/>
          </w:rPr>
          <w:t>and</w:t>
        </w:r>
        <w:r>
          <w:rPr>
            <w:color w:val="0000FF"/>
            <w:spacing w:val="-7"/>
            <w:u w:val="single" w:color="0000FF"/>
          </w:rPr>
          <w:t> </w:t>
        </w:r>
        <w:r>
          <w:rPr>
            <w:color w:val="0000FF"/>
            <w:u w:val="single" w:color="0000FF"/>
          </w:rPr>
          <w:t>Gary</w:t>
        </w:r>
        <w:r>
          <w:rPr>
            <w:color w:val="0000FF"/>
            <w:spacing w:val="21"/>
            <w:u w:val="single" w:color="0000FF"/>
          </w:rPr>
          <w:t> </w:t>
        </w:r>
        <w:r>
          <w:rPr>
            <w:color w:val="0000FF"/>
            <w:spacing w:val="-2"/>
            <w:u w:val="single" w:color="0000FF"/>
          </w:rPr>
          <w:t>Fritz</w:t>
        </w:r>
      </w:hyperlink>
      <w:hyperlink w:history="true" w:anchor="_bookmark38">
        <w:r>
          <w:rPr>
            <w:color w:val="0000FF"/>
            <w:spacing w:val="-2"/>
            <w:u w:val="single" w:color="0000FF"/>
          </w:rPr>
          <w:t>.</w:t>
        </w:r>
      </w:hyperlink>
    </w:p>
    <w:p>
      <w:pPr>
        <w:pStyle w:val="BodyText"/>
        <w:tabs>
          <w:tab w:pos="1433" w:val="left" w:leader="none"/>
        </w:tabs>
        <w:spacing w:line="187" w:lineRule="auto" w:before="63"/>
        <w:ind w:left="1433" w:right="137" w:hanging="1271"/>
      </w:pPr>
      <w:r>
        <w:rPr>
          <w:spacing w:val="-2"/>
        </w:rPr>
        <w:t>*10.4(20)</w:t>
      </w:r>
      <w:r>
        <w:rPr/>
        <w:tab/>
      </w:r>
      <w:hyperlink r:id="rId69">
        <w:r>
          <w:rPr>
            <w:color w:val="0000FF"/>
            <w:position w:val="1"/>
            <w:u w:val="single" w:color="0000FF"/>
          </w:rPr>
          <w:t>Amended and Restated Deferred Compensation Plan for Non-employee Directors, effective as of June 5, 2014 (incorporated by</w:t>
        </w:r>
        <w:r>
          <w:rPr>
            <w:color w:val="0000FF"/>
            <w:spacing w:val="30"/>
            <w:position w:val="1"/>
            <w:u w:val="single" w:color="0000FF"/>
          </w:rPr>
          <w:t> </w:t>
        </w:r>
        <w:r>
          <w:rPr>
            <w:color w:val="0000FF"/>
            <w:position w:val="1"/>
            <w:u w:val="single" w:color="0000FF"/>
          </w:rPr>
          <w:t>reference to</w:t>
        </w:r>
      </w:hyperlink>
      <w:r>
        <w:rPr>
          <w:color w:val="0000FF"/>
          <w:position w:val="1"/>
        </w:rPr>
        <w:t> </w:t>
      </w:r>
      <w:hyperlink r:id="rId69">
        <w:r>
          <w:rPr>
            <w:color w:val="0000FF"/>
            <w:u w:val="single" w:color="0000FF"/>
          </w:rPr>
          <w:t>Exhibit 10.1 of the Company</w:t>
        </w:r>
        <w:r>
          <w:rPr>
            <w:color w:val="0000FF"/>
            <w:spacing w:val="-13"/>
            <w:u w:val="single" w:color="0000FF"/>
          </w:rPr>
          <w:t> </w:t>
        </w:r>
        <w:r>
          <w:rPr>
            <w:color w:val="0000FF"/>
            <w:u w:val="single" w:color="0000FF"/>
          </w:rPr>
          <w:t>’s Q</w:t>
        </w:r>
        <w:r>
          <w:rPr>
            <w:color w:val="0000FF"/>
            <w:spacing w:val="-33"/>
            <w:u w:val="single" w:color="0000FF"/>
          </w:rPr>
          <w:t> </w:t>
        </w:r>
        <w:r>
          <w:rPr>
            <w:color w:val="0000FF"/>
            <w:u w:val="single" w:color="0000FF"/>
          </w:rPr>
          <w:t>uarter</w:t>
        </w:r>
        <w:r>
          <w:rPr>
            <w:color w:val="0000FF"/>
          </w:rPr>
          <w:t>ly</w:t>
        </w:r>
        <w:r>
          <w:rPr>
            <w:color w:val="0000FF"/>
            <w:spacing w:val="35"/>
            <w:u w:val="single" w:color="0000FF"/>
          </w:rPr>
          <w:t> </w:t>
        </w:r>
        <w:r>
          <w:rPr>
            <w:color w:val="0000FF"/>
            <w:u w:val="single" w:color="0000FF"/>
          </w:rPr>
          <w:t>Report on Form 10-Q filed on</w:t>
        </w:r>
        <w:r>
          <w:rPr>
            <w:color w:val="0000FF"/>
            <w:spacing w:val="-8"/>
            <w:u w:val="single" w:color="0000FF"/>
          </w:rPr>
          <w:t> </w:t>
        </w:r>
        <w:r>
          <w:rPr>
            <w:color w:val="0000FF"/>
            <w:u w:val="single" w:color="0000FF"/>
          </w:rPr>
          <w:t>August 11, 2014).</w:t>
        </w:r>
      </w:hyperlink>
    </w:p>
    <w:p>
      <w:pPr>
        <w:pStyle w:val="BodyText"/>
        <w:tabs>
          <w:tab w:pos="1433" w:val="left" w:leader="none"/>
        </w:tabs>
        <w:spacing w:line="194" w:lineRule="exact" w:before="49"/>
        <w:ind w:left="162"/>
      </w:pPr>
      <w:r>
        <w:rPr>
          <w:spacing w:val="-2"/>
        </w:rPr>
        <w:t>*10.4(21)</w:t>
      </w:r>
      <w:r>
        <w:rPr/>
        <w:tab/>
      </w:r>
      <w:hyperlink r:id="rId70">
        <w:r>
          <w:rPr>
            <w:color w:val="0000FF"/>
            <w:position w:val="1"/>
            <w:u w:val="single" w:color="0000FF"/>
          </w:rPr>
          <w:t>First</w:t>
        </w:r>
        <w:r>
          <w:rPr>
            <w:color w:val="0000FF"/>
            <w:spacing w:val="-6"/>
            <w:position w:val="1"/>
            <w:u w:val="single" w:color="0000FF"/>
          </w:rPr>
          <w:t> </w:t>
        </w:r>
        <w:r>
          <w:rPr>
            <w:color w:val="0000FF"/>
            <w:position w:val="1"/>
            <w:u w:val="single" w:color="0000FF"/>
          </w:rPr>
          <w:t>Amendment</w:t>
        </w:r>
        <w:r>
          <w:rPr>
            <w:color w:val="0000FF"/>
            <w:spacing w:val="6"/>
            <w:position w:val="1"/>
            <w:u w:val="single" w:color="0000FF"/>
          </w:rPr>
          <w:t> </w:t>
        </w:r>
        <w:r>
          <w:rPr>
            <w:color w:val="0000FF"/>
            <w:position w:val="1"/>
            <w:u w:val="single" w:color="0000FF"/>
          </w:rPr>
          <w:t>to</w:t>
        </w:r>
        <w:r>
          <w:rPr>
            <w:color w:val="0000FF"/>
            <w:spacing w:val="6"/>
            <w:position w:val="1"/>
            <w:u w:val="single" w:color="0000FF"/>
          </w:rPr>
          <w:t> </w:t>
        </w:r>
        <w:r>
          <w:rPr>
            <w:color w:val="0000FF"/>
            <w:position w:val="1"/>
            <w:u w:val="single" w:color="0000FF"/>
          </w:rPr>
          <w:t>MGM</w:t>
        </w:r>
        <w:r>
          <w:rPr>
            <w:color w:val="0000FF"/>
            <w:spacing w:val="6"/>
            <w:position w:val="1"/>
            <w:u w:val="single" w:color="0000FF"/>
          </w:rPr>
          <w:t> </w:t>
        </w:r>
        <w:r>
          <w:rPr>
            <w:color w:val="0000FF"/>
            <w:position w:val="1"/>
            <w:u w:val="single" w:color="0000FF"/>
          </w:rPr>
          <w:t>Resorts</w:t>
        </w:r>
        <w:r>
          <w:rPr>
            <w:color w:val="0000FF"/>
            <w:spacing w:val="6"/>
            <w:position w:val="1"/>
            <w:u w:val="single" w:color="0000FF"/>
          </w:rPr>
          <w:t> </w:t>
        </w:r>
        <w:r>
          <w:rPr>
            <w:color w:val="0000FF"/>
            <w:position w:val="1"/>
            <w:u w:val="single" w:color="0000FF"/>
          </w:rPr>
          <w:t>International</w:t>
        </w:r>
        <w:r>
          <w:rPr>
            <w:color w:val="0000FF"/>
            <w:spacing w:val="6"/>
            <w:position w:val="1"/>
            <w:u w:val="single" w:color="0000FF"/>
          </w:rPr>
          <w:t> </w:t>
        </w:r>
        <w:r>
          <w:rPr>
            <w:color w:val="0000FF"/>
            <w:position w:val="1"/>
            <w:u w:val="single" w:color="0000FF"/>
          </w:rPr>
          <w:t>2012</w:t>
        </w:r>
        <w:r>
          <w:rPr>
            <w:color w:val="0000FF"/>
            <w:spacing w:val="6"/>
            <w:position w:val="1"/>
            <w:u w:val="single" w:color="0000FF"/>
          </w:rPr>
          <w:t> </w:t>
        </w:r>
        <w:r>
          <w:rPr>
            <w:color w:val="0000FF"/>
            <w:position w:val="1"/>
            <w:u w:val="single" w:color="0000FF"/>
          </w:rPr>
          <w:t>Deferred</w:t>
        </w:r>
        <w:r>
          <w:rPr>
            <w:color w:val="0000FF"/>
            <w:spacing w:val="6"/>
            <w:position w:val="1"/>
            <w:u w:val="single" w:color="0000FF"/>
          </w:rPr>
          <w:t> </w:t>
        </w:r>
        <w:r>
          <w:rPr>
            <w:color w:val="0000FF"/>
            <w:position w:val="1"/>
            <w:u w:val="single" w:color="0000FF"/>
          </w:rPr>
          <w:t>Compensation</w:t>
        </w:r>
        <w:r>
          <w:rPr>
            <w:color w:val="0000FF"/>
            <w:spacing w:val="6"/>
            <w:position w:val="1"/>
            <w:u w:val="single" w:color="0000FF"/>
          </w:rPr>
          <w:t> </w:t>
        </w:r>
        <w:r>
          <w:rPr>
            <w:color w:val="0000FF"/>
            <w:position w:val="1"/>
            <w:u w:val="single" w:color="0000FF"/>
          </w:rPr>
          <w:t>Plan</w:t>
        </w:r>
        <w:r>
          <w:rPr>
            <w:color w:val="0000FF"/>
            <w:spacing w:val="6"/>
            <w:position w:val="1"/>
            <w:u w:val="single" w:color="0000FF"/>
          </w:rPr>
          <w:t> </w:t>
        </w:r>
        <w:r>
          <w:rPr>
            <w:color w:val="0000FF"/>
            <w:position w:val="1"/>
            <w:u w:val="single" w:color="0000FF"/>
          </w:rPr>
          <w:t>for</w:t>
        </w:r>
        <w:r>
          <w:rPr>
            <w:color w:val="0000FF"/>
            <w:spacing w:val="6"/>
            <w:position w:val="1"/>
            <w:u w:val="single" w:color="0000FF"/>
          </w:rPr>
          <w:t> </w:t>
        </w:r>
        <w:r>
          <w:rPr>
            <w:color w:val="0000FF"/>
            <w:position w:val="1"/>
            <w:u w:val="single" w:color="0000FF"/>
          </w:rPr>
          <w:t>Non-Employee</w:t>
        </w:r>
        <w:r>
          <w:rPr>
            <w:color w:val="0000FF"/>
            <w:spacing w:val="6"/>
            <w:position w:val="1"/>
            <w:u w:val="single" w:color="0000FF"/>
          </w:rPr>
          <w:t> </w:t>
        </w:r>
        <w:r>
          <w:rPr>
            <w:color w:val="0000FF"/>
            <w:position w:val="1"/>
            <w:u w:val="single" w:color="0000FF"/>
          </w:rPr>
          <w:t>Directors,</w:t>
        </w:r>
        <w:r>
          <w:rPr>
            <w:color w:val="0000FF"/>
            <w:spacing w:val="6"/>
            <w:position w:val="1"/>
            <w:u w:val="single" w:color="0000FF"/>
          </w:rPr>
          <w:t> </w:t>
        </w:r>
        <w:r>
          <w:rPr>
            <w:color w:val="0000FF"/>
            <w:position w:val="1"/>
            <w:u w:val="single" w:color="0000FF"/>
          </w:rPr>
          <w:t>dated</w:t>
        </w:r>
        <w:r>
          <w:rPr>
            <w:color w:val="0000FF"/>
            <w:spacing w:val="6"/>
            <w:position w:val="1"/>
            <w:u w:val="single" w:color="0000FF"/>
          </w:rPr>
          <w:t> </w:t>
        </w:r>
        <w:r>
          <w:rPr>
            <w:color w:val="0000FF"/>
            <w:position w:val="1"/>
            <w:u w:val="single" w:color="0000FF"/>
          </w:rPr>
          <w:t>as</w:t>
        </w:r>
        <w:r>
          <w:rPr>
            <w:color w:val="0000FF"/>
            <w:spacing w:val="6"/>
            <w:position w:val="1"/>
            <w:u w:val="single" w:color="0000FF"/>
          </w:rPr>
          <w:t> </w:t>
        </w:r>
        <w:r>
          <w:rPr>
            <w:color w:val="0000FF"/>
            <w:position w:val="1"/>
            <w:u w:val="single" w:color="0000FF"/>
          </w:rPr>
          <w:t>of</w:t>
        </w:r>
        <w:r>
          <w:rPr>
            <w:color w:val="0000FF"/>
            <w:spacing w:val="-4"/>
            <w:position w:val="1"/>
            <w:u w:val="single" w:color="0000FF"/>
          </w:rPr>
          <w:t> </w:t>
        </w:r>
        <w:r>
          <w:rPr>
            <w:color w:val="0000FF"/>
            <w:position w:val="1"/>
            <w:u w:val="single" w:color="0000FF"/>
          </w:rPr>
          <w:t>April</w:t>
        </w:r>
        <w:r>
          <w:rPr>
            <w:color w:val="0000FF"/>
            <w:spacing w:val="6"/>
            <w:position w:val="1"/>
            <w:u w:val="single" w:color="0000FF"/>
          </w:rPr>
          <w:t> </w:t>
        </w:r>
        <w:r>
          <w:rPr>
            <w:color w:val="0000FF"/>
            <w:position w:val="1"/>
            <w:u w:val="single" w:color="0000FF"/>
          </w:rPr>
          <w:t>27,</w:t>
        </w:r>
        <w:r>
          <w:rPr>
            <w:color w:val="0000FF"/>
            <w:spacing w:val="6"/>
            <w:position w:val="1"/>
            <w:u w:val="single" w:color="0000FF"/>
          </w:rPr>
          <w:t> </w:t>
        </w:r>
        <w:r>
          <w:rPr>
            <w:color w:val="0000FF"/>
            <w:spacing w:val="-4"/>
            <w:position w:val="1"/>
            <w:u w:val="single" w:color="0000FF"/>
          </w:rPr>
          <w:t>2022</w:t>
        </w:r>
      </w:hyperlink>
    </w:p>
    <w:p>
      <w:pPr>
        <w:pStyle w:val="BodyText"/>
        <w:spacing w:line="184" w:lineRule="exact"/>
        <w:ind w:left="1433"/>
      </w:pPr>
      <w:hyperlink r:id="rId70">
        <w:r>
          <w:rPr>
            <w:color w:val="0000FF"/>
            <w:spacing w:val="-47"/>
            <w:u w:val="single" w:color="0000FF"/>
          </w:rPr>
          <w:t> </w:t>
        </w:r>
        <w:r>
          <w:rPr>
            <w:color w:val="0000FF"/>
          </w:rPr>
          <w:t>(</w:t>
        </w:r>
        <w:r>
          <w:rPr>
            <w:color w:val="0000FF"/>
            <w:u w:val="single" w:color="0000FF"/>
          </w:rPr>
          <w:t>incorporated</w:t>
        </w:r>
        <w:r>
          <w:rPr>
            <w:color w:val="0000FF"/>
            <w:spacing w:val="-14"/>
            <w:u w:val="single" w:color="0000FF"/>
          </w:rPr>
          <w:t> </w:t>
        </w:r>
        <w:r>
          <w:rPr>
            <w:color w:val="0000FF"/>
            <w:u w:val="single" w:color="0000FF"/>
          </w:rPr>
          <w:t>by</w:t>
        </w:r>
        <w:r>
          <w:rPr>
            <w:color w:val="0000FF"/>
            <w:spacing w:val="14"/>
            <w:u w:val="single" w:color="0000FF"/>
          </w:rPr>
          <w:t> </w:t>
        </w:r>
        <w:r>
          <w:rPr>
            <w:color w:val="0000FF"/>
            <w:u w:val="single" w:color="0000FF"/>
          </w:rPr>
          <w:t>reference</w:t>
        </w:r>
        <w:r>
          <w:rPr>
            <w:color w:val="0000FF"/>
            <w:spacing w:val="-8"/>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10.6</w:t>
        </w:r>
        <w:r>
          <w:rPr>
            <w:color w:val="0000FF"/>
            <w:spacing w:val="-8"/>
            <w:u w:val="single" w:color="0000FF"/>
          </w:rPr>
          <w:t> </w:t>
        </w:r>
        <w:r>
          <w:rPr>
            <w:color w:val="0000FF"/>
            <w:u w:val="single" w:color="0000FF"/>
          </w:rPr>
          <w:t>of</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Company</w:t>
        </w:r>
        <w:r>
          <w:rPr>
            <w:color w:val="0000FF"/>
            <w:spacing w:val="-15"/>
            <w:u w:val="single" w:color="0000FF"/>
          </w:rPr>
          <w:t> </w:t>
        </w:r>
        <w:r>
          <w:rPr>
            <w:color w:val="0000FF"/>
            <w:u w:val="single" w:color="0000FF"/>
          </w:rPr>
          <w:t>’s</w:t>
        </w:r>
        <w:r>
          <w:rPr>
            <w:color w:val="0000FF"/>
            <w:spacing w:val="-7"/>
            <w:u w:val="single" w:color="0000FF"/>
          </w:rPr>
          <w:t> </w:t>
        </w:r>
        <w:r>
          <w:rPr>
            <w:color w:val="0000FF"/>
            <w:u w:val="single" w:color="0000FF"/>
          </w:rPr>
          <w:t>Q</w:t>
        </w:r>
        <w:r>
          <w:rPr>
            <w:color w:val="0000FF"/>
            <w:spacing w:val="-33"/>
            <w:u w:val="single" w:color="0000FF"/>
          </w:rPr>
          <w:t> </w:t>
        </w:r>
        <w:r>
          <w:rPr>
            <w:color w:val="0000FF"/>
            <w:u w:val="single" w:color="0000FF"/>
          </w:rPr>
          <w:t>uarter</w:t>
        </w:r>
        <w:r>
          <w:rPr>
            <w:color w:val="0000FF"/>
          </w:rPr>
          <w:t>ly</w:t>
        </w:r>
        <w:r>
          <w:rPr>
            <w:color w:val="0000FF"/>
            <w:spacing w:val="19"/>
            <w:u w:val="single" w:color="0000FF"/>
          </w:rPr>
          <w:t> </w:t>
        </w:r>
        <w:r>
          <w:rPr>
            <w:color w:val="0000FF"/>
            <w:u w:val="single" w:color="0000FF"/>
          </w:rPr>
          <w:t>Report</w:t>
        </w:r>
        <w:r>
          <w:rPr>
            <w:color w:val="0000FF"/>
            <w:spacing w:val="-8"/>
            <w:u w:val="single" w:color="0000FF"/>
          </w:rPr>
          <w:t> </w:t>
        </w:r>
        <w:r>
          <w:rPr>
            <w:color w:val="0000FF"/>
            <w:u w:val="single" w:color="0000FF"/>
          </w:rPr>
          <w:t>on</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10-Q</w:t>
        </w:r>
        <w:r>
          <w:rPr>
            <w:color w:val="0000FF"/>
            <w:spacing w:val="4"/>
            <w:u w:val="single" w:color="0000FF"/>
          </w:rPr>
          <w:t> </w:t>
        </w:r>
        <w:r>
          <w:rPr>
            <w:color w:val="0000FF"/>
            <w:u w:val="single" w:color="0000FF"/>
          </w:rPr>
          <w:t>filed</w:t>
        </w:r>
        <w:r>
          <w:rPr>
            <w:color w:val="0000FF"/>
            <w:spacing w:val="-8"/>
            <w:u w:val="single" w:color="0000FF"/>
          </w:rPr>
          <w:t> </w:t>
        </w:r>
        <w:r>
          <w:rPr>
            <w:color w:val="0000FF"/>
            <w:u w:val="single" w:color="0000FF"/>
          </w:rPr>
          <w:t>on</w:t>
        </w:r>
        <w:r>
          <w:rPr>
            <w:color w:val="0000FF"/>
            <w:spacing w:val="-11"/>
            <w:u w:val="single" w:color="0000FF"/>
          </w:rPr>
          <w:t> </w:t>
        </w:r>
        <w:r>
          <w:rPr>
            <w:color w:val="0000FF"/>
            <w:u w:val="single" w:color="0000FF"/>
          </w:rPr>
          <w:t>August</w:t>
        </w:r>
        <w:r>
          <w:rPr>
            <w:color w:val="0000FF"/>
            <w:spacing w:val="-7"/>
            <w:u w:val="single" w:color="0000FF"/>
          </w:rPr>
          <w:t> </w:t>
        </w:r>
        <w:r>
          <w:rPr>
            <w:color w:val="0000FF"/>
            <w:u w:val="single" w:color="0000FF"/>
          </w:rPr>
          <w:t>3,</w:t>
        </w:r>
        <w:r>
          <w:rPr>
            <w:color w:val="0000FF"/>
            <w:spacing w:val="-7"/>
            <w:u w:val="single" w:color="0000FF"/>
          </w:rPr>
          <w:t> </w:t>
        </w:r>
        <w:r>
          <w:rPr>
            <w:color w:val="0000FF"/>
            <w:spacing w:val="-2"/>
            <w:u w:val="single" w:color="0000FF"/>
          </w:rPr>
          <w:t>2022).</w:t>
        </w:r>
      </w:hyperlink>
    </w:p>
    <w:p>
      <w:pPr>
        <w:pStyle w:val="BodyText"/>
      </w:pPr>
    </w:p>
    <w:p>
      <w:pPr>
        <w:pStyle w:val="BodyText"/>
      </w:pPr>
    </w:p>
    <w:p>
      <w:pPr>
        <w:pStyle w:val="BodyText"/>
        <w:spacing w:before="90"/>
      </w:pPr>
    </w:p>
    <w:p>
      <w:pPr>
        <w:pStyle w:val="BodyText"/>
        <w:ind w:left="24"/>
        <w:jc w:val="center"/>
      </w:pPr>
      <w:r>
        <w:rPr>
          <w:spacing w:val="-5"/>
        </w:rPr>
        <w:t>106</w:t>
      </w:r>
    </w:p>
    <w:p>
      <w:pPr>
        <w:pStyle w:val="BodyText"/>
        <w:spacing w:before="3"/>
        <w:rPr>
          <w:sz w:val="6"/>
        </w:rPr>
      </w:pPr>
      <w:r>
        <w:rPr/>
        <mc:AlternateContent>
          <mc:Choice Requires="wps">
            <w:drawing>
              <wp:anchor distT="0" distB="0" distL="0" distR="0" allowOverlap="1" layoutInCell="1" locked="0" behindDoc="1" simplePos="0" relativeHeight="487752704">
                <wp:simplePos x="0" y="0"/>
                <wp:positionH relativeFrom="page">
                  <wp:posOffset>231457</wp:posOffset>
                </wp:positionH>
                <wp:positionV relativeFrom="paragraph">
                  <wp:posOffset>60956</wp:posOffset>
                </wp:positionV>
                <wp:extent cx="7312659" cy="17145"/>
                <wp:effectExtent l="0" t="0" r="0" b="0"/>
                <wp:wrapTopAndBottom/>
                <wp:docPr id="763" name="Group 763"/>
                <wp:cNvGraphicFramePr>
                  <a:graphicFrameLocks/>
                </wp:cNvGraphicFramePr>
                <a:graphic>
                  <a:graphicData uri="http://schemas.microsoft.com/office/word/2010/wordprocessingGroup">
                    <wpg:wgp>
                      <wpg:cNvPr id="763" name="Group 763"/>
                      <wpg:cNvGrpSpPr/>
                      <wpg:grpSpPr>
                        <a:xfrm>
                          <a:off x="0" y="0"/>
                          <a:ext cx="7312659" cy="17145"/>
                          <a:chExt cx="7312659" cy="17145"/>
                        </a:xfrm>
                      </wpg:grpSpPr>
                      <wps:wsp>
                        <wps:cNvPr id="764" name="Graphic 76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65" name="Graphic 765"/>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66" name="Graphic 76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63776;mso-wrap-distance-left:0;mso-wrap-distance-right:0" id="docshapegroup761" coordorigin="364,96" coordsize="11516,27">
                <v:rect style="position:absolute;left:364;top:96;width:11516;height:14" id="docshape762" filled="true" fillcolor="#999999" stroked="false">
                  <v:fill type="solid"/>
                </v:rect>
                <v:shape style="position:absolute;left:364;top:95;width:11516;height:27" id="docshape763" coordorigin="364,96" coordsize="11516,27" path="m11880,96l11866,109,364,109,364,123,11866,123,11880,123,11880,109,11880,96xe" filled="true" fillcolor="#ededed" stroked="false">
                  <v:path arrowok="t"/>
                  <v:fill type="solid"/>
                </v:shape>
                <v:shape style="position:absolute;left:364;top:96;width:14;height:27" id="docshape764"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40" w:bottom="280" w:left="220" w:right="240"/>
        </w:sectPr>
      </w:pPr>
    </w:p>
    <w:p>
      <w:pPr>
        <w:pStyle w:val="BodyText"/>
        <w:tabs>
          <w:tab w:pos="1432" w:val="left" w:leader="none"/>
        </w:tabs>
        <w:spacing w:line="204" w:lineRule="auto" w:before="98"/>
        <w:ind w:left="1432" w:right="137" w:hanging="1271"/>
      </w:pPr>
      <w:r>
        <w:rPr>
          <w:spacing w:val="-2"/>
        </w:rPr>
        <w:t>*10.4(22)</w:t>
      </w:r>
      <w:r>
        <w:rPr/>
        <w:tab/>
      </w:r>
      <w:hyperlink w:history="true" w:anchor="_bookmark39">
        <w:r>
          <w:rPr>
            <w:color w:val="0000FF"/>
            <w:position w:val="1"/>
            <w:u w:val="single" w:color="0000FF"/>
          </w:rPr>
          <w:t>Second</w:t>
        </w:r>
        <w:r>
          <w:rPr>
            <w:color w:val="0000FF"/>
            <w:spacing w:val="-6"/>
            <w:position w:val="1"/>
            <w:u w:val="single" w:color="0000FF"/>
          </w:rPr>
          <w:t> </w:t>
        </w:r>
        <w:r>
          <w:rPr>
            <w:color w:val="0000FF"/>
            <w:position w:val="1"/>
            <w:u w:val="single" w:color="0000FF"/>
          </w:rPr>
          <w:t>Amendment to MGM Resorts International 2012 Deferred Compensation Plan for Non-Employee Directors, dated as of October </w:t>
        </w:r>
        <w:r>
          <w:rPr>
            <w:color w:val="0000FF"/>
            <w:position w:val="1"/>
            <w:u w:val="single" w:color="0000FF"/>
          </w:rPr>
          <w:t>17</w:t>
        </w:r>
        <w:r>
          <w:rPr>
            <w:color w:val="0000FF"/>
            <w:position w:val="1"/>
          </w:rPr>
          <w:t>,</w:t>
        </w:r>
      </w:hyperlink>
      <w:r>
        <w:rPr>
          <w:color w:val="0000FF"/>
          <w:position w:val="1"/>
        </w:rPr>
        <w:t> </w:t>
      </w:r>
      <w:hyperlink w:history="true" w:anchor="_bookmark39">
        <w:r>
          <w:rPr>
            <w:color w:val="0000FF"/>
            <w:spacing w:val="-2"/>
            <w:u w:val="single" w:color="0000FF"/>
          </w:rPr>
          <w:t>2022.</w:t>
        </w:r>
      </w:hyperlink>
    </w:p>
    <w:p>
      <w:pPr>
        <w:pStyle w:val="BodyText"/>
        <w:tabs>
          <w:tab w:pos="1432" w:val="left" w:leader="none"/>
        </w:tabs>
        <w:spacing w:line="187" w:lineRule="auto" w:before="69"/>
        <w:ind w:left="1432" w:right="137" w:hanging="1271"/>
      </w:pPr>
      <w:r>
        <w:rPr/>
        <mc:AlternateContent>
          <mc:Choice Requires="wps">
            <w:drawing>
              <wp:anchor distT="0" distB="0" distL="0" distR="0" allowOverlap="1" layoutInCell="1" locked="0" behindDoc="0" simplePos="0" relativeHeight="15895552">
                <wp:simplePos x="0" y="0"/>
                <wp:positionH relativeFrom="page">
                  <wp:posOffset>7513269</wp:posOffset>
                </wp:positionH>
                <wp:positionV relativeFrom="paragraph">
                  <wp:posOffset>133470</wp:posOffset>
                </wp:positionV>
                <wp:extent cx="19685" cy="8890"/>
                <wp:effectExtent l="0" t="0" r="0" b="0"/>
                <wp:wrapNone/>
                <wp:docPr id="767" name="Graphic 767"/>
                <wp:cNvGraphicFramePr>
                  <a:graphicFrameLocks/>
                </wp:cNvGraphicFramePr>
                <a:graphic>
                  <a:graphicData uri="http://schemas.microsoft.com/office/word/2010/wordprocessingShape">
                    <wps:wsp>
                      <wps:cNvPr id="767" name="Graphic 767"/>
                      <wps:cNvSpPr/>
                      <wps:spPr>
                        <a:xfrm>
                          <a:off x="0" y="0"/>
                          <a:ext cx="19685" cy="8890"/>
                        </a:xfrm>
                        <a:custGeom>
                          <a:avLst/>
                          <a:gdLst/>
                          <a:ahLst/>
                          <a:cxnLst/>
                          <a:rect l="l" t="t" r="r" b="b"/>
                          <a:pathLst>
                            <a:path w="19685" h="8890">
                              <a:moveTo>
                                <a:pt x="19138" y="0"/>
                              </a:moveTo>
                              <a:lnTo>
                                <a:pt x="0" y="0"/>
                              </a:lnTo>
                              <a:lnTo>
                                <a:pt x="0" y="8572"/>
                              </a:lnTo>
                              <a:lnTo>
                                <a:pt x="19138" y="8572"/>
                              </a:lnTo>
                              <a:lnTo>
                                <a:pt x="1913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596008pt;margin-top:10.509461pt;width:1.507pt;height:.675pt;mso-position-horizontal-relative:page;mso-position-vertical-relative:paragraph;z-index:15895552" id="docshape765" filled="true" fillcolor="#0000ff" stroked="false">
                <v:fill type="solid"/>
                <w10:wrap type="none"/>
              </v:rect>
            </w:pict>
          </mc:Fallback>
        </mc:AlternateContent>
      </w:r>
      <w:r>
        <w:rPr>
          <w:spacing w:val="-2"/>
        </w:rPr>
        <w:t>*10.4(23)</w:t>
      </w:r>
      <w:r>
        <w:rPr/>
        <w:tab/>
      </w:r>
      <w:hyperlink r:id="rId71">
        <w:r>
          <w:rPr>
            <w:color w:val="0000FF"/>
            <w:position w:val="1"/>
            <w:u w:val="single" w:color="0000FF"/>
          </w:rPr>
          <w:t>Form</w:t>
        </w:r>
        <w:r>
          <w:rPr>
            <w:color w:val="0000FF"/>
            <w:spacing w:val="15"/>
            <w:position w:val="1"/>
            <w:u w:val="single" w:color="0000FF"/>
          </w:rPr>
          <w:t> </w:t>
        </w:r>
        <w:r>
          <w:rPr>
            <w:color w:val="0000FF"/>
            <w:position w:val="1"/>
            <w:u w:val="single" w:color="0000FF"/>
          </w:rPr>
          <w:t>of</w:t>
        </w:r>
        <w:r>
          <w:rPr>
            <w:color w:val="0000FF"/>
            <w:spacing w:val="15"/>
            <w:position w:val="1"/>
            <w:u w:val="single" w:color="0000FF"/>
          </w:rPr>
          <w:t> </w:t>
        </w:r>
        <w:r>
          <w:rPr>
            <w:color w:val="0000FF"/>
            <w:position w:val="1"/>
            <w:u w:val="single" w:color="0000FF"/>
          </w:rPr>
          <w:t>Restricted</w:t>
        </w:r>
        <w:r>
          <w:rPr>
            <w:color w:val="0000FF"/>
            <w:spacing w:val="15"/>
            <w:position w:val="1"/>
            <w:u w:val="single" w:color="0000FF"/>
          </w:rPr>
          <w:t> </w:t>
        </w:r>
        <w:r>
          <w:rPr>
            <w:color w:val="0000FF"/>
            <w:position w:val="1"/>
            <w:u w:val="single" w:color="0000FF"/>
          </w:rPr>
          <w:t>Stock</w:t>
        </w:r>
        <w:r>
          <w:rPr>
            <w:color w:val="0000FF"/>
            <w:spacing w:val="15"/>
            <w:position w:val="1"/>
            <w:u w:val="single" w:color="0000FF"/>
          </w:rPr>
          <w:t> </w:t>
        </w:r>
        <w:r>
          <w:rPr>
            <w:color w:val="0000FF"/>
            <w:position w:val="1"/>
            <w:u w:val="single" w:color="0000FF"/>
          </w:rPr>
          <w:t>Units Agreement</w:t>
        </w:r>
        <w:r>
          <w:rPr>
            <w:color w:val="0000FF"/>
            <w:spacing w:val="15"/>
            <w:position w:val="1"/>
            <w:u w:val="single" w:color="0000FF"/>
          </w:rPr>
          <w:t> </w:t>
        </w:r>
        <w:r>
          <w:rPr>
            <w:color w:val="0000FF"/>
            <w:position w:val="1"/>
            <w:u w:val="single" w:color="0000FF"/>
          </w:rPr>
          <w:t>of</w:t>
        </w:r>
        <w:r>
          <w:rPr>
            <w:color w:val="0000FF"/>
            <w:spacing w:val="15"/>
            <w:position w:val="1"/>
            <w:u w:val="single" w:color="0000FF"/>
          </w:rPr>
          <w:t> </w:t>
        </w:r>
        <w:r>
          <w:rPr>
            <w:color w:val="0000FF"/>
            <w:position w:val="1"/>
            <w:u w:val="single" w:color="0000FF"/>
          </w:rPr>
          <w:t>the</w:t>
        </w:r>
        <w:r>
          <w:rPr>
            <w:color w:val="0000FF"/>
            <w:spacing w:val="15"/>
            <w:position w:val="1"/>
            <w:u w:val="single" w:color="0000FF"/>
          </w:rPr>
          <w:t> </w:t>
        </w:r>
        <w:r>
          <w:rPr>
            <w:color w:val="0000FF"/>
            <w:position w:val="1"/>
            <w:u w:val="single" w:color="0000FF"/>
          </w:rPr>
          <w:t>Company</w:t>
        </w:r>
        <w:r>
          <w:rPr>
            <w:color w:val="0000FF"/>
            <w:spacing w:val="40"/>
            <w:position w:val="1"/>
            <w:u w:val="single" w:color="0000FF"/>
          </w:rPr>
          <w:t> </w:t>
        </w:r>
        <w:r>
          <w:rPr>
            <w:color w:val="0000FF"/>
            <w:position w:val="1"/>
            <w:u w:val="single" w:color="0000FF"/>
          </w:rPr>
          <w:t>effective</w:t>
        </w:r>
        <w:r>
          <w:rPr>
            <w:color w:val="0000FF"/>
            <w:spacing w:val="15"/>
            <w:position w:val="1"/>
            <w:u w:val="single" w:color="0000FF"/>
          </w:rPr>
          <w:t> </w:t>
        </w:r>
        <w:r>
          <w:rPr>
            <w:color w:val="0000FF"/>
            <w:position w:val="1"/>
            <w:u w:val="single" w:color="0000FF"/>
          </w:rPr>
          <w:t>for</w:t>
        </w:r>
        <w:r>
          <w:rPr>
            <w:color w:val="0000FF"/>
            <w:spacing w:val="15"/>
            <w:position w:val="1"/>
            <w:u w:val="single" w:color="0000FF"/>
          </w:rPr>
          <w:t> </w:t>
        </w:r>
        <w:r>
          <w:rPr>
            <w:color w:val="0000FF"/>
            <w:position w:val="1"/>
            <w:u w:val="single" w:color="0000FF"/>
          </w:rPr>
          <w:t>awards granted</w:t>
        </w:r>
        <w:r>
          <w:rPr>
            <w:color w:val="0000FF"/>
            <w:spacing w:val="15"/>
            <w:position w:val="1"/>
            <w:u w:val="single" w:color="0000FF"/>
          </w:rPr>
          <w:t> </w:t>
        </w:r>
        <w:r>
          <w:rPr>
            <w:color w:val="0000FF"/>
            <w:position w:val="1"/>
            <w:u w:val="single" w:color="0000FF"/>
          </w:rPr>
          <w:t>in</w:t>
        </w:r>
        <w:r>
          <w:rPr>
            <w:color w:val="0000FF"/>
            <w:spacing w:val="15"/>
            <w:position w:val="1"/>
            <w:u w:val="single" w:color="0000FF"/>
          </w:rPr>
          <w:t> </w:t>
        </w:r>
        <w:r>
          <w:rPr>
            <w:color w:val="0000FF"/>
            <w:position w:val="1"/>
            <w:u w:val="single" w:color="0000FF"/>
          </w:rPr>
          <w:t>October</w:t>
        </w:r>
        <w:r>
          <w:rPr>
            <w:color w:val="0000FF"/>
            <w:spacing w:val="15"/>
            <w:position w:val="1"/>
            <w:u w:val="single" w:color="0000FF"/>
          </w:rPr>
          <w:t> </w:t>
        </w:r>
        <w:r>
          <w:rPr>
            <w:color w:val="0000FF"/>
            <w:position w:val="1"/>
            <w:u w:val="single" w:color="0000FF"/>
          </w:rPr>
          <w:t>2015</w:t>
        </w:r>
        <w:r>
          <w:rPr>
            <w:color w:val="0000FF"/>
            <w:spacing w:val="15"/>
            <w:position w:val="1"/>
            <w:u w:val="single" w:color="0000FF"/>
          </w:rPr>
          <w:t> </w:t>
        </w:r>
        <w:r>
          <w:rPr>
            <w:color w:val="0000FF"/>
            <w:position w:val="1"/>
            <w:u w:val="single" w:color="0000FF"/>
          </w:rPr>
          <w:t>and</w:t>
        </w:r>
        <w:r>
          <w:rPr>
            <w:color w:val="0000FF"/>
            <w:spacing w:val="15"/>
            <w:position w:val="1"/>
            <w:u w:val="single" w:color="0000FF"/>
          </w:rPr>
          <w:t> </w:t>
        </w:r>
        <w:r>
          <w:rPr>
            <w:color w:val="0000FF"/>
            <w:position w:val="1"/>
            <w:u w:val="single" w:color="0000FF"/>
          </w:rPr>
          <w:t>thereafter</w:t>
        </w:r>
        <w:r>
          <w:rPr>
            <w:color w:val="0000FF"/>
            <w:spacing w:val="15"/>
            <w:position w:val="1"/>
            <w:u w:val="single" w:color="0000FF"/>
          </w:rPr>
          <w:t> </w:t>
        </w:r>
        <w:r>
          <w:rPr>
            <w:color w:val="0000FF"/>
            <w:position w:val="1"/>
            <w:u w:val="single" w:color="0000FF"/>
          </w:rPr>
          <w:t>(incorporated</w:t>
        </w:r>
        <w:r>
          <w:rPr>
            <w:color w:val="0000FF"/>
            <w:spacing w:val="15"/>
            <w:position w:val="1"/>
            <w:u w:val="single" w:color="0000FF"/>
          </w:rPr>
          <w:t> </w:t>
        </w:r>
        <w:r>
          <w:rPr>
            <w:color w:val="0000FF"/>
            <w:position w:val="1"/>
            <w:u w:val="single" w:color="0000FF"/>
          </w:rPr>
          <w:t>by</w:t>
        </w:r>
      </w:hyperlink>
      <w:r>
        <w:rPr>
          <w:color w:val="0000FF"/>
          <w:position w:val="1"/>
        </w:rPr>
        <w:t> </w:t>
      </w:r>
      <w:hyperlink r:id="rId71">
        <w:r>
          <w:rPr>
            <w:color w:val="0000FF"/>
            <w:u w:val="single" w:color="0000FF"/>
          </w:rPr>
          <w:t>reference to Exhibit 10.4 of the Company</w:t>
        </w:r>
        <w:r>
          <w:rPr>
            <w:color w:val="0000FF"/>
            <w:spacing w:val="-13"/>
            <w:u w:val="single" w:color="0000FF"/>
          </w:rPr>
          <w:t> </w:t>
        </w:r>
        <w:r>
          <w:rPr>
            <w:color w:val="0000FF"/>
            <w:u w:val="single" w:color="0000FF"/>
          </w:rPr>
          <w:t>’s Q</w:t>
        </w:r>
        <w:r>
          <w:rPr>
            <w:color w:val="0000FF"/>
            <w:spacing w:val="-33"/>
            <w:u w:val="single" w:color="0000FF"/>
          </w:rPr>
          <w:t> </w:t>
        </w:r>
        <w:r>
          <w:rPr>
            <w:color w:val="0000FF"/>
            <w:u w:val="single" w:color="0000FF"/>
          </w:rPr>
          <w:t>uarter</w:t>
        </w:r>
        <w:r>
          <w:rPr>
            <w:color w:val="0000FF"/>
          </w:rPr>
          <w:t>ly</w:t>
        </w:r>
        <w:r>
          <w:rPr>
            <w:color w:val="0000FF"/>
            <w:spacing w:val="35"/>
            <w:u w:val="single" w:color="0000FF"/>
          </w:rPr>
          <w:t> </w:t>
        </w:r>
        <w:r>
          <w:rPr>
            <w:color w:val="0000FF"/>
            <w:u w:val="single" w:color="0000FF"/>
          </w:rPr>
          <w:t>Report on Form 10-Q filed on November 6, 2015).</w:t>
        </w:r>
      </w:hyperlink>
    </w:p>
    <w:p>
      <w:pPr>
        <w:pStyle w:val="BodyText"/>
        <w:tabs>
          <w:tab w:pos="1432" w:val="left" w:leader="none"/>
        </w:tabs>
        <w:spacing w:line="194" w:lineRule="exact" w:before="48"/>
        <w:ind w:left="162"/>
      </w:pPr>
      <w:r>
        <w:rPr>
          <w:spacing w:val="-2"/>
        </w:rPr>
        <w:t>*10.4(24)</w:t>
      </w:r>
      <w:r>
        <w:rPr/>
        <w:tab/>
      </w:r>
      <w:hyperlink r:id="rId72">
        <w:r>
          <w:rPr>
            <w:color w:val="0000FF"/>
            <w:position w:val="1"/>
            <w:u w:val="single" w:color="0000FF"/>
          </w:rPr>
          <w:t>Form</w:t>
        </w:r>
        <w:r>
          <w:rPr>
            <w:color w:val="0000FF"/>
            <w:spacing w:val="24"/>
            <w:position w:val="1"/>
            <w:u w:val="single" w:color="0000FF"/>
          </w:rPr>
          <w:t> </w:t>
        </w:r>
        <w:r>
          <w:rPr>
            <w:color w:val="0000FF"/>
            <w:position w:val="1"/>
            <w:u w:val="single" w:color="0000FF"/>
          </w:rPr>
          <w:t>of</w:t>
        </w:r>
        <w:r>
          <w:rPr>
            <w:color w:val="0000FF"/>
            <w:spacing w:val="26"/>
            <w:position w:val="1"/>
            <w:u w:val="single" w:color="0000FF"/>
          </w:rPr>
          <w:t> </w:t>
        </w:r>
        <w:r>
          <w:rPr>
            <w:color w:val="0000FF"/>
            <w:position w:val="1"/>
            <w:u w:val="single" w:color="0000FF"/>
          </w:rPr>
          <w:t>Restricted</w:t>
        </w:r>
        <w:r>
          <w:rPr>
            <w:color w:val="0000FF"/>
            <w:spacing w:val="26"/>
            <w:position w:val="1"/>
            <w:u w:val="single" w:color="0000FF"/>
          </w:rPr>
          <w:t> </w:t>
        </w:r>
        <w:r>
          <w:rPr>
            <w:color w:val="0000FF"/>
            <w:position w:val="1"/>
            <w:u w:val="single" w:color="0000FF"/>
          </w:rPr>
          <w:t>Stock</w:t>
        </w:r>
        <w:r>
          <w:rPr>
            <w:color w:val="0000FF"/>
            <w:spacing w:val="26"/>
            <w:position w:val="1"/>
            <w:u w:val="single" w:color="0000FF"/>
          </w:rPr>
          <w:t> </w:t>
        </w:r>
        <w:r>
          <w:rPr>
            <w:color w:val="0000FF"/>
            <w:position w:val="1"/>
            <w:u w:val="single" w:color="0000FF"/>
          </w:rPr>
          <w:t>Units</w:t>
        </w:r>
        <w:r>
          <w:rPr>
            <w:color w:val="0000FF"/>
            <w:spacing w:val="16"/>
            <w:position w:val="1"/>
            <w:u w:val="single" w:color="0000FF"/>
          </w:rPr>
          <w:t> </w:t>
        </w:r>
        <w:r>
          <w:rPr>
            <w:color w:val="0000FF"/>
            <w:position w:val="1"/>
            <w:u w:val="single" w:color="0000FF"/>
          </w:rPr>
          <w:t>Agreement</w:t>
        </w:r>
        <w:r>
          <w:rPr>
            <w:color w:val="0000FF"/>
            <w:spacing w:val="26"/>
            <w:position w:val="1"/>
            <w:u w:val="single" w:color="0000FF"/>
          </w:rPr>
          <w:t> </w:t>
        </w:r>
        <w:r>
          <w:rPr>
            <w:color w:val="0000FF"/>
            <w:position w:val="1"/>
            <w:u w:val="single" w:color="0000FF"/>
          </w:rPr>
          <w:t>of</w:t>
        </w:r>
        <w:r>
          <w:rPr>
            <w:color w:val="0000FF"/>
            <w:spacing w:val="26"/>
            <w:position w:val="1"/>
            <w:u w:val="single" w:color="0000FF"/>
          </w:rPr>
          <w:t> </w:t>
        </w:r>
        <w:r>
          <w:rPr>
            <w:color w:val="0000FF"/>
            <w:position w:val="1"/>
            <w:u w:val="single" w:color="0000FF"/>
          </w:rPr>
          <w:t>the</w:t>
        </w:r>
        <w:r>
          <w:rPr>
            <w:color w:val="0000FF"/>
            <w:spacing w:val="26"/>
            <w:position w:val="1"/>
            <w:u w:val="single" w:color="0000FF"/>
          </w:rPr>
          <w:t> </w:t>
        </w:r>
        <w:r>
          <w:rPr>
            <w:color w:val="0000FF"/>
            <w:position w:val="1"/>
            <w:u w:val="single" w:color="0000FF"/>
          </w:rPr>
          <w:t>Company</w:t>
        </w:r>
        <w:r>
          <w:rPr>
            <w:color w:val="0000FF"/>
            <w:spacing w:val="56"/>
            <w:position w:val="1"/>
            <w:u w:val="single" w:color="0000FF"/>
          </w:rPr>
          <w:t> </w:t>
        </w:r>
        <w:r>
          <w:rPr>
            <w:color w:val="0000FF"/>
            <w:position w:val="1"/>
            <w:u w:val="single" w:color="0000FF"/>
          </w:rPr>
          <w:t>(Performance)</w:t>
        </w:r>
        <w:r>
          <w:rPr>
            <w:color w:val="0000FF"/>
            <w:spacing w:val="26"/>
            <w:position w:val="1"/>
            <w:u w:val="single" w:color="0000FF"/>
          </w:rPr>
          <w:t> </w:t>
        </w:r>
        <w:r>
          <w:rPr>
            <w:color w:val="0000FF"/>
            <w:position w:val="1"/>
            <w:u w:val="single" w:color="0000FF"/>
          </w:rPr>
          <w:t>effective</w:t>
        </w:r>
        <w:r>
          <w:rPr>
            <w:color w:val="0000FF"/>
            <w:spacing w:val="26"/>
            <w:position w:val="1"/>
            <w:u w:val="single" w:color="0000FF"/>
          </w:rPr>
          <w:t> </w:t>
        </w:r>
        <w:r>
          <w:rPr>
            <w:color w:val="0000FF"/>
            <w:position w:val="1"/>
            <w:u w:val="single" w:color="0000FF"/>
          </w:rPr>
          <w:t>for</w:t>
        </w:r>
        <w:r>
          <w:rPr>
            <w:color w:val="0000FF"/>
            <w:spacing w:val="26"/>
            <w:position w:val="1"/>
            <w:u w:val="single" w:color="0000FF"/>
          </w:rPr>
          <w:t> </w:t>
        </w:r>
        <w:r>
          <w:rPr>
            <w:color w:val="0000FF"/>
            <w:position w:val="1"/>
            <w:u w:val="single" w:color="0000FF"/>
          </w:rPr>
          <w:t>awards</w:t>
        </w:r>
        <w:r>
          <w:rPr>
            <w:color w:val="0000FF"/>
            <w:spacing w:val="14"/>
            <w:position w:val="1"/>
            <w:u w:val="single" w:color="0000FF"/>
          </w:rPr>
          <w:t> </w:t>
        </w:r>
        <w:r>
          <w:rPr>
            <w:color w:val="0000FF"/>
            <w:position w:val="1"/>
            <w:u w:val="single" w:color="0000FF"/>
          </w:rPr>
          <w:t>granted</w:t>
        </w:r>
        <w:r>
          <w:rPr>
            <w:color w:val="0000FF"/>
            <w:spacing w:val="26"/>
            <w:position w:val="1"/>
            <w:u w:val="single" w:color="0000FF"/>
          </w:rPr>
          <w:t> </w:t>
        </w:r>
        <w:r>
          <w:rPr>
            <w:color w:val="0000FF"/>
            <w:position w:val="1"/>
            <w:u w:val="single" w:color="0000FF"/>
          </w:rPr>
          <w:t>in</w:t>
        </w:r>
        <w:r>
          <w:rPr>
            <w:color w:val="0000FF"/>
            <w:spacing w:val="26"/>
            <w:position w:val="1"/>
            <w:u w:val="single" w:color="0000FF"/>
          </w:rPr>
          <w:t> </w:t>
        </w:r>
        <w:r>
          <w:rPr>
            <w:color w:val="0000FF"/>
            <w:position w:val="1"/>
            <w:u w:val="single" w:color="0000FF"/>
          </w:rPr>
          <w:t>October</w:t>
        </w:r>
        <w:r>
          <w:rPr>
            <w:color w:val="0000FF"/>
            <w:spacing w:val="26"/>
            <w:position w:val="1"/>
            <w:u w:val="single" w:color="0000FF"/>
          </w:rPr>
          <w:t> </w:t>
        </w:r>
        <w:r>
          <w:rPr>
            <w:color w:val="0000FF"/>
            <w:position w:val="1"/>
            <w:u w:val="single" w:color="0000FF"/>
          </w:rPr>
          <w:t>2015</w:t>
        </w:r>
        <w:r>
          <w:rPr>
            <w:color w:val="0000FF"/>
            <w:spacing w:val="26"/>
            <w:position w:val="1"/>
            <w:u w:val="single" w:color="0000FF"/>
          </w:rPr>
          <w:t> </w:t>
        </w:r>
        <w:r>
          <w:rPr>
            <w:color w:val="0000FF"/>
            <w:position w:val="1"/>
            <w:u w:val="single" w:color="0000FF"/>
          </w:rPr>
          <w:t>and</w:t>
        </w:r>
        <w:r>
          <w:rPr>
            <w:color w:val="0000FF"/>
            <w:spacing w:val="27"/>
            <w:position w:val="1"/>
            <w:u w:val="single" w:color="0000FF"/>
          </w:rPr>
          <w:t> </w:t>
        </w:r>
        <w:r>
          <w:rPr>
            <w:color w:val="0000FF"/>
            <w:spacing w:val="-2"/>
            <w:position w:val="1"/>
            <w:u w:val="single" w:color="0000FF"/>
          </w:rPr>
          <w:t>thereafter</w:t>
        </w:r>
      </w:hyperlink>
    </w:p>
    <w:p>
      <w:pPr>
        <w:pStyle w:val="BodyText"/>
        <w:spacing w:line="184" w:lineRule="exact"/>
        <w:ind w:left="1432"/>
      </w:pPr>
      <w:hyperlink r:id="rId72">
        <w:r>
          <w:rPr>
            <w:color w:val="0000FF"/>
            <w:spacing w:val="-45"/>
            <w:u w:val="single" w:color="0000FF"/>
          </w:rPr>
          <w:t> </w:t>
        </w:r>
        <w:r>
          <w:rPr>
            <w:color w:val="0000FF"/>
          </w:rPr>
          <w:t>(</w:t>
        </w:r>
        <w:r>
          <w:rPr>
            <w:color w:val="0000FF"/>
            <w:u w:val="single" w:color="0000FF"/>
          </w:rPr>
          <w:t>incorporated</w:t>
        </w:r>
        <w:r>
          <w:rPr>
            <w:color w:val="0000FF"/>
            <w:spacing w:val="-12"/>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8"/>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10.5</w:t>
        </w:r>
        <w:r>
          <w:rPr>
            <w:color w:val="0000FF"/>
            <w:spacing w:val="-7"/>
            <w:u w:val="single" w:color="0000FF"/>
          </w:rPr>
          <w:t> </w:t>
        </w:r>
        <w:r>
          <w:rPr>
            <w:color w:val="0000FF"/>
            <w:u w:val="single" w:color="0000FF"/>
          </w:rPr>
          <w:t>of</w:t>
        </w:r>
        <w:r>
          <w:rPr>
            <w:color w:val="0000FF"/>
            <w:spacing w:val="-8"/>
            <w:u w:val="single" w:color="0000FF"/>
          </w:rPr>
          <w:t> </w:t>
        </w:r>
        <w:r>
          <w:rPr>
            <w:color w:val="0000FF"/>
            <w:u w:val="single" w:color="0000FF"/>
          </w:rPr>
          <w:t>the</w:t>
        </w:r>
        <w:r>
          <w:rPr>
            <w:color w:val="0000FF"/>
            <w:spacing w:val="-7"/>
            <w:u w:val="single" w:color="0000FF"/>
          </w:rPr>
          <w:t> </w:t>
        </w:r>
        <w:r>
          <w:rPr>
            <w:color w:val="0000FF"/>
            <w:u w:val="single" w:color="0000FF"/>
          </w:rPr>
          <w:t>Company</w:t>
        </w:r>
        <w:r>
          <w:rPr>
            <w:color w:val="0000FF"/>
            <w:spacing w:val="-15"/>
            <w:u w:val="single" w:color="0000FF"/>
          </w:rPr>
          <w:t> </w:t>
        </w:r>
        <w:r>
          <w:rPr>
            <w:color w:val="0000FF"/>
            <w:u w:val="single" w:color="0000FF"/>
          </w:rPr>
          <w:t>’s</w:t>
        </w:r>
        <w:r>
          <w:rPr>
            <w:color w:val="0000FF"/>
            <w:spacing w:val="-7"/>
            <w:u w:val="single" w:color="0000FF"/>
          </w:rPr>
          <w:t> </w:t>
        </w:r>
        <w:r>
          <w:rPr>
            <w:color w:val="0000FF"/>
            <w:u w:val="single" w:color="0000FF"/>
          </w:rPr>
          <w:t>Q</w:t>
        </w:r>
        <w:r>
          <w:rPr>
            <w:color w:val="0000FF"/>
            <w:spacing w:val="-33"/>
            <w:u w:val="single" w:color="0000FF"/>
          </w:rPr>
          <w:t> </w:t>
        </w:r>
        <w:r>
          <w:rPr>
            <w:color w:val="0000FF"/>
            <w:u w:val="single" w:color="0000FF"/>
          </w:rPr>
          <w:t>uarter</w:t>
        </w:r>
        <w:r>
          <w:rPr>
            <w:color w:val="0000FF"/>
          </w:rPr>
          <w:t>ly</w:t>
        </w:r>
        <w:r>
          <w:rPr>
            <w:color w:val="0000FF"/>
            <w:spacing w:val="19"/>
            <w:u w:val="single" w:color="0000FF"/>
          </w:rPr>
          <w:t> </w:t>
        </w:r>
        <w:r>
          <w:rPr>
            <w:color w:val="0000FF"/>
            <w:u w:val="single" w:color="0000FF"/>
          </w:rPr>
          <w:t>Report</w:t>
        </w:r>
        <w:r>
          <w:rPr>
            <w:color w:val="0000FF"/>
            <w:spacing w:val="-7"/>
            <w:u w:val="single" w:color="0000FF"/>
          </w:rPr>
          <w:t> </w:t>
        </w:r>
        <w:r>
          <w:rPr>
            <w:color w:val="0000FF"/>
            <w:u w:val="single" w:color="0000FF"/>
          </w:rPr>
          <w:t>on</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10-Q</w:t>
        </w:r>
        <w:r>
          <w:rPr>
            <w:color w:val="0000FF"/>
            <w:spacing w:val="3"/>
            <w:u w:val="single" w:color="0000FF"/>
          </w:rPr>
          <w:t> </w:t>
        </w:r>
        <w:r>
          <w:rPr>
            <w:color w:val="0000FF"/>
            <w:u w:val="single" w:color="0000FF"/>
          </w:rPr>
          <w:t>filed</w:t>
        </w:r>
        <w:r>
          <w:rPr>
            <w:color w:val="0000FF"/>
            <w:spacing w:val="-7"/>
            <w:u w:val="single" w:color="0000FF"/>
          </w:rPr>
          <w:t> </w:t>
        </w:r>
        <w:r>
          <w:rPr>
            <w:color w:val="0000FF"/>
            <w:u w:val="single" w:color="0000FF"/>
          </w:rPr>
          <w:t>on</w:t>
        </w:r>
        <w:r>
          <w:rPr>
            <w:color w:val="0000FF"/>
            <w:spacing w:val="-7"/>
            <w:u w:val="single" w:color="0000FF"/>
          </w:rPr>
          <w:t> </w:t>
        </w:r>
        <w:r>
          <w:rPr>
            <w:color w:val="0000FF"/>
            <w:u w:val="single" w:color="0000FF"/>
          </w:rPr>
          <w:t>November</w:t>
        </w:r>
        <w:r>
          <w:rPr>
            <w:color w:val="0000FF"/>
            <w:spacing w:val="-7"/>
            <w:u w:val="single" w:color="0000FF"/>
          </w:rPr>
          <w:t> </w:t>
        </w:r>
        <w:r>
          <w:rPr>
            <w:color w:val="0000FF"/>
            <w:u w:val="single" w:color="0000FF"/>
          </w:rPr>
          <w:t>6,</w:t>
        </w:r>
        <w:r>
          <w:rPr>
            <w:color w:val="0000FF"/>
            <w:spacing w:val="-7"/>
            <w:u w:val="single" w:color="0000FF"/>
          </w:rPr>
          <w:t> </w:t>
        </w:r>
        <w:r>
          <w:rPr>
            <w:color w:val="0000FF"/>
            <w:spacing w:val="-2"/>
            <w:u w:val="single" w:color="0000FF"/>
          </w:rPr>
          <w:t>2015).</w:t>
        </w:r>
      </w:hyperlink>
    </w:p>
    <w:p>
      <w:pPr>
        <w:pStyle w:val="BodyText"/>
        <w:tabs>
          <w:tab w:pos="1432" w:val="left" w:leader="none"/>
        </w:tabs>
        <w:spacing w:line="204" w:lineRule="auto" w:before="52"/>
        <w:ind w:left="1432" w:right="137" w:hanging="1271"/>
      </w:pPr>
      <w:r>
        <w:rPr>
          <w:spacing w:val="-2"/>
        </w:rPr>
        <w:t>*10.4(25)</w:t>
      </w:r>
      <w:r>
        <w:rPr/>
        <w:tab/>
      </w:r>
      <w:hyperlink r:id="rId73">
        <w:r>
          <w:rPr>
            <w:color w:val="0000FF"/>
            <w:position w:val="1"/>
            <w:u w:val="single" w:color="0000FF"/>
          </w:rPr>
          <w:t>Form</w:t>
        </w:r>
        <w:r>
          <w:rPr>
            <w:color w:val="0000FF"/>
            <w:spacing w:val="22"/>
            <w:position w:val="1"/>
            <w:u w:val="single" w:color="0000FF"/>
          </w:rPr>
          <w:t> </w:t>
        </w:r>
        <w:r>
          <w:rPr>
            <w:color w:val="0000FF"/>
            <w:position w:val="1"/>
            <w:u w:val="single" w:color="0000FF"/>
          </w:rPr>
          <w:t>of</w:t>
        </w:r>
        <w:r>
          <w:rPr>
            <w:color w:val="0000FF"/>
            <w:spacing w:val="22"/>
            <w:position w:val="1"/>
            <w:u w:val="single" w:color="0000FF"/>
          </w:rPr>
          <w:t> </w:t>
        </w:r>
        <w:r>
          <w:rPr>
            <w:color w:val="0000FF"/>
            <w:position w:val="1"/>
            <w:u w:val="single" w:color="0000FF"/>
          </w:rPr>
          <w:t>RSU Agreement</w:t>
        </w:r>
        <w:r>
          <w:rPr>
            <w:color w:val="0000FF"/>
            <w:spacing w:val="22"/>
            <w:position w:val="1"/>
            <w:u w:val="single" w:color="0000FF"/>
          </w:rPr>
          <w:t> </w:t>
        </w:r>
        <w:r>
          <w:rPr>
            <w:color w:val="0000FF"/>
            <w:position w:val="1"/>
            <w:u w:val="single" w:color="0000FF"/>
          </w:rPr>
          <w:t>(Named</w:t>
        </w:r>
        <w:r>
          <w:rPr>
            <w:color w:val="0000FF"/>
            <w:spacing w:val="22"/>
            <w:position w:val="1"/>
            <w:u w:val="single" w:color="0000FF"/>
          </w:rPr>
          <w:t> </w:t>
        </w:r>
        <w:r>
          <w:rPr>
            <w:color w:val="0000FF"/>
            <w:position w:val="1"/>
            <w:u w:val="single" w:color="0000FF"/>
          </w:rPr>
          <w:t>Executive</w:t>
        </w:r>
        <w:r>
          <w:rPr>
            <w:color w:val="0000FF"/>
            <w:spacing w:val="22"/>
            <w:position w:val="1"/>
            <w:u w:val="single" w:color="0000FF"/>
          </w:rPr>
          <w:t> </w:t>
        </w:r>
        <w:r>
          <w:rPr>
            <w:color w:val="0000FF"/>
            <w:position w:val="1"/>
            <w:u w:val="single" w:color="0000FF"/>
          </w:rPr>
          <w:t>Officer</w:t>
        </w:r>
        <w:r>
          <w:rPr>
            <w:color w:val="0000FF"/>
            <w:spacing w:val="22"/>
            <w:position w:val="1"/>
            <w:u w:val="single" w:color="0000FF"/>
          </w:rPr>
          <w:t> </w:t>
        </w:r>
        <w:r>
          <w:rPr>
            <w:color w:val="0000FF"/>
            <w:position w:val="1"/>
            <w:u w:val="single" w:color="0000FF"/>
          </w:rPr>
          <w:t>Employment Agreement Awards)</w:t>
        </w:r>
        <w:r>
          <w:rPr>
            <w:color w:val="0000FF"/>
            <w:spacing w:val="22"/>
            <w:position w:val="1"/>
            <w:u w:val="single" w:color="0000FF"/>
          </w:rPr>
          <w:t> </w:t>
        </w:r>
        <w:r>
          <w:rPr>
            <w:color w:val="0000FF"/>
            <w:position w:val="1"/>
            <w:u w:val="single" w:color="0000FF"/>
          </w:rPr>
          <w:t>(incorporated</w:t>
        </w:r>
        <w:r>
          <w:rPr>
            <w:color w:val="0000FF"/>
            <w:spacing w:val="22"/>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reference</w:t>
        </w:r>
        <w:r>
          <w:rPr>
            <w:color w:val="0000FF"/>
            <w:spacing w:val="22"/>
            <w:position w:val="1"/>
            <w:u w:val="single" w:color="0000FF"/>
          </w:rPr>
          <w:t> </w:t>
        </w:r>
        <w:r>
          <w:rPr>
            <w:color w:val="0000FF"/>
            <w:position w:val="1"/>
            <w:u w:val="single" w:color="0000FF"/>
          </w:rPr>
          <w:t>to</w:t>
        </w:r>
        <w:r>
          <w:rPr>
            <w:color w:val="0000FF"/>
            <w:spacing w:val="22"/>
            <w:position w:val="1"/>
            <w:u w:val="single" w:color="0000FF"/>
          </w:rPr>
          <w:t> </w:t>
        </w:r>
        <w:r>
          <w:rPr>
            <w:color w:val="0000FF"/>
            <w:position w:val="1"/>
            <w:u w:val="single" w:color="0000FF"/>
          </w:rPr>
          <w:t>Exhibit</w:t>
        </w:r>
        <w:r>
          <w:rPr>
            <w:color w:val="0000FF"/>
            <w:spacing w:val="22"/>
            <w:position w:val="1"/>
            <w:u w:val="single" w:color="0000FF"/>
          </w:rPr>
          <w:t> </w:t>
        </w:r>
        <w:r>
          <w:rPr>
            <w:color w:val="0000FF"/>
            <w:position w:val="1"/>
            <w:u w:val="single" w:color="0000FF"/>
          </w:rPr>
          <w:t>10.4</w:t>
        </w:r>
        <w:r>
          <w:rPr>
            <w:color w:val="0000FF"/>
            <w:spacing w:val="22"/>
            <w:position w:val="1"/>
            <w:u w:val="single" w:color="0000FF"/>
          </w:rPr>
          <w:t> </w:t>
        </w:r>
        <w:r>
          <w:rPr>
            <w:color w:val="0000FF"/>
            <w:position w:val="1"/>
            <w:u w:val="single" w:color="0000FF"/>
          </w:rPr>
          <w:t>of</w:t>
        </w:r>
        <w:r>
          <w:rPr>
            <w:color w:val="0000FF"/>
            <w:spacing w:val="22"/>
            <w:position w:val="1"/>
            <w:u w:val="single" w:color="0000FF"/>
          </w:rPr>
          <w:t> </w:t>
        </w:r>
        <w:r>
          <w:rPr>
            <w:color w:val="0000FF"/>
            <w:position w:val="1"/>
            <w:u w:val="single" w:color="0000FF"/>
          </w:rPr>
          <w:t>the</w:t>
        </w:r>
      </w:hyperlink>
      <w:r>
        <w:rPr>
          <w:color w:val="0000FF"/>
          <w:position w:val="1"/>
        </w:rPr>
        <w:t> </w:t>
      </w:r>
      <w:hyperlink r:id="rId73">
        <w:r>
          <w:rPr>
            <w:color w:val="0000FF"/>
            <w:u w:val="single" w:color="0000FF"/>
          </w:rPr>
          <w:t>Company</w:t>
        </w:r>
        <w:r>
          <w:rPr>
            <w:color w:val="0000FF"/>
            <w:spacing w:val="-7"/>
            <w:u w:val="single" w:color="0000FF"/>
          </w:rPr>
          <w:t> </w:t>
        </w:r>
        <w:r>
          <w:rPr>
            <w:color w:val="0000FF"/>
            <w:u w:val="single" w:color="0000FF"/>
          </w:rPr>
          <w:t>'s Current Report on Form 8-K filed on March 31, 2020).</w:t>
        </w:r>
      </w:hyperlink>
    </w:p>
    <w:p>
      <w:pPr>
        <w:pStyle w:val="BodyText"/>
        <w:tabs>
          <w:tab w:pos="1432" w:val="left" w:leader="none"/>
        </w:tabs>
        <w:spacing w:line="187" w:lineRule="auto" w:before="68"/>
        <w:ind w:left="1432" w:right="137" w:hanging="1271"/>
      </w:pPr>
      <w:r>
        <w:rPr>
          <w:spacing w:val="-2"/>
        </w:rPr>
        <w:t>*10.4(26)</w:t>
      </w:r>
      <w:r>
        <w:rPr/>
        <w:tab/>
      </w:r>
      <w:hyperlink r:id="rId74">
        <w:r>
          <w:rPr>
            <w:color w:val="0000FF"/>
            <w:position w:val="1"/>
            <w:u w:val="single" w:color="0000FF"/>
          </w:rPr>
          <w:t>Form of RSU Agreement (Hornbuckle) (incorporated by</w:t>
        </w:r>
        <w:r>
          <w:rPr>
            <w:color w:val="0000FF"/>
            <w:spacing w:val="37"/>
            <w:position w:val="1"/>
            <w:u w:val="single" w:color="0000FF"/>
          </w:rPr>
          <w:t> </w:t>
        </w:r>
        <w:r>
          <w:rPr>
            <w:color w:val="0000FF"/>
            <w:position w:val="1"/>
            <w:u w:val="single" w:color="0000FF"/>
          </w:rPr>
          <w:t>reference to Exhibit 10.5 of the Company</w:t>
        </w:r>
        <w:r>
          <w:rPr>
            <w:color w:val="0000FF"/>
            <w:spacing w:val="-15"/>
            <w:position w:val="1"/>
            <w:u w:val="single" w:color="0000FF"/>
          </w:rPr>
          <w:t> </w:t>
        </w:r>
        <w:r>
          <w:rPr>
            <w:color w:val="0000FF"/>
            <w:position w:val="1"/>
            <w:u w:val="single" w:color="0000FF"/>
          </w:rPr>
          <w:t>'s Current Report on Form 8-K filed </w:t>
        </w:r>
        <w:r>
          <w:rPr>
            <w:color w:val="0000FF"/>
            <w:position w:val="1"/>
            <w:u w:val="single" w:color="0000FF"/>
          </w:rPr>
          <w:t>on</w:t>
        </w:r>
      </w:hyperlink>
      <w:r>
        <w:rPr>
          <w:color w:val="0000FF"/>
          <w:position w:val="1"/>
        </w:rPr>
        <w:t> </w:t>
      </w:r>
      <w:hyperlink r:id="rId74">
        <w:r>
          <w:rPr>
            <w:color w:val="0000FF"/>
            <w:u w:val="single" w:color="0000FF"/>
          </w:rPr>
          <w:t>March 31, 2020).</w:t>
        </w:r>
      </w:hyperlink>
    </w:p>
    <w:p>
      <w:pPr>
        <w:pStyle w:val="BodyText"/>
        <w:tabs>
          <w:tab w:pos="1432" w:val="left" w:leader="none"/>
        </w:tabs>
        <w:spacing w:line="187" w:lineRule="auto" w:before="86"/>
        <w:ind w:left="1432" w:right="137" w:hanging="1271"/>
      </w:pPr>
      <w:r>
        <w:rPr/>
        <mc:AlternateContent>
          <mc:Choice Requires="wps">
            <w:drawing>
              <wp:anchor distT="0" distB="0" distL="0" distR="0" allowOverlap="1" layoutInCell="1" locked="0" behindDoc="0" simplePos="0" relativeHeight="15896064">
                <wp:simplePos x="0" y="0"/>
                <wp:positionH relativeFrom="page">
                  <wp:posOffset>7513332</wp:posOffset>
                </wp:positionH>
                <wp:positionV relativeFrom="paragraph">
                  <wp:posOffset>144178</wp:posOffset>
                </wp:positionV>
                <wp:extent cx="19685" cy="8890"/>
                <wp:effectExtent l="0" t="0" r="0" b="0"/>
                <wp:wrapNone/>
                <wp:docPr id="768" name="Graphic 768"/>
                <wp:cNvGraphicFramePr>
                  <a:graphicFrameLocks/>
                </wp:cNvGraphicFramePr>
                <a:graphic>
                  <a:graphicData uri="http://schemas.microsoft.com/office/word/2010/wordprocessingShape">
                    <wps:wsp>
                      <wps:cNvPr id="768" name="Graphic 768"/>
                      <wps:cNvSpPr/>
                      <wps:spPr>
                        <a:xfrm>
                          <a:off x="0" y="0"/>
                          <a:ext cx="19685" cy="8890"/>
                        </a:xfrm>
                        <a:custGeom>
                          <a:avLst/>
                          <a:gdLst/>
                          <a:ahLst/>
                          <a:cxnLst/>
                          <a:rect l="l" t="t" r="r" b="b"/>
                          <a:pathLst>
                            <a:path w="19685" h="8890">
                              <a:moveTo>
                                <a:pt x="19075" y="0"/>
                              </a:moveTo>
                              <a:lnTo>
                                <a:pt x="0" y="0"/>
                              </a:lnTo>
                              <a:lnTo>
                                <a:pt x="0" y="8572"/>
                              </a:lnTo>
                              <a:lnTo>
                                <a:pt x="19075" y="8572"/>
                              </a:lnTo>
                              <a:lnTo>
                                <a:pt x="1907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601013pt;margin-top:11.352605pt;width:1.502pt;height:.675pt;mso-position-horizontal-relative:page;mso-position-vertical-relative:paragraph;z-index:15896064" id="docshape766" filled="true" fillcolor="#0000ff" stroked="false">
                <v:fill type="solid"/>
                <w10:wrap type="none"/>
              </v:rect>
            </w:pict>
          </mc:Fallback>
        </mc:AlternateContent>
      </w:r>
      <w:r>
        <w:rPr>
          <w:spacing w:val="-2"/>
        </w:rPr>
        <w:t>*10.4(27)</w:t>
      </w:r>
      <w:r>
        <w:rPr/>
        <w:tab/>
      </w:r>
      <w:hyperlink r:id="rId75">
        <w:r>
          <w:rPr>
            <w:color w:val="0000FF"/>
            <w:position w:val="1"/>
            <w:u w:val="single" w:color="0000FF"/>
          </w:rPr>
          <w:t>Form of Performance Share Units</w:t>
        </w:r>
        <w:r>
          <w:rPr>
            <w:color w:val="0000FF"/>
            <w:spacing w:val="-4"/>
            <w:position w:val="1"/>
            <w:u w:val="single" w:color="0000FF"/>
          </w:rPr>
          <w:t> </w:t>
        </w:r>
        <w:r>
          <w:rPr>
            <w:color w:val="0000FF"/>
            <w:position w:val="1"/>
            <w:u w:val="single" w:color="0000FF"/>
          </w:rPr>
          <w:t>Agreement of the Company</w:t>
        </w:r>
        <w:r>
          <w:rPr>
            <w:color w:val="0000FF"/>
            <w:spacing w:val="33"/>
            <w:position w:val="1"/>
            <w:u w:val="single" w:color="0000FF"/>
          </w:rPr>
          <w:t> </w:t>
        </w:r>
        <w:r>
          <w:rPr>
            <w:color w:val="0000FF"/>
            <w:position w:val="1"/>
            <w:u w:val="single" w:color="0000FF"/>
          </w:rPr>
          <w:t>effective for awards</w:t>
        </w:r>
        <w:r>
          <w:rPr>
            <w:color w:val="0000FF"/>
            <w:position w:val="1"/>
          </w:rPr>
          <w:t> g</w:t>
        </w:r>
        <w:r>
          <w:rPr>
            <w:color w:val="0000FF"/>
            <w:position w:val="1"/>
            <w:u w:val="single" w:color="0000FF"/>
          </w:rPr>
          <w:t>ranted in October 2015 and thereafter (incorporated </w:t>
        </w:r>
        <w:r>
          <w:rPr>
            <w:color w:val="0000FF"/>
            <w:position w:val="1"/>
            <w:u w:val="single" w:color="0000FF"/>
          </w:rPr>
          <w:t>by</w:t>
        </w:r>
      </w:hyperlink>
      <w:r>
        <w:rPr>
          <w:color w:val="0000FF"/>
          <w:position w:val="1"/>
        </w:rPr>
        <w:t> </w:t>
      </w:r>
      <w:hyperlink r:id="rId75">
        <w:r>
          <w:rPr>
            <w:color w:val="0000FF"/>
            <w:u w:val="single" w:color="0000FF"/>
          </w:rPr>
          <w:t>reference to Exhibit 10.6 of the Company</w:t>
        </w:r>
        <w:r>
          <w:rPr>
            <w:color w:val="0000FF"/>
            <w:spacing w:val="-13"/>
            <w:u w:val="single" w:color="0000FF"/>
          </w:rPr>
          <w:t> </w:t>
        </w:r>
        <w:r>
          <w:rPr>
            <w:color w:val="0000FF"/>
            <w:u w:val="single" w:color="0000FF"/>
          </w:rPr>
          <w:t>’s Q</w:t>
        </w:r>
        <w:r>
          <w:rPr>
            <w:color w:val="0000FF"/>
            <w:spacing w:val="-33"/>
            <w:u w:val="single" w:color="0000FF"/>
          </w:rPr>
          <w:t> </w:t>
        </w:r>
        <w:r>
          <w:rPr>
            <w:color w:val="0000FF"/>
            <w:u w:val="single" w:color="0000FF"/>
          </w:rPr>
          <w:t>uarter</w:t>
        </w:r>
        <w:r>
          <w:rPr>
            <w:color w:val="0000FF"/>
          </w:rPr>
          <w:t>ly</w:t>
        </w:r>
        <w:r>
          <w:rPr>
            <w:color w:val="0000FF"/>
            <w:spacing w:val="35"/>
            <w:u w:val="single" w:color="0000FF"/>
          </w:rPr>
          <w:t> </w:t>
        </w:r>
        <w:r>
          <w:rPr>
            <w:color w:val="0000FF"/>
            <w:u w:val="single" w:color="0000FF"/>
          </w:rPr>
          <w:t>Report on Form 10-Q filed on November 6, 2015).</w:t>
        </w:r>
      </w:hyperlink>
    </w:p>
    <w:p>
      <w:pPr>
        <w:pStyle w:val="BodyText"/>
        <w:tabs>
          <w:tab w:pos="1432" w:val="left" w:leader="none"/>
        </w:tabs>
        <w:spacing w:line="201" w:lineRule="exact" w:before="35"/>
        <w:ind w:left="162"/>
      </w:pPr>
      <w:r>
        <w:rPr>
          <w:spacing w:val="-2"/>
        </w:rPr>
        <w:t>*10.4(28)</w:t>
      </w:r>
      <w:r>
        <w:rPr/>
        <w:tab/>
      </w:r>
      <w:hyperlink r:id="rId76">
        <w:r>
          <w:rPr>
            <w:color w:val="0000FF"/>
            <w:position w:val="1"/>
            <w:u w:val="single" w:color="0000FF"/>
          </w:rPr>
          <w:t>Form</w:t>
        </w:r>
        <w:r>
          <w:rPr>
            <w:color w:val="0000FF"/>
            <w:spacing w:val="23"/>
            <w:position w:val="1"/>
            <w:u w:val="single" w:color="0000FF"/>
          </w:rPr>
          <w:t> </w:t>
        </w:r>
        <w:r>
          <w:rPr>
            <w:color w:val="0000FF"/>
            <w:position w:val="1"/>
            <w:u w:val="single" w:color="0000FF"/>
          </w:rPr>
          <w:t>of</w:t>
        </w:r>
        <w:r>
          <w:rPr>
            <w:color w:val="0000FF"/>
            <w:spacing w:val="24"/>
            <w:position w:val="1"/>
            <w:u w:val="single" w:color="0000FF"/>
          </w:rPr>
          <w:t> </w:t>
        </w:r>
        <w:r>
          <w:rPr>
            <w:color w:val="0000FF"/>
            <w:position w:val="1"/>
            <w:u w:val="single" w:color="0000FF"/>
          </w:rPr>
          <w:t>Bonus</w:t>
        </w:r>
        <w:r>
          <w:rPr>
            <w:color w:val="0000FF"/>
            <w:spacing w:val="24"/>
            <w:position w:val="1"/>
            <w:u w:val="single" w:color="0000FF"/>
          </w:rPr>
          <w:t> </w:t>
        </w:r>
        <w:r>
          <w:rPr>
            <w:color w:val="0000FF"/>
            <w:position w:val="1"/>
            <w:u w:val="single" w:color="0000FF"/>
          </w:rPr>
          <w:t>Performance</w:t>
        </w:r>
        <w:r>
          <w:rPr>
            <w:color w:val="0000FF"/>
            <w:spacing w:val="25"/>
            <w:position w:val="1"/>
            <w:u w:val="single" w:color="0000FF"/>
          </w:rPr>
          <w:t> </w:t>
        </w:r>
        <w:r>
          <w:rPr>
            <w:color w:val="0000FF"/>
            <w:position w:val="1"/>
            <w:u w:val="single" w:color="0000FF"/>
          </w:rPr>
          <w:t>Share</w:t>
        </w:r>
        <w:r>
          <w:rPr>
            <w:color w:val="0000FF"/>
            <w:spacing w:val="24"/>
            <w:position w:val="1"/>
            <w:u w:val="single" w:color="0000FF"/>
          </w:rPr>
          <w:t> </w:t>
        </w:r>
        <w:r>
          <w:rPr>
            <w:color w:val="0000FF"/>
            <w:position w:val="1"/>
            <w:u w:val="single" w:color="0000FF"/>
          </w:rPr>
          <w:t>Units</w:t>
        </w:r>
        <w:r>
          <w:rPr>
            <w:color w:val="0000FF"/>
            <w:spacing w:val="14"/>
            <w:position w:val="1"/>
            <w:u w:val="single" w:color="0000FF"/>
          </w:rPr>
          <w:t> </w:t>
        </w:r>
        <w:r>
          <w:rPr>
            <w:color w:val="0000FF"/>
            <w:position w:val="1"/>
            <w:u w:val="single" w:color="0000FF"/>
          </w:rPr>
          <w:t>Agreement</w:t>
        </w:r>
        <w:r>
          <w:rPr>
            <w:color w:val="0000FF"/>
            <w:spacing w:val="24"/>
            <w:position w:val="1"/>
            <w:u w:val="single" w:color="0000FF"/>
          </w:rPr>
          <w:t> </w:t>
        </w:r>
        <w:r>
          <w:rPr>
            <w:color w:val="0000FF"/>
            <w:position w:val="1"/>
            <w:u w:val="single" w:color="0000FF"/>
          </w:rPr>
          <w:t>of</w:t>
        </w:r>
        <w:r>
          <w:rPr>
            <w:color w:val="0000FF"/>
            <w:spacing w:val="25"/>
            <w:position w:val="1"/>
            <w:u w:val="single" w:color="0000FF"/>
          </w:rPr>
          <w:t> </w:t>
        </w:r>
        <w:r>
          <w:rPr>
            <w:color w:val="0000FF"/>
            <w:position w:val="1"/>
            <w:u w:val="single" w:color="0000FF"/>
          </w:rPr>
          <w:t>the</w:t>
        </w:r>
        <w:r>
          <w:rPr>
            <w:color w:val="0000FF"/>
            <w:spacing w:val="24"/>
            <w:position w:val="1"/>
            <w:u w:val="single" w:color="0000FF"/>
          </w:rPr>
          <w:t> </w:t>
        </w:r>
        <w:r>
          <w:rPr>
            <w:color w:val="0000FF"/>
            <w:position w:val="1"/>
            <w:u w:val="single" w:color="0000FF"/>
          </w:rPr>
          <w:t>Company</w:t>
        </w:r>
        <w:r>
          <w:rPr>
            <w:color w:val="0000FF"/>
            <w:spacing w:val="-27"/>
            <w:position w:val="1"/>
            <w:u w:val="single" w:color="0000FF"/>
          </w:rPr>
          <w:t> </w:t>
        </w:r>
        <w:r>
          <w:rPr>
            <w:color w:val="0000FF"/>
            <w:position w:val="1"/>
          </w:rPr>
          <w:t>,</w:t>
        </w:r>
        <w:r>
          <w:rPr>
            <w:color w:val="0000FF"/>
            <w:spacing w:val="24"/>
            <w:position w:val="1"/>
            <w:u w:val="single" w:color="0000FF"/>
          </w:rPr>
          <w:t> </w:t>
        </w:r>
        <w:r>
          <w:rPr>
            <w:color w:val="0000FF"/>
            <w:position w:val="1"/>
            <w:u w:val="single" w:color="0000FF"/>
          </w:rPr>
          <w:t>effective</w:t>
        </w:r>
        <w:r>
          <w:rPr>
            <w:color w:val="0000FF"/>
            <w:spacing w:val="24"/>
            <w:position w:val="1"/>
            <w:u w:val="single" w:color="0000FF"/>
          </w:rPr>
          <w:t> </w:t>
        </w:r>
        <w:r>
          <w:rPr>
            <w:color w:val="0000FF"/>
            <w:position w:val="1"/>
            <w:u w:val="single" w:color="0000FF"/>
          </w:rPr>
          <w:t>for</w:t>
        </w:r>
        <w:r>
          <w:rPr>
            <w:color w:val="0000FF"/>
            <w:spacing w:val="24"/>
            <w:position w:val="1"/>
            <w:u w:val="single" w:color="0000FF"/>
          </w:rPr>
          <w:t> </w:t>
        </w:r>
        <w:r>
          <w:rPr>
            <w:color w:val="0000FF"/>
            <w:position w:val="1"/>
            <w:u w:val="single" w:color="0000FF"/>
          </w:rPr>
          <w:t>bonus</w:t>
        </w:r>
        <w:r>
          <w:rPr>
            <w:color w:val="0000FF"/>
            <w:spacing w:val="24"/>
            <w:position w:val="1"/>
            <w:u w:val="single" w:color="0000FF"/>
          </w:rPr>
          <w:t> </w:t>
        </w:r>
        <w:r>
          <w:rPr>
            <w:color w:val="0000FF"/>
            <w:position w:val="1"/>
            <w:u w:val="single" w:color="0000FF"/>
          </w:rPr>
          <w:t>awards</w:t>
        </w:r>
        <w:r>
          <w:rPr>
            <w:color w:val="0000FF"/>
            <w:spacing w:val="13"/>
            <w:position w:val="1"/>
            <w:u w:val="single" w:color="0000FF"/>
          </w:rPr>
          <w:t> </w:t>
        </w:r>
        <w:r>
          <w:rPr>
            <w:color w:val="0000FF"/>
            <w:position w:val="1"/>
            <w:u w:val="single" w:color="0000FF"/>
          </w:rPr>
          <w:t>granted</w:t>
        </w:r>
        <w:r>
          <w:rPr>
            <w:color w:val="0000FF"/>
            <w:spacing w:val="24"/>
            <w:position w:val="1"/>
            <w:u w:val="single" w:color="0000FF"/>
          </w:rPr>
          <w:t> </w:t>
        </w:r>
        <w:r>
          <w:rPr>
            <w:color w:val="0000FF"/>
            <w:position w:val="1"/>
            <w:u w:val="single" w:color="0000FF"/>
          </w:rPr>
          <w:t>in</w:t>
        </w:r>
        <w:r>
          <w:rPr>
            <w:color w:val="0000FF"/>
            <w:spacing w:val="24"/>
            <w:position w:val="1"/>
            <w:u w:val="single" w:color="0000FF"/>
          </w:rPr>
          <w:t> </w:t>
        </w:r>
        <w:r>
          <w:rPr>
            <w:color w:val="0000FF"/>
            <w:position w:val="1"/>
            <w:u w:val="single" w:color="0000FF"/>
          </w:rPr>
          <w:t>March</w:t>
        </w:r>
        <w:r>
          <w:rPr>
            <w:color w:val="0000FF"/>
            <w:spacing w:val="24"/>
            <w:position w:val="1"/>
            <w:u w:val="single" w:color="0000FF"/>
          </w:rPr>
          <w:t> </w:t>
        </w:r>
        <w:r>
          <w:rPr>
            <w:color w:val="0000FF"/>
            <w:position w:val="1"/>
            <w:u w:val="single" w:color="0000FF"/>
          </w:rPr>
          <w:t>2016</w:t>
        </w:r>
        <w:r>
          <w:rPr>
            <w:color w:val="0000FF"/>
            <w:spacing w:val="24"/>
            <w:position w:val="1"/>
            <w:u w:val="single" w:color="0000FF"/>
          </w:rPr>
          <w:t> </w:t>
        </w:r>
        <w:r>
          <w:rPr>
            <w:color w:val="0000FF"/>
            <w:position w:val="1"/>
            <w:u w:val="single" w:color="0000FF"/>
          </w:rPr>
          <w:t>and</w:t>
        </w:r>
        <w:r>
          <w:rPr>
            <w:color w:val="0000FF"/>
            <w:spacing w:val="25"/>
            <w:position w:val="1"/>
            <w:u w:val="single" w:color="0000FF"/>
          </w:rPr>
          <w:t> </w:t>
        </w:r>
        <w:r>
          <w:rPr>
            <w:color w:val="0000FF"/>
            <w:spacing w:val="-2"/>
            <w:position w:val="1"/>
            <w:u w:val="single" w:color="0000FF"/>
          </w:rPr>
          <w:t>thereafter</w:t>
        </w:r>
      </w:hyperlink>
    </w:p>
    <w:p>
      <w:pPr>
        <w:pStyle w:val="BodyText"/>
        <w:spacing w:line="191" w:lineRule="exact"/>
        <w:ind w:left="1432"/>
      </w:pPr>
      <w:hyperlink r:id="rId76">
        <w:r>
          <w:rPr>
            <w:color w:val="0000FF"/>
            <w:spacing w:val="-47"/>
            <w:u w:val="single" w:color="0000FF"/>
          </w:rPr>
          <w:t> </w:t>
        </w:r>
        <w:r>
          <w:rPr>
            <w:color w:val="0000FF"/>
          </w:rPr>
          <w:t>(</w:t>
        </w:r>
        <w:r>
          <w:rPr>
            <w:color w:val="0000FF"/>
            <w:u w:val="single" w:color="0000FF"/>
          </w:rPr>
          <w:t>incorporated</w:t>
        </w:r>
        <w:r>
          <w:rPr>
            <w:color w:val="0000FF"/>
            <w:spacing w:val="-14"/>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8"/>
            <w:u w:val="single" w:color="0000FF"/>
          </w:rPr>
          <w:t> </w:t>
        </w:r>
        <w:r>
          <w:rPr>
            <w:color w:val="0000FF"/>
            <w:u w:val="single" w:color="0000FF"/>
          </w:rPr>
          <w:t>to</w:t>
        </w:r>
        <w:r>
          <w:rPr>
            <w:color w:val="0000FF"/>
            <w:spacing w:val="-9"/>
            <w:u w:val="single" w:color="0000FF"/>
          </w:rPr>
          <w:t> </w:t>
        </w:r>
        <w:r>
          <w:rPr>
            <w:color w:val="0000FF"/>
            <w:u w:val="single" w:color="0000FF"/>
          </w:rPr>
          <w:t>Exhibit</w:t>
        </w:r>
        <w:r>
          <w:rPr>
            <w:color w:val="0000FF"/>
            <w:spacing w:val="-8"/>
            <w:u w:val="single" w:color="0000FF"/>
          </w:rPr>
          <w:t> </w:t>
        </w:r>
        <w:r>
          <w:rPr>
            <w:color w:val="0000FF"/>
            <w:u w:val="single" w:color="0000FF"/>
          </w:rPr>
          <w:t>10.3</w:t>
        </w:r>
        <w:r>
          <w:rPr>
            <w:color w:val="0000FF"/>
            <w:spacing w:val="-9"/>
            <w:u w:val="single" w:color="0000FF"/>
          </w:rPr>
          <w:t> </w:t>
        </w:r>
        <w:r>
          <w:rPr>
            <w:color w:val="0000FF"/>
            <w:u w:val="single" w:color="0000FF"/>
          </w:rPr>
          <w:t>of</w:t>
        </w:r>
        <w:r>
          <w:rPr>
            <w:color w:val="0000FF"/>
            <w:spacing w:val="-8"/>
            <w:u w:val="single" w:color="0000FF"/>
          </w:rPr>
          <w:t> </w:t>
        </w:r>
        <w:r>
          <w:rPr>
            <w:color w:val="0000FF"/>
            <w:u w:val="single" w:color="0000FF"/>
          </w:rPr>
          <w:t>the</w:t>
        </w:r>
        <w:r>
          <w:rPr>
            <w:color w:val="0000FF"/>
            <w:spacing w:val="-9"/>
            <w:u w:val="single" w:color="0000FF"/>
          </w:rPr>
          <w:t> </w:t>
        </w:r>
        <w:r>
          <w:rPr>
            <w:color w:val="0000FF"/>
            <w:u w:val="single" w:color="0000FF"/>
          </w:rPr>
          <w:t>Company</w:t>
        </w:r>
        <w:r>
          <w:rPr>
            <w:color w:val="0000FF"/>
            <w:spacing w:val="-15"/>
            <w:u w:val="single" w:color="0000FF"/>
          </w:rPr>
          <w:t> </w:t>
        </w:r>
        <w:r>
          <w:rPr>
            <w:color w:val="0000FF"/>
            <w:u w:val="single" w:color="0000FF"/>
          </w:rPr>
          <w:t>’s</w:t>
        </w:r>
        <w:r>
          <w:rPr>
            <w:color w:val="0000FF"/>
            <w:spacing w:val="-8"/>
            <w:u w:val="single" w:color="0000FF"/>
          </w:rPr>
          <w:t> </w:t>
        </w:r>
        <w:r>
          <w:rPr>
            <w:color w:val="0000FF"/>
            <w:u w:val="single" w:color="0000FF"/>
          </w:rPr>
          <w:t>Q</w:t>
        </w:r>
        <w:r>
          <w:rPr>
            <w:color w:val="0000FF"/>
            <w:spacing w:val="-33"/>
            <w:u w:val="single" w:color="0000FF"/>
          </w:rPr>
          <w:t> </w:t>
        </w:r>
        <w:r>
          <w:rPr>
            <w:color w:val="0000FF"/>
            <w:u w:val="single" w:color="0000FF"/>
          </w:rPr>
          <w:t>uarter</w:t>
        </w:r>
        <w:r>
          <w:rPr>
            <w:color w:val="0000FF"/>
          </w:rPr>
          <w:t>ly</w:t>
        </w:r>
        <w:r>
          <w:rPr>
            <w:color w:val="0000FF"/>
            <w:spacing w:val="17"/>
            <w:u w:val="single" w:color="0000FF"/>
          </w:rPr>
          <w:t> </w:t>
        </w:r>
        <w:r>
          <w:rPr>
            <w:color w:val="0000FF"/>
            <w:u w:val="single" w:color="0000FF"/>
          </w:rPr>
          <w:t>Report</w:t>
        </w:r>
        <w:r>
          <w:rPr>
            <w:color w:val="0000FF"/>
            <w:spacing w:val="-9"/>
            <w:u w:val="single" w:color="0000FF"/>
          </w:rPr>
          <w:t> </w:t>
        </w:r>
        <w:r>
          <w:rPr>
            <w:color w:val="0000FF"/>
            <w:u w:val="single" w:color="0000FF"/>
          </w:rPr>
          <w:t>on</w:t>
        </w:r>
        <w:r>
          <w:rPr>
            <w:color w:val="0000FF"/>
            <w:spacing w:val="-8"/>
            <w:u w:val="single" w:color="0000FF"/>
          </w:rPr>
          <w:t> </w:t>
        </w:r>
        <w:r>
          <w:rPr>
            <w:color w:val="0000FF"/>
            <w:u w:val="single" w:color="0000FF"/>
          </w:rPr>
          <w:t>Form</w:t>
        </w:r>
        <w:r>
          <w:rPr>
            <w:color w:val="0000FF"/>
            <w:spacing w:val="-9"/>
            <w:u w:val="single" w:color="0000FF"/>
          </w:rPr>
          <w:t> </w:t>
        </w:r>
        <w:r>
          <w:rPr>
            <w:color w:val="0000FF"/>
            <w:u w:val="single" w:color="0000FF"/>
          </w:rPr>
          <w:t>10-Q</w:t>
        </w:r>
        <w:r>
          <w:rPr>
            <w:color w:val="0000FF"/>
            <w:spacing w:val="3"/>
            <w:u w:val="single" w:color="0000FF"/>
          </w:rPr>
          <w:t> </w:t>
        </w:r>
        <w:r>
          <w:rPr>
            <w:color w:val="0000FF"/>
            <w:u w:val="single" w:color="0000FF"/>
          </w:rPr>
          <w:t>filed</w:t>
        </w:r>
        <w:r>
          <w:rPr>
            <w:color w:val="0000FF"/>
            <w:spacing w:val="-9"/>
            <w:u w:val="single" w:color="0000FF"/>
          </w:rPr>
          <w:t> </w:t>
        </w:r>
        <w:r>
          <w:rPr>
            <w:color w:val="0000FF"/>
            <w:u w:val="single" w:color="0000FF"/>
          </w:rPr>
          <w:t>on</w:t>
        </w:r>
        <w:r>
          <w:rPr>
            <w:color w:val="0000FF"/>
            <w:spacing w:val="-8"/>
            <w:u w:val="single" w:color="0000FF"/>
          </w:rPr>
          <w:t> </w:t>
        </w:r>
        <w:r>
          <w:rPr>
            <w:color w:val="0000FF"/>
            <w:u w:val="single" w:color="0000FF"/>
          </w:rPr>
          <w:t>May</w:t>
        </w:r>
        <w:r>
          <w:rPr>
            <w:color w:val="0000FF"/>
            <w:spacing w:val="17"/>
            <w:u w:val="single" w:color="0000FF"/>
          </w:rPr>
          <w:t> </w:t>
        </w:r>
        <w:r>
          <w:rPr>
            <w:color w:val="0000FF"/>
            <w:u w:val="single" w:color="0000FF"/>
          </w:rPr>
          <w:t>6,</w:t>
        </w:r>
        <w:r>
          <w:rPr>
            <w:color w:val="0000FF"/>
            <w:spacing w:val="-8"/>
            <w:u w:val="single" w:color="0000FF"/>
          </w:rPr>
          <w:t> </w:t>
        </w:r>
        <w:r>
          <w:rPr>
            <w:color w:val="0000FF"/>
            <w:spacing w:val="-2"/>
            <w:u w:val="single" w:color="0000FF"/>
          </w:rPr>
          <w:t>2016).</w:t>
        </w:r>
      </w:hyperlink>
    </w:p>
    <w:p>
      <w:pPr>
        <w:pStyle w:val="BodyText"/>
        <w:tabs>
          <w:tab w:pos="1432" w:val="left" w:leader="none"/>
        </w:tabs>
        <w:spacing w:line="187" w:lineRule="auto" w:before="63"/>
        <w:ind w:left="1432" w:right="137" w:hanging="1271"/>
      </w:pPr>
      <w:r>
        <w:rPr>
          <w:spacing w:val="-2"/>
        </w:rPr>
        <w:t>*10.4(29)</w:t>
      </w:r>
      <w:r>
        <w:rPr/>
        <w:tab/>
      </w:r>
      <w:hyperlink r:id="rId77">
        <w:r>
          <w:rPr>
            <w:color w:val="0000FF"/>
            <w:position w:val="1"/>
            <w:u w:val="single" w:color="0000FF"/>
          </w:rPr>
          <w:t>Amended and Restated Change of Control Policy</w:t>
        </w:r>
        <w:r>
          <w:rPr>
            <w:color w:val="0000FF"/>
            <w:spacing w:val="40"/>
            <w:position w:val="1"/>
            <w:u w:val="single" w:color="0000FF"/>
          </w:rPr>
          <w:t> </w:t>
        </w:r>
        <w:r>
          <w:rPr>
            <w:color w:val="0000FF"/>
            <w:position w:val="1"/>
            <w:u w:val="single" w:color="0000FF"/>
          </w:rPr>
          <w:t>for Executive Officers, effective August 16, 2022 (incorporated by</w:t>
        </w:r>
        <w:r>
          <w:rPr>
            <w:color w:val="0000FF"/>
            <w:spacing w:val="40"/>
            <w:position w:val="1"/>
            <w:u w:val="single" w:color="0000FF"/>
          </w:rPr>
          <w:t> </w:t>
        </w:r>
        <w:r>
          <w:rPr>
            <w:color w:val="0000FF"/>
            <w:position w:val="1"/>
            <w:u w:val="single" w:color="0000FF"/>
          </w:rPr>
          <w:t>reference to Exhibit</w:t>
        </w:r>
      </w:hyperlink>
      <w:r>
        <w:rPr>
          <w:color w:val="0000FF"/>
          <w:spacing w:val="40"/>
          <w:position w:val="1"/>
        </w:rPr>
        <w:t> </w:t>
      </w:r>
      <w:hyperlink r:id="rId77">
        <w:r>
          <w:rPr>
            <w:color w:val="0000FF"/>
            <w:u w:val="single" w:color="0000FF"/>
          </w:rPr>
          <w:t>10.5 of the Company</w:t>
        </w:r>
        <w:r>
          <w:rPr>
            <w:color w:val="0000FF"/>
            <w:spacing w:val="-9"/>
            <w:u w:val="single" w:color="0000FF"/>
          </w:rPr>
          <w:t> </w:t>
        </w:r>
        <w:r>
          <w:rPr>
            <w:color w:val="0000FF"/>
            <w:u w:val="single" w:color="0000FF"/>
          </w:rPr>
          <w:t>’s Current Report on Form 8-K filed on</w:t>
        </w:r>
        <w:r>
          <w:rPr>
            <w:color w:val="0000FF"/>
            <w:spacing w:val="-3"/>
            <w:u w:val="single" w:color="0000FF"/>
          </w:rPr>
          <w:t> </w:t>
        </w:r>
        <w:r>
          <w:rPr>
            <w:color w:val="0000FF"/>
            <w:u w:val="single" w:color="0000FF"/>
          </w:rPr>
          <w:t>August 22, 2022).</w:t>
        </w:r>
      </w:hyperlink>
    </w:p>
    <w:p>
      <w:pPr>
        <w:pStyle w:val="BodyText"/>
        <w:tabs>
          <w:tab w:pos="1432" w:val="left" w:leader="none"/>
        </w:tabs>
        <w:spacing w:line="187" w:lineRule="auto" w:before="85"/>
        <w:ind w:left="1432" w:right="137" w:hanging="1271"/>
      </w:pPr>
      <w:r>
        <w:rPr>
          <w:spacing w:val="-2"/>
        </w:rPr>
        <w:t>*10.4(30)</w:t>
      </w:r>
      <w:r>
        <w:rPr/>
        <w:tab/>
      </w:r>
      <w:hyperlink r:id="rId78">
        <w:r>
          <w:rPr>
            <w:color w:val="0000FF"/>
            <w:position w:val="1"/>
            <w:u w:val="single" w:color="0000FF"/>
          </w:rPr>
          <w:t>Form</w:t>
        </w:r>
        <w:r>
          <w:rPr>
            <w:color w:val="0000FF"/>
            <w:spacing w:val="-3"/>
            <w:position w:val="1"/>
            <w:u w:val="single" w:color="0000FF"/>
          </w:rPr>
          <w:t> </w:t>
        </w:r>
        <w:r>
          <w:rPr>
            <w:color w:val="0000FF"/>
            <w:position w:val="1"/>
            <w:u w:val="single" w:color="0000FF"/>
          </w:rPr>
          <w:t>of</w:t>
        </w:r>
        <w:r>
          <w:rPr>
            <w:color w:val="0000FF"/>
            <w:spacing w:val="-3"/>
            <w:position w:val="1"/>
            <w:u w:val="single" w:color="0000FF"/>
          </w:rPr>
          <w:t> </w:t>
        </w:r>
        <w:r>
          <w:rPr>
            <w:color w:val="0000FF"/>
            <w:position w:val="1"/>
            <w:u w:val="single" w:color="0000FF"/>
          </w:rPr>
          <w:t>Memorandum</w:t>
        </w:r>
        <w:r>
          <w:rPr>
            <w:color w:val="0000FF"/>
            <w:spacing w:val="-11"/>
            <w:position w:val="1"/>
            <w:u w:val="single" w:color="0000FF"/>
          </w:rPr>
          <w:t> </w:t>
        </w:r>
        <w:r>
          <w:rPr>
            <w:color w:val="0000FF"/>
            <w:position w:val="1"/>
            <w:u w:val="single" w:color="0000FF"/>
          </w:rPr>
          <w:t>Agreement</w:t>
        </w:r>
        <w:r>
          <w:rPr>
            <w:color w:val="0000FF"/>
            <w:spacing w:val="-3"/>
            <w:position w:val="1"/>
            <w:u w:val="single" w:color="0000FF"/>
          </w:rPr>
          <w:t> </w:t>
        </w:r>
        <w:r>
          <w:rPr>
            <w:color w:val="0000FF"/>
            <w:position w:val="1"/>
            <w:u w:val="single" w:color="0000FF"/>
          </w:rPr>
          <w:t>re:</w:t>
        </w:r>
        <w:r>
          <w:rPr>
            <w:color w:val="0000FF"/>
            <w:spacing w:val="-3"/>
            <w:position w:val="1"/>
            <w:u w:val="single" w:color="0000FF"/>
          </w:rPr>
          <w:t> </w:t>
        </w:r>
        <w:r>
          <w:rPr>
            <w:color w:val="0000FF"/>
            <w:position w:val="1"/>
            <w:u w:val="single" w:color="0000FF"/>
          </w:rPr>
          <w:t>Changes</w:t>
        </w:r>
        <w:r>
          <w:rPr>
            <w:color w:val="0000FF"/>
            <w:spacing w:val="-3"/>
            <w:position w:val="1"/>
            <w:u w:val="single" w:color="0000FF"/>
          </w:rPr>
          <w:t> </w:t>
        </w:r>
        <w:r>
          <w:rPr>
            <w:color w:val="0000FF"/>
            <w:position w:val="1"/>
            <w:u w:val="single" w:color="0000FF"/>
          </w:rPr>
          <w:t>to</w:t>
        </w:r>
        <w:r>
          <w:rPr>
            <w:color w:val="0000FF"/>
            <w:spacing w:val="-3"/>
            <w:position w:val="1"/>
            <w:u w:val="single" w:color="0000FF"/>
          </w:rPr>
          <w:t> </w:t>
        </w:r>
        <w:r>
          <w:rPr>
            <w:color w:val="0000FF"/>
            <w:position w:val="1"/>
            <w:u w:val="single" w:color="0000FF"/>
          </w:rPr>
          <w:t>Severance</w:t>
        </w:r>
        <w:r>
          <w:rPr>
            <w:color w:val="0000FF"/>
            <w:spacing w:val="-3"/>
            <w:position w:val="1"/>
            <w:u w:val="single" w:color="0000FF"/>
          </w:rPr>
          <w:t> </w:t>
        </w:r>
        <w:r>
          <w:rPr>
            <w:color w:val="0000FF"/>
            <w:position w:val="1"/>
            <w:u w:val="single" w:color="0000FF"/>
          </w:rPr>
          <w:t>and</w:t>
        </w:r>
        <w:r>
          <w:rPr>
            <w:color w:val="0000FF"/>
            <w:spacing w:val="-3"/>
            <w:position w:val="1"/>
            <w:u w:val="single" w:color="0000FF"/>
          </w:rPr>
          <w:t> </w:t>
        </w:r>
        <w:r>
          <w:rPr>
            <w:color w:val="0000FF"/>
            <w:position w:val="1"/>
            <w:u w:val="single" w:color="0000FF"/>
          </w:rPr>
          <w:t>Change</w:t>
        </w:r>
        <w:r>
          <w:rPr>
            <w:color w:val="0000FF"/>
            <w:spacing w:val="-3"/>
            <w:position w:val="1"/>
            <w:u w:val="single" w:color="0000FF"/>
          </w:rPr>
          <w:t> </w:t>
        </w:r>
        <w:r>
          <w:rPr>
            <w:color w:val="0000FF"/>
            <w:position w:val="1"/>
            <w:u w:val="single" w:color="0000FF"/>
          </w:rPr>
          <w:t>of</w:t>
        </w:r>
        <w:r>
          <w:rPr>
            <w:color w:val="0000FF"/>
            <w:spacing w:val="-3"/>
            <w:position w:val="1"/>
            <w:u w:val="single" w:color="0000FF"/>
          </w:rPr>
          <w:t> </w:t>
        </w:r>
        <w:r>
          <w:rPr>
            <w:color w:val="0000FF"/>
            <w:position w:val="1"/>
            <w:u w:val="single" w:color="0000FF"/>
          </w:rPr>
          <w:t>Control</w:t>
        </w:r>
        <w:r>
          <w:rPr>
            <w:color w:val="0000FF"/>
            <w:spacing w:val="-3"/>
            <w:position w:val="1"/>
            <w:u w:val="single" w:color="0000FF"/>
          </w:rPr>
          <w:t> </w:t>
        </w:r>
        <w:r>
          <w:rPr>
            <w:color w:val="0000FF"/>
            <w:position w:val="1"/>
            <w:u w:val="single" w:color="0000FF"/>
          </w:rPr>
          <w:t>Policies</w:t>
        </w:r>
        <w:r>
          <w:rPr>
            <w:color w:val="0000FF"/>
            <w:spacing w:val="-3"/>
            <w:position w:val="1"/>
            <w:u w:val="single" w:color="0000FF"/>
          </w:rPr>
          <w:t> </w:t>
        </w:r>
        <w:r>
          <w:rPr>
            <w:color w:val="0000FF"/>
            <w:position w:val="1"/>
            <w:u w:val="single" w:color="0000FF"/>
          </w:rPr>
          <w:t>(incorporated</w:t>
        </w:r>
        <w:r>
          <w:rPr>
            <w:color w:val="0000FF"/>
            <w:spacing w:val="-3"/>
            <w:position w:val="1"/>
            <w:u w:val="single" w:color="0000FF"/>
          </w:rPr>
          <w:t> </w:t>
        </w:r>
        <w:r>
          <w:rPr>
            <w:color w:val="0000FF"/>
            <w:position w:val="1"/>
            <w:u w:val="single" w:color="0000FF"/>
          </w:rPr>
          <w:t>by</w:t>
        </w:r>
        <w:r>
          <w:rPr>
            <w:color w:val="0000FF"/>
            <w:spacing w:val="26"/>
            <w:position w:val="1"/>
            <w:u w:val="single" w:color="0000FF"/>
          </w:rPr>
          <w:t> </w:t>
        </w:r>
        <w:r>
          <w:rPr>
            <w:color w:val="0000FF"/>
            <w:position w:val="1"/>
            <w:u w:val="single" w:color="0000FF"/>
          </w:rPr>
          <w:t>reference</w:t>
        </w:r>
        <w:r>
          <w:rPr>
            <w:color w:val="0000FF"/>
            <w:spacing w:val="-3"/>
            <w:position w:val="1"/>
            <w:u w:val="single" w:color="0000FF"/>
          </w:rPr>
          <w:t> </w:t>
        </w:r>
        <w:r>
          <w:rPr>
            <w:color w:val="0000FF"/>
            <w:position w:val="1"/>
            <w:u w:val="single" w:color="0000FF"/>
          </w:rPr>
          <w:t>to</w:t>
        </w:r>
        <w:r>
          <w:rPr>
            <w:color w:val="0000FF"/>
            <w:spacing w:val="-3"/>
            <w:position w:val="1"/>
            <w:u w:val="single" w:color="0000FF"/>
          </w:rPr>
          <w:t> </w:t>
        </w:r>
        <w:r>
          <w:rPr>
            <w:color w:val="0000FF"/>
            <w:position w:val="1"/>
            <w:u w:val="single" w:color="0000FF"/>
          </w:rPr>
          <w:t>Exhibit</w:t>
        </w:r>
        <w:r>
          <w:rPr>
            <w:color w:val="0000FF"/>
            <w:spacing w:val="-3"/>
            <w:position w:val="1"/>
            <w:u w:val="single" w:color="0000FF"/>
          </w:rPr>
          <w:t> </w:t>
        </w:r>
        <w:r>
          <w:rPr>
            <w:color w:val="0000FF"/>
            <w:position w:val="1"/>
            <w:u w:val="single" w:color="0000FF"/>
          </w:rPr>
          <w:t>10.7</w:t>
        </w:r>
        <w:r>
          <w:rPr>
            <w:color w:val="0000FF"/>
            <w:spacing w:val="-3"/>
            <w:position w:val="1"/>
            <w:u w:val="single" w:color="0000FF"/>
          </w:rPr>
          <w:t> </w:t>
        </w:r>
        <w:r>
          <w:rPr>
            <w:color w:val="0000FF"/>
            <w:position w:val="1"/>
            <w:u w:val="single" w:color="0000FF"/>
          </w:rPr>
          <w:t>of</w:t>
        </w:r>
        <w:r>
          <w:rPr>
            <w:color w:val="0000FF"/>
            <w:spacing w:val="-3"/>
            <w:position w:val="1"/>
            <w:u w:val="single" w:color="0000FF"/>
          </w:rPr>
          <w:t> </w:t>
        </w:r>
        <w:r>
          <w:rPr>
            <w:color w:val="0000FF"/>
            <w:position w:val="1"/>
            <w:u w:val="single" w:color="0000FF"/>
          </w:rPr>
          <w:t>the</w:t>
        </w:r>
      </w:hyperlink>
      <w:r>
        <w:rPr>
          <w:color w:val="0000FF"/>
          <w:position w:val="1"/>
        </w:rPr>
        <w:t> </w:t>
      </w:r>
      <w:hyperlink r:id="rId78">
        <w:r>
          <w:rPr>
            <w:color w:val="0000FF"/>
            <w:u w:val="single" w:color="0000FF"/>
          </w:rPr>
          <w:t>Company</w:t>
        </w:r>
        <w:r>
          <w:rPr>
            <w:color w:val="0000FF"/>
            <w:spacing w:val="-8"/>
            <w:u w:val="single" w:color="0000FF"/>
          </w:rPr>
          <w:t> </w:t>
        </w:r>
        <w:r>
          <w:rPr>
            <w:color w:val="0000FF"/>
            <w:u w:val="single" w:color="0000FF"/>
          </w:rPr>
          <w:t>’s Current Report on Form 8-K filed on November 8, 2012).</w:t>
        </w:r>
      </w:hyperlink>
    </w:p>
    <w:p>
      <w:pPr>
        <w:pStyle w:val="BodyText"/>
        <w:tabs>
          <w:tab w:pos="1432" w:val="left" w:leader="none"/>
        </w:tabs>
        <w:spacing w:line="204" w:lineRule="auto" w:before="61"/>
        <w:ind w:left="1432" w:right="137" w:hanging="1271"/>
      </w:pPr>
      <w:r>
        <w:rPr>
          <w:spacing w:val="-2"/>
        </w:rPr>
        <w:t>*10.4(31)</w:t>
      </w:r>
      <w:r>
        <w:rPr/>
        <w:tab/>
      </w:r>
      <w:hyperlink r:id="rId79">
        <w:r>
          <w:rPr>
            <w:color w:val="0000FF"/>
            <w:position w:val="1"/>
            <w:u w:val="single" w:color="0000FF"/>
          </w:rPr>
          <w:t>Form of Letter to Employees re: Existing Equi</w:t>
        </w:r>
        <w:r>
          <w:rPr>
            <w:color w:val="0000FF"/>
            <w:position w:val="1"/>
          </w:rPr>
          <w:t>ty</w:t>
        </w:r>
        <w:r>
          <w:rPr>
            <w:color w:val="0000FF"/>
            <w:spacing w:val="30"/>
            <w:position w:val="1"/>
            <w:u w:val="single" w:color="0000FF"/>
          </w:rPr>
          <w:t> </w:t>
        </w:r>
        <w:r>
          <w:rPr>
            <w:color w:val="0000FF"/>
            <w:position w:val="1"/>
            <w:u w:val="single" w:color="0000FF"/>
          </w:rPr>
          <w:t>Awards (incorporated by</w:t>
        </w:r>
        <w:r>
          <w:rPr>
            <w:color w:val="0000FF"/>
            <w:spacing w:val="39"/>
            <w:position w:val="1"/>
            <w:u w:val="single" w:color="0000FF"/>
          </w:rPr>
          <w:t> </w:t>
        </w:r>
        <w:r>
          <w:rPr>
            <w:color w:val="0000FF"/>
            <w:position w:val="1"/>
            <w:u w:val="single" w:color="0000FF"/>
          </w:rPr>
          <w:t>reference to Exhibit 10.1 of the Company</w:t>
        </w:r>
        <w:r>
          <w:rPr>
            <w:color w:val="0000FF"/>
            <w:spacing w:val="-15"/>
            <w:position w:val="1"/>
            <w:u w:val="single" w:color="0000FF"/>
          </w:rPr>
          <w:t> </w:t>
        </w:r>
        <w:r>
          <w:rPr>
            <w:color w:val="0000FF"/>
            <w:position w:val="1"/>
            <w:u w:val="single" w:color="0000FF"/>
          </w:rPr>
          <w:t>’s Current Report on</w:t>
        </w:r>
      </w:hyperlink>
      <w:r>
        <w:rPr>
          <w:color w:val="0000FF"/>
          <w:spacing w:val="40"/>
          <w:position w:val="1"/>
        </w:rPr>
        <w:t> </w:t>
      </w:r>
      <w:hyperlink r:id="rId79">
        <w:r>
          <w:rPr>
            <w:color w:val="0000FF"/>
            <w:u w:val="single" w:color="0000FF"/>
          </w:rPr>
          <w:t>Form 8-K filed on March 10, 2017).</w:t>
        </w:r>
      </w:hyperlink>
    </w:p>
    <w:p>
      <w:pPr>
        <w:pStyle w:val="BodyText"/>
        <w:tabs>
          <w:tab w:pos="1432" w:val="left" w:leader="none"/>
        </w:tabs>
        <w:spacing w:line="187" w:lineRule="auto" w:before="68"/>
        <w:ind w:left="1432" w:right="135" w:hanging="1271"/>
      </w:pPr>
      <w:r>
        <w:rPr>
          <w:spacing w:val="-2"/>
        </w:rPr>
        <w:t>*10.4(32)</w:t>
      </w:r>
      <w:r>
        <w:rPr/>
        <w:tab/>
      </w:r>
      <w:hyperlink r:id="rId80">
        <w:r>
          <w:rPr>
            <w:color w:val="0000FF"/>
            <w:position w:val="1"/>
            <w:u w:val="single" w:color="0000FF"/>
          </w:rPr>
          <w:t>Form</w:t>
        </w:r>
        <w:r>
          <w:rPr>
            <w:color w:val="0000FF"/>
            <w:spacing w:val="-3"/>
            <w:position w:val="1"/>
            <w:u w:val="single" w:color="0000FF"/>
          </w:rPr>
          <w:t> </w:t>
        </w:r>
        <w:r>
          <w:rPr>
            <w:color w:val="0000FF"/>
            <w:position w:val="1"/>
            <w:u w:val="single" w:color="0000FF"/>
          </w:rPr>
          <w:t>of Performance Share Unit</w:t>
        </w:r>
        <w:r>
          <w:rPr>
            <w:color w:val="0000FF"/>
            <w:spacing w:val="-9"/>
            <w:position w:val="1"/>
            <w:u w:val="single" w:color="0000FF"/>
          </w:rPr>
          <w:t> </w:t>
        </w:r>
        <w:r>
          <w:rPr>
            <w:color w:val="0000FF"/>
            <w:position w:val="1"/>
            <w:u w:val="single" w:color="0000FF"/>
          </w:rPr>
          <w:t>Agreement (Annual Grant) (incorporated by</w:t>
        </w:r>
        <w:r>
          <w:rPr>
            <w:color w:val="0000FF"/>
            <w:spacing w:val="27"/>
            <w:position w:val="1"/>
            <w:u w:val="single" w:color="0000FF"/>
          </w:rPr>
          <w:t> </w:t>
        </w:r>
        <w:r>
          <w:rPr>
            <w:color w:val="0000FF"/>
            <w:position w:val="1"/>
            <w:u w:val="single" w:color="0000FF"/>
          </w:rPr>
          <w:t>reference to Exhibit 10.3 of the Company</w:t>
        </w:r>
        <w:r>
          <w:rPr>
            <w:color w:val="0000FF"/>
            <w:spacing w:val="-15"/>
            <w:position w:val="1"/>
            <w:u w:val="single" w:color="0000FF"/>
          </w:rPr>
          <w:t> </w:t>
        </w:r>
        <w:r>
          <w:rPr>
            <w:color w:val="0000FF"/>
            <w:position w:val="1"/>
            <w:u w:val="single" w:color="0000FF"/>
          </w:rPr>
          <w:t>’s Current Report on</w:t>
        </w:r>
      </w:hyperlink>
      <w:r>
        <w:rPr>
          <w:color w:val="0000FF"/>
          <w:position w:val="1"/>
        </w:rPr>
        <w:t> </w:t>
      </w:r>
      <w:hyperlink r:id="rId80">
        <w:r>
          <w:rPr>
            <w:color w:val="0000FF"/>
            <w:u w:val="single" w:color="0000FF"/>
          </w:rPr>
          <w:t>Form 8-K filed on March 10, 2017).</w:t>
        </w:r>
      </w:hyperlink>
    </w:p>
    <w:p>
      <w:pPr>
        <w:pStyle w:val="BodyText"/>
        <w:tabs>
          <w:tab w:pos="1432" w:val="left" w:leader="none"/>
        </w:tabs>
        <w:spacing w:line="187" w:lineRule="auto" w:before="86"/>
        <w:ind w:left="1432" w:right="137" w:hanging="1271"/>
      </w:pPr>
      <w:r>
        <w:rPr>
          <w:spacing w:val="-2"/>
        </w:rPr>
        <w:t>*10.4(33)</w:t>
      </w:r>
      <w:r>
        <w:rPr/>
        <w:tab/>
      </w:r>
      <w:hyperlink r:id="rId81">
        <w:r>
          <w:rPr>
            <w:color w:val="0000FF"/>
            <w:position w:val="1"/>
            <w:u w:val="single" w:color="0000FF"/>
          </w:rPr>
          <w:t>Form of Restricted Stock Unit Agreement (Non-Employee Director) (incorporated by</w:t>
        </w:r>
        <w:r>
          <w:rPr>
            <w:color w:val="0000FF"/>
            <w:spacing w:val="38"/>
            <w:position w:val="1"/>
            <w:u w:val="single" w:color="0000FF"/>
          </w:rPr>
          <w:t> </w:t>
        </w:r>
        <w:r>
          <w:rPr>
            <w:color w:val="0000FF"/>
            <w:position w:val="1"/>
            <w:u w:val="single" w:color="0000FF"/>
          </w:rPr>
          <w:t>reference to Exhibit 10.4 of the Company</w:t>
        </w:r>
        <w:r>
          <w:rPr>
            <w:color w:val="0000FF"/>
            <w:spacing w:val="-15"/>
            <w:position w:val="1"/>
            <w:u w:val="single" w:color="0000FF"/>
          </w:rPr>
          <w:t> </w:t>
        </w:r>
        <w:r>
          <w:rPr>
            <w:color w:val="0000FF"/>
            <w:position w:val="1"/>
            <w:u w:val="single" w:color="0000FF"/>
          </w:rPr>
          <w:t>’s </w:t>
        </w:r>
        <w:r>
          <w:rPr>
            <w:color w:val="0000FF"/>
            <w:position w:val="1"/>
            <w:u w:val="single" w:color="0000FF"/>
          </w:rPr>
          <w:t>Current</w:t>
        </w:r>
      </w:hyperlink>
      <w:r>
        <w:rPr>
          <w:color w:val="0000FF"/>
          <w:position w:val="1"/>
        </w:rPr>
        <w:t> </w:t>
      </w:r>
      <w:hyperlink r:id="rId81">
        <w:r>
          <w:rPr>
            <w:color w:val="0000FF"/>
            <w:u w:val="single" w:color="0000FF"/>
          </w:rPr>
          <w:t>Report on Form 8-K filed on March 10, 2017).</w:t>
        </w:r>
      </w:hyperlink>
    </w:p>
    <w:p>
      <w:pPr>
        <w:pStyle w:val="BodyText"/>
        <w:tabs>
          <w:tab w:pos="1432" w:val="left" w:leader="none"/>
        </w:tabs>
        <w:spacing w:line="204" w:lineRule="auto" w:before="60"/>
        <w:ind w:left="1432" w:right="137" w:hanging="1271"/>
      </w:pPr>
      <w:r>
        <w:rPr>
          <w:spacing w:val="-2"/>
        </w:rPr>
        <w:t>*10.4(34)</w:t>
      </w:r>
      <w:r>
        <w:rPr/>
        <w:tab/>
      </w:r>
      <w:hyperlink r:id="rId82">
        <w:r>
          <w:rPr>
            <w:color w:val="0000FF"/>
            <w:position w:val="1"/>
            <w:u w:val="single" w:color="0000FF"/>
          </w:rPr>
          <w:t>Form of Restricted Stock Unit Agreement (no Performance Hurdle) (incorporated by</w:t>
        </w:r>
        <w:r>
          <w:rPr>
            <w:color w:val="0000FF"/>
            <w:spacing w:val="40"/>
            <w:position w:val="1"/>
            <w:u w:val="single" w:color="0000FF"/>
          </w:rPr>
          <w:t> </w:t>
        </w:r>
        <w:r>
          <w:rPr>
            <w:color w:val="0000FF"/>
            <w:position w:val="1"/>
            <w:u w:val="single" w:color="0000FF"/>
          </w:rPr>
          <w:t>reference to Exhibit 10.6 of the Company</w:t>
        </w:r>
        <w:r>
          <w:rPr>
            <w:color w:val="0000FF"/>
            <w:spacing w:val="-15"/>
            <w:position w:val="1"/>
            <w:u w:val="single" w:color="0000FF"/>
          </w:rPr>
          <w:t> </w:t>
        </w:r>
        <w:r>
          <w:rPr>
            <w:color w:val="0000FF"/>
            <w:position w:val="1"/>
            <w:u w:val="single" w:color="0000FF"/>
          </w:rPr>
          <w:t>’s </w:t>
        </w:r>
        <w:r>
          <w:rPr>
            <w:color w:val="0000FF"/>
            <w:position w:val="1"/>
            <w:u w:val="single" w:color="0000FF"/>
          </w:rPr>
          <w:t>Current</w:t>
        </w:r>
      </w:hyperlink>
      <w:r>
        <w:rPr>
          <w:color w:val="0000FF"/>
          <w:spacing w:val="40"/>
          <w:position w:val="1"/>
        </w:rPr>
        <w:t> </w:t>
      </w:r>
      <w:hyperlink r:id="rId82">
        <w:r>
          <w:rPr>
            <w:color w:val="0000FF"/>
            <w:u w:val="single" w:color="0000FF"/>
          </w:rPr>
          <w:t>Report on Form 8-K filed on March 10, 2017).</w:t>
        </w:r>
      </w:hyperlink>
    </w:p>
    <w:p>
      <w:pPr>
        <w:pStyle w:val="BodyText"/>
        <w:tabs>
          <w:tab w:pos="1432" w:val="left" w:leader="none"/>
        </w:tabs>
        <w:spacing w:line="187" w:lineRule="auto" w:before="68"/>
        <w:ind w:left="1432" w:right="137" w:hanging="1271"/>
      </w:pPr>
      <w:r>
        <w:rPr>
          <w:spacing w:val="-2"/>
        </w:rPr>
        <w:t>*10.4(35)</w:t>
      </w:r>
      <w:r>
        <w:rPr/>
        <w:tab/>
      </w:r>
      <w:hyperlink r:id="rId83">
        <w:r>
          <w:rPr>
            <w:color w:val="0000FF"/>
            <w:position w:val="1"/>
            <w:u w:val="single" w:color="0000FF"/>
          </w:rPr>
          <w:t>Form</w:t>
        </w:r>
        <w:r>
          <w:rPr>
            <w:color w:val="0000FF"/>
            <w:spacing w:val="-5"/>
            <w:position w:val="1"/>
            <w:u w:val="single" w:color="0000FF"/>
          </w:rPr>
          <w:t> </w:t>
        </w:r>
        <w:r>
          <w:rPr>
            <w:color w:val="0000FF"/>
            <w:position w:val="1"/>
            <w:u w:val="single" w:color="0000FF"/>
          </w:rPr>
          <w:t>of Restricted Stock Unit (Deferred Payment Bonus) (incorporated by</w:t>
        </w:r>
        <w:r>
          <w:rPr>
            <w:color w:val="0000FF"/>
            <w:spacing w:val="26"/>
            <w:position w:val="1"/>
            <w:u w:val="single" w:color="0000FF"/>
          </w:rPr>
          <w:t> </w:t>
        </w:r>
        <w:r>
          <w:rPr>
            <w:color w:val="0000FF"/>
            <w:position w:val="1"/>
            <w:u w:val="single" w:color="0000FF"/>
          </w:rPr>
          <w:t>reference to Exhibit 10.1 of the Company</w:t>
        </w:r>
        <w:r>
          <w:rPr>
            <w:color w:val="0000FF"/>
            <w:spacing w:val="-15"/>
            <w:position w:val="1"/>
            <w:u w:val="single" w:color="0000FF"/>
          </w:rPr>
          <w:t> </w:t>
        </w:r>
        <w:r>
          <w:rPr>
            <w:color w:val="0000FF"/>
            <w:position w:val="1"/>
            <w:u w:val="single" w:color="0000FF"/>
          </w:rPr>
          <w:t>’s Q</w:t>
        </w:r>
        <w:r>
          <w:rPr>
            <w:color w:val="0000FF"/>
            <w:spacing w:val="-33"/>
            <w:position w:val="1"/>
            <w:u w:val="single" w:color="0000FF"/>
          </w:rPr>
          <w:t> </w:t>
        </w:r>
        <w:r>
          <w:rPr>
            <w:color w:val="0000FF"/>
            <w:position w:val="1"/>
            <w:u w:val="single" w:color="0000FF"/>
          </w:rPr>
          <w:t>uarter</w:t>
        </w:r>
        <w:r>
          <w:rPr>
            <w:color w:val="0000FF"/>
            <w:position w:val="1"/>
          </w:rPr>
          <w:t>ly</w:t>
        </w:r>
        <w:r>
          <w:rPr>
            <w:color w:val="0000FF"/>
            <w:spacing w:val="26"/>
            <w:position w:val="1"/>
            <w:u w:val="single" w:color="0000FF"/>
          </w:rPr>
          <w:t> </w:t>
        </w:r>
        <w:r>
          <w:rPr>
            <w:color w:val="0000FF"/>
            <w:position w:val="1"/>
            <w:u w:val="single" w:color="0000FF"/>
          </w:rPr>
          <w:t>Report </w:t>
        </w:r>
        <w:r>
          <w:rPr>
            <w:color w:val="0000FF"/>
            <w:position w:val="1"/>
            <w:u w:val="single" w:color="0000FF"/>
          </w:rPr>
          <w:t>on</w:t>
        </w:r>
      </w:hyperlink>
      <w:r>
        <w:rPr>
          <w:color w:val="0000FF"/>
          <w:position w:val="1"/>
        </w:rPr>
        <w:t> </w:t>
      </w:r>
      <w:hyperlink r:id="rId83">
        <w:r>
          <w:rPr>
            <w:color w:val="0000FF"/>
            <w:u w:val="single" w:color="0000FF"/>
          </w:rPr>
          <w:t>Form 10-Q filed on May</w:t>
        </w:r>
        <w:r>
          <w:rPr>
            <w:color w:val="0000FF"/>
            <w:spacing w:val="40"/>
            <w:u w:val="single" w:color="0000FF"/>
          </w:rPr>
          <w:t> </w:t>
        </w:r>
        <w:r>
          <w:rPr>
            <w:color w:val="0000FF"/>
            <w:u w:val="single" w:color="0000FF"/>
          </w:rPr>
          <w:t>7, 2018).</w:t>
        </w:r>
      </w:hyperlink>
    </w:p>
    <w:p>
      <w:pPr>
        <w:pStyle w:val="BodyText"/>
        <w:tabs>
          <w:tab w:pos="1432" w:val="left" w:leader="none"/>
        </w:tabs>
        <w:spacing w:line="165" w:lineRule="auto" w:before="101"/>
        <w:ind w:left="1432" w:right="137" w:hanging="1271"/>
      </w:pPr>
      <w:r>
        <w:rPr>
          <w:spacing w:val="-2"/>
        </w:rPr>
        <w:t>*10.4(36)</w:t>
      </w:r>
      <w:r>
        <w:rPr/>
        <w:tab/>
      </w:r>
      <w:hyperlink r:id="rId84">
        <w:r>
          <w:rPr>
            <w:color w:val="0000FF"/>
            <w:position w:val="1"/>
            <w:u w:val="single" w:color="0000FF"/>
          </w:rPr>
          <w:t>Form</w:t>
        </w:r>
        <w:r>
          <w:rPr>
            <w:color w:val="0000FF"/>
            <w:spacing w:val="21"/>
            <w:position w:val="1"/>
            <w:u w:val="single" w:color="0000FF"/>
          </w:rPr>
          <w:t> </w:t>
        </w:r>
        <w:r>
          <w:rPr>
            <w:color w:val="0000FF"/>
            <w:position w:val="1"/>
            <w:u w:val="single" w:color="0000FF"/>
          </w:rPr>
          <w:t>of</w:t>
        </w:r>
        <w:r>
          <w:rPr>
            <w:color w:val="0000FF"/>
            <w:spacing w:val="24"/>
            <w:position w:val="1"/>
            <w:u w:val="single" w:color="0000FF"/>
          </w:rPr>
          <w:t> </w:t>
        </w:r>
        <w:r>
          <w:rPr>
            <w:color w:val="0000FF"/>
            <w:position w:val="1"/>
            <w:u w:val="single" w:color="0000FF"/>
          </w:rPr>
          <w:t>Relative</w:t>
        </w:r>
        <w:r>
          <w:rPr>
            <w:color w:val="0000FF"/>
            <w:spacing w:val="24"/>
            <w:position w:val="1"/>
            <w:u w:val="single" w:color="0000FF"/>
          </w:rPr>
          <w:t> </w:t>
        </w:r>
        <w:r>
          <w:rPr>
            <w:color w:val="0000FF"/>
            <w:position w:val="1"/>
            <w:u w:val="single" w:color="0000FF"/>
          </w:rPr>
          <w:t>Performance</w:t>
        </w:r>
        <w:r>
          <w:rPr>
            <w:color w:val="0000FF"/>
            <w:spacing w:val="24"/>
            <w:position w:val="1"/>
            <w:u w:val="single" w:color="0000FF"/>
          </w:rPr>
          <w:t> </w:t>
        </w:r>
        <w:r>
          <w:rPr>
            <w:color w:val="0000FF"/>
            <w:position w:val="1"/>
            <w:u w:val="single" w:color="0000FF"/>
          </w:rPr>
          <w:t>Share</w:t>
        </w:r>
        <w:r>
          <w:rPr>
            <w:color w:val="0000FF"/>
            <w:spacing w:val="24"/>
            <w:position w:val="1"/>
            <w:u w:val="single" w:color="0000FF"/>
          </w:rPr>
          <w:t> </w:t>
        </w:r>
        <w:r>
          <w:rPr>
            <w:color w:val="0000FF"/>
            <w:position w:val="1"/>
            <w:u w:val="single" w:color="0000FF"/>
          </w:rPr>
          <w:t>Unit</w:t>
        </w:r>
        <w:r>
          <w:rPr>
            <w:color w:val="0000FF"/>
            <w:spacing w:val="14"/>
            <w:position w:val="1"/>
            <w:u w:val="single" w:color="0000FF"/>
          </w:rPr>
          <w:t> </w:t>
        </w:r>
        <w:r>
          <w:rPr>
            <w:color w:val="0000FF"/>
            <w:position w:val="1"/>
            <w:u w:val="single" w:color="0000FF"/>
          </w:rPr>
          <w:t>Agreement</w:t>
        </w:r>
        <w:r>
          <w:rPr>
            <w:color w:val="0000FF"/>
            <w:spacing w:val="24"/>
            <w:position w:val="1"/>
            <w:u w:val="single" w:color="0000FF"/>
          </w:rPr>
          <w:t> </w:t>
        </w:r>
        <w:r>
          <w:rPr>
            <w:color w:val="0000FF"/>
            <w:position w:val="1"/>
            <w:u w:val="single" w:color="0000FF"/>
          </w:rPr>
          <w:t>(Annual</w:t>
        </w:r>
        <w:r>
          <w:rPr>
            <w:color w:val="0000FF"/>
            <w:spacing w:val="24"/>
            <w:position w:val="1"/>
            <w:u w:val="single" w:color="0000FF"/>
          </w:rPr>
          <w:t> </w:t>
        </w:r>
        <w:r>
          <w:rPr>
            <w:color w:val="0000FF"/>
            <w:position w:val="1"/>
            <w:u w:val="single" w:color="0000FF"/>
          </w:rPr>
          <w:t>Grant)</w:t>
        </w:r>
        <w:r>
          <w:rPr>
            <w:color w:val="0000FF"/>
            <w:spacing w:val="24"/>
            <w:position w:val="1"/>
            <w:u w:val="single" w:color="0000FF"/>
          </w:rPr>
          <w:t> </w:t>
        </w:r>
        <w:r>
          <w:rPr>
            <w:color w:val="0000FF"/>
            <w:position w:val="1"/>
            <w:u w:val="single" w:color="0000FF"/>
          </w:rPr>
          <w:t>(incorporated</w:t>
        </w:r>
        <w:r>
          <w:rPr>
            <w:color w:val="0000FF"/>
            <w:spacing w:val="24"/>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reference</w:t>
        </w:r>
        <w:r>
          <w:rPr>
            <w:color w:val="0000FF"/>
            <w:spacing w:val="24"/>
            <w:position w:val="1"/>
            <w:u w:val="single" w:color="0000FF"/>
          </w:rPr>
          <w:t> </w:t>
        </w:r>
        <w:r>
          <w:rPr>
            <w:color w:val="0000FF"/>
            <w:position w:val="1"/>
            <w:u w:val="single" w:color="0000FF"/>
          </w:rPr>
          <w:t>to</w:t>
        </w:r>
        <w:r>
          <w:rPr>
            <w:color w:val="0000FF"/>
            <w:spacing w:val="24"/>
            <w:position w:val="1"/>
            <w:u w:val="single" w:color="0000FF"/>
          </w:rPr>
          <w:t> </w:t>
        </w:r>
        <w:r>
          <w:rPr>
            <w:color w:val="0000FF"/>
            <w:position w:val="1"/>
            <w:u w:val="single" w:color="0000FF"/>
          </w:rPr>
          <w:t>Exhibit</w:t>
        </w:r>
        <w:r>
          <w:rPr>
            <w:color w:val="0000FF"/>
            <w:spacing w:val="24"/>
            <w:position w:val="1"/>
            <w:u w:val="single" w:color="0000FF"/>
          </w:rPr>
          <w:t> </w:t>
        </w:r>
        <w:r>
          <w:rPr>
            <w:color w:val="0000FF"/>
            <w:position w:val="1"/>
            <w:u w:val="single" w:color="0000FF"/>
          </w:rPr>
          <w:t>10.5(41)</w:t>
        </w:r>
        <w:r>
          <w:rPr>
            <w:color w:val="0000FF"/>
            <w:spacing w:val="24"/>
            <w:position w:val="1"/>
            <w:u w:val="single" w:color="0000FF"/>
          </w:rPr>
          <w:t> </w:t>
        </w:r>
        <w:r>
          <w:rPr>
            <w:color w:val="0000FF"/>
            <w:position w:val="1"/>
            <w:u w:val="single" w:color="0000FF"/>
          </w:rPr>
          <w:t>of</w:t>
        </w:r>
        <w:r>
          <w:rPr>
            <w:color w:val="0000FF"/>
            <w:spacing w:val="24"/>
            <w:position w:val="1"/>
            <w:u w:val="single" w:color="0000FF"/>
          </w:rPr>
          <w:t> </w:t>
        </w:r>
        <w:r>
          <w:rPr>
            <w:color w:val="0000FF"/>
            <w:position w:val="1"/>
            <w:u w:val="single" w:color="0000FF"/>
          </w:rPr>
          <w:t>the</w:t>
        </w:r>
        <w:r>
          <w:rPr>
            <w:color w:val="0000FF"/>
            <w:spacing w:val="24"/>
            <w:position w:val="1"/>
            <w:u w:val="single" w:color="0000FF"/>
          </w:rPr>
          <w:t> </w:t>
        </w:r>
        <w:r>
          <w:rPr>
            <w:color w:val="0000FF"/>
            <w:position w:val="1"/>
            <w:u w:val="single" w:color="0000FF"/>
          </w:rPr>
          <w:t>Company</w:t>
        </w:r>
        <w:r>
          <w:rPr>
            <w:color w:val="0000FF"/>
            <w:spacing w:val="-15"/>
            <w:position w:val="1"/>
            <w:u w:val="single" w:color="0000FF"/>
          </w:rPr>
          <w:t> </w:t>
        </w:r>
        <w:r>
          <w:rPr>
            <w:color w:val="0000FF"/>
            <w:position w:val="1"/>
            <w:u w:val="single" w:color="0000FF"/>
          </w:rPr>
          <w:t>’s</w:t>
        </w:r>
      </w:hyperlink>
      <w:r>
        <w:rPr>
          <w:color w:val="0000FF"/>
          <w:position w:val="1"/>
        </w:rPr>
        <w:t> </w:t>
      </w:r>
      <w:hyperlink r:id="rId84">
        <w:r>
          <w:rPr>
            <w:color w:val="0000FF"/>
            <w:u w:val="single" w:color="0000FF"/>
          </w:rPr>
          <w:t>Annual Report on Form 10</w:t>
        </w:r>
        <w:r>
          <w:rPr>
            <w:rFonts w:ascii="Lucida Sans Unicode" w:hAnsi="Lucida Sans Unicode"/>
            <w:color w:val="0000FF"/>
            <w:u w:val="single" w:color="0000FF"/>
          </w:rPr>
          <w:t>‑</w:t>
        </w:r>
        <w:r>
          <w:rPr>
            <w:color w:val="0000FF"/>
            <w:u w:val="single" w:color="0000FF"/>
          </w:rPr>
          <w:t>K filed on March 1, 2018).</w:t>
        </w:r>
      </w:hyperlink>
    </w:p>
    <w:p>
      <w:pPr>
        <w:pStyle w:val="BodyText"/>
        <w:tabs>
          <w:tab w:pos="1432" w:val="left" w:leader="none"/>
        </w:tabs>
        <w:spacing w:line="204" w:lineRule="auto" w:before="35"/>
        <w:ind w:left="1432" w:right="137" w:hanging="1271"/>
      </w:pPr>
      <w:r>
        <w:rPr>
          <w:spacing w:val="-2"/>
        </w:rPr>
        <w:t>*10.4(37)</w:t>
      </w:r>
      <w:r>
        <w:rPr/>
        <w:tab/>
      </w:r>
      <w:hyperlink r:id="rId85">
        <w:r>
          <w:rPr>
            <w:color w:val="0000FF"/>
            <w:position w:val="1"/>
            <w:u w:val="single" w:color="0000FF"/>
          </w:rPr>
          <w:t>Form</w:t>
        </w:r>
        <w:r>
          <w:rPr>
            <w:color w:val="0000FF"/>
            <w:spacing w:val="-7"/>
            <w:position w:val="1"/>
            <w:u w:val="single" w:color="0000FF"/>
          </w:rPr>
          <w:t> </w:t>
        </w:r>
        <w:r>
          <w:rPr>
            <w:color w:val="0000FF"/>
            <w:position w:val="1"/>
            <w:u w:val="single" w:color="0000FF"/>
          </w:rPr>
          <w:t>of</w:t>
        </w:r>
        <w:r>
          <w:rPr>
            <w:color w:val="0000FF"/>
            <w:spacing w:val="-3"/>
            <w:position w:val="1"/>
            <w:u w:val="single" w:color="0000FF"/>
          </w:rPr>
          <w:t> </w:t>
        </w:r>
        <w:r>
          <w:rPr>
            <w:color w:val="0000FF"/>
            <w:position w:val="1"/>
            <w:u w:val="single" w:color="0000FF"/>
          </w:rPr>
          <w:t>Performance</w:t>
        </w:r>
        <w:r>
          <w:rPr>
            <w:color w:val="0000FF"/>
            <w:spacing w:val="-3"/>
            <w:position w:val="1"/>
            <w:u w:val="single" w:color="0000FF"/>
          </w:rPr>
          <w:t> </w:t>
        </w:r>
        <w:r>
          <w:rPr>
            <w:color w:val="0000FF"/>
            <w:position w:val="1"/>
            <w:u w:val="single" w:color="0000FF"/>
          </w:rPr>
          <w:t>Share</w:t>
        </w:r>
        <w:r>
          <w:rPr>
            <w:color w:val="0000FF"/>
            <w:spacing w:val="-3"/>
            <w:position w:val="1"/>
            <w:u w:val="single" w:color="0000FF"/>
          </w:rPr>
          <w:t> </w:t>
        </w:r>
        <w:r>
          <w:rPr>
            <w:color w:val="0000FF"/>
            <w:position w:val="1"/>
            <w:u w:val="single" w:color="0000FF"/>
          </w:rPr>
          <w:t>Unit</w:t>
        </w:r>
        <w:r>
          <w:rPr>
            <w:color w:val="0000FF"/>
            <w:spacing w:val="-12"/>
            <w:position w:val="1"/>
            <w:u w:val="single" w:color="0000FF"/>
          </w:rPr>
          <w:t> </w:t>
        </w:r>
        <w:r>
          <w:rPr>
            <w:color w:val="0000FF"/>
            <w:position w:val="1"/>
            <w:u w:val="single" w:color="0000FF"/>
          </w:rPr>
          <w:t>Agreement</w:t>
        </w:r>
        <w:r>
          <w:rPr>
            <w:color w:val="0000FF"/>
            <w:spacing w:val="-2"/>
            <w:position w:val="1"/>
            <w:u w:val="single" w:color="0000FF"/>
          </w:rPr>
          <w:t> </w:t>
        </w:r>
        <w:r>
          <w:rPr>
            <w:color w:val="0000FF"/>
            <w:position w:val="1"/>
            <w:u w:val="single" w:color="0000FF"/>
          </w:rPr>
          <w:t>(Annual</w:t>
        </w:r>
        <w:r>
          <w:rPr>
            <w:color w:val="0000FF"/>
            <w:spacing w:val="-3"/>
            <w:position w:val="1"/>
            <w:u w:val="single" w:color="0000FF"/>
          </w:rPr>
          <w:t> </w:t>
        </w:r>
        <w:r>
          <w:rPr>
            <w:color w:val="0000FF"/>
            <w:position w:val="1"/>
            <w:u w:val="single" w:color="0000FF"/>
          </w:rPr>
          <w:t>Grant)</w:t>
        </w:r>
        <w:r>
          <w:rPr>
            <w:color w:val="0000FF"/>
            <w:spacing w:val="-3"/>
            <w:position w:val="1"/>
            <w:u w:val="single" w:color="0000FF"/>
          </w:rPr>
          <w:t> </w:t>
        </w:r>
        <w:r>
          <w:rPr>
            <w:color w:val="0000FF"/>
            <w:position w:val="1"/>
            <w:u w:val="single" w:color="0000FF"/>
          </w:rPr>
          <w:t>(incorporated</w:t>
        </w:r>
        <w:r>
          <w:rPr>
            <w:color w:val="0000FF"/>
            <w:spacing w:val="-3"/>
            <w:position w:val="1"/>
            <w:u w:val="single" w:color="0000FF"/>
          </w:rPr>
          <w:t> </w:t>
        </w:r>
        <w:r>
          <w:rPr>
            <w:color w:val="0000FF"/>
            <w:position w:val="1"/>
            <w:u w:val="single" w:color="0000FF"/>
          </w:rPr>
          <w:t>by</w:t>
        </w:r>
        <w:r>
          <w:rPr>
            <w:color w:val="0000FF"/>
            <w:spacing w:val="24"/>
            <w:position w:val="1"/>
            <w:u w:val="single" w:color="0000FF"/>
          </w:rPr>
          <w:t> </w:t>
        </w:r>
        <w:r>
          <w:rPr>
            <w:color w:val="0000FF"/>
            <w:position w:val="1"/>
            <w:u w:val="single" w:color="0000FF"/>
          </w:rPr>
          <w:t>reference</w:t>
        </w:r>
        <w:r>
          <w:rPr>
            <w:color w:val="0000FF"/>
            <w:spacing w:val="-3"/>
            <w:position w:val="1"/>
            <w:u w:val="single" w:color="0000FF"/>
          </w:rPr>
          <w:t> </w:t>
        </w:r>
        <w:r>
          <w:rPr>
            <w:color w:val="0000FF"/>
            <w:position w:val="1"/>
            <w:u w:val="single" w:color="0000FF"/>
          </w:rPr>
          <w:t>to</w:t>
        </w:r>
        <w:r>
          <w:rPr>
            <w:color w:val="0000FF"/>
            <w:spacing w:val="-3"/>
            <w:position w:val="1"/>
            <w:u w:val="single" w:color="0000FF"/>
          </w:rPr>
          <w:t> </w:t>
        </w:r>
        <w:r>
          <w:rPr>
            <w:color w:val="0000FF"/>
            <w:position w:val="1"/>
            <w:u w:val="single" w:color="0000FF"/>
          </w:rPr>
          <w:t>Exhibit</w:t>
        </w:r>
        <w:r>
          <w:rPr>
            <w:color w:val="0000FF"/>
            <w:spacing w:val="-3"/>
            <w:position w:val="1"/>
            <w:u w:val="single" w:color="0000FF"/>
          </w:rPr>
          <w:t> </w:t>
        </w:r>
        <w:r>
          <w:rPr>
            <w:color w:val="0000FF"/>
            <w:position w:val="1"/>
            <w:u w:val="single" w:color="0000FF"/>
          </w:rPr>
          <w:t>10.5(41)</w:t>
        </w:r>
        <w:r>
          <w:rPr>
            <w:color w:val="0000FF"/>
            <w:spacing w:val="-3"/>
            <w:position w:val="1"/>
            <w:u w:val="single" w:color="0000FF"/>
          </w:rPr>
          <w:t> </w:t>
        </w:r>
        <w:r>
          <w:rPr>
            <w:color w:val="0000FF"/>
            <w:position w:val="1"/>
            <w:u w:val="single" w:color="0000FF"/>
          </w:rPr>
          <w:t>of</w:t>
        </w:r>
        <w:r>
          <w:rPr>
            <w:color w:val="0000FF"/>
            <w:spacing w:val="-3"/>
            <w:position w:val="1"/>
            <w:u w:val="single" w:color="0000FF"/>
          </w:rPr>
          <w:t> </w:t>
        </w:r>
        <w:r>
          <w:rPr>
            <w:color w:val="0000FF"/>
            <w:position w:val="1"/>
            <w:u w:val="single" w:color="0000FF"/>
          </w:rPr>
          <w:t>the</w:t>
        </w:r>
        <w:r>
          <w:rPr>
            <w:color w:val="0000FF"/>
            <w:spacing w:val="-3"/>
            <w:position w:val="1"/>
            <w:u w:val="single" w:color="0000FF"/>
          </w:rPr>
          <w:t> </w:t>
        </w:r>
        <w:r>
          <w:rPr>
            <w:color w:val="0000FF"/>
            <w:position w:val="1"/>
            <w:u w:val="single" w:color="0000FF"/>
          </w:rPr>
          <w:t>Company</w:t>
        </w:r>
        <w:r>
          <w:rPr>
            <w:color w:val="0000FF"/>
            <w:spacing w:val="-15"/>
            <w:position w:val="1"/>
            <w:u w:val="single" w:color="0000FF"/>
          </w:rPr>
          <w:t> </w:t>
        </w:r>
        <w:r>
          <w:rPr>
            <w:color w:val="0000FF"/>
            <w:position w:val="1"/>
            <w:u w:val="single" w:color="0000FF"/>
          </w:rPr>
          <w:t>’s</w:t>
        </w:r>
        <w:r>
          <w:rPr>
            <w:color w:val="0000FF"/>
            <w:spacing w:val="-12"/>
            <w:position w:val="1"/>
            <w:u w:val="single" w:color="0000FF"/>
          </w:rPr>
          <w:t> </w:t>
        </w:r>
        <w:r>
          <w:rPr>
            <w:color w:val="0000FF"/>
            <w:position w:val="1"/>
            <w:u w:val="single" w:color="0000FF"/>
          </w:rPr>
          <w:t>Annual</w:t>
        </w:r>
        <w:r>
          <w:rPr>
            <w:color w:val="0000FF"/>
            <w:spacing w:val="-2"/>
            <w:position w:val="1"/>
            <w:u w:val="single" w:color="0000FF"/>
          </w:rPr>
          <w:t> </w:t>
        </w:r>
        <w:r>
          <w:rPr>
            <w:color w:val="0000FF"/>
            <w:position w:val="1"/>
            <w:u w:val="single" w:color="0000FF"/>
          </w:rPr>
          <w:t>Report</w:t>
        </w:r>
      </w:hyperlink>
      <w:r>
        <w:rPr>
          <w:color w:val="0000FF"/>
          <w:position w:val="1"/>
        </w:rPr>
        <w:t> </w:t>
      </w:r>
      <w:hyperlink r:id="rId85">
        <w:r>
          <w:rPr>
            <w:color w:val="0000FF"/>
            <w:u w:val="single" w:color="0000FF"/>
          </w:rPr>
          <w:t>on Form 10-K filed on February</w:t>
        </w:r>
        <w:r>
          <w:rPr>
            <w:color w:val="0000FF"/>
            <w:spacing w:val="40"/>
            <w:u w:val="single" w:color="0000FF"/>
          </w:rPr>
          <w:t> </w:t>
        </w:r>
        <w:r>
          <w:rPr>
            <w:color w:val="0000FF"/>
            <w:u w:val="single" w:color="0000FF"/>
          </w:rPr>
          <w:t>27, 2020).</w:t>
        </w:r>
      </w:hyperlink>
    </w:p>
    <w:p>
      <w:pPr>
        <w:pStyle w:val="BodyText"/>
        <w:tabs>
          <w:tab w:pos="1432" w:val="left" w:leader="none"/>
        </w:tabs>
        <w:spacing w:line="187" w:lineRule="auto" w:before="68"/>
        <w:ind w:left="1432" w:right="137" w:hanging="1271"/>
      </w:pPr>
      <w:r>
        <w:rPr>
          <w:spacing w:val="-2"/>
        </w:rPr>
        <w:t>*10.4(38)</w:t>
      </w:r>
      <w:r>
        <w:rPr/>
        <w:tab/>
      </w:r>
      <w:hyperlink r:id="rId86">
        <w:r>
          <w:rPr>
            <w:color w:val="0000FF"/>
            <w:position w:val="1"/>
            <w:u w:val="single" w:color="0000FF"/>
          </w:rPr>
          <w:t>Form</w:t>
        </w:r>
        <w:r>
          <w:rPr>
            <w:color w:val="0000FF"/>
            <w:spacing w:val="30"/>
            <w:position w:val="1"/>
            <w:u w:val="single" w:color="0000FF"/>
          </w:rPr>
          <w:t> </w:t>
        </w:r>
        <w:r>
          <w:rPr>
            <w:color w:val="0000FF"/>
            <w:position w:val="1"/>
            <w:u w:val="single" w:color="0000FF"/>
          </w:rPr>
          <w:t>of</w:t>
        </w:r>
        <w:r>
          <w:rPr>
            <w:color w:val="0000FF"/>
            <w:spacing w:val="30"/>
            <w:position w:val="1"/>
            <w:u w:val="single" w:color="0000FF"/>
          </w:rPr>
          <w:t> </w:t>
        </w:r>
        <w:r>
          <w:rPr>
            <w:color w:val="0000FF"/>
            <w:position w:val="1"/>
            <w:u w:val="single" w:color="0000FF"/>
          </w:rPr>
          <w:t>Performance</w:t>
        </w:r>
        <w:r>
          <w:rPr>
            <w:color w:val="0000FF"/>
            <w:spacing w:val="30"/>
            <w:position w:val="1"/>
            <w:u w:val="single" w:color="0000FF"/>
          </w:rPr>
          <w:t> </w:t>
        </w:r>
        <w:r>
          <w:rPr>
            <w:color w:val="0000FF"/>
            <w:position w:val="1"/>
            <w:u w:val="single" w:color="0000FF"/>
          </w:rPr>
          <w:t>Share</w:t>
        </w:r>
        <w:r>
          <w:rPr>
            <w:color w:val="0000FF"/>
            <w:spacing w:val="30"/>
            <w:position w:val="1"/>
            <w:u w:val="single" w:color="0000FF"/>
          </w:rPr>
          <w:t> </w:t>
        </w:r>
        <w:r>
          <w:rPr>
            <w:color w:val="0000FF"/>
            <w:position w:val="1"/>
            <w:u w:val="single" w:color="0000FF"/>
          </w:rPr>
          <w:t>Unit</w:t>
        </w:r>
        <w:r>
          <w:rPr>
            <w:color w:val="0000FF"/>
            <w:spacing w:val="21"/>
            <w:position w:val="1"/>
            <w:u w:val="single" w:color="0000FF"/>
          </w:rPr>
          <w:t> </w:t>
        </w:r>
        <w:r>
          <w:rPr>
            <w:color w:val="0000FF"/>
            <w:position w:val="1"/>
            <w:u w:val="single" w:color="0000FF"/>
          </w:rPr>
          <w:t>Agreement</w:t>
        </w:r>
        <w:r>
          <w:rPr>
            <w:color w:val="0000FF"/>
            <w:spacing w:val="30"/>
            <w:position w:val="1"/>
            <w:u w:val="single" w:color="0000FF"/>
          </w:rPr>
          <w:t> </w:t>
        </w:r>
        <w:r>
          <w:rPr>
            <w:color w:val="0000FF"/>
            <w:position w:val="1"/>
            <w:u w:val="single" w:color="0000FF"/>
          </w:rPr>
          <w:t>(Annual</w:t>
        </w:r>
        <w:r>
          <w:rPr>
            <w:color w:val="0000FF"/>
            <w:spacing w:val="30"/>
            <w:position w:val="1"/>
            <w:u w:val="single" w:color="0000FF"/>
          </w:rPr>
          <w:t> </w:t>
        </w:r>
        <w:r>
          <w:rPr>
            <w:color w:val="0000FF"/>
            <w:position w:val="1"/>
            <w:u w:val="single" w:color="0000FF"/>
          </w:rPr>
          <w:t>Grant,</w:t>
        </w:r>
        <w:r>
          <w:rPr>
            <w:color w:val="0000FF"/>
            <w:spacing w:val="30"/>
            <w:position w:val="1"/>
            <w:u w:val="single" w:color="0000FF"/>
          </w:rPr>
          <w:t> </w:t>
        </w:r>
        <w:r>
          <w:rPr>
            <w:color w:val="0000FF"/>
            <w:position w:val="1"/>
            <w:u w:val="single" w:color="0000FF"/>
          </w:rPr>
          <w:t>Messrs.</w:t>
        </w:r>
        <w:r>
          <w:rPr>
            <w:color w:val="0000FF"/>
            <w:spacing w:val="30"/>
            <w:position w:val="1"/>
            <w:u w:val="single" w:color="0000FF"/>
          </w:rPr>
          <w:t> </w:t>
        </w:r>
        <w:r>
          <w:rPr>
            <w:color w:val="0000FF"/>
            <w:position w:val="1"/>
            <w:u w:val="single" w:color="0000FF"/>
          </w:rPr>
          <w:t>Hornbuckle,</w:t>
        </w:r>
        <w:r>
          <w:rPr>
            <w:color w:val="0000FF"/>
            <w:spacing w:val="30"/>
            <w:position w:val="1"/>
            <w:u w:val="single" w:color="0000FF"/>
          </w:rPr>
          <w:t> </w:t>
        </w:r>
        <w:r>
          <w:rPr>
            <w:color w:val="0000FF"/>
            <w:position w:val="1"/>
            <w:u w:val="single" w:color="0000FF"/>
          </w:rPr>
          <w:t>Sanders</w:t>
        </w:r>
        <w:r>
          <w:rPr>
            <w:color w:val="0000FF"/>
            <w:spacing w:val="30"/>
            <w:position w:val="1"/>
            <w:u w:val="single" w:color="0000FF"/>
          </w:rPr>
          <w:t> </w:t>
        </w:r>
        <w:r>
          <w:rPr>
            <w:color w:val="0000FF"/>
            <w:position w:val="1"/>
            <w:u w:val="single" w:color="0000FF"/>
          </w:rPr>
          <w:t>&amp;</w:t>
        </w:r>
        <w:r>
          <w:rPr>
            <w:color w:val="0000FF"/>
            <w:spacing w:val="30"/>
            <w:position w:val="1"/>
            <w:u w:val="single" w:color="0000FF"/>
          </w:rPr>
          <w:t> </w:t>
        </w:r>
        <w:r>
          <w:rPr>
            <w:color w:val="0000FF"/>
            <w:position w:val="1"/>
            <w:u w:val="single" w:color="0000FF"/>
          </w:rPr>
          <w:t>McManus)</w:t>
        </w:r>
        <w:r>
          <w:rPr>
            <w:color w:val="0000FF"/>
            <w:spacing w:val="30"/>
            <w:position w:val="1"/>
            <w:u w:val="single" w:color="0000FF"/>
          </w:rPr>
          <w:t> </w:t>
        </w:r>
        <w:r>
          <w:rPr>
            <w:color w:val="0000FF"/>
            <w:position w:val="1"/>
            <w:u w:val="single" w:color="0000FF"/>
          </w:rPr>
          <w:t>(incorporated</w:t>
        </w:r>
        <w:r>
          <w:rPr>
            <w:color w:val="0000FF"/>
            <w:spacing w:val="30"/>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reference</w:t>
        </w:r>
        <w:r>
          <w:rPr>
            <w:color w:val="0000FF"/>
            <w:spacing w:val="30"/>
            <w:position w:val="1"/>
            <w:u w:val="single" w:color="0000FF"/>
          </w:rPr>
          <w:t> </w:t>
        </w:r>
        <w:r>
          <w:rPr>
            <w:color w:val="0000FF"/>
            <w:position w:val="1"/>
            <w:u w:val="single" w:color="0000FF"/>
          </w:rPr>
          <w:t>to</w:t>
        </w:r>
      </w:hyperlink>
      <w:r>
        <w:rPr>
          <w:color w:val="0000FF"/>
          <w:position w:val="1"/>
        </w:rPr>
        <w:t> </w:t>
      </w:r>
      <w:hyperlink r:id="rId86">
        <w:r>
          <w:rPr>
            <w:color w:val="0000FF"/>
            <w:u w:val="single" w:color="0000FF"/>
          </w:rPr>
          <w:t>Exhibit 10.5(42) of the Company</w:t>
        </w:r>
        <w:r>
          <w:rPr>
            <w:color w:val="0000FF"/>
            <w:spacing w:val="-12"/>
            <w:u w:val="single" w:color="0000FF"/>
          </w:rPr>
          <w:t> </w:t>
        </w:r>
        <w:r>
          <w:rPr>
            <w:color w:val="0000FF"/>
            <w:u w:val="single" w:color="0000FF"/>
          </w:rPr>
          <w:t>’s</w:t>
        </w:r>
        <w:r>
          <w:rPr>
            <w:color w:val="0000FF"/>
            <w:spacing w:val="-6"/>
            <w:u w:val="single" w:color="0000FF"/>
          </w:rPr>
          <w:t> </w:t>
        </w:r>
        <w:r>
          <w:rPr>
            <w:color w:val="0000FF"/>
            <w:u w:val="single" w:color="0000FF"/>
          </w:rPr>
          <w:t>Annual Report on Form 10-K filed on February</w:t>
        </w:r>
        <w:r>
          <w:rPr>
            <w:color w:val="0000FF"/>
            <w:spacing w:val="39"/>
            <w:u w:val="single" w:color="0000FF"/>
          </w:rPr>
          <w:t> </w:t>
        </w:r>
        <w:r>
          <w:rPr>
            <w:color w:val="0000FF"/>
            <w:u w:val="single" w:color="0000FF"/>
          </w:rPr>
          <w:t>27, 2020).</w:t>
        </w:r>
      </w:hyperlink>
    </w:p>
    <w:p>
      <w:pPr>
        <w:pStyle w:val="BodyText"/>
        <w:tabs>
          <w:tab w:pos="1432" w:val="left" w:leader="none"/>
        </w:tabs>
        <w:spacing w:line="187" w:lineRule="auto" w:before="86"/>
        <w:ind w:left="1432" w:right="137" w:hanging="1271"/>
      </w:pPr>
      <w:r>
        <w:rPr>
          <w:spacing w:val="-2"/>
        </w:rPr>
        <w:t>*10.4(39)</w:t>
      </w:r>
      <w:r>
        <w:rPr/>
        <w:tab/>
      </w:r>
      <w:hyperlink r:id="rId87">
        <w:r>
          <w:rPr>
            <w:color w:val="0000FF"/>
            <w:position w:val="1"/>
            <w:u w:val="single" w:color="0000FF"/>
          </w:rPr>
          <w:t>Form</w:t>
        </w:r>
        <w:r>
          <w:rPr>
            <w:color w:val="0000FF"/>
            <w:spacing w:val="-5"/>
            <w:position w:val="1"/>
            <w:u w:val="single" w:color="0000FF"/>
          </w:rPr>
          <w:t> </w:t>
        </w:r>
        <w:r>
          <w:rPr>
            <w:color w:val="0000FF"/>
            <w:position w:val="1"/>
            <w:u w:val="single" w:color="0000FF"/>
          </w:rPr>
          <w:t>of</w:t>
        </w:r>
        <w:r>
          <w:rPr>
            <w:color w:val="0000FF"/>
            <w:spacing w:val="-2"/>
            <w:position w:val="1"/>
            <w:u w:val="single" w:color="0000FF"/>
          </w:rPr>
          <w:t> </w:t>
        </w:r>
        <w:r>
          <w:rPr>
            <w:color w:val="0000FF"/>
            <w:position w:val="1"/>
            <w:u w:val="single" w:color="0000FF"/>
          </w:rPr>
          <w:t>Restricted</w:t>
        </w:r>
        <w:r>
          <w:rPr>
            <w:color w:val="0000FF"/>
            <w:spacing w:val="-2"/>
            <w:position w:val="1"/>
            <w:u w:val="single" w:color="0000FF"/>
          </w:rPr>
          <w:t> </w:t>
        </w:r>
        <w:r>
          <w:rPr>
            <w:color w:val="0000FF"/>
            <w:position w:val="1"/>
            <w:u w:val="single" w:color="0000FF"/>
          </w:rPr>
          <w:t>Stock</w:t>
        </w:r>
        <w:r>
          <w:rPr>
            <w:color w:val="0000FF"/>
            <w:spacing w:val="-2"/>
            <w:position w:val="1"/>
            <w:u w:val="single" w:color="0000FF"/>
          </w:rPr>
          <w:t> </w:t>
        </w:r>
        <w:r>
          <w:rPr>
            <w:color w:val="0000FF"/>
            <w:position w:val="1"/>
            <w:u w:val="single" w:color="0000FF"/>
          </w:rPr>
          <w:t>Unit</w:t>
        </w:r>
        <w:r>
          <w:rPr>
            <w:color w:val="0000FF"/>
            <w:spacing w:val="-11"/>
            <w:position w:val="1"/>
            <w:u w:val="single" w:color="0000FF"/>
          </w:rPr>
          <w:t> </w:t>
        </w:r>
        <w:r>
          <w:rPr>
            <w:color w:val="0000FF"/>
            <w:position w:val="1"/>
            <w:u w:val="single" w:color="0000FF"/>
          </w:rPr>
          <w:t>Agreement</w:t>
        </w:r>
        <w:r>
          <w:rPr>
            <w:color w:val="0000FF"/>
            <w:spacing w:val="-2"/>
            <w:position w:val="1"/>
            <w:u w:val="single" w:color="0000FF"/>
          </w:rPr>
          <w:t> </w:t>
        </w:r>
        <w:r>
          <w:rPr>
            <w:color w:val="0000FF"/>
            <w:position w:val="1"/>
            <w:u w:val="single" w:color="0000FF"/>
          </w:rPr>
          <w:t>(no</w:t>
        </w:r>
        <w:r>
          <w:rPr>
            <w:color w:val="0000FF"/>
            <w:spacing w:val="-2"/>
            <w:position w:val="1"/>
            <w:u w:val="single" w:color="0000FF"/>
          </w:rPr>
          <w:t> </w:t>
        </w:r>
        <w:r>
          <w:rPr>
            <w:color w:val="0000FF"/>
            <w:position w:val="1"/>
            <w:u w:val="single" w:color="0000FF"/>
          </w:rPr>
          <w:t>Performance</w:t>
        </w:r>
        <w:r>
          <w:rPr>
            <w:color w:val="0000FF"/>
            <w:spacing w:val="-2"/>
            <w:position w:val="1"/>
            <w:u w:val="single" w:color="0000FF"/>
          </w:rPr>
          <w:t> </w:t>
        </w:r>
        <w:r>
          <w:rPr>
            <w:color w:val="0000FF"/>
            <w:position w:val="1"/>
            <w:u w:val="single" w:color="0000FF"/>
          </w:rPr>
          <w:t>Hurdle)</w:t>
        </w:r>
        <w:r>
          <w:rPr>
            <w:color w:val="0000FF"/>
            <w:spacing w:val="-2"/>
            <w:position w:val="1"/>
            <w:u w:val="single" w:color="0000FF"/>
          </w:rPr>
          <w:t> </w:t>
        </w:r>
        <w:r>
          <w:rPr>
            <w:color w:val="0000FF"/>
            <w:position w:val="1"/>
            <w:u w:val="single" w:color="0000FF"/>
          </w:rPr>
          <w:t>(incorporated</w:t>
        </w:r>
        <w:r>
          <w:rPr>
            <w:color w:val="0000FF"/>
            <w:spacing w:val="-2"/>
            <w:position w:val="1"/>
            <w:u w:val="single" w:color="0000FF"/>
          </w:rPr>
          <w:t> </w:t>
        </w:r>
        <w:r>
          <w:rPr>
            <w:color w:val="0000FF"/>
            <w:position w:val="1"/>
            <w:u w:val="single" w:color="0000FF"/>
          </w:rPr>
          <w:t>by</w:t>
        </w:r>
        <w:r>
          <w:rPr>
            <w:color w:val="0000FF"/>
            <w:spacing w:val="25"/>
            <w:position w:val="1"/>
            <w:u w:val="single" w:color="0000FF"/>
          </w:rPr>
          <w:t> </w:t>
        </w:r>
        <w:r>
          <w:rPr>
            <w:color w:val="0000FF"/>
            <w:position w:val="1"/>
            <w:u w:val="single" w:color="0000FF"/>
          </w:rPr>
          <w:t>reference</w:t>
        </w:r>
        <w:r>
          <w:rPr>
            <w:color w:val="0000FF"/>
            <w:spacing w:val="-2"/>
            <w:position w:val="1"/>
            <w:u w:val="single" w:color="0000FF"/>
          </w:rPr>
          <w:t> </w:t>
        </w:r>
        <w:r>
          <w:rPr>
            <w:color w:val="0000FF"/>
            <w:position w:val="1"/>
            <w:u w:val="single" w:color="0000FF"/>
          </w:rPr>
          <w:t>to</w:t>
        </w:r>
        <w:r>
          <w:rPr>
            <w:color w:val="0000FF"/>
            <w:spacing w:val="-2"/>
            <w:position w:val="1"/>
            <w:u w:val="single" w:color="0000FF"/>
          </w:rPr>
          <w:t> </w:t>
        </w:r>
        <w:r>
          <w:rPr>
            <w:color w:val="0000FF"/>
            <w:position w:val="1"/>
            <w:u w:val="single" w:color="0000FF"/>
          </w:rPr>
          <w:t>Exhibit</w:t>
        </w:r>
        <w:r>
          <w:rPr>
            <w:color w:val="0000FF"/>
            <w:spacing w:val="-2"/>
            <w:position w:val="1"/>
            <w:u w:val="single" w:color="0000FF"/>
          </w:rPr>
          <w:t> </w:t>
        </w:r>
        <w:r>
          <w:rPr>
            <w:color w:val="0000FF"/>
            <w:position w:val="1"/>
            <w:u w:val="single" w:color="0000FF"/>
          </w:rPr>
          <w:t>10.5(44)</w:t>
        </w:r>
        <w:r>
          <w:rPr>
            <w:color w:val="0000FF"/>
            <w:spacing w:val="-2"/>
            <w:position w:val="1"/>
            <w:u w:val="single" w:color="0000FF"/>
          </w:rPr>
          <w:t> </w:t>
        </w:r>
        <w:r>
          <w:rPr>
            <w:color w:val="0000FF"/>
            <w:position w:val="1"/>
            <w:u w:val="single" w:color="0000FF"/>
          </w:rPr>
          <w:t>of</w:t>
        </w:r>
        <w:r>
          <w:rPr>
            <w:color w:val="0000FF"/>
            <w:spacing w:val="-2"/>
            <w:position w:val="1"/>
            <w:u w:val="single" w:color="0000FF"/>
          </w:rPr>
          <w:t> </w:t>
        </w:r>
        <w:r>
          <w:rPr>
            <w:color w:val="0000FF"/>
            <w:position w:val="1"/>
            <w:u w:val="single" w:color="0000FF"/>
          </w:rPr>
          <w:t>the</w:t>
        </w:r>
        <w:r>
          <w:rPr>
            <w:color w:val="0000FF"/>
            <w:spacing w:val="-2"/>
            <w:position w:val="1"/>
            <w:u w:val="single" w:color="0000FF"/>
          </w:rPr>
          <w:t> </w:t>
        </w:r>
        <w:r>
          <w:rPr>
            <w:color w:val="0000FF"/>
            <w:position w:val="1"/>
            <w:u w:val="single" w:color="0000FF"/>
          </w:rPr>
          <w:t>Company</w:t>
        </w:r>
        <w:r>
          <w:rPr>
            <w:color w:val="0000FF"/>
            <w:spacing w:val="-15"/>
            <w:position w:val="1"/>
            <w:u w:val="single" w:color="0000FF"/>
          </w:rPr>
          <w:t> </w:t>
        </w:r>
        <w:r>
          <w:rPr>
            <w:color w:val="0000FF"/>
            <w:position w:val="1"/>
            <w:u w:val="single" w:color="0000FF"/>
          </w:rPr>
          <w:t>’s</w:t>
        </w:r>
        <w:r>
          <w:rPr>
            <w:color w:val="0000FF"/>
            <w:spacing w:val="-11"/>
            <w:position w:val="1"/>
            <w:u w:val="single" w:color="0000FF"/>
          </w:rPr>
          <w:t> </w:t>
        </w:r>
        <w:r>
          <w:rPr>
            <w:color w:val="0000FF"/>
            <w:position w:val="1"/>
            <w:u w:val="single" w:color="0000FF"/>
          </w:rPr>
          <w:t>Annual</w:t>
        </w:r>
      </w:hyperlink>
      <w:r>
        <w:rPr>
          <w:color w:val="0000FF"/>
          <w:position w:val="1"/>
        </w:rPr>
        <w:t> </w:t>
      </w:r>
      <w:hyperlink r:id="rId87">
        <w:r>
          <w:rPr>
            <w:color w:val="0000FF"/>
            <w:u w:val="single" w:color="0000FF"/>
          </w:rPr>
          <w:t>Report on Form 10-K filed on February</w:t>
        </w:r>
        <w:r>
          <w:rPr>
            <w:color w:val="0000FF"/>
            <w:spacing w:val="40"/>
            <w:u w:val="single" w:color="0000FF"/>
          </w:rPr>
          <w:t> </w:t>
        </w:r>
        <w:r>
          <w:rPr>
            <w:color w:val="0000FF"/>
            <w:u w:val="single" w:color="0000FF"/>
          </w:rPr>
          <w:t>27, 2020).</w:t>
        </w:r>
      </w:hyperlink>
    </w:p>
    <w:p>
      <w:pPr>
        <w:pStyle w:val="BodyText"/>
        <w:tabs>
          <w:tab w:pos="1432" w:val="left" w:leader="none"/>
        </w:tabs>
        <w:spacing w:line="204" w:lineRule="auto" w:before="60"/>
        <w:ind w:left="1432" w:right="137" w:hanging="1271"/>
      </w:pPr>
      <w:r>
        <w:rPr>
          <w:spacing w:val="-2"/>
        </w:rPr>
        <w:t>*10.4(40)</w:t>
      </w:r>
      <w:r>
        <w:rPr/>
        <w:tab/>
      </w:r>
      <w:hyperlink r:id="rId88">
        <w:r>
          <w:rPr>
            <w:color w:val="0000FF"/>
            <w:position w:val="1"/>
            <w:u w:val="single" w:color="0000FF"/>
          </w:rPr>
          <w:t>Form</w:t>
        </w:r>
        <w:r>
          <w:rPr>
            <w:color w:val="0000FF"/>
            <w:spacing w:val="21"/>
            <w:position w:val="1"/>
            <w:u w:val="single" w:color="0000FF"/>
          </w:rPr>
          <w:t> </w:t>
        </w:r>
        <w:r>
          <w:rPr>
            <w:color w:val="0000FF"/>
            <w:position w:val="1"/>
            <w:u w:val="single" w:color="0000FF"/>
          </w:rPr>
          <w:t>of</w:t>
        </w:r>
        <w:r>
          <w:rPr>
            <w:color w:val="0000FF"/>
            <w:spacing w:val="24"/>
            <w:position w:val="1"/>
            <w:u w:val="single" w:color="0000FF"/>
          </w:rPr>
          <w:t> </w:t>
        </w:r>
        <w:r>
          <w:rPr>
            <w:color w:val="0000FF"/>
            <w:position w:val="1"/>
            <w:u w:val="single" w:color="0000FF"/>
          </w:rPr>
          <w:t>Relative</w:t>
        </w:r>
        <w:r>
          <w:rPr>
            <w:color w:val="0000FF"/>
            <w:spacing w:val="24"/>
            <w:position w:val="1"/>
            <w:u w:val="single" w:color="0000FF"/>
          </w:rPr>
          <w:t> </w:t>
        </w:r>
        <w:r>
          <w:rPr>
            <w:color w:val="0000FF"/>
            <w:position w:val="1"/>
            <w:u w:val="single" w:color="0000FF"/>
          </w:rPr>
          <w:t>Performance</w:t>
        </w:r>
        <w:r>
          <w:rPr>
            <w:color w:val="0000FF"/>
            <w:spacing w:val="24"/>
            <w:position w:val="1"/>
            <w:u w:val="single" w:color="0000FF"/>
          </w:rPr>
          <w:t> </w:t>
        </w:r>
        <w:r>
          <w:rPr>
            <w:color w:val="0000FF"/>
            <w:position w:val="1"/>
            <w:u w:val="single" w:color="0000FF"/>
          </w:rPr>
          <w:t>Share</w:t>
        </w:r>
        <w:r>
          <w:rPr>
            <w:color w:val="0000FF"/>
            <w:spacing w:val="24"/>
            <w:position w:val="1"/>
            <w:u w:val="single" w:color="0000FF"/>
          </w:rPr>
          <w:t> </w:t>
        </w:r>
        <w:r>
          <w:rPr>
            <w:color w:val="0000FF"/>
            <w:position w:val="1"/>
            <w:u w:val="single" w:color="0000FF"/>
          </w:rPr>
          <w:t>Unit</w:t>
        </w:r>
        <w:r>
          <w:rPr>
            <w:color w:val="0000FF"/>
            <w:spacing w:val="14"/>
            <w:position w:val="1"/>
            <w:u w:val="single" w:color="0000FF"/>
          </w:rPr>
          <w:t> </w:t>
        </w:r>
        <w:r>
          <w:rPr>
            <w:color w:val="0000FF"/>
            <w:position w:val="1"/>
            <w:u w:val="single" w:color="0000FF"/>
          </w:rPr>
          <w:t>Agreement</w:t>
        </w:r>
        <w:r>
          <w:rPr>
            <w:color w:val="0000FF"/>
            <w:spacing w:val="24"/>
            <w:position w:val="1"/>
            <w:u w:val="single" w:color="0000FF"/>
          </w:rPr>
          <w:t> </w:t>
        </w:r>
        <w:r>
          <w:rPr>
            <w:color w:val="0000FF"/>
            <w:position w:val="1"/>
            <w:u w:val="single" w:color="0000FF"/>
          </w:rPr>
          <w:t>(Annual</w:t>
        </w:r>
        <w:r>
          <w:rPr>
            <w:color w:val="0000FF"/>
            <w:spacing w:val="24"/>
            <w:position w:val="1"/>
            <w:u w:val="single" w:color="0000FF"/>
          </w:rPr>
          <w:t> </w:t>
        </w:r>
        <w:r>
          <w:rPr>
            <w:color w:val="0000FF"/>
            <w:position w:val="1"/>
            <w:u w:val="single" w:color="0000FF"/>
          </w:rPr>
          <w:t>Grant)</w:t>
        </w:r>
        <w:r>
          <w:rPr>
            <w:color w:val="0000FF"/>
            <w:spacing w:val="24"/>
            <w:position w:val="1"/>
            <w:u w:val="single" w:color="0000FF"/>
          </w:rPr>
          <w:t> </w:t>
        </w:r>
        <w:r>
          <w:rPr>
            <w:color w:val="0000FF"/>
            <w:position w:val="1"/>
            <w:u w:val="single" w:color="0000FF"/>
          </w:rPr>
          <w:t>(incorporated</w:t>
        </w:r>
        <w:r>
          <w:rPr>
            <w:color w:val="0000FF"/>
            <w:spacing w:val="24"/>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reference</w:t>
        </w:r>
        <w:r>
          <w:rPr>
            <w:color w:val="0000FF"/>
            <w:spacing w:val="24"/>
            <w:position w:val="1"/>
            <w:u w:val="single" w:color="0000FF"/>
          </w:rPr>
          <w:t> </w:t>
        </w:r>
        <w:r>
          <w:rPr>
            <w:color w:val="0000FF"/>
            <w:position w:val="1"/>
            <w:u w:val="single" w:color="0000FF"/>
          </w:rPr>
          <w:t>to</w:t>
        </w:r>
        <w:r>
          <w:rPr>
            <w:color w:val="0000FF"/>
            <w:spacing w:val="24"/>
            <w:position w:val="1"/>
            <w:u w:val="single" w:color="0000FF"/>
          </w:rPr>
          <w:t> </w:t>
        </w:r>
        <w:r>
          <w:rPr>
            <w:color w:val="0000FF"/>
            <w:position w:val="1"/>
            <w:u w:val="single" w:color="0000FF"/>
          </w:rPr>
          <w:t>Exhibit</w:t>
        </w:r>
        <w:r>
          <w:rPr>
            <w:color w:val="0000FF"/>
            <w:spacing w:val="24"/>
            <w:position w:val="1"/>
            <w:u w:val="single" w:color="0000FF"/>
          </w:rPr>
          <w:t> </w:t>
        </w:r>
        <w:r>
          <w:rPr>
            <w:color w:val="0000FF"/>
            <w:position w:val="1"/>
            <w:u w:val="single" w:color="0000FF"/>
          </w:rPr>
          <w:t>10.5(45)</w:t>
        </w:r>
        <w:r>
          <w:rPr>
            <w:color w:val="0000FF"/>
            <w:spacing w:val="24"/>
            <w:position w:val="1"/>
            <w:u w:val="single" w:color="0000FF"/>
          </w:rPr>
          <w:t> </w:t>
        </w:r>
        <w:r>
          <w:rPr>
            <w:color w:val="0000FF"/>
            <w:position w:val="1"/>
            <w:u w:val="single" w:color="0000FF"/>
          </w:rPr>
          <w:t>of</w:t>
        </w:r>
        <w:r>
          <w:rPr>
            <w:color w:val="0000FF"/>
            <w:spacing w:val="24"/>
            <w:position w:val="1"/>
            <w:u w:val="single" w:color="0000FF"/>
          </w:rPr>
          <w:t> </w:t>
        </w:r>
        <w:r>
          <w:rPr>
            <w:color w:val="0000FF"/>
            <w:position w:val="1"/>
            <w:u w:val="single" w:color="0000FF"/>
          </w:rPr>
          <w:t>the</w:t>
        </w:r>
        <w:r>
          <w:rPr>
            <w:color w:val="0000FF"/>
            <w:spacing w:val="24"/>
            <w:position w:val="1"/>
            <w:u w:val="single" w:color="0000FF"/>
          </w:rPr>
          <w:t> </w:t>
        </w:r>
        <w:r>
          <w:rPr>
            <w:color w:val="0000FF"/>
            <w:position w:val="1"/>
            <w:u w:val="single" w:color="0000FF"/>
          </w:rPr>
          <w:t>Company</w:t>
        </w:r>
        <w:r>
          <w:rPr>
            <w:color w:val="0000FF"/>
            <w:spacing w:val="-15"/>
            <w:position w:val="1"/>
            <w:u w:val="single" w:color="0000FF"/>
          </w:rPr>
          <w:t> </w:t>
        </w:r>
        <w:r>
          <w:rPr>
            <w:color w:val="0000FF"/>
            <w:position w:val="1"/>
            <w:u w:val="single" w:color="0000FF"/>
          </w:rPr>
          <w:t>’s</w:t>
        </w:r>
      </w:hyperlink>
      <w:r>
        <w:rPr>
          <w:color w:val="0000FF"/>
          <w:position w:val="1"/>
        </w:rPr>
        <w:t> </w:t>
      </w:r>
      <w:hyperlink r:id="rId88">
        <w:r>
          <w:rPr>
            <w:color w:val="0000FF"/>
            <w:u w:val="single" w:color="0000FF"/>
          </w:rPr>
          <w:t>Annual Report on Form 10-K filed on February</w:t>
        </w:r>
        <w:r>
          <w:rPr>
            <w:color w:val="0000FF"/>
            <w:spacing w:val="40"/>
            <w:u w:val="single" w:color="0000FF"/>
          </w:rPr>
          <w:t> </w:t>
        </w:r>
        <w:r>
          <w:rPr>
            <w:color w:val="0000FF"/>
            <w:u w:val="single" w:color="0000FF"/>
          </w:rPr>
          <w:t>27, 2020).</w:t>
        </w:r>
      </w:hyperlink>
    </w:p>
    <w:p>
      <w:pPr>
        <w:pStyle w:val="BodyText"/>
        <w:tabs>
          <w:tab w:pos="1432" w:val="left" w:leader="none"/>
        </w:tabs>
        <w:spacing w:line="187" w:lineRule="auto" w:before="68"/>
        <w:ind w:left="1432" w:right="137" w:hanging="1271"/>
      </w:pPr>
      <w:r>
        <w:rPr>
          <w:spacing w:val="-2"/>
        </w:rPr>
        <w:t>*10.4(41)</w:t>
      </w:r>
      <w:r>
        <w:rPr/>
        <w:tab/>
      </w:r>
      <w:hyperlink r:id="rId89">
        <w:r>
          <w:rPr>
            <w:color w:val="0000FF"/>
            <w:position w:val="1"/>
            <w:u w:val="single" w:color="0000FF"/>
          </w:rPr>
          <w:t>Form of Relative Performance Share Unit</w:t>
        </w:r>
        <w:r>
          <w:rPr>
            <w:color w:val="0000FF"/>
            <w:spacing w:val="-8"/>
            <w:position w:val="1"/>
            <w:u w:val="single" w:color="0000FF"/>
          </w:rPr>
          <w:t> </w:t>
        </w:r>
        <w:r>
          <w:rPr>
            <w:color w:val="0000FF"/>
            <w:position w:val="1"/>
            <w:u w:val="single" w:color="0000FF"/>
          </w:rPr>
          <w:t>Agreement (Annual Grant, Messrs. Hornbuckle, Sanders &amp; McManus) (incorporated by</w:t>
        </w:r>
        <w:r>
          <w:rPr>
            <w:color w:val="0000FF"/>
            <w:spacing w:val="29"/>
            <w:position w:val="1"/>
            <w:u w:val="single" w:color="0000FF"/>
          </w:rPr>
          <w:t> </w:t>
        </w:r>
        <w:r>
          <w:rPr>
            <w:color w:val="0000FF"/>
            <w:position w:val="1"/>
            <w:u w:val="single" w:color="0000FF"/>
          </w:rPr>
          <w:t>reference</w:t>
        </w:r>
      </w:hyperlink>
      <w:r>
        <w:rPr>
          <w:color w:val="0000FF"/>
          <w:position w:val="1"/>
        </w:rPr>
        <w:t> </w:t>
      </w:r>
      <w:hyperlink r:id="rId89">
        <w:r>
          <w:rPr>
            <w:color w:val="0000FF"/>
            <w:u w:val="single" w:color="0000FF"/>
          </w:rPr>
          <w:t>to Exhibit 10.5(46) of the Company</w:t>
        </w:r>
        <w:r>
          <w:rPr>
            <w:color w:val="0000FF"/>
            <w:spacing w:val="-12"/>
            <w:u w:val="single" w:color="0000FF"/>
          </w:rPr>
          <w:t> </w:t>
        </w:r>
        <w:r>
          <w:rPr>
            <w:color w:val="0000FF"/>
            <w:u w:val="single" w:color="0000FF"/>
          </w:rPr>
          <w:t>’s</w:t>
        </w:r>
        <w:r>
          <w:rPr>
            <w:color w:val="0000FF"/>
            <w:spacing w:val="-6"/>
            <w:u w:val="single" w:color="0000FF"/>
          </w:rPr>
          <w:t> </w:t>
        </w:r>
        <w:r>
          <w:rPr>
            <w:color w:val="0000FF"/>
            <w:u w:val="single" w:color="0000FF"/>
          </w:rPr>
          <w:t>Annual Report on Form 10-K filed on February</w:t>
        </w:r>
        <w:r>
          <w:rPr>
            <w:color w:val="0000FF"/>
            <w:spacing w:val="39"/>
            <w:u w:val="single" w:color="0000FF"/>
          </w:rPr>
          <w:t> </w:t>
        </w:r>
        <w:r>
          <w:rPr>
            <w:color w:val="0000FF"/>
            <w:u w:val="single" w:color="0000FF"/>
          </w:rPr>
          <w:t>27, 2020).</w:t>
        </w:r>
      </w:hyperlink>
    </w:p>
    <w:p>
      <w:pPr>
        <w:pStyle w:val="BodyText"/>
        <w:tabs>
          <w:tab w:pos="1432" w:val="left" w:leader="none"/>
        </w:tabs>
        <w:spacing w:line="187" w:lineRule="auto" w:before="86"/>
        <w:ind w:left="1432" w:right="137" w:hanging="1271"/>
      </w:pPr>
      <w:r>
        <w:rPr>
          <w:spacing w:val="-2"/>
        </w:rPr>
        <w:t>*10.4(42)</w:t>
      </w:r>
      <w:r>
        <w:rPr/>
        <w:tab/>
      </w:r>
      <w:hyperlink r:id="rId90">
        <w:r>
          <w:rPr>
            <w:color w:val="0000FF"/>
            <w:position w:val="1"/>
            <w:u w:val="single" w:color="0000FF"/>
          </w:rPr>
          <w:t>Form</w:t>
        </w:r>
        <w:r>
          <w:rPr>
            <w:color w:val="0000FF"/>
            <w:spacing w:val="-5"/>
            <w:position w:val="1"/>
            <w:u w:val="single" w:color="0000FF"/>
          </w:rPr>
          <w:t> </w:t>
        </w:r>
        <w:r>
          <w:rPr>
            <w:color w:val="0000FF"/>
            <w:position w:val="1"/>
            <w:u w:val="single" w:color="0000FF"/>
          </w:rPr>
          <w:t>of</w:t>
        </w:r>
        <w:r>
          <w:rPr>
            <w:color w:val="0000FF"/>
            <w:spacing w:val="-2"/>
            <w:position w:val="1"/>
            <w:u w:val="single" w:color="0000FF"/>
          </w:rPr>
          <w:t> </w:t>
        </w:r>
        <w:r>
          <w:rPr>
            <w:color w:val="0000FF"/>
            <w:position w:val="1"/>
            <w:u w:val="single" w:color="0000FF"/>
          </w:rPr>
          <w:t>Omnibus</w:t>
        </w:r>
        <w:r>
          <w:rPr>
            <w:color w:val="0000FF"/>
            <w:spacing w:val="-11"/>
            <w:position w:val="1"/>
            <w:u w:val="single" w:color="0000FF"/>
          </w:rPr>
          <w:t> </w:t>
        </w:r>
        <w:r>
          <w:rPr>
            <w:color w:val="0000FF"/>
            <w:position w:val="1"/>
            <w:u w:val="single" w:color="0000FF"/>
          </w:rPr>
          <w:t>Amendment</w:t>
        </w:r>
        <w:r>
          <w:rPr>
            <w:color w:val="0000FF"/>
            <w:spacing w:val="-2"/>
            <w:position w:val="1"/>
            <w:u w:val="single" w:color="0000FF"/>
          </w:rPr>
          <w:t> </w:t>
        </w:r>
        <w:r>
          <w:rPr>
            <w:color w:val="0000FF"/>
            <w:position w:val="1"/>
            <w:u w:val="single" w:color="0000FF"/>
          </w:rPr>
          <w:t>to</w:t>
        </w:r>
        <w:r>
          <w:rPr>
            <w:color w:val="0000FF"/>
            <w:spacing w:val="-2"/>
            <w:position w:val="1"/>
            <w:u w:val="single" w:color="0000FF"/>
          </w:rPr>
          <w:t> </w:t>
        </w:r>
        <w:r>
          <w:rPr>
            <w:color w:val="0000FF"/>
            <w:position w:val="1"/>
            <w:u w:val="single" w:color="0000FF"/>
          </w:rPr>
          <w:t>Relative</w:t>
        </w:r>
        <w:r>
          <w:rPr>
            <w:color w:val="0000FF"/>
            <w:spacing w:val="-2"/>
            <w:position w:val="1"/>
            <w:u w:val="single" w:color="0000FF"/>
          </w:rPr>
          <w:t> </w:t>
        </w:r>
        <w:r>
          <w:rPr>
            <w:color w:val="0000FF"/>
            <w:position w:val="1"/>
            <w:u w:val="single" w:color="0000FF"/>
          </w:rPr>
          <w:t>Performance</w:t>
        </w:r>
        <w:r>
          <w:rPr>
            <w:color w:val="0000FF"/>
            <w:spacing w:val="-2"/>
            <w:position w:val="1"/>
            <w:u w:val="single" w:color="0000FF"/>
          </w:rPr>
          <w:t> </w:t>
        </w:r>
        <w:r>
          <w:rPr>
            <w:color w:val="0000FF"/>
            <w:position w:val="1"/>
            <w:u w:val="single" w:color="0000FF"/>
          </w:rPr>
          <w:t>Share</w:t>
        </w:r>
        <w:r>
          <w:rPr>
            <w:color w:val="0000FF"/>
            <w:spacing w:val="-2"/>
            <w:position w:val="1"/>
            <w:u w:val="single" w:color="0000FF"/>
          </w:rPr>
          <w:t> </w:t>
        </w:r>
        <w:r>
          <w:rPr>
            <w:color w:val="0000FF"/>
            <w:position w:val="1"/>
            <w:u w:val="single" w:color="0000FF"/>
          </w:rPr>
          <w:t>Unit</w:t>
        </w:r>
        <w:r>
          <w:rPr>
            <w:color w:val="0000FF"/>
            <w:spacing w:val="-11"/>
            <w:position w:val="1"/>
            <w:u w:val="single" w:color="0000FF"/>
          </w:rPr>
          <w:t> </w:t>
        </w:r>
        <w:r>
          <w:rPr>
            <w:color w:val="0000FF"/>
            <w:position w:val="1"/>
            <w:u w:val="single" w:color="0000FF"/>
          </w:rPr>
          <w:t>Agreements</w:t>
        </w:r>
        <w:r>
          <w:rPr>
            <w:color w:val="0000FF"/>
            <w:spacing w:val="-2"/>
            <w:position w:val="1"/>
            <w:u w:val="single" w:color="0000FF"/>
          </w:rPr>
          <w:t> </w:t>
        </w:r>
        <w:r>
          <w:rPr>
            <w:color w:val="0000FF"/>
            <w:position w:val="1"/>
            <w:u w:val="single" w:color="0000FF"/>
          </w:rPr>
          <w:t>(incorporated</w:t>
        </w:r>
        <w:r>
          <w:rPr>
            <w:color w:val="0000FF"/>
            <w:spacing w:val="-2"/>
            <w:position w:val="1"/>
            <w:u w:val="single" w:color="0000FF"/>
          </w:rPr>
          <w:t> </w:t>
        </w:r>
        <w:r>
          <w:rPr>
            <w:color w:val="0000FF"/>
            <w:position w:val="1"/>
            <w:u w:val="single" w:color="0000FF"/>
          </w:rPr>
          <w:t>by</w:t>
        </w:r>
        <w:r>
          <w:rPr>
            <w:color w:val="0000FF"/>
            <w:spacing w:val="25"/>
            <w:position w:val="1"/>
            <w:u w:val="single" w:color="0000FF"/>
          </w:rPr>
          <w:t> </w:t>
        </w:r>
        <w:r>
          <w:rPr>
            <w:color w:val="0000FF"/>
            <w:position w:val="1"/>
            <w:u w:val="single" w:color="0000FF"/>
          </w:rPr>
          <w:t>reference</w:t>
        </w:r>
        <w:r>
          <w:rPr>
            <w:color w:val="0000FF"/>
            <w:spacing w:val="-2"/>
            <w:position w:val="1"/>
            <w:u w:val="single" w:color="0000FF"/>
          </w:rPr>
          <w:t> </w:t>
        </w:r>
        <w:r>
          <w:rPr>
            <w:color w:val="0000FF"/>
            <w:position w:val="1"/>
            <w:u w:val="single" w:color="0000FF"/>
          </w:rPr>
          <w:t>to</w:t>
        </w:r>
        <w:r>
          <w:rPr>
            <w:color w:val="0000FF"/>
            <w:spacing w:val="-2"/>
            <w:position w:val="1"/>
            <w:u w:val="single" w:color="0000FF"/>
          </w:rPr>
          <w:t> </w:t>
        </w:r>
        <w:r>
          <w:rPr>
            <w:color w:val="0000FF"/>
            <w:position w:val="1"/>
            <w:u w:val="single" w:color="0000FF"/>
          </w:rPr>
          <w:t>Exhibit</w:t>
        </w:r>
        <w:r>
          <w:rPr>
            <w:color w:val="0000FF"/>
            <w:spacing w:val="-2"/>
            <w:position w:val="1"/>
            <w:u w:val="single" w:color="0000FF"/>
          </w:rPr>
          <w:t> </w:t>
        </w:r>
        <w:r>
          <w:rPr>
            <w:color w:val="0000FF"/>
            <w:position w:val="1"/>
            <w:u w:val="single" w:color="0000FF"/>
          </w:rPr>
          <w:t>10.5</w:t>
        </w:r>
        <w:r>
          <w:rPr>
            <w:color w:val="0000FF"/>
            <w:spacing w:val="-2"/>
            <w:position w:val="1"/>
            <w:u w:val="single" w:color="0000FF"/>
          </w:rPr>
          <w:t> </w:t>
        </w:r>
        <w:r>
          <w:rPr>
            <w:color w:val="0000FF"/>
            <w:position w:val="1"/>
            <w:u w:val="single" w:color="0000FF"/>
          </w:rPr>
          <w:t>of</w:t>
        </w:r>
        <w:r>
          <w:rPr>
            <w:color w:val="0000FF"/>
            <w:spacing w:val="-2"/>
            <w:position w:val="1"/>
            <w:u w:val="single" w:color="0000FF"/>
          </w:rPr>
          <w:t> </w:t>
        </w:r>
        <w:r>
          <w:rPr>
            <w:color w:val="0000FF"/>
            <w:position w:val="1"/>
            <w:u w:val="single" w:color="0000FF"/>
          </w:rPr>
          <w:t>the</w:t>
        </w:r>
        <w:r>
          <w:rPr>
            <w:color w:val="0000FF"/>
            <w:spacing w:val="-2"/>
            <w:position w:val="1"/>
            <w:u w:val="single" w:color="0000FF"/>
          </w:rPr>
          <w:t> </w:t>
        </w:r>
        <w:r>
          <w:rPr>
            <w:color w:val="0000FF"/>
            <w:position w:val="1"/>
            <w:u w:val="single" w:color="0000FF"/>
          </w:rPr>
          <w:t>Company</w:t>
        </w:r>
        <w:r>
          <w:rPr>
            <w:color w:val="0000FF"/>
            <w:spacing w:val="-15"/>
            <w:position w:val="1"/>
            <w:u w:val="single" w:color="0000FF"/>
          </w:rPr>
          <w:t> </w:t>
        </w:r>
        <w:r>
          <w:rPr>
            <w:color w:val="0000FF"/>
            <w:position w:val="1"/>
            <w:u w:val="single" w:color="0000FF"/>
          </w:rPr>
          <w:t>’s</w:t>
        </w:r>
      </w:hyperlink>
      <w:r>
        <w:rPr>
          <w:color w:val="0000FF"/>
          <w:position w:val="1"/>
        </w:rPr>
        <w:t> </w:t>
      </w:r>
      <w:hyperlink r:id="rId90">
        <w:r>
          <w:rPr>
            <w:color w:val="0000FF"/>
            <w:u w:val="single" w:color="0000FF"/>
          </w:rPr>
          <w:t>Q</w:t>
        </w:r>
        <w:r>
          <w:rPr>
            <w:color w:val="0000FF"/>
            <w:spacing w:val="-32"/>
            <w:u w:val="single" w:color="0000FF"/>
          </w:rPr>
          <w:t> </w:t>
        </w:r>
        <w:r>
          <w:rPr>
            <w:color w:val="0000FF"/>
            <w:u w:val="single" w:color="0000FF"/>
          </w:rPr>
          <w:t>uarter</w:t>
        </w:r>
        <w:r>
          <w:rPr>
            <w:color w:val="0000FF"/>
          </w:rPr>
          <w:t>ly</w:t>
        </w:r>
        <w:r>
          <w:rPr>
            <w:color w:val="0000FF"/>
            <w:spacing w:val="40"/>
            <w:u w:val="single" w:color="0000FF"/>
          </w:rPr>
          <w:t> </w:t>
        </w:r>
        <w:r>
          <w:rPr>
            <w:color w:val="0000FF"/>
            <w:u w:val="single" w:color="0000FF"/>
          </w:rPr>
          <w:t>Report on Form 10-Q filed on May</w:t>
        </w:r>
        <w:r>
          <w:rPr>
            <w:color w:val="0000FF"/>
            <w:spacing w:val="40"/>
            <w:u w:val="single" w:color="0000FF"/>
          </w:rPr>
          <w:t> </w:t>
        </w:r>
        <w:r>
          <w:rPr>
            <w:color w:val="0000FF"/>
            <w:u w:val="single" w:color="0000FF"/>
          </w:rPr>
          <w:t>3, 2021).</w:t>
        </w:r>
      </w:hyperlink>
    </w:p>
    <w:p>
      <w:pPr>
        <w:pStyle w:val="BodyText"/>
        <w:tabs>
          <w:tab w:pos="1432" w:val="left" w:leader="none"/>
        </w:tabs>
        <w:spacing w:line="204" w:lineRule="auto" w:before="60"/>
        <w:ind w:left="1432" w:right="137" w:hanging="1271"/>
      </w:pPr>
      <w:r>
        <w:rPr>
          <w:spacing w:val="-2"/>
        </w:rPr>
        <w:t>*10.4(43)</w:t>
      </w:r>
      <w:r>
        <w:rPr/>
        <w:tab/>
      </w:r>
      <w:hyperlink r:id="rId91">
        <w:r>
          <w:rPr>
            <w:color w:val="0000FF"/>
            <w:position w:val="1"/>
            <w:u w:val="single" w:color="0000FF"/>
          </w:rPr>
          <w:t>Form</w:t>
        </w:r>
        <w:r>
          <w:rPr>
            <w:color w:val="0000FF"/>
            <w:spacing w:val="21"/>
            <w:position w:val="1"/>
            <w:u w:val="single" w:color="0000FF"/>
          </w:rPr>
          <w:t> </w:t>
        </w:r>
        <w:r>
          <w:rPr>
            <w:color w:val="0000FF"/>
            <w:position w:val="1"/>
            <w:u w:val="single" w:color="0000FF"/>
          </w:rPr>
          <w:t>of</w:t>
        </w:r>
        <w:r>
          <w:rPr>
            <w:color w:val="0000FF"/>
            <w:spacing w:val="24"/>
            <w:position w:val="1"/>
            <w:u w:val="single" w:color="0000FF"/>
          </w:rPr>
          <w:t> </w:t>
        </w:r>
        <w:r>
          <w:rPr>
            <w:color w:val="0000FF"/>
            <w:position w:val="1"/>
            <w:u w:val="single" w:color="0000FF"/>
          </w:rPr>
          <w:t>Relative</w:t>
        </w:r>
        <w:r>
          <w:rPr>
            <w:color w:val="0000FF"/>
            <w:spacing w:val="24"/>
            <w:position w:val="1"/>
            <w:u w:val="single" w:color="0000FF"/>
          </w:rPr>
          <w:t> </w:t>
        </w:r>
        <w:r>
          <w:rPr>
            <w:color w:val="0000FF"/>
            <w:position w:val="1"/>
            <w:u w:val="single" w:color="0000FF"/>
          </w:rPr>
          <w:t>Performance</w:t>
        </w:r>
        <w:r>
          <w:rPr>
            <w:color w:val="0000FF"/>
            <w:spacing w:val="24"/>
            <w:position w:val="1"/>
            <w:u w:val="single" w:color="0000FF"/>
          </w:rPr>
          <w:t> </w:t>
        </w:r>
        <w:r>
          <w:rPr>
            <w:color w:val="0000FF"/>
            <w:position w:val="1"/>
            <w:u w:val="single" w:color="0000FF"/>
          </w:rPr>
          <w:t>Share</w:t>
        </w:r>
        <w:r>
          <w:rPr>
            <w:color w:val="0000FF"/>
            <w:spacing w:val="24"/>
            <w:position w:val="1"/>
            <w:u w:val="single" w:color="0000FF"/>
          </w:rPr>
          <w:t> </w:t>
        </w:r>
        <w:r>
          <w:rPr>
            <w:color w:val="0000FF"/>
            <w:position w:val="1"/>
            <w:u w:val="single" w:color="0000FF"/>
          </w:rPr>
          <w:t>Unit</w:t>
        </w:r>
        <w:r>
          <w:rPr>
            <w:color w:val="0000FF"/>
            <w:spacing w:val="14"/>
            <w:position w:val="1"/>
            <w:u w:val="single" w:color="0000FF"/>
          </w:rPr>
          <w:t> </w:t>
        </w:r>
        <w:r>
          <w:rPr>
            <w:color w:val="0000FF"/>
            <w:position w:val="1"/>
            <w:u w:val="single" w:color="0000FF"/>
          </w:rPr>
          <w:t>Agreement</w:t>
        </w:r>
        <w:r>
          <w:rPr>
            <w:color w:val="0000FF"/>
            <w:spacing w:val="24"/>
            <w:position w:val="1"/>
            <w:u w:val="single" w:color="0000FF"/>
          </w:rPr>
          <w:t> </w:t>
        </w:r>
        <w:r>
          <w:rPr>
            <w:color w:val="0000FF"/>
            <w:position w:val="1"/>
            <w:u w:val="single" w:color="0000FF"/>
          </w:rPr>
          <w:t>(Annual</w:t>
        </w:r>
        <w:r>
          <w:rPr>
            <w:color w:val="0000FF"/>
            <w:spacing w:val="24"/>
            <w:position w:val="1"/>
            <w:u w:val="single" w:color="0000FF"/>
          </w:rPr>
          <w:t> </w:t>
        </w:r>
        <w:r>
          <w:rPr>
            <w:color w:val="0000FF"/>
            <w:position w:val="1"/>
            <w:u w:val="single" w:color="0000FF"/>
          </w:rPr>
          <w:t>Grant)</w:t>
        </w:r>
        <w:r>
          <w:rPr>
            <w:color w:val="0000FF"/>
            <w:spacing w:val="24"/>
            <w:position w:val="1"/>
            <w:u w:val="single" w:color="0000FF"/>
          </w:rPr>
          <w:t> </w:t>
        </w:r>
        <w:r>
          <w:rPr>
            <w:color w:val="0000FF"/>
            <w:position w:val="1"/>
            <w:u w:val="single" w:color="0000FF"/>
          </w:rPr>
          <w:t>(incorporated</w:t>
        </w:r>
        <w:r>
          <w:rPr>
            <w:color w:val="0000FF"/>
            <w:spacing w:val="24"/>
            <w:position w:val="1"/>
            <w:u w:val="single" w:color="0000FF"/>
          </w:rPr>
          <w:t> </w:t>
        </w:r>
        <w:r>
          <w:rPr>
            <w:color w:val="0000FF"/>
            <w:position w:val="1"/>
            <w:u w:val="single" w:color="0000FF"/>
          </w:rPr>
          <w:t>by</w:t>
        </w:r>
        <w:r>
          <w:rPr>
            <w:color w:val="0000FF"/>
            <w:spacing w:val="40"/>
            <w:position w:val="1"/>
            <w:u w:val="single" w:color="0000FF"/>
          </w:rPr>
          <w:t> </w:t>
        </w:r>
        <w:r>
          <w:rPr>
            <w:color w:val="0000FF"/>
            <w:position w:val="1"/>
            <w:u w:val="single" w:color="0000FF"/>
          </w:rPr>
          <w:t>reference</w:t>
        </w:r>
        <w:r>
          <w:rPr>
            <w:color w:val="0000FF"/>
            <w:spacing w:val="24"/>
            <w:position w:val="1"/>
            <w:u w:val="single" w:color="0000FF"/>
          </w:rPr>
          <w:t> </w:t>
        </w:r>
        <w:r>
          <w:rPr>
            <w:color w:val="0000FF"/>
            <w:position w:val="1"/>
            <w:u w:val="single" w:color="0000FF"/>
          </w:rPr>
          <w:t>to</w:t>
        </w:r>
        <w:r>
          <w:rPr>
            <w:color w:val="0000FF"/>
            <w:spacing w:val="24"/>
            <w:position w:val="1"/>
            <w:u w:val="single" w:color="0000FF"/>
          </w:rPr>
          <w:t> </w:t>
        </w:r>
        <w:r>
          <w:rPr>
            <w:color w:val="0000FF"/>
            <w:position w:val="1"/>
            <w:u w:val="single" w:color="0000FF"/>
          </w:rPr>
          <w:t>Exhibit</w:t>
        </w:r>
        <w:r>
          <w:rPr>
            <w:color w:val="0000FF"/>
            <w:spacing w:val="24"/>
            <w:position w:val="1"/>
            <w:u w:val="single" w:color="0000FF"/>
          </w:rPr>
          <w:t> </w:t>
        </w:r>
        <w:r>
          <w:rPr>
            <w:color w:val="0000FF"/>
            <w:position w:val="1"/>
            <w:u w:val="single" w:color="0000FF"/>
          </w:rPr>
          <w:t>10.5(44)</w:t>
        </w:r>
        <w:r>
          <w:rPr>
            <w:color w:val="0000FF"/>
            <w:spacing w:val="24"/>
            <w:position w:val="1"/>
            <w:u w:val="single" w:color="0000FF"/>
          </w:rPr>
          <w:t> </w:t>
        </w:r>
        <w:r>
          <w:rPr>
            <w:color w:val="0000FF"/>
            <w:position w:val="1"/>
            <w:u w:val="single" w:color="0000FF"/>
          </w:rPr>
          <w:t>of</w:t>
        </w:r>
        <w:r>
          <w:rPr>
            <w:color w:val="0000FF"/>
            <w:spacing w:val="24"/>
            <w:position w:val="1"/>
            <w:u w:val="single" w:color="0000FF"/>
          </w:rPr>
          <w:t> </w:t>
        </w:r>
        <w:r>
          <w:rPr>
            <w:color w:val="0000FF"/>
            <w:position w:val="1"/>
            <w:u w:val="single" w:color="0000FF"/>
          </w:rPr>
          <w:t>the</w:t>
        </w:r>
        <w:r>
          <w:rPr>
            <w:color w:val="0000FF"/>
            <w:spacing w:val="24"/>
            <w:position w:val="1"/>
            <w:u w:val="single" w:color="0000FF"/>
          </w:rPr>
          <w:t> </w:t>
        </w:r>
        <w:r>
          <w:rPr>
            <w:color w:val="0000FF"/>
            <w:position w:val="1"/>
            <w:u w:val="single" w:color="0000FF"/>
          </w:rPr>
          <w:t>Company</w:t>
        </w:r>
        <w:r>
          <w:rPr>
            <w:color w:val="0000FF"/>
            <w:spacing w:val="-15"/>
            <w:position w:val="1"/>
            <w:u w:val="single" w:color="0000FF"/>
          </w:rPr>
          <w:t> </w:t>
        </w:r>
        <w:r>
          <w:rPr>
            <w:color w:val="0000FF"/>
            <w:position w:val="1"/>
            <w:u w:val="single" w:color="0000FF"/>
          </w:rPr>
          <w:t>’s</w:t>
        </w:r>
      </w:hyperlink>
      <w:r>
        <w:rPr>
          <w:color w:val="0000FF"/>
          <w:position w:val="1"/>
        </w:rPr>
        <w:t> </w:t>
      </w:r>
      <w:hyperlink r:id="rId91">
        <w:r>
          <w:rPr>
            <w:color w:val="0000FF"/>
            <w:u w:val="single" w:color="0000FF"/>
          </w:rPr>
          <w:t>Annual Report on Form 10-K filed on February</w:t>
        </w:r>
        <w:r>
          <w:rPr>
            <w:color w:val="0000FF"/>
            <w:spacing w:val="40"/>
            <w:u w:val="single" w:color="0000FF"/>
          </w:rPr>
          <w:t> </w:t>
        </w:r>
        <w:r>
          <w:rPr>
            <w:color w:val="0000FF"/>
            <w:u w:val="single" w:color="0000FF"/>
          </w:rPr>
          <w:t>25, 2022).</w:t>
        </w:r>
      </w:hyperlink>
    </w:p>
    <w:p>
      <w:pPr>
        <w:pStyle w:val="BodyText"/>
        <w:tabs>
          <w:tab w:pos="1432" w:val="left" w:leader="none"/>
        </w:tabs>
        <w:spacing w:line="187" w:lineRule="auto" w:before="69"/>
        <w:ind w:left="1432" w:right="137" w:hanging="1271"/>
      </w:pPr>
      <w:r>
        <w:rPr>
          <w:spacing w:val="-2"/>
        </w:rPr>
        <w:t>*10.4(44)</w:t>
      </w:r>
      <w:r>
        <w:rPr/>
        <w:tab/>
      </w:r>
      <w:hyperlink r:id="rId92">
        <w:r>
          <w:rPr>
            <w:color w:val="0000FF"/>
            <w:position w:val="1"/>
            <w:u w:val="single" w:color="0000FF"/>
          </w:rPr>
          <w:t>Form of Relative Performance Share Unit</w:t>
        </w:r>
        <w:r>
          <w:rPr>
            <w:color w:val="0000FF"/>
            <w:spacing w:val="-8"/>
            <w:position w:val="1"/>
            <w:u w:val="single" w:color="0000FF"/>
          </w:rPr>
          <w:t> </w:t>
        </w:r>
        <w:r>
          <w:rPr>
            <w:color w:val="0000FF"/>
            <w:position w:val="1"/>
            <w:u w:val="single" w:color="0000FF"/>
          </w:rPr>
          <w:t>Agreement (Annual Grant, Messrs. Hornbuckle, Sanders &amp; McManus) (incorporated by</w:t>
        </w:r>
        <w:r>
          <w:rPr>
            <w:color w:val="0000FF"/>
            <w:spacing w:val="29"/>
            <w:position w:val="1"/>
            <w:u w:val="single" w:color="0000FF"/>
          </w:rPr>
          <w:t> </w:t>
        </w:r>
        <w:r>
          <w:rPr>
            <w:color w:val="0000FF"/>
            <w:position w:val="1"/>
            <w:u w:val="single" w:color="0000FF"/>
          </w:rPr>
          <w:t>reference</w:t>
        </w:r>
      </w:hyperlink>
      <w:r>
        <w:rPr>
          <w:color w:val="0000FF"/>
          <w:position w:val="1"/>
        </w:rPr>
        <w:t> </w:t>
      </w:r>
      <w:hyperlink r:id="rId92">
        <w:r>
          <w:rPr>
            <w:color w:val="0000FF"/>
            <w:u w:val="single" w:color="0000FF"/>
          </w:rPr>
          <w:t>to Exhibit 10.5(45) of the Company</w:t>
        </w:r>
        <w:r>
          <w:rPr>
            <w:color w:val="0000FF"/>
            <w:spacing w:val="-12"/>
            <w:u w:val="single" w:color="0000FF"/>
          </w:rPr>
          <w:t> </w:t>
        </w:r>
        <w:r>
          <w:rPr>
            <w:color w:val="0000FF"/>
            <w:u w:val="single" w:color="0000FF"/>
          </w:rPr>
          <w:t>’s</w:t>
        </w:r>
        <w:r>
          <w:rPr>
            <w:color w:val="0000FF"/>
            <w:spacing w:val="-6"/>
            <w:u w:val="single" w:color="0000FF"/>
          </w:rPr>
          <w:t> </w:t>
        </w:r>
        <w:r>
          <w:rPr>
            <w:color w:val="0000FF"/>
            <w:u w:val="single" w:color="0000FF"/>
          </w:rPr>
          <w:t>Annual Report on From 10-K filed on February</w:t>
        </w:r>
        <w:r>
          <w:rPr>
            <w:color w:val="0000FF"/>
            <w:spacing w:val="39"/>
            <w:u w:val="single" w:color="0000FF"/>
          </w:rPr>
          <w:t> </w:t>
        </w:r>
        <w:r>
          <w:rPr>
            <w:color w:val="0000FF"/>
            <w:u w:val="single" w:color="0000FF"/>
          </w:rPr>
          <w:t>25, 2022).</w:t>
        </w:r>
      </w:hyperlink>
    </w:p>
    <w:p>
      <w:pPr>
        <w:pStyle w:val="ListParagraph"/>
        <w:numPr>
          <w:ilvl w:val="0"/>
          <w:numId w:val="20"/>
        </w:numPr>
        <w:tabs>
          <w:tab w:pos="1432" w:val="left" w:leader="none"/>
        </w:tabs>
        <w:spacing w:line="240" w:lineRule="auto" w:before="48" w:after="0"/>
        <w:ind w:left="1432" w:right="0" w:hanging="1270"/>
        <w:jc w:val="left"/>
        <w:rPr>
          <w:sz w:val="18"/>
        </w:rPr>
      </w:pPr>
      <w:r>
        <w:rPr/>
        <mc:AlternateContent>
          <mc:Choice Requires="wps">
            <w:drawing>
              <wp:anchor distT="0" distB="0" distL="0" distR="0" allowOverlap="1" layoutInCell="1" locked="0" behindDoc="0" simplePos="0" relativeHeight="15896576">
                <wp:simplePos x="0" y="0"/>
                <wp:positionH relativeFrom="page">
                  <wp:posOffset>2664891</wp:posOffset>
                </wp:positionH>
                <wp:positionV relativeFrom="paragraph">
                  <wp:posOffset>152548</wp:posOffset>
                </wp:positionV>
                <wp:extent cx="40640" cy="8890"/>
                <wp:effectExtent l="0" t="0" r="0" b="0"/>
                <wp:wrapNone/>
                <wp:docPr id="769" name="Graphic 769"/>
                <wp:cNvGraphicFramePr>
                  <a:graphicFrameLocks/>
                </wp:cNvGraphicFramePr>
                <a:graphic>
                  <a:graphicData uri="http://schemas.microsoft.com/office/word/2010/wordprocessingShape">
                    <wps:wsp>
                      <wps:cNvPr id="769" name="Graphic 769"/>
                      <wps:cNvSpPr/>
                      <wps:spPr>
                        <a:xfrm>
                          <a:off x="0" y="0"/>
                          <a:ext cx="40640" cy="8890"/>
                        </a:xfrm>
                        <a:custGeom>
                          <a:avLst/>
                          <a:gdLst/>
                          <a:ahLst/>
                          <a:cxnLst/>
                          <a:rect l="l" t="t" r="r" b="b"/>
                          <a:pathLst>
                            <a:path w="40640" h="8890">
                              <a:moveTo>
                                <a:pt x="40259" y="0"/>
                              </a:moveTo>
                              <a:lnTo>
                                <a:pt x="0" y="0"/>
                              </a:lnTo>
                              <a:lnTo>
                                <a:pt x="0" y="8572"/>
                              </a:lnTo>
                              <a:lnTo>
                                <a:pt x="40259" y="8572"/>
                              </a:lnTo>
                              <a:lnTo>
                                <a:pt x="4025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9.834015pt;margin-top:12.011719pt;width:3.17pt;height:.675pt;mso-position-horizontal-relative:page;mso-position-vertical-relative:paragraph;z-index:15896576" id="docshape767" filled="true" fillcolor="#0000ff" stroked="false">
                <v:fill type="solid"/>
                <w10:wrap type="none"/>
              </v:rect>
            </w:pict>
          </mc:Fallback>
        </mc:AlternateContent>
      </w:r>
      <w:hyperlink w:history="true" w:anchor="_bookmark40">
        <w:r>
          <w:rPr>
            <w:color w:val="0000FF"/>
            <w:sz w:val="18"/>
            <w:u w:val="single" w:color="0000FF"/>
          </w:rPr>
          <w:t>List</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subsidiaries</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the</w:t>
        </w:r>
        <w:r>
          <w:rPr>
            <w:color w:val="0000FF"/>
            <w:spacing w:val="-1"/>
            <w:sz w:val="18"/>
            <w:u w:val="single" w:color="0000FF"/>
          </w:rPr>
          <w:t> </w:t>
        </w:r>
        <w:r>
          <w:rPr>
            <w:color w:val="0000FF"/>
            <w:spacing w:val="-2"/>
            <w:sz w:val="18"/>
            <w:u w:val="single" w:color="0000FF"/>
          </w:rPr>
          <w:t>Company</w:t>
        </w:r>
        <w:r>
          <w:rPr>
            <w:color w:val="0000FF"/>
            <w:spacing w:val="-2"/>
            <w:sz w:val="18"/>
          </w:rPr>
          <w:t>.</w:t>
        </w:r>
      </w:hyperlink>
    </w:p>
    <w:p>
      <w:pPr>
        <w:pStyle w:val="ListParagraph"/>
        <w:numPr>
          <w:ilvl w:val="0"/>
          <w:numId w:val="20"/>
        </w:numPr>
        <w:tabs>
          <w:tab w:pos="1432" w:val="left" w:leader="none"/>
        </w:tabs>
        <w:spacing w:line="240" w:lineRule="auto" w:before="53" w:after="0"/>
        <w:ind w:left="1432" w:right="0" w:hanging="1270"/>
        <w:jc w:val="left"/>
        <w:rPr>
          <w:sz w:val="18"/>
        </w:rPr>
      </w:pPr>
      <w:hyperlink w:history="true" w:anchor="_bookmark41">
        <w:r>
          <w:rPr>
            <w:color w:val="0000FF"/>
            <w:spacing w:val="-2"/>
            <w:sz w:val="18"/>
            <w:u w:val="single" w:color="0000FF"/>
          </w:rPr>
          <w:t>Subsidiary</w:t>
        </w:r>
        <w:r>
          <w:rPr>
            <w:color w:val="0000FF"/>
            <w:spacing w:val="19"/>
            <w:sz w:val="18"/>
            <w:u w:val="single" w:color="0000FF"/>
          </w:rPr>
          <w:t> </w:t>
        </w:r>
        <w:r>
          <w:rPr>
            <w:color w:val="0000FF"/>
            <w:spacing w:val="-2"/>
            <w:sz w:val="18"/>
            <w:u w:val="single" w:color="0000FF"/>
          </w:rPr>
          <w:t>Guarantors.</w:t>
        </w:r>
      </w:hyperlink>
    </w:p>
    <w:p>
      <w:pPr>
        <w:pStyle w:val="ListParagraph"/>
        <w:numPr>
          <w:ilvl w:val="1"/>
          <w:numId w:val="21"/>
        </w:numPr>
        <w:tabs>
          <w:tab w:pos="1432" w:val="left" w:leader="none"/>
        </w:tabs>
        <w:spacing w:line="240" w:lineRule="auto" w:before="40" w:after="0"/>
        <w:ind w:left="1432" w:right="0" w:hanging="1270"/>
        <w:jc w:val="left"/>
        <w:rPr>
          <w:sz w:val="18"/>
        </w:rPr>
      </w:pPr>
      <w:hyperlink w:history="true" w:anchor="_bookmark42">
        <w:r>
          <w:rPr>
            <w:color w:val="0000FF"/>
            <w:sz w:val="18"/>
            <w:u w:val="single" w:color="0000FF"/>
          </w:rPr>
          <w:t>Consent</w:t>
        </w:r>
        <w:r>
          <w:rPr>
            <w:color w:val="0000FF"/>
            <w:spacing w:val="-4"/>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Deloitte</w:t>
        </w:r>
        <w:r>
          <w:rPr>
            <w:color w:val="0000FF"/>
            <w:spacing w:val="-3"/>
            <w:sz w:val="18"/>
            <w:u w:val="single" w:color="0000FF"/>
          </w:rPr>
          <w:t> </w:t>
        </w:r>
        <w:r>
          <w:rPr>
            <w:color w:val="0000FF"/>
            <w:sz w:val="18"/>
            <w:u w:val="single" w:color="0000FF"/>
          </w:rPr>
          <w:t>&amp;</w:t>
        </w:r>
        <w:r>
          <w:rPr>
            <w:color w:val="0000FF"/>
            <w:spacing w:val="-7"/>
            <w:sz w:val="18"/>
            <w:u w:val="single" w:color="0000FF"/>
          </w:rPr>
          <w:t> </w:t>
        </w:r>
        <w:r>
          <w:rPr>
            <w:color w:val="0000FF"/>
            <w:sz w:val="18"/>
            <w:u w:val="single" w:color="0000FF"/>
          </w:rPr>
          <w:t>Touche</w:t>
        </w:r>
        <w:r>
          <w:rPr>
            <w:color w:val="0000FF"/>
            <w:spacing w:val="-3"/>
            <w:sz w:val="18"/>
            <w:u w:val="single" w:color="0000FF"/>
          </w:rPr>
          <w:t> </w:t>
        </w:r>
        <w:r>
          <w:rPr>
            <w:color w:val="0000FF"/>
            <w:spacing w:val="-4"/>
            <w:sz w:val="18"/>
            <w:u w:val="single" w:color="0000FF"/>
          </w:rPr>
          <w:t>LLP.</w:t>
        </w:r>
      </w:hyperlink>
    </w:p>
    <w:p>
      <w:pPr>
        <w:pStyle w:val="BodyText"/>
      </w:pPr>
    </w:p>
    <w:p>
      <w:pPr>
        <w:pStyle w:val="BodyText"/>
      </w:pPr>
    </w:p>
    <w:p>
      <w:pPr>
        <w:pStyle w:val="BodyText"/>
        <w:spacing w:before="76"/>
      </w:pPr>
    </w:p>
    <w:p>
      <w:pPr>
        <w:pStyle w:val="BodyText"/>
        <w:ind w:left="24"/>
        <w:jc w:val="center"/>
      </w:pPr>
      <w:r>
        <w:rPr>
          <w:spacing w:val="-5"/>
        </w:rPr>
        <w:t>107</w:t>
      </w:r>
    </w:p>
    <w:p>
      <w:pPr>
        <w:pStyle w:val="BodyText"/>
        <w:spacing w:before="3"/>
        <w:rPr>
          <w:sz w:val="6"/>
        </w:rPr>
      </w:pPr>
      <w:r>
        <w:rPr/>
        <mc:AlternateContent>
          <mc:Choice Requires="wps">
            <w:drawing>
              <wp:anchor distT="0" distB="0" distL="0" distR="0" allowOverlap="1" layoutInCell="1" locked="0" behindDoc="1" simplePos="0" relativeHeight="487754240">
                <wp:simplePos x="0" y="0"/>
                <wp:positionH relativeFrom="page">
                  <wp:posOffset>231457</wp:posOffset>
                </wp:positionH>
                <wp:positionV relativeFrom="paragraph">
                  <wp:posOffset>60956</wp:posOffset>
                </wp:positionV>
                <wp:extent cx="7312659" cy="17145"/>
                <wp:effectExtent l="0" t="0" r="0" b="0"/>
                <wp:wrapTopAndBottom/>
                <wp:docPr id="770" name="Group 770"/>
                <wp:cNvGraphicFramePr>
                  <a:graphicFrameLocks/>
                </wp:cNvGraphicFramePr>
                <a:graphic>
                  <a:graphicData uri="http://schemas.microsoft.com/office/word/2010/wordprocessingGroup">
                    <wpg:wgp>
                      <wpg:cNvPr id="770" name="Group 770"/>
                      <wpg:cNvGrpSpPr/>
                      <wpg:grpSpPr>
                        <a:xfrm>
                          <a:off x="0" y="0"/>
                          <a:ext cx="7312659" cy="17145"/>
                          <a:chExt cx="7312659" cy="17145"/>
                        </a:xfrm>
                      </wpg:grpSpPr>
                      <wps:wsp>
                        <wps:cNvPr id="771" name="Graphic 77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72" name="Graphic 772"/>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73" name="Graphic 77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62240;mso-wrap-distance-left:0;mso-wrap-distance-right:0" id="docshapegroup768" coordorigin="364,96" coordsize="11516,27">
                <v:rect style="position:absolute;left:364;top:96;width:11516;height:14" id="docshape769" filled="true" fillcolor="#999999" stroked="false">
                  <v:fill type="solid"/>
                </v:rect>
                <v:shape style="position:absolute;left:364;top:95;width:11516;height:27" id="docshape770" coordorigin="364,96" coordsize="11516,27" path="m11880,96l11866,109,364,109,364,123,11866,123,11880,123,11880,109,11880,96xe" filled="true" fillcolor="#ededed" stroked="false">
                  <v:path arrowok="t"/>
                  <v:fill type="solid"/>
                </v:shape>
                <v:shape style="position:absolute;left:364;top:96;width:14;height:27" id="docshape77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20" w:bottom="280" w:left="220" w:right="240"/>
        </w:sectPr>
      </w:pPr>
    </w:p>
    <w:p>
      <w:pPr>
        <w:pStyle w:val="ListParagraph"/>
        <w:numPr>
          <w:ilvl w:val="1"/>
          <w:numId w:val="22"/>
        </w:numPr>
        <w:tabs>
          <w:tab w:pos="1433" w:val="left" w:leader="none"/>
        </w:tabs>
        <w:spacing w:line="267" w:lineRule="exact" w:before="61" w:after="0"/>
        <w:ind w:left="1433" w:right="0" w:hanging="1271"/>
        <w:jc w:val="left"/>
        <w:rPr>
          <w:sz w:val="18"/>
        </w:rPr>
      </w:pPr>
      <w:hyperlink w:history="true" w:anchor="_bookmark43">
        <w:r>
          <w:rPr>
            <w:color w:val="0000FF"/>
            <w:sz w:val="18"/>
            <w:u w:val="single" w:color="0000FF"/>
          </w:rPr>
          <w:t>Certification</w:t>
        </w:r>
        <w:r>
          <w:rPr>
            <w:color w:val="0000FF"/>
            <w:spacing w:val="-4"/>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Chief</w:t>
        </w:r>
        <w:r>
          <w:rPr>
            <w:color w:val="0000FF"/>
            <w:spacing w:val="-1"/>
            <w:sz w:val="18"/>
            <w:u w:val="single" w:color="0000FF"/>
          </w:rPr>
          <w:t> </w:t>
        </w:r>
        <w:r>
          <w:rPr>
            <w:color w:val="0000FF"/>
            <w:sz w:val="18"/>
            <w:u w:val="single" w:color="0000FF"/>
          </w:rPr>
          <w:t>Executive</w:t>
        </w:r>
        <w:r>
          <w:rPr>
            <w:color w:val="0000FF"/>
            <w:spacing w:val="-2"/>
            <w:sz w:val="18"/>
            <w:u w:val="single" w:color="0000FF"/>
          </w:rPr>
          <w:t> </w:t>
        </w:r>
        <w:r>
          <w:rPr>
            <w:color w:val="0000FF"/>
            <w:sz w:val="18"/>
            <w:u w:val="single" w:color="0000FF"/>
          </w:rPr>
          <w:t>Officer</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Periodic</w:t>
        </w:r>
        <w:r>
          <w:rPr>
            <w:color w:val="0000FF"/>
            <w:spacing w:val="-1"/>
            <w:sz w:val="18"/>
            <w:u w:val="single" w:color="0000FF"/>
          </w:rPr>
          <w:t> </w:t>
        </w:r>
        <w:r>
          <w:rPr>
            <w:color w:val="0000FF"/>
            <w:sz w:val="18"/>
            <w:u w:val="single" w:color="0000FF"/>
          </w:rPr>
          <w:t>Report</w:t>
        </w:r>
        <w:r>
          <w:rPr>
            <w:color w:val="0000FF"/>
            <w:spacing w:val="-2"/>
            <w:sz w:val="18"/>
            <w:u w:val="single" w:color="0000FF"/>
          </w:rPr>
          <w:t> </w:t>
        </w:r>
        <w:r>
          <w:rPr>
            <w:color w:val="0000FF"/>
            <w:sz w:val="18"/>
            <w:u w:val="single" w:color="0000FF"/>
          </w:rPr>
          <w:t>Pursuant</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Rule</w:t>
        </w:r>
        <w:r>
          <w:rPr>
            <w:color w:val="0000FF"/>
            <w:spacing w:val="-2"/>
            <w:sz w:val="18"/>
            <w:u w:val="single" w:color="0000FF"/>
          </w:rPr>
          <w:t> </w:t>
        </w:r>
        <w:r>
          <w:rPr>
            <w:color w:val="0000FF"/>
            <w:sz w:val="18"/>
            <w:u w:val="single" w:color="0000FF"/>
          </w:rPr>
          <w:t>13a-14(a)</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Rule</w:t>
        </w:r>
        <w:r>
          <w:rPr>
            <w:color w:val="0000FF"/>
            <w:spacing w:val="-1"/>
            <w:sz w:val="18"/>
            <w:u w:val="single" w:color="0000FF"/>
          </w:rPr>
          <w:t> </w:t>
        </w:r>
        <w:r>
          <w:rPr>
            <w:color w:val="0000FF"/>
            <w:spacing w:val="-2"/>
            <w:sz w:val="18"/>
            <w:u w:val="single" w:color="0000FF"/>
          </w:rPr>
          <w:t>15d</w:t>
        </w:r>
        <w:r>
          <w:rPr>
            <w:rFonts w:ascii="Lucida Sans Unicode" w:hAnsi="Lucida Sans Unicode"/>
            <w:color w:val="0000FF"/>
            <w:spacing w:val="-2"/>
            <w:sz w:val="18"/>
            <w:u w:val="single" w:color="0000FF"/>
          </w:rPr>
          <w:t>‑</w:t>
        </w:r>
        <w:r>
          <w:rPr>
            <w:color w:val="0000FF"/>
            <w:spacing w:val="-2"/>
            <w:sz w:val="18"/>
            <w:u w:val="single" w:color="0000FF"/>
          </w:rPr>
          <w:t>14(a).</w:t>
        </w:r>
      </w:hyperlink>
    </w:p>
    <w:p>
      <w:pPr>
        <w:pStyle w:val="ListParagraph"/>
        <w:numPr>
          <w:ilvl w:val="1"/>
          <w:numId w:val="22"/>
        </w:numPr>
        <w:tabs>
          <w:tab w:pos="1433" w:val="left" w:leader="none"/>
        </w:tabs>
        <w:spacing w:line="266" w:lineRule="exact" w:before="0" w:after="0"/>
        <w:ind w:left="1433" w:right="0" w:hanging="1271"/>
        <w:jc w:val="left"/>
        <w:rPr>
          <w:sz w:val="18"/>
        </w:rPr>
      </w:pPr>
      <w:hyperlink w:history="true" w:anchor="_bookmark44">
        <w:r>
          <w:rPr>
            <w:color w:val="0000FF"/>
            <w:sz w:val="18"/>
            <w:u w:val="single" w:color="0000FF"/>
          </w:rPr>
          <w:t>Certification</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Chief</w:t>
        </w:r>
        <w:r>
          <w:rPr>
            <w:color w:val="0000FF"/>
            <w:spacing w:val="-1"/>
            <w:sz w:val="18"/>
            <w:u w:val="single" w:color="0000FF"/>
          </w:rPr>
          <w:t> </w:t>
        </w:r>
        <w:r>
          <w:rPr>
            <w:color w:val="0000FF"/>
            <w:sz w:val="18"/>
            <w:u w:val="single" w:color="0000FF"/>
          </w:rPr>
          <w:t>Financial</w:t>
        </w:r>
        <w:r>
          <w:rPr>
            <w:color w:val="0000FF"/>
            <w:spacing w:val="-2"/>
            <w:sz w:val="18"/>
            <w:u w:val="single" w:color="0000FF"/>
          </w:rPr>
          <w:t> </w:t>
        </w:r>
        <w:r>
          <w:rPr>
            <w:color w:val="0000FF"/>
            <w:sz w:val="18"/>
            <w:u w:val="single" w:color="0000FF"/>
          </w:rPr>
          <w:t>Officer</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Periodic</w:t>
        </w:r>
        <w:r>
          <w:rPr>
            <w:color w:val="0000FF"/>
            <w:spacing w:val="-1"/>
            <w:sz w:val="18"/>
            <w:u w:val="single" w:color="0000FF"/>
          </w:rPr>
          <w:t> </w:t>
        </w:r>
        <w:r>
          <w:rPr>
            <w:color w:val="0000FF"/>
            <w:sz w:val="18"/>
            <w:u w:val="single" w:color="0000FF"/>
          </w:rPr>
          <w:t>Report</w:t>
        </w:r>
        <w:r>
          <w:rPr>
            <w:color w:val="0000FF"/>
            <w:spacing w:val="-2"/>
            <w:sz w:val="18"/>
            <w:u w:val="single" w:color="0000FF"/>
          </w:rPr>
          <w:t> </w:t>
        </w:r>
        <w:r>
          <w:rPr>
            <w:color w:val="0000FF"/>
            <w:sz w:val="18"/>
            <w:u w:val="single" w:color="0000FF"/>
          </w:rPr>
          <w:t>Pursuant</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Rule</w:t>
        </w:r>
        <w:r>
          <w:rPr>
            <w:color w:val="0000FF"/>
            <w:spacing w:val="-2"/>
            <w:sz w:val="18"/>
            <w:u w:val="single" w:color="0000FF"/>
          </w:rPr>
          <w:t> </w:t>
        </w:r>
        <w:r>
          <w:rPr>
            <w:color w:val="0000FF"/>
            <w:sz w:val="18"/>
            <w:u w:val="single" w:color="0000FF"/>
          </w:rPr>
          <w:t>13a-14(a)</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Rule</w:t>
        </w:r>
        <w:r>
          <w:rPr>
            <w:color w:val="0000FF"/>
            <w:spacing w:val="-1"/>
            <w:sz w:val="18"/>
            <w:u w:val="single" w:color="0000FF"/>
          </w:rPr>
          <w:t> </w:t>
        </w:r>
        <w:r>
          <w:rPr>
            <w:color w:val="0000FF"/>
            <w:spacing w:val="-2"/>
            <w:sz w:val="18"/>
            <w:u w:val="single" w:color="0000FF"/>
          </w:rPr>
          <w:t>15d</w:t>
        </w:r>
        <w:r>
          <w:rPr>
            <w:rFonts w:ascii="Lucida Sans Unicode" w:hAnsi="Lucida Sans Unicode"/>
            <w:color w:val="0000FF"/>
            <w:spacing w:val="-2"/>
            <w:sz w:val="18"/>
            <w:u w:val="single" w:color="0000FF"/>
          </w:rPr>
          <w:t>‑</w:t>
        </w:r>
        <w:r>
          <w:rPr>
            <w:color w:val="0000FF"/>
            <w:spacing w:val="-2"/>
            <w:sz w:val="18"/>
            <w:u w:val="single" w:color="0000FF"/>
          </w:rPr>
          <w:t>14(a).</w:t>
        </w:r>
      </w:hyperlink>
    </w:p>
    <w:p>
      <w:pPr>
        <w:pStyle w:val="BodyText"/>
        <w:tabs>
          <w:tab w:pos="1433" w:val="left" w:leader="none"/>
        </w:tabs>
        <w:spacing w:line="217" w:lineRule="exact"/>
        <w:ind w:left="162"/>
      </w:pPr>
      <w:r>
        <w:rPr>
          <w:spacing w:val="-2"/>
          <w:position w:val="1"/>
        </w:rPr>
        <w:t>**32.1</w:t>
      </w:r>
      <w:r>
        <w:rPr>
          <w:position w:val="1"/>
        </w:rPr>
        <w:tab/>
      </w:r>
      <w:hyperlink w:history="true" w:anchor="_bookmark45">
        <w:r>
          <w:rPr>
            <w:color w:val="0000FF"/>
            <w:u w:val="single" w:color="0000FF"/>
          </w:rPr>
          <w:t>Certification</w:t>
        </w:r>
        <w:r>
          <w:rPr>
            <w:color w:val="0000FF"/>
            <w:spacing w:val="-2"/>
            <w:u w:val="single" w:color="0000FF"/>
          </w:rPr>
          <w:t> </w:t>
        </w:r>
        <w:r>
          <w:rPr>
            <w:color w:val="0000FF"/>
            <w:u w:val="single" w:color="0000FF"/>
          </w:rPr>
          <w:t>of</w:t>
        </w:r>
        <w:r>
          <w:rPr>
            <w:color w:val="0000FF"/>
            <w:spacing w:val="-1"/>
            <w:u w:val="single" w:color="0000FF"/>
          </w:rPr>
          <w:t> </w:t>
        </w:r>
        <w:r>
          <w:rPr>
            <w:color w:val="0000FF"/>
            <w:u w:val="single" w:color="0000FF"/>
          </w:rPr>
          <w:t>Chief</w:t>
        </w:r>
        <w:r>
          <w:rPr>
            <w:color w:val="0000FF"/>
            <w:spacing w:val="-2"/>
            <w:u w:val="single" w:color="0000FF"/>
          </w:rPr>
          <w:t> </w:t>
        </w:r>
        <w:r>
          <w:rPr>
            <w:color w:val="0000FF"/>
            <w:u w:val="single" w:color="0000FF"/>
          </w:rPr>
          <w:t>Executive</w:t>
        </w:r>
        <w:r>
          <w:rPr>
            <w:color w:val="0000FF"/>
            <w:spacing w:val="-1"/>
            <w:u w:val="single" w:color="0000FF"/>
          </w:rPr>
          <w:t> </w:t>
        </w:r>
        <w:r>
          <w:rPr>
            <w:color w:val="0000FF"/>
            <w:u w:val="single" w:color="0000FF"/>
          </w:rPr>
          <w:t>Officer</w:t>
        </w:r>
        <w:r>
          <w:rPr>
            <w:color w:val="0000FF"/>
            <w:spacing w:val="-1"/>
            <w:u w:val="single" w:color="0000FF"/>
          </w:rPr>
          <w:t> </w:t>
        </w:r>
        <w:r>
          <w:rPr>
            <w:color w:val="0000FF"/>
            <w:u w:val="single" w:color="0000FF"/>
          </w:rPr>
          <w:t>Pursuant</w:t>
        </w:r>
        <w:r>
          <w:rPr>
            <w:color w:val="0000FF"/>
            <w:spacing w:val="-2"/>
            <w:u w:val="single" w:color="0000FF"/>
          </w:rPr>
          <w:t> </w:t>
        </w:r>
        <w:r>
          <w:rPr>
            <w:color w:val="0000FF"/>
            <w:u w:val="single" w:color="0000FF"/>
          </w:rPr>
          <w:t>to</w:t>
        </w:r>
        <w:r>
          <w:rPr>
            <w:color w:val="0000FF"/>
            <w:spacing w:val="-1"/>
            <w:u w:val="single" w:color="0000FF"/>
          </w:rPr>
          <w:t> </w:t>
        </w:r>
        <w:r>
          <w:rPr>
            <w:color w:val="0000FF"/>
            <w:u w:val="single" w:color="0000FF"/>
          </w:rPr>
          <w:t>18</w:t>
        </w:r>
        <w:r>
          <w:rPr>
            <w:color w:val="0000FF"/>
            <w:spacing w:val="-2"/>
            <w:u w:val="single" w:color="0000FF"/>
          </w:rPr>
          <w:t> </w:t>
        </w:r>
        <w:r>
          <w:rPr>
            <w:color w:val="0000FF"/>
            <w:u w:val="single" w:color="0000FF"/>
          </w:rPr>
          <w:t>U.S.C.</w:t>
        </w:r>
        <w:r>
          <w:rPr>
            <w:color w:val="0000FF"/>
            <w:spacing w:val="-1"/>
            <w:u w:val="single" w:color="0000FF"/>
          </w:rPr>
          <w:t> </w:t>
        </w:r>
        <w:r>
          <w:rPr>
            <w:color w:val="0000FF"/>
            <w:u w:val="single" w:color="0000FF"/>
          </w:rPr>
          <w:t>Section</w:t>
        </w:r>
        <w:r>
          <w:rPr>
            <w:color w:val="0000FF"/>
            <w:spacing w:val="-1"/>
            <w:u w:val="single" w:color="0000FF"/>
          </w:rPr>
          <w:t> </w:t>
        </w:r>
        <w:r>
          <w:rPr>
            <w:color w:val="0000FF"/>
            <w:spacing w:val="-2"/>
            <w:u w:val="single" w:color="0000FF"/>
          </w:rPr>
          <w:t>1350.</w:t>
        </w:r>
      </w:hyperlink>
    </w:p>
    <w:p>
      <w:pPr>
        <w:pStyle w:val="BodyText"/>
        <w:tabs>
          <w:tab w:pos="1433" w:val="left" w:leader="none"/>
        </w:tabs>
        <w:spacing w:before="49"/>
        <w:ind w:left="162"/>
      </w:pPr>
      <w:r>
        <w:rPr>
          <w:spacing w:val="-2"/>
        </w:rPr>
        <w:t>**32.2</w:t>
      </w:r>
      <w:r>
        <w:rPr/>
        <w:tab/>
      </w:r>
      <w:hyperlink w:history="true" w:anchor="_bookmark46">
        <w:r>
          <w:rPr>
            <w:color w:val="0000FF"/>
            <w:u w:val="single" w:color="0000FF"/>
          </w:rPr>
          <w:t>Certification</w:t>
        </w:r>
        <w:r>
          <w:rPr>
            <w:color w:val="0000FF"/>
            <w:spacing w:val="-2"/>
            <w:u w:val="single" w:color="0000FF"/>
          </w:rPr>
          <w:t> </w:t>
        </w:r>
        <w:r>
          <w:rPr>
            <w:color w:val="0000FF"/>
            <w:u w:val="single" w:color="0000FF"/>
          </w:rPr>
          <w:t>of</w:t>
        </w:r>
        <w:r>
          <w:rPr>
            <w:color w:val="0000FF"/>
            <w:spacing w:val="-1"/>
            <w:u w:val="single" w:color="0000FF"/>
          </w:rPr>
          <w:t> </w:t>
        </w:r>
        <w:r>
          <w:rPr>
            <w:color w:val="0000FF"/>
            <w:u w:val="single" w:color="0000FF"/>
          </w:rPr>
          <w:t>Chief</w:t>
        </w:r>
        <w:r>
          <w:rPr>
            <w:color w:val="0000FF"/>
            <w:spacing w:val="-2"/>
            <w:u w:val="single" w:color="0000FF"/>
          </w:rPr>
          <w:t> </w:t>
        </w:r>
        <w:r>
          <w:rPr>
            <w:color w:val="0000FF"/>
            <w:u w:val="single" w:color="0000FF"/>
          </w:rPr>
          <w:t>Financial</w:t>
        </w:r>
        <w:r>
          <w:rPr>
            <w:color w:val="0000FF"/>
            <w:spacing w:val="-1"/>
            <w:u w:val="single" w:color="0000FF"/>
          </w:rPr>
          <w:t> </w:t>
        </w:r>
        <w:r>
          <w:rPr>
            <w:color w:val="0000FF"/>
            <w:u w:val="single" w:color="0000FF"/>
          </w:rPr>
          <w:t>Officer</w:t>
        </w:r>
        <w:r>
          <w:rPr>
            <w:color w:val="0000FF"/>
            <w:spacing w:val="-1"/>
            <w:u w:val="single" w:color="0000FF"/>
          </w:rPr>
          <w:t> </w:t>
        </w:r>
        <w:r>
          <w:rPr>
            <w:color w:val="0000FF"/>
            <w:u w:val="single" w:color="0000FF"/>
          </w:rPr>
          <w:t>Pursuant</w:t>
        </w:r>
        <w:r>
          <w:rPr>
            <w:color w:val="0000FF"/>
            <w:spacing w:val="-2"/>
            <w:u w:val="single" w:color="0000FF"/>
          </w:rPr>
          <w:t> </w:t>
        </w:r>
        <w:r>
          <w:rPr>
            <w:color w:val="0000FF"/>
            <w:u w:val="single" w:color="0000FF"/>
          </w:rPr>
          <w:t>to</w:t>
        </w:r>
        <w:r>
          <w:rPr>
            <w:color w:val="0000FF"/>
            <w:spacing w:val="-1"/>
            <w:u w:val="single" w:color="0000FF"/>
          </w:rPr>
          <w:t> </w:t>
        </w:r>
        <w:r>
          <w:rPr>
            <w:color w:val="0000FF"/>
            <w:u w:val="single" w:color="0000FF"/>
          </w:rPr>
          <w:t>18</w:t>
        </w:r>
        <w:r>
          <w:rPr>
            <w:color w:val="0000FF"/>
            <w:spacing w:val="-2"/>
            <w:u w:val="single" w:color="0000FF"/>
          </w:rPr>
          <w:t> </w:t>
        </w:r>
        <w:r>
          <w:rPr>
            <w:color w:val="0000FF"/>
            <w:u w:val="single" w:color="0000FF"/>
          </w:rPr>
          <w:t>U.S.C.</w:t>
        </w:r>
        <w:r>
          <w:rPr>
            <w:color w:val="0000FF"/>
            <w:spacing w:val="-1"/>
            <w:u w:val="single" w:color="0000FF"/>
          </w:rPr>
          <w:t> </w:t>
        </w:r>
        <w:r>
          <w:rPr>
            <w:color w:val="0000FF"/>
            <w:u w:val="single" w:color="0000FF"/>
          </w:rPr>
          <w:t>Section</w:t>
        </w:r>
        <w:r>
          <w:rPr>
            <w:color w:val="0000FF"/>
            <w:spacing w:val="-1"/>
            <w:u w:val="single" w:color="0000FF"/>
          </w:rPr>
          <w:t> </w:t>
        </w:r>
        <w:r>
          <w:rPr>
            <w:color w:val="0000FF"/>
            <w:spacing w:val="-2"/>
            <w:u w:val="single" w:color="0000FF"/>
          </w:rPr>
          <w:t>1350.</w:t>
        </w:r>
      </w:hyperlink>
    </w:p>
    <w:p>
      <w:pPr>
        <w:pStyle w:val="ListParagraph"/>
        <w:numPr>
          <w:ilvl w:val="1"/>
          <w:numId w:val="23"/>
        </w:numPr>
        <w:tabs>
          <w:tab w:pos="1433" w:val="left" w:leader="none"/>
        </w:tabs>
        <w:spacing w:line="240" w:lineRule="auto" w:before="53" w:after="0"/>
        <w:ind w:left="1433" w:right="0" w:hanging="1271"/>
        <w:jc w:val="left"/>
        <w:rPr>
          <w:sz w:val="18"/>
        </w:rPr>
      </w:pPr>
      <w:r>
        <w:rPr/>
        <mc:AlternateContent>
          <mc:Choice Requires="wps">
            <w:drawing>
              <wp:anchor distT="0" distB="0" distL="0" distR="0" allowOverlap="1" layoutInCell="1" locked="0" behindDoc="0" simplePos="0" relativeHeight="15897600">
                <wp:simplePos x="0" y="0"/>
                <wp:positionH relativeFrom="page">
                  <wp:posOffset>2915628</wp:posOffset>
                </wp:positionH>
                <wp:positionV relativeFrom="paragraph">
                  <wp:posOffset>155714</wp:posOffset>
                </wp:positionV>
                <wp:extent cx="22860" cy="8890"/>
                <wp:effectExtent l="0" t="0" r="0" b="0"/>
                <wp:wrapNone/>
                <wp:docPr id="774" name="Graphic 774"/>
                <wp:cNvGraphicFramePr>
                  <a:graphicFrameLocks/>
                </wp:cNvGraphicFramePr>
                <a:graphic>
                  <a:graphicData uri="http://schemas.microsoft.com/office/word/2010/wordprocessingShape">
                    <wps:wsp>
                      <wps:cNvPr id="774" name="Graphic 774"/>
                      <wps:cNvSpPr/>
                      <wps:spPr>
                        <a:xfrm>
                          <a:off x="0" y="0"/>
                          <a:ext cx="22860" cy="8890"/>
                        </a:xfrm>
                        <a:custGeom>
                          <a:avLst/>
                          <a:gdLst/>
                          <a:ahLst/>
                          <a:cxnLst/>
                          <a:rect l="l" t="t" r="r" b="b"/>
                          <a:pathLst>
                            <a:path w="22860" h="8890">
                              <a:moveTo>
                                <a:pt x="22593" y="0"/>
                              </a:moveTo>
                              <a:lnTo>
                                <a:pt x="0" y="0"/>
                              </a:lnTo>
                              <a:lnTo>
                                <a:pt x="0" y="8572"/>
                              </a:lnTo>
                              <a:lnTo>
                                <a:pt x="22593" y="8572"/>
                              </a:lnTo>
                              <a:lnTo>
                                <a:pt x="2259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29.577011pt;margin-top:12.260989pt;width:1.779pt;height:.675pt;mso-position-horizontal-relative:page;mso-position-vertical-relative:paragraph;z-index:15897600" id="docshape772" filled="true" fillcolor="#0000ff" stroked="false">
                <v:fill type="solid"/>
                <w10:wrap type="none"/>
              </v:rect>
            </w:pict>
          </mc:Fallback>
        </mc:AlternateContent>
      </w:r>
      <w:hyperlink w:history="true" w:anchor="_bookmark47">
        <w:r>
          <w:rPr>
            <w:color w:val="0000FF"/>
            <w:sz w:val="18"/>
            <w:u w:val="single" w:color="0000FF"/>
          </w:rPr>
          <w:t>Description</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Regulation</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pacing w:val="-2"/>
            <w:sz w:val="18"/>
            <w:u w:val="single" w:color="0000FF"/>
          </w:rPr>
          <w:t>Licensing</w:t>
        </w:r>
        <w:r>
          <w:rPr>
            <w:color w:val="0000FF"/>
            <w:spacing w:val="-2"/>
            <w:sz w:val="18"/>
          </w:rPr>
          <w:t>.</w:t>
        </w:r>
      </w:hyperlink>
    </w:p>
    <w:p>
      <w:pPr>
        <w:pStyle w:val="BodyText"/>
        <w:tabs>
          <w:tab w:pos="1433" w:val="left" w:leader="none"/>
        </w:tabs>
        <w:spacing w:line="187" w:lineRule="auto" w:before="63"/>
        <w:ind w:left="1433" w:right="137" w:hanging="1272"/>
      </w:pPr>
      <w:r>
        <w:rPr>
          <w:spacing w:val="-2"/>
        </w:rPr>
        <w:t>101.INS</w:t>
      </w:r>
      <w:r>
        <w:rPr/>
        <w:tab/>
      </w:r>
      <w:r>
        <w:rPr>
          <w:position w:val="1"/>
        </w:rPr>
        <w:t>Inline XBRL</w:t>
      </w:r>
      <w:r>
        <w:rPr>
          <w:spacing w:val="-1"/>
          <w:position w:val="1"/>
        </w:rPr>
        <w:t> </w:t>
      </w:r>
      <w:r>
        <w:rPr>
          <w:position w:val="1"/>
        </w:rPr>
        <w:t>Instance Document – the instance document does not appear in the Interactive Data File because its XBRL</w:t>
      </w:r>
      <w:r>
        <w:rPr>
          <w:spacing w:val="-1"/>
          <w:position w:val="1"/>
        </w:rPr>
        <w:t> </w:t>
      </w:r>
      <w:r>
        <w:rPr>
          <w:position w:val="1"/>
        </w:rPr>
        <w:t>tags are embedded </w:t>
      </w:r>
      <w:r>
        <w:rPr/>
        <w:t>within the Inline XBRL document.</w:t>
      </w:r>
    </w:p>
    <w:p>
      <w:pPr>
        <w:pStyle w:val="BodyText"/>
        <w:tabs>
          <w:tab w:pos="1433" w:val="left" w:leader="none"/>
        </w:tabs>
        <w:spacing w:before="59"/>
        <w:ind w:left="162"/>
      </w:pPr>
      <w:r>
        <w:rPr>
          <w:spacing w:val="-2"/>
        </w:rPr>
        <w:t>101.SCH</w:t>
      </w:r>
      <w:r>
        <w:rPr/>
        <w:tab/>
        <w:t>Inline</w:t>
      </w:r>
      <w:r>
        <w:rPr>
          <w:spacing w:val="-7"/>
        </w:rPr>
        <w:t> </w:t>
      </w:r>
      <w:r>
        <w:rPr/>
        <w:t>XBRL</w:t>
      </w:r>
      <w:r>
        <w:rPr>
          <w:spacing w:val="-11"/>
        </w:rPr>
        <w:t> </w:t>
      </w:r>
      <w:r>
        <w:rPr/>
        <w:t>Taxonomy</w:t>
      </w:r>
      <w:r>
        <w:rPr>
          <w:spacing w:val="-4"/>
        </w:rPr>
        <w:t> </w:t>
      </w:r>
      <w:r>
        <w:rPr/>
        <w:t>Extension</w:t>
      </w:r>
      <w:r>
        <w:rPr>
          <w:spacing w:val="-4"/>
        </w:rPr>
        <w:t> </w:t>
      </w:r>
      <w:r>
        <w:rPr/>
        <w:t>Schema</w:t>
      </w:r>
      <w:r>
        <w:rPr>
          <w:spacing w:val="-3"/>
        </w:rPr>
        <w:t> </w:t>
      </w:r>
      <w:r>
        <w:rPr>
          <w:spacing w:val="-2"/>
        </w:rPr>
        <w:t>Document.</w:t>
      </w:r>
    </w:p>
    <w:p>
      <w:pPr>
        <w:pStyle w:val="BodyText"/>
        <w:tabs>
          <w:tab w:pos="1433" w:val="left" w:leader="none"/>
        </w:tabs>
        <w:spacing w:line="285" w:lineRule="auto" w:before="53"/>
        <w:ind w:left="162" w:right="5414"/>
      </w:pPr>
      <w:r>
        <w:rPr>
          <w:spacing w:val="-2"/>
          <w:position w:val="1"/>
        </w:rPr>
        <w:t>101.CAL</w:t>
      </w:r>
      <w:r>
        <w:rPr>
          <w:position w:val="1"/>
        </w:rPr>
        <w:tab/>
      </w:r>
      <w:r>
        <w:rPr/>
        <w:t>Inline</w:t>
      </w:r>
      <w:r>
        <w:rPr>
          <w:spacing w:val="-12"/>
        </w:rPr>
        <w:t> </w:t>
      </w:r>
      <w:r>
        <w:rPr/>
        <w:t>XBRL</w:t>
      </w:r>
      <w:r>
        <w:rPr>
          <w:spacing w:val="-11"/>
        </w:rPr>
        <w:t> </w:t>
      </w:r>
      <w:r>
        <w:rPr/>
        <w:t>Taxonomy</w:t>
      </w:r>
      <w:r>
        <w:rPr>
          <w:spacing w:val="-11"/>
        </w:rPr>
        <w:t> </w:t>
      </w:r>
      <w:r>
        <w:rPr/>
        <w:t>Extension</w:t>
      </w:r>
      <w:r>
        <w:rPr>
          <w:spacing w:val="-10"/>
        </w:rPr>
        <w:t> </w:t>
      </w:r>
      <w:r>
        <w:rPr/>
        <w:t>Calculation</w:t>
      </w:r>
      <w:r>
        <w:rPr>
          <w:spacing w:val="-9"/>
        </w:rPr>
        <w:t> </w:t>
      </w:r>
      <w:r>
        <w:rPr/>
        <w:t>Linkbase</w:t>
      </w:r>
      <w:r>
        <w:rPr>
          <w:spacing w:val="-9"/>
        </w:rPr>
        <w:t> </w:t>
      </w:r>
      <w:r>
        <w:rPr/>
        <w:t>Document. </w:t>
      </w:r>
      <w:r>
        <w:rPr>
          <w:spacing w:val="-2"/>
          <w:position w:val="1"/>
        </w:rPr>
        <w:t>101.DEF</w:t>
      </w:r>
      <w:r>
        <w:rPr>
          <w:position w:val="1"/>
        </w:rPr>
        <w:tab/>
      </w:r>
      <w:r>
        <w:rPr/>
        <w:t>Inline XBRL</w:t>
      </w:r>
      <w:r>
        <w:rPr>
          <w:spacing w:val="-4"/>
        </w:rPr>
        <w:t> </w:t>
      </w:r>
      <w:r>
        <w:rPr/>
        <w:t>Taxonomy Extension Definition Linkbase Document. </w:t>
      </w:r>
      <w:r>
        <w:rPr>
          <w:spacing w:val="-2"/>
          <w:position w:val="1"/>
        </w:rPr>
        <w:t>101.LAB</w:t>
      </w:r>
      <w:r>
        <w:rPr>
          <w:position w:val="1"/>
        </w:rPr>
        <w:tab/>
      </w:r>
      <w:r>
        <w:rPr/>
        <w:t>Inline XBRL Taxonomy Extension Label Linkbase Document.</w:t>
      </w:r>
    </w:p>
    <w:p>
      <w:pPr>
        <w:pStyle w:val="BodyText"/>
        <w:tabs>
          <w:tab w:pos="1433" w:val="left" w:leader="none"/>
        </w:tabs>
        <w:spacing w:before="1"/>
        <w:ind w:left="162"/>
      </w:pPr>
      <w:r>
        <w:rPr>
          <w:spacing w:val="-2"/>
          <w:position w:val="1"/>
        </w:rPr>
        <w:t>101.PRE</w:t>
      </w:r>
      <w:r>
        <w:rPr>
          <w:position w:val="1"/>
        </w:rPr>
        <w:tab/>
      </w:r>
      <w:r>
        <w:rPr/>
        <w:t>Inline</w:t>
      </w:r>
      <w:r>
        <w:rPr>
          <w:spacing w:val="-6"/>
        </w:rPr>
        <w:t> </w:t>
      </w:r>
      <w:r>
        <w:rPr/>
        <w:t>XBRL</w:t>
      </w:r>
      <w:r>
        <w:rPr>
          <w:spacing w:val="-12"/>
        </w:rPr>
        <w:t> </w:t>
      </w:r>
      <w:r>
        <w:rPr/>
        <w:t>Taxonomy</w:t>
      </w:r>
      <w:r>
        <w:rPr>
          <w:spacing w:val="-3"/>
        </w:rPr>
        <w:t> </w:t>
      </w:r>
      <w:r>
        <w:rPr/>
        <w:t>Extension</w:t>
      </w:r>
      <w:r>
        <w:rPr>
          <w:spacing w:val="-3"/>
        </w:rPr>
        <w:t> </w:t>
      </w:r>
      <w:r>
        <w:rPr/>
        <w:t>Presentation</w:t>
      </w:r>
      <w:r>
        <w:rPr>
          <w:spacing w:val="-3"/>
        </w:rPr>
        <w:t> </w:t>
      </w:r>
      <w:r>
        <w:rPr/>
        <w:t>Linkbase</w:t>
      </w:r>
      <w:r>
        <w:rPr>
          <w:spacing w:val="-3"/>
        </w:rPr>
        <w:t> </w:t>
      </w:r>
      <w:r>
        <w:rPr>
          <w:spacing w:val="-2"/>
        </w:rPr>
        <w:t>Document.</w:t>
      </w:r>
    </w:p>
    <w:p>
      <w:pPr>
        <w:pStyle w:val="BodyText"/>
        <w:tabs>
          <w:tab w:pos="1433" w:val="left" w:leader="none"/>
        </w:tabs>
        <w:spacing w:before="49"/>
        <w:ind w:left="162"/>
      </w:pPr>
      <w:r>
        <w:rPr>
          <w:spacing w:val="-5"/>
        </w:rPr>
        <w:t>104</w:t>
      </w:r>
      <w:r>
        <w:rPr/>
        <w:tab/>
        <w:t>The</w:t>
      </w:r>
      <w:r>
        <w:rPr>
          <w:spacing w:val="-3"/>
        </w:rPr>
        <w:t> </w:t>
      </w:r>
      <w:r>
        <w:rPr/>
        <w:t>cover</w:t>
      </w:r>
      <w:r>
        <w:rPr>
          <w:spacing w:val="-1"/>
        </w:rPr>
        <w:t> </w:t>
      </w:r>
      <w:r>
        <w:rPr/>
        <w:t>page</w:t>
      </w:r>
      <w:r>
        <w:rPr>
          <w:spacing w:val="-1"/>
        </w:rPr>
        <w:t> </w:t>
      </w:r>
      <w:r>
        <w:rPr/>
        <w:t>from</w:t>
      </w:r>
      <w:r>
        <w:rPr>
          <w:spacing w:val="-1"/>
        </w:rPr>
        <w:t> </w:t>
      </w:r>
      <w:r>
        <w:rPr/>
        <w:t>this</w:t>
      </w:r>
      <w:r>
        <w:rPr>
          <w:spacing w:val="-10"/>
        </w:rPr>
        <w:t> </w:t>
      </w:r>
      <w:r>
        <w:rPr/>
        <w:t>Annual</w:t>
      </w:r>
      <w:r>
        <w:rPr>
          <w:spacing w:val="-1"/>
        </w:rPr>
        <w:t> </w:t>
      </w:r>
      <w:r>
        <w:rPr/>
        <w:t>Report</w:t>
      </w:r>
      <w:r>
        <w:rPr>
          <w:spacing w:val="-1"/>
        </w:rPr>
        <w:t> </w:t>
      </w:r>
      <w:r>
        <w:rPr/>
        <w:t>on</w:t>
      </w:r>
      <w:r>
        <w:rPr>
          <w:spacing w:val="-1"/>
        </w:rPr>
        <w:t> </w:t>
      </w:r>
      <w:r>
        <w:rPr/>
        <w:t>Form</w:t>
      </w:r>
      <w:r>
        <w:rPr>
          <w:spacing w:val="-1"/>
        </w:rPr>
        <w:t> </w:t>
      </w:r>
      <w:r>
        <w:rPr/>
        <w:t>10-K</w:t>
      </w:r>
      <w:r>
        <w:rPr>
          <w:spacing w:val="-1"/>
        </w:rPr>
        <w:t> </w:t>
      </w:r>
      <w:r>
        <w:rPr/>
        <w:t>for</w:t>
      </w:r>
      <w:r>
        <w:rPr>
          <w:spacing w:val="-1"/>
        </w:rPr>
        <w:t> </w:t>
      </w:r>
      <w:r>
        <w:rPr/>
        <w:t>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has</w:t>
      </w:r>
      <w:r>
        <w:rPr>
          <w:spacing w:val="-1"/>
        </w:rPr>
        <w:t> </w:t>
      </w:r>
      <w:r>
        <w:rPr/>
        <w:t>been</w:t>
      </w:r>
      <w:r>
        <w:rPr>
          <w:spacing w:val="-1"/>
        </w:rPr>
        <w:t> </w:t>
      </w:r>
      <w:r>
        <w:rPr/>
        <w:t>formatted</w:t>
      </w:r>
      <w:r>
        <w:rPr>
          <w:spacing w:val="-1"/>
        </w:rPr>
        <w:t> </w:t>
      </w:r>
      <w:r>
        <w:rPr/>
        <w:t>in</w:t>
      </w:r>
      <w:r>
        <w:rPr>
          <w:spacing w:val="-1"/>
        </w:rPr>
        <w:t> </w:t>
      </w:r>
      <w:r>
        <w:rPr/>
        <w:t>Inline</w:t>
      </w:r>
      <w:r>
        <w:rPr>
          <w:spacing w:val="-1"/>
        </w:rPr>
        <w:t> </w:t>
      </w:r>
      <w:r>
        <w:rPr>
          <w:spacing w:val="-2"/>
        </w:rPr>
        <w:t>XBRL.</w:t>
      </w:r>
    </w:p>
    <w:p>
      <w:pPr>
        <w:pStyle w:val="BodyText"/>
        <w:spacing w:before="158"/>
        <w:ind w:left="162"/>
        <w:jc w:val="both"/>
      </w:pPr>
      <w:r>
        <w:rPr/>
        <w:t>*</w:t>
      </w:r>
      <w:r>
        <w:rPr>
          <w:spacing w:val="59"/>
        </w:rPr>
        <w:t>   </w:t>
      </w:r>
      <w:r>
        <w:rPr/>
        <w:t>Management</w:t>
      </w:r>
      <w:r>
        <w:rPr>
          <w:spacing w:val="-1"/>
        </w:rPr>
        <w:t> </w:t>
      </w:r>
      <w:r>
        <w:rPr/>
        <w:t>contract</w:t>
      </w:r>
      <w:r>
        <w:rPr>
          <w:spacing w:val="-1"/>
        </w:rPr>
        <w:t> </w:t>
      </w:r>
      <w:r>
        <w:rPr/>
        <w:t>or</w:t>
      </w:r>
      <w:r>
        <w:rPr>
          <w:spacing w:val="-1"/>
        </w:rPr>
        <w:t> </w:t>
      </w:r>
      <w:r>
        <w:rPr/>
        <w:t>compensatory</w:t>
      </w:r>
      <w:r>
        <w:rPr>
          <w:spacing w:val="-1"/>
        </w:rPr>
        <w:t> </w:t>
      </w:r>
      <w:r>
        <w:rPr/>
        <w:t>plan</w:t>
      </w:r>
      <w:r>
        <w:rPr>
          <w:spacing w:val="-1"/>
        </w:rPr>
        <w:t> </w:t>
      </w:r>
      <w:r>
        <w:rPr/>
        <w:t>or</w:t>
      </w:r>
      <w:r>
        <w:rPr>
          <w:spacing w:val="-1"/>
        </w:rPr>
        <w:t> </w:t>
      </w:r>
      <w:r>
        <w:rPr>
          <w:spacing w:val="-2"/>
        </w:rPr>
        <w:t>arrangement.</w:t>
      </w:r>
    </w:p>
    <w:p>
      <w:pPr>
        <w:pStyle w:val="BodyText"/>
        <w:spacing w:line="235" w:lineRule="auto" w:before="66"/>
        <w:ind w:left="565" w:right="135" w:hanging="403"/>
        <w:jc w:val="both"/>
      </w:pPr>
      <w:r>
        <w:rPr/>
        <w:t>**</w:t>
      </w:r>
      <w:r>
        <w:rPr>
          <w:spacing w:val="80"/>
          <w:w w:val="150"/>
        </w:rPr>
        <w:t> </w:t>
      </w:r>
      <w:r>
        <w:rPr/>
        <w:t>Exhibits 32.1 and 32.2 shall not be deemed filed with the SEC, nor shall they be deemed incorporated by reference in any filing with the SEC under </w:t>
      </w:r>
      <w:r>
        <w:rPr/>
        <w:t>the Exchange Act or the Securities Act of 1933, as amended, whether made before or after the date hereof and irrespective of any general incorporation language in any filings.</w:t>
      </w:r>
    </w:p>
    <w:p>
      <w:pPr>
        <w:pStyle w:val="BodyText"/>
        <w:spacing w:before="4"/>
      </w:pPr>
    </w:p>
    <w:p>
      <w:pPr>
        <w:pStyle w:val="BodyText"/>
        <w:spacing w:line="249" w:lineRule="auto" w:before="1"/>
        <w:ind w:left="565" w:right="136"/>
        <w:jc w:val="both"/>
      </w:pPr>
      <w:r>
        <w:rPr/>
        <w:t>Certain long-term debt instruments of our consolidated subsidiaries, under which the total amount of securities authorized does not exceed 10 percent </w:t>
      </w:r>
      <w:r>
        <w:rPr/>
        <w:t>of our consolidated assets, are not filed as exhibits to this Annual Report on Form 10-K. We will furnish a copy of these agreements to the SEC upon </w:t>
      </w:r>
      <w:r>
        <w:rPr>
          <w:spacing w:val="-2"/>
        </w:rPr>
        <w:t>request.</w:t>
      </w:r>
    </w:p>
    <w:p>
      <w:pPr>
        <w:pStyle w:val="BodyText"/>
        <w:spacing w:before="11"/>
      </w:pPr>
    </w:p>
    <w:p>
      <w:pPr>
        <w:pStyle w:val="BodyText"/>
        <w:ind w:left="565" w:right="135"/>
        <w:jc w:val="both"/>
      </w:pPr>
      <w:r>
        <w:rPr/>
        <w:t>In</w:t>
      </w:r>
      <w:r>
        <w:rPr>
          <w:spacing w:val="-2"/>
        </w:rPr>
        <w:t> </w:t>
      </w:r>
      <w:r>
        <w:rPr/>
        <w:t>accordance</w:t>
      </w:r>
      <w:r>
        <w:rPr>
          <w:spacing w:val="-2"/>
        </w:rPr>
        <w:t> </w:t>
      </w:r>
      <w:r>
        <w:rPr/>
        <w:t>with</w:t>
      </w:r>
      <w:r>
        <w:rPr>
          <w:spacing w:val="-2"/>
        </w:rPr>
        <w:t> </w:t>
      </w:r>
      <w:r>
        <w:rPr/>
        <w:t>Rule</w:t>
      </w:r>
      <w:r>
        <w:rPr>
          <w:spacing w:val="-2"/>
        </w:rPr>
        <w:t> </w:t>
      </w:r>
      <w:r>
        <w:rPr/>
        <w:t>402</w:t>
      </w:r>
      <w:r>
        <w:rPr>
          <w:spacing w:val="-2"/>
        </w:rPr>
        <w:t> </w:t>
      </w:r>
      <w:r>
        <w:rPr/>
        <w:t>of</w:t>
      </w:r>
      <w:r>
        <w:rPr>
          <w:spacing w:val="-2"/>
        </w:rPr>
        <w:t> </w:t>
      </w:r>
      <w:r>
        <w:rPr/>
        <w:t>Regulation</w:t>
      </w:r>
      <w:r>
        <w:rPr>
          <w:spacing w:val="-2"/>
        </w:rPr>
        <w:t> </w:t>
      </w:r>
      <w:r>
        <w:rPr/>
        <w:t>S-T,</w:t>
      </w:r>
      <w:r>
        <w:rPr>
          <w:spacing w:val="-2"/>
        </w:rPr>
        <w:t> </w:t>
      </w:r>
      <w:r>
        <w:rPr/>
        <w:t>the</w:t>
      </w:r>
      <w:r>
        <w:rPr>
          <w:spacing w:val="-2"/>
        </w:rPr>
        <w:t> </w:t>
      </w:r>
      <w:r>
        <w:rPr/>
        <w:t>XBRL</w:t>
      </w:r>
      <w:r>
        <w:rPr>
          <w:spacing w:val="-9"/>
        </w:rPr>
        <w:t> </w:t>
      </w:r>
      <w:r>
        <w:rPr/>
        <w:t>information</w:t>
      </w:r>
      <w:r>
        <w:rPr>
          <w:spacing w:val="-2"/>
        </w:rPr>
        <w:t> </w:t>
      </w:r>
      <w:r>
        <w:rPr/>
        <w:t>included</w:t>
      </w:r>
      <w:r>
        <w:rPr>
          <w:spacing w:val="-2"/>
        </w:rPr>
        <w:t> </w:t>
      </w:r>
      <w:r>
        <w:rPr/>
        <w:t>in</w:t>
      </w:r>
      <w:r>
        <w:rPr>
          <w:spacing w:val="-2"/>
        </w:rPr>
        <w:t> </w:t>
      </w:r>
      <w:r>
        <w:rPr/>
        <w:t>Exhibit</w:t>
      </w:r>
      <w:r>
        <w:rPr>
          <w:spacing w:val="-2"/>
        </w:rPr>
        <w:t> </w:t>
      </w:r>
      <w:r>
        <w:rPr/>
        <w:t>101</w:t>
      </w:r>
      <w:r>
        <w:rPr>
          <w:spacing w:val="-2"/>
        </w:rPr>
        <w:t> </w:t>
      </w:r>
      <w:r>
        <w:rPr/>
        <w:t>and</w:t>
      </w:r>
      <w:r>
        <w:rPr>
          <w:spacing w:val="-2"/>
        </w:rPr>
        <w:t> </w:t>
      </w:r>
      <w:r>
        <w:rPr/>
        <w:t>Exhibit</w:t>
      </w:r>
      <w:r>
        <w:rPr>
          <w:spacing w:val="-2"/>
        </w:rPr>
        <w:t> </w:t>
      </w:r>
      <w:r>
        <w:rPr/>
        <w:t>104</w:t>
      </w:r>
      <w:r>
        <w:rPr>
          <w:spacing w:val="-2"/>
        </w:rPr>
        <w:t> </w:t>
      </w:r>
      <w:r>
        <w:rPr/>
        <w:t>to</w:t>
      </w:r>
      <w:r>
        <w:rPr>
          <w:spacing w:val="-2"/>
        </w:rPr>
        <w:t> </w:t>
      </w:r>
      <w:r>
        <w:rPr/>
        <w:t>this</w:t>
      </w:r>
      <w:r>
        <w:rPr>
          <w:spacing w:val="-2"/>
        </w:rPr>
        <w:t> </w:t>
      </w:r>
      <w:r>
        <w:rPr/>
        <w:t>Form</w:t>
      </w:r>
      <w:r>
        <w:rPr>
          <w:spacing w:val="-2"/>
        </w:rPr>
        <w:t> </w:t>
      </w:r>
      <w:r>
        <w:rPr/>
        <w:t>10-K</w:t>
      </w:r>
      <w:r>
        <w:rPr>
          <w:spacing w:val="-2"/>
        </w:rPr>
        <w:t> </w:t>
      </w:r>
      <w:r>
        <w:rPr/>
        <w:t>shall</w:t>
      </w:r>
      <w:r>
        <w:rPr>
          <w:spacing w:val="-2"/>
        </w:rPr>
        <w:t> </w:t>
      </w:r>
      <w:r>
        <w:rPr/>
        <w:t>not</w:t>
      </w:r>
      <w:r>
        <w:rPr>
          <w:spacing w:val="-2"/>
        </w:rPr>
        <w:t> </w:t>
      </w:r>
      <w:r>
        <w:rPr/>
        <w:t>be</w:t>
      </w:r>
      <w:r>
        <w:rPr>
          <w:spacing w:val="-2"/>
        </w:rPr>
        <w:t> </w:t>
      </w:r>
      <w:r>
        <w:rPr/>
        <w:t>deemed</w:t>
      </w:r>
      <w:r>
        <w:rPr>
          <w:spacing w:val="-2"/>
        </w:rPr>
        <w:t> </w:t>
      </w:r>
      <w:r>
        <w:rPr/>
        <w:t>to be filed for purposes of Section 18 of the Securities Exchange</w:t>
      </w:r>
      <w:r>
        <w:rPr>
          <w:spacing w:val="-8"/>
        </w:rPr>
        <w:t> </w:t>
      </w:r>
      <w:r>
        <w:rPr/>
        <w:t>Act of 1934, as amended (the “Exchange</w:t>
      </w:r>
      <w:r>
        <w:rPr>
          <w:spacing w:val="-8"/>
        </w:rPr>
        <w:t> </w:t>
      </w:r>
      <w:r>
        <w:rPr/>
        <w:t>Act”), or otherwise subject to the liability of that section, and shall not be incorporated by reference into any registration statement or other document filed under the Securities</w:t>
      </w:r>
      <w:r>
        <w:rPr>
          <w:spacing w:val="-6"/>
        </w:rPr>
        <w:t> </w:t>
      </w:r>
      <w:r>
        <w:rPr/>
        <w:t>Act of 1933, as amended, or the Exchange</w:t>
      </w:r>
      <w:r>
        <w:rPr>
          <w:spacing w:val="-2"/>
        </w:rPr>
        <w:t> </w:t>
      </w:r>
      <w:r>
        <w:rPr/>
        <w:t>Act, except as shall be expressly set forth by specific reference in such filing.</w:t>
      </w:r>
    </w:p>
    <w:p>
      <w:pPr>
        <w:pStyle w:val="BodyText"/>
        <w:spacing w:before="126"/>
      </w:pPr>
    </w:p>
    <w:p>
      <w:pPr>
        <w:pStyle w:val="Heading4"/>
        <w:jc w:val="both"/>
      </w:pPr>
      <w:bookmarkStart w:name="_bookmark29" w:id="30"/>
      <w:bookmarkEnd w:id="30"/>
      <w:r>
        <w:rPr>
          <w:b w:val="0"/>
        </w:rPr>
      </w:r>
      <w:r>
        <w:rPr/>
        <w:t>ITEM</w:t>
      </w:r>
      <w:r>
        <w:rPr>
          <w:spacing w:val="-1"/>
        </w:rPr>
        <w:t> </w:t>
      </w:r>
      <w:r>
        <w:rPr/>
        <w:t>16.</w:t>
      </w:r>
      <w:r>
        <w:rPr>
          <w:spacing w:val="44"/>
        </w:rPr>
        <w:t>  </w:t>
      </w:r>
      <w:r>
        <w:rPr/>
        <w:t>FORM 10-K</w:t>
      </w:r>
      <w:r>
        <w:rPr>
          <w:spacing w:val="-1"/>
        </w:rPr>
        <w:t> </w:t>
      </w:r>
      <w:r>
        <w:rPr>
          <w:spacing w:val="-2"/>
        </w:rPr>
        <w:t>SUMMARY</w:t>
      </w:r>
    </w:p>
    <w:p>
      <w:pPr>
        <w:pStyle w:val="BodyText"/>
        <w:spacing w:before="4"/>
        <w:rPr>
          <w:b/>
        </w:rPr>
      </w:pPr>
    </w:p>
    <w:p>
      <w:pPr>
        <w:pStyle w:val="BodyText"/>
        <w:ind w:left="644"/>
      </w:pPr>
      <w:r>
        <w:rPr>
          <w:spacing w:val="-2"/>
        </w:rPr>
        <w:t>None.</w:t>
      </w:r>
    </w:p>
    <w:p>
      <w:pPr>
        <w:pStyle w:val="BodyText"/>
      </w:pPr>
    </w:p>
    <w:p>
      <w:pPr>
        <w:pStyle w:val="BodyText"/>
        <w:spacing w:before="189"/>
      </w:pPr>
    </w:p>
    <w:p>
      <w:pPr>
        <w:pStyle w:val="BodyText"/>
        <w:spacing w:before="1"/>
        <w:ind w:left="24"/>
        <w:jc w:val="center"/>
      </w:pPr>
      <w:bookmarkStart w:name="_bookmark30" w:id="31"/>
      <w:bookmarkEnd w:id="31"/>
      <w:r>
        <w:rPr/>
      </w:r>
      <w:r>
        <w:rPr>
          <w:spacing w:val="-5"/>
        </w:rPr>
        <w:t>108</w:t>
      </w:r>
    </w:p>
    <w:p>
      <w:pPr>
        <w:pStyle w:val="BodyText"/>
        <w:spacing w:before="2"/>
        <w:rPr>
          <w:sz w:val="6"/>
        </w:rPr>
      </w:pPr>
      <w:r>
        <w:rPr/>
        <mc:AlternateContent>
          <mc:Choice Requires="wps">
            <w:drawing>
              <wp:anchor distT="0" distB="0" distL="0" distR="0" allowOverlap="1" layoutInCell="1" locked="0" behindDoc="1" simplePos="0" relativeHeight="487756288">
                <wp:simplePos x="0" y="0"/>
                <wp:positionH relativeFrom="page">
                  <wp:posOffset>231457</wp:posOffset>
                </wp:positionH>
                <wp:positionV relativeFrom="paragraph">
                  <wp:posOffset>60321</wp:posOffset>
                </wp:positionV>
                <wp:extent cx="7312659" cy="17145"/>
                <wp:effectExtent l="0" t="0" r="0" b="0"/>
                <wp:wrapTopAndBottom/>
                <wp:docPr id="775" name="Group 775"/>
                <wp:cNvGraphicFramePr>
                  <a:graphicFrameLocks/>
                </wp:cNvGraphicFramePr>
                <a:graphic>
                  <a:graphicData uri="http://schemas.microsoft.com/office/word/2010/wordprocessingGroup">
                    <wpg:wgp>
                      <wpg:cNvPr id="775" name="Group 775"/>
                      <wpg:cNvGrpSpPr/>
                      <wpg:grpSpPr>
                        <a:xfrm>
                          <a:off x="0" y="0"/>
                          <a:ext cx="7312659" cy="17145"/>
                          <a:chExt cx="7312659" cy="17145"/>
                        </a:xfrm>
                      </wpg:grpSpPr>
                      <wps:wsp>
                        <wps:cNvPr id="776" name="Graphic 77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77" name="Graphic 777"/>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78" name="Graphic 7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560192;mso-wrap-distance-left:0;mso-wrap-distance-right:0" id="docshapegroup773" coordorigin="364,95" coordsize="11516,27">
                <v:rect style="position:absolute;left:364;top:95;width:11516;height:14" id="docshape774" filled="true" fillcolor="#999999" stroked="false">
                  <v:fill type="solid"/>
                </v:rect>
                <v:shape style="position:absolute;left:364;top:94;width:11516;height:27" id="docshape775" coordorigin="364,95" coordsize="11516,27" path="m11880,95l11866,108,364,108,364,122,11866,122,11880,122,11880,108,11880,95xe" filled="true" fillcolor="#ededed" stroked="false">
                  <v:path arrowok="t"/>
                  <v:fill type="solid"/>
                </v:shape>
                <v:shape style="position:absolute;left:364;top:95;width:14;height:27" id="docshape776" coordorigin="364,95" coordsize="14,27" path="m364,122l364,95,378,95,378,108,364,122xe" filled="true" fillcolor="#999999" stroked="false">
                  <v:path arrowok="t"/>
                  <v:fill type="solid"/>
                </v:shape>
                <w10:wrap type="topAndBottom"/>
              </v:group>
            </w:pict>
          </mc:Fallback>
        </mc:AlternateContent>
      </w:r>
    </w:p>
    <w:p>
      <w:pPr>
        <w:spacing w:after="0"/>
        <w:rPr>
          <w:sz w:val="6"/>
        </w:rPr>
        <w:sectPr>
          <w:pgSz w:w="12240" w:h="15840"/>
          <w:pgMar w:top="1240" w:bottom="280" w:left="220" w:right="240"/>
        </w:sectPr>
      </w:pPr>
    </w:p>
    <w:p>
      <w:pPr>
        <w:pStyle w:val="Heading4"/>
        <w:spacing w:before="63"/>
        <w:ind w:left="24"/>
        <w:jc w:val="center"/>
      </w:pPr>
      <w:r>
        <w:rPr>
          <w:spacing w:val="-2"/>
        </w:rPr>
        <w:t>SIGNATURES</w:t>
      </w:r>
    </w:p>
    <w:p>
      <w:pPr>
        <w:pStyle w:val="BodyText"/>
        <w:spacing w:before="7"/>
        <w:rPr>
          <w:b/>
        </w:rPr>
      </w:pPr>
    </w:p>
    <w:p>
      <w:pPr>
        <w:pStyle w:val="BodyText"/>
        <w:spacing w:line="235" w:lineRule="auto" w:before="1"/>
        <w:ind w:left="144" w:firstLine="499"/>
      </w:pPr>
      <w:r>
        <w:rPr/>
        <w:t>Pursuant to the requirements of Section 13 or 15(d) of the Securities Exchange</w:t>
      </w:r>
      <w:r>
        <w:rPr>
          <w:spacing w:val="-10"/>
        </w:rPr>
        <w:t> </w:t>
      </w:r>
      <w:r>
        <w:rPr/>
        <w:t>Act of 1934, the Registrant has duly caused this report to be signed on its behalf by the undersigned, thereunto duly authorized.</w:t>
      </w:r>
    </w:p>
    <w:p>
      <w:pPr>
        <w:pStyle w:val="BodyText"/>
        <w:spacing w:before="18"/>
      </w:pPr>
    </w:p>
    <w:p>
      <w:pPr>
        <w:pStyle w:val="Heading5"/>
        <w:jc w:val="left"/>
      </w:pPr>
      <w:r>
        <w:rPr/>
        <w:t>MGM</w:t>
      </w:r>
      <w:r>
        <w:rPr>
          <w:spacing w:val="-1"/>
        </w:rPr>
        <w:t> </w:t>
      </w:r>
      <w:r>
        <w:rPr/>
        <w:t>Resorts</w:t>
      </w:r>
      <w:r>
        <w:rPr>
          <w:spacing w:val="-1"/>
        </w:rPr>
        <w:t> </w:t>
      </w:r>
      <w:r>
        <w:rPr>
          <w:spacing w:val="-2"/>
        </w:rPr>
        <w:t>International</w:t>
      </w:r>
    </w:p>
    <w:p>
      <w:pPr>
        <w:pStyle w:val="BodyText"/>
        <w:spacing w:before="58"/>
        <w:rPr>
          <w:b/>
        </w:rPr>
      </w:pPr>
    </w:p>
    <w:p>
      <w:pPr>
        <w:pStyle w:val="BodyText"/>
        <w:tabs>
          <w:tab w:pos="1224" w:val="left" w:leader="none"/>
        </w:tabs>
        <w:spacing w:line="312" w:lineRule="auto" w:before="1"/>
        <w:ind w:left="1224" w:right="8704" w:hanging="1063"/>
      </w:pPr>
      <w:r>
        <w:rPr/>
        <mc:AlternateContent>
          <mc:Choice Requires="wps">
            <w:drawing>
              <wp:anchor distT="0" distB="0" distL="0" distR="0" allowOverlap="1" layoutInCell="1" locked="0" behindDoc="0" simplePos="0" relativeHeight="15902720">
                <wp:simplePos x="0" y="0"/>
                <wp:positionH relativeFrom="page">
                  <wp:posOffset>908672</wp:posOffset>
                </wp:positionH>
                <wp:positionV relativeFrom="paragraph">
                  <wp:posOffset>150191</wp:posOffset>
                </wp:positionV>
                <wp:extent cx="2606040" cy="8890"/>
                <wp:effectExtent l="0" t="0" r="0" b="0"/>
                <wp:wrapNone/>
                <wp:docPr id="779" name="Graphic 779"/>
                <wp:cNvGraphicFramePr>
                  <a:graphicFrameLocks/>
                </wp:cNvGraphicFramePr>
                <a:graphic>
                  <a:graphicData uri="http://schemas.microsoft.com/office/word/2010/wordprocessingShape">
                    <wps:wsp>
                      <wps:cNvPr id="779" name="Graphic 779"/>
                      <wps:cNvSpPr/>
                      <wps:spPr>
                        <a:xfrm>
                          <a:off x="0" y="0"/>
                          <a:ext cx="2606040" cy="8890"/>
                        </a:xfrm>
                        <a:custGeom>
                          <a:avLst/>
                          <a:gdLst/>
                          <a:ahLst/>
                          <a:cxnLst/>
                          <a:rect l="l" t="t" r="r" b="b"/>
                          <a:pathLst>
                            <a:path w="2606040" h="8890">
                              <a:moveTo>
                                <a:pt x="2606040" y="0"/>
                              </a:moveTo>
                              <a:lnTo>
                                <a:pt x="2580322" y="0"/>
                              </a:lnTo>
                              <a:lnTo>
                                <a:pt x="25717" y="0"/>
                              </a:lnTo>
                              <a:lnTo>
                                <a:pt x="0" y="0"/>
                              </a:lnTo>
                              <a:lnTo>
                                <a:pt x="0" y="8572"/>
                              </a:lnTo>
                              <a:lnTo>
                                <a:pt x="25717" y="8572"/>
                              </a:lnTo>
                              <a:lnTo>
                                <a:pt x="2580322" y="8572"/>
                              </a:lnTo>
                              <a:lnTo>
                                <a:pt x="2606040" y="8572"/>
                              </a:lnTo>
                              <a:lnTo>
                                <a:pt x="2606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549004pt;margin-top:11.826087pt;width:205.2pt;height:.7pt;mso-position-horizontal-relative:page;mso-position-vertical-relative:paragraph;z-index:15902720" id="docshape777" coordorigin="1431,237" coordsize="4104,14" path="m5535,237l5494,237,1471,237,1431,237,1431,250,1471,250,5494,250,5535,250,5535,237xe" filled="true" fillcolor="#000000" stroked="false">
                <v:path arrowok="t"/>
                <v:fill type="solid"/>
                <w10:wrap type="none"/>
              </v:shape>
            </w:pict>
          </mc:Fallback>
        </mc:AlternateContent>
      </w:r>
      <w:r>
        <w:rPr>
          <w:spacing w:val="-4"/>
        </w:rPr>
        <w:t>By:</w:t>
      </w:r>
      <w:r>
        <w:rPr/>
        <w:tab/>
        <w:t>/s/</w:t>
      </w:r>
      <w:r>
        <w:rPr>
          <w:spacing w:val="-12"/>
        </w:rPr>
        <w:t> </w:t>
      </w:r>
      <w:r>
        <w:rPr/>
        <w:t>William</w:t>
      </w:r>
      <w:r>
        <w:rPr>
          <w:spacing w:val="-11"/>
        </w:rPr>
        <w:t> </w:t>
      </w:r>
      <w:r>
        <w:rPr/>
        <w:t>J.</w:t>
      </w:r>
      <w:r>
        <w:rPr>
          <w:spacing w:val="-11"/>
        </w:rPr>
        <w:t> </w:t>
      </w:r>
      <w:r>
        <w:rPr/>
        <w:t>Hornbuckle William J. Hornbuckle</w:t>
      </w:r>
    </w:p>
    <w:p>
      <w:pPr>
        <w:pStyle w:val="BodyText"/>
        <w:spacing w:line="195" w:lineRule="exact"/>
        <w:ind w:left="1224"/>
      </w:pPr>
      <w:r>
        <w:rPr/>
        <w:t>Chief</w:t>
      </w:r>
      <w:r>
        <w:rPr>
          <w:spacing w:val="-2"/>
        </w:rPr>
        <w:t> </w:t>
      </w:r>
      <w:r>
        <w:rPr/>
        <w:t>Executive</w:t>
      </w:r>
      <w:r>
        <w:rPr>
          <w:spacing w:val="-2"/>
        </w:rPr>
        <w:t> </w:t>
      </w:r>
      <w:r>
        <w:rPr/>
        <w:t>Officer</w:t>
      </w:r>
      <w:r>
        <w:rPr>
          <w:spacing w:val="-2"/>
        </w:rPr>
        <w:t> </w:t>
      </w:r>
      <w:r>
        <w:rPr/>
        <w:t>and</w:t>
      </w:r>
      <w:r>
        <w:rPr>
          <w:spacing w:val="-2"/>
        </w:rPr>
        <w:t> President</w:t>
      </w:r>
    </w:p>
    <w:p>
      <w:pPr>
        <w:pStyle w:val="BodyText"/>
        <w:spacing w:before="49"/>
        <w:ind w:left="1224"/>
      </w:pPr>
      <w:r>
        <w:rPr/>
        <w:t>(Principal</w:t>
      </w:r>
      <w:r>
        <w:rPr>
          <w:spacing w:val="-1"/>
        </w:rPr>
        <w:t> </w:t>
      </w:r>
      <w:r>
        <w:rPr/>
        <w:t>Executive</w:t>
      </w:r>
      <w:r>
        <w:rPr>
          <w:spacing w:val="-1"/>
        </w:rPr>
        <w:t> </w:t>
      </w:r>
      <w:r>
        <w:rPr>
          <w:spacing w:val="-2"/>
        </w:rPr>
        <w:t>Officer)</w:t>
      </w:r>
    </w:p>
    <w:p>
      <w:pPr>
        <w:pStyle w:val="BodyText"/>
        <w:spacing w:before="126"/>
      </w:pPr>
    </w:p>
    <w:p>
      <w:pPr>
        <w:pStyle w:val="BodyText"/>
        <w:ind w:left="144"/>
      </w:pPr>
      <w:r>
        <w:rPr/>
        <w:t>Dated:</w:t>
      </w:r>
      <w:r>
        <w:rPr>
          <w:spacing w:val="-1"/>
        </w:rPr>
        <w:t> </w:t>
      </w:r>
      <w:r>
        <w:rPr/>
        <w:t>February</w:t>
      </w:r>
      <w:r>
        <w:rPr>
          <w:spacing w:val="-1"/>
        </w:rPr>
        <w:t> </w:t>
      </w:r>
      <w:r>
        <w:rPr/>
        <w:t>24,</w:t>
      </w:r>
      <w:r>
        <w:rPr>
          <w:spacing w:val="-1"/>
        </w:rPr>
        <w:t> </w:t>
      </w:r>
      <w:r>
        <w:rPr>
          <w:spacing w:val="-4"/>
        </w:rPr>
        <w:t>2023</w:t>
      </w:r>
    </w:p>
    <w:p>
      <w:pPr>
        <w:pStyle w:val="BodyText"/>
        <w:spacing w:before="21"/>
      </w:pPr>
    </w:p>
    <w:p>
      <w:pPr>
        <w:pStyle w:val="BodyText"/>
        <w:spacing w:line="235" w:lineRule="auto" w:before="1"/>
        <w:ind w:left="144" w:right="137" w:firstLine="499"/>
      </w:pPr>
      <w:r>
        <w:rPr/>
        <w:t>Pursuant to the requirements of the Securities Exchange Act of 1934, this report has been signed by the following persons on behalf of the Registrant</w:t>
      </w:r>
      <w:r>
        <w:rPr>
          <w:spacing w:val="80"/>
        </w:rPr>
        <w:t> </w:t>
      </w:r>
      <w:r>
        <w:rPr/>
        <w:t>and in the capacities and on the dates indicated.</w:t>
      </w:r>
    </w:p>
    <w:p>
      <w:pPr>
        <w:pStyle w:val="Heading5"/>
        <w:tabs>
          <w:tab w:pos="6308" w:val="left" w:leader="none"/>
          <w:tab w:pos="10164" w:val="left" w:leader="none"/>
        </w:tabs>
        <w:spacing w:before="50"/>
        <w:ind w:left="1663"/>
        <w:jc w:val="left"/>
      </w:pPr>
      <w:r>
        <w:rPr/>
        <mc:AlternateContent>
          <mc:Choice Requires="wps">
            <w:drawing>
              <wp:anchor distT="0" distB="0" distL="0" distR="0" allowOverlap="1" layoutInCell="1" locked="0" behindDoc="1" simplePos="0" relativeHeight="487757312">
                <wp:simplePos x="0" y="0"/>
                <wp:positionH relativeFrom="page">
                  <wp:posOffset>231444</wp:posOffset>
                </wp:positionH>
                <wp:positionV relativeFrom="paragraph">
                  <wp:posOffset>181244</wp:posOffset>
                </wp:positionV>
                <wp:extent cx="2400300" cy="17145"/>
                <wp:effectExtent l="0" t="0" r="0" b="0"/>
                <wp:wrapTopAndBottom/>
                <wp:docPr id="780" name="Graphic 780"/>
                <wp:cNvGraphicFramePr>
                  <a:graphicFrameLocks/>
                </wp:cNvGraphicFramePr>
                <a:graphic>
                  <a:graphicData uri="http://schemas.microsoft.com/office/word/2010/wordprocessingShape">
                    <wps:wsp>
                      <wps:cNvPr id="780" name="Graphic 780"/>
                      <wps:cNvSpPr/>
                      <wps:spPr>
                        <a:xfrm>
                          <a:off x="0" y="0"/>
                          <a:ext cx="2400300" cy="17145"/>
                        </a:xfrm>
                        <a:custGeom>
                          <a:avLst/>
                          <a:gdLst/>
                          <a:ahLst/>
                          <a:cxnLst/>
                          <a:rect l="l" t="t" r="r" b="b"/>
                          <a:pathLst>
                            <a:path w="2400300" h="17145">
                              <a:moveTo>
                                <a:pt x="2400300" y="0"/>
                              </a:moveTo>
                              <a:lnTo>
                                <a:pt x="2383155" y="0"/>
                              </a:lnTo>
                              <a:lnTo>
                                <a:pt x="68580" y="0"/>
                              </a:lnTo>
                              <a:lnTo>
                                <a:pt x="0" y="0"/>
                              </a:lnTo>
                              <a:lnTo>
                                <a:pt x="0" y="17145"/>
                              </a:lnTo>
                              <a:lnTo>
                                <a:pt x="68580" y="17145"/>
                              </a:lnTo>
                              <a:lnTo>
                                <a:pt x="2383155" y="17145"/>
                              </a:lnTo>
                              <a:lnTo>
                                <a:pt x="2400300" y="17145"/>
                              </a:lnTo>
                              <a:lnTo>
                                <a:pt x="2400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4.271197pt;width:189pt;height:1.35pt;mso-position-horizontal-relative:page;mso-position-vertical-relative:paragraph;z-index:-15559168;mso-wrap-distance-left:0;mso-wrap-distance-right:0" id="docshape778" coordorigin="364,285" coordsize="3780,27" path="m4144,285l4117,285,472,285,364,285,364,312,472,312,4117,312,4144,312,4144,28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57824">
                <wp:simplePos x="0" y="0"/>
                <wp:positionH relativeFrom="page">
                  <wp:posOffset>2708897</wp:posOffset>
                </wp:positionH>
                <wp:positionV relativeFrom="paragraph">
                  <wp:posOffset>181244</wp:posOffset>
                </wp:positionV>
                <wp:extent cx="3103245" cy="17145"/>
                <wp:effectExtent l="0" t="0" r="0" b="0"/>
                <wp:wrapTopAndBottom/>
                <wp:docPr id="781" name="Graphic 781"/>
                <wp:cNvGraphicFramePr>
                  <a:graphicFrameLocks/>
                </wp:cNvGraphicFramePr>
                <a:graphic>
                  <a:graphicData uri="http://schemas.microsoft.com/office/word/2010/wordprocessingShape">
                    <wps:wsp>
                      <wps:cNvPr id="781" name="Graphic 781"/>
                      <wps:cNvSpPr/>
                      <wps:spPr>
                        <a:xfrm>
                          <a:off x="0" y="0"/>
                          <a:ext cx="3103245" cy="17145"/>
                        </a:xfrm>
                        <a:custGeom>
                          <a:avLst/>
                          <a:gdLst/>
                          <a:ahLst/>
                          <a:cxnLst/>
                          <a:rect l="l" t="t" r="r" b="b"/>
                          <a:pathLst>
                            <a:path w="3103245" h="17145">
                              <a:moveTo>
                                <a:pt x="3103245" y="0"/>
                              </a:moveTo>
                              <a:lnTo>
                                <a:pt x="3086100" y="0"/>
                              </a:lnTo>
                              <a:lnTo>
                                <a:pt x="68580" y="0"/>
                              </a:lnTo>
                              <a:lnTo>
                                <a:pt x="0" y="0"/>
                              </a:lnTo>
                              <a:lnTo>
                                <a:pt x="0" y="17145"/>
                              </a:lnTo>
                              <a:lnTo>
                                <a:pt x="68580" y="17145"/>
                              </a:lnTo>
                              <a:lnTo>
                                <a:pt x="3086100" y="17145"/>
                              </a:lnTo>
                              <a:lnTo>
                                <a:pt x="3103245" y="17145"/>
                              </a:lnTo>
                              <a:lnTo>
                                <a:pt x="3103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299011pt;margin-top:14.271197pt;width:244.35pt;height:1.35pt;mso-position-horizontal-relative:page;mso-position-vertical-relative:paragraph;z-index:-15558656;mso-wrap-distance-left:0;mso-wrap-distance-right:0" id="docshape779" coordorigin="4266,285" coordsize="4887,27" path="m9153,285l9126,285,4374,285,4266,285,4266,312,4374,312,9126,312,9153,312,9153,28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58336">
                <wp:simplePos x="0" y="0"/>
                <wp:positionH relativeFrom="page">
                  <wp:posOffset>5872150</wp:posOffset>
                </wp:positionH>
                <wp:positionV relativeFrom="paragraph">
                  <wp:posOffset>181244</wp:posOffset>
                </wp:positionV>
                <wp:extent cx="1671955" cy="17145"/>
                <wp:effectExtent l="0" t="0" r="0" b="0"/>
                <wp:wrapTopAndBottom/>
                <wp:docPr id="782" name="Graphic 782"/>
                <wp:cNvGraphicFramePr>
                  <a:graphicFrameLocks/>
                </wp:cNvGraphicFramePr>
                <a:graphic>
                  <a:graphicData uri="http://schemas.microsoft.com/office/word/2010/wordprocessingShape">
                    <wps:wsp>
                      <wps:cNvPr id="782" name="Graphic 782"/>
                      <wps:cNvSpPr/>
                      <wps:spPr>
                        <a:xfrm>
                          <a:off x="0" y="0"/>
                          <a:ext cx="1671955" cy="17145"/>
                        </a:xfrm>
                        <a:custGeom>
                          <a:avLst/>
                          <a:gdLst/>
                          <a:ahLst/>
                          <a:cxnLst/>
                          <a:rect l="l" t="t" r="r" b="b"/>
                          <a:pathLst>
                            <a:path w="1671955" h="17145">
                              <a:moveTo>
                                <a:pt x="1671637" y="0"/>
                              </a:moveTo>
                              <a:lnTo>
                                <a:pt x="1654492" y="0"/>
                              </a:lnTo>
                              <a:lnTo>
                                <a:pt x="77152" y="0"/>
                              </a:lnTo>
                              <a:lnTo>
                                <a:pt x="0" y="0"/>
                              </a:lnTo>
                              <a:lnTo>
                                <a:pt x="0" y="17145"/>
                              </a:lnTo>
                              <a:lnTo>
                                <a:pt x="77152" y="17145"/>
                              </a:lnTo>
                              <a:lnTo>
                                <a:pt x="1654492" y="17145"/>
                              </a:lnTo>
                              <a:lnTo>
                                <a:pt x="1671637" y="17145"/>
                              </a:lnTo>
                              <a:lnTo>
                                <a:pt x="1671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2.374023pt;margin-top:14.271197pt;width:131.65pt;height:1.35pt;mso-position-horizontal-relative:page;mso-position-vertical-relative:paragraph;z-index:-15558144;mso-wrap-distance-left:0;mso-wrap-distance-right:0" id="docshape780" coordorigin="9247,285" coordsize="2633,27" path="m11880,285l11853,285,9369,285,9247,285,9247,312,9369,312,11853,312,11880,312,11880,285xe" filled="true" fillcolor="#000000" stroked="false">
                <v:path arrowok="t"/>
                <v:fill type="solid"/>
                <w10:wrap type="topAndBottom"/>
              </v:shape>
            </w:pict>
          </mc:Fallback>
        </mc:AlternateContent>
      </w:r>
      <w:r>
        <w:rPr>
          <w:spacing w:val="-2"/>
        </w:rPr>
        <w:t>Signature</w:t>
      </w:r>
      <w:r>
        <w:rPr/>
        <w:tab/>
      </w:r>
      <w:r>
        <w:rPr>
          <w:spacing w:val="-2"/>
        </w:rPr>
        <w:t>Title</w:t>
      </w:r>
      <w:r>
        <w:rPr/>
        <w:tab/>
      </w:r>
      <w:r>
        <w:rPr>
          <w:spacing w:val="-4"/>
        </w:rPr>
        <w:t>Date</w:t>
      </w:r>
    </w:p>
    <w:p>
      <w:pPr>
        <w:pStyle w:val="BodyText"/>
        <w:spacing w:before="4"/>
        <w:rPr>
          <w:b/>
          <w:sz w:val="11"/>
        </w:rPr>
      </w:pPr>
    </w:p>
    <w:p>
      <w:pPr>
        <w:spacing w:after="0"/>
        <w:rPr>
          <w:sz w:val="11"/>
        </w:rPr>
        <w:sectPr>
          <w:pgSz w:w="12240" w:h="15840"/>
          <w:pgMar w:top="1200" w:bottom="280" w:left="220" w:right="240"/>
        </w:sectPr>
      </w:pPr>
    </w:p>
    <w:p>
      <w:pPr>
        <w:pStyle w:val="BodyText"/>
        <w:tabs>
          <w:tab w:pos="5006" w:val="left" w:leader="none"/>
        </w:tabs>
        <w:spacing w:line="235" w:lineRule="auto" w:before="96"/>
        <w:ind w:left="5331" w:right="38" w:hanging="4328"/>
      </w:pPr>
      <w:r>
        <w:rPr/>
        <w:t>/s/ William J. Hornbuckle</w:t>
        <w:tab/>
        <w:t>Chief</w:t>
      </w:r>
      <w:r>
        <w:rPr>
          <w:spacing w:val="-11"/>
        </w:rPr>
        <w:t> </w:t>
      </w:r>
      <w:r>
        <w:rPr/>
        <w:t>Executive</w:t>
      </w:r>
      <w:r>
        <w:rPr>
          <w:spacing w:val="-11"/>
        </w:rPr>
        <w:t> </w:t>
      </w:r>
      <w:r>
        <w:rPr/>
        <w:t>Officer</w:t>
      </w:r>
      <w:r>
        <w:rPr>
          <w:spacing w:val="-11"/>
        </w:rPr>
        <w:t> </w:t>
      </w:r>
      <w:r>
        <w:rPr/>
        <w:t>and</w:t>
      </w:r>
      <w:r>
        <w:rPr>
          <w:spacing w:val="-11"/>
        </w:rPr>
        <w:t> </w:t>
      </w:r>
      <w:r>
        <w:rPr/>
        <w:t>President (Principal Executive Officer)</w:t>
      </w:r>
    </w:p>
    <w:p>
      <w:pPr>
        <w:pStyle w:val="BodyText"/>
        <w:spacing w:before="93"/>
        <w:ind w:left="1004"/>
      </w:pPr>
      <w:r>
        <w:rPr/>
        <w:br w:type="column"/>
      </w:r>
      <w:r>
        <w:rPr/>
        <w:t>February</w:t>
      </w:r>
      <w:r>
        <w:rPr>
          <w:spacing w:val="-1"/>
        </w:rPr>
        <w:t> </w:t>
      </w:r>
      <w:r>
        <w:rPr/>
        <w:t>24,</w:t>
      </w:r>
      <w:r>
        <w:rPr>
          <w:spacing w:val="-1"/>
        </w:rPr>
        <w:t> </w:t>
      </w:r>
      <w:r>
        <w:rPr>
          <w:spacing w:val="-4"/>
        </w:rPr>
        <w:t>2023</w:t>
      </w:r>
    </w:p>
    <w:p>
      <w:pPr>
        <w:spacing w:after="0"/>
        <w:sectPr>
          <w:type w:val="continuous"/>
          <w:pgSz w:w="12240" w:h="15840"/>
          <w:pgMar w:top="1040" w:bottom="280" w:left="220" w:right="240"/>
          <w:cols w:num="2" w:equalWidth="0">
            <w:col w:w="7792" w:space="886"/>
            <w:col w:w="3102"/>
          </w:cols>
        </w:sectPr>
      </w:pPr>
    </w:p>
    <w:p>
      <w:pPr>
        <w:pStyle w:val="BodyText"/>
        <w:spacing w:before="8"/>
        <w:rPr>
          <w:sz w:val="3"/>
        </w:rPr>
      </w:pPr>
    </w:p>
    <w:p>
      <w:pPr>
        <w:pStyle w:val="BodyText"/>
        <w:spacing w:line="20" w:lineRule="exact"/>
        <w:ind w:left="144"/>
        <w:rPr>
          <w:sz w:val="2"/>
        </w:rPr>
      </w:pPr>
      <w:r>
        <w:rPr>
          <w:sz w:val="2"/>
        </w:rPr>
        <mc:AlternateContent>
          <mc:Choice Requires="wps">
            <w:drawing>
              <wp:inline distT="0" distB="0" distL="0" distR="0">
                <wp:extent cx="2400300" cy="8890"/>
                <wp:effectExtent l="0" t="0" r="0" b="0"/>
                <wp:docPr id="783" name="Group 783"/>
                <wp:cNvGraphicFramePr>
                  <a:graphicFrameLocks/>
                </wp:cNvGraphicFramePr>
                <a:graphic>
                  <a:graphicData uri="http://schemas.microsoft.com/office/word/2010/wordprocessingGroup">
                    <wpg:wgp>
                      <wpg:cNvPr id="783" name="Group 783"/>
                      <wpg:cNvGrpSpPr/>
                      <wpg:grpSpPr>
                        <a:xfrm>
                          <a:off x="0" y="0"/>
                          <a:ext cx="2400300" cy="8890"/>
                          <a:chExt cx="2400300" cy="8890"/>
                        </a:xfrm>
                      </wpg:grpSpPr>
                      <wps:wsp>
                        <wps:cNvPr id="784" name="Graphic 784"/>
                        <wps:cNvSpPr/>
                        <wps:spPr>
                          <a:xfrm>
                            <a:off x="-12" y="-6"/>
                            <a:ext cx="2400300" cy="8890"/>
                          </a:xfrm>
                          <a:custGeom>
                            <a:avLst/>
                            <a:gdLst/>
                            <a:ahLst/>
                            <a:cxnLst/>
                            <a:rect l="l" t="t" r="r" b="b"/>
                            <a:pathLst>
                              <a:path w="2400300" h="8890">
                                <a:moveTo>
                                  <a:pt x="2400300" y="0"/>
                                </a:moveTo>
                                <a:lnTo>
                                  <a:pt x="2383155" y="0"/>
                                </a:lnTo>
                                <a:lnTo>
                                  <a:pt x="68580" y="0"/>
                                </a:lnTo>
                                <a:lnTo>
                                  <a:pt x="0" y="0"/>
                                </a:lnTo>
                                <a:lnTo>
                                  <a:pt x="0" y="8572"/>
                                </a:lnTo>
                                <a:lnTo>
                                  <a:pt x="68580" y="8572"/>
                                </a:lnTo>
                                <a:lnTo>
                                  <a:pt x="2383155"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9pt;height:.7pt;mso-position-horizontal-relative:char;mso-position-vertical-relative:line" id="docshapegroup781" coordorigin="0,0" coordsize="3780,14">
                <v:shape style="position:absolute;left:-1;top:0;width:3780;height:14" id="docshape782" coordorigin="0,0" coordsize="3780,14" path="m3780,0l3753,0,108,0,0,0,0,13,108,13,3753,13,3780,13,3780,0xe" filled="true" fillcolor="#000000" stroked="false">
                  <v:path arrowok="t"/>
                  <v:fill type="solid"/>
                </v:shape>
              </v:group>
            </w:pict>
          </mc:Fallback>
        </mc:AlternateContent>
      </w:r>
      <w:r>
        <w:rPr>
          <w:sz w:val="2"/>
        </w:rPr>
      </w:r>
    </w:p>
    <w:p>
      <w:pPr>
        <w:pStyle w:val="BodyText"/>
        <w:spacing w:before="14"/>
        <w:ind w:left="1109"/>
      </w:pPr>
      <w:r>
        <w:rPr/>
        <w:t>William</w:t>
      </w:r>
      <w:r>
        <w:rPr>
          <w:spacing w:val="-5"/>
        </w:rPr>
        <w:t> </w:t>
      </w:r>
      <w:r>
        <w:rPr/>
        <w:t>J.</w:t>
      </w:r>
      <w:r>
        <w:rPr>
          <w:spacing w:val="-5"/>
        </w:rPr>
        <w:t> </w:t>
      </w:r>
      <w:r>
        <w:rPr>
          <w:spacing w:val="-2"/>
        </w:rPr>
        <w:t>Hornbuckle</w:t>
      </w:r>
    </w:p>
    <w:p>
      <w:pPr>
        <w:pStyle w:val="BodyText"/>
        <w:spacing w:before="1"/>
        <w:rPr>
          <w:sz w:val="15"/>
        </w:rPr>
      </w:pPr>
    </w:p>
    <w:p>
      <w:pPr>
        <w:spacing w:after="0"/>
        <w:rPr>
          <w:sz w:val="15"/>
        </w:rPr>
        <w:sectPr>
          <w:type w:val="continuous"/>
          <w:pgSz w:w="12240" w:h="15840"/>
          <w:pgMar w:top="1040" w:bottom="280" w:left="220" w:right="240"/>
        </w:sectPr>
      </w:pPr>
    </w:p>
    <w:p>
      <w:pPr>
        <w:pStyle w:val="BodyText"/>
        <w:tabs>
          <w:tab w:pos="5026" w:val="left" w:leader="none"/>
        </w:tabs>
        <w:spacing w:line="235" w:lineRule="auto" w:before="96"/>
        <w:ind w:left="5356" w:right="38" w:hanging="4308"/>
      </w:pPr>
      <w:r>
        <w:rPr/>
        <w:t>/s/ Jonathan S. Halkyard</w:t>
        <w:tab/>
        <w:t>Chief</w:t>
      </w:r>
      <w:r>
        <w:rPr>
          <w:spacing w:val="-14"/>
        </w:rPr>
        <w:t> </w:t>
      </w:r>
      <w:r>
        <w:rPr/>
        <w:t>Financial</w:t>
      </w:r>
      <w:r>
        <w:rPr>
          <w:spacing w:val="-11"/>
        </w:rPr>
        <w:t> </w:t>
      </w:r>
      <w:r>
        <w:rPr/>
        <w:t>Officer</w:t>
      </w:r>
      <w:r>
        <w:rPr>
          <w:spacing w:val="-11"/>
        </w:rPr>
        <w:t> </w:t>
      </w:r>
      <w:r>
        <w:rPr/>
        <w:t>and</w:t>
      </w:r>
      <w:r>
        <w:rPr>
          <w:spacing w:val="-11"/>
        </w:rPr>
        <w:t> </w:t>
      </w:r>
      <w:r>
        <w:rPr/>
        <w:t>Treasurer (Principal Financial Officer)</w:t>
      </w:r>
    </w:p>
    <w:p>
      <w:pPr>
        <w:pStyle w:val="BodyText"/>
        <w:spacing w:before="92"/>
        <w:ind w:left="1048"/>
      </w:pPr>
      <w:r>
        <w:rPr/>
        <w:br w:type="column"/>
      </w:r>
      <w:r>
        <w:rPr/>
        <w:t>February</w:t>
      </w:r>
      <w:r>
        <w:rPr>
          <w:spacing w:val="-1"/>
        </w:rPr>
        <w:t> </w:t>
      </w:r>
      <w:r>
        <w:rPr/>
        <w:t>24,</w:t>
      </w:r>
      <w:r>
        <w:rPr>
          <w:spacing w:val="-1"/>
        </w:rPr>
        <w:t> </w:t>
      </w:r>
      <w:r>
        <w:rPr>
          <w:spacing w:val="-4"/>
        </w:rPr>
        <w:t>2023</w:t>
      </w:r>
    </w:p>
    <w:p>
      <w:pPr>
        <w:spacing w:after="0"/>
        <w:sectPr>
          <w:type w:val="continuous"/>
          <w:pgSz w:w="12240" w:h="15840"/>
          <w:pgMar w:top="1040" w:bottom="280" w:left="220" w:right="240"/>
          <w:cols w:num="2" w:equalWidth="0">
            <w:col w:w="7772" w:space="861"/>
            <w:col w:w="3147"/>
          </w:cols>
        </w:sectPr>
      </w:pPr>
    </w:p>
    <w:p>
      <w:pPr>
        <w:pStyle w:val="BodyText"/>
        <w:spacing w:before="6"/>
        <w:rPr>
          <w:sz w:val="2"/>
        </w:rPr>
      </w:pPr>
    </w:p>
    <w:p>
      <w:pPr>
        <w:pStyle w:val="BodyText"/>
        <w:spacing w:line="20" w:lineRule="exact"/>
        <w:ind w:left="144"/>
        <w:rPr>
          <w:sz w:val="2"/>
        </w:rPr>
      </w:pPr>
      <w:r>
        <w:rPr>
          <w:sz w:val="2"/>
        </w:rPr>
        <mc:AlternateContent>
          <mc:Choice Requires="wps">
            <w:drawing>
              <wp:inline distT="0" distB="0" distL="0" distR="0">
                <wp:extent cx="2400300" cy="8890"/>
                <wp:effectExtent l="0" t="0" r="0" b="0"/>
                <wp:docPr id="785" name="Group 785"/>
                <wp:cNvGraphicFramePr>
                  <a:graphicFrameLocks/>
                </wp:cNvGraphicFramePr>
                <a:graphic>
                  <a:graphicData uri="http://schemas.microsoft.com/office/word/2010/wordprocessingGroup">
                    <wpg:wgp>
                      <wpg:cNvPr id="785" name="Group 785"/>
                      <wpg:cNvGrpSpPr/>
                      <wpg:grpSpPr>
                        <a:xfrm>
                          <a:off x="0" y="0"/>
                          <a:ext cx="2400300" cy="8890"/>
                          <a:chExt cx="2400300" cy="8890"/>
                        </a:xfrm>
                      </wpg:grpSpPr>
                      <wps:wsp>
                        <wps:cNvPr id="786" name="Graphic 786"/>
                        <wps:cNvSpPr/>
                        <wps:spPr>
                          <a:xfrm>
                            <a:off x="-12" y="-6"/>
                            <a:ext cx="2400300" cy="8890"/>
                          </a:xfrm>
                          <a:custGeom>
                            <a:avLst/>
                            <a:gdLst/>
                            <a:ahLst/>
                            <a:cxnLst/>
                            <a:rect l="l" t="t" r="r" b="b"/>
                            <a:pathLst>
                              <a:path w="2400300" h="8890">
                                <a:moveTo>
                                  <a:pt x="2400300" y="0"/>
                                </a:moveTo>
                                <a:lnTo>
                                  <a:pt x="2383155" y="0"/>
                                </a:lnTo>
                                <a:lnTo>
                                  <a:pt x="68580" y="0"/>
                                </a:lnTo>
                                <a:lnTo>
                                  <a:pt x="0" y="0"/>
                                </a:lnTo>
                                <a:lnTo>
                                  <a:pt x="0" y="8572"/>
                                </a:lnTo>
                                <a:lnTo>
                                  <a:pt x="68580" y="8572"/>
                                </a:lnTo>
                                <a:lnTo>
                                  <a:pt x="2383155"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9pt;height:.7pt;mso-position-horizontal-relative:char;mso-position-vertical-relative:line" id="docshapegroup783" coordorigin="0,0" coordsize="3780,14">
                <v:shape style="position:absolute;left:-1;top:0;width:3780;height:14" id="docshape784" coordorigin="0,0" coordsize="3780,14" path="m3780,0l3753,0,108,0,0,0,0,13,108,13,3753,13,3780,13,3780,0xe" filled="true" fillcolor="#000000" stroked="false">
                  <v:path arrowok="t"/>
                  <v:fill type="solid"/>
                </v:shape>
              </v:group>
            </w:pict>
          </mc:Fallback>
        </mc:AlternateContent>
      </w:r>
      <w:r>
        <w:rPr>
          <w:sz w:val="2"/>
        </w:rPr>
      </w:r>
    </w:p>
    <w:p>
      <w:pPr>
        <w:pStyle w:val="BodyText"/>
        <w:spacing w:before="14"/>
        <w:ind w:left="1156"/>
      </w:pPr>
      <w:r>
        <w:rPr/>
        <w:t>Jonathan</w:t>
      </w:r>
      <w:r>
        <w:rPr>
          <w:spacing w:val="-1"/>
        </w:rPr>
        <w:t> </w:t>
      </w:r>
      <w:r>
        <w:rPr/>
        <w:t>S.</w:t>
      </w:r>
      <w:r>
        <w:rPr>
          <w:spacing w:val="-1"/>
        </w:rPr>
        <w:t> </w:t>
      </w:r>
      <w:r>
        <w:rPr>
          <w:spacing w:val="-2"/>
        </w:rPr>
        <w:t>Halkyard</w:t>
      </w:r>
    </w:p>
    <w:p>
      <w:pPr>
        <w:pStyle w:val="BodyText"/>
        <w:spacing w:before="1"/>
        <w:rPr>
          <w:sz w:val="15"/>
        </w:rPr>
      </w:pPr>
    </w:p>
    <w:p>
      <w:pPr>
        <w:spacing w:after="0"/>
        <w:rPr>
          <w:sz w:val="15"/>
        </w:rPr>
        <w:sectPr>
          <w:type w:val="continuous"/>
          <w:pgSz w:w="12240" w:h="15840"/>
          <w:pgMar w:top="1040" w:bottom="280" w:left="220" w:right="240"/>
        </w:sectPr>
      </w:pPr>
    </w:p>
    <w:p>
      <w:pPr>
        <w:pStyle w:val="BodyText"/>
        <w:tabs>
          <w:tab w:pos="4508" w:val="left" w:leader="none"/>
        </w:tabs>
        <w:spacing w:line="249" w:lineRule="auto" w:before="92"/>
        <w:ind w:left="5276" w:right="38" w:hanging="4050"/>
      </w:pPr>
      <w:r>
        <w:rPr/>
        <w:t>/s/ Todd R. Meinert</w:t>
        <w:tab/>
        <w:t>Senior</w:t>
      </w:r>
      <w:r>
        <w:rPr>
          <w:spacing w:val="-12"/>
        </w:rPr>
        <w:t> </w:t>
      </w:r>
      <w:r>
        <w:rPr/>
        <w:t>Vice</w:t>
      </w:r>
      <w:r>
        <w:rPr>
          <w:spacing w:val="-11"/>
        </w:rPr>
        <w:t> </w:t>
      </w:r>
      <w:r>
        <w:rPr/>
        <w:t>President</w:t>
      </w:r>
      <w:r>
        <w:rPr>
          <w:spacing w:val="-11"/>
        </w:rPr>
        <w:t> </w:t>
      </w:r>
      <w:r>
        <w:rPr/>
        <w:t>and</w:t>
      </w:r>
      <w:r>
        <w:rPr>
          <w:spacing w:val="-11"/>
        </w:rPr>
        <w:t> </w:t>
      </w:r>
      <w:r>
        <w:rPr/>
        <w:t>Chief</w:t>
      </w:r>
      <w:r>
        <w:rPr>
          <w:spacing w:val="-11"/>
        </w:rPr>
        <w:t> </w:t>
      </w:r>
      <w:r>
        <w:rPr/>
        <w:t>Accounting</w:t>
      </w:r>
      <w:r>
        <w:rPr>
          <w:spacing w:val="-10"/>
        </w:rPr>
        <w:t> </w:t>
      </w:r>
      <w:r>
        <w:rPr/>
        <w:t>Officer (Principal Accounting Officer)</w:t>
      </w:r>
    </w:p>
    <w:p>
      <w:pPr>
        <w:pStyle w:val="BodyText"/>
        <w:spacing w:before="92"/>
        <w:ind w:left="1226"/>
      </w:pPr>
      <w:r>
        <w:rPr/>
        <w:br w:type="column"/>
      </w:r>
      <w:r>
        <w:rPr/>
        <w:t>February</w:t>
      </w:r>
      <w:r>
        <w:rPr>
          <w:spacing w:val="-1"/>
        </w:rPr>
        <w:t> </w:t>
      </w:r>
      <w:r>
        <w:rPr/>
        <w:t>24,</w:t>
      </w:r>
      <w:r>
        <w:rPr>
          <w:spacing w:val="-1"/>
        </w:rPr>
        <w:t> </w:t>
      </w:r>
      <w:r>
        <w:rPr>
          <w:spacing w:val="-4"/>
        </w:rPr>
        <w:t>2023</w:t>
      </w:r>
    </w:p>
    <w:p>
      <w:pPr>
        <w:spacing w:after="0"/>
        <w:sectPr>
          <w:type w:val="continuous"/>
          <w:pgSz w:w="12240" w:h="15840"/>
          <w:pgMar w:top="1040" w:bottom="280" w:left="220" w:right="240"/>
          <w:cols w:num="2" w:equalWidth="0">
            <w:col w:w="8290" w:space="165"/>
            <w:col w:w="3325"/>
          </w:cols>
        </w:sectPr>
      </w:pPr>
    </w:p>
    <w:p>
      <w:pPr>
        <w:pStyle w:val="BodyText"/>
        <w:spacing w:line="20" w:lineRule="exact"/>
        <w:ind w:left="144"/>
        <w:rPr>
          <w:sz w:val="2"/>
        </w:rPr>
      </w:pPr>
      <w:r>
        <w:rPr>
          <w:sz w:val="2"/>
        </w:rPr>
        <mc:AlternateContent>
          <mc:Choice Requires="wps">
            <w:drawing>
              <wp:inline distT="0" distB="0" distL="0" distR="0">
                <wp:extent cx="2400300" cy="8890"/>
                <wp:effectExtent l="0" t="0" r="0" b="0"/>
                <wp:docPr id="787" name="Group 787"/>
                <wp:cNvGraphicFramePr>
                  <a:graphicFrameLocks/>
                </wp:cNvGraphicFramePr>
                <a:graphic>
                  <a:graphicData uri="http://schemas.microsoft.com/office/word/2010/wordprocessingGroup">
                    <wpg:wgp>
                      <wpg:cNvPr id="787" name="Group 787"/>
                      <wpg:cNvGrpSpPr/>
                      <wpg:grpSpPr>
                        <a:xfrm>
                          <a:off x="0" y="0"/>
                          <a:ext cx="2400300" cy="8890"/>
                          <a:chExt cx="2400300" cy="8890"/>
                        </a:xfrm>
                      </wpg:grpSpPr>
                      <wps:wsp>
                        <wps:cNvPr id="788" name="Graphic 788"/>
                        <wps:cNvSpPr/>
                        <wps:spPr>
                          <a:xfrm>
                            <a:off x="-12" y="-6"/>
                            <a:ext cx="2400300" cy="8890"/>
                          </a:xfrm>
                          <a:custGeom>
                            <a:avLst/>
                            <a:gdLst/>
                            <a:ahLst/>
                            <a:cxnLst/>
                            <a:rect l="l" t="t" r="r" b="b"/>
                            <a:pathLst>
                              <a:path w="2400300" h="8890">
                                <a:moveTo>
                                  <a:pt x="2400300" y="0"/>
                                </a:moveTo>
                                <a:lnTo>
                                  <a:pt x="2383155" y="0"/>
                                </a:lnTo>
                                <a:lnTo>
                                  <a:pt x="68580" y="0"/>
                                </a:lnTo>
                                <a:lnTo>
                                  <a:pt x="0" y="0"/>
                                </a:lnTo>
                                <a:lnTo>
                                  <a:pt x="0" y="8572"/>
                                </a:lnTo>
                                <a:lnTo>
                                  <a:pt x="68580" y="8572"/>
                                </a:lnTo>
                                <a:lnTo>
                                  <a:pt x="2383155"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9pt;height:.7pt;mso-position-horizontal-relative:char;mso-position-vertical-relative:line" id="docshapegroup785" coordorigin="0,0" coordsize="3780,14">
                <v:shape style="position:absolute;left:-1;top:0;width:3780;height:14" id="docshape786" coordorigin="0,0" coordsize="3780,14" path="m3780,0l3753,0,108,0,0,0,0,13,108,13,3753,13,3780,13,3780,0xe" filled="true" fillcolor="#000000" stroked="false">
                  <v:path arrowok="t"/>
                  <v:fill type="solid"/>
                </v:shape>
              </v:group>
            </w:pict>
          </mc:Fallback>
        </mc:AlternateContent>
      </w:r>
      <w:r>
        <w:rPr>
          <w:sz w:val="2"/>
        </w:rPr>
      </w:r>
    </w:p>
    <w:p>
      <w:pPr>
        <w:pStyle w:val="BodyText"/>
        <w:spacing w:before="36"/>
        <w:ind w:left="88" w:right="8009"/>
        <w:jc w:val="center"/>
      </w:pPr>
      <w:r>
        <w:rPr/>
        <w:t>Todd</w:t>
      </w:r>
      <w:r>
        <w:rPr>
          <w:spacing w:val="-8"/>
        </w:rPr>
        <w:t> </w:t>
      </w:r>
      <w:r>
        <w:rPr/>
        <w:t>R.</w:t>
      </w:r>
      <w:r>
        <w:rPr>
          <w:spacing w:val="-7"/>
        </w:rPr>
        <w:t> </w:t>
      </w:r>
      <w:r>
        <w:rPr>
          <w:spacing w:val="-2"/>
        </w:rPr>
        <w:t>Meinert</w:t>
      </w:r>
    </w:p>
    <w:p>
      <w:pPr>
        <w:pStyle w:val="BodyText"/>
        <w:spacing w:before="58"/>
      </w:pPr>
    </w:p>
    <w:p>
      <w:pPr>
        <w:pStyle w:val="BodyText"/>
        <w:tabs>
          <w:tab w:pos="5552" w:val="left" w:leader="none"/>
          <w:tab w:pos="9681" w:val="left" w:leader="none"/>
        </w:tabs>
        <w:spacing w:line="547" w:lineRule="auto"/>
        <w:ind w:left="1441" w:right="771" w:hanging="108"/>
      </w:pPr>
      <w:r>
        <w:rPr/>
        <mc:AlternateContent>
          <mc:Choice Requires="wps">
            <w:drawing>
              <wp:anchor distT="0" distB="0" distL="0" distR="0" allowOverlap="1" layoutInCell="1" locked="0" behindDoc="0" simplePos="0" relativeHeight="15903232">
                <wp:simplePos x="0" y="0"/>
                <wp:positionH relativeFrom="page">
                  <wp:posOffset>231444</wp:posOffset>
                </wp:positionH>
                <wp:positionV relativeFrom="paragraph">
                  <wp:posOffset>278581</wp:posOffset>
                </wp:positionV>
                <wp:extent cx="2400300" cy="8890"/>
                <wp:effectExtent l="0" t="0" r="0" b="0"/>
                <wp:wrapNone/>
                <wp:docPr id="789" name="Graphic 789"/>
                <wp:cNvGraphicFramePr>
                  <a:graphicFrameLocks/>
                </wp:cNvGraphicFramePr>
                <a:graphic>
                  <a:graphicData uri="http://schemas.microsoft.com/office/word/2010/wordprocessingShape">
                    <wps:wsp>
                      <wps:cNvPr id="789" name="Graphic 789"/>
                      <wps:cNvSpPr/>
                      <wps:spPr>
                        <a:xfrm>
                          <a:off x="0" y="0"/>
                          <a:ext cx="2400300" cy="8890"/>
                        </a:xfrm>
                        <a:custGeom>
                          <a:avLst/>
                          <a:gdLst/>
                          <a:ahLst/>
                          <a:cxnLst/>
                          <a:rect l="l" t="t" r="r" b="b"/>
                          <a:pathLst>
                            <a:path w="2400300" h="8890">
                              <a:moveTo>
                                <a:pt x="2400300" y="0"/>
                              </a:moveTo>
                              <a:lnTo>
                                <a:pt x="2383155" y="0"/>
                              </a:lnTo>
                              <a:lnTo>
                                <a:pt x="68580" y="0"/>
                              </a:lnTo>
                              <a:lnTo>
                                <a:pt x="0" y="0"/>
                              </a:lnTo>
                              <a:lnTo>
                                <a:pt x="0" y="8572"/>
                              </a:lnTo>
                              <a:lnTo>
                                <a:pt x="68580" y="8572"/>
                              </a:lnTo>
                              <a:lnTo>
                                <a:pt x="2383155"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21.935551pt;width:189pt;height:.7pt;mso-position-horizontal-relative:page;mso-position-vertical-relative:paragraph;z-index:15903232" id="docshape787" coordorigin="364,439" coordsize="3780,14" path="m4144,439l4117,439,472,439,364,439,364,452,472,452,4117,452,4144,452,4144,439xe" filled="true" fillcolor="#000000" stroked="false">
                <v:path arrowok="t"/>
                <v:fill type="solid"/>
                <w10:wrap type="none"/>
              </v:shape>
            </w:pict>
          </mc:Fallback>
        </mc:AlternateContent>
      </w:r>
      <w:r>
        <w:rPr/>
        <w:t>/s/ Paul J. Salem</w:t>
        <w:tab/>
        <w:t>Chairman of the Board</w:t>
        <w:tab/>
        <w:t>February</w:t>
      </w:r>
      <w:r>
        <w:rPr>
          <w:spacing w:val="-12"/>
        </w:rPr>
        <w:t> </w:t>
      </w:r>
      <w:r>
        <w:rPr/>
        <w:t>24,</w:t>
      </w:r>
      <w:r>
        <w:rPr>
          <w:spacing w:val="-11"/>
        </w:rPr>
        <w:t> </w:t>
      </w:r>
      <w:r>
        <w:rPr/>
        <w:t>2023 Paul J. Salem</w:t>
      </w:r>
    </w:p>
    <w:p>
      <w:pPr>
        <w:pStyle w:val="BodyText"/>
        <w:tabs>
          <w:tab w:pos="5080" w:val="left" w:leader="none"/>
          <w:tab w:pos="8575" w:val="left" w:leader="none"/>
        </w:tabs>
        <w:spacing w:line="195" w:lineRule="exact"/>
        <w:ind w:right="771"/>
        <w:jc w:val="right"/>
      </w:pPr>
      <w:r>
        <w:rPr/>
        <w:t>/s/</w:t>
      </w:r>
      <w:r>
        <w:rPr>
          <w:spacing w:val="-1"/>
        </w:rPr>
        <w:t> </w:t>
      </w:r>
      <w:r>
        <w:rPr/>
        <w:t>Mary</w:t>
      </w:r>
      <w:r>
        <w:rPr>
          <w:spacing w:val="-1"/>
        </w:rPr>
        <w:t> </w:t>
      </w:r>
      <w:r>
        <w:rPr/>
        <w:t>Chris</w:t>
      </w:r>
      <w:r>
        <w:rPr>
          <w:spacing w:val="-1"/>
        </w:rPr>
        <w:t> </w:t>
      </w:r>
      <w:r>
        <w:rPr>
          <w:spacing w:val="-2"/>
        </w:rPr>
        <w:t>Jammet</w:t>
      </w:r>
      <w:r>
        <w:rPr/>
        <w:tab/>
      </w:r>
      <w:r>
        <w:rPr>
          <w:spacing w:val="-2"/>
        </w:rPr>
        <w:t>Director</w:t>
      </w:r>
      <w:r>
        <w:rPr/>
        <w:tab/>
        <w:t>February</w:t>
      </w:r>
      <w:r>
        <w:rPr>
          <w:spacing w:val="-3"/>
        </w:rPr>
        <w:t> </w:t>
      </w:r>
      <w:r>
        <w:rPr/>
        <w:t>24,</w:t>
      </w:r>
      <w:r>
        <w:rPr>
          <w:spacing w:val="-1"/>
        </w:rPr>
        <w:t> </w:t>
      </w:r>
      <w:r>
        <w:rPr>
          <w:spacing w:val="-4"/>
        </w:rPr>
        <w:t>2023</w:t>
      </w:r>
    </w:p>
    <w:p>
      <w:pPr>
        <w:pStyle w:val="BodyText"/>
        <w:spacing w:before="2"/>
        <w:rPr>
          <w:sz w:val="19"/>
        </w:rPr>
      </w:pPr>
      <w:r>
        <w:rPr/>
        <mc:AlternateContent>
          <mc:Choice Requires="wps">
            <w:drawing>
              <wp:anchor distT="0" distB="0" distL="0" distR="0" allowOverlap="1" layoutInCell="1" locked="0" behindDoc="1" simplePos="0" relativeHeight="487760384">
                <wp:simplePos x="0" y="0"/>
                <wp:positionH relativeFrom="page">
                  <wp:posOffset>231444</wp:posOffset>
                </wp:positionH>
                <wp:positionV relativeFrom="paragraph">
                  <wp:posOffset>155720</wp:posOffset>
                </wp:positionV>
                <wp:extent cx="2400300" cy="8890"/>
                <wp:effectExtent l="0" t="0" r="0" b="0"/>
                <wp:wrapTopAndBottom/>
                <wp:docPr id="790" name="Graphic 790"/>
                <wp:cNvGraphicFramePr>
                  <a:graphicFrameLocks/>
                </wp:cNvGraphicFramePr>
                <a:graphic>
                  <a:graphicData uri="http://schemas.microsoft.com/office/word/2010/wordprocessingShape">
                    <wps:wsp>
                      <wps:cNvPr id="790" name="Graphic 790"/>
                      <wps:cNvSpPr/>
                      <wps:spPr>
                        <a:xfrm>
                          <a:off x="0" y="0"/>
                          <a:ext cx="2400300" cy="8890"/>
                        </a:xfrm>
                        <a:custGeom>
                          <a:avLst/>
                          <a:gdLst/>
                          <a:ahLst/>
                          <a:cxnLst/>
                          <a:rect l="l" t="t" r="r" b="b"/>
                          <a:pathLst>
                            <a:path w="2400300" h="8890">
                              <a:moveTo>
                                <a:pt x="2400300" y="0"/>
                              </a:moveTo>
                              <a:lnTo>
                                <a:pt x="2383155" y="0"/>
                              </a:lnTo>
                              <a:lnTo>
                                <a:pt x="68580" y="0"/>
                              </a:lnTo>
                              <a:lnTo>
                                <a:pt x="0" y="0"/>
                              </a:lnTo>
                              <a:lnTo>
                                <a:pt x="0" y="8572"/>
                              </a:lnTo>
                              <a:lnTo>
                                <a:pt x="68580" y="8572"/>
                              </a:lnTo>
                              <a:lnTo>
                                <a:pt x="2383155"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261418pt;width:189pt;height:.7pt;mso-position-horizontal-relative:page;mso-position-vertical-relative:paragraph;z-index:-15556096;mso-wrap-distance-left:0;mso-wrap-distance-right:0" id="docshape788" coordorigin="364,245" coordsize="3780,14" path="m4144,245l4117,245,472,245,364,245,364,259,472,259,4117,259,4144,259,4144,245xe" filled="true" fillcolor="#000000" stroked="false">
                <v:path arrowok="t"/>
                <v:fill type="solid"/>
                <w10:wrap type="topAndBottom"/>
              </v:shape>
            </w:pict>
          </mc:Fallback>
        </mc:AlternateContent>
      </w:r>
    </w:p>
    <w:p>
      <w:pPr>
        <w:pStyle w:val="BodyText"/>
        <w:spacing w:before="21"/>
        <w:ind w:left="88" w:right="8009"/>
        <w:jc w:val="center"/>
      </w:pPr>
      <w:r>
        <w:rPr/>
        <w:t>Mary</w:t>
      </w:r>
      <w:r>
        <w:rPr>
          <w:spacing w:val="-1"/>
        </w:rPr>
        <w:t> </w:t>
      </w:r>
      <w:r>
        <w:rPr/>
        <w:t>Chris</w:t>
      </w:r>
      <w:r>
        <w:rPr>
          <w:spacing w:val="-1"/>
        </w:rPr>
        <w:t> </w:t>
      </w:r>
      <w:r>
        <w:rPr>
          <w:spacing w:val="-2"/>
        </w:rPr>
        <w:t>Jammet</w:t>
      </w:r>
    </w:p>
    <w:p>
      <w:pPr>
        <w:pStyle w:val="BodyText"/>
        <w:spacing w:before="44"/>
      </w:pPr>
    </w:p>
    <w:p>
      <w:pPr>
        <w:pStyle w:val="BodyText"/>
        <w:tabs>
          <w:tab w:pos="6187" w:val="left" w:leader="none"/>
          <w:tab w:pos="9681" w:val="left" w:leader="none"/>
        </w:tabs>
        <w:spacing w:line="547" w:lineRule="auto" w:before="1"/>
        <w:ind w:left="1491" w:right="771" w:hanging="108"/>
      </w:pPr>
      <w:r>
        <w:rPr/>
        <mc:AlternateContent>
          <mc:Choice Requires="wps">
            <w:drawing>
              <wp:anchor distT="0" distB="0" distL="0" distR="0" allowOverlap="1" layoutInCell="1" locked="0" behindDoc="0" simplePos="0" relativeHeight="15903744">
                <wp:simplePos x="0" y="0"/>
                <wp:positionH relativeFrom="page">
                  <wp:posOffset>231444</wp:posOffset>
                </wp:positionH>
                <wp:positionV relativeFrom="paragraph">
                  <wp:posOffset>278781</wp:posOffset>
                </wp:positionV>
                <wp:extent cx="2400300" cy="8890"/>
                <wp:effectExtent l="0" t="0" r="0" b="0"/>
                <wp:wrapNone/>
                <wp:docPr id="791" name="Graphic 791"/>
                <wp:cNvGraphicFramePr>
                  <a:graphicFrameLocks/>
                </wp:cNvGraphicFramePr>
                <a:graphic>
                  <a:graphicData uri="http://schemas.microsoft.com/office/word/2010/wordprocessingShape">
                    <wps:wsp>
                      <wps:cNvPr id="791" name="Graphic 791"/>
                      <wps:cNvSpPr/>
                      <wps:spPr>
                        <a:xfrm>
                          <a:off x="0" y="0"/>
                          <a:ext cx="2400300" cy="8890"/>
                        </a:xfrm>
                        <a:custGeom>
                          <a:avLst/>
                          <a:gdLst/>
                          <a:ahLst/>
                          <a:cxnLst/>
                          <a:rect l="l" t="t" r="r" b="b"/>
                          <a:pathLst>
                            <a:path w="2400300" h="8890">
                              <a:moveTo>
                                <a:pt x="2400300" y="0"/>
                              </a:moveTo>
                              <a:lnTo>
                                <a:pt x="2383155" y="0"/>
                              </a:lnTo>
                              <a:lnTo>
                                <a:pt x="68580" y="0"/>
                              </a:lnTo>
                              <a:lnTo>
                                <a:pt x="0" y="0"/>
                              </a:lnTo>
                              <a:lnTo>
                                <a:pt x="0" y="8572"/>
                              </a:lnTo>
                              <a:lnTo>
                                <a:pt x="68580" y="8572"/>
                              </a:lnTo>
                              <a:lnTo>
                                <a:pt x="2383155"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21.951292pt;width:189pt;height:.7pt;mso-position-horizontal-relative:page;mso-position-vertical-relative:paragraph;z-index:15903744" id="docshape789" coordorigin="364,439" coordsize="3780,14" path="m4144,439l4117,439,472,439,364,439,364,453,472,453,4117,453,4144,453,4144,439xe" filled="true" fillcolor="#000000" stroked="false">
                <v:path arrowok="t"/>
                <v:fill type="solid"/>
                <w10:wrap type="none"/>
              </v:shape>
            </w:pict>
          </mc:Fallback>
        </mc:AlternateContent>
      </w:r>
      <w:r>
        <w:rPr/>
        <w:t>/s/ Barry Diller</w:t>
        <w:tab/>
      </w:r>
      <w:r>
        <w:rPr>
          <w:spacing w:val="-2"/>
        </w:rPr>
        <w:t>Director</w:t>
      </w:r>
      <w:r>
        <w:rPr/>
        <w:tab/>
        <w:t>February</w:t>
      </w:r>
      <w:r>
        <w:rPr>
          <w:spacing w:val="-12"/>
        </w:rPr>
        <w:t> </w:t>
      </w:r>
      <w:r>
        <w:rPr/>
        <w:t>24,</w:t>
      </w:r>
      <w:r>
        <w:rPr>
          <w:spacing w:val="-11"/>
        </w:rPr>
        <w:t> </w:t>
      </w:r>
      <w:r>
        <w:rPr/>
        <w:t>2023 Barry Diller</w:t>
      </w:r>
    </w:p>
    <w:p>
      <w:pPr>
        <w:pStyle w:val="BodyText"/>
        <w:tabs>
          <w:tab w:pos="6187" w:val="left" w:leader="none"/>
          <w:tab w:pos="9681" w:val="left" w:leader="none"/>
        </w:tabs>
        <w:spacing w:line="547" w:lineRule="auto" w:before="1"/>
        <w:ind w:left="1364" w:right="771" w:hanging="211"/>
      </w:pPr>
      <w:r>
        <w:rPr/>
        <mc:AlternateContent>
          <mc:Choice Requires="wps">
            <w:drawing>
              <wp:anchor distT="0" distB="0" distL="0" distR="0" allowOverlap="1" layoutInCell="1" locked="0" behindDoc="0" simplePos="0" relativeHeight="15904256">
                <wp:simplePos x="0" y="0"/>
                <wp:positionH relativeFrom="page">
                  <wp:posOffset>231444</wp:posOffset>
                </wp:positionH>
                <wp:positionV relativeFrom="paragraph">
                  <wp:posOffset>278883</wp:posOffset>
                </wp:positionV>
                <wp:extent cx="2400300" cy="8890"/>
                <wp:effectExtent l="0" t="0" r="0" b="0"/>
                <wp:wrapNone/>
                <wp:docPr id="792" name="Graphic 792"/>
                <wp:cNvGraphicFramePr>
                  <a:graphicFrameLocks/>
                </wp:cNvGraphicFramePr>
                <a:graphic>
                  <a:graphicData uri="http://schemas.microsoft.com/office/word/2010/wordprocessingShape">
                    <wps:wsp>
                      <wps:cNvPr id="792" name="Graphic 792"/>
                      <wps:cNvSpPr/>
                      <wps:spPr>
                        <a:xfrm>
                          <a:off x="0" y="0"/>
                          <a:ext cx="2400300" cy="8890"/>
                        </a:xfrm>
                        <a:custGeom>
                          <a:avLst/>
                          <a:gdLst/>
                          <a:ahLst/>
                          <a:cxnLst/>
                          <a:rect l="l" t="t" r="r" b="b"/>
                          <a:pathLst>
                            <a:path w="2400300" h="8890">
                              <a:moveTo>
                                <a:pt x="2400300" y="0"/>
                              </a:moveTo>
                              <a:lnTo>
                                <a:pt x="2383155" y="0"/>
                              </a:lnTo>
                              <a:lnTo>
                                <a:pt x="68580" y="0"/>
                              </a:lnTo>
                              <a:lnTo>
                                <a:pt x="0" y="0"/>
                              </a:lnTo>
                              <a:lnTo>
                                <a:pt x="0" y="8572"/>
                              </a:lnTo>
                              <a:lnTo>
                                <a:pt x="68580" y="8572"/>
                              </a:lnTo>
                              <a:lnTo>
                                <a:pt x="2383155"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21.959303pt;width:189pt;height:.7pt;mso-position-horizontal-relative:page;mso-position-vertical-relative:paragraph;z-index:15904256" id="docshape790" coordorigin="364,439" coordsize="3780,14" path="m4144,439l4117,439,472,439,364,439,364,453,472,453,4117,453,4144,453,4144,439xe" filled="true" fillcolor="#000000" stroked="false">
                <v:path arrowok="t"/>
                <v:fill type="solid"/>
                <w10:wrap type="none"/>
              </v:shape>
            </w:pict>
          </mc:Fallback>
        </mc:AlternateContent>
      </w:r>
      <w:r>
        <w:rPr/>
        <w:t>/s/ Alexis M. Herman</w:t>
        <w:tab/>
      </w:r>
      <w:r>
        <w:rPr>
          <w:spacing w:val="-2"/>
        </w:rPr>
        <w:t>Director</w:t>
      </w:r>
      <w:r>
        <w:rPr/>
        <w:tab/>
        <w:t>February</w:t>
      </w:r>
      <w:r>
        <w:rPr>
          <w:spacing w:val="-12"/>
        </w:rPr>
        <w:t> </w:t>
      </w:r>
      <w:r>
        <w:rPr/>
        <w:t>24,</w:t>
      </w:r>
      <w:r>
        <w:rPr>
          <w:spacing w:val="-11"/>
        </w:rPr>
        <w:t> </w:t>
      </w:r>
      <w:r>
        <w:rPr/>
        <w:t>2023 Alexis M. Herman</w:t>
      </w:r>
    </w:p>
    <w:p>
      <w:pPr>
        <w:pStyle w:val="BodyText"/>
        <w:tabs>
          <w:tab w:pos="4860" w:val="left" w:leader="none"/>
          <w:tab w:pos="8355" w:val="left" w:leader="none"/>
        </w:tabs>
        <w:spacing w:line="195" w:lineRule="exact"/>
        <w:ind w:right="771"/>
        <w:jc w:val="right"/>
      </w:pPr>
      <w:r>
        <w:rPr/>
        <w:t>/s/</w:t>
      </w:r>
      <w:r>
        <w:rPr>
          <w:spacing w:val="-1"/>
        </w:rPr>
        <w:t> </w:t>
      </w:r>
      <w:r>
        <w:rPr/>
        <w:t>Joseph</w:t>
      </w:r>
      <w:r>
        <w:rPr>
          <w:spacing w:val="-1"/>
        </w:rPr>
        <w:t> </w:t>
      </w:r>
      <w:r>
        <w:rPr/>
        <w:t>M.</w:t>
      </w:r>
      <w:r>
        <w:rPr>
          <w:spacing w:val="-1"/>
        </w:rPr>
        <w:t> </w:t>
      </w:r>
      <w:r>
        <w:rPr>
          <w:spacing w:val="-4"/>
        </w:rPr>
        <w:t>Levin</w:t>
      </w:r>
      <w:r>
        <w:rPr/>
        <w:tab/>
      </w:r>
      <w:r>
        <w:rPr>
          <w:spacing w:val="-2"/>
        </w:rPr>
        <w:t>Director</w:t>
      </w:r>
      <w:r>
        <w:rPr/>
        <w:tab/>
        <w:t>February</w:t>
      </w:r>
      <w:r>
        <w:rPr>
          <w:spacing w:val="-3"/>
        </w:rPr>
        <w:t> </w:t>
      </w:r>
      <w:r>
        <w:rPr/>
        <w:t>24,</w:t>
      </w:r>
      <w:r>
        <w:rPr>
          <w:spacing w:val="-1"/>
        </w:rPr>
        <w:t> </w:t>
      </w:r>
      <w:r>
        <w:rPr>
          <w:spacing w:val="-4"/>
        </w:rPr>
        <w:t>2023</w:t>
      </w:r>
    </w:p>
    <w:p>
      <w:pPr>
        <w:pStyle w:val="BodyText"/>
        <w:spacing w:before="2"/>
        <w:rPr>
          <w:sz w:val="19"/>
        </w:rPr>
      </w:pPr>
      <w:r>
        <w:rPr/>
        <mc:AlternateContent>
          <mc:Choice Requires="wps">
            <w:drawing>
              <wp:anchor distT="0" distB="0" distL="0" distR="0" allowOverlap="1" layoutInCell="1" locked="0" behindDoc="1" simplePos="0" relativeHeight="487760896">
                <wp:simplePos x="0" y="0"/>
                <wp:positionH relativeFrom="page">
                  <wp:posOffset>231444</wp:posOffset>
                </wp:positionH>
                <wp:positionV relativeFrom="paragraph">
                  <wp:posOffset>155386</wp:posOffset>
                </wp:positionV>
                <wp:extent cx="2400300" cy="8890"/>
                <wp:effectExtent l="0" t="0" r="0" b="0"/>
                <wp:wrapTopAndBottom/>
                <wp:docPr id="793" name="Graphic 793"/>
                <wp:cNvGraphicFramePr>
                  <a:graphicFrameLocks/>
                </wp:cNvGraphicFramePr>
                <a:graphic>
                  <a:graphicData uri="http://schemas.microsoft.com/office/word/2010/wordprocessingShape">
                    <wps:wsp>
                      <wps:cNvPr id="793" name="Graphic 793"/>
                      <wps:cNvSpPr/>
                      <wps:spPr>
                        <a:xfrm>
                          <a:off x="0" y="0"/>
                          <a:ext cx="2400300" cy="8890"/>
                        </a:xfrm>
                        <a:custGeom>
                          <a:avLst/>
                          <a:gdLst/>
                          <a:ahLst/>
                          <a:cxnLst/>
                          <a:rect l="l" t="t" r="r" b="b"/>
                          <a:pathLst>
                            <a:path w="2400300" h="8890">
                              <a:moveTo>
                                <a:pt x="2400300" y="0"/>
                              </a:moveTo>
                              <a:lnTo>
                                <a:pt x="2383155" y="0"/>
                              </a:lnTo>
                              <a:lnTo>
                                <a:pt x="68580" y="0"/>
                              </a:lnTo>
                              <a:lnTo>
                                <a:pt x="0" y="0"/>
                              </a:lnTo>
                              <a:lnTo>
                                <a:pt x="0" y="8572"/>
                              </a:lnTo>
                              <a:lnTo>
                                <a:pt x="68580" y="8572"/>
                              </a:lnTo>
                              <a:lnTo>
                                <a:pt x="2383155"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235187pt;width:189pt;height:.7pt;mso-position-horizontal-relative:page;mso-position-vertical-relative:paragraph;z-index:-15555584;mso-wrap-distance-left:0;mso-wrap-distance-right:0" id="docshape791" coordorigin="364,245" coordsize="3780,14" path="m4144,245l4117,245,472,245,364,245,364,258,472,258,4117,258,4144,258,4144,245xe" filled="true" fillcolor="#000000" stroked="false">
                <v:path arrowok="t"/>
                <v:fill type="solid"/>
                <w10:wrap type="topAndBottom"/>
              </v:shape>
            </w:pict>
          </mc:Fallback>
        </mc:AlternateContent>
      </w:r>
    </w:p>
    <w:p>
      <w:pPr>
        <w:pStyle w:val="BodyText"/>
        <w:spacing w:before="21"/>
        <w:ind w:left="1434"/>
      </w:pPr>
      <w:r>
        <w:rPr/>
        <w:t>Joseph</w:t>
      </w:r>
      <w:r>
        <w:rPr>
          <w:spacing w:val="-1"/>
        </w:rPr>
        <w:t> </w:t>
      </w:r>
      <w:r>
        <w:rPr/>
        <w:t>M.</w:t>
      </w:r>
      <w:r>
        <w:rPr>
          <w:spacing w:val="-1"/>
        </w:rPr>
        <w:t> </w:t>
      </w:r>
      <w:r>
        <w:rPr>
          <w:spacing w:val="-2"/>
        </w:rPr>
        <w:t>Levin</w:t>
      </w:r>
    </w:p>
    <w:p>
      <w:pPr>
        <w:pStyle w:val="BodyText"/>
        <w:spacing w:before="44"/>
      </w:pPr>
    </w:p>
    <w:p>
      <w:pPr>
        <w:pStyle w:val="BodyText"/>
        <w:tabs>
          <w:tab w:pos="6187" w:val="left" w:leader="none"/>
          <w:tab w:pos="9681" w:val="left" w:leader="none"/>
        </w:tabs>
        <w:spacing w:line="547" w:lineRule="auto" w:before="1"/>
        <w:ind w:left="1199" w:right="771" w:hanging="108"/>
      </w:pPr>
      <w:r>
        <w:rPr/>
        <mc:AlternateContent>
          <mc:Choice Requires="wps">
            <w:drawing>
              <wp:anchor distT="0" distB="0" distL="0" distR="0" allowOverlap="1" layoutInCell="1" locked="0" behindDoc="0" simplePos="0" relativeHeight="15904768">
                <wp:simplePos x="0" y="0"/>
                <wp:positionH relativeFrom="page">
                  <wp:posOffset>231444</wp:posOffset>
                </wp:positionH>
                <wp:positionV relativeFrom="paragraph">
                  <wp:posOffset>278781</wp:posOffset>
                </wp:positionV>
                <wp:extent cx="2400300" cy="8890"/>
                <wp:effectExtent l="0" t="0" r="0" b="0"/>
                <wp:wrapNone/>
                <wp:docPr id="794" name="Graphic 794"/>
                <wp:cNvGraphicFramePr>
                  <a:graphicFrameLocks/>
                </wp:cNvGraphicFramePr>
                <a:graphic>
                  <a:graphicData uri="http://schemas.microsoft.com/office/word/2010/wordprocessingShape">
                    <wps:wsp>
                      <wps:cNvPr id="794" name="Graphic 794"/>
                      <wps:cNvSpPr/>
                      <wps:spPr>
                        <a:xfrm>
                          <a:off x="0" y="0"/>
                          <a:ext cx="2400300" cy="8890"/>
                        </a:xfrm>
                        <a:custGeom>
                          <a:avLst/>
                          <a:gdLst/>
                          <a:ahLst/>
                          <a:cxnLst/>
                          <a:rect l="l" t="t" r="r" b="b"/>
                          <a:pathLst>
                            <a:path w="2400300" h="8890">
                              <a:moveTo>
                                <a:pt x="2400300" y="0"/>
                              </a:moveTo>
                              <a:lnTo>
                                <a:pt x="2383155" y="0"/>
                              </a:lnTo>
                              <a:lnTo>
                                <a:pt x="68580" y="0"/>
                              </a:lnTo>
                              <a:lnTo>
                                <a:pt x="0" y="0"/>
                              </a:lnTo>
                              <a:lnTo>
                                <a:pt x="0" y="8572"/>
                              </a:lnTo>
                              <a:lnTo>
                                <a:pt x="68580" y="8572"/>
                              </a:lnTo>
                              <a:lnTo>
                                <a:pt x="2383155"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21.951309pt;width:189pt;height:.7pt;mso-position-horizontal-relative:page;mso-position-vertical-relative:paragraph;z-index:15904768" id="docshape792" coordorigin="364,439" coordsize="3780,14" path="m4144,439l4117,439,472,439,364,439,364,453,472,453,4117,453,4144,453,4144,439xe" filled="true" fillcolor="#000000" stroked="false">
                <v:path arrowok="t"/>
                <v:fill type="solid"/>
                <w10:wrap type="none"/>
              </v:shape>
            </w:pict>
          </mc:Fallback>
        </mc:AlternateContent>
      </w:r>
      <w:r>
        <w:rPr/>
        <w:t>/s/ Rose McKinney-James</w:t>
        <w:tab/>
      </w:r>
      <w:r>
        <w:rPr>
          <w:spacing w:val="-2"/>
        </w:rPr>
        <w:t>Director</w:t>
      </w:r>
      <w:r>
        <w:rPr/>
        <w:tab/>
        <w:t>February</w:t>
      </w:r>
      <w:r>
        <w:rPr>
          <w:spacing w:val="-12"/>
        </w:rPr>
        <w:t> </w:t>
      </w:r>
      <w:r>
        <w:rPr/>
        <w:t>24,</w:t>
      </w:r>
      <w:r>
        <w:rPr>
          <w:spacing w:val="-11"/>
        </w:rPr>
        <w:t> </w:t>
      </w:r>
      <w:r>
        <w:rPr/>
        <w:t>2023 Rose McKinney-James</w:t>
      </w:r>
    </w:p>
    <w:p>
      <w:pPr>
        <w:pStyle w:val="BodyText"/>
      </w:pPr>
    </w:p>
    <w:p>
      <w:pPr>
        <w:pStyle w:val="BodyText"/>
        <w:spacing w:before="46"/>
      </w:pPr>
    </w:p>
    <w:p>
      <w:pPr>
        <w:pStyle w:val="BodyText"/>
        <w:ind w:left="24"/>
        <w:jc w:val="center"/>
      </w:pPr>
      <w:r>
        <w:rPr>
          <w:spacing w:val="-5"/>
        </w:rPr>
        <w:t>109</w:t>
      </w:r>
    </w:p>
    <w:p>
      <w:pPr>
        <w:pStyle w:val="BodyText"/>
        <w:spacing w:before="3"/>
        <w:rPr>
          <w:sz w:val="6"/>
        </w:rPr>
      </w:pPr>
      <w:r>
        <w:rPr/>
        <mc:AlternateContent>
          <mc:Choice Requires="wps">
            <w:drawing>
              <wp:anchor distT="0" distB="0" distL="0" distR="0" allowOverlap="1" layoutInCell="1" locked="0" behindDoc="1" simplePos="0" relativeHeight="487761408">
                <wp:simplePos x="0" y="0"/>
                <wp:positionH relativeFrom="page">
                  <wp:posOffset>231457</wp:posOffset>
                </wp:positionH>
                <wp:positionV relativeFrom="paragraph">
                  <wp:posOffset>60956</wp:posOffset>
                </wp:positionV>
                <wp:extent cx="7312659" cy="17145"/>
                <wp:effectExtent l="0" t="0" r="0" b="0"/>
                <wp:wrapTopAndBottom/>
                <wp:docPr id="795" name="Group 795"/>
                <wp:cNvGraphicFramePr>
                  <a:graphicFrameLocks/>
                </wp:cNvGraphicFramePr>
                <a:graphic>
                  <a:graphicData uri="http://schemas.microsoft.com/office/word/2010/wordprocessingGroup">
                    <wpg:wgp>
                      <wpg:cNvPr id="795" name="Group 795"/>
                      <wpg:cNvGrpSpPr/>
                      <wpg:grpSpPr>
                        <a:xfrm>
                          <a:off x="0" y="0"/>
                          <a:ext cx="7312659" cy="17145"/>
                          <a:chExt cx="7312659" cy="17145"/>
                        </a:xfrm>
                      </wpg:grpSpPr>
                      <wps:wsp>
                        <wps:cNvPr id="796" name="Graphic 79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97" name="Graphic 797"/>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98" name="Graphic 79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55072;mso-wrap-distance-left:0;mso-wrap-distance-right:0" id="docshapegroup793" coordorigin="364,96" coordsize="11516,27">
                <v:rect style="position:absolute;left:364;top:96;width:11516;height:14" id="docshape794" filled="true" fillcolor="#999999" stroked="false">
                  <v:fill type="solid"/>
                </v:rect>
                <v:shape style="position:absolute;left:364;top:95;width:11516;height:27" id="docshape795" coordorigin="364,96" coordsize="11516,27" path="m11880,96l11866,109,364,109,364,123,11866,123,11880,123,11880,109,11880,96xe" filled="true" fillcolor="#ededed" stroked="false">
                  <v:path arrowok="t"/>
                  <v:fill type="solid"/>
                </v:shape>
                <v:shape style="position:absolute;left:364;top:96;width:14;height:27" id="docshape796"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040" w:bottom="280" w:left="220" w:right="240"/>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0"/>
        <w:gridCol w:w="122"/>
        <w:gridCol w:w="4887"/>
        <w:gridCol w:w="95"/>
        <w:gridCol w:w="2633"/>
      </w:tblGrid>
      <w:tr>
        <w:trPr>
          <w:trHeight w:val="240" w:hRule="atLeast"/>
        </w:trPr>
        <w:tc>
          <w:tcPr>
            <w:tcW w:w="3780" w:type="dxa"/>
            <w:tcBorders>
              <w:bottom w:val="single" w:sz="6" w:space="0" w:color="000000"/>
            </w:tcBorders>
          </w:tcPr>
          <w:p>
            <w:pPr>
              <w:pStyle w:val="TableParagraph"/>
              <w:spacing w:line="199" w:lineRule="exact" w:before="0"/>
              <w:ind w:left="1"/>
              <w:jc w:val="center"/>
              <w:rPr>
                <w:b/>
                <w:sz w:val="18"/>
              </w:rPr>
            </w:pPr>
            <w:r>
              <w:rPr>
                <w:b/>
                <w:spacing w:val="-2"/>
                <w:sz w:val="18"/>
              </w:rPr>
              <w:t>Signature</w:t>
            </w:r>
          </w:p>
        </w:tc>
        <w:tc>
          <w:tcPr>
            <w:tcW w:w="122" w:type="dxa"/>
          </w:tcPr>
          <w:p>
            <w:pPr>
              <w:pStyle w:val="TableParagraph"/>
              <w:spacing w:before="0"/>
              <w:rPr>
                <w:sz w:val="16"/>
              </w:rPr>
            </w:pPr>
          </w:p>
        </w:tc>
        <w:tc>
          <w:tcPr>
            <w:tcW w:w="4887" w:type="dxa"/>
            <w:tcBorders>
              <w:bottom w:val="single" w:sz="6" w:space="0" w:color="000000"/>
            </w:tcBorders>
          </w:tcPr>
          <w:p>
            <w:pPr>
              <w:pStyle w:val="TableParagraph"/>
              <w:spacing w:line="199" w:lineRule="exact" w:before="0"/>
              <w:ind w:right="8"/>
              <w:jc w:val="center"/>
              <w:rPr>
                <w:b/>
                <w:sz w:val="18"/>
              </w:rPr>
            </w:pPr>
            <w:r>
              <w:rPr>
                <w:b/>
                <w:spacing w:val="-2"/>
                <w:sz w:val="18"/>
              </w:rPr>
              <w:t>Title</w:t>
            </w:r>
          </w:p>
        </w:tc>
        <w:tc>
          <w:tcPr>
            <w:tcW w:w="95" w:type="dxa"/>
          </w:tcPr>
          <w:p>
            <w:pPr>
              <w:pStyle w:val="TableParagraph"/>
              <w:spacing w:before="0"/>
              <w:rPr>
                <w:sz w:val="16"/>
              </w:rPr>
            </w:pPr>
          </w:p>
        </w:tc>
        <w:tc>
          <w:tcPr>
            <w:tcW w:w="2633" w:type="dxa"/>
            <w:tcBorders>
              <w:bottom w:val="single" w:sz="6" w:space="0" w:color="000000"/>
            </w:tcBorders>
          </w:tcPr>
          <w:p>
            <w:pPr>
              <w:pStyle w:val="TableParagraph"/>
              <w:spacing w:line="199" w:lineRule="exact" w:before="0"/>
              <w:ind w:right="1"/>
              <w:jc w:val="center"/>
              <w:rPr>
                <w:b/>
                <w:sz w:val="18"/>
              </w:rPr>
            </w:pPr>
            <w:r>
              <w:rPr>
                <w:b/>
                <w:spacing w:val="-4"/>
                <w:sz w:val="18"/>
              </w:rPr>
              <w:t>Date</w:t>
            </w:r>
          </w:p>
        </w:tc>
      </w:tr>
      <w:tr>
        <w:trPr>
          <w:trHeight w:val="673" w:hRule="atLeast"/>
        </w:trPr>
        <w:tc>
          <w:tcPr>
            <w:tcW w:w="3780" w:type="dxa"/>
            <w:tcBorders>
              <w:top w:val="single" w:sz="6" w:space="0" w:color="000000"/>
              <w:bottom w:val="single" w:sz="6" w:space="0" w:color="000000"/>
            </w:tcBorders>
          </w:tcPr>
          <w:p>
            <w:pPr>
              <w:pStyle w:val="TableParagraph"/>
              <w:spacing w:before="15"/>
              <w:rPr>
                <w:sz w:val="18"/>
              </w:rPr>
            </w:pPr>
          </w:p>
          <w:p>
            <w:pPr>
              <w:pStyle w:val="TableParagraph"/>
              <w:spacing w:before="0"/>
              <w:ind w:left="1"/>
              <w:jc w:val="center"/>
              <w:rPr>
                <w:sz w:val="18"/>
              </w:rPr>
            </w:pPr>
            <w:r>
              <w:rPr>
                <w:sz w:val="18"/>
              </w:rPr>
              <w:t>/s/</w:t>
            </w:r>
            <w:r>
              <w:rPr>
                <w:spacing w:val="-1"/>
                <w:sz w:val="18"/>
              </w:rPr>
              <w:t> </w:t>
            </w:r>
            <w:r>
              <w:rPr>
                <w:sz w:val="18"/>
              </w:rPr>
              <w:t>Keith</w:t>
            </w:r>
            <w:r>
              <w:rPr>
                <w:spacing w:val="-10"/>
                <w:sz w:val="18"/>
              </w:rPr>
              <w:t> </w:t>
            </w:r>
            <w:r>
              <w:rPr>
                <w:sz w:val="18"/>
              </w:rPr>
              <w:t>A.</w:t>
            </w:r>
            <w:r>
              <w:rPr>
                <w:spacing w:val="-1"/>
                <w:sz w:val="18"/>
              </w:rPr>
              <w:t> </w:t>
            </w:r>
            <w:r>
              <w:rPr>
                <w:spacing w:val="-2"/>
                <w:sz w:val="18"/>
              </w:rPr>
              <w:t>Meister</w:t>
            </w:r>
          </w:p>
        </w:tc>
        <w:tc>
          <w:tcPr>
            <w:tcW w:w="122" w:type="dxa"/>
          </w:tcPr>
          <w:p>
            <w:pPr>
              <w:pStyle w:val="TableParagraph"/>
              <w:spacing w:before="0"/>
              <w:rPr>
                <w:sz w:val="18"/>
              </w:rPr>
            </w:pPr>
          </w:p>
        </w:tc>
        <w:tc>
          <w:tcPr>
            <w:tcW w:w="4887" w:type="dxa"/>
            <w:tcBorders>
              <w:top w:val="single" w:sz="6" w:space="0" w:color="000000"/>
            </w:tcBorders>
          </w:tcPr>
          <w:p>
            <w:pPr>
              <w:pStyle w:val="TableParagraph"/>
              <w:spacing w:before="15"/>
              <w:rPr>
                <w:sz w:val="18"/>
              </w:rPr>
            </w:pPr>
          </w:p>
          <w:p>
            <w:pPr>
              <w:pStyle w:val="TableParagraph"/>
              <w:spacing w:before="0"/>
              <w:ind w:right="8"/>
              <w:jc w:val="center"/>
              <w:rPr>
                <w:sz w:val="18"/>
              </w:rPr>
            </w:pPr>
            <w:r>
              <w:rPr>
                <w:spacing w:val="-2"/>
                <w:sz w:val="18"/>
              </w:rPr>
              <w:t>Director</w:t>
            </w:r>
          </w:p>
        </w:tc>
        <w:tc>
          <w:tcPr>
            <w:tcW w:w="95" w:type="dxa"/>
          </w:tcPr>
          <w:p>
            <w:pPr>
              <w:pStyle w:val="TableParagraph"/>
              <w:spacing w:before="0"/>
              <w:rPr>
                <w:sz w:val="18"/>
              </w:rPr>
            </w:pPr>
          </w:p>
        </w:tc>
        <w:tc>
          <w:tcPr>
            <w:tcW w:w="2633" w:type="dxa"/>
            <w:tcBorders>
              <w:top w:val="single" w:sz="6" w:space="0" w:color="000000"/>
            </w:tcBorders>
          </w:tcPr>
          <w:p>
            <w:pPr>
              <w:pStyle w:val="TableParagraph"/>
              <w:spacing w:before="15"/>
              <w:rPr>
                <w:sz w:val="18"/>
              </w:rPr>
            </w:pPr>
          </w:p>
          <w:p>
            <w:pPr>
              <w:pStyle w:val="TableParagraph"/>
              <w:spacing w:before="0"/>
              <w:ind w:right="1"/>
              <w:jc w:val="center"/>
              <w:rPr>
                <w:sz w:val="18"/>
              </w:rPr>
            </w:pPr>
            <w:r>
              <w:rPr>
                <w:sz w:val="18"/>
              </w:rPr>
              <w:t>February</w:t>
            </w:r>
            <w:r>
              <w:rPr>
                <w:spacing w:val="-1"/>
                <w:sz w:val="18"/>
              </w:rPr>
              <w:t> </w:t>
            </w:r>
            <w:r>
              <w:rPr>
                <w:sz w:val="18"/>
              </w:rPr>
              <w:t>24,</w:t>
            </w:r>
            <w:r>
              <w:rPr>
                <w:spacing w:val="-1"/>
                <w:sz w:val="18"/>
              </w:rPr>
              <w:t> </w:t>
            </w:r>
            <w:r>
              <w:rPr>
                <w:spacing w:val="-4"/>
                <w:sz w:val="18"/>
              </w:rPr>
              <w:t>2023</w:t>
            </w:r>
          </w:p>
        </w:tc>
      </w:tr>
      <w:tr>
        <w:trPr>
          <w:trHeight w:val="929" w:hRule="atLeast"/>
        </w:trPr>
        <w:tc>
          <w:tcPr>
            <w:tcW w:w="3780" w:type="dxa"/>
            <w:tcBorders>
              <w:top w:val="single" w:sz="6" w:space="0" w:color="000000"/>
              <w:bottom w:val="single" w:sz="6" w:space="0" w:color="000000"/>
            </w:tcBorders>
          </w:tcPr>
          <w:p>
            <w:pPr>
              <w:pStyle w:val="TableParagraph"/>
              <w:spacing w:before="20"/>
              <w:ind w:left="1"/>
              <w:jc w:val="center"/>
              <w:rPr>
                <w:sz w:val="18"/>
              </w:rPr>
            </w:pPr>
            <w:r>
              <w:rPr>
                <w:sz w:val="18"/>
              </w:rPr>
              <w:t>Keith</w:t>
            </w:r>
            <w:r>
              <w:rPr>
                <w:spacing w:val="-10"/>
                <w:sz w:val="18"/>
              </w:rPr>
              <w:t> </w:t>
            </w:r>
            <w:r>
              <w:rPr>
                <w:sz w:val="18"/>
              </w:rPr>
              <w:t>A.</w:t>
            </w:r>
            <w:r>
              <w:rPr>
                <w:spacing w:val="-1"/>
                <w:sz w:val="18"/>
              </w:rPr>
              <w:t> </w:t>
            </w:r>
            <w:r>
              <w:rPr>
                <w:spacing w:val="-2"/>
                <w:sz w:val="18"/>
              </w:rPr>
              <w:t>Meister</w:t>
            </w:r>
          </w:p>
          <w:p>
            <w:pPr>
              <w:pStyle w:val="TableParagraph"/>
              <w:spacing w:before="45"/>
              <w:rPr>
                <w:sz w:val="18"/>
              </w:rPr>
            </w:pPr>
          </w:p>
          <w:p>
            <w:pPr>
              <w:pStyle w:val="TableParagraph"/>
              <w:spacing w:before="0"/>
              <w:ind w:left="1"/>
              <w:jc w:val="center"/>
              <w:rPr>
                <w:sz w:val="18"/>
              </w:rPr>
            </w:pPr>
            <w:r>
              <w:rPr>
                <w:sz w:val="18"/>
              </w:rPr>
              <w:t>/s/</w:t>
            </w:r>
            <w:r>
              <w:rPr>
                <w:spacing w:val="-3"/>
                <w:sz w:val="18"/>
              </w:rPr>
              <w:t> </w:t>
            </w:r>
            <w:r>
              <w:rPr>
                <w:sz w:val="18"/>
              </w:rPr>
              <w:t>Gregory</w:t>
            </w:r>
            <w:r>
              <w:rPr>
                <w:spacing w:val="-1"/>
                <w:sz w:val="18"/>
              </w:rPr>
              <w:t> </w:t>
            </w:r>
            <w:r>
              <w:rPr>
                <w:sz w:val="18"/>
              </w:rPr>
              <w:t>M.</w:t>
            </w:r>
            <w:r>
              <w:rPr>
                <w:spacing w:val="-1"/>
                <w:sz w:val="18"/>
              </w:rPr>
              <w:t> </w:t>
            </w:r>
            <w:r>
              <w:rPr>
                <w:spacing w:val="-2"/>
                <w:sz w:val="18"/>
              </w:rPr>
              <w:t>Spierkel</w:t>
            </w:r>
          </w:p>
        </w:tc>
        <w:tc>
          <w:tcPr>
            <w:tcW w:w="122" w:type="dxa"/>
          </w:tcPr>
          <w:p>
            <w:pPr>
              <w:pStyle w:val="TableParagraph"/>
              <w:spacing w:before="0"/>
              <w:rPr>
                <w:sz w:val="18"/>
              </w:rPr>
            </w:pPr>
          </w:p>
        </w:tc>
        <w:tc>
          <w:tcPr>
            <w:tcW w:w="4887" w:type="dxa"/>
          </w:tcPr>
          <w:p>
            <w:pPr>
              <w:pStyle w:val="TableParagraph"/>
              <w:spacing w:before="0"/>
              <w:rPr>
                <w:sz w:val="18"/>
              </w:rPr>
            </w:pPr>
          </w:p>
          <w:p>
            <w:pPr>
              <w:pStyle w:val="TableParagraph"/>
              <w:spacing w:before="78"/>
              <w:rPr>
                <w:sz w:val="18"/>
              </w:rPr>
            </w:pPr>
          </w:p>
          <w:p>
            <w:pPr>
              <w:pStyle w:val="TableParagraph"/>
              <w:spacing w:before="0"/>
              <w:ind w:right="8"/>
              <w:jc w:val="center"/>
              <w:rPr>
                <w:sz w:val="18"/>
              </w:rPr>
            </w:pPr>
            <w:r>
              <w:rPr>
                <w:spacing w:val="-2"/>
                <w:sz w:val="18"/>
              </w:rPr>
              <w:t>Director</w:t>
            </w:r>
          </w:p>
        </w:tc>
        <w:tc>
          <w:tcPr>
            <w:tcW w:w="95" w:type="dxa"/>
          </w:tcPr>
          <w:p>
            <w:pPr>
              <w:pStyle w:val="TableParagraph"/>
              <w:spacing w:before="0"/>
              <w:rPr>
                <w:sz w:val="18"/>
              </w:rPr>
            </w:pPr>
          </w:p>
        </w:tc>
        <w:tc>
          <w:tcPr>
            <w:tcW w:w="2633" w:type="dxa"/>
          </w:tcPr>
          <w:p>
            <w:pPr>
              <w:pStyle w:val="TableParagraph"/>
              <w:spacing w:before="0"/>
              <w:rPr>
                <w:sz w:val="18"/>
              </w:rPr>
            </w:pPr>
          </w:p>
          <w:p>
            <w:pPr>
              <w:pStyle w:val="TableParagraph"/>
              <w:spacing w:before="65"/>
              <w:rPr>
                <w:sz w:val="18"/>
              </w:rPr>
            </w:pPr>
          </w:p>
          <w:p>
            <w:pPr>
              <w:pStyle w:val="TableParagraph"/>
              <w:spacing w:before="0"/>
              <w:ind w:right="1"/>
              <w:jc w:val="center"/>
              <w:rPr>
                <w:sz w:val="18"/>
              </w:rPr>
            </w:pPr>
            <w:r>
              <w:rPr>
                <w:sz w:val="18"/>
              </w:rPr>
              <w:t>February</w:t>
            </w:r>
            <w:r>
              <w:rPr>
                <w:spacing w:val="-1"/>
                <w:sz w:val="18"/>
              </w:rPr>
              <w:t> </w:t>
            </w:r>
            <w:r>
              <w:rPr>
                <w:sz w:val="18"/>
              </w:rPr>
              <w:t>24,</w:t>
            </w:r>
            <w:r>
              <w:rPr>
                <w:spacing w:val="-1"/>
                <w:sz w:val="18"/>
              </w:rPr>
              <w:t> </w:t>
            </w:r>
            <w:r>
              <w:rPr>
                <w:spacing w:val="-4"/>
                <w:sz w:val="18"/>
              </w:rPr>
              <w:t>2023</w:t>
            </w:r>
          </w:p>
        </w:tc>
      </w:tr>
      <w:tr>
        <w:trPr>
          <w:trHeight w:val="363" w:hRule="atLeast"/>
        </w:trPr>
        <w:tc>
          <w:tcPr>
            <w:tcW w:w="3780" w:type="dxa"/>
            <w:tcBorders>
              <w:top w:val="single" w:sz="6" w:space="0" w:color="000000"/>
            </w:tcBorders>
          </w:tcPr>
          <w:p>
            <w:pPr>
              <w:pStyle w:val="TableParagraph"/>
              <w:spacing w:before="20"/>
              <w:ind w:left="1"/>
              <w:jc w:val="center"/>
              <w:rPr>
                <w:sz w:val="18"/>
              </w:rPr>
            </w:pPr>
            <w:r>
              <w:rPr>
                <w:sz w:val="18"/>
              </w:rPr>
              <w:t>Gregory</w:t>
            </w:r>
            <w:r>
              <w:rPr>
                <w:spacing w:val="-1"/>
                <w:sz w:val="18"/>
              </w:rPr>
              <w:t> </w:t>
            </w:r>
            <w:r>
              <w:rPr>
                <w:sz w:val="18"/>
              </w:rPr>
              <w:t>M.</w:t>
            </w:r>
            <w:r>
              <w:rPr>
                <w:spacing w:val="-1"/>
                <w:sz w:val="18"/>
              </w:rPr>
              <w:t> </w:t>
            </w:r>
            <w:r>
              <w:rPr>
                <w:spacing w:val="-2"/>
                <w:sz w:val="18"/>
              </w:rPr>
              <w:t>Spierkel</w:t>
            </w:r>
          </w:p>
        </w:tc>
        <w:tc>
          <w:tcPr>
            <w:tcW w:w="122" w:type="dxa"/>
          </w:tcPr>
          <w:p>
            <w:pPr>
              <w:pStyle w:val="TableParagraph"/>
              <w:spacing w:before="0"/>
              <w:rPr>
                <w:sz w:val="18"/>
              </w:rPr>
            </w:pPr>
          </w:p>
        </w:tc>
        <w:tc>
          <w:tcPr>
            <w:tcW w:w="4887" w:type="dxa"/>
          </w:tcPr>
          <w:p>
            <w:pPr>
              <w:pStyle w:val="TableParagraph"/>
              <w:spacing w:before="0"/>
              <w:rPr>
                <w:sz w:val="18"/>
              </w:rPr>
            </w:pPr>
          </w:p>
        </w:tc>
        <w:tc>
          <w:tcPr>
            <w:tcW w:w="95" w:type="dxa"/>
          </w:tcPr>
          <w:p>
            <w:pPr>
              <w:pStyle w:val="TableParagraph"/>
              <w:spacing w:before="0"/>
              <w:rPr>
                <w:sz w:val="18"/>
              </w:rPr>
            </w:pPr>
          </w:p>
        </w:tc>
        <w:tc>
          <w:tcPr>
            <w:tcW w:w="2633" w:type="dxa"/>
          </w:tcPr>
          <w:p>
            <w:pPr>
              <w:pStyle w:val="TableParagraph"/>
              <w:spacing w:before="0"/>
              <w:rPr>
                <w:sz w:val="18"/>
              </w:rPr>
            </w:pPr>
          </w:p>
        </w:tc>
      </w:tr>
      <w:tr>
        <w:trPr>
          <w:trHeight w:val="566" w:hRule="atLeast"/>
        </w:trPr>
        <w:tc>
          <w:tcPr>
            <w:tcW w:w="3780" w:type="dxa"/>
            <w:tcBorders>
              <w:bottom w:val="single" w:sz="6" w:space="0" w:color="000000"/>
            </w:tcBorders>
          </w:tcPr>
          <w:p>
            <w:pPr>
              <w:pStyle w:val="TableParagraph"/>
              <w:spacing w:before="129"/>
              <w:ind w:left="1"/>
              <w:jc w:val="center"/>
              <w:rPr>
                <w:sz w:val="18"/>
              </w:rPr>
            </w:pPr>
            <w:r>
              <w:rPr>
                <w:sz w:val="18"/>
              </w:rPr>
              <w:t>/s/</w:t>
            </w:r>
            <w:r>
              <w:rPr>
                <w:spacing w:val="-1"/>
                <w:sz w:val="18"/>
              </w:rPr>
              <w:t> </w:t>
            </w:r>
            <w:r>
              <w:rPr>
                <w:sz w:val="18"/>
              </w:rPr>
              <w:t>Janet</w:t>
            </w:r>
            <w:r>
              <w:rPr>
                <w:spacing w:val="-1"/>
                <w:sz w:val="18"/>
              </w:rPr>
              <w:t> </w:t>
            </w:r>
            <w:r>
              <w:rPr>
                <w:sz w:val="18"/>
              </w:rPr>
              <w:t>G.</w:t>
            </w:r>
            <w:r>
              <w:rPr>
                <w:spacing w:val="-1"/>
                <w:sz w:val="18"/>
              </w:rPr>
              <w:t> </w:t>
            </w:r>
            <w:r>
              <w:rPr>
                <w:spacing w:val="-2"/>
                <w:sz w:val="18"/>
              </w:rPr>
              <w:t>Swartz</w:t>
            </w:r>
          </w:p>
        </w:tc>
        <w:tc>
          <w:tcPr>
            <w:tcW w:w="122" w:type="dxa"/>
          </w:tcPr>
          <w:p>
            <w:pPr>
              <w:pStyle w:val="TableParagraph"/>
              <w:spacing w:before="0"/>
              <w:rPr>
                <w:sz w:val="18"/>
              </w:rPr>
            </w:pPr>
          </w:p>
        </w:tc>
        <w:tc>
          <w:tcPr>
            <w:tcW w:w="4887" w:type="dxa"/>
          </w:tcPr>
          <w:p>
            <w:pPr>
              <w:pStyle w:val="TableParagraph"/>
              <w:spacing w:before="129"/>
              <w:ind w:right="8"/>
              <w:jc w:val="center"/>
              <w:rPr>
                <w:sz w:val="18"/>
              </w:rPr>
            </w:pPr>
            <w:r>
              <w:rPr>
                <w:spacing w:val="-2"/>
                <w:sz w:val="18"/>
              </w:rPr>
              <w:t>Director</w:t>
            </w:r>
          </w:p>
        </w:tc>
        <w:tc>
          <w:tcPr>
            <w:tcW w:w="95" w:type="dxa"/>
          </w:tcPr>
          <w:p>
            <w:pPr>
              <w:pStyle w:val="TableParagraph"/>
              <w:spacing w:before="0"/>
              <w:rPr>
                <w:sz w:val="18"/>
              </w:rPr>
            </w:pPr>
          </w:p>
        </w:tc>
        <w:tc>
          <w:tcPr>
            <w:tcW w:w="2633" w:type="dxa"/>
          </w:tcPr>
          <w:p>
            <w:pPr>
              <w:pStyle w:val="TableParagraph"/>
              <w:spacing w:before="129"/>
              <w:ind w:right="1"/>
              <w:jc w:val="center"/>
              <w:rPr>
                <w:sz w:val="18"/>
              </w:rPr>
            </w:pPr>
            <w:r>
              <w:rPr>
                <w:sz w:val="18"/>
              </w:rPr>
              <w:t>February</w:t>
            </w:r>
            <w:r>
              <w:rPr>
                <w:spacing w:val="-1"/>
                <w:sz w:val="18"/>
              </w:rPr>
              <w:t> </w:t>
            </w:r>
            <w:r>
              <w:rPr>
                <w:sz w:val="18"/>
              </w:rPr>
              <w:t>24,</w:t>
            </w:r>
            <w:r>
              <w:rPr>
                <w:spacing w:val="-1"/>
                <w:sz w:val="18"/>
              </w:rPr>
              <w:t> </w:t>
            </w:r>
            <w:r>
              <w:rPr>
                <w:spacing w:val="-4"/>
                <w:sz w:val="18"/>
              </w:rPr>
              <w:t>2023</w:t>
            </w:r>
          </w:p>
        </w:tc>
      </w:tr>
      <w:tr>
        <w:trPr>
          <w:trHeight w:val="363" w:hRule="atLeast"/>
        </w:trPr>
        <w:tc>
          <w:tcPr>
            <w:tcW w:w="3780" w:type="dxa"/>
            <w:tcBorders>
              <w:top w:val="single" w:sz="6" w:space="0" w:color="000000"/>
            </w:tcBorders>
          </w:tcPr>
          <w:p>
            <w:pPr>
              <w:pStyle w:val="TableParagraph"/>
              <w:spacing w:before="20"/>
              <w:ind w:left="1"/>
              <w:jc w:val="center"/>
              <w:rPr>
                <w:sz w:val="18"/>
              </w:rPr>
            </w:pPr>
            <w:r>
              <w:rPr>
                <w:sz w:val="18"/>
              </w:rPr>
              <w:t>Janet</w:t>
            </w:r>
            <w:r>
              <w:rPr>
                <w:spacing w:val="-1"/>
                <w:sz w:val="18"/>
              </w:rPr>
              <w:t> </w:t>
            </w:r>
            <w:r>
              <w:rPr>
                <w:sz w:val="18"/>
              </w:rPr>
              <w:t>G.</w:t>
            </w:r>
            <w:r>
              <w:rPr>
                <w:spacing w:val="-1"/>
                <w:sz w:val="18"/>
              </w:rPr>
              <w:t> </w:t>
            </w:r>
            <w:r>
              <w:rPr>
                <w:spacing w:val="-2"/>
                <w:sz w:val="18"/>
              </w:rPr>
              <w:t>Swartz</w:t>
            </w:r>
          </w:p>
        </w:tc>
        <w:tc>
          <w:tcPr>
            <w:tcW w:w="122" w:type="dxa"/>
          </w:tcPr>
          <w:p>
            <w:pPr>
              <w:pStyle w:val="TableParagraph"/>
              <w:spacing w:before="0"/>
              <w:rPr>
                <w:sz w:val="18"/>
              </w:rPr>
            </w:pPr>
          </w:p>
        </w:tc>
        <w:tc>
          <w:tcPr>
            <w:tcW w:w="4887" w:type="dxa"/>
          </w:tcPr>
          <w:p>
            <w:pPr>
              <w:pStyle w:val="TableParagraph"/>
              <w:spacing w:before="0"/>
              <w:rPr>
                <w:sz w:val="18"/>
              </w:rPr>
            </w:pPr>
          </w:p>
        </w:tc>
        <w:tc>
          <w:tcPr>
            <w:tcW w:w="95" w:type="dxa"/>
          </w:tcPr>
          <w:p>
            <w:pPr>
              <w:pStyle w:val="TableParagraph"/>
              <w:spacing w:before="0"/>
              <w:rPr>
                <w:sz w:val="18"/>
              </w:rPr>
            </w:pPr>
          </w:p>
        </w:tc>
        <w:tc>
          <w:tcPr>
            <w:tcW w:w="2633" w:type="dxa"/>
          </w:tcPr>
          <w:p>
            <w:pPr>
              <w:pStyle w:val="TableParagraph"/>
              <w:spacing w:before="0"/>
              <w:rPr>
                <w:sz w:val="18"/>
              </w:rPr>
            </w:pPr>
          </w:p>
        </w:tc>
      </w:tr>
      <w:tr>
        <w:trPr>
          <w:trHeight w:val="566" w:hRule="atLeast"/>
        </w:trPr>
        <w:tc>
          <w:tcPr>
            <w:tcW w:w="3780" w:type="dxa"/>
            <w:tcBorders>
              <w:bottom w:val="single" w:sz="6" w:space="0" w:color="000000"/>
            </w:tcBorders>
          </w:tcPr>
          <w:p>
            <w:pPr>
              <w:pStyle w:val="TableParagraph"/>
              <w:spacing w:before="129"/>
              <w:ind w:left="1"/>
              <w:jc w:val="center"/>
              <w:rPr>
                <w:sz w:val="18"/>
              </w:rPr>
            </w:pPr>
            <w:r>
              <w:rPr>
                <w:sz w:val="18"/>
              </w:rPr>
              <w:t>/s/</w:t>
            </w:r>
            <w:r>
              <w:rPr>
                <w:spacing w:val="-1"/>
                <w:sz w:val="18"/>
              </w:rPr>
              <w:t> </w:t>
            </w:r>
            <w:r>
              <w:rPr>
                <w:sz w:val="18"/>
              </w:rPr>
              <w:t>Daniel</w:t>
            </w:r>
            <w:r>
              <w:rPr>
                <w:spacing w:val="-1"/>
                <w:sz w:val="18"/>
              </w:rPr>
              <w:t> </w:t>
            </w:r>
            <w:r>
              <w:rPr>
                <w:sz w:val="18"/>
              </w:rPr>
              <w:t>J.</w:t>
            </w:r>
            <w:r>
              <w:rPr>
                <w:spacing w:val="-4"/>
                <w:sz w:val="18"/>
              </w:rPr>
              <w:t> </w:t>
            </w:r>
            <w:r>
              <w:rPr>
                <w:spacing w:val="-2"/>
                <w:sz w:val="18"/>
              </w:rPr>
              <w:t>Taylor</w:t>
            </w:r>
          </w:p>
        </w:tc>
        <w:tc>
          <w:tcPr>
            <w:tcW w:w="122" w:type="dxa"/>
          </w:tcPr>
          <w:p>
            <w:pPr>
              <w:pStyle w:val="TableParagraph"/>
              <w:spacing w:before="0"/>
              <w:rPr>
                <w:sz w:val="18"/>
              </w:rPr>
            </w:pPr>
          </w:p>
        </w:tc>
        <w:tc>
          <w:tcPr>
            <w:tcW w:w="4887" w:type="dxa"/>
          </w:tcPr>
          <w:p>
            <w:pPr>
              <w:pStyle w:val="TableParagraph"/>
              <w:spacing w:before="129"/>
              <w:ind w:right="8"/>
              <w:jc w:val="center"/>
              <w:rPr>
                <w:sz w:val="18"/>
              </w:rPr>
            </w:pPr>
            <w:r>
              <w:rPr>
                <w:spacing w:val="-2"/>
                <w:sz w:val="18"/>
              </w:rPr>
              <w:t>Director</w:t>
            </w:r>
          </w:p>
        </w:tc>
        <w:tc>
          <w:tcPr>
            <w:tcW w:w="95" w:type="dxa"/>
          </w:tcPr>
          <w:p>
            <w:pPr>
              <w:pStyle w:val="TableParagraph"/>
              <w:spacing w:before="0"/>
              <w:rPr>
                <w:sz w:val="18"/>
              </w:rPr>
            </w:pPr>
          </w:p>
        </w:tc>
        <w:tc>
          <w:tcPr>
            <w:tcW w:w="2633" w:type="dxa"/>
          </w:tcPr>
          <w:p>
            <w:pPr>
              <w:pStyle w:val="TableParagraph"/>
              <w:spacing w:before="129"/>
              <w:ind w:right="1"/>
              <w:jc w:val="center"/>
              <w:rPr>
                <w:sz w:val="18"/>
              </w:rPr>
            </w:pPr>
            <w:r>
              <w:rPr>
                <w:sz w:val="18"/>
              </w:rPr>
              <w:t>February</w:t>
            </w:r>
            <w:r>
              <w:rPr>
                <w:spacing w:val="-1"/>
                <w:sz w:val="18"/>
              </w:rPr>
              <w:t> </w:t>
            </w:r>
            <w:r>
              <w:rPr>
                <w:sz w:val="18"/>
              </w:rPr>
              <w:t>24,</w:t>
            </w:r>
            <w:r>
              <w:rPr>
                <w:spacing w:val="-1"/>
                <w:sz w:val="18"/>
              </w:rPr>
              <w:t> </w:t>
            </w:r>
            <w:r>
              <w:rPr>
                <w:spacing w:val="-4"/>
                <w:sz w:val="18"/>
              </w:rPr>
              <w:t>2023</w:t>
            </w:r>
          </w:p>
        </w:tc>
      </w:tr>
      <w:tr>
        <w:trPr>
          <w:trHeight w:val="227" w:hRule="atLeast"/>
        </w:trPr>
        <w:tc>
          <w:tcPr>
            <w:tcW w:w="3780" w:type="dxa"/>
            <w:tcBorders>
              <w:top w:val="single" w:sz="6" w:space="0" w:color="000000"/>
            </w:tcBorders>
          </w:tcPr>
          <w:p>
            <w:pPr>
              <w:pStyle w:val="TableParagraph"/>
              <w:spacing w:line="187" w:lineRule="exact" w:before="20"/>
              <w:ind w:left="1"/>
              <w:jc w:val="center"/>
              <w:rPr>
                <w:sz w:val="18"/>
              </w:rPr>
            </w:pPr>
            <w:r>
              <w:rPr>
                <w:sz w:val="18"/>
              </w:rPr>
              <w:t>Daniel</w:t>
            </w:r>
            <w:r>
              <w:rPr>
                <w:spacing w:val="-1"/>
                <w:sz w:val="18"/>
              </w:rPr>
              <w:t> </w:t>
            </w:r>
            <w:r>
              <w:rPr>
                <w:sz w:val="18"/>
              </w:rPr>
              <w:t>J.</w:t>
            </w:r>
            <w:r>
              <w:rPr>
                <w:spacing w:val="-4"/>
                <w:sz w:val="18"/>
              </w:rPr>
              <w:t> </w:t>
            </w:r>
            <w:r>
              <w:rPr>
                <w:spacing w:val="-2"/>
                <w:sz w:val="18"/>
              </w:rPr>
              <w:t>Taylor</w:t>
            </w:r>
          </w:p>
        </w:tc>
        <w:tc>
          <w:tcPr>
            <w:tcW w:w="122" w:type="dxa"/>
          </w:tcPr>
          <w:p>
            <w:pPr>
              <w:pStyle w:val="TableParagraph"/>
              <w:spacing w:before="0"/>
              <w:rPr>
                <w:sz w:val="16"/>
              </w:rPr>
            </w:pPr>
          </w:p>
        </w:tc>
        <w:tc>
          <w:tcPr>
            <w:tcW w:w="4887" w:type="dxa"/>
          </w:tcPr>
          <w:p>
            <w:pPr>
              <w:pStyle w:val="TableParagraph"/>
              <w:spacing w:before="0"/>
              <w:rPr>
                <w:sz w:val="16"/>
              </w:rPr>
            </w:pPr>
          </w:p>
        </w:tc>
        <w:tc>
          <w:tcPr>
            <w:tcW w:w="95" w:type="dxa"/>
          </w:tcPr>
          <w:p>
            <w:pPr>
              <w:pStyle w:val="TableParagraph"/>
              <w:spacing w:before="0"/>
              <w:rPr>
                <w:sz w:val="16"/>
              </w:rPr>
            </w:pPr>
          </w:p>
        </w:tc>
        <w:tc>
          <w:tcPr>
            <w:tcW w:w="2633" w:type="dxa"/>
          </w:tcPr>
          <w:p>
            <w:pPr>
              <w:pStyle w:val="TableParagraph"/>
              <w:spacing w:before="0"/>
              <w:rPr>
                <w:sz w:val="16"/>
              </w:rPr>
            </w:pPr>
          </w:p>
        </w:tc>
      </w:tr>
    </w:tbl>
    <w:p>
      <w:pPr>
        <w:pStyle w:val="BodyText"/>
      </w:pPr>
    </w:p>
    <w:p>
      <w:pPr>
        <w:pStyle w:val="BodyText"/>
      </w:pPr>
    </w:p>
    <w:p>
      <w:pPr>
        <w:pStyle w:val="BodyText"/>
        <w:spacing w:before="119"/>
      </w:pPr>
    </w:p>
    <w:p>
      <w:pPr>
        <w:pStyle w:val="BodyText"/>
        <w:ind w:left="24"/>
        <w:jc w:val="center"/>
      </w:pPr>
      <w:r>
        <w:rPr>
          <w:spacing w:val="-5"/>
        </w:rPr>
        <w:t>110</w:t>
      </w:r>
    </w:p>
    <w:p>
      <w:pPr>
        <w:spacing w:after="0"/>
        <w:jc w:val="center"/>
        <w:sectPr>
          <w:pgSz w:w="12240" w:h="15840"/>
          <w:pgMar w:top="1300" w:bottom="280" w:left="220" w:right="240"/>
        </w:sectPr>
      </w:pPr>
    </w:p>
    <w:p>
      <w:pPr>
        <w:spacing w:before="76"/>
        <w:ind w:left="0" w:right="118" w:firstLine="0"/>
        <w:jc w:val="right"/>
        <w:rPr>
          <w:b/>
          <w:sz w:val="19"/>
        </w:rPr>
      </w:pPr>
      <w:bookmarkStart w:name="_bookmark31" w:id="32"/>
      <w:bookmarkEnd w:id="32"/>
      <w:r>
        <w:rPr/>
      </w:r>
      <w:r>
        <w:rPr>
          <w:b/>
          <w:w w:val="105"/>
          <w:sz w:val="19"/>
        </w:rPr>
        <w:t>Exhibit</w:t>
      </w:r>
      <w:r>
        <w:rPr>
          <w:b/>
          <w:spacing w:val="-8"/>
          <w:w w:val="105"/>
          <w:sz w:val="19"/>
        </w:rPr>
        <w:t> </w:t>
      </w:r>
      <w:r>
        <w:rPr>
          <w:b/>
          <w:spacing w:val="-2"/>
          <w:w w:val="105"/>
          <w:sz w:val="19"/>
        </w:rPr>
        <w:t>10.2(1)</w:t>
      </w:r>
    </w:p>
    <w:p>
      <w:pPr>
        <w:pStyle w:val="BodyText"/>
        <w:rPr>
          <w:b/>
          <w:sz w:val="21"/>
        </w:rPr>
      </w:pPr>
    </w:p>
    <w:p>
      <w:pPr>
        <w:pStyle w:val="BodyText"/>
        <w:rPr>
          <w:b/>
          <w:sz w:val="21"/>
        </w:rPr>
      </w:pPr>
    </w:p>
    <w:p>
      <w:pPr>
        <w:pStyle w:val="BodyText"/>
        <w:rPr>
          <w:b/>
          <w:sz w:val="21"/>
        </w:rPr>
      </w:pPr>
    </w:p>
    <w:p>
      <w:pPr>
        <w:pStyle w:val="BodyText"/>
        <w:spacing w:before="106"/>
        <w:rPr>
          <w:b/>
          <w:sz w:val="21"/>
        </w:rPr>
      </w:pPr>
    </w:p>
    <w:p>
      <w:pPr>
        <w:spacing w:before="0"/>
        <w:ind w:left="24" w:right="0" w:firstLine="0"/>
        <w:jc w:val="center"/>
        <w:rPr>
          <w:sz w:val="21"/>
        </w:rPr>
      </w:pPr>
      <w:r>
        <w:rPr>
          <w:spacing w:val="-2"/>
          <w:sz w:val="21"/>
          <w:u w:val="single"/>
        </w:rPr>
        <w:t>Translation</w:t>
      </w:r>
    </w:p>
    <w:p>
      <w:pPr>
        <w:spacing w:before="177"/>
        <w:ind w:left="24" w:right="0" w:firstLine="0"/>
        <w:jc w:val="center"/>
        <w:rPr>
          <w:b/>
          <w:sz w:val="21"/>
        </w:rPr>
      </w:pPr>
      <w:r>
        <w:rPr>
          <w:b/>
          <w:sz w:val="21"/>
        </w:rPr>
        <w:t>EXTRACT</w:t>
      </w:r>
      <w:r>
        <w:rPr>
          <w:b/>
          <w:spacing w:val="12"/>
          <w:sz w:val="21"/>
        </w:rPr>
        <w:t> </w:t>
      </w:r>
      <w:r>
        <w:rPr>
          <w:b/>
          <w:sz w:val="21"/>
        </w:rPr>
        <w:t>OF</w:t>
      </w:r>
      <w:r>
        <w:rPr>
          <w:b/>
          <w:spacing w:val="2"/>
          <w:sz w:val="21"/>
        </w:rPr>
        <w:t> </w:t>
      </w:r>
      <w:r>
        <w:rPr>
          <w:b/>
          <w:sz w:val="21"/>
        </w:rPr>
        <w:t>THE</w:t>
      </w:r>
      <w:r>
        <w:rPr>
          <w:b/>
          <w:spacing w:val="18"/>
          <w:sz w:val="21"/>
        </w:rPr>
        <w:t> </w:t>
      </w:r>
      <w:r>
        <w:rPr>
          <w:b/>
          <w:sz w:val="21"/>
        </w:rPr>
        <w:t>CONCESSION</w:t>
      </w:r>
      <w:r>
        <w:rPr>
          <w:b/>
          <w:spacing w:val="19"/>
          <w:sz w:val="21"/>
        </w:rPr>
        <w:t> </w:t>
      </w:r>
      <w:r>
        <w:rPr>
          <w:b/>
          <w:spacing w:val="-2"/>
          <w:sz w:val="21"/>
        </w:rPr>
        <w:t>CONTRACT</w:t>
      </w:r>
    </w:p>
    <w:p>
      <w:pPr>
        <w:spacing w:line="268" w:lineRule="auto" w:before="177"/>
        <w:ind w:left="149" w:right="122" w:firstLine="0"/>
        <w:jc w:val="center"/>
        <w:rPr>
          <w:b/>
          <w:sz w:val="21"/>
        </w:rPr>
      </w:pPr>
      <w:r>
        <w:rPr>
          <w:b/>
          <w:sz w:val="21"/>
        </w:rPr>
        <w:t>FOR THE OPERATION OF GAMES OF FORTUNE AND CHANCE IN CASINOS IN THE SPECIAL</w:t>
      </w:r>
      <w:r>
        <w:rPr>
          <w:b/>
          <w:spacing w:val="-14"/>
          <w:sz w:val="21"/>
        </w:rPr>
        <w:t> </w:t>
      </w:r>
      <w:r>
        <w:rPr>
          <w:b/>
          <w:sz w:val="21"/>
        </w:rPr>
        <w:t>ADMINISTRATIVE</w:t>
      </w:r>
      <w:r>
        <w:rPr>
          <w:b/>
          <w:spacing w:val="40"/>
          <w:sz w:val="21"/>
        </w:rPr>
        <w:t> </w:t>
      </w:r>
      <w:r>
        <w:rPr>
          <w:b/>
          <w:sz w:val="21"/>
        </w:rPr>
        <w:t>REGION OF MACAU</w:t>
      </w:r>
    </w:p>
    <w:p>
      <w:pPr>
        <w:pStyle w:val="Heading1"/>
        <w:spacing w:before="97"/>
      </w:pPr>
      <w:r>
        <w:rPr/>
        <w:t>CHAPTER </w:t>
      </w:r>
      <w:r>
        <w:rPr>
          <w:spacing w:val="-10"/>
        </w:rPr>
        <w:t>I</w:t>
      </w:r>
    </w:p>
    <w:p>
      <w:pPr>
        <w:pStyle w:val="BodyText"/>
        <w:spacing w:before="73"/>
        <w:rPr>
          <w:b/>
          <w:sz w:val="25"/>
        </w:rPr>
      </w:pPr>
    </w:p>
    <w:p>
      <w:pPr>
        <w:pStyle w:val="Heading2"/>
        <w:spacing w:before="0"/>
      </w:pPr>
      <w:r>
        <w:rPr/>
        <w:t>Scope, type and period of </w:t>
      </w:r>
      <w:r>
        <w:rPr>
          <w:spacing w:val="-2"/>
        </w:rPr>
        <w:t>concession</w:t>
      </w:r>
    </w:p>
    <w:p>
      <w:pPr>
        <w:pStyle w:val="BodyText"/>
        <w:rPr>
          <w:b/>
          <w:sz w:val="25"/>
        </w:rPr>
      </w:pPr>
    </w:p>
    <w:p>
      <w:pPr>
        <w:pStyle w:val="BodyText"/>
        <w:spacing w:before="106"/>
        <w:rPr>
          <w:b/>
          <w:sz w:val="25"/>
        </w:rPr>
      </w:pPr>
    </w:p>
    <w:p>
      <w:pPr>
        <w:spacing w:before="1"/>
        <w:ind w:left="24" w:right="0" w:firstLine="0"/>
        <w:jc w:val="center"/>
        <w:rPr>
          <w:b/>
          <w:sz w:val="21"/>
        </w:rPr>
      </w:pPr>
      <w:r>
        <w:rPr>
          <w:b/>
          <w:sz w:val="21"/>
        </w:rPr>
        <w:t>Clause</w:t>
      </w:r>
      <w:r>
        <w:rPr>
          <w:b/>
          <w:spacing w:val="13"/>
          <w:sz w:val="21"/>
        </w:rPr>
        <w:t> </w:t>
      </w:r>
      <w:r>
        <w:rPr>
          <w:b/>
          <w:spacing w:val="-10"/>
          <w:sz w:val="21"/>
        </w:rPr>
        <w:t>1</w:t>
      </w:r>
    </w:p>
    <w:p>
      <w:pPr>
        <w:spacing w:before="55"/>
        <w:ind w:left="24" w:right="0" w:firstLine="0"/>
        <w:jc w:val="center"/>
        <w:rPr>
          <w:b/>
          <w:sz w:val="21"/>
        </w:rPr>
      </w:pPr>
      <w:r>
        <w:rPr>
          <w:b/>
          <w:sz w:val="21"/>
        </w:rPr>
        <w:t>Scope</w:t>
      </w:r>
      <w:r>
        <w:rPr>
          <w:b/>
          <w:spacing w:val="6"/>
          <w:sz w:val="21"/>
        </w:rPr>
        <w:t> </w:t>
      </w:r>
      <w:r>
        <w:rPr>
          <w:b/>
          <w:sz w:val="21"/>
        </w:rPr>
        <w:t>of</w:t>
      </w:r>
      <w:r>
        <w:rPr>
          <w:b/>
          <w:spacing w:val="8"/>
          <w:sz w:val="21"/>
        </w:rPr>
        <w:t> </w:t>
      </w:r>
      <w:r>
        <w:rPr>
          <w:b/>
          <w:spacing w:val="-2"/>
          <w:sz w:val="21"/>
        </w:rPr>
        <w:t>concession</w:t>
      </w:r>
    </w:p>
    <w:p>
      <w:pPr>
        <w:pStyle w:val="BodyText"/>
        <w:spacing w:before="160"/>
        <w:rPr>
          <w:b/>
          <w:sz w:val="21"/>
        </w:rPr>
      </w:pPr>
    </w:p>
    <w:p>
      <w:pPr>
        <w:spacing w:line="213" w:lineRule="auto" w:before="0"/>
        <w:ind w:left="144" w:right="0" w:firstLine="0"/>
        <w:jc w:val="left"/>
        <w:rPr>
          <w:sz w:val="21"/>
        </w:rPr>
      </w:pPr>
      <w:r>
        <w:rPr>
          <w:i/>
          <w:sz w:val="21"/>
        </w:rPr>
        <w:t>One</w:t>
      </w:r>
      <w:r>
        <w:rPr>
          <w:sz w:val="21"/>
        </w:rPr>
        <w:t>. The</w:t>
      </w:r>
      <w:r>
        <w:rPr>
          <w:spacing w:val="14"/>
          <w:sz w:val="21"/>
        </w:rPr>
        <w:t> </w:t>
      </w:r>
      <w:r>
        <w:rPr>
          <w:sz w:val="21"/>
        </w:rPr>
        <w:t>scope</w:t>
      </w:r>
      <w:r>
        <w:rPr>
          <w:spacing w:val="14"/>
          <w:sz w:val="21"/>
        </w:rPr>
        <w:t> </w:t>
      </w:r>
      <w:r>
        <w:rPr>
          <w:sz w:val="21"/>
        </w:rPr>
        <w:t>of</w:t>
      </w:r>
      <w:r>
        <w:rPr>
          <w:spacing w:val="14"/>
          <w:sz w:val="21"/>
        </w:rPr>
        <w:t> </w:t>
      </w:r>
      <w:r>
        <w:rPr>
          <w:sz w:val="21"/>
        </w:rPr>
        <w:t>the</w:t>
      </w:r>
      <w:r>
        <w:rPr>
          <w:spacing w:val="14"/>
          <w:sz w:val="21"/>
        </w:rPr>
        <w:t> </w:t>
      </w:r>
      <w:r>
        <w:rPr>
          <w:sz w:val="21"/>
        </w:rPr>
        <w:t>concession</w:t>
      </w:r>
      <w:r>
        <w:rPr>
          <w:spacing w:val="14"/>
          <w:sz w:val="21"/>
        </w:rPr>
        <w:t> </w:t>
      </w:r>
      <w:r>
        <w:rPr>
          <w:sz w:val="21"/>
        </w:rPr>
        <w:t>granted</w:t>
      </w:r>
      <w:r>
        <w:rPr>
          <w:spacing w:val="14"/>
          <w:sz w:val="21"/>
        </w:rPr>
        <w:t> </w:t>
      </w:r>
      <w:r>
        <w:rPr>
          <w:sz w:val="21"/>
        </w:rPr>
        <w:t>by</w:t>
      </w:r>
      <w:r>
        <w:rPr>
          <w:spacing w:val="14"/>
          <w:sz w:val="21"/>
        </w:rPr>
        <w:t> </w:t>
      </w:r>
      <w:r>
        <w:rPr>
          <w:sz w:val="21"/>
        </w:rPr>
        <w:t>this</w:t>
      </w:r>
      <w:r>
        <w:rPr>
          <w:spacing w:val="14"/>
          <w:sz w:val="21"/>
        </w:rPr>
        <w:t> </w:t>
      </w:r>
      <w:r>
        <w:rPr>
          <w:sz w:val="21"/>
        </w:rPr>
        <w:t>concession</w:t>
      </w:r>
      <w:r>
        <w:rPr>
          <w:spacing w:val="14"/>
          <w:sz w:val="21"/>
        </w:rPr>
        <w:t> </w:t>
      </w:r>
      <w:r>
        <w:rPr>
          <w:sz w:val="21"/>
        </w:rPr>
        <w:t>contract</w:t>
      </w:r>
      <w:r>
        <w:rPr>
          <w:spacing w:val="14"/>
          <w:sz w:val="21"/>
        </w:rPr>
        <w:t> </w:t>
      </w:r>
      <w:r>
        <w:rPr>
          <w:sz w:val="21"/>
        </w:rPr>
        <w:t>is</w:t>
      </w:r>
      <w:r>
        <w:rPr>
          <w:spacing w:val="14"/>
          <w:sz w:val="21"/>
        </w:rPr>
        <w:t> </w:t>
      </w:r>
      <w:r>
        <w:rPr>
          <w:sz w:val="21"/>
        </w:rPr>
        <w:t>the</w:t>
      </w:r>
      <w:r>
        <w:rPr>
          <w:spacing w:val="14"/>
          <w:sz w:val="21"/>
        </w:rPr>
        <w:t> </w:t>
      </w:r>
      <w:r>
        <w:rPr>
          <w:sz w:val="21"/>
        </w:rPr>
        <w:t>operation</w:t>
      </w:r>
      <w:r>
        <w:rPr>
          <w:spacing w:val="14"/>
          <w:sz w:val="21"/>
        </w:rPr>
        <w:t> </w:t>
      </w:r>
      <w:r>
        <w:rPr>
          <w:sz w:val="21"/>
        </w:rPr>
        <w:t>of</w:t>
      </w:r>
      <w:r>
        <w:rPr>
          <w:spacing w:val="14"/>
          <w:sz w:val="21"/>
        </w:rPr>
        <w:t> </w:t>
      </w:r>
      <w:r>
        <w:rPr>
          <w:sz w:val="21"/>
        </w:rPr>
        <w:t>games</w:t>
      </w:r>
      <w:r>
        <w:rPr>
          <w:spacing w:val="14"/>
          <w:sz w:val="21"/>
        </w:rPr>
        <w:t> </w:t>
      </w:r>
      <w:r>
        <w:rPr>
          <w:sz w:val="21"/>
        </w:rPr>
        <w:t>of</w:t>
      </w:r>
      <w:r>
        <w:rPr>
          <w:spacing w:val="14"/>
          <w:sz w:val="21"/>
        </w:rPr>
        <w:t> </w:t>
      </w:r>
      <w:r>
        <w:rPr>
          <w:sz w:val="21"/>
        </w:rPr>
        <w:t>fortune</w:t>
      </w:r>
      <w:r>
        <w:rPr>
          <w:spacing w:val="14"/>
          <w:sz w:val="21"/>
        </w:rPr>
        <w:t> </w:t>
      </w:r>
      <w:r>
        <w:rPr>
          <w:sz w:val="21"/>
        </w:rPr>
        <w:t>or</w:t>
      </w:r>
      <w:r>
        <w:rPr>
          <w:spacing w:val="14"/>
          <w:sz w:val="21"/>
        </w:rPr>
        <w:t> </w:t>
      </w:r>
      <w:r>
        <w:rPr>
          <w:sz w:val="21"/>
        </w:rPr>
        <w:t>chance</w:t>
      </w:r>
      <w:r>
        <w:rPr>
          <w:spacing w:val="14"/>
          <w:sz w:val="21"/>
        </w:rPr>
        <w:t> </w:t>
      </w:r>
      <w:r>
        <w:rPr>
          <w:sz w:val="21"/>
        </w:rPr>
        <w:t>in</w:t>
      </w:r>
      <w:r>
        <w:rPr>
          <w:spacing w:val="14"/>
          <w:sz w:val="21"/>
        </w:rPr>
        <w:t> </w:t>
      </w:r>
      <w:r>
        <w:rPr>
          <w:sz w:val="21"/>
        </w:rPr>
        <w:t>casinos</w:t>
      </w:r>
      <w:r>
        <w:rPr>
          <w:spacing w:val="14"/>
          <w:sz w:val="21"/>
        </w:rPr>
        <w:t> </w:t>
      </w:r>
      <w:r>
        <w:rPr>
          <w:sz w:val="21"/>
        </w:rPr>
        <w:t>in</w:t>
      </w:r>
      <w:r>
        <w:rPr>
          <w:spacing w:val="14"/>
          <w:sz w:val="21"/>
        </w:rPr>
        <w:t> </w:t>
      </w:r>
      <w:r>
        <w:rPr>
          <w:sz w:val="21"/>
        </w:rPr>
        <w:t>the Special Administrative</w:t>
      </w:r>
      <w:r>
        <w:rPr>
          <w:spacing w:val="25"/>
          <w:sz w:val="21"/>
        </w:rPr>
        <w:t> </w:t>
      </w:r>
      <w:r>
        <w:rPr>
          <w:sz w:val="21"/>
        </w:rPr>
        <w:t>Region</w:t>
      </w:r>
      <w:r>
        <w:rPr>
          <w:spacing w:val="25"/>
          <w:sz w:val="21"/>
        </w:rPr>
        <w:t> </w:t>
      </w:r>
      <w:r>
        <w:rPr>
          <w:sz w:val="21"/>
        </w:rPr>
        <w:t>of</w:t>
      </w:r>
      <w:r>
        <w:rPr>
          <w:spacing w:val="25"/>
          <w:sz w:val="21"/>
        </w:rPr>
        <w:t> </w:t>
      </w:r>
      <w:r>
        <w:rPr>
          <w:sz w:val="21"/>
        </w:rPr>
        <w:t>Macau</w:t>
      </w:r>
      <w:r>
        <w:rPr>
          <w:spacing w:val="25"/>
          <w:sz w:val="21"/>
        </w:rPr>
        <w:t> </w:t>
      </w:r>
      <w:r>
        <w:rPr>
          <w:sz w:val="21"/>
        </w:rPr>
        <w:t>of</w:t>
      </w:r>
      <w:r>
        <w:rPr>
          <w:spacing w:val="25"/>
          <w:sz w:val="21"/>
        </w:rPr>
        <w:t> </w:t>
      </w:r>
      <w:r>
        <w:rPr>
          <w:sz w:val="21"/>
        </w:rPr>
        <w:t>the</w:t>
      </w:r>
      <w:r>
        <w:rPr>
          <w:spacing w:val="25"/>
          <w:sz w:val="21"/>
        </w:rPr>
        <w:t> </w:t>
      </w:r>
      <w:r>
        <w:rPr>
          <w:sz w:val="21"/>
        </w:rPr>
        <w:t>People’s</w:t>
      </w:r>
      <w:r>
        <w:rPr>
          <w:spacing w:val="25"/>
          <w:sz w:val="21"/>
        </w:rPr>
        <w:t> </w:t>
      </w:r>
      <w:r>
        <w:rPr>
          <w:sz w:val="21"/>
        </w:rPr>
        <w:t>Republic</w:t>
      </w:r>
      <w:r>
        <w:rPr>
          <w:spacing w:val="25"/>
          <w:sz w:val="21"/>
        </w:rPr>
        <w:t> </w:t>
      </w:r>
      <w:r>
        <w:rPr>
          <w:sz w:val="21"/>
        </w:rPr>
        <w:t>of</w:t>
      </w:r>
      <w:r>
        <w:rPr>
          <w:spacing w:val="25"/>
          <w:sz w:val="21"/>
        </w:rPr>
        <w:t> </w:t>
      </w:r>
      <w:r>
        <w:rPr>
          <w:sz w:val="21"/>
        </w:rPr>
        <w:t>China,</w:t>
      </w:r>
      <w:r>
        <w:rPr>
          <w:spacing w:val="25"/>
          <w:sz w:val="21"/>
        </w:rPr>
        <w:t> </w:t>
      </w:r>
      <w:r>
        <w:rPr>
          <w:sz w:val="21"/>
        </w:rPr>
        <w:t>hereinafter</w:t>
      </w:r>
      <w:r>
        <w:rPr>
          <w:spacing w:val="25"/>
          <w:sz w:val="21"/>
        </w:rPr>
        <w:t> </w:t>
      </w:r>
      <w:r>
        <w:rPr>
          <w:sz w:val="21"/>
        </w:rPr>
        <w:t>Macau</w:t>
      </w:r>
      <w:r>
        <w:rPr>
          <w:spacing w:val="25"/>
          <w:sz w:val="21"/>
        </w:rPr>
        <w:t> </w:t>
      </w:r>
      <w:r>
        <w:rPr>
          <w:sz w:val="21"/>
        </w:rPr>
        <w:t>SAR</w:t>
      </w:r>
      <w:r>
        <w:rPr>
          <w:spacing w:val="25"/>
          <w:sz w:val="21"/>
        </w:rPr>
        <w:t> </w:t>
      </w:r>
      <w:r>
        <w:rPr>
          <w:sz w:val="21"/>
        </w:rPr>
        <w:t>or</w:t>
      </w:r>
      <w:r>
        <w:rPr>
          <w:spacing w:val="25"/>
          <w:sz w:val="21"/>
        </w:rPr>
        <w:t> </w:t>
      </w:r>
      <w:r>
        <w:rPr>
          <w:sz w:val="21"/>
        </w:rPr>
        <w:t>the</w:t>
      </w:r>
      <w:r>
        <w:rPr>
          <w:spacing w:val="25"/>
          <w:sz w:val="21"/>
        </w:rPr>
        <w:t> </w:t>
      </w:r>
      <w:r>
        <w:rPr>
          <w:sz w:val="21"/>
        </w:rPr>
        <w:t>Grantor.</w:t>
      </w:r>
    </w:p>
    <w:p>
      <w:pPr>
        <w:pStyle w:val="BodyText"/>
        <w:spacing w:before="130"/>
        <w:rPr>
          <w:sz w:val="21"/>
        </w:rPr>
      </w:pPr>
    </w:p>
    <w:p>
      <w:pPr>
        <w:spacing w:before="0"/>
        <w:ind w:left="144" w:right="0" w:firstLine="0"/>
        <w:jc w:val="left"/>
        <w:rPr>
          <w:sz w:val="21"/>
        </w:rPr>
      </w:pPr>
      <w:r>
        <w:rPr>
          <w:i/>
          <w:sz w:val="21"/>
        </w:rPr>
        <w:t>Two</w:t>
      </w:r>
      <w:r>
        <w:rPr>
          <w:sz w:val="21"/>
        </w:rPr>
        <w:t>.</w:t>
      </w:r>
      <w:r>
        <w:rPr>
          <w:spacing w:val="4"/>
          <w:sz w:val="21"/>
        </w:rPr>
        <w:t> </w:t>
      </w:r>
      <w:r>
        <w:rPr>
          <w:sz w:val="21"/>
        </w:rPr>
        <w:t>The</w:t>
      </w:r>
      <w:r>
        <w:rPr>
          <w:spacing w:val="9"/>
          <w:sz w:val="21"/>
        </w:rPr>
        <w:t> </w:t>
      </w:r>
      <w:r>
        <w:rPr>
          <w:sz w:val="21"/>
        </w:rPr>
        <w:t>concession</w:t>
      </w:r>
      <w:r>
        <w:rPr>
          <w:spacing w:val="9"/>
          <w:sz w:val="21"/>
        </w:rPr>
        <w:t> </w:t>
      </w:r>
      <w:r>
        <w:rPr>
          <w:sz w:val="21"/>
        </w:rPr>
        <w:t>does</w:t>
      </w:r>
      <w:r>
        <w:rPr>
          <w:spacing w:val="9"/>
          <w:sz w:val="21"/>
        </w:rPr>
        <w:t> </w:t>
      </w:r>
      <w:r>
        <w:rPr>
          <w:sz w:val="21"/>
        </w:rPr>
        <w:t>not</w:t>
      </w:r>
      <w:r>
        <w:rPr>
          <w:spacing w:val="8"/>
          <w:sz w:val="21"/>
        </w:rPr>
        <w:t> </w:t>
      </w:r>
      <w:r>
        <w:rPr>
          <w:sz w:val="21"/>
        </w:rPr>
        <w:t>include</w:t>
      </w:r>
      <w:r>
        <w:rPr>
          <w:spacing w:val="9"/>
          <w:sz w:val="21"/>
        </w:rPr>
        <w:t> </w:t>
      </w:r>
      <w:r>
        <w:rPr>
          <w:sz w:val="21"/>
        </w:rPr>
        <w:t>the</w:t>
      </w:r>
      <w:r>
        <w:rPr>
          <w:spacing w:val="9"/>
          <w:sz w:val="21"/>
        </w:rPr>
        <w:t> </w:t>
      </w:r>
      <w:r>
        <w:rPr>
          <w:sz w:val="21"/>
        </w:rPr>
        <w:t>operation</w:t>
      </w:r>
      <w:r>
        <w:rPr>
          <w:spacing w:val="9"/>
          <w:sz w:val="21"/>
        </w:rPr>
        <w:t> </w:t>
      </w:r>
      <w:r>
        <w:rPr>
          <w:spacing w:val="-5"/>
          <w:sz w:val="21"/>
        </w:rPr>
        <w:t>of:</w:t>
      </w:r>
    </w:p>
    <w:p>
      <w:pPr>
        <w:pStyle w:val="ListParagraph"/>
        <w:numPr>
          <w:ilvl w:val="0"/>
          <w:numId w:val="24"/>
        </w:numPr>
        <w:tabs>
          <w:tab w:pos="887" w:val="left" w:leader="none"/>
        </w:tabs>
        <w:spacing w:line="240" w:lineRule="auto" w:before="69" w:after="0"/>
        <w:ind w:left="887" w:right="0" w:hanging="233"/>
        <w:jc w:val="left"/>
        <w:rPr>
          <w:sz w:val="21"/>
        </w:rPr>
      </w:pPr>
      <w:r>
        <w:rPr>
          <w:sz w:val="21"/>
        </w:rPr>
        <w:t>Mutual</w:t>
      </w:r>
      <w:r>
        <w:rPr>
          <w:spacing w:val="13"/>
          <w:sz w:val="21"/>
        </w:rPr>
        <w:t> </w:t>
      </w:r>
      <w:r>
        <w:rPr>
          <w:spacing w:val="-2"/>
          <w:sz w:val="21"/>
        </w:rPr>
        <w:t>betting;</w:t>
      </w:r>
    </w:p>
    <w:p>
      <w:pPr>
        <w:pStyle w:val="BodyText"/>
        <w:spacing w:before="146"/>
        <w:rPr>
          <w:sz w:val="21"/>
        </w:rPr>
      </w:pPr>
    </w:p>
    <w:p>
      <w:pPr>
        <w:pStyle w:val="ListParagraph"/>
        <w:numPr>
          <w:ilvl w:val="0"/>
          <w:numId w:val="24"/>
        </w:numPr>
        <w:tabs>
          <w:tab w:pos="910" w:val="left" w:leader="none"/>
          <w:tab w:pos="929" w:val="left" w:leader="none"/>
        </w:tabs>
        <w:spacing w:line="213" w:lineRule="auto" w:before="0" w:after="0"/>
        <w:ind w:left="910" w:right="118" w:hanging="256"/>
        <w:jc w:val="left"/>
        <w:rPr>
          <w:sz w:val="21"/>
        </w:rPr>
      </w:pPr>
      <w:r>
        <w:rPr>
          <w:sz w:val="21"/>
        </w:rPr>
        <w:tab/>
        <w:t>Operations</w:t>
      </w:r>
      <w:r>
        <w:rPr>
          <w:spacing w:val="54"/>
          <w:sz w:val="21"/>
        </w:rPr>
        <w:t> </w:t>
      </w:r>
      <w:r>
        <w:rPr>
          <w:sz w:val="21"/>
        </w:rPr>
        <w:t>offered</w:t>
      </w:r>
      <w:r>
        <w:rPr>
          <w:spacing w:val="54"/>
          <w:sz w:val="21"/>
        </w:rPr>
        <w:t> </w:t>
      </w:r>
      <w:r>
        <w:rPr>
          <w:sz w:val="21"/>
        </w:rPr>
        <w:t>to</w:t>
      </w:r>
      <w:r>
        <w:rPr>
          <w:spacing w:val="54"/>
          <w:sz w:val="21"/>
        </w:rPr>
        <w:t> </w:t>
      </w:r>
      <w:r>
        <w:rPr>
          <w:sz w:val="21"/>
        </w:rPr>
        <w:t>the</w:t>
      </w:r>
      <w:r>
        <w:rPr>
          <w:spacing w:val="54"/>
          <w:sz w:val="21"/>
        </w:rPr>
        <w:t> </w:t>
      </w:r>
      <w:r>
        <w:rPr>
          <w:sz w:val="21"/>
        </w:rPr>
        <w:t>public,</w:t>
      </w:r>
      <w:r>
        <w:rPr>
          <w:spacing w:val="54"/>
          <w:sz w:val="21"/>
        </w:rPr>
        <w:t> </w:t>
      </w:r>
      <w:r>
        <w:rPr>
          <w:sz w:val="21"/>
        </w:rPr>
        <w:t>except</w:t>
      </w:r>
      <w:r>
        <w:rPr>
          <w:spacing w:val="54"/>
          <w:sz w:val="21"/>
        </w:rPr>
        <w:t> </w:t>
      </w:r>
      <w:r>
        <w:rPr>
          <w:sz w:val="21"/>
        </w:rPr>
        <w:t>as</w:t>
      </w:r>
      <w:r>
        <w:rPr>
          <w:spacing w:val="54"/>
          <w:sz w:val="21"/>
        </w:rPr>
        <w:t> </w:t>
      </w:r>
      <w:r>
        <w:rPr>
          <w:sz w:val="21"/>
        </w:rPr>
        <w:t>provided</w:t>
      </w:r>
      <w:r>
        <w:rPr>
          <w:spacing w:val="54"/>
          <w:sz w:val="21"/>
        </w:rPr>
        <w:t> </w:t>
      </w:r>
      <w:r>
        <w:rPr>
          <w:sz w:val="21"/>
        </w:rPr>
        <w:t>in</w:t>
      </w:r>
      <w:r>
        <w:rPr>
          <w:spacing w:val="54"/>
          <w:sz w:val="21"/>
        </w:rPr>
        <w:t> </w:t>
      </w:r>
      <w:r>
        <w:rPr>
          <w:sz w:val="21"/>
        </w:rPr>
        <w:t>Section</w:t>
      </w:r>
      <w:r>
        <w:rPr>
          <w:spacing w:val="54"/>
          <w:sz w:val="21"/>
        </w:rPr>
        <w:t> </w:t>
      </w:r>
      <w:r>
        <w:rPr>
          <w:sz w:val="21"/>
        </w:rPr>
        <w:t>3</w:t>
      </w:r>
      <w:r>
        <w:rPr>
          <w:spacing w:val="54"/>
          <w:sz w:val="21"/>
        </w:rPr>
        <w:t> </w:t>
      </w:r>
      <w:r>
        <w:rPr>
          <w:sz w:val="21"/>
        </w:rPr>
        <w:t>(7)</w:t>
      </w:r>
      <w:r>
        <w:rPr>
          <w:spacing w:val="54"/>
          <w:sz w:val="21"/>
        </w:rPr>
        <w:t> </w:t>
      </w:r>
      <w:r>
        <w:rPr>
          <w:sz w:val="21"/>
        </w:rPr>
        <w:t>of</w:t>
      </w:r>
      <w:r>
        <w:rPr>
          <w:spacing w:val="54"/>
          <w:sz w:val="21"/>
        </w:rPr>
        <w:t> </w:t>
      </w:r>
      <w:r>
        <w:rPr>
          <w:sz w:val="21"/>
        </w:rPr>
        <w:t>Law</w:t>
      </w:r>
      <w:r>
        <w:rPr>
          <w:spacing w:val="54"/>
          <w:sz w:val="21"/>
        </w:rPr>
        <w:t> </w:t>
      </w:r>
      <w:r>
        <w:rPr>
          <w:sz w:val="21"/>
        </w:rPr>
        <w:t>No.</w:t>
      </w:r>
      <w:r>
        <w:rPr>
          <w:spacing w:val="54"/>
          <w:sz w:val="21"/>
        </w:rPr>
        <w:t> </w:t>
      </w:r>
      <w:r>
        <w:rPr>
          <w:sz w:val="21"/>
        </w:rPr>
        <w:t>16/2001</w:t>
      </w:r>
      <w:r>
        <w:rPr>
          <w:spacing w:val="54"/>
          <w:sz w:val="21"/>
        </w:rPr>
        <w:t> </w:t>
      </w:r>
      <w:r>
        <w:rPr>
          <w:sz w:val="21"/>
        </w:rPr>
        <w:t>(Legal</w:t>
      </w:r>
      <w:r>
        <w:rPr>
          <w:spacing w:val="54"/>
          <w:sz w:val="21"/>
        </w:rPr>
        <w:t> </w:t>
      </w:r>
      <w:r>
        <w:rPr>
          <w:sz w:val="21"/>
        </w:rPr>
        <w:t>framework</w:t>
      </w:r>
      <w:r>
        <w:rPr>
          <w:spacing w:val="54"/>
          <w:sz w:val="21"/>
        </w:rPr>
        <w:t> </w:t>
      </w:r>
      <w:r>
        <w:rPr>
          <w:sz w:val="21"/>
        </w:rPr>
        <w:t>for</w:t>
      </w:r>
      <w:r>
        <w:rPr>
          <w:spacing w:val="54"/>
          <w:sz w:val="21"/>
        </w:rPr>
        <w:t> </w:t>
      </w:r>
      <w:r>
        <w:rPr>
          <w:sz w:val="21"/>
        </w:rPr>
        <w:t>the operation of games of fortune or chance in casinos);</w:t>
      </w:r>
    </w:p>
    <w:p>
      <w:pPr>
        <w:pStyle w:val="BodyText"/>
        <w:spacing w:before="131"/>
        <w:rPr>
          <w:sz w:val="21"/>
        </w:rPr>
      </w:pPr>
    </w:p>
    <w:p>
      <w:pPr>
        <w:pStyle w:val="ListParagraph"/>
        <w:numPr>
          <w:ilvl w:val="0"/>
          <w:numId w:val="24"/>
        </w:numPr>
        <w:tabs>
          <w:tab w:pos="887" w:val="left" w:leader="none"/>
        </w:tabs>
        <w:spacing w:line="240" w:lineRule="auto" w:before="0" w:after="0"/>
        <w:ind w:left="887" w:right="0" w:hanging="233"/>
        <w:jc w:val="left"/>
        <w:rPr>
          <w:sz w:val="21"/>
        </w:rPr>
      </w:pPr>
      <w:r>
        <w:rPr>
          <w:sz w:val="21"/>
        </w:rPr>
        <w:t>Interactive</w:t>
      </w:r>
      <w:r>
        <w:rPr>
          <w:spacing w:val="18"/>
          <w:sz w:val="21"/>
        </w:rPr>
        <w:t> </w:t>
      </w:r>
      <w:r>
        <w:rPr>
          <w:spacing w:val="-2"/>
          <w:sz w:val="21"/>
        </w:rPr>
        <w:t>games;</w:t>
      </w:r>
    </w:p>
    <w:p>
      <w:pPr>
        <w:pStyle w:val="BodyText"/>
        <w:spacing w:before="159"/>
        <w:rPr>
          <w:sz w:val="21"/>
        </w:rPr>
      </w:pPr>
    </w:p>
    <w:p>
      <w:pPr>
        <w:pStyle w:val="ListParagraph"/>
        <w:numPr>
          <w:ilvl w:val="0"/>
          <w:numId w:val="24"/>
        </w:numPr>
        <w:tabs>
          <w:tab w:pos="888" w:val="left" w:leader="none"/>
          <w:tab w:pos="910" w:val="left" w:leader="none"/>
        </w:tabs>
        <w:spacing w:line="213" w:lineRule="auto" w:before="1" w:after="0"/>
        <w:ind w:left="910" w:right="118" w:hanging="256"/>
        <w:jc w:val="left"/>
        <w:rPr>
          <w:sz w:val="21"/>
        </w:rPr>
      </w:pPr>
      <w:r>
        <w:rPr>
          <w:sz w:val="21"/>
        </w:rPr>
        <w:t>Games</w:t>
      </w:r>
      <w:r>
        <w:rPr>
          <w:spacing w:val="13"/>
          <w:sz w:val="21"/>
        </w:rPr>
        <w:t> </w:t>
      </w:r>
      <w:r>
        <w:rPr>
          <w:sz w:val="21"/>
        </w:rPr>
        <w:t>of</w:t>
      </w:r>
      <w:r>
        <w:rPr>
          <w:spacing w:val="13"/>
          <w:sz w:val="21"/>
        </w:rPr>
        <w:t> </w:t>
      </w:r>
      <w:r>
        <w:rPr>
          <w:sz w:val="21"/>
        </w:rPr>
        <w:t>fortune</w:t>
      </w:r>
      <w:r>
        <w:rPr>
          <w:spacing w:val="13"/>
          <w:sz w:val="21"/>
        </w:rPr>
        <w:t> </w:t>
      </w:r>
      <w:r>
        <w:rPr>
          <w:sz w:val="21"/>
        </w:rPr>
        <w:t>and</w:t>
      </w:r>
      <w:r>
        <w:rPr>
          <w:spacing w:val="13"/>
          <w:sz w:val="21"/>
        </w:rPr>
        <w:t> </w:t>
      </w:r>
      <w:r>
        <w:rPr>
          <w:sz w:val="21"/>
        </w:rPr>
        <w:t>chance,</w:t>
      </w:r>
      <w:r>
        <w:rPr>
          <w:spacing w:val="13"/>
          <w:sz w:val="21"/>
        </w:rPr>
        <w:t> </w:t>
      </w:r>
      <w:r>
        <w:rPr>
          <w:sz w:val="21"/>
        </w:rPr>
        <w:t>betting</w:t>
      </w:r>
      <w:r>
        <w:rPr>
          <w:spacing w:val="13"/>
          <w:sz w:val="21"/>
        </w:rPr>
        <w:t> </w:t>
      </w:r>
      <w:r>
        <w:rPr>
          <w:sz w:val="21"/>
        </w:rPr>
        <w:t>or</w:t>
      </w:r>
      <w:r>
        <w:rPr>
          <w:spacing w:val="13"/>
          <w:sz w:val="21"/>
        </w:rPr>
        <w:t> </w:t>
      </w:r>
      <w:r>
        <w:rPr>
          <w:sz w:val="21"/>
        </w:rPr>
        <w:t>operations</w:t>
      </w:r>
      <w:r>
        <w:rPr>
          <w:spacing w:val="13"/>
          <w:sz w:val="21"/>
        </w:rPr>
        <w:t> </w:t>
      </w:r>
      <w:r>
        <w:rPr>
          <w:sz w:val="21"/>
        </w:rPr>
        <w:t>on</w:t>
      </w:r>
      <w:r>
        <w:rPr>
          <w:spacing w:val="13"/>
          <w:sz w:val="21"/>
        </w:rPr>
        <w:t> </w:t>
      </w:r>
      <w:r>
        <w:rPr>
          <w:sz w:val="21"/>
        </w:rPr>
        <w:t>a</w:t>
      </w:r>
      <w:r>
        <w:rPr>
          <w:spacing w:val="13"/>
          <w:sz w:val="21"/>
        </w:rPr>
        <w:t> </w:t>
      </w:r>
      <w:r>
        <w:rPr>
          <w:sz w:val="21"/>
        </w:rPr>
        <w:t>ship</w:t>
      </w:r>
      <w:r>
        <w:rPr>
          <w:spacing w:val="13"/>
          <w:sz w:val="21"/>
        </w:rPr>
        <w:t> </w:t>
      </w:r>
      <w:r>
        <w:rPr>
          <w:sz w:val="21"/>
        </w:rPr>
        <w:t>or</w:t>
      </w:r>
      <w:r>
        <w:rPr>
          <w:spacing w:val="13"/>
          <w:sz w:val="21"/>
        </w:rPr>
        <w:t> </w:t>
      </w:r>
      <w:r>
        <w:rPr>
          <w:sz w:val="21"/>
        </w:rPr>
        <w:t>aircraft,</w:t>
      </w:r>
      <w:r>
        <w:rPr>
          <w:spacing w:val="13"/>
          <w:sz w:val="21"/>
        </w:rPr>
        <w:t> </w:t>
      </w:r>
      <w:r>
        <w:rPr>
          <w:sz w:val="21"/>
        </w:rPr>
        <w:t>except</w:t>
      </w:r>
      <w:r>
        <w:rPr>
          <w:spacing w:val="13"/>
          <w:sz w:val="21"/>
        </w:rPr>
        <w:t> </w:t>
      </w:r>
      <w:r>
        <w:rPr>
          <w:sz w:val="21"/>
        </w:rPr>
        <w:t>as</w:t>
      </w:r>
      <w:r>
        <w:rPr>
          <w:spacing w:val="13"/>
          <w:sz w:val="21"/>
        </w:rPr>
        <w:t> </w:t>
      </w:r>
      <w:r>
        <w:rPr>
          <w:sz w:val="21"/>
        </w:rPr>
        <w:t>provided</w:t>
      </w:r>
      <w:r>
        <w:rPr>
          <w:spacing w:val="13"/>
          <w:sz w:val="21"/>
        </w:rPr>
        <w:t> </w:t>
      </w:r>
      <w:r>
        <w:rPr>
          <w:sz w:val="21"/>
        </w:rPr>
        <w:t>in</w:t>
      </w:r>
      <w:r>
        <w:rPr>
          <w:spacing w:val="13"/>
          <w:sz w:val="21"/>
        </w:rPr>
        <w:t> </w:t>
      </w:r>
      <w:r>
        <w:rPr>
          <w:sz w:val="21"/>
        </w:rPr>
        <w:t>Section</w:t>
      </w:r>
      <w:r>
        <w:rPr>
          <w:spacing w:val="13"/>
          <w:sz w:val="21"/>
        </w:rPr>
        <w:t> </w:t>
      </w:r>
      <w:r>
        <w:rPr>
          <w:sz w:val="21"/>
        </w:rPr>
        <w:t>5</w:t>
      </w:r>
      <w:r>
        <w:rPr>
          <w:spacing w:val="13"/>
          <w:sz w:val="21"/>
        </w:rPr>
        <w:t> </w:t>
      </w:r>
      <w:r>
        <w:rPr>
          <w:sz w:val="21"/>
        </w:rPr>
        <w:t>(4)</w:t>
      </w:r>
      <w:r>
        <w:rPr>
          <w:spacing w:val="13"/>
          <w:sz w:val="21"/>
        </w:rPr>
        <w:t> </w:t>
      </w:r>
      <w:r>
        <w:rPr>
          <w:sz w:val="21"/>
        </w:rPr>
        <w:t>subparagraph</w:t>
      </w:r>
      <w:r>
        <w:rPr>
          <w:spacing w:val="13"/>
          <w:sz w:val="21"/>
        </w:rPr>
        <w:t> </w:t>
      </w:r>
      <w:r>
        <w:rPr>
          <w:sz w:val="21"/>
        </w:rPr>
        <w:t>1) and (5) of Law No. 16/2001.</w:t>
      </w:r>
    </w:p>
    <w:p>
      <w:pPr>
        <w:pStyle w:val="BodyText"/>
        <w:spacing w:before="130"/>
        <w:rPr>
          <w:sz w:val="21"/>
        </w:rPr>
      </w:pPr>
    </w:p>
    <w:p>
      <w:pPr>
        <w:spacing w:before="0"/>
        <w:ind w:left="24" w:right="0" w:firstLine="0"/>
        <w:jc w:val="center"/>
        <w:rPr>
          <w:b/>
          <w:sz w:val="21"/>
        </w:rPr>
      </w:pPr>
      <w:r>
        <w:rPr>
          <w:b/>
          <w:sz w:val="21"/>
        </w:rPr>
        <w:t>Clause</w:t>
      </w:r>
      <w:r>
        <w:rPr>
          <w:b/>
          <w:spacing w:val="13"/>
          <w:sz w:val="21"/>
        </w:rPr>
        <w:t> </w:t>
      </w:r>
      <w:r>
        <w:rPr>
          <w:b/>
          <w:spacing w:val="-10"/>
          <w:sz w:val="21"/>
        </w:rPr>
        <w:t>2</w:t>
      </w:r>
    </w:p>
    <w:p>
      <w:pPr>
        <w:spacing w:before="69"/>
        <w:ind w:left="24" w:right="0" w:firstLine="0"/>
        <w:jc w:val="center"/>
        <w:rPr>
          <w:b/>
          <w:sz w:val="21"/>
        </w:rPr>
      </w:pPr>
      <w:r>
        <w:rPr>
          <w:b/>
          <w:sz w:val="21"/>
        </w:rPr>
        <w:t>Scopes</w:t>
      </w:r>
      <w:r>
        <w:rPr>
          <w:b/>
          <w:spacing w:val="9"/>
          <w:sz w:val="21"/>
        </w:rPr>
        <w:t> </w:t>
      </w:r>
      <w:r>
        <w:rPr>
          <w:b/>
          <w:sz w:val="21"/>
        </w:rPr>
        <w:t>of</w:t>
      </w:r>
      <w:r>
        <w:rPr>
          <w:b/>
          <w:spacing w:val="9"/>
          <w:sz w:val="21"/>
        </w:rPr>
        <w:t> </w:t>
      </w:r>
      <w:r>
        <w:rPr>
          <w:b/>
          <w:sz w:val="21"/>
        </w:rPr>
        <w:t>the</w:t>
      </w:r>
      <w:r>
        <w:rPr>
          <w:b/>
          <w:spacing w:val="9"/>
          <w:sz w:val="21"/>
        </w:rPr>
        <w:t> </w:t>
      </w:r>
      <w:r>
        <w:rPr>
          <w:b/>
          <w:sz w:val="21"/>
        </w:rPr>
        <w:t>operation</w:t>
      </w:r>
      <w:r>
        <w:rPr>
          <w:b/>
          <w:spacing w:val="9"/>
          <w:sz w:val="21"/>
        </w:rPr>
        <w:t> </w:t>
      </w:r>
      <w:r>
        <w:rPr>
          <w:b/>
          <w:sz w:val="21"/>
        </w:rPr>
        <w:t>of</w:t>
      </w:r>
      <w:r>
        <w:rPr>
          <w:b/>
          <w:spacing w:val="10"/>
          <w:sz w:val="21"/>
        </w:rPr>
        <w:t> </w:t>
      </w:r>
      <w:r>
        <w:rPr>
          <w:b/>
          <w:sz w:val="21"/>
        </w:rPr>
        <w:t>games</w:t>
      </w:r>
      <w:r>
        <w:rPr>
          <w:b/>
          <w:spacing w:val="9"/>
          <w:sz w:val="21"/>
        </w:rPr>
        <w:t> </w:t>
      </w:r>
      <w:r>
        <w:rPr>
          <w:b/>
          <w:sz w:val="21"/>
        </w:rPr>
        <w:t>of</w:t>
      </w:r>
      <w:r>
        <w:rPr>
          <w:b/>
          <w:spacing w:val="9"/>
          <w:sz w:val="21"/>
        </w:rPr>
        <w:t> </w:t>
      </w:r>
      <w:r>
        <w:rPr>
          <w:b/>
          <w:sz w:val="21"/>
        </w:rPr>
        <w:t>fortune</w:t>
      </w:r>
      <w:r>
        <w:rPr>
          <w:b/>
          <w:spacing w:val="9"/>
          <w:sz w:val="21"/>
        </w:rPr>
        <w:t> </w:t>
      </w:r>
      <w:r>
        <w:rPr>
          <w:b/>
          <w:sz w:val="21"/>
        </w:rPr>
        <w:t>or</w:t>
      </w:r>
      <w:r>
        <w:rPr>
          <w:b/>
          <w:spacing w:val="5"/>
          <w:sz w:val="21"/>
        </w:rPr>
        <w:t> </w:t>
      </w:r>
      <w:r>
        <w:rPr>
          <w:b/>
          <w:sz w:val="21"/>
        </w:rPr>
        <w:t>chance</w:t>
      </w:r>
      <w:r>
        <w:rPr>
          <w:b/>
          <w:spacing w:val="9"/>
          <w:sz w:val="21"/>
        </w:rPr>
        <w:t> </w:t>
      </w:r>
      <w:r>
        <w:rPr>
          <w:b/>
          <w:sz w:val="21"/>
        </w:rPr>
        <w:t>in</w:t>
      </w:r>
      <w:r>
        <w:rPr>
          <w:b/>
          <w:spacing w:val="9"/>
          <w:sz w:val="21"/>
        </w:rPr>
        <w:t> </w:t>
      </w:r>
      <w:r>
        <w:rPr>
          <w:b/>
          <w:spacing w:val="-2"/>
          <w:sz w:val="21"/>
        </w:rPr>
        <w:t>casinos</w:t>
      </w:r>
    </w:p>
    <w:p>
      <w:pPr>
        <w:pStyle w:val="BodyText"/>
        <w:spacing w:before="125"/>
        <w:rPr>
          <w:b/>
          <w:sz w:val="21"/>
        </w:rPr>
      </w:pPr>
    </w:p>
    <w:p>
      <w:pPr>
        <w:spacing w:before="0"/>
        <w:ind w:left="144" w:right="0" w:firstLine="0"/>
        <w:jc w:val="left"/>
        <w:rPr>
          <w:sz w:val="21"/>
        </w:rPr>
      </w:pPr>
      <w:r>
        <w:rPr>
          <w:sz w:val="21"/>
        </w:rPr>
        <w:t>When</w:t>
      </w:r>
      <w:r>
        <w:rPr>
          <w:spacing w:val="11"/>
          <w:sz w:val="21"/>
        </w:rPr>
        <w:t> </w:t>
      </w:r>
      <w:r>
        <w:rPr>
          <w:sz w:val="21"/>
        </w:rPr>
        <w:t>operating</w:t>
      </w:r>
      <w:r>
        <w:rPr>
          <w:spacing w:val="11"/>
          <w:sz w:val="21"/>
        </w:rPr>
        <w:t> </w:t>
      </w:r>
      <w:r>
        <w:rPr>
          <w:sz w:val="21"/>
        </w:rPr>
        <w:t>games</w:t>
      </w:r>
      <w:r>
        <w:rPr>
          <w:spacing w:val="12"/>
          <w:sz w:val="21"/>
        </w:rPr>
        <w:t> </w:t>
      </w:r>
      <w:r>
        <w:rPr>
          <w:sz w:val="21"/>
        </w:rPr>
        <w:t>of</w:t>
      </w:r>
      <w:r>
        <w:rPr>
          <w:spacing w:val="11"/>
          <w:sz w:val="21"/>
        </w:rPr>
        <w:t> </w:t>
      </w:r>
      <w:r>
        <w:rPr>
          <w:sz w:val="21"/>
        </w:rPr>
        <w:t>fortune</w:t>
      </w:r>
      <w:r>
        <w:rPr>
          <w:spacing w:val="11"/>
          <w:sz w:val="21"/>
        </w:rPr>
        <w:t> </w:t>
      </w:r>
      <w:r>
        <w:rPr>
          <w:sz w:val="21"/>
        </w:rPr>
        <w:t>or</w:t>
      </w:r>
      <w:r>
        <w:rPr>
          <w:spacing w:val="12"/>
          <w:sz w:val="21"/>
        </w:rPr>
        <w:t> </w:t>
      </w:r>
      <w:r>
        <w:rPr>
          <w:sz w:val="21"/>
        </w:rPr>
        <w:t>chance</w:t>
      </w:r>
      <w:r>
        <w:rPr>
          <w:spacing w:val="11"/>
          <w:sz w:val="21"/>
        </w:rPr>
        <w:t> </w:t>
      </w:r>
      <w:r>
        <w:rPr>
          <w:sz w:val="21"/>
        </w:rPr>
        <w:t>in</w:t>
      </w:r>
      <w:r>
        <w:rPr>
          <w:spacing w:val="11"/>
          <w:sz w:val="21"/>
        </w:rPr>
        <w:t> </w:t>
      </w:r>
      <w:r>
        <w:rPr>
          <w:sz w:val="21"/>
        </w:rPr>
        <w:t>casinos,</w:t>
      </w:r>
      <w:r>
        <w:rPr>
          <w:spacing w:val="12"/>
          <w:sz w:val="21"/>
        </w:rPr>
        <w:t> </w:t>
      </w:r>
      <w:r>
        <w:rPr>
          <w:sz w:val="21"/>
        </w:rPr>
        <w:t>the</w:t>
      </w:r>
      <w:r>
        <w:rPr>
          <w:spacing w:val="11"/>
          <w:sz w:val="21"/>
        </w:rPr>
        <w:t> </w:t>
      </w:r>
      <w:r>
        <w:rPr>
          <w:sz w:val="21"/>
        </w:rPr>
        <w:t>Concessionaire</w:t>
      </w:r>
      <w:r>
        <w:rPr>
          <w:spacing w:val="11"/>
          <w:sz w:val="21"/>
        </w:rPr>
        <w:t> </w:t>
      </w:r>
      <w:r>
        <w:rPr>
          <w:sz w:val="21"/>
        </w:rPr>
        <w:t>undertakes</w:t>
      </w:r>
      <w:r>
        <w:rPr>
          <w:spacing w:val="12"/>
          <w:sz w:val="21"/>
        </w:rPr>
        <w:t> </w:t>
      </w:r>
      <w:r>
        <w:rPr>
          <w:sz w:val="21"/>
        </w:rPr>
        <w:t>to</w:t>
      </w:r>
      <w:r>
        <w:rPr>
          <w:spacing w:val="11"/>
          <w:sz w:val="21"/>
        </w:rPr>
        <w:t> </w:t>
      </w:r>
      <w:r>
        <w:rPr>
          <w:sz w:val="21"/>
        </w:rPr>
        <w:t>comply</w:t>
      </w:r>
      <w:r>
        <w:rPr>
          <w:spacing w:val="11"/>
          <w:sz w:val="21"/>
        </w:rPr>
        <w:t> </w:t>
      </w:r>
      <w:r>
        <w:rPr>
          <w:sz w:val="21"/>
        </w:rPr>
        <w:t>with</w:t>
      </w:r>
      <w:r>
        <w:rPr>
          <w:spacing w:val="12"/>
          <w:sz w:val="21"/>
        </w:rPr>
        <w:t> </w:t>
      </w:r>
      <w:r>
        <w:rPr>
          <w:sz w:val="21"/>
        </w:rPr>
        <w:t>the</w:t>
      </w:r>
      <w:r>
        <w:rPr>
          <w:spacing w:val="11"/>
          <w:sz w:val="21"/>
        </w:rPr>
        <w:t> </w:t>
      </w:r>
      <w:r>
        <w:rPr>
          <w:sz w:val="21"/>
        </w:rPr>
        <w:t>following</w:t>
      </w:r>
      <w:r>
        <w:rPr>
          <w:spacing w:val="11"/>
          <w:sz w:val="21"/>
        </w:rPr>
        <w:t> </w:t>
      </w:r>
      <w:r>
        <w:rPr>
          <w:sz w:val="21"/>
        </w:rPr>
        <w:t>main</w:t>
      </w:r>
      <w:r>
        <w:rPr>
          <w:spacing w:val="12"/>
          <w:sz w:val="21"/>
        </w:rPr>
        <w:t> </w:t>
      </w:r>
      <w:r>
        <w:rPr>
          <w:spacing w:val="-2"/>
          <w:sz w:val="21"/>
        </w:rPr>
        <w:t>objectives:</w:t>
      </w:r>
    </w:p>
    <w:p>
      <w:pPr>
        <w:pStyle w:val="BodyText"/>
        <w:spacing w:before="146"/>
        <w:rPr>
          <w:sz w:val="21"/>
        </w:rPr>
      </w:pPr>
    </w:p>
    <w:p>
      <w:pPr>
        <w:pStyle w:val="ListParagraph"/>
        <w:numPr>
          <w:ilvl w:val="0"/>
          <w:numId w:val="25"/>
        </w:numPr>
        <w:tabs>
          <w:tab w:pos="908" w:val="left" w:leader="none"/>
          <w:tab w:pos="910" w:val="left" w:leader="none"/>
        </w:tabs>
        <w:spacing w:line="213" w:lineRule="auto" w:before="0" w:after="0"/>
        <w:ind w:left="910" w:right="119" w:hanging="256"/>
        <w:jc w:val="left"/>
        <w:rPr>
          <w:sz w:val="21"/>
        </w:rPr>
      </w:pPr>
      <w:r>
        <w:rPr>
          <w:sz w:val="21"/>
        </w:rPr>
        <w:t>Run</w:t>
      </w:r>
      <w:r>
        <w:rPr>
          <w:spacing w:val="33"/>
          <w:sz w:val="21"/>
        </w:rPr>
        <w:t> </w:t>
      </w:r>
      <w:r>
        <w:rPr>
          <w:sz w:val="21"/>
        </w:rPr>
        <w:t>and</w:t>
      </w:r>
      <w:r>
        <w:rPr>
          <w:spacing w:val="33"/>
          <w:sz w:val="21"/>
        </w:rPr>
        <w:t> </w:t>
      </w:r>
      <w:r>
        <w:rPr>
          <w:sz w:val="21"/>
        </w:rPr>
        <w:t>operate</w:t>
      </w:r>
      <w:r>
        <w:rPr>
          <w:spacing w:val="33"/>
          <w:sz w:val="21"/>
        </w:rPr>
        <w:t> </w:t>
      </w:r>
      <w:r>
        <w:rPr>
          <w:sz w:val="21"/>
        </w:rPr>
        <w:t>games</w:t>
      </w:r>
      <w:r>
        <w:rPr>
          <w:spacing w:val="33"/>
          <w:sz w:val="21"/>
        </w:rPr>
        <w:t> </w:t>
      </w:r>
      <w:r>
        <w:rPr>
          <w:sz w:val="21"/>
        </w:rPr>
        <w:t>of</w:t>
      </w:r>
      <w:r>
        <w:rPr>
          <w:spacing w:val="33"/>
          <w:sz w:val="21"/>
        </w:rPr>
        <w:t> </w:t>
      </w:r>
      <w:r>
        <w:rPr>
          <w:sz w:val="21"/>
        </w:rPr>
        <w:t>fortune</w:t>
      </w:r>
      <w:r>
        <w:rPr>
          <w:spacing w:val="33"/>
          <w:sz w:val="21"/>
        </w:rPr>
        <w:t> </w:t>
      </w:r>
      <w:r>
        <w:rPr>
          <w:sz w:val="21"/>
        </w:rPr>
        <w:t>or</w:t>
      </w:r>
      <w:r>
        <w:rPr>
          <w:spacing w:val="33"/>
          <w:sz w:val="21"/>
        </w:rPr>
        <w:t> </w:t>
      </w:r>
      <w:r>
        <w:rPr>
          <w:sz w:val="21"/>
        </w:rPr>
        <w:t>chance</w:t>
      </w:r>
      <w:r>
        <w:rPr>
          <w:spacing w:val="33"/>
          <w:sz w:val="21"/>
        </w:rPr>
        <w:t> </w:t>
      </w:r>
      <w:r>
        <w:rPr>
          <w:sz w:val="21"/>
        </w:rPr>
        <w:t>in</w:t>
      </w:r>
      <w:r>
        <w:rPr>
          <w:spacing w:val="33"/>
          <w:sz w:val="21"/>
        </w:rPr>
        <w:t> </w:t>
      </w:r>
      <w:r>
        <w:rPr>
          <w:sz w:val="21"/>
        </w:rPr>
        <w:t>casinos</w:t>
      </w:r>
      <w:r>
        <w:rPr>
          <w:spacing w:val="33"/>
          <w:sz w:val="21"/>
        </w:rPr>
        <w:t> </w:t>
      </w:r>
      <w:r>
        <w:rPr>
          <w:sz w:val="21"/>
        </w:rPr>
        <w:t>on</w:t>
      </w:r>
      <w:r>
        <w:rPr>
          <w:spacing w:val="33"/>
          <w:sz w:val="21"/>
        </w:rPr>
        <w:t> </w:t>
      </w:r>
      <w:r>
        <w:rPr>
          <w:sz w:val="21"/>
        </w:rPr>
        <w:t>the</w:t>
      </w:r>
      <w:r>
        <w:rPr>
          <w:spacing w:val="33"/>
          <w:sz w:val="21"/>
        </w:rPr>
        <w:t> </w:t>
      </w:r>
      <w:r>
        <w:rPr>
          <w:sz w:val="21"/>
        </w:rPr>
        <w:t>premises</w:t>
      </w:r>
      <w:r>
        <w:rPr>
          <w:spacing w:val="33"/>
          <w:sz w:val="21"/>
        </w:rPr>
        <w:t> </w:t>
      </w:r>
      <w:r>
        <w:rPr>
          <w:sz w:val="21"/>
        </w:rPr>
        <w:t>of</w:t>
      </w:r>
      <w:r>
        <w:rPr>
          <w:spacing w:val="33"/>
          <w:sz w:val="21"/>
        </w:rPr>
        <w:t> </w:t>
      </w:r>
      <w:r>
        <w:rPr>
          <w:sz w:val="21"/>
        </w:rPr>
        <w:t>safeguarding</w:t>
      </w:r>
      <w:r>
        <w:rPr>
          <w:spacing w:val="33"/>
          <w:sz w:val="21"/>
        </w:rPr>
        <w:t> </w:t>
      </w:r>
      <w:r>
        <w:rPr>
          <w:sz w:val="21"/>
        </w:rPr>
        <w:t>national</w:t>
      </w:r>
      <w:r>
        <w:rPr>
          <w:spacing w:val="33"/>
          <w:sz w:val="21"/>
        </w:rPr>
        <w:t> </w:t>
      </w:r>
      <w:r>
        <w:rPr>
          <w:sz w:val="21"/>
        </w:rPr>
        <w:t>security</w:t>
      </w:r>
      <w:r>
        <w:rPr>
          <w:spacing w:val="33"/>
          <w:sz w:val="21"/>
        </w:rPr>
        <w:t> </w:t>
      </w:r>
      <w:r>
        <w:rPr>
          <w:sz w:val="21"/>
        </w:rPr>
        <w:t>and</w:t>
      </w:r>
      <w:r>
        <w:rPr>
          <w:spacing w:val="33"/>
          <w:sz w:val="21"/>
        </w:rPr>
        <w:t> </w:t>
      </w:r>
      <w:r>
        <w:rPr>
          <w:sz w:val="21"/>
        </w:rPr>
        <w:t>that</w:t>
      </w:r>
      <w:r>
        <w:rPr>
          <w:spacing w:val="33"/>
          <w:sz w:val="21"/>
        </w:rPr>
        <w:t> </w:t>
      </w:r>
      <w:r>
        <w:rPr>
          <w:sz w:val="21"/>
        </w:rPr>
        <w:t>of</w:t>
      </w:r>
      <w:r>
        <w:rPr>
          <w:spacing w:val="33"/>
          <w:sz w:val="21"/>
        </w:rPr>
        <w:t> </w:t>
      </w:r>
      <w:r>
        <w:rPr>
          <w:sz w:val="21"/>
        </w:rPr>
        <w:t>the Macau SAR;</w:t>
      </w:r>
    </w:p>
    <w:p>
      <w:pPr>
        <w:pStyle w:val="BodyText"/>
        <w:spacing w:before="144"/>
        <w:rPr>
          <w:sz w:val="21"/>
        </w:rPr>
      </w:pPr>
    </w:p>
    <w:p>
      <w:pPr>
        <w:pStyle w:val="ListParagraph"/>
        <w:numPr>
          <w:ilvl w:val="0"/>
          <w:numId w:val="25"/>
        </w:numPr>
        <w:tabs>
          <w:tab w:pos="887" w:val="left" w:leader="none"/>
        </w:tabs>
        <w:spacing w:line="240" w:lineRule="auto" w:before="0" w:after="0"/>
        <w:ind w:left="887" w:right="0" w:hanging="233"/>
        <w:jc w:val="left"/>
        <w:rPr>
          <w:sz w:val="21"/>
        </w:rPr>
      </w:pPr>
      <w:r>
        <w:rPr>
          <w:sz w:val="21"/>
        </w:rPr>
        <w:t>Promote</w:t>
      </w:r>
      <w:r>
        <w:rPr>
          <w:spacing w:val="14"/>
          <w:sz w:val="21"/>
        </w:rPr>
        <w:t> </w:t>
      </w:r>
      <w:r>
        <w:rPr>
          <w:sz w:val="21"/>
        </w:rPr>
        <w:t>adequate</w:t>
      </w:r>
      <w:r>
        <w:rPr>
          <w:spacing w:val="14"/>
          <w:sz w:val="21"/>
        </w:rPr>
        <w:t> </w:t>
      </w:r>
      <w:r>
        <w:rPr>
          <w:sz w:val="21"/>
        </w:rPr>
        <w:t>diversification</w:t>
      </w:r>
      <w:r>
        <w:rPr>
          <w:spacing w:val="14"/>
          <w:sz w:val="21"/>
        </w:rPr>
        <w:t> </w:t>
      </w:r>
      <w:r>
        <w:rPr>
          <w:sz w:val="21"/>
        </w:rPr>
        <w:t>and</w:t>
      </w:r>
      <w:r>
        <w:rPr>
          <w:spacing w:val="14"/>
          <w:sz w:val="21"/>
        </w:rPr>
        <w:t> </w:t>
      </w:r>
      <w:r>
        <w:rPr>
          <w:sz w:val="21"/>
        </w:rPr>
        <w:t>sustainable</w:t>
      </w:r>
      <w:r>
        <w:rPr>
          <w:spacing w:val="14"/>
          <w:sz w:val="21"/>
        </w:rPr>
        <w:t> </w:t>
      </w:r>
      <w:r>
        <w:rPr>
          <w:sz w:val="21"/>
        </w:rPr>
        <w:t>development</w:t>
      </w:r>
      <w:r>
        <w:rPr>
          <w:spacing w:val="14"/>
          <w:sz w:val="21"/>
        </w:rPr>
        <w:t> </w:t>
      </w:r>
      <w:r>
        <w:rPr>
          <w:sz w:val="21"/>
        </w:rPr>
        <w:t>of</w:t>
      </w:r>
      <w:r>
        <w:rPr>
          <w:spacing w:val="14"/>
          <w:sz w:val="21"/>
        </w:rPr>
        <w:t> </w:t>
      </w:r>
      <w:r>
        <w:rPr>
          <w:sz w:val="21"/>
        </w:rPr>
        <w:t>the</w:t>
      </w:r>
      <w:r>
        <w:rPr>
          <w:spacing w:val="14"/>
          <w:sz w:val="21"/>
        </w:rPr>
        <w:t> </w:t>
      </w:r>
      <w:r>
        <w:rPr>
          <w:sz w:val="21"/>
        </w:rPr>
        <w:t>Macau</w:t>
      </w:r>
      <w:r>
        <w:rPr>
          <w:spacing w:val="14"/>
          <w:sz w:val="21"/>
        </w:rPr>
        <w:t> </w:t>
      </w:r>
      <w:r>
        <w:rPr>
          <w:sz w:val="21"/>
        </w:rPr>
        <w:t>SAR's</w:t>
      </w:r>
      <w:r>
        <w:rPr>
          <w:spacing w:val="14"/>
          <w:sz w:val="21"/>
        </w:rPr>
        <w:t> </w:t>
      </w:r>
      <w:r>
        <w:rPr>
          <w:spacing w:val="-2"/>
          <w:sz w:val="21"/>
        </w:rPr>
        <w:t>economy;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3"/>
        <w:rPr>
          <w:sz w:val="20"/>
        </w:rPr>
      </w:pPr>
      <w:r>
        <w:rPr/>
        <mc:AlternateContent>
          <mc:Choice Requires="wps">
            <w:drawing>
              <wp:anchor distT="0" distB="0" distL="0" distR="0" allowOverlap="1" layoutInCell="1" locked="0" behindDoc="1" simplePos="0" relativeHeight="487764480">
                <wp:simplePos x="0" y="0"/>
                <wp:positionH relativeFrom="page">
                  <wp:posOffset>231457</wp:posOffset>
                </wp:positionH>
                <wp:positionV relativeFrom="paragraph">
                  <wp:posOffset>201365</wp:posOffset>
                </wp:positionV>
                <wp:extent cx="7312659" cy="17145"/>
                <wp:effectExtent l="0" t="0" r="0" b="0"/>
                <wp:wrapTopAndBottom/>
                <wp:docPr id="799" name="Group 799"/>
                <wp:cNvGraphicFramePr>
                  <a:graphicFrameLocks/>
                </wp:cNvGraphicFramePr>
                <a:graphic>
                  <a:graphicData uri="http://schemas.microsoft.com/office/word/2010/wordprocessingGroup">
                    <wpg:wgp>
                      <wpg:cNvPr id="799" name="Group 799"/>
                      <wpg:cNvGrpSpPr/>
                      <wpg:grpSpPr>
                        <a:xfrm>
                          <a:off x="0" y="0"/>
                          <a:ext cx="7312659" cy="17145"/>
                          <a:chExt cx="7312659" cy="17145"/>
                        </a:xfrm>
                      </wpg:grpSpPr>
                      <wps:wsp>
                        <wps:cNvPr id="800" name="Graphic 80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01" name="Graphic 801"/>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02" name="Graphic 80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855531pt;width:575.8pt;height:1.35pt;mso-position-horizontal-relative:page;mso-position-vertical-relative:paragraph;z-index:-15552000;mso-wrap-distance-left:0;mso-wrap-distance-right:0" id="docshapegroup797" coordorigin="364,317" coordsize="11516,27">
                <v:rect style="position:absolute;left:364;top:317;width:11516;height:14" id="docshape798" filled="true" fillcolor="#999999" stroked="false">
                  <v:fill type="solid"/>
                </v:rect>
                <v:shape style="position:absolute;left:364;top:317;width:11516;height:27" id="docshape799" coordorigin="364,317" coordsize="11516,27" path="m11880,317l11866,331,364,331,364,344,11866,344,11880,344,11880,331,11880,317xe" filled="true" fillcolor="#ededed" stroked="false">
                  <v:path arrowok="t"/>
                  <v:fill type="solid"/>
                </v:shape>
                <v:shape style="position:absolute;left:364;top:317;width:14;height:27" id="docshape800" coordorigin="364,317" coordsize="14,27" path="m364,344l364,317,378,317,378,331,364,344xe" filled="true" fillcolor="#999999" stroked="false">
                  <v:path arrowok="t"/>
                  <v:fill type="solid"/>
                </v:shape>
                <w10:wrap type="topAndBottom"/>
              </v:group>
            </w:pict>
          </mc:Fallback>
        </mc:AlternateContent>
      </w:r>
    </w:p>
    <w:p>
      <w:pPr>
        <w:spacing w:after="0"/>
        <w:rPr>
          <w:sz w:val="20"/>
        </w:rPr>
        <w:sectPr>
          <w:pgSz w:w="12240" w:h="15840"/>
          <w:pgMar w:top="300" w:bottom="280" w:left="220" w:right="240"/>
        </w:sectPr>
      </w:pPr>
    </w:p>
    <w:p>
      <w:pPr>
        <w:pStyle w:val="ListParagraph"/>
        <w:numPr>
          <w:ilvl w:val="0"/>
          <w:numId w:val="25"/>
        </w:numPr>
        <w:tabs>
          <w:tab w:pos="887" w:val="left" w:leader="none"/>
        </w:tabs>
        <w:spacing w:line="240" w:lineRule="auto" w:before="211" w:after="0"/>
        <w:ind w:left="887" w:right="0" w:hanging="233"/>
        <w:jc w:val="left"/>
        <w:rPr>
          <w:sz w:val="21"/>
        </w:rPr>
      </w:pPr>
      <w:r>
        <w:rPr>
          <w:sz w:val="21"/>
        </w:rPr>
        <w:t>Run</w:t>
      </w:r>
      <w:r>
        <w:rPr>
          <w:spacing w:val="9"/>
          <w:sz w:val="21"/>
        </w:rPr>
        <w:t> </w:t>
      </w:r>
      <w:r>
        <w:rPr>
          <w:sz w:val="21"/>
        </w:rPr>
        <w:t>and</w:t>
      </w:r>
      <w:r>
        <w:rPr>
          <w:spacing w:val="9"/>
          <w:sz w:val="21"/>
        </w:rPr>
        <w:t> </w:t>
      </w:r>
      <w:r>
        <w:rPr>
          <w:sz w:val="21"/>
        </w:rPr>
        <w:t>operate</w:t>
      </w:r>
      <w:r>
        <w:rPr>
          <w:spacing w:val="10"/>
          <w:sz w:val="21"/>
        </w:rPr>
        <w:t> </w:t>
      </w:r>
      <w:r>
        <w:rPr>
          <w:sz w:val="21"/>
        </w:rPr>
        <w:t>games</w:t>
      </w:r>
      <w:r>
        <w:rPr>
          <w:spacing w:val="9"/>
          <w:sz w:val="21"/>
        </w:rPr>
        <w:t> </w:t>
      </w:r>
      <w:r>
        <w:rPr>
          <w:sz w:val="21"/>
        </w:rPr>
        <w:t>of</w:t>
      </w:r>
      <w:r>
        <w:rPr>
          <w:spacing w:val="9"/>
          <w:sz w:val="21"/>
        </w:rPr>
        <w:t> </w:t>
      </w:r>
      <w:r>
        <w:rPr>
          <w:sz w:val="21"/>
        </w:rPr>
        <w:t>fortune</w:t>
      </w:r>
      <w:r>
        <w:rPr>
          <w:spacing w:val="10"/>
          <w:sz w:val="21"/>
        </w:rPr>
        <w:t> </w:t>
      </w:r>
      <w:r>
        <w:rPr>
          <w:sz w:val="21"/>
        </w:rPr>
        <w:t>or</w:t>
      </w:r>
      <w:r>
        <w:rPr>
          <w:spacing w:val="9"/>
          <w:sz w:val="21"/>
        </w:rPr>
        <w:t> </w:t>
      </w:r>
      <w:r>
        <w:rPr>
          <w:sz w:val="21"/>
        </w:rPr>
        <w:t>chance</w:t>
      </w:r>
      <w:r>
        <w:rPr>
          <w:spacing w:val="10"/>
          <w:sz w:val="21"/>
        </w:rPr>
        <w:t> </w:t>
      </w:r>
      <w:r>
        <w:rPr>
          <w:sz w:val="21"/>
        </w:rPr>
        <w:t>in</w:t>
      </w:r>
      <w:r>
        <w:rPr>
          <w:spacing w:val="9"/>
          <w:sz w:val="21"/>
        </w:rPr>
        <w:t> </w:t>
      </w:r>
      <w:r>
        <w:rPr>
          <w:sz w:val="21"/>
        </w:rPr>
        <w:t>casinos</w:t>
      </w:r>
      <w:r>
        <w:rPr>
          <w:spacing w:val="9"/>
          <w:sz w:val="21"/>
        </w:rPr>
        <w:t> </w:t>
      </w:r>
      <w:r>
        <w:rPr>
          <w:sz w:val="21"/>
        </w:rPr>
        <w:t>with</w:t>
      </w:r>
      <w:r>
        <w:rPr>
          <w:spacing w:val="10"/>
          <w:sz w:val="21"/>
        </w:rPr>
        <w:t> </w:t>
      </w:r>
      <w:r>
        <w:rPr>
          <w:sz w:val="21"/>
        </w:rPr>
        <w:t>fairness</w:t>
      </w:r>
      <w:r>
        <w:rPr>
          <w:spacing w:val="9"/>
          <w:sz w:val="21"/>
        </w:rPr>
        <w:t> </w:t>
      </w:r>
      <w:r>
        <w:rPr>
          <w:sz w:val="21"/>
        </w:rPr>
        <w:t>and</w:t>
      </w:r>
      <w:r>
        <w:rPr>
          <w:spacing w:val="10"/>
          <w:sz w:val="21"/>
        </w:rPr>
        <w:t> </w:t>
      </w:r>
      <w:r>
        <w:rPr>
          <w:spacing w:val="-2"/>
          <w:sz w:val="21"/>
        </w:rPr>
        <w:t>honesty;</w:t>
      </w:r>
    </w:p>
    <w:p>
      <w:pPr>
        <w:pStyle w:val="BodyText"/>
        <w:spacing w:before="146"/>
        <w:rPr>
          <w:sz w:val="21"/>
        </w:rPr>
      </w:pPr>
    </w:p>
    <w:p>
      <w:pPr>
        <w:pStyle w:val="ListParagraph"/>
        <w:numPr>
          <w:ilvl w:val="0"/>
          <w:numId w:val="25"/>
        </w:numPr>
        <w:tabs>
          <w:tab w:pos="885" w:val="left" w:leader="none"/>
          <w:tab w:pos="910" w:val="left" w:leader="none"/>
        </w:tabs>
        <w:spacing w:line="213" w:lineRule="auto" w:before="0" w:after="0"/>
        <w:ind w:left="910" w:right="118" w:hanging="256"/>
        <w:jc w:val="both"/>
        <w:rPr>
          <w:sz w:val="21"/>
        </w:rPr>
      </w:pPr>
      <w:r>
        <w:rPr>
          <w:sz w:val="19"/>
        </w:rPr>
        <w:t>O</w:t>
      </w:r>
      <w:r>
        <w:rPr>
          <w:sz w:val="21"/>
        </w:rPr>
        <w:t>perate games of fortune or chance in casinos free from criminal influence and ensure that the exploitation and operation of casinos is in line with the policies and mechanisms of the Macau SAR with regards to fighting illegal cross-border capital</w:t>
      </w:r>
      <w:r>
        <w:rPr>
          <w:spacing w:val="80"/>
          <w:sz w:val="21"/>
        </w:rPr>
        <w:t> </w:t>
      </w:r>
      <w:r>
        <w:rPr>
          <w:sz w:val="21"/>
        </w:rPr>
        <w:t>flows and preventing money laundering and terrorism;</w:t>
      </w:r>
    </w:p>
    <w:p>
      <w:pPr>
        <w:pStyle w:val="BodyText"/>
        <w:spacing w:before="167"/>
        <w:rPr>
          <w:sz w:val="21"/>
        </w:rPr>
      </w:pPr>
    </w:p>
    <w:p>
      <w:pPr>
        <w:pStyle w:val="ListParagraph"/>
        <w:numPr>
          <w:ilvl w:val="0"/>
          <w:numId w:val="25"/>
        </w:numPr>
        <w:tabs>
          <w:tab w:pos="886" w:val="left" w:leader="none"/>
          <w:tab w:pos="910" w:val="left" w:leader="none"/>
        </w:tabs>
        <w:spacing w:line="213" w:lineRule="auto" w:before="0" w:after="0"/>
        <w:ind w:left="910" w:right="118" w:hanging="256"/>
        <w:jc w:val="both"/>
        <w:rPr>
          <w:sz w:val="21"/>
        </w:rPr>
      </w:pPr>
      <w:r>
        <w:rPr>
          <w:sz w:val="21"/>
        </w:rPr>
        <w:t>That the size and operation of games of fortune or chance in casinos, as well as the practice of games of fortune and chance,</w:t>
      </w:r>
      <w:r>
        <w:rPr>
          <w:spacing w:val="80"/>
          <w:w w:val="150"/>
          <w:sz w:val="21"/>
        </w:rPr>
        <w:t> </w:t>
      </w:r>
      <w:r>
        <w:rPr>
          <w:sz w:val="21"/>
        </w:rPr>
        <w:t>are subject to legal restrictions;</w:t>
      </w:r>
    </w:p>
    <w:p>
      <w:pPr>
        <w:pStyle w:val="BodyText"/>
        <w:spacing w:before="152"/>
        <w:rPr>
          <w:sz w:val="21"/>
        </w:rPr>
      </w:pPr>
    </w:p>
    <w:p>
      <w:pPr>
        <w:pStyle w:val="ListParagraph"/>
        <w:numPr>
          <w:ilvl w:val="0"/>
          <w:numId w:val="25"/>
        </w:numPr>
        <w:tabs>
          <w:tab w:pos="910" w:val="left" w:leader="none"/>
        </w:tabs>
        <w:spacing w:line="213" w:lineRule="auto" w:before="0" w:after="0"/>
        <w:ind w:left="910" w:right="119" w:hanging="256"/>
        <w:jc w:val="both"/>
        <w:rPr>
          <w:sz w:val="21"/>
        </w:rPr>
      </w:pPr>
      <w:r>
        <w:rPr>
          <w:sz w:val="21"/>
        </w:rPr>
        <w:t>That</w:t>
      </w:r>
      <w:r>
        <w:rPr>
          <w:spacing w:val="40"/>
          <w:sz w:val="21"/>
        </w:rPr>
        <w:t> </w:t>
      </w:r>
      <w:r>
        <w:rPr>
          <w:sz w:val="21"/>
        </w:rPr>
        <w:t>the</w:t>
      </w:r>
      <w:r>
        <w:rPr>
          <w:spacing w:val="40"/>
          <w:sz w:val="21"/>
        </w:rPr>
        <w:t> </w:t>
      </w:r>
      <w:r>
        <w:rPr>
          <w:sz w:val="21"/>
        </w:rPr>
        <w:t>persons</w:t>
      </w:r>
      <w:r>
        <w:rPr>
          <w:spacing w:val="40"/>
          <w:sz w:val="21"/>
        </w:rPr>
        <w:t> </w:t>
      </w:r>
      <w:r>
        <w:rPr>
          <w:sz w:val="21"/>
        </w:rPr>
        <w:t>involved</w:t>
      </w:r>
      <w:r>
        <w:rPr>
          <w:spacing w:val="40"/>
          <w:sz w:val="21"/>
        </w:rPr>
        <w:t> </w:t>
      </w:r>
      <w:r>
        <w:rPr>
          <w:sz w:val="21"/>
        </w:rPr>
        <w:t>in</w:t>
      </w:r>
      <w:r>
        <w:rPr>
          <w:spacing w:val="40"/>
          <w:sz w:val="21"/>
        </w:rPr>
        <w:t> </w:t>
      </w:r>
      <w:r>
        <w:rPr>
          <w:sz w:val="21"/>
        </w:rPr>
        <w:t>the</w:t>
      </w:r>
      <w:r>
        <w:rPr>
          <w:spacing w:val="40"/>
          <w:sz w:val="21"/>
        </w:rPr>
        <w:t> </w:t>
      </w:r>
      <w:r>
        <w:rPr>
          <w:sz w:val="21"/>
        </w:rPr>
        <w:t>supervision,</w:t>
      </w:r>
      <w:r>
        <w:rPr>
          <w:spacing w:val="40"/>
          <w:sz w:val="21"/>
        </w:rPr>
        <w:t> </w:t>
      </w:r>
      <w:r>
        <w:rPr>
          <w:sz w:val="21"/>
        </w:rPr>
        <w:t>exploitation,</w:t>
      </w:r>
      <w:r>
        <w:rPr>
          <w:spacing w:val="40"/>
          <w:sz w:val="21"/>
        </w:rPr>
        <w:t> </w:t>
      </w:r>
      <w:r>
        <w:rPr>
          <w:sz w:val="21"/>
        </w:rPr>
        <w:t>management</w:t>
      </w:r>
      <w:r>
        <w:rPr>
          <w:spacing w:val="40"/>
          <w:sz w:val="21"/>
        </w:rPr>
        <w:t> </w:t>
      </w:r>
      <w:r>
        <w:rPr>
          <w:sz w:val="21"/>
        </w:rPr>
        <w:t>and</w:t>
      </w:r>
      <w:r>
        <w:rPr>
          <w:spacing w:val="40"/>
          <w:sz w:val="21"/>
        </w:rPr>
        <w:t> </w:t>
      </w:r>
      <w:r>
        <w:rPr>
          <w:sz w:val="21"/>
        </w:rPr>
        <w:t>operation</w:t>
      </w:r>
      <w:r>
        <w:rPr>
          <w:spacing w:val="40"/>
          <w:sz w:val="21"/>
        </w:rPr>
        <w:t> </w:t>
      </w:r>
      <w:r>
        <w:rPr>
          <w:sz w:val="21"/>
        </w:rPr>
        <w:t>of</w:t>
      </w:r>
      <w:r>
        <w:rPr>
          <w:spacing w:val="40"/>
          <w:sz w:val="21"/>
        </w:rPr>
        <w:t> </w:t>
      </w:r>
      <w:r>
        <w:rPr>
          <w:sz w:val="21"/>
        </w:rPr>
        <w:t>games</w:t>
      </w:r>
      <w:r>
        <w:rPr>
          <w:spacing w:val="40"/>
          <w:sz w:val="21"/>
        </w:rPr>
        <w:t> </w:t>
      </w:r>
      <w:r>
        <w:rPr>
          <w:sz w:val="21"/>
        </w:rPr>
        <w:t>of</w:t>
      </w:r>
      <w:r>
        <w:rPr>
          <w:spacing w:val="40"/>
          <w:sz w:val="21"/>
        </w:rPr>
        <w:t> </w:t>
      </w:r>
      <w:r>
        <w:rPr>
          <w:sz w:val="21"/>
        </w:rPr>
        <w:t>fortune</w:t>
      </w:r>
      <w:r>
        <w:rPr>
          <w:spacing w:val="40"/>
          <w:sz w:val="21"/>
        </w:rPr>
        <w:t> </w:t>
      </w:r>
      <w:r>
        <w:rPr>
          <w:sz w:val="21"/>
        </w:rPr>
        <w:t>or</w:t>
      </w:r>
      <w:r>
        <w:rPr>
          <w:spacing w:val="40"/>
          <w:sz w:val="21"/>
        </w:rPr>
        <w:t> </w:t>
      </w:r>
      <w:r>
        <w:rPr>
          <w:sz w:val="21"/>
        </w:rPr>
        <w:t>chance</w:t>
      </w:r>
      <w:r>
        <w:rPr>
          <w:spacing w:val="40"/>
          <w:sz w:val="21"/>
        </w:rPr>
        <w:t> </w:t>
      </w:r>
      <w:r>
        <w:rPr>
          <w:sz w:val="21"/>
        </w:rPr>
        <w:t>in casinos have a suitable background for the performance of these roles;</w:t>
      </w:r>
    </w:p>
    <w:p>
      <w:pPr>
        <w:pStyle w:val="BodyText"/>
        <w:spacing w:before="131"/>
        <w:rPr>
          <w:sz w:val="21"/>
        </w:rPr>
      </w:pPr>
    </w:p>
    <w:p>
      <w:pPr>
        <w:pStyle w:val="ListParagraph"/>
        <w:numPr>
          <w:ilvl w:val="0"/>
          <w:numId w:val="25"/>
        </w:numPr>
        <w:tabs>
          <w:tab w:pos="883" w:val="left" w:leader="none"/>
        </w:tabs>
        <w:spacing w:line="240" w:lineRule="auto" w:before="0" w:after="0"/>
        <w:ind w:left="883" w:right="0" w:hanging="229"/>
        <w:jc w:val="left"/>
        <w:rPr>
          <w:sz w:val="21"/>
        </w:rPr>
      </w:pPr>
      <w:r>
        <w:rPr>
          <w:sz w:val="21"/>
        </w:rPr>
        <w:t>That</w:t>
      </w:r>
      <w:r>
        <w:rPr>
          <w:spacing w:val="9"/>
          <w:sz w:val="21"/>
        </w:rPr>
        <w:t> </w:t>
      </w:r>
      <w:r>
        <w:rPr>
          <w:sz w:val="21"/>
        </w:rPr>
        <w:t>the</w:t>
      </w:r>
      <w:r>
        <w:rPr>
          <w:spacing w:val="9"/>
          <w:sz w:val="21"/>
        </w:rPr>
        <w:t> </w:t>
      </w:r>
      <w:r>
        <w:rPr>
          <w:sz w:val="21"/>
        </w:rPr>
        <w:t>interests</w:t>
      </w:r>
      <w:r>
        <w:rPr>
          <w:spacing w:val="9"/>
          <w:sz w:val="21"/>
        </w:rPr>
        <w:t> </w:t>
      </w:r>
      <w:r>
        <w:rPr>
          <w:sz w:val="21"/>
        </w:rPr>
        <w:t>of</w:t>
      </w:r>
      <w:r>
        <w:rPr>
          <w:spacing w:val="9"/>
          <w:sz w:val="21"/>
        </w:rPr>
        <w:t> </w:t>
      </w:r>
      <w:r>
        <w:rPr>
          <w:sz w:val="21"/>
        </w:rPr>
        <w:t>the</w:t>
      </w:r>
      <w:r>
        <w:rPr>
          <w:spacing w:val="10"/>
          <w:sz w:val="21"/>
        </w:rPr>
        <w:t> </w:t>
      </w:r>
      <w:r>
        <w:rPr>
          <w:sz w:val="21"/>
        </w:rPr>
        <w:t>Macau</w:t>
      </w:r>
      <w:r>
        <w:rPr>
          <w:spacing w:val="9"/>
          <w:sz w:val="21"/>
        </w:rPr>
        <w:t> </w:t>
      </w:r>
      <w:r>
        <w:rPr>
          <w:sz w:val="21"/>
        </w:rPr>
        <w:t>SAR</w:t>
      </w:r>
      <w:r>
        <w:rPr>
          <w:spacing w:val="9"/>
          <w:sz w:val="21"/>
        </w:rPr>
        <w:t> </w:t>
      </w:r>
      <w:r>
        <w:rPr>
          <w:sz w:val="21"/>
        </w:rPr>
        <w:t>in</w:t>
      </w:r>
      <w:r>
        <w:rPr>
          <w:spacing w:val="9"/>
          <w:sz w:val="21"/>
        </w:rPr>
        <w:t> </w:t>
      </w:r>
      <w:r>
        <w:rPr>
          <w:sz w:val="21"/>
        </w:rPr>
        <w:t>the</w:t>
      </w:r>
      <w:r>
        <w:rPr>
          <w:spacing w:val="10"/>
          <w:sz w:val="21"/>
        </w:rPr>
        <w:t> </w:t>
      </w:r>
      <w:r>
        <w:rPr>
          <w:sz w:val="21"/>
        </w:rPr>
        <w:t>collection</w:t>
      </w:r>
      <w:r>
        <w:rPr>
          <w:spacing w:val="9"/>
          <w:sz w:val="21"/>
        </w:rPr>
        <w:t> </w:t>
      </w:r>
      <w:r>
        <w:rPr>
          <w:sz w:val="21"/>
        </w:rPr>
        <w:t>of</w:t>
      </w:r>
      <w:r>
        <w:rPr>
          <w:spacing w:val="9"/>
          <w:sz w:val="21"/>
        </w:rPr>
        <w:t> </w:t>
      </w:r>
      <w:r>
        <w:rPr>
          <w:sz w:val="21"/>
        </w:rPr>
        <w:t>taxes</w:t>
      </w:r>
      <w:r>
        <w:rPr>
          <w:spacing w:val="9"/>
          <w:sz w:val="21"/>
        </w:rPr>
        <w:t> </w:t>
      </w:r>
      <w:r>
        <w:rPr>
          <w:sz w:val="21"/>
        </w:rPr>
        <w:t>resulting</w:t>
      </w:r>
      <w:r>
        <w:rPr>
          <w:spacing w:val="9"/>
          <w:sz w:val="21"/>
        </w:rPr>
        <w:t> </w:t>
      </w:r>
      <w:r>
        <w:rPr>
          <w:sz w:val="21"/>
        </w:rPr>
        <w:t>from</w:t>
      </w:r>
      <w:r>
        <w:rPr>
          <w:spacing w:val="10"/>
          <w:sz w:val="21"/>
        </w:rPr>
        <w:t> </w:t>
      </w:r>
      <w:r>
        <w:rPr>
          <w:sz w:val="21"/>
        </w:rPr>
        <w:t>the</w:t>
      </w:r>
      <w:r>
        <w:rPr>
          <w:spacing w:val="9"/>
          <w:sz w:val="21"/>
        </w:rPr>
        <w:t> </w:t>
      </w:r>
      <w:r>
        <w:rPr>
          <w:sz w:val="21"/>
        </w:rPr>
        <w:t>operation</w:t>
      </w:r>
      <w:r>
        <w:rPr>
          <w:spacing w:val="9"/>
          <w:sz w:val="21"/>
        </w:rPr>
        <w:t> </w:t>
      </w:r>
      <w:r>
        <w:rPr>
          <w:sz w:val="21"/>
        </w:rPr>
        <w:t>of</w:t>
      </w:r>
      <w:r>
        <w:rPr>
          <w:spacing w:val="9"/>
          <w:sz w:val="21"/>
        </w:rPr>
        <w:t> </w:t>
      </w:r>
      <w:r>
        <w:rPr>
          <w:sz w:val="21"/>
        </w:rPr>
        <w:t>casinos</w:t>
      </w:r>
      <w:r>
        <w:rPr>
          <w:spacing w:val="10"/>
          <w:sz w:val="21"/>
        </w:rPr>
        <w:t> </w:t>
      </w:r>
      <w:r>
        <w:rPr>
          <w:sz w:val="21"/>
        </w:rPr>
        <w:t>are</w:t>
      </w:r>
      <w:r>
        <w:rPr>
          <w:spacing w:val="9"/>
          <w:sz w:val="21"/>
        </w:rPr>
        <w:t> </w:t>
      </w:r>
      <w:r>
        <w:rPr>
          <w:sz w:val="21"/>
        </w:rPr>
        <w:t>duly</w:t>
      </w:r>
      <w:r>
        <w:rPr>
          <w:spacing w:val="9"/>
          <w:sz w:val="21"/>
        </w:rPr>
        <w:t> </w:t>
      </w:r>
      <w:r>
        <w:rPr>
          <w:spacing w:val="-2"/>
          <w:sz w:val="21"/>
        </w:rPr>
        <w:t>safeguarded.</w:t>
      </w:r>
    </w:p>
    <w:p>
      <w:pPr>
        <w:pStyle w:val="BodyText"/>
        <w:rPr>
          <w:sz w:val="21"/>
        </w:rPr>
      </w:pPr>
    </w:p>
    <w:p>
      <w:pPr>
        <w:pStyle w:val="BodyText"/>
        <w:spacing w:before="193"/>
        <w:rPr>
          <w:sz w:val="21"/>
        </w:rPr>
      </w:pPr>
    </w:p>
    <w:p>
      <w:pPr>
        <w:spacing w:before="0"/>
        <w:ind w:left="24" w:right="0" w:firstLine="0"/>
        <w:jc w:val="center"/>
        <w:rPr>
          <w:b/>
          <w:sz w:val="21"/>
        </w:rPr>
      </w:pPr>
      <w:r>
        <w:rPr>
          <w:b/>
          <w:sz w:val="21"/>
        </w:rPr>
        <w:t>Clause</w:t>
      </w:r>
      <w:r>
        <w:rPr>
          <w:b/>
          <w:spacing w:val="13"/>
          <w:sz w:val="21"/>
        </w:rPr>
        <w:t> </w:t>
      </w:r>
      <w:r>
        <w:rPr>
          <w:b/>
          <w:spacing w:val="-10"/>
          <w:sz w:val="21"/>
        </w:rPr>
        <w:t>3</w:t>
      </w:r>
    </w:p>
    <w:p>
      <w:pPr>
        <w:spacing w:before="69"/>
        <w:ind w:left="24" w:right="0" w:firstLine="0"/>
        <w:jc w:val="center"/>
        <w:rPr>
          <w:b/>
          <w:sz w:val="21"/>
        </w:rPr>
      </w:pPr>
      <w:r>
        <w:rPr>
          <w:b/>
          <w:sz w:val="21"/>
        </w:rPr>
        <w:t>Applicable</w:t>
      </w:r>
      <w:r>
        <w:rPr>
          <w:b/>
          <w:spacing w:val="11"/>
          <w:sz w:val="21"/>
        </w:rPr>
        <w:t> </w:t>
      </w:r>
      <w:r>
        <w:rPr>
          <w:b/>
          <w:sz w:val="21"/>
        </w:rPr>
        <w:t>law</w:t>
      </w:r>
      <w:r>
        <w:rPr>
          <w:b/>
          <w:spacing w:val="12"/>
          <w:sz w:val="21"/>
        </w:rPr>
        <w:t> </w:t>
      </w:r>
      <w:r>
        <w:rPr>
          <w:b/>
          <w:sz w:val="21"/>
        </w:rPr>
        <w:t>and</w:t>
      </w:r>
      <w:r>
        <w:rPr>
          <w:b/>
          <w:spacing w:val="12"/>
          <w:sz w:val="21"/>
        </w:rPr>
        <w:t> </w:t>
      </w:r>
      <w:r>
        <w:rPr>
          <w:b/>
          <w:spacing w:val="-2"/>
          <w:sz w:val="21"/>
        </w:rPr>
        <w:t>jurisdiction</w:t>
      </w:r>
    </w:p>
    <w:p>
      <w:pPr>
        <w:pStyle w:val="BodyText"/>
        <w:spacing w:before="125"/>
        <w:rPr>
          <w:b/>
          <w:sz w:val="21"/>
        </w:rPr>
      </w:pPr>
    </w:p>
    <w:p>
      <w:pPr>
        <w:spacing w:before="0"/>
        <w:ind w:left="144" w:right="0" w:firstLine="0"/>
        <w:jc w:val="both"/>
        <w:rPr>
          <w:sz w:val="21"/>
        </w:rPr>
      </w:pPr>
      <w:r>
        <w:rPr>
          <w:i/>
          <w:sz w:val="21"/>
        </w:rPr>
        <w:t>One</w:t>
      </w:r>
      <w:r>
        <w:rPr>
          <w:sz w:val="21"/>
        </w:rPr>
        <w:t>.</w:t>
      </w:r>
      <w:r>
        <w:rPr>
          <w:spacing w:val="5"/>
          <w:sz w:val="21"/>
        </w:rPr>
        <w:t> </w:t>
      </w:r>
      <w:r>
        <w:rPr>
          <w:sz w:val="21"/>
        </w:rPr>
        <w:t>This</w:t>
      </w:r>
      <w:r>
        <w:rPr>
          <w:spacing w:val="10"/>
          <w:sz w:val="21"/>
        </w:rPr>
        <w:t> </w:t>
      </w:r>
      <w:r>
        <w:rPr>
          <w:sz w:val="21"/>
        </w:rPr>
        <w:t>concession</w:t>
      </w:r>
      <w:r>
        <w:rPr>
          <w:spacing w:val="11"/>
          <w:sz w:val="21"/>
        </w:rPr>
        <w:t> </w:t>
      </w:r>
      <w:r>
        <w:rPr>
          <w:sz w:val="21"/>
        </w:rPr>
        <w:t>contract</w:t>
      </w:r>
      <w:r>
        <w:rPr>
          <w:spacing w:val="10"/>
          <w:sz w:val="21"/>
        </w:rPr>
        <w:t> </w:t>
      </w:r>
      <w:r>
        <w:rPr>
          <w:sz w:val="21"/>
        </w:rPr>
        <w:t>is</w:t>
      </w:r>
      <w:r>
        <w:rPr>
          <w:spacing w:val="10"/>
          <w:sz w:val="21"/>
        </w:rPr>
        <w:t> </w:t>
      </w:r>
      <w:r>
        <w:rPr>
          <w:sz w:val="21"/>
        </w:rPr>
        <w:t>subject</w:t>
      </w:r>
      <w:r>
        <w:rPr>
          <w:spacing w:val="11"/>
          <w:sz w:val="21"/>
        </w:rPr>
        <w:t> </w:t>
      </w:r>
      <w:r>
        <w:rPr>
          <w:sz w:val="21"/>
        </w:rPr>
        <w:t>exclusively</w:t>
      </w:r>
      <w:r>
        <w:rPr>
          <w:spacing w:val="10"/>
          <w:sz w:val="21"/>
        </w:rPr>
        <w:t> </w:t>
      </w:r>
      <w:r>
        <w:rPr>
          <w:sz w:val="21"/>
        </w:rPr>
        <w:t>to</w:t>
      </w:r>
      <w:r>
        <w:rPr>
          <w:spacing w:val="10"/>
          <w:sz w:val="21"/>
        </w:rPr>
        <w:t> </w:t>
      </w:r>
      <w:r>
        <w:rPr>
          <w:sz w:val="21"/>
        </w:rPr>
        <w:t>the</w:t>
      </w:r>
      <w:r>
        <w:rPr>
          <w:spacing w:val="10"/>
          <w:sz w:val="21"/>
        </w:rPr>
        <w:t> </w:t>
      </w:r>
      <w:r>
        <w:rPr>
          <w:sz w:val="21"/>
        </w:rPr>
        <w:t>law</w:t>
      </w:r>
      <w:r>
        <w:rPr>
          <w:spacing w:val="11"/>
          <w:sz w:val="21"/>
        </w:rPr>
        <w:t> </w:t>
      </w:r>
      <w:r>
        <w:rPr>
          <w:sz w:val="21"/>
        </w:rPr>
        <w:t>of</w:t>
      </w:r>
      <w:r>
        <w:rPr>
          <w:spacing w:val="10"/>
          <w:sz w:val="21"/>
        </w:rPr>
        <w:t> </w:t>
      </w:r>
      <w:r>
        <w:rPr>
          <w:sz w:val="21"/>
        </w:rPr>
        <w:t>Macau</w:t>
      </w:r>
      <w:r>
        <w:rPr>
          <w:spacing w:val="10"/>
          <w:sz w:val="21"/>
        </w:rPr>
        <w:t> </w:t>
      </w:r>
      <w:r>
        <w:rPr>
          <w:spacing w:val="-4"/>
          <w:sz w:val="21"/>
        </w:rPr>
        <w:t>SAR.</w:t>
      </w:r>
    </w:p>
    <w:p>
      <w:pPr>
        <w:pStyle w:val="BodyText"/>
        <w:spacing w:before="159"/>
        <w:rPr>
          <w:sz w:val="21"/>
        </w:rPr>
      </w:pPr>
    </w:p>
    <w:p>
      <w:pPr>
        <w:spacing w:line="213" w:lineRule="auto" w:before="1"/>
        <w:ind w:left="144" w:right="118" w:firstLine="0"/>
        <w:jc w:val="both"/>
        <w:rPr>
          <w:sz w:val="21"/>
        </w:rPr>
      </w:pPr>
      <w:r>
        <w:rPr>
          <w:i/>
          <w:sz w:val="21"/>
        </w:rPr>
        <w:t>Two</w:t>
      </w:r>
      <w:r>
        <w:rPr>
          <w:sz w:val="21"/>
        </w:rPr>
        <w:t>. The</w:t>
      </w:r>
      <w:r>
        <w:rPr>
          <w:spacing w:val="27"/>
          <w:sz w:val="21"/>
        </w:rPr>
        <w:t> </w:t>
      </w:r>
      <w:r>
        <w:rPr>
          <w:sz w:val="21"/>
        </w:rPr>
        <w:t>Concessionaire</w:t>
      </w:r>
      <w:r>
        <w:rPr>
          <w:spacing w:val="27"/>
          <w:sz w:val="21"/>
        </w:rPr>
        <w:t> </w:t>
      </w:r>
      <w:r>
        <w:rPr>
          <w:sz w:val="21"/>
        </w:rPr>
        <w:t>waives</w:t>
      </w:r>
      <w:r>
        <w:rPr>
          <w:spacing w:val="27"/>
          <w:sz w:val="21"/>
        </w:rPr>
        <w:t> </w:t>
      </w:r>
      <w:r>
        <w:rPr>
          <w:sz w:val="21"/>
        </w:rPr>
        <w:t>the</w:t>
      </w:r>
      <w:r>
        <w:rPr>
          <w:spacing w:val="27"/>
          <w:sz w:val="21"/>
        </w:rPr>
        <w:t> </w:t>
      </w:r>
      <w:r>
        <w:rPr>
          <w:sz w:val="21"/>
        </w:rPr>
        <w:t>right</w:t>
      </w:r>
      <w:r>
        <w:rPr>
          <w:spacing w:val="27"/>
          <w:sz w:val="21"/>
        </w:rPr>
        <w:t> </w:t>
      </w:r>
      <w:r>
        <w:rPr>
          <w:sz w:val="21"/>
        </w:rPr>
        <w:t>to</w:t>
      </w:r>
      <w:r>
        <w:rPr>
          <w:spacing w:val="27"/>
          <w:sz w:val="21"/>
        </w:rPr>
        <w:t> </w:t>
      </w:r>
      <w:r>
        <w:rPr>
          <w:sz w:val="21"/>
        </w:rPr>
        <w:t>litigate</w:t>
      </w:r>
      <w:r>
        <w:rPr>
          <w:spacing w:val="27"/>
          <w:sz w:val="21"/>
        </w:rPr>
        <w:t> </w:t>
      </w:r>
      <w:r>
        <w:rPr>
          <w:sz w:val="21"/>
        </w:rPr>
        <w:t>in</w:t>
      </w:r>
      <w:r>
        <w:rPr>
          <w:spacing w:val="27"/>
          <w:sz w:val="21"/>
        </w:rPr>
        <w:t> </w:t>
      </w:r>
      <w:r>
        <w:rPr>
          <w:sz w:val="21"/>
        </w:rPr>
        <w:t>any</w:t>
      </w:r>
      <w:r>
        <w:rPr>
          <w:spacing w:val="27"/>
          <w:sz w:val="21"/>
        </w:rPr>
        <w:t> </w:t>
      </w:r>
      <w:r>
        <w:rPr>
          <w:sz w:val="21"/>
        </w:rPr>
        <w:t>jurisdiction</w:t>
      </w:r>
      <w:r>
        <w:rPr>
          <w:spacing w:val="27"/>
          <w:sz w:val="21"/>
        </w:rPr>
        <w:t> </w:t>
      </w:r>
      <w:r>
        <w:rPr>
          <w:sz w:val="21"/>
        </w:rPr>
        <w:t>outside</w:t>
      </w:r>
      <w:r>
        <w:rPr>
          <w:spacing w:val="27"/>
          <w:sz w:val="21"/>
        </w:rPr>
        <w:t> </w:t>
      </w:r>
      <w:r>
        <w:rPr>
          <w:sz w:val="21"/>
        </w:rPr>
        <w:t>Macau</w:t>
      </w:r>
      <w:r>
        <w:rPr>
          <w:spacing w:val="27"/>
          <w:sz w:val="21"/>
        </w:rPr>
        <w:t> </w:t>
      </w:r>
      <w:r>
        <w:rPr>
          <w:sz w:val="21"/>
        </w:rPr>
        <w:t>SAR</w:t>
      </w:r>
      <w:r>
        <w:rPr>
          <w:spacing w:val="27"/>
          <w:sz w:val="21"/>
        </w:rPr>
        <w:t> </w:t>
      </w:r>
      <w:r>
        <w:rPr>
          <w:sz w:val="21"/>
        </w:rPr>
        <w:t>and</w:t>
      </w:r>
      <w:r>
        <w:rPr>
          <w:spacing w:val="27"/>
          <w:sz w:val="21"/>
        </w:rPr>
        <w:t> </w:t>
      </w:r>
      <w:r>
        <w:rPr>
          <w:sz w:val="21"/>
        </w:rPr>
        <w:t>recognizes</w:t>
      </w:r>
      <w:r>
        <w:rPr>
          <w:spacing w:val="27"/>
          <w:sz w:val="21"/>
        </w:rPr>
        <w:t> </w:t>
      </w:r>
      <w:r>
        <w:rPr>
          <w:sz w:val="21"/>
        </w:rPr>
        <w:t>the</w:t>
      </w:r>
      <w:r>
        <w:rPr>
          <w:spacing w:val="27"/>
          <w:sz w:val="21"/>
        </w:rPr>
        <w:t> </w:t>
      </w:r>
      <w:r>
        <w:rPr>
          <w:sz w:val="21"/>
        </w:rPr>
        <w:t>Macau</w:t>
      </w:r>
      <w:r>
        <w:rPr>
          <w:spacing w:val="27"/>
          <w:sz w:val="21"/>
        </w:rPr>
        <w:t> </w:t>
      </w:r>
      <w:r>
        <w:rPr>
          <w:sz w:val="21"/>
        </w:rPr>
        <w:t>SAR</w:t>
      </w:r>
      <w:r>
        <w:rPr>
          <w:spacing w:val="27"/>
          <w:sz w:val="21"/>
        </w:rPr>
        <w:t> </w:t>
      </w:r>
      <w:r>
        <w:rPr>
          <w:sz w:val="21"/>
        </w:rPr>
        <w:t>courts have exclusive jurisdiction over any possible disputes or conflicts of interest.</w:t>
      </w:r>
    </w:p>
    <w:p>
      <w:pPr>
        <w:pStyle w:val="BodyText"/>
        <w:spacing w:before="130"/>
        <w:rPr>
          <w:sz w:val="21"/>
        </w:rPr>
      </w:pPr>
    </w:p>
    <w:p>
      <w:pPr>
        <w:spacing w:before="0"/>
        <w:ind w:left="24" w:right="0" w:firstLine="0"/>
        <w:jc w:val="center"/>
        <w:rPr>
          <w:b/>
          <w:sz w:val="21"/>
        </w:rPr>
      </w:pPr>
      <w:r>
        <w:rPr>
          <w:b/>
          <w:sz w:val="21"/>
        </w:rPr>
        <w:t>Clause</w:t>
      </w:r>
      <w:r>
        <w:rPr>
          <w:b/>
          <w:spacing w:val="13"/>
          <w:sz w:val="21"/>
        </w:rPr>
        <w:t> </w:t>
      </w:r>
      <w:r>
        <w:rPr>
          <w:b/>
          <w:spacing w:val="-10"/>
          <w:sz w:val="21"/>
        </w:rPr>
        <w:t>4</w:t>
      </w:r>
    </w:p>
    <w:p>
      <w:pPr>
        <w:spacing w:before="69"/>
        <w:ind w:left="24" w:right="0" w:firstLine="0"/>
        <w:jc w:val="center"/>
        <w:rPr>
          <w:b/>
          <w:sz w:val="21"/>
        </w:rPr>
      </w:pPr>
      <w:r>
        <w:rPr>
          <w:b/>
          <w:sz w:val="21"/>
        </w:rPr>
        <w:t>Observance</w:t>
      </w:r>
      <w:r>
        <w:rPr>
          <w:b/>
          <w:spacing w:val="12"/>
          <w:sz w:val="21"/>
        </w:rPr>
        <w:t> </w:t>
      </w:r>
      <w:r>
        <w:rPr>
          <w:b/>
          <w:sz w:val="21"/>
        </w:rPr>
        <w:t>of</w:t>
      </w:r>
      <w:r>
        <w:rPr>
          <w:b/>
          <w:spacing w:val="12"/>
          <w:sz w:val="21"/>
        </w:rPr>
        <w:t> </w:t>
      </w:r>
      <w:r>
        <w:rPr>
          <w:b/>
          <w:sz w:val="21"/>
        </w:rPr>
        <w:t>Macau</w:t>
      </w:r>
      <w:r>
        <w:rPr>
          <w:b/>
          <w:spacing w:val="13"/>
          <w:sz w:val="21"/>
        </w:rPr>
        <w:t> </w:t>
      </w:r>
      <w:r>
        <w:rPr>
          <w:b/>
          <w:sz w:val="21"/>
        </w:rPr>
        <w:t>SAR</w:t>
      </w:r>
      <w:r>
        <w:rPr>
          <w:b/>
          <w:spacing w:val="12"/>
          <w:sz w:val="21"/>
        </w:rPr>
        <w:t> </w:t>
      </w:r>
      <w:r>
        <w:rPr>
          <w:b/>
          <w:spacing w:val="-2"/>
          <w:sz w:val="21"/>
        </w:rPr>
        <w:t>legislation</w:t>
      </w:r>
    </w:p>
    <w:p>
      <w:pPr>
        <w:pStyle w:val="BodyText"/>
        <w:spacing w:before="146"/>
        <w:rPr>
          <w:b/>
          <w:sz w:val="21"/>
        </w:rPr>
      </w:pPr>
    </w:p>
    <w:p>
      <w:pPr>
        <w:spacing w:line="213" w:lineRule="auto" w:before="0"/>
        <w:ind w:left="144" w:right="118" w:firstLine="0"/>
        <w:jc w:val="both"/>
        <w:rPr>
          <w:sz w:val="21"/>
        </w:rPr>
      </w:pPr>
      <w:r>
        <w:rPr>
          <w:sz w:val="21"/>
        </w:rPr>
        <w:t>The Concessionaire undertakes to abide by the relevant legislation as applicable in the Macau SAR, waiving the right to invoke legislation</w:t>
      </w:r>
      <w:r>
        <w:rPr>
          <w:spacing w:val="35"/>
          <w:sz w:val="21"/>
        </w:rPr>
        <w:t> </w:t>
      </w:r>
      <w:r>
        <w:rPr>
          <w:sz w:val="21"/>
        </w:rPr>
        <w:t>from</w:t>
      </w:r>
      <w:r>
        <w:rPr>
          <w:spacing w:val="35"/>
          <w:sz w:val="21"/>
        </w:rPr>
        <w:t> </w:t>
      </w:r>
      <w:r>
        <w:rPr>
          <w:sz w:val="21"/>
        </w:rPr>
        <w:t>outside</w:t>
      </w:r>
      <w:r>
        <w:rPr>
          <w:spacing w:val="35"/>
          <w:sz w:val="21"/>
        </w:rPr>
        <w:t> </w:t>
      </w:r>
      <w:r>
        <w:rPr>
          <w:sz w:val="21"/>
        </w:rPr>
        <w:t>Macau</w:t>
      </w:r>
      <w:r>
        <w:rPr>
          <w:spacing w:val="35"/>
          <w:sz w:val="21"/>
        </w:rPr>
        <w:t> </w:t>
      </w:r>
      <w:r>
        <w:rPr>
          <w:sz w:val="21"/>
        </w:rPr>
        <w:t>SAR,</w:t>
      </w:r>
      <w:r>
        <w:rPr>
          <w:spacing w:val="35"/>
          <w:sz w:val="21"/>
        </w:rPr>
        <w:t> </w:t>
      </w:r>
      <w:r>
        <w:rPr>
          <w:sz w:val="21"/>
        </w:rPr>
        <w:t>namely</w:t>
      </w:r>
      <w:r>
        <w:rPr>
          <w:spacing w:val="35"/>
          <w:sz w:val="21"/>
        </w:rPr>
        <w:t> </w:t>
      </w:r>
      <w:r>
        <w:rPr>
          <w:sz w:val="21"/>
        </w:rPr>
        <w:t>for</w:t>
      </w:r>
      <w:r>
        <w:rPr>
          <w:spacing w:val="35"/>
          <w:sz w:val="21"/>
        </w:rPr>
        <w:t> </w:t>
      </w:r>
      <w:r>
        <w:rPr>
          <w:sz w:val="21"/>
        </w:rPr>
        <w:t>the</w:t>
      </w:r>
      <w:r>
        <w:rPr>
          <w:spacing w:val="35"/>
          <w:sz w:val="21"/>
        </w:rPr>
        <w:t> </w:t>
      </w:r>
      <w:r>
        <w:rPr>
          <w:sz w:val="21"/>
        </w:rPr>
        <w:t>purpose</w:t>
      </w:r>
      <w:r>
        <w:rPr>
          <w:spacing w:val="35"/>
          <w:sz w:val="21"/>
        </w:rPr>
        <w:t> </w:t>
      </w:r>
      <w:r>
        <w:rPr>
          <w:sz w:val="21"/>
        </w:rPr>
        <w:t>of</w:t>
      </w:r>
      <w:r>
        <w:rPr>
          <w:spacing w:val="35"/>
          <w:sz w:val="21"/>
        </w:rPr>
        <w:t> </w:t>
      </w:r>
      <w:r>
        <w:rPr>
          <w:sz w:val="21"/>
        </w:rPr>
        <w:t>exempting</w:t>
      </w:r>
      <w:r>
        <w:rPr>
          <w:spacing w:val="35"/>
          <w:sz w:val="21"/>
        </w:rPr>
        <w:t> </w:t>
      </w:r>
      <w:r>
        <w:rPr>
          <w:sz w:val="21"/>
        </w:rPr>
        <w:t>itself</w:t>
      </w:r>
      <w:r>
        <w:rPr>
          <w:spacing w:val="35"/>
          <w:sz w:val="21"/>
        </w:rPr>
        <w:t> </w:t>
      </w:r>
      <w:r>
        <w:rPr>
          <w:sz w:val="21"/>
        </w:rPr>
        <w:t>from</w:t>
      </w:r>
      <w:r>
        <w:rPr>
          <w:spacing w:val="35"/>
          <w:sz w:val="21"/>
        </w:rPr>
        <w:t> </w:t>
      </w:r>
      <w:r>
        <w:rPr>
          <w:sz w:val="21"/>
        </w:rPr>
        <w:t>complying</w:t>
      </w:r>
      <w:r>
        <w:rPr>
          <w:spacing w:val="35"/>
          <w:sz w:val="21"/>
        </w:rPr>
        <w:t> </w:t>
      </w:r>
      <w:r>
        <w:rPr>
          <w:sz w:val="21"/>
        </w:rPr>
        <w:t>with</w:t>
      </w:r>
      <w:r>
        <w:rPr>
          <w:spacing w:val="35"/>
          <w:sz w:val="21"/>
        </w:rPr>
        <w:t> </w:t>
      </w:r>
      <w:r>
        <w:rPr>
          <w:sz w:val="21"/>
        </w:rPr>
        <w:t>obligations</w:t>
      </w:r>
      <w:r>
        <w:rPr>
          <w:spacing w:val="35"/>
          <w:sz w:val="21"/>
        </w:rPr>
        <w:t> </w:t>
      </w:r>
      <w:r>
        <w:rPr>
          <w:sz w:val="21"/>
        </w:rPr>
        <w:t>or</w:t>
      </w:r>
      <w:r>
        <w:rPr>
          <w:spacing w:val="35"/>
          <w:sz w:val="21"/>
        </w:rPr>
        <w:t> </w:t>
      </w:r>
      <w:r>
        <w:rPr>
          <w:sz w:val="21"/>
        </w:rPr>
        <w:t>conducts</w:t>
      </w:r>
      <w:r>
        <w:rPr>
          <w:spacing w:val="35"/>
          <w:sz w:val="21"/>
        </w:rPr>
        <w:t> </w:t>
      </w:r>
      <w:r>
        <w:rPr>
          <w:sz w:val="21"/>
        </w:rPr>
        <w:t>to which it is obligated or are imposed.</w:t>
      </w:r>
    </w:p>
    <w:p>
      <w:pPr>
        <w:pStyle w:val="BodyText"/>
        <w:spacing w:before="132"/>
        <w:rPr>
          <w:sz w:val="21"/>
        </w:rPr>
      </w:pPr>
    </w:p>
    <w:p>
      <w:pPr>
        <w:spacing w:before="0"/>
        <w:ind w:left="24" w:right="0" w:firstLine="0"/>
        <w:jc w:val="center"/>
        <w:rPr>
          <w:b/>
          <w:sz w:val="21"/>
        </w:rPr>
      </w:pPr>
      <w:r>
        <w:rPr>
          <w:b/>
          <w:sz w:val="21"/>
        </w:rPr>
        <w:t>Clause</w:t>
      </w:r>
      <w:r>
        <w:rPr>
          <w:b/>
          <w:spacing w:val="13"/>
          <w:sz w:val="21"/>
        </w:rPr>
        <w:t> </w:t>
      </w:r>
      <w:r>
        <w:rPr>
          <w:b/>
          <w:spacing w:val="-10"/>
          <w:sz w:val="21"/>
        </w:rPr>
        <w:t>5</w:t>
      </w:r>
    </w:p>
    <w:p>
      <w:pPr>
        <w:spacing w:before="69"/>
        <w:ind w:left="24" w:right="0" w:firstLine="0"/>
        <w:jc w:val="center"/>
        <w:rPr>
          <w:b/>
          <w:sz w:val="21"/>
        </w:rPr>
      </w:pPr>
      <w:r>
        <w:rPr>
          <w:b/>
          <w:sz w:val="21"/>
        </w:rPr>
        <w:t>Participation</w:t>
      </w:r>
      <w:r>
        <w:rPr>
          <w:b/>
          <w:spacing w:val="10"/>
          <w:sz w:val="21"/>
        </w:rPr>
        <w:t> </w:t>
      </w:r>
      <w:r>
        <w:rPr>
          <w:b/>
          <w:sz w:val="21"/>
        </w:rPr>
        <w:t>in</w:t>
      </w:r>
      <w:r>
        <w:rPr>
          <w:b/>
          <w:spacing w:val="10"/>
          <w:sz w:val="21"/>
        </w:rPr>
        <w:t> </w:t>
      </w:r>
      <w:r>
        <w:rPr>
          <w:b/>
          <w:sz w:val="21"/>
        </w:rPr>
        <w:t>the</w:t>
      </w:r>
      <w:r>
        <w:rPr>
          <w:b/>
          <w:spacing w:val="11"/>
          <w:sz w:val="21"/>
        </w:rPr>
        <w:t> </w:t>
      </w:r>
      <w:r>
        <w:rPr>
          <w:b/>
          <w:sz w:val="21"/>
        </w:rPr>
        <w:t>operation</w:t>
      </w:r>
      <w:r>
        <w:rPr>
          <w:b/>
          <w:spacing w:val="10"/>
          <w:sz w:val="21"/>
        </w:rPr>
        <w:t> </w:t>
      </w:r>
      <w:r>
        <w:rPr>
          <w:b/>
          <w:sz w:val="21"/>
        </w:rPr>
        <w:t>of</w:t>
      </w:r>
      <w:r>
        <w:rPr>
          <w:b/>
          <w:spacing w:val="11"/>
          <w:sz w:val="21"/>
        </w:rPr>
        <w:t> </w:t>
      </w:r>
      <w:r>
        <w:rPr>
          <w:b/>
          <w:sz w:val="21"/>
        </w:rPr>
        <w:t>games</w:t>
      </w:r>
      <w:r>
        <w:rPr>
          <w:b/>
          <w:spacing w:val="10"/>
          <w:sz w:val="21"/>
        </w:rPr>
        <w:t> </w:t>
      </w:r>
      <w:r>
        <w:rPr>
          <w:b/>
          <w:sz w:val="21"/>
        </w:rPr>
        <w:t>of</w:t>
      </w:r>
      <w:r>
        <w:rPr>
          <w:b/>
          <w:spacing w:val="10"/>
          <w:sz w:val="21"/>
        </w:rPr>
        <w:t> </w:t>
      </w:r>
      <w:r>
        <w:rPr>
          <w:b/>
          <w:sz w:val="21"/>
        </w:rPr>
        <w:t>fortune</w:t>
      </w:r>
      <w:r>
        <w:rPr>
          <w:b/>
          <w:spacing w:val="11"/>
          <w:sz w:val="21"/>
        </w:rPr>
        <w:t> </w:t>
      </w:r>
      <w:r>
        <w:rPr>
          <w:b/>
          <w:sz w:val="21"/>
        </w:rPr>
        <w:t>or</w:t>
      </w:r>
      <w:r>
        <w:rPr>
          <w:b/>
          <w:spacing w:val="6"/>
          <w:sz w:val="21"/>
        </w:rPr>
        <w:t> </w:t>
      </w:r>
      <w:r>
        <w:rPr>
          <w:b/>
          <w:sz w:val="21"/>
        </w:rPr>
        <w:t>chance</w:t>
      </w:r>
      <w:r>
        <w:rPr>
          <w:b/>
          <w:spacing w:val="10"/>
          <w:sz w:val="21"/>
        </w:rPr>
        <w:t> </w:t>
      </w:r>
      <w:r>
        <w:rPr>
          <w:b/>
          <w:sz w:val="21"/>
        </w:rPr>
        <w:t>in</w:t>
      </w:r>
      <w:r>
        <w:rPr>
          <w:b/>
          <w:spacing w:val="10"/>
          <w:sz w:val="21"/>
        </w:rPr>
        <w:t> </w:t>
      </w:r>
      <w:r>
        <w:rPr>
          <w:b/>
          <w:sz w:val="21"/>
        </w:rPr>
        <w:t>casinos</w:t>
      </w:r>
      <w:r>
        <w:rPr>
          <w:b/>
          <w:spacing w:val="11"/>
          <w:sz w:val="21"/>
        </w:rPr>
        <w:t> </w:t>
      </w:r>
      <w:r>
        <w:rPr>
          <w:b/>
          <w:sz w:val="21"/>
        </w:rPr>
        <w:t>and</w:t>
      </w:r>
      <w:r>
        <w:rPr>
          <w:b/>
          <w:spacing w:val="10"/>
          <w:sz w:val="21"/>
        </w:rPr>
        <w:t> </w:t>
      </w:r>
      <w:r>
        <w:rPr>
          <w:b/>
          <w:sz w:val="21"/>
        </w:rPr>
        <w:t>other</w:t>
      </w:r>
      <w:r>
        <w:rPr>
          <w:b/>
          <w:spacing w:val="6"/>
          <w:sz w:val="21"/>
        </w:rPr>
        <w:t> </w:t>
      </w:r>
      <w:r>
        <w:rPr>
          <w:b/>
          <w:spacing w:val="-2"/>
          <w:sz w:val="21"/>
        </w:rPr>
        <w:t>jurisdictions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3"/>
        <w:rPr>
          <w:b/>
          <w:sz w:val="20"/>
        </w:rPr>
      </w:pPr>
      <w:r>
        <w:rPr/>
        <mc:AlternateContent>
          <mc:Choice Requires="wps">
            <w:drawing>
              <wp:anchor distT="0" distB="0" distL="0" distR="0" allowOverlap="1" layoutInCell="1" locked="0" behindDoc="1" simplePos="0" relativeHeight="487764992">
                <wp:simplePos x="0" y="0"/>
                <wp:positionH relativeFrom="page">
                  <wp:posOffset>231457</wp:posOffset>
                </wp:positionH>
                <wp:positionV relativeFrom="paragraph">
                  <wp:posOffset>252082</wp:posOffset>
                </wp:positionV>
                <wp:extent cx="7312659" cy="17145"/>
                <wp:effectExtent l="0" t="0" r="0" b="0"/>
                <wp:wrapTopAndBottom/>
                <wp:docPr id="803" name="Group 803"/>
                <wp:cNvGraphicFramePr>
                  <a:graphicFrameLocks/>
                </wp:cNvGraphicFramePr>
                <a:graphic>
                  <a:graphicData uri="http://schemas.microsoft.com/office/word/2010/wordprocessingGroup">
                    <wpg:wgp>
                      <wpg:cNvPr id="803" name="Group 803"/>
                      <wpg:cNvGrpSpPr/>
                      <wpg:grpSpPr>
                        <a:xfrm>
                          <a:off x="0" y="0"/>
                          <a:ext cx="7312659" cy="17145"/>
                          <a:chExt cx="7312659" cy="17145"/>
                        </a:xfrm>
                      </wpg:grpSpPr>
                      <wps:wsp>
                        <wps:cNvPr id="804" name="Graphic 80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05" name="Graphic 805"/>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06" name="Graphic 8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9.849024pt;width:575.8pt;height:1.35pt;mso-position-horizontal-relative:page;mso-position-vertical-relative:paragraph;z-index:-15551488;mso-wrap-distance-left:0;mso-wrap-distance-right:0" id="docshapegroup801" coordorigin="364,397" coordsize="11516,27">
                <v:rect style="position:absolute;left:364;top:396;width:11516;height:14" id="docshape802" filled="true" fillcolor="#999999" stroked="false">
                  <v:fill type="solid"/>
                </v:rect>
                <v:shape style="position:absolute;left:364;top:396;width:11516;height:27" id="docshape803" coordorigin="364,397" coordsize="11516,27" path="m11880,397l11866,410,364,410,364,424,11866,424,11880,424,11880,410,11880,397xe" filled="true" fillcolor="#ededed" stroked="false">
                  <v:path arrowok="t"/>
                  <v:fill type="solid"/>
                </v:shape>
                <v:shape style="position:absolute;left:364;top:396;width:14;height:27" id="docshape804" coordorigin="364,397" coordsize="14,27" path="m364,424l364,397,378,397,378,410,364,424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spacing w:line="213" w:lineRule="auto" w:before="97"/>
        <w:ind w:left="144" w:right="118" w:firstLine="0"/>
        <w:jc w:val="both"/>
        <w:rPr>
          <w:sz w:val="21"/>
        </w:rPr>
      </w:pPr>
      <w:r>
        <w:rPr>
          <w:i/>
          <w:sz w:val="21"/>
        </w:rPr>
        <w:t>One</w:t>
      </w:r>
      <w:r>
        <w:rPr>
          <w:sz w:val="21"/>
        </w:rPr>
        <w:t>. The</w:t>
      </w:r>
      <w:r>
        <w:rPr>
          <w:spacing w:val="13"/>
          <w:sz w:val="21"/>
        </w:rPr>
        <w:t> </w:t>
      </w:r>
      <w:r>
        <w:rPr>
          <w:sz w:val="21"/>
        </w:rPr>
        <w:t>intention</w:t>
      </w:r>
      <w:r>
        <w:rPr>
          <w:spacing w:val="13"/>
          <w:sz w:val="21"/>
        </w:rPr>
        <w:t> </w:t>
      </w:r>
      <w:r>
        <w:rPr>
          <w:sz w:val="21"/>
        </w:rPr>
        <w:t>of</w:t>
      </w:r>
      <w:r>
        <w:rPr>
          <w:spacing w:val="13"/>
          <w:sz w:val="21"/>
        </w:rPr>
        <w:t> </w:t>
      </w:r>
      <w:r>
        <w:rPr>
          <w:sz w:val="21"/>
        </w:rPr>
        <w:t>the</w:t>
      </w:r>
      <w:r>
        <w:rPr>
          <w:spacing w:val="13"/>
          <w:sz w:val="21"/>
        </w:rPr>
        <w:t> </w:t>
      </w:r>
      <w:r>
        <w:rPr>
          <w:sz w:val="21"/>
        </w:rPr>
        <w:t>Concessionaire</w:t>
      </w:r>
      <w:r>
        <w:rPr>
          <w:spacing w:val="13"/>
          <w:sz w:val="21"/>
        </w:rPr>
        <w:t> </w:t>
      </w:r>
      <w:r>
        <w:rPr>
          <w:sz w:val="21"/>
        </w:rPr>
        <w:t>to</w:t>
      </w:r>
      <w:r>
        <w:rPr>
          <w:spacing w:val="13"/>
          <w:sz w:val="21"/>
        </w:rPr>
        <w:t> </w:t>
      </w:r>
      <w:r>
        <w:rPr>
          <w:sz w:val="21"/>
        </w:rPr>
        <w:t>operate</w:t>
      </w:r>
      <w:r>
        <w:rPr>
          <w:spacing w:val="13"/>
          <w:sz w:val="21"/>
        </w:rPr>
        <w:t> </w:t>
      </w:r>
      <w:r>
        <w:rPr>
          <w:sz w:val="21"/>
        </w:rPr>
        <w:t>games</w:t>
      </w:r>
      <w:r>
        <w:rPr>
          <w:spacing w:val="13"/>
          <w:sz w:val="21"/>
        </w:rPr>
        <w:t> </w:t>
      </w:r>
      <w:r>
        <w:rPr>
          <w:sz w:val="21"/>
        </w:rPr>
        <w:t>of</w:t>
      </w:r>
      <w:r>
        <w:rPr>
          <w:spacing w:val="13"/>
          <w:sz w:val="21"/>
        </w:rPr>
        <w:t> </w:t>
      </w:r>
      <w:r>
        <w:rPr>
          <w:sz w:val="21"/>
        </w:rPr>
        <w:t>fortune</w:t>
      </w:r>
      <w:r>
        <w:rPr>
          <w:spacing w:val="13"/>
          <w:sz w:val="21"/>
        </w:rPr>
        <w:t> </w:t>
      </w:r>
      <w:r>
        <w:rPr>
          <w:sz w:val="21"/>
        </w:rPr>
        <w:t>or</w:t>
      </w:r>
      <w:r>
        <w:rPr>
          <w:spacing w:val="13"/>
          <w:sz w:val="21"/>
        </w:rPr>
        <w:t> </w:t>
      </w:r>
      <w:r>
        <w:rPr>
          <w:sz w:val="21"/>
        </w:rPr>
        <w:t>chance</w:t>
      </w:r>
      <w:r>
        <w:rPr>
          <w:spacing w:val="13"/>
          <w:sz w:val="21"/>
        </w:rPr>
        <w:t> </w:t>
      </w:r>
      <w:r>
        <w:rPr>
          <w:sz w:val="21"/>
        </w:rPr>
        <w:t>in</w:t>
      </w:r>
      <w:r>
        <w:rPr>
          <w:spacing w:val="13"/>
          <w:sz w:val="21"/>
        </w:rPr>
        <w:t> </w:t>
      </w:r>
      <w:r>
        <w:rPr>
          <w:sz w:val="21"/>
        </w:rPr>
        <w:t>casinos</w:t>
      </w:r>
      <w:r>
        <w:rPr>
          <w:spacing w:val="13"/>
          <w:sz w:val="21"/>
        </w:rPr>
        <w:t> </w:t>
      </w:r>
      <w:r>
        <w:rPr>
          <w:sz w:val="21"/>
        </w:rPr>
        <w:t>and</w:t>
      </w:r>
      <w:r>
        <w:rPr>
          <w:spacing w:val="13"/>
          <w:sz w:val="21"/>
        </w:rPr>
        <w:t> </w:t>
      </w:r>
      <w:r>
        <w:rPr>
          <w:sz w:val="21"/>
        </w:rPr>
        <w:t>in</w:t>
      </w:r>
      <w:r>
        <w:rPr>
          <w:spacing w:val="13"/>
          <w:sz w:val="21"/>
        </w:rPr>
        <w:t> </w:t>
      </w:r>
      <w:r>
        <w:rPr>
          <w:sz w:val="21"/>
        </w:rPr>
        <w:t>other</w:t>
      </w:r>
      <w:r>
        <w:rPr>
          <w:spacing w:val="13"/>
          <w:sz w:val="21"/>
        </w:rPr>
        <w:t> </w:t>
      </w:r>
      <w:r>
        <w:rPr>
          <w:sz w:val="21"/>
        </w:rPr>
        <w:t>countries</w:t>
      </w:r>
      <w:r>
        <w:rPr>
          <w:spacing w:val="13"/>
          <w:sz w:val="21"/>
        </w:rPr>
        <w:t> </w:t>
      </w:r>
      <w:r>
        <w:rPr>
          <w:sz w:val="21"/>
        </w:rPr>
        <w:t>or</w:t>
      </w:r>
      <w:r>
        <w:rPr>
          <w:spacing w:val="13"/>
          <w:sz w:val="21"/>
        </w:rPr>
        <w:t> </w:t>
      </w:r>
      <w:r>
        <w:rPr>
          <w:sz w:val="21"/>
        </w:rPr>
        <w:t>regions</w:t>
      </w:r>
      <w:r>
        <w:rPr>
          <w:spacing w:val="13"/>
          <w:sz w:val="21"/>
        </w:rPr>
        <w:t> </w:t>
      </w:r>
      <w:r>
        <w:rPr>
          <w:sz w:val="21"/>
        </w:rPr>
        <w:t>is</w:t>
      </w:r>
      <w:r>
        <w:rPr>
          <w:spacing w:val="13"/>
          <w:sz w:val="21"/>
        </w:rPr>
        <w:t> </w:t>
      </w:r>
      <w:r>
        <w:rPr>
          <w:sz w:val="21"/>
        </w:rPr>
        <w:t>subject to</w:t>
      </w:r>
      <w:r>
        <w:rPr>
          <w:spacing w:val="26"/>
          <w:sz w:val="21"/>
        </w:rPr>
        <w:t> </w:t>
      </w:r>
      <w:r>
        <w:rPr>
          <w:sz w:val="21"/>
        </w:rPr>
        <w:t>prior</w:t>
      </w:r>
      <w:r>
        <w:rPr>
          <w:spacing w:val="26"/>
          <w:sz w:val="21"/>
        </w:rPr>
        <w:t> </w:t>
      </w:r>
      <w:r>
        <w:rPr>
          <w:sz w:val="21"/>
        </w:rPr>
        <w:t>authorization</w:t>
      </w:r>
      <w:r>
        <w:rPr>
          <w:spacing w:val="26"/>
          <w:sz w:val="21"/>
        </w:rPr>
        <w:t> </w:t>
      </w:r>
      <w:r>
        <w:rPr>
          <w:sz w:val="21"/>
        </w:rPr>
        <w:t>of</w:t>
      </w:r>
      <w:r>
        <w:rPr>
          <w:spacing w:val="26"/>
          <w:sz w:val="21"/>
        </w:rPr>
        <w:t> </w:t>
      </w:r>
      <w:r>
        <w:rPr>
          <w:sz w:val="21"/>
        </w:rPr>
        <w:t>the</w:t>
      </w:r>
      <w:r>
        <w:rPr>
          <w:spacing w:val="26"/>
          <w:sz w:val="21"/>
        </w:rPr>
        <w:t> </w:t>
      </w:r>
      <w:r>
        <w:rPr>
          <w:sz w:val="21"/>
        </w:rPr>
        <w:t>Chief</w:t>
      </w:r>
      <w:r>
        <w:rPr>
          <w:spacing w:val="26"/>
          <w:sz w:val="21"/>
        </w:rPr>
        <w:t> </w:t>
      </w:r>
      <w:r>
        <w:rPr>
          <w:sz w:val="21"/>
        </w:rPr>
        <w:t>Executive,</w:t>
      </w:r>
      <w:r>
        <w:rPr>
          <w:spacing w:val="26"/>
          <w:sz w:val="21"/>
        </w:rPr>
        <w:t> </w:t>
      </w:r>
      <w:r>
        <w:rPr>
          <w:sz w:val="21"/>
        </w:rPr>
        <w:t>having</w:t>
      </w:r>
      <w:r>
        <w:rPr>
          <w:spacing w:val="26"/>
          <w:sz w:val="21"/>
        </w:rPr>
        <w:t> </w:t>
      </w:r>
      <w:r>
        <w:rPr>
          <w:sz w:val="21"/>
        </w:rPr>
        <w:t>consulted</w:t>
      </w:r>
      <w:r>
        <w:rPr>
          <w:spacing w:val="26"/>
          <w:sz w:val="21"/>
        </w:rPr>
        <w:t> </w:t>
      </w:r>
      <w:r>
        <w:rPr>
          <w:sz w:val="21"/>
        </w:rPr>
        <w:t>the</w:t>
      </w:r>
      <w:r>
        <w:rPr>
          <w:spacing w:val="26"/>
          <w:sz w:val="21"/>
        </w:rPr>
        <w:t> </w:t>
      </w:r>
      <w:r>
        <w:rPr>
          <w:sz w:val="21"/>
        </w:rPr>
        <w:t>Specialized</w:t>
      </w:r>
      <w:r>
        <w:rPr>
          <w:spacing w:val="26"/>
          <w:sz w:val="21"/>
        </w:rPr>
        <w:t> </w:t>
      </w:r>
      <w:r>
        <w:rPr>
          <w:sz w:val="21"/>
        </w:rPr>
        <w:t>Committee</w:t>
      </w:r>
      <w:r>
        <w:rPr>
          <w:spacing w:val="26"/>
          <w:sz w:val="21"/>
        </w:rPr>
        <w:t> </w:t>
      </w:r>
      <w:r>
        <w:rPr>
          <w:sz w:val="21"/>
        </w:rPr>
        <w:t>for</w:t>
      </w:r>
      <w:r>
        <w:rPr>
          <w:spacing w:val="26"/>
          <w:sz w:val="21"/>
        </w:rPr>
        <w:t> </w:t>
      </w:r>
      <w:r>
        <w:rPr>
          <w:sz w:val="21"/>
        </w:rPr>
        <w:t>Games</w:t>
      </w:r>
      <w:r>
        <w:rPr>
          <w:spacing w:val="26"/>
          <w:sz w:val="21"/>
        </w:rPr>
        <w:t> </w:t>
      </w:r>
      <w:r>
        <w:rPr>
          <w:sz w:val="21"/>
        </w:rPr>
        <w:t>of</w:t>
      </w:r>
      <w:r>
        <w:rPr>
          <w:spacing w:val="26"/>
          <w:sz w:val="21"/>
        </w:rPr>
        <w:t> </w:t>
      </w:r>
      <w:r>
        <w:rPr>
          <w:sz w:val="21"/>
        </w:rPr>
        <w:t>Fortune</w:t>
      </w:r>
      <w:r>
        <w:rPr>
          <w:spacing w:val="26"/>
          <w:sz w:val="21"/>
        </w:rPr>
        <w:t> </w:t>
      </w:r>
      <w:r>
        <w:rPr>
          <w:sz w:val="21"/>
        </w:rPr>
        <w:t>and</w:t>
      </w:r>
      <w:r>
        <w:rPr>
          <w:spacing w:val="26"/>
          <w:sz w:val="21"/>
        </w:rPr>
        <w:t> </w:t>
      </w:r>
      <w:r>
        <w:rPr>
          <w:sz w:val="21"/>
        </w:rPr>
        <w:t>Chance.</w:t>
      </w:r>
    </w:p>
    <w:p>
      <w:pPr>
        <w:pStyle w:val="BodyText"/>
        <w:spacing w:before="76"/>
        <w:rPr>
          <w:sz w:val="21"/>
        </w:rPr>
      </w:pPr>
    </w:p>
    <w:p>
      <w:pPr>
        <w:spacing w:line="268" w:lineRule="auto" w:before="0"/>
        <w:ind w:left="144" w:right="118" w:firstLine="0"/>
        <w:jc w:val="both"/>
        <w:rPr>
          <w:sz w:val="21"/>
        </w:rPr>
      </w:pPr>
      <w:r>
        <w:rPr>
          <w:i/>
          <w:sz w:val="21"/>
        </w:rPr>
        <w:t>Two</w:t>
      </w:r>
      <w:r>
        <w:rPr>
          <w:sz w:val="21"/>
        </w:rPr>
        <w:t>. For the purposes of the preceding paragraph, the Concessionaire undertakes, as the case may be, to submit and provide to the Government of the Macau SAR (hereinafter the Government), or endeavor to obtain, submit or provide the Government, </w:t>
      </w:r>
      <w:r>
        <w:rPr>
          <w:sz w:val="21"/>
        </w:rPr>
        <w:t>any</w:t>
      </w:r>
      <w:r>
        <w:rPr>
          <w:spacing w:val="80"/>
          <w:sz w:val="21"/>
        </w:rPr>
        <w:t> </w:t>
      </w:r>
      <w:r>
        <w:rPr>
          <w:sz w:val="21"/>
        </w:rPr>
        <w:t>documents,</w:t>
      </w:r>
      <w:r>
        <w:rPr>
          <w:spacing w:val="29"/>
          <w:sz w:val="21"/>
        </w:rPr>
        <w:t> </w:t>
      </w:r>
      <w:r>
        <w:rPr>
          <w:sz w:val="21"/>
        </w:rPr>
        <w:t>information</w:t>
      </w:r>
      <w:r>
        <w:rPr>
          <w:spacing w:val="29"/>
          <w:sz w:val="21"/>
        </w:rPr>
        <w:t> </w:t>
      </w:r>
      <w:r>
        <w:rPr>
          <w:sz w:val="21"/>
        </w:rPr>
        <w:t>or</w:t>
      </w:r>
      <w:r>
        <w:rPr>
          <w:spacing w:val="29"/>
          <w:sz w:val="21"/>
        </w:rPr>
        <w:t> </w:t>
      </w:r>
      <w:r>
        <w:rPr>
          <w:sz w:val="21"/>
        </w:rPr>
        <w:t>data</w:t>
      </w:r>
      <w:r>
        <w:rPr>
          <w:spacing w:val="29"/>
          <w:sz w:val="21"/>
        </w:rPr>
        <w:t> </w:t>
      </w:r>
      <w:r>
        <w:rPr>
          <w:sz w:val="21"/>
        </w:rPr>
        <w:t>requested</w:t>
      </w:r>
      <w:r>
        <w:rPr>
          <w:spacing w:val="29"/>
          <w:sz w:val="21"/>
        </w:rPr>
        <w:t> </w:t>
      </w:r>
      <w:r>
        <w:rPr>
          <w:sz w:val="21"/>
        </w:rPr>
        <w:t>for</w:t>
      </w:r>
      <w:r>
        <w:rPr>
          <w:spacing w:val="29"/>
          <w:sz w:val="21"/>
        </w:rPr>
        <w:t> </w:t>
      </w:r>
      <w:r>
        <w:rPr>
          <w:sz w:val="21"/>
        </w:rPr>
        <w:t>this</w:t>
      </w:r>
      <w:r>
        <w:rPr>
          <w:spacing w:val="29"/>
          <w:sz w:val="21"/>
        </w:rPr>
        <w:t> </w:t>
      </w:r>
      <w:r>
        <w:rPr>
          <w:sz w:val="21"/>
        </w:rPr>
        <w:t>purpose,</w:t>
      </w:r>
      <w:r>
        <w:rPr>
          <w:spacing w:val="29"/>
          <w:sz w:val="21"/>
        </w:rPr>
        <w:t> </w:t>
      </w:r>
      <w:r>
        <w:rPr>
          <w:sz w:val="21"/>
        </w:rPr>
        <w:t>except</w:t>
      </w:r>
      <w:r>
        <w:rPr>
          <w:spacing w:val="29"/>
          <w:sz w:val="21"/>
        </w:rPr>
        <w:t> </w:t>
      </w:r>
      <w:r>
        <w:rPr>
          <w:sz w:val="21"/>
        </w:rPr>
        <w:t>those</w:t>
      </w:r>
      <w:r>
        <w:rPr>
          <w:spacing w:val="29"/>
          <w:sz w:val="21"/>
        </w:rPr>
        <w:t> </w:t>
      </w:r>
      <w:r>
        <w:rPr>
          <w:sz w:val="21"/>
        </w:rPr>
        <w:t>deemed</w:t>
      </w:r>
      <w:r>
        <w:rPr>
          <w:spacing w:val="29"/>
          <w:sz w:val="21"/>
        </w:rPr>
        <w:t> </w:t>
      </w:r>
      <w:r>
        <w:rPr>
          <w:sz w:val="21"/>
        </w:rPr>
        <w:t>confidential</w:t>
      </w:r>
      <w:r>
        <w:rPr>
          <w:spacing w:val="29"/>
          <w:sz w:val="21"/>
        </w:rPr>
        <w:t> </w:t>
      </w:r>
      <w:r>
        <w:rPr>
          <w:sz w:val="21"/>
        </w:rPr>
        <w:t>by</w:t>
      </w:r>
      <w:r>
        <w:rPr>
          <w:spacing w:val="29"/>
          <w:sz w:val="21"/>
        </w:rPr>
        <w:t> </w:t>
      </w:r>
      <w:r>
        <w:rPr>
          <w:sz w:val="21"/>
        </w:rPr>
        <w:t>law.</w:t>
      </w:r>
    </w:p>
    <w:p>
      <w:pPr>
        <w:pStyle w:val="BodyText"/>
        <w:spacing w:before="230"/>
        <w:rPr>
          <w:sz w:val="21"/>
        </w:rPr>
      </w:pPr>
    </w:p>
    <w:p>
      <w:pPr>
        <w:spacing w:before="0"/>
        <w:ind w:left="24" w:right="0" w:firstLine="0"/>
        <w:jc w:val="center"/>
        <w:rPr>
          <w:b/>
          <w:sz w:val="21"/>
        </w:rPr>
      </w:pPr>
      <w:r>
        <w:rPr>
          <w:b/>
          <w:sz w:val="21"/>
        </w:rPr>
        <w:t>Clause</w:t>
      </w:r>
      <w:r>
        <w:rPr>
          <w:b/>
          <w:spacing w:val="13"/>
          <w:sz w:val="21"/>
        </w:rPr>
        <w:t> </w:t>
      </w:r>
      <w:r>
        <w:rPr>
          <w:b/>
          <w:spacing w:val="-10"/>
          <w:sz w:val="21"/>
        </w:rPr>
        <w:t>6</w:t>
      </w:r>
    </w:p>
    <w:p>
      <w:pPr>
        <w:spacing w:before="69"/>
        <w:ind w:left="24" w:right="0" w:firstLine="0"/>
        <w:jc w:val="center"/>
        <w:rPr>
          <w:b/>
          <w:sz w:val="21"/>
        </w:rPr>
      </w:pPr>
      <w:r>
        <w:rPr>
          <w:b/>
          <w:sz w:val="21"/>
        </w:rPr>
        <w:t>Concessions</w:t>
      </w:r>
      <w:r>
        <w:rPr>
          <w:b/>
          <w:spacing w:val="22"/>
          <w:sz w:val="21"/>
        </w:rPr>
        <w:t> </w:t>
      </w:r>
      <w:r>
        <w:rPr>
          <w:b/>
          <w:spacing w:val="-2"/>
          <w:sz w:val="21"/>
        </w:rPr>
        <w:t>regime</w:t>
      </w:r>
    </w:p>
    <w:p>
      <w:pPr>
        <w:pStyle w:val="BodyText"/>
        <w:spacing w:before="146"/>
        <w:rPr>
          <w:b/>
          <w:sz w:val="21"/>
        </w:rPr>
      </w:pPr>
    </w:p>
    <w:p>
      <w:pPr>
        <w:spacing w:line="213" w:lineRule="auto" w:before="0"/>
        <w:ind w:left="144" w:right="118" w:firstLine="0"/>
        <w:jc w:val="both"/>
        <w:rPr>
          <w:sz w:val="21"/>
        </w:rPr>
      </w:pPr>
      <w:r>
        <w:rPr>
          <w:sz w:val="21"/>
        </w:rPr>
        <w:t>The</w:t>
      </w:r>
      <w:r>
        <w:rPr>
          <w:spacing w:val="31"/>
          <w:sz w:val="21"/>
        </w:rPr>
        <w:t> </w:t>
      </w:r>
      <w:r>
        <w:rPr>
          <w:sz w:val="21"/>
        </w:rPr>
        <w:t>concessions</w:t>
      </w:r>
      <w:r>
        <w:rPr>
          <w:spacing w:val="31"/>
          <w:sz w:val="21"/>
        </w:rPr>
        <w:t> </w:t>
      </w:r>
      <w:r>
        <w:rPr>
          <w:sz w:val="21"/>
        </w:rPr>
        <w:t>regime</w:t>
      </w:r>
      <w:r>
        <w:rPr>
          <w:spacing w:val="31"/>
          <w:sz w:val="21"/>
        </w:rPr>
        <w:t> </w:t>
      </w:r>
      <w:r>
        <w:rPr>
          <w:sz w:val="21"/>
        </w:rPr>
        <w:t>is</w:t>
      </w:r>
      <w:r>
        <w:rPr>
          <w:spacing w:val="31"/>
          <w:sz w:val="21"/>
        </w:rPr>
        <w:t> </w:t>
      </w:r>
      <w:r>
        <w:rPr>
          <w:sz w:val="21"/>
        </w:rPr>
        <w:t>formed</w:t>
      </w:r>
      <w:r>
        <w:rPr>
          <w:spacing w:val="31"/>
          <w:sz w:val="21"/>
        </w:rPr>
        <w:t> </w:t>
      </w:r>
      <w:r>
        <w:rPr>
          <w:sz w:val="21"/>
        </w:rPr>
        <w:t>by</w:t>
      </w:r>
      <w:r>
        <w:rPr>
          <w:spacing w:val="31"/>
          <w:sz w:val="21"/>
        </w:rPr>
        <w:t> </w:t>
      </w:r>
      <w:r>
        <w:rPr>
          <w:sz w:val="21"/>
        </w:rPr>
        <w:t>the</w:t>
      </w:r>
      <w:r>
        <w:rPr>
          <w:spacing w:val="31"/>
          <w:sz w:val="21"/>
        </w:rPr>
        <w:t> </w:t>
      </w:r>
      <w:r>
        <w:rPr>
          <w:sz w:val="21"/>
        </w:rPr>
        <w:t>legal</w:t>
      </w:r>
      <w:r>
        <w:rPr>
          <w:spacing w:val="31"/>
          <w:sz w:val="21"/>
        </w:rPr>
        <w:t> </w:t>
      </w:r>
      <w:r>
        <w:rPr>
          <w:sz w:val="21"/>
        </w:rPr>
        <w:t>framework,</w:t>
      </w:r>
      <w:r>
        <w:rPr>
          <w:spacing w:val="31"/>
          <w:sz w:val="21"/>
        </w:rPr>
        <w:t> </w:t>
      </w:r>
      <w:r>
        <w:rPr>
          <w:sz w:val="21"/>
        </w:rPr>
        <w:t>which</w:t>
      </w:r>
      <w:r>
        <w:rPr>
          <w:spacing w:val="31"/>
          <w:sz w:val="21"/>
        </w:rPr>
        <w:t> </w:t>
      </w:r>
      <w:r>
        <w:rPr>
          <w:sz w:val="21"/>
        </w:rPr>
        <w:t>comprises</w:t>
      </w:r>
      <w:r>
        <w:rPr>
          <w:spacing w:val="31"/>
          <w:sz w:val="21"/>
        </w:rPr>
        <w:t> </w:t>
      </w:r>
      <w:r>
        <w:rPr>
          <w:sz w:val="21"/>
        </w:rPr>
        <w:t>Law</w:t>
      </w:r>
      <w:r>
        <w:rPr>
          <w:spacing w:val="31"/>
          <w:sz w:val="21"/>
        </w:rPr>
        <w:t> </w:t>
      </w:r>
      <w:r>
        <w:rPr>
          <w:sz w:val="21"/>
        </w:rPr>
        <w:t>No.</w:t>
      </w:r>
      <w:r>
        <w:rPr>
          <w:spacing w:val="31"/>
          <w:sz w:val="21"/>
        </w:rPr>
        <w:t> </w:t>
      </w:r>
      <w:r>
        <w:rPr>
          <w:sz w:val="21"/>
        </w:rPr>
        <w:t>7/2022</w:t>
      </w:r>
      <w:r>
        <w:rPr>
          <w:spacing w:val="31"/>
          <w:sz w:val="21"/>
        </w:rPr>
        <w:t> </w:t>
      </w:r>
      <w:r>
        <w:rPr>
          <w:sz w:val="21"/>
        </w:rPr>
        <w:t>(Amendment</w:t>
      </w:r>
      <w:r>
        <w:rPr>
          <w:spacing w:val="31"/>
          <w:sz w:val="21"/>
        </w:rPr>
        <w:t> </w:t>
      </w:r>
      <w:r>
        <w:rPr>
          <w:sz w:val="21"/>
        </w:rPr>
        <w:t>to</w:t>
      </w:r>
      <w:r>
        <w:rPr>
          <w:spacing w:val="31"/>
          <w:sz w:val="21"/>
        </w:rPr>
        <w:t> </w:t>
      </w:r>
      <w:r>
        <w:rPr>
          <w:sz w:val="21"/>
        </w:rPr>
        <w:t>Law</w:t>
      </w:r>
      <w:r>
        <w:rPr>
          <w:spacing w:val="31"/>
          <w:sz w:val="21"/>
        </w:rPr>
        <w:t> </w:t>
      </w:r>
      <w:r>
        <w:rPr>
          <w:sz w:val="21"/>
        </w:rPr>
        <w:t>No.</w:t>
      </w:r>
      <w:r>
        <w:rPr>
          <w:spacing w:val="31"/>
          <w:sz w:val="21"/>
        </w:rPr>
        <w:t> </w:t>
      </w:r>
      <w:r>
        <w:rPr>
          <w:sz w:val="21"/>
        </w:rPr>
        <w:t>16/2001</w:t>
      </w:r>
      <w:r>
        <w:rPr>
          <w:spacing w:val="31"/>
          <w:sz w:val="21"/>
        </w:rPr>
        <w:t> </w:t>
      </w:r>
      <w:r>
        <w:rPr>
          <w:sz w:val="21"/>
        </w:rPr>
        <w:t>– Legal Framework for the Operation of Games of Fortune or Chance in Casinos), Law No. 16/2001, Administrative Regulation </w:t>
      </w:r>
      <w:r>
        <w:rPr>
          <w:sz w:val="21"/>
        </w:rPr>
        <w:t>No. 26/2001</w:t>
      </w:r>
      <w:r>
        <w:rPr>
          <w:spacing w:val="40"/>
          <w:sz w:val="21"/>
        </w:rPr>
        <w:t> </w:t>
      </w:r>
      <w:r>
        <w:rPr>
          <w:sz w:val="21"/>
        </w:rPr>
        <w:t>(which</w:t>
      </w:r>
      <w:r>
        <w:rPr>
          <w:spacing w:val="40"/>
          <w:sz w:val="21"/>
        </w:rPr>
        <w:t> </w:t>
      </w:r>
      <w:r>
        <w:rPr>
          <w:sz w:val="21"/>
        </w:rPr>
        <w:t>regulates</w:t>
      </w:r>
      <w:r>
        <w:rPr>
          <w:spacing w:val="40"/>
          <w:sz w:val="21"/>
        </w:rPr>
        <w:t> </w:t>
      </w:r>
      <w:r>
        <w:rPr>
          <w:sz w:val="21"/>
        </w:rPr>
        <w:t>public</w:t>
      </w:r>
      <w:r>
        <w:rPr>
          <w:spacing w:val="40"/>
          <w:sz w:val="21"/>
        </w:rPr>
        <w:t> </w:t>
      </w:r>
      <w:r>
        <w:rPr>
          <w:sz w:val="21"/>
        </w:rPr>
        <w:t>tendering</w:t>
      </w:r>
      <w:r>
        <w:rPr>
          <w:spacing w:val="40"/>
          <w:sz w:val="21"/>
        </w:rPr>
        <w:t> </w:t>
      </w:r>
      <w:r>
        <w:rPr>
          <w:sz w:val="21"/>
        </w:rPr>
        <w:t>for</w:t>
      </w:r>
      <w:r>
        <w:rPr>
          <w:spacing w:val="40"/>
          <w:sz w:val="21"/>
        </w:rPr>
        <w:t> </w:t>
      </w:r>
      <w:r>
        <w:rPr>
          <w:sz w:val="21"/>
        </w:rPr>
        <w:t>the</w:t>
      </w:r>
      <w:r>
        <w:rPr>
          <w:spacing w:val="40"/>
          <w:sz w:val="21"/>
        </w:rPr>
        <w:t> </w:t>
      </w:r>
      <w:r>
        <w:rPr>
          <w:sz w:val="21"/>
        </w:rPr>
        <w:t>awarding</w:t>
      </w:r>
      <w:r>
        <w:rPr>
          <w:spacing w:val="40"/>
          <w:sz w:val="21"/>
        </w:rPr>
        <w:t> </w:t>
      </w:r>
      <w:r>
        <w:rPr>
          <w:sz w:val="21"/>
        </w:rPr>
        <w:t>of</w:t>
      </w:r>
      <w:r>
        <w:rPr>
          <w:spacing w:val="40"/>
          <w:sz w:val="21"/>
        </w:rPr>
        <w:t> </w:t>
      </w:r>
      <w:r>
        <w:rPr>
          <w:sz w:val="21"/>
        </w:rPr>
        <w:t>concessions</w:t>
      </w:r>
      <w:r>
        <w:rPr>
          <w:spacing w:val="40"/>
          <w:sz w:val="21"/>
        </w:rPr>
        <w:t> </w:t>
      </w:r>
      <w:r>
        <w:rPr>
          <w:sz w:val="21"/>
        </w:rPr>
        <w:t>for</w:t>
      </w:r>
      <w:r>
        <w:rPr>
          <w:spacing w:val="40"/>
          <w:sz w:val="21"/>
        </w:rPr>
        <w:t> </w:t>
      </w:r>
      <w:r>
        <w:rPr>
          <w:sz w:val="21"/>
        </w:rPr>
        <w:t>the</w:t>
      </w:r>
      <w:r>
        <w:rPr>
          <w:spacing w:val="40"/>
          <w:sz w:val="21"/>
        </w:rPr>
        <w:t> </w:t>
      </w:r>
      <w:r>
        <w:rPr>
          <w:sz w:val="21"/>
        </w:rPr>
        <w:t>operation</w:t>
      </w:r>
      <w:r>
        <w:rPr>
          <w:spacing w:val="40"/>
          <w:sz w:val="21"/>
        </w:rPr>
        <w:t> </w:t>
      </w:r>
      <w:r>
        <w:rPr>
          <w:sz w:val="21"/>
        </w:rPr>
        <w:t>of</w:t>
      </w:r>
      <w:r>
        <w:rPr>
          <w:spacing w:val="40"/>
          <w:sz w:val="21"/>
        </w:rPr>
        <w:t> </w:t>
      </w:r>
      <w:r>
        <w:rPr>
          <w:sz w:val="21"/>
        </w:rPr>
        <w:t>games</w:t>
      </w:r>
      <w:r>
        <w:rPr>
          <w:spacing w:val="40"/>
          <w:sz w:val="21"/>
        </w:rPr>
        <w:t> </w:t>
      </w:r>
      <w:r>
        <w:rPr>
          <w:sz w:val="21"/>
        </w:rPr>
        <w:t>of</w:t>
      </w:r>
      <w:r>
        <w:rPr>
          <w:spacing w:val="40"/>
          <w:sz w:val="21"/>
        </w:rPr>
        <w:t> </w:t>
      </w:r>
      <w:r>
        <w:rPr>
          <w:sz w:val="21"/>
        </w:rPr>
        <w:t>fortune</w:t>
      </w:r>
      <w:r>
        <w:rPr>
          <w:spacing w:val="40"/>
          <w:sz w:val="21"/>
        </w:rPr>
        <w:t> </w:t>
      </w:r>
      <w:r>
        <w:rPr>
          <w:sz w:val="21"/>
        </w:rPr>
        <w:t>or</w:t>
      </w:r>
      <w:r>
        <w:rPr>
          <w:spacing w:val="40"/>
          <w:sz w:val="21"/>
        </w:rPr>
        <w:t> </w:t>
      </w:r>
      <w:r>
        <w:rPr>
          <w:sz w:val="21"/>
        </w:rPr>
        <w:t>chance</w:t>
      </w:r>
      <w:r>
        <w:rPr>
          <w:spacing w:val="40"/>
          <w:sz w:val="21"/>
        </w:rPr>
        <w:t> </w:t>
      </w:r>
      <w:r>
        <w:rPr>
          <w:sz w:val="21"/>
        </w:rPr>
        <w:t>in casinos, concession contracts and the suitability and financial capacity requirements for bidders and Concessionaires), and other applicable legal provisions, as well as the current concession contract.</w:t>
      </w:r>
    </w:p>
    <w:p>
      <w:pPr>
        <w:pStyle w:val="BodyText"/>
        <w:spacing w:before="147"/>
        <w:rPr>
          <w:sz w:val="21"/>
        </w:rPr>
      </w:pPr>
    </w:p>
    <w:p>
      <w:pPr>
        <w:spacing w:line="295" w:lineRule="auto" w:before="1"/>
        <w:ind w:left="4627" w:right="4600" w:firstLine="881"/>
        <w:jc w:val="left"/>
        <w:rPr>
          <w:b/>
          <w:sz w:val="21"/>
        </w:rPr>
      </w:pPr>
      <w:r>
        <w:rPr>
          <w:b/>
          <w:sz w:val="21"/>
        </w:rPr>
        <w:t>Clause 7 Operation of the </w:t>
      </w:r>
      <w:r>
        <w:rPr>
          <w:b/>
          <w:sz w:val="21"/>
        </w:rPr>
        <w:t>concession</w:t>
      </w:r>
    </w:p>
    <w:p>
      <w:pPr>
        <w:pStyle w:val="BodyText"/>
        <w:spacing w:before="103"/>
        <w:rPr>
          <w:b/>
          <w:sz w:val="21"/>
        </w:rPr>
      </w:pPr>
    </w:p>
    <w:p>
      <w:pPr>
        <w:spacing w:line="213" w:lineRule="auto" w:before="1"/>
        <w:ind w:left="144" w:right="118" w:firstLine="0"/>
        <w:jc w:val="both"/>
        <w:rPr>
          <w:sz w:val="21"/>
        </w:rPr>
      </w:pPr>
      <w:r>
        <w:rPr>
          <w:sz w:val="21"/>
        </w:rPr>
        <w:t>The Concessionaire undertakes to operate the concession in accordance with the applicable legal provisions and under the terms </w:t>
      </w:r>
      <w:r>
        <w:rPr>
          <w:sz w:val="21"/>
        </w:rPr>
        <w:t>and conditions of this concession contract.</w:t>
      </w:r>
    </w:p>
    <w:p>
      <w:pPr>
        <w:pStyle w:val="BodyText"/>
        <w:rPr>
          <w:sz w:val="21"/>
        </w:rPr>
      </w:pPr>
    </w:p>
    <w:p>
      <w:pPr>
        <w:pStyle w:val="BodyText"/>
        <w:spacing w:before="186"/>
        <w:rPr>
          <w:sz w:val="21"/>
        </w:rPr>
      </w:pPr>
    </w:p>
    <w:p>
      <w:pPr>
        <w:spacing w:line="309" w:lineRule="auto" w:before="0"/>
        <w:ind w:left="5059" w:right="5032" w:hanging="1"/>
        <w:jc w:val="center"/>
        <w:rPr>
          <w:b/>
          <w:sz w:val="21"/>
        </w:rPr>
      </w:pPr>
      <w:r>
        <w:rPr>
          <w:b/>
          <w:sz w:val="21"/>
        </w:rPr>
        <w:t>Clause 8 Concession </w:t>
      </w:r>
      <w:r>
        <w:rPr>
          <w:b/>
          <w:sz w:val="21"/>
        </w:rPr>
        <w:t>period</w:t>
      </w:r>
    </w:p>
    <w:p>
      <w:pPr>
        <w:pStyle w:val="BodyText"/>
        <w:spacing w:before="75"/>
        <w:rPr>
          <w:b/>
          <w:sz w:val="21"/>
        </w:rPr>
      </w:pPr>
    </w:p>
    <w:p>
      <w:pPr>
        <w:spacing w:line="213" w:lineRule="auto" w:before="0"/>
        <w:ind w:left="144" w:right="119" w:firstLine="0"/>
        <w:jc w:val="both"/>
        <w:rPr>
          <w:sz w:val="21"/>
        </w:rPr>
      </w:pPr>
      <w:r>
        <w:rPr>
          <w:i/>
          <w:sz w:val="21"/>
        </w:rPr>
        <w:t>One</w:t>
      </w:r>
      <w:r>
        <w:rPr>
          <w:sz w:val="21"/>
        </w:rPr>
        <w:t>. The term of the concession awarded by this concession contract is ten years, starting on 1 January 2023 and ending on 31 December 2032.</w:t>
      </w:r>
    </w:p>
    <w:p>
      <w:pPr>
        <w:pStyle w:val="BodyText"/>
        <w:spacing w:before="165"/>
        <w:rPr>
          <w:sz w:val="21"/>
        </w:rPr>
      </w:pPr>
    </w:p>
    <w:p>
      <w:pPr>
        <w:spacing w:line="213" w:lineRule="auto" w:before="0"/>
        <w:ind w:left="144" w:right="119" w:firstLine="0"/>
        <w:jc w:val="both"/>
        <w:rPr>
          <w:sz w:val="21"/>
        </w:rPr>
      </w:pPr>
      <w:r>
        <w:rPr>
          <w:i/>
          <w:sz w:val="21"/>
        </w:rPr>
        <w:t>Two</w:t>
      </w:r>
      <w:r>
        <w:rPr>
          <w:sz w:val="21"/>
        </w:rPr>
        <w:t>. The provisions of the preceding paragraph shall not exclude the application of the clauses of the current contract which </w:t>
      </w:r>
      <w:r>
        <w:rPr>
          <w:sz w:val="21"/>
        </w:rPr>
        <w:t>extend beyond the term of the concession period.</w:t>
      </w:r>
    </w:p>
    <w:p>
      <w:pPr>
        <w:pStyle w:val="BodyText"/>
        <w:rPr>
          <w:sz w:val="21"/>
        </w:rPr>
      </w:pPr>
    </w:p>
    <w:p>
      <w:pPr>
        <w:pStyle w:val="BodyText"/>
        <w:spacing w:before="190"/>
        <w:rPr>
          <w:sz w:val="21"/>
        </w:rPr>
      </w:pPr>
    </w:p>
    <w:p>
      <w:pPr>
        <w:pStyle w:val="Heading1"/>
      </w:pPr>
      <w:r>
        <w:rPr/>
        <w:t>CHAPTER </w:t>
      </w:r>
      <w:r>
        <w:rPr>
          <w:spacing w:val="-5"/>
        </w:rPr>
        <w:t>II</w:t>
      </w:r>
    </w:p>
    <w:p>
      <w:pPr>
        <w:pStyle w:val="Heading2"/>
      </w:pPr>
      <w:r>
        <w:rPr/>
        <w:t>Locations for</w:t>
      </w:r>
      <w:r>
        <w:rPr>
          <w:spacing w:val="-5"/>
        </w:rPr>
        <w:t> </w:t>
      </w:r>
      <w:r>
        <w:rPr/>
        <w:t>the games of fortune or</w:t>
      </w:r>
      <w:r>
        <w:rPr>
          <w:spacing w:val="-5"/>
        </w:rPr>
        <w:t> </w:t>
      </w:r>
      <w:r>
        <w:rPr/>
        <w:t>chance in </w:t>
      </w:r>
      <w:r>
        <w:rPr>
          <w:spacing w:val="-2"/>
        </w:rPr>
        <w:t>casinos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8"/>
        <w:rPr>
          <w:b/>
          <w:sz w:val="20"/>
        </w:rPr>
      </w:pPr>
      <w:r>
        <w:rPr/>
        <mc:AlternateContent>
          <mc:Choice Requires="wps">
            <w:drawing>
              <wp:anchor distT="0" distB="0" distL="0" distR="0" allowOverlap="1" layoutInCell="1" locked="0" behindDoc="1" simplePos="0" relativeHeight="487765504">
                <wp:simplePos x="0" y="0"/>
                <wp:positionH relativeFrom="page">
                  <wp:posOffset>231457</wp:posOffset>
                </wp:positionH>
                <wp:positionV relativeFrom="paragraph">
                  <wp:posOffset>255383</wp:posOffset>
                </wp:positionV>
                <wp:extent cx="7312659" cy="17145"/>
                <wp:effectExtent l="0" t="0" r="0" b="0"/>
                <wp:wrapTopAndBottom/>
                <wp:docPr id="807" name="Group 807"/>
                <wp:cNvGraphicFramePr>
                  <a:graphicFrameLocks/>
                </wp:cNvGraphicFramePr>
                <a:graphic>
                  <a:graphicData uri="http://schemas.microsoft.com/office/word/2010/wordprocessingGroup">
                    <wpg:wgp>
                      <wpg:cNvPr id="807" name="Group 807"/>
                      <wpg:cNvGrpSpPr/>
                      <wpg:grpSpPr>
                        <a:xfrm>
                          <a:off x="0" y="0"/>
                          <a:ext cx="7312659" cy="17145"/>
                          <a:chExt cx="7312659" cy="17145"/>
                        </a:xfrm>
                      </wpg:grpSpPr>
                      <wps:wsp>
                        <wps:cNvPr id="808" name="Graphic 80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09" name="Graphic 809"/>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10" name="Graphic 81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0.108931pt;width:575.8pt;height:1.35pt;mso-position-horizontal-relative:page;mso-position-vertical-relative:paragraph;z-index:-15550976;mso-wrap-distance-left:0;mso-wrap-distance-right:0" id="docshapegroup805" coordorigin="364,402" coordsize="11516,27">
                <v:rect style="position:absolute;left:364;top:402;width:11516;height:14" id="docshape806" filled="true" fillcolor="#999999" stroked="false">
                  <v:fill type="solid"/>
                </v:rect>
                <v:shape style="position:absolute;left:364;top:402;width:11516;height:27" id="docshape807" coordorigin="364,402" coordsize="11516,27" path="m11880,402l11866,416,364,416,364,429,11866,429,11880,429,11880,416,11880,402xe" filled="true" fillcolor="#ededed" stroked="false">
                  <v:path arrowok="t"/>
                  <v:fill type="solid"/>
                </v:shape>
                <v:shape style="position:absolute;left:364;top:402;width:14;height:27" id="docshape808" coordorigin="364,402" coordsize="14,27" path="m364,429l364,402,378,402,378,416,364,429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before="211"/>
        <w:ind w:left="24" w:right="0" w:firstLine="0"/>
        <w:jc w:val="center"/>
        <w:rPr>
          <w:b/>
          <w:sz w:val="21"/>
        </w:rPr>
      </w:pPr>
      <w:r>
        <w:rPr>
          <w:b/>
          <w:sz w:val="21"/>
        </w:rPr>
        <w:t>Clause</w:t>
      </w:r>
      <w:r>
        <w:rPr>
          <w:b/>
          <w:spacing w:val="13"/>
          <w:sz w:val="21"/>
        </w:rPr>
        <w:t> </w:t>
      </w:r>
      <w:r>
        <w:rPr>
          <w:b/>
          <w:spacing w:val="-10"/>
          <w:sz w:val="21"/>
        </w:rPr>
        <w:t>9</w:t>
      </w:r>
    </w:p>
    <w:p>
      <w:pPr>
        <w:spacing w:before="69"/>
        <w:ind w:left="24" w:right="0" w:firstLine="0"/>
        <w:jc w:val="center"/>
        <w:rPr>
          <w:b/>
          <w:sz w:val="21"/>
        </w:rPr>
      </w:pPr>
      <w:r>
        <w:rPr>
          <w:b/>
          <w:sz w:val="21"/>
        </w:rPr>
        <w:t>Locations</w:t>
      </w:r>
      <w:r>
        <w:rPr>
          <w:b/>
          <w:spacing w:val="11"/>
          <w:sz w:val="21"/>
        </w:rPr>
        <w:t> </w:t>
      </w:r>
      <w:r>
        <w:rPr>
          <w:b/>
          <w:sz w:val="21"/>
        </w:rPr>
        <w:t>for</w:t>
      </w:r>
      <w:r>
        <w:rPr>
          <w:b/>
          <w:spacing w:val="6"/>
          <w:sz w:val="21"/>
        </w:rPr>
        <w:t> </w:t>
      </w:r>
      <w:r>
        <w:rPr>
          <w:b/>
          <w:sz w:val="21"/>
        </w:rPr>
        <w:t>the</w:t>
      </w:r>
      <w:r>
        <w:rPr>
          <w:b/>
          <w:spacing w:val="11"/>
          <w:sz w:val="21"/>
        </w:rPr>
        <w:t> </w:t>
      </w:r>
      <w:r>
        <w:rPr>
          <w:b/>
          <w:sz w:val="21"/>
        </w:rPr>
        <w:t>operation</w:t>
      </w:r>
      <w:r>
        <w:rPr>
          <w:b/>
          <w:spacing w:val="11"/>
          <w:sz w:val="21"/>
        </w:rPr>
        <w:t> </w:t>
      </w:r>
      <w:r>
        <w:rPr>
          <w:b/>
          <w:sz w:val="21"/>
        </w:rPr>
        <w:t>of</w:t>
      </w:r>
      <w:r>
        <w:rPr>
          <w:b/>
          <w:spacing w:val="11"/>
          <w:sz w:val="21"/>
        </w:rPr>
        <w:t> </w:t>
      </w:r>
      <w:r>
        <w:rPr>
          <w:b/>
          <w:spacing w:val="-2"/>
          <w:sz w:val="21"/>
        </w:rPr>
        <w:t>concessions</w:t>
      </w:r>
    </w:p>
    <w:p>
      <w:pPr>
        <w:pStyle w:val="BodyText"/>
        <w:spacing w:before="57"/>
        <w:rPr>
          <w:b/>
          <w:sz w:val="21"/>
        </w:rPr>
      </w:pPr>
    </w:p>
    <w:p>
      <w:pPr>
        <w:spacing w:line="268" w:lineRule="auto" w:before="0"/>
        <w:ind w:left="144" w:right="0" w:firstLine="0"/>
        <w:jc w:val="left"/>
        <w:rPr>
          <w:sz w:val="21"/>
        </w:rPr>
      </w:pPr>
      <w:r>
        <w:rPr>
          <w:i/>
          <w:sz w:val="21"/>
        </w:rPr>
        <w:t>One</w:t>
      </w:r>
      <w:r>
        <w:rPr>
          <w:sz w:val="21"/>
        </w:rPr>
        <w:t>.</w:t>
      </w:r>
      <w:r>
        <w:rPr>
          <w:spacing w:val="26"/>
          <w:sz w:val="21"/>
        </w:rPr>
        <w:t> </w:t>
      </w:r>
      <w:r>
        <w:rPr>
          <w:sz w:val="21"/>
        </w:rPr>
        <w:t>The</w:t>
      </w:r>
      <w:r>
        <w:rPr>
          <w:spacing w:val="30"/>
          <w:sz w:val="21"/>
        </w:rPr>
        <w:t> </w:t>
      </w:r>
      <w:r>
        <w:rPr>
          <w:sz w:val="21"/>
        </w:rPr>
        <w:t>operation</w:t>
      </w:r>
      <w:r>
        <w:rPr>
          <w:spacing w:val="30"/>
          <w:sz w:val="21"/>
        </w:rPr>
        <w:t> </w:t>
      </w:r>
      <w:r>
        <w:rPr>
          <w:sz w:val="21"/>
        </w:rPr>
        <w:t>of</w:t>
      </w:r>
      <w:r>
        <w:rPr>
          <w:spacing w:val="30"/>
          <w:sz w:val="21"/>
        </w:rPr>
        <w:t> </w:t>
      </w:r>
      <w:r>
        <w:rPr>
          <w:sz w:val="21"/>
        </w:rPr>
        <w:t>games</w:t>
      </w:r>
      <w:r>
        <w:rPr>
          <w:spacing w:val="30"/>
          <w:sz w:val="21"/>
        </w:rPr>
        <w:t> </w:t>
      </w:r>
      <w:r>
        <w:rPr>
          <w:sz w:val="21"/>
        </w:rPr>
        <w:t>of</w:t>
      </w:r>
      <w:r>
        <w:rPr>
          <w:spacing w:val="30"/>
          <w:sz w:val="21"/>
        </w:rPr>
        <w:t> </w:t>
      </w:r>
      <w:r>
        <w:rPr>
          <w:sz w:val="21"/>
        </w:rPr>
        <w:t>fortune</w:t>
      </w:r>
      <w:r>
        <w:rPr>
          <w:spacing w:val="30"/>
          <w:sz w:val="21"/>
        </w:rPr>
        <w:t> </w:t>
      </w:r>
      <w:r>
        <w:rPr>
          <w:sz w:val="21"/>
        </w:rPr>
        <w:t>or</w:t>
      </w:r>
      <w:r>
        <w:rPr>
          <w:spacing w:val="30"/>
          <w:sz w:val="21"/>
        </w:rPr>
        <w:t> </w:t>
      </w:r>
      <w:r>
        <w:rPr>
          <w:sz w:val="21"/>
        </w:rPr>
        <w:t>chance</w:t>
      </w:r>
      <w:r>
        <w:rPr>
          <w:spacing w:val="30"/>
          <w:sz w:val="21"/>
        </w:rPr>
        <w:t> </w:t>
      </w:r>
      <w:r>
        <w:rPr>
          <w:sz w:val="21"/>
        </w:rPr>
        <w:t>in</w:t>
      </w:r>
      <w:r>
        <w:rPr>
          <w:spacing w:val="30"/>
          <w:sz w:val="21"/>
        </w:rPr>
        <w:t> </w:t>
      </w:r>
      <w:r>
        <w:rPr>
          <w:sz w:val="21"/>
        </w:rPr>
        <w:t>casinos,</w:t>
      </w:r>
      <w:r>
        <w:rPr>
          <w:spacing w:val="30"/>
          <w:sz w:val="21"/>
        </w:rPr>
        <w:t> </w:t>
      </w:r>
      <w:r>
        <w:rPr>
          <w:sz w:val="21"/>
        </w:rPr>
        <w:t>by</w:t>
      </w:r>
      <w:r>
        <w:rPr>
          <w:spacing w:val="30"/>
          <w:sz w:val="21"/>
        </w:rPr>
        <w:t> </w:t>
      </w:r>
      <w:r>
        <w:rPr>
          <w:sz w:val="21"/>
        </w:rPr>
        <w:t>the</w:t>
      </w:r>
      <w:r>
        <w:rPr>
          <w:spacing w:val="30"/>
          <w:sz w:val="21"/>
        </w:rPr>
        <w:t> </w:t>
      </w:r>
      <w:r>
        <w:rPr>
          <w:sz w:val="21"/>
        </w:rPr>
        <w:t>Concessionaire,</w:t>
      </w:r>
      <w:r>
        <w:rPr>
          <w:spacing w:val="30"/>
          <w:sz w:val="21"/>
        </w:rPr>
        <w:t> </w:t>
      </w:r>
      <w:r>
        <w:rPr>
          <w:sz w:val="21"/>
        </w:rPr>
        <w:t>outside</w:t>
      </w:r>
      <w:r>
        <w:rPr>
          <w:spacing w:val="30"/>
          <w:sz w:val="21"/>
        </w:rPr>
        <w:t> </w:t>
      </w:r>
      <w:r>
        <w:rPr>
          <w:sz w:val="21"/>
        </w:rPr>
        <w:t>the</w:t>
      </w:r>
      <w:r>
        <w:rPr>
          <w:spacing w:val="30"/>
          <w:sz w:val="21"/>
        </w:rPr>
        <w:t> </w:t>
      </w:r>
      <w:r>
        <w:rPr>
          <w:sz w:val="21"/>
        </w:rPr>
        <w:t>casinos,</w:t>
      </w:r>
      <w:r>
        <w:rPr>
          <w:spacing w:val="30"/>
          <w:sz w:val="21"/>
        </w:rPr>
        <w:t> </w:t>
      </w:r>
      <w:r>
        <w:rPr>
          <w:sz w:val="21"/>
        </w:rPr>
        <w:t>as</w:t>
      </w:r>
      <w:r>
        <w:rPr>
          <w:spacing w:val="30"/>
          <w:sz w:val="21"/>
        </w:rPr>
        <w:t> </w:t>
      </w:r>
      <w:r>
        <w:rPr>
          <w:sz w:val="21"/>
        </w:rPr>
        <w:t>referred</w:t>
      </w:r>
      <w:r>
        <w:rPr>
          <w:spacing w:val="30"/>
          <w:sz w:val="21"/>
        </w:rPr>
        <w:t> </w:t>
      </w:r>
      <w:r>
        <w:rPr>
          <w:sz w:val="21"/>
        </w:rPr>
        <w:t>in</w:t>
      </w:r>
      <w:r>
        <w:rPr>
          <w:spacing w:val="30"/>
          <w:sz w:val="21"/>
        </w:rPr>
        <w:t> </w:t>
      </w:r>
      <w:r>
        <w:rPr>
          <w:sz w:val="21"/>
        </w:rPr>
        <w:t>clause</w:t>
      </w:r>
      <w:r>
        <w:rPr>
          <w:spacing w:val="30"/>
          <w:sz w:val="21"/>
        </w:rPr>
        <w:t> </w:t>
      </w:r>
      <w:r>
        <w:rPr>
          <w:sz w:val="21"/>
        </w:rPr>
        <w:t>10, requires prior authorization of the Chief Executive.</w:t>
      </w:r>
    </w:p>
    <w:p>
      <w:pPr>
        <w:pStyle w:val="BodyText"/>
        <w:spacing w:before="211"/>
        <w:rPr>
          <w:sz w:val="21"/>
        </w:rPr>
      </w:pPr>
    </w:p>
    <w:p>
      <w:pPr>
        <w:spacing w:line="213" w:lineRule="auto" w:before="0"/>
        <w:ind w:left="144" w:right="0" w:firstLine="0"/>
        <w:jc w:val="left"/>
        <w:rPr>
          <w:sz w:val="21"/>
        </w:rPr>
      </w:pPr>
      <w:r>
        <w:rPr>
          <w:i/>
          <w:sz w:val="21"/>
        </w:rPr>
        <w:t>Two</w:t>
      </w:r>
      <w:r>
        <w:rPr>
          <w:sz w:val="21"/>
        </w:rPr>
        <w:t>.</w:t>
      </w:r>
      <w:r>
        <w:rPr>
          <w:spacing w:val="14"/>
          <w:sz w:val="21"/>
        </w:rPr>
        <w:t> </w:t>
      </w:r>
      <w:r>
        <w:rPr>
          <w:sz w:val="21"/>
        </w:rPr>
        <w:t>For</w:t>
      </w:r>
      <w:r>
        <w:rPr>
          <w:spacing w:val="14"/>
          <w:sz w:val="21"/>
        </w:rPr>
        <w:t> </w:t>
      </w:r>
      <w:r>
        <w:rPr>
          <w:sz w:val="21"/>
        </w:rPr>
        <w:t>the</w:t>
      </w:r>
      <w:r>
        <w:rPr>
          <w:spacing w:val="14"/>
          <w:sz w:val="21"/>
        </w:rPr>
        <w:t> </w:t>
      </w:r>
      <w:r>
        <w:rPr>
          <w:sz w:val="21"/>
        </w:rPr>
        <w:t>purposes</w:t>
      </w:r>
      <w:r>
        <w:rPr>
          <w:spacing w:val="14"/>
          <w:sz w:val="21"/>
        </w:rPr>
        <w:t> </w:t>
      </w:r>
      <w:r>
        <w:rPr>
          <w:sz w:val="21"/>
        </w:rPr>
        <w:t>of</w:t>
      </w:r>
      <w:r>
        <w:rPr>
          <w:spacing w:val="14"/>
          <w:sz w:val="21"/>
        </w:rPr>
        <w:t> </w:t>
      </w:r>
      <w:r>
        <w:rPr>
          <w:sz w:val="21"/>
        </w:rPr>
        <w:t>the</w:t>
      </w:r>
      <w:r>
        <w:rPr>
          <w:spacing w:val="14"/>
          <w:sz w:val="21"/>
        </w:rPr>
        <w:t> </w:t>
      </w:r>
      <w:r>
        <w:rPr>
          <w:sz w:val="21"/>
        </w:rPr>
        <w:t>preceding</w:t>
      </w:r>
      <w:r>
        <w:rPr>
          <w:spacing w:val="14"/>
          <w:sz w:val="21"/>
        </w:rPr>
        <w:t> </w:t>
      </w:r>
      <w:r>
        <w:rPr>
          <w:sz w:val="21"/>
        </w:rPr>
        <w:t>paragraph,</w:t>
      </w:r>
      <w:r>
        <w:rPr>
          <w:spacing w:val="14"/>
          <w:sz w:val="21"/>
        </w:rPr>
        <w:t> </w:t>
      </w:r>
      <w:r>
        <w:rPr>
          <w:sz w:val="21"/>
        </w:rPr>
        <w:t>the</w:t>
      </w:r>
      <w:r>
        <w:rPr>
          <w:spacing w:val="14"/>
          <w:sz w:val="21"/>
        </w:rPr>
        <w:t> </w:t>
      </w:r>
      <w:r>
        <w:rPr>
          <w:sz w:val="21"/>
        </w:rPr>
        <w:t>Concessionaire</w:t>
      </w:r>
      <w:r>
        <w:rPr>
          <w:spacing w:val="14"/>
          <w:sz w:val="21"/>
        </w:rPr>
        <w:t> </w:t>
      </w:r>
      <w:r>
        <w:rPr>
          <w:sz w:val="21"/>
        </w:rPr>
        <w:t>is</w:t>
      </w:r>
      <w:r>
        <w:rPr>
          <w:spacing w:val="14"/>
          <w:sz w:val="21"/>
        </w:rPr>
        <w:t> </w:t>
      </w:r>
      <w:r>
        <w:rPr>
          <w:sz w:val="21"/>
        </w:rPr>
        <w:t>required</w:t>
      </w:r>
      <w:r>
        <w:rPr>
          <w:spacing w:val="14"/>
          <w:sz w:val="21"/>
        </w:rPr>
        <w:t> </w:t>
      </w:r>
      <w:r>
        <w:rPr>
          <w:sz w:val="21"/>
        </w:rPr>
        <w:t>to</w:t>
      </w:r>
      <w:r>
        <w:rPr>
          <w:spacing w:val="14"/>
          <w:sz w:val="21"/>
        </w:rPr>
        <w:t> </w:t>
      </w:r>
      <w:r>
        <w:rPr>
          <w:sz w:val="21"/>
        </w:rPr>
        <w:t>submit</w:t>
      </w:r>
      <w:r>
        <w:rPr>
          <w:spacing w:val="14"/>
          <w:sz w:val="21"/>
        </w:rPr>
        <w:t> </w:t>
      </w:r>
      <w:r>
        <w:rPr>
          <w:sz w:val="21"/>
        </w:rPr>
        <w:t>the</w:t>
      </w:r>
      <w:r>
        <w:rPr>
          <w:spacing w:val="14"/>
          <w:sz w:val="21"/>
        </w:rPr>
        <w:t> </w:t>
      </w:r>
      <w:r>
        <w:rPr>
          <w:sz w:val="21"/>
        </w:rPr>
        <w:t>application</w:t>
      </w:r>
      <w:r>
        <w:rPr>
          <w:spacing w:val="14"/>
          <w:sz w:val="21"/>
        </w:rPr>
        <w:t> </w:t>
      </w:r>
      <w:r>
        <w:rPr>
          <w:sz w:val="21"/>
        </w:rPr>
        <w:t>under</w:t>
      </w:r>
      <w:r>
        <w:rPr>
          <w:spacing w:val="14"/>
          <w:sz w:val="21"/>
        </w:rPr>
        <w:t> </w:t>
      </w:r>
      <w:r>
        <w:rPr>
          <w:sz w:val="21"/>
        </w:rPr>
        <w:t>Section</w:t>
      </w:r>
      <w:r>
        <w:rPr>
          <w:spacing w:val="14"/>
          <w:sz w:val="21"/>
        </w:rPr>
        <w:t> </w:t>
      </w:r>
      <w:r>
        <w:rPr>
          <w:sz w:val="21"/>
        </w:rPr>
        <w:t>5-A</w:t>
      </w:r>
      <w:r>
        <w:rPr>
          <w:spacing w:val="-1"/>
          <w:sz w:val="21"/>
        </w:rPr>
        <w:t> </w:t>
      </w:r>
      <w:r>
        <w:rPr>
          <w:sz w:val="21"/>
        </w:rPr>
        <w:t>of</w:t>
      </w:r>
      <w:r>
        <w:rPr>
          <w:spacing w:val="14"/>
          <w:sz w:val="21"/>
        </w:rPr>
        <w:t> </w:t>
      </w:r>
      <w:r>
        <w:rPr>
          <w:sz w:val="21"/>
        </w:rPr>
        <w:t>Law No. 16/2001, detailing the specific logistic service areas for the operation of casinos.</w:t>
      </w:r>
    </w:p>
    <w:p>
      <w:pPr>
        <w:pStyle w:val="BodyText"/>
        <w:spacing w:before="152"/>
        <w:rPr>
          <w:sz w:val="21"/>
        </w:rPr>
      </w:pPr>
    </w:p>
    <w:p>
      <w:pPr>
        <w:spacing w:line="213" w:lineRule="auto" w:before="1"/>
        <w:ind w:left="144" w:right="0" w:firstLine="0"/>
        <w:jc w:val="left"/>
        <w:rPr>
          <w:sz w:val="21"/>
        </w:rPr>
      </w:pPr>
      <w:r>
        <w:rPr/>
        <mc:AlternateContent>
          <mc:Choice Requires="wps">
            <w:drawing>
              <wp:anchor distT="0" distB="0" distL="0" distR="0" allowOverlap="1" layoutInCell="1" locked="0" behindDoc="1" simplePos="0" relativeHeight="477807616">
                <wp:simplePos x="0" y="0"/>
                <wp:positionH relativeFrom="page">
                  <wp:posOffset>231457</wp:posOffset>
                </wp:positionH>
                <wp:positionV relativeFrom="paragraph">
                  <wp:posOffset>128568</wp:posOffset>
                </wp:positionV>
                <wp:extent cx="1320165" cy="146050"/>
                <wp:effectExtent l="0" t="0" r="0" b="0"/>
                <wp:wrapNone/>
                <wp:docPr id="811" name="Graphic 811"/>
                <wp:cNvGraphicFramePr>
                  <a:graphicFrameLocks/>
                </wp:cNvGraphicFramePr>
                <a:graphic>
                  <a:graphicData uri="http://schemas.microsoft.com/office/word/2010/wordprocessingShape">
                    <wps:wsp>
                      <wps:cNvPr id="811" name="Graphic 811"/>
                      <wps:cNvSpPr/>
                      <wps:spPr>
                        <a:xfrm>
                          <a:off x="0" y="0"/>
                          <a:ext cx="1320165" cy="146050"/>
                        </a:xfrm>
                        <a:custGeom>
                          <a:avLst/>
                          <a:gdLst/>
                          <a:ahLst/>
                          <a:cxnLst/>
                          <a:rect l="l" t="t" r="r" b="b"/>
                          <a:pathLst>
                            <a:path w="1320165" h="146050">
                              <a:moveTo>
                                <a:pt x="1320164" y="145732"/>
                              </a:moveTo>
                              <a:lnTo>
                                <a:pt x="0" y="145732"/>
                              </a:lnTo>
                              <a:lnTo>
                                <a:pt x="0" y="0"/>
                              </a:lnTo>
                              <a:lnTo>
                                <a:pt x="1320164" y="0"/>
                              </a:lnTo>
                              <a:lnTo>
                                <a:pt x="1320164" y="145732"/>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8.224997pt;margin-top:10.123532pt;width:103.949993pt;height:11.474999pt;mso-position-horizontal-relative:page;mso-position-vertical-relative:paragraph;z-index:-25508864" id="docshape809" filled="true" fillcolor="#ffffff" stroked="false">
                <v:fill type="solid"/>
                <w10:wrap type="none"/>
              </v:rect>
            </w:pict>
          </mc:Fallback>
        </mc:AlternateContent>
      </w:r>
      <w:r>
        <w:rPr>
          <w:i/>
          <w:sz w:val="21"/>
        </w:rPr>
        <w:t>Three</w:t>
      </w:r>
      <w:r>
        <w:rPr>
          <w:sz w:val="21"/>
        </w:rPr>
        <w:t>.</w:t>
      </w:r>
      <w:r>
        <w:rPr>
          <w:spacing w:val="15"/>
          <w:sz w:val="21"/>
        </w:rPr>
        <w:t> </w:t>
      </w:r>
      <w:r>
        <w:rPr>
          <w:sz w:val="21"/>
        </w:rPr>
        <w:t>Casinos</w:t>
      </w:r>
      <w:r>
        <w:rPr>
          <w:spacing w:val="15"/>
          <w:sz w:val="21"/>
        </w:rPr>
        <w:t> </w:t>
      </w:r>
      <w:r>
        <w:rPr>
          <w:sz w:val="21"/>
        </w:rPr>
        <w:t>are</w:t>
      </w:r>
      <w:r>
        <w:rPr>
          <w:spacing w:val="15"/>
          <w:sz w:val="21"/>
        </w:rPr>
        <w:t> </w:t>
      </w:r>
      <w:r>
        <w:rPr>
          <w:sz w:val="21"/>
        </w:rPr>
        <w:t>obliged</w:t>
      </w:r>
      <w:r>
        <w:rPr>
          <w:spacing w:val="15"/>
          <w:sz w:val="21"/>
        </w:rPr>
        <w:t> </w:t>
      </w:r>
      <w:r>
        <w:rPr>
          <w:sz w:val="21"/>
        </w:rPr>
        <w:t>to</w:t>
      </w:r>
      <w:r>
        <w:rPr>
          <w:spacing w:val="15"/>
          <w:sz w:val="21"/>
        </w:rPr>
        <w:t> </w:t>
      </w:r>
      <w:r>
        <w:rPr>
          <w:sz w:val="21"/>
        </w:rPr>
        <w:t>be</w:t>
      </w:r>
      <w:r>
        <w:rPr>
          <w:spacing w:val="15"/>
          <w:sz w:val="21"/>
        </w:rPr>
        <w:t> </w:t>
      </w:r>
      <w:r>
        <w:rPr>
          <w:sz w:val="21"/>
        </w:rPr>
        <w:t>located</w:t>
      </w:r>
      <w:r>
        <w:rPr>
          <w:spacing w:val="15"/>
          <w:sz w:val="21"/>
        </w:rPr>
        <w:t> </w:t>
      </w:r>
      <w:r>
        <w:rPr>
          <w:sz w:val="21"/>
        </w:rPr>
        <w:t>on</w:t>
      </w:r>
      <w:r>
        <w:rPr>
          <w:spacing w:val="15"/>
          <w:sz w:val="21"/>
        </w:rPr>
        <w:t> </w:t>
      </w:r>
      <w:r>
        <w:rPr>
          <w:sz w:val="21"/>
        </w:rPr>
        <w:t>real</w:t>
      </w:r>
      <w:r>
        <w:rPr>
          <w:spacing w:val="15"/>
          <w:sz w:val="21"/>
        </w:rPr>
        <w:t> </w:t>
      </w:r>
      <w:r>
        <w:rPr>
          <w:sz w:val="21"/>
        </w:rPr>
        <w:t>estate</w:t>
      </w:r>
      <w:r>
        <w:rPr>
          <w:spacing w:val="15"/>
          <w:sz w:val="21"/>
        </w:rPr>
        <w:t> </w:t>
      </w:r>
      <w:r>
        <w:rPr>
          <w:sz w:val="21"/>
        </w:rPr>
        <w:t>owned</w:t>
      </w:r>
      <w:r>
        <w:rPr>
          <w:spacing w:val="15"/>
          <w:sz w:val="21"/>
        </w:rPr>
        <w:t> </w:t>
      </w:r>
      <w:r>
        <w:rPr>
          <w:sz w:val="21"/>
        </w:rPr>
        <w:t>by</w:t>
      </w:r>
      <w:r>
        <w:rPr>
          <w:spacing w:val="15"/>
          <w:sz w:val="21"/>
        </w:rPr>
        <w:t> </w:t>
      </w:r>
      <w:r>
        <w:rPr>
          <w:sz w:val="21"/>
        </w:rPr>
        <w:t>the</w:t>
      </w:r>
      <w:r>
        <w:rPr>
          <w:spacing w:val="15"/>
          <w:sz w:val="21"/>
        </w:rPr>
        <w:t> </w:t>
      </w:r>
      <w:r>
        <w:rPr>
          <w:sz w:val="21"/>
        </w:rPr>
        <w:t>Concessionaire,</w:t>
      </w:r>
      <w:r>
        <w:rPr>
          <w:spacing w:val="15"/>
          <w:sz w:val="21"/>
        </w:rPr>
        <w:t> </w:t>
      </w:r>
      <w:r>
        <w:rPr>
          <w:sz w:val="21"/>
        </w:rPr>
        <w:t>expect</w:t>
      </w:r>
      <w:r>
        <w:rPr>
          <w:spacing w:val="15"/>
          <w:sz w:val="21"/>
        </w:rPr>
        <w:t> </w:t>
      </w:r>
      <w:r>
        <w:rPr>
          <w:sz w:val="21"/>
        </w:rPr>
        <w:t>as</w:t>
      </w:r>
      <w:r>
        <w:rPr>
          <w:spacing w:val="15"/>
          <w:sz w:val="21"/>
        </w:rPr>
        <w:t> </w:t>
      </w:r>
      <w:r>
        <w:rPr>
          <w:sz w:val="21"/>
        </w:rPr>
        <w:t>provided</w:t>
      </w:r>
      <w:r>
        <w:rPr>
          <w:spacing w:val="15"/>
          <w:sz w:val="21"/>
        </w:rPr>
        <w:t> </w:t>
      </w:r>
      <w:r>
        <w:rPr>
          <w:sz w:val="21"/>
        </w:rPr>
        <w:t>in</w:t>
      </w:r>
      <w:r>
        <w:rPr>
          <w:spacing w:val="15"/>
          <w:sz w:val="21"/>
        </w:rPr>
        <w:t> </w:t>
      </w:r>
      <w:r>
        <w:rPr>
          <w:sz w:val="21"/>
        </w:rPr>
        <w:t>Section</w:t>
      </w:r>
      <w:r>
        <w:rPr>
          <w:spacing w:val="15"/>
          <w:sz w:val="21"/>
        </w:rPr>
        <w:t> </w:t>
      </w:r>
      <w:r>
        <w:rPr>
          <w:sz w:val="21"/>
        </w:rPr>
        <w:t>5</w:t>
      </w:r>
      <w:r>
        <w:rPr>
          <w:spacing w:val="15"/>
          <w:sz w:val="21"/>
        </w:rPr>
        <w:t> </w:t>
      </w:r>
      <w:r>
        <w:rPr>
          <w:sz w:val="21"/>
        </w:rPr>
        <w:t>(4)</w:t>
      </w:r>
      <w:r>
        <w:rPr>
          <w:spacing w:val="15"/>
          <w:sz w:val="21"/>
        </w:rPr>
        <w:t> </w:t>
      </w:r>
      <w:r>
        <w:rPr>
          <w:sz w:val="21"/>
        </w:rPr>
        <w:t>and</w:t>
      </w:r>
      <w:r>
        <w:rPr>
          <w:spacing w:val="15"/>
          <w:sz w:val="21"/>
        </w:rPr>
        <w:t> </w:t>
      </w:r>
      <w:r>
        <w:rPr>
          <w:sz w:val="21"/>
        </w:rPr>
        <w:t>Section 37 of Law No. 16/2001.</w:t>
      </w:r>
    </w:p>
    <w:p>
      <w:pPr>
        <w:pStyle w:val="BodyText"/>
        <w:spacing w:before="130"/>
        <w:rPr>
          <w:sz w:val="21"/>
        </w:rPr>
      </w:pPr>
    </w:p>
    <w:p>
      <w:pPr>
        <w:spacing w:before="0"/>
        <w:ind w:left="24" w:right="0" w:firstLine="0"/>
        <w:jc w:val="center"/>
        <w:rPr>
          <w:b/>
          <w:sz w:val="21"/>
        </w:rPr>
      </w:pPr>
      <w:r>
        <w:rPr>
          <w:b/>
          <w:sz w:val="21"/>
        </w:rPr>
        <w:t>Clause</w:t>
      </w:r>
      <w:r>
        <w:rPr>
          <w:b/>
          <w:spacing w:val="13"/>
          <w:sz w:val="21"/>
        </w:rPr>
        <w:t> </w:t>
      </w:r>
      <w:r>
        <w:rPr>
          <w:b/>
          <w:spacing w:val="-5"/>
          <w:sz w:val="21"/>
        </w:rPr>
        <w:t>10</w:t>
      </w:r>
    </w:p>
    <w:p>
      <w:pPr>
        <w:spacing w:before="69"/>
        <w:ind w:left="24" w:right="0" w:firstLine="0"/>
        <w:jc w:val="center"/>
        <w:rPr>
          <w:b/>
          <w:sz w:val="21"/>
        </w:rPr>
      </w:pPr>
      <w:r>
        <w:rPr>
          <w:b/>
          <w:sz w:val="21"/>
        </w:rPr>
        <w:t>Authorized</w:t>
      </w:r>
      <w:r>
        <w:rPr>
          <w:b/>
          <w:spacing w:val="10"/>
          <w:sz w:val="21"/>
        </w:rPr>
        <w:t> </w:t>
      </w:r>
      <w:r>
        <w:rPr>
          <w:b/>
          <w:sz w:val="21"/>
        </w:rPr>
        <w:t>sites</w:t>
      </w:r>
      <w:r>
        <w:rPr>
          <w:b/>
          <w:spacing w:val="11"/>
          <w:sz w:val="21"/>
        </w:rPr>
        <w:t> </w:t>
      </w:r>
      <w:r>
        <w:rPr>
          <w:b/>
          <w:sz w:val="21"/>
        </w:rPr>
        <w:t>for</w:t>
      </w:r>
      <w:r>
        <w:rPr>
          <w:b/>
          <w:spacing w:val="5"/>
          <w:sz w:val="21"/>
        </w:rPr>
        <w:t> </w:t>
      </w:r>
      <w:r>
        <w:rPr>
          <w:b/>
          <w:sz w:val="21"/>
        </w:rPr>
        <w:t>the</w:t>
      </w:r>
      <w:r>
        <w:rPr>
          <w:b/>
          <w:spacing w:val="11"/>
          <w:sz w:val="21"/>
        </w:rPr>
        <w:t> </w:t>
      </w:r>
      <w:r>
        <w:rPr>
          <w:b/>
          <w:sz w:val="21"/>
        </w:rPr>
        <w:t>operation</w:t>
      </w:r>
      <w:r>
        <w:rPr>
          <w:b/>
          <w:spacing w:val="10"/>
          <w:sz w:val="21"/>
        </w:rPr>
        <w:t> </w:t>
      </w:r>
      <w:r>
        <w:rPr>
          <w:b/>
          <w:sz w:val="21"/>
        </w:rPr>
        <w:t>of</w:t>
      </w:r>
      <w:r>
        <w:rPr>
          <w:b/>
          <w:spacing w:val="11"/>
          <w:sz w:val="21"/>
        </w:rPr>
        <w:t> </w:t>
      </w:r>
      <w:r>
        <w:rPr>
          <w:b/>
          <w:sz w:val="21"/>
        </w:rPr>
        <w:t>games</w:t>
      </w:r>
      <w:r>
        <w:rPr>
          <w:b/>
          <w:spacing w:val="10"/>
          <w:sz w:val="21"/>
        </w:rPr>
        <w:t> </w:t>
      </w:r>
      <w:r>
        <w:rPr>
          <w:b/>
          <w:sz w:val="21"/>
        </w:rPr>
        <w:t>of</w:t>
      </w:r>
      <w:r>
        <w:rPr>
          <w:b/>
          <w:spacing w:val="11"/>
          <w:sz w:val="21"/>
        </w:rPr>
        <w:t> </w:t>
      </w:r>
      <w:r>
        <w:rPr>
          <w:b/>
          <w:sz w:val="21"/>
        </w:rPr>
        <w:t>fortune</w:t>
      </w:r>
      <w:r>
        <w:rPr>
          <w:b/>
          <w:spacing w:val="10"/>
          <w:sz w:val="21"/>
        </w:rPr>
        <w:t> </w:t>
      </w:r>
      <w:r>
        <w:rPr>
          <w:b/>
          <w:sz w:val="21"/>
        </w:rPr>
        <w:t>and</w:t>
      </w:r>
      <w:r>
        <w:rPr>
          <w:b/>
          <w:spacing w:val="11"/>
          <w:sz w:val="21"/>
        </w:rPr>
        <w:t> </w:t>
      </w:r>
      <w:r>
        <w:rPr>
          <w:b/>
          <w:spacing w:val="-2"/>
          <w:sz w:val="21"/>
        </w:rPr>
        <w:t>chance</w:t>
      </w:r>
    </w:p>
    <w:p>
      <w:pPr>
        <w:pStyle w:val="BodyText"/>
        <w:spacing w:before="125"/>
        <w:rPr>
          <w:b/>
          <w:sz w:val="21"/>
        </w:rPr>
      </w:pPr>
    </w:p>
    <w:p>
      <w:pPr>
        <w:spacing w:before="0"/>
        <w:ind w:left="144" w:right="0" w:firstLine="0"/>
        <w:jc w:val="left"/>
        <w:rPr>
          <w:sz w:val="21"/>
        </w:rPr>
      </w:pPr>
      <w:r>
        <w:rPr>
          <w:sz w:val="21"/>
        </w:rPr>
        <w:t>The</w:t>
      </w:r>
      <w:r>
        <w:rPr>
          <w:spacing w:val="12"/>
          <w:sz w:val="21"/>
        </w:rPr>
        <w:t> </w:t>
      </w:r>
      <w:r>
        <w:rPr>
          <w:sz w:val="21"/>
        </w:rPr>
        <w:t>Concessionaire</w:t>
      </w:r>
      <w:r>
        <w:rPr>
          <w:spacing w:val="12"/>
          <w:sz w:val="21"/>
        </w:rPr>
        <w:t> </w:t>
      </w:r>
      <w:r>
        <w:rPr>
          <w:sz w:val="21"/>
        </w:rPr>
        <w:t>is</w:t>
      </w:r>
      <w:r>
        <w:rPr>
          <w:spacing w:val="12"/>
          <w:sz w:val="21"/>
        </w:rPr>
        <w:t> </w:t>
      </w:r>
      <w:r>
        <w:rPr>
          <w:sz w:val="21"/>
        </w:rPr>
        <w:t>authorized</w:t>
      </w:r>
      <w:r>
        <w:rPr>
          <w:spacing w:val="12"/>
          <w:sz w:val="21"/>
        </w:rPr>
        <w:t> </w:t>
      </w:r>
      <w:r>
        <w:rPr>
          <w:sz w:val="21"/>
        </w:rPr>
        <w:t>to</w:t>
      </w:r>
      <w:r>
        <w:rPr>
          <w:spacing w:val="13"/>
          <w:sz w:val="21"/>
        </w:rPr>
        <w:t> </w:t>
      </w:r>
      <w:r>
        <w:rPr>
          <w:sz w:val="21"/>
        </w:rPr>
        <w:t>operate</w:t>
      </w:r>
      <w:r>
        <w:rPr>
          <w:spacing w:val="12"/>
          <w:sz w:val="21"/>
        </w:rPr>
        <w:t> </w:t>
      </w:r>
      <w:r>
        <w:rPr>
          <w:sz w:val="21"/>
        </w:rPr>
        <w:t>the</w:t>
      </w:r>
      <w:r>
        <w:rPr>
          <w:spacing w:val="12"/>
          <w:sz w:val="21"/>
        </w:rPr>
        <w:t> </w:t>
      </w:r>
      <w:r>
        <w:rPr>
          <w:sz w:val="21"/>
        </w:rPr>
        <w:t>following</w:t>
      </w:r>
      <w:r>
        <w:rPr>
          <w:spacing w:val="12"/>
          <w:sz w:val="21"/>
        </w:rPr>
        <w:t> </w:t>
      </w:r>
      <w:r>
        <w:rPr>
          <w:spacing w:val="-2"/>
          <w:sz w:val="21"/>
        </w:rPr>
        <w:t>casinos:</w:t>
      </w:r>
    </w:p>
    <w:p>
      <w:pPr>
        <w:pStyle w:val="BodyText"/>
        <w:spacing w:before="3"/>
        <w:rPr>
          <w:sz w:val="21"/>
        </w:rPr>
      </w:pPr>
    </w:p>
    <w:p>
      <w:pPr>
        <w:pStyle w:val="ListParagraph"/>
        <w:numPr>
          <w:ilvl w:val="0"/>
          <w:numId w:val="26"/>
        </w:numPr>
        <w:tabs>
          <w:tab w:pos="887" w:val="left" w:leader="none"/>
        </w:tabs>
        <w:spacing w:line="240" w:lineRule="auto" w:before="0" w:after="0"/>
        <w:ind w:left="887" w:right="0" w:hanging="233"/>
        <w:jc w:val="left"/>
        <w:rPr>
          <w:sz w:val="21"/>
        </w:rPr>
      </w:pPr>
      <w:r>
        <w:rPr>
          <w:sz w:val="21"/>
        </w:rPr>
        <w:t>“MGM</w:t>
      </w:r>
      <w:r>
        <w:rPr>
          <w:spacing w:val="13"/>
          <w:sz w:val="21"/>
        </w:rPr>
        <w:t> </w:t>
      </w:r>
      <w:r>
        <w:rPr>
          <w:sz w:val="21"/>
        </w:rPr>
        <w:t>Casino</w:t>
      </w:r>
      <w:r>
        <w:rPr>
          <w:spacing w:val="13"/>
          <w:sz w:val="21"/>
        </w:rPr>
        <w:t> </w:t>
      </w:r>
      <w:r>
        <w:rPr>
          <w:spacing w:val="-2"/>
          <w:sz w:val="21"/>
        </w:rPr>
        <w:t>Macau”;</w:t>
      </w:r>
    </w:p>
    <w:p>
      <w:pPr>
        <w:pStyle w:val="ListParagraph"/>
        <w:numPr>
          <w:ilvl w:val="0"/>
          <w:numId w:val="26"/>
        </w:numPr>
        <w:tabs>
          <w:tab w:pos="887" w:val="left" w:leader="none"/>
        </w:tabs>
        <w:spacing w:line="240" w:lineRule="auto" w:before="109" w:after="0"/>
        <w:ind w:left="887" w:right="0" w:hanging="233"/>
        <w:jc w:val="left"/>
        <w:rPr>
          <w:sz w:val="21"/>
        </w:rPr>
      </w:pPr>
      <w:r>
        <w:rPr>
          <w:sz w:val="21"/>
        </w:rPr>
        <w:t>“MGM</w:t>
      </w:r>
      <w:r>
        <w:rPr>
          <w:spacing w:val="13"/>
          <w:sz w:val="21"/>
        </w:rPr>
        <w:t> </w:t>
      </w:r>
      <w:r>
        <w:rPr>
          <w:sz w:val="21"/>
        </w:rPr>
        <w:t>Casino</w:t>
      </w:r>
      <w:r>
        <w:rPr>
          <w:spacing w:val="13"/>
          <w:sz w:val="21"/>
        </w:rPr>
        <w:t> </w:t>
      </w:r>
      <w:r>
        <w:rPr>
          <w:spacing w:val="-2"/>
          <w:sz w:val="21"/>
        </w:rPr>
        <w:t>Cotai”.</w:t>
      </w:r>
    </w:p>
    <w:p>
      <w:pPr>
        <w:spacing w:before="204"/>
        <w:ind w:left="24" w:right="0" w:firstLine="0"/>
        <w:jc w:val="center"/>
        <w:rPr>
          <w:b/>
          <w:sz w:val="21"/>
        </w:rPr>
      </w:pPr>
      <w:r>
        <w:rPr>
          <w:b/>
          <w:sz w:val="21"/>
        </w:rPr>
        <w:t>Clause</w:t>
      </w:r>
      <w:r>
        <w:rPr>
          <w:b/>
          <w:spacing w:val="13"/>
          <w:sz w:val="21"/>
        </w:rPr>
        <w:t> </w:t>
      </w:r>
      <w:r>
        <w:rPr>
          <w:b/>
          <w:spacing w:val="-5"/>
          <w:sz w:val="21"/>
        </w:rPr>
        <w:t>11</w:t>
      </w:r>
    </w:p>
    <w:p>
      <w:pPr>
        <w:spacing w:before="56"/>
        <w:ind w:left="24" w:right="0" w:firstLine="0"/>
        <w:jc w:val="center"/>
        <w:rPr>
          <w:b/>
          <w:sz w:val="21"/>
        </w:rPr>
      </w:pPr>
      <w:r>
        <w:rPr>
          <w:b/>
          <w:sz w:val="21"/>
        </w:rPr>
        <w:t>Types</w:t>
      </w:r>
      <w:r>
        <w:rPr>
          <w:b/>
          <w:spacing w:val="4"/>
          <w:sz w:val="21"/>
        </w:rPr>
        <w:t> </w:t>
      </w:r>
      <w:r>
        <w:rPr>
          <w:b/>
          <w:sz w:val="21"/>
        </w:rPr>
        <w:t>of</w:t>
      </w:r>
      <w:r>
        <w:rPr>
          <w:b/>
          <w:spacing w:val="4"/>
          <w:sz w:val="21"/>
        </w:rPr>
        <w:t> </w:t>
      </w:r>
      <w:r>
        <w:rPr>
          <w:b/>
          <w:sz w:val="21"/>
        </w:rPr>
        <w:t>games</w:t>
      </w:r>
      <w:r>
        <w:rPr>
          <w:b/>
          <w:spacing w:val="4"/>
          <w:sz w:val="21"/>
        </w:rPr>
        <w:t> </w:t>
      </w:r>
      <w:r>
        <w:rPr>
          <w:b/>
          <w:sz w:val="21"/>
        </w:rPr>
        <w:t>to</w:t>
      </w:r>
      <w:r>
        <w:rPr>
          <w:b/>
          <w:spacing w:val="4"/>
          <w:sz w:val="21"/>
        </w:rPr>
        <w:t> </w:t>
      </w:r>
      <w:r>
        <w:rPr>
          <w:b/>
          <w:sz w:val="21"/>
        </w:rPr>
        <w:t>be</w:t>
      </w:r>
      <w:r>
        <w:rPr>
          <w:b/>
          <w:spacing w:val="5"/>
          <w:sz w:val="21"/>
        </w:rPr>
        <w:t> </w:t>
      </w:r>
      <w:r>
        <w:rPr>
          <w:b/>
          <w:spacing w:val="-2"/>
          <w:sz w:val="21"/>
        </w:rPr>
        <w:t>operated</w:t>
      </w:r>
    </w:p>
    <w:p>
      <w:pPr>
        <w:pStyle w:val="BodyText"/>
        <w:spacing w:before="159"/>
        <w:rPr>
          <w:b/>
          <w:sz w:val="21"/>
        </w:rPr>
      </w:pPr>
    </w:p>
    <w:p>
      <w:pPr>
        <w:spacing w:line="213" w:lineRule="auto" w:before="1"/>
        <w:ind w:left="144" w:right="118" w:firstLine="0"/>
        <w:jc w:val="both"/>
        <w:rPr>
          <w:sz w:val="21"/>
        </w:rPr>
      </w:pPr>
      <w:r>
        <w:rPr>
          <w:i/>
          <w:sz w:val="21"/>
        </w:rPr>
        <w:t>One</w:t>
      </w:r>
      <w:r>
        <w:rPr>
          <w:sz w:val="21"/>
        </w:rPr>
        <w:t>.</w:t>
      </w:r>
      <w:r>
        <w:rPr>
          <w:spacing w:val="37"/>
          <w:sz w:val="21"/>
        </w:rPr>
        <w:t> </w:t>
      </w:r>
      <w:r>
        <w:rPr>
          <w:sz w:val="21"/>
        </w:rPr>
        <w:t>The</w:t>
      </w:r>
      <w:r>
        <w:rPr>
          <w:spacing w:val="40"/>
          <w:sz w:val="21"/>
        </w:rPr>
        <w:t> </w:t>
      </w:r>
      <w:r>
        <w:rPr>
          <w:sz w:val="21"/>
        </w:rPr>
        <w:t>Concessionaire</w:t>
      </w:r>
      <w:r>
        <w:rPr>
          <w:spacing w:val="40"/>
          <w:sz w:val="21"/>
        </w:rPr>
        <w:t> </w:t>
      </w:r>
      <w:r>
        <w:rPr>
          <w:sz w:val="21"/>
        </w:rPr>
        <w:t>is</w:t>
      </w:r>
      <w:r>
        <w:rPr>
          <w:spacing w:val="40"/>
          <w:sz w:val="21"/>
        </w:rPr>
        <w:t> </w:t>
      </w:r>
      <w:r>
        <w:rPr>
          <w:sz w:val="21"/>
        </w:rPr>
        <w:t>authorized</w:t>
      </w:r>
      <w:r>
        <w:rPr>
          <w:spacing w:val="40"/>
          <w:sz w:val="21"/>
        </w:rPr>
        <w:t> </w:t>
      </w:r>
      <w:r>
        <w:rPr>
          <w:sz w:val="21"/>
        </w:rPr>
        <w:t>to</w:t>
      </w:r>
      <w:r>
        <w:rPr>
          <w:spacing w:val="40"/>
          <w:sz w:val="21"/>
        </w:rPr>
        <w:t> </w:t>
      </w:r>
      <w:r>
        <w:rPr>
          <w:sz w:val="21"/>
        </w:rPr>
        <w:t>operate</w:t>
      </w:r>
      <w:r>
        <w:rPr>
          <w:spacing w:val="40"/>
          <w:sz w:val="21"/>
        </w:rPr>
        <w:t> </w:t>
      </w:r>
      <w:r>
        <w:rPr>
          <w:sz w:val="21"/>
        </w:rPr>
        <w:t>the</w:t>
      </w:r>
      <w:r>
        <w:rPr>
          <w:spacing w:val="40"/>
          <w:sz w:val="21"/>
        </w:rPr>
        <w:t> </w:t>
      </w:r>
      <w:r>
        <w:rPr>
          <w:sz w:val="21"/>
        </w:rPr>
        <w:t>types</w:t>
      </w:r>
      <w:r>
        <w:rPr>
          <w:spacing w:val="40"/>
          <w:sz w:val="21"/>
        </w:rPr>
        <w:t> </w:t>
      </w:r>
      <w:r>
        <w:rPr>
          <w:sz w:val="21"/>
        </w:rPr>
        <w:t>of</w:t>
      </w:r>
      <w:r>
        <w:rPr>
          <w:spacing w:val="40"/>
          <w:sz w:val="21"/>
        </w:rPr>
        <w:t> </w:t>
      </w:r>
      <w:r>
        <w:rPr>
          <w:sz w:val="21"/>
        </w:rPr>
        <w:t>games</w:t>
      </w:r>
      <w:r>
        <w:rPr>
          <w:spacing w:val="40"/>
          <w:sz w:val="21"/>
        </w:rPr>
        <w:t> </w:t>
      </w:r>
      <w:r>
        <w:rPr>
          <w:sz w:val="21"/>
        </w:rPr>
        <w:t>of</w:t>
      </w:r>
      <w:r>
        <w:rPr>
          <w:spacing w:val="40"/>
          <w:sz w:val="21"/>
        </w:rPr>
        <w:t> </w:t>
      </w:r>
      <w:r>
        <w:rPr>
          <w:sz w:val="21"/>
        </w:rPr>
        <w:t>fortune</w:t>
      </w:r>
      <w:r>
        <w:rPr>
          <w:spacing w:val="40"/>
          <w:sz w:val="21"/>
        </w:rPr>
        <w:t> </w:t>
      </w:r>
      <w:r>
        <w:rPr>
          <w:sz w:val="21"/>
        </w:rPr>
        <w:t>or</w:t>
      </w:r>
      <w:r>
        <w:rPr>
          <w:spacing w:val="40"/>
          <w:sz w:val="21"/>
        </w:rPr>
        <w:t> </w:t>
      </w:r>
      <w:r>
        <w:rPr>
          <w:sz w:val="21"/>
        </w:rPr>
        <w:t>chance</w:t>
      </w:r>
      <w:r>
        <w:rPr>
          <w:spacing w:val="40"/>
          <w:sz w:val="21"/>
        </w:rPr>
        <w:t> </w:t>
      </w:r>
      <w:r>
        <w:rPr>
          <w:sz w:val="21"/>
        </w:rPr>
        <w:t>referred</w:t>
      </w:r>
      <w:r>
        <w:rPr>
          <w:spacing w:val="40"/>
          <w:sz w:val="21"/>
        </w:rPr>
        <w:t> </w:t>
      </w:r>
      <w:r>
        <w:rPr>
          <w:sz w:val="21"/>
        </w:rPr>
        <w:t>in</w:t>
      </w:r>
      <w:r>
        <w:rPr>
          <w:spacing w:val="40"/>
          <w:sz w:val="21"/>
        </w:rPr>
        <w:t> </w:t>
      </w:r>
      <w:r>
        <w:rPr>
          <w:sz w:val="21"/>
        </w:rPr>
        <w:t>Section</w:t>
      </w:r>
      <w:r>
        <w:rPr>
          <w:spacing w:val="40"/>
          <w:sz w:val="21"/>
        </w:rPr>
        <w:t> </w:t>
      </w:r>
      <w:r>
        <w:rPr>
          <w:sz w:val="21"/>
        </w:rPr>
        <w:t>6</w:t>
      </w:r>
      <w:r>
        <w:rPr>
          <w:spacing w:val="40"/>
          <w:sz w:val="21"/>
        </w:rPr>
        <w:t> </w:t>
      </w:r>
      <w:r>
        <w:rPr>
          <w:sz w:val="21"/>
        </w:rPr>
        <w:t>(2)</w:t>
      </w:r>
      <w:r>
        <w:rPr>
          <w:spacing w:val="40"/>
          <w:sz w:val="21"/>
        </w:rPr>
        <w:t> </w:t>
      </w:r>
      <w:r>
        <w:rPr>
          <w:sz w:val="21"/>
        </w:rPr>
        <w:t>of</w:t>
      </w:r>
      <w:r>
        <w:rPr>
          <w:spacing w:val="40"/>
          <w:sz w:val="21"/>
        </w:rPr>
        <w:t> </w:t>
      </w:r>
      <w:r>
        <w:rPr>
          <w:sz w:val="21"/>
        </w:rPr>
        <w:t>Law</w:t>
      </w:r>
      <w:r>
        <w:rPr>
          <w:spacing w:val="40"/>
          <w:sz w:val="21"/>
        </w:rPr>
        <w:t> </w:t>
      </w:r>
      <w:r>
        <w:rPr>
          <w:sz w:val="21"/>
        </w:rPr>
        <w:t>No. 7/2022,</w:t>
      </w:r>
      <w:r>
        <w:rPr>
          <w:spacing w:val="15"/>
          <w:sz w:val="21"/>
        </w:rPr>
        <w:t> </w:t>
      </w:r>
      <w:r>
        <w:rPr>
          <w:sz w:val="21"/>
        </w:rPr>
        <w:t>as</w:t>
      </w:r>
      <w:r>
        <w:rPr>
          <w:spacing w:val="15"/>
          <w:sz w:val="21"/>
        </w:rPr>
        <w:t> </w:t>
      </w:r>
      <w:r>
        <w:rPr>
          <w:sz w:val="21"/>
        </w:rPr>
        <w:t>well</w:t>
      </w:r>
      <w:r>
        <w:rPr>
          <w:spacing w:val="15"/>
          <w:sz w:val="21"/>
        </w:rPr>
        <w:t> </w:t>
      </w:r>
      <w:r>
        <w:rPr>
          <w:sz w:val="21"/>
        </w:rPr>
        <w:t>as</w:t>
      </w:r>
      <w:r>
        <w:rPr>
          <w:spacing w:val="15"/>
          <w:sz w:val="21"/>
        </w:rPr>
        <w:t> </w:t>
      </w:r>
      <w:r>
        <w:rPr>
          <w:sz w:val="21"/>
        </w:rPr>
        <w:t>all</w:t>
      </w:r>
      <w:r>
        <w:rPr>
          <w:spacing w:val="15"/>
          <w:sz w:val="21"/>
        </w:rPr>
        <w:t> </w:t>
      </w:r>
      <w:r>
        <w:rPr>
          <w:sz w:val="21"/>
        </w:rPr>
        <w:t>types</w:t>
      </w:r>
      <w:r>
        <w:rPr>
          <w:spacing w:val="15"/>
          <w:sz w:val="21"/>
        </w:rPr>
        <w:t> </w:t>
      </w:r>
      <w:r>
        <w:rPr>
          <w:sz w:val="21"/>
        </w:rPr>
        <w:t>of</w:t>
      </w:r>
      <w:r>
        <w:rPr>
          <w:spacing w:val="15"/>
          <w:sz w:val="21"/>
        </w:rPr>
        <w:t> </w:t>
      </w:r>
      <w:r>
        <w:rPr>
          <w:sz w:val="21"/>
        </w:rPr>
        <w:t>games</w:t>
      </w:r>
      <w:r>
        <w:rPr>
          <w:spacing w:val="15"/>
          <w:sz w:val="21"/>
        </w:rPr>
        <w:t> </w:t>
      </w:r>
      <w:r>
        <w:rPr>
          <w:sz w:val="21"/>
        </w:rPr>
        <w:t>of</w:t>
      </w:r>
      <w:r>
        <w:rPr>
          <w:spacing w:val="15"/>
          <w:sz w:val="21"/>
        </w:rPr>
        <w:t> </w:t>
      </w:r>
      <w:r>
        <w:rPr>
          <w:sz w:val="21"/>
        </w:rPr>
        <w:t>fortune</w:t>
      </w:r>
      <w:r>
        <w:rPr>
          <w:spacing w:val="15"/>
          <w:sz w:val="21"/>
        </w:rPr>
        <w:t> </w:t>
      </w:r>
      <w:r>
        <w:rPr>
          <w:sz w:val="21"/>
        </w:rPr>
        <w:t>or</w:t>
      </w:r>
      <w:r>
        <w:rPr>
          <w:spacing w:val="15"/>
          <w:sz w:val="21"/>
        </w:rPr>
        <w:t> </w:t>
      </w:r>
      <w:r>
        <w:rPr>
          <w:sz w:val="21"/>
        </w:rPr>
        <w:t>chance</w:t>
      </w:r>
      <w:r>
        <w:rPr>
          <w:spacing w:val="15"/>
          <w:sz w:val="21"/>
        </w:rPr>
        <w:t> </w:t>
      </w:r>
      <w:r>
        <w:rPr>
          <w:sz w:val="21"/>
        </w:rPr>
        <w:t>authorized</w:t>
      </w:r>
      <w:r>
        <w:rPr>
          <w:spacing w:val="15"/>
          <w:sz w:val="21"/>
        </w:rPr>
        <w:t> </w:t>
      </w:r>
      <w:r>
        <w:rPr>
          <w:sz w:val="21"/>
        </w:rPr>
        <w:t>by</w:t>
      </w:r>
      <w:r>
        <w:rPr>
          <w:spacing w:val="15"/>
          <w:sz w:val="21"/>
        </w:rPr>
        <w:t> </w:t>
      </w:r>
      <w:r>
        <w:rPr>
          <w:sz w:val="21"/>
        </w:rPr>
        <w:t>the</w:t>
      </w:r>
      <w:r>
        <w:rPr>
          <w:spacing w:val="15"/>
          <w:sz w:val="21"/>
        </w:rPr>
        <w:t> </w:t>
      </w:r>
      <w:r>
        <w:rPr>
          <w:sz w:val="21"/>
        </w:rPr>
        <w:t>Secretary</w:t>
      </w:r>
      <w:r>
        <w:rPr>
          <w:spacing w:val="15"/>
          <w:sz w:val="21"/>
        </w:rPr>
        <w:t> </w:t>
      </w:r>
      <w:r>
        <w:rPr>
          <w:sz w:val="21"/>
        </w:rPr>
        <w:t>for</w:t>
      </w:r>
      <w:r>
        <w:rPr>
          <w:spacing w:val="15"/>
          <w:sz w:val="21"/>
        </w:rPr>
        <w:t> </w:t>
      </w:r>
      <w:r>
        <w:rPr>
          <w:sz w:val="21"/>
        </w:rPr>
        <w:t>Economy</w:t>
      </w:r>
      <w:r>
        <w:rPr>
          <w:spacing w:val="15"/>
          <w:sz w:val="21"/>
        </w:rPr>
        <w:t> </w:t>
      </w:r>
      <w:r>
        <w:rPr>
          <w:sz w:val="21"/>
        </w:rPr>
        <w:t>and</w:t>
      </w:r>
      <w:r>
        <w:rPr>
          <w:spacing w:val="15"/>
          <w:sz w:val="21"/>
        </w:rPr>
        <w:t> </w:t>
      </w:r>
      <w:r>
        <w:rPr>
          <w:sz w:val="21"/>
        </w:rPr>
        <w:t>Finance,</w:t>
      </w:r>
      <w:r>
        <w:rPr>
          <w:spacing w:val="15"/>
          <w:sz w:val="21"/>
        </w:rPr>
        <w:t> </w:t>
      </w:r>
      <w:r>
        <w:rPr>
          <w:sz w:val="21"/>
        </w:rPr>
        <w:t>under</w:t>
      </w:r>
      <w:r>
        <w:rPr>
          <w:spacing w:val="15"/>
          <w:sz w:val="21"/>
        </w:rPr>
        <w:t> </w:t>
      </w:r>
      <w:r>
        <w:rPr>
          <w:sz w:val="21"/>
        </w:rPr>
        <w:t>Section</w:t>
      </w:r>
      <w:r>
        <w:rPr>
          <w:spacing w:val="15"/>
          <w:sz w:val="21"/>
        </w:rPr>
        <w:t> </w:t>
      </w:r>
      <w:r>
        <w:rPr>
          <w:sz w:val="21"/>
        </w:rPr>
        <w:t>3</w:t>
      </w:r>
      <w:r>
        <w:rPr>
          <w:spacing w:val="15"/>
          <w:sz w:val="21"/>
        </w:rPr>
        <w:t> </w:t>
      </w:r>
      <w:r>
        <w:rPr>
          <w:sz w:val="21"/>
        </w:rPr>
        <w:t>(4) of Law No. 16/2001.</w:t>
      </w:r>
    </w:p>
    <w:p>
      <w:pPr>
        <w:pStyle w:val="BodyText"/>
        <w:spacing w:before="153"/>
        <w:rPr>
          <w:sz w:val="21"/>
        </w:rPr>
      </w:pPr>
    </w:p>
    <w:p>
      <w:pPr>
        <w:spacing w:line="213" w:lineRule="auto" w:before="0"/>
        <w:ind w:left="144" w:right="118" w:firstLine="0"/>
        <w:jc w:val="both"/>
        <w:rPr>
          <w:sz w:val="21"/>
        </w:rPr>
      </w:pPr>
      <w:r>
        <w:rPr>
          <w:i/>
          <w:sz w:val="21"/>
        </w:rPr>
        <w:t>Two</w:t>
      </w:r>
      <w:r>
        <w:rPr>
          <w:sz w:val="21"/>
        </w:rPr>
        <w:t>. The Concessionaire undertakes to submit annually to the Gaming Inspection and Coordination Bureau, every December, a list</w:t>
      </w:r>
      <w:r>
        <w:rPr>
          <w:spacing w:val="80"/>
          <w:sz w:val="21"/>
        </w:rPr>
        <w:t> </w:t>
      </w:r>
      <w:r>
        <w:rPr>
          <w:sz w:val="21"/>
        </w:rPr>
        <w:t>with</w:t>
      </w:r>
      <w:r>
        <w:rPr>
          <w:spacing w:val="23"/>
          <w:sz w:val="21"/>
        </w:rPr>
        <w:t> </w:t>
      </w:r>
      <w:r>
        <w:rPr>
          <w:sz w:val="21"/>
        </w:rPr>
        <w:t>the</w:t>
      </w:r>
      <w:r>
        <w:rPr>
          <w:spacing w:val="23"/>
          <w:sz w:val="21"/>
        </w:rPr>
        <w:t> </w:t>
      </w:r>
      <w:r>
        <w:rPr>
          <w:sz w:val="21"/>
        </w:rPr>
        <w:t>number</w:t>
      </w:r>
      <w:r>
        <w:rPr>
          <w:spacing w:val="23"/>
          <w:sz w:val="21"/>
        </w:rPr>
        <w:t> </w:t>
      </w:r>
      <w:r>
        <w:rPr>
          <w:sz w:val="21"/>
        </w:rPr>
        <w:t>of</w:t>
      </w:r>
      <w:r>
        <w:rPr>
          <w:spacing w:val="23"/>
          <w:sz w:val="21"/>
        </w:rPr>
        <w:t> </w:t>
      </w:r>
      <w:r>
        <w:rPr>
          <w:sz w:val="21"/>
        </w:rPr>
        <w:t>tables</w:t>
      </w:r>
      <w:r>
        <w:rPr>
          <w:spacing w:val="23"/>
          <w:sz w:val="21"/>
        </w:rPr>
        <w:t> </w:t>
      </w:r>
      <w:r>
        <w:rPr>
          <w:sz w:val="21"/>
        </w:rPr>
        <w:t>and</w:t>
      </w:r>
      <w:r>
        <w:rPr>
          <w:spacing w:val="23"/>
          <w:sz w:val="21"/>
        </w:rPr>
        <w:t> </w:t>
      </w:r>
      <w:r>
        <w:rPr>
          <w:sz w:val="21"/>
        </w:rPr>
        <w:t>slot</w:t>
      </w:r>
      <w:r>
        <w:rPr>
          <w:spacing w:val="23"/>
          <w:sz w:val="21"/>
        </w:rPr>
        <w:t> </w:t>
      </w:r>
      <w:r>
        <w:rPr>
          <w:sz w:val="21"/>
        </w:rPr>
        <w:t>machines</w:t>
      </w:r>
      <w:r>
        <w:rPr>
          <w:spacing w:val="23"/>
          <w:sz w:val="21"/>
        </w:rPr>
        <w:t> </w:t>
      </w:r>
      <w:r>
        <w:rPr>
          <w:sz w:val="21"/>
        </w:rPr>
        <w:t>that</w:t>
      </w:r>
      <w:r>
        <w:rPr>
          <w:spacing w:val="23"/>
          <w:sz w:val="21"/>
        </w:rPr>
        <w:t> </w:t>
      </w:r>
      <w:r>
        <w:rPr>
          <w:sz w:val="21"/>
        </w:rPr>
        <w:t>intends</w:t>
      </w:r>
      <w:r>
        <w:rPr>
          <w:spacing w:val="23"/>
          <w:sz w:val="21"/>
        </w:rPr>
        <w:t> </w:t>
      </w:r>
      <w:r>
        <w:rPr>
          <w:sz w:val="21"/>
        </w:rPr>
        <w:t>to</w:t>
      </w:r>
      <w:r>
        <w:rPr>
          <w:spacing w:val="23"/>
          <w:sz w:val="21"/>
        </w:rPr>
        <w:t> </w:t>
      </w:r>
      <w:r>
        <w:rPr>
          <w:sz w:val="21"/>
        </w:rPr>
        <w:t>operate</w:t>
      </w:r>
      <w:r>
        <w:rPr>
          <w:spacing w:val="23"/>
          <w:sz w:val="21"/>
        </w:rPr>
        <w:t> </w:t>
      </w:r>
      <w:r>
        <w:rPr>
          <w:sz w:val="21"/>
        </w:rPr>
        <w:t>during</w:t>
      </w:r>
      <w:r>
        <w:rPr>
          <w:spacing w:val="23"/>
          <w:sz w:val="21"/>
        </w:rPr>
        <w:t> </w:t>
      </w:r>
      <w:r>
        <w:rPr>
          <w:sz w:val="21"/>
        </w:rPr>
        <w:t>the</w:t>
      </w:r>
      <w:r>
        <w:rPr>
          <w:spacing w:val="23"/>
          <w:sz w:val="21"/>
        </w:rPr>
        <w:t> </w:t>
      </w:r>
      <w:r>
        <w:rPr>
          <w:sz w:val="21"/>
        </w:rPr>
        <w:t>following</w:t>
      </w:r>
      <w:r>
        <w:rPr>
          <w:spacing w:val="23"/>
          <w:sz w:val="21"/>
        </w:rPr>
        <w:t> </w:t>
      </w:r>
      <w:r>
        <w:rPr>
          <w:sz w:val="21"/>
        </w:rPr>
        <w:t>year,</w:t>
      </w:r>
      <w:r>
        <w:rPr>
          <w:spacing w:val="23"/>
          <w:sz w:val="21"/>
        </w:rPr>
        <w:t> </w:t>
      </w:r>
      <w:r>
        <w:rPr>
          <w:sz w:val="21"/>
        </w:rPr>
        <w:t>including</w:t>
      </w:r>
      <w:r>
        <w:rPr>
          <w:spacing w:val="23"/>
          <w:sz w:val="21"/>
        </w:rPr>
        <w:t> </w:t>
      </w:r>
      <w:r>
        <w:rPr>
          <w:sz w:val="21"/>
        </w:rPr>
        <w:t>their</w:t>
      </w:r>
      <w:r>
        <w:rPr>
          <w:spacing w:val="23"/>
          <w:sz w:val="21"/>
        </w:rPr>
        <w:t> </w:t>
      </w:r>
      <w:r>
        <w:rPr>
          <w:sz w:val="21"/>
        </w:rPr>
        <w:t>location</w:t>
      </w:r>
    </w:p>
    <w:p>
      <w:pPr>
        <w:pStyle w:val="BodyText"/>
        <w:spacing w:before="152"/>
        <w:rPr>
          <w:sz w:val="21"/>
        </w:rPr>
      </w:pPr>
    </w:p>
    <w:p>
      <w:pPr>
        <w:spacing w:line="213" w:lineRule="auto" w:before="0"/>
        <w:ind w:left="144" w:right="118" w:firstLine="0"/>
        <w:jc w:val="both"/>
        <w:rPr>
          <w:sz w:val="21"/>
        </w:rPr>
      </w:pPr>
      <w:r>
        <w:rPr>
          <w:i/>
          <w:sz w:val="21"/>
        </w:rPr>
        <w:t>Three</w:t>
      </w:r>
      <w:r>
        <w:rPr>
          <w:sz w:val="21"/>
        </w:rPr>
        <w:t>. The number of gaming tables and slot machines to be operated by the Concessionaire may be changed subject to prior communication to DICJ.</w:t>
      </w:r>
    </w:p>
    <w:p>
      <w:pPr>
        <w:pStyle w:val="BodyText"/>
        <w:spacing w:before="165"/>
        <w:rPr>
          <w:sz w:val="21"/>
        </w:rPr>
      </w:pPr>
    </w:p>
    <w:p>
      <w:pPr>
        <w:spacing w:line="213" w:lineRule="auto" w:before="1"/>
        <w:ind w:left="144" w:right="118" w:firstLine="0"/>
        <w:jc w:val="both"/>
        <w:rPr>
          <w:sz w:val="21"/>
        </w:rPr>
      </w:pPr>
      <w:r>
        <w:rPr>
          <w:i/>
          <w:sz w:val="21"/>
        </w:rPr>
        <w:t>Four</w:t>
      </w:r>
      <w:r>
        <w:rPr>
          <w:sz w:val="21"/>
        </w:rPr>
        <w:t>. The Concessionaire undertakes to maintain and operate a minimum variety of games in its casinos, subject to instructions from </w:t>
      </w:r>
      <w:r>
        <w:rPr>
          <w:spacing w:val="-2"/>
          <w:sz w:val="21"/>
        </w:rPr>
        <w:t>DICJ.</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5"/>
        <w:rPr>
          <w:sz w:val="20"/>
        </w:rPr>
      </w:pPr>
      <w:r>
        <w:rPr/>
        <mc:AlternateContent>
          <mc:Choice Requires="wps">
            <w:drawing>
              <wp:anchor distT="0" distB="0" distL="0" distR="0" allowOverlap="1" layoutInCell="1" locked="0" behindDoc="1" simplePos="0" relativeHeight="487766016">
                <wp:simplePos x="0" y="0"/>
                <wp:positionH relativeFrom="page">
                  <wp:posOffset>231457</wp:posOffset>
                </wp:positionH>
                <wp:positionV relativeFrom="paragraph">
                  <wp:posOffset>247002</wp:posOffset>
                </wp:positionV>
                <wp:extent cx="7312659" cy="17145"/>
                <wp:effectExtent l="0" t="0" r="0" b="0"/>
                <wp:wrapTopAndBottom/>
                <wp:docPr id="812" name="Group 812"/>
                <wp:cNvGraphicFramePr>
                  <a:graphicFrameLocks/>
                </wp:cNvGraphicFramePr>
                <a:graphic>
                  <a:graphicData uri="http://schemas.microsoft.com/office/word/2010/wordprocessingGroup">
                    <wpg:wgp>
                      <wpg:cNvPr id="812" name="Group 812"/>
                      <wpg:cNvGrpSpPr/>
                      <wpg:grpSpPr>
                        <a:xfrm>
                          <a:off x="0" y="0"/>
                          <a:ext cx="7312659" cy="17145"/>
                          <a:chExt cx="7312659" cy="17145"/>
                        </a:xfrm>
                      </wpg:grpSpPr>
                      <wps:wsp>
                        <wps:cNvPr id="813" name="Graphic 81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14" name="Graphic 814"/>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15" name="Graphic 81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9.449024pt;width:575.8pt;height:1.35pt;mso-position-horizontal-relative:page;mso-position-vertical-relative:paragraph;z-index:-15550464;mso-wrap-distance-left:0;mso-wrap-distance-right:0" id="docshapegroup810" coordorigin="364,389" coordsize="11516,27">
                <v:rect style="position:absolute;left:364;top:388;width:11516;height:14" id="docshape811" filled="true" fillcolor="#999999" stroked="false">
                  <v:fill type="solid"/>
                </v:rect>
                <v:shape style="position:absolute;left:364;top:388;width:11516;height:27" id="docshape812" coordorigin="364,389" coordsize="11516,27" path="m11880,389l11866,402,364,402,364,416,11866,416,11880,416,11880,402,11880,389xe" filled="true" fillcolor="#ededed" stroked="false">
                  <v:path arrowok="t"/>
                  <v:fill type="solid"/>
                </v:shape>
                <v:shape style="position:absolute;left:364;top:388;width:14;height:27" id="docshape813" coordorigin="364,389" coordsize="14,27" path="m364,416l364,389,378,389,378,402,364,416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spacing w:before="75"/>
        <w:ind w:left="24" w:right="0" w:firstLine="0"/>
        <w:jc w:val="center"/>
        <w:rPr>
          <w:b/>
          <w:sz w:val="21"/>
        </w:rPr>
      </w:pPr>
      <w:r>
        <w:rPr>
          <w:b/>
          <w:sz w:val="21"/>
        </w:rPr>
        <w:t>Clause</w:t>
      </w:r>
      <w:r>
        <w:rPr>
          <w:b/>
          <w:spacing w:val="13"/>
          <w:sz w:val="21"/>
        </w:rPr>
        <w:t> </w:t>
      </w:r>
      <w:r>
        <w:rPr>
          <w:b/>
          <w:spacing w:val="-5"/>
          <w:sz w:val="21"/>
        </w:rPr>
        <w:t>12</w:t>
      </w:r>
    </w:p>
    <w:p>
      <w:pPr>
        <w:spacing w:before="69"/>
        <w:ind w:left="24" w:right="0" w:firstLine="0"/>
        <w:jc w:val="center"/>
        <w:rPr>
          <w:b/>
          <w:sz w:val="21"/>
        </w:rPr>
      </w:pPr>
      <w:r>
        <w:rPr>
          <w:b/>
          <w:sz w:val="21"/>
        </w:rPr>
        <w:t>Continuous</w:t>
      </w:r>
      <w:r>
        <w:rPr>
          <w:b/>
          <w:spacing w:val="12"/>
          <w:sz w:val="21"/>
        </w:rPr>
        <w:t> </w:t>
      </w:r>
      <w:r>
        <w:rPr>
          <w:b/>
          <w:sz w:val="21"/>
        </w:rPr>
        <w:t>operation</w:t>
      </w:r>
      <w:r>
        <w:rPr>
          <w:b/>
          <w:spacing w:val="13"/>
          <w:sz w:val="21"/>
        </w:rPr>
        <w:t> </w:t>
      </w:r>
      <w:r>
        <w:rPr>
          <w:b/>
          <w:sz w:val="21"/>
        </w:rPr>
        <w:t>of</w:t>
      </w:r>
      <w:r>
        <w:rPr>
          <w:b/>
          <w:spacing w:val="13"/>
          <w:sz w:val="21"/>
        </w:rPr>
        <w:t> </w:t>
      </w:r>
      <w:r>
        <w:rPr>
          <w:b/>
          <w:sz w:val="21"/>
        </w:rPr>
        <w:t>the</w:t>
      </w:r>
      <w:r>
        <w:rPr>
          <w:b/>
          <w:spacing w:val="13"/>
          <w:sz w:val="21"/>
        </w:rPr>
        <w:t> </w:t>
      </w:r>
      <w:r>
        <w:rPr>
          <w:b/>
          <w:spacing w:val="-2"/>
          <w:sz w:val="21"/>
        </w:rPr>
        <w:t>casinos</w:t>
      </w:r>
    </w:p>
    <w:p>
      <w:pPr>
        <w:pStyle w:val="BodyText"/>
        <w:spacing w:before="125"/>
        <w:rPr>
          <w:b/>
          <w:sz w:val="21"/>
        </w:rPr>
      </w:pPr>
    </w:p>
    <w:p>
      <w:pPr>
        <w:spacing w:before="0"/>
        <w:ind w:left="0" w:right="80" w:firstLine="0"/>
        <w:jc w:val="center"/>
        <w:rPr>
          <w:sz w:val="21"/>
        </w:rPr>
      </w:pPr>
      <w:r>
        <w:rPr>
          <w:i/>
          <w:sz w:val="21"/>
        </w:rPr>
        <w:t>One</w:t>
      </w:r>
      <w:r>
        <w:rPr>
          <w:sz w:val="21"/>
        </w:rPr>
        <w:t>.</w:t>
      </w:r>
      <w:r>
        <w:rPr>
          <w:spacing w:val="5"/>
          <w:sz w:val="21"/>
        </w:rPr>
        <w:t> </w:t>
      </w:r>
      <w:r>
        <w:rPr>
          <w:sz w:val="21"/>
        </w:rPr>
        <w:t>The</w:t>
      </w:r>
      <w:r>
        <w:rPr>
          <w:spacing w:val="11"/>
          <w:sz w:val="21"/>
        </w:rPr>
        <w:t> </w:t>
      </w:r>
      <w:r>
        <w:rPr>
          <w:sz w:val="21"/>
        </w:rPr>
        <w:t>Concessionaire</w:t>
      </w:r>
      <w:r>
        <w:rPr>
          <w:spacing w:val="11"/>
          <w:sz w:val="21"/>
        </w:rPr>
        <w:t> </w:t>
      </w:r>
      <w:r>
        <w:rPr>
          <w:sz w:val="21"/>
        </w:rPr>
        <w:t>undertakes</w:t>
      </w:r>
      <w:r>
        <w:rPr>
          <w:spacing w:val="10"/>
          <w:sz w:val="21"/>
        </w:rPr>
        <w:t> </w:t>
      </w:r>
      <w:r>
        <w:rPr>
          <w:sz w:val="21"/>
        </w:rPr>
        <w:t>to</w:t>
      </w:r>
      <w:r>
        <w:rPr>
          <w:spacing w:val="11"/>
          <w:sz w:val="21"/>
        </w:rPr>
        <w:t> </w:t>
      </w:r>
      <w:r>
        <w:rPr>
          <w:sz w:val="21"/>
        </w:rPr>
        <w:t>maintain</w:t>
      </w:r>
      <w:r>
        <w:rPr>
          <w:spacing w:val="11"/>
          <w:sz w:val="21"/>
        </w:rPr>
        <w:t> </w:t>
      </w:r>
      <w:r>
        <w:rPr>
          <w:sz w:val="21"/>
        </w:rPr>
        <w:t>the</w:t>
      </w:r>
      <w:r>
        <w:rPr>
          <w:spacing w:val="10"/>
          <w:sz w:val="21"/>
        </w:rPr>
        <w:t> </w:t>
      </w:r>
      <w:r>
        <w:rPr>
          <w:sz w:val="21"/>
        </w:rPr>
        <w:t>casinos</w:t>
      </w:r>
      <w:r>
        <w:rPr>
          <w:spacing w:val="11"/>
          <w:sz w:val="21"/>
        </w:rPr>
        <w:t> </w:t>
      </w:r>
      <w:r>
        <w:rPr>
          <w:sz w:val="21"/>
        </w:rPr>
        <w:t>open</w:t>
      </w:r>
      <w:r>
        <w:rPr>
          <w:spacing w:val="11"/>
          <w:sz w:val="21"/>
        </w:rPr>
        <w:t> </w:t>
      </w:r>
      <w:r>
        <w:rPr>
          <w:sz w:val="21"/>
        </w:rPr>
        <w:t>every</w:t>
      </w:r>
      <w:r>
        <w:rPr>
          <w:spacing w:val="10"/>
          <w:sz w:val="21"/>
        </w:rPr>
        <w:t> </w:t>
      </w:r>
      <w:r>
        <w:rPr>
          <w:sz w:val="21"/>
        </w:rPr>
        <w:t>day</w:t>
      </w:r>
      <w:r>
        <w:rPr>
          <w:spacing w:val="11"/>
          <w:sz w:val="21"/>
        </w:rPr>
        <w:t> </w:t>
      </w:r>
      <w:r>
        <w:rPr>
          <w:sz w:val="21"/>
        </w:rPr>
        <w:t>of</w:t>
      </w:r>
      <w:r>
        <w:rPr>
          <w:spacing w:val="11"/>
          <w:sz w:val="21"/>
        </w:rPr>
        <w:t> </w:t>
      </w:r>
      <w:r>
        <w:rPr>
          <w:sz w:val="21"/>
        </w:rPr>
        <w:t>the</w:t>
      </w:r>
      <w:r>
        <w:rPr>
          <w:spacing w:val="10"/>
          <w:sz w:val="21"/>
        </w:rPr>
        <w:t> </w:t>
      </w:r>
      <w:r>
        <w:rPr>
          <w:sz w:val="21"/>
        </w:rPr>
        <w:t>year,</w:t>
      </w:r>
      <w:r>
        <w:rPr>
          <w:spacing w:val="11"/>
          <w:sz w:val="21"/>
        </w:rPr>
        <w:t> </w:t>
      </w:r>
      <w:r>
        <w:rPr>
          <w:sz w:val="21"/>
        </w:rPr>
        <w:t>for</w:t>
      </w:r>
      <w:r>
        <w:rPr>
          <w:spacing w:val="11"/>
          <w:sz w:val="21"/>
        </w:rPr>
        <w:t> </w:t>
      </w:r>
      <w:r>
        <w:rPr>
          <w:sz w:val="21"/>
        </w:rPr>
        <w:t>twenty-four</w:t>
      </w:r>
      <w:r>
        <w:rPr>
          <w:spacing w:val="10"/>
          <w:sz w:val="21"/>
        </w:rPr>
        <w:t> </w:t>
      </w:r>
      <w:r>
        <w:rPr>
          <w:sz w:val="21"/>
        </w:rPr>
        <w:t>hours,</w:t>
      </w:r>
      <w:r>
        <w:rPr>
          <w:spacing w:val="11"/>
          <w:sz w:val="21"/>
        </w:rPr>
        <w:t> </w:t>
      </w:r>
      <w:r>
        <w:rPr>
          <w:sz w:val="21"/>
        </w:rPr>
        <w:t>without</w:t>
      </w:r>
      <w:r>
        <w:rPr>
          <w:spacing w:val="11"/>
          <w:sz w:val="21"/>
        </w:rPr>
        <w:t> </w:t>
      </w:r>
      <w:r>
        <w:rPr>
          <w:spacing w:val="-2"/>
          <w:sz w:val="21"/>
        </w:rPr>
        <w:t>interruption.</w:t>
      </w:r>
    </w:p>
    <w:p>
      <w:pPr>
        <w:pStyle w:val="BodyText"/>
        <w:spacing w:before="146"/>
        <w:rPr>
          <w:sz w:val="21"/>
        </w:rPr>
      </w:pPr>
    </w:p>
    <w:p>
      <w:pPr>
        <w:spacing w:line="213" w:lineRule="auto" w:before="0"/>
        <w:ind w:left="144" w:right="118" w:firstLine="0"/>
        <w:jc w:val="both"/>
        <w:rPr>
          <w:sz w:val="21"/>
        </w:rPr>
      </w:pPr>
      <w:r>
        <w:rPr>
          <w:i/>
          <w:sz w:val="21"/>
        </w:rPr>
        <w:t>Two</w:t>
      </w:r>
      <w:r>
        <w:rPr>
          <w:sz w:val="21"/>
        </w:rPr>
        <w:t>. In exceptional cases and at the request of the Chief Executive or with his authorization, the Concessionaire may suspend the operation</w:t>
      </w:r>
      <w:r>
        <w:rPr>
          <w:spacing w:val="22"/>
          <w:sz w:val="21"/>
        </w:rPr>
        <w:t> </w:t>
      </w:r>
      <w:r>
        <w:rPr>
          <w:sz w:val="21"/>
        </w:rPr>
        <w:t>of</w:t>
      </w:r>
      <w:r>
        <w:rPr>
          <w:spacing w:val="22"/>
          <w:sz w:val="21"/>
        </w:rPr>
        <w:t> </w:t>
      </w:r>
      <w:r>
        <w:rPr>
          <w:sz w:val="21"/>
        </w:rPr>
        <w:t>a</w:t>
      </w:r>
      <w:r>
        <w:rPr>
          <w:spacing w:val="22"/>
          <w:sz w:val="21"/>
        </w:rPr>
        <w:t> </w:t>
      </w:r>
      <w:r>
        <w:rPr>
          <w:sz w:val="21"/>
        </w:rPr>
        <w:t>casino</w:t>
      </w:r>
      <w:r>
        <w:rPr>
          <w:spacing w:val="22"/>
          <w:sz w:val="21"/>
        </w:rPr>
        <w:t> </w:t>
      </w:r>
      <w:r>
        <w:rPr>
          <w:sz w:val="21"/>
        </w:rPr>
        <w:t>or</w:t>
      </w:r>
      <w:r>
        <w:rPr>
          <w:spacing w:val="22"/>
          <w:sz w:val="21"/>
        </w:rPr>
        <w:t> </w:t>
      </w:r>
      <w:r>
        <w:rPr>
          <w:sz w:val="21"/>
        </w:rPr>
        <w:t>adjust</w:t>
      </w:r>
      <w:r>
        <w:rPr>
          <w:spacing w:val="22"/>
          <w:sz w:val="21"/>
        </w:rPr>
        <w:t> </w:t>
      </w:r>
      <w:r>
        <w:rPr>
          <w:sz w:val="21"/>
        </w:rPr>
        <w:t>its</w:t>
      </w:r>
      <w:r>
        <w:rPr>
          <w:spacing w:val="22"/>
          <w:sz w:val="21"/>
        </w:rPr>
        <w:t> </w:t>
      </w:r>
      <w:r>
        <w:rPr>
          <w:sz w:val="21"/>
        </w:rPr>
        <w:t>operating</w:t>
      </w:r>
      <w:r>
        <w:rPr>
          <w:spacing w:val="22"/>
          <w:sz w:val="21"/>
        </w:rPr>
        <w:t> </w:t>
      </w:r>
      <w:r>
        <w:rPr>
          <w:sz w:val="21"/>
        </w:rPr>
        <w:t>hours</w:t>
      </w:r>
      <w:r>
        <w:rPr>
          <w:spacing w:val="22"/>
          <w:sz w:val="21"/>
        </w:rPr>
        <w:t> </w:t>
      </w:r>
      <w:r>
        <w:rPr>
          <w:sz w:val="21"/>
        </w:rPr>
        <w:t>-</w:t>
      </w:r>
      <w:r>
        <w:rPr>
          <w:spacing w:val="22"/>
          <w:sz w:val="21"/>
        </w:rPr>
        <w:t> </w:t>
      </w:r>
      <w:r>
        <w:rPr>
          <w:sz w:val="21"/>
        </w:rPr>
        <w:t>the</w:t>
      </w:r>
      <w:r>
        <w:rPr>
          <w:spacing w:val="22"/>
          <w:sz w:val="21"/>
        </w:rPr>
        <w:t> </w:t>
      </w:r>
      <w:r>
        <w:rPr>
          <w:sz w:val="21"/>
        </w:rPr>
        <w:t>Chief</w:t>
      </w:r>
      <w:r>
        <w:rPr>
          <w:spacing w:val="22"/>
          <w:sz w:val="21"/>
        </w:rPr>
        <w:t> </w:t>
      </w:r>
      <w:r>
        <w:rPr>
          <w:sz w:val="21"/>
        </w:rPr>
        <w:t>Executive</w:t>
      </w:r>
      <w:r>
        <w:rPr>
          <w:spacing w:val="22"/>
          <w:sz w:val="21"/>
        </w:rPr>
        <w:t> </w:t>
      </w:r>
      <w:r>
        <w:rPr>
          <w:sz w:val="21"/>
        </w:rPr>
        <w:t>shall</w:t>
      </w:r>
      <w:r>
        <w:rPr>
          <w:spacing w:val="22"/>
          <w:sz w:val="21"/>
        </w:rPr>
        <w:t> </w:t>
      </w:r>
      <w:r>
        <w:rPr>
          <w:sz w:val="21"/>
        </w:rPr>
        <w:t>determine</w:t>
      </w:r>
      <w:r>
        <w:rPr>
          <w:spacing w:val="22"/>
          <w:sz w:val="21"/>
        </w:rPr>
        <w:t> </w:t>
      </w:r>
      <w:r>
        <w:rPr>
          <w:sz w:val="21"/>
        </w:rPr>
        <w:t>when</w:t>
      </w:r>
      <w:r>
        <w:rPr>
          <w:spacing w:val="22"/>
          <w:sz w:val="21"/>
        </w:rPr>
        <w:t> </w:t>
      </w:r>
      <w:r>
        <w:rPr>
          <w:sz w:val="21"/>
        </w:rPr>
        <w:t>the</w:t>
      </w:r>
      <w:r>
        <w:rPr>
          <w:spacing w:val="22"/>
          <w:sz w:val="21"/>
        </w:rPr>
        <w:t> </w:t>
      </w:r>
      <w:r>
        <w:rPr>
          <w:sz w:val="21"/>
        </w:rPr>
        <w:t>casino</w:t>
      </w:r>
      <w:r>
        <w:rPr>
          <w:spacing w:val="22"/>
          <w:sz w:val="21"/>
        </w:rPr>
        <w:t> </w:t>
      </w:r>
      <w:r>
        <w:rPr>
          <w:sz w:val="21"/>
        </w:rPr>
        <w:t>will</w:t>
      </w:r>
      <w:r>
        <w:rPr>
          <w:spacing w:val="22"/>
          <w:sz w:val="21"/>
        </w:rPr>
        <w:t> </w:t>
      </w:r>
      <w:r>
        <w:rPr>
          <w:sz w:val="21"/>
        </w:rPr>
        <w:t>resume</w:t>
      </w:r>
      <w:r>
        <w:rPr>
          <w:spacing w:val="22"/>
          <w:sz w:val="21"/>
        </w:rPr>
        <w:t> </w:t>
      </w:r>
      <w:r>
        <w:rPr>
          <w:sz w:val="21"/>
        </w:rPr>
        <w:t>operations.</w:t>
      </w:r>
    </w:p>
    <w:p>
      <w:pPr>
        <w:pStyle w:val="BodyText"/>
        <w:spacing w:before="165"/>
        <w:rPr>
          <w:sz w:val="21"/>
        </w:rPr>
      </w:pPr>
    </w:p>
    <w:p>
      <w:pPr>
        <w:spacing w:line="213" w:lineRule="auto" w:before="1"/>
        <w:ind w:left="144" w:right="118" w:firstLine="0"/>
        <w:jc w:val="both"/>
        <w:rPr>
          <w:sz w:val="21"/>
        </w:rPr>
      </w:pPr>
      <w:r>
        <w:rPr>
          <w:i/>
          <w:sz w:val="21"/>
        </w:rPr>
        <w:t>Three</w:t>
      </w:r>
      <w:r>
        <w:rPr>
          <w:sz w:val="21"/>
        </w:rPr>
        <w:t>.</w:t>
      </w:r>
      <w:r>
        <w:rPr>
          <w:spacing w:val="31"/>
          <w:sz w:val="21"/>
        </w:rPr>
        <w:t> </w:t>
      </w:r>
      <w:r>
        <w:rPr>
          <w:sz w:val="21"/>
        </w:rPr>
        <w:t>Under</w:t>
      </w:r>
      <w:r>
        <w:rPr>
          <w:spacing w:val="31"/>
          <w:sz w:val="21"/>
        </w:rPr>
        <w:t> </w:t>
      </w:r>
      <w:r>
        <w:rPr>
          <w:sz w:val="21"/>
        </w:rPr>
        <w:t>the</w:t>
      </w:r>
      <w:r>
        <w:rPr>
          <w:spacing w:val="31"/>
          <w:sz w:val="21"/>
        </w:rPr>
        <w:t> </w:t>
      </w:r>
      <w:r>
        <w:rPr>
          <w:sz w:val="21"/>
        </w:rPr>
        <w:t>previous</w:t>
      </w:r>
      <w:r>
        <w:rPr>
          <w:spacing w:val="31"/>
          <w:sz w:val="21"/>
        </w:rPr>
        <w:t> </w:t>
      </w:r>
      <w:r>
        <w:rPr>
          <w:sz w:val="21"/>
        </w:rPr>
        <w:t>paragraph,</w:t>
      </w:r>
      <w:r>
        <w:rPr>
          <w:spacing w:val="31"/>
          <w:sz w:val="21"/>
        </w:rPr>
        <w:t> </w:t>
      </w:r>
      <w:r>
        <w:rPr>
          <w:sz w:val="21"/>
        </w:rPr>
        <w:t>the</w:t>
      </w:r>
      <w:r>
        <w:rPr>
          <w:spacing w:val="31"/>
          <w:sz w:val="21"/>
        </w:rPr>
        <w:t> </w:t>
      </w:r>
      <w:r>
        <w:rPr>
          <w:sz w:val="21"/>
        </w:rPr>
        <w:t>Concessionaire</w:t>
      </w:r>
      <w:r>
        <w:rPr>
          <w:spacing w:val="31"/>
          <w:sz w:val="21"/>
        </w:rPr>
        <w:t> </w:t>
      </w:r>
      <w:r>
        <w:rPr>
          <w:sz w:val="21"/>
        </w:rPr>
        <w:t>shall</w:t>
      </w:r>
      <w:r>
        <w:rPr>
          <w:spacing w:val="31"/>
          <w:sz w:val="21"/>
        </w:rPr>
        <w:t> </w:t>
      </w:r>
      <w:r>
        <w:rPr>
          <w:sz w:val="21"/>
        </w:rPr>
        <w:t>submit</w:t>
      </w:r>
      <w:r>
        <w:rPr>
          <w:spacing w:val="31"/>
          <w:sz w:val="21"/>
        </w:rPr>
        <w:t> </w:t>
      </w:r>
      <w:r>
        <w:rPr>
          <w:sz w:val="21"/>
        </w:rPr>
        <w:t>the</w:t>
      </w:r>
      <w:r>
        <w:rPr>
          <w:spacing w:val="31"/>
          <w:sz w:val="21"/>
        </w:rPr>
        <w:t> </w:t>
      </w:r>
      <w:r>
        <w:rPr>
          <w:sz w:val="21"/>
        </w:rPr>
        <w:t>request</w:t>
      </w:r>
      <w:r>
        <w:rPr>
          <w:spacing w:val="31"/>
          <w:sz w:val="21"/>
        </w:rPr>
        <w:t> </w:t>
      </w:r>
      <w:r>
        <w:rPr>
          <w:sz w:val="21"/>
        </w:rPr>
        <w:t>for</w:t>
      </w:r>
      <w:r>
        <w:rPr>
          <w:spacing w:val="31"/>
          <w:sz w:val="21"/>
        </w:rPr>
        <w:t> </w:t>
      </w:r>
      <w:r>
        <w:rPr>
          <w:sz w:val="21"/>
        </w:rPr>
        <w:t>exceptional</w:t>
      </w:r>
      <w:r>
        <w:rPr>
          <w:spacing w:val="31"/>
          <w:sz w:val="21"/>
        </w:rPr>
        <w:t> </w:t>
      </w:r>
      <w:r>
        <w:rPr>
          <w:sz w:val="21"/>
        </w:rPr>
        <w:t>authorization</w:t>
      </w:r>
      <w:r>
        <w:rPr>
          <w:spacing w:val="31"/>
          <w:sz w:val="21"/>
        </w:rPr>
        <w:t> </w:t>
      </w:r>
      <w:r>
        <w:rPr>
          <w:sz w:val="21"/>
        </w:rPr>
        <w:t>to</w:t>
      </w:r>
      <w:r>
        <w:rPr>
          <w:spacing w:val="31"/>
          <w:sz w:val="21"/>
        </w:rPr>
        <w:t> </w:t>
      </w:r>
      <w:r>
        <w:rPr>
          <w:sz w:val="21"/>
        </w:rPr>
        <w:t>DICJ</w:t>
      </w:r>
      <w:r>
        <w:rPr>
          <w:spacing w:val="31"/>
          <w:sz w:val="21"/>
        </w:rPr>
        <w:t> </w:t>
      </w:r>
      <w:r>
        <w:rPr>
          <w:sz w:val="21"/>
        </w:rPr>
        <w:t>with</w:t>
      </w:r>
      <w:r>
        <w:rPr>
          <w:spacing w:val="31"/>
          <w:sz w:val="21"/>
        </w:rPr>
        <w:t> </w:t>
      </w:r>
      <w:r>
        <w:rPr>
          <w:sz w:val="21"/>
        </w:rPr>
        <w:t>a</w:t>
      </w:r>
      <w:r>
        <w:rPr>
          <w:spacing w:val="31"/>
          <w:sz w:val="21"/>
        </w:rPr>
        <w:t> </w:t>
      </w:r>
      <w:r>
        <w:rPr>
          <w:sz w:val="21"/>
        </w:rPr>
        <w:t>ten days’ notice,</w:t>
      </w:r>
      <w:r>
        <w:rPr>
          <w:spacing w:val="24"/>
          <w:sz w:val="21"/>
        </w:rPr>
        <w:t> </w:t>
      </w:r>
      <w:r>
        <w:rPr>
          <w:sz w:val="21"/>
        </w:rPr>
        <w:t>with</w:t>
      </w:r>
      <w:r>
        <w:rPr>
          <w:spacing w:val="24"/>
          <w:sz w:val="21"/>
        </w:rPr>
        <w:t> </w:t>
      </w:r>
      <w:r>
        <w:rPr>
          <w:sz w:val="21"/>
        </w:rPr>
        <w:t>the</w:t>
      </w:r>
      <w:r>
        <w:rPr>
          <w:spacing w:val="24"/>
          <w:sz w:val="21"/>
        </w:rPr>
        <w:t> </w:t>
      </w:r>
      <w:r>
        <w:rPr>
          <w:sz w:val="21"/>
        </w:rPr>
        <w:t>suspension</w:t>
      </w:r>
      <w:r>
        <w:rPr>
          <w:spacing w:val="24"/>
          <w:sz w:val="21"/>
        </w:rPr>
        <w:t> </w:t>
      </w:r>
      <w:r>
        <w:rPr>
          <w:sz w:val="21"/>
        </w:rPr>
        <w:t>of</w:t>
      </w:r>
      <w:r>
        <w:rPr>
          <w:spacing w:val="24"/>
          <w:sz w:val="21"/>
        </w:rPr>
        <w:t> </w:t>
      </w:r>
      <w:r>
        <w:rPr>
          <w:sz w:val="21"/>
        </w:rPr>
        <w:t>casino</w:t>
      </w:r>
      <w:r>
        <w:rPr>
          <w:spacing w:val="24"/>
          <w:sz w:val="21"/>
        </w:rPr>
        <w:t> </w:t>
      </w:r>
      <w:r>
        <w:rPr>
          <w:sz w:val="21"/>
        </w:rPr>
        <w:t>operations</w:t>
      </w:r>
      <w:r>
        <w:rPr>
          <w:spacing w:val="24"/>
          <w:sz w:val="21"/>
        </w:rPr>
        <w:t> </w:t>
      </w:r>
      <w:r>
        <w:rPr>
          <w:sz w:val="21"/>
        </w:rPr>
        <w:t>to</w:t>
      </w:r>
      <w:r>
        <w:rPr>
          <w:spacing w:val="24"/>
          <w:sz w:val="21"/>
        </w:rPr>
        <w:t> </w:t>
      </w:r>
      <w:r>
        <w:rPr>
          <w:sz w:val="21"/>
        </w:rPr>
        <w:t>be</w:t>
      </w:r>
      <w:r>
        <w:rPr>
          <w:spacing w:val="24"/>
          <w:sz w:val="21"/>
        </w:rPr>
        <w:t> </w:t>
      </w:r>
      <w:r>
        <w:rPr>
          <w:sz w:val="21"/>
        </w:rPr>
        <w:t>posted</w:t>
      </w:r>
      <w:r>
        <w:rPr>
          <w:spacing w:val="24"/>
          <w:sz w:val="21"/>
        </w:rPr>
        <w:t> </w:t>
      </w:r>
      <w:r>
        <w:rPr>
          <w:sz w:val="21"/>
        </w:rPr>
        <w:t>at</w:t>
      </w:r>
      <w:r>
        <w:rPr>
          <w:spacing w:val="24"/>
          <w:sz w:val="21"/>
        </w:rPr>
        <w:t> </w:t>
      </w:r>
      <w:r>
        <w:rPr>
          <w:sz w:val="21"/>
        </w:rPr>
        <w:t>the</w:t>
      </w:r>
      <w:r>
        <w:rPr>
          <w:spacing w:val="24"/>
          <w:sz w:val="21"/>
        </w:rPr>
        <w:t> </w:t>
      </w:r>
      <w:r>
        <w:rPr>
          <w:sz w:val="21"/>
        </w:rPr>
        <w:t>entrance</w:t>
      </w:r>
      <w:r>
        <w:rPr>
          <w:spacing w:val="24"/>
          <w:sz w:val="21"/>
        </w:rPr>
        <w:t> </w:t>
      </w:r>
      <w:r>
        <w:rPr>
          <w:sz w:val="21"/>
        </w:rPr>
        <w:t>of</w:t>
      </w:r>
      <w:r>
        <w:rPr>
          <w:spacing w:val="24"/>
          <w:sz w:val="21"/>
        </w:rPr>
        <w:t> </w:t>
      </w:r>
      <w:r>
        <w:rPr>
          <w:sz w:val="21"/>
        </w:rPr>
        <w:t>the</w:t>
      </w:r>
      <w:r>
        <w:rPr>
          <w:spacing w:val="24"/>
          <w:sz w:val="21"/>
        </w:rPr>
        <w:t> </w:t>
      </w:r>
      <w:r>
        <w:rPr>
          <w:sz w:val="21"/>
        </w:rPr>
        <w:t>casinos.</w:t>
      </w:r>
    </w:p>
    <w:p>
      <w:pPr>
        <w:pStyle w:val="BodyText"/>
        <w:spacing w:before="152"/>
        <w:rPr>
          <w:sz w:val="21"/>
        </w:rPr>
      </w:pPr>
    </w:p>
    <w:p>
      <w:pPr>
        <w:spacing w:line="213" w:lineRule="auto" w:before="0"/>
        <w:ind w:left="144" w:right="118" w:firstLine="0"/>
        <w:jc w:val="both"/>
        <w:rPr>
          <w:sz w:val="21"/>
        </w:rPr>
      </w:pPr>
      <w:r>
        <w:rPr>
          <w:i/>
          <w:sz w:val="21"/>
        </w:rPr>
        <w:t>Four</w:t>
      </w:r>
      <w:r>
        <w:rPr>
          <w:sz w:val="21"/>
        </w:rPr>
        <w:t>. The authorization referred in paragraph </w:t>
      </w:r>
      <w:r>
        <w:rPr>
          <w:i/>
          <w:sz w:val="21"/>
        </w:rPr>
        <w:t>two </w:t>
      </w:r>
      <w:r>
        <w:rPr>
          <w:sz w:val="21"/>
        </w:rPr>
        <w:t>may be waived in urgent situations, namely those arising from a serious </w:t>
      </w:r>
      <w:r>
        <w:rPr>
          <w:sz w:val="21"/>
        </w:rPr>
        <w:t>accident, catastrophe</w:t>
      </w:r>
      <w:r>
        <w:rPr>
          <w:spacing w:val="20"/>
          <w:sz w:val="21"/>
        </w:rPr>
        <w:t> </w:t>
      </w:r>
      <w:r>
        <w:rPr>
          <w:sz w:val="21"/>
        </w:rPr>
        <w:t>or</w:t>
      </w:r>
      <w:r>
        <w:rPr>
          <w:spacing w:val="20"/>
          <w:sz w:val="21"/>
        </w:rPr>
        <w:t> </w:t>
      </w:r>
      <w:r>
        <w:rPr>
          <w:sz w:val="21"/>
        </w:rPr>
        <w:t>natural</w:t>
      </w:r>
      <w:r>
        <w:rPr>
          <w:spacing w:val="20"/>
          <w:sz w:val="21"/>
        </w:rPr>
        <w:t> </w:t>
      </w:r>
      <w:r>
        <w:rPr>
          <w:sz w:val="21"/>
        </w:rPr>
        <w:t>calamity,</w:t>
      </w:r>
      <w:r>
        <w:rPr>
          <w:spacing w:val="20"/>
          <w:sz w:val="21"/>
        </w:rPr>
        <w:t> </w:t>
      </w:r>
      <w:r>
        <w:rPr>
          <w:sz w:val="21"/>
        </w:rPr>
        <w:t>which</w:t>
      </w:r>
      <w:r>
        <w:rPr>
          <w:spacing w:val="20"/>
          <w:sz w:val="21"/>
        </w:rPr>
        <w:t> </w:t>
      </w:r>
      <w:r>
        <w:rPr>
          <w:sz w:val="21"/>
        </w:rPr>
        <w:t>would</w:t>
      </w:r>
      <w:r>
        <w:rPr>
          <w:spacing w:val="20"/>
          <w:sz w:val="21"/>
        </w:rPr>
        <w:t> </w:t>
      </w:r>
      <w:r>
        <w:rPr>
          <w:sz w:val="21"/>
        </w:rPr>
        <w:t>entail</w:t>
      </w:r>
      <w:r>
        <w:rPr>
          <w:spacing w:val="20"/>
          <w:sz w:val="21"/>
        </w:rPr>
        <w:t> </w:t>
      </w:r>
      <w:r>
        <w:rPr>
          <w:sz w:val="21"/>
        </w:rPr>
        <w:t>serious</w:t>
      </w:r>
      <w:r>
        <w:rPr>
          <w:spacing w:val="20"/>
          <w:sz w:val="21"/>
        </w:rPr>
        <w:t> </w:t>
      </w:r>
      <w:r>
        <w:rPr>
          <w:sz w:val="21"/>
        </w:rPr>
        <w:t>risk</w:t>
      </w:r>
      <w:r>
        <w:rPr>
          <w:spacing w:val="20"/>
          <w:sz w:val="21"/>
        </w:rPr>
        <w:t> </w:t>
      </w:r>
      <w:r>
        <w:rPr>
          <w:sz w:val="21"/>
        </w:rPr>
        <w:t>to</w:t>
      </w:r>
      <w:r>
        <w:rPr>
          <w:spacing w:val="20"/>
          <w:sz w:val="21"/>
        </w:rPr>
        <w:t> </w:t>
      </w:r>
      <w:r>
        <w:rPr>
          <w:sz w:val="21"/>
        </w:rPr>
        <w:t>the</w:t>
      </w:r>
      <w:r>
        <w:rPr>
          <w:spacing w:val="20"/>
          <w:sz w:val="21"/>
        </w:rPr>
        <w:t> </w:t>
      </w:r>
      <w:r>
        <w:rPr>
          <w:sz w:val="21"/>
        </w:rPr>
        <w:t>safety</w:t>
      </w:r>
      <w:r>
        <w:rPr>
          <w:spacing w:val="20"/>
          <w:sz w:val="21"/>
        </w:rPr>
        <w:t> </w:t>
      </w:r>
      <w:r>
        <w:rPr>
          <w:sz w:val="21"/>
        </w:rPr>
        <w:t>of</w:t>
      </w:r>
      <w:r>
        <w:rPr>
          <w:spacing w:val="20"/>
          <w:sz w:val="21"/>
        </w:rPr>
        <w:t> </w:t>
      </w:r>
      <w:r>
        <w:rPr>
          <w:sz w:val="21"/>
        </w:rPr>
        <w:t>people,</w:t>
      </w:r>
      <w:r>
        <w:rPr>
          <w:spacing w:val="20"/>
          <w:sz w:val="21"/>
        </w:rPr>
        <w:t> </w:t>
      </w:r>
      <w:r>
        <w:rPr>
          <w:sz w:val="21"/>
        </w:rPr>
        <w:t>being</w:t>
      </w:r>
      <w:r>
        <w:rPr>
          <w:spacing w:val="20"/>
          <w:sz w:val="21"/>
        </w:rPr>
        <w:t> </w:t>
      </w:r>
      <w:r>
        <w:rPr>
          <w:sz w:val="21"/>
        </w:rPr>
        <w:t>however</w:t>
      </w:r>
      <w:r>
        <w:rPr>
          <w:spacing w:val="20"/>
          <w:sz w:val="21"/>
        </w:rPr>
        <w:t> </w:t>
      </w:r>
      <w:r>
        <w:rPr>
          <w:sz w:val="21"/>
        </w:rPr>
        <w:t>required</w:t>
      </w:r>
      <w:r>
        <w:rPr>
          <w:spacing w:val="20"/>
          <w:sz w:val="21"/>
        </w:rPr>
        <w:t> </w:t>
      </w:r>
      <w:r>
        <w:rPr>
          <w:sz w:val="21"/>
        </w:rPr>
        <w:t>the</w:t>
      </w:r>
      <w:r>
        <w:rPr>
          <w:spacing w:val="20"/>
          <w:sz w:val="21"/>
        </w:rPr>
        <w:t> </w:t>
      </w:r>
      <w:r>
        <w:rPr>
          <w:sz w:val="21"/>
        </w:rPr>
        <w:t>consent</w:t>
      </w:r>
      <w:r>
        <w:rPr>
          <w:spacing w:val="20"/>
          <w:sz w:val="21"/>
        </w:rPr>
        <w:t> </w:t>
      </w:r>
      <w:r>
        <w:rPr>
          <w:sz w:val="21"/>
        </w:rPr>
        <w:t>of</w:t>
      </w:r>
      <w:r>
        <w:rPr>
          <w:spacing w:val="20"/>
          <w:sz w:val="21"/>
        </w:rPr>
        <w:t> </w:t>
      </w:r>
      <w:r>
        <w:rPr>
          <w:sz w:val="21"/>
        </w:rPr>
        <w:t>DICJ to the suspension and resumption of the casino’s operation.</w:t>
      </w:r>
    </w:p>
    <w:p>
      <w:pPr>
        <w:pStyle w:val="BodyText"/>
        <w:spacing w:before="153"/>
        <w:rPr>
          <w:sz w:val="21"/>
        </w:rPr>
      </w:pPr>
    </w:p>
    <w:p>
      <w:pPr>
        <w:spacing w:line="213" w:lineRule="auto" w:before="0"/>
        <w:ind w:left="144" w:right="118" w:firstLine="0"/>
        <w:jc w:val="both"/>
        <w:rPr>
          <w:sz w:val="21"/>
        </w:rPr>
      </w:pPr>
      <w:r>
        <w:rPr>
          <w:i/>
          <w:sz w:val="21"/>
        </w:rPr>
        <w:t>Five</w:t>
      </w:r>
      <w:r>
        <w:rPr>
          <w:sz w:val="21"/>
        </w:rPr>
        <w:t>.</w:t>
      </w:r>
      <w:r>
        <w:rPr>
          <w:spacing w:val="25"/>
          <w:sz w:val="21"/>
        </w:rPr>
        <w:t> </w:t>
      </w:r>
      <w:r>
        <w:rPr>
          <w:sz w:val="21"/>
        </w:rPr>
        <w:t>For</w:t>
      </w:r>
      <w:r>
        <w:rPr>
          <w:spacing w:val="25"/>
          <w:sz w:val="21"/>
        </w:rPr>
        <w:t> </w:t>
      </w:r>
      <w:r>
        <w:rPr>
          <w:sz w:val="21"/>
        </w:rPr>
        <w:t>liaison</w:t>
      </w:r>
      <w:r>
        <w:rPr>
          <w:spacing w:val="25"/>
          <w:sz w:val="21"/>
        </w:rPr>
        <w:t> </w:t>
      </w:r>
      <w:r>
        <w:rPr>
          <w:sz w:val="21"/>
        </w:rPr>
        <w:t>with</w:t>
      </w:r>
      <w:r>
        <w:rPr>
          <w:spacing w:val="25"/>
          <w:sz w:val="21"/>
        </w:rPr>
        <w:t> </w:t>
      </w:r>
      <w:r>
        <w:rPr>
          <w:sz w:val="21"/>
        </w:rPr>
        <w:t>DICJ,</w:t>
      </w:r>
      <w:r>
        <w:rPr>
          <w:spacing w:val="25"/>
          <w:sz w:val="21"/>
        </w:rPr>
        <w:t> </w:t>
      </w:r>
      <w:r>
        <w:rPr>
          <w:sz w:val="21"/>
        </w:rPr>
        <w:t>the</w:t>
      </w:r>
      <w:r>
        <w:rPr>
          <w:spacing w:val="25"/>
          <w:sz w:val="21"/>
        </w:rPr>
        <w:t> </w:t>
      </w:r>
      <w:r>
        <w:rPr>
          <w:sz w:val="21"/>
        </w:rPr>
        <w:t>Concessionaire</w:t>
      </w:r>
      <w:r>
        <w:rPr>
          <w:spacing w:val="25"/>
          <w:sz w:val="21"/>
        </w:rPr>
        <w:t> </w:t>
      </w:r>
      <w:r>
        <w:rPr>
          <w:sz w:val="21"/>
        </w:rPr>
        <w:t>undertakes</w:t>
      </w:r>
      <w:r>
        <w:rPr>
          <w:spacing w:val="25"/>
          <w:sz w:val="21"/>
        </w:rPr>
        <w:t> </w:t>
      </w:r>
      <w:r>
        <w:rPr>
          <w:sz w:val="21"/>
        </w:rPr>
        <w:t>to</w:t>
      </w:r>
      <w:r>
        <w:rPr>
          <w:spacing w:val="25"/>
          <w:sz w:val="21"/>
        </w:rPr>
        <w:t> </w:t>
      </w:r>
      <w:r>
        <w:rPr>
          <w:sz w:val="21"/>
        </w:rPr>
        <w:t>create</w:t>
      </w:r>
      <w:r>
        <w:rPr>
          <w:spacing w:val="25"/>
          <w:sz w:val="21"/>
        </w:rPr>
        <w:t> </w:t>
      </w:r>
      <w:r>
        <w:rPr>
          <w:sz w:val="21"/>
        </w:rPr>
        <w:t>a</w:t>
      </w:r>
      <w:r>
        <w:rPr>
          <w:spacing w:val="25"/>
          <w:sz w:val="21"/>
        </w:rPr>
        <w:t> </w:t>
      </w:r>
      <w:r>
        <w:rPr>
          <w:sz w:val="21"/>
        </w:rPr>
        <w:t>special</w:t>
      </w:r>
      <w:r>
        <w:rPr>
          <w:spacing w:val="25"/>
          <w:sz w:val="21"/>
        </w:rPr>
        <w:t> </w:t>
      </w:r>
      <w:r>
        <w:rPr>
          <w:sz w:val="21"/>
        </w:rPr>
        <w:t>communication</w:t>
      </w:r>
      <w:r>
        <w:rPr>
          <w:spacing w:val="25"/>
          <w:sz w:val="21"/>
        </w:rPr>
        <w:t> </w:t>
      </w:r>
      <w:r>
        <w:rPr>
          <w:sz w:val="21"/>
        </w:rPr>
        <w:t>mechanism</w:t>
      </w:r>
      <w:r>
        <w:rPr>
          <w:spacing w:val="25"/>
          <w:sz w:val="21"/>
        </w:rPr>
        <w:t> </w:t>
      </w:r>
      <w:r>
        <w:rPr>
          <w:sz w:val="21"/>
        </w:rPr>
        <w:t>for</w:t>
      </w:r>
      <w:r>
        <w:rPr>
          <w:spacing w:val="25"/>
          <w:sz w:val="21"/>
        </w:rPr>
        <w:t> </w:t>
      </w:r>
      <w:r>
        <w:rPr>
          <w:sz w:val="21"/>
        </w:rPr>
        <w:t>emergency</w:t>
      </w:r>
      <w:r>
        <w:rPr>
          <w:spacing w:val="25"/>
          <w:sz w:val="21"/>
        </w:rPr>
        <w:t> </w:t>
      </w:r>
      <w:r>
        <w:rPr>
          <w:sz w:val="21"/>
        </w:rPr>
        <w:t>situations, that</w:t>
      </w:r>
      <w:r>
        <w:rPr>
          <w:spacing w:val="24"/>
          <w:sz w:val="21"/>
        </w:rPr>
        <w:t> </w:t>
      </w:r>
      <w:r>
        <w:rPr>
          <w:sz w:val="21"/>
        </w:rPr>
        <w:t>will</w:t>
      </w:r>
      <w:r>
        <w:rPr>
          <w:spacing w:val="24"/>
          <w:sz w:val="21"/>
        </w:rPr>
        <w:t> </w:t>
      </w:r>
      <w:r>
        <w:rPr>
          <w:sz w:val="21"/>
        </w:rPr>
        <w:t>operate</w:t>
      </w:r>
      <w:r>
        <w:rPr>
          <w:spacing w:val="24"/>
          <w:sz w:val="21"/>
        </w:rPr>
        <w:t> </w:t>
      </w:r>
      <w:r>
        <w:rPr>
          <w:sz w:val="21"/>
        </w:rPr>
        <w:t>twenty-four</w:t>
      </w:r>
      <w:r>
        <w:rPr>
          <w:spacing w:val="24"/>
          <w:sz w:val="21"/>
        </w:rPr>
        <w:t> </w:t>
      </w:r>
      <w:r>
        <w:rPr>
          <w:sz w:val="21"/>
        </w:rPr>
        <w:t>hours</w:t>
      </w:r>
      <w:r>
        <w:rPr>
          <w:spacing w:val="24"/>
          <w:sz w:val="21"/>
        </w:rPr>
        <w:t> </w:t>
      </w:r>
      <w:r>
        <w:rPr>
          <w:sz w:val="21"/>
        </w:rPr>
        <w:t>a</w:t>
      </w:r>
      <w:r>
        <w:rPr>
          <w:spacing w:val="24"/>
          <w:sz w:val="21"/>
        </w:rPr>
        <w:t> </w:t>
      </w:r>
      <w:r>
        <w:rPr>
          <w:sz w:val="21"/>
        </w:rPr>
        <w:t>day,</w:t>
      </w:r>
      <w:r>
        <w:rPr>
          <w:spacing w:val="24"/>
          <w:sz w:val="21"/>
        </w:rPr>
        <w:t> </w:t>
      </w:r>
      <w:r>
        <w:rPr>
          <w:sz w:val="21"/>
        </w:rPr>
        <w:t>ensuring</w:t>
      </w:r>
      <w:r>
        <w:rPr>
          <w:spacing w:val="24"/>
          <w:sz w:val="21"/>
        </w:rPr>
        <w:t> </w:t>
      </w:r>
      <w:r>
        <w:rPr>
          <w:sz w:val="21"/>
        </w:rPr>
        <w:t>that</w:t>
      </w:r>
      <w:r>
        <w:rPr>
          <w:spacing w:val="24"/>
          <w:sz w:val="21"/>
        </w:rPr>
        <w:t> </w:t>
      </w:r>
      <w:r>
        <w:rPr>
          <w:sz w:val="21"/>
        </w:rPr>
        <w:t>such</w:t>
      </w:r>
      <w:r>
        <w:rPr>
          <w:spacing w:val="24"/>
          <w:sz w:val="21"/>
        </w:rPr>
        <w:t> </w:t>
      </w:r>
      <w:r>
        <w:rPr>
          <w:sz w:val="21"/>
        </w:rPr>
        <w:t>channel</w:t>
      </w:r>
      <w:r>
        <w:rPr>
          <w:spacing w:val="24"/>
          <w:sz w:val="21"/>
        </w:rPr>
        <w:t> </w:t>
      </w:r>
      <w:r>
        <w:rPr>
          <w:sz w:val="21"/>
        </w:rPr>
        <w:t>is</w:t>
      </w:r>
      <w:r>
        <w:rPr>
          <w:spacing w:val="24"/>
          <w:sz w:val="21"/>
        </w:rPr>
        <w:t> </w:t>
      </w:r>
      <w:r>
        <w:rPr>
          <w:sz w:val="21"/>
        </w:rPr>
        <w:t>maintained</w:t>
      </w:r>
      <w:r>
        <w:rPr>
          <w:spacing w:val="24"/>
          <w:sz w:val="21"/>
        </w:rPr>
        <w:t> </w:t>
      </w:r>
      <w:r>
        <w:rPr>
          <w:sz w:val="21"/>
        </w:rPr>
        <w:t>with</w:t>
      </w:r>
      <w:r>
        <w:rPr>
          <w:spacing w:val="24"/>
          <w:sz w:val="21"/>
        </w:rPr>
        <w:t> </w:t>
      </w:r>
      <w:r>
        <w:rPr>
          <w:sz w:val="21"/>
        </w:rPr>
        <w:t>DICJ</w:t>
      </w:r>
      <w:r>
        <w:rPr>
          <w:spacing w:val="24"/>
          <w:sz w:val="21"/>
        </w:rPr>
        <w:t> </w:t>
      </w:r>
      <w:r>
        <w:rPr>
          <w:sz w:val="21"/>
        </w:rPr>
        <w:t>and</w:t>
      </w:r>
      <w:r>
        <w:rPr>
          <w:spacing w:val="24"/>
          <w:sz w:val="21"/>
        </w:rPr>
        <w:t> </w:t>
      </w:r>
      <w:r>
        <w:rPr>
          <w:sz w:val="21"/>
        </w:rPr>
        <w:t>the</w:t>
      </w:r>
      <w:r>
        <w:rPr>
          <w:spacing w:val="24"/>
          <w:sz w:val="21"/>
        </w:rPr>
        <w:t> </w:t>
      </w:r>
      <w:r>
        <w:rPr>
          <w:sz w:val="21"/>
        </w:rPr>
        <w:t>other</w:t>
      </w:r>
      <w:r>
        <w:rPr>
          <w:spacing w:val="24"/>
          <w:sz w:val="21"/>
        </w:rPr>
        <w:t> </w:t>
      </w:r>
      <w:r>
        <w:rPr>
          <w:sz w:val="21"/>
        </w:rPr>
        <w:t>Concessionaires.</w:t>
      </w:r>
    </w:p>
    <w:p>
      <w:pPr>
        <w:pStyle w:val="BodyText"/>
        <w:spacing w:before="144"/>
        <w:rPr>
          <w:sz w:val="21"/>
        </w:rPr>
      </w:pPr>
    </w:p>
    <w:p>
      <w:pPr>
        <w:spacing w:before="0"/>
        <w:ind w:left="24" w:right="0" w:firstLine="0"/>
        <w:jc w:val="center"/>
        <w:rPr>
          <w:b/>
          <w:sz w:val="21"/>
        </w:rPr>
      </w:pPr>
      <w:r>
        <w:rPr>
          <w:b/>
          <w:sz w:val="21"/>
        </w:rPr>
        <w:t>Clause</w:t>
      </w:r>
      <w:r>
        <w:rPr>
          <w:b/>
          <w:spacing w:val="13"/>
          <w:sz w:val="21"/>
        </w:rPr>
        <w:t> </w:t>
      </w:r>
      <w:r>
        <w:rPr>
          <w:b/>
          <w:spacing w:val="-5"/>
          <w:sz w:val="21"/>
        </w:rPr>
        <w:t>13</w:t>
      </w:r>
    </w:p>
    <w:p>
      <w:pPr>
        <w:spacing w:before="56"/>
        <w:ind w:left="24" w:right="0" w:firstLine="0"/>
        <w:jc w:val="center"/>
        <w:rPr>
          <w:b/>
          <w:sz w:val="21"/>
        </w:rPr>
      </w:pPr>
      <w:r>
        <w:rPr>
          <w:b/>
          <w:sz w:val="21"/>
        </w:rPr>
        <w:t>Electronic</w:t>
      </w:r>
      <w:r>
        <w:rPr>
          <w:b/>
          <w:spacing w:val="13"/>
          <w:sz w:val="21"/>
        </w:rPr>
        <w:t> </w:t>
      </w:r>
      <w:r>
        <w:rPr>
          <w:b/>
          <w:sz w:val="21"/>
        </w:rPr>
        <w:t>surveillance</w:t>
      </w:r>
      <w:r>
        <w:rPr>
          <w:b/>
          <w:spacing w:val="14"/>
          <w:sz w:val="21"/>
        </w:rPr>
        <w:t> </w:t>
      </w:r>
      <w:r>
        <w:rPr>
          <w:b/>
          <w:sz w:val="21"/>
        </w:rPr>
        <w:t>and</w:t>
      </w:r>
      <w:r>
        <w:rPr>
          <w:b/>
          <w:spacing w:val="14"/>
          <w:sz w:val="21"/>
        </w:rPr>
        <w:t> </w:t>
      </w:r>
      <w:r>
        <w:rPr>
          <w:b/>
          <w:sz w:val="21"/>
        </w:rPr>
        <w:t>control</w:t>
      </w:r>
      <w:r>
        <w:rPr>
          <w:b/>
          <w:spacing w:val="14"/>
          <w:sz w:val="21"/>
        </w:rPr>
        <w:t> </w:t>
      </w:r>
      <w:r>
        <w:rPr>
          <w:b/>
          <w:spacing w:val="-2"/>
          <w:sz w:val="21"/>
        </w:rPr>
        <w:t>equipment</w:t>
      </w:r>
    </w:p>
    <w:p>
      <w:pPr>
        <w:pStyle w:val="BodyText"/>
        <w:spacing w:before="146"/>
        <w:rPr>
          <w:b/>
          <w:sz w:val="21"/>
        </w:rPr>
      </w:pPr>
    </w:p>
    <w:p>
      <w:pPr>
        <w:spacing w:line="213" w:lineRule="auto" w:before="0"/>
        <w:ind w:left="144" w:right="118" w:firstLine="0"/>
        <w:jc w:val="both"/>
        <w:rPr>
          <w:sz w:val="21"/>
        </w:rPr>
      </w:pPr>
      <w:r>
        <w:rPr>
          <w:i/>
          <w:sz w:val="21"/>
        </w:rPr>
        <w:t>One</w:t>
      </w:r>
      <w:r>
        <w:rPr>
          <w:sz w:val="21"/>
        </w:rPr>
        <w:t>. The Concessionaire undertakes to install in the casinos electronic surveillance and control equipment of high </w:t>
      </w:r>
      <w:r>
        <w:rPr>
          <w:sz w:val="21"/>
        </w:rPr>
        <w:t>international</w:t>
      </w:r>
      <w:r>
        <w:rPr>
          <w:spacing w:val="80"/>
          <w:w w:val="150"/>
          <w:sz w:val="21"/>
        </w:rPr>
        <w:t> </w:t>
      </w:r>
      <w:r>
        <w:rPr>
          <w:sz w:val="21"/>
        </w:rPr>
        <w:t>standard as approved by DICJ. To this end, the Concessionaire shall send a written request to DICJ identifying the equipment to be installed</w:t>
      </w:r>
      <w:r>
        <w:rPr>
          <w:spacing w:val="26"/>
          <w:sz w:val="21"/>
        </w:rPr>
        <w:t> </w:t>
      </w:r>
      <w:r>
        <w:rPr>
          <w:sz w:val="21"/>
        </w:rPr>
        <w:t>and</w:t>
      </w:r>
      <w:r>
        <w:rPr>
          <w:spacing w:val="26"/>
          <w:sz w:val="21"/>
        </w:rPr>
        <w:t> </w:t>
      </w:r>
      <w:r>
        <w:rPr>
          <w:sz w:val="21"/>
        </w:rPr>
        <w:t>enclosing</w:t>
      </w:r>
      <w:r>
        <w:rPr>
          <w:spacing w:val="26"/>
          <w:sz w:val="21"/>
        </w:rPr>
        <w:t> </w:t>
      </w:r>
      <w:r>
        <w:rPr>
          <w:sz w:val="21"/>
        </w:rPr>
        <w:t>the</w:t>
      </w:r>
      <w:r>
        <w:rPr>
          <w:spacing w:val="26"/>
          <w:sz w:val="21"/>
        </w:rPr>
        <w:t> </w:t>
      </w:r>
      <w:r>
        <w:rPr>
          <w:sz w:val="21"/>
        </w:rPr>
        <w:t>relevant</w:t>
      </w:r>
      <w:r>
        <w:rPr>
          <w:spacing w:val="26"/>
          <w:sz w:val="21"/>
        </w:rPr>
        <w:t> </w:t>
      </w:r>
      <w:r>
        <w:rPr>
          <w:sz w:val="21"/>
        </w:rPr>
        <w:t>technical</w:t>
      </w:r>
      <w:r>
        <w:rPr>
          <w:spacing w:val="26"/>
          <w:sz w:val="21"/>
        </w:rPr>
        <w:t> </w:t>
      </w:r>
      <w:r>
        <w:rPr>
          <w:sz w:val="21"/>
        </w:rPr>
        <w:t>specifications.</w:t>
      </w:r>
      <w:r>
        <w:rPr>
          <w:spacing w:val="26"/>
          <w:sz w:val="21"/>
        </w:rPr>
        <w:t> </w:t>
      </w:r>
      <w:r>
        <w:rPr>
          <w:sz w:val="21"/>
        </w:rPr>
        <w:t>However,</w:t>
      </w:r>
      <w:r>
        <w:rPr>
          <w:spacing w:val="26"/>
          <w:sz w:val="21"/>
        </w:rPr>
        <w:t> </w:t>
      </w:r>
      <w:r>
        <w:rPr>
          <w:sz w:val="21"/>
        </w:rPr>
        <w:t>DICJ</w:t>
      </w:r>
      <w:r>
        <w:rPr>
          <w:spacing w:val="26"/>
          <w:sz w:val="21"/>
        </w:rPr>
        <w:t> </w:t>
      </w:r>
      <w:r>
        <w:rPr>
          <w:sz w:val="21"/>
        </w:rPr>
        <w:t>may,</w:t>
      </w:r>
      <w:r>
        <w:rPr>
          <w:spacing w:val="26"/>
          <w:sz w:val="21"/>
        </w:rPr>
        <w:t> </w:t>
      </w:r>
      <w:r>
        <w:rPr>
          <w:sz w:val="21"/>
        </w:rPr>
        <w:t>at</w:t>
      </w:r>
      <w:r>
        <w:rPr>
          <w:spacing w:val="26"/>
          <w:sz w:val="21"/>
        </w:rPr>
        <w:t> </w:t>
      </w:r>
      <w:r>
        <w:rPr>
          <w:sz w:val="21"/>
        </w:rPr>
        <w:t>any</w:t>
      </w:r>
      <w:r>
        <w:rPr>
          <w:spacing w:val="26"/>
          <w:sz w:val="21"/>
        </w:rPr>
        <w:t> </w:t>
      </w:r>
      <w:r>
        <w:rPr>
          <w:sz w:val="21"/>
        </w:rPr>
        <w:t>time,</w:t>
      </w:r>
      <w:r>
        <w:rPr>
          <w:spacing w:val="26"/>
          <w:sz w:val="21"/>
        </w:rPr>
        <w:t> </w:t>
      </w:r>
      <w:r>
        <w:rPr>
          <w:sz w:val="21"/>
        </w:rPr>
        <w:t>request</w:t>
      </w:r>
      <w:r>
        <w:rPr>
          <w:spacing w:val="26"/>
          <w:sz w:val="21"/>
        </w:rPr>
        <w:t> </w:t>
      </w:r>
      <w:r>
        <w:rPr>
          <w:sz w:val="21"/>
        </w:rPr>
        <w:t>the</w:t>
      </w:r>
      <w:r>
        <w:rPr>
          <w:spacing w:val="26"/>
          <w:sz w:val="21"/>
        </w:rPr>
        <w:t> </w:t>
      </w:r>
      <w:r>
        <w:rPr>
          <w:sz w:val="21"/>
        </w:rPr>
        <w:t>submission</w:t>
      </w:r>
      <w:r>
        <w:rPr>
          <w:spacing w:val="26"/>
          <w:sz w:val="21"/>
        </w:rPr>
        <w:t> </w:t>
      </w:r>
      <w:r>
        <w:rPr>
          <w:sz w:val="21"/>
        </w:rPr>
        <w:t>of</w:t>
      </w:r>
      <w:r>
        <w:rPr>
          <w:spacing w:val="26"/>
          <w:sz w:val="21"/>
        </w:rPr>
        <w:t> </w:t>
      </w:r>
      <w:r>
        <w:rPr>
          <w:sz w:val="21"/>
        </w:rPr>
        <w:t>specimens or samples of the referred equipment to be submitted.</w:t>
      </w:r>
    </w:p>
    <w:p>
      <w:pPr>
        <w:pStyle w:val="BodyText"/>
        <w:spacing w:before="167"/>
        <w:rPr>
          <w:sz w:val="21"/>
        </w:rPr>
      </w:pPr>
    </w:p>
    <w:p>
      <w:pPr>
        <w:spacing w:line="213" w:lineRule="auto" w:before="1"/>
        <w:ind w:left="144" w:right="118" w:firstLine="0"/>
        <w:jc w:val="both"/>
        <w:rPr>
          <w:sz w:val="21"/>
        </w:rPr>
      </w:pPr>
      <w:r>
        <w:rPr>
          <w:i/>
          <w:sz w:val="21"/>
        </w:rPr>
        <w:t>Two</w:t>
      </w:r>
      <w:r>
        <w:rPr>
          <w:sz w:val="21"/>
        </w:rPr>
        <w:t>. The Concessionaire also undertakes to install electronic surveillance and control equipment, approved by DICJ, in other areas adjacent to casinos or places of access or connection to casinos, when so requested.</w:t>
      </w:r>
    </w:p>
    <w:p>
      <w:pPr>
        <w:pStyle w:val="BodyText"/>
        <w:spacing w:before="152"/>
        <w:rPr>
          <w:sz w:val="21"/>
        </w:rPr>
      </w:pPr>
    </w:p>
    <w:p>
      <w:pPr>
        <w:spacing w:line="213" w:lineRule="auto" w:before="0"/>
        <w:ind w:left="144" w:right="118" w:firstLine="0"/>
        <w:jc w:val="both"/>
        <w:rPr>
          <w:sz w:val="21"/>
        </w:rPr>
      </w:pPr>
      <w:r>
        <w:rPr>
          <w:i/>
          <w:sz w:val="21"/>
        </w:rPr>
        <w:t>Three</w:t>
      </w:r>
      <w:r>
        <w:rPr>
          <w:sz w:val="21"/>
        </w:rPr>
        <w:t>. The Concessionaire undertakes to install new electronic surveillance and control equipment, approved by DICJ, whenever requested</w:t>
      </w:r>
      <w:r>
        <w:rPr>
          <w:spacing w:val="27"/>
          <w:sz w:val="21"/>
        </w:rPr>
        <w:t> </w:t>
      </w:r>
      <w:r>
        <w:rPr>
          <w:sz w:val="21"/>
        </w:rPr>
        <w:t>to,</w:t>
      </w:r>
      <w:r>
        <w:rPr>
          <w:spacing w:val="27"/>
          <w:sz w:val="21"/>
        </w:rPr>
        <w:t> </w:t>
      </w:r>
      <w:r>
        <w:rPr>
          <w:sz w:val="21"/>
        </w:rPr>
        <w:t>namely</w:t>
      </w:r>
      <w:r>
        <w:rPr>
          <w:spacing w:val="27"/>
          <w:sz w:val="21"/>
        </w:rPr>
        <w:t> </w:t>
      </w:r>
      <w:r>
        <w:rPr>
          <w:sz w:val="21"/>
        </w:rPr>
        <w:t>to</w:t>
      </w:r>
      <w:r>
        <w:rPr>
          <w:spacing w:val="27"/>
          <w:sz w:val="21"/>
        </w:rPr>
        <w:t> </w:t>
      </w:r>
      <w:r>
        <w:rPr>
          <w:sz w:val="21"/>
        </w:rPr>
        <w:t>maintain</w:t>
      </w:r>
      <w:r>
        <w:rPr>
          <w:spacing w:val="27"/>
          <w:sz w:val="21"/>
        </w:rPr>
        <w:t> </w:t>
      </w:r>
      <w:r>
        <w:rPr>
          <w:sz w:val="21"/>
        </w:rPr>
        <w:t>the</w:t>
      </w:r>
      <w:r>
        <w:rPr>
          <w:spacing w:val="27"/>
          <w:sz w:val="21"/>
        </w:rPr>
        <w:t> </w:t>
      </w:r>
      <w:r>
        <w:rPr>
          <w:sz w:val="21"/>
        </w:rPr>
        <w:t>high</w:t>
      </w:r>
      <w:r>
        <w:rPr>
          <w:spacing w:val="27"/>
          <w:sz w:val="21"/>
        </w:rPr>
        <w:t> </w:t>
      </w:r>
      <w:r>
        <w:rPr>
          <w:sz w:val="21"/>
        </w:rPr>
        <w:t>international</w:t>
      </w:r>
      <w:r>
        <w:rPr>
          <w:spacing w:val="27"/>
          <w:sz w:val="21"/>
        </w:rPr>
        <w:t> </w:t>
      </w:r>
      <w:r>
        <w:rPr>
          <w:sz w:val="21"/>
        </w:rPr>
        <w:t>standard,</w:t>
      </w:r>
      <w:r>
        <w:rPr>
          <w:spacing w:val="27"/>
          <w:sz w:val="21"/>
        </w:rPr>
        <w:t> </w:t>
      </w:r>
      <w:r>
        <w:rPr>
          <w:sz w:val="21"/>
        </w:rPr>
        <w:t>as</w:t>
      </w:r>
      <w:r>
        <w:rPr>
          <w:spacing w:val="27"/>
          <w:sz w:val="21"/>
        </w:rPr>
        <w:t> </w:t>
      </w:r>
      <w:r>
        <w:rPr>
          <w:sz w:val="21"/>
        </w:rPr>
        <w:t>referred</w:t>
      </w:r>
      <w:r>
        <w:rPr>
          <w:spacing w:val="27"/>
          <w:sz w:val="21"/>
        </w:rPr>
        <w:t> </w:t>
      </w:r>
      <w:r>
        <w:rPr>
          <w:sz w:val="21"/>
        </w:rPr>
        <w:t>to</w:t>
      </w:r>
      <w:r>
        <w:rPr>
          <w:spacing w:val="27"/>
          <w:sz w:val="21"/>
        </w:rPr>
        <w:t> </w:t>
      </w:r>
      <w:r>
        <w:rPr>
          <w:sz w:val="21"/>
        </w:rPr>
        <w:t>in</w:t>
      </w:r>
      <w:r>
        <w:rPr>
          <w:spacing w:val="27"/>
          <w:sz w:val="21"/>
        </w:rPr>
        <w:t> </w:t>
      </w:r>
      <w:r>
        <w:rPr>
          <w:sz w:val="21"/>
        </w:rPr>
        <w:t>paragraph</w:t>
      </w:r>
      <w:r>
        <w:rPr>
          <w:spacing w:val="27"/>
          <w:sz w:val="21"/>
        </w:rPr>
        <w:t> </w:t>
      </w:r>
      <w:r>
        <w:rPr>
          <w:i/>
          <w:sz w:val="21"/>
        </w:rPr>
        <w:t>one</w:t>
      </w:r>
      <w:r>
        <w:rPr>
          <w:sz w:val="21"/>
        </w:rPr>
        <w:t>.</w:t>
      </w:r>
    </w:p>
    <w:p>
      <w:pPr>
        <w:pStyle w:val="BodyText"/>
        <w:spacing w:before="71"/>
        <w:rPr>
          <w:sz w:val="21"/>
        </w:rPr>
      </w:pPr>
    </w:p>
    <w:p>
      <w:pPr>
        <w:spacing w:line="213" w:lineRule="auto" w:before="0"/>
        <w:ind w:left="144" w:right="219" w:firstLine="0"/>
        <w:jc w:val="both"/>
        <w:rPr>
          <w:sz w:val="21"/>
        </w:rPr>
      </w:pPr>
      <w:r>
        <w:rPr>
          <w:i/>
          <w:sz w:val="21"/>
        </w:rPr>
        <w:t>Four</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report</w:t>
      </w:r>
      <w:r>
        <w:rPr>
          <w:spacing w:val="40"/>
          <w:sz w:val="21"/>
        </w:rPr>
        <w:t> </w:t>
      </w:r>
      <w:r>
        <w:rPr>
          <w:sz w:val="21"/>
        </w:rPr>
        <w:t>to</w:t>
      </w:r>
      <w:r>
        <w:rPr>
          <w:spacing w:val="40"/>
          <w:sz w:val="21"/>
        </w:rPr>
        <w:t> </w:t>
      </w:r>
      <w:r>
        <w:rPr>
          <w:sz w:val="21"/>
        </w:rPr>
        <w:t>the</w:t>
      </w:r>
      <w:r>
        <w:rPr>
          <w:spacing w:val="40"/>
          <w:sz w:val="21"/>
        </w:rPr>
        <w:t> </w:t>
      </w:r>
      <w:r>
        <w:rPr>
          <w:sz w:val="21"/>
        </w:rPr>
        <w:t>relevant</w:t>
      </w:r>
      <w:r>
        <w:rPr>
          <w:spacing w:val="40"/>
          <w:sz w:val="21"/>
        </w:rPr>
        <w:t> </w:t>
      </w:r>
      <w:r>
        <w:rPr>
          <w:sz w:val="21"/>
        </w:rPr>
        <w:t>public</w:t>
      </w:r>
      <w:r>
        <w:rPr>
          <w:spacing w:val="40"/>
          <w:sz w:val="21"/>
        </w:rPr>
        <w:t> </w:t>
      </w:r>
      <w:r>
        <w:rPr>
          <w:sz w:val="21"/>
        </w:rPr>
        <w:t>authorities,</w:t>
      </w:r>
      <w:r>
        <w:rPr>
          <w:spacing w:val="40"/>
          <w:sz w:val="21"/>
        </w:rPr>
        <w:t> </w:t>
      </w:r>
      <w:r>
        <w:rPr>
          <w:sz w:val="21"/>
        </w:rPr>
        <w:t>as</w:t>
      </w:r>
      <w:r>
        <w:rPr>
          <w:spacing w:val="40"/>
          <w:sz w:val="21"/>
        </w:rPr>
        <w:t> </w:t>
      </w:r>
      <w:r>
        <w:rPr>
          <w:sz w:val="21"/>
        </w:rPr>
        <w:t>soon</w:t>
      </w:r>
      <w:r>
        <w:rPr>
          <w:spacing w:val="40"/>
          <w:sz w:val="21"/>
        </w:rPr>
        <w:t> </w:t>
      </w:r>
      <w:r>
        <w:rPr>
          <w:sz w:val="21"/>
        </w:rPr>
        <w:t>as</w:t>
      </w:r>
      <w:r>
        <w:rPr>
          <w:spacing w:val="40"/>
          <w:sz w:val="21"/>
        </w:rPr>
        <w:t> </w:t>
      </w:r>
      <w:r>
        <w:rPr>
          <w:sz w:val="21"/>
        </w:rPr>
        <w:t>possible,</w:t>
      </w:r>
      <w:r>
        <w:rPr>
          <w:spacing w:val="40"/>
          <w:sz w:val="21"/>
        </w:rPr>
        <w:t> </w:t>
      </w:r>
      <w:r>
        <w:rPr>
          <w:sz w:val="21"/>
        </w:rPr>
        <w:t>any</w:t>
      </w:r>
      <w:r>
        <w:rPr>
          <w:spacing w:val="40"/>
          <w:sz w:val="21"/>
        </w:rPr>
        <w:t> </w:t>
      </w:r>
      <w:r>
        <w:rPr>
          <w:sz w:val="21"/>
        </w:rPr>
        <w:t>acts</w:t>
      </w:r>
      <w:r>
        <w:rPr>
          <w:spacing w:val="40"/>
          <w:sz w:val="21"/>
        </w:rPr>
        <w:t> </w:t>
      </w:r>
      <w:r>
        <w:rPr>
          <w:sz w:val="21"/>
        </w:rPr>
        <w:t>or</w:t>
      </w:r>
      <w:r>
        <w:rPr>
          <w:spacing w:val="40"/>
          <w:sz w:val="21"/>
        </w:rPr>
        <w:t> </w:t>
      </w:r>
      <w:r>
        <w:rPr>
          <w:sz w:val="21"/>
        </w:rPr>
        <w:t>facts</w:t>
      </w:r>
      <w:r>
        <w:rPr>
          <w:spacing w:val="40"/>
          <w:sz w:val="21"/>
        </w:rPr>
        <w:t> </w:t>
      </w:r>
      <w:r>
        <w:rPr>
          <w:sz w:val="21"/>
        </w:rPr>
        <w:t>which constitute</w:t>
      </w:r>
      <w:r>
        <w:rPr>
          <w:spacing w:val="34"/>
          <w:sz w:val="21"/>
        </w:rPr>
        <w:t> </w:t>
      </w:r>
      <w:r>
        <w:rPr>
          <w:sz w:val="21"/>
        </w:rPr>
        <w:t>a</w:t>
      </w:r>
      <w:r>
        <w:rPr>
          <w:spacing w:val="34"/>
          <w:sz w:val="21"/>
        </w:rPr>
        <w:t> </w:t>
      </w:r>
      <w:r>
        <w:rPr>
          <w:sz w:val="21"/>
        </w:rPr>
        <w:t>crime,</w:t>
      </w:r>
      <w:r>
        <w:rPr>
          <w:spacing w:val="34"/>
          <w:sz w:val="21"/>
        </w:rPr>
        <w:t> </w:t>
      </w:r>
      <w:r>
        <w:rPr>
          <w:sz w:val="21"/>
        </w:rPr>
        <w:t>contravention</w:t>
      </w:r>
      <w:r>
        <w:rPr>
          <w:spacing w:val="34"/>
          <w:sz w:val="21"/>
        </w:rPr>
        <w:t> </w:t>
      </w:r>
      <w:r>
        <w:rPr>
          <w:sz w:val="21"/>
        </w:rPr>
        <w:t>or</w:t>
      </w:r>
      <w:r>
        <w:rPr>
          <w:spacing w:val="34"/>
          <w:sz w:val="21"/>
        </w:rPr>
        <w:t> </w:t>
      </w:r>
      <w:r>
        <w:rPr>
          <w:sz w:val="21"/>
        </w:rPr>
        <w:t>administrative</w:t>
      </w:r>
      <w:r>
        <w:rPr>
          <w:spacing w:val="34"/>
          <w:sz w:val="21"/>
        </w:rPr>
        <w:t> </w:t>
      </w:r>
      <w:r>
        <w:rPr>
          <w:sz w:val="21"/>
        </w:rPr>
        <w:t>offence</w:t>
      </w:r>
      <w:r>
        <w:rPr>
          <w:spacing w:val="34"/>
          <w:sz w:val="21"/>
        </w:rPr>
        <w:t> </w:t>
      </w:r>
      <w:r>
        <w:rPr>
          <w:sz w:val="21"/>
        </w:rPr>
        <w:t>of</w:t>
      </w:r>
      <w:r>
        <w:rPr>
          <w:spacing w:val="34"/>
          <w:sz w:val="21"/>
        </w:rPr>
        <w:t> </w:t>
      </w:r>
      <w:r>
        <w:rPr>
          <w:sz w:val="21"/>
        </w:rPr>
        <w:t>which</w:t>
      </w:r>
      <w:r>
        <w:rPr>
          <w:spacing w:val="34"/>
          <w:sz w:val="21"/>
        </w:rPr>
        <w:t> </w:t>
      </w:r>
      <w:r>
        <w:rPr>
          <w:sz w:val="21"/>
        </w:rPr>
        <w:t>it</w:t>
      </w:r>
      <w:r>
        <w:rPr>
          <w:spacing w:val="34"/>
          <w:sz w:val="21"/>
        </w:rPr>
        <w:t> </w:t>
      </w:r>
      <w:r>
        <w:rPr>
          <w:sz w:val="21"/>
        </w:rPr>
        <w:t>is</w:t>
      </w:r>
      <w:r>
        <w:rPr>
          <w:spacing w:val="34"/>
          <w:sz w:val="21"/>
        </w:rPr>
        <w:t> </w:t>
      </w:r>
      <w:r>
        <w:rPr>
          <w:sz w:val="21"/>
        </w:rPr>
        <w:t>aware,</w:t>
      </w:r>
      <w:r>
        <w:rPr>
          <w:spacing w:val="34"/>
          <w:sz w:val="21"/>
        </w:rPr>
        <w:t> </w:t>
      </w:r>
      <w:r>
        <w:rPr>
          <w:sz w:val="21"/>
        </w:rPr>
        <w:t>as</w:t>
      </w:r>
      <w:r>
        <w:rPr>
          <w:spacing w:val="34"/>
          <w:sz w:val="21"/>
        </w:rPr>
        <w:t> </w:t>
      </w:r>
      <w:r>
        <w:rPr>
          <w:sz w:val="21"/>
        </w:rPr>
        <w:t>well</w:t>
      </w:r>
      <w:r>
        <w:rPr>
          <w:spacing w:val="34"/>
          <w:sz w:val="21"/>
        </w:rPr>
        <w:t> </w:t>
      </w:r>
      <w:r>
        <w:rPr>
          <w:sz w:val="21"/>
        </w:rPr>
        <w:t>as</w:t>
      </w:r>
      <w:r>
        <w:rPr>
          <w:spacing w:val="34"/>
          <w:sz w:val="21"/>
        </w:rPr>
        <w:t> </w:t>
      </w:r>
      <w:r>
        <w:rPr>
          <w:sz w:val="21"/>
        </w:rPr>
        <w:t>any</w:t>
      </w:r>
      <w:r>
        <w:rPr>
          <w:spacing w:val="34"/>
          <w:sz w:val="21"/>
        </w:rPr>
        <w:t> </w:t>
      </w:r>
      <w:r>
        <w:rPr>
          <w:sz w:val="21"/>
        </w:rPr>
        <w:t>illegal</w:t>
      </w:r>
      <w:r>
        <w:rPr>
          <w:spacing w:val="34"/>
          <w:sz w:val="21"/>
        </w:rPr>
        <w:t> </w:t>
      </w:r>
      <w:r>
        <w:rPr>
          <w:sz w:val="21"/>
        </w:rPr>
        <w:t>acts</w:t>
      </w:r>
      <w:r>
        <w:rPr>
          <w:spacing w:val="34"/>
          <w:sz w:val="21"/>
        </w:rPr>
        <w:t> </w:t>
      </w:r>
      <w:r>
        <w:rPr>
          <w:sz w:val="21"/>
        </w:rPr>
        <w:t>or</w:t>
      </w:r>
      <w:r>
        <w:rPr>
          <w:spacing w:val="34"/>
          <w:sz w:val="21"/>
        </w:rPr>
        <w:t> </w:t>
      </w:r>
      <w:r>
        <w:rPr>
          <w:sz w:val="21"/>
        </w:rPr>
        <w:t>facts</w:t>
      </w:r>
      <w:r>
        <w:rPr>
          <w:spacing w:val="34"/>
          <w:sz w:val="21"/>
        </w:rPr>
        <w:t> </w:t>
      </w:r>
      <w:r>
        <w:rPr>
          <w:sz w:val="21"/>
        </w:rPr>
        <w:t>it</w:t>
      </w:r>
      <w:r>
        <w:rPr>
          <w:spacing w:val="34"/>
          <w:sz w:val="21"/>
        </w:rPr>
        <w:t> </w:t>
      </w:r>
      <w:r>
        <w:rPr>
          <w:sz w:val="21"/>
        </w:rPr>
        <w:t>may</w:t>
      </w:r>
      <w:r>
        <w:rPr>
          <w:spacing w:val="34"/>
          <w:sz w:val="21"/>
        </w:rPr>
        <w:t> </w:t>
      </w:r>
      <w:r>
        <w:rPr>
          <w:sz w:val="21"/>
        </w:rPr>
        <w:t>deem </w:t>
      </w:r>
      <w:r>
        <w:rPr>
          <w:spacing w:val="-2"/>
          <w:sz w:val="21"/>
        </w:rPr>
        <w:t>serious.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7"/>
        <w:rPr>
          <w:sz w:val="20"/>
        </w:rPr>
      </w:pPr>
      <w:r>
        <w:rPr/>
        <mc:AlternateContent>
          <mc:Choice Requires="wps">
            <w:drawing>
              <wp:anchor distT="0" distB="0" distL="0" distR="0" allowOverlap="1" layoutInCell="1" locked="0" behindDoc="1" simplePos="0" relativeHeight="487767040">
                <wp:simplePos x="0" y="0"/>
                <wp:positionH relativeFrom="page">
                  <wp:posOffset>231457</wp:posOffset>
                </wp:positionH>
                <wp:positionV relativeFrom="paragraph">
                  <wp:posOffset>222994</wp:posOffset>
                </wp:positionV>
                <wp:extent cx="7312659" cy="17145"/>
                <wp:effectExtent l="0" t="0" r="0" b="0"/>
                <wp:wrapTopAndBottom/>
                <wp:docPr id="816" name="Group 816"/>
                <wp:cNvGraphicFramePr>
                  <a:graphicFrameLocks/>
                </wp:cNvGraphicFramePr>
                <a:graphic>
                  <a:graphicData uri="http://schemas.microsoft.com/office/word/2010/wordprocessingGroup">
                    <wpg:wgp>
                      <wpg:cNvPr id="816" name="Group 816"/>
                      <wpg:cNvGrpSpPr/>
                      <wpg:grpSpPr>
                        <a:xfrm>
                          <a:off x="0" y="0"/>
                          <a:ext cx="7312659" cy="17145"/>
                          <a:chExt cx="7312659" cy="17145"/>
                        </a:xfrm>
                      </wpg:grpSpPr>
                      <wps:wsp>
                        <wps:cNvPr id="817" name="Graphic 81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18" name="Graphic 818"/>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19" name="Graphic 81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7.558653pt;width:575.8pt;height:1.35pt;mso-position-horizontal-relative:page;mso-position-vertical-relative:paragraph;z-index:-15549440;mso-wrap-distance-left:0;mso-wrap-distance-right:0" id="docshapegroup814" coordorigin="364,351" coordsize="11516,27">
                <v:rect style="position:absolute;left:364;top:351;width:11516;height:14" id="docshape815" filled="true" fillcolor="#999999" stroked="false">
                  <v:fill type="solid"/>
                </v:rect>
                <v:shape style="position:absolute;left:364;top:351;width:11516;height:27" id="docshape816" coordorigin="364,351" coordsize="11516,27" path="m11880,351l11866,365,364,365,364,378,11866,378,11880,378,11880,365,11880,351xe" filled="true" fillcolor="#ededed" stroked="false">
                  <v:path arrowok="t"/>
                  <v:fill type="solid"/>
                </v:shape>
                <v:shape style="position:absolute;left:364;top:351;width:14;height:27" id="docshape817" coordorigin="364,351" coordsize="14,27" path="m364,378l364,351,378,351,378,365,364,378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pStyle w:val="BodyText"/>
        <w:spacing w:before="8"/>
        <w:rPr>
          <w:sz w:val="25"/>
        </w:rPr>
      </w:pPr>
    </w:p>
    <w:p>
      <w:pPr>
        <w:pStyle w:val="Heading1"/>
      </w:pPr>
      <w:r>
        <w:rPr/>
        <w:t>CHAPTER </w:t>
      </w:r>
      <w:r>
        <w:rPr>
          <w:spacing w:val="-5"/>
        </w:rPr>
        <w:t>III</w:t>
      </w:r>
    </w:p>
    <w:p>
      <w:pPr>
        <w:pStyle w:val="Heading2"/>
      </w:pPr>
      <w:r>
        <w:rPr/>
        <w:t>Concessionaire</w:t>
      </w:r>
      <w:r>
        <w:rPr>
          <w:spacing w:val="-5"/>
        </w:rPr>
        <w:t> </w:t>
      </w:r>
      <w:r>
        <w:rPr>
          <w:spacing w:val="-2"/>
        </w:rPr>
        <w:t>company</w:t>
      </w:r>
    </w:p>
    <w:p>
      <w:pPr>
        <w:pStyle w:val="BodyText"/>
        <w:spacing w:before="83"/>
        <w:rPr>
          <w:b/>
          <w:sz w:val="25"/>
        </w:rPr>
      </w:pPr>
    </w:p>
    <w:p>
      <w:pPr>
        <w:spacing w:before="0"/>
        <w:ind w:left="24" w:right="0" w:firstLine="0"/>
        <w:jc w:val="center"/>
        <w:rPr>
          <w:b/>
          <w:sz w:val="21"/>
        </w:rPr>
      </w:pPr>
      <w:r>
        <w:rPr>
          <w:b/>
          <w:sz w:val="21"/>
        </w:rPr>
        <w:t>Clause</w:t>
      </w:r>
      <w:r>
        <w:rPr>
          <w:b/>
          <w:spacing w:val="13"/>
          <w:sz w:val="21"/>
        </w:rPr>
        <w:t> </w:t>
      </w:r>
      <w:r>
        <w:rPr>
          <w:b/>
          <w:spacing w:val="-5"/>
          <w:sz w:val="21"/>
        </w:rPr>
        <w:t>14</w:t>
      </w:r>
    </w:p>
    <w:p>
      <w:pPr>
        <w:spacing w:before="56"/>
        <w:ind w:left="24" w:right="0" w:firstLine="0"/>
        <w:jc w:val="center"/>
        <w:rPr>
          <w:b/>
          <w:sz w:val="21"/>
        </w:rPr>
      </w:pPr>
      <w:r>
        <w:rPr>
          <w:b/>
          <w:sz w:val="21"/>
        </w:rPr>
        <w:t>Object,</w:t>
      </w:r>
      <w:r>
        <w:rPr>
          <w:b/>
          <w:spacing w:val="12"/>
          <w:sz w:val="21"/>
        </w:rPr>
        <w:t> </w:t>
      </w:r>
      <w:r>
        <w:rPr>
          <w:b/>
          <w:sz w:val="21"/>
        </w:rPr>
        <w:t>head</w:t>
      </w:r>
      <w:r>
        <w:rPr>
          <w:b/>
          <w:spacing w:val="12"/>
          <w:sz w:val="21"/>
        </w:rPr>
        <w:t> </w:t>
      </w:r>
      <w:r>
        <w:rPr>
          <w:b/>
          <w:sz w:val="21"/>
        </w:rPr>
        <w:t>office</w:t>
      </w:r>
      <w:r>
        <w:rPr>
          <w:b/>
          <w:spacing w:val="12"/>
          <w:sz w:val="21"/>
        </w:rPr>
        <w:t> </w:t>
      </w:r>
      <w:r>
        <w:rPr>
          <w:b/>
          <w:sz w:val="21"/>
        </w:rPr>
        <w:t>and</w:t>
      </w:r>
      <w:r>
        <w:rPr>
          <w:b/>
          <w:spacing w:val="12"/>
          <w:sz w:val="21"/>
        </w:rPr>
        <w:t> </w:t>
      </w:r>
      <w:r>
        <w:rPr>
          <w:b/>
          <w:sz w:val="21"/>
        </w:rPr>
        <w:t>corporate</w:t>
      </w:r>
      <w:r>
        <w:rPr>
          <w:b/>
          <w:spacing w:val="12"/>
          <w:sz w:val="21"/>
        </w:rPr>
        <w:t> </w:t>
      </w:r>
      <w:r>
        <w:rPr>
          <w:b/>
          <w:spacing w:val="-2"/>
          <w:sz w:val="21"/>
        </w:rPr>
        <w:t>structure</w:t>
      </w:r>
    </w:p>
    <w:p>
      <w:pPr>
        <w:pStyle w:val="BodyText"/>
        <w:spacing w:before="138"/>
        <w:rPr>
          <w:b/>
          <w:sz w:val="21"/>
        </w:rPr>
      </w:pPr>
    </w:p>
    <w:p>
      <w:pPr>
        <w:spacing w:before="0"/>
        <w:ind w:left="144" w:right="0" w:firstLine="0"/>
        <w:jc w:val="left"/>
        <w:rPr>
          <w:sz w:val="21"/>
        </w:rPr>
      </w:pPr>
      <w:r>
        <w:rPr>
          <w:i/>
          <w:sz w:val="21"/>
        </w:rPr>
        <w:t>One</w:t>
      </w:r>
      <w:r>
        <w:rPr>
          <w:sz w:val="21"/>
        </w:rPr>
        <w:t>.</w:t>
      </w:r>
      <w:r>
        <w:rPr>
          <w:spacing w:val="5"/>
          <w:sz w:val="21"/>
        </w:rPr>
        <w:t> </w:t>
      </w:r>
      <w:r>
        <w:rPr>
          <w:sz w:val="21"/>
        </w:rPr>
        <w:t>The</w:t>
      </w:r>
      <w:r>
        <w:rPr>
          <w:spacing w:val="11"/>
          <w:sz w:val="21"/>
        </w:rPr>
        <w:t> </w:t>
      </w:r>
      <w:r>
        <w:rPr>
          <w:sz w:val="21"/>
        </w:rPr>
        <w:t>Concessionaire’s</w:t>
      </w:r>
      <w:r>
        <w:rPr>
          <w:spacing w:val="10"/>
          <w:sz w:val="21"/>
        </w:rPr>
        <w:t> </w:t>
      </w:r>
      <w:r>
        <w:rPr>
          <w:sz w:val="21"/>
        </w:rPr>
        <w:t>corporate</w:t>
      </w:r>
      <w:r>
        <w:rPr>
          <w:spacing w:val="10"/>
          <w:sz w:val="21"/>
        </w:rPr>
        <w:t> </w:t>
      </w:r>
      <w:r>
        <w:rPr>
          <w:sz w:val="21"/>
        </w:rPr>
        <w:t>purpose</w:t>
      </w:r>
      <w:r>
        <w:rPr>
          <w:spacing w:val="11"/>
          <w:sz w:val="21"/>
        </w:rPr>
        <w:t> </w:t>
      </w:r>
      <w:r>
        <w:rPr>
          <w:sz w:val="21"/>
        </w:rPr>
        <w:t>shall</w:t>
      </w:r>
      <w:r>
        <w:rPr>
          <w:spacing w:val="10"/>
          <w:sz w:val="21"/>
        </w:rPr>
        <w:t> </w:t>
      </w:r>
      <w:r>
        <w:rPr>
          <w:sz w:val="21"/>
        </w:rPr>
        <w:t>include</w:t>
      </w:r>
      <w:r>
        <w:rPr>
          <w:spacing w:val="11"/>
          <w:sz w:val="21"/>
        </w:rPr>
        <w:t> </w:t>
      </w:r>
      <w:r>
        <w:rPr>
          <w:sz w:val="21"/>
        </w:rPr>
        <w:t>the</w:t>
      </w:r>
      <w:r>
        <w:rPr>
          <w:spacing w:val="10"/>
          <w:sz w:val="21"/>
        </w:rPr>
        <w:t> </w:t>
      </w:r>
      <w:r>
        <w:rPr>
          <w:sz w:val="21"/>
        </w:rPr>
        <w:t>operation</w:t>
      </w:r>
      <w:r>
        <w:rPr>
          <w:spacing w:val="11"/>
          <w:sz w:val="21"/>
        </w:rPr>
        <w:t> </w:t>
      </w:r>
      <w:r>
        <w:rPr>
          <w:sz w:val="21"/>
        </w:rPr>
        <w:t>of</w:t>
      </w:r>
      <w:r>
        <w:rPr>
          <w:spacing w:val="10"/>
          <w:sz w:val="21"/>
        </w:rPr>
        <w:t> </w:t>
      </w:r>
      <w:r>
        <w:rPr>
          <w:sz w:val="21"/>
        </w:rPr>
        <w:t>games</w:t>
      </w:r>
      <w:r>
        <w:rPr>
          <w:spacing w:val="10"/>
          <w:sz w:val="21"/>
        </w:rPr>
        <w:t> </w:t>
      </w:r>
      <w:r>
        <w:rPr>
          <w:sz w:val="21"/>
        </w:rPr>
        <w:t>of</w:t>
      </w:r>
      <w:r>
        <w:rPr>
          <w:spacing w:val="11"/>
          <w:sz w:val="21"/>
        </w:rPr>
        <w:t> </w:t>
      </w:r>
      <w:r>
        <w:rPr>
          <w:sz w:val="21"/>
        </w:rPr>
        <w:t>fortune</w:t>
      </w:r>
      <w:r>
        <w:rPr>
          <w:spacing w:val="10"/>
          <w:sz w:val="21"/>
        </w:rPr>
        <w:t> </w:t>
      </w:r>
      <w:r>
        <w:rPr>
          <w:sz w:val="21"/>
        </w:rPr>
        <w:t>or</w:t>
      </w:r>
      <w:r>
        <w:rPr>
          <w:spacing w:val="11"/>
          <w:sz w:val="21"/>
        </w:rPr>
        <w:t> </w:t>
      </w:r>
      <w:r>
        <w:rPr>
          <w:sz w:val="21"/>
        </w:rPr>
        <w:t>chance</w:t>
      </w:r>
      <w:r>
        <w:rPr>
          <w:spacing w:val="10"/>
          <w:sz w:val="21"/>
        </w:rPr>
        <w:t> </w:t>
      </w:r>
      <w:r>
        <w:rPr>
          <w:sz w:val="21"/>
        </w:rPr>
        <w:t>in</w:t>
      </w:r>
      <w:r>
        <w:rPr>
          <w:spacing w:val="10"/>
          <w:sz w:val="21"/>
        </w:rPr>
        <w:t> </w:t>
      </w:r>
      <w:r>
        <w:rPr>
          <w:spacing w:val="-2"/>
          <w:sz w:val="21"/>
        </w:rPr>
        <w:t>casinos.</w:t>
      </w:r>
    </w:p>
    <w:p>
      <w:pPr>
        <w:pStyle w:val="BodyText"/>
        <w:spacing w:before="146"/>
        <w:rPr>
          <w:sz w:val="21"/>
        </w:rPr>
      </w:pPr>
    </w:p>
    <w:p>
      <w:pPr>
        <w:spacing w:line="213" w:lineRule="auto" w:before="0"/>
        <w:ind w:left="144" w:right="118" w:firstLine="0"/>
        <w:jc w:val="left"/>
        <w:rPr>
          <w:sz w:val="21"/>
        </w:rPr>
      </w:pPr>
      <w:r>
        <w:rPr>
          <w:i/>
          <w:sz w:val="21"/>
        </w:rPr>
        <w:t>Two</w:t>
      </w:r>
      <w:r>
        <w:rPr>
          <w:sz w:val="21"/>
        </w:rPr>
        <w:t>.</w:t>
      </w:r>
      <w:r>
        <w:rPr>
          <w:spacing w:val="21"/>
          <w:sz w:val="21"/>
        </w:rPr>
        <w:t> </w:t>
      </w:r>
      <w:r>
        <w:rPr>
          <w:sz w:val="21"/>
        </w:rPr>
        <w:t>The</w:t>
      </w:r>
      <w:r>
        <w:rPr>
          <w:spacing w:val="26"/>
          <w:sz w:val="21"/>
        </w:rPr>
        <w:t> </w:t>
      </w:r>
      <w:r>
        <w:rPr>
          <w:sz w:val="21"/>
        </w:rPr>
        <w:t>Concessionaire's</w:t>
      </w:r>
      <w:r>
        <w:rPr>
          <w:spacing w:val="26"/>
          <w:sz w:val="21"/>
        </w:rPr>
        <w:t> </w:t>
      </w:r>
      <w:r>
        <w:rPr>
          <w:sz w:val="21"/>
        </w:rPr>
        <w:t>intention,</w:t>
      </w:r>
      <w:r>
        <w:rPr>
          <w:spacing w:val="26"/>
          <w:sz w:val="21"/>
        </w:rPr>
        <w:t> </w:t>
      </w:r>
      <w:r>
        <w:rPr>
          <w:sz w:val="21"/>
        </w:rPr>
        <w:t>during</w:t>
      </w:r>
      <w:r>
        <w:rPr>
          <w:spacing w:val="26"/>
          <w:sz w:val="21"/>
        </w:rPr>
        <w:t> </w:t>
      </w:r>
      <w:r>
        <w:rPr>
          <w:sz w:val="21"/>
        </w:rPr>
        <w:t>the</w:t>
      </w:r>
      <w:r>
        <w:rPr>
          <w:spacing w:val="26"/>
          <w:sz w:val="21"/>
        </w:rPr>
        <w:t> </w:t>
      </w:r>
      <w:r>
        <w:rPr>
          <w:sz w:val="21"/>
        </w:rPr>
        <w:t>concession</w:t>
      </w:r>
      <w:r>
        <w:rPr>
          <w:spacing w:val="26"/>
          <w:sz w:val="21"/>
        </w:rPr>
        <w:t> </w:t>
      </w:r>
      <w:r>
        <w:rPr>
          <w:sz w:val="21"/>
        </w:rPr>
        <w:t>period,</w:t>
      </w:r>
      <w:r>
        <w:rPr>
          <w:spacing w:val="26"/>
          <w:sz w:val="21"/>
        </w:rPr>
        <w:t> </w:t>
      </w:r>
      <w:r>
        <w:rPr>
          <w:sz w:val="21"/>
        </w:rPr>
        <w:t>to</w:t>
      </w:r>
      <w:r>
        <w:rPr>
          <w:spacing w:val="26"/>
          <w:sz w:val="21"/>
        </w:rPr>
        <w:t> </w:t>
      </w:r>
      <w:r>
        <w:rPr>
          <w:sz w:val="21"/>
        </w:rPr>
        <w:t>introduce</w:t>
      </w:r>
      <w:r>
        <w:rPr>
          <w:spacing w:val="26"/>
          <w:sz w:val="21"/>
        </w:rPr>
        <w:t> </w:t>
      </w:r>
      <w:r>
        <w:rPr>
          <w:sz w:val="21"/>
        </w:rPr>
        <w:t>other</w:t>
      </w:r>
      <w:r>
        <w:rPr>
          <w:spacing w:val="26"/>
          <w:sz w:val="21"/>
        </w:rPr>
        <w:t> </w:t>
      </w:r>
      <w:r>
        <w:rPr>
          <w:sz w:val="21"/>
        </w:rPr>
        <w:t>correlated</w:t>
      </w:r>
      <w:r>
        <w:rPr>
          <w:spacing w:val="26"/>
          <w:sz w:val="21"/>
        </w:rPr>
        <w:t> </w:t>
      </w:r>
      <w:r>
        <w:rPr>
          <w:sz w:val="21"/>
        </w:rPr>
        <w:t>activities</w:t>
      </w:r>
      <w:r>
        <w:rPr>
          <w:spacing w:val="26"/>
          <w:sz w:val="21"/>
        </w:rPr>
        <w:t> </w:t>
      </w:r>
      <w:r>
        <w:rPr>
          <w:sz w:val="21"/>
        </w:rPr>
        <w:t>into</w:t>
      </w:r>
      <w:r>
        <w:rPr>
          <w:spacing w:val="26"/>
          <w:sz w:val="21"/>
        </w:rPr>
        <w:t> </w:t>
      </w:r>
      <w:r>
        <w:rPr>
          <w:sz w:val="21"/>
        </w:rPr>
        <w:t>its</w:t>
      </w:r>
      <w:r>
        <w:rPr>
          <w:spacing w:val="26"/>
          <w:sz w:val="21"/>
        </w:rPr>
        <w:t> </w:t>
      </w:r>
      <w:r>
        <w:rPr>
          <w:sz w:val="21"/>
        </w:rPr>
        <w:t>corporate</w:t>
      </w:r>
      <w:r>
        <w:rPr>
          <w:spacing w:val="26"/>
          <w:sz w:val="21"/>
        </w:rPr>
        <w:t> </w:t>
      </w:r>
      <w:r>
        <w:rPr>
          <w:sz w:val="21"/>
        </w:rPr>
        <w:t>purpose is subject to prior authorization from the Secretary for the Economy and Finance.</w:t>
      </w:r>
    </w:p>
    <w:p>
      <w:pPr>
        <w:pStyle w:val="BodyText"/>
        <w:spacing w:before="130"/>
        <w:rPr>
          <w:sz w:val="21"/>
        </w:rPr>
      </w:pPr>
    </w:p>
    <w:p>
      <w:pPr>
        <w:spacing w:before="1"/>
        <w:ind w:left="144" w:right="0" w:firstLine="0"/>
        <w:jc w:val="left"/>
        <w:rPr>
          <w:sz w:val="21"/>
        </w:rPr>
      </w:pPr>
      <w:r>
        <w:rPr>
          <w:i/>
          <w:sz w:val="21"/>
        </w:rPr>
        <w:t>Three</w:t>
      </w:r>
      <w:r>
        <w:rPr>
          <w:sz w:val="21"/>
        </w:rPr>
        <w:t>.</w:t>
      </w:r>
      <w:r>
        <w:rPr>
          <w:spacing w:val="4"/>
          <w:sz w:val="21"/>
        </w:rPr>
        <w:t> </w:t>
      </w:r>
      <w:r>
        <w:rPr>
          <w:sz w:val="21"/>
        </w:rPr>
        <w:t>The</w:t>
      </w:r>
      <w:r>
        <w:rPr>
          <w:spacing w:val="10"/>
          <w:sz w:val="21"/>
        </w:rPr>
        <w:t> </w:t>
      </w:r>
      <w:r>
        <w:rPr>
          <w:sz w:val="21"/>
        </w:rPr>
        <w:t>Concessionaire</w:t>
      </w:r>
      <w:r>
        <w:rPr>
          <w:spacing w:val="9"/>
          <w:sz w:val="21"/>
        </w:rPr>
        <w:t> </w:t>
      </w:r>
      <w:r>
        <w:rPr>
          <w:sz w:val="21"/>
        </w:rPr>
        <w:t>undertakes</w:t>
      </w:r>
      <w:r>
        <w:rPr>
          <w:spacing w:val="10"/>
          <w:sz w:val="21"/>
        </w:rPr>
        <w:t> </w:t>
      </w:r>
      <w:r>
        <w:rPr>
          <w:sz w:val="21"/>
        </w:rPr>
        <w:t>to</w:t>
      </w:r>
      <w:r>
        <w:rPr>
          <w:spacing w:val="9"/>
          <w:sz w:val="21"/>
        </w:rPr>
        <w:t> </w:t>
      </w:r>
      <w:r>
        <w:rPr>
          <w:sz w:val="21"/>
        </w:rPr>
        <w:t>maintain</w:t>
      </w:r>
      <w:r>
        <w:rPr>
          <w:spacing w:val="9"/>
          <w:sz w:val="21"/>
        </w:rPr>
        <w:t> </w:t>
      </w:r>
      <w:r>
        <w:rPr>
          <w:sz w:val="21"/>
        </w:rPr>
        <w:t>its</w:t>
      </w:r>
      <w:r>
        <w:rPr>
          <w:spacing w:val="10"/>
          <w:sz w:val="21"/>
        </w:rPr>
        <w:t> </w:t>
      </w:r>
      <w:r>
        <w:rPr>
          <w:sz w:val="21"/>
        </w:rPr>
        <w:t>head</w:t>
      </w:r>
      <w:r>
        <w:rPr>
          <w:spacing w:val="9"/>
          <w:sz w:val="21"/>
        </w:rPr>
        <w:t> </w:t>
      </w:r>
      <w:r>
        <w:rPr>
          <w:sz w:val="21"/>
        </w:rPr>
        <w:t>office</w:t>
      </w:r>
      <w:r>
        <w:rPr>
          <w:spacing w:val="10"/>
          <w:sz w:val="21"/>
        </w:rPr>
        <w:t> </w:t>
      </w:r>
      <w:r>
        <w:rPr>
          <w:sz w:val="21"/>
        </w:rPr>
        <w:t>in</w:t>
      </w:r>
      <w:r>
        <w:rPr>
          <w:spacing w:val="9"/>
          <w:sz w:val="21"/>
        </w:rPr>
        <w:t> </w:t>
      </w:r>
      <w:r>
        <w:rPr>
          <w:sz w:val="21"/>
        </w:rPr>
        <w:t>the</w:t>
      </w:r>
      <w:r>
        <w:rPr>
          <w:spacing w:val="9"/>
          <w:sz w:val="21"/>
        </w:rPr>
        <w:t> </w:t>
      </w:r>
      <w:r>
        <w:rPr>
          <w:sz w:val="21"/>
        </w:rPr>
        <w:t>Macau</w:t>
      </w:r>
      <w:r>
        <w:rPr>
          <w:spacing w:val="10"/>
          <w:sz w:val="21"/>
        </w:rPr>
        <w:t> </w:t>
      </w:r>
      <w:r>
        <w:rPr>
          <w:sz w:val="21"/>
        </w:rPr>
        <w:t>SAR</w:t>
      </w:r>
      <w:r>
        <w:rPr>
          <w:spacing w:val="9"/>
          <w:sz w:val="21"/>
        </w:rPr>
        <w:t> </w:t>
      </w:r>
      <w:r>
        <w:rPr>
          <w:sz w:val="21"/>
        </w:rPr>
        <w:t>and</w:t>
      </w:r>
      <w:r>
        <w:rPr>
          <w:spacing w:val="10"/>
          <w:sz w:val="21"/>
        </w:rPr>
        <w:t> </w:t>
      </w:r>
      <w:r>
        <w:rPr>
          <w:sz w:val="21"/>
        </w:rPr>
        <w:t>to</w:t>
      </w:r>
      <w:r>
        <w:rPr>
          <w:spacing w:val="9"/>
          <w:sz w:val="21"/>
        </w:rPr>
        <w:t> </w:t>
      </w:r>
      <w:r>
        <w:rPr>
          <w:sz w:val="21"/>
        </w:rPr>
        <w:t>be</w:t>
      </w:r>
      <w:r>
        <w:rPr>
          <w:spacing w:val="10"/>
          <w:sz w:val="21"/>
        </w:rPr>
        <w:t> </w:t>
      </w:r>
      <w:r>
        <w:rPr>
          <w:sz w:val="21"/>
        </w:rPr>
        <w:t>incorporated</w:t>
      </w:r>
      <w:r>
        <w:rPr>
          <w:spacing w:val="9"/>
          <w:sz w:val="21"/>
        </w:rPr>
        <w:t> </w:t>
      </w:r>
      <w:r>
        <w:rPr>
          <w:sz w:val="21"/>
        </w:rPr>
        <w:t>as</w:t>
      </w:r>
      <w:r>
        <w:rPr>
          <w:spacing w:val="9"/>
          <w:sz w:val="21"/>
        </w:rPr>
        <w:t> </w:t>
      </w:r>
      <w:r>
        <w:rPr>
          <w:sz w:val="21"/>
        </w:rPr>
        <w:t>a</w:t>
      </w:r>
      <w:r>
        <w:rPr>
          <w:spacing w:val="10"/>
          <w:sz w:val="21"/>
        </w:rPr>
        <w:t> </w:t>
      </w:r>
      <w:r>
        <w:rPr>
          <w:sz w:val="21"/>
        </w:rPr>
        <w:t>limited</w:t>
      </w:r>
      <w:r>
        <w:rPr>
          <w:spacing w:val="9"/>
          <w:sz w:val="21"/>
        </w:rPr>
        <w:t> </w:t>
      </w:r>
      <w:r>
        <w:rPr>
          <w:spacing w:val="-2"/>
          <w:sz w:val="21"/>
        </w:rPr>
        <w:t>company.</w:t>
      </w:r>
    </w:p>
    <w:p>
      <w:pPr>
        <w:pStyle w:val="BodyText"/>
        <w:spacing w:before="137"/>
        <w:rPr>
          <w:sz w:val="21"/>
        </w:rPr>
      </w:pPr>
    </w:p>
    <w:p>
      <w:pPr>
        <w:spacing w:before="1"/>
        <w:ind w:left="24" w:right="0" w:firstLine="0"/>
        <w:jc w:val="center"/>
        <w:rPr>
          <w:b/>
          <w:sz w:val="21"/>
        </w:rPr>
      </w:pPr>
      <w:r>
        <w:rPr>
          <w:b/>
          <w:sz w:val="21"/>
        </w:rPr>
        <w:t>Clause</w:t>
      </w:r>
      <w:r>
        <w:rPr>
          <w:b/>
          <w:spacing w:val="13"/>
          <w:sz w:val="21"/>
        </w:rPr>
        <w:t> </w:t>
      </w:r>
      <w:r>
        <w:rPr>
          <w:b/>
          <w:spacing w:val="-5"/>
          <w:sz w:val="21"/>
        </w:rPr>
        <w:t>15</w:t>
      </w:r>
    </w:p>
    <w:p>
      <w:pPr>
        <w:spacing w:before="55"/>
        <w:ind w:left="24" w:right="0" w:firstLine="0"/>
        <w:jc w:val="center"/>
        <w:rPr>
          <w:b/>
          <w:sz w:val="21"/>
        </w:rPr>
      </w:pPr>
      <w:r>
        <w:rPr>
          <w:b/>
          <w:sz w:val="21"/>
        </w:rPr>
        <w:t>Share</w:t>
      </w:r>
      <w:r>
        <w:rPr>
          <w:b/>
          <w:spacing w:val="9"/>
          <w:sz w:val="21"/>
        </w:rPr>
        <w:t> </w:t>
      </w:r>
      <w:r>
        <w:rPr>
          <w:b/>
          <w:sz w:val="21"/>
        </w:rPr>
        <w:t>capital</w:t>
      </w:r>
      <w:r>
        <w:rPr>
          <w:b/>
          <w:spacing w:val="9"/>
          <w:sz w:val="21"/>
        </w:rPr>
        <w:t> </w:t>
      </w:r>
      <w:r>
        <w:rPr>
          <w:b/>
          <w:sz w:val="21"/>
        </w:rPr>
        <w:t>and</w:t>
      </w:r>
      <w:r>
        <w:rPr>
          <w:b/>
          <w:spacing w:val="10"/>
          <w:sz w:val="21"/>
        </w:rPr>
        <w:t> </w:t>
      </w:r>
      <w:r>
        <w:rPr>
          <w:b/>
          <w:spacing w:val="-2"/>
          <w:sz w:val="21"/>
        </w:rPr>
        <w:t>shares</w:t>
      </w:r>
    </w:p>
    <w:p>
      <w:pPr>
        <w:pStyle w:val="BodyText"/>
        <w:spacing w:before="160"/>
        <w:rPr>
          <w:b/>
          <w:sz w:val="21"/>
        </w:rPr>
      </w:pPr>
    </w:p>
    <w:p>
      <w:pPr>
        <w:spacing w:line="213" w:lineRule="auto" w:before="0"/>
        <w:ind w:left="144" w:right="0" w:firstLine="0"/>
        <w:jc w:val="left"/>
        <w:rPr>
          <w:sz w:val="21"/>
        </w:rPr>
      </w:pPr>
      <w:r>
        <w:rPr>
          <w:i/>
          <w:sz w:val="21"/>
        </w:rPr>
        <w:t>One</w:t>
      </w:r>
      <w:r>
        <w:rPr>
          <w:sz w:val="21"/>
        </w:rPr>
        <w:t>. The</w:t>
      </w:r>
      <w:r>
        <w:rPr>
          <w:spacing w:val="14"/>
          <w:sz w:val="21"/>
        </w:rPr>
        <w:t> </w:t>
      </w:r>
      <w:r>
        <w:rPr>
          <w:sz w:val="21"/>
        </w:rPr>
        <w:t>share</w:t>
      </w:r>
      <w:r>
        <w:rPr>
          <w:spacing w:val="14"/>
          <w:sz w:val="21"/>
        </w:rPr>
        <w:t> </w:t>
      </w:r>
      <w:r>
        <w:rPr>
          <w:sz w:val="21"/>
        </w:rPr>
        <w:t>capital</w:t>
      </w:r>
      <w:r>
        <w:rPr>
          <w:spacing w:val="14"/>
          <w:sz w:val="21"/>
        </w:rPr>
        <w:t> </w:t>
      </w:r>
      <w:r>
        <w:rPr>
          <w:sz w:val="21"/>
        </w:rPr>
        <w:t>of</w:t>
      </w:r>
      <w:r>
        <w:rPr>
          <w:spacing w:val="14"/>
          <w:sz w:val="21"/>
        </w:rPr>
        <w:t> </w:t>
      </w:r>
      <w:r>
        <w:rPr>
          <w:sz w:val="21"/>
        </w:rPr>
        <w:t>the</w:t>
      </w:r>
      <w:r>
        <w:rPr>
          <w:spacing w:val="14"/>
          <w:sz w:val="21"/>
        </w:rPr>
        <w:t> </w:t>
      </w:r>
      <w:r>
        <w:rPr>
          <w:sz w:val="21"/>
        </w:rPr>
        <w:t>Concessionaire</w:t>
      </w:r>
      <w:r>
        <w:rPr>
          <w:spacing w:val="14"/>
          <w:sz w:val="21"/>
        </w:rPr>
        <w:t> </w:t>
      </w:r>
      <w:r>
        <w:rPr>
          <w:sz w:val="21"/>
        </w:rPr>
        <w:t>shall</w:t>
      </w:r>
      <w:r>
        <w:rPr>
          <w:spacing w:val="14"/>
          <w:sz w:val="21"/>
        </w:rPr>
        <w:t> </w:t>
      </w:r>
      <w:r>
        <w:rPr>
          <w:sz w:val="21"/>
        </w:rPr>
        <w:t>not</w:t>
      </w:r>
      <w:r>
        <w:rPr>
          <w:spacing w:val="14"/>
          <w:sz w:val="21"/>
        </w:rPr>
        <w:t> </w:t>
      </w:r>
      <w:r>
        <w:rPr>
          <w:sz w:val="21"/>
        </w:rPr>
        <w:t>be</w:t>
      </w:r>
      <w:r>
        <w:rPr>
          <w:spacing w:val="14"/>
          <w:sz w:val="21"/>
        </w:rPr>
        <w:t> </w:t>
      </w:r>
      <w:r>
        <w:rPr>
          <w:sz w:val="21"/>
        </w:rPr>
        <w:t>less</w:t>
      </w:r>
      <w:r>
        <w:rPr>
          <w:spacing w:val="14"/>
          <w:sz w:val="21"/>
        </w:rPr>
        <w:t> </w:t>
      </w:r>
      <w:r>
        <w:rPr>
          <w:sz w:val="21"/>
        </w:rPr>
        <w:t>than</w:t>
      </w:r>
      <w:r>
        <w:rPr>
          <w:spacing w:val="14"/>
          <w:sz w:val="21"/>
        </w:rPr>
        <w:t> </w:t>
      </w:r>
      <w:r>
        <w:rPr>
          <w:sz w:val="21"/>
        </w:rPr>
        <w:t>MOP 5,000,000,000</w:t>
      </w:r>
      <w:r>
        <w:rPr>
          <w:spacing w:val="14"/>
          <w:sz w:val="21"/>
        </w:rPr>
        <w:t> </w:t>
      </w:r>
      <w:r>
        <w:rPr>
          <w:sz w:val="21"/>
        </w:rPr>
        <w:t>(five</w:t>
      </w:r>
      <w:r>
        <w:rPr>
          <w:spacing w:val="14"/>
          <w:sz w:val="21"/>
        </w:rPr>
        <w:t> </w:t>
      </w:r>
      <w:r>
        <w:rPr>
          <w:sz w:val="21"/>
        </w:rPr>
        <w:t>billion</w:t>
      </w:r>
      <w:r>
        <w:rPr>
          <w:spacing w:val="14"/>
          <w:sz w:val="21"/>
        </w:rPr>
        <w:t> </w:t>
      </w:r>
      <w:r>
        <w:rPr>
          <w:sz w:val="21"/>
        </w:rPr>
        <w:t>patacas),</w:t>
      </w:r>
      <w:r>
        <w:rPr>
          <w:spacing w:val="14"/>
          <w:sz w:val="21"/>
        </w:rPr>
        <w:t> </w:t>
      </w:r>
      <w:r>
        <w:rPr>
          <w:sz w:val="21"/>
        </w:rPr>
        <w:t>with</w:t>
      </w:r>
      <w:r>
        <w:rPr>
          <w:spacing w:val="14"/>
          <w:sz w:val="21"/>
        </w:rPr>
        <w:t> </w:t>
      </w:r>
      <w:r>
        <w:rPr>
          <w:sz w:val="21"/>
        </w:rPr>
        <w:t>its</w:t>
      </w:r>
      <w:r>
        <w:rPr>
          <w:spacing w:val="14"/>
          <w:sz w:val="21"/>
        </w:rPr>
        <w:t> </w:t>
      </w:r>
      <w:r>
        <w:rPr>
          <w:sz w:val="21"/>
        </w:rPr>
        <w:t>net</w:t>
      </w:r>
      <w:r>
        <w:rPr>
          <w:spacing w:val="14"/>
          <w:sz w:val="21"/>
        </w:rPr>
        <w:t> </w:t>
      </w:r>
      <w:r>
        <w:rPr>
          <w:sz w:val="21"/>
        </w:rPr>
        <w:t>worth</w:t>
      </w:r>
      <w:r>
        <w:rPr>
          <w:spacing w:val="14"/>
          <w:sz w:val="21"/>
        </w:rPr>
        <w:t> </w:t>
      </w:r>
      <w:r>
        <w:rPr>
          <w:sz w:val="21"/>
        </w:rPr>
        <w:t>to</w:t>
      </w:r>
      <w:r>
        <w:rPr>
          <w:spacing w:val="14"/>
          <w:sz w:val="21"/>
        </w:rPr>
        <w:t> </w:t>
      </w:r>
      <w:r>
        <w:rPr>
          <w:sz w:val="21"/>
        </w:rPr>
        <w:t>be kept at not less than that amount during the term of the concession.</w:t>
      </w:r>
    </w:p>
    <w:p>
      <w:pPr>
        <w:pStyle w:val="BodyText"/>
        <w:spacing w:before="152"/>
        <w:rPr>
          <w:sz w:val="21"/>
        </w:rPr>
      </w:pPr>
    </w:p>
    <w:p>
      <w:pPr>
        <w:spacing w:line="213" w:lineRule="auto" w:before="0"/>
        <w:ind w:left="144" w:right="0" w:firstLine="0"/>
        <w:jc w:val="left"/>
        <w:rPr>
          <w:sz w:val="21"/>
        </w:rPr>
      </w:pPr>
      <w:r>
        <w:rPr>
          <w:i/>
          <w:sz w:val="21"/>
        </w:rPr>
        <w:t>Two</w:t>
      </w:r>
      <w:r>
        <w:rPr>
          <w:sz w:val="21"/>
        </w:rPr>
        <w:t>.</w:t>
      </w:r>
      <w:r>
        <w:rPr>
          <w:spacing w:val="21"/>
          <w:sz w:val="21"/>
        </w:rPr>
        <w:t> </w:t>
      </w:r>
      <w:r>
        <w:rPr>
          <w:sz w:val="21"/>
        </w:rPr>
        <w:t>The</w:t>
      </w:r>
      <w:r>
        <w:rPr>
          <w:spacing w:val="26"/>
          <w:sz w:val="21"/>
        </w:rPr>
        <w:t> </w:t>
      </w:r>
      <w:r>
        <w:rPr>
          <w:sz w:val="21"/>
        </w:rPr>
        <w:t>Chief</w:t>
      </w:r>
      <w:r>
        <w:rPr>
          <w:spacing w:val="26"/>
          <w:sz w:val="21"/>
        </w:rPr>
        <w:t> </w:t>
      </w:r>
      <w:r>
        <w:rPr>
          <w:sz w:val="21"/>
        </w:rPr>
        <w:t>Executive</w:t>
      </w:r>
      <w:r>
        <w:rPr>
          <w:spacing w:val="26"/>
          <w:sz w:val="21"/>
        </w:rPr>
        <w:t> </w:t>
      </w:r>
      <w:r>
        <w:rPr>
          <w:sz w:val="21"/>
        </w:rPr>
        <w:t>may</w:t>
      </w:r>
      <w:r>
        <w:rPr>
          <w:spacing w:val="26"/>
          <w:sz w:val="21"/>
        </w:rPr>
        <w:t> </w:t>
      </w:r>
      <w:r>
        <w:rPr>
          <w:sz w:val="21"/>
        </w:rPr>
        <w:t>determine</w:t>
      </w:r>
      <w:r>
        <w:rPr>
          <w:spacing w:val="26"/>
          <w:sz w:val="21"/>
        </w:rPr>
        <w:t> </w:t>
      </w:r>
      <w:r>
        <w:rPr>
          <w:sz w:val="21"/>
        </w:rPr>
        <w:t>an</w:t>
      </w:r>
      <w:r>
        <w:rPr>
          <w:spacing w:val="26"/>
          <w:sz w:val="21"/>
        </w:rPr>
        <w:t> </w:t>
      </w:r>
      <w:r>
        <w:rPr>
          <w:sz w:val="21"/>
        </w:rPr>
        <w:t>increase</w:t>
      </w:r>
      <w:r>
        <w:rPr>
          <w:spacing w:val="26"/>
          <w:sz w:val="21"/>
        </w:rPr>
        <w:t> </w:t>
      </w:r>
      <w:r>
        <w:rPr>
          <w:sz w:val="21"/>
        </w:rPr>
        <w:t>in</w:t>
      </w:r>
      <w:r>
        <w:rPr>
          <w:spacing w:val="26"/>
          <w:sz w:val="21"/>
        </w:rPr>
        <w:t> </w:t>
      </w:r>
      <w:r>
        <w:rPr>
          <w:sz w:val="21"/>
        </w:rPr>
        <w:t>the</w:t>
      </w:r>
      <w:r>
        <w:rPr>
          <w:spacing w:val="26"/>
          <w:sz w:val="21"/>
        </w:rPr>
        <w:t> </w:t>
      </w:r>
      <w:r>
        <w:rPr>
          <w:sz w:val="21"/>
        </w:rPr>
        <w:t>Concessionaire's</w:t>
      </w:r>
      <w:r>
        <w:rPr>
          <w:spacing w:val="26"/>
          <w:sz w:val="21"/>
        </w:rPr>
        <w:t> </w:t>
      </w:r>
      <w:r>
        <w:rPr>
          <w:sz w:val="21"/>
        </w:rPr>
        <w:t>share</w:t>
      </w:r>
      <w:r>
        <w:rPr>
          <w:spacing w:val="26"/>
          <w:sz w:val="21"/>
        </w:rPr>
        <w:t> </w:t>
      </w:r>
      <w:r>
        <w:rPr>
          <w:sz w:val="21"/>
        </w:rPr>
        <w:t>capital</w:t>
      </w:r>
      <w:r>
        <w:rPr>
          <w:spacing w:val="26"/>
          <w:sz w:val="21"/>
        </w:rPr>
        <w:t> </w:t>
      </w:r>
      <w:r>
        <w:rPr>
          <w:sz w:val="21"/>
        </w:rPr>
        <w:t>when</w:t>
      </w:r>
      <w:r>
        <w:rPr>
          <w:spacing w:val="26"/>
          <w:sz w:val="21"/>
        </w:rPr>
        <w:t> </w:t>
      </w:r>
      <w:r>
        <w:rPr>
          <w:sz w:val="21"/>
        </w:rPr>
        <w:t>supervening</w:t>
      </w:r>
      <w:r>
        <w:rPr>
          <w:spacing w:val="26"/>
          <w:sz w:val="21"/>
        </w:rPr>
        <w:t> </w:t>
      </w:r>
      <w:r>
        <w:rPr>
          <w:sz w:val="21"/>
        </w:rPr>
        <w:t>circumstances</w:t>
      </w:r>
      <w:r>
        <w:rPr>
          <w:spacing w:val="26"/>
          <w:sz w:val="21"/>
        </w:rPr>
        <w:t> </w:t>
      </w:r>
      <w:r>
        <w:rPr>
          <w:sz w:val="21"/>
        </w:rPr>
        <w:t>require </w:t>
      </w:r>
      <w:r>
        <w:rPr>
          <w:spacing w:val="-4"/>
          <w:sz w:val="21"/>
        </w:rPr>
        <w:t>so.</w:t>
      </w:r>
    </w:p>
    <w:p>
      <w:pPr>
        <w:pStyle w:val="BodyText"/>
        <w:spacing w:before="130"/>
        <w:rPr>
          <w:sz w:val="21"/>
        </w:rPr>
      </w:pPr>
    </w:p>
    <w:p>
      <w:pPr>
        <w:spacing w:before="1"/>
        <w:ind w:left="144" w:right="0" w:firstLine="0"/>
        <w:jc w:val="left"/>
        <w:rPr>
          <w:sz w:val="21"/>
        </w:rPr>
      </w:pPr>
      <w:r>
        <w:rPr>
          <w:i/>
          <w:sz w:val="21"/>
        </w:rPr>
        <w:t>Three</w:t>
      </w:r>
      <w:r>
        <w:rPr>
          <w:sz w:val="21"/>
        </w:rPr>
        <w:t>.</w:t>
      </w:r>
      <w:r>
        <w:rPr>
          <w:spacing w:val="-5"/>
          <w:sz w:val="21"/>
        </w:rPr>
        <w:t> </w:t>
      </w:r>
      <w:r>
        <w:rPr>
          <w:sz w:val="21"/>
        </w:rPr>
        <w:t>All</w:t>
      </w:r>
      <w:r>
        <w:rPr>
          <w:spacing w:val="9"/>
          <w:sz w:val="21"/>
        </w:rPr>
        <w:t> </w:t>
      </w:r>
      <w:r>
        <w:rPr>
          <w:sz w:val="21"/>
        </w:rPr>
        <w:t>of</w:t>
      </w:r>
      <w:r>
        <w:rPr>
          <w:spacing w:val="10"/>
          <w:sz w:val="21"/>
        </w:rPr>
        <w:t> </w:t>
      </w:r>
      <w:r>
        <w:rPr>
          <w:sz w:val="21"/>
        </w:rPr>
        <w:t>the</w:t>
      </w:r>
      <w:r>
        <w:rPr>
          <w:spacing w:val="9"/>
          <w:sz w:val="21"/>
        </w:rPr>
        <w:t> </w:t>
      </w:r>
      <w:r>
        <w:rPr>
          <w:sz w:val="21"/>
        </w:rPr>
        <w:t>Concessionaire’s</w:t>
      </w:r>
      <w:r>
        <w:rPr>
          <w:spacing w:val="9"/>
          <w:sz w:val="21"/>
        </w:rPr>
        <w:t> </w:t>
      </w:r>
      <w:r>
        <w:rPr>
          <w:sz w:val="21"/>
        </w:rPr>
        <w:t>share</w:t>
      </w:r>
      <w:r>
        <w:rPr>
          <w:spacing w:val="9"/>
          <w:sz w:val="21"/>
        </w:rPr>
        <w:t> </w:t>
      </w:r>
      <w:r>
        <w:rPr>
          <w:sz w:val="21"/>
        </w:rPr>
        <w:t>capital</w:t>
      </w:r>
      <w:r>
        <w:rPr>
          <w:spacing w:val="10"/>
          <w:sz w:val="21"/>
        </w:rPr>
        <w:t> </w:t>
      </w:r>
      <w:r>
        <w:rPr>
          <w:sz w:val="21"/>
        </w:rPr>
        <w:t>shall</w:t>
      </w:r>
      <w:r>
        <w:rPr>
          <w:spacing w:val="9"/>
          <w:sz w:val="21"/>
        </w:rPr>
        <w:t> </w:t>
      </w:r>
      <w:r>
        <w:rPr>
          <w:sz w:val="21"/>
        </w:rPr>
        <w:t>consist</w:t>
      </w:r>
      <w:r>
        <w:rPr>
          <w:spacing w:val="9"/>
          <w:sz w:val="21"/>
        </w:rPr>
        <w:t> </w:t>
      </w:r>
      <w:r>
        <w:rPr>
          <w:sz w:val="21"/>
        </w:rPr>
        <w:t>of</w:t>
      </w:r>
      <w:r>
        <w:rPr>
          <w:spacing w:val="10"/>
          <w:sz w:val="21"/>
        </w:rPr>
        <w:t> </w:t>
      </w:r>
      <w:r>
        <w:rPr>
          <w:sz w:val="21"/>
        </w:rPr>
        <w:t>nominal</w:t>
      </w:r>
      <w:r>
        <w:rPr>
          <w:spacing w:val="9"/>
          <w:sz w:val="21"/>
        </w:rPr>
        <w:t> </w:t>
      </w:r>
      <w:r>
        <w:rPr>
          <w:spacing w:val="-2"/>
          <w:sz w:val="21"/>
        </w:rPr>
        <w:t>shares.</w:t>
      </w:r>
    </w:p>
    <w:p>
      <w:pPr>
        <w:pStyle w:val="BodyText"/>
        <w:spacing w:before="159"/>
        <w:rPr>
          <w:sz w:val="21"/>
        </w:rPr>
      </w:pPr>
    </w:p>
    <w:p>
      <w:pPr>
        <w:spacing w:line="213" w:lineRule="auto" w:before="0"/>
        <w:ind w:left="144" w:right="0" w:firstLine="0"/>
        <w:jc w:val="left"/>
        <w:rPr>
          <w:sz w:val="21"/>
        </w:rPr>
      </w:pPr>
      <w:r>
        <w:rPr>
          <w:i/>
          <w:sz w:val="21"/>
        </w:rPr>
        <w:t>Four</w:t>
      </w:r>
      <w:r>
        <w:rPr>
          <w:sz w:val="21"/>
        </w:rPr>
        <w:t>.</w:t>
      </w:r>
      <w:r>
        <w:rPr>
          <w:spacing w:val="76"/>
          <w:sz w:val="21"/>
        </w:rPr>
        <w:t> </w:t>
      </w:r>
      <w:r>
        <w:rPr>
          <w:sz w:val="21"/>
        </w:rPr>
        <w:t>Any</w:t>
      </w:r>
      <w:r>
        <w:rPr>
          <w:spacing w:val="80"/>
          <w:sz w:val="21"/>
        </w:rPr>
        <w:t> </w:t>
      </w:r>
      <w:r>
        <w:rPr>
          <w:sz w:val="21"/>
        </w:rPr>
        <w:t>increase</w:t>
      </w:r>
      <w:r>
        <w:rPr>
          <w:spacing w:val="80"/>
          <w:sz w:val="21"/>
        </w:rPr>
        <w:t> </w:t>
      </w:r>
      <w:r>
        <w:rPr>
          <w:sz w:val="21"/>
        </w:rPr>
        <w:t>in</w:t>
      </w:r>
      <w:r>
        <w:rPr>
          <w:spacing w:val="80"/>
          <w:sz w:val="21"/>
        </w:rPr>
        <w:t> </w:t>
      </w:r>
      <w:r>
        <w:rPr>
          <w:sz w:val="21"/>
        </w:rPr>
        <w:t>the</w:t>
      </w:r>
      <w:r>
        <w:rPr>
          <w:spacing w:val="80"/>
          <w:sz w:val="21"/>
        </w:rPr>
        <w:t> </w:t>
      </w:r>
      <w:r>
        <w:rPr>
          <w:sz w:val="21"/>
        </w:rPr>
        <w:t>Concessionaire’s</w:t>
      </w:r>
      <w:r>
        <w:rPr>
          <w:spacing w:val="80"/>
          <w:sz w:val="21"/>
        </w:rPr>
        <w:t> </w:t>
      </w:r>
      <w:r>
        <w:rPr>
          <w:sz w:val="21"/>
        </w:rPr>
        <w:t>share</w:t>
      </w:r>
      <w:r>
        <w:rPr>
          <w:spacing w:val="80"/>
          <w:sz w:val="21"/>
        </w:rPr>
        <w:t> </w:t>
      </w:r>
      <w:r>
        <w:rPr>
          <w:sz w:val="21"/>
        </w:rPr>
        <w:t>capital</w:t>
      </w:r>
      <w:r>
        <w:rPr>
          <w:spacing w:val="80"/>
          <w:sz w:val="21"/>
        </w:rPr>
        <w:t> </w:t>
      </w:r>
      <w:r>
        <w:rPr>
          <w:sz w:val="21"/>
        </w:rPr>
        <w:t>through</w:t>
      </w:r>
      <w:r>
        <w:rPr>
          <w:spacing w:val="80"/>
          <w:sz w:val="21"/>
        </w:rPr>
        <w:t> </w:t>
      </w:r>
      <w:r>
        <w:rPr>
          <w:sz w:val="21"/>
        </w:rPr>
        <w:t>public</w:t>
      </w:r>
      <w:r>
        <w:rPr>
          <w:spacing w:val="80"/>
          <w:sz w:val="21"/>
        </w:rPr>
        <w:t> </w:t>
      </w:r>
      <w:r>
        <w:rPr>
          <w:sz w:val="21"/>
        </w:rPr>
        <w:t>subscription</w:t>
      </w:r>
      <w:r>
        <w:rPr>
          <w:spacing w:val="80"/>
          <w:sz w:val="21"/>
        </w:rPr>
        <w:t> </w:t>
      </w:r>
      <w:r>
        <w:rPr>
          <w:sz w:val="21"/>
        </w:rPr>
        <w:t>shall</w:t>
      </w:r>
      <w:r>
        <w:rPr>
          <w:spacing w:val="80"/>
          <w:sz w:val="21"/>
        </w:rPr>
        <w:t> </w:t>
      </w:r>
      <w:r>
        <w:rPr>
          <w:sz w:val="21"/>
        </w:rPr>
        <w:t>require</w:t>
      </w:r>
      <w:r>
        <w:rPr>
          <w:spacing w:val="80"/>
          <w:sz w:val="21"/>
        </w:rPr>
        <w:t> </w:t>
      </w:r>
      <w:r>
        <w:rPr>
          <w:sz w:val="21"/>
        </w:rPr>
        <w:t>authorization</w:t>
      </w:r>
      <w:r>
        <w:rPr>
          <w:spacing w:val="80"/>
          <w:sz w:val="21"/>
        </w:rPr>
        <w:t> </w:t>
      </w:r>
      <w:r>
        <w:rPr>
          <w:sz w:val="21"/>
        </w:rPr>
        <w:t>from</w:t>
      </w:r>
      <w:r>
        <w:rPr>
          <w:spacing w:val="80"/>
          <w:sz w:val="21"/>
        </w:rPr>
        <w:t> </w:t>
      </w:r>
      <w:r>
        <w:rPr>
          <w:sz w:val="21"/>
        </w:rPr>
        <w:t>the </w:t>
      </w:r>
      <w:r>
        <w:rPr>
          <w:spacing w:val="-2"/>
          <w:sz w:val="21"/>
        </w:rPr>
        <w:t>Government.</w:t>
      </w:r>
    </w:p>
    <w:p>
      <w:pPr>
        <w:pStyle w:val="BodyText"/>
        <w:spacing w:before="131"/>
        <w:rPr>
          <w:sz w:val="21"/>
        </w:rPr>
      </w:pPr>
    </w:p>
    <w:p>
      <w:pPr>
        <w:spacing w:before="0"/>
        <w:ind w:left="144" w:right="0" w:firstLine="0"/>
        <w:jc w:val="left"/>
        <w:rPr>
          <w:sz w:val="21"/>
        </w:rPr>
      </w:pPr>
      <w:r>
        <w:rPr>
          <w:i/>
          <w:sz w:val="21"/>
        </w:rPr>
        <w:t>Five</w:t>
      </w:r>
      <w:r>
        <w:rPr>
          <w:sz w:val="21"/>
        </w:rPr>
        <w:t>.</w:t>
      </w:r>
      <w:r>
        <w:rPr>
          <w:spacing w:val="6"/>
          <w:sz w:val="21"/>
        </w:rPr>
        <w:t> </w:t>
      </w:r>
      <w:r>
        <w:rPr>
          <w:sz w:val="21"/>
        </w:rPr>
        <w:t>The</w:t>
      </w:r>
      <w:r>
        <w:rPr>
          <w:spacing w:val="12"/>
          <w:sz w:val="21"/>
        </w:rPr>
        <w:t> </w:t>
      </w:r>
      <w:r>
        <w:rPr>
          <w:sz w:val="21"/>
        </w:rPr>
        <w:t>issuance</w:t>
      </w:r>
      <w:r>
        <w:rPr>
          <w:spacing w:val="12"/>
          <w:sz w:val="21"/>
        </w:rPr>
        <w:t> </w:t>
      </w:r>
      <w:r>
        <w:rPr>
          <w:sz w:val="21"/>
        </w:rPr>
        <w:t>of</w:t>
      </w:r>
      <w:r>
        <w:rPr>
          <w:spacing w:val="11"/>
          <w:sz w:val="21"/>
        </w:rPr>
        <w:t> </w:t>
      </w:r>
      <w:r>
        <w:rPr>
          <w:sz w:val="21"/>
        </w:rPr>
        <w:t>preferred</w:t>
      </w:r>
      <w:r>
        <w:rPr>
          <w:spacing w:val="12"/>
          <w:sz w:val="21"/>
        </w:rPr>
        <w:t> </w:t>
      </w:r>
      <w:r>
        <w:rPr>
          <w:sz w:val="21"/>
        </w:rPr>
        <w:t>shares</w:t>
      </w:r>
      <w:r>
        <w:rPr>
          <w:spacing w:val="12"/>
          <w:sz w:val="21"/>
        </w:rPr>
        <w:t> </w:t>
      </w:r>
      <w:r>
        <w:rPr>
          <w:sz w:val="21"/>
        </w:rPr>
        <w:t>by</w:t>
      </w:r>
      <w:r>
        <w:rPr>
          <w:spacing w:val="12"/>
          <w:sz w:val="21"/>
        </w:rPr>
        <w:t> </w:t>
      </w:r>
      <w:r>
        <w:rPr>
          <w:sz w:val="21"/>
        </w:rPr>
        <w:t>the</w:t>
      </w:r>
      <w:r>
        <w:rPr>
          <w:spacing w:val="11"/>
          <w:sz w:val="21"/>
        </w:rPr>
        <w:t> </w:t>
      </w:r>
      <w:r>
        <w:rPr>
          <w:sz w:val="21"/>
        </w:rPr>
        <w:t>Concessionaire</w:t>
      </w:r>
      <w:r>
        <w:rPr>
          <w:spacing w:val="12"/>
          <w:sz w:val="21"/>
        </w:rPr>
        <w:t> </w:t>
      </w:r>
      <w:r>
        <w:rPr>
          <w:sz w:val="21"/>
        </w:rPr>
        <w:t>shall</w:t>
      </w:r>
      <w:r>
        <w:rPr>
          <w:spacing w:val="12"/>
          <w:sz w:val="21"/>
        </w:rPr>
        <w:t> </w:t>
      </w:r>
      <w:r>
        <w:rPr>
          <w:sz w:val="21"/>
        </w:rPr>
        <w:t>require</w:t>
      </w:r>
      <w:r>
        <w:rPr>
          <w:spacing w:val="11"/>
          <w:sz w:val="21"/>
        </w:rPr>
        <w:t> </w:t>
      </w:r>
      <w:r>
        <w:rPr>
          <w:sz w:val="21"/>
        </w:rPr>
        <w:t>authorization</w:t>
      </w:r>
      <w:r>
        <w:rPr>
          <w:spacing w:val="12"/>
          <w:sz w:val="21"/>
        </w:rPr>
        <w:t> </w:t>
      </w:r>
      <w:r>
        <w:rPr>
          <w:sz w:val="21"/>
        </w:rPr>
        <w:t>from</w:t>
      </w:r>
      <w:r>
        <w:rPr>
          <w:spacing w:val="12"/>
          <w:sz w:val="21"/>
        </w:rPr>
        <w:t> </w:t>
      </w:r>
      <w:r>
        <w:rPr>
          <w:sz w:val="21"/>
        </w:rPr>
        <w:t>the</w:t>
      </w:r>
      <w:r>
        <w:rPr>
          <w:spacing w:val="11"/>
          <w:sz w:val="21"/>
        </w:rPr>
        <w:t> </w:t>
      </w:r>
      <w:r>
        <w:rPr>
          <w:spacing w:val="-2"/>
          <w:sz w:val="21"/>
        </w:rPr>
        <w:t>Government.</w:t>
      </w:r>
    </w:p>
    <w:p>
      <w:pPr>
        <w:pStyle w:val="BodyText"/>
        <w:spacing w:before="146"/>
        <w:rPr>
          <w:sz w:val="21"/>
        </w:rPr>
      </w:pPr>
    </w:p>
    <w:p>
      <w:pPr>
        <w:spacing w:line="213" w:lineRule="auto" w:before="0"/>
        <w:ind w:left="144" w:right="0" w:firstLine="0"/>
        <w:jc w:val="left"/>
        <w:rPr>
          <w:sz w:val="21"/>
        </w:rPr>
      </w:pPr>
      <w:r>
        <w:rPr>
          <w:i/>
          <w:sz w:val="21"/>
        </w:rPr>
        <w:t>Six</w:t>
      </w:r>
      <w:r>
        <w:rPr>
          <w:sz w:val="21"/>
        </w:rPr>
        <w:t>.</w:t>
      </w:r>
      <w:r>
        <w:rPr>
          <w:spacing w:val="22"/>
          <w:sz w:val="21"/>
        </w:rPr>
        <w:t> </w:t>
      </w:r>
      <w:r>
        <w:rPr>
          <w:sz w:val="21"/>
        </w:rPr>
        <w:t>Without</w:t>
      </w:r>
      <w:r>
        <w:rPr>
          <w:spacing w:val="27"/>
          <w:sz w:val="21"/>
        </w:rPr>
        <w:t> </w:t>
      </w:r>
      <w:r>
        <w:rPr>
          <w:sz w:val="21"/>
        </w:rPr>
        <w:t>prejudice</w:t>
      </w:r>
      <w:r>
        <w:rPr>
          <w:spacing w:val="27"/>
          <w:sz w:val="21"/>
        </w:rPr>
        <w:t> </w:t>
      </w:r>
      <w:r>
        <w:rPr>
          <w:sz w:val="21"/>
        </w:rPr>
        <w:t>to</w:t>
      </w:r>
      <w:r>
        <w:rPr>
          <w:spacing w:val="27"/>
          <w:sz w:val="21"/>
        </w:rPr>
        <w:t> </w:t>
      </w:r>
      <w:r>
        <w:rPr>
          <w:sz w:val="21"/>
        </w:rPr>
        <w:t>the</w:t>
      </w:r>
      <w:r>
        <w:rPr>
          <w:spacing w:val="27"/>
          <w:sz w:val="21"/>
        </w:rPr>
        <w:t> </w:t>
      </w:r>
      <w:r>
        <w:rPr>
          <w:sz w:val="21"/>
        </w:rPr>
        <w:t>previous</w:t>
      </w:r>
      <w:r>
        <w:rPr>
          <w:spacing w:val="27"/>
          <w:sz w:val="21"/>
        </w:rPr>
        <w:t> </w:t>
      </w:r>
      <w:r>
        <w:rPr>
          <w:sz w:val="21"/>
        </w:rPr>
        <w:t>paragraph,</w:t>
      </w:r>
      <w:r>
        <w:rPr>
          <w:spacing w:val="27"/>
          <w:sz w:val="21"/>
        </w:rPr>
        <w:t> </w:t>
      </w:r>
      <w:r>
        <w:rPr>
          <w:sz w:val="21"/>
        </w:rPr>
        <w:t>the</w:t>
      </w:r>
      <w:r>
        <w:rPr>
          <w:spacing w:val="27"/>
          <w:sz w:val="21"/>
        </w:rPr>
        <w:t> </w:t>
      </w:r>
      <w:r>
        <w:rPr>
          <w:sz w:val="21"/>
        </w:rPr>
        <w:t>creation</w:t>
      </w:r>
      <w:r>
        <w:rPr>
          <w:spacing w:val="27"/>
          <w:sz w:val="21"/>
        </w:rPr>
        <w:t> </w:t>
      </w:r>
      <w:r>
        <w:rPr>
          <w:sz w:val="21"/>
        </w:rPr>
        <w:t>or</w:t>
      </w:r>
      <w:r>
        <w:rPr>
          <w:spacing w:val="27"/>
          <w:sz w:val="21"/>
        </w:rPr>
        <w:t> </w:t>
      </w:r>
      <w:r>
        <w:rPr>
          <w:sz w:val="21"/>
        </w:rPr>
        <w:t>issuance</w:t>
      </w:r>
      <w:r>
        <w:rPr>
          <w:spacing w:val="27"/>
          <w:sz w:val="21"/>
        </w:rPr>
        <w:t> </w:t>
      </w:r>
      <w:r>
        <w:rPr>
          <w:sz w:val="21"/>
        </w:rPr>
        <w:t>of</w:t>
      </w:r>
      <w:r>
        <w:rPr>
          <w:spacing w:val="27"/>
          <w:sz w:val="21"/>
        </w:rPr>
        <w:t> </w:t>
      </w:r>
      <w:r>
        <w:rPr>
          <w:sz w:val="21"/>
        </w:rPr>
        <w:t>types</w:t>
      </w:r>
      <w:r>
        <w:rPr>
          <w:spacing w:val="27"/>
          <w:sz w:val="21"/>
        </w:rPr>
        <w:t> </w:t>
      </w:r>
      <w:r>
        <w:rPr>
          <w:sz w:val="21"/>
        </w:rPr>
        <w:t>or</w:t>
      </w:r>
      <w:r>
        <w:rPr>
          <w:spacing w:val="27"/>
          <w:sz w:val="21"/>
        </w:rPr>
        <w:t> </w:t>
      </w:r>
      <w:r>
        <w:rPr>
          <w:sz w:val="21"/>
        </w:rPr>
        <w:t>series</w:t>
      </w:r>
      <w:r>
        <w:rPr>
          <w:spacing w:val="27"/>
          <w:sz w:val="21"/>
        </w:rPr>
        <w:t> </w:t>
      </w:r>
      <w:r>
        <w:rPr>
          <w:sz w:val="21"/>
        </w:rPr>
        <w:t>of</w:t>
      </w:r>
      <w:r>
        <w:rPr>
          <w:spacing w:val="27"/>
          <w:sz w:val="21"/>
        </w:rPr>
        <w:t> </w:t>
      </w:r>
      <w:r>
        <w:rPr>
          <w:sz w:val="21"/>
        </w:rPr>
        <w:t>shares</w:t>
      </w:r>
      <w:r>
        <w:rPr>
          <w:spacing w:val="27"/>
          <w:sz w:val="21"/>
        </w:rPr>
        <w:t> </w:t>
      </w:r>
      <w:r>
        <w:rPr>
          <w:sz w:val="21"/>
        </w:rPr>
        <w:t>of</w:t>
      </w:r>
      <w:r>
        <w:rPr>
          <w:spacing w:val="27"/>
          <w:sz w:val="21"/>
        </w:rPr>
        <w:t> </w:t>
      </w:r>
      <w:r>
        <w:rPr>
          <w:sz w:val="21"/>
        </w:rPr>
        <w:t>the</w:t>
      </w:r>
      <w:r>
        <w:rPr>
          <w:spacing w:val="27"/>
          <w:sz w:val="21"/>
        </w:rPr>
        <w:t> </w:t>
      </w:r>
      <w:r>
        <w:rPr>
          <w:sz w:val="21"/>
        </w:rPr>
        <w:t>Concessionaire's</w:t>
      </w:r>
      <w:r>
        <w:rPr>
          <w:spacing w:val="27"/>
          <w:sz w:val="21"/>
        </w:rPr>
        <w:t> </w:t>
      </w:r>
      <w:r>
        <w:rPr>
          <w:sz w:val="21"/>
        </w:rPr>
        <w:t>share capital, as well as its transfer, require Government authorization.</w:t>
      </w:r>
    </w:p>
    <w:p>
      <w:pPr>
        <w:pStyle w:val="BodyText"/>
        <w:spacing w:before="71"/>
        <w:rPr>
          <w:sz w:val="21"/>
        </w:rPr>
      </w:pPr>
    </w:p>
    <w:p>
      <w:pPr>
        <w:spacing w:line="213" w:lineRule="auto" w:before="0"/>
        <w:ind w:left="144" w:right="0" w:firstLine="0"/>
        <w:jc w:val="left"/>
        <w:rPr>
          <w:sz w:val="21"/>
        </w:rPr>
      </w:pPr>
      <w:r>
        <w:rPr>
          <w:i/>
          <w:sz w:val="21"/>
        </w:rPr>
        <w:t>Seven</w:t>
      </w:r>
      <w:r>
        <w:rPr>
          <w:sz w:val="21"/>
        </w:rPr>
        <w:t>. The</w:t>
      </w:r>
      <w:r>
        <w:rPr>
          <w:spacing w:val="17"/>
          <w:sz w:val="21"/>
        </w:rPr>
        <w:t> </w:t>
      </w:r>
      <w:r>
        <w:rPr>
          <w:sz w:val="21"/>
        </w:rPr>
        <w:t>Concessionaire</w:t>
      </w:r>
      <w:r>
        <w:rPr>
          <w:spacing w:val="17"/>
          <w:sz w:val="21"/>
        </w:rPr>
        <w:t> </w:t>
      </w:r>
      <w:r>
        <w:rPr>
          <w:sz w:val="21"/>
        </w:rPr>
        <w:t>pledges</w:t>
      </w:r>
      <w:r>
        <w:rPr>
          <w:spacing w:val="17"/>
          <w:sz w:val="21"/>
        </w:rPr>
        <w:t> </w:t>
      </w:r>
      <w:r>
        <w:rPr>
          <w:sz w:val="21"/>
        </w:rPr>
        <w:t>to</w:t>
      </w:r>
      <w:r>
        <w:rPr>
          <w:spacing w:val="17"/>
          <w:sz w:val="21"/>
        </w:rPr>
        <w:t> </w:t>
      </w:r>
      <w:r>
        <w:rPr>
          <w:sz w:val="21"/>
        </w:rPr>
        <w:t>endeavor</w:t>
      </w:r>
      <w:r>
        <w:rPr>
          <w:spacing w:val="17"/>
          <w:sz w:val="21"/>
        </w:rPr>
        <w:t> </w:t>
      </w:r>
      <w:r>
        <w:rPr>
          <w:sz w:val="21"/>
        </w:rPr>
        <w:t>that</w:t>
      </w:r>
      <w:r>
        <w:rPr>
          <w:spacing w:val="17"/>
          <w:sz w:val="21"/>
        </w:rPr>
        <w:t> </w:t>
      </w:r>
      <w:r>
        <w:rPr>
          <w:sz w:val="21"/>
        </w:rPr>
        <w:t>the</w:t>
      </w:r>
      <w:r>
        <w:rPr>
          <w:spacing w:val="17"/>
          <w:sz w:val="21"/>
        </w:rPr>
        <w:t> </w:t>
      </w:r>
      <w:r>
        <w:rPr>
          <w:sz w:val="21"/>
        </w:rPr>
        <w:t>entire</w:t>
      </w:r>
      <w:r>
        <w:rPr>
          <w:spacing w:val="17"/>
          <w:sz w:val="21"/>
        </w:rPr>
        <w:t> </w:t>
      </w:r>
      <w:r>
        <w:rPr>
          <w:sz w:val="21"/>
        </w:rPr>
        <w:t>share</w:t>
      </w:r>
      <w:r>
        <w:rPr>
          <w:spacing w:val="17"/>
          <w:sz w:val="21"/>
        </w:rPr>
        <w:t> </w:t>
      </w:r>
      <w:r>
        <w:rPr>
          <w:sz w:val="21"/>
        </w:rPr>
        <w:t>capital</w:t>
      </w:r>
      <w:r>
        <w:rPr>
          <w:spacing w:val="17"/>
          <w:sz w:val="21"/>
        </w:rPr>
        <w:t> </w:t>
      </w:r>
      <w:r>
        <w:rPr>
          <w:sz w:val="21"/>
        </w:rPr>
        <w:t>of</w:t>
      </w:r>
      <w:r>
        <w:rPr>
          <w:spacing w:val="17"/>
          <w:sz w:val="21"/>
        </w:rPr>
        <w:t> </w:t>
      </w:r>
      <w:r>
        <w:rPr>
          <w:sz w:val="21"/>
        </w:rPr>
        <w:t>the</w:t>
      </w:r>
      <w:r>
        <w:rPr>
          <w:spacing w:val="17"/>
          <w:sz w:val="21"/>
        </w:rPr>
        <w:t> </w:t>
      </w:r>
      <w:r>
        <w:rPr>
          <w:sz w:val="21"/>
        </w:rPr>
        <w:t>Concessionaire's</w:t>
      </w:r>
      <w:r>
        <w:rPr>
          <w:spacing w:val="17"/>
          <w:sz w:val="21"/>
        </w:rPr>
        <w:t> </w:t>
      </w:r>
      <w:r>
        <w:rPr>
          <w:sz w:val="21"/>
        </w:rPr>
        <w:t>shareholders</w:t>
      </w:r>
      <w:r>
        <w:rPr>
          <w:spacing w:val="17"/>
          <w:sz w:val="21"/>
        </w:rPr>
        <w:t> </w:t>
      </w:r>
      <w:r>
        <w:rPr>
          <w:sz w:val="21"/>
        </w:rPr>
        <w:t>that</w:t>
      </w:r>
      <w:r>
        <w:rPr>
          <w:spacing w:val="17"/>
          <w:sz w:val="21"/>
        </w:rPr>
        <w:t> </w:t>
      </w:r>
      <w:r>
        <w:rPr>
          <w:sz w:val="21"/>
        </w:rPr>
        <w:t>are</w:t>
      </w:r>
      <w:r>
        <w:rPr>
          <w:spacing w:val="17"/>
          <w:sz w:val="21"/>
        </w:rPr>
        <w:t> </w:t>
      </w:r>
      <w:r>
        <w:rPr>
          <w:sz w:val="21"/>
        </w:rPr>
        <w:t>companies, and the share capital of the shareholders of</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6"/>
        <w:rPr>
          <w:sz w:val="20"/>
        </w:rPr>
      </w:pPr>
      <w:r>
        <w:rPr/>
        <mc:AlternateContent>
          <mc:Choice Requires="wps">
            <w:drawing>
              <wp:anchor distT="0" distB="0" distL="0" distR="0" allowOverlap="1" layoutInCell="1" locked="0" behindDoc="1" simplePos="0" relativeHeight="487767552">
                <wp:simplePos x="0" y="0"/>
                <wp:positionH relativeFrom="page">
                  <wp:posOffset>231457</wp:posOffset>
                </wp:positionH>
                <wp:positionV relativeFrom="paragraph">
                  <wp:posOffset>222237</wp:posOffset>
                </wp:positionV>
                <wp:extent cx="7312659" cy="17145"/>
                <wp:effectExtent l="0" t="0" r="0" b="0"/>
                <wp:wrapTopAndBottom/>
                <wp:docPr id="820" name="Group 820"/>
                <wp:cNvGraphicFramePr>
                  <a:graphicFrameLocks/>
                </wp:cNvGraphicFramePr>
                <a:graphic>
                  <a:graphicData uri="http://schemas.microsoft.com/office/word/2010/wordprocessingGroup">
                    <wpg:wgp>
                      <wpg:cNvPr id="820" name="Group 820"/>
                      <wpg:cNvGrpSpPr/>
                      <wpg:grpSpPr>
                        <a:xfrm>
                          <a:off x="0" y="0"/>
                          <a:ext cx="7312659" cy="17145"/>
                          <a:chExt cx="7312659" cy="17145"/>
                        </a:xfrm>
                      </wpg:grpSpPr>
                      <wps:wsp>
                        <wps:cNvPr id="821" name="Graphic 82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22" name="Graphic 822"/>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23" name="Graphic 82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7.499023pt;width:575.8pt;height:1.35pt;mso-position-horizontal-relative:page;mso-position-vertical-relative:paragraph;z-index:-15548928;mso-wrap-distance-left:0;mso-wrap-distance-right:0" id="docshapegroup818" coordorigin="364,350" coordsize="11516,27">
                <v:rect style="position:absolute;left:364;top:349;width:11516;height:14" id="docshape819" filled="true" fillcolor="#999999" stroked="false">
                  <v:fill type="solid"/>
                </v:rect>
                <v:shape style="position:absolute;left:364;top:349;width:11516;height:27" id="docshape820" coordorigin="364,350" coordsize="11516,27" path="m11880,350l11866,363,364,363,364,377,11866,377,11880,377,11880,363,11880,350xe" filled="true" fillcolor="#ededed" stroked="false">
                  <v:path arrowok="t"/>
                  <v:fill type="solid"/>
                </v:shape>
                <v:shape style="position:absolute;left:364;top:349;width:14;height:27" id="docshape821" coordorigin="364,350" coordsize="14,27" path="m364,377l364,350,378,350,378,363,364,377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spacing w:line="213" w:lineRule="auto" w:before="96"/>
        <w:ind w:left="144" w:right="218" w:firstLine="0"/>
        <w:jc w:val="both"/>
        <w:rPr>
          <w:sz w:val="21"/>
        </w:rPr>
      </w:pPr>
      <w:r>
        <w:rPr>
          <w:sz w:val="21"/>
        </w:rPr>
        <w:t>these that are companies, and so on and so forth down to the final shareholders, whether these are individuals or companies, </w:t>
      </w:r>
      <w:r>
        <w:rPr>
          <w:sz w:val="21"/>
        </w:rPr>
        <w:t>are represented</w:t>
      </w:r>
      <w:r>
        <w:rPr>
          <w:spacing w:val="40"/>
          <w:sz w:val="21"/>
        </w:rPr>
        <w:t> </w:t>
      </w:r>
      <w:r>
        <w:rPr>
          <w:sz w:val="21"/>
        </w:rPr>
        <w:t>exclusively</w:t>
      </w:r>
      <w:r>
        <w:rPr>
          <w:spacing w:val="40"/>
          <w:sz w:val="21"/>
        </w:rPr>
        <w:t> </w:t>
      </w:r>
      <w:r>
        <w:rPr>
          <w:sz w:val="21"/>
        </w:rPr>
        <w:t>by</w:t>
      </w:r>
      <w:r>
        <w:rPr>
          <w:spacing w:val="40"/>
          <w:sz w:val="21"/>
        </w:rPr>
        <w:t> </w:t>
      </w:r>
      <w:r>
        <w:rPr>
          <w:sz w:val="21"/>
        </w:rPr>
        <w:t>nominal</w:t>
      </w:r>
      <w:r>
        <w:rPr>
          <w:spacing w:val="40"/>
          <w:sz w:val="21"/>
        </w:rPr>
        <w:t> </w:t>
      </w:r>
      <w:r>
        <w:rPr>
          <w:sz w:val="21"/>
        </w:rPr>
        <w:t>shares,</w:t>
      </w:r>
      <w:r>
        <w:rPr>
          <w:spacing w:val="40"/>
          <w:sz w:val="21"/>
        </w:rPr>
        <w:t> </w:t>
      </w:r>
      <w:r>
        <w:rPr>
          <w:sz w:val="21"/>
        </w:rPr>
        <w:t>except</w:t>
      </w:r>
      <w:r>
        <w:rPr>
          <w:spacing w:val="40"/>
          <w:sz w:val="21"/>
        </w:rPr>
        <w:t> </w:t>
      </w:r>
      <w:r>
        <w:rPr>
          <w:sz w:val="21"/>
        </w:rPr>
        <w:t>for</w:t>
      </w:r>
      <w:r>
        <w:rPr>
          <w:spacing w:val="40"/>
          <w:sz w:val="21"/>
        </w:rPr>
        <w:t> </w:t>
      </w:r>
      <w:r>
        <w:rPr>
          <w:sz w:val="21"/>
        </w:rPr>
        <w:t>companies</w:t>
      </w:r>
      <w:r>
        <w:rPr>
          <w:spacing w:val="40"/>
          <w:sz w:val="21"/>
        </w:rPr>
        <w:t> </w:t>
      </w:r>
      <w:r>
        <w:rPr>
          <w:sz w:val="21"/>
        </w:rPr>
        <w:t>that</w:t>
      </w:r>
      <w:r>
        <w:rPr>
          <w:spacing w:val="40"/>
          <w:sz w:val="21"/>
        </w:rPr>
        <w:t> </w:t>
      </w:r>
      <w:r>
        <w:rPr>
          <w:sz w:val="21"/>
        </w:rPr>
        <w:t>are</w:t>
      </w:r>
      <w:r>
        <w:rPr>
          <w:spacing w:val="40"/>
          <w:sz w:val="21"/>
        </w:rPr>
        <w:t> </w:t>
      </w:r>
      <w:r>
        <w:rPr>
          <w:sz w:val="21"/>
        </w:rPr>
        <w:t>listed</w:t>
      </w:r>
      <w:r>
        <w:rPr>
          <w:spacing w:val="40"/>
          <w:sz w:val="21"/>
        </w:rPr>
        <w:t> </w:t>
      </w:r>
      <w:r>
        <w:rPr>
          <w:sz w:val="21"/>
        </w:rPr>
        <w:t>on</w:t>
      </w:r>
      <w:r>
        <w:rPr>
          <w:spacing w:val="40"/>
          <w:sz w:val="21"/>
        </w:rPr>
        <w:t> </w:t>
      </w:r>
      <w:r>
        <w:rPr>
          <w:sz w:val="21"/>
        </w:rPr>
        <w:t>stock</w:t>
      </w:r>
      <w:r>
        <w:rPr>
          <w:spacing w:val="40"/>
          <w:sz w:val="21"/>
        </w:rPr>
        <w:t> </w:t>
      </w:r>
      <w:r>
        <w:rPr>
          <w:sz w:val="21"/>
        </w:rPr>
        <w:t>exchanges</w:t>
      </w:r>
      <w:r>
        <w:rPr>
          <w:spacing w:val="40"/>
          <w:sz w:val="21"/>
        </w:rPr>
        <w:t> </w:t>
      </w:r>
      <w:r>
        <w:rPr>
          <w:sz w:val="21"/>
        </w:rPr>
        <w:t>–</w:t>
      </w:r>
      <w:r>
        <w:rPr>
          <w:spacing w:val="40"/>
          <w:sz w:val="21"/>
        </w:rPr>
        <w:t> </w:t>
      </w:r>
      <w:r>
        <w:rPr>
          <w:sz w:val="21"/>
        </w:rPr>
        <w:t>in</w:t>
      </w:r>
      <w:r>
        <w:rPr>
          <w:spacing w:val="40"/>
          <w:sz w:val="21"/>
        </w:rPr>
        <w:t> </w:t>
      </w:r>
      <w:r>
        <w:rPr>
          <w:sz w:val="21"/>
        </w:rPr>
        <w:t>relation</w:t>
      </w:r>
      <w:r>
        <w:rPr>
          <w:spacing w:val="40"/>
          <w:sz w:val="21"/>
        </w:rPr>
        <w:t> </w:t>
      </w:r>
      <w:r>
        <w:rPr>
          <w:sz w:val="21"/>
        </w:rPr>
        <w:t>to</w:t>
      </w:r>
      <w:r>
        <w:rPr>
          <w:spacing w:val="40"/>
          <w:sz w:val="21"/>
        </w:rPr>
        <w:t> </w:t>
      </w:r>
      <w:r>
        <w:rPr>
          <w:sz w:val="21"/>
        </w:rPr>
        <w:t>the</w:t>
      </w:r>
      <w:r>
        <w:rPr>
          <w:spacing w:val="40"/>
          <w:sz w:val="21"/>
        </w:rPr>
        <w:t> </w:t>
      </w:r>
      <w:r>
        <w:rPr>
          <w:sz w:val="21"/>
        </w:rPr>
        <w:t>shares tradable therein.</w:t>
      </w:r>
    </w:p>
    <w:p>
      <w:pPr>
        <w:pStyle w:val="BodyText"/>
        <w:spacing w:before="145"/>
        <w:rPr>
          <w:sz w:val="21"/>
        </w:rPr>
      </w:pPr>
    </w:p>
    <w:p>
      <w:pPr>
        <w:spacing w:before="0"/>
        <w:ind w:left="24" w:right="0" w:firstLine="0"/>
        <w:jc w:val="center"/>
        <w:rPr>
          <w:b/>
          <w:sz w:val="21"/>
        </w:rPr>
      </w:pPr>
      <w:r>
        <w:rPr>
          <w:b/>
          <w:sz w:val="21"/>
        </w:rPr>
        <w:t>Clause</w:t>
      </w:r>
      <w:r>
        <w:rPr>
          <w:b/>
          <w:spacing w:val="13"/>
          <w:sz w:val="21"/>
        </w:rPr>
        <w:t> </w:t>
      </w:r>
      <w:r>
        <w:rPr>
          <w:b/>
          <w:spacing w:val="-5"/>
          <w:sz w:val="21"/>
        </w:rPr>
        <w:t>16</w:t>
      </w:r>
    </w:p>
    <w:p>
      <w:pPr>
        <w:spacing w:before="69"/>
        <w:ind w:left="24" w:right="0" w:firstLine="0"/>
        <w:jc w:val="center"/>
        <w:rPr>
          <w:b/>
          <w:sz w:val="21"/>
        </w:rPr>
      </w:pPr>
      <w:r>
        <w:rPr>
          <w:b/>
          <w:sz w:val="21"/>
        </w:rPr>
        <w:t>Transfer</w:t>
      </w:r>
      <w:r>
        <w:rPr>
          <w:b/>
          <w:spacing w:val="4"/>
          <w:sz w:val="21"/>
        </w:rPr>
        <w:t> </w:t>
      </w:r>
      <w:r>
        <w:rPr>
          <w:b/>
          <w:sz w:val="21"/>
        </w:rPr>
        <w:t>and</w:t>
      </w:r>
      <w:r>
        <w:rPr>
          <w:b/>
          <w:spacing w:val="10"/>
          <w:sz w:val="21"/>
        </w:rPr>
        <w:t> </w:t>
      </w:r>
      <w:r>
        <w:rPr>
          <w:b/>
          <w:sz w:val="21"/>
        </w:rPr>
        <w:t>encumbrance</w:t>
      </w:r>
      <w:r>
        <w:rPr>
          <w:b/>
          <w:spacing w:val="9"/>
          <w:sz w:val="21"/>
        </w:rPr>
        <w:t> </w:t>
      </w:r>
      <w:r>
        <w:rPr>
          <w:b/>
          <w:sz w:val="21"/>
        </w:rPr>
        <w:t>of</w:t>
      </w:r>
      <w:r>
        <w:rPr>
          <w:b/>
          <w:spacing w:val="10"/>
          <w:sz w:val="21"/>
        </w:rPr>
        <w:t> </w:t>
      </w:r>
      <w:r>
        <w:rPr>
          <w:b/>
          <w:spacing w:val="-2"/>
          <w:sz w:val="21"/>
        </w:rPr>
        <w:t>shares</w:t>
      </w:r>
    </w:p>
    <w:p>
      <w:pPr>
        <w:pStyle w:val="BodyText"/>
        <w:spacing w:before="173"/>
        <w:rPr>
          <w:b/>
          <w:sz w:val="21"/>
        </w:rPr>
      </w:pPr>
    </w:p>
    <w:p>
      <w:pPr>
        <w:spacing w:line="213" w:lineRule="auto" w:before="0"/>
        <w:ind w:left="144" w:right="220" w:firstLine="0"/>
        <w:jc w:val="both"/>
        <w:rPr>
          <w:sz w:val="21"/>
        </w:rPr>
      </w:pPr>
      <w:r>
        <w:rPr>
          <w:i/>
          <w:sz w:val="21"/>
        </w:rPr>
        <w:t>One</w:t>
      </w:r>
      <w:r>
        <w:rPr>
          <w:sz w:val="21"/>
        </w:rPr>
        <w:t>. The transfer </w:t>
      </w:r>
      <w:r>
        <w:rPr>
          <w:i/>
          <w:sz w:val="21"/>
        </w:rPr>
        <w:t>inter vivos </w:t>
      </w:r>
      <w:r>
        <w:rPr>
          <w:sz w:val="21"/>
        </w:rPr>
        <w:t>or encumbrance, by any means, of the ownership or other rights over shares representing </w:t>
      </w:r>
      <w:r>
        <w:rPr>
          <w:sz w:val="21"/>
        </w:rPr>
        <w:t>the Concessionaire's</w:t>
      </w:r>
      <w:r>
        <w:rPr>
          <w:spacing w:val="29"/>
          <w:sz w:val="21"/>
        </w:rPr>
        <w:t> </w:t>
      </w:r>
      <w:r>
        <w:rPr>
          <w:sz w:val="21"/>
        </w:rPr>
        <w:t>share</w:t>
      </w:r>
      <w:r>
        <w:rPr>
          <w:spacing w:val="29"/>
          <w:sz w:val="21"/>
        </w:rPr>
        <w:t> </w:t>
      </w:r>
      <w:r>
        <w:rPr>
          <w:sz w:val="21"/>
        </w:rPr>
        <w:t>capital,</w:t>
      </w:r>
      <w:r>
        <w:rPr>
          <w:spacing w:val="29"/>
          <w:sz w:val="21"/>
        </w:rPr>
        <w:t> </w:t>
      </w:r>
      <w:r>
        <w:rPr>
          <w:sz w:val="21"/>
        </w:rPr>
        <w:t>as</w:t>
      </w:r>
      <w:r>
        <w:rPr>
          <w:spacing w:val="29"/>
          <w:sz w:val="21"/>
        </w:rPr>
        <w:t> </w:t>
      </w:r>
      <w:r>
        <w:rPr>
          <w:sz w:val="21"/>
        </w:rPr>
        <w:t>well</w:t>
      </w:r>
      <w:r>
        <w:rPr>
          <w:spacing w:val="29"/>
          <w:sz w:val="21"/>
        </w:rPr>
        <w:t> </w:t>
      </w:r>
      <w:r>
        <w:rPr>
          <w:sz w:val="21"/>
        </w:rPr>
        <w:t>as</w:t>
      </w:r>
      <w:r>
        <w:rPr>
          <w:spacing w:val="29"/>
          <w:sz w:val="21"/>
        </w:rPr>
        <w:t> </w:t>
      </w:r>
      <w:r>
        <w:rPr>
          <w:sz w:val="21"/>
        </w:rPr>
        <w:t>the</w:t>
      </w:r>
      <w:r>
        <w:rPr>
          <w:spacing w:val="29"/>
          <w:sz w:val="21"/>
        </w:rPr>
        <w:t> </w:t>
      </w:r>
      <w:r>
        <w:rPr>
          <w:sz w:val="21"/>
        </w:rPr>
        <w:t>performance</w:t>
      </w:r>
      <w:r>
        <w:rPr>
          <w:spacing w:val="29"/>
          <w:sz w:val="21"/>
        </w:rPr>
        <w:t> </w:t>
      </w:r>
      <w:r>
        <w:rPr>
          <w:sz w:val="21"/>
        </w:rPr>
        <w:t>of</w:t>
      </w:r>
      <w:r>
        <w:rPr>
          <w:spacing w:val="29"/>
          <w:sz w:val="21"/>
        </w:rPr>
        <w:t> </w:t>
      </w:r>
      <w:r>
        <w:rPr>
          <w:sz w:val="21"/>
        </w:rPr>
        <w:t>any</w:t>
      </w:r>
      <w:r>
        <w:rPr>
          <w:spacing w:val="29"/>
          <w:sz w:val="21"/>
        </w:rPr>
        <w:t> </w:t>
      </w:r>
      <w:r>
        <w:rPr>
          <w:sz w:val="21"/>
        </w:rPr>
        <w:t>acts</w:t>
      </w:r>
      <w:r>
        <w:rPr>
          <w:spacing w:val="29"/>
          <w:sz w:val="21"/>
        </w:rPr>
        <w:t> </w:t>
      </w:r>
      <w:r>
        <w:rPr>
          <w:sz w:val="21"/>
        </w:rPr>
        <w:t>involving</w:t>
      </w:r>
      <w:r>
        <w:rPr>
          <w:spacing w:val="29"/>
          <w:sz w:val="21"/>
        </w:rPr>
        <w:t> </w:t>
      </w:r>
      <w:r>
        <w:rPr>
          <w:sz w:val="21"/>
        </w:rPr>
        <w:t>the</w:t>
      </w:r>
      <w:r>
        <w:rPr>
          <w:spacing w:val="29"/>
          <w:sz w:val="21"/>
        </w:rPr>
        <w:t> </w:t>
      </w:r>
      <w:r>
        <w:rPr>
          <w:sz w:val="21"/>
        </w:rPr>
        <w:t>attribution</w:t>
      </w:r>
      <w:r>
        <w:rPr>
          <w:spacing w:val="29"/>
          <w:sz w:val="21"/>
        </w:rPr>
        <w:t> </w:t>
      </w:r>
      <w:r>
        <w:rPr>
          <w:sz w:val="21"/>
        </w:rPr>
        <w:t>of</w:t>
      </w:r>
      <w:r>
        <w:rPr>
          <w:spacing w:val="29"/>
          <w:sz w:val="21"/>
        </w:rPr>
        <w:t> </w:t>
      </w:r>
      <w:r>
        <w:rPr>
          <w:sz w:val="21"/>
        </w:rPr>
        <w:t>voting</w:t>
      </w:r>
      <w:r>
        <w:rPr>
          <w:spacing w:val="29"/>
          <w:sz w:val="21"/>
        </w:rPr>
        <w:t> </w:t>
      </w:r>
      <w:r>
        <w:rPr>
          <w:sz w:val="21"/>
        </w:rPr>
        <w:t>rights</w:t>
      </w:r>
      <w:r>
        <w:rPr>
          <w:spacing w:val="29"/>
          <w:sz w:val="21"/>
        </w:rPr>
        <w:t> </w:t>
      </w:r>
      <w:r>
        <w:rPr>
          <w:sz w:val="21"/>
        </w:rPr>
        <w:t>or</w:t>
      </w:r>
      <w:r>
        <w:rPr>
          <w:spacing w:val="29"/>
          <w:sz w:val="21"/>
        </w:rPr>
        <w:t> </w:t>
      </w:r>
      <w:r>
        <w:rPr>
          <w:sz w:val="21"/>
        </w:rPr>
        <w:t>other</w:t>
      </w:r>
      <w:r>
        <w:rPr>
          <w:spacing w:val="29"/>
          <w:sz w:val="21"/>
        </w:rPr>
        <w:t> </w:t>
      </w:r>
      <w:r>
        <w:rPr>
          <w:sz w:val="21"/>
        </w:rPr>
        <w:t>corporate rights</w:t>
      </w:r>
      <w:r>
        <w:rPr>
          <w:spacing w:val="24"/>
          <w:sz w:val="21"/>
        </w:rPr>
        <w:t> </w:t>
      </w:r>
      <w:r>
        <w:rPr>
          <w:sz w:val="21"/>
        </w:rPr>
        <w:t>to</w:t>
      </w:r>
      <w:r>
        <w:rPr>
          <w:spacing w:val="24"/>
          <w:sz w:val="21"/>
        </w:rPr>
        <w:t> </w:t>
      </w:r>
      <w:r>
        <w:rPr>
          <w:sz w:val="21"/>
        </w:rPr>
        <w:t>a</w:t>
      </w:r>
      <w:r>
        <w:rPr>
          <w:spacing w:val="24"/>
          <w:sz w:val="21"/>
        </w:rPr>
        <w:t> </w:t>
      </w:r>
      <w:r>
        <w:rPr>
          <w:sz w:val="21"/>
        </w:rPr>
        <w:t>person</w:t>
      </w:r>
      <w:r>
        <w:rPr>
          <w:spacing w:val="24"/>
          <w:sz w:val="21"/>
        </w:rPr>
        <w:t> </w:t>
      </w:r>
      <w:r>
        <w:rPr>
          <w:sz w:val="21"/>
        </w:rPr>
        <w:t>other</w:t>
      </w:r>
      <w:r>
        <w:rPr>
          <w:spacing w:val="24"/>
          <w:sz w:val="21"/>
        </w:rPr>
        <w:t> </w:t>
      </w:r>
      <w:r>
        <w:rPr>
          <w:sz w:val="21"/>
        </w:rPr>
        <w:t>than</w:t>
      </w:r>
      <w:r>
        <w:rPr>
          <w:spacing w:val="24"/>
          <w:sz w:val="21"/>
        </w:rPr>
        <w:t> </w:t>
      </w:r>
      <w:r>
        <w:rPr>
          <w:sz w:val="21"/>
        </w:rPr>
        <w:t>its</w:t>
      </w:r>
      <w:r>
        <w:rPr>
          <w:spacing w:val="24"/>
          <w:sz w:val="21"/>
        </w:rPr>
        <w:t> </w:t>
      </w:r>
      <w:r>
        <w:rPr>
          <w:sz w:val="21"/>
        </w:rPr>
        <w:t>holder,</w:t>
      </w:r>
      <w:r>
        <w:rPr>
          <w:spacing w:val="24"/>
          <w:sz w:val="21"/>
        </w:rPr>
        <w:t> </w:t>
      </w:r>
      <w:r>
        <w:rPr>
          <w:sz w:val="21"/>
        </w:rPr>
        <w:t>shall</w:t>
      </w:r>
      <w:r>
        <w:rPr>
          <w:spacing w:val="24"/>
          <w:sz w:val="21"/>
        </w:rPr>
        <w:t> </w:t>
      </w:r>
      <w:r>
        <w:rPr>
          <w:sz w:val="21"/>
        </w:rPr>
        <w:t>require</w:t>
      </w:r>
      <w:r>
        <w:rPr>
          <w:spacing w:val="24"/>
          <w:sz w:val="21"/>
        </w:rPr>
        <w:t> </w:t>
      </w:r>
      <w:r>
        <w:rPr>
          <w:sz w:val="21"/>
        </w:rPr>
        <w:t>authorization</w:t>
      </w:r>
      <w:r>
        <w:rPr>
          <w:spacing w:val="24"/>
          <w:sz w:val="21"/>
        </w:rPr>
        <w:t> </w:t>
      </w:r>
      <w:r>
        <w:rPr>
          <w:sz w:val="21"/>
        </w:rPr>
        <w:t>from</w:t>
      </w:r>
      <w:r>
        <w:rPr>
          <w:spacing w:val="24"/>
          <w:sz w:val="21"/>
        </w:rPr>
        <w:t> </w:t>
      </w:r>
      <w:r>
        <w:rPr>
          <w:sz w:val="21"/>
        </w:rPr>
        <w:t>the</w:t>
      </w:r>
      <w:r>
        <w:rPr>
          <w:spacing w:val="24"/>
          <w:sz w:val="21"/>
        </w:rPr>
        <w:t> </w:t>
      </w:r>
      <w:r>
        <w:rPr>
          <w:sz w:val="21"/>
        </w:rPr>
        <w:t>Secretary</w:t>
      </w:r>
      <w:r>
        <w:rPr>
          <w:spacing w:val="24"/>
          <w:sz w:val="21"/>
        </w:rPr>
        <w:t> </w:t>
      </w:r>
      <w:r>
        <w:rPr>
          <w:sz w:val="21"/>
        </w:rPr>
        <w:t>for</w:t>
      </w:r>
      <w:r>
        <w:rPr>
          <w:spacing w:val="24"/>
          <w:sz w:val="21"/>
        </w:rPr>
        <w:t> </w:t>
      </w:r>
      <w:r>
        <w:rPr>
          <w:sz w:val="21"/>
        </w:rPr>
        <w:t>Economy</w:t>
      </w:r>
      <w:r>
        <w:rPr>
          <w:spacing w:val="24"/>
          <w:sz w:val="21"/>
        </w:rPr>
        <w:t> </w:t>
      </w:r>
      <w:r>
        <w:rPr>
          <w:sz w:val="21"/>
        </w:rPr>
        <w:t>and</w:t>
      </w:r>
      <w:r>
        <w:rPr>
          <w:spacing w:val="24"/>
          <w:sz w:val="21"/>
        </w:rPr>
        <w:t> </w:t>
      </w:r>
      <w:r>
        <w:rPr>
          <w:sz w:val="21"/>
        </w:rPr>
        <w:t>Finance.</w:t>
      </w:r>
    </w:p>
    <w:p>
      <w:pPr>
        <w:pStyle w:val="BodyText"/>
        <w:spacing w:before="180"/>
        <w:rPr>
          <w:sz w:val="21"/>
        </w:rPr>
      </w:pPr>
    </w:p>
    <w:p>
      <w:pPr>
        <w:spacing w:line="213" w:lineRule="auto" w:before="0"/>
        <w:ind w:left="144" w:right="118" w:firstLine="0"/>
        <w:jc w:val="both"/>
        <w:rPr>
          <w:sz w:val="21"/>
        </w:rPr>
      </w:pPr>
      <w:r>
        <w:rPr>
          <w:i/>
          <w:sz w:val="21"/>
        </w:rPr>
        <w:t>Two</w:t>
      </w:r>
      <w:r>
        <w:rPr>
          <w:sz w:val="21"/>
        </w:rPr>
        <w:t>.</w:t>
      </w:r>
      <w:r>
        <w:rPr>
          <w:spacing w:val="40"/>
          <w:sz w:val="21"/>
        </w:rPr>
        <w:t> </w:t>
      </w:r>
      <w:r>
        <w:rPr>
          <w:sz w:val="21"/>
        </w:rPr>
        <w:t>In</w:t>
      </w:r>
      <w:r>
        <w:rPr>
          <w:spacing w:val="40"/>
          <w:sz w:val="21"/>
        </w:rPr>
        <w:t> </w:t>
      </w:r>
      <w:r>
        <w:rPr>
          <w:sz w:val="21"/>
        </w:rPr>
        <w:t>the</w:t>
      </w:r>
      <w:r>
        <w:rPr>
          <w:spacing w:val="40"/>
          <w:sz w:val="21"/>
        </w:rPr>
        <w:t> </w:t>
      </w:r>
      <w:r>
        <w:rPr>
          <w:sz w:val="21"/>
        </w:rPr>
        <w:t>case</w:t>
      </w:r>
      <w:r>
        <w:rPr>
          <w:spacing w:val="40"/>
          <w:sz w:val="21"/>
        </w:rPr>
        <w:t> </w:t>
      </w:r>
      <w:r>
        <w:rPr>
          <w:sz w:val="21"/>
        </w:rPr>
        <w:t>referred</w:t>
      </w:r>
      <w:r>
        <w:rPr>
          <w:spacing w:val="40"/>
          <w:sz w:val="21"/>
        </w:rPr>
        <w:t> </w:t>
      </w:r>
      <w:r>
        <w:rPr>
          <w:sz w:val="21"/>
        </w:rPr>
        <w:t>in</w:t>
      </w:r>
      <w:r>
        <w:rPr>
          <w:spacing w:val="40"/>
          <w:sz w:val="21"/>
        </w:rPr>
        <w:t> </w:t>
      </w:r>
      <w:r>
        <w:rPr>
          <w:sz w:val="21"/>
        </w:rPr>
        <w:t>the</w:t>
      </w:r>
      <w:r>
        <w:rPr>
          <w:spacing w:val="40"/>
          <w:sz w:val="21"/>
        </w:rPr>
        <w:t> </w:t>
      </w:r>
      <w:r>
        <w:rPr>
          <w:sz w:val="21"/>
        </w:rPr>
        <w:t>previous</w:t>
      </w:r>
      <w:r>
        <w:rPr>
          <w:spacing w:val="40"/>
          <w:sz w:val="21"/>
        </w:rPr>
        <w:t> </w:t>
      </w:r>
      <w:r>
        <w:rPr>
          <w:sz w:val="21"/>
        </w:rPr>
        <w:t>paragraph,</w:t>
      </w:r>
      <w:r>
        <w:rPr>
          <w:spacing w:val="40"/>
          <w:sz w:val="21"/>
        </w:rPr>
        <w:t> </w:t>
      </w:r>
      <w:r>
        <w:rPr>
          <w:sz w:val="21"/>
        </w:rPr>
        <w:t>the</w:t>
      </w:r>
      <w:r>
        <w:rPr>
          <w:spacing w:val="40"/>
          <w:sz w:val="21"/>
        </w:rPr>
        <w:t> </w:t>
      </w:r>
      <w:r>
        <w:rPr>
          <w:sz w:val="21"/>
        </w:rPr>
        <w:t>Concessionaire</w:t>
      </w:r>
      <w:r>
        <w:rPr>
          <w:spacing w:val="40"/>
          <w:sz w:val="21"/>
        </w:rPr>
        <w:t> </w:t>
      </w:r>
      <w:r>
        <w:rPr>
          <w:sz w:val="21"/>
        </w:rPr>
        <w:t>shall,</w:t>
      </w:r>
      <w:r>
        <w:rPr>
          <w:spacing w:val="40"/>
          <w:sz w:val="21"/>
        </w:rPr>
        <w:t> </w:t>
      </w:r>
      <w:r>
        <w:rPr>
          <w:sz w:val="21"/>
        </w:rPr>
        <w:t>under</w:t>
      </w:r>
      <w:r>
        <w:rPr>
          <w:spacing w:val="40"/>
          <w:sz w:val="21"/>
        </w:rPr>
        <w:t> </w:t>
      </w:r>
      <w:r>
        <w:rPr>
          <w:sz w:val="21"/>
        </w:rPr>
        <w:t>all</w:t>
      </w:r>
      <w:r>
        <w:rPr>
          <w:spacing w:val="40"/>
          <w:sz w:val="21"/>
        </w:rPr>
        <w:t> </w:t>
      </w:r>
      <w:r>
        <w:rPr>
          <w:sz w:val="21"/>
        </w:rPr>
        <w:t>circumstances,</w:t>
      </w:r>
      <w:r>
        <w:rPr>
          <w:spacing w:val="40"/>
          <w:sz w:val="21"/>
        </w:rPr>
        <w:t> </w:t>
      </w:r>
      <w:r>
        <w:rPr>
          <w:sz w:val="21"/>
        </w:rPr>
        <w:t>be</w:t>
      </w:r>
      <w:r>
        <w:rPr>
          <w:spacing w:val="40"/>
          <w:sz w:val="21"/>
        </w:rPr>
        <w:t> </w:t>
      </w:r>
      <w:r>
        <w:rPr>
          <w:sz w:val="21"/>
        </w:rPr>
        <w:t>required</w:t>
      </w:r>
      <w:r>
        <w:rPr>
          <w:spacing w:val="40"/>
          <w:sz w:val="21"/>
        </w:rPr>
        <w:t> </w:t>
      </w:r>
      <w:r>
        <w:rPr>
          <w:sz w:val="21"/>
        </w:rPr>
        <w:t>to</w:t>
      </w:r>
      <w:r>
        <w:rPr>
          <w:spacing w:val="40"/>
          <w:sz w:val="21"/>
        </w:rPr>
        <w:t> </w:t>
      </w:r>
      <w:r>
        <w:rPr>
          <w:sz w:val="21"/>
        </w:rPr>
        <w:t>refuse</w:t>
      </w:r>
      <w:r>
        <w:rPr>
          <w:spacing w:val="40"/>
          <w:sz w:val="21"/>
        </w:rPr>
        <w:t> </w:t>
      </w:r>
      <w:r>
        <w:rPr>
          <w:sz w:val="21"/>
        </w:rPr>
        <w:t>to register or recognize as a shareholder any entity which acquires or holds shares representing the Concessionaire’s share capital in</w:t>
      </w:r>
      <w:r>
        <w:rPr>
          <w:spacing w:val="80"/>
          <w:w w:val="150"/>
          <w:sz w:val="21"/>
        </w:rPr>
        <w:t> </w:t>
      </w:r>
      <w:r>
        <w:rPr>
          <w:sz w:val="21"/>
        </w:rPr>
        <w:t>breach</w:t>
      </w:r>
      <w:r>
        <w:rPr>
          <w:spacing w:val="17"/>
          <w:sz w:val="21"/>
        </w:rPr>
        <w:t> </w:t>
      </w:r>
      <w:r>
        <w:rPr>
          <w:sz w:val="21"/>
        </w:rPr>
        <w:t>of</w:t>
      </w:r>
      <w:r>
        <w:rPr>
          <w:spacing w:val="17"/>
          <w:sz w:val="21"/>
        </w:rPr>
        <w:t> </w:t>
      </w:r>
      <w:r>
        <w:rPr>
          <w:sz w:val="21"/>
        </w:rPr>
        <w:t>the</w:t>
      </w:r>
      <w:r>
        <w:rPr>
          <w:spacing w:val="17"/>
          <w:sz w:val="21"/>
        </w:rPr>
        <w:t> </w:t>
      </w:r>
      <w:r>
        <w:rPr>
          <w:sz w:val="21"/>
        </w:rPr>
        <w:t>provisions</w:t>
      </w:r>
      <w:r>
        <w:rPr>
          <w:spacing w:val="17"/>
          <w:sz w:val="21"/>
        </w:rPr>
        <w:t> </w:t>
      </w:r>
      <w:r>
        <w:rPr>
          <w:sz w:val="21"/>
        </w:rPr>
        <w:t>of</w:t>
      </w:r>
      <w:r>
        <w:rPr>
          <w:spacing w:val="17"/>
          <w:sz w:val="21"/>
        </w:rPr>
        <w:t> </w:t>
      </w:r>
      <w:r>
        <w:rPr>
          <w:sz w:val="21"/>
        </w:rPr>
        <w:t>this</w:t>
      </w:r>
      <w:r>
        <w:rPr>
          <w:spacing w:val="17"/>
          <w:sz w:val="21"/>
        </w:rPr>
        <w:t> </w:t>
      </w:r>
      <w:r>
        <w:rPr>
          <w:sz w:val="21"/>
        </w:rPr>
        <w:t>concession</w:t>
      </w:r>
      <w:r>
        <w:rPr>
          <w:spacing w:val="17"/>
          <w:sz w:val="21"/>
        </w:rPr>
        <w:t> </w:t>
      </w:r>
      <w:r>
        <w:rPr>
          <w:sz w:val="21"/>
        </w:rPr>
        <w:t>contract</w:t>
      </w:r>
      <w:r>
        <w:rPr>
          <w:spacing w:val="17"/>
          <w:sz w:val="21"/>
        </w:rPr>
        <w:t> </w:t>
      </w:r>
      <w:r>
        <w:rPr>
          <w:sz w:val="21"/>
        </w:rPr>
        <w:t>or</w:t>
      </w:r>
      <w:r>
        <w:rPr>
          <w:spacing w:val="17"/>
          <w:sz w:val="21"/>
        </w:rPr>
        <w:t> </w:t>
      </w:r>
      <w:r>
        <w:rPr>
          <w:sz w:val="21"/>
        </w:rPr>
        <w:t>the</w:t>
      </w:r>
      <w:r>
        <w:rPr>
          <w:spacing w:val="17"/>
          <w:sz w:val="21"/>
        </w:rPr>
        <w:t> </w:t>
      </w:r>
      <w:r>
        <w:rPr>
          <w:sz w:val="21"/>
        </w:rPr>
        <w:t>law</w:t>
      </w:r>
      <w:r>
        <w:rPr>
          <w:spacing w:val="17"/>
          <w:sz w:val="21"/>
        </w:rPr>
        <w:t> </w:t>
      </w:r>
      <w:r>
        <w:rPr>
          <w:sz w:val="21"/>
        </w:rPr>
        <w:t>and</w:t>
      </w:r>
      <w:r>
        <w:rPr>
          <w:spacing w:val="17"/>
          <w:sz w:val="21"/>
        </w:rPr>
        <w:t> </w:t>
      </w:r>
      <w:r>
        <w:rPr>
          <w:sz w:val="21"/>
        </w:rPr>
        <w:t>shall</w:t>
      </w:r>
      <w:r>
        <w:rPr>
          <w:spacing w:val="17"/>
          <w:sz w:val="21"/>
        </w:rPr>
        <w:t> </w:t>
      </w:r>
      <w:r>
        <w:rPr>
          <w:sz w:val="21"/>
        </w:rPr>
        <w:t>not</w:t>
      </w:r>
      <w:r>
        <w:rPr>
          <w:spacing w:val="17"/>
          <w:sz w:val="21"/>
        </w:rPr>
        <w:t> </w:t>
      </w:r>
      <w:r>
        <w:rPr>
          <w:sz w:val="21"/>
        </w:rPr>
        <w:t>carry</w:t>
      </w:r>
      <w:r>
        <w:rPr>
          <w:spacing w:val="17"/>
          <w:sz w:val="21"/>
        </w:rPr>
        <w:t> </w:t>
      </w:r>
      <w:r>
        <w:rPr>
          <w:sz w:val="21"/>
        </w:rPr>
        <w:t>out</w:t>
      </w:r>
      <w:r>
        <w:rPr>
          <w:spacing w:val="17"/>
          <w:sz w:val="21"/>
        </w:rPr>
        <w:t> </w:t>
      </w:r>
      <w:r>
        <w:rPr>
          <w:sz w:val="21"/>
        </w:rPr>
        <w:t>any</w:t>
      </w:r>
      <w:r>
        <w:rPr>
          <w:spacing w:val="17"/>
          <w:sz w:val="21"/>
        </w:rPr>
        <w:t> </w:t>
      </w:r>
      <w:r>
        <w:rPr>
          <w:sz w:val="21"/>
        </w:rPr>
        <w:t>act</w:t>
      </w:r>
      <w:r>
        <w:rPr>
          <w:spacing w:val="17"/>
          <w:sz w:val="21"/>
        </w:rPr>
        <w:t> </w:t>
      </w:r>
      <w:r>
        <w:rPr>
          <w:sz w:val="21"/>
        </w:rPr>
        <w:t>through</w:t>
      </w:r>
      <w:r>
        <w:rPr>
          <w:spacing w:val="17"/>
          <w:sz w:val="21"/>
        </w:rPr>
        <w:t> </w:t>
      </w:r>
      <w:r>
        <w:rPr>
          <w:sz w:val="21"/>
        </w:rPr>
        <w:t>which,</w:t>
      </w:r>
      <w:r>
        <w:rPr>
          <w:spacing w:val="17"/>
          <w:sz w:val="21"/>
        </w:rPr>
        <w:t> </w:t>
      </w:r>
      <w:r>
        <w:rPr>
          <w:sz w:val="21"/>
        </w:rPr>
        <w:t>implicitly</w:t>
      </w:r>
      <w:r>
        <w:rPr>
          <w:spacing w:val="17"/>
          <w:sz w:val="21"/>
        </w:rPr>
        <w:t> </w:t>
      </w:r>
      <w:r>
        <w:rPr>
          <w:sz w:val="21"/>
        </w:rPr>
        <w:t>or</w:t>
      </w:r>
      <w:r>
        <w:rPr>
          <w:spacing w:val="17"/>
          <w:sz w:val="21"/>
        </w:rPr>
        <w:t> </w:t>
      </w:r>
      <w:r>
        <w:rPr>
          <w:sz w:val="21"/>
        </w:rPr>
        <w:t>explicitly, it</w:t>
      </w:r>
      <w:r>
        <w:rPr>
          <w:spacing w:val="24"/>
          <w:sz w:val="21"/>
        </w:rPr>
        <w:t> </w:t>
      </w:r>
      <w:r>
        <w:rPr>
          <w:sz w:val="21"/>
        </w:rPr>
        <w:t>recognizes</w:t>
      </w:r>
      <w:r>
        <w:rPr>
          <w:spacing w:val="24"/>
          <w:sz w:val="21"/>
        </w:rPr>
        <w:t> </w:t>
      </w:r>
      <w:r>
        <w:rPr>
          <w:sz w:val="21"/>
        </w:rPr>
        <w:t>the</w:t>
      </w:r>
      <w:r>
        <w:rPr>
          <w:spacing w:val="24"/>
          <w:sz w:val="21"/>
        </w:rPr>
        <w:t> </w:t>
      </w:r>
      <w:r>
        <w:rPr>
          <w:sz w:val="21"/>
        </w:rPr>
        <w:t>transfer</w:t>
      </w:r>
      <w:r>
        <w:rPr>
          <w:spacing w:val="24"/>
          <w:sz w:val="21"/>
        </w:rPr>
        <w:t> </w:t>
      </w:r>
      <w:r>
        <w:rPr>
          <w:i/>
          <w:sz w:val="21"/>
        </w:rPr>
        <w:t>inter</w:t>
      </w:r>
      <w:r>
        <w:rPr>
          <w:i/>
          <w:spacing w:val="24"/>
          <w:sz w:val="21"/>
        </w:rPr>
        <w:t> </w:t>
      </w:r>
      <w:r>
        <w:rPr>
          <w:i/>
          <w:sz w:val="21"/>
        </w:rPr>
        <w:t>vivos</w:t>
      </w:r>
      <w:r>
        <w:rPr>
          <w:i/>
          <w:spacing w:val="24"/>
          <w:sz w:val="21"/>
        </w:rPr>
        <w:t> </w:t>
      </w:r>
      <w:r>
        <w:rPr>
          <w:sz w:val="21"/>
        </w:rPr>
        <w:t>or</w:t>
      </w:r>
      <w:r>
        <w:rPr>
          <w:spacing w:val="24"/>
          <w:sz w:val="21"/>
        </w:rPr>
        <w:t> </w:t>
      </w:r>
      <w:r>
        <w:rPr>
          <w:sz w:val="21"/>
        </w:rPr>
        <w:t>encumbrance</w:t>
      </w:r>
      <w:r>
        <w:rPr>
          <w:spacing w:val="24"/>
          <w:sz w:val="21"/>
        </w:rPr>
        <w:t> </w:t>
      </w:r>
      <w:r>
        <w:rPr>
          <w:sz w:val="21"/>
        </w:rPr>
        <w:t>referred</w:t>
      </w:r>
      <w:r>
        <w:rPr>
          <w:spacing w:val="24"/>
          <w:sz w:val="21"/>
        </w:rPr>
        <w:t> </w:t>
      </w:r>
      <w:r>
        <w:rPr>
          <w:sz w:val="21"/>
        </w:rPr>
        <w:t>to</w:t>
      </w:r>
      <w:r>
        <w:rPr>
          <w:spacing w:val="24"/>
          <w:sz w:val="21"/>
        </w:rPr>
        <w:t> </w:t>
      </w:r>
      <w:r>
        <w:rPr>
          <w:sz w:val="21"/>
        </w:rPr>
        <w:t>in</w:t>
      </w:r>
      <w:r>
        <w:rPr>
          <w:spacing w:val="24"/>
          <w:sz w:val="21"/>
        </w:rPr>
        <w:t> </w:t>
      </w:r>
      <w:r>
        <w:rPr>
          <w:sz w:val="21"/>
        </w:rPr>
        <w:t>the</w:t>
      </w:r>
      <w:r>
        <w:rPr>
          <w:spacing w:val="24"/>
          <w:sz w:val="21"/>
        </w:rPr>
        <w:t> </w:t>
      </w:r>
      <w:r>
        <w:rPr>
          <w:sz w:val="21"/>
        </w:rPr>
        <w:t>previous</w:t>
      </w:r>
      <w:r>
        <w:rPr>
          <w:spacing w:val="24"/>
          <w:sz w:val="21"/>
        </w:rPr>
        <w:t> </w:t>
      </w:r>
      <w:r>
        <w:rPr>
          <w:sz w:val="21"/>
        </w:rPr>
        <w:t>paragraph</w:t>
      </w:r>
      <w:r>
        <w:rPr>
          <w:spacing w:val="24"/>
          <w:sz w:val="21"/>
        </w:rPr>
        <w:t> </w:t>
      </w:r>
      <w:r>
        <w:rPr>
          <w:sz w:val="21"/>
        </w:rPr>
        <w:t>to</w:t>
      </w:r>
      <w:r>
        <w:rPr>
          <w:spacing w:val="24"/>
          <w:sz w:val="21"/>
        </w:rPr>
        <w:t> </w:t>
      </w:r>
      <w:r>
        <w:rPr>
          <w:sz w:val="21"/>
        </w:rPr>
        <w:t>have</w:t>
      </w:r>
      <w:r>
        <w:rPr>
          <w:spacing w:val="24"/>
          <w:sz w:val="21"/>
        </w:rPr>
        <w:t> </w:t>
      </w:r>
      <w:r>
        <w:rPr>
          <w:sz w:val="21"/>
        </w:rPr>
        <w:t>any</w:t>
      </w:r>
      <w:r>
        <w:rPr>
          <w:spacing w:val="24"/>
          <w:sz w:val="21"/>
        </w:rPr>
        <w:t> </w:t>
      </w:r>
      <w:r>
        <w:rPr>
          <w:sz w:val="21"/>
        </w:rPr>
        <w:t>effect.</w:t>
      </w:r>
    </w:p>
    <w:p>
      <w:pPr>
        <w:pStyle w:val="BodyText"/>
        <w:spacing w:before="155"/>
        <w:rPr>
          <w:sz w:val="21"/>
        </w:rPr>
      </w:pPr>
    </w:p>
    <w:p>
      <w:pPr>
        <w:spacing w:line="213" w:lineRule="auto" w:before="0"/>
        <w:ind w:left="144" w:right="117" w:firstLine="0"/>
        <w:jc w:val="both"/>
        <w:rPr>
          <w:sz w:val="21"/>
        </w:rPr>
      </w:pPr>
      <w:r>
        <w:rPr>
          <w:i/>
          <w:sz w:val="21"/>
        </w:rPr>
        <w:t>Three</w:t>
      </w:r>
      <w:r>
        <w:rPr>
          <w:sz w:val="21"/>
        </w:rPr>
        <w:t>. The </w:t>
      </w:r>
      <w:r>
        <w:rPr>
          <w:i/>
          <w:sz w:val="21"/>
        </w:rPr>
        <w:t>mortis causa </w:t>
      </w:r>
      <w:r>
        <w:rPr>
          <w:sz w:val="21"/>
        </w:rPr>
        <w:t>transfer of ownership or any other right over shares representing the Concessionaire's share capital must be reported to DICJ within 15 days of becoming aware of the fact, enclosing the respective supporting documents; the Concessionaire undertakes,</w:t>
      </w:r>
      <w:r>
        <w:rPr>
          <w:spacing w:val="23"/>
          <w:sz w:val="21"/>
        </w:rPr>
        <w:t> </w:t>
      </w:r>
      <w:r>
        <w:rPr>
          <w:sz w:val="21"/>
        </w:rPr>
        <w:t>at</w:t>
      </w:r>
      <w:r>
        <w:rPr>
          <w:spacing w:val="23"/>
          <w:sz w:val="21"/>
        </w:rPr>
        <w:t> </w:t>
      </w:r>
      <w:r>
        <w:rPr>
          <w:sz w:val="21"/>
        </w:rPr>
        <w:t>the</w:t>
      </w:r>
      <w:r>
        <w:rPr>
          <w:spacing w:val="23"/>
          <w:sz w:val="21"/>
        </w:rPr>
        <w:t> </w:t>
      </w:r>
      <w:r>
        <w:rPr>
          <w:sz w:val="21"/>
        </w:rPr>
        <w:t>same</w:t>
      </w:r>
      <w:r>
        <w:rPr>
          <w:spacing w:val="23"/>
          <w:sz w:val="21"/>
        </w:rPr>
        <w:t> </w:t>
      </w:r>
      <w:r>
        <w:rPr>
          <w:sz w:val="21"/>
        </w:rPr>
        <w:t>time,</w:t>
      </w:r>
      <w:r>
        <w:rPr>
          <w:spacing w:val="23"/>
          <w:sz w:val="21"/>
        </w:rPr>
        <w:t> </w:t>
      </w:r>
      <w:r>
        <w:rPr>
          <w:sz w:val="21"/>
        </w:rPr>
        <w:t>to</w:t>
      </w:r>
      <w:r>
        <w:rPr>
          <w:spacing w:val="23"/>
          <w:sz w:val="21"/>
        </w:rPr>
        <w:t> </w:t>
      </w:r>
      <w:r>
        <w:rPr>
          <w:sz w:val="21"/>
        </w:rPr>
        <w:t>ensure</w:t>
      </w:r>
      <w:r>
        <w:rPr>
          <w:spacing w:val="23"/>
          <w:sz w:val="21"/>
        </w:rPr>
        <w:t> </w:t>
      </w:r>
      <w:r>
        <w:rPr>
          <w:sz w:val="21"/>
        </w:rPr>
        <w:t>that</w:t>
      </w:r>
      <w:r>
        <w:rPr>
          <w:spacing w:val="23"/>
          <w:sz w:val="21"/>
        </w:rPr>
        <w:t> </w:t>
      </w:r>
      <w:r>
        <w:rPr>
          <w:sz w:val="21"/>
        </w:rPr>
        <w:t>the</w:t>
      </w:r>
      <w:r>
        <w:rPr>
          <w:spacing w:val="23"/>
          <w:sz w:val="21"/>
        </w:rPr>
        <w:t> </w:t>
      </w:r>
      <w:r>
        <w:rPr>
          <w:sz w:val="21"/>
        </w:rPr>
        <w:t>transfer</w:t>
      </w:r>
      <w:r>
        <w:rPr>
          <w:spacing w:val="23"/>
          <w:sz w:val="21"/>
        </w:rPr>
        <w:t> </w:t>
      </w:r>
      <w:r>
        <w:rPr>
          <w:sz w:val="21"/>
        </w:rPr>
        <w:t>is</w:t>
      </w:r>
      <w:r>
        <w:rPr>
          <w:spacing w:val="23"/>
          <w:sz w:val="21"/>
        </w:rPr>
        <w:t> </w:t>
      </w:r>
      <w:r>
        <w:rPr>
          <w:sz w:val="21"/>
        </w:rPr>
        <w:t>registered</w:t>
      </w:r>
      <w:r>
        <w:rPr>
          <w:spacing w:val="23"/>
          <w:sz w:val="21"/>
        </w:rPr>
        <w:t> </w:t>
      </w:r>
      <w:r>
        <w:rPr>
          <w:sz w:val="21"/>
        </w:rPr>
        <w:t>in</w:t>
      </w:r>
      <w:r>
        <w:rPr>
          <w:spacing w:val="23"/>
          <w:sz w:val="21"/>
        </w:rPr>
        <w:t> </w:t>
      </w:r>
      <w:r>
        <w:rPr>
          <w:sz w:val="21"/>
        </w:rPr>
        <w:t>its</w:t>
      </w:r>
      <w:r>
        <w:rPr>
          <w:spacing w:val="23"/>
          <w:sz w:val="21"/>
        </w:rPr>
        <w:t> </w:t>
      </w:r>
      <w:r>
        <w:rPr>
          <w:sz w:val="21"/>
        </w:rPr>
        <w:t>share</w:t>
      </w:r>
      <w:r>
        <w:rPr>
          <w:spacing w:val="23"/>
          <w:sz w:val="21"/>
        </w:rPr>
        <w:t> </w:t>
      </w:r>
      <w:r>
        <w:rPr>
          <w:sz w:val="21"/>
        </w:rPr>
        <w:t>register</w:t>
      </w:r>
      <w:r>
        <w:rPr>
          <w:spacing w:val="23"/>
          <w:sz w:val="21"/>
        </w:rPr>
        <w:t> </w:t>
      </w:r>
      <w:r>
        <w:rPr>
          <w:sz w:val="21"/>
        </w:rPr>
        <w:t>book.</w:t>
      </w:r>
    </w:p>
    <w:p>
      <w:pPr>
        <w:pStyle w:val="BodyText"/>
        <w:spacing w:before="72"/>
        <w:rPr>
          <w:sz w:val="21"/>
        </w:rPr>
      </w:pPr>
    </w:p>
    <w:p>
      <w:pPr>
        <w:spacing w:line="213" w:lineRule="auto" w:before="0"/>
        <w:ind w:left="144" w:right="220" w:firstLine="0"/>
        <w:jc w:val="both"/>
        <w:rPr>
          <w:sz w:val="21"/>
        </w:rPr>
      </w:pPr>
      <w:r>
        <w:rPr>
          <w:i/>
          <w:sz w:val="21"/>
        </w:rPr>
        <w:t>Four</w:t>
      </w:r>
      <w:r>
        <w:rPr>
          <w:sz w:val="21"/>
        </w:rPr>
        <w:t>.</w:t>
      </w:r>
      <w:r>
        <w:rPr>
          <w:spacing w:val="40"/>
          <w:sz w:val="21"/>
        </w:rPr>
        <w:t> </w:t>
      </w:r>
      <w:r>
        <w:rPr>
          <w:sz w:val="21"/>
        </w:rPr>
        <w:t>After</w:t>
      </w:r>
      <w:r>
        <w:rPr>
          <w:spacing w:val="40"/>
          <w:sz w:val="21"/>
        </w:rPr>
        <w:t> </w:t>
      </w:r>
      <w:r>
        <w:rPr>
          <w:sz w:val="21"/>
        </w:rPr>
        <w:t>securing</w:t>
      </w:r>
      <w:r>
        <w:rPr>
          <w:spacing w:val="40"/>
          <w:sz w:val="21"/>
        </w:rPr>
        <w:t> </w:t>
      </w:r>
      <w:r>
        <w:rPr>
          <w:sz w:val="21"/>
        </w:rPr>
        <w:t>the</w:t>
      </w:r>
      <w:r>
        <w:rPr>
          <w:spacing w:val="40"/>
          <w:sz w:val="21"/>
        </w:rPr>
        <w:t> </w:t>
      </w:r>
      <w:r>
        <w:rPr>
          <w:sz w:val="21"/>
        </w:rPr>
        <w:t>authorization</w:t>
      </w:r>
      <w:r>
        <w:rPr>
          <w:spacing w:val="40"/>
          <w:sz w:val="21"/>
        </w:rPr>
        <w:t> </w:t>
      </w:r>
      <w:r>
        <w:rPr>
          <w:sz w:val="21"/>
        </w:rPr>
        <w:t>referred</w:t>
      </w:r>
      <w:r>
        <w:rPr>
          <w:spacing w:val="40"/>
          <w:sz w:val="21"/>
        </w:rPr>
        <w:t> </w:t>
      </w:r>
      <w:r>
        <w:rPr>
          <w:sz w:val="21"/>
        </w:rPr>
        <w:t>in</w:t>
      </w:r>
      <w:r>
        <w:rPr>
          <w:spacing w:val="40"/>
          <w:sz w:val="21"/>
        </w:rPr>
        <w:t> </w:t>
      </w:r>
      <w:r>
        <w:rPr>
          <w:sz w:val="21"/>
        </w:rPr>
        <w:t>paragraph</w:t>
      </w:r>
      <w:r>
        <w:rPr>
          <w:spacing w:val="40"/>
          <w:sz w:val="21"/>
        </w:rPr>
        <w:t> </w:t>
      </w:r>
      <w:r>
        <w:rPr>
          <w:i/>
          <w:sz w:val="21"/>
        </w:rPr>
        <w:t>one</w:t>
      </w:r>
      <w:r>
        <w:rPr>
          <w:sz w:val="21"/>
        </w:rPr>
        <w:t>,</w:t>
      </w:r>
      <w:r>
        <w:rPr>
          <w:spacing w:val="40"/>
          <w:sz w:val="21"/>
        </w:rPr>
        <w:t> </w:t>
      </w:r>
      <w:r>
        <w:rPr>
          <w:sz w:val="21"/>
        </w:rPr>
        <w:t>the</w:t>
      </w:r>
      <w:r>
        <w:rPr>
          <w:spacing w:val="40"/>
          <w:sz w:val="21"/>
        </w:rPr>
        <w:t> </w:t>
      </w:r>
      <w:r>
        <w:rPr>
          <w:sz w:val="21"/>
        </w:rPr>
        <w:t>holder</w:t>
      </w:r>
      <w:r>
        <w:rPr>
          <w:spacing w:val="40"/>
          <w:sz w:val="21"/>
        </w:rPr>
        <w:t> </w:t>
      </w:r>
      <w:r>
        <w:rPr>
          <w:sz w:val="21"/>
        </w:rPr>
        <w:t>of</w:t>
      </w:r>
      <w:r>
        <w:rPr>
          <w:spacing w:val="40"/>
          <w:sz w:val="21"/>
        </w:rPr>
        <w:t> </w:t>
      </w:r>
      <w:r>
        <w:rPr>
          <w:sz w:val="21"/>
        </w:rPr>
        <w:t>the</w:t>
      </w:r>
      <w:r>
        <w:rPr>
          <w:spacing w:val="40"/>
          <w:sz w:val="21"/>
        </w:rPr>
        <w:t> </w:t>
      </w:r>
      <w:r>
        <w:rPr>
          <w:sz w:val="21"/>
        </w:rPr>
        <w:t>ownership</w:t>
      </w:r>
      <w:r>
        <w:rPr>
          <w:spacing w:val="40"/>
          <w:sz w:val="21"/>
        </w:rPr>
        <w:t> </w:t>
      </w:r>
      <w:r>
        <w:rPr>
          <w:sz w:val="21"/>
        </w:rPr>
        <w:t>or</w:t>
      </w:r>
      <w:r>
        <w:rPr>
          <w:spacing w:val="40"/>
          <w:sz w:val="21"/>
        </w:rPr>
        <w:t> </w:t>
      </w:r>
      <w:r>
        <w:rPr>
          <w:sz w:val="21"/>
        </w:rPr>
        <w:t>other</w:t>
      </w:r>
      <w:r>
        <w:rPr>
          <w:spacing w:val="40"/>
          <w:sz w:val="21"/>
        </w:rPr>
        <w:t> </w:t>
      </w:r>
      <w:r>
        <w:rPr>
          <w:sz w:val="21"/>
        </w:rPr>
        <w:t>rights</w:t>
      </w:r>
      <w:r>
        <w:rPr>
          <w:spacing w:val="40"/>
          <w:sz w:val="21"/>
        </w:rPr>
        <w:t> </w:t>
      </w:r>
      <w:r>
        <w:rPr>
          <w:sz w:val="21"/>
        </w:rPr>
        <w:t>to</w:t>
      </w:r>
      <w:r>
        <w:rPr>
          <w:spacing w:val="40"/>
          <w:sz w:val="21"/>
        </w:rPr>
        <w:t> </w:t>
      </w:r>
      <w:r>
        <w:rPr>
          <w:sz w:val="21"/>
        </w:rPr>
        <w:t>the</w:t>
      </w:r>
      <w:r>
        <w:rPr>
          <w:spacing w:val="40"/>
          <w:sz w:val="21"/>
        </w:rPr>
        <w:t> </w:t>
      </w:r>
      <w:r>
        <w:rPr>
          <w:sz w:val="21"/>
        </w:rPr>
        <w:t>shares representing the Concessionaire’s share capital shall immediately notify the Concessionaire, who undertakes to report the same to</w:t>
      </w:r>
      <w:r>
        <w:rPr>
          <w:spacing w:val="40"/>
          <w:sz w:val="21"/>
        </w:rPr>
        <w:t> </w:t>
      </w:r>
      <w:r>
        <w:rPr>
          <w:sz w:val="21"/>
        </w:rPr>
        <w:t>DICJ,</w:t>
      </w:r>
      <w:r>
        <w:rPr>
          <w:spacing w:val="40"/>
          <w:sz w:val="21"/>
        </w:rPr>
        <w:t> </w:t>
      </w:r>
      <w:r>
        <w:rPr>
          <w:sz w:val="21"/>
        </w:rPr>
        <w:t>when</w:t>
      </w:r>
      <w:r>
        <w:rPr>
          <w:spacing w:val="40"/>
          <w:sz w:val="21"/>
        </w:rPr>
        <w:t> </w:t>
      </w:r>
      <w:r>
        <w:rPr>
          <w:sz w:val="21"/>
        </w:rPr>
        <w:t>transferring</w:t>
      </w:r>
      <w:r>
        <w:rPr>
          <w:spacing w:val="40"/>
          <w:sz w:val="21"/>
        </w:rPr>
        <w:t> </w:t>
      </w:r>
      <w:r>
        <w:rPr>
          <w:sz w:val="21"/>
        </w:rPr>
        <w:t>or</w:t>
      </w:r>
      <w:r>
        <w:rPr>
          <w:spacing w:val="40"/>
          <w:sz w:val="21"/>
        </w:rPr>
        <w:t> </w:t>
      </w:r>
      <w:r>
        <w:rPr>
          <w:sz w:val="21"/>
        </w:rPr>
        <w:t>encumbering</w:t>
      </w:r>
      <w:r>
        <w:rPr>
          <w:spacing w:val="40"/>
          <w:sz w:val="21"/>
        </w:rPr>
        <w:t> </w:t>
      </w:r>
      <w:r>
        <w:rPr>
          <w:sz w:val="21"/>
        </w:rPr>
        <w:t>them</w:t>
      </w:r>
      <w:r>
        <w:rPr>
          <w:spacing w:val="40"/>
          <w:sz w:val="21"/>
        </w:rPr>
        <w:t> </w:t>
      </w:r>
      <w:r>
        <w:rPr>
          <w:sz w:val="21"/>
        </w:rPr>
        <w:t>or</w:t>
      </w:r>
      <w:r>
        <w:rPr>
          <w:spacing w:val="40"/>
          <w:sz w:val="21"/>
        </w:rPr>
        <w:t> </w:t>
      </w:r>
      <w:r>
        <w:rPr>
          <w:sz w:val="21"/>
        </w:rPr>
        <w:t>when</w:t>
      </w:r>
      <w:r>
        <w:rPr>
          <w:spacing w:val="40"/>
          <w:sz w:val="21"/>
        </w:rPr>
        <w:t> </w:t>
      </w:r>
      <w:r>
        <w:rPr>
          <w:sz w:val="21"/>
        </w:rPr>
        <w:t>carrying</w:t>
      </w:r>
      <w:r>
        <w:rPr>
          <w:spacing w:val="40"/>
          <w:sz w:val="21"/>
        </w:rPr>
        <w:t> </w:t>
      </w:r>
      <w:r>
        <w:rPr>
          <w:sz w:val="21"/>
        </w:rPr>
        <w:t>out</w:t>
      </w:r>
      <w:r>
        <w:rPr>
          <w:spacing w:val="40"/>
          <w:sz w:val="21"/>
        </w:rPr>
        <w:t> </w:t>
      </w:r>
      <w:r>
        <w:rPr>
          <w:sz w:val="21"/>
        </w:rPr>
        <w:t>any</w:t>
      </w:r>
      <w:r>
        <w:rPr>
          <w:spacing w:val="40"/>
          <w:sz w:val="21"/>
        </w:rPr>
        <w:t> </w:t>
      </w:r>
      <w:r>
        <w:rPr>
          <w:sz w:val="21"/>
        </w:rPr>
        <w:t>act</w:t>
      </w:r>
      <w:r>
        <w:rPr>
          <w:spacing w:val="40"/>
          <w:sz w:val="21"/>
        </w:rPr>
        <w:t> </w:t>
      </w:r>
      <w:r>
        <w:rPr>
          <w:sz w:val="21"/>
        </w:rPr>
        <w:t>involving</w:t>
      </w:r>
      <w:r>
        <w:rPr>
          <w:spacing w:val="40"/>
          <w:sz w:val="21"/>
        </w:rPr>
        <w:t> </w:t>
      </w:r>
      <w:r>
        <w:rPr>
          <w:sz w:val="21"/>
        </w:rPr>
        <w:t>the</w:t>
      </w:r>
      <w:r>
        <w:rPr>
          <w:spacing w:val="40"/>
          <w:sz w:val="21"/>
        </w:rPr>
        <w:t> </w:t>
      </w:r>
      <w:r>
        <w:rPr>
          <w:sz w:val="21"/>
        </w:rPr>
        <w:t>granting</w:t>
      </w:r>
      <w:r>
        <w:rPr>
          <w:spacing w:val="40"/>
          <w:sz w:val="21"/>
        </w:rPr>
        <w:t> </w:t>
      </w:r>
      <w:r>
        <w:rPr>
          <w:sz w:val="21"/>
        </w:rPr>
        <w:t>of</w:t>
      </w:r>
      <w:r>
        <w:rPr>
          <w:spacing w:val="40"/>
          <w:sz w:val="21"/>
        </w:rPr>
        <w:t> </w:t>
      </w:r>
      <w:r>
        <w:rPr>
          <w:sz w:val="21"/>
        </w:rPr>
        <w:t>voting</w:t>
      </w:r>
      <w:r>
        <w:rPr>
          <w:spacing w:val="40"/>
          <w:sz w:val="21"/>
        </w:rPr>
        <w:t> </w:t>
      </w:r>
      <w:r>
        <w:rPr>
          <w:sz w:val="21"/>
        </w:rPr>
        <w:t>rights</w:t>
      </w:r>
      <w:r>
        <w:rPr>
          <w:spacing w:val="40"/>
          <w:sz w:val="21"/>
        </w:rPr>
        <w:t> </w:t>
      </w:r>
      <w:r>
        <w:rPr>
          <w:sz w:val="21"/>
        </w:rPr>
        <w:t>or</w:t>
      </w:r>
      <w:r>
        <w:rPr>
          <w:spacing w:val="40"/>
          <w:sz w:val="21"/>
        </w:rPr>
        <w:t> </w:t>
      </w:r>
      <w:r>
        <w:rPr>
          <w:sz w:val="21"/>
        </w:rPr>
        <w:t>other company</w:t>
      </w:r>
      <w:r>
        <w:rPr>
          <w:spacing w:val="38"/>
          <w:sz w:val="21"/>
        </w:rPr>
        <w:t> </w:t>
      </w:r>
      <w:r>
        <w:rPr>
          <w:sz w:val="21"/>
        </w:rPr>
        <w:t>rights</w:t>
      </w:r>
      <w:r>
        <w:rPr>
          <w:spacing w:val="38"/>
          <w:sz w:val="21"/>
        </w:rPr>
        <w:t> </w:t>
      </w:r>
      <w:r>
        <w:rPr>
          <w:sz w:val="21"/>
        </w:rPr>
        <w:t>to</w:t>
      </w:r>
      <w:r>
        <w:rPr>
          <w:spacing w:val="38"/>
          <w:sz w:val="21"/>
        </w:rPr>
        <w:t> </w:t>
      </w:r>
      <w:r>
        <w:rPr>
          <w:sz w:val="21"/>
        </w:rPr>
        <w:t>others,</w:t>
      </w:r>
      <w:r>
        <w:rPr>
          <w:spacing w:val="38"/>
          <w:sz w:val="21"/>
        </w:rPr>
        <w:t> </w:t>
      </w:r>
      <w:r>
        <w:rPr>
          <w:sz w:val="21"/>
        </w:rPr>
        <w:t>within</w:t>
      </w:r>
      <w:r>
        <w:rPr>
          <w:spacing w:val="38"/>
          <w:sz w:val="21"/>
        </w:rPr>
        <w:t> </w:t>
      </w:r>
      <w:r>
        <w:rPr>
          <w:sz w:val="21"/>
        </w:rPr>
        <w:t>30</w:t>
      </w:r>
      <w:r>
        <w:rPr>
          <w:spacing w:val="38"/>
          <w:sz w:val="21"/>
        </w:rPr>
        <w:t> </w:t>
      </w:r>
      <w:r>
        <w:rPr>
          <w:sz w:val="21"/>
        </w:rPr>
        <w:t>days</w:t>
      </w:r>
      <w:r>
        <w:rPr>
          <w:spacing w:val="38"/>
          <w:sz w:val="21"/>
        </w:rPr>
        <w:t> </w:t>
      </w:r>
      <w:r>
        <w:rPr>
          <w:sz w:val="21"/>
        </w:rPr>
        <w:t>of</w:t>
      </w:r>
      <w:r>
        <w:rPr>
          <w:spacing w:val="38"/>
          <w:sz w:val="21"/>
        </w:rPr>
        <w:t> </w:t>
      </w:r>
      <w:r>
        <w:rPr>
          <w:sz w:val="21"/>
        </w:rPr>
        <w:t>registration</w:t>
      </w:r>
      <w:r>
        <w:rPr>
          <w:spacing w:val="38"/>
          <w:sz w:val="21"/>
        </w:rPr>
        <w:t> </w:t>
      </w:r>
      <w:r>
        <w:rPr>
          <w:sz w:val="21"/>
        </w:rPr>
        <w:t>in</w:t>
      </w:r>
      <w:r>
        <w:rPr>
          <w:spacing w:val="38"/>
          <w:sz w:val="21"/>
        </w:rPr>
        <w:t> </w:t>
      </w:r>
      <w:r>
        <w:rPr>
          <w:sz w:val="21"/>
        </w:rPr>
        <w:t>the</w:t>
      </w:r>
      <w:r>
        <w:rPr>
          <w:spacing w:val="38"/>
          <w:sz w:val="21"/>
        </w:rPr>
        <w:t> </w:t>
      </w:r>
      <w:r>
        <w:rPr>
          <w:sz w:val="21"/>
        </w:rPr>
        <w:t>Concessionaire's</w:t>
      </w:r>
      <w:r>
        <w:rPr>
          <w:spacing w:val="38"/>
          <w:sz w:val="21"/>
        </w:rPr>
        <w:t> </w:t>
      </w:r>
      <w:r>
        <w:rPr>
          <w:sz w:val="21"/>
        </w:rPr>
        <w:t>share</w:t>
      </w:r>
      <w:r>
        <w:rPr>
          <w:spacing w:val="38"/>
          <w:sz w:val="21"/>
        </w:rPr>
        <w:t> </w:t>
      </w:r>
      <w:r>
        <w:rPr>
          <w:sz w:val="21"/>
        </w:rPr>
        <w:t>register</w:t>
      </w:r>
      <w:r>
        <w:rPr>
          <w:spacing w:val="38"/>
          <w:sz w:val="21"/>
        </w:rPr>
        <w:t> </w:t>
      </w:r>
      <w:r>
        <w:rPr>
          <w:sz w:val="21"/>
        </w:rPr>
        <w:t>book</w:t>
      </w:r>
      <w:r>
        <w:rPr>
          <w:spacing w:val="38"/>
          <w:sz w:val="21"/>
        </w:rPr>
        <w:t> </w:t>
      </w:r>
      <w:r>
        <w:rPr>
          <w:sz w:val="21"/>
        </w:rPr>
        <w:t>or</w:t>
      </w:r>
      <w:r>
        <w:rPr>
          <w:spacing w:val="38"/>
          <w:sz w:val="21"/>
        </w:rPr>
        <w:t> </w:t>
      </w:r>
      <w:r>
        <w:rPr>
          <w:sz w:val="21"/>
        </w:rPr>
        <w:t>equivalent</w:t>
      </w:r>
      <w:r>
        <w:rPr>
          <w:spacing w:val="38"/>
          <w:sz w:val="21"/>
        </w:rPr>
        <w:t> </w:t>
      </w:r>
      <w:r>
        <w:rPr>
          <w:sz w:val="21"/>
        </w:rPr>
        <w:t>formality,</w:t>
      </w:r>
      <w:r>
        <w:rPr>
          <w:spacing w:val="38"/>
          <w:sz w:val="21"/>
        </w:rPr>
        <w:t> </w:t>
      </w:r>
      <w:r>
        <w:rPr>
          <w:sz w:val="21"/>
        </w:rPr>
        <w:t>and must send a copy of the documents formalizing this legal transaction and provide detailed information on any terms and conditions which have been established.</w:t>
      </w:r>
    </w:p>
    <w:p>
      <w:pPr>
        <w:pStyle w:val="BodyText"/>
        <w:spacing w:before="183"/>
        <w:rPr>
          <w:sz w:val="21"/>
        </w:rPr>
      </w:pPr>
    </w:p>
    <w:p>
      <w:pPr>
        <w:spacing w:line="213" w:lineRule="auto" w:before="1"/>
        <w:ind w:left="144" w:right="117" w:firstLine="0"/>
        <w:jc w:val="both"/>
        <w:rPr>
          <w:sz w:val="21"/>
        </w:rPr>
      </w:pPr>
      <w:r>
        <w:rPr>
          <w:i/>
          <w:sz w:val="21"/>
        </w:rPr>
        <w:t>Five</w:t>
      </w:r>
      <w:r>
        <w:rPr>
          <w:sz w:val="21"/>
        </w:rPr>
        <w:t>. The Concessionaire undertakes to ensure that the transfer </w:t>
      </w:r>
      <w:r>
        <w:rPr>
          <w:i/>
          <w:sz w:val="21"/>
        </w:rPr>
        <w:t>inter vivos</w:t>
      </w:r>
      <w:r>
        <w:rPr>
          <w:sz w:val="21"/>
        </w:rPr>
        <w:t>, by any means, of ownership or any other right over </w:t>
      </w:r>
      <w:r>
        <w:rPr>
          <w:sz w:val="21"/>
        </w:rPr>
        <w:t>the shareholdings of those holding shares representing the share capital of the Concessionaire's shareholders, whether these holders are individuals or companies, and the share capital of those holding shares in companies, are subject to the authorization of the Secretary</w:t>
      </w:r>
      <w:r>
        <w:rPr>
          <w:spacing w:val="80"/>
          <w:w w:val="150"/>
          <w:sz w:val="21"/>
        </w:rPr>
        <w:t> </w:t>
      </w:r>
      <w:r>
        <w:rPr>
          <w:sz w:val="21"/>
        </w:rPr>
        <w:t>for the Economy and Finance, whether these holders are individuals or companies, and so on up to the last holders of shareholdings, whether</w:t>
      </w:r>
      <w:r>
        <w:rPr>
          <w:spacing w:val="25"/>
          <w:sz w:val="21"/>
        </w:rPr>
        <w:t> </w:t>
      </w:r>
      <w:r>
        <w:rPr>
          <w:sz w:val="21"/>
        </w:rPr>
        <w:t>these</w:t>
      </w:r>
      <w:r>
        <w:rPr>
          <w:spacing w:val="25"/>
          <w:sz w:val="21"/>
        </w:rPr>
        <w:t> </w:t>
      </w:r>
      <w:r>
        <w:rPr>
          <w:sz w:val="21"/>
        </w:rPr>
        <w:t>holders</w:t>
      </w:r>
      <w:r>
        <w:rPr>
          <w:spacing w:val="25"/>
          <w:sz w:val="21"/>
        </w:rPr>
        <w:t> </w:t>
      </w:r>
      <w:r>
        <w:rPr>
          <w:sz w:val="21"/>
        </w:rPr>
        <w:t>are</w:t>
      </w:r>
      <w:r>
        <w:rPr>
          <w:spacing w:val="25"/>
          <w:sz w:val="21"/>
        </w:rPr>
        <w:t> </w:t>
      </w:r>
      <w:r>
        <w:rPr>
          <w:sz w:val="21"/>
        </w:rPr>
        <w:t>individuals</w:t>
      </w:r>
      <w:r>
        <w:rPr>
          <w:spacing w:val="25"/>
          <w:sz w:val="21"/>
        </w:rPr>
        <w:t> </w:t>
      </w:r>
      <w:r>
        <w:rPr>
          <w:sz w:val="21"/>
        </w:rPr>
        <w:t>or</w:t>
      </w:r>
      <w:r>
        <w:rPr>
          <w:spacing w:val="25"/>
          <w:sz w:val="21"/>
        </w:rPr>
        <w:t> </w:t>
      </w:r>
      <w:r>
        <w:rPr>
          <w:sz w:val="21"/>
        </w:rPr>
        <w:t>companies,</w:t>
      </w:r>
      <w:r>
        <w:rPr>
          <w:spacing w:val="25"/>
          <w:sz w:val="21"/>
        </w:rPr>
        <w:t> </w:t>
      </w:r>
      <w:r>
        <w:rPr>
          <w:sz w:val="21"/>
        </w:rPr>
        <w:t>when</w:t>
      </w:r>
      <w:r>
        <w:rPr>
          <w:spacing w:val="25"/>
          <w:sz w:val="21"/>
        </w:rPr>
        <w:t> </w:t>
      </w:r>
      <w:r>
        <w:rPr>
          <w:sz w:val="21"/>
        </w:rPr>
        <w:t>these</w:t>
      </w:r>
      <w:r>
        <w:rPr>
          <w:spacing w:val="25"/>
          <w:sz w:val="21"/>
        </w:rPr>
        <w:t> </w:t>
      </w:r>
      <w:r>
        <w:rPr>
          <w:sz w:val="21"/>
        </w:rPr>
        <w:t>shareholdings</w:t>
      </w:r>
      <w:r>
        <w:rPr>
          <w:spacing w:val="25"/>
          <w:sz w:val="21"/>
        </w:rPr>
        <w:t> </w:t>
      </w:r>
      <w:r>
        <w:rPr>
          <w:sz w:val="21"/>
        </w:rPr>
        <w:t>correspond,</w:t>
      </w:r>
      <w:r>
        <w:rPr>
          <w:spacing w:val="25"/>
          <w:sz w:val="21"/>
        </w:rPr>
        <w:t> </w:t>
      </w:r>
      <w:r>
        <w:rPr>
          <w:sz w:val="21"/>
        </w:rPr>
        <w:t>directly</w:t>
      </w:r>
      <w:r>
        <w:rPr>
          <w:spacing w:val="25"/>
          <w:sz w:val="21"/>
        </w:rPr>
        <w:t> </w:t>
      </w:r>
      <w:r>
        <w:rPr>
          <w:sz w:val="21"/>
        </w:rPr>
        <w:t>or</w:t>
      </w:r>
      <w:r>
        <w:rPr>
          <w:spacing w:val="25"/>
          <w:sz w:val="21"/>
        </w:rPr>
        <w:t> </w:t>
      </w:r>
      <w:r>
        <w:rPr>
          <w:sz w:val="21"/>
        </w:rPr>
        <w:t>indirectly,</w:t>
      </w:r>
      <w:r>
        <w:rPr>
          <w:spacing w:val="25"/>
          <w:sz w:val="21"/>
        </w:rPr>
        <w:t> </w:t>
      </w:r>
      <w:r>
        <w:rPr>
          <w:sz w:val="21"/>
        </w:rPr>
        <w:t>to</w:t>
      </w:r>
      <w:r>
        <w:rPr>
          <w:spacing w:val="25"/>
          <w:sz w:val="21"/>
        </w:rPr>
        <w:t> </w:t>
      </w:r>
      <w:r>
        <w:rPr>
          <w:sz w:val="21"/>
        </w:rPr>
        <w:t>a</w:t>
      </w:r>
      <w:r>
        <w:rPr>
          <w:spacing w:val="25"/>
          <w:sz w:val="21"/>
        </w:rPr>
        <w:t> </w:t>
      </w:r>
      <w:r>
        <w:rPr>
          <w:sz w:val="21"/>
        </w:rPr>
        <w:t>value</w:t>
      </w:r>
      <w:r>
        <w:rPr>
          <w:spacing w:val="25"/>
          <w:sz w:val="21"/>
        </w:rPr>
        <w:t> </w:t>
      </w:r>
      <w:r>
        <w:rPr>
          <w:sz w:val="21"/>
        </w:rPr>
        <w:t>equal</w:t>
      </w:r>
      <w:r>
        <w:rPr>
          <w:spacing w:val="25"/>
          <w:sz w:val="21"/>
        </w:rPr>
        <w:t> </w:t>
      </w:r>
      <w:r>
        <w:rPr>
          <w:sz w:val="21"/>
        </w:rPr>
        <w:t>to or greater than 5% of the Concessionaire's share capital, except in the case of legal persons who are listed on the stock exchange in respect of shares which may be traded on 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0"/>
        <w:rPr>
          <w:sz w:val="20"/>
        </w:rPr>
      </w:pPr>
      <w:r>
        <w:rPr/>
        <mc:AlternateContent>
          <mc:Choice Requires="wps">
            <w:drawing>
              <wp:anchor distT="0" distB="0" distL="0" distR="0" allowOverlap="1" layoutInCell="1" locked="0" behindDoc="1" simplePos="0" relativeHeight="487768064">
                <wp:simplePos x="0" y="0"/>
                <wp:positionH relativeFrom="page">
                  <wp:posOffset>231457</wp:posOffset>
                </wp:positionH>
                <wp:positionV relativeFrom="paragraph">
                  <wp:posOffset>199428</wp:posOffset>
                </wp:positionV>
                <wp:extent cx="7312659" cy="17145"/>
                <wp:effectExtent l="0" t="0" r="0" b="0"/>
                <wp:wrapTopAndBottom/>
                <wp:docPr id="824" name="Group 824"/>
                <wp:cNvGraphicFramePr>
                  <a:graphicFrameLocks/>
                </wp:cNvGraphicFramePr>
                <a:graphic>
                  <a:graphicData uri="http://schemas.microsoft.com/office/word/2010/wordprocessingGroup">
                    <wpg:wgp>
                      <wpg:cNvPr id="824" name="Group 824"/>
                      <wpg:cNvGrpSpPr/>
                      <wpg:grpSpPr>
                        <a:xfrm>
                          <a:off x="0" y="0"/>
                          <a:ext cx="7312659" cy="17145"/>
                          <a:chExt cx="7312659" cy="17145"/>
                        </a:xfrm>
                      </wpg:grpSpPr>
                      <wps:wsp>
                        <wps:cNvPr id="825" name="Graphic 82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26" name="Graphic 826"/>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27" name="Graphic 82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702992pt;width:575.8pt;height:1.35pt;mso-position-horizontal-relative:page;mso-position-vertical-relative:paragraph;z-index:-15548416;mso-wrap-distance-left:0;mso-wrap-distance-right:0" id="docshapegroup822" coordorigin="364,314" coordsize="11516,27">
                <v:rect style="position:absolute;left:364;top:314;width:11516;height:14" id="docshape823" filled="true" fillcolor="#999999" stroked="false">
                  <v:fill type="solid"/>
                </v:rect>
                <v:shape style="position:absolute;left:364;top:314;width:11516;height:27" id="docshape824" coordorigin="364,314" coordsize="11516,27" path="m11880,314l11866,328,364,328,364,341,11866,341,11880,341,11880,328,11880,314xe" filled="true" fillcolor="#ededed" stroked="false">
                  <v:path arrowok="t"/>
                  <v:fill type="solid"/>
                </v:shape>
                <v:shape style="position:absolute;left:364;top:314;width:14;height:27" id="docshape825" coordorigin="364,314" coordsize="14,27" path="m364,341l364,314,378,314,378,328,364,341xe" filled="true" fillcolor="#999999" stroked="false">
                  <v:path arrowok="t"/>
                  <v:fill type="solid"/>
                </v:shape>
                <w10:wrap type="topAndBottom"/>
              </v:group>
            </w:pict>
          </mc:Fallback>
        </mc:AlternateContent>
      </w:r>
    </w:p>
    <w:p>
      <w:pPr>
        <w:spacing w:after="0"/>
        <w:rPr>
          <w:sz w:val="20"/>
        </w:rPr>
        <w:sectPr>
          <w:pgSz w:w="12240" w:h="15840"/>
          <w:pgMar w:top="1660" w:bottom="280" w:left="220" w:right="240"/>
        </w:sectPr>
      </w:pPr>
    </w:p>
    <w:p>
      <w:pPr>
        <w:spacing w:line="213" w:lineRule="auto" w:before="90"/>
        <w:ind w:left="144" w:right="118" w:firstLine="0"/>
        <w:jc w:val="both"/>
        <w:rPr>
          <w:sz w:val="21"/>
        </w:rPr>
      </w:pPr>
      <w:r>
        <w:rPr>
          <w:i/>
          <w:sz w:val="21"/>
        </w:rPr>
        <w:t>Six</w:t>
      </w:r>
      <w:r>
        <w:rPr>
          <w:sz w:val="21"/>
        </w:rPr>
        <w:t>. The</w:t>
      </w:r>
      <w:r>
        <w:rPr>
          <w:spacing w:val="14"/>
          <w:sz w:val="21"/>
        </w:rPr>
        <w:t> </w:t>
      </w:r>
      <w:r>
        <w:rPr>
          <w:i/>
          <w:sz w:val="21"/>
        </w:rPr>
        <w:t>mortis</w:t>
      </w:r>
      <w:r>
        <w:rPr>
          <w:i/>
          <w:spacing w:val="14"/>
          <w:sz w:val="21"/>
        </w:rPr>
        <w:t> </w:t>
      </w:r>
      <w:r>
        <w:rPr>
          <w:i/>
          <w:sz w:val="21"/>
        </w:rPr>
        <w:t>causa</w:t>
      </w:r>
      <w:r>
        <w:rPr>
          <w:i/>
          <w:spacing w:val="14"/>
          <w:sz w:val="21"/>
        </w:rPr>
        <w:t> </w:t>
      </w:r>
      <w:r>
        <w:rPr>
          <w:sz w:val="21"/>
        </w:rPr>
        <w:t>transfer</w:t>
      </w:r>
      <w:r>
        <w:rPr>
          <w:spacing w:val="14"/>
          <w:sz w:val="21"/>
        </w:rPr>
        <w:t> </w:t>
      </w:r>
      <w:r>
        <w:rPr>
          <w:sz w:val="21"/>
        </w:rPr>
        <w:t>of</w:t>
      </w:r>
      <w:r>
        <w:rPr>
          <w:spacing w:val="14"/>
          <w:sz w:val="21"/>
        </w:rPr>
        <w:t> </w:t>
      </w:r>
      <w:r>
        <w:rPr>
          <w:sz w:val="21"/>
        </w:rPr>
        <w:t>ownership</w:t>
      </w:r>
      <w:r>
        <w:rPr>
          <w:spacing w:val="14"/>
          <w:sz w:val="21"/>
        </w:rPr>
        <w:t> </w:t>
      </w:r>
      <w:r>
        <w:rPr>
          <w:sz w:val="21"/>
        </w:rPr>
        <w:t>or</w:t>
      </w:r>
      <w:r>
        <w:rPr>
          <w:spacing w:val="14"/>
          <w:sz w:val="21"/>
        </w:rPr>
        <w:t> </w:t>
      </w:r>
      <w:r>
        <w:rPr>
          <w:sz w:val="21"/>
        </w:rPr>
        <w:t>other</w:t>
      </w:r>
      <w:r>
        <w:rPr>
          <w:spacing w:val="14"/>
          <w:sz w:val="21"/>
        </w:rPr>
        <w:t> </w:t>
      </w:r>
      <w:r>
        <w:rPr>
          <w:sz w:val="21"/>
        </w:rPr>
        <w:t>right</w:t>
      </w:r>
      <w:r>
        <w:rPr>
          <w:spacing w:val="14"/>
          <w:sz w:val="21"/>
        </w:rPr>
        <w:t> </w:t>
      </w:r>
      <w:r>
        <w:rPr>
          <w:sz w:val="21"/>
        </w:rPr>
        <w:t>over</w:t>
      </w:r>
      <w:r>
        <w:rPr>
          <w:spacing w:val="14"/>
          <w:sz w:val="21"/>
        </w:rPr>
        <w:t> </w:t>
      </w:r>
      <w:r>
        <w:rPr>
          <w:sz w:val="21"/>
        </w:rPr>
        <w:t>the</w:t>
      </w:r>
      <w:r>
        <w:rPr>
          <w:spacing w:val="14"/>
          <w:sz w:val="21"/>
        </w:rPr>
        <w:t> </w:t>
      </w:r>
      <w:r>
        <w:rPr>
          <w:sz w:val="21"/>
        </w:rPr>
        <w:t>shareholdings</w:t>
      </w:r>
      <w:r>
        <w:rPr>
          <w:spacing w:val="14"/>
          <w:sz w:val="21"/>
        </w:rPr>
        <w:t> </w:t>
      </w:r>
      <w:r>
        <w:rPr>
          <w:sz w:val="21"/>
        </w:rPr>
        <w:t>of</w:t>
      </w:r>
      <w:r>
        <w:rPr>
          <w:spacing w:val="14"/>
          <w:sz w:val="21"/>
        </w:rPr>
        <w:t> </w:t>
      </w:r>
      <w:r>
        <w:rPr>
          <w:sz w:val="21"/>
        </w:rPr>
        <w:t>the</w:t>
      </w:r>
      <w:r>
        <w:rPr>
          <w:spacing w:val="14"/>
          <w:sz w:val="21"/>
        </w:rPr>
        <w:t> </w:t>
      </w:r>
      <w:r>
        <w:rPr>
          <w:sz w:val="21"/>
        </w:rPr>
        <w:t>holders</w:t>
      </w:r>
      <w:r>
        <w:rPr>
          <w:spacing w:val="14"/>
          <w:sz w:val="21"/>
        </w:rPr>
        <w:t> </w:t>
      </w:r>
      <w:r>
        <w:rPr>
          <w:sz w:val="21"/>
        </w:rPr>
        <w:t>of</w:t>
      </w:r>
      <w:r>
        <w:rPr>
          <w:spacing w:val="14"/>
          <w:sz w:val="21"/>
        </w:rPr>
        <w:t> </w:t>
      </w:r>
      <w:r>
        <w:rPr>
          <w:sz w:val="21"/>
        </w:rPr>
        <w:t>5%</w:t>
      </w:r>
      <w:r>
        <w:rPr>
          <w:spacing w:val="14"/>
          <w:sz w:val="21"/>
        </w:rPr>
        <w:t> </w:t>
      </w:r>
      <w:r>
        <w:rPr>
          <w:sz w:val="21"/>
        </w:rPr>
        <w:t>or</w:t>
      </w:r>
      <w:r>
        <w:rPr>
          <w:spacing w:val="14"/>
          <w:sz w:val="21"/>
        </w:rPr>
        <w:t> </w:t>
      </w:r>
      <w:r>
        <w:rPr>
          <w:sz w:val="21"/>
        </w:rPr>
        <w:t>more</w:t>
      </w:r>
      <w:r>
        <w:rPr>
          <w:spacing w:val="14"/>
          <w:sz w:val="21"/>
        </w:rPr>
        <w:t> </w:t>
      </w:r>
      <w:r>
        <w:rPr>
          <w:sz w:val="21"/>
        </w:rPr>
        <w:t>of</w:t>
      </w:r>
      <w:r>
        <w:rPr>
          <w:spacing w:val="14"/>
          <w:sz w:val="21"/>
        </w:rPr>
        <w:t> </w:t>
      </w:r>
      <w:r>
        <w:rPr>
          <w:sz w:val="21"/>
        </w:rPr>
        <w:t>the</w:t>
      </w:r>
      <w:r>
        <w:rPr>
          <w:spacing w:val="14"/>
          <w:sz w:val="21"/>
        </w:rPr>
        <w:t> </w:t>
      </w:r>
      <w:r>
        <w:rPr>
          <w:sz w:val="21"/>
        </w:rPr>
        <w:t>share</w:t>
      </w:r>
      <w:r>
        <w:rPr>
          <w:spacing w:val="14"/>
          <w:sz w:val="21"/>
        </w:rPr>
        <w:t> </w:t>
      </w:r>
      <w:r>
        <w:rPr>
          <w:sz w:val="21"/>
        </w:rPr>
        <w:t>capital</w:t>
      </w:r>
      <w:r>
        <w:rPr>
          <w:spacing w:val="14"/>
          <w:sz w:val="21"/>
        </w:rPr>
        <w:t> </w:t>
      </w:r>
      <w:r>
        <w:rPr>
          <w:sz w:val="21"/>
        </w:rPr>
        <w:t>of the Concessionaire's shareholders, whether such holders are natural or legal persons, and of the share capital of holders worth 5% or more of the shareholdings of those who are legal persons, whether these holders are natural or legal persons, and so on up to the last holders</w:t>
      </w:r>
      <w:r>
        <w:rPr>
          <w:spacing w:val="40"/>
          <w:sz w:val="21"/>
        </w:rPr>
        <w:t> </w:t>
      </w:r>
      <w:r>
        <w:rPr>
          <w:sz w:val="21"/>
        </w:rPr>
        <w:t>of</w:t>
      </w:r>
      <w:r>
        <w:rPr>
          <w:spacing w:val="40"/>
          <w:sz w:val="21"/>
        </w:rPr>
        <w:t> </w:t>
      </w:r>
      <w:r>
        <w:rPr>
          <w:sz w:val="21"/>
        </w:rPr>
        <w:t>shareholdings,</w:t>
      </w:r>
      <w:r>
        <w:rPr>
          <w:spacing w:val="40"/>
          <w:sz w:val="21"/>
        </w:rPr>
        <w:t> </w:t>
      </w:r>
      <w:r>
        <w:rPr>
          <w:sz w:val="21"/>
        </w:rPr>
        <w:t>whether</w:t>
      </w:r>
      <w:r>
        <w:rPr>
          <w:spacing w:val="40"/>
          <w:sz w:val="21"/>
        </w:rPr>
        <w:t> </w:t>
      </w:r>
      <w:r>
        <w:rPr>
          <w:sz w:val="21"/>
        </w:rPr>
        <w:t>these</w:t>
      </w:r>
      <w:r>
        <w:rPr>
          <w:spacing w:val="40"/>
          <w:sz w:val="21"/>
        </w:rPr>
        <w:t> </w:t>
      </w:r>
      <w:r>
        <w:rPr>
          <w:sz w:val="21"/>
        </w:rPr>
        <w:t>holders</w:t>
      </w:r>
      <w:r>
        <w:rPr>
          <w:spacing w:val="40"/>
          <w:sz w:val="21"/>
        </w:rPr>
        <w:t> </w:t>
      </w:r>
      <w:r>
        <w:rPr>
          <w:sz w:val="21"/>
        </w:rPr>
        <w:t>are</w:t>
      </w:r>
      <w:r>
        <w:rPr>
          <w:spacing w:val="40"/>
          <w:sz w:val="21"/>
        </w:rPr>
        <w:t> </w:t>
      </w:r>
      <w:r>
        <w:rPr>
          <w:sz w:val="21"/>
        </w:rPr>
        <w:t>individuals</w:t>
      </w:r>
      <w:r>
        <w:rPr>
          <w:spacing w:val="40"/>
          <w:sz w:val="21"/>
        </w:rPr>
        <w:t> </w:t>
      </w:r>
      <w:r>
        <w:rPr>
          <w:sz w:val="21"/>
        </w:rPr>
        <w:t>or</w:t>
      </w:r>
      <w:r>
        <w:rPr>
          <w:spacing w:val="40"/>
          <w:sz w:val="21"/>
        </w:rPr>
        <w:t> </w:t>
      </w:r>
      <w:r>
        <w:rPr>
          <w:sz w:val="21"/>
        </w:rPr>
        <w:t>companies,</w:t>
      </w:r>
      <w:r>
        <w:rPr>
          <w:spacing w:val="40"/>
          <w:sz w:val="21"/>
        </w:rPr>
        <w:t> </w:t>
      </w:r>
      <w:r>
        <w:rPr>
          <w:sz w:val="21"/>
        </w:rPr>
        <w:t>must</w:t>
      </w:r>
      <w:r>
        <w:rPr>
          <w:spacing w:val="40"/>
          <w:sz w:val="21"/>
        </w:rPr>
        <w:t> </w:t>
      </w:r>
      <w:r>
        <w:rPr>
          <w:sz w:val="21"/>
        </w:rPr>
        <w:t>be</w:t>
      </w:r>
      <w:r>
        <w:rPr>
          <w:spacing w:val="40"/>
          <w:sz w:val="21"/>
        </w:rPr>
        <w:t> </w:t>
      </w:r>
      <w:r>
        <w:rPr>
          <w:sz w:val="21"/>
        </w:rPr>
        <w:t>communicated</w:t>
      </w:r>
      <w:r>
        <w:rPr>
          <w:spacing w:val="40"/>
          <w:sz w:val="21"/>
        </w:rPr>
        <w:t> </w:t>
      </w:r>
      <w:r>
        <w:rPr>
          <w:sz w:val="21"/>
        </w:rPr>
        <w:t>by</w:t>
      </w:r>
      <w:r>
        <w:rPr>
          <w:spacing w:val="40"/>
          <w:sz w:val="21"/>
        </w:rPr>
        <w:t> </w:t>
      </w:r>
      <w:r>
        <w:rPr>
          <w:sz w:val="21"/>
        </w:rPr>
        <w:t>the</w:t>
      </w:r>
      <w:r>
        <w:rPr>
          <w:spacing w:val="40"/>
          <w:sz w:val="21"/>
        </w:rPr>
        <w:t> </w:t>
      </w:r>
      <w:r>
        <w:rPr>
          <w:sz w:val="21"/>
        </w:rPr>
        <w:t>Concessionaire</w:t>
      </w:r>
      <w:r>
        <w:rPr>
          <w:spacing w:val="40"/>
          <w:sz w:val="21"/>
        </w:rPr>
        <w:t> </w:t>
      </w:r>
      <w:r>
        <w:rPr>
          <w:sz w:val="21"/>
        </w:rPr>
        <w:t>to DICJ, as soon as possible after it becomes known.</w:t>
      </w:r>
    </w:p>
    <w:p>
      <w:pPr>
        <w:pStyle w:val="BodyText"/>
        <w:spacing w:before="61"/>
        <w:rPr>
          <w:sz w:val="21"/>
        </w:rPr>
      </w:pPr>
    </w:p>
    <w:p>
      <w:pPr>
        <w:spacing w:line="213" w:lineRule="auto" w:before="0"/>
        <w:ind w:left="144" w:right="220" w:firstLine="0"/>
        <w:jc w:val="both"/>
        <w:rPr>
          <w:sz w:val="21"/>
        </w:rPr>
      </w:pPr>
      <w:r>
        <w:rPr>
          <w:i/>
          <w:sz w:val="21"/>
        </w:rPr>
        <w:t>Seven</w:t>
      </w:r>
      <w:r>
        <w:rPr>
          <w:sz w:val="21"/>
        </w:rPr>
        <w:t>.</w:t>
      </w:r>
      <w:r>
        <w:rPr>
          <w:spacing w:val="31"/>
          <w:sz w:val="21"/>
        </w:rPr>
        <w:t> </w:t>
      </w:r>
      <w:r>
        <w:rPr>
          <w:sz w:val="21"/>
        </w:rPr>
        <w:t>The</w:t>
      </w:r>
      <w:r>
        <w:rPr>
          <w:spacing w:val="35"/>
          <w:sz w:val="21"/>
        </w:rPr>
        <w:t> </w:t>
      </w:r>
      <w:r>
        <w:rPr>
          <w:sz w:val="21"/>
        </w:rPr>
        <w:t>Concessionaire</w:t>
      </w:r>
      <w:r>
        <w:rPr>
          <w:spacing w:val="35"/>
          <w:sz w:val="21"/>
        </w:rPr>
        <w:t> </w:t>
      </w:r>
      <w:r>
        <w:rPr>
          <w:sz w:val="21"/>
        </w:rPr>
        <w:t>also</w:t>
      </w:r>
      <w:r>
        <w:rPr>
          <w:spacing w:val="35"/>
          <w:sz w:val="21"/>
        </w:rPr>
        <w:t> </w:t>
      </w:r>
      <w:r>
        <w:rPr>
          <w:sz w:val="21"/>
        </w:rPr>
        <w:t>undertakes</w:t>
      </w:r>
      <w:r>
        <w:rPr>
          <w:spacing w:val="35"/>
          <w:sz w:val="21"/>
        </w:rPr>
        <w:t> </w:t>
      </w:r>
      <w:r>
        <w:rPr>
          <w:sz w:val="21"/>
        </w:rPr>
        <w:t>to</w:t>
      </w:r>
      <w:r>
        <w:rPr>
          <w:spacing w:val="35"/>
          <w:sz w:val="21"/>
        </w:rPr>
        <w:t> </w:t>
      </w:r>
      <w:r>
        <w:rPr>
          <w:sz w:val="21"/>
        </w:rPr>
        <w:t>notify</w:t>
      </w:r>
      <w:r>
        <w:rPr>
          <w:spacing w:val="35"/>
          <w:sz w:val="21"/>
        </w:rPr>
        <w:t> </w:t>
      </w:r>
      <w:r>
        <w:rPr>
          <w:sz w:val="21"/>
        </w:rPr>
        <w:t>DICJ,</w:t>
      </w:r>
      <w:r>
        <w:rPr>
          <w:spacing w:val="35"/>
          <w:sz w:val="21"/>
        </w:rPr>
        <w:t> </w:t>
      </w:r>
      <w:r>
        <w:rPr>
          <w:sz w:val="21"/>
        </w:rPr>
        <w:t>as</w:t>
      </w:r>
      <w:r>
        <w:rPr>
          <w:spacing w:val="35"/>
          <w:sz w:val="21"/>
        </w:rPr>
        <w:t> </w:t>
      </w:r>
      <w:r>
        <w:rPr>
          <w:sz w:val="21"/>
        </w:rPr>
        <w:t>soon</w:t>
      </w:r>
      <w:r>
        <w:rPr>
          <w:spacing w:val="35"/>
          <w:sz w:val="21"/>
        </w:rPr>
        <w:t> </w:t>
      </w:r>
      <w:r>
        <w:rPr>
          <w:sz w:val="21"/>
        </w:rPr>
        <w:t>as</w:t>
      </w:r>
      <w:r>
        <w:rPr>
          <w:spacing w:val="35"/>
          <w:sz w:val="21"/>
        </w:rPr>
        <w:t> </w:t>
      </w:r>
      <w:r>
        <w:rPr>
          <w:sz w:val="21"/>
        </w:rPr>
        <w:t>it</w:t>
      </w:r>
      <w:r>
        <w:rPr>
          <w:spacing w:val="35"/>
          <w:sz w:val="21"/>
        </w:rPr>
        <w:t> </w:t>
      </w:r>
      <w:r>
        <w:rPr>
          <w:sz w:val="21"/>
        </w:rPr>
        <w:t>has</w:t>
      </w:r>
      <w:r>
        <w:rPr>
          <w:spacing w:val="35"/>
          <w:sz w:val="21"/>
        </w:rPr>
        <w:t> </w:t>
      </w:r>
      <w:r>
        <w:rPr>
          <w:sz w:val="21"/>
        </w:rPr>
        <w:t>knowledge</w:t>
      </w:r>
      <w:r>
        <w:rPr>
          <w:spacing w:val="35"/>
          <w:sz w:val="21"/>
        </w:rPr>
        <w:t> </w:t>
      </w:r>
      <w:r>
        <w:rPr>
          <w:sz w:val="21"/>
        </w:rPr>
        <w:t>of</w:t>
      </w:r>
      <w:r>
        <w:rPr>
          <w:spacing w:val="35"/>
          <w:sz w:val="21"/>
        </w:rPr>
        <w:t> </w:t>
      </w:r>
      <w:r>
        <w:rPr>
          <w:sz w:val="21"/>
        </w:rPr>
        <w:t>the</w:t>
      </w:r>
      <w:r>
        <w:rPr>
          <w:spacing w:val="35"/>
          <w:sz w:val="21"/>
        </w:rPr>
        <w:t> </w:t>
      </w:r>
      <w:r>
        <w:rPr>
          <w:sz w:val="21"/>
        </w:rPr>
        <w:t>fact,</w:t>
      </w:r>
      <w:r>
        <w:rPr>
          <w:spacing w:val="35"/>
          <w:sz w:val="21"/>
        </w:rPr>
        <w:t> </w:t>
      </w:r>
      <w:r>
        <w:rPr>
          <w:sz w:val="21"/>
        </w:rPr>
        <w:t>of</w:t>
      </w:r>
      <w:r>
        <w:rPr>
          <w:spacing w:val="35"/>
          <w:sz w:val="21"/>
        </w:rPr>
        <w:t> </w:t>
      </w:r>
      <w:r>
        <w:rPr>
          <w:sz w:val="21"/>
        </w:rPr>
        <w:t>the</w:t>
      </w:r>
      <w:r>
        <w:rPr>
          <w:spacing w:val="35"/>
          <w:sz w:val="21"/>
        </w:rPr>
        <w:t> </w:t>
      </w:r>
      <w:r>
        <w:rPr>
          <w:sz w:val="21"/>
        </w:rPr>
        <w:t>encumbrance</w:t>
      </w:r>
      <w:r>
        <w:rPr>
          <w:spacing w:val="35"/>
          <w:sz w:val="21"/>
        </w:rPr>
        <w:t> </w:t>
      </w:r>
      <w:r>
        <w:rPr>
          <w:sz w:val="21"/>
        </w:rPr>
        <w:t>for</w:t>
      </w:r>
      <w:r>
        <w:rPr>
          <w:spacing w:val="35"/>
          <w:sz w:val="21"/>
        </w:rPr>
        <w:t> </w:t>
      </w:r>
      <w:r>
        <w:rPr>
          <w:sz w:val="21"/>
        </w:rPr>
        <w:t>any reason</w:t>
      </w:r>
      <w:r>
        <w:rPr>
          <w:spacing w:val="18"/>
          <w:sz w:val="21"/>
        </w:rPr>
        <w:t> </w:t>
      </w:r>
      <w:r>
        <w:rPr>
          <w:sz w:val="21"/>
        </w:rPr>
        <w:t>of</w:t>
      </w:r>
      <w:r>
        <w:rPr>
          <w:spacing w:val="18"/>
          <w:sz w:val="21"/>
        </w:rPr>
        <w:t> </w:t>
      </w:r>
      <w:r>
        <w:rPr>
          <w:sz w:val="21"/>
        </w:rPr>
        <w:t>shares</w:t>
      </w:r>
      <w:r>
        <w:rPr>
          <w:spacing w:val="18"/>
          <w:sz w:val="21"/>
        </w:rPr>
        <w:t> </w:t>
      </w:r>
      <w:r>
        <w:rPr>
          <w:sz w:val="21"/>
        </w:rPr>
        <w:t>representing</w:t>
      </w:r>
      <w:r>
        <w:rPr>
          <w:spacing w:val="18"/>
          <w:sz w:val="21"/>
        </w:rPr>
        <w:t> </w:t>
      </w:r>
      <w:r>
        <w:rPr>
          <w:sz w:val="21"/>
        </w:rPr>
        <w:t>the</w:t>
      </w:r>
      <w:r>
        <w:rPr>
          <w:spacing w:val="18"/>
          <w:sz w:val="21"/>
        </w:rPr>
        <w:t> </w:t>
      </w:r>
      <w:r>
        <w:rPr>
          <w:sz w:val="21"/>
        </w:rPr>
        <w:t>share</w:t>
      </w:r>
      <w:r>
        <w:rPr>
          <w:spacing w:val="18"/>
          <w:sz w:val="21"/>
        </w:rPr>
        <w:t> </w:t>
      </w:r>
      <w:r>
        <w:rPr>
          <w:sz w:val="21"/>
        </w:rPr>
        <w:t>capital</w:t>
      </w:r>
      <w:r>
        <w:rPr>
          <w:spacing w:val="18"/>
          <w:sz w:val="21"/>
        </w:rPr>
        <w:t> </w:t>
      </w:r>
      <w:r>
        <w:rPr>
          <w:sz w:val="21"/>
        </w:rPr>
        <w:t>of</w:t>
      </w:r>
      <w:r>
        <w:rPr>
          <w:spacing w:val="18"/>
          <w:sz w:val="21"/>
        </w:rPr>
        <w:t> </w:t>
      </w:r>
      <w:r>
        <w:rPr>
          <w:sz w:val="21"/>
        </w:rPr>
        <w:t>its</w:t>
      </w:r>
      <w:r>
        <w:rPr>
          <w:spacing w:val="18"/>
          <w:sz w:val="21"/>
        </w:rPr>
        <w:t> </w:t>
      </w:r>
      <w:r>
        <w:rPr>
          <w:sz w:val="21"/>
        </w:rPr>
        <w:t>shareholders</w:t>
      </w:r>
      <w:r>
        <w:rPr>
          <w:spacing w:val="18"/>
          <w:sz w:val="21"/>
        </w:rPr>
        <w:t> </w:t>
      </w:r>
      <w:r>
        <w:rPr>
          <w:sz w:val="21"/>
        </w:rPr>
        <w:t>and</w:t>
      </w:r>
      <w:r>
        <w:rPr>
          <w:spacing w:val="18"/>
          <w:sz w:val="21"/>
        </w:rPr>
        <w:t> </w:t>
      </w:r>
      <w:r>
        <w:rPr>
          <w:sz w:val="21"/>
        </w:rPr>
        <w:t>of</w:t>
      </w:r>
      <w:r>
        <w:rPr>
          <w:spacing w:val="18"/>
          <w:sz w:val="21"/>
        </w:rPr>
        <w:t> </w:t>
      </w:r>
      <w:r>
        <w:rPr>
          <w:sz w:val="21"/>
        </w:rPr>
        <w:t>shares</w:t>
      </w:r>
      <w:r>
        <w:rPr>
          <w:spacing w:val="18"/>
          <w:sz w:val="21"/>
        </w:rPr>
        <w:t> </w:t>
      </w:r>
      <w:r>
        <w:rPr>
          <w:sz w:val="21"/>
        </w:rPr>
        <w:t>held</w:t>
      </w:r>
      <w:r>
        <w:rPr>
          <w:spacing w:val="18"/>
          <w:sz w:val="21"/>
        </w:rPr>
        <w:t> </w:t>
      </w:r>
      <w:r>
        <w:rPr>
          <w:sz w:val="21"/>
        </w:rPr>
        <w:t>by</w:t>
      </w:r>
      <w:r>
        <w:rPr>
          <w:spacing w:val="18"/>
          <w:sz w:val="21"/>
        </w:rPr>
        <w:t> </w:t>
      </w:r>
      <w:r>
        <w:rPr>
          <w:sz w:val="21"/>
        </w:rPr>
        <w:t>holders</w:t>
      </w:r>
      <w:r>
        <w:rPr>
          <w:spacing w:val="18"/>
          <w:sz w:val="21"/>
        </w:rPr>
        <w:t> </w:t>
      </w:r>
      <w:r>
        <w:rPr>
          <w:sz w:val="21"/>
        </w:rPr>
        <w:t>of</w:t>
      </w:r>
      <w:r>
        <w:rPr>
          <w:spacing w:val="18"/>
          <w:sz w:val="21"/>
        </w:rPr>
        <w:t> </w:t>
      </w:r>
      <w:r>
        <w:rPr>
          <w:sz w:val="21"/>
        </w:rPr>
        <w:t>shares</w:t>
      </w:r>
      <w:r>
        <w:rPr>
          <w:spacing w:val="18"/>
          <w:sz w:val="21"/>
        </w:rPr>
        <w:t> </w:t>
      </w:r>
      <w:r>
        <w:rPr>
          <w:sz w:val="21"/>
        </w:rPr>
        <w:t>in</w:t>
      </w:r>
      <w:r>
        <w:rPr>
          <w:spacing w:val="18"/>
          <w:sz w:val="21"/>
        </w:rPr>
        <w:t> </w:t>
      </w:r>
      <w:r>
        <w:rPr>
          <w:sz w:val="21"/>
        </w:rPr>
        <w:t>these</w:t>
      </w:r>
      <w:r>
        <w:rPr>
          <w:spacing w:val="18"/>
          <w:sz w:val="21"/>
        </w:rPr>
        <w:t> </w:t>
      </w:r>
      <w:r>
        <w:rPr>
          <w:sz w:val="21"/>
        </w:rPr>
        <w:t>shareholders,</w:t>
      </w:r>
      <w:r>
        <w:rPr>
          <w:spacing w:val="18"/>
          <w:sz w:val="21"/>
        </w:rPr>
        <w:t> </w:t>
      </w:r>
      <w:r>
        <w:rPr>
          <w:sz w:val="21"/>
        </w:rPr>
        <w:t>and so</w:t>
      </w:r>
      <w:r>
        <w:rPr>
          <w:spacing w:val="31"/>
          <w:sz w:val="21"/>
        </w:rPr>
        <w:t> </w:t>
      </w:r>
      <w:r>
        <w:rPr>
          <w:sz w:val="21"/>
        </w:rPr>
        <w:t>on</w:t>
      </w:r>
      <w:r>
        <w:rPr>
          <w:spacing w:val="31"/>
          <w:sz w:val="21"/>
        </w:rPr>
        <w:t> </w:t>
      </w:r>
      <w:r>
        <w:rPr>
          <w:sz w:val="21"/>
        </w:rPr>
        <w:t>and</w:t>
      </w:r>
      <w:r>
        <w:rPr>
          <w:spacing w:val="31"/>
          <w:sz w:val="21"/>
        </w:rPr>
        <w:t> </w:t>
      </w:r>
      <w:r>
        <w:rPr>
          <w:sz w:val="21"/>
        </w:rPr>
        <w:t>so</w:t>
      </w:r>
      <w:r>
        <w:rPr>
          <w:spacing w:val="31"/>
          <w:sz w:val="21"/>
        </w:rPr>
        <w:t> </w:t>
      </w:r>
      <w:r>
        <w:rPr>
          <w:sz w:val="21"/>
        </w:rPr>
        <w:t>forth</w:t>
      </w:r>
      <w:r>
        <w:rPr>
          <w:spacing w:val="31"/>
          <w:sz w:val="21"/>
        </w:rPr>
        <w:t> </w:t>
      </w:r>
      <w:r>
        <w:rPr>
          <w:sz w:val="21"/>
        </w:rPr>
        <w:t>down</w:t>
      </w:r>
      <w:r>
        <w:rPr>
          <w:spacing w:val="31"/>
          <w:sz w:val="21"/>
        </w:rPr>
        <w:t> </w:t>
      </w:r>
      <w:r>
        <w:rPr>
          <w:sz w:val="21"/>
        </w:rPr>
        <w:t>to</w:t>
      </w:r>
      <w:r>
        <w:rPr>
          <w:spacing w:val="31"/>
          <w:sz w:val="21"/>
        </w:rPr>
        <w:t> </w:t>
      </w:r>
      <w:r>
        <w:rPr>
          <w:sz w:val="21"/>
        </w:rPr>
        <w:t>the</w:t>
      </w:r>
      <w:r>
        <w:rPr>
          <w:spacing w:val="31"/>
          <w:sz w:val="21"/>
        </w:rPr>
        <w:t> </w:t>
      </w:r>
      <w:r>
        <w:rPr>
          <w:sz w:val="21"/>
        </w:rPr>
        <w:t>shares</w:t>
      </w:r>
      <w:r>
        <w:rPr>
          <w:spacing w:val="31"/>
          <w:sz w:val="21"/>
        </w:rPr>
        <w:t> </w:t>
      </w:r>
      <w:r>
        <w:rPr>
          <w:sz w:val="21"/>
        </w:rPr>
        <w:t>of</w:t>
      </w:r>
      <w:r>
        <w:rPr>
          <w:spacing w:val="31"/>
          <w:sz w:val="21"/>
        </w:rPr>
        <w:t> </w:t>
      </w:r>
      <w:r>
        <w:rPr>
          <w:sz w:val="21"/>
        </w:rPr>
        <w:t>the</w:t>
      </w:r>
      <w:r>
        <w:rPr>
          <w:spacing w:val="31"/>
          <w:sz w:val="21"/>
        </w:rPr>
        <w:t> </w:t>
      </w:r>
      <w:r>
        <w:rPr>
          <w:sz w:val="21"/>
        </w:rPr>
        <w:t>final</w:t>
      </w:r>
      <w:r>
        <w:rPr>
          <w:spacing w:val="31"/>
          <w:sz w:val="21"/>
        </w:rPr>
        <w:t> </w:t>
      </w:r>
      <w:r>
        <w:rPr>
          <w:sz w:val="21"/>
        </w:rPr>
        <w:t>shareholders</w:t>
      </w:r>
      <w:r>
        <w:rPr>
          <w:spacing w:val="31"/>
          <w:sz w:val="21"/>
        </w:rPr>
        <w:t> </w:t>
      </w:r>
      <w:r>
        <w:rPr>
          <w:sz w:val="21"/>
        </w:rPr>
        <w:t>when</w:t>
      </w:r>
      <w:r>
        <w:rPr>
          <w:spacing w:val="31"/>
          <w:sz w:val="21"/>
        </w:rPr>
        <w:t> </w:t>
      </w:r>
      <w:r>
        <w:rPr>
          <w:sz w:val="21"/>
        </w:rPr>
        <w:t>these</w:t>
      </w:r>
      <w:r>
        <w:rPr>
          <w:spacing w:val="31"/>
          <w:sz w:val="21"/>
        </w:rPr>
        <w:t> </w:t>
      </w:r>
      <w:r>
        <w:rPr>
          <w:sz w:val="21"/>
        </w:rPr>
        <w:t>holdings</w:t>
      </w:r>
      <w:r>
        <w:rPr>
          <w:spacing w:val="31"/>
          <w:sz w:val="21"/>
        </w:rPr>
        <w:t> </w:t>
      </w:r>
      <w:r>
        <w:rPr>
          <w:sz w:val="21"/>
        </w:rPr>
        <w:t>indirectly</w:t>
      </w:r>
      <w:r>
        <w:rPr>
          <w:spacing w:val="31"/>
          <w:sz w:val="21"/>
        </w:rPr>
        <w:t> </w:t>
      </w:r>
      <w:r>
        <w:rPr>
          <w:sz w:val="21"/>
        </w:rPr>
        <w:t>correspond</w:t>
      </w:r>
      <w:r>
        <w:rPr>
          <w:spacing w:val="31"/>
          <w:sz w:val="21"/>
        </w:rPr>
        <w:t> </w:t>
      </w:r>
      <w:r>
        <w:rPr>
          <w:sz w:val="21"/>
        </w:rPr>
        <w:t>to</w:t>
      </w:r>
      <w:r>
        <w:rPr>
          <w:spacing w:val="31"/>
          <w:sz w:val="21"/>
        </w:rPr>
        <w:t> </w:t>
      </w:r>
      <w:r>
        <w:rPr>
          <w:sz w:val="21"/>
        </w:rPr>
        <w:t>a</w:t>
      </w:r>
      <w:r>
        <w:rPr>
          <w:spacing w:val="31"/>
          <w:sz w:val="21"/>
        </w:rPr>
        <w:t> </w:t>
      </w:r>
      <w:r>
        <w:rPr>
          <w:sz w:val="21"/>
        </w:rPr>
        <w:t>value</w:t>
      </w:r>
      <w:r>
        <w:rPr>
          <w:spacing w:val="31"/>
          <w:sz w:val="21"/>
        </w:rPr>
        <w:t> </w:t>
      </w:r>
      <w:r>
        <w:rPr>
          <w:sz w:val="21"/>
        </w:rPr>
        <w:t>equal</w:t>
      </w:r>
      <w:r>
        <w:rPr>
          <w:spacing w:val="31"/>
          <w:sz w:val="21"/>
        </w:rPr>
        <w:t> </w:t>
      </w:r>
      <w:r>
        <w:rPr>
          <w:sz w:val="21"/>
        </w:rPr>
        <w:t>to</w:t>
      </w:r>
      <w:r>
        <w:rPr>
          <w:spacing w:val="31"/>
          <w:sz w:val="21"/>
        </w:rPr>
        <w:t> </w:t>
      </w:r>
      <w:r>
        <w:rPr>
          <w:sz w:val="21"/>
        </w:rPr>
        <w:t>or greater</w:t>
      </w:r>
      <w:r>
        <w:rPr>
          <w:spacing w:val="40"/>
          <w:sz w:val="21"/>
        </w:rPr>
        <w:t> </w:t>
      </w:r>
      <w:r>
        <w:rPr>
          <w:sz w:val="21"/>
        </w:rPr>
        <w:t>than</w:t>
      </w:r>
      <w:r>
        <w:rPr>
          <w:spacing w:val="40"/>
          <w:sz w:val="21"/>
        </w:rPr>
        <w:t> </w:t>
      </w:r>
      <w:r>
        <w:rPr>
          <w:sz w:val="21"/>
        </w:rPr>
        <w:t>5%</w:t>
      </w:r>
      <w:r>
        <w:rPr>
          <w:spacing w:val="40"/>
          <w:sz w:val="21"/>
        </w:rPr>
        <w:t> </w:t>
      </w:r>
      <w:r>
        <w:rPr>
          <w:sz w:val="21"/>
        </w:rPr>
        <w:t>of</w:t>
      </w:r>
      <w:r>
        <w:rPr>
          <w:spacing w:val="40"/>
          <w:sz w:val="21"/>
        </w:rPr>
        <w:t> </w:t>
      </w:r>
      <w:r>
        <w:rPr>
          <w:sz w:val="21"/>
        </w:rPr>
        <w:t>the</w:t>
      </w:r>
      <w:r>
        <w:rPr>
          <w:spacing w:val="40"/>
          <w:sz w:val="21"/>
        </w:rPr>
        <w:t> </w:t>
      </w:r>
      <w:r>
        <w:rPr>
          <w:sz w:val="21"/>
        </w:rPr>
        <w:t>Concessionaire’s</w:t>
      </w:r>
      <w:r>
        <w:rPr>
          <w:spacing w:val="40"/>
          <w:sz w:val="21"/>
        </w:rPr>
        <w:t> </w:t>
      </w:r>
      <w:r>
        <w:rPr>
          <w:sz w:val="21"/>
        </w:rPr>
        <w:t>share</w:t>
      </w:r>
      <w:r>
        <w:rPr>
          <w:spacing w:val="40"/>
          <w:sz w:val="21"/>
        </w:rPr>
        <w:t> </w:t>
      </w:r>
      <w:r>
        <w:rPr>
          <w:sz w:val="21"/>
        </w:rPr>
        <w:t>capital,</w:t>
      </w:r>
      <w:r>
        <w:rPr>
          <w:spacing w:val="40"/>
          <w:sz w:val="21"/>
        </w:rPr>
        <w:t> </w:t>
      </w:r>
      <w:r>
        <w:rPr>
          <w:sz w:val="21"/>
        </w:rPr>
        <w:t>with</w:t>
      </w:r>
      <w:r>
        <w:rPr>
          <w:spacing w:val="40"/>
          <w:sz w:val="21"/>
        </w:rPr>
        <w:t> </w:t>
      </w:r>
      <w:r>
        <w:rPr>
          <w:sz w:val="21"/>
        </w:rPr>
        <w:t>the</w:t>
      </w:r>
      <w:r>
        <w:rPr>
          <w:spacing w:val="40"/>
          <w:sz w:val="21"/>
        </w:rPr>
        <w:t> </w:t>
      </w:r>
      <w:r>
        <w:rPr>
          <w:sz w:val="21"/>
        </w:rPr>
        <w:t>exception</w:t>
      </w:r>
      <w:r>
        <w:rPr>
          <w:spacing w:val="40"/>
          <w:sz w:val="21"/>
        </w:rPr>
        <w:t> </w:t>
      </w:r>
      <w:r>
        <w:rPr>
          <w:sz w:val="21"/>
        </w:rPr>
        <w:t>of</w:t>
      </w:r>
      <w:r>
        <w:rPr>
          <w:spacing w:val="40"/>
          <w:sz w:val="21"/>
        </w:rPr>
        <w:t> </w:t>
      </w:r>
      <w:r>
        <w:rPr>
          <w:sz w:val="21"/>
        </w:rPr>
        <w:t>shares</w:t>
      </w:r>
      <w:r>
        <w:rPr>
          <w:spacing w:val="40"/>
          <w:sz w:val="21"/>
        </w:rPr>
        <w:t> </w:t>
      </w:r>
      <w:r>
        <w:rPr>
          <w:sz w:val="21"/>
        </w:rPr>
        <w:t>representing</w:t>
      </w:r>
      <w:r>
        <w:rPr>
          <w:spacing w:val="40"/>
          <w:sz w:val="21"/>
        </w:rPr>
        <w:t> </w:t>
      </w:r>
      <w:r>
        <w:rPr>
          <w:sz w:val="21"/>
        </w:rPr>
        <w:t>the</w:t>
      </w:r>
      <w:r>
        <w:rPr>
          <w:spacing w:val="40"/>
          <w:sz w:val="21"/>
        </w:rPr>
        <w:t> </w:t>
      </w:r>
      <w:r>
        <w:rPr>
          <w:sz w:val="21"/>
        </w:rPr>
        <w:t>share</w:t>
      </w:r>
      <w:r>
        <w:rPr>
          <w:spacing w:val="40"/>
          <w:sz w:val="21"/>
        </w:rPr>
        <w:t> </w:t>
      </w:r>
      <w:r>
        <w:rPr>
          <w:sz w:val="21"/>
        </w:rPr>
        <w:t>capital</w:t>
      </w:r>
      <w:r>
        <w:rPr>
          <w:spacing w:val="40"/>
          <w:sz w:val="21"/>
        </w:rPr>
        <w:t> </w:t>
      </w:r>
      <w:r>
        <w:rPr>
          <w:sz w:val="21"/>
        </w:rPr>
        <w:t>of</w:t>
      </w:r>
      <w:r>
        <w:rPr>
          <w:spacing w:val="40"/>
          <w:sz w:val="21"/>
        </w:rPr>
        <w:t> </w:t>
      </w:r>
      <w:r>
        <w:rPr>
          <w:sz w:val="21"/>
        </w:rPr>
        <w:t>companies listed on the stock exchange insofar as the shares therein are tradable.</w:t>
      </w:r>
    </w:p>
    <w:p>
      <w:pPr>
        <w:pStyle w:val="BodyText"/>
        <w:spacing w:before="182"/>
        <w:rPr>
          <w:sz w:val="21"/>
        </w:rPr>
      </w:pPr>
    </w:p>
    <w:p>
      <w:pPr>
        <w:spacing w:line="213" w:lineRule="auto" w:before="1"/>
        <w:ind w:left="144" w:right="119" w:firstLine="0"/>
        <w:jc w:val="both"/>
        <w:rPr>
          <w:sz w:val="21"/>
        </w:rPr>
      </w:pPr>
      <w:r>
        <w:rPr>
          <w:i/>
          <w:sz w:val="21"/>
        </w:rPr>
        <w:t>Eight</w:t>
      </w:r>
      <w:r>
        <w:rPr>
          <w:sz w:val="21"/>
        </w:rPr>
        <w:t>. The</w:t>
      </w:r>
      <w:r>
        <w:rPr>
          <w:spacing w:val="25"/>
          <w:sz w:val="21"/>
        </w:rPr>
        <w:t> </w:t>
      </w:r>
      <w:r>
        <w:rPr>
          <w:sz w:val="21"/>
        </w:rPr>
        <w:t>previous</w:t>
      </w:r>
      <w:r>
        <w:rPr>
          <w:spacing w:val="25"/>
          <w:sz w:val="21"/>
        </w:rPr>
        <w:t> </w:t>
      </w:r>
      <w:r>
        <w:rPr>
          <w:sz w:val="21"/>
        </w:rPr>
        <w:t>paragraph</w:t>
      </w:r>
      <w:r>
        <w:rPr>
          <w:spacing w:val="25"/>
          <w:sz w:val="21"/>
        </w:rPr>
        <w:t> </w:t>
      </w:r>
      <w:r>
        <w:rPr>
          <w:sz w:val="21"/>
        </w:rPr>
        <w:t>is</w:t>
      </w:r>
      <w:r>
        <w:rPr>
          <w:spacing w:val="25"/>
          <w:sz w:val="21"/>
        </w:rPr>
        <w:t> </w:t>
      </w:r>
      <w:r>
        <w:rPr>
          <w:sz w:val="21"/>
        </w:rPr>
        <w:t>equally</w:t>
      </w:r>
      <w:r>
        <w:rPr>
          <w:spacing w:val="25"/>
          <w:sz w:val="21"/>
        </w:rPr>
        <w:t> </w:t>
      </w:r>
      <w:r>
        <w:rPr>
          <w:sz w:val="21"/>
        </w:rPr>
        <w:t>applicable</w:t>
      </w:r>
      <w:r>
        <w:rPr>
          <w:spacing w:val="25"/>
          <w:sz w:val="21"/>
        </w:rPr>
        <w:t> </w:t>
      </w:r>
      <w:r>
        <w:rPr>
          <w:sz w:val="21"/>
        </w:rPr>
        <w:t>to</w:t>
      </w:r>
      <w:r>
        <w:rPr>
          <w:spacing w:val="25"/>
          <w:sz w:val="21"/>
        </w:rPr>
        <w:t> </w:t>
      </w:r>
      <w:r>
        <w:rPr>
          <w:sz w:val="21"/>
        </w:rPr>
        <w:t>the</w:t>
      </w:r>
      <w:r>
        <w:rPr>
          <w:spacing w:val="25"/>
          <w:sz w:val="21"/>
        </w:rPr>
        <w:t> </w:t>
      </w:r>
      <w:r>
        <w:rPr>
          <w:sz w:val="21"/>
        </w:rPr>
        <w:t>carrying</w:t>
      </w:r>
      <w:r>
        <w:rPr>
          <w:spacing w:val="25"/>
          <w:sz w:val="21"/>
        </w:rPr>
        <w:t> </w:t>
      </w:r>
      <w:r>
        <w:rPr>
          <w:sz w:val="21"/>
        </w:rPr>
        <w:t>out</w:t>
      </w:r>
      <w:r>
        <w:rPr>
          <w:spacing w:val="25"/>
          <w:sz w:val="21"/>
        </w:rPr>
        <w:t> </w:t>
      </w:r>
      <w:r>
        <w:rPr>
          <w:sz w:val="21"/>
        </w:rPr>
        <w:t>of</w:t>
      </w:r>
      <w:r>
        <w:rPr>
          <w:spacing w:val="25"/>
          <w:sz w:val="21"/>
        </w:rPr>
        <w:t> </w:t>
      </w:r>
      <w:r>
        <w:rPr>
          <w:sz w:val="21"/>
        </w:rPr>
        <w:t>any</w:t>
      </w:r>
      <w:r>
        <w:rPr>
          <w:spacing w:val="25"/>
          <w:sz w:val="21"/>
        </w:rPr>
        <w:t> </w:t>
      </w:r>
      <w:r>
        <w:rPr>
          <w:sz w:val="21"/>
        </w:rPr>
        <w:t>acts</w:t>
      </w:r>
      <w:r>
        <w:rPr>
          <w:spacing w:val="25"/>
          <w:sz w:val="21"/>
        </w:rPr>
        <w:t> </w:t>
      </w:r>
      <w:r>
        <w:rPr>
          <w:sz w:val="21"/>
        </w:rPr>
        <w:t>which</w:t>
      </w:r>
      <w:r>
        <w:rPr>
          <w:spacing w:val="25"/>
          <w:sz w:val="21"/>
        </w:rPr>
        <w:t> </w:t>
      </w:r>
      <w:r>
        <w:rPr>
          <w:sz w:val="21"/>
        </w:rPr>
        <w:t>involve</w:t>
      </w:r>
      <w:r>
        <w:rPr>
          <w:spacing w:val="25"/>
          <w:sz w:val="21"/>
        </w:rPr>
        <w:t> </w:t>
      </w:r>
      <w:r>
        <w:rPr>
          <w:sz w:val="21"/>
        </w:rPr>
        <w:t>the</w:t>
      </w:r>
      <w:r>
        <w:rPr>
          <w:spacing w:val="25"/>
          <w:sz w:val="21"/>
        </w:rPr>
        <w:t> </w:t>
      </w:r>
      <w:r>
        <w:rPr>
          <w:sz w:val="21"/>
        </w:rPr>
        <w:t>attribution</w:t>
      </w:r>
      <w:r>
        <w:rPr>
          <w:spacing w:val="25"/>
          <w:sz w:val="21"/>
        </w:rPr>
        <w:t> </w:t>
      </w:r>
      <w:r>
        <w:rPr>
          <w:sz w:val="21"/>
        </w:rPr>
        <w:t>of</w:t>
      </w:r>
      <w:r>
        <w:rPr>
          <w:spacing w:val="25"/>
          <w:sz w:val="21"/>
        </w:rPr>
        <w:t> </w:t>
      </w:r>
      <w:r>
        <w:rPr>
          <w:sz w:val="21"/>
        </w:rPr>
        <w:t>voting</w:t>
      </w:r>
      <w:r>
        <w:rPr>
          <w:spacing w:val="25"/>
          <w:sz w:val="21"/>
        </w:rPr>
        <w:t> </w:t>
      </w:r>
      <w:r>
        <w:rPr>
          <w:sz w:val="21"/>
        </w:rPr>
        <w:t>rights</w:t>
      </w:r>
      <w:r>
        <w:rPr>
          <w:spacing w:val="25"/>
          <w:sz w:val="21"/>
        </w:rPr>
        <w:t> </w:t>
      </w:r>
      <w:r>
        <w:rPr>
          <w:sz w:val="21"/>
        </w:rPr>
        <w:t>or other corporate rights to a person other than the holder, with the exception of legal entities which are listed on a stock exchange </w:t>
      </w:r>
      <w:r>
        <w:rPr>
          <w:sz w:val="21"/>
        </w:rPr>
        <w:t>for shares which may be traded on it.</w:t>
      </w:r>
    </w:p>
    <w:p>
      <w:pPr>
        <w:pStyle w:val="BodyText"/>
        <w:spacing w:before="153"/>
        <w:rPr>
          <w:sz w:val="21"/>
        </w:rPr>
      </w:pPr>
    </w:p>
    <w:p>
      <w:pPr>
        <w:spacing w:line="213" w:lineRule="auto" w:before="0"/>
        <w:ind w:left="144" w:right="117" w:firstLine="0"/>
        <w:jc w:val="both"/>
        <w:rPr>
          <w:sz w:val="21"/>
        </w:rPr>
      </w:pPr>
      <w:r>
        <w:rPr>
          <w:i/>
          <w:sz w:val="21"/>
        </w:rPr>
        <w:t>Nine</w:t>
      </w:r>
      <w:r>
        <w:rPr>
          <w:sz w:val="21"/>
        </w:rPr>
        <w:t>. The</w:t>
      </w:r>
      <w:r>
        <w:rPr>
          <w:spacing w:val="35"/>
          <w:sz w:val="21"/>
        </w:rPr>
        <w:t> </w:t>
      </w:r>
      <w:r>
        <w:rPr>
          <w:sz w:val="21"/>
        </w:rPr>
        <w:t>provisions</w:t>
      </w:r>
      <w:r>
        <w:rPr>
          <w:spacing w:val="35"/>
          <w:sz w:val="21"/>
        </w:rPr>
        <w:t> </w:t>
      </w:r>
      <w:r>
        <w:rPr>
          <w:sz w:val="21"/>
        </w:rPr>
        <w:t>of</w:t>
      </w:r>
      <w:r>
        <w:rPr>
          <w:spacing w:val="35"/>
          <w:sz w:val="21"/>
        </w:rPr>
        <w:t> </w:t>
      </w:r>
      <w:r>
        <w:rPr>
          <w:sz w:val="21"/>
        </w:rPr>
        <w:t>paragraph</w:t>
      </w:r>
      <w:r>
        <w:rPr>
          <w:spacing w:val="35"/>
          <w:sz w:val="21"/>
        </w:rPr>
        <w:t> </w:t>
      </w:r>
      <w:r>
        <w:rPr>
          <w:i/>
          <w:sz w:val="21"/>
        </w:rPr>
        <w:t>four</w:t>
      </w:r>
      <w:r>
        <w:rPr>
          <w:i/>
          <w:spacing w:val="35"/>
          <w:sz w:val="21"/>
        </w:rPr>
        <w:t> </w:t>
      </w:r>
      <w:r>
        <w:rPr>
          <w:sz w:val="21"/>
        </w:rPr>
        <w:t>are</w:t>
      </w:r>
      <w:r>
        <w:rPr>
          <w:spacing w:val="35"/>
          <w:sz w:val="21"/>
        </w:rPr>
        <w:t> </w:t>
      </w:r>
      <w:r>
        <w:rPr>
          <w:sz w:val="21"/>
        </w:rPr>
        <w:t>applicable</w:t>
      </w:r>
      <w:r>
        <w:rPr>
          <w:spacing w:val="35"/>
          <w:sz w:val="21"/>
        </w:rPr>
        <w:t> </w:t>
      </w:r>
      <w:r>
        <w:rPr>
          <w:sz w:val="21"/>
        </w:rPr>
        <w:t>to</w:t>
      </w:r>
      <w:r>
        <w:rPr>
          <w:spacing w:val="35"/>
          <w:sz w:val="21"/>
        </w:rPr>
        <w:t> </w:t>
      </w:r>
      <w:r>
        <w:rPr>
          <w:sz w:val="21"/>
        </w:rPr>
        <w:t>the</w:t>
      </w:r>
      <w:r>
        <w:rPr>
          <w:spacing w:val="35"/>
          <w:sz w:val="21"/>
        </w:rPr>
        <w:t> </w:t>
      </w:r>
      <w:r>
        <w:rPr>
          <w:sz w:val="21"/>
        </w:rPr>
        <w:t>transfer,</w:t>
      </w:r>
      <w:r>
        <w:rPr>
          <w:spacing w:val="35"/>
          <w:sz w:val="21"/>
        </w:rPr>
        <w:t> </w:t>
      </w:r>
      <w:r>
        <w:rPr>
          <w:sz w:val="21"/>
        </w:rPr>
        <w:t>by</w:t>
      </w:r>
      <w:r>
        <w:rPr>
          <w:spacing w:val="35"/>
          <w:sz w:val="21"/>
        </w:rPr>
        <w:t> </w:t>
      </w:r>
      <w:r>
        <w:rPr>
          <w:sz w:val="21"/>
        </w:rPr>
        <w:t>any</w:t>
      </w:r>
      <w:r>
        <w:rPr>
          <w:spacing w:val="35"/>
          <w:sz w:val="21"/>
        </w:rPr>
        <w:t> </w:t>
      </w:r>
      <w:r>
        <w:rPr>
          <w:sz w:val="21"/>
        </w:rPr>
        <w:t>means,</w:t>
      </w:r>
      <w:r>
        <w:rPr>
          <w:spacing w:val="35"/>
          <w:sz w:val="21"/>
        </w:rPr>
        <w:t> </w:t>
      </w:r>
      <w:r>
        <w:rPr>
          <w:sz w:val="21"/>
        </w:rPr>
        <w:t>of</w:t>
      </w:r>
      <w:r>
        <w:rPr>
          <w:spacing w:val="35"/>
          <w:sz w:val="21"/>
        </w:rPr>
        <w:t> </w:t>
      </w:r>
      <w:r>
        <w:rPr>
          <w:sz w:val="21"/>
        </w:rPr>
        <w:t>ownership</w:t>
      </w:r>
      <w:r>
        <w:rPr>
          <w:spacing w:val="35"/>
          <w:sz w:val="21"/>
        </w:rPr>
        <w:t> </w:t>
      </w:r>
      <w:r>
        <w:rPr>
          <w:sz w:val="21"/>
        </w:rPr>
        <w:t>or</w:t>
      </w:r>
      <w:r>
        <w:rPr>
          <w:spacing w:val="35"/>
          <w:sz w:val="21"/>
        </w:rPr>
        <w:t> </w:t>
      </w:r>
      <w:r>
        <w:rPr>
          <w:sz w:val="21"/>
        </w:rPr>
        <w:t>other</w:t>
      </w:r>
      <w:r>
        <w:rPr>
          <w:spacing w:val="35"/>
          <w:sz w:val="21"/>
        </w:rPr>
        <w:t> </w:t>
      </w:r>
      <w:r>
        <w:rPr>
          <w:sz w:val="21"/>
        </w:rPr>
        <w:t>rights</w:t>
      </w:r>
      <w:r>
        <w:rPr>
          <w:spacing w:val="35"/>
          <w:sz w:val="21"/>
        </w:rPr>
        <w:t> </w:t>
      </w:r>
      <w:r>
        <w:rPr>
          <w:sz w:val="21"/>
        </w:rPr>
        <w:t>over</w:t>
      </w:r>
      <w:r>
        <w:rPr>
          <w:spacing w:val="35"/>
          <w:sz w:val="21"/>
        </w:rPr>
        <w:t> </w:t>
      </w:r>
      <w:r>
        <w:rPr>
          <w:sz w:val="21"/>
        </w:rPr>
        <w:t>the</w:t>
      </w:r>
      <w:r>
        <w:rPr>
          <w:spacing w:val="35"/>
          <w:sz w:val="21"/>
        </w:rPr>
        <w:t> </w:t>
      </w:r>
      <w:r>
        <w:rPr>
          <w:sz w:val="21"/>
        </w:rPr>
        <w:t>shares referred to in paragraph </w:t>
      </w:r>
      <w:r>
        <w:rPr>
          <w:i/>
          <w:sz w:val="21"/>
        </w:rPr>
        <w:t>five</w:t>
      </w:r>
      <w:r>
        <w:rPr>
          <w:sz w:val="21"/>
        </w:rPr>
        <w:t>, with the necessary amendments.</w:t>
      </w:r>
    </w:p>
    <w:p>
      <w:pPr>
        <w:pStyle w:val="BodyText"/>
        <w:spacing w:before="144"/>
        <w:rPr>
          <w:sz w:val="21"/>
        </w:rPr>
      </w:pPr>
    </w:p>
    <w:p>
      <w:pPr>
        <w:spacing w:line="295" w:lineRule="auto" w:before="0"/>
        <w:ind w:left="4504" w:right="4415" w:firstLine="950"/>
        <w:jc w:val="left"/>
        <w:rPr>
          <w:b/>
          <w:sz w:val="21"/>
        </w:rPr>
      </w:pPr>
      <w:r>
        <w:rPr>
          <w:b/>
          <w:sz w:val="21"/>
        </w:rPr>
        <w:t>Clause 17 Notification and </w:t>
      </w:r>
      <w:r>
        <w:rPr>
          <w:b/>
          <w:sz w:val="21"/>
        </w:rPr>
        <w:t>authorization</w:t>
      </w:r>
    </w:p>
    <w:p>
      <w:pPr>
        <w:pStyle w:val="BodyText"/>
        <w:spacing w:before="104"/>
        <w:rPr>
          <w:b/>
          <w:sz w:val="21"/>
        </w:rPr>
      </w:pPr>
    </w:p>
    <w:p>
      <w:pPr>
        <w:spacing w:line="213" w:lineRule="auto" w:before="0"/>
        <w:ind w:left="144" w:right="118" w:firstLine="0"/>
        <w:jc w:val="both"/>
        <w:rPr>
          <w:sz w:val="21"/>
        </w:rPr>
      </w:pPr>
      <w:r>
        <w:rPr>
          <w:i/>
          <w:sz w:val="21"/>
        </w:rPr>
        <w:t>One</w:t>
      </w:r>
      <w:r>
        <w:rPr>
          <w:sz w:val="21"/>
        </w:rPr>
        <w:t>.</w:t>
      </w:r>
      <w:r>
        <w:rPr>
          <w:spacing w:val="39"/>
          <w:sz w:val="21"/>
        </w:rPr>
        <w:t> </w:t>
      </w:r>
      <w:r>
        <w:rPr>
          <w:sz w:val="21"/>
        </w:rPr>
        <w:t>The</w:t>
      </w:r>
      <w:r>
        <w:rPr>
          <w:spacing w:val="40"/>
          <w:sz w:val="21"/>
        </w:rPr>
        <w:t> </w:t>
      </w:r>
      <w:r>
        <w:rPr>
          <w:sz w:val="21"/>
        </w:rPr>
        <w:t>following</w:t>
      </w:r>
      <w:r>
        <w:rPr>
          <w:spacing w:val="40"/>
          <w:sz w:val="21"/>
        </w:rPr>
        <w:t> </w:t>
      </w:r>
      <w:r>
        <w:rPr>
          <w:sz w:val="21"/>
        </w:rPr>
        <w:t>are</w:t>
      </w:r>
      <w:r>
        <w:rPr>
          <w:spacing w:val="40"/>
          <w:sz w:val="21"/>
        </w:rPr>
        <w:t> </w:t>
      </w:r>
      <w:r>
        <w:rPr>
          <w:sz w:val="21"/>
        </w:rPr>
        <w:t>considered</w:t>
      </w:r>
      <w:r>
        <w:rPr>
          <w:spacing w:val="40"/>
          <w:sz w:val="21"/>
        </w:rPr>
        <w:t> </w:t>
      </w:r>
      <w:r>
        <w:rPr>
          <w:sz w:val="21"/>
        </w:rPr>
        <w:t>to</w:t>
      </w:r>
      <w:r>
        <w:rPr>
          <w:spacing w:val="40"/>
          <w:sz w:val="21"/>
        </w:rPr>
        <w:t> </w:t>
      </w:r>
      <w:r>
        <w:rPr>
          <w:sz w:val="21"/>
        </w:rPr>
        <w:t>be</w:t>
      </w:r>
      <w:r>
        <w:rPr>
          <w:spacing w:val="40"/>
          <w:sz w:val="21"/>
        </w:rPr>
        <w:t> </w:t>
      </w:r>
      <w:r>
        <w:rPr>
          <w:sz w:val="21"/>
        </w:rPr>
        <w:t>decisions</w:t>
      </w:r>
      <w:r>
        <w:rPr>
          <w:spacing w:val="40"/>
          <w:sz w:val="21"/>
        </w:rPr>
        <w:t> </w:t>
      </w:r>
      <w:r>
        <w:rPr>
          <w:sz w:val="21"/>
        </w:rPr>
        <w:t>on</w:t>
      </w:r>
      <w:r>
        <w:rPr>
          <w:spacing w:val="40"/>
          <w:sz w:val="21"/>
        </w:rPr>
        <w:t> </w:t>
      </w:r>
      <w:r>
        <w:rPr>
          <w:sz w:val="21"/>
        </w:rPr>
        <w:t>major</w:t>
      </w:r>
      <w:r>
        <w:rPr>
          <w:spacing w:val="40"/>
          <w:sz w:val="21"/>
        </w:rPr>
        <w:t> </w:t>
      </w:r>
      <w:r>
        <w:rPr>
          <w:sz w:val="21"/>
        </w:rPr>
        <w:t>financial</w:t>
      </w:r>
      <w:r>
        <w:rPr>
          <w:spacing w:val="40"/>
          <w:sz w:val="21"/>
        </w:rPr>
        <w:t> </w:t>
      </w:r>
      <w:r>
        <w:rPr>
          <w:sz w:val="21"/>
        </w:rPr>
        <w:t>initiatives,</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Section</w:t>
      </w:r>
      <w:r>
        <w:rPr>
          <w:spacing w:val="40"/>
          <w:sz w:val="21"/>
        </w:rPr>
        <w:t> </w:t>
      </w:r>
      <w:r>
        <w:rPr>
          <w:sz w:val="21"/>
        </w:rPr>
        <w:t>22</w:t>
      </w:r>
      <w:r>
        <w:rPr>
          <w:spacing w:val="40"/>
          <w:sz w:val="21"/>
        </w:rPr>
        <w:t> </w:t>
      </w:r>
      <w:r>
        <w:rPr>
          <w:sz w:val="21"/>
        </w:rPr>
        <w:t>(1)</w:t>
      </w:r>
      <w:r>
        <w:rPr>
          <w:spacing w:val="40"/>
          <w:sz w:val="21"/>
        </w:rPr>
        <w:t> </w:t>
      </w:r>
      <w:r>
        <w:rPr>
          <w:sz w:val="21"/>
        </w:rPr>
        <w:t>(12)</w:t>
      </w:r>
      <w:r>
        <w:rPr>
          <w:spacing w:val="40"/>
          <w:sz w:val="21"/>
        </w:rPr>
        <w:t> </w:t>
      </w:r>
      <w:r>
        <w:rPr>
          <w:sz w:val="21"/>
        </w:rPr>
        <w:t>of</w:t>
      </w:r>
      <w:r>
        <w:rPr>
          <w:spacing w:val="40"/>
          <w:sz w:val="21"/>
        </w:rPr>
        <w:t> </w:t>
      </w:r>
      <w:r>
        <w:rPr>
          <w:sz w:val="21"/>
        </w:rPr>
        <w:t>Law</w:t>
      </w:r>
      <w:r>
        <w:rPr>
          <w:spacing w:val="40"/>
          <w:sz w:val="21"/>
        </w:rPr>
        <w:t> </w:t>
      </w:r>
      <w:r>
        <w:rPr>
          <w:sz w:val="21"/>
        </w:rPr>
        <w:t>No. </w:t>
      </w:r>
      <w:r>
        <w:rPr>
          <w:spacing w:val="-2"/>
          <w:sz w:val="21"/>
        </w:rPr>
        <w:t>16/2001:</w:t>
      </w:r>
    </w:p>
    <w:p>
      <w:pPr>
        <w:pStyle w:val="BodyText"/>
        <w:spacing w:before="131"/>
        <w:rPr>
          <w:sz w:val="21"/>
        </w:rPr>
      </w:pPr>
    </w:p>
    <w:p>
      <w:pPr>
        <w:pStyle w:val="ListParagraph"/>
        <w:numPr>
          <w:ilvl w:val="0"/>
          <w:numId w:val="27"/>
        </w:numPr>
        <w:tabs>
          <w:tab w:pos="887" w:val="left" w:leader="none"/>
        </w:tabs>
        <w:spacing w:line="240" w:lineRule="auto" w:before="0" w:after="0"/>
        <w:ind w:left="887" w:right="0" w:hanging="233"/>
        <w:jc w:val="left"/>
        <w:rPr>
          <w:sz w:val="21"/>
        </w:rPr>
      </w:pPr>
      <w:r>
        <w:rPr>
          <w:sz w:val="21"/>
        </w:rPr>
        <w:t>Financial</w:t>
      </w:r>
      <w:r>
        <w:rPr>
          <w:spacing w:val="11"/>
          <w:sz w:val="21"/>
        </w:rPr>
        <w:t> </w:t>
      </w:r>
      <w:r>
        <w:rPr>
          <w:sz w:val="21"/>
        </w:rPr>
        <w:t>decisions</w:t>
      </w:r>
      <w:r>
        <w:rPr>
          <w:spacing w:val="11"/>
          <w:sz w:val="21"/>
        </w:rPr>
        <w:t> </w:t>
      </w:r>
      <w:r>
        <w:rPr>
          <w:sz w:val="21"/>
        </w:rPr>
        <w:t>related</w:t>
      </w:r>
      <w:r>
        <w:rPr>
          <w:spacing w:val="11"/>
          <w:sz w:val="21"/>
        </w:rPr>
        <w:t> </w:t>
      </w:r>
      <w:r>
        <w:rPr>
          <w:sz w:val="21"/>
        </w:rPr>
        <w:t>to</w:t>
      </w:r>
      <w:r>
        <w:rPr>
          <w:spacing w:val="11"/>
          <w:sz w:val="21"/>
        </w:rPr>
        <w:t> </w:t>
      </w:r>
      <w:r>
        <w:rPr>
          <w:sz w:val="21"/>
        </w:rPr>
        <w:t>the</w:t>
      </w:r>
      <w:r>
        <w:rPr>
          <w:spacing w:val="11"/>
          <w:sz w:val="21"/>
        </w:rPr>
        <w:t> </w:t>
      </w:r>
      <w:r>
        <w:rPr>
          <w:sz w:val="21"/>
        </w:rPr>
        <w:t>internal</w:t>
      </w:r>
      <w:r>
        <w:rPr>
          <w:spacing w:val="11"/>
          <w:sz w:val="21"/>
        </w:rPr>
        <w:t> </w:t>
      </w:r>
      <w:r>
        <w:rPr>
          <w:sz w:val="21"/>
        </w:rPr>
        <w:t>movement</w:t>
      </w:r>
      <w:r>
        <w:rPr>
          <w:spacing w:val="11"/>
          <w:sz w:val="21"/>
        </w:rPr>
        <w:t> </w:t>
      </w:r>
      <w:r>
        <w:rPr>
          <w:sz w:val="21"/>
        </w:rPr>
        <w:t>of</w:t>
      </w:r>
      <w:r>
        <w:rPr>
          <w:spacing w:val="11"/>
          <w:sz w:val="21"/>
        </w:rPr>
        <w:t> </w:t>
      </w:r>
      <w:r>
        <w:rPr>
          <w:sz w:val="21"/>
        </w:rPr>
        <w:t>funds</w:t>
      </w:r>
      <w:r>
        <w:rPr>
          <w:spacing w:val="11"/>
          <w:sz w:val="21"/>
        </w:rPr>
        <w:t> </w:t>
      </w:r>
      <w:r>
        <w:rPr>
          <w:sz w:val="21"/>
        </w:rPr>
        <w:t>of</w:t>
      </w:r>
      <w:r>
        <w:rPr>
          <w:spacing w:val="11"/>
          <w:sz w:val="21"/>
        </w:rPr>
        <w:t> </w:t>
      </w:r>
      <w:r>
        <w:rPr>
          <w:sz w:val="21"/>
        </w:rPr>
        <w:t>the</w:t>
      </w:r>
      <w:r>
        <w:rPr>
          <w:spacing w:val="11"/>
          <w:sz w:val="21"/>
        </w:rPr>
        <w:t> </w:t>
      </w:r>
      <w:r>
        <w:rPr>
          <w:sz w:val="21"/>
        </w:rPr>
        <w:t>Concessionaire</w:t>
      </w:r>
      <w:r>
        <w:rPr>
          <w:spacing w:val="11"/>
          <w:sz w:val="21"/>
        </w:rPr>
        <w:t> </w:t>
      </w:r>
      <w:r>
        <w:rPr>
          <w:sz w:val="21"/>
        </w:rPr>
        <w:t>exceeding</w:t>
      </w:r>
      <w:r>
        <w:rPr>
          <w:spacing w:val="11"/>
          <w:sz w:val="21"/>
        </w:rPr>
        <w:t> </w:t>
      </w:r>
      <w:r>
        <w:rPr>
          <w:sz w:val="21"/>
        </w:rPr>
        <w:t>50%</w:t>
      </w:r>
      <w:r>
        <w:rPr>
          <w:spacing w:val="11"/>
          <w:sz w:val="21"/>
        </w:rPr>
        <w:t> </w:t>
      </w:r>
      <w:r>
        <w:rPr>
          <w:sz w:val="21"/>
        </w:rPr>
        <w:t>of</w:t>
      </w:r>
      <w:r>
        <w:rPr>
          <w:spacing w:val="11"/>
          <w:sz w:val="21"/>
        </w:rPr>
        <w:t> </w:t>
      </w:r>
      <w:r>
        <w:rPr>
          <w:sz w:val="21"/>
        </w:rPr>
        <w:t>the</w:t>
      </w:r>
      <w:r>
        <w:rPr>
          <w:spacing w:val="11"/>
          <w:sz w:val="21"/>
        </w:rPr>
        <w:t> </w:t>
      </w:r>
      <w:r>
        <w:rPr>
          <w:sz w:val="21"/>
        </w:rPr>
        <w:t>share</w:t>
      </w:r>
      <w:r>
        <w:rPr>
          <w:spacing w:val="11"/>
          <w:sz w:val="21"/>
        </w:rPr>
        <w:t> </w:t>
      </w:r>
      <w:r>
        <w:rPr>
          <w:spacing w:val="-2"/>
          <w:sz w:val="21"/>
        </w:rPr>
        <w:t>capital;</w:t>
      </w:r>
    </w:p>
    <w:p>
      <w:pPr>
        <w:pStyle w:val="BodyText"/>
        <w:spacing w:before="146"/>
        <w:rPr>
          <w:sz w:val="21"/>
        </w:rPr>
      </w:pPr>
    </w:p>
    <w:p>
      <w:pPr>
        <w:pStyle w:val="ListParagraph"/>
        <w:numPr>
          <w:ilvl w:val="0"/>
          <w:numId w:val="27"/>
        </w:numPr>
        <w:tabs>
          <w:tab w:pos="910" w:val="left" w:leader="none"/>
          <w:tab w:pos="914" w:val="left" w:leader="none"/>
        </w:tabs>
        <w:spacing w:line="213" w:lineRule="auto" w:before="0" w:after="0"/>
        <w:ind w:left="910" w:right="119" w:hanging="256"/>
        <w:jc w:val="left"/>
        <w:rPr>
          <w:sz w:val="21"/>
        </w:rPr>
      </w:pPr>
      <w:r>
        <w:rPr>
          <w:sz w:val="21"/>
        </w:rPr>
        <w:tab/>
        <w:t>Financial</w:t>
      </w:r>
      <w:r>
        <w:rPr>
          <w:spacing w:val="40"/>
          <w:sz w:val="21"/>
        </w:rPr>
        <w:t> </w:t>
      </w:r>
      <w:r>
        <w:rPr>
          <w:sz w:val="21"/>
        </w:rPr>
        <w:t>decisions</w:t>
      </w:r>
      <w:r>
        <w:rPr>
          <w:spacing w:val="40"/>
          <w:sz w:val="21"/>
        </w:rPr>
        <w:t> </w:t>
      </w:r>
      <w:r>
        <w:rPr>
          <w:sz w:val="21"/>
        </w:rPr>
        <w:t>related</w:t>
      </w:r>
      <w:r>
        <w:rPr>
          <w:spacing w:val="40"/>
          <w:sz w:val="21"/>
        </w:rPr>
        <w:t> </w:t>
      </w:r>
      <w:r>
        <w:rPr>
          <w:sz w:val="21"/>
        </w:rPr>
        <w:t>to</w:t>
      </w:r>
      <w:r>
        <w:rPr>
          <w:spacing w:val="40"/>
          <w:sz w:val="21"/>
        </w:rPr>
        <w:t> </w:t>
      </w:r>
      <w:r>
        <w:rPr>
          <w:sz w:val="21"/>
        </w:rPr>
        <w:t>salaries,</w:t>
      </w:r>
      <w:r>
        <w:rPr>
          <w:spacing w:val="40"/>
          <w:sz w:val="21"/>
        </w:rPr>
        <w:t> </w:t>
      </w:r>
      <w:r>
        <w:rPr>
          <w:sz w:val="21"/>
        </w:rPr>
        <w:t>remunerations</w:t>
      </w:r>
      <w:r>
        <w:rPr>
          <w:spacing w:val="40"/>
          <w:sz w:val="21"/>
        </w:rPr>
        <w:t> </w:t>
      </w:r>
      <w:r>
        <w:rPr>
          <w:sz w:val="21"/>
        </w:rPr>
        <w:t>or</w:t>
      </w:r>
      <w:r>
        <w:rPr>
          <w:spacing w:val="40"/>
          <w:sz w:val="21"/>
        </w:rPr>
        <w:t> </w:t>
      </w:r>
      <w:r>
        <w:rPr>
          <w:sz w:val="21"/>
        </w:rPr>
        <w:t>employee</w:t>
      </w:r>
      <w:r>
        <w:rPr>
          <w:spacing w:val="40"/>
          <w:sz w:val="21"/>
        </w:rPr>
        <w:t> </w:t>
      </w:r>
      <w:r>
        <w:rPr>
          <w:sz w:val="21"/>
        </w:rPr>
        <w:t>benefits,</w:t>
      </w:r>
      <w:r>
        <w:rPr>
          <w:spacing w:val="40"/>
          <w:sz w:val="21"/>
        </w:rPr>
        <w:t> </w:t>
      </w:r>
      <w:r>
        <w:rPr>
          <w:sz w:val="21"/>
        </w:rPr>
        <w:t>among</w:t>
      </w:r>
      <w:r>
        <w:rPr>
          <w:spacing w:val="40"/>
          <w:sz w:val="21"/>
        </w:rPr>
        <w:t> </w:t>
      </w:r>
      <w:r>
        <w:rPr>
          <w:sz w:val="21"/>
        </w:rPr>
        <w:t>others,</w:t>
      </w:r>
      <w:r>
        <w:rPr>
          <w:spacing w:val="40"/>
          <w:sz w:val="21"/>
        </w:rPr>
        <w:t> </w:t>
      </w:r>
      <w:r>
        <w:rPr>
          <w:sz w:val="21"/>
        </w:rPr>
        <w:t>that</w:t>
      </w:r>
      <w:r>
        <w:rPr>
          <w:spacing w:val="40"/>
          <w:sz w:val="21"/>
        </w:rPr>
        <w:t> </w:t>
      </w:r>
      <w:r>
        <w:rPr>
          <w:sz w:val="21"/>
        </w:rPr>
        <w:t>exceed</w:t>
      </w:r>
      <w:r>
        <w:rPr>
          <w:spacing w:val="40"/>
          <w:sz w:val="21"/>
        </w:rPr>
        <w:t> </w:t>
      </w:r>
      <w:r>
        <w:rPr>
          <w:sz w:val="21"/>
        </w:rPr>
        <w:t>10%</w:t>
      </w:r>
      <w:r>
        <w:rPr>
          <w:spacing w:val="40"/>
          <w:sz w:val="21"/>
        </w:rPr>
        <w:t> </w:t>
      </w:r>
      <w:r>
        <w:rPr>
          <w:sz w:val="21"/>
        </w:rPr>
        <w:t>of</w:t>
      </w:r>
      <w:r>
        <w:rPr>
          <w:spacing w:val="40"/>
          <w:sz w:val="21"/>
        </w:rPr>
        <w:t> </w:t>
      </w:r>
      <w:r>
        <w:rPr>
          <w:sz w:val="21"/>
        </w:rPr>
        <w:t>the</w:t>
      </w:r>
      <w:r>
        <w:rPr>
          <w:spacing w:val="40"/>
          <w:sz w:val="21"/>
        </w:rPr>
        <w:t> </w:t>
      </w:r>
      <w:r>
        <w:rPr>
          <w:sz w:val="21"/>
        </w:rPr>
        <w:t>share </w:t>
      </w:r>
      <w:r>
        <w:rPr>
          <w:spacing w:val="-2"/>
          <w:sz w:val="21"/>
        </w:rPr>
        <w:t>capital;</w:t>
      </w:r>
    </w:p>
    <w:p>
      <w:pPr>
        <w:pStyle w:val="BodyText"/>
        <w:spacing w:before="144"/>
        <w:rPr>
          <w:sz w:val="21"/>
        </w:rPr>
      </w:pPr>
    </w:p>
    <w:p>
      <w:pPr>
        <w:pStyle w:val="ListParagraph"/>
        <w:numPr>
          <w:ilvl w:val="0"/>
          <w:numId w:val="27"/>
        </w:numPr>
        <w:tabs>
          <w:tab w:pos="887" w:val="left" w:leader="none"/>
        </w:tabs>
        <w:spacing w:line="240" w:lineRule="auto" w:before="0" w:after="0"/>
        <w:ind w:left="887" w:right="0" w:hanging="233"/>
        <w:jc w:val="left"/>
        <w:rPr>
          <w:sz w:val="21"/>
        </w:rPr>
      </w:pPr>
      <w:r>
        <w:rPr>
          <w:sz w:val="21"/>
        </w:rPr>
        <w:t>Financial</w:t>
      </w:r>
      <w:r>
        <w:rPr>
          <w:spacing w:val="10"/>
          <w:sz w:val="21"/>
        </w:rPr>
        <w:t> </w:t>
      </w:r>
      <w:r>
        <w:rPr>
          <w:sz w:val="21"/>
        </w:rPr>
        <w:t>decisions</w:t>
      </w:r>
      <w:r>
        <w:rPr>
          <w:spacing w:val="10"/>
          <w:sz w:val="21"/>
        </w:rPr>
        <w:t> </w:t>
      </w:r>
      <w:r>
        <w:rPr>
          <w:sz w:val="21"/>
        </w:rPr>
        <w:t>not</w:t>
      </w:r>
      <w:r>
        <w:rPr>
          <w:spacing w:val="11"/>
          <w:sz w:val="21"/>
        </w:rPr>
        <w:t> </w:t>
      </w:r>
      <w:r>
        <w:rPr>
          <w:sz w:val="21"/>
        </w:rPr>
        <w:t>covered</w:t>
      </w:r>
      <w:r>
        <w:rPr>
          <w:spacing w:val="10"/>
          <w:sz w:val="21"/>
        </w:rPr>
        <w:t> </w:t>
      </w:r>
      <w:r>
        <w:rPr>
          <w:sz w:val="21"/>
        </w:rPr>
        <w:t>by</w:t>
      </w:r>
      <w:r>
        <w:rPr>
          <w:spacing w:val="11"/>
          <w:sz w:val="21"/>
        </w:rPr>
        <w:t> </w:t>
      </w:r>
      <w:r>
        <w:rPr>
          <w:sz w:val="21"/>
        </w:rPr>
        <w:t>the</w:t>
      </w:r>
      <w:r>
        <w:rPr>
          <w:spacing w:val="10"/>
          <w:sz w:val="21"/>
        </w:rPr>
        <w:t> </w:t>
      </w:r>
      <w:r>
        <w:rPr>
          <w:sz w:val="21"/>
        </w:rPr>
        <w:t>previous</w:t>
      </w:r>
      <w:r>
        <w:rPr>
          <w:spacing w:val="11"/>
          <w:sz w:val="21"/>
        </w:rPr>
        <w:t> </w:t>
      </w:r>
      <w:r>
        <w:rPr>
          <w:sz w:val="21"/>
        </w:rPr>
        <w:t>two</w:t>
      </w:r>
      <w:r>
        <w:rPr>
          <w:spacing w:val="10"/>
          <w:sz w:val="21"/>
        </w:rPr>
        <w:t> </w:t>
      </w:r>
      <w:r>
        <w:rPr>
          <w:sz w:val="21"/>
        </w:rPr>
        <w:t>paragraphs</w:t>
      </w:r>
      <w:r>
        <w:rPr>
          <w:spacing w:val="10"/>
          <w:sz w:val="21"/>
        </w:rPr>
        <w:t> </w:t>
      </w:r>
      <w:r>
        <w:rPr>
          <w:sz w:val="21"/>
        </w:rPr>
        <w:t>that</w:t>
      </w:r>
      <w:r>
        <w:rPr>
          <w:spacing w:val="11"/>
          <w:sz w:val="21"/>
        </w:rPr>
        <w:t> </w:t>
      </w:r>
      <w:r>
        <w:rPr>
          <w:sz w:val="21"/>
        </w:rPr>
        <w:t>exceed</w:t>
      </w:r>
      <w:r>
        <w:rPr>
          <w:spacing w:val="10"/>
          <w:sz w:val="21"/>
        </w:rPr>
        <w:t> </w:t>
      </w:r>
      <w:r>
        <w:rPr>
          <w:sz w:val="21"/>
        </w:rPr>
        <w:t>10%</w:t>
      </w:r>
      <w:r>
        <w:rPr>
          <w:spacing w:val="11"/>
          <w:sz w:val="21"/>
        </w:rPr>
        <w:t> </w:t>
      </w:r>
      <w:r>
        <w:rPr>
          <w:sz w:val="21"/>
        </w:rPr>
        <w:t>of</w:t>
      </w:r>
      <w:r>
        <w:rPr>
          <w:spacing w:val="10"/>
          <w:sz w:val="21"/>
        </w:rPr>
        <w:t> </w:t>
      </w:r>
      <w:r>
        <w:rPr>
          <w:sz w:val="21"/>
        </w:rPr>
        <w:t>the</w:t>
      </w:r>
      <w:r>
        <w:rPr>
          <w:spacing w:val="11"/>
          <w:sz w:val="21"/>
        </w:rPr>
        <w:t> </w:t>
      </w:r>
      <w:r>
        <w:rPr>
          <w:sz w:val="21"/>
        </w:rPr>
        <w:t>share</w:t>
      </w:r>
      <w:r>
        <w:rPr>
          <w:spacing w:val="10"/>
          <w:sz w:val="21"/>
        </w:rPr>
        <w:t> </w:t>
      </w:r>
      <w:r>
        <w:rPr>
          <w:spacing w:val="-2"/>
          <w:sz w:val="21"/>
        </w:rPr>
        <w:t>capital.</w:t>
      </w:r>
    </w:p>
    <w:p>
      <w:pPr>
        <w:pStyle w:val="BodyText"/>
        <w:spacing w:before="146"/>
        <w:rPr>
          <w:sz w:val="21"/>
        </w:rPr>
      </w:pPr>
    </w:p>
    <w:p>
      <w:pPr>
        <w:spacing w:line="213" w:lineRule="auto" w:before="0"/>
        <w:ind w:left="144" w:right="118" w:firstLine="0"/>
        <w:jc w:val="both"/>
        <w:rPr>
          <w:sz w:val="21"/>
        </w:rPr>
      </w:pPr>
      <w:r>
        <w:rPr>
          <w:i/>
          <w:sz w:val="21"/>
        </w:rPr>
        <w:t>Two</w:t>
      </w:r>
      <w:r>
        <w:rPr>
          <w:sz w:val="21"/>
        </w:rPr>
        <w:t>.</w:t>
      </w:r>
      <w:r>
        <w:rPr>
          <w:spacing w:val="28"/>
          <w:sz w:val="21"/>
        </w:rPr>
        <w:t> </w:t>
      </w:r>
      <w:r>
        <w:rPr>
          <w:sz w:val="21"/>
        </w:rPr>
        <w:t>The</w:t>
      </w:r>
      <w:r>
        <w:rPr>
          <w:spacing w:val="33"/>
          <w:sz w:val="21"/>
        </w:rPr>
        <w:t> </w:t>
      </w:r>
      <w:r>
        <w:rPr>
          <w:sz w:val="21"/>
        </w:rPr>
        <w:t>Concessionaire</w:t>
      </w:r>
      <w:r>
        <w:rPr>
          <w:spacing w:val="33"/>
          <w:sz w:val="21"/>
        </w:rPr>
        <w:t> </w:t>
      </w:r>
      <w:r>
        <w:rPr>
          <w:sz w:val="21"/>
        </w:rPr>
        <w:t>undertakes</w:t>
      </w:r>
      <w:r>
        <w:rPr>
          <w:spacing w:val="33"/>
          <w:sz w:val="21"/>
        </w:rPr>
        <w:t> </w:t>
      </w:r>
      <w:r>
        <w:rPr>
          <w:sz w:val="21"/>
        </w:rPr>
        <w:t>to</w:t>
      </w:r>
      <w:r>
        <w:rPr>
          <w:spacing w:val="33"/>
          <w:sz w:val="21"/>
        </w:rPr>
        <w:t> </w:t>
      </w:r>
      <w:r>
        <w:rPr>
          <w:sz w:val="21"/>
        </w:rPr>
        <w:t>notify</w:t>
      </w:r>
      <w:r>
        <w:rPr>
          <w:spacing w:val="33"/>
          <w:sz w:val="21"/>
        </w:rPr>
        <w:t> </w:t>
      </w:r>
      <w:r>
        <w:rPr>
          <w:sz w:val="21"/>
        </w:rPr>
        <w:t>the</w:t>
      </w:r>
      <w:r>
        <w:rPr>
          <w:spacing w:val="33"/>
          <w:sz w:val="21"/>
        </w:rPr>
        <w:t> </w:t>
      </w:r>
      <w:r>
        <w:rPr>
          <w:sz w:val="21"/>
        </w:rPr>
        <w:t>Chief</w:t>
      </w:r>
      <w:r>
        <w:rPr>
          <w:spacing w:val="33"/>
          <w:sz w:val="21"/>
        </w:rPr>
        <w:t> </w:t>
      </w:r>
      <w:r>
        <w:rPr>
          <w:sz w:val="21"/>
        </w:rPr>
        <w:t>Executive</w:t>
      </w:r>
      <w:r>
        <w:rPr>
          <w:spacing w:val="33"/>
          <w:sz w:val="21"/>
        </w:rPr>
        <w:t> </w:t>
      </w:r>
      <w:r>
        <w:rPr>
          <w:sz w:val="21"/>
        </w:rPr>
        <w:t>of</w:t>
      </w:r>
      <w:r>
        <w:rPr>
          <w:spacing w:val="33"/>
          <w:sz w:val="21"/>
        </w:rPr>
        <w:t> </w:t>
      </w:r>
      <w:r>
        <w:rPr>
          <w:sz w:val="21"/>
        </w:rPr>
        <w:t>decisions</w:t>
      </w:r>
      <w:r>
        <w:rPr>
          <w:spacing w:val="33"/>
          <w:sz w:val="21"/>
        </w:rPr>
        <w:t> </w:t>
      </w:r>
      <w:r>
        <w:rPr>
          <w:sz w:val="21"/>
        </w:rPr>
        <w:t>on</w:t>
      </w:r>
      <w:r>
        <w:rPr>
          <w:spacing w:val="33"/>
          <w:sz w:val="21"/>
        </w:rPr>
        <w:t> </w:t>
      </w:r>
      <w:r>
        <w:rPr>
          <w:sz w:val="21"/>
        </w:rPr>
        <w:t>major</w:t>
      </w:r>
      <w:r>
        <w:rPr>
          <w:spacing w:val="33"/>
          <w:sz w:val="21"/>
        </w:rPr>
        <w:t> </w:t>
      </w:r>
      <w:r>
        <w:rPr>
          <w:sz w:val="21"/>
        </w:rPr>
        <w:t>financial</w:t>
      </w:r>
      <w:r>
        <w:rPr>
          <w:spacing w:val="33"/>
          <w:sz w:val="21"/>
        </w:rPr>
        <w:t> </w:t>
      </w:r>
      <w:r>
        <w:rPr>
          <w:sz w:val="21"/>
        </w:rPr>
        <w:t>initiatives</w:t>
      </w:r>
      <w:r>
        <w:rPr>
          <w:spacing w:val="33"/>
          <w:sz w:val="21"/>
        </w:rPr>
        <w:t> </w:t>
      </w:r>
      <w:r>
        <w:rPr>
          <w:sz w:val="21"/>
        </w:rPr>
        <w:t>at</w:t>
      </w:r>
      <w:r>
        <w:rPr>
          <w:spacing w:val="33"/>
          <w:sz w:val="21"/>
        </w:rPr>
        <w:t> </w:t>
      </w:r>
      <w:r>
        <w:rPr>
          <w:sz w:val="21"/>
        </w:rPr>
        <w:t>least</w:t>
      </w:r>
      <w:r>
        <w:rPr>
          <w:spacing w:val="33"/>
          <w:sz w:val="21"/>
        </w:rPr>
        <w:t> </w:t>
      </w:r>
      <w:r>
        <w:rPr>
          <w:sz w:val="21"/>
        </w:rPr>
        <w:t>five</w:t>
      </w:r>
      <w:r>
        <w:rPr>
          <w:spacing w:val="33"/>
          <w:sz w:val="21"/>
        </w:rPr>
        <w:t> </w:t>
      </w:r>
      <w:r>
        <w:rPr>
          <w:sz w:val="21"/>
        </w:rPr>
        <w:t>working days before they are taken, unless there is an acceptable just cause.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5"/>
        <w:rPr>
          <w:sz w:val="20"/>
        </w:rPr>
      </w:pPr>
      <w:r>
        <w:rPr/>
        <mc:AlternateContent>
          <mc:Choice Requires="wps">
            <w:drawing>
              <wp:anchor distT="0" distB="0" distL="0" distR="0" allowOverlap="1" layoutInCell="1" locked="0" behindDoc="1" simplePos="0" relativeHeight="487768576">
                <wp:simplePos x="0" y="0"/>
                <wp:positionH relativeFrom="page">
                  <wp:posOffset>231457</wp:posOffset>
                </wp:positionH>
                <wp:positionV relativeFrom="paragraph">
                  <wp:posOffset>196319</wp:posOffset>
                </wp:positionV>
                <wp:extent cx="7312659" cy="17145"/>
                <wp:effectExtent l="0" t="0" r="0" b="0"/>
                <wp:wrapTopAndBottom/>
                <wp:docPr id="828" name="Group 828"/>
                <wp:cNvGraphicFramePr>
                  <a:graphicFrameLocks/>
                </wp:cNvGraphicFramePr>
                <a:graphic>
                  <a:graphicData uri="http://schemas.microsoft.com/office/word/2010/wordprocessingGroup">
                    <wpg:wgp>
                      <wpg:cNvPr id="828" name="Group 828"/>
                      <wpg:cNvGrpSpPr/>
                      <wpg:grpSpPr>
                        <a:xfrm>
                          <a:off x="0" y="0"/>
                          <a:ext cx="7312659" cy="17145"/>
                          <a:chExt cx="7312659" cy="17145"/>
                        </a:xfrm>
                      </wpg:grpSpPr>
                      <wps:wsp>
                        <wps:cNvPr id="829" name="Graphic 82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30" name="Graphic 830"/>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31" name="Graphic 83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45826pt;width:575.8pt;height:1.35pt;mso-position-horizontal-relative:page;mso-position-vertical-relative:paragraph;z-index:-15547904;mso-wrap-distance-left:0;mso-wrap-distance-right:0" id="docshapegroup826" coordorigin="364,309" coordsize="11516,27">
                <v:rect style="position:absolute;left:364;top:309;width:11516;height:14" id="docshape827" filled="true" fillcolor="#999999" stroked="false">
                  <v:fill type="solid"/>
                </v:rect>
                <v:shape style="position:absolute;left:364;top:309;width:11516;height:27" id="docshape828" coordorigin="364,309" coordsize="11516,27" path="m11880,309l11866,323,364,323,364,336,11866,336,11880,336,11880,323,11880,309xe" filled="true" fillcolor="#ededed" stroked="false">
                  <v:path arrowok="t"/>
                  <v:fill type="solid"/>
                </v:shape>
                <v:shape style="position:absolute;left:364;top:309;width:14;height:27" id="docshape829" coordorigin="364,309" coordsize="14,27" path="m364,336l364,309,378,309,378,323,364,336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line="213" w:lineRule="auto" w:before="90"/>
        <w:ind w:left="144" w:right="118" w:firstLine="0"/>
        <w:jc w:val="both"/>
        <w:rPr>
          <w:sz w:val="21"/>
        </w:rPr>
      </w:pPr>
      <w:r>
        <w:rPr>
          <w:i/>
          <w:sz w:val="21"/>
        </w:rPr>
        <w:t>Three</w:t>
      </w:r>
      <w:r>
        <w:rPr>
          <w:sz w:val="21"/>
        </w:rPr>
        <w:t>. The</w:t>
      </w:r>
      <w:r>
        <w:rPr>
          <w:spacing w:val="40"/>
          <w:sz w:val="21"/>
        </w:rPr>
        <w:t> </w:t>
      </w:r>
      <w:r>
        <w:rPr>
          <w:sz w:val="21"/>
        </w:rPr>
        <w:t>transfer</w:t>
      </w:r>
      <w:r>
        <w:rPr>
          <w:spacing w:val="40"/>
          <w:sz w:val="21"/>
        </w:rPr>
        <w:t> </w:t>
      </w:r>
      <w:r>
        <w:rPr>
          <w:sz w:val="21"/>
        </w:rPr>
        <w:t>real</w:t>
      </w:r>
      <w:r>
        <w:rPr>
          <w:spacing w:val="40"/>
          <w:sz w:val="21"/>
        </w:rPr>
        <w:t> </w:t>
      </w:r>
      <w:r>
        <w:rPr>
          <w:sz w:val="21"/>
        </w:rPr>
        <w:t>and</w:t>
      </w:r>
      <w:r>
        <w:rPr>
          <w:spacing w:val="40"/>
          <w:sz w:val="21"/>
        </w:rPr>
        <w:t> </w:t>
      </w:r>
      <w:r>
        <w:rPr>
          <w:sz w:val="21"/>
        </w:rPr>
        <w:t>credit</w:t>
      </w:r>
      <w:r>
        <w:rPr>
          <w:spacing w:val="40"/>
          <w:sz w:val="21"/>
        </w:rPr>
        <w:t> </w:t>
      </w:r>
      <w:r>
        <w:rPr>
          <w:sz w:val="21"/>
        </w:rPr>
        <w:t>rights</w:t>
      </w:r>
      <w:r>
        <w:rPr>
          <w:spacing w:val="40"/>
          <w:sz w:val="21"/>
        </w:rPr>
        <w:t> </w:t>
      </w:r>
      <w:r>
        <w:rPr>
          <w:sz w:val="21"/>
        </w:rPr>
        <w:t>of</w:t>
      </w:r>
      <w:r>
        <w:rPr>
          <w:spacing w:val="40"/>
          <w:sz w:val="21"/>
        </w:rPr>
        <w:t> </w:t>
      </w:r>
      <w:r>
        <w:rPr>
          <w:sz w:val="21"/>
        </w:rPr>
        <w:t>the</w:t>
      </w:r>
      <w:r>
        <w:rPr>
          <w:spacing w:val="40"/>
          <w:sz w:val="21"/>
        </w:rPr>
        <w:t> </w:t>
      </w:r>
      <w:r>
        <w:rPr>
          <w:sz w:val="21"/>
        </w:rPr>
        <w:t>Concessionaire</w:t>
      </w:r>
      <w:r>
        <w:rPr>
          <w:spacing w:val="40"/>
          <w:sz w:val="21"/>
        </w:rPr>
        <w:t> </w:t>
      </w:r>
      <w:r>
        <w:rPr>
          <w:sz w:val="21"/>
        </w:rPr>
        <w:t>exceeding</w:t>
      </w:r>
      <w:r>
        <w:rPr>
          <w:spacing w:val="40"/>
          <w:sz w:val="21"/>
        </w:rPr>
        <w:t> </w:t>
      </w:r>
      <w:r>
        <w:rPr>
          <w:sz w:val="21"/>
        </w:rPr>
        <w:t>MOP 100,000,000</w:t>
      </w:r>
      <w:r>
        <w:rPr>
          <w:spacing w:val="40"/>
          <w:sz w:val="21"/>
        </w:rPr>
        <w:t> </w:t>
      </w:r>
      <w:r>
        <w:rPr>
          <w:sz w:val="21"/>
        </w:rPr>
        <w:t>(one</w:t>
      </w:r>
      <w:r>
        <w:rPr>
          <w:spacing w:val="40"/>
          <w:sz w:val="21"/>
        </w:rPr>
        <w:t> </w:t>
      </w:r>
      <w:r>
        <w:rPr>
          <w:sz w:val="21"/>
        </w:rPr>
        <w:t>hundred</w:t>
      </w:r>
      <w:r>
        <w:rPr>
          <w:spacing w:val="40"/>
          <w:sz w:val="21"/>
        </w:rPr>
        <w:t> </w:t>
      </w:r>
      <w:r>
        <w:rPr>
          <w:sz w:val="21"/>
        </w:rPr>
        <w:t>million</w:t>
      </w:r>
      <w:r>
        <w:rPr>
          <w:spacing w:val="40"/>
          <w:sz w:val="21"/>
        </w:rPr>
        <w:t> </w:t>
      </w:r>
      <w:r>
        <w:rPr>
          <w:sz w:val="21"/>
        </w:rPr>
        <w:t>patacas)</w:t>
      </w:r>
      <w:r>
        <w:rPr>
          <w:spacing w:val="40"/>
          <w:sz w:val="21"/>
        </w:rPr>
        <w:t> </w:t>
      </w:r>
      <w:r>
        <w:rPr>
          <w:sz w:val="21"/>
        </w:rPr>
        <w:t>shall require the authorization of the Secretary for Economy and Finance.</w:t>
      </w:r>
    </w:p>
    <w:p>
      <w:pPr>
        <w:pStyle w:val="BodyText"/>
        <w:spacing w:before="152"/>
        <w:rPr>
          <w:sz w:val="21"/>
        </w:rPr>
      </w:pPr>
    </w:p>
    <w:p>
      <w:pPr>
        <w:spacing w:line="213" w:lineRule="auto" w:before="0"/>
        <w:ind w:left="144" w:right="118" w:firstLine="0"/>
        <w:jc w:val="both"/>
        <w:rPr>
          <w:sz w:val="21"/>
        </w:rPr>
      </w:pPr>
      <w:r>
        <w:rPr>
          <w:i/>
          <w:sz w:val="21"/>
        </w:rPr>
        <w:t>Four</w:t>
      </w:r>
      <w:r>
        <w:rPr>
          <w:sz w:val="21"/>
        </w:rPr>
        <w:t>.</w:t>
      </w:r>
      <w:r>
        <w:rPr>
          <w:spacing w:val="40"/>
          <w:sz w:val="21"/>
        </w:rPr>
        <w:t> </w:t>
      </w:r>
      <w:r>
        <w:rPr>
          <w:sz w:val="21"/>
        </w:rPr>
        <w:t>Loan</w:t>
      </w:r>
      <w:r>
        <w:rPr>
          <w:spacing w:val="40"/>
          <w:sz w:val="21"/>
        </w:rPr>
        <w:t> </w:t>
      </w:r>
      <w:r>
        <w:rPr>
          <w:sz w:val="21"/>
        </w:rPr>
        <w:t>agreements</w:t>
      </w:r>
      <w:r>
        <w:rPr>
          <w:spacing w:val="40"/>
          <w:sz w:val="21"/>
        </w:rPr>
        <w:t> </w:t>
      </w:r>
      <w:r>
        <w:rPr>
          <w:sz w:val="21"/>
        </w:rPr>
        <w:t>or</w:t>
      </w:r>
      <w:r>
        <w:rPr>
          <w:spacing w:val="40"/>
          <w:sz w:val="21"/>
        </w:rPr>
        <w:t> </w:t>
      </w:r>
      <w:r>
        <w:rPr>
          <w:sz w:val="21"/>
        </w:rPr>
        <w:t>similar,</w:t>
      </w:r>
      <w:r>
        <w:rPr>
          <w:spacing w:val="40"/>
          <w:sz w:val="21"/>
        </w:rPr>
        <w:t> </w:t>
      </w:r>
      <w:r>
        <w:rPr>
          <w:sz w:val="21"/>
        </w:rPr>
        <w:t>entered</w:t>
      </w:r>
      <w:r>
        <w:rPr>
          <w:spacing w:val="40"/>
          <w:sz w:val="21"/>
        </w:rPr>
        <w:t> </w:t>
      </w:r>
      <w:r>
        <w:rPr>
          <w:sz w:val="21"/>
        </w:rPr>
        <w:t>into</w:t>
      </w:r>
      <w:r>
        <w:rPr>
          <w:spacing w:val="40"/>
          <w:sz w:val="21"/>
        </w:rPr>
        <w:t> </w:t>
      </w:r>
      <w:r>
        <w:rPr>
          <w:sz w:val="21"/>
        </w:rPr>
        <w:t>by</w:t>
      </w:r>
      <w:r>
        <w:rPr>
          <w:spacing w:val="40"/>
          <w:sz w:val="21"/>
        </w:rPr>
        <w:t> </w:t>
      </w:r>
      <w:r>
        <w:rPr>
          <w:sz w:val="21"/>
        </w:rPr>
        <w:t>the</w:t>
      </w:r>
      <w:r>
        <w:rPr>
          <w:spacing w:val="40"/>
          <w:sz w:val="21"/>
        </w:rPr>
        <w:t> </w:t>
      </w:r>
      <w:r>
        <w:rPr>
          <w:sz w:val="21"/>
        </w:rPr>
        <w:t>Concessionaire,</w:t>
      </w:r>
      <w:r>
        <w:rPr>
          <w:spacing w:val="40"/>
          <w:sz w:val="21"/>
        </w:rPr>
        <w:t> </w:t>
      </w:r>
      <w:r>
        <w:rPr>
          <w:sz w:val="21"/>
        </w:rPr>
        <w:t>as</w:t>
      </w:r>
      <w:r>
        <w:rPr>
          <w:spacing w:val="40"/>
          <w:sz w:val="21"/>
        </w:rPr>
        <w:t> </w:t>
      </w:r>
      <w:r>
        <w:rPr>
          <w:sz w:val="21"/>
        </w:rPr>
        <w:t>borrower,</w:t>
      </w:r>
      <w:r>
        <w:rPr>
          <w:spacing w:val="40"/>
          <w:sz w:val="21"/>
        </w:rPr>
        <w:t> </w:t>
      </w:r>
      <w:r>
        <w:rPr>
          <w:sz w:val="21"/>
        </w:rPr>
        <w:t>of</w:t>
      </w:r>
      <w:r>
        <w:rPr>
          <w:spacing w:val="40"/>
          <w:sz w:val="21"/>
        </w:rPr>
        <w:t> </w:t>
      </w:r>
      <w:r>
        <w:rPr>
          <w:sz w:val="21"/>
        </w:rPr>
        <w:t>a</w:t>
      </w:r>
      <w:r>
        <w:rPr>
          <w:spacing w:val="40"/>
          <w:sz w:val="21"/>
        </w:rPr>
        <w:t> </w:t>
      </w:r>
      <w:r>
        <w:rPr>
          <w:sz w:val="21"/>
        </w:rPr>
        <w:t>value</w:t>
      </w:r>
      <w:r>
        <w:rPr>
          <w:spacing w:val="40"/>
          <w:sz w:val="21"/>
        </w:rPr>
        <w:t> </w:t>
      </w:r>
      <w:r>
        <w:rPr>
          <w:sz w:val="21"/>
        </w:rPr>
        <w:t>equal</w:t>
      </w:r>
      <w:r>
        <w:rPr>
          <w:spacing w:val="40"/>
          <w:sz w:val="21"/>
        </w:rPr>
        <w:t> </w:t>
      </w:r>
      <w:r>
        <w:rPr>
          <w:sz w:val="21"/>
        </w:rPr>
        <w:t>to</w:t>
      </w:r>
      <w:r>
        <w:rPr>
          <w:spacing w:val="40"/>
          <w:sz w:val="21"/>
        </w:rPr>
        <w:t> </w:t>
      </w:r>
      <w:r>
        <w:rPr>
          <w:sz w:val="21"/>
        </w:rPr>
        <w:t>or</w:t>
      </w:r>
      <w:r>
        <w:rPr>
          <w:spacing w:val="40"/>
          <w:sz w:val="21"/>
        </w:rPr>
        <w:t> </w:t>
      </w:r>
      <w:r>
        <w:rPr>
          <w:sz w:val="21"/>
        </w:rPr>
        <w:t>exceeding MOP100,000,000</w:t>
      </w:r>
      <w:r>
        <w:rPr>
          <w:spacing w:val="29"/>
          <w:sz w:val="21"/>
        </w:rPr>
        <w:t> </w:t>
      </w:r>
      <w:r>
        <w:rPr>
          <w:sz w:val="21"/>
        </w:rPr>
        <w:t>(one</w:t>
      </w:r>
      <w:r>
        <w:rPr>
          <w:spacing w:val="29"/>
          <w:sz w:val="21"/>
        </w:rPr>
        <w:t> </w:t>
      </w:r>
      <w:r>
        <w:rPr>
          <w:sz w:val="21"/>
        </w:rPr>
        <w:t>hundred</w:t>
      </w:r>
      <w:r>
        <w:rPr>
          <w:spacing w:val="29"/>
          <w:sz w:val="21"/>
        </w:rPr>
        <w:t> </w:t>
      </w:r>
      <w:r>
        <w:rPr>
          <w:sz w:val="21"/>
        </w:rPr>
        <w:t>million</w:t>
      </w:r>
      <w:r>
        <w:rPr>
          <w:spacing w:val="29"/>
          <w:sz w:val="21"/>
        </w:rPr>
        <w:t> </w:t>
      </w:r>
      <w:r>
        <w:rPr>
          <w:sz w:val="21"/>
        </w:rPr>
        <w:t>patacas),</w:t>
      </w:r>
      <w:r>
        <w:rPr>
          <w:spacing w:val="29"/>
          <w:sz w:val="21"/>
        </w:rPr>
        <w:t> </w:t>
      </w:r>
      <w:r>
        <w:rPr>
          <w:sz w:val="21"/>
        </w:rPr>
        <w:t>shall</w:t>
      </w:r>
      <w:r>
        <w:rPr>
          <w:spacing w:val="29"/>
          <w:sz w:val="21"/>
        </w:rPr>
        <w:t> </w:t>
      </w:r>
      <w:r>
        <w:rPr>
          <w:sz w:val="21"/>
        </w:rPr>
        <w:t>require</w:t>
      </w:r>
      <w:r>
        <w:rPr>
          <w:spacing w:val="29"/>
          <w:sz w:val="21"/>
        </w:rPr>
        <w:t> </w:t>
      </w:r>
      <w:r>
        <w:rPr>
          <w:sz w:val="21"/>
        </w:rPr>
        <w:t>the</w:t>
      </w:r>
      <w:r>
        <w:rPr>
          <w:spacing w:val="29"/>
          <w:sz w:val="21"/>
        </w:rPr>
        <w:t> </w:t>
      </w:r>
      <w:r>
        <w:rPr>
          <w:sz w:val="21"/>
        </w:rPr>
        <w:t>authorization</w:t>
      </w:r>
      <w:r>
        <w:rPr>
          <w:spacing w:val="29"/>
          <w:sz w:val="21"/>
        </w:rPr>
        <w:t> </w:t>
      </w:r>
      <w:r>
        <w:rPr>
          <w:sz w:val="21"/>
        </w:rPr>
        <w:t>of</w:t>
      </w:r>
      <w:r>
        <w:rPr>
          <w:spacing w:val="29"/>
          <w:sz w:val="21"/>
        </w:rPr>
        <w:t> </w:t>
      </w:r>
      <w:r>
        <w:rPr>
          <w:sz w:val="21"/>
        </w:rPr>
        <w:t>the</w:t>
      </w:r>
      <w:r>
        <w:rPr>
          <w:spacing w:val="29"/>
          <w:sz w:val="21"/>
        </w:rPr>
        <w:t> </w:t>
      </w:r>
      <w:r>
        <w:rPr>
          <w:sz w:val="21"/>
        </w:rPr>
        <w:t>Secretary</w:t>
      </w:r>
      <w:r>
        <w:rPr>
          <w:spacing w:val="29"/>
          <w:sz w:val="21"/>
        </w:rPr>
        <w:t> </w:t>
      </w:r>
      <w:r>
        <w:rPr>
          <w:sz w:val="21"/>
        </w:rPr>
        <w:t>for</w:t>
      </w:r>
      <w:r>
        <w:rPr>
          <w:spacing w:val="29"/>
          <w:sz w:val="21"/>
        </w:rPr>
        <w:t> </w:t>
      </w:r>
      <w:r>
        <w:rPr>
          <w:sz w:val="21"/>
        </w:rPr>
        <w:t>Economy</w:t>
      </w:r>
      <w:r>
        <w:rPr>
          <w:spacing w:val="29"/>
          <w:sz w:val="21"/>
        </w:rPr>
        <w:t> </w:t>
      </w:r>
      <w:r>
        <w:rPr>
          <w:sz w:val="21"/>
        </w:rPr>
        <w:t>and</w:t>
      </w:r>
      <w:r>
        <w:rPr>
          <w:spacing w:val="29"/>
          <w:sz w:val="21"/>
        </w:rPr>
        <w:t> </w:t>
      </w:r>
      <w:r>
        <w:rPr>
          <w:sz w:val="21"/>
        </w:rPr>
        <w:t>Finance.</w:t>
      </w:r>
    </w:p>
    <w:p>
      <w:pPr>
        <w:pStyle w:val="BodyText"/>
        <w:spacing w:before="131"/>
        <w:rPr>
          <w:sz w:val="21"/>
        </w:rPr>
      </w:pPr>
    </w:p>
    <w:p>
      <w:pPr>
        <w:spacing w:before="0"/>
        <w:ind w:left="24" w:right="0" w:firstLine="0"/>
        <w:jc w:val="center"/>
        <w:rPr>
          <w:b/>
          <w:sz w:val="21"/>
        </w:rPr>
      </w:pPr>
      <w:r>
        <w:rPr>
          <w:b/>
          <w:sz w:val="21"/>
        </w:rPr>
        <w:t>Clause</w:t>
      </w:r>
      <w:r>
        <w:rPr>
          <w:b/>
          <w:spacing w:val="13"/>
          <w:sz w:val="21"/>
        </w:rPr>
        <w:t> </w:t>
      </w:r>
      <w:r>
        <w:rPr>
          <w:b/>
          <w:spacing w:val="-5"/>
          <w:sz w:val="21"/>
        </w:rPr>
        <w:t>18</w:t>
      </w:r>
    </w:p>
    <w:p>
      <w:pPr>
        <w:spacing w:before="69"/>
        <w:ind w:left="24" w:right="0" w:firstLine="0"/>
        <w:jc w:val="center"/>
        <w:rPr>
          <w:b/>
          <w:sz w:val="21"/>
        </w:rPr>
      </w:pPr>
      <w:r>
        <w:rPr>
          <w:b/>
          <w:sz w:val="21"/>
        </w:rPr>
        <w:t>Issuance</w:t>
      </w:r>
      <w:r>
        <w:rPr>
          <w:b/>
          <w:spacing w:val="9"/>
          <w:sz w:val="21"/>
        </w:rPr>
        <w:t> </w:t>
      </w:r>
      <w:r>
        <w:rPr>
          <w:b/>
          <w:sz w:val="21"/>
        </w:rPr>
        <w:t>of</w:t>
      </w:r>
      <w:r>
        <w:rPr>
          <w:b/>
          <w:spacing w:val="10"/>
          <w:sz w:val="21"/>
        </w:rPr>
        <w:t> </w:t>
      </w:r>
      <w:r>
        <w:rPr>
          <w:b/>
          <w:sz w:val="21"/>
        </w:rPr>
        <w:t>debt</w:t>
      </w:r>
      <w:r>
        <w:rPr>
          <w:b/>
          <w:spacing w:val="10"/>
          <w:sz w:val="21"/>
        </w:rPr>
        <w:t> </w:t>
      </w:r>
      <w:r>
        <w:rPr>
          <w:b/>
          <w:spacing w:val="-2"/>
          <w:sz w:val="21"/>
        </w:rPr>
        <w:t>securities</w:t>
      </w:r>
    </w:p>
    <w:p>
      <w:pPr>
        <w:pStyle w:val="BodyText"/>
        <w:spacing w:before="124"/>
        <w:rPr>
          <w:b/>
          <w:sz w:val="21"/>
        </w:rPr>
      </w:pPr>
    </w:p>
    <w:p>
      <w:pPr>
        <w:spacing w:before="1"/>
        <w:ind w:left="144" w:right="0" w:firstLine="0"/>
        <w:jc w:val="both"/>
        <w:rPr>
          <w:sz w:val="21"/>
        </w:rPr>
      </w:pPr>
      <w:r>
        <w:rPr>
          <w:sz w:val="21"/>
        </w:rPr>
        <w:t>The</w:t>
      </w:r>
      <w:r>
        <w:rPr>
          <w:spacing w:val="12"/>
          <w:sz w:val="21"/>
        </w:rPr>
        <w:t> </w:t>
      </w:r>
      <w:r>
        <w:rPr>
          <w:sz w:val="21"/>
        </w:rPr>
        <w:t>issuance</w:t>
      </w:r>
      <w:r>
        <w:rPr>
          <w:spacing w:val="12"/>
          <w:sz w:val="21"/>
        </w:rPr>
        <w:t> </w:t>
      </w:r>
      <w:r>
        <w:rPr>
          <w:sz w:val="21"/>
        </w:rPr>
        <w:t>of</w:t>
      </w:r>
      <w:r>
        <w:rPr>
          <w:spacing w:val="12"/>
          <w:sz w:val="21"/>
        </w:rPr>
        <w:t> </w:t>
      </w:r>
      <w:r>
        <w:rPr>
          <w:sz w:val="21"/>
        </w:rPr>
        <w:t>debt</w:t>
      </w:r>
      <w:r>
        <w:rPr>
          <w:spacing w:val="12"/>
          <w:sz w:val="21"/>
        </w:rPr>
        <w:t> </w:t>
      </w:r>
      <w:r>
        <w:rPr>
          <w:sz w:val="21"/>
        </w:rPr>
        <w:t>securities</w:t>
      </w:r>
      <w:r>
        <w:rPr>
          <w:spacing w:val="12"/>
          <w:sz w:val="21"/>
        </w:rPr>
        <w:t> </w:t>
      </w:r>
      <w:r>
        <w:rPr>
          <w:sz w:val="21"/>
        </w:rPr>
        <w:t>by</w:t>
      </w:r>
      <w:r>
        <w:rPr>
          <w:spacing w:val="12"/>
          <w:sz w:val="21"/>
        </w:rPr>
        <w:t> </w:t>
      </w:r>
      <w:r>
        <w:rPr>
          <w:sz w:val="21"/>
        </w:rPr>
        <w:t>the</w:t>
      </w:r>
      <w:r>
        <w:rPr>
          <w:spacing w:val="12"/>
          <w:sz w:val="21"/>
        </w:rPr>
        <w:t> </w:t>
      </w:r>
      <w:r>
        <w:rPr>
          <w:sz w:val="21"/>
        </w:rPr>
        <w:t>Concessionaire</w:t>
      </w:r>
      <w:r>
        <w:rPr>
          <w:spacing w:val="12"/>
          <w:sz w:val="21"/>
        </w:rPr>
        <w:t> </w:t>
      </w:r>
      <w:r>
        <w:rPr>
          <w:sz w:val="21"/>
        </w:rPr>
        <w:t>requires</w:t>
      </w:r>
      <w:r>
        <w:rPr>
          <w:spacing w:val="13"/>
          <w:sz w:val="21"/>
        </w:rPr>
        <w:t> </w:t>
      </w:r>
      <w:r>
        <w:rPr>
          <w:sz w:val="21"/>
        </w:rPr>
        <w:t>the</w:t>
      </w:r>
      <w:r>
        <w:rPr>
          <w:spacing w:val="12"/>
          <w:sz w:val="21"/>
        </w:rPr>
        <w:t> </w:t>
      </w:r>
      <w:r>
        <w:rPr>
          <w:sz w:val="21"/>
        </w:rPr>
        <w:t>Chief</w:t>
      </w:r>
      <w:r>
        <w:rPr>
          <w:spacing w:val="12"/>
          <w:sz w:val="21"/>
        </w:rPr>
        <w:t> </w:t>
      </w:r>
      <w:r>
        <w:rPr>
          <w:sz w:val="21"/>
        </w:rPr>
        <w:t>Executives’</w:t>
      </w:r>
      <w:r>
        <w:rPr>
          <w:spacing w:val="-7"/>
          <w:sz w:val="21"/>
        </w:rPr>
        <w:t> </w:t>
      </w:r>
      <w:r>
        <w:rPr>
          <w:spacing w:val="-2"/>
          <w:sz w:val="21"/>
        </w:rPr>
        <w:t>authorization.</w:t>
      </w:r>
    </w:p>
    <w:p>
      <w:pPr>
        <w:pStyle w:val="BodyText"/>
        <w:spacing w:before="124"/>
        <w:rPr>
          <w:sz w:val="21"/>
        </w:rPr>
      </w:pPr>
    </w:p>
    <w:p>
      <w:pPr>
        <w:spacing w:before="0"/>
        <w:ind w:left="24" w:right="0" w:firstLine="0"/>
        <w:jc w:val="center"/>
        <w:rPr>
          <w:b/>
          <w:sz w:val="21"/>
        </w:rPr>
      </w:pPr>
      <w:r>
        <w:rPr>
          <w:b/>
          <w:sz w:val="21"/>
        </w:rPr>
        <w:t>Clause</w:t>
      </w:r>
      <w:r>
        <w:rPr>
          <w:b/>
          <w:spacing w:val="13"/>
          <w:sz w:val="21"/>
        </w:rPr>
        <w:t> </w:t>
      </w:r>
      <w:r>
        <w:rPr>
          <w:b/>
          <w:spacing w:val="-5"/>
          <w:sz w:val="21"/>
        </w:rPr>
        <w:t>19</w:t>
      </w:r>
    </w:p>
    <w:p>
      <w:pPr>
        <w:spacing w:before="69"/>
        <w:ind w:left="24" w:right="0" w:firstLine="0"/>
        <w:jc w:val="center"/>
        <w:rPr>
          <w:b/>
          <w:sz w:val="21"/>
        </w:rPr>
      </w:pPr>
      <w:r>
        <w:rPr>
          <w:b/>
          <w:sz w:val="21"/>
        </w:rPr>
        <w:t>Listing</w:t>
      </w:r>
      <w:r>
        <w:rPr>
          <w:b/>
          <w:spacing w:val="9"/>
          <w:sz w:val="21"/>
        </w:rPr>
        <w:t> </w:t>
      </w:r>
      <w:r>
        <w:rPr>
          <w:b/>
          <w:sz w:val="21"/>
        </w:rPr>
        <w:t>on</w:t>
      </w:r>
      <w:r>
        <w:rPr>
          <w:b/>
          <w:spacing w:val="8"/>
          <w:sz w:val="21"/>
        </w:rPr>
        <w:t> </w:t>
      </w:r>
      <w:r>
        <w:rPr>
          <w:b/>
          <w:sz w:val="21"/>
        </w:rPr>
        <w:t>the</w:t>
      </w:r>
      <w:r>
        <w:rPr>
          <w:b/>
          <w:spacing w:val="9"/>
          <w:sz w:val="21"/>
        </w:rPr>
        <w:t> </w:t>
      </w:r>
      <w:r>
        <w:rPr>
          <w:b/>
          <w:sz w:val="21"/>
        </w:rPr>
        <w:t>stock</w:t>
      </w:r>
      <w:r>
        <w:rPr>
          <w:b/>
          <w:spacing w:val="9"/>
          <w:sz w:val="21"/>
        </w:rPr>
        <w:t> </w:t>
      </w:r>
      <w:r>
        <w:rPr>
          <w:b/>
          <w:spacing w:val="-2"/>
          <w:sz w:val="21"/>
        </w:rPr>
        <w:t>exchange</w:t>
      </w:r>
    </w:p>
    <w:p>
      <w:pPr>
        <w:pStyle w:val="BodyText"/>
        <w:spacing w:before="125"/>
        <w:rPr>
          <w:b/>
          <w:sz w:val="21"/>
        </w:rPr>
      </w:pPr>
    </w:p>
    <w:p>
      <w:pPr>
        <w:spacing w:before="0"/>
        <w:ind w:left="144" w:right="0" w:firstLine="0"/>
        <w:jc w:val="both"/>
        <w:rPr>
          <w:sz w:val="21"/>
        </w:rPr>
      </w:pPr>
      <w:r>
        <w:rPr>
          <w:i/>
          <w:sz w:val="21"/>
        </w:rPr>
        <w:t>One</w:t>
      </w:r>
      <w:r>
        <w:rPr>
          <w:sz w:val="21"/>
        </w:rPr>
        <w:t>.</w:t>
      </w:r>
      <w:r>
        <w:rPr>
          <w:spacing w:val="4"/>
          <w:sz w:val="21"/>
        </w:rPr>
        <w:t> </w:t>
      </w:r>
      <w:r>
        <w:rPr>
          <w:sz w:val="21"/>
        </w:rPr>
        <w:t>The</w:t>
      </w:r>
      <w:r>
        <w:rPr>
          <w:spacing w:val="9"/>
          <w:sz w:val="21"/>
        </w:rPr>
        <w:t> </w:t>
      </w:r>
      <w:r>
        <w:rPr>
          <w:sz w:val="21"/>
        </w:rPr>
        <w:t>Concessionaire,</w:t>
      </w:r>
      <w:r>
        <w:rPr>
          <w:spacing w:val="8"/>
          <w:sz w:val="21"/>
        </w:rPr>
        <w:t> </w:t>
      </w:r>
      <w:r>
        <w:rPr>
          <w:sz w:val="21"/>
        </w:rPr>
        <w:t>or</w:t>
      </w:r>
      <w:r>
        <w:rPr>
          <w:spacing w:val="9"/>
          <w:sz w:val="21"/>
        </w:rPr>
        <w:t> </w:t>
      </w:r>
      <w:r>
        <w:rPr>
          <w:sz w:val="21"/>
        </w:rPr>
        <w:t>a</w:t>
      </w:r>
      <w:r>
        <w:rPr>
          <w:spacing w:val="9"/>
          <w:sz w:val="21"/>
        </w:rPr>
        <w:t> </w:t>
      </w:r>
      <w:r>
        <w:rPr>
          <w:sz w:val="21"/>
        </w:rPr>
        <w:t>company</w:t>
      </w:r>
      <w:r>
        <w:rPr>
          <w:spacing w:val="9"/>
          <w:sz w:val="21"/>
        </w:rPr>
        <w:t> </w:t>
      </w:r>
      <w:r>
        <w:rPr>
          <w:sz w:val="21"/>
        </w:rPr>
        <w:t>in</w:t>
      </w:r>
      <w:r>
        <w:rPr>
          <w:spacing w:val="9"/>
          <w:sz w:val="21"/>
        </w:rPr>
        <w:t> </w:t>
      </w:r>
      <w:r>
        <w:rPr>
          <w:sz w:val="21"/>
        </w:rPr>
        <w:t>which</w:t>
      </w:r>
      <w:r>
        <w:rPr>
          <w:spacing w:val="9"/>
          <w:sz w:val="21"/>
        </w:rPr>
        <w:t> </w:t>
      </w:r>
      <w:r>
        <w:rPr>
          <w:sz w:val="21"/>
        </w:rPr>
        <w:t>it</w:t>
      </w:r>
      <w:r>
        <w:rPr>
          <w:spacing w:val="9"/>
          <w:sz w:val="21"/>
        </w:rPr>
        <w:t> </w:t>
      </w:r>
      <w:r>
        <w:rPr>
          <w:sz w:val="21"/>
        </w:rPr>
        <w:t>is</w:t>
      </w:r>
      <w:r>
        <w:rPr>
          <w:spacing w:val="8"/>
          <w:sz w:val="21"/>
        </w:rPr>
        <w:t> </w:t>
      </w:r>
      <w:r>
        <w:rPr>
          <w:sz w:val="21"/>
        </w:rPr>
        <w:t>the</w:t>
      </w:r>
      <w:r>
        <w:rPr>
          <w:spacing w:val="9"/>
          <w:sz w:val="21"/>
        </w:rPr>
        <w:t> </w:t>
      </w:r>
      <w:r>
        <w:rPr>
          <w:sz w:val="21"/>
        </w:rPr>
        <w:t>controlling</w:t>
      </w:r>
      <w:r>
        <w:rPr>
          <w:spacing w:val="9"/>
          <w:sz w:val="21"/>
        </w:rPr>
        <w:t> </w:t>
      </w:r>
      <w:r>
        <w:rPr>
          <w:sz w:val="21"/>
        </w:rPr>
        <w:t>shareholder,</w:t>
      </w:r>
      <w:r>
        <w:rPr>
          <w:spacing w:val="9"/>
          <w:sz w:val="21"/>
        </w:rPr>
        <w:t> </w:t>
      </w:r>
      <w:r>
        <w:rPr>
          <w:sz w:val="21"/>
        </w:rPr>
        <w:t>may</w:t>
      </w:r>
      <w:r>
        <w:rPr>
          <w:spacing w:val="9"/>
          <w:sz w:val="21"/>
        </w:rPr>
        <w:t> </w:t>
      </w:r>
      <w:r>
        <w:rPr>
          <w:sz w:val="21"/>
        </w:rPr>
        <w:t>not</w:t>
      </w:r>
      <w:r>
        <w:rPr>
          <w:spacing w:val="9"/>
          <w:sz w:val="21"/>
        </w:rPr>
        <w:t> </w:t>
      </w:r>
      <w:r>
        <w:rPr>
          <w:sz w:val="21"/>
        </w:rPr>
        <w:t>be</w:t>
      </w:r>
      <w:r>
        <w:rPr>
          <w:spacing w:val="9"/>
          <w:sz w:val="21"/>
        </w:rPr>
        <w:t> </w:t>
      </w:r>
      <w:r>
        <w:rPr>
          <w:sz w:val="21"/>
        </w:rPr>
        <w:t>listed</w:t>
      </w:r>
      <w:r>
        <w:rPr>
          <w:spacing w:val="8"/>
          <w:sz w:val="21"/>
        </w:rPr>
        <w:t> </w:t>
      </w:r>
      <w:r>
        <w:rPr>
          <w:sz w:val="21"/>
        </w:rPr>
        <w:t>on</w:t>
      </w:r>
      <w:r>
        <w:rPr>
          <w:spacing w:val="9"/>
          <w:sz w:val="21"/>
        </w:rPr>
        <w:t> </w:t>
      </w:r>
      <w:r>
        <w:rPr>
          <w:sz w:val="21"/>
        </w:rPr>
        <w:t>a</w:t>
      </w:r>
      <w:r>
        <w:rPr>
          <w:spacing w:val="9"/>
          <w:sz w:val="21"/>
        </w:rPr>
        <w:t> </w:t>
      </w:r>
      <w:r>
        <w:rPr>
          <w:sz w:val="21"/>
        </w:rPr>
        <w:t>stock</w:t>
      </w:r>
      <w:r>
        <w:rPr>
          <w:spacing w:val="9"/>
          <w:sz w:val="21"/>
        </w:rPr>
        <w:t> </w:t>
      </w:r>
      <w:r>
        <w:rPr>
          <w:spacing w:val="-2"/>
          <w:sz w:val="21"/>
        </w:rPr>
        <w:t>exchange.</w:t>
      </w:r>
    </w:p>
    <w:p>
      <w:pPr>
        <w:pStyle w:val="BodyText"/>
        <w:spacing w:before="159"/>
        <w:rPr>
          <w:sz w:val="21"/>
        </w:rPr>
      </w:pPr>
    </w:p>
    <w:p>
      <w:pPr>
        <w:spacing w:line="213" w:lineRule="auto" w:before="0"/>
        <w:ind w:left="144" w:right="118" w:firstLine="0"/>
        <w:jc w:val="both"/>
        <w:rPr>
          <w:sz w:val="21"/>
        </w:rPr>
      </w:pPr>
      <w:r>
        <w:rPr>
          <w:i/>
          <w:sz w:val="21"/>
        </w:rPr>
        <w:t>Two</w:t>
      </w:r>
      <w:r>
        <w:rPr>
          <w:sz w:val="21"/>
        </w:rPr>
        <w:t>. In the event shareholders who directly or indirectly hold 5% or more of the Concessionaire's share capital are listed on a stock exchange,</w:t>
      </w:r>
      <w:r>
        <w:rPr>
          <w:spacing w:val="40"/>
          <w:sz w:val="21"/>
        </w:rPr>
        <w:t> </w:t>
      </w:r>
      <w:r>
        <w:rPr>
          <w:sz w:val="21"/>
        </w:rPr>
        <w:t>the</w:t>
      </w:r>
      <w:r>
        <w:rPr>
          <w:spacing w:val="40"/>
          <w:sz w:val="21"/>
        </w:rPr>
        <w:t> </w:t>
      </w:r>
      <w:r>
        <w:rPr>
          <w:sz w:val="21"/>
        </w:rPr>
        <w:t>Concessionaire</w:t>
      </w:r>
      <w:r>
        <w:rPr>
          <w:spacing w:val="40"/>
          <w:sz w:val="21"/>
        </w:rPr>
        <w:t> </w:t>
      </w:r>
      <w:r>
        <w:rPr>
          <w:sz w:val="21"/>
        </w:rPr>
        <w:t>must</w:t>
      </w:r>
      <w:r>
        <w:rPr>
          <w:spacing w:val="40"/>
          <w:sz w:val="21"/>
        </w:rPr>
        <w:t> </w:t>
      </w:r>
      <w:r>
        <w:rPr>
          <w:sz w:val="21"/>
        </w:rPr>
        <w:t>communicate</w:t>
      </w:r>
      <w:r>
        <w:rPr>
          <w:spacing w:val="40"/>
          <w:sz w:val="21"/>
        </w:rPr>
        <w:t> </w:t>
      </w:r>
      <w:r>
        <w:rPr>
          <w:sz w:val="21"/>
        </w:rPr>
        <w:t>to</w:t>
      </w:r>
      <w:r>
        <w:rPr>
          <w:spacing w:val="40"/>
          <w:sz w:val="21"/>
        </w:rPr>
        <w:t> </w:t>
      </w:r>
      <w:r>
        <w:rPr>
          <w:sz w:val="21"/>
        </w:rPr>
        <w:t>DICJ</w:t>
      </w:r>
      <w:r>
        <w:rPr>
          <w:spacing w:val="40"/>
          <w:sz w:val="21"/>
        </w:rPr>
        <w:t> </w:t>
      </w:r>
      <w:r>
        <w:rPr>
          <w:sz w:val="21"/>
        </w:rPr>
        <w:t>such</w:t>
      </w:r>
      <w:r>
        <w:rPr>
          <w:spacing w:val="40"/>
          <w:sz w:val="21"/>
        </w:rPr>
        <w:t> </w:t>
      </w:r>
      <w:r>
        <w:rPr>
          <w:sz w:val="21"/>
        </w:rPr>
        <w:t>fact</w:t>
      </w:r>
      <w:r>
        <w:rPr>
          <w:spacing w:val="40"/>
          <w:sz w:val="21"/>
        </w:rPr>
        <w:t> </w:t>
      </w:r>
      <w:r>
        <w:rPr>
          <w:sz w:val="21"/>
        </w:rPr>
        <w:t>within</w:t>
      </w:r>
      <w:r>
        <w:rPr>
          <w:spacing w:val="40"/>
          <w:sz w:val="21"/>
        </w:rPr>
        <w:t> </w:t>
      </w:r>
      <w:r>
        <w:rPr>
          <w:sz w:val="21"/>
        </w:rPr>
        <w:t>15</w:t>
      </w:r>
      <w:r>
        <w:rPr>
          <w:spacing w:val="40"/>
          <w:sz w:val="21"/>
        </w:rPr>
        <w:t> </w:t>
      </w:r>
      <w:r>
        <w:rPr>
          <w:sz w:val="21"/>
        </w:rPr>
        <w:t>days</w:t>
      </w:r>
      <w:r>
        <w:rPr>
          <w:spacing w:val="40"/>
          <w:sz w:val="21"/>
        </w:rPr>
        <w:t> </w:t>
      </w:r>
      <w:r>
        <w:rPr>
          <w:sz w:val="21"/>
        </w:rPr>
        <w:t>of</w:t>
      </w:r>
      <w:r>
        <w:rPr>
          <w:spacing w:val="40"/>
          <w:sz w:val="21"/>
        </w:rPr>
        <w:t> </w:t>
      </w:r>
      <w:r>
        <w:rPr>
          <w:sz w:val="21"/>
        </w:rPr>
        <w:t>becoming</w:t>
      </w:r>
      <w:r>
        <w:rPr>
          <w:spacing w:val="40"/>
          <w:sz w:val="21"/>
        </w:rPr>
        <w:t> </w:t>
      </w:r>
      <w:r>
        <w:rPr>
          <w:sz w:val="21"/>
        </w:rPr>
        <w:t>aware</w:t>
      </w:r>
      <w:r>
        <w:rPr>
          <w:spacing w:val="40"/>
          <w:sz w:val="21"/>
        </w:rPr>
        <w:t> </w:t>
      </w:r>
      <w:r>
        <w:rPr>
          <w:sz w:val="21"/>
        </w:rPr>
        <w:t>of</w:t>
      </w:r>
      <w:r>
        <w:rPr>
          <w:spacing w:val="40"/>
          <w:sz w:val="21"/>
        </w:rPr>
        <w:t> </w:t>
      </w:r>
      <w:r>
        <w:rPr>
          <w:sz w:val="21"/>
        </w:rPr>
        <w:t>it,</w:t>
      </w:r>
      <w:r>
        <w:rPr>
          <w:spacing w:val="40"/>
          <w:sz w:val="21"/>
        </w:rPr>
        <w:t> </w:t>
      </w:r>
      <w:r>
        <w:rPr>
          <w:sz w:val="21"/>
        </w:rPr>
        <w:t>submitting</w:t>
      </w:r>
      <w:r>
        <w:rPr>
          <w:spacing w:val="40"/>
          <w:sz w:val="21"/>
        </w:rPr>
        <w:t> </w:t>
      </w:r>
      <w:r>
        <w:rPr>
          <w:sz w:val="21"/>
        </w:rPr>
        <w:t>the information and documents relating to the stock exchange listing.</w:t>
      </w:r>
    </w:p>
    <w:p>
      <w:pPr>
        <w:pStyle w:val="BodyText"/>
        <w:spacing w:before="72"/>
        <w:rPr>
          <w:sz w:val="21"/>
        </w:rPr>
      </w:pPr>
    </w:p>
    <w:p>
      <w:pPr>
        <w:spacing w:line="213" w:lineRule="auto" w:before="1"/>
        <w:ind w:left="144" w:right="220" w:firstLine="0"/>
        <w:jc w:val="both"/>
        <w:rPr>
          <w:sz w:val="21"/>
        </w:rPr>
      </w:pPr>
      <w:r>
        <w:rPr>
          <w:i/>
          <w:sz w:val="21"/>
        </w:rPr>
        <w:t>Three</w:t>
      </w:r>
      <w:r>
        <w:rPr>
          <w:sz w:val="21"/>
        </w:rPr>
        <w:t>. The Concessionaire further pledges to endeavor that the companies referred to in the previous paragraph do not request </w:t>
      </w:r>
      <w:r>
        <w:rPr>
          <w:sz w:val="21"/>
        </w:rPr>
        <w:t>or proceed</w:t>
      </w:r>
      <w:r>
        <w:rPr>
          <w:spacing w:val="28"/>
          <w:sz w:val="21"/>
        </w:rPr>
        <w:t> </w:t>
      </w:r>
      <w:r>
        <w:rPr>
          <w:sz w:val="21"/>
        </w:rPr>
        <w:t>with</w:t>
      </w:r>
      <w:r>
        <w:rPr>
          <w:spacing w:val="28"/>
          <w:sz w:val="21"/>
        </w:rPr>
        <w:t> </w:t>
      </w:r>
      <w:r>
        <w:rPr>
          <w:sz w:val="21"/>
        </w:rPr>
        <w:t>a</w:t>
      </w:r>
      <w:r>
        <w:rPr>
          <w:spacing w:val="28"/>
          <w:sz w:val="21"/>
        </w:rPr>
        <w:t> </w:t>
      </w:r>
      <w:r>
        <w:rPr>
          <w:sz w:val="21"/>
        </w:rPr>
        <w:t>listing</w:t>
      </w:r>
      <w:r>
        <w:rPr>
          <w:spacing w:val="28"/>
          <w:sz w:val="21"/>
        </w:rPr>
        <w:t> </w:t>
      </w:r>
      <w:r>
        <w:rPr>
          <w:sz w:val="21"/>
        </w:rPr>
        <w:t>on</w:t>
      </w:r>
      <w:r>
        <w:rPr>
          <w:spacing w:val="28"/>
          <w:sz w:val="21"/>
        </w:rPr>
        <w:t> </w:t>
      </w:r>
      <w:r>
        <w:rPr>
          <w:sz w:val="21"/>
        </w:rPr>
        <w:t>the</w:t>
      </w:r>
      <w:r>
        <w:rPr>
          <w:spacing w:val="28"/>
          <w:sz w:val="21"/>
        </w:rPr>
        <w:t> </w:t>
      </w:r>
      <w:r>
        <w:rPr>
          <w:sz w:val="21"/>
        </w:rPr>
        <w:t>stock</w:t>
      </w:r>
      <w:r>
        <w:rPr>
          <w:spacing w:val="28"/>
          <w:sz w:val="21"/>
        </w:rPr>
        <w:t> </w:t>
      </w:r>
      <w:r>
        <w:rPr>
          <w:sz w:val="21"/>
        </w:rPr>
        <w:t>exchange</w:t>
      </w:r>
      <w:r>
        <w:rPr>
          <w:spacing w:val="28"/>
          <w:sz w:val="21"/>
        </w:rPr>
        <w:t> </w:t>
      </w:r>
      <w:r>
        <w:rPr>
          <w:sz w:val="21"/>
        </w:rPr>
        <w:t>without</w:t>
      </w:r>
      <w:r>
        <w:rPr>
          <w:spacing w:val="28"/>
          <w:sz w:val="21"/>
        </w:rPr>
        <w:t> </w:t>
      </w:r>
      <w:r>
        <w:rPr>
          <w:sz w:val="21"/>
        </w:rPr>
        <w:t>prior</w:t>
      </w:r>
      <w:r>
        <w:rPr>
          <w:spacing w:val="28"/>
          <w:sz w:val="21"/>
        </w:rPr>
        <w:t> </w:t>
      </w:r>
      <w:r>
        <w:rPr>
          <w:sz w:val="21"/>
        </w:rPr>
        <w:t>notification</w:t>
      </w:r>
      <w:r>
        <w:rPr>
          <w:spacing w:val="28"/>
          <w:sz w:val="21"/>
        </w:rPr>
        <w:t> </w:t>
      </w:r>
      <w:r>
        <w:rPr>
          <w:sz w:val="21"/>
        </w:rPr>
        <w:t>of</w:t>
      </w:r>
      <w:r>
        <w:rPr>
          <w:spacing w:val="28"/>
          <w:sz w:val="21"/>
        </w:rPr>
        <w:t> </w:t>
      </w:r>
      <w:r>
        <w:rPr>
          <w:sz w:val="21"/>
        </w:rPr>
        <w:t>the</w:t>
      </w:r>
      <w:r>
        <w:rPr>
          <w:spacing w:val="28"/>
          <w:sz w:val="21"/>
        </w:rPr>
        <w:t> </w:t>
      </w:r>
      <w:r>
        <w:rPr>
          <w:sz w:val="21"/>
        </w:rPr>
        <w:t>government.</w:t>
      </w:r>
    </w:p>
    <w:p>
      <w:pPr>
        <w:spacing w:before="88"/>
        <w:ind w:left="24" w:right="0" w:firstLine="0"/>
        <w:jc w:val="center"/>
        <w:rPr>
          <w:b/>
          <w:sz w:val="21"/>
        </w:rPr>
      </w:pPr>
      <w:r>
        <w:rPr>
          <w:b/>
          <w:sz w:val="21"/>
        </w:rPr>
        <w:t>Clause</w:t>
      </w:r>
      <w:r>
        <w:rPr>
          <w:b/>
          <w:spacing w:val="13"/>
          <w:sz w:val="21"/>
        </w:rPr>
        <w:t> </w:t>
      </w:r>
      <w:r>
        <w:rPr>
          <w:b/>
          <w:spacing w:val="-5"/>
          <w:sz w:val="21"/>
        </w:rPr>
        <w:t>20</w:t>
      </w:r>
    </w:p>
    <w:p>
      <w:pPr>
        <w:spacing w:before="69"/>
        <w:ind w:left="24" w:right="0" w:firstLine="0"/>
        <w:jc w:val="center"/>
        <w:rPr>
          <w:b/>
          <w:sz w:val="21"/>
        </w:rPr>
      </w:pPr>
      <w:r>
        <w:rPr>
          <w:b/>
          <w:sz w:val="21"/>
        </w:rPr>
        <w:t>Shareholder</w:t>
      </w:r>
      <w:r>
        <w:rPr>
          <w:b/>
          <w:spacing w:val="8"/>
          <w:sz w:val="21"/>
        </w:rPr>
        <w:t> </w:t>
      </w:r>
      <w:r>
        <w:rPr>
          <w:b/>
          <w:sz w:val="21"/>
        </w:rPr>
        <w:t>and</w:t>
      </w:r>
      <w:r>
        <w:rPr>
          <w:b/>
          <w:spacing w:val="14"/>
          <w:sz w:val="21"/>
        </w:rPr>
        <w:t> </w:t>
      </w:r>
      <w:r>
        <w:rPr>
          <w:b/>
          <w:sz w:val="21"/>
        </w:rPr>
        <w:t>capital</w:t>
      </w:r>
      <w:r>
        <w:rPr>
          <w:b/>
          <w:spacing w:val="14"/>
          <w:sz w:val="21"/>
        </w:rPr>
        <w:t> </w:t>
      </w:r>
      <w:r>
        <w:rPr>
          <w:b/>
          <w:spacing w:val="-2"/>
          <w:sz w:val="21"/>
        </w:rPr>
        <w:t>structure</w:t>
      </w:r>
    </w:p>
    <w:p>
      <w:pPr>
        <w:pStyle w:val="BodyText"/>
        <w:spacing w:before="173"/>
        <w:rPr>
          <w:b/>
          <w:sz w:val="21"/>
        </w:rPr>
      </w:pPr>
    </w:p>
    <w:p>
      <w:pPr>
        <w:spacing w:line="213" w:lineRule="auto" w:before="0"/>
        <w:ind w:left="144" w:right="219" w:firstLine="0"/>
        <w:jc w:val="both"/>
        <w:rPr>
          <w:sz w:val="21"/>
        </w:rPr>
      </w:pPr>
      <w:r>
        <w:rPr>
          <w:i/>
          <w:sz w:val="21"/>
        </w:rPr>
        <w:t>One</w:t>
      </w:r>
      <w:r>
        <w:rPr>
          <w:sz w:val="21"/>
        </w:rPr>
        <w:t>. The Concessionaire undertakes to submit annually a document to the Government, during each December, detailing its shareholding structure, and as well the share capital structure of the companies holding 5% or more of the Concessionaire’s share capital, and also the structure of the share capital of the companies holding 5% or more of these companies’</w:t>
      </w:r>
      <w:r>
        <w:rPr>
          <w:spacing w:val="-6"/>
          <w:sz w:val="21"/>
        </w:rPr>
        <w:t> </w:t>
      </w:r>
      <w:r>
        <w:rPr>
          <w:sz w:val="21"/>
        </w:rPr>
        <w:t>share capital, and so </w:t>
      </w:r>
      <w:r>
        <w:rPr>
          <w:sz w:val="21"/>
        </w:rPr>
        <w:t>on until the individuals or companies that are last shareholders, except with regard to companies that are listed on stock exchanges in</w:t>
      </w:r>
      <w:r>
        <w:rPr>
          <w:spacing w:val="80"/>
          <w:w w:val="150"/>
          <w:sz w:val="21"/>
        </w:rPr>
        <w:t> </w:t>
      </w:r>
      <w:r>
        <w:rPr>
          <w:sz w:val="21"/>
        </w:rPr>
        <w:t>what</w:t>
      </w:r>
      <w:r>
        <w:rPr>
          <w:spacing w:val="23"/>
          <w:sz w:val="21"/>
        </w:rPr>
        <w:t> </w:t>
      </w:r>
      <w:r>
        <w:rPr>
          <w:sz w:val="21"/>
        </w:rPr>
        <w:t>concerns</w:t>
      </w:r>
      <w:r>
        <w:rPr>
          <w:spacing w:val="23"/>
          <w:sz w:val="21"/>
        </w:rPr>
        <w:t> </w:t>
      </w:r>
      <w:r>
        <w:rPr>
          <w:sz w:val="21"/>
        </w:rPr>
        <w:t>the</w:t>
      </w:r>
      <w:r>
        <w:rPr>
          <w:spacing w:val="23"/>
          <w:sz w:val="21"/>
        </w:rPr>
        <w:t> </w:t>
      </w:r>
      <w:r>
        <w:rPr>
          <w:sz w:val="21"/>
        </w:rPr>
        <w:t>shares</w:t>
      </w:r>
      <w:r>
        <w:rPr>
          <w:spacing w:val="23"/>
          <w:sz w:val="21"/>
        </w:rPr>
        <w:t> </w:t>
      </w:r>
      <w:r>
        <w:rPr>
          <w:sz w:val="21"/>
        </w:rPr>
        <w:t>dealt</w:t>
      </w:r>
      <w:r>
        <w:rPr>
          <w:spacing w:val="23"/>
          <w:sz w:val="21"/>
        </w:rPr>
        <w:t> </w:t>
      </w:r>
      <w:r>
        <w:rPr>
          <w:sz w:val="21"/>
        </w:rPr>
        <w:t>therein,</w:t>
      </w:r>
      <w:r>
        <w:rPr>
          <w:spacing w:val="23"/>
          <w:sz w:val="21"/>
        </w:rPr>
        <w:t> </w:t>
      </w:r>
      <w:r>
        <w:rPr>
          <w:sz w:val="21"/>
        </w:rPr>
        <w:t>or</w:t>
      </w:r>
      <w:r>
        <w:rPr>
          <w:spacing w:val="23"/>
          <w:sz w:val="21"/>
        </w:rPr>
        <w:t> </w:t>
      </w:r>
      <w:r>
        <w:rPr>
          <w:sz w:val="21"/>
        </w:rPr>
        <w:t>to</w:t>
      </w:r>
      <w:r>
        <w:rPr>
          <w:spacing w:val="23"/>
          <w:sz w:val="21"/>
        </w:rPr>
        <w:t> </w:t>
      </w:r>
      <w:r>
        <w:rPr>
          <w:sz w:val="21"/>
        </w:rPr>
        <w:t>present</w:t>
      </w:r>
      <w:r>
        <w:rPr>
          <w:spacing w:val="23"/>
          <w:sz w:val="21"/>
        </w:rPr>
        <w:t> </w:t>
      </w:r>
      <w:r>
        <w:rPr>
          <w:sz w:val="21"/>
        </w:rPr>
        <w:t>a</w:t>
      </w:r>
      <w:r>
        <w:rPr>
          <w:spacing w:val="23"/>
          <w:sz w:val="21"/>
        </w:rPr>
        <w:t> </w:t>
      </w:r>
      <w:r>
        <w:rPr>
          <w:sz w:val="21"/>
        </w:rPr>
        <w:t>declaration</w:t>
      </w:r>
      <w:r>
        <w:rPr>
          <w:spacing w:val="23"/>
          <w:sz w:val="21"/>
        </w:rPr>
        <w:t> </w:t>
      </w:r>
      <w:r>
        <w:rPr>
          <w:sz w:val="21"/>
        </w:rPr>
        <w:t>attesting</w:t>
      </w:r>
      <w:r>
        <w:rPr>
          <w:spacing w:val="23"/>
          <w:sz w:val="21"/>
        </w:rPr>
        <w:t> </w:t>
      </w:r>
      <w:r>
        <w:rPr>
          <w:sz w:val="21"/>
        </w:rPr>
        <w:t>that</w:t>
      </w:r>
      <w:r>
        <w:rPr>
          <w:spacing w:val="23"/>
          <w:sz w:val="21"/>
        </w:rPr>
        <w:t> </w:t>
      </w:r>
      <w:r>
        <w:rPr>
          <w:sz w:val="21"/>
        </w:rPr>
        <w:t>these</w:t>
      </w:r>
      <w:r>
        <w:rPr>
          <w:spacing w:val="23"/>
          <w:sz w:val="21"/>
        </w:rPr>
        <w:t> </w:t>
      </w:r>
      <w:r>
        <w:rPr>
          <w:sz w:val="21"/>
        </w:rPr>
        <w:t>have</w:t>
      </w:r>
      <w:r>
        <w:rPr>
          <w:spacing w:val="23"/>
          <w:sz w:val="21"/>
        </w:rPr>
        <w:t> </w:t>
      </w:r>
      <w:r>
        <w:rPr>
          <w:sz w:val="21"/>
        </w:rPr>
        <w:t>not</w:t>
      </w:r>
      <w:r>
        <w:rPr>
          <w:spacing w:val="23"/>
          <w:sz w:val="21"/>
        </w:rPr>
        <w:t> </w:t>
      </w:r>
      <w:r>
        <w:rPr>
          <w:sz w:val="21"/>
        </w:rPr>
        <w:t>undergone</w:t>
      </w:r>
      <w:r>
        <w:rPr>
          <w:spacing w:val="23"/>
          <w:sz w:val="21"/>
        </w:rPr>
        <w:t> </w:t>
      </w:r>
      <w:r>
        <w:rPr>
          <w:sz w:val="21"/>
        </w:rPr>
        <w:t>any</w:t>
      </w:r>
      <w:r>
        <w:rPr>
          <w:spacing w:val="23"/>
          <w:sz w:val="21"/>
        </w:rPr>
        <w:t> </w:t>
      </w:r>
      <w:r>
        <w:rPr>
          <w:sz w:val="21"/>
        </w:rPr>
        <w:t>change.</w:t>
      </w:r>
    </w:p>
    <w:p>
      <w:pPr>
        <w:pStyle w:val="BodyText"/>
        <w:spacing w:before="183"/>
        <w:rPr>
          <w:sz w:val="21"/>
        </w:rPr>
      </w:pPr>
    </w:p>
    <w:p>
      <w:pPr>
        <w:spacing w:line="213" w:lineRule="auto" w:before="0"/>
        <w:ind w:left="144" w:right="119" w:firstLine="0"/>
        <w:jc w:val="both"/>
        <w:rPr>
          <w:sz w:val="21"/>
        </w:rPr>
      </w:pPr>
      <w:r>
        <w:rPr>
          <w:i/>
          <w:sz w:val="21"/>
        </w:rPr>
        <w:t>Two</w:t>
      </w:r>
      <w:r>
        <w:rPr>
          <w:sz w:val="21"/>
        </w:rPr>
        <w:t>. The Concessionaire further pledges to endeavor that it obtains and delivers to the Government, together with the update </w:t>
      </w:r>
      <w:r>
        <w:rPr>
          <w:sz w:val="21"/>
        </w:rPr>
        <w:t>or declaration referred to in the previous paragraph, a declaration signed by each of its shareholders and the persons referred to in the previous</w:t>
      </w:r>
      <w:r>
        <w:rPr>
          <w:spacing w:val="26"/>
          <w:sz w:val="21"/>
        </w:rPr>
        <w:t> </w:t>
      </w:r>
      <w:r>
        <w:rPr>
          <w:sz w:val="21"/>
        </w:rPr>
        <w:t>paragraph,</w:t>
      </w:r>
      <w:r>
        <w:rPr>
          <w:spacing w:val="26"/>
          <w:sz w:val="21"/>
        </w:rPr>
        <w:t> </w:t>
      </w:r>
      <w:r>
        <w:rPr>
          <w:sz w:val="21"/>
        </w:rPr>
        <w:t>duly</w:t>
      </w:r>
      <w:r>
        <w:rPr>
          <w:spacing w:val="26"/>
          <w:sz w:val="21"/>
        </w:rPr>
        <w:t> </w:t>
      </w:r>
      <w:r>
        <w:rPr>
          <w:sz w:val="21"/>
        </w:rPr>
        <w:t>authenticated,</w:t>
      </w:r>
      <w:r>
        <w:rPr>
          <w:spacing w:val="26"/>
          <w:sz w:val="21"/>
        </w:rPr>
        <w:t> </w:t>
      </w:r>
      <w:r>
        <w:rPr>
          <w:sz w:val="21"/>
        </w:rPr>
        <w:t>certifying</w:t>
      </w:r>
      <w:r>
        <w:rPr>
          <w:spacing w:val="26"/>
          <w:sz w:val="21"/>
        </w:rPr>
        <w:t> </w:t>
      </w:r>
      <w:r>
        <w:rPr>
          <w:sz w:val="21"/>
        </w:rPr>
        <w:t>they</w:t>
      </w:r>
      <w:r>
        <w:rPr>
          <w:spacing w:val="26"/>
          <w:sz w:val="21"/>
        </w:rPr>
        <w:t> </w:t>
      </w:r>
      <w:r>
        <w:rPr>
          <w:sz w:val="21"/>
        </w:rPr>
        <w:t>are</w:t>
      </w:r>
      <w:r>
        <w:rPr>
          <w:spacing w:val="26"/>
          <w:sz w:val="21"/>
        </w:rPr>
        <w:t> </w:t>
      </w:r>
      <w:r>
        <w:rPr>
          <w:sz w:val="21"/>
        </w:rPr>
        <w:t>the</w:t>
      </w:r>
      <w:r>
        <w:rPr>
          <w:spacing w:val="26"/>
          <w:sz w:val="21"/>
        </w:rPr>
        <w:t> </w:t>
      </w:r>
      <w:r>
        <w:rPr>
          <w:sz w:val="21"/>
        </w:rPr>
        <w:t>holders</w:t>
      </w:r>
      <w:r>
        <w:rPr>
          <w:spacing w:val="26"/>
          <w:sz w:val="21"/>
        </w:rPr>
        <w:t> </w:t>
      </w:r>
      <w:r>
        <w:rPr>
          <w:sz w:val="21"/>
        </w:rPr>
        <w:t>of</w:t>
      </w:r>
      <w:r>
        <w:rPr>
          <w:spacing w:val="26"/>
          <w:sz w:val="21"/>
        </w:rPr>
        <w:t> </w:t>
      </w:r>
      <w:r>
        <w:rPr>
          <w:sz w:val="21"/>
        </w:rPr>
        <w:t>the</w:t>
      </w:r>
      <w:r>
        <w:rPr>
          <w:spacing w:val="26"/>
          <w:sz w:val="21"/>
        </w:rPr>
        <w:t> </w:t>
      </w:r>
      <w:r>
        <w:rPr>
          <w:sz w:val="21"/>
        </w:rPr>
        <w:t>number</w:t>
      </w:r>
      <w:r>
        <w:rPr>
          <w:spacing w:val="26"/>
          <w:sz w:val="21"/>
        </w:rPr>
        <w:t> </w:t>
      </w:r>
      <w:r>
        <w:rPr>
          <w:sz w:val="21"/>
        </w:rPr>
        <w:t>of</w:t>
      </w:r>
      <w:r>
        <w:rPr>
          <w:spacing w:val="26"/>
          <w:sz w:val="21"/>
        </w:rPr>
        <w:t> </w:t>
      </w:r>
      <w:r>
        <w:rPr>
          <w:sz w:val="21"/>
        </w:rPr>
        <w:t>shares</w:t>
      </w:r>
      <w:r>
        <w:rPr>
          <w:spacing w:val="26"/>
          <w:sz w:val="21"/>
        </w:rPr>
        <w:t> </w:t>
      </w:r>
      <w:r>
        <w:rPr>
          <w:sz w:val="21"/>
        </w:rPr>
        <w:t>stated</w:t>
      </w:r>
      <w:r>
        <w:rPr>
          <w:spacing w:val="26"/>
          <w:sz w:val="21"/>
        </w:rPr>
        <w:t> </w:t>
      </w:r>
      <w:r>
        <w:rPr>
          <w:sz w:val="21"/>
        </w:rPr>
        <w:t>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9"/>
        <w:rPr>
          <w:sz w:val="20"/>
        </w:rPr>
      </w:pPr>
      <w:r>
        <w:rPr/>
        <mc:AlternateContent>
          <mc:Choice Requires="wps">
            <w:drawing>
              <wp:anchor distT="0" distB="0" distL="0" distR="0" allowOverlap="1" layoutInCell="1" locked="0" behindDoc="1" simplePos="0" relativeHeight="487769088">
                <wp:simplePos x="0" y="0"/>
                <wp:positionH relativeFrom="page">
                  <wp:posOffset>231457</wp:posOffset>
                </wp:positionH>
                <wp:positionV relativeFrom="paragraph">
                  <wp:posOffset>205092</wp:posOffset>
                </wp:positionV>
                <wp:extent cx="7312659" cy="17145"/>
                <wp:effectExtent l="0" t="0" r="0" b="0"/>
                <wp:wrapTopAndBottom/>
                <wp:docPr id="832" name="Group 832"/>
                <wp:cNvGraphicFramePr>
                  <a:graphicFrameLocks/>
                </wp:cNvGraphicFramePr>
                <a:graphic>
                  <a:graphicData uri="http://schemas.microsoft.com/office/word/2010/wordprocessingGroup">
                    <wpg:wgp>
                      <wpg:cNvPr id="832" name="Group 832"/>
                      <wpg:cNvGrpSpPr/>
                      <wpg:grpSpPr>
                        <a:xfrm>
                          <a:off x="0" y="0"/>
                          <a:ext cx="7312659" cy="17145"/>
                          <a:chExt cx="7312659" cy="17145"/>
                        </a:xfrm>
                      </wpg:grpSpPr>
                      <wps:wsp>
                        <wps:cNvPr id="833" name="Graphic 83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34" name="Graphic 834"/>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35" name="Graphic 83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149023pt;width:575.8pt;height:1.35pt;mso-position-horizontal-relative:page;mso-position-vertical-relative:paragraph;z-index:-15547392;mso-wrap-distance-left:0;mso-wrap-distance-right:0" id="docshapegroup830" coordorigin="364,323" coordsize="11516,27">
                <v:rect style="position:absolute;left:364;top:322;width:11516;height:14" id="docshape831" filled="true" fillcolor="#999999" stroked="false">
                  <v:fill type="solid"/>
                </v:rect>
                <v:shape style="position:absolute;left:364;top:322;width:11516;height:27" id="docshape832" coordorigin="364,323" coordsize="11516,27" path="m11880,323l11866,336,364,336,364,350,11866,350,11880,350,11880,336,11880,323xe" filled="true" fillcolor="#ededed" stroked="false">
                  <v:path arrowok="t"/>
                  <v:fill type="solid"/>
                </v:shape>
                <v:shape style="position:absolute;left:364;top:322;width:14;height:27" id="docshape833" coordorigin="364,323" coordsize="14,27" path="m364,350l364,323,378,323,378,336,364,350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before="75"/>
        <w:ind w:left="144" w:right="0" w:firstLine="0"/>
        <w:jc w:val="left"/>
        <w:rPr>
          <w:sz w:val="21"/>
        </w:rPr>
      </w:pPr>
      <w:r>
        <w:rPr>
          <w:sz w:val="21"/>
        </w:rPr>
        <w:t>that</w:t>
      </w:r>
      <w:r>
        <w:rPr>
          <w:spacing w:val="11"/>
          <w:sz w:val="21"/>
        </w:rPr>
        <w:t> </w:t>
      </w:r>
      <w:r>
        <w:rPr>
          <w:sz w:val="21"/>
        </w:rPr>
        <w:t>these</w:t>
      </w:r>
      <w:r>
        <w:rPr>
          <w:spacing w:val="11"/>
          <w:sz w:val="21"/>
        </w:rPr>
        <w:t> </w:t>
      </w:r>
      <w:r>
        <w:rPr>
          <w:sz w:val="21"/>
        </w:rPr>
        <w:t>are</w:t>
      </w:r>
      <w:r>
        <w:rPr>
          <w:spacing w:val="11"/>
          <w:sz w:val="21"/>
        </w:rPr>
        <w:t> </w:t>
      </w:r>
      <w:r>
        <w:rPr>
          <w:sz w:val="21"/>
        </w:rPr>
        <w:t>registered,</w:t>
      </w:r>
      <w:r>
        <w:rPr>
          <w:spacing w:val="11"/>
          <w:sz w:val="21"/>
        </w:rPr>
        <w:t> </w:t>
      </w:r>
      <w:r>
        <w:rPr>
          <w:sz w:val="21"/>
        </w:rPr>
        <w:t>accompanied</w:t>
      </w:r>
      <w:r>
        <w:rPr>
          <w:spacing w:val="12"/>
          <w:sz w:val="21"/>
        </w:rPr>
        <w:t> </w:t>
      </w:r>
      <w:r>
        <w:rPr>
          <w:sz w:val="21"/>
        </w:rPr>
        <w:t>by</w:t>
      </w:r>
      <w:r>
        <w:rPr>
          <w:spacing w:val="11"/>
          <w:sz w:val="21"/>
        </w:rPr>
        <w:t> </w:t>
      </w:r>
      <w:r>
        <w:rPr>
          <w:sz w:val="21"/>
        </w:rPr>
        <w:t>a</w:t>
      </w:r>
      <w:r>
        <w:rPr>
          <w:spacing w:val="11"/>
          <w:sz w:val="21"/>
        </w:rPr>
        <w:t> </w:t>
      </w:r>
      <w:r>
        <w:rPr>
          <w:sz w:val="21"/>
        </w:rPr>
        <w:t>copy</w:t>
      </w:r>
      <w:r>
        <w:rPr>
          <w:spacing w:val="11"/>
          <w:sz w:val="21"/>
        </w:rPr>
        <w:t> </w:t>
      </w:r>
      <w:r>
        <w:rPr>
          <w:sz w:val="21"/>
        </w:rPr>
        <w:t>of</w:t>
      </w:r>
      <w:r>
        <w:rPr>
          <w:spacing w:val="12"/>
          <w:sz w:val="21"/>
        </w:rPr>
        <w:t> </w:t>
      </w:r>
      <w:r>
        <w:rPr>
          <w:sz w:val="21"/>
        </w:rPr>
        <w:t>the</w:t>
      </w:r>
      <w:r>
        <w:rPr>
          <w:spacing w:val="11"/>
          <w:sz w:val="21"/>
        </w:rPr>
        <w:t> </w:t>
      </w:r>
      <w:r>
        <w:rPr>
          <w:sz w:val="21"/>
        </w:rPr>
        <w:t>securities</w:t>
      </w:r>
      <w:r>
        <w:rPr>
          <w:spacing w:val="11"/>
          <w:sz w:val="21"/>
        </w:rPr>
        <w:t> </w:t>
      </w:r>
      <w:r>
        <w:rPr>
          <w:sz w:val="21"/>
        </w:rPr>
        <w:t>incorporating</w:t>
      </w:r>
      <w:r>
        <w:rPr>
          <w:spacing w:val="11"/>
          <w:sz w:val="21"/>
        </w:rPr>
        <w:t> </w:t>
      </w:r>
      <w:r>
        <w:rPr>
          <w:sz w:val="21"/>
        </w:rPr>
        <w:t>the</w:t>
      </w:r>
      <w:r>
        <w:rPr>
          <w:spacing w:val="12"/>
          <w:sz w:val="21"/>
        </w:rPr>
        <w:t> </w:t>
      </w:r>
      <w:r>
        <w:rPr>
          <w:sz w:val="21"/>
        </w:rPr>
        <w:t>respective</w:t>
      </w:r>
      <w:r>
        <w:rPr>
          <w:spacing w:val="11"/>
          <w:sz w:val="21"/>
        </w:rPr>
        <w:t> </w:t>
      </w:r>
      <w:r>
        <w:rPr>
          <w:spacing w:val="-2"/>
          <w:sz w:val="21"/>
        </w:rPr>
        <w:t>shares.</w:t>
      </w:r>
    </w:p>
    <w:p>
      <w:pPr>
        <w:pStyle w:val="BodyText"/>
        <w:spacing w:before="138"/>
        <w:rPr>
          <w:sz w:val="21"/>
        </w:rPr>
      </w:pPr>
    </w:p>
    <w:p>
      <w:pPr>
        <w:spacing w:before="0"/>
        <w:ind w:left="24" w:right="0" w:firstLine="0"/>
        <w:jc w:val="center"/>
        <w:rPr>
          <w:b/>
          <w:sz w:val="21"/>
        </w:rPr>
      </w:pPr>
      <w:r>
        <w:rPr>
          <w:b/>
          <w:sz w:val="21"/>
        </w:rPr>
        <w:t>Clause</w:t>
      </w:r>
      <w:r>
        <w:rPr>
          <w:b/>
          <w:spacing w:val="13"/>
          <w:sz w:val="21"/>
        </w:rPr>
        <w:t> </w:t>
      </w:r>
      <w:r>
        <w:rPr>
          <w:b/>
          <w:spacing w:val="-5"/>
          <w:sz w:val="21"/>
        </w:rPr>
        <w:t>21</w:t>
      </w:r>
    </w:p>
    <w:p>
      <w:pPr>
        <w:spacing w:before="56"/>
        <w:ind w:left="24" w:right="0" w:firstLine="0"/>
        <w:jc w:val="center"/>
        <w:rPr>
          <w:b/>
          <w:sz w:val="21"/>
        </w:rPr>
      </w:pPr>
      <w:r>
        <w:rPr>
          <w:b/>
          <w:sz w:val="21"/>
        </w:rPr>
        <w:t>Prohibition</w:t>
      </w:r>
      <w:r>
        <w:rPr>
          <w:b/>
          <w:spacing w:val="13"/>
          <w:sz w:val="21"/>
        </w:rPr>
        <w:t> </w:t>
      </w:r>
      <w:r>
        <w:rPr>
          <w:b/>
          <w:sz w:val="21"/>
        </w:rPr>
        <w:t>on</w:t>
      </w:r>
      <w:r>
        <w:rPr>
          <w:b/>
          <w:spacing w:val="14"/>
          <w:sz w:val="21"/>
        </w:rPr>
        <w:t> </w:t>
      </w:r>
      <w:r>
        <w:rPr>
          <w:b/>
          <w:sz w:val="21"/>
        </w:rPr>
        <w:t>accumulating</w:t>
      </w:r>
      <w:r>
        <w:rPr>
          <w:b/>
          <w:spacing w:val="13"/>
          <w:sz w:val="21"/>
        </w:rPr>
        <w:t> </w:t>
      </w:r>
      <w:r>
        <w:rPr>
          <w:b/>
          <w:sz w:val="21"/>
        </w:rPr>
        <w:t>functions</w:t>
      </w:r>
      <w:r>
        <w:rPr>
          <w:b/>
          <w:spacing w:val="14"/>
          <w:sz w:val="21"/>
        </w:rPr>
        <w:t> </w:t>
      </w:r>
      <w:r>
        <w:rPr>
          <w:b/>
          <w:sz w:val="21"/>
        </w:rPr>
        <w:t>in</w:t>
      </w:r>
      <w:r>
        <w:rPr>
          <w:b/>
          <w:spacing w:val="14"/>
          <w:sz w:val="21"/>
        </w:rPr>
        <w:t> </w:t>
      </w:r>
      <w:r>
        <w:rPr>
          <w:b/>
          <w:sz w:val="21"/>
        </w:rPr>
        <w:t>the</w:t>
      </w:r>
      <w:r>
        <w:rPr>
          <w:b/>
          <w:spacing w:val="13"/>
          <w:sz w:val="21"/>
        </w:rPr>
        <w:t> </w:t>
      </w:r>
      <w:r>
        <w:rPr>
          <w:b/>
          <w:sz w:val="21"/>
        </w:rPr>
        <w:t>corporate</w:t>
      </w:r>
      <w:r>
        <w:rPr>
          <w:b/>
          <w:spacing w:val="14"/>
          <w:sz w:val="21"/>
        </w:rPr>
        <w:t> </w:t>
      </w:r>
      <w:r>
        <w:rPr>
          <w:b/>
          <w:spacing w:val="-2"/>
          <w:sz w:val="21"/>
        </w:rPr>
        <w:t>bodies</w:t>
      </w:r>
    </w:p>
    <w:p>
      <w:pPr>
        <w:pStyle w:val="BodyText"/>
        <w:spacing w:before="159"/>
        <w:rPr>
          <w:b/>
          <w:sz w:val="21"/>
        </w:rPr>
      </w:pPr>
    </w:p>
    <w:p>
      <w:pPr>
        <w:spacing w:line="213" w:lineRule="auto" w:before="0"/>
        <w:ind w:left="144" w:right="0" w:firstLine="0"/>
        <w:jc w:val="left"/>
        <w:rPr>
          <w:sz w:val="21"/>
        </w:rPr>
      </w:pPr>
      <w:r>
        <w:rPr>
          <w:i/>
          <w:sz w:val="21"/>
        </w:rPr>
        <w:t>One</w:t>
      </w:r>
      <w:r>
        <w:rPr>
          <w:sz w:val="21"/>
        </w:rPr>
        <w:t>.</w:t>
      </w:r>
      <w:r>
        <w:rPr>
          <w:spacing w:val="31"/>
          <w:sz w:val="21"/>
        </w:rPr>
        <w:t> </w:t>
      </w:r>
      <w:r>
        <w:rPr>
          <w:sz w:val="21"/>
        </w:rPr>
        <w:t>It</w:t>
      </w:r>
      <w:r>
        <w:rPr>
          <w:spacing w:val="31"/>
          <w:sz w:val="21"/>
        </w:rPr>
        <w:t> </w:t>
      </w:r>
      <w:r>
        <w:rPr>
          <w:sz w:val="21"/>
        </w:rPr>
        <w:t>is</w:t>
      </w:r>
      <w:r>
        <w:rPr>
          <w:spacing w:val="31"/>
          <w:sz w:val="21"/>
        </w:rPr>
        <w:t> </w:t>
      </w:r>
      <w:r>
        <w:rPr>
          <w:sz w:val="21"/>
        </w:rPr>
        <w:t>prohibited</w:t>
      </w:r>
      <w:r>
        <w:rPr>
          <w:spacing w:val="31"/>
          <w:sz w:val="21"/>
        </w:rPr>
        <w:t> </w:t>
      </w:r>
      <w:r>
        <w:rPr>
          <w:sz w:val="21"/>
        </w:rPr>
        <w:t>for</w:t>
      </w:r>
      <w:r>
        <w:rPr>
          <w:spacing w:val="31"/>
          <w:sz w:val="21"/>
        </w:rPr>
        <w:t> </w:t>
      </w:r>
      <w:r>
        <w:rPr>
          <w:sz w:val="21"/>
        </w:rPr>
        <w:t>any</w:t>
      </w:r>
      <w:r>
        <w:rPr>
          <w:spacing w:val="31"/>
          <w:sz w:val="21"/>
        </w:rPr>
        <w:t> </w:t>
      </w:r>
      <w:r>
        <w:rPr>
          <w:sz w:val="21"/>
        </w:rPr>
        <w:t>person</w:t>
      </w:r>
      <w:r>
        <w:rPr>
          <w:spacing w:val="31"/>
          <w:sz w:val="21"/>
        </w:rPr>
        <w:t> </w:t>
      </w:r>
      <w:r>
        <w:rPr>
          <w:sz w:val="21"/>
        </w:rPr>
        <w:t>to</w:t>
      </w:r>
      <w:r>
        <w:rPr>
          <w:spacing w:val="31"/>
          <w:sz w:val="21"/>
        </w:rPr>
        <w:t> </w:t>
      </w:r>
      <w:r>
        <w:rPr>
          <w:sz w:val="21"/>
        </w:rPr>
        <w:t>accumulate</w:t>
      </w:r>
      <w:r>
        <w:rPr>
          <w:spacing w:val="31"/>
          <w:sz w:val="21"/>
        </w:rPr>
        <w:t> </w:t>
      </w:r>
      <w:r>
        <w:rPr>
          <w:sz w:val="21"/>
        </w:rPr>
        <w:t>functions</w:t>
      </w:r>
      <w:r>
        <w:rPr>
          <w:spacing w:val="31"/>
          <w:sz w:val="21"/>
        </w:rPr>
        <w:t> </w:t>
      </w:r>
      <w:r>
        <w:rPr>
          <w:sz w:val="21"/>
        </w:rPr>
        <w:t>in</w:t>
      </w:r>
      <w:r>
        <w:rPr>
          <w:spacing w:val="31"/>
          <w:sz w:val="21"/>
        </w:rPr>
        <w:t> </w:t>
      </w:r>
      <w:r>
        <w:rPr>
          <w:sz w:val="21"/>
        </w:rPr>
        <w:t>the</w:t>
      </w:r>
      <w:r>
        <w:rPr>
          <w:spacing w:val="31"/>
          <w:sz w:val="21"/>
        </w:rPr>
        <w:t> </w:t>
      </w:r>
      <w:r>
        <w:rPr>
          <w:sz w:val="21"/>
        </w:rPr>
        <w:t>following</w:t>
      </w:r>
      <w:r>
        <w:rPr>
          <w:spacing w:val="31"/>
          <w:sz w:val="21"/>
        </w:rPr>
        <w:t> </w:t>
      </w:r>
      <w:r>
        <w:rPr>
          <w:sz w:val="21"/>
        </w:rPr>
        <w:t>corporate</w:t>
      </w:r>
      <w:r>
        <w:rPr>
          <w:spacing w:val="31"/>
          <w:sz w:val="21"/>
        </w:rPr>
        <w:t> </w:t>
      </w:r>
      <w:r>
        <w:rPr>
          <w:sz w:val="21"/>
        </w:rPr>
        <w:t>bodies</w:t>
      </w:r>
      <w:r>
        <w:rPr>
          <w:spacing w:val="31"/>
          <w:sz w:val="21"/>
        </w:rPr>
        <w:t> </w:t>
      </w:r>
      <w:r>
        <w:rPr>
          <w:sz w:val="21"/>
        </w:rPr>
        <w:t>or</w:t>
      </w:r>
      <w:r>
        <w:rPr>
          <w:spacing w:val="31"/>
          <w:sz w:val="21"/>
        </w:rPr>
        <w:t> </w:t>
      </w:r>
      <w:r>
        <w:rPr>
          <w:sz w:val="21"/>
        </w:rPr>
        <w:t>to</w:t>
      </w:r>
      <w:r>
        <w:rPr>
          <w:spacing w:val="31"/>
          <w:sz w:val="21"/>
        </w:rPr>
        <w:t> </w:t>
      </w:r>
      <w:r>
        <w:rPr>
          <w:sz w:val="21"/>
        </w:rPr>
        <w:t>accumulate</w:t>
      </w:r>
      <w:r>
        <w:rPr>
          <w:spacing w:val="31"/>
          <w:sz w:val="21"/>
        </w:rPr>
        <w:t> </w:t>
      </w:r>
      <w:r>
        <w:rPr>
          <w:sz w:val="21"/>
        </w:rPr>
        <w:t>functions</w:t>
      </w:r>
      <w:r>
        <w:rPr>
          <w:spacing w:val="31"/>
          <w:sz w:val="21"/>
        </w:rPr>
        <w:t> </w:t>
      </w:r>
      <w:r>
        <w:rPr>
          <w:sz w:val="21"/>
        </w:rPr>
        <w:t>in</w:t>
      </w:r>
      <w:r>
        <w:rPr>
          <w:spacing w:val="31"/>
          <w:sz w:val="21"/>
        </w:rPr>
        <w:t> </w:t>
      </w:r>
      <w:r>
        <w:rPr>
          <w:sz w:val="21"/>
        </w:rPr>
        <w:t>more than</w:t>
      </w:r>
      <w:r>
        <w:rPr>
          <w:spacing w:val="24"/>
          <w:sz w:val="21"/>
        </w:rPr>
        <w:t> </w:t>
      </w:r>
      <w:r>
        <w:rPr>
          <w:sz w:val="21"/>
        </w:rPr>
        <w:t>one</w:t>
      </w:r>
      <w:r>
        <w:rPr>
          <w:spacing w:val="24"/>
          <w:sz w:val="21"/>
        </w:rPr>
        <w:t> </w:t>
      </w:r>
      <w:r>
        <w:rPr>
          <w:sz w:val="21"/>
        </w:rPr>
        <w:t>corporate</w:t>
      </w:r>
      <w:r>
        <w:rPr>
          <w:spacing w:val="24"/>
          <w:sz w:val="21"/>
        </w:rPr>
        <w:t> </w:t>
      </w:r>
      <w:r>
        <w:rPr>
          <w:sz w:val="21"/>
        </w:rPr>
        <w:t>body</w:t>
      </w:r>
      <w:r>
        <w:rPr>
          <w:spacing w:val="24"/>
          <w:sz w:val="21"/>
        </w:rPr>
        <w:t> </w:t>
      </w:r>
      <w:r>
        <w:rPr>
          <w:sz w:val="21"/>
        </w:rPr>
        <w:t>of</w:t>
      </w:r>
      <w:r>
        <w:rPr>
          <w:spacing w:val="24"/>
          <w:sz w:val="21"/>
        </w:rPr>
        <w:t> </w:t>
      </w:r>
      <w:r>
        <w:rPr>
          <w:sz w:val="21"/>
        </w:rPr>
        <w:t>any</w:t>
      </w:r>
      <w:r>
        <w:rPr>
          <w:spacing w:val="24"/>
          <w:sz w:val="21"/>
        </w:rPr>
        <w:t> </w:t>
      </w:r>
      <w:r>
        <w:rPr>
          <w:sz w:val="21"/>
        </w:rPr>
        <w:t>of</w:t>
      </w:r>
      <w:r>
        <w:rPr>
          <w:spacing w:val="24"/>
          <w:sz w:val="21"/>
        </w:rPr>
        <w:t> </w:t>
      </w:r>
      <w:r>
        <w:rPr>
          <w:sz w:val="21"/>
        </w:rPr>
        <w:t>the</w:t>
      </w:r>
      <w:r>
        <w:rPr>
          <w:spacing w:val="24"/>
          <w:sz w:val="21"/>
        </w:rPr>
        <w:t> </w:t>
      </w:r>
      <w:r>
        <w:rPr>
          <w:sz w:val="21"/>
        </w:rPr>
        <w:t>companies</w:t>
      </w:r>
      <w:r>
        <w:rPr>
          <w:spacing w:val="24"/>
          <w:sz w:val="21"/>
        </w:rPr>
        <w:t> </w:t>
      </w:r>
      <w:r>
        <w:rPr>
          <w:sz w:val="21"/>
        </w:rPr>
        <w:t>mentioned</w:t>
      </w:r>
      <w:r>
        <w:rPr>
          <w:spacing w:val="24"/>
          <w:sz w:val="21"/>
        </w:rPr>
        <w:t> </w:t>
      </w:r>
      <w:r>
        <w:rPr>
          <w:sz w:val="21"/>
        </w:rPr>
        <w:t>below,</w:t>
      </w:r>
      <w:r>
        <w:rPr>
          <w:spacing w:val="24"/>
          <w:sz w:val="21"/>
        </w:rPr>
        <w:t> </w:t>
      </w:r>
      <w:r>
        <w:rPr>
          <w:sz w:val="21"/>
        </w:rPr>
        <w:t>with</w:t>
      </w:r>
      <w:r>
        <w:rPr>
          <w:spacing w:val="24"/>
          <w:sz w:val="21"/>
        </w:rPr>
        <w:t> </w:t>
      </w:r>
      <w:r>
        <w:rPr>
          <w:sz w:val="21"/>
        </w:rPr>
        <w:t>the</w:t>
      </w:r>
      <w:r>
        <w:rPr>
          <w:spacing w:val="24"/>
          <w:sz w:val="21"/>
        </w:rPr>
        <w:t> </w:t>
      </w:r>
      <w:r>
        <w:rPr>
          <w:sz w:val="21"/>
        </w:rPr>
        <w:t>exception</w:t>
      </w:r>
      <w:r>
        <w:rPr>
          <w:spacing w:val="24"/>
          <w:sz w:val="21"/>
        </w:rPr>
        <w:t> </w:t>
      </w:r>
      <w:r>
        <w:rPr>
          <w:sz w:val="21"/>
        </w:rPr>
        <w:t>of</w:t>
      </w:r>
      <w:r>
        <w:rPr>
          <w:spacing w:val="24"/>
          <w:sz w:val="21"/>
        </w:rPr>
        <w:t> </w:t>
      </w:r>
      <w:r>
        <w:rPr>
          <w:sz w:val="21"/>
        </w:rPr>
        <w:t>general</w:t>
      </w:r>
      <w:r>
        <w:rPr>
          <w:spacing w:val="24"/>
          <w:sz w:val="21"/>
        </w:rPr>
        <w:t> </w:t>
      </w:r>
      <w:r>
        <w:rPr>
          <w:sz w:val="21"/>
        </w:rPr>
        <w:t>meetings:</w:t>
      </w:r>
    </w:p>
    <w:p>
      <w:pPr>
        <w:pStyle w:val="BodyText"/>
        <w:spacing w:before="131"/>
        <w:rPr>
          <w:sz w:val="21"/>
        </w:rPr>
      </w:pPr>
    </w:p>
    <w:p>
      <w:pPr>
        <w:pStyle w:val="ListParagraph"/>
        <w:numPr>
          <w:ilvl w:val="0"/>
          <w:numId w:val="28"/>
        </w:numPr>
        <w:tabs>
          <w:tab w:pos="887" w:val="left" w:leader="none"/>
        </w:tabs>
        <w:spacing w:line="240" w:lineRule="auto" w:before="0" w:after="0"/>
        <w:ind w:left="887" w:right="0" w:hanging="233"/>
        <w:jc w:val="left"/>
        <w:rPr>
          <w:sz w:val="21"/>
        </w:rPr>
      </w:pPr>
      <w:r>
        <w:rPr>
          <w:sz w:val="21"/>
        </w:rPr>
        <w:t>Corporate</w:t>
      </w:r>
      <w:r>
        <w:rPr>
          <w:spacing w:val="10"/>
          <w:sz w:val="21"/>
        </w:rPr>
        <w:t> </w:t>
      </w:r>
      <w:r>
        <w:rPr>
          <w:sz w:val="21"/>
        </w:rPr>
        <w:t>bodies</w:t>
      </w:r>
      <w:r>
        <w:rPr>
          <w:spacing w:val="10"/>
          <w:sz w:val="21"/>
        </w:rPr>
        <w:t> </w:t>
      </w:r>
      <w:r>
        <w:rPr>
          <w:sz w:val="21"/>
        </w:rPr>
        <w:t>of</w:t>
      </w:r>
      <w:r>
        <w:rPr>
          <w:spacing w:val="10"/>
          <w:sz w:val="21"/>
        </w:rPr>
        <w:t> </w:t>
      </w:r>
      <w:r>
        <w:rPr>
          <w:sz w:val="21"/>
        </w:rPr>
        <w:t>the</w:t>
      </w:r>
      <w:r>
        <w:rPr>
          <w:spacing w:val="10"/>
          <w:sz w:val="21"/>
        </w:rPr>
        <w:t> </w:t>
      </w:r>
      <w:r>
        <w:rPr>
          <w:spacing w:val="-2"/>
          <w:sz w:val="21"/>
        </w:rPr>
        <w:t>Concessionaires;</w:t>
      </w:r>
    </w:p>
    <w:p>
      <w:pPr>
        <w:pStyle w:val="BodyText"/>
        <w:spacing w:before="124"/>
        <w:rPr>
          <w:sz w:val="21"/>
        </w:rPr>
      </w:pPr>
    </w:p>
    <w:p>
      <w:pPr>
        <w:pStyle w:val="ListParagraph"/>
        <w:numPr>
          <w:ilvl w:val="0"/>
          <w:numId w:val="28"/>
        </w:numPr>
        <w:tabs>
          <w:tab w:pos="887" w:val="left" w:leader="none"/>
        </w:tabs>
        <w:spacing w:line="240" w:lineRule="auto" w:before="1" w:after="0"/>
        <w:ind w:left="887" w:right="0" w:hanging="233"/>
        <w:jc w:val="left"/>
        <w:rPr>
          <w:sz w:val="21"/>
        </w:rPr>
      </w:pPr>
      <w:r>
        <w:rPr>
          <w:sz w:val="21"/>
        </w:rPr>
        <w:t>Corporate</w:t>
      </w:r>
      <w:r>
        <w:rPr>
          <w:spacing w:val="11"/>
          <w:sz w:val="21"/>
        </w:rPr>
        <w:t> </w:t>
      </w:r>
      <w:r>
        <w:rPr>
          <w:sz w:val="21"/>
        </w:rPr>
        <w:t>bodies</w:t>
      </w:r>
      <w:r>
        <w:rPr>
          <w:spacing w:val="11"/>
          <w:sz w:val="21"/>
        </w:rPr>
        <w:t> </w:t>
      </w:r>
      <w:r>
        <w:rPr>
          <w:sz w:val="21"/>
        </w:rPr>
        <w:t>of</w:t>
      </w:r>
      <w:r>
        <w:rPr>
          <w:spacing w:val="12"/>
          <w:sz w:val="21"/>
        </w:rPr>
        <w:t> </w:t>
      </w:r>
      <w:r>
        <w:rPr>
          <w:spacing w:val="-2"/>
          <w:sz w:val="21"/>
        </w:rPr>
        <w:t>junkets;</w:t>
      </w:r>
    </w:p>
    <w:p>
      <w:pPr>
        <w:pStyle w:val="BodyText"/>
        <w:spacing w:before="137"/>
        <w:rPr>
          <w:sz w:val="21"/>
        </w:rPr>
      </w:pPr>
    </w:p>
    <w:p>
      <w:pPr>
        <w:pStyle w:val="ListParagraph"/>
        <w:numPr>
          <w:ilvl w:val="0"/>
          <w:numId w:val="28"/>
        </w:numPr>
        <w:tabs>
          <w:tab w:pos="887" w:val="left" w:leader="none"/>
        </w:tabs>
        <w:spacing w:line="240" w:lineRule="auto" w:before="1" w:after="0"/>
        <w:ind w:left="887" w:right="0" w:hanging="233"/>
        <w:jc w:val="left"/>
        <w:rPr>
          <w:sz w:val="21"/>
        </w:rPr>
      </w:pPr>
      <w:r>
        <w:rPr>
          <w:sz w:val="21"/>
        </w:rPr>
        <w:t>Corporate</w:t>
      </w:r>
      <w:r>
        <w:rPr>
          <w:spacing w:val="14"/>
          <w:sz w:val="21"/>
        </w:rPr>
        <w:t> </w:t>
      </w:r>
      <w:r>
        <w:rPr>
          <w:sz w:val="21"/>
        </w:rPr>
        <w:t>bodies</w:t>
      </w:r>
      <w:r>
        <w:rPr>
          <w:spacing w:val="14"/>
          <w:sz w:val="21"/>
        </w:rPr>
        <w:t> </w:t>
      </w:r>
      <w:r>
        <w:rPr>
          <w:sz w:val="21"/>
        </w:rPr>
        <w:t>of</w:t>
      </w:r>
      <w:r>
        <w:rPr>
          <w:spacing w:val="14"/>
          <w:sz w:val="21"/>
        </w:rPr>
        <w:t> </w:t>
      </w:r>
      <w:r>
        <w:rPr>
          <w:sz w:val="21"/>
        </w:rPr>
        <w:t>management</w:t>
      </w:r>
      <w:r>
        <w:rPr>
          <w:spacing w:val="14"/>
          <w:sz w:val="21"/>
        </w:rPr>
        <w:t> </w:t>
      </w:r>
      <w:r>
        <w:rPr>
          <w:spacing w:val="-2"/>
          <w:sz w:val="21"/>
        </w:rPr>
        <w:t>companies.</w:t>
      </w:r>
    </w:p>
    <w:p>
      <w:pPr>
        <w:pStyle w:val="BodyText"/>
        <w:spacing w:before="145"/>
        <w:rPr>
          <w:sz w:val="21"/>
        </w:rPr>
      </w:pPr>
    </w:p>
    <w:p>
      <w:pPr>
        <w:spacing w:line="213" w:lineRule="auto" w:before="1"/>
        <w:ind w:left="144" w:right="0" w:firstLine="0"/>
        <w:jc w:val="left"/>
        <w:rPr>
          <w:sz w:val="21"/>
        </w:rPr>
      </w:pPr>
      <w:r>
        <w:rPr>
          <w:i/>
          <w:sz w:val="21"/>
        </w:rPr>
        <w:t>Two</w:t>
      </w:r>
      <w:r>
        <w:rPr>
          <w:sz w:val="21"/>
        </w:rPr>
        <w:t>.</w:t>
      </w:r>
      <w:r>
        <w:rPr>
          <w:spacing w:val="18"/>
          <w:sz w:val="21"/>
        </w:rPr>
        <w:t> </w:t>
      </w:r>
      <w:r>
        <w:rPr>
          <w:sz w:val="21"/>
        </w:rPr>
        <w:t>The</w:t>
      </w:r>
      <w:r>
        <w:rPr>
          <w:spacing w:val="22"/>
          <w:sz w:val="21"/>
        </w:rPr>
        <w:t> </w:t>
      </w:r>
      <w:r>
        <w:rPr>
          <w:sz w:val="21"/>
        </w:rPr>
        <w:t>Concessionaire</w:t>
      </w:r>
      <w:r>
        <w:rPr>
          <w:spacing w:val="22"/>
          <w:sz w:val="21"/>
        </w:rPr>
        <w:t> </w:t>
      </w:r>
      <w:r>
        <w:rPr>
          <w:sz w:val="21"/>
        </w:rPr>
        <w:t>undertakes</w:t>
      </w:r>
      <w:r>
        <w:rPr>
          <w:spacing w:val="22"/>
          <w:sz w:val="21"/>
        </w:rPr>
        <w:t> </w:t>
      </w:r>
      <w:r>
        <w:rPr>
          <w:sz w:val="21"/>
        </w:rPr>
        <w:t>to</w:t>
      </w:r>
      <w:r>
        <w:rPr>
          <w:spacing w:val="22"/>
          <w:sz w:val="21"/>
        </w:rPr>
        <w:t> </w:t>
      </w:r>
      <w:r>
        <w:rPr>
          <w:sz w:val="21"/>
        </w:rPr>
        <w:t>notify</w:t>
      </w:r>
      <w:r>
        <w:rPr>
          <w:spacing w:val="22"/>
          <w:sz w:val="21"/>
        </w:rPr>
        <w:t> </w:t>
      </w:r>
      <w:r>
        <w:rPr>
          <w:sz w:val="21"/>
        </w:rPr>
        <w:t>DICJ,</w:t>
      </w:r>
      <w:r>
        <w:rPr>
          <w:spacing w:val="22"/>
          <w:sz w:val="21"/>
        </w:rPr>
        <w:t> </w:t>
      </w:r>
      <w:r>
        <w:rPr>
          <w:sz w:val="21"/>
        </w:rPr>
        <w:t>as</w:t>
      </w:r>
      <w:r>
        <w:rPr>
          <w:spacing w:val="22"/>
          <w:sz w:val="21"/>
        </w:rPr>
        <w:t> </w:t>
      </w:r>
      <w:r>
        <w:rPr>
          <w:sz w:val="21"/>
        </w:rPr>
        <w:t>soon</w:t>
      </w:r>
      <w:r>
        <w:rPr>
          <w:spacing w:val="22"/>
          <w:sz w:val="21"/>
        </w:rPr>
        <w:t> </w:t>
      </w:r>
      <w:r>
        <w:rPr>
          <w:sz w:val="21"/>
        </w:rPr>
        <w:t>as</w:t>
      </w:r>
      <w:r>
        <w:rPr>
          <w:spacing w:val="22"/>
          <w:sz w:val="21"/>
        </w:rPr>
        <w:t> </w:t>
      </w:r>
      <w:r>
        <w:rPr>
          <w:sz w:val="21"/>
        </w:rPr>
        <w:t>possible,</w:t>
      </w:r>
      <w:r>
        <w:rPr>
          <w:spacing w:val="22"/>
          <w:sz w:val="21"/>
        </w:rPr>
        <w:t> </w:t>
      </w:r>
      <w:r>
        <w:rPr>
          <w:sz w:val="21"/>
        </w:rPr>
        <w:t>of</w:t>
      </w:r>
      <w:r>
        <w:rPr>
          <w:spacing w:val="22"/>
          <w:sz w:val="21"/>
        </w:rPr>
        <w:t> </w:t>
      </w:r>
      <w:r>
        <w:rPr>
          <w:sz w:val="21"/>
        </w:rPr>
        <w:t>the</w:t>
      </w:r>
      <w:r>
        <w:rPr>
          <w:spacing w:val="22"/>
          <w:sz w:val="21"/>
        </w:rPr>
        <w:t> </w:t>
      </w:r>
      <w:r>
        <w:rPr>
          <w:sz w:val="21"/>
        </w:rPr>
        <w:t>appointment</w:t>
      </w:r>
      <w:r>
        <w:rPr>
          <w:spacing w:val="22"/>
          <w:sz w:val="21"/>
        </w:rPr>
        <w:t> </w:t>
      </w:r>
      <w:r>
        <w:rPr>
          <w:sz w:val="21"/>
        </w:rPr>
        <w:t>of</w:t>
      </w:r>
      <w:r>
        <w:rPr>
          <w:spacing w:val="22"/>
          <w:sz w:val="21"/>
        </w:rPr>
        <w:t> </w:t>
      </w:r>
      <w:r>
        <w:rPr>
          <w:sz w:val="21"/>
        </w:rPr>
        <w:t>any</w:t>
      </w:r>
      <w:r>
        <w:rPr>
          <w:spacing w:val="22"/>
          <w:sz w:val="21"/>
        </w:rPr>
        <w:t> </w:t>
      </w:r>
      <w:r>
        <w:rPr>
          <w:sz w:val="21"/>
        </w:rPr>
        <w:t>person</w:t>
      </w:r>
      <w:r>
        <w:rPr>
          <w:spacing w:val="22"/>
          <w:sz w:val="21"/>
        </w:rPr>
        <w:t> </w:t>
      </w:r>
      <w:r>
        <w:rPr>
          <w:sz w:val="21"/>
        </w:rPr>
        <w:t>to</w:t>
      </w:r>
      <w:r>
        <w:rPr>
          <w:spacing w:val="22"/>
          <w:sz w:val="21"/>
        </w:rPr>
        <w:t> </w:t>
      </w:r>
      <w:r>
        <w:rPr>
          <w:sz w:val="21"/>
        </w:rPr>
        <w:t>serve</w:t>
      </w:r>
      <w:r>
        <w:rPr>
          <w:spacing w:val="22"/>
          <w:sz w:val="21"/>
        </w:rPr>
        <w:t> </w:t>
      </w:r>
      <w:r>
        <w:rPr>
          <w:sz w:val="21"/>
        </w:rPr>
        <w:t>on</w:t>
      </w:r>
      <w:r>
        <w:rPr>
          <w:spacing w:val="22"/>
          <w:sz w:val="21"/>
        </w:rPr>
        <w:t> </w:t>
      </w:r>
      <w:r>
        <w:rPr>
          <w:sz w:val="21"/>
        </w:rPr>
        <w:t>the</w:t>
      </w:r>
      <w:r>
        <w:rPr>
          <w:spacing w:val="22"/>
          <w:sz w:val="21"/>
        </w:rPr>
        <w:t> </w:t>
      </w:r>
      <w:r>
        <w:rPr>
          <w:sz w:val="21"/>
        </w:rPr>
        <w:t>board</w:t>
      </w:r>
      <w:r>
        <w:rPr>
          <w:spacing w:val="22"/>
          <w:sz w:val="21"/>
        </w:rPr>
        <w:t> </w:t>
      </w:r>
      <w:r>
        <w:rPr>
          <w:sz w:val="21"/>
        </w:rPr>
        <w:t>of directors, supervisory board or other corporate body of the Concessionaire.</w:t>
      </w:r>
    </w:p>
    <w:p>
      <w:pPr>
        <w:pStyle w:val="BodyText"/>
        <w:spacing w:before="152"/>
        <w:rPr>
          <w:sz w:val="21"/>
        </w:rPr>
      </w:pPr>
    </w:p>
    <w:p>
      <w:pPr>
        <w:spacing w:line="213" w:lineRule="auto" w:before="0"/>
        <w:ind w:left="144" w:right="118" w:firstLine="0"/>
        <w:jc w:val="left"/>
        <w:rPr>
          <w:sz w:val="21"/>
        </w:rPr>
      </w:pPr>
      <w:r>
        <w:rPr>
          <w:i/>
          <w:sz w:val="21"/>
        </w:rPr>
        <w:t>Three</w:t>
      </w:r>
      <w:r>
        <w:rPr>
          <w:sz w:val="21"/>
        </w:rPr>
        <w:t>.</w:t>
      </w:r>
      <w:r>
        <w:rPr>
          <w:spacing w:val="11"/>
          <w:sz w:val="21"/>
        </w:rPr>
        <w:t> </w:t>
      </w:r>
      <w:r>
        <w:rPr>
          <w:sz w:val="21"/>
        </w:rPr>
        <w:t>The</w:t>
      </w:r>
      <w:r>
        <w:rPr>
          <w:spacing w:val="16"/>
          <w:sz w:val="21"/>
        </w:rPr>
        <w:t> </w:t>
      </w:r>
      <w:r>
        <w:rPr>
          <w:sz w:val="21"/>
        </w:rPr>
        <w:t>government</w:t>
      </w:r>
      <w:r>
        <w:rPr>
          <w:spacing w:val="16"/>
          <w:sz w:val="21"/>
        </w:rPr>
        <w:t> </w:t>
      </w:r>
      <w:r>
        <w:rPr>
          <w:sz w:val="21"/>
        </w:rPr>
        <w:t>undertakes</w:t>
      </w:r>
      <w:r>
        <w:rPr>
          <w:spacing w:val="16"/>
          <w:sz w:val="21"/>
        </w:rPr>
        <w:t> </w:t>
      </w:r>
      <w:r>
        <w:rPr>
          <w:sz w:val="21"/>
        </w:rPr>
        <w:t>to</w:t>
      </w:r>
      <w:r>
        <w:rPr>
          <w:spacing w:val="16"/>
          <w:sz w:val="21"/>
        </w:rPr>
        <w:t> </w:t>
      </w:r>
      <w:r>
        <w:rPr>
          <w:sz w:val="21"/>
        </w:rPr>
        <w:t>inform</w:t>
      </w:r>
      <w:r>
        <w:rPr>
          <w:spacing w:val="16"/>
          <w:sz w:val="21"/>
        </w:rPr>
        <w:t> </w:t>
      </w:r>
      <w:r>
        <w:rPr>
          <w:sz w:val="21"/>
        </w:rPr>
        <w:t>the</w:t>
      </w:r>
      <w:r>
        <w:rPr>
          <w:spacing w:val="16"/>
          <w:sz w:val="21"/>
        </w:rPr>
        <w:t> </w:t>
      </w:r>
      <w:r>
        <w:rPr>
          <w:sz w:val="21"/>
        </w:rPr>
        <w:t>Concessionaire</w:t>
      </w:r>
      <w:r>
        <w:rPr>
          <w:spacing w:val="16"/>
          <w:sz w:val="21"/>
        </w:rPr>
        <w:t> </w:t>
      </w:r>
      <w:r>
        <w:rPr>
          <w:sz w:val="21"/>
        </w:rPr>
        <w:t>if</w:t>
      </w:r>
      <w:r>
        <w:rPr>
          <w:spacing w:val="16"/>
          <w:sz w:val="21"/>
        </w:rPr>
        <w:t> </w:t>
      </w:r>
      <w:r>
        <w:rPr>
          <w:sz w:val="21"/>
        </w:rPr>
        <w:t>the</w:t>
      </w:r>
      <w:r>
        <w:rPr>
          <w:spacing w:val="16"/>
          <w:sz w:val="21"/>
        </w:rPr>
        <w:t> </w:t>
      </w:r>
      <w:r>
        <w:rPr>
          <w:sz w:val="21"/>
        </w:rPr>
        <w:t>person</w:t>
      </w:r>
      <w:r>
        <w:rPr>
          <w:spacing w:val="16"/>
          <w:sz w:val="21"/>
        </w:rPr>
        <w:t> </w:t>
      </w:r>
      <w:r>
        <w:rPr>
          <w:sz w:val="21"/>
        </w:rPr>
        <w:t>appointed</w:t>
      </w:r>
      <w:r>
        <w:rPr>
          <w:spacing w:val="16"/>
          <w:sz w:val="21"/>
        </w:rPr>
        <w:t> </w:t>
      </w:r>
      <w:r>
        <w:rPr>
          <w:sz w:val="21"/>
        </w:rPr>
        <w:t>to</w:t>
      </w:r>
      <w:r>
        <w:rPr>
          <w:spacing w:val="16"/>
          <w:sz w:val="21"/>
        </w:rPr>
        <w:t> </w:t>
      </w:r>
      <w:r>
        <w:rPr>
          <w:sz w:val="21"/>
        </w:rPr>
        <w:t>exercise</w:t>
      </w:r>
      <w:r>
        <w:rPr>
          <w:spacing w:val="16"/>
          <w:sz w:val="21"/>
        </w:rPr>
        <w:t> </w:t>
      </w:r>
      <w:r>
        <w:rPr>
          <w:sz w:val="21"/>
        </w:rPr>
        <w:t>functions</w:t>
      </w:r>
      <w:r>
        <w:rPr>
          <w:spacing w:val="16"/>
          <w:sz w:val="21"/>
        </w:rPr>
        <w:t> </w:t>
      </w:r>
      <w:r>
        <w:rPr>
          <w:sz w:val="21"/>
        </w:rPr>
        <w:t>in</w:t>
      </w:r>
      <w:r>
        <w:rPr>
          <w:spacing w:val="16"/>
          <w:sz w:val="21"/>
        </w:rPr>
        <w:t> </w:t>
      </w:r>
      <w:r>
        <w:rPr>
          <w:sz w:val="21"/>
        </w:rPr>
        <w:t>its</w:t>
      </w:r>
      <w:r>
        <w:rPr>
          <w:spacing w:val="16"/>
          <w:sz w:val="21"/>
        </w:rPr>
        <w:t> </w:t>
      </w:r>
      <w:r>
        <w:rPr>
          <w:sz w:val="21"/>
        </w:rPr>
        <w:t>corporate</w:t>
      </w:r>
      <w:r>
        <w:rPr>
          <w:spacing w:val="16"/>
          <w:sz w:val="21"/>
        </w:rPr>
        <w:t> </w:t>
      </w:r>
      <w:r>
        <w:rPr>
          <w:sz w:val="21"/>
        </w:rPr>
        <w:t>body</w:t>
      </w:r>
      <w:r>
        <w:rPr>
          <w:spacing w:val="16"/>
          <w:sz w:val="21"/>
        </w:rPr>
        <w:t> </w:t>
      </w:r>
      <w:r>
        <w:rPr>
          <w:sz w:val="21"/>
        </w:rPr>
        <w:t>is a</w:t>
      </w:r>
      <w:r>
        <w:rPr>
          <w:spacing w:val="11"/>
          <w:sz w:val="21"/>
        </w:rPr>
        <w:t> </w:t>
      </w:r>
      <w:r>
        <w:rPr>
          <w:sz w:val="21"/>
        </w:rPr>
        <w:t>member</w:t>
      </w:r>
      <w:r>
        <w:rPr>
          <w:spacing w:val="12"/>
          <w:sz w:val="21"/>
        </w:rPr>
        <w:t> </w:t>
      </w:r>
      <w:r>
        <w:rPr>
          <w:sz w:val="21"/>
        </w:rPr>
        <w:t>of</w:t>
      </w:r>
      <w:r>
        <w:rPr>
          <w:spacing w:val="12"/>
          <w:sz w:val="21"/>
        </w:rPr>
        <w:t> </w:t>
      </w:r>
      <w:r>
        <w:rPr>
          <w:sz w:val="21"/>
        </w:rPr>
        <w:t>the</w:t>
      </w:r>
      <w:r>
        <w:rPr>
          <w:spacing w:val="12"/>
          <w:sz w:val="21"/>
        </w:rPr>
        <w:t> </w:t>
      </w:r>
      <w:r>
        <w:rPr>
          <w:sz w:val="21"/>
        </w:rPr>
        <w:t>corporate</w:t>
      </w:r>
      <w:r>
        <w:rPr>
          <w:spacing w:val="12"/>
          <w:sz w:val="21"/>
        </w:rPr>
        <w:t> </w:t>
      </w:r>
      <w:r>
        <w:rPr>
          <w:sz w:val="21"/>
        </w:rPr>
        <w:t>body</w:t>
      </w:r>
      <w:r>
        <w:rPr>
          <w:spacing w:val="12"/>
          <w:sz w:val="21"/>
        </w:rPr>
        <w:t> </w:t>
      </w:r>
      <w:r>
        <w:rPr>
          <w:sz w:val="21"/>
        </w:rPr>
        <w:t>of</w:t>
      </w:r>
      <w:r>
        <w:rPr>
          <w:spacing w:val="11"/>
          <w:sz w:val="21"/>
        </w:rPr>
        <w:t> </w:t>
      </w:r>
      <w:r>
        <w:rPr>
          <w:sz w:val="21"/>
        </w:rPr>
        <w:t>another</w:t>
      </w:r>
      <w:r>
        <w:rPr>
          <w:spacing w:val="12"/>
          <w:sz w:val="21"/>
        </w:rPr>
        <w:t> </w:t>
      </w:r>
      <w:r>
        <w:rPr>
          <w:sz w:val="21"/>
        </w:rPr>
        <w:t>Concessionaire,</w:t>
      </w:r>
      <w:r>
        <w:rPr>
          <w:spacing w:val="12"/>
          <w:sz w:val="21"/>
        </w:rPr>
        <w:t> </w:t>
      </w:r>
      <w:r>
        <w:rPr>
          <w:sz w:val="21"/>
        </w:rPr>
        <w:t>gaming</w:t>
      </w:r>
      <w:r>
        <w:rPr>
          <w:spacing w:val="12"/>
          <w:sz w:val="21"/>
        </w:rPr>
        <w:t> </w:t>
      </w:r>
      <w:r>
        <w:rPr>
          <w:sz w:val="21"/>
        </w:rPr>
        <w:t>promoter</w:t>
      </w:r>
      <w:r>
        <w:rPr>
          <w:spacing w:val="12"/>
          <w:sz w:val="21"/>
        </w:rPr>
        <w:t> </w:t>
      </w:r>
      <w:r>
        <w:rPr>
          <w:sz w:val="21"/>
        </w:rPr>
        <w:t>or</w:t>
      </w:r>
      <w:r>
        <w:rPr>
          <w:spacing w:val="12"/>
          <w:sz w:val="21"/>
        </w:rPr>
        <w:t> </w:t>
      </w:r>
      <w:r>
        <w:rPr>
          <w:sz w:val="21"/>
        </w:rPr>
        <w:t>management</w:t>
      </w:r>
      <w:r>
        <w:rPr>
          <w:spacing w:val="12"/>
          <w:sz w:val="21"/>
        </w:rPr>
        <w:t> </w:t>
      </w:r>
      <w:r>
        <w:rPr>
          <w:sz w:val="21"/>
        </w:rPr>
        <w:t>company</w:t>
      </w:r>
      <w:r>
        <w:rPr>
          <w:spacing w:val="11"/>
          <w:sz w:val="21"/>
        </w:rPr>
        <w:t> </w:t>
      </w:r>
      <w:r>
        <w:rPr>
          <w:sz w:val="21"/>
        </w:rPr>
        <w:t>operating</w:t>
      </w:r>
      <w:r>
        <w:rPr>
          <w:spacing w:val="12"/>
          <w:sz w:val="21"/>
        </w:rPr>
        <w:t> </w:t>
      </w:r>
      <w:r>
        <w:rPr>
          <w:sz w:val="21"/>
        </w:rPr>
        <w:t>in</w:t>
      </w:r>
      <w:r>
        <w:rPr>
          <w:spacing w:val="12"/>
          <w:sz w:val="21"/>
        </w:rPr>
        <w:t> </w:t>
      </w:r>
      <w:r>
        <w:rPr>
          <w:sz w:val="21"/>
        </w:rPr>
        <w:t>the</w:t>
      </w:r>
      <w:r>
        <w:rPr>
          <w:spacing w:val="12"/>
          <w:sz w:val="21"/>
        </w:rPr>
        <w:t> </w:t>
      </w:r>
      <w:r>
        <w:rPr>
          <w:sz w:val="21"/>
        </w:rPr>
        <w:t>Macau</w:t>
      </w:r>
      <w:r>
        <w:rPr>
          <w:spacing w:val="12"/>
          <w:sz w:val="21"/>
        </w:rPr>
        <w:t> </w:t>
      </w:r>
      <w:r>
        <w:rPr>
          <w:spacing w:val="-4"/>
          <w:sz w:val="21"/>
        </w:rPr>
        <w:t>SAR.</w:t>
      </w:r>
    </w:p>
    <w:p>
      <w:pPr>
        <w:pStyle w:val="BodyText"/>
        <w:spacing w:before="165"/>
        <w:rPr>
          <w:sz w:val="21"/>
        </w:rPr>
      </w:pPr>
    </w:p>
    <w:p>
      <w:pPr>
        <w:spacing w:line="213" w:lineRule="auto" w:before="1"/>
        <w:ind w:left="144" w:right="0" w:firstLine="0"/>
        <w:jc w:val="left"/>
        <w:rPr>
          <w:sz w:val="21"/>
        </w:rPr>
      </w:pPr>
      <w:r>
        <w:rPr>
          <w:i/>
          <w:sz w:val="21"/>
        </w:rPr>
        <w:t>Four</w:t>
      </w:r>
      <w:r>
        <w:rPr>
          <w:sz w:val="21"/>
        </w:rPr>
        <w:t>.</w:t>
      </w:r>
      <w:r>
        <w:rPr>
          <w:spacing w:val="22"/>
          <w:sz w:val="21"/>
        </w:rPr>
        <w:t> </w:t>
      </w:r>
      <w:r>
        <w:rPr>
          <w:sz w:val="21"/>
        </w:rPr>
        <w:t>Any</w:t>
      </w:r>
      <w:r>
        <w:rPr>
          <w:spacing w:val="36"/>
          <w:sz w:val="21"/>
        </w:rPr>
        <w:t> </w:t>
      </w:r>
      <w:r>
        <w:rPr>
          <w:sz w:val="21"/>
        </w:rPr>
        <w:t>acts</w:t>
      </w:r>
      <w:r>
        <w:rPr>
          <w:spacing w:val="36"/>
          <w:sz w:val="21"/>
        </w:rPr>
        <w:t> </w:t>
      </w:r>
      <w:r>
        <w:rPr>
          <w:sz w:val="21"/>
        </w:rPr>
        <w:t>or</w:t>
      </w:r>
      <w:r>
        <w:rPr>
          <w:spacing w:val="36"/>
          <w:sz w:val="21"/>
        </w:rPr>
        <w:t> </w:t>
      </w:r>
      <w:r>
        <w:rPr>
          <w:sz w:val="21"/>
        </w:rPr>
        <w:t>resolutions</w:t>
      </w:r>
      <w:r>
        <w:rPr>
          <w:spacing w:val="36"/>
          <w:sz w:val="21"/>
        </w:rPr>
        <w:t> </w:t>
      </w:r>
      <w:r>
        <w:rPr>
          <w:sz w:val="21"/>
        </w:rPr>
        <w:t>taken</w:t>
      </w:r>
      <w:r>
        <w:rPr>
          <w:spacing w:val="36"/>
          <w:sz w:val="21"/>
        </w:rPr>
        <w:t> </w:t>
      </w:r>
      <w:r>
        <w:rPr>
          <w:sz w:val="21"/>
        </w:rPr>
        <w:t>in</w:t>
      </w:r>
      <w:r>
        <w:rPr>
          <w:spacing w:val="36"/>
          <w:sz w:val="21"/>
        </w:rPr>
        <w:t> </w:t>
      </w:r>
      <w:r>
        <w:rPr>
          <w:sz w:val="21"/>
        </w:rPr>
        <w:t>which</w:t>
      </w:r>
      <w:r>
        <w:rPr>
          <w:spacing w:val="36"/>
          <w:sz w:val="21"/>
        </w:rPr>
        <w:t> </w:t>
      </w:r>
      <w:r>
        <w:rPr>
          <w:sz w:val="21"/>
        </w:rPr>
        <w:t>members</w:t>
      </w:r>
      <w:r>
        <w:rPr>
          <w:spacing w:val="36"/>
          <w:sz w:val="21"/>
        </w:rPr>
        <w:t> </w:t>
      </w:r>
      <w:r>
        <w:rPr>
          <w:sz w:val="21"/>
        </w:rPr>
        <w:t>of</w:t>
      </w:r>
      <w:r>
        <w:rPr>
          <w:spacing w:val="36"/>
          <w:sz w:val="21"/>
        </w:rPr>
        <w:t> </w:t>
      </w:r>
      <w:r>
        <w:rPr>
          <w:sz w:val="21"/>
        </w:rPr>
        <w:t>the</w:t>
      </w:r>
      <w:r>
        <w:rPr>
          <w:spacing w:val="36"/>
          <w:sz w:val="21"/>
        </w:rPr>
        <w:t> </w:t>
      </w:r>
      <w:r>
        <w:rPr>
          <w:sz w:val="21"/>
        </w:rPr>
        <w:t>corporate</w:t>
      </w:r>
      <w:r>
        <w:rPr>
          <w:spacing w:val="36"/>
          <w:sz w:val="21"/>
        </w:rPr>
        <w:t> </w:t>
      </w:r>
      <w:r>
        <w:rPr>
          <w:sz w:val="21"/>
        </w:rPr>
        <w:t>bodies</w:t>
      </w:r>
      <w:r>
        <w:rPr>
          <w:spacing w:val="36"/>
          <w:sz w:val="21"/>
        </w:rPr>
        <w:t> </w:t>
      </w:r>
      <w:r>
        <w:rPr>
          <w:sz w:val="21"/>
        </w:rPr>
        <w:t>are</w:t>
      </w:r>
      <w:r>
        <w:rPr>
          <w:spacing w:val="36"/>
          <w:sz w:val="21"/>
        </w:rPr>
        <w:t> </w:t>
      </w:r>
      <w:r>
        <w:rPr>
          <w:sz w:val="21"/>
        </w:rPr>
        <w:t>involved</w:t>
      </w:r>
      <w:r>
        <w:rPr>
          <w:spacing w:val="36"/>
          <w:sz w:val="21"/>
        </w:rPr>
        <w:t> </w:t>
      </w:r>
      <w:r>
        <w:rPr>
          <w:sz w:val="21"/>
        </w:rPr>
        <w:t>in</w:t>
      </w:r>
      <w:r>
        <w:rPr>
          <w:spacing w:val="36"/>
          <w:sz w:val="21"/>
        </w:rPr>
        <w:t> </w:t>
      </w:r>
      <w:r>
        <w:rPr>
          <w:sz w:val="21"/>
        </w:rPr>
        <w:t>violation</w:t>
      </w:r>
      <w:r>
        <w:rPr>
          <w:spacing w:val="36"/>
          <w:sz w:val="21"/>
        </w:rPr>
        <w:t> </w:t>
      </w:r>
      <w:r>
        <w:rPr>
          <w:sz w:val="21"/>
        </w:rPr>
        <w:t>of</w:t>
      </w:r>
      <w:r>
        <w:rPr>
          <w:spacing w:val="36"/>
          <w:sz w:val="21"/>
        </w:rPr>
        <w:t> </w:t>
      </w:r>
      <w:r>
        <w:rPr>
          <w:sz w:val="21"/>
        </w:rPr>
        <w:t>paragraph</w:t>
      </w:r>
      <w:r>
        <w:rPr>
          <w:spacing w:val="37"/>
          <w:sz w:val="21"/>
        </w:rPr>
        <w:t> </w:t>
      </w:r>
      <w:r>
        <w:rPr>
          <w:i/>
          <w:sz w:val="21"/>
        </w:rPr>
        <w:t>one</w:t>
      </w:r>
      <w:r>
        <w:rPr>
          <w:i/>
          <w:spacing w:val="37"/>
          <w:sz w:val="21"/>
        </w:rPr>
        <w:t> </w:t>
      </w:r>
      <w:r>
        <w:rPr>
          <w:sz w:val="21"/>
        </w:rPr>
        <w:t>of</w:t>
      </w:r>
      <w:r>
        <w:rPr>
          <w:spacing w:val="36"/>
          <w:sz w:val="21"/>
        </w:rPr>
        <w:t> </w:t>
      </w:r>
      <w:r>
        <w:rPr>
          <w:sz w:val="21"/>
        </w:rPr>
        <w:t>this clause are voidable.</w:t>
      </w:r>
    </w:p>
    <w:p>
      <w:pPr>
        <w:pStyle w:val="BodyText"/>
        <w:spacing w:before="152"/>
        <w:rPr>
          <w:sz w:val="21"/>
        </w:rPr>
      </w:pPr>
    </w:p>
    <w:p>
      <w:pPr>
        <w:spacing w:line="213" w:lineRule="auto" w:before="0"/>
        <w:ind w:left="144" w:right="0" w:firstLine="0"/>
        <w:jc w:val="left"/>
        <w:rPr>
          <w:i/>
          <w:sz w:val="21"/>
        </w:rPr>
      </w:pPr>
      <w:r>
        <w:rPr>
          <w:i/>
          <w:sz w:val="21"/>
        </w:rPr>
        <w:t>Five</w:t>
      </w:r>
      <w:r>
        <w:rPr>
          <w:sz w:val="21"/>
        </w:rPr>
        <w:t>.</w:t>
      </w:r>
      <w:r>
        <w:rPr>
          <w:spacing w:val="30"/>
          <w:sz w:val="21"/>
        </w:rPr>
        <w:t> </w:t>
      </w:r>
      <w:r>
        <w:rPr>
          <w:sz w:val="21"/>
        </w:rPr>
        <w:t>DICJ</w:t>
      </w:r>
      <w:r>
        <w:rPr>
          <w:spacing w:val="30"/>
          <w:sz w:val="21"/>
        </w:rPr>
        <w:t> </w:t>
      </w:r>
      <w:r>
        <w:rPr>
          <w:sz w:val="21"/>
        </w:rPr>
        <w:t>shall</w:t>
      </w:r>
      <w:r>
        <w:rPr>
          <w:spacing w:val="30"/>
          <w:sz w:val="21"/>
        </w:rPr>
        <w:t> </w:t>
      </w:r>
      <w:r>
        <w:rPr>
          <w:sz w:val="21"/>
        </w:rPr>
        <w:t>request</w:t>
      </w:r>
      <w:r>
        <w:rPr>
          <w:spacing w:val="30"/>
          <w:sz w:val="21"/>
        </w:rPr>
        <w:t> </w:t>
      </w:r>
      <w:r>
        <w:rPr>
          <w:sz w:val="21"/>
        </w:rPr>
        <w:t>the</w:t>
      </w:r>
      <w:r>
        <w:rPr>
          <w:spacing w:val="30"/>
          <w:sz w:val="21"/>
        </w:rPr>
        <w:t> </w:t>
      </w:r>
      <w:r>
        <w:rPr>
          <w:sz w:val="21"/>
        </w:rPr>
        <w:t>concessionaires</w:t>
      </w:r>
      <w:r>
        <w:rPr>
          <w:spacing w:val="30"/>
          <w:sz w:val="21"/>
        </w:rPr>
        <w:t> </w:t>
      </w:r>
      <w:r>
        <w:rPr>
          <w:sz w:val="21"/>
        </w:rPr>
        <w:t>to</w:t>
      </w:r>
      <w:r>
        <w:rPr>
          <w:spacing w:val="30"/>
          <w:sz w:val="21"/>
        </w:rPr>
        <w:t> </w:t>
      </w:r>
      <w:r>
        <w:rPr>
          <w:sz w:val="21"/>
        </w:rPr>
        <w:t>remove</w:t>
      </w:r>
      <w:r>
        <w:rPr>
          <w:spacing w:val="30"/>
          <w:sz w:val="21"/>
        </w:rPr>
        <w:t> </w:t>
      </w:r>
      <w:r>
        <w:rPr>
          <w:sz w:val="21"/>
        </w:rPr>
        <w:t>from</w:t>
      </w:r>
      <w:r>
        <w:rPr>
          <w:spacing w:val="30"/>
          <w:sz w:val="21"/>
        </w:rPr>
        <w:t> </w:t>
      </w:r>
      <w:r>
        <w:rPr>
          <w:sz w:val="21"/>
        </w:rPr>
        <w:t>office</w:t>
      </w:r>
      <w:r>
        <w:rPr>
          <w:spacing w:val="30"/>
          <w:sz w:val="21"/>
        </w:rPr>
        <w:t> </w:t>
      </w:r>
      <w:r>
        <w:rPr>
          <w:sz w:val="21"/>
        </w:rPr>
        <w:t>within</w:t>
      </w:r>
      <w:r>
        <w:rPr>
          <w:spacing w:val="30"/>
          <w:sz w:val="21"/>
        </w:rPr>
        <w:t> </w:t>
      </w:r>
      <w:r>
        <w:rPr>
          <w:sz w:val="21"/>
        </w:rPr>
        <w:t>a</w:t>
      </w:r>
      <w:r>
        <w:rPr>
          <w:spacing w:val="30"/>
          <w:sz w:val="21"/>
        </w:rPr>
        <w:t> </w:t>
      </w:r>
      <w:r>
        <w:rPr>
          <w:sz w:val="21"/>
        </w:rPr>
        <w:t>period</w:t>
      </w:r>
      <w:r>
        <w:rPr>
          <w:spacing w:val="30"/>
          <w:sz w:val="21"/>
        </w:rPr>
        <w:t> </w:t>
      </w:r>
      <w:r>
        <w:rPr>
          <w:sz w:val="21"/>
        </w:rPr>
        <w:t>set</w:t>
      </w:r>
      <w:r>
        <w:rPr>
          <w:spacing w:val="30"/>
          <w:sz w:val="21"/>
        </w:rPr>
        <w:t> </w:t>
      </w:r>
      <w:r>
        <w:rPr>
          <w:sz w:val="21"/>
        </w:rPr>
        <w:t>for</w:t>
      </w:r>
      <w:r>
        <w:rPr>
          <w:spacing w:val="30"/>
          <w:sz w:val="21"/>
        </w:rPr>
        <w:t> </w:t>
      </w:r>
      <w:r>
        <w:rPr>
          <w:sz w:val="21"/>
        </w:rPr>
        <w:t>that</w:t>
      </w:r>
      <w:r>
        <w:rPr>
          <w:spacing w:val="30"/>
          <w:sz w:val="21"/>
        </w:rPr>
        <w:t> </w:t>
      </w:r>
      <w:r>
        <w:rPr>
          <w:sz w:val="21"/>
        </w:rPr>
        <w:t>purpose,</w:t>
      </w:r>
      <w:r>
        <w:rPr>
          <w:spacing w:val="30"/>
          <w:sz w:val="21"/>
        </w:rPr>
        <w:t> </w:t>
      </w:r>
      <w:r>
        <w:rPr>
          <w:sz w:val="21"/>
        </w:rPr>
        <w:t>the</w:t>
      </w:r>
      <w:r>
        <w:rPr>
          <w:spacing w:val="30"/>
          <w:sz w:val="21"/>
        </w:rPr>
        <w:t> </w:t>
      </w:r>
      <w:r>
        <w:rPr>
          <w:sz w:val="21"/>
        </w:rPr>
        <w:t>members</w:t>
      </w:r>
      <w:r>
        <w:rPr>
          <w:spacing w:val="30"/>
          <w:sz w:val="21"/>
        </w:rPr>
        <w:t> </w:t>
      </w:r>
      <w:r>
        <w:rPr>
          <w:sz w:val="21"/>
        </w:rPr>
        <w:t>of</w:t>
      </w:r>
      <w:r>
        <w:rPr>
          <w:spacing w:val="30"/>
          <w:sz w:val="21"/>
        </w:rPr>
        <w:t> </w:t>
      </w:r>
      <w:r>
        <w:rPr>
          <w:sz w:val="21"/>
        </w:rPr>
        <w:t>corporate bodies who violate the provisions stated in paragraph </w:t>
      </w:r>
      <w:r>
        <w:rPr>
          <w:i/>
          <w:sz w:val="21"/>
        </w:rPr>
        <w:t>one.</w:t>
      </w:r>
    </w:p>
    <w:p>
      <w:pPr>
        <w:pStyle w:val="BodyText"/>
        <w:spacing w:before="130"/>
        <w:rPr>
          <w:i/>
          <w:sz w:val="21"/>
        </w:rPr>
      </w:pPr>
    </w:p>
    <w:p>
      <w:pPr>
        <w:spacing w:line="309" w:lineRule="auto" w:before="0"/>
        <w:ind w:left="5019" w:right="4993" w:firstLine="0"/>
        <w:jc w:val="center"/>
        <w:rPr>
          <w:b/>
          <w:sz w:val="21"/>
        </w:rPr>
      </w:pPr>
      <w:r>
        <w:rPr>
          <w:b/>
          <w:sz w:val="21"/>
        </w:rPr>
        <w:t>Clause 22 Managing </w:t>
      </w:r>
      <w:r>
        <w:rPr>
          <w:b/>
          <w:sz w:val="21"/>
        </w:rPr>
        <w:t>Director</w:t>
      </w:r>
    </w:p>
    <w:p>
      <w:pPr>
        <w:pStyle w:val="BodyText"/>
        <w:spacing w:before="54"/>
        <w:rPr>
          <w:b/>
          <w:sz w:val="21"/>
        </w:rPr>
      </w:pPr>
    </w:p>
    <w:p>
      <w:pPr>
        <w:spacing w:before="0"/>
        <w:ind w:left="144" w:right="0" w:firstLine="0"/>
        <w:jc w:val="left"/>
        <w:rPr>
          <w:sz w:val="21"/>
        </w:rPr>
      </w:pPr>
      <w:r>
        <w:rPr>
          <w:i/>
          <w:sz w:val="21"/>
        </w:rPr>
        <w:t>One</w:t>
      </w:r>
      <w:r>
        <w:rPr>
          <w:sz w:val="21"/>
        </w:rPr>
        <w:t>.</w:t>
      </w:r>
      <w:r>
        <w:rPr>
          <w:spacing w:val="7"/>
          <w:sz w:val="21"/>
        </w:rPr>
        <w:t> </w:t>
      </w:r>
      <w:r>
        <w:rPr>
          <w:sz w:val="21"/>
        </w:rPr>
        <w:t>The</w:t>
      </w:r>
      <w:r>
        <w:rPr>
          <w:spacing w:val="12"/>
          <w:sz w:val="21"/>
        </w:rPr>
        <w:t> </w:t>
      </w:r>
      <w:r>
        <w:rPr>
          <w:sz w:val="21"/>
        </w:rPr>
        <w:t>Concessionaire's</w:t>
      </w:r>
      <w:r>
        <w:rPr>
          <w:spacing w:val="12"/>
          <w:sz w:val="21"/>
        </w:rPr>
        <w:t> </w:t>
      </w:r>
      <w:r>
        <w:rPr>
          <w:sz w:val="21"/>
        </w:rPr>
        <w:t>board</w:t>
      </w:r>
      <w:r>
        <w:rPr>
          <w:spacing w:val="12"/>
          <w:sz w:val="21"/>
        </w:rPr>
        <w:t> </w:t>
      </w:r>
      <w:r>
        <w:rPr>
          <w:sz w:val="21"/>
        </w:rPr>
        <w:t>of</w:t>
      </w:r>
      <w:r>
        <w:rPr>
          <w:spacing w:val="12"/>
          <w:sz w:val="21"/>
        </w:rPr>
        <w:t> </w:t>
      </w:r>
      <w:r>
        <w:rPr>
          <w:sz w:val="21"/>
        </w:rPr>
        <w:t>directors</w:t>
      </w:r>
      <w:r>
        <w:rPr>
          <w:spacing w:val="12"/>
          <w:sz w:val="21"/>
        </w:rPr>
        <w:t> </w:t>
      </w:r>
      <w:r>
        <w:rPr>
          <w:sz w:val="21"/>
        </w:rPr>
        <w:t>undertakes</w:t>
      </w:r>
      <w:r>
        <w:rPr>
          <w:spacing w:val="13"/>
          <w:sz w:val="21"/>
        </w:rPr>
        <w:t> </w:t>
      </w:r>
      <w:r>
        <w:rPr>
          <w:sz w:val="21"/>
        </w:rPr>
        <w:t>to</w:t>
      </w:r>
      <w:r>
        <w:rPr>
          <w:spacing w:val="12"/>
          <w:sz w:val="21"/>
        </w:rPr>
        <w:t> </w:t>
      </w:r>
      <w:r>
        <w:rPr>
          <w:sz w:val="21"/>
        </w:rPr>
        <w:t>delegate</w:t>
      </w:r>
      <w:r>
        <w:rPr>
          <w:spacing w:val="12"/>
          <w:sz w:val="21"/>
        </w:rPr>
        <w:t> </w:t>
      </w:r>
      <w:r>
        <w:rPr>
          <w:sz w:val="21"/>
        </w:rPr>
        <w:t>the</w:t>
      </w:r>
      <w:r>
        <w:rPr>
          <w:spacing w:val="12"/>
          <w:sz w:val="21"/>
        </w:rPr>
        <w:t> </w:t>
      </w:r>
      <w:r>
        <w:rPr>
          <w:sz w:val="21"/>
        </w:rPr>
        <w:t>management</w:t>
      </w:r>
      <w:r>
        <w:rPr>
          <w:spacing w:val="12"/>
          <w:sz w:val="21"/>
        </w:rPr>
        <w:t> </w:t>
      </w:r>
      <w:r>
        <w:rPr>
          <w:sz w:val="21"/>
        </w:rPr>
        <w:t>of</w:t>
      </w:r>
      <w:r>
        <w:rPr>
          <w:spacing w:val="12"/>
          <w:sz w:val="21"/>
        </w:rPr>
        <w:t> </w:t>
      </w:r>
      <w:r>
        <w:rPr>
          <w:sz w:val="21"/>
        </w:rPr>
        <w:t>the</w:t>
      </w:r>
      <w:r>
        <w:rPr>
          <w:spacing w:val="12"/>
          <w:sz w:val="21"/>
        </w:rPr>
        <w:t> </w:t>
      </w:r>
      <w:r>
        <w:rPr>
          <w:sz w:val="21"/>
        </w:rPr>
        <w:t>Concessionaire</w:t>
      </w:r>
      <w:r>
        <w:rPr>
          <w:spacing w:val="13"/>
          <w:sz w:val="21"/>
        </w:rPr>
        <w:t> </w:t>
      </w:r>
      <w:r>
        <w:rPr>
          <w:sz w:val="21"/>
        </w:rPr>
        <w:t>to</w:t>
      </w:r>
      <w:r>
        <w:rPr>
          <w:spacing w:val="12"/>
          <w:sz w:val="21"/>
        </w:rPr>
        <w:t> </w:t>
      </w:r>
      <w:r>
        <w:rPr>
          <w:sz w:val="21"/>
        </w:rPr>
        <w:t>a</w:t>
      </w:r>
      <w:r>
        <w:rPr>
          <w:spacing w:val="12"/>
          <w:sz w:val="21"/>
        </w:rPr>
        <w:t> </w:t>
      </w:r>
      <w:r>
        <w:rPr>
          <w:sz w:val="21"/>
        </w:rPr>
        <w:t>managing</w:t>
      </w:r>
      <w:r>
        <w:rPr>
          <w:spacing w:val="12"/>
          <w:sz w:val="21"/>
        </w:rPr>
        <w:t> </w:t>
      </w:r>
      <w:r>
        <w:rPr>
          <w:spacing w:val="-2"/>
          <w:sz w:val="21"/>
        </w:rPr>
        <w:t>director.</w:t>
      </w:r>
    </w:p>
    <w:p>
      <w:pPr>
        <w:pStyle w:val="BodyText"/>
        <w:spacing w:before="146"/>
        <w:rPr>
          <w:sz w:val="21"/>
        </w:rPr>
      </w:pPr>
    </w:p>
    <w:p>
      <w:pPr>
        <w:spacing w:line="213" w:lineRule="auto" w:before="0"/>
        <w:ind w:left="144" w:right="0" w:firstLine="0"/>
        <w:jc w:val="left"/>
        <w:rPr>
          <w:sz w:val="21"/>
        </w:rPr>
      </w:pPr>
      <w:r>
        <w:rPr>
          <w:i/>
          <w:sz w:val="21"/>
        </w:rPr>
        <w:t>Two</w:t>
      </w:r>
      <w:r>
        <w:rPr>
          <w:sz w:val="21"/>
        </w:rPr>
        <w:t>.</w:t>
      </w:r>
      <w:r>
        <w:rPr>
          <w:spacing w:val="14"/>
          <w:sz w:val="21"/>
        </w:rPr>
        <w:t> </w:t>
      </w:r>
      <w:r>
        <w:rPr>
          <w:sz w:val="21"/>
        </w:rPr>
        <w:t>The</w:t>
      </w:r>
      <w:r>
        <w:rPr>
          <w:spacing w:val="19"/>
          <w:sz w:val="21"/>
        </w:rPr>
        <w:t> </w:t>
      </w:r>
      <w:r>
        <w:rPr>
          <w:sz w:val="21"/>
        </w:rPr>
        <w:t>managing</w:t>
      </w:r>
      <w:r>
        <w:rPr>
          <w:spacing w:val="19"/>
          <w:sz w:val="21"/>
        </w:rPr>
        <w:t> </w:t>
      </w:r>
      <w:r>
        <w:rPr>
          <w:sz w:val="21"/>
        </w:rPr>
        <w:t>director</w:t>
      </w:r>
      <w:r>
        <w:rPr>
          <w:spacing w:val="19"/>
          <w:sz w:val="21"/>
        </w:rPr>
        <w:t> </w:t>
      </w:r>
      <w:r>
        <w:rPr>
          <w:sz w:val="21"/>
        </w:rPr>
        <w:t>referred</w:t>
      </w:r>
      <w:r>
        <w:rPr>
          <w:spacing w:val="19"/>
          <w:sz w:val="21"/>
        </w:rPr>
        <w:t> </w:t>
      </w:r>
      <w:r>
        <w:rPr>
          <w:sz w:val="21"/>
        </w:rPr>
        <w:t>to</w:t>
      </w:r>
      <w:r>
        <w:rPr>
          <w:spacing w:val="19"/>
          <w:sz w:val="21"/>
        </w:rPr>
        <w:t> </w:t>
      </w:r>
      <w:r>
        <w:rPr>
          <w:sz w:val="21"/>
        </w:rPr>
        <w:t>in</w:t>
      </w:r>
      <w:r>
        <w:rPr>
          <w:spacing w:val="19"/>
          <w:sz w:val="21"/>
        </w:rPr>
        <w:t> </w:t>
      </w:r>
      <w:r>
        <w:rPr>
          <w:sz w:val="21"/>
        </w:rPr>
        <w:t>the</w:t>
      </w:r>
      <w:r>
        <w:rPr>
          <w:spacing w:val="19"/>
          <w:sz w:val="21"/>
        </w:rPr>
        <w:t> </w:t>
      </w:r>
      <w:r>
        <w:rPr>
          <w:sz w:val="21"/>
        </w:rPr>
        <w:t>previous</w:t>
      </w:r>
      <w:r>
        <w:rPr>
          <w:spacing w:val="19"/>
          <w:sz w:val="21"/>
        </w:rPr>
        <w:t> </w:t>
      </w:r>
      <w:r>
        <w:rPr>
          <w:sz w:val="21"/>
        </w:rPr>
        <w:t>paragraph</w:t>
      </w:r>
      <w:r>
        <w:rPr>
          <w:spacing w:val="19"/>
          <w:sz w:val="21"/>
        </w:rPr>
        <w:t> </w:t>
      </w:r>
      <w:r>
        <w:rPr>
          <w:sz w:val="21"/>
        </w:rPr>
        <w:t>must</w:t>
      </w:r>
      <w:r>
        <w:rPr>
          <w:spacing w:val="19"/>
          <w:sz w:val="21"/>
        </w:rPr>
        <w:t> </w:t>
      </w:r>
      <w:r>
        <w:rPr>
          <w:sz w:val="21"/>
        </w:rPr>
        <w:t>be</w:t>
      </w:r>
      <w:r>
        <w:rPr>
          <w:spacing w:val="19"/>
          <w:sz w:val="21"/>
        </w:rPr>
        <w:t> </w:t>
      </w:r>
      <w:r>
        <w:rPr>
          <w:sz w:val="21"/>
        </w:rPr>
        <w:t>a</w:t>
      </w:r>
      <w:r>
        <w:rPr>
          <w:spacing w:val="19"/>
          <w:sz w:val="21"/>
        </w:rPr>
        <w:t> </w:t>
      </w:r>
      <w:r>
        <w:rPr>
          <w:sz w:val="21"/>
        </w:rPr>
        <w:t>permanent</w:t>
      </w:r>
      <w:r>
        <w:rPr>
          <w:spacing w:val="19"/>
          <w:sz w:val="21"/>
        </w:rPr>
        <w:t> </w:t>
      </w:r>
      <w:r>
        <w:rPr>
          <w:sz w:val="21"/>
        </w:rPr>
        <w:t>resident</w:t>
      </w:r>
      <w:r>
        <w:rPr>
          <w:spacing w:val="19"/>
          <w:sz w:val="21"/>
        </w:rPr>
        <w:t> </w:t>
      </w:r>
      <w:r>
        <w:rPr>
          <w:sz w:val="21"/>
        </w:rPr>
        <w:t>of</w:t>
      </w:r>
      <w:r>
        <w:rPr>
          <w:spacing w:val="19"/>
          <w:sz w:val="21"/>
        </w:rPr>
        <w:t> </w:t>
      </w:r>
      <w:r>
        <w:rPr>
          <w:sz w:val="21"/>
        </w:rPr>
        <w:t>the</w:t>
      </w:r>
      <w:r>
        <w:rPr>
          <w:spacing w:val="19"/>
          <w:sz w:val="21"/>
        </w:rPr>
        <w:t> </w:t>
      </w:r>
      <w:r>
        <w:rPr>
          <w:sz w:val="21"/>
        </w:rPr>
        <w:t>Macau</w:t>
      </w:r>
      <w:r>
        <w:rPr>
          <w:spacing w:val="19"/>
          <w:sz w:val="21"/>
        </w:rPr>
        <w:t> </w:t>
      </w:r>
      <w:r>
        <w:rPr>
          <w:sz w:val="21"/>
        </w:rPr>
        <w:t>SAR</w:t>
      </w:r>
      <w:r>
        <w:rPr>
          <w:spacing w:val="19"/>
          <w:sz w:val="21"/>
        </w:rPr>
        <w:t> </w:t>
      </w:r>
      <w:r>
        <w:rPr>
          <w:sz w:val="21"/>
        </w:rPr>
        <w:t>and</w:t>
      </w:r>
      <w:r>
        <w:rPr>
          <w:spacing w:val="19"/>
          <w:sz w:val="21"/>
        </w:rPr>
        <w:t> </w:t>
      </w:r>
      <w:r>
        <w:rPr>
          <w:sz w:val="21"/>
        </w:rPr>
        <w:t>hold</w:t>
      </w:r>
      <w:r>
        <w:rPr>
          <w:spacing w:val="19"/>
          <w:sz w:val="21"/>
        </w:rPr>
        <w:t> </w:t>
      </w:r>
      <w:r>
        <w:rPr>
          <w:sz w:val="21"/>
        </w:rPr>
        <w:t>at</w:t>
      </w:r>
      <w:r>
        <w:rPr>
          <w:spacing w:val="19"/>
          <w:sz w:val="21"/>
        </w:rPr>
        <w:t> </w:t>
      </w:r>
      <w:r>
        <w:rPr>
          <w:sz w:val="21"/>
        </w:rPr>
        <w:t>least 15% of the Concessionaire’s share capital.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8"/>
        <w:rPr>
          <w:sz w:val="20"/>
        </w:rPr>
      </w:pPr>
      <w:r>
        <w:rPr/>
        <mc:AlternateContent>
          <mc:Choice Requires="wps">
            <w:drawing>
              <wp:anchor distT="0" distB="0" distL="0" distR="0" allowOverlap="1" layoutInCell="1" locked="0" behindDoc="1" simplePos="0" relativeHeight="487769600">
                <wp:simplePos x="0" y="0"/>
                <wp:positionH relativeFrom="page">
                  <wp:posOffset>231457</wp:posOffset>
                </wp:positionH>
                <wp:positionV relativeFrom="paragraph">
                  <wp:posOffset>204457</wp:posOffset>
                </wp:positionV>
                <wp:extent cx="7312659" cy="17145"/>
                <wp:effectExtent l="0" t="0" r="0" b="0"/>
                <wp:wrapTopAndBottom/>
                <wp:docPr id="836" name="Group 836"/>
                <wp:cNvGraphicFramePr>
                  <a:graphicFrameLocks/>
                </wp:cNvGraphicFramePr>
                <a:graphic>
                  <a:graphicData uri="http://schemas.microsoft.com/office/word/2010/wordprocessingGroup">
                    <wpg:wgp>
                      <wpg:cNvPr id="836" name="Group 836"/>
                      <wpg:cNvGrpSpPr/>
                      <wpg:grpSpPr>
                        <a:xfrm>
                          <a:off x="0" y="0"/>
                          <a:ext cx="7312659" cy="17145"/>
                          <a:chExt cx="7312659" cy="17145"/>
                        </a:xfrm>
                      </wpg:grpSpPr>
                      <wps:wsp>
                        <wps:cNvPr id="837" name="Graphic 83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38" name="Graphic 838"/>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39" name="Graphic 83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099024pt;width:575.8pt;height:1.35pt;mso-position-horizontal-relative:page;mso-position-vertical-relative:paragraph;z-index:-15546880;mso-wrap-distance-left:0;mso-wrap-distance-right:0" id="docshapegroup834" coordorigin="364,322" coordsize="11516,27">
                <v:rect style="position:absolute;left:364;top:321;width:11516;height:14" id="docshape835" filled="true" fillcolor="#999999" stroked="false">
                  <v:fill type="solid"/>
                </v:rect>
                <v:shape style="position:absolute;left:364;top:321;width:11516;height:27" id="docshape836" coordorigin="364,322" coordsize="11516,27" path="m11880,322l11866,335,364,335,364,349,11866,349,11880,349,11880,335,11880,322xe" filled="true" fillcolor="#ededed" stroked="false">
                  <v:path arrowok="t"/>
                  <v:fill type="solid"/>
                </v:shape>
                <v:shape style="position:absolute;left:364;top:321;width:14;height:27" id="docshape837" coordorigin="364,322" coordsize="14,27" path="m364,349l364,322,378,322,378,335,364,349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97"/>
        <w:ind w:left="144" w:right="118" w:firstLine="0"/>
        <w:jc w:val="both"/>
        <w:rPr>
          <w:sz w:val="21"/>
        </w:rPr>
      </w:pPr>
      <w:r>
        <w:rPr>
          <w:i/>
          <w:sz w:val="21"/>
        </w:rPr>
        <w:t>Three</w:t>
      </w:r>
      <w:r>
        <w:rPr>
          <w:sz w:val="21"/>
        </w:rPr>
        <w:t>. The Concessionaires’ delegation of the management, including the appointment of a Managing Director, the scope of his/her powers,</w:t>
      </w:r>
      <w:r>
        <w:rPr>
          <w:spacing w:val="40"/>
          <w:sz w:val="21"/>
        </w:rPr>
        <w:t> </w:t>
      </w:r>
      <w:r>
        <w:rPr>
          <w:sz w:val="21"/>
        </w:rPr>
        <w:t>the</w:t>
      </w:r>
      <w:r>
        <w:rPr>
          <w:spacing w:val="40"/>
          <w:sz w:val="21"/>
        </w:rPr>
        <w:t> </w:t>
      </w:r>
      <w:r>
        <w:rPr>
          <w:sz w:val="21"/>
        </w:rPr>
        <w:t>term</w:t>
      </w:r>
      <w:r>
        <w:rPr>
          <w:spacing w:val="40"/>
          <w:sz w:val="21"/>
        </w:rPr>
        <w:t> </w:t>
      </w:r>
      <w:r>
        <w:rPr>
          <w:sz w:val="21"/>
        </w:rPr>
        <w:t>of</w:t>
      </w:r>
      <w:r>
        <w:rPr>
          <w:spacing w:val="40"/>
          <w:sz w:val="21"/>
        </w:rPr>
        <w:t> </w:t>
      </w:r>
      <w:r>
        <w:rPr>
          <w:sz w:val="21"/>
        </w:rPr>
        <w:t>appointment,</w:t>
      </w:r>
      <w:r>
        <w:rPr>
          <w:spacing w:val="40"/>
          <w:sz w:val="21"/>
        </w:rPr>
        <w:t> </w:t>
      </w:r>
      <w:r>
        <w:rPr>
          <w:sz w:val="21"/>
        </w:rPr>
        <w:t>as</w:t>
      </w:r>
      <w:r>
        <w:rPr>
          <w:spacing w:val="40"/>
          <w:sz w:val="21"/>
        </w:rPr>
        <w:t> </w:t>
      </w:r>
      <w:r>
        <w:rPr>
          <w:sz w:val="21"/>
        </w:rPr>
        <w:t>well</w:t>
      </w:r>
      <w:r>
        <w:rPr>
          <w:spacing w:val="40"/>
          <w:sz w:val="21"/>
        </w:rPr>
        <w:t> </w:t>
      </w:r>
      <w:r>
        <w:rPr>
          <w:sz w:val="21"/>
        </w:rPr>
        <w:t>as</w:t>
      </w:r>
      <w:r>
        <w:rPr>
          <w:spacing w:val="40"/>
          <w:sz w:val="21"/>
        </w:rPr>
        <w:t> </w:t>
      </w:r>
      <w:r>
        <w:rPr>
          <w:sz w:val="21"/>
        </w:rPr>
        <w:t>any</w:t>
      </w:r>
      <w:r>
        <w:rPr>
          <w:spacing w:val="40"/>
          <w:sz w:val="21"/>
        </w:rPr>
        <w:t> </w:t>
      </w:r>
      <w:r>
        <w:rPr>
          <w:sz w:val="21"/>
        </w:rPr>
        <w:t>change</w:t>
      </w:r>
      <w:r>
        <w:rPr>
          <w:spacing w:val="40"/>
          <w:sz w:val="21"/>
        </w:rPr>
        <w:t> </w:t>
      </w:r>
      <w:r>
        <w:rPr>
          <w:sz w:val="21"/>
        </w:rPr>
        <w:t>thereof,</w:t>
      </w:r>
      <w:r>
        <w:rPr>
          <w:spacing w:val="40"/>
          <w:sz w:val="21"/>
        </w:rPr>
        <w:t> </w:t>
      </w:r>
      <w:r>
        <w:rPr>
          <w:sz w:val="21"/>
        </w:rPr>
        <w:t>namely</w:t>
      </w:r>
      <w:r>
        <w:rPr>
          <w:spacing w:val="40"/>
          <w:sz w:val="21"/>
        </w:rPr>
        <w:t> </w:t>
      </w:r>
      <w:r>
        <w:rPr>
          <w:sz w:val="21"/>
        </w:rPr>
        <w:t>involving</w:t>
      </w:r>
      <w:r>
        <w:rPr>
          <w:spacing w:val="40"/>
          <w:sz w:val="21"/>
        </w:rPr>
        <w:t> </w:t>
      </w:r>
      <w:r>
        <w:rPr>
          <w:sz w:val="21"/>
        </w:rPr>
        <w:t>temporary</w:t>
      </w:r>
      <w:r>
        <w:rPr>
          <w:spacing w:val="40"/>
          <w:sz w:val="21"/>
        </w:rPr>
        <w:t> </w:t>
      </w:r>
      <w:r>
        <w:rPr>
          <w:sz w:val="21"/>
        </w:rPr>
        <w:t>or</w:t>
      </w:r>
      <w:r>
        <w:rPr>
          <w:spacing w:val="40"/>
          <w:sz w:val="21"/>
        </w:rPr>
        <w:t> </w:t>
      </w:r>
      <w:r>
        <w:rPr>
          <w:sz w:val="21"/>
        </w:rPr>
        <w:t>definite</w:t>
      </w:r>
      <w:r>
        <w:rPr>
          <w:spacing w:val="40"/>
          <w:sz w:val="21"/>
        </w:rPr>
        <w:t> </w:t>
      </w:r>
      <w:r>
        <w:rPr>
          <w:sz w:val="21"/>
        </w:rPr>
        <w:t>replacement</w:t>
      </w:r>
      <w:r>
        <w:rPr>
          <w:spacing w:val="40"/>
          <w:sz w:val="21"/>
        </w:rPr>
        <w:t> </w:t>
      </w:r>
      <w:r>
        <w:rPr>
          <w:sz w:val="21"/>
        </w:rPr>
        <w:t>of</w:t>
      </w:r>
      <w:r>
        <w:rPr>
          <w:spacing w:val="40"/>
          <w:sz w:val="21"/>
        </w:rPr>
        <w:t> </w:t>
      </w:r>
      <w:r>
        <w:rPr>
          <w:sz w:val="21"/>
        </w:rPr>
        <w:t>the Managing</w:t>
      </w:r>
      <w:r>
        <w:rPr>
          <w:spacing w:val="40"/>
          <w:sz w:val="21"/>
        </w:rPr>
        <w:t> </w:t>
      </w:r>
      <w:r>
        <w:rPr>
          <w:sz w:val="21"/>
        </w:rPr>
        <w:t>Director,</w:t>
      </w:r>
      <w:r>
        <w:rPr>
          <w:spacing w:val="40"/>
          <w:sz w:val="21"/>
        </w:rPr>
        <w:t> </w:t>
      </w:r>
      <w:r>
        <w:rPr>
          <w:sz w:val="21"/>
        </w:rPr>
        <w:t>is</w:t>
      </w:r>
      <w:r>
        <w:rPr>
          <w:spacing w:val="40"/>
          <w:sz w:val="21"/>
        </w:rPr>
        <w:t> </w:t>
      </w:r>
      <w:r>
        <w:rPr>
          <w:sz w:val="21"/>
        </w:rPr>
        <w:t>subject</w:t>
      </w:r>
      <w:r>
        <w:rPr>
          <w:spacing w:val="40"/>
          <w:sz w:val="21"/>
        </w:rPr>
        <w:t> </w:t>
      </w:r>
      <w:r>
        <w:rPr>
          <w:sz w:val="21"/>
        </w:rPr>
        <w:t>to</w:t>
      </w:r>
      <w:r>
        <w:rPr>
          <w:spacing w:val="40"/>
          <w:sz w:val="21"/>
        </w:rPr>
        <w:t> </w:t>
      </w:r>
      <w:r>
        <w:rPr>
          <w:sz w:val="21"/>
        </w:rPr>
        <w:t>the</w:t>
      </w:r>
      <w:r>
        <w:rPr>
          <w:spacing w:val="40"/>
          <w:sz w:val="21"/>
        </w:rPr>
        <w:t> </w:t>
      </w:r>
      <w:r>
        <w:rPr>
          <w:sz w:val="21"/>
        </w:rPr>
        <w:t>Chief</w:t>
      </w:r>
      <w:r>
        <w:rPr>
          <w:spacing w:val="40"/>
          <w:sz w:val="21"/>
        </w:rPr>
        <w:t> </w:t>
      </w:r>
      <w:r>
        <w:rPr>
          <w:sz w:val="21"/>
        </w:rPr>
        <w:t>Executive's</w:t>
      </w:r>
      <w:r>
        <w:rPr>
          <w:spacing w:val="40"/>
          <w:sz w:val="21"/>
        </w:rPr>
        <w:t> </w:t>
      </w:r>
      <w:r>
        <w:rPr>
          <w:sz w:val="21"/>
        </w:rPr>
        <w:t>authorization,</w:t>
      </w:r>
      <w:r>
        <w:rPr>
          <w:spacing w:val="40"/>
          <w:sz w:val="21"/>
        </w:rPr>
        <w:t> </w:t>
      </w:r>
      <w:r>
        <w:rPr>
          <w:sz w:val="21"/>
        </w:rPr>
        <w:t>under</w:t>
      </w:r>
      <w:r>
        <w:rPr>
          <w:spacing w:val="40"/>
          <w:sz w:val="21"/>
        </w:rPr>
        <w:t> </w:t>
      </w:r>
      <w:r>
        <w:rPr>
          <w:sz w:val="21"/>
        </w:rPr>
        <w:t>penalty</w:t>
      </w:r>
      <w:r>
        <w:rPr>
          <w:spacing w:val="40"/>
          <w:sz w:val="21"/>
        </w:rPr>
        <w:t> </w:t>
      </w:r>
      <w:r>
        <w:rPr>
          <w:sz w:val="21"/>
        </w:rPr>
        <w:t>of</w:t>
      </w:r>
      <w:r>
        <w:rPr>
          <w:spacing w:val="40"/>
          <w:sz w:val="21"/>
        </w:rPr>
        <w:t> </w:t>
      </w:r>
      <w:r>
        <w:rPr>
          <w:sz w:val="21"/>
        </w:rPr>
        <w:t>nullity.</w:t>
      </w:r>
      <w:r>
        <w:rPr>
          <w:spacing w:val="40"/>
          <w:sz w:val="21"/>
        </w:rPr>
        <w:t> </w:t>
      </w:r>
      <w:r>
        <w:rPr>
          <w:sz w:val="21"/>
        </w:rPr>
        <w:t>For</w:t>
      </w:r>
      <w:r>
        <w:rPr>
          <w:spacing w:val="40"/>
          <w:sz w:val="21"/>
        </w:rPr>
        <w:t> </w:t>
      </w:r>
      <w:r>
        <w:rPr>
          <w:sz w:val="21"/>
        </w:rPr>
        <w:t>this</w:t>
      </w:r>
      <w:r>
        <w:rPr>
          <w:spacing w:val="40"/>
          <w:sz w:val="21"/>
        </w:rPr>
        <w:t> </w:t>
      </w:r>
      <w:r>
        <w:rPr>
          <w:sz w:val="21"/>
        </w:rPr>
        <w:t>scope,</w:t>
      </w:r>
      <w:r>
        <w:rPr>
          <w:spacing w:val="40"/>
          <w:sz w:val="21"/>
        </w:rPr>
        <w:t> </w:t>
      </w:r>
      <w:r>
        <w:rPr>
          <w:sz w:val="21"/>
        </w:rPr>
        <w:t>the</w:t>
      </w:r>
      <w:r>
        <w:rPr>
          <w:spacing w:val="40"/>
          <w:sz w:val="21"/>
        </w:rPr>
        <w:t> </w:t>
      </w:r>
      <w:r>
        <w:rPr>
          <w:sz w:val="21"/>
        </w:rPr>
        <w:t>Concessionaire shall send DICJ a draft of the resolution of its board of directors containing the proposed delegation of the Concessionaire’s management,</w:t>
      </w:r>
      <w:r>
        <w:rPr>
          <w:spacing w:val="40"/>
          <w:sz w:val="21"/>
        </w:rPr>
        <w:t> </w:t>
      </w:r>
      <w:r>
        <w:rPr>
          <w:sz w:val="21"/>
        </w:rPr>
        <w:t>including</w:t>
      </w:r>
      <w:r>
        <w:rPr>
          <w:spacing w:val="40"/>
          <w:sz w:val="21"/>
        </w:rPr>
        <w:t> </w:t>
      </w:r>
      <w:r>
        <w:rPr>
          <w:sz w:val="21"/>
        </w:rPr>
        <w:t>the</w:t>
      </w:r>
      <w:r>
        <w:rPr>
          <w:spacing w:val="40"/>
          <w:sz w:val="21"/>
        </w:rPr>
        <w:t> </w:t>
      </w:r>
      <w:r>
        <w:rPr>
          <w:sz w:val="21"/>
        </w:rPr>
        <w:t>identification</w:t>
      </w:r>
      <w:r>
        <w:rPr>
          <w:spacing w:val="40"/>
          <w:sz w:val="21"/>
        </w:rPr>
        <w:t> </w:t>
      </w:r>
      <w:r>
        <w:rPr>
          <w:sz w:val="21"/>
        </w:rPr>
        <w:t>of</w:t>
      </w:r>
      <w:r>
        <w:rPr>
          <w:spacing w:val="40"/>
          <w:sz w:val="21"/>
        </w:rPr>
        <w:t> </w:t>
      </w:r>
      <w:r>
        <w:rPr>
          <w:sz w:val="21"/>
        </w:rPr>
        <w:t>the</w:t>
      </w:r>
      <w:r>
        <w:rPr>
          <w:spacing w:val="40"/>
          <w:sz w:val="21"/>
        </w:rPr>
        <w:t> </w:t>
      </w:r>
      <w:r>
        <w:rPr>
          <w:sz w:val="21"/>
        </w:rPr>
        <w:t>Managing</w:t>
      </w:r>
      <w:r>
        <w:rPr>
          <w:spacing w:val="40"/>
          <w:sz w:val="21"/>
        </w:rPr>
        <w:t> </w:t>
      </w:r>
      <w:r>
        <w:rPr>
          <w:sz w:val="21"/>
        </w:rPr>
        <w:t>Director,</w:t>
      </w:r>
      <w:r>
        <w:rPr>
          <w:spacing w:val="40"/>
          <w:sz w:val="21"/>
        </w:rPr>
        <w:t> </w:t>
      </w:r>
      <w:r>
        <w:rPr>
          <w:sz w:val="21"/>
        </w:rPr>
        <w:t>the</w:t>
      </w:r>
      <w:r>
        <w:rPr>
          <w:spacing w:val="40"/>
          <w:sz w:val="21"/>
        </w:rPr>
        <w:t> </w:t>
      </w:r>
      <w:r>
        <w:rPr>
          <w:sz w:val="21"/>
        </w:rPr>
        <w:t>scope</w:t>
      </w:r>
      <w:r>
        <w:rPr>
          <w:spacing w:val="40"/>
          <w:sz w:val="21"/>
        </w:rPr>
        <w:t> </w:t>
      </w:r>
      <w:r>
        <w:rPr>
          <w:sz w:val="21"/>
        </w:rPr>
        <w:t>of</w:t>
      </w:r>
      <w:r>
        <w:rPr>
          <w:spacing w:val="40"/>
          <w:sz w:val="21"/>
        </w:rPr>
        <w:t> </w:t>
      </w:r>
      <w:r>
        <w:rPr>
          <w:sz w:val="21"/>
        </w:rPr>
        <w:t>his/her</w:t>
      </w:r>
      <w:r>
        <w:rPr>
          <w:spacing w:val="40"/>
          <w:sz w:val="21"/>
        </w:rPr>
        <w:t> </w:t>
      </w:r>
      <w:r>
        <w:rPr>
          <w:sz w:val="21"/>
        </w:rPr>
        <w:t>powers,</w:t>
      </w:r>
      <w:r>
        <w:rPr>
          <w:spacing w:val="40"/>
          <w:sz w:val="21"/>
        </w:rPr>
        <w:t> </w:t>
      </w:r>
      <w:r>
        <w:rPr>
          <w:sz w:val="21"/>
        </w:rPr>
        <w:t>the</w:t>
      </w:r>
      <w:r>
        <w:rPr>
          <w:spacing w:val="40"/>
          <w:sz w:val="21"/>
        </w:rPr>
        <w:t> </w:t>
      </w:r>
      <w:r>
        <w:rPr>
          <w:sz w:val="21"/>
        </w:rPr>
        <w:t>term</w:t>
      </w:r>
      <w:r>
        <w:rPr>
          <w:spacing w:val="40"/>
          <w:sz w:val="21"/>
        </w:rPr>
        <w:t> </w:t>
      </w:r>
      <w:r>
        <w:rPr>
          <w:sz w:val="21"/>
        </w:rPr>
        <w:t>of</w:t>
      </w:r>
      <w:r>
        <w:rPr>
          <w:spacing w:val="40"/>
          <w:sz w:val="21"/>
        </w:rPr>
        <w:t> </w:t>
      </w:r>
      <w:r>
        <w:rPr>
          <w:sz w:val="21"/>
        </w:rPr>
        <w:t>the</w:t>
      </w:r>
      <w:r>
        <w:rPr>
          <w:spacing w:val="40"/>
          <w:sz w:val="21"/>
        </w:rPr>
        <w:t> </w:t>
      </w:r>
      <w:r>
        <w:rPr>
          <w:sz w:val="21"/>
        </w:rPr>
        <w:t>appointment, references concerning replacements in situations of impediment, as well as any resolution relating to the temporary or definitive replacement of the Managing Director.</w:t>
      </w:r>
    </w:p>
    <w:p>
      <w:pPr>
        <w:pStyle w:val="BodyText"/>
        <w:spacing w:before="157"/>
        <w:rPr>
          <w:sz w:val="21"/>
        </w:rPr>
      </w:pPr>
    </w:p>
    <w:p>
      <w:pPr>
        <w:spacing w:line="213" w:lineRule="auto" w:before="0"/>
        <w:ind w:left="144" w:right="118" w:firstLine="0"/>
        <w:jc w:val="both"/>
        <w:rPr>
          <w:sz w:val="21"/>
        </w:rPr>
      </w:pPr>
      <w:r>
        <w:rPr>
          <w:i/>
          <w:sz w:val="21"/>
        </w:rPr>
        <w:t>Four</w:t>
      </w:r>
      <w:r>
        <w:rPr>
          <w:sz w:val="21"/>
        </w:rPr>
        <w:t>. In the event the Government does not approve any or some of the terms of the appointment referred to in the </w:t>
      </w:r>
      <w:r>
        <w:rPr>
          <w:sz w:val="21"/>
        </w:rPr>
        <w:t>preceding</w:t>
      </w:r>
      <w:r>
        <w:rPr>
          <w:spacing w:val="80"/>
          <w:w w:val="150"/>
          <w:sz w:val="21"/>
        </w:rPr>
        <w:t> </w:t>
      </w:r>
      <w:r>
        <w:rPr>
          <w:sz w:val="21"/>
        </w:rPr>
        <w:t>paragraph, the Concessionaire undertakes to send the Government a new draft resolution within 15 days of notification of non- acceptance and, in the event the person indicated is not accepted, a copy of Annex II to Administrative Regulation No. 26/2001 duly completed by the new Managing Director.</w:t>
      </w:r>
    </w:p>
    <w:p>
      <w:pPr>
        <w:pStyle w:val="BodyText"/>
        <w:spacing w:before="168"/>
        <w:rPr>
          <w:sz w:val="21"/>
        </w:rPr>
      </w:pPr>
    </w:p>
    <w:p>
      <w:pPr>
        <w:spacing w:line="213" w:lineRule="auto" w:before="0"/>
        <w:ind w:left="144" w:right="118" w:firstLine="0"/>
        <w:jc w:val="both"/>
        <w:rPr>
          <w:sz w:val="21"/>
        </w:rPr>
      </w:pPr>
      <w:r>
        <w:rPr>
          <w:i/>
          <w:sz w:val="21"/>
        </w:rPr>
        <w:t>Five</w:t>
      </w:r>
      <w:r>
        <w:rPr>
          <w:sz w:val="21"/>
        </w:rPr>
        <w:t>. The</w:t>
      </w:r>
      <w:r>
        <w:rPr>
          <w:spacing w:val="34"/>
          <w:sz w:val="21"/>
        </w:rPr>
        <w:t> </w:t>
      </w:r>
      <w:r>
        <w:rPr>
          <w:sz w:val="21"/>
        </w:rPr>
        <w:t>Concessionaire</w:t>
      </w:r>
      <w:r>
        <w:rPr>
          <w:spacing w:val="34"/>
          <w:sz w:val="21"/>
        </w:rPr>
        <w:t> </w:t>
      </w:r>
      <w:r>
        <w:rPr>
          <w:sz w:val="21"/>
        </w:rPr>
        <w:t>agrees</w:t>
      </w:r>
      <w:r>
        <w:rPr>
          <w:spacing w:val="34"/>
          <w:sz w:val="21"/>
        </w:rPr>
        <w:t> </w:t>
      </w:r>
      <w:r>
        <w:rPr>
          <w:sz w:val="21"/>
        </w:rPr>
        <w:t>not</w:t>
      </w:r>
      <w:r>
        <w:rPr>
          <w:spacing w:val="34"/>
          <w:sz w:val="21"/>
        </w:rPr>
        <w:t> </w:t>
      </w:r>
      <w:r>
        <w:rPr>
          <w:sz w:val="21"/>
        </w:rPr>
        <w:t>to</w:t>
      </w:r>
      <w:r>
        <w:rPr>
          <w:spacing w:val="34"/>
          <w:sz w:val="21"/>
        </w:rPr>
        <w:t> </w:t>
      </w:r>
      <w:r>
        <w:rPr>
          <w:sz w:val="21"/>
        </w:rPr>
        <w:t>issue</w:t>
      </w:r>
      <w:r>
        <w:rPr>
          <w:spacing w:val="34"/>
          <w:sz w:val="21"/>
        </w:rPr>
        <w:t> </w:t>
      </w:r>
      <w:r>
        <w:rPr>
          <w:sz w:val="21"/>
        </w:rPr>
        <w:t>any</w:t>
      </w:r>
      <w:r>
        <w:rPr>
          <w:spacing w:val="34"/>
          <w:sz w:val="21"/>
        </w:rPr>
        <w:t> </w:t>
      </w:r>
      <w:r>
        <w:rPr>
          <w:sz w:val="21"/>
        </w:rPr>
        <w:t>mandates</w:t>
      </w:r>
      <w:r>
        <w:rPr>
          <w:spacing w:val="34"/>
          <w:sz w:val="21"/>
        </w:rPr>
        <w:t> </w:t>
      </w:r>
      <w:r>
        <w:rPr>
          <w:sz w:val="21"/>
        </w:rPr>
        <w:t>or</w:t>
      </w:r>
      <w:r>
        <w:rPr>
          <w:spacing w:val="34"/>
          <w:sz w:val="21"/>
        </w:rPr>
        <w:t> </w:t>
      </w:r>
      <w:r>
        <w:rPr>
          <w:sz w:val="21"/>
        </w:rPr>
        <w:t>powers</w:t>
      </w:r>
      <w:r>
        <w:rPr>
          <w:spacing w:val="34"/>
          <w:sz w:val="21"/>
        </w:rPr>
        <w:t> </w:t>
      </w:r>
      <w:r>
        <w:rPr>
          <w:sz w:val="21"/>
        </w:rPr>
        <w:t>of</w:t>
      </w:r>
      <w:r>
        <w:rPr>
          <w:spacing w:val="34"/>
          <w:sz w:val="21"/>
        </w:rPr>
        <w:t> </w:t>
      </w:r>
      <w:r>
        <w:rPr>
          <w:sz w:val="21"/>
        </w:rPr>
        <w:t>attorney</w:t>
      </w:r>
      <w:r>
        <w:rPr>
          <w:spacing w:val="34"/>
          <w:sz w:val="21"/>
        </w:rPr>
        <w:t> </w:t>
      </w:r>
      <w:r>
        <w:rPr>
          <w:sz w:val="21"/>
        </w:rPr>
        <w:t>that,</w:t>
      </w:r>
      <w:r>
        <w:rPr>
          <w:spacing w:val="34"/>
          <w:sz w:val="21"/>
        </w:rPr>
        <w:t> </w:t>
      </w:r>
      <w:r>
        <w:rPr>
          <w:sz w:val="21"/>
        </w:rPr>
        <w:t>on</w:t>
      </w:r>
      <w:r>
        <w:rPr>
          <w:spacing w:val="34"/>
          <w:sz w:val="21"/>
        </w:rPr>
        <w:t> </w:t>
      </w:r>
      <w:r>
        <w:rPr>
          <w:sz w:val="21"/>
        </w:rPr>
        <w:t>the</w:t>
      </w:r>
      <w:r>
        <w:rPr>
          <w:spacing w:val="34"/>
          <w:sz w:val="21"/>
        </w:rPr>
        <w:t> </w:t>
      </w:r>
      <w:r>
        <w:rPr>
          <w:sz w:val="21"/>
        </w:rPr>
        <w:t>basis</w:t>
      </w:r>
      <w:r>
        <w:rPr>
          <w:spacing w:val="34"/>
          <w:sz w:val="21"/>
        </w:rPr>
        <w:t> </w:t>
      </w:r>
      <w:r>
        <w:rPr>
          <w:sz w:val="21"/>
        </w:rPr>
        <w:t>of</w:t>
      </w:r>
      <w:r>
        <w:rPr>
          <w:spacing w:val="34"/>
          <w:sz w:val="21"/>
        </w:rPr>
        <w:t> </w:t>
      </w:r>
      <w:r>
        <w:rPr>
          <w:sz w:val="21"/>
        </w:rPr>
        <w:t>a</w:t>
      </w:r>
      <w:r>
        <w:rPr>
          <w:spacing w:val="34"/>
          <w:sz w:val="21"/>
        </w:rPr>
        <w:t> </w:t>
      </w:r>
      <w:r>
        <w:rPr>
          <w:sz w:val="21"/>
        </w:rPr>
        <w:t>stable</w:t>
      </w:r>
      <w:r>
        <w:rPr>
          <w:spacing w:val="34"/>
          <w:sz w:val="21"/>
        </w:rPr>
        <w:t> </w:t>
      </w:r>
      <w:r>
        <w:rPr>
          <w:sz w:val="21"/>
        </w:rPr>
        <w:t>relationship,</w:t>
      </w:r>
      <w:r>
        <w:rPr>
          <w:spacing w:val="34"/>
          <w:sz w:val="21"/>
        </w:rPr>
        <w:t> </w:t>
      </w:r>
      <w:r>
        <w:rPr>
          <w:sz w:val="21"/>
        </w:rPr>
        <w:t>grant powers which belong to the board of directors to conduct business relating to the exercise of the company on behalf of the Concessionaire,</w:t>
      </w:r>
      <w:r>
        <w:rPr>
          <w:spacing w:val="40"/>
          <w:sz w:val="21"/>
        </w:rPr>
        <w:t> </w:t>
      </w:r>
      <w:r>
        <w:rPr>
          <w:sz w:val="21"/>
        </w:rPr>
        <w:t>with</w:t>
      </w:r>
      <w:r>
        <w:rPr>
          <w:spacing w:val="40"/>
          <w:sz w:val="21"/>
        </w:rPr>
        <w:t> </w:t>
      </w:r>
      <w:r>
        <w:rPr>
          <w:sz w:val="21"/>
        </w:rPr>
        <w:t>the</w:t>
      </w:r>
      <w:r>
        <w:rPr>
          <w:spacing w:val="40"/>
          <w:sz w:val="21"/>
        </w:rPr>
        <w:t> </w:t>
      </w:r>
      <w:r>
        <w:rPr>
          <w:sz w:val="21"/>
        </w:rPr>
        <w:t>exception</w:t>
      </w:r>
      <w:r>
        <w:rPr>
          <w:spacing w:val="40"/>
          <w:sz w:val="21"/>
        </w:rPr>
        <w:t> </w:t>
      </w:r>
      <w:r>
        <w:rPr>
          <w:sz w:val="21"/>
        </w:rPr>
        <w:t>of</w:t>
      </w:r>
      <w:r>
        <w:rPr>
          <w:spacing w:val="40"/>
          <w:sz w:val="21"/>
        </w:rPr>
        <w:t> </w:t>
      </w:r>
      <w:r>
        <w:rPr>
          <w:sz w:val="21"/>
        </w:rPr>
        <w:t>powers</w:t>
      </w:r>
      <w:r>
        <w:rPr>
          <w:spacing w:val="40"/>
          <w:sz w:val="21"/>
        </w:rPr>
        <w:t> </w:t>
      </w:r>
      <w:r>
        <w:rPr>
          <w:sz w:val="21"/>
        </w:rPr>
        <w:t>to</w:t>
      </w:r>
      <w:r>
        <w:rPr>
          <w:spacing w:val="40"/>
          <w:sz w:val="21"/>
        </w:rPr>
        <w:t> </w:t>
      </w:r>
      <w:r>
        <w:rPr>
          <w:sz w:val="21"/>
        </w:rPr>
        <w:t>carry</w:t>
      </w:r>
      <w:r>
        <w:rPr>
          <w:spacing w:val="40"/>
          <w:sz w:val="21"/>
        </w:rPr>
        <w:t> </w:t>
      </w:r>
      <w:r>
        <w:rPr>
          <w:sz w:val="21"/>
        </w:rPr>
        <w:t>out</w:t>
      </w:r>
      <w:r>
        <w:rPr>
          <w:spacing w:val="40"/>
          <w:sz w:val="21"/>
        </w:rPr>
        <w:t> </w:t>
      </w:r>
      <w:r>
        <w:rPr>
          <w:sz w:val="21"/>
        </w:rPr>
        <w:t>merely</w:t>
      </w:r>
      <w:r>
        <w:rPr>
          <w:spacing w:val="40"/>
          <w:sz w:val="21"/>
        </w:rPr>
        <w:t> </w:t>
      </w:r>
      <w:r>
        <w:rPr>
          <w:sz w:val="21"/>
        </w:rPr>
        <w:t>expedient</w:t>
      </w:r>
      <w:r>
        <w:rPr>
          <w:spacing w:val="40"/>
          <w:sz w:val="21"/>
        </w:rPr>
        <w:t> </w:t>
      </w:r>
      <w:r>
        <w:rPr>
          <w:sz w:val="21"/>
        </w:rPr>
        <w:t>acts,</w:t>
      </w:r>
      <w:r>
        <w:rPr>
          <w:spacing w:val="40"/>
          <w:sz w:val="21"/>
        </w:rPr>
        <w:t> </w:t>
      </w:r>
      <w:r>
        <w:rPr>
          <w:sz w:val="21"/>
        </w:rPr>
        <w:t>namely</w:t>
      </w:r>
      <w:r>
        <w:rPr>
          <w:spacing w:val="40"/>
          <w:sz w:val="21"/>
        </w:rPr>
        <w:t> </w:t>
      </w:r>
      <w:r>
        <w:rPr>
          <w:sz w:val="21"/>
        </w:rPr>
        <w:t>at</w:t>
      </w:r>
      <w:r>
        <w:rPr>
          <w:spacing w:val="40"/>
          <w:sz w:val="21"/>
        </w:rPr>
        <w:t> </w:t>
      </w:r>
      <w:r>
        <w:rPr>
          <w:sz w:val="21"/>
        </w:rPr>
        <w:t>public</w:t>
      </w:r>
      <w:r>
        <w:rPr>
          <w:spacing w:val="40"/>
          <w:sz w:val="21"/>
        </w:rPr>
        <w:t> </w:t>
      </w:r>
      <w:r>
        <w:rPr>
          <w:sz w:val="21"/>
        </w:rPr>
        <w:t>offices</w:t>
      </w:r>
      <w:r>
        <w:rPr>
          <w:spacing w:val="40"/>
          <w:sz w:val="21"/>
        </w:rPr>
        <w:t> </w:t>
      </w:r>
      <w:r>
        <w:rPr>
          <w:sz w:val="21"/>
        </w:rPr>
        <w:t>or</w:t>
      </w:r>
      <w:r>
        <w:rPr>
          <w:spacing w:val="40"/>
          <w:sz w:val="21"/>
        </w:rPr>
        <w:t> </w:t>
      </w:r>
      <w:r>
        <w:rPr>
          <w:sz w:val="21"/>
        </w:rPr>
        <w:t>services,</w:t>
      </w:r>
      <w:r>
        <w:rPr>
          <w:spacing w:val="40"/>
          <w:sz w:val="21"/>
        </w:rPr>
        <w:t> </w:t>
      </w:r>
      <w:r>
        <w:rPr>
          <w:sz w:val="21"/>
        </w:rPr>
        <w:t>unless authorized by the Government.</w:t>
      </w:r>
    </w:p>
    <w:p>
      <w:pPr>
        <w:pStyle w:val="BodyText"/>
        <w:spacing w:before="133"/>
        <w:rPr>
          <w:sz w:val="21"/>
        </w:rPr>
      </w:pPr>
    </w:p>
    <w:p>
      <w:pPr>
        <w:spacing w:before="0"/>
        <w:ind w:left="24" w:right="0" w:firstLine="0"/>
        <w:jc w:val="center"/>
        <w:rPr>
          <w:b/>
          <w:sz w:val="21"/>
        </w:rPr>
      </w:pPr>
      <w:r>
        <w:rPr>
          <w:b/>
          <w:sz w:val="21"/>
        </w:rPr>
        <w:t>Clause</w:t>
      </w:r>
      <w:r>
        <w:rPr>
          <w:b/>
          <w:spacing w:val="13"/>
          <w:sz w:val="21"/>
        </w:rPr>
        <w:t> </w:t>
      </w:r>
      <w:r>
        <w:rPr>
          <w:b/>
          <w:spacing w:val="-5"/>
          <w:sz w:val="21"/>
        </w:rPr>
        <w:t>23</w:t>
      </w:r>
    </w:p>
    <w:p>
      <w:pPr>
        <w:spacing w:before="96"/>
        <w:ind w:left="24" w:right="0" w:firstLine="0"/>
        <w:jc w:val="center"/>
        <w:rPr>
          <w:b/>
          <w:sz w:val="21"/>
        </w:rPr>
      </w:pPr>
      <w:r>
        <w:rPr>
          <w:b/>
          <w:sz w:val="21"/>
        </w:rPr>
        <w:t>Sections</w:t>
      </w:r>
      <w:r>
        <w:rPr>
          <w:b/>
          <w:spacing w:val="13"/>
          <w:sz w:val="21"/>
        </w:rPr>
        <w:t> </w:t>
      </w:r>
      <w:r>
        <w:rPr>
          <w:b/>
          <w:sz w:val="21"/>
        </w:rPr>
        <w:t>of</w:t>
      </w:r>
      <w:r>
        <w:rPr>
          <w:b/>
          <w:spacing w:val="14"/>
          <w:sz w:val="21"/>
        </w:rPr>
        <w:t> </w:t>
      </w:r>
      <w:r>
        <w:rPr>
          <w:b/>
          <w:sz w:val="21"/>
        </w:rPr>
        <w:t>association</w:t>
      </w:r>
      <w:r>
        <w:rPr>
          <w:b/>
          <w:spacing w:val="13"/>
          <w:sz w:val="21"/>
        </w:rPr>
        <w:t> </w:t>
      </w:r>
      <w:r>
        <w:rPr>
          <w:b/>
          <w:sz w:val="21"/>
        </w:rPr>
        <w:t>and</w:t>
      </w:r>
      <w:r>
        <w:rPr>
          <w:b/>
          <w:spacing w:val="14"/>
          <w:sz w:val="21"/>
        </w:rPr>
        <w:t> </w:t>
      </w:r>
      <w:r>
        <w:rPr>
          <w:b/>
          <w:sz w:val="21"/>
        </w:rPr>
        <w:t>shareholder</w:t>
      </w:r>
      <w:r>
        <w:rPr>
          <w:b/>
          <w:spacing w:val="9"/>
          <w:sz w:val="21"/>
        </w:rPr>
        <w:t> </w:t>
      </w:r>
      <w:r>
        <w:rPr>
          <w:b/>
          <w:spacing w:val="-2"/>
          <w:sz w:val="21"/>
        </w:rPr>
        <w:t>agreements</w:t>
      </w:r>
    </w:p>
    <w:p>
      <w:pPr>
        <w:spacing w:line="213" w:lineRule="auto" w:before="212"/>
        <w:ind w:left="144" w:right="119" w:firstLine="0"/>
        <w:jc w:val="both"/>
        <w:rPr>
          <w:sz w:val="21"/>
        </w:rPr>
      </w:pPr>
      <w:r>
        <w:rPr>
          <w:i/>
          <w:sz w:val="21"/>
        </w:rPr>
        <w:t>One</w:t>
      </w:r>
      <w:r>
        <w:rPr>
          <w:sz w:val="21"/>
        </w:rPr>
        <w:t>. Any</w:t>
      </w:r>
      <w:r>
        <w:rPr>
          <w:spacing w:val="32"/>
          <w:sz w:val="21"/>
        </w:rPr>
        <w:t> </w:t>
      </w:r>
      <w:r>
        <w:rPr>
          <w:sz w:val="21"/>
        </w:rPr>
        <w:t>change</w:t>
      </w:r>
      <w:r>
        <w:rPr>
          <w:spacing w:val="32"/>
          <w:sz w:val="21"/>
        </w:rPr>
        <w:t> </w:t>
      </w:r>
      <w:r>
        <w:rPr>
          <w:sz w:val="21"/>
        </w:rPr>
        <w:t>to</w:t>
      </w:r>
      <w:r>
        <w:rPr>
          <w:spacing w:val="32"/>
          <w:sz w:val="21"/>
        </w:rPr>
        <w:t> </w:t>
      </w:r>
      <w:r>
        <w:rPr>
          <w:sz w:val="21"/>
        </w:rPr>
        <w:t>the</w:t>
      </w:r>
      <w:r>
        <w:rPr>
          <w:spacing w:val="32"/>
          <w:sz w:val="21"/>
        </w:rPr>
        <w:t> </w:t>
      </w:r>
      <w:r>
        <w:rPr>
          <w:sz w:val="21"/>
        </w:rPr>
        <w:t>Concessionaire’s</w:t>
      </w:r>
      <w:r>
        <w:rPr>
          <w:spacing w:val="32"/>
          <w:sz w:val="21"/>
        </w:rPr>
        <w:t> </w:t>
      </w:r>
      <w:r>
        <w:rPr>
          <w:sz w:val="21"/>
        </w:rPr>
        <w:t>articles</w:t>
      </w:r>
      <w:r>
        <w:rPr>
          <w:spacing w:val="32"/>
          <w:sz w:val="21"/>
        </w:rPr>
        <w:t> </w:t>
      </w:r>
      <w:r>
        <w:rPr>
          <w:sz w:val="21"/>
        </w:rPr>
        <w:t>of</w:t>
      </w:r>
      <w:r>
        <w:rPr>
          <w:spacing w:val="32"/>
          <w:sz w:val="21"/>
        </w:rPr>
        <w:t> </w:t>
      </w:r>
      <w:r>
        <w:rPr>
          <w:sz w:val="21"/>
        </w:rPr>
        <w:t>association</w:t>
      </w:r>
      <w:r>
        <w:rPr>
          <w:spacing w:val="32"/>
          <w:sz w:val="21"/>
        </w:rPr>
        <w:t> </w:t>
      </w:r>
      <w:r>
        <w:rPr>
          <w:sz w:val="21"/>
        </w:rPr>
        <w:t>and</w:t>
      </w:r>
      <w:r>
        <w:rPr>
          <w:spacing w:val="32"/>
          <w:sz w:val="21"/>
        </w:rPr>
        <w:t> </w:t>
      </w:r>
      <w:r>
        <w:rPr>
          <w:sz w:val="21"/>
        </w:rPr>
        <w:t>agreements</w:t>
      </w:r>
      <w:r>
        <w:rPr>
          <w:spacing w:val="32"/>
          <w:sz w:val="21"/>
        </w:rPr>
        <w:t> </w:t>
      </w:r>
      <w:r>
        <w:rPr>
          <w:sz w:val="21"/>
        </w:rPr>
        <w:t>between</w:t>
      </w:r>
      <w:r>
        <w:rPr>
          <w:spacing w:val="32"/>
          <w:sz w:val="21"/>
        </w:rPr>
        <w:t> </w:t>
      </w:r>
      <w:r>
        <w:rPr>
          <w:sz w:val="21"/>
        </w:rPr>
        <w:t>shareholders</w:t>
      </w:r>
      <w:r>
        <w:rPr>
          <w:spacing w:val="32"/>
          <w:sz w:val="21"/>
        </w:rPr>
        <w:t> </w:t>
      </w:r>
      <w:r>
        <w:rPr>
          <w:sz w:val="21"/>
        </w:rPr>
        <w:t>must</w:t>
      </w:r>
      <w:r>
        <w:rPr>
          <w:spacing w:val="32"/>
          <w:sz w:val="21"/>
        </w:rPr>
        <w:t> </w:t>
      </w:r>
      <w:r>
        <w:rPr>
          <w:sz w:val="21"/>
        </w:rPr>
        <w:t>be</w:t>
      </w:r>
      <w:r>
        <w:rPr>
          <w:spacing w:val="32"/>
          <w:sz w:val="21"/>
        </w:rPr>
        <w:t> </w:t>
      </w:r>
      <w:r>
        <w:rPr>
          <w:sz w:val="21"/>
        </w:rPr>
        <w:t>approved</w:t>
      </w:r>
      <w:r>
        <w:rPr>
          <w:spacing w:val="32"/>
          <w:sz w:val="21"/>
        </w:rPr>
        <w:t> </w:t>
      </w:r>
      <w:r>
        <w:rPr>
          <w:sz w:val="21"/>
        </w:rPr>
        <w:t>by</w:t>
      </w:r>
      <w:r>
        <w:rPr>
          <w:spacing w:val="32"/>
          <w:sz w:val="21"/>
        </w:rPr>
        <w:t> </w:t>
      </w:r>
      <w:r>
        <w:rPr>
          <w:sz w:val="21"/>
        </w:rPr>
        <w:t>DICJ, under penalty of nullity.</w:t>
      </w:r>
    </w:p>
    <w:p>
      <w:pPr>
        <w:pStyle w:val="BodyText"/>
        <w:spacing w:before="193"/>
        <w:rPr>
          <w:sz w:val="21"/>
        </w:rPr>
      </w:pPr>
    </w:p>
    <w:p>
      <w:pPr>
        <w:spacing w:line="213" w:lineRule="auto" w:before="0"/>
        <w:ind w:left="144" w:right="118" w:firstLine="0"/>
        <w:jc w:val="both"/>
        <w:rPr>
          <w:sz w:val="21"/>
        </w:rPr>
      </w:pPr>
      <w:r>
        <w:rPr>
          <w:i/>
          <w:sz w:val="21"/>
        </w:rPr>
        <w:t>Two</w:t>
      </w:r>
      <w:r>
        <w:rPr>
          <w:sz w:val="21"/>
        </w:rPr>
        <w:t>. Any</w:t>
      </w:r>
      <w:r>
        <w:rPr>
          <w:spacing w:val="25"/>
          <w:sz w:val="21"/>
        </w:rPr>
        <w:t> </w:t>
      </w:r>
      <w:r>
        <w:rPr>
          <w:sz w:val="21"/>
        </w:rPr>
        <w:t>proposal</w:t>
      </w:r>
      <w:r>
        <w:rPr>
          <w:spacing w:val="25"/>
          <w:sz w:val="21"/>
        </w:rPr>
        <w:t> </w:t>
      </w:r>
      <w:r>
        <w:rPr>
          <w:sz w:val="21"/>
        </w:rPr>
        <w:t>to</w:t>
      </w:r>
      <w:r>
        <w:rPr>
          <w:spacing w:val="25"/>
          <w:sz w:val="21"/>
        </w:rPr>
        <w:t> </w:t>
      </w:r>
      <w:r>
        <w:rPr>
          <w:sz w:val="21"/>
        </w:rPr>
        <w:t>change</w:t>
      </w:r>
      <w:r>
        <w:rPr>
          <w:spacing w:val="25"/>
          <w:sz w:val="21"/>
        </w:rPr>
        <w:t> </w:t>
      </w:r>
      <w:r>
        <w:rPr>
          <w:sz w:val="21"/>
        </w:rPr>
        <w:t>the</w:t>
      </w:r>
      <w:r>
        <w:rPr>
          <w:spacing w:val="25"/>
          <w:sz w:val="21"/>
        </w:rPr>
        <w:t> </w:t>
      </w:r>
      <w:r>
        <w:rPr>
          <w:sz w:val="21"/>
        </w:rPr>
        <w:t>Concessionaire’s</w:t>
      </w:r>
      <w:r>
        <w:rPr>
          <w:spacing w:val="25"/>
          <w:sz w:val="21"/>
        </w:rPr>
        <w:t> </w:t>
      </w:r>
      <w:r>
        <w:rPr>
          <w:sz w:val="21"/>
        </w:rPr>
        <w:t>articles</w:t>
      </w:r>
      <w:r>
        <w:rPr>
          <w:spacing w:val="25"/>
          <w:sz w:val="21"/>
        </w:rPr>
        <w:t> </w:t>
      </w:r>
      <w:r>
        <w:rPr>
          <w:sz w:val="21"/>
        </w:rPr>
        <w:t>of</w:t>
      </w:r>
      <w:r>
        <w:rPr>
          <w:spacing w:val="25"/>
          <w:sz w:val="21"/>
        </w:rPr>
        <w:t> </w:t>
      </w:r>
      <w:r>
        <w:rPr>
          <w:sz w:val="21"/>
        </w:rPr>
        <w:t>association</w:t>
      </w:r>
      <w:r>
        <w:rPr>
          <w:spacing w:val="25"/>
          <w:sz w:val="21"/>
        </w:rPr>
        <w:t> </w:t>
      </w:r>
      <w:r>
        <w:rPr>
          <w:sz w:val="21"/>
        </w:rPr>
        <w:t>must</w:t>
      </w:r>
      <w:r>
        <w:rPr>
          <w:spacing w:val="25"/>
          <w:sz w:val="21"/>
        </w:rPr>
        <w:t> </w:t>
      </w:r>
      <w:r>
        <w:rPr>
          <w:sz w:val="21"/>
        </w:rPr>
        <w:t>be</w:t>
      </w:r>
      <w:r>
        <w:rPr>
          <w:spacing w:val="25"/>
          <w:sz w:val="21"/>
        </w:rPr>
        <w:t> </w:t>
      </w:r>
      <w:r>
        <w:rPr>
          <w:sz w:val="21"/>
        </w:rPr>
        <w:t>sent</w:t>
      </w:r>
      <w:r>
        <w:rPr>
          <w:spacing w:val="25"/>
          <w:sz w:val="21"/>
        </w:rPr>
        <w:t> </w:t>
      </w:r>
      <w:r>
        <w:rPr>
          <w:sz w:val="21"/>
        </w:rPr>
        <w:t>to</w:t>
      </w:r>
      <w:r>
        <w:rPr>
          <w:spacing w:val="25"/>
          <w:sz w:val="21"/>
        </w:rPr>
        <w:t> </w:t>
      </w:r>
      <w:r>
        <w:rPr>
          <w:sz w:val="21"/>
        </w:rPr>
        <w:t>DICJ</w:t>
      </w:r>
      <w:r>
        <w:rPr>
          <w:spacing w:val="25"/>
          <w:sz w:val="21"/>
        </w:rPr>
        <w:t> </w:t>
      </w:r>
      <w:r>
        <w:rPr>
          <w:sz w:val="21"/>
        </w:rPr>
        <w:t>for</w:t>
      </w:r>
      <w:r>
        <w:rPr>
          <w:spacing w:val="25"/>
          <w:sz w:val="21"/>
        </w:rPr>
        <w:t> </w:t>
      </w:r>
      <w:r>
        <w:rPr>
          <w:sz w:val="21"/>
        </w:rPr>
        <w:t>approval</w:t>
      </w:r>
      <w:r>
        <w:rPr>
          <w:spacing w:val="25"/>
          <w:sz w:val="21"/>
        </w:rPr>
        <w:t> </w:t>
      </w:r>
      <w:r>
        <w:rPr>
          <w:sz w:val="21"/>
        </w:rPr>
        <w:t>at</w:t>
      </w:r>
      <w:r>
        <w:rPr>
          <w:spacing w:val="25"/>
          <w:sz w:val="21"/>
        </w:rPr>
        <w:t> </w:t>
      </w:r>
      <w:r>
        <w:rPr>
          <w:sz w:val="21"/>
        </w:rPr>
        <w:t>least</w:t>
      </w:r>
      <w:r>
        <w:rPr>
          <w:spacing w:val="25"/>
          <w:sz w:val="21"/>
        </w:rPr>
        <w:t> </w:t>
      </w:r>
      <w:r>
        <w:rPr>
          <w:sz w:val="21"/>
        </w:rPr>
        <w:t>30</w:t>
      </w:r>
      <w:r>
        <w:rPr>
          <w:spacing w:val="25"/>
          <w:sz w:val="21"/>
        </w:rPr>
        <w:t> </w:t>
      </w:r>
      <w:r>
        <w:rPr>
          <w:sz w:val="21"/>
        </w:rPr>
        <w:t>days</w:t>
      </w:r>
      <w:r>
        <w:rPr>
          <w:spacing w:val="25"/>
          <w:sz w:val="21"/>
        </w:rPr>
        <w:t> </w:t>
      </w:r>
      <w:r>
        <w:rPr>
          <w:sz w:val="21"/>
        </w:rPr>
        <w:t>before the date of the annual shareholders’ meeting at which the change is to be decided.</w:t>
      </w:r>
    </w:p>
    <w:p>
      <w:pPr>
        <w:pStyle w:val="BodyText"/>
        <w:spacing w:before="71"/>
        <w:rPr>
          <w:sz w:val="21"/>
        </w:rPr>
      </w:pPr>
    </w:p>
    <w:p>
      <w:pPr>
        <w:spacing w:line="213" w:lineRule="auto" w:before="0"/>
        <w:ind w:left="144" w:right="118" w:firstLine="0"/>
        <w:jc w:val="both"/>
        <w:rPr>
          <w:sz w:val="21"/>
        </w:rPr>
      </w:pPr>
      <w:r>
        <w:rPr>
          <w:i/>
          <w:sz w:val="21"/>
        </w:rPr>
        <w:t>Three</w:t>
      </w:r>
      <w:r>
        <w:rPr>
          <w:sz w:val="21"/>
        </w:rPr>
        <w:t>. The Concessionaire undertakes to deliver to DICJ a certified copy of the document containing any change to its articles of association within 30 days of it being voted.</w:t>
      </w:r>
    </w:p>
    <w:p>
      <w:pPr>
        <w:pStyle w:val="BodyText"/>
        <w:spacing w:before="152"/>
        <w:rPr>
          <w:sz w:val="21"/>
        </w:rPr>
      </w:pPr>
    </w:p>
    <w:p>
      <w:pPr>
        <w:spacing w:line="213" w:lineRule="auto" w:before="0"/>
        <w:ind w:left="144" w:right="119" w:firstLine="0"/>
        <w:jc w:val="both"/>
        <w:rPr>
          <w:sz w:val="21"/>
        </w:rPr>
      </w:pPr>
      <w:r>
        <w:rPr>
          <w:i/>
          <w:sz w:val="21"/>
        </w:rPr>
        <w:t>Four</w:t>
      </w:r>
      <w:r>
        <w:rPr>
          <w:sz w:val="21"/>
        </w:rPr>
        <w:t>. The</w:t>
      </w:r>
      <w:r>
        <w:rPr>
          <w:spacing w:val="36"/>
          <w:sz w:val="21"/>
        </w:rPr>
        <w:t> </w:t>
      </w:r>
      <w:r>
        <w:rPr>
          <w:sz w:val="21"/>
        </w:rPr>
        <w:t>Concessionaire</w:t>
      </w:r>
      <w:r>
        <w:rPr>
          <w:spacing w:val="36"/>
          <w:sz w:val="21"/>
        </w:rPr>
        <w:t> </w:t>
      </w:r>
      <w:r>
        <w:rPr>
          <w:sz w:val="21"/>
        </w:rPr>
        <w:t>undertakes</w:t>
      </w:r>
      <w:r>
        <w:rPr>
          <w:spacing w:val="36"/>
          <w:sz w:val="21"/>
        </w:rPr>
        <w:t> </w:t>
      </w:r>
      <w:r>
        <w:rPr>
          <w:sz w:val="21"/>
        </w:rPr>
        <w:t>to</w:t>
      </w:r>
      <w:r>
        <w:rPr>
          <w:spacing w:val="36"/>
          <w:sz w:val="21"/>
        </w:rPr>
        <w:t> </w:t>
      </w:r>
      <w:r>
        <w:rPr>
          <w:sz w:val="21"/>
        </w:rPr>
        <w:t>inform</w:t>
      </w:r>
      <w:r>
        <w:rPr>
          <w:spacing w:val="36"/>
          <w:sz w:val="21"/>
        </w:rPr>
        <w:t> </w:t>
      </w:r>
      <w:r>
        <w:rPr>
          <w:sz w:val="21"/>
        </w:rPr>
        <w:t>DICJ</w:t>
      </w:r>
      <w:r>
        <w:rPr>
          <w:spacing w:val="36"/>
          <w:sz w:val="21"/>
        </w:rPr>
        <w:t> </w:t>
      </w:r>
      <w:r>
        <w:rPr>
          <w:sz w:val="21"/>
        </w:rPr>
        <w:t>of</w:t>
      </w:r>
      <w:r>
        <w:rPr>
          <w:spacing w:val="36"/>
          <w:sz w:val="21"/>
        </w:rPr>
        <w:t> </w:t>
      </w:r>
      <w:r>
        <w:rPr>
          <w:sz w:val="21"/>
        </w:rPr>
        <w:t>any</w:t>
      </w:r>
      <w:r>
        <w:rPr>
          <w:spacing w:val="36"/>
          <w:sz w:val="21"/>
        </w:rPr>
        <w:t> </w:t>
      </w:r>
      <w:r>
        <w:rPr>
          <w:sz w:val="21"/>
        </w:rPr>
        <w:t>shareholder</w:t>
      </w:r>
      <w:r>
        <w:rPr>
          <w:spacing w:val="36"/>
          <w:sz w:val="21"/>
        </w:rPr>
        <w:t> </w:t>
      </w:r>
      <w:r>
        <w:rPr>
          <w:sz w:val="21"/>
        </w:rPr>
        <w:t>agreements</w:t>
      </w:r>
      <w:r>
        <w:rPr>
          <w:spacing w:val="36"/>
          <w:sz w:val="21"/>
        </w:rPr>
        <w:t> </w:t>
      </w:r>
      <w:r>
        <w:rPr>
          <w:sz w:val="21"/>
        </w:rPr>
        <w:t>of</w:t>
      </w:r>
      <w:r>
        <w:rPr>
          <w:spacing w:val="36"/>
          <w:sz w:val="21"/>
        </w:rPr>
        <w:t> </w:t>
      </w:r>
      <w:r>
        <w:rPr>
          <w:sz w:val="21"/>
        </w:rPr>
        <w:t>which</w:t>
      </w:r>
      <w:r>
        <w:rPr>
          <w:spacing w:val="36"/>
          <w:sz w:val="21"/>
        </w:rPr>
        <w:t> </w:t>
      </w:r>
      <w:r>
        <w:rPr>
          <w:sz w:val="21"/>
        </w:rPr>
        <w:t>it</w:t>
      </w:r>
      <w:r>
        <w:rPr>
          <w:spacing w:val="36"/>
          <w:sz w:val="21"/>
        </w:rPr>
        <w:t> </w:t>
      </w:r>
      <w:r>
        <w:rPr>
          <w:sz w:val="21"/>
        </w:rPr>
        <w:t>may</w:t>
      </w:r>
      <w:r>
        <w:rPr>
          <w:spacing w:val="36"/>
          <w:sz w:val="21"/>
        </w:rPr>
        <w:t> </w:t>
      </w:r>
      <w:r>
        <w:rPr>
          <w:sz w:val="21"/>
        </w:rPr>
        <w:t>be</w:t>
      </w:r>
      <w:r>
        <w:rPr>
          <w:spacing w:val="36"/>
          <w:sz w:val="21"/>
        </w:rPr>
        <w:t> </w:t>
      </w:r>
      <w:r>
        <w:rPr>
          <w:sz w:val="21"/>
        </w:rPr>
        <w:t>aware. To</w:t>
      </w:r>
      <w:r>
        <w:rPr>
          <w:spacing w:val="36"/>
          <w:sz w:val="21"/>
        </w:rPr>
        <w:t> </w:t>
      </w:r>
      <w:r>
        <w:rPr>
          <w:sz w:val="21"/>
        </w:rPr>
        <w:t>that</w:t>
      </w:r>
      <w:r>
        <w:rPr>
          <w:spacing w:val="36"/>
          <w:sz w:val="21"/>
        </w:rPr>
        <w:t> </w:t>
      </w:r>
      <w:r>
        <w:rPr>
          <w:sz w:val="21"/>
        </w:rPr>
        <w:t>end,</w:t>
      </w:r>
      <w:r>
        <w:rPr>
          <w:spacing w:val="36"/>
          <w:sz w:val="21"/>
        </w:rPr>
        <w:t> </w:t>
      </w:r>
      <w:r>
        <w:rPr>
          <w:sz w:val="21"/>
        </w:rPr>
        <w:t>and without prejudice to any other measures it may or should take, the Concessionaire undertakes to make enquiries of its shareholders, within the 15 days prior to any annual shareholders’ meeting, or during a general meeting (if not preceded by a convening notice), regarding</w:t>
      </w:r>
      <w:r>
        <w:rPr>
          <w:spacing w:val="40"/>
          <w:sz w:val="21"/>
        </w:rPr>
        <w:t> </w:t>
      </w:r>
      <w:r>
        <w:rPr>
          <w:sz w:val="21"/>
        </w:rPr>
        <w:t>the</w:t>
      </w:r>
      <w:r>
        <w:rPr>
          <w:spacing w:val="40"/>
          <w:sz w:val="21"/>
        </w:rPr>
        <w:t> </w:t>
      </w:r>
      <w:r>
        <w:rPr>
          <w:sz w:val="21"/>
        </w:rPr>
        <w:t>existence</w:t>
      </w:r>
      <w:r>
        <w:rPr>
          <w:spacing w:val="40"/>
          <w:sz w:val="21"/>
        </w:rPr>
        <w:t> </w:t>
      </w:r>
      <w:r>
        <w:rPr>
          <w:sz w:val="21"/>
        </w:rPr>
        <w:t>of</w:t>
      </w:r>
      <w:r>
        <w:rPr>
          <w:spacing w:val="40"/>
          <w:sz w:val="21"/>
        </w:rPr>
        <w:t> </w:t>
      </w:r>
      <w:r>
        <w:rPr>
          <w:sz w:val="21"/>
        </w:rPr>
        <w:t>any</w:t>
      </w:r>
      <w:r>
        <w:rPr>
          <w:spacing w:val="40"/>
          <w:sz w:val="21"/>
        </w:rPr>
        <w:t> </w:t>
      </w:r>
      <w:r>
        <w:rPr>
          <w:sz w:val="21"/>
        </w:rPr>
        <w:t>shareholder</w:t>
      </w:r>
      <w:r>
        <w:rPr>
          <w:spacing w:val="40"/>
          <w:sz w:val="21"/>
        </w:rPr>
        <w:t> </w:t>
      </w:r>
      <w:r>
        <w:rPr>
          <w:sz w:val="21"/>
        </w:rPr>
        <w:t>agreements,</w:t>
      </w:r>
      <w:r>
        <w:rPr>
          <w:spacing w:val="40"/>
          <w:sz w:val="21"/>
        </w:rPr>
        <w:t> </w:t>
      </w:r>
      <w:r>
        <w:rPr>
          <w:sz w:val="21"/>
        </w:rPr>
        <w:t>namely</w:t>
      </w:r>
      <w:r>
        <w:rPr>
          <w:spacing w:val="40"/>
          <w:sz w:val="21"/>
        </w:rPr>
        <w:t> </w:t>
      </w:r>
      <w:r>
        <w:rPr>
          <w:sz w:val="21"/>
        </w:rPr>
        <w:t>those</w:t>
      </w:r>
      <w:r>
        <w:rPr>
          <w:spacing w:val="40"/>
          <w:sz w:val="21"/>
        </w:rPr>
        <w:t> </w:t>
      </w:r>
      <w:r>
        <w:rPr>
          <w:sz w:val="21"/>
        </w:rPr>
        <w:t>relating</w:t>
      </w:r>
      <w:r>
        <w:rPr>
          <w:spacing w:val="40"/>
          <w:sz w:val="21"/>
        </w:rPr>
        <w:t> </w:t>
      </w:r>
      <w:r>
        <w:rPr>
          <w:sz w:val="21"/>
        </w:rPr>
        <w:t>to</w:t>
      </w:r>
      <w:r>
        <w:rPr>
          <w:spacing w:val="40"/>
          <w:sz w:val="21"/>
        </w:rPr>
        <w:t> </w:t>
      </w:r>
      <w:r>
        <w:rPr>
          <w:sz w:val="21"/>
        </w:rPr>
        <w:t>the</w:t>
      </w:r>
      <w:r>
        <w:rPr>
          <w:spacing w:val="40"/>
          <w:sz w:val="21"/>
        </w:rPr>
        <w:t> </w:t>
      </w:r>
      <w:r>
        <w:rPr>
          <w:sz w:val="21"/>
        </w:rPr>
        <w:t>exercise</w:t>
      </w:r>
      <w:r>
        <w:rPr>
          <w:spacing w:val="40"/>
          <w:sz w:val="21"/>
        </w:rPr>
        <w:t> </w:t>
      </w:r>
      <w:r>
        <w:rPr>
          <w:sz w:val="21"/>
        </w:rPr>
        <w:t>of</w:t>
      </w:r>
      <w:r>
        <w:rPr>
          <w:spacing w:val="40"/>
          <w:sz w:val="21"/>
        </w:rPr>
        <w:t> </w:t>
      </w:r>
      <w:r>
        <w:rPr>
          <w:sz w:val="21"/>
        </w:rPr>
        <w:t>voting</w:t>
      </w:r>
      <w:r>
        <w:rPr>
          <w:spacing w:val="40"/>
          <w:sz w:val="21"/>
        </w:rPr>
        <w:t> </w:t>
      </w:r>
      <w:r>
        <w:rPr>
          <w:sz w:val="21"/>
        </w:rPr>
        <w:t>rights</w:t>
      </w:r>
      <w:r>
        <w:rPr>
          <w:spacing w:val="40"/>
          <w:sz w:val="21"/>
        </w:rPr>
        <w:t> </w:t>
      </w:r>
      <w:r>
        <w:rPr>
          <w:sz w:val="21"/>
        </w:rPr>
        <w:t>or</w:t>
      </w:r>
      <w:r>
        <w:rPr>
          <w:spacing w:val="40"/>
          <w:sz w:val="21"/>
        </w:rPr>
        <w:t> </w:t>
      </w:r>
      <w:r>
        <w:rPr>
          <w:sz w:val="21"/>
        </w:rPr>
        <w:t>other</w:t>
      </w:r>
      <w:r>
        <w:rPr>
          <w:spacing w:val="40"/>
          <w:sz w:val="21"/>
        </w:rPr>
        <w:t> </w:t>
      </w:r>
      <w:r>
        <w:rPr>
          <w:sz w:val="21"/>
        </w:rPr>
        <w:t>corporate rights, and to inform DICJ of the results of these enquiries.</w:t>
      </w:r>
    </w:p>
    <w:p>
      <w:pPr>
        <w:pStyle w:val="BodyText"/>
        <w:spacing w:before="74"/>
        <w:rPr>
          <w:sz w:val="21"/>
        </w:rPr>
      </w:pPr>
    </w:p>
    <w:p>
      <w:pPr>
        <w:spacing w:line="213" w:lineRule="auto" w:before="1"/>
        <w:ind w:left="144" w:right="222" w:firstLine="0"/>
        <w:jc w:val="both"/>
        <w:rPr>
          <w:sz w:val="21"/>
        </w:rPr>
      </w:pPr>
      <w:r>
        <w:rPr>
          <w:i/>
          <w:sz w:val="21"/>
        </w:rPr>
        <w:t>Five</w:t>
      </w:r>
      <w:r>
        <w:rPr>
          <w:sz w:val="21"/>
        </w:rPr>
        <w:t>. DICJ undertakes to notify the Concessionaire within 60 days as to whether it approves the change to its statutes, as well as its shareholder agreements.</w:t>
      </w:r>
    </w:p>
    <w:p>
      <w:pPr>
        <w:pStyle w:val="BodyText"/>
        <w:spacing w:before="157"/>
        <w:rPr>
          <w:sz w:val="21"/>
        </w:rPr>
      </w:pPr>
    </w:p>
    <w:p>
      <w:pPr>
        <w:spacing w:before="0"/>
        <w:ind w:left="24" w:right="0" w:firstLine="0"/>
        <w:jc w:val="center"/>
        <w:rPr>
          <w:b/>
          <w:sz w:val="21"/>
        </w:rPr>
      </w:pPr>
      <w:r>
        <w:rPr>
          <w:b/>
          <w:sz w:val="21"/>
        </w:rPr>
        <w:t>Clause</w:t>
      </w:r>
      <w:r>
        <w:rPr>
          <w:b/>
          <w:spacing w:val="13"/>
          <w:sz w:val="21"/>
        </w:rPr>
        <w:t> </w:t>
      </w:r>
      <w:r>
        <w:rPr>
          <w:b/>
          <w:spacing w:val="-5"/>
          <w:sz w:val="21"/>
        </w:rPr>
        <w:t>24</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3"/>
        <w:rPr>
          <w:b/>
          <w:sz w:val="20"/>
        </w:rPr>
      </w:pPr>
      <w:r>
        <w:rPr/>
        <mc:AlternateContent>
          <mc:Choice Requires="wps">
            <w:drawing>
              <wp:anchor distT="0" distB="0" distL="0" distR="0" allowOverlap="1" layoutInCell="1" locked="0" behindDoc="1" simplePos="0" relativeHeight="487770112">
                <wp:simplePos x="0" y="0"/>
                <wp:positionH relativeFrom="page">
                  <wp:posOffset>231457</wp:posOffset>
                </wp:positionH>
                <wp:positionV relativeFrom="paragraph">
                  <wp:posOffset>201282</wp:posOffset>
                </wp:positionV>
                <wp:extent cx="7312659" cy="17145"/>
                <wp:effectExtent l="0" t="0" r="0" b="0"/>
                <wp:wrapTopAndBottom/>
                <wp:docPr id="840" name="Group 840"/>
                <wp:cNvGraphicFramePr>
                  <a:graphicFrameLocks/>
                </wp:cNvGraphicFramePr>
                <a:graphic>
                  <a:graphicData uri="http://schemas.microsoft.com/office/word/2010/wordprocessingGroup">
                    <wpg:wgp>
                      <wpg:cNvPr id="840" name="Group 840"/>
                      <wpg:cNvGrpSpPr/>
                      <wpg:grpSpPr>
                        <a:xfrm>
                          <a:off x="0" y="0"/>
                          <a:ext cx="7312659" cy="17145"/>
                          <a:chExt cx="7312659" cy="17145"/>
                        </a:xfrm>
                      </wpg:grpSpPr>
                      <wps:wsp>
                        <wps:cNvPr id="841" name="Graphic 84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42" name="Graphic 842"/>
                        <wps:cNvSpPr/>
                        <wps:spPr>
                          <a:xfrm>
                            <a:off x="-12" y="-1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43" name="Graphic 84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849024pt;width:575.8pt;height:1.35pt;mso-position-horizontal-relative:page;mso-position-vertical-relative:paragraph;z-index:-15546368;mso-wrap-distance-left:0;mso-wrap-distance-right:0" id="docshapegroup838" coordorigin="364,317" coordsize="11516,27">
                <v:rect style="position:absolute;left:364;top:316;width:11516;height:14" id="docshape839" filled="true" fillcolor="#999999" stroked="false">
                  <v:fill type="solid"/>
                </v:rect>
                <v:shape style="position:absolute;left:364;top:316;width:11516;height:27" id="docshape840" coordorigin="364,317" coordsize="11516,27" path="m11880,317l11866,330,364,330,364,344,11866,344,11880,344,11880,330,11880,317xe" filled="true" fillcolor="#ededed" stroked="false">
                  <v:path arrowok="t"/>
                  <v:fill type="solid"/>
                </v:shape>
                <v:shape style="position:absolute;left:364;top:316;width:14;height:27" id="docshape841" coordorigin="364,317" coordsize="14,27" path="m364,344l364,317,378,317,378,330,364,344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before="69"/>
        <w:ind w:left="24" w:right="0" w:firstLine="0"/>
        <w:jc w:val="center"/>
        <w:rPr>
          <w:b/>
          <w:sz w:val="21"/>
        </w:rPr>
      </w:pPr>
      <w:r>
        <w:rPr>
          <w:b/>
          <w:sz w:val="21"/>
        </w:rPr>
        <w:t>Duty</w:t>
      </w:r>
      <w:r>
        <w:rPr>
          <w:b/>
          <w:spacing w:val="7"/>
          <w:sz w:val="21"/>
        </w:rPr>
        <w:t> </w:t>
      </w:r>
      <w:r>
        <w:rPr>
          <w:b/>
          <w:sz w:val="21"/>
        </w:rPr>
        <w:t>of</w:t>
      </w:r>
      <w:r>
        <w:rPr>
          <w:b/>
          <w:spacing w:val="7"/>
          <w:sz w:val="21"/>
        </w:rPr>
        <w:t> </w:t>
      </w:r>
      <w:r>
        <w:rPr>
          <w:b/>
          <w:spacing w:val="-2"/>
          <w:sz w:val="21"/>
        </w:rPr>
        <w:t>information</w:t>
      </w:r>
    </w:p>
    <w:p>
      <w:pPr>
        <w:pStyle w:val="BodyText"/>
        <w:spacing w:before="51"/>
        <w:rPr>
          <w:b/>
          <w:sz w:val="21"/>
        </w:rPr>
      </w:pPr>
    </w:p>
    <w:p>
      <w:pPr>
        <w:spacing w:line="213" w:lineRule="auto" w:before="0"/>
        <w:ind w:left="144" w:right="0" w:firstLine="0"/>
        <w:jc w:val="left"/>
        <w:rPr>
          <w:sz w:val="21"/>
        </w:rPr>
      </w:pPr>
      <w:r>
        <w:rPr>
          <w:i/>
          <w:sz w:val="21"/>
        </w:rPr>
        <w:t>One</w:t>
      </w:r>
      <w:r>
        <w:rPr>
          <w:sz w:val="21"/>
        </w:rPr>
        <w:t>.</w:t>
      </w:r>
      <w:r>
        <w:rPr>
          <w:spacing w:val="30"/>
          <w:sz w:val="21"/>
        </w:rPr>
        <w:t> </w:t>
      </w:r>
      <w:r>
        <w:rPr>
          <w:sz w:val="21"/>
        </w:rPr>
        <w:t>Without</w:t>
      </w:r>
      <w:r>
        <w:rPr>
          <w:spacing w:val="35"/>
          <w:sz w:val="21"/>
        </w:rPr>
        <w:t> </w:t>
      </w:r>
      <w:r>
        <w:rPr>
          <w:sz w:val="21"/>
        </w:rPr>
        <w:t>prejudice</w:t>
      </w:r>
      <w:r>
        <w:rPr>
          <w:spacing w:val="35"/>
          <w:sz w:val="21"/>
        </w:rPr>
        <w:t> </w:t>
      </w:r>
      <w:r>
        <w:rPr>
          <w:sz w:val="21"/>
        </w:rPr>
        <w:t>to</w:t>
      </w:r>
      <w:r>
        <w:rPr>
          <w:spacing w:val="35"/>
          <w:sz w:val="21"/>
        </w:rPr>
        <w:t> </w:t>
      </w:r>
      <w:r>
        <w:rPr>
          <w:sz w:val="21"/>
        </w:rPr>
        <w:t>any</w:t>
      </w:r>
      <w:r>
        <w:rPr>
          <w:spacing w:val="35"/>
          <w:sz w:val="21"/>
        </w:rPr>
        <w:t> </w:t>
      </w:r>
      <w:r>
        <w:rPr>
          <w:sz w:val="21"/>
        </w:rPr>
        <w:t>other</w:t>
      </w:r>
      <w:r>
        <w:rPr>
          <w:spacing w:val="35"/>
          <w:sz w:val="21"/>
        </w:rPr>
        <w:t> </w:t>
      </w:r>
      <w:r>
        <w:rPr>
          <w:sz w:val="21"/>
        </w:rPr>
        <w:t>duties</w:t>
      </w:r>
      <w:r>
        <w:rPr>
          <w:spacing w:val="35"/>
          <w:sz w:val="21"/>
        </w:rPr>
        <w:t> </w:t>
      </w:r>
      <w:r>
        <w:rPr>
          <w:sz w:val="21"/>
        </w:rPr>
        <w:t>of</w:t>
      </w:r>
      <w:r>
        <w:rPr>
          <w:spacing w:val="35"/>
          <w:sz w:val="21"/>
        </w:rPr>
        <w:t> </w:t>
      </w:r>
      <w:r>
        <w:rPr>
          <w:sz w:val="21"/>
        </w:rPr>
        <w:t>information</w:t>
      </w:r>
      <w:r>
        <w:rPr>
          <w:spacing w:val="35"/>
          <w:sz w:val="21"/>
        </w:rPr>
        <w:t> </w:t>
      </w:r>
      <w:r>
        <w:rPr>
          <w:sz w:val="21"/>
        </w:rPr>
        <w:t>established</w:t>
      </w:r>
      <w:r>
        <w:rPr>
          <w:spacing w:val="35"/>
          <w:sz w:val="21"/>
        </w:rPr>
        <w:t> </w:t>
      </w:r>
      <w:r>
        <w:rPr>
          <w:sz w:val="21"/>
        </w:rPr>
        <w:t>under</w:t>
      </w:r>
      <w:r>
        <w:rPr>
          <w:spacing w:val="35"/>
          <w:sz w:val="21"/>
        </w:rPr>
        <w:t> </w:t>
      </w:r>
      <w:r>
        <w:rPr>
          <w:sz w:val="21"/>
        </w:rPr>
        <w:t>the</w:t>
      </w:r>
      <w:r>
        <w:rPr>
          <w:spacing w:val="35"/>
          <w:sz w:val="21"/>
        </w:rPr>
        <w:t> </w:t>
      </w:r>
      <w:r>
        <w:rPr>
          <w:sz w:val="21"/>
        </w:rPr>
        <w:t>concession’s</w:t>
      </w:r>
      <w:r>
        <w:rPr>
          <w:spacing w:val="35"/>
          <w:sz w:val="21"/>
        </w:rPr>
        <w:t> </w:t>
      </w:r>
      <w:r>
        <w:rPr>
          <w:sz w:val="21"/>
        </w:rPr>
        <w:t>regime</w:t>
      </w:r>
      <w:r>
        <w:rPr>
          <w:spacing w:val="35"/>
          <w:sz w:val="21"/>
        </w:rPr>
        <w:t> </w:t>
      </w:r>
      <w:r>
        <w:rPr>
          <w:sz w:val="21"/>
        </w:rPr>
        <w:t>mentioned</w:t>
      </w:r>
      <w:r>
        <w:rPr>
          <w:spacing w:val="35"/>
          <w:sz w:val="21"/>
        </w:rPr>
        <w:t> </w:t>
      </w:r>
      <w:r>
        <w:rPr>
          <w:sz w:val="21"/>
        </w:rPr>
        <w:t>in</w:t>
      </w:r>
      <w:r>
        <w:rPr>
          <w:spacing w:val="35"/>
          <w:sz w:val="21"/>
        </w:rPr>
        <w:t> </w:t>
      </w:r>
      <w:r>
        <w:rPr>
          <w:sz w:val="21"/>
        </w:rPr>
        <w:t>Clause</w:t>
      </w:r>
      <w:r>
        <w:rPr>
          <w:spacing w:val="35"/>
          <w:sz w:val="21"/>
        </w:rPr>
        <w:t> </w:t>
      </w:r>
      <w:r>
        <w:rPr>
          <w:sz w:val="21"/>
        </w:rPr>
        <w:t>6,</w:t>
      </w:r>
      <w:r>
        <w:rPr>
          <w:spacing w:val="35"/>
          <w:sz w:val="21"/>
        </w:rPr>
        <w:t> </w:t>
      </w:r>
      <w:r>
        <w:rPr>
          <w:sz w:val="21"/>
        </w:rPr>
        <w:t>the Concessionaire undertakes to:</w:t>
      </w:r>
    </w:p>
    <w:p>
      <w:pPr>
        <w:pStyle w:val="BodyText"/>
        <w:spacing w:before="179"/>
        <w:rPr>
          <w:sz w:val="21"/>
        </w:rPr>
      </w:pPr>
    </w:p>
    <w:p>
      <w:pPr>
        <w:pStyle w:val="ListParagraph"/>
        <w:numPr>
          <w:ilvl w:val="0"/>
          <w:numId w:val="29"/>
        </w:numPr>
        <w:tabs>
          <w:tab w:pos="910" w:val="left" w:leader="none"/>
        </w:tabs>
        <w:spacing w:line="213" w:lineRule="auto" w:before="1" w:after="0"/>
        <w:ind w:left="910" w:right="118" w:hanging="256"/>
        <w:jc w:val="both"/>
        <w:rPr>
          <w:sz w:val="21"/>
        </w:rPr>
      </w:pPr>
      <w:r>
        <w:rPr>
          <w:sz w:val="21"/>
        </w:rPr>
        <w:t>Notify DICJ, as soon as possible, of any circumstances that may affect its normal operation, such as those related to its</w:t>
      </w:r>
      <w:r>
        <w:rPr>
          <w:spacing w:val="80"/>
          <w:sz w:val="21"/>
        </w:rPr>
        <w:t> </w:t>
      </w:r>
      <w:r>
        <w:rPr>
          <w:sz w:val="21"/>
        </w:rPr>
        <w:t>liquidity</w:t>
      </w:r>
      <w:r>
        <w:rPr>
          <w:spacing w:val="40"/>
          <w:sz w:val="21"/>
        </w:rPr>
        <w:t> </w:t>
      </w:r>
      <w:r>
        <w:rPr>
          <w:sz w:val="21"/>
        </w:rPr>
        <w:t>or</w:t>
      </w:r>
      <w:r>
        <w:rPr>
          <w:spacing w:val="40"/>
          <w:sz w:val="21"/>
        </w:rPr>
        <w:t> </w:t>
      </w:r>
      <w:r>
        <w:rPr>
          <w:sz w:val="21"/>
        </w:rPr>
        <w:t>solvency,</w:t>
      </w:r>
      <w:r>
        <w:rPr>
          <w:spacing w:val="40"/>
          <w:sz w:val="21"/>
        </w:rPr>
        <w:t> </w:t>
      </w:r>
      <w:r>
        <w:rPr>
          <w:sz w:val="21"/>
        </w:rPr>
        <w:t>the</w:t>
      </w:r>
      <w:r>
        <w:rPr>
          <w:spacing w:val="40"/>
          <w:sz w:val="21"/>
        </w:rPr>
        <w:t> </w:t>
      </w:r>
      <w:r>
        <w:rPr>
          <w:sz w:val="21"/>
        </w:rPr>
        <w:t>existence</w:t>
      </w:r>
      <w:r>
        <w:rPr>
          <w:spacing w:val="40"/>
          <w:sz w:val="21"/>
        </w:rPr>
        <w:t> </w:t>
      </w:r>
      <w:r>
        <w:rPr>
          <w:sz w:val="21"/>
        </w:rPr>
        <w:t>of</w:t>
      </w:r>
      <w:r>
        <w:rPr>
          <w:spacing w:val="40"/>
          <w:sz w:val="21"/>
        </w:rPr>
        <w:t> </w:t>
      </w:r>
      <w:r>
        <w:rPr>
          <w:sz w:val="21"/>
        </w:rPr>
        <w:t>any</w:t>
      </w:r>
      <w:r>
        <w:rPr>
          <w:spacing w:val="40"/>
          <w:sz w:val="21"/>
        </w:rPr>
        <w:t> </w:t>
      </w:r>
      <w:r>
        <w:rPr>
          <w:sz w:val="21"/>
        </w:rPr>
        <w:t>legal</w:t>
      </w:r>
      <w:r>
        <w:rPr>
          <w:spacing w:val="40"/>
          <w:sz w:val="21"/>
        </w:rPr>
        <w:t> </w:t>
      </w:r>
      <w:r>
        <w:rPr>
          <w:sz w:val="21"/>
        </w:rPr>
        <w:t>proceedings</w:t>
      </w:r>
      <w:r>
        <w:rPr>
          <w:spacing w:val="40"/>
          <w:sz w:val="21"/>
        </w:rPr>
        <w:t> </w:t>
      </w:r>
      <w:r>
        <w:rPr>
          <w:sz w:val="21"/>
        </w:rPr>
        <w:t>against</w:t>
      </w:r>
      <w:r>
        <w:rPr>
          <w:spacing w:val="40"/>
          <w:sz w:val="21"/>
        </w:rPr>
        <w:t> </w:t>
      </w:r>
      <w:r>
        <w:rPr>
          <w:sz w:val="21"/>
        </w:rPr>
        <w:t>it</w:t>
      </w:r>
      <w:r>
        <w:rPr>
          <w:spacing w:val="40"/>
          <w:sz w:val="21"/>
        </w:rPr>
        <w:t> </w:t>
      </w:r>
      <w:r>
        <w:rPr>
          <w:sz w:val="21"/>
        </w:rPr>
        <w:t>or</w:t>
      </w:r>
      <w:r>
        <w:rPr>
          <w:spacing w:val="40"/>
          <w:sz w:val="21"/>
        </w:rPr>
        <w:t> </w:t>
      </w:r>
      <w:r>
        <w:rPr>
          <w:sz w:val="21"/>
        </w:rPr>
        <w:t>any</w:t>
      </w:r>
      <w:r>
        <w:rPr>
          <w:spacing w:val="40"/>
          <w:sz w:val="21"/>
        </w:rPr>
        <w:t> </w:t>
      </w:r>
      <w:r>
        <w:rPr>
          <w:sz w:val="21"/>
        </w:rPr>
        <w:t>of</w:t>
      </w:r>
      <w:r>
        <w:rPr>
          <w:spacing w:val="40"/>
          <w:sz w:val="21"/>
        </w:rPr>
        <w:t> </w:t>
      </w:r>
      <w:r>
        <w:rPr>
          <w:sz w:val="21"/>
        </w:rPr>
        <w:t>its</w:t>
      </w:r>
      <w:r>
        <w:rPr>
          <w:spacing w:val="40"/>
          <w:sz w:val="21"/>
        </w:rPr>
        <w:t> </w:t>
      </w:r>
      <w:r>
        <w:rPr>
          <w:sz w:val="21"/>
        </w:rPr>
        <w:t>directors,</w:t>
      </w:r>
      <w:r>
        <w:rPr>
          <w:spacing w:val="40"/>
          <w:sz w:val="21"/>
        </w:rPr>
        <w:t> </w:t>
      </w:r>
      <w:r>
        <w:rPr>
          <w:sz w:val="21"/>
        </w:rPr>
        <w:t>shareholders</w:t>
      </w:r>
      <w:r>
        <w:rPr>
          <w:spacing w:val="40"/>
          <w:sz w:val="21"/>
        </w:rPr>
        <w:t> </w:t>
      </w:r>
      <w:r>
        <w:rPr>
          <w:sz w:val="21"/>
        </w:rPr>
        <w:t>holding</w:t>
      </w:r>
      <w:r>
        <w:rPr>
          <w:spacing w:val="40"/>
          <w:sz w:val="21"/>
        </w:rPr>
        <w:t> </w:t>
      </w:r>
      <w:r>
        <w:rPr>
          <w:sz w:val="21"/>
        </w:rPr>
        <w:t>an amount equal to or greater than 5% of its share capital and its key employees, and any act or fact practiced in its casinos </w:t>
      </w:r>
      <w:r>
        <w:rPr>
          <w:sz w:val="21"/>
        </w:rPr>
        <w:t>and other</w:t>
      </w:r>
      <w:r>
        <w:rPr>
          <w:spacing w:val="27"/>
          <w:sz w:val="21"/>
        </w:rPr>
        <w:t> </w:t>
      </w:r>
      <w:r>
        <w:rPr>
          <w:sz w:val="21"/>
        </w:rPr>
        <w:t>gaming</w:t>
      </w:r>
      <w:r>
        <w:rPr>
          <w:spacing w:val="27"/>
          <w:sz w:val="21"/>
        </w:rPr>
        <w:t> </w:t>
      </w:r>
      <w:r>
        <w:rPr>
          <w:sz w:val="21"/>
        </w:rPr>
        <w:t>areas</w:t>
      </w:r>
      <w:r>
        <w:rPr>
          <w:spacing w:val="27"/>
          <w:sz w:val="21"/>
        </w:rPr>
        <w:t> </w:t>
      </w:r>
      <w:r>
        <w:rPr>
          <w:sz w:val="21"/>
        </w:rPr>
        <w:t>that</w:t>
      </w:r>
      <w:r>
        <w:rPr>
          <w:spacing w:val="27"/>
          <w:sz w:val="21"/>
        </w:rPr>
        <w:t> </w:t>
      </w:r>
      <w:r>
        <w:rPr>
          <w:sz w:val="21"/>
        </w:rPr>
        <w:t>constitutes</w:t>
      </w:r>
      <w:r>
        <w:rPr>
          <w:spacing w:val="27"/>
          <w:sz w:val="21"/>
        </w:rPr>
        <w:t> </w:t>
      </w:r>
      <w:r>
        <w:rPr>
          <w:sz w:val="21"/>
        </w:rPr>
        <w:t>a</w:t>
      </w:r>
      <w:r>
        <w:rPr>
          <w:spacing w:val="27"/>
          <w:sz w:val="21"/>
        </w:rPr>
        <w:t> </w:t>
      </w:r>
      <w:r>
        <w:rPr>
          <w:sz w:val="21"/>
        </w:rPr>
        <w:t>crime,</w:t>
      </w:r>
      <w:r>
        <w:rPr>
          <w:spacing w:val="27"/>
          <w:sz w:val="21"/>
        </w:rPr>
        <w:t> </w:t>
      </w:r>
      <w:r>
        <w:rPr>
          <w:sz w:val="21"/>
        </w:rPr>
        <w:t>misdemeanor</w:t>
      </w:r>
      <w:r>
        <w:rPr>
          <w:spacing w:val="27"/>
          <w:sz w:val="21"/>
        </w:rPr>
        <w:t> </w:t>
      </w:r>
      <w:r>
        <w:rPr>
          <w:sz w:val="21"/>
        </w:rPr>
        <w:t>or</w:t>
      </w:r>
      <w:r>
        <w:rPr>
          <w:spacing w:val="27"/>
          <w:sz w:val="21"/>
        </w:rPr>
        <w:t> </w:t>
      </w:r>
      <w:r>
        <w:rPr>
          <w:sz w:val="21"/>
        </w:rPr>
        <w:t>administrative</w:t>
      </w:r>
      <w:r>
        <w:rPr>
          <w:spacing w:val="27"/>
          <w:sz w:val="21"/>
        </w:rPr>
        <w:t> </w:t>
      </w:r>
      <w:r>
        <w:rPr>
          <w:sz w:val="21"/>
        </w:rPr>
        <w:t>infraction</w:t>
      </w:r>
      <w:r>
        <w:rPr>
          <w:spacing w:val="27"/>
          <w:sz w:val="21"/>
        </w:rPr>
        <w:t> </w:t>
      </w:r>
      <w:r>
        <w:rPr>
          <w:sz w:val="21"/>
        </w:rPr>
        <w:t>of</w:t>
      </w:r>
      <w:r>
        <w:rPr>
          <w:spacing w:val="27"/>
          <w:sz w:val="21"/>
        </w:rPr>
        <w:t> </w:t>
      </w:r>
      <w:r>
        <w:rPr>
          <w:sz w:val="21"/>
        </w:rPr>
        <w:t>which</w:t>
      </w:r>
      <w:r>
        <w:rPr>
          <w:spacing w:val="27"/>
          <w:sz w:val="21"/>
        </w:rPr>
        <w:t> </w:t>
      </w:r>
      <w:r>
        <w:rPr>
          <w:sz w:val="21"/>
        </w:rPr>
        <w:t>it</w:t>
      </w:r>
      <w:r>
        <w:rPr>
          <w:spacing w:val="27"/>
          <w:sz w:val="21"/>
        </w:rPr>
        <w:t> </w:t>
      </w:r>
      <w:r>
        <w:rPr>
          <w:sz w:val="21"/>
        </w:rPr>
        <w:t>is</w:t>
      </w:r>
      <w:r>
        <w:rPr>
          <w:spacing w:val="27"/>
          <w:sz w:val="21"/>
        </w:rPr>
        <w:t> </w:t>
      </w:r>
      <w:r>
        <w:rPr>
          <w:sz w:val="21"/>
        </w:rPr>
        <w:t>aware;</w:t>
      </w:r>
    </w:p>
    <w:p>
      <w:pPr>
        <w:pStyle w:val="BodyText"/>
        <w:spacing w:before="154"/>
        <w:rPr>
          <w:sz w:val="21"/>
        </w:rPr>
      </w:pPr>
    </w:p>
    <w:p>
      <w:pPr>
        <w:pStyle w:val="ListParagraph"/>
        <w:numPr>
          <w:ilvl w:val="0"/>
          <w:numId w:val="29"/>
        </w:numPr>
        <w:tabs>
          <w:tab w:pos="910" w:val="left" w:leader="none"/>
          <w:tab w:pos="938" w:val="left" w:leader="none"/>
        </w:tabs>
        <w:spacing w:line="213" w:lineRule="auto" w:before="0" w:after="0"/>
        <w:ind w:left="910" w:right="118" w:hanging="256"/>
        <w:jc w:val="both"/>
        <w:rPr>
          <w:sz w:val="21"/>
        </w:rPr>
      </w:pPr>
      <w:r>
        <w:rPr>
          <w:sz w:val="21"/>
        </w:rPr>
        <w:tab/>
        <w:t>Notify</w:t>
      </w:r>
      <w:r>
        <w:rPr>
          <w:spacing w:val="40"/>
          <w:sz w:val="21"/>
        </w:rPr>
        <w:t> </w:t>
      </w:r>
      <w:r>
        <w:rPr>
          <w:sz w:val="21"/>
        </w:rPr>
        <w:t>DICJ,</w:t>
      </w:r>
      <w:r>
        <w:rPr>
          <w:spacing w:val="40"/>
          <w:sz w:val="21"/>
        </w:rPr>
        <w:t> </w:t>
      </w:r>
      <w:r>
        <w:rPr>
          <w:sz w:val="21"/>
        </w:rPr>
        <w:t>as</w:t>
      </w:r>
      <w:r>
        <w:rPr>
          <w:spacing w:val="40"/>
          <w:sz w:val="21"/>
        </w:rPr>
        <w:t> </w:t>
      </w:r>
      <w:r>
        <w:rPr>
          <w:sz w:val="21"/>
        </w:rPr>
        <w:t>soon</w:t>
      </w:r>
      <w:r>
        <w:rPr>
          <w:spacing w:val="40"/>
          <w:sz w:val="21"/>
        </w:rPr>
        <w:t> </w:t>
      </w:r>
      <w:r>
        <w:rPr>
          <w:sz w:val="21"/>
        </w:rPr>
        <w:t>as</w:t>
      </w:r>
      <w:r>
        <w:rPr>
          <w:spacing w:val="40"/>
          <w:sz w:val="21"/>
        </w:rPr>
        <w:t> </w:t>
      </w:r>
      <w:r>
        <w:rPr>
          <w:sz w:val="21"/>
        </w:rPr>
        <w:t>possible,</w:t>
      </w:r>
      <w:r>
        <w:rPr>
          <w:spacing w:val="40"/>
          <w:sz w:val="21"/>
        </w:rPr>
        <w:t> </w:t>
      </w:r>
      <w:r>
        <w:rPr>
          <w:sz w:val="21"/>
        </w:rPr>
        <w:t>of</w:t>
      </w:r>
      <w:r>
        <w:rPr>
          <w:spacing w:val="40"/>
          <w:sz w:val="21"/>
        </w:rPr>
        <w:t> </w:t>
      </w:r>
      <w:r>
        <w:rPr>
          <w:sz w:val="21"/>
        </w:rPr>
        <w:t>any</w:t>
      </w:r>
      <w:r>
        <w:rPr>
          <w:spacing w:val="40"/>
          <w:sz w:val="21"/>
        </w:rPr>
        <w:t> </w:t>
      </w:r>
      <w:r>
        <w:rPr>
          <w:sz w:val="21"/>
        </w:rPr>
        <w:t>and</w:t>
      </w:r>
      <w:r>
        <w:rPr>
          <w:spacing w:val="40"/>
          <w:sz w:val="21"/>
        </w:rPr>
        <w:t> </w:t>
      </w:r>
      <w:r>
        <w:rPr>
          <w:sz w:val="21"/>
        </w:rPr>
        <w:t>all</w:t>
      </w:r>
      <w:r>
        <w:rPr>
          <w:spacing w:val="40"/>
          <w:sz w:val="21"/>
        </w:rPr>
        <w:t> </w:t>
      </w:r>
      <w:r>
        <w:rPr>
          <w:sz w:val="21"/>
        </w:rPr>
        <w:t>events</w:t>
      </w:r>
      <w:r>
        <w:rPr>
          <w:spacing w:val="40"/>
          <w:sz w:val="21"/>
        </w:rPr>
        <w:t> </w:t>
      </w:r>
      <w:r>
        <w:rPr>
          <w:sz w:val="21"/>
        </w:rPr>
        <w:t>that</w:t>
      </w:r>
      <w:r>
        <w:rPr>
          <w:spacing w:val="40"/>
          <w:sz w:val="21"/>
        </w:rPr>
        <w:t> </w:t>
      </w:r>
      <w:r>
        <w:rPr>
          <w:sz w:val="21"/>
        </w:rPr>
        <w:t>may</w:t>
      </w:r>
      <w:r>
        <w:rPr>
          <w:spacing w:val="40"/>
          <w:sz w:val="21"/>
        </w:rPr>
        <w:t> </w:t>
      </w:r>
      <w:r>
        <w:rPr>
          <w:sz w:val="21"/>
        </w:rPr>
        <w:t>impair,</w:t>
      </w:r>
      <w:r>
        <w:rPr>
          <w:spacing w:val="40"/>
          <w:sz w:val="21"/>
        </w:rPr>
        <w:t> </w:t>
      </w:r>
      <w:r>
        <w:rPr>
          <w:sz w:val="21"/>
        </w:rPr>
        <w:t>impede</w:t>
      </w:r>
      <w:r>
        <w:rPr>
          <w:spacing w:val="40"/>
          <w:sz w:val="21"/>
        </w:rPr>
        <w:t> </w:t>
      </w:r>
      <w:r>
        <w:rPr>
          <w:sz w:val="21"/>
        </w:rPr>
        <w:t>or</w:t>
      </w:r>
      <w:r>
        <w:rPr>
          <w:spacing w:val="40"/>
          <w:sz w:val="21"/>
        </w:rPr>
        <w:t> </w:t>
      </w:r>
      <w:r>
        <w:rPr>
          <w:sz w:val="21"/>
        </w:rPr>
        <w:t>render</w:t>
      </w:r>
      <w:r>
        <w:rPr>
          <w:spacing w:val="40"/>
          <w:sz w:val="21"/>
        </w:rPr>
        <w:t> </w:t>
      </w:r>
      <w:r>
        <w:rPr>
          <w:sz w:val="21"/>
        </w:rPr>
        <w:t>excessively</w:t>
      </w:r>
      <w:r>
        <w:rPr>
          <w:spacing w:val="40"/>
          <w:sz w:val="21"/>
        </w:rPr>
        <w:t> </w:t>
      </w:r>
      <w:r>
        <w:rPr>
          <w:sz w:val="21"/>
        </w:rPr>
        <w:t>onerous</w:t>
      </w:r>
      <w:r>
        <w:rPr>
          <w:spacing w:val="40"/>
          <w:sz w:val="21"/>
        </w:rPr>
        <w:t> </w:t>
      </w:r>
      <w:r>
        <w:rPr>
          <w:sz w:val="21"/>
        </w:rPr>
        <w:t>or excessively difficult the timely and full compliance with any of the obligations arising from this concession contract or </w:t>
      </w:r>
      <w:r>
        <w:rPr>
          <w:sz w:val="21"/>
        </w:rPr>
        <w:t>that</w:t>
      </w:r>
      <w:r>
        <w:rPr>
          <w:spacing w:val="40"/>
          <w:sz w:val="21"/>
        </w:rPr>
        <w:t> </w:t>
      </w:r>
      <w:r>
        <w:rPr>
          <w:sz w:val="21"/>
        </w:rPr>
        <w:t>may</w:t>
      </w:r>
      <w:r>
        <w:rPr>
          <w:spacing w:val="28"/>
          <w:sz w:val="21"/>
        </w:rPr>
        <w:t> </w:t>
      </w:r>
      <w:r>
        <w:rPr>
          <w:sz w:val="21"/>
        </w:rPr>
        <w:t>constitute</w:t>
      </w:r>
      <w:r>
        <w:rPr>
          <w:spacing w:val="28"/>
          <w:sz w:val="21"/>
        </w:rPr>
        <w:t> </w:t>
      </w:r>
      <w:r>
        <w:rPr>
          <w:sz w:val="21"/>
        </w:rPr>
        <w:t>grounds</w:t>
      </w:r>
      <w:r>
        <w:rPr>
          <w:spacing w:val="28"/>
          <w:sz w:val="21"/>
        </w:rPr>
        <w:t> </w:t>
      </w:r>
      <w:r>
        <w:rPr>
          <w:sz w:val="21"/>
        </w:rPr>
        <w:t>for</w:t>
      </w:r>
      <w:r>
        <w:rPr>
          <w:spacing w:val="28"/>
          <w:sz w:val="21"/>
        </w:rPr>
        <w:t> </w:t>
      </w:r>
      <w:r>
        <w:rPr>
          <w:sz w:val="21"/>
        </w:rPr>
        <w:t>termination</w:t>
      </w:r>
      <w:r>
        <w:rPr>
          <w:spacing w:val="28"/>
          <w:sz w:val="21"/>
        </w:rPr>
        <w:t> </w:t>
      </w:r>
      <w:r>
        <w:rPr>
          <w:sz w:val="21"/>
        </w:rPr>
        <w:t>of</w:t>
      </w:r>
      <w:r>
        <w:rPr>
          <w:spacing w:val="28"/>
          <w:sz w:val="21"/>
        </w:rPr>
        <w:t> </w:t>
      </w:r>
      <w:r>
        <w:rPr>
          <w:sz w:val="21"/>
        </w:rPr>
        <w:t>the</w:t>
      </w:r>
      <w:r>
        <w:rPr>
          <w:spacing w:val="28"/>
          <w:sz w:val="21"/>
        </w:rPr>
        <w:t> </w:t>
      </w:r>
      <w:r>
        <w:rPr>
          <w:sz w:val="21"/>
        </w:rPr>
        <w:t>concession,</w:t>
      </w:r>
      <w:r>
        <w:rPr>
          <w:spacing w:val="28"/>
          <w:sz w:val="21"/>
        </w:rPr>
        <w:t> </w:t>
      </w:r>
      <w:r>
        <w:rPr>
          <w:sz w:val="21"/>
        </w:rPr>
        <w:t>under</w:t>
      </w:r>
      <w:r>
        <w:rPr>
          <w:spacing w:val="28"/>
          <w:sz w:val="21"/>
        </w:rPr>
        <w:t> </w:t>
      </w:r>
      <w:r>
        <w:rPr>
          <w:sz w:val="21"/>
        </w:rPr>
        <w:t>the</w:t>
      </w:r>
      <w:r>
        <w:rPr>
          <w:spacing w:val="28"/>
          <w:sz w:val="21"/>
        </w:rPr>
        <w:t> </w:t>
      </w:r>
      <w:r>
        <w:rPr>
          <w:sz w:val="21"/>
        </w:rPr>
        <w:t>terms</w:t>
      </w:r>
      <w:r>
        <w:rPr>
          <w:spacing w:val="28"/>
          <w:sz w:val="21"/>
        </w:rPr>
        <w:t> </w:t>
      </w:r>
      <w:r>
        <w:rPr>
          <w:sz w:val="21"/>
        </w:rPr>
        <w:t>of</w:t>
      </w:r>
      <w:r>
        <w:rPr>
          <w:spacing w:val="28"/>
          <w:sz w:val="21"/>
        </w:rPr>
        <w:t> </w:t>
      </w:r>
      <w:r>
        <w:rPr>
          <w:sz w:val="21"/>
        </w:rPr>
        <w:t>Chapter</w:t>
      </w:r>
      <w:r>
        <w:rPr>
          <w:spacing w:val="28"/>
          <w:sz w:val="21"/>
        </w:rPr>
        <w:t> </w:t>
      </w:r>
      <w:r>
        <w:rPr>
          <w:sz w:val="21"/>
        </w:rPr>
        <w:t>XIX;</w:t>
      </w:r>
    </w:p>
    <w:p>
      <w:pPr>
        <w:pStyle w:val="BodyText"/>
        <w:spacing w:before="145"/>
        <w:rPr>
          <w:sz w:val="21"/>
        </w:rPr>
      </w:pPr>
    </w:p>
    <w:p>
      <w:pPr>
        <w:pStyle w:val="ListParagraph"/>
        <w:numPr>
          <w:ilvl w:val="0"/>
          <w:numId w:val="29"/>
        </w:numPr>
        <w:tabs>
          <w:tab w:pos="887" w:val="left" w:leader="none"/>
        </w:tabs>
        <w:spacing w:line="240" w:lineRule="auto" w:before="0" w:after="0"/>
        <w:ind w:left="887" w:right="0" w:hanging="233"/>
        <w:jc w:val="left"/>
        <w:rPr>
          <w:sz w:val="21"/>
        </w:rPr>
      </w:pPr>
      <w:r>
        <w:rPr>
          <w:sz w:val="21"/>
        </w:rPr>
        <w:t>Notify</w:t>
      </w:r>
      <w:r>
        <w:rPr>
          <w:spacing w:val="8"/>
          <w:sz w:val="21"/>
        </w:rPr>
        <w:t> </w:t>
      </w:r>
      <w:r>
        <w:rPr>
          <w:sz w:val="21"/>
        </w:rPr>
        <w:t>DICJ,</w:t>
      </w:r>
      <w:r>
        <w:rPr>
          <w:spacing w:val="9"/>
          <w:sz w:val="21"/>
        </w:rPr>
        <w:t> </w:t>
      </w:r>
      <w:r>
        <w:rPr>
          <w:sz w:val="21"/>
        </w:rPr>
        <w:t>as</w:t>
      </w:r>
      <w:r>
        <w:rPr>
          <w:spacing w:val="9"/>
          <w:sz w:val="21"/>
        </w:rPr>
        <w:t> </w:t>
      </w:r>
      <w:r>
        <w:rPr>
          <w:sz w:val="21"/>
        </w:rPr>
        <w:t>soon</w:t>
      </w:r>
      <w:r>
        <w:rPr>
          <w:spacing w:val="9"/>
          <w:sz w:val="21"/>
        </w:rPr>
        <w:t> </w:t>
      </w:r>
      <w:r>
        <w:rPr>
          <w:sz w:val="21"/>
        </w:rPr>
        <w:t>as</w:t>
      </w:r>
      <w:r>
        <w:rPr>
          <w:spacing w:val="9"/>
          <w:sz w:val="21"/>
        </w:rPr>
        <w:t> </w:t>
      </w:r>
      <w:r>
        <w:rPr>
          <w:sz w:val="21"/>
        </w:rPr>
        <w:t>possible,</w:t>
      </w:r>
      <w:r>
        <w:rPr>
          <w:spacing w:val="9"/>
          <w:sz w:val="21"/>
        </w:rPr>
        <w:t> </w:t>
      </w:r>
      <w:r>
        <w:rPr>
          <w:sz w:val="21"/>
        </w:rPr>
        <w:t>about</w:t>
      </w:r>
      <w:r>
        <w:rPr>
          <w:spacing w:val="9"/>
          <w:sz w:val="21"/>
        </w:rPr>
        <w:t> </w:t>
      </w:r>
      <w:r>
        <w:rPr>
          <w:sz w:val="21"/>
        </w:rPr>
        <w:t>any</w:t>
      </w:r>
      <w:r>
        <w:rPr>
          <w:spacing w:val="9"/>
          <w:sz w:val="21"/>
        </w:rPr>
        <w:t> </w:t>
      </w:r>
      <w:r>
        <w:rPr>
          <w:sz w:val="21"/>
        </w:rPr>
        <w:t>of</w:t>
      </w:r>
      <w:r>
        <w:rPr>
          <w:spacing w:val="8"/>
          <w:sz w:val="21"/>
        </w:rPr>
        <w:t> </w:t>
      </w:r>
      <w:r>
        <w:rPr>
          <w:sz w:val="21"/>
        </w:rPr>
        <w:t>the</w:t>
      </w:r>
      <w:r>
        <w:rPr>
          <w:spacing w:val="9"/>
          <w:sz w:val="21"/>
        </w:rPr>
        <w:t> </w:t>
      </w:r>
      <w:r>
        <w:rPr>
          <w:sz w:val="21"/>
        </w:rPr>
        <w:t>following</w:t>
      </w:r>
      <w:r>
        <w:rPr>
          <w:spacing w:val="9"/>
          <w:sz w:val="21"/>
        </w:rPr>
        <w:t> </w:t>
      </w:r>
      <w:r>
        <w:rPr>
          <w:sz w:val="21"/>
        </w:rPr>
        <w:t>facts</w:t>
      </w:r>
      <w:r>
        <w:rPr>
          <w:spacing w:val="9"/>
          <w:sz w:val="21"/>
        </w:rPr>
        <w:t> </w:t>
      </w:r>
      <w:r>
        <w:rPr>
          <w:sz w:val="21"/>
        </w:rPr>
        <w:t>or</w:t>
      </w:r>
      <w:r>
        <w:rPr>
          <w:spacing w:val="9"/>
          <w:sz w:val="21"/>
        </w:rPr>
        <w:t> </w:t>
      </w:r>
      <w:r>
        <w:rPr>
          <w:spacing w:val="-2"/>
          <w:sz w:val="21"/>
        </w:rPr>
        <w:t>occurrences:</w:t>
      </w:r>
    </w:p>
    <w:p>
      <w:pPr>
        <w:pStyle w:val="BodyText"/>
        <w:spacing w:before="146"/>
        <w:rPr>
          <w:sz w:val="21"/>
        </w:rPr>
      </w:pPr>
    </w:p>
    <w:p>
      <w:pPr>
        <w:pStyle w:val="ListParagraph"/>
        <w:numPr>
          <w:ilvl w:val="1"/>
          <w:numId w:val="29"/>
        </w:numPr>
        <w:tabs>
          <w:tab w:pos="1344" w:val="left" w:leader="none"/>
          <w:tab w:pos="1420" w:val="left" w:leader="none"/>
        </w:tabs>
        <w:spacing w:line="213" w:lineRule="auto" w:before="0" w:after="0"/>
        <w:ind w:left="1420" w:right="118" w:hanging="383"/>
        <w:jc w:val="both"/>
        <w:rPr>
          <w:sz w:val="21"/>
        </w:rPr>
      </w:pPr>
      <w:r>
        <w:rPr>
          <w:sz w:val="21"/>
        </w:rPr>
        <w:t>Permanent or occasional , periodic or extraordinary remunerations paid to the Concessionaire’s directors, investors and key</w:t>
      </w:r>
      <w:r>
        <w:rPr>
          <w:spacing w:val="18"/>
          <w:sz w:val="21"/>
        </w:rPr>
        <w:t> </w:t>
      </w:r>
      <w:r>
        <w:rPr>
          <w:sz w:val="21"/>
        </w:rPr>
        <w:t>employees,</w:t>
      </w:r>
      <w:r>
        <w:rPr>
          <w:spacing w:val="18"/>
          <w:sz w:val="21"/>
        </w:rPr>
        <w:t> </w:t>
      </w:r>
      <w:r>
        <w:rPr>
          <w:sz w:val="21"/>
        </w:rPr>
        <w:t>whether</w:t>
      </w:r>
      <w:r>
        <w:rPr>
          <w:spacing w:val="18"/>
          <w:sz w:val="21"/>
        </w:rPr>
        <w:t> </w:t>
      </w:r>
      <w:r>
        <w:rPr>
          <w:sz w:val="21"/>
        </w:rPr>
        <w:t>received</w:t>
      </w:r>
      <w:r>
        <w:rPr>
          <w:spacing w:val="18"/>
          <w:sz w:val="21"/>
        </w:rPr>
        <w:t> </w:t>
      </w:r>
      <w:r>
        <w:rPr>
          <w:sz w:val="21"/>
        </w:rPr>
        <w:t>as</w:t>
      </w:r>
      <w:r>
        <w:rPr>
          <w:spacing w:val="18"/>
          <w:sz w:val="21"/>
        </w:rPr>
        <w:t> </w:t>
      </w:r>
      <w:r>
        <w:rPr>
          <w:sz w:val="21"/>
        </w:rPr>
        <w:t>salaries,</w:t>
      </w:r>
      <w:r>
        <w:rPr>
          <w:spacing w:val="18"/>
          <w:sz w:val="21"/>
        </w:rPr>
        <w:t> </w:t>
      </w:r>
      <w:r>
        <w:rPr>
          <w:sz w:val="21"/>
        </w:rPr>
        <w:t>earnings,</w:t>
      </w:r>
      <w:r>
        <w:rPr>
          <w:spacing w:val="18"/>
          <w:sz w:val="21"/>
        </w:rPr>
        <w:t> </w:t>
      </w:r>
      <w:r>
        <w:rPr>
          <w:sz w:val="21"/>
        </w:rPr>
        <w:t>wages,</w:t>
      </w:r>
      <w:r>
        <w:rPr>
          <w:spacing w:val="18"/>
          <w:sz w:val="21"/>
        </w:rPr>
        <w:t> </w:t>
      </w:r>
      <w:r>
        <w:rPr>
          <w:sz w:val="21"/>
        </w:rPr>
        <w:t>fees</w:t>
      </w:r>
      <w:r>
        <w:rPr>
          <w:spacing w:val="18"/>
          <w:sz w:val="21"/>
        </w:rPr>
        <w:t> </w:t>
      </w:r>
      <w:r>
        <w:rPr>
          <w:sz w:val="21"/>
        </w:rPr>
        <w:t>or</w:t>
      </w:r>
      <w:r>
        <w:rPr>
          <w:spacing w:val="18"/>
          <w:sz w:val="21"/>
        </w:rPr>
        <w:t> </w:t>
      </w:r>
      <w:r>
        <w:rPr>
          <w:sz w:val="21"/>
        </w:rPr>
        <w:t>other,</w:t>
      </w:r>
      <w:r>
        <w:rPr>
          <w:spacing w:val="18"/>
          <w:sz w:val="21"/>
        </w:rPr>
        <w:t> </w:t>
      </w:r>
      <w:r>
        <w:rPr>
          <w:sz w:val="21"/>
        </w:rPr>
        <w:t>as</w:t>
      </w:r>
      <w:r>
        <w:rPr>
          <w:spacing w:val="18"/>
          <w:sz w:val="21"/>
        </w:rPr>
        <w:t> </w:t>
      </w:r>
      <w:r>
        <w:rPr>
          <w:sz w:val="21"/>
        </w:rPr>
        <w:t>well</w:t>
      </w:r>
      <w:r>
        <w:rPr>
          <w:spacing w:val="18"/>
          <w:sz w:val="21"/>
        </w:rPr>
        <w:t> </w:t>
      </w:r>
      <w:r>
        <w:rPr>
          <w:sz w:val="21"/>
        </w:rPr>
        <w:t>as</w:t>
      </w:r>
      <w:r>
        <w:rPr>
          <w:spacing w:val="18"/>
          <w:sz w:val="21"/>
        </w:rPr>
        <w:t> </w:t>
      </w:r>
      <w:r>
        <w:rPr>
          <w:sz w:val="21"/>
        </w:rPr>
        <w:t>any</w:t>
      </w:r>
      <w:r>
        <w:rPr>
          <w:spacing w:val="18"/>
          <w:sz w:val="21"/>
        </w:rPr>
        <w:t> </w:t>
      </w:r>
      <w:r>
        <w:rPr>
          <w:sz w:val="21"/>
        </w:rPr>
        <w:t>mechanisms</w:t>
      </w:r>
      <w:r>
        <w:rPr>
          <w:spacing w:val="18"/>
          <w:sz w:val="21"/>
        </w:rPr>
        <w:t> </w:t>
      </w:r>
      <w:r>
        <w:rPr>
          <w:sz w:val="21"/>
        </w:rPr>
        <w:t>for</w:t>
      </w:r>
      <w:r>
        <w:rPr>
          <w:spacing w:val="18"/>
          <w:sz w:val="21"/>
        </w:rPr>
        <w:t> </w:t>
      </w:r>
      <w:r>
        <w:rPr>
          <w:sz w:val="21"/>
        </w:rPr>
        <w:t>sharing</w:t>
      </w:r>
      <w:r>
        <w:rPr>
          <w:spacing w:val="18"/>
          <w:sz w:val="21"/>
        </w:rPr>
        <w:t> </w:t>
      </w:r>
      <w:r>
        <w:rPr>
          <w:sz w:val="21"/>
        </w:rPr>
        <w:t>in its profits;</w:t>
      </w:r>
    </w:p>
    <w:p>
      <w:pPr>
        <w:pStyle w:val="BodyText"/>
        <w:spacing w:before="132"/>
        <w:rPr>
          <w:sz w:val="21"/>
        </w:rPr>
      </w:pPr>
    </w:p>
    <w:p>
      <w:pPr>
        <w:pStyle w:val="ListParagraph"/>
        <w:numPr>
          <w:ilvl w:val="1"/>
          <w:numId w:val="29"/>
        </w:numPr>
        <w:tabs>
          <w:tab w:pos="1343" w:val="left" w:leader="none"/>
        </w:tabs>
        <w:spacing w:line="240" w:lineRule="auto" w:before="0" w:after="0"/>
        <w:ind w:left="1343" w:right="0" w:hanging="305"/>
        <w:jc w:val="left"/>
        <w:rPr>
          <w:sz w:val="21"/>
        </w:rPr>
      </w:pPr>
      <w:r>
        <w:rPr>
          <w:sz w:val="21"/>
        </w:rPr>
        <w:t>Existing</w:t>
      </w:r>
      <w:r>
        <w:rPr>
          <w:spacing w:val="12"/>
          <w:sz w:val="21"/>
        </w:rPr>
        <w:t> </w:t>
      </w:r>
      <w:r>
        <w:rPr>
          <w:sz w:val="21"/>
        </w:rPr>
        <w:t>or</w:t>
      </w:r>
      <w:r>
        <w:rPr>
          <w:spacing w:val="12"/>
          <w:sz w:val="21"/>
        </w:rPr>
        <w:t> </w:t>
      </w:r>
      <w:r>
        <w:rPr>
          <w:sz w:val="21"/>
        </w:rPr>
        <w:t>proposed</w:t>
      </w:r>
      <w:r>
        <w:rPr>
          <w:spacing w:val="13"/>
          <w:sz w:val="21"/>
        </w:rPr>
        <w:t> </w:t>
      </w:r>
      <w:r>
        <w:rPr>
          <w:sz w:val="21"/>
        </w:rPr>
        <w:t>perks,</w:t>
      </w:r>
      <w:r>
        <w:rPr>
          <w:spacing w:val="12"/>
          <w:sz w:val="21"/>
        </w:rPr>
        <w:t> </w:t>
      </w:r>
      <w:r>
        <w:rPr>
          <w:sz w:val="21"/>
        </w:rPr>
        <w:t>including</w:t>
      </w:r>
      <w:r>
        <w:rPr>
          <w:spacing w:val="12"/>
          <w:sz w:val="21"/>
        </w:rPr>
        <w:t> </w:t>
      </w:r>
      <w:r>
        <w:rPr>
          <w:sz w:val="21"/>
        </w:rPr>
        <w:t>profit</w:t>
      </w:r>
      <w:r>
        <w:rPr>
          <w:spacing w:val="13"/>
          <w:sz w:val="21"/>
        </w:rPr>
        <w:t> </w:t>
      </w:r>
      <w:r>
        <w:rPr>
          <w:spacing w:val="-2"/>
          <w:sz w:val="21"/>
        </w:rPr>
        <w:t>distribution;</w:t>
      </w:r>
    </w:p>
    <w:p>
      <w:pPr>
        <w:pStyle w:val="BodyText"/>
        <w:spacing w:before="138"/>
        <w:rPr>
          <w:sz w:val="21"/>
        </w:rPr>
      </w:pPr>
    </w:p>
    <w:p>
      <w:pPr>
        <w:pStyle w:val="ListParagraph"/>
        <w:numPr>
          <w:ilvl w:val="1"/>
          <w:numId w:val="29"/>
        </w:numPr>
        <w:tabs>
          <w:tab w:pos="1343" w:val="left" w:leader="none"/>
        </w:tabs>
        <w:spacing w:line="240" w:lineRule="auto" w:before="0" w:after="0"/>
        <w:ind w:left="1343" w:right="0" w:hanging="305"/>
        <w:jc w:val="left"/>
        <w:rPr>
          <w:sz w:val="21"/>
        </w:rPr>
      </w:pPr>
      <w:r>
        <w:rPr>
          <w:sz w:val="21"/>
        </w:rPr>
        <w:t>Existing</w:t>
      </w:r>
      <w:r>
        <w:rPr>
          <w:spacing w:val="13"/>
          <w:sz w:val="21"/>
        </w:rPr>
        <w:t> </w:t>
      </w:r>
      <w:r>
        <w:rPr>
          <w:sz w:val="21"/>
        </w:rPr>
        <w:t>or</w:t>
      </w:r>
      <w:r>
        <w:rPr>
          <w:spacing w:val="13"/>
          <w:sz w:val="21"/>
        </w:rPr>
        <w:t> </w:t>
      </w:r>
      <w:r>
        <w:rPr>
          <w:sz w:val="21"/>
        </w:rPr>
        <w:t>proposed</w:t>
      </w:r>
      <w:r>
        <w:rPr>
          <w:spacing w:val="13"/>
          <w:sz w:val="21"/>
        </w:rPr>
        <w:t> </w:t>
      </w:r>
      <w:r>
        <w:rPr>
          <w:sz w:val="21"/>
        </w:rPr>
        <w:t>management</w:t>
      </w:r>
      <w:r>
        <w:rPr>
          <w:spacing w:val="13"/>
          <w:sz w:val="21"/>
        </w:rPr>
        <w:t> </w:t>
      </w:r>
      <w:r>
        <w:rPr>
          <w:sz w:val="21"/>
        </w:rPr>
        <w:t>and</w:t>
      </w:r>
      <w:r>
        <w:rPr>
          <w:spacing w:val="13"/>
          <w:sz w:val="21"/>
        </w:rPr>
        <w:t> </w:t>
      </w:r>
      <w:r>
        <w:rPr>
          <w:sz w:val="21"/>
        </w:rPr>
        <w:t>service</w:t>
      </w:r>
      <w:r>
        <w:rPr>
          <w:spacing w:val="13"/>
          <w:sz w:val="21"/>
        </w:rPr>
        <w:t> </w:t>
      </w:r>
      <w:r>
        <w:rPr>
          <w:spacing w:val="-2"/>
          <w:sz w:val="21"/>
        </w:rPr>
        <w:t>contracts.</w:t>
      </w:r>
    </w:p>
    <w:p>
      <w:pPr>
        <w:pStyle w:val="BodyText"/>
        <w:spacing w:before="124"/>
        <w:rPr>
          <w:sz w:val="21"/>
        </w:rPr>
      </w:pPr>
    </w:p>
    <w:p>
      <w:pPr>
        <w:pStyle w:val="ListParagraph"/>
        <w:numPr>
          <w:ilvl w:val="0"/>
          <w:numId w:val="29"/>
        </w:numPr>
        <w:tabs>
          <w:tab w:pos="887" w:val="left" w:leader="none"/>
        </w:tabs>
        <w:spacing w:line="240" w:lineRule="auto" w:before="0" w:after="0"/>
        <w:ind w:left="887" w:right="0" w:hanging="233"/>
        <w:jc w:val="left"/>
        <w:rPr>
          <w:sz w:val="21"/>
        </w:rPr>
      </w:pPr>
      <w:r>
        <w:rPr>
          <w:sz w:val="21"/>
        </w:rPr>
        <w:t>Submit</w:t>
      </w:r>
      <w:r>
        <w:rPr>
          <w:spacing w:val="9"/>
          <w:sz w:val="21"/>
        </w:rPr>
        <w:t> </w:t>
      </w:r>
      <w:r>
        <w:rPr>
          <w:sz w:val="21"/>
        </w:rPr>
        <w:t>to</w:t>
      </w:r>
      <w:r>
        <w:rPr>
          <w:spacing w:val="10"/>
          <w:sz w:val="21"/>
        </w:rPr>
        <w:t> </w:t>
      </w:r>
      <w:r>
        <w:rPr>
          <w:sz w:val="21"/>
        </w:rPr>
        <w:t>DICJ,</w:t>
      </w:r>
      <w:r>
        <w:rPr>
          <w:spacing w:val="10"/>
          <w:sz w:val="21"/>
        </w:rPr>
        <w:t> </w:t>
      </w:r>
      <w:r>
        <w:rPr>
          <w:sz w:val="21"/>
        </w:rPr>
        <w:t>as</w:t>
      </w:r>
      <w:r>
        <w:rPr>
          <w:spacing w:val="10"/>
          <w:sz w:val="21"/>
        </w:rPr>
        <w:t> </w:t>
      </w:r>
      <w:r>
        <w:rPr>
          <w:sz w:val="21"/>
        </w:rPr>
        <w:t>soon</w:t>
      </w:r>
      <w:r>
        <w:rPr>
          <w:spacing w:val="10"/>
          <w:sz w:val="21"/>
        </w:rPr>
        <w:t> </w:t>
      </w:r>
      <w:r>
        <w:rPr>
          <w:sz w:val="21"/>
        </w:rPr>
        <w:t>as</w:t>
      </w:r>
      <w:r>
        <w:rPr>
          <w:spacing w:val="10"/>
          <w:sz w:val="21"/>
        </w:rPr>
        <w:t> </w:t>
      </w:r>
      <w:r>
        <w:rPr>
          <w:sz w:val="21"/>
        </w:rPr>
        <w:t>possible,</w:t>
      </w:r>
      <w:r>
        <w:rPr>
          <w:spacing w:val="10"/>
          <w:sz w:val="21"/>
        </w:rPr>
        <w:t> </w:t>
      </w:r>
      <w:r>
        <w:rPr>
          <w:sz w:val="21"/>
        </w:rPr>
        <w:t>certified</w:t>
      </w:r>
      <w:r>
        <w:rPr>
          <w:spacing w:val="9"/>
          <w:sz w:val="21"/>
        </w:rPr>
        <w:t> </w:t>
      </w:r>
      <w:r>
        <w:rPr>
          <w:sz w:val="21"/>
        </w:rPr>
        <w:t>copies</w:t>
      </w:r>
      <w:r>
        <w:rPr>
          <w:spacing w:val="10"/>
          <w:sz w:val="21"/>
        </w:rPr>
        <w:t> </w:t>
      </w:r>
      <w:r>
        <w:rPr>
          <w:spacing w:val="-5"/>
          <w:sz w:val="21"/>
        </w:rPr>
        <w:t>of:</w:t>
      </w:r>
    </w:p>
    <w:p>
      <w:pPr>
        <w:pStyle w:val="BodyText"/>
        <w:spacing w:before="146"/>
        <w:rPr>
          <w:sz w:val="21"/>
        </w:rPr>
      </w:pPr>
    </w:p>
    <w:p>
      <w:pPr>
        <w:pStyle w:val="ListParagraph"/>
        <w:numPr>
          <w:ilvl w:val="1"/>
          <w:numId w:val="29"/>
        </w:numPr>
        <w:tabs>
          <w:tab w:pos="1377" w:val="left" w:leader="none"/>
          <w:tab w:pos="1420" w:val="left" w:leader="none"/>
        </w:tabs>
        <w:spacing w:line="213" w:lineRule="auto" w:before="1" w:after="0"/>
        <w:ind w:left="1420" w:right="118" w:hanging="383"/>
        <w:jc w:val="both"/>
        <w:rPr>
          <w:sz w:val="21"/>
        </w:rPr>
      </w:pPr>
      <w:r>
        <w:rPr>
          <w:sz w:val="21"/>
        </w:rPr>
        <w:t>Contracts or other instruments documenting or describing any remuneration referred to in subparagraph 1) of the preceding paragraph;</w:t>
      </w:r>
    </w:p>
    <w:p>
      <w:pPr>
        <w:pStyle w:val="BodyText"/>
        <w:spacing w:before="152"/>
        <w:rPr>
          <w:sz w:val="21"/>
        </w:rPr>
      </w:pPr>
    </w:p>
    <w:p>
      <w:pPr>
        <w:pStyle w:val="ListParagraph"/>
        <w:numPr>
          <w:ilvl w:val="1"/>
          <w:numId w:val="29"/>
        </w:numPr>
        <w:tabs>
          <w:tab w:pos="1408" w:val="left" w:leader="none"/>
          <w:tab w:pos="1420" w:val="left" w:leader="none"/>
        </w:tabs>
        <w:spacing w:line="213" w:lineRule="auto" w:before="0" w:after="0"/>
        <w:ind w:left="1420" w:right="118" w:hanging="383"/>
        <w:jc w:val="both"/>
        <w:rPr>
          <w:sz w:val="21"/>
        </w:rPr>
      </w:pPr>
      <w:r>
        <w:rPr>
          <w:sz w:val="21"/>
        </w:rPr>
        <w:t>Contracts</w:t>
      </w:r>
      <w:r>
        <w:rPr>
          <w:spacing w:val="40"/>
          <w:sz w:val="21"/>
        </w:rPr>
        <w:t> </w:t>
      </w:r>
      <w:r>
        <w:rPr>
          <w:sz w:val="21"/>
        </w:rPr>
        <w:t>or</w:t>
      </w:r>
      <w:r>
        <w:rPr>
          <w:spacing w:val="40"/>
          <w:sz w:val="21"/>
        </w:rPr>
        <w:t> </w:t>
      </w:r>
      <w:r>
        <w:rPr>
          <w:sz w:val="21"/>
        </w:rPr>
        <w:t>other</w:t>
      </w:r>
      <w:r>
        <w:rPr>
          <w:spacing w:val="40"/>
          <w:sz w:val="21"/>
        </w:rPr>
        <w:t> </w:t>
      </w:r>
      <w:r>
        <w:rPr>
          <w:sz w:val="21"/>
        </w:rPr>
        <w:t>instruments</w:t>
      </w:r>
      <w:r>
        <w:rPr>
          <w:spacing w:val="40"/>
          <w:sz w:val="21"/>
        </w:rPr>
        <w:t> </w:t>
      </w:r>
      <w:r>
        <w:rPr>
          <w:sz w:val="21"/>
        </w:rPr>
        <w:t>documenting</w:t>
      </w:r>
      <w:r>
        <w:rPr>
          <w:spacing w:val="40"/>
          <w:sz w:val="21"/>
        </w:rPr>
        <w:t> </w:t>
      </w:r>
      <w:r>
        <w:rPr>
          <w:sz w:val="21"/>
        </w:rPr>
        <w:t>or</w:t>
      </w:r>
      <w:r>
        <w:rPr>
          <w:spacing w:val="40"/>
          <w:sz w:val="21"/>
        </w:rPr>
        <w:t> </w:t>
      </w:r>
      <w:r>
        <w:rPr>
          <w:sz w:val="21"/>
        </w:rPr>
        <w:t>describing</w:t>
      </w:r>
      <w:r>
        <w:rPr>
          <w:spacing w:val="40"/>
          <w:sz w:val="21"/>
        </w:rPr>
        <w:t> </w:t>
      </w:r>
      <w:r>
        <w:rPr>
          <w:sz w:val="21"/>
        </w:rPr>
        <w:t>any</w:t>
      </w:r>
      <w:r>
        <w:rPr>
          <w:spacing w:val="40"/>
          <w:sz w:val="21"/>
        </w:rPr>
        <w:t> </w:t>
      </w:r>
      <w:r>
        <w:rPr>
          <w:sz w:val="21"/>
        </w:rPr>
        <w:t>existing</w:t>
      </w:r>
      <w:r>
        <w:rPr>
          <w:spacing w:val="40"/>
          <w:sz w:val="21"/>
        </w:rPr>
        <w:t> </w:t>
      </w:r>
      <w:r>
        <w:rPr>
          <w:sz w:val="21"/>
        </w:rPr>
        <w:t>or</w:t>
      </w:r>
      <w:r>
        <w:rPr>
          <w:spacing w:val="40"/>
          <w:sz w:val="21"/>
        </w:rPr>
        <w:t> </w:t>
      </w:r>
      <w:r>
        <w:rPr>
          <w:sz w:val="21"/>
        </w:rPr>
        <w:t>proposed</w:t>
      </w:r>
      <w:r>
        <w:rPr>
          <w:spacing w:val="40"/>
          <w:sz w:val="21"/>
        </w:rPr>
        <w:t> </w:t>
      </w:r>
      <w:r>
        <w:rPr>
          <w:sz w:val="21"/>
        </w:rPr>
        <w:t>perks</w:t>
      </w:r>
      <w:r>
        <w:rPr>
          <w:spacing w:val="40"/>
          <w:sz w:val="21"/>
        </w:rPr>
        <w:t> </w:t>
      </w:r>
      <w:r>
        <w:rPr>
          <w:sz w:val="21"/>
        </w:rPr>
        <w:t>or</w:t>
      </w:r>
      <w:r>
        <w:rPr>
          <w:spacing w:val="40"/>
          <w:sz w:val="21"/>
        </w:rPr>
        <w:t> </w:t>
      </w:r>
      <w:r>
        <w:rPr>
          <w:sz w:val="21"/>
        </w:rPr>
        <w:t>forms</w:t>
      </w:r>
      <w:r>
        <w:rPr>
          <w:spacing w:val="40"/>
          <w:sz w:val="21"/>
        </w:rPr>
        <w:t> </w:t>
      </w:r>
      <w:r>
        <w:rPr>
          <w:sz w:val="21"/>
        </w:rPr>
        <w:t>of</w:t>
      </w:r>
      <w:r>
        <w:rPr>
          <w:spacing w:val="40"/>
          <w:sz w:val="21"/>
        </w:rPr>
        <w:t> </w:t>
      </w:r>
      <w:r>
        <w:rPr>
          <w:sz w:val="21"/>
        </w:rPr>
        <w:t>profit </w:t>
      </w:r>
      <w:r>
        <w:rPr>
          <w:spacing w:val="-2"/>
          <w:sz w:val="21"/>
        </w:rPr>
        <w:t>distribution;</w:t>
      </w:r>
    </w:p>
    <w:p>
      <w:pPr>
        <w:pStyle w:val="BodyText"/>
        <w:spacing w:before="144"/>
        <w:rPr>
          <w:sz w:val="21"/>
        </w:rPr>
      </w:pPr>
    </w:p>
    <w:p>
      <w:pPr>
        <w:pStyle w:val="ListParagraph"/>
        <w:numPr>
          <w:ilvl w:val="1"/>
          <w:numId w:val="29"/>
        </w:numPr>
        <w:tabs>
          <w:tab w:pos="1343" w:val="left" w:leader="none"/>
        </w:tabs>
        <w:spacing w:line="240" w:lineRule="auto" w:before="0" w:after="0"/>
        <w:ind w:left="1343" w:right="0" w:hanging="305"/>
        <w:jc w:val="left"/>
        <w:rPr>
          <w:sz w:val="21"/>
        </w:rPr>
      </w:pPr>
      <w:r>
        <w:rPr>
          <w:sz w:val="21"/>
        </w:rPr>
        <w:t>Existing</w:t>
      </w:r>
      <w:r>
        <w:rPr>
          <w:spacing w:val="13"/>
          <w:sz w:val="21"/>
        </w:rPr>
        <w:t> </w:t>
      </w:r>
      <w:r>
        <w:rPr>
          <w:sz w:val="21"/>
        </w:rPr>
        <w:t>or</w:t>
      </w:r>
      <w:r>
        <w:rPr>
          <w:spacing w:val="13"/>
          <w:sz w:val="21"/>
        </w:rPr>
        <w:t> </w:t>
      </w:r>
      <w:r>
        <w:rPr>
          <w:sz w:val="21"/>
        </w:rPr>
        <w:t>proposed</w:t>
      </w:r>
      <w:r>
        <w:rPr>
          <w:spacing w:val="13"/>
          <w:sz w:val="21"/>
        </w:rPr>
        <w:t> </w:t>
      </w:r>
      <w:r>
        <w:rPr>
          <w:sz w:val="21"/>
        </w:rPr>
        <w:t>management</w:t>
      </w:r>
      <w:r>
        <w:rPr>
          <w:spacing w:val="13"/>
          <w:sz w:val="21"/>
        </w:rPr>
        <w:t> </w:t>
      </w:r>
      <w:r>
        <w:rPr>
          <w:sz w:val="21"/>
        </w:rPr>
        <w:t>and</w:t>
      </w:r>
      <w:r>
        <w:rPr>
          <w:spacing w:val="13"/>
          <w:sz w:val="21"/>
        </w:rPr>
        <w:t> </w:t>
      </w:r>
      <w:r>
        <w:rPr>
          <w:sz w:val="21"/>
        </w:rPr>
        <w:t>service</w:t>
      </w:r>
      <w:r>
        <w:rPr>
          <w:spacing w:val="13"/>
          <w:sz w:val="21"/>
        </w:rPr>
        <w:t> </w:t>
      </w:r>
      <w:r>
        <w:rPr>
          <w:spacing w:val="-2"/>
          <w:sz w:val="21"/>
        </w:rPr>
        <w:t>contracts.</w:t>
      </w:r>
    </w:p>
    <w:p>
      <w:pPr>
        <w:pStyle w:val="BodyText"/>
        <w:spacing w:before="146"/>
        <w:rPr>
          <w:sz w:val="21"/>
        </w:rPr>
      </w:pPr>
    </w:p>
    <w:p>
      <w:pPr>
        <w:pStyle w:val="ListParagraph"/>
        <w:numPr>
          <w:ilvl w:val="0"/>
          <w:numId w:val="29"/>
        </w:numPr>
        <w:tabs>
          <w:tab w:pos="894" w:val="left" w:leader="none"/>
          <w:tab w:pos="910" w:val="left" w:leader="none"/>
        </w:tabs>
        <w:spacing w:line="213" w:lineRule="auto" w:before="0" w:after="0"/>
        <w:ind w:left="910" w:right="118" w:hanging="256"/>
        <w:jc w:val="both"/>
        <w:rPr>
          <w:sz w:val="21"/>
        </w:rPr>
      </w:pPr>
      <w:r>
        <w:rPr>
          <w:sz w:val="21"/>
        </w:rPr>
        <w:t>Inform DICJ, as soon as possible, of any imminent or foreseeable serious change in its economic and financial situation, as</w:t>
      </w:r>
      <w:r>
        <w:rPr>
          <w:spacing w:val="80"/>
          <w:sz w:val="21"/>
        </w:rPr>
        <w:t> </w:t>
      </w:r>
      <w:r>
        <w:rPr>
          <w:sz w:val="21"/>
        </w:rPr>
        <w:t>well as the economic and financial situation of:</w:t>
      </w:r>
    </w:p>
    <w:p>
      <w:pPr>
        <w:pStyle w:val="BodyText"/>
        <w:spacing w:before="130"/>
        <w:rPr>
          <w:sz w:val="21"/>
        </w:rPr>
      </w:pPr>
    </w:p>
    <w:p>
      <w:pPr>
        <w:pStyle w:val="ListParagraph"/>
        <w:numPr>
          <w:ilvl w:val="1"/>
          <w:numId w:val="29"/>
        </w:numPr>
        <w:tabs>
          <w:tab w:pos="1320" w:val="left" w:leader="none"/>
        </w:tabs>
        <w:spacing w:line="240" w:lineRule="auto" w:before="1" w:after="0"/>
        <w:ind w:left="1320" w:right="0" w:hanging="305"/>
        <w:jc w:val="left"/>
        <w:rPr>
          <w:sz w:val="21"/>
        </w:rPr>
      </w:pPr>
      <w:r>
        <w:rPr>
          <w:sz w:val="21"/>
        </w:rPr>
        <w:t>Its</w:t>
      </w:r>
      <w:r>
        <w:rPr>
          <w:spacing w:val="12"/>
          <w:sz w:val="21"/>
        </w:rPr>
        <w:t> </w:t>
      </w:r>
      <w:r>
        <w:rPr>
          <w:sz w:val="21"/>
        </w:rPr>
        <w:t>controlling</w:t>
      </w:r>
      <w:r>
        <w:rPr>
          <w:spacing w:val="12"/>
          <w:sz w:val="21"/>
        </w:rPr>
        <w:t> </w:t>
      </w:r>
      <w:r>
        <w:rPr>
          <w:spacing w:val="-2"/>
          <w:sz w:val="21"/>
        </w:rPr>
        <w:t>shareholders;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2"/>
        <w:rPr>
          <w:sz w:val="20"/>
        </w:rPr>
      </w:pPr>
      <w:r>
        <w:rPr/>
        <mc:AlternateContent>
          <mc:Choice Requires="wps">
            <w:drawing>
              <wp:anchor distT="0" distB="0" distL="0" distR="0" allowOverlap="1" layoutInCell="1" locked="0" behindDoc="1" simplePos="0" relativeHeight="487770624">
                <wp:simplePos x="0" y="0"/>
                <wp:positionH relativeFrom="page">
                  <wp:posOffset>231457</wp:posOffset>
                </wp:positionH>
                <wp:positionV relativeFrom="paragraph">
                  <wp:posOffset>200755</wp:posOffset>
                </wp:positionV>
                <wp:extent cx="7312659" cy="17145"/>
                <wp:effectExtent l="0" t="0" r="0" b="0"/>
                <wp:wrapTopAndBottom/>
                <wp:docPr id="844" name="Group 844"/>
                <wp:cNvGraphicFramePr>
                  <a:graphicFrameLocks/>
                </wp:cNvGraphicFramePr>
                <a:graphic>
                  <a:graphicData uri="http://schemas.microsoft.com/office/word/2010/wordprocessingGroup">
                    <wpg:wgp>
                      <wpg:cNvPr id="844" name="Group 844"/>
                      <wpg:cNvGrpSpPr/>
                      <wpg:grpSpPr>
                        <a:xfrm>
                          <a:off x="0" y="0"/>
                          <a:ext cx="7312659" cy="17145"/>
                          <a:chExt cx="7312659" cy="17145"/>
                        </a:xfrm>
                      </wpg:grpSpPr>
                      <wps:wsp>
                        <wps:cNvPr id="845" name="Graphic 84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46" name="Graphic 846"/>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47" name="Graphic 84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8075pt;width:575.8pt;height:1.35pt;mso-position-horizontal-relative:page;mso-position-vertical-relative:paragraph;z-index:-15545856;mso-wrap-distance-left:0;mso-wrap-distance-right:0" id="docshapegroup842" coordorigin="364,316" coordsize="11516,27">
                <v:rect style="position:absolute;left:364;top:316;width:11516;height:14" id="docshape843" filled="true" fillcolor="#999999" stroked="false">
                  <v:fill type="solid"/>
                </v:rect>
                <v:shape style="position:absolute;left:364;top:316;width:11516;height:27" id="docshape844" coordorigin="364,316" coordsize="11516,27" path="m11880,316l11866,330,364,330,364,343,11866,343,11880,343,11880,330,11880,316xe" filled="true" fillcolor="#ededed" stroked="false">
                  <v:path arrowok="t"/>
                  <v:fill type="solid"/>
                </v:shape>
                <v:shape style="position:absolute;left:364;top:316;width:14;height:27" id="docshape845" coordorigin="364,316" coordsize="14,27" path="m364,343l364,316,378,316,378,330,364,343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pStyle w:val="ListParagraph"/>
        <w:numPr>
          <w:ilvl w:val="1"/>
          <w:numId w:val="29"/>
        </w:numPr>
        <w:tabs>
          <w:tab w:pos="1335" w:val="left" w:leader="none"/>
          <w:tab w:pos="1359" w:val="left" w:leader="none"/>
        </w:tabs>
        <w:spacing w:line="213" w:lineRule="auto" w:before="97" w:after="0"/>
        <w:ind w:left="1359" w:right="118" w:hanging="324"/>
        <w:jc w:val="both"/>
        <w:rPr>
          <w:sz w:val="21"/>
        </w:rPr>
      </w:pPr>
      <w:r>
        <w:rPr>
          <w:sz w:val="21"/>
        </w:rPr>
        <w:t>Any</w:t>
      </w:r>
      <w:r>
        <w:rPr>
          <w:spacing w:val="22"/>
          <w:sz w:val="21"/>
        </w:rPr>
        <w:t> </w:t>
      </w:r>
      <w:r>
        <w:rPr>
          <w:sz w:val="21"/>
        </w:rPr>
        <w:t>entities</w:t>
      </w:r>
      <w:r>
        <w:rPr>
          <w:spacing w:val="22"/>
          <w:sz w:val="21"/>
        </w:rPr>
        <w:t> </w:t>
      </w:r>
      <w:r>
        <w:rPr>
          <w:sz w:val="21"/>
        </w:rPr>
        <w:t>closely</w:t>
      </w:r>
      <w:r>
        <w:rPr>
          <w:spacing w:val="22"/>
          <w:sz w:val="21"/>
        </w:rPr>
        <w:t> </w:t>
      </w:r>
      <w:r>
        <w:rPr>
          <w:sz w:val="21"/>
        </w:rPr>
        <w:t>associated</w:t>
      </w:r>
      <w:r>
        <w:rPr>
          <w:spacing w:val="22"/>
          <w:sz w:val="21"/>
        </w:rPr>
        <w:t> </w:t>
      </w:r>
      <w:r>
        <w:rPr>
          <w:sz w:val="21"/>
        </w:rPr>
        <w:t>with</w:t>
      </w:r>
      <w:r>
        <w:rPr>
          <w:spacing w:val="22"/>
          <w:sz w:val="21"/>
        </w:rPr>
        <w:t> </w:t>
      </w:r>
      <w:r>
        <w:rPr>
          <w:sz w:val="21"/>
        </w:rPr>
        <w:t>it,</w:t>
      </w:r>
      <w:r>
        <w:rPr>
          <w:spacing w:val="22"/>
          <w:sz w:val="21"/>
        </w:rPr>
        <w:t> </w:t>
      </w:r>
      <w:r>
        <w:rPr>
          <w:sz w:val="21"/>
        </w:rPr>
        <w:t>namely</w:t>
      </w:r>
      <w:r>
        <w:rPr>
          <w:spacing w:val="22"/>
          <w:sz w:val="21"/>
        </w:rPr>
        <w:t> </w:t>
      </w:r>
      <w:r>
        <w:rPr>
          <w:sz w:val="21"/>
        </w:rPr>
        <w:t>those</w:t>
      </w:r>
      <w:r>
        <w:rPr>
          <w:spacing w:val="22"/>
          <w:sz w:val="21"/>
        </w:rPr>
        <w:t> </w:t>
      </w:r>
      <w:r>
        <w:rPr>
          <w:sz w:val="21"/>
        </w:rPr>
        <w:t>which</w:t>
      </w:r>
      <w:r>
        <w:rPr>
          <w:spacing w:val="22"/>
          <w:sz w:val="21"/>
        </w:rPr>
        <w:t> </w:t>
      </w:r>
      <w:r>
        <w:rPr>
          <w:sz w:val="21"/>
        </w:rPr>
        <w:t>have</w:t>
      </w:r>
      <w:r>
        <w:rPr>
          <w:spacing w:val="22"/>
          <w:sz w:val="21"/>
        </w:rPr>
        <w:t> </w:t>
      </w:r>
      <w:r>
        <w:rPr>
          <w:sz w:val="21"/>
        </w:rPr>
        <w:t>undertaken</w:t>
      </w:r>
      <w:r>
        <w:rPr>
          <w:spacing w:val="22"/>
          <w:sz w:val="21"/>
        </w:rPr>
        <w:t> </w:t>
      </w:r>
      <w:r>
        <w:rPr>
          <w:sz w:val="21"/>
        </w:rPr>
        <w:t>the</w:t>
      </w:r>
      <w:r>
        <w:rPr>
          <w:spacing w:val="22"/>
          <w:sz w:val="21"/>
        </w:rPr>
        <w:t> </w:t>
      </w:r>
      <w:r>
        <w:rPr>
          <w:sz w:val="21"/>
        </w:rPr>
        <w:t>commitment</w:t>
      </w:r>
      <w:r>
        <w:rPr>
          <w:spacing w:val="22"/>
          <w:sz w:val="21"/>
        </w:rPr>
        <w:t> </w:t>
      </w:r>
      <w:r>
        <w:rPr>
          <w:sz w:val="21"/>
        </w:rPr>
        <w:t>or</w:t>
      </w:r>
      <w:r>
        <w:rPr>
          <w:spacing w:val="22"/>
          <w:sz w:val="21"/>
        </w:rPr>
        <w:t> </w:t>
      </w:r>
      <w:r>
        <w:rPr>
          <w:sz w:val="21"/>
        </w:rPr>
        <w:t>provided</w:t>
      </w:r>
      <w:r>
        <w:rPr>
          <w:spacing w:val="22"/>
          <w:sz w:val="21"/>
        </w:rPr>
        <w:t> </w:t>
      </w:r>
      <w:r>
        <w:rPr>
          <w:sz w:val="21"/>
        </w:rPr>
        <w:t>guarantee</w:t>
      </w:r>
      <w:r>
        <w:rPr>
          <w:spacing w:val="22"/>
          <w:sz w:val="21"/>
        </w:rPr>
        <w:t> </w:t>
      </w:r>
      <w:r>
        <w:rPr>
          <w:sz w:val="21"/>
        </w:rPr>
        <w:t>to the</w:t>
      </w:r>
      <w:r>
        <w:rPr>
          <w:spacing w:val="40"/>
          <w:sz w:val="21"/>
        </w:rPr>
        <w:t> </w:t>
      </w:r>
      <w:r>
        <w:rPr>
          <w:sz w:val="21"/>
        </w:rPr>
        <w:t>financing</w:t>
      </w:r>
      <w:r>
        <w:rPr>
          <w:spacing w:val="40"/>
          <w:sz w:val="21"/>
        </w:rPr>
        <w:t> </w:t>
      </w:r>
      <w:r>
        <w:rPr>
          <w:sz w:val="21"/>
        </w:rPr>
        <w:t>of</w:t>
      </w:r>
      <w:r>
        <w:rPr>
          <w:spacing w:val="40"/>
          <w:sz w:val="21"/>
        </w:rPr>
        <w:t> </w:t>
      </w:r>
      <w:r>
        <w:rPr>
          <w:sz w:val="21"/>
        </w:rPr>
        <w:t>investments</w:t>
      </w:r>
      <w:r>
        <w:rPr>
          <w:spacing w:val="40"/>
          <w:sz w:val="21"/>
        </w:rPr>
        <w:t> </w:t>
      </w:r>
      <w:r>
        <w:rPr>
          <w:sz w:val="21"/>
        </w:rPr>
        <w:t>and</w:t>
      </w:r>
      <w:r>
        <w:rPr>
          <w:spacing w:val="40"/>
          <w:sz w:val="21"/>
        </w:rPr>
        <w:t> </w:t>
      </w:r>
      <w:r>
        <w:rPr>
          <w:sz w:val="21"/>
        </w:rPr>
        <w:t>obligations</w:t>
      </w:r>
      <w:r>
        <w:rPr>
          <w:spacing w:val="40"/>
          <w:sz w:val="21"/>
        </w:rPr>
        <w:t> </w:t>
      </w:r>
      <w:r>
        <w:rPr>
          <w:sz w:val="21"/>
        </w:rPr>
        <w:t>which</w:t>
      </w:r>
      <w:r>
        <w:rPr>
          <w:spacing w:val="40"/>
          <w:sz w:val="21"/>
        </w:rPr>
        <w:t> </w:t>
      </w:r>
      <w:r>
        <w:rPr>
          <w:sz w:val="21"/>
        </w:rPr>
        <w:t>the</w:t>
      </w:r>
      <w:r>
        <w:rPr>
          <w:spacing w:val="40"/>
          <w:sz w:val="21"/>
        </w:rPr>
        <w:t> </w:t>
      </w:r>
      <w:r>
        <w:rPr>
          <w:sz w:val="21"/>
        </w:rPr>
        <w:t>Concessionaire</w:t>
      </w:r>
      <w:r>
        <w:rPr>
          <w:spacing w:val="40"/>
          <w:sz w:val="21"/>
        </w:rPr>
        <w:t> </w:t>
      </w:r>
      <w:r>
        <w:rPr>
          <w:sz w:val="21"/>
        </w:rPr>
        <w:t>has</w:t>
      </w:r>
      <w:r>
        <w:rPr>
          <w:spacing w:val="40"/>
          <w:sz w:val="21"/>
        </w:rPr>
        <w:t> </w:t>
      </w:r>
      <w:r>
        <w:rPr>
          <w:sz w:val="21"/>
        </w:rPr>
        <w:t>contractually</w:t>
      </w:r>
      <w:r>
        <w:rPr>
          <w:spacing w:val="40"/>
          <w:sz w:val="21"/>
        </w:rPr>
        <w:t> </w:t>
      </w:r>
      <w:r>
        <w:rPr>
          <w:sz w:val="21"/>
        </w:rPr>
        <w:t>undertaken</w:t>
      </w:r>
      <w:r>
        <w:rPr>
          <w:spacing w:val="40"/>
          <w:sz w:val="21"/>
        </w:rPr>
        <w:t> </w:t>
      </w:r>
      <w:r>
        <w:rPr>
          <w:sz w:val="21"/>
        </w:rPr>
        <w:t>to</w:t>
      </w:r>
      <w:r>
        <w:rPr>
          <w:spacing w:val="40"/>
          <w:sz w:val="21"/>
        </w:rPr>
        <w:t> </w:t>
      </w:r>
      <w:r>
        <w:rPr>
          <w:sz w:val="21"/>
        </w:rPr>
        <w:t>make</w:t>
      </w:r>
      <w:r>
        <w:rPr>
          <w:spacing w:val="40"/>
          <w:sz w:val="21"/>
        </w:rPr>
        <w:t> </w:t>
      </w:r>
      <w:r>
        <w:rPr>
          <w:sz w:val="21"/>
        </w:rPr>
        <w:t>or </w:t>
      </w:r>
      <w:r>
        <w:rPr>
          <w:spacing w:val="-2"/>
          <w:sz w:val="21"/>
        </w:rPr>
        <w:t>assume;</w:t>
      </w:r>
    </w:p>
    <w:p>
      <w:pPr>
        <w:pStyle w:val="BodyText"/>
        <w:spacing w:before="153"/>
        <w:rPr>
          <w:sz w:val="21"/>
        </w:rPr>
      </w:pPr>
    </w:p>
    <w:p>
      <w:pPr>
        <w:pStyle w:val="ListParagraph"/>
        <w:numPr>
          <w:ilvl w:val="1"/>
          <w:numId w:val="29"/>
        </w:numPr>
        <w:tabs>
          <w:tab w:pos="1351" w:val="left" w:leader="none"/>
          <w:tab w:pos="1359" w:val="left" w:leader="none"/>
        </w:tabs>
        <w:spacing w:line="213" w:lineRule="auto" w:before="0" w:after="0"/>
        <w:ind w:left="1359" w:right="118" w:hanging="324"/>
        <w:jc w:val="both"/>
        <w:rPr>
          <w:sz w:val="21"/>
        </w:rPr>
      </w:pPr>
      <w:r>
        <w:rPr>
          <w:sz w:val="21"/>
        </w:rPr>
        <w:t>The shareholders holding 5% or more of its share capital who, in accordance with Section 18 (1) subparagraph 2) </w:t>
      </w:r>
      <w:r>
        <w:rPr>
          <w:sz w:val="21"/>
        </w:rPr>
        <w:t>of Administrative Regulation No. 26/2001, have undertaken the commitment or provided the guarantee to finance the investments</w:t>
      </w:r>
      <w:r>
        <w:rPr>
          <w:spacing w:val="33"/>
          <w:sz w:val="21"/>
        </w:rPr>
        <w:t> </w:t>
      </w:r>
      <w:r>
        <w:rPr>
          <w:sz w:val="21"/>
        </w:rPr>
        <w:t>and</w:t>
      </w:r>
      <w:r>
        <w:rPr>
          <w:spacing w:val="33"/>
          <w:sz w:val="21"/>
        </w:rPr>
        <w:t> </w:t>
      </w:r>
      <w:r>
        <w:rPr>
          <w:sz w:val="21"/>
        </w:rPr>
        <w:t>obligations</w:t>
      </w:r>
      <w:r>
        <w:rPr>
          <w:spacing w:val="33"/>
          <w:sz w:val="21"/>
        </w:rPr>
        <w:t> </w:t>
      </w:r>
      <w:r>
        <w:rPr>
          <w:sz w:val="21"/>
        </w:rPr>
        <w:t>which</w:t>
      </w:r>
      <w:r>
        <w:rPr>
          <w:spacing w:val="33"/>
          <w:sz w:val="21"/>
        </w:rPr>
        <w:t> </w:t>
      </w:r>
      <w:r>
        <w:rPr>
          <w:sz w:val="21"/>
        </w:rPr>
        <w:t>the</w:t>
      </w:r>
      <w:r>
        <w:rPr>
          <w:spacing w:val="33"/>
          <w:sz w:val="21"/>
        </w:rPr>
        <w:t> </w:t>
      </w:r>
      <w:r>
        <w:rPr>
          <w:sz w:val="21"/>
        </w:rPr>
        <w:t>Concessionaire</w:t>
      </w:r>
      <w:r>
        <w:rPr>
          <w:spacing w:val="33"/>
          <w:sz w:val="21"/>
        </w:rPr>
        <w:t> </w:t>
      </w:r>
      <w:r>
        <w:rPr>
          <w:sz w:val="21"/>
        </w:rPr>
        <w:t>has</w:t>
      </w:r>
      <w:r>
        <w:rPr>
          <w:spacing w:val="33"/>
          <w:sz w:val="21"/>
        </w:rPr>
        <w:t> </w:t>
      </w:r>
      <w:r>
        <w:rPr>
          <w:sz w:val="21"/>
        </w:rPr>
        <w:t>contractually</w:t>
      </w:r>
      <w:r>
        <w:rPr>
          <w:spacing w:val="33"/>
          <w:sz w:val="21"/>
        </w:rPr>
        <w:t> </w:t>
      </w:r>
      <w:r>
        <w:rPr>
          <w:sz w:val="21"/>
        </w:rPr>
        <w:t>undertaken</w:t>
      </w:r>
      <w:r>
        <w:rPr>
          <w:spacing w:val="33"/>
          <w:sz w:val="21"/>
        </w:rPr>
        <w:t> </w:t>
      </w:r>
      <w:r>
        <w:rPr>
          <w:sz w:val="21"/>
        </w:rPr>
        <w:t>to</w:t>
      </w:r>
      <w:r>
        <w:rPr>
          <w:spacing w:val="33"/>
          <w:sz w:val="21"/>
        </w:rPr>
        <w:t> </w:t>
      </w:r>
      <w:r>
        <w:rPr>
          <w:sz w:val="21"/>
        </w:rPr>
        <w:t>make</w:t>
      </w:r>
      <w:r>
        <w:rPr>
          <w:spacing w:val="33"/>
          <w:sz w:val="21"/>
        </w:rPr>
        <w:t> </w:t>
      </w:r>
      <w:r>
        <w:rPr>
          <w:sz w:val="21"/>
        </w:rPr>
        <w:t>or</w:t>
      </w:r>
      <w:r>
        <w:rPr>
          <w:spacing w:val="33"/>
          <w:sz w:val="21"/>
        </w:rPr>
        <w:t> </w:t>
      </w:r>
      <w:r>
        <w:rPr>
          <w:sz w:val="21"/>
        </w:rPr>
        <w:t>assume;</w:t>
      </w:r>
    </w:p>
    <w:p>
      <w:pPr>
        <w:pStyle w:val="BodyText"/>
        <w:spacing w:before="167"/>
        <w:rPr>
          <w:sz w:val="21"/>
        </w:rPr>
      </w:pPr>
    </w:p>
    <w:p>
      <w:pPr>
        <w:pStyle w:val="ListParagraph"/>
        <w:numPr>
          <w:ilvl w:val="0"/>
          <w:numId w:val="29"/>
        </w:numPr>
        <w:tabs>
          <w:tab w:pos="902" w:val="left" w:leader="none"/>
          <w:tab w:pos="910" w:val="left" w:leader="none"/>
        </w:tabs>
        <w:spacing w:line="213" w:lineRule="auto" w:before="0" w:after="0"/>
        <w:ind w:left="910" w:right="119" w:hanging="256"/>
        <w:jc w:val="left"/>
        <w:rPr>
          <w:sz w:val="21"/>
        </w:rPr>
      </w:pPr>
      <w:r>
        <w:rPr>
          <w:sz w:val="21"/>
        </w:rPr>
        <w:t>Inform</w:t>
      </w:r>
      <w:r>
        <w:rPr>
          <w:spacing w:val="26"/>
          <w:sz w:val="21"/>
        </w:rPr>
        <w:t> </w:t>
      </w:r>
      <w:r>
        <w:rPr>
          <w:sz w:val="21"/>
        </w:rPr>
        <w:t>DICJ,</w:t>
      </w:r>
      <w:r>
        <w:rPr>
          <w:spacing w:val="26"/>
          <w:sz w:val="21"/>
        </w:rPr>
        <w:t> </w:t>
      </w:r>
      <w:r>
        <w:rPr>
          <w:sz w:val="21"/>
        </w:rPr>
        <w:t>as</w:t>
      </w:r>
      <w:r>
        <w:rPr>
          <w:spacing w:val="26"/>
          <w:sz w:val="21"/>
        </w:rPr>
        <w:t> </w:t>
      </w:r>
      <w:r>
        <w:rPr>
          <w:sz w:val="21"/>
        </w:rPr>
        <w:t>soon</w:t>
      </w:r>
      <w:r>
        <w:rPr>
          <w:spacing w:val="26"/>
          <w:sz w:val="21"/>
        </w:rPr>
        <w:t> </w:t>
      </w:r>
      <w:r>
        <w:rPr>
          <w:sz w:val="21"/>
        </w:rPr>
        <w:t>as</w:t>
      </w:r>
      <w:r>
        <w:rPr>
          <w:spacing w:val="26"/>
          <w:sz w:val="21"/>
        </w:rPr>
        <w:t> </w:t>
      </w:r>
      <w:r>
        <w:rPr>
          <w:sz w:val="21"/>
        </w:rPr>
        <w:t>possible,</w:t>
      </w:r>
      <w:r>
        <w:rPr>
          <w:spacing w:val="26"/>
          <w:sz w:val="21"/>
        </w:rPr>
        <w:t> </w:t>
      </w:r>
      <w:r>
        <w:rPr>
          <w:sz w:val="21"/>
        </w:rPr>
        <w:t>when</w:t>
      </w:r>
      <w:r>
        <w:rPr>
          <w:spacing w:val="26"/>
          <w:sz w:val="21"/>
        </w:rPr>
        <w:t> </w:t>
      </w:r>
      <w:r>
        <w:rPr>
          <w:sz w:val="21"/>
        </w:rPr>
        <w:t>the</w:t>
      </w:r>
      <w:r>
        <w:rPr>
          <w:spacing w:val="26"/>
          <w:sz w:val="21"/>
        </w:rPr>
        <w:t> </w:t>
      </w:r>
      <w:r>
        <w:rPr>
          <w:sz w:val="21"/>
        </w:rPr>
        <w:t>average</w:t>
      </w:r>
      <w:r>
        <w:rPr>
          <w:spacing w:val="26"/>
          <w:sz w:val="21"/>
        </w:rPr>
        <w:t> </w:t>
      </w:r>
      <w:r>
        <w:rPr>
          <w:sz w:val="21"/>
        </w:rPr>
        <w:t>annual</w:t>
      </w:r>
      <w:r>
        <w:rPr>
          <w:spacing w:val="26"/>
          <w:sz w:val="21"/>
        </w:rPr>
        <w:t> </w:t>
      </w:r>
      <w:r>
        <w:rPr>
          <w:sz w:val="21"/>
        </w:rPr>
        <w:t>turnover</w:t>
      </w:r>
      <w:r>
        <w:rPr>
          <w:spacing w:val="26"/>
          <w:sz w:val="21"/>
        </w:rPr>
        <w:t> </w:t>
      </w:r>
      <w:r>
        <w:rPr>
          <w:sz w:val="21"/>
        </w:rPr>
        <w:t>with</w:t>
      </w:r>
      <w:r>
        <w:rPr>
          <w:spacing w:val="26"/>
          <w:sz w:val="21"/>
        </w:rPr>
        <w:t> </w:t>
      </w:r>
      <w:r>
        <w:rPr>
          <w:sz w:val="21"/>
        </w:rPr>
        <w:t>a</w:t>
      </w:r>
      <w:r>
        <w:rPr>
          <w:spacing w:val="26"/>
          <w:sz w:val="21"/>
        </w:rPr>
        <w:t> </w:t>
      </w:r>
      <w:r>
        <w:rPr>
          <w:sz w:val="21"/>
        </w:rPr>
        <w:t>third</w:t>
      </w:r>
      <w:r>
        <w:rPr>
          <w:spacing w:val="26"/>
          <w:sz w:val="21"/>
        </w:rPr>
        <w:t> </w:t>
      </w:r>
      <w:r>
        <w:rPr>
          <w:sz w:val="21"/>
        </w:rPr>
        <w:t>party</w:t>
      </w:r>
      <w:r>
        <w:rPr>
          <w:spacing w:val="26"/>
          <w:sz w:val="21"/>
        </w:rPr>
        <w:t> </w:t>
      </w:r>
      <w:r>
        <w:rPr>
          <w:sz w:val="21"/>
        </w:rPr>
        <w:t>has</w:t>
      </w:r>
      <w:r>
        <w:rPr>
          <w:spacing w:val="26"/>
          <w:sz w:val="21"/>
        </w:rPr>
        <w:t> </w:t>
      </w:r>
      <w:r>
        <w:rPr>
          <w:sz w:val="21"/>
        </w:rPr>
        <w:t>reached</w:t>
      </w:r>
      <w:r>
        <w:rPr>
          <w:spacing w:val="26"/>
          <w:sz w:val="21"/>
        </w:rPr>
        <w:t> </w:t>
      </w:r>
      <w:r>
        <w:rPr>
          <w:sz w:val="21"/>
        </w:rPr>
        <w:t>an</w:t>
      </w:r>
      <w:r>
        <w:rPr>
          <w:spacing w:val="26"/>
          <w:sz w:val="21"/>
        </w:rPr>
        <w:t> </w:t>
      </w:r>
      <w:r>
        <w:rPr>
          <w:sz w:val="21"/>
        </w:rPr>
        <w:t>amount</w:t>
      </w:r>
      <w:r>
        <w:rPr>
          <w:spacing w:val="26"/>
          <w:sz w:val="21"/>
        </w:rPr>
        <w:t> </w:t>
      </w:r>
      <w:r>
        <w:rPr>
          <w:sz w:val="21"/>
        </w:rPr>
        <w:t>equal</w:t>
      </w:r>
      <w:r>
        <w:rPr>
          <w:spacing w:val="26"/>
          <w:sz w:val="21"/>
        </w:rPr>
        <w:t> </w:t>
      </w:r>
      <w:r>
        <w:rPr>
          <w:sz w:val="21"/>
        </w:rPr>
        <w:t>to</w:t>
      </w:r>
      <w:r>
        <w:rPr>
          <w:spacing w:val="26"/>
          <w:sz w:val="21"/>
        </w:rPr>
        <w:t> </w:t>
      </w:r>
      <w:r>
        <w:rPr>
          <w:sz w:val="21"/>
        </w:rPr>
        <w:t>or higher than MOP 500,000,000 (five hundred million patacas);</w:t>
      </w:r>
    </w:p>
    <w:p>
      <w:pPr>
        <w:pStyle w:val="BodyText"/>
        <w:spacing w:before="130"/>
        <w:rPr>
          <w:sz w:val="21"/>
        </w:rPr>
      </w:pPr>
    </w:p>
    <w:p>
      <w:pPr>
        <w:pStyle w:val="ListParagraph"/>
        <w:numPr>
          <w:ilvl w:val="0"/>
          <w:numId w:val="29"/>
        </w:numPr>
        <w:tabs>
          <w:tab w:pos="887" w:val="left" w:leader="none"/>
        </w:tabs>
        <w:spacing w:line="240" w:lineRule="auto" w:before="0" w:after="0"/>
        <w:ind w:left="887" w:right="0" w:hanging="233"/>
        <w:jc w:val="left"/>
        <w:rPr>
          <w:sz w:val="21"/>
        </w:rPr>
      </w:pPr>
      <w:r>
        <w:rPr>
          <w:sz w:val="21"/>
        </w:rPr>
        <w:t>Submit</w:t>
      </w:r>
      <w:r>
        <w:rPr>
          <w:spacing w:val="9"/>
          <w:sz w:val="21"/>
        </w:rPr>
        <w:t> </w:t>
      </w:r>
      <w:r>
        <w:rPr>
          <w:sz w:val="21"/>
        </w:rPr>
        <w:t>to</w:t>
      </w:r>
      <w:r>
        <w:rPr>
          <w:spacing w:val="9"/>
          <w:sz w:val="21"/>
        </w:rPr>
        <w:t> </w:t>
      </w:r>
      <w:r>
        <w:rPr>
          <w:sz w:val="21"/>
        </w:rPr>
        <w:t>DICJ</w:t>
      </w:r>
      <w:r>
        <w:rPr>
          <w:spacing w:val="9"/>
          <w:sz w:val="21"/>
        </w:rPr>
        <w:t> </w:t>
      </w:r>
      <w:r>
        <w:rPr>
          <w:sz w:val="21"/>
        </w:rPr>
        <w:t>annually,</w:t>
      </w:r>
      <w:r>
        <w:rPr>
          <w:spacing w:val="9"/>
          <w:sz w:val="21"/>
        </w:rPr>
        <w:t> </w:t>
      </w:r>
      <w:r>
        <w:rPr>
          <w:sz w:val="21"/>
        </w:rPr>
        <w:t>during</w:t>
      </w:r>
      <w:r>
        <w:rPr>
          <w:spacing w:val="9"/>
          <w:sz w:val="21"/>
        </w:rPr>
        <w:t> </w:t>
      </w:r>
      <w:r>
        <w:rPr>
          <w:sz w:val="21"/>
        </w:rPr>
        <w:t>the</w:t>
      </w:r>
      <w:r>
        <w:rPr>
          <w:spacing w:val="9"/>
          <w:sz w:val="21"/>
        </w:rPr>
        <w:t> </w:t>
      </w:r>
      <w:r>
        <w:rPr>
          <w:sz w:val="21"/>
        </w:rPr>
        <w:t>month</w:t>
      </w:r>
      <w:r>
        <w:rPr>
          <w:spacing w:val="9"/>
          <w:sz w:val="21"/>
        </w:rPr>
        <w:t> </w:t>
      </w:r>
      <w:r>
        <w:rPr>
          <w:sz w:val="21"/>
        </w:rPr>
        <w:t>of</w:t>
      </w:r>
      <w:r>
        <w:rPr>
          <w:spacing w:val="9"/>
          <w:sz w:val="21"/>
        </w:rPr>
        <w:t> </w:t>
      </w:r>
      <w:r>
        <w:rPr>
          <w:sz w:val="21"/>
        </w:rPr>
        <w:t>January,</w:t>
      </w:r>
      <w:r>
        <w:rPr>
          <w:spacing w:val="9"/>
          <w:sz w:val="21"/>
        </w:rPr>
        <w:t> </w:t>
      </w:r>
      <w:r>
        <w:rPr>
          <w:sz w:val="21"/>
        </w:rPr>
        <w:t>a</w:t>
      </w:r>
      <w:r>
        <w:rPr>
          <w:spacing w:val="9"/>
          <w:sz w:val="21"/>
        </w:rPr>
        <w:t> </w:t>
      </w:r>
      <w:r>
        <w:rPr>
          <w:sz w:val="21"/>
        </w:rPr>
        <w:t>document</w:t>
      </w:r>
      <w:r>
        <w:rPr>
          <w:spacing w:val="9"/>
          <w:sz w:val="21"/>
        </w:rPr>
        <w:t> </w:t>
      </w:r>
      <w:r>
        <w:rPr>
          <w:sz w:val="21"/>
        </w:rPr>
        <w:t>showing</w:t>
      </w:r>
      <w:r>
        <w:rPr>
          <w:spacing w:val="9"/>
          <w:sz w:val="21"/>
        </w:rPr>
        <w:t> </w:t>
      </w:r>
      <w:r>
        <w:rPr>
          <w:sz w:val="21"/>
        </w:rPr>
        <w:t>all</w:t>
      </w:r>
      <w:r>
        <w:rPr>
          <w:spacing w:val="9"/>
          <w:sz w:val="21"/>
        </w:rPr>
        <w:t> </w:t>
      </w:r>
      <w:r>
        <w:rPr>
          <w:sz w:val="21"/>
        </w:rPr>
        <w:t>their</w:t>
      </w:r>
      <w:r>
        <w:rPr>
          <w:spacing w:val="9"/>
          <w:sz w:val="21"/>
        </w:rPr>
        <w:t> </w:t>
      </w:r>
      <w:r>
        <w:rPr>
          <w:sz w:val="21"/>
        </w:rPr>
        <w:t>bank</w:t>
      </w:r>
      <w:r>
        <w:rPr>
          <w:spacing w:val="9"/>
          <w:sz w:val="21"/>
        </w:rPr>
        <w:t> </w:t>
      </w:r>
      <w:r>
        <w:rPr>
          <w:sz w:val="21"/>
        </w:rPr>
        <w:t>accounts</w:t>
      </w:r>
      <w:r>
        <w:rPr>
          <w:spacing w:val="9"/>
          <w:sz w:val="21"/>
        </w:rPr>
        <w:t> </w:t>
      </w:r>
      <w:r>
        <w:rPr>
          <w:sz w:val="21"/>
        </w:rPr>
        <w:t>and</w:t>
      </w:r>
      <w:r>
        <w:rPr>
          <w:spacing w:val="9"/>
          <w:sz w:val="21"/>
        </w:rPr>
        <w:t> </w:t>
      </w:r>
      <w:r>
        <w:rPr>
          <w:sz w:val="21"/>
        </w:rPr>
        <w:t>respective</w:t>
      </w:r>
      <w:r>
        <w:rPr>
          <w:spacing w:val="9"/>
          <w:sz w:val="21"/>
        </w:rPr>
        <w:t> </w:t>
      </w:r>
      <w:r>
        <w:rPr>
          <w:spacing w:val="-2"/>
          <w:sz w:val="21"/>
        </w:rPr>
        <w:t>balances;</w:t>
      </w:r>
    </w:p>
    <w:p>
      <w:pPr>
        <w:pStyle w:val="BodyText"/>
        <w:spacing w:before="125"/>
        <w:rPr>
          <w:sz w:val="21"/>
        </w:rPr>
      </w:pPr>
    </w:p>
    <w:p>
      <w:pPr>
        <w:pStyle w:val="ListParagraph"/>
        <w:numPr>
          <w:ilvl w:val="0"/>
          <w:numId w:val="29"/>
        </w:numPr>
        <w:tabs>
          <w:tab w:pos="887" w:val="left" w:leader="none"/>
        </w:tabs>
        <w:spacing w:line="240" w:lineRule="auto" w:before="0" w:after="0"/>
        <w:ind w:left="887" w:right="0" w:hanging="233"/>
        <w:jc w:val="left"/>
        <w:rPr>
          <w:sz w:val="21"/>
        </w:rPr>
      </w:pPr>
      <w:r>
        <w:rPr>
          <w:sz w:val="21"/>
        </w:rPr>
        <w:t>Submit,</w:t>
      </w:r>
      <w:r>
        <w:rPr>
          <w:spacing w:val="12"/>
          <w:sz w:val="21"/>
        </w:rPr>
        <w:t> </w:t>
      </w:r>
      <w:r>
        <w:rPr>
          <w:sz w:val="21"/>
        </w:rPr>
        <w:t>as</w:t>
      </w:r>
      <w:r>
        <w:rPr>
          <w:spacing w:val="12"/>
          <w:sz w:val="21"/>
        </w:rPr>
        <w:t> </w:t>
      </w:r>
      <w:r>
        <w:rPr>
          <w:sz w:val="21"/>
        </w:rPr>
        <w:t>soon</w:t>
      </w:r>
      <w:r>
        <w:rPr>
          <w:spacing w:val="12"/>
          <w:sz w:val="21"/>
        </w:rPr>
        <w:t> </w:t>
      </w:r>
      <w:r>
        <w:rPr>
          <w:sz w:val="21"/>
        </w:rPr>
        <w:t>as</w:t>
      </w:r>
      <w:r>
        <w:rPr>
          <w:spacing w:val="13"/>
          <w:sz w:val="21"/>
        </w:rPr>
        <w:t> </w:t>
      </w:r>
      <w:r>
        <w:rPr>
          <w:sz w:val="21"/>
        </w:rPr>
        <w:t>possible,</w:t>
      </w:r>
      <w:r>
        <w:rPr>
          <w:spacing w:val="12"/>
          <w:sz w:val="21"/>
        </w:rPr>
        <w:t> </w:t>
      </w:r>
      <w:r>
        <w:rPr>
          <w:sz w:val="21"/>
        </w:rPr>
        <w:t>any</w:t>
      </w:r>
      <w:r>
        <w:rPr>
          <w:spacing w:val="12"/>
          <w:sz w:val="21"/>
        </w:rPr>
        <w:t> </w:t>
      </w:r>
      <w:r>
        <w:rPr>
          <w:sz w:val="21"/>
        </w:rPr>
        <w:t>complementary</w:t>
      </w:r>
      <w:r>
        <w:rPr>
          <w:spacing w:val="13"/>
          <w:sz w:val="21"/>
        </w:rPr>
        <w:t> </w:t>
      </w:r>
      <w:r>
        <w:rPr>
          <w:sz w:val="21"/>
        </w:rPr>
        <w:t>or</w:t>
      </w:r>
      <w:r>
        <w:rPr>
          <w:spacing w:val="12"/>
          <w:sz w:val="21"/>
        </w:rPr>
        <w:t> </w:t>
      </w:r>
      <w:r>
        <w:rPr>
          <w:sz w:val="21"/>
        </w:rPr>
        <w:t>additional</w:t>
      </w:r>
      <w:r>
        <w:rPr>
          <w:spacing w:val="12"/>
          <w:sz w:val="21"/>
        </w:rPr>
        <w:t> </w:t>
      </w:r>
      <w:r>
        <w:rPr>
          <w:sz w:val="21"/>
        </w:rPr>
        <w:t>information</w:t>
      </w:r>
      <w:r>
        <w:rPr>
          <w:spacing w:val="12"/>
          <w:sz w:val="21"/>
        </w:rPr>
        <w:t> </w:t>
      </w:r>
      <w:r>
        <w:rPr>
          <w:sz w:val="21"/>
        </w:rPr>
        <w:t>requested</w:t>
      </w:r>
      <w:r>
        <w:rPr>
          <w:spacing w:val="13"/>
          <w:sz w:val="21"/>
        </w:rPr>
        <w:t> </w:t>
      </w:r>
      <w:r>
        <w:rPr>
          <w:sz w:val="21"/>
        </w:rPr>
        <w:t>by</w:t>
      </w:r>
      <w:r>
        <w:rPr>
          <w:spacing w:val="12"/>
          <w:sz w:val="21"/>
        </w:rPr>
        <w:t> </w:t>
      </w:r>
      <w:r>
        <w:rPr>
          <w:spacing w:val="-2"/>
          <w:sz w:val="21"/>
        </w:rPr>
        <w:t>DICJ;</w:t>
      </w:r>
    </w:p>
    <w:p>
      <w:pPr>
        <w:pStyle w:val="BodyText"/>
        <w:spacing w:before="159"/>
        <w:rPr>
          <w:sz w:val="21"/>
        </w:rPr>
      </w:pPr>
    </w:p>
    <w:p>
      <w:pPr>
        <w:pStyle w:val="ListParagraph"/>
        <w:numPr>
          <w:ilvl w:val="0"/>
          <w:numId w:val="29"/>
        </w:numPr>
        <w:tabs>
          <w:tab w:pos="910" w:val="left" w:leader="none"/>
        </w:tabs>
        <w:spacing w:line="213" w:lineRule="auto" w:before="1" w:after="0"/>
        <w:ind w:left="910" w:right="118" w:hanging="256"/>
        <w:jc w:val="left"/>
        <w:rPr>
          <w:sz w:val="21"/>
        </w:rPr>
      </w:pPr>
      <w:r>
        <w:rPr>
          <w:sz w:val="21"/>
        </w:rPr>
        <w:t>Submit,</w:t>
      </w:r>
      <w:r>
        <w:rPr>
          <w:spacing w:val="36"/>
          <w:sz w:val="21"/>
        </w:rPr>
        <w:t> </w:t>
      </w:r>
      <w:r>
        <w:rPr>
          <w:sz w:val="21"/>
        </w:rPr>
        <w:t>as</w:t>
      </w:r>
      <w:r>
        <w:rPr>
          <w:spacing w:val="36"/>
          <w:sz w:val="21"/>
        </w:rPr>
        <w:t> </w:t>
      </w:r>
      <w:r>
        <w:rPr>
          <w:sz w:val="21"/>
        </w:rPr>
        <w:t>soon</w:t>
      </w:r>
      <w:r>
        <w:rPr>
          <w:spacing w:val="36"/>
          <w:sz w:val="21"/>
        </w:rPr>
        <w:t> </w:t>
      </w:r>
      <w:r>
        <w:rPr>
          <w:sz w:val="21"/>
        </w:rPr>
        <w:t>as</w:t>
      </w:r>
      <w:r>
        <w:rPr>
          <w:spacing w:val="36"/>
          <w:sz w:val="21"/>
        </w:rPr>
        <w:t> </w:t>
      </w:r>
      <w:r>
        <w:rPr>
          <w:sz w:val="21"/>
        </w:rPr>
        <w:t>possible,</w:t>
      </w:r>
      <w:r>
        <w:rPr>
          <w:spacing w:val="36"/>
          <w:sz w:val="21"/>
        </w:rPr>
        <w:t> </w:t>
      </w:r>
      <w:r>
        <w:rPr>
          <w:sz w:val="21"/>
        </w:rPr>
        <w:t>to</w:t>
      </w:r>
      <w:r>
        <w:rPr>
          <w:spacing w:val="36"/>
          <w:sz w:val="21"/>
        </w:rPr>
        <w:t> </w:t>
      </w:r>
      <w:r>
        <w:rPr>
          <w:sz w:val="21"/>
        </w:rPr>
        <w:t>DICJ</w:t>
      </w:r>
      <w:r>
        <w:rPr>
          <w:spacing w:val="36"/>
          <w:sz w:val="21"/>
        </w:rPr>
        <w:t> </w:t>
      </w:r>
      <w:r>
        <w:rPr>
          <w:sz w:val="21"/>
        </w:rPr>
        <w:t>and</w:t>
      </w:r>
      <w:r>
        <w:rPr>
          <w:spacing w:val="36"/>
          <w:sz w:val="21"/>
        </w:rPr>
        <w:t> </w:t>
      </w:r>
      <w:r>
        <w:rPr>
          <w:sz w:val="21"/>
        </w:rPr>
        <w:t>the</w:t>
      </w:r>
      <w:r>
        <w:rPr>
          <w:spacing w:val="36"/>
          <w:sz w:val="21"/>
        </w:rPr>
        <w:t> </w:t>
      </w:r>
      <w:r>
        <w:rPr>
          <w:sz w:val="21"/>
        </w:rPr>
        <w:t>Financial</w:t>
      </w:r>
      <w:r>
        <w:rPr>
          <w:spacing w:val="36"/>
          <w:sz w:val="21"/>
        </w:rPr>
        <w:t> </w:t>
      </w:r>
      <w:r>
        <w:rPr>
          <w:sz w:val="21"/>
        </w:rPr>
        <w:t>Services</w:t>
      </w:r>
      <w:r>
        <w:rPr>
          <w:spacing w:val="36"/>
          <w:sz w:val="21"/>
        </w:rPr>
        <w:t> </w:t>
      </w:r>
      <w:r>
        <w:rPr>
          <w:sz w:val="21"/>
        </w:rPr>
        <w:t>Bureau</w:t>
      </w:r>
      <w:r>
        <w:rPr>
          <w:spacing w:val="36"/>
          <w:sz w:val="21"/>
        </w:rPr>
        <w:t> </w:t>
      </w:r>
      <w:r>
        <w:rPr>
          <w:sz w:val="21"/>
        </w:rPr>
        <w:t>(hereinafter</w:t>
      </w:r>
      <w:r>
        <w:rPr>
          <w:spacing w:val="36"/>
          <w:sz w:val="21"/>
        </w:rPr>
        <w:t> </w:t>
      </w:r>
      <w:r>
        <w:rPr>
          <w:sz w:val="21"/>
        </w:rPr>
        <w:t>referred</w:t>
      </w:r>
      <w:r>
        <w:rPr>
          <w:spacing w:val="36"/>
          <w:sz w:val="21"/>
        </w:rPr>
        <w:t> </w:t>
      </w:r>
      <w:r>
        <w:rPr>
          <w:sz w:val="21"/>
        </w:rPr>
        <w:t>to</w:t>
      </w:r>
      <w:r>
        <w:rPr>
          <w:spacing w:val="36"/>
          <w:sz w:val="21"/>
        </w:rPr>
        <w:t> </w:t>
      </w:r>
      <w:r>
        <w:rPr>
          <w:sz w:val="21"/>
        </w:rPr>
        <w:t>as</w:t>
      </w:r>
      <w:r>
        <w:rPr>
          <w:spacing w:val="36"/>
          <w:sz w:val="21"/>
        </w:rPr>
        <w:t> </w:t>
      </w:r>
      <w:r>
        <w:rPr>
          <w:b/>
          <w:sz w:val="21"/>
        </w:rPr>
        <w:t>DSF</w:t>
      </w:r>
      <w:r>
        <w:rPr>
          <w:sz w:val="21"/>
        </w:rPr>
        <w:t>),</w:t>
      </w:r>
      <w:r>
        <w:rPr>
          <w:spacing w:val="36"/>
          <w:sz w:val="21"/>
        </w:rPr>
        <w:t> </w:t>
      </w:r>
      <w:r>
        <w:rPr>
          <w:sz w:val="21"/>
        </w:rPr>
        <w:t>the</w:t>
      </w:r>
      <w:r>
        <w:rPr>
          <w:spacing w:val="36"/>
          <w:sz w:val="21"/>
        </w:rPr>
        <w:t> </w:t>
      </w:r>
      <w:r>
        <w:rPr>
          <w:sz w:val="21"/>
        </w:rPr>
        <w:t>details</w:t>
      </w:r>
      <w:r>
        <w:rPr>
          <w:spacing w:val="36"/>
          <w:sz w:val="21"/>
        </w:rPr>
        <w:t> </w:t>
      </w:r>
      <w:r>
        <w:rPr>
          <w:sz w:val="21"/>
        </w:rPr>
        <w:t>and information that these entities require for the proper performance of their functions.</w:t>
      </w:r>
    </w:p>
    <w:p>
      <w:pPr>
        <w:pStyle w:val="BodyText"/>
        <w:spacing w:before="130"/>
        <w:rPr>
          <w:sz w:val="21"/>
        </w:rPr>
      </w:pPr>
    </w:p>
    <w:p>
      <w:pPr>
        <w:spacing w:before="0"/>
        <w:ind w:left="144" w:right="0" w:firstLine="0"/>
        <w:jc w:val="left"/>
        <w:rPr>
          <w:sz w:val="21"/>
        </w:rPr>
      </w:pPr>
      <w:r>
        <w:rPr>
          <w:i/>
          <w:sz w:val="21"/>
        </w:rPr>
        <w:t>Two</w:t>
      </w:r>
      <w:r>
        <w:rPr>
          <w:sz w:val="21"/>
        </w:rPr>
        <w:t>.</w:t>
      </w:r>
      <w:r>
        <w:rPr>
          <w:spacing w:val="9"/>
          <w:sz w:val="21"/>
        </w:rPr>
        <w:t> </w:t>
      </w:r>
      <w:r>
        <w:rPr>
          <w:sz w:val="21"/>
        </w:rPr>
        <w:t>DICJ</w:t>
      </w:r>
      <w:r>
        <w:rPr>
          <w:spacing w:val="9"/>
          <w:sz w:val="21"/>
        </w:rPr>
        <w:t> </w:t>
      </w:r>
      <w:r>
        <w:rPr>
          <w:sz w:val="21"/>
        </w:rPr>
        <w:t>may</w:t>
      </w:r>
      <w:r>
        <w:rPr>
          <w:spacing w:val="10"/>
          <w:sz w:val="21"/>
        </w:rPr>
        <w:t> </w:t>
      </w:r>
      <w:r>
        <w:rPr>
          <w:sz w:val="21"/>
        </w:rPr>
        <w:t>determine</w:t>
      </w:r>
      <w:r>
        <w:rPr>
          <w:spacing w:val="9"/>
          <w:sz w:val="21"/>
        </w:rPr>
        <w:t> </w:t>
      </w:r>
      <w:r>
        <w:rPr>
          <w:sz w:val="21"/>
        </w:rPr>
        <w:t>that</w:t>
      </w:r>
      <w:r>
        <w:rPr>
          <w:spacing w:val="10"/>
          <w:sz w:val="21"/>
        </w:rPr>
        <w:t> </w:t>
      </w:r>
      <w:r>
        <w:rPr>
          <w:sz w:val="21"/>
        </w:rPr>
        <w:t>the</w:t>
      </w:r>
      <w:r>
        <w:rPr>
          <w:spacing w:val="9"/>
          <w:sz w:val="21"/>
        </w:rPr>
        <w:t> </w:t>
      </w:r>
      <w:r>
        <w:rPr>
          <w:sz w:val="21"/>
        </w:rPr>
        <w:t>obligations</w:t>
      </w:r>
      <w:r>
        <w:rPr>
          <w:spacing w:val="10"/>
          <w:sz w:val="21"/>
        </w:rPr>
        <w:t> </w:t>
      </w:r>
      <w:r>
        <w:rPr>
          <w:sz w:val="21"/>
        </w:rPr>
        <w:t>foreseen</w:t>
      </w:r>
      <w:r>
        <w:rPr>
          <w:spacing w:val="9"/>
          <w:sz w:val="21"/>
        </w:rPr>
        <w:t> </w:t>
      </w:r>
      <w:r>
        <w:rPr>
          <w:sz w:val="21"/>
        </w:rPr>
        <w:t>in</w:t>
      </w:r>
      <w:r>
        <w:rPr>
          <w:spacing w:val="10"/>
          <w:sz w:val="21"/>
        </w:rPr>
        <w:t> </w:t>
      </w:r>
      <w:r>
        <w:rPr>
          <w:sz w:val="21"/>
        </w:rPr>
        <w:t>subparagraphs</w:t>
      </w:r>
      <w:r>
        <w:rPr>
          <w:spacing w:val="9"/>
          <w:sz w:val="21"/>
        </w:rPr>
        <w:t> </w:t>
      </w:r>
      <w:r>
        <w:rPr>
          <w:sz w:val="21"/>
        </w:rPr>
        <w:t>3)</w:t>
      </w:r>
      <w:r>
        <w:rPr>
          <w:spacing w:val="10"/>
          <w:sz w:val="21"/>
        </w:rPr>
        <w:t> </w:t>
      </w:r>
      <w:r>
        <w:rPr>
          <w:sz w:val="21"/>
        </w:rPr>
        <w:t>and</w:t>
      </w:r>
      <w:r>
        <w:rPr>
          <w:spacing w:val="9"/>
          <w:sz w:val="21"/>
        </w:rPr>
        <w:t> </w:t>
      </w:r>
      <w:r>
        <w:rPr>
          <w:sz w:val="21"/>
        </w:rPr>
        <w:t>4)</w:t>
      </w:r>
      <w:r>
        <w:rPr>
          <w:spacing w:val="10"/>
          <w:sz w:val="21"/>
        </w:rPr>
        <w:t> </w:t>
      </w:r>
      <w:r>
        <w:rPr>
          <w:sz w:val="21"/>
        </w:rPr>
        <w:t>of</w:t>
      </w:r>
      <w:r>
        <w:rPr>
          <w:spacing w:val="9"/>
          <w:sz w:val="21"/>
        </w:rPr>
        <w:t> </w:t>
      </w:r>
      <w:r>
        <w:rPr>
          <w:sz w:val="21"/>
        </w:rPr>
        <w:t>the</w:t>
      </w:r>
      <w:r>
        <w:rPr>
          <w:spacing w:val="10"/>
          <w:sz w:val="21"/>
        </w:rPr>
        <w:t> </w:t>
      </w:r>
      <w:r>
        <w:rPr>
          <w:sz w:val="21"/>
        </w:rPr>
        <w:t>previous</w:t>
      </w:r>
      <w:r>
        <w:rPr>
          <w:spacing w:val="9"/>
          <w:sz w:val="21"/>
        </w:rPr>
        <w:t> </w:t>
      </w:r>
      <w:r>
        <w:rPr>
          <w:sz w:val="21"/>
        </w:rPr>
        <w:t>paragraph</w:t>
      </w:r>
      <w:r>
        <w:rPr>
          <w:spacing w:val="9"/>
          <w:sz w:val="21"/>
        </w:rPr>
        <w:t> </w:t>
      </w:r>
      <w:r>
        <w:rPr>
          <w:sz w:val="21"/>
        </w:rPr>
        <w:t>shall</w:t>
      </w:r>
      <w:r>
        <w:rPr>
          <w:spacing w:val="10"/>
          <w:sz w:val="21"/>
        </w:rPr>
        <w:t> </w:t>
      </w:r>
      <w:r>
        <w:rPr>
          <w:sz w:val="21"/>
        </w:rPr>
        <w:t>be</w:t>
      </w:r>
      <w:r>
        <w:rPr>
          <w:spacing w:val="9"/>
          <w:sz w:val="21"/>
        </w:rPr>
        <w:t> </w:t>
      </w:r>
      <w:r>
        <w:rPr>
          <w:spacing w:val="-2"/>
          <w:sz w:val="21"/>
        </w:rPr>
        <w:t>annual.</w:t>
      </w:r>
    </w:p>
    <w:p>
      <w:pPr>
        <w:pStyle w:val="BodyText"/>
        <w:spacing w:before="114"/>
        <w:rPr>
          <w:sz w:val="21"/>
        </w:rPr>
      </w:pPr>
    </w:p>
    <w:p>
      <w:pPr>
        <w:pStyle w:val="Heading1"/>
      </w:pPr>
      <w:r>
        <w:rPr/>
        <w:t>CHAPTER </w:t>
      </w:r>
      <w:r>
        <w:rPr>
          <w:spacing w:val="-5"/>
        </w:rPr>
        <w:t>IV</w:t>
      </w:r>
    </w:p>
    <w:p>
      <w:pPr>
        <w:pStyle w:val="Heading2"/>
        <w:spacing w:before="64"/>
      </w:pPr>
      <w:r>
        <w:rPr/>
        <w:t>Management </w:t>
      </w:r>
      <w:r>
        <w:rPr>
          <w:spacing w:val="-2"/>
        </w:rPr>
        <w:t>Company</w:t>
      </w:r>
    </w:p>
    <w:p>
      <w:pPr>
        <w:pStyle w:val="BodyText"/>
        <w:spacing w:before="83"/>
        <w:rPr>
          <w:b/>
          <w:sz w:val="25"/>
        </w:rPr>
      </w:pPr>
    </w:p>
    <w:p>
      <w:pPr>
        <w:spacing w:before="0"/>
        <w:ind w:left="24" w:right="0" w:firstLine="0"/>
        <w:jc w:val="center"/>
        <w:rPr>
          <w:b/>
          <w:sz w:val="21"/>
        </w:rPr>
      </w:pPr>
      <w:r>
        <w:rPr>
          <w:b/>
          <w:sz w:val="21"/>
        </w:rPr>
        <w:t>Clause</w:t>
      </w:r>
      <w:r>
        <w:rPr>
          <w:b/>
          <w:spacing w:val="13"/>
          <w:sz w:val="21"/>
        </w:rPr>
        <w:t> </w:t>
      </w:r>
      <w:r>
        <w:rPr>
          <w:b/>
          <w:spacing w:val="-5"/>
          <w:sz w:val="21"/>
        </w:rPr>
        <w:t>25</w:t>
      </w:r>
    </w:p>
    <w:p>
      <w:pPr>
        <w:spacing w:before="56"/>
        <w:ind w:left="24" w:right="0" w:firstLine="0"/>
        <w:jc w:val="center"/>
        <w:rPr>
          <w:b/>
          <w:sz w:val="21"/>
        </w:rPr>
      </w:pPr>
      <w:r>
        <w:rPr>
          <w:b/>
          <w:sz w:val="21"/>
        </w:rPr>
        <w:t>Applicable</w:t>
      </w:r>
      <w:r>
        <w:rPr>
          <w:b/>
          <w:spacing w:val="20"/>
          <w:sz w:val="21"/>
        </w:rPr>
        <w:t> </w:t>
      </w:r>
      <w:r>
        <w:rPr>
          <w:b/>
          <w:spacing w:val="-2"/>
          <w:sz w:val="21"/>
        </w:rPr>
        <w:t>regime</w:t>
      </w:r>
    </w:p>
    <w:p>
      <w:pPr>
        <w:pStyle w:val="BodyText"/>
        <w:spacing w:before="159"/>
        <w:rPr>
          <w:b/>
          <w:sz w:val="21"/>
        </w:rPr>
      </w:pPr>
    </w:p>
    <w:p>
      <w:pPr>
        <w:spacing w:line="213" w:lineRule="auto" w:before="0"/>
        <w:ind w:left="144" w:right="118" w:firstLine="0"/>
        <w:jc w:val="left"/>
        <w:rPr>
          <w:sz w:val="21"/>
        </w:rPr>
      </w:pPr>
      <w:r>
        <w:rPr>
          <w:i/>
          <w:sz w:val="21"/>
        </w:rPr>
        <w:t>One</w:t>
      </w:r>
      <w:r>
        <w:rPr>
          <w:sz w:val="21"/>
        </w:rPr>
        <w:t>.</w:t>
      </w:r>
      <w:r>
        <w:rPr>
          <w:spacing w:val="14"/>
          <w:sz w:val="21"/>
        </w:rPr>
        <w:t> </w:t>
      </w:r>
      <w:r>
        <w:rPr>
          <w:sz w:val="21"/>
        </w:rPr>
        <w:t>The</w:t>
      </w:r>
      <w:r>
        <w:rPr>
          <w:spacing w:val="19"/>
          <w:sz w:val="21"/>
        </w:rPr>
        <w:t> </w:t>
      </w:r>
      <w:r>
        <w:rPr>
          <w:sz w:val="21"/>
        </w:rPr>
        <w:t>Concessionaire</w:t>
      </w:r>
      <w:r>
        <w:rPr>
          <w:spacing w:val="19"/>
          <w:sz w:val="21"/>
        </w:rPr>
        <w:t> </w:t>
      </w:r>
      <w:r>
        <w:rPr>
          <w:sz w:val="21"/>
        </w:rPr>
        <w:t>undertakes</w:t>
      </w:r>
      <w:r>
        <w:rPr>
          <w:spacing w:val="19"/>
          <w:sz w:val="21"/>
        </w:rPr>
        <w:t> </w:t>
      </w:r>
      <w:r>
        <w:rPr>
          <w:sz w:val="21"/>
        </w:rPr>
        <w:t>to</w:t>
      </w:r>
      <w:r>
        <w:rPr>
          <w:spacing w:val="19"/>
          <w:sz w:val="21"/>
        </w:rPr>
        <w:t> </w:t>
      </w:r>
      <w:r>
        <w:rPr>
          <w:sz w:val="21"/>
        </w:rPr>
        <w:t>submit</w:t>
      </w:r>
      <w:r>
        <w:rPr>
          <w:spacing w:val="19"/>
          <w:sz w:val="21"/>
        </w:rPr>
        <w:t> </w:t>
      </w:r>
      <w:r>
        <w:rPr>
          <w:sz w:val="21"/>
        </w:rPr>
        <w:t>the</w:t>
      </w:r>
      <w:r>
        <w:rPr>
          <w:spacing w:val="19"/>
          <w:sz w:val="21"/>
        </w:rPr>
        <w:t> </w:t>
      </w:r>
      <w:r>
        <w:rPr>
          <w:sz w:val="21"/>
        </w:rPr>
        <w:t>contracting</w:t>
      </w:r>
      <w:r>
        <w:rPr>
          <w:spacing w:val="19"/>
          <w:sz w:val="21"/>
        </w:rPr>
        <w:t> </w:t>
      </w:r>
      <w:r>
        <w:rPr>
          <w:sz w:val="21"/>
        </w:rPr>
        <w:t>of</w:t>
      </w:r>
      <w:r>
        <w:rPr>
          <w:spacing w:val="19"/>
          <w:sz w:val="21"/>
        </w:rPr>
        <w:t> </w:t>
      </w:r>
      <w:r>
        <w:rPr>
          <w:sz w:val="21"/>
        </w:rPr>
        <w:t>a</w:t>
      </w:r>
      <w:r>
        <w:rPr>
          <w:spacing w:val="19"/>
          <w:sz w:val="21"/>
        </w:rPr>
        <w:t> </w:t>
      </w:r>
      <w:r>
        <w:rPr>
          <w:sz w:val="21"/>
        </w:rPr>
        <w:t>management</w:t>
      </w:r>
      <w:r>
        <w:rPr>
          <w:spacing w:val="19"/>
          <w:sz w:val="21"/>
        </w:rPr>
        <w:t> </w:t>
      </w:r>
      <w:r>
        <w:rPr>
          <w:sz w:val="21"/>
        </w:rPr>
        <w:t>company</w:t>
      </w:r>
      <w:r>
        <w:rPr>
          <w:spacing w:val="19"/>
          <w:sz w:val="21"/>
        </w:rPr>
        <w:t> </w:t>
      </w:r>
      <w:r>
        <w:rPr>
          <w:sz w:val="21"/>
        </w:rPr>
        <w:t>to</w:t>
      </w:r>
      <w:r>
        <w:rPr>
          <w:spacing w:val="19"/>
          <w:sz w:val="21"/>
        </w:rPr>
        <w:t> </w:t>
      </w:r>
      <w:r>
        <w:rPr>
          <w:sz w:val="21"/>
        </w:rPr>
        <w:t>the</w:t>
      </w:r>
      <w:r>
        <w:rPr>
          <w:spacing w:val="19"/>
          <w:sz w:val="21"/>
        </w:rPr>
        <w:t> </w:t>
      </w:r>
      <w:r>
        <w:rPr>
          <w:sz w:val="21"/>
        </w:rPr>
        <w:t>Chief</w:t>
      </w:r>
      <w:r>
        <w:rPr>
          <w:spacing w:val="19"/>
          <w:sz w:val="21"/>
        </w:rPr>
        <w:t> </w:t>
      </w:r>
      <w:r>
        <w:rPr>
          <w:sz w:val="21"/>
        </w:rPr>
        <w:t>Executive’s</w:t>
      </w:r>
      <w:r>
        <w:rPr>
          <w:spacing w:val="19"/>
          <w:sz w:val="21"/>
        </w:rPr>
        <w:t> </w:t>
      </w:r>
      <w:r>
        <w:rPr>
          <w:sz w:val="21"/>
        </w:rPr>
        <w:t>authorization</w:t>
      </w:r>
      <w:r>
        <w:rPr>
          <w:spacing w:val="19"/>
          <w:sz w:val="21"/>
        </w:rPr>
        <w:t> </w:t>
      </w:r>
      <w:r>
        <w:rPr>
          <w:sz w:val="21"/>
        </w:rPr>
        <w:t>and to submit the draft management contract for approval.</w:t>
      </w:r>
    </w:p>
    <w:p>
      <w:pPr>
        <w:pStyle w:val="BodyText"/>
        <w:spacing w:before="152"/>
        <w:rPr>
          <w:sz w:val="21"/>
        </w:rPr>
      </w:pPr>
    </w:p>
    <w:p>
      <w:pPr>
        <w:spacing w:line="213" w:lineRule="auto" w:before="1"/>
        <w:ind w:left="144" w:right="0" w:firstLine="0"/>
        <w:jc w:val="left"/>
        <w:rPr>
          <w:sz w:val="21"/>
        </w:rPr>
      </w:pPr>
      <w:r>
        <w:rPr>
          <w:i/>
          <w:sz w:val="21"/>
        </w:rPr>
        <w:t>Two</w:t>
      </w:r>
      <w:r>
        <w:rPr>
          <w:sz w:val="21"/>
        </w:rPr>
        <w:t>.</w:t>
      </w:r>
      <w:r>
        <w:rPr>
          <w:spacing w:val="64"/>
          <w:sz w:val="21"/>
        </w:rPr>
        <w:t> </w:t>
      </w:r>
      <w:r>
        <w:rPr>
          <w:sz w:val="21"/>
        </w:rPr>
        <w:t>Under</w:t>
      </w:r>
      <w:r>
        <w:rPr>
          <w:spacing w:val="64"/>
          <w:sz w:val="21"/>
        </w:rPr>
        <w:t> </w:t>
      </w:r>
      <w:r>
        <w:rPr>
          <w:sz w:val="21"/>
        </w:rPr>
        <w:t>any</w:t>
      </w:r>
      <w:r>
        <w:rPr>
          <w:spacing w:val="64"/>
          <w:sz w:val="21"/>
        </w:rPr>
        <w:t> </w:t>
      </w:r>
      <w:r>
        <w:rPr>
          <w:sz w:val="21"/>
        </w:rPr>
        <w:t>circumstances,</w:t>
      </w:r>
      <w:r>
        <w:rPr>
          <w:spacing w:val="64"/>
          <w:sz w:val="21"/>
        </w:rPr>
        <w:t> </w:t>
      </w:r>
      <w:r>
        <w:rPr>
          <w:sz w:val="21"/>
        </w:rPr>
        <w:t>the</w:t>
      </w:r>
      <w:r>
        <w:rPr>
          <w:spacing w:val="64"/>
          <w:sz w:val="21"/>
        </w:rPr>
        <w:t> </w:t>
      </w:r>
      <w:r>
        <w:rPr>
          <w:sz w:val="21"/>
        </w:rPr>
        <w:t>Concessionaire</w:t>
      </w:r>
      <w:r>
        <w:rPr>
          <w:spacing w:val="64"/>
          <w:sz w:val="21"/>
        </w:rPr>
        <w:t> </w:t>
      </w:r>
      <w:r>
        <w:rPr>
          <w:sz w:val="21"/>
        </w:rPr>
        <w:t>may</w:t>
      </w:r>
      <w:r>
        <w:rPr>
          <w:spacing w:val="64"/>
          <w:sz w:val="21"/>
        </w:rPr>
        <w:t> </w:t>
      </w:r>
      <w:r>
        <w:rPr>
          <w:sz w:val="21"/>
        </w:rPr>
        <w:t>only</w:t>
      </w:r>
      <w:r>
        <w:rPr>
          <w:spacing w:val="64"/>
          <w:sz w:val="21"/>
        </w:rPr>
        <w:t> </w:t>
      </w:r>
      <w:r>
        <w:rPr>
          <w:sz w:val="21"/>
        </w:rPr>
        <w:t>pay</w:t>
      </w:r>
      <w:r>
        <w:rPr>
          <w:spacing w:val="64"/>
          <w:sz w:val="21"/>
        </w:rPr>
        <w:t> </w:t>
      </w:r>
      <w:r>
        <w:rPr>
          <w:sz w:val="21"/>
        </w:rPr>
        <w:t>the</w:t>
      </w:r>
      <w:r>
        <w:rPr>
          <w:spacing w:val="64"/>
          <w:sz w:val="21"/>
        </w:rPr>
        <w:t> </w:t>
      </w:r>
      <w:r>
        <w:rPr>
          <w:sz w:val="21"/>
        </w:rPr>
        <w:t>management</w:t>
      </w:r>
      <w:r>
        <w:rPr>
          <w:spacing w:val="64"/>
          <w:sz w:val="21"/>
        </w:rPr>
        <w:t> </w:t>
      </w:r>
      <w:r>
        <w:rPr>
          <w:sz w:val="21"/>
        </w:rPr>
        <w:t>company</w:t>
      </w:r>
      <w:r>
        <w:rPr>
          <w:spacing w:val="64"/>
          <w:sz w:val="21"/>
        </w:rPr>
        <w:t> </w:t>
      </w:r>
      <w:r>
        <w:rPr>
          <w:sz w:val="21"/>
        </w:rPr>
        <w:t>the</w:t>
      </w:r>
      <w:r>
        <w:rPr>
          <w:spacing w:val="64"/>
          <w:sz w:val="21"/>
        </w:rPr>
        <w:t> </w:t>
      </w:r>
      <w:r>
        <w:rPr>
          <w:sz w:val="21"/>
        </w:rPr>
        <w:t>remuneration</w:t>
      </w:r>
      <w:r>
        <w:rPr>
          <w:spacing w:val="64"/>
          <w:sz w:val="21"/>
        </w:rPr>
        <w:t> </w:t>
      </w:r>
      <w:r>
        <w:rPr>
          <w:sz w:val="21"/>
        </w:rPr>
        <w:t>relating</w:t>
      </w:r>
      <w:r>
        <w:rPr>
          <w:spacing w:val="64"/>
          <w:sz w:val="21"/>
        </w:rPr>
        <w:t> </w:t>
      </w:r>
      <w:r>
        <w:rPr>
          <w:sz w:val="21"/>
        </w:rPr>
        <w:t>to</w:t>
      </w:r>
      <w:r>
        <w:rPr>
          <w:spacing w:val="64"/>
          <w:sz w:val="21"/>
        </w:rPr>
        <w:t> </w:t>
      </w:r>
      <w:r>
        <w:rPr>
          <w:sz w:val="21"/>
        </w:rPr>
        <w:t>the management and may not, in any way, share casino revenues or pay commissions.</w:t>
      </w:r>
    </w:p>
    <w:p>
      <w:pPr>
        <w:pStyle w:val="BodyText"/>
        <w:spacing w:before="130"/>
        <w:rPr>
          <w:sz w:val="21"/>
        </w:rPr>
      </w:pPr>
    </w:p>
    <w:p>
      <w:pPr>
        <w:spacing w:before="0"/>
        <w:ind w:left="144" w:right="0" w:firstLine="0"/>
        <w:jc w:val="left"/>
        <w:rPr>
          <w:sz w:val="21"/>
        </w:rPr>
      </w:pPr>
      <w:r>
        <w:rPr>
          <w:i/>
          <w:sz w:val="21"/>
        </w:rPr>
        <w:t>Three</w:t>
      </w:r>
      <w:r>
        <w:rPr>
          <w:sz w:val="21"/>
        </w:rPr>
        <w:t>.</w:t>
      </w:r>
      <w:r>
        <w:rPr>
          <w:spacing w:val="5"/>
          <w:sz w:val="21"/>
        </w:rPr>
        <w:t> </w:t>
      </w:r>
      <w:r>
        <w:rPr>
          <w:sz w:val="21"/>
        </w:rPr>
        <w:t>The</w:t>
      </w:r>
      <w:r>
        <w:rPr>
          <w:spacing w:val="11"/>
          <w:sz w:val="21"/>
        </w:rPr>
        <w:t> </w:t>
      </w:r>
      <w:r>
        <w:rPr>
          <w:sz w:val="21"/>
        </w:rPr>
        <w:t>provisions</w:t>
      </w:r>
      <w:r>
        <w:rPr>
          <w:spacing w:val="11"/>
          <w:sz w:val="21"/>
        </w:rPr>
        <w:t> </w:t>
      </w:r>
      <w:r>
        <w:rPr>
          <w:sz w:val="21"/>
        </w:rPr>
        <w:t>of</w:t>
      </w:r>
      <w:r>
        <w:rPr>
          <w:spacing w:val="10"/>
          <w:sz w:val="21"/>
        </w:rPr>
        <w:t> </w:t>
      </w:r>
      <w:r>
        <w:rPr>
          <w:sz w:val="21"/>
        </w:rPr>
        <w:t>Law</w:t>
      </w:r>
      <w:r>
        <w:rPr>
          <w:spacing w:val="11"/>
          <w:sz w:val="21"/>
        </w:rPr>
        <w:t> </w:t>
      </w:r>
      <w:r>
        <w:rPr>
          <w:sz w:val="21"/>
        </w:rPr>
        <w:t>16/2001</w:t>
      </w:r>
      <w:r>
        <w:rPr>
          <w:spacing w:val="11"/>
          <w:sz w:val="21"/>
        </w:rPr>
        <w:t> </w:t>
      </w:r>
      <w:r>
        <w:rPr>
          <w:sz w:val="21"/>
        </w:rPr>
        <w:t>and</w:t>
      </w:r>
      <w:r>
        <w:rPr>
          <w:spacing w:val="10"/>
          <w:sz w:val="21"/>
        </w:rPr>
        <w:t> </w:t>
      </w:r>
      <w:r>
        <w:rPr>
          <w:sz w:val="21"/>
        </w:rPr>
        <w:t>other</w:t>
      </w:r>
      <w:r>
        <w:rPr>
          <w:spacing w:val="11"/>
          <w:sz w:val="21"/>
        </w:rPr>
        <w:t> </w:t>
      </w:r>
      <w:r>
        <w:rPr>
          <w:sz w:val="21"/>
        </w:rPr>
        <w:t>applicable</w:t>
      </w:r>
      <w:r>
        <w:rPr>
          <w:spacing w:val="11"/>
          <w:sz w:val="21"/>
        </w:rPr>
        <w:t> </w:t>
      </w:r>
      <w:r>
        <w:rPr>
          <w:sz w:val="21"/>
        </w:rPr>
        <w:t>legislation</w:t>
      </w:r>
      <w:r>
        <w:rPr>
          <w:spacing w:val="10"/>
          <w:sz w:val="21"/>
        </w:rPr>
        <w:t> </w:t>
      </w:r>
      <w:r>
        <w:rPr>
          <w:sz w:val="21"/>
        </w:rPr>
        <w:t>shall</w:t>
      </w:r>
      <w:r>
        <w:rPr>
          <w:spacing w:val="11"/>
          <w:sz w:val="21"/>
        </w:rPr>
        <w:t> </w:t>
      </w:r>
      <w:r>
        <w:rPr>
          <w:sz w:val="21"/>
        </w:rPr>
        <w:t>also</w:t>
      </w:r>
      <w:r>
        <w:rPr>
          <w:spacing w:val="11"/>
          <w:sz w:val="21"/>
        </w:rPr>
        <w:t> </w:t>
      </w:r>
      <w:r>
        <w:rPr>
          <w:sz w:val="21"/>
        </w:rPr>
        <w:t>apply</w:t>
      </w:r>
      <w:r>
        <w:rPr>
          <w:spacing w:val="10"/>
          <w:sz w:val="21"/>
        </w:rPr>
        <w:t> </w:t>
      </w:r>
      <w:r>
        <w:rPr>
          <w:sz w:val="21"/>
        </w:rPr>
        <w:t>to</w:t>
      </w:r>
      <w:r>
        <w:rPr>
          <w:spacing w:val="11"/>
          <w:sz w:val="21"/>
        </w:rPr>
        <w:t> </w:t>
      </w:r>
      <w:r>
        <w:rPr>
          <w:sz w:val="21"/>
        </w:rPr>
        <w:t>the</w:t>
      </w:r>
      <w:r>
        <w:rPr>
          <w:spacing w:val="11"/>
          <w:sz w:val="21"/>
        </w:rPr>
        <w:t> </w:t>
      </w:r>
      <w:r>
        <w:rPr>
          <w:sz w:val="21"/>
        </w:rPr>
        <w:t>management</w:t>
      </w:r>
      <w:r>
        <w:rPr>
          <w:spacing w:val="10"/>
          <w:sz w:val="21"/>
        </w:rPr>
        <w:t> </w:t>
      </w:r>
      <w:r>
        <w:rPr>
          <w:spacing w:val="-2"/>
          <w:sz w:val="21"/>
        </w:rPr>
        <w:t>company.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3"/>
        <w:rPr>
          <w:sz w:val="20"/>
        </w:rPr>
      </w:pPr>
      <w:r>
        <w:rPr/>
        <mc:AlternateContent>
          <mc:Choice Requires="wps">
            <w:drawing>
              <wp:anchor distT="0" distB="0" distL="0" distR="0" allowOverlap="1" layoutInCell="1" locked="0" behindDoc="1" simplePos="0" relativeHeight="487771136">
                <wp:simplePos x="0" y="0"/>
                <wp:positionH relativeFrom="page">
                  <wp:posOffset>231457</wp:posOffset>
                </wp:positionH>
                <wp:positionV relativeFrom="paragraph">
                  <wp:posOffset>252082</wp:posOffset>
                </wp:positionV>
                <wp:extent cx="7312659" cy="17145"/>
                <wp:effectExtent l="0" t="0" r="0" b="0"/>
                <wp:wrapTopAndBottom/>
                <wp:docPr id="848" name="Group 848"/>
                <wp:cNvGraphicFramePr>
                  <a:graphicFrameLocks/>
                </wp:cNvGraphicFramePr>
                <a:graphic>
                  <a:graphicData uri="http://schemas.microsoft.com/office/word/2010/wordprocessingGroup">
                    <wpg:wgp>
                      <wpg:cNvPr id="848" name="Group 848"/>
                      <wpg:cNvGrpSpPr/>
                      <wpg:grpSpPr>
                        <a:xfrm>
                          <a:off x="0" y="0"/>
                          <a:ext cx="7312659" cy="17145"/>
                          <a:chExt cx="7312659" cy="17145"/>
                        </a:xfrm>
                      </wpg:grpSpPr>
                      <wps:wsp>
                        <wps:cNvPr id="849" name="Graphic 84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50" name="Graphic 850"/>
                        <wps:cNvSpPr/>
                        <wps:spPr>
                          <a:xfrm>
                            <a:off x="-12" y="-1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51" name="Graphic 85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9.849024pt;width:575.8pt;height:1.35pt;mso-position-horizontal-relative:page;mso-position-vertical-relative:paragraph;z-index:-15545344;mso-wrap-distance-left:0;mso-wrap-distance-right:0" id="docshapegroup846" coordorigin="364,397" coordsize="11516,27">
                <v:rect style="position:absolute;left:364;top:396;width:11516;height:14" id="docshape847" filled="true" fillcolor="#999999" stroked="false">
                  <v:fill type="solid"/>
                </v:rect>
                <v:shape style="position:absolute;left:364;top:396;width:11516;height:27" id="docshape848" coordorigin="364,397" coordsize="11516,27" path="m11880,397l11866,410,364,410,364,424,11866,424,11880,424,11880,410,11880,397xe" filled="true" fillcolor="#ededed" stroked="false">
                  <v:path arrowok="t"/>
                  <v:fill type="solid"/>
                </v:shape>
                <v:shape style="position:absolute;left:364;top:396;width:14;height:27" id="docshape849" coordorigin="364,397" coordsize="14,27" path="m364,424l364,397,378,397,378,410,364,424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pStyle w:val="Heading1"/>
        <w:spacing w:before="65"/>
      </w:pPr>
      <w:r>
        <w:rPr/>
        <w:t>CHAPTER</w:t>
      </w:r>
      <w:r>
        <w:rPr>
          <w:spacing w:val="-5"/>
        </w:rPr>
        <w:t> </w:t>
      </w:r>
      <w:r>
        <w:rPr>
          <w:spacing w:val="-10"/>
        </w:rPr>
        <w:t>V</w:t>
      </w:r>
    </w:p>
    <w:p>
      <w:pPr>
        <w:pStyle w:val="Heading2"/>
        <w:spacing w:before="63"/>
      </w:pPr>
      <w:r>
        <w:rPr/>
        <w:t>Appropriate</w:t>
      </w:r>
      <w:r>
        <w:rPr>
          <w:spacing w:val="-5"/>
        </w:rPr>
        <w:t> </w:t>
      </w:r>
      <w:r>
        <w:rPr>
          <w:spacing w:val="-2"/>
        </w:rPr>
        <w:t>qualifications</w:t>
      </w:r>
    </w:p>
    <w:p>
      <w:pPr>
        <w:pStyle w:val="BodyText"/>
        <w:spacing w:before="84"/>
        <w:rPr>
          <w:b/>
          <w:sz w:val="25"/>
        </w:rPr>
      </w:pPr>
    </w:p>
    <w:p>
      <w:pPr>
        <w:spacing w:before="0"/>
        <w:ind w:left="24" w:right="0" w:firstLine="0"/>
        <w:jc w:val="center"/>
        <w:rPr>
          <w:b/>
          <w:sz w:val="21"/>
        </w:rPr>
      </w:pPr>
      <w:r>
        <w:rPr>
          <w:b/>
          <w:sz w:val="21"/>
        </w:rPr>
        <w:t>Clause</w:t>
      </w:r>
      <w:r>
        <w:rPr>
          <w:b/>
          <w:spacing w:val="13"/>
          <w:sz w:val="21"/>
        </w:rPr>
        <w:t> </w:t>
      </w:r>
      <w:r>
        <w:rPr>
          <w:b/>
          <w:spacing w:val="-5"/>
          <w:sz w:val="21"/>
        </w:rPr>
        <w:t>26</w:t>
      </w:r>
    </w:p>
    <w:p>
      <w:pPr>
        <w:spacing w:before="55"/>
        <w:ind w:left="24" w:right="0" w:firstLine="0"/>
        <w:jc w:val="center"/>
        <w:rPr>
          <w:b/>
          <w:sz w:val="21"/>
        </w:rPr>
      </w:pPr>
      <w:r>
        <w:rPr>
          <w:b/>
          <w:sz w:val="21"/>
        </w:rPr>
        <w:t>Good</w:t>
      </w:r>
      <w:r>
        <w:rPr>
          <w:b/>
          <w:spacing w:val="9"/>
          <w:sz w:val="21"/>
        </w:rPr>
        <w:t> </w:t>
      </w:r>
      <w:r>
        <w:rPr>
          <w:b/>
          <w:sz w:val="21"/>
        </w:rPr>
        <w:t>standing</w:t>
      </w:r>
      <w:r>
        <w:rPr>
          <w:b/>
          <w:spacing w:val="10"/>
          <w:sz w:val="21"/>
        </w:rPr>
        <w:t> </w:t>
      </w:r>
      <w:r>
        <w:rPr>
          <w:b/>
          <w:sz w:val="21"/>
        </w:rPr>
        <w:t>of</w:t>
      </w:r>
      <w:r>
        <w:rPr>
          <w:b/>
          <w:spacing w:val="9"/>
          <w:sz w:val="21"/>
        </w:rPr>
        <w:t> </w:t>
      </w:r>
      <w:r>
        <w:rPr>
          <w:b/>
          <w:sz w:val="21"/>
        </w:rPr>
        <w:t>the</w:t>
      </w:r>
      <w:r>
        <w:rPr>
          <w:b/>
          <w:spacing w:val="10"/>
          <w:sz w:val="21"/>
        </w:rPr>
        <w:t> </w:t>
      </w:r>
      <w:r>
        <w:rPr>
          <w:b/>
          <w:spacing w:val="-2"/>
          <w:sz w:val="21"/>
        </w:rPr>
        <w:t>Concessionaire</w:t>
      </w:r>
    </w:p>
    <w:p>
      <w:pPr>
        <w:pStyle w:val="BodyText"/>
        <w:spacing w:before="138"/>
        <w:rPr>
          <w:b/>
          <w:sz w:val="21"/>
        </w:rPr>
      </w:pPr>
    </w:p>
    <w:p>
      <w:pPr>
        <w:spacing w:before="0"/>
        <w:ind w:left="144" w:right="0" w:firstLine="0"/>
        <w:jc w:val="both"/>
        <w:rPr>
          <w:sz w:val="21"/>
        </w:rPr>
      </w:pPr>
      <w:r>
        <w:rPr>
          <w:i/>
          <w:sz w:val="21"/>
        </w:rPr>
        <w:t>One</w:t>
      </w:r>
      <w:r>
        <w:rPr>
          <w:sz w:val="21"/>
        </w:rPr>
        <w:t>.</w:t>
      </w:r>
      <w:r>
        <w:rPr>
          <w:spacing w:val="7"/>
          <w:sz w:val="21"/>
        </w:rPr>
        <w:t> </w:t>
      </w:r>
      <w:r>
        <w:rPr>
          <w:sz w:val="21"/>
        </w:rPr>
        <w:t>The</w:t>
      </w:r>
      <w:r>
        <w:rPr>
          <w:spacing w:val="12"/>
          <w:sz w:val="21"/>
        </w:rPr>
        <w:t> </w:t>
      </w:r>
      <w:r>
        <w:rPr>
          <w:sz w:val="21"/>
        </w:rPr>
        <w:t>Concessionaire</w:t>
      </w:r>
      <w:r>
        <w:rPr>
          <w:spacing w:val="12"/>
          <w:sz w:val="21"/>
        </w:rPr>
        <w:t> </w:t>
      </w:r>
      <w:r>
        <w:rPr>
          <w:sz w:val="21"/>
        </w:rPr>
        <w:t>undertakes</w:t>
      </w:r>
      <w:r>
        <w:rPr>
          <w:spacing w:val="12"/>
          <w:sz w:val="21"/>
        </w:rPr>
        <w:t> </w:t>
      </w:r>
      <w:r>
        <w:rPr>
          <w:sz w:val="21"/>
        </w:rPr>
        <w:t>to</w:t>
      </w:r>
      <w:r>
        <w:rPr>
          <w:spacing w:val="12"/>
          <w:sz w:val="21"/>
        </w:rPr>
        <w:t> </w:t>
      </w:r>
      <w:r>
        <w:rPr>
          <w:sz w:val="21"/>
        </w:rPr>
        <w:t>remain</w:t>
      </w:r>
      <w:r>
        <w:rPr>
          <w:spacing w:val="12"/>
          <w:sz w:val="21"/>
        </w:rPr>
        <w:t> </w:t>
      </w:r>
      <w:r>
        <w:rPr>
          <w:sz w:val="21"/>
        </w:rPr>
        <w:t>trustworthy</w:t>
      </w:r>
      <w:r>
        <w:rPr>
          <w:spacing w:val="12"/>
          <w:sz w:val="21"/>
        </w:rPr>
        <w:t> </w:t>
      </w:r>
      <w:r>
        <w:rPr>
          <w:sz w:val="21"/>
        </w:rPr>
        <w:t>during</w:t>
      </w:r>
      <w:r>
        <w:rPr>
          <w:spacing w:val="12"/>
          <w:sz w:val="21"/>
        </w:rPr>
        <w:t> </w:t>
      </w:r>
      <w:r>
        <w:rPr>
          <w:sz w:val="21"/>
        </w:rPr>
        <w:t>the</w:t>
      </w:r>
      <w:r>
        <w:rPr>
          <w:spacing w:val="12"/>
          <w:sz w:val="21"/>
        </w:rPr>
        <w:t> </w:t>
      </w:r>
      <w:r>
        <w:rPr>
          <w:sz w:val="21"/>
        </w:rPr>
        <w:t>term</w:t>
      </w:r>
      <w:r>
        <w:rPr>
          <w:spacing w:val="12"/>
          <w:sz w:val="21"/>
        </w:rPr>
        <w:t> </w:t>
      </w:r>
      <w:r>
        <w:rPr>
          <w:sz w:val="21"/>
        </w:rPr>
        <w:t>of</w:t>
      </w:r>
      <w:r>
        <w:rPr>
          <w:spacing w:val="12"/>
          <w:sz w:val="21"/>
        </w:rPr>
        <w:t> </w:t>
      </w:r>
      <w:r>
        <w:rPr>
          <w:sz w:val="21"/>
        </w:rPr>
        <w:t>the</w:t>
      </w:r>
      <w:r>
        <w:rPr>
          <w:spacing w:val="12"/>
          <w:sz w:val="21"/>
        </w:rPr>
        <w:t> </w:t>
      </w:r>
      <w:r>
        <w:rPr>
          <w:sz w:val="21"/>
        </w:rPr>
        <w:t>concession,</w:t>
      </w:r>
      <w:r>
        <w:rPr>
          <w:spacing w:val="12"/>
          <w:sz w:val="21"/>
        </w:rPr>
        <w:t> </w:t>
      </w:r>
      <w:r>
        <w:rPr>
          <w:sz w:val="21"/>
        </w:rPr>
        <w:t>according</w:t>
      </w:r>
      <w:r>
        <w:rPr>
          <w:spacing w:val="12"/>
          <w:sz w:val="21"/>
        </w:rPr>
        <w:t> </w:t>
      </w:r>
      <w:r>
        <w:rPr>
          <w:sz w:val="21"/>
        </w:rPr>
        <w:t>to</w:t>
      </w:r>
      <w:r>
        <w:rPr>
          <w:spacing w:val="12"/>
          <w:sz w:val="21"/>
        </w:rPr>
        <w:t> </w:t>
      </w:r>
      <w:r>
        <w:rPr>
          <w:spacing w:val="-4"/>
          <w:sz w:val="21"/>
        </w:rPr>
        <w:t>law.</w:t>
      </w:r>
    </w:p>
    <w:p>
      <w:pPr>
        <w:pStyle w:val="BodyText"/>
        <w:spacing w:before="146"/>
        <w:rPr>
          <w:sz w:val="21"/>
        </w:rPr>
      </w:pPr>
    </w:p>
    <w:p>
      <w:pPr>
        <w:spacing w:line="213" w:lineRule="auto" w:before="0"/>
        <w:ind w:left="144" w:right="118" w:firstLine="0"/>
        <w:jc w:val="both"/>
        <w:rPr>
          <w:sz w:val="21"/>
        </w:rPr>
      </w:pPr>
      <w:r>
        <w:rPr>
          <w:i/>
          <w:sz w:val="21"/>
        </w:rPr>
        <w:t>Two</w:t>
      </w:r>
      <w:r>
        <w:rPr>
          <w:sz w:val="21"/>
        </w:rPr>
        <w:t>.</w:t>
      </w:r>
      <w:r>
        <w:rPr>
          <w:spacing w:val="40"/>
          <w:sz w:val="21"/>
        </w:rPr>
        <w:t> </w:t>
      </w:r>
      <w:r>
        <w:rPr>
          <w:sz w:val="21"/>
        </w:rPr>
        <w:t>For</w:t>
      </w:r>
      <w:r>
        <w:rPr>
          <w:spacing w:val="40"/>
          <w:sz w:val="21"/>
        </w:rPr>
        <w:t> </w:t>
      </w:r>
      <w:r>
        <w:rPr>
          <w:sz w:val="21"/>
        </w:rPr>
        <w:t>the</w:t>
      </w:r>
      <w:r>
        <w:rPr>
          <w:spacing w:val="40"/>
          <w:sz w:val="21"/>
        </w:rPr>
        <w:t> </w:t>
      </w:r>
      <w:r>
        <w:rPr>
          <w:sz w:val="21"/>
        </w:rPr>
        <w:t>purposes</w:t>
      </w:r>
      <w:r>
        <w:rPr>
          <w:spacing w:val="40"/>
          <w:sz w:val="21"/>
        </w:rPr>
        <w:t> </w:t>
      </w:r>
      <w:r>
        <w:rPr>
          <w:sz w:val="21"/>
        </w:rPr>
        <w:t>of</w:t>
      </w:r>
      <w:r>
        <w:rPr>
          <w:spacing w:val="40"/>
          <w:sz w:val="21"/>
        </w:rPr>
        <w:t> </w:t>
      </w:r>
      <w:r>
        <w:rPr>
          <w:sz w:val="21"/>
        </w:rPr>
        <w:t>the</w:t>
      </w:r>
      <w:r>
        <w:rPr>
          <w:spacing w:val="40"/>
          <w:sz w:val="21"/>
        </w:rPr>
        <w:t> </w:t>
      </w:r>
      <w:r>
        <w:rPr>
          <w:sz w:val="21"/>
        </w:rPr>
        <w:t>previous</w:t>
      </w:r>
      <w:r>
        <w:rPr>
          <w:spacing w:val="40"/>
          <w:sz w:val="21"/>
        </w:rPr>
        <w:t> </w:t>
      </w:r>
      <w:r>
        <w:rPr>
          <w:sz w:val="21"/>
        </w:rPr>
        <w:t>paragraph,</w:t>
      </w:r>
      <w:r>
        <w:rPr>
          <w:spacing w:val="40"/>
          <w:sz w:val="21"/>
        </w:rPr>
        <w:t> </w:t>
      </w:r>
      <w:r>
        <w:rPr>
          <w:sz w:val="21"/>
        </w:rPr>
        <w:t>the</w:t>
      </w:r>
      <w:r>
        <w:rPr>
          <w:spacing w:val="40"/>
          <w:sz w:val="21"/>
        </w:rPr>
        <w:t> </w:t>
      </w:r>
      <w:r>
        <w:rPr>
          <w:sz w:val="21"/>
        </w:rPr>
        <w:t>Concessionaire</w:t>
      </w:r>
      <w:r>
        <w:rPr>
          <w:spacing w:val="40"/>
          <w:sz w:val="21"/>
        </w:rPr>
        <w:t> </w:t>
      </w:r>
      <w:r>
        <w:rPr>
          <w:sz w:val="21"/>
        </w:rPr>
        <w:t>is</w:t>
      </w:r>
      <w:r>
        <w:rPr>
          <w:spacing w:val="40"/>
          <w:sz w:val="21"/>
        </w:rPr>
        <w:t> </w:t>
      </w:r>
      <w:r>
        <w:rPr>
          <w:sz w:val="21"/>
        </w:rPr>
        <w:t>subject</w:t>
      </w:r>
      <w:r>
        <w:rPr>
          <w:spacing w:val="40"/>
          <w:sz w:val="21"/>
        </w:rPr>
        <w:t> </w:t>
      </w:r>
      <w:r>
        <w:rPr>
          <w:sz w:val="21"/>
        </w:rPr>
        <w:t>to</w:t>
      </w:r>
      <w:r>
        <w:rPr>
          <w:spacing w:val="40"/>
          <w:sz w:val="21"/>
        </w:rPr>
        <w:t> </w:t>
      </w:r>
      <w:r>
        <w:rPr>
          <w:sz w:val="21"/>
        </w:rPr>
        <w:t>continuous</w:t>
      </w:r>
      <w:r>
        <w:rPr>
          <w:spacing w:val="40"/>
          <w:sz w:val="21"/>
        </w:rPr>
        <w:t> </w:t>
      </w:r>
      <w:r>
        <w:rPr>
          <w:sz w:val="21"/>
        </w:rPr>
        <w:t>and</w:t>
      </w:r>
      <w:r>
        <w:rPr>
          <w:spacing w:val="40"/>
          <w:sz w:val="21"/>
        </w:rPr>
        <w:t> </w:t>
      </w:r>
      <w:r>
        <w:rPr>
          <w:sz w:val="21"/>
        </w:rPr>
        <w:t>permanent</w:t>
      </w:r>
      <w:r>
        <w:rPr>
          <w:spacing w:val="40"/>
          <w:sz w:val="21"/>
        </w:rPr>
        <w:t> </w:t>
      </w:r>
      <w:r>
        <w:rPr>
          <w:sz w:val="21"/>
        </w:rPr>
        <w:t>monitoring</w:t>
      </w:r>
      <w:r>
        <w:rPr>
          <w:spacing w:val="40"/>
          <w:sz w:val="21"/>
        </w:rPr>
        <w:t> </w:t>
      </w:r>
      <w:r>
        <w:rPr>
          <w:sz w:val="21"/>
        </w:rPr>
        <w:t>and supervision by the Government, according to law.</w:t>
      </w:r>
    </w:p>
    <w:p>
      <w:pPr>
        <w:pStyle w:val="BodyText"/>
        <w:spacing w:before="152"/>
        <w:rPr>
          <w:sz w:val="21"/>
        </w:rPr>
      </w:pPr>
    </w:p>
    <w:p>
      <w:pPr>
        <w:spacing w:line="213" w:lineRule="auto" w:before="1"/>
        <w:ind w:left="144" w:right="118" w:firstLine="0"/>
        <w:jc w:val="both"/>
        <w:rPr>
          <w:sz w:val="21"/>
        </w:rPr>
      </w:pPr>
      <w:r>
        <w:rPr>
          <w:i/>
          <w:sz w:val="21"/>
        </w:rPr>
        <w:t>Three</w:t>
      </w:r>
      <w:r>
        <w:rPr>
          <w:sz w:val="21"/>
        </w:rPr>
        <w:t>. The Concessionaire undertakes to bear the costs of verifying its good standing within the period set by DICJ; for this scope,</w:t>
      </w:r>
      <w:r>
        <w:rPr>
          <w:spacing w:val="80"/>
          <w:sz w:val="21"/>
        </w:rPr>
        <w:t> </w:t>
      </w:r>
      <w:r>
        <w:rPr>
          <w:sz w:val="21"/>
        </w:rPr>
        <w:t>DICJ</w:t>
      </w:r>
      <w:r>
        <w:rPr>
          <w:spacing w:val="30"/>
          <w:sz w:val="21"/>
        </w:rPr>
        <w:t> </w:t>
      </w:r>
      <w:r>
        <w:rPr>
          <w:sz w:val="21"/>
        </w:rPr>
        <w:t>shall</w:t>
      </w:r>
      <w:r>
        <w:rPr>
          <w:spacing w:val="30"/>
          <w:sz w:val="21"/>
        </w:rPr>
        <w:t> </w:t>
      </w:r>
      <w:r>
        <w:rPr>
          <w:sz w:val="21"/>
        </w:rPr>
        <w:t>issue</w:t>
      </w:r>
      <w:r>
        <w:rPr>
          <w:spacing w:val="30"/>
          <w:sz w:val="21"/>
        </w:rPr>
        <w:t> </w:t>
      </w:r>
      <w:r>
        <w:rPr>
          <w:sz w:val="21"/>
        </w:rPr>
        <w:t>a</w:t>
      </w:r>
      <w:r>
        <w:rPr>
          <w:spacing w:val="30"/>
          <w:sz w:val="21"/>
        </w:rPr>
        <w:t> </w:t>
      </w:r>
      <w:r>
        <w:rPr>
          <w:sz w:val="21"/>
        </w:rPr>
        <w:t>document</w:t>
      </w:r>
      <w:r>
        <w:rPr>
          <w:spacing w:val="30"/>
          <w:sz w:val="21"/>
        </w:rPr>
        <w:t> </w:t>
      </w:r>
      <w:r>
        <w:rPr>
          <w:sz w:val="21"/>
        </w:rPr>
        <w:t>containing</w:t>
      </w:r>
      <w:r>
        <w:rPr>
          <w:spacing w:val="30"/>
          <w:sz w:val="21"/>
        </w:rPr>
        <w:t> </w:t>
      </w:r>
      <w:r>
        <w:rPr>
          <w:sz w:val="21"/>
        </w:rPr>
        <w:t>such</w:t>
      </w:r>
      <w:r>
        <w:rPr>
          <w:spacing w:val="30"/>
          <w:sz w:val="21"/>
        </w:rPr>
        <w:t> </w:t>
      </w:r>
      <w:r>
        <w:rPr>
          <w:sz w:val="21"/>
        </w:rPr>
        <w:t>costs,</w:t>
      </w:r>
      <w:r>
        <w:rPr>
          <w:spacing w:val="30"/>
          <w:sz w:val="21"/>
        </w:rPr>
        <w:t> </w:t>
      </w:r>
      <w:r>
        <w:rPr>
          <w:sz w:val="21"/>
        </w:rPr>
        <w:t>which</w:t>
      </w:r>
      <w:r>
        <w:rPr>
          <w:spacing w:val="30"/>
          <w:sz w:val="21"/>
        </w:rPr>
        <w:t> </w:t>
      </w:r>
      <w:r>
        <w:rPr>
          <w:sz w:val="21"/>
        </w:rPr>
        <w:t>shall</w:t>
      </w:r>
      <w:r>
        <w:rPr>
          <w:spacing w:val="30"/>
          <w:sz w:val="21"/>
        </w:rPr>
        <w:t> </w:t>
      </w:r>
      <w:r>
        <w:rPr>
          <w:sz w:val="21"/>
        </w:rPr>
        <w:t>constitute</w:t>
      </w:r>
      <w:r>
        <w:rPr>
          <w:spacing w:val="30"/>
          <w:sz w:val="21"/>
        </w:rPr>
        <w:t> </w:t>
      </w:r>
      <w:r>
        <w:rPr>
          <w:sz w:val="21"/>
        </w:rPr>
        <w:t>proof</w:t>
      </w:r>
      <w:r>
        <w:rPr>
          <w:spacing w:val="30"/>
          <w:sz w:val="21"/>
        </w:rPr>
        <w:t> </w:t>
      </w:r>
      <w:r>
        <w:rPr>
          <w:sz w:val="21"/>
        </w:rPr>
        <w:t>thereof.</w:t>
      </w:r>
    </w:p>
    <w:p>
      <w:pPr>
        <w:pStyle w:val="BodyText"/>
        <w:spacing w:before="144"/>
        <w:rPr>
          <w:sz w:val="21"/>
        </w:rPr>
      </w:pPr>
    </w:p>
    <w:p>
      <w:pPr>
        <w:spacing w:before="0"/>
        <w:ind w:left="24" w:right="0" w:firstLine="0"/>
        <w:jc w:val="center"/>
        <w:rPr>
          <w:b/>
          <w:sz w:val="21"/>
        </w:rPr>
      </w:pPr>
      <w:r>
        <w:rPr>
          <w:b/>
          <w:sz w:val="21"/>
        </w:rPr>
        <w:t>Clause</w:t>
      </w:r>
      <w:r>
        <w:rPr>
          <w:b/>
          <w:spacing w:val="13"/>
          <w:sz w:val="21"/>
        </w:rPr>
        <w:t> </w:t>
      </w:r>
      <w:r>
        <w:rPr>
          <w:b/>
          <w:spacing w:val="-5"/>
          <w:sz w:val="21"/>
        </w:rPr>
        <w:t>27</w:t>
      </w:r>
    </w:p>
    <w:p>
      <w:pPr>
        <w:spacing w:before="55"/>
        <w:ind w:left="24" w:right="0" w:firstLine="0"/>
        <w:jc w:val="center"/>
        <w:rPr>
          <w:b/>
          <w:sz w:val="21"/>
        </w:rPr>
      </w:pPr>
      <w:r>
        <w:rPr>
          <w:b/>
          <w:sz w:val="21"/>
        </w:rPr>
        <w:t>Suitability</w:t>
      </w:r>
      <w:r>
        <w:rPr>
          <w:b/>
          <w:spacing w:val="12"/>
          <w:sz w:val="21"/>
        </w:rPr>
        <w:t> </w:t>
      </w:r>
      <w:r>
        <w:rPr>
          <w:b/>
          <w:sz w:val="21"/>
        </w:rPr>
        <w:t>of</w:t>
      </w:r>
      <w:r>
        <w:rPr>
          <w:b/>
          <w:spacing w:val="13"/>
          <w:sz w:val="21"/>
        </w:rPr>
        <w:t> </w:t>
      </w:r>
      <w:r>
        <w:rPr>
          <w:b/>
          <w:sz w:val="21"/>
        </w:rPr>
        <w:t>the</w:t>
      </w:r>
      <w:r>
        <w:rPr>
          <w:b/>
          <w:spacing w:val="13"/>
          <w:sz w:val="21"/>
        </w:rPr>
        <w:t> </w:t>
      </w:r>
      <w:r>
        <w:rPr>
          <w:b/>
          <w:sz w:val="21"/>
        </w:rPr>
        <w:t>shareholders,</w:t>
      </w:r>
      <w:r>
        <w:rPr>
          <w:b/>
          <w:spacing w:val="13"/>
          <w:sz w:val="21"/>
        </w:rPr>
        <w:t> </w:t>
      </w:r>
      <w:r>
        <w:rPr>
          <w:b/>
          <w:sz w:val="21"/>
        </w:rPr>
        <w:t>directors</w:t>
      </w:r>
      <w:r>
        <w:rPr>
          <w:b/>
          <w:spacing w:val="13"/>
          <w:sz w:val="21"/>
        </w:rPr>
        <w:t> </w:t>
      </w:r>
      <w:r>
        <w:rPr>
          <w:b/>
          <w:sz w:val="21"/>
        </w:rPr>
        <w:t>and</w:t>
      </w:r>
      <w:r>
        <w:rPr>
          <w:b/>
          <w:spacing w:val="12"/>
          <w:sz w:val="21"/>
        </w:rPr>
        <w:t> </w:t>
      </w:r>
      <w:r>
        <w:rPr>
          <w:b/>
          <w:sz w:val="21"/>
        </w:rPr>
        <w:t>key</w:t>
      </w:r>
      <w:r>
        <w:rPr>
          <w:b/>
          <w:spacing w:val="13"/>
          <w:sz w:val="21"/>
        </w:rPr>
        <w:t> </w:t>
      </w:r>
      <w:r>
        <w:rPr>
          <w:b/>
          <w:sz w:val="21"/>
        </w:rPr>
        <w:t>employees</w:t>
      </w:r>
      <w:r>
        <w:rPr>
          <w:b/>
          <w:spacing w:val="13"/>
          <w:sz w:val="21"/>
        </w:rPr>
        <w:t> </w:t>
      </w:r>
      <w:r>
        <w:rPr>
          <w:b/>
          <w:sz w:val="21"/>
        </w:rPr>
        <w:t>of</w:t>
      </w:r>
      <w:r>
        <w:rPr>
          <w:b/>
          <w:spacing w:val="13"/>
          <w:sz w:val="21"/>
        </w:rPr>
        <w:t> </w:t>
      </w:r>
      <w:r>
        <w:rPr>
          <w:b/>
          <w:sz w:val="21"/>
        </w:rPr>
        <w:t>the</w:t>
      </w:r>
      <w:r>
        <w:rPr>
          <w:b/>
          <w:spacing w:val="13"/>
          <w:sz w:val="21"/>
        </w:rPr>
        <w:t> </w:t>
      </w:r>
      <w:r>
        <w:rPr>
          <w:b/>
          <w:sz w:val="21"/>
        </w:rPr>
        <w:t>Concessionaire</w:t>
      </w:r>
      <w:r>
        <w:rPr>
          <w:b/>
          <w:spacing w:val="12"/>
          <w:sz w:val="21"/>
        </w:rPr>
        <w:t> </w:t>
      </w:r>
      <w:r>
        <w:rPr>
          <w:b/>
          <w:sz w:val="21"/>
        </w:rPr>
        <w:t>and</w:t>
      </w:r>
      <w:r>
        <w:rPr>
          <w:b/>
          <w:spacing w:val="13"/>
          <w:sz w:val="21"/>
        </w:rPr>
        <w:t> </w:t>
      </w:r>
      <w:r>
        <w:rPr>
          <w:b/>
          <w:sz w:val="21"/>
        </w:rPr>
        <w:t>management</w:t>
      </w:r>
      <w:r>
        <w:rPr>
          <w:b/>
          <w:spacing w:val="13"/>
          <w:sz w:val="21"/>
        </w:rPr>
        <w:t> </w:t>
      </w:r>
      <w:r>
        <w:rPr>
          <w:b/>
          <w:spacing w:val="-2"/>
          <w:sz w:val="21"/>
        </w:rPr>
        <w:t>companies</w:t>
      </w:r>
    </w:p>
    <w:p>
      <w:pPr>
        <w:pStyle w:val="BodyText"/>
        <w:spacing w:before="160"/>
        <w:rPr>
          <w:b/>
          <w:sz w:val="21"/>
        </w:rPr>
      </w:pPr>
    </w:p>
    <w:p>
      <w:pPr>
        <w:spacing w:line="213" w:lineRule="auto" w:before="0"/>
        <w:ind w:left="144" w:right="118" w:firstLine="0"/>
        <w:jc w:val="both"/>
        <w:rPr>
          <w:sz w:val="21"/>
        </w:rPr>
      </w:pPr>
      <w:r>
        <w:rPr>
          <w:i/>
          <w:sz w:val="21"/>
        </w:rPr>
        <w:t>One</w:t>
      </w:r>
      <w:r>
        <w:rPr>
          <w:sz w:val="21"/>
        </w:rPr>
        <w:t>. The Concessionaire's shareholders holding 5% or more of its share capital and its directors and key employees must remain trustworthy during the Concessionaire’s term, according to law.</w:t>
      </w:r>
    </w:p>
    <w:p>
      <w:pPr>
        <w:pStyle w:val="BodyText"/>
        <w:spacing w:before="152"/>
        <w:rPr>
          <w:sz w:val="21"/>
        </w:rPr>
      </w:pPr>
    </w:p>
    <w:p>
      <w:pPr>
        <w:spacing w:line="213" w:lineRule="auto" w:before="0"/>
        <w:ind w:left="144" w:right="118" w:firstLine="0"/>
        <w:jc w:val="both"/>
        <w:rPr>
          <w:sz w:val="21"/>
        </w:rPr>
      </w:pPr>
      <w:r>
        <w:rPr>
          <w:i/>
          <w:sz w:val="21"/>
        </w:rPr>
        <w:t>Two</w:t>
      </w:r>
      <w:r>
        <w:rPr>
          <w:sz w:val="21"/>
        </w:rPr>
        <w:t>. For the scopes of the previous paragraph, shareholders of the Concessionaire holding 5% or more of its share capital and </w:t>
      </w:r>
      <w:r>
        <w:rPr>
          <w:sz w:val="21"/>
        </w:rPr>
        <w:t>its directors</w:t>
      </w:r>
      <w:r>
        <w:rPr>
          <w:spacing w:val="29"/>
          <w:sz w:val="21"/>
        </w:rPr>
        <w:t> </w:t>
      </w:r>
      <w:r>
        <w:rPr>
          <w:sz w:val="21"/>
        </w:rPr>
        <w:t>and</w:t>
      </w:r>
      <w:r>
        <w:rPr>
          <w:spacing w:val="29"/>
          <w:sz w:val="21"/>
        </w:rPr>
        <w:t> </w:t>
      </w:r>
      <w:r>
        <w:rPr>
          <w:sz w:val="21"/>
        </w:rPr>
        <w:t>key</w:t>
      </w:r>
      <w:r>
        <w:rPr>
          <w:spacing w:val="29"/>
          <w:sz w:val="21"/>
        </w:rPr>
        <w:t> </w:t>
      </w:r>
      <w:r>
        <w:rPr>
          <w:sz w:val="21"/>
        </w:rPr>
        <w:t>employees</w:t>
      </w:r>
      <w:r>
        <w:rPr>
          <w:spacing w:val="29"/>
          <w:sz w:val="21"/>
        </w:rPr>
        <w:t> </w:t>
      </w:r>
      <w:r>
        <w:rPr>
          <w:sz w:val="21"/>
        </w:rPr>
        <w:t>are</w:t>
      </w:r>
      <w:r>
        <w:rPr>
          <w:spacing w:val="29"/>
          <w:sz w:val="21"/>
        </w:rPr>
        <w:t> </w:t>
      </w:r>
      <w:r>
        <w:rPr>
          <w:sz w:val="21"/>
        </w:rPr>
        <w:t>subject</w:t>
      </w:r>
      <w:r>
        <w:rPr>
          <w:spacing w:val="29"/>
          <w:sz w:val="21"/>
        </w:rPr>
        <w:t> </w:t>
      </w:r>
      <w:r>
        <w:rPr>
          <w:sz w:val="21"/>
        </w:rPr>
        <w:t>to</w:t>
      </w:r>
      <w:r>
        <w:rPr>
          <w:spacing w:val="29"/>
          <w:sz w:val="21"/>
        </w:rPr>
        <w:t> </w:t>
      </w:r>
      <w:r>
        <w:rPr>
          <w:sz w:val="21"/>
        </w:rPr>
        <w:t>continuous</w:t>
      </w:r>
      <w:r>
        <w:rPr>
          <w:spacing w:val="29"/>
          <w:sz w:val="21"/>
        </w:rPr>
        <w:t> </w:t>
      </w:r>
      <w:r>
        <w:rPr>
          <w:sz w:val="21"/>
        </w:rPr>
        <w:t>and</w:t>
      </w:r>
      <w:r>
        <w:rPr>
          <w:spacing w:val="29"/>
          <w:sz w:val="21"/>
        </w:rPr>
        <w:t> </w:t>
      </w:r>
      <w:r>
        <w:rPr>
          <w:sz w:val="21"/>
        </w:rPr>
        <w:t>permanent</w:t>
      </w:r>
      <w:r>
        <w:rPr>
          <w:spacing w:val="29"/>
          <w:sz w:val="21"/>
        </w:rPr>
        <w:t> </w:t>
      </w:r>
      <w:r>
        <w:rPr>
          <w:sz w:val="21"/>
        </w:rPr>
        <w:t>monitoring</w:t>
      </w:r>
      <w:r>
        <w:rPr>
          <w:spacing w:val="29"/>
          <w:sz w:val="21"/>
        </w:rPr>
        <w:t> </w:t>
      </w:r>
      <w:r>
        <w:rPr>
          <w:sz w:val="21"/>
        </w:rPr>
        <w:t>and</w:t>
      </w:r>
      <w:r>
        <w:rPr>
          <w:spacing w:val="29"/>
          <w:sz w:val="21"/>
        </w:rPr>
        <w:t> </w:t>
      </w:r>
      <w:r>
        <w:rPr>
          <w:sz w:val="21"/>
        </w:rPr>
        <w:t>supervision</w:t>
      </w:r>
      <w:r>
        <w:rPr>
          <w:spacing w:val="29"/>
          <w:sz w:val="21"/>
        </w:rPr>
        <w:t> </w:t>
      </w:r>
      <w:r>
        <w:rPr>
          <w:sz w:val="21"/>
        </w:rPr>
        <w:t>by</w:t>
      </w:r>
      <w:r>
        <w:rPr>
          <w:spacing w:val="29"/>
          <w:sz w:val="21"/>
        </w:rPr>
        <w:t> </w:t>
      </w:r>
      <w:r>
        <w:rPr>
          <w:sz w:val="21"/>
        </w:rPr>
        <w:t>the</w:t>
      </w:r>
      <w:r>
        <w:rPr>
          <w:spacing w:val="29"/>
          <w:sz w:val="21"/>
        </w:rPr>
        <w:t> </w:t>
      </w:r>
      <w:r>
        <w:rPr>
          <w:sz w:val="21"/>
        </w:rPr>
        <w:t>government,</w:t>
      </w:r>
      <w:r>
        <w:rPr>
          <w:spacing w:val="29"/>
          <w:sz w:val="21"/>
        </w:rPr>
        <w:t> </w:t>
      </w:r>
      <w:r>
        <w:rPr>
          <w:sz w:val="21"/>
        </w:rPr>
        <w:t>according</w:t>
      </w:r>
      <w:r>
        <w:rPr>
          <w:spacing w:val="29"/>
          <w:sz w:val="21"/>
        </w:rPr>
        <w:t> </w:t>
      </w:r>
      <w:r>
        <w:rPr>
          <w:sz w:val="21"/>
        </w:rPr>
        <w:t>to </w:t>
      </w:r>
      <w:r>
        <w:rPr>
          <w:spacing w:val="-4"/>
          <w:sz w:val="21"/>
        </w:rPr>
        <w:t>law.</w:t>
      </w:r>
    </w:p>
    <w:p>
      <w:pPr>
        <w:pStyle w:val="BodyText"/>
        <w:spacing w:before="153"/>
        <w:rPr>
          <w:sz w:val="21"/>
        </w:rPr>
      </w:pPr>
    </w:p>
    <w:p>
      <w:pPr>
        <w:spacing w:line="213" w:lineRule="auto" w:before="0"/>
        <w:ind w:left="144" w:right="118" w:firstLine="0"/>
        <w:jc w:val="both"/>
        <w:rPr>
          <w:sz w:val="21"/>
        </w:rPr>
      </w:pPr>
      <w:r>
        <w:rPr>
          <w:i/>
          <w:sz w:val="21"/>
        </w:rPr>
        <w:t>Three</w:t>
      </w:r>
      <w:r>
        <w:rPr>
          <w:sz w:val="21"/>
        </w:rPr>
        <w:t>. The Concessionaire undertakes to ensure that shareholders holding 5% or more of its share capital and its directors and key employees</w:t>
      </w:r>
      <w:r>
        <w:rPr>
          <w:spacing w:val="36"/>
          <w:sz w:val="21"/>
        </w:rPr>
        <w:t> </w:t>
      </w:r>
      <w:r>
        <w:rPr>
          <w:sz w:val="21"/>
        </w:rPr>
        <w:t>are</w:t>
      </w:r>
      <w:r>
        <w:rPr>
          <w:spacing w:val="36"/>
          <w:sz w:val="21"/>
        </w:rPr>
        <w:t> </w:t>
      </w:r>
      <w:r>
        <w:rPr>
          <w:sz w:val="21"/>
        </w:rPr>
        <w:t>trustworthy</w:t>
      </w:r>
      <w:r>
        <w:rPr>
          <w:spacing w:val="36"/>
          <w:sz w:val="21"/>
        </w:rPr>
        <w:t> </w:t>
      </w:r>
      <w:r>
        <w:rPr>
          <w:sz w:val="21"/>
        </w:rPr>
        <w:t>during</w:t>
      </w:r>
      <w:r>
        <w:rPr>
          <w:spacing w:val="36"/>
          <w:sz w:val="21"/>
        </w:rPr>
        <w:t> </w:t>
      </w:r>
      <w:r>
        <w:rPr>
          <w:sz w:val="21"/>
        </w:rPr>
        <w:t>the</w:t>
      </w:r>
      <w:r>
        <w:rPr>
          <w:spacing w:val="36"/>
          <w:sz w:val="21"/>
        </w:rPr>
        <w:t> </w:t>
      </w:r>
      <w:r>
        <w:rPr>
          <w:sz w:val="21"/>
        </w:rPr>
        <w:t>term</w:t>
      </w:r>
      <w:r>
        <w:rPr>
          <w:spacing w:val="36"/>
          <w:sz w:val="21"/>
        </w:rPr>
        <w:t> </w:t>
      </w:r>
      <w:r>
        <w:rPr>
          <w:sz w:val="21"/>
        </w:rPr>
        <w:t>of</w:t>
      </w:r>
      <w:r>
        <w:rPr>
          <w:spacing w:val="36"/>
          <w:sz w:val="21"/>
        </w:rPr>
        <w:t> </w:t>
      </w:r>
      <w:r>
        <w:rPr>
          <w:sz w:val="21"/>
        </w:rPr>
        <w:t>the</w:t>
      </w:r>
      <w:r>
        <w:rPr>
          <w:spacing w:val="36"/>
          <w:sz w:val="21"/>
        </w:rPr>
        <w:t> </w:t>
      </w:r>
      <w:r>
        <w:rPr>
          <w:sz w:val="21"/>
        </w:rPr>
        <w:t>concession,</w:t>
      </w:r>
      <w:r>
        <w:rPr>
          <w:spacing w:val="36"/>
          <w:sz w:val="21"/>
        </w:rPr>
        <w:t> </w:t>
      </w:r>
      <w:r>
        <w:rPr>
          <w:sz w:val="21"/>
        </w:rPr>
        <w:t>in</w:t>
      </w:r>
      <w:r>
        <w:rPr>
          <w:spacing w:val="36"/>
          <w:sz w:val="21"/>
        </w:rPr>
        <w:t> </w:t>
      </w:r>
      <w:r>
        <w:rPr>
          <w:sz w:val="21"/>
        </w:rPr>
        <w:t>full</w:t>
      </w:r>
      <w:r>
        <w:rPr>
          <w:spacing w:val="36"/>
          <w:sz w:val="21"/>
        </w:rPr>
        <w:t> </w:t>
      </w:r>
      <w:r>
        <w:rPr>
          <w:sz w:val="21"/>
        </w:rPr>
        <w:t>awareness</w:t>
      </w:r>
      <w:r>
        <w:rPr>
          <w:spacing w:val="36"/>
          <w:sz w:val="21"/>
        </w:rPr>
        <w:t> </w:t>
      </w:r>
      <w:r>
        <w:rPr>
          <w:sz w:val="21"/>
        </w:rPr>
        <w:t>that</w:t>
      </w:r>
      <w:r>
        <w:rPr>
          <w:spacing w:val="36"/>
          <w:sz w:val="21"/>
        </w:rPr>
        <w:t> </w:t>
      </w:r>
      <w:r>
        <w:rPr>
          <w:sz w:val="21"/>
        </w:rPr>
        <w:t>their</w:t>
      </w:r>
      <w:r>
        <w:rPr>
          <w:spacing w:val="36"/>
          <w:sz w:val="21"/>
        </w:rPr>
        <w:t> </w:t>
      </w:r>
      <w:r>
        <w:rPr>
          <w:sz w:val="21"/>
        </w:rPr>
        <w:t>trustworthiness</w:t>
      </w:r>
      <w:r>
        <w:rPr>
          <w:spacing w:val="36"/>
          <w:sz w:val="21"/>
        </w:rPr>
        <w:t> </w:t>
      </w:r>
      <w:r>
        <w:rPr>
          <w:sz w:val="21"/>
        </w:rPr>
        <w:t>has</w:t>
      </w:r>
      <w:r>
        <w:rPr>
          <w:spacing w:val="36"/>
          <w:sz w:val="21"/>
        </w:rPr>
        <w:t> </w:t>
      </w:r>
      <w:r>
        <w:rPr>
          <w:sz w:val="21"/>
        </w:rPr>
        <w:t>repercussions</w:t>
      </w:r>
      <w:r>
        <w:rPr>
          <w:spacing w:val="36"/>
          <w:sz w:val="21"/>
        </w:rPr>
        <w:t> </w:t>
      </w:r>
      <w:r>
        <w:rPr>
          <w:sz w:val="21"/>
        </w:rPr>
        <w:t>for</w:t>
      </w:r>
      <w:r>
        <w:rPr>
          <w:spacing w:val="36"/>
          <w:sz w:val="21"/>
        </w:rPr>
        <w:t> </w:t>
      </w:r>
      <w:r>
        <w:rPr>
          <w:sz w:val="21"/>
        </w:rPr>
        <w:t>its own suitability.</w:t>
      </w:r>
    </w:p>
    <w:p>
      <w:pPr>
        <w:pStyle w:val="BodyText"/>
        <w:spacing w:before="167"/>
        <w:rPr>
          <w:sz w:val="21"/>
        </w:rPr>
      </w:pPr>
    </w:p>
    <w:p>
      <w:pPr>
        <w:spacing w:line="213" w:lineRule="auto" w:before="0"/>
        <w:ind w:left="144" w:right="118" w:firstLine="0"/>
        <w:jc w:val="both"/>
        <w:rPr>
          <w:sz w:val="21"/>
        </w:rPr>
      </w:pPr>
      <w:r>
        <w:rPr>
          <w:i/>
          <w:sz w:val="21"/>
        </w:rPr>
        <w:t>Four</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is</w:t>
      </w:r>
      <w:r>
        <w:rPr>
          <w:spacing w:val="40"/>
          <w:sz w:val="21"/>
        </w:rPr>
        <w:t> </w:t>
      </w:r>
      <w:r>
        <w:rPr>
          <w:sz w:val="21"/>
        </w:rPr>
        <w:t>under</w:t>
      </w:r>
      <w:r>
        <w:rPr>
          <w:spacing w:val="40"/>
          <w:sz w:val="21"/>
        </w:rPr>
        <w:t> </w:t>
      </w:r>
      <w:r>
        <w:rPr>
          <w:sz w:val="21"/>
        </w:rPr>
        <w:t>the</w:t>
      </w:r>
      <w:r>
        <w:rPr>
          <w:spacing w:val="40"/>
          <w:sz w:val="21"/>
        </w:rPr>
        <w:t> </w:t>
      </w:r>
      <w:r>
        <w:rPr>
          <w:sz w:val="21"/>
        </w:rPr>
        <w:t>obligation</w:t>
      </w:r>
      <w:r>
        <w:rPr>
          <w:spacing w:val="40"/>
          <w:sz w:val="21"/>
        </w:rPr>
        <w:t> </w:t>
      </w:r>
      <w:r>
        <w:rPr>
          <w:sz w:val="21"/>
        </w:rPr>
        <w:t>to</w:t>
      </w:r>
      <w:r>
        <w:rPr>
          <w:spacing w:val="40"/>
          <w:sz w:val="21"/>
        </w:rPr>
        <w:t> </w:t>
      </w:r>
      <w:r>
        <w:rPr>
          <w:sz w:val="21"/>
        </w:rPr>
        <w:t>demand</w:t>
      </w:r>
      <w:r>
        <w:rPr>
          <w:spacing w:val="40"/>
          <w:sz w:val="21"/>
        </w:rPr>
        <w:t> </w:t>
      </w:r>
      <w:r>
        <w:rPr>
          <w:sz w:val="21"/>
        </w:rPr>
        <w:t>that</w:t>
      </w:r>
      <w:r>
        <w:rPr>
          <w:spacing w:val="40"/>
          <w:sz w:val="21"/>
        </w:rPr>
        <w:t> </w:t>
      </w:r>
      <w:r>
        <w:rPr>
          <w:sz w:val="21"/>
        </w:rPr>
        <w:t>shareholders</w:t>
      </w:r>
      <w:r>
        <w:rPr>
          <w:spacing w:val="40"/>
          <w:sz w:val="21"/>
        </w:rPr>
        <w:t> </w:t>
      </w:r>
      <w:r>
        <w:rPr>
          <w:sz w:val="21"/>
        </w:rPr>
        <w:t>holding</w:t>
      </w:r>
      <w:r>
        <w:rPr>
          <w:spacing w:val="40"/>
          <w:sz w:val="21"/>
        </w:rPr>
        <w:t> </w:t>
      </w:r>
      <w:r>
        <w:rPr>
          <w:sz w:val="21"/>
        </w:rPr>
        <w:t>5%</w:t>
      </w:r>
      <w:r>
        <w:rPr>
          <w:spacing w:val="40"/>
          <w:sz w:val="21"/>
        </w:rPr>
        <w:t> </w:t>
      </w:r>
      <w:r>
        <w:rPr>
          <w:sz w:val="21"/>
        </w:rPr>
        <w:t>or</w:t>
      </w:r>
      <w:r>
        <w:rPr>
          <w:spacing w:val="40"/>
          <w:sz w:val="21"/>
        </w:rPr>
        <w:t> </w:t>
      </w:r>
      <w:r>
        <w:rPr>
          <w:sz w:val="21"/>
        </w:rPr>
        <w:t>more</w:t>
      </w:r>
      <w:r>
        <w:rPr>
          <w:spacing w:val="40"/>
          <w:sz w:val="21"/>
        </w:rPr>
        <w:t> </w:t>
      </w:r>
      <w:r>
        <w:rPr>
          <w:sz w:val="21"/>
        </w:rPr>
        <w:t>of</w:t>
      </w:r>
      <w:r>
        <w:rPr>
          <w:spacing w:val="40"/>
          <w:sz w:val="21"/>
        </w:rPr>
        <w:t> </w:t>
      </w:r>
      <w:r>
        <w:rPr>
          <w:sz w:val="21"/>
        </w:rPr>
        <w:t>its</w:t>
      </w:r>
      <w:r>
        <w:rPr>
          <w:spacing w:val="40"/>
          <w:sz w:val="21"/>
        </w:rPr>
        <w:t> </w:t>
      </w:r>
      <w:r>
        <w:rPr>
          <w:sz w:val="21"/>
        </w:rPr>
        <w:t>share</w:t>
      </w:r>
      <w:r>
        <w:rPr>
          <w:spacing w:val="40"/>
          <w:sz w:val="21"/>
        </w:rPr>
        <w:t> </w:t>
      </w:r>
      <w:r>
        <w:rPr>
          <w:sz w:val="21"/>
        </w:rPr>
        <w:t>capital</w:t>
      </w:r>
      <w:r>
        <w:rPr>
          <w:spacing w:val="40"/>
          <w:sz w:val="21"/>
        </w:rPr>
        <w:t> </w:t>
      </w:r>
      <w:r>
        <w:rPr>
          <w:sz w:val="21"/>
        </w:rPr>
        <w:t>and</w:t>
      </w:r>
      <w:r>
        <w:rPr>
          <w:spacing w:val="40"/>
          <w:sz w:val="21"/>
        </w:rPr>
        <w:t> </w:t>
      </w:r>
      <w:r>
        <w:rPr>
          <w:sz w:val="21"/>
        </w:rPr>
        <w:t>its directors and key employees inform DICJ, as soon as possible, after becoming aware of any facts that may be relevant to </w:t>
      </w:r>
      <w:r>
        <w:rPr>
          <w:sz w:val="21"/>
        </w:rPr>
        <w:t>the Concessionaire's trustworthiness or their own.</w:t>
      </w:r>
    </w:p>
    <w:p>
      <w:pPr>
        <w:pStyle w:val="BodyText"/>
        <w:spacing w:before="153"/>
        <w:rPr>
          <w:sz w:val="21"/>
        </w:rPr>
      </w:pPr>
    </w:p>
    <w:p>
      <w:pPr>
        <w:spacing w:line="213" w:lineRule="auto" w:before="0"/>
        <w:ind w:left="144" w:right="118" w:firstLine="0"/>
        <w:jc w:val="both"/>
        <w:rPr>
          <w:sz w:val="21"/>
        </w:rPr>
      </w:pPr>
      <w:r>
        <w:rPr>
          <w:i/>
          <w:sz w:val="21"/>
        </w:rPr>
        <w:t>Five</w:t>
      </w:r>
      <w:r>
        <w:rPr>
          <w:sz w:val="21"/>
        </w:rPr>
        <w:t>.</w:t>
      </w:r>
      <w:r>
        <w:rPr>
          <w:spacing w:val="26"/>
          <w:sz w:val="21"/>
        </w:rPr>
        <w:t> </w:t>
      </w:r>
      <w:r>
        <w:rPr>
          <w:sz w:val="21"/>
        </w:rPr>
        <w:t>Under</w:t>
      </w:r>
      <w:r>
        <w:rPr>
          <w:spacing w:val="26"/>
          <w:sz w:val="21"/>
        </w:rPr>
        <w:t> </w:t>
      </w:r>
      <w:r>
        <w:rPr>
          <w:sz w:val="21"/>
        </w:rPr>
        <w:t>the</w:t>
      </w:r>
      <w:r>
        <w:rPr>
          <w:spacing w:val="26"/>
          <w:sz w:val="21"/>
        </w:rPr>
        <w:t> </w:t>
      </w:r>
      <w:r>
        <w:rPr>
          <w:sz w:val="21"/>
        </w:rPr>
        <w:t>previous</w:t>
      </w:r>
      <w:r>
        <w:rPr>
          <w:spacing w:val="26"/>
          <w:sz w:val="21"/>
        </w:rPr>
        <w:t> </w:t>
      </w:r>
      <w:r>
        <w:rPr>
          <w:sz w:val="21"/>
        </w:rPr>
        <w:t>paragraph,</w:t>
      </w:r>
      <w:r>
        <w:rPr>
          <w:spacing w:val="26"/>
          <w:sz w:val="21"/>
        </w:rPr>
        <w:t> </w:t>
      </w:r>
      <w:r>
        <w:rPr>
          <w:sz w:val="21"/>
        </w:rPr>
        <w:t>the</w:t>
      </w:r>
      <w:r>
        <w:rPr>
          <w:spacing w:val="26"/>
          <w:sz w:val="21"/>
        </w:rPr>
        <w:t> </w:t>
      </w:r>
      <w:r>
        <w:rPr>
          <w:sz w:val="21"/>
        </w:rPr>
        <w:t>Concessionaire</w:t>
      </w:r>
      <w:r>
        <w:rPr>
          <w:spacing w:val="26"/>
          <w:sz w:val="21"/>
        </w:rPr>
        <w:t> </w:t>
      </w:r>
      <w:r>
        <w:rPr>
          <w:sz w:val="21"/>
        </w:rPr>
        <w:t>undertakes</w:t>
      </w:r>
      <w:r>
        <w:rPr>
          <w:spacing w:val="26"/>
          <w:sz w:val="21"/>
        </w:rPr>
        <w:t> </w:t>
      </w:r>
      <w:r>
        <w:rPr>
          <w:sz w:val="21"/>
        </w:rPr>
        <w:t>to</w:t>
      </w:r>
      <w:r>
        <w:rPr>
          <w:spacing w:val="26"/>
          <w:sz w:val="21"/>
        </w:rPr>
        <w:t> </w:t>
      </w:r>
      <w:r>
        <w:rPr>
          <w:sz w:val="21"/>
        </w:rPr>
        <w:t>ask</w:t>
      </w:r>
      <w:r>
        <w:rPr>
          <w:spacing w:val="26"/>
          <w:sz w:val="21"/>
        </w:rPr>
        <w:t> </w:t>
      </w:r>
      <w:r>
        <w:rPr>
          <w:sz w:val="21"/>
        </w:rPr>
        <w:t>shareholders</w:t>
      </w:r>
      <w:r>
        <w:rPr>
          <w:spacing w:val="26"/>
          <w:sz w:val="21"/>
        </w:rPr>
        <w:t> </w:t>
      </w:r>
      <w:r>
        <w:rPr>
          <w:sz w:val="21"/>
        </w:rPr>
        <w:t>holding</w:t>
      </w:r>
      <w:r>
        <w:rPr>
          <w:spacing w:val="26"/>
          <w:sz w:val="21"/>
        </w:rPr>
        <w:t> </w:t>
      </w:r>
      <w:r>
        <w:rPr>
          <w:sz w:val="21"/>
        </w:rPr>
        <w:t>5%</w:t>
      </w:r>
      <w:r>
        <w:rPr>
          <w:spacing w:val="26"/>
          <w:sz w:val="21"/>
        </w:rPr>
        <w:t> </w:t>
      </w:r>
      <w:r>
        <w:rPr>
          <w:sz w:val="21"/>
        </w:rPr>
        <w:t>or</w:t>
      </w:r>
      <w:r>
        <w:rPr>
          <w:spacing w:val="26"/>
          <w:sz w:val="21"/>
        </w:rPr>
        <w:t> </w:t>
      </w:r>
      <w:r>
        <w:rPr>
          <w:sz w:val="21"/>
        </w:rPr>
        <w:t>more</w:t>
      </w:r>
      <w:r>
        <w:rPr>
          <w:spacing w:val="26"/>
          <w:sz w:val="21"/>
        </w:rPr>
        <w:t> </w:t>
      </w:r>
      <w:r>
        <w:rPr>
          <w:sz w:val="21"/>
        </w:rPr>
        <w:t>of</w:t>
      </w:r>
      <w:r>
        <w:rPr>
          <w:spacing w:val="26"/>
          <w:sz w:val="21"/>
        </w:rPr>
        <w:t> </w:t>
      </w:r>
      <w:r>
        <w:rPr>
          <w:sz w:val="21"/>
        </w:rPr>
        <w:t>its</w:t>
      </w:r>
      <w:r>
        <w:rPr>
          <w:spacing w:val="26"/>
          <w:sz w:val="21"/>
        </w:rPr>
        <w:t> </w:t>
      </w:r>
      <w:r>
        <w:rPr>
          <w:sz w:val="21"/>
        </w:rPr>
        <w:t>share</w:t>
      </w:r>
      <w:r>
        <w:rPr>
          <w:spacing w:val="26"/>
          <w:sz w:val="21"/>
        </w:rPr>
        <w:t> </w:t>
      </w:r>
      <w:r>
        <w:rPr>
          <w:sz w:val="21"/>
        </w:rPr>
        <w:t>capital</w:t>
      </w:r>
      <w:r>
        <w:rPr>
          <w:spacing w:val="26"/>
          <w:sz w:val="21"/>
        </w:rPr>
        <w:t> </w:t>
      </w:r>
      <w:r>
        <w:rPr>
          <w:sz w:val="21"/>
        </w:rPr>
        <w:t>and its</w:t>
      </w:r>
      <w:r>
        <w:rPr>
          <w:spacing w:val="20"/>
          <w:sz w:val="21"/>
        </w:rPr>
        <w:t> </w:t>
      </w:r>
      <w:r>
        <w:rPr>
          <w:sz w:val="21"/>
        </w:rPr>
        <w:t>directors</w:t>
      </w:r>
      <w:r>
        <w:rPr>
          <w:spacing w:val="20"/>
          <w:sz w:val="21"/>
        </w:rPr>
        <w:t> </w:t>
      </w:r>
      <w:r>
        <w:rPr>
          <w:sz w:val="21"/>
        </w:rPr>
        <w:t>and</w:t>
      </w:r>
      <w:r>
        <w:rPr>
          <w:spacing w:val="20"/>
          <w:sz w:val="21"/>
        </w:rPr>
        <w:t> </w:t>
      </w:r>
      <w:r>
        <w:rPr>
          <w:sz w:val="21"/>
        </w:rPr>
        <w:t>key</w:t>
      </w:r>
      <w:r>
        <w:rPr>
          <w:spacing w:val="20"/>
          <w:sz w:val="21"/>
        </w:rPr>
        <w:t> </w:t>
      </w:r>
      <w:r>
        <w:rPr>
          <w:sz w:val="21"/>
        </w:rPr>
        <w:t>employees</w:t>
      </w:r>
      <w:r>
        <w:rPr>
          <w:spacing w:val="20"/>
          <w:sz w:val="21"/>
        </w:rPr>
        <w:t> </w:t>
      </w:r>
      <w:r>
        <w:rPr>
          <w:sz w:val="21"/>
        </w:rPr>
        <w:t>every</w:t>
      </w:r>
      <w:r>
        <w:rPr>
          <w:spacing w:val="20"/>
          <w:sz w:val="21"/>
        </w:rPr>
        <w:t> </w:t>
      </w:r>
      <w:r>
        <w:rPr>
          <w:sz w:val="21"/>
        </w:rPr>
        <w:t>six</w:t>
      </w:r>
      <w:r>
        <w:rPr>
          <w:spacing w:val="20"/>
          <w:sz w:val="21"/>
        </w:rPr>
        <w:t> </w:t>
      </w:r>
      <w:r>
        <w:rPr>
          <w:sz w:val="21"/>
        </w:rPr>
        <w:t>months</w:t>
      </w:r>
      <w:r>
        <w:rPr>
          <w:spacing w:val="20"/>
          <w:sz w:val="21"/>
        </w:rPr>
        <w:t> </w:t>
      </w:r>
      <w:r>
        <w:rPr>
          <w:sz w:val="21"/>
        </w:rPr>
        <w:t>whether</w:t>
      </w:r>
      <w:r>
        <w:rPr>
          <w:spacing w:val="20"/>
          <w:sz w:val="21"/>
        </w:rPr>
        <w:t> </w:t>
      </w:r>
      <w:r>
        <w:rPr>
          <w:sz w:val="21"/>
        </w:rPr>
        <w:t>they</w:t>
      </w:r>
      <w:r>
        <w:rPr>
          <w:spacing w:val="20"/>
          <w:sz w:val="21"/>
        </w:rPr>
        <w:t> </w:t>
      </w:r>
      <w:r>
        <w:rPr>
          <w:sz w:val="21"/>
        </w:rPr>
        <w:t>are</w:t>
      </w:r>
      <w:r>
        <w:rPr>
          <w:spacing w:val="20"/>
          <w:sz w:val="21"/>
        </w:rPr>
        <w:t> </w:t>
      </w:r>
      <w:r>
        <w:rPr>
          <w:sz w:val="21"/>
        </w:rPr>
        <w:t>aware</w:t>
      </w:r>
      <w:r>
        <w:rPr>
          <w:spacing w:val="20"/>
          <w:sz w:val="21"/>
        </w:rPr>
        <w:t> </w:t>
      </w:r>
      <w:r>
        <w:rPr>
          <w:sz w:val="21"/>
        </w:rPr>
        <w:t>of</w:t>
      </w:r>
      <w:r>
        <w:rPr>
          <w:spacing w:val="20"/>
          <w:sz w:val="21"/>
        </w:rPr>
        <w:t> </w:t>
      </w:r>
      <w:r>
        <w:rPr>
          <w:sz w:val="21"/>
        </w:rPr>
        <w:t>any</w:t>
      </w:r>
      <w:r>
        <w:rPr>
          <w:spacing w:val="20"/>
          <w:sz w:val="21"/>
        </w:rPr>
        <w:t> </w:t>
      </w:r>
      <w:r>
        <w:rPr>
          <w:sz w:val="21"/>
        </w:rPr>
        <w:t>fact</w:t>
      </w:r>
      <w:r>
        <w:rPr>
          <w:spacing w:val="20"/>
          <w:sz w:val="21"/>
        </w:rPr>
        <w:t> </w:t>
      </w:r>
      <w:r>
        <w:rPr>
          <w:sz w:val="21"/>
        </w:rPr>
        <w:t>which</w:t>
      </w:r>
      <w:r>
        <w:rPr>
          <w:spacing w:val="20"/>
          <w:sz w:val="21"/>
        </w:rPr>
        <w:t> </w:t>
      </w:r>
      <w:r>
        <w:rPr>
          <w:sz w:val="21"/>
        </w:rPr>
        <w:t>might</w:t>
      </w:r>
      <w:r>
        <w:rPr>
          <w:spacing w:val="20"/>
          <w:sz w:val="21"/>
        </w:rPr>
        <w:t> </w:t>
      </w:r>
      <w:r>
        <w:rPr>
          <w:sz w:val="21"/>
        </w:rPr>
        <w:t>be</w:t>
      </w:r>
      <w:r>
        <w:rPr>
          <w:spacing w:val="20"/>
          <w:sz w:val="21"/>
        </w:rPr>
        <w:t> </w:t>
      </w:r>
      <w:r>
        <w:rPr>
          <w:sz w:val="21"/>
        </w:rPr>
        <w:t>relevant</w:t>
      </w:r>
      <w:r>
        <w:rPr>
          <w:spacing w:val="20"/>
          <w:sz w:val="21"/>
        </w:rPr>
        <w:t> </w:t>
      </w:r>
      <w:r>
        <w:rPr>
          <w:sz w:val="21"/>
        </w:rPr>
        <w:t>to</w:t>
      </w:r>
      <w:r>
        <w:rPr>
          <w:spacing w:val="20"/>
          <w:sz w:val="21"/>
        </w:rPr>
        <w:t> </w:t>
      </w:r>
      <w:r>
        <w:rPr>
          <w:sz w:val="21"/>
        </w:rPr>
        <w:t>the</w:t>
      </w:r>
      <w:r>
        <w:rPr>
          <w:spacing w:val="20"/>
          <w:sz w:val="21"/>
        </w:rPr>
        <w:t> </w:t>
      </w:r>
      <w:r>
        <w:rPr>
          <w:sz w:val="21"/>
        </w:rPr>
        <w:t>trustworthiness of the Concessionaire or their own, without prejudice to the Concessionaire being bound to communicate this to DICJ as soon as</w:t>
      </w:r>
      <w:r>
        <w:rPr>
          <w:spacing w:val="40"/>
          <w:sz w:val="21"/>
        </w:rPr>
        <w:t> </w:t>
      </w:r>
      <w:r>
        <w:rPr>
          <w:sz w:val="21"/>
        </w:rPr>
        <w:t>possible if it becomes aware of any relevant fact.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771648">
                <wp:simplePos x="0" y="0"/>
                <wp:positionH relativeFrom="page">
                  <wp:posOffset>231457</wp:posOffset>
                </wp:positionH>
                <wp:positionV relativeFrom="paragraph">
                  <wp:posOffset>197472</wp:posOffset>
                </wp:positionV>
                <wp:extent cx="7312659" cy="17145"/>
                <wp:effectExtent l="0" t="0" r="0" b="0"/>
                <wp:wrapTopAndBottom/>
                <wp:docPr id="852" name="Group 852"/>
                <wp:cNvGraphicFramePr>
                  <a:graphicFrameLocks/>
                </wp:cNvGraphicFramePr>
                <a:graphic>
                  <a:graphicData uri="http://schemas.microsoft.com/office/word/2010/wordprocessingGroup">
                    <wpg:wgp>
                      <wpg:cNvPr id="852" name="Group 852"/>
                      <wpg:cNvGrpSpPr/>
                      <wpg:grpSpPr>
                        <a:xfrm>
                          <a:off x="0" y="0"/>
                          <a:ext cx="7312659" cy="17145"/>
                          <a:chExt cx="7312659" cy="17145"/>
                        </a:xfrm>
                      </wpg:grpSpPr>
                      <wps:wsp>
                        <wps:cNvPr id="853" name="Graphic 8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54" name="Graphic 854"/>
                        <wps:cNvSpPr/>
                        <wps:spPr>
                          <a:xfrm>
                            <a:off x="-12" y="-1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55" name="Graphic 8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549024pt;width:575.8pt;height:1.35pt;mso-position-horizontal-relative:page;mso-position-vertical-relative:paragraph;z-index:-15544832;mso-wrap-distance-left:0;mso-wrap-distance-right:0" id="docshapegroup850" coordorigin="364,311" coordsize="11516,27">
                <v:rect style="position:absolute;left:364;top:310;width:11516;height:14" id="docshape851" filled="true" fillcolor="#999999" stroked="false">
                  <v:fill type="solid"/>
                </v:rect>
                <v:shape style="position:absolute;left:364;top:310;width:11516;height:27" id="docshape852" coordorigin="364,311" coordsize="11516,27" path="m11880,311l11866,324,364,324,364,338,11866,338,11880,338,11880,324,11880,311xe" filled="true" fillcolor="#ededed" stroked="false">
                  <v:path arrowok="t"/>
                  <v:fill type="solid"/>
                </v:shape>
                <v:shape style="position:absolute;left:364;top:310;width:14;height:27" id="docshape853" coordorigin="364,311" coordsize="14,27" path="m364,338l364,311,378,311,378,324,364,338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90"/>
        <w:ind w:left="144" w:right="119" w:firstLine="0"/>
        <w:jc w:val="both"/>
        <w:rPr>
          <w:sz w:val="21"/>
        </w:rPr>
      </w:pPr>
      <w:r>
        <w:rPr>
          <w:i/>
          <w:sz w:val="21"/>
        </w:rPr>
        <w:t>Six</w:t>
      </w:r>
      <w:r>
        <w:rPr>
          <w:sz w:val="21"/>
        </w:rPr>
        <w:t>. The Concessionaire undertakes to communicate to DICJ, as soon as possible after becoming aware of any facts which may be relevant</w:t>
      </w:r>
      <w:r>
        <w:rPr>
          <w:spacing w:val="22"/>
          <w:sz w:val="21"/>
        </w:rPr>
        <w:t> </w:t>
      </w:r>
      <w:r>
        <w:rPr>
          <w:sz w:val="21"/>
        </w:rPr>
        <w:t>to</w:t>
      </w:r>
      <w:r>
        <w:rPr>
          <w:spacing w:val="22"/>
          <w:sz w:val="21"/>
        </w:rPr>
        <w:t> </w:t>
      </w:r>
      <w:r>
        <w:rPr>
          <w:sz w:val="21"/>
        </w:rPr>
        <w:t>the</w:t>
      </w:r>
      <w:r>
        <w:rPr>
          <w:spacing w:val="22"/>
          <w:sz w:val="21"/>
        </w:rPr>
        <w:t> </w:t>
      </w:r>
      <w:r>
        <w:rPr>
          <w:sz w:val="21"/>
        </w:rPr>
        <w:t>good-standing</w:t>
      </w:r>
      <w:r>
        <w:rPr>
          <w:spacing w:val="22"/>
          <w:sz w:val="21"/>
        </w:rPr>
        <w:t> </w:t>
      </w:r>
      <w:r>
        <w:rPr>
          <w:sz w:val="21"/>
        </w:rPr>
        <w:t>of</w:t>
      </w:r>
      <w:r>
        <w:rPr>
          <w:spacing w:val="22"/>
          <w:sz w:val="21"/>
        </w:rPr>
        <w:t> </w:t>
      </w:r>
      <w:r>
        <w:rPr>
          <w:sz w:val="21"/>
        </w:rPr>
        <w:t>shareholders</w:t>
      </w:r>
      <w:r>
        <w:rPr>
          <w:spacing w:val="22"/>
          <w:sz w:val="21"/>
        </w:rPr>
        <w:t> </w:t>
      </w:r>
      <w:r>
        <w:rPr>
          <w:sz w:val="21"/>
        </w:rPr>
        <w:t>holding</w:t>
      </w:r>
      <w:r>
        <w:rPr>
          <w:spacing w:val="22"/>
          <w:sz w:val="21"/>
        </w:rPr>
        <w:t> </w:t>
      </w:r>
      <w:r>
        <w:rPr>
          <w:sz w:val="21"/>
        </w:rPr>
        <w:t>5%</w:t>
      </w:r>
      <w:r>
        <w:rPr>
          <w:spacing w:val="22"/>
          <w:sz w:val="21"/>
        </w:rPr>
        <w:t> </w:t>
      </w:r>
      <w:r>
        <w:rPr>
          <w:sz w:val="21"/>
        </w:rPr>
        <w:t>or</w:t>
      </w:r>
      <w:r>
        <w:rPr>
          <w:spacing w:val="22"/>
          <w:sz w:val="21"/>
        </w:rPr>
        <w:t> </w:t>
      </w:r>
      <w:r>
        <w:rPr>
          <w:sz w:val="21"/>
        </w:rPr>
        <w:t>more</w:t>
      </w:r>
      <w:r>
        <w:rPr>
          <w:spacing w:val="22"/>
          <w:sz w:val="21"/>
        </w:rPr>
        <w:t> </w:t>
      </w:r>
      <w:r>
        <w:rPr>
          <w:sz w:val="21"/>
        </w:rPr>
        <w:t>of</w:t>
      </w:r>
      <w:r>
        <w:rPr>
          <w:spacing w:val="22"/>
          <w:sz w:val="21"/>
        </w:rPr>
        <w:t> </w:t>
      </w:r>
      <w:r>
        <w:rPr>
          <w:sz w:val="21"/>
        </w:rPr>
        <w:t>its</w:t>
      </w:r>
      <w:r>
        <w:rPr>
          <w:spacing w:val="22"/>
          <w:sz w:val="21"/>
        </w:rPr>
        <w:t> </w:t>
      </w:r>
      <w:r>
        <w:rPr>
          <w:sz w:val="21"/>
        </w:rPr>
        <w:t>share</w:t>
      </w:r>
      <w:r>
        <w:rPr>
          <w:spacing w:val="22"/>
          <w:sz w:val="21"/>
        </w:rPr>
        <w:t> </w:t>
      </w:r>
      <w:r>
        <w:rPr>
          <w:sz w:val="21"/>
        </w:rPr>
        <w:t>capital</w:t>
      </w:r>
      <w:r>
        <w:rPr>
          <w:spacing w:val="22"/>
          <w:sz w:val="21"/>
        </w:rPr>
        <w:t> </w:t>
      </w:r>
      <w:r>
        <w:rPr>
          <w:sz w:val="21"/>
        </w:rPr>
        <w:t>and</w:t>
      </w:r>
      <w:r>
        <w:rPr>
          <w:spacing w:val="22"/>
          <w:sz w:val="21"/>
        </w:rPr>
        <w:t> </w:t>
      </w:r>
      <w:r>
        <w:rPr>
          <w:sz w:val="21"/>
        </w:rPr>
        <w:t>of</w:t>
      </w:r>
      <w:r>
        <w:rPr>
          <w:spacing w:val="22"/>
          <w:sz w:val="21"/>
        </w:rPr>
        <w:t> </w:t>
      </w:r>
      <w:r>
        <w:rPr>
          <w:sz w:val="21"/>
        </w:rPr>
        <w:t>its</w:t>
      </w:r>
      <w:r>
        <w:rPr>
          <w:spacing w:val="22"/>
          <w:sz w:val="21"/>
        </w:rPr>
        <w:t> </w:t>
      </w:r>
      <w:r>
        <w:rPr>
          <w:sz w:val="21"/>
        </w:rPr>
        <w:t>directors</w:t>
      </w:r>
      <w:r>
        <w:rPr>
          <w:spacing w:val="22"/>
          <w:sz w:val="21"/>
        </w:rPr>
        <w:t> </w:t>
      </w:r>
      <w:r>
        <w:rPr>
          <w:sz w:val="21"/>
        </w:rPr>
        <w:t>and</w:t>
      </w:r>
      <w:r>
        <w:rPr>
          <w:spacing w:val="22"/>
          <w:sz w:val="21"/>
        </w:rPr>
        <w:t> </w:t>
      </w:r>
      <w:r>
        <w:rPr>
          <w:sz w:val="21"/>
        </w:rPr>
        <w:t>key</w:t>
      </w:r>
      <w:r>
        <w:rPr>
          <w:spacing w:val="22"/>
          <w:sz w:val="21"/>
        </w:rPr>
        <w:t> </w:t>
      </w:r>
      <w:r>
        <w:rPr>
          <w:sz w:val="21"/>
        </w:rPr>
        <w:t>employees.</w:t>
      </w:r>
    </w:p>
    <w:p>
      <w:pPr>
        <w:pStyle w:val="BodyText"/>
        <w:spacing w:before="152"/>
        <w:rPr>
          <w:sz w:val="21"/>
        </w:rPr>
      </w:pPr>
    </w:p>
    <w:p>
      <w:pPr>
        <w:spacing w:line="213" w:lineRule="auto" w:before="0"/>
        <w:ind w:left="144" w:right="118" w:firstLine="0"/>
        <w:jc w:val="both"/>
        <w:rPr>
          <w:sz w:val="21"/>
        </w:rPr>
      </w:pPr>
      <w:r>
        <w:rPr>
          <w:i/>
          <w:sz w:val="21"/>
        </w:rPr>
        <w:t>Seven</w:t>
      </w:r>
      <w:r>
        <w:rPr>
          <w:sz w:val="21"/>
        </w:rPr>
        <w:t>.</w:t>
      </w:r>
      <w:r>
        <w:rPr>
          <w:spacing w:val="17"/>
          <w:sz w:val="21"/>
        </w:rPr>
        <w:t> </w:t>
      </w:r>
      <w:r>
        <w:rPr>
          <w:sz w:val="21"/>
        </w:rPr>
        <w:t>The</w:t>
      </w:r>
      <w:r>
        <w:rPr>
          <w:spacing w:val="22"/>
          <w:sz w:val="21"/>
        </w:rPr>
        <w:t> </w:t>
      </w:r>
      <w:r>
        <w:rPr>
          <w:sz w:val="21"/>
        </w:rPr>
        <w:t>Concessionaire</w:t>
      </w:r>
      <w:r>
        <w:rPr>
          <w:spacing w:val="22"/>
          <w:sz w:val="21"/>
        </w:rPr>
        <w:t> </w:t>
      </w:r>
      <w:r>
        <w:rPr>
          <w:sz w:val="21"/>
        </w:rPr>
        <w:t>undertakes</w:t>
      </w:r>
      <w:r>
        <w:rPr>
          <w:spacing w:val="22"/>
          <w:sz w:val="21"/>
        </w:rPr>
        <w:t> </w:t>
      </w:r>
      <w:r>
        <w:rPr>
          <w:sz w:val="21"/>
        </w:rPr>
        <w:t>to</w:t>
      </w:r>
      <w:r>
        <w:rPr>
          <w:spacing w:val="22"/>
          <w:sz w:val="21"/>
        </w:rPr>
        <w:t> </w:t>
      </w:r>
      <w:r>
        <w:rPr>
          <w:sz w:val="21"/>
        </w:rPr>
        <w:t>ensure</w:t>
      </w:r>
      <w:r>
        <w:rPr>
          <w:spacing w:val="22"/>
          <w:sz w:val="21"/>
        </w:rPr>
        <w:t> </w:t>
      </w:r>
      <w:r>
        <w:rPr>
          <w:sz w:val="21"/>
        </w:rPr>
        <w:t>that</w:t>
      </w:r>
      <w:r>
        <w:rPr>
          <w:spacing w:val="22"/>
          <w:sz w:val="21"/>
        </w:rPr>
        <w:t> </w:t>
      </w:r>
      <w:r>
        <w:rPr>
          <w:sz w:val="21"/>
        </w:rPr>
        <w:t>the</w:t>
      </w:r>
      <w:r>
        <w:rPr>
          <w:spacing w:val="22"/>
          <w:sz w:val="21"/>
        </w:rPr>
        <w:t> </w:t>
      </w:r>
      <w:r>
        <w:rPr>
          <w:sz w:val="21"/>
        </w:rPr>
        <w:t>management</w:t>
      </w:r>
      <w:r>
        <w:rPr>
          <w:spacing w:val="22"/>
          <w:sz w:val="21"/>
        </w:rPr>
        <w:t> </w:t>
      </w:r>
      <w:r>
        <w:rPr>
          <w:sz w:val="21"/>
        </w:rPr>
        <w:t>companies</w:t>
      </w:r>
      <w:r>
        <w:rPr>
          <w:spacing w:val="22"/>
          <w:sz w:val="21"/>
        </w:rPr>
        <w:t> </w:t>
      </w:r>
      <w:r>
        <w:rPr>
          <w:sz w:val="21"/>
        </w:rPr>
        <w:t>it</w:t>
      </w:r>
      <w:r>
        <w:rPr>
          <w:spacing w:val="22"/>
          <w:sz w:val="21"/>
        </w:rPr>
        <w:t> </w:t>
      </w:r>
      <w:r>
        <w:rPr>
          <w:sz w:val="21"/>
        </w:rPr>
        <w:t>contracts</w:t>
      </w:r>
      <w:r>
        <w:rPr>
          <w:spacing w:val="22"/>
          <w:sz w:val="21"/>
        </w:rPr>
        <w:t> </w:t>
      </w:r>
      <w:r>
        <w:rPr>
          <w:sz w:val="21"/>
        </w:rPr>
        <w:t>as</w:t>
      </w:r>
      <w:r>
        <w:rPr>
          <w:spacing w:val="22"/>
          <w:sz w:val="21"/>
        </w:rPr>
        <w:t> </w:t>
      </w:r>
      <w:r>
        <w:rPr>
          <w:sz w:val="21"/>
        </w:rPr>
        <w:t>well</w:t>
      </w:r>
      <w:r>
        <w:rPr>
          <w:spacing w:val="22"/>
          <w:sz w:val="21"/>
        </w:rPr>
        <w:t> </w:t>
      </w:r>
      <w:r>
        <w:rPr>
          <w:sz w:val="21"/>
        </w:rPr>
        <w:t>as</w:t>
      </w:r>
      <w:r>
        <w:rPr>
          <w:spacing w:val="22"/>
          <w:sz w:val="21"/>
        </w:rPr>
        <w:t> </w:t>
      </w:r>
      <w:r>
        <w:rPr>
          <w:sz w:val="21"/>
        </w:rPr>
        <w:t>the</w:t>
      </w:r>
      <w:r>
        <w:rPr>
          <w:spacing w:val="22"/>
          <w:sz w:val="21"/>
        </w:rPr>
        <w:t> </w:t>
      </w:r>
      <w:r>
        <w:rPr>
          <w:sz w:val="21"/>
        </w:rPr>
        <w:t>shareholders</w:t>
      </w:r>
      <w:r>
        <w:rPr>
          <w:spacing w:val="22"/>
          <w:sz w:val="21"/>
        </w:rPr>
        <w:t> </w:t>
      </w:r>
      <w:r>
        <w:rPr>
          <w:sz w:val="21"/>
        </w:rPr>
        <w:t>holding</w:t>
      </w:r>
      <w:r>
        <w:rPr>
          <w:spacing w:val="22"/>
          <w:sz w:val="21"/>
        </w:rPr>
        <w:t> </w:t>
      </w:r>
      <w:r>
        <w:rPr>
          <w:sz w:val="21"/>
        </w:rPr>
        <w:t>5% or</w:t>
      </w:r>
      <w:r>
        <w:rPr>
          <w:spacing w:val="20"/>
          <w:sz w:val="21"/>
        </w:rPr>
        <w:t> </w:t>
      </w:r>
      <w:r>
        <w:rPr>
          <w:sz w:val="21"/>
        </w:rPr>
        <w:t>more</w:t>
      </w:r>
      <w:r>
        <w:rPr>
          <w:spacing w:val="20"/>
          <w:sz w:val="21"/>
        </w:rPr>
        <w:t> </w:t>
      </w:r>
      <w:r>
        <w:rPr>
          <w:sz w:val="21"/>
        </w:rPr>
        <w:t>of</w:t>
      </w:r>
      <w:r>
        <w:rPr>
          <w:spacing w:val="20"/>
          <w:sz w:val="21"/>
        </w:rPr>
        <w:t> </w:t>
      </w:r>
      <w:r>
        <w:rPr>
          <w:sz w:val="21"/>
        </w:rPr>
        <w:t>its</w:t>
      </w:r>
      <w:r>
        <w:rPr>
          <w:spacing w:val="20"/>
          <w:sz w:val="21"/>
        </w:rPr>
        <w:t> </w:t>
      </w:r>
      <w:r>
        <w:rPr>
          <w:sz w:val="21"/>
        </w:rPr>
        <w:t>share</w:t>
      </w:r>
      <w:r>
        <w:rPr>
          <w:spacing w:val="20"/>
          <w:sz w:val="21"/>
        </w:rPr>
        <w:t> </w:t>
      </w:r>
      <w:r>
        <w:rPr>
          <w:sz w:val="21"/>
        </w:rPr>
        <w:t>capital</w:t>
      </w:r>
      <w:r>
        <w:rPr>
          <w:spacing w:val="20"/>
          <w:sz w:val="21"/>
        </w:rPr>
        <w:t> </w:t>
      </w:r>
      <w:r>
        <w:rPr>
          <w:sz w:val="21"/>
        </w:rPr>
        <w:t>and</w:t>
      </w:r>
      <w:r>
        <w:rPr>
          <w:spacing w:val="20"/>
          <w:sz w:val="21"/>
        </w:rPr>
        <w:t> </w:t>
      </w:r>
      <w:r>
        <w:rPr>
          <w:sz w:val="21"/>
        </w:rPr>
        <w:t>its</w:t>
      </w:r>
      <w:r>
        <w:rPr>
          <w:spacing w:val="20"/>
          <w:sz w:val="21"/>
        </w:rPr>
        <w:t> </w:t>
      </w:r>
      <w:r>
        <w:rPr>
          <w:sz w:val="21"/>
        </w:rPr>
        <w:t>directors</w:t>
      </w:r>
      <w:r>
        <w:rPr>
          <w:spacing w:val="20"/>
          <w:sz w:val="21"/>
        </w:rPr>
        <w:t> </w:t>
      </w:r>
      <w:r>
        <w:rPr>
          <w:sz w:val="21"/>
        </w:rPr>
        <w:t>and</w:t>
      </w:r>
      <w:r>
        <w:rPr>
          <w:spacing w:val="20"/>
          <w:sz w:val="21"/>
        </w:rPr>
        <w:t> </w:t>
      </w:r>
      <w:r>
        <w:rPr>
          <w:sz w:val="21"/>
        </w:rPr>
        <w:t>key</w:t>
      </w:r>
      <w:r>
        <w:rPr>
          <w:spacing w:val="20"/>
          <w:sz w:val="21"/>
        </w:rPr>
        <w:t> </w:t>
      </w:r>
      <w:r>
        <w:rPr>
          <w:sz w:val="21"/>
        </w:rPr>
        <w:t>employees,</w:t>
      </w:r>
      <w:r>
        <w:rPr>
          <w:spacing w:val="20"/>
          <w:sz w:val="21"/>
        </w:rPr>
        <w:t> </w:t>
      </w:r>
      <w:r>
        <w:rPr>
          <w:sz w:val="21"/>
        </w:rPr>
        <w:t>remain</w:t>
      </w:r>
      <w:r>
        <w:rPr>
          <w:spacing w:val="20"/>
          <w:sz w:val="21"/>
        </w:rPr>
        <w:t> </w:t>
      </w:r>
      <w:r>
        <w:rPr>
          <w:sz w:val="21"/>
        </w:rPr>
        <w:t>of</w:t>
      </w:r>
      <w:r>
        <w:rPr>
          <w:spacing w:val="20"/>
          <w:sz w:val="21"/>
        </w:rPr>
        <w:t> </w:t>
      </w:r>
      <w:r>
        <w:rPr>
          <w:sz w:val="21"/>
        </w:rPr>
        <w:t>good-standing</w:t>
      </w:r>
      <w:r>
        <w:rPr>
          <w:spacing w:val="20"/>
          <w:sz w:val="21"/>
        </w:rPr>
        <w:t> </w:t>
      </w:r>
      <w:r>
        <w:rPr>
          <w:sz w:val="21"/>
        </w:rPr>
        <w:t>throughout</w:t>
      </w:r>
      <w:r>
        <w:rPr>
          <w:spacing w:val="20"/>
          <w:sz w:val="21"/>
        </w:rPr>
        <w:t> </w:t>
      </w:r>
      <w:r>
        <w:rPr>
          <w:sz w:val="21"/>
        </w:rPr>
        <w:t>the</w:t>
      </w:r>
      <w:r>
        <w:rPr>
          <w:spacing w:val="20"/>
          <w:sz w:val="21"/>
        </w:rPr>
        <w:t> </w:t>
      </w:r>
      <w:r>
        <w:rPr>
          <w:sz w:val="21"/>
        </w:rPr>
        <w:t>duration</w:t>
      </w:r>
      <w:r>
        <w:rPr>
          <w:spacing w:val="20"/>
          <w:sz w:val="21"/>
        </w:rPr>
        <w:t> </w:t>
      </w:r>
      <w:r>
        <w:rPr>
          <w:sz w:val="21"/>
        </w:rPr>
        <w:t>of</w:t>
      </w:r>
      <w:r>
        <w:rPr>
          <w:spacing w:val="20"/>
          <w:sz w:val="21"/>
        </w:rPr>
        <w:t> </w:t>
      </w:r>
      <w:r>
        <w:rPr>
          <w:sz w:val="21"/>
        </w:rPr>
        <w:t>the</w:t>
      </w:r>
      <w:r>
        <w:rPr>
          <w:spacing w:val="20"/>
          <w:sz w:val="21"/>
        </w:rPr>
        <w:t> </w:t>
      </w:r>
      <w:r>
        <w:rPr>
          <w:sz w:val="21"/>
        </w:rPr>
        <w:t>concession, in full awareness that their good-standing has repercussions for its own suitability.</w:t>
      </w:r>
    </w:p>
    <w:p>
      <w:pPr>
        <w:pStyle w:val="BodyText"/>
        <w:spacing w:before="154"/>
        <w:rPr>
          <w:sz w:val="21"/>
        </w:rPr>
      </w:pPr>
    </w:p>
    <w:p>
      <w:pPr>
        <w:spacing w:line="213" w:lineRule="auto" w:before="0"/>
        <w:ind w:left="144" w:right="118" w:firstLine="0"/>
        <w:jc w:val="both"/>
        <w:rPr>
          <w:sz w:val="21"/>
        </w:rPr>
      </w:pPr>
      <w:r>
        <w:rPr>
          <w:i/>
          <w:sz w:val="21"/>
        </w:rPr>
        <w:t>Eight</w:t>
      </w:r>
      <w:r>
        <w:rPr>
          <w:sz w:val="21"/>
        </w:rPr>
        <w:t>.</w:t>
      </w:r>
      <w:r>
        <w:rPr>
          <w:spacing w:val="17"/>
          <w:sz w:val="21"/>
        </w:rPr>
        <w:t> </w:t>
      </w:r>
      <w:r>
        <w:rPr>
          <w:sz w:val="21"/>
        </w:rPr>
        <w:t>The</w:t>
      </w:r>
      <w:r>
        <w:rPr>
          <w:spacing w:val="22"/>
          <w:sz w:val="21"/>
        </w:rPr>
        <w:t> </w:t>
      </w:r>
      <w:r>
        <w:rPr>
          <w:sz w:val="21"/>
        </w:rPr>
        <w:t>provisions</w:t>
      </w:r>
      <w:r>
        <w:rPr>
          <w:spacing w:val="22"/>
          <w:sz w:val="21"/>
        </w:rPr>
        <w:t> </w:t>
      </w:r>
      <w:r>
        <w:rPr>
          <w:sz w:val="21"/>
        </w:rPr>
        <w:t>of</w:t>
      </w:r>
      <w:r>
        <w:rPr>
          <w:spacing w:val="22"/>
          <w:sz w:val="21"/>
        </w:rPr>
        <w:t> </w:t>
      </w:r>
      <w:r>
        <w:rPr>
          <w:sz w:val="21"/>
        </w:rPr>
        <w:t>paragraph</w:t>
      </w:r>
      <w:r>
        <w:rPr>
          <w:spacing w:val="22"/>
          <w:sz w:val="21"/>
        </w:rPr>
        <w:t> </w:t>
      </w:r>
      <w:r>
        <w:rPr>
          <w:i/>
          <w:sz w:val="21"/>
        </w:rPr>
        <w:t>three</w:t>
      </w:r>
      <w:r>
        <w:rPr>
          <w:i/>
          <w:spacing w:val="22"/>
          <w:sz w:val="21"/>
        </w:rPr>
        <w:t> </w:t>
      </w:r>
      <w:r>
        <w:rPr>
          <w:sz w:val="21"/>
        </w:rPr>
        <w:t>are</w:t>
      </w:r>
      <w:r>
        <w:rPr>
          <w:spacing w:val="22"/>
          <w:sz w:val="21"/>
        </w:rPr>
        <w:t> </w:t>
      </w:r>
      <w:r>
        <w:rPr>
          <w:sz w:val="21"/>
        </w:rPr>
        <w:t>applicable</w:t>
      </w:r>
      <w:r>
        <w:rPr>
          <w:spacing w:val="22"/>
          <w:sz w:val="21"/>
        </w:rPr>
        <w:t> </w:t>
      </w:r>
      <w:r>
        <w:rPr>
          <w:sz w:val="21"/>
        </w:rPr>
        <w:t>to</w:t>
      </w:r>
      <w:r>
        <w:rPr>
          <w:spacing w:val="22"/>
          <w:sz w:val="21"/>
        </w:rPr>
        <w:t> </w:t>
      </w:r>
      <w:r>
        <w:rPr>
          <w:sz w:val="21"/>
        </w:rPr>
        <w:t>the</w:t>
      </w:r>
      <w:r>
        <w:rPr>
          <w:spacing w:val="22"/>
          <w:sz w:val="21"/>
        </w:rPr>
        <w:t> </w:t>
      </w:r>
      <w:r>
        <w:rPr>
          <w:sz w:val="21"/>
        </w:rPr>
        <w:t>processes</w:t>
      </w:r>
      <w:r>
        <w:rPr>
          <w:spacing w:val="22"/>
          <w:sz w:val="21"/>
        </w:rPr>
        <w:t> </w:t>
      </w:r>
      <w:r>
        <w:rPr>
          <w:sz w:val="21"/>
        </w:rPr>
        <w:t>for</w:t>
      </w:r>
      <w:r>
        <w:rPr>
          <w:spacing w:val="22"/>
          <w:sz w:val="21"/>
        </w:rPr>
        <w:t> </w:t>
      </w:r>
      <w:r>
        <w:rPr>
          <w:sz w:val="21"/>
        </w:rPr>
        <w:t>verifying</w:t>
      </w:r>
      <w:r>
        <w:rPr>
          <w:spacing w:val="22"/>
          <w:sz w:val="21"/>
        </w:rPr>
        <w:t> </w:t>
      </w:r>
      <w:r>
        <w:rPr>
          <w:sz w:val="21"/>
        </w:rPr>
        <w:t>the</w:t>
      </w:r>
      <w:r>
        <w:rPr>
          <w:spacing w:val="22"/>
          <w:sz w:val="21"/>
        </w:rPr>
        <w:t> </w:t>
      </w:r>
      <w:r>
        <w:rPr>
          <w:sz w:val="21"/>
        </w:rPr>
        <w:t>good-standing</w:t>
      </w:r>
      <w:r>
        <w:rPr>
          <w:spacing w:val="22"/>
          <w:sz w:val="21"/>
        </w:rPr>
        <w:t> </w:t>
      </w:r>
      <w:r>
        <w:rPr>
          <w:sz w:val="21"/>
        </w:rPr>
        <w:t>of</w:t>
      </w:r>
      <w:r>
        <w:rPr>
          <w:spacing w:val="22"/>
          <w:sz w:val="21"/>
        </w:rPr>
        <w:t> </w:t>
      </w:r>
      <w:r>
        <w:rPr>
          <w:sz w:val="21"/>
        </w:rPr>
        <w:t>shareholders</w:t>
      </w:r>
      <w:r>
        <w:rPr>
          <w:spacing w:val="22"/>
          <w:sz w:val="21"/>
        </w:rPr>
        <w:t> </w:t>
      </w:r>
      <w:r>
        <w:rPr>
          <w:sz w:val="21"/>
        </w:rPr>
        <w:t>holding</w:t>
      </w:r>
      <w:r>
        <w:rPr>
          <w:spacing w:val="22"/>
          <w:sz w:val="21"/>
        </w:rPr>
        <w:t> </w:t>
      </w:r>
      <w:r>
        <w:rPr>
          <w:sz w:val="21"/>
        </w:rPr>
        <w:t>5% or</w:t>
      </w:r>
      <w:r>
        <w:rPr>
          <w:spacing w:val="40"/>
          <w:sz w:val="21"/>
        </w:rPr>
        <w:t> </w:t>
      </w:r>
      <w:r>
        <w:rPr>
          <w:sz w:val="21"/>
        </w:rPr>
        <w:t>more</w:t>
      </w:r>
      <w:r>
        <w:rPr>
          <w:spacing w:val="40"/>
          <w:sz w:val="21"/>
        </w:rPr>
        <w:t> </w:t>
      </w:r>
      <w:r>
        <w:rPr>
          <w:sz w:val="21"/>
        </w:rPr>
        <w:t>of</w:t>
      </w:r>
      <w:r>
        <w:rPr>
          <w:spacing w:val="40"/>
          <w:sz w:val="21"/>
        </w:rPr>
        <w:t> </w:t>
      </w:r>
      <w:r>
        <w:rPr>
          <w:sz w:val="21"/>
        </w:rPr>
        <w:t>the</w:t>
      </w:r>
      <w:r>
        <w:rPr>
          <w:spacing w:val="40"/>
          <w:sz w:val="21"/>
        </w:rPr>
        <w:t> </w:t>
      </w:r>
      <w:r>
        <w:rPr>
          <w:sz w:val="21"/>
        </w:rPr>
        <w:t>share</w:t>
      </w:r>
      <w:r>
        <w:rPr>
          <w:spacing w:val="40"/>
          <w:sz w:val="21"/>
        </w:rPr>
        <w:t> </w:t>
      </w:r>
      <w:r>
        <w:rPr>
          <w:sz w:val="21"/>
        </w:rPr>
        <w:t>capital</w:t>
      </w:r>
      <w:r>
        <w:rPr>
          <w:spacing w:val="40"/>
          <w:sz w:val="21"/>
        </w:rPr>
        <w:t> </w:t>
      </w:r>
      <w:r>
        <w:rPr>
          <w:sz w:val="21"/>
        </w:rPr>
        <w:t>of</w:t>
      </w:r>
      <w:r>
        <w:rPr>
          <w:spacing w:val="40"/>
          <w:sz w:val="21"/>
        </w:rPr>
        <w:t> </w:t>
      </w:r>
      <w:r>
        <w:rPr>
          <w:sz w:val="21"/>
        </w:rPr>
        <w:t>the</w:t>
      </w:r>
      <w:r>
        <w:rPr>
          <w:spacing w:val="40"/>
          <w:sz w:val="21"/>
        </w:rPr>
        <w:t> </w:t>
      </w:r>
      <w:r>
        <w:rPr>
          <w:sz w:val="21"/>
        </w:rPr>
        <w:t>Concessionaire</w:t>
      </w:r>
      <w:r>
        <w:rPr>
          <w:spacing w:val="40"/>
          <w:sz w:val="21"/>
        </w:rPr>
        <w:t> </w:t>
      </w:r>
      <w:r>
        <w:rPr>
          <w:sz w:val="21"/>
        </w:rPr>
        <w:t>and</w:t>
      </w:r>
      <w:r>
        <w:rPr>
          <w:spacing w:val="40"/>
          <w:sz w:val="21"/>
        </w:rPr>
        <w:t> </w:t>
      </w:r>
      <w:r>
        <w:rPr>
          <w:sz w:val="21"/>
        </w:rPr>
        <w:t>the</w:t>
      </w:r>
      <w:r>
        <w:rPr>
          <w:spacing w:val="40"/>
          <w:sz w:val="21"/>
        </w:rPr>
        <w:t> </w:t>
      </w:r>
      <w:r>
        <w:rPr>
          <w:sz w:val="21"/>
        </w:rPr>
        <w:t>management</w:t>
      </w:r>
      <w:r>
        <w:rPr>
          <w:spacing w:val="40"/>
          <w:sz w:val="21"/>
        </w:rPr>
        <w:t> </w:t>
      </w:r>
      <w:r>
        <w:rPr>
          <w:sz w:val="21"/>
        </w:rPr>
        <w:t>companies,</w:t>
      </w:r>
      <w:r>
        <w:rPr>
          <w:spacing w:val="40"/>
          <w:sz w:val="21"/>
        </w:rPr>
        <w:t> </w:t>
      </w:r>
      <w:r>
        <w:rPr>
          <w:sz w:val="21"/>
        </w:rPr>
        <w:t>as</w:t>
      </w:r>
      <w:r>
        <w:rPr>
          <w:spacing w:val="40"/>
          <w:sz w:val="21"/>
        </w:rPr>
        <w:t> </w:t>
      </w:r>
      <w:r>
        <w:rPr>
          <w:sz w:val="21"/>
        </w:rPr>
        <w:t>well</w:t>
      </w:r>
      <w:r>
        <w:rPr>
          <w:spacing w:val="40"/>
          <w:sz w:val="21"/>
        </w:rPr>
        <w:t> </w:t>
      </w:r>
      <w:r>
        <w:rPr>
          <w:sz w:val="21"/>
        </w:rPr>
        <w:t>as</w:t>
      </w:r>
      <w:r>
        <w:rPr>
          <w:spacing w:val="40"/>
          <w:sz w:val="21"/>
        </w:rPr>
        <w:t> </w:t>
      </w:r>
      <w:r>
        <w:rPr>
          <w:sz w:val="21"/>
        </w:rPr>
        <w:t>the</w:t>
      </w:r>
      <w:r>
        <w:rPr>
          <w:spacing w:val="40"/>
          <w:sz w:val="21"/>
        </w:rPr>
        <w:t> </w:t>
      </w:r>
      <w:r>
        <w:rPr>
          <w:sz w:val="21"/>
        </w:rPr>
        <w:t>latter’s</w:t>
      </w:r>
      <w:r>
        <w:rPr>
          <w:spacing w:val="40"/>
          <w:sz w:val="21"/>
        </w:rPr>
        <w:t> </w:t>
      </w:r>
      <w:r>
        <w:rPr>
          <w:sz w:val="21"/>
        </w:rPr>
        <w:t>directors</w:t>
      </w:r>
      <w:r>
        <w:rPr>
          <w:spacing w:val="40"/>
          <w:sz w:val="21"/>
        </w:rPr>
        <w:t> </w:t>
      </w:r>
      <w:r>
        <w:rPr>
          <w:sz w:val="21"/>
        </w:rPr>
        <w:t>and</w:t>
      </w:r>
      <w:r>
        <w:rPr>
          <w:spacing w:val="40"/>
          <w:sz w:val="21"/>
        </w:rPr>
        <w:t> </w:t>
      </w:r>
      <w:r>
        <w:rPr>
          <w:sz w:val="21"/>
        </w:rPr>
        <w:t>key </w:t>
      </w:r>
      <w:r>
        <w:rPr>
          <w:spacing w:val="-2"/>
          <w:sz w:val="21"/>
        </w:rPr>
        <w:t>employees.</w:t>
      </w:r>
    </w:p>
    <w:p>
      <w:pPr>
        <w:pStyle w:val="BodyText"/>
        <w:spacing w:before="145"/>
        <w:rPr>
          <w:sz w:val="21"/>
        </w:rPr>
      </w:pPr>
    </w:p>
    <w:p>
      <w:pPr>
        <w:spacing w:before="0"/>
        <w:ind w:left="24" w:right="0" w:firstLine="0"/>
        <w:jc w:val="center"/>
        <w:rPr>
          <w:b/>
          <w:sz w:val="21"/>
        </w:rPr>
      </w:pPr>
      <w:r>
        <w:rPr>
          <w:b/>
          <w:sz w:val="21"/>
        </w:rPr>
        <w:t>Clause</w:t>
      </w:r>
      <w:r>
        <w:rPr>
          <w:b/>
          <w:spacing w:val="13"/>
          <w:sz w:val="21"/>
        </w:rPr>
        <w:t> </w:t>
      </w:r>
      <w:r>
        <w:rPr>
          <w:b/>
          <w:spacing w:val="-5"/>
          <w:sz w:val="21"/>
        </w:rPr>
        <w:t>28</w:t>
      </w:r>
    </w:p>
    <w:p>
      <w:pPr>
        <w:spacing w:before="55"/>
        <w:ind w:left="24" w:right="0" w:firstLine="0"/>
        <w:jc w:val="center"/>
        <w:rPr>
          <w:b/>
          <w:sz w:val="21"/>
        </w:rPr>
      </w:pPr>
      <w:r>
        <w:rPr>
          <w:b/>
          <w:sz w:val="21"/>
        </w:rPr>
        <w:t>Special</w:t>
      </w:r>
      <w:r>
        <w:rPr>
          <w:b/>
          <w:spacing w:val="9"/>
          <w:sz w:val="21"/>
        </w:rPr>
        <w:t> </w:t>
      </w:r>
      <w:r>
        <w:rPr>
          <w:b/>
          <w:sz w:val="21"/>
        </w:rPr>
        <w:t>duty</w:t>
      </w:r>
      <w:r>
        <w:rPr>
          <w:b/>
          <w:spacing w:val="9"/>
          <w:sz w:val="21"/>
        </w:rPr>
        <w:t> </w:t>
      </w:r>
      <w:r>
        <w:rPr>
          <w:b/>
          <w:sz w:val="21"/>
        </w:rPr>
        <w:t>of</w:t>
      </w:r>
      <w:r>
        <w:rPr>
          <w:b/>
          <w:spacing w:val="9"/>
          <w:sz w:val="21"/>
        </w:rPr>
        <w:t> </w:t>
      </w:r>
      <w:r>
        <w:rPr>
          <w:b/>
          <w:spacing w:val="-2"/>
          <w:sz w:val="21"/>
        </w:rPr>
        <w:t>cooperation</w:t>
      </w:r>
    </w:p>
    <w:p>
      <w:pPr>
        <w:pStyle w:val="BodyText"/>
        <w:spacing w:before="160"/>
        <w:rPr>
          <w:b/>
          <w:sz w:val="21"/>
        </w:rPr>
      </w:pPr>
    </w:p>
    <w:p>
      <w:pPr>
        <w:spacing w:line="213" w:lineRule="auto" w:before="0"/>
        <w:ind w:left="144" w:right="118" w:firstLine="0"/>
        <w:jc w:val="both"/>
        <w:rPr>
          <w:sz w:val="21"/>
        </w:rPr>
      </w:pPr>
      <w:r>
        <w:rPr>
          <w:sz w:val="21"/>
        </w:rPr>
        <w:t>Without prejudice to the general duty of cooperation set out in Clause 67, the Concessionaire undertakes to provide the Government</w:t>
      </w:r>
      <w:r>
        <w:rPr>
          <w:spacing w:val="40"/>
          <w:sz w:val="21"/>
        </w:rPr>
        <w:t> </w:t>
      </w:r>
      <w:r>
        <w:rPr>
          <w:sz w:val="21"/>
        </w:rPr>
        <w:t>with</w:t>
      </w:r>
      <w:r>
        <w:rPr>
          <w:spacing w:val="30"/>
          <w:sz w:val="21"/>
        </w:rPr>
        <w:t> </w:t>
      </w:r>
      <w:r>
        <w:rPr>
          <w:sz w:val="21"/>
        </w:rPr>
        <w:t>any</w:t>
      </w:r>
      <w:r>
        <w:rPr>
          <w:spacing w:val="30"/>
          <w:sz w:val="21"/>
        </w:rPr>
        <w:t> </w:t>
      </w:r>
      <w:r>
        <w:rPr>
          <w:sz w:val="21"/>
        </w:rPr>
        <w:t>document,</w:t>
      </w:r>
      <w:r>
        <w:rPr>
          <w:spacing w:val="30"/>
          <w:sz w:val="21"/>
        </w:rPr>
        <w:t> </w:t>
      </w:r>
      <w:r>
        <w:rPr>
          <w:sz w:val="21"/>
        </w:rPr>
        <w:t>information</w:t>
      </w:r>
      <w:r>
        <w:rPr>
          <w:spacing w:val="30"/>
          <w:sz w:val="21"/>
        </w:rPr>
        <w:t> </w:t>
      </w:r>
      <w:r>
        <w:rPr>
          <w:sz w:val="21"/>
        </w:rPr>
        <w:t>or</w:t>
      </w:r>
      <w:r>
        <w:rPr>
          <w:spacing w:val="30"/>
          <w:sz w:val="21"/>
        </w:rPr>
        <w:t> </w:t>
      </w:r>
      <w:r>
        <w:rPr>
          <w:sz w:val="21"/>
        </w:rPr>
        <w:t>materials</w:t>
      </w:r>
      <w:r>
        <w:rPr>
          <w:spacing w:val="30"/>
          <w:sz w:val="21"/>
        </w:rPr>
        <w:t> </w:t>
      </w:r>
      <w:r>
        <w:rPr>
          <w:sz w:val="21"/>
        </w:rPr>
        <w:t>the</w:t>
      </w:r>
      <w:r>
        <w:rPr>
          <w:spacing w:val="30"/>
          <w:sz w:val="21"/>
        </w:rPr>
        <w:t> </w:t>
      </w:r>
      <w:r>
        <w:rPr>
          <w:sz w:val="21"/>
        </w:rPr>
        <w:t>Government</w:t>
      </w:r>
      <w:r>
        <w:rPr>
          <w:spacing w:val="30"/>
          <w:sz w:val="21"/>
        </w:rPr>
        <w:t> </w:t>
      </w:r>
      <w:r>
        <w:rPr>
          <w:sz w:val="21"/>
        </w:rPr>
        <w:t>considers</w:t>
      </w:r>
      <w:r>
        <w:rPr>
          <w:spacing w:val="30"/>
          <w:sz w:val="21"/>
        </w:rPr>
        <w:t> </w:t>
      </w:r>
      <w:r>
        <w:rPr>
          <w:sz w:val="21"/>
        </w:rPr>
        <w:t>necessary</w:t>
      </w:r>
      <w:r>
        <w:rPr>
          <w:spacing w:val="30"/>
          <w:sz w:val="21"/>
        </w:rPr>
        <w:t> </w:t>
      </w:r>
      <w:r>
        <w:rPr>
          <w:sz w:val="21"/>
        </w:rPr>
        <w:t>to</w:t>
      </w:r>
      <w:r>
        <w:rPr>
          <w:spacing w:val="30"/>
          <w:sz w:val="21"/>
        </w:rPr>
        <w:t> </w:t>
      </w:r>
      <w:r>
        <w:rPr>
          <w:sz w:val="21"/>
        </w:rPr>
        <w:t>verify</w:t>
      </w:r>
      <w:r>
        <w:rPr>
          <w:spacing w:val="30"/>
          <w:sz w:val="21"/>
        </w:rPr>
        <w:t> </w:t>
      </w:r>
      <w:r>
        <w:rPr>
          <w:sz w:val="21"/>
        </w:rPr>
        <w:t>its</w:t>
      </w:r>
      <w:r>
        <w:rPr>
          <w:spacing w:val="30"/>
          <w:sz w:val="21"/>
        </w:rPr>
        <w:t> </w:t>
      </w:r>
      <w:r>
        <w:rPr>
          <w:sz w:val="21"/>
        </w:rPr>
        <w:t>suitability.</w:t>
      </w:r>
    </w:p>
    <w:p>
      <w:pPr>
        <w:pStyle w:val="BodyText"/>
        <w:spacing w:before="130"/>
        <w:rPr>
          <w:sz w:val="21"/>
        </w:rPr>
      </w:pPr>
    </w:p>
    <w:p>
      <w:pPr>
        <w:spacing w:before="1"/>
        <w:ind w:left="24" w:right="0" w:firstLine="0"/>
        <w:jc w:val="center"/>
        <w:rPr>
          <w:b/>
          <w:sz w:val="21"/>
        </w:rPr>
      </w:pPr>
      <w:r>
        <w:rPr>
          <w:b/>
          <w:sz w:val="21"/>
        </w:rPr>
        <w:t>Clause</w:t>
      </w:r>
      <w:r>
        <w:rPr>
          <w:b/>
          <w:spacing w:val="13"/>
          <w:sz w:val="21"/>
        </w:rPr>
        <w:t> </w:t>
      </w:r>
      <w:r>
        <w:rPr>
          <w:b/>
          <w:spacing w:val="-5"/>
          <w:sz w:val="21"/>
        </w:rPr>
        <w:t>29</w:t>
      </w:r>
    </w:p>
    <w:p>
      <w:pPr>
        <w:spacing w:before="55"/>
        <w:ind w:left="24" w:right="0" w:firstLine="0"/>
        <w:jc w:val="center"/>
        <w:rPr>
          <w:b/>
          <w:sz w:val="21"/>
        </w:rPr>
      </w:pPr>
      <w:r>
        <w:rPr>
          <w:b/>
          <w:sz w:val="21"/>
        </w:rPr>
        <w:t>Special</w:t>
      </w:r>
      <w:r>
        <w:rPr>
          <w:b/>
          <w:spacing w:val="9"/>
          <w:sz w:val="21"/>
        </w:rPr>
        <w:t> </w:t>
      </w:r>
      <w:r>
        <w:rPr>
          <w:b/>
          <w:sz w:val="21"/>
        </w:rPr>
        <w:t>duty</w:t>
      </w:r>
      <w:r>
        <w:rPr>
          <w:b/>
          <w:spacing w:val="9"/>
          <w:sz w:val="21"/>
        </w:rPr>
        <w:t> </w:t>
      </w:r>
      <w:r>
        <w:rPr>
          <w:b/>
          <w:sz w:val="21"/>
        </w:rPr>
        <w:t>of</w:t>
      </w:r>
      <w:r>
        <w:rPr>
          <w:b/>
          <w:spacing w:val="9"/>
          <w:sz w:val="21"/>
        </w:rPr>
        <w:t> </w:t>
      </w:r>
      <w:r>
        <w:rPr>
          <w:b/>
          <w:spacing w:val="-2"/>
          <w:sz w:val="21"/>
        </w:rPr>
        <w:t>notification</w:t>
      </w:r>
    </w:p>
    <w:p>
      <w:pPr>
        <w:pStyle w:val="BodyText"/>
        <w:spacing w:before="160"/>
        <w:rPr>
          <w:b/>
          <w:sz w:val="21"/>
        </w:rPr>
      </w:pPr>
    </w:p>
    <w:p>
      <w:pPr>
        <w:spacing w:line="213" w:lineRule="auto" w:before="0"/>
        <w:ind w:left="144" w:right="118" w:firstLine="0"/>
        <w:jc w:val="both"/>
        <w:rPr>
          <w:sz w:val="21"/>
        </w:rPr>
      </w:pPr>
      <w:r>
        <w:rPr>
          <w:sz w:val="21"/>
        </w:rPr>
        <w:t>The Concessionaire undertakes to notify DICJ within 15 days of becoming aware of the following situations concerning any of </w:t>
      </w:r>
      <w:r>
        <w:rPr>
          <w:sz w:val="21"/>
        </w:rPr>
        <w:t>its directors</w:t>
      </w:r>
      <w:r>
        <w:rPr>
          <w:spacing w:val="22"/>
          <w:sz w:val="21"/>
        </w:rPr>
        <w:t> </w:t>
      </w:r>
      <w:r>
        <w:rPr>
          <w:sz w:val="21"/>
        </w:rPr>
        <w:t>or</w:t>
      </w:r>
      <w:r>
        <w:rPr>
          <w:spacing w:val="22"/>
          <w:sz w:val="21"/>
        </w:rPr>
        <w:t> </w:t>
      </w:r>
      <w:r>
        <w:rPr>
          <w:sz w:val="21"/>
        </w:rPr>
        <w:t>any</w:t>
      </w:r>
      <w:r>
        <w:rPr>
          <w:spacing w:val="22"/>
          <w:sz w:val="21"/>
        </w:rPr>
        <w:t> </w:t>
      </w:r>
      <w:r>
        <w:rPr>
          <w:sz w:val="21"/>
        </w:rPr>
        <w:t>of</w:t>
      </w:r>
      <w:r>
        <w:rPr>
          <w:spacing w:val="22"/>
          <w:sz w:val="21"/>
        </w:rPr>
        <w:t> </w:t>
      </w:r>
      <w:r>
        <w:rPr>
          <w:sz w:val="21"/>
        </w:rPr>
        <w:t>its</w:t>
      </w:r>
      <w:r>
        <w:rPr>
          <w:spacing w:val="22"/>
          <w:sz w:val="21"/>
        </w:rPr>
        <w:t> </w:t>
      </w:r>
      <w:r>
        <w:rPr>
          <w:sz w:val="21"/>
        </w:rPr>
        <w:t>shareholders</w:t>
      </w:r>
      <w:r>
        <w:rPr>
          <w:spacing w:val="22"/>
          <w:sz w:val="21"/>
        </w:rPr>
        <w:t> </w:t>
      </w:r>
      <w:r>
        <w:rPr>
          <w:sz w:val="21"/>
        </w:rPr>
        <w:t>who,</w:t>
      </w:r>
      <w:r>
        <w:rPr>
          <w:spacing w:val="22"/>
          <w:sz w:val="21"/>
        </w:rPr>
        <w:t> </w:t>
      </w:r>
      <w:r>
        <w:rPr>
          <w:sz w:val="21"/>
        </w:rPr>
        <w:t>directly</w:t>
      </w:r>
      <w:r>
        <w:rPr>
          <w:spacing w:val="22"/>
          <w:sz w:val="21"/>
        </w:rPr>
        <w:t> </w:t>
      </w:r>
      <w:r>
        <w:rPr>
          <w:sz w:val="21"/>
        </w:rPr>
        <w:t>or</w:t>
      </w:r>
      <w:r>
        <w:rPr>
          <w:spacing w:val="22"/>
          <w:sz w:val="21"/>
        </w:rPr>
        <w:t> </w:t>
      </w:r>
      <w:r>
        <w:rPr>
          <w:sz w:val="21"/>
        </w:rPr>
        <w:t>indirectly,</w:t>
      </w:r>
      <w:r>
        <w:rPr>
          <w:spacing w:val="22"/>
          <w:sz w:val="21"/>
        </w:rPr>
        <w:t> </w:t>
      </w:r>
      <w:r>
        <w:rPr>
          <w:sz w:val="21"/>
        </w:rPr>
        <w:t>hold</w:t>
      </w:r>
      <w:r>
        <w:rPr>
          <w:spacing w:val="22"/>
          <w:sz w:val="21"/>
        </w:rPr>
        <w:t> </w:t>
      </w:r>
      <w:r>
        <w:rPr>
          <w:sz w:val="21"/>
        </w:rPr>
        <w:t>5%</w:t>
      </w:r>
      <w:r>
        <w:rPr>
          <w:spacing w:val="22"/>
          <w:sz w:val="21"/>
        </w:rPr>
        <w:t> </w:t>
      </w:r>
      <w:r>
        <w:rPr>
          <w:sz w:val="21"/>
        </w:rPr>
        <w:t>or</w:t>
      </w:r>
      <w:r>
        <w:rPr>
          <w:spacing w:val="22"/>
          <w:sz w:val="21"/>
        </w:rPr>
        <w:t> </w:t>
      </w:r>
      <w:r>
        <w:rPr>
          <w:sz w:val="21"/>
        </w:rPr>
        <w:t>more</w:t>
      </w:r>
      <w:r>
        <w:rPr>
          <w:spacing w:val="22"/>
          <w:sz w:val="21"/>
        </w:rPr>
        <w:t> </w:t>
      </w:r>
      <w:r>
        <w:rPr>
          <w:sz w:val="21"/>
        </w:rPr>
        <w:t>of</w:t>
      </w:r>
      <w:r>
        <w:rPr>
          <w:spacing w:val="22"/>
          <w:sz w:val="21"/>
        </w:rPr>
        <w:t> </w:t>
      </w:r>
      <w:r>
        <w:rPr>
          <w:sz w:val="21"/>
        </w:rPr>
        <w:t>its</w:t>
      </w:r>
      <w:r>
        <w:rPr>
          <w:spacing w:val="22"/>
          <w:sz w:val="21"/>
        </w:rPr>
        <w:t> </w:t>
      </w:r>
      <w:r>
        <w:rPr>
          <w:sz w:val="21"/>
        </w:rPr>
        <w:t>share</w:t>
      </w:r>
      <w:r>
        <w:rPr>
          <w:spacing w:val="22"/>
          <w:sz w:val="21"/>
        </w:rPr>
        <w:t> </w:t>
      </w:r>
      <w:r>
        <w:rPr>
          <w:sz w:val="21"/>
        </w:rPr>
        <w:t>capital:</w:t>
      </w:r>
    </w:p>
    <w:p>
      <w:pPr>
        <w:pStyle w:val="BodyText"/>
        <w:spacing w:before="152"/>
        <w:rPr>
          <w:sz w:val="21"/>
        </w:rPr>
      </w:pPr>
    </w:p>
    <w:p>
      <w:pPr>
        <w:pStyle w:val="ListParagraph"/>
        <w:numPr>
          <w:ilvl w:val="0"/>
          <w:numId w:val="30"/>
        </w:numPr>
        <w:tabs>
          <w:tab w:pos="910" w:val="left" w:leader="none"/>
        </w:tabs>
        <w:spacing w:line="213" w:lineRule="auto" w:before="0" w:after="0"/>
        <w:ind w:left="910" w:right="118" w:hanging="256"/>
        <w:jc w:val="both"/>
        <w:rPr>
          <w:sz w:val="21"/>
        </w:rPr>
      </w:pPr>
      <w:r>
        <w:rPr>
          <w:sz w:val="21"/>
        </w:rPr>
        <w:t>The</w:t>
      </w:r>
      <w:r>
        <w:rPr>
          <w:spacing w:val="39"/>
          <w:sz w:val="21"/>
        </w:rPr>
        <w:t> </w:t>
      </w:r>
      <w:r>
        <w:rPr>
          <w:sz w:val="21"/>
        </w:rPr>
        <w:t>participation</w:t>
      </w:r>
      <w:r>
        <w:rPr>
          <w:spacing w:val="39"/>
          <w:sz w:val="21"/>
        </w:rPr>
        <w:t> </w:t>
      </w:r>
      <w:r>
        <w:rPr>
          <w:sz w:val="21"/>
        </w:rPr>
        <w:t>in</w:t>
      </w:r>
      <w:r>
        <w:rPr>
          <w:spacing w:val="39"/>
          <w:sz w:val="21"/>
        </w:rPr>
        <w:t> </w:t>
      </w:r>
      <w:r>
        <w:rPr>
          <w:sz w:val="21"/>
        </w:rPr>
        <w:t>the</w:t>
      </w:r>
      <w:r>
        <w:rPr>
          <w:spacing w:val="39"/>
          <w:sz w:val="21"/>
        </w:rPr>
        <w:t> </w:t>
      </w:r>
      <w:r>
        <w:rPr>
          <w:sz w:val="21"/>
        </w:rPr>
        <w:t>process</w:t>
      </w:r>
      <w:r>
        <w:rPr>
          <w:spacing w:val="39"/>
          <w:sz w:val="21"/>
        </w:rPr>
        <w:t> </w:t>
      </w:r>
      <w:r>
        <w:rPr>
          <w:sz w:val="21"/>
        </w:rPr>
        <w:t>of</w:t>
      </w:r>
      <w:r>
        <w:rPr>
          <w:spacing w:val="39"/>
          <w:sz w:val="21"/>
        </w:rPr>
        <w:t> </w:t>
      </w:r>
      <w:r>
        <w:rPr>
          <w:sz w:val="21"/>
        </w:rPr>
        <w:t>licensing</w:t>
      </w:r>
      <w:r>
        <w:rPr>
          <w:spacing w:val="39"/>
          <w:sz w:val="21"/>
        </w:rPr>
        <w:t> </w:t>
      </w:r>
      <w:r>
        <w:rPr>
          <w:sz w:val="21"/>
        </w:rPr>
        <w:t>or</w:t>
      </w:r>
      <w:r>
        <w:rPr>
          <w:spacing w:val="39"/>
          <w:sz w:val="21"/>
        </w:rPr>
        <w:t> </w:t>
      </w:r>
      <w:r>
        <w:rPr>
          <w:sz w:val="21"/>
        </w:rPr>
        <w:t>granting</w:t>
      </w:r>
      <w:r>
        <w:rPr>
          <w:spacing w:val="39"/>
          <w:sz w:val="21"/>
        </w:rPr>
        <w:t> </w:t>
      </w:r>
      <w:r>
        <w:rPr>
          <w:sz w:val="21"/>
        </w:rPr>
        <w:t>of</w:t>
      </w:r>
      <w:r>
        <w:rPr>
          <w:spacing w:val="39"/>
          <w:sz w:val="21"/>
        </w:rPr>
        <w:t> </w:t>
      </w:r>
      <w:r>
        <w:rPr>
          <w:sz w:val="21"/>
        </w:rPr>
        <w:t>the</w:t>
      </w:r>
      <w:r>
        <w:rPr>
          <w:spacing w:val="39"/>
          <w:sz w:val="21"/>
        </w:rPr>
        <w:t> </w:t>
      </w:r>
      <w:r>
        <w:rPr>
          <w:sz w:val="21"/>
        </w:rPr>
        <w:t>operation</w:t>
      </w:r>
      <w:r>
        <w:rPr>
          <w:spacing w:val="39"/>
          <w:sz w:val="21"/>
        </w:rPr>
        <w:t> </w:t>
      </w:r>
      <w:r>
        <w:rPr>
          <w:sz w:val="21"/>
        </w:rPr>
        <w:t>of</w:t>
      </w:r>
      <w:r>
        <w:rPr>
          <w:spacing w:val="39"/>
          <w:sz w:val="21"/>
        </w:rPr>
        <w:t> </w:t>
      </w:r>
      <w:r>
        <w:rPr>
          <w:sz w:val="21"/>
        </w:rPr>
        <w:t>games</w:t>
      </w:r>
      <w:r>
        <w:rPr>
          <w:spacing w:val="39"/>
          <w:sz w:val="21"/>
        </w:rPr>
        <w:t> </w:t>
      </w:r>
      <w:r>
        <w:rPr>
          <w:sz w:val="21"/>
        </w:rPr>
        <w:t>of</w:t>
      </w:r>
      <w:r>
        <w:rPr>
          <w:spacing w:val="39"/>
          <w:sz w:val="21"/>
        </w:rPr>
        <w:t> </w:t>
      </w:r>
      <w:r>
        <w:rPr>
          <w:sz w:val="21"/>
        </w:rPr>
        <w:t>fortune</w:t>
      </w:r>
      <w:r>
        <w:rPr>
          <w:spacing w:val="39"/>
          <w:sz w:val="21"/>
        </w:rPr>
        <w:t> </w:t>
      </w:r>
      <w:r>
        <w:rPr>
          <w:sz w:val="21"/>
        </w:rPr>
        <w:t>or</w:t>
      </w:r>
      <w:r>
        <w:rPr>
          <w:spacing w:val="39"/>
          <w:sz w:val="21"/>
        </w:rPr>
        <w:t> </w:t>
      </w:r>
      <w:r>
        <w:rPr>
          <w:sz w:val="21"/>
        </w:rPr>
        <w:t>chance</w:t>
      </w:r>
      <w:r>
        <w:rPr>
          <w:spacing w:val="39"/>
          <w:sz w:val="21"/>
        </w:rPr>
        <w:t> </w:t>
      </w:r>
      <w:r>
        <w:rPr>
          <w:sz w:val="21"/>
        </w:rPr>
        <w:t>or</w:t>
      </w:r>
      <w:r>
        <w:rPr>
          <w:spacing w:val="39"/>
          <w:sz w:val="21"/>
        </w:rPr>
        <w:t> </w:t>
      </w:r>
      <w:r>
        <w:rPr>
          <w:sz w:val="21"/>
        </w:rPr>
        <w:t>other</w:t>
      </w:r>
      <w:r>
        <w:rPr>
          <w:spacing w:val="39"/>
          <w:sz w:val="21"/>
        </w:rPr>
        <w:t> </w:t>
      </w:r>
      <w:r>
        <w:rPr>
          <w:sz w:val="21"/>
        </w:rPr>
        <w:t>casino games in other countries or regions, the operation of games of fortune or chance or other casino games in other countries or regions, or the cessation of such operations;</w:t>
      </w:r>
    </w:p>
    <w:p>
      <w:pPr>
        <w:pStyle w:val="BodyText"/>
        <w:spacing w:before="153"/>
        <w:rPr>
          <w:sz w:val="21"/>
        </w:rPr>
      </w:pPr>
    </w:p>
    <w:p>
      <w:pPr>
        <w:pStyle w:val="ListParagraph"/>
        <w:numPr>
          <w:ilvl w:val="0"/>
          <w:numId w:val="30"/>
        </w:numPr>
        <w:tabs>
          <w:tab w:pos="910" w:val="left" w:leader="none"/>
          <w:tab w:pos="916" w:val="left" w:leader="none"/>
        </w:tabs>
        <w:spacing w:line="213" w:lineRule="auto" w:before="0" w:after="0"/>
        <w:ind w:left="910" w:right="118" w:hanging="256"/>
        <w:jc w:val="both"/>
        <w:rPr>
          <w:sz w:val="21"/>
        </w:rPr>
      </w:pPr>
      <w:r>
        <w:rPr>
          <w:sz w:val="21"/>
        </w:rPr>
        <w:tab/>
        <w:t>The investigation by the regulatory authority of another country or region for the purpose of punishing, suspending or influencing in any manner whatsoever the operation of games of fortune or chance or other casino games which have </w:t>
      </w:r>
      <w:r>
        <w:rPr>
          <w:sz w:val="21"/>
        </w:rPr>
        <w:t>been authorized,</w:t>
      </w:r>
      <w:r>
        <w:rPr>
          <w:spacing w:val="25"/>
          <w:sz w:val="21"/>
        </w:rPr>
        <w:t> </w:t>
      </w:r>
      <w:r>
        <w:rPr>
          <w:sz w:val="21"/>
        </w:rPr>
        <w:t>or</w:t>
      </w:r>
      <w:r>
        <w:rPr>
          <w:spacing w:val="25"/>
          <w:sz w:val="21"/>
        </w:rPr>
        <w:t> </w:t>
      </w:r>
      <w:r>
        <w:rPr>
          <w:sz w:val="21"/>
        </w:rPr>
        <w:t>the</w:t>
      </w:r>
      <w:r>
        <w:rPr>
          <w:spacing w:val="25"/>
          <w:sz w:val="21"/>
        </w:rPr>
        <w:t> </w:t>
      </w:r>
      <w:r>
        <w:rPr>
          <w:sz w:val="21"/>
        </w:rPr>
        <w:t>obtaining</w:t>
      </w:r>
      <w:r>
        <w:rPr>
          <w:spacing w:val="25"/>
          <w:sz w:val="21"/>
        </w:rPr>
        <w:t> </w:t>
      </w:r>
      <w:r>
        <w:rPr>
          <w:sz w:val="21"/>
        </w:rPr>
        <w:t>of</w:t>
      </w:r>
      <w:r>
        <w:rPr>
          <w:spacing w:val="25"/>
          <w:sz w:val="21"/>
        </w:rPr>
        <w:t> </w:t>
      </w:r>
      <w:r>
        <w:rPr>
          <w:sz w:val="21"/>
        </w:rPr>
        <w:t>a</w:t>
      </w:r>
      <w:r>
        <w:rPr>
          <w:spacing w:val="25"/>
          <w:sz w:val="21"/>
        </w:rPr>
        <w:t> </w:t>
      </w:r>
      <w:r>
        <w:rPr>
          <w:sz w:val="21"/>
        </w:rPr>
        <w:t>license</w:t>
      </w:r>
      <w:r>
        <w:rPr>
          <w:spacing w:val="25"/>
          <w:sz w:val="21"/>
        </w:rPr>
        <w:t> </w:t>
      </w:r>
      <w:r>
        <w:rPr>
          <w:sz w:val="21"/>
        </w:rPr>
        <w:t>or</w:t>
      </w:r>
      <w:r>
        <w:rPr>
          <w:spacing w:val="25"/>
          <w:sz w:val="21"/>
        </w:rPr>
        <w:t> </w:t>
      </w:r>
      <w:r>
        <w:rPr>
          <w:sz w:val="21"/>
        </w:rPr>
        <w:t>concession</w:t>
      </w:r>
      <w:r>
        <w:rPr>
          <w:spacing w:val="25"/>
          <w:sz w:val="21"/>
        </w:rPr>
        <w:t> </w:t>
      </w:r>
      <w:r>
        <w:rPr>
          <w:sz w:val="21"/>
        </w:rPr>
        <w:t>for</w:t>
      </w:r>
      <w:r>
        <w:rPr>
          <w:spacing w:val="25"/>
          <w:sz w:val="21"/>
        </w:rPr>
        <w:t> </w:t>
      </w:r>
      <w:r>
        <w:rPr>
          <w:sz w:val="21"/>
        </w:rPr>
        <w:t>the</w:t>
      </w:r>
      <w:r>
        <w:rPr>
          <w:spacing w:val="25"/>
          <w:sz w:val="21"/>
        </w:rPr>
        <w:t> </w:t>
      </w:r>
      <w:r>
        <w:rPr>
          <w:sz w:val="21"/>
        </w:rPr>
        <w:t>operation</w:t>
      </w:r>
      <w:r>
        <w:rPr>
          <w:spacing w:val="25"/>
          <w:sz w:val="21"/>
        </w:rPr>
        <w:t> </w:t>
      </w:r>
      <w:r>
        <w:rPr>
          <w:sz w:val="21"/>
        </w:rPr>
        <w:t>of</w:t>
      </w:r>
      <w:r>
        <w:rPr>
          <w:spacing w:val="25"/>
          <w:sz w:val="21"/>
        </w:rPr>
        <w:t> </w:t>
      </w:r>
      <w:r>
        <w:rPr>
          <w:sz w:val="21"/>
        </w:rPr>
        <w:t>such</w:t>
      </w:r>
      <w:r>
        <w:rPr>
          <w:spacing w:val="25"/>
          <w:sz w:val="21"/>
        </w:rPr>
        <w:t> </w:t>
      </w:r>
      <w:r>
        <w:rPr>
          <w:sz w:val="21"/>
        </w:rPr>
        <w:t>gaming</w:t>
      </w:r>
      <w:r>
        <w:rPr>
          <w:spacing w:val="25"/>
          <w:sz w:val="21"/>
        </w:rPr>
        <w:t> </w:t>
      </w:r>
      <w:r>
        <w:rPr>
          <w:sz w:val="21"/>
        </w:rPr>
        <w:t>activities.</w:t>
      </w:r>
    </w:p>
    <w:p>
      <w:pPr>
        <w:pStyle w:val="BodyText"/>
        <w:spacing w:before="135"/>
        <w:rPr>
          <w:sz w:val="21"/>
        </w:rPr>
      </w:pPr>
    </w:p>
    <w:p>
      <w:pPr>
        <w:pStyle w:val="Heading1"/>
      </w:pPr>
      <w:r>
        <w:rPr/>
        <w:t>CHAPTER</w:t>
      </w:r>
      <w:r>
        <w:rPr>
          <w:spacing w:val="-5"/>
        </w:rPr>
        <w:t> VI</w:t>
      </w:r>
    </w:p>
    <w:p>
      <w:pPr>
        <w:pStyle w:val="Heading2"/>
      </w:pPr>
      <w:r>
        <w:rPr/>
        <w:t>Financial Capacity and </w:t>
      </w:r>
      <w:r>
        <w:rPr>
          <w:spacing w:val="-2"/>
        </w:rPr>
        <w:t>Financing</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8"/>
        <w:rPr>
          <w:b/>
          <w:sz w:val="20"/>
        </w:rPr>
      </w:pPr>
      <w:r>
        <w:rPr/>
        <mc:AlternateContent>
          <mc:Choice Requires="wps">
            <w:drawing>
              <wp:anchor distT="0" distB="0" distL="0" distR="0" allowOverlap="1" layoutInCell="1" locked="0" behindDoc="1" simplePos="0" relativeHeight="487772160">
                <wp:simplePos x="0" y="0"/>
                <wp:positionH relativeFrom="page">
                  <wp:posOffset>231457</wp:posOffset>
                </wp:positionH>
                <wp:positionV relativeFrom="paragraph">
                  <wp:posOffset>255257</wp:posOffset>
                </wp:positionV>
                <wp:extent cx="7312659" cy="17145"/>
                <wp:effectExtent l="0" t="0" r="0" b="0"/>
                <wp:wrapTopAndBottom/>
                <wp:docPr id="856" name="Group 856"/>
                <wp:cNvGraphicFramePr>
                  <a:graphicFrameLocks/>
                </wp:cNvGraphicFramePr>
                <a:graphic>
                  <a:graphicData uri="http://schemas.microsoft.com/office/word/2010/wordprocessingGroup">
                    <wpg:wgp>
                      <wpg:cNvPr id="856" name="Group 856"/>
                      <wpg:cNvGrpSpPr/>
                      <wpg:grpSpPr>
                        <a:xfrm>
                          <a:off x="0" y="0"/>
                          <a:ext cx="7312659" cy="17145"/>
                          <a:chExt cx="7312659" cy="17145"/>
                        </a:xfrm>
                      </wpg:grpSpPr>
                      <wps:wsp>
                        <wps:cNvPr id="857" name="Graphic 85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58" name="Graphic 858"/>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59" name="Graphic 85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0.099024pt;width:575.8pt;height:1.35pt;mso-position-horizontal-relative:page;mso-position-vertical-relative:paragraph;z-index:-15544320;mso-wrap-distance-left:0;mso-wrap-distance-right:0" id="docshapegroup854" coordorigin="364,402" coordsize="11516,27">
                <v:rect style="position:absolute;left:364;top:401;width:11516;height:14" id="docshape855" filled="true" fillcolor="#999999" stroked="false">
                  <v:fill type="solid"/>
                </v:rect>
                <v:shape style="position:absolute;left:364;top:401;width:11516;height:27" id="docshape856" coordorigin="364,402" coordsize="11516,27" path="m11880,402l11866,415,364,415,364,429,11866,429,11880,429,11880,415,11880,402xe" filled="true" fillcolor="#ededed" stroked="false">
                  <v:path arrowok="t"/>
                  <v:fill type="solid"/>
                </v:shape>
                <v:shape style="position:absolute;left:364;top:401;width:14;height:27" id="docshape857" coordorigin="364,402" coordsize="14,27" path="m364,429l364,402,378,402,378,415,364,429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before="75"/>
        <w:ind w:left="24" w:right="0" w:firstLine="0"/>
        <w:jc w:val="center"/>
        <w:rPr>
          <w:b/>
          <w:sz w:val="21"/>
        </w:rPr>
      </w:pPr>
      <w:r>
        <w:rPr>
          <w:b/>
          <w:sz w:val="21"/>
        </w:rPr>
        <w:t>Clause</w:t>
      </w:r>
      <w:r>
        <w:rPr>
          <w:b/>
          <w:spacing w:val="13"/>
          <w:sz w:val="21"/>
        </w:rPr>
        <w:t> </w:t>
      </w:r>
      <w:r>
        <w:rPr>
          <w:b/>
          <w:spacing w:val="-5"/>
          <w:sz w:val="21"/>
        </w:rPr>
        <w:t>30</w:t>
      </w:r>
    </w:p>
    <w:p>
      <w:pPr>
        <w:spacing w:before="69"/>
        <w:ind w:left="24" w:right="0" w:firstLine="0"/>
        <w:jc w:val="center"/>
        <w:rPr>
          <w:b/>
          <w:sz w:val="21"/>
        </w:rPr>
      </w:pPr>
      <w:r>
        <w:rPr>
          <w:b/>
          <w:sz w:val="21"/>
        </w:rPr>
        <w:t>Financial</w:t>
      </w:r>
      <w:r>
        <w:rPr>
          <w:b/>
          <w:spacing w:val="11"/>
          <w:sz w:val="21"/>
        </w:rPr>
        <w:t> </w:t>
      </w:r>
      <w:r>
        <w:rPr>
          <w:b/>
          <w:sz w:val="21"/>
        </w:rPr>
        <w:t>capacity</w:t>
      </w:r>
      <w:r>
        <w:rPr>
          <w:b/>
          <w:spacing w:val="11"/>
          <w:sz w:val="21"/>
        </w:rPr>
        <w:t> </w:t>
      </w:r>
      <w:r>
        <w:rPr>
          <w:b/>
          <w:sz w:val="21"/>
        </w:rPr>
        <w:t>of</w:t>
      </w:r>
      <w:r>
        <w:rPr>
          <w:b/>
          <w:spacing w:val="11"/>
          <w:sz w:val="21"/>
        </w:rPr>
        <w:t> </w:t>
      </w:r>
      <w:r>
        <w:rPr>
          <w:b/>
          <w:sz w:val="21"/>
        </w:rPr>
        <w:t>the</w:t>
      </w:r>
      <w:r>
        <w:rPr>
          <w:b/>
          <w:spacing w:val="11"/>
          <w:sz w:val="21"/>
        </w:rPr>
        <w:t> </w:t>
      </w:r>
      <w:r>
        <w:rPr>
          <w:b/>
          <w:spacing w:val="-2"/>
          <w:sz w:val="21"/>
        </w:rPr>
        <w:t>Concessionaire</w:t>
      </w:r>
    </w:p>
    <w:p>
      <w:pPr>
        <w:pStyle w:val="BodyText"/>
        <w:spacing w:before="146"/>
        <w:rPr>
          <w:b/>
          <w:sz w:val="21"/>
        </w:rPr>
      </w:pPr>
    </w:p>
    <w:p>
      <w:pPr>
        <w:spacing w:line="213" w:lineRule="auto" w:before="0"/>
        <w:ind w:left="144" w:right="118" w:firstLine="0"/>
        <w:jc w:val="both"/>
        <w:rPr>
          <w:sz w:val="21"/>
        </w:rPr>
      </w:pPr>
      <w:r>
        <w:rPr>
          <w:i/>
          <w:sz w:val="21"/>
        </w:rPr>
        <w:t>One</w:t>
      </w:r>
      <w:r>
        <w:rPr>
          <w:sz w:val="21"/>
        </w:rPr>
        <w:t>.</w:t>
      </w:r>
      <w:r>
        <w:rPr>
          <w:spacing w:val="18"/>
          <w:sz w:val="21"/>
        </w:rPr>
        <w:t> </w:t>
      </w:r>
      <w:r>
        <w:rPr>
          <w:sz w:val="21"/>
        </w:rPr>
        <w:t>The</w:t>
      </w:r>
      <w:r>
        <w:rPr>
          <w:spacing w:val="23"/>
          <w:sz w:val="21"/>
        </w:rPr>
        <w:t> </w:t>
      </w:r>
      <w:r>
        <w:rPr>
          <w:sz w:val="21"/>
        </w:rPr>
        <w:t>Concessionaire</w:t>
      </w:r>
      <w:r>
        <w:rPr>
          <w:spacing w:val="23"/>
          <w:sz w:val="21"/>
        </w:rPr>
        <w:t> </w:t>
      </w:r>
      <w:r>
        <w:rPr>
          <w:sz w:val="21"/>
        </w:rPr>
        <w:t>shall</w:t>
      </w:r>
      <w:r>
        <w:rPr>
          <w:spacing w:val="23"/>
          <w:sz w:val="21"/>
        </w:rPr>
        <w:t> </w:t>
      </w:r>
      <w:r>
        <w:rPr>
          <w:sz w:val="21"/>
        </w:rPr>
        <w:t>maintain</w:t>
      </w:r>
      <w:r>
        <w:rPr>
          <w:spacing w:val="23"/>
          <w:sz w:val="21"/>
        </w:rPr>
        <w:t> </w:t>
      </w:r>
      <w:r>
        <w:rPr>
          <w:sz w:val="21"/>
        </w:rPr>
        <w:t>the</w:t>
      </w:r>
      <w:r>
        <w:rPr>
          <w:spacing w:val="23"/>
          <w:sz w:val="21"/>
        </w:rPr>
        <w:t> </w:t>
      </w:r>
      <w:r>
        <w:rPr>
          <w:sz w:val="21"/>
        </w:rPr>
        <w:t>financial</w:t>
      </w:r>
      <w:r>
        <w:rPr>
          <w:spacing w:val="23"/>
          <w:sz w:val="21"/>
        </w:rPr>
        <w:t> </w:t>
      </w:r>
      <w:r>
        <w:rPr>
          <w:sz w:val="21"/>
        </w:rPr>
        <w:t>capacity</w:t>
      </w:r>
      <w:r>
        <w:rPr>
          <w:spacing w:val="23"/>
          <w:sz w:val="21"/>
        </w:rPr>
        <w:t> </w:t>
      </w:r>
      <w:r>
        <w:rPr>
          <w:sz w:val="21"/>
        </w:rPr>
        <w:t>to</w:t>
      </w:r>
      <w:r>
        <w:rPr>
          <w:spacing w:val="23"/>
          <w:sz w:val="21"/>
        </w:rPr>
        <w:t> </w:t>
      </w:r>
      <w:r>
        <w:rPr>
          <w:sz w:val="21"/>
        </w:rPr>
        <w:t>operate</w:t>
      </w:r>
      <w:r>
        <w:rPr>
          <w:spacing w:val="23"/>
          <w:sz w:val="21"/>
        </w:rPr>
        <w:t> </w:t>
      </w:r>
      <w:r>
        <w:rPr>
          <w:sz w:val="21"/>
        </w:rPr>
        <w:t>the</w:t>
      </w:r>
      <w:r>
        <w:rPr>
          <w:spacing w:val="23"/>
          <w:sz w:val="21"/>
        </w:rPr>
        <w:t> </w:t>
      </w:r>
      <w:r>
        <w:rPr>
          <w:sz w:val="21"/>
        </w:rPr>
        <w:t>concession,</w:t>
      </w:r>
      <w:r>
        <w:rPr>
          <w:spacing w:val="23"/>
          <w:sz w:val="21"/>
        </w:rPr>
        <w:t> </w:t>
      </w:r>
      <w:r>
        <w:rPr>
          <w:sz w:val="21"/>
        </w:rPr>
        <w:t>as</w:t>
      </w:r>
      <w:r>
        <w:rPr>
          <w:spacing w:val="23"/>
          <w:sz w:val="21"/>
        </w:rPr>
        <w:t> </w:t>
      </w:r>
      <w:r>
        <w:rPr>
          <w:sz w:val="21"/>
        </w:rPr>
        <w:t>well</w:t>
      </w:r>
      <w:r>
        <w:rPr>
          <w:spacing w:val="23"/>
          <w:sz w:val="21"/>
        </w:rPr>
        <w:t> </w:t>
      </w:r>
      <w:r>
        <w:rPr>
          <w:sz w:val="21"/>
        </w:rPr>
        <w:t>as</w:t>
      </w:r>
      <w:r>
        <w:rPr>
          <w:spacing w:val="23"/>
          <w:sz w:val="21"/>
        </w:rPr>
        <w:t> </w:t>
      </w:r>
      <w:r>
        <w:rPr>
          <w:sz w:val="21"/>
        </w:rPr>
        <w:t>to</w:t>
      </w:r>
      <w:r>
        <w:rPr>
          <w:spacing w:val="23"/>
          <w:sz w:val="21"/>
        </w:rPr>
        <w:t> </w:t>
      </w:r>
      <w:r>
        <w:rPr>
          <w:sz w:val="21"/>
        </w:rPr>
        <w:t>timely</w:t>
      </w:r>
      <w:r>
        <w:rPr>
          <w:spacing w:val="23"/>
          <w:sz w:val="21"/>
        </w:rPr>
        <w:t> </w:t>
      </w:r>
      <w:r>
        <w:rPr>
          <w:sz w:val="21"/>
        </w:rPr>
        <w:t>and</w:t>
      </w:r>
      <w:r>
        <w:rPr>
          <w:spacing w:val="23"/>
          <w:sz w:val="21"/>
        </w:rPr>
        <w:t> </w:t>
      </w:r>
      <w:r>
        <w:rPr>
          <w:sz w:val="21"/>
        </w:rPr>
        <w:t>fully</w:t>
      </w:r>
      <w:r>
        <w:rPr>
          <w:spacing w:val="23"/>
          <w:sz w:val="21"/>
        </w:rPr>
        <w:t> </w:t>
      </w:r>
      <w:r>
        <w:rPr>
          <w:sz w:val="21"/>
        </w:rPr>
        <w:t>comply</w:t>
      </w:r>
      <w:r>
        <w:rPr>
          <w:spacing w:val="23"/>
          <w:sz w:val="21"/>
        </w:rPr>
        <w:t> </w:t>
      </w:r>
      <w:r>
        <w:rPr>
          <w:sz w:val="21"/>
        </w:rPr>
        <w:t>with the obligations relating to any aspect of its activity, investments and obligations that it is contractually bound to provide or has undertaken</w:t>
      </w:r>
      <w:r>
        <w:rPr>
          <w:spacing w:val="30"/>
          <w:sz w:val="21"/>
        </w:rPr>
        <w:t> </w:t>
      </w:r>
      <w:r>
        <w:rPr>
          <w:sz w:val="21"/>
        </w:rPr>
        <w:t>under</w:t>
      </w:r>
      <w:r>
        <w:rPr>
          <w:spacing w:val="30"/>
          <w:sz w:val="21"/>
        </w:rPr>
        <w:t> </w:t>
      </w:r>
      <w:r>
        <w:rPr>
          <w:sz w:val="21"/>
        </w:rPr>
        <w:t>this</w:t>
      </w:r>
      <w:r>
        <w:rPr>
          <w:spacing w:val="30"/>
          <w:sz w:val="21"/>
        </w:rPr>
        <w:t> </w:t>
      </w:r>
      <w:r>
        <w:rPr>
          <w:sz w:val="21"/>
        </w:rPr>
        <w:t>concession</w:t>
      </w:r>
      <w:r>
        <w:rPr>
          <w:spacing w:val="30"/>
          <w:sz w:val="21"/>
        </w:rPr>
        <w:t> </w:t>
      </w:r>
      <w:r>
        <w:rPr>
          <w:sz w:val="21"/>
        </w:rPr>
        <w:t>contract,</w:t>
      </w:r>
      <w:r>
        <w:rPr>
          <w:spacing w:val="30"/>
          <w:sz w:val="21"/>
        </w:rPr>
        <w:t> </w:t>
      </w:r>
      <w:r>
        <w:rPr>
          <w:sz w:val="21"/>
        </w:rPr>
        <w:t>in</w:t>
      </w:r>
      <w:r>
        <w:rPr>
          <w:spacing w:val="30"/>
          <w:sz w:val="21"/>
        </w:rPr>
        <w:t> </w:t>
      </w:r>
      <w:r>
        <w:rPr>
          <w:sz w:val="21"/>
        </w:rPr>
        <w:t>particular</w:t>
      </w:r>
      <w:r>
        <w:rPr>
          <w:spacing w:val="30"/>
          <w:sz w:val="21"/>
        </w:rPr>
        <w:t> </w:t>
      </w:r>
      <w:r>
        <w:rPr>
          <w:sz w:val="21"/>
        </w:rPr>
        <w:t>the</w:t>
      </w:r>
      <w:r>
        <w:rPr>
          <w:spacing w:val="30"/>
          <w:sz w:val="21"/>
        </w:rPr>
        <w:t> </w:t>
      </w:r>
      <w:r>
        <w:rPr>
          <w:sz w:val="21"/>
        </w:rPr>
        <w:t>Investment</w:t>
      </w:r>
      <w:r>
        <w:rPr>
          <w:spacing w:val="30"/>
          <w:sz w:val="21"/>
        </w:rPr>
        <w:t> </w:t>
      </w:r>
      <w:r>
        <w:rPr>
          <w:sz w:val="21"/>
        </w:rPr>
        <w:t>Plans</w:t>
      </w:r>
      <w:r>
        <w:rPr>
          <w:spacing w:val="30"/>
          <w:sz w:val="21"/>
        </w:rPr>
        <w:t> </w:t>
      </w:r>
      <w:r>
        <w:rPr>
          <w:sz w:val="21"/>
        </w:rPr>
        <w:t>annexed</w:t>
      </w:r>
      <w:r>
        <w:rPr>
          <w:spacing w:val="30"/>
          <w:sz w:val="21"/>
        </w:rPr>
        <w:t> </w:t>
      </w:r>
      <w:r>
        <w:rPr>
          <w:sz w:val="21"/>
        </w:rPr>
        <w:t>to</w:t>
      </w:r>
      <w:r>
        <w:rPr>
          <w:spacing w:val="30"/>
          <w:sz w:val="21"/>
        </w:rPr>
        <w:t> </w:t>
      </w:r>
      <w:r>
        <w:rPr>
          <w:sz w:val="21"/>
        </w:rPr>
        <w:t>this</w:t>
      </w:r>
      <w:r>
        <w:rPr>
          <w:spacing w:val="30"/>
          <w:sz w:val="21"/>
        </w:rPr>
        <w:t> </w:t>
      </w:r>
      <w:r>
        <w:rPr>
          <w:sz w:val="21"/>
        </w:rPr>
        <w:t>concession</w:t>
      </w:r>
      <w:r>
        <w:rPr>
          <w:spacing w:val="30"/>
          <w:sz w:val="21"/>
        </w:rPr>
        <w:t> </w:t>
      </w:r>
      <w:r>
        <w:rPr>
          <w:sz w:val="21"/>
        </w:rPr>
        <w:t>contract.</w:t>
      </w:r>
    </w:p>
    <w:p>
      <w:pPr>
        <w:pStyle w:val="BodyText"/>
        <w:spacing w:before="153"/>
        <w:rPr>
          <w:sz w:val="21"/>
        </w:rPr>
      </w:pPr>
    </w:p>
    <w:p>
      <w:pPr>
        <w:spacing w:line="213" w:lineRule="auto" w:before="1"/>
        <w:ind w:left="144" w:right="119" w:firstLine="0"/>
        <w:jc w:val="both"/>
        <w:rPr>
          <w:sz w:val="21"/>
        </w:rPr>
      </w:pPr>
      <w:r>
        <w:rPr>
          <w:i/>
          <w:sz w:val="21"/>
        </w:rPr>
        <w:t>Two</w:t>
      </w:r>
      <w:r>
        <w:rPr>
          <w:sz w:val="21"/>
        </w:rPr>
        <w:t>.</w:t>
      </w:r>
      <w:r>
        <w:rPr>
          <w:spacing w:val="19"/>
          <w:sz w:val="21"/>
        </w:rPr>
        <w:t> </w:t>
      </w:r>
      <w:r>
        <w:rPr>
          <w:sz w:val="21"/>
        </w:rPr>
        <w:t>For</w:t>
      </w:r>
      <w:r>
        <w:rPr>
          <w:spacing w:val="19"/>
          <w:sz w:val="21"/>
        </w:rPr>
        <w:t> </w:t>
      </w:r>
      <w:r>
        <w:rPr>
          <w:sz w:val="21"/>
        </w:rPr>
        <w:t>the</w:t>
      </w:r>
      <w:r>
        <w:rPr>
          <w:spacing w:val="19"/>
          <w:sz w:val="21"/>
        </w:rPr>
        <w:t> </w:t>
      </w:r>
      <w:r>
        <w:rPr>
          <w:sz w:val="21"/>
        </w:rPr>
        <w:t>purposes</w:t>
      </w:r>
      <w:r>
        <w:rPr>
          <w:spacing w:val="19"/>
          <w:sz w:val="21"/>
        </w:rPr>
        <w:t> </w:t>
      </w:r>
      <w:r>
        <w:rPr>
          <w:sz w:val="21"/>
        </w:rPr>
        <w:t>of</w:t>
      </w:r>
      <w:r>
        <w:rPr>
          <w:spacing w:val="19"/>
          <w:sz w:val="21"/>
        </w:rPr>
        <w:t> </w:t>
      </w:r>
      <w:r>
        <w:rPr>
          <w:sz w:val="21"/>
        </w:rPr>
        <w:t>the</w:t>
      </w:r>
      <w:r>
        <w:rPr>
          <w:spacing w:val="19"/>
          <w:sz w:val="21"/>
        </w:rPr>
        <w:t> </w:t>
      </w:r>
      <w:r>
        <w:rPr>
          <w:sz w:val="21"/>
        </w:rPr>
        <w:t>provisions</w:t>
      </w:r>
      <w:r>
        <w:rPr>
          <w:spacing w:val="19"/>
          <w:sz w:val="21"/>
        </w:rPr>
        <w:t> </w:t>
      </w:r>
      <w:r>
        <w:rPr>
          <w:sz w:val="21"/>
        </w:rPr>
        <w:t>of</w:t>
      </w:r>
      <w:r>
        <w:rPr>
          <w:spacing w:val="19"/>
          <w:sz w:val="21"/>
        </w:rPr>
        <w:t> </w:t>
      </w:r>
      <w:r>
        <w:rPr>
          <w:sz w:val="21"/>
        </w:rPr>
        <w:t>the</w:t>
      </w:r>
      <w:r>
        <w:rPr>
          <w:spacing w:val="19"/>
          <w:sz w:val="21"/>
        </w:rPr>
        <w:t> </w:t>
      </w:r>
      <w:r>
        <w:rPr>
          <w:sz w:val="21"/>
        </w:rPr>
        <w:t>preceding</w:t>
      </w:r>
      <w:r>
        <w:rPr>
          <w:spacing w:val="19"/>
          <w:sz w:val="21"/>
        </w:rPr>
        <w:t> </w:t>
      </w:r>
      <w:r>
        <w:rPr>
          <w:sz w:val="21"/>
        </w:rPr>
        <w:t>paragraph,</w:t>
      </w:r>
      <w:r>
        <w:rPr>
          <w:spacing w:val="19"/>
          <w:sz w:val="21"/>
        </w:rPr>
        <w:t> </w:t>
      </w:r>
      <w:r>
        <w:rPr>
          <w:sz w:val="21"/>
        </w:rPr>
        <w:t>the</w:t>
      </w:r>
      <w:r>
        <w:rPr>
          <w:spacing w:val="19"/>
          <w:sz w:val="21"/>
        </w:rPr>
        <w:t> </w:t>
      </w:r>
      <w:r>
        <w:rPr>
          <w:sz w:val="21"/>
        </w:rPr>
        <w:t>Concessionaire</w:t>
      </w:r>
      <w:r>
        <w:rPr>
          <w:spacing w:val="19"/>
          <w:sz w:val="21"/>
        </w:rPr>
        <w:t> </w:t>
      </w:r>
      <w:r>
        <w:rPr>
          <w:sz w:val="21"/>
        </w:rPr>
        <w:t>and</w:t>
      </w:r>
      <w:r>
        <w:rPr>
          <w:spacing w:val="19"/>
          <w:sz w:val="21"/>
        </w:rPr>
        <w:t> </w:t>
      </w:r>
      <w:r>
        <w:rPr>
          <w:sz w:val="21"/>
        </w:rPr>
        <w:t>the</w:t>
      </w:r>
      <w:r>
        <w:rPr>
          <w:spacing w:val="19"/>
          <w:sz w:val="21"/>
        </w:rPr>
        <w:t> </w:t>
      </w:r>
      <w:r>
        <w:rPr>
          <w:sz w:val="21"/>
        </w:rPr>
        <w:t>shareholders</w:t>
      </w:r>
      <w:r>
        <w:rPr>
          <w:spacing w:val="19"/>
          <w:sz w:val="21"/>
        </w:rPr>
        <w:t> </w:t>
      </w:r>
      <w:r>
        <w:rPr>
          <w:sz w:val="21"/>
        </w:rPr>
        <w:t>holding</w:t>
      </w:r>
      <w:r>
        <w:rPr>
          <w:spacing w:val="19"/>
          <w:sz w:val="21"/>
        </w:rPr>
        <w:t> </w:t>
      </w:r>
      <w:r>
        <w:rPr>
          <w:sz w:val="21"/>
        </w:rPr>
        <w:t>5%</w:t>
      </w:r>
      <w:r>
        <w:rPr>
          <w:spacing w:val="19"/>
          <w:sz w:val="21"/>
        </w:rPr>
        <w:t> </w:t>
      </w:r>
      <w:r>
        <w:rPr>
          <w:sz w:val="21"/>
        </w:rPr>
        <w:t>or</w:t>
      </w:r>
      <w:r>
        <w:rPr>
          <w:spacing w:val="19"/>
          <w:sz w:val="21"/>
        </w:rPr>
        <w:t> </w:t>
      </w:r>
      <w:r>
        <w:rPr>
          <w:sz w:val="21"/>
        </w:rPr>
        <w:t>more</w:t>
      </w:r>
      <w:r>
        <w:rPr>
          <w:spacing w:val="19"/>
          <w:sz w:val="21"/>
        </w:rPr>
        <w:t> </w:t>
      </w:r>
      <w:r>
        <w:rPr>
          <w:sz w:val="21"/>
        </w:rPr>
        <w:t>of its</w:t>
      </w:r>
      <w:r>
        <w:rPr>
          <w:spacing w:val="23"/>
          <w:sz w:val="21"/>
        </w:rPr>
        <w:t> </w:t>
      </w:r>
      <w:r>
        <w:rPr>
          <w:sz w:val="21"/>
        </w:rPr>
        <w:t>share</w:t>
      </w:r>
      <w:r>
        <w:rPr>
          <w:spacing w:val="23"/>
          <w:sz w:val="21"/>
        </w:rPr>
        <w:t> </w:t>
      </w:r>
      <w:r>
        <w:rPr>
          <w:sz w:val="21"/>
        </w:rPr>
        <w:t>capital</w:t>
      </w:r>
      <w:r>
        <w:rPr>
          <w:spacing w:val="23"/>
          <w:sz w:val="21"/>
        </w:rPr>
        <w:t> </w:t>
      </w:r>
      <w:r>
        <w:rPr>
          <w:sz w:val="21"/>
        </w:rPr>
        <w:t>shall</w:t>
      </w:r>
      <w:r>
        <w:rPr>
          <w:spacing w:val="23"/>
          <w:sz w:val="21"/>
        </w:rPr>
        <w:t> </w:t>
      </w:r>
      <w:r>
        <w:rPr>
          <w:sz w:val="21"/>
        </w:rPr>
        <w:t>be</w:t>
      </w:r>
      <w:r>
        <w:rPr>
          <w:spacing w:val="23"/>
          <w:sz w:val="21"/>
        </w:rPr>
        <w:t> </w:t>
      </w:r>
      <w:r>
        <w:rPr>
          <w:sz w:val="21"/>
        </w:rPr>
        <w:t>subject</w:t>
      </w:r>
      <w:r>
        <w:rPr>
          <w:spacing w:val="23"/>
          <w:sz w:val="21"/>
        </w:rPr>
        <w:t> </w:t>
      </w:r>
      <w:r>
        <w:rPr>
          <w:sz w:val="21"/>
        </w:rPr>
        <w:t>to</w:t>
      </w:r>
      <w:r>
        <w:rPr>
          <w:spacing w:val="23"/>
          <w:sz w:val="21"/>
        </w:rPr>
        <w:t> </w:t>
      </w:r>
      <w:r>
        <w:rPr>
          <w:sz w:val="21"/>
        </w:rPr>
        <w:t>continuous</w:t>
      </w:r>
      <w:r>
        <w:rPr>
          <w:spacing w:val="23"/>
          <w:sz w:val="21"/>
        </w:rPr>
        <w:t> </w:t>
      </w:r>
      <w:r>
        <w:rPr>
          <w:sz w:val="21"/>
        </w:rPr>
        <w:t>and</w:t>
      </w:r>
      <w:r>
        <w:rPr>
          <w:spacing w:val="23"/>
          <w:sz w:val="21"/>
        </w:rPr>
        <w:t> </w:t>
      </w:r>
      <w:r>
        <w:rPr>
          <w:sz w:val="21"/>
        </w:rPr>
        <w:t>permanent</w:t>
      </w:r>
      <w:r>
        <w:rPr>
          <w:spacing w:val="23"/>
          <w:sz w:val="21"/>
        </w:rPr>
        <w:t> </w:t>
      </w:r>
      <w:r>
        <w:rPr>
          <w:sz w:val="21"/>
        </w:rPr>
        <w:t>monitoring</w:t>
      </w:r>
      <w:r>
        <w:rPr>
          <w:spacing w:val="23"/>
          <w:sz w:val="21"/>
        </w:rPr>
        <w:t> </w:t>
      </w:r>
      <w:r>
        <w:rPr>
          <w:sz w:val="21"/>
        </w:rPr>
        <w:t>and</w:t>
      </w:r>
      <w:r>
        <w:rPr>
          <w:spacing w:val="23"/>
          <w:sz w:val="21"/>
        </w:rPr>
        <w:t> </w:t>
      </w:r>
      <w:r>
        <w:rPr>
          <w:sz w:val="21"/>
        </w:rPr>
        <w:t>supervision</w:t>
      </w:r>
      <w:r>
        <w:rPr>
          <w:spacing w:val="23"/>
          <w:sz w:val="21"/>
        </w:rPr>
        <w:t> </w:t>
      </w:r>
      <w:r>
        <w:rPr>
          <w:sz w:val="21"/>
        </w:rPr>
        <w:t>by</w:t>
      </w:r>
      <w:r>
        <w:rPr>
          <w:spacing w:val="23"/>
          <w:sz w:val="21"/>
        </w:rPr>
        <w:t> </w:t>
      </w:r>
      <w:r>
        <w:rPr>
          <w:sz w:val="21"/>
        </w:rPr>
        <w:t>the</w:t>
      </w:r>
      <w:r>
        <w:rPr>
          <w:spacing w:val="23"/>
          <w:sz w:val="21"/>
        </w:rPr>
        <w:t> </w:t>
      </w:r>
      <w:r>
        <w:rPr>
          <w:sz w:val="21"/>
        </w:rPr>
        <w:t>Government,</w:t>
      </w:r>
      <w:r>
        <w:rPr>
          <w:spacing w:val="23"/>
          <w:sz w:val="21"/>
        </w:rPr>
        <w:t> </w:t>
      </w:r>
      <w:r>
        <w:rPr>
          <w:sz w:val="21"/>
        </w:rPr>
        <w:t>according</w:t>
      </w:r>
      <w:r>
        <w:rPr>
          <w:spacing w:val="23"/>
          <w:sz w:val="21"/>
        </w:rPr>
        <w:t> </w:t>
      </w:r>
      <w:r>
        <w:rPr>
          <w:sz w:val="21"/>
        </w:rPr>
        <w:t>to</w:t>
      </w:r>
      <w:r>
        <w:rPr>
          <w:spacing w:val="23"/>
          <w:sz w:val="21"/>
        </w:rPr>
        <w:t> </w:t>
      </w:r>
      <w:r>
        <w:rPr>
          <w:sz w:val="21"/>
        </w:rPr>
        <w:t>the</w:t>
      </w:r>
      <w:r>
        <w:rPr>
          <w:spacing w:val="23"/>
          <w:sz w:val="21"/>
        </w:rPr>
        <w:t> </w:t>
      </w:r>
      <w:r>
        <w:rPr>
          <w:sz w:val="21"/>
        </w:rPr>
        <w:t>law.</w:t>
      </w:r>
    </w:p>
    <w:p>
      <w:pPr>
        <w:pStyle w:val="BodyText"/>
        <w:spacing w:before="165"/>
        <w:rPr>
          <w:sz w:val="21"/>
        </w:rPr>
      </w:pPr>
    </w:p>
    <w:p>
      <w:pPr>
        <w:spacing w:line="213" w:lineRule="auto" w:before="0"/>
        <w:ind w:left="144" w:right="118" w:firstLine="0"/>
        <w:jc w:val="both"/>
        <w:rPr>
          <w:sz w:val="21"/>
        </w:rPr>
      </w:pPr>
      <w:r>
        <w:rPr>
          <w:i/>
          <w:sz w:val="21"/>
        </w:rPr>
        <w:t>Three</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bear</w:t>
      </w:r>
      <w:r>
        <w:rPr>
          <w:spacing w:val="40"/>
          <w:sz w:val="21"/>
        </w:rPr>
        <w:t> </w:t>
      </w:r>
      <w:r>
        <w:rPr>
          <w:sz w:val="21"/>
        </w:rPr>
        <w:t>the</w:t>
      </w:r>
      <w:r>
        <w:rPr>
          <w:spacing w:val="40"/>
          <w:sz w:val="21"/>
        </w:rPr>
        <w:t> </w:t>
      </w:r>
      <w:r>
        <w:rPr>
          <w:sz w:val="21"/>
        </w:rPr>
        <w:t>costs</w:t>
      </w:r>
      <w:r>
        <w:rPr>
          <w:spacing w:val="40"/>
          <w:sz w:val="21"/>
        </w:rPr>
        <w:t> </w:t>
      </w:r>
      <w:r>
        <w:rPr>
          <w:sz w:val="21"/>
        </w:rPr>
        <w:t>of</w:t>
      </w:r>
      <w:r>
        <w:rPr>
          <w:spacing w:val="40"/>
          <w:sz w:val="21"/>
        </w:rPr>
        <w:t> </w:t>
      </w:r>
      <w:r>
        <w:rPr>
          <w:sz w:val="21"/>
        </w:rPr>
        <w:t>the</w:t>
      </w:r>
      <w:r>
        <w:rPr>
          <w:spacing w:val="40"/>
          <w:sz w:val="21"/>
        </w:rPr>
        <w:t> </w:t>
      </w:r>
      <w:r>
        <w:rPr>
          <w:sz w:val="21"/>
        </w:rPr>
        <w:t>procedures</w:t>
      </w:r>
      <w:r>
        <w:rPr>
          <w:spacing w:val="40"/>
          <w:sz w:val="21"/>
        </w:rPr>
        <w:t> </w:t>
      </w:r>
      <w:r>
        <w:rPr>
          <w:sz w:val="21"/>
        </w:rPr>
        <w:t>for</w:t>
      </w:r>
      <w:r>
        <w:rPr>
          <w:spacing w:val="40"/>
          <w:sz w:val="21"/>
        </w:rPr>
        <w:t> </w:t>
      </w:r>
      <w:r>
        <w:rPr>
          <w:sz w:val="21"/>
        </w:rPr>
        <w:t>verifying</w:t>
      </w:r>
      <w:r>
        <w:rPr>
          <w:spacing w:val="40"/>
          <w:sz w:val="21"/>
        </w:rPr>
        <w:t> </w:t>
      </w:r>
      <w:r>
        <w:rPr>
          <w:sz w:val="21"/>
        </w:rPr>
        <w:t>its</w:t>
      </w:r>
      <w:r>
        <w:rPr>
          <w:spacing w:val="40"/>
          <w:sz w:val="21"/>
        </w:rPr>
        <w:t> </w:t>
      </w:r>
      <w:r>
        <w:rPr>
          <w:sz w:val="21"/>
        </w:rPr>
        <w:t>financial</w:t>
      </w:r>
      <w:r>
        <w:rPr>
          <w:spacing w:val="40"/>
          <w:sz w:val="21"/>
        </w:rPr>
        <w:t> </w:t>
      </w:r>
      <w:r>
        <w:rPr>
          <w:sz w:val="21"/>
        </w:rPr>
        <w:t>standing</w:t>
      </w:r>
      <w:r>
        <w:rPr>
          <w:spacing w:val="40"/>
          <w:sz w:val="21"/>
        </w:rPr>
        <w:t> </w:t>
      </w:r>
      <w:r>
        <w:rPr>
          <w:sz w:val="21"/>
        </w:rPr>
        <w:t>and</w:t>
      </w:r>
      <w:r>
        <w:rPr>
          <w:spacing w:val="40"/>
          <w:sz w:val="21"/>
        </w:rPr>
        <w:t> </w:t>
      </w:r>
      <w:r>
        <w:rPr>
          <w:sz w:val="21"/>
        </w:rPr>
        <w:t>that</w:t>
      </w:r>
      <w:r>
        <w:rPr>
          <w:spacing w:val="40"/>
          <w:sz w:val="21"/>
        </w:rPr>
        <w:t> </w:t>
      </w:r>
      <w:r>
        <w:rPr>
          <w:sz w:val="21"/>
        </w:rPr>
        <w:t>of</w:t>
      </w:r>
      <w:r>
        <w:rPr>
          <w:spacing w:val="40"/>
          <w:sz w:val="21"/>
        </w:rPr>
        <w:t> </w:t>
      </w:r>
      <w:r>
        <w:rPr>
          <w:sz w:val="21"/>
        </w:rPr>
        <w:t>the shareholders holding 5% or more of its share capital within the period set by DICJ; for this purpose, DICJ shall issue a </w:t>
      </w:r>
      <w:r>
        <w:rPr>
          <w:sz w:val="21"/>
        </w:rPr>
        <w:t>document</w:t>
      </w:r>
      <w:r>
        <w:rPr>
          <w:spacing w:val="40"/>
          <w:sz w:val="21"/>
        </w:rPr>
        <w:t> </w:t>
      </w:r>
      <w:r>
        <w:rPr>
          <w:sz w:val="21"/>
        </w:rPr>
        <w:t>quoting such costs, which shall constitute sufficient proof thereof.</w:t>
      </w:r>
    </w:p>
    <w:p>
      <w:pPr>
        <w:pStyle w:val="BodyText"/>
        <w:spacing w:before="132"/>
        <w:rPr>
          <w:sz w:val="21"/>
        </w:rPr>
      </w:pPr>
    </w:p>
    <w:p>
      <w:pPr>
        <w:spacing w:before="0"/>
        <w:ind w:left="24" w:right="0" w:firstLine="0"/>
        <w:jc w:val="center"/>
        <w:rPr>
          <w:b/>
          <w:sz w:val="21"/>
        </w:rPr>
      </w:pPr>
      <w:r>
        <w:rPr>
          <w:b/>
          <w:sz w:val="21"/>
        </w:rPr>
        <w:t>Clause</w:t>
      </w:r>
      <w:r>
        <w:rPr>
          <w:b/>
          <w:spacing w:val="13"/>
          <w:sz w:val="21"/>
        </w:rPr>
        <w:t> </w:t>
      </w:r>
      <w:r>
        <w:rPr>
          <w:b/>
          <w:spacing w:val="-5"/>
          <w:sz w:val="21"/>
        </w:rPr>
        <w:t>31</w:t>
      </w:r>
    </w:p>
    <w:p>
      <w:pPr>
        <w:spacing w:before="69"/>
        <w:ind w:left="24" w:right="0" w:firstLine="0"/>
        <w:jc w:val="center"/>
        <w:rPr>
          <w:b/>
          <w:sz w:val="21"/>
        </w:rPr>
      </w:pPr>
      <w:r>
        <w:rPr>
          <w:b/>
          <w:sz w:val="21"/>
        </w:rPr>
        <w:t>Loans</w:t>
      </w:r>
      <w:r>
        <w:rPr>
          <w:b/>
          <w:spacing w:val="11"/>
          <w:sz w:val="21"/>
        </w:rPr>
        <w:t> </w:t>
      </w:r>
      <w:r>
        <w:rPr>
          <w:b/>
          <w:sz w:val="21"/>
        </w:rPr>
        <w:t>and</w:t>
      </w:r>
      <w:r>
        <w:rPr>
          <w:b/>
          <w:spacing w:val="11"/>
          <w:sz w:val="21"/>
        </w:rPr>
        <w:t> </w:t>
      </w:r>
      <w:r>
        <w:rPr>
          <w:b/>
          <w:sz w:val="21"/>
        </w:rPr>
        <w:t>similar</w:t>
      </w:r>
      <w:r>
        <w:rPr>
          <w:b/>
          <w:spacing w:val="7"/>
          <w:sz w:val="21"/>
        </w:rPr>
        <w:t> </w:t>
      </w:r>
      <w:r>
        <w:rPr>
          <w:b/>
          <w:spacing w:val="-2"/>
          <w:sz w:val="21"/>
        </w:rPr>
        <w:t>contracts</w:t>
      </w:r>
    </w:p>
    <w:p>
      <w:pPr>
        <w:pStyle w:val="BodyText"/>
        <w:spacing w:before="146"/>
        <w:rPr>
          <w:b/>
          <w:sz w:val="21"/>
        </w:rPr>
      </w:pPr>
    </w:p>
    <w:p>
      <w:pPr>
        <w:spacing w:line="213" w:lineRule="auto" w:before="0"/>
        <w:ind w:left="144" w:right="118" w:firstLine="0"/>
        <w:jc w:val="both"/>
        <w:rPr>
          <w:sz w:val="21"/>
        </w:rPr>
      </w:pPr>
      <w:r>
        <w:rPr>
          <w:i/>
          <w:sz w:val="21"/>
        </w:rPr>
        <w:t>One</w:t>
      </w:r>
      <w:r>
        <w:rPr>
          <w:sz w:val="21"/>
        </w:rPr>
        <w:t>.</w:t>
      </w:r>
      <w:r>
        <w:rPr>
          <w:spacing w:val="30"/>
          <w:sz w:val="21"/>
        </w:rPr>
        <w:t> </w:t>
      </w:r>
      <w:r>
        <w:rPr>
          <w:sz w:val="21"/>
        </w:rPr>
        <w:t>The</w:t>
      </w:r>
      <w:r>
        <w:rPr>
          <w:spacing w:val="35"/>
          <w:sz w:val="21"/>
        </w:rPr>
        <w:t> </w:t>
      </w:r>
      <w:r>
        <w:rPr>
          <w:sz w:val="21"/>
        </w:rPr>
        <w:t>Concessionaire</w:t>
      </w:r>
      <w:r>
        <w:rPr>
          <w:spacing w:val="35"/>
          <w:sz w:val="21"/>
        </w:rPr>
        <w:t> </w:t>
      </w:r>
      <w:r>
        <w:rPr>
          <w:sz w:val="21"/>
        </w:rPr>
        <w:t>undertakes</w:t>
      </w:r>
      <w:r>
        <w:rPr>
          <w:spacing w:val="35"/>
          <w:sz w:val="21"/>
        </w:rPr>
        <w:t> </w:t>
      </w:r>
      <w:r>
        <w:rPr>
          <w:sz w:val="21"/>
        </w:rPr>
        <w:t>to</w:t>
      </w:r>
      <w:r>
        <w:rPr>
          <w:spacing w:val="35"/>
          <w:sz w:val="21"/>
        </w:rPr>
        <w:t> </w:t>
      </w:r>
      <w:r>
        <w:rPr>
          <w:sz w:val="21"/>
        </w:rPr>
        <w:t>notify</w:t>
      </w:r>
      <w:r>
        <w:rPr>
          <w:spacing w:val="35"/>
          <w:sz w:val="21"/>
        </w:rPr>
        <w:t> </w:t>
      </w:r>
      <w:r>
        <w:rPr>
          <w:sz w:val="21"/>
        </w:rPr>
        <w:t>the</w:t>
      </w:r>
      <w:r>
        <w:rPr>
          <w:spacing w:val="35"/>
          <w:sz w:val="21"/>
        </w:rPr>
        <w:t> </w:t>
      </w:r>
      <w:r>
        <w:rPr>
          <w:sz w:val="21"/>
        </w:rPr>
        <w:t>Government</w:t>
      </w:r>
      <w:r>
        <w:rPr>
          <w:spacing w:val="35"/>
          <w:sz w:val="21"/>
        </w:rPr>
        <w:t> </w:t>
      </w:r>
      <w:r>
        <w:rPr>
          <w:sz w:val="21"/>
        </w:rPr>
        <w:t>of</w:t>
      </w:r>
      <w:r>
        <w:rPr>
          <w:spacing w:val="35"/>
          <w:sz w:val="21"/>
        </w:rPr>
        <w:t> </w:t>
      </w:r>
      <w:r>
        <w:rPr>
          <w:sz w:val="21"/>
        </w:rPr>
        <w:t>any</w:t>
      </w:r>
      <w:r>
        <w:rPr>
          <w:spacing w:val="35"/>
          <w:sz w:val="21"/>
        </w:rPr>
        <w:t> </w:t>
      </w:r>
      <w:r>
        <w:rPr>
          <w:sz w:val="21"/>
        </w:rPr>
        <w:t>loan</w:t>
      </w:r>
      <w:r>
        <w:rPr>
          <w:spacing w:val="35"/>
          <w:sz w:val="21"/>
        </w:rPr>
        <w:t> </w:t>
      </w:r>
      <w:r>
        <w:rPr>
          <w:sz w:val="21"/>
        </w:rPr>
        <w:t>or</w:t>
      </w:r>
      <w:r>
        <w:rPr>
          <w:spacing w:val="35"/>
          <w:sz w:val="21"/>
        </w:rPr>
        <w:t> </w:t>
      </w:r>
      <w:r>
        <w:rPr>
          <w:sz w:val="21"/>
        </w:rPr>
        <w:t>similar</w:t>
      </w:r>
      <w:r>
        <w:rPr>
          <w:spacing w:val="35"/>
          <w:sz w:val="21"/>
        </w:rPr>
        <w:t> </w:t>
      </w:r>
      <w:r>
        <w:rPr>
          <w:sz w:val="21"/>
        </w:rPr>
        <w:t>contract</w:t>
      </w:r>
      <w:r>
        <w:rPr>
          <w:spacing w:val="35"/>
          <w:sz w:val="21"/>
        </w:rPr>
        <w:t> </w:t>
      </w:r>
      <w:r>
        <w:rPr>
          <w:sz w:val="21"/>
        </w:rPr>
        <w:t>with</w:t>
      </w:r>
      <w:r>
        <w:rPr>
          <w:spacing w:val="35"/>
          <w:sz w:val="21"/>
        </w:rPr>
        <w:t> </w:t>
      </w:r>
      <w:r>
        <w:rPr>
          <w:sz w:val="21"/>
        </w:rPr>
        <w:t>a</w:t>
      </w:r>
      <w:r>
        <w:rPr>
          <w:spacing w:val="35"/>
          <w:sz w:val="21"/>
        </w:rPr>
        <w:t> </w:t>
      </w:r>
      <w:r>
        <w:rPr>
          <w:sz w:val="21"/>
        </w:rPr>
        <w:t>third-party</w:t>
      </w:r>
      <w:r>
        <w:rPr>
          <w:spacing w:val="35"/>
          <w:sz w:val="21"/>
        </w:rPr>
        <w:t> </w:t>
      </w:r>
      <w:r>
        <w:rPr>
          <w:sz w:val="21"/>
        </w:rPr>
        <w:t>worth</w:t>
      </w:r>
      <w:r>
        <w:rPr>
          <w:spacing w:val="35"/>
          <w:sz w:val="21"/>
        </w:rPr>
        <w:t> </w:t>
      </w:r>
      <w:r>
        <w:rPr>
          <w:sz w:val="21"/>
        </w:rPr>
        <w:t>more</w:t>
      </w:r>
      <w:r>
        <w:rPr>
          <w:spacing w:val="35"/>
          <w:sz w:val="21"/>
        </w:rPr>
        <w:t> </w:t>
      </w:r>
      <w:r>
        <w:rPr>
          <w:sz w:val="21"/>
        </w:rPr>
        <w:t>than MOP 60,000,000</w:t>
      </w:r>
      <w:r>
        <w:rPr>
          <w:spacing w:val="16"/>
          <w:sz w:val="21"/>
        </w:rPr>
        <w:t> </w:t>
      </w:r>
      <w:r>
        <w:rPr>
          <w:sz w:val="21"/>
        </w:rPr>
        <w:t>(sixty</w:t>
      </w:r>
      <w:r>
        <w:rPr>
          <w:spacing w:val="16"/>
          <w:sz w:val="21"/>
        </w:rPr>
        <w:t> </w:t>
      </w:r>
      <w:r>
        <w:rPr>
          <w:sz w:val="21"/>
        </w:rPr>
        <w:t>million</w:t>
      </w:r>
      <w:r>
        <w:rPr>
          <w:spacing w:val="16"/>
          <w:sz w:val="21"/>
        </w:rPr>
        <w:t> </w:t>
      </w:r>
      <w:r>
        <w:rPr>
          <w:sz w:val="21"/>
        </w:rPr>
        <w:t>patacas);</w:t>
      </w:r>
      <w:r>
        <w:rPr>
          <w:spacing w:val="16"/>
          <w:sz w:val="21"/>
        </w:rPr>
        <w:t> </w:t>
      </w:r>
      <w:r>
        <w:rPr>
          <w:sz w:val="21"/>
        </w:rPr>
        <w:t>if</w:t>
      </w:r>
      <w:r>
        <w:rPr>
          <w:spacing w:val="16"/>
          <w:sz w:val="21"/>
        </w:rPr>
        <w:t> </w:t>
      </w:r>
      <w:r>
        <w:rPr>
          <w:sz w:val="21"/>
        </w:rPr>
        <w:t>the</w:t>
      </w:r>
      <w:r>
        <w:rPr>
          <w:spacing w:val="16"/>
          <w:sz w:val="21"/>
        </w:rPr>
        <w:t> </w:t>
      </w:r>
      <w:r>
        <w:rPr>
          <w:sz w:val="21"/>
        </w:rPr>
        <w:t>value</w:t>
      </w:r>
      <w:r>
        <w:rPr>
          <w:spacing w:val="16"/>
          <w:sz w:val="21"/>
        </w:rPr>
        <w:t> </w:t>
      </w:r>
      <w:r>
        <w:rPr>
          <w:sz w:val="21"/>
        </w:rPr>
        <w:t>exceeds</w:t>
      </w:r>
      <w:r>
        <w:rPr>
          <w:spacing w:val="16"/>
          <w:sz w:val="21"/>
        </w:rPr>
        <w:t> </w:t>
      </w:r>
      <w:r>
        <w:rPr>
          <w:sz w:val="21"/>
        </w:rPr>
        <w:t>MOP 100,000,000</w:t>
      </w:r>
      <w:r>
        <w:rPr>
          <w:spacing w:val="16"/>
          <w:sz w:val="21"/>
        </w:rPr>
        <w:t> </w:t>
      </w:r>
      <w:r>
        <w:rPr>
          <w:sz w:val="21"/>
        </w:rPr>
        <w:t>(one</w:t>
      </w:r>
      <w:r>
        <w:rPr>
          <w:spacing w:val="16"/>
          <w:sz w:val="21"/>
        </w:rPr>
        <w:t> </w:t>
      </w:r>
      <w:r>
        <w:rPr>
          <w:sz w:val="21"/>
        </w:rPr>
        <w:t>hundred</w:t>
      </w:r>
      <w:r>
        <w:rPr>
          <w:spacing w:val="16"/>
          <w:sz w:val="21"/>
        </w:rPr>
        <w:t> </w:t>
      </w:r>
      <w:r>
        <w:rPr>
          <w:sz w:val="21"/>
        </w:rPr>
        <w:t>million</w:t>
      </w:r>
      <w:r>
        <w:rPr>
          <w:spacing w:val="16"/>
          <w:sz w:val="21"/>
        </w:rPr>
        <w:t> </w:t>
      </w:r>
      <w:r>
        <w:rPr>
          <w:sz w:val="21"/>
        </w:rPr>
        <w:t>patacas),</w:t>
      </w:r>
      <w:r>
        <w:rPr>
          <w:spacing w:val="16"/>
          <w:sz w:val="21"/>
        </w:rPr>
        <w:t> </w:t>
      </w:r>
      <w:r>
        <w:rPr>
          <w:sz w:val="21"/>
        </w:rPr>
        <w:t>it</w:t>
      </w:r>
      <w:r>
        <w:rPr>
          <w:spacing w:val="16"/>
          <w:sz w:val="21"/>
        </w:rPr>
        <w:t> </w:t>
      </w:r>
      <w:r>
        <w:rPr>
          <w:sz w:val="21"/>
        </w:rPr>
        <w:t>must</w:t>
      </w:r>
      <w:r>
        <w:rPr>
          <w:spacing w:val="16"/>
          <w:sz w:val="21"/>
        </w:rPr>
        <w:t> </w:t>
      </w:r>
      <w:r>
        <w:rPr>
          <w:sz w:val="21"/>
        </w:rPr>
        <w:t>be</w:t>
      </w:r>
      <w:r>
        <w:rPr>
          <w:spacing w:val="16"/>
          <w:sz w:val="21"/>
        </w:rPr>
        <w:t> </w:t>
      </w:r>
      <w:r>
        <w:rPr>
          <w:sz w:val="21"/>
        </w:rPr>
        <w:t>authorized by the Secretary for Economy and Finance.</w:t>
      </w:r>
    </w:p>
    <w:p>
      <w:pPr>
        <w:pStyle w:val="BodyText"/>
        <w:spacing w:before="153"/>
        <w:rPr>
          <w:sz w:val="21"/>
        </w:rPr>
      </w:pPr>
    </w:p>
    <w:p>
      <w:pPr>
        <w:spacing w:line="213" w:lineRule="auto" w:before="0"/>
        <w:ind w:left="144" w:right="118" w:firstLine="0"/>
        <w:jc w:val="both"/>
        <w:rPr>
          <w:sz w:val="21"/>
        </w:rPr>
      </w:pPr>
      <w:r>
        <w:rPr>
          <w:i/>
          <w:sz w:val="21"/>
        </w:rPr>
        <w:t>Two</w:t>
      </w:r>
      <w:r>
        <w:rPr>
          <w:sz w:val="21"/>
        </w:rPr>
        <w:t>. The Concessionaire undertakes to not grant any loans or enter into any similar contracts with its directors, shareholders or key employees, unless authorized by the Secretary for Economy and Finance.</w:t>
      </w:r>
    </w:p>
    <w:p>
      <w:pPr>
        <w:pStyle w:val="BodyText"/>
        <w:spacing w:before="152"/>
        <w:rPr>
          <w:sz w:val="21"/>
        </w:rPr>
      </w:pPr>
    </w:p>
    <w:p>
      <w:pPr>
        <w:spacing w:line="213" w:lineRule="auto" w:before="1"/>
        <w:ind w:left="144" w:right="118" w:firstLine="0"/>
        <w:jc w:val="both"/>
        <w:rPr>
          <w:sz w:val="21"/>
        </w:rPr>
      </w:pPr>
      <w:r>
        <w:rPr>
          <w:i/>
          <w:sz w:val="21"/>
        </w:rPr>
        <w:t>Three</w:t>
      </w:r>
      <w:r>
        <w:rPr>
          <w:sz w:val="21"/>
        </w:rPr>
        <w:t>. The Concessionaire undertakes to not enter into legal transactions with any entity through which the latter may assume management</w:t>
      </w:r>
      <w:r>
        <w:rPr>
          <w:spacing w:val="31"/>
          <w:sz w:val="21"/>
        </w:rPr>
        <w:t> </w:t>
      </w:r>
      <w:r>
        <w:rPr>
          <w:sz w:val="21"/>
        </w:rPr>
        <w:t>or</w:t>
      </w:r>
      <w:r>
        <w:rPr>
          <w:spacing w:val="31"/>
          <w:sz w:val="21"/>
        </w:rPr>
        <w:t> </w:t>
      </w:r>
      <w:r>
        <w:rPr>
          <w:sz w:val="21"/>
        </w:rPr>
        <w:t>intervention</w:t>
      </w:r>
      <w:r>
        <w:rPr>
          <w:spacing w:val="31"/>
          <w:sz w:val="21"/>
        </w:rPr>
        <w:t> </w:t>
      </w:r>
      <w:r>
        <w:rPr>
          <w:sz w:val="21"/>
        </w:rPr>
        <w:t>powers</w:t>
      </w:r>
      <w:r>
        <w:rPr>
          <w:spacing w:val="31"/>
          <w:sz w:val="21"/>
        </w:rPr>
        <w:t> </w:t>
      </w:r>
      <w:r>
        <w:rPr>
          <w:sz w:val="21"/>
        </w:rPr>
        <w:t>in</w:t>
      </w:r>
      <w:r>
        <w:rPr>
          <w:spacing w:val="31"/>
          <w:sz w:val="21"/>
        </w:rPr>
        <w:t> </w:t>
      </w:r>
      <w:r>
        <w:rPr>
          <w:sz w:val="21"/>
        </w:rPr>
        <w:t>the</w:t>
      </w:r>
      <w:r>
        <w:rPr>
          <w:spacing w:val="31"/>
          <w:sz w:val="21"/>
        </w:rPr>
        <w:t> </w:t>
      </w:r>
      <w:r>
        <w:rPr>
          <w:sz w:val="21"/>
        </w:rPr>
        <w:t>management</w:t>
      </w:r>
      <w:r>
        <w:rPr>
          <w:spacing w:val="31"/>
          <w:sz w:val="21"/>
        </w:rPr>
        <w:t> </w:t>
      </w:r>
      <w:r>
        <w:rPr>
          <w:sz w:val="21"/>
        </w:rPr>
        <w:t>of</w:t>
      </w:r>
      <w:r>
        <w:rPr>
          <w:spacing w:val="31"/>
          <w:sz w:val="21"/>
        </w:rPr>
        <w:t> </w:t>
      </w:r>
      <w:r>
        <w:rPr>
          <w:sz w:val="21"/>
        </w:rPr>
        <w:t>the</w:t>
      </w:r>
      <w:r>
        <w:rPr>
          <w:spacing w:val="31"/>
          <w:sz w:val="21"/>
        </w:rPr>
        <w:t> </w:t>
      </w:r>
      <w:r>
        <w:rPr>
          <w:sz w:val="21"/>
        </w:rPr>
        <w:t>Concessionaire,</w:t>
      </w:r>
      <w:r>
        <w:rPr>
          <w:spacing w:val="31"/>
          <w:sz w:val="21"/>
        </w:rPr>
        <w:t> </w:t>
      </w:r>
      <w:r>
        <w:rPr>
          <w:sz w:val="21"/>
        </w:rPr>
        <w:t>namely</w:t>
      </w:r>
      <w:r>
        <w:rPr>
          <w:spacing w:val="31"/>
          <w:sz w:val="21"/>
        </w:rPr>
        <w:t> </w:t>
      </w:r>
      <w:r>
        <w:rPr>
          <w:sz w:val="21"/>
        </w:rPr>
        <w:t>through</w:t>
      </w:r>
      <w:r>
        <w:rPr>
          <w:spacing w:val="31"/>
          <w:sz w:val="21"/>
        </w:rPr>
        <w:t> </w:t>
      </w:r>
      <w:r>
        <w:rPr>
          <w:sz w:val="21"/>
        </w:rPr>
        <w:t>step-in</w:t>
      </w:r>
      <w:r>
        <w:rPr>
          <w:spacing w:val="31"/>
          <w:sz w:val="21"/>
        </w:rPr>
        <w:t> </w:t>
      </w:r>
      <w:r>
        <w:rPr>
          <w:sz w:val="21"/>
        </w:rPr>
        <w:t>rights.</w:t>
      </w:r>
    </w:p>
    <w:p>
      <w:pPr>
        <w:pStyle w:val="BodyText"/>
        <w:spacing w:before="143"/>
        <w:rPr>
          <w:sz w:val="21"/>
        </w:rPr>
      </w:pPr>
    </w:p>
    <w:p>
      <w:pPr>
        <w:spacing w:line="295" w:lineRule="auto" w:before="1"/>
        <w:ind w:left="5065" w:right="5038" w:hanging="1"/>
        <w:jc w:val="center"/>
        <w:rPr>
          <w:b/>
          <w:sz w:val="21"/>
        </w:rPr>
      </w:pPr>
      <w:r>
        <w:rPr>
          <w:b/>
          <w:sz w:val="21"/>
        </w:rPr>
        <w:t>Clause 32 Undertaking </w:t>
      </w:r>
      <w:r>
        <w:rPr>
          <w:b/>
          <w:sz w:val="21"/>
        </w:rPr>
        <w:t>risks</w:t>
      </w:r>
    </w:p>
    <w:p>
      <w:pPr>
        <w:pStyle w:val="BodyText"/>
        <w:spacing w:before="9"/>
        <w:rPr>
          <w:b/>
          <w:sz w:val="21"/>
        </w:rPr>
      </w:pPr>
    </w:p>
    <w:p>
      <w:pPr>
        <w:spacing w:line="213" w:lineRule="auto" w:before="0"/>
        <w:ind w:left="144" w:right="118" w:firstLine="0"/>
        <w:jc w:val="both"/>
        <w:rPr>
          <w:sz w:val="21"/>
        </w:rPr>
      </w:pPr>
      <w:r>
        <w:rPr>
          <w:i/>
          <w:sz w:val="21"/>
        </w:rPr>
        <w:t>One</w:t>
      </w:r>
      <w:r>
        <w:rPr>
          <w:sz w:val="21"/>
        </w:rPr>
        <w:t>. The Concessionaire expressly undertakes all obligations and full and exclusive responsibility for all risks inherent in the</w:t>
      </w:r>
      <w:r>
        <w:rPr>
          <w:spacing w:val="80"/>
          <w:sz w:val="21"/>
        </w:rPr>
        <w:t> </w:t>
      </w:r>
      <w:r>
        <w:rPr>
          <w:sz w:val="21"/>
        </w:rPr>
        <w:t>concession</w:t>
      </w:r>
      <w:r>
        <w:rPr>
          <w:spacing w:val="27"/>
          <w:sz w:val="21"/>
        </w:rPr>
        <w:t> </w:t>
      </w:r>
      <w:r>
        <w:rPr>
          <w:sz w:val="21"/>
        </w:rPr>
        <w:t>with</w:t>
      </w:r>
      <w:r>
        <w:rPr>
          <w:spacing w:val="27"/>
          <w:sz w:val="21"/>
        </w:rPr>
        <w:t> </w:t>
      </w:r>
      <w:r>
        <w:rPr>
          <w:sz w:val="21"/>
        </w:rPr>
        <w:t>respect</w:t>
      </w:r>
      <w:r>
        <w:rPr>
          <w:spacing w:val="27"/>
          <w:sz w:val="21"/>
        </w:rPr>
        <w:t> </w:t>
      </w:r>
      <w:r>
        <w:rPr>
          <w:sz w:val="21"/>
        </w:rPr>
        <w:t>to</w:t>
      </w:r>
      <w:r>
        <w:rPr>
          <w:spacing w:val="27"/>
          <w:sz w:val="21"/>
        </w:rPr>
        <w:t> </w:t>
      </w:r>
      <w:r>
        <w:rPr>
          <w:sz w:val="21"/>
        </w:rPr>
        <w:t>its</w:t>
      </w:r>
      <w:r>
        <w:rPr>
          <w:spacing w:val="27"/>
          <w:sz w:val="21"/>
        </w:rPr>
        <w:t> </w:t>
      </w:r>
      <w:r>
        <w:rPr>
          <w:sz w:val="21"/>
        </w:rPr>
        <w:t>financial</w:t>
      </w:r>
      <w:r>
        <w:rPr>
          <w:spacing w:val="27"/>
          <w:sz w:val="21"/>
        </w:rPr>
        <w:t> </w:t>
      </w:r>
      <w:r>
        <w:rPr>
          <w:sz w:val="21"/>
        </w:rPr>
        <w:t>capacity</w:t>
      </w:r>
      <w:r>
        <w:rPr>
          <w:spacing w:val="27"/>
          <w:sz w:val="21"/>
        </w:rPr>
        <w:t> </w:t>
      </w:r>
      <w:r>
        <w:rPr>
          <w:sz w:val="21"/>
        </w:rPr>
        <w:t>and</w:t>
      </w:r>
      <w:r>
        <w:rPr>
          <w:spacing w:val="27"/>
          <w:sz w:val="21"/>
        </w:rPr>
        <w:t> </w:t>
      </w:r>
      <w:r>
        <w:rPr>
          <w:sz w:val="21"/>
        </w:rPr>
        <w:t>its</w:t>
      </w:r>
      <w:r>
        <w:rPr>
          <w:spacing w:val="27"/>
          <w:sz w:val="21"/>
        </w:rPr>
        <w:t> </w:t>
      </w:r>
      <w:r>
        <w:rPr>
          <w:sz w:val="21"/>
        </w:rPr>
        <w:t>financing,</w:t>
      </w:r>
      <w:r>
        <w:rPr>
          <w:spacing w:val="27"/>
          <w:sz w:val="21"/>
        </w:rPr>
        <w:t> </w:t>
      </w:r>
      <w:r>
        <w:rPr>
          <w:sz w:val="21"/>
        </w:rPr>
        <w:t>without</w:t>
      </w:r>
      <w:r>
        <w:rPr>
          <w:spacing w:val="27"/>
          <w:sz w:val="21"/>
        </w:rPr>
        <w:t> </w:t>
      </w:r>
      <w:r>
        <w:rPr>
          <w:sz w:val="21"/>
        </w:rPr>
        <w:t>prejudice</w:t>
      </w:r>
      <w:r>
        <w:rPr>
          <w:spacing w:val="27"/>
          <w:sz w:val="21"/>
        </w:rPr>
        <w:t> </w:t>
      </w:r>
      <w:r>
        <w:rPr>
          <w:sz w:val="21"/>
        </w:rPr>
        <w:t>of</w:t>
      </w:r>
      <w:r>
        <w:rPr>
          <w:spacing w:val="27"/>
          <w:sz w:val="21"/>
        </w:rPr>
        <w:t> </w:t>
      </w:r>
      <w:r>
        <w:rPr>
          <w:sz w:val="21"/>
        </w:rPr>
        <w:t>Clause</w:t>
      </w:r>
      <w:r>
        <w:rPr>
          <w:spacing w:val="27"/>
          <w:sz w:val="21"/>
        </w:rPr>
        <w:t> </w:t>
      </w:r>
      <w:r>
        <w:rPr>
          <w:sz w:val="21"/>
        </w:rPr>
        <w:t>42.</w:t>
      </w:r>
    </w:p>
    <w:p>
      <w:pPr>
        <w:pStyle w:val="BodyText"/>
        <w:spacing w:before="166"/>
        <w:rPr>
          <w:sz w:val="21"/>
        </w:rPr>
      </w:pPr>
    </w:p>
    <w:p>
      <w:pPr>
        <w:spacing w:line="213" w:lineRule="auto" w:before="0"/>
        <w:ind w:left="144" w:right="118" w:firstLine="0"/>
        <w:jc w:val="both"/>
        <w:rPr>
          <w:sz w:val="21"/>
        </w:rPr>
      </w:pPr>
      <w:r>
        <w:rPr>
          <w:i/>
          <w:sz w:val="21"/>
        </w:rPr>
        <w:t>Two</w:t>
      </w:r>
      <w:r>
        <w:rPr>
          <w:sz w:val="21"/>
        </w:rPr>
        <w:t>. The Macau SAR is not subject to any obligation, nor assumes any responsibility or risk, regarding the financing of the </w:t>
      </w:r>
      <w:r>
        <w:rPr>
          <w:spacing w:val="-2"/>
          <w:sz w:val="21"/>
        </w:rPr>
        <w:t>Concessionaire.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6"/>
        <w:rPr>
          <w:sz w:val="20"/>
        </w:rPr>
      </w:pPr>
      <w:r>
        <w:rPr/>
        <mc:AlternateContent>
          <mc:Choice Requires="wps">
            <w:drawing>
              <wp:anchor distT="0" distB="0" distL="0" distR="0" allowOverlap="1" layoutInCell="1" locked="0" behindDoc="1" simplePos="0" relativeHeight="487772672">
                <wp:simplePos x="0" y="0"/>
                <wp:positionH relativeFrom="page">
                  <wp:posOffset>231457</wp:posOffset>
                </wp:positionH>
                <wp:positionV relativeFrom="paragraph">
                  <wp:posOffset>247671</wp:posOffset>
                </wp:positionV>
                <wp:extent cx="7312659" cy="17145"/>
                <wp:effectExtent l="0" t="0" r="0" b="0"/>
                <wp:wrapTopAndBottom/>
                <wp:docPr id="860" name="Group 860"/>
                <wp:cNvGraphicFramePr>
                  <a:graphicFrameLocks/>
                </wp:cNvGraphicFramePr>
                <a:graphic>
                  <a:graphicData uri="http://schemas.microsoft.com/office/word/2010/wordprocessingGroup">
                    <wpg:wgp>
                      <wpg:cNvPr id="860" name="Group 860"/>
                      <wpg:cNvGrpSpPr/>
                      <wpg:grpSpPr>
                        <a:xfrm>
                          <a:off x="0" y="0"/>
                          <a:ext cx="7312659" cy="17145"/>
                          <a:chExt cx="7312659" cy="17145"/>
                        </a:xfrm>
                      </wpg:grpSpPr>
                      <wps:wsp>
                        <wps:cNvPr id="861" name="Graphic 86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62" name="Graphic 862"/>
                        <wps:cNvSpPr/>
                        <wps:spPr>
                          <a:xfrm>
                            <a:off x="-12" y="-1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63" name="Graphic 86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9.501659pt;width:575.8pt;height:1.35pt;mso-position-horizontal-relative:page;mso-position-vertical-relative:paragraph;z-index:-15543808;mso-wrap-distance-left:0;mso-wrap-distance-right:0" id="docshapegroup858" coordorigin="364,390" coordsize="11516,27">
                <v:rect style="position:absolute;left:364;top:390;width:11516;height:14" id="docshape859" filled="true" fillcolor="#999999" stroked="false">
                  <v:fill type="solid"/>
                </v:rect>
                <v:shape style="position:absolute;left:364;top:390;width:11516;height:27" id="docshape860" coordorigin="364,390" coordsize="11516,27" path="m11880,390l11866,404,364,404,364,417,11866,417,11880,417,11880,404,11880,390xe" filled="true" fillcolor="#ededed" stroked="false">
                  <v:path arrowok="t"/>
                  <v:fill type="solid"/>
                </v:shape>
                <v:shape style="position:absolute;left:364;top:390;width:14;height:27" id="docshape861" coordorigin="364,390" coordsize="14,27" path="m364,417l364,390,378,390,378,404,364,417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95" w:lineRule="auto" w:before="69"/>
        <w:ind w:left="4918" w:right="4858" w:firstLine="537"/>
        <w:jc w:val="left"/>
        <w:rPr>
          <w:b/>
          <w:sz w:val="21"/>
        </w:rPr>
      </w:pPr>
      <w:r>
        <w:rPr>
          <w:b/>
          <w:sz w:val="21"/>
        </w:rPr>
        <w:t>Clause 33 Securing of </w:t>
      </w:r>
      <w:r>
        <w:rPr>
          <w:b/>
          <w:sz w:val="21"/>
        </w:rPr>
        <w:t>financing</w:t>
      </w:r>
    </w:p>
    <w:p>
      <w:pPr>
        <w:pStyle w:val="BodyText"/>
        <w:spacing w:before="104"/>
        <w:rPr>
          <w:b/>
          <w:sz w:val="21"/>
        </w:rPr>
      </w:pPr>
    </w:p>
    <w:p>
      <w:pPr>
        <w:spacing w:line="213" w:lineRule="auto" w:before="0"/>
        <w:ind w:left="144" w:right="117" w:firstLine="0"/>
        <w:jc w:val="both"/>
        <w:rPr>
          <w:sz w:val="21"/>
        </w:rPr>
      </w:pPr>
      <w:r>
        <w:rPr>
          <w:i/>
          <w:sz w:val="21"/>
        </w:rPr>
        <w:t>One.</w:t>
      </w:r>
      <w:r>
        <w:rPr>
          <w:i/>
          <w:spacing w:val="24"/>
          <w:sz w:val="21"/>
        </w:rPr>
        <w:t> </w:t>
      </w:r>
      <w:r>
        <w:rPr>
          <w:sz w:val="21"/>
        </w:rPr>
        <w:t>The</w:t>
      </w:r>
      <w:r>
        <w:rPr>
          <w:spacing w:val="24"/>
          <w:sz w:val="21"/>
        </w:rPr>
        <w:t> </w:t>
      </w:r>
      <w:r>
        <w:rPr>
          <w:sz w:val="21"/>
        </w:rPr>
        <w:t>Concessionaire</w:t>
      </w:r>
      <w:r>
        <w:rPr>
          <w:spacing w:val="24"/>
          <w:sz w:val="21"/>
        </w:rPr>
        <w:t> </w:t>
      </w:r>
      <w:r>
        <w:rPr>
          <w:sz w:val="21"/>
        </w:rPr>
        <w:t>undertakes</w:t>
      </w:r>
      <w:r>
        <w:rPr>
          <w:spacing w:val="24"/>
          <w:sz w:val="21"/>
        </w:rPr>
        <w:t> </w:t>
      </w:r>
      <w:r>
        <w:rPr>
          <w:sz w:val="21"/>
        </w:rPr>
        <w:t>to</w:t>
      </w:r>
      <w:r>
        <w:rPr>
          <w:spacing w:val="24"/>
          <w:sz w:val="21"/>
        </w:rPr>
        <w:t> </w:t>
      </w:r>
      <w:r>
        <w:rPr>
          <w:sz w:val="21"/>
        </w:rPr>
        <w:t>secure</w:t>
      </w:r>
      <w:r>
        <w:rPr>
          <w:spacing w:val="24"/>
          <w:sz w:val="21"/>
        </w:rPr>
        <w:t> </w:t>
      </w:r>
      <w:r>
        <w:rPr>
          <w:sz w:val="21"/>
        </w:rPr>
        <w:t>the</w:t>
      </w:r>
      <w:r>
        <w:rPr>
          <w:spacing w:val="24"/>
          <w:sz w:val="21"/>
        </w:rPr>
        <w:t> </w:t>
      </w:r>
      <w:r>
        <w:rPr>
          <w:sz w:val="21"/>
        </w:rPr>
        <w:t>financing</w:t>
      </w:r>
      <w:r>
        <w:rPr>
          <w:spacing w:val="24"/>
          <w:sz w:val="21"/>
        </w:rPr>
        <w:t> </w:t>
      </w:r>
      <w:r>
        <w:rPr>
          <w:sz w:val="21"/>
        </w:rPr>
        <w:t>required</w:t>
      </w:r>
      <w:r>
        <w:rPr>
          <w:spacing w:val="24"/>
          <w:sz w:val="21"/>
        </w:rPr>
        <w:t> </w:t>
      </w:r>
      <w:r>
        <w:rPr>
          <w:sz w:val="21"/>
        </w:rPr>
        <w:t>to</w:t>
      </w:r>
      <w:r>
        <w:rPr>
          <w:spacing w:val="24"/>
          <w:sz w:val="21"/>
        </w:rPr>
        <w:t> </w:t>
      </w:r>
      <w:r>
        <w:rPr>
          <w:sz w:val="21"/>
        </w:rPr>
        <w:t>timely</w:t>
      </w:r>
      <w:r>
        <w:rPr>
          <w:spacing w:val="24"/>
          <w:sz w:val="21"/>
        </w:rPr>
        <w:t> </w:t>
      </w:r>
      <w:r>
        <w:rPr>
          <w:sz w:val="21"/>
        </w:rPr>
        <w:t>and</w:t>
      </w:r>
      <w:r>
        <w:rPr>
          <w:spacing w:val="24"/>
          <w:sz w:val="21"/>
        </w:rPr>
        <w:t> </w:t>
      </w:r>
      <w:r>
        <w:rPr>
          <w:sz w:val="21"/>
        </w:rPr>
        <w:t>fully</w:t>
      </w:r>
      <w:r>
        <w:rPr>
          <w:spacing w:val="24"/>
          <w:sz w:val="21"/>
        </w:rPr>
        <w:t> </w:t>
      </w:r>
      <w:r>
        <w:rPr>
          <w:sz w:val="21"/>
        </w:rPr>
        <w:t>comply</w:t>
      </w:r>
      <w:r>
        <w:rPr>
          <w:spacing w:val="24"/>
          <w:sz w:val="21"/>
        </w:rPr>
        <w:t> </w:t>
      </w:r>
      <w:r>
        <w:rPr>
          <w:sz w:val="21"/>
        </w:rPr>
        <w:t>with</w:t>
      </w:r>
      <w:r>
        <w:rPr>
          <w:spacing w:val="24"/>
          <w:sz w:val="21"/>
        </w:rPr>
        <w:t> </w:t>
      </w:r>
      <w:r>
        <w:rPr>
          <w:sz w:val="21"/>
        </w:rPr>
        <w:t>its</w:t>
      </w:r>
      <w:r>
        <w:rPr>
          <w:spacing w:val="24"/>
          <w:sz w:val="21"/>
        </w:rPr>
        <w:t> </w:t>
      </w:r>
      <w:r>
        <w:rPr>
          <w:sz w:val="21"/>
        </w:rPr>
        <w:t>obligations</w:t>
      </w:r>
      <w:r>
        <w:rPr>
          <w:spacing w:val="24"/>
          <w:sz w:val="21"/>
        </w:rPr>
        <w:t> </w:t>
      </w:r>
      <w:r>
        <w:rPr>
          <w:sz w:val="21"/>
        </w:rPr>
        <w:t>relating</w:t>
      </w:r>
      <w:r>
        <w:rPr>
          <w:spacing w:val="24"/>
          <w:sz w:val="21"/>
        </w:rPr>
        <w:t> </w:t>
      </w:r>
      <w:r>
        <w:rPr>
          <w:sz w:val="21"/>
        </w:rPr>
        <w:t>to</w:t>
      </w:r>
      <w:r>
        <w:rPr>
          <w:spacing w:val="24"/>
          <w:sz w:val="21"/>
        </w:rPr>
        <w:t> </w:t>
      </w:r>
      <w:r>
        <w:rPr>
          <w:sz w:val="21"/>
        </w:rPr>
        <w:t>any of</w:t>
      </w:r>
      <w:r>
        <w:rPr>
          <w:spacing w:val="40"/>
          <w:sz w:val="21"/>
        </w:rPr>
        <w:t> </w:t>
      </w:r>
      <w:r>
        <w:rPr>
          <w:sz w:val="21"/>
        </w:rPr>
        <w:t>its</w:t>
      </w:r>
      <w:r>
        <w:rPr>
          <w:spacing w:val="40"/>
          <w:sz w:val="21"/>
        </w:rPr>
        <w:t> </w:t>
      </w:r>
      <w:r>
        <w:rPr>
          <w:sz w:val="21"/>
        </w:rPr>
        <w:t>activity,</w:t>
      </w:r>
      <w:r>
        <w:rPr>
          <w:spacing w:val="40"/>
          <w:sz w:val="21"/>
        </w:rPr>
        <w:t> </w:t>
      </w:r>
      <w:r>
        <w:rPr>
          <w:sz w:val="21"/>
        </w:rPr>
        <w:t>investments</w:t>
      </w:r>
      <w:r>
        <w:rPr>
          <w:spacing w:val="40"/>
          <w:sz w:val="21"/>
        </w:rPr>
        <w:t> </w:t>
      </w:r>
      <w:r>
        <w:rPr>
          <w:sz w:val="21"/>
        </w:rPr>
        <w:t>and</w:t>
      </w:r>
      <w:r>
        <w:rPr>
          <w:spacing w:val="40"/>
          <w:sz w:val="21"/>
        </w:rPr>
        <w:t> </w:t>
      </w:r>
      <w:r>
        <w:rPr>
          <w:sz w:val="21"/>
        </w:rPr>
        <w:t>obligations</w:t>
      </w:r>
      <w:r>
        <w:rPr>
          <w:spacing w:val="40"/>
          <w:sz w:val="21"/>
        </w:rPr>
        <w:t> </w:t>
      </w:r>
      <w:r>
        <w:rPr>
          <w:sz w:val="21"/>
        </w:rPr>
        <w:t>it</w:t>
      </w:r>
      <w:r>
        <w:rPr>
          <w:spacing w:val="40"/>
          <w:sz w:val="21"/>
        </w:rPr>
        <w:t> </w:t>
      </w:r>
      <w:r>
        <w:rPr>
          <w:sz w:val="21"/>
        </w:rPr>
        <w:t>is</w:t>
      </w:r>
      <w:r>
        <w:rPr>
          <w:spacing w:val="40"/>
          <w:sz w:val="21"/>
        </w:rPr>
        <w:t> </w:t>
      </w:r>
      <w:r>
        <w:rPr>
          <w:sz w:val="21"/>
        </w:rPr>
        <w:t>contractually</w:t>
      </w:r>
      <w:r>
        <w:rPr>
          <w:spacing w:val="40"/>
          <w:sz w:val="21"/>
        </w:rPr>
        <w:t> </w:t>
      </w:r>
      <w:r>
        <w:rPr>
          <w:sz w:val="21"/>
        </w:rPr>
        <w:t>bound</w:t>
      </w:r>
      <w:r>
        <w:rPr>
          <w:spacing w:val="40"/>
          <w:sz w:val="21"/>
        </w:rPr>
        <w:t> </w:t>
      </w:r>
      <w:r>
        <w:rPr>
          <w:sz w:val="21"/>
        </w:rPr>
        <w:t>to</w:t>
      </w:r>
      <w:r>
        <w:rPr>
          <w:spacing w:val="40"/>
          <w:sz w:val="21"/>
        </w:rPr>
        <w:t> </w:t>
      </w:r>
      <w:r>
        <w:rPr>
          <w:sz w:val="21"/>
        </w:rPr>
        <w:t>make</w:t>
      </w:r>
      <w:r>
        <w:rPr>
          <w:spacing w:val="40"/>
          <w:sz w:val="21"/>
        </w:rPr>
        <w:t> </w:t>
      </w:r>
      <w:r>
        <w:rPr>
          <w:sz w:val="21"/>
        </w:rPr>
        <w:t>or</w:t>
      </w:r>
      <w:r>
        <w:rPr>
          <w:spacing w:val="40"/>
          <w:sz w:val="21"/>
        </w:rPr>
        <w:t> </w:t>
      </w:r>
      <w:r>
        <w:rPr>
          <w:sz w:val="21"/>
        </w:rPr>
        <w:t>has</w:t>
      </w:r>
      <w:r>
        <w:rPr>
          <w:spacing w:val="40"/>
          <w:sz w:val="21"/>
        </w:rPr>
        <w:t> </w:t>
      </w:r>
      <w:r>
        <w:rPr>
          <w:sz w:val="21"/>
        </w:rPr>
        <w:t>assumed</w:t>
      </w:r>
      <w:r>
        <w:rPr>
          <w:spacing w:val="40"/>
          <w:sz w:val="21"/>
        </w:rPr>
        <w:t> </w:t>
      </w:r>
      <w:r>
        <w:rPr>
          <w:sz w:val="21"/>
        </w:rPr>
        <w:t>under</w:t>
      </w:r>
      <w:r>
        <w:rPr>
          <w:spacing w:val="40"/>
          <w:sz w:val="21"/>
        </w:rPr>
        <w:t> </w:t>
      </w:r>
      <w:r>
        <w:rPr>
          <w:sz w:val="21"/>
        </w:rPr>
        <w:t>the</w:t>
      </w:r>
      <w:r>
        <w:rPr>
          <w:spacing w:val="40"/>
          <w:sz w:val="21"/>
        </w:rPr>
        <w:t> </w:t>
      </w:r>
      <w:r>
        <w:rPr>
          <w:sz w:val="21"/>
        </w:rPr>
        <w:t>terms</w:t>
      </w:r>
      <w:r>
        <w:rPr>
          <w:spacing w:val="40"/>
          <w:sz w:val="21"/>
        </w:rPr>
        <w:t> </w:t>
      </w:r>
      <w:r>
        <w:rPr>
          <w:sz w:val="21"/>
        </w:rPr>
        <w:t>of</w:t>
      </w:r>
      <w:r>
        <w:rPr>
          <w:spacing w:val="40"/>
          <w:sz w:val="21"/>
        </w:rPr>
        <w:t> </w:t>
      </w:r>
      <w:r>
        <w:rPr>
          <w:sz w:val="21"/>
        </w:rPr>
        <w:t>this</w:t>
      </w:r>
      <w:r>
        <w:rPr>
          <w:spacing w:val="40"/>
          <w:sz w:val="21"/>
        </w:rPr>
        <w:t> </w:t>
      </w:r>
      <w:r>
        <w:rPr>
          <w:sz w:val="21"/>
        </w:rPr>
        <w:t>concession contract, in particular the Investment Plans attached to this concession contract.</w:t>
      </w:r>
    </w:p>
    <w:p>
      <w:pPr>
        <w:pStyle w:val="BodyText"/>
        <w:spacing w:before="153"/>
        <w:rPr>
          <w:sz w:val="21"/>
        </w:rPr>
      </w:pPr>
    </w:p>
    <w:p>
      <w:pPr>
        <w:spacing w:line="213" w:lineRule="auto" w:before="0"/>
        <w:ind w:left="144" w:right="117" w:firstLine="0"/>
        <w:jc w:val="both"/>
        <w:rPr>
          <w:i/>
          <w:sz w:val="21"/>
        </w:rPr>
      </w:pPr>
      <w:r>
        <w:rPr>
          <w:i/>
          <w:sz w:val="21"/>
        </w:rPr>
        <w:t>Two. </w:t>
      </w:r>
      <w:r>
        <w:rPr>
          <w:sz w:val="21"/>
        </w:rPr>
        <w:t>No exceptions or means of defense can be used against Macau SAR, resulting from contractual relations established by </w:t>
      </w:r>
      <w:r>
        <w:rPr>
          <w:sz w:val="21"/>
        </w:rPr>
        <w:t>the Concessionaire</w:t>
      </w:r>
      <w:r>
        <w:rPr>
          <w:spacing w:val="20"/>
          <w:sz w:val="21"/>
        </w:rPr>
        <w:t> </w:t>
      </w:r>
      <w:r>
        <w:rPr>
          <w:sz w:val="21"/>
        </w:rPr>
        <w:t>with</w:t>
      </w:r>
      <w:r>
        <w:rPr>
          <w:spacing w:val="20"/>
          <w:sz w:val="21"/>
        </w:rPr>
        <w:t> </w:t>
      </w:r>
      <w:r>
        <w:rPr>
          <w:sz w:val="21"/>
        </w:rPr>
        <w:t>third-parties,</w:t>
      </w:r>
      <w:r>
        <w:rPr>
          <w:spacing w:val="20"/>
          <w:sz w:val="21"/>
        </w:rPr>
        <w:t> </w:t>
      </w:r>
      <w:r>
        <w:rPr>
          <w:sz w:val="21"/>
        </w:rPr>
        <w:t>including</w:t>
      </w:r>
      <w:r>
        <w:rPr>
          <w:spacing w:val="20"/>
          <w:sz w:val="21"/>
        </w:rPr>
        <w:t> </w:t>
      </w:r>
      <w:r>
        <w:rPr>
          <w:sz w:val="21"/>
        </w:rPr>
        <w:t>financing</w:t>
      </w:r>
      <w:r>
        <w:rPr>
          <w:spacing w:val="20"/>
          <w:sz w:val="21"/>
        </w:rPr>
        <w:t> </w:t>
      </w:r>
      <w:r>
        <w:rPr>
          <w:sz w:val="21"/>
        </w:rPr>
        <w:t>entities</w:t>
      </w:r>
      <w:r>
        <w:rPr>
          <w:spacing w:val="20"/>
          <w:sz w:val="21"/>
        </w:rPr>
        <w:t> </w:t>
      </w:r>
      <w:r>
        <w:rPr>
          <w:sz w:val="21"/>
        </w:rPr>
        <w:t>and</w:t>
      </w:r>
      <w:r>
        <w:rPr>
          <w:spacing w:val="20"/>
          <w:sz w:val="21"/>
        </w:rPr>
        <w:t> </w:t>
      </w:r>
      <w:r>
        <w:rPr>
          <w:sz w:val="21"/>
        </w:rPr>
        <w:t>shareholders</w:t>
      </w:r>
      <w:r>
        <w:rPr>
          <w:spacing w:val="20"/>
          <w:sz w:val="21"/>
        </w:rPr>
        <w:t> </w:t>
      </w:r>
      <w:r>
        <w:rPr>
          <w:sz w:val="21"/>
        </w:rPr>
        <w:t>of</w:t>
      </w:r>
      <w:r>
        <w:rPr>
          <w:spacing w:val="20"/>
          <w:sz w:val="21"/>
        </w:rPr>
        <w:t> </w:t>
      </w:r>
      <w:r>
        <w:rPr>
          <w:sz w:val="21"/>
        </w:rPr>
        <w:t>the</w:t>
      </w:r>
      <w:r>
        <w:rPr>
          <w:spacing w:val="20"/>
          <w:sz w:val="21"/>
        </w:rPr>
        <w:t> </w:t>
      </w:r>
      <w:r>
        <w:rPr>
          <w:sz w:val="21"/>
        </w:rPr>
        <w:t>Concessionaire</w:t>
      </w:r>
      <w:r>
        <w:rPr>
          <w:spacing w:val="20"/>
          <w:sz w:val="21"/>
        </w:rPr>
        <w:t> </w:t>
      </w:r>
      <w:r>
        <w:rPr>
          <w:sz w:val="21"/>
        </w:rPr>
        <w:t>itself,</w:t>
      </w:r>
      <w:r>
        <w:rPr>
          <w:spacing w:val="20"/>
          <w:sz w:val="21"/>
        </w:rPr>
        <w:t> </w:t>
      </w:r>
      <w:r>
        <w:rPr>
          <w:sz w:val="21"/>
        </w:rPr>
        <w:t>with</w:t>
      </w:r>
      <w:r>
        <w:rPr>
          <w:spacing w:val="20"/>
          <w:sz w:val="21"/>
        </w:rPr>
        <w:t> </w:t>
      </w:r>
      <w:r>
        <w:rPr>
          <w:sz w:val="21"/>
        </w:rPr>
        <w:t>a</w:t>
      </w:r>
      <w:r>
        <w:rPr>
          <w:spacing w:val="20"/>
          <w:sz w:val="21"/>
        </w:rPr>
        <w:t> </w:t>
      </w:r>
      <w:r>
        <w:rPr>
          <w:sz w:val="21"/>
        </w:rPr>
        <w:t>view</w:t>
      </w:r>
      <w:r>
        <w:rPr>
          <w:spacing w:val="20"/>
          <w:sz w:val="21"/>
        </w:rPr>
        <w:t> </w:t>
      </w:r>
      <w:r>
        <w:rPr>
          <w:sz w:val="21"/>
        </w:rPr>
        <w:t>to</w:t>
      </w:r>
      <w:r>
        <w:rPr>
          <w:spacing w:val="20"/>
          <w:sz w:val="21"/>
        </w:rPr>
        <w:t> </w:t>
      </w:r>
      <w:r>
        <w:rPr>
          <w:sz w:val="21"/>
        </w:rPr>
        <w:t>obtaining the financing referred to in the previous paragraph</w:t>
      </w:r>
      <w:r>
        <w:rPr>
          <w:i/>
          <w:sz w:val="21"/>
        </w:rPr>
        <w:t>.</w:t>
      </w:r>
    </w:p>
    <w:p>
      <w:pPr>
        <w:pStyle w:val="BodyText"/>
        <w:spacing w:before="132"/>
        <w:rPr>
          <w:i/>
          <w:sz w:val="21"/>
        </w:rPr>
      </w:pPr>
    </w:p>
    <w:p>
      <w:pPr>
        <w:spacing w:line="309" w:lineRule="auto" w:before="0"/>
        <w:ind w:left="5251" w:right="4858" w:firstLine="203"/>
        <w:jc w:val="left"/>
        <w:rPr>
          <w:b/>
          <w:sz w:val="21"/>
        </w:rPr>
      </w:pPr>
      <w:r>
        <w:rPr>
          <w:b/>
          <w:sz w:val="21"/>
        </w:rPr>
        <w:t>Clause 34 Reserve</w:t>
      </w:r>
      <w:r>
        <w:rPr>
          <w:b/>
          <w:spacing w:val="-1"/>
          <w:sz w:val="21"/>
        </w:rPr>
        <w:t> </w:t>
      </w:r>
      <w:r>
        <w:rPr>
          <w:b/>
          <w:sz w:val="21"/>
        </w:rPr>
        <w:t>funds</w:t>
      </w:r>
    </w:p>
    <w:p>
      <w:pPr>
        <w:pStyle w:val="BodyText"/>
        <w:spacing w:before="53"/>
        <w:rPr>
          <w:b/>
          <w:sz w:val="21"/>
        </w:rPr>
      </w:pPr>
    </w:p>
    <w:p>
      <w:pPr>
        <w:spacing w:before="0"/>
        <w:ind w:left="144" w:right="0" w:firstLine="0"/>
        <w:jc w:val="both"/>
        <w:rPr>
          <w:sz w:val="21"/>
        </w:rPr>
      </w:pPr>
      <w:r>
        <w:rPr>
          <w:sz w:val="21"/>
        </w:rPr>
        <w:t>The</w:t>
      </w:r>
      <w:r>
        <w:rPr>
          <w:spacing w:val="12"/>
          <w:sz w:val="21"/>
        </w:rPr>
        <w:t> </w:t>
      </w:r>
      <w:r>
        <w:rPr>
          <w:sz w:val="21"/>
        </w:rPr>
        <w:t>Concessionaire</w:t>
      </w:r>
      <w:r>
        <w:rPr>
          <w:spacing w:val="12"/>
          <w:sz w:val="21"/>
        </w:rPr>
        <w:t> </w:t>
      </w:r>
      <w:r>
        <w:rPr>
          <w:sz w:val="21"/>
        </w:rPr>
        <w:t>undertakes</w:t>
      </w:r>
      <w:r>
        <w:rPr>
          <w:spacing w:val="12"/>
          <w:sz w:val="21"/>
        </w:rPr>
        <w:t> </w:t>
      </w:r>
      <w:r>
        <w:rPr>
          <w:sz w:val="21"/>
        </w:rPr>
        <w:t>to</w:t>
      </w:r>
      <w:r>
        <w:rPr>
          <w:spacing w:val="13"/>
          <w:sz w:val="21"/>
        </w:rPr>
        <w:t> </w:t>
      </w:r>
      <w:r>
        <w:rPr>
          <w:sz w:val="21"/>
        </w:rPr>
        <w:t>maintain</w:t>
      </w:r>
      <w:r>
        <w:rPr>
          <w:spacing w:val="12"/>
          <w:sz w:val="21"/>
        </w:rPr>
        <w:t> </w:t>
      </w:r>
      <w:r>
        <w:rPr>
          <w:sz w:val="21"/>
        </w:rPr>
        <w:t>the</w:t>
      </w:r>
      <w:r>
        <w:rPr>
          <w:spacing w:val="12"/>
          <w:sz w:val="21"/>
        </w:rPr>
        <w:t> </w:t>
      </w:r>
      <w:r>
        <w:rPr>
          <w:sz w:val="21"/>
        </w:rPr>
        <w:t>reserve</w:t>
      </w:r>
      <w:r>
        <w:rPr>
          <w:spacing w:val="13"/>
          <w:sz w:val="21"/>
        </w:rPr>
        <w:t> </w:t>
      </w:r>
      <w:r>
        <w:rPr>
          <w:sz w:val="21"/>
        </w:rPr>
        <w:t>funds</w:t>
      </w:r>
      <w:r>
        <w:rPr>
          <w:spacing w:val="12"/>
          <w:sz w:val="21"/>
        </w:rPr>
        <w:t> </w:t>
      </w:r>
      <w:r>
        <w:rPr>
          <w:sz w:val="21"/>
        </w:rPr>
        <w:t>required</w:t>
      </w:r>
      <w:r>
        <w:rPr>
          <w:spacing w:val="12"/>
          <w:sz w:val="21"/>
        </w:rPr>
        <w:t> </w:t>
      </w:r>
      <w:r>
        <w:rPr>
          <w:sz w:val="21"/>
        </w:rPr>
        <w:t>by</w:t>
      </w:r>
      <w:r>
        <w:rPr>
          <w:spacing w:val="13"/>
          <w:sz w:val="21"/>
        </w:rPr>
        <w:t> </w:t>
      </w:r>
      <w:r>
        <w:rPr>
          <w:spacing w:val="-4"/>
          <w:sz w:val="21"/>
        </w:rPr>
        <w:t>law.</w:t>
      </w:r>
    </w:p>
    <w:p>
      <w:pPr>
        <w:pStyle w:val="BodyText"/>
        <w:spacing w:before="138"/>
        <w:rPr>
          <w:sz w:val="21"/>
        </w:rPr>
      </w:pPr>
    </w:p>
    <w:p>
      <w:pPr>
        <w:spacing w:before="0"/>
        <w:ind w:left="24" w:right="0" w:firstLine="0"/>
        <w:jc w:val="center"/>
        <w:rPr>
          <w:b/>
          <w:sz w:val="21"/>
        </w:rPr>
      </w:pPr>
      <w:r>
        <w:rPr>
          <w:b/>
          <w:sz w:val="21"/>
        </w:rPr>
        <w:t>Clause</w:t>
      </w:r>
      <w:r>
        <w:rPr>
          <w:b/>
          <w:spacing w:val="13"/>
          <w:sz w:val="21"/>
        </w:rPr>
        <w:t> </w:t>
      </w:r>
      <w:r>
        <w:rPr>
          <w:b/>
          <w:spacing w:val="-5"/>
          <w:sz w:val="21"/>
        </w:rPr>
        <w:t>35</w:t>
      </w:r>
    </w:p>
    <w:p>
      <w:pPr>
        <w:spacing w:before="56"/>
        <w:ind w:left="24" w:right="0" w:firstLine="0"/>
        <w:jc w:val="center"/>
        <w:rPr>
          <w:b/>
          <w:sz w:val="21"/>
        </w:rPr>
      </w:pPr>
      <w:r>
        <w:rPr>
          <w:b/>
          <w:sz w:val="21"/>
        </w:rPr>
        <w:t>Special</w:t>
      </w:r>
      <w:r>
        <w:rPr>
          <w:b/>
          <w:spacing w:val="9"/>
          <w:sz w:val="21"/>
        </w:rPr>
        <w:t> </w:t>
      </w:r>
      <w:r>
        <w:rPr>
          <w:b/>
          <w:sz w:val="21"/>
        </w:rPr>
        <w:t>duty</w:t>
      </w:r>
      <w:r>
        <w:rPr>
          <w:b/>
          <w:spacing w:val="9"/>
          <w:sz w:val="21"/>
        </w:rPr>
        <w:t> </w:t>
      </w:r>
      <w:r>
        <w:rPr>
          <w:b/>
          <w:sz w:val="21"/>
        </w:rPr>
        <w:t>of</w:t>
      </w:r>
      <w:r>
        <w:rPr>
          <w:b/>
          <w:spacing w:val="9"/>
          <w:sz w:val="21"/>
        </w:rPr>
        <w:t> </w:t>
      </w:r>
      <w:r>
        <w:rPr>
          <w:b/>
          <w:spacing w:val="-2"/>
          <w:sz w:val="21"/>
        </w:rPr>
        <w:t>cooperation</w:t>
      </w:r>
    </w:p>
    <w:p>
      <w:pPr>
        <w:pStyle w:val="BodyText"/>
        <w:spacing w:before="213"/>
        <w:rPr>
          <w:b/>
          <w:sz w:val="21"/>
        </w:rPr>
      </w:pPr>
    </w:p>
    <w:p>
      <w:pPr>
        <w:spacing w:line="213" w:lineRule="auto" w:before="0"/>
        <w:ind w:left="144" w:right="118" w:firstLine="0"/>
        <w:jc w:val="both"/>
        <w:rPr>
          <w:sz w:val="21"/>
        </w:rPr>
      </w:pPr>
      <w:r>
        <w:rPr>
          <w:i/>
          <w:sz w:val="21"/>
        </w:rPr>
        <w:t>One</w:t>
      </w:r>
      <w:r>
        <w:rPr>
          <w:sz w:val="21"/>
        </w:rPr>
        <w:t>. Without prejudice to the general duty of cooperation provided for in Clause 70, the Concessionaire undertakes to immediately</w:t>
      </w:r>
      <w:r>
        <w:rPr>
          <w:spacing w:val="40"/>
          <w:sz w:val="21"/>
        </w:rPr>
        <w:t> </w:t>
      </w:r>
      <w:r>
        <w:rPr>
          <w:sz w:val="21"/>
        </w:rPr>
        <w:t>make available to the Government any document, information or data which the Government considers necessary to verify that </w:t>
      </w:r>
      <w:r>
        <w:rPr>
          <w:sz w:val="21"/>
        </w:rPr>
        <w:t>it continues to have adequate financial capacity.</w:t>
      </w:r>
    </w:p>
    <w:p>
      <w:pPr>
        <w:pStyle w:val="BodyText"/>
        <w:spacing w:before="153"/>
        <w:rPr>
          <w:sz w:val="21"/>
        </w:rPr>
      </w:pPr>
    </w:p>
    <w:p>
      <w:pPr>
        <w:spacing w:line="213" w:lineRule="auto" w:before="1"/>
        <w:ind w:left="144" w:right="118" w:firstLine="0"/>
        <w:jc w:val="both"/>
        <w:rPr>
          <w:sz w:val="21"/>
        </w:rPr>
      </w:pPr>
      <w:r>
        <w:rPr>
          <w:i/>
          <w:sz w:val="21"/>
        </w:rPr>
        <w:t>Two</w:t>
      </w:r>
      <w:r>
        <w:rPr>
          <w:sz w:val="21"/>
        </w:rPr>
        <w:t>. The Concessionaire undertakes to notify the Government, as soon as possible, of any loans, mortgages, declarations of debt, guarantees,</w:t>
      </w:r>
      <w:r>
        <w:rPr>
          <w:spacing w:val="39"/>
          <w:sz w:val="21"/>
        </w:rPr>
        <w:t> </w:t>
      </w:r>
      <w:r>
        <w:rPr>
          <w:sz w:val="21"/>
        </w:rPr>
        <w:t>or</w:t>
      </w:r>
      <w:r>
        <w:rPr>
          <w:spacing w:val="39"/>
          <w:sz w:val="21"/>
        </w:rPr>
        <w:t> </w:t>
      </w:r>
      <w:r>
        <w:rPr>
          <w:sz w:val="21"/>
        </w:rPr>
        <w:t>any</w:t>
      </w:r>
      <w:r>
        <w:rPr>
          <w:spacing w:val="39"/>
          <w:sz w:val="21"/>
        </w:rPr>
        <w:t> </w:t>
      </w:r>
      <w:r>
        <w:rPr>
          <w:sz w:val="21"/>
        </w:rPr>
        <w:t>other</w:t>
      </w:r>
      <w:r>
        <w:rPr>
          <w:spacing w:val="39"/>
          <w:sz w:val="21"/>
        </w:rPr>
        <w:t> </w:t>
      </w:r>
      <w:r>
        <w:rPr>
          <w:sz w:val="21"/>
        </w:rPr>
        <w:t>obligations</w:t>
      </w:r>
      <w:r>
        <w:rPr>
          <w:spacing w:val="39"/>
          <w:sz w:val="21"/>
        </w:rPr>
        <w:t> </w:t>
      </w:r>
      <w:r>
        <w:rPr>
          <w:sz w:val="21"/>
        </w:rPr>
        <w:t>contracted</w:t>
      </w:r>
      <w:r>
        <w:rPr>
          <w:spacing w:val="39"/>
          <w:sz w:val="21"/>
        </w:rPr>
        <w:t> </w:t>
      </w:r>
      <w:r>
        <w:rPr>
          <w:sz w:val="21"/>
        </w:rPr>
        <w:t>or</w:t>
      </w:r>
      <w:r>
        <w:rPr>
          <w:spacing w:val="39"/>
          <w:sz w:val="21"/>
        </w:rPr>
        <w:t> </w:t>
      </w:r>
      <w:r>
        <w:rPr>
          <w:sz w:val="21"/>
        </w:rPr>
        <w:t>to</w:t>
      </w:r>
      <w:r>
        <w:rPr>
          <w:spacing w:val="39"/>
          <w:sz w:val="21"/>
        </w:rPr>
        <w:t> </w:t>
      </w:r>
      <w:r>
        <w:rPr>
          <w:sz w:val="21"/>
        </w:rPr>
        <w:t>be</w:t>
      </w:r>
      <w:r>
        <w:rPr>
          <w:spacing w:val="39"/>
          <w:sz w:val="21"/>
        </w:rPr>
        <w:t> </w:t>
      </w:r>
      <w:r>
        <w:rPr>
          <w:sz w:val="21"/>
        </w:rPr>
        <w:t>contracted</w:t>
      </w:r>
      <w:r>
        <w:rPr>
          <w:spacing w:val="39"/>
          <w:sz w:val="21"/>
        </w:rPr>
        <w:t> </w:t>
      </w:r>
      <w:r>
        <w:rPr>
          <w:sz w:val="21"/>
        </w:rPr>
        <w:t>to</w:t>
      </w:r>
      <w:r>
        <w:rPr>
          <w:spacing w:val="39"/>
          <w:sz w:val="21"/>
        </w:rPr>
        <w:t> </w:t>
      </w:r>
      <w:r>
        <w:rPr>
          <w:sz w:val="21"/>
        </w:rPr>
        <w:t>finance</w:t>
      </w:r>
      <w:r>
        <w:rPr>
          <w:spacing w:val="39"/>
          <w:sz w:val="21"/>
        </w:rPr>
        <w:t> </w:t>
      </w:r>
      <w:r>
        <w:rPr>
          <w:sz w:val="21"/>
        </w:rPr>
        <w:t>any</w:t>
      </w:r>
      <w:r>
        <w:rPr>
          <w:spacing w:val="39"/>
          <w:sz w:val="21"/>
        </w:rPr>
        <w:t> </w:t>
      </w:r>
      <w:r>
        <w:rPr>
          <w:sz w:val="21"/>
        </w:rPr>
        <w:t>aspect</w:t>
      </w:r>
      <w:r>
        <w:rPr>
          <w:spacing w:val="39"/>
          <w:sz w:val="21"/>
        </w:rPr>
        <w:t> </w:t>
      </w:r>
      <w:r>
        <w:rPr>
          <w:sz w:val="21"/>
        </w:rPr>
        <w:t>of</w:t>
      </w:r>
      <w:r>
        <w:rPr>
          <w:spacing w:val="39"/>
          <w:sz w:val="21"/>
        </w:rPr>
        <w:t> </w:t>
      </w:r>
      <w:r>
        <w:rPr>
          <w:sz w:val="21"/>
        </w:rPr>
        <w:t>its</w:t>
      </w:r>
      <w:r>
        <w:rPr>
          <w:spacing w:val="39"/>
          <w:sz w:val="21"/>
        </w:rPr>
        <w:t> </w:t>
      </w:r>
      <w:r>
        <w:rPr>
          <w:sz w:val="21"/>
        </w:rPr>
        <w:t>activity,</w:t>
      </w:r>
      <w:r>
        <w:rPr>
          <w:spacing w:val="39"/>
          <w:sz w:val="21"/>
        </w:rPr>
        <w:t> </w:t>
      </w:r>
      <w:r>
        <w:rPr>
          <w:sz w:val="21"/>
        </w:rPr>
        <w:t>with</w:t>
      </w:r>
      <w:r>
        <w:rPr>
          <w:spacing w:val="39"/>
          <w:sz w:val="21"/>
        </w:rPr>
        <w:t> </w:t>
      </w:r>
      <w:r>
        <w:rPr>
          <w:sz w:val="21"/>
        </w:rPr>
        <w:t>a</w:t>
      </w:r>
      <w:r>
        <w:rPr>
          <w:spacing w:val="39"/>
          <w:sz w:val="21"/>
        </w:rPr>
        <w:t> </w:t>
      </w:r>
      <w:r>
        <w:rPr>
          <w:sz w:val="21"/>
        </w:rPr>
        <w:t>value</w:t>
      </w:r>
      <w:r>
        <w:rPr>
          <w:spacing w:val="39"/>
          <w:sz w:val="21"/>
        </w:rPr>
        <w:t> </w:t>
      </w:r>
      <w:r>
        <w:rPr>
          <w:sz w:val="21"/>
        </w:rPr>
        <w:t>equal</w:t>
      </w:r>
      <w:r>
        <w:rPr>
          <w:spacing w:val="39"/>
          <w:sz w:val="21"/>
        </w:rPr>
        <w:t> </w:t>
      </w:r>
      <w:r>
        <w:rPr>
          <w:sz w:val="21"/>
        </w:rPr>
        <w:t>to</w:t>
      </w:r>
      <w:r>
        <w:rPr>
          <w:spacing w:val="39"/>
          <w:sz w:val="21"/>
        </w:rPr>
        <w:t> </w:t>
      </w:r>
      <w:r>
        <w:rPr>
          <w:sz w:val="21"/>
        </w:rPr>
        <w:t>or greater than MOP 16,000,000 (sixteen million patacas).</w:t>
      </w:r>
    </w:p>
    <w:p>
      <w:pPr>
        <w:pStyle w:val="BodyText"/>
        <w:spacing w:before="153"/>
        <w:rPr>
          <w:sz w:val="21"/>
        </w:rPr>
      </w:pPr>
    </w:p>
    <w:p>
      <w:pPr>
        <w:spacing w:line="213" w:lineRule="auto" w:before="0"/>
        <w:ind w:left="144" w:right="118" w:firstLine="0"/>
        <w:jc w:val="both"/>
        <w:rPr>
          <w:sz w:val="21"/>
        </w:rPr>
      </w:pPr>
      <w:r>
        <w:rPr>
          <w:i/>
          <w:sz w:val="21"/>
        </w:rPr>
        <w:t>Three</w:t>
      </w:r>
      <w:r>
        <w:rPr>
          <w:sz w:val="21"/>
        </w:rPr>
        <w:t>.</w:t>
      </w:r>
      <w:r>
        <w:rPr>
          <w:spacing w:val="28"/>
          <w:sz w:val="21"/>
        </w:rPr>
        <w:t> </w:t>
      </w:r>
      <w:r>
        <w:rPr>
          <w:sz w:val="21"/>
        </w:rPr>
        <w:t>The</w:t>
      </w:r>
      <w:r>
        <w:rPr>
          <w:spacing w:val="33"/>
          <w:sz w:val="21"/>
        </w:rPr>
        <w:t> </w:t>
      </w:r>
      <w:r>
        <w:rPr>
          <w:sz w:val="21"/>
        </w:rPr>
        <w:t>Concessionaire</w:t>
      </w:r>
      <w:r>
        <w:rPr>
          <w:spacing w:val="33"/>
          <w:sz w:val="21"/>
        </w:rPr>
        <w:t> </w:t>
      </w:r>
      <w:r>
        <w:rPr>
          <w:sz w:val="21"/>
        </w:rPr>
        <w:t>undertakes</w:t>
      </w:r>
      <w:r>
        <w:rPr>
          <w:spacing w:val="33"/>
          <w:sz w:val="21"/>
        </w:rPr>
        <w:t> </w:t>
      </w:r>
      <w:r>
        <w:rPr>
          <w:sz w:val="21"/>
        </w:rPr>
        <w:t>to</w:t>
      </w:r>
      <w:r>
        <w:rPr>
          <w:spacing w:val="33"/>
          <w:sz w:val="21"/>
        </w:rPr>
        <w:t> </w:t>
      </w:r>
      <w:r>
        <w:rPr>
          <w:sz w:val="21"/>
        </w:rPr>
        <w:t>submit</w:t>
      </w:r>
      <w:r>
        <w:rPr>
          <w:spacing w:val="33"/>
          <w:sz w:val="21"/>
        </w:rPr>
        <w:t> </w:t>
      </w:r>
      <w:r>
        <w:rPr>
          <w:sz w:val="21"/>
        </w:rPr>
        <w:t>to</w:t>
      </w:r>
      <w:r>
        <w:rPr>
          <w:spacing w:val="33"/>
          <w:sz w:val="21"/>
        </w:rPr>
        <w:t> </w:t>
      </w:r>
      <w:r>
        <w:rPr>
          <w:sz w:val="21"/>
        </w:rPr>
        <w:t>the</w:t>
      </w:r>
      <w:r>
        <w:rPr>
          <w:spacing w:val="33"/>
          <w:sz w:val="21"/>
        </w:rPr>
        <w:t> </w:t>
      </w:r>
      <w:r>
        <w:rPr>
          <w:sz w:val="21"/>
        </w:rPr>
        <w:t>Government,</w:t>
      </w:r>
      <w:r>
        <w:rPr>
          <w:spacing w:val="33"/>
          <w:sz w:val="21"/>
        </w:rPr>
        <w:t> </w:t>
      </w:r>
      <w:r>
        <w:rPr>
          <w:sz w:val="21"/>
        </w:rPr>
        <w:t>as</w:t>
      </w:r>
      <w:r>
        <w:rPr>
          <w:spacing w:val="33"/>
          <w:sz w:val="21"/>
        </w:rPr>
        <w:t> </w:t>
      </w:r>
      <w:r>
        <w:rPr>
          <w:sz w:val="21"/>
        </w:rPr>
        <w:t>soon</w:t>
      </w:r>
      <w:r>
        <w:rPr>
          <w:spacing w:val="33"/>
          <w:sz w:val="21"/>
        </w:rPr>
        <w:t> </w:t>
      </w:r>
      <w:r>
        <w:rPr>
          <w:sz w:val="21"/>
        </w:rPr>
        <w:t>as</w:t>
      </w:r>
      <w:r>
        <w:rPr>
          <w:spacing w:val="33"/>
          <w:sz w:val="21"/>
        </w:rPr>
        <w:t> </w:t>
      </w:r>
      <w:r>
        <w:rPr>
          <w:sz w:val="21"/>
        </w:rPr>
        <w:t>possible,</w:t>
      </w:r>
      <w:r>
        <w:rPr>
          <w:spacing w:val="33"/>
          <w:sz w:val="21"/>
        </w:rPr>
        <w:t> </w:t>
      </w:r>
      <w:r>
        <w:rPr>
          <w:sz w:val="21"/>
        </w:rPr>
        <w:t>certified</w:t>
      </w:r>
      <w:r>
        <w:rPr>
          <w:spacing w:val="33"/>
          <w:sz w:val="21"/>
        </w:rPr>
        <w:t> </w:t>
      </w:r>
      <w:r>
        <w:rPr>
          <w:sz w:val="21"/>
        </w:rPr>
        <w:t>copies</w:t>
      </w:r>
      <w:r>
        <w:rPr>
          <w:spacing w:val="33"/>
          <w:sz w:val="21"/>
        </w:rPr>
        <w:t> </w:t>
      </w:r>
      <w:r>
        <w:rPr>
          <w:sz w:val="21"/>
        </w:rPr>
        <w:t>of</w:t>
      </w:r>
      <w:r>
        <w:rPr>
          <w:spacing w:val="33"/>
          <w:sz w:val="21"/>
        </w:rPr>
        <w:t> </w:t>
      </w:r>
      <w:r>
        <w:rPr>
          <w:sz w:val="21"/>
        </w:rPr>
        <w:t>documents</w:t>
      </w:r>
      <w:r>
        <w:rPr>
          <w:spacing w:val="33"/>
          <w:sz w:val="21"/>
        </w:rPr>
        <w:t> </w:t>
      </w:r>
      <w:r>
        <w:rPr>
          <w:sz w:val="21"/>
        </w:rPr>
        <w:t>relating</w:t>
      </w:r>
      <w:r>
        <w:rPr>
          <w:spacing w:val="33"/>
          <w:sz w:val="21"/>
        </w:rPr>
        <w:t> </w:t>
      </w:r>
      <w:r>
        <w:rPr>
          <w:sz w:val="21"/>
        </w:rPr>
        <w:t>to any</w:t>
      </w:r>
      <w:r>
        <w:rPr>
          <w:spacing w:val="36"/>
          <w:sz w:val="21"/>
        </w:rPr>
        <w:t> </w:t>
      </w:r>
      <w:r>
        <w:rPr>
          <w:sz w:val="21"/>
        </w:rPr>
        <w:t>loans,</w:t>
      </w:r>
      <w:r>
        <w:rPr>
          <w:spacing w:val="36"/>
          <w:sz w:val="21"/>
        </w:rPr>
        <w:t> </w:t>
      </w:r>
      <w:r>
        <w:rPr>
          <w:sz w:val="21"/>
        </w:rPr>
        <w:t>mortgages,</w:t>
      </w:r>
      <w:r>
        <w:rPr>
          <w:spacing w:val="36"/>
          <w:sz w:val="21"/>
        </w:rPr>
        <w:t> </w:t>
      </w:r>
      <w:r>
        <w:rPr>
          <w:sz w:val="21"/>
        </w:rPr>
        <w:t>debt</w:t>
      </w:r>
      <w:r>
        <w:rPr>
          <w:spacing w:val="36"/>
          <w:sz w:val="21"/>
        </w:rPr>
        <w:t> </w:t>
      </w:r>
      <w:r>
        <w:rPr>
          <w:sz w:val="21"/>
        </w:rPr>
        <w:t>statements,</w:t>
      </w:r>
      <w:r>
        <w:rPr>
          <w:spacing w:val="36"/>
          <w:sz w:val="21"/>
        </w:rPr>
        <w:t> </w:t>
      </w:r>
      <w:r>
        <w:rPr>
          <w:sz w:val="21"/>
        </w:rPr>
        <w:t>guarantees,</w:t>
      </w:r>
      <w:r>
        <w:rPr>
          <w:spacing w:val="36"/>
          <w:sz w:val="21"/>
        </w:rPr>
        <w:t> </w:t>
      </w:r>
      <w:r>
        <w:rPr>
          <w:sz w:val="21"/>
        </w:rPr>
        <w:t>or</w:t>
      </w:r>
      <w:r>
        <w:rPr>
          <w:spacing w:val="36"/>
          <w:sz w:val="21"/>
        </w:rPr>
        <w:t> </w:t>
      </w:r>
      <w:r>
        <w:rPr>
          <w:sz w:val="21"/>
        </w:rPr>
        <w:t>any</w:t>
      </w:r>
      <w:r>
        <w:rPr>
          <w:spacing w:val="36"/>
          <w:sz w:val="21"/>
        </w:rPr>
        <w:t> </w:t>
      </w:r>
      <w:r>
        <w:rPr>
          <w:sz w:val="21"/>
        </w:rPr>
        <w:t>other</w:t>
      </w:r>
      <w:r>
        <w:rPr>
          <w:spacing w:val="36"/>
          <w:sz w:val="21"/>
        </w:rPr>
        <w:t> </w:t>
      </w:r>
      <w:r>
        <w:rPr>
          <w:sz w:val="21"/>
        </w:rPr>
        <w:t>obligation</w:t>
      </w:r>
      <w:r>
        <w:rPr>
          <w:spacing w:val="36"/>
          <w:sz w:val="21"/>
        </w:rPr>
        <w:t> </w:t>
      </w:r>
      <w:r>
        <w:rPr>
          <w:sz w:val="21"/>
        </w:rPr>
        <w:t>contracted</w:t>
      </w:r>
      <w:r>
        <w:rPr>
          <w:spacing w:val="36"/>
          <w:sz w:val="21"/>
        </w:rPr>
        <w:t> </w:t>
      </w:r>
      <w:r>
        <w:rPr>
          <w:sz w:val="21"/>
        </w:rPr>
        <w:t>or</w:t>
      </w:r>
      <w:r>
        <w:rPr>
          <w:spacing w:val="36"/>
          <w:sz w:val="21"/>
        </w:rPr>
        <w:t> </w:t>
      </w:r>
      <w:r>
        <w:rPr>
          <w:sz w:val="21"/>
        </w:rPr>
        <w:t>to</w:t>
      </w:r>
      <w:r>
        <w:rPr>
          <w:spacing w:val="36"/>
          <w:sz w:val="21"/>
        </w:rPr>
        <w:t> </w:t>
      </w:r>
      <w:r>
        <w:rPr>
          <w:sz w:val="21"/>
        </w:rPr>
        <w:t>be</w:t>
      </w:r>
      <w:r>
        <w:rPr>
          <w:spacing w:val="36"/>
          <w:sz w:val="21"/>
        </w:rPr>
        <w:t> </w:t>
      </w:r>
      <w:r>
        <w:rPr>
          <w:sz w:val="21"/>
        </w:rPr>
        <w:t>contracted</w:t>
      </w:r>
      <w:r>
        <w:rPr>
          <w:spacing w:val="36"/>
          <w:sz w:val="21"/>
        </w:rPr>
        <w:t> </w:t>
      </w:r>
      <w:r>
        <w:rPr>
          <w:sz w:val="21"/>
        </w:rPr>
        <w:t>for</w:t>
      </w:r>
      <w:r>
        <w:rPr>
          <w:spacing w:val="36"/>
          <w:sz w:val="21"/>
        </w:rPr>
        <w:t> </w:t>
      </w:r>
      <w:r>
        <w:rPr>
          <w:sz w:val="21"/>
        </w:rPr>
        <w:t>the</w:t>
      </w:r>
      <w:r>
        <w:rPr>
          <w:spacing w:val="36"/>
          <w:sz w:val="21"/>
        </w:rPr>
        <w:t> </w:t>
      </w:r>
      <w:r>
        <w:rPr>
          <w:sz w:val="21"/>
        </w:rPr>
        <w:t>financing</w:t>
      </w:r>
      <w:r>
        <w:rPr>
          <w:spacing w:val="36"/>
          <w:sz w:val="21"/>
        </w:rPr>
        <w:t> </w:t>
      </w:r>
      <w:r>
        <w:rPr>
          <w:sz w:val="21"/>
        </w:rPr>
        <w:t>of</w:t>
      </w:r>
      <w:r>
        <w:rPr>
          <w:spacing w:val="36"/>
          <w:sz w:val="21"/>
        </w:rPr>
        <w:t> </w:t>
      </w:r>
      <w:r>
        <w:rPr>
          <w:sz w:val="21"/>
        </w:rPr>
        <w:t>any aspect of its activity.</w:t>
      </w:r>
    </w:p>
    <w:p>
      <w:pPr>
        <w:pStyle w:val="BodyText"/>
        <w:spacing w:before="166"/>
        <w:rPr>
          <w:sz w:val="21"/>
        </w:rPr>
      </w:pPr>
    </w:p>
    <w:p>
      <w:pPr>
        <w:spacing w:line="213" w:lineRule="auto" w:before="1"/>
        <w:ind w:left="144" w:right="118" w:firstLine="0"/>
        <w:jc w:val="both"/>
        <w:rPr>
          <w:sz w:val="21"/>
        </w:rPr>
      </w:pPr>
      <w:r>
        <w:rPr>
          <w:i/>
          <w:sz w:val="21"/>
        </w:rPr>
        <w:t>Four</w:t>
      </w:r>
      <w:r>
        <w:rPr>
          <w:sz w:val="21"/>
        </w:rPr>
        <w:t>. The Concessionaire undertakes to obtain and submit to the Government a statement signed by each of its </w:t>
      </w:r>
      <w:r>
        <w:rPr>
          <w:sz w:val="21"/>
        </w:rPr>
        <w:t>controlling</w:t>
      </w:r>
      <w:r>
        <w:rPr>
          <w:spacing w:val="80"/>
          <w:w w:val="150"/>
          <w:sz w:val="21"/>
        </w:rPr>
        <w:t> </w:t>
      </w:r>
      <w:r>
        <w:rPr>
          <w:sz w:val="21"/>
        </w:rPr>
        <w:t>shareholders, including the last controlling shareholder, pursuant to which they agree to be bound by this special duty of cooperation</w:t>
      </w:r>
      <w:r>
        <w:rPr>
          <w:spacing w:val="80"/>
          <w:sz w:val="21"/>
        </w:rPr>
        <w:t> </w:t>
      </w:r>
      <w:r>
        <w:rPr>
          <w:sz w:val="21"/>
        </w:rPr>
        <w:t>and undertake to produce any documents and provide any information, data, authorizations, or evidence requested of them for this </w:t>
      </w:r>
      <w:r>
        <w:rPr>
          <w:spacing w:val="-2"/>
          <w:sz w:val="21"/>
        </w:rPr>
        <w:t>purpose.</w:t>
      </w:r>
    </w:p>
    <w:p>
      <w:pPr>
        <w:pStyle w:val="BodyText"/>
        <w:spacing w:before="122"/>
        <w:rPr>
          <w:sz w:val="21"/>
        </w:rPr>
      </w:pPr>
    </w:p>
    <w:p>
      <w:pPr>
        <w:pStyle w:val="Heading1"/>
      </w:pPr>
      <w:r>
        <w:rPr/>
        <w:t>CHAPTER</w:t>
      </w:r>
      <w:r>
        <w:rPr>
          <w:spacing w:val="-5"/>
        </w:rPr>
        <w:t> VII</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8"/>
        <w:rPr>
          <w:b/>
          <w:sz w:val="20"/>
        </w:rPr>
      </w:pPr>
      <w:r>
        <w:rPr/>
        <mc:AlternateContent>
          <mc:Choice Requires="wps">
            <w:drawing>
              <wp:anchor distT="0" distB="0" distL="0" distR="0" allowOverlap="1" layoutInCell="1" locked="0" behindDoc="1" simplePos="0" relativeHeight="487773184">
                <wp:simplePos x="0" y="0"/>
                <wp:positionH relativeFrom="page">
                  <wp:posOffset>231457</wp:posOffset>
                </wp:positionH>
                <wp:positionV relativeFrom="paragraph">
                  <wp:posOffset>204477</wp:posOffset>
                </wp:positionV>
                <wp:extent cx="7312659" cy="17145"/>
                <wp:effectExtent l="0" t="0" r="0" b="0"/>
                <wp:wrapTopAndBottom/>
                <wp:docPr id="864" name="Group 864"/>
                <wp:cNvGraphicFramePr>
                  <a:graphicFrameLocks/>
                </wp:cNvGraphicFramePr>
                <a:graphic>
                  <a:graphicData uri="http://schemas.microsoft.com/office/word/2010/wordprocessingGroup">
                    <wpg:wgp>
                      <wpg:cNvPr id="864" name="Group 864"/>
                      <wpg:cNvGrpSpPr/>
                      <wpg:grpSpPr>
                        <a:xfrm>
                          <a:off x="0" y="0"/>
                          <a:ext cx="7312659" cy="17145"/>
                          <a:chExt cx="7312659" cy="17145"/>
                        </a:xfrm>
                      </wpg:grpSpPr>
                      <wps:wsp>
                        <wps:cNvPr id="865" name="Graphic 86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66" name="Graphic 866"/>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67" name="Graphic 86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100605pt;width:575.8pt;height:1.35pt;mso-position-horizontal-relative:page;mso-position-vertical-relative:paragraph;z-index:-15543296;mso-wrap-distance-left:0;mso-wrap-distance-right:0" id="docshapegroup862" coordorigin="364,322" coordsize="11516,27">
                <v:rect style="position:absolute;left:364;top:322;width:11516;height:14" id="docshape863" filled="true" fillcolor="#999999" stroked="false">
                  <v:fill type="solid"/>
                </v:rect>
                <v:shape style="position:absolute;left:364;top:322;width:11516;height:27" id="docshape864" coordorigin="364,322" coordsize="11516,27" path="m11880,322l11866,335,364,335,364,349,11866,349,11880,349,11880,335,11880,322xe" filled="true" fillcolor="#ededed" stroked="false">
                  <v:path arrowok="t"/>
                  <v:fill type="solid"/>
                </v:shape>
                <v:shape style="position:absolute;left:364;top:322;width:14;height:27" id="docshape865" coordorigin="364,322" coordsize="14,27" path="m364,349l364,322,378,322,378,336,364,349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pStyle w:val="Heading2"/>
        <w:spacing w:before="65"/>
      </w:pPr>
      <w:r>
        <w:rPr/>
        <w:t>Investment </w:t>
      </w:r>
      <w:r>
        <w:rPr>
          <w:spacing w:val="-2"/>
        </w:rPr>
        <w:t>Plans</w:t>
      </w:r>
    </w:p>
    <w:p>
      <w:pPr>
        <w:pStyle w:val="BodyText"/>
        <w:spacing w:before="83"/>
        <w:rPr>
          <w:b/>
          <w:sz w:val="25"/>
        </w:rPr>
      </w:pPr>
    </w:p>
    <w:p>
      <w:pPr>
        <w:spacing w:line="309" w:lineRule="auto" w:before="0"/>
        <w:ind w:left="5107" w:right="5080" w:hanging="1"/>
        <w:jc w:val="center"/>
        <w:rPr>
          <w:b/>
          <w:sz w:val="21"/>
        </w:rPr>
      </w:pPr>
      <w:r>
        <w:rPr>
          <w:b/>
          <w:sz w:val="21"/>
        </w:rPr>
        <w:t>Clause 36 Investment </w:t>
      </w:r>
      <w:r>
        <w:rPr>
          <w:b/>
          <w:sz w:val="21"/>
        </w:rPr>
        <w:t>Plans</w:t>
      </w:r>
    </w:p>
    <w:p>
      <w:pPr>
        <w:pStyle w:val="BodyText"/>
        <w:spacing w:before="75"/>
        <w:rPr>
          <w:b/>
          <w:sz w:val="21"/>
        </w:rPr>
      </w:pPr>
    </w:p>
    <w:p>
      <w:pPr>
        <w:spacing w:line="213" w:lineRule="auto" w:before="0"/>
        <w:ind w:left="144" w:right="119" w:firstLine="0"/>
        <w:jc w:val="both"/>
        <w:rPr>
          <w:sz w:val="21"/>
        </w:rPr>
      </w:pPr>
      <w:r>
        <w:rPr>
          <w:i/>
          <w:sz w:val="21"/>
        </w:rPr>
        <w:t>One</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implement</w:t>
      </w:r>
      <w:r>
        <w:rPr>
          <w:spacing w:val="40"/>
          <w:sz w:val="21"/>
        </w:rPr>
        <w:t> </w:t>
      </w:r>
      <w:r>
        <w:rPr>
          <w:sz w:val="21"/>
        </w:rPr>
        <w:t>the</w:t>
      </w:r>
      <w:r>
        <w:rPr>
          <w:spacing w:val="40"/>
          <w:sz w:val="21"/>
        </w:rPr>
        <w:t> </w:t>
      </w:r>
      <w:r>
        <w:rPr>
          <w:sz w:val="21"/>
        </w:rPr>
        <w:t>Investment</w:t>
      </w:r>
      <w:r>
        <w:rPr>
          <w:spacing w:val="40"/>
          <w:sz w:val="21"/>
        </w:rPr>
        <w:t> </w:t>
      </w:r>
      <w:r>
        <w:rPr>
          <w:sz w:val="21"/>
        </w:rPr>
        <w:t>Plans</w:t>
      </w:r>
      <w:r>
        <w:rPr>
          <w:spacing w:val="40"/>
          <w:sz w:val="21"/>
        </w:rPr>
        <w:t> </w:t>
      </w:r>
      <w:r>
        <w:rPr>
          <w:sz w:val="21"/>
        </w:rPr>
        <w:t>annexed</w:t>
      </w:r>
      <w:r>
        <w:rPr>
          <w:spacing w:val="40"/>
          <w:sz w:val="21"/>
        </w:rPr>
        <w:t> </w:t>
      </w:r>
      <w:r>
        <w:rPr>
          <w:sz w:val="21"/>
        </w:rPr>
        <w:t>to</w:t>
      </w:r>
      <w:r>
        <w:rPr>
          <w:spacing w:val="40"/>
          <w:sz w:val="21"/>
        </w:rPr>
        <w:t> </w:t>
      </w:r>
      <w:r>
        <w:rPr>
          <w:sz w:val="21"/>
        </w:rPr>
        <w:t>this</w:t>
      </w:r>
      <w:r>
        <w:rPr>
          <w:spacing w:val="40"/>
          <w:sz w:val="21"/>
        </w:rPr>
        <w:t> </w:t>
      </w:r>
      <w:r>
        <w:rPr>
          <w:sz w:val="21"/>
        </w:rPr>
        <w:t>concession</w:t>
      </w:r>
      <w:r>
        <w:rPr>
          <w:spacing w:val="40"/>
          <w:sz w:val="21"/>
        </w:rPr>
        <w:t> </w:t>
      </w:r>
      <w:r>
        <w:rPr>
          <w:sz w:val="21"/>
        </w:rPr>
        <w:t>contract,</w:t>
      </w:r>
      <w:r>
        <w:rPr>
          <w:spacing w:val="40"/>
          <w:sz w:val="21"/>
        </w:rPr>
        <w:t> </w:t>
      </w:r>
      <w:r>
        <w:rPr>
          <w:sz w:val="21"/>
        </w:rPr>
        <w:t>as</w:t>
      </w:r>
      <w:r>
        <w:rPr>
          <w:spacing w:val="40"/>
          <w:sz w:val="21"/>
        </w:rPr>
        <w:t> </w:t>
      </w:r>
      <w:r>
        <w:rPr>
          <w:sz w:val="21"/>
        </w:rPr>
        <w:t>well</w:t>
      </w:r>
      <w:r>
        <w:rPr>
          <w:spacing w:val="40"/>
          <w:sz w:val="21"/>
        </w:rPr>
        <w:t> </w:t>
      </w:r>
      <w:r>
        <w:rPr>
          <w:sz w:val="21"/>
        </w:rPr>
        <w:t>as</w:t>
      </w:r>
      <w:r>
        <w:rPr>
          <w:spacing w:val="40"/>
          <w:sz w:val="21"/>
        </w:rPr>
        <w:t> </w:t>
      </w:r>
      <w:r>
        <w:rPr>
          <w:sz w:val="21"/>
        </w:rPr>
        <w:t>the investment projects included in the award proposal submitted by the Concessionaire as a bidder in the public tender for the award of concession for the operation of games of fortune or chance in casinos, under the terms stated in the aforementioned Plans and award </w:t>
      </w:r>
      <w:r>
        <w:rPr>
          <w:spacing w:val="-2"/>
          <w:sz w:val="21"/>
        </w:rPr>
        <w:t>proposal.</w:t>
      </w:r>
    </w:p>
    <w:p>
      <w:pPr>
        <w:pStyle w:val="BodyText"/>
        <w:spacing w:before="133"/>
        <w:rPr>
          <w:sz w:val="21"/>
        </w:rPr>
      </w:pPr>
    </w:p>
    <w:p>
      <w:pPr>
        <w:spacing w:before="0"/>
        <w:ind w:left="144" w:right="0" w:firstLine="0"/>
        <w:jc w:val="both"/>
        <w:rPr>
          <w:sz w:val="21"/>
        </w:rPr>
      </w:pPr>
      <w:r>
        <w:rPr>
          <w:i/>
          <w:sz w:val="21"/>
        </w:rPr>
        <w:t>Two</w:t>
      </w:r>
      <w:r>
        <w:rPr>
          <w:sz w:val="21"/>
        </w:rPr>
        <w:t>.</w:t>
      </w:r>
      <w:r>
        <w:rPr>
          <w:spacing w:val="6"/>
          <w:sz w:val="21"/>
        </w:rPr>
        <w:t> </w:t>
      </w:r>
      <w:r>
        <w:rPr>
          <w:sz w:val="21"/>
        </w:rPr>
        <w:t>The</w:t>
      </w:r>
      <w:r>
        <w:rPr>
          <w:spacing w:val="12"/>
          <w:sz w:val="21"/>
        </w:rPr>
        <w:t> </w:t>
      </w:r>
      <w:r>
        <w:rPr>
          <w:sz w:val="21"/>
        </w:rPr>
        <w:t>Concessionaire</w:t>
      </w:r>
      <w:r>
        <w:rPr>
          <w:spacing w:val="12"/>
          <w:sz w:val="21"/>
        </w:rPr>
        <w:t> </w:t>
      </w:r>
      <w:r>
        <w:rPr>
          <w:sz w:val="21"/>
        </w:rPr>
        <w:t>undertakes</w:t>
      </w:r>
      <w:r>
        <w:rPr>
          <w:spacing w:val="11"/>
          <w:sz w:val="21"/>
        </w:rPr>
        <w:t> </w:t>
      </w:r>
      <w:r>
        <w:rPr>
          <w:spacing w:val="-5"/>
          <w:sz w:val="21"/>
        </w:rPr>
        <w:t>to:</w:t>
      </w:r>
    </w:p>
    <w:p>
      <w:pPr>
        <w:pStyle w:val="BodyText"/>
        <w:spacing w:before="138"/>
        <w:rPr>
          <w:sz w:val="21"/>
        </w:rPr>
      </w:pPr>
    </w:p>
    <w:p>
      <w:pPr>
        <w:pStyle w:val="ListParagraph"/>
        <w:numPr>
          <w:ilvl w:val="0"/>
          <w:numId w:val="31"/>
        </w:numPr>
        <w:tabs>
          <w:tab w:pos="863" w:val="left" w:leader="none"/>
        </w:tabs>
        <w:spacing w:line="240" w:lineRule="auto" w:before="0" w:after="0"/>
        <w:ind w:left="863" w:right="0" w:hanging="233"/>
        <w:jc w:val="left"/>
        <w:rPr>
          <w:sz w:val="21"/>
        </w:rPr>
      </w:pPr>
      <w:r>
        <w:rPr>
          <w:sz w:val="21"/>
        </w:rPr>
        <w:t>Use</w:t>
      </w:r>
      <w:r>
        <w:rPr>
          <w:spacing w:val="8"/>
          <w:sz w:val="21"/>
        </w:rPr>
        <w:t> </w:t>
      </w:r>
      <w:r>
        <w:rPr>
          <w:sz w:val="21"/>
        </w:rPr>
        <w:t>qualified</w:t>
      </w:r>
      <w:r>
        <w:rPr>
          <w:spacing w:val="9"/>
          <w:sz w:val="21"/>
        </w:rPr>
        <w:t> </w:t>
      </w:r>
      <w:r>
        <w:rPr>
          <w:sz w:val="21"/>
        </w:rPr>
        <w:t>labor</w:t>
      </w:r>
      <w:r>
        <w:rPr>
          <w:spacing w:val="8"/>
          <w:sz w:val="21"/>
        </w:rPr>
        <w:t> </w:t>
      </w:r>
      <w:r>
        <w:rPr>
          <w:sz w:val="21"/>
        </w:rPr>
        <w:t>in</w:t>
      </w:r>
      <w:r>
        <w:rPr>
          <w:spacing w:val="9"/>
          <w:sz w:val="21"/>
        </w:rPr>
        <w:t> </w:t>
      </w:r>
      <w:r>
        <w:rPr>
          <w:sz w:val="21"/>
        </w:rPr>
        <w:t>all</w:t>
      </w:r>
      <w:r>
        <w:rPr>
          <w:spacing w:val="8"/>
          <w:sz w:val="21"/>
        </w:rPr>
        <w:t> </w:t>
      </w:r>
      <w:r>
        <w:rPr>
          <w:spacing w:val="-2"/>
          <w:sz w:val="21"/>
        </w:rPr>
        <w:t>projects;</w:t>
      </w:r>
    </w:p>
    <w:p>
      <w:pPr>
        <w:pStyle w:val="BodyText"/>
        <w:spacing w:before="146"/>
        <w:rPr>
          <w:sz w:val="21"/>
        </w:rPr>
      </w:pPr>
    </w:p>
    <w:p>
      <w:pPr>
        <w:pStyle w:val="ListParagraph"/>
        <w:numPr>
          <w:ilvl w:val="0"/>
          <w:numId w:val="31"/>
        </w:numPr>
        <w:tabs>
          <w:tab w:pos="873" w:val="left" w:leader="none"/>
          <w:tab w:pos="886" w:val="left" w:leader="none"/>
        </w:tabs>
        <w:spacing w:line="213" w:lineRule="auto" w:before="0" w:after="0"/>
        <w:ind w:left="873" w:right="119" w:hanging="243"/>
        <w:jc w:val="both"/>
        <w:rPr>
          <w:sz w:val="21"/>
        </w:rPr>
      </w:pPr>
      <w:r>
        <w:rPr>
          <w:sz w:val="21"/>
        </w:rPr>
        <w:tab/>
        <w:t>Give</w:t>
      </w:r>
      <w:r>
        <w:rPr>
          <w:spacing w:val="38"/>
          <w:sz w:val="21"/>
        </w:rPr>
        <w:t> </w:t>
      </w:r>
      <w:r>
        <w:rPr>
          <w:sz w:val="21"/>
        </w:rPr>
        <w:t>preference,</w:t>
      </w:r>
      <w:r>
        <w:rPr>
          <w:spacing w:val="38"/>
          <w:sz w:val="21"/>
        </w:rPr>
        <w:t> </w:t>
      </w:r>
      <w:r>
        <w:rPr>
          <w:sz w:val="21"/>
        </w:rPr>
        <w:t>when</w:t>
      </w:r>
      <w:r>
        <w:rPr>
          <w:spacing w:val="38"/>
          <w:sz w:val="21"/>
        </w:rPr>
        <w:t> </w:t>
      </w:r>
      <w:r>
        <w:rPr>
          <w:sz w:val="21"/>
        </w:rPr>
        <w:t>contracting</w:t>
      </w:r>
      <w:r>
        <w:rPr>
          <w:spacing w:val="38"/>
          <w:sz w:val="21"/>
        </w:rPr>
        <w:t> </w:t>
      </w:r>
      <w:r>
        <w:rPr>
          <w:sz w:val="21"/>
        </w:rPr>
        <w:t>companies</w:t>
      </w:r>
      <w:r>
        <w:rPr>
          <w:spacing w:val="38"/>
          <w:sz w:val="21"/>
        </w:rPr>
        <w:t> </w:t>
      </w:r>
      <w:r>
        <w:rPr>
          <w:sz w:val="21"/>
        </w:rPr>
        <w:t>and</w:t>
      </w:r>
      <w:r>
        <w:rPr>
          <w:spacing w:val="38"/>
          <w:sz w:val="21"/>
        </w:rPr>
        <w:t> </w:t>
      </w:r>
      <w:r>
        <w:rPr>
          <w:sz w:val="21"/>
        </w:rPr>
        <w:t>workers</w:t>
      </w:r>
      <w:r>
        <w:rPr>
          <w:spacing w:val="38"/>
          <w:sz w:val="21"/>
        </w:rPr>
        <w:t> </w:t>
      </w:r>
      <w:r>
        <w:rPr>
          <w:sz w:val="21"/>
        </w:rPr>
        <w:t>for</w:t>
      </w:r>
      <w:r>
        <w:rPr>
          <w:spacing w:val="38"/>
          <w:sz w:val="21"/>
        </w:rPr>
        <w:t> </w:t>
      </w:r>
      <w:r>
        <w:rPr>
          <w:sz w:val="21"/>
        </w:rPr>
        <w:t>the</w:t>
      </w:r>
      <w:r>
        <w:rPr>
          <w:spacing w:val="38"/>
          <w:sz w:val="21"/>
        </w:rPr>
        <w:t> </w:t>
      </w:r>
      <w:r>
        <w:rPr>
          <w:sz w:val="21"/>
        </w:rPr>
        <w:t>execution</w:t>
      </w:r>
      <w:r>
        <w:rPr>
          <w:spacing w:val="38"/>
          <w:sz w:val="21"/>
        </w:rPr>
        <w:t> </w:t>
      </w:r>
      <w:r>
        <w:rPr>
          <w:sz w:val="21"/>
        </w:rPr>
        <w:t>of</w:t>
      </w:r>
      <w:r>
        <w:rPr>
          <w:spacing w:val="38"/>
          <w:sz w:val="21"/>
        </w:rPr>
        <w:t> </w:t>
      </w:r>
      <w:r>
        <w:rPr>
          <w:sz w:val="21"/>
        </w:rPr>
        <w:t>the</w:t>
      </w:r>
      <w:r>
        <w:rPr>
          <w:spacing w:val="38"/>
          <w:sz w:val="21"/>
        </w:rPr>
        <w:t> </w:t>
      </w:r>
      <w:r>
        <w:rPr>
          <w:sz w:val="21"/>
        </w:rPr>
        <w:t>projects</w:t>
      </w:r>
      <w:r>
        <w:rPr>
          <w:spacing w:val="38"/>
          <w:sz w:val="21"/>
        </w:rPr>
        <w:t> </w:t>
      </w:r>
      <w:r>
        <w:rPr>
          <w:sz w:val="21"/>
        </w:rPr>
        <w:t>mentioned</w:t>
      </w:r>
      <w:r>
        <w:rPr>
          <w:spacing w:val="38"/>
          <w:sz w:val="21"/>
        </w:rPr>
        <w:t> </w:t>
      </w:r>
      <w:r>
        <w:rPr>
          <w:sz w:val="21"/>
        </w:rPr>
        <w:t>in</w:t>
      </w:r>
      <w:r>
        <w:rPr>
          <w:spacing w:val="38"/>
          <w:sz w:val="21"/>
        </w:rPr>
        <w:t> </w:t>
      </w:r>
      <w:r>
        <w:rPr>
          <w:sz w:val="21"/>
        </w:rPr>
        <w:t>the</w:t>
      </w:r>
      <w:r>
        <w:rPr>
          <w:spacing w:val="38"/>
          <w:sz w:val="21"/>
        </w:rPr>
        <w:t> </w:t>
      </w:r>
      <w:r>
        <w:rPr>
          <w:sz w:val="21"/>
        </w:rPr>
        <w:t>Investment Plans</w:t>
      </w:r>
      <w:r>
        <w:rPr>
          <w:spacing w:val="15"/>
          <w:sz w:val="21"/>
        </w:rPr>
        <w:t> </w:t>
      </w:r>
      <w:r>
        <w:rPr>
          <w:sz w:val="21"/>
        </w:rPr>
        <w:t>annexed</w:t>
      </w:r>
      <w:r>
        <w:rPr>
          <w:spacing w:val="15"/>
          <w:sz w:val="21"/>
        </w:rPr>
        <w:t> </w:t>
      </w:r>
      <w:r>
        <w:rPr>
          <w:sz w:val="21"/>
        </w:rPr>
        <w:t>to</w:t>
      </w:r>
      <w:r>
        <w:rPr>
          <w:spacing w:val="15"/>
          <w:sz w:val="21"/>
        </w:rPr>
        <w:t> </w:t>
      </w:r>
      <w:r>
        <w:rPr>
          <w:sz w:val="21"/>
        </w:rPr>
        <w:t>this</w:t>
      </w:r>
      <w:r>
        <w:rPr>
          <w:spacing w:val="15"/>
          <w:sz w:val="21"/>
        </w:rPr>
        <w:t> </w:t>
      </w:r>
      <w:r>
        <w:rPr>
          <w:sz w:val="21"/>
        </w:rPr>
        <w:t>concession</w:t>
      </w:r>
      <w:r>
        <w:rPr>
          <w:spacing w:val="15"/>
          <w:sz w:val="21"/>
        </w:rPr>
        <w:t> </w:t>
      </w:r>
      <w:r>
        <w:rPr>
          <w:sz w:val="21"/>
        </w:rPr>
        <w:t>contract,</w:t>
      </w:r>
      <w:r>
        <w:rPr>
          <w:spacing w:val="15"/>
          <w:sz w:val="21"/>
        </w:rPr>
        <w:t> </w:t>
      </w:r>
      <w:r>
        <w:rPr>
          <w:sz w:val="21"/>
        </w:rPr>
        <w:t>to</w:t>
      </w:r>
      <w:r>
        <w:rPr>
          <w:spacing w:val="15"/>
          <w:sz w:val="21"/>
        </w:rPr>
        <w:t> </w:t>
      </w:r>
      <w:r>
        <w:rPr>
          <w:sz w:val="21"/>
        </w:rPr>
        <w:t>those</w:t>
      </w:r>
      <w:r>
        <w:rPr>
          <w:spacing w:val="15"/>
          <w:sz w:val="21"/>
        </w:rPr>
        <w:t> </w:t>
      </w:r>
      <w:r>
        <w:rPr>
          <w:sz w:val="21"/>
        </w:rPr>
        <w:t>who</w:t>
      </w:r>
      <w:r>
        <w:rPr>
          <w:spacing w:val="15"/>
          <w:sz w:val="21"/>
        </w:rPr>
        <w:t> </w:t>
      </w:r>
      <w:r>
        <w:rPr>
          <w:sz w:val="21"/>
        </w:rPr>
        <w:t>carry</w:t>
      </w:r>
      <w:r>
        <w:rPr>
          <w:spacing w:val="15"/>
          <w:sz w:val="21"/>
        </w:rPr>
        <w:t> </w:t>
      </w:r>
      <w:r>
        <w:rPr>
          <w:sz w:val="21"/>
        </w:rPr>
        <w:t>out</w:t>
      </w:r>
      <w:r>
        <w:rPr>
          <w:spacing w:val="15"/>
          <w:sz w:val="21"/>
        </w:rPr>
        <w:t> </w:t>
      </w:r>
      <w:r>
        <w:rPr>
          <w:sz w:val="21"/>
        </w:rPr>
        <w:t>permanent</w:t>
      </w:r>
      <w:r>
        <w:rPr>
          <w:spacing w:val="15"/>
          <w:sz w:val="21"/>
        </w:rPr>
        <w:t> </w:t>
      </w:r>
      <w:r>
        <w:rPr>
          <w:sz w:val="21"/>
        </w:rPr>
        <w:t>activities</w:t>
      </w:r>
      <w:r>
        <w:rPr>
          <w:spacing w:val="15"/>
          <w:sz w:val="21"/>
        </w:rPr>
        <w:t> </w:t>
      </w:r>
      <w:r>
        <w:rPr>
          <w:sz w:val="21"/>
        </w:rPr>
        <w:t>in</w:t>
      </w:r>
      <w:r>
        <w:rPr>
          <w:spacing w:val="15"/>
          <w:sz w:val="21"/>
        </w:rPr>
        <w:t> </w:t>
      </w:r>
      <w:r>
        <w:rPr>
          <w:sz w:val="21"/>
        </w:rPr>
        <w:t>or</w:t>
      </w:r>
      <w:r>
        <w:rPr>
          <w:spacing w:val="15"/>
          <w:sz w:val="21"/>
        </w:rPr>
        <w:t> </w:t>
      </w:r>
      <w:r>
        <w:rPr>
          <w:sz w:val="21"/>
        </w:rPr>
        <w:t>are</w:t>
      </w:r>
      <w:r>
        <w:rPr>
          <w:spacing w:val="15"/>
          <w:sz w:val="21"/>
        </w:rPr>
        <w:t> </w:t>
      </w:r>
      <w:r>
        <w:rPr>
          <w:sz w:val="21"/>
        </w:rPr>
        <w:t>residents</w:t>
      </w:r>
      <w:r>
        <w:rPr>
          <w:spacing w:val="15"/>
          <w:sz w:val="21"/>
        </w:rPr>
        <w:t> </w:t>
      </w:r>
      <w:r>
        <w:rPr>
          <w:sz w:val="21"/>
        </w:rPr>
        <w:t>of</w:t>
      </w:r>
      <w:r>
        <w:rPr>
          <w:spacing w:val="15"/>
          <w:sz w:val="21"/>
        </w:rPr>
        <w:t> </w:t>
      </w:r>
      <w:r>
        <w:rPr>
          <w:sz w:val="21"/>
        </w:rPr>
        <w:t>the</w:t>
      </w:r>
      <w:r>
        <w:rPr>
          <w:spacing w:val="15"/>
          <w:sz w:val="21"/>
        </w:rPr>
        <w:t> </w:t>
      </w:r>
      <w:r>
        <w:rPr>
          <w:sz w:val="21"/>
        </w:rPr>
        <w:t>Macau</w:t>
      </w:r>
      <w:r>
        <w:rPr>
          <w:spacing w:val="15"/>
          <w:sz w:val="21"/>
        </w:rPr>
        <w:t> </w:t>
      </w:r>
      <w:r>
        <w:rPr>
          <w:sz w:val="21"/>
        </w:rPr>
        <w:t>SAR;</w:t>
      </w:r>
    </w:p>
    <w:p>
      <w:pPr>
        <w:pStyle w:val="BodyText"/>
        <w:spacing w:before="152"/>
        <w:rPr>
          <w:sz w:val="21"/>
        </w:rPr>
      </w:pPr>
    </w:p>
    <w:p>
      <w:pPr>
        <w:pStyle w:val="ListParagraph"/>
        <w:numPr>
          <w:ilvl w:val="0"/>
          <w:numId w:val="31"/>
        </w:numPr>
        <w:tabs>
          <w:tab w:pos="873" w:val="left" w:leader="none"/>
          <w:tab w:pos="878" w:val="left" w:leader="none"/>
        </w:tabs>
        <w:spacing w:line="213" w:lineRule="auto" w:before="0" w:after="0"/>
        <w:ind w:left="873" w:right="118" w:hanging="243"/>
        <w:jc w:val="both"/>
        <w:rPr>
          <w:sz w:val="21"/>
        </w:rPr>
      </w:pPr>
      <w:r>
        <w:rPr>
          <w:sz w:val="21"/>
        </w:rPr>
        <w:tab/>
        <w:t>Comply, when drawing up the plans for the works related to the projects included in the Investment Plans attached to this concession contract, with the technical norms and regulations in force in the Macau SAR, as well as the specifications </w:t>
      </w:r>
      <w:r>
        <w:rPr>
          <w:sz w:val="21"/>
        </w:rPr>
        <w:t>and homologation</w:t>
      </w:r>
      <w:r>
        <w:rPr>
          <w:spacing w:val="33"/>
          <w:sz w:val="21"/>
        </w:rPr>
        <w:t> </w:t>
      </w:r>
      <w:r>
        <w:rPr>
          <w:sz w:val="21"/>
        </w:rPr>
        <w:t>documents</w:t>
      </w:r>
      <w:r>
        <w:rPr>
          <w:spacing w:val="33"/>
          <w:sz w:val="21"/>
        </w:rPr>
        <w:t> </w:t>
      </w:r>
      <w:r>
        <w:rPr>
          <w:sz w:val="21"/>
        </w:rPr>
        <w:t>from</w:t>
      </w:r>
      <w:r>
        <w:rPr>
          <w:spacing w:val="33"/>
          <w:sz w:val="21"/>
        </w:rPr>
        <w:t> </w:t>
      </w:r>
      <w:r>
        <w:rPr>
          <w:sz w:val="21"/>
        </w:rPr>
        <w:t>official</w:t>
      </w:r>
      <w:r>
        <w:rPr>
          <w:spacing w:val="33"/>
          <w:sz w:val="21"/>
        </w:rPr>
        <w:t> </w:t>
      </w:r>
      <w:r>
        <w:rPr>
          <w:sz w:val="21"/>
        </w:rPr>
        <w:t>bodies</w:t>
      </w:r>
      <w:r>
        <w:rPr>
          <w:spacing w:val="33"/>
          <w:sz w:val="21"/>
        </w:rPr>
        <w:t> </w:t>
      </w:r>
      <w:r>
        <w:rPr>
          <w:sz w:val="21"/>
        </w:rPr>
        <w:t>and</w:t>
      </w:r>
      <w:r>
        <w:rPr>
          <w:spacing w:val="33"/>
          <w:sz w:val="21"/>
        </w:rPr>
        <w:t> </w:t>
      </w:r>
      <w:r>
        <w:rPr>
          <w:sz w:val="21"/>
        </w:rPr>
        <w:t>the</w:t>
      </w:r>
      <w:r>
        <w:rPr>
          <w:spacing w:val="33"/>
          <w:sz w:val="21"/>
        </w:rPr>
        <w:t> </w:t>
      </w:r>
      <w:r>
        <w:rPr>
          <w:sz w:val="21"/>
        </w:rPr>
        <w:t>instructions</w:t>
      </w:r>
      <w:r>
        <w:rPr>
          <w:spacing w:val="33"/>
          <w:sz w:val="21"/>
        </w:rPr>
        <w:t> </w:t>
      </w:r>
      <w:r>
        <w:rPr>
          <w:sz w:val="21"/>
        </w:rPr>
        <w:t>from</w:t>
      </w:r>
      <w:r>
        <w:rPr>
          <w:spacing w:val="33"/>
          <w:sz w:val="21"/>
        </w:rPr>
        <w:t> </w:t>
      </w:r>
      <w:r>
        <w:rPr>
          <w:sz w:val="21"/>
        </w:rPr>
        <w:t>manufacturers</w:t>
      </w:r>
      <w:r>
        <w:rPr>
          <w:spacing w:val="33"/>
          <w:sz w:val="21"/>
        </w:rPr>
        <w:t> </w:t>
      </w:r>
      <w:r>
        <w:rPr>
          <w:sz w:val="21"/>
        </w:rPr>
        <w:t>or</w:t>
      </w:r>
      <w:r>
        <w:rPr>
          <w:spacing w:val="33"/>
          <w:sz w:val="21"/>
        </w:rPr>
        <w:t> </w:t>
      </w:r>
      <w:r>
        <w:rPr>
          <w:sz w:val="21"/>
        </w:rPr>
        <w:t>patent</w:t>
      </w:r>
      <w:r>
        <w:rPr>
          <w:spacing w:val="33"/>
          <w:sz w:val="21"/>
        </w:rPr>
        <w:t> </w:t>
      </w:r>
      <w:r>
        <w:rPr>
          <w:sz w:val="21"/>
        </w:rPr>
        <w:t>holders;</w:t>
      </w:r>
    </w:p>
    <w:p>
      <w:pPr>
        <w:pStyle w:val="BodyText"/>
        <w:spacing w:before="167"/>
        <w:rPr>
          <w:sz w:val="21"/>
        </w:rPr>
      </w:pPr>
    </w:p>
    <w:p>
      <w:pPr>
        <w:pStyle w:val="ListParagraph"/>
        <w:numPr>
          <w:ilvl w:val="0"/>
          <w:numId w:val="31"/>
        </w:numPr>
        <w:tabs>
          <w:tab w:pos="864" w:val="left" w:leader="none"/>
          <w:tab w:pos="873" w:val="left" w:leader="none"/>
        </w:tabs>
        <w:spacing w:line="213" w:lineRule="auto" w:before="0" w:after="0"/>
        <w:ind w:left="873" w:right="119" w:hanging="243"/>
        <w:jc w:val="both"/>
        <w:rPr>
          <w:sz w:val="21"/>
        </w:rPr>
      </w:pPr>
      <w:r>
        <w:rPr>
          <w:sz w:val="21"/>
        </w:rPr>
        <w:t>Attach</w:t>
      </w:r>
      <w:r>
        <w:rPr>
          <w:spacing w:val="26"/>
          <w:sz w:val="21"/>
        </w:rPr>
        <w:t> </w:t>
      </w:r>
      <w:r>
        <w:rPr>
          <w:sz w:val="21"/>
        </w:rPr>
        <w:t>the</w:t>
      </w:r>
      <w:r>
        <w:rPr>
          <w:spacing w:val="26"/>
          <w:sz w:val="21"/>
        </w:rPr>
        <w:t> </w:t>
      </w:r>
      <w:r>
        <w:rPr>
          <w:sz w:val="21"/>
        </w:rPr>
        <w:t>construction</w:t>
      </w:r>
      <w:r>
        <w:rPr>
          <w:spacing w:val="26"/>
          <w:sz w:val="21"/>
        </w:rPr>
        <w:t> </w:t>
      </w:r>
      <w:r>
        <w:rPr>
          <w:sz w:val="21"/>
        </w:rPr>
        <w:t>projects</w:t>
      </w:r>
      <w:r>
        <w:rPr>
          <w:spacing w:val="26"/>
          <w:sz w:val="21"/>
        </w:rPr>
        <w:t> </w:t>
      </w:r>
      <w:r>
        <w:rPr>
          <w:sz w:val="21"/>
        </w:rPr>
        <w:t>referred</w:t>
      </w:r>
      <w:r>
        <w:rPr>
          <w:spacing w:val="26"/>
          <w:sz w:val="21"/>
        </w:rPr>
        <w:t> </w:t>
      </w:r>
      <w:r>
        <w:rPr>
          <w:sz w:val="21"/>
        </w:rPr>
        <w:t>to</w:t>
      </w:r>
      <w:r>
        <w:rPr>
          <w:spacing w:val="26"/>
          <w:sz w:val="21"/>
        </w:rPr>
        <w:t> </w:t>
      </w:r>
      <w:r>
        <w:rPr>
          <w:sz w:val="21"/>
        </w:rPr>
        <w:t>in</w:t>
      </w:r>
      <w:r>
        <w:rPr>
          <w:spacing w:val="26"/>
          <w:sz w:val="21"/>
        </w:rPr>
        <w:t> </w:t>
      </w:r>
      <w:r>
        <w:rPr>
          <w:sz w:val="21"/>
        </w:rPr>
        <w:t>the</w:t>
      </w:r>
      <w:r>
        <w:rPr>
          <w:spacing w:val="26"/>
          <w:sz w:val="21"/>
        </w:rPr>
        <w:t> </w:t>
      </w:r>
      <w:r>
        <w:rPr>
          <w:sz w:val="21"/>
        </w:rPr>
        <w:t>Investment</w:t>
      </w:r>
      <w:r>
        <w:rPr>
          <w:spacing w:val="26"/>
          <w:sz w:val="21"/>
        </w:rPr>
        <w:t> </w:t>
      </w:r>
      <w:r>
        <w:rPr>
          <w:sz w:val="21"/>
        </w:rPr>
        <w:t>Plans</w:t>
      </w:r>
      <w:r>
        <w:rPr>
          <w:spacing w:val="26"/>
          <w:sz w:val="21"/>
        </w:rPr>
        <w:t> </w:t>
      </w:r>
      <w:r>
        <w:rPr>
          <w:sz w:val="21"/>
        </w:rPr>
        <w:t>attached</w:t>
      </w:r>
      <w:r>
        <w:rPr>
          <w:spacing w:val="26"/>
          <w:sz w:val="21"/>
        </w:rPr>
        <w:t> </w:t>
      </w:r>
      <w:r>
        <w:rPr>
          <w:sz w:val="21"/>
        </w:rPr>
        <w:t>to</w:t>
      </w:r>
      <w:r>
        <w:rPr>
          <w:spacing w:val="26"/>
          <w:sz w:val="21"/>
        </w:rPr>
        <w:t> </w:t>
      </w:r>
      <w:r>
        <w:rPr>
          <w:sz w:val="21"/>
        </w:rPr>
        <w:t>this</w:t>
      </w:r>
      <w:r>
        <w:rPr>
          <w:spacing w:val="26"/>
          <w:sz w:val="21"/>
        </w:rPr>
        <w:t> </w:t>
      </w:r>
      <w:r>
        <w:rPr>
          <w:sz w:val="21"/>
        </w:rPr>
        <w:t>concession</w:t>
      </w:r>
      <w:r>
        <w:rPr>
          <w:spacing w:val="26"/>
          <w:sz w:val="21"/>
        </w:rPr>
        <w:t> </w:t>
      </w:r>
      <w:r>
        <w:rPr>
          <w:sz w:val="21"/>
        </w:rPr>
        <w:t>contract</w:t>
      </w:r>
      <w:r>
        <w:rPr>
          <w:spacing w:val="26"/>
          <w:sz w:val="21"/>
        </w:rPr>
        <w:t> </w:t>
      </w:r>
      <w:r>
        <w:rPr>
          <w:sz w:val="21"/>
        </w:rPr>
        <w:t>for</w:t>
      </w:r>
      <w:r>
        <w:rPr>
          <w:spacing w:val="26"/>
          <w:sz w:val="21"/>
        </w:rPr>
        <w:t> </w:t>
      </w:r>
      <w:r>
        <w:rPr>
          <w:sz w:val="21"/>
        </w:rPr>
        <w:t>the</w:t>
      </w:r>
      <w:r>
        <w:rPr>
          <w:spacing w:val="26"/>
          <w:sz w:val="21"/>
        </w:rPr>
        <w:t> </w:t>
      </w:r>
      <w:r>
        <w:rPr>
          <w:sz w:val="21"/>
        </w:rPr>
        <w:t>approval</w:t>
      </w:r>
      <w:r>
        <w:rPr>
          <w:spacing w:val="26"/>
          <w:sz w:val="21"/>
        </w:rPr>
        <w:t> </w:t>
      </w:r>
      <w:r>
        <w:rPr>
          <w:sz w:val="21"/>
        </w:rPr>
        <w:t>of the</w:t>
      </w:r>
      <w:r>
        <w:rPr>
          <w:spacing w:val="24"/>
          <w:sz w:val="21"/>
        </w:rPr>
        <w:t> </w:t>
      </w:r>
      <w:r>
        <w:rPr>
          <w:sz w:val="21"/>
        </w:rPr>
        <w:t>Land</w:t>
      </w:r>
      <w:r>
        <w:rPr>
          <w:spacing w:val="24"/>
          <w:sz w:val="21"/>
        </w:rPr>
        <w:t> </w:t>
      </w:r>
      <w:r>
        <w:rPr>
          <w:sz w:val="21"/>
        </w:rPr>
        <w:t>and</w:t>
      </w:r>
      <w:r>
        <w:rPr>
          <w:spacing w:val="24"/>
          <w:sz w:val="21"/>
        </w:rPr>
        <w:t> </w:t>
      </w:r>
      <w:r>
        <w:rPr>
          <w:sz w:val="21"/>
        </w:rPr>
        <w:t>Urban</w:t>
      </w:r>
      <w:r>
        <w:rPr>
          <w:spacing w:val="24"/>
          <w:sz w:val="21"/>
        </w:rPr>
        <w:t> </w:t>
      </w:r>
      <w:r>
        <w:rPr>
          <w:sz w:val="21"/>
        </w:rPr>
        <w:t>Construction</w:t>
      </w:r>
      <w:r>
        <w:rPr>
          <w:spacing w:val="24"/>
          <w:sz w:val="21"/>
        </w:rPr>
        <w:t> </w:t>
      </w:r>
      <w:r>
        <w:rPr>
          <w:sz w:val="21"/>
        </w:rPr>
        <w:t>Bureau</w:t>
      </w:r>
      <w:r>
        <w:rPr>
          <w:spacing w:val="24"/>
          <w:sz w:val="21"/>
        </w:rPr>
        <w:t> </w:t>
      </w:r>
      <w:r>
        <w:rPr>
          <w:sz w:val="21"/>
        </w:rPr>
        <w:t>(hereinafter</w:t>
      </w:r>
      <w:r>
        <w:rPr>
          <w:spacing w:val="24"/>
          <w:sz w:val="21"/>
        </w:rPr>
        <w:t> </w:t>
      </w:r>
      <w:r>
        <w:rPr>
          <w:sz w:val="21"/>
        </w:rPr>
        <w:t>referred</w:t>
      </w:r>
      <w:r>
        <w:rPr>
          <w:spacing w:val="24"/>
          <w:sz w:val="21"/>
        </w:rPr>
        <w:t> </w:t>
      </w:r>
      <w:r>
        <w:rPr>
          <w:sz w:val="21"/>
        </w:rPr>
        <w:t>to</w:t>
      </w:r>
      <w:r>
        <w:rPr>
          <w:spacing w:val="24"/>
          <w:sz w:val="21"/>
        </w:rPr>
        <w:t> </w:t>
      </w:r>
      <w:r>
        <w:rPr>
          <w:sz w:val="21"/>
        </w:rPr>
        <w:t>by</w:t>
      </w:r>
      <w:r>
        <w:rPr>
          <w:spacing w:val="24"/>
          <w:sz w:val="21"/>
        </w:rPr>
        <w:t> </w:t>
      </w:r>
      <w:r>
        <w:rPr>
          <w:sz w:val="21"/>
        </w:rPr>
        <w:t>its</w:t>
      </w:r>
      <w:r>
        <w:rPr>
          <w:spacing w:val="24"/>
          <w:sz w:val="21"/>
        </w:rPr>
        <w:t> </w:t>
      </w:r>
      <w:r>
        <w:rPr>
          <w:sz w:val="21"/>
        </w:rPr>
        <w:t>Portuguese</w:t>
      </w:r>
      <w:r>
        <w:rPr>
          <w:spacing w:val="24"/>
          <w:sz w:val="21"/>
        </w:rPr>
        <w:t> </w:t>
      </w:r>
      <w:r>
        <w:rPr>
          <w:sz w:val="21"/>
        </w:rPr>
        <w:t>acronym</w:t>
      </w:r>
      <w:r>
        <w:rPr>
          <w:spacing w:val="24"/>
          <w:sz w:val="21"/>
        </w:rPr>
        <w:t> </w:t>
      </w:r>
      <w:r>
        <w:rPr>
          <w:sz w:val="21"/>
        </w:rPr>
        <w:t>DSSCU)</w:t>
      </w:r>
      <w:r>
        <w:rPr>
          <w:spacing w:val="24"/>
          <w:sz w:val="21"/>
        </w:rPr>
        <w:t> </w:t>
      </w:r>
      <w:r>
        <w:rPr>
          <w:sz w:val="21"/>
        </w:rPr>
        <w:t>with</w:t>
      </w:r>
      <w:r>
        <w:rPr>
          <w:spacing w:val="24"/>
          <w:sz w:val="21"/>
        </w:rPr>
        <w:t> </w:t>
      </w:r>
      <w:r>
        <w:rPr>
          <w:sz w:val="21"/>
        </w:rPr>
        <w:t>a</w:t>
      </w:r>
      <w:r>
        <w:rPr>
          <w:spacing w:val="24"/>
          <w:sz w:val="21"/>
        </w:rPr>
        <w:t> </w:t>
      </w:r>
      <w:r>
        <w:rPr>
          <w:sz w:val="21"/>
        </w:rPr>
        <w:t>plan</w:t>
      </w:r>
      <w:r>
        <w:rPr>
          <w:spacing w:val="24"/>
          <w:sz w:val="21"/>
        </w:rPr>
        <w:t> </w:t>
      </w:r>
      <w:r>
        <w:rPr>
          <w:sz w:val="21"/>
        </w:rPr>
        <w:t>of</w:t>
      </w:r>
      <w:r>
        <w:rPr>
          <w:spacing w:val="24"/>
          <w:sz w:val="21"/>
        </w:rPr>
        <w:t> </w:t>
      </w:r>
      <w:r>
        <w:rPr>
          <w:sz w:val="21"/>
        </w:rPr>
        <w:t>works in addition to the other documents required by the applicable legislation;</w:t>
      </w:r>
    </w:p>
    <w:p>
      <w:pPr>
        <w:pStyle w:val="BodyText"/>
        <w:spacing w:before="153"/>
        <w:rPr>
          <w:sz w:val="21"/>
        </w:rPr>
      </w:pPr>
    </w:p>
    <w:p>
      <w:pPr>
        <w:pStyle w:val="ListParagraph"/>
        <w:numPr>
          <w:ilvl w:val="0"/>
          <w:numId w:val="31"/>
        </w:numPr>
        <w:tabs>
          <w:tab w:pos="870" w:val="left" w:leader="none"/>
          <w:tab w:pos="873" w:val="left" w:leader="none"/>
        </w:tabs>
        <w:spacing w:line="213" w:lineRule="auto" w:before="0" w:after="0"/>
        <w:ind w:left="873" w:right="118" w:hanging="243"/>
        <w:jc w:val="both"/>
        <w:rPr>
          <w:sz w:val="21"/>
        </w:rPr>
      </w:pPr>
      <w:r>
        <w:rPr>
          <w:sz w:val="21"/>
        </w:rPr>
        <w:t>Execute the works in strict compliance with the approved projects in accordance with the legal and regulatory provisions in force</w:t>
      </w:r>
      <w:r>
        <w:rPr>
          <w:spacing w:val="35"/>
          <w:sz w:val="21"/>
        </w:rPr>
        <w:t> </w:t>
      </w:r>
      <w:r>
        <w:rPr>
          <w:sz w:val="21"/>
        </w:rPr>
        <w:t>and</w:t>
      </w:r>
      <w:r>
        <w:rPr>
          <w:spacing w:val="35"/>
          <w:sz w:val="21"/>
        </w:rPr>
        <w:t> </w:t>
      </w:r>
      <w:r>
        <w:rPr>
          <w:sz w:val="21"/>
        </w:rPr>
        <w:t>in</w:t>
      </w:r>
      <w:r>
        <w:rPr>
          <w:spacing w:val="35"/>
          <w:sz w:val="21"/>
        </w:rPr>
        <w:t> </w:t>
      </w:r>
      <w:r>
        <w:rPr>
          <w:sz w:val="21"/>
        </w:rPr>
        <w:t>compliance</w:t>
      </w:r>
      <w:r>
        <w:rPr>
          <w:spacing w:val="35"/>
          <w:sz w:val="21"/>
        </w:rPr>
        <w:t> </w:t>
      </w:r>
      <w:r>
        <w:rPr>
          <w:sz w:val="21"/>
        </w:rPr>
        <w:t>with</w:t>
      </w:r>
      <w:r>
        <w:rPr>
          <w:spacing w:val="35"/>
          <w:sz w:val="21"/>
        </w:rPr>
        <w:t> </w:t>
      </w:r>
      <w:r>
        <w:rPr>
          <w:sz w:val="21"/>
        </w:rPr>
        <w:t>internationally</w:t>
      </w:r>
      <w:r>
        <w:rPr>
          <w:spacing w:val="35"/>
          <w:sz w:val="21"/>
        </w:rPr>
        <w:t> </w:t>
      </w:r>
      <w:r>
        <w:rPr>
          <w:sz w:val="21"/>
        </w:rPr>
        <w:t>recognized</w:t>
      </w:r>
      <w:r>
        <w:rPr>
          <w:spacing w:val="35"/>
          <w:sz w:val="21"/>
        </w:rPr>
        <w:t> </w:t>
      </w:r>
      <w:r>
        <w:rPr>
          <w:sz w:val="21"/>
        </w:rPr>
        <w:t>standards</w:t>
      </w:r>
      <w:r>
        <w:rPr>
          <w:spacing w:val="35"/>
          <w:sz w:val="21"/>
        </w:rPr>
        <w:t> </w:t>
      </w:r>
      <w:r>
        <w:rPr>
          <w:sz w:val="21"/>
        </w:rPr>
        <w:t>in</w:t>
      </w:r>
      <w:r>
        <w:rPr>
          <w:spacing w:val="35"/>
          <w:sz w:val="21"/>
        </w:rPr>
        <w:t> </w:t>
      </w:r>
      <w:r>
        <w:rPr>
          <w:sz w:val="21"/>
        </w:rPr>
        <w:t>construction</w:t>
      </w:r>
      <w:r>
        <w:rPr>
          <w:spacing w:val="35"/>
          <w:sz w:val="21"/>
        </w:rPr>
        <w:t> </w:t>
      </w:r>
      <w:r>
        <w:rPr>
          <w:sz w:val="21"/>
        </w:rPr>
        <w:t>work</w:t>
      </w:r>
      <w:r>
        <w:rPr>
          <w:spacing w:val="35"/>
          <w:sz w:val="21"/>
        </w:rPr>
        <w:t> </w:t>
      </w:r>
      <w:r>
        <w:rPr>
          <w:sz w:val="21"/>
        </w:rPr>
        <w:t>and</w:t>
      </w:r>
      <w:r>
        <w:rPr>
          <w:spacing w:val="35"/>
          <w:sz w:val="21"/>
        </w:rPr>
        <w:t> </w:t>
      </w:r>
      <w:r>
        <w:rPr>
          <w:sz w:val="21"/>
        </w:rPr>
        <w:t>supplies</w:t>
      </w:r>
      <w:r>
        <w:rPr>
          <w:spacing w:val="35"/>
          <w:sz w:val="21"/>
        </w:rPr>
        <w:t> </w:t>
      </w:r>
      <w:r>
        <w:rPr>
          <w:sz w:val="21"/>
        </w:rPr>
        <w:t>of</w:t>
      </w:r>
      <w:r>
        <w:rPr>
          <w:spacing w:val="35"/>
          <w:sz w:val="21"/>
        </w:rPr>
        <w:t> </w:t>
      </w:r>
      <w:r>
        <w:rPr>
          <w:sz w:val="21"/>
        </w:rPr>
        <w:t>the</w:t>
      </w:r>
      <w:r>
        <w:rPr>
          <w:spacing w:val="35"/>
          <w:sz w:val="21"/>
        </w:rPr>
        <w:t> </w:t>
      </w:r>
      <w:r>
        <w:rPr>
          <w:sz w:val="21"/>
        </w:rPr>
        <w:t>same</w:t>
      </w:r>
      <w:r>
        <w:rPr>
          <w:spacing w:val="35"/>
          <w:sz w:val="21"/>
        </w:rPr>
        <w:t> </w:t>
      </w:r>
      <w:r>
        <w:rPr>
          <w:sz w:val="21"/>
        </w:rPr>
        <w:t>type,</w:t>
      </w:r>
      <w:r>
        <w:rPr>
          <w:spacing w:val="35"/>
          <w:sz w:val="21"/>
        </w:rPr>
        <w:t> </w:t>
      </w:r>
      <w:r>
        <w:rPr>
          <w:sz w:val="21"/>
        </w:rPr>
        <w:t>as well as according to best trade practices;</w:t>
      </w:r>
    </w:p>
    <w:p>
      <w:pPr>
        <w:pStyle w:val="BodyText"/>
        <w:spacing w:before="154"/>
        <w:rPr>
          <w:sz w:val="21"/>
        </w:rPr>
      </w:pPr>
    </w:p>
    <w:p>
      <w:pPr>
        <w:pStyle w:val="ListParagraph"/>
        <w:numPr>
          <w:ilvl w:val="0"/>
          <w:numId w:val="31"/>
        </w:numPr>
        <w:tabs>
          <w:tab w:pos="873" w:val="left" w:leader="none"/>
          <w:tab w:pos="893" w:val="left" w:leader="none"/>
        </w:tabs>
        <w:spacing w:line="213" w:lineRule="auto" w:before="0" w:after="0"/>
        <w:ind w:left="873" w:right="119" w:hanging="243"/>
        <w:jc w:val="both"/>
        <w:rPr>
          <w:sz w:val="21"/>
        </w:rPr>
      </w:pPr>
      <w:r>
        <w:rPr>
          <w:sz w:val="21"/>
        </w:rPr>
        <w:tab/>
        <w:t>Use,</w:t>
      </w:r>
      <w:r>
        <w:rPr>
          <w:spacing w:val="40"/>
          <w:sz w:val="21"/>
        </w:rPr>
        <w:t> </w:t>
      </w:r>
      <w:r>
        <w:rPr>
          <w:sz w:val="21"/>
        </w:rPr>
        <w:t>in</w:t>
      </w:r>
      <w:r>
        <w:rPr>
          <w:spacing w:val="40"/>
          <w:sz w:val="21"/>
        </w:rPr>
        <w:t> </w:t>
      </w:r>
      <w:r>
        <w:rPr>
          <w:sz w:val="21"/>
        </w:rPr>
        <w:t>the</w:t>
      </w:r>
      <w:r>
        <w:rPr>
          <w:spacing w:val="40"/>
          <w:sz w:val="21"/>
        </w:rPr>
        <w:t> </w:t>
      </w:r>
      <w:r>
        <w:rPr>
          <w:sz w:val="21"/>
        </w:rPr>
        <w:t>execution</w:t>
      </w:r>
      <w:r>
        <w:rPr>
          <w:spacing w:val="40"/>
          <w:sz w:val="21"/>
        </w:rPr>
        <w:t> </w:t>
      </w:r>
      <w:r>
        <w:rPr>
          <w:sz w:val="21"/>
        </w:rPr>
        <w:t>of</w:t>
      </w:r>
      <w:r>
        <w:rPr>
          <w:spacing w:val="40"/>
          <w:sz w:val="21"/>
        </w:rPr>
        <w:t> </w:t>
      </w:r>
      <w:r>
        <w:rPr>
          <w:sz w:val="21"/>
        </w:rPr>
        <w:t>the</w:t>
      </w:r>
      <w:r>
        <w:rPr>
          <w:spacing w:val="40"/>
          <w:sz w:val="21"/>
        </w:rPr>
        <w:t> </w:t>
      </w:r>
      <w:r>
        <w:rPr>
          <w:sz w:val="21"/>
        </w:rPr>
        <w:t>projects</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the</w:t>
      </w:r>
      <w:r>
        <w:rPr>
          <w:spacing w:val="40"/>
          <w:sz w:val="21"/>
        </w:rPr>
        <w:t> </w:t>
      </w:r>
      <w:r>
        <w:rPr>
          <w:sz w:val="21"/>
        </w:rPr>
        <w:t>Investment</w:t>
      </w:r>
      <w:r>
        <w:rPr>
          <w:spacing w:val="40"/>
          <w:sz w:val="21"/>
        </w:rPr>
        <w:t> </w:t>
      </w:r>
      <w:r>
        <w:rPr>
          <w:sz w:val="21"/>
        </w:rPr>
        <w:t>Plans</w:t>
      </w:r>
      <w:r>
        <w:rPr>
          <w:spacing w:val="40"/>
          <w:sz w:val="21"/>
        </w:rPr>
        <w:t> </w:t>
      </w:r>
      <w:r>
        <w:rPr>
          <w:sz w:val="21"/>
        </w:rPr>
        <w:t>attached</w:t>
      </w:r>
      <w:r>
        <w:rPr>
          <w:spacing w:val="40"/>
          <w:sz w:val="21"/>
        </w:rPr>
        <w:t> </w:t>
      </w:r>
      <w:r>
        <w:rPr>
          <w:sz w:val="21"/>
        </w:rPr>
        <w:t>to</w:t>
      </w:r>
      <w:r>
        <w:rPr>
          <w:spacing w:val="40"/>
          <w:sz w:val="21"/>
        </w:rPr>
        <w:t> </w:t>
      </w:r>
      <w:r>
        <w:rPr>
          <w:sz w:val="21"/>
        </w:rPr>
        <w:t>this</w:t>
      </w:r>
      <w:r>
        <w:rPr>
          <w:spacing w:val="40"/>
          <w:sz w:val="21"/>
        </w:rPr>
        <w:t> </w:t>
      </w:r>
      <w:r>
        <w:rPr>
          <w:sz w:val="21"/>
        </w:rPr>
        <w:t>concession</w:t>
      </w:r>
      <w:r>
        <w:rPr>
          <w:spacing w:val="40"/>
          <w:sz w:val="21"/>
        </w:rPr>
        <w:t> </w:t>
      </w:r>
      <w:r>
        <w:rPr>
          <w:sz w:val="21"/>
        </w:rPr>
        <w:t>contract,</w:t>
      </w:r>
      <w:r>
        <w:rPr>
          <w:spacing w:val="40"/>
          <w:sz w:val="21"/>
        </w:rPr>
        <w:t> </w:t>
      </w:r>
      <w:r>
        <w:rPr>
          <w:sz w:val="21"/>
        </w:rPr>
        <w:t>materials, systems,</w:t>
      </w:r>
      <w:r>
        <w:rPr>
          <w:spacing w:val="40"/>
          <w:sz w:val="21"/>
        </w:rPr>
        <w:t> </w:t>
      </w:r>
      <w:r>
        <w:rPr>
          <w:sz w:val="21"/>
        </w:rPr>
        <w:t>and</w:t>
      </w:r>
      <w:r>
        <w:rPr>
          <w:spacing w:val="40"/>
          <w:sz w:val="21"/>
        </w:rPr>
        <w:t> </w:t>
      </w:r>
      <w:r>
        <w:rPr>
          <w:sz w:val="21"/>
        </w:rPr>
        <w:t>equipment</w:t>
      </w:r>
      <w:r>
        <w:rPr>
          <w:spacing w:val="40"/>
          <w:sz w:val="21"/>
        </w:rPr>
        <w:t> </w:t>
      </w:r>
      <w:r>
        <w:rPr>
          <w:sz w:val="21"/>
        </w:rPr>
        <w:t>certified</w:t>
      </w:r>
      <w:r>
        <w:rPr>
          <w:spacing w:val="40"/>
          <w:sz w:val="21"/>
        </w:rPr>
        <w:t> </w:t>
      </w:r>
      <w:r>
        <w:rPr>
          <w:sz w:val="21"/>
        </w:rPr>
        <w:t>and</w:t>
      </w:r>
      <w:r>
        <w:rPr>
          <w:spacing w:val="40"/>
          <w:sz w:val="21"/>
        </w:rPr>
        <w:t> </w:t>
      </w:r>
      <w:r>
        <w:rPr>
          <w:sz w:val="21"/>
        </w:rPr>
        <w:t>approved</w:t>
      </w:r>
      <w:r>
        <w:rPr>
          <w:spacing w:val="40"/>
          <w:sz w:val="21"/>
        </w:rPr>
        <w:t> </w:t>
      </w:r>
      <w:r>
        <w:rPr>
          <w:sz w:val="21"/>
        </w:rPr>
        <w:t>by</w:t>
      </w:r>
      <w:r>
        <w:rPr>
          <w:spacing w:val="40"/>
          <w:sz w:val="21"/>
        </w:rPr>
        <w:t> </w:t>
      </w:r>
      <w:r>
        <w:rPr>
          <w:sz w:val="21"/>
        </w:rPr>
        <w:t>recognized</w:t>
      </w:r>
      <w:r>
        <w:rPr>
          <w:spacing w:val="40"/>
          <w:sz w:val="21"/>
        </w:rPr>
        <w:t> </w:t>
      </w:r>
      <w:r>
        <w:rPr>
          <w:sz w:val="21"/>
        </w:rPr>
        <w:t>entities</w:t>
      </w:r>
      <w:r>
        <w:rPr>
          <w:spacing w:val="40"/>
          <w:sz w:val="21"/>
        </w:rPr>
        <w:t> </w:t>
      </w:r>
      <w:r>
        <w:rPr>
          <w:sz w:val="21"/>
        </w:rPr>
        <w:t>and</w:t>
      </w:r>
      <w:r>
        <w:rPr>
          <w:spacing w:val="40"/>
          <w:sz w:val="21"/>
        </w:rPr>
        <w:t> </w:t>
      </w:r>
      <w:r>
        <w:rPr>
          <w:sz w:val="21"/>
        </w:rPr>
        <w:t>in</w:t>
      </w:r>
      <w:r>
        <w:rPr>
          <w:spacing w:val="40"/>
          <w:sz w:val="21"/>
        </w:rPr>
        <w:t> </w:t>
      </w:r>
      <w:r>
        <w:rPr>
          <w:sz w:val="21"/>
        </w:rPr>
        <w:t>accordance</w:t>
      </w:r>
      <w:r>
        <w:rPr>
          <w:spacing w:val="40"/>
          <w:sz w:val="21"/>
        </w:rPr>
        <w:t> </w:t>
      </w:r>
      <w:r>
        <w:rPr>
          <w:sz w:val="21"/>
        </w:rPr>
        <w:t>with</w:t>
      </w:r>
      <w:r>
        <w:rPr>
          <w:spacing w:val="40"/>
          <w:sz w:val="21"/>
        </w:rPr>
        <w:t> </w:t>
      </w:r>
      <w:r>
        <w:rPr>
          <w:sz w:val="21"/>
        </w:rPr>
        <w:t>international</w:t>
      </w:r>
      <w:r>
        <w:rPr>
          <w:spacing w:val="40"/>
          <w:sz w:val="21"/>
        </w:rPr>
        <w:t> </w:t>
      </w:r>
      <w:r>
        <w:rPr>
          <w:sz w:val="21"/>
        </w:rPr>
        <w:t>standards, generally recognized as being of high international quality;</w:t>
      </w:r>
    </w:p>
    <w:p>
      <w:pPr>
        <w:pStyle w:val="BodyText"/>
        <w:spacing w:before="166"/>
        <w:rPr>
          <w:sz w:val="21"/>
        </w:rPr>
      </w:pPr>
    </w:p>
    <w:p>
      <w:pPr>
        <w:pStyle w:val="ListParagraph"/>
        <w:numPr>
          <w:ilvl w:val="0"/>
          <w:numId w:val="31"/>
        </w:numPr>
        <w:tabs>
          <w:tab w:pos="867" w:val="left" w:leader="none"/>
          <w:tab w:pos="873" w:val="left" w:leader="none"/>
        </w:tabs>
        <w:spacing w:line="213" w:lineRule="auto" w:before="1" w:after="0"/>
        <w:ind w:left="873" w:right="119" w:hanging="243"/>
        <w:jc w:val="both"/>
        <w:rPr>
          <w:sz w:val="21"/>
        </w:rPr>
      </w:pPr>
      <w:r>
        <w:rPr>
          <w:sz w:val="21"/>
        </w:rPr>
        <w:t>Maintain the quality of all projects referred to in the Investment Plans attached to this concession contract according to high international quality standards;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4"/>
        <w:rPr>
          <w:sz w:val="20"/>
        </w:rPr>
      </w:pPr>
      <w:r>
        <w:rPr/>
        <mc:AlternateContent>
          <mc:Choice Requires="wps">
            <w:drawing>
              <wp:anchor distT="0" distB="0" distL="0" distR="0" allowOverlap="1" layoutInCell="1" locked="0" behindDoc="1" simplePos="0" relativeHeight="487773696">
                <wp:simplePos x="0" y="0"/>
                <wp:positionH relativeFrom="page">
                  <wp:posOffset>231457</wp:posOffset>
                </wp:positionH>
                <wp:positionV relativeFrom="paragraph">
                  <wp:posOffset>195567</wp:posOffset>
                </wp:positionV>
                <wp:extent cx="7312659" cy="17145"/>
                <wp:effectExtent l="0" t="0" r="0" b="0"/>
                <wp:wrapTopAndBottom/>
                <wp:docPr id="868" name="Group 868"/>
                <wp:cNvGraphicFramePr>
                  <a:graphicFrameLocks/>
                </wp:cNvGraphicFramePr>
                <a:graphic>
                  <a:graphicData uri="http://schemas.microsoft.com/office/word/2010/wordprocessingGroup">
                    <wpg:wgp>
                      <wpg:cNvPr id="868" name="Group 868"/>
                      <wpg:cNvGrpSpPr/>
                      <wpg:grpSpPr>
                        <a:xfrm>
                          <a:off x="0" y="0"/>
                          <a:ext cx="7312659" cy="17145"/>
                          <a:chExt cx="7312659" cy="17145"/>
                        </a:xfrm>
                      </wpg:grpSpPr>
                      <wps:wsp>
                        <wps:cNvPr id="869" name="Graphic 86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70" name="Graphic 870"/>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71" name="Graphic 8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399023pt;width:575.8pt;height:1.35pt;mso-position-horizontal-relative:page;mso-position-vertical-relative:paragraph;z-index:-15542784;mso-wrap-distance-left:0;mso-wrap-distance-right:0" id="docshapegroup866" coordorigin="364,308" coordsize="11516,27">
                <v:rect style="position:absolute;left:364;top:307;width:11516;height:14" id="docshape867" filled="true" fillcolor="#999999" stroked="false">
                  <v:fill type="solid"/>
                </v:rect>
                <v:shape style="position:absolute;left:364;top:307;width:11516;height:27" id="docshape868" coordorigin="364,308" coordsize="11516,27" path="m11880,308l11866,321,364,321,364,335,11866,335,11880,335,11880,321,11880,308xe" filled="true" fillcolor="#ededed" stroked="false">
                  <v:path arrowok="t"/>
                  <v:fill type="solid"/>
                </v:shape>
                <v:shape style="position:absolute;left:364;top:307;width:14;height:27" id="docshape869" coordorigin="364,308" coordsize="14,27" path="m364,335l364,308,378,308,378,321,364,335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pStyle w:val="ListParagraph"/>
        <w:numPr>
          <w:ilvl w:val="0"/>
          <w:numId w:val="31"/>
        </w:numPr>
        <w:tabs>
          <w:tab w:pos="863" w:val="left" w:leader="none"/>
        </w:tabs>
        <w:spacing w:line="240" w:lineRule="auto" w:before="75" w:after="0"/>
        <w:ind w:left="863" w:right="0" w:hanging="233"/>
        <w:jc w:val="left"/>
        <w:rPr>
          <w:sz w:val="21"/>
        </w:rPr>
      </w:pPr>
      <w:r>
        <w:rPr>
          <w:sz w:val="21"/>
        </w:rPr>
        <w:t>Ensure</w:t>
      </w:r>
      <w:r>
        <w:rPr>
          <w:spacing w:val="12"/>
          <w:sz w:val="21"/>
        </w:rPr>
        <w:t> </w:t>
      </w:r>
      <w:r>
        <w:rPr>
          <w:sz w:val="21"/>
        </w:rPr>
        <w:t>the</w:t>
      </w:r>
      <w:r>
        <w:rPr>
          <w:spacing w:val="13"/>
          <w:sz w:val="21"/>
        </w:rPr>
        <w:t> </w:t>
      </w:r>
      <w:r>
        <w:rPr>
          <w:sz w:val="21"/>
        </w:rPr>
        <w:t>high</w:t>
      </w:r>
      <w:r>
        <w:rPr>
          <w:spacing w:val="13"/>
          <w:sz w:val="21"/>
        </w:rPr>
        <w:t> </w:t>
      </w:r>
      <w:r>
        <w:rPr>
          <w:sz w:val="21"/>
        </w:rPr>
        <w:t>international</w:t>
      </w:r>
      <w:r>
        <w:rPr>
          <w:spacing w:val="12"/>
          <w:sz w:val="21"/>
        </w:rPr>
        <w:t> </w:t>
      </w:r>
      <w:r>
        <w:rPr>
          <w:sz w:val="21"/>
        </w:rPr>
        <w:t>quality</w:t>
      </w:r>
      <w:r>
        <w:rPr>
          <w:spacing w:val="13"/>
          <w:sz w:val="21"/>
        </w:rPr>
        <w:t> </w:t>
      </w:r>
      <w:r>
        <w:rPr>
          <w:sz w:val="21"/>
        </w:rPr>
        <w:t>standards</w:t>
      </w:r>
      <w:r>
        <w:rPr>
          <w:spacing w:val="13"/>
          <w:sz w:val="21"/>
        </w:rPr>
        <w:t> </w:t>
      </w:r>
      <w:r>
        <w:rPr>
          <w:sz w:val="21"/>
        </w:rPr>
        <w:t>of</w:t>
      </w:r>
      <w:r>
        <w:rPr>
          <w:spacing w:val="13"/>
          <w:sz w:val="21"/>
        </w:rPr>
        <w:t> </w:t>
      </w:r>
      <w:r>
        <w:rPr>
          <w:sz w:val="21"/>
        </w:rPr>
        <w:t>the</w:t>
      </w:r>
      <w:r>
        <w:rPr>
          <w:spacing w:val="12"/>
          <w:sz w:val="21"/>
        </w:rPr>
        <w:t> </w:t>
      </w:r>
      <w:r>
        <w:rPr>
          <w:sz w:val="21"/>
        </w:rPr>
        <w:t>commercial</w:t>
      </w:r>
      <w:r>
        <w:rPr>
          <w:spacing w:val="13"/>
          <w:sz w:val="21"/>
        </w:rPr>
        <w:t> </w:t>
      </w:r>
      <w:r>
        <w:rPr>
          <w:sz w:val="21"/>
        </w:rPr>
        <w:t>establishments</w:t>
      </w:r>
      <w:r>
        <w:rPr>
          <w:spacing w:val="13"/>
          <w:sz w:val="21"/>
        </w:rPr>
        <w:t> </w:t>
      </w:r>
      <w:r>
        <w:rPr>
          <w:sz w:val="21"/>
        </w:rPr>
        <w:t>within</w:t>
      </w:r>
      <w:r>
        <w:rPr>
          <w:spacing w:val="13"/>
          <w:sz w:val="21"/>
        </w:rPr>
        <w:t> </w:t>
      </w:r>
      <w:r>
        <w:rPr>
          <w:sz w:val="21"/>
        </w:rPr>
        <w:t>its</w:t>
      </w:r>
      <w:r>
        <w:rPr>
          <w:spacing w:val="12"/>
          <w:sz w:val="21"/>
        </w:rPr>
        <w:t> </w:t>
      </w:r>
      <w:r>
        <w:rPr>
          <w:spacing w:val="-2"/>
          <w:sz w:val="21"/>
        </w:rPr>
        <w:t>properties;</w:t>
      </w:r>
    </w:p>
    <w:p>
      <w:pPr>
        <w:pStyle w:val="BodyText"/>
        <w:spacing w:before="138"/>
        <w:rPr>
          <w:sz w:val="21"/>
        </w:rPr>
      </w:pPr>
    </w:p>
    <w:p>
      <w:pPr>
        <w:pStyle w:val="ListParagraph"/>
        <w:numPr>
          <w:ilvl w:val="0"/>
          <w:numId w:val="31"/>
        </w:numPr>
        <w:tabs>
          <w:tab w:pos="863" w:val="left" w:leader="none"/>
        </w:tabs>
        <w:spacing w:line="240" w:lineRule="auto" w:before="0" w:after="0"/>
        <w:ind w:left="863" w:right="0" w:hanging="233"/>
        <w:jc w:val="left"/>
        <w:rPr>
          <w:sz w:val="21"/>
        </w:rPr>
      </w:pPr>
      <w:r>
        <w:rPr>
          <w:sz w:val="21"/>
        </w:rPr>
        <w:t>Maintain</w:t>
      </w:r>
      <w:r>
        <w:rPr>
          <w:spacing w:val="13"/>
          <w:sz w:val="21"/>
        </w:rPr>
        <w:t> </w:t>
      </w:r>
      <w:r>
        <w:rPr>
          <w:sz w:val="21"/>
        </w:rPr>
        <w:t>a</w:t>
      </w:r>
      <w:r>
        <w:rPr>
          <w:spacing w:val="14"/>
          <w:sz w:val="21"/>
        </w:rPr>
        <w:t> </w:t>
      </w:r>
      <w:r>
        <w:rPr>
          <w:sz w:val="21"/>
        </w:rPr>
        <w:t>modern,</w:t>
      </w:r>
      <w:r>
        <w:rPr>
          <w:spacing w:val="13"/>
          <w:sz w:val="21"/>
        </w:rPr>
        <w:t> </w:t>
      </w:r>
      <w:r>
        <w:rPr>
          <w:sz w:val="21"/>
        </w:rPr>
        <w:t>efficient,</w:t>
      </w:r>
      <w:r>
        <w:rPr>
          <w:spacing w:val="14"/>
          <w:sz w:val="21"/>
        </w:rPr>
        <w:t> </w:t>
      </w:r>
      <w:r>
        <w:rPr>
          <w:sz w:val="21"/>
        </w:rPr>
        <w:t>and</w:t>
      </w:r>
      <w:r>
        <w:rPr>
          <w:spacing w:val="14"/>
          <w:sz w:val="21"/>
        </w:rPr>
        <w:t> </w:t>
      </w:r>
      <w:r>
        <w:rPr>
          <w:sz w:val="21"/>
        </w:rPr>
        <w:t>high-quality</w:t>
      </w:r>
      <w:r>
        <w:rPr>
          <w:spacing w:val="13"/>
          <w:sz w:val="21"/>
        </w:rPr>
        <w:t> </w:t>
      </w:r>
      <w:r>
        <w:rPr>
          <w:sz w:val="21"/>
        </w:rPr>
        <w:t>management,</w:t>
      </w:r>
      <w:r>
        <w:rPr>
          <w:spacing w:val="14"/>
          <w:sz w:val="21"/>
        </w:rPr>
        <w:t> </w:t>
      </w:r>
      <w:r>
        <w:rPr>
          <w:sz w:val="21"/>
        </w:rPr>
        <w:t>according</w:t>
      </w:r>
      <w:r>
        <w:rPr>
          <w:spacing w:val="13"/>
          <w:sz w:val="21"/>
        </w:rPr>
        <w:t> </w:t>
      </w:r>
      <w:r>
        <w:rPr>
          <w:sz w:val="21"/>
        </w:rPr>
        <w:t>to</w:t>
      </w:r>
      <w:r>
        <w:rPr>
          <w:spacing w:val="14"/>
          <w:sz w:val="21"/>
        </w:rPr>
        <w:t> </w:t>
      </w:r>
      <w:r>
        <w:rPr>
          <w:sz w:val="21"/>
        </w:rPr>
        <w:t>high</w:t>
      </w:r>
      <w:r>
        <w:rPr>
          <w:spacing w:val="14"/>
          <w:sz w:val="21"/>
        </w:rPr>
        <w:t> </w:t>
      </w:r>
      <w:r>
        <w:rPr>
          <w:sz w:val="21"/>
        </w:rPr>
        <w:t>international</w:t>
      </w:r>
      <w:r>
        <w:rPr>
          <w:spacing w:val="13"/>
          <w:sz w:val="21"/>
        </w:rPr>
        <w:t> </w:t>
      </w:r>
      <w:r>
        <w:rPr>
          <w:sz w:val="21"/>
        </w:rPr>
        <w:t>quality</w:t>
      </w:r>
      <w:r>
        <w:rPr>
          <w:spacing w:val="14"/>
          <w:sz w:val="21"/>
        </w:rPr>
        <w:t> </w:t>
      </w:r>
      <w:r>
        <w:rPr>
          <w:spacing w:val="-2"/>
          <w:sz w:val="21"/>
        </w:rPr>
        <w:t>standards;</w:t>
      </w:r>
    </w:p>
    <w:p>
      <w:pPr>
        <w:pStyle w:val="BodyText"/>
        <w:spacing w:before="146"/>
        <w:rPr>
          <w:sz w:val="21"/>
        </w:rPr>
      </w:pPr>
    </w:p>
    <w:p>
      <w:pPr>
        <w:pStyle w:val="ListParagraph"/>
        <w:numPr>
          <w:ilvl w:val="0"/>
          <w:numId w:val="31"/>
        </w:numPr>
        <w:tabs>
          <w:tab w:pos="873" w:val="left" w:leader="none"/>
          <w:tab w:pos="971" w:val="left" w:leader="none"/>
        </w:tabs>
        <w:spacing w:line="213" w:lineRule="auto" w:before="0" w:after="0"/>
        <w:ind w:left="873" w:right="118" w:hanging="243"/>
        <w:jc w:val="both"/>
        <w:rPr>
          <w:sz w:val="21"/>
        </w:rPr>
      </w:pPr>
      <w:r>
        <w:rPr>
          <w:sz w:val="21"/>
        </w:rPr>
        <w:t>Notify the Government, as soon as possible, of any and every situation that alters or may alter to a relevant degree, either in</w:t>
      </w:r>
      <w:r>
        <w:rPr>
          <w:spacing w:val="40"/>
          <w:sz w:val="21"/>
        </w:rPr>
        <w:t> </w:t>
      </w:r>
      <w:r>
        <w:rPr>
          <w:sz w:val="21"/>
        </w:rPr>
        <w:t>the</w:t>
      </w:r>
      <w:r>
        <w:rPr>
          <w:spacing w:val="26"/>
          <w:sz w:val="21"/>
        </w:rPr>
        <w:t> </w:t>
      </w:r>
      <w:r>
        <w:rPr>
          <w:sz w:val="21"/>
        </w:rPr>
        <w:t>construction</w:t>
      </w:r>
      <w:r>
        <w:rPr>
          <w:spacing w:val="26"/>
          <w:sz w:val="21"/>
        </w:rPr>
        <w:t> </w:t>
      </w:r>
      <w:r>
        <w:rPr>
          <w:sz w:val="21"/>
        </w:rPr>
        <w:t>phase</w:t>
      </w:r>
      <w:r>
        <w:rPr>
          <w:spacing w:val="26"/>
          <w:sz w:val="21"/>
        </w:rPr>
        <w:t> </w:t>
      </w:r>
      <w:r>
        <w:rPr>
          <w:sz w:val="21"/>
        </w:rPr>
        <w:t>of</w:t>
      </w:r>
      <w:r>
        <w:rPr>
          <w:spacing w:val="26"/>
          <w:sz w:val="21"/>
        </w:rPr>
        <w:t> </w:t>
      </w:r>
      <w:r>
        <w:rPr>
          <w:sz w:val="21"/>
        </w:rPr>
        <w:t>its</w:t>
      </w:r>
      <w:r>
        <w:rPr>
          <w:spacing w:val="26"/>
          <w:sz w:val="21"/>
        </w:rPr>
        <w:t> </w:t>
      </w:r>
      <w:r>
        <w:rPr>
          <w:sz w:val="21"/>
        </w:rPr>
        <w:t>properties</w:t>
      </w:r>
      <w:r>
        <w:rPr>
          <w:spacing w:val="26"/>
          <w:sz w:val="21"/>
        </w:rPr>
        <w:t> </w:t>
      </w:r>
      <w:r>
        <w:rPr>
          <w:sz w:val="21"/>
        </w:rPr>
        <w:t>or</w:t>
      </w:r>
      <w:r>
        <w:rPr>
          <w:spacing w:val="26"/>
          <w:sz w:val="21"/>
        </w:rPr>
        <w:t> </w:t>
      </w:r>
      <w:r>
        <w:rPr>
          <w:sz w:val="21"/>
        </w:rPr>
        <w:t>in</w:t>
      </w:r>
      <w:r>
        <w:rPr>
          <w:spacing w:val="26"/>
          <w:sz w:val="21"/>
        </w:rPr>
        <w:t> </w:t>
      </w:r>
      <w:r>
        <w:rPr>
          <w:sz w:val="21"/>
        </w:rPr>
        <w:t>the</w:t>
      </w:r>
      <w:r>
        <w:rPr>
          <w:spacing w:val="26"/>
          <w:sz w:val="21"/>
        </w:rPr>
        <w:t> </w:t>
      </w:r>
      <w:r>
        <w:rPr>
          <w:sz w:val="21"/>
        </w:rPr>
        <w:t>operational</w:t>
      </w:r>
      <w:r>
        <w:rPr>
          <w:spacing w:val="26"/>
          <w:sz w:val="21"/>
        </w:rPr>
        <w:t> </w:t>
      </w:r>
      <w:r>
        <w:rPr>
          <w:sz w:val="21"/>
        </w:rPr>
        <w:t>phase</w:t>
      </w:r>
      <w:r>
        <w:rPr>
          <w:spacing w:val="26"/>
          <w:sz w:val="21"/>
        </w:rPr>
        <w:t> </w:t>
      </w:r>
      <w:r>
        <w:rPr>
          <w:sz w:val="21"/>
        </w:rPr>
        <w:t>of</w:t>
      </w:r>
      <w:r>
        <w:rPr>
          <w:spacing w:val="26"/>
          <w:sz w:val="21"/>
        </w:rPr>
        <w:t> </w:t>
      </w:r>
      <w:r>
        <w:rPr>
          <w:sz w:val="21"/>
        </w:rPr>
        <w:t>any</w:t>
      </w:r>
      <w:r>
        <w:rPr>
          <w:spacing w:val="26"/>
          <w:sz w:val="21"/>
        </w:rPr>
        <w:t> </w:t>
      </w:r>
      <w:r>
        <w:rPr>
          <w:sz w:val="21"/>
        </w:rPr>
        <w:t>aspect</w:t>
      </w:r>
      <w:r>
        <w:rPr>
          <w:spacing w:val="26"/>
          <w:sz w:val="21"/>
        </w:rPr>
        <w:t> </w:t>
      </w:r>
      <w:r>
        <w:rPr>
          <w:sz w:val="21"/>
        </w:rPr>
        <w:t>of</w:t>
      </w:r>
      <w:r>
        <w:rPr>
          <w:spacing w:val="26"/>
          <w:sz w:val="21"/>
        </w:rPr>
        <w:t> </w:t>
      </w:r>
      <w:r>
        <w:rPr>
          <w:sz w:val="21"/>
        </w:rPr>
        <w:t>its</w:t>
      </w:r>
      <w:r>
        <w:rPr>
          <w:spacing w:val="26"/>
          <w:sz w:val="21"/>
        </w:rPr>
        <w:t> </w:t>
      </w:r>
      <w:r>
        <w:rPr>
          <w:sz w:val="21"/>
        </w:rPr>
        <w:t>activity,</w:t>
      </w:r>
      <w:r>
        <w:rPr>
          <w:spacing w:val="26"/>
          <w:sz w:val="21"/>
        </w:rPr>
        <w:t> </w:t>
      </w:r>
      <w:r>
        <w:rPr>
          <w:sz w:val="21"/>
        </w:rPr>
        <w:t>the</w:t>
      </w:r>
      <w:r>
        <w:rPr>
          <w:spacing w:val="26"/>
          <w:sz w:val="21"/>
        </w:rPr>
        <w:t> </w:t>
      </w:r>
      <w:r>
        <w:rPr>
          <w:sz w:val="21"/>
        </w:rPr>
        <w:t>normal</w:t>
      </w:r>
      <w:r>
        <w:rPr>
          <w:spacing w:val="26"/>
          <w:sz w:val="21"/>
        </w:rPr>
        <w:t> </w:t>
      </w:r>
      <w:r>
        <w:rPr>
          <w:sz w:val="21"/>
        </w:rPr>
        <w:t>development</w:t>
      </w:r>
      <w:r>
        <w:rPr>
          <w:spacing w:val="26"/>
          <w:sz w:val="21"/>
        </w:rPr>
        <w:t> </w:t>
      </w:r>
      <w:r>
        <w:rPr>
          <w:sz w:val="21"/>
        </w:rPr>
        <w:t>of the works, as well as the verification of structural or other anomalies in its properties, by means of a detailed and </w:t>
      </w:r>
      <w:r>
        <w:rPr>
          <w:sz w:val="21"/>
        </w:rPr>
        <w:t>reasoned</w:t>
      </w:r>
      <w:r>
        <w:rPr>
          <w:spacing w:val="40"/>
          <w:sz w:val="21"/>
        </w:rPr>
        <w:t> </w:t>
      </w:r>
      <w:r>
        <w:rPr>
          <w:sz w:val="21"/>
        </w:rPr>
        <w:t>report on these situations, possibly including the contribution of entities external to the Concessionaire and of recognized competence</w:t>
      </w:r>
      <w:r>
        <w:rPr>
          <w:spacing w:val="25"/>
          <w:sz w:val="21"/>
        </w:rPr>
        <w:t> </w:t>
      </w:r>
      <w:r>
        <w:rPr>
          <w:sz w:val="21"/>
        </w:rPr>
        <w:t>and</w:t>
      </w:r>
      <w:r>
        <w:rPr>
          <w:spacing w:val="25"/>
          <w:sz w:val="21"/>
        </w:rPr>
        <w:t> </w:t>
      </w:r>
      <w:r>
        <w:rPr>
          <w:sz w:val="21"/>
        </w:rPr>
        <w:t>reputation,</w:t>
      </w:r>
      <w:r>
        <w:rPr>
          <w:spacing w:val="25"/>
          <w:sz w:val="21"/>
        </w:rPr>
        <w:t> </w:t>
      </w:r>
      <w:r>
        <w:rPr>
          <w:sz w:val="21"/>
        </w:rPr>
        <w:t>with</w:t>
      </w:r>
      <w:r>
        <w:rPr>
          <w:spacing w:val="25"/>
          <w:sz w:val="21"/>
        </w:rPr>
        <w:t> </w:t>
      </w:r>
      <w:r>
        <w:rPr>
          <w:sz w:val="21"/>
        </w:rPr>
        <w:t>an</w:t>
      </w:r>
      <w:r>
        <w:rPr>
          <w:spacing w:val="25"/>
          <w:sz w:val="21"/>
        </w:rPr>
        <w:t> </w:t>
      </w:r>
      <w:r>
        <w:rPr>
          <w:sz w:val="21"/>
        </w:rPr>
        <w:t>indication</w:t>
      </w:r>
      <w:r>
        <w:rPr>
          <w:spacing w:val="25"/>
          <w:sz w:val="21"/>
        </w:rPr>
        <w:t> </w:t>
      </w:r>
      <w:r>
        <w:rPr>
          <w:sz w:val="21"/>
        </w:rPr>
        <w:t>of</w:t>
      </w:r>
      <w:r>
        <w:rPr>
          <w:spacing w:val="25"/>
          <w:sz w:val="21"/>
        </w:rPr>
        <w:t> </w:t>
      </w:r>
      <w:r>
        <w:rPr>
          <w:sz w:val="21"/>
        </w:rPr>
        <w:t>the</w:t>
      </w:r>
      <w:r>
        <w:rPr>
          <w:spacing w:val="25"/>
          <w:sz w:val="21"/>
        </w:rPr>
        <w:t> </w:t>
      </w:r>
      <w:r>
        <w:rPr>
          <w:sz w:val="21"/>
        </w:rPr>
        <w:t>measures</w:t>
      </w:r>
      <w:r>
        <w:rPr>
          <w:spacing w:val="25"/>
          <w:sz w:val="21"/>
        </w:rPr>
        <w:t> </w:t>
      </w:r>
      <w:r>
        <w:rPr>
          <w:sz w:val="21"/>
        </w:rPr>
        <w:t>taken</w:t>
      </w:r>
      <w:r>
        <w:rPr>
          <w:spacing w:val="25"/>
          <w:sz w:val="21"/>
        </w:rPr>
        <w:t> </w:t>
      </w:r>
      <w:r>
        <w:rPr>
          <w:sz w:val="21"/>
        </w:rPr>
        <w:t>or</w:t>
      </w:r>
      <w:r>
        <w:rPr>
          <w:spacing w:val="25"/>
          <w:sz w:val="21"/>
        </w:rPr>
        <w:t> </w:t>
      </w:r>
      <w:r>
        <w:rPr>
          <w:sz w:val="21"/>
        </w:rPr>
        <w:t>to</w:t>
      </w:r>
      <w:r>
        <w:rPr>
          <w:spacing w:val="25"/>
          <w:sz w:val="21"/>
        </w:rPr>
        <w:t> </w:t>
      </w:r>
      <w:r>
        <w:rPr>
          <w:sz w:val="21"/>
        </w:rPr>
        <w:t>be</w:t>
      </w:r>
      <w:r>
        <w:rPr>
          <w:spacing w:val="25"/>
          <w:sz w:val="21"/>
        </w:rPr>
        <w:t> </w:t>
      </w:r>
      <w:r>
        <w:rPr>
          <w:sz w:val="21"/>
        </w:rPr>
        <w:t>implemented</w:t>
      </w:r>
      <w:r>
        <w:rPr>
          <w:spacing w:val="25"/>
          <w:sz w:val="21"/>
        </w:rPr>
        <w:t> </w:t>
      </w:r>
      <w:r>
        <w:rPr>
          <w:sz w:val="21"/>
        </w:rPr>
        <w:t>to</w:t>
      </w:r>
      <w:r>
        <w:rPr>
          <w:spacing w:val="25"/>
          <w:sz w:val="21"/>
        </w:rPr>
        <w:t> </w:t>
      </w:r>
      <w:r>
        <w:rPr>
          <w:sz w:val="21"/>
        </w:rPr>
        <w:t>overcome</w:t>
      </w:r>
      <w:r>
        <w:rPr>
          <w:spacing w:val="25"/>
          <w:sz w:val="21"/>
        </w:rPr>
        <w:t> </w:t>
      </w:r>
      <w:r>
        <w:rPr>
          <w:sz w:val="21"/>
        </w:rPr>
        <w:t>said</w:t>
      </w:r>
      <w:r>
        <w:rPr>
          <w:spacing w:val="25"/>
          <w:sz w:val="21"/>
        </w:rPr>
        <w:t> </w:t>
      </w:r>
      <w:r>
        <w:rPr>
          <w:sz w:val="21"/>
        </w:rPr>
        <w:t>situations.</w:t>
      </w:r>
    </w:p>
    <w:p>
      <w:pPr>
        <w:pStyle w:val="BodyText"/>
        <w:spacing w:before="156"/>
        <w:rPr>
          <w:sz w:val="21"/>
        </w:rPr>
      </w:pPr>
    </w:p>
    <w:p>
      <w:pPr>
        <w:spacing w:line="213" w:lineRule="auto" w:before="0"/>
        <w:ind w:left="144" w:right="119" w:firstLine="0"/>
        <w:jc w:val="both"/>
        <w:rPr>
          <w:sz w:val="21"/>
        </w:rPr>
      </w:pPr>
      <w:r>
        <w:rPr>
          <w:i/>
          <w:sz w:val="21"/>
        </w:rPr>
        <w:t>Three</w:t>
      </w:r>
      <w:r>
        <w:rPr>
          <w:sz w:val="21"/>
        </w:rPr>
        <w:t>. The Concessionaire is liable to the Macau SAR and to third parties for any losses resulting from serious deficiencies, errors </w:t>
      </w:r>
      <w:r>
        <w:rPr>
          <w:sz w:val="21"/>
        </w:rPr>
        <w:t>or omissions in the design and dimensioning of projects, in the execution of construction works and other projects, as well as in the maintenance</w:t>
      </w:r>
      <w:r>
        <w:rPr>
          <w:spacing w:val="15"/>
          <w:sz w:val="21"/>
        </w:rPr>
        <w:t> </w:t>
      </w:r>
      <w:r>
        <w:rPr>
          <w:sz w:val="21"/>
        </w:rPr>
        <w:t>of</w:t>
      </w:r>
      <w:r>
        <w:rPr>
          <w:spacing w:val="15"/>
          <w:sz w:val="21"/>
        </w:rPr>
        <w:t> </w:t>
      </w:r>
      <w:r>
        <w:rPr>
          <w:sz w:val="21"/>
        </w:rPr>
        <w:t>buildings</w:t>
      </w:r>
      <w:r>
        <w:rPr>
          <w:spacing w:val="15"/>
          <w:sz w:val="21"/>
        </w:rPr>
        <w:t> </w:t>
      </w:r>
      <w:r>
        <w:rPr>
          <w:sz w:val="21"/>
        </w:rPr>
        <w:t>and</w:t>
      </w:r>
      <w:r>
        <w:rPr>
          <w:spacing w:val="15"/>
          <w:sz w:val="21"/>
        </w:rPr>
        <w:t> </w:t>
      </w:r>
      <w:r>
        <w:rPr>
          <w:sz w:val="21"/>
        </w:rPr>
        <w:t>in</w:t>
      </w:r>
      <w:r>
        <w:rPr>
          <w:spacing w:val="15"/>
          <w:sz w:val="21"/>
        </w:rPr>
        <w:t> </w:t>
      </w:r>
      <w:r>
        <w:rPr>
          <w:sz w:val="21"/>
        </w:rPr>
        <w:t>the</w:t>
      </w:r>
      <w:r>
        <w:rPr>
          <w:spacing w:val="15"/>
          <w:sz w:val="21"/>
        </w:rPr>
        <w:t> </w:t>
      </w:r>
      <w:r>
        <w:rPr>
          <w:sz w:val="21"/>
        </w:rPr>
        <w:t>operation</w:t>
      </w:r>
      <w:r>
        <w:rPr>
          <w:spacing w:val="15"/>
          <w:sz w:val="21"/>
        </w:rPr>
        <w:t> </w:t>
      </w:r>
      <w:r>
        <w:rPr>
          <w:sz w:val="21"/>
        </w:rPr>
        <w:t>of</w:t>
      </w:r>
      <w:r>
        <w:rPr>
          <w:spacing w:val="15"/>
          <w:sz w:val="21"/>
        </w:rPr>
        <w:t> </w:t>
      </w:r>
      <w:r>
        <w:rPr>
          <w:sz w:val="21"/>
        </w:rPr>
        <w:t>the</w:t>
      </w:r>
      <w:r>
        <w:rPr>
          <w:spacing w:val="15"/>
          <w:sz w:val="21"/>
        </w:rPr>
        <w:t> </w:t>
      </w:r>
      <w:r>
        <w:rPr>
          <w:sz w:val="21"/>
        </w:rPr>
        <w:t>projects</w:t>
      </w:r>
      <w:r>
        <w:rPr>
          <w:spacing w:val="15"/>
          <w:sz w:val="21"/>
        </w:rPr>
        <w:t> </w:t>
      </w:r>
      <w:r>
        <w:rPr>
          <w:sz w:val="21"/>
        </w:rPr>
        <w:t>underlying</w:t>
      </w:r>
      <w:r>
        <w:rPr>
          <w:spacing w:val="15"/>
          <w:sz w:val="21"/>
        </w:rPr>
        <w:t> </w:t>
      </w:r>
      <w:r>
        <w:rPr>
          <w:sz w:val="21"/>
        </w:rPr>
        <w:t>the</w:t>
      </w:r>
      <w:r>
        <w:rPr>
          <w:spacing w:val="15"/>
          <w:sz w:val="21"/>
        </w:rPr>
        <w:t> </w:t>
      </w:r>
      <w:r>
        <w:rPr>
          <w:sz w:val="21"/>
        </w:rPr>
        <w:t>Investment</w:t>
      </w:r>
      <w:r>
        <w:rPr>
          <w:spacing w:val="15"/>
          <w:sz w:val="21"/>
        </w:rPr>
        <w:t> </w:t>
      </w:r>
      <w:r>
        <w:rPr>
          <w:sz w:val="21"/>
        </w:rPr>
        <w:t>Plans</w:t>
      </w:r>
      <w:r>
        <w:rPr>
          <w:spacing w:val="15"/>
          <w:sz w:val="21"/>
        </w:rPr>
        <w:t> </w:t>
      </w:r>
      <w:r>
        <w:rPr>
          <w:sz w:val="21"/>
        </w:rPr>
        <w:t>annexed</w:t>
      </w:r>
      <w:r>
        <w:rPr>
          <w:spacing w:val="15"/>
          <w:sz w:val="21"/>
        </w:rPr>
        <w:t> </w:t>
      </w:r>
      <w:r>
        <w:rPr>
          <w:sz w:val="21"/>
        </w:rPr>
        <w:t>to</w:t>
      </w:r>
      <w:r>
        <w:rPr>
          <w:spacing w:val="15"/>
          <w:sz w:val="21"/>
        </w:rPr>
        <w:t> </w:t>
      </w:r>
      <w:r>
        <w:rPr>
          <w:sz w:val="21"/>
        </w:rPr>
        <w:t>this</w:t>
      </w:r>
      <w:r>
        <w:rPr>
          <w:spacing w:val="15"/>
          <w:sz w:val="21"/>
        </w:rPr>
        <w:t> </w:t>
      </w:r>
      <w:r>
        <w:rPr>
          <w:sz w:val="21"/>
        </w:rPr>
        <w:t>concession</w:t>
      </w:r>
      <w:r>
        <w:rPr>
          <w:spacing w:val="15"/>
          <w:sz w:val="21"/>
        </w:rPr>
        <w:t> </w:t>
      </w:r>
      <w:r>
        <w:rPr>
          <w:sz w:val="21"/>
        </w:rPr>
        <w:t>contract,</w:t>
      </w:r>
      <w:r>
        <w:rPr>
          <w:spacing w:val="15"/>
          <w:sz w:val="21"/>
        </w:rPr>
        <w:t> </w:t>
      </w:r>
      <w:r>
        <w:rPr>
          <w:sz w:val="21"/>
        </w:rPr>
        <w:t>of its responsibility.</w:t>
      </w:r>
    </w:p>
    <w:p>
      <w:pPr>
        <w:pStyle w:val="BodyText"/>
        <w:spacing w:before="167"/>
        <w:rPr>
          <w:sz w:val="21"/>
        </w:rPr>
      </w:pPr>
    </w:p>
    <w:p>
      <w:pPr>
        <w:spacing w:line="213" w:lineRule="auto" w:before="1"/>
        <w:ind w:left="144" w:right="118" w:firstLine="0"/>
        <w:jc w:val="both"/>
        <w:rPr>
          <w:sz w:val="21"/>
        </w:rPr>
      </w:pPr>
      <w:r>
        <w:rPr>
          <w:i/>
          <w:sz w:val="21"/>
        </w:rPr>
        <w:t>Four</w:t>
      </w:r>
      <w:r>
        <w:rPr>
          <w:sz w:val="21"/>
        </w:rPr>
        <w:t>. The Government undertakes to facilitate the Concessionaire’s ability to execute, directly or indirectly, according to the law, the projects mentioned in the Investment Plans annexed to this concession contract.</w:t>
      </w:r>
    </w:p>
    <w:p>
      <w:pPr>
        <w:pStyle w:val="BodyText"/>
        <w:spacing w:before="130"/>
        <w:rPr>
          <w:sz w:val="21"/>
        </w:rPr>
      </w:pPr>
    </w:p>
    <w:p>
      <w:pPr>
        <w:spacing w:before="0"/>
        <w:ind w:left="24" w:right="0" w:firstLine="0"/>
        <w:jc w:val="center"/>
        <w:rPr>
          <w:b/>
          <w:sz w:val="21"/>
        </w:rPr>
      </w:pPr>
      <w:r>
        <w:rPr>
          <w:b/>
          <w:sz w:val="21"/>
        </w:rPr>
        <w:t>Clause</w:t>
      </w:r>
      <w:r>
        <w:rPr>
          <w:b/>
          <w:spacing w:val="13"/>
          <w:sz w:val="21"/>
        </w:rPr>
        <w:t> </w:t>
      </w:r>
      <w:r>
        <w:rPr>
          <w:b/>
          <w:spacing w:val="-5"/>
          <w:sz w:val="21"/>
        </w:rPr>
        <w:t>37</w:t>
      </w:r>
    </w:p>
    <w:p>
      <w:pPr>
        <w:spacing w:before="69"/>
        <w:ind w:left="24" w:right="0" w:firstLine="0"/>
        <w:jc w:val="center"/>
        <w:rPr>
          <w:b/>
          <w:sz w:val="21"/>
        </w:rPr>
      </w:pPr>
      <w:r>
        <w:rPr>
          <w:b/>
          <w:sz w:val="21"/>
        </w:rPr>
        <w:t>Changes</w:t>
      </w:r>
      <w:r>
        <w:rPr>
          <w:b/>
          <w:spacing w:val="10"/>
          <w:sz w:val="21"/>
        </w:rPr>
        <w:t> </w:t>
      </w:r>
      <w:r>
        <w:rPr>
          <w:b/>
          <w:sz w:val="21"/>
        </w:rPr>
        <w:t>to</w:t>
      </w:r>
      <w:r>
        <w:rPr>
          <w:b/>
          <w:spacing w:val="10"/>
          <w:sz w:val="21"/>
        </w:rPr>
        <w:t> </w:t>
      </w:r>
      <w:r>
        <w:rPr>
          <w:b/>
          <w:sz w:val="21"/>
        </w:rPr>
        <w:t>the</w:t>
      </w:r>
      <w:r>
        <w:rPr>
          <w:b/>
          <w:spacing w:val="10"/>
          <w:sz w:val="21"/>
        </w:rPr>
        <w:t> </w:t>
      </w:r>
      <w:r>
        <w:rPr>
          <w:b/>
          <w:sz w:val="21"/>
        </w:rPr>
        <w:t>projects</w:t>
      </w:r>
      <w:r>
        <w:rPr>
          <w:b/>
          <w:spacing w:val="10"/>
          <w:sz w:val="21"/>
        </w:rPr>
        <w:t> </w:t>
      </w:r>
      <w:r>
        <w:rPr>
          <w:b/>
          <w:sz w:val="21"/>
        </w:rPr>
        <w:t>listed</w:t>
      </w:r>
      <w:r>
        <w:rPr>
          <w:b/>
          <w:spacing w:val="11"/>
          <w:sz w:val="21"/>
        </w:rPr>
        <w:t> </w:t>
      </w:r>
      <w:r>
        <w:rPr>
          <w:b/>
          <w:sz w:val="21"/>
        </w:rPr>
        <w:t>in</w:t>
      </w:r>
      <w:r>
        <w:rPr>
          <w:b/>
          <w:spacing w:val="10"/>
          <w:sz w:val="21"/>
        </w:rPr>
        <w:t> </w:t>
      </w:r>
      <w:r>
        <w:rPr>
          <w:b/>
          <w:sz w:val="21"/>
        </w:rPr>
        <w:t>the</w:t>
      </w:r>
      <w:r>
        <w:rPr>
          <w:b/>
          <w:spacing w:val="10"/>
          <w:sz w:val="21"/>
        </w:rPr>
        <w:t> </w:t>
      </w:r>
      <w:r>
        <w:rPr>
          <w:b/>
          <w:sz w:val="21"/>
        </w:rPr>
        <w:t>Investment</w:t>
      </w:r>
      <w:r>
        <w:rPr>
          <w:b/>
          <w:spacing w:val="10"/>
          <w:sz w:val="21"/>
        </w:rPr>
        <w:t> </w:t>
      </w:r>
      <w:r>
        <w:rPr>
          <w:b/>
          <w:spacing w:val="-2"/>
          <w:sz w:val="21"/>
        </w:rPr>
        <w:t>Plans</w:t>
      </w:r>
    </w:p>
    <w:p>
      <w:pPr>
        <w:pStyle w:val="BodyText"/>
        <w:spacing w:before="146"/>
        <w:rPr>
          <w:b/>
          <w:sz w:val="21"/>
        </w:rPr>
      </w:pPr>
    </w:p>
    <w:p>
      <w:pPr>
        <w:spacing w:line="213" w:lineRule="auto" w:before="0"/>
        <w:ind w:left="144" w:right="118" w:firstLine="0"/>
        <w:jc w:val="both"/>
        <w:rPr>
          <w:sz w:val="21"/>
        </w:rPr>
      </w:pPr>
      <w:r>
        <w:rPr>
          <w:i/>
          <w:sz w:val="21"/>
        </w:rPr>
        <w:t>One</w:t>
      </w:r>
      <w:r>
        <w:rPr>
          <w:sz w:val="21"/>
        </w:rPr>
        <w:t>. In the execution of the Investment Plans annexed to this concession contract, the Government may require any documents or impose</w:t>
      </w:r>
      <w:r>
        <w:rPr>
          <w:spacing w:val="21"/>
          <w:sz w:val="21"/>
        </w:rPr>
        <w:t> </w:t>
      </w:r>
      <w:r>
        <w:rPr>
          <w:sz w:val="21"/>
        </w:rPr>
        <w:t>changes</w:t>
      </w:r>
      <w:r>
        <w:rPr>
          <w:spacing w:val="21"/>
          <w:sz w:val="21"/>
        </w:rPr>
        <w:t> </w:t>
      </w:r>
      <w:r>
        <w:rPr>
          <w:sz w:val="21"/>
        </w:rPr>
        <w:t>regarding</w:t>
      </w:r>
      <w:r>
        <w:rPr>
          <w:spacing w:val="21"/>
          <w:sz w:val="21"/>
        </w:rPr>
        <w:t> </w:t>
      </w:r>
      <w:r>
        <w:rPr>
          <w:sz w:val="21"/>
        </w:rPr>
        <w:t>the</w:t>
      </w:r>
      <w:r>
        <w:rPr>
          <w:spacing w:val="21"/>
          <w:sz w:val="21"/>
        </w:rPr>
        <w:t> </w:t>
      </w:r>
      <w:r>
        <w:rPr>
          <w:sz w:val="21"/>
        </w:rPr>
        <w:t>execution</w:t>
      </w:r>
      <w:r>
        <w:rPr>
          <w:spacing w:val="21"/>
          <w:sz w:val="21"/>
        </w:rPr>
        <w:t> </w:t>
      </w:r>
      <w:r>
        <w:rPr>
          <w:sz w:val="21"/>
        </w:rPr>
        <w:t>of</w:t>
      </w:r>
      <w:r>
        <w:rPr>
          <w:spacing w:val="21"/>
          <w:sz w:val="21"/>
        </w:rPr>
        <w:t> </w:t>
      </w:r>
      <w:r>
        <w:rPr>
          <w:sz w:val="21"/>
        </w:rPr>
        <w:t>the</w:t>
      </w:r>
      <w:r>
        <w:rPr>
          <w:spacing w:val="21"/>
          <w:sz w:val="21"/>
        </w:rPr>
        <w:t> </w:t>
      </w:r>
      <w:r>
        <w:rPr>
          <w:sz w:val="21"/>
        </w:rPr>
        <w:t>listed</w:t>
      </w:r>
      <w:r>
        <w:rPr>
          <w:spacing w:val="21"/>
          <w:sz w:val="21"/>
        </w:rPr>
        <w:t> </w:t>
      </w:r>
      <w:r>
        <w:rPr>
          <w:sz w:val="21"/>
        </w:rPr>
        <w:t>projects</w:t>
      </w:r>
      <w:r>
        <w:rPr>
          <w:spacing w:val="21"/>
          <w:sz w:val="21"/>
        </w:rPr>
        <w:t> </w:t>
      </w:r>
      <w:r>
        <w:rPr>
          <w:sz w:val="21"/>
        </w:rPr>
        <w:t>to</w:t>
      </w:r>
      <w:r>
        <w:rPr>
          <w:spacing w:val="21"/>
          <w:sz w:val="21"/>
        </w:rPr>
        <w:t> </w:t>
      </w:r>
      <w:r>
        <w:rPr>
          <w:sz w:val="21"/>
        </w:rPr>
        <w:t>ensure</w:t>
      </w:r>
      <w:r>
        <w:rPr>
          <w:spacing w:val="21"/>
          <w:sz w:val="21"/>
        </w:rPr>
        <w:t> </w:t>
      </w:r>
      <w:r>
        <w:rPr>
          <w:sz w:val="21"/>
        </w:rPr>
        <w:t>compliance</w:t>
      </w:r>
      <w:r>
        <w:rPr>
          <w:spacing w:val="21"/>
          <w:sz w:val="21"/>
        </w:rPr>
        <w:t> </w:t>
      </w:r>
      <w:r>
        <w:rPr>
          <w:sz w:val="21"/>
        </w:rPr>
        <w:t>with</w:t>
      </w:r>
      <w:r>
        <w:rPr>
          <w:spacing w:val="21"/>
          <w:sz w:val="21"/>
        </w:rPr>
        <w:t> </w:t>
      </w:r>
      <w:r>
        <w:rPr>
          <w:sz w:val="21"/>
        </w:rPr>
        <w:t>the</w:t>
      </w:r>
      <w:r>
        <w:rPr>
          <w:spacing w:val="21"/>
          <w:sz w:val="21"/>
        </w:rPr>
        <w:t> </w:t>
      </w:r>
      <w:r>
        <w:rPr>
          <w:sz w:val="21"/>
        </w:rPr>
        <w:t>standards,</w:t>
      </w:r>
      <w:r>
        <w:rPr>
          <w:spacing w:val="21"/>
          <w:sz w:val="21"/>
        </w:rPr>
        <w:t> </w:t>
      </w:r>
      <w:r>
        <w:rPr>
          <w:sz w:val="21"/>
        </w:rPr>
        <w:t>technical</w:t>
      </w:r>
      <w:r>
        <w:rPr>
          <w:spacing w:val="21"/>
          <w:sz w:val="21"/>
        </w:rPr>
        <w:t> </w:t>
      </w:r>
      <w:r>
        <w:rPr>
          <w:sz w:val="21"/>
        </w:rPr>
        <w:t>regulations</w:t>
      </w:r>
      <w:r>
        <w:rPr>
          <w:spacing w:val="21"/>
          <w:sz w:val="21"/>
        </w:rPr>
        <w:t> </w:t>
      </w:r>
      <w:r>
        <w:rPr>
          <w:sz w:val="21"/>
        </w:rPr>
        <w:t>in</w:t>
      </w:r>
      <w:r>
        <w:rPr>
          <w:spacing w:val="21"/>
          <w:sz w:val="21"/>
        </w:rPr>
        <w:t> </w:t>
      </w:r>
      <w:r>
        <w:rPr>
          <w:sz w:val="21"/>
        </w:rPr>
        <w:t>force and the level of the quality standards.</w:t>
      </w:r>
    </w:p>
    <w:p>
      <w:pPr>
        <w:pStyle w:val="BodyText"/>
        <w:spacing w:before="153"/>
        <w:rPr>
          <w:sz w:val="21"/>
        </w:rPr>
      </w:pPr>
    </w:p>
    <w:p>
      <w:pPr>
        <w:spacing w:line="213" w:lineRule="auto" w:before="1"/>
        <w:ind w:left="144" w:right="119" w:firstLine="0"/>
        <w:jc w:val="both"/>
        <w:rPr>
          <w:sz w:val="21"/>
        </w:rPr>
      </w:pPr>
      <w:r>
        <w:rPr>
          <w:i/>
          <w:sz w:val="21"/>
        </w:rPr>
        <w:t>Two. </w:t>
      </w:r>
      <w:r>
        <w:rPr>
          <w:sz w:val="21"/>
        </w:rPr>
        <w:t>The Government may not impose any changes to the referred projects that imply an increase in the overall amount referred in Clause 41.</w:t>
      </w:r>
    </w:p>
    <w:p>
      <w:pPr>
        <w:pStyle w:val="BodyText"/>
        <w:spacing w:before="130"/>
        <w:rPr>
          <w:sz w:val="21"/>
        </w:rPr>
      </w:pPr>
    </w:p>
    <w:p>
      <w:pPr>
        <w:spacing w:before="0"/>
        <w:ind w:left="24" w:right="0" w:firstLine="0"/>
        <w:jc w:val="center"/>
        <w:rPr>
          <w:b/>
          <w:sz w:val="21"/>
        </w:rPr>
      </w:pPr>
      <w:r>
        <w:rPr>
          <w:b/>
          <w:sz w:val="21"/>
        </w:rPr>
        <w:t>Clause</w:t>
      </w:r>
      <w:r>
        <w:rPr>
          <w:b/>
          <w:spacing w:val="13"/>
          <w:sz w:val="21"/>
        </w:rPr>
        <w:t> </w:t>
      </w:r>
      <w:r>
        <w:rPr>
          <w:b/>
          <w:spacing w:val="-5"/>
          <w:sz w:val="21"/>
        </w:rPr>
        <w:t>38</w:t>
      </w:r>
    </w:p>
    <w:p>
      <w:pPr>
        <w:spacing w:before="69"/>
        <w:ind w:left="24" w:right="0" w:firstLine="0"/>
        <w:jc w:val="center"/>
        <w:rPr>
          <w:b/>
          <w:sz w:val="21"/>
        </w:rPr>
      </w:pPr>
      <w:r>
        <w:rPr>
          <w:b/>
          <w:sz w:val="21"/>
        </w:rPr>
        <w:t>Execution</w:t>
      </w:r>
      <w:r>
        <w:rPr>
          <w:b/>
          <w:spacing w:val="13"/>
          <w:sz w:val="21"/>
        </w:rPr>
        <w:t> </w:t>
      </w:r>
      <w:r>
        <w:rPr>
          <w:b/>
          <w:sz w:val="21"/>
        </w:rPr>
        <w:t>and</w:t>
      </w:r>
      <w:r>
        <w:rPr>
          <w:b/>
          <w:spacing w:val="13"/>
          <w:sz w:val="21"/>
        </w:rPr>
        <w:t> </w:t>
      </w:r>
      <w:r>
        <w:rPr>
          <w:b/>
          <w:sz w:val="21"/>
        </w:rPr>
        <w:t>supervision</w:t>
      </w:r>
      <w:r>
        <w:rPr>
          <w:b/>
          <w:spacing w:val="14"/>
          <w:sz w:val="21"/>
        </w:rPr>
        <w:t> </w:t>
      </w:r>
      <w:r>
        <w:rPr>
          <w:b/>
          <w:sz w:val="21"/>
        </w:rPr>
        <w:t>of</w:t>
      </w:r>
      <w:r>
        <w:rPr>
          <w:b/>
          <w:spacing w:val="13"/>
          <w:sz w:val="21"/>
        </w:rPr>
        <w:t> </w:t>
      </w:r>
      <w:r>
        <w:rPr>
          <w:b/>
          <w:sz w:val="21"/>
        </w:rPr>
        <w:t>the</w:t>
      </w:r>
      <w:r>
        <w:rPr>
          <w:b/>
          <w:spacing w:val="14"/>
          <w:sz w:val="21"/>
        </w:rPr>
        <w:t> </w:t>
      </w:r>
      <w:r>
        <w:rPr>
          <w:b/>
          <w:sz w:val="21"/>
        </w:rPr>
        <w:t>Investment</w:t>
      </w:r>
      <w:r>
        <w:rPr>
          <w:b/>
          <w:spacing w:val="13"/>
          <w:sz w:val="21"/>
        </w:rPr>
        <w:t> </w:t>
      </w:r>
      <w:r>
        <w:rPr>
          <w:b/>
          <w:spacing w:val="-2"/>
          <w:sz w:val="21"/>
        </w:rPr>
        <w:t>Plans</w:t>
      </w:r>
    </w:p>
    <w:p>
      <w:pPr>
        <w:pStyle w:val="BodyText"/>
        <w:spacing w:before="146"/>
        <w:rPr>
          <w:b/>
          <w:sz w:val="21"/>
        </w:rPr>
      </w:pPr>
    </w:p>
    <w:p>
      <w:pPr>
        <w:spacing w:line="213" w:lineRule="auto" w:before="0"/>
        <w:ind w:left="144" w:right="119" w:firstLine="0"/>
        <w:jc w:val="both"/>
        <w:rPr>
          <w:sz w:val="21"/>
        </w:rPr>
      </w:pPr>
      <w:r>
        <w:rPr>
          <w:i/>
          <w:sz w:val="21"/>
        </w:rPr>
        <w:t>One</w:t>
      </w:r>
      <w:r>
        <w:rPr>
          <w:sz w:val="21"/>
        </w:rPr>
        <w:t>.</w:t>
      </w:r>
      <w:r>
        <w:rPr>
          <w:spacing w:val="15"/>
          <w:sz w:val="21"/>
        </w:rPr>
        <w:t> </w:t>
      </w:r>
      <w:r>
        <w:rPr>
          <w:sz w:val="21"/>
        </w:rPr>
        <w:t>The</w:t>
      </w:r>
      <w:r>
        <w:rPr>
          <w:spacing w:val="19"/>
          <w:sz w:val="21"/>
        </w:rPr>
        <w:t> </w:t>
      </w:r>
      <w:r>
        <w:rPr>
          <w:sz w:val="21"/>
        </w:rPr>
        <w:t>Concessionaire</w:t>
      </w:r>
      <w:r>
        <w:rPr>
          <w:spacing w:val="19"/>
          <w:sz w:val="21"/>
        </w:rPr>
        <w:t> </w:t>
      </w:r>
      <w:r>
        <w:rPr>
          <w:sz w:val="21"/>
        </w:rPr>
        <w:t>undertakes</w:t>
      </w:r>
      <w:r>
        <w:rPr>
          <w:spacing w:val="19"/>
          <w:sz w:val="21"/>
        </w:rPr>
        <w:t> </w:t>
      </w:r>
      <w:r>
        <w:rPr>
          <w:sz w:val="21"/>
        </w:rPr>
        <w:t>to</w:t>
      </w:r>
      <w:r>
        <w:rPr>
          <w:spacing w:val="19"/>
          <w:sz w:val="21"/>
        </w:rPr>
        <w:t> </w:t>
      </w:r>
      <w:r>
        <w:rPr>
          <w:sz w:val="21"/>
        </w:rPr>
        <w:t>submit</w:t>
      </w:r>
      <w:r>
        <w:rPr>
          <w:spacing w:val="19"/>
          <w:sz w:val="21"/>
        </w:rPr>
        <w:t> </w:t>
      </w:r>
      <w:r>
        <w:rPr>
          <w:sz w:val="21"/>
        </w:rPr>
        <w:t>to</w:t>
      </w:r>
      <w:r>
        <w:rPr>
          <w:spacing w:val="19"/>
          <w:sz w:val="21"/>
        </w:rPr>
        <w:t> </w:t>
      </w:r>
      <w:r>
        <w:rPr>
          <w:sz w:val="21"/>
        </w:rPr>
        <w:t>the</w:t>
      </w:r>
      <w:r>
        <w:rPr>
          <w:spacing w:val="19"/>
          <w:sz w:val="21"/>
        </w:rPr>
        <w:t> </w:t>
      </w:r>
      <w:r>
        <w:rPr>
          <w:sz w:val="21"/>
        </w:rPr>
        <w:t>Government,</w:t>
      </w:r>
      <w:r>
        <w:rPr>
          <w:spacing w:val="19"/>
          <w:sz w:val="21"/>
        </w:rPr>
        <w:t> </w:t>
      </w:r>
      <w:r>
        <w:rPr>
          <w:sz w:val="21"/>
        </w:rPr>
        <w:t>by</w:t>
      </w:r>
      <w:r>
        <w:rPr>
          <w:spacing w:val="19"/>
          <w:sz w:val="21"/>
        </w:rPr>
        <w:t> </w:t>
      </w:r>
      <w:r>
        <w:rPr>
          <w:sz w:val="21"/>
        </w:rPr>
        <w:t>30</w:t>
      </w:r>
      <w:r>
        <w:rPr>
          <w:spacing w:val="19"/>
          <w:sz w:val="21"/>
        </w:rPr>
        <w:t> </w:t>
      </w:r>
      <w:r>
        <w:rPr>
          <w:sz w:val="21"/>
        </w:rPr>
        <w:t>September</w:t>
      </w:r>
      <w:r>
        <w:rPr>
          <w:spacing w:val="19"/>
          <w:sz w:val="21"/>
        </w:rPr>
        <w:t> </w:t>
      </w:r>
      <w:r>
        <w:rPr>
          <w:sz w:val="21"/>
        </w:rPr>
        <w:t>of</w:t>
      </w:r>
      <w:r>
        <w:rPr>
          <w:spacing w:val="19"/>
          <w:sz w:val="21"/>
        </w:rPr>
        <w:t> </w:t>
      </w:r>
      <w:r>
        <w:rPr>
          <w:sz w:val="21"/>
        </w:rPr>
        <w:t>each</w:t>
      </w:r>
      <w:r>
        <w:rPr>
          <w:spacing w:val="19"/>
          <w:sz w:val="21"/>
        </w:rPr>
        <w:t> </w:t>
      </w:r>
      <w:r>
        <w:rPr>
          <w:sz w:val="21"/>
        </w:rPr>
        <w:t>year,</w:t>
      </w:r>
      <w:r>
        <w:rPr>
          <w:spacing w:val="19"/>
          <w:sz w:val="21"/>
        </w:rPr>
        <w:t> </w:t>
      </w:r>
      <w:r>
        <w:rPr>
          <w:sz w:val="21"/>
        </w:rPr>
        <w:t>a</w:t>
      </w:r>
      <w:r>
        <w:rPr>
          <w:spacing w:val="19"/>
          <w:sz w:val="21"/>
        </w:rPr>
        <w:t> </w:t>
      </w:r>
      <w:r>
        <w:rPr>
          <w:sz w:val="21"/>
        </w:rPr>
        <w:t>proposal</w:t>
      </w:r>
      <w:r>
        <w:rPr>
          <w:spacing w:val="19"/>
          <w:sz w:val="21"/>
        </w:rPr>
        <w:t> </w:t>
      </w:r>
      <w:r>
        <w:rPr>
          <w:sz w:val="21"/>
        </w:rPr>
        <w:t>for</w:t>
      </w:r>
      <w:r>
        <w:rPr>
          <w:spacing w:val="19"/>
          <w:sz w:val="21"/>
        </w:rPr>
        <w:t> </w:t>
      </w:r>
      <w:r>
        <w:rPr>
          <w:sz w:val="21"/>
        </w:rPr>
        <w:t>the</w:t>
      </w:r>
      <w:r>
        <w:rPr>
          <w:spacing w:val="19"/>
          <w:sz w:val="21"/>
        </w:rPr>
        <w:t> </w:t>
      </w:r>
      <w:r>
        <w:rPr>
          <w:sz w:val="21"/>
        </w:rPr>
        <w:t>implementation of the specific projects referred to in the Investment Plans annexed to this concession contract which it intends to execute in the following</w:t>
      </w:r>
      <w:r>
        <w:rPr>
          <w:spacing w:val="19"/>
          <w:sz w:val="21"/>
        </w:rPr>
        <w:t> </w:t>
      </w:r>
      <w:r>
        <w:rPr>
          <w:sz w:val="21"/>
        </w:rPr>
        <w:t>year,</w:t>
      </w:r>
      <w:r>
        <w:rPr>
          <w:spacing w:val="19"/>
          <w:sz w:val="21"/>
        </w:rPr>
        <w:t> </w:t>
      </w:r>
      <w:r>
        <w:rPr>
          <w:sz w:val="21"/>
        </w:rPr>
        <w:t>which</w:t>
      </w:r>
      <w:r>
        <w:rPr>
          <w:spacing w:val="19"/>
          <w:sz w:val="21"/>
        </w:rPr>
        <w:t> </w:t>
      </w:r>
      <w:r>
        <w:rPr>
          <w:sz w:val="21"/>
        </w:rPr>
        <w:t>shall</w:t>
      </w:r>
      <w:r>
        <w:rPr>
          <w:spacing w:val="19"/>
          <w:sz w:val="21"/>
        </w:rPr>
        <w:t> </w:t>
      </w:r>
      <w:r>
        <w:rPr>
          <w:sz w:val="21"/>
        </w:rPr>
        <w:t>include,</w:t>
      </w:r>
      <w:r>
        <w:rPr>
          <w:spacing w:val="19"/>
          <w:sz w:val="21"/>
        </w:rPr>
        <w:t> </w:t>
      </w:r>
      <w:r>
        <w:rPr>
          <w:sz w:val="21"/>
        </w:rPr>
        <w:t>at</w:t>
      </w:r>
      <w:r>
        <w:rPr>
          <w:spacing w:val="19"/>
          <w:sz w:val="21"/>
        </w:rPr>
        <w:t> </w:t>
      </w:r>
      <w:r>
        <w:rPr>
          <w:sz w:val="21"/>
        </w:rPr>
        <w:t>least,</w:t>
      </w:r>
      <w:r>
        <w:rPr>
          <w:spacing w:val="19"/>
          <w:sz w:val="21"/>
        </w:rPr>
        <w:t> </w:t>
      </w:r>
      <w:r>
        <w:rPr>
          <w:sz w:val="21"/>
        </w:rPr>
        <w:t>the</w:t>
      </w:r>
      <w:r>
        <w:rPr>
          <w:spacing w:val="19"/>
          <w:sz w:val="21"/>
        </w:rPr>
        <w:t> </w:t>
      </w:r>
      <w:r>
        <w:rPr>
          <w:sz w:val="21"/>
        </w:rPr>
        <w:t>details</w:t>
      </w:r>
      <w:r>
        <w:rPr>
          <w:spacing w:val="19"/>
          <w:sz w:val="21"/>
        </w:rPr>
        <w:t> </w:t>
      </w:r>
      <w:r>
        <w:rPr>
          <w:sz w:val="21"/>
        </w:rPr>
        <w:t>of</w:t>
      </w:r>
      <w:r>
        <w:rPr>
          <w:spacing w:val="19"/>
          <w:sz w:val="21"/>
        </w:rPr>
        <w:t> </w:t>
      </w:r>
      <w:r>
        <w:rPr>
          <w:sz w:val="21"/>
        </w:rPr>
        <w:t>the</w:t>
      </w:r>
      <w:r>
        <w:rPr>
          <w:spacing w:val="19"/>
          <w:sz w:val="21"/>
        </w:rPr>
        <w:t> </w:t>
      </w:r>
      <w:r>
        <w:rPr>
          <w:sz w:val="21"/>
        </w:rPr>
        <w:t>specific</w:t>
      </w:r>
      <w:r>
        <w:rPr>
          <w:spacing w:val="19"/>
          <w:sz w:val="21"/>
        </w:rPr>
        <w:t> </w:t>
      </w:r>
      <w:r>
        <w:rPr>
          <w:sz w:val="21"/>
        </w:rPr>
        <w:t>investment</w:t>
      </w:r>
      <w:r>
        <w:rPr>
          <w:spacing w:val="19"/>
          <w:sz w:val="21"/>
        </w:rPr>
        <w:t> </w:t>
      </w:r>
      <w:r>
        <w:rPr>
          <w:sz w:val="21"/>
        </w:rPr>
        <w:t>project</w:t>
      </w:r>
      <w:r>
        <w:rPr>
          <w:spacing w:val="19"/>
          <w:sz w:val="21"/>
        </w:rPr>
        <w:t> </w:t>
      </w:r>
      <w:r>
        <w:rPr>
          <w:sz w:val="21"/>
        </w:rPr>
        <w:t>it</w:t>
      </w:r>
      <w:r>
        <w:rPr>
          <w:spacing w:val="19"/>
          <w:sz w:val="21"/>
        </w:rPr>
        <w:t> </w:t>
      </w:r>
      <w:r>
        <w:rPr>
          <w:sz w:val="21"/>
        </w:rPr>
        <w:t>intends</w:t>
      </w:r>
      <w:r>
        <w:rPr>
          <w:spacing w:val="19"/>
          <w:sz w:val="21"/>
        </w:rPr>
        <w:t> </w:t>
      </w:r>
      <w:r>
        <w:rPr>
          <w:sz w:val="21"/>
        </w:rPr>
        <w:t>to</w:t>
      </w:r>
      <w:r>
        <w:rPr>
          <w:spacing w:val="19"/>
          <w:sz w:val="21"/>
        </w:rPr>
        <w:t> </w:t>
      </w:r>
      <w:r>
        <w:rPr>
          <w:sz w:val="21"/>
        </w:rPr>
        <w:t>execute</w:t>
      </w:r>
      <w:r>
        <w:rPr>
          <w:spacing w:val="19"/>
          <w:sz w:val="21"/>
        </w:rPr>
        <w:t> </w:t>
      </w:r>
      <w:r>
        <w:rPr>
          <w:sz w:val="21"/>
        </w:rPr>
        <w:t>in</w:t>
      </w:r>
      <w:r>
        <w:rPr>
          <w:spacing w:val="19"/>
          <w:sz w:val="21"/>
        </w:rPr>
        <w:t> </w:t>
      </w:r>
      <w:r>
        <w:rPr>
          <w:sz w:val="21"/>
        </w:rPr>
        <w:t>the</w:t>
      </w:r>
      <w:r>
        <w:rPr>
          <w:spacing w:val="19"/>
          <w:sz w:val="21"/>
        </w:rPr>
        <w:t> </w:t>
      </w:r>
      <w:r>
        <w:rPr>
          <w:sz w:val="21"/>
        </w:rPr>
        <w:t>following</w:t>
      </w:r>
      <w:r>
        <w:rPr>
          <w:spacing w:val="19"/>
          <w:sz w:val="21"/>
        </w:rPr>
        <w:t> </w:t>
      </w:r>
      <w:r>
        <w:rPr>
          <w:sz w:val="21"/>
        </w:rPr>
        <w:t>year, the</w:t>
      </w:r>
      <w:r>
        <w:rPr>
          <w:spacing w:val="22"/>
          <w:sz w:val="21"/>
        </w:rPr>
        <w:t> </w:t>
      </w:r>
      <w:r>
        <w:rPr>
          <w:sz w:val="21"/>
        </w:rPr>
        <w:t>amount</w:t>
      </w:r>
      <w:r>
        <w:rPr>
          <w:spacing w:val="22"/>
          <w:sz w:val="21"/>
        </w:rPr>
        <w:t> </w:t>
      </w:r>
      <w:r>
        <w:rPr>
          <w:sz w:val="21"/>
        </w:rPr>
        <w:t>of</w:t>
      </w:r>
      <w:r>
        <w:rPr>
          <w:spacing w:val="22"/>
          <w:sz w:val="21"/>
        </w:rPr>
        <w:t> </w:t>
      </w:r>
      <w:r>
        <w:rPr>
          <w:sz w:val="21"/>
        </w:rPr>
        <w:t>the</w:t>
      </w:r>
      <w:r>
        <w:rPr>
          <w:spacing w:val="22"/>
          <w:sz w:val="21"/>
        </w:rPr>
        <w:t> </w:t>
      </w:r>
      <w:r>
        <w:rPr>
          <w:sz w:val="21"/>
        </w:rPr>
        <w:t>investment,</w:t>
      </w:r>
      <w:r>
        <w:rPr>
          <w:spacing w:val="22"/>
          <w:sz w:val="21"/>
        </w:rPr>
        <w:t> </w:t>
      </w:r>
      <w:r>
        <w:rPr>
          <w:sz w:val="21"/>
        </w:rPr>
        <w:t>and</w:t>
      </w:r>
      <w:r>
        <w:rPr>
          <w:spacing w:val="22"/>
          <w:sz w:val="21"/>
        </w:rPr>
        <w:t> </w:t>
      </w:r>
      <w:r>
        <w:rPr>
          <w:sz w:val="21"/>
        </w:rPr>
        <w:t>the</w:t>
      </w:r>
      <w:r>
        <w:rPr>
          <w:spacing w:val="22"/>
          <w:sz w:val="21"/>
        </w:rPr>
        <w:t> </w:t>
      </w:r>
      <w:r>
        <w:rPr>
          <w:sz w:val="21"/>
        </w:rPr>
        <w:t>deadline</w:t>
      </w:r>
      <w:r>
        <w:rPr>
          <w:spacing w:val="22"/>
          <w:sz w:val="21"/>
        </w:rPr>
        <w:t> </w:t>
      </w:r>
      <w:r>
        <w:rPr>
          <w:sz w:val="21"/>
        </w:rPr>
        <w:t>for</w:t>
      </w:r>
      <w:r>
        <w:rPr>
          <w:spacing w:val="22"/>
          <w:sz w:val="21"/>
        </w:rPr>
        <w:t> </w:t>
      </w:r>
      <w:r>
        <w:rPr>
          <w:sz w:val="21"/>
        </w:rPr>
        <w:t>its</w:t>
      </w:r>
      <w:r>
        <w:rPr>
          <w:spacing w:val="22"/>
          <w:sz w:val="21"/>
        </w:rPr>
        <w:t> </w:t>
      </w:r>
      <w:r>
        <w:rPr>
          <w:sz w:val="21"/>
        </w:rPr>
        <w:t>execution</w:t>
      </w:r>
      <w:r>
        <w:rPr>
          <w:spacing w:val="22"/>
          <w:sz w:val="21"/>
        </w:rPr>
        <w:t> </w:t>
      </w:r>
      <w:r>
        <w:rPr>
          <w:sz w:val="21"/>
        </w:rPr>
        <w:t>–</w:t>
      </w:r>
      <w:r>
        <w:rPr>
          <w:spacing w:val="22"/>
          <w:sz w:val="21"/>
        </w:rPr>
        <w:t> </w:t>
      </w:r>
      <w:r>
        <w:rPr>
          <w:sz w:val="21"/>
        </w:rPr>
        <w:t>for</w:t>
      </w:r>
      <w:r>
        <w:rPr>
          <w:spacing w:val="22"/>
          <w:sz w:val="21"/>
        </w:rPr>
        <w:t> </w:t>
      </w:r>
      <w:r>
        <w:rPr>
          <w:sz w:val="21"/>
        </w:rPr>
        <w:t>the</w:t>
      </w:r>
      <w:r>
        <w:rPr>
          <w:spacing w:val="22"/>
          <w:sz w:val="21"/>
        </w:rPr>
        <w:t> </w:t>
      </w:r>
      <w:r>
        <w:rPr>
          <w:sz w:val="21"/>
        </w:rPr>
        <w:t>purposes</w:t>
      </w:r>
      <w:r>
        <w:rPr>
          <w:spacing w:val="22"/>
          <w:sz w:val="21"/>
        </w:rPr>
        <w:t> </w:t>
      </w:r>
      <w:r>
        <w:rPr>
          <w:sz w:val="21"/>
        </w:rPr>
        <w:t>of</w:t>
      </w:r>
      <w:r>
        <w:rPr>
          <w:spacing w:val="22"/>
          <w:sz w:val="21"/>
        </w:rPr>
        <w:t> </w:t>
      </w:r>
      <w:r>
        <w:rPr>
          <w:sz w:val="21"/>
        </w:rPr>
        <w:t>approval</w:t>
      </w:r>
      <w:r>
        <w:rPr>
          <w:spacing w:val="22"/>
          <w:sz w:val="21"/>
        </w:rPr>
        <w:t> </w:t>
      </w:r>
      <w:r>
        <w:rPr>
          <w:sz w:val="21"/>
        </w:rPr>
        <w:t>by</w:t>
      </w:r>
      <w:r>
        <w:rPr>
          <w:spacing w:val="22"/>
          <w:sz w:val="21"/>
        </w:rPr>
        <w:t> </w:t>
      </w:r>
      <w:r>
        <w:rPr>
          <w:sz w:val="21"/>
        </w:rPr>
        <w:t>the</w:t>
      </w:r>
      <w:r>
        <w:rPr>
          <w:spacing w:val="22"/>
          <w:sz w:val="21"/>
        </w:rPr>
        <w:t> </w:t>
      </w:r>
      <w:r>
        <w:rPr>
          <w:sz w:val="21"/>
        </w:rPr>
        <w:t>Government.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5"/>
        <w:rPr>
          <w:sz w:val="20"/>
        </w:rPr>
      </w:pPr>
      <w:r>
        <w:rPr/>
        <mc:AlternateContent>
          <mc:Choice Requires="wps">
            <w:drawing>
              <wp:anchor distT="0" distB="0" distL="0" distR="0" allowOverlap="1" layoutInCell="1" locked="0" behindDoc="1" simplePos="0" relativeHeight="487774208">
                <wp:simplePos x="0" y="0"/>
                <wp:positionH relativeFrom="page">
                  <wp:posOffset>231457</wp:posOffset>
                </wp:positionH>
                <wp:positionV relativeFrom="paragraph">
                  <wp:posOffset>215371</wp:posOffset>
                </wp:positionV>
                <wp:extent cx="7312659" cy="17145"/>
                <wp:effectExtent l="0" t="0" r="0" b="0"/>
                <wp:wrapTopAndBottom/>
                <wp:docPr id="872" name="Group 872"/>
                <wp:cNvGraphicFramePr>
                  <a:graphicFrameLocks/>
                </wp:cNvGraphicFramePr>
                <a:graphic>
                  <a:graphicData uri="http://schemas.microsoft.com/office/word/2010/wordprocessingGroup">
                    <wpg:wgp>
                      <wpg:cNvPr id="872" name="Group 872"/>
                      <wpg:cNvGrpSpPr/>
                      <wpg:grpSpPr>
                        <a:xfrm>
                          <a:off x="0" y="0"/>
                          <a:ext cx="7312659" cy="17145"/>
                          <a:chExt cx="7312659" cy="17145"/>
                        </a:xfrm>
                      </wpg:grpSpPr>
                      <wps:wsp>
                        <wps:cNvPr id="873" name="Graphic 87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74" name="Graphic 874"/>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75" name="Graphic 87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958395pt;width:575.8pt;height:1.35pt;mso-position-horizontal-relative:page;mso-position-vertical-relative:paragraph;z-index:-15542272;mso-wrap-distance-left:0;mso-wrap-distance-right:0" id="docshapegroup870" coordorigin="364,339" coordsize="11516,27">
                <v:rect style="position:absolute;left:364;top:339;width:11516;height:14" id="docshape871" filled="true" fillcolor="#999999" stroked="false">
                  <v:fill type="solid"/>
                </v:rect>
                <v:shape style="position:absolute;left:364;top:339;width:11516;height:27" id="docshape872" coordorigin="364,339" coordsize="11516,27" path="m11880,339l11866,353,364,353,364,366,11866,366,11880,366,11880,353,11880,339xe" filled="true" fillcolor="#ededed" stroked="false">
                  <v:path arrowok="t"/>
                  <v:fill type="solid"/>
                </v:shape>
                <v:shape style="position:absolute;left:364;top:339;width:14;height:27" id="docshape873" coordorigin="364,339" coordsize="14,27" path="m364,366l364,339,378,339,378,353,364,366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233"/>
        <w:ind w:left="144" w:right="119" w:firstLine="0"/>
        <w:jc w:val="both"/>
        <w:rPr>
          <w:sz w:val="21"/>
        </w:rPr>
      </w:pPr>
      <w:r>
        <w:rPr>
          <w:i/>
          <w:sz w:val="21"/>
        </w:rPr>
        <w:t>Two.</w:t>
      </w:r>
      <w:r>
        <w:rPr>
          <w:i/>
          <w:spacing w:val="23"/>
          <w:sz w:val="21"/>
        </w:rPr>
        <w:t> </w:t>
      </w:r>
      <w:r>
        <w:rPr>
          <w:sz w:val="21"/>
        </w:rPr>
        <w:t>The</w:t>
      </w:r>
      <w:r>
        <w:rPr>
          <w:spacing w:val="23"/>
          <w:sz w:val="21"/>
        </w:rPr>
        <w:t> </w:t>
      </w:r>
      <w:r>
        <w:rPr>
          <w:sz w:val="21"/>
        </w:rPr>
        <w:t>Government</w:t>
      </w:r>
      <w:r>
        <w:rPr>
          <w:spacing w:val="23"/>
          <w:sz w:val="21"/>
        </w:rPr>
        <w:t> </w:t>
      </w:r>
      <w:r>
        <w:rPr>
          <w:sz w:val="21"/>
        </w:rPr>
        <w:t>shall</w:t>
      </w:r>
      <w:r>
        <w:rPr>
          <w:spacing w:val="23"/>
          <w:sz w:val="21"/>
        </w:rPr>
        <w:t> </w:t>
      </w:r>
      <w:r>
        <w:rPr>
          <w:sz w:val="21"/>
        </w:rPr>
        <w:t>decide</w:t>
      </w:r>
      <w:r>
        <w:rPr>
          <w:spacing w:val="23"/>
          <w:sz w:val="21"/>
        </w:rPr>
        <w:t> </w:t>
      </w:r>
      <w:r>
        <w:rPr>
          <w:sz w:val="21"/>
        </w:rPr>
        <w:t>on</w:t>
      </w:r>
      <w:r>
        <w:rPr>
          <w:spacing w:val="23"/>
          <w:sz w:val="21"/>
        </w:rPr>
        <w:t> </w:t>
      </w:r>
      <w:r>
        <w:rPr>
          <w:sz w:val="21"/>
        </w:rPr>
        <w:t>the</w:t>
      </w:r>
      <w:r>
        <w:rPr>
          <w:spacing w:val="23"/>
          <w:sz w:val="21"/>
        </w:rPr>
        <w:t> </w:t>
      </w:r>
      <w:r>
        <w:rPr>
          <w:sz w:val="21"/>
        </w:rPr>
        <w:t>approval</w:t>
      </w:r>
      <w:r>
        <w:rPr>
          <w:spacing w:val="23"/>
          <w:sz w:val="21"/>
        </w:rPr>
        <w:t> </w:t>
      </w:r>
      <w:r>
        <w:rPr>
          <w:sz w:val="21"/>
        </w:rPr>
        <w:t>of</w:t>
      </w:r>
      <w:r>
        <w:rPr>
          <w:spacing w:val="23"/>
          <w:sz w:val="21"/>
        </w:rPr>
        <w:t> </w:t>
      </w:r>
      <w:r>
        <w:rPr>
          <w:sz w:val="21"/>
        </w:rPr>
        <w:t>the</w:t>
      </w:r>
      <w:r>
        <w:rPr>
          <w:spacing w:val="23"/>
          <w:sz w:val="21"/>
        </w:rPr>
        <w:t> </w:t>
      </w:r>
      <w:r>
        <w:rPr>
          <w:sz w:val="21"/>
        </w:rPr>
        <w:t>proposal</w:t>
      </w:r>
      <w:r>
        <w:rPr>
          <w:spacing w:val="23"/>
          <w:sz w:val="21"/>
        </w:rPr>
        <w:t> </w:t>
      </w:r>
      <w:r>
        <w:rPr>
          <w:sz w:val="21"/>
        </w:rPr>
        <w:t>in</w:t>
      </w:r>
      <w:r>
        <w:rPr>
          <w:spacing w:val="23"/>
          <w:sz w:val="21"/>
        </w:rPr>
        <w:t> </w:t>
      </w:r>
      <w:r>
        <w:rPr>
          <w:sz w:val="21"/>
        </w:rPr>
        <w:t>question</w:t>
      </w:r>
      <w:r>
        <w:rPr>
          <w:spacing w:val="23"/>
          <w:sz w:val="21"/>
        </w:rPr>
        <w:t> </w:t>
      </w:r>
      <w:r>
        <w:rPr>
          <w:sz w:val="21"/>
        </w:rPr>
        <w:t>within</w:t>
      </w:r>
      <w:r>
        <w:rPr>
          <w:spacing w:val="23"/>
          <w:sz w:val="21"/>
        </w:rPr>
        <w:t> </w:t>
      </w:r>
      <w:r>
        <w:rPr>
          <w:sz w:val="21"/>
        </w:rPr>
        <w:t>sixty</w:t>
      </w:r>
      <w:r>
        <w:rPr>
          <w:spacing w:val="23"/>
          <w:sz w:val="21"/>
        </w:rPr>
        <w:t> </w:t>
      </w:r>
      <w:r>
        <w:rPr>
          <w:sz w:val="21"/>
        </w:rPr>
        <w:t>days</w:t>
      </w:r>
      <w:r>
        <w:rPr>
          <w:spacing w:val="23"/>
          <w:sz w:val="21"/>
        </w:rPr>
        <w:t> </w:t>
      </w:r>
      <w:r>
        <w:rPr>
          <w:sz w:val="21"/>
        </w:rPr>
        <w:t>from</w:t>
      </w:r>
      <w:r>
        <w:rPr>
          <w:spacing w:val="23"/>
          <w:sz w:val="21"/>
        </w:rPr>
        <w:t> </w:t>
      </w:r>
      <w:r>
        <w:rPr>
          <w:sz w:val="21"/>
        </w:rPr>
        <w:t>the</w:t>
      </w:r>
      <w:r>
        <w:rPr>
          <w:spacing w:val="23"/>
          <w:sz w:val="21"/>
        </w:rPr>
        <w:t> </w:t>
      </w:r>
      <w:r>
        <w:rPr>
          <w:sz w:val="21"/>
        </w:rPr>
        <w:t>day</w:t>
      </w:r>
      <w:r>
        <w:rPr>
          <w:spacing w:val="23"/>
          <w:sz w:val="21"/>
        </w:rPr>
        <w:t> </w:t>
      </w:r>
      <w:r>
        <w:rPr>
          <w:sz w:val="21"/>
        </w:rPr>
        <w:t>following</w:t>
      </w:r>
      <w:r>
        <w:rPr>
          <w:spacing w:val="23"/>
          <w:sz w:val="21"/>
        </w:rPr>
        <w:t> </w:t>
      </w:r>
      <w:r>
        <w:rPr>
          <w:sz w:val="21"/>
        </w:rPr>
        <w:t>the</w:t>
      </w:r>
      <w:r>
        <w:rPr>
          <w:spacing w:val="23"/>
          <w:sz w:val="21"/>
        </w:rPr>
        <w:t> </w:t>
      </w:r>
      <w:r>
        <w:rPr>
          <w:sz w:val="21"/>
        </w:rPr>
        <w:t>end</w:t>
      </w:r>
      <w:r>
        <w:rPr>
          <w:spacing w:val="23"/>
          <w:sz w:val="21"/>
        </w:rPr>
        <w:t> </w:t>
      </w:r>
      <w:r>
        <w:rPr>
          <w:sz w:val="21"/>
        </w:rPr>
        <w:t>of the period referred to in the previous paragraph. To that end, the content of the specific investment project, the amount of </w:t>
      </w:r>
      <w:r>
        <w:rPr>
          <w:sz w:val="21"/>
        </w:rPr>
        <w:t>the</w:t>
      </w:r>
      <w:r>
        <w:rPr>
          <w:spacing w:val="40"/>
          <w:sz w:val="21"/>
        </w:rPr>
        <w:t> </w:t>
      </w:r>
      <w:r>
        <w:rPr>
          <w:sz w:val="21"/>
        </w:rPr>
        <w:t>investment, and the period for execution may be adjusted according to the needs of socio-economic development and by agreement between the Government and the Concessionaire.</w:t>
      </w:r>
    </w:p>
    <w:p>
      <w:pPr>
        <w:pStyle w:val="BodyText"/>
        <w:spacing w:before="154"/>
        <w:rPr>
          <w:sz w:val="21"/>
        </w:rPr>
      </w:pPr>
    </w:p>
    <w:p>
      <w:pPr>
        <w:spacing w:line="213" w:lineRule="auto" w:before="0"/>
        <w:ind w:left="144" w:right="119" w:firstLine="0"/>
        <w:jc w:val="both"/>
        <w:rPr>
          <w:sz w:val="21"/>
        </w:rPr>
      </w:pPr>
      <w:r>
        <w:rPr>
          <w:i/>
          <w:sz w:val="21"/>
        </w:rPr>
        <w:t>Three</w:t>
      </w:r>
      <w:r>
        <w:rPr>
          <w:sz w:val="21"/>
        </w:rPr>
        <w:t>. In the event of </w:t>
      </w:r>
      <w:r>
        <w:rPr>
          <w:i/>
          <w:sz w:val="21"/>
        </w:rPr>
        <w:t>force majeure </w:t>
      </w:r>
      <w:r>
        <w:rPr>
          <w:sz w:val="21"/>
        </w:rPr>
        <w:t>or special circumstances not attributable to the Concessionaire, the latter may request the Government to amend the content of the proposal for the execution of specific projects approved and for this purpose must present </w:t>
      </w:r>
      <w:r>
        <w:rPr>
          <w:sz w:val="21"/>
        </w:rPr>
        <w:t>a detailed report on the respective situation, accompanied by all supporting documents.</w:t>
      </w:r>
    </w:p>
    <w:p>
      <w:pPr>
        <w:pStyle w:val="BodyText"/>
        <w:spacing w:before="167"/>
        <w:rPr>
          <w:sz w:val="21"/>
        </w:rPr>
      </w:pPr>
    </w:p>
    <w:p>
      <w:pPr>
        <w:spacing w:line="213" w:lineRule="auto" w:before="0"/>
        <w:ind w:left="144" w:right="118" w:firstLine="0"/>
        <w:jc w:val="both"/>
        <w:rPr>
          <w:sz w:val="21"/>
        </w:rPr>
      </w:pPr>
      <w:r>
        <w:rPr>
          <w:i/>
          <w:sz w:val="21"/>
        </w:rPr>
        <w:t>Four</w:t>
      </w:r>
      <w:r>
        <w:rPr>
          <w:sz w:val="21"/>
        </w:rPr>
        <w:t>. In the event of </w:t>
      </w:r>
      <w:r>
        <w:rPr>
          <w:i/>
          <w:sz w:val="21"/>
        </w:rPr>
        <w:t>force majeure </w:t>
      </w:r>
      <w:r>
        <w:rPr>
          <w:sz w:val="21"/>
        </w:rPr>
        <w:t>or special circumstances not attributable to the Concessionaire, the latter may request </w:t>
      </w:r>
      <w:r>
        <w:rPr>
          <w:sz w:val="21"/>
        </w:rPr>
        <w:t>the Government to partially or totally suspend the execution of the items contained in the proposal for the execution of specific projects referenced in the Investment Plans attached to this concession contract, submitting for that effect a detailed report on the respective situation, accompanied by all supporting documents.</w:t>
      </w:r>
    </w:p>
    <w:p>
      <w:pPr>
        <w:pStyle w:val="BodyText"/>
        <w:spacing w:before="154"/>
        <w:rPr>
          <w:sz w:val="21"/>
        </w:rPr>
      </w:pPr>
    </w:p>
    <w:p>
      <w:pPr>
        <w:spacing w:line="213" w:lineRule="auto" w:before="0"/>
        <w:ind w:left="144" w:right="119" w:firstLine="0"/>
        <w:jc w:val="both"/>
        <w:rPr>
          <w:sz w:val="21"/>
        </w:rPr>
      </w:pPr>
      <w:r>
        <w:rPr>
          <w:i/>
          <w:sz w:val="21"/>
        </w:rPr>
        <w:t>Five.</w:t>
      </w:r>
      <w:r>
        <w:rPr>
          <w:i/>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submit</w:t>
      </w:r>
      <w:r>
        <w:rPr>
          <w:spacing w:val="40"/>
          <w:sz w:val="21"/>
        </w:rPr>
        <w:t> </w:t>
      </w:r>
      <w:r>
        <w:rPr>
          <w:sz w:val="21"/>
        </w:rPr>
        <w:t>to</w:t>
      </w:r>
      <w:r>
        <w:rPr>
          <w:spacing w:val="40"/>
          <w:sz w:val="21"/>
        </w:rPr>
        <w:t> </w:t>
      </w:r>
      <w:r>
        <w:rPr>
          <w:sz w:val="21"/>
        </w:rPr>
        <w:t>the</w:t>
      </w:r>
      <w:r>
        <w:rPr>
          <w:spacing w:val="40"/>
          <w:sz w:val="21"/>
        </w:rPr>
        <w:t> </w:t>
      </w:r>
      <w:r>
        <w:rPr>
          <w:sz w:val="21"/>
        </w:rPr>
        <w:t>Government,</w:t>
      </w:r>
      <w:r>
        <w:rPr>
          <w:spacing w:val="40"/>
          <w:sz w:val="21"/>
        </w:rPr>
        <w:t> </w:t>
      </w:r>
      <w:r>
        <w:rPr>
          <w:sz w:val="21"/>
        </w:rPr>
        <w:t>no</w:t>
      </w:r>
      <w:r>
        <w:rPr>
          <w:spacing w:val="40"/>
          <w:sz w:val="21"/>
        </w:rPr>
        <w:t> </w:t>
      </w:r>
      <w:r>
        <w:rPr>
          <w:sz w:val="21"/>
        </w:rPr>
        <w:t>later</w:t>
      </w:r>
      <w:r>
        <w:rPr>
          <w:spacing w:val="40"/>
          <w:sz w:val="21"/>
        </w:rPr>
        <w:t> </w:t>
      </w:r>
      <w:r>
        <w:rPr>
          <w:sz w:val="21"/>
        </w:rPr>
        <w:t>than</w:t>
      </w:r>
      <w:r>
        <w:rPr>
          <w:spacing w:val="40"/>
          <w:sz w:val="21"/>
        </w:rPr>
        <w:t> </w:t>
      </w:r>
      <w:r>
        <w:rPr>
          <w:sz w:val="21"/>
        </w:rPr>
        <w:t>31</w:t>
      </w:r>
      <w:r>
        <w:rPr>
          <w:spacing w:val="40"/>
          <w:sz w:val="21"/>
        </w:rPr>
        <w:t> </w:t>
      </w:r>
      <w:r>
        <w:rPr>
          <w:sz w:val="21"/>
        </w:rPr>
        <w:t>March</w:t>
      </w:r>
      <w:r>
        <w:rPr>
          <w:spacing w:val="40"/>
          <w:sz w:val="21"/>
        </w:rPr>
        <w:t> </w:t>
      </w:r>
      <w:r>
        <w:rPr>
          <w:sz w:val="21"/>
        </w:rPr>
        <w:t>of</w:t>
      </w:r>
      <w:r>
        <w:rPr>
          <w:spacing w:val="40"/>
          <w:sz w:val="21"/>
        </w:rPr>
        <w:t> </w:t>
      </w:r>
      <w:r>
        <w:rPr>
          <w:sz w:val="21"/>
        </w:rPr>
        <w:t>each</w:t>
      </w:r>
      <w:r>
        <w:rPr>
          <w:spacing w:val="40"/>
          <w:sz w:val="21"/>
        </w:rPr>
        <w:t> </w:t>
      </w:r>
      <w:r>
        <w:rPr>
          <w:sz w:val="21"/>
        </w:rPr>
        <w:t>year,</w:t>
      </w:r>
      <w:r>
        <w:rPr>
          <w:spacing w:val="40"/>
          <w:sz w:val="21"/>
        </w:rPr>
        <w:t> </w:t>
      </w:r>
      <w:r>
        <w:rPr>
          <w:sz w:val="21"/>
        </w:rPr>
        <w:t>a</w:t>
      </w:r>
      <w:r>
        <w:rPr>
          <w:spacing w:val="40"/>
          <w:sz w:val="21"/>
        </w:rPr>
        <w:t> </w:t>
      </w:r>
      <w:r>
        <w:rPr>
          <w:sz w:val="21"/>
        </w:rPr>
        <w:t>report</w:t>
      </w:r>
      <w:r>
        <w:rPr>
          <w:spacing w:val="40"/>
          <w:sz w:val="21"/>
        </w:rPr>
        <w:t> </w:t>
      </w:r>
      <w:r>
        <w:rPr>
          <w:sz w:val="21"/>
        </w:rPr>
        <w:t>on</w:t>
      </w:r>
      <w:r>
        <w:rPr>
          <w:spacing w:val="40"/>
          <w:sz w:val="21"/>
        </w:rPr>
        <w:t> </w:t>
      </w:r>
      <w:r>
        <w:rPr>
          <w:sz w:val="21"/>
        </w:rPr>
        <w:t>the implementation in the previous year of the Investment Plans annexed to this concession contract and the proposal for the</w:t>
      </w:r>
      <w:r>
        <w:rPr>
          <w:spacing w:val="80"/>
          <w:sz w:val="21"/>
        </w:rPr>
        <w:t> </w:t>
      </w:r>
      <w:r>
        <w:rPr>
          <w:sz w:val="21"/>
        </w:rPr>
        <w:t>implementation</w:t>
      </w:r>
      <w:r>
        <w:rPr>
          <w:spacing w:val="40"/>
          <w:sz w:val="21"/>
        </w:rPr>
        <w:t> </w:t>
      </w:r>
      <w:r>
        <w:rPr>
          <w:sz w:val="21"/>
        </w:rPr>
        <w:t>of</w:t>
      </w:r>
      <w:r>
        <w:rPr>
          <w:spacing w:val="40"/>
          <w:sz w:val="21"/>
        </w:rPr>
        <w:t> </w:t>
      </w:r>
      <w:r>
        <w:rPr>
          <w:sz w:val="21"/>
        </w:rPr>
        <w:t>specific</w:t>
      </w:r>
      <w:r>
        <w:rPr>
          <w:spacing w:val="40"/>
          <w:sz w:val="21"/>
        </w:rPr>
        <w:t> </w:t>
      </w:r>
      <w:r>
        <w:rPr>
          <w:sz w:val="21"/>
        </w:rPr>
        <w:t>projects</w:t>
      </w:r>
      <w:r>
        <w:rPr>
          <w:spacing w:val="40"/>
          <w:sz w:val="21"/>
        </w:rPr>
        <w:t> </w:t>
      </w:r>
      <w:r>
        <w:rPr>
          <w:sz w:val="21"/>
        </w:rPr>
        <w:t>approved,</w:t>
      </w:r>
      <w:r>
        <w:rPr>
          <w:spacing w:val="40"/>
          <w:sz w:val="21"/>
        </w:rPr>
        <w:t> </w:t>
      </w:r>
      <w:r>
        <w:rPr>
          <w:sz w:val="21"/>
        </w:rPr>
        <w:t>which</w:t>
      </w:r>
      <w:r>
        <w:rPr>
          <w:spacing w:val="40"/>
          <w:sz w:val="21"/>
        </w:rPr>
        <w:t> </w:t>
      </w:r>
      <w:r>
        <w:rPr>
          <w:sz w:val="21"/>
        </w:rPr>
        <w:t>shall</w:t>
      </w:r>
      <w:r>
        <w:rPr>
          <w:spacing w:val="40"/>
          <w:sz w:val="21"/>
        </w:rPr>
        <w:t> </w:t>
      </w:r>
      <w:r>
        <w:rPr>
          <w:sz w:val="21"/>
        </w:rPr>
        <w:t>include,</w:t>
      </w:r>
      <w:r>
        <w:rPr>
          <w:spacing w:val="40"/>
          <w:sz w:val="21"/>
        </w:rPr>
        <w:t> </w:t>
      </w:r>
      <w:r>
        <w:rPr>
          <w:sz w:val="21"/>
        </w:rPr>
        <w:t>at</w:t>
      </w:r>
      <w:r>
        <w:rPr>
          <w:spacing w:val="40"/>
          <w:sz w:val="21"/>
        </w:rPr>
        <w:t> </w:t>
      </w:r>
      <w:r>
        <w:rPr>
          <w:sz w:val="21"/>
        </w:rPr>
        <w:t>least,</w:t>
      </w:r>
      <w:r>
        <w:rPr>
          <w:spacing w:val="40"/>
          <w:sz w:val="21"/>
        </w:rPr>
        <w:t> </w:t>
      </w:r>
      <w:r>
        <w:rPr>
          <w:sz w:val="21"/>
        </w:rPr>
        <w:t>the</w:t>
      </w:r>
      <w:r>
        <w:rPr>
          <w:spacing w:val="40"/>
          <w:sz w:val="21"/>
        </w:rPr>
        <w:t> </w:t>
      </w:r>
      <w:r>
        <w:rPr>
          <w:sz w:val="21"/>
        </w:rPr>
        <w:t>status</w:t>
      </w:r>
      <w:r>
        <w:rPr>
          <w:spacing w:val="40"/>
          <w:sz w:val="21"/>
        </w:rPr>
        <w:t> </w:t>
      </w:r>
      <w:r>
        <w:rPr>
          <w:sz w:val="21"/>
        </w:rPr>
        <w:t>of</w:t>
      </w:r>
      <w:r>
        <w:rPr>
          <w:spacing w:val="40"/>
          <w:sz w:val="21"/>
        </w:rPr>
        <w:t> </w:t>
      </w:r>
      <w:r>
        <w:rPr>
          <w:sz w:val="21"/>
        </w:rPr>
        <w:t>the</w:t>
      </w:r>
      <w:r>
        <w:rPr>
          <w:spacing w:val="40"/>
          <w:sz w:val="21"/>
        </w:rPr>
        <w:t> </w:t>
      </w:r>
      <w:r>
        <w:rPr>
          <w:sz w:val="21"/>
        </w:rPr>
        <w:t>implementation</w:t>
      </w:r>
      <w:r>
        <w:rPr>
          <w:spacing w:val="40"/>
          <w:sz w:val="21"/>
        </w:rPr>
        <w:t> </w:t>
      </w:r>
      <w:r>
        <w:rPr>
          <w:sz w:val="21"/>
        </w:rPr>
        <w:t>of</w:t>
      </w:r>
      <w:r>
        <w:rPr>
          <w:spacing w:val="40"/>
          <w:sz w:val="21"/>
        </w:rPr>
        <w:t> </w:t>
      </w:r>
      <w:r>
        <w:rPr>
          <w:sz w:val="21"/>
        </w:rPr>
        <w:t>the</w:t>
      </w:r>
      <w:r>
        <w:rPr>
          <w:spacing w:val="40"/>
          <w:sz w:val="21"/>
        </w:rPr>
        <w:t> </w:t>
      </w:r>
      <w:r>
        <w:rPr>
          <w:sz w:val="21"/>
        </w:rPr>
        <w:t>specific investment</w:t>
      </w:r>
      <w:r>
        <w:rPr>
          <w:spacing w:val="40"/>
          <w:sz w:val="21"/>
        </w:rPr>
        <w:t> </w:t>
      </w:r>
      <w:r>
        <w:rPr>
          <w:sz w:val="21"/>
        </w:rPr>
        <w:t>projects,</w:t>
      </w:r>
      <w:r>
        <w:rPr>
          <w:spacing w:val="40"/>
          <w:sz w:val="21"/>
        </w:rPr>
        <w:t> </w:t>
      </w:r>
      <w:r>
        <w:rPr>
          <w:sz w:val="21"/>
        </w:rPr>
        <w:t>the</w:t>
      </w:r>
      <w:r>
        <w:rPr>
          <w:spacing w:val="40"/>
          <w:sz w:val="21"/>
        </w:rPr>
        <w:t> </w:t>
      </w:r>
      <w:r>
        <w:rPr>
          <w:sz w:val="21"/>
        </w:rPr>
        <w:t>amount</w:t>
      </w:r>
      <w:r>
        <w:rPr>
          <w:spacing w:val="40"/>
          <w:sz w:val="21"/>
        </w:rPr>
        <w:t> </w:t>
      </w:r>
      <w:r>
        <w:rPr>
          <w:sz w:val="21"/>
        </w:rPr>
        <w:t>invested,</w:t>
      </w:r>
      <w:r>
        <w:rPr>
          <w:spacing w:val="40"/>
          <w:sz w:val="21"/>
        </w:rPr>
        <w:t> </w:t>
      </w:r>
      <w:r>
        <w:rPr>
          <w:sz w:val="21"/>
        </w:rPr>
        <w:t>the</w:t>
      </w:r>
      <w:r>
        <w:rPr>
          <w:spacing w:val="40"/>
          <w:sz w:val="21"/>
        </w:rPr>
        <w:t> </w:t>
      </w:r>
      <w:r>
        <w:rPr>
          <w:sz w:val="21"/>
        </w:rPr>
        <w:t>deadline,</w:t>
      </w:r>
      <w:r>
        <w:rPr>
          <w:spacing w:val="40"/>
          <w:sz w:val="21"/>
        </w:rPr>
        <w:t> </w:t>
      </w:r>
      <w:r>
        <w:rPr>
          <w:sz w:val="21"/>
        </w:rPr>
        <w:t>and</w:t>
      </w:r>
      <w:r>
        <w:rPr>
          <w:spacing w:val="40"/>
          <w:sz w:val="21"/>
        </w:rPr>
        <w:t> </w:t>
      </w:r>
      <w:r>
        <w:rPr>
          <w:sz w:val="21"/>
        </w:rPr>
        <w:t>the</w:t>
      </w:r>
      <w:r>
        <w:rPr>
          <w:spacing w:val="40"/>
          <w:sz w:val="21"/>
        </w:rPr>
        <w:t> </w:t>
      </w:r>
      <w:r>
        <w:rPr>
          <w:sz w:val="21"/>
        </w:rPr>
        <w:t>results</w:t>
      </w:r>
      <w:r>
        <w:rPr>
          <w:spacing w:val="40"/>
          <w:sz w:val="21"/>
        </w:rPr>
        <w:t> </w:t>
      </w:r>
      <w:r>
        <w:rPr>
          <w:sz w:val="21"/>
        </w:rPr>
        <w:t>of</w:t>
      </w:r>
      <w:r>
        <w:rPr>
          <w:spacing w:val="40"/>
          <w:sz w:val="21"/>
        </w:rPr>
        <w:t> </w:t>
      </w:r>
      <w:r>
        <w:rPr>
          <w:sz w:val="21"/>
        </w:rPr>
        <w:t>their</w:t>
      </w:r>
      <w:r>
        <w:rPr>
          <w:spacing w:val="40"/>
          <w:sz w:val="21"/>
        </w:rPr>
        <w:t> </w:t>
      </w:r>
      <w:r>
        <w:rPr>
          <w:sz w:val="21"/>
        </w:rPr>
        <w:t>implementation.</w:t>
      </w:r>
      <w:r>
        <w:rPr>
          <w:spacing w:val="40"/>
          <w:sz w:val="21"/>
        </w:rPr>
        <w:t> </w:t>
      </w:r>
      <w:r>
        <w:rPr>
          <w:sz w:val="21"/>
        </w:rPr>
        <w:t>It</w:t>
      </w:r>
      <w:r>
        <w:rPr>
          <w:spacing w:val="40"/>
          <w:sz w:val="21"/>
        </w:rPr>
        <w:t> </w:t>
      </w:r>
      <w:r>
        <w:rPr>
          <w:sz w:val="21"/>
        </w:rPr>
        <w:t>shall</w:t>
      </w:r>
      <w:r>
        <w:rPr>
          <w:spacing w:val="40"/>
          <w:sz w:val="21"/>
        </w:rPr>
        <w:t> </w:t>
      </w:r>
      <w:r>
        <w:rPr>
          <w:sz w:val="21"/>
        </w:rPr>
        <w:t>also</w:t>
      </w:r>
      <w:r>
        <w:rPr>
          <w:spacing w:val="40"/>
          <w:sz w:val="21"/>
        </w:rPr>
        <w:t> </w:t>
      </w:r>
      <w:r>
        <w:rPr>
          <w:sz w:val="21"/>
        </w:rPr>
        <w:t>submit</w:t>
      </w:r>
      <w:r>
        <w:rPr>
          <w:spacing w:val="40"/>
          <w:sz w:val="21"/>
        </w:rPr>
        <w:t> </w:t>
      </w:r>
      <w:r>
        <w:rPr>
          <w:sz w:val="21"/>
        </w:rPr>
        <w:t>other complementary information as requested by the Government.</w:t>
      </w:r>
    </w:p>
    <w:p>
      <w:pPr>
        <w:pStyle w:val="BodyText"/>
        <w:spacing w:before="155"/>
        <w:rPr>
          <w:sz w:val="21"/>
        </w:rPr>
      </w:pPr>
    </w:p>
    <w:p>
      <w:pPr>
        <w:spacing w:line="213" w:lineRule="auto" w:before="1"/>
        <w:ind w:left="144" w:right="119" w:firstLine="0"/>
        <w:jc w:val="both"/>
        <w:rPr>
          <w:sz w:val="21"/>
        </w:rPr>
      </w:pPr>
      <w:r>
        <w:rPr>
          <w:i/>
          <w:sz w:val="21"/>
        </w:rPr>
        <w:t>Six</w:t>
      </w:r>
      <w:r>
        <w:rPr>
          <w:sz w:val="21"/>
        </w:rPr>
        <w:t>. In the event that the Investment Plans annexed to this concession contract and the specific investment projects included in </w:t>
      </w:r>
      <w:r>
        <w:rPr>
          <w:sz w:val="21"/>
        </w:rPr>
        <w:t>the approved</w:t>
      </w:r>
      <w:r>
        <w:rPr>
          <w:spacing w:val="28"/>
          <w:sz w:val="21"/>
        </w:rPr>
        <w:t> </w:t>
      </w:r>
      <w:r>
        <w:rPr>
          <w:sz w:val="21"/>
        </w:rPr>
        <w:t>proposal</w:t>
      </w:r>
      <w:r>
        <w:rPr>
          <w:spacing w:val="28"/>
          <w:sz w:val="21"/>
        </w:rPr>
        <w:t> </w:t>
      </w:r>
      <w:r>
        <w:rPr>
          <w:sz w:val="21"/>
        </w:rPr>
        <w:t>for</w:t>
      </w:r>
      <w:r>
        <w:rPr>
          <w:spacing w:val="28"/>
          <w:sz w:val="21"/>
        </w:rPr>
        <w:t> </w:t>
      </w:r>
      <w:r>
        <w:rPr>
          <w:sz w:val="21"/>
        </w:rPr>
        <w:t>the</w:t>
      </w:r>
      <w:r>
        <w:rPr>
          <w:spacing w:val="28"/>
          <w:sz w:val="21"/>
        </w:rPr>
        <w:t> </w:t>
      </w:r>
      <w:r>
        <w:rPr>
          <w:sz w:val="21"/>
        </w:rPr>
        <w:t>execution</w:t>
      </w:r>
      <w:r>
        <w:rPr>
          <w:spacing w:val="28"/>
          <w:sz w:val="21"/>
        </w:rPr>
        <w:t> </w:t>
      </w:r>
      <w:r>
        <w:rPr>
          <w:sz w:val="21"/>
        </w:rPr>
        <w:t>of</w:t>
      </w:r>
      <w:r>
        <w:rPr>
          <w:spacing w:val="28"/>
          <w:sz w:val="21"/>
        </w:rPr>
        <w:t> </w:t>
      </w:r>
      <w:r>
        <w:rPr>
          <w:sz w:val="21"/>
        </w:rPr>
        <w:t>specific</w:t>
      </w:r>
      <w:r>
        <w:rPr>
          <w:spacing w:val="28"/>
          <w:sz w:val="21"/>
        </w:rPr>
        <w:t> </w:t>
      </w:r>
      <w:r>
        <w:rPr>
          <w:sz w:val="21"/>
        </w:rPr>
        <w:t>projects</w:t>
      </w:r>
      <w:r>
        <w:rPr>
          <w:spacing w:val="28"/>
          <w:sz w:val="21"/>
        </w:rPr>
        <w:t> </w:t>
      </w:r>
      <w:r>
        <w:rPr>
          <w:sz w:val="21"/>
        </w:rPr>
        <w:t>are</w:t>
      </w:r>
      <w:r>
        <w:rPr>
          <w:spacing w:val="28"/>
          <w:sz w:val="21"/>
        </w:rPr>
        <w:t> </w:t>
      </w:r>
      <w:r>
        <w:rPr>
          <w:sz w:val="21"/>
        </w:rPr>
        <w:t>not</w:t>
      </w:r>
      <w:r>
        <w:rPr>
          <w:spacing w:val="28"/>
          <w:sz w:val="21"/>
        </w:rPr>
        <w:t> </w:t>
      </w:r>
      <w:r>
        <w:rPr>
          <w:sz w:val="21"/>
        </w:rPr>
        <w:t>authorized,</w:t>
      </w:r>
      <w:r>
        <w:rPr>
          <w:spacing w:val="28"/>
          <w:sz w:val="21"/>
        </w:rPr>
        <w:t> </w:t>
      </w:r>
      <w:r>
        <w:rPr>
          <w:sz w:val="21"/>
        </w:rPr>
        <w:t>because</w:t>
      </w:r>
      <w:r>
        <w:rPr>
          <w:spacing w:val="28"/>
          <w:sz w:val="21"/>
        </w:rPr>
        <w:t> </w:t>
      </w:r>
      <w:r>
        <w:rPr>
          <w:sz w:val="21"/>
        </w:rPr>
        <w:t>they</w:t>
      </w:r>
      <w:r>
        <w:rPr>
          <w:spacing w:val="28"/>
          <w:sz w:val="21"/>
        </w:rPr>
        <w:t> </w:t>
      </w:r>
      <w:r>
        <w:rPr>
          <w:sz w:val="21"/>
        </w:rPr>
        <w:t>are</w:t>
      </w:r>
      <w:r>
        <w:rPr>
          <w:spacing w:val="28"/>
          <w:sz w:val="21"/>
        </w:rPr>
        <w:t> </w:t>
      </w:r>
      <w:r>
        <w:rPr>
          <w:sz w:val="21"/>
        </w:rPr>
        <w:t>not</w:t>
      </w:r>
      <w:r>
        <w:rPr>
          <w:spacing w:val="28"/>
          <w:sz w:val="21"/>
        </w:rPr>
        <w:t> </w:t>
      </w:r>
      <w:r>
        <w:rPr>
          <w:sz w:val="21"/>
        </w:rPr>
        <w:t>in</w:t>
      </w:r>
      <w:r>
        <w:rPr>
          <w:spacing w:val="28"/>
          <w:sz w:val="21"/>
        </w:rPr>
        <w:t> </w:t>
      </w:r>
      <w:r>
        <w:rPr>
          <w:sz w:val="21"/>
        </w:rPr>
        <w:t>accordance</w:t>
      </w:r>
      <w:r>
        <w:rPr>
          <w:spacing w:val="28"/>
          <w:sz w:val="21"/>
        </w:rPr>
        <w:t> </w:t>
      </w:r>
      <w:r>
        <w:rPr>
          <w:sz w:val="21"/>
        </w:rPr>
        <w:t>with</w:t>
      </w:r>
      <w:r>
        <w:rPr>
          <w:spacing w:val="28"/>
          <w:sz w:val="21"/>
        </w:rPr>
        <w:t> </w:t>
      </w:r>
      <w:r>
        <w:rPr>
          <w:sz w:val="21"/>
        </w:rPr>
        <w:t>the</w:t>
      </w:r>
      <w:r>
        <w:rPr>
          <w:spacing w:val="28"/>
          <w:sz w:val="21"/>
        </w:rPr>
        <w:t> </w:t>
      </w:r>
      <w:r>
        <w:rPr>
          <w:sz w:val="21"/>
        </w:rPr>
        <w:t>applicable legal</w:t>
      </w:r>
      <w:r>
        <w:rPr>
          <w:spacing w:val="40"/>
          <w:sz w:val="21"/>
        </w:rPr>
        <w:t> </w:t>
      </w:r>
      <w:r>
        <w:rPr>
          <w:sz w:val="21"/>
        </w:rPr>
        <w:t>provisions</w:t>
      </w:r>
      <w:r>
        <w:rPr>
          <w:spacing w:val="40"/>
          <w:sz w:val="21"/>
        </w:rPr>
        <w:t> </w:t>
      </w:r>
      <w:r>
        <w:rPr>
          <w:sz w:val="21"/>
        </w:rPr>
        <w:t>and</w:t>
      </w:r>
      <w:r>
        <w:rPr>
          <w:spacing w:val="40"/>
          <w:sz w:val="21"/>
        </w:rPr>
        <w:t> </w:t>
      </w:r>
      <w:r>
        <w:rPr>
          <w:sz w:val="21"/>
        </w:rPr>
        <w:t>urban</w:t>
      </w:r>
      <w:r>
        <w:rPr>
          <w:spacing w:val="40"/>
          <w:sz w:val="21"/>
        </w:rPr>
        <w:t> </w:t>
      </w:r>
      <w:r>
        <w:rPr>
          <w:sz w:val="21"/>
        </w:rPr>
        <w:t>planning</w:t>
      </w:r>
      <w:r>
        <w:rPr>
          <w:spacing w:val="40"/>
          <w:sz w:val="21"/>
        </w:rPr>
        <w:t> </w:t>
      </w:r>
      <w:r>
        <w:rPr>
          <w:sz w:val="21"/>
        </w:rPr>
        <w:t>or</w:t>
      </w:r>
      <w:r>
        <w:rPr>
          <w:spacing w:val="40"/>
          <w:sz w:val="21"/>
        </w:rPr>
        <w:t> </w:t>
      </w:r>
      <w:r>
        <w:rPr>
          <w:sz w:val="21"/>
        </w:rPr>
        <w:t>due</w:t>
      </w:r>
      <w:r>
        <w:rPr>
          <w:spacing w:val="40"/>
          <w:sz w:val="21"/>
        </w:rPr>
        <w:t> </w:t>
      </w:r>
      <w:r>
        <w:rPr>
          <w:sz w:val="21"/>
        </w:rPr>
        <w:t>to</w:t>
      </w:r>
      <w:r>
        <w:rPr>
          <w:spacing w:val="40"/>
          <w:sz w:val="21"/>
        </w:rPr>
        <w:t> </w:t>
      </w:r>
      <w:r>
        <w:rPr>
          <w:sz w:val="21"/>
        </w:rPr>
        <w:t>other</w:t>
      </w:r>
      <w:r>
        <w:rPr>
          <w:spacing w:val="40"/>
          <w:sz w:val="21"/>
        </w:rPr>
        <w:t> </w:t>
      </w:r>
      <w:r>
        <w:rPr>
          <w:sz w:val="21"/>
        </w:rPr>
        <w:t>public</w:t>
      </w:r>
      <w:r>
        <w:rPr>
          <w:spacing w:val="40"/>
          <w:sz w:val="21"/>
        </w:rPr>
        <w:t> </w:t>
      </w:r>
      <w:r>
        <w:rPr>
          <w:sz w:val="21"/>
        </w:rPr>
        <w:t>interest,</w:t>
      </w:r>
      <w:r>
        <w:rPr>
          <w:spacing w:val="40"/>
          <w:sz w:val="21"/>
        </w:rPr>
        <w:t> </w:t>
      </w:r>
      <w:r>
        <w:rPr>
          <w:sz w:val="21"/>
        </w:rPr>
        <w:t>the</w:t>
      </w:r>
      <w:r>
        <w:rPr>
          <w:spacing w:val="40"/>
          <w:sz w:val="21"/>
        </w:rPr>
        <w:t> </w:t>
      </w:r>
      <w:r>
        <w:rPr>
          <w:sz w:val="21"/>
        </w:rPr>
        <w:t>Concessionaire</w:t>
      </w:r>
      <w:r>
        <w:rPr>
          <w:spacing w:val="40"/>
          <w:sz w:val="21"/>
        </w:rPr>
        <w:t> </w:t>
      </w:r>
      <w:r>
        <w:rPr>
          <w:sz w:val="21"/>
        </w:rPr>
        <w:t>further</w:t>
      </w:r>
      <w:r>
        <w:rPr>
          <w:spacing w:val="40"/>
          <w:sz w:val="21"/>
        </w:rPr>
        <w:t> </w:t>
      </w:r>
      <w:r>
        <w:rPr>
          <w:sz w:val="21"/>
        </w:rPr>
        <w:t>undertakes</w:t>
      </w:r>
      <w:r>
        <w:rPr>
          <w:spacing w:val="40"/>
          <w:sz w:val="21"/>
        </w:rPr>
        <w:t> </w:t>
      </w:r>
      <w:r>
        <w:rPr>
          <w:sz w:val="21"/>
        </w:rPr>
        <w:t>to</w:t>
      </w:r>
      <w:r>
        <w:rPr>
          <w:spacing w:val="40"/>
          <w:sz w:val="21"/>
        </w:rPr>
        <w:t> </w:t>
      </w:r>
      <w:r>
        <w:rPr>
          <w:sz w:val="21"/>
        </w:rPr>
        <w:t>allocate</w:t>
      </w:r>
      <w:r>
        <w:rPr>
          <w:spacing w:val="40"/>
          <w:sz w:val="21"/>
        </w:rPr>
        <w:t> </w:t>
      </w:r>
      <w:r>
        <w:rPr>
          <w:sz w:val="21"/>
        </w:rPr>
        <w:t>the</w:t>
      </w:r>
      <w:r>
        <w:rPr>
          <w:spacing w:val="40"/>
          <w:sz w:val="21"/>
        </w:rPr>
        <w:t> </w:t>
      </w:r>
      <w:r>
        <w:rPr>
          <w:sz w:val="21"/>
        </w:rPr>
        <w:t>funds initially earmarked for the aforementioned investment projects to projects related to its activity, as indicated and accepted by the </w:t>
      </w:r>
      <w:r>
        <w:rPr>
          <w:spacing w:val="-2"/>
          <w:sz w:val="21"/>
        </w:rPr>
        <w:t>Government.</w:t>
      </w:r>
    </w:p>
    <w:p>
      <w:pPr>
        <w:pStyle w:val="BodyText"/>
        <w:spacing w:before="168"/>
        <w:rPr>
          <w:sz w:val="21"/>
        </w:rPr>
      </w:pPr>
    </w:p>
    <w:p>
      <w:pPr>
        <w:spacing w:line="213" w:lineRule="auto" w:before="1"/>
        <w:ind w:left="144" w:right="119" w:firstLine="0"/>
        <w:jc w:val="both"/>
        <w:rPr>
          <w:sz w:val="21"/>
        </w:rPr>
      </w:pPr>
      <w:r>
        <w:rPr>
          <w:i/>
          <w:sz w:val="21"/>
        </w:rPr>
        <w:t>Seven</w:t>
      </w:r>
      <w:r>
        <w:rPr>
          <w:sz w:val="21"/>
        </w:rPr>
        <w:t>.</w:t>
      </w:r>
      <w:r>
        <w:rPr>
          <w:spacing w:val="40"/>
          <w:sz w:val="21"/>
        </w:rPr>
        <w:t> </w:t>
      </w:r>
      <w:r>
        <w:rPr>
          <w:sz w:val="21"/>
        </w:rPr>
        <w:t>For</w:t>
      </w:r>
      <w:r>
        <w:rPr>
          <w:spacing w:val="40"/>
          <w:sz w:val="21"/>
        </w:rPr>
        <w:t> </w:t>
      </w:r>
      <w:r>
        <w:rPr>
          <w:sz w:val="21"/>
        </w:rPr>
        <w:t>the</w:t>
      </w:r>
      <w:r>
        <w:rPr>
          <w:spacing w:val="40"/>
          <w:sz w:val="21"/>
        </w:rPr>
        <w:t> </w:t>
      </w:r>
      <w:r>
        <w:rPr>
          <w:sz w:val="21"/>
        </w:rPr>
        <w:t>purposes</w:t>
      </w:r>
      <w:r>
        <w:rPr>
          <w:spacing w:val="40"/>
          <w:sz w:val="21"/>
        </w:rPr>
        <w:t> </w:t>
      </w:r>
      <w:r>
        <w:rPr>
          <w:sz w:val="21"/>
        </w:rPr>
        <w:t>of</w:t>
      </w:r>
      <w:r>
        <w:rPr>
          <w:spacing w:val="40"/>
          <w:sz w:val="21"/>
        </w:rPr>
        <w:t> </w:t>
      </w:r>
      <w:r>
        <w:rPr>
          <w:sz w:val="21"/>
        </w:rPr>
        <w:t>monitoring</w:t>
      </w:r>
      <w:r>
        <w:rPr>
          <w:spacing w:val="40"/>
          <w:sz w:val="21"/>
        </w:rPr>
        <w:t> </w:t>
      </w:r>
      <w:r>
        <w:rPr>
          <w:sz w:val="21"/>
        </w:rPr>
        <w:t>the</w:t>
      </w:r>
      <w:r>
        <w:rPr>
          <w:spacing w:val="40"/>
          <w:sz w:val="21"/>
        </w:rPr>
        <w:t> </w:t>
      </w:r>
      <w:r>
        <w:rPr>
          <w:sz w:val="21"/>
        </w:rPr>
        <w:t>execution</w:t>
      </w:r>
      <w:r>
        <w:rPr>
          <w:spacing w:val="40"/>
          <w:sz w:val="21"/>
        </w:rPr>
        <w:t> </w:t>
      </w:r>
      <w:r>
        <w:rPr>
          <w:sz w:val="21"/>
        </w:rPr>
        <w:t>of</w:t>
      </w:r>
      <w:r>
        <w:rPr>
          <w:spacing w:val="40"/>
          <w:sz w:val="21"/>
        </w:rPr>
        <w:t> </w:t>
      </w:r>
      <w:r>
        <w:rPr>
          <w:sz w:val="21"/>
        </w:rPr>
        <w:t>the</w:t>
      </w:r>
      <w:r>
        <w:rPr>
          <w:spacing w:val="40"/>
          <w:sz w:val="21"/>
        </w:rPr>
        <w:t> </w:t>
      </w:r>
      <w:r>
        <w:rPr>
          <w:sz w:val="21"/>
        </w:rPr>
        <w:t>Investment</w:t>
      </w:r>
      <w:r>
        <w:rPr>
          <w:spacing w:val="40"/>
          <w:sz w:val="21"/>
        </w:rPr>
        <w:t> </w:t>
      </w:r>
      <w:r>
        <w:rPr>
          <w:sz w:val="21"/>
        </w:rPr>
        <w:t>Plans</w:t>
      </w:r>
      <w:r>
        <w:rPr>
          <w:spacing w:val="40"/>
          <w:sz w:val="21"/>
        </w:rPr>
        <w:t> </w:t>
      </w:r>
      <w:r>
        <w:rPr>
          <w:sz w:val="21"/>
        </w:rPr>
        <w:t>by</w:t>
      </w:r>
      <w:r>
        <w:rPr>
          <w:spacing w:val="40"/>
          <w:sz w:val="21"/>
        </w:rPr>
        <w:t> </w:t>
      </w:r>
      <w:r>
        <w:rPr>
          <w:sz w:val="21"/>
        </w:rPr>
        <w:t>the</w:t>
      </w:r>
      <w:r>
        <w:rPr>
          <w:spacing w:val="40"/>
          <w:sz w:val="21"/>
        </w:rPr>
        <w:t> </w:t>
      </w:r>
      <w:r>
        <w:rPr>
          <w:sz w:val="21"/>
        </w:rPr>
        <w:t>Concessionaire,</w:t>
      </w:r>
      <w:r>
        <w:rPr>
          <w:spacing w:val="40"/>
          <w:sz w:val="21"/>
        </w:rPr>
        <w:t> </w:t>
      </w:r>
      <w:r>
        <w:rPr>
          <w:sz w:val="21"/>
        </w:rPr>
        <w:t>the</w:t>
      </w:r>
      <w:r>
        <w:rPr>
          <w:spacing w:val="40"/>
          <w:sz w:val="21"/>
        </w:rPr>
        <w:t> </w:t>
      </w:r>
      <w:r>
        <w:rPr>
          <w:sz w:val="21"/>
        </w:rPr>
        <w:t>latter</w:t>
      </w:r>
      <w:r>
        <w:rPr>
          <w:spacing w:val="40"/>
          <w:sz w:val="21"/>
        </w:rPr>
        <w:t> </w:t>
      </w:r>
      <w:r>
        <w:rPr>
          <w:sz w:val="21"/>
        </w:rPr>
        <w:t>undertakes</w:t>
      </w:r>
      <w:r>
        <w:rPr>
          <w:spacing w:val="40"/>
          <w:sz w:val="21"/>
        </w:rPr>
        <w:t> </w:t>
      </w:r>
      <w:r>
        <w:rPr>
          <w:sz w:val="21"/>
        </w:rPr>
        <w:t>to cooperate</w:t>
      </w:r>
      <w:r>
        <w:rPr>
          <w:spacing w:val="30"/>
          <w:sz w:val="21"/>
        </w:rPr>
        <w:t> </w:t>
      </w:r>
      <w:r>
        <w:rPr>
          <w:sz w:val="21"/>
        </w:rPr>
        <w:t>with</w:t>
      </w:r>
      <w:r>
        <w:rPr>
          <w:spacing w:val="30"/>
          <w:sz w:val="21"/>
        </w:rPr>
        <w:t> </w:t>
      </w:r>
      <w:r>
        <w:rPr>
          <w:sz w:val="21"/>
        </w:rPr>
        <w:t>the</w:t>
      </w:r>
      <w:r>
        <w:rPr>
          <w:spacing w:val="30"/>
          <w:sz w:val="21"/>
        </w:rPr>
        <w:t> </w:t>
      </w:r>
      <w:r>
        <w:rPr>
          <w:sz w:val="21"/>
        </w:rPr>
        <w:t>Government</w:t>
      </w:r>
      <w:r>
        <w:rPr>
          <w:spacing w:val="30"/>
          <w:sz w:val="21"/>
        </w:rPr>
        <w:t> </w:t>
      </w:r>
      <w:r>
        <w:rPr>
          <w:sz w:val="21"/>
        </w:rPr>
        <w:t>and</w:t>
      </w:r>
      <w:r>
        <w:rPr>
          <w:spacing w:val="30"/>
          <w:sz w:val="21"/>
        </w:rPr>
        <w:t> </w:t>
      </w:r>
      <w:r>
        <w:rPr>
          <w:sz w:val="21"/>
        </w:rPr>
        <w:t>shall</w:t>
      </w:r>
      <w:r>
        <w:rPr>
          <w:spacing w:val="30"/>
          <w:sz w:val="21"/>
        </w:rPr>
        <w:t> </w:t>
      </w:r>
      <w:r>
        <w:rPr>
          <w:sz w:val="21"/>
        </w:rPr>
        <w:t>submit</w:t>
      </w:r>
      <w:r>
        <w:rPr>
          <w:spacing w:val="30"/>
          <w:sz w:val="21"/>
        </w:rPr>
        <w:t> </w:t>
      </w:r>
      <w:r>
        <w:rPr>
          <w:sz w:val="21"/>
        </w:rPr>
        <w:t>the</w:t>
      </w:r>
      <w:r>
        <w:rPr>
          <w:spacing w:val="30"/>
          <w:sz w:val="21"/>
        </w:rPr>
        <w:t> </w:t>
      </w:r>
      <w:r>
        <w:rPr>
          <w:sz w:val="21"/>
        </w:rPr>
        <w:t>necessary</w:t>
      </w:r>
      <w:r>
        <w:rPr>
          <w:spacing w:val="30"/>
          <w:sz w:val="21"/>
        </w:rPr>
        <w:t> </w:t>
      </w:r>
      <w:r>
        <w:rPr>
          <w:sz w:val="21"/>
        </w:rPr>
        <w:t>documents,</w:t>
      </w:r>
      <w:r>
        <w:rPr>
          <w:spacing w:val="30"/>
          <w:sz w:val="21"/>
        </w:rPr>
        <w:t> </w:t>
      </w:r>
      <w:r>
        <w:rPr>
          <w:sz w:val="21"/>
        </w:rPr>
        <w:t>information,</w:t>
      </w:r>
      <w:r>
        <w:rPr>
          <w:spacing w:val="30"/>
          <w:sz w:val="21"/>
        </w:rPr>
        <w:t> </w:t>
      </w:r>
      <w:r>
        <w:rPr>
          <w:sz w:val="21"/>
        </w:rPr>
        <w:t>or</w:t>
      </w:r>
      <w:r>
        <w:rPr>
          <w:spacing w:val="30"/>
          <w:sz w:val="21"/>
        </w:rPr>
        <w:t> </w:t>
      </w:r>
      <w:r>
        <w:rPr>
          <w:sz w:val="21"/>
        </w:rPr>
        <w:t>evidence</w:t>
      </w:r>
      <w:r>
        <w:rPr>
          <w:spacing w:val="30"/>
          <w:sz w:val="21"/>
        </w:rPr>
        <w:t> </w:t>
      </w:r>
      <w:r>
        <w:rPr>
          <w:sz w:val="21"/>
        </w:rPr>
        <w:t>when</w:t>
      </w:r>
      <w:r>
        <w:rPr>
          <w:spacing w:val="30"/>
          <w:sz w:val="21"/>
        </w:rPr>
        <w:t> </w:t>
      </w:r>
      <w:r>
        <w:rPr>
          <w:sz w:val="21"/>
        </w:rPr>
        <w:t>requested.</w:t>
      </w:r>
    </w:p>
    <w:p>
      <w:pPr>
        <w:pStyle w:val="BodyText"/>
        <w:spacing w:before="130"/>
        <w:rPr>
          <w:sz w:val="21"/>
        </w:rPr>
      </w:pPr>
    </w:p>
    <w:p>
      <w:pPr>
        <w:spacing w:line="309" w:lineRule="auto" w:before="0"/>
        <w:ind w:left="4369" w:right="4389" w:firstLine="1085"/>
        <w:jc w:val="left"/>
        <w:rPr>
          <w:b/>
          <w:sz w:val="21"/>
        </w:rPr>
      </w:pPr>
      <w:r>
        <w:rPr>
          <w:b/>
          <w:sz w:val="21"/>
        </w:rPr>
        <w:t>Clause 39</w:t>
      </w:r>
      <w:r>
        <w:rPr>
          <w:b/>
          <w:spacing w:val="80"/>
          <w:sz w:val="21"/>
        </w:rPr>
        <w:t> </w:t>
      </w:r>
      <w:r>
        <w:rPr>
          <w:b/>
          <w:sz w:val="21"/>
        </w:rPr>
        <w:t>Supervision of construction </w:t>
      </w:r>
      <w:r>
        <w:rPr>
          <w:b/>
          <w:sz w:val="21"/>
        </w:rPr>
        <w:t>work</w:t>
      </w:r>
    </w:p>
    <w:p>
      <w:pPr>
        <w:pStyle w:val="BodyText"/>
        <w:spacing w:before="75"/>
        <w:rPr>
          <w:b/>
          <w:sz w:val="21"/>
        </w:rPr>
      </w:pPr>
    </w:p>
    <w:p>
      <w:pPr>
        <w:spacing w:line="213" w:lineRule="auto" w:before="0"/>
        <w:ind w:left="144" w:right="118" w:firstLine="0"/>
        <w:jc w:val="both"/>
        <w:rPr>
          <w:sz w:val="21"/>
        </w:rPr>
      </w:pPr>
      <w:r>
        <w:rPr>
          <w:i/>
          <w:sz w:val="21"/>
        </w:rPr>
        <w:t>One</w:t>
      </w:r>
      <w:r>
        <w:rPr>
          <w:sz w:val="21"/>
        </w:rPr>
        <w:t>. Through</w:t>
      </w:r>
      <w:r>
        <w:rPr>
          <w:spacing w:val="27"/>
          <w:sz w:val="21"/>
        </w:rPr>
        <w:t> </w:t>
      </w:r>
      <w:r>
        <w:rPr>
          <w:sz w:val="21"/>
        </w:rPr>
        <w:t>DSSCU,</w:t>
      </w:r>
      <w:r>
        <w:rPr>
          <w:spacing w:val="27"/>
          <w:sz w:val="21"/>
        </w:rPr>
        <w:t> </w:t>
      </w:r>
      <w:r>
        <w:rPr>
          <w:sz w:val="21"/>
        </w:rPr>
        <w:t>the</w:t>
      </w:r>
      <w:r>
        <w:rPr>
          <w:spacing w:val="27"/>
          <w:sz w:val="21"/>
        </w:rPr>
        <w:t> </w:t>
      </w:r>
      <w:r>
        <w:rPr>
          <w:sz w:val="21"/>
        </w:rPr>
        <w:t>Government</w:t>
      </w:r>
      <w:r>
        <w:rPr>
          <w:spacing w:val="27"/>
          <w:sz w:val="21"/>
        </w:rPr>
        <w:t> </w:t>
      </w:r>
      <w:r>
        <w:rPr>
          <w:sz w:val="21"/>
        </w:rPr>
        <w:t>shall</w:t>
      </w:r>
      <w:r>
        <w:rPr>
          <w:spacing w:val="27"/>
          <w:sz w:val="21"/>
        </w:rPr>
        <w:t> </w:t>
      </w:r>
      <w:r>
        <w:rPr>
          <w:sz w:val="21"/>
        </w:rPr>
        <w:t>monitor</w:t>
      </w:r>
      <w:r>
        <w:rPr>
          <w:spacing w:val="27"/>
          <w:sz w:val="21"/>
        </w:rPr>
        <w:t> </w:t>
      </w:r>
      <w:r>
        <w:rPr>
          <w:sz w:val="21"/>
        </w:rPr>
        <w:t>and</w:t>
      </w:r>
      <w:r>
        <w:rPr>
          <w:spacing w:val="27"/>
          <w:sz w:val="21"/>
        </w:rPr>
        <w:t> </w:t>
      </w:r>
      <w:r>
        <w:rPr>
          <w:sz w:val="21"/>
        </w:rPr>
        <w:t>supervise</w:t>
      </w:r>
      <w:r>
        <w:rPr>
          <w:spacing w:val="27"/>
          <w:sz w:val="21"/>
        </w:rPr>
        <w:t> </w:t>
      </w:r>
      <w:r>
        <w:rPr>
          <w:sz w:val="21"/>
        </w:rPr>
        <w:t>the</w:t>
      </w:r>
      <w:r>
        <w:rPr>
          <w:spacing w:val="27"/>
          <w:sz w:val="21"/>
        </w:rPr>
        <w:t> </w:t>
      </w:r>
      <w:r>
        <w:rPr>
          <w:sz w:val="21"/>
        </w:rPr>
        <w:t>execution</w:t>
      </w:r>
      <w:r>
        <w:rPr>
          <w:spacing w:val="27"/>
          <w:sz w:val="21"/>
        </w:rPr>
        <w:t> </w:t>
      </w:r>
      <w:r>
        <w:rPr>
          <w:sz w:val="21"/>
        </w:rPr>
        <w:t>of</w:t>
      </w:r>
      <w:r>
        <w:rPr>
          <w:spacing w:val="27"/>
          <w:sz w:val="21"/>
        </w:rPr>
        <w:t> </w:t>
      </w:r>
      <w:r>
        <w:rPr>
          <w:sz w:val="21"/>
        </w:rPr>
        <w:t>the</w:t>
      </w:r>
      <w:r>
        <w:rPr>
          <w:spacing w:val="27"/>
          <w:sz w:val="21"/>
        </w:rPr>
        <w:t> </w:t>
      </w:r>
      <w:r>
        <w:rPr>
          <w:sz w:val="21"/>
        </w:rPr>
        <w:t>construction</w:t>
      </w:r>
      <w:r>
        <w:rPr>
          <w:spacing w:val="27"/>
          <w:sz w:val="21"/>
        </w:rPr>
        <w:t> </w:t>
      </w:r>
      <w:r>
        <w:rPr>
          <w:sz w:val="21"/>
        </w:rPr>
        <w:t>work,</w:t>
      </w:r>
      <w:r>
        <w:rPr>
          <w:spacing w:val="27"/>
          <w:sz w:val="21"/>
        </w:rPr>
        <w:t> </w:t>
      </w:r>
      <w:r>
        <w:rPr>
          <w:sz w:val="21"/>
        </w:rPr>
        <w:t>namely</w:t>
      </w:r>
      <w:r>
        <w:rPr>
          <w:spacing w:val="27"/>
          <w:sz w:val="21"/>
        </w:rPr>
        <w:t> </w:t>
      </w:r>
      <w:r>
        <w:rPr>
          <w:sz w:val="21"/>
        </w:rPr>
        <w:t>its</w:t>
      </w:r>
      <w:r>
        <w:rPr>
          <w:spacing w:val="27"/>
          <w:sz w:val="21"/>
        </w:rPr>
        <w:t> </w:t>
      </w:r>
      <w:r>
        <w:rPr>
          <w:sz w:val="21"/>
        </w:rPr>
        <w:t>compliance with the plan of works and the quality of the materials, systems and equipment according to the applicable legislation as per the Investment Plans attached to this concession contract.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6"/>
        <w:rPr>
          <w:sz w:val="20"/>
        </w:rPr>
      </w:pPr>
      <w:r>
        <w:rPr/>
        <mc:AlternateContent>
          <mc:Choice Requires="wps">
            <w:drawing>
              <wp:anchor distT="0" distB="0" distL="0" distR="0" allowOverlap="1" layoutInCell="1" locked="0" behindDoc="1" simplePos="0" relativeHeight="487774720">
                <wp:simplePos x="0" y="0"/>
                <wp:positionH relativeFrom="page">
                  <wp:posOffset>231457</wp:posOffset>
                </wp:positionH>
                <wp:positionV relativeFrom="paragraph">
                  <wp:posOffset>196837</wp:posOffset>
                </wp:positionV>
                <wp:extent cx="7312659" cy="17145"/>
                <wp:effectExtent l="0" t="0" r="0" b="0"/>
                <wp:wrapTopAndBottom/>
                <wp:docPr id="876" name="Group 876"/>
                <wp:cNvGraphicFramePr>
                  <a:graphicFrameLocks/>
                </wp:cNvGraphicFramePr>
                <a:graphic>
                  <a:graphicData uri="http://schemas.microsoft.com/office/word/2010/wordprocessingGroup">
                    <wpg:wgp>
                      <wpg:cNvPr id="876" name="Group 876"/>
                      <wpg:cNvGrpSpPr/>
                      <wpg:grpSpPr>
                        <a:xfrm>
                          <a:off x="0" y="0"/>
                          <a:ext cx="7312659" cy="17145"/>
                          <a:chExt cx="7312659" cy="17145"/>
                        </a:xfrm>
                      </wpg:grpSpPr>
                      <wps:wsp>
                        <wps:cNvPr id="877" name="Graphic 87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78" name="Graphic 878"/>
                        <wps:cNvSpPr/>
                        <wps:spPr>
                          <a:xfrm>
                            <a:off x="-12" y="-1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79" name="Graphic 87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499023pt;width:575.8pt;height:1.35pt;mso-position-horizontal-relative:page;mso-position-vertical-relative:paragraph;z-index:-15541760;mso-wrap-distance-left:0;mso-wrap-distance-right:0" id="docshapegroup874" coordorigin="364,310" coordsize="11516,27">
                <v:rect style="position:absolute;left:364;top:309;width:11516;height:14" id="docshape875" filled="true" fillcolor="#999999" stroked="false">
                  <v:fill type="solid"/>
                </v:rect>
                <v:shape style="position:absolute;left:364;top:309;width:11516;height:27" id="docshape876" coordorigin="364,310" coordsize="11516,27" path="m11880,310l11866,323,364,323,364,337,11866,337,11880,337,11880,323,11880,310xe" filled="true" fillcolor="#ededed" stroked="false">
                  <v:path arrowok="t"/>
                  <v:fill type="solid"/>
                </v:shape>
                <v:shape style="position:absolute;left:364;top:309;width:14;height:27" id="docshape877" coordorigin="364,310" coordsize="14,27" path="m364,337l364,310,378,310,378,323,364,337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spacing w:line="213" w:lineRule="auto" w:before="90"/>
        <w:ind w:left="144" w:right="118" w:firstLine="0"/>
        <w:jc w:val="both"/>
        <w:rPr>
          <w:sz w:val="21"/>
        </w:rPr>
      </w:pPr>
      <w:r>
        <w:rPr>
          <w:i/>
          <w:sz w:val="21"/>
        </w:rPr>
        <w:t>Two</w:t>
      </w:r>
      <w:r>
        <w:rPr>
          <w:sz w:val="21"/>
        </w:rPr>
        <w:t>.</w:t>
      </w:r>
      <w:r>
        <w:rPr>
          <w:spacing w:val="23"/>
          <w:sz w:val="21"/>
        </w:rPr>
        <w:t> </w:t>
      </w:r>
      <w:r>
        <w:rPr>
          <w:sz w:val="21"/>
        </w:rPr>
        <w:t>For</w:t>
      </w:r>
      <w:r>
        <w:rPr>
          <w:spacing w:val="23"/>
          <w:sz w:val="21"/>
        </w:rPr>
        <w:t> </w:t>
      </w:r>
      <w:r>
        <w:rPr>
          <w:sz w:val="21"/>
        </w:rPr>
        <w:t>the</w:t>
      </w:r>
      <w:r>
        <w:rPr>
          <w:spacing w:val="23"/>
          <w:sz w:val="21"/>
        </w:rPr>
        <w:t> </w:t>
      </w:r>
      <w:r>
        <w:rPr>
          <w:sz w:val="21"/>
        </w:rPr>
        <w:t>purposes</w:t>
      </w:r>
      <w:r>
        <w:rPr>
          <w:spacing w:val="23"/>
          <w:sz w:val="21"/>
        </w:rPr>
        <w:t> </w:t>
      </w:r>
      <w:r>
        <w:rPr>
          <w:sz w:val="21"/>
        </w:rPr>
        <w:t>of</w:t>
      </w:r>
      <w:r>
        <w:rPr>
          <w:spacing w:val="23"/>
          <w:sz w:val="21"/>
        </w:rPr>
        <w:t> </w:t>
      </w:r>
      <w:r>
        <w:rPr>
          <w:sz w:val="21"/>
        </w:rPr>
        <w:t>paragraph</w:t>
      </w:r>
      <w:r>
        <w:rPr>
          <w:spacing w:val="23"/>
          <w:sz w:val="21"/>
        </w:rPr>
        <w:t> </w:t>
      </w:r>
      <w:r>
        <w:rPr>
          <w:i/>
          <w:sz w:val="21"/>
        </w:rPr>
        <w:t>one</w:t>
      </w:r>
      <w:r>
        <w:rPr>
          <w:i/>
          <w:spacing w:val="23"/>
          <w:sz w:val="21"/>
        </w:rPr>
        <w:t> </w:t>
      </w:r>
      <w:r>
        <w:rPr>
          <w:sz w:val="21"/>
        </w:rPr>
        <w:t>above,</w:t>
      </w:r>
      <w:r>
        <w:rPr>
          <w:spacing w:val="23"/>
          <w:sz w:val="21"/>
        </w:rPr>
        <w:t> </w:t>
      </w:r>
      <w:r>
        <w:rPr>
          <w:sz w:val="21"/>
        </w:rPr>
        <w:t>the</w:t>
      </w:r>
      <w:r>
        <w:rPr>
          <w:spacing w:val="23"/>
          <w:sz w:val="21"/>
        </w:rPr>
        <w:t> </w:t>
      </w:r>
      <w:r>
        <w:rPr>
          <w:sz w:val="21"/>
        </w:rPr>
        <w:t>Concessionaire</w:t>
      </w:r>
      <w:r>
        <w:rPr>
          <w:spacing w:val="23"/>
          <w:sz w:val="21"/>
        </w:rPr>
        <w:t> </w:t>
      </w:r>
      <w:r>
        <w:rPr>
          <w:sz w:val="21"/>
        </w:rPr>
        <w:t>undertakes</w:t>
      </w:r>
      <w:r>
        <w:rPr>
          <w:spacing w:val="23"/>
          <w:sz w:val="21"/>
        </w:rPr>
        <w:t> </w:t>
      </w:r>
      <w:r>
        <w:rPr>
          <w:sz w:val="21"/>
        </w:rPr>
        <w:t>to</w:t>
      </w:r>
      <w:r>
        <w:rPr>
          <w:spacing w:val="23"/>
          <w:sz w:val="21"/>
        </w:rPr>
        <w:t> </w:t>
      </w:r>
      <w:r>
        <w:rPr>
          <w:sz w:val="21"/>
        </w:rPr>
        <w:t>submit,</w:t>
      </w:r>
      <w:r>
        <w:rPr>
          <w:spacing w:val="23"/>
          <w:sz w:val="21"/>
        </w:rPr>
        <w:t> </w:t>
      </w:r>
      <w:r>
        <w:rPr>
          <w:sz w:val="21"/>
        </w:rPr>
        <w:t>every</w:t>
      </w:r>
      <w:r>
        <w:rPr>
          <w:spacing w:val="23"/>
          <w:sz w:val="21"/>
        </w:rPr>
        <w:t> </w:t>
      </w:r>
      <w:r>
        <w:rPr>
          <w:sz w:val="21"/>
        </w:rPr>
        <w:t>two</w:t>
      </w:r>
      <w:r>
        <w:rPr>
          <w:spacing w:val="23"/>
          <w:sz w:val="21"/>
        </w:rPr>
        <w:t> </w:t>
      </w:r>
      <w:r>
        <w:rPr>
          <w:sz w:val="21"/>
        </w:rPr>
        <w:t>months,</w:t>
      </w:r>
      <w:r>
        <w:rPr>
          <w:spacing w:val="23"/>
          <w:sz w:val="21"/>
        </w:rPr>
        <w:t> </w:t>
      </w:r>
      <w:r>
        <w:rPr>
          <w:sz w:val="21"/>
        </w:rPr>
        <w:t>detailed</w:t>
      </w:r>
      <w:r>
        <w:rPr>
          <w:spacing w:val="23"/>
          <w:sz w:val="21"/>
        </w:rPr>
        <w:t> </w:t>
      </w:r>
      <w:r>
        <w:rPr>
          <w:sz w:val="21"/>
        </w:rPr>
        <w:t>written</w:t>
      </w:r>
      <w:r>
        <w:rPr>
          <w:spacing w:val="23"/>
          <w:sz w:val="21"/>
        </w:rPr>
        <w:t> </w:t>
      </w:r>
      <w:r>
        <w:rPr>
          <w:sz w:val="21"/>
        </w:rPr>
        <w:t>reports on</w:t>
      </w:r>
      <w:r>
        <w:rPr>
          <w:spacing w:val="40"/>
          <w:sz w:val="21"/>
        </w:rPr>
        <w:t> </w:t>
      </w:r>
      <w:r>
        <w:rPr>
          <w:sz w:val="21"/>
        </w:rPr>
        <w:t>the</w:t>
      </w:r>
      <w:r>
        <w:rPr>
          <w:spacing w:val="40"/>
          <w:sz w:val="21"/>
        </w:rPr>
        <w:t> </w:t>
      </w:r>
      <w:r>
        <w:rPr>
          <w:sz w:val="21"/>
        </w:rPr>
        <w:t>evolution</w:t>
      </w:r>
      <w:r>
        <w:rPr>
          <w:spacing w:val="40"/>
          <w:sz w:val="21"/>
        </w:rPr>
        <w:t> </w:t>
      </w:r>
      <w:r>
        <w:rPr>
          <w:sz w:val="21"/>
        </w:rPr>
        <w:t>of</w:t>
      </w:r>
      <w:r>
        <w:rPr>
          <w:spacing w:val="40"/>
          <w:sz w:val="21"/>
        </w:rPr>
        <w:t> </w:t>
      </w:r>
      <w:r>
        <w:rPr>
          <w:sz w:val="21"/>
        </w:rPr>
        <w:t>the</w:t>
      </w:r>
      <w:r>
        <w:rPr>
          <w:spacing w:val="40"/>
          <w:sz w:val="21"/>
        </w:rPr>
        <w:t> </w:t>
      </w:r>
      <w:r>
        <w:rPr>
          <w:sz w:val="21"/>
        </w:rPr>
        <w:t>construction</w:t>
      </w:r>
      <w:r>
        <w:rPr>
          <w:spacing w:val="40"/>
          <w:sz w:val="21"/>
        </w:rPr>
        <w:t> </w:t>
      </w:r>
      <w:r>
        <w:rPr>
          <w:sz w:val="21"/>
        </w:rPr>
        <w:t>projects</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the</w:t>
      </w:r>
      <w:r>
        <w:rPr>
          <w:spacing w:val="40"/>
          <w:sz w:val="21"/>
        </w:rPr>
        <w:t> </w:t>
      </w:r>
      <w:r>
        <w:rPr>
          <w:sz w:val="21"/>
        </w:rPr>
        <w:t>Investment</w:t>
      </w:r>
      <w:r>
        <w:rPr>
          <w:spacing w:val="40"/>
          <w:sz w:val="21"/>
        </w:rPr>
        <w:t> </w:t>
      </w:r>
      <w:r>
        <w:rPr>
          <w:sz w:val="21"/>
        </w:rPr>
        <w:t>Plans</w:t>
      </w:r>
      <w:r>
        <w:rPr>
          <w:spacing w:val="40"/>
          <w:sz w:val="21"/>
        </w:rPr>
        <w:t> </w:t>
      </w:r>
      <w:r>
        <w:rPr>
          <w:sz w:val="21"/>
        </w:rPr>
        <w:t>attached</w:t>
      </w:r>
      <w:r>
        <w:rPr>
          <w:spacing w:val="40"/>
          <w:sz w:val="21"/>
        </w:rPr>
        <w:t> </w:t>
      </w:r>
      <w:r>
        <w:rPr>
          <w:sz w:val="21"/>
        </w:rPr>
        <w:t>to</w:t>
      </w:r>
      <w:r>
        <w:rPr>
          <w:spacing w:val="40"/>
          <w:sz w:val="21"/>
        </w:rPr>
        <w:t> </w:t>
      </w:r>
      <w:r>
        <w:rPr>
          <w:sz w:val="21"/>
        </w:rPr>
        <w:t>the</w:t>
      </w:r>
      <w:r>
        <w:rPr>
          <w:spacing w:val="40"/>
          <w:sz w:val="21"/>
        </w:rPr>
        <w:t> </w:t>
      </w:r>
      <w:r>
        <w:rPr>
          <w:sz w:val="21"/>
        </w:rPr>
        <w:t>present</w:t>
      </w:r>
      <w:r>
        <w:rPr>
          <w:spacing w:val="40"/>
          <w:sz w:val="21"/>
        </w:rPr>
        <w:t> </w:t>
      </w:r>
      <w:r>
        <w:rPr>
          <w:sz w:val="21"/>
        </w:rPr>
        <w:t>concession</w:t>
      </w:r>
      <w:r>
        <w:rPr>
          <w:spacing w:val="40"/>
          <w:sz w:val="21"/>
        </w:rPr>
        <w:t> </w:t>
      </w:r>
      <w:r>
        <w:rPr>
          <w:sz w:val="21"/>
        </w:rPr>
        <w:t>contract,</w:t>
      </w:r>
      <w:r>
        <w:rPr>
          <w:spacing w:val="40"/>
          <w:sz w:val="21"/>
        </w:rPr>
        <w:t> </w:t>
      </w:r>
      <w:r>
        <w:rPr>
          <w:sz w:val="21"/>
        </w:rPr>
        <w:t>for which it shall refer to the provisions of Section 38 of Administrative Regulation No. 38/2022 (Regulation of the legal framework for urban construction). These reports shall include at least:</w:t>
      </w:r>
    </w:p>
    <w:p>
      <w:pPr>
        <w:pStyle w:val="BodyText"/>
        <w:spacing w:before="133"/>
        <w:rPr>
          <w:sz w:val="21"/>
        </w:rPr>
      </w:pPr>
    </w:p>
    <w:p>
      <w:pPr>
        <w:pStyle w:val="ListParagraph"/>
        <w:numPr>
          <w:ilvl w:val="0"/>
          <w:numId w:val="32"/>
        </w:numPr>
        <w:tabs>
          <w:tab w:pos="883" w:val="left" w:leader="none"/>
        </w:tabs>
        <w:spacing w:line="240" w:lineRule="auto" w:before="0" w:after="0"/>
        <w:ind w:left="883" w:right="0" w:hanging="229"/>
        <w:jc w:val="left"/>
        <w:rPr>
          <w:sz w:val="21"/>
        </w:rPr>
      </w:pPr>
      <w:r>
        <w:rPr>
          <w:sz w:val="21"/>
        </w:rPr>
        <w:t>Work</w:t>
      </w:r>
      <w:r>
        <w:rPr>
          <w:spacing w:val="8"/>
          <w:sz w:val="21"/>
        </w:rPr>
        <w:t> </w:t>
      </w:r>
      <w:r>
        <w:rPr>
          <w:sz w:val="21"/>
        </w:rPr>
        <w:t>reports</w:t>
      </w:r>
      <w:r>
        <w:rPr>
          <w:spacing w:val="10"/>
          <w:sz w:val="21"/>
        </w:rPr>
        <w:t> </w:t>
      </w:r>
      <w:r>
        <w:rPr>
          <w:sz w:val="21"/>
        </w:rPr>
        <w:t>indicated</w:t>
      </w:r>
      <w:r>
        <w:rPr>
          <w:spacing w:val="11"/>
          <w:sz w:val="21"/>
        </w:rPr>
        <w:t> </w:t>
      </w:r>
      <w:r>
        <w:rPr>
          <w:sz w:val="21"/>
        </w:rPr>
        <w:t>in</w:t>
      </w:r>
      <w:r>
        <w:rPr>
          <w:spacing w:val="10"/>
          <w:sz w:val="21"/>
        </w:rPr>
        <w:t> </w:t>
      </w:r>
      <w:r>
        <w:rPr>
          <w:sz w:val="21"/>
        </w:rPr>
        <w:t>Section</w:t>
      </w:r>
      <w:r>
        <w:rPr>
          <w:spacing w:val="11"/>
          <w:sz w:val="21"/>
        </w:rPr>
        <w:t> </w:t>
      </w:r>
      <w:r>
        <w:rPr>
          <w:sz w:val="21"/>
        </w:rPr>
        <w:t>38</w:t>
      </w:r>
      <w:r>
        <w:rPr>
          <w:spacing w:val="10"/>
          <w:sz w:val="21"/>
        </w:rPr>
        <w:t> </w:t>
      </w:r>
      <w:r>
        <w:rPr>
          <w:sz w:val="21"/>
        </w:rPr>
        <w:t>of</w:t>
      </w:r>
      <w:r>
        <w:rPr>
          <w:spacing w:val="-4"/>
          <w:sz w:val="21"/>
        </w:rPr>
        <w:t> </w:t>
      </w:r>
      <w:r>
        <w:rPr>
          <w:sz w:val="21"/>
        </w:rPr>
        <w:t>Administrative</w:t>
      </w:r>
      <w:r>
        <w:rPr>
          <w:spacing w:val="11"/>
          <w:sz w:val="21"/>
        </w:rPr>
        <w:t> </w:t>
      </w:r>
      <w:r>
        <w:rPr>
          <w:sz w:val="21"/>
        </w:rPr>
        <w:t>Regulation</w:t>
      </w:r>
      <w:r>
        <w:rPr>
          <w:spacing w:val="10"/>
          <w:sz w:val="21"/>
        </w:rPr>
        <w:t> </w:t>
      </w:r>
      <w:r>
        <w:rPr>
          <w:sz w:val="21"/>
        </w:rPr>
        <w:t>No.</w:t>
      </w:r>
      <w:r>
        <w:rPr>
          <w:spacing w:val="11"/>
          <w:sz w:val="21"/>
        </w:rPr>
        <w:t> </w:t>
      </w:r>
      <w:r>
        <w:rPr>
          <w:spacing w:val="-2"/>
          <w:sz w:val="21"/>
        </w:rPr>
        <w:t>38/2022;</w:t>
      </w:r>
    </w:p>
    <w:p>
      <w:pPr>
        <w:pStyle w:val="BodyText"/>
        <w:spacing w:before="124"/>
        <w:rPr>
          <w:sz w:val="21"/>
        </w:rPr>
      </w:pPr>
    </w:p>
    <w:p>
      <w:pPr>
        <w:pStyle w:val="ListParagraph"/>
        <w:numPr>
          <w:ilvl w:val="0"/>
          <w:numId w:val="32"/>
        </w:numPr>
        <w:tabs>
          <w:tab w:pos="883" w:val="left" w:leader="none"/>
        </w:tabs>
        <w:spacing w:line="240" w:lineRule="auto" w:before="1" w:after="0"/>
        <w:ind w:left="883" w:right="0" w:hanging="229"/>
        <w:jc w:val="left"/>
        <w:rPr>
          <w:sz w:val="21"/>
        </w:rPr>
      </w:pPr>
      <w:r>
        <w:rPr>
          <w:sz w:val="21"/>
        </w:rPr>
        <w:t>The</w:t>
      </w:r>
      <w:r>
        <w:rPr>
          <w:spacing w:val="9"/>
          <w:sz w:val="21"/>
        </w:rPr>
        <w:t> </w:t>
      </w:r>
      <w:r>
        <w:rPr>
          <w:sz w:val="21"/>
        </w:rPr>
        <w:t>evolution</w:t>
      </w:r>
      <w:r>
        <w:rPr>
          <w:spacing w:val="9"/>
          <w:sz w:val="21"/>
        </w:rPr>
        <w:t> </w:t>
      </w:r>
      <w:r>
        <w:rPr>
          <w:sz w:val="21"/>
        </w:rPr>
        <w:t>of</w:t>
      </w:r>
      <w:r>
        <w:rPr>
          <w:spacing w:val="9"/>
          <w:sz w:val="21"/>
        </w:rPr>
        <w:t> </w:t>
      </w:r>
      <w:r>
        <w:rPr>
          <w:sz w:val="21"/>
        </w:rPr>
        <w:t>the</w:t>
      </w:r>
      <w:r>
        <w:rPr>
          <w:spacing w:val="9"/>
          <w:sz w:val="21"/>
        </w:rPr>
        <w:t> </w:t>
      </w:r>
      <w:r>
        <w:rPr>
          <w:sz w:val="21"/>
        </w:rPr>
        <w:t>work</w:t>
      </w:r>
      <w:r>
        <w:rPr>
          <w:spacing w:val="9"/>
          <w:sz w:val="21"/>
        </w:rPr>
        <w:t> </w:t>
      </w:r>
      <w:r>
        <w:rPr>
          <w:sz w:val="21"/>
        </w:rPr>
        <w:t>relative</w:t>
      </w:r>
      <w:r>
        <w:rPr>
          <w:spacing w:val="9"/>
          <w:sz w:val="21"/>
        </w:rPr>
        <w:t> </w:t>
      </w:r>
      <w:r>
        <w:rPr>
          <w:sz w:val="21"/>
        </w:rPr>
        <w:t>to</w:t>
      </w:r>
      <w:r>
        <w:rPr>
          <w:spacing w:val="9"/>
          <w:sz w:val="21"/>
        </w:rPr>
        <w:t> </w:t>
      </w:r>
      <w:r>
        <w:rPr>
          <w:sz w:val="21"/>
        </w:rPr>
        <w:t>the</w:t>
      </w:r>
      <w:r>
        <w:rPr>
          <w:spacing w:val="9"/>
          <w:sz w:val="21"/>
        </w:rPr>
        <w:t> </w:t>
      </w:r>
      <w:r>
        <w:rPr>
          <w:sz w:val="21"/>
        </w:rPr>
        <w:t>plan</w:t>
      </w:r>
      <w:r>
        <w:rPr>
          <w:spacing w:val="9"/>
          <w:sz w:val="21"/>
        </w:rPr>
        <w:t> </w:t>
      </w:r>
      <w:r>
        <w:rPr>
          <w:sz w:val="21"/>
        </w:rPr>
        <w:t>of</w:t>
      </w:r>
      <w:r>
        <w:rPr>
          <w:spacing w:val="10"/>
          <w:sz w:val="21"/>
        </w:rPr>
        <w:t> </w:t>
      </w:r>
      <w:r>
        <w:rPr>
          <w:sz w:val="21"/>
        </w:rPr>
        <w:t>works</w:t>
      </w:r>
      <w:r>
        <w:rPr>
          <w:spacing w:val="9"/>
          <w:sz w:val="21"/>
        </w:rPr>
        <w:t> </w:t>
      </w:r>
      <w:r>
        <w:rPr>
          <w:sz w:val="21"/>
        </w:rPr>
        <w:t>(progress</w:t>
      </w:r>
      <w:r>
        <w:rPr>
          <w:spacing w:val="9"/>
          <w:sz w:val="21"/>
        </w:rPr>
        <w:t> </w:t>
      </w:r>
      <w:r>
        <w:rPr>
          <w:spacing w:val="-2"/>
          <w:sz w:val="21"/>
        </w:rPr>
        <w:t>control);</w:t>
      </w:r>
    </w:p>
    <w:p>
      <w:pPr>
        <w:pStyle w:val="BodyText"/>
        <w:spacing w:before="137"/>
        <w:rPr>
          <w:sz w:val="21"/>
        </w:rPr>
      </w:pPr>
    </w:p>
    <w:p>
      <w:pPr>
        <w:pStyle w:val="ListParagraph"/>
        <w:numPr>
          <w:ilvl w:val="0"/>
          <w:numId w:val="32"/>
        </w:numPr>
        <w:tabs>
          <w:tab w:pos="883" w:val="left" w:leader="none"/>
        </w:tabs>
        <w:spacing w:line="240" w:lineRule="auto" w:before="1" w:after="0"/>
        <w:ind w:left="883" w:right="0" w:hanging="229"/>
        <w:jc w:val="left"/>
        <w:rPr>
          <w:sz w:val="21"/>
        </w:rPr>
      </w:pPr>
      <w:r>
        <w:rPr>
          <w:sz w:val="21"/>
        </w:rPr>
        <w:t>The</w:t>
      </w:r>
      <w:r>
        <w:rPr>
          <w:spacing w:val="9"/>
          <w:sz w:val="21"/>
        </w:rPr>
        <w:t> </w:t>
      </w:r>
      <w:r>
        <w:rPr>
          <w:sz w:val="21"/>
        </w:rPr>
        <w:t>main</w:t>
      </w:r>
      <w:r>
        <w:rPr>
          <w:spacing w:val="10"/>
          <w:sz w:val="21"/>
        </w:rPr>
        <w:t> </w:t>
      </w:r>
      <w:r>
        <w:rPr>
          <w:sz w:val="21"/>
        </w:rPr>
        <w:t>measures</w:t>
      </w:r>
      <w:r>
        <w:rPr>
          <w:spacing w:val="10"/>
          <w:sz w:val="21"/>
        </w:rPr>
        <w:t> </w:t>
      </w:r>
      <w:r>
        <w:rPr>
          <w:sz w:val="21"/>
        </w:rPr>
        <w:t>taken</w:t>
      </w:r>
      <w:r>
        <w:rPr>
          <w:spacing w:val="10"/>
          <w:sz w:val="21"/>
        </w:rPr>
        <w:t> </w:t>
      </w:r>
      <w:r>
        <w:rPr>
          <w:sz w:val="21"/>
        </w:rPr>
        <w:t>to</w:t>
      </w:r>
      <w:r>
        <w:rPr>
          <w:spacing w:val="9"/>
          <w:sz w:val="21"/>
        </w:rPr>
        <w:t> </w:t>
      </w:r>
      <w:r>
        <w:rPr>
          <w:sz w:val="21"/>
        </w:rPr>
        <w:t>ensure</w:t>
      </w:r>
      <w:r>
        <w:rPr>
          <w:spacing w:val="10"/>
          <w:sz w:val="21"/>
        </w:rPr>
        <w:t> </w:t>
      </w:r>
      <w:r>
        <w:rPr>
          <w:sz w:val="21"/>
        </w:rPr>
        <w:t>compliance</w:t>
      </w:r>
      <w:r>
        <w:rPr>
          <w:spacing w:val="10"/>
          <w:sz w:val="21"/>
        </w:rPr>
        <w:t> </w:t>
      </w:r>
      <w:r>
        <w:rPr>
          <w:sz w:val="21"/>
        </w:rPr>
        <w:t>with</w:t>
      </w:r>
      <w:r>
        <w:rPr>
          <w:spacing w:val="10"/>
          <w:sz w:val="21"/>
        </w:rPr>
        <w:t> </w:t>
      </w:r>
      <w:r>
        <w:rPr>
          <w:sz w:val="21"/>
        </w:rPr>
        <w:t>the</w:t>
      </w:r>
      <w:r>
        <w:rPr>
          <w:spacing w:val="10"/>
          <w:sz w:val="21"/>
        </w:rPr>
        <w:t> </w:t>
      </w:r>
      <w:r>
        <w:rPr>
          <w:sz w:val="21"/>
        </w:rPr>
        <w:t>plan</w:t>
      </w:r>
      <w:r>
        <w:rPr>
          <w:spacing w:val="9"/>
          <w:sz w:val="21"/>
        </w:rPr>
        <w:t> </w:t>
      </w:r>
      <w:r>
        <w:rPr>
          <w:sz w:val="21"/>
        </w:rPr>
        <w:t>of</w:t>
      </w:r>
      <w:r>
        <w:rPr>
          <w:spacing w:val="10"/>
          <w:sz w:val="21"/>
        </w:rPr>
        <w:t> </w:t>
      </w:r>
      <w:r>
        <w:rPr>
          <w:spacing w:val="-2"/>
          <w:sz w:val="21"/>
        </w:rPr>
        <w:t>works.</w:t>
      </w:r>
    </w:p>
    <w:p>
      <w:pPr>
        <w:pStyle w:val="BodyText"/>
        <w:spacing w:before="146"/>
        <w:rPr>
          <w:sz w:val="21"/>
        </w:rPr>
      </w:pPr>
    </w:p>
    <w:p>
      <w:pPr>
        <w:spacing w:line="213" w:lineRule="auto" w:before="0"/>
        <w:ind w:left="144" w:right="118" w:firstLine="0"/>
        <w:jc w:val="both"/>
        <w:rPr>
          <w:sz w:val="21"/>
        </w:rPr>
      </w:pPr>
      <w:r>
        <w:rPr>
          <w:i/>
          <w:sz w:val="21"/>
        </w:rPr>
        <w:t>Three</w:t>
      </w:r>
      <w:r>
        <w:rPr>
          <w:sz w:val="21"/>
        </w:rPr>
        <w:t>. 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submit</w:t>
      </w:r>
      <w:r>
        <w:rPr>
          <w:spacing w:val="40"/>
          <w:sz w:val="21"/>
        </w:rPr>
        <w:t> </w:t>
      </w:r>
      <w:r>
        <w:rPr>
          <w:sz w:val="21"/>
        </w:rPr>
        <w:t>written</w:t>
      </w:r>
      <w:r>
        <w:rPr>
          <w:spacing w:val="40"/>
          <w:sz w:val="21"/>
        </w:rPr>
        <w:t> </w:t>
      </w:r>
      <w:r>
        <w:rPr>
          <w:sz w:val="21"/>
        </w:rPr>
        <w:t>and</w:t>
      </w:r>
      <w:r>
        <w:rPr>
          <w:spacing w:val="40"/>
          <w:sz w:val="21"/>
        </w:rPr>
        <w:t> </w:t>
      </w:r>
      <w:r>
        <w:rPr>
          <w:sz w:val="21"/>
        </w:rPr>
        <w:t>detailed</w:t>
      </w:r>
      <w:r>
        <w:rPr>
          <w:spacing w:val="40"/>
          <w:sz w:val="21"/>
        </w:rPr>
        <w:t> </w:t>
      </w:r>
      <w:r>
        <w:rPr>
          <w:sz w:val="21"/>
        </w:rPr>
        <w:t>extraordinary</w:t>
      </w:r>
      <w:r>
        <w:rPr>
          <w:spacing w:val="40"/>
          <w:sz w:val="21"/>
        </w:rPr>
        <w:t> </w:t>
      </w:r>
      <w:r>
        <w:rPr>
          <w:sz w:val="21"/>
        </w:rPr>
        <w:t>reports,</w:t>
      </w:r>
      <w:r>
        <w:rPr>
          <w:spacing w:val="40"/>
          <w:sz w:val="21"/>
        </w:rPr>
        <w:t> </w:t>
      </w:r>
      <w:r>
        <w:rPr>
          <w:sz w:val="21"/>
        </w:rPr>
        <w:t>whenever</w:t>
      </w:r>
      <w:r>
        <w:rPr>
          <w:spacing w:val="40"/>
          <w:sz w:val="21"/>
        </w:rPr>
        <w:t> </w:t>
      </w:r>
      <w:r>
        <w:rPr>
          <w:sz w:val="21"/>
        </w:rPr>
        <w:t>justified,</w:t>
      </w:r>
      <w:r>
        <w:rPr>
          <w:spacing w:val="40"/>
          <w:sz w:val="21"/>
        </w:rPr>
        <w:t> </w:t>
      </w:r>
      <w:r>
        <w:rPr>
          <w:sz w:val="21"/>
        </w:rPr>
        <w:t>namely</w:t>
      </w:r>
      <w:r>
        <w:rPr>
          <w:spacing w:val="40"/>
          <w:sz w:val="21"/>
        </w:rPr>
        <w:t> </w:t>
      </w:r>
      <w:r>
        <w:rPr>
          <w:sz w:val="21"/>
        </w:rPr>
        <w:t>when</w:t>
      </w:r>
      <w:r>
        <w:rPr>
          <w:spacing w:val="40"/>
          <w:sz w:val="21"/>
        </w:rPr>
        <w:t> </w:t>
      </w:r>
      <w:r>
        <w:rPr>
          <w:sz w:val="21"/>
        </w:rPr>
        <w:t>the normal progress of the work related to the execution of the construction projects referenced in the Investment Plans annexed to the present concession contract is compromised.</w:t>
      </w:r>
    </w:p>
    <w:p>
      <w:pPr>
        <w:pStyle w:val="BodyText"/>
        <w:spacing w:before="153"/>
        <w:rPr>
          <w:sz w:val="21"/>
        </w:rPr>
      </w:pPr>
    </w:p>
    <w:p>
      <w:pPr>
        <w:spacing w:line="213" w:lineRule="auto" w:before="0"/>
        <w:ind w:left="144" w:right="118" w:firstLine="0"/>
        <w:jc w:val="both"/>
        <w:rPr>
          <w:sz w:val="21"/>
        </w:rPr>
      </w:pPr>
      <w:r>
        <w:rPr>
          <w:i/>
          <w:sz w:val="21"/>
        </w:rPr>
        <w:t>Four</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provide,</w:t>
      </w:r>
      <w:r>
        <w:rPr>
          <w:spacing w:val="40"/>
          <w:sz w:val="21"/>
        </w:rPr>
        <w:t> </w:t>
      </w:r>
      <w:r>
        <w:rPr>
          <w:sz w:val="21"/>
        </w:rPr>
        <w:t>at</w:t>
      </w:r>
      <w:r>
        <w:rPr>
          <w:spacing w:val="40"/>
          <w:sz w:val="21"/>
        </w:rPr>
        <w:t> </w:t>
      </w:r>
      <w:r>
        <w:rPr>
          <w:sz w:val="21"/>
        </w:rPr>
        <w:t>the</w:t>
      </w:r>
      <w:r>
        <w:rPr>
          <w:spacing w:val="40"/>
          <w:sz w:val="21"/>
        </w:rPr>
        <w:t> </w:t>
      </w:r>
      <w:r>
        <w:rPr>
          <w:sz w:val="21"/>
        </w:rPr>
        <w:t>Government’s</w:t>
      </w:r>
      <w:r>
        <w:rPr>
          <w:spacing w:val="40"/>
          <w:sz w:val="21"/>
        </w:rPr>
        <w:t> </w:t>
      </w:r>
      <w:r>
        <w:rPr>
          <w:sz w:val="21"/>
        </w:rPr>
        <w:t>request</w:t>
      </w:r>
      <w:r>
        <w:rPr>
          <w:spacing w:val="40"/>
          <w:sz w:val="21"/>
        </w:rPr>
        <w:t> </w:t>
      </w:r>
      <w:r>
        <w:rPr>
          <w:sz w:val="21"/>
        </w:rPr>
        <w:t>and</w:t>
      </w:r>
      <w:r>
        <w:rPr>
          <w:spacing w:val="40"/>
          <w:sz w:val="21"/>
        </w:rPr>
        <w:t> </w:t>
      </w:r>
      <w:r>
        <w:rPr>
          <w:sz w:val="21"/>
        </w:rPr>
        <w:t>within</w:t>
      </w:r>
      <w:r>
        <w:rPr>
          <w:spacing w:val="40"/>
          <w:sz w:val="21"/>
        </w:rPr>
        <w:t> </w:t>
      </w:r>
      <w:r>
        <w:rPr>
          <w:sz w:val="21"/>
        </w:rPr>
        <w:t>a</w:t>
      </w:r>
      <w:r>
        <w:rPr>
          <w:spacing w:val="40"/>
          <w:sz w:val="21"/>
        </w:rPr>
        <w:t> </w:t>
      </w:r>
      <w:r>
        <w:rPr>
          <w:sz w:val="21"/>
        </w:rPr>
        <w:t>set</w:t>
      </w:r>
      <w:r>
        <w:rPr>
          <w:spacing w:val="40"/>
          <w:sz w:val="21"/>
        </w:rPr>
        <w:t> </w:t>
      </w:r>
      <w:r>
        <w:rPr>
          <w:sz w:val="21"/>
        </w:rPr>
        <w:t>period,</w:t>
      </w:r>
      <w:r>
        <w:rPr>
          <w:spacing w:val="40"/>
          <w:sz w:val="21"/>
        </w:rPr>
        <w:t> </w:t>
      </w:r>
      <w:r>
        <w:rPr>
          <w:sz w:val="21"/>
        </w:rPr>
        <w:t>any</w:t>
      </w:r>
      <w:r>
        <w:rPr>
          <w:spacing w:val="40"/>
          <w:sz w:val="21"/>
        </w:rPr>
        <w:t> </w:t>
      </w:r>
      <w:r>
        <w:rPr>
          <w:sz w:val="21"/>
        </w:rPr>
        <w:t>documents,</w:t>
      </w:r>
      <w:r>
        <w:rPr>
          <w:spacing w:val="40"/>
          <w:sz w:val="21"/>
        </w:rPr>
        <w:t> </w:t>
      </w:r>
      <w:r>
        <w:rPr>
          <w:sz w:val="21"/>
        </w:rPr>
        <w:t>namely written and drawn documents, relating to the construction projects referred to in the Investment Plans attached to this concession </w:t>
      </w:r>
      <w:r>
        <w:rPr>
          <w:spacing w:val="-2"/>
          <w:sz w:val="21"/>
        </w:rPr>
        <w:t>contract.</w:t>
      </w:r>
    </w:p>
    <w:p>
      <w:pPr>
        <w:pStyle w:val="BodyText"/>
        <w:spacing w:before="167"/>
        <w:rPr>
          <w:sz w:val="21"/>
        </w:rPr>
      </w:pPr>
    </w:p>
    <w:p>
      <w:pPr>
        <w:spacing w:line="213" w:lineRule="auto" w:before="0"/>
        <w:ind w:left="144" w:right="118" w:firstLine="0"/>
        <w:jc w:val="both"/>
        <w:rPr>
          <w:sz w:val="21"/>
        </w:rPr>
      </w:pPr>
      <w:r>
        <w:rPr>
          <w:i/>
          <w:sz w:val="21"/>
        </w:rPr>
        <w:t>Five</w:t>
      </w:r>
      <w:r>
        <w:rPr>
          <w:sz w:val="21"/>
        </w:rPr>
        <w:t>.</w:t>
      </w:r>
      <w:r>
        <w:rPr>
          <w:spacing w:val="27"/>
          <w:sz w:val="21"/>
        </w:rPr>
        <w:t> </w:t>
      </w:r>
      <w:r>
        <w:rPr>
          <w:sz w:val="21"/>
        </w:rPr>
        <w:t>In</w:t>
      </w:r>
      <w:r>
        <w:rPr>
          <w:spacing w:val="27"/>
          <w:sz w:val="21"/>
        </w:rPr>
        <w:t> </w:t>
      </w:r>
      <w:r>
        <w:rPr>
          <w:sz w:val="21"/>
        </w:rPr>
        <w:t>addition</w:t>
      </w:r>
      <w:r>
        <w:rPr>
          <w:spacing w:val="27"/>
          <w:sz w:val="21"/>
        </w:rPr>
        <w:t> </w:t>
      </w:r>
      <w:r>
        <w:rPr>
          <w:sz w:val="21"/>
        </w:rPr>
        <w:t>to</w:t>
      </w:r>
      <w:r>
        <w:rPr>
          <w:spacing w:val="27"/>
          <w:sz w:val="21"/>
        </w:rPr>
        <w:t> </w:t>
      </w:r>
      <w:r>
        <w:rPr>
          <w:sz w:val="21"/>
        </w:rPr>
        <w:t>the</w:t>
      </w:r>
      <w:r>
        <w:rPr>
          <w:spacing w:val="27"/>
          <w:sz w:val="21"/>
        </w:rPr>
        <w:t> </w:t>
      </w:r>
      <w:r>
        <w:rPr>
          <w:sz w:val="21"/>
        </w:rPr>
        <w:t>documents</w:t>
      </w:r>
      <w:r>
        <w:rPr>
          <w:spacing w:val="27"/>
          <w:sz w:val="21"/>
        </w:rPr>
        <w:t> </w:t>
      </w:r>
      <w:r>
        <w:rPr>
          <w:sz w:val="21"/>
        </w:rPr>
        <w:t>referred</w:t>
      </w:r>
      <w:r>
        <w:rPr>
          <w:spacing w:val="27"/>
          <w:sz w:val="21"/>
        </w:rPr>
        <w:t> </w:t>
      </w:r>
      <w:r>
        <w:rPr>
          <w:sz w:val="21"/>
        </w:rPr>
        <w:t>to</w:t>
      </w:r>
      <w:r>
        <w:rPr>
          <w:spacing w:val="27"/>
          <w:sz w:val="21"/>
        </w:rPr>
        <w:t> </w:t>
      </w:r>
      <w:r>
        <w:rPr>
          <w:sz w:val="21"/>
        </w:rPr>
        <w:t>in</w:t>
      </w:r>
      <w:r>
        <w:rPr>
          <w:spacing w:val="27"/>
          <w:sz w:val="21"/>
        </w:rPr>
        <w:t> </w:t>
      </w:r>
      <w:r>
        <w:rPr>
          <w:sz w:val="21"/>
        </w:rPr>
        <w:t>the</w:t>
      </w:r>
      <w:r>
        <w:rPr>
          <w:spacing w:val="27"/>
          <w:sz w:val="21"/>
        </w:rPr>
        <w:t> </w:t>
      </w:r>
      <w:r>
        <w:rPr>
          <w:sz w:val="21"/>
        </w:rPr>
        <w:t>previous</w:t>
      </w:r>
      <w:r>
        <w:rPr>
          <w:spacing w:val="27"/>
          <w:sz w:val="21"/>
        </w:rPr>
        <w:t> </w:t>
      </w:r>
      <w:r>
        <w:rPr>
          <w:sz w:val="21"/>
        </w:rPr>
        <w:t>paragraph,</w:t>
      </w:r>
      <w:r>
        <w:rPr>
          <w:spacing w:val="27"/>
          <w:sz w:val="21"/>
        </w:rPr>
        <w:t> </w:t>
      </w:r>
      <w:r>
        <w:rPr>
          <w:sz w:val="21"/>
        </w:rPr>
        <w:t>the</w:t>
      </w:r>
      <w:r>
        <w:rPr>
          <w:spacing w:val="27"/>
          <w:sz w:val="21"/>
        </w:rPr>
        <w:t> </w:t>
      </w:r>
      <w:r>
        <w:rPr>
          <w:sz w:val="21"/>
        </w:rPr>
        <w:t>Concessionaire</w:t>
      </w:r>
      <w:r>
        <w:rPr>
          <w:spacing w:val="27"/>
          <w:sz w:val="21"/>
        </w:rPr>
        <w:t> </w:t>
      </w:r>
      <w:r>
        <w:rPr>
          <w:sz w:val="21"/>
        </w:rPr>
        <w:t>undertakes</w:t>
      </w:r>
      <w:r>
        <w:rPr>
          <w:spacing w:val="27"/>
          <w:sz w:val="21"/>
        </w:rPr>
        <w:t> </w:t>
      </w:r>
      <w:r>
        <w:rPr>
          <w:sz w:val="21"/>
        </w:rPr>
        <w:t>to</w:t>
      </w:r>
      <w:r>
        <w:rPr>
          <w:spacing w:val="27"/>
          <w:sz w:val="21"/>
        </w:rPr>
        <w:t> </w:t>
      </w:r>
      <w:r>
        <w:rPr>
          <w:sz w:val="21"/>
        </w:rPr>
        <w:t>provide</w:t>
      </w:r>
      <w:r>
        <w:rPr>
          <w:spacing w:val="27"/>
          <w:sz w:val="21"/>
        </w:rPr>
        <w:t> </w:t>
      </w:r>
      <w:r>
        <w:rPr>
          <w:sz w:val="21"/>
        </w:rPr>
        <w:t>all</w:t>
      </w:r>
      <w:r>
        <w:rPr>
          <w:spacing w:val="27"/>
          <w:sz w:val="21"/>
        </w:rPr>
        <w:t> </w:t>
      </w:r>
      <w:r>
        <w:rPr>
          <w:sz w:val="21"/>
        </w:rPr>
        <w:t>clarifications and information requested.</w:t>
      </w:r>
    </w:p>
    <w:p>
      <w:pPr>
        <w:pStyle w:val="BodyText"/>
        <w:spacing w:before="152"/>
        <w:rPr>
          <w:sz w:val="21"/>
        </w:rPr>
      </w:pPr>
    </w:p>
    <w:p>
      <w:pPr>
        <w:spacing w:line="213" w:lineRule="auto" w:before="0"/>
        <w:ind w:left="144" w:right="118" w:firstLine="0"/>
        <w:jc w:val="both"/>
        <w:rPr>
          <w:sz w:val="21"/>
        </w:rPr>
      </w:pPr>
      <w:r>
        <w:rPr>
          <w:i/>
          <w:sz w:val="21"/>
        </w:rPr>
        <w:t>Six</w:t>
      </w:r>
      <w:r>
        <w:rPr>
          <w:sz w:val="21"/>
        </w:rPr>
        <w:t>. When in doubt about the quality of the work, the Government can order compulsory tests in addition to those foreseen by the Concessionaire, consulting the latter, if necessary, regarding the decision to be adopted.</w:t>
      </w:r>
    </w:p>
    <w:p>
      <w:pPr>
        <w:pStyle w:val="BodyText"/>
        <w:spacing w:before="152"/>
        <w:rPr>
          <w:sz w:val="21"/>
        </w:rPr>
      </w:pPr>
    </w:p>
    <w:p>
      <w:pPr>
        <w:spacing w:line="213" w:lineRule="auto" w:before="0"/>
        <w:ind w:left="144" w:right="119" w:firstLine="0"/>
        <w:jc w:val="both"/>
        <w:rPr>
          <w:sz w:val="21"/>
        </w:rPr>
      </w:pPr>
      <w:r>
        <w:rPr>
          <w:i/>
          <w:sz w:val="21"/>
        </w:rPr>
        <w:t>Seven</w:t>
      </w:r>
      <w:r>
        <w:rPr>
          <w:sz w:val="21"/>
        </w:rPr>
        <w:t>.</w:t>
      </w:r>
      <w:r>
        <w:rPr>
          <w:spacing w:val="17"/>
          <w:sz w:val="21"/>
        </w:rPr>
        <w:t> </w:t>
      </w:r>
      <w:r>
        <w:rPr>
          <w:sz w:val="21"/>
        </w:rPr>
        <w:t>The</w:t>
      </w:r>
      <w:r>
        <w:rPr>
          <w:spacing w:val="22"/>
          <w:sz w:val="21"/>
        </w:rPr>
        <w:t> </w:t>
      </w:r>
      <w:r>
        <w:rPr>
          <w:sz w:val="21"/>
        </w:rPr>
        <w:t>expenses</w:t>
      </w:r>
      <w:r>
        <w:rPr>
          <w:spacing w:val="22"/>
          <w:sz w:val="21"/>
        </w:rPr>
        <w:t> </w:t>
      </w:r>
      <w:r>
        <w:rPr>
          <w:sz w:val="21"/>
        </w:rPr>
        <w:t>incurred</w:t>
      </w:r>
      <w:r>
        <w:rPr>
          <w:spacing w:val="22"/>
          <w:sz w:val="21"/>
        </w:rPr>
        <w:t> </w:t>
      </w:r>
      <w:r>
        <w:rPr>
          <w:sz w:val="21"/>
        </w:rPr>
        <w:t>in</w:t>
      </w:r>
      <w:r>
        <w:rPr>
          <w:spacing w:val="22"/>
          <w:sz w:val="21"/>
        </w:rPr>
        <w:t> </w:t>
      </w:r>
      <w:r>
        <w:rPr>
          <w:sz w:val="21"/>
        </w:rPr>
        <w:t>carrying</w:t>
      </w:r>
      <w:r>
        <w:rPr>
          <w:spacing w:val="22"/>
          <w:sz w:val="21"/>
        </w:rPr>
        <w:t> </w:t>
      </w:r>
      <w:r>
        <w:rPr>
          <w:sz w:val="21"/>
        </w:rPr>
        <w:t>out</w:t>
      </w:r>
      <w:r>
        <w:rPr>
          <w:spacing w:val="22"/>
          <w:sz w:val="21"/>
        </w:rPr>
        <w:t> </w:t>
      </w:r>
      <w:r>
        <w:rPr>
          <w:sz w:val="21"/>
        </w:rPr>
        <w:t>the</w:t>
      </w:r>
      <w:r>
        <w:rPr>
          <w:spacing w:val="22"/>
          <w:sz w:val="21"/>
        </w:rPr>
        <w:t> </w:t>
      </w:r>
      <w:r>
        <w:rPr>
          <w:sz w:val="21"/>
        </w:rPr>
        <w:t>tests</w:t>
      </w:r>
      <w:r>
        <w:rPr>
          <w:spacing w:val="22"/>
          <w:sz w:val="21"/>
        </w:rPr>
        <w:t> </w:t>
      </w:r>
      <w:r>
        <w:rPr>
          <w:sz w:val="21"/>
        </w:rPr>
        <w:t>referred</w:t>
      </w:r>
      <w:r>
        <w:rPr>
          <w:spacing w:val="22"/>
          <w:sz w:val="21"/>
        </w:rPr>
        <w:t> </w:t>
      </w:r>
      <w:r>
        <w:rPr>
          <w:sz w:val="21"/>
        </w:rPr>
        <w:t>to</w:t>
      </w:r>
      <w:r>
        <w:rPr>
          <w:spacing w:val="22"/>
          <w:sz w:val="21"/>
        </w:rPr>
        <w:t> </w:t>
      </w:r>
      <w:r>
        <w:rPr>
          <w:sz w:val="21"/>
        </w:rPr>
        <w:t>in</w:t>
      </w:r>
      <w:r>
        <w:rPr>
          <w:spacing w:val="22"/>
          <w:sz w:val="21"/>
        </w:rPr>
        <w:t> </w:t>
      </w:r>
      <w:r>
        <w:rPr>
          <w:sz w:val="21"/>
        </w:rPr>
        <w:t>the</w:t>
      </w:r>
      <w:r>
        <w:rPr>
          <w:spacing w:val="22"/>
          <w:sz w:val="21"/>
        </w:rPr>
        <w:t> </w:t>
      </w:r>
      <w:r>
        <w:rPr>
          <w:sz w:val="21"/>
        </w:rPr>
        <w:t>previous</w:t>
      </w:r>
      <w:r>
        <w:rPr>
          <w:spacing w:val="22"/>
          <w:sz w:val="21"/>
        </w:rPr>
        <w:t> </w:t>
      </w:r>
      <w:r>
        <w:rPr>
          <w:sz w:val="21"/>
        </w:rPr>
        <w:t>paragraph</w:t>
      </w:r>
      <w:r>
        <w:rPr>
          <w:spacing w:val="22"/>
          <w:sz w:val="21"/>
        </w:rPr>
        <w:t> </w:t>
      </w:r>
      <w:r>
        <w:rPr>
          <w:sz w:val="21"/>
        </w:rPr>
        <w:t>and</w:t>
      </w:r>
      <w:r>
        <w:rPr>
          <w:spacing w:val="22"/>
          <w:sz w:val="21"/>
        </w:rPr>
        <w:t> </w:t>
      </w:r>
      <w:r>
        <w:rPr>
          <w:sz w:val="21"/>
        </w:rPr>
        <w:t>in</w:t>
      </w:r>
      <w:r>
        <w:rPr>
          <w:spacing w:val="22"/>
          <w:sz w:val="21"/>
        </w:rPr>
        <w:t> </w:t>
      </w:r>
      <w:r>
        <w:rPr>
          <w:sz w:val="21"/>
        </w:rPr>
        <w:t>repairing</w:t>
      </w:r>
      <w:r>
        <w:rPr>
          <w:spacing w:val="22"/>
          <w:sz w:val="21"/>
        </w:rPr>
        <w:t> </w:t>
      </w:r>
      <w:r>
        <w:rPr>
          <w:sz w:val="21"/>
        </w:rPr>
        <w:t>any</w:t>
      </w:r>
      <w:r>
        <w:rPr>
          <w:spacing w:val="22"/>
          <w:sz w:val="21"/>
        </w:rPr>
        <w:t> </w:t>
      </w:r>
      <w:r>
        <w:rPr>
          <w:sz w:val="21"/>
        </w:rPr>
        <w:t>defects</w:t>
      </w:r>
      <w:r>
        <w:rPr>
          <w:spacing w:val="22"/>
          <w:sz w:val="21"/>
        </w:rPr>
        <w:t> </w:t>
      </w:r>
      <w:r>
        <w:rPr>
          <w:sz w:val="21"/>
        </w:rPr>
        <w:t>found</w:t>
      </w:r>
      <w:r>
        <w:rPr>
          <w:spacing w:val="22"/>
          <w:sz w:val="21"/>
        </w:rPr>
        <w:t> </w:t>
      </w:r>
      <w:r>
        <w:rPr>
          <w:sz w:val="21"/>
        </w:rPr>
        <w:t>shall be borne by the Concessionaire.</w:t>
      </w:r>
    </w:p>
    <w:p>
      <w:pPr>
        <w:pStyle w:val="BodyText"/>
        <w:spacing w:before="152"/>
        <w:rPr>
          <w:sz w:val="21"/>
        </w:rPr>
      </w:pPr>
    </w:p>
    <w:p>
      <w:pPr>
        <w:spacing w:line="213" w:lineRule="auto" w:before="0"/>
        <w:ind w:left="144" w:right="119" w:firstLine="0"/>
        <w:jc w:val="both"/>
        <w:rPr>
          <w:sz w:val="21"/>
        </w:rPr>
      </w:pPr>
      <w:r>
        <w:rPr>
          <w:i/>
          <w:sz w:val="21"/>
        </w:rPr>
        <w:t>Eight</w:t>
      </w:r>
      <w:r>
        <w:rPr>
          <w:sz w:val="21"/>
        </w:rPr>
        <w:t>.</w:t>
      </w:r>
      <w:r>
        <w:rPr>
          <w:spacing w:val="24"/>
          <w:sz w:val="21"/>
        </w:rPr>
        <w:t> </w:t>
      </w:r>
      <w:r>
        <w:rPr>
          <w:sz w:val="21"/>
        </w:rPr>
        <w:t>Orders,</w:t>
      </w:r>
      <w:r>
        <w:rPr>
          <w:spacing w:val="24"/>
          <w:sz w:val="21"/>
        </w:rPr>
        <w:t> </w:t>
      </w:r>
      <w:r>
        <w:rPr>
          <w:sz w:val="21"/>
        </w:rPr>
        <w:t>notices,</w:t>
      </w:r>
      <w:r>
        <w:rPr>
          <w:spacing w:val="24"/>
          <w:sz w:val="21"/>
        </w:rPr>
        <w:t> </w:t>
      </w:r>
      <w:r>
        <w:rPr>
          <w:sz w:val="21"/>
        </w:rPr>
        <w:t>and</w:t>
      </w:r>
      <w:r>
        <w:rPr>
          <w:spacing w:val="24"/>
          <w:sz w:val="21"/>
        </w:rPr>
        <w:t> </w:t>
      </w:r>
      <w:r>
        <w:rPr>
          <w:sz w:val="21"/>
        </w:rPr>
        <w:t>notifications</w:t>
      </w:r>
      <w:r>
        <w:rPr>
          <w:spacing w:val="24"/>
          <w:sz w:val="21"/>
        </w:rPr>
        <w:t> </w:t>
      </w:r>
      <w:r>
        <w:rPr>
          <w:sz w:val="21"/>
        </w:rPr>
        <w:t>related</w:t>
      </w:r>
      <w:r>
        <w:rPr>
          <w:spacing w:val="24"/>
          <w:sz w:val="21"/>
        </w:rPr>
        <w:t> </w:t>
      </w:r>
      <w:r>
        <w:rPr>
          <w:sz w:val="21"/>
        </w:rPr>
        <w:t>to</w:t>
      </w:r>
      <w:r>
        <w:rPr>
          <w:spacing w:val="24"/>
          <w:sz w:val="21"/>
        </w:rPr>
        <w:t> </w:t>
      </w:r>
      <w:r>
        <w:rPr>
          <w:sz w:val="21"/>
        </w:rPr>
        <w:t>the</w:t>
      </w:r>
      <w:r>
        <w:rPr>
          <w:spacing w:val="24"/>
          <w:sz w:val="21"/>
        </w:rPr>
        <w:t> </w:t>
      </w:r>
      <w:r>
        <w:rPr>
          <w:sz w:val="21"/>
        </w:rPr>
        <w:t>technical</w:t>
      </w:r>
      <w:r>
        <w:rPr>
          <w:spacing w:val="24"/>
          <w:sz w:val="21"/>
        </w:rPr>
        <w:t> </w:t>
      </w:r>
      <w:r>
        <w:rPr>
          <w:sz w:val="21"/>
        </w:rPr>
        <w:t>aspects</w:t>
      </w:r>
      <w:r>
        <w:rPr>
          <w:spacing w:val="24"/>
          <w:sz w:val="21"/>
        </w:rPr>
        <w:t> </w:t>
      </w:r>
      <w:r>
        <w:rPr>
          <w:sz w:val="21"/>
        </w:rPr>
        <w:t>of</w:t>
      </w:r>
      <w:r>
        <w:rPr>
          <w:spacing w:val="24"/>
          <w:sz w:val="21"/>
        </w:rPr>
        <w:t> </w:t>
      </w:r>
      <w:r>
        <w:rPr>
          <w:sz w:val="21"/>
        </w:rPr>
        <w:t>the</w:t>
      </w:r>
      <w:r>
        <w:rPr>
          <w:spacing w:val="24"/>
          <w:sz w:val="21"/>
        </w:rPr>
        <w:t> </w:t>
      </w:r>
      <w:r>
        <w:rPr>
          <w:sz w:val="21"/>
        </w:rPr>
        <w:t>execution</w:t>
      </w:r>
      <w:r>
        <w:rPr>
          <w:spacing w:val="24"/>
          <w:sz w:val="21"/>
        </w:rPr>
        <w:t> </w:t>
      </w:r>
      <w:r>
        <w:rPr>
          <w:sz w:val="21"/>
        </w:rPr>
        <w:t>of</w:t>
      </w:r>
      <w:r>
        <w:rPr>
          <w:spacing w:val="24"/>
          <w:sz w:val="21"/>
        </w:rPr>
        <w:t> </w:t>
      </w:r>
      <w:r>
        <w:rPr>
          <w:sz w:val="21"/>
        </w:rPr>
        <w:t>a</w:t>
      </w:r>
      <w:r>
        <w:rPr>
          <w:spacing w:val="24"/>
          <w:sz w:val="21"/>
        </w:rPr>
        <w:t> </w:t>
      </w:r>
      <w:r>
        <w:rPr>
          <w:sz w:val="21"/>
        </w:rPr>
        <w:t>construction</w:t>
      </w:r>
      <w:r>
        <w:rPr>
          <w:spacing w:val="24"/>
          <w:sz w:val="21"/>
        </w:rPr>
        <w:t> </w:t>
      </w:r>
      <w:r>
        <w:rPr>
          <w:sz w:val="21"/>
        </w:rPr>
        <w:t>project</w:t>
      </w:r>
      <w:r>
        <w:rPr>
          <w:spacing w:val="24"/>
          <w:sz w:val="21"/>
        </w:rPr>
        <w:t> </w:t>
      </w:r>
      <w:r>
        <w:rPr>
          <w:sz w:val="21"/>
        </w:rPr>
        <w:t>may</w:t>
      </w:r>
      <w:r>
        <w:rPr>
          <w:spacing w:val="24"/>
          <w:sz w:val="21"/>
        </w:rPr>
        <w:t> </w:t>
      </w:r>
      <w:r>
        <w:rPr>
          <w:sz w:val="21"/>
        </w:rPr>
        <w:t>be</w:t>
      </w:r>
      <w:r>
        <w:rPr>
          <w:spacing w:val="24"/>
          <w:sz w:val="21"/>
        </w:rPr>
        <w:t> </w:t>
      </w:r>
      <w:r>
        <w:rPr>
          <w:sz w:val="21"/>
        </w:rPr>
        <w:t>addressed by the Government, namely through the DSSCU, to the project manager directly.</w:t>
      </w:r>
    </w:p>
    <w:p>
      <w:pPr>
        <w:pStyle w:val="BodyText"/>
        <w:spacing w:before="144"/>
        <w:rPr>
          <w:sz w:val="21"/>
        </w:rPr>
      </w:pPr>
    </w:p>
    <w:p>
      <w:pPr>
        <w:spacing w:before="0"/>
        <w:ind w:left="144" w:right="0" w:firstLine="0"/>
        <w:jc w:val="both"/>
        <w:rPr>
          <w:sz w:val="21"/>
        </w:rPr>
      </w:pPr>
      <w:r>
        <w:rPr>
          <w:i/>
          <w:sz w:val="21"/>
        </w:rPr>
        <w:t>Nine</w:t>
      </w:r>
      <w:r>
        <w:rPr>
          <w:sz w:val="21"/>
        </w:rPr>
        <w:t>.</w:t>
      </w:r>
      <w:r>
        <w:rPr>
          <w:spacing w:val="4"/>
          <w:sz w:val="21"/>
        </w:rPr>
        <w:t> </w:t>
      </w:r>
      <w:r>
        <w:rPr>
          <w:sz w:val="21"/>
        </w:rPr>
        <w:t>The</w:t>
      </w:r>
      <w:r>
        <w:rPr>
          <w:spacing w:val="10"/>
          <w:sz w:val="21"/>
        </w:rPr>
        <w:t> </w:t>
      </w:r>
      <w:r>
        <w:rPr>
          <w:sz w:val="21"/>
        </w:rPr>
        <w:t>project</w:t>
      </w:r>
      <w:r>
        <w:rPr>
          <w:spacing w:val="10"/>
          <w:sz w:val="21"/>
        </w:rPr>
        <w:t> </w:t>
      </w:r>
      <w:r>
        <w:rPr>
          <w:sz w:val="21"/>
        </w:rPr>
        <w:t>manager</w:t>
      </w:r>
      <w:r>
        <w:rPr>
          <w:spacing w:val="9"/>
          <w:sz w:val="21"/>
        </w:rPr>
        <w:t> </w:t>
      </w:r>
      <w:r>
        <w:rPr>
          <w:sz w:val="21"/>
        </w:rPr>
        <w:t>shall</w:t>
      </w:r>
      <w:r>
        <w:rPr>
          <w:spacing w:val="10"/>
          <w:sz w:val="21"/>
        </w:rPr>
        <w:t> </w:t>
      </w:r>
      <w:r>
        <w:rPr>
          <w:sz w:val="21"/>
        </w:rPr>
        <w:t>monitor</w:t>
      </w:r>
      <w:r>
        <w:rPr>
          <w:spacing w:val="9"/>
          <w:sz w:val="21"/>
        </w:rPr>
        <w:t> </w:t>
      </w:r>
      <w:r>
        <w:rPr>
          <w:sz w:val="21"/>
        </w:rPr>
        <w:t>the</w:t>
      </w:r>
      <w:r>
        <w:rPr>
          <w:spacing w:val="10"/>
          <w:sz w:val="21"/>
        </w:rPr>
        <w:t> </w:t>
      </w:r>
      <w:r>
        <w:rPr>
          <w:sz w:val="21"/>
        </w:rPr>
        <w:t>work</w:t>
      </w:r>
      <w:r>
        <w:rPr>
          <w:spacing w:val="10"/>
          <w:sz w:val="21"/>
        </w:rPr>
        <w:t> </w:t>
      </w:r>
      <w:r>
        <w:rPr>
          <w:sz w:val="21"/>
        </w:rPr>
        <w:t>diligently</w:t>
      </w:r>
      <w:r>
        <w:rPr>
          <w:spacing w:val="9"/>
          <w:sz w:val="21"/>
        </w:rPr>
        <w:t> </w:t>
      </w:r>
      <w:r>
        <w:rPr>
          <w:sz w:val="21"/>
        </w:rPr>
        <w:t>and</w:t>
      </w:r>
      <w:r>
        <w:rPr>
          <w:spacing w:val="10"/>
          <w:sz w:val="21"/>
        </w:rPr>
        <w:t> </w:t>
      </w:r>
      <w:r>
        <w:rPr>
          <w:sz w:val="21"/>
        </w:rPr>
        <w:t>be</w:t>
      </w:r>
      <w:r>
        <w:rPr>
          <w:spacing w:val="9"/>
          <w:sz w:val="21"/>
        </w:rPr>
        <w:t> </w:t>
      </w:r>
      <w:r>
        <w:rPr>
          <w:sz w:val="21"/>
        </w:rPr>
        <w:t>present</w:t>
      </w:r>
      <w:r>
        <w:rPr>
          <w:spacing w:val="10"/>
          <w:sz w:val="21"/>
        </w:rPr>
        <w:t> </w:t>
      </w:r>
      <w:r>
        <w:rPr>
          <w:sz w:val="21"/>
        </w:rPr>
        <w:t>at</w:t>
      </w:r>
      <w:r>
        <w:rPr>
          <w:spacing w:val="9"/>
          <w:sz w:val="21"/>
        </w:rPr>
        <w:t> </w:t>
      </w:r>
      <w:r>
        <w:rPr>
          <w:sz w:val="21"/>
        </w:rPr>
        <w:t>the</w:t>
      </w:r>
      <w:r>
        <w:rPr>
          <w:spacing w:val="10"/>
          <w:sz w:val="21"/>
        </w:rPr>
        <w:t> </w:t>
      </w:r>
      <w:r>
        <w:rPr>
          <w:sz w:val="21"/>
        </w:rPr>
        <w:t>site</w:t>
      </w:r>
      <w:r>
        <w:rPr>
          <w:spacing w:val="10"/>
          <w:sz w:val="21"/>
        </w:rPr>
        <w:t> </w:t>
      </w:r>
      <w:r>
        <w:rPr>
          <w:sz w:val="21"/>
        </w:rPr>
        <w:t>of</w:t>
      </w:r>
      <w:r>
        <w:rPr>
          <w:spacing w:val="9"/>
          <w:sz w:val="21"/>
        </w:rPr>
        <w:t> </w:t>
      </w:r>
      <w:r>
        <w:rPr>
          <w:sz w:val="21"/>
        </w:rPr>
        <w:t>the</w:t>
      </w:r>
      <w:r>
        <w:rPr>
          <w:spacing w:val="10"/>
          <w:sz w:val="21"/>
        </w:rPr>
        <w:t> </w:t>
      </w:r>
      <w:r>
        <w:rPr>
          <w:sz w:val="21"/>
        </w:rPr>
        <w:t>work</w:t>
      </w:r>
      <w:r>
        <w:rPr>
          <w:spacing w:val="9"/>
          <w:sz w:val="21"/>
        </w:rPr>
        <w:t> </w:t>
      </w:r>
      <w:r>
        <w:rPr>
          <w:sz w:val="21"/>
        </w:rPr>
        <w:t>whenever</w:t>
      </w:r>
      <w:r>
        <w:rPr>
          <w:spacing w:val="10"/>
          <w:sz w:val="21"/>
        </w:rPr>
        <w:t> </w:t>
      </w:r>
      <w:r>
        <w:rPr>
          <w:spacing w:val="-2"/>
          <w:sz w:val="21"/>
        </w:rPr>
        <w:t>required.</w:t>
      </w:r>
    </w:p>
    <w:p>
      <w:pPr>
        <w:pStyle w:val="BodyText"/>
        <w:spacing w:before="146"/>
        <w:rPr>
          <w:sz w:val="21"/>
        </w:rPr>
      </w:pPr>
    </w:p>
    <w:p>
      <w:pPr>
        <w:spacing w:line="213" w:lineRule="auto" w:before="1"/>
        <w:ind w:left="144" w:right="118" w:firstLine="0"/>
        <w:jc w:val="both"/>
        <w:rPr>
          <w:sz w:val="21"/>
        </w:rPr>
      </w:pPr>
      <w:r>
        <w:rPr>
          <w:i/>
          <w:sz w:val="21"/>
        </w:rPr>
        <w:t>Ten</w:t>
      </w:r>
      <w:r>
        <w:rPr>
          <w:sz w:val="21"/>
        </w:rPr>
        <w:t>.</w:t>
      </w:r>
      <w:r>
        <w:rPr>
          <w:spacing w:val="32"/>
          <w:sz w:val="21"/>
        </w:rPr>
        <w:t> </w:t>
      </w:r>
      <w:r>
        <w:rPr>
          <w:sz w:val="21"/>
        </w:rPr>
        <w:t>The</w:t>
      </w:r>
      <w:r>
        <w:rPr>
          <w:spacing w:val="37"/>
          <w:sz w:val="21"/>
        </w:rPr>
        <w:t> </w:t>
      </w:r>
      <w:r>
        <w:rPr>
          <w:sz w:val="21"/>
        </w:rPr>
        <w:t>Government,</w:t>
      </w:r>
      <w:r>
        <w:rPr>
          <w:spacing w:val="37"/>
          <w:sz w:val="21"/>
        </w:rPr>
        <w:t> </w:t>
      </w:r>
      <w:r>
        <w:rPr>
          <w:sz w:val="21"/>
        </w:rPr>
        <w:t>namely</w:t>
      </w:r>
      <w:r>
        <w:rPr>
          <w:spacing w:val="37"/>
          <w:sz w:val="21"/>
        </w:rPr>
        <w:t> </w:t>
      </w:r>
      <w:r>
        <w:rPr>
          <w:sz w:val="21"/>
        </w:rPr>
        <w:t>through</w:t>
      </w:r>
      <w:r>
        <w:rPr>
          <w:spacing w:val="37"/>
          <w:sz w:val="21"/>
        </w:rPr>
        <w:t> </w:t>
      </w:r>
      <w:r>
        <w:rPr>
          <w:sz w:val="21"/>
        </w:rPr>
        <w:t>DSSCU,</w:t>
      </w:r>
      <w:r>
        <w:rPr>
          <w:spacing w:val="37"/>
          <w:sz w:val="21"/>
        </w:rPr>
        <w:t> </w:t>
      </w:r>
      <w:r>
        <w:rPr>
          <w:sz w:val="21"/>
        </w:rPr>
        <w:t>may</w:t>
      </w:r>
      <w:r>
        <w:rPr>
          <w:spacing w:val="37"/>
          <w:sz w:val="21"/>
        </w:rPr>
        <w:t> </w:t>
      </w:r>
      <w:r>
        <w:rPr>
          <w:sz w:val="21"/>
        </w:rPr>
        <w:t>suspend</w:t>
      </w:r>
      <w:r>
        <w:rPr>
          <w:spacing w:val="37"/>
          <w:sz w:val="21"/>
        </w:rPr>
        <w:t> </w:t>
      </w:r>
      <w:r>
        <w:rPr>
          <w:sz w:val="21"/>
        </w:rPr>
        <w:t>and</w:t>
      </w:r>
      <w:r>
        <w:rPr>
          <w:spacing w:val="37"/>
          <w:sz w:val="21"/>
        </w:rPr>
        <w:t> </w:t>
      </w:r>
      <w:r>
        <w:rPr>
          <w:sz w:val="21"/>
        </w:rPr>
        <w:t>halt,</w:t>
      </w:r>
      <w:r>
        <w:rPr>
          <w:spacing w:val="37"/>
          <w:sz w:val="21"/>
        </w:rPr>
        <w:t> </w:t>
      </w:r>
      <w:r>
        <w:rPr>
          <w:sz w:val="21"/>
        </w:rPr>
        <w:t>under</w:t>
      </w:r>
      <w:r>
        <w:rPr>
          <w:spacing w:val="37"/>
          <w:sz w:val="21"/>
        </w:rPr>
        <w:t> </w:t>
      </w:r>
      <w:r>
        <w:rPr>
          <w:sz w:val="21"/>
        </w:rPr>
        <w:t>the</w:t>
      </w:r>
      <w:r>
        <w:rPr>
          <w:spacing w:val="37"/>
          <w:sz w:val="21"/>
        </w:rPr>
        <w:t> </w:t>
      </w:r>
      <w:r>
        <w:rPr>
          <w:sz w:val="21"/>
        </w:rPr>
        <w:t>terms</w:t>
      </w:r>
      <w:r>
        <w:rPr>
          <w:spacing w:val="37"/>
          <w:sz w:val="21"/>
        </w:rPr>
        <w:t> </w:t>
      </w:r>
      <w:r>
        <w:rPr>
          <w:sz w:val="21"/>
        </w:rPr>
        <w:t>of</w:t>
      </w:r>
      <w:r>
        <w:rPr>
          <w:spacing w:val="37"/>
          <w:sz w:val="21"/>
        </w:rPr>
        <w:t> </w:t>
      </w:r>
      <w:r>
        <w:rPr>
          <w:sz w:val="21"/>
        </w:rPr>
        <w:t>the</w:t>
      </w:r>
      <w:r>
        <w:rPr>
          <w:spacing w:val="37"/>
          <w:sz w:val="21"/>
        </w:rPr>
        <w:t> </w:t>
      </w:r>
      <w:r>
        <w:rPr>
          <w:sz w:val="21"/>
        </w:rPr>
        <w:t>law,</w:t>
      </w:r>
      <w:r>
        <w:rPr>
          <w:spacing w:val="37"/>
          <w:sz w:val="21"/>
        </w:rPr>
        <w:t> </w:t>
      </w:r>
      <w:r>
        <w:rPr>
          <w:sz w:val="21"/>
        </w:rPr>
        <w:t>the</w:t>
      </w:r>
      <w:r>
        <w:rPr>
          <w:spacing w:val="37"/>
          <w:sz w:val="21"/>
        </w:rPr>
        <w:t> </w:t>
      </w:r>
      <w:r>
        <w:rPr>
          <w:sz w:val="21"/>
        </w:rPr>
        <w:t>execution</w:t>
      </w:r>
      <w:r>
        <w:rPr>
          <w:spacing w:val="37"/>
          <w:sz w:val="21"/>
        </w:rPr>
        <w:t> </w:t>
      </w:r>
      <w:r>
        <w:rPr>
          <w:sz w:val="21"/>
        </w:rPr>
        <w:t>of</w:t>
      </w:r>
      <w:r>
        <w:rPr>
          <w:spacing w:val="37"/>
          <w:sz w:val="21"/>
        </w:rPr>
        <w:t> </w:t>
      </w:r>
      <w:r>
        <w:rPr>
          <w:sz w:val="21"/>
        </w:rPr>
        <w:t>construction work whenever nonconformity with the approved projects or violation of the applicable legal, regulatory, or contractual norms or provisions is detected.</w:t>
      </w:r>
    </w:p>
    <w:p>
      <w:pPr>
        <w:pStyle w:val="BodyText"/>
        <w:spacing w:before="153"/>
        <w:rPr>
          <w:sz w:val="21"/>
        </w:rPr>
      </w:pPr>
    </w:p>
    <w:p>
      <w:pPr>
        <w:spacing w:line="213" w:lineRule="auto" w:before="0"/>
        <w:ind w:left="144" w:right="119" w:firstLine="0"/>
        <w:jc w:val="both"/>
        <w:rPr>
          <w:sz w:val="21"/>
        </w:rPr>
      </w:pPr>
      <w:r>
        <w:rPr>
          <w:i/>
          <w:sz w:val="21"/>
        </w:rPr>
        <w:t>Eleven</w:t>
      </w:r>
      <w:r>
        <w:rPr>
          <w:sz w:val="21"/>
        </w:rPr>
        <w:t>.</w:t>
      </w:r>
      <w:r>
        <w:rPr>
          <w:spacing w:val="17"/>
          <w:sz w:val="21"/>
        </w:rPr>
        <w:t> </w:t>
      </w:r>
      <w:r>
        <w:rPr>
          <w:sz w:val="21"/>
        </w:rPr>
        <w:t>The</w:t>
      </w:r>
      <w:r>
        <w:rPr>
          <w:spacing w:val="21"/>
          <w:sz w:val="21"/>
        </w:rPr>
        <w:t> </w:t>
      </w:r>
      <w:r>
        <w:rPr>
          <w:sz w:val="21"/>
        </w:rPr>
        <w:t>powers</w:t>
      </w:r>
      <w:r>
        <w:rPr>
          <w:spacing w:val="21"/>
          <w:sz w:val="21"/>
        </w:rPr>
        <w:t> </w:t>
      </w:r>
      <w:r>
        <w:rPr>
          <w:sz w:val="21"/>
        </w:rPr>
        <w:t>to</w:t>
      </w:r>
      <w:r>
        <w:rPr>
          <w:spacing w:val="21"/>
          <w:sz w:val="21"/>
        </w:rPr>
        <w:t> </w:t>
      </w:r>
      <w:r>
        <w:rPr>
          <w:sz w:val="21"/>
        </w:rPr>
        <w:t>supervise</w:t>
      </w:r>
      <w:r>
        <w:rPr>
          <w:spacing w:val="21"/>
          <w:sz w:val="21"/>
        </w:rPr>
        <w:t> </w:t>
      </w:r>
      <w:r>
        <w:rPr>
          <w:sz w:val="21"/>
        </w:rPr>
        <w:t>the</w:t>
      </w:r>
      <w:r>
        <w:rPr>
          <w:spacing w:val="21"/>
          <w:sz w:val="21"/>
        </w:rPr>
        <w:t> </w:t>
      </w:r>
      <w:r>
        <w:rPr>
          <w:sz w:val="21"/>
        </w:rPr>
        <w:t>fulfilment</w:t>
      </w:r>
      <w:r>
        <w:rPr>
          <w:spacing w:val="21"/>
          <w:sz w:val="21"/>
        </w:rPr>
        <w:t> </w:t>
      </w:r>
      <w:r>
        <w:rPr>
          <w:sz w:val="21"/>
        </w:rPr>
        <w:t>of</w:t>
      </w:r>
      <w:r>
        <w:rPr>
          <w:spacing w:val="21"/>
          <w:sz w:val="21"/>
        </w:rPr>
        <w:t> </w:t>
      </w:r>
      <w:r>
        <w:rPr>
          <w:sz w:val="21"/>
        </w:rPr>
        <w:t>the</w:t>
      </w:r>
      <w:r>
        <w:rPr>
          <w:spacing w:val="21"/>
          <w:sz w:val="21"/>
        </w:rPr>
        <w:t> </w:t>
      </w:r>
      <w:r>
        <w:rPr>
          <w:sz w:val="21"/>
        </w:rPr>
        <w:t>obligations</w:t>
      </w:r>
      <w:r>
        <w:rPr>
          <w:spacing w:val="21"/>
          <w:sz w:val="21"/>
        </w:rPr>
        <w:t> </w:t>
      </w:r>
      <w:r>
        <w:rPr>
          <w:sz w:val="21"/>
        </w:rPr>
        <w:t>resulting</w:t>
      </w:r>
      <w:r>
        <w:rPr>
          <w:spacing w:val="21"/>
          <w:sz w:val="21"/>
        </w:rPr>
        <w:t> </w:t>
      </w:r>
      <w:r>
        <w:rPr>
          <w:sz w:val="21"/>
        </w:rPr>
        <w:t>from</w:t>
      </w:r>
      <w:r>
        <w:rPr>
          <w:spacing w:val="21"/>
          <w:sz w:val="21"/>
        </w:rPr>
        <w:t> </w:t>
      </w:r>
      <w:r>
        <w:rPr>
          <w:sz w:val="21"/>
        </w:rPr>
        <w:t>this</w:t>
      </w:r>
      <w:r>
        <w:rPr>
          <w:spacing w:val="21"/>
          <w:sz w:val="21"/>
        </w:rPr>
        <w:t> </w:t>
      </w:r>
      <w:r>
        <w:rPr>
          <w:sz w:val="21"/>
        </w:rPr>
        <w:t>concession</w:t>
      </w:r>
      <w:r>
        <w:rPr>
          <w:spacing w:val="21"/>
          <w:sz w:val="21"/>
        </w:rPr>
        <w:t> </w:t>
      </w:r>
      <w:r>
        <w:rPr>
          <w:sz w:val="21"/>
        </w:rPr>
        <w:t>contract</w:t>
      </w:r>
      <w:r>
        <w:rPr>
          <w:spacing w:val="21"/>
          <w:sz w:val="21"/>
        </w:rPr>
        <w:t> </w:t>
      </w:r>
      <w:r>
        <w:rPr>
          <w:sz w:val="21"/>
        </w:rPr>
        <w:t>do</w:t>
      </w:r>
      <w:r>
        <w:rPr>
          <w:spacing w:val="21"/>
          <w:sz w:val="21"/>
        </w:rPr>
        <w:t> </w:t>
      </w:r>
      <w:r>
        <w:rPr>
          <w:sz w:val="21"/>
        </w:rPr>
        <w:t>not</w:t>
      </w:r>
      <w:r>
        <w:rPr>
          <w:spacing w:val="21"/>
          <w:sz w:val="21"/>
        </w:rPr>
        <w:t> </w:t>
      </w:r>
      <w:r>
        <w:rPr>
          <w:sz w:val="21"/>
        </w:rPr>
        <w:t>involve</w:t>
      </w:r>
      <w:r>
        <w:rPr>
          <w:spacing w:val="21"/>
          <w:sz w:val="21"/>
        </w:rPr>
        <w:t> </w:t>
      </w:r>
      <w:r>
        <w:rPr>
          <w:sz w:val="21"/>
        </w:rPr>
        <w:t>any</w:t>
      </w:r>
      <w:r>
        <w:rPr>
          <w:spacing w:val="21"/>
          <w:sz w:val="21"/>
        </w:rPr>
        <w:t> </w:t>
      </w:r>
      <w:r>
        <w:rPr>
          <w:sz w:val="21"/>
        </w:rPr>
        <w:t>liability on the Macau SAR for the execution of the construction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2"/>
        <w:rPr>
          <w:sz w:val="20"/>
        </w:rPr>
      </w:pPr>
      <w:r>
        <w:rPr/>
        <mc:AlternateContent>
          <mc:Choice Requires="wps">
            <w:drawing>
              <wp:anchor distT="0" distB="0" distL="0" distR="0" allowOverlap="1" layoutInCell="1" locked="0" behindDoc="1" simplePos="0" relativeHeight="487775232">
                <wp:simplePos x="0" y="0"/>
                <wp:positionH relativeFrom="page">
                  <wp:posOffset>231457</wp:posOffset>
                </wp:positionH>
                <wp:positionV relativeFrom="paragraph">
                  <wp:posOffset>213347</wp:posOffset>
                </wp:positionV>
                <wp:extent cx="7312659" cy="17145"/>
                <wp:effectExtent l="0" t="0" r="0" b="0"/>
                <wp:wrapTopAndBottom/>
                <wp:docPr id="880" name="Group 880"/>
                <wp:cNvGraphicFramePr>
                  <a:graphicFrameLocks/>
                </wp:cNvGraphicFramePr>
                <a:graphic>
                  <a:graphicData uri="http://schemas.microsoft.com/office/word/2010/wordprocessingGroup">
                    <wpg:wgp>
                      <wpg:cNvPr id="880" name="Group 880"/>
                      <wpg:cNvGrpSpPr/>
                      <wpg:grpSpPr>
                        <a:xfrm>
                          <a:off x="0" y="0"/>
                          <a:ext cx="7312659" cy="17145"/>
                          <a:chExt cx="7312659" cy="17145"/>
                        </a:xfrm>
                      </wpg:grpSpPr>
                      <wps:wsp>
                        <wps:cNvPr id="881" name="Graphic 88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82" name="Graphic 882"/>
                        <wps:cNvSpPr/>
                        <wps:spPr>
                          <a:xfrm>
                            <a:off x="-12" y="-1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83" name="Graphic 88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799023pt;width:575.8pt;height:1.35pt;mso-position-horizontal-relative:page;mso-position-vertical-relative:paragraph;z-index:-15541248;mso-wrap-distance-left:0;mso-wrap-distance-right:0" id="docshapegroup878" coordorigin="364,336" coordsize="11516,27">
                <v:rect style="position:absolute;left:364;top:335;width:11516;height:14" id="docshape879" filled="true" fillcolor="#999999" stroked="false">
                  <v:fill type="solid"/>
                </v:rect>
                <v:shape style="position:absolute;left:364;top:335;width:11516;height:27" id="docshape880" coordorigin="364,336" coordsize="11516,27" path="m11880,336l11866,349,364,349,364,363,11866,363,11880,363,11880,349,11880,336xe" filled="true" fillcolor="#ededed" stroked="false">
                  <v:path arrowok="t"/>
                  <v:fill type="solid"/>
                </v:shape>
                <v:shape style="position:absolute;left:364;top:335;width:14;height:27" id="docshape881" coordorigin="364,336" coordsize="14,27" path="m364,363l364,336,378,336,378,349,364,363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line="213" w:lineRule="auto" w:before="97"/>
        <w:ind w:left="144" w:right="119" w:firstLine="0"/>
        <w:jc w:val="both"/>
        <w:rPr>
          <w:sz w:val="21"/>
        </w:rPr>
      </w:pPr>
      <w:r>
        <w:rPr>
          <w:sz w:val="21"/>
        </w:rPr>
        <w:t>work, the Concessionaire being solely responsible for all imperfections or faults in the design, execution, or operation of the referred work, except that resulting from decisions taken by the Government.</w:t>
      </w:r>
    </w:p>
    <w:p>
      <w:pPr>
        <w:pStyle w:val="BodyText"/>
        <w:spacing w:before="130"/>
        <w:rPr>
          <w:sz w:val="21"/>
        </w:rPr>
      </w:pPr>
    </w:p>
    <w:p>
      <w:pPr>
        <w:spacing w:line="309" w:lineRule="auto" w:before="0"/>
        <w:ind w:left="4426" w:right="4415" w:firstLine="1028"/>
        <w:jc w:val="left"/>
        <w:rPr>
          <w:b/>
          <w:sz w:val="21"/>
        </w:rPr>
      </w:pPr>
      <w:r>
        <w:rPr>
          <w:b/>
          <w:sz w:val="21"/>
        </w:rPr>
        <w:t>Clause 40 Contracting and </w:t>
      </w:r>
      <w:r>
        <w:rPr>
          <w:b/>
          <w:sz w:val="21"/>
        </w:rPr>
        <w:t>subcontracting</w:t>
      </w:r>
    </w:p>
    <w:p>
      <w:pPr>
        <w:pStyle w:val="BodyText"/>
        <w:spacing w:before="75"/>
        <w:rPr>
          <w:b/>
          <w:sz w:val="21"/>
        </w:rPr>
      </w:pPr>
    </w:p>
    <w:p>
      <w:pPr>
        <w:spacing w:line="213" w:lineRule="auto" w:before="0"/>
        <w:ind w:left="144" w:right="118" w:firstLine="0"/>
        <w:jc w:val="both"/>
        <w:rPr>
          <w:sz w:val="21"/>
        </w:rPr>
      </w:pPr>
      <w:r>
        <w:rPr>
          <w:sz w:val="21"/>
        </w:rPr>
        <w:t>The</w:t>
      </w:r>
      <w:r>
        <w:rPr>
          <w:spacing w:val="18"/>
          <w:sz w:val="21"/>
        </w:rPr>
        <w:t> </w:t>
      </w:r>
      <w:r>
        <w:rPr>
          <w:sz w:val="21"/>
        </w:rPr>
        <w:t>execution</w:t>
      </w:r>
      <w:r>
        <w:rPr>
          <w:spacing w:val="18"/>
          <w:sz w:val="21"/>
        </w:rPr>
        <w:t> </w:t>
      </w:r>
      <w:r>
        <w:rPr>
          <w:sz w:val="21"/>
        </w:rPr>
        <w:t>of</w:t>
      </w:r>
      <w:r>
        <w:rPr>
          <w:spacing w:val="18"/>
          <w:sz w:val="21"/>
        </w:rPr>
        <w:t> </w:t>
      </w:r>
      <w:r>
        <w:rPr>
          <w:sz w:val="21"/>
        </w:rPr>
        <w:t>the</w:t>
      </w:r>
      <w:r>
        <w:rPr>
          <w:spacing w:val="18"/>
          <w:sz w:val="21"/>
        </w:rPr>
        <w:t> </w:t>
      </w:r>
      <w:r>
        <w:rPr>
          <w:sz w:val="21"/>
        </w:rPr>
        <w:t>Investment</w:t>
      </w:r>
      <w:r>
        <w:rPr>
          <w:spacing w:val="18"/>
          <w:sz w:val="21"/>
        </w:rPr>
        <w:t> </w:t>
      </w:r>
      <w:r>
        <w:rPr>
          <w:sz w:val="21"/>
        </w:rPr>
        <w:t>Plans</w:t>
      </w:r>
      <w:r>
        <w:rPr>
          <w:spacing w:val="18"/>
          <w:sz w:val="21"/>
        </w:rPr>
        <w:t> </w:t>
      </w:r>
      <w:r>
        <w:rPr>
          <w:sz w:val="21"/>
        </w:rPr>
        <w:t>that</w:t>
      </w:r>
      <w:r>
        <w:rPr>
          <w:spacing w:val="18"/>
          <w:sz w:val="21"/>
        </w:rPr>
        <w:t> </w:t>
      </w:r>
      <w:r>
        <w:rPr>
          <w:sz w:val="21"/>
        </w:rPr>
        <w:t>involves</w:t>
      </w:r>
      <w:r>
        <w:rPr>
          <w:spacing w:val="18"/>
          <w:sz w:val="21"/>
        </w:rPr>
        <w:t> </w:t>
      </w:r>
      <w:r>
        <w:rPr>
          <w:sz w:val="21"/>
        </w:rPr>
        <w:t>hiring</w:t>
      </w:r>
      <w:r>
        <w:rPr>
          <w:spacing w:val="18"/>
          <w:sz w:val="21"/>
        </w:rPr>
        <w:t> </w:t>
      </w:r>
      <w:r>
        <w:rPr>
          <w:sz w:val="21"/>
        </w:rPr>
        <w:t>and</w:t>
      </w:r>
      <w:r>
        <w:rPr>
          <w:spacing w:val="18"/>
          <w:sz w:val="21"/>
        </w:rPr>
        <w:t> </w:t>
      </w:r>
      <w:r>
        <w:rPr>
          <w:sz w:val="21"/>
        </w:rPr>
        <w:t>subcontracting</w:t>
      </w:r>
      <w:r>
        <w:rPr>
          <w:spacing w:val="18"/>
          <w:sz w:val="21"/>
        </w:rPr>
        <w:t> </w:t>
      </w:r>
      <w:r>
        <w:rPr>
          <w:sz w:val="21"/>
        </w:rPr>
        <w:t>third</w:t>
      </w:r>
      <w:r>
        <w:rPr>
          <w:spacing w:val="18"/>
          <w:sz w:val="21"/>
        </w:rPr>
        <w:t> </w:t>
      </w:r>
      <w:r>
        <w:rPr>
          <w:sz w:val="21"/>
        </w:rPr>
        <w:t>parties</w:t>
      </w:r>
      <w:r>
        <w:rPr>
          <w:spacing w:val="18"/>
          <w:sz w:val="21"/>
        </w:rPr>
        <w:t> </w:t>
      </w:r>
      <w:r>
        <w:rPr>
          <w:sz w:val="21"/>
        </w:rPr>
        <w:t>does</w:t>
      </w:r>
      <w:r>
        <w:rPr>
          <w:spacing w:val="18"/>
          <w:sz w:val="21"/>
        </w:rPr>
        <w:t> </w:t>
      </w:r>
      <w:r>
        <w:rPr>
          <w:sz w:val="21"/>
        </w:rPr>
        <w:t>not</w:t>
      </w:r>
      <w:r>
        <w:rPr>
          <w:spacing w:val="18"/>
          <w:sz w:val="21"/>
        </w:rPr>
        <w:t> </w:t>
      </w:r>
      <w:r>
        <w:rPr>
          <w:sz w:val="21"/>
        </w:rPr>
        <w:t>exempt</w:t>
      </w:r>
      <w:r>
        <w:rPr>
          <w:spacing w:val="18"/>
          <w:sz w:val="21"/>
        </w:rPr>
        <w:t> </w:t>
      </w:r>
      <w:r>
        <w:rPr>
          <w:sz w:val="21"/>
        </w:rPr>
        <w:t>the</w:t>
      </w:r>
      <w:r>
        <w:rPr>
          <w:spacing w:val="18"/>
          <w:sz w:val="21"/>
        </w:rPr>
        <w:t> </w:t>
      </w:r>
      <w:r>
        <w:rPr>
          <w:sz w:val="21"/>
        </w:rPr>
        <w:t>Concessionaire</w:t>
      </w:r>
      <w:r>
        <w:rPr>
          <w:spacing w:val="18"/>
          <w:sz w:val="21"/>
        </w:rPr>
        <w:t> </w:t>
      </w:r>
      <w:r>
        <w:rPr>
          <w:sz w:val="21"/>
        </w:rPr>
        <w:t>from the legal or contractual obligations to which it is bound.</w:t>
      </w:r>
    </w:p>
    <w:p>
      <w:pPr>
        <w:pStyle w:val="BodyText"/>
        <w:spacing w:before="144"/>
        <w:rPr>
          <w:sz w:val="21"/>
        </w:rPr>
      </w:pPr>
    </w:p>
    <w:p>
      <w:pPr>
        <w:spacing w:before="1"/>
        <w:ind w:left="24" w:right="0" w:firstLine="0"/>
        <w:jc w:val="center"/>
        <w:rPr>
          <w:b/>
          <w:sz w:val="21"/>
        </w:rPr>
      </w:pPr>
      <w:r>
        <w:rPr>
          <w:b/>
          <w:sz w:val="21"/>
        </w:rPr>
        <w:t>Clause</w:t>
      </w:r>
      <w:r>
        <w:rPr>
          <w:b/>
          <w:spacing w:val="13"/>
          <w:sz w:val="21"/>
        </w:rPr>
        <w:t> </w:t>
      </w:r>
      <w:r>
        <w:rPr>
          <w:b/>
          <w:spacing w:val="-5"/>
          <w:sz w:val="21"/>
        </w:rPr>
        <w:t>41</w:t>
      </w:r>
    </w:p>
    <w:p>
      <w:pPr>
        <w:spacing w:before="55"/>
        <w:ind w:left="24" w:right="0" w:firstLine="0"/>
        <w:jc w:val="center"/>
        <w:rPr>
          <w:b/>
          <w:sz w:val="21"/>
        </w:rPr>
      </w:pPr>
      <w:r>
        <w:rPr>
          <w:b/>
          <w:sz w:val="21"/>
        </w:rPr>
        <w:t>Application</w:t>
      </w:r>
      <w:r>
        <w:rPr>
          <w:b/>
          <w:spacing w:val="11"/>
          <w:sz w:val="21"/>
        </w:rPr>
        <w:t> </w:t>
      </w:r>
      <w:r>
        <w:rPr>
          <w:b/>
          <w:sz w:val="21"/>
        </w:rPr>
        <w:t>of</w:t>
      </w:r>
      <w:r>
        <w:rPr>
          <w:b/>
          <w:spacing w:val="11"/>
          <w:sz w:val="21"/>
        </w:rPr>
        <w:t> </w:t>
      </w:r>
      <w:r>
        <w:rPr>
          <w:b/>
          <w:sz w:val="21"/>
        </w:rPr>
        <w:t>the</w:t>
      </w:r>
      <w:r>
        <w:rPr>
          <w:b/>
          <w:spacing w:val="12"/>
          <w:sz w:val="21"/>
        </w:rPr>
        <w:t> </w:t>
      </w:r>
      <w:r>
        <w:rPr>
          <w:b/>
          <w:sz w:val="21"/>
        </w:rPr>
        <w:t>remaining</w:t>
      </w:r>
      <w:r>
        <w:rPr>
          <w:b/>
          <w:spacing w:val="11"/>
          <w:sz w:val="21"/>
        </w:rPr>
        <w:t> </w:t>
      </w:r>
      <w:r>
        <w:rPr>
          <w:b/>
          <w:sz w:val="21"/>
        </w:rPr>
        <w:t>funds</w:t>
      </w:r>
      <w:r>
        <w:rPr>
          <w:b/>
          <w:spacing w:val="12"/>
          <w:sz w:val="21"/>
        </w:rPr>
        <w:t> </w:t>
      </w:r>
      <w:r>
        <w:rPr>
          <w:b/>
          <w:sz w:val="21"/>
        </w:rPr>
        <w:t>of</w:t>
      </w:r>
      <w:r>
        <w:rPr>
          <w:b/>
          <w:spacing w:val="11"/>
          <w:sz w:val="21"/>
        </w:rPr>
        <w:t> </w:t>
      </w:r>
      <w:r>
        <w:rPr>
          <w:b/>
          <w:sz w:val="21"/>
        </w:rPr>
        <w:t>the</w:t>
      </w:r>
      <w:r>
        <w:rPr>
          <w:b/>
          <w:spacing w:val="12"/>
          <w:sz w:val="21"/>
        </w:rPr>
        <w:t> </w:t>
      </w:r>
      <w:r>
        <w:rPr>
          <w:b/>
          <w:sz w:val="21"/>
        </w:rPr>
        <w:t>Investment</w:t>
      </w:r>
      <w:r>
        <w:rPr>
          <w:b/>
          <w:spacing w:val="11"/>
          <w:sz w:val="21"/>
        </w:rPr>
        <w:t> </w:t>
      </w:r>
      <w:r>
        <w:rPr>
          <w:b/>
          <w:spacing w:val="-2"/>
          <w:sz w:val="21"/>
        </w:rPr>
        <w:t>Plans</w:t>
      </w:r>
    </w:p>
    <w:p>
      <w:pPr>
        <w:pStyle w:val="BodyText"/>
        <w:spacing w:before="159"/>
        <w:rPr>
          <w:b/>
          <w:sz w:val="21"/>
        </w:rPr>
      </w:pPr>
    </w:p>
    <w:p>
      <w:pPr>
        <w:spacing w:line="213" w:lineRule="auto" w:before="1"/>
        <w:ind w:left="144" w:right="118" w:firstLine="0"/>
        <w:jc w:val="both"/>
        <w:rPr>
          <w:sz w:val="21"/>
        </w:rPr>
      </w:pPr>
      <w:r>
        <w:rPr>
          <w:sz w:val="21"/>
        </w:rPr>
        <w:t>If, upon completion of the execution of the Investment Plans annexed to this concession contract, the total value of the expenditure incurred by the Concessionaire, directly or, subject to Government authorization, indirectly, is less than the overall amount and value committed to at the time of activation of the constant investment increase mechanism in the award proposal submitted by </w:t>
      </w:r>
      <w:r>
        <w:rPr>
          <w:sz w:val="21"/>
        </w:rPr>
        <w:t>the Concessionaire</w:t>
      </w:r>
      <w:r>
        <w:rPr>
          <w:spacing w:val="39"/>
          <w:sz w:val="21"/>
        </w:rPr>
        <w:t> </w:t>
      </w:r>
      <w:r>
        <w:rPr>
          <w:sz w:val="21"/>
        </w:rPr>
        <w:t>as</w:t>
      </w:r>
      <w:r>
        <w:rPr>
          <w:spacing w:val="39"/>
          <w:sz w:val="21"/>
        </w:rPr>
        <w:t> </w:t>
      </w:r>
      <w:r>
        <w:rPr>
          <w:sz w:val="21"/>
        </w:rPr>
        <w:t>a</w:t>
      </w:r>
      <w:r>
        <w:rPr>
          <w:spacing w:val="39"/>
          <w:sz w:val="21"/>
        </w:rPr>
        <w:t> </w:t>
      </w:r>
      <w:r>
        <w:rPr>
          <w:sz w:val="21"/>
        </w:rPr>
        <w:t>bidder</w:t>
      </w:r>
      <w:r>
        <w:rPr>
          <w:spacing w:val="39"/>
          <w:sz w:val="21"/>
        </w:rPr>
        <w:t> </w:t>
      </w:r>
      <w:r>
        <w:rPr>
          <w:sz w:val="21"/>
        </w:rPr>
        <w:t>in</w:t>
      </w:r>
      <w:r>
        <w:rPr>
          <w:spacing w:val="39"/>
          <w:sz w:val="21"/>
        </w:rPr>
        <w:t> </w:t>
      </w:r>
      <w:r>
        <w:rPr>
          <w:sz w:val="21"/>
        </w:rPr>
        <w:t>the</w:t>
      </w:r>
      <w:r>
        <w:rPr>
          <w:spacing w:val="39"/>
          <w:sz w:val="21"/>
        </w:rPr>
        <w:t> </w:t>
      </w:r>
      <w:r>
        <w:rPr>
          <w:sz w:val="21"/>
        </w:rPr>
        <w:t>public</w:t>
      </w:r>
      <w:r>
        <w:rPr>
          <w:spacing w:val="39"/>
          <w:sz w:val="21"/>
        </w:rPr>
        <w:t> </w:t>
      </w:r>
      <w:r>
        <w:rPr>
          <w:sz w:val="21"/>
        </w:rPr>
        <w:t>tender</w:t>
      </w:r>
      <w:r>
        <w:rPr>
          <w:spacing w:val="39"/>
          <w:sz w:val="21"/>
        </w:rPr>
        <w:t> </w:t>
      </w:r>
      <w:r>
        <w:rPr>
          <w:sz w:val="21"/>
        </w:rPr>
        <w:t>for</w:t>
      </w:r>
      <w:r>
        <w:rPr>
          <w:spacing w:val="39"/>
          <w:sz w:val="21"/>
        </w:rPr>
        <w:t> </w:t>
      </w:r>
      <w:r>
        <w:rPr>
          <w:sz w:val="21"/>
        </w:rPr>
        <w:t>the</w:t>
      </w:r>
      <w:r>
        <w:rPr>
          <w:spacing w:val="39"/>
          <w:sz w:val="21"/>
        </w:rPr>
        <w:t> </w:t>
      </w:r>
      <w:r>
        <w:rPr>
          <w:sz w:val="21"/>
        </w:rPr>
        <w:t>award</w:t>
      </w:r>
      <w:r>
        <w:rPr>
          <w:spacing w:val="39"/>
          <w:sz w:val="21"/>
        </w:rPr>
        <w:t> </w:t>
      </w:r>
      <w:r>
        <w:rPr>
          <w:sz w:val="21"/>
        </w:rPr>
        <w:t>of</w:t>
      </w:r>
      <w:r>
        <w:rPr>
          <w:spacing w:val="39"/>
          <w:sz w:val="21"/>
        </w:rPr>
        <w:t> </w:t>
      </w:r>
      <w:r>
        <w:rPr>
          <w:sz w:val="21"/>
        </w:rPr>
        <w:t>concessions</w:t>
      </w:r>
      <w:r>
        <w:rPr>
          <w:spacing w:val="39"/>
          <w:sz w:val="21"/>
        </w:rPr>
        <w:t> </w:t>
      </w:r>
      <w:r>
        <w:rPr>
          <w:sz w:val="21"/>
        </w:rPr>
        <w:t>for</w:t>
      </w:r>
      <w:r>
        <w:rPr>
          <w:spacing w:val="39"/>
          <w:sz w:val="21"/>
        </w:rPr>
        <w:t> </w:t>
      </w:r>
      <w:r>
        <w:rPr>
          <w:sz w:val="21"/>
        </w:rPr>
        <w:t>the</w:t>
      </w:r>
      <w:r>
        <w:rPr>
          <w:spacing w:val="39"/>
          <w:sz w:val="21"/>
        </w:rPr>
        <w:t> </w:t>
      </w:r>
      <w:r>
        <w:rPr>
          <w:sz w:val="21"/>
        </w:rPr>
        <w:t>operation</w:t>
      </w:r>
      <w:r>
        <w:rPr>
          <w:spacing w:val="39"/>
          <w:sz w:val="21"/>
        </w:rPr>
        <w:t> </w:t>
      </w:r>
      <w:r>
        <w:rPr>
          <w:sz w:val="21"/>
        </w:rPr>
        <w:t>of</w:t>
      </w:r>
      <w:r>
        <w:rPr>
          <w:spacing w:val="39"/>
          <w:sz w:val="21"/>
        </w:rPr>
        <w:t> </w:t>
      </w:r>
      <w:r>
        <w:rPr>
          <w:sz w:val="21"/>
        </w:rPr>
        <w:t>games</w:t>
      </w:r>
      <w:r>
        <w:rPr>
          <w:spacing w:val="39"/>
          <w:sz w:val="21"/>
        </w:rPr>
        <w:t> </w:t>
      </w:r>
      <w:r>
        <w:rPr>
          <w:sz w:val="21"/>
        </w:rPr>
        <w:t>of</w:t>
      </w:r>
      <w:r>
        <w:rPr>
          <w:spacing w:val="39"/>
          <w:sz w:val="21"/>
        </w:rPr>
        <w:t> </w:t>
      </w:r>
      <w:r>
        <w:rPr>
          <w:sz w:val="21"/>
        </w:rPr>
        <w:t>fortune</w:t>
      </w:r>
      <w:r>
        <w:rPr>
          <w:spacing w:val="39"/>
          <w:sz w:val="21"/>
        </w:rPr>
        <w:t> </w:t>
      </w:r>
      <w:r>
        <w:rPr>
          <w:sz w:val="21"/>
        </w:rPr>
        <w:t>or</w:t>
      </w:r>
      <w:r>
        <w:rPr>
          <w:spacing w:val="39"/>
          <w:sz w:val="21"/>
        </w:rPr>
        <w:t> </w:t>
      </w:r>
      <w:r>
        <w:rPr>
          <w:sz w:val="21"/>
        </w:rPr>
        <w:t>chance</w:t>
      </w:r>
      <w:r>
        <w:rPr>
          <w:spacing w:val="39"/>
          <w:sz w:val="21"/>
        </w:rPr>
        <w:t> </w:t>
      </w:r>
      <w:r>
        <w:rPr>
          <w:sz w:val="21"/>
        </w:rPr>
        <w:t>in casinos, the Concessionaire undertakes to spend the remaining amount on projects related to its activity, to be designated by the Concessionaire</w:t>
      </w:r>
      <w:r>
        <w:rPr>
          <w:spacing w:val="24"/>
          <w:sz w:val="21"/>
        </w:rPr>
        <w:t> </w:t>
      </w:r>
      <w:r>
        <w:rPr>
          <w:sz w:val="21"/>
        </w:rPr>
        <w:t>and</w:t>
      </w:r>
      <w:r>
        <w:rPr>
          <w:spacing w:val="24"/>
          <w:sz w:val="21"/>
        </w:rPr>
        <w:t> </w:t>
      </w:r>
      <w:r>
        <w:rPr>
          <w:sz w:val="21"/>
        </w:rPr>
        <w:t>accepted</w:t>
      </w:r>
      <w:r>
        <w:rPr>
          <w:spacing w:val="24"/>
          <w:sz w:val="21"/>
        </w:rPr>
        <w:t> </w:t>
      </w:r>
      <w:r>
        <w:rPr>
          <w:sz w:val="21"/>
        </w:rPr>
        <w:t>by</w:t>
      </w:r>
      <w:r>
        <w:rPr>
          <w:spacing w:val="24"/>
          <w:sz w:val="21"/>
        </w:rPr>
        <w:t> </w:t>
      </w:r>
      <w:r>
        <w:rPr>
          <w:sz w:val="21"/>
        </w:rPr>
        <w:t>the</w:t>
      </w:r>
      <w:r>
        <w:rPr>
          <w:spacing w:val="24"/>
          <w:sz w:val="21"/>
        </w:rPr>
        <w:t> </w:t>
      </w:r>
      <w:r>
        <w:rPr>
          <w:sz w:val="21"/>
        </w:rPr>
        <w:t>Government,</w:t>
      </w:r>
      <w:r>
        <w:rPr>
          <w:spacing w:val="24"/>
          <w:sz w:val="21"/>
        </w:rPr>
        <w:t> </w:t>
      </w:r>
      <w:r>
        <w:rPr>
          <w:sz w:val="21"/>
        </w:rPr>
        <w:t>or</w:t>
      </w:r>
      <w:r>
        <w:rPr>
          <w:spacing w:val="24"/>
          <w:sz w:val="21"/>
        </w:rPr>
        <w:t> </w:t>
      </w:r>
      <w:r>
        <w:rPr>
          <w:sz w:val="21"/>
        </w:rPr>
        <w:t>on</w:t>
      </w:r>
      <w:r>
        <w:rPr>
          <w:spacing w:val="24"/>
          <w:sz w:val="21"/>
        </w:rPr>
        <w:t> </w:t>
      </w:r>
      <w:r>
        <w:rPr>
          <w:sz w:val="21"/>
        </w:rPr>
        <w:t>projects</w:t>
      </w:r>
      <w:r>
        <w:rPr>
          <w:spacing w:val="24"/>
          <w:sz w:val="21"/>
        </w:rPr>
        <w:t> </w:t>
      </w:r>
      <w:r>
        <w:rPr>
          <w:sz w:val="21"/>
        </w:rPr>
        <w:t>of</w:t>
      </w:r>
      <w:r>
        <w:rPr>
          <w:spacing w:val="24"/>
          <w:sz w:val="21"/>
        </w:rPr>
        <w:t> </w:t>
      </w:r>
      <w:r>
        <w:rPr>
          <w:sz w:val="21"/>
        </w:rPr>
        <w:t>relevant</w:t>
      </w:r>
      <w:r>
        <w:rPr>
          <w:spacing w:val="24"/>
          <w:sz w:val="21"/>
        </w:rPr>
        <w:t> </w:t>
      </w:r>
      <w:r>
        <w:rPr>
          <w:sz w:val="21"/>
        </w:rPr>
        <w:t>public</w:t>
      </w:r>
      <w:r>
        <w:rPr>
          <w:spacing w:val="24"/>
          <w:sz w:val="21"/>
        </w:rPr>
        <w:t> </w:t>
      </w:r>
      <w:r>
        <w:rPr>
          <w:sz w:val="21"/>
        </w:rPr>
        <w:t>interest</w:t>
      </w:r>
      <w:r>
        <w:rPr>
          <w:spacing w:val="24"/>
          <w:sz w:val="21"/>
        </w:rPr>
        <w:t> </w:t>
      </w:r>
      <w:r>
        <w:rPr>
          <w:sz w:val="21"/>
        </w:rPr>
        <w:t>for</w:t>
      </w:r>
      <w:r>
        <w:rPr>
          <w:spacing w:val="24"/>
          <w:sz w:val="21"/>
        </w:rPr>
        <w:t> </w:t>
      </w:r>
      <w:r>
        <w:rPr>
          <w:sz w:val="21"/>
        </w:rPr>
        <w:t>the</w:t>
      </w:r>
      <w:r>
        <w:rPr>
          <w:spacing w:val="24"/>
          <w:sz w:val="21"/>
        </w:rPr>
        <w:t> </w:t>
      </w:r>
      <w:r>
        <w:rPr>
          <w:sz w:val="21"/>
        </w:rPr>
        <w:t>Macau</w:t>
      </w:r>
      <w:r>
        <w:rPr>
          <w:spacing w:val="24"/>
          <w:sz w:val="21"/>
        </w:rPr>
        <w:t> </w:t>
      </w:r>
      <w:r>
        <w:rPr>
          <w:sz w:val="21"/>
        </w:rPr>
        <w:t>SAR,</w:t>
      </w:r>
      <w:r>
        <w:rPr>
          <w:spacing w:val="24"/>
          <w:sz w:val="21"/>
        </w:rPr>
        <w:t> </w:t>
      </w:r>
      <w:r>
        <w:rPr>
          <w:sz w:val="21"/>
        </w:rPr>
        <w:t>to</w:t>
      </w:r>
      <w:r>
        <w:rPr>
          <w:spacing w:val="24"/>
          <w:sz w:val="21"/>
        </w:rPr>
        <w:t> </w:t>
      </w:r>
      <w:r>
        <w:rPr>
          <w:sz w:val="21"/>
        </w:rPr>
        <w:t>be</w:t>
      </w:r>
      <w:r>
        <w:rPr>
          <w:spacing w:val="24"/>
          <w:sz w:val="21"/>
        </w:rPr>
        <w:t> </w:t>
      </w:r>
      <w:r>
        <w:rPr>
          <w:sz w:val="21"/>
        </w:rPr>
        <w:t>designated</w:t>
      </w:r>
      <w:r>
        <w:rPr>
          <w:spacing w:val="24"/>
          <w:sz w:val="21"/>
        </w:rPr>
        <w:t> </w:t>
      </w:r>
      <w:r>
        <w:rPr>
          <w:sz w:val="21"/>
        </w:rPr>
        <w:t>by the Government.</w:t>
      </w:r>
    </w:p>
    <w:p>
      <w:pPr>
        <w:pStyle w:val="BodyText"/>
        <w:spacing w:before="136"/>
        <w:rPr>
          <w:sz w:val="21"/>
        </w:rPr>
      </w:pPr>
    </w:p>
    <w:p>
      <w:pPr>
        <w:spacing w:line="309" w:lineRule="auto" w:before="0"/>
        <w:ind w:left="5440" w:right="5413" w:hanging="1"/>
        <w:jc w:val="center"/>
        <w:rPr>
          <w:b/>
          <w:sz w:val="21"/>
        </w:rPr>
      </w:pPr>
      <w:r>
        <w:rPr>
          <w:b/>
          <w:sz w:val="21"/>
        </w:rPr>
        <w:t>Clause 42 </w:t>
      </w:r>
      <w:r>
        <w:rPr>
          <w:b/>
          <w:spacing w:val="-2"/>
          <w:sz w:val="21"/>
        </w:rPr>
        <w:t>Insurance</w:t>
      </w:r>
    </w:p>
    <w:p>
      <w:pPr>
        <w:pStyle w:val="BodyText"/>
        <w:spacing w:before="75"/>
        <w:rPr>
          <w:b/>
          <w:sz w:val="21"/>
        </w:rPr>
      </w:pPr>
    </w:p>
    <w:p>
      <w:pPr>
        <w:spacing w:line="213" w:lineRule="auto" w:before="0"/>
        <w:ind w:left="144" w:right="118" w:firstLine="0"/>
        <w:jc w:val="both"/>
        <w:rPr>
          <w:sz w:val="21"/>
        </w:rPr>
      </w:pPr>
      <w:r>
        <w:rPr>
          <w:i/>
          <w:sz w:val="21"/>
        </w:rPr>
        <w:t>One</w:t>
      </w:r>
      <w:r>
        <w:rPr>
          <w:sz w:val="21"/>
        </w:rPr>
        <w:t>. The Concessionaire is obligated to contract and maintain up-to-date insurance contracts necessary to guarantee effective </w:t>
      </w:r>
      <w:r>
        <w:rPr>
          <w:sz w:val="21"/>
        </w:rPr>
        <w:t>and complete</w:t>
      </w:r>
      <w:r>
        <w:rPr>
          <w:spacing w:val="38"/>
          <w:sz w:val="21"/>
        </w:rPr>
        <w:t> </w:t>
      </w:r>
      <w:r>
        <w:rPr>
          <w:sz w:val="21"/>
        </w:rPr>
        <w:t>coverage</w:t>
      </w:r>
      <w:r>
        <w:rPr>
          <w:spacing w:val="38"/>
          <w:sz w:val="21"/>
        </w:rPr>
        <w:t> </w:t>
      </w:r>
      <w:r>
        <w:rPr>
          <w:sz w:val="21"/>
        </w:rPr>
        <w:t>for</w:t>
      </w:r>
      <w:r>
        <w:rPr>
          <w:spacing w:val="38"/>
          <w:sz w:val="21"/>
        </w:rPr>
        <w:t> </w:t>
      </w:r>
      <w:r>
        <w:rPr>
          <w:sz w:val="21"/>
        </w:rPr>
        <w:t>the</w:t>
      </w:r>
      <w:r>
        <w:rPr>
          <w:spacing w:val="38"/>
          <w:sz w:val="21"/>
        </w:rPr>
        <w:t> </w:t>
      </w:r>
      <w:r>
        <w:rPr>
          <w:sz w:val="21"/>
        </w:rPr>
        <w:t>risks</w:t>
      </w:r>
      <w:r>
        <w:rPr>
          <w:spacing w:val="38"/>
          <w:sz w:val="21"/>
        </w:rPr>
        <w:t> </w:t>
      </w:r>
      <w:r>
        <w:rPr>
          <w:sz w:val="21"/>
        </w:rPr>
        <w:t>inherent</w:t>
      </w:r>
      <w:r>
        <w:rPr>
          <w:spacing w:val="38"/>
          <w:sz w:val="21"/>
        </w:rPr>
        <w:t> </w:t>
      </w:r>
      <w:r>
        <w:rPr>
          <w:sz w:val="21"/>
        </w:rPr>
        <w:t>in</w:t>
      </w:r>
      <w:r>
        <w:rPr>
          <w:spacing w:val="38"/>
          <w:sz w:val="21"/>
        </w:rPr>
        <w:t> </w:t>
      </w:r>
      <w:r>
        <w:rPr>
          <w:sz w:val="21"/>
        </w:rPr>
        <w:t>the</w:t>
      </w:r>
      <w:r>
        <w:rPr>
          <w:spacing w:val="38"/>
          <w:sz w:val="21"/>
        </w:rPr>
        <w:t> </w:t>
      </w:r>
      <w:r>
        <w:rPr>
          <w:sz w:val="21"/>
        </w:rPr>
        <w:t>development</w:t>
      </w:r>
      <w:r>
        <w:rPr>
          <w:spacing w:val="38"/>
          <w:sz w:val="21"/>
        </w:rPr>
        <w:t> </w:t>
      </w:r>
      <w:r>
        <w:rPr>
          <w:sz w:val="21"/>
        </w:rPr>
        <w:t>of</w:t>
      </w:r>
      <w:r>
        <w:rPr>
          <w:spacing w:val="38"/>
          <w:sz w:val="21"/>
        </w:rPr>
        <w:t> </w:t>
      </w:r>
      <w:r>
        <w:rPr>
          <w:sz w:val="21"/>
        </w:rPr>
        <w:t>the</w:t>
      </w:r>
      <w:r>
        <w:rPr>
          <w:spacing w:val="38"/>
          <w:sz w:val="21"/>
        </w:rPr>
        <w:t> </w:t>
      </w:r>
      <w:r>
        <w:rPr>
          <w:sz w:val="21"/>
        </w:rPr>
        <w:t>activities</w:t>
      </w:r>
      <w:r>
        <w:rPr>
          <w:spacing w:val="38"/>
          <w:sz w:val="21"/>
        </w:rPr>
        <w:t> </w:t>
      </w:r>
      <w:r>
        <w:rPr>
          <w:sz w:val="21"/>
        </w:rPr>
        <w:t>included</w:t>
      </w:r>
      <w:r>
        <w:rPr>
          <w:spacing w:val="38"/>
          <w:sz w:val="21"/>
        </w:rPr>
        <w:t> </w:t>
      </w:r>
      <w:r>
        <w:rPr>
          <w:sz w:val="21"/>
        </w:rPr>
        <w:t>in</w:t>
      </w:r>
      <w:r>
        <w:rPr>
          <w:spacing w:val="38"/>
          <w:sz w:val="21"/>
        </w:rPr>
        <w:t> </w:t>
      </w:r>
      <w:r>
        <w:rPr>
          <w:sz w:val="21"/>
        </w:rPr>
        <w:t>the</w:t>
      </w:r>
      <w:r>
        <w:rPr>
          <w:spacing w:val="38"/>
          <w:sz w:val="21"/>
        </w:rPr>
        <w:t> </w:t>
      </w:r>
      <w:r>
        <w:rPr>
          <w:sz w:val="21"/>
        </w:rPr>
        <w:t>concession.</w:t>
      </w:r>
      <w:r>
        <w:rPr>
          <w:spacing w:val="38"/>
          <w:sz w:val="21"/>
        </w:rPr>
        <w:t> </w:t>
      </w:r>
      <w:r>
        <w:rPr>
          <w:sz w:val="21"/>
        </w:rPr>
        <w:t>Such</w:t>
      </w:r>
      <w:r>
        <w:rPr>
          <w:spacing w:val="38"/>
          <w:sz w:val="21"/>
        </w:rPr>
        <w:t> </w:t>
      </w:r>
      <w:r>
        <w:rPr>
          <w:sz w:val="21"/>
        </w:rPr>
        <w:t>insurance</w:t>
      </w:r>
      <w:r>
        <w:rPr>
          <w:spacing w:val="38"/>
          <w:sz w:val="21"/>
        </w:rPr>
        <w:t> </w:t>
      </w:r>
      <w:r>
        <w:rPr>
          <w:sz w:val="21"/>
        </w:rPr>
        <w:t>must</w:t>
      </w:r>
      <w:r>
        <w:rPr>
          <w:spacing w:val="38"/>
          <w:sz w:val="21"/>
        </w:rPr>
        <w:t> </w:t>
      </w:r>
      <w:r>
        <w:rPr>
          <w:sz w:val="21"/>
        </w:rPr>
        <w:t>be taken out with insurers authorized to operate in the Macau SAR or, when this proves to be unfeasible or too onerous for the Concessionaire, with insurers abroad with the authorization of the Government.</w:t>
      </w:r>
    </w:p>
    <w:p>
      <w:pPr>
        <w:pStyle w:val="BodyText"/>
        <w:spacing w:before="132"/>
        <w:rPr>
          <w:sz w:val="21"/>
        </w:rPr>
      </w:pPr>
    </w:p>
    <w:p>
      <w:pPr>
        <w:spacing w:before="1"/>
        <w:ind w:left="144" w:right="0" w:firstLine="0"/>
        <w:jc w:val="both"/>
        <w:rPr>
          <w:sz w:val="21"/>
        </w:rPr>
      </w:pPr>
      <w:r>
        <w:rPr>
          <w:i/>
          <w:sz w:val="21"/>
        </w:rPr>
        <w:t>Two</w:t>
      </w:r>
      <w:r>
        <w:rPr>
          <w:sz w:val="21"/>
        </w:rPr>
        <w:t>.</w:t>
      </w:r>
      <w:r>
        <w:rPr>
          <w:spacing w:val="6"/>
          <w:sz w:val="21"/>
        </w:rPr>
        <w:t> </w:t>
      </w:r>
      <w:r>
        <w:rPr>
          <w:sz w:val="21"/>
        </w:rPr>
        <w:t>The</w:t>
      </w:r>
      <w:r>
        <w:rPr>
          <w:spacing w:val="11"/>
          <w:sz w:val="21"/>
        </w:rPr>
        <w:t> </w:t>
      </w:r>
      <w:r>
        <w:rPr>
          <w:sz w:val="21"/>
        </w:rPr>
        <w:t>Concessionaire</w:t>
      </w:r>
      <w:r>
        <w:rPr>
          <w:spacing w:val="11"/>
          <w:sz w:val="21"/>
        </w:rPr>
        <w:t> </w:t>
      </w:r>
      <w:r>
        <w:rPr>
          <w:sz w:val="21"/>
        </w:rPr>
        <w:t>shall</w:t>
      </w:r>
      <w:r>
        <w:rPr>
          <w:spacing w:val="11"/>
          <w:sz w:val="21"/>
        </w:rPr>
        <w:t> </w:t>
      </w:r>
      <w:r>
        <w:rPr>
          <w:sz w:val="21"/>
        </w:rPr>
        <w:t>ensure</w:t>
      </w:r>
      <w:r>
        <w:rPr>
          <w:spacing w:val="11"/>
          <w:sz w:val="21"/>
        </w:rPr>
        <w:t> </w:t>
      </w:r>
      <w:r>
        <w:rPr>
          <w:sz w:val="21"/>
        </w:rPr>
        <w:t>the</w:t>
      </w:r>
      <w:r>
        <w:rPr>
          <w:spacing w:val="11"/>
          <w:sz w:val="21"/>
        </w:rPr>
        <w:t> </w:t>
      </w:r>
      <w:r>
        <w:rPr>
          <w:sz w:val="21"/>
        </w:rPr>
        <w:t>existence</w:t>
      </w:r>
      <w:r>
        <w:rPr>
          <w:spacing w:val="11"/>
          <w:sz w:val="21"/>
        </w:rPr>
        <w:t> </w:t>
      </w:r>
      <w:r>
        <w:rPr>
          <w:sz w:val="21"/>
        </w:rPr>
        <w:t>and</w:t>
      </w:r>
      <w:r>
        <w:rPr>
          <w:spacing w:val="11"/>
          <w:sz w:val="21"/>
        </w:rPr>
        <w:t> </w:t>
      </w:r>
      <w:r>
        <w:rPr>
          <w:sz w:val="21"/>
        </w:rPr>
        <w:t>continued</w:t>
      </w:r>
      <w:r>
        <w:rPr>
          <w:spacing w:val="11"/>
          <w:sz w:val="21"/>
        </w:rPr>
        <w:t> </w:t>
      </w:r>
      <w:r>
        <w:rPr>
          <w:sz w:val="21"/>
        </w:rPr>
        <w:t>validity</w:t>
      </w:r>
      <w:r>
        <w:rPr>
          <w:spacing w:val="11"/>
          <w:sz w:val="21"/>
        </w:rPr>
        <w:t> </w:t>
      </w:r>
      <w:r>
        <w:rPr>
          <w:sz w:val="21"/>
        </w:rPr>
        <w:t>of</w:t>
      </w:r>
      <w:r>
        <w:rPr>
          <w:spacing w:val="11"/>
          <w:sz w:val="21"/>
        </w:rPr>
        <w:t> </w:t>
      </w:r>
      <w:r>
        <w:rPr>
          <w:sz w:val="21"/>
        </w:rPr>
        <w:t>the</w:t>
      </w:r>
      <w:r>
        <w:rPr>
          <w:spacing w:val="11"/>
          <w:sz w:val="21"/>
        </w:rPr>
        <w:t> </w:t>
      </w:r>
      <w:r>
        <w:rPr>
          <w:sz w:val="21"/>
        </w:rPr>
        <w:t>following</w:t>
      </w:r>
      <w:r>
        <w:rPr>
          <w:spacing w:val="11"/>
          <w:sz w:val="21"/>
        </w:rPr>
        <w:t> </w:t>
      </w:r>
      <w:r>
        <w:rPr>
          <w:sz w:val="21"/>
        </w:rPr>
        <w:t>insurance</w:t>
      </w:r>
      <w:r>
        <w:rPr>
          <w:spacing w:val="11"/>
          <w:sz w:val="21"/>
        </w:rPr>
        <w:t> </w:t>
      </w:r>
      <w:r>
        <w:rPr>
          <w:spacing w:val="-2"/>
          <w:sz w:val="21"/>
        </w:rPr>
        <w:t>contracts:</w:t>
      </w:r>
    </w:p>
    <w:p>
      <w:pPr>
        <w:pStyle w:val="BodyText"/>
        <w:spacing w:before="124"/>
        <w:rPr>
          <w:sz w:val="21"/>
        </w:rPr>
      </w:pPr>
    </w:p>
    <w:p>
      <w:pPr>
        <w:pStyle w:val="ListParagraph"/>
        <w:numPr>
          <w:ilvl w:val="0"/>
          <w:numId w:val="33"/>
        </w:numPr>
        <w:tabs>
          <w:tab w:pos="883" w:val="left" w:leader="none"/>
        </w:tabs>
        <w:spacing w:line="240" w:lineRule="auto" w:before="0" w:after="0"/>
        <w:ind w:left="883" w:right="0" w:hanging="229"/>
        <w:jc w:val="left"/>
        <w:rPr>
          <w:sz w:val="21"/>
        </w:rPr>
      </w:pPr>
      <w:r>
        <w:rPr>
          <w:sz w:val="21"/>
        </w:rPr>
        <w:t>Workplace</w:t>
      </w:r>
      <w:r>
        <w:rPr>
          <w:spacing w:val="10"/>
          <w:sz w:val="21"/>
        </w:rPr>
        <w:t> </w:t>
      </w:r>
      <w:r>
        <w:rPr>
          <w:sz w:val="21"/>
        </w:rPr>
        <w:t>accident</w:t>
      </w:r>
      <w:r>
        <w:rPr>
          <w:spacing w:val="11"/>
          <w:sz w:val="21"/>
        </w:rPr>
        <w:t> </w:t>
      </w:r>
      <w:r>
        <w:rPr>
          <w:sz w:val="21"/>
        </w:rPr>
        <w:t>and</w:t>
      </w:r>
      <w:r>
        <w:rPr>
          <w:spacing w:val="11"/>
          <w:sz w:val="21"/>
        </w:rPr>
        <w:t> </w:t>
      </w:r>
      <w:r>
        <w:rPr>
          <w:sz w:val="21"/>
        </w:rPr>
        <w:t>occupational</w:t>
      </w:r>
      <w:r>
        <w:rPr>
          <w:spacing w:val="10"/>
          <w:sz w:val="21"/>
        </w:rPr>
        <w:t> </w:t>
      </w:r>
      <w:r>
        <w:rPr>
          <w:sz w:val="21"/>
        </w:rPr>
        <w:t>illness</w:t>
      </w:r>
      <w:r>
        <w:rPr>
          <w:spacing w:val="11"/>
          <w:sz w:val="21"/>
        </w:rPr>
        <w:t> </w:t>
      </w:r>
      <w:r>
        <w:rPr>
          <w:sz w:val="21"/>
        </w:rPr>
        <w:t>insurance</w:t>
      </w:r>
      <w:r>
        <w:rPr>
          <w:spacing w:val="11"/>
          <w:sz w:val="21"/>
        </w:rPr>
        <w:t> </w:t>
      </w:r>
      <w:r>
        <w:rPr>
          <w:sz w:val="21"/>
        </w:rPr>
        <w:t>for</w:t>
      </w:r>
      <w:r>
        <w:rPr>
          <w:spacing w:val="10"/>
          <w:sz w:val="21"/>
        </w:rPr>
        <w:t> </w:t>
      </w:r>
      <w:r>
        <w:rPr>
          <w:sz w:val="21"/>
        </w:rPr>
        <w:t>its</w:t>
      </w:r>
      <w:r>
        <w:rPr>
          <w:spacing w:val="11"/>
          <w:sz w:val="21"/>
        </w:rPr>
        <w:t> </w:t>
      </w:r>
      <w:r>
        <w:rPr>
          <w:spacing w:val="-2"/>
          <w:sz w:val="21"/>
        </w:rPr>
        <w:t>employees;</w:t>
      </w:r>
    </w:p>
    <w:p>
      <w:pPr>
        <w:pStyle w:val="BodyText"/>
        <w:spacing w:before="138"/>
        <w:rPr>
          <w:sz w:val="21"/>
        </w:rPr>
      </w:pPr>
    </w:p>
    <w:p>
      <w:pPr>
        <w:pStyle w:val="ListParagraph"/>
        <w:numPr>
          <w:ilvl w:val="0"/>
          <w:numId w:val="33"/>
        </w:numPr>
        <w:tabs>
          <w:tab w:pos="887" w:val="left" w:leader="none"/>
        </w:tabs>
        <w:spacing w:line="240" w:lineRule="auto" w:before="0" w:after="0"/>
        <w:ind w:left="887" w:right="0" w:hanging="233"/>
        <w:jc w:val="left"/>
        <w:rPr>
          <w:sz w:val="21"/>
        </w:rPr>
      </w:pPr>
      <w:r>
        <w:rPr>
          <w:sz w:val="21"/>
        </w:rPr>
        <w:t>Motor</w:t>
      </w:r>
      <w:r>
        <w:rPr>
          <w:spacing w:val="10"/>
          <w:sz w:val="21"/>
        </w:rPr>
        <w:t> </w:t>
      </w:r>
      <w:r>
        <w:rPr>
          <w:sz w:val="21"/>
        </w:rPr>
        <w:t>vehicle</w:t>
      </w:r>
      <w:r>
        <w:rPr>
          <w:spacing w:val="11"/>
          <w:sz w:val="21"/>
        </w:rPr>
        <w:t> </w:t>
      </w:r>
      <w:r>
        <w:rPr>
          <w:sz w:val="21"/>
        </w:rPr>
        <w:t>liability</w:t>
      </w:r>
      <w:r>
        <w:rPr>
          <w:spacing w:val="11"/>
          <w:sz w:val="21"/>
        </w:rPr>
        <w:t> </w:t>
      </w:r>
      <w:r>
        <w:rPr>
          <w:sz w:val="21"/>
        </w:rPr>
        <w:t>insurance</w:t>
      </w:r>
      <w:r>
        <w:rPr>
          <w:spacing w:val="10"/>
          <w:sz w:val="21"/>
        </w:rPr>
        <w:t> </w:t>
      </w:r>
      <w:r>
        <w:rPr>
          <w:sz w:val="21"/>
        </w:rPr>
        <w:t>for</w:t>
      </w:r>
      <w:r>
        <w:rPr>
          <w:spacing w:val="11"/>
          <w:sz w:val="21"/>
        </w:rPr>
        <w:t> </w:t>
      </w:r>
      <w:r>
        <w:rPr>
          <w:sz w:val="21"/>
        </w:rPr>
        <w:t>the</w:t>
      </w:r>
      <w:r>
        <w:rPr>
          <w:spacing w:val="11"/>
          <w:sz w:val="21"/>
        </w:rPr>
        <w:t> </w:t>
      </w:r>
      <w:r>
        <w:rPr>
          <w:sz w:val="21"/>
        </w:rPr>
        <w:t>vehicles</w:t>
      </w:r>
      <w:r>
        <w:rPr>
          <w:spacing w:val="11"/>
          <w:sz w:val="21"/>
        </w:rPr>
        <w:t> </w:t>
      </w:r>
      <w:r>
        <w:rPr>
          <w:sz w:val="21"/>
        </w:rPr>
        <w:t>it</w:t>
      </w:r>
      <w:r>
        <w:rPr>
          <w:spacing w:val="10"/>
          <w:sz w:val="21"/>
        </w:rPr>
        <w:t> </w:t>
      </w:r>
      <w:r>
        <w:rPr>
          <w:spacing w:val="-4"/>
          <w:sz w:val="21"/>
        </w:rPr>
        <w:t>owns;</w:t>
      </w:r>
    </w:p>
    <w:p>
      <w:pPr>
        <w:pStyle w:val="BodyText"/>
        <w:spacing w:before="124"/>
        <w:rPr>
          <w:sz w:val="21"/>
        </w:rPr>
      </w:pPr>
    </w:p>
    <w:p>
      <w:pPr>
        <w:pStyle w:val="ListParagraph"/>
        <w:numPr>
          <w:ilvl w:val="0"/>
          <w:numId w:val="33"/>
        </w:numPr>
        <w:tabs>
          <w:tab w:pos="887" w:val="left" w:leader="none"/>
        </w:tabs>
        <w:spacing w:line="240" w:lineRule="auto" w:before="1" w:after="0"/>
        <w:ind w:left="887" w:right="0" w:hanging="233"/>
        <w:jc w:val="left"/>
        <w:rPr>
          <w:sz w:val="21"/>
        </w:rPr>
      </w:pPr>
      <w:r>
        <w:rPr>
          <w:sz w:val="21"/>
        </w:rPr>
        <w:t>Civil</w:t>
      </w:r>
      <w:r>
        <w:rPr>
          <w:spacing w:val="10"/>
          <w:sz w:val="21"/>
        </w:rPr>
        <w:t> </w:t>
      </w:r>
      <w:r>
        <w:rPr>
          <w:sz w:val="21"/>
        </w:rPr>
        <w:t>liability</w:t>
      </w:r>
      <w:r>
        <w:rPr>
          <w:spacing w:val="10"/>
          <w:sz w:val="21"/>
        </w:rPr>
        <w:t> </w:t>
      </w:r>
      <w:r>
        <w:rPr>
          <w:sz w:val="21"/>
        </w:rPr>
        <w:t>insurance</w:t>
      </w:r>
      <w:r>
        <w:rPr>
          <w:spacing w:val="10"/>
          <w:sz w:val="21"/>
        </w:rPr>
        <w:t> </w:t>
      </w:r>
      <w:r>
        <w:rPr>
          <w:sz w:val="21"/>
        </w:rPr>
        <w:t>for</w:t>
      </w:r>
      <w:r>
        <w:rPr>
          <w:spacing w:val="11"/>
          <w:sz w:val="21"/>
        </w:rPr>
        <w:t> </w:t>
      </w:r>
      <w:r>
        <w:rPr>
          <w:sz w:val="21"/>
        </w:rPr>
        <w:t>ships,</w:t>
      </w:r>
      <w:r>
        <w:rPr>
          <w:spacing w:val="10"/>
          <w:sz w:val="21"/>
        </w:rPr>
        <w:t> </w:t>
      </w:r>
      <w:r>
        <w:rPr>
          <w:sz w:val="21"/>
        </w:rPr>
        <w:t>aircraft,</w:t>
      </w:r>
      <w:r>
        <w:rPr>
          <w:spacing w:val="10"/>
          <w:sz w:val="21"/>
        </w:rPr>
        <w:t> </w:t>
      </w:r>
      <w:r>
        <w:rPr>
          <w:sz w:val="21"/>
        </w:rPr>
        <w:t>or</w:t>
      </w:r>
      <w:r>
        <w:rPr>
          <w:spacing w:val="11"/>
          <w:sz w:val="21"/>
        </w:rPr>
        <w:t> </w:t>
      </w:r>
      <w:r>
        <w:rPr>
          <w:sz w:val="21"/>
        </w:rPr>
        <w:t>other</w:t>
      </w:r>
      <w:r>
        <w:rPr>
          <w:spacing w:val="10"/>
          <w:sz w:val="21"/>
        </w:rPr>
        <w:t> </w:t>
      </w:r>
      <w:r>
        <w:rPr>
          <w:sz w:val="21"/>
        </w:rPr>
        <w:t>aircraft</w:t>
      </w:r>
      <w:r>
        <w:rPr>
          <w:spacing w:val="10"/>
          <w:sz w:val="21"/>
        </w:rPr>
        <w:t> </w:t>
      </w:r>
      <w:r>
        <w:rPr>
          <w:sz w:val="21"/>
        </w:rPr>
        <w:t>owned</w:t>
      </w:r>
      <w:r>
        <w:rPr>
          <w:spacing w:val="10"/>
          <w:sz w:val="21"/>
        </w:rPr>
        <w:t> </w:t>
      </w:r>
      <w:r>
        <w:rPr>
          <w:sz w:val="21"/>
        </w:rPr>
        <w:t>or</w:t>
      </w:r>
      <w:r>
        <w:rPr>
          <w:spacing w:val="11"/>
          <w:sz w:val="21"/>
        </w:rPr>
        <w:t> </w:t>
      </w:r>
      <w:r>
        <w:rPr>
          <w:sz w:val="21"/>
        </w:rPr>
        <w:t>leased</w:t>
      </w:r>
      <w:r>
        <w:rPr>
          <w:spacing w:val="10"/>
          <w:sz w:val="21"/>
        </w:rPr>
        <w:t> </w:t>
      </w:r>
      <w:r>
        <w:rPr>
          <w:sz w:val="21"/>
        </w:rPr>
        <w:t>by</w:t>
      </w:r>
      <w:r>
        <w:rPr>
          <w:spacing w:val="10"/>
          <w:sz w:val="21"/>
        </w:rPr>
        <w:t> </w:t>
      </w:r>
      <w:r>
        <w:rPr>
          <w:sz w:val="21"/>
        </w:rPr>
        <w:t>the</w:t>
      </w:r>
      <w:r>
        <w:rPr>
          <w:spacing w:val="11"/>
          <w:sz w:val="21"/>
        </w:rPr>
        <w:t> </w:t>
      </w:r>
      <w:r>
        <w:rPr>
          <w:sz w:val="21"/>
        </w:rPr>
        <w:t>company</w:t>
      </w:r>
      <w:r>
        <w:rPr>
          <w:spacing w:val="10"/>
          <w:sz w:val="21"/>
        </w:rPr>
        <w:t> </w:t>
      </w:r>
      <w:r>
        <w:rPr>
          <w:spacing w:val="-10"/>
          <w:sz w:val="21"/>
        </w:rPr>
        <w:t>;</w:t>
      </w:r>
    </w:p>
    <w:p>
      <w:pPr>
        <w:pStyle w:val="BodyText"/>
        <w:spacing w:before="124"/>
        <w:rPr>
          <w:sz w:val="21"/>
        </w:rPr>
      </w:pPr>
    </w:p>
    <w:p>
      <w:pPr>
        <w:pStyle w:val="ListParagraph"/>
        <w:numPr>
          <w:ilvl w:val="0"/>
          <w:numId w:val="33"/>
        </w:numPr>
        <w:tabs>
          <w:tab w:pos="887" w:val="left" w:leader="none"/>
        </w:tabs>
        <w:spacing w:line="240" w:lineRule="auto" w:before="0" w:after="0"/>
        <w:ind w:left="887" w:right="0" w:hanging="233"/>
        <w:jc w:val="left"/>
        <w:rPr>
          <w:sz w:val="21"/>
        </w:rPr>
      </w:pPr>
      <w:r>
        <w:rPr>
          <w:sz w:val="21"/>
        </w:rPr>
        <w:t>Civil</w:t>
      </w:r>
      <w:r>
        <w:rPr>
          <w:spacing w:val="12"/>
          <w:sz w:val="21"/>
        </w:rPr>
        <w:t> </w:t>
      </w:r>
      <w:r>
        <w:rPr>
          <w:sz w:val="21"/>
        </w:rPr>
        <w:t>liability</w:t>
      </w:r>
      <w:r>
        <w:rPr>
          <w:spacing w:val="13"/>
          <w:sz w:val="21"/>
        </w:rPr>
        <w:t> </w:t>
      </w:r>
      <w:r>
        <w:rPr>
          <w:sz w:val="21"/>
        </w:rPr>
        <w:t>insurance</w:t>
      </w:r>
      <w:r>
        <w:rPr>
          <w:spacing w:val="12"/>
          <w:sz w:val="21"/>
        </w:rPr>
        <w:t> </w:t>
      </w:r>
      <w:r>
        <w:rPr>
          <w:sz w:val="21"/>
        </w:rPr>
        <w:t>for</w:t>
      </w:r>
      <w:r>
        <w:rPr>
          <w:spacing w:val="13"/>
          <w:sz w:val="21"/>
        </w:rPr>
        <w:t> </w:t>
      </w:r>
      <w:r>
        <w:rPr>
          <w:sz w:val="21"/>
        </w:rPr>
        <w:t>installation</w:t>
      </w:r>
      <w:r>
        <w:rPr>
          <w:spacing w:val="8"/>
          <w:sz w:val="21"/>
        </w:rPr>
        <w:t> </w:t>
      </w:r>
      <w:r>
        <w:rPr>
          <w:rFonts w:ascii="Arial"/>
          <w:sz w:val="18"/>
        </w:rPr>
        <w:t>of</w:t>
      </w:r>
      <w:r>
        <w:rPr>
          <w:rFonts w:ascii="Arial"/>
          <w:spacing w:val="11"/>
          <w:sz w:val="18"/>
        </w:rPr>
        <w:t> </w:t>
      </w:r>
      <w:r>
        <w:rPr>
          <w:sz w:val="21"/>
        </w:rPr>
        <w:t>advertising</w:t>
      </w:r>
      <w:r>
        <w:rPr>
          <w:spacing w:val="12"/>
          <w:sz w:val="21"/>
        </w:rPr>
        <w:t> </w:t>
      </w:r>
      <w:r>
        <w:rPr>
          <w:spacing w:val="-2"/>
          <w:sz w:val="21"/>
        </w:rPr>
        <w:t>materials;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6"/>
        <w:rPr>
          <w:sz w:val="20"/>
        </w:rPr>
      </w:pPr>
      <w:r>
        <w:rPr/>
        <mc:AlternateContent>
          <mc:Choice Requires="wps">
            <w:drawing>
              <wp:anchor distT="0" distB="0" distL="0" distR="0" allowOverlap="1" layoutInCell="1" locked="0" behindDoc="1" simplePos="0" relativeHeight="487775744">
                <wp:simplePos x="0" y="0"/>
                <wp:positionH relativeFrom="page">
                  <wp:posOffset>231457</wp:posOffset>
                </wp:positionH>
                <wp:positionV relativeFrom="paragraph">
                  <wp:posOffset>209537</wp:posOffset>
                </wp:positionV>
                <wp:extent cx="7312659" cy="17145"/>
                <wp:effectExtent l="0" t="0" r="0" b="0"/>
                <wp:wrapTopAndBottom/>
                <wp:docPr id="884" name="Group 884"/>
                <wp:cNvGraphicFramePr>
                  <a:graphicFrameLocks/>
                </wp:cNvGraphicFramePr>
                <a:graphic>
                  <a:graphicData uri="http://schemas.microsoft.com/office/word/2010/wordprocessingGroup">
                    <wpg:wgp>
                      <wpg:cNvPr id="884" name="Group 884"/>
                      <wpg:cNvGrpSpPr/>
                      <wpg:grpSpPr>
                        <a:xfrm>
                          <a:off x="0" y="0"/>
                          <a:ext cx="7312659" cy="17145"/>
                          <a:chExt cx="7312659" cy="17145"/>
                        </a:xfrm>
                      </wpg:grpSpPr>
                      <wps:wsp>
                        <wps:cNvPr id="885" name="Graphic 88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86" name="Graphic 886"/>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87" name="Graphic 88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499023pt;width:575.8pt;height:1.35pt;mso-position-horizontal-relative:page;mso-position-vertical-relative:paragraph;z-index:-15540736;mso-wrap-distance-left:0;mso-wrap-distance-right:0" id="docshapegroup882" coordorigin="364,330" coordsize="11516,27">
                <v:rect style="position:absolute;left:364;top:329;width:11516;height:14" id="docshape883" filled="true" fillcolor="#999999" stroked="false">
                  <v:fill type="solid"/>
                </v:rect>
                <v:shape style="position:absolute;left:364;top:329;width:11516;height:27" id="docshape884" coordorigin="364,330" coordsize="11516,27" path="m11880,330l11866,343,364,343,364,357,11866,357,11880,357,11880,343,11880,330xe" filled="true" fillcolor="#ededed" stroked="false">
                  <v:path arrowok="t"/>
                  <v:fill type="solid"/>
                </v:shape>
                <v:shape style="position:absolute;left:364;top:329;width:14;height:27" id="docshape885" coordorigin="364,330" coordsize="14,27" path="m364,357l364,330,378,330,378,343,364,357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pStyle w:val="ListParagraph"/>
        <w:numPr>
          <w:ilvl w:val="0"/>
          <w:numId w:val="33"/>
        </w:numPr>
        <w:tabs>
          <w:tab w:pos="890" w:val="left" w:leader="none"/>
          <w:tab w:pos="910" w:val="left" w:leader="none"/>
        </w:tabs>
        <w:spacing w:line="213" w:lineRule="auto" w:before="233" w:after="0"/>
        <w:ind w:left="910" w:right="119" w:hanging="256"/>
        <w:jc w:val="left"/>
        <w:rPr>
          <w:sz w:val="21"/>
        </w:rPr>
      </w:pPr>
      <w:r>
        <w:rPr>
          <w:sz w:val="21"/>
        </w:rPr>
        <w:t>General</w:t>
      </w:r>
      <w:r>
        <w:rPr>
          <w:spacing w:val="15"/>
          <w:sz w:val="21"/>
        </w:rPr>
        <w:t> </w:t>
      </w:r>
      <w:r>
        <w:rPr>
          <w:sz w:val="21"/>
        </w:rPr>
        <w:t>civil</w:t>
      </w:r>
      <w:r>
        <w:rPr>
          <w:spacing w:val="15"/>
          <w:sz w:val="21"/>
        </w:rPr>
        <w:t> </w:t>
      </w:r>
      <w:r>
        <w:rPr>
          <w:sz w:val="21"/>
        </w:rPr>
        <w:t>liability</w:t>
      </w:r>
      <w:r>
        <w:rPr>
          <w:spacing w:val="15"/>
          <w:sz w:val="21"/>
        </w:rPr>
        <w:t> </w:t>
      </w:r>
      <w:r>
        <w:rPr>
          <w:sz w:val="21"/>
        </w:rPr>
        <w:t>insurance</w:t>
      </w:r>
      <w:r>
        <w:rPr>
          <w:spacing w:val="15"/>
          <w:sz w:val="21"/>
        </w:rPr>
        <w:t> </w:t>
      </w:r>
      <w:r>
        <w:rPr>
          <w:sz w:val="21"/>
        </w:rPr>
        <w:t>related</w:t>
      </w:r>
      <w:r>
        <w:rPr>
          <w:spacing w:val="15"/>
          <w:sz w:val="21"/>
        </w:rPr>
        <w:t> </w:t>
      </w:r>
      <w:r>
        <w:rPr>
          <w:sz w:val="21"/>
        </w:rPr>
        <w:t>to</w:t>
      </w:r>
      <w:r>
        <w:rPr>
          <w:spacing w:val="15"/>
          <w:sz w:val="21"/>
        </w:rPr>
        <w:t> </w:t>
      </w:r>
      <w:r>
        <w:rPr>
          <w:sz w:val="21"/>
        </w:rPr>
        <w:t>the</w:t>
      </w:r>
      <w:r>
        <w:rPr>
          <w:spacing w:val="15"/>
          <w:sz w:val="21"/>
        </w:rPr>
        <w:t> </w:t>
      </w:r>
      <w:r>
        <w:rPr>
          <w:sz w:val="21"/>
        </w:rPr>
        <w:t>operation</w:t>
      </w:r>
      <w:r>
        <w:rPr>
          <w:spacing w:val="15"/>
          <w:sz w:val="21"/>
        </w:rPr>
        <w:t> </w:t>
      </w:r>
      <w:r>
        <w:rPr>
          <w:sz w:val="21"/>
        </w:rPr>
        <w:t>of</w:t>
      </w:r>
      <w:r>
        <w:rPr>
          <w:spacing w:val="15"/>
          <w:sz w:val="21"/>
        </w:rPr>
        <w:t> </w:t>
      </w:r>
      <w:r>
        <w:rPr>
          <w:sz w:val="21"/>
        </w:rPr>
        <w:t>games</w:t>
      </w:r>
      <w:r>
        <w:rPr>
          <w:spacing w:val="15"/>
          <w:sz w:val="21"/>
        </w:rPr>
        <w:t> </w:t>
      </w:r>
      <w:r>
        <w:rPr>
          <w:sz w:val="21"/>
        </w:rPr>
        <w:t>of</w:t>
      </w:r>
      <w:r>
        <w:rPr>
          <w:spacing w:val="15"/>
          <w:sz w:val="21"/>
        </w:rPr>
        <w:t> </w:t>
      </w:r>
      <w:r>
        <w:rPr>
          <w:sz w:val="21"/>
        </w:rPr>
        <w:t>fortune</w:t>
      </w:r>
      <w:r>
        <w:rPr>
          <w:spacing w:val="15"/>
          <w:sz w:val="21"/>
        </w:rPr>
        <w:t> </w:t>
      </w:r>
      <w:r>
        <w:rPr>
          <w:sz w:val="21"/>
        </w:rPr>
        <w:t>or</w:t>
      </w:r>
      <w:r>
        <w:rPr>
          <w:spacing w:val="15"/>
          <w:sz w:val="21"/>
        </w:rPr>
        <w:t> </w:t>
      </w:r>
      <w:r>
        <w:rPr>
          <w:sz w:val="21"/>
        </w:rPr>
        <w:t>chance</w:t>
      </w:r>
      <w:r>
        <w:rPr>
          <w:spacing w:val="15"/>
          <w:sz w:val="21"/>
        </w:rPr>
        <w:t> </w:t>
      </w:r>
      <w:r>
        <w:rPr>
          <w:sz w:val="21"/>
        </w:rPr>
        <w:t>in</w:t>
      </w:r>
      <w:r>
        <w:rPr>
          <w:spacing w:val="15"/>
          <w:sz w:val="21"/>
        </w:rPr>
        <w:t> </w:t>
      </w:r>
      <w:r>
        <w:rPr>
          <w:sz w:val="21"/>
        </w:rPr>
        <w:t>casinos</w:t>
      </w:r>
      <w:r>
        <w:rPr>
          <w:spacing w:val="15"/>
          <w:sz w:val="21"/>
        </w:rPr>
        <w:t> </w:t>
      </w:r>
      <w:r>
        <w:rPr>
          <w:sz w:val="21"/>
        </w:rPr>
        <w:t>in</w:t>
      </w:r>
      <w:r>
        <w:rPr>
          <w:spacing w:val="15"/>
          <w:sz w:val="21"/>
        </w:rPr>
        <w:t> </w:t>
      </w:r>
      <w:r>
        <w:rPr>
          <w:sz w:val="21"/>
        </w:rPr>
        <w:t>the</w:t>
      </w:r>
      <w:r>
        <w:rPr>
          <w:spacing w:val="15"/>
          <w:sz w:val="21"/>
        </w:rPr>
        <w:t> </w:t>
      </w:r>
      <w:r>
        <w:rPr>
          <w:sz w:val="21"/>
        </w:rPr>
        <w:t>Macau</w:t>
      </w:r>
      <w:r>
        <w:rPr>
          <w:spacing w:val="15"/>
          <w:sz w:val="21"/>
        </w:rPr>
        <w:t> </w:t>
      </w:r>
      <w:r>
        <w:rPr>
          <w:sz w:val="21"/>
        </w:rPr>
        <w:t>SAR,</w:t>
      </w:r>
      <w:r>
        <w:rPr>
          <w:spacing w:val="15"/>
          <w:sz w:val="21"/>
        </w:rPr>
        <w:t> </w:t>
      </w:r>
      <w:r>
        <w:rPr>
          <w:sz w:val="21"/>
        </w:rPr>
        <w:t>as</w:t>
      </w:r>
      <w:r>
        <w:rPr>
          <w:spacing w:val="15"/>
          <w:sz w:val="21"/>
        </w:rPr>
        <w:t> </w:t>
      </w:r>
      <w:r>
        <w:rPr>
          <w:sz w:val="21"/>
        </w:rPr>
        <w:t>well as</w:t>
      </w:r>
      <w:r>
        <w:rPr>
          <w:spacing w:val="24"/>
          <w:sz w:val="21"/>
        </w:rPr>
        <w:t> </w:t>
      </w:r>
      <w:r>
        <w:rPr>
          <w:sz w:val="21"/>
        </w:rPr>
        <w:t>the</w:t>
      </w:r>
      <w:r>
        <w:rPr>
          <w:spacing w:val="24"/>
          <w:sz w:val="21"/>
        </w:rPr>
        <w:t> </w:t>
      </w:r>
      <w:r>
        <w:rPr>
          <w:sz w:val="21"/>
        </w:rPr>
        <w:t>development</w:t>
      </w:r>
      <w:r>
        <w:rPr>
          <w:spacing w:val="24"/>
          <w:sz w:val="21"/>
        </w:rPr>
        <w:t> </w:t>
      </w:r>
      <w:r>
        <w:rPr>
          <w:sz w:val="21"/>
        </w:rPr>
        <w:t>of</w:t>
      </w:r>
      <w:r>
        <w:rPr>
          <w:spacing w:val="24"/>
          <w:sz w:val="21"/>
        </w:rPr>
        <w:t> </w:t>
      </w:r>
      <w:r>
        <w:rPr>
          <w:sz w:val="21"/>
        </w:rPr>
        <w:t>other</w:t>
      </w:r>
      <w:r>
        <w:rPr>
          <w:spacing w:val="24"/>
          <w:sz w:val="21"/>
        </w:rPr>
        <w:t> </w:t>
      </w:r>
      <w:r>
        <w:rPr>
          <w:sz w:val="21"/>
        </w:rPr>
        <w:t>activities</w:t>
      </w:r>
      <w:r>
        <w:rPr>
          <w:spacing w:val="24"/>
          <w:sz w:val="21"/>
        </w:rPr>
        <w:t> </w:t>
      </w:r>
      <w:r>
        <w:rPr>
          <w:sz w:val="21"/>
        </w:rPr>
        <w:t>included</w:t>
      </w:r>
      <w:r>
        <w:rPr>
          <w:spacing w:val="24"/>
          <w:sz w:val="21"/>
        </w:rPr>
        <w:t> </w:t>
      </w:r>
      <w:r>
        <w:rPr>
          <w:sz w:val="21"/>
        </w:rPr>
        <w:t>in</w:t>
      </w:r>
      <w:r>
        <w:rPr>
          <w:spacing w:val="24"/>
          <w:sz w:val="21"/>
        </w:rPr>
        <w:t> </w:t>
      </w:r>
      <w:r>
        <w:rPr>
          <w:sz w:val="21"/>
        </w:rPr>
        <w:t>the</w:t>
      </w:r>
      <w:r>
        <w:rPr>
          <w:spacing w:val="24"/>
          <w:sz w:val="21"/>
        </w:rPr>
        <w:t> </w:t>
      </w:r>
      <w:r>
        <w:rPr>
          <w:sz w:val="21"/>
        </w:rPr>
        <w:t>concession,</w:t>
      </w:r>
      <w:r>
        <w:rPr>
          <w:spacing w:val="24"/>
          <w:sz w:val="21"/>
        </w:rPr>
        <w:t> </w:t>
      </w:r>
      <w:r>
        <w:rPr>
          <w:sz w:val="21"/>
        </w:rPr>
        <w:t>which</w:t>
      </w:r>
      <w:r>
        <w:rPr>
          <w:spacing w:val="24"/>
          <w:sz w:val="21"/>
        </w:rPr>
        <w:t> </w:t>
      </w:r>
      <w:r>
        <w:rPr>
          <w:sz w:val="21"/>
        </w:rPr>
        <w:t>are</w:t>
      </w:r>
      <w:r>
        <w:rPr>
          <w:spacing w:val="24"/>
          <w:sz w:val="21"/>
        </w:rPr>
        <w:t> </w:t>
      </w:r>
      <w:r>
        <w:rPr>
          <w:sz w:val="21"/>
        </w:rPr>
        <w:t>not</w:t>
      </w:r>
      <w:r>
        <w:rPr>
          <w:spacing w:val="24"/>
          <w:sz w:val="21"/>
        </w:rPr>
        <w:t> </w:t>
      </w:r>
      <w:r>
        <w:rPr>
          <w:sz w:val="21"/>
        </w:rPr>
        <w:t>guaranteed</w:t>
      </w:r>
      <w:r>
        <w:rPr>
          <w:spacing w:val="24"/>
          <w:sz w:val="21"/>
        </w:rPr>
        <w:t> </w:t>
      </w:r>
      <w:r>
        <w:rPr>
          <w:sz w:val="21"/>
        </w:rPr>
        <w:t>by</w:t>
      </w:r>
      <w:r>
        <w:rPr>
          <w:spacing w:val="24"/>
          <w:sz w:val="21"/>
        </w:rPr>
        <w:t> </w:t>
      </w:r>
      <w:r>
        <w:rPr>
          <w:sz w:val="21"/>
        </w:rPr>
        <w:t>any</w:t>
      </w:r>
      <w:r>
        <w:rPr>
          <w:spacing w:val="24"/>
          <w:sz w:val="21"/>
        </w:rPr>
        <w:t> </w:t>
      </w:r>
      <w:r>
        <w:rPr>
          <w:sz w:val="21"/>
        </w:rPr>
        <w:t>other</w:t>
      </w:r>
      <w:r>
        <w:rPr>
          <w:spacing w:val="24"/>
          <w:sz w:val="21"/>
        </w:rPr>
        <w:t> </w:t>
      </w:r>
      <w:r>
        <w:rPr>
          <w:sz w:val="21"/>
        </w:rPr>
        <w:t>insurance</w:t>
      </w:r>
      <w:r>
        <w:rPr>
          <w:spacing w:val="24"/>
          <w:sz w:val="21"/>
        </w:rPr>
        <w:t> </w:t>
      </w:r>
      <w:r>
        <w:rPr>
          <w:sz w:val="21"/>
        </w:rPr>
        <w:t>policy;</w:t>
      </w:r>
    </w:p>
    <w:p>
      <w:pPr>
        <w:pStyle w:val="BodyText"/>
        <w:spacing w:before="152"/>
        <w:rPr>
          <w:sz w:val="21"/>
        </w:rPr>
      </w:pPr>
    </w:p>
    <w:p>
      <w:pPr>
        <w:pStyle w:val="ListParagraph"/>
        <w:numPr>
          <w:ilvl w:val="0"/>
          <w:numId w:val="33"/>
        </w:numPr>
        <w:tabs>
          <w:tab w:pos="910" w:val="left" w:leader="none"/>
          <w:tab w:pos="940" w:val="left" w:leader="none"/>
        </w:tabs>
        <w:spacing w:line="213" w:lineRule="auto" w:before="0" w:after="0"/>
        <w:ind w:left="910" w:right="118" w:hanging="256"/>
        <w:jc w:val="left"/>
        <w:rPr>
          <w:sz w:val="21"/>
        </w:rPr>
      </w:pPr>
      <w:r>
        <w:rPr>
          <w:sz w:val="21"/>
        </w:rPr>
        <w:tab/>
        <w:t>Insurance</w:t>
      </w:r>
      <w:r>
        <w:rPr>
          <w:spacing w:val="69"/>
          <w:sz w:val="21"/>
        </w:rPr>
        <w:t> </w:t>
      </w:r>
      <w:r>
        <w:rPr>
          <w:sz w:val="21"/>
        </w:rPr>
        <w:t>against</w:t>
      </w:r>
      <w:r>
        <w:rPr>
          <w:spacing w:val="69"/>
          <w:sz w:val="21"/>
        </w:rPr>
        <w:t> </w:t>
      </w:r>
      <w:r>
        <w:rPr>
          <w:sz w:val="21"/>
        </w:rPr>
        <w:t>damages</w:t>
      </w:r>
      <w:r>
        <w:rPr>
          <w:spacing w:val="69"/>
          <w:sz w:val="21"/>
        </w:rPr>
        <w:t> </w:t>
      </w:r>
      <w:r>
        <w:rPr>
          <w:sz w:val="21"/>
        </w:rPr>
        <w:t>to</w:t>
      </w:r>
      <w:r>
        <w:rPr>
          <w:spacing w:val="69"/>
          <w:sz w:val="21"/>
        </w:rPr>
        <w:t> </w:t>
      </w:r>
      <w:r>
        <w:rPr>
          <w:sz w:val="21"/>
        </w:rPr>
        <w:t>buildings,</w:t>
      </w:r>
      <w:r>
        <w:rPr>
          <w:spacing w:val="69"/>
          <w:sz w:val="21"/>
        </w:rPr>
        <w:t> </w:t>
      </w:r>
      <w:r>
        <w:rPr>
          <w:sz w:val="21"/>
        </w:rPr>
        <w:t>furniture,</w:t>
      </w:r>
      <w:r>
        <w:rPr>
          <w:spacing w:val="69"/>
          <w:sz w:val="21"/>
        </w:rPr>
        <w:t> </w:t>
      </w:r>
      <w:r>
        <w:rPr>
          <w:sz w:val="21"/>
        </w:rPr>
        <w:t>equipment,</w:t>
      </w:r>
      <w:r>
        <w:rPr>
          <w:spacing w:val="69"/>
          <w:sz w:val="21"/>
        </w:rPr>
        <w:t> </w:t>
      </w:r>
      <w:r>
        <w:rPr>
          <w:sz w:val="21"/>
        </w:rPr>
        <w:t>and</w:t>
      </w:r>
      <w:r>
        <w:rPr>
          <w:spacing w:val="69"/>
          <w:sz w:val="21"/>
        </w:rPr>
        <w:t> </w:t>
      </w:r>
      <w:r>
        <w:rPr>
          <w:sz w:val="21"/>
        </w:rPr>
        <w:t>other</w:t>
      </w:r>
      <w:r>
        <w:rPr>
          <w:spacing w:val="69"/>
          <w:sz w:val="21"/>
        </w:rPr>
        <w:t> </w:t>
      </w:r>
      <w:r>
        <w:rPr>
          <w:sz w:val="21"/>
        </w:rPr>
        <w:t>property</w:t>
      </w:r>
      <w:r>
        <w:rPr>
          <w:spacing w:val="69"/>
          <w:sz w:val="21"/>
        </w:rPr>
        <w:t> </w:t>
      </w:r>
      <w:r>
        <w:rPr>
          <w:sz w:val="21"/>
        </w:rPr>
        <w:t>related</w:t>
      </w:r>
      <w:r>
        <w:rPr>
          <w:spacing w:val="69"/>
          <w:sz w:val="21"/>
        </w:rPr>
        <w:t> </w:t>
      </w:r>
      <w:r>
        <w:rPr>
          <w:sz w:val="21"/>
        </w:rPr>
        <w:t>to</w:t>
      </w:r>
      <w:r>
        <w:rPr>
          <w:spacing w:val="69"/>
          <w:sz w:val="21"/>
        </w:rPr>
        <w:t> </w:t>
      </w:r>
      <w:r>
        <w:rPr>
          <w:sz w:val="21"/>
        </w:rPr>
        <w:t>the</w:t>
      </w:r>
      <w:r>
        <w:rPr>
          <w:spacing w:val="69"/>
          <w:sz w:val="21"/>
        </w:rPr>
        <w:t> </w:t>
      </w:r>
      <w:r>
        <w:rPr>
          <w:sz w:val="21"/>
        </w:rPr>
        <w:t>activities</w:t>
      </w:r>
      <w:r>
        <w:rPr>
          <w:spacing w:val="69"/>
          <w:sz w:val="21"/>
        </w:rPr>
        <w:t> </w:t>
      </w:r>
      <w:r>
        <w:rPr>
          <w:sz w:val="21"/>
        </w:rPr>
        <w:t>within</w:t>
      </w:r>
      <w:r>
        <w:rPr>
          <w:spacing w:val="69"/>
          <w:sz w:val="21"/>
        </w:rPr>
        <w:t> </w:t>
      </w:r>
      <w:r>
        <w:rPr>
          <w:sz w:val="21"/>
        </w:rPr>
        <w:t>the </w:t>
      </w:r>
      <w:r>
        <w:rPr>
          <w:spacing w:val="-2"/>
          <w:sz w:val="21"/>
        </w:rPr>
        <w:t>concession;</w:t>
      </w:r>
    </w:p>
    <w:p>
      <w:pPr>
        <w:pStyle w:val="BodyText"/>
        <w:spacing w:before="165"/>
        <w:rPr>
          <w:sz w:val="21"/>
        </w:rPr>
      </w:pPr>
    </w:p>
    <w:p>
      <w:pPr>
        <w:pStyle w:val="ListParagraph"/>
        <w:numPr>
          <w:ilvl w:val="0"/>
          <w:numId w:val="33"/>
        </w:numPr>
        <w:tabs>
          <w:tab w:pos="890" w:val="left" w:leader="none"/>
          <w:tab w:pos="910" w:val="left" w:leader="none"/>
        </w:tabs>
        <w:spacing w:line="213" w:lineRule="auto" w:before="1" w:after="0"/>
        <w:ind w:left="910" w:right="118" w:hanging="256"/>
        <w:jc w:val="left"/>
        <w:rPr>
          <w:sz w:val="21"/>
        </w:rPr>
      </w:pPr>
      <w:r>
        <w:rPr>
          <w:sz w:val="21"/>
        </w:rPr>
        <w:t>Construction</w:t>
      </w:r>
      <w:r>
        <w:rPr>
          <w:spacing w:val="17"/>
          <w:sz w:val="21"/>
        </w:rPr>
        <w:t> </w:t>
      </w:r>
      <w:r>
        <w:rPr>
          <w:sz w:val="21"/>
        </w:rPr>
        <w:t>insurance</w:t>
      </w:r>
      <w:r>
        <w:rPr>
          <w:spacing w:val="17"/>
          <w:sz w:val="21"/>
        </w:rPr>
        <w:t> </w:t>
      </w:r>
      <w:r>
        <w:rPr>
          <w:sz w:val="21"/>
        </w:rPr>
        <w:t>(all</w:t>
      </w:r>
      <w:r>
        <w:rPr>
          <w:spacing w:val="17"/>
          <w:sz w:val="21"/>
        </w:rPr>
        <w:t> </w:t>
      </w:r>
      <w:r>
        <w:rPr>
          <w:sz w:val="21"/>
        </w:rPr>
        <w:t>risks,</w:t>
      </w:r>
      <w:r>
        <w:rPr>
          <w:spacing w:val="17"/>
          <w:sz w:val="21"/>
        </w:rPr>
        <w:t> </w:t>
      </w:r>
      <w:r>
        <w:rPr>
          <w:sz w:val="21"/>
        </w:rPr>
        <w:t>including</w:t>
      </w:r>
      <w:r>
        <w:rPr>
          <w:spacing w:val="17"/>
          <w:sz w:val="21"/>
        </w:rPr>
        <w:t> </w:t>
      </w:r>
      <w:r>
        <w:rPr>
          <w:sz w:val="21"/>
        </w:rPr>
        <w:t>civil</w:t>
      </w:r>
      <w:r>
        <w:rPr>
          <w:spacing w:val="17"/>
          <w:sz w:val="21"/>
        </w:rPr>
        <w:t> </w:t>
      </w:r>
      <w:r>
        <w:rPr>
          <w:sz w:val="21"/>
        </w:rPr>
        <w:t>liability)</w:t>
      </w:r>
      <w:r>
        <w:rPr>
          <w:spacing w:val="17"/>
          <w:sz w:val="21"/>
        </w:rPr>
        <w:t> </w:t>
      </w:r>
      <w:r>
        <w:rPr>
          <w:sz w:val="21"/>
        </w:rPr>
        <w:t>relative</w:t>
      </w:r>
      <w:r>
        <w:rPr>
          <w:spacing w:val="17"/>
          <w:sz w:val="21"/>
        </w:rPr>
        <w:t> </w:t>
      </w:r>
      <w:r>
        <w:rPr>
          <w:sz w:val="21"/>
        </w:rPr>
        <w:t>to</w:t>
      </w:r>
      <w:r>
        <w:rPr>
          <w:spacing w:val="17"/>
          <w:sz w:val="21"/>
        </w:rPr>
        <w:t> </w:t>
      </w:r>
      <w:r>
        <w:rPr>
          <w:sz w:val="21"/>
        </w:rPr>
        <w:t>the</w:t>
      </w:r>
      <w:r>
        <w:rPr>
          <w:spacing w:val="17"/>
          <w:sz w:val="21"/>
        </w:rPr>
        <w:t> </w:t>
      </w:r>
      <w:r>
        <w:rPr>
          <w:sz w:val="21"/>
        </w:rPr>
        <w:t>execution</w:t>
      </w:r>
      <w:r>
        <w:rPr>
          <w:spacing w:val="17"/>
          <w:sz w:val="21"/>
        </w:rPr>
        <w:t> </w:t>
      </w:r>
      <w:r>
        <w:rPr>
          <w:sz w:val="21"/>
        </w:rPr>
        <w:t>of</w:t>
      </w:r>
      <w:r>
        <w:rPr>
          <w:spacing w:val="17"/>
          <w:sz w:val="21"/>
        </w:rPr>
        <w:t> </w:t>
      </w:r>
      <w:r>
        <w:rPr>
          <w:sz w:val="21"/>
        </w:rPr>
        <w:t>any</w:t>
      </w:r>
      <w:r>
        <w:rPr>
          <w:spacing w:val="17"/>
          <w:sz w:val="21"/>
        </w:rPr>
        <w:t> </w:t>
      </w:r>
      <w:r>
        <w:rPr>
          <w:sz w:val="21"/>
        </w:rPr>
        <w:t>work</w:t>
      </w:r>
      <w:r>
        <w:rPr>
          <w:spacing w:val="17"/>
          <w:sz w:val="21"/>
        </w:rPr>
        <w:t> </w:t>
      </w:r>
      <w:r>
        <w:rPr>
          <w:sz w:val="21"/>
        </w:rPr>
        <w:t>by</w:t>
      </w:r>
      <w:r>
        <w:rPr>
          <w:spacing w:val="17"/>
          <w:sz w:val="21"/>
        </w:rPr>
        <w:t> </w:t>
      </w:r>
      <w:r>
        <w:rPr>
          <w:sz w:val="21"/>
        </w:rPr>
        <w:t>or</w:t>
      </w:r>
      <w:r>
        <w:rPr>
          <w:spacing w:val="17"/>
          <w:sz w:val="21"/>
        </w:rPr>
        <w:t> </w:t>
      </w:r>
      <w:r>
        <w:rPr>
          <w:sz w:val="21"/>
        </w:rPr>
        <w:t>in</w:t>
      </w:r>
      <w:r>
        <w:rPr>
          <w:spacing w:val="17"/>
          <w:sz w:val="21"/>
        </w:rPr>
        <w:t> </w:t>
      </w:r>
      <w:r>
        <w:rPr>
          <w:sz w:val="21"/>
        </w:rPr>
        <w:t>buildings</w:t>
      </w:r>
      <w:r>
        <w:rPr>
          <w:spacing w:val="17"/>
          <w:sz w:val="21"/>
        </w:rPr>
        <w:t> </w:t>
      </w:r>
      <w:r>
        <w:rPr>
          <w:sz w:val="21"/>
        </w:rPr>
        <w:t>connected to the activities included in the concession.</w:t>
      </w:r>
    </w:p>
    <w:p>
      <w:pPr>
        <w:pStyle w:val="BodyText"/>
        <w:spacing w:before="152"/>
        <w:rPr>
          <w:sz w:val="21"/>
        </w:rPr>
      </w:pPr>
    </w:p>
    <w:p>
      <w:pPr>
        <w:spacing w:line="213" w:lineRule="auto" w:before="0"/>
        <w:ind w:left="144" w:right="0" w:firstLine="0"/>
        <w:jc w:val="left"/>
        <w:rPr>
          <w:sz w:val="21"/>
        </w:rPr>
      </w:pPr>
      <w:r>
        <w:rPr>
          <w:i/>
          <w:sz w:val="21"/>
        </w:rPr>
        <w:t>Three</w:t>
      </w:r>
      <w:r>
        <w:rPr>
          <w:sz w:val="21"/>
        </w:rPr>
        <w:t>.</w:t>
      </w:r>
      <w:r>
        <w:rPr>
          <w:spacing w:val="23"/>
          <w:sz w:val="21"/>
        </w:rPr>
        <w:t> </w:t>
      </w:r>
      <w:r>
        <w:rPr>
          <w:sz w:val="21"/>
        </w:rPr>
        <w:t>The</w:t>
      </w:r>
      <w:r>
        <w:rPr>
          <w:spacing w:val="28"/>
          <w:sz w:val="21"/>
        </w:rPr>
        <w:t> </w:t>
      </w:r>
      <w:r>
        <w:rPr>
          <w:sz w:val="21"/>
        </w:rPr>
        <w:t>insurance</w:t>
      </w:r>
      <w:r>
        <w:rPr>
          <w:spacing w:val="28"/>
          <w:sz w:val="21"/>
        </w:rPr>
        <w:t> </w:t>
      </w:r>
      <w:r>
        <w:rPr>
          <w:sz w:val="21"/>
        </w:rPr>
        <w:t>coverage</w:t>
      </w:r>
      <w:r>
        <w:rPr>
          <w:spacing w:val="28"/>
          <w:sz w:val="21"/>
        </w:rPr>
        <w:t> </w:t>
      </w:r>
      <w:r>
        <w:rPr>
          <w:sz w:val="21"/>
        </w:rPr>
        <w:t>referred</w:t>
      </w:r>
      <w:r>
        <w:rPr>
          <w:spacing w:val="28"/>
          <w:sz w:val="21"/>
        </w:rPr>
        <w:t> </w:t>
      </w:r>
      <w:r>
        <w:rPr>
          <w:sz w:val="21"/>
        </w:rPr>
        <w:t>to</w:t>
      </w:r>
      <w:r>
        <w:rPr>
          <w:spacing w:val="28"/>
          <w:sz w:val="21"/>
        </w:rPr>
        <w:t> </w:t>
      </w:r>
      <w:r>
        <w:rPr>
          <w:sz w:val="21"/>
        </w:rPr>
        <w:t>in</w:t>
      </w:r>
      <w:r>
        <w:rPr>
          <w:spacing w:val="28"/>
          <w:sz w:val="21"/>
        </w:rPr>
        <w:t> </w:t>
      </w:r>
      <w:r>
        <w:rPr>
          <w:sz w:val="21"/>
        </w:rPr>
        <w:t>subparagraph</w:t>
      </w:r>
      <w:r>
        <w:rPr>
          <w:spacing w:val="28"/>
          <w:sz w:val="21"/>
        </w:rPr>
        <w:t> </w:t>
      </w:r>
      <w:r>
        <w:rPr>
          <w:sz w:val="21"/>
        </w:rPr>
        <w:t>6)</w:t>
      </w:r>
      <w:r>
        <w:rPr>
          <w:spacing w:val="28"/>
          <w:sz w:val="21"/>
        </w:rPr>
        <w:t> </w:t>
      </w:r>
      <w:r>
        <w:rPr>
          <w:sz w:val="21"/>
        </w:rPr>
        <w:t>of</w:t>
      </w:r>
      <w:r>
        <w:rPr>
          <w:spacing w:val="28"/>
          <w:sz w:val="21"/>
        </w:rPr>
        <w:t> </w:t>
      </w:r>
      <w:r>
        <w:rPr>
          <w:sz w:val="21"/>
        </w:rPr>
        <w:t>the</w:t>
      </w:r>
      <w:r>
        <w:rPr>
          <w:spacing w:val="28"/>
          <w:sz w:val="21"/>
        </w:rPr>
        <w:t> </w:t>
      </w:r>
      <w:r>
        <w:rPr>
          <w:sz w:val="21"/>
        </w:rPr>
        <w:t>previous</w:t>
      </w:r>
      <w:r>
        <w:rPr>
          <w:spacing w:val="28"/>
          <w:sz w:val="21"/>
        </w:rPr>
        <w:t> </w:t>
      </w:r>
      <w:r>
        <w:rPr>
          <w:sz w:val="21"/>
        </w:rPr>
        <w:t>paragraph</w:t>
      </w:r>
      <w:r>
        <w:rPr>
          <w:spacing w:val="28"/>
          <w:sz w:val="21"/>
        </w:rPr>
        <w:t> </w:t>
      </w:r>
      <w:r>
        <w:rPr>
          <w:sz w:val="21"/>
        </w:rPr>
        <w:t>is</w:t>
      </w:r>
      <w:r>
        <w:rPr>
          <w:spacing w:val="28"/>
          <w:sz w:val="21"/>
        </w:rPr>
        <w:t> </w:t>
      </w:r>
      <w:r>
        <w:rPr>
          <w:sz w:val="21"/>
        </w:rPr>
        <w:t>of</w:t>
      </w:r>
      <w:r>
        <w:rPr>
          <w:spacing w:val="28"/>
          <w:sz w:val="21"/>
        </w:rPr>
        <w:t> </w:t>
      </w:r>
      <w:r>
        <w:rPr>
          <w:sz w:val="21"/>
        </w:rPr>
        <w:t>the</w:t>
      </w:r>
      <w:r>
        <w:rPr>
          <w:spacing w:val="28"/>
          <w:sz w:val="21"/>
        </w:rPr>
        <w:t> </w:t>
      </w:r>
      <w:r>
        <w:rPr>
          <w:sz w:val="21"/>
        </w:rPr>
        <w:t>multi-risk</w:t>
      </w:r>
      <w:r>
        <w:rPr>
          <w:spacing w:val="28"/>
          <w:sz w:val="21"/>
        </w:rPr>
        <w:t> </w:t>
      </w:r>
      <w:r>
        <w:rPr>
          <w:sz w:val="21"/>
        </w:rPr>
        <w:t>type</w:t>
      </w:r>
      <w:r>
        <w:rPr>
          <w:spacing w:val="28"/>
          <w:sz w:val="21"/>
        </w:rPr>
        <w:t> </w:t>
      </w:r>
      <w:r>
        <w:rPr>
          <w:sz w:val="21"/>
        </w:rPr>
        <w:t>covering,</w:t>
      </w:r>
      <w:r>
        <w:rPr>
          <w:spacing w:val="28"/>
          <w:sz w:val="21"/>
        </w:rPr>
        <w:t> </w:t>
      </w:r>
      <w:r>
        <w:rPr>
          <w:sz w:val="21"/>
        </w:rPr>
        <w:t>at</w:t>
      </w:r>
      <w:r>
        <w:rPr>
          <w:spacing w:val="28"/>
          <w:sz w:val="21"/>
        </w:rPr>
        <w:t> </w:t>
      </w:r>
      <w:r>
        <w:rPr>
          <w:sz w:val="21"/>
        </w:rPr>
        <w:t>least, the following:</w:t>
      </w:r>
    </w:p>
    <w:p>
      <w:pPr>
        <w:pStyle w:val="BodyText"/>
        <w:spacing w:before="130"/>
        <w:rPr>
          <w:sz w:val="21"/>
        </w:rPr>
      </w:pPr>
    </w:p>
    <w:p>
      <w:pPr>
        <w:pStyle w:val="ListParagraph"/>
        <w:numPr>
          <w:ilvl w:val="0"/>
          <w:numId w:val="34"/>
        </w:numPr>
        <w:tabs>
          <w:tab w:pos="887" w:val="left" w:leader="none"/>
        </w:tabs>
        <w:spacing w:line="240" w:lineRule="auto" w:before="0" w:after="0"/>
        <w:ind w:left="887" w:right="0" w:hanging="233"/>
        <w:jc w:val="left"/>
        <w:rPr>
          <w:sz w:val="21"/>
        </w:rPr>
      </w:pPr>
      <w:r>
        <w:rPr>
          <w:sz w:val="21"/>
        </w:rPr>
        <w:t>Fire,</w:t>
      </w:r>
      <w:r>
        <w:rPr>
          <w:spacing w:val="11"/>
          <w:sz w:val="21"/>
        </w:rPr>
        <w:t> </w:t>
      </w:r>
      <w:r>
        <w:rPr>
          <w:sz w:val="21"/>
        </w:rPr>
        <w:t>lightning,</w:t>
      </w:r>
      <w:r>
        <w:rPr>
          <w:spacing w:val="12"/>
          <w:sz w:val="21"/>
        </w:rPr>
        <w:t> </w:t>
      </w:r>
      <w:r>
        <w:rPr>
          <w:sz w:val="21"/>
        </w:rPr>
        <w:t>or</w:t>
      </w:r>
      <w:r>
        <w:rPr>
          <w:spacing w:val="12"/>
          <w:sz w:val="21"/>
        </w:rPr>
        <w:t> </w:t>
      </w:r>
      <w:r>
        <w:rPr>
          <w:sz w:val="21"/>
        </w:rPr>
        <w:t>explosion</w:t>
      </w:r>
      <w:r>
        <w:rPr>
          <w:spacing w:val="12"/>
          <w:sz w:val="21"/>
        </w:rPr>
        <w:t> </w:t>
      </w:r>
      <w:r>
        <w:rPr>
          <w:sz w:val="21"/>
        </w:rPr>
        <w:t>(whatever</w:t>
      </w:r>
      <w:r>
        <w:rPr>
          <w:spacing w:val="11"/>
          <w:sz w:val="21"/>
        </w:rPr>
        <w:t> </w:t>
      </w:r>
      <w:r>
        <w:rPr>
          <w:sz w:val="21"/>
        </w:rPr>
        <w:t>its</w:t>
      </w:r>
      <w:r>
        <w:rPr>
          <w:spacing w:val="12"/>
          <w:sz w:val="21"/>
        </w:rPr>
        <w:t> </w:t>
      </w:r>
      <w:r>
        <w:rPr>
          <w:spacing w:val="-2"/>
          <w:sz w:val="21"/>
        </w:rPr>
        <w:t>nature);</w:t>
      </w:r>
    </w:p>
    <w:p>
      <w:pPr>
        <w:pStyle w:val="BodyText"/>
        <w:spacing w:before="138"/>
        <w:rPr>
          <w:sz w:val="21"/>
        </w:rPr>
      </w:pPr>
    </w:p>
    <w:p>
      <w:pPr>
        <w:pStyle w:val="ListParagraph"/>
        <w:numPr>
          <w:ilvl w:val="0"/>
          <w:numId w:val="34"/>
        </w:numPr>
        <w:tabs>
          <w:tab w:pos="887" w:val="left" w:leader="none"/>
        </w:tabs>
        <w:spacing w:line="240" w:lineRule="auto" w:before="0" w:after="0"/>
        <w:ind w:left="887" w:right="0" w:hanging="233"/>
        <w:jc w:val="left"/>
        <w:rPr>
          <w:sz w:val="21"/>
        </w:rPr>
      </w:pPr>
      <w:r>
        <w:rPr>
          <w:sz w:val="21"/>
        </w:rPr>
        <w:t>Bursting</w:t>
      </w:r>
      <w:r>
        <w:rPr>
          <w:spacing w:val="11"/>
          <w:sz w:val="21"/>
        </w:rPr>
        <w:t> </w:t>
      </w:r>
      <w:r>
        <w:rPr>
          <w:sz w:val="21"/>
        </w:rPr>
        <w:t>of</w:t>
      </w:r>
      <w:r>
        <w:rPr>
          <w:spacing w:val="12"/>
          <w:sz w:val="21"/>
        </w:rPr>
        <w:t> </w:t>
      </w:r>
      <w:r>
        <w:rPr>
          <w:sz w:val="21"/>
        </w:rPr>
        <w:t>pipes,</w:t>
      </w:r>
      <w:r>
        <w:rPr>
          <w:spacing w:val="12"/>
          <w:sz w:val="21"/>
        </w:rPr>
        <w:t> </w:t>
      </w:r>
      <w:r>
        <w:rPr>
          <w:sz w:val="21"/>
        </w:rPr>
        <w:t>spillage,</w:t>
      </w:r>
      <w:r>
        <w:rPr>
          <w:spacing w:val="11"/>
          <w:sz w:val="21"/>
        </w:rPr>
        <w:t> </w:t>
      </w:r>
      <w:r>
        <w:rPr>
          <w:sz w:val="21"/>
        </w:rPr>
        <w:t>or</w:t>
      </w:r>
      <w:r>
        <w:rPr>
          <w:spacing w:val="12"/>
          <w:sz w:val="21"/>
        </w:rPr>
        <w:t> </w:t>
      </w:r>
      <w:r>
        <w:rPr>
          <w:sz w:val="21"/>
        </w:rPr>
        <w:t>overflowing</w:t>
      </w:r>
      <w:r>
        <w:rPr>
          <w:spacing w:val="12"/>
          <w:sz w:val="21"/>
        </w:rPr>
        <w:t> </w:t>
      </w:r>
      <w:r>
        <w:rPr>
          <w:sz w:val="21"/>
        </w:rPr>
        <w:t>of</w:t>
      </w:r>
      <w:r>
        <w:rPr>
          <w:spacing w:val="12"/>
          <w:sz w:val="21"/>
        </w:rPr>
        <w:t> </w:t>
      </w:r>
      <w:r>
        <w:rPr>
          <w:sz w:val="21"/>
        </w:rPr>
        <w:t>tanks,</w:t>
      </w:r>
      <w:r>
        <w:rPr>
          <w:spacing w:val="11"/>
          <w:sz w:val="21"/>
        </w:rPr>
        <w:t> </w:t>
      </w:r>
      <w:r>
        <w:rPr>
          <w:sz w:val="21"/>
        </w:rPr>
        <w:t>boilers,</w:t>
      </w:r>
      <w:r>
        <w:rPr>
          <w:spacing w:val="12"/>
          <w:sz w:val="21"/>
        </w:rPr>
        <w:t> </w:t>
      </w:r>
      <w:r>
        <w:rPr>
          <w:sz w:val="21"/>
        </w:rPr>
        <w:t>pipes,</w:t>
      </w:r>
      <w:r>
        <w:rPr>
          <w:spacing w:val="12"/>
          <w:sz w:val="21"/>
        </w:rPr>
        <w:t> </w:t>
      </w:r>
      <w:r>
        <w:rPr>
          <w:sz w:val="21"/>
        </w:rPr>
        <w:t>cisterns,</w:t>
      </w:r>
      <w:r>
        <w:rPr>
          <w:spacing w:val="11"/>
          <w:sz w:val="21"/>
        </w:rPr>
        <w:t> </w:t>
      </w:r>
      <w:r>
        <w:rPr>
          <w:sz w:val="21"/>
        </w:rPr>
        <w:t>lavatories,</w:t>
      </w:r>
      <w:r>
        <w:rPr>
          <w:spacing w:val="12"/>
          <w:sz w:val="21"/>
        </w:rPr>
        <w:t> </w:t>
      </w:r>
      <w:r>
        <w:rPr>
          <w:sz w:val="21"/>
        </w:rPr>
        <w:t>or</w:t>
      </w:r>
      <w:r>
        <w:rPr>
          <w:spacing w:val="12"/>
          <w:sz w:val="21"/>
        </w:rPr>
        <w:t> </w:t>
      </w:r>
      <w:r>
        <w:rPr>
          <w:sz w:val="21"/>
        </w:rPr>
        <w:t>water</w:t>
      </w:r>
      <w:r>
        <w:rPr>
          <w:spacing w:val="12"/>
          <w:sz w:val="21"/>
        </w:rPr>
        <w:t> </w:t>
      </w:r>
      <w:r>
        <w:rPr>
          <w:sz w:val="21"/>
        </w:rPr>
        <w:t>transport</w:t>
      </w:r>
      <w:r>
        <w:rPr>
          <w:spacing w:val="11"/>
          <w:sz w:val="21"/>
        </w:rPr>
        <w:t> </w:t>
      </w:r>
      <w:r>
        <w:rPr>
          <w:spacing w:val="-2"/>
          <w:sz w:val="21"/>
        </w:rPr>
        <w:t>apparatus;</w:t>
      </w:r>
    </w:p>
    <w:p>
      <w:pPr>
        <w:pStyle w:val="BodyText"/>
        <w:spacing w:before="125"/>
        <w:rPr>
          <w:sz w:val="21"/>
        </w:rPr>
      </w:pPr>
    </w:p>
    <w:p>
      <w:pPr>
        <w:pStyle w:val="ListParagraph"/>
        <w:numPr>
          <w:ilvl w:val="0"/>
          <w:numId w:val="34"/>
        </w:numPr>
        <w:tabs>
          <w:tab w:pos="887" w:val="left" w:leader="none"/>
        </w:tabs>
        <w:spacing w:line="240" w:lineRule="auto" w:before="0" w:after="0"/>
        <w:ind w:left="887" w:right="0" w:hanging="233"/>
        <w:jc w:val="left"/>
        <w:rPr>
          <w:sz w:val="21"/>
        </w:rPr>
      </w:pPr>
      <w:r>
        <w:rPr>
          <w:sz w:val="21"/>
        </w:rPr>
        <w:t>Floods,</w:t>
      </w:r>
      <w:r>
        <w:rPr>
          <w:spacing w:val="13"/>
          <w:sz w:val="21"/>
        </w:rPr>
        <w:t> </w:t>
      </w:r>
      <w:r>
        <w:rPr>
          <w:sz w:val="21"/>
        </w:rPr>
        <w:t>typhoons,</w:t>
      </w:r>
      <w:r>
        <w:rPr>
          <w:spacing w:val="14"/>
          <w:sz w:val="21"/>
        </w:rPr>
        <w:t> </w:t>
      </w:r>
      <w:r>
        <w:rPr>
          <w:sz w:val="21"/>
        </w:rPr>
        <w:t>tropical</w:t>
      </w:r>
      <w:r>
        <w:rPr>
          <w:spacing w:val="14"/>
          <w:sz w:val="21"/>
        </w:rPr>
        <w:t> </w:t>
      </w:r>
      <w:r>
        <w:rPr>
          <w:sz w:val="21"/>
        </w:rPr>
        <w:t>storms,</w:t>
      </w:r>
      <w:r>
        <w:rPr>
          <w:spacing w:val="14"/>
          <w:sz w:val="21"/>
        </w:rPr>
        <w:t> </w:t>
      </w:r>
      <w:r>
        <w:rPr>
          <w:sz w:val="21"/>
        </w:rPr>
        <w:t>volcano</w:t>
      </w:r>
      <w:r>
        <w:rPr>
          <w:spacing w:val="14"/>
          <w:sz w:val="21"/>
        </w:rPr>
        <w:t> </w:t>
      </w:r>
      <w:r>
        <w:rPr>
          <w:sz w:val="21"/>
        </w:rPr>
        <w:t>eruptions,</w:t>
      </w:r>
      <w:r>
        <w:rPr>
          <w:spacing w:val="14"/>
          <w:sz w:val="21"/>
        </w:rPr>
        <w:t> </w:t>
      </w:r>
      <w:r>
        <w:rPr>
          <w:sz w:val="21"/>
        </w:rPr>
        <w:t>earthquakes,</w:t>
      </w:r>
      <w:r>
        <w:rPr>
          <w:spacing w:val="14"/>
          <w:sz w:val="21"/>
        </w:rPr>
        <w:t> </w:t>
      </w:r>
      <w:r>
        <w:rPr>
          <w:sz w:val="21"/>
        </w:rPr>
        <w:t>or</w:t>
      </w:r>
      <w:r>
        <w:rPr>
          <w:spacing w:val="14"/>
          <w:sz w:val="21"/>
        </w:rPr>
        <w:t> </w:t>
      </w:r>
      <w:r>
        <w:rPr>
          <w:sz w:val="21"/>
        </w:rPr>
        <w:t>other</w:t>
      </w:r>
      <w:r>
        <w:rPr>
          <w:spacing w:val="14"/>
          <w:sz w:val="21"/>
        </w:rPr>
        <w:t> </w:t>
      </w:r>
      <w:r>
        <w:rPr>
          <w:sz w:val="21"/>
        </w:rPr>
        <w:t>natural</w:t>
      </w:r>
      <w:r>
        <w:rPr>
          <w:spacing w:val="13"/>
          <w:sz w:val="21"/>
        </w:rPr>
        <w:t> </w:t>
      </w:r>
      <w:r>
        <w:rPr>
          <w:spacing w:val="-2"/>
          <w:sz w:val="21"/>
        </w:rPr>
        <w:t>disasters;</w:t>
      </w:r>
    </w:p>
    <w:p>
      <w:pPr>
        <w:pStyle w:val="BodyText"/>
        <w:spacing w:before="124"/>
        <w:rPr>
          <w:sz w:val="21"/>
        </w:rPr>
      </w:pPr>
    </w:p>
    <w:p>
      <w:pPr>
        <w:pStyle w:val="ListParagraph"/>
        <w:numPr>
          <w:ilvl w:val="0"/>
          <w:numId w:val="34"/>
        </w:numPr>
        <w:tabs>
          <w:tab w:pos="887" w:val="left" w:leader="none"/>
        </w:tabs>
        <w:spacing w:line="240" w:lineRule="auto" w:before="1" w:after="0"/>
        <w:ind w:left="887" w:right="0" w:hanging="233"/>
        <w:jc w:val="left"/>
        <w:rPr>
          <w:sz w:val="21"/>
        </w:rPr>
      </w:pPr>
      <w:r>
        <w:rPr>
          <w:sz w:val="21"/>
        </w:rPr>
        <w:t>Crashes</w:t>
      </w:r>
      <w:r>
        <w:rPr>
          <w:spacing w:val="9"/>
          <w:sz w:val="21"/>
        </w:rPr>
        <w:t> </w:t>
      </w:r>
      <w:r>
        <w:rPr>
          <w:sz w:val="21"/>
        </w:rPr>
        <w:t>by</w:t>
      </w:r>
      <w:r>
        <w:rPr>
          <w:spacing w:val="10"/>
          <w:sz w:val="21"/>
        </w:rPr>
        <w:t> </w:t>
      </w:r>
      <w:r>
        <w:rPr>
          <w:sz w:val="21"/>
        </w:rPr>
        <w:t>aircraft</w:t>
      </w:r>
      <w:r>
        <w:rPr>
          <w:spacing w:val="10"/>
          <w:sz w:val="21"/>
        </w:rPr>
        <w:t> </w:t>
      </w:r>
      <w:r>
        <w:rPr>
          <w:sz w:val="21"/>
        </w:rPr>
        <w:t>or</w:t>
      </w:r>
      <w:r>
        <w:rPr>
          <w:spacing w:val="10"/>
          <w:sz w:val="21"/>
        </w:rPr>
        <w:t> </w:t>
      </w:r>
      <w:r>
        <w:rPr>
          <w:sz w:val="21"/>
        </w:rPr>
        <w:t>other</w:t>
      </w:r>
      <w:r>
        <w:rPr>
          <w:spacing w:val="10"/>
          <w:sz w:val="21"/>
        </w:rPr>
        <w:t> </w:t>
      </w:r>
      <w:r>
        <w:rPr>
          <w:sz w:val="21"/>
        </w:rPr>
        <w:t>aerial</w:t>
      </w:r>
      <w:r>
        <w:rPr>
          <w:spacing w:val="10"/>
          <w:sz w:val="21"/>
        </w:rPr>
        <w:t> </w:t>
      </w:r>
      <w:r>
        <w:rPr>
          <w:sz w:val="21"/>
        </w:rPr>
        <w:t>devices</w:t>
      </w:r>
      <w:r>
        <w:rPr>
          <w:spacing w:val="10"/>
          <w:sz w:val="21"/>
        </w:rPr>
        <w:t> </w:t>
      </w:r>
      <w:r>
        <w:rPr>
          <w:sz w:val="21"/>
        </w:rPr>
        <w:t>or</w:t>
      </w:r>
      <w:r>
        <w:rPr>
          <w:spacing w:val="10"/>
          <w:sz w:val="21"/>
        </w:rPr>
        <w:t> </w:t>
      </w:r>
      <w:r>
        <w:rPr>
          <w:sz w:val="21"/>
        </w:rPr>
        <w:t>objects</w:t>
      </w:r>
      <w:r>
        <w:rPr>
          <w:spacing w:val="10"/>
          <w:sz w:val="21"/>
        </w:rPr>
        <w:t> </w:t>
      </w:r>
      <w:r>
        <w:rPr>
          <w:sz w:val="21"/>
        </w:rPr>
        <w:t>dropped</w:t>
      </w:r>
      <w:r>
        <w:rPr>
          <w:spacing w:val="10"/>
          <w:sz w:val="21"/>
        </w:rPr>
        <w:t> </w:t>
      </w:r>
      <w:r>
        <w:rPr>
          <w:sz w:val="21"/>
        </w:rPr>
        <w:t>or</w:t>
      </w:r>
      <w:r>
        <w:rPr>
          <w:spacing w:val="10"/>
          <w:sz w:val="21"/>
        </w:rPr>
        <w:t> </w:t>
      </w:r>
      <w:r>
        <w:rPr>
          <w:sz w:val="21"/>
        </w:rPr>
        <w:t>thrown</w:t>
      </w:r>
      <w:r>
        <w:rPr>
          <w:spacing w:val="10"/>
          <w:sz w:val="21"/>
        </w:rPr>
        <w:t> </w:t>
      </w:r>
      <w:r>
        <w:rPr>
          <w:sz w:val="21"/>
        </w:rPr>
        <w:t>from</w:t>
      </w:r>
      <w:r>
        <w:rPr>
          <w:spacing w:val="10"/>
          <w:sz w:val="21"/>
        </w:rPr>
        <w:t> </w:t>
      </w:r>
      <w:r>
        <w:rPr>
          <w:spacing w:val="-2"/>
          <w:sz w:val="21"/>
        </w:rPr>
        <w:t>them;</w:t>
      </w:r>
    </w:p>
    <w:p>
      <w:pPr>
        <w:pStyle w:val="BodyText"/>
        <w:spacing w:before="137"/>
        <w:rPr>
          <w:sz w:val="21"/>
        </w:rPr>
      </w:pPr>
    </w:p>
    <w:p>
      <w:pPr>
        <w:pStyle w:val="ListParagraph"/>
        <w:numPr>
          <w:ilvl w:val="0"/>
          <w:numId w:val="34"/>
        </w:numPr>
        <w:tabs>
          <w:tab w:pos="883" w:val="left" w:leader="none"/>
        </w:tabs>
        <w:spacing w:line="240" w:lineRule="auto" w:before="1" w:after="0"/>
        <w:ind w:left="883" w:right="0" w:hanging="229"/>
        <w:jc w:val="left"/>
        <w:rPr>
          <w:sz w:val="21"/>
        </w:rPr>
      </w:pPr>
      <w:r>
        <w:rPr>
          <w:sz w:val="21"/>
        </w:rPr>
        <w:t>Vehicle</w:t>
      </w:r>
      <w:r>
        <w:rPr>
          <w:spacing w:val="-10"/>
          <w:sz w:val="21"/>
        </w:rPr>
        <w:t> </w:t>
      </w:r>
      <w:r>
        <w:rPr>
          <w:spacing w:val="-2"/>
          <w:sz w:val="21"/>
        </w:rPr>
        <w:t>collision;</w:t>
      </w:r>
    </w:p>
    <w:p>
      <w:pPr>
        <w:pStyle w:val="BodyText"/>
        <w:spacing w:before="124"/>
        <w:rPr>
          <w:sz w:val="21"/>
        </w:rPr>
      </w:pPr>
    </w:p>
    <w:p>
      <w:pPr>
        <w:pStyle w:val="ListParagraph"/>
        <w:numPr>
          <w:ilvl w:val="0"/>
          <w:numId w:val="34"/>
        </w:numPr>
        <w:tabs>
          <w:tab w:pos="883" w:val="left" w:leader="none"/>
        </w:tabs>
        <w:spacing w:line="240" w:lineRule="auto" w:before="0" w:after="0"/>
        <w:ind w:left="883" w:right="0" w:hanging="229"/>
        <w:jc w:val="left"/>
        <w:rPr>
          <w:sz w:val="21"/>
        </w:rPr>
      </w:pPr>
      <w:r>
        <w:rPr>
          <w:sz w:val="21"/>
        </w:rPr>
        <w:t>Theft</w:t>
      </w:r>
      <w:r>
        <w:rPr>
          <w:spacing w:val="7"/>
          <w:sz w:val="21"/>
        </w:rPr>
        <w:t> </w:t>
      </w:r>
      <w:r>
        <w:rPr>
          <w:sz w:val="21"/>
        </w:rPr>
        <w:t>or</w:t>
      </w:r>
      <w:r>
        <w:rPr>
          <w:spacing w:val="7"/>
          <w:sz w:val="21"/>
        </w:rPr>
        <w:t> </w:t>
      </w:r>
      <w:r>
        <w:rPr>
          <w:spacing w:val="-2"/>
          <w:sz w:val="21"/>
        </w:rPr>
        <w:t>robbery;</w:t>
      </w:r>
    </w:p>
    <w:p>
      <w:pPr>
        <w:pStyle w:val="BodyText"/>
        <w:spacing w:before="125"/>
        <w:rPr>
          <w:sz w:val="21"/>
        </w:rPr>
      </w:pPr>
    </w:p>
    <w:p>
      <w:pPr>
        <w:pStyle w:val="ListParagraph"/>
        <w:numPr>
          <w:ilvl w:val="0"/>
          <w:numId w:val="34"/>
        </w:numPr>
        <w:tabs>
          <w:tab w:pos="887" w:val="left" w:leader="none"/>
        </w:tabs>
        <w:spacing w:line="240" w:lineRule="auto" w:before="0" w:after="0"/>
        <w:ind w:left="887" w:right="0" w:hanging="233"/>
        <w:jc w:val="left"/>
        <w:rPr>
          <w:sz w:val="21"/>
        </w:rPr>
      </w:pPr>
      <w:r>
        <w:rPr>
          <w:sz w:val="21"/>
        </w:rPr>
        <w:t>Strikes,</w:t>
      </w:r>
      <w:r>
        <w:rPr>
          <w:spacing w:val="9"/>
          <w:sz w:val="21"/>
        </w:rPr>
        <w:t> </w:t>
      </w:r>
      <w:r>
        <w:rPr>
          <w:sz w:val="21"/>
        </w:rPr>
        <w:t>assaults,</w:t>
      </w:r>
      <w:r>
        <w:rPr>
          <w:spacing w:val="9"/>
          <w:sz w:val="21"/>
        </w:rPr>
        <w:t> </w:t>
      </w:r>
      <w:r>
        <w:rPr>
          <w:sz w:val="21"/>
        </w:rPr>
        <w:t>riots,</w:t>
      </w:r>
      <w:r>
        <w:rPr>
          <w:spacing w:val="9"/>
          <w:sz w:val="21"/>
        </w:rPr>
        <w:t> </w:t>
      </w:r>
      <w:r>
        <w:rPr>
          <w:sz w:val="21"/>
        </w:rPr>
        <w:t>alterations</w:t>
      </w:r>
      <w:r>
        <w:rPr>
          <w:spacing w:val="9"/>
          <w:sz w:val="21"/>
        </w:rPr>
        <w:t> </w:t>
      </w:r>
      <w:r>
        <w:rPr>
          <w:sz w:val="21"/>
        </w:rPr>
        <w:t>in</w:t>
      </w:r>
      <w:r>
        <w:rPr>
          <w:spacing w:val="9"/>
          <w:sz w:val="21"/>
        </w:rPr>
        <w:t> </w:t>
      </w:r>
      <w:r>
        <w:rPr>
          <w:sz w:val="21"/>
        </w:rPr>
        <w:t>public</w:t>
      </w:r>
      <w:r>
        <w:rPr>
          <w:spacing w:val="9"/>
          <w:sz w:val="21"/>
        </w:rPr>
        <w:t> </w:t>
      </w:r>
      <w:r>
        <w:rPr>
          <w:sz w:val="21"/>
        </w:rPr>
        <w:t>order,</w:t>
      </w:r>
      <w:r>
        <w:rPr>
          <w:spacing w:val="9"/>
          <w:sz w:val="21"/>
        </w:rPr>
        <w:t> </w:t>
      </w:r>
      <w:r>
        <w:rPr>
          <w:sz w:val="21"/>
        </w:rPr>
        <w:t>or</w:t>
      </w:r>
      <w:r>
        <w:rPr>
          <w:spacing w:val="9"/>
          <w:sz w:val="21"/>
        </w:rPr>
        <w:t> </w:t>
      </w:r>
      <w:r>
        <w:rPr>
          <w:sz w:val="21"/>
        </w:rPr>
        <w:t>other</w:t>
      </w:r>
      <w:r>
        <w:rPr>
          <w:spacing w:val="9"/>
          <w:sz w:val="21"/>
        </w:rPr>
        <w:t> </w:t>
      </w:r>
      <w:r>
        <w:rPr>
          <w:sz w:val="21"/>
        </w:rPr>
        <w:t>facts</w:t>
      </w:r>
      <w:r>
        <w:rPr>
          <w:spacing w:val="9"/>
          <w:sz w:val="21"/>
        </w:rPr>
        <w:t> </w:t>
      </w:r>
      <w:r>
        <w:rPr>
          <w:sz w:val="21"/>
        </w:rPr>
        <w:t>of</w:t>
      </w:r>
      <w:r>
        <w:rPr>
          <w:spacing w:val="9"/>
          <w:sz w:val="21"/>
        </w:rPr>
        <w:t> </w:t>
      </w:r>
      <w:r>
        <w:rPr>
          <w:sz w:val="21"/>
        </w:rPr>
        <w:t>a</w:t>
      </w:r>
      <w:r>
        <w:rPr>
          <w:spacing w:val="9"/>
          <w:sz w:val="21"/>
        </w:rPr>
        <w:t> </w:t>
      </w:r>
      <w:r>
        <w:rPr>
          <w:sz w:val="21"/>
        </w:rPr>
        <w:t>similar</w:t>
      </w:r>
      <w:r>
        <w:rPr>
          <w:spacing w:val="9"/>
          <w:sz w:val="21"/>
        </w:rPr>
        <w:t> </w:t>
      </w:r>
      <w:r>
        <w:rPr>
          <w:spacing w:val="-2"/>
          <w:sz w:val="21"/>
        </w:rPr>
        <w:t>nature.</w:t>
      </w:r>
    </w:p>
    <w:p>
      <w:pPr>
        <w:pStyle w:val="BodyText"/>
        <w:spacing w:before="124"/>
        <w:rPr>
          <w:sz w:val="21"/>
        </w:rPr>
      </w:pPr>
    </w:p>
    <w:p>
      <w:pPr>
        <w:spacing w:before="0"/>
        <w:ind w:left="144" w:right="0" w:firstLine="0"/>
        <w:jc w:val="left"/>
        <w:rPr>
          <w:sz w:val="21"/>
        </w:rPr>
      </w:pPr>
      <w:r>
        <w:rPr>
          <w:i/>
          <w:sz w:val="21"/>
        </w:rPr>
        <w:t>Four</w:t>
      </w:r>
      <w:r>
        <w:rPr>
          <w:sz w:val="21"/>
        </w:rPr>
        <w:t>.</w:t>
      </w:r>
      <w:r>
        <w:rPr>
          <w:spacing w:val="4"/>
          <w:sz w:val="21"/>
        </w:rPr>
        <w:t> </w:t>
      </w:r>
      <w:r>
        <w:rPr>
          <w:sz w:val="21"/>
        </w:rPr>
        <w:t>The</w:t>
      </w:r>
      <w:r>
        <w:rPr>
          <w:spacing w:val="9"/>
          <w:sz w:val="21"/>
        </w:rPr>
        <w:t> </w:t>
      </w:r>
      <w:r>
        <w:rPr>
          <w:sz w:val="21"/>
        </w:rPr>
        <w:t>capital</w:t>
      </w:r>
      <w:r>
        <w:rPr>
          <w:spacing w:val="9"/>
          <w:sz w:val="21"/>
        </w:rPr>
        <w:t> </w:t>
      </w:r>
      <w:r>
        <w:rPr>
          <w:sz w:val="21"/>
        </w:rPr>
        <w:t>or</w:t>
      </w:r>
      <w:r>
        <w:rPr>
          <w:spacing w:val="9"/>
          <w:sz w:val="21"/>
        </w:rPr>
        <w:t> </w:t>
      </w:r>
      <w:r>
        <w:rPr>
          <w:sz w:val="21"/>
        </w:rPr>
        <w:t>minimum</w:t>
      </w:r>
      <w:r>
        <w:rPr>
          <w:spacing w:val="9"/>
          <w:sz w:val="21"/>
        </w:rPr>
        <w:t> </w:t>
      </w:r>
      <w:r>
        <w:rPr>
          <w:sz w:val="21"/>
        </w:rPr>
        <w:t>limit</w:t>
      </w:r>
      <w:r>
        <w:rPr>
          <w:spacing w:val="9"/>
          <w:sz w:val="21"/>
        </w:rPr>
        <w:t> </w:t>
      </w:r>
      <w:r>
        <w:rPr>
          <w:sz w:val="21"/>
        </w:rPr>
        <w:t>for</w:t>
      </w:r>
      <w:r>
        <w:rPr>
          <w:spacing w:val="9"/>
          <w:sz w:val="21"/>
        </w:rPr>
        <w:t> </w:t>
      </w:r>
      <w:r>
        <w:rPr>
          <w:sz w:val="21"/>
        </w:rPr>
        <w:t>the</w:t>
      </w:r>
      <w:r>
        <w:rPr>
          <w:spacing w:val="9"/>
          <w:sz w:val="21"/>
        </w:rPr>
        <w:t> </w:t>
      </w:r>
      <w:r>
        <w:rPr>
          <w:sz w:val="21"/>
        </w:rPr>
        <w:t>insurances</w:t>
      </w:r>
      <w:r>
        <w:rPr>
          <w:spacing w:val="9"/>
          <w:sz w:val="21"/>
        </w:rPr>
        <w:t> </w:t>
      </w:r>
      <w:r>
        <w:rPr>
          <w:sz w:val="21"/>
        </w:rPr>
        <w:t>referred</w:t>
      </w:r>
      <w:r>
        <w:rPr>
          <w:spacing w:val="9"/>
          <w:sz w:val="21"/>
        </w:rPr>
        <w:t> </w:t>
      </w:r>
      <w:r>
        <w:rPr>
          <w:sz w:val="21"/>
        </w:rPr>
        <w:t>to</w:t>
      </w:r>
      <w:r>
        <w:rPr>
          <w:spacing w:val="9"/>
          <w:sz w:val="21"/>
        </w:rPr>
        <w:t> </w:t>
      </w:r>
      <w:r>
        <w:rPr>
          <w:sz w:val="21"/>
        </w:rPr>
        <w:t>in</w:t>
      </w:r>
      <w:r>
        <w:rPr>
          <w:spacing w:val="9"/>
          <w:sz w:val="21"/>
        </w:rPr>
        <w:t> </w:t>
      </w:r>
      <w:r>
        <w:rPr>
          <w:sz w:val="21"/>
        </w:rPr>
        <w:t>paragraph</w:t>
      </w:r>
      <w:r>
        <w:rPr>
          <w:spacing w:val="9"/>
          <w:sz w:val="21"/>
        </w:rPr>
        <w:t> </w:t>
      </w:r>
      <w:r>
        <w:rPr>
          <w:sz w:val="21"/>
        </w:rPr>
        <w:t>2</w:t>
      </w:r>
      <w:r>
        <w:rPr>
          <w:spacing w:val="9"/>
          <w:sz w:val="21"/>
        </w:rPr>
        <w:t> </w:t>
      </w:r>
      <w:r>
        <w:rPr>
          <w:sz w:val="21"/>
        </w:rPr>
        <w:t>is</w:t>
      </w:r>
      <w:r>
        <w:rPr>
          <w:spacing w:val="9"/>
          <w:sz w:val="21"/>
        </w:rPr>
        <w:t> </w:t>
      </w:r>
      <w:r>
        <w:rPr>
          <w:sz w:val="21"/>
        </w:rPr>
        <w:t>as</w:t>
      </w:r>
      <w:r>
        <w:rPr>
          <w:spacing w:val="9"/>
          <w:sz w:val="21"/>
        </w:rPr>
        <w:t> </w:t>
      </w:r>
      <w:r>
        <w:rPr>
          <w:spacing w:val="-2"/>
          <w:sz w:val="21"/>
        </w:rPr>
        <w:t>follows:</w:t>
      </w:r>
    </w:p>
    <w:p>
      <w:pPr>
        <w:pStyle w:val="BodyText"/>
        <w:spacing w:before="138"/>
        <w:rPr>
          <w:sz w:val="21"/>
        </w:rPr>
      </w:pPr>
    </w:p>
    <w:p>
      <w:pPr>
        <w:pStyle w:val="ListParagraph"/>
        <w:numPr>
          <w:ilvl w:val="0"/>
          <w:numId w:val="35"/>
        </w:numPr>
        <w:tabs>
          <w:tab w:pos="887" w:val="left" w:leader="none"/>
        </w:tabs>
        <w:spacing w:line="240" w:lineRule="auto" w:before="0" w:after="0"/>
        <w:ind w:left="887" w:right="0" w:hanging="233"/>
        <w:jc w:val="left"/>
        <w:rPr>
          <w:sz w:val="21"/>
        </w:rPr>
      </w:pPr>
      <w:r>
        <w:rPr>
          <w:sz w:val="21"/>
        </w:rPr>
        <w:t>In</w:t>
      </w:r>
      <w:r>
        <w:rPr>
          <w:spacing w:val="10"/>
          <w:sz w:val="21"/>
        </w:rPr>
        <w:t> </w:t>
      </w:r>
      <w:r>
        <w:rPr>
          <w:sz w:val="21"/>
        </w:rPr>
        <w:t>accordance</w:t>
      </w:r>
      <w:r>
        <w:rPr>
          <w:spacing w:val="10"/>
          <w:sz w:val="21"/>
        </w:rPr>
        <w:t> </w:t>
      </w:r>
      <w:r>
        <w:rPr>
          <w:sz w:val="21"/>
        </w:rPr>
        <w:t>with</w:t>
      </w:r>
      <w:r>
        <w:rPr>
          <w:spacing w:val="10"/>
          <w:sz w:val="21"/>
        </w:rPr>
        <w:t> </w:t>
      </w:r>
      <w:r>
        <w:rPr>
          <w:sz w:val="21"/>
        </w:rPr>
        <w:t>the</w:t>
      </w:r>
      <w:r>
        <w:rPr>
          <w:spacing w:val="10"/>
          <w:sz w:val="21"/>
        </w:rPr>
        <w:t> </w:t>
      </w:r>
      <w:r>
        <w:rPr>
          <w:sz w:val="21"/>
        </w:rPr>
        <w:t>legislation</w:t>
      </w:r>
      <w:r>
        <w:rPr>
          <w:spacing w:val="10"/>
          <w:sz w:val="21"/>
        </w:rPr>
        <w:t> </w:t>
      </w:r>
      <w:r>
        <w:rPr>
          <w:sz w:val="21"/>
        </w:rPr>
        <w:t>in</w:t>
      </w:r>
      <w:r>
        <w:rPr>
          <w:spacing w:val="10"/>
          <w:sz w:val="21"/>
        </w:rPr>
        <w:t> </w:t>
      </w:r>
      <w:r>
        <w:rPr>
          <w:sz w:val="21"/>
        </w:rPr>
        <w:t>force</w:t>
      </w:r>
      <w:r>
        <w:rPr>
          <w:spacing w:val="10"/>
          <w:sz w:val="21"/>
        </w:rPr>
        <w:t> </w:t>
      </w:r>
      <w:r>
        <w:rPr>
          <w:sz w:val="21"/>
        </w:rPr>
        <w:t>for</w:t>
      </w:r>
      <w:r>
        <w:rPr>
          <w:spacing w:val="10"/>
          <w:sz w:val="21"/>
        </w:rPr>
        <w:t> </w:t>
      </w:r>
      <w:r>
        <w:rPr>
          <w:sz w:val="21"/>
        </w:rPr>
        <w:t>the</w:t>
      </w:r>
      <w:r>
        <w:rPr>
          <w:spacing w:val="10"/>
          <w:sz w:val="21"/>
        </w:rPr>
        <w:t> </w:t>
      </w:r>
      <w:r>
        <w:rPr>
          <w:sz w:val="21"/>
        </w:rPr>
        <w:t>insurance</w:t>
      </w:r>
      <w:r>
        <w:rPr>
          <w:spacing w:val="10"/>
          <w:sz w:val="21"/>
        </w:rPr>
        <w:t> </w:t>
      </w:r>
      <w:r>
        <w:rPr>
          <w:sz w:val="21"/>
        </w:rPr>
        <w:t>provided</w:t>
      </w:r>
      <w:r>
        <w:rPr>
          <w:spacing w:val="10"/>
          <w:sz w:val="21"/>
        </w:rPr>
        <w:t> </w:t>
      </w:r>
      <w:r>
        <w:rPr>
          <w:sz w:val="21"/>
        </w:rPr>
        <w:t>for</w:t>
      </w:r>
      <w:r>
        <w:rPr>
          <w:spacing w:val="10"/>
          <w:sz w:val="21"/>
        </w:rPr>
        <w:t> </w:t>
      </w:r>
      <w:r>
        <w:rPr>
          <w:sz w:val="21"/>
        </w:rPr>
        <w:t>in</w:t>
      </w:r>
      <w:r>
        <w:rPr>
          <w:spacing w:val="10"/>
          <w:sz w:val="21"/>
        </w:rPr>
        <w:t> </w:t>
      </w:r>
      <w:r>
        <w:rPr>
          <w:sz w:val="21"/>
        </w:rPr>
        <w:t>subparagraphs</w:t>
      </w:r>
      <w:r>
        <w:rPr>
          <w:spacing w:val="10"/>
          <w:sz w:val="21"/>
        </w:rPr>
        <w:t> </w:t>
      </w:r>
      <w:r>
        <w:rPr>
          <w:sz w:val="21"/>
        </w:rPr>
        <w:t>1)</w:t>
      </w:r>
      <w:r>
        <w:rPr>
          <w:spacing w:val="10"/>
          <w:sz w:val="21"/>
        </w:rPr>
        <w:t> </w:t>
      </w:r>
      <w:r>
        <w:rPr>
          <w:sz w:val="21"/>
        </w:rPr>
        <w:t>to</w:t>
      </w:r>
      <w:r>
        <w:rPr>
          <w:spacing w:val="10"/>
          <w:sz w:val="21"/>
        </w:rPr>
        <w:t> </w:t>
      </w:r>
      <w:r>
        <w:rPr>
          <w:spacing w:val="-5"/>
          <w:sz w:val="21"/>
        </w:rPr>
        <w:t>4);</w:t>
      </w:r>
    </w:p>
    <w:p>
      <w:pPr>
        <w:pStyle w:val="BodyText"/>
        <w:spacing w:before="146"/>
        <w:rPr>
          <w:sz w:val="21"/>
        </w:rPr>
      </w:pPr>
    </w:p>
    <w:p>
      <w:pPr>
        <w:pStyle w:val="ListParagraph"/>
        <w:numPr>
          <w:ilvl w:val="0"/>
          <w:numId w:val="35"/>
        </w:numPr>
        <w:tabs>
          <w:tab w:pos="906" w:val="left" w:leader="none"/>
          <w:tab w:pos="1038" w:val="left" w:leader="none"/>
        </w:tabs>
        <w:spacing w:line="213" w:lineRule="auto" w:before="0" w:after="0"/>
        <w:ind w:left="1038" w:right="118" w:hanging="384"/>
        <w:jc w:val="left"/>
        <w:rPr>
          <w:sz w:val="21"/>
        </w:rPr>
      </w:pPr>
      <w:r>
        <w:rPr>
          <w:sz w:val="21"/>
        </w:rPr>
        <w:t>The</w:t>
      </w:r>
      <w:r>
        <w:rPr>
          <w:spacing w:val="35"/>
          <w:sz w:val="21"/>
        </w:rPr>
        <w:t> </w:t>
      </w:r>
      <w:r>
        <w:rPr>
          <w:sz w:val="21"/>
        </w:rPr>
        <w:t>amount</w:t>
      </w:r>
      <w:r>
        <w:rPr>
          <w:spacing w:val="35"/>
          <w:sz w:val="21"/>
        </w:rPr>
        <w:t> </w:t>
      </w:r>
      <w:r>
        <w:rPr>
          <w:sz w:val="21"/>
        </w:rPr>
        <w:t>to</w:t>
      </w:r>
      <w:r>
        <w:rPr>
          <w:spacing w:val="35"/>
          <w:sz w:val="21"/>
        </w:rPr>
        <w:t> </w:t>
      </w:r>
      <w:r>
        <w:rPr>
          <w:sz w:val="21"/>
        </w:rPr>
        <w:t>be</w:t>
      </w:r>
      <w:r>
        <w:rPr>
          <w:spacing w:val="35"/>
          <w:sz w:val="21"/>
        </w:rPr>
        <w:t> </w:t>
      </w:r>
      <w:r>
        <w:rPr>
          <w:sz w:val="21"/>
        </w:rPr>
        <w:t>set</w:t>
      </w:r>
      <w:r>
        <w:rPr>
          <w:spacing w:val="35"/>
          <w:sz w:val="21"/>
        </w:rPr>
        <w:t> </w:t>
      </w:r>
      <w:r>
        <w:rPr>
          <w:sz w:val="21"/>
        </w:rPr>
        <w:t>by</w:t>
      </w:r>
      <w:r>
        <w:rPr>
          <w:spacing w:val="35"/>
          <w:sz w:val="21"/>
        </w:rPr>
        <w:t> </w:t>
      </w:r>
      <w:r>
        <w:rPr>
          <w:sz w:val="21"/>
        </w:rPr>
        <w:t>the</w:t>
      </w:r>
      <w:r>
        <w:rPr>
          <w:spacing w:val="35"/>
          <w:sz w:val="21"/>
        </w:rPr>
        <w:t> </w:t>
      </w:r>
      <w:r>
        <w:rPr>
          <w:sz w:val="21"/>
        </w:rPr>
        <w:t>Government</w:t>
      </w:r>
      <w:r>
        <w:rPr>
          <w:spacing w:val="35"/>
          <w:sz w:val="21"/>
        </w:rPr>
        <w:t> </w:t>
      </w:r>
      <w:r>
        <w:rPr>
          <w:sz w:val="21"/>
        </w:rPr>
        <w:t>for</w:t>
      </w:r>
      <w:r>
        <w:rPr>
          <w:spacing w:val="35"/>
          <w:sz w:val="21"/>
        </w:rPr>
        <w:t> </w:t>
      </w:r>
      <w:r>
        <w:rPr>
          <w:sz w:val="21"/>
        </w:rPr>
        <w:t>the</w:t>
      </w:r>
      <w:r>
        <w:rPr>
          <w:spacing w:val="35"/>
          <w:sz w:val="21"/>
        </w:rPr>
        <w:t> </w:t>
      </w:r>
      <w:r>
        <w:rPr>
          <w:sz w:val="21"/>
        </w:rPr>
        <w:t>insurance</w:t>
      </w:r>
      <w:r>
        <w:rPr>
          <w:spacing w:val="35"/>
          <w:sz w:val="21"/>
        </w:rPr>
        <w:t> </w:t>
      </w:r>
      <w:r>
        <w:rPr>
          <w:sz w:val="21"/>
        </w:rPr>
        <w:t>set</w:t>
      </w:r>
      <w:r>
        <w:rPr>
          <w:spacing w:val="35"/>
          <w:sz w:val="21"/>
        </w:rPr>
        <w:t> </w:t>
      </w:r>
      <w:r>
        <w:rPr>
          <w:sz w:val="21"/>
        </w:rPr>
        <w:t>out</w:t>
      </w:r>
      <w:r>
        <w:rPr>
          <w:spacing w:val="35"/>
          <w:sz w:val="21"/>
        </w:rPr>
        <w:t> </w:t>
      </w:r>
      <w:r>
        <w:rPr>
          <w:sz w:val="21"/>
        </w:rPr>
        <w:t>in</w:t>
      </w:r>
      <w:r>
        <w:rPr>
          <w:spacing w:val="35"/>
          <w:sz w:val="21"/>
        </w:rPr>
        <w:t> </w:t>
      </w:r>
      <w:r>
        <w:rPr>
          <w:sz w:val="21"/>
        </w:rPr>
        <w:t>subparagraph</w:t>
      </w:r>
      <w:r>
        <w:rPr>
          <w:spacing w:val="35"/>
          <w:sz w:val="21"/>
        </w:rPr>
        <w:t> </w:t>
      </w:r>
      <w:r>
        <w:rPr>
          <w:sz w:val="21"/>
        </w:rPr>
        <w:t>5),</w:t>
      </w:r>
      <w:r>
        <w:rPr>
          <w:spacing w:val="35"/>
          <w:sz w:val="21"/>
        </w:rPr>
        <w:t> </w:t>
      </w:r>
      <w:r>
        <w:rPr>
          <w:sz w:val="21"/>
        </w:rPr>
        <w:t>taking</w:t>
      </w:r>
      <w:r>
        <w:rPr>
          <w:spacing w:val="35"/>
          <w:sz w:val="21"/>
        </w:rPr>
        <w:t> </w:t>
      </w:r>
      <w:r>
        <w:rPr>
          <w:sz w:val="21"/>
        </w:rPr>
        <w:t>into</w:t>
      </w:r>
      <w:r>
        <w:rPr>
          <w:spacing w:val="35"/>
          <w:sz w:val="21"/>
        </w:rPr>
        <w:t> </w:t>
      </w:r>
      <w:r>
        <w:rPr>
          <w:sz w:val="21"/>
        </w:rPr>
        <w:t>account,</w:t>
      </w:r>
      <w:r>
        <w:rPr>
          <w:spacing w:val="35"/>
          <w:sz w:val="21"/>
        </w:rPr>
        <w:t> </w:t>
      </w:r>
      <w:r>
        <w:rPr>
          <w:sz w:val="21"/>
        </w:rPr>
        <w:t>among</w:t>
      </w:r>
      <w:r>
        <w:rPr>
          <w:spacing w:val="35"/>
          <w:sz w:val="21"/>
        </w:rPr>
        <w:t> </w:t>
      </w:r>
      <w:r>
        <w:rPr>
          <w:sz w:val="21"/>
        </w:rPr>
        <w:t>other parameters,</w:t>
      </w:r>
      <w:r>
        <w:rPr>
          <w:spacing w:val="24"/>
          <w:sz w:val="21"/>
        </w:rPr>
        <w:t> </w:t>
      </w:r>
      <w:r>
        <w:rPr>
          <w:sz w:val="21"/>
        </w:rPr>
        <w:t>the</w:t>
      </w:r>
      <w:r>
        <w:rPr>
          <w:spacing w:val="24"/>
          <w:sz w:val="21"/>
        </w:rPr>
        <w:t> </w:t>
      </w:r>
      <w:r>
        <w:rPr>
          <w:sz w:val="21"/>
        </w:rPr>
        <w:t>business</w:t>
      </w:r>
      <w:r>
        <w:rPr>
          <w:spacing w:val="24"/>
          <w:sz w:val="21"/>
        </w:rPr>
        <w:t> </w:t>
      </w:r>
      <w:r>
        <w:rPr>
          <w:sz w:val="21"/>
        </w:rPr>
        <w:t>volume</w:t>
      </w:r>
      <w:r>
        <w:rPr>
          <w:spacing w:val="24"/>
          <w:sz w:val="21"/>
        </w:rPr>
        <w:t> </w:t>
      </w:r>
      <w:r>
        <w:rPr>
          <w:sz w:val="21"/>
        </w:rPr>
        <w:t>of</w:t>
      </w:r>
      <w:r>
        <w:rPr>
          <w:spacing w:val="24"/>
          <w:sz w:val="21"/>
        </w:rPr>
        <w:t> </w:t>
      </w:r>
      <w:r>
        <w:rPr>
          <w:sz w:val="21"/>
        </w:rPr>
        <w:t>the</w:t>
      </w:r>
      <w:r>
        <w:rPr>
          <w:spacing w:val="24"/>
          <w:sz w:val="21"/>
        </w:rPr>
        <w:t> </w:t>
      </w:r>
      <w:r>
        <w:rPr>
          <w:sz w:val="21"/>
        </w:rPr>
        <w:t>activities</w:t>
      </w:r>
      <w:r>
        <w:rPr>
          <w:spacing w:val="24"/>
          <w:sz w:val="21"/>
        </w:rPr>
        <w:t> </w:t>
      </w:r>
      <w:r>
        <w:rPr>
          <w:sz w:val="21"/>
        </w:rPr>
        <w:t>included</w:t>
      </w:r>
      <w:r>
        <w:rPr>
          <w:spacing w:val="24"/>
          <w:sz w:val="21"/>
        </w:rPr>
        <w:t> </w:t>
      </w:r>
      <w:r>
        <w:rPr>
          <w:sz w:val="21"/>
        </w:rPr>
        <w:t>in</w:t>
      </w:r>
      <w:r>
        <w:rPr>
          <w:spacing w:val="24"/>
          <w:sz w:val="21"/>
        </w:rPr>
        <w:t> </w:t>
      </w:r>
      <w:r>
        <w:rPr>
          <w:sz w:val="21"/>
        </w:rPr>
        <w:t>the</w:t>
      </w:r>
      <w:r>
        <w:rPr>
          <w:spacing w:val="24"/>
          <w:sz w:val="21"/>
        </w:rPr>
        <w:t> </w:t>
      </w:r>
      <w:r>
        <w:rPr>
          <w:sz w:val="21"/>
        </w:rPr>
        <w:t>concession</w:t>
      </w:r>
      <w:r>
        <w:rPr>
          <w:spacing w:val="24"/>
          <w:sz w:val="21"/>
        </w:rPr>
        <w:t> </w:t>
      </w:r>
      <w:r>
        <w:rPr>
          <w:sz w:val="21"/>
        </w:rPr>
        <w:t>and</w:t>
      </w:r>
      <w:r>
        <w:rPr>
          <w:spacing w:val="24"/>
          <w:sz w:val="21"/>
        </w:rPr>
        <w:t> </w:t>
      </w:r>
      <w:r>
        <w:rPr>
          <w:sz w:val="21"/>
        </w:rPr>
        <w:t>the</w:t>
      </w:r>
      <w:r>
        <w:rPr>
          <w:spacing w:val="24"/>
          <w:sz w:val="21"/>
        </w:rPr>
        <w:t> </w:t>
      </w:r>
      <w:r>
        <w:rPr>
          <w:sz w:val="21"/>
        </w:rPr>
        <w:t>accident</w:t>
      </w:r>
      <w:r>
        <w:rPr>
          <w:spacing w:val="24"/>
          <w:sz w:val="21"/>
        </w:rPr>
        <w:t> </w:t>
      </w:r>
      <w:r>
        <w:rPr>
          <w:sz w:val="21"/>
        </w:rPr>
        <w:t>index</w:t>
      </w:r>
      <w:r>
        <w:rPr>
          <w:spacing w:val="24"/>
          <w:sz w:val="21"/>
        </w:rPr>
        <w:t> </w:t>
      </w:r>
      <w:r>
        <w:rPr>
          <w:sz w:val="21"/>
        </w:rPr>
        <w:t>for</w:t>
      </w:r>
      <w:r>
        <w:rPr>
          <w:spacing w:val="24"/>
          <w:sz w:val="21"/>
        </w:rPr>
        <w:t> </w:t>
      </w:r>
      <w:r>
        <w:rPr>
          <w:sz w:val="21"/>
        </w:rPr>
        <w:t>the</w:t>
      </w:r>
      <w:r>
        <w:rPr>
          <w:spacing w:val="24"/>
          <w:sz w:val="21"/>
        </w:rPr>
        <w:t> </w:t>
      </w:r>
      <w:r>
        <w:rPr>
          <w:sz w:val="21"/>
        </w:rPr>
        <w:t>previous</w:t>
      </w:r>
      <w:r>
        <w:rPr>
          <w:spacing w:val="24"/>
          <w:sz w:val="21"/>
        </w:rPr>
        <w:t> </w:t>
      </w:r>
      <w:r>
        <w:rPr>
          <w:sz w:val="21"/>
        </w:rPr>
        <w:t>year;</w:t>
      </w:r>
    </w:p>
    <w:p>
      <w:pPr>
        <w:pStyle w:val="BodyText"/>
        <w:spacing w:before="152"/>
        <w:rPr>
          <w:sz w:val="21"/>
        </w:rPr>
      </w:pPr>
    </w:p>
    <w:p>
      <w:pPr>
        <w:pStyle w:val="ListParagraph"/>
        <w:numPr>
          <w:ilvl w:val="0"/>
          <w:numId w:val="35"/>
        </w:numPr>
        <w:tabs>
          <w:tab w:pos="896" w:val="left" w:leader="none"/>
          <w:tab w:pos="1038" w:val="left" w:leader="none"/>
        </w:tabs>
        <w:spacing w:line="213" w:lineRule="auto" w:before="1" w:after="0"/>
        <w:ind w:left="1038" w:right="118" w:hanging="384"/>
        <w:jc w:val="left"/>
        <w:rPr>
          <w:sz w:val="21"/>
        </w:rPr>
      </w:pPr>
      <w:r>
        <w:rPr>
          <w:sz w:val="21"/>
        </w:rPr>
        <w:t>Equal</w:t>
      </w:r>
      <w:r>
        <w:rPr>
          <w:spacing w:val="21"/>
          <w:sz w:val="21"/>
        </w:rPr>
        <w:t> </w:t>
      </w:r>
      <w:r>
        <w:rPr>
          <w:sz w:val="21"/>
        </w:rPr>
        <w:t>to</w:t>
      </w:r>
      <w:r>
        <w:rPr>
          <w:spacing w:val="21"/>
          <w:sz w:val="21"/>
        </w:rPr>
        <w:t> </w:t>
      </w:r>
      <w:r>
        <w:rPr>
          <w:sz w:val="21"/>
        </w:rPr>
        <w:t>the</w:t>
      </w:r>
      <w:r>
        <w:rPr>
          <w:spacing w:val="21"/>
          <w:sz w:val="21"/>
        </w:rPr>
        <w:t> </w:t>
      </w:r>
      <w:r>
        <w:rPr>
          <w:sz w:val="21"/>
        </w:rPr>
        <w:t>net</w:t>
      </w:r>
      <w:r>
        <w:rPr>
          <w:spacing w:val="21"/>
          <w:sz w:val="21"/>
        </w:rPr>
        <w:t> </w:t>
      </w:r>
      <w:r>
        <w:rPr>
          <w:sz w:val="21"/>
        </w:rPr>
        <w:t>value</w:t>
      </w:r>
      <w:r>
        <w:rPr>
          <w:spacing w:val="21"/>
          <w:sz w:val="21"/>
        </w:rPr>
        <w:t> </w:t>
      </w:r>
      <w:r>
        <w:rPr>
          <w:sz w:val="21"/>
        </w:rPr>
        <w:t>of</w:t>
      </w:r>
      <w:r>
        <w:rPr>
          <w:spacing w:val="21"/>
          <w:sz w:val="21"/>
        </w:rPr>
        <w:t> </w:t>
      </w:r>
      <w:r>
        <w:rPr>
          <w:sz w:val="21"/>
        </w:rPr>
        <w:t>the</w:t>
      </w:r>
      <w:r>
        <w:rPr>
          <w:spacing w:val="21"/>
          <w:sz w:val="21"/>
        </w:rPr>
        <w:t> </w:t>
      </w:r>
      <w:r>
        <w:rPr>
          <w:sz w:val="21"/>
        </w:rPr>
        <w:t>goods</w:t>
      </w:r>
      <w:r>
        <w:rPr>
          <w:spacing w:val="21"/>
          <w:sz w:val="21"/>
        </w:rPr>
        <w:t> </w:t>
      </w:r>
      <w:r>
        <w:rPr>
          <w:sz w:val="21"/>
        </w:rPr>
        <w:t>referred</w:t>
      </w:r>
      <w:r>
        <w:rPr>
          <w:spacing w:val="21"/>
          <w:sz w:val="21"/>
        </w:rPr>
        <w:t> </w:t>
      </w:r>
      <w:r>
        <w:rPr>
          <w:sz w:val="21"/>
        </w:rPr>
        <w:t>to</w:t>
      </w:r>
      <w:r>
        <w:rPr>
          <w:spacing w:val="21"/>
          <w:sz w:val="21"/>
        </w:rPr>
        <w:t> </w:t>
      </w:r>
      <w:r>
        <w:rPr>
          <w:sz w:val="21"/>
        </w:rPr>
        <w:t>for</w:t>
      </w:r>
      <w:r>
        <w:rPr>
          <w:spacing w:val="21"/>
          <w:sz w:val="21"/>
        </w:rPr>
        <w:t> </w:t>
      </w:r>
      <w:r>
        <w:rPr>
          <w:sz w:val="21"/>
        </w:rPr>
        <w:t>the</w:t>
      </w:r>
      <w:r>
        <w:rPr>
          <w:spacing w:val="21"/>
          <w:sz w:val="21"/>
        </w:rPr>
        <w:t> </w:t>
      </w:r>
      <w:r>
        <w:rPr>
          <w:sz w:val="21"/>
        </w:rPr>
        <w:t>insurance</w:t>
      </w:r>
      <w:r>
        <w:rPr>
          <w:spacing w:val="21"/>
          <w:sz w:val="21"/>
        </w:rPr>
        <w:t> </w:t>
      </w:r>
      <w:r>
        <w:rPr>
          <w:sz w:val="21"/>
        </w:rPr>
        <w:t>mentioned</w:t>
      </w:r>
      <w:r>
        <w:rPr>
          <w:spacing w:val="21"/>
          <w:sz w:val="21"/>
        </w:rPr>
        <w:t> </w:t>
      </w:r>
      <w:r>
        <w:rPr>
          <w:sz w:val="21"/>
        </w:rPr>
        <w:t>in</w:t>
      </w:r>
      <w:r>
        <w:rPr>
          <w:spacing w:val="21"/>
          <w:sz w:val="21"/>
        </w:rPr>
        <w:t> </w:t>
      </w:r>
      <w:r>
        <w:rPr>
          <w:sz w:val="21"/>
        </w:rPr>
        <w:t>paragraph</w:t>
      </w:r>
      <w:r>
        <w:rPr>
          <w:spacing w:val="21"/>
          <w:sz w:val="21"/>
        </w:rPr>
        <w:t> </w:t>
      </w:r>
      <w:r>
        <w:rPr>
          <w:sz w:val="21"/>
        </w:rPr>
        <w:t>6),</w:t>
      </w:r>
      <w:r>
        <w:rPr>
          <w:spacing w:val="21"/>
          <w:sz w:val="21"/>
        </w:rPr>
        <w:t> </w:t>
      </w:r>
      <w:r>
        <w:rPr>
          <w:sz w:val="21"/>
        </w:rPr>
        <w:t>being</w:t>
      </w:r>
      <w:r>
        <w:rPr>
          <w:spacing w:val="21"/>
          <w:sz w:val="21"/>
        </w:rPr>
        <w:t> </w:t>
      </w:r>
      <w:r>
        <w:rPr>
          <w:sz w:val="21"/>
        </w:rPr>
        <w:t>the</w:t>
      </w:r>
      <w:r>
        <w:rPr>
          <w:spacing w:val="21"/>
          <w:sz w:val="21"/>
        </w:rPr>
        <w:t> </w:t>
      </w:r>
      <w:r>
        <w:rPr>
          <w:sz w:val="21"/>
        </w:rPr>
        <w:t>net</w:t>
      </w:r>
      <w:r>
        <w:rPr>
          <w:spacing w:val="21"/>
          <w:sz w:val="21"/>
        </w:rPr>
        <w:t> </w:t>
      </w:r>
      <w:r>
        <w:rPr>
          <w:sz w:val="21"/>
        </w:rPr>
        <w:t>value</w:t>
      </w:r>
      <w:r>
        <w:rPr>
          <w:spacing w:val="21"/>
          <w:sz w:val="21"/>
        </w:rPr>
        <w:t> </w:t>
      </w:r>
      <w:r>
        <w:rPr>
          <w:sz w:val="21"/>
        </w:rPr>
        <w:t>understood as the gross value minus accumulated depreciation;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8"/>
        <w:rPr>
          <w:sz w:val="20"/>
        </w:rPr>
      </w:pPr>
      <w:r>
        <w:rPr/>
        <mc:AlternateContent>
          <mc:Choice Requires="wps">
            <w:drawing>
              <wp:anchor distT="0" distB="0" distL="0" distR="0" allowOverlap="1" layoutInCell="1" locked="0" behindDoc="1" simplePos="0" relativeHeight="487776256">
                <wp:simplePos x="0" y="0"/>
                <wp:positionH relativeFrom="page">
                  <wp:posOffset>231457</wp:posOffset>
                </wp:positionH>
                <wp:positionV relativeFrom="paragraph">
                  <wp:posOffset>204457</wp:posOffset>
                </wp:positionV>
                <wp:extent cx="7312659" cy="17145"/>
                <wp:effectExtent l="0" t="0" r="0" b="0"/>
                <wp:wrapTopAndBottom/>
                <wp:docPr id="888" name="Group 888"/>
                <wp:cNvGraphicFramePr>
                  <a:graphicFrameLocks/>
                </wp:cNvGraphicFramePr>
                <a:graphic>
                  <a:graphicData uri="http://schemas.microsoft.com/office/word/2010/wordprocessingGroup">
                    <wpg:wgp>
                      <wpg:cNvPr id="888" name="Group 888"/>
                      <wpg:cNvGrpSpPr/>
                      <wpg:grpSpPr>
                        <a:xfrm>
                          <a:off x="0" y="0"/>
                          <a:ext cx="7312659" cy="17145"/>
                          <a:chExt cx="7312659" cy="17145"/>
                        </a:xfrm>
                      </wpg:grpSpPr>
                      <wps:wsp>
                        <wps:cNvPr id="889" name="Graphic 88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90" name="Graphic 890"/>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91" name="Graphic 89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099024pt;width:575.8pt;height:1.35pt;mso-position-horizontal-relative:page;mso-position-vertical-relative:paragraph;z-index:-15540224;mso-wrap-distance-left:0;mso-wrap-distance-right:0" id="docshapegroup886" coordorigin="364,322" coordsize="11516,27">
                <v:rect style="position:absolute;left:364;top:321;width:11516;height:14" id="docshape887" filled="true" fillcolor="#999999" stroked="false">
                  <v:fill type="solid"/>
                </v:rect>
                <v:shape style="position:absolute;left:364;top:321;width:11516;height:27" id="docshape888" coordorigin="364,322" coordsize="11516,27" path="m11880,322l11866,335,364,335,364,349,11866,349,11880,349,11880,335,11880,322xe" filled="true" fillcolor="#ededed" stroked="false">
                  <v:path arrowok="t"/>
                  <v:fill type="solid"/>
                </v:shape>
                <v:shape style="position:absolute;left:364;top:321;width:14;height:27" id="docshape889" coordorigin="364,322" coordsize="14,27" path="m364,349l364,322,378,322,378,335,364,349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pStyle w:val="ListParagraph"/>
        <w:numPr>
          <w:ilvl w:val="0"/>
          <w:numId w:val="35"/>
        </w:numPr>
        <w:tabs>
          <w:tab w:pos="883" w:val="left" w:leader="none"/>
        </w:tabs>
        <w:spacing w:line="240" w:lineRule="auto" w:before="75" w:after="0"/>
        <w:ind w:left="883" w:right="0" w:hanging="229"/>
        <w:jc w:val="left"/>
        <w:rPr>
          <w:sz w:val="21"/>
        </w:rPr>
      </w:pPr>
      <w:r>
        <w:rPr>
          <w:sz w:val="21"/>
        </w:rPr>
        <w:t>The</w:t>
      </w:r>
      <w:r>
        <w:rPr>
          <w:spacing w:val="9"/>
          <w:sz w:val="21"/>
        </w:rPr>
        <w:t> </w:t>
      </w:r>
      <w:r>
        <w:rPr>
          <w:sz w:val="21"/>
        </w:rPr>
        <w:t>value</w:t>
      </w:r>
      <w:r>
        <w:rPr>
          <w:spacing w:val="10"/>
          <w:sz w:val="21"/>
        </w:rPr>
        <w:t> </w:t>
      </w:r>
      <w:r>
        <w:rPr>
          <w:sz w:val="21"/>
        </w:rPr>
        <w:t>of</w:t>
      </w:r>
      <w:r>
        <w:rPr>
          <w:spacing w:val="10"/>
          <w:sz w:val="21"/>
        </w:rPr>
        <w:t> </w:t>
      </w:r>
      <w:r>
        <w:rPr>
          <w:sz w:val="21"/>
        </w:rPr>
        <w:t>the</w:t>
      </w:r>
      <w:r>
        <w:rPr>
          <w:spacing w:val="10"/>
          <w:sz w:val="21"/>
        </w:rPr>
        <w:t> </w:t>
      </w:r>
      <w:r>
        <w:rPr>
          <w:sz w:val="21"/>
        </w:rPr>
        <w:t>construction</w:t>
      </w:r>
      <w:r>
        <w:rPr>
          <w:spacing w:val="10"/>
          <w:sz w:val="21"/>
        </w:rPr>
        <w:t> </w:t>
      </w:r>
      <w:r>
        <w:rPr>
          <w:sz w:val="21"/>
        </w:rPr>
        <w:t>work</w:t>
      </w:r>
      <w:r>
        <w:rPr>
          <w:spacing w:val="10"/>
          <w:sz w:val="21"/>
        </w:rPr>
        <w:t> </w:t>
      </w:r>
      <w:r>
        <w:rPr>
          <w:sz w:val="21"/>
        </w:rPr>
        <w:t>for</w:t>
      </w:r>
      <w:r>
        <w:rPr>
          <w:spacing w:val="10"/>
          <w:sz w:val="21"/>
        </w:rPr>
        <w:t> </w:t>
      </w:r>
      <w:r>
        <w:rPr>
          <w:sz w:val="21"/>
        </w:rPr>
        <w:t>the</w:t>
      </w:r>
      <w:r>
        <w:rPr>
          <w:spacing w:val="10"/>
          <w:sz w:val="21"/>
        </w:rPr>
        <w:t> </w:t>
      </w:r>
      <w:r>
        <w:rPr>
          <w:sz w:val="21"/>
        </w:rPr>
        <w:t>insurance</w:t>
      </w:r>
      <w:r>
        <w:rPr>
          <w:spacing w:val="10"/>
          <w:sz w:val="21"/>
        </w:rPr>
        <w:t> </w:t>
      </w:r>
      <w:r>
        <w:rPr>
          <w:sz w:val="21"/>
        </w:rPr>
        <w:t>set</w:t>
      </w:r>
      <w:r>
        <w:rPr>
          <w:spacing w:val="10"/>
          <w:sz w:val="21"/>
        </w:rPr>
        <w:t> </w:t>
      </w:r>
      <w:r>
        <w:rPr>
          <w:sz w:val="21"/>
        </w:rPr>
        <w:t>out</w:t>
      </w:r>
      <w:r>
        <w:rPr>
          <w:spacing w:val="9"/>
          <w:sz w:val="21"/>
        </w:rPr>
        <w:t> </w:t>
      </w:r>
      <w:r>
        <w:rPr>
          <w:sz w:val="21"/>
        </w:rPr>
        <w:t>in</w:t>
      </w:r>
      <w:r>
        <w:rPr>
          <w:spacing w:val="10"/>
          <w:sz w:val="21"/>
        </w:rPr>
        <w:t> </w:t>
      </w:r>
      <w:r>
        <w:rPr>
          <w:sz w:val="21"/>
        </w:rPr>
        <w:t>subparagraph</w:t>
      </w:r>
      <w:r>
        <w:rPr>
          <w:spacing w:val="10"/>
          <w:sz w:val="21"/>
        </w:rPr>
        <w:t> </w:t>
      </w:r>
      <w:r>
        <w:rPr>
          <w:spacing w:val="-5"/>
          <w:sz w:val="21"/>
        </w:rPr>
        <w:t>7).</w:t>
      </w:r>
    </w:p>
    <w:p>
      <w:pPr>
        <w:pStyle w:val="BodyText"/>
        <w:spacing w:before="146"/>
        <w:rPr>
          <w:sz w:val="21"/>
        </w:rPr>
      </w:pPr>
    </w:p>
    <w:p>
      <w:pPr>
        <w:spacing w:line="213" w:lineRule="auto" w:before="0"/>
        <w:ind w:left="144" w:right="118" w:firstLine="0"/>
        <w:jc w:val="both"/>
        <w:rPr>
          <w:sz w:val="21"/>
        </w:rPr>
      </w:pPr>
      <w:r>
        <w:rPr>
          <w:i/>
          <w:sz w:val="21"/>
        </w:rPr>
        <w:t>Five</w:t>
      </w:r>
      <w:r>
        <w:rPr>
          <w:sz w:val="21"/>
        </w:rPr>
        <w:t>. The Concessionaire undertakes to ensure that the entities with whom it enters into a contractual agreement shall cover </w:t>
      </w:r>
      <w:r>
        <w:rPr>
          <w:sz w:val="21"/>
        </w:rPr>
        <w:t>labor accidents and occupational diseases.</w:t>
      </w:r>
    </w:p>
    <w:p>
      <w:pPr>
        <w:pStyle w:val="BodyText"/>
        <w:spacing w:before="166"/>
        <w:rPr>
          <w:sz w:val="21"/>
        </w:rPr>
      </w:pPr>
    </w:p>
    <w:p>
      <w:pPr>
        <w:spacing w:line="213" w:lineRule="auto" w:before="0"/>
        <w:ind w:left="144" w:right="118" w:firstLine="0"/>
        <w:jc w:val="both"/>
        <w:rPr>
          <w:sz w:val="21"/>
        </w:rPr>
      </w:pPr>
      <w:r>
        <w:rPr>
          <w:i/>
          <w:sz w:val="21"/>
        </w:rPr>
        <w:t>Six</w:t>
      </w:r>
      <w:r>
        <w:rPr>
          <w:sz w:val="21"/>
        </w:rPr>
        <w:t>. The</w:t>
      </w:r>
      <w:r>
        <w:rPr>
          <w:spacing w:val="24"/>
          <w:sz w:val="21"/>
        </w:rPr>
        <w:t> </w:t>
      </w:r>
      <w:r>
        <w:rPr>
          <w:sz w:val="21"/>
        </w:rPr>
        <w:t>Concessionaire</w:t>
      </w:r>
      <w:r>
        <w:rPr>
          <w:spacing w:val="24"/>
          <w:sz w:val="21"/>
        </w:rPr>
        <w:t> </w:t>
      </w:r>
      <w:r>
        <w:rPr>
          <w:sz w:val="21"/>
        </w:rPr>
        <w:t>must</w:t>
      </w:r>
      <w:r>
        <w:rPr>
          <w:spacing w:val="24"/>
          <w:sz w:val="21"/>
        </w:rPr>
        <w:t> </w:t>
      </w:r>
      <w:r>
        <w:rPr>
          <w:sz w:val="21"/>
        </w:rPr>
        <w:t>prove</w:t>
      </w:r>
      <w:r>
        <w:rPr>
          <w:spacing w:val="24"/>
          <w:sz w:val="21"/>
        </w:rPr>
        <w:t> </w:t>
      </w:r>
      <w:r>
        <w:rPr>
          <w:sz w:val="21"/>
        </w:rPr>
        <w:t>to</w:t>
      </w:r>
      <w:r>
        <w:rPr>
          <w:spacing w:val="24"/>
          <w:sz w:val="21"/>
        </w:rPr>
        <w:t> </w:t>
      </w:r>
      <w:r>
        <w:rPr>
          <w:sz w:val="21"/>
        </w:rPr>
        <w:t>the</w:t>
      </w:r>
      <w:r>
        <w:rPr>
          <w:spacing w:val="24"/>
          <w:sz w:val="21"/>
        </w:rPr>
        <w:t> </w:t>
      </w:r>
      <w:r>
        <w:rPr>
          <w:sz w:val="21"/>
        </w:rPr>
        <w:t>Government</w:t>
      </w:r>
      <w:r>
        <w:rPr>
          <w:spacing w:val="24"/>
          <w:sz w:val="21"/>
        </w:rPr>
        <w:t> </w:t>
      </w:r>
      <w:r>
        <w:rPr>
          <w:sz w:val="21"/>
        </w:rPr>
        <w:t>that</w:t>
      </w:r>
      <w:r>
        <w:rPr>
          <w:spacing w:val="24"/>
          <w:sz w:val="21"/>
        </w:rPr>
        <w:t> </w:t>
      </w:r>
      <w:r>
        <w:rPr>
          <w:sz w:val="21"/>
        </w:rPr>
        <w:t>the</w:t>
      </w:r>
      <w:r>
        <w:rPr>
          <w:spacing w:val="24"/>
          <w:sz w:val="21"/>
        </w:rPr>
        <w:t> </w:t>
      </w:r>
      <w:r>
        <w:rPr>
          <w:sz w:val="21"/>
        </w:rPr>
        <w:t>insurance</w:t>
      </w:r>
      <w:r>
        <w:rPr>
          <w:spacing w:val="24"/>
          <w:sz w:val="21"/>
        </w:rPr>
        <w:t> </w:t>
      </w:r>
      <w:r>
        <w:rPr>
          <w:sz w:val="21"/>
        </w:rPr>
        <w:t>policies</w:t>
      </w:r>
      <w:r>
        <w:rPr>
          <w:spacing w:val="24"/>
          <w:sz w:val="21"/>
        </w:rPr>
        <w:t> </w:t>
      </w:r>
      <w:r>
        <w:rPr>
          <w:sz w:val="21"/>
        </w:rPr>
        <w:t>exist</w:t>
      </w:r>
      <w:r>
        <w:rPr>
          <w:spacing w:val="24"/>
          <w:sz w:val="21"/>
        </w:rPr>
        <w:t> </w:t>
      </w:r>
      <w:r>
        <w:rPr>
          <w:sz w:val="21"/>
        </w:rPr>
        <w:t>and</w:t>
      </w:r>
      <w:r>
        <w:rPr>
          <w:spacing w:val="24"/>
          <w:sz w:val="21"/>
        </w:rPr>
        <w:t> </w:t>
      </w:r>
      <w:r>
        <w:rPr>
          <w:sz w:val="21"/>
        </w:rPr>
        <w:t>are</w:t>
      </w:r>
      <w:r>
        <w:rPr>
          <w:spacing w:val="24"/>
          <w:sz w:val="21"/>
        </w:rPr>
        <w:t> </w:t>
      </w:r>
      <w:r>
        <w:rPr>
          <w:sz w:val="21"/>
        </w:rPr>
        <w:t>valid</w:t>
      </w:r>
      <w:r>
        <w:rPr>
          <w:spacing w:val="24"/>
          <w:sz w:val="21"/>
        </w:rPr>
        <w:t> </w:t>
      </w:r>
      <w:r>
        <w:rPr>
          <w:sz w:val="21"/>
        </w:rPr>
        <w:t>by</w:t>
      </w:r>
      <w:r>
        <w:rPr>
          <w:spacing w:val="24"/>
          <w:sz w:val="21"/>
        </w:rPr>
        <w:t> </w:t>
      </w:r>
      <w:r>
        <w:rPr>
          <w:sz w:val="21"/>
        </w:rPr>
        <w:t>sending</w:t>
      </w:r>
      <w:r>
        <w:rPr>
          <w:spacing w:val="24"/>
          <w:sz w:val="21"/>
        </w:rPr>
        <w:t> </w:t>
      </w:r>
      <w:r>
        <w:rPr>
          <w:sz w:val="21"/>
        </w:rPr>
        <w:t>the</w:t>
      </w:r>
      <w:r>
        <w:rPr>
          <w:spacing w:val="24"/>
          <w:sz w:val="21"/>
        </w:rPr>
        <w:t> </w:t>
      </w:r>
      <w:r>
        <w:rPr>
          <w:sz w:val="21"/>
        </w:rPr>
        <w:t>Government</w:t>
      </w:r>
      <w:r>
        <w:rPr>
          <w:spacing w:val="24"/>
          <w:sz w:val="21"/>
        </w:rPr>
        <w:t> </w:t>
      </w:r>
      <w:r>
        <w:rPr>
          <w:sz w:val="21"/>
        </w:rPr>
        <w:t>a copy of said policies when they are first signed or renewed.</w:t>
      </w:r>
    </w:p>
    <w:p>
      <w:pPr>
        <w:pStyle w:val="BodyText"/>
        <w:spacing w:before="152"/>
        <w:rPr>
          <w:sz w:val="21"/>
        </w:rPr>
      </w:pPr>
    </w:p>
    <w:p>
      <w:pPr>
        <w:spacing w:line="213" w:lineRule="auto" w:before="0"/>
        <w:ind w:left="144" w:right="119" w:firstLine="0"/>
        <w:jc w:val="both"/>
        <w:rPr>
          <w:sz w:val="21"/>
        </w:rPr>
      </w:pPr>
      <w:r>
        <w:rPr>
          <w:i/>
          <w:sz w:val="21"/>
        </w:rPr>
        <w:t>Seven</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not</w:t>
      </w:r>
      <w:r>
        <w:rPr>
          <w:spacing w:val="40"/>
          <w:sz w:val="21"/>
        </w:rPr>
        <w:t> </w:t>
      </w:r>
      <w:r>
        <w:rPr>
          <w:sz w:val="21"/>
        </w:rPr>
        <w:t>to</w:t>
      </w:r>
      <w:r>
        <w:rPr>
          <w:spacing w:val="40"/>
          <w:sz w:val="21"/>
        </w:rPr>
        <w:t> </w:t>
      </w:r>
      <w:r>
        <w:rPr>
          <w:sz w:val="21"/>
        </w:rPr>
        <w:t>begin</w:t>
      </w:r>
      <w:r>
        <w:rPr>
          <w:spacing w:val="40"/>
          <w:sz w:val="21"/>
        </w:rPr>
        <w:t> </w:t>
      </w:r>
      <w:r>
        <w:rPr>
          <w:sz w:val="21"/>
        </w:rPr>
        <w:t>any</w:t>
      </w:r>
      <w:r>
        <w:rPr>
          <w:spacing w:val="40"/>
          <w:sz w:val="21"/>
        </w:rPr>
        <w:t> </w:t>
      </w:r>
      <w:r>
        <w:rPr>
          <w:sz w:val="21"/>
        </w:rPr>
        <w:t>construction</w:t>
      </w:r>
      <w:r>
        <w:rPr>
          <w:spacing w:val="40"/>
          <w:sz w:val="21"/>
        </w:rPr>
        <w:t> </w:t>
      </w:r>
      <w:r>
        <w:rPr>
          <w:sz w:val="21"/>
        </w:rPr>
        <w:t>projects</w:t>
      </w:r>
      <w:r>
        <w:rPr>
          <w:spacing w:val="40"/>
          <w:sz w:val="21"/>
        </w:rPr>
        <w:t> </w:t>
      </w:r>
      <w:r>
        <w:rPr>
          <w:sz w:val="21"/>
        </w:rPr>
        <w:t>or</w:t>
      </w:r>
      <w:r>
        <w:rPr>
          <w:spacing w:val="40"/>
          <w:sz w:val="21"/>
        </w:rPr>
        <w:t> </w:t>
      </w:r>
      <w:r>
        <w:rPr>
          <w:sz w:val="21"/>
        </w:rPr>
        <w:t>work</w:t>
      </w:r>
      <w:r>
        <w:rPr>
          <w:spacing w:val="40"/>
          <w:sz w:val="21"/>
        </w:rPr>
        <w:t> </w:t>
      </w:r>
      <w:r>
        <w:rPr>
          <w:sz w:val="21"/>
        </w:rPr>
        <w:t>without</w:t>
      </w:r>
      <w:r>
        <w:rPr>
          <w:spacing w:val="40"/>
          <w:sz w:val="21"/>
        </w:rPr>
        <w:t> </w:t>
      </w:r>
      <w:r>
        <w:rPr>
          <w:sz w:val="21"/>
        </w:rPr>
        <w:t>first</w:t>
      </w:r>
      <w:r>
        <w:rPr>
          <w:spacing w:val="40"/>
          <w:sz w:val="21"/>
        </w:rPr>
        <w:t> </w:t>
      </w:r>
      <w:r>
        <w:rPr>
          <w:sz w:val="21"/>
        </w:rPr>
        <w:t>sending</w:t>
      </w:r>
      <w:r>
        <w:rPr>
          <w:spacing w:val="40"/>
          <w:sz w:val="21"/>
        </w:rPr>
        <w:t> </w:t>
      </w:r>
      <w:r>
        <w:rPr>
          <w:sz w:val="21"/>
        </w:rPr>
        <w:t>the</w:t>
      </w:r>
      <w:r>
        <w:rPr>
          <w:spacing w:val="40"/>
          <w:sz w:val="21"/>
        </w:rPr>
        <w:t> </w:t>
      </w:r>
      <w:r>
        <w:rPr>
          <w:sz w:val="21"/>
        </w:rPr>
        <w:t>Government</w:t>
      </w:r>
      <w:r>
        <w:rPr>
          <w:spacing w:val="40"/>
          <w:sz w:val="21"/>
        </w:rPr>
        <w:t> </w:t>
      </w:r>
      <w:r>
        <w:rPr>
          <w:sz w:val="21"/>
        </w:rPr>
        <w:t>the copies referred to in the previous paragraph.</w:t>
      </w:r>
    </w:p>
    <w:p>
      <w:pPr>
        <w:pStyle w:val="BodyText"/>
        <w:spacing w:before="152"/>
        <w:rPr>
          <w:sz w:val="21"/>
        </w:rPr>
      </w:pPr>
    </w:p>
    <w:p>
      <w:pPr>
        <w:spacing w:line="213" w:lineRule="auto" w:before="0"/>
        <w:ind w:left="144" w:right="118" w:firstLine="0"/>
        <w:jc w:val="both"/>
        <w:rPr>
          <w:sz w:val="21"/>
        </w:rPr>
      </w:pPr>
      <w:r>
        <w:rPr>
          <w:i/>
          <w:sz w:val="21"/>
        </w:rPr>
        <w:t>Eight</w:t>
      </w:r>
      <w:r>
        <w:rPr>
          <w:sz w:val="21"/>
        </w:rPr>
        <w:t>. Unless authorized by the Government, the Concessionaire may not cancel, suspend, modify, or replace any insurance </w:t>
      </w:r>
      <w:r>
        <w:rPr>
          <w:sz w:val="21"/>
        </w:rPr>
        <w:t>policies except</w:t>
      </w:r>
      <w:r>
        <w:rPr>
          <w:spacing w:val="20"/>
          <w:sz w:val="21"/>
        </w:rPr>
        <w:t> </w:t>
      </w:r>
      <w:r>
        <w:rPr>
          <w:sz w:val="21"/>
        </w:rPr>
        <w:t>when</w:t>
      </w:r>
      <w:r>
        <w:rPr>
          <w:spacing w:val="20"/>
          <w:sz w:val="21"/>
        </w:rPr>
        <w:t> </w:t>
      </w:r>
      <w:r>
        <w:rPr>
          <w:sz w:val="21"/>
        </w:rPr>
        <w:t>there</w:t>
      </w:r>
      <w:r>
        <w:rPr>
          <w:spacing w:val="20"/>
          <w:sz w:val="21"/>
        </w:rPr>
        <w:t> </w:t>
      </w:r>
      <w:r>
        <w:rPr>
          <w:sz w:val="21"/>
        </w:rPr>
        <w:t>is</w:t>
      </w:r>
      <w:r>
        <w:rPr>
          <w:spacing w:val="20"/>
          <w:sz w:val="21"/>
        </w:rPr>
        <w:t> </w:t>
      </w:r>
      <w:r>
        <w:rPr>
          <w:sz w:val="21"/>
        </w:rPr>
        <w:t>a</w:t>
      </w:r>
      <w:r>
        <w:rPr>
          <w:spacing w:val="20"/>
          <w:sz w:val="21"/>
        </w:rPr>
        <w:t> </w:t>
      </w:r>
      <w:r>
        <w:rPr>
          <w:sz w:val="21"/>
        </w:rPr>
        <w:t>change</w:t>
      </w:r>
      <w:r>
        <w:rPr>
          <w:spacing w:val="20"/>
          <w:sz w:val="21"/>
        </w:rPr>
        <w:t> </w:t>
      </w:r>
      <w:r>
        <w:rPr>
          <w:sz w:val="21"/>
        </w:rPr>
        <w:t>in</w:t>
      </w:r>
      <w:r>
        <w:rPr>
          <w:spacing w:val="20"/>
          <w:sz w:val="21"/>
        </w:rPr>
        <w:t> </w:t>
      </w:r>
      <w:r>
        <w:rPr>
          <w:sz w:val="21"/>
        </w:rPr>
        <w:t>the</w:t>
      </w:r>
      <w:r>
        <w:rPr>
          <w:spacing w:val="20"/>
          <w:sz w:val="21"/>
        </w:rPr>
        <w:t> </w:t>
      </w:r>
      <w:r>
        <w:rPr>
          <w:sz w:val="21"/>
        </w:rPr>
        <w:t>insurance</w:t>
      </w:r>
      <w:r>
        <w:rPr>
          <w:spacing w:val="20"/>
          <w:sz w:val="21"/>
        </w:rPr>
        <w:t> </w:t>
      </w:r>
      <w:r>
        <w:rPr>
          <w:sz w:val="21"/>
        </w:rPr>
        <w:t>company,</w:t>
      </w:r>
      <w:r>
        <w:rPr>
          <w:spacing w:val="20"/>
          <w:sz w:val="21"/>
        </w:rPr>
        <w:t> </w:t>
      </w:r>
      <w:r>
        <w:rPr>
          <w:sz w:val="21"/>
        </w:rPr>
        <w:t>in</w:t>
      </w:r>
      <w:r>
        <w:rPr>
          <w:spacing w:val="20"/>
          <w:sz w:val="21"/>
        </w:rPr>
        <w:t> </w:t>
      </w:r>
      <w:r>
        <w:rPr>
          <w:sz w:val="21"/>
        </w:rPr>
        <w:t>which</w:t>
      </w:r>
      <w:r>
        <w:rPr>
          <w:spacing w:val="20"/>
          <w:sz w:val="21"/>
        </w:rPr>
        <w:t> </w:t>
      </w:r>
      <w:r>
        <w:rPr>
          <w:sz w:val="21"/>
        </w:rPr>
        <w:t>case</w:t>
      </w:r>
      <w:r>
        <w:rPr>
          <w:spacing w:val="20"/>
          <w:sz w:val="21"/>
        </w:rPr>
        <w:t> </w:t>
      </w:r>
      <w:r>
        <w:rPr>
          <w:sz w:val="21"/>
        </w:rPr>
        <w:t>the</w:t>
      </w:r>
      <w:r>
        <w:rPr>
          <w:spacing w:val="20"/>
          <w:sz w:val="21"/>
        </w:rPr>
        <w:t> </w:t>
      </w:r>
      <w:r>
        <w:rPr>
          <w:sz w:val="21"/>
        </w:rPr>
        <w:t>Concessionaire</w:t>
      </w:r>
      <w:r>
        <w:rPr>
          <w:spacing w:val="20"/>
          <w:sz w:val="21"/>
        </w:rPr>
        <w:t> </w:t>
      </w:r>
      <w:r>
        <w:rPr>
          <w:sz w:val="21"/>
        </w:rPr>
        <w:t>must</w:t>
      </w:r>
      <w:r>
        <w:rPr>
          <w:spacing w:val="20"/>
          <w:sz w:val="21"/>
        </w:rPr>
        <w:t> </w:t>
      </w:r>
      <w:r>
        <w:rPr>
          <w:sz w:val="21"/>
        </w:rPr>
        <w:t>inform</w:t>
      </w:r>
      <w:r>
        <w:rPr>
          <w:spacing w:val="20"/>
          <w:sz w:val="21"/>
        </w:rPr>
        <w:t> </w:t>
      </w:r>
      <w:r>
        <w:rPr>
          <w:sz w:val="21"/>
        </w:rPr>
        <w:t>the</w:t>
      </w:r>
      <w:r>
        <w:rPr>
          <w:spacing w:val="20"/>
          <w:sz w:val="21"/>
        </w:rPr>
        <w:t> </w:t>
      </w:r>
      <w:r>
        <w:rPr>
          <w:sz w:val="21"/>
        </w:rPr>
        <w:t>Government</w:t>
      </w:r>
      <w:r>
        <w:rPr>
          <w:spacing w:val="20"/>
          <w:sz w:val="21"/>
        </w:rPr>
        <w:t> </w:t>
      </w:r>
      <w:r>
        <w:rPr>
          <w:sz w:val="21"/>
        </w:rPr>
        <w:t>of</w:t>
      </w:r>
      <w:r>
        <w:rPr>
          <w:spacing w:val="20"/>
          <w:sz w:val="21"/>
        </w:rPr>
        <w:t> </w:t>
      </w:r>
      <w:r>
        <w:rPr>
          <w:sz w:val="21"/>
        </w:rPr>
        <w:t>this</w:t>
      </w:r>
      <w:r>
        <w:rPr>
          <w:spacing w:val="20"/>
          <w:sz w:val="21"/>
        </w:rPr>
        <w:t> </w:t>
      </w:r>
      <w:r>
        <w:rPr>
          <w:sz w:val="21"/>
        </w:rPr>
        <w:t>fact as soon as possible.</w:t>
      </w:r>
    </w:p>
    <w:p>
      <w:pPr>
        <w:pStyle w:val="BodyText"/>
        <w:spacing w:before="167"/>
        <w:rPr>
          <w:sz w:val="21"/>
        </w:rPr>
      </w:pPr>
    </w:p>
    <w:p>
      <w:pPr>
        <w:spacing w:line="213" w:lineRule="auto" w:before="0"/>
        <w:ind w:left="144" w:right="118" w:firstLine="0"/>
        <w:jc w:val="both"/>
        <w:rPr>
          <w:sz w:val="21"/>
        </w:rPr>
      </w:pPr>
      <w:r>
        <w:rPr>
          <w:i/>
          <w:sz w:val="21"/>
        </w:rPr>
        <w:t>Nine</w:t>
      </w:r>
      <w:r>
        <w:rPr>
          <w:sz w:val="21"/>
        </w:rPr>
        <w:t>. The</w:t>
      </w:r>
      <w:r>
        <w:rPr>
          <w:spacing w:val="22"/>
          <w:sz w:val="21"/>
        </w:rPr>
        <w:t> </w:t>
      </w:r>
      <w:r>
        <w:rPr>
          <w:sz w:val="21"/>
        </w:rPr>
        <w:t>Government</w:t>
      </w:r>
      <w:r>
        <w:rPr>
          <w:spacing w:val="22"/>
          <w:sz w:val="21"/>
        </w:rPr>
        <w:t> </w:t>
      </w:r>
      <w:r>
        <w:rPr>
          <w:sz w:val="21"/>
        </w:rPr>
        <w:t>may,</w:t>
      </w:r>
      <w:r>
        <w:rPr>
          <w:spacing w:val="22"/>
          <w:sz w:val="21"/>
        </w:rPr>
        <w:t> </w:t>
      </w:r>
      <w:r>
        <w:rPr>
          <w:sz w:val="21"/>
        </w:rPr>
        <w:t>on</w:t>
      </w:r>
      <w:r>
        <w:rPr>
          <w:spacing w:val="22"/>
          <w:sz w:val="21"/>
        </w:rPr>
        <w:t> </w:t>
      </w:r>
      <w:r>
        <w:rPr>
          <w:sz w:val="21"/>
        </w:rPr>
        <w:t>behalf</w:t>
      </w:r>
      <w:r>
        <w:rPr>
          <w:spacing w:val="22"/>
          <w:sz w:val="21"/>
        </w:rPr>
        <w:t> </w:t>
      </w:r>
      <w:r>
        <w:rPr>
          <w:sz w:val="21"/>
        </w:rPr>
        <w:t>of</w:t>
      </w:r>
      <w:r>
        <w:rPr>
          <w:spacing w:val="22"/>
          <w:sz w:val="21"/>
        </w:rPr>
        <w:t> </w:t>
      </w:r>
      <w:r>
        <w:rPr>
          <w:sz w:val="21"/>
        </w:rPr>
        <w:t>the</w:t>
      </w:r>
      <w:r>
        <w:rPr>
          <w:spacing w:val="22"/>
          <w:sz w:val="21"/>
        </w:rPr>
        <w:t> </w:t>
      </w:r>
      <w:r>
        <w:rPr>
          <w:sz w:val="21"/>
        </w:rPr>
        <w:t>Concessionaire,</w:t>
      </w:r>
      <w:r>
        <w:rPr>
          <w:spacing w:val="22"/>
          <w:sz w:val="21"/>
        </w:rPr>
        <w:t> </w:t>
      </w:r>
      <w:r>
        <w:rPr>
          <w:sz w:val="21"/>
        </w:rPr>
        <w:t>make</w:t>
      </w:r>
      <w:r>
        <w:rPr>
          <w:spacing w:val="22"/>
          <w:sz w:val="21"/>
        </w:rPr>
        <w:t> </w:t>
      </w:r>
      <w:r>
        <w:rPr>
          <w:sz w:val="21"/>
        </w:rPr>
        <w:t>direct</w:t>
      </w:r>
      <w:r>
        <w:rPr>
          <w:spacing w:val="22"/>
          <w:sz w:val="21"/>
        </w:rPr>
        <w:t> </w:t>
      </w:r>
      <w:r>
        <w:rPr>
          <w:sz w:val="21"/>
        </w:rPr>
        <w:t>payment</w:t>
      </w:r>
      <w:r>
        <w:rPr>
          <w:spacing w:val="22"/>
          <w:sz w:val="21"/>
        </w:rPr>
        <w:t> </w:t>
      </w:r>
      <w:r>
        <w:rPr>
          <w:sz w:val="21"/>
        </w:rPr>
        <w:t>of</w:t>
      </w:r>
      <w:r>
        <w:rPr>
          <w:spacing w:val="22"/>
          <w:sz w:val="21"/>
        </w:rPr>
        <w:t> </w:t>
      </w:r>
      <w:r>
        <w:rPr>
          <w:sz w:val="21"/>
        </w:rPr>
        <w:t>insurance</w:t>
      </w:r>
      <w:r>
        <w:rPr>
          <w:spacing w:val="22"/>
          <w:sz w:val="21"/>
        </w:rPr>
        <w:t> </w:t>
      </w:r>
      <w:r>
        <w:rPr>
          <w:sz w:val="21"/>
        </w:rPr>
        <w:t>premiums</w:t>
      </w:r>
      <w:r>
        <w:rPr>
          <w:spacing w:val="22"/>
          <w:sz w:val="21"/>
        </w:rPr>
        <w:t> </w:t>
      </w:r>
      <w:r>
        <w:rPr>
          <w:sz w:val="21"/>
        </w:rPr>
        <w:t>when</w:t>
      </w:r>
      <w:r>
        <w:rPr>
          <w:spacing w:val="22"/>
          <w:sz w:val="21"/>
        </w:rPr>
        <w:t> </w:t>
      </w:r>
      <w:r>
        <w:rPr>
          <w:sz w:val="21"/>
        </w:rPr>
        <w:t>the</w:t>
      </w:r>
      <w:r>
        <w:rPr>
          <w:spacing w:val="22"/>
          <w:sz w:val="21"/>
        </w:rPr>
        <w:t> </w:t>
      </w:r>
      <w:r>
        <w:rPr>
          <w:sz w:val="21"/>
        </w:rPr>
        <w:t>Concessionaire has</w:t>
      </w:r>
      <w:r>
        <w:rPr>
          <w:spacing w:val="40"/>
          <w:sz w:val="21"/>
        </w:rPr>
        <w:t> </w:t>
      </w:r>
      <w:r>
        <w:rPr>
          <w:sz w:val="21"/>
        </w:rPr>
        <w:t>failed</w:t>
      </w:r>
      <w:r>
        <w:rPr>
          <w:spacing w:val="40"/>
          <w:sz w:val="21"/>
        </w:rPr>
        <w:t> </w:t>
      </w:r>
      <w:r>
        <w:rPr>
          <w:sz w:val="21"/>
        </w:rPr>
        <w:t>to</w:t>
      </w:r>
      <w:r>
        <w:rPr>
          <w:spacing w:val="40"/>
          <w:sz w:val="21"/>
        </w:rPr>
        <w:t> </w:t>
      </w:r>
      <w:r>
        <w:rPr>
          <w:sz w:val="21"/>
        </w:rPr>
        <w:t>do</w:t>
      </w:r>
      <w:r>
        <w:rPr>
          <w:spacing w:val="40"/>
          <w:sz w:val="21"/>
        </w:rPr>
        <w:t> </w:t>
      </w:r>
      <w:r>
        <w:rPr>
          <w:sz w:val="21"/>
        </w:rPr>
        <w:t>so,</w:t>
      </w:r>
      <w:r>
        <w:rPr>
          <w:spacing w:val="40"/>
          <w:sz w:val="21"/>
        </w:rPr>
        <w:t> </w:t>
      </w:r>
      <w:r>
        <w:rPr>
          <w:sz w:val="21"/>
        </w:rPr>
        <w:t>by</w:t>
      </w:r>
      <w:r>
        <w:rPr>
          <w:spacing w:val="40"/>
          <w:sz w:val="21"/>
        </w:rPr>
        <w:t> </w:t>
      </w:r>
      <w:r>
        <w:rPr>
          <w:sz w:val="21"/>
        </w:rPr>
        <w:t>resorting</w:t>
      </w:r>
      <w:r>
        <w:rPr>
          <w:spacing w:val="40"/>
          <w:sz w:val="21"/>
        </w:rPr>
        <w:t> </w:t>
      </w:r>
      <w:r>
        <w:rPr>
          <w:sz w:val="21"/>
        </w:rPr>
        <w:t>to</w:t>
      </w:r>
      <w:r>
        <w:rPr>
          <w:spacing w:val="40"/>
          <w:sz w:val="21"/>
        </w:rPr>
        <w:t> </w:t>
      </w:r>
      <w:r>
        <w:rPr>
          <w:sz w:val="21"/>
        </w:rPr>
        <w:t>the</w:t>
      </w:r>
      <w:r>
        <w:rPr>
          <w:spacing w:val="40"/>
          <w:sz w:val="21"/>
        </w:rPr>
        <w:t> </w:t>
      </w:r>
      <w:r>
        <w:rPr>
          <w:sz w:val="21"/>
        </w:rPr>
        <w:t>bond</w:t>
      </w:r>
      <w:r>
        <w:rPr>
          <w:spacing w:val="40"/>
          <w:sz w:val="21"/>
        </w:rPr>
        <w:t> </w:t>
      </w:r>
      <w:r>
        <w:rPr>
          <w:sz w:val="21"/>
        </w:rPr>
        <w:t>provided</w:t>
      </w:r>
      <w:r>
        <w:rPr>
          <w:spacing w:val="40"/>
          <w:sz w:val="21"/>
        </w:rPr>
        <w:t> </w:t>
      </w:r>
      <w:r>
        <w:rPr>
          <w:sz w:val="21"/>
        </w:rPr>
        <w:t>by</w:t>
      </w:r>
      <w:r>
        <w:rPr>
          <w:spacing w:val="40"/>
          <w:sz w:val="21"/>
        </w:rPr>
        <w:t> </w:t>
      </w:r>
      <w:r>
        <w:rPr>
          <w:sz w:val="21"/>
        </w:rPr>
        <w:t>the</w:t>
      </w:r>
      <w:r>
        <w:rPr>
          <w:spacing w:val="40"/>
          <w:sz w:val="21"/>
        </w:rPr>
        <w:t> </w:t>
      </w:r>
      <w:r>
        <w:rPr>
          <w:sz w:val="21"/>
        </w:rPr>
        <w:t>Concessionaire’s</w:t>
      </w:r>
      <w:r>
        <w:rPr>
          <w:spacing w:val="40"/>
          <w:sz w:val="21"/>
        </w:rPr>
        <w:t> </w:t>
      </w:r>
      <w:r>
        <w:rPr>
          <w:sz w:val="21"/>
        </w:rPr>
        <w:t>to</w:t>
      </w:r>
      <w:r>
        <w:rPr>
          <w:spacing w:val="40"/>
          <w:sz w:val="21"/>
        </w:rPr>
        <w:t> </w:t>
      </w:r>
      <w:r>
        <w:rPr>
          <w:sz w:val="21"/>
        </w:rPr>
        <w:t>secure</w:t>
      </w:r>
      <w:r>
        <w:rPr>
          <w:spacing w:val="40"/>
          <w:sz w:val="21"/>
        </w:rPr>
        <w:t> </w:t>
      </w:r>
      <w:r>
        <w:rPr>
          <w:sz w:val="21"/>
        </w:rPr>
        <w:t>compliance</w:t>
      </w:r>
      <w:r>
        <w:rPr>
          <w:spacing w:val="40"/>
          <w:sz w:val="21"/>
        </w:rPr>
        <w:t> </w:t>
      </w:r>
      <w:r>
        <w:rPr>
          <w:sz w:val="21"/>
        </w:rPr>
        <w:t>with</w:t>
      </w:r>
      <w:r>
        <w:rPr>
          <w:spacing w:val="40"/>
          <w:sz w:val="21"/>
        </w:rPr>
        <w:t> </w:t>
      </w:r>
      <w:r>
        <w:rPr>
          <w:sz w:val="21"/>
        </w:rPr>
        <w:t>legal</w:t>
      </w:r>
      <w:r>
        <w:rPr>
          <w:spacing w:val="40"/>
          <w:sz w:val="21"/>
        </w:rPr>
        <w:t> </w:t>
      </w:r>
      <w:r>
        <w:rPr>
          <w:sz w:val="21"/>
        </w:rPr>
        <w:t>or</w:t>
      </w:r>
      <w:r>
        <w:rPr>
          <w:spacing w:val="40"/>
          <w:sz w:val="21"/>
        </w:rPr>
        <w:t> </w:t>
      </w:r>
      <w:r>
        <w:rPr>
          <w:sz w:val="21"/>
        </w:rPr>
        <w:t>contractual </w:t>
      </w:r>
      <w:r>
        <w:rPr>
          <w:spacing w:val="-2"/>
          <w:sz w:val="21"/>
        </w:rPr>
        <w:t>obligations.</w:t>
      </w:r>
    </w:p>
    <w:p>
      <w:pPr>
        <w:pStyle w:val="BodyText"/>
        <w:spacing w:before="121"/>
        <w:rPr>
          <w:sz w:val="21"/>
        </w:rPr>
      </w:pPr>
    </w:p>
    <w:p>
      <w:pPr>
        <w:pStyle w:val="Heading1"/>
      </w:pPr>
      <w:r>
        <w:rPr/>
        <w:t>CHAPTER</w:t>
      </w:r>
      <w:r>
        <w:rPr>
          <w:spacing w:val="-5"/>
        </w:rPr>
        <w:t> </w:t>
      </w:r>
      <w:r>
        <w:rPr>
          <w:spacing w:val="-4"/>
        </w:rPr>
        <w:t>VIII</w:t>
      </w:r>
    </w:p>
    <w:p>
      <w:pPr>
        <w:pStyle w:val="Heading2"/>
        <w:spacing w:before="51"/>
      </w:pPr>
      <w:r>
        <w:rPr>
          <w:spacing w:val="-2"/>
        </w:rPr>
        <w:t>Property</w:t>
      </w:r>
    </w:p>
    <w:p>
      <w:pPr>
        <w:pStyle w:val="BodyText"/>
        <w:spacing w:before="83"/>
        <w:rPr>
          <w:b/>
          <w:sz w:val="25"/>
        </w:rPr>
      </w:pPr>
    </w:p>
    <w:p>
      <w:pPr>
        <w:spacing w:line="309" w:lineRule="auto" w:before="0"/>
        <w:ind w:left="4902" w:right="4858" w:firstLine="552"/>
        <w:jc w:val="left"/>
        <w:rPr>
          <w:b/>
          <w:sz w:val="21"/>
        </w:rPr>
      </w:pPr>
      <w:r>
        <w:rPr>
          <w:b/>
          <w:sz w:val="21"/>
        </w:rPr>
        <w:t>Clause 43 Macau SAR </w:t>
      </w:r>
      <w:r>
        <w:rPr>
          <w:b/>
          <w:sz w:val="21"/>
        </w:rPr>
        <w:t>Property</w:t>
      </w:r>
    </w:p>
    <w:p>
      <w:pPr>
        <w:pStyle w:val="BodyText"/>
        <w:spacing w:before="75"/>
        <w:rPr>
          <w:b/>
          <w:sz w:val="21"/>
        </w:rPr>
      </w:pPr>
    </w:p>
    <w:p>
      <w:pPr>
        <w:spacing w:line="213" w:lineRule="auto" w:before="0"/>
        <w:ind w:left="144" w:right="118" w:firstLine="0"/>
        <w:jc w:val="both"/>
        <w:rPr>
          <w:sz w:val="21"/>
        </w:rPr>
      </w:pPr>
      <w:r>
        <w:rPr>
          <w:i/>
          <w:sz w:val="21"/>
        </w:rPr>
        <w:t>One</w:t>
      </w:r>
      <w:r>
        <w:rPr>
          <w:sz w:val="21"/>
        </w:rPr>
        <w:t>.</w:t>
      </w:r>
      <w:r>
        <w:rPr>
          <w:spacing w:val="35"/>
          <w:sz w:val="21"/>
        </w:rPr>
        <w:t> </w:t>
      </w:r>
      <w:r>
        <w:rPr>
          <w:sz w:val="21"/>
        </w:rPr>
        <w:t>The</w:t>
      </w:r>
      <w:r>
        <w:rPr>
          <w:spacing w:val="39"/>
          <w:sz w:val="21"/>
        </w:rPr>
        <w:t> </w:t>
      </w:r>
      <w:r>
        <w:rPr>
          <w:sz w:val="21"/>
        </w:rPr>
        <w:t>Concessionaire</w:t>
      </w:r>
      <w:r>
        <w:rPr>
          <w:spacing w:val="39"/>
          <w:sz w:val="21"/>
        </w:rPr>
        <w:t> </w:t>
      </w:r>
      <w:r>
        <w:rPr>
          <w:sz w:val="21"/>
        </w:rPr>
        <w:t>undertakes</w:t>
      </w:r>
      <w:r>
        <w:rPr>
          <w:spacing w:val="39"/>
          <w:sz w:val="21"/>
        </w:rPr>
        <w:t> </w:t>
      </w:r>
      <w:r>
        <w:rPr>
          <w:sz w:val="21"/>
        </w:rPr>
        <w:t>to</w:t>
      </w:r>
      <w:r>
        <w:rPr>
          <w:spacing w:val="39"/>
          <w:sz w:val="21"/>
        </w:rPr>
        <w:t> </w:t>
      </w:r>
      <w:r>
        <w:rPr>
          <w:sz w:val="21"/>
        </w:rPr>
        <w:t>ensure</w:t>
      </w:r>
      <w:r>
        <w:rPr>
          <w:spacing w:val="39"/>
          <w:sz w:val="21"/>
        </w:rPr>
        <w:t> </w:t>
      </w:r>
      <w:r>
        <w:rPr>
          <w:sz w:val="21"/>
        </w:rPr>
        <w:t>the</w:t>
      </w:r>
      <w:r>
        <w:rPr>
          <w:spacing w:val="39"/>
          <w:sz w:val="21"/>
        </w:rPr>
        <w:t> </w:t>
      </w:r>
      <w:r>
        <w:rPr>
          <w:sz w:val="21"/>
        </w:rPr>
        <w:t>conservation</w:t>
      </w:r>
      <w:r>
        <w:rPr>
          <w:spacing w:val="39"/>
          <w:sz w:val="21"/>
        </w:rPr>
        <w:t> </w:t>
      </w:r>
      <w:r>
        <w:rPr>
          <w:sz w:val="21"/>
        </w:rPr>
        <w:t>or</w:t>
      </w:r>
      <w:r>
        <w:rPr>
          <w:spacing w:val="39"/>
          <w:sz w:val="21"/>
        </w:rPr>
        <w:t> </w:t>
      </w:r>
      <w:r>
        <w:rPr>
          <w:sz w:val="21"/>
        </w:rPr>
        <w:t>replacement,</w:t>
      </w:r>
      <w:r>
        <w:rPr>
          <w:spacing w:val="39"/>
          <w:sz w:val="21"/>
        </w:rPr>
        <w:t> </w:t>
      </w:r>
      <w:r>
        <w:rPr>
          <w:sz w:val="21"/>
        </w:rPr>
        <w:t>as</w:t>
      </w:r>
      <w:r>
        <w:rPr>
          <w:spacing w:val="39"/>
          <w:sz w:val="21"/>
        </w:rPr>
        <w:t> </w:t>
      </w:r>
      <w:r>
        <w:rPr>
          <w:sz w:val="21"/>
        </w:rPr>
        <w:t>instructed</w:t>
      </w:r>
      <w:r>
        <w:rPr>
          <w:spacing w:val="39"/>
          <w:sz w:val="21"/>
        </w:rPr>
        <w:t> </w:t>
      </w:r>
      <w:r>
        <w:rPr>
          <w:sz w:val="21"/>
        </w:rPr>
        <w:t>by</w:t>
      </w:r>
      <w:r>
        <w:rPr>
          <w:spacing w:val="39"/>
          <w:sz w:val="21"/>
        </w:rPr>
        <w:t> </w:t>
      </w:r>
      <w:r>
        <w:rPr>
          <w:sz w:val="21"/>
        </w:rPr>
        <w:t>DICJ,</w:t>
      </w:r>
      <w:r>
        <w:rPr>
          <w:spacing w:val="39"/>
          <w:sz w:val="21"/>
        </w:rPr>
        <w:t> </w:t>
      </w:r>
      <w:r>
        <w:rPr>
          <w:sz w:val="21"/>
        </w:rPr>
        <w:t>of</w:t>
      </w:r>
      <w:r>
        <w:rPr>
          <w:spacing w:val="39"/>
          <w:sz w:val="21"/>
        </w:rPr>
        <w:t> </w:t>
      </w:r>
      <w:r>
        <w:rPr>
          <w:sz w:val="21"/>
        </w:rPr>
        <w:t>the</w:t>
      </w:r>
      <w:r>
        <w:rPr>
          <w:spacing w:val="39"/>
          <w:sz w:val="21"/>
        </w:rPr>
        <w:t> </w:t>
      </w:r>
      <w:r>
        <w:rPr>
          <w:sz w:val="21"/>
        </w:rPr>
        <w:t>Macau</w:t>
      </w:r>
      <w:r>
        <w:rPr>
          <w:spacing w:val="39"/>
          <w:sz w:val="21"/>
        </w:rPr>
        <w:t> </w:t>
      </w:r>
      <w:r>
        <w:rPr>
          <w:sz w:val="21"/>
        </w:rPr>
        <w:t>SAR</w:t>
      </w:r>
      <w:r>
        <w:rPr>
          <w:spacing w:val="39"/>
          <w:sz w:val="21"/>
        </w:rPr>
        <w:t> </w:t>
      </w:r>
      <w:r>
        <w:rPr>
          <w:sz w:val="21"/>
        </w:rPr>
        <w:t>assets which have been or will be used in connection with the operation of the concession through the temporary transfer of its usufruct, fruition, and use.</w:t>
      </w:r>
    </w:p>
    <w:p>
      <w:pPr>
        <w:pStyle w:val="BodyText"/>
        <w:spacing w:before="167"/>
        <w:rPr>
          <w:sz w:val="21"/>
        </w:rPr>
      </w:pPr>
    </w:p>
    <w:p>
      <w:pPr>
        <w:spacing w:line="213" w:lineRule="auto" w:before="0"/>
        <w:ind w:left="144" w:right="118" w:firstLine="0"/>
        <w:jc w:val="both"/>
        <w:rPr>
          <w:sz w:val="21"/>
        </w:rPr>
      </w:pPr>
      <w:r>
        <w:rPr>
          <w:i/>
          <w:sz w:val="21"/>
        </w:rPr>
        <w:t>Two</w:t>
      </w:r>
      <w:r>
        <w:rPr>
          <w:sz w:val="21"/>
        </w:rPr>
        <w:t>.</w:t>
      </w:r>
      <w:r>
        <w:rPr>
          <w:spacing w:val="13"/>
          <w:sz w:val="21"/>
        </w:rPr>
        <w:t> </w:t>
      </w:r>
      <w:r>
        <w:rPr>
          <w:sz w:val="21"/>
        </w:rPr>
        <w:t>The</w:t>
      </w:r>
      <w:r>
        <w:rPr>
          <w:spacing w:val="18"/>
          <w:sz w:val="21"/>
        </w:rPr>
        <w:t> </w:t>
      </w:r>
      <w:r>
        <w:rPr>
          <w:sz w:val="21"/>
        </w:rPr>
        <w:t>Concessionaire</w:t>
      </w:r>
      <w:r>
        <w:rPr>
          <w:spacing w:val="18"/>
          <w:sz w:val="21"/>
        </w:rPr>
        <w:t> </w:t>
      </w:r>
      <w:r>
        <w:rPr>
          <w:sz w:val="21"/>
        </w:rPr>
        <w:t>shall</w:t>
      </w:r>
      <w:r>
        <w:rPr>
          <w:spacing w:val="18"/>
          <w:sz w:val="21"/>
        </w:rPr>
        <w:t> </w:t>
      </w:r>
      <w:r>
        <w:rPr>
          <w:sz w:val="21"/>
        </w:rPr>
        <w:t>ensure</w:t>
      </w:r>
      <w:r>
        <w:rPr>
          <w:spacing w:val="18"/>
          <w:sz w:val="21"/>
        </w:rPr>
        <w:t> </w:t>
      </w:r>
      <w:r>
        <w:rPr>
          <w:sz w:val="21"/>
        </w:rPr>
        <w:t>the</w:t>
      </w:r>
      <w:r>
        <w:rPr>
          <w:spacing w:val="18"/>
          <w:sz w:val="21"/>
        </w:rPr>
        <w:t> </w:t>
      </w:r>
      <w:r>
        <w:rPr>
          <w:sz w:val="21"/>
        </w:rPr>
        <w:t>conservation</w:t>
      </w:r>
      <w:r>
        <w:rPr>
          <w:spacing w:val="18"/>
          <w:sz w:val="21"/>
        </w:rPr>
        <w:t> </w:t>
      </w:r>
      <w:r>
        <w:rPr>
          <w:sz w:val="21"/>
        </w:rPr>
        <w:t>of</w:t>
      </w:r>
      <w:r>
        <w:rPr>
          <w:spacing w:val="18"/>
          <w:sz w:val="21"/>
        </w:rPr>
        <w:t> </w:t>
      </w:r>
      <w:r>
        <w:rPr>
          <w:sz w:val="21"/>
        </w:rPr>
        <w:t>the</w:t>
      </w:r>
      <w:r>
        <w:rPr>
          <w:spacing w:val="18"/>
          <w:sz w:val="21"/>
        </w:rPr>
        <w:t> </w:t>
      </w:r>
      <w:r>
        <w:rPr>
          <w:sz w:val="21"/>
        </w:rPr>
        <w:t>land,</w:t>
      </w:r>
      <w:r>
        <w:rPr>
          <w:spacing w:val="18"/>
          <w:sz w:val="21"/>
        </w:rPr>
        <w:t> </w:t>
      </w:r>
      <w:r>
        <w:rPr>
          <w:sz w:val="21"/>
        </w:rPr>
        <w:t>soil,</w:t>
      </w:r>
      <w:r>
        <w:rPr>
          <w:spacing w:val="18"/>
          <w:sz w:val="21"/>
        </w:rPr>
        <w:t> </w:t>
      </w:r>
      <w:r>
        <w:rPr>
          <w:sz w:val="21"/>
        </w:rPr>
        <w:t>or</w:t>
      </w:r>
      <w:r>
        <w:rPr>
          <w:spacing w:val="18"/>
          <w:sz w:val="21"/>
        </w:rPr>
        <w:t> </w:t>
      </w:r>
      <w:r>
        <w:rPr>
          <w:sz w:val="21"/>
        </w:rPr>
        <w:t>natural</w:t>
      </w:r>
      <w:r>
        <w:rPr>
          <w:spacing w:val="18"/>
          <w:sz w:val="21"/>
        </w:rPr>
        <w:t> </w:t>
      </w:r>
      <w:r>
        <w:rPr>
          <w:sz w:val="21"/>
        </w:rPr>
        <w:t>resources</w:t>
      </w:r>
      <w:r>
        <w:rPr>
          <w:spacing w:val="18"/>
          <w:sz w:val="21"/>
        </w:rPr>
        <w:t> </w:t>
      </w:r>
      <w:r>
        <w:rPr>
          <w:sz w:val="21"/>
        </w:rPr>
        <w:t>for</w:t>
      </w:r>
      <w:r>
        <w:rPr>
          <w:spacing w:val="18"/>
          <w:sz w:val="21"/>
        </w:rPr>
        <w:t> </w:t>
      </w:r>
      <w:r>
        <w:rPr>
          <w:sz w:val="21"/>
        </w:rPr>
        <w:t>whose</w:t>
      </w:r>
      <w:r>
        <w:rPr>
          <w:spacing w:val="18"/>
          <w:sz w:val="21"/>
        </w:rPr>
        <w:t> </w:t>
      </w:r>
      <w:r>
        <w:rPr>
          <w:sz w:val="21"/>
        </w:rPr>
        <w:t>management</w:t>
      </w:r>
      <w:r>
        <w:rPr>
          <w:spacing w:val="18"/>
          <w:sz w:val="21"/>
        </w:rPr>
        <w:t> </w:t>
      </w:r>
      <w:r>
        <w:rPr>
          <w:sz w:val="21"/>
        </w:rPr>
        <w:t>the</w:t>
      </w:r>
      <w:r>
        <w:rPr>
          <w:spacing w:val="18"/>
          <w:sz w:val="21"/>
        </w:rPr>
        <w:t> </w:t>
      </w:r>
      <w:r>
        <w:rPr>
          <w:sz w:val="21"/>
        </w:rPr>
        <w:t>Government is responsible, under the terms of Section 7 of the Macau SAR Basic Law, that were or will be allocated to the concession operation, either by lease or concession.</w:t>
      </w:r>
    </w:p>
    <w:p>
      <w:pPr>
        <w:pStyle w:val="BodyText"/>
        <w:spacing w:before="131"/>
        <w:rPr>
          <w:sz w:val="21"/>
        </w:rPr>
      </w:pPr>
    </w:p>
    <w:p>
      <w:pPr>
        <w:spacing w:before="0"/>
        <w:ind w:left="24" w:right="0" w:firstLine="0"/>
        <w:jc w:val="center"/>
        <w:rPr>
          <w:b/>
          <w:sz w:val="21"/>
        </w:rPr>
      </w:pPr>
      <w:r>
        <w:rPr>
          <w:b/>
          <w:sz w:val="21"/>
        </w:rPr>
        <w:t>Clause</w:t>
      </w:r>
      <w:r>
        <w:rPr>
          <w:b/>
          <w:spacing w:val="13"/>
          <w:sz w:val="21"/>
        </w:rPr>
        <w:t> </w:t>
      </w:r>
      <w:r>
        <w:rPr>
          <w:b/>
          <w:spacing w:val="-5"/>
          <w:sz w:val="21"/>
        </w:rPr>
        <w:t>44</w:t>
      </w:r>
    </w:p>
    <w:p>
      <w:pPr>
        <w:spacing w:before="69"/>
        <w:ind w:left="24" w:right="0" w:firstLine="0"/>
        <w:jc w:val="center"/>
        <w:rPr>
          <w:b/>
          <w:sz w:val="21"/>
        </w:rPr>
      </w:pPr>
      <w:r>
        <w:rPr>
          <w:b/>
          <w:sz w:val="21"/>
        </w:rPr>
        <w:t>Other</w:t>
      </w:r>
      <w:r>
        <w:rPr>
          <w:b/>
          <w:spacing w:val="7"/>
          <w:sz w:val="21"/>
        </w:rPr>
        <w:t> </w:t>
      </w:r>
      <w:r>
        <w:rPr>
          <w:b/>
          <w:spacing w:val="-2"/>
          <w:sz w:val="21"/>
        </w:rPr>
        <w:t>property</w:t>
      </w:r>
    </w:p>
    <w:p>
      <w:pPr>
        <w:pStyle w:val="BodyText"/>
        <w:spacing w:before="146"/>
        <w:rPr>
          <w:b/>
          <w:sz w:val="21"/>
        </w:rPr>
      </w:pPr>
    </w:p>
    <w:p>
      <w:pPr>
        <w:spacing w:line="213" w:lineRule="auto" w:before="1"/>
        <w:ind w:left="144" w:right="119" w:firstLine="0"/>
        <w:jc w:val="both"/>
        <w:rPr>
          <w:sz w:val="21"/>
        </w:rPr>
      </w:pPr>
      <w:r>
        <w:rPr>
          <w:i/>
          <w:sz w:val="21"/>
        </w:rPr>
        <w:t>One</w:t>
      </w:r>
      <w:r>
        <w:rPr>
          <w:sz w:val="21"/>
        </w:rPr>
        <w:t>. Casinos shall be required to be located on property owned by the Concessionaire, except as prescribed in Section 5 of Law </w:t>
      </w:r>
      <w:r>
        <w:rPr>
          <w:sz w:val="21"/>
        </w:rPr>
        <w:t>No. 7/2022 and Section 5 (4) and Section 37 of Law 16/2001.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4"/>
        <w:rPr>
          <w:sz w:val="20"/>
        </w:rPr>
      </w:pPr>
      <w:r>
        <w:rPr/>
        <mc:AlternateContent>
          <mc:Choice Requires="wps">
            <w:drawing>
              <wp:anchor distT="0" distB="0" distL="0" distR="0" allowOverlap="1" layoutInCell="1" locked="0" behindDoc="1" simplePos="0" relativeHeight="487776768">
                <wp:simplePos x="0" y="0"/>
                <wp:positionH relativeFrom="page">
                  <wp:posOffset>231457</wp:posOffset>
                </wp:positionH>
                <wp:positionV relativeFrom="paragraph">
                  <wp:posOffset>195567</wp:posOffset>
                </wp:positionV>
                <wp:extent cx="7312659" cy="17145"/>
                <wp:effectExtent l="0" t="0" r="0" b="0"/>
                <wp:wrapTopAndBottom/>
                <wp:docPr id="892" name="Group 892"/>
                <wp:cNvGraphicFramePr>
                  <a:graphicFrameLocks/>
                </wp:cNvGraphicFramePr>
                <a:graphic>
                  <a:graphicData uri="http://schemas.microsoft.com/office/word/2010/wordprocessingGroup">
                    <wpg:wgp>
                      <wpg:cNvPr id="892" name="Group 892"/>
                      <wpg:cNvGrpSpPr/>
                      <wpg:grpSpPr>
                        <a:xfrm>
                          <a:off x="0" y="0"/>
                          <a:ext cx="7312659" cy="17145"/>
                          <a:chExt cx="7312659" cy="17145"/>
                        </a:xfrm>
                      </wpg:grpSpPr>
                      <wps:wsp>
                        <wps:cNvPr id="893" name="Graphic 89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94" name="Graphic 894"/>
                        <wps:cNvSpPr/>
                        <wps:spPr>
                          <a:xfrm>
                            <a:off x="-12" y="-1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95" name="Graphic 89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399023pt;width:575.8pt;height:1.35pt;mso-position-horizontal-relative:page;mso-position-vertical-relative:paragraph;z-index:-15539712;mso-wrap-distance-left:0;mso-wrap-distance-right:0" id="docshapegroup890" coordorigin="364,308" coordsize="11516,27">
                <v:rect style="position:absolute;left:364;top:307;width:11516;height:14" id="docshape891" filled="true" fillcolor="#999999" stroked="false">
                  <v:fill type="solid"/>
                </v:rect>
                <v:shape style="position:absolute;left:364;top:307;width:11516;height:27" id="docshape892" coordorigin="364,308" coordsize="11516,27" path="m11880,308l11866,321,364,321,364,335,11866,335,11880,335,11880,321,11880,308xe" filled="true" fillcolor="#ededed" stroked="false">
                  <v:path arrowok="t"/>
                  <v:fill type="solid"/>
                </v:shape>
                <v:shape style="position:absolute;left:364;top:307;width:14;height:27" id="docshape893" coordorigin="364,308" coordsize="14,27" path="m364,335l364,308,378,308,378,321,364,335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90"/>
        <w:ind w:left="144" w:right="119" w:firstLine="0"/>
        <w:jc w:val="both"/>
        <w:rPr>
          <w:sz w:val="21"/>
        </w:rPr>
      </w:pPr>
      <w:r>
        <w:rPr>
          <w:i/>
          <w:sz w:val="21"/>
        </w:rPr>
        <w:t>Two</w:t>
      </w:r>
      <w:r>
        <w:rPr>
          <w:sz w:val="21"/>
        </w:rPr>
        <w:t>.</w:t>
      </w:r>
      <w:r>
        <w:rPr>
          <w:spacing w:val="26"/>
          <w:sz w:val="21"/>
        </w:rPr>
        <w:t> </w:t>
      </w:r>
      <w:r>
        <w:rPr>
          <w:sz w:val="21"/>
        </w:rPr>
        <w:t>The</w:t>
      </w:r>
      <w:r>
        <w:rPr>
          <w:spacing w:val="29"/>
          <w:sz w:val="21"/>
        </w:rPr>
        <w:t> </w:t>
      </w:r>
      <w:r>
        <w:rPr>
          <w:sz w:val="21"/>
        </w:rPr>
        <w:t>Concessionaire</w:t>
      </w:r>
      <w:r>
        <w:rPr>
          <w:spacing w:val="29"/>
          <w:sz w:val="21"/>
        </w:rPr>
        <w:t> </w:t>
      </w:r>
      <w:r>
        <w:rPr>
          <w:sz w:val="21"/>
        </w:rPr>
        <w:t>undertakes</w:t>
      </w:r>
      <w:r>
        <w:rPr>
          <w:spacing w:val="29"/>
          <w:sz w:val="21"/>
        </w:rPr>
        <w:t> </w:t>
      </w:r>
      <w:r>
        <w:rPr>
          <w:sz w:val="21"/>
        </w:rPr>
        <w:t>not</w:t>
      </w:r>
      <w:r>
        <w:rPr>
          <w:spacing w:val="29"/>
          <w:sz w:val="21"/>
        </w:rPr>
        <w:t> </w:t>
      </w:r>
      <w:r>
        <w:rPr>
          <w:sz w:val="21"/>
        </w:rPr>
        <w:t>to</w:t>
      </w:r>
      <w:r>
        <w:rPr>
          <w:spacing w:val="29"/>
          <w:sz w:val="21"/>
        </w:rPr>
        <w:t> </w:t>
      </w:r>
      <w:r>
        <w:rPr>
          <w:sz w:val="21"/>
        </w:rPr>
        <w:t>encumber</w:t>
      </w:r>
      <w:r>
        <w:rPr>
          <w:spacing w:val="29"/>
          <w:sz w:val="21"/>
        </w:rPr>
        <w:t> </w:t>
      </w:r>
      <w:r>
        <w:rPr>
          <w:sz w:val="21"/>
        </w:rPr>
        <w:t>casinos,</w:t>
      </w:r>
      <w:r>
        <w:rPr>
          <w:spacing w:val="29"/>
          <w:sz w:val="21"/>
        </w:rPr>
        <w:t> </w:t>
      </w:r>
      <w:r>
        <w:rPr>
          <w:sz w:val="21"/>
        </w:rPr>
        <w:t>equipment</w:t>
      </w:r>
      <w:r>
        <w:rPr>
          <w:spacing w:val="29"/>
          <w:sz w:val="21"/>
        </w:rPr>
        <w:t> </w:t>
      </w:r>
      <w:r>
        <w:rPr>
          <w:sz w:val="21"/>
        </w:rPr>
        <w:t>and</w:t>
      </w:r>
      <w:r>
        <w:rPr>
          <w:spacing w:val="29"/>
          <w:sz w:val="21"/>
        </w:rPr>
        <w:t> </w:t>
      </w:r>
      <w:r>
        <w:rPr>
          <w:sz w:val="21"/>
        </w:rPr>
        <w:t>utensils</w:t>
      </w:r>
      <w:r>
        <w:rPr>
          <w:spacing w:val="29"/>
          <w:sz w:val="21"/>
        </w:rPr>
        <w:t> </w:t>
      </w:r>
      <w:r>
        <w:rPr>
          <w:sz w:val="21"/>
        </w:rPr>
        <w:t>allocated</w:t>
      </w:r>
      <w:r>
        <w:rPr>
          <w:spacing w:val="29"/>
          <w:sz w:val="21"/>
        </w:rPr>
        <w:t> </w:t>
      </w:r>
      <w:r>
        <w:rPr>
          <w:sz w:val="21"/>
        </w:rPr>
        <w:t>to</w:t>
      </w:r>
      <w:r>
        <w:rPr>
          <w:spacing w:val="29"/>
          <w:sz w:val="21"/>
        </w:rPr>
        <w:t> </w:t>
      </w:r>
      <w:r>
        <w:rPr>
          <w:sz w:val="21"/>
        </w:rPr>
        <w:t>the</w:t>
      </w:r>
      <w:r>
        <w:rPr>
          <w:spacing w:val="29"/>
          <w:sz w:val="21"/>
        </w:rPr>
        <w:t> </w:t>
      </w:r>
      <w:r>
        <w:rPr>
          <w:sz w:val="21"/>
        </w:rPr>
        <w:t>games,</w:t>
      </w:r>
      <w:r>
        <w:rPr>
          <w:spacing w:val="29"/>
          <w:sz w:val="21"/>
        </w:rPr>
        <w:t> </w:t>
      </w:r>
      <w:r>
        <w:rPr>
          <w:sz w:val="21"/>
        </w:rPr>
        <w:t>unless</w:t>
      </w:r>
      <w:r>
        <w:rPr>
          <w:spacing w:val="29"/>
          <w:sz w:val="21"/>
        </w:rPr>
        <w:t> </w:t>
      </w:r>
      <w:r>
        <w:rPr>
          <w:sz w:val="21"/>
        </w:rPr>
        <w:t>authorized</w:t>
      </w:r>
      <w:r>
        <w:rPr>
          <w:spacing w:val="29"/>
          <w:sz w:val="21"/>
        </w:rPr>
        <w:t> </w:t>
      </w:r>
      <w:r>
        <w:rPr>
          <w:sz w:val="21"/>
        </w:rPr>
        <w:t>by the Government.</w:t>
      </w:r>
    </w:p>
    <w:p>
      <w:pPr>
        <w:pStyle w:val="BodyText"/>
        <w:spacing w:before="152"/>
        <w:rPr>
          <w:sz w:val="21"/>
        </w:rPr>
      </w:pPr>
    </w:p>
    <w:p>
      <w:pPr>
        <w:spacing w:line="213" w:lineRule="auto" w:before="0"/>
        <w:ind w:left="144" w:right="118" w:firstLine="0"/>
        <w:jc w:val="both"/>
        <w:rPr>
          <w:sz w:val="21"/>
        </w:rPr>
      </w:pPr>
      <w:r>
        <w:rPr>
          <w:i/>
          <w:sz w:val="21"/>
        </w:rPr>
        <w:t>Three</w:t>
      </w:r>
      <w:r>
        <w:rPr>
          <w:sz w:val="21"/>
        </w:rPr>
        <w:t>. Notwithstanding the approval referred in the previous paragraph, the Concessionaire undertakes that upon expiry of </w:t>
      </w:r>
      <w:r>
        <w:rPr>
          <w:sz w:val="21"/>
        </w:rPr>
        <w:t>the concession, the casinos, as well as the equipment and utensils allocated to the casinos, even if outside their premises, are free of any</w:t>
      </w:r>
      <w:r>
        <w:rPr>
          <w:spacing w:val="40"/>
          <w:sz w:val="21"/>
        </w:rPr>
        <w:t> </w:t>
      </w:r>
      <w:r>
        <w:rPr>
          <w:sz w:val="21"/>
        </w:rPr>
        <w:t>onus or encumbrance.</w:t>
      </w:r>
    </w:p>
    <w:p>
      <w:pPr>
        <w:pStyle w:val="BodyText"/>
        <w:spacing w:before="154"/>
        <w:rPr>
          <w:sz w:val="21"/>
        </w:rPr>
      </w:pPr>
    </w:p>
    <w:p>
      <w:pPr>
        <w:spacing w:line="213" w:lineRule="auto" w:before="0"/>
        <w:ind w:left="144" w:right="118" w:firstLine="0"/>
        <w:jc w:val="both"/>
        <w:rPr>
          <w:sz w:val="21"/>
        </w:rPr>
      </w:pPr>
      <w:r>
        <w:rPr>
          <w:i/>
          <w:sz w:val="21"/>
        </w:rPr>
        <w:t>Four</w:t>
      </w:r>
      <w:r>
        <w:rPr>
          <w:sz w:val="21"/>
        </w:rPr>
        <w:t>.</w:t>
      </w:r>
      <w:r>
        <w:rPr>
          <w:spacing w:val="17"/>
          <w:sz w:val="21"/>
        </w:rPr>
        <w:t> </w:t>
      </w:r>
      <w:r>
        <w:rPr>
          <w:sz w:val="21"/>
        </w:rPr>
        <w:t>When</w:t>
      </w:r>
      <w:r>
        <w:rPr>
          <w:spacing w:val="21"/>
          <w:sz w:val="21"/>
        </w:rPr>
        <w:t> </w:t>
      </w:r>
      <w:r>
        <w:rPr>
          <w:sz w:val="21"/>
        </w:rPr>
        <w:t>the</w:t>
      </w:r>
      <w:r>
        <w:rPr>
          <w:spacing w:val="21"/>
          <w:sz w:val="21"/>
        </w:rPr>
        <w:t> </w:t>
      </w:r>
      <w:r>
        <w:rPr>
          <w:sz w:val="21"/>
        </w:rPr>
        <w:t>opening</w:t>
      </w:r>
      <w:r>
        <w:rPr>
          <w:spacing w:val="21"/>
          <w:sz w:val="21"/>
        </w:rPr>
        <w:t> </w:t>
      </w:r>
      <w:r>
        <w:rPr>
          <w:sz w:val="21"/>
        </w:rPr>
        <w:t>of</w:t>
      </w:r>
      <w:r>
        <w:rPr>
          <w:spacing w:val="21"/>
          <w:sz w:val="21"/>
        </w:rPr>
        <w:t> </w:t>
      </w:r>
      <w:r>
        <w:rPr>
          <w:sz w:val="21"/>
        </w:rPr>
        <w:t>new</w:t>
      </w:r>
      <w:r>
        <w:rPr>
          <w:spacing w:val="21"/>
          <w:sz w:val="21"/>
        </w:rPr>
        <w:t> </w:t>
      </w:r>
      <w:r>
        <w:rPr>
          <w:sz w:val="21"/>
        </w:rPr>
        <w:t>casinos</w:t>
      </w:r>
      <w:r>
        <w:rPr>
          <w:spacing w:val="21"/>
          <w:sz w:val="21"/>
        </w:rPr>
        <w:t> </w:t>
      </w:r>
      <w:r>
        <w:rPr>
          <w:sz w:val="21"/>
        </w:rPr>
        <w:t>is</w:t>
      </w:r>
      <w:r>
        <w:rPr>
          <w:spacing w:val="21"/>
          <w:sz w:val="21"/>
        </w:rPr>
        <w:t> </w:t>
      </w:r>
      <w:r>
        <w:rPr>
          <w:sz w:val="21"/>
        </w:rPr>
        <w:t>authorized,</w:t>
      </w:r>
      <w:r>
        <w:rPr>
          <w:spacing w:val="21"/>
          <w:sz w:val="21"/>
        </w:rPr>
        <w:t> </w:t>
      </w:r>
      <w:r>
        <w:rPr>
          <w:sz w:val="21"/>
        </w:rPr>
        <w:t>the</w:t>
      </w:r>
      <w:r>
        <w:rPr>
          <w:spacing w:val="21"/>
          <w:sz w:val="21"/>
        </w:rPr>
        <w:t> </w:t>
      </w:r>
      <w:r>
        <w:rPr>
          <w:sz w:val="21"/>
        </w:rPr>
        <w:t>Concessionaire</w:t>
      </w:r>
      <w:r>
        <w:rPr>
          <w:spacing w:val="21"/>
          <w:sz w:val="21"/>
        </w:rPr>
        <w:t> </w:t>
      </w:r>
      <w:r>
        <w:rPr>
          <w:sz w:val="21"/>
        </w:rPr>
        <w:t>is</w:t>
      </w:r>
      <w:r>
        <w:rPr>
          <w:spacing w:val="21"/>
          <w:sz w:val="21"/>
        </w:rPr>
        <w:t> </w:t>
      </w:r>
      <w:r>
        <w:rPr>
          <w:sz w:val="21"/>
        </w:rPr>
        <w:t>obliged</w:t>
      </w:r>
      <w:r>
        <w:rPr>
          <w:spacing w:val="21"/>
          <w:sz w:val="21"/>
        </w:rPr>
        <w:t> </w:t>
      </w:r>
      <w:r>
        <w:rPr>
          <w:sz w:val="21"/>
        </w:rPr>
        <w:t>to</w:t>
      </w:r>
      <w:r>
        <w:rPr>
          <w:spacing w:val="21"/>
          <w:sz w:val="21"/>
        </w:rPr>
        <w:t> </w:t>
      </w:r>
      <w:r>
        <w:rPr>
          <w:sz w:val="21"/>
        </w:rPr>
        <w:t>locate</w:t>
      </w:r>
      <w:r>
        <w:rPr>
          <w:spacing w:val="21"/>
          <w:sz w:val="21"/>
        </w:rPr>
        <w:t> </w:t>
      </w:r>
      <w:r>
        <w:rPr>
          <w:sz w:val="21"/>
        </w:rPr>
        <w:t>these</w:t>
      </w:r>
      <w:r>
        <w:rPr>
          <w:spacing w:val="21"/>
          <w:sz w:val="21"/>
        </w:rPr>
        <w:t> </w:t>
      </w:r>
      <w:r>
        <w:rPr>
          <w:sz w:val="21"/>
        </w:rPr>
        <w:t>casinos</w:t>
      </w:r>
      <w:r>
        <w:rPr>
          <w:spacing w:val="21"/>
          <w:sz w:val="21"/>
        </w:rPr>
        <w:t> </w:t>
      </w:r>
      <w:r>
        <w:rPr>
          <w:sz w:val="21"/>
        </w:rPr>
        <w:t>in</w:t>
      </w:r>
      <w:r>
        <w:rPr>
          <w:spacing w:val="21"/>
          <w:sz w:val="21"/>
        </w:rPr>
        <w:t> </w:t>
      </w:r>
      <w:r>
        <w:rPr>
          <w:sz w:val="21"/>
        </w:rPr>
        <w:t>buildings</w:t>
      </w:r>
      <w:r>
        <w:rPr>
          <w:spacing w:val="21"/>
          <w:sz w:val="21"/>
        </w:rPr>
        <w:t> </w:t>
      </w:r>
      <w:r>
        <w:rPr>
          <w:sz w:val="21"/>
        </w:rPr>
        <w:t>or</w:t>
      </w:r>
      <w:r>
        <w:rPr>
          <w:spacing w:val="21"/>
          <w:sz w:val="21"/>
        </w:rPr>
        <w:t> </w:t>
      </w:r>
      <w:r>
        <w:rPr>
          <w:sz w:val="21"/>
        </w:rPr>
        <w:t>complex of</w:t>
      </w:r>
      <w:r>
        <w:rPr>
          <w:spacing w:val="24"/>
          <w:sz w:val="21"/>
        </w:rPr>
        <w:t> </w:t>
      </w:r>
      <w:r>
        <w:rPr>
          <w:sz w:val="21"/>
        </w:rPr>
        <w:t>buildings,</w:t>
      </w:r>
      <w:r>
        <w:rPr>
          <w:spacing w:val="24"/>
          <w:sz w:val="21"/>
        </w:rPr>
        <w:t> </w:t>
      </w:r>
      <w:r>
        <w:rPr>
          <w:sz w:val="21"/>
        </w:rPr>
        <w:t>even</w:t>
      </w:r>
      <w:r>
        <w:rPr>
          <w:spacing w:val="24"/>
          <w:sz w:val="21"/>
        </w:rPr>
        <w:t> </w:t>
      </w:r>
      <w:r>
        <w:rPr>
          <w:sz w:val="21"/>
        </w:rPr>
        <w:t>if</w:t>
      </w:r>
      <w:r>
        <w:rPr>
          <w:spacing w:val="24"/>
          <w:sz w:val="21"/>
        </w:rPr>
        <w:t> </w:t>
      </w:r>
      <w:r>
        <w:rPr>
          <w:sz w:val="21"/>
        </w:rPr>
        <w:t>they</w:t>
      </w:r>
      <w:r>
        <w:rPr>
          <w:spacing w:val="24"/>
          <w:sz w:val="21"/>
        </w:rPr>
        <w:t> </w:t>
      </w:r>
      <w:r>
        <w:rPr>
          <w:sz w:val="21"/>
        </w:rPr>
        <w:t>constitute</w:t>
      </w:r>
      <w:r>
        <w:rPr>
          <w:spacing w:val="24"/>
          <w:sz w:val="21"/>
        </w:rPr>
        <w:t> </w:t>
      </w:r>
      <w:r>
        <w:rPr>
          <w:sz w:val="21"/>
        </w:rPr>
        <w:t>an</w:t>
      </w:r>
      <w:r>
        <w:rPr>
          <w:spacing w:val="24"/>
          <w:sz w:val="21"/>
        </w:rPr>
        <w:t> </w:t>
      </w:r>
      <w:r>
        <w:rPr>
          <w:sz w:val="21"/>
        </w:rPr>
        <w:t>economic</w:t>
      </w:r>
      <w:r>
        <w:rPr>
          <w:spacing w:val="24"/>
          <w:sz w:val="21"/>
        </w:rPr>
        <w:t> </w:t>
      </w:r>
      <w:r>
        <w:rPr>
          <w:sz w:val="21"/>
        </w:rPr>
        <w:t>and</w:t>
      </w:r>
      <w:r>
        <w:rPr>
          <w:spacing w:val="24"/>
          <w:sz w:val="21"/>
        </w:rPr>
        <w:t> </w:t>
      </w:r>
      <w:r>
        <w:rPr>
          <w:sz w:val="21"/>
        </w:rPr>
        <w:t>functional</w:t>
      </w:r>
      <w:r>
        <w:rPr>
          <w:spacing w:val="24"/>
          <w:sz w:val="21"/>
        </w:rPr>
        <w:t> </w:t>
      </w:r>
      <w:r>
        <w:rPr>
          <w:sz w:val="21"/>
        </w:rPr>
        <w:t>unit,</w:t>
      </w:r>
      <w:r>
        <w:rPr>
          <w:spacing w:val="24"/>
          <w:sz w:val="21"/>
        </w:rPr>
        <w:t> </w:t>
      </w:r>
      <w:r>
        <w:rPr>
          <w:sz w:val="21"/>
        </w:rPr>
        <w:t>under</w:t>
      </w:r>
      <w:r>
        <w:rPr>
          <w:spacing w:val="24"/>
          <w:sz w:val="21"/>
        </w:rPr>
        <w:t> </w:t>
      </w:r>
      <w:r>
        <w:rPr>
          <w:sz w:val="21"/>
        </w:rPr>
        <w:t>the</w:t>
      </w:r>
      <w:r>
        <w:rPr>
          <w:spacing w:val="24"/>
          <w:sz w:val="21"/>
        </w:rPr>
        <w:t> </w:t>
      </w:r>
      <w:r>
        <w:rPr>
          <w:sz w:val="21"/>
        </w:rPr>
        <w:t>strata</w:t>
      </w:r>
      <w:r>
        <w:rPr>
          <w:spacing w:val="24"/>
          <w:sz w:val="21"/>
        </w:rPr>
        <w:t> </w:t>
      </w:r>
      <w:r>
        <w:rPr>
          <w:sz w:val="21"/>
        </w:rPr>
        <w:t>title</w:t>
      </w:r>
      <w:r>
        <w:rPr>
          <w:spacing w:val="24"/>
          <w:sz w:val="21"/>
        </w:rPr>
        <w:t> </w:t>
      </w:r>
      <w:r>
        <w:rPr>
          <w:sz w:val="21"/>
        </w:rPr>
        <w:t>,</w:t>
      </w:r>
      <w:r>
        <w:rPr>
          <w:spacing w:val="24"/>
          <w:sz w:val="21"/>
        </w:rPr>
        <w:t> </w:t>
      </w:r>
      <w:r>
        <w:rPr>
          <w:sz w:val="21"/>
        </w:rPr>
        <w:t>in</w:t>
      </w:r>
      <w:r>
        <w:rPr>
          <w:spacing w:val="24"/>
          <w:sz w:val="21"/>
        </w:rPr>
        <w:t> </w:t>
      </w:r>
      <w:r>
        <w:rPr>
          <w:sz w:val="21"/>
        </w:rPr>
        <w:t>such</w:t>
      </w:r>
      <w:r>
        <w:rPr>
          <w:spacing w:val="24"/>
          <w:sz w:val="21"/>
        </w:rPr>
        <w:t> </w:t>
      </w:r>
      <w:r>
        <w:rPr>
          <w:sz w:val="21"/>
        </w:rPr>
        <w:t>a</w:t>
      </w:r>
      <w:r>
        <w:rPr>
          <w:spacing w:val="24"/>
          <w:sz w:val="21"/>
        </w:rPr>
        <w:t> </w:t>
      </w:r>
      <w:r>
        <w:rPr>
          <w:sz w:val="21"/>
        </w:rPr>
        <w:t>way</w:t>
      </w:r>
      <w:r>
        <w:rPr>
          <w:spacing w:val="24"/>
          <w:sz w:val="21"/>
        </w:rPr>
        <w:t> </w:t>
      </w:r>
      <w:r>
        <w:rPr>
          <w:sz w:val="21"/>
        </w:rPr>
        <w:t>that</w:t>
      </w:r>
      <w:r>
        <w:rPr>
          <w:spacing w:val="24"/>
          <w:sz w:val="21"/>
        </w:rPr>
        <w:t> </w:t>
      </w:r>
      <w:r>
        <w:rPr>
          <w:sz w:val="21"/>
        </w:rPr>
        <w:t>they</w:t>
      </w:r>
      <w:r>
        <w:rPr>
          <w:spacing w:val="24"/>
          <w:sz w:val="21"/>
        </w:rPr>
        <w:t> </w:t>
      </w:r>
      <w:r>
        <w:rPr>
          <w:sz w:val="21"/>
        </w:rPr>
        <w:t>are</w:t>
      </w:r>
      <w:r>
        <w:rPr>
          <w:spacing w:val="24"/>
          <w:sz w:val="21"/>
        </w:rPr>
        <w:t> </w:t>
      </w:r>
      <w:r>
        <w:rPr>
          <w:sz w:val="21"/>
        </w:rPr>
        <w:t>operated</w:t>
      </w:r>
      <w:r>
        <w:rPr>
          <w:spacing w:val="24"/>
          <w:sz w:val="21"/>
        </w:rPr>
        <w:t> </w:t>
      </w:r>
      <w:r>
        <w:rPr>
          <w:sz w:val="21"/>
        </w:rPr>
        <w:t>in one</w:t>
      </w:r>
      <w:r>
        <w:rPr>
          <w:spacing w:val="30"/>
          <w:sz w:val="21"/>
        </w:rPr>
        <w:t> </w:t>
      </w:r>
      <w:r>
        <w:rPr>
          <w:sz w:val="21"/>
        </w:rPr>
        <w:t>or</w:t>
      </w:r>
      <w:r>
        <w:rPr>
          <w:spacing w:val="30"/>
          <w:sz w:val="21"/>
        </w:rPr>
        <w:t> </w:t>
      </w:r>
      <w:r>
        <w:rPr>
          <w:sz w:val="21"/>
        </w:rPr>
        <w:t>more</w:t>
      </w:r>
      <w:r>
        <w:rPr>
          <w:spacing w:val="30"/>
          <w:sz w:val="21"/>
        </w:rPr>
        <w:t> </w:t>
      </w:r>
      <w:r>
        <w:rPr>
          <w:sz w:val="21"/>
        </w:rPr>
        <w:t>autonomous</w:t>
      </w:r>
      <w:r>
        <w:rPr>
          <w:spacing w:val="30"/>
          <w:sz w:val="21"/>
        </w:rPr>
        <w:t> </w:t>
      </w:r>
      <w:r>
        <w:rPr>
          <w:sz w:val="21"/>
        </w:rPr>
        <w:t>units,</w:t>
      </w:r>
      <w:r>
        <w:rPr>
          <w:spacing w:val="30"/>
          <w:sz w:val="21"/>
        </w:rPr>
        <w:t> </w:t>
      </w:r>
      <w:r>
        <w:rPr>
          <w:sz w:val="21"/>
        </w:rPr>
        <w:t>whose</w:t>
      </w:r>
      <w:r>
        <w:rPr>
          <w:spacing w:val="30"/>
          <w:sz w:val="21"/>
        </w:rPr>
        <w:t> </w:t>
      </w:r>
      <w:r>
        <w:rPr>
          <w:sz w:val="21"/>
        </w:rPr>
        <w:t>areas</w:t>
      </w:r>
      <w:r>
        <w:rPr>
          <w:spacing w:val="30"/>
          <w:sz w:val="21"/>
        </w:rPr>
        <w:t> </w:t>
      </w:r>
      <w:r>
        <w:rPr>
          <w:sz w:val="21"/>
        </w:rPr>
        <w:t>shall</w:t>
      </w:r>
      <w:r>
        <w:rPr>
          <w:spacing w:val="30"/>
          <w:sz w:val="21"/>
        </w:rPr>
        <w:t> </w:t>
      </w:r>
      <w:r>
        <w:rPr>
          <w:sz w:val="21"/>
        </w:rPr>
        <w:t>be</w:t>
      </w:r>
      <w:r>
        <w:rPr>
          <w:spacing w:val="30"/>
          <w:sz w:val="21"/>
        </w:rPr>
        <w:t> </w:t>
      </w:r>
      <w:r>
        <w:rPr>
          <w:sz w:val="21"/>
        </w:rPr>
        <w:t>perfectly</w:t>
      </w:r>
      <w:r>
        <w:rPr>
          <w:spacing w:val="30"/>
          <w:sz w:val="21"/>
        </w:rPr>
        <w:t> </w:t>
      </w:r>
      <w:r>
        <w:rPr>
          <w:sz w:val="21"/>
        </w:rPr>
        <w:t>identified</w:t>
      </w:r>
      <w:r>
        <w:rPr>
          <w:spacing w:val="30"/>
          <w:sz w:val="21"/>
        </w:rPr>
        <w:t> </w:t>
      </w:r>
      <w:r>
        <w:rPr>
          <w:sz w:val="21"/>
        </w:rPr>
        <w:t>and</w:t>
      </w:r>
      <w:r>
        <w:rPr>
          <w:spacing w:val="30"/>
          <w:sz w:val="21"/>
        </w:rPr>
        <w:t> </w:t>
      </w:r>
      <w:r>
        <w:rPr>
          <w:sz w:val="21"/>
        </w:rPr>
        <w:t>delimited.</w:t>
      </w:r>
    </w:p>
    <w:p>
      <w:pPr>
        <w:pStyle w:val="BodyText"/>
        <w:spacing w:before="166"/>
        <w:rPr>
          <w:sz w:val="21"/>
        </w:rPr>
      </w:pPr>
    </w:p>
    <w:p>
      <w:pPr>
        <w:spacing w:line="213" w:lineRule="auto" w:before="0"/>
        <w:ind w:left="144" w:right="118" w:firstLine="0"/>
        <w:jc w:val="both"/>
        <w:rPr>
          <w:sz w:val="21"/>
        </w:rPr>
      </w:pPr>
      <w:r>
        <w:rPr>
          <w:i/>
          <w:sz w:val="21"/>
        </w:rPr>
        <w:t>Five. </w:t>
      </w:r>
      <w:r>
        <w:rPr>
          <w:sz w:val="21"/>
        </w:rPr>
        <w:t>For the scopes of the previous paragraph, the Concessionaire shall submit to the government, as soon as possible, a certificate</w:t>
      </w:r>
      <w:r>
        <w:rPr>
          <w:spacing w:val="80"/>
          <w:sz w:val="21"/>
        </w:rPr>
        <w:t> </w:t>
      </w:r>
      <w:r>
        <w:rPr>
          <w:sz w:val="21"/>
        </w:rPr>
        <w:t>from the Property Registry describing all its autonomous units, including the by-laws of such buildings, accompanied by a floor plan where the respective areas are defined and delimited.</w:t>
      </w:r>
    </w:p>
    <w:p>
      <w:pPr>
        <w:pStyle w:val="BodyText"/>
        <w:spacing w:before="154"/>
        <w:rPr>
          <w:sz w:val="21"/>
        </w:rPr>
      </w:pPr>
    </w:p>
    <w:p>
      <w:pPr>
        <w:spacing w:line="213" w:lineRule="auto" w:before="0"/>
        <w:ind w:left="144" w:right="118" w:firstLine="0"/>
        <w:jc w:val="both"/>
        <w:rPr>
          <w:sz w:val="21"/>
        </w:rPr>
      </w:pPr>
      <w:r>
        <w:rPr>
          <w:i/>
          <w:sz w:val="21"/>
        </w:rPr>
        <w:t>Six.</w:t>
      </w:r>
      <w:r>
        <w:rPr>
          <w:i/>
          <w:spacing w:val="16"/>
          <w:sz w:val="21"/>
        </w:rPr>
        <w:t> </w:t>
      </w:r>
      <w:r>
        <w:rPr>
          <w:sz w:val="21"/>
        </w:rPr>
        <w:t>The</w:t>
      </w:r>
      <w:r>
        <w:rPr>
          <w:spacing w:val="20"/>
          <w:sz w:val="21"/>
        </w:rPr>
        <w:t> </w:t>
      </w:r>
      <w:r>
        <w:rPr>
          <w:sz w:val="21"/>
        </w:rPr>
        <w:t>Concessionaire</w:t>
      </w:r>
      <w:r>
        <w:rPr>
          <w:spacing w:val="20"/>
          <w:sz w:val="21"/>
        </w:rPr>
        <w:t> </w:t>
      </w:r>
      <w:r>
        <w:rPr>
          <w:sz w:val="21"/>
        </w:rPr>
        <w:t>is</w:t>
      </w:r>
      <w:r>
        <w:rPr>
          <w:spacing w:val="20"/>
          <w:sz w:val="21"/>
        </w:rPr>
        <w:t> </w:t>
      </w:r>
      <w:r>
        <w:rPr>
          <w:sz w:val="21"/>
        </w:rPr>
        <w:t>required</w:t>
      </w:r>
      <w:r>
        <w:rPr>
          <w:spacing w:val="20"/>
          <w:sz w:val="21"/>
        </w:rPr>
        <w:t> </w:t>
      </w:r>
      <w:r>
        <w:rPr>
          <w:sz w:val="21"/>
        </w:rPr>
        <w:t>to</w:t>
      </w:r>
      <w:r>
        <w:rPr>
          <w:spacing w:val="20"/>
          <w:sz w:val="21"/>
        </w:rPr>
        <w:t> </w:t>
      </w:r>
      <w:r>
        <w:rPr>
          <w:sz w:val="21"/>
        </w:rPr>
        <w:t>proceed</w:t>
      </w:r>
      <w:r>
        <w:rPr>
          <w:spacing w:val="20"/>
          <w:sz w:val="21"/>
        </w:rPr>
        <w:t> </w:t>
      </w:r>
      <w:r>
        <w:rPr>
          <w:sz w:val="21"/>
        </w:rPr>
        <w:t>with</w:t>
      </w:r>
      <w:r>
        <w:rPr>
          <w:spacing w:val="20"/>
          <w:sz w:val="21"/>
        </w:rPr>
        <w:t> </w:t>
      </w:r>
      <w:r>
        <w:rPr>
          <w:sz w:val="21"/>
        </w:rPr>
        <w:t>the</w:t>
      </w:r>
      <w:r>
        <w:rPr>
          <w:spacing w:val="20"/>
          <w:sz w:val="21"/>
        </w:rPr>
        <w:t> </w:t>
      </w:r>
      <w:r>
        <w:rPr>
          <w:sz w:val="21"/>
        </w:rPr>
        <w:t>registration</w:t>
      </w:r>
      <w:r>
        <w:rPr>
          <w:spacing w:val="20"/>
          <w:sz w:val="21"/>
        </w:rPr>
        <w:t> </w:t>
      </w:r>
      <w:r>
        <w:rPr>
          <w:sz w:val="21"/>
        </w:rPr>
        <w:t>of</w:t>
      </w:r>
      <w:r>
        <w:rPr>
          <w:spacing w:val="20"/>
          <w:sz w:val="21"/>
        </w:rPr>
        <w:t> </w:t>
      </w:r>
      <w:r>
        <w:rPr>
          <w:sz w:val="21"/>
        </w:rPr>
        <w:t>any</w:t>
      </w:r>
      <w:r>
        <w:rPr>
          <w:spacing w:val="20"/>
          <w:sz w:val="21"/>
        </w:rPr>
        <w:t> </w:t>
      </w:r>
      <w:r>
        <w:rPr>
          <w:sz w:val="21"/>
        </w:rPr>
        <w:t>alteration</w:t>
      </w:r>
      <w:r>
        <w:rPr>
          <w:spacing w:val="20"/>
          <w:sz w:val="21"/>
        </w:rPr>
        <w:t> </w:t>
      </w:r>
      <w:r>
        <w:rPr>
          <w:sz w:val="21"/>
        </w:rPr>
        <w:t>to</w:t>
      </w:r>
      <w:r>
        <w:rPr>
          <w:spacing w:val="20"/>
          <w:sz w:val="21"/>
        </w:rPr>
        <w:t> </w:t>
      </w:r>
      <w:r>
        <w:rPr>
          <w:sz w:val="21"/>
        </w:rPr>
        <w:t>the</w:t>
      </w:r>
      <w:r>
        <w:rPr>
          <w:spacing w:val="20"/>
          <w:sz w:val="21"/>
        </w:rPr>
        <w:t> </w:t>
      </w:r>
      <w:r>
        <w:rPr>
          <w:sz w:val="21"/>
        </w:rPr>
        <w:t>autonomous</w:t>
      </w:r>
      <w:r>
        <w:rPr>
          <w:spacing w:val="20"/>
          <w:sz w:val="21"/>
        </w:rPr>
        <w:t> </w:t>
      </w:r>
      <w:r>
        <w:rPr>
          <w:sz w:val="21"/>
        </w:rPr>
        <w:t>units</w:t>
      </w:r>
      <w:r>
        <w:rPr>
          <w:spacing w:val="20"/>
          <w:sz w:val="21"/>
        </w:rPr>
        <w:t> </w:t>
      </w:r>
      <w:r>
        <w:rPr>
          <w:sz w:val="21"/>
        </w:rPr>
        <w:t>ownership</w:t>
      </w:r>
      <w:r>
        <w:rPr>
          <w:spacing w:val="20"/>
          <w:sz w:val="21"/>
        </w:rPr>
        <w:t> </w:t>
      </w:r>
      <w:r>
        <w:rPr>
          <w:sz w:val="21"/>
        </w:rPr>
        <w:t>and</w:t>
      </w:r>
      <w:r>
        <w:rPr>
          <w:spacing w:val="20"/>
          <w:sz w:val="21"/>
        </w:rPr>
        <w:t> </w:t>
      </w:r>
      <w:r>
        <w:rPr>
          <w:sz w:val="21"/>
        </w:rPr>
        <w:t>send</w:t>
      </w:r>
      <w:r>
        <w:rPr>
          <w:spacing w:val="20"/>
          <w:sz w:val="21"/>
        </w:rPr>
        <w:t> </w:t>
      </w:r>
      <w:r>
        <w:rPr>
          <w:sz w:val="21"/>
        </w:rPr>
        <w:t>to the Government, through DSF, the respective land registry certificate as soon as possible.</w:t>
      </w:r>
    </w:p>
    <w:p>
      <w:pPr>
        <w:pStyle w:val="BodyText"/>
        <w:spacing w:before="152"/>
        <w:rPr>
          <w:sz w:val="21"/>
        </w:rPr>
      </w:pPr>
    </w:p>
    <w:p>
      <w:pPr>
        <w:spacing w:line="213" w:lineRule="auto" w:before="0"/>
        <w:ind w:left="144" w:right="119" w:firstLine="0"/>
        <w:jc w:val="both"/>
        <w:rPr>
          <w:sz w:val="21"/>
        </w:rPr>
      </w:pPr>
      <w:r>
        <w:rPr>
          <w:i/>
          <w:sz w:val="21"/>
        </w:rPr>
        <w:t>Seven. </w:t>
      </w:r>
      <w:r>
        <w:rPr>
          <w:sz w:val="21"/>
        </w:rPr>
        <w:t>The Concessionaire shall also be required to submit the condominium regulations relating to horizontal property to the Government for approval.</w:t>
      </w:r>
    </w:p>
    <w:p>
      <w:pPr>
        <w:pStyle w:val="BodyText"/>
        <w:spacing w:before="130"/>
        <w:rPr>
          <w:sz w:val="21"/>
        </w:rPr>
      </w:pPr>
    </w:p>
    <w:p>
      <w:pPr>
        <w:spacing w:before="1"/>
        <w:ind w:left="24" w:right="0" w:firstLine="0"/>
        <w:jc w:val="center"/>
        <w:rPr>
          <w:b/>
          <w:sz w:val="21"/>
        </w:rPr>
      </w:pPr>
      <w:r>
        <w:rPr>
          <w:b/>
          <w:sz w:val="21"/>
        </w:rPr>
        <w:t>Clause</w:t>
      </w:r>
      <w:r>
        <w:rPr>
          <w:b/>
          <w:spacing w:val="13"/>
          <w:sz w:val="21"/>
        </w:rPr>
        <w:t> </w:t>
      </w:r>
      <w:r>
        <w:rPr>
          <w:b/>
          <w:spacing w:val="-5"/>
          <w:sz w:val="21"/>
        </w:rPr>
        <w:t>45</w:t>
      </w:r>
    </w:p>
    <w:p>
      <w:pPr>
        <w:spacing w:before="69"/>
        <w:ind w:left="24" w:right="0" w:firstLine="0"/>
        <w:jc w:val="center"/>
        <w:rPr>
          <w:b/>
          <w:sz w:val="21"/>
        </w:rPr>
      </w:pPr>
      <w:r>
        <w:rPr>
          <w:b/>
          <w:sz w:val="21"/>
        </w:rPr>
        <w:t>Reversion</w:t>
      </w:r>
      <w:r>
        <w:rPr>
          <w:b/>
          <w:spacing w:val="11"/>
          <w:sz w:val="21"/>
        </w:rPr>
        <w:t> </w:t>
      </w:r>
      <w:r>
        <w:rPr>
          <w:b/>
          <w:sz w:val="21"/>
        </w:rPr>
        <w:t>of</w:t>
      </w:r>
      <w:r>
        <w:rPr>
          <w:b/>
          <w:spacing w:val="12"/>
          <w:sz w:val="21"/>
        </w:rPr>
        <w:t> </w:t>
      </w:r>
      <w:r>
        <w:rPr>
          <w:b/>
          <w:sz w:val="21"/>
        </w:rPr>
        <w:t>the</w:t>
      </w:r>
      <w:r>
        <w:rPr>
          <w:b/>
          <w:spacing w:val="12"/>
          <w:sz w:val="21"/>
        </w:rPr>
        <w:t> </w:t>
      </w:r>
      <w:r>
        <w:rPr>
          <w:b/>
          <w:sz w:val="21"/>
        </w:rPr>
        <w:t>casinos</w:t>
      </w:r>
      <w:r>
        <w:rPr>
          <w:b/>
          <w:spacing w:val="11"/>
          <w:sz w:val="21"/>
        </w:rPr>
        <w:t> </w:t>
      </w:r>
      <w:r>
        <w:rPr>
          <w:b/>
          <w:sz w:val="21"/>
        </w:rPr>
        <w:t>and</w:t>
      </w:r>
      <w:r>
        <w:rPr>
          <w:b/>
          <w:spacing w:val="12"/>
          <w:sz w:val="21"/>
        </w:rPr>
        <w:t> </w:t>
      </w:r>
      <w:r>
        <w:rPr>
          <w:b/>
          <w:sz w:val="21"/>
        </w:rPr>
        <w:t>gaming</w:t>
      </w:r>
      <w:r>
        <w:rPr>
          <w:b/>
          <w:spacing w:val="12"/>
          <w:sz w:val="21"/>
        </w:rPr>
        <w:t> </w:t>
      </w:r>
      <w:r>
        <w:rPr>
          <w:b/>
          <w:sz w:val="21"/>
        </w:rPr>
        <w:t>equipment</w:t>
      </w:r>
      <w:r>
        <w:rPr>
          <w:b/>
          <w:spacing w:val="12"/>
          <w:sz w:val="21"/>
        </w:rPr>
        <w:t> </w:t>
      </w:r>
      <w:r>
        <w:rPr>
          <w:b/>
          <w:sz w:val="21"/>
        </w:rPr>
        <w:t>and</w:t>
      </w:r>
      <w:r>
        <w:rPr>
          <w:b/>
          <w:spacing w:val="11"/>
          <w:sz w:val="21"/>
        </w:rPr>
        <w:t> </w:t>
      </w:r>
      <w:r>
        <w:rPr>
          <w:b/>
          <w:spacing w:val="-2"/>
          <w:sz w:val="21"/>
        </w:rPr>
        <w:t>utensils</w:t>
      </w:r>
    </w:p>
    <w:p>
      <w:pPr>
        <w:pStyle w:val="BodyText"/>
        <w:spacing w:before="145"/>
        <w:rPr>
          <w:b/>
          <w:sz w:val="21"/>
        </w:rPr>
      </w:pPr>
    </w:p>
    <w:p>
      <w:pPr>
        <w:spacing w:line="213" w:lineRule="auto" w:before="1"/>
        <w:ind w:left="144" w:right="119" w:firstLine="0"/>
        <w:jc w:val="both"/>
        <w:rPr>
          <w:sz w:val="21"/>
        </w:rPr>
      </w:pPr>
      <w:r>
        <w:rPr>
          <w:i/>
          <w:sz w:val="21"/>
        </w:rPr>
        <w:t>One</w:t>
      </w:r>
      <w:r>
        <w:rPr>
          <w:sz w:val="21"/>
        </w:rPr>
        <w:t>. Upon termination or extinction of the concession, the casinos, as well as the gaming equipment and utensils allocated, even if located outside their premises, will revert gratuitously and automatically to the Macau SAR, with the exception of the casinos,</w:t>
      </w:r>
      <w:r>
        <w:rPr>
          <w:spacing w:val="40"/>
          <w:sz w:val="21"/>
        </w:rPr>
        <w:t> </w:t>
      </w:r>
      <w:r>
        <w:rPr>
          <w:sz w:val="21"/>
        </w:rPr>
        <w:t>equipment and utensils allocated to games whose use and fruition have been temporarily transferred to the Concessionaire under the terms of Clause 49.</w:t>
      </w:r>
    </w:p>
    <w:p>
      <w:pPr>
        <w:pStyle w:val="BodyText"/>
        <w:spacing w:before="167"/>
        <w:rPr>
          <w:sz w:val="21"/>
        </w:rPr>
      </w:pPr>
    </w:p>
    <w:p>
      <w:pPr>
        <w:spacing w:line="213" w:lineRule="auto" w:before="1"/>
        <w:ind w:left="144" w:right="118" w:firstLine="0"/>
        <w:jc w:val="both"/>
        <w:rPr>
          <w:sz w:val="21"/>
        </w:rPr>
      </w:pPr>
      <w:r>
        <w:rPr>
          <w:i/>
          <w:sz w:val="21"/>
        </w:rPr>
        <w:t>Two</w:t>
      </w:r>
      <w:r>
        <w:rPr>
          <w:sz w:val="21"/>
        </w:rPr>
        <w:t>. The Concessionaire undertakes to deliver the properties referred to in the previous paragraph in a perfect state of repair and operation,</w:t>
      </w:r>
      <w:r>
        <w:rPr>
          <w:spacing w:val="22"/>
          <w:sz w:val="21"/>
        </w:rPr>
        <w:t> </w:t>
      </w:r>
      <w:r>
        <w:rPr>
          <w:sz w:val="21"/>
        </w:rPr>
        <w:t>without</w:t>
      </w:r>
      <w:r>
        <w:rPr>
          <w:spacing w:val="22"/>
          <w:sz w:val="21"/>
        </w:rPr>
        <w:t> </w:t>
      </w:r>
      <w:r>
        <w:rPr>
          <w:sz w:val="21"/>
        </w:rPr>
        <w:t>prejudice</w:t>
      </w:r>
      <w:r>
        <w:rPr>
          <w:spacing w:val="22"/>
          <w:sz w:val="21"/>
        </w:rPr>
        <w:t> </w:t>
      </w:r>
      <w:r>
        <w:rPr>
          <w:sz w:val="21"/>
        </w:rPr>
        <w:t>to</w:t>
      </w:r>
      <w:r>
        <w:rPr>
          <w:spacing w:val="22"/>
          <w:sz w:val="21"/>
        </w:rPr>
        <w:t> </w:t>
      </w:r>
      <w:r>
        <w:rPr>
          <w:sz w:val="21"/>
        </w:rPr>
        <w:t>their</w:t>
      </w:r>
      <w:r>
        <w:rPr>
          <w:spacing w:val="22"/>
          <w:sz w:val="21"/>
        </w:rPr>
        <w:t> </w:t>
      </w:r>
      <w:r>
        <w:rPr>
          <w:sz w:val="21"/>
        </w:rPr>
        <w:t>normal</w:t>
      </w:r>
      <w:r>
        <w:rPr>
          <w:spacing w:val="22"/>
          <w:sz w:val="21"/>
        </w:rPr>
        <w:t> </w:t>
      </w:r>
      <w:r>
        <w:rPr>
          <w:sz w:val="21"/>
        </w:rPr>
        <w:t>wear</w:t>
      </w:r>
      <w:r>
        <w:rPr>
          <w:spacing w:val="22"/>
          <w:sz w:val="21"/>
        </w:rPr>
        <w:t> </w:t>
      </w:r>
      <w:r>
        <w:rPr>
          <w:sz w:val="21"/>
        </w:rPr>
        <w:t>and</w:t>
      </w:r>
      <w:r>
        <w:rPr>
          <w:spacing w:val="22"/>
          <w:sz w:val="21"/>
        </w:rPr>
        <w:t> </w:t>
      </w:r>
      <w:r>
        <w:rPr>
          <w:sz w:val="21"/>
        </w:rPr>
        <w:t>tear</w:t>
      </w:r>
      <w:r>
        <w:rPr>
          <w:spacing w:val="22"/>
          <w:sz w:val="21"/>
        </w:rPr>
        <w:t> </w:t>
      </w:r>
      <w:r>
        <w:rPr>
          <w:sz w:val="21"/>
        </w:rPr>
        <w:t>due</w:t>
      </w:r>
      <w:r>
        <w:rPr>
          <w:spacing w:val="22"/>
          <w:sz w:val="21"/>
        </w:rPr>
        <w:t> </w:t>
      </w:r>
      <w:r>
        <w:rPr>
          <w:sz w:val="21"/>
        </w:rPr>
        <w:t>to</w:t>
      </w:r>
      <w:r>
        <w:rPr>
          <w:spacing w:val="22"/>
          <w:sz w:val="21"/>
        </w:rPr>
        <w:t> </w:t>
      </w:r>
      <w:r>
        <w:rPr>
          <w:sz w:val="21"/>
        </w:rPr>
        <w:t>their</w:t>
      </w:r>
      <w:r>
        <w:rPr>
          <w:spacing w:val="22"/>
          <w:sz w:val="21"/>
        </w:rPr>
        <w:t> </w:t>
      </w:r>
      <w:r>
        <w:rPr>
          <w:sz w:val="21"/>
        </w:rPr>
        <w:t>use</w:t>
      </w:r>
      <w:r>
        <w:rPr>
          <w:spacing w:val="22"/>
          <w:sz w:val="21"/>
        </w:rPr>
        <w:t> </w:t>
      </w:r>
      <w:r>
        <w:rPr>
          <w:sz w:val="21"/>
        </w:rPr>
        <w:t>for</w:t>
      </w:r>
      <w:r>
        <w:rPr>
          <w:spacing w:val="22"/>
          <w:sz w:val="21"/>
        </w:rPr>
        <w:t> </w:t>
      </w:r>
      <w:r>
        <w:rPr>
          <w:sz w:val="21"/>
        </w:rPr>
        <w:t>the</w:t>
      </w:r>
      <w:r>
        <w:rPr>
          <w:spacing w:val="22"/>
          <w:sz w:val="21"/>
        </w:rPr>
        <w:t> </w:t>
      </w:r>
      <w:r>
        <w:rPr>
          <w:sz w:val="21"/>
        </w:rPr>
        <w:t>purposes</w:t>
      </w:r>
      <w:r>
        <w:rPr>
          <w:spacing w:val="22"/>
          <w:sz w:val="21"/>
        </w:rPr>
        <w:t> </w:t>
      </w:r>
      <w:r>
        <w:rPr>
          <w:sz w:val="21"/>
        </w:rPr>
        <w:t>of</w:t>
      </w:r>
      <w:r>
        <w:rPr>
          <w:spacing w:val="22"/>
          <w:sz w:val="21"/>
        </w:rPr>
        <w:t> </w:t>
      </w:r>
      <w:r>
        <w:rPr>
          <w:sz w:val="21"/>
        </w:rPr>
        <w:t>this</w:t>
      </w:r>
      <w:r>
        <w:rPr>
          <w:spacing w:val="22"/>
          <w:sz w:val="21"/>
        </w:rPr>
        <w:t> </w:t>
      </w:r>
      <w:r>
        <w:rPr>
          <w:sz w:val="21"/>
        </w:rPr>
        <w:t>concession</w:t>
      </w:r>
      <w:r>
        <w:rPr>
          <w:spacing w:val="22"/>
          <w:sz w:val="21"/>
        </w:rPr>
        <w:t> </w:t>
      </w:r>
      <w:r>
        <w:rPr>
          <w:sz w:val="21"/>
        </w:rPr>
        <w:t>contract.</w:t>
      </w:r>
    </w:p>
    <w:p>
      <w:pPr>
        <w:pStyle w:val="BodyText"/>
        <w:spacing w:before="152"/>
        <w:rPr>
          <w:sz w:val="21"/>
        </w:rPr>
      </w:pPr>
    </w:p>
    <w:p>
      <w:pPr>
        <w:spacing w:line="213" w:lineRule="auto" w:before="0"/>
        <w:ind w:left="144" w:right="117" w:firstLine="0"/>
        <w:jc w:val="both"/>
        <w:rPr>
          <w:sz w:val="21"/>
        </w:rPr>
      </w:pPr>
      <w:r>
        <w:rPr>
          <w:i/>
          <w:sz w:val="21"/>
        </w:rPr>
        <w:t>Three</w:t>
      </w:r>
      <w:r>
        <w:rPr>
          <w:sz w:val="21"/>
        </w:rPr>
        <w:t>. For registration purposes, during reversion of the assets and rights referred to in paragraph </w:t>
      </w:r>
      <w:r>
        <w:rPr>
          <w:i/>
          <w:sz w:val="21"/>
        </w:rPr>
        <w:t>one </w:t>
      </w:r>
      <w:r>
        <w:rPr>
          <w:sz w:val="21"/>
        </w:rPr>
        <w:t>above, the record drawn up </w:t>
      </w:r>
      <w:r>
        <w:rPr>
          <w:sz w:val="21"/>
        </w:rPr>
        <w:t>by public</w:t>
      </w:r>
      <w:r>
        <w:rPr>
          <w:spacing w:val="20"/>
          <w:sz w:val="21"/>
        </w:rPr>
        <w:t> </w:t>
      </w:r>
      <w:r>
        <w:rPr>
          <w:sz w:val="21"/>
        </w:rPr>
        <w:t>deed</w:t>
      </w:r>
      <w:r>
        <w:rPr>
          <w:spacing w:val="20"/>
          <w:sz w:val="21"/>
        </w:rPr>
        <w:t> </w:t>
      </w:r>
      <w:r>
        <w:rPr>
          <w:sz w:val="21"/>
        </w:rPr>
        <w:t>will</w:t>
      </w:r>
      <w:r>
        <w:rPr>
          <w:spacing w:val="20"/>
          <w:sz w:val="21"/>
        </w:rPr>
        <w:t> </w:t>
      </w:r>
      <w:r>
        <w:rPr>
          <w:sz w:val="21"/>
        </w:rPr>
        <w:t>serve</w:t>
      </w:r>
      <w:r>
        <w:rPr>
          <w:spacing w:val="20"/>
          <w:sz w:val="21"/>
        </w:rPr>
        <w:t> </w:t>
      </w:r>
      <w:r>
        <w:rPr>
          <w:sz w:val="21"/>
        </w:rPr>
        <w:t>as</w:t>
      </w:r>
      <w:r>
        <w:rPr>
          <w:spacing w:val="20"/>
          <w:sz w:val="21"/>
        </w:rPr>
        <w:t> </w:t>
      </w:r>
      <w:r>
        <w:rPr>
          <w:sz w:val="21"/>
        </w:rPr>
        <w:t>the</w:t>
      </w:r>
      <w:r>
        <w:rPr>
          <w:spacing w:val="20"/>
          <w:sz w:val="21"/>
        </w:rPr>
        <w:t> </w:t>
      </w:r>
      <w:r>
        <w:rPr>
          <w:sz w:val="21"/>
        </w:rPr>
        <w:t>transfer</w:t>
      </w:r>
      <w:r>
        <w:rPr>
          <w:spacing w:val="20"/>
          <w:sz w:val="21"/>
        </w:rPr>
        <w:t> </w:t>
      </w:r>
      <w:r>
        <w:rPr>
          <w:sz w:val="21"/>
        </w:rPr>
        <w:t>title,</w:t>
      </w:r>
      <w:r>
        <w:rPr>
          <w:spacing w:val="20"/>
          <w:sz w:val="21"/>
        </w:rPr>
        <w:t> </w:t>
      </w:r>
      <w:r>
        <w:rPr>
          <w:sz w:val="21"/>
        </w:rPr>
        <w:t>even</w:t>
      </w:r>
      <w:r>
        <w:rPr>
          <w:spacing w:val="20"/>
          <w:sz w:val="21"/>
        </w:rPr>
        <w:t> </w:t>
      </w:r>
      <w:r>
        <w:rPr>
          <w:sz w:val="21"/>
        </w:rPr>
        <w:t>if</w:t>
      </w:r>
      <w:r>
        <w:rPr>
          <w:spacing w:val="20"/>
          <w:sz w:val="21"/>
        </w:rPr>
        <w:t> </w:t>
      </w:r>
      <w:r>
        <w:rPr>
          <w:sz w:val="21"/>
        </w:rPr>
        <w:t>the</w:t>
      </w:r>
      <w:r>
        <w:rPr>
          <w:spacing w:val="20"/>
          <w:sz w:val="21"/>
        </w:rPr>
        <w:t> </w:t>
      </w:r>
      <w:r>
        <w:rPr>
          <w:sz w:val="21"/>
        </w:rPr>
        <w:t>concession</w:t>
      </w:r>
      <w:r>
        <w:rPr>
          <w:spacing w:val="20"/>
          <w:sz w:val="21"/>
        </w:rPr>
        <w:t> </w:t>
      </w:r>
      <w:r>
        <w:rPr>
          <w:sz w:val="21"/>
        </w:rPr>
        <w:t>of</w:t>
      </w:r>
      <w:r>
        <w:rPr>
          <w:spacing w:val="20"/>
          <w:sz w:val="21"/>
        </w:rPr>
        <w:t> </w:t>
      </w:r>
      <w:r>
        <w:rPr>
          <w:sz w:val="21"/>
        </w:rPr>
        <w:t>the</w:t>
      </w:r>
      <w:r>
        <w:rPr>
          <w:spacing w:val="20"/>
          <w:sz w:val="21"/>
        </w:rPr>
        <w:t> </w:t>
      </w:r>
      <w:r>
        <w:rPr>
          <w:sz w:val="21"/>
        </w:rPr>
        <w:t>land</w:t>
      </w:r>
      <w:r>
        <w:rPr>
          <w:spacing w:val="20"/>
          <w:sz w:val="21"/>
        </w:rPr>
        <w:t> </w:t>
      </w:r>
      <w:r>
        <w:rPr>
          <w:sz w:val="21"/>
        </w:rPr>
        <w:t>where</w:t>
      </w:r>
      <w:r>
        <w:rPr>
          <w:spacing w:val="20"/>
          <w:sz w:val="21"/>
        </w:rPr>
        <w:t> </w:t>
      </w:r>
      <w:r>
        <w:rPr>
          <w:sz w:val="21"/>
        </w:rPr>
        <w:t>the</w:t>
      </w:r>
      <w:r>
        <w:rPr>
          <w:spacing w:val="20"/>
          <w:sz w:val="21"/>
        </w:rPr>
        <w:t> </w:t>
      </w:r>
      <w:r>
        <w:rPr>
          <w:sz w:val="21"/>
        </w:rPr>
        <w:t>casinos</w:t>
      </w:r>
      <w:r>
        <w:rPr>
          <w:spacing w:val="20"/>
          <w:sz w:val="21"/>
        </w:rPr>
        <w:t> </w:t>
      </w:r>
      <w:r>
        <w:rPr>
          <w:sz w:val="21"/>
        </w:rPr>
        <w:t>are</w:t>
      </w:r>
      <w:r>
        <w:rPr>
          <w:spacing w:val="20"/>
          <w:sz w:val="21"/>
        </w:rPr>
        <w:t> </w:t>
      </w:r>
      <w:r>
        <w:rPr>
          <w:sz w:val="21"/>
        </w:rPr>
        <w:t>located</w:t>
      </w:r>
      <w:r>
        <w:rPr>
          <w:spacing w:val="20"/>
          <w:sz w:val="21"/>
        </w:rPr>
        <w:t> </w:t>
      </w:r>
      <w:r>
        <w:rPr>
          <w:sz w:val="21"/>
        </w:rPr>
        <w:t>is</w:t>
      </w:r>
      <w:r>
        <w:rPr>
          <w:spacing w:val="20"/>
          <w:sz w:val="21"/>
        </w:rPr>
        <w:t> </w:t>
      </w:r>
      <w:r>
        <w:rPr>
          <w:sz w:val="21"/>
        </w:rPr>
        <w:t>provisional.</w:t>
      </w:r>
    </w:p>
    <w:p>
      <w:pPr>
        <w:pStyle w:val="BodyText"/>
        <w:spacing w:before="152"/>
        <w:rPr>
          <w:sz w:val="21"/>
        </w:rPr>
      </w:pPr>
    </w:p>
    <w:p>
      <w:pPr>
        <w:spacing w:line="213" w:lineRule="auto" w:before="0"/>
        <w:ind w:left="144" w:right="118" w:firstLine="0"/>
        <w:jc w:val="both"/>
        <w:rPr>
          <w:sz w:val="21"/>
        </w:rPr>
      </w:pPr>
      <w:r>
        <w:rPr>
          <w:i/>
          <w:sz w:val="21"/>
        </w:rPr>
        <w:t>Four</w:t>
      </w:r>
      <w:r>
        <w:rPr>
          <w:sz w:val="21"/>
        </w:rPr>
        <w:t>. In the event the Concessionaire fails to hand over the properties mentioned in paragraph one above, the Government shall immediately take administrative possession of them, and the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2"/>
        <w:rPr>
          <w:sz w:val="20"/>
        </w:rPr>
      </w:pPr>
      <w:r>
        <w:rPr/>
        <mc:AlternateContent>
          <mc:Choice Requires="wps">
            <w:drawing>
              <wp:anchor distT="0" distB="0" distL="0" distR="0" allowOverlap="1" layoutInCell="1" locked="0" behindDoc="1" simplePos="0" relativeHeight="487777280">
                <wp:simplePos x="0" y="0"/>
                <wp:positionH relativeFrom="page">
                  <wp:posOffset>231457</wp:posOffset>
                </wp:positionH>
                <wp:positionV relativeFrom="paragraph">
                  <wp:posOffset>213347</wp:posOffset>
                </wp:positionV>
                <wp:extent cx="7312659" cy="17145"/>
                <wp:effectExtent l="0" t="0" r="0" b="0"/>
                <wp:wrapTopAndBottom/>
                <wp:docPr id="896" name="Group 896"/>
                <wp:cNvGraphicFramePr>
                  <a:graphicFrameLocks/>
                </wp:cNvGraphicFramePr>
                <a:graphic>
                  <a:graphicData uri="http://schemas.microsoft.com/office/word/2010/wordprocessingGroup">
                    <wpg:wgp>
                      <wpg:cNvPr id="896" name="Group 896"/>
                      <wpg:cNvGrpSpPr/>
                      <wpg:grpSpPr>
                        <a:xfrm>
                          <a:off x="0" y="0"/>
                          <a:ext cx="7312659" cy="17145"/>
                          <a:chExt cx="7312659" cy="17145"/>
                        </a:xfrm>
                      </wpg:grpSpPr>
                      <wps:wsp>
                        <wps:cNvPr id="897" name="Graphic 89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98" name="Graphic 898"/>
                        <wps:cNvSpPr/>
                        <wps:spPr>
                          <a:xfrm>
                            <a:off x="-12" y="-1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99" name="Graphic 89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799023pt;width:575.8pt;height:1.35pt;mso-position-horizontal-relative:page;mso-position-vertical-relative:paragraph;z-index:-15539200;mso-wrap-distance-left:0;mso-wrap-distance-right:0" id="docshapegroup894" coordorigin="364,336" coordsize="11516,27">
                <v:rect style="position:absolute;left:364;top:335;width:11516;height:14" id="docshape895" filled="true" fillcolor="#999999" stroked="false">
                  <v:fill type="solid"/>
                </v:rect>
                <v:shape style="position:absolute;left:364;top:335;width:11516;height:27" id="docshape896" coordorigin="364,336" coordsize="11516,27" path="m11880,336l11866,349,364,349,364,363,11866,363,11880,363,11880,349,11880,336xe" filled="true" fillcolor="#ededed" stroked="false">
                  <v:path arrowok="t"/>
                  <v:fill type="solid"/>
                </v:shape>
                <v:shape style="position:absolute;left:364;top:335;width:14;height:27" id="docshape897" coordorigin="364,336" coordsize="14,27" path="m364,363l364,336,378,336,378,349,364,363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before="75"/>
        <w:ind w:left="144" w:right="0" w:firstLine="0"/>
        <w:jc w:val="left"/>
        <w:rPr>
          <w:sz w:val="21"/>
        </w:rPr>
      </w:pPr>
      <w:r>
        <w:rPr>
          <w:sz w:val="21"/>
        </w:rPr>
        <w:t>respective</w:t>
      </w:r>
      <w:r>
        <w:rPr>
          <w:spacing w:val="11"/>
          <w:sz w:val="21"/>
        </w:rPr>
        <w:t> </w:t>
      </w:r>
      <w:r>
        <w:rPr>
          <w:sz w:val="21"/>
        </w:rPr>
        <w:t>expenses</w:t>
      </w:r>
      <w:r>
        <w:rPr>
          <w:spacing w:val="12"/>
          <w:sz w:val="21"/>
        </w:rPr>
        <w:t> </w:t>
      </w:r>
      <w:r>
        <w:rPr>
          <w:sz w:val="21"/>
        </w:rPr>
        <w:t>shall</w:t>
      </w:r>
      <w:r>
        <w:rPr>
          <w:spacing w:val="12"/>
          <w:sz w:val="21"/>
        </w:rPr>
        <w:t> </w:t>
      </w:r>
      <w:r>
        <w:rPr>
          <w:sz w:val="21"/>
        </w:rPr>
        <w:t>be</w:t>
      </w:r>
      <w:r>
        <w:rPr>
          <w:spacing w:val="12"/>
          <w:sz w:val="21"/>
        </w:rPr>
        <w:t> </w:t>
      </w:r>
      <w:r>
        <w:rPr>
          <w:sz w:val="21"/>
        </w:rPr>
        <w:t>covered</w:t>
      </w:r>
      <w:r>
        <w:rPr>
          <w:spacing w:val="12"/>
          <w:sz w:val="21"/>
        </w:rPr>
        <w:t> </w:t>
      </w:r>
      <w:r>
        <w:rPr>
          <w:sz w:val="21"/>
        </w:rPr>
        <w:t>by</w:t>
      </w:r>
      <w:r>
        <w:rPr>
          <w:spacing w:val="12"/>
          <w:sz w:val="21"/>
        </w:rPr>
        <w:t> </w:t>
      </w:r>
      <w:r>
        <w:rPr>
          <w:sz w:val="21"/>
        </w:rPr>
        <w:t>the</w:t>
      </w:r>
      <w:r>
        <w:rPr>
          <w:spacing w:val="12"/>
          <w:sz w:val="21"/>
        </w:rPr>
        <w:t> </w:t>
      </w:r>
      <w:r>
        <w:rPr>
          <w:sz w:val="21"/>
        </w:rPr>
        <w:t>bond</w:t>
      </w:r>
      <w:r>
        <w:rPr>
          <w:spacing w:val="12"/>
          <w:sz w:val="21"/>
        </w:rPr>
        <w:t> </w:t>
      </w:r>
      <w:r>
        <w:rPr>
          <w:sz w:val="21"/>
        </w:rPr>
        <w:t>provided</w:t>
      </w:r>
      <w:r>
        <w:rPr>
          <w:spacing w:val="12"/>
          <w:sz w:val="21"/>
        </w:rPr>
        <w:t> </w:t>
      </w:r>
      <w:r>
        <w:rPr>
          <w:sz w:val="21"/>
        </w:rPr>
        <w:t>for</w:t>
      </w:r>
      <w:r>
        <w:rPr>
          <w:spacing w:val="11"/>
          <w:sz w:val="21"/>
        </w:rPr>
        <w:t> </w:t>
      </w:r>
      <w:r>
        <w:rPr>
          <w:sz w:val="21"/>
        </w:rPr>
        <w:t>compliance</w:t>
      </w:r>
      <w:r>
        <w:rPr>
          <w:spacing w:val="12"/>
          <w:sz w:val="21"/>
        </w:rPr>
        <w:t> </w:t>
      </w:r>
      <w:r>
        <w:rPr>
          <w:sz w:val="21"/>
        </w:rPr>
        <w:t>with</w:t>
      </w:r>
      <w:r>
        <w:rPr>
          <w:spacing w:val="12"/>
          <w:sz w:val="21"/>
        </w:rPr>
        <w:t> </w:t>
      </w:r>
      <w:r>
        <w:rPr>
          <w:sz w:val="21"/>
        </w:rPr>
        <w:t>the</w:t>
      </w:r>
      <w:r>
        <w:rPr>
          <w:spacing w:val="12"/>
          <w:sz w:val="21"/>
        </w:rPr>
        <w:t> </w:t>
      </w:r>
      <w:r>
        <w:rPr>
          <w:sz w:val="21"/>
        </w:rPr>
        <w:t>Concessionaire's</w:t>
      </w:r>
      <w:r>
        <w:rPr>
          <w:spacing w:val="12"/>
          <w:sz w:val="21"/>
        </w:rPr>
        <w:t> </w:t>
      </w:r>
      <w:r>
        <w:rPr>
          <w:sz w:val="21"/>
        </w:rPr>
        <w:t>legal</w:t>
      </w:r>
      <w:r>
        <w:rPr>
          <w:spacing w:val="12"/>
          <w:sz w:val="21"/>
        </w:rPr>
        <w:t> </w:t>
      </w:r>
      <w:r>
        <w:rPr>
          <w:sz w:val="21"/>
        </w:rPr>
        <w:t>or</w:t>
      </w:r>
      <w:r>
        <w:rPr>
          <w:spacing w:val="12"/>
          <w:sz w:val="21"/>
        </w:rPr>
        <w:t> </w:t>
      </w:r>
      <w:r>
        <w:rPr>
          <w:sz w:val="21"/>
        </w:rPr>
        <w:t>contractual</w:t>
      </w:r>
      <w:r>
        <w:rPr>
          <w:spacing w:val="12"/>
          <w:sz w:val="21"/>
        </w:rPr>
        <w:t> </w:t>
      </w:r>
      <w:r>
        <w:rPr>
          <w:spacing w:val="-2"/>
          <w:sz w:val="21"/>
        </w:rPr>
        <w:t>obligations.</w:t>
      </w:r>
    </w:p>
    <w:p>
      <w:pPr>
        <w:pStyle w:val="BodyText"/>
        <w:spacing w:before="65"/>
        <w:rPr>
          <w:sz w:val="21"/>
        </w:rPr>
      </w:pPr>
    </w:p>
    <w:p>
      <w:pPr>
        <w:spacing w:line="213" w:lineRule="auto" w:before="0"/>
        <w:ind w:left="144" w:right="119" w:firstLine="0"/>
        <w:jc w:val="both"/>
        <w:rPr>
          <w:sz w:val="21"/>
        </w:rPr>
      </w:pPr>
      <w:r>
        <w:rPr>
          <w:i/>
          <w:sz w:val="21"/>
        </w:rPr>
        <w:t>Five. </w:t>
      </w:r>
      <w:r>
        <w:rPr>
          <w:sz w:val="21"/>
        </w:rPr>
        <w:t>For the purposes of paragraph </w:t>
      </w:r>
      <w:r>
        <w:rPr>
          <w:i/>
          <w:sz w:val="21"/>
        </w:rPr>
        <w:t>one </w:t>
      </w:r>
      <w:r>
        <w:rPr>
          <w:sz w:val="21"/>
        </w:rPr>
        <w:t>above, DICJ shall carry out an inspection of the properties referred to in Clauses 43 and </w:t>
      </w:r>
      <w:r>
        <w:rPr>
          <w:sz w:val="21"/>
        </w:rPr>
        <w:t>44, which may be attended by the representatives of the Concessionaire, to check the state of conservation and maintenance of said properties, for which an inspection report will be drawn up.</w:t>
      </w:r>
    </w:p>
    <w:p>
      <w:pPr>
        <w:pStyle w:val="BodyText"/>
        <w:spacing w:before="207"/>
        <w:rPr>
          <w:sz w:val="21"/>
        </w:rPr>
      </w:pPr>
    </w:p>
    <w:p>
      <w:pPr>
        <w:spacing w:line="213" w:lineRule="auto" w:before="1"/>
        <w:ind w:left="144" w:right="118" w:firstLine="0"/>
        <w:jc w:val="both"/>
        <w:rPr>
          <w:sz w:val="21"/>
        </w:rPr>
      </w:pPr>
      <w:r>
        <w:rPr>
          <w:i/>
          <w:sz w:val="21"/>
        </w:rPr>
        <w:t>Six</w:t>
      </w:r>
      <w:r>
        <w:rPr>
          <w:sz w:val="21"/>
        </w:rPr>
        <w:t>.</w:t>
      </w:r>
      <w:r>
        <w:rPr>
          <w:spacing w:val="40"/>
          <w:sz w:val="21"/>
        </w:rPr>
        <w:t> </w:t>
      </w:r>
      <w:r>
        <w:rPr>
          <w:sz w:val="21"/>
        </w:rPr>
        <w:t>In</w:t>
      </w:r>
      <w:r>
        <w:rPr>
          <w:spacing w:val="40"/>
          <w:sz w:val="21"/>
        </w:rPr>
        <w:t> </w:t>
      </w:r>
      <w:r>
        <w:rPr>
          <w:sz w:val="21"/>
        </w:rPr>
        <w:t>the</w:t>
      </w:r>
      <w:r>
        <w:rPr>
          <w:spacing w:val="40"/>
          <w:sz w:val="21"/>
        </w:rPr>
        <w:t> </w:t>
      </w:r>
      <w:r>
        <w:rPr>
          <w:sz w:val="21"/>
        </w:rPr>
        <w:t>event</w:t>
      </w:r>
      <w:r>
        <w:rPr>
          <w:spacing w:val="40"/>
          <w:sz w:val="21"/>
        </w:rPr>
        <w:t> </w:t>
      </w:r>
      <w:r>
        <w:rPr>
          <w:sz w:val="21"/>
        </w:rPr>
        <w:t>of</w:t>
      </w:r>
      <w:r>
        <w:rPr>
          <w:spacing w:val="40"/>
          <w:sz w:val="21"/>
        </w:rPr>
        <w:t> </w:t>
      </w:r>
      <w:r>
        <w:rPr>
          <w:sz w:val="21"/>
        </w:rPr>
        <w:t>dissolution</w:t>
      </w:r>
      <w:r>
        <w:rPr>
          <w:spacing w:val="40"/>
          <w:sz w:val="21"/>
        </w:rPr>
        <w:t> </w:t>
      </w:r>
      <w:r>
        <w:rPr>
          <w:sz w:val="21"/>
        </w:rPr>
        <w:t>or</w:t>
      </w:r>
      <w:r>
        <w:rPr>
          <w:spacing w:val="40"/>
          <w:sz w:val="21"/>
        </w:rPr>
        <w:t> </w:t>
      </w:r>
      <w:r>
        <w:rPr>
          <w:sz w:val="21"/>
        </w:rPr>
        <w:t>liquidation</w:t>
      </w:r>
      <w:r>
        <w:rPr>
          <w:spacing w:val="40"/>
          <w:sz w:val="21"/>
        </w:rPr>
        <w:t> </w:t>
      </w:r>
      <w:r>
        <w:rPr>
          <w:sz w:val="21"/>
        </w:rPr>
        <w:t>of</w:t>
      </w:r>
      <w:r>
        <w:rPr>
          <w:spacing w:val="40"/>
          <w:sz w:val="21"/>
        </w:rPr>
        <w:t> </w:t>
      </w:r>
      <w:r>
        <w:rPr>
          <w:sz w:val="21"/>
        </w:rPr>
        <w:t>the</w:t>
      </w:r>
      <w:r>
        <w:rPr>
          <w:spacing w:val="40"/>
          <w:sz w:val="21"/>
        </w:rPr>
        <w:t> </w:t>
      </w:r>
      <w:r>
        <w:rPr>
          <w:sz w:val="21"/>
        </w:rPr>
        <w:t>Concessionaire,</w:t>
      </w:r>
      <w:r>
        <w:rPr>
          <w:spacing w:val="40"/>
          <w:sz w:val="21"/>
        </w:rPr>
        <w:t> </w:t>
      </w:r>
      <w:r>
        <w:rPr>
          <w:sz w:val="21"/>
        </w:rPr>
        <w:t>the</w:t>
      </w:r>
      <w:r>
        <w:rPr>
          <w:spacing w:val="40"/>
          <w:sz w:val="21"/>
        </w:rPr>
        <w:t> </w:t>
      </w:r>
      <w:r>
        <w:rPr>
          <w:sz w:val="21"/>
        </w:rPr>
        <w:t>respective</w:t>
      </w:r>
      <w:r>
        <w:rPr>
          <w:spacing w:val="40"/>
          <w:sz w:val="21"/>
        </w:rPr>
        <w:t> </w:t>
      </w:r>
      <w:r>
        <w:rPr>
          <w:sz w:val="21"/>
        </w:rPr>
        <w:t>properties</w:t>
      </w:r>
      <w:r>
        <w:rPr>
          <w:spacing w:val="40"/>
          <w:sz w:val="21"/>
        </w:rPr>
        <w:t> </w:t>
      </w:r>
      <w:r>
        <w:rPr>
          <w:sz w:val="21"/>
        </w:rPr>
        <w:t>may</w:t>
      </w:r>
      <w:r>
        <w:rPr>
          <w:spacing w:val="40"/>
          <w:sz w:val="21"/>
        </w:rPr>
        <w:t> </w:t>
      </w:r>
      <w:r>
        <w:rPr>
          <w:sz w:val="21"/>
        </w:rPr>
        <w:t>not</w:t>
      </w:r>
      <w:r>
        <w:rPr>
          <w:spacing w:val="40"/>
          <w:sz w:val="21"/>
        </w:rPr>
        <w:t> </w:t>
      </w:r>
      <w:r>
        <w:rPr>
          <w:sz w:val="21"/>
        </w:rPr>
        <w:t>be</w:t>
      </w:r>
      <w:r>
        <w:rPr>
          <w:spacing w:val="40"/>
          <w:sz w:val="21"/>
        </w:rPr>
        <w:t> </w:t>
      </w:r>
      <w:r>
        <w:rPr>
          <w:sz w:val="21"/>
        </w:rPr>
        <w:t>divided</w:t>
      </w:r>
      <w:r>
        <w:rPr>
          <w:spacing w:val="40"/>
          <w:sz w:val="21"/>
        </w:rPr>
        <w:t> </w:t>
      </w:r>
      <w:r>
        <w:rPr>
          <w:sz w:val="21"/>
        </w:rPr>
        <w:t>until</w:t>
      </w:r>
      <w:r>
        <w:rPr>
          <w:spacing w:val="40"/>
          <w:sz w:val="21"/>
        </w:rPr>
        <w:t> </w:t>
      </w:r>
      <w:r>
        <w:rPr>
          <w:sz w:val="21"/>
        </w:rPr>
        <w:t>the Government</w:t>
      </w:r>
      <w:r>
        <w:rPr>
          <w:spacing w:val="31"/>
          <w:sz w:val="21"/>
        </w:rPr>
        <w:t> </w:t>
      </w:r>
      <w:r>
        <w:rPr>
          <w:sz w:val="21"/>
        </w:rPr>
        <w:t>certifies,</w:t>
      </w:r>
      <w:r>
        <w:rPr>
          <w:spacing w:val="31"/>
          <w:sz w:val="21"/>
        </w:rPr>
        <w:t> </w:t>
      </w:r>
      <w:r>
        <w:rPr>
          <w:sz w:val="21"/>
        </w:rPr>
        <w:t>through</w:t>
      </w:r>
      <w:r>
        <w:rPr>
          <w:spacing w:val="31"/>
          <w:sz w:val="21"/>
        </w:rPr>
        <w:t> </w:t>
      </w:r>
      <w:r>
        <w:rPr>
          <w:sz w:val="21"/>
        </w:rPr>
        <w:t>the</w:t>
      </w:r>
      <w:r>
        <w:rPr>
          <w:spacing w:val="31"/>
          <w:sz w:val="21"/>
        </w:rPr>
        <w:t> </w:t>
      </w:r>
      <w:r>
        <w:rPr>
          <w:sz w:val="21"/>
        </w:rPr>
        <w:t>compulsory</w:t>
      </w:r>
      <w:r>
        <w:rPr>
          <w:spacing w:val="31"/>
          <w:sz w:val="21"/>
        </w:rPr>
        <w:t> </w:t>
      </w:r>
      <w:r>
        <w:rPr>
          <w:sz w:val="21"/>
        </w:rPr>
        <w:t>inventory</w:t>
      </w:r>
      <w:r>
        <w:rPr>
          <w:spacing w:val="31"/>
          <w:sz w:val="21"/>
        </w:rPr>
        <w:t> </w:t>
      </w:r>
      <w:r>
        <w:rPr>
          <w:sz w:val="21"/>
        </w:rPr>
        <w:t>mentioned</w:t>
      </w:r>
      <w:r>
        <w:rPr>
          <w:spacing w:val="31"/>
          <w:sz w:val="21"/>
        </w:rPr>
        <w:t> </w:t>
      </w:r>
      <w:r>
        <w:rPr>
          <w:sz w:val="21"/>
        </w:rPr>
        <w:t>in</w:t>
      </w:r>
      <w:r>
        <w:rPr>
          <w:spacing w:val="31"/>
          <w:sz w:val="21"/>
        </w:rPr>
        <w:t> </w:t>
      </w:r>
      <w:r>
        <w:rPr>
          <w:sz w:val="21"/>
        </w:rPr>
        <w:t>the</w:t>
      </w:r>
      <w:r>
        <w:rPr>
          <w:spacing w:val="31"/>
          <w:sz w:val="21"/>
        </w:rPr>
        <w:t> </w:t>
      </w:r>
      <w:r>
        <w:rPr>
          <w:sz w:val="21"/>
        </w:rPr>
        <w:t>following</w:t>
      </w:r>
      <w:r>
        <w:rPr>
          <w:spacing w:val="31"/>
          <w:sz w:val="21"/>
        </w:rPr>
        <w:t> </w:t>
      </w:r>
      <w:r>
        <w:rPr>
          <w:sz w:val="21"/>
        </w:rPr>
        <w:t>clause,</w:t>
      </w:r>
      <w:r>
        <w:rPr>
          <w:spacing w:val="31"/>
          <w:sz w:val="21"/>
        </w:rPr>
        <w:t> </w:t>
      </w:r>
      <w:r>
        <w:rPr>
          <w:sz w:val="21"/>
        </w:rPr>
        <w:t>that</w:t>
      </w:r>
      <w:r>
        <w:rPr>
          <w:spacing w:val="31"/>
          <w:sz w:val="21"/>
        </w:rPr>
        <w:t> </w:t>
      </w:r>
      <w:r>
        <w:rPr>
          <w:sz w:val="21"/>
        </w:rPr>
        <w:t>the</w:t>
      </w:r>
      <w:r>
        <w:rPr>
          <w:spacing w:val="31"/>
          <w:sz w:val="21"/>
        </w:rPr>
        <w:t> </w:t>
      </w:r>
      <w:r>
        <w:rPr>
          <w:sz w:val="21"/>
        </w:rPr>
        <w:t>properties</w:t>
      </w:r>
      <w:r>
        <w:rPr>
          <w:spacing w:val="31"/>
          <w:sz w:val="21"/>
        </w:rPr>
        <w:t> </w:t>
      </w:r>
      <w:r>
        <w:rPr>
          <w:sz w:val="21"/>
        </w:rPr>
        <w:t>subject</w:t>
      </w:r>
      <w:r>
        <w:rPr>
          <w:spacing w:val="31"/>
          <w:sz w:val="21"/>
        </w:rPr>
        <w:t> </w:t>
      </w:r>
      <w:r>
        <w:rPr>
          <w:sz w:val="21"/>
        </w:rPr>
        <w:t>to</w:t>
      </w:r>
      <w:r>
        <w:rPr>
          <w:spacing w:val="31"/>
          <w:sz w:val="21"/>
        </w:rPr>
        <w:t> </w:t>
      </w:r>
      <w:r>
        <w:rPr>
          <w:sz w:val="21"/>
        </w:rPr>
        <w:t>reversion are in a perfect state of conservation and operation or without the payment of any sums due to the Macau SAR as compensation, </w:t>
      </w:r>
      <w:r>
        <w:rPr>
          <w:sz w:val="21"/>
        </w:rPr>
        <w:t>by means of any guarantee accepted by the Government, that are shown to be owing.</w:t>
      </w:r>
    </w:p>
    <w:p>
      <w:pPr>
        <w:pStyle w:val="BodyText"/>
        <w:spacing w:before="132"/>
        <w:rPr>
          <w:sz w:val="21"/>
        </w:rPr>
      </w:pPr>
    </w:p>
    <w:p>
      <w:pPr>
        <w:spacing w:before="0"/>
        <w:ind w:left="144" w:right="0" w:firstLine="0"/>
        <w:jc w:val="left"/>
        <w:rPr>
          <w:sz w:val="21"/>
        </w:rPr>
      </w:pPr>
      <w:r>
        <w:rPr>
          <w:i/>
          <w:sz w:val="21"/>
        </w:rPr>
        <w:t>Seven.</w:t>
      </w:r>
      <w:r>
        <w:rPr>
          <w:i/>
          <w:spacing w:val="5"/>
          <w:sz w:val="21"/>
        </w:rPr>
        <w:t> </w:t>
      </w:r>
      <w:r>
        <w:rPr>
          <w:sz w:val="21"/>
        </w:rPr>
        <w:t>The</w:t>
      </w:r>
      <w:r>
        <w:rPr>
          <w:spacing w:val="11"/>
          <w:sz w:val="21"/>
        </w:rPr>
        <w:t> </w:t>
      </w:r>
      <w:r>
        <w:rPr>
          <w:sz w:val="21"/>
        </w:rPr>
        <w:t>terms</w:t>
      </w:r>
      <w:r>
        <w:rPr>
          <w:spacing w:val="10"/>
          <w:sz w:val="21"/>
        </w:rPr>
        <w:t> </w:t>
      </w:r>
      <w:r>
        <w:rPr>
          <w:sz w:val="21"/>
        </w:rPr>
        <w:t>of</w:t>
      </w:r>
      <w:r>
        <w:rPr>
          <w:spacing w:val="10"/>
          <w:sz w:val="21"/>
        </w:rPr>
        <w:t> </w:t>
      </w:r>
      <w:r>
        <w:rPr>
          <w:sz w:val="21"/>
        </w:rPr>
        <w:t>paragraph</w:t>
      </w:r>
      <w:r>
        <w:rPr>
          <w:spacing w:val="11"/>
          <w:sz w:val="21"/>
        </w:rPr>
        <w:t> </w:t>
      </w:r>
      <w:r>
        <w:rPr>
          <w:sz w:val="21"/>
        </w:rPr>
        <w:t>two</w:t>
      </w:r>
      <w:r>
        <w:rPr>
          <w:spacing w:val="10"/>
          <w:sz w:val="21"/>
        </w:rPr>
        <w:t> </w:t>
      </w:r>
      <w:r>
        <w:rPr>
          <w:sz w:val="21"/>
        </w:rPr>
        <w:t>above</w:t>
      </w:r>
      <w:r>
        <w:rPr>
          <w:spacing w:val="10"/>
          <w:sz w:val="21"/>
        </w:rPr>
        <w:t> </w:t>
      </w:r>
      <w:r>
        <w:rPr>
          <w:sz w:val="21"/>
        </w:rPr>
        <w:t>shall</w:t>
      </w:r>
      <w:r>
        <w:rPr>
          <w:spacing w:val="11"/>
          <w:sz w:val="21"/>
        </w:rPr>
        <w:t> </w:t>
      </w:r>
      <w:r>
        <w:rPr>
          <w:sz w:val="21"/>
        </w:rPr>
        <w:t>not</w:t>
      </w:r>
      <w:r>
        <w:rPr>
          <w:spacing w:val="10"/>
          <w:sz w:val="21"/>
        </w:rPr>
        <w:t> </w:t>
      </w:r>
      <w:r>
        <w:rPr>
          <w:sz w:val="21"/>
        </w:rPr>
        <w:t>affect</w:t>
      </w:r>
      <w:r>
        <w:rPr>
          <w:spacing w:val="11"/>
          <w:sz w:val="21"/>
        </w:rPr>
        <w:t> </w:t>
      </w:r>
      <w:r>
        <w:rPr>
          <w:sz w:val="21"/>
        </w:rPr>
        <w:t>the</w:t>
      </w:r>
      <w:r>
        <w:rPr>
          <w:spacing w:val="10"/>
          <w:sz w:val="21"/>
        </w:rPr>
        <w:t> </w:t>
      </w:r>
      <w:r>
        <w:rPr>
          <w:sz w:val="21"/>
        </w:rPr>
        <w:t>normal</w:t>
      </w:r>
      <w:r>
        <w:rPr>
          <w:spacing w:val="10"/>
          <w:sz w:val="21"/>
        </w:rPr>
        <w:t> </w:t>
      </w:r>
      <w:r>
        <w:rPr>
          <w:sz w:val="21"/>
        </w:rPr>
        <w:t>renovation</w:t>
      </w:r>
      <w:r>
        <w:rPr>
          <w:spacing w:val="11"/>
          <w:sz w:val="21"/>
        </w:rPr>
        <w:t> </w:t>
      </w:r>
      <w:r>
        <w:rPr>
          <w:sz w:val="21"/>
        </w:rPr>
        <w:t>of</w:t>
      </w:r>
      <w:r>
        <w:rPr>
          <w:spacing w:val="10"/>
          <w:sz w:val="21"/>
        </w:rPr>
        <w:t> </w:t>
      </w:r>
      <w:r>
        <w:rPr>
          <w:sz w:val="21"/>
        </w:rPr>
        <w:t>the</w:t>
      </w:r>
      <w:r>
        <w:rPr>
          <w:spacing w:val="10"/>
          <w:sz w:val="21"/>
        </w:rPr>
        <w:t> </w:t>
      </w:r>
      <w:r>
        <w:rPr>
          <w:sz w:val="21"/>
        </w:rPr>
        <w:t>allocated</w:t>
      </w:r>
      <w:r>
        <w:rPr>
          <w:spacing w:val="11"/>
          <w:sz w:val="21"/>
        </w:rPr>
        <w:t> </w:t>
      </w:r>
      <w:r>
        <w:rPr>
          <w:sz w:val="21"/>
        </w:rPr>
        <w:t>gaming</w:t>
      </w:r>
      <w:r>
        <w:rPr>
          <w:spacing w:val="10"/>
          <w:sz w:val="21"/>
        </w:rPr>
        <w:t> </w:t>
      </w:r>
      <w:r>
        <w:rPr>
          <w:sz w:val="21"/>
        </w:rPr>
        <w:t>equipment</w:t>
      </w:r>
      <w:r>
        <w:rPr>
          <w:spacing w:val="10"/>
          <w:sz w:val="21"/>
        </w:rPr>
        <w:t> </w:t>
      </w:r>
      <w:r>
        <w:rPr>
          <w:sz w:val="21"/>
        </w:rPr>
        <w:t>and</w:t>
      </w:r>
      <w:r>
        <w:rPr>
          <w:spacing w:val="11"/>
          <w:sz w:val="21"/>
        </w:rPr>
        <w:t> </w:t>
      </w:r>
      <w:r>
        <w:rPr>
          <w:spacing w:val="-2"/>
          <w:sz w:val="21"/>
        </w:rPr>
        <w:t>utensils.</w:t>
      </w:r>
    </w:p>
    <w:p>
      <w:pPr>
        <w:pStyle w:val="BodyText"/>
        <w:spacing w:before="138"/>
        <w:rPr>
          <w:sz w:val="21"/>
        </w:rPr>
      </w:pPr>
    </w:p>
    <w:p>
      <w:pPr>
        <w:spacing w:before="0"/>
        <w:ind w:left="24" w:right="0" w:firstLine="0"/>
        <w:jc w:val="center"/>
        <w:rPr>
          <w:b/>
          <w:sz w:val="21"/>
        </w:rPr>
      </w:pPr>
      <w:r>
        <w:rPr>
          <w:b/>
          <w:sz w:val="21"/>
        </w:rPr>
        <w:t>Clause</w:t>
      </w:r>
      <w:r>
        <w:rPr>
          <w:b/>
          <w:spacing w:val="13"/>
          <w:sz w:val="21"/>
        </w:rPr>
        <w:t> </w:t>
      </w:r>
      <w:r>
        <w:rPr>
          <w:b/>
          <w:spacing w:val="-5"/>
          <w:sz w:val="21"/>
        </w:rPr>
        <w:t>46</w:t>
      </w:r>
    </w:p>
    <w:p>
      <w:pPr>
        <w:spacing w:before="96"/>
        <w:ind w:left="24" w:right="0" w:firstLine="0"/>
        <w:jc w:val="center"/>
        <w:rPr>
          <w:b/>
          <w:sz w:val="21"/>
        </w:rPr>
      </w:pPr>
      <w:r>
        <w:rPr>
          <w:b/>
          <w:sz w:val="21"/>
        </w:rPr>
        <w:t>Inventory</w:t>
      </w:r>
      <w:r>
        <w:rPr>
          <w:b/>
          <w:spacing w:val="9"/>
          <w:sz w:val="21"/>
        </w:rPr>
        <w:t> </w:t>
      </w:r>
      <w:r>
        <w:rPr>
          <w:b/>
          <w:sz w:val="21"/>
        </w:rPr>
        <w:t>of</w:t>
      </w:r>
      <w:r>
        <w:rPr>
          <w:b/>
          <w:spacing w:val="10"/>
          <w:sz w:val="21"/>
        </w:rPr>
        <w:t> </w:t>
      </w:r>
      <w:r>
        <w:rPr>
          <w:b/>
          <w:sz w:val="21"/>
        </w:rPr>
        <w:t>the</w:t>
      </w:r>
      <w:r>
        <w:rPr>
          <w:b/>
          <w:spacing w:val="10"/>
          <w:sz w:val="21"/>
        </w:rPr>
        <w:t> </w:t>
      </w:r>
      <w:r>
        <w:rPr>
          <w:b/>
          <w:sz w:val="21"/>
        </w:rPr>
        <w:t>assets</w:t>
      </w:r>
      <w:r>
        <w:rPr>
          <w:b/>
          <w:spacing w:val="10"/>
          <w:sz w:val="21"/>
        </w:rPr>
        <w:t> </w:t>
      </w:r>
      <w:r>
        <w:rPr>
          <w:b/>
          <w:sz w:val="21"/>
        </w:rPr>
        <w:t>allocated</w:t>
      </w:r>
      <w:r>
        <w:rPr>
          <w:b/>
          <w:spacing w:val="10"/>
          <w:sz w:val="21"/>
        </w:rPr>
        <w:t> </w:t>
      </w:r>
      <w:r>
        <w:rPr>
          <w:b/>
          <w:sz w:val="21"/>
        </w:rPr>
        <w:t>to</w:t>
      </w:r>
      <w:r>
        <w:rPr>
          <w:b/>
          <w:spacing w:val="10"/>
          <w:sz w:val="21"/>
        </w:rPr>
        <w:t> </w:t>
      </w:r>
      <w:r>
        <w:rPr>
          <w:b/>
          <w:sz w:val="21"/>
        </w:rPr>
        <w:t>the</w:t>
      </w:r>
      <w:r>
        <w:rPr>
          <w:b/>
          <w:spacing w:val="10"/>
          <w:sz w:val="21"/>
        </w:rPr>
        <w:t> </w:t>
      </w:r>
      <w:r>
        <w:rPr>
          <w:b/>
          <w:spacing w:val="-2"/>
          <w:sz w:val="21"/>
        </w:rPr>
        <w:t>concession</w:t>
      </w:r>
    </w:p>
    <w:p>
      <w:pPr>
        <w:pStyle w:val="BodyText"/>
        <w:spacing w:before="52"/>
        <w:rPr>
          <w:b/>
          <w:sz w:val="21"/>
        </w:rPr>
      </w:pPr>
    </w:p>
    <w:p>
      <w:pPr>
        <w:spacing w:line="213" w:lineRule="auto" w:before="0"/>
        <w:ind w:left="144" w:right="117" w:firstLine="0"/>
        <w:jc w:val="both"/>
        <w:rPr>
          <w:sz w:val="21"/>
        </w:rPr>
      </w:pPr>
      <w:r>
        <w:rPr>
          <w:i/>
          <w:sz w:val="21"/>
        </w:rPr>
        <w:t>One.</w:t>
      </w:r>
      <w:r>
        <w:rPr>
          <w:i/>
          <w:spacing w:val="16"/>
          <w:sz w:val="21"/>
        </w:rPr>
        <w:t> </w:t>
      </w:r>
      <w:r>
        <w:rPr>
          <w:sz w:val="21"/>
        </w:rPr>
        <w:t>The</w:t>
      </w:r>
      <w:r>
        <w:rPr>
          <w:spacing w:val="16"/>
          <w:sz w:val="21"/>
        </w:rPr>
        <w:t> </w:t>
      </w:r>
      <w:r>
        <w:rPr>
          <w:sz w:val="21"/>
        </w:rPr>
        <w:t>Concessionaire</w:t>
      </w:r>
      <w:r>
        <w:rPr>
          <w:spacing w:val="16"/>
          <w:sz w:val="21"/>
        </w:rPr>
        <w:t> </w:t>
      </w:r>
      <w:r>
        <w:rPr>
          <w:sz w:val="21"/>
        </w:rPr>
        <w:t>undertakes</w:t>
      </w:r>
      <w:r>
        <w:rPr>
          <w:spacing w:val="16"/>
          <w:sz w:val="21"/>
        </w:rPr>
        <w:t> </w:t>
      </w:r>
      <w:r>
        <w:rPr>
          <w:sz w:val="21"/>
        </w:rPr>
        <w:t>to</w:t>
      </w:r>
      <w:r>
        <w:rPr>
          <w:spacing w:val="16"/>
          <w:sz w:val="21"/>
        </w:rPr>
        <w:t> </w:t>
      </w:r>
      <w:r>
        <w:rPr>
          <w:sz w:val="21"/>
        </w:rPr>
        <w:t>prepare</w:t>
      </w:r>
      <w:r>
        <w:rPr>
          <w:spacing w:val="16"/>
          <w:sz w:val="21"/>
        </w:rPr>
        <w:t> </w:t>
      </w:r>
      <w:r>
        <w:rPr>
          <w:sz w:val="21"/>
        </w:rPr>
        <w:t>in</w:t>
      </w:r>
      <w:r>
        <w:rPr>
          <w:spacing w:val="16"/>
          <w:sz w:val="21"/>
        </w:rPr>
        <w:t> </w:t>
      </w:r>
      <w:r>
        <w:rPr>
          <w:sz w:val="21"/>
        </w:rPr>
        <w:t>triplicate</w:t>
      </w:r>
      <w:r>
        <w:rPr>
          <w:spacing w:val="16"/>
          <w:sz w:val="21"/>
        </w:rPr>
        <w:t> </w:t>
      </w:r>
      <w:r>
        <w:rPr>
          <w:sz w:val="21"/>
        </w:rPr>
        <w:t>and</w:t>
      </w:r>
      <w:r>
        <w:rPr>
          <w:spacing w:val="16"/>
          <w:sz w:val="21"/>
        </w:rPr>
        <w:t> </w:t>
      </w:r>
      <w:r>
        <w:rPr>
          <w:sz w:val="21"/>
        </w:rPr>
        <w:t>maintain</w:t>
      </w:r>
      <w:r>
        <w:rPr>
          <w:spacing w:val="16"/>
          <w:sz w:val="21"/>
        </w:rPr>
        <w:t> </w:t>
      </w:r>
      <w:r>
        <w:rPr>
          <w:sz w:val="21"/>
        </w:rPr>
        <w:t>updated</w:t>
      </w:r>
      <w:r>
        <w:rPr>
          <w:spacing w:val="16"/>
          <w:sz w:val="21"/>
        </w:rPr>
        <w:t> </w:t>
      </w:r>
      <w:r>
        <w:rPr>
          <w:sz w:val="21"/>
        </w:rPr>
        <w:t>the</w:t>
      </w:r>
      <w:r>
        <w:rPr>
          <w:spacing w:val="16"/>
          <w:sz w:val="21"/>
        </w:rPr>
        <w:t> </w:t>
      </w:r>
      <w:r>
        <w:rPr>
          <w:sz w:val="21"/>
        </w:rPr>
        <w:t>inventory</w:t>
      </w:r>
      <w:r>
        <w:rPr>
          <w:spacing w:val="16"/>
          <w:sz w:val="21"/>
        </w:rPr>
        <w:t> </w:t>
      </w:r>
      <w:r>
        <w:rPr>
          <w:sz w:val="21"/>
        </w:rPr>
        <w:t>of</w:t>
      </w:r>
      <w:r>
        <w:rPr>
          <w:spacing w:val="16"/>
          <w:sz w:val="21"/>
        </w:rPr>
        <w:t> </w:t>
      </w:r>
      <w:r>
        <w:rPr>
          <w:sz w:val="21"/>
        </w:rPr>
        <w:t>all</w:t>
      </w:r>
      <w:r>
        <w:rPr>
          <w:spacing w:val="16"/>
          <w:sz w:val="21"/>
        </w:rPr>
        <w:t> </w:t>
      </w:r>
      <w:r>
        <w:rPr>
          <w:sz w:val="21"/>
        </w:rPr>
        <w:t>properties</w:t>
      </w:r>
      <w:r>
        <w:rPr>
          <w:spacing w:val="16"/>
          <w:sz w:val="21"/>
        </w:rPr>
        <w:t> </w:t>
      </w:r>
      <w:r>
        <w:rPr>
          <w:sz w:val="21"/>
        </w:rPr>
        <w:t>and</w:t>
      </w:r>
      <w:r>
        <w:rPr>
          <w:spacing w:val="16"/>
          <w:sz w:val="21"/>
        </w:rPr>
        <w:t> </w:t>
      </w:r>
      <w:r>
        <w:rPr>
          <w:sz w:val="21"/>
        </w:rPr>
        <w:t>rights</w:t>
      </w:r>
      <w:r>
        <w:rPr>
          <w:spacing w:val="16"/>
          <w:sz w:val="21"/>
        </w:rPr>
        <w:t> </w:t>
      </w:r>
      <w:r>
        <w:rPr>
          <w:sz w:val="21"/>
        </w:rPr>
        <w:t>belonging to</w:t>
      </w:r>
      <w:r>
        <w:rPr>
          <w:spacing w:val="21"/>
          <w:sz w:val="21"/>
        </w:rPr>
        <w:t> </w:t>
      </w:r>
      <w:r>
        <w:rPr>
          <w:sz w:val="21"/>
        </w:rPr>
        <w:t>the</w:t>
      </w:r>
      <w:r>
        <w:rPr>
          <w:spacing w:val="21"/>
          <w:sz w:val="21"/>
        </w:rPr>
        <w:t> </w:t>
      </w:r>
      <w:r>
        <w:rPr>
          <w:sz w:val="21"/>
        </w:rPr>
        <w:t>Macau</w:t>
      </w:r>
      <w:r>
        <w:rPr>
          <w:spacing w:val="21"/>
          <w:sz w:val="21"/>
        </w:rPr>
        <w:t> </w:t>
      </w:r>
      <w:r>
        <w:rPr>
          <w:sz w:val="21"/>
        </w:rPr>
        <w:t>SAR</w:t>
      </w:r>
      <w:r>
        <w:rPr>
          <w:spacing w:val="21"/>
          <w:sz w:val="21"/>
        </w:rPr>
        <w:t> </w:t>
      </w:r>
      <w:r>
        <w:rPr>
          <w:sz w:val="21"/>
        </w:rPr>
        <w:t>and</w:t>
      </w:r>
      <w:r>
        <w:rPr>
          <w:spacing w:val="21"/>
          <w:sz w:val="21"/>
        </w:rPr>
        <w:t> </w:t>
      </w:r>
      <w:r>
        <w:rPr>
          <w:sz w:val="21"/>
        </w:rPr>
        <w:t>allocated</w:t>
      </w:r>
      <w:r>
        <w:rPr>
          <w:spacing w:val="21"/>
          <w:sz w:val="21"/>
        </w:rPr>
        <w:t> </w:t>
      </w:r>
      <w:r>
        <w:rPr>
          <w:sz w:val="21"/>
        </w:rPr>
        <w:t>to</w:t>
      </w:r>
      <w:r>
        <w:rPr>
          <w:spacing w:val="21"/>
          <w:sz w:val="21"/>
        </w:rPr>
        <w:t> </w:t>
      </w:r>
      <w:r>
        <w:rPr>
          <w:sz w:val="21"/>
        </w:rPr>
        <w:t>the</w:t>
      </w:r>
      <w:r>
        <w:rPr>
          <w:spacing w:val="21"/>
          <w:sz w:val="21"/>
        </w:rPr>
        <w:t> </w:t>
      </w:r>
      <w:r>
        <w:rPr>
          <w:sz w:val="21"/>
        </w:rPr>
        <w:t>concession,</w:t>
      </w:r>
      <w:r>
        <w:rPr>
          <w:spacing w:val="21"/>
          <w:sz w:val="21"/>
        </w:rPr>
        <w:t> </w:t>
      </w:r>
      <w:r>
        <w:rPr>
          <w:sz w:val="21"/>
        </w:rPr>
        <w:t>as</w:t>
      </w:r>
      <w:r>
        <w:rPr>
          <w:spacing w:val="21"/>
          <w:sz w:val="21"/>
        </w:rPr>
        <w:t> </w:t>
      </w:r>
      <w:r>
        <w:rPr>
          <w:sz w:val="21"/>
        </w:rPr>
        <w:t>well</w:t>
      </w:r>
      <w:r>
        <w:rPr>
          <w:spacing w:val="21"/>
          <w:sz w:val="21"/>
        </w:rPr>
        <w:t> </w:t>
      </w:r>
      <w:r>
        <w:rPr>
          <w:sz w:val="21"/>
        </w:rPr>
        <w:t>as</w:t>
      </w:r>
      <w:r>
        <w:rPr>
          <w:spacing w:val="21"/>
          <w:sz w:val="21"/>
        </w:rPr>
        <w:t> </w:t>
      </w:r>
      <w:r>
        <w:rPr>
          <w:sz w:val="21"/>
        </w:rPr>
        <w:t>all</w:t>
      </w:r>
      <w:r>
        <w:rPr>
          <w:spacing w:val="21"/>
          <w:sz w:val="21"/>
        </w:rPr>
        <w:t> </w:t>
      </w:r>
      <w:r>
        <w:rPr>
          <w:sz w:val="21"/>
        </w:rPr>
        <w:t>properties</w:t>
      </w:r>
      <w:r>
        <w:rPr>
          <w:spacing w:val="21"/>
          <w:sz w:val="21"/>
        </w:rPr>
        <w:t> </w:t>
      </w:r>
      <w:r>
        <w:rPr>
          <w:sz w:val="21"/>
        </w:rPr>
        <w:t>revertible</w:t>
      </w:r>
      <w:r>
        <w:rPr>
          <w:spacing w:val="21"/>
          <w:sz w:val="21"/>
        </w:rPr>
        <w:t> </w:t>
      </w:r>
      <w:r>
        <w:rPr>
          <w:sz w:val="21"/>
        </w:rPr>
        <w:t>to</w:t>
      </w:r>
      <w:r>
        <w:rPr>
          <w:spacing w:val="21"/>
          <w:sz w:val="21"/>
        </w:rPr>
        <w:t> </w:t>
      </w:r>
      <w:r>
        <w:rPr>
          <w:sz w:val="21"/>
        </w:rPr>
        <w:t>the</w:t>
      </w:r>
      <w:r>
        <w:rPr>
          <w:spacing w:val="21"/>
          <w:sz w:val="21"/>
        </w:rPr>
        <w:t> </w:t>
      </w:r>
      <w:r>
        <w:rPr>
          <w:sz w:val="21"/>
        </w:rPr>
        <w:t>Macau</w:t>
      </w:r>
      <w:r>
        <w:rPr>
          <w:spacing w:val="21"/>
          <w:sz w:val="21"/>
        </w:rPr>
        <w:t> </w:t>
      </w:r>
      <w:r>
        <w:rPr>
          <w:sz w:val="21"/>
        </w:rPr>
        <w:t>SAR,</w:t>
      </w:r>
      <w:r>
        <w:rPr>
          <w:spacing w:val="21"/>
          <w:sz w:val="21"/>
        </w:rPr>
        <w:t> </w:t>
      </w:r>
      <w:r>
        <w:rPr>
          <w:sz w:val="21"/>
        </w:rPr>
        <w:t>submitting</w:t>
      </w:r>
      <w:r>
        <w:rPr>
          <w:spacing w:val="21"/>
          <w:sz w:val="21"/>
        </w:rPr>
        <w:t> </w:t>
      </w:r>
      <w:r>
        <w:rPr>
          <w:sz w:val="21"/>
        </w:rPr>
        <w:t>for</w:t>
      </w:r>
      <w:r>
        <w:rPr>
          <w:spacing w:val="21"/>
          <w:sz w:val="21"/>
        </w:rPr>
        <w:t> </w:t>
      </w:r>
      <w:r>
        <w:rPr>
          <w:sz w:val="21"/>
        </w:rPr>
        <w:t>that</w:t>
      </w:r>
      <w:r>
        <w:rPr>
          <w:spacing w:val="21"/>
          <w:sz w:val="21"/>
        </w:rPr>
        <w:t> </w:t>
      </w:r>
      <w:r>
        <w:rPr>
          <w:sz w:val="21"/>
        </w:rPr>
        <w:t>effect, by 31 May of each year, an annual update of the maps showing all alterations to DICJ and DSF.</w:t>
      </w:r>
    </w:p>
    <w:p>
      <w:pPr>
        <w:pStyle w:val="BodyText"/>
        <w:spacing w:before="145"/>
        <w:rPr>
          <w:sz w:val="21"/>
        </w:rPr>
      </w:pPr>
    </w:p>
    <w:p>
      <w:pPr>
        <w:spacing w:before="0"/>
        <w:ind w:left="144" w:right="0" w:firstLine="0"/>
        <w:jc w:val="left"/>
        <w:rPr>
          <w:sz w:val="21"/>
        </w:rPr>
      </w:pPr>
      <w:r>
        <w:rPr>
          <w:i/>
          <w:sz w:val="21"/>
        </w:rPr>
        <w:t>Two.</w:t>
      </w:r>
      <w:r>
        <w:rPr>
          <w:i/>
          <w:spacing w:val="8"/>
          <w:sz w:val="21"/>
        </w:rPr>
        <w:t> </w:t>
      </w:r>
      <w:r>
        <w:rPr>
          <w:sz w:val="21"/>
        </w:rPr>
        <w:t>In</w:t>
      </w:r>
      <w:r>
        <w:rPr>
          <w:spacing w:val="9"/>
          <w:sz w:val="21"/>
        </w:rPr>
        <w:t> </w:t>
      </w:r>
      <w:r>
        <w:rPr>
          <w:sz w:val="21"/>
        </w:rPr>
        <w:t>the</w:t>
      </w:r>
      <w:r>
        <w:rPr>
          <w:spacing w:val="9"/>
          <w:sz w:val="21"/>
        </w:rPr>
        <w:t> </w:t>
      </w:r>
      <w:r>
        <w:rPr>
          <w:sz w:val="21"/>
        </w:rPr>
        <w:t>last</w:t>
      </w:r>
      <w:r>
        <w:rPr>
          <w:spacing w:val="9"/>
          <w:sz w:val="21"/>
        </w:rPr>
        <w:t> </w:t>
      </w:r>
      <w:r>
        <w:rPr>
          <w:sz w:val="21"/>
        </w:rPr>
        <w:t>year</w:t>
      </w:r>
      <w:r>
        <w:rPr>
          <w:spacing w:val="9"/>
          <w:sz w:val="21"/>
        </w:rPr>
        <w:t> </w:t>
      </w:r>
      <w:r>
        <w:rPr>
          <w:sz w:val="21"/>
        </w:rPr>
        <w:t>of</w:t>
      </w:r>
      <w:r>
        <w:rPr>
          <w:spacing w:val="9"/>
          <w:sz w:val="21"/>
        </w:rPr>
        <w:t> </w:t>
      </w:r>
      <w:r>
        <w:rPr>
          <w:sz w:val="21"/>
        </w:rPr>
        <w:t>the</w:t>
      </w:r>
      <w:r>
        <w:rPr>
          <w:spacing w:val="9"/>
          <w:sz w:val="21"/>
        </w:rPr>
        <w:t> </w:t>
      </w:r>
      <w:r>
        <w:rPr>
          <w:sz w:val="21"/>
        </w:rPr>
        <w:t>concession,</w:t>
      </w:r>
      <w:r>
        <w:rPr>
          <w:spacing w:val="9"/>
          <w:sz w:val="21"/>
        </w:rPr>
        <w:t> </w:t>
      </w:r>
      <w:r>
        <w:rPr>
          <w:sz w:val="21"/>
        </w:rPr>
        <w:t>the</w:t>
      </w:r>
      <w:r>
        <w:rPr>
          <w:spacing w:val="9"/>
          <w:sz w:val="21"/>
        </w:rPr>
        <w:t> </w:t>
      </w:r>
      <w:r>
        <w:rPr>
          <w:sz w:val="21"/>
        </w:rPr>
        <w:t>aforementioned</w:t>
      </w:r>
      <w:r>
        <w:rPr>
          <w:spacing w:val="9"/>
          <w:sz w:val="21"/>
        </w:rPr>
        <w:t> </w:t>
      </w:r>
      <w:r>
        <w:rPr>
          <w:sz w:val="21"/>
        </w:rPr>
        <w:t>inventory</w:t>
      </w:r>
      <w:r>
        <w:rPr>
          <w:spacing w:val="9"/>
          <w:sz w:val="21"/>
        </w:rPr>
        <w:t> </w:t>
      </w:r>
      <w:r>
        <w:rPr>
          <w:sz w:val="21"/>
        </w:rPr>
        <w:t>shall</w:t>
      </w:r>
      <w:r>
        <w:rPr>
          <w:spacing w:val="9"/>
          <w:sz w:val="21"/>
        </w:rPr>
        <w:t> </w:t>
      </w:r>
      <w:r>
        <w:rPr>
          <w:sz w:val="21"/>
        </w:rPr>
        <w:t>be</w:t>
      </w:r>
      <w:r>
        <w:rPr>
          <w:spacing w:val="8"/>
          <w:sz w:val="21"/>
        </w:rPr>
        <w:t> </w:t>
      </w:r>
      <w:r>
        <w:rPr>
          <w:sz w:val="21"/>
        </w:rPr>
        <w:t>completed,</w:t>
      </w:r>
      <w:r>
        <w:rPr>
          <w:spacing w:val="9"/>
          <w:sz w:val="21"/>
        </w:rPr>
        <w:t> </w:t>
      </w:r>
      <w:r>
        <w:rPr>
          <w:sz w:val="21"/>
        </w:rPr>
        <w:t>necessarily,</w:t>
      </w:r>
      <w:r>
        <w:rPr>
          <w:spacing w:val="9"/>
          <w:sz w:val="21"/>
        </w:rPr>
        <w:t> </w:t>
      </w:r>
      <w:r>
        <w:rPr>
          <w:sz w:val="21"/>
        </w:rPr>
        <w:t>90</w:t>
      </w:r>
      <w:r>
        <w:rPr>
          <w:spacing w:val="9"/>
          <w:sz w:val="21"/>
        </w:rPr>
        <w:t> </w:t>
      </w:r>
      <w:r>
        <w:rPr>
          <w:sz w:val="21"/>
        </w:rPr>
        <w:t>days</w:t>
      </w:r>
      <w:r>
        <w:rPr>
          <w:spacing w:val="9"/>
          <w:sz w:val="21"/>
        </w:rPr>
        <w:t> </w:t>
      </w:r>
      <w:r>
        <w:rPr>
          <w:sz w:val="21"/>
        </w:rPr>
        <w:t>before</w:t>
      </w:r>
      <w:r>
        <w:rPr>
          <w:spacing w:val="9"/>
          <w:sz w:val="21"/>
        </w:rPr>
        <w:t> </w:t>
      </w:r>
      <w:r>
        <w:rPr>
          <w:sz w:val="21"/>
        </w:rPr>
        <w:t>its</w:t>
      </w:r>
      <w:r>
        <w:rPr>
          <w:spacing w:val="9"/>
          <w:sz w:val="21"/>
        </w:rPr>
        <w:t> </w:t>
      </w:r>
      <w:r>
        <w:rPr>
          <w:spacing w:val="-2"/>
          <w:sz w:val="21"/>
        </w:rPr>
        <w:t>term.</w:t>
      </w:r>
    </w:p>
    <w:p>
      <w:pPr>
        <w:pStyle w:val="BodyText"/>
        <w:spacing w:before="146"/>
        <w:rPr>
          <w:sz w:val="21"/>
        </w:rPr>
      </w:pPr>
    </w:p>
    <w:p>
      <w:pPr>
        <w:spacing w:line="213" w:lineRule="auto" w:before="0"/>
        <w:ind w:left="144" w:right="118" w:firstLine="0"/>
        <w:jc w:val="both"/>
        <w:rPr>
          <w:sz w:val="21"/>
        </w:rPr>
      </w:pPr>
      <w:r>
        <w:rPr>
          <w:i/>
          <w:sz w:val="21"/>
        </w:rPr>
        <w:t>Three. </w:t>
      </w:r>
      <w:r>
        <w:rPr>
          <w:sz w:val="21"/>
        </w:rPr>
        <w:t>In cases where the concession is terminated, the inventory mentioned in paragraph </w:t>
      </w:r>
      <w:r>
        <w:rPr>
          <w:i/>
          <w:sz w:val="21"/>
        </w:rPr>
        <w:t>one </w:t>
      </w:r>
      <w:r>
        <w:rPr>
          <w:sz w:val="21"/>
        </w:rPr>
        <w:t>of this clause shall be completed on a</w:t>
      </w:r>
      <w:r>
        <w:rPr>
          <w:spacing w:val="80"/>
          <w:w w:val="150"/>
          <w:sz w:val="21"/>
        </w:rPr>
        <w:t> </w:t>
      </w:r>
      <w:r>
        <w:rPr>
          <w:sz w:val="21"/>
        </w:rPr>
        <w:t>date to be stipulated by the Government.</w:t>
      </w:r>
    </w:p>
    <w:p>
      <w:pPr>
        <w:pStyle w:val="BodyText"/>
        <w:spacing w:before="131"/>
        <w:rPr>
          <w:sz w:val="21"/>
        </w:rPr>
      </w:pPr>
    </w:p>
    <w:p>
      <w:pPr>
        <w:spacing w:before="0"/>
        <w:ind w:left="24" w:right="0" w:firstLine="0"/>
        <w:jc w:val="center"/>
        <w:rPr>
          <w:b/>
          <w:sz w:val="21"/>
        </w:rPr>
      </w:pPr>
      <w:r>
        <w:rPr>
          <w:b/>
          <w:sz w:val="21"/>
        </w:rPr>
        <w:t>Clause</w:t>
      </w:r>
      <w:r>
        <w:rPr>
          <w:b/>
          <w:spacing w:val="13"/>
          <w:sz w:val="21"/>
        </w:rPr>
        <w:t> </w:t>
      </w:r>
      <w:r>
        <w:rPr>
          <w:b/>
          <w:spacing w:val="-5"/>
          <w:sz w:val="21"/>
        </w:rPr>
        <w:t>47</w:t>
      </w:r>
    </w:p>
    <w:p>
      <w:pPr>
        <w:spacing w:before="69"/>
        <w:ind w:left="24" w:right="0" w:firstLine="0"/>
        <w:jc w:val="center"/>
        <w:rPr>
          <w:b/>
          <w:sz w:val="21"/>
        </w:rPr>
      </w:pPr>
      <w:r>
        <w:rPr>
          <w:b/>
          <w:spacing w:val="-2"/>
          <w:sz w:val="21"/>
        </w:rPr>
        <w:t>Improvements</w:t>
      </w:r>
    </w:p>
    <w:p>
      <w:pPr>
        <w:pStyle w:val="BodyText"/>
        <w:spacing w:before="146"/>
        <w:rPr>
          <w:b/>
          <w:sz w:val="21"/>
        </w:rPr>
      </w:pPr>
    </w:p>
    <w:p>
      <w:pPr>
        <w:spacing w:line="213" w:lineRule="auto" w:before="0"/>
        <w:ind w:left="144" w:right="118" w:firstLine="0"/>
        <w:jc w:val="both"/>
        <w:rPr>
          <w:sz w:val="21"/>
        </w:rPr>
      </w:pPr>
      <w:r>
        <w:rPr>
          <w:sz w:val="21"/>
        </w:rPr>
        <w:t>The</w:t>
      </w:r>
      <w:r>
        <w:rPr>
          <w:spacing w:val="14"/>
          <w:sz w:val="21"/>
        </w:rPr>
        <w:t> </w:t>
      </w:r>
      <w:r>
        <w:rPr>
          <w:sz w:val="21"/>
        </w:rPr>
        <w:t>improvements</w:t>
      </w:r>
      <w:r>
        <w:rPr>
          <w:spacing w:val="14"/>
          <w:sz w:val="21"/>
        </w:rPr>
        <w:t> </w:t>
      </w:r>
      <w:r>
        <w:rPr>
          <w:sz w:val="21"/>
        </w:rPr>
        <w:t>that,</w:t>
      </w:r>
      <w:r>
        <w:rPr>
          <w:spacing w:val="14"/>
          <w:sz w:val="21"/>
        </w:rPr>
        <w:t> </w:t>
      </w:r>
      <w:r>
        <w:rPr>
          <w:sz w:val="21"/>
        </w:rPr>
        <w:t>for</w:t>
      </w:r>
      <w:r>
        <w:rPr>
          <w:spacing w:val="14"/>
          <w:sz w:val="21"/>
        </w:rPr>
        <w:t> </w:t>
      </w:r>
      <w:r>
        <w:rPr>
          <w:sz w:val="21"/>
        </w:rPr>
        <w:t>any</w:t>
      </w:r>
      <w:r>
        <w:rPr>
          <w:spacing w:val="14"/>
          <w:sz w:val="21"/>
        </w:rPr>
        <w:t> </w:t>
      </w:r>
      <w:r>
        <w:rPr>
          <w:sz w:val="21"/>
        </w:rPr>
        <w:t>reason,</w:t>
      </w:r>
      <w:r>
        <w:rPr>
          <w:spacing w:val="14"/>
          <w:sz w:val="21"/>
        </w:rPr>
        <w:t> </w:t>
      </w:r>
      <w:r>
        <w:rPr>
          <w:sz w:val="21"/>
        </w:rPr>
        <w:t>are</w:t>
      </w:r>
      <w:r>
        <w:rPr>
          <w:spacing w:val="14"/>
          <w:sz w:val="21"/>
        </w:rPr>
        <w:t> </w:t>
      </w:r>
      <w:r>
        <w:rPr>
          <w:sz w:val="21"/>
        </w:rPr>
        <w:t>made</w:t>
      </w:r>
      <w:r>
        <w:rPr>
          <w:spacing w:val="14"/>
          <w:sz w:val="21"/>
        </w:rPr>
        <w:t> </w:t>
      </w:r>
      <w:r>
        <w:rPr>
          <w:sz w:val="21"/>
        </w:rPr>
        <w:t>to</w:t>
      </w:r>
      <w:r>
        <w:rPr>
          <w:spacing w:val="14"/>
          <w:sz w:val="21"/>
        </w:rPr>
        <w:t> </w:t>
      </w:r>
      <w:r>
        <w:rPr>
          <w:sz w:val="21"/>
        </w:rPr>
        <w:t>the</w:t>
      </w:r>
      <w:r>
        <w:rPr>
          <w:spacing w:val="14"/>
          <w:sz w:val="21"/>
        </w:rPr>
        <w:t> </w:t>
      </w:r>
      <w:r>
        <w:rPr>
          <w:sz w:val="21"/>
        </w:rPr>
        <w:t>properties</w:t>
      </w:r>
      <w:r>
        <w:rPr>
          <w:spacing w:val="14"/>
          <w:sz w:val="21"/>
        </w:rPr>
        <w:t> </w:t>
      </w:r>
      <w:r>
        <w:rPr>
          <w:sz w:val="21"/>
        </w:rPr>
        <w:t>referred</w:t>
      </w:r>
      <w:r>
        <w:rPr>
          <w:spacing w:val="14"/>
          <w:sz w:val="21"/>
        </w:rPr>
        <w:t> </w:t>
      </w:r>
      <w:r>
        <w:rPr>
          <w:sz w:val="21"/>
        </w:rPr>
        <w:t>to</w:t>
      </w:r>
      <w:r>
        <w:rPr>
          <w:spacing w:val="14"/>
          <w:sz w:val="21"/>
        </w:rPr>
        <w:t> </w:t>
      </w:r>
      <w:r>
        <w:rPr>
          <w:sz w:val="21"/>
        </w:rPr>
        <w:t>in</w:t>
      </w:r>
      <w:r>
        <w:rPr>
          <w:spacing w:val="14"/>
          <w:sz w:val="21"/>
        </w:rPr>
        <w:t> </w:t>
      </w:r>
      <w:r>
        <w:rPr>
          <w:sz w:val="21"/>
        </w:rPr>
        <w:t>Clause</w:t>
      </w:r>
      <w:r>
        <w:rPr>
          <w:spacing w:val="14"/>
          <w:sz w:val="21"/>
        </w:rPr>
        <w:t> </w:t>
      </w:r>
      <w:r>
        <w:rPr>
          <w:sz w:val="21"/>
        </w:rPr>
        <w:t>43,</w:t>
      </w:r>
      <w:r>
        <w:rPr>
          <w:spacing w:val="14"/>
          <w:sz w:val="21"/>
        </w:rPr>
        <w:t> </w:t>
      </w:r>
      <w:r>
        <w:rPr>
          <w:sz w:val="21"/>
        </w:rPr>
        <w:t>as</w:t>
      </w:r>
      <w:r>
        <w:rPr>
          <w:spacing w:val="14"/>
          <w:sz w:val="21"/>
        </w:rPr>
        <w:t> </w:t>
      </w:r>
      <w:r>
        <w:rPr>
          <w:sz w:val="21"/>
        </w:rPr>
        <w:t>well</w:t>
      </w:r>
      <w:r>
        <w:rPr>
          <w:spacing w:val="14"/>
          <w:sz w:val="21"/>
        </w:rPr>
        <w:t> </w:t>
      </w:r>
      <w:r>
        <w:rPr>
          <w:sz w:val="21"/>
        </w:rPr>
        <w:t>as</w:t>
      </w:r>
      <w:r>
        <w:rPr>
          <w:spacing w:val="14"/>
          <w:sz w:val="21"/>
        </w:rPr>
        <w:t> </w:t>
      </w:r>
      <w:r>
        <w:rPr>
          <w:sz w:val="21"/>
        </w:rPr>
        <w:t>to</w:t>
      </w:r>
      <w:r>
        <w:rPr>
          <w:spacing w:val="14"/>
          <w:sz w:val="21"/>
        </w:rPr>
        <w:t> </w:t>
      </w:r>
      <w:r>
        <w:rPr>
          <w:sz w:val="21"/>
        </w:rPr>
        <w:t>properties</w:t>
      </w:r>
      <w:r>
        <w:rPr>
          <w:spacing w:val="14"/>
          <w:sz w:val="21"/>
        </w:rPr>
        <w:t> </w:t>
      </w:r>
      <w:r>
        <w:rPr>
          <w:sz w:val="21"/>
        </w:rPr>
        <w:t>that</w:t>
      </w:r>
      <w:r>
        <w:rPr>
          <w:spacing w:val="14"/>
          <w:sz w:val="21"/>
        </w:rPr>
        <w:t> </w:t>
      </w:r>
      <w:r>
        <w:rPr>
          <w:sz w:val="21"/>
        </w:rPr>
        <w:t>are</w:t>
      </w:r>
      <w:r>
        <w:rPr>
          <w:spacing w:val="14"/>
          <w:sz w:val="21"/>
        </w:rPr>
        <w:t> </w:t>
      </w:r>
      <w:r>
        <w:rPr>
          <w:sz w:val="21"/>
        </w:rPr>
        <w:t>revertible to</w:t>
      </w:r>
      <w:r>
        <w:rPr>
          <w:spacing w:val="21"/>
          <w:sz w:val="21"/>
        </w:rPr>
        <w:t> </w:t>
      </w:r>
      <w:r>
        <w:rPr>
          <w:sz w:val="21"/>
        </w:rPr>
        <w:t>the</w:t>
      </w:r>
      <w:r>
        <w:rPr>
          <w:spacing w:val="21"/>
          <w:sz w:val="21"/>
        </w:rPr>
        <w:t> </w:t>
      </w:r>
      <w:r>
        <w:rPr>
          <w:sz w:val="21"/>
        </w:rPr>
        <w:t>Grantor,</w:t>
      </w:r>
      <w:r>
        <w:rPr>
          <w:spacing w:val="21"/>
          <w:sz w:val="21"/>
        </w:rPr>
        <w:t> </w:t>
      </w:r>
      <w:r>
        <w:rPr>
          <w:sz w:val="21"/>
        </w:rPr>
        <w:t>do</w:t>
      </w:r>
      <w:r>
        <w:rPr>
          <w:spacing w:val="21"/>
          <w:sz w:val="21"/>
        </w:rPr>
        <w:t> </w:t>
      </w:r>
      <w:r>
        <w:rPr>
          <w:sz w:val="21"/>
        </w:rPr>
        <w:t>not</w:t>
      </w:r>
      <w:r>
        <w:rPr>
          <w:spacing w:val="21"/>
          <w:sz w:val="21"/>
        </w:rPr>
        <w:t> </w:t>
      </w:r>
      <w:r>
        <w:rPr>
          <w:sz w:val="21"/>
        </w:rPr>
        <w:t>entitle</w:t>
      </w:r>
      <w:r>
        <w:rPr>
          <w:spacing w:val="21"/>
          <w:sz w:val="21"/>
        </w:rPr>
        <w:t> </w:t>
      </w:r>
      <w:r>
        <w:rPr>
          <w:sz w:val="21"/>
        </w:rPr>
        <w:t>the</w:t>
      </w:r>
      <w:r>
        <w:rPr>
          <w:spacing w:val="21"/>
          <w:sz w:val="21"/>
        </w:rPr>
        <w:t> </w:t>
      </w:r>
      <w:r>
        <w:rPr>
          <w:sz w:val="21"/>
        </w:rPr>
        <w:t>Concessionaire</w:t>
      </w:r>
      <w:r>
        <w:rPr>
          <w:spacing w:val="21"/>
          <w:sz w:val="21"/>
        </w:rPr>
        <w:t> </w:t>
      </w:r>
      <w:r>
        <w:rPr>
          <w:sz w:val="21"/>
        </w:rPr>
        <w:t>to</w:t>
      </w:r>
      <w:r>
        <w:rPr>
          <w:spacing w:val="21"/>
          <w:sz w:val="21"/>
        </w:rPr>
        <w:t> </w:t>
      </w:r>
      <w:r>
        <w:rPr>
          <w:sz w:val="21"/>
        </w:rPr>
        <w:t>any</w:t>
      </w:r>
      <w:r>
        <w:rPr>
          <w:spacing w:val="21"/>
          <w:sz w:val="21"/>
        </w:rPr>
        <w:t> </w:t>
      </w:r>
      <w:r>
        <w:rPr>
          <w:sz w:val="21"/>
        </w:rPr>
        <w:t>compensation</w:t>
      </w:r>
      <w:r>
        <w:rPr>
          <w:spacing w:val="21"/>
          <w:sz w:val="21"/>
        </w:rPr>
        <w:t> </w:t>
      </w:r>
      <w:r>
        <w:rPr>
          <w:sz w:val="21"/>
        </w:rPr>
        <w:t>or</w:t>
      </w:r>
      <w:r>
        <w:rPr>
          <w:spacing w:val="21"/>
          <w:sz w:val="21"/>
        </w:rPr>
        <w:t> </w:t>
      </w:r>
      <w:r>
        <w:rPr>
          <w:sz w:val="21"/>
        </w:rPr>
        <w:t>indemnity</w:t>
      </w:r>
      <w:r>
        <w:rPr>
          <w:spacing w:val="21"/>
          <w:sz w:val="21"/>
        </w:rPr>
        <w:t> </w:t>
      </w:r>
      <w:r>
        <w:rPr>
          <w:sz w:val="21"/>
        </w:rPr>
        <w:t>and</w:t>
      </w:r>
      <w:r>
        <w:rPr>
          <w:spacing w:val="21"/>
          <w:sz w:val="21"/>
        </w:rPr>
        <w:t> </w:t>
      </w:r>
      <w:r>
        <w:rPr>
          <w:sz w:val="21"/>
        </w:rPr>
        <w:t>do</w:t>
      </w:r>
      <w:r>
        <w:rPr>
          <w:spacing w:val="21"/>
          <w:sz w:val="21"/>
        </w:rPr>
        <w:t> </w:t>
      </w:r>
      <w:r>
        <w:rPr>
          <w:sz w:val="21"/>
        </w:rPr>
        <w:t>not</w:t>
      </w:r>
      <w:r>
        <w:rPr>
          <w:spacing w:val="21"/>
          <w:sz w:val="21"/>
        </w:rPr>
        <w:t> </w:t>
      </w:r>
      <w:r>
        <w:rPr>
          <w:sz w:val="21"/>
        </w:rPr>
        <w:t>need</w:t>
      </w:r>
      <w:r>
        <w:rPr>
          <w:spacing w:val="21"/>
          <w:sz w:val="21"/>
        </w:rPr>
        <w:t> </w:t>
      </w:r>
      <w:r>
        <w:rPr>
          <w:sz w:val="21"/>
        </w:rPr>
        <w:t>to</w:t>
      </w:r>
      <w:r>
        <w:rPr>
          <w:spacing w:val="21"/>
          <w:sz w:val="21"/>
        </w:rPr>
        <w:t> </w:t>
      </w:r>
      <w:r>
        <w:rPr>
          <w:sz w:val="21"/>
        </w:rPr>
        <w:t>be</w:t>
      </w:r>
      <w:r>
        <w:rPr>
          <w:spacing w:val="21"/>
          <w:sz w:val="21"/>
        </w:rPr>
        <w:t> </w:t>
      </w:r>
      <w:r>
        <w:rPr>
          <w:sz w:val="21"/>
        </w:rPr>
        <w:t>removed.</w:t>
      </w:r>
    </w:p>
    <w:p>
      <w:pPr>
        <w:pStyle w:val="BodyText"/>
        <w:spacing w:before="77"/>
        <w:rPr>
          <w:sz w:val="21"/>
        </w:rPr>
      </w:pPr>
    </w:p>
    <w:p>
      <w:pPr>
        <w:spacing w:before="0"/>
        <w:ind w:left="24" w:right="0" w:firstLine="0"/>
        <w:jc w:val="center"/>
        <w:rPr>
          <w:b/>
          <w:sz w:val="21"/>
        </w:rPr>
      </w:pPr>
      <w:r>
        <w:rPr>
          <w:b/>
          <w:sz w:val="21"/>
        </w:rPr>
        <w:t>Clause</w:t>
      </w:r>
      <w:r>
        <w:rPr>
          <w:b/>
          <w:spacing w:val="13"/>
          <w:sz w:val="21"/>
        </w:rPr>
        <w:t> </w:t>
      </w:r>
      <w:r>
        <w:rPr>
          <w:b/>
          <w:spacing w:val="-5"/>
          <w:sz w:val="21"/>
        </w:rPr>
        <w:t>48</w:t>
      </w:r>
    </w:p>
    <w:p>
      <w:pPr>
        <w:spacing w:before="96"/>
        <w:ind w:left="24" w:right="0" w:firstLine="0"/>
        <w:jc w:val="center"/>
        <w:rPr>
          <w:b/>
          <w:sz w:val="21"/>
        </w:rPr>
      </w:pPr>
      <w:r>
        <w:rPr>
          <w:b/>
          <w:sz w:val="21"/>
        </w:rPr>
        <w:t>Concession</w:t>
      </w:r>
      <w:r>
        <w:rPr>
          <w:b/>
          <w:spacing w:val="8"/>
          <w:sz w:val="21"/>
        </w:rPr>
        <w:t> </w:t>
      </w:r>
      <w:r>
        <w:rPr>
          <w:b/>
          <w:sz w:val="21"/>
        </w:rPr>
        <w:t>of</w:t>
      </w:r>
      <w:r>
        <w:rPr>
          <w:b/>
          <w:spacing w:val="8"/>
          <w:sz w:val="21"/>
        </w:rPr>
        <w:t> </w:t>
      </w:r>
      <w:r>
        <w:rPr>
          <w:b/>
          <w:sz w:val="21"/>
        </w:rPr>
        <w:t>land</w:t>
      </w:r>
      <w:r>
        <w:rPr>
          <w:b/>
          <w:spacing w:val="8"/>
          <w:sz w:val="21"/>
        </w:rPr>
        <w:t> </w:t>
      </w:r>
      <w:r>
        <w:rPr>
          <w:b/>
          <w:sz w:val="21"/>
        </w:rPr>
        <w:t>to</w:t>
      </w:r>
      <w:r>
        <w:rPr>
          <w:b/>
          <w:spacing w:val="8"/>
          <w:sz w:val="21"/>
        </w:rPr>
        <w:t> </w:t>
      </w:r>
      <w:r>
        <w:rPr>
          <w:b/>
          <w:sz w:val="21"/>
        </w:rPr>
        <w:t>be</w:t>
      </w:r>
      <w:r>
        <w:rPr>
          <w:b/>
          <w:spacing w:val="8"/>
          <w:sz w:val="21"/>
        </w:rPr>
        <w:t> </w:t>
      </w:r>
      <w:r>
        <w:rPr>
          <w:b/>
          <w:sz w:val="21"/>
        </w:rPr>
        <w:t>used</w:t>
      </w:r>
      <w:r>
        <w:rPr>
          <w:b/>
          <w:spacing w:val="9"/>
          <w:sz w:val="21"/>
        </w:rPr>
        <w:t> </w:t>
      </w:r>
      <w:r>
        <w:rPr>
          <w:b/>
          <w:sz w:val="21"/>
        </w:rPr>
        <w:t>by</w:t>
      </w:r>
      <w:r>
        <w:rPr>
          <w:b/>
          <w:spacing w:val="8"/>
          <w:sz w:val="21"/>
        </w:rPr>
        <w:t> </w:t>
      </w:r>
      <w:r>
        <w:rPr>
          <w:b/>
          <w:sz w:val="21"/>
        </w:rPr>
        <w:t>the</w:t>
      </w:r>
      <w:r>
        <w:rPr>
          <w:b/>
          <w:spacing w:val="8"/>
          <w:sz w:val="21"/>
        </w:rPr>
        <w:t> </w:t>
      </w:r>
      <w:r>
        <w:rPr>
          <w:b/>
          <w:spacing w:val="-2"/>
          <w:sz w:val="21"/>
        </w:rPr>
        <w:t>Concessionaire</w:t>
      </w:r>
    </w:p>
    <w:p>
      <w:pPr>
        <w:pStyle w:val="BodyText"/>
        <w:spacing w:before="146"/>
        <w:rPr>
          <w:b/>
          <w:sz w:val="21"/>
        </w:rPr>
      </w:pPr>
    </w:p>
    <w:p>
      <w:pPr>
        <w:spacing w:line="213" w:lineRule="auto" w:before="0"/>
        <w:ind w:left="144" w:right="117" w:firstLine="0"/>
        <w:jc w:val="both"/>
        <w:rPr>
          <w:sz w:val="21"/>
        </w:rPr>
      </w:pPr>
      <w:r>
        <w:rPr>
          <w:i/>
          <w:sz w:val="21"/>
        </w:rPr>
        <w:t>One.</w:t>
      </w:r>
      <w:r>
        <w:rPr>
          <w:i/>
          <w:spacing w:val="40"/>
          <w:sz w:val="21"/>
        </w:rPr>
        <w:t> </w:t>
      </w:r>
      <w:r>
        <w:rPr>
          <w:sz w:val="21"/>
        </w:rPr>
        <w:t>The</w:t>
      </w:r>
      <w:r>
        <w:rPr>
          <w:spacing w:val="40"/>
          <w:sz w:val="21"/>
        </w:rPr>
        <w:t> </w:t>
      </w:r>
      <w:r>
        <w:rPr>
          <w:sz w:val="21"/>
        </w:rPr>
        <w:t>regime</w:t>
      </w:r>
      <w:r>
        <w:rPr>
          <w:spacing w:val="40"/>
          <w:sz w:val="21"/>
        </w:rPr>
        <w:t> </w:t>
      </w:r>
      <w:r>
        <w:rPr>
          <w:sz w:val="21"/>
        </w:rPr>
        <w:t>governing</w:t>
      </w:r>
      <w:r>
        <w:rPr>
          <w:spacing w:val="40"/>
          <w:sz w:val="21"/>
        </w:rPr>
        <w:t> </w:t>
      </w:r>
      <w:r>
        <w:rPr>
          <w:sz w:val="21"/>
        </w:rPr>
        <w:t>the</w:t>
      </w:r>
      <w:r>
        <w:rPr>
          <w:spacing w:val="40"/>
          <w:sz w:val="21"/>
        </w:rPr>
        <w:t> </w:t>
      </w:r>
      <w:r>
        <w:rPr>
          <w:sz w:val="21"/>
        </w:rPr>
        <w:t>concession</w:t>
      </w:r>
      <w:r>
        <w:rPr>
          <w:spacing w:val="40"/>
          <w:sz w:val="21"/>
        </w:rPr>
        <w:t> </w:t>
      </w:r>
      <w:r>
        <w:rPr>
          <w:sz w:val="21"/>
        </w:rPr>
        <w:t>of</w:t>
      </w:r>
      <w:r>
        <w:rPr>
          <w:spacing w:val="40"/>
          <w:sz w:val="21"/>
        </w:rPr>
        <w:t> </w:t>
      </w:r>
      <w:r>
        <w:rPr>
          <w:sz w:val="21"/>
        </w:rPr>
        <w:t>land</w:t>
      </w:r>
      <w:r>
        <w:rPr>
          <w:spacing w:val="40"/>
          <w:sz w:val="21"/>
        </w:rPr>
        <w:t> </w:t>
      </w:r>
      <w:r>
        <w:rPr>
          <w:sz w:val="21"/>
        </w:rPr>
        <w:t>to</w:t>
      </w:r>
      <w:r>
        <w:rPr>
          <w:spacing w:val="40"/>
          <w:sz w:val="21"/>
        </w:rPr>
        <w:t> </w:t>
      </w:r>
      <w:r>
        <w:rPr>
          <w:sz w:val="21"/>
        </w:rPr>
        <w:t>be</w:t>
      </w:r>
      <w:r>
        <w:rPr>
          <w:spacing w:val="40"/>
          <w:sz w:val="21"/>
        </w:rPr>
        <w:t> </w:t>
      </w:r>
      <w:r>
        <w:rPr>
          <w:sz w:val="21"/>
        </w:rPr>
        <w:t>used</w:t>
      </w:r>
      <w:r>
        <w:rPr>
          <w:spacing w:val="40"/>
          <w:sz w:val="21"/>
        </w:rPr>
        <w:t> </w:t>
      </w:r>
      <w:r>
        <w:rPr>
          <w:sz w:val="21"/>
        </w:rPr>
        <w:t>by</w:t>
      </w:r>
      <w:r>
        <w:rPr>
          <w:spacing w:val="40"/>
          <w:sz w:val="21"/>
        </w:rPr>
        <w:t> </w:t>
      </w:r>
      <w:r>
        <w:rPr>
          <w:sz w:val="21"/>
        </w:rPr>
        <w:t>the</w:t>
      </w:r>
      <w:r>
        <w:rPr>
          <w:spacing w:val="40"/>
          <w:sz w:val="21"/>
        </w:rPr>
        <w:t> </w:t>
      </w:r>
      <w:r>
        <w:rPr>
          <w:sz w:val="21"/>
        </w:rPr>
        <w:t>Concessionaire,</w:t>
      </w:r>
      <w:r>
        <w:rPr>
          <w:spacing w:val="40"/>
          <w:sz w:val="21"/>
        </w:rPr>
        <w:t> </w:t>
      </w:r>
      <w:r>
        <w:rPr>
          <w:sz w:val="21"/>
        </w:rPr>
        <w:t>namely</w:t>
      </w:r>
      <w:r>
        <w:rPr>
          <w:spacing w:val="40"/>
          <w:sz w:val="21"/>
        </w:rPr>
        <w:t> </w:t>
      </w:r>
      <w:r>
        <w:rPr>
          <w:sz w:val="21"/>
        </w:rPr>
        <w:t>for</w:t>
      </w:r>
      <w:r>
        <w:rPr>
          <w:spacing w:val="40"/>
          <w:sz w:val="21"/>
        </w:rPr>
        <w:t> </w:t>
      </w:r>
      <w:r>
        <w:rPr>
          <w:sz w:val="21"/>
        </w:rPr>
        <w:t>the</w:t>
      </w:r>
      <w:r>
        <w:rPr>
          <w:spacing w:val="40"/>
          <w:sz w:val="21"/>
        </w:rPr>
        <w:t> </w:t>
      </w:r>
      <w:r>
        <w:rPr>
          <w:sz w:val="21"/>
        </w:rPr>
        <w:t>concession</w:t>
      </w:r>
      <w:r>
        <w:rPr>
          <w:spacing w:val="40"/>
          <w:sz w:val="21"/>
        </w:rPr>
        <w:t> </w:t>
      </w:r>
      <w:r>
        <w:rPr>
          <w:sz w:val="21"/>
        </w:rPr>
        <w:t>operation,</w:t>
      </w:r>
      <w:r>
        <w:rPr>
          <w:spacing w:val="40"/>
          <w:sz w:val="21"/>
        </w:rPr>
        <w:t> </w:t>
      </w:r>
      <w:r>
        <w:rPr>
          <w:sz w:val="21"/>
        </w:rPr>
        <w:t>is stipulated in the respective land concession contract.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8"/>
        <w:rPr>
          <w:sz w:val="20"/>
        </w:rPr>
      </w:pPr>
      <w:r>
        <w:rPr/>
        <mc:AlternateContent>
          <mc:Choice Requires="wps">
            <w:drawing>
              <wp:anchor distT="0" distB="0" distL="0" distR="0" allowOverlap="1" layoutInCell="1" locked="0" behindDoc="1" simplePos="0" relativeHeight="487777792">
                <wp:simplePos x="0" y="0"/>
                <wp:positionH relativeFrom="page">
                  <wp:posOffset>231457</wp:posOffset>
                </wp:positionH>
                <wp:positionV relativeFrom="paragraph">
                  <wp:posOffset>204457</wp:posOffset>
                </wp:positionV>
                <wp:extent cx="7312659" cy="17145"/>
                <wp:effectExtent l="0" t="0" r="0" b="0"/>
                <wp:wrapTopAndBottom/>
                <wp:docPr id="900" name="Group 900"/>
                <wp:cNvGraphicFramePr>
                  <a:graphicFrameLocks/>
                </wp:cNvGraphicFramePr>
                <a:graphic>
                  <a:graphicData uri="http://schemas.microsoft.com/office/word/2010/wordprocessingGroup">
                    <wpg:wgp>
                      <wpg:cNvPr id="900" name="Group 900"/>
                      <wpg:cNvGrpSpPr/>
                      <wpg:grpSpPr>
                        <a:xfrm>
                          <a:off x="0" y="0"/>
                          <a:ext cx="7312659" cy="17145"/>
                          <a:chExt cx="7312659" cy="17145"/>
                        </a:xfrm>
                      </wpg:grpSpPr>
                      <wps:wsp>
                        <wps:cNvPr id="901" name="Graphic 90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02" name="Graphic 902"/>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03" name="Graphic 90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099024pt;width:575.8pt;height:1.35pt;mso-position-horizontal-relative:page;mso-position-vertical-relative:paragraph;z-index:-15538688;mso-wrap-distance-left:0;mso-wrap-distance-right:0" id="docshapegroup898" coordorigin="364,322" coordsize="11516,27">
                <v:rect style="position:absolute;left:364;top:321;width:11516;height:14" id="docshape899" filled="true" fillcolor="#999999" stroked="false">
                  <v:fill type="solid"/>
                </v:rect>
                <v:shape style="position:absolute;left:364;top:321;width:11516;height:27" id="docshape900" coordorigin="364,322" coordsize="11516,27" path="m11880,322l11866,335,364,335,364,349,11866,349,11880,349,11880,335,11880,322xe" filled="true" fillcolor="#ededed" stroked="false">
                  <v:path arrowok="t"/>
                  <v:fill type="solid"/>
                </v:shape>
                <v:shape style="position:absolute;left:364;top:321;width:14;height:27" id="docshape901" coordorigin="364,322" coordsize="14,27" path="m364,349l364,322,378,322,378,335,364,349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233"/>
        <w:ind w:left="144" w:right="117" w:firstLine="0"/>
        <w:jc w:val="both"/>
        <w:rPr>
          <w:sz w:val="21"/>
        </w:rPr>
      </w:pPr>
      <w:r>
        <w:rPr>
          <w:i/>
          <w:sz w:val="21"/>
        </w:rPr>
        <w:t>Two.</w:t>
      </w:r>
      <w:r>
        <w:rPr>
          <w:i/>
          <w:spacing w:val="40"/>
          <w:sz w:val="21"/>
        </w:rPr>
        <w:t> </w:t>
      </w:r>
      <w:r>
        <w:rPr>
          <w:sz w:val="21"/>
        </w:rPr>
        <w:t>The</w:t>
      </w:r>
      <w:r>
        <w:rPr>
          <w:spacing w:val="40"/>
          <w:sz w:val="21"/>
        </w:rPr>
        <w:t> </w:t>
      </w:r>
      <w:r>
        <w:rPr>
          <w:sz w:val="21"/>
        </w:rPr>
        <w:t>land</w:t>
      </w:r>
      <w:r>
        <w:rPr>
          <w:spacing w:val="40"/>
          <w:sz w:val="21"/>
        </w:rPr>
        <w:t> </w:t>
      </w:r>
      <w:r>
        <w:rPr>
          <w:sz w:val="21"/>
        </w:rPr>
        <w:t>concession</w:t>
      </w:r>
      <w:r>
        <w:rPr>
          <w:spacing w:val="40"/>
          <w:sz w:val="21"/>
        </w:rPr>
        <w:t> </w:t>
      </w:r>
      <w:r>
        <w:rPr>
          <w:sz w:val="21"/>
        </w:rPr>
        <w:t>contract</w:t>
      </w:r>
      <w:r>
        <w:rPr>
          <w:spacing w:val="40"/>
          <w:sz w:val="21"/>
        </w:rPr>
        <w:t> </w:t>
      </w:r>
      <w:r>
        <w:rPr>
          <w:sz w:val="21"/>
        </w:rPr>
        <w:t>to</w:t>
      </w:r>
      <w:r>
        <w:rPr>
          <w:spacing w:val="40"/>
          <w:sz w:val="21"/>
        </w:rPr>
        <w:t> </w:t>
      </w:r>
      <w:r>
        <w:rPr>
          <w:sz w:val="21"/>
        </w:rPr>
        <w:t>be</w:t>
      </w:r>
      <w:r>
        <w:rPr>
          <w:spacing w:val="40"/>
          <w:sz w:val="21"/>
        </w:rPr>
        <w:t> </w:t>
      </w:r>
      <w:r>
        <w:rPr>
          <w:sz w:val="21"/>
        </w:rPr>
        <w:t>executed</w:t>
      </w:r>
      <w:r>
        <w:rPr>
          <w:spacing w:val="40"/>
          <w:sz w:val="21"/>
        </w:rPr>
        <w:t> </w:t>
      </w:r>
      <w:r>
        <w:rPr>
          <w:sz w:val="21"/>
        </w:rPr>
        <w:t>between</w:t>
      </w:r>
      <w:r>
        <w:rPr>
          <w:spacing w:val="40"/>
          <w:sz w:val="21"/>
        </w:rPr>
        <w:t> </w:t>
      </w:r>
      <w:r>
        <w:rPr>
          <w:sz w:val="21"/>
        </w:rPr>
        <w:t>the</w:t>
      </w:r>
      <w:r>
        <w:rPr>
          <w:spacing w:val="40"/>
          <w:sz w:val="21"/>
        </w:rPr>
        <w:t> </w:t>
      </w:r>
      <w:r>
        <w:rPr>
          <w:sz w:val="21"/>
        </w:rPr>
        <w:t>Government</w:t>
      </w:r>
      <w:r>
        <w:rPr>
          <w:spacing w:val="40"/>
          <w:sz w:val="21"/>
        </w:rPr>
        <w:t> </w:t>
      </w:r>
      <w:r>
        <w:rPr>
          <w:sz w:val="21"/>
        </w:rPr>
        <w:t>and</w:t>
      </w:r>
      <w:r>
        <w:rPr>
          <w:spacing w:val="40"/>
          <w:sz w:val="21"/>
        </w:rPr>
        <w:t> </w:t>
      </w:r>
      <w:r>
        <w:rPr>
          <w:sz w:val="21"/>
        </w:rPr>
        <w:t>the</w:t>
      </w:r>
      <w:r>
        <w:rPr>
          <w:spacing w:val="40"/>
          <w:sz w:val="21"/>
        </w:rPr>
        <w:t> </w:t>
      </w:r>
      <w:r>
        <w:rPr>
          <w:sz w:val="21"/>
        </w:rPr>
        <w:t>Concessionaire</w:t>
      </w:r>
      <w:r>
        <w:rPr>
          <w:spacing w:val="40"/>
          <w:sz w:val="21"/>
        </w:rPr>
        <w:t> </w:t>
      </w:r>
      <w:r>
        <w:rPr>
          <w:sz w:val="21"/>
        </w:rPr>
        <w:t>shall</w:t>
      </w:r>
      <w:r>
        <w:rPr>
          <w:spacing w:val="40"/>
          <w:sz w:val="21"/>
        </w:rPr>
        <w:t> </w:t>
      </w:r>
      <w:r>
        <w:rPr>
          <w:sz w:val="21"/>
        </w:rPr>
        <w:t>be</w:t>
      </w:r>
      <w:r>
        <w:rPr>
          <w:spacing w:val="40"/>
          <w:sz w:val="21"/>
        </w:rPr>
        <w:t> </w:t>
      </w:r>
      <w:r>
        <w:rPr>
          <w:sz w:val="21"/>
        </w:rPr>
        <w:t>governed</w:t>
      </w:r>
      <w:r>
        <w:rPr>
          <w:spacing w:val="40"/>
          <w:sz w:val="21"/>
        </w:rPr>
        <w:t> </w:t>
      </w:r>
      <w:r>
        <w:rPr>
          <w:sz w:val="21"/>
        </w:rPr>
        <w:t>by</w:t>
      </w:r>
      <w:r>
        <w:rPr>
          <w:spacing w:val="40"/>
          <w:sz w:val="21"/>
        </w:rPr>
        <w:t> </w:t>
      </w:r>
      <w:r>
        <w:rPr>
          <w:sz w:val="21"/>
        </w:rPr>
        <w:t>the provisions of this concession contract, where applicable.</w:t>
      </w:r>
    </w:p>
    <w:p>
      <w:pPr>
        <w:pStyle w:val="BodyText"/>
        <w:spacing w:before="144"/>
        <w:rPr>
          <w:sz w:val="21"/>
        </w:rPr>
      </w:pPr>
    </w:p>
    <w:p>
      <w:pPr>
        <w:spacing w:before="0"/>
        <w:ind w:left="24" w:right="0" w:firstLine="0"/>
        <w:jc w:val="center"/>
        <w:rPr>
          <w:b/>
          <w:sz w:val="21"/>
        </w:rPr>
      </w:pPr>
      <w:r>
        <w:rPr>
          <w:b/>
          <w:sz w:val="21"/>
        </w:rPr>
        <w:t>Clause</w:t>
      </w:r>
      <w:r>
        <w:rPr>
          <w:b/>
          <w:spacing w:val="13"/>
          <w:sz w:val="21"/>
        </w:rPr>
        <w:t> </w:t>
      </w:r>
      <w:r>
        <w:rPr>
          <w:b/>
          <w:spacing w:val="-5"/>
          <w:sz w:val="21"/>
        </w:rPr>
        <w:t>49</w:t>
      </w:r>
    </w:p>
    <w:p>
      <w:pPr>
        <w:spacing w:before="55"/>
        <w:ind w:left="24" w:right="0" w:firstLine="0"/>
        <w:jc w:val="center"/>
        <w:rPr>
          <w:b/>
          <w:sz w:val="21"/>
        </w:rPr>
      </w:pPr>
      <w:r>
        <w:rPr>
          <w:b/>
          <w:sz w:val="21"/>
        </w:rPr>
        <w:t>Assets</w:t>
      </w:r>
      <w:r>
        <w:rPr>
          <w:b/>
          <w:spacing w:val="10"/>
          <w:sz w:val="21"/>
        </w:rPr>
        <w:t> </w:t>
      </w:r>
      <w:r>
        <w:rPr>
          <w:b/>
          <w:sz w:val="21"/>
        </w:rPr>
        <w:t>necessary</w:t>
      </w:r>
      <w:r>
        <w:rPr>
          <w:b/>
          <w:spacing w:val="11"/>
          <w:sz w:val="21"/>
        </w:rPr>
        <w:t> </w:t>
      </w:r>
      <w:r>
        <w:rPr>
          <w:b/>
          <w:sz w:val="21"/>
        </w:rPr>
        <w:t>for</w:t>
      </w:r>
      <w:r>
        <w:rPr>
          <w:b/>
          <w:spacing w:val="5"/>
          <w:sz w:val="21"/>
        </w:rPr>
        <w:t> </w:t>
      </w:r>
      <w:r>
        <w:rPr>
          <w:b/>
          <w:sz w:val="21"/>
        </w:rPr>
        <w:t>the</w:t>
      </w:r>
      <w:r>
        <w:rPr>
          <w:b/>
          <w:spacing w:val="11"/>
          <w:sz w:val="21"/>
        </w:rPr>
        <w:t> </w:t>
      </w:r>
      <w:r>
        <w:rPr>
          <w:b/>
          <w:sz w:val="21"/>
        </w:rPr>
        <w:t>operation</w:t>
      </w:r>
      <w:r>
        <w:rPr>
          <w:b/>
          <w:spacing w:val="10"/>
          <w:sz w:val="21"/>
        </w:rPr>
        <w:t> </w:t>
      </w:r>
      <w:r>
        <w:rPr>
          <w:b/>
          <w:sz w:val="21"/>
        </w:rPr>
        <w:t>of</w:t>
      </w:r>
      <w:r>
        <w:rPr>
          <w:b/>
          <w:spacing w:val="11"/>
          <w:sz w:val="21"/>
        </w:rPr>
        <w:t> </w:t>
      </w:r>
      <w:r>
        <w:rPr>
          <w:b/>
          <w:sz w:val="21"/>
        </w:rPr>
        <w:t>the</w:t>
      </w:r>
      <w:r>
        <w:rPr>
          <w:b/>
          <w:spacing w:val="10"/>
          <w:sz w:val="21"/>
        </w:rPr>
        <w:t> </w:t>
      </w:r>
      <w:r>
        <w:rPr>
          <w:b/>
          <w:spacing w:val="-2"/>
          <w:sz w:val="21"/>
        </w:rPr>
        <w:t>concession</w:t>
      </w:r>
    </w:p>
    <w:p>
      <w:pPr>
        <w:pStyle w:val="BodyText"/>
        <w:spacing w:before="160"/>
        <w:rPr>
          <w:b/>
          <w:sz w:val="21"/>
        </w:rPr>
      </w:pPr>
    </w:p>
    <w:p>
      <w:pPr>
        <w:spacing w:line="213" w:lineRule="auto" w:before="0"/>
        <w:ind w:left="144" w:right="119" w:firstLine="0"/>
        <w:jc w:val="both"/>
        <w:rPr>
          <w:sz w:val="21"/>
        </w:rPr>
      </w:pPr>
      <w:r>
        <w:rPr>
          <w:i/>
          <w:sz w:val="21"/>
        </w:rPr>
        <w:t>One</w:t>
      </w:r>
      <w:r>
        <w:rPr>
          <w:sz w:val="21"/>
        </w:rPr>
        <w:t>. The</w:t>
      </w:r>
      <w:r>
        <w:rPr>
          <w:spacing w:val="23"/>
          <w:sz w:val="21"/>
        </w:rPr>
        <w:t> </w:t>
      </w:r>
      <w:r>
        <w:rPr>
          <w:sz w:val="21"/>
        </w:rPr>
        <w:t>Parties</w:t>
      </w:r>
      <w:r>
        <w:rPr>
          <w:spacing w:val="23"/>
          <w:sz w:val="21"/>
        </w:rPr>
        <w:t> </w:t>
      </w:r>
      <w:r>
        <w:rPr>
          <w:sz w:val="21"/>
        </w:rPr>
        <w:t>shall</w:t>
      </w:r>
      <w:r>
        <w:rPr>
          <w:spacing w:val="23"/>
          <w:sz w:val="21"/>
        </w:rPr>
        <w:t> </w:t>
      </w:r>
      <w:r>
        <w:rPr>
          <w:sz w:val="21"/>
        </w:rPr>
        <w:t>comply</w:t>
      </w:r>
      <w:r>
        <w:rPr>
          <w:spacing w:val="23"/>
          <w:sz w:val="21"/>
        </w:rPr>
        <w:t> </w:t>
      </w:r>
      <w:r>
        <w:rPr>
          <w:sz w:val="21"/>
        </w:rPr>
        <w:t>with</w:t>
      </w:r>
      <w:r>
        <w:rPr>
          <w:spacing w:val="23"/>
          <w:sz w:val="21"/>
        </w:rPr>
        <w:t> </w:t>
      </w:r>
      <w:r>
        <w:rPr>
          <w:sz w:val="21"/>
        </w:rPr>
        <w:t>the</w:t>
      </w:r>
      <w:r>
        <w:rPr>
          <w:spacing w:val="23"/>
          <w:sz w:val="21"/>
        </w:rPr>
        <w:t> </w:t>
      </w:r>
      <w:r>
        <w:rPr>
          <w:sz w:val="21"/>
        </w:rPr>
        <w:t>provisions</w:t>
      </w:r>
      <w:r>
        <w:rPr>
          <w:spacing w:val="23"/>
          <w:sz w:val="21"/>
        </w:rPr>
        <w:t> </w:t>
      </w:r>
      <w:r>
        <w:rPr>
          <w:sz w:val="21"/>
        </w:rPr>
        <w:t>of</w:t>
      </w:r>
      <w:r>
        <w:rPr>
          <w:spacing w:val="23"/>
          <w:sz w:val="21"/>
        </w:rPr>
        <w:t> </w:t>
      </w:r>
      <w:r>
        <w:rPr>
          <w:sz w:val="21"/>
        </w:rPr>
        <w:t>Sections</w:t>
      </w:r>
      <w:r>
        <w:rPr>
          <w:spacing w:val="23"/>
          <w:sz w:val="21"/>
        </w:rPr>
        <w:t> </w:t>
      </w:r>
      <w:r>
        <w:rPr>
          <w:sz w:val="21"/>
        </w:rPr>
        <w:t>37</w:t>
      </w:r>
      <w:r>
        <w:rPr>
          <w:spacing w:val="23"/>
          <w:sz w:val="21"/>
        </w:rPr>
        <w:t> </w:t>
      </w:r>
      <w:r>
        <w:rPr>
          <w:sz w:val="21"/>
        </w:rPr>
        <w:t>to</w:t>
      </w:r>
      <w:r>
        <w:rPr>
          <w:spacing w:val="23"/>
          <w:sz w:val="21"/>
        </w:rPr>
        <w:t> </w:t>
      </w:r>
      <w:r>
        <w:rPr>
          <w:sz w:val="21"/>
        </w:rPr>
        <w:t>39</w:t>
      </w:r>
      <w:r>
        <w:rPr>
          <w:spacing w:val="23"/>
          <w:sz w:val="21"/>
        </w:rPr>
        <w:t> </w:t>
      </w:r>
      <w:r>
        <w:rPr>
          <w:sz w:val="21"/>
        </w:rPr>
        <w:t>of</w:t>
      </w:r>
      <w:r>
        <w:rPr>
          <w:spacing w:val="23"/>
          <w:sz w:val="21"/>
        </w:rPr>
        <w:t> </w:t>
      </w:r>
      <w:r>
        <w:rPr>
          <w:sz w:val="21"/>
        </w:rPr>
        <w:t>Law</w:t>
      </w:r>
      <w:r>
        <w:rPr>
          <w:spacing w:val="23"/>
          <w:sz w:val="21"/>
        </w:rPr>
        <w:t> </w:t>
      </w:r>
      <w:r>
        <w:rPr>
          <w:sz w:val="21"/>
        </w:rPr>
        <w:t>No.</w:t>
      </w:r>
      <w:r>
        <w:rPr>
          <w:spacing w:val="23"/>
          <w:sz w:val="21"/>
        </w:rPr>
        <w:t> </w:t>
      </w:r>
      <w:r>
        <w:rPr>
          <w:sz w:val="21"/>
        </w:rPr>
        <w:t>16/2001,</w:t>
      </w:r>
      <w:r>
        <w:rPr>
          <w:spacing w:val="23"/>
          <w:sz w:val="21"/>
        </w:rPr>
        <w:t> </w:t>
      </w:r>
      <w:r>
        <w:rPr>
          <w:sz w:val="21"/>
        </w:rPr>
        <w:t>whereby</w:t>
      </w:r>
      <w:r>
        <w:rPr>
          <w:spacing w:val="23"/>
          <w:sz w:val="21"/>
        </w:rPr>
        <w:t> </w:t>
      </w:r>
      <w:r>
        <w:rPr>
          <w:sz w:val="21"/>
        </w:rPr>
        <w:t>the</w:t>
      </w:r>
      <w:r>
        <w:rPr>
          <w:spacing w:val="23"/>
          <w:sz w:val="21"/>
        </w:rPr>
        <w:t> </w:t>
      </w:r>
      <w:r>
        <w:rPr>
          <w:sz w:val="21"/>
        </w:rPr>
        <w:t>Government,</w:t>
      </w:r>
      <w:r>
        <w:rPr>
          <w:spacing w:val="23"/>
          <w:sz w:val="21"/>
        </w:rPr>
        <w:t> </w:t>
      </w:r>
      <w:r>
        <w:rPr>
          <w:sz w:val="21"/>
        </w:rPr>
        <w:t>through</w:t>
      </w:r>
      <w:r>
        <w:rPr>
          <w:spacing w:val="23"/>
          <w:sz w:val="21"/>
        </w:rPr>
        <w:t> </w:t>
      </w:r>
      <w:r>
        <w:rPr>
          <w:sz w:val="21"/>
        </w:rPr>
        <w:t>the deed</w:t>
      </w:r>
      <w:r>
        <w:rPr>
          <w:spacing w:val="40"/>
          <w:sz w:val="21"/>
        </w:rPr>
        <w:t> </w:t>
      </w:r>
      <w:r>
        <w:rPr>
          <w:sz w:val="21"/>
        </w:rPr>
        <w:t>of</w:t>
      </w:r>
      <w:r>
        <w:rPr>
          <w:spacing w:val="40"/>
          <w:sz w:val="21"/>
        </w:rPr>
        <w:t> </w:t>
      </w:r>
      <w:r>
        <w:rPr>
          <w:sz w:val="21"/>
        </w:rPr>
        <w:t>surrender,</w:t>
      </w:r>
      <w:r>
        <w:rPr>
          <w:spacing w:val="40"/>
          <w:sz w:val="21"/>
        </w:rPr>
        <w:t> </w:t>
      </w:r>
      <w:r>
        <w:rPr>
          <w:sz w:val="21"/>
        </w:rPr>
        <w:t>temporarily</w:t>
      </w:r>
      <w:r>
        <w:rPr>
          <w:spacing w:val="40"/>
          <w:sz w:val="21"/>
        </w:rPr>
        <w:t> </w:t>
      </w:r>
      <w:r>
        <w:rPr>
          <w:sz w:val="21"/>
        </w:rPr>
        <w:t>transfers</w:t>
      </w:r>
      <w:r>
        <w:rPr>
          <w:spacing w:val="40"/>
          <w:sz w:val="21"/>
        </w:rPr>
        <w:t> </w:t>
      </w:r>
      <w:r>
        <w:rPr>
          <w:sz w:val="21"/>
        </w:rPr>
        <w:t>to</w:t>
      </w:r>
      <w:r>
        <w:rPr>
          <w:spacing w:val="40"/>
          <w:sz w:val="21"/>
        </w:rPr>
        <w:t> </w:t>
      </w:r>
      <w:r>
        <w:rPr>
          <w:sz w:val="21"/>
        </w:rPr>
        <w:t>the</w:t>
      </w:r>
      <w:r>
        <w:rPr>
          <w:spacing w:val="40"/>
          <w:sz w:val="21"/>
        </w:rPr>
        <w:t> </w:t>
      </w:r>
      <w:r>
        <w:rPr>
          <w:sz w:val="21"/>
        </w:rPr>
        <w:t>Concessionaire</w:t>
      </w:r>
      <w:r>
        <w:rPr>
          <w:spacing w:val="40"/>
          <w:sz w:val="21"/>
        </w:rPr>
        <w:t> </w:t>
      </w:r>
      <w:r>
        <w:rPr>
          <w:sz w:val="21"/>
        </w:rPr>
        <w:t>the</w:t>
      </w:r>
      <w:r>
        <w:rPr>
          <w:spacing w:val="40"/>
          <w:sz w:val="21"/>
        </w:rPr>
        <w:t> </w:t>
      </w:r>
      <w:r>
        <w:rPr>
          <w:sz w:val="21"/>
        </w:rPr>
        <w:t>following</w:t>
      </w:r>
      <w:r>
        <w:rPr>
          <w:spacing w:val="40"/>
          <w:sz w:val="21"/>
        </w:rPr>
        <w:t> </w:t>
      </w:r>
      <w:r>
        <w:rPr>
          <w:sz w:val="21"/>
        </w:rPr>
        <w:t>casinos</w:t>
      </w:r>
      <w:r>
        <w:rPr>
          <w:spacing w:val="40"/>
          <w:sz w:val="21"/>
        </w:rPr>
        <w:t> </w:t>
      </w:r>
      <w:r>
        <w:rPr>
          <w:sz w:val="21"/>
        </w:rPr>
        <w:t>that</w:t>
      </w:r>
      <w:r>
        <w:rPr>
          <w:spacing w:val="40"/>
          <w:sz w:val="21"/>
        </w:rPr>
        <w:t> </w:t>
      </w:r>
      <w:r>
        <w:rPr>
          <w:sz w:val="21"/>
        </w:rPr>
        <w:t>will</w:t>
      </w:r>
      <w:r>
        <w:rPr>
          <w:spacing w:val="40"/>
          <w:sz w:val="21"/>
        </w:rPr>
        <w:t> </w:t>
      </w:r>
      <w:r>
        <w:rPr>
          <w:sz w:val="21"/>
        </w:rPr>
        <w:t>revert</w:t>
      </w:r>
      <w:r>
        <w:rPr>
          <w:spacing w:val="40"/>
          <w:sz w:val="21"/>
        </w:rPr>
        <w:t> </w:t>
      </w:r>
      <w:r>
        <w:rPr>
          <w:sz w:val="21"/>
        </w:rPr>
        <w:t>to</w:t>
      </w:r>
      <w:r>
        <w:rPr>
          <w:spacing w:val="40"/>
          <w:sz w:val="21"/>
        </w:rPr>
        <w:t> </w:t>
      </w:r>
      <w:r>
        <w:rPr>
          <w:sz w:val="21"/>
        </w:rPr>
        <w:t>the</w:t>
      </w:r>
      <w:r>
        <w:rPr>
          <w:spacing w:val="40"/>
          <w:sz w:val="21"/>
        </w:rPr>
        <w:t> </w:t>
      </w:r>
      <w:r>
        <w:rPr>
          <w:sz w:val="21"/>
        </w:rPr>
        <w:t>Macau</w:t>
      </w:r>
      <w:r>
        <w:rPr>
          <w:spacing w:val="40"/>
          <w:sz w:val="21"/>
        </w:rPr>
        <w:t> </w:t>
      </w:r>
      <w:r>
        <w:rPr>
          <w:sz w:val="21"/>
        </w:rPr>
        <w:t>SAR</w:t>
      </w:r>
      <w:r>
        <w:rPr>
          <w:spacing w:val="40"/>
          <w:sz w:val="21"/>
        </w:rPr>
        <w:t> </w:t>
      </w:r>
      <w:r>
        <w:rPr>
          <w:sz w:val="21"/>
        </w:rPr>
        <w:t>on</w:t>
      </w:r>
      <w:r>
        <w:rPr>
          <w:spacing w:val="40"/>
          <w:sz w:val="21"/>
        </w:rPr>
        <w:t> </w:t>
      </w:r>
      <w:r>
        <w:rPr>
          <w:sz w:val="21"/>
        </w:rPr>
        <w:t>31 December 2022, as well as the usufruct, fruition and use of gaming equipment and utensils, listed in the inventory accompanying the deed of surrender, for the purpose of operating games of fortune or chance in a casino, whose concession is granted to the Concessionaire under this contract:</w:t>
      </w:r>
    </w:p>
    <w:p>
      <w:pPr>
        <w:pStyle w:val="BodyText"/>
        <w:spacing w:before="107"/>
        <w:rPr>
          <w:sz w:val="21"/>
        </w:rPr>
      </w:pPr>
    </w:p>
    <w:p>
      <w:pPr>
        <w:pStyle w:val="ListParagraph"/>
        <w:numPr>
          <w:ilvl w:val="0"/>
          <w:numId w:val="36"/>
        </w:numPr>
        <w:tabs>
          <w:tab w:pos="887" w:val="left" w:leader="none"/>
        </w:tabs>
        <w:spacing w:line="240" w:lineRule="auto" w:before="0" w:after="0"/>
        <w:ind w:left="887" w:right="0" w:hanging="233"/>
        <w:jc w:val="left"/>
        <w:rPr>
          <w:sz w:val="21"/>
        </w:rPr>
      </w:pPr>
      <w:r>
        <w:rPr>
          <w:sz w:val="21"/>
        </w:rPr>
        <w:t>“MGM</w:t>
      </w:r>
      <w:r>
        <w:rPr>
          <w:spacing w:val="13"/>
          <w:sz w:val="21"/>
        </w:rPr>
        <w:t> </w:t>
      </w:r>
      <w:r>
        <w:rPr>
          <w:sz w:val="21"/>
        </w:rPr>
        <w:t>Casino</w:t>
      </w:r>
      <w:r>
        <w:rPr>
          <w:spacing w:val="13"/>
          <w:sz w:val="21"/>
        </w:rPr>
        <w:t> </w:t>
      </w:r>
      <w:r>
        <w:rPr>
          <w:spacing w:val="-2"/>
          <w:sz w:val="21"/>
        </w:rPr>
        <w:t>Macau”;</w:t>
      </w:r>
    </w:p>
    <w:p>
      <w:pPr>
        <w:pStyle w:val="ListParagraph"/>
        <w:numPr>
          <w:ilvl w:val="0"/>
          <w:numId w:val="36"/>
        </w:numPr>
        <w:tabs>
          <w:tab w:pos="887" w:val="left" w:leader="none"/>
        </w:tabs>
        <w:spacing w:line="240" w:lineRule="auto" w:before="109" w:after="0"/>
        <w:ind w:left="887" w:right="0" w:hanging="233"/>
        <w:jc w:val="left"/>
        <w:rPr>
          <w:sz w:val="21"/>
        </w:rPr>
      </w:pPr>
      <w:r>
        <w:rPr>
          <w:sz w:val="21"/>
        </w:rPr>
        <w:t>“MGM</w:t>
      </w:r>
      <w:r>
        <w:rPr>
          <w:spacing w:val="13"/>
          <w:sz w:val="21"/>
        </w:rPr>
        <w:t> </w:t>
      </w:r>
      <w:r>
        <w:rPr>
          <w:sz w:val="21"/>
        </w:rPr>
        <w:t>Casino</w:t>
      </w:r>
      <w:r>
        <w:rPr>
          <w:spacing w:val="13"/>
          <w:sz w:val="21"/>
        </w:rPr>
        <w:t> </w:t>
      </w:r>
      <w:r>
        <w:rPr>
          <w:spacing w:val="-2"/>
          <w:sz w:val="21"/>
        </w:rPr>
        <w:t>Cotai”.</w:t>
      </w:r>
    </w:p>
    <w:p>
      <w:pPr>
        <w:spacing w:line="213" w:lineRule="auto" w:before="212"/>
        <w:ind w:left="144" w:right="119" w:firstLine="0"/>
        <w:jc w:val="both"/>
        <w:rPr>
          <w:sz w:val="21"/>
        </w:rPr>
      </w:pPr>
      <w:r>
        <w:rPr>
          <w:i/>
          <w:sz w:val="21"/>
        </w:rPr>
        <w:t>Two</w:t>
      </w:r>
      <w:r>
        <w:rPr>
          <w:sz w:val="21"/>
        </w:rPr>
        <w:t>.</w:t>
      </w:r>
      <w:r>
        <w:rPr>
          <w:spacing w:val="40"/>
          <w:sz w:val="21"/>
        </w:rPr>
        <w:t> </w:t>
      </w:r>
      <w:r>
        <w:rPr>
          <w:sz w:val="21"/>
        </w:rPr>
        <w:t>The</w:t>
      </w:r>
      <w:r>
        <w:rPr>
          <w:spacing w:val="40"/>
          <w:sz w:val="21"/>
        </w:rPr>
        <w:t> </w:t>
      </w:r>
      <w:r>
        <w:rPr>
          <w:sz w:val="21"/>
        </w:rPr>
        <w:t>temporary</w:t>
      </w:r>
      <w:r>
        <w:rPr>
          <w:spacing w:val="40"/>
          <w:sz w:val="21"/>
        </w:rPr>
        <w:t> </w:t>
      </w:r>
      <w:r>
        <w:rPr>
          <w:sz w:val="21"/>
        </w:rPr>
        <w:t>transfer</w:t>
      </w:r>
      <w:r>
        <w:rPr>
          <w:spacing w:val="40"/>
          <w:sz w:val="21"/>
        </w:rPr>
        <w:t> </w:t>
      </w:r>
      <w:r>
        <w:rPr>
          <w:sz w:val="21"/>
        </w:rPr>
        <w:t>of</w:t>
      </w:r>
      <w:r>
        <w:rPr>
          <w:spacing w:val="40"/>
          <w:sz w:val="21"/>
        </w:rPr>
        <w:t> </w:t>
      </w:r>
      <w:r>
        <w:rPr>
          <w:sz w:val="21"/>
        </w:rPr>
        <w:t>usufruct,</w:t>
      </w:r>
      <w:r>
        <w:rPr>
          <w:spacing w:val="40"/>
          <w:sz w:val="21"/>
        </w:rPr>
        <w:t> </w:t>
      </w:r>
      <w:r>
        <w:rPr>
          <w:sz w:val="21"/>
        </w:rPr>
        <w:t>fruition,</w:t>
      </w:r>
      <w:r>
        <w:rPr>
          <w:spacing w:val="40"/>
          <w:sz w:val="21"/>
        </w:rPr>
        <w:t> </w:t>
      </w:r>
      <w:r>
        <w:rPr>
          <w:sz w:val="21"/>
        </w:rPr>
        <w:t>and</w:t>
      </w:r>
      <w:r>
        <w:rPr>
          <w:spacing w:val="40"/>
          <w:sz w:val="21"/>
        </w:rPr>
        <w:t> </w:t>
      </w:r>
      <w:r>
        <w:rPr>
          <w:sz w:val="21"/>
        </w:rPr>
        <w:t>use</w:t>
      </w:r>
      <w:r>
        <w:rPr>
          <w:spacing w:val="40"/>
          <w:sz w:val="21"/>
        </w:rPr>
        <w:t> </w:t>
      </w:r>
      <w:r>
        <w:rPr>
          <w:sz w:val="21"/>
        </w:rPr>
        <w:t>to</w:t>
      </w:r>
      <w:r>
        <w:rPr>
          <w:spacing w:val="40"/>
          <w:sz w:val="21"/>
        </w:rPr>
        <w:t> </w:t>
      </w:r>
      <w:r>
        <w:rPr>
          <w:sz w:val="21"/>
        </w:rPr>
        <w:t>the</w:t>
      </w:r>
      <w:r>
        <w:rPr>
          <w:spacing w:val="40"/>
          <w:sz w:val="21"/>
        </w:rPr>
        <w:t> </w:t>
      </w:r>
      <w:r>
        <w:rPr>
          <w:sz w:val="21"/>
        </w:rPr>
        <w:t>aforementioned</w:t>
      </w:r>
      <w:r>
        <w:rPr>
          <w:spacing w:val="40"/>
          <w:sz w:val="21"/>
        </w:rPr>
        <w:t> </w:t>
      </w:r>
      <w:r>
        <w:rPr>
          <w:sz w:val="21"/>
        </w:rPr>
        <w:t>Concessionaire</w:t>
      </w:r>
      <w:r>
        <w:rPr>
          <w:spacing w:val="40"/>
          <w:sz w:val="21"/>
        </w:rPr>
        <w:t> </w:t>
      </w:r>
      <w:r>
        <w:rPr>
          <w:sz w:val="21"/>
        </w:rPr>
        <w:t>shall</w:t>
      </w:r>
      <w:r>
        <w:rPr>
          <w:spacing w:val="40"/>
          <w:sz w:val="21"/>
        </w:rPr>
        <w:t> </w:t>
      </w:r>
      <w:r>
        <w:rPr>
          <w:sz w:val="21"/>
        </w:rPr>
        <w:t>expire</w:t>
      </w:r>
      <w:r>
        <w:rPr>
          <w:spacing w:val="40"/>
          <w:sz w:val="21"/>
        </w:rPr>
        <w:t> </w:t>
      </w:r>
      <w:r>
        <w:rPr>
          <w:sz w:val="21"/>
        </w:rPr>
        <w:t>when</w:t>
      </w:r>
      <w:r>
        <w:rPr>
          <w:spacing w:val="40"/>
          <w:sz w:val="21"/>
        </w:rPr>
        <w:t> </w:t>
      </w:r>
      <w:r>
        <w:rPr>
          <w:sz w:val="21"/>
        </w:rPr>
        <w:t>the Concessionaire's concession for the operation of games of fortune or chance in casinos is rescinded or extinguished, and </w:t>
      </w:r>
      <w:r>
        <w:rPr>
          <w:sz w:val="21"/>
        </w:rPr>
        <w:t>the Concessionaire is required to return to the Macau SAR, free of any liens or encumbrances, the casinos, as well as the equipment and utensils allocated to the games, included in the inventory approved by DICJ.</w:t>
      </w:r>
    </w:p>
    <w:p>
      <w:pPr>
        <w:pStyle w:val="BodyText"/>
        <w:spacing w:before="155"/>
        <w:rPr>
          <w:sz w:val="21"/>
        </w:rPr>
      </w:pPr>
    </w:p>
    <w:p>
      <w:pPr>
        <w:spacing w:line="213" w:lineRule="auto" w:before="0"/>
        <w:ind w:left="144" w:right="118" w:firstLine="0"/>
        <w:jc w:val="both"/>
        <w:rPr>
          <w:sz w:val="21"/>
        </w:rPr>
      </w:pPr>
      <w:r>
        <w:rPr>
          <w:i/>
          <w:sz w:val="21"/>
        </w:rPr>
        <w:t>Three</w:t>
      </w:r>
      <w:r>
        <w:rPr>
          <w:sz w:val="21"/>
        </w:rPr>
        <w:t>. The provisions of the preceding paragraph shall not prejudice the possibility that the Government may require </w:t>
      </w:r>
      <w:r>
        <w:rPr>
          <w:sz w:val="21"/>
        </w:rPr>
        <w:t>the</w:t>
      </w:r>
      <w:r>
        <w:rPr>
          <w:spacing w:val="80"/>
          <w:sz w:val="21"/>
        </w:rPr>
        <w:t> </w:t>
      </w:r>
      <w:r>
        <w:rPr>
          <w:sz w:val="21"/>
        </w:rPr>
        <w:t>Concessionaire</w:t>
      </w:r>
      <w:r>
        <w:rPr>
          <w:spacing w:val="40"/>
          <w:sz w:val="21"/>
        </w:rPr>
        <w:t> </w:t>
      </w:r>
      <w:r>
        <w:rPr>
          <w:sz w:val="21"/>
        </w:rPr>
        <w:t>to</w:t>
      </w:r>
      <w:r>
        <w:rPr>
          <w:spacing w:val="40"/>
          <w:sz w:val="21"/>
        </w:rPr>
        <w:t> </w:t>
      </w:r>
      <w:r>
        <w:rPr>
          <w:sz w:val="21"/>
        </w:rPr>
        <w:t>demolish,</w:t>
      </w:r>
      <w:r>
        <w:rPr>
          <w:spacing w:val="40"/>
          <w:sz w:val="21"/>
        </w:rPr>
        <w:t> </w:t>
      </w:r>
      <w:r>
        <w:rPr>
          <w:sz w:val="21"/>
        </w:rPr>
        <w:t>within</w:t>
      </w:r>
      <w:r>
        <w:rPr>
          <w:spacing w:val="40"/>
          <w:sz w:val="21"/>
        </w:rPr>
        <w:t> </w:t>
      </w:r>
      <w:r>
        <w:rPr>
          <w:sz w:val="21"/>
        </w:rPr>
        <w:t>a</w:t>
      </w:r>
      <w:r>
        <w:rPr>
          <w:spacing w:val="40"/>
          <w:sz w:val="21"/>
        </w:rPr>
        <w:t> </w:t>
      </w:r>
      <w:r>
        <w:rPr>
          <w:sz w:val="21"/>
        </w:rPr>
        <w:t>stipulated</w:t>
      </w:r>
      <w:r>
        <w:rPr>
          <w:spacing w:val="40"/>
          <w:sz w:val="21"/>
        </w:rPr>
        <w:t> </w:t>
      </w:r>
      <w:r>
        <w:rPr>
          <w:sz w:val="21"/>
        </w:rPr>
        <w:t>period</w:t>
      </w:r>
      <w:r>
        <w:rPr>
          <w:spacing w:val="40"/>
          <w:sz w:val="21"/>
        </w:rPr>
        <w:t> </w:t>
      </w:r>
      <w:r>
        <w:rPr>
          <w:sz w:val="21"/>
        </w:rPr>
        <w:t>of</w:t>
      </w:r>
      <w:r>
        <w:rPr>
          <w:spacing w:val="40"/>
          <w:sz w:val="21"/>
        </w:rPr>
        <w:t> </w:t>
      </w:r>
      <w:r>
        <w:rPr>
          <w:sz w:val="21"/>
        </w:rPr>
        <w:t>time,</w:t>
      </w:r>
      <w:r>
        <w:rPr>
          <w:spacing w:val="40"/>
          <w:sz w:val="21"/>
        </w:rPr>
        <w:t> </w:t>
      </w:r>
      <w:r>
        <w:rPr>
          <w:sz w:val="21"/>
        </w:rPr>
        <w:t>the</w:t>
      </w:r>
      <w:r>
        <w:rPr>
          <w:spacing w:val="40"/>
          <w:sz w:val="21"/>
        </w:rPr>
        <w:t> </w:t>
      </w:r>
      <w:r>
        <w:rPr>
          <w:sz w:val="21"/>
        </w:rPr>
        <w:t>conservation</w:t>
      </w:r>
      <w:r>
        <w:rPr>
          <w:spacing w:val="40"/>
          <w:sz w:val="21"/>
        </w:rPr>
        <w:t> </w:t>
      </w:r>
      <w:r>
        <w:rPr>
          <w:sz w:val="21"/>
        </w:rPr>
        <w:t>works</w:t>
      </w:r>
      <w:r>
        <w:rPr>
          <w:spacing w:val="40"/>
          <w:sz w:val="21"/>
        </w:rPr>
        <w:t> </w:t>
      </w:r>
      <w:r>
        <w:rPr>
          <w:sz w:val="21"/>
        </w:rPr>
        <w:t>and</w:t>
      </w:r>
      <w:r>
        <w:rPr>
          <w:spacing w:val="40"/>
          <w:sz w:val="21"/>
        </w:rPr>
        <w:t> </w:t>
      </w:r>
      <w:r>
        <w:rPr>
          <w:sz w:val="21"/>
        </w:rPr>
        <w:t>improvements</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the preceding</w:t>
      </w:r>
      <w:r>
        <w:rPr>
          <w:spacing w:val="40"/>
          <w:sz w:val="21"/>
        </w:rPr>
        <w:t> </w:t>
      </w:r>
      <w:r>
        <w:rPr>
          <w:sz w:val="21"/>
        </w:rPr>
        <w:t>paragraph,</w:t>
      </w:r>
      <w:r>
        <w:rPr>
          <w:spacing w:val="40"/>
          <w:sz w:val="21"/>
        </w:rPr>
        <w:t> </w:t>
      </w:r>
      <w:r>
        <w:rPr>
          <w:sz w:val="21"/>
        </w:rPr>
        <w:t>or</w:t>
      </w:r>
      <w:r>
        <w:rPr>
          <w:spacing w:val="40"/>
          <w:sz w:val="21"/>
        </w:rPr>
        <w:t> </w:t>
      </w:r>
      <w:r>
        <w:rPr>
          <w:sz w:val="21"/>
        </w:rPr>
        <w:t>to</w:t>
      </w:r>
      <w:r>
        <w:rPr>
          <w:spacing w:val="40"/>
          <w:sz w:val="21"/>
        </w:rPr>
        <w:t> </w:t>
      </w:r>
      <w:r>
        <w:rPr>
          <w:sz w:val="21"/>
        </w:rPr>
        <w:t>restore</w:t>
      </w:r>
      <w:r>
        <w:rPr>
          <w:spacing w:val="40"/>
          <w:sz w:val="21"/>
        </w:rPr>
        <w:t> </w:t>
      </w:r>
      <w:r>
        <w:rPr>
          <w:sz w:val="21"/>
        </w:rPr>
        <w:t>the</w:t>
      </w:r>
      <w:r>
        <w:rPr>
          <w:spacing w:val="40"/>
          <w:sz w:val="21"/>
        </w:rPr>
        <w:t> </w:t>
      </w:r>
      <w:r>
        <w:rPr>
          <w:sz w:val="21"/>
        </w:rPr>
        <w:t>casinos</w:t>
      </w:r>
      <w:r>
        <w:rPr>
          <w:spacing w:val="40"/>
          <w:sz w:val="21"/>
        </w:rPr>
        <w:t> </w:t>
      </w:r>
      <w:r>
        <w:rPr>
          <w:sz w:val="21"/>
        </w:rPr>
        <w:t>to</w:t>
      </w:r>
      <w:r>
        <w:rPr>
          <w:spacing w:val="40"/>
          <w:sz w:val="21"/>
        </w:rPr>
        <w:t> </w:t>
      </w:r>
      <w:r>
        <w:rPr>
          <w:sz w:val="21"/>
        </w:rPr>
        <w:t>their</w:t>
      </w:r>
      <w:r>
        <w:rPr>
          <w:spacing w:val="40"/>
          <w:sz w:val="21"/>
        </w:rPr>
        <w:t> </w:t>
      </w:r>
      <w:r>
        <w:rPr>
          <w:sz w:val="21"/>
        </w:rPr>
        <w:t>original</w:t>
      </w:r>
      <w:r>
        <w:rPr>
          <w:spacing w:val="40"/>
          <w:sz w:val="21"/>
        </w:rPr>
        <w:t> </w:t>
      </w:r>
      <w:r>
        <w:rPr>
          <w:sz w:val="21"/>
        </w:rPr>
        <w:t>condition,</w:t>
      </w:r>
      <w:r>
        <w:rPr>
          <w:spacing w:val="40"/>
          <w:sz w:val="21"/>
        </w:rPr>
        <w:t> </w:t>
      </w:r>
      <w:r>
        <w:rPr>
          <w:sz w:val="21"/>
        </w:rPr>
        <w:t>with</w:t>
      </w:r>
      <w:r>
        <w:rPr>
          <w:spacing w:val="40"/>
          <w:sz w:val="21"/>
        </w:rPr>
        <w:t> </w:t>
      </w:r>
      <w:r>
        <w:rPr>
          <w:sz w:val="21"/>
        </w:rPr>
        <w:t>all</w:t>
      </w:r>
      <w:r>
        <w:rPr>
          <w:spacing w:val="40"/>
          <w:sz w:val="21"/>
        </w:rPr>
        <w:t> </w:t>
      </w:r>
      <w:r>
        <w:rPr>
          <w:sz w:val="21"/>
        </w:rPr>
        <w:t>resulting</w:t>
      </w:r>
      <w:r>
        <w:rPr>
          <w:spacing w:val="40"/>
          <w:sz w:val="21"/>
        </w:rPr>
        <w:t> </w:t>
      </w:r>
      <w:r>
        <w:rPr>
          <w:sz w:val="21"/>
        </w:rPr>
        <w:t>expenses</w:t>
      </w:r>
      <w:r>
        <w:rPr>
          <w:spacing w:val="40"/>
          <w:sz w:val="21"/>
        </w:rPr>
        <w:t> </w:t>
      </w:r>
      <w:r>
        <w:rPr>
          <w:sz w:val="21"/>
        </w:rPr>
        <w:t>being</w:t>
      </w:r>
      <w:r>
        <w:rPr>
          <w:spacing w:val="40"/>
          <w:sz w:val="21"/>
        </w:rPr>
        <w:t> </w:t>
      </w:r>
      <w:r>
        <w:rPr>
          <w:sz w:val="21"/>
        </w:rPr>
        <w:t>borne</w:t>
      </w:r>
      <w:r>
        <w:rPr>
          <w:spacing w:val="40"/>
          <w:sz w:val="21"/>
        </w:rPr>
        <w:t> </w:t>
      </w:r>
      <w:r>
        <w:rPr>
          <w:sz w:val="21"/>
        </w:rPr>
        <w:t>by</w:t>
      </w:r>
      <w:r>
        <w:rPr>
          <w:spacing w:val="40"/>
          <w:sz w:val="21"/>
        </w:rPr>
        <w:t> </w:t>
      </w:r>
      <w:r>
        <w:rPr>
          <w:sz w:val="21"/>
        </w:rPr>
        <w:t>the </w:t>
      </w:r>
      <w:r>
        <w:rPr>
          <w:spacing w:val="-2"/>
          <w:sz w:val="21"/>
        </w:rPr>
        <w:t>Concessionaire.</w:t>
      </w:r>
    </w:p>
    <w:p>
      <w:pPr>
        <w:pStyle w:val="BodyText"/>
        <w:spacing w:before="167"/>
        <w:rPr>
          <w:sz w:val="21"/>
        </w:rPr>
      </w:pPr>
    </w:p>
    <w:p>
      <w:pPr>
        <w:spacing w:line="213" w:lineRule="auto" w:before="1"/>
        <w:ind w:left="144" w:right="118" w:firstLine="0"/>
        <w:jc w:val="both"/>
        <w:rPr>
          <w:sz w:val="21"/>
        </w:rPr>
      </w:pPr>
      <w:r>
        <w:rPr>
          <w:i/>
          <w:sz w:val="21"/>
        </w:rPr>
        <w:t>Four</w:t>
      </w:r>
      <w:r>
        <w:rPr>
          <w:sz w:val="21"/>
        </w:rPr>
        <w:t>.</w:t>
      </w:r>
      <w:r>
        <w:rPr>
          <w:spacing w:val="40"/>
          <w:sz w:val="21"/>
        </w:rPr>
        <w:t> </w:t>
      </w:r>
      <w:r>
        <w:rPr>
          <w:sz w:val="21"/>
        </w:rPr>
        <w:t>In</w:t>
      </w:r>
      <w:r>
        <w:rPr>
          <w:spacing w:val="40"/>
          <w:sz w:val="21"/>
        </w:rPr>
        <w:t> </w:t>
      </w:r>
      <w:r>
        <w:rPr>
          <w:sz w:val="21"/>
        </w:rPr>
        <w:t>the</w:t>
      </w:r>
      <w:r>
        <w:rPr>
          <w:spacing w:val="40"/>
          <w:sz w:val="21"/>
        </w:rPr>
        <w:t> </w:t>
      </w:r>
      <w:r>
        <w:rPr>
          <w:sz w:val="21"/>
        </w:rPr>
        <w:t>event</w:t>
      </w:r>
      <w:r>
        <w:rPr>
          <w:spacing w:val="40"/>
          <w:sz w:val="21"/>
        </w:rPr>
        <w:t> </w:t>
      </w:r>
      <w:r>
        <w:rPr>
          <w:sz w:val="21"/>
        </w:rPr>
        <w:t>that</w:t>
      </w:r>
      <w:r>
        <w:rPr>
          <w:spacing w:val="40"/>
          <w:sz w:val="21"/>
        </w:rPr>
        <w:t> </w:t>
      </w:r>
      <w:r>
        <w:rPr>
          <w:sz w:val="21"/>
        </w:rPr>
        <w:t>the</w:t>
      </w:r>
      <w:r>
        <w:rPr>
          <w:spacing w:val="40"/>
          <w:sz w:val="21"/>
        </w:rPr>
        <w:t> </w:t>
      </w:r>
      <w:r>
        <w:rPr>
          <w:sz w:val="21"/>
        </w:rPr>
        <w:t>Concessionaire</w:t>
      </w:r>
      <w:r>
        <w:rPr>
          <w:spacing w:val="40"/>
          <w:sz w:val="21"/>
        </w:rPr>
        <w:t> </w:t>
      </w:r>
      <w:r>
        <w:rPr>
          <w:sz w:val="21"/>
        </w:rPr>
        <w:t>fails</w:t>
      </w:r>
      <w:r>
        <w:rPr>
          <w:spacing w:val="40"/>
          <w:sz w:val="21"/>
        </w:rPr>
        <w:t> </w:t>
      </w:r>
      <w:r>
        <w:rPr>
          <w:sz w:val="21"/>
        </w:rPr>
        <w:t>to</w:t>
      </w:r>
      <w:r>
        <w:rPr>
          <w:spacing w:val="40"/>
          <w:sz w:val="21"/>
        </w:rPr>
        <w:t> </w:t>
      </w:r>
      <w:r>
        <w:rPr>
          <w:sz w:val="21"/>
        </w:rPr>
        <w:t>comply</w:t>
      </w:r>
      <w:r>
        <w:rPr>
          <w:spacing w:val="40"/>
          <w:sz w:val="21"/>
        </w:rPr>
        <w:t> </w:t>
      </w:r>
      <w:r>
        <w:rPr>
          <w:sz w:val="21"/>
        </w:rPr>
        <w:t>with</w:t>
      </w:r>
      <w:r>
        <w:rPr>
          <w:spacing w:val="40"/>
          <w:sz w:val="21"/>
        </w:rPr>
        <w:t> </w:t>
      </w:r>
      <w:r>
        <w:rPr>
          <w:sz w:val="21"/>
        </w:rPr>
        <w:t>the</w:t>
      </w:r>
      <w:r>
        <w:rPr>
          <w:spacing w:val="40"/>
          <w:sz w:val="21"/>
        </w:rPr>
        <w:t> </w:t>
      </w:r>
      <w:r>
        <w:rPr>
          <w:sz w:val="21"/>
        </w:rPr>
        <w:t>stipulations</w:t>
      </w:r>
      <w:r>
        <w:rPr>
          <w:spacing w:val="40"/>
          <w:sz w:val="21"/>
        </w:rPr>
        <w:t> </w:t>
      </w:r>
      <w:r>
        <w:rPr>
          <w:sz w:val="21"/>
        </w:rPr>
        <w:t>of</w:t>
      </w:r>
      <w:r>
        <w:rPr>
          <w:spacing w:val="40"/>
          <w:sz w:val="21"/>
        </w:rPr>
        <w:t> </w:t>
      </w:r>
      <w:r>
        <w:rPr>
          <w:sz w:val="21"/>
        </w:rPr>
        <w:t>the</w:t>
      </w:r>
      <w:r>
        <w:rPr>
          <w:spacing w:val="40"/>
          <w:sz w:val="21"/>
        </w:rPr>
        <w:t> </w:t>
      </w:r>
      <w:r>
        <w:rPr>
          <w:sz w:val="21"/>
        </w:rPr>
        <w:t>previous</w:t>
      </w:r>
      <w:r>
        <w:rPr>
          <w:spacing w:val="40"/>
          <w:sz w:val="21"/>
        </w:rPr>
        <w:t> </w:t>
      </w:r>
      <w:r>
        <w:rPr>
          <w:sz w:val="21"/>
        </w:rPr>
        <w:t>paragraph,</w:t>
      </w:r>
      <w:r>
        <w:rPr>
          <w:spacing w:val="40"/>
          <w:sz w:val="21"/>
        </w:rPr>
        <w:t> </w:t>
      </w:r>
      <w:r>
        <w:rPr>
          <w:sz w:val="21"/>
        </w:rPr>
        <w:t>the</w:t>
      </w:r>
      <w:r>
        <w:rPr>
          <w:spacing w:val="40"/>
          <w:sz w:val="21"/>
        </w:rPr>
        <w:t> </w:t>
      </w:r>
      <w:r>
        <w:rPr>
          <w:sz w:val="21"/>
        </w:rPr>
        <w:t>Government</w:t>
      </w:r>
      <w:r>
        <w:rPr>
          <w:spacing w:val="40"/>
          <w:sz w:val="21"/>
        </w:rPr>
        <w:t> </w:t>
      </w:r>
      <w:r>
        <w:rPr>
          <w:sz w:val="21"/>
        </w:rPr>
        <w:t>shall carry</w:t>
      </w:r>
      <w:r>
        <w:rPr>
          <w:spacing w:val="30"/>
          <w:sz w:val="21"/>
        </w:rPr>
        <w:t> </w:t>
      </w:r>
      <w:r>
        <w:rPr>
          <w:sz w:val="21"/>
        </w:rPr>
        <w:t>out</w:t>
      </w:r>
      <w:r>
        <w:rPr>
          <w:spacing w:val="30"/>
          <w:sz w:val="21"/>
        </w:rPr>
        <w:t> </w:t>
      </w:r>
      <w:r>
        <w:rPr>
          <w:sz w:val="21"/>
        </w:rPr>
        <w:t>the</w:t>
      </w:r>
      <w:r>
        <w:rPr>
          <w:spacing w:val="30"/>
          <w:sz w:val="21"/>
        </w:rPr>
        <w:t> </w:t>
      </w:r>
      <w:r>
        <w:rPr>
          <w:sz w:val="21"/>
        </w:rPr>
        <w:t>demolition</w:t>
      </w:r>
      <w:r>
        <w:rPr>
          <w:spacing w:val="30"/>
          <w:sz w:val="21"/>
        </w:rPr>
        <w:t> </w:t>
      </w:r>
      <w:r>
        <w:rPr>
          <w:sz w:val="21"/>
        </w:rPr>
        <w:t>and</w:t>
      </w:r>
      <w:r>
        <w:rPr>
          <w:spacing w:val="30"/>
          <w:sz w:val="21"/>
        </w:rPr>
        <w:t> </w:t>
      </w:r>
      <w:r>
        <w:rPr>
          <w:sz w:val="21"/>
        </w:rPr>
        <w:t>all</w:t>
      </w:r>
      <w:r>
        <w:rPr>
          <w:spacing w:val="30"/>
          <w:sz w:val="21"/>
        </w:rPr>
        <w:t> </w:t>
      </w:r>
      <w:r>
        <w:rPr>
          <w:sz w:val="21"/>
        </w:rPr>
        <w:t>expenses</w:t>
      </w:r>
      <w:r>
        <w:rPr>
          <w:spacing w:val="30"/>
          <w:sz w:val="21"/>
        </w:rPr>
        <w:t> </w:t>
      </w:r>
      <w:r>
        <w:rPr>
          <w:sz w:val="21"/>
        </w:rPr>
        <w:t>arising</w:t>
      </w:r>
      <w:r>
        <w:rPr>
          <w:spacing w:val="30"/>
          <w:sz w:val="21"/>
        </w:rPr>
        <w:t> </w:t>
      </w:r>
      <w:r>
        <w:rPr>
          <w:sz w:val="21"/>
        </w:rPr>
        <w:t>from</w:t>
      </w:r>
      <w:r>
        <w:rPr>
          <w:spacing w:val="30"/>
          <w:sz w:val="21"/>
        </w:rPr>
        <w:t> </w:t>
      </w:r>
      <w:r>
        <w:rPr>
          <w:sz w:val="21"/>
        </w:rPr>
        <w:t>the</w:t>
      </w:r>
      <w:r>
        <w:rPr>
          <w:spacing w:val="30"/>
          <w:sz w:val="21"/>
        </w:rPr>
        <w:t> </w:t>
      </w:r>
      <w:r>
        <w:rPr>
          <w:sz w:val="21"/>
        </w:rPr>
        <w:t>demolition</w:t>
      </w:r>
      <w:r>
        <w:rPr>
          <w:spacing w:val="30"/>
          <w:sz w:val="21"/>
        </w:rPr>
        <w:t> </w:t>
      </w:r>
      <w:r>
        <w:rPr>
          <w:sz w:val="21"/>
        </w:rPr>
        <w:t>and</w:t>
      </w:r>
      <w:r>
        <w:rPr>
          <w:spacing w:val="30"/>
          <w:sz w:val="21"/>
        </w:rPr>
        <w:t> </w:t>
      </w:r>
      <w:r>
        <w:rPr>
          <w:sz w:val="21"/>
        </w:rPr>
        <w:t>respective</w:t>
      </w:r>
      <w:r>
        <w:rPr>
          <w:spacing w:val="30"/>
          <w:sz w:val="21"/>
        </w:rPr>
        <w:t> </w:t>
      </w:r>
      <w:r>
        <w:rPr>
          <w:sz w:val="21"/>
        </w:rPr>
        <w:t>actions</w:t>
      </w:r>
      <w:r>
        <w:rPr>
          <w:spacing w:val="30"/>
          <w:sz w:val="21"/>
        </w:rPr>
        <w:t> </w:t>
      </w:r>
      <w:r>
        <w:rPr>
          <w:sz w:val="21"/>
        </w:rPr>
        <w:t>shall</w:t>
      </w:r>
      <w:r>
        <w:rPr>
          <w:spacing w:val="30"/>
          <w:sz w:val="21"/>
        </w:rPr>
        <w:t> </w:t>
      </w:r>
      <w:r>
        <w:rPr>
          <w:sz w:val="21"/>
        </w:rPr>
        <w:t>be</w:t>
      </w:r>
      <w:r>
        <w:rPr>
          <w:spacing w:val="30"/>
          <w:sz w:val="21"/>
        </w:rPr>
        <w:t> </w:t>
      </w:r>
      <w:r>
        <w:rPr>
          <w:sz w:val="21"/>
        </w:rPr>
        <w:t>borne</w:t>
      </w:r>
      <w:r>
        <w:rPr>
          <w:spacing w:val="30"/>
          <w:sz w:val="21"/>
        </w:rPr>
        <w:t> </w:t>
      </w:r>
      <w:r>
        <w:rPr>
          <w:sz w:val="21"/>
        </w:rPr>
        <w:t>by</w:t>
      </w:r>
      <w:r>
        <w:rPr>
          <w:spacing w:val="30"/>
          <w:sz w:val="21"/>
        </w:rPr>
        <w:t> </w:t>
      </w:r>
      <w:r>
        <w:rPr>
          <w:sz w:val="21"/>
        </w:rPr>
        <w:t>the</w:t>
      </w:r>
      <w:r>
        <w:rPr>
          <w:spacing w:val="30"/>
          <w:sz w:val="21"/>
        </w:rPr>
        <w:t> </w:t>
      </w:r>
      <w:r>
        <w:rPr>
          <w:sz w:val="21"/>
        </w:rPr>
        <w:t>Concessionaire, who will not have the right to any compensation or indemnity from the Government for the conservation works and improvements </w:t>
      </w:r>
      <w:r>
        <w:rPr>
          <w:spacing w:val="-2"/>
          <w:sz w:val="21"/>
        </w:rPr>
        <w:t>demolished.</w:t>
      </w:r>
    </w:p>
    <w:p>
      <w:pPr>
        <w:pStyle w:val="BodyText"/>
        <w:spacing w:before="154"/>
        <w:rPr>
          <w:sz w:val="21"/>
        </w:rPr>
      </w:pPr>
    </w:p>
    <w:p>
      <w:pPr>
        <w:spacing w:line="213" w:lineRule="auto" w:before="0"/>
        <w:ind w:left="144" w:right="118" w:firstLine="0"/>
        <w:jc w:val="both"/>
        <w:rPr>
          <w:sz w:val="21"/>
        </w:rPr>
      </w:pPr>
      <w:r>
        <w:rPr>
          <w:i/>
          <w:sz w:val="21"/>
        </w:rPr>
        <w:t>Five</w:t>
      </w:r>
      <w:r>
        <w:rPr>
          <w:sz w:val="21"/>
        </w:rPr>
        <w:t>.</w:t>
      </w:r>
      <w:r>
        <w:rPr>
          <w:spacing w:val="14"/>
          <w:sz w:val="21"/>
        </w:rPr>
        <w:t> </w:t>
      </w:r>
      <w:r>
        <w:rPr>
          <w:sz w:val="21"/>
        </w:rPr>
        <w:t>The</w:t>
      </w:r>
      <w:r>
        <w:rPr>
          <w:spacing w:val="19"/>
          <w:sz w:val="21"/>
        </w:rPr>
        <w:t> </w:t>
      </w:r>
      <w:r>
        <w:rPr>
          <w:sz w:val="21"/>
        </w:rPr>
        <w:t>Concessionaire</w:t>
      </w:r>
      <w:r>
        <w:rPr>
          <w:spacing w:val="19"/>
          <w:sz w:val="21"/>
        </w:rPr>
        <w:t> </w:t>
      </w:r>
      <w:r>
        <w:rPr>
          <w:sz w:val="21"/>
        </w:rPr>
        <w:t>may</w:t>
      </w:r>
      <w:r>
        <w:rPr>
          <w:spacing w:val="19"/>
          <w:sz w:val="21"/>
        </w:rPr>
        <w:t> </w:t>
      </w:r>
      <w:r>
        <w:rPr>
          <w:sz w:val="21"/>
        </w:rPr>
        <w:t>alter,</w:t>
      </w:r>
      <w:r>
        <w:rPr>
          <w:spacing w:val="19"/>
          <w:sz w:val="21"/>
        </w:rPr>
        <w:t> </w:t>
      </w:r>
      <w:r>
        <w:rPr>
          <w:sz w:val="21"/>
        </w:rPr>
        <w:t>in</w:t>
      </w:r>
      <w:r>
        <w:rPr>
          <w:spacing w:val="19"/>
          <w:sz w:val="21"/>
        </w:rPr>
        <w:t> </w:t>
      </w:r>
      <w:r>
        <w:rPr>
          <w:sz w:val="21"/>
        </w:rPr>
        <w:t>accordance</w:t>
      </w:r>
      <w:r>
        <w:rPr>
          <w:spacing w:val="19"/>
          <w:sz w:val="21"/>
        </w:rPr>
        <w:t> </w:t>
      </w:r>
      <w:r>
        <w:rPr>
          <w:sz w:val="21"/>
        </w:rPr>
        <w:t>with</w:t>
      </w:r>
      <w:r>
        <w:rPr>
          <w:spacing w:val="19"/>
          <w:sz w:val="21"/>
        </w:rPr>
        <w:t> </w:t>
      </w:r>
      <w:r>
        <w:rPr>
          <w:sz w:val="21"/>
        </w:rPr>
        <w:t>specific</w:t>
      </w:r>
      <w:r>
        <w:rPr>
          <w:spacing w:val="19"/>
          <w:sz w:val="21"/>
        </w:rPr>
        <w:t> </w:t>
      </w:r>
      <w:r>
        <w:rPr>
          <w:sz w:val="21"/>
        </w:rPr>
        <w:t>needs,</w:t>
      </w:r>
      <w:r>
        <w:rPr>
          <w:spacing w:val="19"/>
          <w:sz w:val="21"/>
        </w:rPr>
        <w:t> </w:t>
      </w:r>
      <w:r>
        <w:rPr>
          <w:sz w:val="21"/>
        </w:rPr>
        <w:t>the</w:t>
      </w:r>
      <w:r>
        <w:rPr>
          <w:spacing w:val="19"/>
          <w:sz w:val="21"/>
        </w:rPr>
        <w:t> </w:t>
      </w:r>
      <w:r>
        <w:rPr>
          <w:sz w:val="21"/>
        </w:rPr>
        <w:t>purpose</w:t>
      </w:r>
      <w:r>
        <w:rPr>
          <w:spacing w:val="19"/>
          <w:sz w:val="21"/>
        </w:rPr>
        <w:t> </w:t>
      </w:r>
      <w:r>
        <w:rPr>
          <w:sz w:val="21"/>
        </w:rPr>
        <w:t>of</w:t>
      </w:r>
      <w:r>
        <w:rPr>
          <w:spacing w:val="19"/>
          <w:sz w:val="21"/>
        </w:rPr>
        <w:t> </w:t>
      </w:r>
      <w:r>
        <w:rPr>
          <w:sz w:val="21"/>
        </w:rPr>
        <w:t>the</w:t>
      </w:r>
      <w:r>
        <w:rPr>
          <w:spacing w:val="19"/>
          <w:sz w:val="21"/>
        </w:rPr>
        <w:t> </w:t>
      </w:r>
      <w:r>
        <w:rPr>
          <w:sz w:val="21"/>
        </w:rPr>
        <w:t>functional</w:t>
      </w:r>
      <w:r>
        <w:rPr>
          <w:spacing w:val="19"/>
          <w:sz w:val="21"/>
        </w:rPr>
        <w:t> </w:t>
      </w:r>
      <w:r>
        <w:rPr>
          <w:sz w:val="21"/>
        </w:rPr>
        <w:t>zones</w:t>
      </w:r>
      <w:r>
        <w:rPr>
          <w:spacing w:val="19"/>
          <w:sz w:val="21"/>
        </w:rPr>
        <w:t> </w:t>
      </w:r>
      <w:r>
        <w:rPr>
          <w:sz w:val="21"/>
        </w:rPr>
        <w:t>of</w:t>
      </w:r>
      <w:r>
        <w:rPr>
          <w:spacing w:val="19"/>
          <w:sz w:val="21"/>
        </w:rPr>
        <w:t> </w:t>
      </w:r>
      <w:r>
        <w:rPr>
          <w:sz w:val="21"/>
        </w:rPr>
        <w:t>the</w:t>
      </w:r>
      <w:r>
        <w:rPr>
          <w:spacing w:val="19"/>
          <w:sz w:val="21"/>
        </w:rPr>
        <w:t> </w:t>
      </w:r>
      <w:r>
        <w:rPr>
          <w:sz w:val="21"/>
        </w:rPr>
        <w:t>casinos</w:t>
      </w:r>
      <w:r>
        <w:rPr>
          <w:spacing w:val="19"/>
          <w:sz w:val="21"/>
        </w:rPr>
        <w:t> </w:t>
      </w:r>
      <w:r>
        <w:rPr>
          <w:sz w:val="21"/>
        </w:rPr>
        <w:t>referred</w:t>
      </w:r>
      <w:r>
        <w:rPr>
          <w:spacing w:val="19"/>
          <w:sz w:val="21"/>
        </w:rPr>
        <w:t> </w:t>
      </w:r>
      <w:r>
        <w:rPr>
          <w:sz w:val="21"/>
        </w:rPr>
        <w:t>to in</w:t>
      </w:r>
      <w:r>
        <w:rPr>
          <w:spacing w:val="26"/>
          <w:sz w:val="21"/>
        </w:rPr>
        <w:t> </w:t>
      </w:r>
      <w:r>
        <w:rPr>
          <w:sz w:val="21"/>
        </w:rPr>
        <w:t>paragraph</w:t>
      </w:r>
      <w:r>
        <w:rPr>
          <w:spacing w:val="26"/>
          <w:sz w:val="21"/>
        </w:rPr>
        <w:t> </w:t>
      </w:r>
      <w:r>
        <w:rPr>
          <w:sz w:val="21"/>
        </w:rPr>
        <w:t>one</w:t>
      </w:r>
      <w:r>
        <w:rPr>
          <w:spacing w:val="26"/>
          <w:sz w:val="21"/>
        </w:rPr>
        <w:t> </w:t>
      </w:r>
      <w:r>
        <w:rPr>
          <w:sz w:val="21"/>
        </w:rPr>
        <w:t>above,</w:t>
      </w:r>
      <w:r>
        <w:rPr>
          <w:spacing w:val="26"/>
          <w:sz w:val="21"/>
        </w:rPr>
        <w:t> </w:t>
      </w:r>
      <w:r>
        <w:rPr>
          <w:sz w:val="21"/>
        </w:rPr>
        <w:t>provided</w:t>
      </w:r>
      <w:r>
        <w:rPr>
          <w:spacing w:val="26"/>
          <w:sz w:val="21"/>
        </w:rPr>
        <w:t> </w:t>
      </w:r>
      <w:r>
        <w:rPr>
          <w:sz w:val="21"/>
        </w:rPr>
        <w:t>that</w:t>
      </w:r>
      <w:r>
        <w:rPr>
          <w:spacing w:val="26"/>
          <w:sz w:val="21"/>
        </w:rPr>
        <w:t> </w:t>
      </w:r>
      <w:r>
        <w:rPr>
          <w:sz w:val="21"/>
        </w:rPr>
        <w:t>prior</w:t>
      </w:r>
      <w:r>
        <w:rPr>
          <w:spacing w:val="26"/>
          <w:sz w:val="21"/>
        </w:rPr>
        <w:t> </w:t>
      </w:r>
      <w:r>
        <w:rPr>
          <w:sz w:val="21"/>
        </w:rPr>
        <w:t>authorization</w:t>
      </w:r>
      <w:r>
        <w:rPr>
          <w:spacing w:val="26"/>
          <w:sz w:val="21"/>
        </w:rPr>
        <w:t> </w:t>
      </w:r>
      <w:r>
        <w:rPr>
          <w:sz w:val="21"/>
        </w:rPr>
        <w:t>for</w:t>
      </w:r>
      <w:r>
        <w:rPr>
          <w:spacing w:val="26"/>
          <w:sz w:val="21"/>
        </w:rPr>
        <w:t> </w:t>
      </w:r>
      <w:r>
        <w:rPr>
          <w:sz w:val="21"/>
        </w:rPr>
        <w:t>that</w:t>
      </w:r>
      <w:r>
        <w:rPr>
          <w:spacing w:val="26"/>
          <w:sz w:val="21"/>
        </w:rPr>
        <w:t> </w:t>
      </w:r>
      <w:r>
        <w:rPr>
          <w:sz w:val="21"/>
        </w:rPr>
        <w:t>purpose</w:t>
      </w:r>
      <w:r>
        <w:rPr>
          <w:spacing w:val="26"/>
          <w:sz w:val="21"/>
        </w:rPr>
        <w:t> </w:t>
      </w:r>
      <w:r>
        <w:rPr>
          <w:sz w:val="21"/>
        </w:rPr>
        <w:t>has</w:t>
      </w:r>
      <w:r>
        <w:rPr>
          <w:spacing w:val="26"/>
          <w:sz w:val="21"/>
        </w:rPr>
        <w:t> </w:t>
      </w:r>
      <w:r>
        <w:rPr>
          <w:sz w:val="21"/>
        </w:rPr>
        <w:t>been</w:t>
      </w:r>
      <w:r>
        <w:rPr>
          <w:spacing w:val="26"/>
          <w:sz w:val="21"/>
        </w:rPr>
        <w:t> </w:t>
      </w:r>
      <w:r>
        <w:rPr>
          <w:sz w:val="21"/>
        </w:rPr>
        <w:t>obtained</w:t>
      </w:r>
      <w:r>
        <w:rPr>
          <w:spacing w:val="26"/>
          <w:sz w:val="21"/>
        </w:rPr>
        <w:t> </w:t>
      </w:r>
      <w:r>
        <w:rPr>
          <w:sz w:val="21"/>
        </w:rPr>
        <w:t>from</w:t>
      </w:r>
      <w:r>
        <w:rPr>
          <w:spacing w:val="26"/>
          <w:sz w:val="21"/>
        </w:rPr>
        <w:t> </w:t>
      </w:r>
      <w:r>
        <w:rPr>
          <w:sz w:val="21"/>
        </w:rPr>
        <w:t>the</w:t>
      </w:r>
      <w:r>
        <w:rPr>
          <w:spacing w:val="26"/>
          <w:sz w:val="21"/>
        </w:rPr>
        <w:t> </w:t>
      </w:r>
      <w:r>
        <w:rPr>
          <w:sz w:val="21"/>
        </w:rPr>
        <w:t>Government.</w:t>
      </w:r>
    </w:p>
    <w:p>
      <w:pPr>
        <w:pStyle w:val="BodyText"/>
        <w:spacing w:before="152"/>
        <w:rPr>
          <w:sz w:val="21"/>
        </w:rPr>
      </w:pPr>
    </w:p>
    <w:p>
      <w:pPr>
        <w:spacing w:line="213" w:lineRule="auto" w:before="0"/>
        <w:ind w:left="144" w:right="118" w:firstLine="0"/>
        <w:jc w:val="both"/>
        <w:rPr>
          <w:sz w:val="21"/>
        </w:rPr>
      </w:pPr>
      <w:r>
        <w:rPr>
          <w:i/>
          <w:sz w:val="21"/>
        </w:rPr>
        <w:t>Six</w:t>
      </w:r>
      <w:r>
        <w:rPr>
          <w:sz w:val="21"/>
        </w:rPr>
        <w:t>. The Concessionaire undertakes to pay for the usufruct, fruition, and use of the casinos, equipment and utensils allocated to the</w:t>
      </w:r>
      <w:r>
        <w:rPr>
          <w:spacing w:val="40"/>
          <w:sz w:val="21"/>
        </w:rPr>
        <w:t> </w:t>
      </w:r>
      <w:r>
        <w:rPr>
          <w:sz w:val="21"/>
        </w:rPr>
        <w:t>games</w:t>
      </w:r>
      <w:r>
        <w:rPr>
          <w:spacing w:val="29"/>
          <w:sz w:val="21"/>
        </w:rPr>
        <w:t> </w:t>
      </w:r>
      <w:r>
        <w:rPr>
          <w:sz w:val="21"/>
        </w:rPr>
        <w:t>referred</w:t>
      </w:r>
      <w:r>
        <w:rPr>
          <w:spacing w:val="29"/>
          <w:sz w:val="21"/>
        </w:rPr>
        <w:t> </w:t>
      </w:r>
      <w:r>
        <w:rPr>
          <w:sz w:val="21"/>
        </w:rPr>
        <w:t>in</w:t>
      </w:r>
      <w:r>
        <w:rPr>
          <w:spacing w:val="29"/>
          <w:sz w:val="21"/>
        </w:rPr>
        <w:t> </w:t>
      </w:r>
      <w:r>
        <w:rPr>
          <w:sz w:val="21"/>
        </w:rPr>
        <w:t>paragraph</w:t>
      </w:r>
      <w:r>
        <w:rPr>
          <w:spacing w:val="29"/>
          <w:sz w:val="21"/>
        </w:rPr>
        <w:t> </w:t>
      </w:r>
      <w:r>
        <w:rPr>
          <w:i/>
          <w:sz w:val="21"/>
        </w:rPr>
        <w:t>one</w:t>
      </w:r>
      <w:r>
        <w:rPr>
          <w:sz w:val="21"/>
        </w:rPr>
        <w:t>,</w:t>
      </w:r>
      <w:r>
        <w:rPr>
          <w:spacing w:val="29"/>
          <w:sz w:val="21"/>
        </w:rPr>
        <w:t> </w:t>
      </w:r>
      <w:r>
        <w:rPr>
          <w:sz w:val="21"/>
        </w:rPr>
        <w:t>in</w:t>
      </w:r>
      <w:r>
        <w:rPr>
          <w:spacing w:val="29"/>
          <w:sz w:val="21"/>
        </w:rPr>
        <w:t> </w:t>
      </w:r>
      <w:r>
        <w:rPr>
          <w:sz w:val="21"/>
        </w:rPr>
        <w:t>accordance</w:t>
      </w:r>
      <w:r>
        <w:rPr>
          <w:spacing w:val="28"/>
          <w:sz w:val="21"/>
        </w:rPr>
        <w:t> </w:t>
      </w:r>
      <w:r>
        <w:rPr>
          <w:sz w:val="21"/>
        </w:rPr>
        <w:t>with</w:t>
      </w:r>
      <w:r>
        <w:rPr>
          <w:spacing w:val="29"/>
          <w:sz w:val="21"/>
        </w:rPr>
        <w:t> </w:t>
      </w:r>
      <w:r>
        <w:rPr>
          <w:sz w:val="21"/>
        </w:rPr>
        <w:t>the</w:t>
      </w:r>
      <w:r>
        <w:rPr>
          <w:spacing w:val="29"/>
          <w:sz w:val="21"/>
        </w:rPr>
        <w:t> </w:t>
      </w:r>
      <w:r>
        <w:rPr>
          <w:sz w:val="21"/>
        </w:rPr>
        <w:t>amount</w:t>
      </w:r>
      <w:r>
        <w:rPr>
          <w:spacing w:val="29"/>
          <w:sz w:val="21"/>
        </w:rPr>
        <w:t> </w:t>
      </w:r>
      <w:r>
        <w:rPr>
          <w:sz w:val="21"/>
        </w:rPr>
        <w:t>agreed</w:t>
      </w:r>
      <w:r>
        <w:rPr>
          <w:spacing w:val="29"/>
          <w:sz w:val="21"/>
        </w:rPr>
        <w:t> </w:t>
      </w:r>
      <w:r>
        <w:rPr>
          <w:sz w:val="21"/>
        </w:rPr>
        <w:t>between</w:t>
      </w:r>
      <w:r>
        <w:rPr>
          <w:spacing w:val="29"/>
          <w:sz w:val="21"/>
        </w:rPr>
        <w:t> </w:t>
      </w:r>
      <w:r>
        <w:rPr>
          <w:sz w:val="21"/>
        </w:rPr>
        <w:t>the</w:t>
      </w:r>
      <w:r>
        <w:rPr>
          <w:spacing w:val="29"/>
          <w:sz w:val="21"/>
        </w:rPr>
        <w:t> </w:t>
      </w:r>
      <w:r>
        <w:rPr>
          <w:sz w:val="21"/>
        </w:rPr>
        <w:t>parties</w:t>
      </w:r>
      <w:r>
        <w:rPr>
          <w:spacing w:val="28"/>
          <w:sz w:val="21"/>
        </w:rPr>
        <w:t> </w:t>
      </w:r>
      <w:r>
        <w:rPr>
          <w:sz w:val="21"/>
        </w:rPr>
        <w:t>under</w:t>
      </w:r>
      <w:r>
        <w:rPr>
          <w:spacing w:val="29"/>
          <w:sz w:val="21"/>
        </w:rPr>
        <w:t> </w:t>
      </w:r>
      <w:r>
        <w:rPr>
          <w:sz w:val="21"/>
        </w:rPr>
        <w:t>the</w:t>
      </w:r>
      <w:r>
        <w:rPr>
          <w:spacing w:val="29"/>
          <w:sz w:val="21"/>
        </w:rPr>
        <w:t> </w:t>
      </w:r>
      <w:r>
        <w:rPr>
          <w:sz w:val="21"/>
        </w:rPr>
        <w:t>terms</w:t>
      </w:r>
      <w:r>
        <w:rPr>
          <w:spacing w:val="29"/>
          <w:sz w:val="21"/>
        </w:rPr>
        <w:t> </w:t>
      </w:r>
      <w:r>
        <w:rPr>
          <w:sz w:val="21"/>
        </w:rPr>
        <w:t>of</w:t>
      </w:r>
      <w:r>
        <w:rPr>
          <w:spacing w:val="29"/>
          <w:sz w:val="21"/>
        </w:rPr>
        <w:t> </w:t>
      </w:r>
      <w:r>
        <w:rPr>
          <w:sz w:val="21"/>
        </w:rPr>
        <w:t>Section</w:t>
      </w:r>
      <w:r>
        <w:rPr>
          <w:spacing w:val="29"/>
          <w:sz w:val="21"/>
        </w:rPr>
        <w:t> </w:t>
      </w:r>
      <w:r>
        <w:rPr>
          <w:sz w:val="21"/>
        </w:rPr>
        <w:t>39</w:t>
      </w:r>
      <w:r>
        <w:rPr>
          <w:spacing w:val="29"/>
          <w:sz w:val="21"/>
        </w:rPr>
        <w:t> </w:t>
      </w:r>
      <w:r>
        <w:rPr>
          <w:sz w:val="21"/>
        </w:rPr>
        <w:t>of</w:t>
      </w:r>
      <w:r>
        <w:rPr>
          <w:spacing w:val="28"/>
          <w:sz w:val="21"/>
        </w:rPr>
        <w:t> </w:t>
      </w:r>
      <w:r>
        <w:rPr>
          <w:sz w:val="21"/>
        </w:rPr>
        <w:t>Law No. 16/2001.</w:t>
      </w:r>
    </w:p>
    <w:p>
      <w:pPr>
        <w:pStyle w:val="BodyText"/>
        <w:spacing w:before="72"/>
        <w:rPr>
          <w:sz w:val="21"/>
        </w:rPr>
      </w:pPr>
    </w:p>
    <w:p>
      <w:pPr>
        <w:spacing w:line="213" w:lineRule="auto" w:before="0"/>
        <w:ind w:left="144" w:right="118" w:firstLine="0"/>
        <w:jc w:val="both"/>
        <w:rPr>
          <w:sz w:val="21"/>
        </w:rPr>
      </w:pPr>
      <w:r>
        <w:rPr>
          <w:i/>
          <w:sz w:val="21"/>
        </w:rPr>
        <w:t>Seven</w:t>
      </w:r>
      <w:r>
        <w:rPr>
          <w:sz w:val="21"/>
        </w:rPr>
        <w:t>. The Concessionaire may recover proportionally the amount paid when the termination or extinction of the concession for </w:t>
      </w:r>
      <w:r>
        <w:rPr>
          <w:sz w:val="21"/>
        </w:rPr>
        <w:t>the operation</w:t>
      </w:r>
      <w:r>
        <w:rPr>
          <w:spacing w:val="23"/>
          <w:sz w:val="21"/>
        </w:rPr>
        <w:t> </w:t>
      </w:r>
      <w:r>
        <w:rPr>
          <w:sz w:val="21"/>
        </w:rPr>
        <w:t>of</w:t>
      </w:r>
      <w:r>
        <w:rPr>
          <w:spacing w:val="23"/>
          <w:sz w:val="21"/>
        </w:rPr>
        <w:t> </w:t>
      </w:r>
      <w:r>
        <w:rPr>
          <w:sz w:val="21"/>
        </w:rPr>
        <w:t>games</w:t>
      </w:r>
      <w:r>
        <w:rPr>
          <w:spacing w:val="23"/>
          <w:sz w:val="21"/>
        </w:rPr>
        <w:t> </w:t>
      </w:r>
      <w:r>
        <w:rPr>
          <w:sz w:val="21"/>
        </w:rPr>
        <w:t>of</w:t>
      </w:r>
      <w:r>
        <w:rPr>
          <w:spacing w:val="23"/>
          <w:sz w:val="21"/>
        </w:rPr>
        <w:t> </w:t>
      </w:r>
      <w:r>
        <w:rPr>
          <w:sz w:val="21"/>
        </w:rPr>
        <w:t>fortune</w:t>
      </w:r>
      <w:r>
        <w:rPr>
          <w:spacing w:val="23"/>
          <w:sz w:val="21"/>
        </w:rPr>
        <w:t> </w:t>
      </w:r>
      <w:r>
        <w:rPr>
          <w:sz w:val="21"/>
        </w:rPr>
        <w:t>or</w:t>
      </w:r>
      <w:r>
        <w:rPr>
          <w:spacing w:val="23"/>
          <w:sz w:val="21"/>
        </w:rPr>
        <w:t> </w:t>
      </w:r>
      <w:r>
        <w:rPr>
          <w:sz w:val="21"/>
        </w:rPr>
        <w:t>chance</w:t>
      </w:r>
      <w:r>
        <w:rPr>
          <w:spacing w:val="23"/>
          <w:sz w:val="21"/>
        </w:rPr>
        <w:t> </w:t>
      </w:r>
      <w:r>
        <w:rPr>
          <w:sz w:val="21"/>
        </w:rPr>
        <w:t>in</w:t>
      </w:r>
      <w:r>
        <w:rPr>
          <w:spacing w:val="23"/>
          <w:sz w:val="21"/>
        </w:rPr>
        <w:t> </w:t>
      </w:r>
      <w:r>
        <w:rPr>
          <w:sz w:val="21"/>
        </w:rPr>
        <w:t>casinos</w:t>
      </w:r>
      <w:r>
        <w:rPr>
          <w:spacing w:val="23"/>
          <w:sz w:val="21"/>
        </w:rPr>
        <w:t> </w:t>
      </w:r>
      <w:r>
        <w:rPr>
          <w:sz w:val="21"/>
        </w:rPr>
        <w:t>occurs</w:t>
      </w:r>
      <w:r>
        <w:rPr>
          <w:spacing w:val="23"/>
          <w:sz w:val="21"/>
        </w:rPr>
        <w:t> </w:t>
      </w:r>
      <w:r>
        <w:rPr>
          <w:sz w:val="21"/>
        </w:rPr>
        <w:t>before</w:t>
      </w:r>
      <w:r>
        <w:rPr>
          <w:spacing w:val="23"/>
          <w:sz w:val="21"/>
        </w:rPr>
        <w:t> </w:t>
      </w:r>
      <w:r>
        <w:rPr>
          <w:sz w:val="21"/>
        </w:rPr>
        <w:t>the</w:t>
      </w:r>
      <w:r>
        <w:rPr>
          <w:spacing w:val="23"/>
          <w:sz w:val="21"/>
        </w:rPr>
        <w:t> </w:t>
      </w:r>
      <w:r>
        <w:rPr>
          <w:sz w:val="21"/>
        </w:rPr>
        <w:t>end</w:t>
      </w:r>
      <w:r>
        <w:rPr>
          <w:spacing w:val="23"/>
          <w:sz w:val="21"/>
        </w:rPr>
        <w:t> </w:t>
      </w:r>
      <w:r>
        <w:rPr>
          <w:sz w:val="21"/>
        </w:rPr>
        <w:t>of</w:t>
      </w:r>
      <w:r>
        <w:rPr>
          <w:spacing w:val="23"/>
          <w:sz w:val="21"/>
        </w:rPr>
        <w:t> </w:t>
      </w:r>
      <w:r>
        <w:rPr>
          <w:sz w:val="21"/>
        </w:rPr>
        <w:t>the</w:t>
      </w:r>
      <w:r>
        <w:rPr>
          <w:spacing w:val="23"/>
          <w:sz w:val="21"/>
        </w:rPr>
        <w:t> </w:t>
      </w:r>
      <w:r>
        <w:rPr>
          <w:sz w:val="21"/>
        </w:rPr>
        <w:t>corresponding</w:t>
      </w:r>
      <w:r>
        <w:rPr>
          <w:spacing w:val="23"/>
          <w:sz w:val="21"/>
        </w:rPr>
        <w:t> </w:t>
      </w:r>
      <w:r>
        <w:rPr>
          <w:sz w:val="21"/>
        </w:rPr>
        <w:t>calendar</w:t>
      </w:r>
      <w:r>
        <w:rPr>
          <w:spacing w:val="23"/>
          <w:sz w:val="21"/>
        </w:rPr>
        <w:t> </w:t>
      </w:r>
      <w:r>
        <w:rPr>
          <w:sz w:val="21"/>
        </w:rPr>
        <w:t>year.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3"/>
        <w:rPr>
          <w:sz w:val="20"/>
        </w:rPr>
      </w:pPr>
      <w:r>
        <w:rPr/>
        <mc:AlternateContent>
          <mc:Choice Requires="wps">
            <w:drawing>
              <wp:anchor distT="0" distB="0" distL="0" distR="0" allowOverlap="1" layoutInCell="1" locked="0" behindDoc="1" simplePos="0" relativeHeight="487778304">
                <wp:simplePos x="0" y="0"/>
                <wp:positionH relativeFrom="page">
                  <wp:posOffset>231457</wp:posOffset>
                </wp:positionH>
                <wp:positionV relativeFrom="paragraph">
                  <wp:posOffset>239382</wp:posOffset>
                </wp:positionV>
                <wp:extent cx="7312659" cy="17145"/>
                <wp:effectExtent l="0" t="0" r="0" b="0"/>
                <wp:wrapTopAndBottom/>
                <wp:docPr id="904" name="Group 904"/>
                <wp:cNvGraphicFramePr>
                  <a:graphicFrameLocks/>
                </wp:cNvGraphicFramePr>
                <a:graphic>
                  <a:graphicData uri="http://schemas.microsoft.com/office/word/2010/wordprocessingGroup">
                    <wpg:wgp>
                      <wpg:cNvPr id="904" name="Group 904"/>
                      <wpg:cNvGrpSpPr/>
                      <wpg:grpSpPr>
                        <a:xfrm>
                          <a:off x="0" y="0"/>
                          <a:ext cx="7312659" cy="17145"/>
                          <a:chExt cx="7312659" cy="17145"/>
                        </a:xfrm>
                      </wpg:grpSpPr>
                      <wps:wsp>
                        <wps:cNvPr id="905" name="Graphic 90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06" name="Graphic 906"/>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07" name="Graphic 90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8.849024pt;width:575.8pt;height:1.35pt;mso-position-horizontal-relative:page;mso-position-vertical-relative:paragraph;z-index:-15538176;mso-wrap-distance-left:0;mso-wrap-distance-right:0" id="docshapegroup902" coordorigin="364,377" coordsize="11516,27">
                <v:rect style="position:absolute;left:364;top:376;width:11516;height:14" id="docshape903" filled="true" fillcolor="#999999" stroked="false">
                  <v:fill type="solid"/>
                </v:rect>
                <v:shape style="position:absolute;left:364;top:376;width:11516;height:27" id="docshape904" coordorigin="364,377" coordsize="11516,27" path="m11880,377l11866,390,364,390,364,404,11866,404,11880,404,11880,390,11880,377xe" filled="true" fillcolor="#ededed" stroked="false">
                  <v:path arrowok="t"/>
                  <v:fill type="solid"/>
                </v:shape>
                <v:shape style="position:absolute;left:364;top:376;width:14;height:27" id="docshape905" coordorigin="364,377" coordsize="14,27" path="m364,404l364,377,378,377,378,390,364,404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pStyle w:val="BodyText"/>
        <w:spacing w:before="5"/>
        <w:rPr>
          <w:sz w:val="21"/>
        </w:rPr>
      </w:pPr>
    </w:p>
    <w:p>
      <w:pPr>
        <w:spacing w:line="213" w:lineRule="auto" w:before="0"/>
        <w:ind w:left="144" w:right="119" w:firstLine="0"/>
        <w:jc w:val="both"/>
        <w:rPr>
          <w:sz w:val="21"/>
        </w:rPr>
      </w:pPr>
      <w:r>
        <w:rPr>
          <w:i/>
          <w:sz w:val="21"/>
        </w:rPr>
        <w:t>Eight</w:t>
      </w:r>
      <w:r>
        <w:rPr>
          <w:sz w:val="21"/>
        </w:rPr>
        <w:t>.</w:t>
      </w:r>
      <w:r>
        <w:rPr>
          <w:spacing w:val="16"/>
          <w:sz w:val="21"/>
        </w:rPr>
        <w:t> </w:t>
      </w:r>
      <w:r>
        <w:rPr>
          <w:sz w:val="21"/>
        </w:rPr>
        <w:t>The</w:t>
      </w:r>
      <w:r>
        <w:rPr>
          <w:spacing w:val="21"/>
          <w:sz w:val="21"/>
        </w:rPr>
        <w:t> </w:t>
      </w:r>
      <w:r>
        <w:rPr>
          <w:sz w:val="21"/>
        </w:rPr>
        <w:t>Concessionaire</w:t>
      </w:r>
      <w:r>
        <w:rPr>
          <w:spacing w:val="21"/>
          <w:sz w:val="21"/>
        </w:rPr>
        <w:t> </w:t>
      </w:r>
      <w:r>
        <w:rPr>
          <w:sz w:val="21"/>
        </w:rPr>
        <w:t>shall</w:t>
      </w:r>
      <w:r>
        <w:rPr>
          <w:spacing w:val="21"/>
          <w:sz w:val="21"/>
        </w:rPr>
        <w:t> </w:t>
      </w:r>
      <w:r>
        <w:rPr>
          <w:sz w:val="21"/>
        </w:rPr>
        <w:t>assume</w:t>
      </w:r>
      <w:r>
        <w:rPr>
          <w:spacing w:val="21"/>
          <w:sz w:val="21"/>
        </w:rPr>
        <w:t> </w:t>
      </w:r>
      <w:r>
        <w:rPr>
          <w:sz w:val="21"/>
        </w:rPr>
        <w:t>all</w:t>
      </w:r>
      <w:r>
        <w:rPr>
          <w:spacing w:val="21"/>
          <w:sz w:val="21"/>
        </w:rPr>
        <w:t> </w:t>
      </w:r>
      <w:r>
        <w:rPr>
          <w:sz w:val="21"/>
        </w:rPr>
        <w:t>civil</w:t>
      </w:r>
      <w:r>
        <w:rPr>
          <w:spacing w:val="21"/>
          <w:sz w:val="21"/>
        </w:rPr>
        <w:t> </w:t>
      </w:r>
      <w:r>
        <w:rPr>
          <w:sz w:val="21"/>
        </w:rPr>
        <w:t>liability</w:t>
      </w:r>
      <w:r>
        <w:rPr>
          <w:spacing w:val="21"/>
          <w:sz w:val="21"/>
        </w:rPr>
        <w:t> </w:t>
      </w:r>
      <w:r>
        <w:rPr>
          <w:sz w:val="21"/>
        </w:rPr>
        <w:t>or</w:t>
      </w:r>
      <w:r>
        <w:rPr>
          <w:spacing w:val="21"/>
          <w:sz w:val="21"/>
        </w:rPr>
        <w:t> </w:t>
      </w:r>
      <w:r>
        <w:rPr>
          <w:sz w:val="21"/>
        </w:rPr>
        <w:t>other</w:t>
      </w:r>
      <w:r>
        <w:rPr>
          <w:spacing w:val="21"/>
          <w:sz w:val="21"/>
        </w:rPr>
        <w:t> </w:t>
      </w:r>
      <w:r>
        <w:rPr>
          <w:sz w:val="21"/>
        </w:rPr>
        <w:t>liability</w:t>
      </w:r>
      <w:r>
        <w:rPr>
          <w:spacing w:val="21"/>
          <w:sz w:val="21"/>
        </w:rPr>
        <w:t> </w:t>
      </w:r>
      <w:r>
        <w:rPr>
          <w:sz w:val="21"/>
        </w:rPr>
        <w:t>resulting</w:t>
      </w:r>
      <w:r>
        <w:rPr>
          <w:spacing w:val="21"/>
          <w:sz w:val="21"/>
        </w:rPr>
        <w:t> </w:t>
      </w:r>
      <w:r>
        <w:rPr>
          <w:sz w:val="21"/>
        </w:rPr>
        <w:t>from</w:t>
      </w:r>
      <w:r>
        <w:rPr>
          <w:spacing w:val="21"/>
          <w:sz w:val="21"/>
        </w:rPr>
        <w:t> </w:t>
      </w:r>
      <w:r>
        <w:rPr>
          <w:sz w:val="21"/>
        </w:rPr>
        <w:t>the</w:t>
      </w:r>
      <w:r>
        <w:rPr>
          <w:spacing w:val="21"/>
          <w:sz w:val="21"/>
        </w:rPr>
        <w:t> </w:t>
      </w:r>
      <w:r>
        <w:rPr>
          <w:sz w:val="21"/>
        </w:rPr>
        <w:t>temporary</w:t>
      </w:r>
      <w:r>
        <w:rPr>
          <w:spacing w:val="21"/>
          <w:sz w:val="21"/>
        </w:rPr>
        <w:t> </w:t>
      </w:r>
      <w:r>
        <w:rPr>
          <w:sz w:val="21"/>
        </w:rPr>
        <w:t>usufruct,</w:t>
      </w:r>
      <w:r>
        <w:rPr>
          <w:spacing w:val="21"/>
          <w:sz w:val="21"/>
        </w:rPr>
        <w:t> </w:t>
      </w:r>
      <w:r>
        <w:rPr>
          <w:sz w:val="21"/>
        </w:rPr>
        <w:t>fruition,</w:t>
      </w:r>
      <w:r>
        <w:rPr>
          <w:spacing w:val="21"/>
          <w:sz w:val="21"/>
        </w:rPr>
        <w:t> </w:t>
      </w:r>
      <w:r>
        <w:rPr>
          <w:sz w:val="21"/>
        </w:rPr>
        <w:t>and</w:t>
      </w:r>
      <w:r>
        <w:rPr>
          <w:spacing w:val="21"/>
          <w:sz w:val="21"/>
        </w:rPr>
        <w:t> </w:t>
      </w:r>
      <w:r>
        <w:rPr>
          <w:sz w:val="21"/>
        </w:rPr>
        <w:t>use</w:t>
      </w:r>
      <w:r>
        <w:rPr>
          <w:spacing w:val="21"/>
          <w:sz w:val="21"/>
        </w:rPr>
        <w:t> </w:t>
      </w:r>
      <w:r>
        <w:rPr>
          <w:sz w:val="21"/>
        </w:rPr>
        <w:t>of the casinos equipment and utensils allocated to the games referred to in paragraph </w:t>
      </w:r>
      <w:r>
        <w:rPr>
          <w:i/>
          <w:sz w:val="21"/>
        </w:rPr>
        <w:t>one </w:t>
      </w:r>
      <w:r>
        <w:rPr>
          <w:sz w:val="21"/>
        </w:rPr>
        <w:t>and the Macau SAR shall not assume any</w:t>
      </w:r>
      <w:r>
        <w:rPr>
          <w:spacing w:val="40"/>
          <w:sz w:val="21"/>
        </w:rPr>
        <w:t> </w:t>
      </w:r>
      <w:r>
        <w:rPr>
          <w:spacing w:val="-2"/>
          <w:sz w:val="21"/>
        </w:rPr>
        <w:t>liability.</w:t>
      </w:r>
    </w:p>
    <w:p>
      <w:pPr>
        <w:pStyle w:val="BodyText"/>
        <w:spacing w:before="153"/>
        <w:rPr>
          <w:sz w:val="21"/>
        </w:rPr>
      </w:pPr>
    </w:p>
    <w:p>
      <w:pPr>
        <w:spacing w:line="213" w:lineRule="auto" w:before="0"/>
        <w:ind w:left="144" w:right="117" w:firstLine="0"/>
        <w:jc w:val="both"/>
        <w:rPr>
          <w:sz w:val="21"/>
        </w:rPr>
      </w:pPr>
      <w:r>
        <w:rPr>
          <w:i/>
          <w:sz w:val="21"/>
        </w:rPr>
        <w:t>Nine</w:t>
      </w:r>
      <w:r>
        <w:rPr>
          <w:sz w:val="21"/>
        </w:rPr>
        <w:t>. The Concessionaire may, without the need for authorization from the Government, carry out maintenance, repairs, and improvements</w:t>
      </w:r>
      <w:r>
        <w:rPr>
          <w:spacing w:val="29"/>
          <w:sz w:val="21"/>
        </w:rPr>
        <w:t> </w:t>
      </w:r>
      <w:r>
        <w:rPr>
          <w:sz w:val="21"/>
        </w:rPr>
        <w:t>to</w:t>
      </w:r>
      <w:r>
        <w:rPr>
          <w:spacing w:val="29"/>
          <w:sz w:val="21"/>
        </w:rPr>
        <w:t> </w:t>
      </w:r>
      <w:r>
        <w:rPr>
          <w:sz w:val="21"/>
        </w:rPr>
        <w:t>the</w:t>
      </w:r>
      <w:r>
        <w:rPr>
          <w:spacing w:val="29"/>
          <w:sz w:val="21"/>
        </w:rPr>
        <w:t> </w:t>
      </w:r>
      <w:r>
        <w:rPr>
          <w:sz w:val="21"/>
        </w:rPr>
        <w:t>casinos,</w:t>
      </w:r>
      <w:r>
        <w:rPr>
          <w:spacing w:val="29"/>
          <w:sz w:val="21"/>
        </w:rPr>
        <w:t> </w:t>
      </w:r>
      <w:r>
        <w:rPr>
          <w:sz w:val="21"/>
        </w:rPr>
        <w:t>equipment</w:t>
      </w:r>
      <w:r>
        <w:rPr>
          <w:spacing w:val="29"/>
          <w:sz w:val="21"/>
        </w:rPr>
        <w:t> </w:t>
      </w:r>
      <w:r>
        <w:rPr>
          <w:sz w:val="21"/>
        </w:rPr>
        <w:t>and</w:t>
      </w:r>
      <w:r>
        <w:rPr>
          <w:spacing w:val="29"/>
          <w:sz w:val="21"/>
        </w:rPr>
        <w:t> </w:t>
      </w:r>
      <w:r>
        <w:rPr>
          <w:sz w:val="21"/>
        </w:rPr>
        <w:t>utensils</w:t>
      </w:r>
      <w:r>
        <w:rPr>
          <w:spacing w:val="29"/>
          <w:sz w:val="21"/>
        </w:rPr>
        <w:t> </w:t>
      </w:r>
      <w:r>
        <w:rPr>
          <w:sz w:val="21"/>
        </w:rPr>
        <w:t>allocated</w:t>
      </w:r>
      <w:r>
        <w:rPr>
          <w:spacing w:val="29"/>
          <w:sz w:val="21"/>
        </w:rPr>
        <w:t> </w:t>
      </w:r>
      <w:r>
        <w:rPr>
          <w:sz w:val="21"/>
        </w:rPr>
        <w:t>to</w:t>
      </w:r>
      <w:r>
        <w:rPr>
          <w:spacing w:val="29"/>
          <w:sz w:val="21"/>
        </w:rPr>
        <w:t> </w:t>
      </w:r>
      <w:r>
        <w:rPr>
          <w:sz w:val="21"/>
        </w:rPr>
        <w:t>the</w:t>
      </w:r>
      <w:r>
        <w:rPr>
          <w:spacing w:val="29"/>
          <w:sz w:val="21"/>
        </w:rPr>
        <w:t> </w:t>
      </w:r>
      <w:r>
        <w:rPr>
          <w:sz w:val="21"/>
        </w:rPr>
        <w:t>games</w:t>
      </w:r>
      <w:r>
        <w:rPr>
          <w:spacing w:val="29"/>
          <w:sz w:val="21"/>
        </w:rPr>
        <w:t> </w:t>
      </w:r>
      <w:r>
        <w:rPr>
          <w:sz w:val="21"/>
        </w:rPr>
        <w:t>referred</w:t>
      </w:r>
      <w:r>
        <w:rPr>
          <w:spacing w:val="29"/>
          <w:sz w:val="21"/>
        </w:rPr>
        <w:t> </w:t>
      </w:r>
      <w:r>
        <w:rPr>
          <w:sz w:val="21"/>
        </w:rPr>
        <w:t>to</w:t>
      </w:r>
      <w:r>
        <w:rPr>
          <w:spacing w:val="29"/>
          <w:sz w:val="21"/>
        </w:rPr>
        <w:t> </w:t>
      </w:r>
      <w:r>
        <w:rPr>
          <w:sz w:val="21"/>
        </w:rPr>
        <w:t>in</w:t>
      </w:r>
      <w:r>
        <w:rPr>
          <w:spacing w:val="29"/>
          <w:sz w:val="21"/>
        </w:rPr>
        <w:t> </w:t>
      </w:r>
      <w:r>
        <w:rPr>
          <w:sz w:val="21"/>
        </w:rPr>
        <w:t>paragraph</w:t>
      </w:r>
      <w:r>
        <w:rPr>
          <w:spacing w:val="29"/>
          <w:sz w:val="21"/>
        </w:rPr>
        <w:t> </w:t>
      </w:r>
      <w:r>
        <w:rPr>
          <w:i/>
          <w:sz w:val="21"/>
        </w:rPr>
        <w:t>one</w:t>
      </w:r>
      <w:r>
        <w:rPr>
          <w:sz w:val="21"/>
        </w:rPr>
        <w:t>,</w:t>
      </w:r>
      <w:r>
        <w:rPr>
          <w:spacing w:val="29"/>
          <w:sz w:val="21"/>
        </w:rPr>
        <w:t> </w:t>
      </w:r>
      <w:r>
        <w:rPr>
          <w:sz w:val="21"/>
        </w:rPr>
        <w:t>with</w:t>
      </w:r>
      <w:r>
        <w:rPr>
          <w:spacing w:val="29"/>
          <w:sz w:val="21"/>
        </w:rPr>
        <w:t> </w:t>
      </w:r>
      <w:r>
        <w:rPr>
          <w:sz w:val="21"/>
        </w:rPr>
        <w:t>the</w:t>
      </w:r>
      <w:r>
        <w:rPr>
          <w:spacing w:val="29"/>
          <w:sz w:val="21"/>
        </w:rPr>
        <w:t> </w:t>
      </w:r>
      <w:r>
        <w:rPr>
          <w:sz w:val="21"/>
        </w:rPr>
        <w:t>respective</w:t>
      </w:r>
      <w:r>
        <w:rPr>
          <w:spacing w:val="29"/>
          <w:sz w:val="21"/>
        </w:rPr>
        <w:t> </w:t>
      </w:r>
      <w:r>
        <w:rPr>
          <w:sz w:val="21"/>
        </w:rPr>
        <w:t>costs being</w:t>
      </w:r>
      <w:r>
        <w:rPr>
          <w:spacing w:val="30"/>
          <w:sz w:val="21"/>
        </w:rPr>
        <w:t> </w:t>
      </w:r>
      <w:r>
        <w:rPr>
          <w:sz w:val="21"/>
        </w:rPr>
        <w:t>borne</w:t>
      </w:r>
      <w:r>
        <w:rPr>
          <w:spacing w:val="30"/>
          <w:sz w:val="21"/>
        </w:rPr>
        <w:t> </w:t>
      </w:r>
      <w:r>
        <w:rPr>
          <w:sz w:val="21"/>
        </w:rPr>
        <w:t>by</w:t>
      </w:r>
      <w:r>
        <w:rPr>
          <w:spacing w:val="30"/>
          <w:sz w:val="21"/>
        </w:rPr>
        <w:t> </w:t>
      </w:r>
      <w:r>
        <w:rPr>
          <w:sz w:val="21"/>
        </w:rPr>
        <w:t>the</w:t>
      </w:r>
      <w:r>
        <w:rPr>
          <w:spacing w:val="30"/>
          <w:sz w:val="21"/>
        </w:rPr>
        <w:t> </w:t>
      </w:r>
      <w:r>
        <w:rPr>
          <w:sz w:val="21"/>
        </w:rPr>
        <w:t>Concessionaire</w:t>
      </w:r>
      <w:r>
        <w:rPr>
          <w:spacing w:val="30"/>
          <w:sz w:val="21"/>
        </w:rPr>
        <w:t> </w:t>
      </w:r>
      <w:r>
        <w:rPr>
          <w:sz w:val="21"/>
        </w:rPr>
        <w:t>itself,</w:t>
      </w:r>
      <w:r>
        <w:rPr>
          <w:spacing w:val="30"/>
          <w:sz w:val="21"/>
        </w:rPr>
        <w:t> </w:t>
      </w:r>
      <w:r>
        <w:rPr>
          <w:sz w:val="21"/>
        </w:rPr>
        <w:t>without</w:t>
      </w:r>
      <w:r>
        <w:rPr>
          <w:spacing w:val="30"/>
          <w:sz w:val="21"/>
        </w:rPr>
        <w:t> </w:t>
      </w:r>
      <w:r>
        <w:rPr>
          <w:sz w:val="21"/>
        </w:rPr>
        <w:t>any</w:t>
      </w:r>
      <w:r>
        <w:rPr>
          <w:spacing w:val="30"/>
          <w:sz w:val="21"/>
        </w:rPr>
        <w:t> </w:t>
      </w:r>
      <w:r>
        <w:rPr>
          <w:sz w:val="21"/>
        </w:rPr>
        <w:t>right</w:t>
      </w:r>
      <w:r>
        <w:rPr>
          <w:spacing w:val="30"/>
          <w:sz w:val="21"/>
        </w:rPr>
        <w:t> </w:t>
      </w:r>
      <w:r>
        <w:rPr>
          <w:sz w:val="21"/>
        </w:rPr>
        <w:t>to</w:t>
      </w:r>
      <w:r>
        <w:rPr>
          <w:spacing w:val="30"/>
          <w:sz w:val="21"/>
        </w:rPr>
        <w:t> </w:t>
      </w:r>
      <w:r>
        <w:rPr>
          <w:sz w:val="21"/>
        </w:rPr>
        <w:t>compensation</w:t>
      </w:r>
      <w:r>
        <w:rPr>
          <w:spacing w:val="30"/>
          <w:sz w:val="21"/>
        </w:rPr>
        <w:t> </w:t>
      </w:r>
      <w:r>
        <w:rPr>
          <w:sz w:val="21"/>
        </w:rPr>
        <w:t>from</w:t>
      </w:r>
      <w:r>
        <w:rPr>
          <w:spacing w:val="30"/>
          <w:sz w:val="21"/>
        </w:rPr>
        <w:t> </w:t>
      </w:r>
      <w:r>
        <w:rPr>
          <w:sz w:val="21"/>
        </w:rPr>
        <w:t>the</w:t>
      </w:r>
      <w:r>
        <w:rPr>
          <w:spacing w:val="30"/>
          <w:sz w:val="21"/>
        </w:rPr>
        <w:t> </w:t>
      </w:r>
      <w:r>
        <w:rPr>
          <w:sz w:val="21"/>
        </w:rPr>
        <w:t>Government.</w:t>
      </w:r>
    </w:p>
    <w:p>
      <w:pPr>
        <w:pStyle w:val="BodyText"/>
        <w:spacing w:before="72"/>
        <w:rPr>
          <w:sz w:val="21"/>
        </w:rPr>
      </w:pPr>
    </w:p>
    <w:p>
      <w:pPr>
        <w:spacing w:line="213" w:lineRule="auto" w:before="0"/>
        <w:ind w:left="144" w:right="118" w:firstLine="0"/>
        <w:jc w:val="both"/>
        <w:rPr>
          <w:sz w:val="21"/>
        </w:rPr>
      </w:pPr>
      <w:r>
        <w:rPr>
          <w:i/>
          <w:sz w:val="21"/>
        </w:rPr>
        <w:t>Ten</w:t>
      </w:r>
      <w:r>
        <w:rPr>
          <w:sz w:val="21"/>
        </w:rPr>
        <w:t>.</w:t>
      </w:r>
      <w:r>
        <w:rPr>
          <w:spacing w:val="17"/>
          <w:sz w:val="21"/>
        </w:rPr>
        <w:t> </w:t>
      </w:r>
      <w:r>
        <w:rPr>
          <w:sz w:val="21"/>
        </w:rPr>
        <w:t>When</w:t>
      </w:r>
      <w:r>
        <w:rPr>
          <w:spacing w:val="22"/>
          <w:sz w:val="21"/>
        </w:rPr>
        <w:t> </w:t>
      </w:r>
      <w:r>
        <w:rPr>
          <w:sz w:val="21"/>
        </w:rPr>
        <w:t>the</w:t>
      </w:r>
      <w:r>
        <w:rPr>
          <w:spacing w:val="22"/>
          <w:sz w:val="21"/>
        </w:rPr>
        <w:t> </w:t>
      </w:r>
      <w:r>
        <w:rPr>
          <w:sz w:val="21"/>
        </w:rPr>
        <w:t>equipment</w:t>
      </w:r>
      <w:r>
        <w:rPr>
          <w:spacing w:val="22"/>
          <w:sz w:val="21"/>
        </w:rPr>
        <w:t> </w:t>
      </w:r>
      <w:r>
        <w:rPr>
          <w:sz w:val="21"/>
        </w:rPr>
        <w:t>and</w:t>
      </w:r>
      <w:r>
        <w:rPr>
          <w:spacing w:val="22"/>
          <w:sz w:val="21"/>
        </w:rPr>
        <w:t> </w:t>
      </w:r>
      <w:r>
        <w:rPr>
          <w:sz w:val="21"/>
        </w:rPr>
        <w:t>utensils</w:t>
      </w:r>
      <w:r>
        <w:rPr>
          <w:spacing w:val="22"/>
          <w:sz w:val="21"/>
        </w:rPr>
        <w:t> </w:t>
      </w:r>
      <w:r>
        <w:rPr>
          <w:sz w:val="21"/>
        </w:rPr>
        <w:t>allocated</w:t>
      </w:r>
      <w:r>
        <w:rPr>
          <w:spacing w:val="22"/>
          <w:sz w:val="21"/>
        </w:rPr>
        <w:t> </w:t>
      </w:r>
      <w:r>
        <w:rPr>
          <w:sz w:val="21"/>
        </w:rPr>
        <w:t>to</w:t>
      </w:r>
      <w:r>
        <w:rPr>
          <w:spacing w:val="22"/>
          <w:sz w:val="21"/>
        </w:rPr>
        <w:t> </w:t>
      </w:r>
      <w:r>
        <w:rPr>
          <w:sz w:val="21"/>
        </w:rPr>
        <w:t>the</w:t>
      </w:r>
      <w:r>
        <w:rPr>
          <w:spacing w:val="22"/>
          <w:sz w:val="21"/>
        </w:rPr>
        <w:t> </w:t>
      </w:r>
      <w:r>
        <w:rPr>
          <w:sz w:val="21"/>
        </w:rPr>
        <w:t>games</w:t>
      </w:r>
      <w:r>
        <w:rPr>
          <w:spacing w:val="22"/>
          <w:sz w:val="21"/>
        </w:rPr>
        <w:t> </w:t>
      </w:r>
      <w:r>
        <w:rPr>
          <w:sz w:val="21"/>
        </w:rPr>
        <w:t>referred</w:t>
      </w:r>
      <w:r>
        <w:rPr>
          <w:spacing w:val="22"/>
          <w:sz w:val="21"/>
        </w:rPr>
        <w:t> </w:t>
      </w:r>
      <w:r>
        <w:rPr>
          <w:sz w:val="21"/>
        </w:rPr>
        <w:t>to</w:t>
      </w:r>
      <w:r>
        <w:rPr>
          <w:spacing w:val="22"/>
          <w:sz w:val="21"/>
        </w:rPr>
        <w:t> </w:t>
      </w:r>
      <w:r>
        <w:rPr>
          <w:sz w:val="21"/>
        </w:rPr>
        <w:t>in</w:t>
      </w:r>
      <w:r>
        <w:rPr>
          <w:spacing w:val="22"/>
          <w:sz w:val="21"/>
        </w:rPr>
        <w:t> </w:t>
      </w:r>
      <w:r>
        <w:rPr>
          <w:sz w:val="21"/>
        </w:rPr>
        <w:t>paragraph</w:t>
      </w:r>
      <w:r>
        <w:rPr>
          <w:spacing w:val="22"/>
          <w:sz w:val="21"/>
        </w:rPr>
        <w:t> </w:t>
      </w:r>
      <w:r>
        <w:rPr>
          <w:sz w:val="21"/>
        </w:rPr>
        <w:t>one</w:t>
      </w:r>
      <w:r>
        <w:rPr>
          <w:spacing w:val="22"/>
          <w:sz w:val="21"/>
        </w:rPr>
        <w:t> </w:t>
      </w:r>
      <w:r>
        <w:rPr>
          <w:sz w:val="21"/>
        </w:rPr>
        <w:t>are</w:t>
      </w:r>
      <w:r>
        <w:rPr>
          <w:spacing w:val="22"/>
          <w:sz w:val="21"/>
        </w:rPr>
        <w:t> </w:t>
      </w:r>
      <w:r>
        <w:rPr>
          <w:sz w:val="21"/>
        </w:rPr>
        <w:t>useless</w:t>
      </w:r>
      <w:r>
        <w:rPr>
          <w:spacing w:val="22"/>
          <w:sz w:val="21"/>
        </w:rPr>
        <w:t> </w:t>
      </w:r>
      <w:r>
        <w:rPr>
          <w:sz w:val="21"/>
        </w:rPr>
        <w:t>or</w:t>
      </w:r>
      <w:r>
        <w:rPr>
          <w:spacing w:val="22"/>
          <w:sz w:val="21"/>
        </w:rPr>
        <w:t> </w:t>
      </w:r>
      <w:r>
        <w:rPr>
          <w:sz w:val="21"/>
        </w:rPr>
        <w:t>unfit</w:t>
      </w:r>
      <w:r>
        <w:rPr>
          <w:spacing w:val="22"/>
          <w:sz w:val="21"/>
        </w:rPr>
        <w:t> </w:t>
      </w:r>
      <w:r>
        <w:rPr>
          <w:sz w:val="21"/>
        </w:rPr>
        <w:t>for</w:t>
      </w:r>
      <w:r>
        <w:rPr>
          <w:spacing w:val="22"/>
          <w:sz w:val="21"/>
        </w:rPr>
        <w:t> </w:t>
      </w:r>
      <w:r>
        <w:rPr>
          <w:sz w:val="21"/>
        </w:rPr>
        <w:t>use,</w:t>
      </w:r>
      <w:r>
        <w:rPr>
          <w:spacing w:val="22"/>
          <w:sz w:val="21"/>
        </w:rPr>
        <w:t> </w:t>
      </w:r>
      <w:r>
        <w:rPr>
          <w:sz w:val="21"/>
        </w:rPr>
        <w:t>they</w:t>
      </w:r>
      <w:r>
        <w:rPr>
          <w:spacing w:val="22"/>
          <w:sz w:val="21"/>
        </w:rPr>
        <w:t> </w:t>
      </w:r>
      <w:r>
        <w:rPr>
          <w:sz w:val="21"/>
        </w:rPr>
        <w:t>shall</w:t>
      </w:r>
      <w:r>
        <w:rPr>
          <w:spacing w:val="22"/>
          <w:sz w:val="21"/>
        </w:rPr>
        <w:t> </w:t>
      </w:r>
      <w:r>
        <w:rPr>
          <w:sz w:val="21"/>
        </w:rPr>
        <w:t>be put out of use or destroyed by the Concessionaire, subject to the authorization of DICJ, without any right to compensation from </w:t>
      </w:r>
      <w:r>
        <w:rPr>
          <w:sz w:val="21"/>
        </w:rPr>
        <w:t>the </w:t>
      </w:r>
      <w:r>
        <w:rPr>
          <w:spacing w:val="-2"/>
          <w:sz w:val="21"/>
        </w:rPr>
        <w:t>Government.</w:t>
      </w:r>
    </w:p>
    <w:p>
      <w:pPr>
        <w:pStyle w:val="BodyText"/>
        <w:spacing w:before="175"/>
        <w:rPr>
          <w:sz w:val="21"/>
        </w:rPr>
      </w:pPr>
    </w:p>
    <w:p>
      <w:pPr>
        <w:pStyle w:val="Heading1"/>
        <w:spacing w:before="1"/>
      </w:pPr>
      <w:r>
        <w:rPr/>
        <w:t>CHAPTER </w:t>
      </w:r>
      <w:r>
        <w:rPr>
          <w:spacing w:val="-5"/>
        </w:rPr>
        <w:t>IX</w:t>
      </w:r>
    </w:p>
    <w:p>
      <w:pPr>
        <w:pStyle w:val="Heading2"/>
      </w:pPr>
      <w:r>
        <w:rPr>
          <w:spacing w:val="-2"/>
        </w:rPr>
        <w:t>Premium</w:t>
      </w:r>
    </w:p>
    <w:p>
      <w:pPr>
        <w:pStyle w:val="BodyText"/>
        <w:spacing w:before="83"/>
        <w:rPr>
          <w:b/>
          <w:sz w:val="25"/>
        </w:rPr>
      </w:pPr>
    </w:p>
    <w:p>
      <w:pPr>
        <w:spacing w:line="309" w:lineRule="auto" w:before="0"/>
        <w:ind w:left="5170" w:right="5143" w:firstLine="0"/>
        <w:jc w:val="center"/>
        <w:rPr>
          <w:b/>
          <w:sz w:val="21"/>
        </w:rPr>
      </w:pPr>
      <w:r>
        <w:rPr>
          <w:b/>
          <w:sz w:val="21"/>
        </w:rPr>
        <w:t>Clause</w:t>
      </w:r>
      <w:r>
        <w:rPr>
          <w:b/>
          <w:spacing w:val="-13"/>
          <w:sz w:val="21"/>
        </w:rPr>
        <w:t> </w:t>
      </w:r>
      <w:r>
        <w:rPr>
          <w:b/>
          <w:sz w:val="21"/>
        </w:rPr>
        <w:t>50 </w:t>
      </w:r>
      <w:r>
        <w:rPr>
          <w:b/>
          <w:spacing w:val="-2"/>
          <w:sz w:val="21"/>
        </w:rPr>
        <w:t>Premium</w:t>
      </w:r>
    </w:p>
    <w:p>
      <w:pPr>
        <w:pStyle w:val="BodyText"/>
        <w:spacing w:before="75"/>
        <w:rPr>
          <w:b/>
          <w:sz w:val="21"/>
        </w:rPr>
      </w:pPr>
    </w:p>
    <w:p>
      <w:pPr>
        <w:spacing w:line="213" w:lineRule="auto" w:before="0"/>
        <w:ind w:left="144" w:right="117" w:firstLine="0"/>
        <w:jc w:val="both"/>
        <w:rPr>
          <w:sz w:val="21"/>
        </w:rPr>
      </w:pPr>
      <w:r>
        <w:rPr>
          <w:i/>
          <w:sz w:val="21"/>
        </w:rPr>
        <w:t>One.</w:t>
      </w:r>
      <w:r>
        <w:rPr>
          <w:i/>
          <w:spacing w:val="19"/>
          <w:sz w:val="21"/>
        </w:rPr>
        <w:t> </w:t>
      </w:r>
      <w:r>
        <w:rPr>
          <w:sz w:val="21"/>
        </w:rPr>
        <w:t>The</w:t>
      </w:r>
      <w:r>
        <w:rPr>
          <w:spacing w:val="19"/>
          <w:sz w:val="21"/>
        </w:rPr>
        <w:t> </w:t>
      </w:r>
      <w:r>
        <w:rPr>
          <w:sz w:val="21"/>
        </w:rPr>
        <w:t>Concessionaire</w:t>
      </w:r>
      <w:r>
        <w:rPr>
          <w:spacing w:val="19"/>
          <w:sz w:val="21"/>
        </w:rPr>
        <w:t> </w:t>
      </w:r>
      <w:r>
        <w:rPr>
          <w:sz w:val="21"/>
        </w:rPr>
        <w:t>undertakes</w:t>
      </w:r>
      <w:r>
        <w:rPr>
          <w:spacing w:val="19"/>
          <w:sz w:val="21"/>
        </w:rPr>
        <w:t> </w:t>
      </w:r>
      <w:r>
        <w:rPr>
          <w:sz w:val="21"/>
        </w:rPr>
        <w:t>to</w:t>
      </w:r>
      <w:r>
        <w:rPr>
          <w:spacing w:val="19"/>
          <w:sz w:val="21"/>
        </w:rPr>
        <w:t> </w:t>
      </w:r>
      <w:r>
        <w:rPr>
          <w:sz w:val="21"/>
        </w:rPr>
        <w:t>pay</w:t>
      </w:r>
      <w:r>
        <w:rPr>
          <w:spacing w:val="19"/>
          <w:sz w:val="21"/>
        </w:rPr>
        <w:t> </w:t>
      </w:r>
      <w:r>
        <w:rPr>
          <w:sz w:val="21"/>
        </w:rPr>
        <w:t>an</w:t>
      </w:r>
      <w:r>
        <w:rPr>
          <w:spacing w:val="19"/>
          <w:sz w:val="21"/>
        </w:rPr>
        <w:t> </w:t>
      </w:r>
      <w:r>
        <w:rPr>
          <w:sz w:val="21"/>
        </w:rPr>
        <w:t>annual</w:t>
      </w:r>
      <w:r>
        <w:rPr>
          <w:spacing w:val="19"/>
          <w:sz w:val="21"/>
        </w:rPr>
        <w:t> </w:t>
      </w:r>
      <w:r>
        <w:rPr>
          <w:sz w:val="21"/>
        </w:rPr>
        <w:t>premium</w:t>
      </w:r>
      <w:r>
        <w:rPr>
          <w:spacing w:val="19"/>
          <w:sz w:val="21"/>
        </w:rPr>
        <w:t> </w:t>
      </w:r>
      <w:r>
        <w:rPr>
          <w:sz w:val="21"/>
        </w:rPr>
        <w:t>to</w:t>
      </w:r>
      <w:r>
        <w:rPr>
          <w:spacing w:val="19"/>
          <w:sz w:val="21"/>
        </w:rPr>
        <w:t> </w:t>
      </w:r>
      <w:r>
        <w:rPr>
          <w:sz w:val="21"/>
        </w:rPr>
        <w:t>the</w:t>
      </w:r>
      <w:r>
        <w:rPr>
          <w:spacing w:val="19"/>
          <w:sz w:val="21"/>
        </w:rPr>
        <w:t> </w:t>
      </w:r>
      <w:r>
        <w:rPr>
          <w:sz w:val="21"/>
        </w:rPr>
        <w:t>Macau</w:t>
      </w:r>
      <w:r>
        <w:rPr>
          <w:spacing w:val="19"/>
          <w:sz w:val="21"/>
        </w:rPr>
        <w:t> </w:t>
      </w:r>
      <w:r>
        <w:rPr>
          <w:sz w:val="21"/>
        </w:rPr>
        <w:t>SAR</w:t>
      </w:r>
      <w:r>
        <w:rPr>
          <w:spacing w:val="19"/>
          <w:sz w:val="21"/>
        </w:rPr>
        <w:t> </w:t>
      </w:r>
      <w:r>
        <w:rPr>
          <w:sz w:val="21"/>
        </w:rPr>
        <w:t>while</w:t>
      </w:r>
      <w:r>
        <w:rPr>
          <w:spacing w:val="19"/>
          <w:sz w:val="21"/>
        </w:rPr>
        <w:t> </w:t>
      </w:r>
      <w:r>
        <w:rPr>
          <w:sz w:val="21"/>
        </w:rPr>
        <w:t>the</w:t>
      </w:r>
      <w:r>
        <w:rPr>
          <w:spacing w:val="19"/>
          <w:sz w:val="21"/>
        </w:rPr>
        <w:t> </w:t>
      </w:r>
      <w:r>
        <w:rPr>
          <w:sz w:val="21"/>
        </w:rPr>
        <w:t>concession</w:t>
      </w:r>
      <w:r>
        <w:rPr>
          <w:spacing w:val="19"/>
          <w:sz w:val="21"/>
        </w:rPr>
        <w:t> </w:t>
      </w:r>
      <w:r>
        <w:rPr>
          <w:sz w:val="21"/>
        </w:rPr>
        <w:t>is</w:t>
      </w:r>
      <w:r>
        <w:rPr>
          <w:spacing w:val="19"/>
          <w:sz w:val="21"/>
        </w:rPr>
        <w:t> </w:t>
      </w:r>
      <w:r>
        <w:rPr>
          <w:sz w:val="21"/>
        </w:rPr>
        <w:t>in</w:t>
      </w:r>
      <w:r>
        <w:rPr>
          <w:spacing w:val="19"/>
          <w:sz w:val="21"/>
        </w:rPr>
        <w:t> </w:t>
      </w:r>
      <w:r>
        <w:rPr>
          <w:sz w:val="21"/>
        </w:rPr>
        <w:t>force,</w:t>
      </w:r>
      <w:r>
        <w:rPr>
          <w:spacing w:val="19"/>
          <w:sz w:val="21"/>
        </w:rPr>
        <w:t> </w:t>
      </w:r>
      <w:r>
        <w:rPr>
          <w:sz w:val="21"/>
        </w:rPr>
        <w:t>as</w:t>
      </w:r>
      <w:r>
        <w:rPr>
          <w:spacing w:val="19"/>
          <w:sz w:val="21"/>
        </w:rPr>
        <w:t> </w:t>
      </w:r>
      <w:r>
        <w:rPr>
          <w:sz w:val="21"/>
        </w:rPr>
        <w:t>consideration for the operation of the games of fortune or chance in a casino.</w:t>
      </w:r>
    </w:p>
    <w:p>
      <w:pPr>
        <w:pStyle w:val="BodyText"/>
        <w:spacing w:before="144"/>
        <w:rPr>
          <w:sz w:val="21"/>
        </w:rPr>
      </w:pPr>
    </w:p>
    <w:p>
      <w:pPr>
        <w:spacing w:before="0"/>
        <w:ind w:left="144" w:right="0" w:firstLine="0"/>
        <w:jc w:val="both"/>
        <w:rPr>
          <w:sz w:val="21"/>
        </w:rPr>
      </w:pPr>
      <w:r>
        <w:rPr>
          <w:i/>
          <w:sz w:val="21"/>
        </w:rPr>
        <w:t>Two.</w:t>
      </w:r>
      <w:r>
        <w:rPr>
          <w:i/>
          <w:spacing w:val="10"/>
          <w:sz w:val="21"/>
        </w:rPr>
        <w:t> </w:t>
      </w:r>
      <w:r>
        <w:rPr>
          <w:sz w:val="21"/>
        </w:rPr>
        <w:t>The</w:t>
      </w:r>
      <w:r>
        <w:rPr>
          <w:spacing w:val="10"/>
          <w:sz w:val="21"/>
        </w:rPr>
        <w:t> </w:t>
      </w:r>
      <w:r>
        <w:rPr>
          <w:sz w:val="21"/>
        </w:rPr>
        <w:t>amount</w:t>
      </w:r>
      <w:r>
        <w:rPr>
          <w:spacing w:val="10"/>
          <w:sz w:val="21"/>
        </w:rPr>
        <w:t> </w:t>
      </w:r>
      <w:r>
        <w:rPr>
          <w:sz w:val="21"/>
        </w:rPr>
        <w:t>of</w:t>
      </w:r>
      <w:r>
        <w:rPr>
          <w:spacing w:val="10"/>
          <w:sz w:val="21"/>
        </w:rPr>
        <w:t> </w:t>
      </w:r>
      <w:r>
        <w:rPr>
          <w:sz w:val="21"/>
        </w:rPr>
        <w:t>the</w:t>
      </w:r>
      <w:r>
        <w:rPr>
          <w:spacing w:val="11"/>
          <w:sz w:val="21"/>
        </w:rPr>
        <w:t> </w:t>
      </w:r>
      <w:r>
        <w:rPr>
          <w:sz w:val="21"/>
        </w:rPr>
        <w:t>annual</w:t>
      </w:r>
      <w:r>
        <w:rPr>
          <w:spacing w:val="10"/>
          <w:sz w:val="21"/>
        </w:rPr>
        <w:t> </w:t>
      </w:r>
      <w:r>
        <w:rPr>
          <w:sz w:val="21"/>
        </w:rPr>
        <w:t>premium</w:t>
      </w:r>
      <w:r>
        <w:rPr>
          <w:spacing w:val="10"/>
          <w:sz w:val="21"/>
        </w:rPr>
        <w:t> </w:t>
      </w:r>
      <w:r>
        <w:rPr>
          <w:sz w:val="21"/>
        </w:rPr>
        <w:t>payable</w:t>
      </w:r>
      <w:r>
        <w:rPr>
          <w:spacing w:val="10"/>
          <w:sz w:val="21"/>
        </w:rPr>
        <w:t> </w:t>
      </w:r>
      <w:r>
        <w:rPr>
          <w:sz w:val="21"/>
        </w:rPr>
        <w:t>by</w:t>
      </w:r>
      <w:r>
        <w:rPr>
          <w:spacing w:val="11"/>
          <w:sz w:val="21"/>
        </w:rPr>
        <w:t> </w:t>
      </w:r>
      <w:r>
        <w:rPr>
          <w:sz w:val="21"/>
        </w:rPr>
        <w:t>the</w:t>
      </w:r>
      <w:r>
        <w:rPr>
          <w:spacing w:val="10"/>
          <w:sz w:val="21"/>
        </w:rPr>
        <w:t> </w:t>
      </w:r>
      <w:r>
        <w:rPr>
          <w:sz w:val="21"/>
        </w:rPr>
        <w:t>Concessionaire</w:t>
      </w:r>
      <w:r>
        <w:rPr>
          <w:spacing w:val="10"/>
          <w:sz w:val="21"/>
        </w:rPr>
        <w:t> </w:t>
      </w:r>
      <w:r>
        <w:rPr>
          <w:sz w:val="21"/>
        </w:rPr>
        <w:t>comprises</w:t>
      </w:r>
      <w:r>
        <w:rPr>
          <w:spacing w:val="10"/>
          <w:sz w:val="21"/>
        </w:rPr>
        <w:t> </w:t>
      </w:r>
      <w:r>
        <w:rPr>
          <w:sz w:val="21"/>
        </w:rPr>
        <w:t>fixed</w:t>
      </w:r>
      <w:r>
        <w:rPr>
          <w:spacing w:val="11"/>
          <w:sz w:val="21"/>
        </w:rPr>
        <w:t> </w:t>
      </w:r>
      <w:r>
        <w:rPr>
          <w:sz w:val="21"/>
        </w:rPr>
        <w:t>and</w:t>
      </w:r>
      <w:r>
        <w:rPr>
          <w:spacing w:val="10"/>
          <w:sz w:val="21"/>
        </w:rPr>
        <w:t> </w:t>
      </w:r>
      <w:r>
        <w:rPr>
          <w:sz w:val="21"/>
        </w:rPr>
        <w:t>variable</w:t>
      </w:r>
      <w:r>
        <w:rPr>
          <w:spacing w:val="10"/>
          <w:sz w:val="21"/>
        </w:rPr>
        <w:t> </w:t>
      </w:r>
      <w:r>
        <w:rPr>
          <w:spacing w:val="-2"/>
          <w:sz w:val="21"/>
        </w:rPr>
        <w:t>elements.</w:t>
      </w:r>
    </w:p>
    <w:p>
      <w:pPr>
        <w:pStyle w:val="BodyText"/>
        <w:spacing w:before="146"/>
        <w:rPr>
          <w:sz w:val="21"/>
        </w:rPr>
      </w:pPr>
    </w:p>
    <w:p>
      <w:pPr>
        <w:spacing w:line="213" w:lineRule="auto" w:before="0"/>
        <w:ind w:left="144" w:right="118" w:firstLine="0"/>
        <w:jc w:val="both"/>
        <w:rPr>
          <w:sz w:val="21"/>
        </w:rPr>
      </w:pPr>
      <w:r>
        <w:rPr>
          <w:i/>
          <w:sz w:val="21"/>
        </w:rPr>
        <w:t>Three. </w:t>
      </w:r>
      <w:r>
        <w:rPr>
          <w:sz w:val="21"/>
        </w:rPr>
        <w:t>According to Chief Executive Order No. 215/2001, the fixed amount of the annual premium payable by the Concessionaire is MOP 30,000,000 (thirty million patacas) per year.</w:t>
      </w:r>
    </w:p>
    <w:p>
      <w:pPr>
        <w:pStyle w:val="BodyText"/>
        <w:spacing w:before="152"/>
        <w:rPr>
          <w:sz w:val="21"/>
        </w:rPr>
      </w:pPr>
    </w:p>
    <w:p>
      <w:pPr>
        <w:spacing w:line="213" w:lineRule="auto" w:before="1"/>
        <w:ind w:left="144" w:right="118" w:firstLine="0"/>
        <w:jc w:val="both"/>
        <w:rPr>
          <w:sz w:val="21"/>
        </w:rPr>
      </w:pPr>
      <w:r>
        <w:rPr>
          <w:i/>
          <w:sz w:val="21"/>
        </w:rPr>
        <w:t>Four</w:t>
      </w:r>
      <w:r>
        <w:rPr>
          <w:sz w:val="21"/>
        </w:rPr>
        <w:t>. The</w:t>
      </w:r>
      <w:r>
        <w:rPr>
          <w:spacing w:val="36"/>
          <w:sz w:val="21"/>
        </w:rPr>
        <w:t> </w:t>
      </w:r>
      <w:r>
        <w:rPr>
          <w:sz w:val="21"/>
        </w:rPr>
        <w:t>amount</w:t>
      </w:r>
      <w:r>
        <w:rPr>
          <w:spacing w:val="36"/>
          <w:sz w:val="21"/>
        </w:rPr>
        <w:t> </w:t>
      </w:r>
      <w:r>
        <w:rPr>
          <w:sz w:val="21"/>
        </w:rPr>
        <w:t>of</w:t>
      </w:r>
      <w:r>
        <w:rPr>
          <w:spacing w:val="36"/>
          <w:sz w:val="21"/>
        </w:rPr>
        <w:t> </w:t>
      </w:r>
      <w:r>
        <w:rPr>
          <w:sz w:val="21"/>
        </w:rPr>
        <w:t>the</w:t>
      </w:r>
      <w:r>
        <w:rPr>
          <w:spacing w:val="36"/>
          <w:sz w:val="21"/>
        </w:rPr>
        <w:t> </w:t>
      </w:r>
      <w:r>
        <w:rPr>
          <w:sz w:val="21"/>
        </w:rPr>
        <w:t>variable</w:t>
      </w:r>
      <w:r>
        <w:rPr>
          <w:spacing w:val="36"/>
          <w:sz w:val="21"/>
        </w:rPr>
        <w:t> </w:t>
      </w:r>
      <w:r>
        <w:rPr>
          <w:sz w:val="21"/>
        </w:rPr>
        <w:t>part</w:t>
      </w:r>
      <w:r>
        <w:rPr>
          <w:spacing w:val="36"/>
          <w:sz w:val="21"/>
        </w:rPr>
        <w:t> </w:t>
      </w:r>
      <w:r>
        <w:rPr>
          <w:sz w:val="21"/>
        </w:rPr>
        <w:t>of</w:t>
      </w:r>
      <w:r>
        <w:rPr>
          <w:spacing w:val="36"/>
          <w:sz w:val="21"/>
        </w:rPr>
        <w:t> </w:t>
      </w:r>
      <w:r>
        <w:rPr>
          <w:sz w:val="21"/>
        </w:rPr>
        <w:t>the</w:t>
      </w:r>
      <w:r>
        <w:rPr>
          <w:spacing w:val="36"/>
          <w:sz w:val="21"/>
        </w:rPr>
        <w:t> </w:t>
      </w:r>
      <w:r>
        <w:rPr>
          <w:sz w:val="21"/>
        </w:rPr>
        <w:t>annual</w:t>
      </w:r>
      <w:r>
        <w:rPr>
          <w:spacing w:val="36"/>
          <w:sz w:val="21"/>
        </w:rPr>
        <w:t> </w:t>
      </w:r>
      <w:r>
        <w:rPr>
          <w:sz w:val="21"/>
        </w:rPr>
        <w:t>premium</w:t>
      </w:r>
      <w:r>
        <w:rPr>
          <w:spacing w:val="36"/>
          <w:sz w:val="21"/>
        </w:rPr>
        <w:t> </w:t>
      </w:r>
      <w:r>
        <w:rPr>
          <w:sz w:val="21"/>
        </w:rPr>
        <w:t>payable</w:t>
      </w:r>
      <w:r>
        <w:rPr>
          <w:spacing w:val="36"/>
          <w:sz w:val="21"/>
        </w:rPr>
        <w:t> </w:t>
      </w:r>
      <w:r>
        <w:rPr>
          <w:sz w:val="21"/>
        </w:rPr>
        <w:t>by</w:t>
      </w:r>
      <w:r>
        <w:rPr>
          <w:spacing w:val="36"/>
          <w:sz w:val="21"/>
        </w:rPr>
        <w:t> </w:t>
      </w:r>
      <w:r>
        <w:rPr>
          <w:sz w:val="21"/>
        </w:rPr>
        <w:t>the</w:t>
      </w:r>
      <w:r>
        <w:rPr>
          <w:spacing w:val="36"/>
          <w:sz w:val="21"/>
        </w:rPr>
        <w:t> </w:t>
      </w:r>
      <w:r>
        <w:rPr>
          <w:sz w:val="21"/>
        </w:rPr>
        <w:t>Concessionaire</w:t>
      </w:r>
      <w:r>
        <w:rPr>
          <w:spacing w:val="36"/>
          <w:sz w:val="21"/>
        </w:rPr>
        <w:t> </w:t>
      </w:r>
      <w:r>
        <w:rPr>
          <w:sz w:val="21"/>
        </w:rPr>
        <w:t>shall</w:t>
      </w:r>
      <w:r>
        <w:rPr>
          <w:spacing w:val="36"/>
          <w:sz w:val="21"/>
        </w:rPr>
        <w:t> </w:t>
      </w:r>
      <w:r>
        <w:rPr>
          <w:sz w:val="21"/>
        </w:rPr>
        <w:t>be</w:t>
      </w:r>
      <w:r>
        <w:rPr>
          <w:spacing w:val="36"/>
          <w:sz w:val="21"/>
        </w:rPr>
        <w:t> </w:t>
      </w:r>
      <w:r>
        <w:rPr>
          <w:sz w:val="21"/>
        </w:rPr>
        <w:t>calculated</w:t>
      </w:r>
      <w:r>
        <w:rPr>
          <w:spacing w:val="36"/>
          <w:sz w:val="21"/>
        </w:rPr>
        <w:t> </w:t>
      </w:r>
      <w:r>
        <w:rPr>
          <w:sz w:val="21"/>
        </w:rPr>
        <w:t>according</w:t>
      </w:r>
      <w:r>
        <w:rPr>
          <w:spacing w:val="36"/>
          <w:sz w:val="21"/>
        </w:rPr>
        <w:t> </w:t>
      </w:r>
      <w:r>
        <w:rPr>
          <w:sz w:val="21"/>
        </w:rPr>
        <w:t>to</w:t>
      </w:r>
      <w:r>
        <w:rPr>
          <w:spacing w:val="36"/>
          <w:sz w:val="21"/>
        </w:rPr>
        <w:t> </w:t>
      </w:r>
      <w:r>
        <w:rPr>
          <w:sz w:val="21"/>
        </w:rPr>
        <w:t>the number of gaming tables and gaming machines operated by the Concessionaire.</w:t>
      </w:r>
    </w:p>
    <w:p>
      <w:pPr>
        <w:pStyle w:val="BodyText"/>
        <w:spacing w:before="144"/>
        <w:rPr>
          <w:sz w:val="21"/>
        </w:rPr>
      </w:pPr>
    </w:p>
    <w:p>
      <w:pPr>
        <w:spacing w:before="0"/>
        <w:ind w:left="144" w:right="0" w:firstLine="0"/>
        <w:jc w:val="both"/>
        <w:rPr>
          <w:sz w:val="21"/>
        </w:rPr>
      </w:pPr>
      <w:r>
        <w:rPr>
          <w:i/>
          <w:sz w:val="21"/>
        </w:rPr>
        <w:t>Five.</w:t>
      </w:r>
      <w:r>
        <w:rPr>
          <w:i/>
          <w:spacing w:val="8"/>
          <w:sz w:val="21"/>
        </w:rPr>
        <w:t> </w:t>
      </w:r>
      <w:r>
        <w:rPr>
          <w:sz w:val="21"/>
        </w:rPr>
        <w:t>For</w:t>
      </w:r>
      <w:r>
        <w:rPr>
          <w:spacing w:val="9"/>
          <w:sz w:val="21"/>
        </w:rPr>
        <w:t> </w:t>
      </w:r>
      <w:r>
        <w:rPr>
          <w:sz w:val="21"/>
        </w:rPr>
        <w:t>the</w:t>
      </w:r>
      <w:r>
        <w:rPr>
          <w:spacing w:val="9"/>
          <w:sz w:val="21"/>
        </w:rPr>
        <w:t> </w:t>
      </w:r>
      <w:r>
        <w:rPr>
          <w:sz w:val="21"/>
        </w:rPr>
        <w:t>scopes</w:t>
      </w:r>
      <w:r>
        <w:rPr>
          <w:spacing w:val="9"/>
          <w:sz w:val="21"/>
        </w:rPr>
        <w:t> </w:t>
      </w:r>
      <w:r>
        <w:rPr>
          <w:sz w:val="21"/>
        </w:rPr>
        <w:t>of</w:t>
      </w:r>
      <w:r>
        <w:rPr>
          <w:spacing w:val="9"/>
          <w:sz w:val="21"/>
        </w:rPr>
        <w:t> </w:t>
      </w:r>
      <w:r>
        <w:rPr>
          <w:sz w:val="21"/>
        </w:rPr>
        <w:t>the</w:t>
      </w:r>
      <w:r>
        <w:rPr>
          <w:spacing w:val="9"/>
          <w:sz w:val="21"/>
        </w:rPr>
        <w:t> </w:t>
      </w:r>
      <w:r>
        <w:rPr>
          <w:sz w:val="21"/>
        </w:rPr>
        <w:t>provisions</w:t>
      </w:r>
      <w:r>
        <w:rPr>
          <w:spacing w:val="9"/>
          <w:sz w:val="21"/>
        </w:rPr>
        <w:t> </w:t>
      </w:r>
      <w:r>
        <w:rPr>
          <w:sz w:val="21"/>
        </w:rPr>
        <w:t>of</w:t>
      </w:r>
      <w:r>
        <w:rPr>
          <w:spacing w:val="9"/>
          <w:sz w:val="21"/>
        </w:rPr>
        <w:t> </w:t>
      </w:r>
      <w:r>
        <w:rPr>
          <w:sz w:val="21"/>
        </w:rPr>
        <w:t>the</w:t>
      </w:r>
      <w:r>
        <w:rPr>
          <w:spacing w:val="9"/>
          <w:sz w:val="21"/>
        </w:rPr>
        <w:t> </w:t>
      </w:r>
      <w:r>
        <w:rPr>
          <w:sz w:val="21"/>
        </w:rPr>
        <w:t>previous</w:t>
      </w:r>
      <w:r>
        <w:rPr>
          <w:spacing w:val="9"/>
          <w:sz w:val="21"/>
        </w:rPr>
        <w:t> </w:t>
      </w:r>
      <w:r>
        <w:rPr>
          <w:spacing w:val="-2"/>
          <w:sz w:val="21"/>
        </w:rPr>
        <w:t>paragraph:</w:t>
      </w:r>
    </w:p>
    <w:p>
      <w:pPr>
        <w:pStyle w:val="BodyText"/>
        <w:spacing w:before="146"/>
        <w:rPr>
          <w:sz w:val="21"/>
        </w:rPr>
      </w:pPr>
    </w:p>
    <w:p>
      <w:pPr>
        <w:pStyle w:val="ListParagraph"/>
        <w:numPr>
          <w:ilvl w:val="0"/>
          <w:numId w:val="37"/>
        </w:numPr>
        <w:tabs>
          <w:tab w:pos="902" w:val="left" w:leader="none"/>
          <w:tab w:pos="910" w:val="left" w:leader="none"/>
        </w:tabs>
        <w:spacing w:line="213" w:lineRule="auto" w:before="0" w:after="0"/>
        <w:ind w:left="910" w:right="118" w:hanging="256"/>
        <w:jc w:val="left"/>
        <w:rPr>
          <w:sz w:val="21"/>
        </w:rPr>
      </w:pPr>
      <w:r>
        <w:rPr>
          <w:sz w:val="21"/>
        </w:rPr>
        <w:t>The</w:t>
      </w:r>
      <w:r>
        <w:rPr>
          <w:spacing w:val="33"/>
          <w:sz w:val="21"/>
        </w:rPr>
        <w:t> </w:t>
      </w:r>
      <w:r>
        <w:rPr>
          <w:sz w:val="21"/>
        </w:rPr>
        <w:t>Concessionaire</w:t>
      </w:r>
      <w:r>
        <w:rPr>
          <w:spacing w:val="33"/>
          <w:sz w:val="21"/>
        </w:rPr>
        <w:t> </w:t>
      </w:r>
      <w:r>
        <w:rPr>
          <w:sz w:val="21"/>
        </w:rPr>
        <w:t>shall</w:t>
      </w:r>
      <w:r>
        <w:rPr>
          <w:spacing w:val="33"/>
          <w:sz w:val="21"/>
        </w:rPr>
        <w:t> </w:t>
      </w:r>
      <w:r>
        <w:rPr>
          <w:sz w:val="21"/>
        </w:rPr>
        <w:t>pay</w:t>
      </w:r>
      <w:r>
        <w:rPr>
          <w:spacing w:val="33"/>
          <w:sz w:val="21"/>
        </w:rPr>
        <w:t> </w:t>
      </w:r>
      <w:r>
        <w:rPr>
          <w:sz w:val="21"/>
        </w:rPr>
        <w:t>MOP</w:t>
      </w:r>
      <w:r>
        <w:rPr>
          <w:spacing w:val="24"/>
          <w:sz w:val="21"/>
        </w:rPr>
        <w:t> </w:t>
      </w:r>
      <w:r>
        <w:rPr>
          <w:sz w:val="21"/>
        </w:rPr>
        <w:t>300,000</w:t>
      </w:r>
      <w:r>
        <w:rPr>
          <w:spacing w:val="33"/>
          <w:sz w:val="21"/>
        </w:rPr>
        <w:t> </w:t>
      </w:r>
      <w:r>
        <w:rPr>
          <w:sz w:val="21"/>
        </w:rPr>
        <w:t>(three</w:t>
      </w:r>
      <w:r>
        <w:rPr>
          <w:spacing w:val="33"/>
          <w:sz w:val="21"/>
        </w:rPr>
        <w:t> </w:t>
      </w:r>
      <w:r>
        <w:rPr>
          <w:sz w:val="21"/>
        </w:rPr>
        <w:t>hundred</w:t>
      </w:r>
      <w:r>
        <w:rPr>
          <w:spacing w:val="33"/>
          <w:sz w:val="21"/>
        </w:rPr>
        <w:t> </w:t>
      </w:r>
      <w:r>
        <w:rPr>
          <w:sz w:val="21"/>
        </w:rPr>
        <w:t>thousand</w:t>
      </w:r>
      <w:r>
        <w:rPr>
          <w:spacing w:val="33"/>
          <w:sz w:val="21"/>
        </w:rPr>
        <w:t> </w:t>
      </w:r>
      <w:r>
        <w:rPr>
          <w:sz w:val="21"/>
        </w:rPr>
        <w:t>patacas)</w:t>
      </w:r>
      <w:r>
        <w:rPr>
          <w:spacing w:val="33"/>
          <w:sz w:val="21"/>
        </w:rPr>
        <w:t> </w:t>
      </w:r>
      <w:r>
        <w:rPr>
          <w:sz w:val="21"/>
        </w:rPr>
        <w:t>per</w:t>
      </w:r>
      <w:r>
        <w:rPr>
          <w:spacing w:val="33"/>
          <w:sz w:val="21"/>
        </w:rPr>
        <w:t> </w:t>
      </w:r>
      <w:r>
        <w:rPr>
          <w:sz w:val="21"/>
        </w:rPr>
        <w:t>year</w:t>
      </w:r>
      <w:r>
        <w:rPr>
          <w:spacing w:val="33"/>
          <w:sz w:val="21"/>
        </w:rPr>
        <w:t> </w:t>
      </w:r>
      <w:r>
        <w:rPr>
          <w:sz w:val="21"/>
        </w:rPr>
        <w:t>for</w:t>
      </w:r>
      <w:r>
        <w:rPr>
          <w:spacing w:val="33"/>
          <w:sz w:val="21"/>
        </w:rPr>
        <w:t> </w:t>
      </w:r>
      <w:r>
        <w:rPr>
          <w:sz w:val="21"/>
        </w:rPr>
        <w:t>each</w:t>
      </w:r>
      <w:r>
        <w:rPr>
          <w:spacing w:val="33"/>
          <w:sz w:val="21"/>
        </w:rPr>
        <w:t> </w:t>
      </w:r>
      <w:r>
        <w:rPr>
          <w:sz w:val="21"/>
        </w:rPr>
        <w:t>table</w:t>
      </w:r>
      <w:r>
        <w:rPr>
          <w:spacing w:val="33"/>
          <w:sz w:val="21"/>
        </w:rPr>
        <w:t> </w:t>
      </w:r>
      <w:r>
        <w:rPr>
          <w:sz w:val="21"/>
        </w:rPr>
        <w:t>reserved</w:t>
      </w:r>
      <w:r>
        <w:rPr>
          <w:spacing w:val="33"/>
          <w:sz w:val="21"/>
        </w:rPr>
        <w:t> </w:t>
      </w:r>
      <w:r>
        <w:rPr>
          <w:sz w:val="21"/>
        </w:rPr>
        <w:t>for</w:t>
      </w:r>
      <w:r>
        <w:rPr>
          <w:spacing w:val="33"/>
          <w:sz w:val="21"/>
        </w:rPr>
        <w:t> </w:t>
      </w:r>
      <w:r>
        <w:rPr>
          <w:sz w:val="21"/>
        </w:rPr>
        <w:t>certain games and gamblers, namely those operated in a special room or area;</w:t>
      </w:r>
    </w:p>
    <w:p>
      <w:pPr>
        <w:pStyle w:val="BodyText"/>
        <w:spacing w:before="152"/>
        <w:rPr>
          <w:sz w:val="21"/>
        </w:rPr>
      </w:pPr>
    </w:p>
    <w:p>
      <w:pPr>
        <w:pStyle w:val="ListParagraph"/>
        <w:numPr>
          <w:ilvl w:val="0"/>
          <w:numId w:val="37"/>
        </w:numPr>
        <w:tabs>
          <w:tab w:pos="901" w:val="left" w:leader="none"/>
          <w:tab w:pos="910" w:val="left" w:leader="none"/>
        </w:tabs>
        <w:spacing w:line="213" w:lineRule="auto" w:before="0" w:after="0"/>
        <w:ind w:left="910" w:right="118" w:hanging="256"/>
        <w:jc w:val="left"/>
        <w:rPr>
          <w:sz w:val="21"/>
        </w:rPr>
      </w:pPr>
      <w:r>
        <w:rPr>
          <w:sz w:val="21"/>
        </w:rPr>
        <w:t>The</w:t>
      </w:r>
      <w:r>
        <w:rPr>
          <w:spacing w:val="32"/>
          <w:sz w:val="21"/>
        </w:rPr>
        <w:t> </w:t>
      </w:r>
      <w:r>
        <w:rPr>
          <w:sz w:val="21"/>
        </w:rPr>
        <w:t>Concessionaire</w:t>
      </w:r>
      <w:r>
        <w:rPr>
          <w:spacing w:val="32"/>
          <w:sz w:val="21"/>
        </w:rPr>
        <w:t> </w:t>
      </w:r>
      <w:r>
        <w:rPr>
          <w:sz w:val="21"/>
        </w:rPr>
        <w:t>shall</w:t>
      </w:r>
      <w:r>
        <w:rPr>
          <w:spacing w:val="32"/>
          <w:sz w:val="21"/>
        </w:rPr>
        <w:t> </w:t>
      </w:r>
      <w:r>
        <w:rPr>
          <w:sz w:val="21"/>
        </w:rPr>
        <w:t>pay</w:t>
      </w:r>
      <w:r>
        <w:rPr>
          <w:spacing w:val="32"/>
          <w:sz w:val="21"/>
        </w:rPr>
        <w:t> </w:t>
      </w:r>
      <w:r>
        <w:rPr>
          <w:sz w:val="21"/>
        </w:rPr>
        <w:t>MOP</w:t>
      </w:r>
      <w:r>
        <w:rPr>
          <w:spacing w:val="22"/>
          <w:sz w:val="21"/>
        </w:rPr>
        <w:t> </w:t>
      </w:r>
      <w:r>
        <w:rPr>
          <w:sz w:val="21"/>
        </w:rPr>
        <w:t>150,000</w:t>
      </w:r>
      <w:r>
        <w:rPr>
          <w:spacing w:val="32"/>
          <w:sz w:val="21"/>
        </w:rPr>
        <w:t> </w:t>
      </w:r>
      <w:r>
        <w:rPr>
          <w:sz w:val="21"/>
        </w:rPr>
        <w:t>(one</w:t>
      </w:r>
      <w:r>
        <w:rPr>
          <w:spacing w:val="32"/>
          <w:sz w:val="21"/>
        </w:rPr>
        <w:t> </w:t>
      </w:r>
      <w:r>
        <w:rPr>
          <w:sz w:val="21"/>
        </w:rPr>
        <w:t>hundred</w:t>
      </w:r>
      <w:r>
        <w:rPr>
          <w:spacing w:val="32"/>
          <w:sz w:val="21"/>
        </w:rPr>
        <w:t> </w:t>
      </w:r>
      <w:r>
        <w:rPr>
          <w:sz w:val="21"/>
        </w:rPr>
        <w:t>fifty</w:t>
      </w:r>
      <w:r>
        <w:rPr>
          <w:spacing w:val="32"/>
          <w:sz w:val="21"/>
        </w:rPr>
        <w:t> </w:t>
      </w:r>
      <w:r>
        <w:rPr>
          <w:sz w:val="21"/>
        </w:rPr>
        <w:t>thousand</w:t>
      </w:r>
      <w:r>
        <w:rPr>
          <w:spacing w:val="32"/>
          <w:sz w:val="21"/>
        </w:rPr>
        <w:t> </w:t>
      </w:r>
      <w:r>
        <w:rPr>
          <w:sz w:val="21"/>
        </w:rPr>
        <w:t>patacas)</w:t>
      </w:r>
      <w:r>
        <w:rPr>
          <w:spacing w:val="32"/>
          <w:sz w:val="21"/>
        </w:rPr>
        <w:t> </w:t>
      </w:r>
      <w:r>
        <w:rPr>
          <w:sz w:val="21"/>
        </w:rPr>
        <w:t>per</w:t>
      </w:r>
      <w:r>
        <w:rPr>
          <w:spacing w:val="32"/>
          <w:sz w:val="21"/>
        </w:rPr>
        <w:t> </w:t>
      </w:r>
      <w:r>
        <w:rPr>
          <w:sz w:val="21"/>
        </w:rPr>
        <w:t>year</w:t>
      </w:r>
      <w:r>
        <w:rPr>
          <w:spacing w:val="32"/>
          <w:sz w:val="21"/>
        </w:rPr>
        <w:t> </w:t>
      </w:r>
      <w:r>
        <w:rPr>
          <w:sz w:val="21"/>
        </w:rPr>
        <w:t>for</w:t>
      </w:r>
      <w:r>
        <w:rPr>
          <w:spacing w:val="32"/>
          <w:sz w:val="21"/>
        </w:rPr>
        <w:t> </w:t>
      </w:r>
      <w:r>
        <w:rPr>
          <w:sz w:val="21"/>
        </w:rPr>
        <w:t>each</w:t>
      </w:r>
      <w:r>
        <w:rPr>
          <w:spacing w:val="32"/>
          <w:sz w:val="21"/>
        </w:rPr>
        <w:t> </w:t>
      </w:r>
      <w:r>
        <w:rPr>
          <w:sz w:val="21"/>
        </w:rPr>
        <w:t>table</w:t>
      </w:r>
      <w:r>
        <w:rPr>
          <w:spacing w:val="32"/>
          <w:sz w:val="21"/>
        </w:rPr>
        <w:t> </w:t>
      </w:r>
      <w:r>
        <w:rPr>
          <w:sz w:val="21"/>
        </w:rPr>
        <w:t>not</w:t>
      </w:r>
      <w:r>
        <w:rPr>
          <w:spacing w:val="32"/>
          <w:sz w:val="21"/>
        </w:rPr>
        <w:t> </w:t>
      </w:r>
      <w:r>
        <w:rPr>
          <w:sz w:val="21"/>
        </w:rPr>
        <w:t>reserved</w:t>
      </w:r>
      <w:r>
        <w:rPr>
          <w:spacing w:val="32"/>
          <w:sz w:val="21"/>
        </w:rPr>
        <w:t> </w:t>
      </w:r>
      <w:r>
        <w:rPr>
          <w:sz w:val="21"/>
        </w:rPr>
        <w:t>for certain games and gamblers;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9"/>
        <w:rPr>
          <w:sz w:val="20"/>
        </w:rPr>
      </w:pPr>
      <w:r>
        <w:rPr/>
        <mc:AlternateContent>
          <mc:Choice Requires="wps">
            <w:drawing>
              <wp:anchor distT="0" distB="0" distL="0" distR="0" allowOverlap="1" layoutInCell="1" locked="0" behindDoc="1" simplePos="0" relativeHeight="487778816">
                <wp:simplePos x="0" y="0"/>
                <wp:positionH relativeFrom="page">
                  <wp:posOffset>231457</wp:posOffset>
                </wp:positionH>
                <wp:positionV relativeFrom="paragraph">
                  <wp:posOffset>205181</wp:posOffset>
                </wp:positionV>
                <wp:extent cx="7312659" cy="17145"/>
                <wp:effectExtent l="0" t="0" r="0" b="0"/>
                <wp:wrapTopAndBottom/>
                <wp:docPr id="908" name="Group 908"/>
                <wp:cNvGraphicFramePr>
                  <a:graphicFrameLocks/>
                </wp:cNvGraphicFramePr>
                <a:graphic>
                  <a:graphicData uri="http://schemas.microsoft.com/office/word/2010/wordprocessingGroup">
                    <wpg:wgp>
                      <wpg:cNvPr id="908" name="Group 908"/>
                      <wpg:cNvGrpSpPr/>
                      <wpg:grpSpPr>
                        <a:xfrm>
                          <a:off x="0" y="0"/>
                          <a:ext cx="7312659" cy="17145"/>
                          <a:chExt cx="7312659" cy="17145"/>
                        </a:xfrm>
                      </wpg:grpSpPr>
                      <wps:wsp>
                        <wps:cNvPr id="909" name="Graphic 90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10" name="Graphic 910"/>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11" name="Graphic 9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156015pt;width:575.8pt;height:1.35pt;mso-position-horizontal-relative:page;mso-position-vertical-relative:paragraph;z-index:-15537664;mso-wrap-distance-left:0;mso-wrap-distance-right:0" id="docshapegroup906" coordorigin="364,323" coordsize="11516,27">
                <v:rect style="position:absolute;left:364;top:323;width:11516;height:14" id="docshape907" filled="true" fillcolor="#999999" stroked="false">
                  <v:fill type="solid"/>
                </v:rect>
                <v:shape style="position:absolute;left:364;top:323;width:11516;height:27" id="docshape908" coordorigin="364,323" coordsize="11516,27" path="m11880,323l11866,337,364,337,364,350,11866,350,11880,350,11880,337,11880,323xe" filled="true" fillcolor="#ededed" stroked="false">
                  <v:path arrowok="t"/>
                  <v:fill type="solid"/>
                </v:shape>
                <v:shape style="position:absolute;left:364;top:323;width:14;height:27" id="docshape909" coordorigin="364,323" coordsize="14,27" path="m364,350l364,323,378,323,378,337,364,350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pStyle w:val="BodyText"/>
        <w:spacing w:before="5"/>
        <w:rPr>
          <w:sz w:val="21"/>
        </w:rPr>
      </w:pPr>
    </w:p>
    <w:p>
      <w:pPr>
        <w:pStyle w:val="ListParagraph"/>
        <w:numPr>
          <w:ilvl w:val="0"/>
          <w:numId w:val="37"/>
        </w:numPr>
        <w:tabs>
          <w:tab w:pos="910" w:val="left" w:leader="none"/>
          <w:tab w:pos="921" w:val="left" w:leader="none"/>
        </w:tabs>
        <w:spacing w:line="213" w:lineRule="auto" w:before="0" w:after="0"/>
        <w:ind w:left="910" w:right="118" w:hanging="256"/>
        <w:jc w:val="left"/>
        <w:rPr>
          <w:sz w:val="21"/>
        </w:rPr>
      </w:pPr>
      <w:r>
        <w:rPr>
          <w:sz w:val="21"/>
        </w:rPr>
        <w:tab/>
        <w:t>The</w:t>
      </w:r>
      <w:r>
        <w:rPr>
          <w:spacing w:val="40"/>
          <w:sz w:val="21"/>
        </w:rPr>
        <w:t> </w:t>
      </w:r>
      <w:r>
        <w:rPr>
          <w:sz w:val="21"/>
        </w:rPr>
        <w:t>Concessionaire</w:t>
      </w:r>
      <w:r>
        <w:rPr>
          <w:spacing w:val="40"/>
          <w:sz w:val="21"/>
        </w:rPr>
        <w:t> </w:t>
      </w:r>
      <w:r>
        <w:rPr>
          <w:sz w:val="21"/>
        </w:rPr>
        <w:t>shall</w:t>
      </w:r>
      <w:r>
        <w:rPr>
          <w:spacing w:val="40"/>
          <w:sz w:val="21"/>
        </w:rPr>
        <w:t> </w:t>
      </w:r>
      <w:r>
        <w:rPr>
          <w:sz w:val="21"/>
        </w:rPr>
        <w:t>pay</w:t>
      </w:r>
      <w:r>
        <w:rPr>
          <w:spacing w:val="40"/>
          <w:sz w:val="21"/>
        </w:rPr>
        <w:t> </w:t>
      </w:r>
      <w:r>
        <w:rPr>
          <w:sz w:val="21"/>
        </w:rPr>
        <w:t>MOP</w:t>
      </w:r>
      <w:r>
        <w:rPr>
          <w:spacing w:val="40"/>
          <w:sz w:val="21"/>
        </w:rPr>
        <w:t> </w:t>
      </w:r>
      <w:r>
        <w:rPr>
          <w:sz w:val="21"/>
        </w:rPr>
        <w:t>1,000</w:t>
      </w:r>
      <w:r>
        <w:rPr>
          <w:spacing w:val="40"/>
          <w:sz w:val="21"/>
        </w:rPr>
        <w:t> </w:t>
      </w:r>
      <w:r>
        <w:rPr>
          <w:sz w:val="21"/>
        </w:rPr>
        <w:t>(one</w:t>
      </w:r>
      <w:r>
        <w:rPr>
          <w:spacing w:val="40"/>
          <w:sz w:val="21"/>
        </w:rPr>
        <w:t> </w:t>
      </w:r>
      <w:r>
        <w:rPr>
          <w:sz w:val="21"/>
        </w:rPr>
        <w:t>thousand</w:t>
      </w:r>
      <w:r>
        <w:rPr>
          <w:spacing w:val="40"/>
          <w:sz w:val="21"/>
        </w:rPr>
        <w:t> </w:t>
      </w:r>
      <w:r>
        <w:rPr>
          <w:sz w:val="21"/>
        </w:rPr>
        <w:t>patacas)</w:t>
      </w:r>
      <w:r>
        <w:rPr>
          <w:spacing w:val="40"/>
          <w:sz w:val="21"/>
        </w:rPr>
        <w:t> </w:t>
      </w:r>
      <w:r>
        <w:rPr>
          <w:sz w:val="21"/>
        </w:rPr>
        <w:t>per</w:t>
      </w:r>
      <w:r>
        <w:rPr>
          <w:spacing w:val="40"/>
          <w:sz w:val="21"/>
        </w:rPr>
        <w:t> </w:t>
      </w:r>
      <w:r>
        <w:rPr>
          <w:sz w:val="21"/>
        </w:rPr>
        <w:t>year</w:t>
      </w:r>
      <w:r>
        <w:rPr>
          <w:spacing w:val="40"/>
          <w:sz w:val="21"/>
        </w:rPr>
        <w:t> </w:t>
      </w:r>
      <w:r>
        <w:rPr>
          <w:sz w:val="21"/>
        </w:rPr>
        <w:t>for</w:t>
      </w:r>
      <w:r>
        <w:rPr>
          <w:spacing w:val="40"/>
          <w:sz w:val="21"/>
        </w:rPr>
        <w:t> </w:t>
      </w:r>
      <w:r>
        <w:rPr>
          <w:sz w:val="21"/>
        </w:rPr>
        <w:t>each</w:t>
      </w:r>
      <w:r>
        <w:rPr>
          <w:spacing w:val="40"/>
          <w:sz w:val="21"/>
        </w:rPr>
        <w:t> </w:t>
      </w:r>
      <w:r>
        <w:rPr>
          <w:sz w:val="21"/>
        </w:rPr>
        <w:t>electrical</w:t>
      </w:r>
      <w:r>
        <w:rPr>
          <w:spacing w:val="40"/>
          <w:sz w:val="21"/>
        </w:rPr>
        <w:t> </w:t>
      </w:r>
      <w:r>
        <w:rPr>
          <w:sz w:val="21"/>
        </w:rPr>
        <w:t>or</w:t>
      </w:r>
      <w:r>
        <w:rPr>
          <w:spacing w:val="40"/>
          <w:sz w:val="21"/>
        </w:rPr>
        <w:t> </w:t>
      </w:r>
      <w:r>
        <w:rPr>
          <w:sz w:val="21"/>
        </w:rPr>
        <w:t>mechanical</w:t>
      </w:r>
      <w:r>
        <w:rPr>
          <w:spacing w:val="40"/>
          <w:sz w:val="21"/>
        </w:rPr>
        <w:t> </w:t>
      </w:r>
      <w:r>
        <w:rPr>
          <w:sz w:val="21"/>
        </w:rPr>
        <w:t>gambling</w:t>
      </w:r>
      <w:r>
        <w:rPr>
          <w:spacing w:val="40"/>
          <w:sz w:val="21"/>
        </w:rPr>
        <w:t> </w:t>
      </w:r>
      <w:r>
        <w:rPr>
          <w:sz w:val="21"/>
        </w:rPr>
        <w:t>machine, including slot machines.</w:t>
      </w:r>
    </w:p>
    <w:p>
      <w:pPr>
        <w:pStyle w:val="BodyText"/>
        <w:spacing w:before="152"/>
        <w:rPr>
          <w:sz w:val="21"/>
        </w:rPr>
      </w:pPr>
    </w:p>
    <w:p>
      <w:pPr>
        <w:spacing w:line="213" w:lineRule="auto" w:before="0"/>
        <w:ind w:left="144" w:right="119" w:firstLine="0"/>
        <w:jc w:val="both"/>
        <w:rPr>
          <w:sz w:val="21"/>
        </w:rPr>
      </w:pPr>
      <w:r>
        <w:rPr>
          <w:i/>
          <w:sz w:val="21"/>
        </w:rPr>
        <w:t>Six</w:t>
      </w:r>
      <w:r>
        <w:rPr>
          <w:sz w:val="21"/>
        </w:rPr>
        <w:t>.</w:t>
      </w:r>
      <w:r>
        <w:rPr>
          <w:spacing w:val="40"/>
          <w:sz w:val="21"/>
        </w:rPr>
        <w:t> </w:t>
      </w:r>
      <w:r>
        <w:rPr>
          <w:sz w:val="21"/>
        </w:rPr>
        <w:t>Regardless</w:t>
      </w:r>
      <w:r>
        <w:rPr>
          <w:spacing w:val="40"/>
          <w:sz w:val="21"/>
        </w:rPr>
        <w:t> </w:t>
      </w:r>
      <w:r>
        <w:rPr>
          <w:sz w:val="21"/>
        </w:rPr>
        <w:t>of</w:t>
      </w:r>
      <w:r>
        <w:rPr>
          <w:spacing w:val="40"/>
          <w:sz w:val="21"/>
        </w:rPr>
        <w:t> </w:t>
      </w:r>
      <w:r>
        <w:rPr>
          <w:sz w:val="21"/>
        </w:rPr>
        <w:t>the</w:t>
      </w:r>
      <w:r>
        <w:rPr>
          <w:spacing w:val="40"/>
          <w:sz w:val="21"/>
        </w:rPr>
        <w:t> </w:t>
      </w:r>
      <w:r>
        <w:rPr>
          <w:sz w:val="21"/>
        </w:rPr>
        <w:t>number</w:t>
      </w:r>
      <w:r>
        <w:rPr>
          <w:spacing w:val="40"/>
          <w:sz w:val="21"/>
        </w:rPr>
        <w:t> </w:t>
      </w:r>
      <w:r>
        <w:rPr>
          <w:sz w:val="21"/>
        </w:rPr>
        <w:t>of</w:t>
      </w:r>
      <w:r>
        <w:rPr>
          <w:spacing w:val="40"/>
          <w:sz w:val="21"/>
        </w:rPr>
        <w:t> </w:t>
      </w:r>
      <w:r>
        <w:rPr>
          <w:sz w:val="21"/>
        </w:rPr>
        <w:t>gaming</w:t>
      </w:r>
      <w:r>
        <w:rPr>
          <w:spacing w:val="40"/>
          <w:sz w:val="21"/>
        </w:rPr>
        <w:t> </w:t>
      </w:r>
      <w:r>
        <w:rPr>
          <w:sz w:val="21"/>
        </w:rPr>
        <w:t>tables</w:t>
      </w:r>
      <w:r>
        <w:rPr>
          <w:spacing w:val="40"/>
          <w:sz w:val="21"/>
        </w:rPr>
        <w:t> </w:t>
      </w:r>
      <w:r>
        <w:rPr>
          <w:sz w:val="21"/>
        </w:rPr>
        <w:t>that</w:t>
      </w:r>
      <w:r>
        <w:rPr>
          <w:spacing w:val="40"/>
          <w:sz w:val="21"/>
        </w:rPr>
        <w:t> </w:t>
      </w:r>
      <w:r>
        <w:rPr>
          <w:sz w:val="21"/>
        </w:rPr>
        <w:t>the</w:t>
      </w:r>
      <w:r>
        <w:rPr>
          <w:spacing w:val="40"/>
          <w:sz w:val="21"/>
        </w:rPr>
        <w:t> </w:t>
      </w:r>
      <w:r>
        <w:rPr>
          <w:sz w:val="21"/>
        </w:rPr>
        <w:t>Concessionaire</w:t>
      </w:r>
      <w:r>
        <w:rPr>
          <w:spacing w:val="40"/>
          <w:sz w:val="21"/>
        </w:rPr>
        <w:t> </w:t>
      </w:r>
      <w:r>
        <w:rPr>
          <w:sz w:val="21"/>
        </w:rPr>
        <w:t>operates</w:t>
      </w:r>
      <w:r>
        <w:rPr>
          <w:spacing w:val="40"/>
          <w:sz w:val="21"/>
        </w:rPr>
        <w:t> </w:t>
      </w:r>
      <w:r>
        <w:rPr>
          <w:sz w:val="21"/>
        </w:rPr>
        <w:t>at</w:t>
      </w:r>
      <w:r>
        <w:rPr>
          <w:spacing w:val="40"/>
          <w:sz w:val="21"/>
        </w:rPr>
        <w:t> </w:t>
      </w:r>
      <w:r>
        <w:rPr>
          <w:sz w:val="21"/>
        </w:rPr>
        <w:t>any</w:t>
      </w:r>
      <w:r>
        <w:rPr>
          <w:spacing w:val="40"/>
          <w:sz w:val="21"/>
        </w:rPr>
        <w:t> </w:t>
      </w:r>
      <w:r>
        <w:rPr>
          <w:sz w:val="21"/>
        </w:rPr>
        <w:t>given</w:t>
      </w:r>
      <w:r>
        <w:rPr>
          <w:spacing w:val="40"/>
          <w:sz w:val="21"/>
        </w:rPr>
        <w:t> </w:t>
      </w:r>
      <w:r>
        <w:rPr>
          <w:sz w:val="21"/>
        </w:rPr>
        <w:t>time,</w:t>
      </w:r>
      <w:r>
        <w:rPr>
          <w:spacing w:val="40"/>
          <w:sz w:val="21"/>
        </w:rPr>
        <w:t> </w:t>
      </w:r>
      <w:r>
        <w:rPr>
          <w:sz w:val="21"/>
        </w:rPr>
        <w:t>the</w:t>
      </w:r>
      <w:r>
        <w:rPr>
          <w:spacing w:val="40"/>
          <w:sz w:val="21"/>
        </w:rPr>
        <w:t> </w:t>
      </w:r>
      <w:r>
        <w:rPr>
          <w:sz w:val="21"/>
        </w:rPr>
        <w:t>amount</w:t>
      </w:r>
      <w:r>
        <w:rPr>
          <w:spacing w:val="40"/>
          <w:sz w:val="21"/>
        </w:rPr>
        <w:t> </w:t>
      </w:r>
      <w:r>
        <w:rPr>
          <w:sz w:val="21"/>
        </w:rPr>
        <w:t>relating</w:t>
      </w:r>
      <w:r>
        <w:rPr>
          <w:spacing w:val="40"/>
          <w:sz w:val="21"/>
        </w:rPr>
        <w:t> </w:t>
      </w:r>
      <w:r>
        <w:rPr>
          <w:sz w:val="21"/>
        </w:rPr>
        <w:t>to</w:t>
      </w:r>
      <w:r>
        <w:rPr>
          <w:spacing w:val="40"/>
          <w:sz w:val="21"/>
        </w:rPr>
        <w:t> </w:t>
      </w:r>
      <w:r>
        <w:rPr>
          <w:sz w:val="21"/>
        </w:rPr>
        <w:t>the variable</w:t>
      </w:r>
      <w:r>
        <w:rPr>
          <w:spacing w:val="35"/>
          <w:sz w:val="21"/>
        </w:rPr>
        <w:t> </w:t>
      </w:r>
      <w:r>
        <w:rPr>
          <w:sz w:val="21"/>
        </w:rPr>
        <w:t>part</w:t>
      </w:r>
      <w:r>
        <w:rPr>
          <w:spacing w:val="34"/>
          <w:sz w:val="21"/>
        </w:rPr>
        <w:t> </w:t>
      </w:r>
      <w:r>
        <w:rPr>
          <w:sz w:val="21"/>
        </w:rPr>
        <w:t>of</w:t>
      </w:r>
      <w:r>
        <w:rPr>
          <w:spacing w:val="35"/>
          <w:sz w:val="21"/>
        </w:rPr>
        <w:t> </w:t>
      </w:r>
      <w:r>
        <w:rPr>
          <w:sz w:val="21"/>
        </w:rPr>
        <w:t>the</w:t>
      </w:r>
      <w:r>
        <w:rPr>
          <w:spacing w:val="34"/>
          <w:sz w:val="21"/>
        </w:rPr>
        <w:t> </w:t>
      </w:r>
      <w:r>
        <w:rPr>
          <w:sz w:val="21"/>
        </w:rPr>
        <w:t>annual</w:t>
      </w:r>
      <w:r>
        <w:rPr>
          <w:spacing w:val="35"/>
          <w:sz w:val="21"/>
        </w:rPr>
        <w:t> </w:t>
      </w:r>
      <w:r>
        <w:rPr>
          <w:sz w:val="21"/>
        </w:rPr>
        <w:t>premium</w:t>
      </w:r>
      <w:r>
        <w:rPr>
          <w:spacing w:val="34"/>
          <w:sz w:val="21"/>
        </w:rPr>
        <w:t> </w:t>
      </w:r>
      <w:r>
        <w:rPr>
          <w:sz w:val="21"/>
        </w:rPr>
        <w:t>may</w:t>
      </w:r>
      <w:r>
        <w:rPr>
          <w:spacing w:val="35"/>
          <w:sz w:val="21"/>
        </w:rPr>
        <w:t> </w:t>
      </w:r>
      <w:r>
        <w:rPr>
          <w:sz w:val="21"/>
        </w:rPr>
        <w:t>not</w:t>
      </w:r>
      <w:r>
        <w:rPr>
          <w:spacing w:val="34"/>
          <w:sz w:val="21"/>
        </w:rPr>
        <w:t> </w:t>
      </w:r>
      <w:r>
        <w:rPr>
          <w:sz w:val="21"/>
        </w:rPr>
        <w:t>be</w:t>
      </w:r>
      <w:r>
        <w:rPr>
          <w:spacing w:val="35"/>
          <w:sz w:val="21"/>
        </w:rPr>
        <w:t> </w:t>
      </w:r>
      <w:r>
        <w:rPr>
          <w:sz w:val="21"/>
        </w:rPr>
        <w:t>less</w:t>
      </w:r>
      <w:r>
        <w:rPr>
          <w:spacing w:val="34"/>
          <w:sz w:val="21"/>
        </w:rPr>
        <w:t> </w:t>
      </w:r>
      <w:r>
        <w:rPr>
          <w:sz w:val="21"/>
        </w:rPr>
        <w:t>than</w:t>
      </w:r>
      <w:r>
        <w:rPr>
          <w:spacing w:val="35"/>
          <w:sz w:val="21"/>
        </w:rPr>
        <w:t> </w:t>
      </w:r>
      <w:r>
        <w:rPr>
          <w:sz w:val="21"/>
        </w:rPr>
        <w:t>the</w:t>
      </w:r>
      <w:r>
        <w:rPr>
          <w:spacing w:val="34"/>
          <w:sz w:val="21"/>
        </w:rPr>
        <w:t> </w:t>
      </w:r>
      <w:r>
        <w:rPr>
          <w:sz w:val="21"/>
        </w:rPr>
        <w:t>amount</w:t>
      </w:r>
      <w:r>
        <w:rPr>
          <w:spacing w:val="35"/>
          <w:sz w:val="21"/>
        </w:rPr>
        <w:t> </w:t>
      </w:r>
      <w:r>
        <w:rPr>
          <w:sz w:val="21"/>
        </w:rPr>
        <w:t>that</w:t>
      </w:r>
      <w:r>
        <w:rPr>
          <w:spacing w:val="34"/>
          <w:sz w:val="21"/>
        </w:rPr>
        <w:t> </w:t>
      </w:r>
      <w:r>
        <w:rPr>
          <w:sz w:val="21"/>
        </w:rPr>
        <w:t>would</w:t>
      </w:r>
      <w:r>
        <w:rPr>
          <w:spacing w:val="35"/>
          <w:sz w:val="21"/>
        </w:rPr>
        <w:t> </w:t>
      </w:r>
      <w:r>
        <w:rPr>
          <w:sz w:val="21"/>
        </w:rPr>
        <w:t>result</w:t>
      </w:r>
      <w:r>
        <w:rPr>
          <w:spacing w:val="34"/>
          <w:sz w:val="21"/>
        </w:rPr>
        <w:t> </w:t>
      </w:r>
      <w:r>
        <w:rPr>
          <w:sz w:val="21"/>
        </w:rPr>
        <w:t>from</w:t>
      </w:r>
      <w:r>
        <w:rPr>
          <w:spacing w:val="35"/>
          <w:sz w:val="21"/>
        </w:rPr>
        <w:t> </w:t>
      </w:r>
      <w:r>
        <w:rPr>
          <w:sz w:val="21"/>
        </w:rPr>
        <w:t>the</w:t>
      </w:r>
      <w:r>
        <w:rPr>
          <w:spacing w:val="34"/>
          <w:sz w:val="21"/>
        </w:rPr>
        <w:t> </w:t>
      </w:r>
      <w:r>
        <w:rPr>
          <w:sz w:val="21"/>
        </w:rPr>
        <w:t>operation</w:t>
      </w:r>
      <w:r>
        <w:rPr>
          <w:spacing w:val="35"/>
          <w:sz w:val="21"/>
        </w:rPr>
        <w:t> </w:t>
      </w:r>
      <w:r>
        <w:rPr>
          <w:sz w:val="21"/>
        </w:rPr>
        <w:t>of</w:t>
      </w:r>
      <w:r>
        <w:rPr>
          <w:spacing w:val="34"/>
          <w:sz w:val="21"/>
        </w:rPr>
        <w:t> </w:t>
      </w:r>
      <w:r>
        <w:rPr>
          <w:sz w:val="21"/>
        </w:rPr>
        <w:t>500</w:t>
      </w:r>
      <w:r>
        <w:rPr>
          <w:spacing w:val="35"/>
          <w:sz w:val="21"/>
        </w:rPr>
        <w:t> </w:t>
      </w:r>
      <w:r>
        <w:rPr>
          <w:sz w:val="21"/>
        </w:rPr>
        <w:t>(five</w:t>
      </w:r>
      <w:r>
        <w:rPr>
          <w:spacing w:val="34"/>
          <w:sz w:val="21"/>
        </w:rPr>
        <w:t> </w:t>
      </w:r>
      <w:r>
        <w:rPr>
          <w:sz w:val="21"/>
        </w:rPr>
        <w:t>hundred) gaming tables and 1,000 (one thousand) gaming machines.</w:t>
      </w:r>
    </w:p>
    <w:p>
      <w:pPr>
        <w:pStyle w:val="BodyText"/>
        <w:spacing w:before="153"/>
        <w:rPr>
          <w:sz w:val="21"/>
        </w:rPr>
      </w:pPr>
    </w:p>
    <w:p>
      <w:pPr>
        <w:spacing w:line="213" w:lineRule="auto" w:before="0"/>
        <w:ind w:left="144" w:right="118" w:firstLine="0"/>
        <w:jc w:val="both"/>
        <w:rPr>
          <w:sz w:val="21"/>
        </w:rPr>
      </w:pPr>
      <w:r>
        <w:rPr>
          <w:i/>
          <w:sz w:val="21"/>
        </w:rPr>
        <w:t>Seven</w:t>
      </w:r>
      <w:r>
        <w:rPr>
          <w:sz w:val="21"/>
        </w:rPr>
        <w:t>. The Concessionaire undertakes to pay the amount relative to the fixed part of the annual premium by 10 January of the</w:t>
      </w:r>
      <w:r>
        <w:rPr>
          <w:spacing w:val="80"/>
          <w:sz w:val="21"/>
        </w:rPr>
        <w:t> </w:t>
      </w:r>
      <w:r>
        <w:rPr>
          <w:sz w:val="21"/>
        </w:rPr>
        <w:t>respective</w:t>
      </w:r>
      <w:r>
        <w:rPr>
          <w:spacing w:val="27"/>
          <w:sz w:val="21"/>
        </w:rPr>
        <w:t> </w:t>
      </w:r>
      <w:r>
        <w:rPr>
          <w:sz w:val="21"/>
        </w:rPr>
        <w:t>year,</w:t>
      </w:r>
      <w:r>
        <w:rPr>
          <w:spacing w:val="27"/>
          <w:sz w:val="21"/>
        </w:rPr>
        <w:t> </w:t>
      </w:r>
      <w:r>
        <w:rPr>
          <w:sz w:val="21"/>
        </w:rPr>
        <w:t>and</w:t>
      </w:r>
      <w:r>
        <w:rPr>
          <w:spacing w:val="27"/>
          <w:sz w:val="21"/>
        </w:rPr>
        <w:t> </w:t>
      </w:r>
      <w:r>
        <w:rPr>
          <w:sz w:val="21"/>
        </w:rPr>
        <w:t>the</w:t>
      </w:r>
      <w:r>
        <w:rPr>
          <w:spacing w:val="27"/>
          <w:sz w:val="21"/>
        </w:rPr>
        <w:t> </w:t>
      </w:r>
      <w:r>
        <w:rPr>
          <w:sz w:val="21"/>
        </w:rPr>
        <w:t>Government</w:t>
      </w:r>
      <w:r>
        <w:rPr>
          <w:spacing w:val="27"/>
          <w:sz w:val="21"/>
        </w:rPr>
        <w:t> </w:t>
      </w:r>
      <w:r>
        <w:rPr>
          <w:sz w:val="21"/>
        </w:rPr>
        <w:t>may</w:t>
      </w:r>
      <w:r>
        <w:rPr>
          <w:spacing w:val="27"/>
          <w:sz w:val="21"/>
        </w:rPr>
        <w:t> </w:t>
      </w:r>
      <w:r>
        <w:rPr>
          <w:sz w:val="21"/>
        </w:rPr>
        <w:t>stipulate</w:t>
      </w:r>
      <w:r>
        <w:rPr>
          <w:spacing w:val="27"/>
          <w:sz w:val="21"/>
        </w:rPr>
        <w:t> </w:t>
      </w:r>
      <w:r>
        <w:rPr>
          <w:sz w:val="21"/>
        </w:rPr>
        <w:t>that</w:t>
      </w:r>
      <w:r>
        <w:rPr>
          <w:spacing w:val="27"/>
          <w:sz w:val="21"/>
        </w:rPr>
        <w:t> </w:t>
      </w:r>
      <w:r>
        <w:rPr>
          <w:sz w:val="21"/>
        </w:rPr>
        <w:t>the</w:t>
      </w:r>
      <w:r>
        <w:rPr>
          <w:spacing w:val="27"/>
          <w:sz w:val="21"/>
        </w:rPr>
        <w:t> </w:t>
      </w:r>
      <w:r>
        <w:rPr>
          <w:sz w:val="21"/>
        </w:rPr>
        <w:t>payment</w:t>
      </w:r>
      <w:r>
        <w:rPr>
          <w:spacing w:val="27"/>
          <w:sz w:val="21"/>
        </w:rPr>
        <w:t> </w:t>
      </w:r>
      <w:r>
        <w:rPr>
          <w:sz w:val="21"/>
        </w:rPr>
        <w:t>is</w:t>
      </w:r>
      <w:r>
        <w:rPr>
          <w:spacing w:val="27"/>
          <w:sz w:val="21"/>
        </w:rPr>
        <w:t> </w:t>
      </w:r>
      <w:r>
        <w:rPr>
          <w:sz w:val="21"/>
        </w:rPr>
        <w:t>made</w:t>
      </w:r>
      <w:r>
        <w:rPr>
          <w:spacing w:val="27"/>
          <w:sz w:val="21"/>
        </w:rPr>
        <w:t> </w:t>
      </w:r>
      <w:r>
        <w:rPr>
          <w:sz w:val="21"/>
        </w:rPr>
        <w:t>in</w:t>
      </w:r>
      <w:r>
        <w:rPr>
          <w:spacing w:val="27"/>
          <w:sz w:val="21"/>
        </w:rPr>
        <w:t> </w:t>
      </w:r>
      <w:r>
        <w:rPr>
          <w:sz w:val="21"/>
        </w:rPr>
        <w:t>monthly</w:t>
      </w:r>
      <w:r>
        <w:rPr>
          <w:spacing w:val="27"/>
          <w:sz w:val="21"/>
        </w:rPr>
        <w:t> </w:t>
      </w:r>
      <w:r>
        <w:rPr>
          <w:sz w:val="21"/>
        </w:rPr>
        <w:t>installments.</w:t>
      </w:r>
    </w:p>
    <w:p>
      <w:pPr>
        <w:pStyle w:val="BodyText"/>
        <w:spacing w:before="166"/>
        <w:rPr>
          <w:sz w:val="21"/>
        </w:rPr>
      </w:pPr>
    </w:p>
    <w:p>
      <w:pPr>
        <w:spacing w:line="213" w:lineRule="auto" w:before="0"/>
        <w:ind w:left="144" w:right="118" w:firstLine="0"/>
        <w:jc w:val="both"/>
        <w:rPr>
          <w:sz w:val="21"/>
        </w:rPr>
      </w:pPr>
      <w:r>
        <w:rPr>
          <w:i/>
          <w:sz w:val="21"/>
        </w:rPr>
        <w:t>Eight</w:t>
      </w:r>
      <w:r>
        <w:rPr>
          <w:sz w:val="21"/>
        </w:rPr>
        <w:t>. The Concessionaire undertakes to pay monthly, until the tenth day of the following month, the amount relative to the variable</w:t>
      </w:r>
      <w:r>
        <w:rPr>
          <w:spacing w:val="80"/>
          <w:sz w:val="21"/>
        </w:rPr>
        <w:t> </w:t>
      </w:r>
      <w:r>
        <w:rPr>
          <w:sz w:val="21"/>
        </w:rPr>
        <w:t>part of the annual premium concerning the tables and electric or mechanical gambling machines, including slot machines, </w:t>
      </w:r>
      <w:r>
        <w:rPr>
          <w:sz w:val="21"/>
        </w:rPr>
        <w:t>operated during the previous month.</w:t>
      </w:r>
    </w:p>
    <w:p>
      <w:pPr>
        <w:pStyle w:val="BodyText"/>
        <w:spacing w:before="153"/>
        <w:rPr>
          <w:sz w:val="21"/>
        </w:rPr>
      </w:pPr>
    </w:p>
    <w:p>
      <w:pPr>
        <w:spacing w:line="213" w:lineRule="auto" w:before="0"/>
        <w:ind w:left="144" w:right="118" w:firstLine="0"/>
        <w:jc w:val="both"/>
        <w:rPr>
          <w:sz w:val="21"/>
        </w:rPr>
      </w:pPr>
      <w:r>
        <w:rPr>
          <w:i/>
          <w:sz w:val="21"/>
        </w:rPr>
        <w:t>Nine</w:t>
      </w:r>
      <w:r>
        <w:rPr>
          <w:sz w:val="21"/>
        </w:rPr>
        <w:t>.</w:t>
      </w:r>
      <w:r>
        <w:rPr>
          <w:spacing w:val="33"/>
          <w:sz w:val="21"/>
        </w:rPr>
        <w:t> </w:t>
      </w:r>
      <w:r>
        <w:rPr>
          <w:sz w:val="21"/>
        </w:rPr>
        <w:t>For</w:t>
      </w:r>
      <w:r>
        <w:rPr>
          <w:spacing w:val="33"/>
          <w:sz w:val="21"/>
        </w:rPr>
        <w:t> </w:t>
      </w:r>
      <w:r>
        <w:rPr>
          <w:sz w:val="21"/>
        </w:rPr>
        <w:t>calculating</w:t>
      </w:r>
      <w:r>
        <w:rPr>
          <w:spacing w:val="33"/>
          <w:sz w:val="21"/>
        </w:rPr>
        <w:t> </w:t>
      </w:r>
      <w:r>
        <w:rPr>
          <w:sz w:val="21"/>
        </w:rPr>
        <w:t>the</w:t>
      </w:r>
      <w:r>
        <w:rPr>
          <w:spacing w:val="33"/>
          <w:sz w:val="21"/>
        </w:rPr>
        <w:t> </w:t>
      </w:r>
      <w:r>
        <w:rPr>
          <w:sz w:val="21"/>
        </w:rPr>
        <w:t>amount</w:t>
      </w:r>
      <w:r>
        <w:rPr>
          <w:spacing w:val="33"/>
          <w:sz w:val="21"/>
        </w:rPr>
        <w:t> </w:t>
      </w:r>
      <w:r>
        <w:rPr>
          <w:sz w:val="21"/>
        </w:rPr>
        <w:t>of</w:t>
      </w:r>
      <w:r>
        <w:rPr>
          <w:spacing w:val="33"/>
          <w:sz w:val="21"/>
        </w:rPr>
        <w:t> </w:t>
      </w:r>
      <w:r>
        <w:rPr>
          <w:sz w:val="21"/>
        </w:rPr>
        <w:t>the</w:t>
      </w:r>
      <w:r>
        <w:rPr>
          <w:spacing w:val="33"/>
          <w:sz w:val="21"/>
        </w:rPr>
        <w:t> </w:t>
      </w:r>
      <w:r>
        <w:rPr>
          <w:sz w:val="21"/>
        </w:rPr>
        <w:t>variable</w:t>
      </w:r>
      <w:r>
        <w:rPr>
          <w:spacing w:val="33"/>
          <w:sz w:val="21"/>
        </w:rPr>
        <w:t> </w:t>
      </w:r>
      <w:r>
        <w:rPr>
          <w:sz w:val="21"/>
        </w:rPr>
        <w:t>part</w:t>
      </w:r>
      <w:r>
        <w:rPr>
          <w:spacing w:val="33"/>
          <w:sz w:val="21"/>
        </w:rPr>
        <w:t> </w:t>
      </w:r>
      <w:r>
        <w:rPr>
          <w:sz w:val="21"/>
        </w:rPr>
        <w:t>of</w:t>
      </w:r>
      <w:r>
        <w:rPr>
          <w:spacing w:val="33"/>
          <w:sz w:val="21"/>
        </w:rPr>
        <w:t> </w:t>
      </w:r>
      <w:r>
        <w:rPr>
          <w:sz w:val="21"/>
        </w:rPr>
        <w:t>the</w:t>
      </w:r>
      <w:r>
        <w:rPr>
          <w:spacing w:val="33"/>
          <w:sz w:val="21"/>
        </w:rPr>
        <w:t> </w:t>
      </w:r>
      <w:r>
        <w:rPr>
          <w:sz w:val="21"/>
        </w:rPr>
        <w:t>annual</w:t>
      </w:r>
      <w:r>
        <w:rPr>
          <w:spacing w:val="33"/>
          <w:sz w:val="21"/>
        </w:rPr>
        <w:t> </w:t>
      </w:r>
      <w:r>
        <w:rPr>
          <w:sz w:val="21"/>
        </w:rPr>
        <w:t>premium</w:t>
      </w:r>
      <w:r>
        <w:rPr>
          <w:spacing w:val="33"/>
          <w:sz w:val="21"/>
        </w:rPr>
        <w:t> </w:t>
      </w:r>
      <w:r>
        <w:rPr>
          <w:sz w:val="21"/>
        </w:rPr>
        <w:t>referred</w:t>
      </w:r>
      <w:r>
        <w:rPr>
          <w:spacing w:val="33"/>
          <w:sz w:val="21"/>
        </w:rPr>
        <w:t> </w:t>
      </w:r>
      <w:r>
        <w:rPr>
          <w:sz w:val="21"/>
        </w:rPr>
        <w:t>to</w:t>
      </w:r>
      <w:r>
        <w:rPr>
          <w:spacing w:val="33"/>
          <w:sz w:val="21"/>
        </w:rPr>
        <w:t> </w:t>
      </w:r>
      <w:r>
        <w:rPr>
          <w:sz w:val="21"/>
        </w:rPr>
        <w:t>in</w:t>
      </w:r>
      <w:r>
        <w:rPr>
          <w:spacing w:val="33"/>
          <w:sz w:val="21"/>
        </w:rPr>
        <w:t> </w:t>
      </w:r>
      <w:r>
        <w:rPr>
          <w:sz w:val="21"/>
        </w:rPr>
        <w:t>the</w:t>
      </w:r>
      <w:r>
        <w:rPr>
          <w:spacing w:val="33"/>
          <w:sz w:val="21"/>
        </w:rPr>
        <w:t> </w:t>
      </w:r>
      <w:r>
        <w:rPr>
          <w:sz w:val="21"/>
        </w:rPr>
        <w:t>previous</w:t>
      </w:r>
      <w:r>
        <w:rPr>
          <w:spacing w:val="33"/>
          <w:sz w:val="21"/>
        </w:rPr>
        <w:t> </w:t>
      </w:r>
      <w:r>
        <w:rPr>
          <w:sz w:val="21"/>
        </w:rPr>
        <w:t>paragraph,</w:t>
      </w:r>
      <w:r>
        <w:rPr>
          <w:spacing w:val="33"/>
          <w:sz w:val="21"/>
        </w:rPr>
        <w:t> </w:t>
      </w:r>
      <w:r>
        <w:rPr>
          <w:sz w:val="21"/>
        </w:rPr>
        <w:t>the</w:t>
      </w:r>
      <w:r>
        <w:rPr>
          <w:spacing w:val="33"/>
          <w:sz w:val="21"/>
        </w:rPr>
        <w:t> </w:t>
      </w:r>
      <w:r>
        <w:rPr>
          <w:sz w:val="21"/>
        </w:rPr>
        <w:t>number</w:t>
      </w:r>
      <w:r>
        <w:rPr>
          <w:spacing w:val="33"/>
          <w:sz w:val="21"/>
        </w:rPr>
        <w:t> </w:t>
      </w:r>
      <w:r>
        <w:rPr>
          <w:sz w:val="21"/>
        </w:rPr>
        <w:t>of days that each gaming table and each gaming machine was operated by the Concessionaire during the month in question is taken into </w:t>
      </w:r>
      <w:r>
        <w:rPr>
          <w:spacing w:val="-2"/>
          <w:sz w:val="21"/>
        </w:rPr>
        <w:t>consideration.</w:t>
      </w:r>
    </w:p>
    <w:p>
      <w:pPr>
        <w:pStyle w:val="BodyText"/>
        <w:spacing w:before="132"/>
        <w:rPr>
          <w:sz w:val="21"/>
        </w:rPr>
      </w:pPr>
    </w:p>
    <w:p>
      <w:pPr>
        <w:spacing w:before="0"/>
        <w:ind w:left="144" w:right="0" w:firstLine="0"/>
        <w:jc w:val="both"/>
        <w:rPr>
          <w:sz w:val="21"/>
        </w:rPr>
      </w:pPr>
      <w:r>
        <w:rPr>
          <w:i/>
          <w:sz w:val="21"/>
        </w:rPr>
        <w:t>Ten</w:t>
      </w:r>
      <w:r>
        <w:rPr>
          <w:sz w:val="21"/>
        </w:rPr>
        <w:t>.</w:t>
      </w:r>
      <w:r>
        <w:rPr>
          <w:spacing w:val="3"/>
          <w:sz w:val="21"/>
        </w:rPr>
        <w:t> </w:t>
      </w:r>
      <w:r>
        <w:rPr>
          <w:sz w:val="21"/>
        </w:rPr>
        <w:t>The</w:t>
      </w:r>
      <w:r>
        <w:rPr>
          <w:spacing w:val="8"/>
          <w:sz w:val="21"/>
        </w:rPr>
        <w:t> </w:t>
      </w:r>
      <w:r>
        <w:rPr>
          <w:sz w:val="21"/>
        </w:rPr>
        <w:t>payment</w:t>
      </w:r>
      <w:r>
        <w:rPr>
          <w:spacing w:val="8"/>
          <w:sz w:val="21"/>
        </w:rPr>
        <w:t> </w:t>
      </w:r>
      <w:r>
        <w:rPr>
          <w:sz w:val="21"/>
        </w:rPr>
        <w:t>of</w:t>
      </w:r>
      <w:r>
        <w:rPr>
          <w:spacing w:val="9"/>
          <w:sz w:val="21"/>
        </w:rPr>
        <w:t> </w:t>
      </w:r>
      <w:r>
        <w:rPr>
          <w:sz w:val="21"/>
        </w:rPr>
        <w:t>the</w:t>
      </w:r>
      <w:r>
        <w:rPr>
          <w:spacing w:val="8"/>
          <w:sz w:val="21"/>
        </w:rPr>
        <w:t> </w:t>
      </w:r>
      <w:r>
        <w:rPr>
          <w:sz w:val="21"/>
        </w:rPr>
        <w:t>annual</w:t>
      </w:r>
      <w:r>
        <w:rPr>
          <w:spacing w:val="8"/>
          <w:sz w:val="21"/>
        </w:rPr>
        <w:t> </w:t>
      </w:r>
      <w:r>
        <w:rPr>
          <w:sz w:val="21"/>
        </w:rPr>
        <w:t>premium</w:t>
      </w:r>
      <w:r>
        <w:rPr>
          <w:spacing w:val="8"/>
          <w:sz w:val="21"/>
        </w:rPr>
        <w:t> </w:t>
      </w:r>
      <w:r>
        <w:rPr>
          <w:sz w:val="21"/>
        </w:rPr>
        <w:t>is</w:t>
      </w:r>
      <w:r>
        <w:rPr>
          <w:spacing w:val="8"/>
          <w:sz w:val="21"/>
        </w:rPr>
        <w:t> </w:t>
      </w:r>
      <w:r>
        <w:rPr>
          <w:sz w:val="21"/>
        </w:rPr>
        <w:t>settled</w:t>
      </w:r>
      <w:r>
        <w:rPr>
          <w:spacing w:val="9"/>
          <w:sz w:val="21"/>
        </w:rPr>
        <w:t> </w:t>
      </w:r>
      <w:r>
        <w:rPr>
          <w:sz w:val="21"/>
        </w:rPr>
        <w:t>by</w:t>
      </w:r>
      <w:r>
        <w:rPr>
          <w:spacing w:val="8"/>
          <w:sz w:val="21"/>
        </w:rPr>
        <w:t> </w:t>
      </w:r>
      <w:r>
        <w:rPr>
          <w:sz w:val="21"/>
        </w:rPr>
        <w:t>the</w:t>
      </w:r>
      <w:r>
        <w:rPr>
          <w:spacing w:val="8"/>
          <w:sz w:val="21"/>
        </w:rPr>
        <w:t> </w:t>
      </w:r>
      <w:r>
        <w:rPr>
          <w:sz w:val="21"/>
        </w:rPr>
        <w:t>respective</w:t>
      </w:r>
      <w:r>
        <w:rPr>
          <w:spacing w:val="8"/>
          <w:sz w:val="21"/>
        </w:rPr>
        <w:t> </w:t>
      </w:r>
      <w:r>
        <w:rPr>
          <w:sz w:val="21"/>
        </w:rPr>
        <w:t>payment</w:t>
      </w:r>
      <w:r>
        <w:rPr>
          <w:spacing w:val="8"/>
          <w:sz w:val="21"/>
        </w:rPr>
        <w:t> </w:t>
      </w:r>
      <w:r>
        <w:rPr>
          <w:sz w:val="21"/>
        </w:rPr>
        <w:t>slip</w:t>
      </w:r>
      <w:r>
        <w:rPr>
          <w:spacing w:val="8"/>
          <w:sz w:val="21"/>
        </w:rPr>
        <w:t> </w:t>
      </w:r>
      <w:r>
        <w:rPr>
          <w:sz w:val="21"/>
        </w:rPr>
        <w:t>at</w:t>
      </w:r>
      <w:r>
        <w:rPr>
          <w:spacing w:val="9"/>
          <w:sz w:val="21"/>
        </w:rPr>
        <w:t> </w:t>
      </w:r>
      <w:r>
        <w:rPr>
          <w:spacing w:val="-4"/>
          <w:sz w:val="21"/>
        </w:rPr>
        <w:t>DSF.</w:t>
      </w:r>
    </w:p>
    <w:p>
      <w:pPr>
        <w:pStyle w:val="BodyText"/>
        <w:spacing w:before="65"/>
        <w:rPr>
          <w:sz w:val="21"/>
        </w:rPr>
      </w:pPr>
    </w:p>
    <w:p>
      <w:pPr>
        <w:spacing w:line="213" w:lineRule="auto" w:before="0"/>
        <w:ind w:left="144" w:right="118" w:firstLine="0"/>
        <w:jc w:val="both"/>
        <w:rPr>
          <w:sz w:val="21"/>
        </w:rPr>
      </w:pPr>
      <w:r>
        <w:rPr>
          <w:i/>
          <w:sz w:val="21"/>
        </w:rPr>
        <w:t>Eleven. </w:t>
      </w:r>
      <w:r>
        <w:rPr>
          <w:sz w:val="21"/>
        </w:rPr>
        <w:t>In the case foreseen in Section 20 (4) of Law No. 16/2001, the Concessionaire is obliged to pay the special premium </w:t>
      </w:r>
      <w:r>
        <w:rPr>
          <w:sz w:val="21"/>
        </w:rPr>
        <w:t>in accordance with the provisions of paragraphs 4 to 8 of the same Section, applying the provisions of paragraph 7 and the previous paragraph with the necessary adaptations.</w:t>
      </w:r>
    </w:p>
    <w:p>
      <w:pPr>
        <w:pStyle w:val="BodyText"/>
        <w:spacing w:before="121"/>
        <w:rPr>
          <w:sz w:val="21"/>
        </w:rPr>
      </w:pPr>
    </w:p>
    <w:p>
      <w:pPr>
        <w:pStyle w:val="Heading1"/>
      </w:pPr>
      <w:r>
        <w:rPr/>
        <w:t>CHAPTER </w:t>
      </w:r>
      <w:r>
        <w:rPr>
          <w:spacing w:val="-10"/>
        </w:rPr>
        <w:t>X</w:t>
      </w:r>
    </w:p>
    <w:p>
      <w:pPr>
        <w:pStyle w:val="Heading2"/>
        <w:spacing w:before="64"/>
      </w:pPr>
      <w:r>
        <w:rPr/>
        <w:t>Contributions under</w:t>
      </w:r>
      <w:r>
        <w:rPr>
          <w:spacing w:val="-5"/>
        </w:rPr>
        <w:t> </w:t>
      </w:r>
      <w:r>
        <w:rPr/>
        <w:t>Section 22 (1) subparagraphs 2) and 3) of Law No. </w:t>
      </w:r>
      <w:r>
        <w:rPr>
          <w:spacing w:val="-2"/>
        </w:rPr>
        <w:t>16/2001</w:t>
      </w:r>
    </w:p>
    <w:p>
      <w:pPr>
        <w:pStyle w:val="BodyText"/>
        <w:spacing w:before="83"/>
        <w:rPr>
          <w:b/>
          <w:sz w:val="25"/>
        </w:rPr>
      </w:pPr>
    </w:p>
    <w:p>
      <w:pPr>
        <w:spacing w:before="0"/>
        <w:ind w:left="24" w:right="0" w:firstLine="0"/>
        <w:jc w:val="center"/>
        <w:rPr>
          <w:b/>
          <w:sz w:val="21"/>
        </w:rPr>
      </w:pPr>
      <w:r>
        <w:rPr>
          <w:b/>
          <w:sz w:val="21"/>
        </w:rPr>
        <w:t>Clause</w:t>
      </w:r>
      <w:r>
        <w:rPr>
          <w:b/>
          <w:spacing w:val="13"/>
          <w:sz w:val="21"/>
        </w:rPr>
        <w:t> </w:t>
      </w:r>
      <w:r>
        <w:rPr>
          <w:b/>
          <w:spacing w:val="-5"/>
          <w:sz w:val="21"/>
        </w:rPr>
        <w:t>51</w:t>
      </w:r>
    </w:p>
    <w:p>
      <w:pPr>
        <w:spacing w:before="56"/>
        <w:ind w:left="24" w:right="0" w:firstLine="0"/>
        <w:jc w:val="center"/>
        <w:rPr>
          <w:b/>
          <w:sz w:val="21"/>
        </w:rPr>
      </w:pPr>
      <w:r>
        <w:rPr>
          <w:b/>
          <w:sz w:val="21"/>
        </w:rPr>
        <w:t>Contributions</w:t>
      </w:r>
      <w:r>
        <w:rPr>
          <w:b/>
          <w:spacing w:val="11"/>
          <w:sz w:val="21"/>
        </w:rPr>
        <w:t> </w:t>
      </w:r>
      <w:r>
        <w:rPr>
          <w:b/>
          <w:sz w:val="21"/>
        </w:rPr>
        <w:t>under</w:t>
      </w:r>
      <w:r>
        <w:rPr>
          <w:b/>
          <w:spacing w:val="7"/>
          <w:sz w:val="21"/>
        </w:rPr>
        <w:t> </w:t>
      </w:r>
      <w:r>
        <w:rPr>
          <w:b/>
          <w:sz w:val="21"/>
        </w:rPr>
        <w:t>Section</w:t>
      </w:r>
      <w:r>
        <w:rPr>
          <w:b/>
          <w:spacing w:val="11"/>
          <w:sz w:val="21"/>
        </w:rPr>
        <w:t> </w:t>
      </w:r>
      <w:r>
        <w:rPr>
          <w:b/>
          <w:sz w:val="21"/>
        </w:rPr>
        <w:t>22</w:t>
      </w:r>
      <w:r>
        <w:rPr>
          <w:b/>
          <w:spacing w:val="12"/>
          <w:sz w:val="21"/>
        </w:rPr>
        <w:t> </w:t>
      </w:r>
      <w:r>
        <w:rPr>
          <w:b/>
          <w:sz w:val="21"/>
        </w:rPr>
        <w:t>(1)</w:t>
      </w:r>
      <w:r>
        <w:rPr>
          <w:b/>
          <w:spacing w:val="11"/>
          <w:sz w:val="21"/>
        </w:rPr>
        <w:t> </w:t>
      </w:r>
      <w:r>
        <w:rPr>
          <w:b/>
          <w:sz w:val="21"/>
        </w:rPr>
        <w:t>subparagraph</w:t>
      </w:r>
      <w:r>
        <w:rPr>
          <w:b/>
          <w:spacing w:val="12"/>
          <w:sz w:val="21"/>
        </w:rPr>
        <w:t> </w:t>
      </w:r>
      <w:r>
        <w:rPr>
          <w:b/>
          <w:sz w:val="21"/>
        </w:rPr>
        <w:t>2)</w:t>
      </w:r>
      <w:r>
        <w:rPr>
          <w:b/>
          <w:spacing w:val="12"/>
          <w:sz w:val="21"/>
        </w:rPr>
        <w:t> </w:t>
      </w:r>
      <w:r>
        <w:rPr>
          <w:b/>
          <w:sz w:val="21"/>
        </w:rPr>
        <w:t>of</w:t>
      </w:r>
      <w:r>
        <w:rPr>
          <w:b/>
          <w:spacing w:val="11"/>
          <w:sz w:val="21"/>
        </w:rPr>
        <w:t> </w:t>
      </w:r>
      <w:r>
        <w:rPr>
          <w:b/>
          <w:sz w:val="21"/>
        </w:rPr>
        <w:t>Law</w:t>
      </w:r>
      <w:r>
        <w:rPr>
          <w:b/>
          <w:spacing w:val="12"/>
          <w:sz w:val="21"/>
        </w:rPr>
        <w:t> </w:t>
      </w:r>
      <w:r>
        <w:rPr>
          <w:b/>
          <w:sz w:val="21"/>
        </w:rPr>
        <w:t>No.</w:t>
      </w:r>
      <w:r>
        <w:rPr>
          <w:b/>
          <w:spacing w:val="11"/>
          <w:sz w:val="21"/>
        </w:rPr>
        <w:t> </w:t>
      </w:r>
      <w:r>
        <w:rPr>
          <w:b/>
          <w:spacing w:val="-2"/>
          <w:sz w:val="21"/>
        </w:rPr>
        <w:t>16/2001</w:t>
      </w:r>
    </w:p>
    <w:p>
      <w:pPr>
        <w:pStyle w:val="BodyText"/>
        <w:spacing w:before="159"/>
        <w:rPr>
          <w:b/>
          <w:sz w:val="21"/>
        </w:rPr>
      </w:pPr>
    </w:p>
    <w:p>
      <w:pPr>
        <w:spacing w:line="213" w:lineRule="auto" w:before="0"/>
        <w:ind w:left="144" w:right="118" w:firstLine="0"/>
        <w:jc w:val="both"/>
        <w:rPr>
          <w:sz w:val="21"/>
        </w:rPr>
      </w:pPr>
      <w:r>
        <w:rPr>
          <w:i/>
          <w:sz w:val="21"/>
        </w:rPr>
        <w:t>One</w:t>
      </w:r>
      <w:r>
        <w:rPr>
          <w:sz w:val="21"/>
        </w:rPr>
        <w:t>. By law, the Concessionaire shall pay the Macau SAR the contribution foreseen in Section 22 (1) subparagraph 2) of Law No. </w:t>
      </w:r>
      <w:r>
        <w:rPr>
          <w:spacing w:val="-2"/>
          <w:sz w:val="21"/>
        </w:rPr>
        <w:t>16/2001.</w:t>
      </w:r>
    </w:p>
    <w:p>
      <w:pPr>
        <w:pStyle w:val="BodyText"/>
        <w:spacing w:before="152"/>
        <w:rPr>
          <w:sz w:val="21"/>
        </w:rPr>
      </w:pPr>
    </w:p>
    <w:p>
      <w:pPr>
        <w:spacing w:line="213" w:lineRule="auto" w:before="1"/>
        <w:ind w:left="144" w:right="119" w:firstLine="0"/>
        <w:jc w:val="both"/>
        <w:rPr>
          <w:sz w:val="21"/>
        </w:rPr>
      </w:pPr>
      <w:r>
        <w:rPr>
          <w:i/>
          <w:sz w:val="21"/>
        </w:rPr>
        <w:t>Two</w:t>
      </w:r>
      <w:r>
        <w:rPr>
          <w:sz w:val="21"/>
        </w:rPr>
        <w:t>. The contribution referred to in the previous paragraph must be paid monthly by the Concessionaire by the tenth day of the following month to which it relates, by submission of the respective payment slip at DSF.</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4"/>
        <w:rPr>
          <w:sz w:val="20"/>
        </w:rPr>
      </w:pPr>
      <w:r>
        <w:rPr/>
        <mc:AlternateContent>
          <mc:Choice Requires="wps">
            <w:drawing>
              <wp:anchor distT="0" distB="0" distL="0" distR="0" allowOverlap="1" layoutInCell="1" locked="0" behindDoc="1" simplePos="0" relativeHeight="487779328">
                <wp:simplePos x="0" y="0"/>
                <wp:positionH relativeFrom="page">
                  <wp:posOffset>231457</wp:posOffset>
                </wp:positionH>
                <wp:positionV relativeFrom="paragraph">
                  <wp:posOffset>195567</wp:posOffset>
                </wp:positionV>
                <wp:extent cx="7312659" cy="17145"/>
                <wp:effectExtent l="0" t="0" r="0" b="0"/>
                <wp:wrapTopAndBottom/>
                <wp:docPr id="912" name="Group 912"/>
                <wp:cNvGraphicFramePr>
                  <a:graphicFrameLocks/>
                </wp:cNvGraphicFramePr>
                <a:graphic>
                  <a:graphicData uri="http://schemas.microsoft.com/office/word/2010/wordprocessingGroup">
                    <wpg:wgp>
                      <wpg:cNvPr id="912" name="Group 912"/>
                      <wpg:cNvGrpSpPr/>
                      <wpg:grpSpPr>
                        <a:xfrm>
                          <a:off x="0" y="0"/>
                          <a:ext cx="7312659" cy="17145"/>
                          <a:chExt cx="7312659" cy="17145"/>
                        </a:xfrm>
                      </wpg:grpSpPr>
                      <wps:wsp>
                        <wps:cNvPr id="913" name="Graphic 91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14" name="Graphic 914"/>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15" name="Graphic 91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399023pt;width:575.8pt;height:1.35pt;mso-position-horizontal-relative:page;mso-position-vertical-relative:paragraph;z-index:-15537152;mso-wrap-distance-left:0;mso-wrap-distance-right:0" id="docshapegroup910" coordorigin="364,308" coordsize="11516,27">
                <v:rect style="position:absolute;left:364;top:307;width:11516;height:14" id="docshape911" filled="true" fillcolor="#999999" stroked="false">
                  <v:fill type="solid"/>
                </v:rect>
                <v:shape style="position:absolute;left:364;top:307;width:11516;height:27" id="docshape912" coordorigin="364,308" coordsize="11516,27" path="m11880,308l11866,321,364,321,364,335,11866,335,11880,335,11880,321,11880,308xe" filled="true" fillcolor="#ededed" stroked="false">
                  <v:path arrowok="t"/>
                  <v:fill type="solid"/>
                </v:shape>
                <v:shape style="position:absolute;left:364;top:307;width:14;height:27" id="docshape913" coordorigin="364,308" coordsize="14,27" path="m364,335l364,308,378,308,378,321,364,335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spacing w:before="69"/>
        <w:ind w:left="144" w:right="0" w:firstLine="0"/>
        <w:jc w:val="left"/>
        <w:rPr>
          <w:sz w:val="21"/>
        </w:rPr>
      </w:pPr>
      <w:r>
        <w:rPr>
          <w:i/>
          <w:sz w:val="21"/>
        </w:rPr>
        <w:t>Three</w:t>
      </w:r>
      <w:r>
        <w:rPr>
          <w:sz w:val="21"/>
        </w:rPr>
        <w:t>.</w:t>
      </w:r>
      <w:r>
        <w:rPr>
          <w:spacing w:val="4"/>
          <w:sz w:val="21"/>
        </w:rPr>
        <w:t> </w:t>
      </w:r>
      <w:r>
        <w:rPr>
          <w:sz w:val="21"/>
        </w:rPr>
        <w:t>The</w:t>
      </w:r>
      <w:r>
        <w:rPr>
          <w:spacing w:val="9"/>
          <w:sz w:val="21"/>
        </w:rPr>
        <w:t> </w:t>
      </w:r>
      <w:r>
        <w:rPr>
          <w:sz w:val="21"/>
        </w:rPr>
        <w:t>contribution</w:t>
      </w:r>
      <w:r>
        <w:rPr>
          <w:spacing w:val="9"/>
          <w:sz w:val="21"/>
        </w:rPr>
        <w:t> </w:t>
      </w:r>
      <w:r>
        <w:rPr>
          <w:sz w:val="21"/>
        </w:rPr>
        <w:t>referred</w:t>
      </w:r>
      <w:r>
        <w:rPr>
          <w:spacing w:val="9"/>
          <w:sz w:val="21"/>
        </w:rPr>
        <w:t> </w:t>
      </w:r>
      <w:r>
        <w:rPr>
          <w:sz w:val="21"/>
        </w:rPr>
        <w:t>to</w:t>
      </w:r>
      <w:r>
        <w:rPr>
          <w:spacing w:val="9"/>
          <w:sz w:val="21"/>
        </w:rPr>
        <w:t> </w:t>
      </w:r>
      <w:r>
        <w:rPr>
          <w:sz w:val="21"/>
        </w:rPr>
        <w:t>in</w:t>
      </w:r>
      <w:r>
        <w:rPr>
          <w:spacing w:val="9"/>
          <w:sz w:val="21"/>
        </w:rPr>
        <w:t> </w:t>
      </w:r>
      <w:r>
        <w:rPr>
          <w:sz w:val="21"/>
        </w:rPr>
        <w:t>paragraph</w:t>
      </w:r>
      <w:r>
        <w:rPr>
          <w:spacing w:val="9"/>
          <w:sz w:val="21"/>
        </w:rPr>
        <w:t> </w:t>
      </w:r>
      <w:r>
        <w:rPr>
          <w:i/>
          <w:sz w:val="21"/>
        </w:rPr>
        <w:t>one</w:t>
      </w:r>
      <w:r>
        <w:rPr>
          <w:i/>
          <w:spacing w:val="9"/>
          <w:sz w:val="21"/>
        </w:rPr>
        <w:t> </w:t>
      </w:r>
      <w:r>
        <w:rPr>
          <w:sz w:val="21"/>
        </w:rPr>
        <w:t>shall</w:t>
      </w:r>
      <w:r>
        <w:rPr>
          <w:spacing w:val="9"/>
          <w:sz w:val="21"/>
        </w:rPr>
        <w:t> </w:t>
      </w:r>
      <w:r>
        <w:rPr>
          <w:sz w:val="21"/>
        </w:rPr>
        <w:t>be</w:t>
      </w:r>
      <w:r>
        <w:rPr>
          <w:spacing w:val="9"/>
          <w:sz w:val="21"/>
        </w:rPr>
        <w:t> </w:t>
      </w:r>
      <w:r>
        <w:rPr>
          <w:sz w:val="21"/>
        </w:rPr>
        <w:t>the</w:t>
      </w:r>
      <w:r>
        <w:rPr>
          <w:spacing w:val="9"/>
          <w:sz w:val="21"/>
        </w:rPr>
        <w:t> </w:t>
      </w:r>
      <w:r>
        <w:rPr>
          <w:sz w:val="21"/>
        </w:rPr>
        <w:t>subject</w:t>
      </w:r>
      <w:r>
        <w:rPr>
          <w:spacing w:val="10"/>
          <w:sz w:val="21"/>
        </w:rPr>
        <w:t> </w:t>
      </w:r>
      <w:r>
        <w:rPr>
          <w:sz w:val="21"/>
        </w:rPr>
        <w:t>of</w:t>
      </w:r>
      <w:r>
        <w:rPr>
          <w:spacing w:val="9"/>
          <w:sz w:val="21"/>
        </w:rPr>
        <w:t> </w:t>
      </w:r>
      <w:r>
        <w:rPr>
          <w:sz w:val="21"/>
        </w:rPr>
        <w:t>a</w:t>
      </w:r>
      <w:r>
        <w:rPr>
          <w:spacing w:val="9"/>
          <w:sz w:val="21"/>
        </w:rPr>
        <w:t> </w:t>
      </w:r>
      <w:r>
        <w:rPr>
          <w:sz w:val="21"/>
        </w:rPr>
        <w:t>separate</w:t>
      </w:r>
      <w:r>
        <w:rPr>
          <w:spacing w:val="9"/>
          <w:sz w:val="21"/>
        </w:rPr>
        <w:t> </w:t>
      </w:r>
      <w:r>
        <w:rPr>
          <w:sz w:val="21"/>
        </w:rPr>
        <w:t>budget</w:t>
      </w:r>
      <w:r>
        <w:rPr>
          <w:spacing w:val="9"/>
          <w:sz w:val="21"/>
        </w:rPr>
        <w:t> </w:t>
      </w:r>
      <w:r>
        <w:rPr>
          <w:sz w:val="21"/>
        </w:rPr>
        <w:t>entry</w:t>
      </w:r>
      <w:r>
        <w:rPr>
          <w:spacing w:val="9"/>
          <w:sz w:val="21"/>
        </w:rPr>
        <w:t> </w:t>
      </w:r>
      <w:r>
        <w:rPr>
          <w:sz w:val="21"/>
        </w:rPr>
        <w:t>by</w:t>
      </w:r>
      <w:r>
        <w:rPr>
          <w:spacing w:val="9"/>
          <w:sz w:val="21"/>
        </w:rPr>
        <w:t> </w:t>
      </w:r>
      <w:r>
        <w:rPr>
          <w:sz w:val="21"/>
        </w:rPr>
        <w:t>the</w:t>
      </w:r>
      <w:r>
        <w:rPr>
          <w:spacing w:val="9"/>
          <w:sz w:val="21"/>
        </w:rPr>
        <w:t> </w:t>
      </w:r>
      <w:r>
        <w:rPr>
          <w:sz w:val="21"/>
        </w:rPr>
        <w:t>Macau</w:t>
      </w:r>
      <w:r>
        <w:rPr>
          <w:spacing w:val="9"/>
          <w:sz w:val="21"/>
        </w:rPr>
        <w:t> </w:t>
      </w:r>
      <w:r>
        <w:rPr>
          <w:spacing w:val="-4"/>
          <w:sz w:val="21"/>
        </w:rPr>
        <w:t>SAR.</w:t>
      </w:r>
    </w:p>
    <w:p>
      <w:pPr>
        <w:pStyle w:val="BodyText"/>
        <w:spacing w:before="124"/>
        <w:rPr>
          <w:sz w:val="21"/>
        </w:rPr>
      </w:pPr>
    </w:p>
    <w:p>
      <w:pPr>
        <w:spacing w:before="0"/>
        <w:ind w:left="24" w:right="0" w:firstLine="0"/>
        <w:jc w:val="center"/>
        <w:rPr>
          <w:b/>
          <w:sz w:val="21"/>
        </w:rPr>
      </w:pPr>
      <w:r>
        <w:rPr>
          <w:b/>
          <w:sz w:val="21"/>
        </w:rPr>
        <w:t>Clause</w:t>
      </w:r>
      <w:r>
        <w:rPr>
          <w:b/>
          <w:spacing w:val="13"/>
          <w:sz w:val="21"/>
        </w:rPr>
        <w:t> </w:t>
      </w:r>
      <w:r>
        <w:rPr>
          <w:b/>
          <w:spacing w:val="-5"/>
          <w:sz w:val="21"/>
        </w:rPr>
        <w:t>52</w:t>
      </w:r>
    </w:p>
    <w:p>
      <w:pPr>
        <w:spacing w:before="69"/>
        <w:ind w:left="24" w:right="0" w:firstLine="0"/>
        <w:jc w:val="center"/>
        <w:rPr>
          <w:b/>
          <w:sz w:val="21"/>
        </w:rPr>
      </w:pPr>
      <w:r>
        <w:rPr>
          <w:b/>
          <w:sz w:val="21"/>
        </w:rPr>
        <w:t>Contributions</w:t>
      </w:r>
      <w:r>
        <w:rPr>
          <w:b/>
          <w:spacing w:val="11"/>
          <w:sz w:val="21"/>
        </w:rPr>
        <w:t> </w:t>
      </w:r>
      <w:r>
        <w:rPr>
          <w:b/>
          <w:sz w:val="21"/>
        </w:rPr>
        <w:t>under</w:t>
      </w:r>
      <w:r>
        <w:rPr>
          <w:b/>
          <w:spacing w:val="7"/>
          <w:sz w:val="21"/>
        </w:rPr>
        <w:t> </w:t>
      </w:r>
      <w:r>
        <w:rPr>
          <w:b/>
          <w:sz w:val="21"/>
        </w:rPr>
        <w:t>Section</w:t>
      </w:r>
      <w:r>
        <w:rPr>
          <w:b/>
          <w:spacing w:val="11"/>
          <w:sz w:val="21"/>
        </w:rPr>
        <w:t> </w:t>
      </w:r>
      <w:r>
        <w:rPr>
          <w:b/>
          <w:sz w:val="21"/>
        </w:rPr>
        <w:t>22</w:t>
      </w:r>
      <w:r>
        <w:rPr>
          <w:b/>
          <w:spacing w:val="12"/>
          <w:sz w:val="21"/>
        </w:rPr>
        <w:t> </w:t>
      </w:r>
      <w:r>
        <w:rPr>
          <w:b/>
          <w:sz w:val="21"/>
        </w:rPr>
        <w:t>(1)</w:t>
      </w:r>
      <w:r>
        <w:rPr>
          <w:b/>
          <w:spacing w:val="11"/>
          <w:sz w:val="21"/>
        </w:rPr>
        <w:t> </w:t>
      </w:r>
      <w:r>
        <w:rPr>
          <w:b/>
          <w:sz w:val="21"/>
        </w:rPr>
        <w:t>subparagraph</w:t>
      </w:r>
      <w:r>
        <w:rPr>
          <w:b/>
          <w:spacing w:val="12"/>
          <w:sz w:val="21"/>
        </w:rPr>
        <w:t> </w:t>
      </w:r>
      <w:r>
        <w:rPr>
          <w:b/>
          <w:sz w:val="21"/>
        </w:rPr>
        <w:t>3)</w:t>
      </w:r>
      <w:r>
        <w:rPr>
          <w:b/>
          <w:spacing w:val="12"/>
          <w:sz w:val="21"/>
        </w:rPr>
        <w:t> </w:t>
      </w:r>
      <w:r>
        <w:rPr>
          <w:b/>
          <w:sz w:val="21"/>
        </w:rPr>
        <w:t>of</w:t>
      </w:r>
      <w:r>
        <w:rPr>
          <w:b/>
          <w:spacing w:val="11"/>
          <w:sz w:val="21"/>
        </w:rPr>
        <w:t> </w:t>
      </w:r>
      <w:r>
        <w:rPr>
          <w:b/>
          <w:sz w:val="21"/>
        </w:rPr>
        <w:t>Law</w:t>
      </w:r>
      <w:r>
        <w:rPr>
          <w:b/>
          <w:spacing w:val="12"/>
          <w:sz w:val="21"/>
        </w:rPr>
        <w:t> </w:t>
      </w:r>
      <w:r>
        <w:rPr>
          <w:b/>
          <w:sz w:val="21"/>
        </w:rPr>
        <w:t>No.</w:t>
      </w:r>
      <w:r>
        <w:rPr>
          <w:b/>
          <w:spacing w:val="11"/>
          <w:sz w:val="21"/>
        </w:rPr>
        <w:t> </w:t>
      </w:r>
      <w:r>
        <w:rPr>
          <w:b/>
          <w:spacing w:val="-2"/>
          <w:sz w:val="21"/>
        </w:rPr>
        <w:t>16/2001</w:t>
      </w:r>
    </w:p>
    <w:p>
      <w:pPr>
        <w:pStyle w:val="BodyText"/>
        <w:spacing w:before="146"/>
        <w:rPr>
          <w:b/>
          <w:sz w:val="21"/>
        </w:rPr>
      </w:pPr>
    </w:p>
    <w:p>
      <w:pPr>
        <w:spacing w:line="213" w:lineRule="auto" w:before="0"/>
        <w:ind w:left="144" w:right="117" w:firstLine="0"/>
        <w:jc w:val="both"/>
        <w:rPr>
          <w:sz w:val="21"/>
        </w:rPr>
      </w:pPr>
      <w:r>
        <w:rPr>
          <w:i/>
          <w:sz w:val="21"/>
        </w:rPr>
        <w:t>One. </w:t>
      </w:r>
      <w:r>
        <w:rPr>
          <w:sz w:val="21"/>
        </w:rPr>
        <w:t>By law, the Concessionaire shall pay the Macau SAR the contribution foreseen in Section 22 (1) subparagraph 3) of Law No. </w:t>
      </w:r>
      <w:r>
        <w:rPr>
          <w:spacing w:val="-2"/>
          <w:sz w:val="21"/>
        </w:rPr>
        <w:t>16/2001.</w:t>
      </w:r>
    </w:p>
    <w:p>
      <w:pPr>
        <w:pStyle w:val="BodyText"/>
        <w:spacing w:before="152"/>
        <w:rPr>
          <w:sz w:val="21"/>
        </w:rPr>
      </w:pPr>
    </w:p>
    <w:p>
      <w:pPr>
        <w:spacing w:line="213" w:lineRule="auto" w:before="1"/>
        <w:ind w:left="144" w:right="119" w:firstLine="0"/>
        <w:jc w:val="both"/>
        <w:rPr>
          <w:sz w:val="21"/>
        </w:rPr>
      </w:pPr>
      <w:r>
        <w:rPr>
          <w:i/>
          <w:sz w:val="21"/>
        </w:rPr>
        <w:t>Two</w:t>
      </w:r>
      <w:r>
        <w:rPr>
          <w:sz w:val="21"/>
        </w:rPr>
        <w:t>. The contribution referred to in the previous paragraph must be paid monthly by the Concessionaire by the tenth day of the following month to which it relates, by submission of the respective payment slip at DSF.</w:t>
      </w:r>
    </w:p>
    <w:p>
      <w:pPr>
        <w:pStyle w:val="BodyText"/>
        <w:spacing w:before="143"/>
        <w:rPr>
          <w:sz w:val="21"/>
        </w:rPr>
      </w:pPr>
    </w:p>
    <w:p>
      <w:pPr>
        <w:spacing w:before="1"/>
        <w:ind w:left="144" w:right="0" w:firstLine="0"/>
        <w:jc w:val="left"/>
        <w:rPr>
          <w:sz w:val="21"/>
        </w:rPr>
      </w:pPr>
      <w:r>
        <w:rPr>
          <w:i/>
          <w:sz w:val="21"/>
        </w:rPr>
        <w:t>Three.</w:t>
      </w:r>
      <w:r>
        <w:rPr>
          <w:i/>
          <w:spacing w:val="9"/>
          <w:sz w:val="21"/>
        </w:rPr>
        <w:t> </w:t>
      </w:r>
      <w:r>
        <w:rPr>
          <w:sz w:val="21"/>
        </w:rPr>
        <w:t>The</w:t>
      </w:r>
      <w:r>
        <w:rPr>
          <w:spacing w:val="9"/>
          <w:sz w:val="21"/>
        </w:rPr>
        <w:t> </w:t>
      </w:r>
      <w:r>
        <w:rPr>
          <w:sz w:val="21"/>
        </w:rPr>
        <w:t>contribution</w:t>
      </w:r>
      <w:r>
        <w:rPr>
          <w:spacing w:val="9"/>
          <w:sz w:val="21"/>
        </w:rPr>
        <w:t> </w:t>
      </w:r>
      <w:r>
        <w:rPr>
          <w:sz w:val="21"/>
        </w:rPr>
        <w:t>referred</w:t>
      </w:r>
      <w:r>
        <w:rPr>
          <w:spacing w:val="9"/>
          <w:sz w:val="21"/>
        </w:rPr>
        <w:t> </w:t>
      </w:r>
      <w:r>
        <w:rPr>
          <w:sz w:val="21"/>
        </w:rPr>
        <w:t>to</w:t>
      </w:r>
      <w:r>
        <w:rPr>
          <w:spacing w:val="9"/>
          <w:sz w:val="21"/>
        </w:rPr>
        <w:t> </w:t>
      </w:r>
      <w:r>
        <w:rPr>
          <w:sz w:val="21"/>
        </w:rPr>
        <w:t>in</w:t>
      </w:r>
      <w:r>
        <w:rPr>
          <w:spacing w:val="9"/>
          <w:sz w:val="21"/>
        </w:rPr>
        <w:t> </w:t>
      </w:r>
      <w:r>
        <w:rPr>
          <w:sz w:val="21"/>
        </w:rPr>
        <w:t>paragraph</w:t>
      </w:r>
      <w:r>
        <w:rPr>
          <w:spacing w:val="9"/>
          <w:sz w:val="21"/>
        </w:rPr>
        <w:t> </w:t>
      </w:r>
      <w:r>
        <w:rPr>
          <w:sz w:val="21"/>
        </w:rPr>
        <w:t>one</w:t>
      </w:r>
      <w:r>
        <w:rPr>
          <w:spacing w:val="9"/>
          <w:sz w:val="21"/>
        </w:rPr>
        <w:t> </w:t>
      </w:r>
      <w:r>
        <w:rPr>
          <w:sz w:val="21"/>
        </w:rPr>
        <w:t>shall</w:t>
      </w:r>
      <w:r>
        <w:rPr>
          <w:spacing w:val="9"/>
          <w:sz w:val="21"/>
        </w:rPr>
        <w:t> </w:t>
      </w:r>
      <w:r>
        <w:rPr>
          <w:sz w:val="21"/>
        </w:rPr>
        <w:t>be</w:t>
      </w:r>
      <w:r>
        <w:rPr>
          <w:spacing w:val="9"/>
          <w:sz w:val="21"/>
        </w:rPr>
        <w:t> </w:t>
      </w:r>
      <w:r>
        <w:rPr>
          <w:sz w:val="21"/>
        </w:rPr>
        <w:t>the</w:t>
      </w:r>
      <w:r>
        <w:rPr>
          <w:spacing w:val="9"/>
          <w:sz w:val="21"/>
        </w:rPr>
        <w:t> </w:t>
      </w:r>
      <w:r>
        <w:rPr>
          <w:sz w:val="21"/>
        </w:rPr>
        <w:t>subject</w:t>
      </w:r>
      <w:r>
        <w:rPr>
          <w:spacing w:val="9"/>
          <w:sz w:val="21"/>
        </w:rPr>
        <w:t> </w:t>
      </w:r>
      <w:r>
        <w:rPr>
          <w:sz w:val="21"/>
        </w:rPr>
        <w:t>of</w:t>
      </w:r>
      <w:r>
        <w:rPr>
          <w:spacing w:val="9"/>
          <w:sz w:val="21"/>
        </w:rPr>
        <w:t> </w:t>
      </w:r>
      <w:r>
        <w:rPr>
          <w:sz w:val="21"/>
        </w:rPr>
        <w:t>a</w:t>
      </w:r>
      <w:r>
        <w:rPr>
          <w:spacing w:val="9"/>
          <w:sz w:val="21"/>
        </w:rPr>
        <w:t> </w:t>
      </w:r>
      <w:r>
        <w:rPr>
          <w:sz w:val="21"/>
        </w:rPr>
        <w:t>separate</w:t>
      </w:r>
      <w:r>
        <w:rPr>
          <w:spacing w:val="9"/>
          <w:sz w:val="21"/>
        </w:rPr>
        <w:t> </w:t>
      </w:r>
      <w:r>
        <w:rPr>
          <w:sz w:val="21"/>
        </w:rPr>
        <w:t>budget</w:t>
      </w:r>
      <w:r>
        <w:rPr>
          <w:spacing w:val="9"/>
          <w:sz w:val="21"/>
        </w:rPr>
        <w:t> </w:t>
      </w:r>
      <w:r>
        <w:rPr>
          <w:sz w:val="21"/>
        </w:rPr>
        <w:t>entry</w:t>
      </w:r>
      <w:r>
        <w:rPr>
          <w:spacing w:val="9"/>
          <w:sz w:val="21"/>
        </w:rPr>
        <w:t> </w:t>
      </w:r>
      <w:r>
        <w:rPr>
          <w:sz w:val="21"/>
        </w:rPr>
        <w:t>by</w:t>
      </w:r>
      <w:r>
        <w:rPr>
          <w:spacing w:val="9"/>
          <w:sz w:val="21"/>
        </w:rPr>
        <w:t> </w:t>
      </w:r>
      <w:r>
        <w:rPr>
          <w:sz w:val="21"/>
        </w:rPr>
        <w:t>the</w:t>
      </w:r>
      <w:r>
        <w:rPr>
          <w:spacing w:val="9"/>
          <w:sz w:val="21"/>
        </w:rPr>
        <w:t> </w:t>
      </w:r>
      <w:r>
        <w:rPr>
          <w:sz w:val="21"/>
        </w:rPr>
        <w:t>Macau</w:t>
      </w:r>
      <w:r>
        <w:rPr>
          <w:spacing w:val="9"/>
          <w:sz w:val="21"/>
        </w:rPr>
        <w:t> </w:t>
      </w:r>
      <w:r>
        <w:rPr>
          <w:spacing w:val="-4"/>
          <w:sz w:val="21"/>
        </w:rPr>
        <w:t>SAR.</w:t>
      </w:r>
    </w:p>
    <w:p>
      <w:pPr>
        <w:pStyle w:val="BodyText"/>
        <w:spacing w:before="124"/>
        <w:rPr>
          <w:sz w:val="21"/>
        </w:rPr>
      </w:pPr>
    </w:p>
    <w:p>
      <w:pPr>
        <w:spacing w:before="0"/>
        <w:ind w:left="144" w:right="0" w:firstLine="0"/>
        <w:jc w:val="left"/>
        <w:rPr>
          <w:sz w:val="21"/>
        </w:rPr>
      </w:pPr>
      <w:r>
        <w:rPr>
          <w:i/>
          <w:sz w:val="21"/>
        </w:rPr>
        <w:t>Four</w:t>
      </w:r>
      <w:r>
        <w:rPr>
          <w:sz w:val="21"/>
        </w:rPr>
        <w:t>.</w:t>
      </w:r>
      <w:r>
        <w:rPr>
          <w:spacing w:val="4"/>
          <w:sz w:val="21"/>
        </w:rPr>
        <w:t> </w:t>
      </w:r>
      <w:r>
        <w:rPr>
          <w:sz w:val="21"/>
        </w:rPr>
        <w:t>The</w:t>
      </w:r>
      <w:r>
        <w:rPr>
          <w:spacing w:val="10"/>
          <w:sz w:val="21"/>
        </w:rPr>
        <w:t> </w:t>
      </w:r>
      <w:r>
        <w:rPr>
          <w:sz w:val="21"/>
        </w:rPr>
        <w:t>government</w:t>
      </w:r>
      <w:r>
        <w:rPr>
          <w:spacing w:val="10"/>
          <w:sz w:val="21"/>
        </w:rPr>
        <w:t> </w:t>
      </w:r>
      <w:r>
        <w:rPr>
          <w:sz w:val="21"/>
        </w:rPr>
        <w:t>may</w:t>
      </w:r>
      <w:r>
        <w:rPr>
          <w:spacing w:val="9"/>
          <w:sz w:val="21"/>
        </w:rPr>
        <w:t> </w:t>
      </w:r>
      <w:r>
        <w:rPr>
          <w:sz w:val="21"/>
        </w:rPr>
        <w:t>indicate</w:t>
      </w:r>
      <w:r>
        <w:rPr>
          <w:spacing w:val="10"/>
          <w:sz w:val="21"/>
        </w:rPr>
        <w:t> </w:t>
      </w:r>
      <w:r>
        <w:rPr>
          <w:sz w:val="21"/>
        </w:rPr>
        <w:t>one</w:t>
      </w:r>
      <w:r>
        <w:rPr>
          <w:spacing w:val="9"/>
          <w:sz w:val="21"/>
        </w:rPr>
        <w:t> </w:t>
      </w:r>
      <w:r>
        <w:rPr>
          <w:sz w:val="21"/>
        </w:rPr>
        <w:t>or</w:t>
      </w:r>
      <w:r>
        <w:rPr>
          <w:spacing w:val="10"/>
          <w:sz w:val="21"/>
        </w:rPr>
        <w:t> </w:t>
      </w:r>
      <w:r>
        <w:rPr>
          <w:sz w:val="21"/>
        </w:rPr>
        <w:t>more</w:t>
      </w:r>
      <w:r>
        <w:rPr>
          <w:spacing w:val="10"/>
          <w:sz w:val="21"/>
        </w:rPr>
        <w:t> </w:t>
      </w:r>
      <w:r>
        <w:rPr>
          <w:sz w:val="21"/>
        </w:rPr>
        <w:t>projects</w:t>
      </w:r>
      <w:r>
        <w:rPr>
          <w:spacing w:val="9"/>
          <w:sz w:val="21"/>
        </w:rPr>
        <w:t> </w:t>
      </w:r>
      <w:r>
        <w:rPr>
          <w:sz w:val="21"/>
        </w:rPr>
        <w:t>or</w:t>
      </w:r>
      <w:r>
        <w:rPr>
          <w:spacing w:val="10"/>
          <w:sz w:val="21"/>
        </w:rPr>
        <w:t> </w:t>
      </w:r>
      <w:r>
        <w:rPr>
          <w:sz w:val="21"/>
        </w:rPr>
        <w:t>one</w:t>
      </w:r>
      <w:r>
        <w:rPr>
          <w:spacing w:val="9"/>
          <w:sz w:val="21"/>
        </w:rPr>
        <w:t> </w:t>
      </w:r>
      <w:r>
        <w:rPr>
          <w:sz w:val="21"/>
        </w:rPr>
        <w:t>or</w:t>
      </w:r>
      <w:r>
        <w:rPr>
          <w:spacing w:val="10"/>
          <w:sz w:val="21"/>
        </w:rPr>
        <w:t> </w:t>
      </w:r>
      <w:r>
        <w:rPr>
          <w:sz w:val="21"/>
        </w:rPr>
        <w:t>more</w:t>
      </w:r>
      <w:r>
        <w:rPr>
          <w:spacing w:val="10"/>
          <w:sz w:val="21"/>
        </w:rPr>
        <w:t> </w:t>
      </w:r>
      <w:r>
        <w:rPr>
          <w:sz w:val="21"/>
        </w:rPr>
        <w:t>entities</w:t>
      </w:r>
      <w:r>
        <w:rPr>
          <w:spacing w:val="9"/>
          <w:sz w:val="21"/>
        </w:rPr>
        <w:t> </w:t>
      </w:r>
      <w:r>
        <w:rPr>
          <w:sz w:val="21"/>
        </w:rPr>
        <w:t>as</w:t>
      </w:r>
      <w:r>
        <w:rPr>
          <w:spacing w:val="10"/>
          <w:sz w:val="21"/>
        </w:rPr>
        <w:t> </w:t>
      </w:r>
      <w:r>
        <w:rPr>
          <w:sz w:val="21"/>
        </w:rPr>
        <w:t>beneficiaries</w:t>
      </w:r>
      <w:r>
        <w:rPr>
          <w:spacing w:val="9"/>
          <w:sz w:val="21"/>
        </w:rPr>
        <w:t> </w:t>
      </w:r>
      <w:r>
        <w:rPr>
          <w:sz w:val="21"/>
        </w:rPr>
        <w:t>of</w:t>
      </w:r>
      <w:r>
        <w:rPr>
          <w:spacing w:val="10"/>
          <w:sz w:val="21"/>
        </w:rPr>
        <w:t> </w:t>
      </w:r>
      <w:r>
        <w:rPr>
          <w:sz w:val="21"/>
        </w:rPr>
        <w:t>part</w:t>
      </w:r>
      <w:r>
        <w:rPr>
          <w:spacing w:val="9"/>
          <w:sz w:val="21"/>
        </w:rPr>
        <w:t> </w:t>
      </w:r>
      <w:r>
        <w:rPr>
          <w:sz w:val="21"/>
        </w:rPr>
        <w:t>of</w:t>
      </w:r>
      <w:r>
        <w:rPr>
          <w:spacing w:val="10"/>
          <w:sz w:val="21"/>
        </w:rPr>
        <w:t> </w:t>
      </w:r>
      <w:r>
        <w:rPr>
          <w:sz w:val="21"/>
        </w:rPr>
        <w:t>the</w:t>
      </w:r>
      <w:r>
        <w:rPr>
          <w:spacing w:val="10"/>
          <w:sz w:val="21"/>
        </w:rPr>
        <w:t> </w:t>
      </w:r>
      <w:r>
        <w:rPr>
          <w:sz w:val="21"/>
        </w:rPr>
        <w:t>amounts</w:t>
      </w:r>
      <w:r>
        <w:rPr>
          <w:spacing w:val="9"/>
          <w:sz w:val="21"/>
        </w:rPr>
        <w:t> </w:t>
      </w:r>
      <w:r>
        <w:rPr>
          <w:spacing w:val="-2"/>
          <w:sz w:val="21"/>
        </w:rPr>
        <w:t>paid.</w:t>
      </w:r>
    </w:p>
    <w:p>
      <w:pPr>
        <w:pStyle w:val="BodyText"/>
        <w:spacing w:before="146"/>
        <w:rPr>
          <w:sz w:val="21"/>
        </w:rPr>
      </w:pPr>
    </w:p>
    <w:p>
      <w:pPr>
        <w:spacing w:line="213" w:lineRule="auto" w:before="0"/>
        <w:ind w:left="144" w:right="119" w:firstLine="0"/>
        <w:jc w:val="both"/>
        <w:rPr>
          <w:sz w:val="21"/>
        </w:rPr>
      </w:pPr>
      <w:r>
        <w:rPr>
          <w:i/>
          <w:sz w:val="21"/>
        </w:rPr>
        <w:t>Five</w:t>
      </w:r>
      <w:r>
        <w:rPr>
          <w:sz w:val="21"/>
        </w:rPr>
        <w:t>.</w:t>
      </w:r>
      <w:r>
        <w:rPr>
          <w:spacing w:val="12"/>
          <w:sz w:val="21"/>
        </w:rPr>
        <w:t> </w:t>
      </w:r>
      <w:r>
        <w:rPr>
          <w:sz w:val="21"/>
        </w:rPr>
        <w:t>The</w:t>
      </w:r>
      <w:r>
        <w:rPr>
          <w:spacing w:val="17"/>
          <w:sz w:val="21"/>
        </w:rPr>
        <w:t> </w:t>
      </w:r>
      <w:r>
        <w:rPr>
          <w:sz w:val="21"/>
        </w:rPr>
        <w:t>Government</w:t>
      </w:r>
      <w:r>
        <w:rPr>
          <w:spacing w:val="17"/>
          <w:sz w:val="21"/>
        </w:rPr>
        <w:t> </w:t>
      </w:r>
      <w:r>
        <w:rPr>
          <w:sz w:val="21"/>
        </w:rPr>
        <w:t>and</w:t>
      </w:r>
      <w:r>
        <w:rPr>
          <w:spacing w:val="17"/>
          <w:sz w:val="21"/>
        </w:rPr>
        <w:t> </w:t>
      </w:r>
      <w:r>
        <w:rPr>
          <w:sz w:val="21"/>
        </w:rPr>
        <w:t>the</w:t>
      </w:r>
      <w:r>
        <w:rPr>
          <w:spacing w:val="17"/>
          <w:sz w:val="21"/>
        </w:rPr>
        <w:t> </w:t>
      </w:r>
      <w:r>
        <w:rPr>
          <w:sz w:val="21"/>
        </w:rPr>
        <w:t>Concessionaire</w:t>
      </w:r>
      <w:r>
        <w:rPr>
          <w:spacing w:val="17"/>
          <w:sz w:val="21"/>
        </w:rPr>
        <w:t> </w:t>
      </w:r>
      <w:r>
        <w:rPr>
          <w:sz w:val="21"/>
        </w:rPr>
        <w:t>may</w:t>
      </w:r>
      <w:r>
        <w:rPr>
          <w:spacing w:val="17"/>
          <w:sz w:val="21"/>
        </w:rPr>
        <w:t> </w:t>
      </w:r>
      <w:r>
        <w:rPr>
          <w:sz w:val="21"/>
        </w:rPr>
        <w:t>agree</w:t>
      </w:r>
      <w:r>
        <w:rPr>
          <w:spacing w:val="17"/>
          <w:sz w:val="21"/>
        </w:rPr>
        <w:t> </w:t>
      </w:r>
      <w:r>
        <w:rPr>
          <w:sz w:val="21"/>
        </w:rPr>
        <w:t>on</w:t>
      </w:r>
      <w:r>
        <w:rPr>
          <w:spacing w:val="17"/>
          <w:sz w:val="21"/>
        </w:rPr>
        <w:t> </w:t>
      </w:r>
      <w:r>
        <w:rPr>
          <w:sz w:val="21"/>
        </w:rPr>
        <w:t>one</w:t>
      </w:r>
      <w:r>
        <w:rPr>
          <w:spacing w:val="17"/>
          <w:sz w:val="21"/>
        </w:rPr>
        <w:t> </w:t>
      </w:r>
      <w:r>
        <w:rPr>
          <w:sz w:val="21"/>
        </w:rPr>
        <w:t>or</w:t>
      </w:r>
      <w:r>
        <w:rPr>
          <w:spacing w:val="17"/>
          <w:sz w:val="21"/>
        </w:rPr>
        <w:t> </w:t>
      </w:r>
      <w:r>
        <w:rPr>
          <w:sz w:val="21"/>
        </w:rPr>
        <w:t>more</w:t>
      </w:r>
      <w:r>
        <w:rPr>
          <w:spacing w:val="17"/>
          <w:sz w:val="21"/>
        </w:rPr>
        <w:t> </w:t>
      </w:r>
      <w:r>
        <w:rPr>
          <w:sz w:val="21"/>
        </w:rPr>
        <w:t>projects</w:t>
      </w:r>
      <w:r>
        <w:rPr>
          <w:spacing w:val="17"/>
          <w:sz w:val="21"/>
        </w:rPr>
        <w:t> </w:t>
      </w:r>
      <w:r>
        <w:rPr>
          <w:sz w:val="21"/>
        </w:rPr>
        <w:t>or</w:t>
      </w:r>
      <w:r>
        <w:rPr>
          <w:spacing w:val="17"/>
          <w:sz w:val="21"/>
        </w:rPr>
        <w:t> </w:t>
      </w:r>
      <w:r>
        <w:rPr>
          <w:sz w:val="21"/>
        </w:rPr>
        <w:t>on</w:t>
      </w:r>
      <w:r>
        <w:rPr>
          <w:spacing w:val="17"/>
          <w:sz w:val="21"/>
        </w:rPr>
        <w:t> </w:t>
      </w:r>
      <w:r>
        <w:rPr>
          <w:sz w:val="21"/>
        </w:rPr>
        <w:t>one</w:t>
      </w:r>
      <w:r>
        <w:rPr>
          <w:spacing w:val="17"/>
          <w:sz w:val="21"/>
        </w:rPr>
        <w:t> </w:t>
      </w:r>
      <w:r>
        <w:rPr>
          <w:sz w:val="21"/>
        </w:rPr>
        <w:t>or</w:t>
      </w:r>
      <w:r>
        <w:rPr>
          <w:spacing w:val="17"/>
          <w:sz w:val="21"/>
        </w:rPr>
        <w:t> </w:t>
      </w:r>
      <w:r>
        <w:rPr>
          <w:sz w:val="21"/>
        </w:rPr>
        <w:t>more</w:t>
      </w:r>
      <w:r>
        <w:rPr>
          <w:spacing w:val="17"/>
          <w:sz w:val="21"/>
        </w:rPr>
        <w:t> </w:t>
      </w:r>
      <w:r>
        <w:rPr>
          <w:sz w:val="21"/>
        </w:rPr>
        <w:t>entities</w:t>
      </w:r>
      <w:r>
        <w:rPr>
          <w:spacing w:val="17"/>
          <w:sz w:val="21"/>
        </w:rPr>
        <w:t> </w:t>
      </w:r>
      <w:r>
        <w:rPr>
          <w:sz w:val="21"/>
        </w:rPr>
        <w:t>to</w:t>
      </w:r>
      <w:r>
        <w:rPr>
          <w:spacing w:val="17"/>
          <w:sz w:val="21"/>
        </w:rPr>
        <w:t> </w:t>
      </w:r>
      <w:r>
        <w:rPr>
          <w:sz w:val="21"/>
        </w:rPr>
        <w:t>which</w:t>
      </w:r>
      <w:r>
        <w:rPr>
          <w:spacing w:val="17"/>
          <w:sz w:val="21"/>
        </w:rPr>
        <w:t> </w:t>
      </w:r>
      <w:r>
        <w:rPr>
          <w:sz w:val="21"/>
        </w:rPr>
        <w:t>allocate</w:t>
      </w:r>
      <w:r>
        <w:rPr>
          <w:spacing w:val="17"/>
          <w:sz w:val="21"/>
        </w:rPr>
        <w:t> </w:t>
      </w:r>
      <w:r>
        <w:rPr>
          <w:sz w:val="21"/>
        </w:rPr>
        <w:t>funds to, with the maximum limit of this total allocation being set at half the value calculated under the terms of paragraph </w:t>
      </w:r>
      <w:r>
        <w:rPr>
          <w:i/>
          <w:sz w:val="21"/>
        </w:rPr>
        <w:t>one</w:t>
      </w:r>
      <w:r>
        <w:rPr>
          <w:sz w:val="21"/>
        </w:rPr>
        <w:t>. The Concessionaire may pay them directly, in which case the amount of the contribution referred to in paragraph </w:t>
      </w:r>
      <w:r>
        <w:rPr>
          <w:i/>
          <w:sz w:val="21"/>
        </w:rPr>
        <w:t>one</w:t>
      </w:r>
      <w:r>
        <w:rPr>
          <w:sz w:val="21"/>
        </w:rPr>
        <w:t>, to be paid at DSF,</w:t>
      </w:r>
      <w:r>
        <w:rPr>
          <w:spacing w:val="80"/>
          <w:w w:val="150"/>
          <w:sz w:val="21"/>
        </w:rPr>
        <w:t> </w:t>
      </w:r>
      <w:r>
        <w:rPr>
          <w:sz w:val="21"/>
        </w:rPr>
        <w:t>will be reduced correspondingly.</w:t>
      </w:r>
    </w:p>
    <w:p>
      <w:pPr>
        <w:pStyle w:val="BodyText"/>
        <w:spacing w:before="136"/>
        <w:rPr>
          <w:sz w:val="21"/>
        </w:rPr>
      </w:pPr>
    </w:p>
    <w:p>
      <w:pPr>
        <w:pStyle w:val="Heading1"/>
      </w:pPr>
      <w:r>
        <w:rPr/>
        <w:t>CHAPTER </w:t>
      </w:r>
      <w:r>
        <w:rPr>
          <w:spacing w:val="-5"/>
        </w:rPr>
        <w:t>XI</w:t>
      </w:r>
    </w:p>
    <w:p>
      <w:pPr>
        <w:pStyle w:val="Heading2"/>
      </w:pPr>
      <w:r>
        <w:rPr/>
        <w:t>Tax</w:t>
      </w:r>
      <w:r>
        <w:rPr>
          <w:spacing w:val="-4"/>
        </w:rPr>
        <w:t> </w:t>
      </w:r>
      <w:r>
        <w:rPr/>
        <w:t>obligations</w:t>
      </w:r>
      <w:r>
        <w:rPr>
          <w:spacing w:val="-4"/>
        </w:rPr>
        <w:t> </w:t>
      </w:r>
      <w:r>
        <w:rPr/>
        <w:t>and</w:t>
      </w:r>
      <w:r>
        <w:rPr>
          <w:spacing w:val="-4"/>
        </w:rPr>
        <w:t> </w:t>
      </w:r>
      <w:r>
        <w:rPr/>
        <w:t>the</w:t>
      </w:r>
      <w:r>
        <w:rPr>
          <w:spacing w:val="-4"/>
        </w:rPr>
        <w:t> </w:t>
      </w:r>
      <w:r>
        <w:rPr/>
        <w:t>submission</w:t>
      </w:r>
      <w:r>
        <w:rPr>
          <w:spacing w:val="-4"/>
        </w:rPr>
        <w:t> </w:t>
      </w:r>
      <w:r>
        <w:rPr/>
        <w:t>of</w:t>
      </w:r>
      <w:r>
        <w:rPr>
          <w:spacing w:val="-4"/>
        </w:rPr>
        <w:t> </w:t>
      </w:r>
      <w:r>
        <w:rPr>
          <w:spacing w:val="-2"/>
        </w:rPr>
        <w:t>documents</w:t>
      </w:r>
    </w:p>
    <w:p>
      <w:pPr>
        <w:pStyle w:val="BodyText"/>
        <w:spacing w:before="83"/>
        <w:rPr>
          <w:b/>
          <w:sz w:val="25"/>
        </w:rPr>
      </w:pPr>
    </w:p>
    <w:p>
      <w:pPr>
        <w:spacing w:line="295" w:lineRule="auto" w:before="1"/>
        <w:ind w:left="4800" w:right="4798" w:firstLine="654"/>
        <w:jc w:val="left"/>
        <w:rPr>
          <w:b/>
          <w:sz w:val="21"/>
        </w:rPr>
      </w:pPr>
      <w:r>
        <w:rPr>
          <w:b/>
          <w:sz w:val="21"/>
        </w:rPr>
        <w:t>Clause 53</w:t>
      </w:r>
      <w:r>
        <w:rPr>
          <w:b/>
          <w:spacing w:val="40"/>
          <w:sz w:val="21"/>
        </w:rPr>
        <w:t> </w:t>
      </w:r>
      <w:r>
        <w:rPr>
          <w:b/>
          <w:sz w:val="21"/>
        </w:rPr>
        <w:t>Special tax on </w:t>
      </w:r>
      <w:r>
        <w:rPr>
          <w:b/>
          <w:sz w:val="21"/>
        </w:rPr>
        <w:t>gambling</w:t>
      </w:r>
    </w:p>
    <w:p>
      <w:pPr>
        <w:pStyle w:val="BodyText"/>
        <w:spacing w:before="103"/>
        <w:rPr>
          <w:b/>
          <w:sz w:val="21"/>
        </w:rPr>
      </w:pPr>
    </w:p>
    <w:p>
      <w:pPr>
        <w:spacing w:line="213" w:lineRule="auto" w:before="1"/>
        <w:ind w:left="144" w:right="118" w:firstLine="0"/>
        <w:jc w:val="both"/>
        <w:rPr>
          <w:i/>
          <w:sz w:val="21"/>
        </w:rPr>
      </w:pPr>
      <w:r>
        <w:rPr>
          <w:i/>
          <w:sz w:val="21"/>
        </w:rPr>
        <w:t>One</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pay</w:t>
      </w:r>
      <w:r>
        <w:rPr>
          <w:spacing w:val="40"/>
          <w:sz w:val="21"/>
        </w:rPr>
        <w:t> </w:t>
      </w:r>
      <w:r>
        <w:rPr>
          <w:sz w:val="21"/>
        </w:rPr>
        <w:t>the</w:t>
      </w:r>
      <w:r>
        <w:rPr>
          <w:spacing w:val="40"/>
          <w:sz w:val="21"/>
        </w:rPr>
        <w:t> </w:t>
      </w:r>
      <w:r>
        <w:rPr>
          <w:sz w:val="21"/>
        </w:rPr>
        <w:t>Macau</w:t>
      </w:r>
      <w:r>
        <w:rPr>
          <w:spacing w:val="40"/>
          <w:sz w:val="21"/>
        </w:rPr>
        <w:t> </w:t>
      </w:r>
      <w:r>
        <w:rPr>
          <w:sz w:val="21"/>
        </w:rPr>
        <w:t>SAR</w:t>
      </w:r>
      <w:r>
        <w:rPr>
          <w:spacing w:val="40"/>
          <w:sz w:val="21"/>
        </w:rPr>
        <w:t> </w:t>
      </w:r>
      <w:r>
        <w:rPr>
          <w:sz w:val="21"/>
        </w:rPr>
        <w:t>the</w:t>
      </w:r>
      <w:r>
        <w:rPr>
          <w:spacing w:val="40"/>
          <w:sz w:val="21"/>
        </w:rPr>
        <w:t> </w:t>
      </w:r>
      <w:r>
        <w:rPr>
          <w:sz w:val="21"/>
        </w:rPr>
        <w:t>legally</w:t>
      </w:r>
      <w:r>
        <w:rPr>
          <w:spacing w:val="40"/>
          <w:sz w:val="21"/>
        </w:rPr>
        <w:t> </w:t>
      </w:r>
      <w:r>
        <w:rPr>
          <w:sz w:val="21"/>
        </w:rPr>
        <w:t>stipulated</w:t>
      </w:r>
      <w:r>
        <w:rPr>
          <w:spacing w:val="40"/>
          <w:sz w:val="21"/>
        </w:rPr>
        <w:t> </w:t>
      </w:r>
      <w:r>
        <w:rPr>
          <w:sz w:val="21"/>
        </w:rPr>
        <w:t>special</w:t>
      </w:r>
      <w:r>
        <w:rPr>
          <w:spacing w:val="40"/>
          <w:sz w:val="21"/>
        </w:rPr>
        <w:t> </w:t>
      </w:r>
      <w:r>
        <w:rPr>
          <w:sz w:val="21"/>
        </w:rPr>
        <w:t>tax</w:t>
      </w:r>
      <w:r>
        <w:rPr>
          <w:spacing w:val="40"/>
          <w:sz w:val="21"/>
        </w:rPr>
        <w:t> </w:t>
      </w:r>
      <w:r>
        <w:rPr>
          <w:sz w:val="21"/>
        </w:rPr>
        <w:t>on</w:t>
      </w:r>
      <w:r>
        <w:rPr>
          <w:spacing w:val="40"/>
          <w:sz w:val="21"/>
        </w:rPr>
        <w:t> </w:t>
      </w:r>
      <w:r>
        <w:rPr>
          <w:sz w:val="21"/>
        </w:rPr>
        <w:t>gambling,</w:t>
      </w:r>
      <w:r>
        <w:rPr>
          <w:spacing w:val="40"/>
          <w:sz w:val="21"/>
        </w:rPr>
        <w:t> </w:t>
      </w:r>
      <w:r>
        <w:rPr>
          <w:sz w:val="21"/>
        </w:rPr>
        <w:t>which</w:t>
      </w:r>
      <w:r>
        <w:rPr>
          <w:spacing w:val="40"/>
          <w:sz w:val="21"/>
        </w:rPr>
        <w:t> </w:t>
      </w:r>
      <w:r>
        <w:rPr>
          <w:sz w:val="21"/>
        </w:rPr>
        <w:t>shall</w:t>
      </w:r>
      <w:r>
        <w:rPr>
          <w:spacing w:val="40"/>
          <w:sz w:val="21"/>
        </w:rPr>
        <w:t> </w:t>
      </w:r>
      <w:r>
        <w:rPr>
          <w:sz w:val="21"/>
        </w:rPr>
        <w:t>be</w:t>
      </w:r>
      <w:r>
        <w:rPr>
          <w:spacing w:val="40"/>
          <w:sz w:val="21"/>
        </w:rPr>
        <w:t> </w:t>
      </w:r>
      <w:r>
        <w:rPr>
          <w:sz w:val="21"/>
        </w:rPr>
        <w:t>paid monthly</w:t>
      </w:r>
      <w:r>
        <w:rPr>
          <w:spacing w:val="24"/>
          <w:sz w:val="21"/>
        </w:rPr>
        <w:t> </w:t>
      </w:r>
      <w:r>
        <w:rPr>
          <w:sz w:val="21"/>
        </w:rPr>
        <w:t>to</w:t>
      </w:r>
      <w:r>
        <w:rPr>
          <w:spacing w:val="24"/>
          <w:sz w:val="21"/>
        </w:rPr>
        <w:t> </w:t>
      </w:r>
      <w:r>
        <w:rPr>
          <w:sz w:val="21"/>
        </w:rPr>
        <w:t>the</w:t>
      </w:r>
      <w:r>
        <w:rPr>
          <w:spacing w:val="24"/>
          <w:sz w:val="21"/>
        </w:rPr>
        <w:t> </w:t>
      </w:r>
      <w:r>
        <w:rPr>
          <w:sz w:val="21"/>
        </w:rPr>
        <w:t>government</w:t>
      </w:r>
      <w:r>
        <w:rPr>
          <w:spacing w:val="24"/>
          <w:sz w:val="21"/>
        </w:rPr>
        <w:t> </w:t>
      </w:r>
      <w:r>
        <w:rPr>
          <w:sz w:val="21"/>
        </w:rPr>
        <w:t>by</w:t>
      </w:r>
      <w:r>
        <w:rPr>
          <w:spacing w:val="24"/>
          <w:sz w:val="21"/>
        </w:rPr>
        <w:t> </w:t>
      </w:r>
      <w:r>
        <w:rPr>
          <w:sz w:val="21"/>
        </w:rPr>
        <w:t>the</w:t>
      </w:r>
      <w:r>
        <w:rPr>
          <w:spacing w:val="24"/>
          <w:sz w:val="21"/>
        </w:rPr>
        <w:t> </w:t>
      </w:r>
      <w:r>
        <w:rPr>
          <w:sz w:val="21"/>
        </w:rPr>
        <w:t>tenth</w:t>
      </w:r>
      <w:r>
        <w:rPr>
          <w:spacing w:val="24"/>
          <w:sz w:val="21"/>
        </w:rPr>
        <w:t> </w:t>
      </w:r>
      <w:r>
        <w:rPr>
          <w:sz w:val="21"/>
        </w:rPr>
        <w:t>day</w:t>
      </w:r>
      <w:r>
        <w:rPr>
          <w:spacing w:val="24"/>
          <w:sz w:val="21"/>
        </w:rPr>
        <w:t> </w:t>
      </w:r>
      <w:r>
        <w:rPr>
          <w:sz w:val="21"/>
        </w:rPr>
        <w:t>of</w:t>
      </w:r>
      <w:r>
        <w:rPr>
          <w:spacing w:val="24"/>
          <w:sz w:val="21"/>
        </w:rPr>
        <w:t> </w:t>
      </w:r>
      <w:r>
        <w:rPr>
          <w:sz w:val="21"/>
        </w:rPr>
        <w:t>the</w:t>
      </w:r>
      <w:r>
        <w:rPr>
          <w:spacing w:val="24"/>
          <w:sz w:val="21"/>
        </w:rPr>
        <w:t> </w:t>
      </w:r>
      <w:r>
        <w:rPr>
          <w:sz w:val="21"/>
        </w:rPr>
        <w:t>following</w:t>
      </w:r>
      <w:r>
        <w:rPr>
          <w:spacing w:val="24"/>
          <w:sz w:val="21"/>
        </w:rPr>
        <w:t> </w:t>
      </w:r>
      <w:r>
        <w:rPr>
          <w:sz w:val="21"/>
        </w:rPr>
        <w:t>month</w:t>
      </w:r>
      <w:r>
        <w:rPr>
          <w:spacing w:val="24"/>
          <w:sz w:val="21"/>
        </w:rPr>
        <w:t> </w:t>
      </w:r>
      <w:r>
        <w:rPr>
          <w:sz w:val="21"/>
        </w:rPr>
        <w:t>to</w:t>
      </w:r>
      <w:r>
        <w:rPr>
          <w:spacing w:val="24"/>
          <w:sz w:val="21"/>
        </w:rPr>
        <w:t> </w:t>
      </w:r>
      <w:r>
        <w:rPr>
          <w:sz w:val="21"/>
        </w:rPr>
        <w:t>which</w:t>
      </w:r>
      <w:r>
        <w:rPr>
          <w:spacing w:val="24"/>
          <w:sz w:val="21"/>
        </w:rPr>
        <w:t> </w:t>
      </w:r>
      <w:r>
        <w:rPr>
          <w:sz w:val="21"/>
        </w:rPr>
        <w:t>it</w:t>
      </w:r>
      <w:r>
        <w:rPr>
          <w:spacing w:val="24"/>
          <w:sz w:val="21"/>
        </w:rPr>
        <w:t> </w:t>
      </w:r>
      <w:r>
        <w:rPr>
          <w:sz w:val="21"/>
        </w:rPr>
        <w:t>relates</w:t>
      </w:r>
      <w:r>
        <w:rPr>
          <w:i/>
          <w:sz w:val="21"/>
        </w:rPr>
        <w:t>.</w:t>
      </w:r>
    </w:p>
    <w:p>
      <w:pPr>
        <w:pStyle w:val="BodyText"/>
        <w:spacing w:before="130"/>
        <w:rPr>
          <w:i/>
          <w:sz w:val="21"/>
        </w:rPr>
      </w:pPr>
    </w:p>
    <w:p>
      <w:pPr>
        <w:spacing w:before="0"/>
        <w:ind w:left="144" w:right="0" w:firstLine="0"/>
        <w:jc w:val="left"/>
        <w:rPr>
          <w:sz w:val="21"/>
        </w:rPr>
      </w:pPr>
      <w:r>
        <w:rPr>
          <w:i/>
          <w:sz w:val="21"/>
        </w:rPr>
        <w:t>Two.</w:t>
      </w:r>
      <w:r>
        <w:rPr>
          <w:i/>
          <w:spacing w:val="7"/>
          <w:sz w:val="21"/>
        </w:rPr>
        <w:t> </w:t>
      </w:r>
      <w:r>
        <w:rPr>
          <w:sz w:val="21"/>
        </w:rPr>
        <w:t>The</w:t>
      </w:r>
      <w:r>
        <w:rPr>
          <w:spacing w:val="7"/>
          <w:sz w:val="21"/>
        </w:rPr>
        <w:t> </w:t>
      </w:r>
      <w:r>
        <w:rPr>
          <w:sz w:val="21"/>
        </w:rPr>
        <w:t>special</w:t>
      </w:r>
      <w:r>
        <w:rPr>
          <w:spacing w:val="8"/>
          <w:sz w:val="21"/>
        </w:rPr>
        <w:t> </w:t>
      </w:r>
      <w:r>
        <w:rPr>
          <w:sz w:val="21"/>
        </w:rPr>
        <w:t>tax</w:t>
      </w:r>
      <w:r>
        <w:rPr>
          <w:spacing w:val="7"/>
          <w:sz w:val="21"/>
        </w:rPr>
        <w:t> </w:t>
      </w:r>
      <w:r>
        <w:rPr>
          <w:sz w:val="21"/>
        </w:rPr>
        <w:t>on</w:t>
      </w:r>
      <w:r>
        <w:rPr>
          <w:spacing w:val="8"/>
          <w:sz w:val="21"/>
        </w:rPr>
        <w:t> </w:t>
      </w:r>
      <w:r>
        <w:rPr>
          <w:sz w:val="21"/>
        </w:rPr>
        <w:t>gambling</w:t>
      </w:r>
      <w:r>
        <w:rPr>
          <w:spacing w:val="7"/>
          <w:sz w:val="21"/>
        </w:rPr>
        <w:t> </w:t>
      </w:r>
      <w:r>
        <w:rPr>
          <w:sz w:val="21"/>
        </w:rPr>
        <w:t>may</w:t>
      </w:r>
      <w:r>
        <w:rPr>
          <w:spacing w:val="8"/>
          <w:sz w:val="21"/>
        </w:rPr>
        <w:t> </w:t>
      </w:r>
      <w:r>
        <w:rPr>
          <w:sz w:val="21"/>
        </w:rPr>
        <w:t>be</w:t>
      </w:r>
      <w:r>
        <w:rPr>
          <w:spacing w:val="7"/>
          <w:sz w:val="21"/>
        </w:rPr>
        <w:t> </w:t>
      </w:r>
      <w:r>
        <w:rPr>
          <w:sz w:val="21"/>
        </w:rPr>
        <w:t>paid</w:t>
      </w:r>
      <w:r>
        <w:rPr>
          <w:spacing w:val="8"/>
          <w:sz w:val="21"/>
        </w:rPr>
        <w:t> </w:t>
      </w:r>
      <w:r>
        <w:rPr>
          <w:sz w:val="21"/>
        </w:rPr>
        <w:t>in</w:t>
      </w:r>
      <w:r>
        <w:rPr>
          <w:spacing w:val="7"/>
          <w:sz w:val="21"/>
        </w:rPr>
        <w:t> </w:t>
      </w:r>
      <w:r>
        <w:rPr>
          <w:sz w:val="21"/>
        </w:rPr>
        <w:t>patacas</w:t>
      </w:r>
      <w:r>
        <w:rPr>
          <w:spacing w:val="7"/>
          <w:sz w:val="21"/>
        </w:rPr>
        <w:t> </w:t>
      </w:r>
      <w:r>
        <w:rPr>
          <w:sz w:val="21"/>
        </w:rPr>
        <w:t>or</w:t>
      </w:r>
      <w:r>
        <w:rPr>
          <w:spacing w:val="8"/>
          <w:sz w:val="21"/>
        </w:rPr>
        <w:t> </w:t>
      </w:r>
      <w:r>
        <w:rPr>
          <w:sz w:val="21"/>
        </w:rPr>
        <w:t>in</w:t>
      </w:r>
      <w:r>
        <w:rPr>
          <w:spacing w:val="7"/>
          <w:sz w:val="21"/>
        </w:rPr>
        <w:t> </w:t>
      </w:r>
      <w:r>
        <w:rPr>
          <w:sz w:val="21"/>
        </w:rPr>
        <w:t>a</w:t>
      </w:r>
      <w:r>
        <w:rPr>
          <w:spacing w:val="8"/>
          <w:sz w:val="21"/>
        </w:rPr>
        <w:t> </w:t>
      </w:r>
      <w:r>
        <w:rPr>
          <w:sz w:val="21"/>
        </w:rPr>
        <w:t>currency</w:t>
      </w:r>
      <w:r>
        <w:rPr>
          <w:spacing w:val="7"/>
          <w:sz w:val="21"/>
        </w:rPr>
        <w:t> </w:t>
      </w:r>
      <w:r>
        <w:rPr>
          <w:sz w:val="21"/>
        </w:rPr>
        <w:t>accepted</w:t>
      </w:r>
      <w:r>
        <w:rPr>
          <w:spacing w:val="8"/>
          <w:sz w:val="21"/>
        </w:rPr>
        <w:t> </w:t>
      </w:r>
      <w:r>
        <w:rPr>
          <w:sz w:val="21"/>
        </w:rPr>
        <w:t>by</w:t>
      </w:r>
      <w:r>
        <w:rPr>
          <w:spacing w:val="7"/>
          <w:sz w:val="21"/>
        </w:rPr>
        <w:t> </w:t>
      </w:r>
      <w:r>
        <w:rPr>
          <w:sz w:val="21"/>
        </w:rPr>
        <w:t>the</w:t>
      </w:r>
      <w:r>
        <w:rPr>
          <w:spacing w:val="8"/>
          <w:sz w:val="21"/>
        </w:rPr>
        <w:t> </w:t>
      </w:r>
      <w:r>
        <w:rPr>
          <w:spacing w:val="-2"/>
          <w:sz w:val="21"/>
        </w:rPr>
        <w:t>Government.</w:t>
      </w:r>
    </w:p>
    <w:p>
      <w:pPr>
        <w:pStyle w:val="BodyText"/>
        <w:spacing w:before="125"/>
        <w:rPr>
          <w:sz w:val="21"/>
        </w:rPr>
      </w:pPr>
    </w:p>
    <w:p>
      <w:pPr>
        <w:spacing w:before="0"/>
        <w:ind w:left="144" w:right="0" w:firstLine="0"/>
        <w:jc w:val="left"/>
        <w:rPr>
          <w:sz w:val="21"/>
        </w:rPr>
      </w:pPr>
      <w:r>
        <w:rPr>
          <w:i/>
          <w:sz w:val="21"/>
        </w:rPr>
        <w:t>Three.</w:t>
      </w:r>
      <w:r>
        <w:rPr>
          <w:i/>
          <w:spacing w:val="7"/>
          <w:sz w:val="21"/>
        </w:rPr>
        <w:t> </w:t>
      </w:r>
      <w:r>
        <w:rPr>
          <w:sz w:val="21"/>
        </w:rPr>
        <w:t>If</w:t>
      </w:r>
      <w:r>
        <w:rPr>
          <w:spacing w:val="8"/>
          <w:sz w:val="21"/>
        </w:rPr>
        <w:t> </w:t>
      </w:r>
      <w:r>
        <w:rPr>
          <w:sz w:val="21"/>
        </w:rPr>
        <w:t>the</w:t>
      </w:r>
      <w:r>
        <w:rPr>
          <w:spacing w:val="7"/>
          <w:sz w:val="21"/>
        </w:rPr>
        <w:t> </w:t>
      </w:r>
      <w:r>
        <w:rPr>
          <w:sz w:val="21"/>
        </w:rPr>
        <w:t>special</w:t>
      </w:r>
      <w:r>
        <w:rPr>
          <w:spacing w:val="8"/>
          <w:sz w:val="21"/>
        </w:rPr>
        <w:t> </w:t>
      </w:r>
      <w:r>
        <w:rPr>
          <w:sz w:val="21"/>
        </w:rPr>
        <w:t>tax</w:t>
      </w:r>
      <w:r>
        <w:rPr>
          <w:spacing w:val="7"/>
          <w:sz w:val="21"/>
        </w:rPr>
        <w:t> </w:t>
      </w:r>
      <w:r>
        <w:rPr>
          <w:sz w:val="21"/>
        </w:rPr>
        <w:t>on</w:t>
      </w:r>
      <w:r>
        <w:rPr>
          <w:spacing w:val="8"/>
          <w:sz w:val="21"/>
        </w:rPr>
        <w:t> </w:t>
      </w:r>
      <w:r>
        <w:rPr>
          <w:sz w:val="21"/>
        </w:rPr>
        <w:t>gambling</w:t>
      </w:r>
      <w:r>
        <w:rPr>
          <w:spacing w:val="7"/>
          <w:sz w:val="21"/>
        </w:rPr>
        <w:t> </w:t>
      </w:r>
      <w:r>
        <w:rPr>
          <w:sz w:val="21"/>
        </w:rPr>
        <w:t>is</w:t>
      </w:r>
      <w:r>
        <w:rPr>
          <w:spacing w:val="8"/>
          <w:sz w:val="21"/>
        </w:rPr>
        <w:t> </w:t>
      </w:r>
      <w:r>
        <w:rPr>
          <w:sz w:val="21"/>
        </w:rPr>
        <w:t>paid</w:t>
      </w:r>
      <w:r>
        <w:rPr>
          <w:spacing w:val="7"/>
          <w:sz w:val="21"/>
        </w:rPr>
        <w:t> </w:t>
      </w:r>
      <w:r>
        <w:rPr>
          <w:sz w:val="21"/>
        </w:rPr>
        <w:t>in</w:t>
      </w:r>
      <w:r>
        <w:rPr>
          <w:spacing w:val="8"/>
          <w:sz w:val="21"/>
        </w:rPr>
        <w:t> </w:t>
      </w:r>
      <w:r>
        <w:rPr>
          <w:sz w:val="21"/>
        </w:rPr>
        <w:t>patacas,</w:t>
      </w:r>
      <w:r>
        <w:rPr>
          <w:spacing w:val="7"/>
          <w:sz w:val="21"/>
        </w:rPr>
        <w:t> </w:t>
      </w:r>
      <w:r>
        <w:rPr>
          <w:sz w:val="21"/>
        </w:rPr>
        <w:t>it</w:t>
      </w:r>
      <w:r>
        <w:rPr>
          <w:spacing w:val="8"/>
          <w:sz w:val="21"/>
        </w:rPr>
        <w:t> </w:t>
      </w:r>
      <w:r>
        <w:rPr>
          <w:sz w:val="21"/>
        </w:rPr>
        <w:t>shall</w:t>
      </w:r>
      <w:r>
        <w:rPr>
          <w:spacing w:val="7"/>
          <w:sz w:val="21"/>
        </w:rPr>
        <w:t> </w:t>
      </w:r>
      <w:r>
        <w:rPr>
          <w:sz w:val="21"/>
        </w:rPr>
        <w:t>be</w:t>
      </w:r>
      <w:r>
        <w:rPr>
          <w:spacing w:val="8"/>
          <w:sz w:val="21"/>
        </w:rPr>
        <w:t> </w:t>
      </w:r>
      <w:r>
        <w:rPr>
          <w:sz w:val="21"/>
        </w:rPr>
        <w:t>made</w:t>
      </w:r>
      <w:r>
        <w:rPr>
          <w:spacing w:val="8"/>
          <w:sz w:val="21"/>
        </w:rPr>
        <w:t> </w:t>
      </w:r>
      <w:r>
        <w:rPr>
          <w:sz w:val="21"/>
        </w:rPr>
        <w:t>directly</w:t>
      </w:r>
      <w:r>
        <w:rPr>
          <w:spacing w:val="7"/>
          <w:sz w:val="21"/>
        </w:rPr>
        <w:t> </w:t>
      </w:r>
      <w:r>
        <w:rPr>
          <w:sz w:val="21"/>
        </w:rPr>
        <w:t>at</w:t>
      </w:r>
      <w:r>
        <w:rPr>
          <w:spacing w:val="8"/>
          <w:sz w:val="21"/>
        </w:rPr>
        <w:t> </w:t>
      </w:r>
      <w:r>
        <w:rPr>
          <w:sz w:val="21"/>
        </w:rPr>
        <w:t>the</w:t>
      </w:r>
      <w:r>
        <w:rPr>
          <w:spacing w:val="7"/>
          <w:sz w:val="21"/>
        </w:rPr>
        <w:t> </w:t>
      </w:r>
      <w:r>
        <w:rPr>
          <w:spacing w:val="-4"/>
          <w:sz w:val="21"/>
        </w:rPr>
        <w:t>DSF.</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2"/>
        <w:rPr>
          <w:sz w:val="20"/>
        </w:rPr>
      </w:pPr>
      <w:r>
        <w:rPr/>
        <mc:AlternateContent>
          <mc:Choice Requires="wps">
            <w:drawing>
              <wp:anchor distT="0" distB="0" distL="0" distR="0" allowOverlap="1" layoutInCell="1" locked="0" behindDoc="1" simplePos="0" relativeHeight="487779840">
                <wp:simplePos x="0" y="0"/>
                <wp:positionH relativeFrom="page">
                  <wp:posOffset>231457</wp:posOffset>
                </wp:positionH>
                <wp:positionV relativeFrom="paragraph">
                  <wp:posOffset>200647</wp:posOffset>
                </wp:positionV>
                <wp:extent cx="7312659" cy="17145"/>
                <wp:effectExtent l="0" t="0" r="0" b="0"/>
                <wp:wrapTopAndBottom/>
                <wp:docPr id="916" name="Group 916"/>
                <wp:cNvGraphicFramePr>
                  <a:graphicFrameLocks/>
                </wp:cNvGraphicFramePr>
                <a:graphic>
                  <a:graphicData uri="http://schemas.microsoft.com/office/word/2010/wordprocessingGroup">
                    <wpg:wgp>
                      <wpg:cNvPr id="916" name="Group 916"/>
                      <wpg:cNvGrpSpPr/>
                      <wpg:grpSpPr>
                        <a:xfrm>
                          <a:off x="0" y="0"/>
                          <a:ext cx="7312659" cy="17145"/>
                          <a:chExt cx="7312659" cy="17145"/>
                        </a:xfrm>
                      </wpg:grpSpPr>
                      <wps:wsp>
                        <wps:cNvPr id="917" name="Graphic 91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18" name="Graphic 918"/>
                        <wps:cNvSpPr/>
                        <wps:spPr>
                          <a:xfrm>
                            <a:off x="-12" y="-1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19" name="Graphic 91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799024pt;width:575.8pt;height:1.35pt;mso-position-horizontal-relative:page;mso-position-vertical-relative:paragraph;z-index:-15536640;mso-wrap-distance-left:0;mso-wrap-distance-right:0" id="docshapegroup914" coordorigin="364,316" coordsize="11516,27">
                <v:rect style="position:absolute;left:364;top:315;width:11516;height:14" id="docshape915" filled="true" fillcolor="#999999" stroked="false">
                  <v:fill type="solid"/>
                </v:rect>
                <v:shape style="position:absolute;left:364;top:315;width:11516;height:27" id="docshape916" coordorigin="364,316" coordsize="11516,27" path="m11880,316l11866,329,364,329,364,343,11866,343,11880,343,11880,329,11880,316xe" filled="true" fillcolor="#ededed" stroked="false">
                  <v:path arrowok="t"/>
                  <v:fill type="solid"/>
                </v:shape>
                <v:shape style="position:absolute;left:364;top:315;width:14;height:27" id="docshape917" coordorigin="364,316" coordsize="14,27" path="m364,343l364,316,378,316,378,329,364,343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line="213" w:lineRule="auto" w:before="97"/>
        <w:ind w:left="144" w:right="118" w:firstLine="0"/>
        <w:jc w:val="both"/>
        <w:rPr>
          <w:sz w:val="21"/>
        </w:rPr>
      </w:pPr>
      <w:r>
        <w:rPr>
          <w:i/>
          <w:sz w:val="21"/>
        </w:rPr>
        <w:t>Four</w:t>
      </w:r>
      <w:r>
        <w:rPr>
          <w:sz w:val="21"/>
        </w:rPr>
        <w:t>. If the special tax on gaming is paid in a currency accepted by the Government, it shall be made by delivering the </w:t>
      </w:r>
      <w:r>
        <w:rPr>
          <w:sz w:val="21"/>
        </w:rPr>
        <w:t>respective currency</w:t>
      </w:r>
      <w:r>
        <w:rPr>
          <w:spacing w:val="25"/>
          <w:sz w:val="21"/>
        </w:rPr>
        <w:t> </w:t>
      </w:r>
      <w:r>
        <w:rPr>
          <w:sz w:val="21"/>
        </w:rPr>
        <w:t>to</w:t>
      </w:r>
      <w:r>
        <w:rPr>
          <w:spacing w:val="25"/>
          <w:sz w:val="21"/>
        </w:rPr>
        <w:t> </w:t>
      </w:r>
      <w:r>
        <w:rPr>
          <w:sz w:val="21"/>
        </w:rPr>
        <w:t>the</w:t>
      </w:r>
      <w:r>
        <w:rPr>
          <w:spacing w:val="25"/>
          <w:sz w:val="21"/>
        </w:rPr>
        <w:t> </w:t>
      </w:r>
      <w:r>
        <w:rPr>
          <w:sz w:val="21"/>
        </w:rPr>
        <w:t>Monetary Authority</w:t>
      </w:r>
      <w:r>
        <w:rPr>
          <w:spacing w:val="25"/>
          <w:sz w:val="21"/>
        </w:rPr>
        <w:t> </w:t>
      </w:r>
      <w:r>
        <w:rPr>
          <w:sz w:val="21"/>
        </w:rPr>
        <w:t>of</w:t>
      </w:r>
      <w:r>
        <w:rPr>
          <w:spacing w:val="25"/>
          <w:sz w:val="21"/>
        </w:rPr>
        <w:t> </w:t>
      </w:r>
      <w:r>
        <w:rPr>
          <w:sz w:val="21"/>
        </w:rPr>
        <w:t>Macau,</w:t>
      </w:r>
      <w:r>
        <w:rPr>
          <w:spacing w:val="25"/>
          <w:sz w:val="21"/>
        </w:rPr>
        <w:t> </w:t>
      </w:r>
      <w:r>
        <w:rPr>
          <w:sz w:val="21"/>
        </w:rPr>
        <w:t>which</w:t>
      </w:r>
      <w:r>
        <w:rPr>
          <w:spacing w:val="25"/>
          <w:sz w:val="21"/>
        </w:rPr>
        <w:t> </w:t>
      </w:r>
      <w:r>
        <w:rPr>
          <w:sz w:val="21"/>
        </w:rPr>
        <w:t>shall</w:t>
      </w:r>
      <w:r>
        <w:rPr>
          <w:spacing w:val="25"/>
          <w:sz w:val="21"/>
        </w:rPr>
        <w:t> </w:t>
      </w:r>
      <w:r>
        <w:rPr>
          <w:sz w:val="21"/>
        </w:rPr>
        <w:t>make</w:t>
      </w:r>
      <w:r>
        <w:rPr>
          <w:spacing w:val="25"/>
          <w:sz w:val="21"/>
        </w:rPr>
        <w:t> </w:t>
      </w:r>
      <w:r>
        <w:rPr>
          <w:sz w:val="21"/>
        </w:rPr>
        <w:t>the</w:t>
      </w:r>
      <w:r>
        <w:rPr>
          <w:spacing w:val="25"/>
          <w:sz w:val="21"/>
        </w:rPr>
        <w:t> </w:t>
      </w:r>
      <w:r>
        <w:rPr>
          <w:sz w:val="21"/>
        </w:rPr>
        <w:t>corresponding</w:t>
      </w:r>
      <w:r>
        <w:rPr>
          <w:spacing w:val="25"/>
          <w:sz w:val="21"/>
        </w:rPr>
        <w:t> </w:t>
      </w:r>
      <w:r>
        <w:rPr>
          <w:sz w:val="21"/>
        </w:rPr>
        <w:t>amount</w:t>
      </w:r>
      <w:r>
        <w:rPr>
          <w:spacing w:val="25"/>
          <w:sz w:val="21"/>
        </w:rPr>
        <w:t> </w:t>
      </w:r>
      <w:r>
        <w:rPr>
          <w:sz w:val="21"/>
        </w:rPr>
        <w:t>available</w:t>
      </w:r>
      <w:r>
        <w:rPr>
          <w:spacing w:val="25"/>
          <w:sz w:val="21"/>
        </w:rPr>
        <w:t> </w:t>
      </w:r>
      <w:r>
        <w:rPr>
          <w:sz w:val="21"/>
        </w:rPr>
        <w:t>in</w:t>
      </w:r>
      <w:r>
        <w:rPr>
          <w:spacing w:val="25"/>
          <w:sz w:val="21"/>
        </w:rPr>
        <w:t> </w:t>
      </w:r>
      <w:r>
        <w:rPr>
          <w:sz w:val="21"/>
        </w:rPr>
        <w:t>patacas</w:t>
      </w:r>
      <w:r>
        <w:rPr>
          <w:spacing w:val="25"/>
          <w:sz w:val="21"/>
        </w:rPr>
        <w:t> </w:t>
      </w:r>
      <w:r>
        <w:rPr>
          <w:sz w:val="21"/>
        </w:rPr>
        <w:t>to</w:t>
      </w:r>
      <w:r>
        <w:rPr>
          <w:spacing w:val="25"/>
          <w:sz w:val="21"/>
        </w:rPr>
        <w:t> </w:t>
      </w:r>
      <w:r>
        <w:rPr>
          <w:sz w:val="21"/>
        </w:rPr>
        <w:t>DSF.</w:t>
      </w:r>
    </w:p>
    <w:p>
      <w:pPr>
        <w:pStyle w:val="BodyText"/>
        <w:spacing w:before="130"/>
        <w:rPr>
          <w:sz w:val="21"/>
        </w:rPr>
      </w:pPr>
    </w:p>
    <w:p>
      <w:pPr>
        <w:spacing w:line="309" w:lineRule="auto" w:before="0"/>
        <w:ind w:left="5061" w:right="5034" w:hanging="1"/>
        <w:jc w:val="center"/>
        <w:rPr>
          <w:b/>
          <w:sz w:val="21"/>
        </w:rPr>
      </w:pPr>
      <w:r>
        <w:rPr>
          <w:b/>
          <w:sz w:val="21"/>
        </w:rPr>
        <w:t>Clause 54 Withholding </w:t>
      </w:r>
      <w:r>
        <w:rPr>
          <w:b/>
          <w:sz w:val="21"/>
        </w:rPr>
        <w:t>taxes</w:t>
      </w:r>
    </w:p>
    <w:p>
      <w:pPr>
        <w:pStyle w:val="BodyText"/>
        <w:spacing w:before="75"/>
        <w:rPr>
          <w:b/>
          <w:sz w:val="21"/>
        </w:rPr>
      </w:pPr>
    </w:p>
    <w:p>
      <w:pPr>
        <w:spacing w:line="213" w:lineRule="auto" w:before="0"/>
        <w:ind w:left="144" w:right="118" w:firstLine="0"/>
        <w:jc w:val="both"/>
        <w:rPr>
          <w:sz w:val="21"/>
        </w:rPr>
      </w:pPr>
      <w:r>
        <w:rPr>
          <w:i/>
          <w:sz w:val="21"/>
        </w:rPr>
        <w:t>One</w:t>
      </w:r>
      <w:r>
        <w:rPr>
          <w:sz w:val="21"/>
        </w:rPr>
        <w:t>. The Concessionaire undertakes to withhold, on a definitive basis, the legally required tax on commissions paid to junkets,</w:t>
      </w:r>
      <w:r>
        <w:rPr>
          <w:spacing w:val="80"/>
          <w:sz w:val="21"/>
        </w:rPr>
        <w:t> </w:t>
      </w:r>
      <w:r>
        <w:rPr>
          <w:sz w:val="21"/>
        </w:rPr>
        <w:t>remitting</w:t>
      </w:r>
      <w:r>
        <w:rPr>
          <w:spacing w:val="26"/>
          <w:sz w:val="21"/>
        </w:rPr>
        <w:t> </w:t>
      </w:r>
      <w:r>
        <w:rPr>
          <w:sz w:val="21"/>
        </w:rPr>
        <w:t>the</w:t>
      </w:r>
      <w:r>
        <w:rPr>
          <w:spacing w:val="26"/>
          <w:sz w:val="21"/>
        </w:rPr>
        <w:t> </w:t>
      </w:r>
      <w:r>
        <w:rPr>
          <w:sz w:val="21"/>
        </w:rPr>
        <w:t>respective</w:t>
      </w:r>
      <w:r>
        <w:rPr>
          <w:spacing w:val="26"/>
          <w:sz w:val="21"/>
        </w:rPr>
        <w:t> </w:t>
      </w:r>
      <w:r>
        <w:rPr>
          <w:sz w:val="21"/>
        </w:rPr>
        <w:t>amounts</w:t>
      </w:r>
      <w:r>
        <w:rPr>
          <w:spacing w:val="26"/>
          <w:sz w:val="21"/>
        </w:rPr>
        <w:t> </w:t>
      </w:r>
      <w:r>
        <w:rPr>
          <w:sz w:val="21"/>
        </w:rPr>
        <w:t>monthly</w:t>
      </w:r>
      <w:r>
        <w:rPr>
          <w:spacing w:val="26"/>
          <w:sz w:val="21"/>
        </w:rPr>
        <w:t> </w:t>
      </w:r>
      <w:r>
        <w:rPr>
          <w:sz w:val="21"/>
        </w:rPr>
        <w:t>to</w:t>
      </w:r>
      <w:r>
        <w:rPr>
          <w:spacing w:val="26"/>
          <w:sz w:val="21"/>
        </w:rPr>
        <w:t> </w:t>
      </w:r>
      <w:r>
        <w:rPr>
          <w:sz w:val="21"/>
        </w:rPr>
        <w:t>DSF</w:t>
      </w:r>
      <w:r>
        <w:rPr>
          <w:spacing w:val="26"/>
          <w:sz w:val="21"/>
        </w:rPr>
        <w:t> </w:t>
      </w:r>
      <w:r>
        <w:rPr>
          <w:sz w:val="21"/>
        </w:rPr>
        <w:t>by</w:t>
      </w:r>
      <w:r>
        <w:rPr>
          <w:spacing w:val="26"/>
          <w:sz w:val="21"/>
        </w:rPr>
        <w:t> </w:t>
      </w:r>
      <w:r>
        <w:rPr>
          <w:sz w:val="21"/>
        </w:rPr>
        <w:t>the</w:t>
      </w:r>
      <w:r>
        <w:rPr>
          <w:spacing w:val="26"/>
          <w:sz w:val="21"/>
        </w:rPr>
        <w:t> </w:t>
      </w:r>
      <w:r>
        <w:rPr>
          <w:sz w:val="21"/>
        </w:rPr>
        <w:t>tenth</w:t>
      </w:r>
      <w:r>
        <w:rPr>
          <w:spacing w:val="26"/>
          <w:sz w:val="21"/>
        </w:rPr>
        <w:t> </w:t>
      </w:r>
      <w:r>
        <w:rPr>
          <w:sz w:val="21"/>
        </w:rPr>
        <w:t>day</w:t>
      </w:r>
      <w:r>
        <w:rPr>
          <w:spacing w:val="26"/>
          <w:sz w:val="21"/>
        </w:rPr>
        <w:t> </w:t>
      </w:r>
      <w:r>
        <w:rPr>
          <w:sz w:val="21"/>
        </w:rPr>
        <w:t>of</w:t>
      </w:r>
      <w:r>
        <w:rPr>
          <w:spacing w:val="26"/>
          <w:sz w:val="21"/>
        </w:rPr>
        <w:t> </w:t>
      </w:r>
      <w:r>
        <w:rPr>
          <w:sz w:val="21"/>
        </w:rPr>
        <w:t>the</w:t>
      </w:r>
      <w:r>
        <w:rPr>
          <w:spacing w:val="26"/>
          <w:sz w:val="21"/>
        </w:rPr>
        <w:t> </w:t>
      </w:r>
      <w:r>
        <w:rPr>
          <w:sz w:val="21"/>
        </w:rPr>
        <w:t>following</w:t>
      </w:r>
      <w:r>
        <w:rPr>
          <w:spacing w:val="26"/>
          <w:sz w:val="21"/>
        </w:rPr>
        <w:t> </w:t>
      </w:r>
      <w:r>
        <w:rPr>
          <w:sz w:val="21"/>
        </w:rPr>
        <w:t>month.</w:t>
      </w:r>
    </w:p>
    <w:p>
      <w:pPr>
        <w:pStyle w:val="BodyText"/>
        <w:spacing w:before="166"/>
        <w:rPr>
          <w:sz w:val="21"/>
        </w:rPr>
      </w:pPr>
    </w:p>
    <w:p>
      <w:pPr>
        <w:spacing w:line="213" w:lineRule="auto" w:before="0"/>
        <w:ind w:left="144" w:right="118" w:firstLine="0"/>
        <w:jc w:val="both"/>
        <w:rPr>
          <w:sz w:val="21"/>
        </w:rPr>
      </w:pPr>
      <w:r>
        <w:rPr>
          <w:i/>
          <w:sz w:val="21"/>
        </w:rPr>
        <w:t>Two. </w:t>
      </w:r>
      <w:r>
        <w:rPr>
          <w:sz w:val="21"/>
        </w:rPr>
        <w:t>The Concessionaire undertakes to withhold, on definitive basis, the legally stipulated professional tax with regard to its</w:t>
      </w:r>
      <w:r>
        <w:rPr>
          <w:spacing w:val="80"/>
          <w:w w:val="150"/>
          <w:sz w:val="21"/>
        </w:rPr>
        <w:t> </w:t>
      </w:r>
      <w:r>
        <w:rPr>
          <w:sz w:val="21"/>
        </w:rPr>
        <w:t>employees, remitting the respective amounts monthly to DSF, under the legal rules.</w:t>
      </w:r>
    </w:p>
    <w:p>
      <w:pPr>
        <w:pStyle w:val="BodyText"/>
        <w:spacing w:before="131"/>
        <w:rPr>
          <w:sz w:val="21"/>
        </w:rPr>
      </w:pPr>
    </w:p>
    <w:p>
      <w:pPr>
        <w:spacing w:before="0"/>
        <w:ind w:left="24" w:right="0" w:firstLine="0"/>
        <w:jc w:val="center"/>
        <w:rPr>
          <w:b/>
          <w:sz w:val="21"/>
        </w:rPr>
      </w:pPr>
      <w:r>
        <w:rPr>
          <w:b/>
          <w:sz w:val="21"/>
        </w:rPr>
        <w:t>Clause</w:t>
      </w:r>
      <w:r>
        <w:rPr>
          <w:b/>
          <w:spacing w:val="13"/>
          <w:sz w:val="21"/>
        </w:rPr>
        <w:t> </w:t>
      </w:r>
      <w:r>
        <w:rPr>
          <w:b/>
          <w:spacing w:val="-5"/>
          <w:sz w:val="21"/>
        </w:rPr>
        <w:t>55</w:t>
      </w:r>
    </w:p>
    <w:p>
      <w:pPr>
        <w:spacing w:before="69"/>
        <w:ind w:left="24" w:right="0" w:firstLine="0"/>
        <w:jc w:val="center"/>
        <w:rPr>
          <w:b/>
          <w:sz w:val="21"/>
        </w:rPr>
      </w:pPr>
      <w:r>
        <w:rPr>
          <w:b/>
          <w:sz w:val="21"/>
        </w:rPr>
        <w:t>Payment</w:t>
      </w:r>
      <w:r>
        <w:rPr>
          <w:b/>
          <w:spacing w:val="10"/>
          <w:sz w:val="21"/>
        </w:rPr>
        <w:t> </w:t>
      </w:r>
      <w:r>
        <w:rPr>
          <w:b/>
          <w:sz w:val="21"/>
        </w:rPr>
        <w:t>of</w:t>
      </w:r>
      <w:r>
        <w:rPr>
          <w:b/>
          <w:spacing w:val="11"/>
          <w:sz w:val="21"/>
        </w:rPr>
        <w:t> </w:t>
      </w:r>
      <w:r>
        <w:rPr>
          <w:b/>
          <w:sz w:val="21"/>
        </w:rPr>
        <w:t>other</w:t>
      </w:r>
      <w:r>
        <w:rPr>
          <w:b/>
          <w:spacing w:val="6"/>
          <w:sz w:val="21"/>
        </w:rPr>
        <w:t> </w:t>
      </w:r>
      <w:r>
        <w:rPr>
          <w:b/>
          <w:sz w:val="21"/>
        </w:rPr>
        <w:t>taxes,</w:t>
      </w:r>
      <w:r>
        <w:rPr>
          <w:b/>
          <w:spacing w:val="11"/>
          <w:sz w:val="21"/>
        </w:rPr>
        <w:t> </w:t>
      </w:r>
      <w:r>
        <w:rPr>
          <w:b/>
          <w:sz w:val="21"/>
        </w:rPr>
        <w:t>contributions,</w:t>
      </w:r>
      <w:r>
        <w:rPr>
          <w:b/>
          <w:spacing w:val="11"/>
          <w:sz w:val="21"/>
        </w:rPr>
        <w:t> </w:t>
      </w:r>
      <w:r>
        <w:rPr>
          <w:b/>
          <w:sz w:val="21"/>
        </w:rPr>
        <w:t>fees</w:t>
      </w:r>
      <w:r>
        <w:rPr>
          <w:b/>
          <w:spacing w:val="11"/>
          <w:sz w:val="21"/>
        </w:rPr>
        <w:t> </w:t>
      </w:r>
      <w:r>
        <w:rPr>
          <w:b/>
          <w:sz w:val="21"/>
        </w:rPr>
        <w:t>or,</w:t>
      </w:r>
      <w:r>
        <w:rPr>
          <w:b/>
          <w:spacing w:val="10"/>
          <w:sz w:val="21"/>
        </w:rPr>
        <w:t> </w:t>
      </w:r>
      <w:r>
        <w:rPr>
          <w:b/>
          <w:sz w:val="21"/>
        </w:rPr>
        <w:t>emoluments</w:t>
      </w:r>
      <w:r>
        <w:rPr>
          <w:b/>
          <w:spacing w:val="11"/>
          <w:sz w:val="21"/>
        </w:rPr>
        <w:t> </w:t>
      </w:r>
      <w:r>
        <w:rPr>
          <w:b/>
          <w:spacing w:val="-5"/>
          <w:sz w:val="21"/>
        </w:rPr>
        <w:t>due</w:t>
      </w:r>
    </w:p>
    <w:p>
      <w:pPr>
        <w:pStyle w:val="BodyText"/>
        <w:spacing w:before="173"/>
        <w:rPr>
          <w:b/>
          <w:sz w:val="21"/>
        </w:rPr>
      </w:pPr>
    </w:p>
    <w:p>
      <w:pPr>
        <w:spacing w:line="213" w:lineRule="auto" w:before="0"/>
        <w:ind w:left="144" w:right="121" w:firstLine="0"/>
        <w:jc w:val="both"/>
        <w:rPr>
          <w:sz w:val="21"/>
        </w:rPr>
      </w:pPr>
      <w:r>
        <w:rPr>
          <w:sz w:val="21"/>
        </w:rPr>
        <w:t>The Concessionaire undertakes to pay other taxes, contributions, duties, or emoluments due and stipulated in the legislation of the</w:t>
      </w:r>
      <w:r>
        <w:rPr>
          <w:spacing w:val="40"/>
          <w:sz w:val="21"/>
        </w:rPr>
        <w:t> </w:t>
      </w:r>
      <w:r>
        <w:rPr>
          <w:sz w:val="21"/>
        </w:rPr>
        <w:t>Macau SAR and from which payment is not exempted.</w:t>
      </w:r>
    </w:p>
    <w:p>
      <w:pPr>
        <w:pStyle w:val="BodyText"/>
        <w:spacing w:before="144"/>
        <w:rPr>
          <w:sz w:val="21"/>
        </w:rPr>
      </w:pPr>
    </w:p>
    <w:p>
      <w:pPr>
        <w:spacing w:before="0"/>
        <w:ind w:left="24" w:right="0" w:firstLine="0"/>
        <w:jc w:val="center"/>
        <w:rPr>
          <w:b/>
          <w:sz w:val="21"/>
        </w:rPr>
      </w:pPr>
      <w:r>
        <w:rPr>
          <w:b/>
          <w:sz w:val="21"/>
        </w:rPr>
        <w:t>Clause</w:t>
      </w:r>
      <w:r>
        <w:rPr>
          <w:b/>
          <w:spacing w:val="13"/>
          <w:sz w:val="21"/>
        </w:rPr>
        <w:t> </w:t>
      </w:r>
      <w:r>
        <w:rPr>
          <w:b/>
          <w:spacing w:val="-5"/>
          <w:sz w:val="21"/>
        </w:rPr>
        <w:t>56</w:t>
      </w:r>
    </w:p>
    <w:p>
      <w:pPr>
        <w:spacing w:before="55"/>
        <w:ind w:left="24" w:right="0" w:firstLine="0"/>
        <w:jc w:val="center"/>
        <w:rPr>
          <w:b/>
          <w:sz w:val="21"/>
        </w:rPr>
      </w:pPr>
      <w:r>
        <w:rPr>
          <w:b/>
          <w:sz w:val="21"/>
        </w:rPr>
        <w:t>Document</w:t>
      </w:r>
      <w:r>
        <w:rPr>
          <w:b/>
          <w:spacing w:val="10"/>
          <w:sz w:val="21"/>
        </w:rPr>
        <w:t> </w:t>
      </w:r>
      <w:r>
        <w:rPr>
          <w:b/>
          <w:sz w:val="21"/>
        </w:rPr>
        <w:t>proving</w:t>
      </w:r>
      <w:r>
        <w:rPr>
          <w:b/>
          <w:spacing w:val="11"/>
          <w:sz w:val="21"/>
        </w:rPr>
        <w:t> </w:t>
      </w:r>
      <w:r>
        <w:rPr>
          <w:b/>
          <w:sz w:val="21"/>
        </w:rPr>
        <w:t>the</w:t>
      </w:r>
      <w:r>
        <w:rPr>
          <w:b/>
          <w:spacing w:val="11"/>
          <w:sz w:val="21"/>
        </w:rPr>
        <w:t> </w:t>
      </w:r>
      <w:r>
        <w:rPr>
          <w:b/>
          <w:sz w:val="21"/>
        </w:rPr>
        <w:t>inexistence</w:t>
      </w:r>
      <w:r>
        <w:rPr>
          <w:b/>
          <w:spacing w:val="11"/>
          <w:sz w:val="21"/>
        </w:rPr>
        <w:t> </w:t>
      </w:r>
      <w:r>
        <w:rPr>
          <w:b/>
          <w:sz w:val="21"/>
        </w:rPr>
        <w:t>of</w:t>
      </w:r>
      <w:r>
        <w:rPr>
          <w:b/>
          <w:spacing w:val="11"/>
          <w:sz w:val="21"/>
        </w:rPr>
        <w:t> </w:t>
      </w:r>
      <w:r>
        <w:rPr>
          <w:b/>
          <w:sz w:val="21"/>
        </w:rPr>
        <w:t>debts</w:t>
      </w:r>
      <w:r>
        <w:rPr>
          <w:b/>
          <w:spacing w:val="11"/>
          <w:sz w:val="21"/>
        </w:rPr>
        <w:t> </w:t>
      </w:r>
      <w:r>
        <w:rPr>
          <w:b/>
          <w:sz w:val="21"/>
        </w:rPr>
        <w:t>owing</w:t>
      </w:r>
      <w:r>
        <w:rPr>
          <w:b/>
          <w:spacing w:val="11"/>
          <w:sz w:val="21"/>
        </w:rPr>
        <w:t> </w:t>
      </w:r>
      <w:r>
        <w:rPr>
          <w:b/>
          <w:sz w:val="21"/>
        </w:rPr>
        <w:t>to</w:t>
      </w:r>
      <w:r>
        <w:rPr>
          <w:b/>
          <w:spacing w:val="11"/>
          <w:sz w:val="21"/>
        </w:rPr>
        <w:t> </w:t>
      </w:r>
      <w:r>
        <w:rPr>
          <w:b/>
          <w:sz w:val="21"/>
        </w:rPr>
        <w:t>the</w:t>
      </w:r>
      <w:r>
        <w:rPr>
          <w:b/>
          <w:spacing w:val="11"/>
          <w:sz w:val="21"/>
        </w:rPr>
        <w:t> </w:t>
      </w:r>
      <w:r>
        <w:rPr>
          <w:b/>
          <w:sz w:val="21"/>
        </w:rPr>
        <w:t>Macau</w:t>
      </w:r>
      <w:r>
        <w:rPr>
          <w:b/>
          <w:spacing w:val="10"/>
          <w:sz w:val="21"/>
        </w:rPr>
        <w:t> </w:t>
      </w:r>
      <w:r>
        <w:rPr>
          <w:b/>
          <w:spacing w:val="-5"/>
          <w:sz w:val="21"/>
        </w:rPr>
        <w:t>SAR</w:t>
      </w:r>
    </w:p>
    <w:p>
      <w:pPr>
        <w:pStyle w:val="BodyText"/>
        <w:spacing w:before="160"/>
        <w:rPr>
          <w:b/>
          <w:sz w:val="21"/>
        </w:rPr>
      </w:pPr>
    </w:p>
    <w:p>
      <w:pPr>
        <w:spacing w:line="213" w:lineRule="auto" w:before="0"/>
        <w:ind w:left="144" w:right="117" w:firstLine="0"/>
        <w:jc w:val="both"/>
        <w:rPr>
          <w:sz w:val="21"/>
        </w:rPr>
      </w:pPr>
      <w:r>
        <w:rPr>
          <w:i/>
          <w:sz w:val="21"/>
        </w:rPr>
        <w:t>One</w:t>
      </w:r>
      <w:r>
        <w:rPr>
          <w:sz w:val="21"/>
        </w:rPr>
        <w:t>.</w:t>
      </w:r>
      <w:r>
        <w:rPr>
          <w:spacing w:val="37"/>
          <w:sz w:val="21"/>
        </w:rPr>
        <w:t> </w:t>
      </w:r>
      <w:r>
        <w:rPr>
          <w:sz w:val="21"/>
        </w:rPr>
        <w:t>The</w:t>
      </w:r>
      <w:r>
        <w:rPr>
          <w:spacing w:val="40"/>
          <w:sz w:val="21"/>
        </w:rPr>
        <w:t> </w:t>
      </w:r>
      <w:r>
        <w:rPr>
          <w:sz w:val="21"/>
        </w:rPr>
        <w:t>Concessionaire</w:t>
      </w:r>
      <w:r>
        <w:rPr>
          <w:spacing w:val="40"/>
          <w:sz w:val="21"/>
        </w:rPr>
        <w:t> </w:t>
      </w:r>
      <w:r>
        <w:rPr>
          <w:sz w:val="21"/>
        </w:rPr>
        <w:t>is</w:t>
      </w:r>
      <w:r>
        <w:rPr>
          <w:spacing w:val="40"/>
          <w:sz w:val="21"/>
        </w:rPr>
        <w:t> </w:t>
      </w:r>
      <w:r>
        <w:rPr>
          <w:sz w:val="21"/>
        </w:rPr>
        <w:t>obligated</w:t>
      </w:r>
      <w:r>
        <w:rPr>
          <w:spacing w:val="40"/>
          <w:sz w:val="21"/>
        </w:rPr>
        <w:t> </w:t>
      </w:r>
      <w:r>
        <w:rPr>
          <w:sz w:val="21"/>
        </w:rPr>
        <w:t>to</w:t>
      </w:r>
      <w:r>
        <w:rPr>
          <w:spacing w:val="40"/>
          <w:sz w:val="21"/>
        </w:rPr>
        <w:t> </w:t>
      </w:r>
      <w:r>
        <w:rPr>
          <w:sz w:val="21"/>
        </w:rPr>
        <w:t>deliver</w:t>
      </w:r>
      <w:r>
        <w:rPr>
          <w:spacing w:val="40"/>
          <w:sz w:val="21"/>
        </w:rPr>
        <w:t> </w:t>
      </w:r>
      <w:r>
        <w:rPr>
          <w:sz w:val="21"/>
        </w:rPr>
        <w:t>to</w:t>
      </w:r>
      <w:r>
        <w:rPr>
          <w:spacing w:val="40"/>
          <w:sz w:val="21"/>
        </w:rPr>
        <w:t> </w:t>
      </w:r>
      <w:r>
        <w:rPr>
          <w:sz w:val="21"/>
        </w:rPr>
        <w:t>DICJ,</w:t>
      </w:r>
      <w:r>
        <w:rPr>
          <w:spacing w:val="40"/>
          <w:sz w:val="21"/>
        </w:rPr>
        <w:t> </w:t>
      </w:r>
      <w:r>
        <w:rPr>
          <w:sz w:val="21"/>
        </w:rPr>
        <w:t>by</w:t>
      </w:r>
      <w:r>
        <w:rPr>
          <w:spacing w:val="40"/>
          <w:sz w:val="21"/>
        </w:rPr>
        <w:t> </w:t>
      </w:r>
      <w:r>
        <w:rPr>
          <w:sz w:val="21"/>
        </w:rPr>
        <w:t>31</w:t>
      </w:r>
      <w:r>
        <w:rPr>
          <w:sz w:val="21"/>
          <w:vertAlign w:val="superscript"/>
        </w:rPr>
        <w:t>st</w:t>
      </w:r>
      <w:r>
        <w:rPr>
          <w:spacing w:val="40"/>
          <w:sz w:val="21"/>
          <w:vertAlign w:val="baseline"/>
        </w:rPr>
        <w:t> </w:t>
      </w:r>
      <w:r>
        <w:rPr>
          <w:sz w:val="21"/>
          <w:vertAlign w:val="baseline"/>
        </w:rPr>
        <w:t>of</w:t>
      </w:r>
      <w:r>
        <w:rPr>
          <w:spacing w:val="40"/>
          <w:sz w:val="21"/>
          <w:vertAlign w:val="baseline"/>
        </w:rPr>
        <w:t> </w:t>
      </w:r>
      <w:r>
        <w:rPr>
          <w:sz w:val="21"/>
          <w:vertAlign w:val="baseline"/>
        </w:rPr>
        <w:t>March</w:t>
      </w:r>
      <w:r>
        <w:rPr>
          <w:spacing w:val="40"/>
          <w:sz w:val="21"/>
          <w:vertAlign w:val="baseline"/>
        </w:rPr>
        <w:t> </w:t>
      </w:r>
      <w:r>
        <w:rPr>
          <w:sz w:val="21"/>
          <w:vertAlign w:val="baseline"/>
        </w:rPr>
        <w:t>each</w:t>
      </w:r>
      <w:r>
        <w:rPr>
          <w:spacing w:val="40"/>
          <w:sz w:val="21"/>
          <w:vertAlign w:val="baseline"/>
        </w:rPr>
        <w:t> </w:t>
      </w:r>
      <w:r>
        <w:rPr>
          <w:sz w:val="21"/>
          <w:vertAlign w:val="baseline"/>
        </w:rPr>
        <w:t>year,</w:t>
      </w:r>
      <w:r>
        <w:rPr>
          <w:spacing w:val="40"/>
          <w:sz w:val="21"/>
          <w:vertAlign w:val="baseline"/>
        </w:rPr>
        <w:t> </w:t>
      </w:r>
      <w:r>
        <w:rPr>
          <w:sz w:val="21"/>
          <w:vertAlign w:val="baseline"/>
        </w:rPr>
        <w:t>a</w:t>
      </w:r>
      <w:r>
        <w:rPr>
          <w:spacing w:val="40"/>
          <w:sz w:val="21"/>
          <w:vertAlign w:val="baseline"/>
        </w:rPr>
        <w:t> </w:t>
      </w:r>
      <w:r>
        <w:rPr>
          <w:sz w:val="21"/>
          <w:vertAlign w:val="baseline"/>
        </w:rPr>
        <w:t>certificate</w:t>
      </w:r>
      <w:r>
        <w:rPr>
          <w:spacing w:val="40"/>
          <w:sz w:val="21"/>
          <w:vertAlign w:val="baseline"/>
        </w:rPr>
        <w:t> </w:t>
      </w:r>
      <w:r>
        <w:rPr>
          <w:sz w:val="21"/>
          <w:vertAlign w:val="baseline"/>
        </w:rPr>
        <w:t>issued</w:t>
      </w:r>
      <w:r>
        <w:rPr>
          <w:spacing w:val="40"/>
          <w:sz w:val="21"/>
          <w:vertAlign w:val="baseline"/>
        </w:rPr>
        <w:t> </w:t>
      </w:r>
      <w:r>
        <w:rPr>
          <w:sz w:val="21"/>
          <w:vertAlign w:val="baseline"/>
        </w:rPr>
        <w:t>by</w:t>
      </w:r>
      <w:r>
        <w:rPr>
          <w:spacing w:val="40"/>
          <w:sz w:val="21"/>
          <w:vertAlign w:val="baseline"/>
        </w:rPr>
        <w:t> </w:t>
      </w:r>
      <w:r>
        <w:rPr>
          <w:sz w:val="21"/>
          <w:vertAlign w:val="baseline"/>
        </w:rPr>
        <w:t>DSF</w:t>
      </w:r>
      <w:r>
        <w:rPr>
          <w:spacing w:val="40"/>
          <w:sz w:val="21"/>
          <w:vertAlign w:val="baseline"/>
        </w:rPr>
        <w:t> </w:t>
      </w:r>
      <w:r>
        <w:rPr>
          <w:sz w:val="21"/>
          <w:vertAlign w:val="baseline"/>
        </w:rPr>
        <w:t>regarding</w:t>
      </w:r>
      <w:r>
        <w:rPr>
          <w:spacing w:val="40"/>
          <w:sz w:val="21"/>
          <w:vertAlign w:val="baseline"/>
        </w:rPr>
        <w:t> </w:t>
      </w:r>
      <w:r>
        <w:rPr>
          <w:sz w:val="21"/>
          <w:vertAlign w:val="baseline"/>
        </w:rPr>
        <w:t>the previous fiscal year proving that the Concessionaire is not in debt to the Macau SAR for contributions and taxes, fines or surcharges, including compensatory and default interest and 3% of debts.</w:t>
      </w:r>
    </w:p>
    <w:p>
      <w:pPr>
        <w:pStyle w:val="BodyText"/>
        <w:spacing w:before="153"/>
        <w:rPr>
          <w:sz w:val="21"/>
        </w:rPr>
      </w:pPr>
    </w:p>
    <w:p>
      <w:pPr>
        <w:spacing w:line="213" w:lineRule="auto" w:before="0"/>
        <w:ind w:left="144" w:right="118" w:firstLine="0"/>
        <w:jc w:val="both"/>
        <w:rPr>
          <w:sz w:val="21"/>
        </w:rPr>
      </w:pPr>
      <w:r>
        <w:rPr>
          <w:i/>
          <w:sz w:val="21"/>
        </w:rPr>
        <w:t>Two. </w:t>
      </w:r>
      <w:r>
        <w:rPr>
          <w:sz w:val="21"/>
        </w:rPr>
        <w:t>The Concessionaire is also obliged to deliver to DICJ, by 31</w:t>
      </w:r>
      <w:r>
        <w:rPr>
          <w:sz w:val="21"/>
          <w:vertAlign w:val="superscript"/>
        </w:rPr>
        <w:t>st</w:t>
      </w:r>
      <w:r>
        <w:rPr>
          <w:sz w:val="21"/>
          <w:vertAlign w:val="baseline"/>
        </w:rPr>
        <w:t> of March each year, a document containing the tax status for the previous</w:t>
      </w:r>
      <w:r>
        <w:rPr>
          <w:spacing w:val="16"/>
          <w:sz w:val="21"/>
          <w:vertAlign w:val="baseline"/>
        </w:rPr>
        <w:t> </w:t>
      </w:r>
      <w:r>
        <w:rPr>
          <w:sz w:val="21"/>
          <w:vertAlign w:val="baseline"/>
        </w:rPr>
        <w:t>tax</w:t>
      </w:r>
      <w:r>
        <w:rPr>
          <w:spacing w:val="16"/>
          <w:sz w:val="21"/>
          <w:vertAlign w:val="baseline"/>
        </w:rPr>
        <w:t> </w:t>
      </w:r>
      <w:r>
        <w:rPr>
          <w:sz w:val="21"/>
          <w:vertAlign w:val="baseline"/>
        </w:rPr>
        <w:t>year,</w:t>
      </w:r>
      <w:r>
        <w:rPr>
          <w:spacing w:val="16"/>
          <w:sz w:val="21"/>
          <w:vertAlign w:val="baseline"/>
        </w:rPr>
        <w:t> </w:t>
      </w:r>
      <w:r>
        <w:rPr>
          <w:sz w:val="21"/>
          <w:vertAlign w:val="baseline"/>
        </w:rPr>
        <w:t>of</w:t>
      </w:r>
      <w:r>
        <w:rPr>
          <w:spacing w:val="16"/>
          <w:sz w:val="21"/>
          <w:vertAlign w:val="baseline"/>
        </w:rPr>
        <w:t> </w:t>
      </w:r>
      <w:r>
        <w:rPr>
          <w:sz w:val="21"/>
          <w:vertAlign w:val="baseline"/>
        </w:rPr>
        <w:t>its</w:t>
      </w:r>
      <w:r>
        <w:rPr>
          <w:spacing w:val="16"/>
          <w:sz w:val="21"/>
          <w:vertAlign w:val="baseline"/>
        </w:rPr>
        <w:t> </w:t>
      </w:r>
      <w:r>
        <w:rPr>
          <w:sz w:val="21"/>
          <w:vertAlign w:val="baseline"/>
        </w:rPr>
        <w:t>managing</w:t>
      </w:r>
      <w:r>
        <w:rPr>
          <w:spacing w:val="16"/>
          <w:sz w:val="21"/>
          <w:vertAlign w:val="baseline"/>
        </w:rPr>
        <w:t> </w:t>
      </w:r>
      <w:r>
        <w:rPr>
          <w:sz w:val="21"/>
          <w:vertAlign w:val="baseline"/>
        </w:rPr>
        <w:t>director,</w:t>
      </w:r>
      <w:r>
        <w:rPr>
          <w:spacing w:val="16"/>
          <w:sz w:val="21"/>
          <w:vertAlign w:val="baseline"/>
        </w:rPr>
        <w:t> </w:t>
      </w:r>
      <w:r>
        <w:rPr>
          <w:sz w:val="21"/>
          <w:vertAlign w:val="baseline"/>
        </w:rPr>
        <w:t>members</w:t>
      </w:r>
      <w:r>
        <w:rPr>
          <w:spacing w:val="16"/>
          <w:sz w:val="21"/>
          <w:vertAlign w:val="baseline"/>
        </w:rPr>
        <w:t> </w:t>
      </w:r>
      <w:r>
        <w:rPr>
          <w:sz w:val="21"/>
          <w:vertAlign w:val="baseline"/>
        </w:rPr>
        <w:t>of</w:t>
      </w:r>
      <w:r>
        <w:rPr>
          <w:spacing w:val="16"/>
          <w:sz w:val="21"/>
          <w:vertAlign w:val="baseline"/>
        </w:rPr>
        <w:t> </w:t>
      </w:r>
      <w:r>
        <w:rPr>
          <w:sz w:val="21"/>
          <w:vertAlign w:val="baseline"/>
        </w:rPr>
        <w:t>its</w:t>
      </w:r>
      <w:r>
        <w:rPr>
          <w:spacing w:val="16"/>
          <w:sz w:val="21"/>
          <w:vertAlign w:val="baseline"/>
        </w:rPr>
        <w:t> </w:t>
      </w:r>
      <w:r>
        <w:rPr>
          <w:sz w:val="21"/>
          <w:vertAlign w:val="baseline"/>
        </w:rPr>
        <w:t>corporate</w:t>
      </w:r>
      <w:r>
        <w:rPr>
          <w:spacing w:val="16"/>
          <w:sz w:val="21"/>
          <w:vertAlign w:val="baseline"/>
        </w:rPr>
        <w:t> </w:t>
      </w:r>
      <w:r>
        <w:rPr>
          <w:sz w:val="21"/>
          <w:vertAlign w:val="baseline"/>
        </w:rPr>
        <w:t>bodies,</w:t>
      </w:r>
      <w:r>
        <w:rPr>
          <w:spacing w:val="16"/>
          <w:sz w:val="21"/>
          <w:vertAlign w:val="baseline"/>
        </w:rPr>
        <w:t> </w:t>
      </w:r>
      <w:r>
        <w:rPr>
          <w:sz w:val="21"/>
          <w:vertAlign w:val="baseline"/>
        </w:rPr>
        <w:t>key</w:t>
      </w:r>
      <w:r>
        <w:rPr>
          <w:spacing w:val="16"/>
          <w:sz w:val="21"/>
          <w:vertAlign w:val="baseline"/>
        </w:rPr>
        <w:t> </w:t>
      </w:r>
      <w:r>
        <w:rPr>
          <w:sz w:val="21"/>
          <w:vertAlign w:val="baseline"/>
        </w:rPr>
        <w:t>employees</w:t>
      </w:r>
      <w:r>
        <w:rPr>
          <w:spacing w:val="16"/>
          <w:sz w:val="21"/>
          <w:vertAlign w:val="baseline"/>
        </w:rPr>
        <w:t> </w:t>
      </w:r>
      <w:r>
        <w:rPr>
          <w:sz w:val="21"/>
          <w:vertAlign w:val="baseline"/>
        </w:rPr>
        <w:t>and</w:t>
      </w:r>
      <w:r>
        <w:rPr>
          <w:spacing w:val="16"/>
          <w:sz w:val="21"/>
          <w:vertAlign w:val="baseline"/>
        </w:rPr>
        <w:t> </w:t>
      </w:r>
      <w:r>
        <w:rPr>
          <w:sz w:val="21"/>
          <w:vertAlign w:val="baseline"/>
        </w:rPr>
        <w:t>shareholders</w:t>
      </w:r>
      <w:r>
        <w:rPr>
          <w:spacing w:val="16"/>
          <w:sz w:val="21"/>
          <w:vertAlign w:val="baseline"/>
        </w:rPr>
        <w:t> </w:t>
      </w:r>
      <w:r>
        <w:rPr>
          <w:sz w:val="21"/>
          <w:vertAlign w:val="baseline"/>
        </w:rPr>
        <w:t>holding</w:t>
      </w:r>
      <w:r>
        <w:rPr>
          <w:spacing w:val="16"/>
          <w:sz w:val="21"/>
          <w:vertAlign w:val="baseline"/>
        </w:rPr>
        <w:t> </w:t>
      </w:r>
      <w:r>
        <w:rPr>
          <w:sz w:val="21"/>
          <w:vertAlign w:val="baseline"/>
        </w:rPr>
        <w:t>5%</w:t>
      </w:r>
      <w:r>
        <w:rPr>
          <w:spacing w:val="16"/>
          <w:sz w:val="21"/>
          <w:vertAlign w:val="baseline"/>
        </w:rPr>
        <w:t> </w:t>
      </w:r>
      <w:r>
        <w:rPr>
          <w:sz w:val="21"/>
          <w:vertAlign w:val="baseline"/>
        </w:rPr>
        <w:t>or</w:t>
      </w:r>
      <w:r>
        <w:rPr>
          <w:spacing w:val="16"/>
          <w:sz w:val="21"/>
          <w:vertAlign w:val="baseline"/>
        </w:rPr>
        <w:t> </w:t>
      </w:r>
      <w:r>
        <w:rPr>
          <w:sz w:val="21"/>
          <w:vertAlign w:val="baseline"/>
        </w:rPr>
        <w:t>more</w:t>
      </w:r>
      <w:r>
        <w:rPr>
          <w:spacing w:val="16"/>
          <w:sz w:val="21"/>
          <w:vertAlign w:val="baseline"/>
        </w:rPr>
        <w:t> </w:t>
      </w:r>
      <w:r>
        <w:rPr>
          <w:sz w:val="21"/>
          <w:vertAlign w:val="baseline"/>
        </w:rPr>
        <w:t>of its share capital.</w:t>
      </w:r>
    </w:p>
    <w:p>
      <w:pPr>
        <w:pStyle w:val="BodyText"/>
        <w:spacing w:before="132"/>
        <w:rPr>
          <w:sz w:val="21"/>
        </w:rPr>
      </w:pPr>
    </w:p>
    <w:p>
      <w:pPr>
        <w:spacing w:before="0"/>
        <w:ind w:left="24" w:right="0" w:firstLine="0"/>
        <w:jc w:val="center"/>
        <w:rPr>
          <w:b/>
          <w:sz w:val="21"/>
        </w:rPr>
      </w:pPr>
      <w:r>
        <w:rPr>
          <w:b/>
          <w:sz w:val="21"/>
        </w:rPr>
        <w:t>Clause</w:t>
      </w:r>
      <w:r>
        <w:rPr>
          <w:b/>
          <w:spacing w:val="13"/>
          <w:sz w:val="21"/>
        </w:rPr>
        <w:t> </w:t>
      </w:r>
      <w:r>
        <w:rPr>
          <w:b/>
          <w:spacing w:val="-5"/>
          <w:sz w:val="21"/>
        </w:rPr>
        <w:t>57</w:t>
      </w:r>
    </w:p>
    <w:p>
      <w:pPr>
        <w:spacing w:before="69"/>
        <w:ind w:left="24" w:right="0" w:firstLine="0"/>
        <w:jc w:val="center"/>
        <w:rPr>
          <w:b/>
          <w:sz w:val="21"/>
        </w:rPr>
      </w:pPr>
      <w:r>
        <w:rPr>
          <w:b/>
          <w:sz w:val="21"/>
        </w:rPr>
        <w:t>Document</w:t>
      </w:r>
      <w:r>
        <w:rPr>
          <w:b/>
          <w:spacing w:val="10"/>
          <w:sz w:val="21"/>
        </w:rPr>
        <w:t> </w:t>
      </w:r>
      <w:r>
        <w:rPr>
          <w:b/>
          <w:sz w:val="21"/>
        </w:rPr>
        <w:t>proving</w:t>
      </w:r>
      <w:r>
        <w:rPr>
          <w:b/>
          <w:spacing w:val="11"/>
          <w:sz w:val="21"/>
        </w:rPr>
        <w:t> </w:t>
      </w:r>
      <w:r>
        <w:rPr>
          <w:b/>
          <w:sz w:val="21"/>
        </w:rPr>
        <w:t>the</w:t>
      </w:r>
      <w:r>
        <w:rPr>
          <w:b/>
          <w:spacing w:val="10"/>
          <w:sz w:val="21"/>
        </w:rPr>
        <w:t> </w:t>
      </w:r>
      <w:r>
        <w:rPr>
          <w:b/>
          <w:sz w:val="21"/>
        </w:rPr>
        <w:t>inexistence</w:t>
      </w:r>
      <w:r>
        <w:rPr>
          <w:b/>
          <w:spacing w:val="11"/>
          <w:sz w:val="21"/>
        </w:rPr>
        <w:t> </w:t>
      </w:r>
      <w:r>
        <w:rPr>
          <w:b/>
          <w:sz w:val="21"/>
        </w:rPr>
        <w:t>of</w:t>
      </w:r>
      <w:r>
        <w:rPr>
          <w:b/>
          <w:spacing w:val="10"/>
          <w:sz w:val="21"/>
        </w:rPr>
        <w:t> </w:t>
      </w:r>
      <w:r>
        <w:rPr>
          <w:b/>
          <w:sz w:val="21"/>
        </w:rPr>
        <w:t>debts</w:t>
      </w:r>
      <w:r>
        <w:rPr>
          <w:b/>
          <w:spacing w:val="11"/>
          <w:sz w:val="21"/>
        </w:rPr>
        <w:t> </w:t>
      </w:r>
      <w:r>
        <w:rPr>
          <w:b/>
          <w:sz w:val="21"/>
        </w:rPr>
        <w:t>to the</w:t>
      </w:r>
      <w:r>
        <w:rPr>
          <w:b/>
          <w:spacing w:val="11"/>
          <w:sz w:val="21"/>
        </w:rPr>
        <w:t> </w:t>
      </w:r>
      <w:r>
        <w:rPr>
          <w:b/>
          <w:sz w:val="21"/>
        </w:rPr>
        <w:t>Social</w:t>
      </w:r>
      <w:r>
        <w:rPr>
          <w:b/>
          <w:spacing w:val="10"/>
          <w:sz w:val="21"/>
        </w:rPr>
        <w:t> </w:t>
      </w:r>
      <w:r>
        <w:rPr>
          <w:b/>
          <w:sz w:val="21"/>
        </w:rPr>
        <w:t>Security</w:t>
      </w:r>
      <w:r>
        <w:rPr>
          <w:b/>
          <w:spacing w:val="11"/>
          <w:sz w:val="21"/>
        </w:rPr>
        <w:t> </w:t>
      </w:r>
      <w:r>
        <w:rPr>
          <w:b/>
          <w:sz w:val="21"/>
        </w:rPr>
        <w:t>of</w:t>
      </w:r>
      <w:r>
        <w:rPr>
          <w:b/>
          <w:spacing w:val="10"/>
          <w:sz w:val="21"/>
        </w:rPr>
        <w:t> </w:t>
      </w:r>
      <w:r>
        <w:rPr>
          <w:b/>
          <w:sz w:val="21"/>
        </w:rPr>
        <w:t>the</w:t>
      </w:r>
      <w:r>
        <w:rPr>
          <w:b/>
          <w:spacing w:val="11"/>
          <w:sz w:val="21"/>
        </w:rPr>
        <w:t> </w:t>
      </w:r>
      <w:r>
        <w:rPr>
          <w:b/>
          <w:sz w:val="21"/>
        </w:rPr>
        <w:t>Macau</w:t>
      </w:r>
      <w:r>
        <w:rPr>
          <w:b/>
          <w:spacing w:val="10"/>
          <w:sz w:val="21"/>
        </w:rPr>
        <w:t> </w:t>
      </w:r>
      <w:r>
        <w:rPr>
          <w:b/>
          <w:spacing w:val="-5"/>
          <w:sz w:val="21"/>
        </w:rPr>
        <w:t>SAR</w:t>
      </w:r>
    </w:p>
    <w:p>
      <w:pPr>
        <w:pStyle w:val="BodyText"/>
        <w:spacing w:before="141"/>
        <w:rPr>
          <w:b/>
          <w:sz w:val="21"/>
        </w:rPr>
      </w:pPr>
    </w:p>
    <w:p>
      <w:pPr>
        <w:spacing w:line="213" w:lineRule="auto" w:before="1"/>
        <w:ind w:left="144" w:right="118" w:firstLine="0"/>
        <w:jc w:val="both"/>
        <w:rPr>
          <w:sz w:val="21"/>
        </w:rPr>
      </w:pPr>
      <w:r>
        <w:rPr>
          <w:sz w:val="21"/>
        </w:rPr>
        <w:t>The Concessionaire is obliged to deliver to DICJ, by 31</w:t>
      </w:r>
      <w:r>
        <w:rPr>
          <w:position w:val="7"/>
          <w:sz w:val="14"/>
        </w:rPr>
        <w:t>st</w:t>
      </w:r>
      <w:r>
        <w:rPr>
          <w:spacing w:val="30"/>
          <w:position w:val="7"/>
          <w:sz w:val="14"/>
        </w:rPr>
        <w:t> </w:t>
      </w:r>
      <w:r>
        <w:rPr>
          <w:sz w:val="21"/>
        </w:rPr>
        <w:t>of March each year, a document issued by the Social Security Fund proving</w:t>
      </w:r>
      <w:r>
        <w:rPr>
          <w:spacing w:val="40"/>
          <w:sz w:val="21"/>
        </w:rPr>
        <w:t> </w:t>
      </w:r>
      <w:r>
        <w:rPr>
          <w:sz w:val="21"/>
        </w:rPr>
        <w:t>the</w:t>
      </w:r>
      <w:r>
        <w:rPr>
          <w:spacing w:val="24"/>
          <w:sz w:val="21"/>
        </w:rPr>
        <w:t> </w:t>
      </w:r>
      <w:r>
        <w:rPr>
          <w:sz w:val="21"/>
        </w:rPr>
        <w:t>Concessionaire</w:t>
      </w:r>
      <w:r>
        <w:rPr>
          <w:spacing w:val="24"/>
          <w:sz w:val="21"/>
        </w:rPr>
        <w:t> </w:t>
      </w:r>
      <w:r>
        <w:rPr>
          <w:sz w:val="21"/>
        </w:rPr>
        <w:t>has</w:t>
      </w:r>
      <w:r>
        <w:rPr>
          <w:spacing w:val="24"/>
          <w:sz w:val="21"/>
        </w:rPr>
        <w:t> </w:t>
      </w:r>
      <w:r>
        <w:rPr>
          <w:sz w:val="21"/>
        </w:rPr>
        <w:t>in</w:t>
      </w:r>
      <w:r>
        <w:rPr>
          <w:spacing w:val="24"/>
          <w:sz w:val="21"/>
        </w:rPr>
        <w:t> </w:t>
      </w:r>
      <w:r>
        <w:rPr>
          <w:sz w:val="21"/>
        </w:rPr>
        <w:t>order</w:t>
      </w:r>
      <w:r>
        <w:rPr>
          <w:spacing w:val="24"/>
          <w:sz w:val="21"/>
        </w:rPr>
        <w:t> </w:t>
      </w:r>
      <w:r>
        <w:rPr>
          <w:sz w:val="21"/>
        </w:rPr>
        <w:t>its</w:t>
      </w:r>
      <w:r>
        <w:rPr>
          <w:spacing w:val="24"/>
          <w:sz w:val="21"/>
        </w:rPr>
        <w:t> </w:t>
      </w:r>
      <w:r>
        <w:rPr>
          <w:sz w:val="21"/>
        </w:rPr>
        <w:t>contributions</w:t>
      </w:r>
      <w:r>
        <w:rPr>
          <w:spacing w:val="24"/>
          <w:sz w:val="21"/>
        </w:rPr>
        <w:t> </w:t>
      </w:r>
      <w:r>
        <w:rPr>
          <w:sz w:val="21"/>
        </w:rPr>
        <w:t>to</w:t>
      </w:r>
      <w:r>
        <w:rPr>
          <w:spacing w:val="24"/>
          <w:sz w:val="21"/>
        </w:rPr>
        <w:t> </w:t>
      </w:r>
      <w:r>
        <w:rPr>
          <w:sz w:val="21"/>
        </w:rPr>
        <w:t>the</w:t>
      </w:r>
      <w:r>
        <w:rPr>
          <w:spacing w:val="24"/>
          <w:sz w:val="21"/>
        </w:rPr>
        <w:t> </w:t>
      </w:r>
      <w:r>
        <w:rPr>
          <w:sz w:val="21"/>
        </w:rPr>
        <w:t>Social</w:t>
      </w:r>
      <w:r>
        <w:rPr>
          <w:spacing w:val="24"/>
          <w:sz w:val="21"/>
        </w:rPr>
        <w:t> </w:t>
      </w:r>
      <w:r>
        <w:rPr>
          <w:sz w:val="21"/>
        </w:rPr>
        <w:t>Security</w:t>
      </w:r>
      <w:r>
        <w:rPr>
          <w:spacing w:val="24"/>
          <w:sz w:val="21"/>
        </w:rPr>
        <w:t> </w:t>
      </w:r>
      <w:r>
        <w:rPr>
          <w:sz w:val="21"/>
        </w:rPr>
        <w:t>of</w:t>
      </w:r>
      <w:r>
        <w:rPr>
          <w:spacing w:val="24"/>
          <w:sz w:val="21"/>
        </w:rPr>
        <w:t> </w:t>
      </w:r>
      <w:r>
        <w:rPr>
          <w:sz w:val="21"/>
        </w:rPr>
        <w:t>the</w:t>
      </w:r>
      <w:r>
        <w:rPr>
          <w:spacing w:val="24"/>
          <w:sz w:val="21"/>
        </w:rPr>
        <w:t> </w:t>
      </w:r>
      <w:r>
        <w:rPr>
          <w:sz w:val="21"/>
        </w:rPr>
        <w:t>Macau</w:t>
      </w:r>
      <w:r>
        <w:rPr>
          <w:spacing w:val="24"/>
          <w:sz w:val="21"/>
        </w:rPr>
        <w:t> </w:t>
      </w:r>
      <w:r>
        <w:rPr>
          <w:sz w:val="21"/>
        </w:rPr>
        <w:t>SAR</w:t>
      </w:r>
      <w:r>
        <w:rPr>
          <w:spacing w:val="24"/>
          <w:sz w:val="21"/>
        </w:rPr>
        <w:t> </w:t>
      </w:r>
      <w:r>
        <w:rPr>
          <w:sz w:val="21"/>
        </w:rPr>
        <w:t>.</w:t>
      </w:r>
    </w:p>
    <w:p>
      <w:pPr>
        <w:pStyle w:val="BodyText"/>
        <w:spacing w:before="130"/>
        <w:rPr>
          <w:sz w:val="21"/>
        </w:rPr>
      </w:pPr>
    </w:p>
    <w:p>
      <w:pPr>
        <w:spacing w:before="0"/>
        <w:ind w:left="24" w:right="0" w:firstLine="0"/>
        <w:jc w:val="center"/>
        <w:rPr>
          <w:b/>
          <w:sz w:val="21"/>
        </w:rPr>
      </w:pPr>
      <w:r>
        <w:rPr>
          <w:b/>
          <w:sz w:val="21"/>
        </w:rPr>
        <w:t>Clause</w:t>
      </w:r>
      <w:r>
        <w:rPr>
          <w:b/>
          <w:spacing w:val="13"/>
          <w:sz w:val="21"/>
        </w:rPr>
        <w:t> </w:t>
      </w:r>
      <w:r>
        <w:rPr>
          <w:b/>
          <w:spacing w:val="-5"/>
          <w:sz w:val="21"/>
        </w:rPr>
        <w:t>58</w:t>
      </w:r>
    </w:p>
    <w:p>
      <w:pPr>
        <w:spacing w:before="69"/>
        <w:ind w:left="24" w:right="0" w:firstLine="0"/>
        <w:jc w:val="center"/>
        <w:rPr>
          <w:b/>
          <w:sz w:val="21"/>
        </w:rPr>
      </w:pPr>
      <w:r>
        <w:rPr>
          <w:b/>
          <w:sz w:val="21"/>
        </w:rPr>
        <w:t>Provision</w:t>
      </w:r>
      <w:r>
        <w:rPr>
          <w:b/>
          <w:spacing w:val="9"/>
          <w:sz w:val="21"/>
        </w:rPr>
        <w:t> </w:t>
      </w:r>
      <w:r>
        <w:rPr>
          <w:b/>
          <w:sz w:val="21"/>
        </w:rPr>
        <w:t>of</w:t>
      </w:r>
      <w:r>
        <w:rPr>
          <w:b/>
          <w:spacing w:val="9"/>
          <w:sz w:val="21"/>
        </w:rPr>
        <w:t> </w:t>
      </w:r>
      <w:r>
        <w:rPr>
          <w:b/>
          <w:spacing w:val="-2"/>
          <w:sz w:val="21"/>
        </w:rPr>
        <w:t>information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3"/>
        <w:rPr>
          <w:b/>
          <w:sz w:val="20"/>
        </w:rPr>
      </w:pPr>
      <w:r>
        <w:rPr/>
        <mc:AlternateContent>
          <mc:Choice Requires="wps">
            <w:drawing>
              <wp:anchor distT="0" distB="0" distL="0" distR="0" allowOverlap="1" layoutInCell="1" locked="0" behindDoc="1" simplePos="0" relativeHeight="487780352">
                <wp:simplePos x="0" y="0"/>
                <wp:positionH relativeFrom="page">
                  <wp:posOffset>231457</wp:posOffset>
                </wp:positionH>
                <wp:positionV relativeFrom="paragraph">
                  <wp:posOffset>201282</wp:posOffset>
                </wp:positionV>
                <wp:extent cx="7312659" cy="17145"/>
                <wp:effectExtent l="0" t="0" r="0" b="0"/>
                <wp:wrapTopAndBottom/>
                <wp:docPr id="920" name="Group 920"/>
                <wp:cNvGraphicFramePr>
                  <a:graphicFrameLocks/>
                </wp:cNvGraphicFramePr>
                <a:graphic>
                  <a:graphicData uri="http://schemas.microsoft.com/office/word/2010/wordprocessingGroup">
                    <wpg:wgp>
                      <wpg:cNvPr id="920" name="Group 920"/>
                      <wpg:cNvGrpSpPr/>
                      <wpg:grpSpPr>
                        <a:xfrm>
                          <a:off x="0" y="0"/>
                          <a:ext cx="7312659" cy="17145"/>
                          <a:chExt cx="7312659" cy="17145"/>
                        </a:xfrm>
                      </wpg:grpSpPr>
                      <wps:wsp>
                        <wps:cNvPr id="921" name="Graphic 92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22" name="Graphic 922"/>
                        <wps:cNvSpPr/>
                        <wps:spPr>
                          <a:xfrm>
                            <a:off x="-12" y="-2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23" name="Graphic 92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849024pt;width:575.8pt;height:1.35pt;mso-position-horizontal-relative:page;mso-position-vertical-relative:paragraph;z-index:-15536128;mso-wrap-distance-left:0;mso-wrap-distance-right:0" id="docshapegroup918" coordorigin="364,317" coordsize="11516,27">
                <v:rect style="position:absolute;left:364;top:316;width:11516;height:14" id="docshape919" filled="true" fillcolor="#999999" stroked="false">
                  <v:fill type="solid"/>
                </v:rect>
                <v:shape style="position:absolute;left:364;top:316;width:11516;height:27" id="docshape920" coordorigin="364,317" coordsize="11516,27" path="m11880,317l11866,330,364,330,364,344,11866,344,11880,344,11880,330,11880,317xe" filled="true" fillcolor="#ededed" stroked="false">
                  <v:path arrowok="t"/>
                  <v:fill type="solid"/>
                </v:shape>
                <v:shape style="position:absolute;left:364;top:316;width:14;height:27" id="docshape921" coordorigin="364,317" coordsize="14,27" path="m364,344l364,317,378,317,378,330,364,344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29" w:lineRule="exact" w:before="225"/>
        <w:ind w:left="144" w:right="0" w:firstLine="0"/>
        <w:jc w:val="both"/>
        <w:rPr>
          <w:sz w:val="21"/>
        </w:rPr>
      </w:pPr>
      <w:r>
        <w:rPr>
          <w:i/>
          <w:sz w:val="21"/>
        </w:rPr>
        <w:t>One.</w:t>
      </w:r>
      <w:r>
        <w:rPr>
          <w:i/>
          <w:spacing w:val="11"/>
          <w:sz w:val="21"/>
        </w:rPr>
        <w:t> </w:t>
      </w:r>
      <w:r>
        <w:rPr>
          <w:sz w:val="21"/>
        </w:rPr>
        <w:t>The</w:t>
      </w:r>
      <w:r>
        <w:rPr>
          <w:spacing w:val="12"/>
          <w:sz w:val="21"/>
        </w:rPr>
        <w:t> </w:t>
      </w:r>
      <w:r>
        <w:rPr>
          <w:sz w:val="21"/>
        </w:rPr>
        <w:t>Concessionaire</w:t>
      </w:r>
      <w:r>
        <w:rPr>
          <w:spacing w:val="11"/>
          <w:sz w:val="21"/>
        </w:rPr>
        <w:t> </w:t>
      </w:r>
      <w:r>
        <w:rPr>
          <w:sz w:val="21"/>
        </w:rPr>
        <w:t>undertakes</w:t>
      </w:r>
      <w:r>
        <w:rPr>
          <w:spacing w:val="12"/>
          <w:sz w:val="21"/>
        </w:rPr>
        <w:t> </w:t>
      </w:r>
      <w:r>
        <w:rPr>
          <w:sz w:val="21"/>
        </w:rPr>
        <w:t>to</w:t>
      </w:r>
      <w:r>
        <w:rPr>
          <w:spacing w:val="11"/>
          <w:sz w:val="21"/>
        </w:rPr>
        <w:t> </w:t>
      </w:r>
      <w:r>
        <w:rPr>
          <w:sz w:val="21"/>
        </w:rPr>
        <w:t>send</w:t>
      </w:r>
      <w:r>
        <w:rPr>
          <w:spacing w:val="12"/>
          <w:sz w:val="21"/>
        </w:rPr>
        <w:t> </w:t>
      </w:r>
      <w:r>
        <w:rPr>
          <w:sz w:val="21"/>
        </w:rPr>
        <w:t>quarterly</w:t>
      </w:r>
      <w:r>
        <w:rPr>
          <w:spacing w:val="11"/>
          <w:sz w:val="21"/>
        </w:rPr>
        <w:t> </w:t>
      </w:r>
      <w:r>
        <w:rPr>
          <w:sz w:val="21"/>
        </w:rPr>
        <w:t>to</w:t>
      </w:r>
      <w:r>
        <w:rPr>
          <w:spacing w:val="12"/>
          <w:sz w:val="21"/>
        </w:rPr>
        <w:t> </w:t>
      </w:r>
      <w:r>
        <w:rPr>
          <w:sz w:val="21"/>
        </w:rPr>
        <w:t>the</w:t>
      </w:r>
      <w:r>
        <w:rPr>
          <w:spacing w:val="11"/>
          <w:sz w:val="21"/>
        </w:rPr>
        <w:t> </w:t>
      </w:r>
      <w:r>
        <w:rPr>
          <w:sz w:val="21"/>
        </w:rPr>
        <w:t>Government,</w:t>
      </w:r>
      <w:r>
        <w:rPr>
          <w:spacing w:val="12"/>
          <w:sz w:val="21"/>
        </w:rPr>
        <w:t> </w:t>
      </w:r>
      <w:r>
        <w:rPr>
          <w:sz w:val="21"/>
        </w:rPr>
        <w:t>by</w:t>
      </w:r>
      <w:r>
        <w:rPr>
          <w:spacing w:val="11"/>
          <w:sz w:val="21"/>
        </w:rPr>
        <w:t> </w:t>
      </w:r>
      <w:r>
        <w:rPr>
          <w:sz w:val="21"/>
        </w:rPr>
        <w:t>the</w:t>
      </w:r>
      <w:r>
        <w:rPr>
          <w:spacing w:val="12"/>
          <w:sz w:val="21"/>
        </w:rPr>
        <w:t> </w:t>
      </w:r>
      <w:r>
        <w:rPr>
          <w:sz w:val="21"/>
        </w:rPr>
        <w:t>last</w:t>
      </w:r>
      <w:r>
        <w:rPr>
          <w:spacing w:val="11"/>
          <w:sz w:val="21"/>
        </w:rPr>
        <w:t> </w:t>
      </w:r>
      <w:r>
        <w:rPr>
          <w:sz w:val="21"/>
        </w:rPr>
        <w:t>day</w:t>
      </w:r>
      <w:r>
        <w:rPr>
          <w:spacing w:val="12"/>
          <w:sz w:val="21"/>
        </w:rPr>
        <w:t> </w:t>
      </w:r>
      <w:r>
        <w:rPr>
          <w:sz w:val="21"/>
        </w:rPr>
        <w:t>of</w:t>
      </w:r>
      <w:r>
        <w:rPr>
          <w:spacing w:val="11"/>
          <w:sz w:val="21"/>
        </w:rPr>
        <w:t> </w:t>
      </w:r>
      <w:r>
        <w:rPr>
          <w:sz w:val="21"/>
        </w:rPr>
        <w:t>the</w:t>
      </w:r>
      <w:r>
        <w:rPr>
          <w:spacing w:val="12"/>
          <w:sz w:val="21"/>
        </w:rPr>
        <w:t> </w:t>
      </w:r>
      <w:r>
        <w:rPr>
          <w:sz w:val="21"/>
        </w:rPr>
        <w:t>month</w:t>
      </w:r>
      <w:r>
        <w:rPr>
          <w:spacing w:val="11"/>
          <w:sz w:val="21"/>
        </w:rPr>
        <w:t> </w:t>
      </w:r>
      <w:r>
        <w:rPr>
          <w:sz w:val="21"/>
        </w:rPr>
        <w:t>following</w:t>
      </w:r>
      <w:r>
        <w:rPr>
          <w:spacing w:val="12"/>
          <w:sz w:val="21"/>
        </w:rPr>
        <w:t> </w:t>
      </w:r>
      <w:r>
        <w:rPr>
          <w:sz w:val="21"/>
        </w:rPr>
        <w:t>the</w:t>
      </w:r>
      <w:r>
        <w:rPr>
          <w:spacing w:val="12"/>
          <w:sz w:val="21"/>
        </w:rPr>
        <w:t> </w:t>
      </w:r>
      <w:r>
        <w:rPr>
          <w:sz w:val="21"/>
        </w:rPr>
        <w:t>relevant</w:t>
      </w:r>
      <w:r>
        <w:rPr>
          <w:spacing w:val="11"/>
          <w:sz w:val="21"/>
        </w:rPr>
        <w:t> </w:t>
      </w:r>
      <w:r>
        <w:rPr>
          <w:spacing w:val="-2"/>
          <w:sz w:val="21"/>
        </w:rPr>
        <w:t>quarter</w:t>
      </w:r>
    </w:p>
    <w:p>
      <w:pPr>
        <w:spacing w:line="213" w:lineRule="auto" w:before="9"/>
        <w:ind w:left="144" w:right="118" w:firstLine="0"/>
        <w:jc w:val="both"/>
        <w:rPr>
          <w:i/>
          <w:sz w:val="21"/>
        </w:rPr>
      </w:pPr>
      <w:r>
        <w:rPr>
          <w:sz w:val="21"/>
        </w:rPr>
        <w:t>,</w:t>
      </w:r>
      <w:r>
        <w:rPr>
          <w:spacing w:val="40"/>
          <w:sz w:val="21"/>
        </w:rPr>
        <w:t> </w:t>
      </w:r>
      <w:r>
        <w:rPr>
          <w:sz w:val="21"/>
        </w:rPr>
        <w:t>its</w:t>
      </w:r>
      <w:r>
        <w:rPr>
          <w:spacing w:val="40"/>
          <w:sz w:val="21"/>
        </w:rPr>
        <w:t> </w:t>
      </w:r>
      <w:r>
        <w:rPr>
          <w:sz w:val="21"/>
        </w:rPr>
        <w:t>balance</w:t>
      </w:r>
      <w:r>
        <w:rPr>
          <w:spacing w:val="40"/>
          <w:sz w:val="21"/>
        </w:rPr>
        <w:t> </w:t>
      </w:r>
      <w:r>
        <w:rPr>
          <w:sz w:val="21"/>
        </w:rPr>
        <w:t>sheet</w:t>
      </w:r>
      <w:r>
        <w:rPr>
          <w:spacing w:val="40"/>
          <w:sz w:val="21"/>
        </w:rPr>
        <w:t> </w:t>
      </w:r>
      <w:r>
        <w:rPr>
          <w:sz w:val="21"/>
        </w:rPr>
        <w:t>for</w:t>
      </w:r>
      <w:r>
        <w:rPr>
          <w:spacing w:val="40"/>
          <w:sz w:val="21"/>
        </w:rPr>
        <w:t> </w:t>
      </w:r>
      <w:r>
        <w:rPr>
          <w:sz w:val="21"/>
        </w:rPr>
        <w:t>the</w:t>
      </w:r>
      <w:r>
        <w:rPr>
          <w:spacing w:val="40"/>
          <w:sz w:val="21"/>
        </w:rPr>
        <w:t> </w:t>
      </w:r>
      <w:r>
        <w:rPr>
          <w:sz w:val="21"/>
        </w:rPr>
        <w:t>previous</w:t>
      </w:r>
      <w:r>
        <w:rPr>
          <w:spacing w:val="40"/>
          <w:sz w:val="21"/>
        </w:rPr>
        <w:t> </w:t>
      </w:r>
      <w:r>
        <w:rPr>
          <w:sz w:val="21"/>
        </w:rPr>
        <w:t>quarter,</w:t>
      </w:r>
      <w:r>
        <w:rPr>
          <w:spacing w:val="40"/>
          <w:sz w:val="21"/>
        </w:rPr>
        <w:t> </w:t>
      </w:r>
      <w:r>
        <w:rPr>
          <w:sz w:val="21"/>
        </w:rPr>
        <w:t>with</w:t>
      </w:r>
      <w:r>
        <w:rPr>
          <w:spacing w:val="40"/>
          <w:sz w:val="21"/>
        </w:rPr>
        <w:t> </w:t>
      </w:r>
      <w:r>
        <w:rPr>
          <w:sz w:val="21"/>
        </w:rPr>
        <w:t>the</w:t>
      </w:r>
      <w:r>
        <w:rPr>
          <w:spacing w:val="40"/>
          <w:sz w:val="21"/>
        </w:rPr>
        <w:t> </w:t>
      </w:r>
      <w:r>
        <w:rPr>
          <w:sz w:val="21"/>
        </w:rPr>
        <w:t>exception</w:t>
      </w:r>
      <w:r>
        <w:rPr>
          <w:spacing w:val="40"/>
          <w:sz w:val="21"/>
        </w:rPr>
        <w:t> </w:t>
      </w:r>
      <w:r>
        <w:rPr>
          <w:sz w:val="21"/>
        </w:rPr>
        <w:t>of</w:t>
      </w:r>
      <w:r>
        <w:rPr>
          <w:spacing w:val="40"/>
          <w:sz w:val="21"/>
        </w:rPr>
        <w:t> </w:t>
      </w:r>
      <w:r>
        <w:rPr>
          <w:sz w:val="21"/>
        </w:rPr>
        <w:t>that</w:t>
      </w:r>
      <w:r>
        <w:rPr>
          <w:spacing w:val="40"/>
          <w:sz w:val="21"/>
        </w:rPr>
        <w:t> </w:t>
      </w:r>
      <w:r>
        <w:rPr>
          <w:sz w:val="21"/>
        </w:rPr>
        <w:t>relative</w:t>
      </w:r>
      <w:r>
        <w:rPr>
          <w:spacing w:val="40"/>
          <w:sz w:val="21"/>
        </w:rPr>
        <w:t> </w:t>
      </w:r>
      <w:r>
        <w:rPr>
          <w:sz w:val="21"/>
        </w:rPr>
        <w:t>to</w:t>
      </w:r>
      <w:r>
        <w:rPr>
          <w:spacing w:val="40"/>
          <w:sz w:val="21"/>
        </w:rPr>
        <w:t> </w:t>
      </w:r>
      <w:r>
        <w:rPr>
          <w:sz w:val="21"/>
        </w:rPr>
        <w:t>the</w:t>
      </w:r>
      <w:r>
        <w:rPr>
          <w:spacing w:val="40"/>
          <w:sz w:val="21"/>
        </w:rPr>
        <w:t> </w:t>
      </w:r>
      <w:r>
        <w:rPr>
          <w:sz w:val="21"/>
        </w:rPr>
        <w:t>last</w:t>
      </w:r>
      <w:r>
        <w:rPr>
          <w:spacing w:val="40"/>
          <w:sz w:val="21"/>
        </w:rPr>
        <w:t> </w:t>
      </w:r>
      <w:r>
        <w:rPr>
          <w:sz w:val="21"/>
        </w:rPr>
        <w:t>quarter</w:t>
      </w:r>
      <w:r>
        <w:rPr>
          <w:spacing w:val="40"/>
          <w:sz w:val="21"/>
        </w:rPr>
        <w:t> </w:t>
      </w:r>
      <w:r>
        <w:rPr>
          <w:sz w:val="21"/>
        </w:rPr>
        <w:t>of</w:t>
      </w:r>
      <w:r>
        <w:rPr>
          <w:spacing w:val="40"/>
          <w:sz w:val="21"/>
        </w:rPr>
        <w:t> </w:t>
      </w:r>
      <w:r>
        <w:rPr>
          <w:sz w:val="21"/>
        </w:rPr>
        <w:t>each</w:t>
      </w:r>
      <w:r>
        <w:rPr>
          <w:spacing w:val="40"/>
          <w:sz w:val="21"/>
        </w:rPr>
        <w:t> </w:t>
      </w:r>
      <w:r>
        <w:rPr>
          <w:sz w:val="21"/>
        </w:rPr>
        <w:t>year,</w:t>
      </w:r>
      <w:r>
        <w:rPr>
          <w:spacing w:val="40"/>
          <w:sz w:val="21"/>
        </w:rPr>
        <w:t> </w:t>
      </w:r>
      <w:r>
        <w:rPr>
          <w:sz w:val="21"/>
        </w:rPr>
        <w:t>which</w:t>
      </w:r>
      <w:r>
        <w:rPr>
          <w:spacing w:val="40"/>
          <w:sz w:val="21"/>
        </w:rPr>
        <w:t> </w:t>
      </w:r>
      <w:r>
        <w:rPr>
          <w:sz w:val="21"/>
        </w:rPr>
        <w:t>must</w:t>
      </w:r>
      <w:r>
        <w:rPr>
          <w:spacing w:val="40"/>
          <w:sz w:val="21"/>
        </w:rPr>
        <w:t> </w:t>
      </w:r>
      <w:r>
        <w:rPr>
          <w:sz w:val="21"/>
        </w:rPr>
        <w:t>be submitted by the last day of February of the following year</w:t>
      </w:r>
      <w:r>
        <w:rPr>
          <w:i/>
          <w:sz w:val="21"/>
        </w:rPr>
        <w:t>.</w:t>
      </w:r>
    </w:p>
    <w:p>
      <w:pPr>
        <w:pStyle w:val="BodyText"/>
        <w:spacing w:before="152"/>
        <w:rPr>
          <w:i/>
          <w:sz w:val="21"/>
        </w:rPr>
      </w:pPr>
    </w:p>
    <w:p>
      <w:pPr>
        <w:spacing w:line="213" w:lineRule="auto" w:before="0"/>
        <w:ind w:left="144" w:right="118" w:firstLine="0"/>
        <w:jc w:val="both"/>
        <w:rPr>
          <w:sz w:val="21"/>
        </w:rPr>
      </w:pPr>
      <w:r>
        <w:rPr>
          <w:i/>
          <w:sz w:val="21"/>
        </w:rPr>
        <w:t>Two</w:t>
      </w:r>
      <w:r>
        <w:rPr>
          <w:sz w:val="21"/>
        </w:rPr>
        <w:t>. The Concessionaire also undertakes to send to the Government the following data at least 30 days prior to the annual general meeting for approval of its accounts:</w:t>
      </w:r>
    </w:p>
    <w:p>
      <w:pPr>
        <w:pStyle w:val="BodyText"/>
        <w:spacing w:before="130"/>
        <w:rPr>
          <w:sz w:val="21"/>
        </w:rPr>
      </w:pPr>
    </w:p>
    <w:p>
      <w:pPr>
        <w:pStyle w:val="ListParagraph"/>
        <w:numPr>
          <w:ilvl w:val="0"/>
          <w:numId w:val="38"/>
        </w:numPr>
        <w:tabs>
          <w:tab w:pos="883" w:val="left" w:leader="none"/>
        </w:tabs>
        <w:spacing w:line="240" w:lineRule="auto" w:before="0" w:after="0"/>
        <w:ind w:left="883" w:right="0" w:hanging="229"/>
        <w:jc w:val="left"/>
        <w:rPr>
          <w:sz w:val="21"/>
        </w:rPr>
      </w:pPr>
      <w:r>
        <w:rPr>
          <w:sz w:val="21"/>
        </w:rPr>
        <w:t>The</w:t>
      </w:r>
      <w:r>
        <w:rPr>
          <w:spacing w:val="12"/>
          <w:sz w:val="21"/>
        </w:rPr>
        <w:t> </w:t>
      </w:r>
      <w:r>
        <w:rPr>
          <w:sz w:val="21"/>
        </w:rPr>
        <w:t>accounting</w:t>
      </w:r>
      <w:r>
        <w:rPr>
          <w:spacing w:val="13"/>
          <w:sz w:val="21"/>
        </w:rPr>
        <w:t> </w:t>
      </w:r>
      <w:r>
        <w:rPr>
          <w:sz w:val="21"/>
        </w:rPr>
        <w:t>and</w:t>
      </w:r>
      <w:r>
        <w:rPr>
          <w:spacing w:val="12"/>
          <w:sz w:val="21"/>
        </w:rPr>
        <w:t> </w:t>
      </w:r>
      <w:r>
        <w:rPr>
          <w:sz w:val="21"/>
        </w:rPr>
        <w:t>statistical</w:t>
      </w:r>
      <w:r>
        <w:rPr>
          <w:spacing w:val="13"/>
          <w:sz w:val="21"/>
        </w:rPr>
        <w:t> </w:t>
      </w:r>
      <w:r>
        <w:rPr>
          <w:sz w:val="21"/>
        </w:rPr>
        <w:t>statements</w:t>
      </w:r>
      <w:r>
        <w:rPr>
          <w:spacing w:val="12"/>
          <w:sz w:val="21"/>
        </w:rPr>
        <w:t> </w:t>
      </w:r>
      <w:r>
        <w:rPr>
          <w:sz w:val="21"/>
        </w:rPr>
        <w:t>for</w:t>
      </w:r>
      <w:r>
        <w:rPr>
          <w:spacing w:val="13"/>
          <w:sz w:val="21"/>
        </w:rPr>
        <w:t> </w:t>
      </w:r>
      <w:r>
        <w:rPr>
          <w:sz w:val="21"/>
        </w:rPr>
        <w:t>the</w:t>
      </w:r>
      <w:r>
        <w:rPr>
          <w:spacing w:val="12"/>
          <w:sz w:val="21"/>
        </w:rPr>
        <w:t> </w:t>
      </w:r>
      <w:r>
        <w:rPr>
          <w:sz w:val="21"/>
        </w:rPr>
        <w:t>previous</w:t>
      </w:r>
      <w:r>
        <w:rPr>
          <w:spacing w:val="13"/>
          <w:sz w:val="21"/>
        </w:rPr>
        <w:t> </w:t>
      </w:r>
      <w:r>
        <w:rPr>
          <w:sz w:val="21"/>
        </w:rPr>
        <w:t>financial</w:t>
      </w:r>
      <w:r>
        <w:rPr>
          <w:spacing w:val="12"/>
          <w:sz w:val="21"/>
        </w:rPr>
        <w:t> </w:t>
      </w:r>
      <w:r>
        <w:rPr>
          <w:spacing w:val="-2"/>
          <w:sz w:val="21"/>
        </w:rPr>
        <w:t>year;</w:t>
      </w:r>
    </w:p>
    <w:p>
      <w:pPr>
        <w:pStyle w:val="BodyText"/>
        <w:spacing w:before="160"/>
        <w:rPr>
          <w:sz w:val="21"/>
        </w:rPr>
      </w:pPr>
    </w:p>
    <w:p>
      <w:pPr>
        <w:pStyle w:val="ListParagraph"/>
        <w:numPr>
          <w:ilvl w:val="0"/>
          <w:numId w:val="38"/>
        </w:numPr>
        <w:tabs>
          <w:tab w:pos="910" w:val="left" w:leader="none"/>
          <w:tab w:pos="914" w:val="left" w:leader="none"/>
        </w:tabs>
        <w:spacing w:line="213" w:lineRule="auto" w:before="0" w:after="0"/>
        <w:ind w:left="910" w:right="119" w:hanging="256"/>
        <w:jc w:val="left"/>
        <w:rPr>
          <w:sz w:val="21"/>
        </w:rPr>
      </w:pPr>
      <w:r>
        <w:rPr>
          <w:sz w:val="21"/>
        </w:rPr>
        <w:tab/>
        <w:t>The</w:t>
      </w:r>
      <w:r>
        <w:rPr>
          <w:spacing w:val="40"/>
          <w:sz w:val="21"/>
        </w:rPr>
        <w:t> </w:t>
      </w:r>
      <w:r>
        <w:rPr>
          <w:sz w:val="21"/>
        </w:rPr>
        <w:t>full</w:t>
      </w:r>
      <w:r>
        <w:rPr>
          <w:spacing w:val="40"/>
          <w:sz w:val="21"/>
        </w:rPr>
        <w:t> </w:t>
      </w:r>
      <w:r>
        <w:rPr>
          <w:sz w:val="21"/>
        </w:rPr>
        <w:t>names,</w:t>
      </w:r>
      <w:r>
        <w:rPr>
          <w:spacing w:val="40"/>
          <w:sz w:val="21"/>
        </w:rPr>
        <w:t> </w:t>
      </w:r>
      <w:r>
        <w:rPr>
          <w:sz w:val="21"/>
        </w:rPr>
        <w:t>in</w:t>
      </w:r>
      <w:r>
        <w:rPr>
          <w:spacing w:val="40"/>
          <w:sz w:val="21"/>
        </w:rPr>
        <w:t> </w:t>
      </w:r>
      <w:r>
        <w:rPr>
          <w:sz w:val="21"/>
        </w:rPr>
        <w:t>all</w:t>
      </w:r>
      <w:r>
        <w:rPr>
          <w:spacing w:val="40"/>
          <w:sz w:val="21"/>
        </w:rPr>
        <w:t> </w:t>
      </w:r>
      <w:r>
        <w:rPr>
          <w:sz w:val="21"/>
        </w:rPr>
        <w:t>possible</w:t>
      </w:r>
      <w:r>
        <w:rPr>
          <w:spacing w:val="40"/>
          <w:sz w:val="21"/>
        </w:rPr>
        <w:t> </w:t>
      </w:r>
      <w:r>
        <w:rPr>
          <w:sz w:val="21"/>
        </w:rPr>
        <w:t>versions,</w:t>
      </w:r>
      <w:r>
        <w:rPr>
          <w:spacing w:val="40"/>
          <w:sz w:val="21"/>
        </w:rPr>
        <w:t> </w:t>
      </w:r>
      <w:r>
        <w:rPr>
          <w:sz w:val="21"/>
        </w:rPr>
        <w:t>of</w:t>
      </w:r>
      <w:r>
        <w:rPr>
          <w:spacing w:val="40"/>
          <w:sz w:val="21"/>
        </w:rPr>
        <w:t> </w:t>
      </w:r>
      <w:r>
        <w:rPr>
          <w:sz w:val="21"/>
        </w:rPr>
        <w:t>the</w:t>
      </w:r>
      <w:r>
        <w:rPr>
          <w:spacing w:val="40"/>
          <w:sz w:val="21"/>
        </w:rPr>
        <w:t> </w:t>
      </w:r>
      <w:r>
        <w:rPr>
          <w:sz w:val="21"/>
        </w:rPr>
        <w:t>persons</w:t>
      </w:r>
      <w:r>
        <w:rPr>
          <w:spacing w:val="40"/>
          <w:sz w:val="21"/>
        </w:rPr>
        <w:t> </w:t>
      </w:r>
      <w:r>
        <w:rPr>
          <w:sz w:val="21"/>
        </w:rPr>
        <w:t>who</w:t>
      </w:r>
      <w:r>
        <w:rPr>
          <w:spacing w:val="40"/>
          <w:sz w:val="21"/>
        </w:rPr>
        <w:t> </w:t>
      </w:r>
      <w:r>
        <w:rPr>
          <w:sz w:val="21"/>
        </w:rPr>
        <w:t>sat</w:t>
      </w:r>
      <w:r>
        <w:rPr>
          <w:spacing w:val="40"/>
          <w:sz w:val="21"/>
        </w:rPr>
        <w:t> </w:t>
      </w:r>
      <w:r>
        <w:rPr>
          <w:sz w:val="21"/>
        </w:rPr>
        <w:t>on</w:t>
      </w:r>
      <w:r>
        <w:rPr>
          <w:spacing w:val="40"/>
          <w:sz w:val="21"/>
        </w:rPr>
        <w:t> </w:t>
      </w:r>
      <w:r>
        <w:rPr>
          <w:sz w:val="21"/>
        </w:rPr>
        <w:t>the</w:t>
      </w:r>
      <w:r>
        <w:rPr>
          <w:spacing w:val="40"/>
          <w:sz w:val="21"/>
        </w:rPr>
        <w:t> </w:t>
      </w:r>
      <w:r>
        <w:rPr>
          <w:sz w:val="21"/>
        </w:rPr>
        <w:t>management</w:t>
      </w:r>
      <w:r>
        <w:rPr>
          <w:spacing w:val="40"/>
          <w:sz w:val="21"/>
        </w:rPr>
        <w:t> </w:t>
      </w:r>
      <w:r>
        <w:rPr>
          <w:sz w:val="21"/>
        </w:rPr>
        <w:t>and</w:t>
      </w:r>
      <w:r>
        <w:rPr>
          <w:spacing w:val="40"/>
          <w:sz w:val="21"/>
        </w:rPr>
        <w:t> </w:t>
      </w:r>
      <w:r>
        <w:rPr>
          <w:sz w:val="21"/>
        </w:rPr>
        <w:t>supervisory</w:t>
      </w:r>
      <w:r>
        <w:rPr>
          <w:spacing w:val="40"/>
          <w:sz w:val="21"/>
        </w:rPr>
        <w:t> </w:t>
      </w:r>
      <w:r>
        <w:rPr>
          <w:sz w:val="21"/>
        </w:rPr>
        <w:t>boards</w:t>
      </w:r>
      <w:r>
        <w:rPr>
          <w:spacing w:val="40"/>
          <w:sz w:val="21"/>
        </w:rPr>
        <w:t> </w:t>
      </w:r>
      <w:r>
        <w:rPr>
          <w:sz w:val="21"/>
        </w:rPr>
        <w:t>during</w:t>
      </w:r>
      <w:r>
        <w:rPr>
          <w:spacing w:val="40"/>
          <w:sz w:val="21"/>
        </w:rPr>
        <w:t> </w:t>
      </w:r>
      <w:r>
        <w:rPr>
          <w:sz w:val="21"/>
        </w:rPr>
        <w:t>the respective</w:t>
      </w:r>
      <w:r>
        <w:rPr>
          <w:spacing w:val="24"/>
          <w:sz w:val="21"/>
        </w:rPr>
        <w:t> </w:t>
      </w:r>
      <w:r>
        <w:rPr>
          <w:sz w:val="21"/>
        </w:rPr>
        <w:t>fiscal</w:t>
      </w:r>
      <w:r>
        <w:rPr>
          <w:spacing w:val="24"/>
          <w:sz w:val="21"/>
        </w:rPr>
        <w:t> </w:t>
      </w:r>
      <w:r>
        <w:rPr>
          <w:sz w:val="21"/>
        </w:rPr>
        <w:t>year,</w:t>
      </w:r>
      <w:r>
        <w:rPr>
          <w:spacing w:val="24"/>
          <w:sz w:val="21"/>
        </w:rPr>
        <w:t> </w:t>
      </w:r>
      <w:r>
        <w:rPr>
          <w:sz w:val="21"/>
        </w:rPr>
        <w:t>the</w:t>
      </w:r>
      <w:r>
        <w:rPr>
          <w:spacing w:val="24"/>
          <w:sz w:val="21"/>
        </w:rPr>
        <w:t> </w:t>
      </w:r>
      <w:r>
        <w:rPr>
          <w:sz w:val="21"/>
        </w:rPr>
        <w:t>appointed</w:t>
      </w:r>
      <w:r>
        <w:rPr>
          <w:spacing w:val="24"/>
          <w:sz w:val="21"/>
        </w:rPr>
        <w:t> </w:t>
      </w:r>
      <w:r>
        <w:rPr>
          <w:sz w:val="21"/>
        </w:rPr>
        <w:t>proxies,</w:t>
      </w:r>
      <w:r>
        <w:rPr>
          <w:spacing w:val="24"/>
          <w:sz w:val="21"/>
        </w:rPr>
        <w:t> </w:t>
      </w:r>
      <w:r>
        <w:rPr>
          <w:sz w:val="21"/>
        </w:rPr>
        <w:t>as</w:t>
      </w:r>
      <w:r>
        <w:rPr>
          <w:spacing w:val="24"/>
          <w:sz w:val="21"/>
        </w:rPr>
        <w:t> </w:t>
      </w:r>
      <w:r>
        <w:rPr>
          <w:sz w:val="21"/>
        </w:rPr>
        <w:t>well</w:t>
      </w:r>
      <w:r>
        <w:rPr>
          <w:spacing w:val="24"/>
          <w:sz w:val="21"/>
        </w:rPr>
        <w:t> </w:t>
      </w:r>
      <w:r>
        <w:rPr>
          <w:sz w:val="21"/>
        </w:rPr>
        <w:t>as</w:t>
      </w:r>
      <w:r>
        <w:rPr>
          <w:spacing w:val="24"/>
          <w:sz w:val="21"/>
        </w:rPr>
        <w:t> </w:t>
      </w:r>
      <w:r>
        <w:rPr>
          <w:sz w:val="21"/>
        </w:rPr>
        <w:t>the</w:t>
      </w:r>
      <w:r>
        <w:rPr>
          <w:spacing w:val="24"/>
          <w:sz w:val="21"/>
        </w:rPr>
        <w:t> </w:t>
      </w:r>
      <w:r>
        <w:rPr>
          <w:sz w:val="21"/>
        </w:rPr>
        <w:t>person</w:t>
      </w:r>
      <w:r>
        <w:rPr>
          <w:spacing w:val="24"/>
          <w:sz w:val="21"/>
        </w:rPr>
        <w:t> </w:t>
      </w:r>
      <w:r>
        <w:rPr>
          <w:sz w:val="21"/>
        </w:rPr>
        <w:t>in</w:t>
      </w:r>
      <w:r>
        <w:rPr>
          <w:spacing w:val="24"/>
          <w:sz w:val="21"/>
        </w:rPr>
        <w:t> </w:t>
      </w:r>
      <w:r>
        <w:rPr>
          <w:sz w:val="21"/>
        </w:rPr>
        <w:t>charge</w:t>
      </w:r>
      <w:r>
        <w:rPr>
          <w:spacing w:val="24"/>
          <w:sz w:val="21"/>
        </w:rPr>
        <w:t> </w:t>
      </w:r>
      <w:r>
        <w:rPr>
          <w:sz w:val="21"/>
        </w:rPr>
        <w:t>of</w:t>
      </w:r>
      <w:r>
        <w:rPr>
          <w:spacing w:val="24"/>
          <w:sz w:val="21"/>
        </w:rPr>
        <w:t> </w:t>
      </w:r>
      <w:r>
        <w:rPr>
          <w:sz w:val="21"/>
        </w:rPr>
        <w:t>the</w:t>
      </w:r>
      <w:r>
        <w:rPr>
          <w:spacing w:val="24"/>
          <w:sz w:val="21"/>
        </w:rPr>
        <w:t> </w:t>
      </w:r>
      <w:r>
        <w:rPr>
          <w:sz w:val="21"/>
        </w:rPr>
        <w:t>accounting</w:t>
      </w:r>
      <w:r>
        <w:rPr>
          <w:spacing w:val="24"/>
          <w:sz w:val="21"/>
        </w:rPr>
        <w:t> </w:t>
      </w:r>
      <w:r>
        <w:rPr>
          <w:sz w:val="21"/>
        </w:rPr>
        <w:t>department;</w:t>
      </w:r>
    </w:p>
    <w:p>
      <w:pPr>
        <w:pStyle w:val="BodyText"/>
        <w:spacing w:before="152"/>
        <w:rPr>
          <w:sz w:val="21"/>
        </w:rPr>
      </w:pPr>
    </w:p>
    <w:p>
      <w:pPr>
        <w:pStyle w:val="ListParagraph"/>
        <w:numPr>
          <w:ilvl w:val="0"/>
          <w:numId w:val="38"/>
        </w:numPr>
        <w:tabs>
          <w:tab w:pos="889" w:val="left" w:leader="none"/>
          <w:tab w:pos="910" w:val="left" w:leader="none"/>
        </w:tabs>
        <w:spacing w:line="213" w:lineRule="auto" w:before="0" w:after="0"/>
        <w:ind w:left="910" w:right="118" w:hanging="256"/>
        <w:jc w:val="left"/>
        <w:rPr>
          <w:sz w:val="21"/>
        </w:rPr>
      </w:pPr>
      <w:r>
        <w:rPr>
          <w:sz w:val="21"/>
        </w:rPr>
        <w:t>A</w:t>
      </w:r>
      <w:r>
        <w:rPr>
          <w:spacing w:val="12"/>
          <w:sz w:val="21"/>
        </w:rPr>
        <w:t> </w:t>
      </w:r>
      <w:r>
        <w:rPr>
          <w:sz w:val="21"/>
        </w:rPr>
        <w:t>copy</w:t>
      </w:r>
      <w:r>
        <w:rPr>
          <w:spacing w:val="26"/>
          <w:sz w:val="21"/>
        </w:rPr>
        <w:t> </w:t>
      </w:r>
      <w:r>
        <w:rPr>
          <w:sz w:val="21"/>
        </w:rPr>
        <w:t>of</w:t>
      </w:r>
      <w:r>
        <w:rPr>
          <w:spacing w:val="26"/>
          <w:sz w:val="21"/>
        </w:rPr>
        <w:t> </w:t>
      </w:r>
      <w:r>
        <w:rPr>
          <w:sz w:val="21"/>
        </w:rPr>
        <w:t>the</w:t>
      </w:r>
      <w:r>
        <w:rPr>
          <w:spacing w:val="26"/>
          <w:sz w:val="21"/>
        </w:rPr>
        <w:t> </w:t>
      </w:r>
      <w:r>
        <w:rPr>
          <w:sz w:val="21"/>
        </w:rPr>
        <w:t>report</w:t>
      </w:r>
      <w:r>
        <w:rPr>
          <w:spacing w:val="26"/>
          <w:sz w:val="21"/>
        </w:rPr>
        <w:t> </w:t>
      </w:r>
      <w:r>
        <w:rPr>
          <w:sz w:val="21"/>
        </w:rPr>
        <w:t>and</w:t>
      </w:r>
      <w:r>
        <w:rPr>
          <w:spacing w:val="26"/>
          <w:sz w:val="21"/>
        </w:rPr>
        <w:t> </w:t>
      </w:r>
      <w:r>
        <w:rPr>
          <w:sz w:val="21"/>
        </w:rPr>
        <w:t>accounts</w:t>
      </w:r>
      <w:r>
        <w:rPr>
          <w:spacing w:val="26"/>
          <w:sz w:val="21"/>
        </w:rPr>
        <w:t> </w:t>
      </w:r>
      <w:r>
        <w:rPr>
          <w:sz w:val="21"/>
        </w:rPr>
        <w:t>of</w:t>
      </w:r>
      <w:r>
        <w:rPr>
          <w:spacing w:val="26"/>
          <w:sz w:val="21"/>
        </w:rPr>
        <w:t> </w:t>
      </w:r>
      <w:r>
        <w:rPr>
          <w:sz w:val="21"/>
        </w:rPr>
        <w:t>the</w:t>
      </w:r>
      <w:r>
        <w:rPr>
          <w:spacing w:val="26"/>
          <w:sz w:val="21"/>
        </w:rPr>
        <w:t> </w:t>
      </w:r>
      <w:r>
        <w:rPr>
          <w:sz w:val="21"/>
        </w:rPr>
        <w:t>board</w:t>
      </w:r>
      <w:r>
        <w:rPr>
          <w:spacing w:val="26"/>
          <w:sz w:val="21"/>
        </w:rPr>
        <w:t> </w:t>
      </w:r>
      <w:r>
        <w:rPr>
          <w:sz w:val="21"/>
        </w:rPr>
        <w:t>of</w:t>
      </w:r>
      <w:r>
        <w:rPr>
          <w:spacing w:val="26"/>
          <w:sz w:val="21"/>
        </w:rPr>
        <w:t> </w:t>
      </w:r>
      <w:r>
        <w:rPr>
          <w:sz w:val="21"/>
        </w:rPr>
        <w:t>directors</w:t>
      </w:r>
      <w:r>
        <w:rPr>
          <w:spacing w:val="26"/>
          <w:sz w:val="21"/>
        </w:rPr>
        <w:t> </w:t>
      </w:r>
      <w:r>
        <w:rPr>
          <w:sz w:val="21"/>
        </w:rPr>
        <w:t>accompanied</w:t>
      </w:r>
      <w:r>
        <w:rPr>
          <w:spacing w:val="26"/>
          <w:sz w:val="21"/>
        </w:rPr>
        <w:t> </w:t>
      </w:r>
      <w:r>
        <w:rPr>
          <w:sz w:val="21"/>
        </w:rPr>
        <w:t>by</w:t>
      </w:r>
      <w:r>
        <w:rPr>
          <w:spacing w:val="26"/>
          <w:sz w:val="21"/>
        </w:rPr>
        <w:t> </w:t>
      </w:r>
      <w:r>
        <w:rPr>
          <w:sz w:val="21"/>
        </w:rPr>
        <w:t>the</w:t>
      </w:r>
      <w:r>
        <w:rPr>
          <w:spacing w:val="26"/>
          <w:sz w:val="21"/>
        </w:rPr>
        <w:t> </w:t>
      </w:r>
      <w:r>
        <w:rPr>
          <w:sz w:val="21"/>
        </w:rPr>
        <w:t>opinions</w:t>
      </w:r>
      <w:r>
        <w:rPr>
          <w:spacing w:val="26"/>
          <w:sz w:val="21"/>
        </w:rPr>
        <w:t> </w:t>
      </w:r>
      <w:r>
        <w:rPr>
          <w:sz w:val="21"/>
        </w:rPr>
        <w:t>of</w:t>
      </w:r>
      <w:r>
        <w:rPr>
          <w:spacing w:val="26"/>
          <w:sz w:val="21"/>
        </w:rPr>
        <w:t> </w:t>
      </w:r>
      <w:r>
        <w:rPr>
          <w:sz w:val="21"/>
        </w:rPr>
        <w:t>the</w:t>
      </w:r>
      <w:r>
        <w:rPr>
          <w:spacing w:val="26"/>
          <w:sz w:val="21"/>
        </w:rPr>
        <w:t> </w:t>
      </w:r>
      <w:r>
        <w:rPr>
          <w:sz w:val="21"/>
        </w:rPr>
        <w:t>supervisory</w:t>
      </w:r>
      <w:r>
        <w:rPr>
          <w:spacing w:val="26"/>
          <w:sz w:val="21"/>
        </w:rPr>
        <w:t> </w:t>
      </w:r>
      <w:r>
        <w:rPr>
          <w:sz w:val="21"/>
        </w:rPr>
        <w:t>board</w:t>
      </w:r>
      <w:r>
        <w:rPr>
          <w:spacing w:val="26"/>
          <w:sz w:val="21"/>
        </w:rPr>
        <w:t> </w:t>
      </w:r>
      <w:r>
        <w:rPr>
          <w:sz w:val="21"/>
        </w:rPr>
        <w:t>and</w:t>
      </w:r>
      <w:r>
        <w:rPr>
          <w:spacing w:val="26"/>
          <w:sz w:val="21"/>
        </w:rPr>
        <w:t> </w:t>
      </w:r>
      <w:r>
        <w:rPr>
          <w:sz w:val="21"/>
        </w:rPr>
        <w:t>the external qualified accountants.</w:t>
      </w:r>
    </w:p>
    <w:p>
      <w:pPr>
        <w:pStyle w:val="BodyText"/>
        <w:spacing w:before="131"/>
        <w:rPr>
          <w:sz w:val="21"/>
        </w:rPr>
      </w:pPr>
    </w:p>
    <w:p>
      <w:pPr>
        <w:spacing w:line="309" w:lineRule="auto" w:before="0"/>
        <w:ind w:left="4494" w:right="4450" w:firstLine="960"/>
        <w:jc w:val="left"/>
        <w:rPr>
          <w:b/>
          <w:sz w:val="21"/>
        </w:rPr>
      </w:pPr>
      <w:r>
        <w:rPr>
          <w:b/>
          <w:sz w:val="21"/>
        </w:rPr>
        <w:t>Clause 59 Accounting and internal</w:t>
      </w:r>
      <w:r>
        <w:rPr>
          <w:b/>
          <w:spacing w:val="-1"/>
          <w:sz w:val="21"/>
        </w:rPr>
        <w:t> </w:t>
      </w:r>
      <w:r>
        <w:rPr>
          <w:b/>
          <w:sz w:val="21"/>
        </w:rPr>
        <w:t>Audit</w:t>
      </w:r>
    </w:p>
    <w:p>
      <w:pPr>
        <w:pStyle w:val="BodyText"/>
        <w:spacing w:before="75"/>
        <w:rPr>
          <w:b/>
          <w:sz w:val="21"/>
        </w:rPr>
      </w:pPr>
    </w:p>
    <w:p>
      <w:pPr>
        <w:spacing w:line="213" w:lineRule="auto" w:before="0"/>
        <w:ind w:left="144" w:right="117" w:firstLine="0"/>
        <w:jc w:val="both"/>
        <w:rPr>
          <w:sz w:val="21"/>
        </w:rPr>
      </w:pPr>
      <w:r>
        <w:rPr>
          <w:i/>
          <w:sz w:val="21"/>
        </w:rPr>
        <w:t>One.</w:t>
      </w:r>
      <w:r>
        <w:rPr>
          <w:i/>
          <w:spacing w:val="31"/>
          <w:sz w:val="21"/>
        </w:rPr>
        <w:t> </w:t>
      </w:r>
      <w:r>
        <w:rPr>
          <w:sz w:val="21"/>
        </w:rPr>
        <w:t>The</w:t>
      </w:r>
      <w:r>
        <w:rPr>
          <w:spacing w:val="31"/>
          <w:sz w:val="21"/>
        </w:rPr>
        <w:t> </w:t>
      </w:r>
      <w:r>
        <w:rPr>
          <w:sz w:val="21"/>
        </w:rPr>
        <w:t>Concessionaire</w:t>
      </w:r>
      <w:r>
        <w:rPr>
          <w:spacing w:val="31"/>
          <w:sz w:val="21"/>
        </w:rPr>
        <w:t> </w:t>
      </w:r>
      <w:r>
        <w:rPr>
          <w:sz w:val="21"/>
        </w:rPr>
        <w:t>undertakes</w:t>
      </w:r>
      <w:r>
        <w:rPr>
          <w:spacing w:val="31"/>
          <w:sz w:val="21"/>
        </w:rPr>
        <w:t> </w:t>
      </w:r>
      <w:r>
        <w:rPr>
          <w:sz w:val="21"/>
        </w:rPr>
        <w:t>to</w:t>
      </w:r>
      <w:r>
        <w:rPr>
          <w:spacing w:val="31"/>
          <w:sz w:val="21"/>
        </w:rPr>
        <w:t> </w:t>
      </w:r>
      <w:r>
        <w:rPr>
          <w:sz w:val="21"/>
        </w:rPr>
        <w:t>have</w:t>
      </w:r>
      <w:r>
        <w:rPr>
          <w:spacing w:val="31"/>
          <w:sz w:val="21"/>
        </w:rPr>
        <w:t> </w:t>
      </w:r>
      <w:r>
        <w:rPr>
          <w:sz w:val="21"/>
        </w:rPr>
        <w:t>its</w:t>
      </w:r>
      <w:r>
        <w:rPr>
          <w:spacing w:val="31"/>
          <w:sz w:val="21"/>
        </w:rPr>
        <w:t> </w:t>
      </w:r>
      <w:r>
        <w:rPr>
          <w:sz w:val="21"/>
        </w:rPr>
        <w:t>own</w:t>
      </w:r>
      <w:r>
        <w:rPr>
          <w:spacing w:val="31"/>
          <w:sz w:val="21"/>
        </w:rPr>
        <w:t> </w:t>
      </w:r>
      <w:r>
        <w:rPr>
          <w:sz w:val="21"/>
        </w:rPr>
        <w:t>well-managed</w:t>
      </w:r>
      <w:r>
        <w:rPr>
          <w:spacing w:val="31"/>
          <w:sz w:val="21"/>
        </w:rPr>
        <w:t> </w:t>
      </w:r>
      <w:r>
        <w:rPr>
          <w:sz w:val="21"/>
        </w:rPr>
        <w:t>accounting</w:t>
      </w:r>
      <w:r>
        <w:rPr>
          <w:spacing w:val="31"/>
          <w:sz w:val="21"/>
        </w:rPr>
        <w:t> </w:t>
      </w:r>
      <w:r>
        <w:rPr>
          <w:sz w:val="21"/>
        </w:rPr>
        <w:t>system</w:t>
      </w:r>
      <w:r>
        <w:rPr>
          <w:spacing w:val="31"/>
          <w:sz w:val="21"/>
        </w:rPr>
        <w:t> </w:t>
      </w:r>
      <w:r>
        <w:rPr>
          <w:sz w:val="21"/>
        </w:rPr>
        <w:t>with</w:t>
      </w:r>
      <w:r>
        <w:rPr>
          <w:spacing w:val="31"/>
          <w:sz w:val="21"/>
        </w:rPr>
        <w:t> </w:t>
      </w:r>
      <w:r>
        <w:rPr>
          <w:sz w:val="21"/>
        </w:rPr>
        <w:t>appropriate</w:t>
      </w:r>
      <w:r>
        <w:rPr>
          <w:spacing w:val="31"/>
          <w:sz w:val="21"/>
        </w:rPr>
        <w:t> </w:t>
      </w:r>
      <w:r>
        <w:rPr>
          <w:sz w:val="21"/>
        </w:rPr>
        <w:t>internal</w:t>
      </w:r>
      <w:r>
        <w:rPr>
          <w:spacing w:val="31"/>
          <w:sz w:val="21"/>
        </w:rPr>
        <w:t> </w:t>
      </w:r>
      <w:r>
        <w:rPr>
          <w:sz w:val="21"/>
        </w:rPr>
        <w:t>control</w:t>
      </w:r>
      <w:r>
        <w:rPr>
          <w:spacing w:val="31"/>
          <w:sz w:val="21"/>
        </w:rPr>
        <w:t> </w:t>
      </w:r>
      <w:r>
        <w:rPr>
          <w:sz w:val="21"/>
        </w:rPr>
        <w:t>procedures and</w:t>
      </w:r>
      <w:r>
        <w:rPr>
          <w:spacing w:val="23"/>
          <w:sz w:val="21"/>
        </w:rPr>
        <w:t> </w:t>
      </w:r>
      <w:r>
        <w:rPr>
          <w:sz w:val="21"/>
        </w:rPr>
        <w:t>to</w:t>
      </w:r>
      <w:r>
        <w:rPr>
          <w:spacing w:val="23"/>
          <w:sz w:val="21"/>
        </w:rPr>
        <w:t> </w:t>
      </w:r>
      <w:r>
        <w:rPr>
          <w:sz w:val="21"/>
        </w:rPr>
        <w:t>comply</w:t>
      </w:r>
      <w:r>
        <w:rPr>
          <w:spacing w:val="23"/>
          <w:sz w:val="21"/>
        </w:rPr>
        <w:t> </w:t>
      </w:r>
      <w:r>
        <w:rPr>
          <w:sz w:val="21"/>
        </w:rPr>
        <w:t>with</w:t>
      </w:r>
      <w:r>
        <w:rPr>
          <w:spacing w:val="23"/>
          <w:sz w:val="21"/>
        </w:rPr>
        <w:t> </w:t>
      </w:r>
      <w:r>
        <w:rPr>
          <w:sz w:val="21"/>
        </w:rPr>
        <w:t>the</w:t>
      </w:r>
      <w:r>
        <w:rPr>
          <w:spacing w:val="23"/>
          <w:sz w:val="21"/>
        </w:rPr>
        <w:t> </w:t>
      </w:r>
      <w:r>
        <w:rPr>
          <w:sz w:val="21"/>
        </w:rPr>
        <w:t>guidelines</w:t>
      </w:r>
      <w:r>
        <w:rPr>
          <w:spacing w:val="23"/>
          <w:sz w:val="21"/>
        </w:rPr>
        <w:t> </w:t>
      </w:r>
      <w:r>
        <w:rPr>
          <w:sz w:val="21"/>
        </w:rPr>
        <w:t>issued</w:t>
      </w:r>
      <w:r>
        <w:rPr>
          <w:spacing w:val="23"/>
          <w:sz w:val="21"/>
        </w:rPr>
        <w:t> </w:t>
      </w:r>
      <w:r>
        <w:rPr>
          <w:sz w:val="21"/>
        </w:rPr>
        <w:t>by</w:t>
      </w:r>
      <w:r>
        <w:rPr>
          <w:spacing w:val="23"/>
          <w:sz w:val="21"/>
        </w:rPr>
        <w:t> </w:t>
      </w:r>
      <w:r>
        <w:rPr>
          <w:sz w:val="21"/>
        </w:rPr>
        <w:t>the</w:t>
      </w:r>
      <w:r>
        <w:rPr>
          <w:spacing w:val="23"/>
          <w:sz w:val="21"/>
        </w:rPr>
        <w:t> </w:t>
      </w:r>
      <w:r>
        <w:rPr>
          <w:sz w:val="21"/>
        </w:rPr>
        <w:t>Government</w:t>
      </w:r>
      <w:r>
        <w:rPr>
          <w:spacing w:val="23"/>
          <w:sz w:val="21"/>
        </w:rPr>
        <w:t> </w:t>
      </w:r>
      <w:r>
        <w:rPr>
          <w:sz w:val="21"/>
        </w:rPr>
        <w:t>in</w:t>
      </w:r>
      <w:r>
        <w:rPr>
          <w:spacing w:val="23"/>
          <w:sz w:val="21"/>
        </w:rPr>
        <w:t> </w:t>
      </w:r>
      <w:r>
        <w:rPr>
          <w:sz w:val="21"/>
        </w:rPr>
        <w:t>this</w:t>
      </w:r>
      <w:r>
        <w:rPr>
          <w:spacing w:val="23"/>
          <w:sz w:val="21"/>
        </w:rPr>
        <w:t> </w:t>
      </w:r>
      <w:r>
        <w:rPr>
          <w:sz w:val="21"/>
        </w:rPr>
        <w:t>regard,</w:t>
      </w:r>
      <w:r>
        <w:rPr>
          <w:spacing w:val="23"/>
          <w:sz w:val="21"/>
        </w:rPr>
        <w:t> </w:t>
      </w:r>
      <w:r>
        <w:rPr>
          <w:sz w:val="21"/>
        </w:rPr>
        <w:t>namely</w:t>
      </w:r>
      <w:r>
        <w:rPr>
          <w:spacing w:val="23"/>
          <w:sz w:val="21"/>
        </w:rPr>
        <w:t> </w:t>
      </w:r>
      <w:r>
        <w:rPr>
          <w:sz w:val="21"/>
        </w:rPr>
        <w:t>through</w:t>
      </w:r>
      <w:r>
        <w:rPr>
          <w:spacing w:val="23"/>
          <w:sz w:val="21"/>
        </w:rPr>
        <w:t> </w:t>
      </w:r>
      <w:r>
        <w:rPr>
          <w:sz w:val="21"/>
        </w:rPr>
        <w:t>DICJ</w:t>
      </w:r>
      <w:r>
        <w:rPr>
          <w:spacing w:val="23"/>
          <w:sz w:val="21"/>
        </w:rPr>
        <w:t> </w:t>
      </w:r>
      <w:r>
        <w:rPr>
          <w:sz w:val="21"/>
        </w:rPr>
        <w:t>or</w:t>
      </w:r>
      <w:r>
        <w:rPr>
          <w:spacing w:val="23"/>
          <w:sz w:val="21"/>
        </w:rPr>
        <w:t> </w:t>
      </w:r>
      <w:r>
        <w:rPr>
          <w:sz w:val="21"/>
        </w:rPr>
        <w:t>DFS.</w:t>
      </w:r>
    </w:p>
    <w:p>
      <w:pPr>
        <w:pStyle w:val="BodyText"/>
        <w:spacing w:before="165"/>
        <w:rPr>
          <w:sz w:val="21"/>
        </w:rPr>
      </w:pPr>
    </w:p>
    <w:p>
      <w:pPr>
        <w:spacing w:line="213" w:lineRule="auto" w:before="0"/>
        <w:ind w:left="144" w:right="119" w:firstLine="0"/>
        <w:jc w:val="both"/>
        <w:rPr>
          <w:sz w:val="21"/>
        </w:rPr>
      </w:pPr>
      <w:r>
        <w:rPr>
          <w:i/>
          <w:sz w:val="21"/>
        </w:rPr>
        <w:t>Two.</w:t>
      </w:r>
      <w:r>
        <w:rPr>
          <w:i/>
          <w:spacing w:val="23"/>
          <w:sz w:val="21"/>
        </w:rPr>
        <w:t> </w:t>
      </w:r>
      <w:r>
        <w:rPr>
          <w:sz w:val="21"/>
        </w:rPr>
        <w:t>In</w:t>
      </w:r>
      <w:r>
        <w:rPr>
          <w:spacing w:val="23"/>
          <w:sz w:val="21"/>
        </w:rPr>
        <w:t> </w:t>
      </w:r>
      <w:r>
        <w:rPr>
          <w:sz w:val="21"/>
        </w:rPr>
        <w:t>compiling</w:t>
      </w:r>
      <w:r>
        <w:rPr>
          <w:spacing w:val="23"/>
          <w:sz w:val="21"/>
        </w:rPr>
        <w:t> </w:t>
      </w:r>
      <w:r>
        <w:rPr>
          <w:sz w:val="21"/>
        </w:rPr>
        <w:t>and</w:t>
      </w:r>
      <w:r>
        <w:rPr>
          <w:spacing w:val="23"/>
          <w:sz w:val="21"/>
        </w:rPr>
        <w:t> </w:t>
      </w:r>
      <w:r>
        <w:rPr>
          <w:sz w:val="21"/>
        </w:rPr>
        <w:t>presenting</w:t>
      </w:r>
      <w:r>
        <w:rPr>
          <w:spacing w:val="23"/>
          <w:sz w:val="21"/>
        </w:rPr>
        <w:t> </w:t>
      </w:r>
      <w:r>
        <w:rPr>
          <w:sz w:val="21"/>
        </w:rPr>
        <w:t>its</w:t>
      </w:r>
      <w:r>
        <w:rPr>
          <w:spacing w:val="23"/>
          <w:sz w:val="21"/>
        </w:rPr>
        <w:t> </w:t>
      </w:r>
      <w:r>
        <w:rPr>
          <w:sz w:val="21"/>
        </w:rPr>
        <w:t>accounts,</w:t>
      </w:r>
      <w:r>
        <w:rPr>
          <w:spacing w:val="23"/>
          <w:sz w:val="21"/>
        </w:rPr>
        <w:t> </w:t>
      </w:r>
      <w:r>
        <w:rPr>
          <w:sz w:val="21"/>
        </w:rPr>
        <w:t>the</w:t>
      </w:r>
      <w:r>
        <w:rPr>
          <w:spacing w:val="23"/>
          <w:sz w:val="21"/>
        </w:rPr>
        <w:t> </w:t>
      </w:r>
      <w:r>
        <w:rPr>
          <w:sz w:val="21"/>
        </w:rPr>
        <w:t>Concessionaire</w:t>
      </w:r>
      <w:r>
        <w:rPr>
          <w:spacing w:val="23"/>
          <w:sz w:val="21"/>
        </w:rPr>
        <w:t> </w:t>
      </w:r>
      <w:r>
        <w:rPr>
          <w:sz w:val="21"/>
        </w:rPr>
        <w:t>shall</w:t>
      </w:r>
      <w:r>
        <w:rPr>
          <w:spacing w:val="23"/>
          <w:sz w:val="21"/>
        </w:rPr>
        <w:t> </w:t>
      </w:r>
      <w:r>
        <w:rPr>
          <w:sz w:val="21"/>
        </w:rPr>
        <w:t>adopt</w:t>
      </w:r>
      <w:r>
        <w:rPr>
          <w:spacing w:val="23"/>
          <w:sz w:val="21"/>
        </w:rPr>
        <w:t> </w:t>
      </w:r>
      <w:r>
        <w:rPr>
          <w:sz w:val="21"/>
        </w:rPr>
        <w:t>only</w:t>
      </w:r>
      <w:r>
        <w:rPr>
          <w:spacing w:val="23"/>
          <w:sz w:val="21"/>
        </w:rPr>
        <w:t> </w:t>
      </w:r>
      <w:r>
        <w:rPr>
          <w:sz w:val="21"/>
        </w:rPr>
        <w:t>the</w:t>
      </w:r>
      <w:r>
        <w:rPr>
          <w:spacing w:val="23"/>
          <w:sz w:val="21"/>
        </w:rPr>
        <w:t> </w:t>
      </w:r>
      <w:r>
        <w:rPr>
          <w:sz w:val="21"/>
        </w:rPr>
        <w:t>criteria</w:t>
      </w:r>
      <w:r>
        <w:rPr>
          <w:spacing w:val="23"/>
          <w:sz w:val="21"/>
        </w:rPr>
        <w:t> </w:t>
      </w:r>
      <w:r>
        <w:rPr>
          <w:sz w:val="21"/>
        </w:rPr>
        <w:t>of</w:t>
      </w:r>
      <w:r>
        <w:rPr>
          <w:spacing w:val="23"/>
          <w:sz w:val="21"/>
        </w:rPr>
        <w:t> </w:t>
      </w:r>
      <w:r>
        <w:rPr>
          <w:sz w:val="21"/>
        </w:rPr>
        <w:t>the</w:t>
      </w:r>
      <w:r>
        <w:rPr>
          <w:spacing w:val="23"/>
          <w:sz w:val="21"/>
        </w:rPr>
        <w:t> </w:t>
      </w:r>
      <w:r>
        <w:rPr>
          <w:sz w:val="21"/>
        </w:rPr>
        <w:t>Financial</w:t>
      </w:r>
      <w:r>
        <w:rPr>
          <w:spacing w:val="23"/>
          <w:sz w:val="21"/>
        </w:rPr>
        <w:t> </w:t>
      </w:r>
      <w:r>
        <w:rPr>
          <w:sz w:val="21"/>
        </w:rPr>
        <w:t>Reporting</w:t>
      </w:r>
      <w:r>
        <w:rPr>
          <w:spacing w:val="23"/>
          <w:sz w:val="21"/>
        </w:rPr>
        <w:t> </w:t>
      </w:r>
      <w:r>
        <w:rPr>
          <w:sz w:val="21"/>
        </w:rPr>
        <w:t>Standards in force at the Macau Special Administrative Region, without prejudice to the fact that the Chief Executive, upon the proposal of the directors of either DICJ or DSF, may impose the need for certain ledgers, documents or other accounting data, as well determine the criteria</w:t>
      </w:r>
      <w:r>
        <w:rPr>
          <w:spacing w:val="40"/>
          <w:sz w:val="21"/>
        </w:rPr>
        <w:t> </w:t>
      </w:r>
      <w:r>
        <w:rPr>
          <w:sz w:val="21"/>
        </w:rPr>
        <w:t>to</w:t>
      </w:r>
      <w:r>
        <w:rPr>
          <w:spacing w:val="40"/>
          <w:sz w:val="21"/>
        </w:rPr>
        <w:t> </w:t>
      </w:r>
      <w:r>
        <w:rPr>
          <w:sz w:val="21"/>
        </w:rPr>
        <w:t>be</w:t>
      </w:r>
      <w:r>
        <w:rPr>
          <w:spacing w:val="40"/>
          <w:sz w:val="21"/>
        </w:rPr>
        <w:t> </w:t>
      </w:r>
      <w:r>
        <w:rPr>
          <w:sz w:val="21"/>
        </w:rPr>
        <w:t>adopted</w:t>
      </w:r>
      <w:r>
        <w:rPr>
          <w:spacing w:val="40"/>
          <w:sz w:val="21"/>
        </w:rPr>
        <w:t> </w:t>
      </w:r>
      <w:r>
        <w:rPr>
          <w:sz w:val="21"/>
        </w:rPr>
        <w:t>by</w:t>
      </w:r>
      <w:r>
        <w:rPr>
          <w:spacing w:val="40"/>
          <w:sz w:val="21"/>
        </w:rPr>
        <w:t> </w:t>
      </w:r>
      <w:r>
        <w:rPr>
          <w:sz w:val="21"/>
        </w:rPr>
        <w:t>the</w:t>
      </w:r>
      <w:r>
        <w:rPr>
          <w:spacing w:val="40"/>
          <w:sz w:val="21"/>
        </w:rPr>
        <w:t> </w:t>
      </w:r>
      <w:r>
        <w:rPr>
          <w:sz w:val="21"/>
        </w:rPr>
        <w:t>Concessionaire</w:t>
      </w:r>
      <w:r>
        <w:rPr>
          <w:spacing w:val="40"/>
          <w:sz w:val="21"/>
        </w:rPr>
        <w:t> </w:t>
      </w:r>
      <w:r>
        <w:rPr>
          <w:sz w:val="21"/>
        </w:rPr>
        <w:t>in</w:t>
      </w:r>
      <w:r>
        <w:rPr>
          <w:spacing w:val="40"/>
          <w:sz w:val="21"/>
        </w:rPr>
        <w:t> </w:t>
      </w:r>
      <w:r>
        <w:rPr>
          <w:sz w:val="21"/>
        </w:rPr>
        <w:t>the</w:t>
      </w:r>
      <w:r>
        <w:rPr>
          <w:spacing w:val="40"/>
          <w:sz w:val="21"/>
        </w:rPr>
        <w:t> </w:t>
      </w:r>
      <w:r>
        <w:rPr>
          <w:sz w:val="21"/>
        </w:rPr>
        <w:t>accounting</w:t>
      </w:r>
      <w:r>
        <w:rPr>
          <w:spacing w:val="40"/>
          <w:sz w:val="21"/>
        </w:rPr>
        <w:t> </w:t>
      </w:r>
      <w:r>
        <w:rPr>
          <w:sz w:val="21"/>
        </w:rPr>
        <w:t>of</w:t>
      </w:r>
      <w:r>
        <w:rPr>
          <w:spacing w:val="40"/>
          <w:sz w:val="21"/>
        </w:rPr>
        <w:t> </w:t>
      </w:r>
      <w:r>
        <w:rPr>
          <w:sz w:val="21"/>
        </w:rPr>
        <w:t>its</w:t>
      </w:r>
      <w:r>
        <w:rPr>
          <w:spacing w:val="40"/>
          <w:sz w:val="21"/>
        </w:rPr>
        <w:t> </w:t>
      </w:r>
      <w:r>
        <w:rPr>
          <w:sz w:val="21"/>
        </w:rPr>
        <w:t>operations</w:t>
      </w:r>
      <w:r>
        <w:rPr>
          <w:spacing w:val="40"/>
          <w:sz w:val="21"/>
        </w:rPr>
        <w:t> </w:t>
      </w:r>
      <w:r>
        <w:rPr>
          <w:sz w:val="21"/>
        </w:rPr>
        <w:t>and</w:t>
      </w:r>
      <w:r>
        <w:rPr>
          <w:spacing w:val="40"/>
          <w:sz w:val="21"/>
        </w:rPr>
        <w:t> </w:t>
      </w:r>
      <w:r>
        <w:rPr>
          <w:sz w:val="21"/>
        </w:rPr>
        <w:t>the</w:t>
      </w:r>
      <w:r>
        <w:rPr>
          <w:spacing w:val="40"/>
          <w:sz w:val="21"/>
        </w:rPr>
        <w:t> </w:t>
      </w:r>
      <w:r>
        <w:rPr>
          <w:sz w:val="21"/>
        </w:rPr>
        <w:t>observance</w:t>
      </w:r>
      <w:r>
        <w:rPr>
          <w:spacing w:val="40"/>
          <w:sz w:val="21"/>
        </w:rPr>
        <w:t> </w:t>
      </w:r>
      <w:r>
        <w:rPr>
          <w:sz w:val="21"/>
        </w:rPr>
        <w:t>of</w:t>
      </w:r>
      <w:r>
        <w:rPr>
          <w:spacing w:val="40"/>
          <w:sz w:val="21"/>
        </w:rPr>
        <w:t> </w:t>
      </w:r>
      <w:r>
        <w:rPr>
          <w:sz w:val="21"/>
        </w:rPr>
        <w:t>special</w:t>
      </w:r>
      <w:r>
        <w:rPr>
          <w:spacing w:val="40"/>
          <w:sz w:val="21"/>
        </w:rPr>
        <w:t> </w:t>
      </w:r>
      <w:r>
        <w:rPr>
          <w:sz w:val="21"/>
        </w:rPr>
        <w:t>norms</w:t>
      </w:r>
      <w:r>
        <w:rPr>
          <w:spacing w:val="40"/>
          <w:sz w:val="21"/>
        </w:rPr>
        <w:t> </w:t>
      </w:r>
      <w:r>
        <w:rPr>
          <w:sz w:val="21"/>
        </w:rPr>
        <w:t>in</w:t>
      </w:r>
      <w:r>
        <w:rPr>
          <w:spacing w:val="40"/>
          <w:sz w:val="21"/>
        </w:rPr>
        <w:t> </w:t>
      </w:r>
      <w:r>
        <w:rPr>
          <w:sz w:val="21"/>
        </w:rPr>
        <w:t>its compilation and presentation.</w:t>
      </w:r>
    </w:p>
    <w:p>
      <w:pPr>
        <w:pStyle w:val="BodyText"/>
        <w:spacing w:before="134"/>
        <w:rPr>
          <w:sz w:val="21"/>
        </w:rPr>
      </w:pPr>
    </w:p>
    <w:p>
      <w:pPr>
        <w:spacing w:before="0"/>
        <w:ind w:left="24" w:right="0" w:firstLine="0"/>
        <w:jc w:val="center"/>
        <w:rPr>
          <w:b/>
          <w:sz w:val="21"/>
        </w:rPr>
      </w:pPr>
      <w:r>
        <w:rPr>
          <w:b/>
          <w:sz w:val="21"/>
        </w:rPr>
        <w:t>Clause</w:t>
      </w:r>
      <w:r>
        <w:rPr>
          <w:b/>
          <w:spacing w:val="13"/>
          <w:sz w:val="21"/>
        </w:rPr>
        <w:t> </w:t>
      </w:r>
      <w:r>
        <w:rPr>
          <w:b/>
          <w:spacing w:val="-5"/>
          <w:sz w:val="21"/>
        </w:rPr>
        <w:t>60</w:t>
      </w:r>
    </w:p>
    <w:p>
      <w:pPr>
        <w:spacing w:before="69"/>
        <w:ind w:left="24" w:right="0" w:firstLine="0"/>
        <w:jc w:val="center"/>
        <w:rPr>
          <w:b/>
          <w:sz w:val="21"/>
        </w:rPr>
      </w:pPr>
      <w:r>
        <w:rPr>
          <w:b/>
          <w:sz w:val="21"/>
        </w:rPr>
        <w:t>External</w:t>
      </w:r>
      <w:r>
        <w:rPr>
          <w:b/>
          <w:spacing w:val="11"/>
          <w:sz w:val="21"/>
        </w:rPr>
        <w:t> </w:t>
      </w:r>
      <w:r>
        <w:rPr>
          <w:b/>
          <w:sz w:val="21"/>
        </w:rPr>
        <w:t>audit</w:t>
      </w:r>
      <w:r>
        <w:rPr>
          <w:b/>
          <w:spacing w:val="11"/>
          <w:sz w:val="21"/>
        </w:rPr>
        <w:t> </w:t>
      </w:r>
      <w:r>
        <w:rPr>
          <w:b/>
          <w:sz w:val="21"/>
        </w:rPr>
        <w:t>of</w:t>
      </w:r>
      <w:r>
        <w:rPr>
          <w:b/>
          <w:spacing w:val="11"/>
          <w:sz w:val="21"/>
        </w:rPr>
        <w:t> </w:t>
      </w:r>
      <w:r>
        <w:rPr>
          <w:b/>
          <w:sz w:val="21"/>
        </w:rPr>
        <w:t>annual</w:t>
      </w:r>
      <w:r>
        <w:rPr>
          <w:b/>
          <w:spacing w:val="11"/>
          <w:sz w:val="21"/>
        </w:rPr>
        <w:t> </w:t>
      </w:r>
      <w:r>
        <w:rPr>
          <w:b/>
          <w:spacing w:val="-2"/>
          <w:sz w:val="21"/>
        </w:rPr>
        <w:t>accounts</w:t>
      </w:r>
    </w:p>
    <w:p>
      <w:pPr>
        <w:pStyle w:val="BodyText"/>
        <w:spacing w:before="146"/>
        <w:rPr>
          <w:b/>
          <w:sz w:val="21"/>
        </w:rPr>
      </w:pPr>
    </w:p>
    <w:p>
      <w:pPr>
        <w:spacing w:line="213" w:lineRule="auto" w:before="0"/>
        <w:ind w:left="144" w:right="118" w:firstLine="0"/>
        <w:jc w:val="both"/>
        <w:rPr>
          <w:sz w:val="21"/>
        </w:rPr>
      </w:pP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have</w:t>
      </w:r>
      <w:r>
        <w:rPr>
          <w:spacing w:val="40"/>
          <w:sz w:val="21"/>
        </w:rPr>
        <w:t> </w:t>
      </w:r>
      <w:r>
        <w:rPr>
          <w:sz w:val="21"/>
        </w:rPr>
        <w:t>its</w:t>
      </w:r>
      <w:r>
        <w:rPr>
          <w:spacing w:val="40"/>
          <w:sz w:val="21"/>
        </w:rPr>
        <w:t> </w:t>
      </w:r>
      <w:r>
        <w:rPr>
          <w:sz w:val="21"/>
        </w:rPr>
        <w:t>accounts</w:t>
      </w:r>
      <w:r>
        <w:rPr>
          <w:spacing w:val="40"/>
          <w:sz w:val="21"/>
        </w:rPr>
        <w:t> </w:t>
      </w:r>
      <w:r>
        <w:rPr>
          <w:sz w:val="21"/>
        </w:rPr>
        <w:t>annually</w:t>
      </w:r>
      <w:r>
        <w:rPr>
          <w:spacing w:val="40"/>
          <w:sz w:val="21"/>
        </w:rPr>
        <w:t> </w:t>
      </w:r>
      <w:r>
        <w:rPr>
          <w:sz w:val="21"/>
        </w:rPr>
        <w:t>audited</w:t>
      </w:r>
      <w:r>
        <w:rPr>
          <w:spacing w:val="40"/>
          <w:sz w:val="21"/>
        </w:rPr>
        <w:t> </w:t>
      </w:r>
      <w:r>
        <w:rPr>
          <w:sz w:val="21"/>
        </w:rPr>
        <w:t>by</w:t>
      </w:r>
      <w:r>
        <w:rPr>
          <w:spacing w:val="40"/>
          <w:sz w:val="21"/>
        </w:rPr>
        <w:t> </w:t>
      </w:r>
      <w:r>
        <w:rPr>
          <w:sz w:val="21"/>
        </w:rPr>
        <w:t>an</w:t>
      </w:r>
      <w:r>
        <w:rPr>
          <w:spacing w:val="40"/>
          <w:sz w:val="21"/>
        </w:rPr>
        <w:t> </w:t>
      </w:r>
      <w:r>
        <w:rPr>
          <w:sz w:val="21"/>
        </w:rPr>
        <w:t>external</w:t>
      </w:r>
      <w:r>
        <w:rPr>
          <w:spacing w:val="40"/>
          <w:sz w:val="21"/>
        </w:rPr>
        <w:t> </w:t>
      </w:r>
      <w:r>
        <w:rPr>
          <w:sz w:val="21"/>
        </w:rPr>
        <w:t>independent</w:t>
      </w:r>
      <w:r>
        <w:rPr>
          <w:spacing w:val="40"/>
          <w:sz w:val="21"/>
        </w:rPr>
        <w:t> </w:t>
      </w:r>
      <w:r>
        <w:rPr>
          <w:sz w:val="21"/>
        </w:rPr>
        <w:t>entity</w:t>
      </w:r>
      <w:r>
        <w:rPr>
          <w:spacing w:val="40"/>
          <w:sz w:val="21"/>
        </w:rPr>
        <w:t> </w:t>
      </w:r>
      <w:r>
        <w:rPr>
          <w:sz w:val="21"/>
        </w:rPr>
        <w:t>of</w:t>
      </w:r>
      <w:r>
        <w:rPr>
          <w:spacing w:val="40"/>
          <w:sz w:val="21"/>
        </w:rPr>
        <w:t> </w:t>
      </w:r>
      <w:r>
        <w:rPr>
          <w:sz w:val="21"/>
        </w:rPr>
        <w:t>recognized</w:t>
      </w:r>
      <w:r>
        <w:rPr>
          <w:spacing w:val="40"/>
          <w:sz w:val="21"/>
        </w:rPr>
        <w:t> </w:t>
      </w:r>
      <w:r>
        <w:rPr>
          <w:sz w:val="21"/>
        </w:rPr>
        <w:t>high international</w:t>
      </w:r>
      <w:r>
        <w:rPr>
          <w:spacing w:val="40"/>
          <w:sz w:val="21"/>
        </w:rPr>
        <w:t> </w:t>
      </w:r>
      <w:r>
        <w:rPr>
          <w:sz w:val="21"/>
        </w:rPr>
        <w:t>standards</w:t>
      </w:r>
      <w:r>
        <w:rPr>
          <w:spacing w:val="40"/>
          <w:sz w:val="21"/>
        </w:rPr>
        <w:t> </w:t>
      </w:r>
      <w:r>
        <w:rPr>
          <w:sz w:val="21"/>
        </w:rPr>
        <w:t>previously</w:t>
      </w:r>
      <w:r>
        <w:rPr>
          <w:spacing w:val="40"/>
          <w:sz w:val="21"/>
        </w:rPr>
        <w:t> </w:t>
      </w:r>
      <w:r>
        <w:rPr>
          <w:sz w:val="21"/>
        </w:rPr>
        <w:t>accepted</w:t>
      </w:r>
      <w:r>
        <w:rPr>
          <w:spacing w:val="40"/>
          <w:sz w:val="21"/>
        </w:rPr>
        <w:t> </w:t>
      </w:r>
      <w:r>
        <w:rPr>
          <w:sz w:val="21"/>
        </w:rPr>
        <w:t>by</w:t>
      </w:r>
      <w:r>
        <w:rPr>
          <w:spacing w:val="40"/>
          <w:sz w:val="21"/>
        </w:rPr>
        <w:t> </w:t>
      </w:r>
      <w:r>
        <w:rPr>
          <w:sz w:val="21"/>
        </w:rPr>
        <w:t>DICJ</w:t>
      </w:r>
      <w:r>
        <w:rPr>
          <w:spacing w:val="40"/>
          <w:sz w:val="21"/>
        </w:rPr>
        <w:t> </w:t>
      </w:r>
      <w:r>
        <w:rPr>
          <w:sz w:val="21"/>
        </w:rPr>
        <w:t>and</w:t>
      </w:r>
      <w:r>
        <w:rPr>
          <w:spacing w:val="40"/>
          <w:sz w:val="21"/>
        </w:rPr>
        <w:t> </w:t>
      </w:r>
      <w:r>
        <w:rPr>
          <w:sz w:val="21"/>
        </w:rPr>
        <w:t>DSF,</w:t>
      </w:r>
      <w:r>
        <w:rPr>
          <w:spacing w:val="40"/>
          <w:sz w:val="21"/>
        </w:rPr>
        <w:t> </w:t>
      </w:r>
      <w:r>
        <w:rPr>
          <w:sz w:val="21"/>
        </w:rPr>
        <w:t>providing</w:t>
      </w:r>
      <w:r>
        <w:rPr>
          <w:spacing w:val="40"/>
          <w:sz w:val="21"/>
        </w:rPr>
        <w:t> </w:t>
      </w:r>
      <w:r>
        <w:rPr>
          <w:sz w:val="21"/>
        </w:rPr>
        <w:t>in</w:t>
      </w:r>
      <w:r>
        <w:rPr>
          <w:spacing w:val="40"/>
          <w:sz w:val="21"/>
        </w:rPr>
        <w:t> </w:t>
      </w:r>
      <w:r>
        <w:rPr>
          <w:sz w:val="21"/>
        </w:rPr>
        <w:t>advance</w:t>
      </w:r>
      <w:r>
        <w:rPr>
          <w:spacing w:val="40"/>
          <w:sz w:val="21"/>
        </w:rPr>
        <w:t> </w:t>
      </w:r>
      <w:r>
        <w:rPr>
          <w:sz w:val="21"/>
        </w:rPr>
        <w:t>all</w:t>
      </w:r>
      <w:r>
        <w:rPr>
          <w:spacing w:val="40"/>
          <w:sz w:val="21"/>
        </w:rPr>
        <w:t> </w:t>
      </w:r>
      <w:r>
        <w:rPr>
          <w:sz w:val="21"/>
        </w:rPr>
        <w:t>the</w:t>
      </w:r>
      <w:r>
        <w:rPr>
          <w:spacing w:val="40"/>
          <w:sz w:val="21"/>
        </w:rPr>
        <w:t> </w:t>
      </w:r>
      <w:r>
        <w:rPr>
          <w:sz w:val="21"/>
        </w:rPr>
        <w:t>documents</w:t>
      </w:r>
      <w:r>
        <w:rPr>
          <w:spacing w:val="40"/>
          <w:sz w:val="21"/>
        </w:rPr>
        <w:t> </w:t>
      </w:r>
      <w:r>
        <w:rPr>
          <w:sz w:val="21"/>
        </w:rPr>
        <w:t>necessary,</w:t>
      </w:r>
      <w:r>
        <w:rPr>
          <w:spacing w:val="40"/>
          <w:sz w:val="21"/>
        </w:rPr>
        <w:t> </w:t>
      </w:r>
      <w:r>
        <w:rPr>
          <w:sz w:val="21"/>
        </w:rPr>
        <w:t>namely</w:t>
      </w:r>
      <w:r>
        <w:rPr>
          <w:spacing w:val="40"/>
          <w:sz w:val="21"/>
        </w:rPr>
        <w:t> </w:t>
      </w:r>
      <w:r>
        <w:rPr>
          <w:sz w:val="21"/>
        </w:rPr>
        <w:t>those referred to in Section 34 of the Law No. 16/2001.</w:t>
      </w:r>
    </w:p>
    <w:p>
      <w:pPr>
        <w:pStyle w:val="BodyText"/>
        <w:spacing w:before="132"/>
        <w:rPr>
          <w:sz w:val="21"/>
        </w:rPr>
      </w:pPr>
    </w:p>
    <w:p>
      <w:pPr>
        <w:spacing w:line="309" w:lineRule="auto" w:before="0"/>
        <w:ind w:left="4921" w:right="4894" w:hanging="1"/>
        <w:jc w:val="center"/>
        <w:rPr>
          <w:b/>
          <w:sz w:val="21"/>
        </w:rPr>
      </w:pPr>
      <w:r>
        <w:rPr>
          <w:b/>
          <w:sz w:val="21"/>
        </w:rPr>
        <w:t>Clause 61 Extraordinary </w:t>
      </w:r>
      <w:r>
        <w:rPr>
          <w:b/>
          <w:sz w:val="21"/>
        </w:rPr>
        <w:t>audits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8"/>
        <w:rPr>
          <w:b/>
          <w:sz w:val="20"/>
        </w:rPr>
      </w:pPr>
      <w:r>
        <w:rPr/>
        <mc:AlternateContent>
          <mc:Choice Requires="wps">
            <w:drawing>
              <wp:anchor distT="0" distB="0" distL="0" distR="0" allowOverlap="1" layoutInCell="1" locked="0" behindDoc="1" simplePos="0" relativeHeight="487780864">
                <wp:simplePos x="0" y="0"/>
                <wp:positionH relativeFrom="page">
                  <wp:posOffset>231457</wp:posOffset>
                </wp:positionH>
                <wp:positionV relativeFrom="paragraph">
                  <wp:posOffset>293357</wp:posOffset>
                </wp:positionV>
                <wp:extent cx="7312659" cy="17145"/>
                <wp:effectExtent l="0" t="0" r="0" b="0"/>
                <wp:wrapTopAndBottom/>
                <wp:docPr id="924" name="Group 924"/>
                <wp:cNvGraphicFramePr>
                  <a:graphicFrameLocks/>
                </wp:cNvGraphicFramePr>
                <a:graphic>
                  <a:graphicData uri="http://schemas.microsoft.com/office/word/2010/wordprocessingGroup">
                    <wpg:wgp>
                      <wpg:cNvPr id="924" name="Group 924"/>
                      <wpg:cNvGrpSpPr/>
                      <wpg:grpSpPr>
                        <a:xfrm>
                          <a:off x="0" y="0"/>
                          <a:ext cx="7312659" cy="17145"/>
                          <a:chExt cx="7312659" cy="17145"/>
                        </a:xfrm>
                      </wpg:grpSpPr>
                      <wps:wsp>
                        <wps:cNvPr id="925" name="Graphic 92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26" name="Graphic 926"/>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27" name="Graphic 92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3.099024pt;width:575.8pt;height:1.35pt;mso-position-horizontal-relative:page;mso-position-vertical-relative:paragraph;z-index:-15535616;mso-wrap-distance-left:0;mso-wrap-distance-right:0" id="docshapegroup922" coordorigin="364,462" coordsize="11516,27">
                <v:rect style="position:absolute;left:364;top:461;width:11516;height:14" id="docshape923" filled="true" fillcolor="#999999" stroked="false">
                  <v:fill type="solid"/>
                </v:rect>
                <v:shape style="position:absolute;left:364;top:461;width:11516;height:27" id="docshape924" coordorigin="364,462" coordsize="11516,27" path="m11880,462l11866,475,364,475,364,489,11866,489,11880,489,11880,475,11880,462xe" filled="true" fillcolor="#ededed" stroked="false">
                  <v:path arrowok="t"/>
                  <v:fill type="solid"/>
                </v:shape>
                <v:shape style="position:absolute;left:364;top:461;width:14;height:27" id="docshape925" coordorigin="364,462" coordsize="14,27" path="m364,489l364,462,378,462,378,475,364,489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spacing w:line="213" w:lineRule="auto" w:before="90"/>
        <w:ind w:left="144" w:right="118" w:firstLine="0"/>
        <w:jc w:val="both"/>
        <w:rPr>
          <w:sz w:val="21"/>
        </w:rPr>
      </w:pPr>
      <w:r>
        <w:rPr>
          <w:sz w:val="21"/>
        </w:rPr>
        <w:t>The Concessionaire agrees, at any time, with or without prior notice, to be audited by an independent external entity of recognized international</w:t>
      </w:r>
      <w:r>
        <w:rPr>
          <w:spacing w:val="27"/>
          <w:sz w:val="21"/>
        </w:rPr>
        <w:t> </w:t>
      </w:r>
      <w:r>
        <w:rPr>
          <w:sz w:val="21"/>
        </w:rPr>
        <w:t>standards,</w:t>
      </w:r>
      <w:r>
        <w:rPr>
          <w:spacing w:val="27"/>
          <w:sz w:val="21"/>
        </w:rPr>
        <w:t> </w:t>
      </w:r>
      <w:r>
        <w:rPr>
          <w:sz w:val="21"/>
        </w:rPr>
        <w:t>or</w:t>
      </w:r>
      <w:r>
        <w:rPr>
          <w:spacing w:val="27"/>
          <w:sz w:val="21"/>
        </w:rPr>
        <w:t> </w:t>
      </w:r>
      <w:r>
        <w:rPr>
          <w:sz w:val="21"/>
        </w:rPr>
        <w:t>by</w:t>
      </w:r>
      <w:r>
        <w:rPr>
          <w:spacing w:val="27"/>
          <w:sz w:val="21"/>
        </w:rPr>
        <w:t> </w:t>
      </w:r>
      <w:r>
        <w:rPr>
          <w:sz w:val="21"/>
        </w:rPr>
        <w:t>another</w:t>
      </w:r>
      <w:r>
        <w:rPr>
          <w:spacing w:val="27"/>
          <w:sz w:val="21"/>
        </w:rPr>
        <w:t> </w:t>
      </w:r>
      <w:r>
        <w:rPr>
          <w:sz w:val="21"/>
        </w:rPr>
        <w:t>entity,</w:t>
      </w:r>
      <w:r>
        <w:rPr>
          <w:spacing w:val="27"/>
          <w:sz w:val="21"/>
        </w:rPr>
        <w:t> </w:t>
      </w:r>
      <w:r>
        <w:rPr>
          <w:sz w:val="21"/>
        </w:rPr>
        <w:t>whenever</w:t>
      </w:r>
      <w:r>
        <w:rPr>
          <w:spacing w:val="27"/>
          <w:sz w:val="21"/>
        </w:rPr>
        <w:t> </w:t>
      </w:r>
      <w:r>
        <w:rPr>
          <w:sz w:val="21"/>
        </w:rPr>
        <w:t>DICJ</w:t>
      </w:r>
      <w:r>
        <w:rPr>
          <w:spacing w:val="27"/>
          <w:sz w:val="21"/>
        </w:rPr>
        <w:t> </w:t>
      </w:r>
      <w:r>
        <w:rPr>
          <w:sz w:val="21"/>
        </w:rPr>
        <w:t>or</w:t>
      </w:r>
      <w:r>
        <w:rPr>
          <w:spacing w:val="27"/>
          <w:sz w:val="21"/>
        </w:rPr>
        <w:t> </w:t>
      </w:r>
      <w:r>
        <w:rPr>
          <w:sz w:val="21"/>
        </w:rPr>
        <w:t>DSF</w:t>
      </w:r>
      <w:r>
        <w:rPr>
          <w:spacing w:val="27"/>
          <w:sz w:val="21"/>
        </w:rPr>
        <w:t> </w:t>
      </w:r>
      <w:r>
        <w:rPr>
          <w:sz w:val="21"/>
        </w:rPr>
        <w:t>deem</w:t>
      </w:r>
      <w:r>
        <w:rPr>
          <w:spacing w:val="27"/>
          <w:sz w:val="21"/>
        </w:rPr>
        <w:t> </w:t>
      </w:r>
      <w:r>
        <w:rPr>
          <w:sz w:val="21"/>
        </w:rPr>
        <w:t>it</w:t>
      </w:r>
      <w:r>
        <w:rPr>
          <w:spacing w:val="27"/>
          <w:sz w:val="21"/>
        </w:rPr>
        <w:t> </w:t>
      </w:r>
      <w:r>
        <w:rPr>
          <w:sz w:val="21"/>
        </w:rPr>
        <w:t>necessary</w:t>
      </w:r>
      <w:r>
        <w:rPr>
          <w:spacing w:val="27"/>
          <w:sz w:val="21"/>
        </w:rPr>
        <w:t> </w:t>
      </w:r>
      <w:r>
        <w:rPr>
          <w:sz w:val="21"/>
        </w:rPr>
        <w:t>or</w:t>
      </w:r>
      <w:r>
        <w:rPr>
          <w:spacing w:val="27"/>
          <w:sz w:val="21"/>
        </w:rPr>
        <w:t> </w:t>
      </w:r>
      <w:r>
        <w:rPr>
          <w:sz w:val="21"/>
        </w:rPr>
        <w:t>convenient.</w:t>
      </w:r>
    </w:p>
    <w:p>
      <w:pPr>
        <w:pStyle w:val="BodyText"/>
        <w:spacing w:before="131"/>
        <w:rPr>
          <w:sz w:val="21"/>
        </w:rPr>
      </w:pPr>
    </w:p>
    <w:p>
      <w:pPr>
        <w:spacing w:line="295" w:lineRule="auto" w:before="0"/>
        <w:ind w:left="4740" w:right="4600" w:firstLine="714"/>
        <w:jc w:val="left"/>
        <w:rPr>
          <w:b/>
          <w:sz w:val="21"/>
        </w:rPr>
      </w:pPr>
      <w:r>
        <w:rPr>
          <w:b/>
          <w:sz w:val="21"/>
        </w:rPr>
        <w:t>Clause 62 Compulsory </w:t>
      </w:r>
      <w:r>
        <w:rPr>
          <w:b/>
          <w:sz w:val="21"/>
        </w:rPr>
        <w:t>publications</w:t>
      </w:r>
    </w:p>
    <w:p>
      <w:pPr>
        <w:pStyle w:val="BodyText"/>
        <w:spacing w:before="104"/>
        <w:rPr>
          <w:b/>
          <w:sz w:val="21"/>
        </w:rPr>
      </w:pPr>
    </w:p>
    <w:p>
      <w:pPr>
        <w:spacing w:line="213" w:lineRule="auto" w:before="0"/>
        <w:ind w:left="144" w:right="118" w:firstLine="0"/>
        <w:jc w:val="both"/>
        <w:rPr>
          <w:sz w:val="21"/>
        </w:rPr>
      </w:pPr>
      <w:r>
        <w:rPr>
          <w:i/>
          <w:sz w:val="21"/>
        </w:rPr>
        <w:t>One</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publish,</w:t>
      </w:r>
      <w:r>
        <w:rPr>
          <w:spacing w:val="40"/>
          <w:sz w:val="21"/>
        </w:rPr>
        <w:t> </w:t>
      </w:r>
      <w:r>
        <w:rPr>
          <w:sz w:val="21"/>
        </w:rPr>
        <w:t>by</w:t>
      </w:r>
      <w:r>
        <w:rPr>
          <w:spacing w:val="40"/>
          <w:sz w:val="21"/>
        </w:rPr>
        <w:t> </w:t>
      </w:r>
      <w:r>
        <w:rPr>
          <w:sz w:val="21"/>
        </w:rPr>
        <w:t>30</w:t>
      </w:r>
      <w:r>
        <w:rPr>
          <w:spacing w:val="34"/>
          <w:sz w:val="21"/>
        </w:rPr>
        <w:t> </w:t>
      </w:r>
      <w:r>
        <w:rPr>
          <w:sz w:val="21"/>
        </w:rPr>
        <w:t>April</w:t>
      </w:r>
      <w:r>
        <w:rPr>
          <w:spacing w:val="40"/>
          <w:sz w:val="21"/>
        </w:rPr>
        <w:t> </w:t>
      </w:r>
      <w:r>
        <w:rPr>
          <w:sz w:val="21"/>
        </w:rPr>
        <w:t>every</w:t>
      </w:r>
      <w:r>
        <w:rPr>
          <w:spacing w:val="40"/>
          <w:sz w:val="21"/>
        </w:rPr>
        <w:t> </w:t>
      </w:r>
      <w:r>
        <w:rPr>
          <w:sz w:val="21"/>
        </w:rPr>
        <w:t>year,</w:t>
      </w:r>
      <w:r>
        <w:rPr>
          <w:spacing w:val="40"/>
          <w:sz w:val="21"/>
        </w:rPr>
        <w:t> </w:t>
      </w:r>
      <w:r>
        <w:rPr>
          <w:sz w:val="21"/>
        </w:rPr>
        <w:t>the</w:t>
      </w:r>
      <w:r>
        <w:rPr>
          <w:spacing w:val="40"/>
          <w:sz w:val="21"/>
        </w:rPr>
        <w:t> </w:t>
      </w:r>
      <w:r>
        <w:rPr>
          <w:sz w:val="21"/>
        </w:rPr>
        <w:t>following</w:t>
      </w:r>
      <w:r>
        <w:rPr>
          <w:spacing w:val="40"/>
          <w:sz w:val="21"/>
        </w:rPr>
        <w:t> </w:t>
      </w:r>
      <w:r>
        <w:rPr>
          <w:sz w:val="21"/>
        </w:rPr>
        <w:t>elements</w:t>
      </w:r>
      <w:r>
        <w:rPr>
          <w:spacing w:val="40"/>
          <w:sz w:val="21"/>
        </w:rPr>
        <w:t> </w:t>
      </w:r>
      <w:r>
        <w:rPr>
          <w:sz w:val="21"/>
        </w:rPr>
        <w:t>pertaining</w:t>
      </w:r>
      <w:r>
        <w:rPr>
          <w:spacing w:val="40"/>
          <w:sz w:val="21"/>
        </w:rPr>
        <w:t> </w:t>
      </w:r>
      <w:r>
        <w:rPr>
          <w:sz w:val="21"/>
        </w:rPr>
        <w:t>to</w:t>
      </w:r>
      <w:r>
        <w:rPr>
          <w:spacing w:val="40"/>
          <w:sz w:val="21"/>
        </w:rPr>
        <w:t> </w:t>
      </w:r>
      <w:r>
        <w:rPr>
          <w:sz w:val="21"/>
        </w:rPr>
        <w:t>the</w:t>
      </w:r>
      <w:r>
        <w:rPr>
          <w:spacing w:val="40"/>
          <w:sz w:val="21"/>
        </w:rPr>
        <w:t> </w:t>
      </w:r>
      <w:r>
        <w:rPr>
          <w:sz w:val="21"/>
        </w:rPr>
        <w:t>previous</w:t>
      </w:r>
      <w:r>
        <w:rPr>
          <w:spacing w:val="40"/>
          <w:sz w:val="21"/>
        </w:rPr>
        <w:t> </w:t>
      </w:r>
      <w:r>
        <w:rPr>
          <w:sz w:val="21"/>
        </w:rPr>
        <w:t>year ending 31 December in the Official Gazette of the Macau Special Administrative Region and in two of the most widely read</w:t>
      </w:r>
      <w:r>
        <w:rPr>
          <w:spacing w:val="80"/>
          <w:sz w:val="21"/>
        </w:rPr>
        <w:t> </w:t>
      </w:r>
      <w:r>
        <w:rPr>
          <w:sz w:val="21"/>
        </w:rPr>
        <w:t>newspapers in the Macau SAR, one in Chinese and one in Portuguese:</w:t>
      </w:r>
    </w:p>
    <w:p>
      <w:pPr>
        <w:pStyle w:val="BodyText"/>
        <w:spacing w:before="50"/>
        <w:rPr>
          <w:sz w:val="21"/>
        </w:rPr>
      </w:pPr>
    </w:p>
    <w:p>
      <w:pPr>
        <w:pStyle w:val="ListParagraph"/>
        <w:numPr>
          <w:ilvl w:val="0"/>
          <w:numId w:val="39"/>
        </w:numPr>
        <w:tabs>
          <w:tab w:pos="883" w:val="left" w:leader="none"/>
        </w:tabs>
        <w:spacing w:line="240" w:lineRule="auto" w:before="1" w:after="0"/>
        <w:ind w:left="883" w:right="0" w:hanging="229"/>
        <w:jc w:val="left"/>
        <w:rPr>
          <w:sz w:val="21"/>
        </w:rPr>
      </w:pPr>
      <w:r>
        <w:rPr>
          <w:sz w:val="21"/>
        </w:rPr>
        <w:t>The</w:t>
      </w:r>
      <w:r>
        <w:rPr>
          <w:spacing w:val="9"/>
          <w:sz w:val="21"/>
        </w:rPr>
        <w:t> </w:t>
      </w:r>
      <w:r>
        <w:rPr>
          <w:sz w:val="21"/>
        </w:rPr>
        <w:t>balance,</w:t>
      </w:r>
      <w:r>
        <w:rPr>
          <w:spacing w:val="10"/>
          <w:sz w:val="21"/>
        </w:rPr>
        <w:t> </w:t>
      </w:r>
      <w:r>
        <w:rPr>
          <w:sz w:val="21"/>
        </w:rPr>
        <w:t>profit</w:t>
      </w:r>
      <w:r>
        <w:rPr>
          <w:spacing w:val="10"/>
          <w:sz w:val="21"/>
        </w:rPr>
        <w:t> </w:t>
      </w:r>
      <w:r>
        <w:rPr>
          <w:sz w:val="21"/>
        </w:rPr>
        <w:t>and</w:t>
      </w:r>
      <w:r>
        <w:rPr>
          <w:spacing w:val="10"/>
          <w:sz w:val="21"/>
        </w:rPr>
        <w:t> </w:t>
      </w:r>
      <w:r>
        <w:rPr>
          <w:sz w:val="21"/>
        </w:rPr>
        <w:t>loss</w:t>
      </w:r>
      <w:r>
        <w:rPr>
          <w:spacing w:val="9"/>
          <w:sz w:val="21"/>
        </w:rPr>
        <w:t> </w:t>
      </w:r>
      <w:r>
        <w:rPr>
          <w:sz w:val="21"/>
        </w:rPr>
        <w:t>account</w:t>
      </w:r>
      <w:r>
        <w:rPr>
          <w:spacing w:val="10"/>
          <w:sz w:val="21"/>
        </w:rPr>
        <w:t> </w:t>
      </w:r>
      <w:r>
        <w:rPr>
          <w:sz w:val="21"/>
        </w:rPr>
        <w:t>and</w:t>
      </w:r>
      <w:r>
        <w:rPr>
          <w:spacing w:val="10"/>
          <w:sz w:val="21"/>
        </w:rPr>
        <w:t> </w:t>
      </w:r>
      <w:r>
        <w:rPr>
          <w:spacing w:val="-2"/>
          <w:sz w:val="21"/>
        </w:rPr>
        <w:t>annex;</w:t>
      </w:r>
    </w:p>
    <w:p>
      <w:pPr>
        <w:pStyle w:val="ListParagraph"/>
        <w:numPr>
          <w:ilvl w:val="0"/>
          <w:numId w:val="39"/>
        </w:numPr>
        <w:tabs>
          <w:tab w:pos="883" w:val="left" w:leader="none"/>
        </w:tabs>
        <w:spacing w:line="240" w:lineRule="auto" w:before="190" w:after="0"/>
        <w:ind w:left="883" w:right="0" w:hanging="229"/>
        <w:jc w:val="left"/>
        <w:rPr>
          <w:sz w:val="21"/>
        </w:rPr>
      </w:pPr>
      <w:r>
        <w:rPr>
          <w:sz w:val="21"/>
        </w:rPr>
        <w:t>The</w:t>
      </w:r>
      <w:r>
        <w:rPr>
          <w:spacing w:val="10"/>
          <w:sz w:val="21"/>
        </w:rPr>
        <w:t> </w:t>
      </w:r>
      <w:r>
        <w:rPr>
          <w:sz w:val="21"/>
        </w:rPr>
        <w:t>summary</w:t>
      </w:r>
      <w:r>
        <w:rPr>
          <w:spacing w:val="11"/>
          <w:sz w:val="21"/>
        </w:rPr>
        <w:t> </w:t>
      </w:r>
      <w:r>
        <w:rPr>
          <w:sz w:val="21"/>
        </w:rPr>
        <w:t>of</w:t>
      </w:r>
      <w:r>
        <w:rPr>
          <w:spacing w:val="10"/>
          <w:sz w:val="21"/>
        </w:rPr>
        <w:t> </w:t>
      </w:r>
      <w:r>
        <w:rPr>
          <w:sz w:val="21"/>
        </w:rPr>
        <w:t>activity</w:t>
      </w:r>
      <w:r>
        <w:rPr>
          <w:spacing w:val="11"/>
          <w:sz w:val="21"/>
        </w:rPr>
        <w:t> </w:t>
      </w:r>
      <w:r>
        <w:rPr>
          <w:spacing w:val="-2"/>
          <w:sz w:val="21"/>
        </w:rPr>
        <w:t>report;</w:t>
      </w:r>
    </w:p>
    <w:p>
      <w:pPr>
        <w:pStyle w:val="ListParagraph"/>
        <w:numPr>
          <w:ilvl w:val="0"/>
          <w:numId w:val="39"/>
        </w:numPr>
        <w:tabs>
          <w:tab w:pos="883" w:val="left" w:leader="none"/>
        </w:tabs>
        <w:spacing w:line="240" w:lineRule="auto" w:before="191" w:after="0"/>
        <w:ind w:left="883" w:right="0" w:hanging="229"/>
        <w:jc w:val="left"/>
        <w:rPr>
          <w:sz w:val="21"/>
        </w:rPr>
      </w:pPr>
      <w:r>
        <w:rPr>
          <w:sz w:val="21"/>
        </w:rPr>
        <w:t>The</w:t>
      </w:r>
      <w:r>
        <w:rPr>
          <w:spacing w:val="9"/>
          <w:sz w:val="21"/>
        </w:rPr>
        <w:t> </w:t>
      </w:r>
      <w:r>
        <w:rPr>
          <w:sz w:val="21"/>
        </w:rPr>
        <w:t>opinion</w:t>
      </w:r>
      <w:r>
        <w:rPr>
          <w:spacing w:val="10"/>
          <w:sz w:val="21"/>
        </w:rPr>
        <w:t> </w:t>
      </w:r>
      <w:r>
        <w:rPr>
          <w:sz w:val="21"/>
        </w:rPr>
        <w:t>of</w:t>
      </w:r>
      <w:r>
        <w:rPr>
          <w:spacing w:val="9"/>
          <w:sz w:val="21"/>
        </w:rPr>
        <w:t> </w:t>
      </w:r>
      <w:r>
        <w:rPr>
          <w:sz w:val="21"/>
        </w:rPr>
        <w:t>the</w:t>
      </w:r>
      <w:r>
        <w:rPr>
          <w:spacing w:val="10"/>
          <w:sz w:val="21"/>
        </w:rPr>
        <w:t> </w:t>
      </w:r>
      <w:r>
        <w:rPr>
          <w:sz w:val="21"/>
        </w:rPr>
        <w:t>statutory</w:t>
      </w:r>
      <w:r>
        <w:rPr>
          <w:spacing w:val="9"/>
          <w:sz w:val="21"/>
        </w:rPr>
        <w:t> </w:t>
      </w:r>
      <w:r>
        <w:rPr>
          <w:sz w:val="21"/>
        </w:rPr>
        <w:t>audit</w:t>
      </w:r>
      <w:r>
        <w:rPr>
          <w:spacing w:val="10"/>
          <w:sz w:val="21"/>
        </w:rPr>
        <w:t> </w:t>
      </w:r>
      <w:r>
        <w:rPr>
          <w:spacing w:val="-2"/>
          <w:sz w:val="21"/>
        </w:rPr>
        <w:t>board;</w:t>
      </w:r>
    </w:p>
    <w:p>
      <w:pPr>
        <w:pStyle w:val="ListParagraph"/>
        <w:numPr>
          <w:ilvl w:val="0"/>
          <w:numId w:val="39"/>
        </w:numPr>
        <w:tabs>
          <w:tab w:pos="883" w:val="left" w:leader="none"/>
        </w:tabs>
        <w:spacing w:line="240" w:lineRule="auto" w:before="190" w:after="0"/>
        <w:ind w:left="883" w:right="0" w:hanging="229"/>
        <w:jc w:val="left"/>
        <w:rPr>
          <w:sz w:val="21"/>
        </w:rPr>
      </w:pPr>
      <w:r>
        <w:rPr>
          <w:sz w:val="21"/>
        </w:rPr>
        <w:t>The</w:t>
      </w:r>
      <w:r>
        <w:rPr>
          <w:spacing w:val="10"/>
          <w:sz w:val="21"/>
        </w:rPr>
        <w:t> </w:t>
      </w:r>
      <w:r>
        <w:rPr>
          <w:sz w:val="21"/>
        </w:rPr>
        <w:t>summary</w:t>
      </w:r>
      <w:r>
        <w:rPr>
          <w:spacing w:val="10"/>
          <w:sz w:val="21"/>
        </w:rPr>
        <w:t> </w:t>
      </w:r>
      <w:r>
        <w:rPr>
          <w:sz w:val="21"/>
        </w:rPr>
        <w:t>of</w:t>
      </w:r>
      <w:r>
        <w:rPr>
          <w:spacing w:val="10"/>
          <w:sz w:val="21"/>
        </w:rPr>
        <w:t> </w:t>
      </w:r>
      <w:r>
        <w:rPr>
          <w:sz w:val="21"/>
        </w:rPr>
        <w:t>the</w:t>
      </w:r>
      <w:r>
        <w:rPr>
          <w:spacing w:val="10"/>
          <w:sz w:val="21"/>
        </w:rPr>
        <w:t> </w:t>
      </w:r>
      <w:r>
        <w:rPr>
          <w:sz w:val="21"/>
        </w:rPr>
        <w:t>external</w:t>
      </w:r>
      <w:r>
        <w:rPr>
          <w:spacing w:val="11"/>
          <w:sz w:val="21"/>
        </w:rPr>
        <w:t> </w:t>
      </w:r>
      <w:r>
        <w:rPr>
          <w:sz w:val="21"/>
        </w:rPr>
        <w:t>auditor’s</w:t>
      </w:r>
      <w:r>
        <w:rPr>
          <w:spacing w:val="10"/>
          <w:sz w:val="21"/>
        </w:rPr>
        <w:t> </w:t>
      </w:r>
      <w:r>
        <w:rPr>
          <w:spacing w:val="-2"/>
          <w:sz w:val="21"/>
        </w:rPr>
        <w:t>opinion;</w:t>
      </w:r>
    </w:p>
    <w:p>
      <w:pPr>
        <w:pStyle w:val="ListParagraph"/>
        <w:numPr>
          <w:ilvl w:val="0"/>
          <w:numId w:val="39"/>
        </w:numPr>
        <w:tabs>
          <w:tab w:pos="883" w:val="left" w:leader="none"/>
        </w:tabs>
        <w:spacing w:line="240" w:lineRule="auto" w:before="191" w:after="0"/>
        <w:ind w:left="883" w:right="0" w:hanging="229"/>
        <w:jc w:val="left"/>
        <w:rPr>
          <w:sz w:val="21"/>
        </w:rPr>
      </w:pPr>
      <w:r>
        <w:rPr>
          <w:sz w:val="21"/>
        </w:rPr>
        <w:t>The</w:t>
      </w:r>
      <w:r>
        <w:rPr>
          <w:spacing w:val="8"/>
          <w:sz w:val="21"/>
        </w:rPr>
        <w:t> </w:t>
      </w:r>
      <w:r>
        <w:rPr>
          <w:sz w:val="21"/>
        </w:rPr>
        <w:t>list</w:t>
      </w:r>
      <w:r>
        <w:rPr>
          <w:spacing w:val="9"/>
          <w:sz w:val="21"/>
        </w:rPr>
        <w:t> </w:t>
      </w:r>
      <w:r>
        <w:rPr>
          <w:sz w:val="21"/>
        </w:rPr>
        <w:t>of</w:t>
      </w:r>
      <w:r>
        <w:rPr>
          <w:spacing w:val="9"/>
          <w:sz w:val="21"/>
        </w:rPr>
        <w:t> </w:t>
      </w:r>
      <w:r>
        <w:rPr>
          <w:sz w:val="21"/>
        </w:rPr>
        <w:t>shareholders</w:t>
      </w:r>
      <w:r>
        <w:rPr>
          <w:spacing w:val="8"/>
          <w:sz w:val="21"/>
        </w:rPr>
        <w:t> </w:t>
      </w:r>
      <w:r>
        <w:rPr>
          <w:sz w:val="21"/>
        </w:rPr>
        <w:t>with</w:t>
      </w:r>
      <w:r>
        <w:rPr>
          <w:spacing w:val="9"/>
          <w:sz w:val="21"/>
        </w:rPr>
        <w:t> </w:t>
      </w:r>
      <w:r>
        <w:rPr>
          <w:sz w:val="21"/>
        </w:rPr>
        <w:t>5%</w:t>
      </w:r>
      <w:r>
        <w:rPr>
          <w:spacing w:val="9"/>
          <w:sz w:val="21"/>
        </w:rPr>
        <w:t> </w:t>
      </w:r>
      <w:r>
        <w:rPr>
          <w:sz w:val="21"/>
        </w:rPr>
        <w:t>or</w:t>
      </w:r>
      <w:r>
        <w:rPr>
          <w:spacing w:val="9"/>
          <w:sz w:val="21"/>
        </w:rPr>
        <w:t> </w:t>
      </w:r>
      <w:r>
        <w:rPr>
          <w:sz w:val="21"/>
        </w:rPr>
        <w:t>more</w:t>
      </w:r>
      <w:r>
        <w:rPr>
          <w:spacing w:val="8"/>
          <w:sz w:val="21"/>
        </w:rPr>
        <w:t> </w:t>
      </w:r>
      <w:r>
        <w:rPr>
          <w:sz w:val="21"/>
        </w:rPr>
        <w:t>of</w:t>
      </w:r>
      <w:r>
        <w:rPr>
          <w:spacing w:val="9"/>
          <w:sz w:val="21"/>
        </w:rPr>
        <w:t> </w:t>
      </w:r>
      <w:r>
        <w:rPr>
          <w:sz w:val="21"/>
        </w:rPr>
        <w:t>its</w:t>
      </w:r>
      <w:r>
        <w:rPr>
          <w:spacing w:val="9"/>
          <w:sz w:val="21"/>
        </w:rPr>
        <w:t> </w:t>
      </w:r>
      <w:r>
        <w:rPr>
          <w:sz w:val="21"/>
        </w:rPr>
        <w:t>share</w:t>
      </w:r>
      <w:r>
        <w:rPr>
          <w:spacing w:val="8"/>
          <w:sz w:val="21"/>
        </w:rPr>
        <w:t> </w:t>
      </w:r>
      <w:r>
        <w:rPr>
          <w:sz w:val="21"/>
        </w:rPr>
        <w:t>capital</w:t>
      </w:r>
      <w:r>
        <w:rPr>
          <w:spacing w:val="9"/>
          <w:sz w:val="21"/>
        </w:rPr>
        <w:t> </w:t>
      </w:r>
      <w:r>
        <w:rPr>
          <w:sz w:val="21"/>
        </w:rPr>
        <w:t>in</w:t>
      </w:r>
      <w:r>
        <w:rPr>
          <w:spacing w:val="9"/>
          <w:sz w:val="21"/>
        </w:rPr>
        <w:t> </w:t>
      </w:r>
      <w:r>
        <w:rPr>
          <w:sz w:val="21"/>
        </w:rPr>
        <w:t>any</w:t>
      </w:r>
      <w:r>
        <w:rPr>
          <w:spacing w:val="9"/>
          <w:sz w:val="21"/>
        </w:rPr>
        <w:t> </w:t>
      </w:r>
      <w:r>
        <w:rPr>
          <w:sz w:val="21"/>
        </w:rPr>
        <w:t>period</w:t>
      </w:r>
      <w:r>
        <w:rPr>
          <w:spacing w:val="8"/>
          <w:sz w:val="21"/>
        </w:rPr>
        <w:t> </w:t>
      </w:r>
      <w:r>
        <w:rPr>
          <w:sz w:val="21"/>
        </w:rPr>
        <w:t>of</w:t>
      </w:r>
      <w:r>
        <w:rPr>
          <w:spacing w:val="9"/>
          <w:sz w:val="21"/>
        </w:rPr>
        <w:t> </w:t>
      </w:r>
      <w:r>
        <w:rPr>
          <w:sz w:val="21"/>
        </w:rPr>
        <w:t>the</w:t>
      </w:r>
      <w:r>
        <w:rPr>
          <w:spacing w:val="9"/>
          <w:sz w:val="21"/>
        </w:rPr>
        <w:t> </w:t>
      </w:r>
      <w:r>
        <w:rPr>
          <w:sz w:val="21"/>
        </w:rPr>
        <w:t>year,</w:t>
      </w:r>
      <w:r>
        <w:rPr>
          <w:spacing w:val="8"/>
          <w:sz w:val="21"/>
        </w:rPr>
        <w:t> </w:t>
      </w:r>
      <w:r>
        <w:rPr>
          <w:sz w:val="21"/>
        </w:rPr>
        <w:t>stating</w:t>
      </w:r>
      <w:r>
        <w:rPr>
          <w:spacing w:val="9"/>
          <w:sz w:val="21"/>
        </w:rPr>
        <w:t> </w:t>
      </w:r>
      <w:r>
        <w:rPr>
          <w:sz w:val="21"/>
        </w:rPr>
        <w:t>the</w:t>
      </w:r>
      <w:r>
        <w:rPr>
          <w:spacing w:val="9"/>
          <w:sz w:val="21"/>
        </w:rPr>
        <w:t> </w:t>
      </w:r>
      <w:r>
        <w:rPr>
          <w:sz w:val="21"/>
        </w:rPr>
        <w:t>respective</w:t>
      </w:r>
      <w:r>
        <w:rPr>
          <w:spacing w:val="9"/>
          <w:sz w:val="21"/>
        </w:rPr>
        <w:t> </w:t>
      </w:r>
      <w:r>
        <w:rPr>
          <w:sz w:val="21"/>
        </w:rPr>
        <w:t>percentage;</w:t>
      </w:r>
      <w:r>
        <w:rPr>
          <w:spacing w:val="8"/>
          <w:sz w:val="21"/>
        </w:rPr>
        <w:t> </w:t>
      </w:r>
      <w:r>
        <w:rPr>
          <w:spacing w:val="-5"/>
          <w:sz w:val="21"/>
        </w:rPr>
        <w:t>and</w:t>
      </w:r>
    </w:p>
    <w:p>
      <w:pPr>
        <w:pStyle w:val="ListParagraph"/>
        <w:numPr>
          <w:ilvl w:val="0"/>
          <w:numId w:val="39"/>
        </w:numPr>
        <w:tabs>
          <w:tab w:pos="883" w:val="left" w:leader="none"/>
        </w:tabs>
        <w:spacing w:line="240" w:lineRule="auto" w:before="190" w:after="0"/>
        <w:ind w:left="883" w:right="0" w:hanging="229"/>
        <w:jc w:val="left"/>
        <w:rPr>
          <w:sz w:val="21"/>
        </w:rPr>
      </w:pPr>
      <w:r>
        <w:rPr>
          <w:sz w:val="21"/>
        </w:rPr>
        <w:t>The</w:t>
      </w:r>
      <w:r>
        <w:rPr>
          <w:spacing w:val="9"/>
          <w:sz w:val="21"/>
        </w:rPr>
        <w:t> </w:t>
      </w:r>
      <w:r>
        <w:rPr>
          <w:sz w:val="21"/>
        </w:rPr>
        <w:t>names</w:t>
      </w:r>
      <w:r>
        <w:rPr>
          <w:spacing w:val="9"/>
          <w:sz w:val="21"/>
        </w:rPr>
        <w:t> </w:t>
      </w:r>
      <w:r>
        <w:rPr>
          <w:sz w:val="21"/>
        </w:rPr>
        <w:t>of</w:t>
      </w:r>
      <w:r>
        <w:rPr>
          <w:spacing w:val="9"/>
          <w:sz w:val="21"/>
        </w:rPr>
        <w:t> </w:t>
      </w:r>
      <w:r>
        <w:rPr>
          <w:sz w:val="21"/>
        </w:rPr>
        <w:t>the</w:t>
      </w:r>
      <w:r>
        <w:rPr>
          <w:spacing w:val="9"/>
          <w:sz w:val="21"/>
        </w:rPr>
        <w:t> </w:t>
      </w:r>
      <w:r>
        <w:rPr>
          <w:sz w:val="21"/>
        </w:rPr>
        <w:t>members</w:t>
      </w:r>
      <w:r>
        <w:rPr>
          <w:spacing w:val="10"/>
          <w:sz w:val="21"/>
        </w:rPr>
        <w:t> </w:t>
      </w:r>
      <w:r>
        <w:rPr>
          <w:sz w:val="21"/>
        </w:rPr>
        <w:t>of</w:t>
      </w:r>
      <w:r>
        <w:rPr>
          <w:spacing w:val="9"/>
          <w:sz w:val="21"/>
        </w:rPr>
        <w:t> </w:t>
      </w:r>
      <w:r>
        <w:rPr>
          <w:sz w:val="21"/>
        </w:rPr>
        <w:t>its</w:t>
      </w:r>
      <w:r>
        <w:rPr>
          <w:spacing w:val="9"/>
          <w:sz w:val="21"/>
        </w:rPr>
        <w:t> </w:t>
      </w:r>
      <w:r>
        <w:rPr>
          <w:sz w:val="21"/>
        </w:rPr>
        <w:t>governing</w:t>
      </w:r>
      <w:r>
        <w:rPr>
          <w:spacing w:val="9"/>
          <w:sz w:val="21"/>
        </w:rPr>
        <w:t> </w:t>
      </w:r>
      <w:r>
        <w:rPr>
          <w:spacing w:val="-2"/>
          <w:sz w:val="21"/>
        </w:rPr>
        <w:t>bodies.</w:t>
      </w:r>
    </w:p>
    <w:p>
      <w:pPr>
        <w:pStyle w:val="BodyText"/>
        <w:spacing w:before="52"/>
        <w:rPr>
          <w:sz w:val="21"/>
        </w:rPr>
      </w:pPr>
    </w:p>
    <w:p>
      <w:pPr>
        <w:spacing w:line="213" w:lineRule="auto" w:before="0"/>
        <w:ind w:left="144" w:right="118" w:firstLine="0"/>
        <w:jc w:val="both"/>
        <w:rPr>
          <w:sz w:val="21"/>
        </w:rPr>
      </w:pPr>
      <w:r>
        <w:rPr>
          <w:i/>
          <w:sz w:val="21"/>
        </w:rPr>
        <w:t>Two</w:t>
      </w:r>
      <w:r>
        <w:rPr>
          <w:sz w:val="21"/>
        </w:rPr>
        <w:t>. The</w:t>
      </w:r>
      <w:r>
        <w:rPr>
          <w:spacing w:val="14"/>
          <w:sz w:val="21"/>
        </w:rPr>
        <w:t> </w:t>
      </w:r>
      <w:r>
        <w:rPr>
          <w:sz w:val="21"/>
        </w:rPr>
        <w:t>Concessionaire</w:t>
      </w:r>
      <w:r>
        <w:rPr>
          <w:spacing w:val="14"/>
          <w:sz w:val="21"/>
        </w:rPr>
        <w:t> </w:t>
      </w:r>
      <w:r>
        <w:rPr>
          <w:sz w:val="21"/>
        </w:rPr>
        <w:t>undertakes</w:t>
      </w:r>
      <w:r>
        <w:rPr>
          <w:spacing w:val="14"/>
          <w:sz w:val="21"/>
        </w:rPr>
        <w:t> </w:t>
      </w:r>
      <w:r>
        <w:rPr>
          <w:sz w:val="21"/>
        </w:rPr>
        <w:t>to</w:t>
      </w:r>
      <w:r>
        <w:rPr>
          <w:spacing w:val="14"/>
          <w:sz w:val="21"/>
        </w:rPr>
        <w:t> </w:t>
      </w:r>
      <w:r>
        <w:rPr>
          <w:sz w:val="21"/>
        </w:rPr>
        <w:t>send</w:t>
      </w:r>
      <w:r>
        <w:rPr>
          <w:spacing w:val="14"/>
          <w:sz w:val="21"/>
        </w:rPr>
        <w:t> </w:t>
      </w:r>
      <w:r>
        <w:rPr>
          <w:sz w:val="21"/>
        </w:rPr>
        <w:t>the</w:t>
      </w:r>
      <w:r>
        <w:rPr>
          <w:spacing w:val="14"/>
          <w:sz w:val="21"/>
        </w:rPr>
        <w:t> </w:t>
      </w:r>
      <w:r>
        <w:rPr>
          <w:sz w:val="21"/>
        </w:rPr>
        <w:t>Government</w:t>
      </w:r>
      <w:r>
        <w:rPr>
          <w:spacing w:val="14"/>
          <w:sz w:val="21"/>
        </w:rPr>
        <w:t> </w:t>
      </w:r>
      <w:r>
        <w:rPr>
          <w:sz w:val="21"/>
        </w:rPr>
        <w:t>a</w:t>
      </w:r>
      <w:r>
        <w:rPr>
          <w:spacing w:val="14"/>
          <w:sz w:val="21"/>
        </w:rPr>
        <w:t> </w:t>
      </w:r>
      <w:r>
        <w:rPr>
          <w:sz w:val="21"/>
        </w:rPr>
        <w:t>copy</w:t>
      </w:r>
      <w:r>
        <w:rPr>
          <w:spacing w:val="14"/>
          <w:sz w:val="21"/>
        </w:rPr>
        <w:t> </w:t>
      </w:r>
      <w:r>
        <w:rPr>
          <w:sz w:val="21"/>
        </w:rPr>
        <w:t>of</w:t>
      </w:r>
      <w:r>
        <w:rPr>
          <w:spacing w:val="14"/>
          <w:sz w:val="21"/>
        </w:rPr>
        <w:t> </w:t>
      </w:r>
      <w:r>
        <w:rPr>
          <w:sz w:val="21"/>
        </w:rPr>
        <w:t>all</w:t>
      </w:r>
      <w:r>
        <w:rPr>
          <w:spacing w:val="14"/>
          <w:sz w:val="21"/>
        </w:rPr>
        <w:t> </w:t>
      </w:r>
      <w:r>
        <w:rPr>
          <w:sz w:val="21"/>
        </w:rPr>
        <w:t>the</w:t>
      </w:r>
      <w:r>
        <w:rPr>
          <w:spacing w:val="14"/>
          <w:sz w:val="21"/>
        </w:rPr>
        <w:t> </w:t>
      </w:r>
      <w:r>
        <w:rPr>
          <w:sz w:val="21"/>
        </w:rPr>
        <w:t>elements</w:t>
      </w:r>
      <w:r>
        <w:rPr>
          <w:spacing w:val="14"/>
          <w:sz w:val="21"/>
        </w:rPr>
        <w:t> </w:t>
      </w:r>
      <w:r>
        <w:rPr>
          <w:sz w:val="21"/>
        </w:rPr>
        <w:t>referred</w:t>
      </w:r>
      <w:r>
        <w:rPr>
          <w:spacing w:val="14"/>
          <w:sz w:val="21"/>
        </w:rPr>
        <w:t> </w:t>
      </w:r>
      <w:r>
        <w:rPr>
          <w:sz w:val="21"/>
        </w:rPr>
        <w:t>to</w:t>
      </w:r>
      <w:r>
        <w:rPr>
          <w:spacing w:val="14"/>
          <w:sz w:val="21"/>
        </w:rPr>
        <w:t> </w:t>
      </w:r>
      <w:r>
        <w:rPr>
          <w:sz w:val="21"/>
        </w:rPr>
        <w:t>in</w:t>
      </w:r>
      <w:r>
        <w:rPr>
          <w:spacing w:val="14"/>
          <w:sz w:val="21"/>
        </w:rPr>
        <w:t> </w:t>
      </w:r>
      <w:r>
        <w:rPr>
          <w:sz w:val="21"/>
        </w:rPr>
        <w:t>the</w:t>
      </w:r>
      <w:r>
        <w:rPr>
          <w:spacing w:val="14"/>
          <w:sz w:val="21"/>
        </w:rPr>
        <w:t> </w:t>
      </w:r>
      <w:r>
        <w:rPr>
          <w:sz w:val="21"/>
        </w:rPr>
        <w:t>previous</w:t>
      </w:r>
      <w:r>
        <w:rPr>
          <w:spacing w:val="14"/>
          <w:sz w:val="21"/>
        </w:rPr>
        <w:t> </w:t>
      </w:r>
      <w:r>
        <w:rPr>
          <w:sz w:val="21"/>
        </w:rPr>
        <w:t>paragraph,</w:t>
      </w:r>
      <w:r>
        <w:rPr>
          <w:spacing w:val="14"/>
          <w:sz w:val="21"/>
        </w:rPr>
        <w:t> </w:t>
      </w:r>
      <w:r>
        <w:rPr>
          <w:sz w:val="21"/>
        </w:rPr>
        <w:t>as</w:t>
      </w:r>
      <w:r>
        <w:rPr>
          <w:spacing w:val="14"/>
          <w:sz w:val="21"/>
        </w:rPr>
        <w:t> </w:t>
      </w:r>
      <w:r>
        <w:rPr>
          <w:sz w:val="21"/>
        </w:rPr>
        <w:t>well as</w:t>
      </w:r>
      <w:r>
        <w:rPr>
          <w:spacing w:val="20"/>
          <w:sz w:val="21"/>
        </w:rPr>
        <w:t> </w:t>
      </w:r>
      <w:r>
        <w:rPr>
          <w:sz w:val="21"/>
        </w:rPr>
        <w:t>other</w:t>
      </w:r>
      <w:r>
        <w:rPr>
          <w:spacing w:val="20"/>
          <w:sz w:val="21"/>
        </w:rPr>
        <w:t> </w:t>
      </w:r>
      <w:r>
        <w:rPr>
          <w:sz w:val="21"/>
        </w:rPr>
        <w:t>elements</w:t>
      </w:r>
      <w:r>
        <w:rPr>
          <w:spacing w:val="20"/>
          <w:sz w:val="21"/>
        </w:rPr>
        <w:t> </w:t>
      </w:r>
      <w:r>
        <w:rPr>
          <w:sz w:val="21"/>
        </w:rPr>
        <w:t>for</w:t>
      </w:r>
      <w:r>
        <w:rPr>
          <w:spacing w:val="20"/>
          <w:sz w:val="21"/>
        </w:rPr>
        <w:t> </w:t>
      </w:r>
      <w:r>
        <w:rPr>
          <w:sz w:val="21"/>
        </w:rPr>
        <w:t>publication</w:t>
      </w:r>
      <w:r>
        <w:rPr>
          <w:spacing w:val="20"/>
          <w:sz w:val="21"/>
        </w:rPr>
        <w:t> </w:t>
      </w:r>
      <w:r>
        <w:rPr>
          <w:sz w:val="21"/>
        </w:rPr>
        <w:t>required</w:t>
      </w:r>
      <w:r>
        <w:rPr>
          <w:spacing w:val="20"/>
          <w:sz w:val="21"/>
        </w:rPr>
        <w:t> </w:t>
      </w:r>
      <w:r>
        <w:rPr>
          <w:sz w:val="21"/>
        </w:rPr>
        <w:t>by</w:t>
      </w:r>
      <w:r>
        <w:rPr>
          <w:spacing w:val="20"/>
          <w:sz w:val="21"/>
        </w:rPr>
        <w:t> </w:t>
      </w:r>
      <w:r>
        <w:rPr>
          <w:sz w:val="21"/>
        </w:rPr>
        <w:t>the</w:t>
      </w:r>
      <w:r>
        <w:rPr>
          <w:spacing w:val="20"/>
          <w:sz w:val="21"/>
        </w:rPr>
        <w:t> </w:t>
      </w:r>
      <w:r>
        <w:rPr>
          <w:sz w:val="21"/>
        </w:rPr>
        <w:t>concessions</w:t>
      </w:r>
      <w:r>
        <w:rPr>
          <w:spacing w:val="20"/>
          <w:sz w:val="21"/>
        </w:rPr>
        <w:t> </w:t>
      </w:r>
      <w:r>
        <w:rPr>
          <w:sz w:val="21"/>
        </w:rPr>
        <w:t>regime</w:t>
      </w:r>
      <w:r>
        <w:rPr>
          <w:spacing w:val="20"/>
          <w:sz w:val="21"/>
        </w:rPr>
        <w:t> </w:t>
      </w:r>
      <w:r>
        <w:rPr>
          <w:sz w:val="21"/>
        </w:rPr>
        <w:t>referred</w:t>
      </w:r>
      <w:r>
        <w:rPr>
          <w:spacing w:val="20"/>
          <w:sz w:val="21"/>
        </w:rPr>
        <w:t> </w:t>
      </w:r>
      <w:r>
        <w:rPr>
          <w:sz w:val="21"/>
        </w:rPr>
        <w:t>to</w:t>
      </w:r>
      <w:r>
        <w:rPr>
          <w:spacing w:val="20"/>
          <w:sz w:val="21"/>
        </w:rPr>
        <w:t> </w:t>
      </w:r>
      <w:r>
        <w:rPr>
          <w:sz w:val="21"/>
        </w:rPr>
        <w:t>in</w:t>
      </w:r>
      <w:r>
        <w:rPr>
          <w:spacing w:val="20"/>
          <w:sz w:val="21"/>
        </w:rPr>
        <w:t> </w:t>
      </w:r>
      <w:r>
        <w:rPr>
          <w:sz w:val="21"/>
        </w:rPr>
        <w:t>clause</w:t>
      </w:r>
      <w:r>
        <w:rPr>
          <w:spacing w:val="20"/>
          <w:sz w:val="21"/>
        </w:rPr>
        <w:t> </w:t>
      </w:r>
      <w:r>
        <w:rPr>
          <w:sz w:val="21"/>
        </w:rPr>
        <w:t>6,</w:t>
      </w:r>
      <w:r>
        <w:rPr>
          <w:spacing w:val="20"/>
          <w:sz w:val="21"/>
        </w:rPr>
        <w:t> </w:t>
      </w:r>
      <w:r>
        <w:rPr>
          <w:sz w:val="21"/>
        </w:rPr>
        <w:t>at</w:t>
      </w:r>
      <w:r>
        <w:rPr>
          <w:spacing w:val="20"/>
          <w:sz w:val="21"/>
        </w:rPr>
        <w:t> </w:t>
      </w:r>
      <w:r>
        <w:rPr>
          <w:sz w:val="21"/>
        </w:rPr>
        <w:t>least</w:t>
      </w:r>
      <w:r>
        <w:rPr>
          <w:spacing w:val="20"/>
          <w:sz w:val="21"/>
        </w:rPr>
        <w:t> </w:t>
      </w:r>
      <w:r>
        <w:rPr>
          <w:sz w:val="21"/>
        </w:rPr>
        <w:t>10</w:t>
      </w:r>
      <w:r>
        <w:rPr>
          <w:spacing w:val="20"/>
          <w:sz w:val="21"/>
        </w:rPr>
        <w:t> </w:t>
      </w:r>
      <w:r>
        <w:rPr>
          <w:sz w:val="21"/>
        </w:rPr>
        <w:t>days</w:t>
      </w:r>
      <w:r>
        <w:rPr>
          <w:spacing w:val="20"/>
          <w:sz w:val="21"/>
        </w:rPr>
        <w:t> </w:t>
      </w:r>
      <w:r>
        <w:rPr>
          <w:sz w:val="21"/>
        </w:rPr>
        <w:t>prior</w:t>
      </w:r>
      <w:r>
        <w:rPr>
          <w:spacing w:val="20"/>
          <w:sz w:val="21"/>
        </w:rPr>
        <w:t> </w:t>
      </w:r>
      <w:r>
        <w:rPr>
          <w:sz w:val="21"/>
        </w:rPr>
        <w:t>to</w:t>
      </w:r>
      <w:r>
        <w:rPr>
          <w:spacing w:val="20"/>
          <w:sz w:val="21"/>
        </w:rPr>
        <w:t> </w:t>
      </w:r>
      <w:r>
        <w:rPr>
          <w:sz w:val="21"/>
        </w:rPr>
        <w:t>the</w:t>
      </w:r>
      <w:r>
        <w:rPr>
          <w:spacing w:val="20"/>
          <w:sz w:val="21"/>
        </w:rPr>
        <w:t> </w:t>
      </w:r>
      <w:r>
        <w:rPr>
          <w:sz w:val="21"/>
        </w:rPr>
        <w:t>publication date .</w:t>
      </w:r>
    </w:p>
    <w:p>
      <w:pPr>
        <w:pStyle w:val="BodyText"/>
        <w:spacing w:before="145"/>
        <w:rPr>
          <w:sz w:val="21"/>
        </w:rPr>
      </w:pPr>
    </w:p>
    <w:p>
      <w:pPr>
        <w:spacing w:before="0"/>
        <w:ind w:left="24" w:right="0" w:firstLine="0"/>
        <w:jc w:val="center"/>
        <w:rPr>
          <w:b/>
          <w:sz w:val="21"/>
        </w:rPr>
      </w:pPr>
      <w:r>
        <w:rPr>
          <w:b/>
          <w:sz w:val="21"/>
        </w:rPr>
        <w:t>Clause</w:t>
      </w:r>
      <w:r>
        <w:rPr>
          <w:b/>
          <w:spacing w:val="13"/>
          <w:sz w:val="21"/>
        </w:rPr>
        <w:t> </w:t>
      </w:r>
      <w:r>
        <w:rPr>
          <w:b/>
          <w:spacing w:val="-5"/>
          <w:sz w:val="21"/>
        </w:rPr>
        <w:t>63</w:t>
      </w:r>
    </w:p>
    <w:p>
      <w:pPr>
        <w:spacing w:before="56"/>
        <w:ind w:left="24" w:right="0" w:firstLine="0"/>
        <w:jc w:val="center"/>
        <w:rPr>
          <w:b/>
          <w:sz w:val="21"/>
        </w:rPr>
      </w:pPr>
      <w:r>
        <w:rPr>
          <w:b/>
          <w:sz w:val="21"/>
        </w:rPr>
        <w:t>Special</w:t>
      </w:r>
      <w:r>
        <w:rPr>
          <w:b/>
          <w:spacing w:val="9"/>
          <w:sz w:val="21"/>
        </w:rPr>
        <w:t> </w:t>
      </w:r>
      <w:r>
        <w:rPr>
          <w:b/>
          <w:sz w:val="21"/>
        </w:rPr>
        <w:t>duty</w:t>
      </w:r>
      <w:r>
        <w:rPr>
          <w:b/>
          <w:spacing w:val="9"/>
          <w:sz w:val="21"/>
        </w:rPr>
        <w:t> </w:t>
      </w:r>
      <w:r>
        <w:rPr>
          <w:b/>
          <w:sz w:val="21"/>
        </w:rPr>
        <w:t>of</w:t>
      </w:r>
      <w:r>
        <w:rPr>
          <w:b/>
          <w:spacing w:val="9"/>
          <w:sz w:val="21"/>
        </w:rPr>
        <w:t> </w:t>
      </w:r>
      <w:r>
        <w:rPr>
          <w:b/>
          <w:spacing w:val="-2"/>
          <w:sz w:val="21"/>
        </w:rPr>
        <w:t>cooperation</w:t>
      </w:r>
    </w:p>
    <w:p>
      <w:pPr>
        <w:pStyle w:val="BodyText"/>
        <w:spacing w:before="145"/>
        <w:rPr>
          <w:b/>
          <w:sz w:val="21"/>
        </w:rPr>
      </w:pPr>
    </w:p>
    <w:p>
      <w:pPr>
        <w:spacing w:line="213" w:lineRule="auto" w:before="1"/>
        <w:ind w:left="144" w:right="119" w:firstLine="0"/>
        <w:jc w:val="both"/>
        <w:rPr>
          <w:sz w:val="25"/>
        </w:rPr>
      </w:pPr>
      <w:r>
        <w:rPr>
          <w:sz w:val="21"/>
        </w:rPr>
        <w:t>Without prejudice to the general duty of cooperation set out in Clause 70, the Concessionaire undertakes to cooperate with the Government, namely with DICJ and DSF, in providing the elements and information that may be requested and the analysis or inspection</w:t>
      </w:r>
      <w:r>
        <w:rPr>
          <w:spacing w:val="40"/>
          <w:sz w:val="21"/>
        </w:rPr>
        <w:t> </w:t>
      </w:r>
      <w:r>
        <w:rPr>
          <w:sz w:val="21"/>
        </w:rPr>
        <w:t>of</w:t>
      </w:r>
      <w:r>
        <w:rPr>
          <w:spacing w:val="40"/>
          <w:sz w:val="21"/>
        </w:rPr>
        <w:t> </w:t>
      </w:r>
      <w:r>
        <w:rPr>
          <w:sz w:val="21"/>
        </w:rPr>
        <w:t>its</w:t>
      </w:r>
      <w:r>
        <w:rPr>
          <w:spacing w:val="40"/>
          <w:sz w:val="21"/>
        </w:rPr>
        <w:t> </w:t>
      </w:r>
      <w:r>
        <w:rPr>
          <w:sz w:val="21"/>
        </w:rPr>
        <w:t>accounts,</w:t>
      </w:r>
      <w:r>
        <w:rPr>
          <w:spacing w:val="40"/>
          <w:sz w:val="21"/>
        </w:rPr>
        <w:t> </w:t>
      </w:r>
      <w:r>
        <w:rPr>
          <w:sz w:val="21"/>
        </w:rPr>
        <w:t>in</w:t>
      </w:r>
      <w:r>
        <w:rPr>
          <w:spacing w:val="40"/>
          <w:sz w:val="21"/>
        </w:rPr>
        <w:t> </w:t>
      </w:r>
      <w:r>
        <w:rPr>
          <w:sz w:val="21"/>
        </w:rPr>
        <w:t>the</w:t>
      </w:r>
      <w:r>
        <w:rPr>
          <w:spacing w:val="40"/>
          <w:sz w:val="21"/>
        </w:rPr>
        <w:t> </w:t>
      </w:r>
      <w:r>
        <w:rPr>
          <w:sz w:val="21"/>
        </w:rPr>
        <w:t>performance</w:t>
      </w:r>
      <w:r>
        <w:rPr>
          <w:spacing w:val="40"/>
          <w:sz w:val="21"/>
        </w:rPr>
        <w:t> </w:t>
      </w:r>
      <w:r>
        <w:rPr>
          <w:sz w:val="21"/>
        </w:rPr>
        <w:t>of</w:t>
      </w:r>
      <w:r>
        <w:rPr>
          <w:spacing w:val="40"/>
          <w:sz w:val="21"/>
        </w:rPr>
        <w:t> </w:t>
      </w:r>
      <w:r>
        <w:rPr>
          <w:sz w:val="21"/>
        </w:rPr>
        <w:t>extraordinary</w:t>
      </w:r>
      <w:r>
        <w:rPr>
          <w:spacing w:val="40"/>
          <w:sz w:val="21"/>
        </w:rPr>
        <w:t> </w:t>
      </w:r>
      <w:r>
        <w:rPr>
          <w:sz w:val="21"/>
        </w:rPr>
        <w:t>audits,</w:t>
      </w:r>
      <w:r>
        <w:rPr>
          <w:spacing w:val="40"/>
          <w:sz w:val="21"/>
        </w:rPr>
        <w:t> </w:t>
      </w:r>
      <w:r>
        <w:rPr>
          <w:sz w:val="21"/>
        </w:rPr>
        <w:t>and</w:t>
      </w:r>
      <w:r>
        <w:rPr>
          <w:spacing w:val="40"/>
          <w:sz w:val="21"/>
        </w:rPr>
        <w:t> </w:t>
      </w:r>
      <w:r>
        <w:rPr>
          <w:sz w:val="21"/>
        </w:rPr>
        <w:t>generally,</w:t>
      </w:r>
      <w:r>
        <w:rPr>
          <w:spacing w:val="40"/>
          <w:sz w:val="21"/>
        </w:rPr>
        <w:t> </w:t>
      </w:r>
      <w:r>
        <w:rPr>
          <w:sz w:val="21"/>
        </w:rPr>
        <w:t>in</w:t>
      </w:r>
      <w:r>
        <w:rPr>
          <w:spacing w:val="40"/>
          <w:sz w:val="21"/>
        </w:rPr>
        <w:t> </w:t>
      </w:r>
      <w:r>
        <w:rPr>
          <w:sz w:val="21"/>
        </w:rPr>
        <w:t>respect</w:t>
      </w:r>
      <w:r>
        <w:rPr>
          <w:spacing w:val="40"/>
          <w:sz w:val="21"/>
        </w:rPr>
        <w:t> </w:t>
      </w:r>
      <w:r>
        <w:rPr>
          <w:sz w:val="21"/>
        </w:rPr>
        <w:t>to</w:t>
      </w:r>
      <w:r>
        <w:rPr>
          <w:spacing w:val="40"/>
          <w:sz w:val="21"/>
        </w:rPr>
        <w:t> </w:t>
      </w:r>
      <w:r>
        <w:rPr>
          <w:sz w:val="21"/>
        </w:rPr>
        <w:t>the</w:t>
      </w:r>
      <w:r>
        <w:rPr>
          <w:spacing w:val="40"/>
          <w:sz w:val="21"/>
        </w:rPr>
        <w:t> </w:t>
      </w:r>
      <w:r>
        <w:rPr>
          <w:sz w:val="21"/>
        </w:rPr>
        <w:t>duties</w:t>
      </w:r>
      <w:r>
        <w:rPr>
          <w:spacing w:val="40"/>
          <w:sz w:val="21"/>
        </w:rPr>
        <w:t> </w:t>
      </w:r>
      <w:r>
        <w:rPr>
          <w:sz w:val="21"/>
        </w:rPr>
        <w:t>specified</w:t>
      </w:r>
      <w:r>
        <w:rPr>
          <w:spacing w:val="40"/>
          <w:sz w:val="21"/>
        </w:rPr>
        <w:t> </w:t>
      </w:r>
      <w:r>
        <w:rPr>
          <w:sz w:val="21"/>
        </w:rPr>
        <w:t>in</w:t>
      </w:r>
      <w:r>
        <w:rPr>
          <w:spacing w:val="40"/>
          <w:sz w:val="21"/>
        </w:rPr>
        <w:t> </w:t>
      </w:r>
      <w:r>
        <w:rPr>
          <w:sz w:val="21"/>
        </w:rPr>
        <w:t>the concessions regime referred to in Clause 6</w:t>
      </w:r>
      <w:r>
        <w:rPr>
          <w:sz w:val="25"/>
        </w:rPr>
        <w:t>.</w:t>
      </w:r>
    </w:p>
    <w:p>
      <w:pPr>
        <w:pStyle w:val="BodyText"/>
        <w:spacing w:before="121"/>
        <w:rPr>
          <w:sz w:val="21"/>
        </w:rPr>
      </w:pPr>
    </w:p>
    <w:p>
      <w:pPr>
        <w:pStyle w:val="Heading1"/>
        <w:spacing w:before="1"/>
      </w:pPr>
      <w:r>
        <w:rPr/>
        <w:t>CHAPTER </w:t>
      </w:r>
      <w:r>
        <w:rPr>
          <w:spacing w:val="-5"/>
        </w:rPr>
        <w:t>XII</w:t>
      </w:r>
    </w:p>
    <w:p>
      <w:pPr>
        <w:pStyle w:val="Heading2"/>
        <w:spacing w:before="63"/>
      </w:pPr>
      <w:r>
        <w:rPr>
          <w:spacing w:val="-2"/>
        </w:rPr>
        <w:t>Guarantees</w:t>
      </w:r>
    </w:p>
    <w:p>
      <w:pPr>
        <w:pStyle w:val="BodyText"/>
        <w:spacing w:before="83"/>
        <w:rPr>
          <w:b/>
          <w:sz w:val="25"/>
        </w:rPr>
      </w:pPr>
    </w:p>
    <w:p>
      <w:pPr>
        <w:spacing w:before="1"/>
        <w:ind w:left="24" w:right="0" w:firstLine="0"/>
        <w:jc w:val="center"/>
        <w:rPr>
          <w:b/>
          <w:sz w:val="21"/>
        </w:rPr>
      </w:pPr>
      <w:r>
        <w:rPr>
          <w:b/>
          <w:sz w:val="21"/>
        </w:rPr>
        <w:t>Clause</w:t>
      </w:r>
      <w:r>
        <w:rPr>
          <w:b/>
          <w:spacing w:val="13"/>
          <w:sz w:val="21"/>
        </w:rPr>
        <w:t> </w:t>
      </w:r>
      <w:r>
        <w:rPr>
          <w:b/>
          <w:spacing w:val="-5"/>
          <w:sz w:val="21"/>
        </w:rPr>
        <w:t>64</w:t>
      </w:r>
    </w:p>
    <w:p>
      <w:pPr>
        <w:spacing w:before="55"/>
        <w:ind w:left="24" w:right="0" w:firstLine="0"/>
        <w:jc w:val="center"/>
        <w:rPr>
          <w:b/>
          <w:sz w:val="21"/>
        </w:rPr>
      </w:pPr>
      <w:r>
        <w:rPr>
          <w:b/>
          <w:sz w:val="21"/>
        </w:rPr>
        <w:t>Surety</w:t>
      </w:r>
      <w:r>
        <w:rPr>
          <w:b/>
          <w:spacing w:val="11"/>
          <w:sz w:val="21"/>
        </w:rPr>
        <w:t> </w:t>
      </w:r>
      <w:r>
        <w:rPr>
          <w:b/>
          <w:sz w:val="21"/>
        </w:rPr>
        <w:t>as</w:t>
      </w:r>
      <w:r>
        <w:rPr>
          <w:b/>
          <w:spacing w:val="12"/>
          <w:sz w:val="21"/>
        </w:rPr>
        <w:t> </w:t>
      </w:r>
      <w:r>
        <w:rPr>
          <w:b/>
          <w:sz w:val="21"/>
        </w:rPr>
        <w:t>a</w:t>
      </w:r>
      <w:r>
        <w:rPr>
          <w:b/>
          <w:spacing w:val="12"/>
          <w:sz w:val="21"/>
        </w:rPr>
        <w:t> </w:t>
      </w:r>
      <w:r>
        <w:rPr>
          <w:b/>
          <w:sz w:val="21"/>
        </w:rPr>
        <w:t>guarantee</w:t>
      </w:r>
      <w:r>
        <w:rPr>
          <w:b/>
          <w:spacing w:val="11"/>
          <w:sz w:val="21"/>
        </w:rPr>
        <w:t> </w:t>
      </w:r>
      <w:r>
        <w:rPr>
          <w:b/>
          <w:sz w:val="21"/>
        </w:rPr>
        <w:t>of</w:t>
      </w:r>
      <w:r>
        <w:rPr>
          <w:b/>
          <w:spacing w:val="12"/>
          <w:sz w:val="21"/>
        </w:rPr>
        <w:t> </w:t>
      </w:r>
      <w:r>
        <w:rPr>
          <w:b/>
          <w:sz w:val="21"/>
        </w:rPr>
        <w:t>compliance</w:t>
      </w:r>
      <w:r>
        <w:rPr>
          <w:b/>
          <w:spacing w:val="12"/>
          <w:sz w:val="21"/>
        </w:rPr>
        <w:t> </w:t>
      </w:r>
      <w:r>
        <w:rPr>
          <w:b/>
          <w:sz w:val="21"/>
        </w:rPr>
        <w:t>with</w:t>
      </w:r>
      <w:r>
        <w:rPr>
          <w:b/>
          <w:spacing w:val="12"/>
          <w:sz w:val="21"/>
        </w:rPr>
        <w:t> </w:t>
      </w:r>
      <w:r>
        <w:rPr>
          <w:b/>
          <w:sz w:val="21"/>
        </w:rPr>
        <w:t>the</w:t>
      </w:r>
      <w:r>
        <w:rPr>
          <w:b/>
          <w:spacing w:val="11"/>
          <w:sz w:val="21"/>
        </w:rPr>
        <w:t> </w:t>
      </w:r>
      <w:r>
        <w:rPr>
          <w:b/>
          <w:sz w:val="21"/>
        </w:rPr>
        <w:t>Concessionaire's</w:t>
      </w:r>
      <w:r>
        <w:rPr>
          <w:b/>
          <w:spacing w:val="12"/>
          <w:sz w:val="21"/>
        </w:rPr>
        <w:t> </w:t>
      </w:r>
      <w:r>
        <w:rPr>
          <w:b/>
          <w:sz w:val="21"/>
        </w:rPr>
        <w:t>legal</w:t>
      </w:r>
      <w:r>
        <w:rPr>
          <w:b/>
          <w:spacing w:val="12"/>
          <w:sz w:val="21"/>
        </w:rPr>
        <w:t> </w:t>
      </w:r>
      <w:r>
        <w:rPr>
          <w:b/>
          <w:sz w:val="21"/>
        </w:rPr>
        <w:t>or</w:t>
      </w:r>
      <w:r>
        <w:rPr>
          <w:b/>
          <w:spacing w:val="7"/>
          <w:sz w:val="21"/>
        </w:rPr>
        <w:t> </w:t>
      </w:r>
      <w:r>
        <w:rPr>
          <w:b/>
          <w:sz w:val="21"/>
        </w:rPr>
        <w:t>contractual</w:t>
      </w:r>
      <w:r>
        <w:rPr>
          <w:b/>
          <w:spacing w:val="11"/>
          <w:sz w:val="21"/>
        </w:rPr>
        <w:t> </w:t>
      </w:r>
      <w:r>
        <w:rPr>
          <w:b/>
          <w:spacing w:val="-2"/>
          <w:sz w:val="21"/>
        </w:rPr>
        <w:t>obligations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2"/>
        <w:rPr>
          <w:b/>
          <w:sz w:val="20"/>
        </w:rPr>
      </w:pPr>
      <w:r>
        <w:rPr/>
        <mc:AlternateContent>
          <mc:Choice Requires="wps">
            <w:drawing>
              <wp:anchor distT="0" distB="0" distL="0" distR="0" allowOverlap="1" layoutInCell="1" locked="0" behindDoc="1" simplePos="0" relativeHeight="487781376">
                <wp:simplePos x="0" y="0"/>
                <wp:positionH relativeFrom="page">
                  <wp:posOffset>231457</wp:posOffset>
                </wp:positionH>
                <wp:positionV relativeFrom="paragraph">
                  <wp:posOffset>200647</wp:posOffset>
                </wp:positionV>
                <wp:extent cx="7312659" cy="17145"/>
                <wp:effectExtent l="0" t="0" r="0" b="0"/>
                <wp:wrapTopAndBottom/>
                <wp:docPr id="928" name="Group 928"/>
                <wp:cNvGraphicFramePr>
                  <a:graphicFrameLocks/>
                </wp:cNvGraphicFramePr>
                <a:graphic>
                  <a:graphicData uri="http://schemas.microsoft.com/office/word/2010/wordprocessingGroup">
                    <wpg:wgp>
                      <wpg:cNvPr id="928" name="Group 928"/>
                      <wpg:cNvGrpSpPr/>
                      <wpg:grpSpPr>
                        <a:xfrm>
                          <a:off x="0" y="0"/>
                          <a:ext cx="7312659" cy="17145"/>
                          <a:chExt cx="7312659" cy="17145"/>
                        </a:xfrm>
                      </wpg:grpSpPr>
                      <wps:wsp>
                        <wps:cNvPr id="929" name="Graphic 92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30" name="Graphic 930"/>
                        <wps:cNvSpPr/>
                        <wps:spPr>
                          <a:xfrm>
                            <a:off x="-12" y="-2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31" name="Graphic 93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799024pt;width:575.8pt;height:1.35pt;mso-position-horizontal-relative:page;mso-position-vertical-relative:paragraph;z-index:-15535104;mso-wrap-distance-left:0;mso-wrap-distance-right:0" id="docshapegroup926" coordorigin="364,316" coordsize="11516,27">
                <v:rect style="position:absolute;left:364;top:315;width:11516;height:14" id="docshape927" filled="true" fillcolor="#999999" stroked="false">
                  <v:fill type="solid"/>
                </v:rect>
                <v:shape style="position:absolute;left:364;top:315;width:11516;height:27" id="docshape928" coordorigin="364,316" coordsize="11516,27" path="m11880,316l11866,329,364,329,364,343,11866,343,11880,343,11880,329,11880,316xe" filled="true" fillcolor="#ededed" stroked="false">
                  <v:path arrowok="t"/>
                  <v:fill type="solid"/>
                </v:shape>
                <v:shape style="position:absolute;left:364;top:315;width:14;height:27" id="docshape929" coordorigin="364,316" coordsize="14,27" path="m364,343l364,316,378,316,378,329,364,343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line="213" w:lineRule="auto" w:before="97"/>
        <w:ind w:left="144" w:right="119" w:firstLine="0"/>
        <w:jc w:val="both"/>
        <w:rPr>
          <w:sz w:val="21"/>
        </w:rPr>
      </w:pPr>
      <w:r>
        <w:rPr>
          <w:i/>
          <w:sz w:val="21"/>
        </w:rPr>
        <w:t>One</w:t>
      </w:r>
      <w:r>
        <w:rPr>
          <w:sz w:val="21"/>
        </w:rPr>
        <w:t>.</w:t>
      </w:r>
      <w:r>
        <w:rPr>
          <w:spacing w:val="18"/>
          <w:sz w:val="21"/>
        </w:rPr>
        <w:t> </w:t>
      </w:r>
      <w:r>
        <w:rPr>
          <w:sz w:val="21"/>
        </w:rPr>
        <w:t>The</w:t>
      </w:r>
      <w:r>
        <w:rPr>
          <w:spacing w:val="23"/>
          <w:sz w:val="21"/>
        </w:rPr>
        <w:t> </w:t>
      </w:r>
      <w:r>
        <w:rPr>
          <w:sz w:val="21"/>
        </w:rPr>
        <w:t>collateral</w:t>
      </w:r>
      <w:r>
        <w:rPr>
          <w:spacing w:val="23"/>
          <w:sz w:val="21"/>
        </w:rPr>
        <w:t> </w:t>
      </w:r>
      <w:r>
        <w:rPr>
          <w:sz w:val="21"/>
        </w:rPr>
        <w:t>that</w:t>
      </w:r>
      <w:r>
        <w:rPr>
          <w:spacing w:val="23"/>
          <w:sz w:val="21"/>
        </w:rPr>
        <w:t> </w:t>
      </w:r>
      <w:r>
        <w:rPr>
          <w:sz w:val="21"/>
        </w:rPr>
        <w:t>guarantees</w:t>
      </w:r>
      <w:r>
        <w:rPr>
          <w:spacing w:val="23"/>
          <w:sz w:val="21"/>
        </w:rPr>
        <w:t> </w:t>
      </w:r>
      <w:r>
        <w:rPr>
          <w:sz w:val="21"/>
        </w:rPr>
        <w:t>compliance</w:t>
      </w:r>
      <w:r>
        <w:rPr>
          <w:spacing w:val="23"/>
          <w:sz w:val="21"/>
        </w:rPr>
        <w:t> </w:t>
      </w:r>
      <w:r>
        <w:rPr>
          <w:sz w:val="21"/>
        </w:rPr>
        <w:t>with</w:t>
      </w:r>
      <w:r>
        <w:rPr>
          <w:spacing w:val="23"/>
          <w:sz w:val="21"/>
        </w:rPr>
        <w:t> </w:t>
      </w:r>
      <w:r>
        <w:rPr>
          <w:sz w:val="21"/>
        </w:rPr>
        <w:t>the</w:t>
      </w:r>
      <w:r>
        <w:rPr>
          <w:spacing w:val="23"/>
          <w:sz w:val="21"/>
        </w:rPr>
        <w:t> </w:t>
      </w:r>
      <w:r>
        <w:rPr>
          <w:sz w:val="21"/>
        </w:rPr>
        <w:t>Concessionaire's</w:t>
      </w:r>
      <w:r>
        <w:rPr>
          <w:spacing w:val="23"/>
          <w:sz w:val="21"/>
        </w:rPr>
        <w:t> </w:t>
      </w:r>
      <w:r>
        <w:rPr>
          <w:sz w:val="21"/>
        </w:rPr>
        <w:t>legal</w:t>
      </w:r>
      <w:r>
        <w:rPr>
          <w:spacing w:val="23"/>
          <w:sz w:val="21"/>
        </w:rPr>
        <w:t> </w:t>
      </w:r>
      <w:r>
        <w:rPr>
          <w:sz w:val="21"/>
        </w:rPr>
        <w:t>or</w:t>
      </w:r>
      <w:r>
        <w:rPr>
          <w:spacing w:val="23"/>
          <w:sz w:val="21"/>
        </w:rPr>
        <w:t> </w:t>
      </w:r>
      <w:r>
        <w:rPr>
          <w:sz w:val="21"/>
        </w:rPr>
        <w:t>contractual</w:t>
      </w:r>
      <w:r>
        <w:rPr>
          <w:spacing w:val="23"/>
          <w:sz w:val="21"/>
        </w:rPr>
        <w:t> </w:t>
      </w:r>
      <w:r>
        <w:rPr>
          <w:sz w:val="21"/>
        </w:rPr>
        <w:t>obligations</w:t>
      </w:r>
      <w:r>
        <w:rPr>
          <w:spacing w:val="23"/>
          <w:sz w:val="21"/>
        </w:rPr>
        <w:t> </w:t>
      </w:r>
      <w:r>
        <w:rPr>
          <w:sz w:val="21"/>
        </w:rPr>
        <w:t>may</w:t>
      </w:r>
      <w:r>
        <w:rPr>
          <w:spacing w:val="23"/>
          <w:sz w:val="21"/>
        </w:rPr>
        <w:t> </w:t>
      </w:r>
      <w:r>
        <w:rPr>
          <w:sz w:val="21"/>
        </w:rPr>
        <w:t>be</w:t>
      </w:r>
      <w:r>
        <w:rPr>
          <w:spacing w:val="23"/>
          <w:sz w:val="21"/>
        </w:rPr>
        <w:t> </w:t>
      </w:r>
      <w:r>
        <w:rPr>
          <w:sz w:val="21"/>
        </w:rPr>
        <w:t>provided</w:t>
      </w:r>
      <w:r>
        <w:rPr>
          <w:spacing w:val="23"/>
          <w:sz w:val="21"/>
        </w:rPr>
        <w:t> </w:t>
      </w:r>
      <w:r>
        <w:rPr>
          <w:sz w:val="21"/>
        </w:rPr>
        <w:t>in</w:t>
      </w:r>
      <w:r>
        <w:rPr>
          <w:spacing w:val="23"/>
          <w:sz w:val="21"/>
        </w:rPr>
        <w:t> </w:t>
      </w:r>
      <w:r>
        <w:rPr>
          <w:sz w:val="21"/>
        </w:rPr>
        <w:t>any</w:t>
      </w:r>
      <w:r>
        <w:rPr>
          <w:spacing w:val="23"/>
          <w:sz w:val="21"/>
        </w:rPr>
        <w:t> </w:t>
      </w:r>
      <w:r>
        <w:rPr>
          <w:sz w:val="21"/>
        </w:rPr>
        <w:t>of the legally prescribed forms, provided it is accepted by the Government.</w:t>
      </w:r>
    </w:p>
    <w:p>
      <w:pPr>
        <w:pStyle w:val="BodyText"/>
        <w:spacing w:before="152"/>
        <w:rPr>
          <w:sz w:val="21"/>
        </w:rPr>
      </w:pPr>
    </w:p>
    <w:p>
      <w:pPr>
        <w:spacing w:line="213" w:lineRule="auto" w:before="0"/>
        <w:ind w:left="144" w:right="118" w:firstLine="0"/>
        <w:jc w:val="both"/>
        <w:rPr>
          <w:sz w:val="21"/>
        </w:rPr>
      </w:pPr>
      <w:r>
        <w:rPr>
          <w:i/>
          <w:sz w:val="21"/>
        </w:rPr>
        <w:t>Two</w:t>
      </w:r>
      <w:r>
        <w:rPr>
          <w:sz w:val="21"/>
        </w:rPr>
        <w:t>.</w:t>
      </w:r>
      <w:r>
        <w:rPr>
          <w:spacing w:val="16"/>
          <w:sz w:val="21"/>
        </w:rPr>
        <w:t> </w:t>
      </w:r>
      <w:r>
        <w:rPr>
          <w:sz w:val="21"/>
        </w:rPr>
        <w:t>The</w:t>
      </w:r>
      <w:r>
        <w:rPr>
          <w:spacing w:val="21"/>
          <w:sz w:val="21"/>
        </w:rPr>
        <w:t> </w:t>
      </w:r>
      <w:r>
        <w:rPr>
          <w:sz w:val="21"/>
        </w:rPr>
        <w:t>Concessionaire</w:t>
      </w:r>
      <w:r>
        <w:rPr>
          <w:spacing w:val="21"/>
          <w:sz w:val="21"/>
        </w:rPr>
        <w:t> </w:t>
      </w:r>
      <w:r>
        <w:rPr>
          <w:sz w:val="21"/>
        </w:rPr>
        <w:t>undertakes</w:t>
      </w:r>
      <w:r>
        <w:rPr>
          <w:spacing w:val="21"/>
          <w:sz w:val="21"/>
        </w:rPr>
        <w:t> </w:t>
      </w:r>
      <w:r>
        <w:rPr>
          <w:sz w:val="21"/>
        </w:rPr>
        <w:t>to</w:t>
      </w:r>
      <w:r>
        <w:rPr>
          <w:spacing w:val="21"/>
          <w:sz w:val="21"/>
        </w:rPr>
        <w:t> </w:t>
      </w:r>
      <w:r>
        <w:rPr>
          <w:sz w:val="21"/>
        </w:rPr>
        <w:t>maintain</w:t>
      </w:r>
      <w:r>
        <w:rPr>
          <w:spacing w:val="21"/>
          <w:sz w:val="21"/>
        </w:rPr>
        <w:t> </w:t>
      </w:r>
      <w:r>
        <w:rPr>
          <w:sz w:val="21"/>
        </w:rPr>
        <w:t>an</w:t>
      </w:r>
      <w:r>
        <w:rPr>
          <w:spacing w:val="21"/>
          <w:sz w:val="21"/>
        </w:rPr>
        <w:t> </w:t>
      </w:r>
      <w:r>
        <w:rPr>
          <w:sz w:val="21"/>
        </w:rPr>
        <w:t>autonomous</w:t>
      </w:r>
      <w:r>
        <w:rPr>
          <w:spacing w:val="21"/>
          <w:sz w:val="21"/>
        </w:rPr>
        <w:t> </w:t>
      </w:r>
      <w:r>
        <w:rPr>
          <w:sz w:val="21"/>
        </w:rPr>
        <w:t>first</w:t>
      </w:r>
      <w:r>
        <w:rPr>
          <w:spacing w:val="21"/>
          <w:sz w:val="21"/>
        </w:rPr>
        <w:t> </w:t>
      </w:r>
      <w:r>
        <w:rPr>
          <w:sz w:val="21"/>
        </w:rPr>
        <w:t>demand</w:t>
      </w:r>
      <w:r>
        <w:rPr>
          <w:spacing w:val="21"/>
          <w:sz w:val="21"/>
        </w:rPr>
        <w:t> </w:t>
      </w:r>
      <w:r>
        <w:rPr>
          <w:sz w:val="21"/>
        </w:rPr>
        <w:t>bank</w:t>
      </w:r>
      <w:r>
        <w:rPr>
          <w:spacing w:val="21"/>
          <w:sz w:val="21"/>
        </w:rPr>
        <w:t> </w:t>
      </w:r>
      <w:r>
        <w:rPr>
          <w:sz w:val="21"/>
        </w:rPr>
        <w:t>guarantee</w:t>
      </w:r>
      <w:r>
        <w:rPr>
          <w:spacing w:val="21"/>
          <w:sz w:val="21"/>
        </w:rPr>
        <w:t> </w:t>
      </w:r>
      <w:r>
        <w:rPr>
          <w:sz w:val="21"/>
        </w:rPr>
        <w:t>in</w:t>
      </w:r>
      <w:r>
        <w:rPr>
          <w:spacing w:val="21"/>
          <w:sz w:val="21"/>
        </w:rPr>
        <w:t> </w:t>
      </w:r>
      <w:r>
        <w:rPr>
          <w:sz w:val="21"/>
        </w:rPr>
        <w:t>favor</w:t>
      </w:r>
      <w:r>
        <w:rPr>
          <w:spacing w:val="21"/>
          <w:sz w:val="21"/>
        </w:rPr>
        <w:t> </w:t>
      </w:r>
      <w:r>
        <w:rPr>
          <w:sz w:val="21"/>
        </w:rPr>
        <w:t>of</w:t>
      </w:r>
      <w:r>
        <w:rPr>
          <w:spacing w:val="21"/>
          <w:sz w:val="21"/>
        </w:rPr>
        <w:t> </w:t>
      </w:r>
      <w:r>
        <w:rPr>
          <w:sz w:val="21"/>
        </w:rPr>
        <w:t>the</w:t>
      </w:r>
      <w:r>
        <w:rPr>
          <w:spacing w:val="21"/>
          <w:sz w:val="21"/>
        </w:rPr>
        <w:t> </w:t>
      </w:r>
      <w:r>
        <w:rPr>
          <w:sz w:val="21"/>
        </w:rPr>
        <w:t>Government,</w:t>
      </w:r>
      <w:r>
        <w:rPr>
          <w:spacing w:val="21"/>
          <w:sz w:val="21"/>
        </w:rPr>
        <w:t> </w:t>
      </w:r>
      <w:r>
        <w:rPr>
          <w:sz w:val="21"/>
        </w:rPr>
        <w:t>issued</w:t>
      </w:r>
      <w:r>
        <w:rPr>
          <w:spacing w:val="21"/>
          <w:sz w:val="21"/>
        </w:rPr>
        <w:t> </w:t>
      </w:r>
      <w:r>
        <w:rPr>
          <w:sz w:val="21"/>
        </w:rPr>
        <w:t>by a credit institution authorized to operate in the Macau SAR, to guarantee:</w:t>
      </w:r>
    </w:p>
    <w:p>
      <w:pPr>
        <w:pStyle w:val="BodyText"/>
        <w:spacing w:before="144"/>
        <w:rPr>
          <w:sz w:val="21"/>
        </w:rPr>
      </w:pPr>
    </w:p>
    <w:p>
      <w:pPr>
        <w:pStyle w:val="ListParagraph"/>
        <w:numPr>
          <w:ilvl w:val="0"/>
          <w:numId w:val="40"/>
        </w:numPr>
        <w:tabs>
          <w:tab w:pos="883" w:val="left" w:leader="none"/>
        </w:tabs>
        <w:spacing w:line="240" w:lineRule="auto" w:before="0" w:after="0"/>
        <w:ind w:left="883" w:right="0" w:hanging="229"/>
        <w:jc w:val="left"/>
        <w:rPr>
          <w:sz w:val="21"/>
        </w:rPr>
      </w:pPr>
      <w:r>
        <w:rPr>
          <w:sz w:val="21"/>
        </w:rPr>
        <w:t>The</w:t>
      </w:r>
      <w:r>
        <w:rPr>
          <w:spacing w:val="11"/>
          <w:sz w:val="21"/>
        </w:rPr>
        <w:t> </w:t>
      </w:r>
      <w:r>
        <w:rPr>
          <w:sz w:val="21"/>
        </w:rPr>
        <w:t>exact</w:t>
      </w:r>
      <w:r>
        <w:rPr>
          <w:spacing w:val="11"/>
          <w:sz w:val="21"/>
        </w:rPr>
        <w:t> </w:t>
      </w:r>
      <w:r>
        <w:rPr>
          <w:sz w:val="21"/>
        </w:rPr>
        <w:t>and</w:t>
      </w:r>
      <w:r>
        <w:rPr>
          <w:spacing w:val="11"/>
          <w:sz w:val="21"/>
        </w:rPr>
        <w:t> </w:t>
      </w:r>
      <w:r>
        <w:rPr>
          <w:sz w:val="21"/>
        </w:rPr>
        <w:t>punctual</w:t>
      </w:r>
      <w:r>
        <w:rPr>
          <w:spacing w:val="11"/>
          <w:sz w:val="21"/>
        </w:rPr>
        <w:t> </w:t>
      </w:r>
      <w:r>
        <w:rPr>
          <w:sz w:val="21"/>
        </w:rPr>
        <w:t>compliance</w:t>
      </w:r>
      <w:r>
        <w:rPr>
          <w:spacing w:val="11"/>
          <w:sz w:val="21"/>
        </w:rPr>
        <w:t> </w:t>
      </w:r>
      <w:r>
        <w:rPr>
          <w:sz w:val="21"/>
        </w:rPr>
        <w:t>of</w:t>
      </w:r>
      <w:r>
        <w:rPr>
          <w:spacing w:val="11"/>
          <w:sz w:val="21"/>
        </w:rPr>
        <w:t> </w:t>
      </w:r>
      <w:r>
        <w:rPr>
          <w:sz w:val="21"/>
        </w:rPr>
        <w:t>the</w:t>
      </w:r>
      <w:r>
        <w:rPr>
          <w:spacing w:val="11"/>
          <w:sz w:val="21"/>
        </w:rPr>
        <w:t> </w:t>
      </w:r>
      <w:r>
        <w:rPr>
          <w:sz w:val="21"/>
        </w:rPr>
        <w:t>legal</w:t>
      </w:r>
      <w:r>
        <w:rPr>
          <w:spacing w:val="11"/>
          <w:sz w:val="21"/>
        </w:rPr>
        <w:t> </w:t>
      </w:r>
      <w:r>
        <w:rPr>
          <w:sz w:val="21"/>
        </w:rPr>
        <w:t>or</w:t>
      </w:r>
      <w:r>
        <w:rPr>
          <w:spacing w:val="11"/>
          <w:sz w:val="21"/>
        </w:rPr>
        <w:t> </w:t>
      </w:r>
      <w:r>
        <w:rPr>
          <w:sz w:val="21"/>
        </w:rPr>
        <w:t>contractual</w:t>
      </w:r>
      <w:r>
        <w:rPr>
          <w:spacing w:val="11"/>
          <w:sz w:val="21"/>
        </w:rPr>
        <w:t> </w:t>
      </w:r>
      <w:r>
        <w:rPr>
          <w:sz w:val="21"/>
        </w:rPr>
        <w:t>obligations</w:t>
      </w:r>
      <w:r>
        <w:rPr>
          <w:spacing w:val="11"/>
          <w:sz w:val="21"/>
        </w:rPr>
        <w:t> </w:t>
      </w:r>
      <w:r>
        <w:rPr>
          <w:sz w:val="21"/>
        </w:rPr>
        <w:t>to</w:t>
      </w:r>
      <w:r>
        <w:rPr>
          <w:spacing w:val="11"/>
          <w:sz w:val="21"/>
        </w:rPr>
        <w:t> </w:t>
      </w:r>
      <w:r>
        <w:rPr>
          <w:sz w:val="21"/>
        </w:rPr>
        <w:t>which</w:t>
      </w:r>
      <w:r>
        <w:rPr>
          <w:spacing w:val="11"/>
          <w:sz w:val="21"/>
        </w:rPr>
        <w:t> </w:t>
      </w:r>
      <w:r>
        <w:rPr>
          <w:sz w:val="21"/>
        </w:rPr>
        <w:t>the</w:t>
      </w:r>
      <w:r>
        <w:rPr>
          <w:spacing w:val="11"/>
          <w:sz w:val="21"/>
        </w:rPr>
        <w:t> </w:t>
      </w:r>
      <w:r>
        <w:rPr>
          <w:sz w:val="21"/>
        </w:rPr>
        <w:t>Concessionaire</w:t>
      </w:r>
      <w:r>
        <w:rPr>
          <w:spacing w:val="11"/>
          <w:sz w:val="21"/>
        </w:rPr>
        <w:t> </w:t>
      </w:r>
      <w:r>
        <w:rPr>
          <w:sz w:val="21"/>
        </w:rPr>
        <w:t>is</w:t>
      </w:r>
      <w:r>
        <w:rPr>
          <w:spacing w:val="11"/>
          <w:sz w:val="21"/>
        </w:rPr>
        <w:t> </w:t>
      </w:r>
      <w:r>
        <w:rPr>
          <w:spacing w:val="-2"/>
          <w:sz w:val="21"/>
        </w:rPr>
        <w:t>bound;</w:t>
      </w:r>
    </w:p>
    <w:p>
      <w:pPr>
        <w:pStyle w:val="BodyText"/>
        <w:spacing w:before="146"/>
        <w:rPr>
          <w:sz w:val="21"/>
        </w:rPr>
      </w:pPr>
    </w:p>
    <w:p>
      <w:pPr>
        <w:pStyle w:val="ListParagraph"/>
        <w:numPr>
          <w:ilvl w:val="0"/>
          <w:numId w:val="40"/>
        </w:numPr>
        <w:tabs>
          <w:tab w:pos="889" w:val="left" w:leader="none"/>
          <w:tab w:pos="910" w:val="left" w:leader="none"/>
        </w:tabs>
        <w:spacing w:line="213" w:lineRule="auto" w:before="0" w:after="0"/>
        <w:ind w:left="910" w:right="118" w:hanging="256"/>
        <w:jc w:val="both"/>
        <w:rPr>
          <w:sz w:val="21"/>
        </w:rPr>
      </w:pPr>
      <w:r>
        <w:rPr>
          <w:sz w:val="21"/>
        </w:rPr>
        <w:t>The exact and punctual payment of the premium to which the Concessionaire is bound before the Macau SAR, as set out </w:t>
      </w:r>
      <w:r>
        <w:rPr>
          <w:sz w:val="21"/>
        </w:rPr>
        <w:t>in Clause 50;</w:t>
      </w:r>
    </w:p>
    <w:p>
      <w:pPr>
        <w:pStyle w:val="BodyText"/>
        <w:spacing w:before="152"/>
        <w:rPr>
          <w:sz w:val="21"/>
        </w:rPr>
      </w:pPr>
    </w:p>
    <w:p>
      <w:pPr>
        <w:pStyle w:val="ListParagraph"/>
        <w:numPr>
          <w:ilvl w:val="0"/>
          <w:numId w:val="40"/>
        </w:numPr>
        <w:tabs>
          <w:tab w:pos="884" w:val="left" w:leader="none"/>
          <w:tab w:pos="910" w:val="left" w:leader="none"/>
        </w:tabs>
        <w:spacing w:line="213" w:lineRule="auto" w:before="0" w:after="0"/>
        <w:ind w:left="910" w:right="118" w:hanging="256"/>
        <w:jc w:val="both"/>
        <w:rPr>
          <w:sz w:val="21"/>
        </w:rPr>
      </w:pPr>
      <w:r>
        <w:rPr>
          <w:sz w:val="21"/>
        </w:rPr>
        <w:t>The payment of fines or other pecuniary penalties that may be applied to the Concessionaire by virtue of a legal provision or clause contained in this concession contract;</w:t>
      </w:r>
    </w:p>
    <w:p>
      <w:pPr>
        <w:pStyle w:val="BodyText"/>
        <w:spacing w:before="166"/>
        <w:rPr>
          <w:sz w:val="21"/>
        </w:rPr>
      </w:pPr>
    </w:p>
    <w:p>
      <w:pPr>
        <w:pStyle w:val="ListParagraph"/>
        <w:numPr>
          <w:ilvl w:val="0"/>
          <w:numId w:val="40"/>
        </w:numPr>
        <w:tabs>
          <w:tab w:pos="897" w:val="left" w:leader="none"/>
          <w:tab w:pos="910" w:val="left" w:leader="none"/>
        </w:tabs>
        <w:spacing w:line="213" w:lineRule="auto" w:before="0" w:after="0"/>
        <w:ind w:left="910" w:right="119" w:hanging="256"/>
        <w:jc w:val="both"/>
        <w:rPr>
          <w:sz w:val="21"/>
        </w:rPr>
      </w:pPr>
      <w:r>
        <w:rPr>
          <w:sz w:val="21"/>
        </w:rPr>
        <w:t>The</w:t>
      </w:r>
      <w:r>
        <w:rPr>
          <w:spacing w:val="30"/>
          <w:sz w:val="21"/>
        </w:rPr>
        <w:t> </w:t>
      </w:r>
      <w:r>
        <w:rPr>
          <w:sz w:val="21"/>
        </w:rPr>
        <w:t>payment</w:t>
      </w:r>
      <w:r>
        <w:rPr>
          <w:spacing w:val="30"/>
          <w:sz w:val="21"/>
        </w:rPr>
        <w:t> </w:t>
      </w:r>
      <w:r>
        <w:rPr>
          <w:sz w:val="21"/>
        </w:rPr>
        <w:t>of</w:t>
      </w:r>
      <w:r>
        <w:rPr>
          <w:spacing w:val="30"/>
          <w:sz w:val="21"/>
        </w:rPr>
        <w:t> </w:t>
      </w:r>
      <w:r>
        <w:rPr>
          <w:sz w:val="21"/>
        </w:rPr>
        <w:t>any</w:t>
      </w:r>
      <w:r>
        <w:rPr>
          <w:spacing w:val="30"/>
          <w:sz w:val="21"/>
        </w:rPr>
        <w:t> </w:t>
      </w:r>
      <w:r>
        <w:rPr>
          <w:sz w:val="21"/>
        </w:rPr>
        <w:t>compensation</w:t>
      </w:r>
      <w:r>
        <w:rPr>
          <w:spacing w:val="30"/>
          <w:sz w:val="21"/>
        </w:rPr>
        <w:t> </w:t>
      </w:r>
      <w:r>
        <w:rPr>
          <w:sz w:val="21"/>
        </w:rPr>
        <w:t>arising</w:t>
      </w:r>
      <w:r>
        <w:rPr>
          <w:spacing w:val="30"/>
          <w:sz w:val="21"/>
        </w:rPr>
        <w:t> </w:t>
      </w:r>
      <w:r>
        <w:rPr>
          <w:sz w:val="21"/>
        </w:rPr>
        <w:t>from</w:t>
      </w:r>
      <w:r>
        <w:rPr>
          <w:spacing w:val="30"/>
          <w:sz w:val="21"/>
        </w:rPr>
        <w:t> </w:t>
      </w:r>
      <w:r>
        <w:rPr>
          <w:sz w:val="21"/>
        </w:rPr>
        <w:t>contractual</w:t>
      </w:r>
      <w:r>
        <w:rPr>
          <w:spacing w:val="30"/>
          <w:sz w:val="21"/>
        </w:rPr>
        <w:t> </w:t>
      </w:r>
      <w:r>
        <w:rPr>
          <w:sz w:val="21"/>
        </w:rPr>
        <w:t>liability</w:t>
      </w:r>
      <w:r>
        <w:rPr>
          <w:spacing w:val="30"/>
          <w:sz w:val="21"/>
        </w:rPr>
        <w:t> </w:t>
      </w:r>
      <w:r>
        <w:rPr>
          <w:sz w:val="21"/>
        </w:rPr>
        <w:t>for</w:t>
      </w:r>
      <w:r>
        <w:rPr>
          <w:spacing w:val="30"/>
          <w:sz w:val="21"/>
        </w:rPr>
        <w:t> </w:t>
      </w:r>
      <w:r>
        <w:rPr>
          <w:sz w:val="21"/>
        </w:rPr>
        <w:t>consequential</w:t>
      </w:r>
      <w:r>
        <w:rPr>
          <w:spacing w:val="30"/>
          <w:sz w:val="21"/>
        </w:rPr>
        <w:t> </w:t>
      </w:r>
      <w:r>
        <w:rPr>
          <w:sz w:val="21"/>
        </w:rPr>
        <w:t>damages</w:t>
      </w:r>
      <w:r>
        <w:rPr>
          <w:spacing w:val="30"/>
          <w:sz w:val="21"/>
        </w:rPr>
        <w:t> </w:t>
      </w:r>
      <w:r>
        <w:rPr>
          <w:sz w:val="21"/>
        </w:rPr>
        <w:t>and</w:t>
      </w:r>
      <w:r>
        <w:rPr>
          <w:spacing w:val="30"/>
          <w:sz w:val="21"/>
        </w:rPr>
        <w:t> </w:t>
      </w:r>
      <w:r>
        <w:rPr>
          <w:sz w:val="21"/>
        </w:rPr>
        <w:t>loss</w:t>
      </w:r>
      <w:r>
        <w:rPr>
          <w:spacing w:val="30"/>
          <w:sz w:val="21"/>
        </w:rPr>
        <w:t> </w:t>
      </w:r>
      <w:r>
        <w:rPr>
          <w:sz w:val="21"/>
        </w:rPr>
        <w:t>of</w:t>
      </w:r>
      <w:r>
        <w:rPr>
          <w:spacing w:val="30"/>
          <w:sz w:val="21"/>
        </w:rPr>
        <w:t> </w:t>
      </w:r>
      <w:r>
        <w:rPr>
          <w:sz w:val="21"/>
        </w:rPr>
        <w:t>profit</w:t>
      </w:r>
      <w:r>
        <w:rPr>
          <w:spacing w:val="30"/>
          <w:sz w:val="21"/>
        </w:rPr>
        <w:t> </w:t>
      </w:r>
      <w:r>
        <w:rPr>
          <w:sz w:val="21"/>
        </w:rPr>
        <w:t>resulting from</w:t>
      </w:r>
      <w:r>
        <w:rPr>
          <w:spacing w:val="40"/>
          <w:sz w:val="21"/>
        </w:rPr>
        <w:t> </w:t>
      </w:r>
      <w:r>
        <w:rPr>
          <w:sz w:val="21"/>
        </w:rPr>
        <w:t>total</w:t>
      </w:r>
      <w:r>
        <w:rPr>
          <w:spacing w:val="40"/>
          <w:sz w:val="21"/>
        </w:rPr>
        <w:t> </w:t>
      </w:r>
      <w:r>
        <w:rPr>
          <w:sz w:val="21"/>
        </w:rPr>
        <w:t>or</w:t>
      </w:r>
      <w:r>
        <w:rPr>
          <w:spacing w:val="40"/>
          <w:sz w:val="21"/>
        </w:rPr>
        <w:t> </w:t>
      </w:r>
      <w:r>
        <w:rPr>
          <w:sz w:val="21"/>
        </w:rPr>
        <w:t>partial</w:t>
      </w:r>
      <w:r>
        <w:rPr>
          <w:spacing w:val="40"/>
          <w:sz w:val="21"/>
        </w:rPr>
        <w:t> </w:t>
      </w:r>
      <w:r>
        <w:rPr>
          <w:sz w:val="21"/>
        </w:rPr>
        <w:t>non-compliance</w:t>
      </w:r>
      <w:r>
        <w:rPr>
          <w:spacing w:val="40"/>
          <w:sz w:val="21"/>
        </w:rPr>
        <w:t> </w:t>
      </w:r>
      <w:r>
        <w:rPr>
          <w:sz w:val="21"/>
        </w:rPr>
        <w:t>with</w:t>
      </w:r>
      <w:r>
        <w:rPr>
          <w:spacing w:val="40"/>
          <w:sz w:val="21"/>
        </w:rPr>
        <w:t> </w:t>
      </w:r>
      <w:r>
        <w:rPr>
          <w:sz w:val="21"/>
        </w:rPr>
        <w:t>the</w:t>
      </w:r>
      <w:r>
        <w:rPr>
          <w:spacing w:val="40"/>
          <w:sz w:val="21"/>
        </w:rPr>
        <w:t> </w:t>
      </w:r>
      <w:r>
        <w:rPr>
          <w:sz w:val="21"/>
        </w:rPr>
        <w:t>obligations</w:t>
      </w:r>
      <w:r>
        <w:rPr>
          <w:spacing w:val="40"/>
          <w:sz w:val="21"/>
        </w:rPr>
        <w:t> </w:t>
      </w:r>
      <w:r>
        <w:rPr>
          <w:sz w:val="21"/>
        </w:rPr>
        <w:t>to</w:t>
      </w:r>
      <w:r>
        <w:rPr>
          <w:spacing w:val="40"/>
          <w:sz w:val="21"/>
        </w:rPr>
        <w:t> </w:t>
      </w:r>
      <w:r>
        <w:rPr>
          <w:sz w:val="21"/>
        </w:rPr>
        <w:t>which</w:t>
      </w:r>
      <w:r>
        <w:rPr>
          <w:spacing w:val="40"/>
          <w:sz w:val="21"/>
        </w:rPr>
        <w:t> </w:t>
      </w:r>
      <w:r>
        <w:rPr>
          <w:sz w:val="21"/>
        </w:rPr>
        <w:t>the</w:t>
      </w:r>
      <w:r>
        <w:rPr>
          <w:spacing w:val="40"/>
          <w:sz w:val="21"/>
        </w:rPr>
        <w:t> </w:t>
      </w:r>
      <w:r>
        <w:rPr>
          <w:sz w:val="21"/>
        </w:rPr>
        <w:t>Concessionaire</w:t>
      </w:r>
      <w:r>
        <w:rPr>
          <w:spacing w:val="40"/>
          <w:sz w:val="21"/>
        </w:rPr>
        <w:t> </w:t>
      </w:r>
      <w:r>
        <w:rPr>
          <w:sz w:val="21"/>
        </w:rPr>
        <w:t>is</w:t>
      </w:r>
      <w:r>
        <w:rPr>
          <w:spacing w:val="40"/>
          <w:sz w:val="21"/>
        </w:rPr>
        <w:t> </w:t>
      </w:r>
      <w:r>
        <w:rPr>
          <w:sz w:val="21"/>
        </w:rPr>
        <w:t>bound</w:t>
      </w:r>
      <w:r>
        <w:rPr>
          <w:spacing w:val="40"/>
          <w:sz w:val="21"/>
        </w:rPr>
        <w:t> </w:t>
      </w:r>
      <w:r>
        <w:rPr>
          <w:sz w:val="21"/>
        </w:rPr>
        <w:t>under</w:t>
      </w:r>
      <w:r>
        <w:rPr>
          <w:spacing w:val="40"/>
          <w:sz w:val="21"/>
        </w:rPr>
        <w:t> </w:t>
      </w:r>
      <w:r>
        <w:rPr>
          <w:sz w:val="21"/>
        </w:rPr>
        <w:t>this</w:t>
      </w:r>
      <w:r>
        <w:rPr>
          <w:spacing w:val="40"/>
          <w:sz w:val="21"/>
        </w:rPr>
        <w:t> </w:t>
      </w:r>
      <w:r>
        <w:rPr>
          <w:sz w:val="21"/>
        </w:rPr>
        <w:t>concession </w:t>
      </w:r>
      <w:r>
        <w:rPr>
          <w:spacing w:val="-2"/>
          <w:sz w:val="21"/>
        </w:rPr>
        <w:t>contract;</w:t>
      </w:r>
    </w:p>
    <w:p>
      <w:pPr>
        <w:pStyle w:val="BodyText"/>
        <w:spacing w:before="132"/>
        <w:rPr>
          <w:sz w:val="21"/>
        </w:rPr>
      </w:pPr>
    </w:p>
    <w:p>
      <w:pPr>
        <w:pStyle w:val="ListParagraph"/>
        <w:numPr>
          <w:ilvl w:val="0"/>
          <w:numId w:val="40"/>
        </w:numPr>
        <w:tabs>
          <w:tab w:pos="887" w:val="left" w:leader="none"/>
        </w:tabs>
        <w:spacing w:line="240" w:lineRule="auto" w:before="0" w:after="0"/>
        <w:ind w:left="887" w:right="0" w:hanging="233"/>
        <w:jc w:val="left"/>
        <w:rPr>
          <w:sz w:val="21"/>
        </w:rPr>
      </w:pPr>
      <w:r>
        <w:rPr>
          <w:sz w:val="21"/>
        </w:rPr>
        <w:t>Exact</w:t>
      </w:r>
      <w:r>
        <w:rPr>
          <w:spacing w:val="11"/>
          <w:sz w:val="21"/>
        </w:rPr>
        <w:t> </w:t>
      </w:r>
      <w:r>
        <w:rPr>
          <w:sz w:val="21"/>
        </w:rPr>
        <w:t>and</w:t>
      </w:r>
      <w:r>
        <w:rPr>
          <w:spacing w:val="12"/>
          <w:sz w:val="21"/>
        </w:rPr>
        <w:t> </w:t>
      </w:r>
      <w:r>
        <w:rPr>
          <w:sz w:val="21"/>
        </w:rPr>
        <w:t>punctual</w:t>
      </w:r>
      <w:r>
        <w:rPr>
          <w:spacing w:val="11"/>
          <w:sz w:val="21"/>
        </w:rPr>
        <w:t> </w:t>
      </w:r>
      <w:r>
        <w:rPr>
          <w:sz w:val="21"/>
        </w:rPr>
        <w:t>compliance</w:t>
      </w:r>
      <w:r>
        <w:rPr>
          <w:spacing w:val="11"/>
          <w:sz w:val="21"/>
        </w:rPr>
        <w:t> </w:t>
      </w:r>
      <w:r>
        <w:rPr>
          <w:sz w:val="21"/>
        </w:rPr>
        <w:t>with</w:t>
      </w:r>
      <w:r>
        <w:rPr>
          <w:spacing w:val="12"/>
          <w:sz w:val="21"/>
        </w:rPr>
        <w:t> </w:t>
      </w:r>
      <w:r>
        <w:rPr>
          <w:sz w:val="21"/>
        </w:rPr>
        <w:t>the</w:t>
      </w:r>
      <w:r>
        <w:rPr>
          <w:spacing w:val="11"/>
          <w:sz w:val="21"/>
        </w:rPr>
        <w:t> </w:t>
      </w:r>
      <w:r>
        <w:rPr>
          <w:sz w:val="21"/>
        </w:rPr>
        <w:t>labor</w:t>
      </w:r>
      <w:r>
        <w:rPr>
          <w:spacing w:val="12"/>
          <w:sz w:val="21"/>
        </w:rPr>
        <w:t> </w:t>
      </w:r>
      <w:r>
        <w:rPr>
          <w:sz w:val="21"/>
        </w:rPr>
        <w:t>obligations</w:t>
      </w:r>
      <w:r>
        <w:rPr>
          <w:spacing w:val="11"/>
          <w:sz w:val="21"/>
        </w:rPr>
        <w:t> </w:t>
      </w:r>
      <w:r>
        <w:rPr>
          <w:sz w:val="21"/>
        </w:rPr>
        <w:t>to</w:t>
      </w:r>
      <w:r>
        <w:rPr>
          <w:spacing w:val="12"/>
          <w:sz w:val="21"/>
        </w:rPr>
        <w:t> </w:t>
      </w:r>
      <w:r>
        <w:rPr>
          <w:sz w:val="21"/>
        </w:rPr>
        <w:t>which</w:t>
      </w:r>
      <w:r>
        <w:rPr>
          <w:spacing w:val="11"/>
          <w:sz w:val="21"/>
        </w:rPr>
        <w:t> </w:t>
      </w:r>
      <w:r>
        <w:rPr>
          <w:sz w:val="21"/>
        </w:rPr>
        <w:t>the</w:t>
      </w:r>
      <w:r>
        <w:rPr>
          <w:spacing w:val="12"/>
          <w:sz w:val="21"/>
        </w:rPr>
        <w:t> </w:t>
      </w:r>
      <w:r>
        <w:rPr>
          <w:sz w:val="21"/>
        </w:rPr>
        <w:t>Concessionaire</w:t>
      </w:r>
      <w:r>
        <w:rPr>
          <w:spacing w:val="11"/>
          <w:sz w:val="21"/>
        </w:rPr>
        <w:t> </w:t>
      </w:r>
      <w:r>
        <w:rPr>
          <w:sz w:val="21"/>
        </w:rPr>
        <w:t>is</w:t>
      </w:r>
      <w:r>
        <w:rPr>
          <w:spacing w:val="12"/>
          <w:sz w:val="21"/>
        </w:rPr>
        <w:t> </w:t>
      </w:r>
      <w:r>
        <w:rPr>
          <w:spacing w:val="-2"/>
          <w:sz w:val="21"/>
        </w:rPr>
        <w:t>bound.</w:t>
      </w:r>
    </w:p>
    <w:p>
      <w:pPr>
        <w:pStyle w:val="BodyText"/>
        <w:spacing w:before="146"/>
        <w:rPr>
          <w:sz w:val="21"/>
        </w:rPr>
      </w:pPr>
    </w:p>
    <w:p>
      <w:pPr>
        <w:spacing w:line="213" w:lineRule="auto" w:before="0"/>
        <w:ind w:left="144" w:right="118" w:firstLine="0"/>
        <w:jc w:val="both"/>
        <w:rPr>
          <w:sz w:val="21"/>
        </w:rPr>
      </w:pPr>
      <w:r>
        <w:rPr>
          <w:i/>
          <w:sz w:val="21"/>
        </w:rPr>
        <w:t>Three</w:t>
      </w:r>
      <w:r>
        <w:rPr>
          <w:sz w:val="21"/>
        </w:rPr>
        <w:t>.</w:t>
      </w:r>
      <w:r>
        <w:rPr>
          <w:spacing w:val="40"/>
          <w:sz w:val="21"/>
        </w:rPr>
        <w:t> </w:t>
      </w:r>
      <w:r>
        <w:rPr>
          <w:sz w:val="21"/>
        </w:rPr>
        <w:t>The</w:t>
      </w:r>
      <w:r>
        <w:rPr>
          <w:spacing w:val="40"/>
          <w:sz w:val="21"/>
        </w:rPr>
        <w:t> </w:t>
      </w:r>
      <w:r>
        <w:rPr>
          <w:sz w:val="21"/>
        </w:rPr>
        <w:t>value</w:t>
      </w:r>
      <w:r>
        <w:rPr>
          <w:spacing w:val="40"/>
          <w:sz w:val="21"/>
        </w:rPr>
        <w:t> </w:t>
      </w:r>
      <w:r>
        <w:rPr>
          <w:sz w:val="21"/>
        </w:rPr>
        <w:t>of</w:t>
      </w:r>
      <w:r>
        <w:rPr>
          <w:spacing w:val="40"/>
          <w:sz w:val="21"/>
        </w:rPr>
        <w:t> </w:t>
      </w:r>
      <w:r>
        <w:rPr>
          <w:sz w:val="21"/>
        </w:rPr>
        <w:t>the</w:t>
      </w:r>
      <w:r>
        <w:rPr>
          <w:spacing w:val="40"/>
          <w:sz w:val="21"/>
        </w:rPr>
        <w:t> </w:t>
      </w:r>
      <w:r>
        <w:rPr>
          <w:sz w:val="21"/>
        </w:rPr>
        <w:t>autonomous</w:t>
      </w:r>
      <w:r>
        <w:rPr>
          <w:spacing w:val="40"/>
          <w:sz w:val="21"/>
        </w:rPr>
        <w:t> </w:t>
      </w:r>
      <w:r>
        <w:rPr>
          <w:sz w:val="21"/>
        </w:rPr>
        <w:t>bank</w:t>
      </w:r>
      <w:r>
        <w:rPr>
          <w:spacing w:val="40"/>
          <w:sz w:val="21"/>
        </w:rPr>
        <w:t> </w:t>
      </w:r>
      <w:r>
        <w:rPr>
          <w:sz w:val="21"/>
        </w:rPr>
        <w:t>guarantee</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the</w:t>
      </w:r>
      <w:r>
        <w:rPr>
          <w:spacing w:val="40"/>
          <w:sz w:val="21"/>
        </w:rPr>
        <w:t> </w:t>
      </w:r>
      <w:r>
        <w:rPr>
          <w:sz w:val="21"/>
        </w:rPr>
        <w:t>previous</w:t>
      </w:r>
      <w:r>
        <w:rPr>
          <w:spacing w:val="40"/>
          <w:sz w:val="21"/>
        </w:rPr>
        <w:t> </w:t>
      </w:r>
      <w:r>
        <w:rPr>
          <w:sz w:val="21"/>
        </w:rPr>
        <w:t>paragraph</w:t>
      </w:r>
      <w:r>
        <w:rPr>
          <w:spacing w:val="40"/>
          <w:sz w:val="21"/>
        </w:rPr>
        <w:t> </w:t>
      </w:r>
      <w:r>
        <w:rPr>
          <w:sz w:val="21"/>
        </w:rPr>
        <w:t>is</w:t>
      </w:r>
      <w:r>
        <w:rPr>
          <w:spacing w:val="40"/>
          <w:sz w:val="21"/>
        </w:rPr>
        <w:t> </w:t>
      </w:r>
      <w:r>
        <w:rPr>
          <w:sz w:val="21"/>
        </w:rPr>
        <w:t>MOP</w:t>
      </w:r>
      <w:r>
        <w:rPr>
          <w:spacing w:val="40"/>
          <w:sz w:val="21"/>
        </w:rPr>
        <w:t> </w:t>
      </w:r>
      <w:r>
        <w:rPr>
          <w:sz w:val="21"/>
        </w:rPr>
        <w:t>1,000,000,000</w:t>
      </w:r>
      <w:r>
        <w:rPr>
          <w:spacing w:val="40"/>
          <w:sz w:val="21"/>
        </w:rPr>
        <w:t> </w:t>
      </w:r>
      <w:r>
        <w:rPr>
          <w:sz w:val="21"/>
        </w:rPr>
        <w:t>(one</w:t>
      </w:r>
      <w:r>
        <w:rPr>
          <w:spacing w:val="40"/>
          <w:sz w:val="21"/>
        </w:rPr>
        <w:t> </w:t>
      </w:r>
      <w:r>
        <w:rPr>
          <w:sz w:val="21"/>
        </w:rPr>
        <w:t>billion patacas) from 1 January 2023 until 180 days have elapsed from the termination of this concession contract or the termination of the </w:t>
      </w:r>
      <w:r>
        <w:rPr>
          <w:spacing w:val="-2"/>
          <w:sz w:val="21"/>
        </w:rPr>
        <w:t>concession.</w:t>
      </w:r>
    </w:p>
    <w:p>
      <w:pPr>
        <w:pStyle w:val="BodyText"/>
        <w:spacing w:before="166"/>
        <w:rPr>
          <w:sz w:val="21"/>
        </w:rPr>
      </w:pPr>
    </w:p>
    <w:p>
      <w:pPr>
        <w:spacing w:line="213" w:lineRule="auto" w:before="1"/>
        <w:ind w:left="144" w:right="118" w:firstLine="0"/>
        <w:jc w:val="both"/>
        <w:rPr>
          <w:sz w:val="21"/>
        </w:rPr>
      </w:pPr>
      <w:r>
        <w:rPr>
          <w:i/>
          <w:sz w:val="21"/>
        </w:rPr>
        <w:t>Four</w:t>
      </w:r>
      <w:r>
        <w:rPr>
          <w:sz w:val="21"/>
        </w:rPr>
        <w:t>.</w:t>
      </w:r>
      <w:r>
        <w:rPr>
          <w:spacing w:val="23"/>
          <w:sz w:val="21"/>
        </w:rPr>
        <w:t> </w:t>
      </w:r>
      <w:r>
        <w:rPr>
          <w:sz w:val="21"/>
        </w:rPr>
        <w:t>The</w:t>
      </w:r>
      <w:r>
        <w:rPr>
          <w:spacing w:val="28"/>
          <w:sz w:val="21"/>
        </w:rPr>
        <w:t> </w:t>
      </w:r>
      <w:r>
        <w:rPr>
          <w:sz w:val="21"/>
        </w:rPr>
        <w:t>Concessionaire</w:t>
      </w:r>
      <w:r>
        <w:rPr>
          <w:spacing w:val="28"/>
          <w:sz w:val="21"/>
        </w:rPr>
        <w:t> </w:t>
      </w:r>
      <w:r>
        <w:rPr>
          <w:sz w:val="21"/>
        </w:rPr>
        <w:t>undertakes</w:t>
      </w:r>
      <w:r>
        <w:rPr>
          <w:spacing w:val="28"/>
          <w:sz w:val="21"/>
        </w:rPr>
        <w:t> </w:t>
      </w:r>
      <w:r>
        <w:rPr>
          <w:sz w:val="21"/>
        </w:rPr>
        <w:t>to</w:t>
      </w:r>
      <w:r>
        <w:rPr>
          <w:spacing w:val="28"/>
          <w:sz w:val="21"/>
        </w:rPr>
        <w:t> </w:t>
      </w:r>
      <w:r>
        <w:rPr>
          <w:sz w:val="21"/>
        </w:rPr>
        <w:t>take</w:t>
      </w:r>
      <w:r>
        <w:rPr>
          <w:spacing w:val="28"/>
          <w:sz w:val="21"/>
        </w:rPr>
        <w:t> </w:t>
      </w:r>
      <w:r>
        <w:rPr>
          <w:sz w:val="21"/>
        </w:rPr>
        <w:t>all</w:t>
      </w:r>
      <w:r>
        <w:rPr>
          <w:spacing w:val="28"/>
          <w:sz w:val="21"/>
        </w:rPr>
        <w:t> </w:t>
      </w:r>
      <w:r>
        <w:rPr>
          <w:sz w:val="21"/>
        </w:rPr>
        <w:t>measures</w:t>
      </w:r>
      <w:r>
        <w:rPr>
          <w:spacing w:val="28"/>
          <w:sz w:val="21"/>
        </w:rPr>
        <w:t> </w:t>
      </w:r>
      <w:r>
        <w:rPr>
          <w:sz w:val="21"/>
        </w:rPr>
        <w:t>and</w:t>
      </w:r>
      <w:r>
        <w:rPr>
          <w:spacing w:val="28"/>
          <w:sz w:val="21"/>
        </w:rPr>
        <w:t> </w:t>
      </w:r>
      <w:r>
        <w:rPr>
          <w:sz w:val="21"/>
        </w:rPr>
        <w:t>to</w:t>
      </w:r>
      <w:r>
        <w:rPr>
          <w:spacing w:val="28"/>
          <w:sz w:val="21"/>
        </w:rPr>
        <w:t> </w:t>
      </w:r>
      <w:r>
        <w:rPr>
          <w:sz w:val="21"/>
        </w:rPr>
        <w:t>comply</w:t>
      </w:r>
      <w:r>
        <w:rPr>
          <w:spacing w:val="28"/>
          <w:sz w:val="21"/>
        </w:rPr>
        <w:t> </w:t>
      </w:r>
      <w:r>
        <w:rPr>
          <w:sz w:val="21"/>
        </w:rPr>
        <w:t>with</w:t>
      </w:r>
      <w:r>
        <w:rPr>
          <w:spacing w:val="28"/>
          <w:sz w:val="21"/>
        </w:rPr>
        <w:t> </w:t>
      </w:r>
      <w:r>
        <w:rPr>
          <w:sz w:val="21"/>
        </w:rPr>
        <w:t>all</w:t>
      </w:r>
      <w:r>
        <w:rPr>
          <w:spacing w:val="28"/>
          <w:sz w:val="21"/>
        </w:rPr>
        <w:t> </w:t>
      </w:r>
      <w:r>
        <w:rPr>
          <w:sz w:val="21"/>
        </w:rPr>
        <w:t>obligations</w:t>
      </w:r>
      <w:r>
        <w:rPr>
          <w:spacing w:val="28"/>
          <w:sz w:val="21"/>
        </w:rPr>
        <w:t> </w:t>
      </w:r>
      <w:r>
        <w:rPr>
          <w:sz w:val="21"/>
        </w:rPr>
        <w:t>that</w:t>
      </w:r>
      <w:r>
        <w:rPr>
          <w:spacing w:val="28"/>
          <w:sz w:val="21"/>
        </w:rPr>
        <w:t> </w:t>
      </w:r>
      <w:r>
        <w:rPr>
          <w:sz w:val="21"/>
        </w:rPr>
        <w:t>may</w:t>
      </w:r>
      <w:r>
        <w:rPr>
          <w:spacing w:val="28"/>
          <w:sz w:val="21"/>
        </w:rPr>
        <w:t> </w:t>
      </w:r>
      <w:r>
        <w:rPr>
          <w:sz w:val="21"/>
        </w:rPr>
        <w:t>be</w:t>
      </w:r>
      <w:r>
        <w:rPr>
          <w:spacing w:val="28"/>
          <w:sz w:val="21"/>
        </w:rPr>
        <w:t> </w:t>
      </w:r>
      <w:r>
        <w:rPr>
          <w:sz w:val="21"/>
        </w:rPr>
        <w:t>necessary</w:t>
      </w:r>
      <w:r>
        <w:rPr>
          <w:spacing w:val="28"/>
          <w:sz w:val="21"/>
        </w:rPr>
        <w:t> </w:t>
      </w:r>
      <w:r>
        <w:rPr>
          <w:sz w:val="21"/>
        </w:rPr>
        <w:t>to</w:t>
      </w:r>
      <w:r>
        <w:rPr>
          <w:spacing w:val="28"/>
          <w:sz w:val="21"/>
        </w:rPr>
        <w:t> </w:t>
      </w:r>
      <w:r>
        <w:rPr>
          <w:sz w:val="21"/>
        </w:rPr>
        <w:t>maintain</w:t>
      </w:r>
      <w:r>
        <w:rPr>
          <w:spacing w:val="28"/>
          <w:sz w:val="21"/>
        </w:rPr>
        <w:t> </w:t>
      </w:r>
      <w:r>
        <w:rPr>
          <w:sz w:val="21"/>
        </w:rPr>
        <w:t>in force the autonomous bank guarantee referred to in paragraph </w:t>
      </w:r>
      <w:r>
        <w:rPr>
          <w:i/>
          <w:sz w:val="21"/>
        </w:rPr>
        <w:t>two</w:t>
      </w:r>
      <w:r>
        <w:rPr>
          <w:sz w:val="21"/>
        </w:rPr>
        <w:t>.</w:t>
      </w:r>
    </w:p>
    <w:p>
      <w:pPr>
        <w:pStyle w:val="BodyText"/>
        <w:spacing w:before="152"/>
        <w:rPr>
          <w:sz w:val="21"/>
        </w:rPr>
      </w:pPr>
    </w:p>
    <w:p>
      <w:pPr>
        <w:spacing w:line="213" w:lineRule="auto" w:before="0"/>
        <w:ind w:left="144" w:right="117" w:firstLine="0"/>
        <w:jc w:val="both"/>
        <w:rPr>
          <w:sz w:val="21"/>
        </w:rPr>
      </w:pPr>
      <w:r>
        <w:rPr>
          <w:i/>
          <w:sz w:val="21"/>
        </w:rPr>
        <w:t>Five</w:t>
      </w:r>
      <w:r>
        <w:rPr>
          <w:sz w:val="21"/>
        </w:rPr>
        <w:t>. The</w:t>
      </w:r>
      <w:r>
        <w:rPr>
          <w:spacing w:val="40"/>
          <w:sz w:val="21"/>
        </w:rPr>
        <w:t> </w:t>
      </w:r>
      <w:r>
        <w:rPr>
          <w:sz w:val="21"/>
        </w:rPr>
        <w:t>Government</w:t>
      </w:r>
      <w:r>
        <w:rPr>
          <w:spacing w:val="40"/>
          <w:sz w:val="21"/>
        </w:rPr>
        <w:t> </w:t>
      </w:r>
      <w:r>
        <w:rPr>
          <w:sz w:val="21"/>
        </w:rPr>
        <w:t>may</w:t>
      </w:r>
      <w:r>
        <w:rPr>
          <w:spacing w:val="40"/>
          <w:sz w:val="21"/>
        </w:rPr>
        <w:t> </w:t>
      </w:r>
      <w:r>
        <w:rPr>
          <w:sz w:val="21"/>
        </w:rPr>
        <w:t>call</w:t>
      </w:r>
      <w:r>
        <w:rPr>
          <w:spacing w:val="40"/>
          <w:sz w:val="21"/>
        </w:rPr>
        <w:t> </w:t>
      </w:r>
      <w:r>
        <w:rPr>
          <w:sz w:val="21"/>
        </w:rPr>
        <w:t>on</w:t>
      </w:r>
      <w:r>
        <w:rPr>
          <w:spacing w:val="40"/>
          <w:sz w:val="21"/>
        </w:rPr>
        <w:t> </w:t>
      </w:r>
      <w:r>
        <w:rPr>
          <w:sz w:val="21"/>
        </w:rPr>
        <w:t>the</w:t>
      </w:r>
      <w:r>
        <w:rPr>
          <w:spacing w:val="40"/>
          <w:sz w:val="21"/>
        </w:rPr>
        <w:t> </w:t>
      </w:r>
      <w:r>
        <w:rPr>
          <w:sz w:val="21"/>
        </w:rPr>
        <w:t>autonomous</w:t>
      </w:r>
      <w:r>
        <w:rPr>
          <w:spacing w:val="40"/>
          <w:sz w:val="21"/>
        </w:rPr>
        <w:t> </w:t>
      </w:r>
      <w:r>
        <w:rPr>
          <w:sz w:val="21"/>
        </w:rPr>
        <w:t>bank</w:t>
      </w:r>
      <w:r>
        <w:rPr>
          <w:spacing w:val="40"/>
          <w:sz w:val="21"/>
        </w:rPr>
        <w:t> </w:t>
      </w:r>
      <w:r>
        <w:rPr>
          <w:sz w:val="21"/>
        </w:rPr>
        <w:t>guarantee</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paragraph</w:t>
      </w:r>
      <w:r>
        <w:rPr>
          <w:spacing w:val="40"/>
          <w:sz w:val="21"/>
        </w:rPr>
        <w:t> </w:t>
      </w:r>
      <w:r>
        <w:rPr>
          <w:i/>
          <w:sz w:val="21"/>
        </w:rPr>
        <w:t>two</w:t>
      </w:r>
      <w:r>
        <w:rPr>
          <w:sz w:val="21"/>
        </w:rPr>
        <w:t>,</w:t>
      </w:r>
      <w:r>
        <w:rPr>
          <w:spacing w:val="40"/>
          <w:sz w:val="21"/>
        </w:rPr>
        <w:t> </w:t>
      </w:r>
      <w:r>
        <w:rPr>
          <w:sz w:val="21"/>
        </w:rPr>
        <w:t>irrespective</w:t>
      </w:r>
      <w:r>
        <w:rPr>
          <w:spacing w:val="40"/>
          <w:sz w:val="21"/>
        </w:rPr>
        <w:t> </w:t>
      </w:r>
      <w:r>
        <w:rPr>
          <w:sz w:val="21"/>
        </w:rPr>
        <w:t>of</w:t>
      </w:r>
      <w:r>
        <w:rPr>
          <w:spacing w:val="40"/>
          <w:sz w:val="21"/>
        </w:rPr>
        <w:t> </w:t>
      </w:r>
      <w:r>
        <w:rPr>
          <w:sz w:val="21"/>
        </w:rPr>
        <w:t>a</w:t>
      </w:r>
      <w:r>
        <w:rPr>
          <w:spacing w:val="40"/>
          <w:sz w:val="21"/>
        </w:rPr>
        <w:t> </w:t>
      </w:r>
      <w:r>
        <w:rPr>
          <w:sz w:val="21"/>
        </w:rPr>
        <w:t>prior</w:t>
      </w:r>
      <w:r>
        <w:rPr>
          <w:spacing w:val="40"/>
          <w:sz w:val="21"/>
        </w:rPr>
        <w:t> </w:t>
      </w:r>
      <w:r>
        <w:rPr>
          <w:sz w:val="21"/>
        </w:rPr>
        <w:t>judicial decision, whenever the Concessionaire fails to comply with any of the legal or contractual obligations to which it is bound, the exact</w:t>
      </w:r>
      <w:r>
        <w:rPr>
          <w:spacing w:val="80"/>
          <w:sz w:val="21"/>
        </w:rPr>
        <w:t> </w:t>
      </w:r>
      <w:r>
        <w:rPr>
          <w:sz w:val="21"/>
        </w:rPr>
        <w:t>and</w:t>
      </w:r>
      <w:r>
        <w:rPr>
          <w:spacing w:val="40"/>
          <w:sz w:val="21"/>
        </w:rPr>
        <w:t> </w:t>
      </w:r>
      <w:r>
        <w:rPr>
          <w:sz w:val="21"/>
        </w:rPr>
        <w:t>punctual</w:t>
      </w:r>
      <w:r>
        <w:rPr>
          <w:spacing w:val="40"/>
          <w:sz w:val="21"/>
        </w:rPr>
        <w:t> </w:t>
      </w:r>
      <w:r>
        <w:rPr>
          <w:sz w:val="21"/>
        </w:rPr>
        <w:t>premiums</w:t>
      </w:r>
      <w:r>
        <w:rPr>
          <w:spacing w:val="40"/>
          <w:sz w:val="21"/>
        </w:rPr>
        <w:t> </w:t>
      </w:r>
      <w:r>
        <w:rPr>
          <w:sz w:val="21"/>
        </w:rPr>
        <w:t>to</w:t>
      </w:r>
      <w:r>
        <w:rPr>
          <w:spacing w:val="40"/>
          <w:sz w:val="21"/>
        </w:rPr>
        <w:t> </w:t>
      </w:r>
      <w:r>
        <w:rPr>
          <w:sz w:val="21"/>
        </w:rPr>
        <w:t>which</w:t>
      </w:r>
      <w:r>
        <w:rPr>
          <w:spacing w:val="40"/>
          <w:sz w:val="21"/>
        </w:rPr>
        <w:t> </w:t>
      </w:r>
      <w:r>
        <w:rPr>
          <w:sz w:val="21"/>
        </w:rPr>
        <w:t>it</w:t>
      </w:r>
      <w:r>
        <w:rPr>
          <w:spacing w:val="40"/>
          <w:sz w:val="21"/>
        </w:rPr>
        <w:t> </w:t>
      </w:r>
      <w:r>
        <w:rPr>
          <w:sz w:val="21"/>
        </w:rPr>
        <w:t>is</w:t>
      </w:r>
      <w:r>
        <w:rPr>
          <w:spacing w:val="40"/>
          <w:sz w:val="21"/>
        </w:rPr>
        <w:t> </w:t>
      </w:r>
      <w:r>
        <w:rPr>
          <w:sz w:val="21"/>
        </w:rPr>
        <w:t>bound,</w:t>
      </w:r>
      <w:r>
        <w:rPr>
          <w:spacing w:val="40"/>
          <w:sz w:val="21"/>
        </w:rPr>
        <w:t> </w:t>
      </w:r>
      <w:r>
        <w:rPr>
          <w:sz w:val="21"/>
        </w:rPr>
        <w:t>or</w:t>
      </w:r>
      <w:r>
        <w:rPr>
          <w:spacing w:val="40"/>
          <w:sz w:val="21"/>
        </w:rPr>
        <w:t> </w:t>
      </w:r>
      <w:r>
        <w:rPr>
          <w:sz w:val="21"/>
        </w:rPr>
        <w:t>fails</w:t>
      </w:r>
      <w:r>
        <w:rPr>
          <w:spacing w:val="40"/>
          <w:sz w:val="21"/>
        </w:rPr>
        <w:t> </w:t>
      </w:r>
      <w:r>
        <w:rPr>
          <w:sz w:val="21"/>
        </w:rPr>
        <w:t>to</w:t>
      </w:r>
      <w:r>
        <w:rPr>
          <w:spacing w:val="40"/>
          <w:sz w:val="21"/>
        </w:rPr>
        <w:t> </w:t>
      </w:r>
      <w:r>
        <w:rPr>
          <w:sz w:val="21"/>
        </w:rPr>
        <w:t>pay</w:t>
      </w:r>
      <w:r>
        <w:rPr>
          <w:spacing w:val="40"/>
          <w:sz w:val="21"/>
        </w:rPr>
        <w:t> </w:t>
      </w:r>
      <w:r>
        <w:rPr>
          <w:sz w:val="21"/>
        </w:rPr>
        <w:t>or</w:t>
      </w:r>
      <w:r>
        <w:rPr>
          <w:spacing w:val="40"/>
          <w:sz w:val="21"/>
        </w:rPr>
        <w:t> </w:t>
      </w:r>
      <w:r>
        <w:rPr>
          <w:sz w:val="21"/>
        </w:rPr>
        <w:t>contest,</w:t>
      </w:r>
      <w:r>
        <w:rPr>
          <w:spacing w:val="40"/>
          <w:sz w:val="21"/>
        </w:rPr>
        <w:t> </w:t>
      </w:r>
      <w:r>
        <w:rPr>
          <w:sz w:val="21"/>
        </w:rPr>
        <w:t>within</w:t>
      </w:r>
      <w:r>
        <w:rPr>
          <w:spacing w:val="40"/>
          <w:sz w:val="21"/>
        </w:rPr>
        <w:t> </w:t>
      </w:r>
      <w:r>
        <w:rPr>
          <w:sz w:val="21"/>
        </w:rPr>
        <w:t>the</w:t>
      </w:r>
      <w:r>
        <w:rPr>
          <w:spacing w:val="40"/>
          <w:sz w:val="21"/>
        </w:rPr>
        <w:t> </w:t>
      </w:r>
      <w:r>
        <w:rPr>
          <w:sz w:val="21"/>
        </w:rPr>
        <w:t>legal</w:t>
      </w:r>
      <w:r>
        <w:rPr>
          <w:spacing w:val="40"/>
          <w:sz w:val="21"/>
        </w:rPr>
        <w:t> </w:t>
      </w:r>
      <w:r>
        <w:rPr>
          <w:sz w:val="21"/>
        </w:rPr>
        <w:t>time</w:t>
      </w:r>
      <w:r>
        <w:rPr>
          <w:spacing w:val="40"/>
          <w:sz w:val="21"/>
        </w:rPr>
        <w:t> </w:t>
      </w:r>
      <w:r>
        <w:rPr>
          <w:sz w:val="21"/>
        </w:rPr>
        <w:t>limit,</w:t>
      </w:r>
      <w:r>
        <w:rPr>
          <w:spacing w:val="40"/>
          <w:sz w:val="21"/>
        </w:rPr>
        <w:t> </w:t>
      </w:r>
      <w:r>
        <w:rPr>
          <w:sz w:val="21"/>
        </w:rPr>
        <w:t>the</w:t>
      </w:r>
      <w:r>
        <w:rPr>
          <w:spacing w:val="40"/>
          <w:sz w:val="21"/>
        </w:rPr>
        <w:t> </w:t>
      </w:r>
      <w:r>
        <w:rPr>
          <w:sz w:val="21"/>
        </w:rPr>
        <w:t>fines</w:t>
      </w:r>
      <w:r>
        <w:rPr>
          <w:spacing w:val="40"/>
          <w:sz w:val="21"/>
        </w:rPr>
        <w:t> </w:t>
      </w:r>
      <w:r>
        <w:rPr>
          <w:sz w:val="21"/>
        </w:rPr>
        <w:t>or</w:t>
      </w:r>
      <w:r>
        <w:rPr>
          <w:spacing w:val="40"/>
          <w:sz w:val="21"/>
        </w:rPr>
        <w:t> </w:t>
      </w:r>
      <w:r>
        <w:rPr>
          <w:sz w:val="21"/>
        </w:rPr>
        <w:t>other</w:t>
      </w:r>
      <w:r>
        <w:rPr>
          <w:spacing w:val="40"/>
          <w:sz w:val="21"/>
        </w:rPr>
        <w:t> </w:t>
      </w:r>
      <w:r>
        <w:rPr>
          <w:sz w:val="21"/>
        </w:rPr>
        <w:t>penalties imposed by virtue of a legal provision or clause contained in this concession contract; the Government may also resort to </w:t>
      </w:r>
      <w:r>
        <w:rPr>
          <w:sz w:val="21"/>
        </w:rPr>
        <w:t>the</w:t>
      </w:r>
      <w:r>
        <w:rPr>
          <w:spacing w:val="40"/>
          <w:sz w:val="21"/>
        </w:rPr>
        <w:t> </w:t>
      </w:r>
      <w:r>
        <w:rPr>
          <w:sz w:val="21"/>
        </w:rPr>
        <w:t>autonomous</w:t>
      </w:r>
      <w:r>
        <w:rPr>
          <w:spacing w:val="40"/>
          <w:sz w:val="21"/>
        </w:rPr>
        <w:t> </w:t>
      </w:r>
      <w:r>
        <w:rPr>
          <w:sz w:val="21"/>
        </w:rPr>
        <w:t>bank</w:t>
      </w:r>
      <w:r>
        <w:rPr>
          <w:spacing w:val="40"/>
          <w:sz w:val="21"/>
        </w:rPr>
        <w:t> </w:t>
      </w:r>
      <w:r>
        <w:rPr>
          <w:sz w:val="21"/>
        </w:rPr>
        <w:t>guarantee</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paragraph</w:t>
      </w:r>
      <w:r>
        <w:rPr>
          <w:spacing w:val="40"/>
          <w:sz w:val="21"/>
        </w:rPr>
        <w:t> </w:t>
      </w:r>
      <w:r>
        <w:rPr>
          <w:i/>
          <w:sz w:val="21"/>
        </w:rPr>
        <w:t>two</w:t>
      </w:r>
      <w:r>
        <w:rPr>
          <w:i/>
          <w:spacing w:val="40"/>
          <w:sz w:val="21"/>
        </w:rPr>
        <w:t> </w:t>
      </w:r>
      <w:r>
        <w:rPr>
          <w:sz w:val="21"/>
        </w:rPr>
        <w:t>when</w:t>
      </w:r>
      <w:r>
        <w:rPr>
          <w:spacing w:val="40"/>
          <w:sz w:val="21"/>
        </w:rPr>
        <w:t> </w:t>
      </w:r>
      <w:r>
        <w:rPr>
          <w:sz w:val="21"/>
        </w:rPr>
        <w:t>any</w:t>
      </w:r>
      <w:r>
        <w:rPr>
          <w:spacing w:val="40"/>
          <w:sz w:val="21"/>
        </w:rPr>
        <w:t> </w:t>
      </w:r>
      <w:r>
        <w:rPr>
          <w:sz w:val="21"/>
        </w:rPr>
        <w:t>compensation</w:t>
      </w:r>
      <w:r>
        <w:rPr>
          <w:spacing w:val="40"/>
          <w:sz w:val="21"/>
        </w:rPr>
        <w:t> </w:t>
      </w:r>
      <w:r>
        <w:rPr>
          <w:sz w:val="21"/>
        </w:rPr>
        <w:t>is</w:t>
      </w:r>
      <w:r>
        <w:rPr>
          <w:spacing w:val="40"/>
          <w:sz w:val="21"/>
        </w:rPr>
        <w:t> </w:t>
      </w:r>
      <w:r>
        <w:rPr>
          <w:sz w:val="21"/>
        </w:rPr>
        <w:t>due</w:t>
      </w:r>
      <w:r>
        <w:rPr>
          <w:spacing w:val="40"/>
          <w:sz w:val="21"/>
        </w:rPr>
        <w:t> </w:t>
      </w:r>
      <w:r>
        <w:rPr>
          <w:sz w:val="21"/>
        </w:rPr>
        <w:t>arising</w:t>
      </w:r>
      <w:r>
        <w:rPr>
          <w:spacing w:val="40"/>
          <w:sz w:val="21"/>
        </w:rPr>
        <w:t> </w:t>
      </w:r>
      <w:r>
        <w:rPr>
          <w:sz w:val="21"/>
        </w:rPr>
        <w:t>from</w:t>
      </w:r>
      <w:r>
        <w:rPr>
          <w:spacing w:val="40"/>
          <w:sz w:val="21"/>
        </w:rPr>
        <w:t> </w:t>
      </w:r>
      <w:r>
        <w:rPr>
          <w:sz w:val="21"/>
        </w:rPr>
        <w:t>contractual</w:t>
      </w:r>
      <w:r>
        <w:rPr>
          <w:spacing w:val="40"/>
          <w:sz w:val="21"/>
        </w:rPr>
        <w:t> </w:t>
      </w:r>
      <w:r>
        <w:rPr>
          <w:sz w:val="21"/>
        </w:rPr>
        <w:t>liability</w:t>
      </w:r>
      <w:r>
        <w:rPr>
          <w:spacing w:val="40"/>
          <w:sz w:val="21"/>
        </w:rPr>
        <w:t> </w:t>
      </w:r>
      <w:r>
        <w:rPr>
          <w:sz w:val="21"/>
        </w:rPr>
        <w:t>for damages and loss of profit resulting from total or partial non-compliance with the obligations to which the Concessionaire is bound</w:t>
      </w:r>
      <w:r>
        <w:rPr>
          <w:spacing w:val="40"/>
          <w:sz w:val="21"/>
        </w:rPr>
        <w:t> </w:t>
      </w:r>
      <w:r>
        <w:rPr>
          <w:sz w:val="21"/>
        </w:rPr>
        <w:t>under</w:t>
      </w:r>
      <w:r>
        <w:rPr>
          <w:spacing w:val="40"/>
          <w:sz w:val="21"/>
        </w:rPr>
        <w:t> </w:t>
      </w:r>
      <w:r>
        <w:rPr>
          <w:sz w:val="21"/>
        </w:rPr>
        <w:t>this</w:t>
      </w:r>
      <w:r>
        <w:rPr>
          <w:spacing w:val="40"/>
          <w:sz w:val="21"/>
        </w:rPr>
        <w:t> </w:t>
      </w:r>
      <w:r>
        <w:rPr>
          <w:sz w:val="21"/>
        </w:rPr>
        <w:t>concession</w:t>
      </w:r>
      <w:r>
        <w:rPr>
          <w:spacing w:val="40"/>
          <w:sz w:val="21"/>
        </w:rPr>
        <w:t> </w:t>
      </w:r>
      <w:r>
        <w:rPr>
          <w:sz w:val="21"/>
        </w:rPr>
        <w:t>contract,</w:t>
      </w:r>
      <w:r>
        <w:rPr>
          <w:spacing w:val="40"/>
          <w:sz w:val="21"/>
        </w:rPr>
        <w:t> </w:t>
      </w:r>
      <w:r>
        <w:rPr>
          <w:sz w:val="21"/>
        </w:rPr>
        <w:t>or</w:t>
      </w:r>
      <w:r>
        <w:rPr>
          <w:spacing w:val="40"/>
          <w:sz w:val="21"/>
        </w:rPr>
        <w:t> </w:t>
      </w:r>
      <w:r>
        <w:rPr>
          <w:sz w:val="21"/>
        </w:rPr>
        <w:t>when</w:t>
      </w:r>
      <w:r>
        <w:rPr>
          <w:spacing w:val="40"/>
          <w:sz w:val="21"/>
        </w:rPr>
        <w:t> </w:t>
      </w:r>
      <w:r>
        <w:rPr>
          <w:sz w:val="21"/>
        </w:rPr>
        <w:t>the</w:t>
      </w:r>
      <w:r>
        <w:rPr>
          <w:spacing w:val="40"/>
          <w:sz w:val="21"/>
        </w:rPr>
        <w:t> </w:t>
      </w:r>
      <w:r>
        <w:rPr>
          <w:sz w:val="21"/>
        </w:rPr>
        <w:t>Concessionaire</w:t>
      </w:r>
      <w:r>
        <w:rPr>
          <w:spacing w:val="40"/>
          <w:sz w:val="21"/>
        </w:rPr>
        <w:t> </w:t>
      </w:r>
      <w:r>
        <w:rPr>
          <w:sz w:val="21"/>
        </w:rPr>
        <w:t>fails</w:t>
      </w:r>
      <w:r>
        <w:rPr>
          <w:spacing w:val="40"/>
          <w:sz w:val="21"/>
        </w:rPr>
        <w:t> </w:t>
      </w:r>
      <w:r>
        <w:rPr>
          <w:sz w:val="21"/>
        </w:rPr>
        <w:t>to</w:t>
      </w:r>
      <w:r>
        <w:rPr>
          <w:spacing w:val="40"/>
          <w:sz w:val="21"/>
        </w:rPr>
        <w:t> </w:t>
      </w:r>
      <w:r>
        <w:rPr>
          <w:sz w:val="21"/>
        </w:rPr>
        <w:t>comply</w:t>
      </w:r>
      <w:r>
        <w:rPr>
          <w:spacing w:val="40"/>
          <w:sz w:val="21"/>
        </w:rPr>
        <w:t> </w:t>
      </w:r>
      <w:r>
        <w:rPr>
          <w:sz w:val="21"/>
        </w:rPr>
        <w:t>with</w:t>
      </w:r>
      <w:r>
        <w:rPr>
          <w:spacing w:val="40"/>
          <w:sz w:val="21"/>
        </w:rPr>
        <w:t> </w:t>
      </w:r>
      <w:r>
        <w:rPr>
          <w:sz w:val="21"/>
        </w:rPr>
        <w:t>the</w:t>
      </w:r>
      <w:r>
        <w:rPr>
          <w:spacing w:val="40"/>
          <w:sz w:val="21"/>
        </w:rPr>
        <w:t> </w:t>
      </w:r>
      <w:r>
        <w:rPr>
          <w:sz w:val="21"/>
        </w:rPr>
        <w:t>labor</w:t>
      </w:r>
      <w:r>
        <w:rPr>
          <w:spacing w:val="40"/>
          <w:sz w:val="21"/>
        </w:rPr>
        <w:t> </w:t>
      </w:r>
      <w:r>
        <w:rPr>
          <w:sz w:val="21"/>
        </w:rPr>
        <w:t>obligations</w:t>
      </w:r>
      <w:r>
        <w:rPr>
          <w:spacing w:val="40"/>
          <w:sz w:val="21"/>
        </w:rPr>
        <w:t> </w:t>
      </w:r>
      <w:r>
        <w:rPr>
          <w:sz w:val="21"/>
        </w:rPr>
        <w:t>to</w:t>
      </w:r>
      <w:r>
        <w:rPr>
          <w:spacing w:val="40"/>
          <w:sz w:val="21"/>
        </w:rPr>
        <w:t> </w:t>
      </w:r>
      <w:r>
        <w:rPr>
          <w:sz w:val="21"/>
        </w:rPr>
        <w:t>which</w:t>
      </w:r>
      <w:r>
        <w:rPr>
          <w:spacing w:val="40"/>
          <w:sz w:val="21"/>
        </w:rPr>
        <w:t> </w:t>
      </w:r>
      <w:r>
        <w:rPr>
          <w:sz w:val="21"/>
        </w:rPr>
        <w:t>it</w:t>
      </w:r>
      <w:r>
        <w:rPr>
          <w:spacing w:val="40"/>
          <w:sz w:val="21"/>
        </w:rPr>
        <w:t> </w:t>
      </w:r>
      <w:r>
        <w:rPr>
          <w:sz w:val="21"/>
        </w:rPr>
        <w:t>is</w:t>
      </w:r>
      <w:r>
        <w:rPr>
          <w:spacing w:val="40"/>
          <w:sz w:val="21"/>
        </w:rPr>
        <w:t> </w:t>
      </w:r>
      <w:r>
        <w:rPr>
          <w:sz w:val="21"/>
        </w:rPr>
        <w:t>bound,</w:t>
      </w:r>
      <w:r>
        <w:rPr>
          <w:spacing w:val="40"/>
          <w:sz w:val="21"/>
        </w:rPr>
        <w:t> </w:t>
      </w:r>
      <w:r>
        <w:rPr>
          <w:sz w:val="21"/>
        </w:rPr>
        <w:t>as </w:t>
      </w:r>
      <w:r>
        <w:rPr>
          <w:spacing w:val="-2"/>
          <w:sz w:val="21"/>
        </w:rPr>
        <w:t>stipulated.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1"/>
        <w:rPr>
          <w:sz w:val="20"/>
        </w:rPr>
      </w:pPr>
      <w:r>
        <w:rPr/>
        <mc:AlternateContent>
          <mc:Choice Requires="wps">
            <w:drawing>
              <wp:anchor distT="0" distB="0" distL="0" distR="0" allowOverlap="1" layoutInCell="1" locked="0" behindDoc="1" simplePos="0" relativeHeight="487781888">
                <wp:simplePos x="0" y="0"/>
                <wp:positionH relativeFrom="page">
                  <wp:posOffset>231457</wp:posOffset>
                </wp:positionH>
                <wp:positionV relativeFrom="paragraph">
                  <wp:posOffset>200012</wp:posOffset>
                </wp:positionV>
                <wp:extent cx="7312659" cy="17145"/>
                <wp:effectExtent l="0" t="0" r="0" b="0"/>
                <wp:wrapTopAndBottom/>
                <wp:docPr id="932" name="Group 932"/>
                <wp:cNvGraphicFramePr>
                  <a:graphicFrameLocks/>
                </wp:cNvGraphicFramePr>
                <a:graphic>
                  <a:graphicData uri="http://schemas.microsoft.com/office/word/2010/wordprocessingGroup">
                    <wpg:wgp>
                      <wpg:cNvPr id="932" name="Group 932"/>
                      <wpg:cNvGrpSpPr/>
                      <wpg:grpSpPr>
                        <a:xfrm>
                          <a:off x="0" y="0"/>
                          <a:ext cx="7312659" cy="17145"/>
                          <a:chExt cx="7312659" cy="17145"/>
                        </a:xfrm>
                      </wpg:grpSpPr>
                      <wps:wsp>
                        <wps:cNvPr id="933" name="Graphic 93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34" name="Graphic 934"/>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35" name="Graphic 93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749023pt;width:575.8pt;height:1.35pt;mso-position-horizontal-relative:page;mso-position-vertical-relative:paragraph;z-index:-15534592;mso-wrap-distance-left:0;mso-wrap-distance-right:0" id="docshapegroup930" coordorigin="364,315" coordsize="11516,27">
                <v:rect style="position:absolute;left:364;top:314;width:11516;height:14" id="docshape931" filled="true" fillcolor="#999999" stroked="false">
                  <v:fill type="solid"/>
                </v:rect>
                <v:shape style="position:absolute;left:364;top:314;width:11516;height:27" id="docshape932" coordorigin="364,315" coordsize="11516,27" path="m11880,315l11866,328,364,328,364,342,11866,342,11880,342,11880,328,11880,315xe" filled="true" fillcolor="#ededed" stroked="false">
                  <v:path arrowok="t"/>
                  <v:fill type="solid"/>
                </v:shape>
                <v:shape style="position:absolute;left:364;top:314;width:14;height:27" id="docshape933" coordorigin="364,315" coordsize="14,27" path="m364,342l364,315,378,315,378,328,364,342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90"/>
        <w:ind w:left="144" w:right="117" w:firstLine="0"/>
        <w:jc w:val="both"/>
        <w:rPr>
          <w:sz w:val="21"/>
        </w:rPr>
      </w:pPr>
      <w:r>
        <w:rPr>
          <w:i/>
          <w:sz w:val="21"/>
        </w:rPr>
        <w:t>Six</w:t>
      </w:r>
      <w:r>
        <w:rPr>
          <w:sz w:val="21"/>
        </w:rPr>
        <w:t>. Whenever</w:t>
      </w:r>
      <w:r>
        <w:rPr>
          <w:spacing w:val="28"/>
          <w:sz w:val="21"/>
        </w:rPr>
        <w:t> </w:t>
      </w:r>
      <w:r>
        <w:rPr>
          <w:sz w:val="21"/>
        </w:rPr>
        <w:t>the</w:t>
      </w:r>
      <w:r>
        <w:rPr>
          <w:spacing w:val="28"/>
          <w:sz w:val="21"/>
        </w:rPr>
        <w:t> </w:t>
      </w:r>
      <w:r>
        <w:rPr>
          <w:sz w:val="21"/>
        </w:rPr>
        <w:t>government</w:t>
      </w:r>
      <w:r>
        <w:rPr>
          <w:spacing w:val="28"/>
          <w:sz w:val="21"/>
        </w:rPr>
        <w:t> </w:t>
      </w:r>
      <w:r>
        <w:rPr>
          <w:sz w:val="21"/>
        </w:rPr>
        <w:t>uses</w:t>
      </w:r>
      <w:r>
        <w:rPr>
          <w:spacing w:val="28"/>
          <w:sz w:val="21"/>
        </w:rPr>
        <w:t> </w:t>
      </w:r>
      <w:r>
        <w:rPr>
          <w:sz w:val="21"/>
        </w:rPr>
        <w:t>the</w:t>
      </w:r>
      <w:r>
        <w:rPr>
          <w:spacing w:val="28"/>
          <w:sz w:val="21"/>
        </w:rPr>
        <w:t> </w:t>
      </w:r>
      <w:r>
        <w:rPr>
          <w:sz w:val="21"/>
        </w:rPr>
        <w:t>autonomous</w:t>
      </w:r>
      <w:r>
        <w:rPr>
          <w:spacing w:val="28"/>
          <w:sz w:val="21"/>
        </w:rPr>
        <w:t> </w:t>
      </w:r>
      <w:r>
        <w:rPr>
          <w:sz w:val="21"/>
        </w:rPr>
        <w:t>bank</w:t>
      </w:r>
      <w:r>
        <w:rPr>
          <w:spacing w:val="28"/>
          <w:sz w:val="21"/>
        </w:rPr>
        <w:t> </w:t>
      </w:r>
      <w:r>
        <w:rPr>
          <w:sz w:val="21"/>
        </w:rPr>
        <w:t>guarantee</w:t>
      </w:r>
      <w:r>
        <w:rPr>
          <w:spacing w:val="28"/>
          <w:sz w:val="21"/>
        </w:rPr>
        <w:t> </w:t>
      </w:r>
      <w:r>
        <w:rPr>
          <w:sz w:val="21"/>
        </w:rPr>
        <w:t>referred</w:t>
      </w:r>
      <w:r>
        <w:rPr>
          <w:spacing w:val="28"/>
          <w:sz w:val="21"/>
        </w:rPr>
        <w:t> </w:t>
      </w:r>
      <w:r>
        <w:rPr>
          <w:sz w:val="21"/>
        </w:rPr>
        <w:t>to</w:t>
      </w:r>
      <w:r>
        <w:rPr>
          <w:spacing w:val="28"/>
          <w:sz w:val="21"/>
        </w:rPr>
        <w:t> </w:t>
      </w:r>
      <w:r>
        <w:rPr>
          <w:sz w:val="21"/>
        </w:rPr>
        <w:t>in</w:t>
      </w:r>
      <w:r>
        <w:rPr>
          <w:spacing w:val="28"/>
          <w:sz w:val="21"/>
        </w:rPr>
        <w:t> </w:t>
      </w:r>
      <w:r>
        <w:rPr>
          <w:sz w:val="21"/>
        </w:rPr>
        <w:t>paragraph</w:t>
      </w:r>
      <w:r>
        <w:rPr>
          <w:spacing w:val="28"/>
          <w:sz w:val="21"/>
        </w:rPr>
        <w:t> </w:t>
      </w:r>
      <w:r>
        <w:rPr>
          <w:i/>
          <w:sz w:val="21"/>
        </w:rPr>
        <w:t>two</w:t>
      </w:r>
      <w:r>
        <w:rPr>
          <w:sz w:val="21"/>
        </w:rPr>
        <w:t>,</w:t>
      </w:r>
      <w:r>
        <w:rPr>
          <w:spacing w:val="28"/>
          <w:sz w:val="21"/>
        </w:rPr>
        <w:t> </w:t>
      </w:r>
      <w:r>
        <w:rPr>
          <w:sz w:val="21"/>
        </w:rPr>
        <w:t>the</w:t>
      </w:r>
      <w:r>
        <w:rPr>
          <w:spacing w:val="28"/>
          <w:sz w:val="21"/>
        </w:rPr>
        <w:t> </w:t>
      </w:r>
      <w:r>
        <w:rPr>
          <w:sz w:val="21"/>
        </w:rPr>
        <w:t>Concessionaire</w:t>
      </w:r>
      <w:r>
        <w:rPr>
          <w:spacing w:val="28"/>
          <w:sz w:val="21"/>
        </w:rPr>
        <w:t> </w:t>
      </w:r>
      <w:r>
        <w:rPr>
          <w:sz w:val="21"/>
        </w:rPr>
        <w:t>is</w:t>
      </w:r>
      <w:r>
        <w:rPr>
          <w:spacing w:val="28"/>
          <w:sz w:val="21"/>
        </w:rPr>
        <w:t> </w:t>
      </w:r>
      <w:r>
        <w:rPr>
          <w:sz w:val="21"/>
        </w:rPr>
        <w:t>required</w:t>
      </w:r>
      <w:r>
        <w:rPr>
          <w:spacing w:val="28"/>
          <w:sz w:val="21"/>
        </w:rPr>
        <w:t> </w:t>
      </w:r>
      <w:r>
        <w:rPr>
          <w:sz w:val="21"/>
        </w:rPr>
        <w:t>to take, within fifteen days from the date it is notified of the use of the guarantee, all necessary steps to restore the total value of the </w:t>
      </w:r>
      <w:r>
        <w:rPr>
          <w:spacing w:val="-2"/>
          <w:sz w:val="21"/>
        </w:rPr>
        <w:t>guarantee.</w:t>
      </w:r>
    </w:p>
    <w:p>
      <w:pPr>
        <w:pStyle w:val="BodyText"/>
        <w:spacing w:before="153"/>
        <w:rPr>
          <w:sz w:val="21"/>
        </w:rPr>
      </w:pPr>
    </w:p>
    <w:p>
      <w:pPr>
        <w:spacing w:line="213" w:lineRule="auto" w:before="1"/>
        <w:ind w:left="144" w:right="118" w:firstLine="0"/>
        <w:jc w:val="both"/>
        <w:rPr>
          <w:sz w:val="21"/>
        </w:rPr>
      </w:pPr>
      <w:r>
        <w:rPr>
          <w:i/>
          <w:sz w:val="21"/>
        </w:rPr>
        <w:t>Seven</w:t>
      </w:r>
      <w:r>
        <w:rPr>
          <w:sz w:val="21"/>
        </w:rPr>
        <w:t>.</w:t>
      </w:r>
      <w:r>
        <w:rPr>
          <w:spacing w:val="40"/>
          <w:sz w:val="21"/>
        </w:rPr>
        <w:t> </w:t>
      </w:r>
      <w:r>
        <w:rPr>
          <w:sz w:val="21"/>
        </w:rPr>
        <w:t>The</w:t>
      </w:r>
      <w:r>
        <w:rPr>
          <w:spacing w:val="40"/>
          <w:sz w:val="21"/>
        </w:rPr>
        <w:t> </w:t>
      </w:r>
      <w:r>
        <w:rPr>
          <w:sz w:val="21"/>
        </w:rPr>
        <w:t>autonomous</w:t>
      </w:r>
      <w:r>
        <w:rPr>
          <w:spacing w:val="40"/>
          <w:sz w:val="21"/>
        </w:rPr>
        <w:t> </w:t>
      </w:r>
      <w:r>
        <w:rPr>
          <w:sz w:val="21"/>
        </w:rPr>
        <w:t>bank</w:t>
      </w:r>
      <w:r>
        <w:rPr>
          <w:spacing w:val="40"/>
          <w:sz w:val="21"/>
        </w:rPr>
        <w:t> </w:t>
      </w:r>
      <w:r>
        <w:rPr>
          <w:sz w:val="21"/>
        </w:rPr>
        <w:t>guarantee</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paragraph</w:t>
      </w:r>
      <w:r>
        <w:rPr>
          <w:spacing w:val="40"/>
          <w:sz w:val="21"/>
        </w:rPr>
        <w:t> </w:t>
      </w:r>
      <w:r>
        <w:rPr>
          <w:i/>
          <w:sz w:val="21"/>
        </w:rPr>
        <w:t>two</w:t>
      </w:r>
      <w:r>
        <w:rPr>
          <w:i/>
          <w:spacing w:val="40"/>
          <w:sz w:val="21"/>
        </w:rPr>
        <w:t> </w:t>
      </w:r>
      <w:r>
        <w:rPr>
          <w:sz w:val="21"/>
        </w:rPr>
        <w:t>may</w:t>
      </w:r>
      <w:r>
        <w:rPr>
          <w:spacing w:val="40"/>
          <w:sz w:val="21"/>
        </w:rPr>
        <w:t> </w:t>
      </w:r>
      <w:r>
        <w:rPr>
          <w:sz w:val="21"/>
        </w:rPr>
        <w:t>only</w:t>
      </w:r>
      <w:r>
        <w:rPr>
          <w:spacing w:val="40"/>
          <w:sz w:val="21"/>
        </w:rPr>
        <w:t> </w:t>
      </w:r>
      <w:r>
        <w:rPr>
          <w:sz w:val="21"/>
        </w:rPr>
        <w:t>be</w:t>
      </w:r>
      <w:r>
        <w:rPr>
          <w:spacing w:val="40"/>
          <w:sz w:val="21"/>
        </w:rPr>
        <w:t> </w:t>
      </w:r>
      <w:r>
        <w:rPr>
          <w:sz w:val="21"/>
        </w:rPr>
        <w:t>cancelled</w:t>
      </w:r>
      <w:r>
        <w:rPr>
          <w:spacing w:val="40"/>
          <w:sz w:val="21"/>
        </w:rPr>
        <w:t> </w:t>
      </w:r>
      <w:r>
        <w:rPr>
          <w:sz w:val="21"/>
        </w:rPr>
        <w:t>with</w:t>
      </w:r>
      <w:r>
        <w:rPr>
          <w:spacing w:val="40"/>
          <w:sz w:val="21"/>
        </w:rPr>
        <w:t> </w:t>
      </w:r>
      <w:r>
        <w:rPr>
          <w:sz w:val="21"/>
        </w:rPr>
        <w:t>the</w:t>
      </w:r>
      <w:r>
        <w:rPr>
          <w:spacing w:val="40"/>
          <w:sz w:val="21"/>
        </w:rPr>
        <w:t> </w:t>
      </w:r>
      <w:r>
        <w:rPr>
          <w:sz w:val="21"/>
        </w:rPr>
        <w:t>authorization</w:t>
      </w:r>
      <w:r>
        <w:rPr>
          <w:spacing w:val="40"/>
          <w:sz w:val="21"/>
        </w:rPr>
        <w:t> </w:t>
      </w:r>
      <w:r>
        <w:rPr>
          <w:sz w:val="21"/>
        </w:rPr>
        <w:t>of</w:t>
      </w:r>
      <w:r>
        <w:rPr>
          <w:spacing w:val="40"/>
          <w:sz w:val="21"/>
        </w:rPr>
        <w:t> </w:t>
      </w:r>
      <w:r>
        <w:rPr>
          <w:sz w:val="21"/>
        </w:rPr>
        <w:t>the </w:t>
      </w:r>
      <w:r>
        <w:rPr>
          <w:spacing w:val="-2"/>
          <w:sz w:val="21"/>
        </w:rPr>
        <w:t>Government.</w:t>
      </w:r>
    </w:p>
    <w:p>
      <w:pPr>
        <w:pStyle w:val="BodyText"/>
        <w:spacing w:before="152"/>
        <w:rPr>
          <w:sz w:val="21"/>
        </w:rPr>
      </w:pPr>
    </w:p>
    <w:p>
      <w:pPr>
        <w:spacing w:line="213" w:lineRule="auto" w:before="0"/>
        <w:ind w:left="144" w:right="117" w:firstLine="0"/>
        <w:jc w:val="both"/>
        <w:rPr>
          <w:sz w:val="21"/>
        </w:rPr>
      </w:pPr>
      <w:r>
        <w:rPr>
          <w:i/>
          <w:sz w:val="21"/>
        </w:rPr>
        <w:t>Eight</w:t>
      </w:r>
      <w:r>
        <w:rPr>
          <w:sz w:val="21"/>
        </w:rPr>
        <w:t>. The</w:t>
      </w:r>
      <w:r>
        <w:rPr>
          <w:spacing w:val="40"/>
          <w:sz w:val="21"/>
        </w:rPr>
        <w:t> </w:t>
      </w:r>
      <w:r>
        <w:rPr>
          <w:sz w:val="21"/>
        </w:rPr>
        <w:t>Government</w:t>
      </w:r>
      <w:r>
        <w:rPr>
          <w:spacing w:val="40"/>
          <w:sz w:val="21"/>
        </w:rPr>
        <w:t> </w:t>
      </w:r>
      <w:r>
        <w:rPr>
          <w:sz w:val="21"/>
        </w:rPr>
        <w:t>may</w:t>
      </w:r>
      <w:r>
        <w:rPr>
          <w:spacing w:val="40"/>
          <w:sz w:val="21"/>
        </w:rPr>
        <w:t> </w:t>
      </w:r>
      <w:r>
        <w:rPr>
          <w:sz w:val="21"/>
        </w:rPr>
        <w:t>authorize</w:t>
      </w:r>
      <w:r>
        <w:rPr>
          <w:spacing w:val="40"/>
          <w:sz w:val="21"/>
        </w:rPr>
        <w:t> </w:t>
      </w:r>
      <w:r>
        <w:rPr>
          <w:sz w:val="21"/>
        </w:rPr>
        <w:t>the</w:t>
      </w:r>
      <w:r>
        <w:rPr>
          <w:spacing w:val="40"/>
          <w:sz w:val="21"/>
        </w:rPr>
        <w:t> </w:t>
      </w:r>
      <w:r>
        <w:rPr>
          <w:sz w:val="21"/>
        </w:rPr>
        <w:t>alteration</w:t>
      </w:r>
      <w:r>
        <w:rPr>
          <w:spacing w:val="40"/>
          <w:sz w:val="21"/>
        </w:rPr>
        <w:t> </w:t>
      </w:r>
      <w:r>
        <w:rPr>
          <w:sz w:val="21"/>
        </w:rPr>
        <w:t>of</w:t>
      </w:r>
      <w:r>
        <w:rPr>
          <w:spacing w:val="40"/>
          <w:sz w:val="21"/>
        </w:rPr>
        <w:t> </w:t>
      </w:r>
      <w:r>
        <w:rPr>
          <w:sz w:val="21"/>
        </w:rPr>
        <w:t>the</w:t>
      </w:r>
      <w:r>
        <w:rPr>
          <w:spacing w:val="40"/>
          <w:sz w:val="21"/>
        </w:rPr>
        <w:t> </w:t>
      </w:r>
      <w:r>
        <w:rPr>
          <w:sz w:val="21"/>
        </w:rPr>
        <w:t>terms</w:t>
      </w:r>
      <w:r>
        <w:rPr>
          <w:spacing w:val="40"/>
          <w:sz w:val="21"/>
        </w:rPr>
        <w:t> </w:t>
      </w:r>
      <w:r>
        <w:rPr>
          <w:sz w:val="21"/>
        </w:rPr>
        <w:t>or</w:t>
      </w:r>
      <w:r>
        <w:rPr>
          <w:spacing w:val="40"/>
          <w:sz w:val="21"/>
        </w:rPr>
        <w:t> </w:t>
      </w:r>
      <w:r>
        <w:rPr>
          <w:sz w:val="21"/>
        </w:rPr>
        <w:t>conditions</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paragraphs</w:t>
      </w:r>
      <w:r>
        <w:rPr>
          <w:spacing w:val="40"/>
          <w:sz w:val="21"/>
        </w:rPr>
        <w:t> </w:t>
      </w:r>
      <w:r>
        <w:rPr>
          <w:i/>
          <w:sz w:val="21"/>
        </w:rPr>
        <w:t>three</w:t>
      </w:r>
      <w:r>
        <w:rPr>
          <w:i/>
          <w:spacing w:val="40"/>
          <w:sz w:val="21"/>
        </w:rPr>
        <w:t> </w:t>
      </w:r>
      <w:r>
        <w:rPr>
          <w:sz w:val="21"/>
        </w:rPr>
        <w:t>to</w:t>
      </w:r>
      <w:r>
        <w:rPr>
          <w:spacing w:val="40"/>
          <w:sz w:val="21"/>
        </w:rPr>
        <w:t> </w:t>
      </w:r>
      <w:r>
        <w:rPr>
          <w:i/>
          <w:sz w:val="21"/>
        </w:rPr>
        <w:t>six</w:t>
      </w:r>
      <w:r>
        <w:rPr>
          <w:sz w:val="21"/>
        </w:rPr>
        <w:t>,</w:t>
      </w:r>
      <w:r>
        <w:rPr>
          <w:spacing w:val="40"/>
          <w:sz w:val="21"/>
        </w:rPr>
        <w:t> </w:t>
      </w:r>
      <w:r>
        <w:rPr>
          <w:sz w:val="21"/>
        </w:rPr>
        <w:t>as</w:t>
      </w:r>
      <w:r>
        <w:rPr>
          <w:spacing w:val="40"/>
          <w:sz w:val="21"/>
        </w:rPr>
        <w:t> </w:t>
      </w:r>
      <w:r>
        <w:rPr>
          <w:sz w:val="21"/>
        </w:rPr>
        <w:t>well</w:t>
      </w:r>
      <w:r>
        <w:rPr>
          <w:spacing w:val="40"/>
          <w:sz w:val="21"/>
        </w:rPr>
        <w:t> </w:t>
      </w:r>
      <w:r>
        <w:rPr>
          <w:sz w:val="21"/>
        </w:rPr>
        <w:t>as authorize</w:t>
      </w:r>
      <w:r>
        <w:rPr>
          <w:spacing w:val="40"/>
          <w:sz w:val="21"/>
        </w:rPr>
        <w:t> </w:t>
      </w:r>
      <w:r>
        <w:rPr>
          <w:sz w:val="21"/>
        </w:rPr>
        <w:t>the</w:t>
      </w:r>
      <w:r>
        <w:rPr>
          <w:spacing w:val="40"/>
          <w:sz w:val="21"/>
        </w:rPr>
        <w:t> </w:t>
      </w:r>
      <w:r>
        <w:rPr>
          <w:sz w:val="21"/>
        </w:rPr>
        <w:t>substitution</w:t>
      </w:r>
      <w:r>
        <w:rPr>
          <w:spacing w:val="40"/>
          <w:sz w:val="21"/>
        </w:rPr>
        <w:t> </w:t>
      </w:r>
      <w:r>
        <w:rPr>
          <w:sz w:val="21"/>
        </w:rPr>
        <w:t>of</w:t>
      </w:r>
      <w:r>
        <w:rPr>
          <w:spacing w:val="40"/>
          <w:sz w:val="21"/>
        </w:rPr>
        <w:t> </w:t>
      </w:r>
      <w:r>
        <w:rPr>
          <w:sz w:val="21"/>
        </w:rPr>
        <w:t>the</w:t>
      </w:r>
      <w:r>
        <w:rPr>
          <w:spacing w:val="40"/>
          <w:sz w:val="21"/>
        </w:rPr>
        <w:t> </w:t>
      </w:r>
      <w:r>
        <w:rPr>
          <w:sz w:val="21"/>
        </w:rPr>
        <w:t>autonomous</w:t>
      </w:r>
      <w:r>
        <w:rPr>
          <w:spacing w:val="40"/>
          <w:sz w:val="21"/>
        </w:rPr>
        <w:t> </w:t>
      </w:r>
      <w:r>
        <w:rPr>
          <w:sz w:val="21"/>
        </w:rPr>
        <w:t>bank</w:t>
      </w:r>
      <w:r>
        <w:rPr>
          <w:spacing w:val="40"/>
          <w:sz w:val="21"/>
        </w:rPr>
        <w:t> </w:t>
      </w:r>
      <w:r>
        <w:rPr>
          <w:sz w:val="21"/>
        </w:rPr>
        <w:t>guarantee</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paragraph</w:t>
      </w:r>
      <w:r>
        <w:rPr>
          <w:spacing w:val="40"/>
          <w:sz w:val="21"/>
        </w:rPr>
        <w:t> </w:t>
      </w:r>
      <w:r>
        <w:rPr>
          <w:i/>
          <w:sz w:val="21"/>
        </w:rPr>
        <w:t>two</w:t>
      </w:r>
      <w:r>
        <w:rPr>
          <w:i/>
          <w:spacing w:val="40"/>
          <w:sz w:val="21"/>
        </w:rPr>
        <w:t> </w:t>
      </w:r>
      <w:r>
        <w:rPr>
          <w:sz w:val="21"/>
        </w:rPr>
        <w:t>by</w:t>
      </w:r>
      <w:r>
        <w:rPr>
          <w:spacing w:val="40"/>
          <w:sz w:val="21"/>
        </w:rPr>
        <w:t> </w:t>
      </w:r>
      <w:r>
        <w:rPr>
          <w:sz w:val="21"/>
        </w:rPr>
        <w:t>another</w:t>
      </w:r>
      <w:r>
        <w:rPr>
          <w:spacing w:val="40"/>
          <w:sz w:val="21"/>
        </w:rPr>
        <w:t> </w:t>
      </w:r>
      <w:r>
        <w:rPr>
          <w:sz w:val="21"/>
        </w:rPr>
        <w:t>form</w:t>
      </w:r>
      <w:r>
        <w:rPr>
          <w:spacing w:val="40"/>
          <w:sz w:val="21"/>
        </w:rPr>
        <w:t> </w:t>
      </w:r>
      <w:r>
        <w:rPr>
          <w:sz w:val="21"/>
        </w:rPr>
        <w:t>legally</w:t>
      </w:r>
      <w:r>
        <w:rPr>
          <w:spacing w:val="40"/>
          <w:sz w:val="21"/>
        </w:rPr>
        <w:t> </w:t>
      </w:r>
      <w:r>
        <w:rPr>
          <w:sz w:val="21"/>
        </w:rPr>
        <w:t>admissible</w:t>
      </w:r>
      <w:r>
        <w:rPr>
          <w:spacing w:val="40"/>
          <w:sz w:val="21"/>
        </w:rPr>
        <w:t> </w:t>
      </w:r>
      <w:r>
        <w:rPr>
          <w:sz w:val="21"/>
        </w:rPr>
        <w:t>to provide</w:t>
      </w:r>
      <w:r>
        <w:rPr>
          <w:spacing w:val="25"/>
          <w:sz w:val="21"/>
        </w:rPr>
        <w:t> </w:t>
      </w:r>
      <w:r>
        <w:rPr>
          <w:sz w:val="21"/>
        </w:rPr>
        <w:t>a</w:t>
      </w:r>
      <w:r>
        <w:rPr>
          <w:spacing w:val="25"/>
          <w:sz w:val="21"/>
        </w:rPr>
        <w:t> </w:t>
      </w:r>
      <w:r>
        <w:rPr>
          <w:sz w:val="21"/>
        </w:rPr>
        <w:t>surety</w:t>
      </w:r>
      <w:r>
        <w:rPr>
          <w:spacing w:val="25"/>
          <w:sz w:val="21"/>
        </w:rPr>
        <w:t> </w:t>
      </w:r>
      <w:r>
        <w:rPr>
          <w:sz w:val="21"/>
        </w:rPr>
        <w:t>as</w:t>
      </w:r>
      <w:r>
        <w:rPr>
          <w:spacing w:val="25"/>
          <w:sz w:val="21"/>
        </w:rPr>
        <w:t> </w:t>
      </w:r>
      <w:r>
        <w:rPr>
          <w:sz w:val="21"/>
        </w:rPr>
        <w:t>a</w:t>
      </w:r>
      <w:r>
        <w:rPr>
          <w:spacing w:val="25"/>
          <w:sz w:val="21"/>
        </w:rPr>
        <w:t> </w:t>
      </w:r>
      <w:r>
        <w:rPr>
          <w:sz w:val="21"/>
        </w:rPr>
        <w:t>guarantee</w:t>
      </w:r>
      <w:r>
        <w:rPr>
          <w:spacing w:val="25"/>
          <w:sz w:val="21"/>
        </w:rPr>
        <w:t> </w:t>
      </w:r>
      <w:r>
        <w:rPr>
          <w:sz w:val="21"/>
        </w:rPr>
        <w:t>of</w:t>
      </w:r>
      <w:r>
        <w:rPr>
          <w:spacing w:val="25"/>
          <w:sz w:val="21"/>
        </w:rPr>
        <w:t> </w:t>
      </w:r>
      <w:r>
        <w:rPr>
          <w:sz w:val="21"/>
        </w:rPr>
        <w:t>compliance</w:t>
      </w:r>
      <w:r>
        <w:rPr>
          <w:spacing w:val="25"/>
          <w:sz w:val="21"/>
        </w:rPr>
        <w:t> </w:t>
      </w:r>
      <w:r>
        <w:rPr>
          <w:sz w:val="21"/>
        </w:rPr>
        <w:t>with</w:t>
      </w:r>
      <w:r>
        <w:rPr>
          <w:spacing w:val="25"/>
          <w:sz w:val="21"/>
        </w:rPr>
        <w:t> </w:t>
      </w:r>
      <w:r>
        <w:rPr>
          <w:sz w:val="21"/>
        </w:rPr>
        <w:t>the</w:t>
      </w:r>
      <w:r>
        <w:rPr>
          <w:spacing w:val="25"/>
          <w:sz w:val="21"/>
        </w:rPr>
        <w:t> </w:t>
      </w:r>
      <w:r>
        <w:rPr>
          <w:sz w:val="21"/>
        </w:rPr>
        <w:t>legal</w:t>
      </w:r>
      <w:r>
        <w:rPr>
          <w:spacing w:val="25"/>
          <w:sz w:val="21"/>
        </w:rPr>
        <w:t> </w:t>
      </w:r>
      <w:r>
        <w:rPr>
          <w:sz w:val="21"/>
        </w:rPr>
        <w:t>or</w:t>
      </w:r>
      <w:r>
        <w:rPr>
          <w:spacing w:val="25"/>
          <w:sz w:val="21"/>
        </w:rPr>
        <w:t> </w:t>
      </w:r>
      <w:r>
        <w:rPr>
          <w:sz w:val="21"/>
        </w:rPr>
        <w:t>contractual</w:t>
      </w:r>
      <w:r>
        <w:rPr>
          <w:spacing w:val="25"/>
          <w:sz w:val="21"/>
        </w:rPr>
        <w:t> </w:t>
      </w:r>
      <w:r>
        <w:rPr>
          <w:sz w:val="21"/>
        </w:rPr>
        <w:t>obligations</w:t>
      </w:r>
      <w:r>
        <w:rPr>
          <w:spacing w:val="25"/>
          <w:sz w:val="21"/>
        </w:rPr>
        <w:t> </w:t>
      </w:r>
      <w:r>
        <w:rPr>
          <w:sz w:val="21"/>
        </w:rPr>
        <w:t>of</w:t>
      </w:r>
      <w:r>
        <w:rPr>
          <w:spacing w:val="25"/>
          <w:sz w:val="21"/>
        </w:rPr>
        <w:t> </w:t>
      </w:r>
      <w:r>
        <w:rPr>
          <w:sz w:val="21"/>
        </w:rPr>
        <w:t>the</w:t>
      </w:r>
      <w:r>
        <w:rPr>
          <w:spacing w:val="25"/>
          <w:sz w:val="21"/>
        </w:rPr>
        <w:t> </w:t>
      </w:r>
      <w:r>
        <w:rPr>
          <w:sz w:val="21"/>
        </w:rPr>
        <w:t>Concessionaire.</w:t>
      </w:r>
    </w:p>
    <w:p>
      <w:pPr>
        <w:pStyle w:val="BodyText"/>
        <w:spacing w:before="166"/>
        <w:rPr>
          <w:sz w:val="21"/>
        </w:rPr>
      </w:pPr>
    </w:p>
    <w:p>
      <w:pPr>
        <w:spacing w:line="213" w:lineRule="auto" w:before="0"/>
        <w:ind w:left="144" w:right="119" w:firstLine="0"/>
        <w:jc w:val="both"/>
        <w:rPr>
          <w:sz w:val="21"/>
        </w:rPr>
      </w:pPr>
      <w:r>
        <w:rPr>
          <w:i/>
          <w:sz w:val="21"/>
        </w:rPr>
        <w:t>Nine</w:t>
      </w:r>
      <w:r>
        <w:rPr>
          <w:sz w:val="21"/>
        </w:rPr>
        <w:t>. The costs arising from the issuance, maintenance and cancellation of the collateral as a guarantee of the </w:t>
      </w:r>
      <w:r>
        <w:rPr>
          <w:sz w:val="21"/>
        </w:rPr>
        <w:t>Concessionaire's compliance</w:t>
      </w:r>
      <w:r>
        <w:rPr>
          <w:spacing w:val="31"/>
          <w:sz w:val="21"/>
        </w:rPr>
        <w:t> </w:t>
      </w:r>
      <w:r>
        <w:rPr>
          <w:sz w:val="21"/>
        </w:rPr>
        <w:t>with</w:t>
      </w:r>
      <w:r>
        <w:rPr>
          <w:spacing w:val="31"/>
          <w:sz w:val="21"/>
        </w:rPr>
        <w:t> </w:t>
      </w:r>
      <w:r>
        <w:rPr>
          <w:sz w:val="21"/>
        </w:rPr>
        <w:t>legal</w:t>
      </w:r>
      <w:r>
        <w:rPr>
          <w:spacing w:val="31"/>
          <w:sz w:val="21"/>
        </w:rPr>
        <w:t> </w:t>
      </w:r>
      <w:r>
        <w:rPr>
          <w:sz w:val="21"/>
        </w:rPr>
        <w:t>or</w:t>
      </w:r>
      <w:r>
        <w:rPr>
          <w:spacing w:val="31"/>
          <w:sz w:val="21"/>
        </w:rPr>
        <w:t> </w:t>
      </w:r>
      <w:r>
        <w:rPr>
          <w:sz w:val="21"/>
        </w:rPr>
        <w:t>contractual</w:t>
      </w:r>
      <w:r>
        <w:rPr>
          <w:spacing w:val="31"/>
          <w:sz w:val="21"/>
        </w:rPr>
        <w:t> </w:t>
      </w:r>
      <w:r>
        <w:rPr>
          <w:sz w:val="21"/>
        </w:rPr>
        <w:t>obligations</w:t>
      </w:r>
      <w:r>
        <w:rPr>
          <w:spacing w:val="31"/>
          <w:sz w:val="21"/>
        </w:rPr>
        <w:t> </w:t>
      </w:r>
      <w:r>
        <w:rPr>
          <w:sz w:val="21"/>
        </w:rPr>
        <w:t>shall</w:t>
      </w:r>
      <w:r>
        <w:rPr>
          <w:spacing w:val="31"/>
          <w:sz w:val="21"/>
        </w:rPr>
        <w:t> </w:t>
      </w:r>
      <w:r>
        <w:rPr>
          <w:sz w:val="21"/>
        </w:rPr>
        <w:t>be</w:t>
      </w:r>
      <w:r>
        <w:rPr>
          <w:spacing w:val="31"/>
          <w:sz w:val="21"/>
        </w:rPr>
        <w:t> </w:t>
      </w:r>
      <w:r>
        <w:rPr>
          <w:sz w:val="21"/>
        </w:rPr>
        <w:t>borne</w:t>
      </w:r>
      <w:r>
        <w:rPr>
          <w:spacing w:val="31"/>
          <w:sz w:val="21"/>
        </w:rPr>
        <w:t> </w:t>
      </w:r>
      <w:r>
        <w:rPr>
          <w:sz w:val="21"/>
        </w:rPr>
        <w:t>entirely</w:t>
      </w:r>
      <w:r>
        <w:rPr>
          <w:spacing w:val="31"/>
          <w:sz w:val="21"/>
        </w:rPr>
        <w:t> </w:t>
      </w:r>
      <w:r>
        <w:rPr>
          <w:sz w:val="21"/>
        </w:rPr>
        <w:t>by</w:t>
      </w:r>
      <w:r>
        <w:rPr>
          <w:spacing w:val="31"/>
          <w:sz w:val="21"/>
        </w:rPr>
        <w:t> </w:t>
      </w:r>
      <w:r>
        <w:rPr>
          <w:sz w:val="21"/>
        </w:rPr>
        <w:t>the</w:t>
      </w:r>
      <w:r>
        <w:rPr>
          <w:spacing w:val="31"/>
          <w:sz w:val="21"/>
        </w:rPr>
        <w:t> </w:t>
      </w:r>
      <w:r>
        <w:rPr>
          <w:sz w:val="21"/>
        </w:rPr>
        <w:t>Concessionaire.</w:t>
      </w:r>
    </w:p>
    <w:p>
      <w:pPr>
        <w:pStyle w:val="BodyText"/>
        <w:spacing w:before="152"/>
        <w:rPr>
          <w:sz w:val="21"/>
        </w:rPr>
      </w:pPr>
    </w:p>
    <w:p>
      <w:pPr>
        <w:spacing w:line="213" w:lineRule="auto" w:before="1"/>
        <w:ind w:left="144" w:right="118" w:firstLine="0"/>
        <w:jc w:val="both"/>
        <w:rPr>
          <w:sz w:val="21"/>
        </w:rPr>
      </w:pPr>
      <w:r>
        <w:rPr>
          <w:i/>
          <w:sz w:val="21"/>
        </w:rPr>
        <w:t>Ten</w:t>
      </w:r>
      <w:r>
        <w:rPr>
          <w:sz w:val="21"/>
        </w:rPr>
        <w:t>. The autonomous bank guarantee referred to in paragraph </w:t>
      </w:r>
      <w:r>
        <w:rPr>
          <w:i/>
          <w:sz w:val="21"/>
        </w:rPr>
        <w:t>two </w:t>
      </w:r>
      <w:r>
        <w:rPr>
          <w:sz w:val="21"/>
        </w:rPr>
        <w:t>includes the guarantees provided for in Section 20(3) and Section 22(1)</w:t>
      </w:r>
      <w:r>
        <w:rPr>
          <w:spacing w:val="25"/>
          <w:sz w:val="21"/>
        </w:rPr>
        <w:t> </w:t>
      </w:r>
      <w:r>
        <w:rPr>
          <w:sz w:val="21"/>
        </w:rPr>
        <w:t>6)</w:t>
      </w:r>
      <w:r>
        <w:rPr>
          <w:spacing w:val="25"/>
          <w:sz w:val="21"/>
        </w:rPr>
        <w:t> </w:t>
      </w:r>
      <w:r>
        <w:rPr>
          <w:sz w:val="21"/>
        </w:rPr>
        <w:t>of</w:t>
      </w:r>
      <w:r>
        <w:rPr>
          <w:spacing w:val="25"/>
          <w:sz w:val="21"/>
        </w:rPr>
        <w:t> </w:t>
      </w:r>
      <w:r>
        <w:rPr>
          <w:sz w:val="21"/>
        </w:rPr>
        <w:t>Law</w:t>
      </w:r>
      <w:r>
        <w:rPr>
          <w:spacing w:val="25"/>
          <w:sz w:val="21"/>
        </w:rPr>
        <w:t> </w:t>
      </w:r>
      <w:r>
        <w:rPr>
          <w:sz w:val="21"/>
        </w:rPr>
        <w:t>No.</w:t>
      </w:r>
      <w:r>
        <w:rPr>
          <w:spacing w:val="25"/>
          <w:sz w:val="21"/>
        </w:rPr>
        <w:t> </w:t>
      </w:r>
      <w:r>
        <w:rPr>
          <w:sz w:val="21"/>
        </w:rPr>
        <w:t>16/2001</w:t>
      </w:r>
      <w:r>
        <w:rPr>
          <w:spacing w:val="25"/>
          <w:sz w:val="21"/>
        </w:rPr>
        <w:t> </w:t>
      </w:r>
      <w:r>
        <w:rPr>
          <w:sz w:val="21"/>
        </w:rPr>
        <w:t>and</w:t>
      </w:r>
      <w:r>
        <w:rPr>
          <w:spacing w:val="25"/>
          <w:sz w:val="21"/>
        </w:rPr>
        <w:t> </w:t>
      </w:r>
      <w:r>
        <w:rPr>
          <w:sz w:val="21"/>
        </w:rPr>
        <w:t>in</w:t>
      </w:r>
      <w:r>
        <w:rPr>
          <w:spacing w:val="25"/>
          <w:sz w:val="21"/>
        </w:rPr>
        <w:t> </w:t>
      </w:r>
      <w:r>
        <w:rPr>
          <w:sz w:val="21"/>
        </w:rPr>
        <w:t>Section</w:t>
      </w:r>
      <w:r>
        <w:rPr>
          <w:spacing w:val="25"/>
          <w:sz w:val="21"/>
        </w:rPr>
        <w:t> </w:t>
      </w:r>
      <w:r>
        <w:rPr>
          <w:sz w:val="21"/>
        </w:rPr>
        <w:t>84(1)</w:t>
      </w:r>
      <w:r>
        <w:rPr>
          <w:spacing w:val="25"/>
          <w:sz w:val="21"/>
        </w:rPr>
        <w:t> </w:t>
      </w:r>
      <w:r>
        <w:rPr>
          <w:sz w:val="21"/>
        </w:rPr>
        <w:t>and</w:t>
      </w:r>
      <w:r>
        <w:rPr>
          <w:spacing w:val="25"/>
          <w:sz w:val="21"/>
        </w:rPr>
        <w:t> </w:t>
      </w:r>
      <w:r>
        <w:rPr>
          <w:sz w:val="21"/>
        </w:rPr>
        <w:t>(2)</w:t>
      </w:r>
      <w:r>
        <w:rPr>
          <w:spacing w:val="25"/>
          <w:sz w:val="21"/>
        </w:rPr>
        <w:t> </w:t>
      </w:r>
      <w:r>
        <w:rPr>
          <w:sz w:val="21"/>
        </w:rPr>
        <w:t>of Administrative</w:t>
      </w:r>
      <w:r>
        <w:rPr>
          <w:spacing w:val="25"/>
          <w:sz w:val="21"/>
        </w:rPr>
        <w:t> </w:t>
      </w:r>
      <w:r>
        <w:rPr>
          <w:sz w:val="21"/>
        </w:rPr>
        <w:t>Regulation</w:t>
      </w:r>
      <w:r>
        <w:rPr>
          <w:spacing w:val="25"/>
          <w:sz w:val="21"/>
        </w:rPr>
        <w:t> </w:t>
      </w:r>
      <w:r>
        <w:rPr>
          <w:sz w:val="21"/>
        </w:rPr>
        <w:t>No.</w:t>
      </w:r>
      <w:r>
        <w:rPr>
          <w:spacing w:val="25"/>
          <w:sz w:val="21"/>
        </w:rPr>
        <w:t> </w:t>
      </w:r>
      <w:r>
        <w:rPr>
          <w:sz w:val="21"/>
        </w:rPr>
        <w:t>26/2001.</w:t>
      </w:r>
    </w:p>
    <w:p>
      <w:pPr>
        <w:pStyle w:val="BodyText"/>
        <w:spacing w:before="130"/>
        <w:rPr>
          <w:sz w:val="21"/>
        </w:rPr>
      </w:pPr>
    </w:p>
    <w:p>
      <w:pPr>
        <w:spacing w:before="0"/>
        <w:ind w:left="24" w:right="0" w:firstLine="0"/>
        <w:jc w:val="center"/>
        <w:rPr>
          <w:b/>
          <w:sz w:val="21"/>
        </w:rPr>
      </w:pPr>
      <w:r>
        <w:rPr>
          <w:b/>
          <w:sz w:val="21"/>
        </w:rPr>
        <w:t>Clause</w:t>
      </w:r>
      <w:r>
        <w:rPr>
          <w:b/>
          <w:spacing w:val="13"/>
          <w:sz w:val="21"/>
        </w:rPr>
        <w:t> </w:t>
      </w:r>
      <w:r>
        <w:rPr>
          <w:b/>
          <w:spacing w:val="-5"/>
          <w:sz w:val="21"/>
        </w:rPr>
        <w:t>65</w:t>
      </w:r>
    </w:p>
    <w:p>
      <w:pPr>
        <w:spacing w:before="96"/>
        <w:ind w:left="24" w:right="0" w:firstLine="0"/>
        <w:jc w:val="center"/>
        <w:rPr>
          <w:b/>
          <w:sz w:val="21"/>
        </w:rPr>
      </w:pPr>
      <w:r>
        <w:rPr>
          <w:b/>
          <w:sz w:val="21"/>
        </w:rPr>
        <w:t>Specific</w:t>
      </w:r>
      <w:r>
        <w:rPr>
          <w:b/>
          <w:spacing w:val="9"/>
          <w:sz w:val="21"/>
        </w:rPr>
        <w:t> </w:t>
      </w:r>
      <w:r>
        <w:rPr>
          <w:b/>
          <w:sz w:val="21"/>
        </w:rPr>
        <w:t>bank</w:t>
      </w:r>
      <w:r>
        <w:rPr>
          <w:b/>
          <w:spacing w:val="10"/>
          <w:sz w:val="21"/>
        </w:rPr>
        <w:t> </w:t>
      </w:r>
      <w:r>
        <w:rPr>
          <w:b/>
          <w:sz w:val="21"/>
        </w:rPr>
        <w:t>guarantee</w:t>
      </w:r>
      <w:r>
        <w:rPr>
          <w:b/>
          <w:spacing w:val="10"/>
          <w:sz w:val="21"/>
        </w:rPr>
        <w:t> </w:t>
      </w:r>
      <w:r>
        <w:rPr>
          <w:b/>
          <w:sz w:val="21"/>
        </w:rPr>
        <w:t>to</w:t>
      </w:r>
      <w:r>
        <w:rPr>
          <w:b/>
          <w:spacing w:val="9"/>
          <w:sz w:val="21"/>
        </w:rPr>
        <w:t> </w:t>
      </w:r>
      <w:r>
        <w:rPr>
          <w:b/>
          <w:sz w:val="21"/>
        </w:rPr>
        <w:t>secure</w:t>
      </w:r>
      <w:r>
        <w:rPr>
          <w:b/>
          <w:spacing w:val="10"/>
          <w:sz w:val="21"/>
        </w:rPr>
        <w:t> </w:t>
      </w:r>
      <w:r>
        <w:rPr>
          <w:b/>
          <w:sz w:val="21"/>
        </w:rPr>
        <w:t>the</w:t>
      </w:r>
      <w:r>
        <w:rPr>
          <w:b/>
          <w:spacing w:val="10"/>
          <w:sz w:val="21"/>
        </w:rPr>
        <w:t> </w:t>
      </w:r>
      <w:r>
        <w:rPr>
          <w:b/>
          <w:sz w:val="21"/>
        </w:rPr>
        <w:t>payment</w:t>
      </w:r>
      <w:r>
        <w:rPr>
          <w:b/>
          <w:spacing w:val="9"/>
          <w:sz w:val="21"/>
        </w:rPr>
        <w:t> </w:t>
      </w:r>
      <w:r>
        <w:rPr>
          <w:b/>
          <w:sz w:val="21"/>
        </w:rPr>
        <w:t>of</w:t>
      </w:r>
      <w:r>
        <w:rPr>
          <w:b/>
          <w:spacing w:val="10"/>
          <w:sz w:val="21"/>
        </w:rPr>
        <w:t> </w:t>
      </w:r>
      <w:r>
        <w:rPr>
          <w:b/>
          <w:sz w:val="21"/>
        </w:rPr>
        <w:t>the</w:t>
      </w:r>
      <w:r>
        <w:rPr>
          <w:b/>
          <w:spacing w:val="10"/>
          <w:sz w:val="21"/>
        </w:rPr>
        <w:t> </w:t>
      </w:r>
      <w:r>
        <w:rPr>
          <w:b/>
          <w:sz w:val="21"/>
        </w:rPr>
        <w:t>special</w:t>
      </w:r>
      <w:r>
        <w:rPr>
          <w:b/>
          <w:spacing w:val="10"/>
          <w:sz w:val="21"/>
        </w:rPr>
        <w:t> </w:t>
      </w:r>
      <w:r>
        <w:rPr>
          <w:b/>
          <w:sz w:val="21"/>
        </w:rPr>
        <w:t>tax</w:t>
      </w:r>
      <w:r>
        <w:rPr>
          <w:b/>
          <w:spacing w:val="9"/>
          <w:sz w:val="21"/>
        </w:rPr>
        <w:t> </w:t>
      </w:r>
      <w:r>
        <w:rPr>
          <w:b/>
          <w:sz w:val="21"/>
        </w:rPr>
        <w:t>on</w:t>
      </w:r>
      <w:r>
        <w:rPr>
          <w:b/>
          <w:spacing w:val="10"/>
          <w:sz w:val="21"/>
        </w:rPr>
        <w:t> </w:t>
      </w:r>
      <w:r>
        <w:rPr>
          <w:b/>
          <w:spacing w:val="-2"/>
          <w:sz w:val="21"/>
        </w:rPr>
        <w:t>gambling</w:t>
      </w:r>
    </w:p>
    <w:p>
      <w:pPr>
        <w:pStyle w:val="BodyText"/>
        <w:spacing w:before="65"/>
        <w:rPr>
          <w:b/>
          <w:sz w:val="21"/>
        </w:rPr>
      </w:pPr>
    </w:p>
    <w:p>
      <w:pPr>
        <w:spacing w:line="213" w:lineRule="auto" w:before="0"/>
        <w:ind w:left="144" w:right="119" w:firstLine="0"/>
        <w:jc w:val="both"/>
        <w:rPr>
          <w:sz w:val="21"/>
        </w:rPr>
      </w:pPr>
      <w:r>
        <w:rPr>
          <w:i/>
          <w:sz w:val="21"/>
        </w:rPr>
        <w:t>One.</w:t>
      </w:r>
      <w:r>
        <w:rPr>
          <w:i/>
          <w:spacing w:val="40"/>
          <w:sz w:val="21"/>
        </w:rPr>
        <w:t> </w:t>
      </w:r>
      <w:r>
        <w:rPr>
          <w:sz w:val="21"/>
        </w:rPr>
        <w:t>Pursuant</w:t>
      </w:r>
      <w:r>
        <w:rPr>
          <w:spacing w:val="40"/>
          <w:sz w:val="21"/>
        </w:rPr>
        <w:t> </w:t>
      </w:r>
      <w:r>
        <w:rPr>
          <w:sz w:val="21"/>
        </w:rPr>
        <w:t>to</w:t>
      </w:r>
      <w:r>
        <w:rPr>
          <w:spacing w:val="40"/>
          <w:sz w:val="21"/>
        </w:rPr>
        <w:t> </w:t>
      </w:r>
      <w:r>
        <w:rPr>
          <w:sz w:val="21"/>
        </w:rPr>
        <w:t>Section</w:t>
      </w:r>
      <w:r>
        <w:rPr>
          <w:spacing w:val="40"/>
          <w:sz w:val="21"/>
        </w:rPr>
        <w:t> </w:t>
      </w:r>
      <w:r>
        <w:rPr>
          <w:sz w:val="21"/>
        </w:rPr>
        <w:t>27</w:t>
      </w:r>
      <w:r>
        <w:rPr>
          <w:spacing w:val="40"/>
          <w:sz w:val="21"/>
        </w:rPr>
        <w:t> </w:t>
      </w:r>
      <w:r>
        <w:rPr>
          <w:sz w:val="21"/>
        </w:rPr>
        <w:t>(5)</w:t>
      </w:r>
      <w:r>
        <w:rPr>
          <w:spacing w:val="40"/>
          <w:sz w:val="21"/>
        </w:rPr>
        <w:t> </w:t>
      </w:r>
      <w:r>
        <w:rPr>
          <w:sz w:val="21"/>
        </w:rPr>
        <w:t>of</w:t>
      </w:r>
      <w:r>
        <w:rPr>
          <w:spacing w:val="40"/>
          <w:sz w:val="21"/>
        </w:rPr>
        <w:t> </w:t>
      </w:r>
      <w:r>
        <w:rPr>
          <w:sz w:val="21"/>
        </w:rPr>
        <w:t>Law</w:t>
      </w:r>
      <w:r>
        <w:rPr>
          <w:spacing w:val="40"/>
          <w:sz w:val="21"/>
        </w:rPr>
        <w:t> </w:t>
      </w:r>
      <w:r>
        <w:rPr>
          <w:sz w:val="21"/>
        </w:rPr>
        <w:t>No.</w:t>
      </w:r>
      <w:r>
        <w:rPr>
          <w:spacing w:val="40"/>
          <w:sz w:val="21"/>
        </w:rPr>
        <w:t> </w:t>
      </w:r>
      <w:r>
        <w:rPr>
          <w:sz w:val="21"/>
        </w:rPr>
        <w:t>16/2001,</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present,</w:t>
      </w:r>
      <w:r>
        <w:rPr>
          <w:spacing w:val="40"/>
          <w:sz w:val="21"/>
        </w:rPr>
        <w:t> </w:t>
      </w:r>
      <w:r>
        <w:rPr>
          <w:sz w:val="21"/>
        </w:rPr>
        <w:t>when</w:t>
      </w:r>
      <w:r>
        <w:rPr>
          <w:spacing w:val="40"/>
          <w:sz w:val="21"/>
        </w:rPr>
        <w:t> </w:t>
      </w:r>
      <w:r>
        <w:rPr>
          <w:sz w:val="21"/>
        </w:rPr>
        <w:t>so</w:t>
      </w:r>
      <w:r>
        <w:rPr>
          <w:spacing w:val="40"/>
          <w:sz w:val="21"/>
        </w:rPr>
        <w:t> </w:t>
      </w:r>
      <w:r>
        <w:rPr>
          <w:sz w:val="21"/>
        </w:rPr>
        <w:t>required</w:t>
      </w:r>
      <w:r>
        <w:rPr>
          <w:spacing w:val="40"/>
          <w:sz w:val="21"/>
        </w:rPr>
        <w:t> </w:t>
      </w:r>
      <w:r>
        <w:rPr>
          <w:sz w:val="21"/>
        </w:rPr>
        <w:t>by</w:t>
      </w:r>
      <w:r>
        <w:rPr>
          <w:spacing w:val="40"/>
          <w:sz w:val="21"/>
        </w:rPr>
        <w:t> </w:t>
      </w:r>
      <w:r>
        <w:rPr>
          <w:sz w:val="21"/>
        </w:rPr>
        <w:t>the Government,</w:t>
      </w:r>
      <w:r>
        <w:rPr>
          <w:spacing w:val="40"/>
          <w:sz w:val="21"/>
        </w:rPr>
        <w:t> </w:t>
      </w:r>
      <w:r>
        <w:rPr>
          <w:sz w:val="21"/>
        </w:rPr>
        <w:t>an</w:t>
      </w:r>
      <w:r>
        <w:rPr>
          <w:spacing w:val="40"/>
          <w:sz w:val="21"/>
        </w:rPr>
        <w:t> </w:t>
      </w:r>
      <w:r>
        <w:rPr>
          <w:sz w:val="21"/>
        </w:rPr>
        <w:t>autonomous</w:t>
      </w:r>
      <w:r>
        <w:rPr>
          <w:spacing w:val="40"/>
          <w:sz w:val="21"/>
        </w:rPr>
        <w:t> </w:t>
      </w:r>
      <w:r>
        <w:rPr>
          <w:sz w:val="21"/>
        </w:rPr>
        <w:t>bank</w:t>
      </w:r>
      <w:r>
        <w:rPr>
          <w:spacing w:val="40"/>
          <w:sz w:val="21"/>
        </w:rPr>
        <w:t> </w:t>
      </w:r>
      <w:r>
        <w:rPr>
          <w:sz w:val="21"/>
        </w:rPr>
        <w:t>guarantee,</w:t>
      </w:r>
      <w:r>
        <w:rPr>
          <w:spacing w:val="40"/>
          <w:sz w:val="21"/>
        </w:rPr>
        <w:t> </w:t>
      </w:r>
      <w:r>
        <w:rPr>
          <w:sz w:val="21"/>
        </w:rPr>
        <w:t>on</w:t>
      </w:r>
      <w:r>
        <w:rPr>
          <w:spacing w:val="40"/>
          <w:sz w:val="21"/>
        </w:rPr>
        <w:t> </w:t>
      </w:r>
      <w:r>
        <w:rPr>
          <w:sz w:val="21"/>
        </w:rPr>
        <w:t>first</w:t>
      </w:r>
      <w:r>
        <w:rPr>
          <w:spacing w:val="40"/>
          <w:sz w:val="21"/>
        </w:rPr>
        <w:t> </w:t>
      </w:r>
      <w:r>
        <w:rPr>
          <w:sz w:val="21"/>
        </w:rPr>
        <w:t>demand,</w:t>
      </w:r>
      <w:r>
        <w:rPr>
          <w:spacing w:val="40"/>
          <w:sz w:val="21"/>
        </w:rPr>
        <w:t> </w:t>
      </w:r>
      <w:r>
        <w:rPr>
          <w:sz w:val="21"/>
        </w:rPr>
        <w:t>issued</w:t>
      </w:r>
      <w:r>
        <w:rPr>
          <w:spacing w:val="40"/>
          <w:sz w:val="21"/>
        </w:rPr>
        <w:t> </w:t>
      </w:r>
      <w:r>
        <w:rPr>
          <w:sz w:val="21"/>
        </w:rPr>
        <w:t>in</w:t>
      </w:r>
      <w:r>
        <w:rPr>
          <w:spacing w:val="40"/>
          <w:sz w:val="21"/>
        </w:rPr>
        <w:t> </w:t>
      </w:r>
      <w:r>
        <w:rPr>
          <w:sz w:val="21"/>
        </w:rPr>
        <w:t>favor</w:t>
      </w:r>
      <w:r>
        <w:rPr>
          <w:spacing w:val="40"/>
          <w:sz w:val="21"/>
        </w:rPr>
        <w:t> </w:t>
      </w:r>
      <w:r>
        <w:rPr>
          <w:sz w:val="21"/>
        </w:rPr>
        <w:t>of</w:t>
      </w:r>
      <w:r>
        <w:rPr>
          <w:spacing w:val="40"/>
          <w:sz w:val="21"/>
        </w:rPr>
        <w:t> </w:t>
      </w:r>
      <w:r>
        <w:rPr>
          <w:sz w:val="21"/>
        </w:rPr>
        <w:t>the</w:t>
      </w:r>
      <w:r>
        <w:rPr>
          <w:spacing w:val="40"/>
          <w:sz w:val="21"/>
        </w:rPr>
        <w:t> </w:t>
      </w:r>
      <w:r>
        <w:rPr>
          <w:sz w:val="21"/>
        </w:rPr>
        <w:t>Government</w:t>
      </w:r>
      <w:r>
        <w:rPr>
          <w:spacing w:val="40"/>
          <w:sz w:val="21"/>
        </w:rPr>
        <w:t> </w:t>
      </w:r>
      <w:r>
        <w:rPr>
          <w:sz w:val="21"/>
        </w:rPr>
        <w:t>and</w:t>
      </w:r>
      <w:r>
        <w:rPr>
          <w:spacing w:val="40"/>
          <w:sz w:val="21"/>
        </w:rPr>
        <w:t> </w:t>
      </w:r>
      <w:r>
        <w:rPr>
          <w:sz w:val="21"/>
        </w:rPr>
        <w:t>intended</w:t>
      </w:r>
      <w:r>
        <w:rPr>
          <w:spacing w:val="40"/>
          <w:sz w:val="21"/>
        </w:rPr>
        <w:t> </w:t>
      </w:r>
      <w:r>
        <w:rPr>
          <w:sz w:val="21"/>
        </w:rPr>
        <w:t>to</w:t>
      </w:r>
      <w:r>
        <w:rPr>
          <w:spacing w:val="40"/>
          <w:sz w:val="21"/>
        </w:rPr>
        <w:t> </w:t>
      </w:r>
      <w:r>
        <w:rPr>
          <w:sz w:val="21"/>
        </w:rPr>
        <w:t>guarantee payment, if there is justifiable fear that the Concessionaire will not pay the probable monthly amounts of the special tax on gaming within</w:t>
      </w:r>
      <w:r>
        <w:rPr>
          <w:spacing w:val="22"/>
          <w:sz w:val="21"/>
        </w:rPr>
        <w:t> </w:t>
      </w:r>
      <w:r>
        <w:rPr>
          <w:sz w:val="21"/>
        </w:rPr>
        <w:t>the</w:t>
      </w:r>
      <w:r>
        <w:rPr>
          <w:spacing w:val="22"/>
          <w:sz w:val="21"/>
        </w:rPr>
        <w:t> </w:t>
      </w:r>
      <w:r>
        <w:rPr>
          <w:sz w:val="21"/>
        </w:rPr>
        <w:t>period</w:t>
      </w:r>
      <w:r>
        <w:rPr>
          <w:spacing w:val="22"/>
          <w:sz w:val="21"/>
        </w:rPr>
        <w:t> </w:t>
      </w:r>
      <w:r>
        <w:rPr>
          <w:sz w:val="21"/>
        </w:rPr>
        <w:t>and</w:t>
      </w:r>
      <w:r>
        <w:rPr>
          <w:spacing w:val="22"/>
          <w:sz w:val="21"/>
        </w:rPr>
        <w:t> </w:t>
      </w:r>
      <w:r>
        <w:rPr>
          <w:sz w:val="21"/>
        </w:rPr>
        <w:t>under</w:t>
      </w:r>
      <w:r>
        <w:rPr>
          <w:spacing w:val="22"/>
          <w:sz w:val="21"/>
        </w:rPr>
        <w:t> </w:t>
      </w:r>
      <w:r>
        <w:rPr>
          <w:sz w:val="21"/>
        </w:rPr>
        <w:t>the</w:t>
      </w:r>
      <w:r>
        <w:rPr>
          <w:spacing w:val="22"/>
          <w:sz w:val="21"/>
        </w:rPr>
        <w:t> </w:t>
      </w:r>
      <w:r>
        <w:rPr>
          <w:sz w:val="21"/>
        </w:rPr>
        <w:t>terms,</w:t>
      </w:r>
      <w:r>
        <w:rPr>
          <w:spacing w:val="22"/>
          <w:sz w:val="21"/>
        </w:rPr>
        <w:t> </w:t>
      </w:r>
      <w:r>
        <w:rPr>
          <w:sz w:val="21"/>
        </w:rPr>
        <w:t>conditions,</w:t>
      </w:r>
      <w:r>
        <w:rPr>
          <w:spacing w:val="22"/>
          <w:sz w:val="21"/>
        </w:rPr>
        <w:t> </w:t>
      </w:r>
      <w:r>
        <w:rPr>
          <w:sz w:val="21"/>
        </w:rPr>
        <w:t>and</w:t>
      </w:r>
      <w:r>
        <w:rPr>
          <w:spacing w:val="22"/>
          <w:sz w:val="21"/>
        </w:rPr>
        <w:t> </w:t>
      </w:r>
      <w:r>
        <w:rPr>
          <w:sz w:val="21"/>
        </w:rPr>
        <w:t>in</w:t>
      </w:r>
      <w:r>
        <w:rPr>
          <w:spacing w:val="22"/>
          <w:sz w:val="21"/>
        </w:rPr>
        <w:t> </w:t>
      </w:r>
      <w:r>
        <w:rPr>
          <w:sz w:val="21"/>
        </w:rPr>
        <w:t>the</w:t>
      </w:r>
      <w:r>
        <w:rPr>
          <w:spacing w:val="22"/>
          <w:sz w:val="21"/>
        </w:rPr>
        <w:t> </w:t>
      </w:r>
      <w:r>
        <w:rPr>
          <w:sz w:val="21"/>
        </w:rPr>
        <w:t>amount</w:t>
      </w:r>
      <w:r>
        <w:rPr>
          <w:spacing w:val="22"/>
          <w:sz w:val="21"/>
        </w:rPr>
        <w:t> </w:t>
      </w:r>
      <w:r>
        <w:rPr>
          <w:sz w:val="21"/>
        </w:rPr>
        <w:t>to</w:t>
      </w:r>
      <w:r>
        <w:rPr>
          <w:spacing w:val="22"/>
          <w:sz w:val="21"/>
        </w:rPr>
        <w:t> </w:t>
      </w:r>
      <w:r>
        <w:rPr>
          <w:sz w:val="21"/>
        </w:rPr>
        <w:t>be</w:t>
      </w:r>
      <w:r>
        <w:rPr>
          <w:spacing w:val="22"/>
          <w:sz w:val="21"/>
        </w:rPr>
        <w:t> </w:t>
      </w:r>
      <w:r>
        <w:rPr>
          <w:sz w:val="21"/>
        </w:rPr>
        <w:t>set</w:t>
      </w:r>
      <w:r>
        <w:rPr>
          <w:spacing w:val="22"/>
          <w:sz w:val="21"/>
        </w:rPr>
        <w:t> </w:t>
      </w:r>
      <w:r>
        <w:rPr>
          <w:sz w:val="21"/>
        </w:rPr>
        <w:t>by</w:t>
      </w:r>
      <w:r>
        <w:rPr>
          <w:spacing w:val="22"/>
          <w:sz w:val="21"/>
        </w:rPr>
        <w:t> </w:t>
      </w:r>
      <w:r>
        <w:rPr>
          <w:sz w:val="21"/>
        </w:rPr>
        <w:t>the</w:t>
      </w:r>
      <w:r>
        <w:rPr>
          <w:spacing w:val="22"/>
          <w:sz w:val="21"/>
        </w:rPr>
        <w:t> </w:t>
      </w:r>
      <w:r>
        <w:rPr>
          <w:sz w:val="21"/>
        </w:rPr>
        <w:t>Government.</w:t>
      </w:r>
    </w:p>
    <w:p>
      <w:pPr>
        <w:pStyle w:val="BodyText"/>
        <w:spacing w:before="155"/>
        <w:rPr>
          <w:sz w:val="21"/>
        </w:rPr>
      </w:pPr>
    </w:p>
    <w:p>
      <w:pPr>
        <w:spacing w:line="213" w:lineRule="auto" w:before="0"/>
        <w:ind w:left="144" w:right="118" w:firstLine="0"/>
        <w:jc w:val="both"/>
        <w:rPr>
          <w:sz w:val="21"/>
        </w:rPr>
      </w:pPr>
      <w:r>
        <w:rPr>
          <w:i/>
          <w:sz w:val="21"/>
        </w:rPr>
        <w:t>Two</w:t>
      </w:r>
      <w:r>
        <w:rPr>
          <w:sz w:val="21"/>
        </w:rPr>
        <w:t>.</w:t>
      </w:r>
      <w:r>
        <w:rPr>
          <w:spacing w:val="20"/>
          <w:sz w:val="21"/>
        </w:rPr>
        <w:t> </w:t>
      </w:r>
      <w:r>
        <w:rPr>
          <w:sz w:val="21"/>
        </w:rPr>
        <w:t>The</w:t>
      </w:r>
      <w:r>
        <w:rPr>
          <w:spacing w:val="25"/>
          <w:sz w:val="21"/>
        </w:rPr>
        <w:t> </w:t>
      </w:r>
      <w:r>
        <w:rPr>
          <w:sz w:val="21"/>
        </w:rPr>
        <w:t>terms</w:t>
      </w:r>
      <w:r>
        <w:rPr>
          <w:spacing w:val="25"/>
          <w:sz w:val="21"/>
        </w:rPr>
        <w:t> </w:t>
      </w:r>
      <w:r>
        <w:rPr>
          <w:sz w:val="21"/>
        </w:rPr>
        <w:t>and</w:t>
      </w:r>
      <w:r>
        <w:rPr>
          <w:spacing w:val="25"/>
          <w:sz w:val="21"/>
        </w:rPr>
        <w:t> </w:t>
      </w:r>
      <w:r>
        <w:rPr>
          <w:sz w:val="21"/>
        </w:rPr>
        <w:t>conditions</w:t>
      </w:r>
      <w:r>
        <w:rPr>
          <w:spacing w:val="25"/>
          <w:sz w:val="21"/>
        </w:rPr>
        <w:t> </w:t>
      </w:r>
      <w:r>
        <w:rPr>
          <w:sz w:val="21"/>
        </w:rPr>
        <w:t>of</w:t>
      </w:r>
      <w:r>
        <w:rPr>
          <w:spacing w:val="25"/>
          <w:sz w:val="21"/>
        </w:rPr>
        <w:t> </w:t>
      </w:r>
      <w:r>
        <w:rPr>
          <w:sz w:val="21"/>
        </w:rPr>
        <w:t>the</w:t>
      </w:r>
      <w:r>
        <w:rPr>
          <w:spacing w:val="25"/>
          <w:sz w:val="21"/>
        </w:rPr>
        <w:t> </w:t>
      </w:r>
      <w:r>
        <w:rPr>
          <w:sz w:val="21"/>
        </w:rPr>
        <w:t>autonomous</w:t>
      </w:r>
      <w:r>
        <w:rPr>
          <w:spacing w:val="25"/>
          <w:sz w:val="21"/>
        </w:rPr>
        <w:t> </w:t>
      </w:r>
      <w:r>
        <w:rPr>
          <w:sz w:val="21"/>
        </w:rPr>
        <w:t>bank</w:t>
      </w:r>
      <w:r>
        <w:rPr>
          <w:spacing w:val="25"/>
          <w:sz w:val="21"/>
        </w:rPr>
        <w:t> </w:t>
      </w:r>
      <w:r>
        <w:rPr>
          <w:sz w:val="21"/>
        </w:rPr>
        <w:t>guarantee</w:t>
      </w:r>
      <w:r>
        <w:rPr>
          <w:spacing w:val="25"/>
          <w:sz w:val="21"/>
        </w:rPr>
        <w:t> </w:t>
      </w:r>
      <w:r>
        <w:rPr>
          <w:sz w:val="21"/>
        </w:rPr>
        <w:t>referred</w:t>
      </w:r>
      <w:r>
        <w:rPr>
          <w:spacing w:val="25"/>
          <w:sz w:val="21"/>
        </w:rPr>
        <w:t> </w:t>
      </w:r>
      <w:r>
        <w:rPr>
          <w:sz w:val="21"/>
        </w:rPr>
        <w:t>to</w:t>
      </w:r>
      <w:r>
        <w:rPr>
          <w:spacing w:val="25"/>
          <w:sz w:val="21"/>
        </w:rPr>
        <w:t> </w:t>
      </w:r>
      <w:r>
        <w:rPr>
          <w:sz w:val="21"/>
        </w:rPr>
        <w:t>in</w:t>
      </w:r>
      <w:r>
        <w:rPr>
          <w:spacing w:val="25"/>
          <w:sz w:val="21"/>
        </w:rPr>
        <w:t> </w:t>
      </w:r>
      <w:r>
        <w:rPr>
          <w:sz w:val="21"/>
        </w:rPr>
        <w:t>the</w:t>
      </w:r>
      <w:r>
        <w:rPr>
          <w:spacing w:val="25"/>
          <w:sz w:val="21"/>
        </w:rPr>
        <w:t> </w:t>
      </w:r>
      <w:r>
        <w:rPr>
          <w:sz w:val="21"/>
        </w:rPr>
        <w:t>previous</w:t>
      </w:r>
      <w:r>
        <w:rPr>
          <w:spacing w:val="25"/>
          <w:sz w:val="21"/>
        </w:rPr>
        <w:t> </w:t>
      </w:r>
      <w:r>
        <w:rPr>
          <w:sz w:val="21"/>
        </w:rPr>
        <w:t>paragraph</w:t>
      </w:r>
      <w:r>
        <w:rPr>
          <w:spacing w:val="25"/>
          <w:sz w:val="21"/>
        </w:rPr>
        <w:t> </w:t>
      </w:r>
      <w:r>
        <w:rPr>
          <w:sz w:val="21"/>
        </w:rPr>
        <w:t>may</w:t>
      </w:r>
      <w:r>
        <w:rPr>
          <w:spacing w:val="25"/>
          <w:sz w:val="21"/>
        </w:rPr>
        <w:t> </w:t>
      </w:r>
      <w:r>
        <w:rPr>
          <w:sz w:val="21"/>
        </w:rPr>
        <w:t>not</w:t>
      </w:r>
      <w:r>
        <w:rPr>
          <w:spacing w:val="25"/>
          <w:sz w:val="21"/>
        </w:rPr>
        <w:t> </w:t>
      </w:r>
      <w:r>
        <w:rPr>
          <w:sz w:val="21"/>
        </w:rPr>
        <w:t>be</w:t>
      </w:r>
      <w:r>
        <w:rPr>
          <w:spacing w:val="25"/>
          <w:sz w:val="21"/>
        </w:rPr>
        <w:t> </w:t>
      </w:r>
      <w:r>
        <w:rPr>
          <w:sz w:val="21"/>
        </w:rPr>
        <w:t>altered</w:t>
      </w:r>
      <w:r>
        <w:rPr>
          <w:spacing w:val="25"/>
          <w:sz w:val="21"/>
        </w:rPr>
        <w:t> </w:t>
      </w:r>
      <w:r>
        <w:rPr>
          <w:sz w:val="21"/>
        </w:rPr>
        <w:t>without the</w:t>
      </w:r>
      <w:r>
        <w:rPr>
          <w:spacing w:val="27"/>
          <w:sz w:val="21"/>
        </w:rPr>
        <w:t> </w:t>
      </w:r>
      <w:r>
        <w:rPr>
          <w:sz w:val="21"/>
        </w:rPr>
        <w:t>authorization</w:t>
      </w:r>
      <w:r>
        <w:rPr>
          <w:spacing w:val="27"/>
          <w:sz w:val="21"/>
        </w:rPr>
        <w:t> </w:t>
      </w:r>
      <w:r>
        <w:rPr>
          <w:sz w:val="21"/>
        </w:rPr>
        <w:t>of</w:t>
      </w:r>
      <w:r>
        <w:rPr>
          <w:spacing w:val="27"/>
          <w:sz w:val="21"/>
        </w:rPr>
        <w:t> </w:t>
      </w:r>
      <w:r>
        <w:rPr>
          <w:sz w:val="21"/>
        </w:rPr>
        <w:t>the</w:t>
      </w:r>
      <w:r>
        <w:rPr>
          <w:spacing w:val="27"/>
          <w:sz w:val="21"/>
        </w:rPr>
        <w:t> </w:t>
      </w:r>
      <w:r>
        <w:rPr>
          <w:sz w:val="21"/>
        </w:rPr>
        <w:t>Government</w:t>
      </w:r>
      <w:r>
        <w:rPr>
          <w:spacing w:val="27"/>
          <w:sz w:val="21"/>
        </w:rPr>
        <w:t> </w:t>
      </w:r>
      <w:r>
        <w:rPr>
          <w:sz w:val="21"/>
        </w:rPr>
        <w:t>and</w:t>
      </w:r>
      <w:r>
        <w:rPr>
          <w:spacing w:val="27"/>
          <w:sz w:val="21"/>
        </w:rPr>
        <w:t> </w:t>
      </w:r>
      <w:r>
        <w:rPr>
          <w:sz w:val="21"/>
        </w:rPr>
        <w:t>the</w:t>
      </w:r>
      <w:r>
        <w:rPr>
          <w:spacing w:val="27"/>
          <w:sz w:val="21"/>
        </w:rPr>
        <w:t> </w:t>
      </w:r>
      <w:r>
        <w:rPr>
          <w:sz w:val="21"/>
        </w:rPr>
        <w:t>Concessionaire</w:t>
      </w:r>
      <w:r>
        <w:rPr>
          <w:spacing w:val="27"/>
          <w:sz w:val="21"/>
        </w:rPr>
        <w:t> </w:t>
      </w:r>
      <w:r>
        <w:rPr>
          <w:sz w:val="21"/>
        </w:rPr>
        <w:t>undertakes</w:t>
      </w:r>
      <w:r>
        <w:rPr>
          <w:spacing w:val="27"/>
          <w:sz w:val="21"/>
        </w:rPr>
        <w:t> </w:t>
      </w:r>
      <w:r>
        <w:rPr>
          <w:sz w:val="21"/>
        </w:rPr>
        <w:t>to</w:t>
      </w:r>
      <w:r>
        <w:rPr>
          <w:spacing w:val="27"/>
          <w:sz w:val="21"/>
        </w:rPr>
        <w:t> </w:t>
      </w:r>
      <w:r>
        <w:rPr>
          <w:sz w:val="21"/>
        </w:rPr>
        <w:t>comply</w:t>
      </w:r>
      <w:r>
        <w:rPr>
          <w:spacing w:val="27"/>
          <w:sz w:val="21"/>
        </w:rPr>
        <w:t> </w:t>
      </w:r>
      <w:r>
        <w:rPr>
          <w:sz w:val="21"/>
        </w:rPr>
        <w:t>with</w:t>
      </w:r>
      <w:r>
        <w:rPr>
          <w:spacing w:val="27"/>
          <w:sz w:val="21"/>
        </w:rPr>
        <w:t> </w:t>
      </w:r>
      <w:r>
        <w:rPr>
          <w:sz w:val="21"/>
        </w:rPr>
        <w:t>all</w:t>
      </w:r>
      <w:r>
        <w:rPr>
          <w:spacing w:val="27"/>
          <w:sz w:val="21"/>
        </w:rPr>
        <w:t> </w:t>
      </w:r>
      <w:r>
        <w:rPr>
          <w:sz w:val="21"/>
        </w:rPr>
        <w:t>the</w:t>
      </w:r>
      <w:r>
        <w:rPr>
          <w:spacing w:val="27"/>
          <w:sz w:val="21"/>
        </w:rPr>
        <w:t> </w:t>
      </w:r>
      <w:r>
        <w:rPr>
          <w:sz w:val="21"/>
        </w:rPr>
        <w:t>obligations</w:t>
      </w:r>
      <w:r>
        <w:rPr>
          <w:spacing w:val="27"/>
          <w:sz w:val="21"/>
        </w:rPr>
        <w:t> </w:t>
      </w:r>
      <w:r>
        <w:rPr>
          <w:sz w:val="21"/>
        </w:rPr>
        <w:t>that</w:t>
      </w:r>
      <w:r>
        <w:rPr>
          <w:spacing w:val="27"/>
          <w:sz w:val="21"/>
        </w:rPr>
        <w:t> </w:t>
      </w:r>
      <w:r>
        <w:rPr>
          <w:sz w:val="21"/>
        </w:rPr>
        <w:t>result</w:t>
      </w:r>
      <w:r>
        <w:rPr>
          <w:spacing w:val="27"/>
          <w:sz w:val="21"/>
        </w:rPr>
        <w:t> </w:t>
      </w:r>
      <w:r>
        <w:rPr>
          <w:sz w:val="21"/>
        </w:rPr>
        <w:t>or</w:t>
      </w:r>
      <w:r>
        <w:rPr>
          <w:spacing w:val="27"/>
          <w:sz w:val="21"/>
        </w:rPr>
        <w:t> </w:t>
      </w:r>
      <w:r>
        <w:rPr>
          <w:sz w:val="21"/>
        </w:rPr>
        <w:t>may</w:t>
      </w:r>
      <w:r>
        <w:rPr>
          <w:spacing w:val="27"/>
          <w:sz w:val="21"/>
        </w:rPr>
        <w:t> </w:t>
      </w:r>
      <w:r>
        <w:rPr>
          <w:sz w:val="21"/>
        </w:rPr>
        <w:t>result from</w:t>
      </w:r>
      <w:r>
        <w:rPr>
          <w:spacing w:val="25"/>
          <w:sz w:val="21"/>
        </w:rPr>
        <w:t> </w:t>
      </w:r>
      <w:r>
        <w:rPr>
          <w:sz w:val="21"/>
        </w:rPr>
        <w:t>maintaining</w:t>
      </w:r>
      <w:r>
        <w:rPr>
          <w:spacing w:val="25"/>
          <w:sz w:val="21"/>
        </w:rPr>
        <w:t> </w:t>
      </w:r>
      <w:r>
        <w:rPr>
          <w:sz w:val="21"/>
        </w:rPr>
        <w:t>in</w:t>
      </w:r>
      <w:r>
        <w:rPr>
          <w:spacing w:val="25"/>
          <w:sz w:val="21"/>
        </w:rPr>
        <w:t> </w:t>
      </w:r>
      <w:r>
        <w:rPr>
          <w:sz w:val="21"/>
        </w:rPr>
        <w:t>force</w:t>
      </w:r>
      <w:r>
        <w:rPr>
          <w:spacing w:val="25"/>
          <w:sz w:val="21"/>
        </w:rPr>
        <w:t> </w:t>
      </w:r>
      <w:r>
        <w:rPr>
          <w:sz w:val="21"/>
        </w:rPr>
        <w:t>the</w:t>
      </w:r>
      <w:r>
        <w:rPr>
          <w:spacing w:val="25"/>
          <w:sz w:val="21"/>
        </w:rPr>
        <w:t> </w:t>
      </w:r>
      <w:r>
        <w:rPr>
          <w:sz w:val="21"/>
        </w:rPr>
        <w:t>same</w:t>
      </w:r>
      <w:r>
        <w:rPr>
          <w:spacing w:val="25"/>
          <w:sz w:val="21"/>
        </w:rPr>
        <w:t> </w:t>
      </w:r>
      <w:r>
        <w:rPr>
          <w:sz w:val="21"/>
        </w:rPr>
        <w:t>guarantee,</w:t>
      </w:r>
      <w:r>
        <w:rPr>
          <w:spacing w:val="25"/>
          <w:sz w:val="21"/>
        </w:rPr>
        <w:t> </w:t>
      </w:r>
      <w:r>
        <w:rPr>
          <w:sz w:val="21"/>
        </w:rPr>
        <w:t>under</w:t>
      </w:r>
      <w:r>
        <w:rPr>
          <w:spacing w:val="25"/>
          <w:sz w:val="21"/>
        </w:rPr>
        <w:t> </w:t>
      </w:r>
      <w:r>
        <w:rPr>
          <w:sz w:val="21"/>
        </w:rPr>
        <w:t>the</w:t>
      </w:r>
      <w:r>
        <w:rPr>
          <w:spacing w:val="25"/>
          <w:sz w:val="21"/>
        </w:rPr>
        <w:t> </w:t>
      </w:r>
      <w:r>
        <w:rPr>
          <w:sz w:val="21"/>
        </w:rPr>
        <w:t>exact</w:t>
      </w:r>
      <w:r>
        <w:rPr>
          <w:spacing w:val="25"/>
          <w:sz w:val="21"/>
        </w:rPr>
        <w:t> </w:t>
      </w:r>
      <w:r>
        <w:rPr>
          <w:sz w:val="21"/>
        </w:rPr>
        <w:t>terms</w:t>
      </w:r>
      <w:r>
        <w:rPr>
          <w:spacing w:val="25"/>
          <w:sz w:val="21"/>
        </w:rPr>
        <w:t> </w:t>
      </w:r>
      <w:r>
        <w:rPr>
          <w:sz w:val="21"/>
        </w:rPr>
        <w:t>in</w:t>
      </w:r>
      <w:r>
        <w:rPr>
          <w:spacing w:val="25"/>
          <w:sz w:val="21"/>
        </w:rPr>
        <w:t> </w:t>
      </w:r>
      <w:r>
        <w:rPr>
          <w:sz w:val="21"/>
        </w:rPr>
        <w:t>which</w:t>
      </w:r>
      <w:r>
        <w:rPr>
          <w:spacing w:val="25"/>
          <w:sz w:val="21"/>
        </w:rPr>
        <w:t> </w:t>
      </w:r>
      <w:r>
        <w:rPr>
          <w:sz w:val="21"/>
        </w:rPr>
        <w:t>it</w:t>
      </w:r>
      <w:r>
        <w:rPr>
          <w:spacing w:val="25"/>
          <w:sz w:val="21"/>
        </w:rPr>
        <w:t> </w:t>
      </w:r>
      <w:r>
        <w:rPr>
          <w:sz w:val="21"/>
        </w:rPr>
        <w:t>was</w:t>
      </w:r>
      <w:r>
        <w:rPr>
          <w:spacing w:val="25"/>
          <w:sz w:val="21"/>
        </w:rPr>
        <w:t> </w:t>
      </w:r>
      <w:r>
        <w:rPr>
          <w:sz w:val="21"/>
        </w:rPr>
        <w:t>provided.</w:t>
      </w:r>
    </w:p>
    <w:p>
      <w:pPr>
        <w:pStyle w:val="BodyText"/>
        <w:spacing w:before="166"/>
        <w:rPr>
          <w:sz w:val="21"/>
        </w:rPr>
      </w:pPr>
    </w:p>
    <w:p>
      <w:pPr>
        <w:spacing w:line="213" w:lineRule="auto" w:before="1"/>
        <w:ind w:left="144" w:right="118" w:firstLine="0"/>
        <w:jc w:val="both"/>
        <w:rPr>
          <w:sz w:val="21"/>
        </w:rPr>
      </w:pPr>
      <w:r>
        <w:rPr>
          <w:i/>
          <w:sz w:val="21"/>
        </w:rPr>
        <w:t>Three</w:t>
      </w:r>
      <w:r>
        <w:rPr>
          <w:sz w:val="21"/>
        </w:rPr>
        <w:t>.</w:t>
      </w:r>
      <w:r>
        <w:rPr>
          <w:spacing w:val="40"/>
          <w:sz w:val="21"/>
        </w:rPr>
        <w:t> </w:t>
      </w:r>
      <w:r>
        <w:rPr>
          <w:sz w:val="21"/>
        </w:rPr>
        <w:t>The</w:t>
      </w:r>
      <w:r>
        <w:rPr>
          <w:spacing w:val="40"/>
          <w:sz w:val="21"/>
        </w:rPr>
        <w:t> </w:t>
      </w:r>
      <w:r>
        <w:rPr>
          <w:sz w:val="21"/>
        </w:rPr>
        <w:t>Government</w:t>
      </w:r>
      <w:r>
        <w:rPr>
          <w:spacing w:val="40"/>
          <w:sz w:val="21"/>
        </w:rPr>
        <w:t> </w:t>
      </w:r>
      <w:r>
        <w:rPr>
          <w:sz w:val="21"/>
        </w:rPr>
        <w:t>may</w:t>
      </w:r>
      <w:r>
        <w:rPr>
          <w:spacing w:val="40"/>
          <w:sz w:val="21"/>
        </w:rPr>
        <w:t> </w:t>
      </w:r>
      <w:r>
        <w:rPr>
          <w:sz w:val="21"/>
        </w:rPr>
        <w:t>use</w:t>
      </w:r>
      <w:r>
        <w:rPr>
          <w:spacing w:val="40"/>
          <w:sz w:val="21"/>
        </w:rPr>
        <w:t> </w:t>
      </w:r>
      <w:r>
        <w:rPr>
          <w:sz w:val="21"/>
        </w:rPr>
        <w:t>the</w:t>
      </w:r>
      <w:r>
        <w:rPr>
          <w:spacing w:val="40"/>
          <w:sz w:val="21"/>
        </w:rPr>
        <w:t> </w:t>
      </w:r>
      <w:r>
        <w:rPr>
          <w:sz w:val="21"/>
        </w:rPr>
        <w:t>autonomous</w:t>
      </w:r>
      <w:r>
        <w:rPr>
          <w:spacing w:val="40"/>
          <w:sz w:val="21"/>
        </w:rPr>
        <w:t> </w:t>
      </w:r>
      <w:r>
        <w:rPr>
          <w:sz w:val="21"/>
        </w:rPr>
        <w:t>bank</w:t>
      </w:r>
      <w:r>
        <w:rPr>
          <w:spacing w:val="40"/>
          <w:sz w:val="21"/>
        </w:rPr>
        <w:t> </w:t>
      </w:r>
      <w:r>
        <w:rPr>
          <w:sz w:val="21"/>
        </w:rPr>
        <w:t>guarantee</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paragraph</w:t>
      </w:r>
      <w:r>
        <w:rPr>
          <w:spacing w:val="40"/>
          <w:sz w:val="21"/>
        </w:rPr>
        <w:t> </w:t>
      </w:r>
      <w:r>
        <w:rPr>
          <w:i/>
          <w:sz w:val="21"/>
        </w:rPr>
        <w:t>one</w:t>
      </w:r>
      <w:r>
        <w:rPr>
          <w:sz w:val="21"/>
        </w:rPr>
        <w:t>,</w:t>
      </w:r>
      <w:r>
        <w:rPr>
          <w:spacing w:val="40"/>
          <w:sz w:val="21"/>
        </w:rPr>
        <w:t> </w:t>
      </w:r>
      <w:r>
        <w:rPr>
          <w:sz w:val="21"/>
        </w:rPr>
        <w:t>independently</w:t>
      </w:r>
      <w:r>
        <w:rPr>
          <w:spacing w:val="40"/>
          <w:sz w:val="21"/>
        </w:rPr>
        <w:t> </w:t>
      </w:r>
      <w:r>
        <w:rPr>
          <w:sz w:val="21"/>
        </w:rPr>
        <w:t>of</w:t>
      </w:r>
      <w:r>
        <w:rPr>
          <w:spacing w:val="40"/>
          <w:sz w:val="21"/>
        </w:rPr>
        <w:t> </w:t>
      </w:r>
      <w:r>
        <w:rPr>
          <w:sz w:val="21"/>
        </w:rPr>
        <w:t>a</w:t>
      </w:r>
      <w:r>
        <w:rPr>
          <w:spacing w:val="40"/>
          <w:sz w:val="21"/>
        </w:rPr>
        <w:t> </w:t>
      </w:r>
      <w:r>
        <w:rPr>
          <w:sz w:val="21"/>
        </w:rPr>
        <w:t>prior</w:t>
      </w:r>
      <w:r>
        <w:rPr>
          <w:spacing w:val="40"/>
          <w:sz w:val="21"/>
        </w:rPr>
        <w:t> </w:t>
      </w:r>
      <w:r>
        <w:rPr>
          <w:sz w:val="21"/>
        </w:rPr>
        <w:t>Court decision,</w:t>
      </w:r>
      <w:r>
        <w:rPr>
          <w:spacing w:val="27"/>
          <w:sz w:val="21"/>
        </w:rPr>
        <w:t> </w:t>
      </w:r>
      <w:r>
        <w:rPr>
          <w:sz w:val="21"/>
        </w:rPr>
        <w:t>whenever</w:t>
      </w:r>
      <w:r>
        <w:rPr>
          <w:spacing w:val="27"/>
          <w:sz w:val="21"/>
        </w:rPr>
        <w:t> </w:t>
      </w:r>
      <w:r>
        <w:rPr>
          <w:sz w:val="21"/>
        </w:rPr>
        <w:t>the</w:t>
      </w:r>
      <w:r>
        <w:rPr>
          <w:spacing w:val="27"/>
          <w:sz w:val="21"/>
        </w:rPr>
        <w:t> </w:t>
      </w:r>
      <w:r>
        <w:rPr>
          <w:sz w:val="21"/>
        </w:rPr>
        <w:t>Concessionaire</w:t>
      </w:r>
      <w:r>
        <w:rPr>
          <w:spacing w:val="27"/>
          <w:sz w:val="21"/>
        </w:rPr>
        <w:t> </w:t>
      </w:r>
      <w:r>
        <w:rPr>
          <w:sz w:val="21"/>
        </w:rPr>
        <w:t>fails</w:t>
      </w:r>
      <w:r>
        <w:rPr>
          <w:spacing w:val="27"/>
          <w:sz w:val="21"/>
        </w:rPr>
        <w:t> </w:t>
      </w:r>
      <w:r>
        <w:rPr>
          <w:sz w:val="21"/>
        </w:rPr>
        <w:t>to</w:t>
      </w:r>
      <w:r>
        <w:rPr>
          <w:spacing w:val="27"/>
          <w:sz w:val="21"/>
        </w:rPr>
        <w:t> </w:t>
      </w:r>
      <w:r>
        <w:rPr>
          <w:sz w:val="21"/>
        </w:rPr>
        <w:t>pay</w:t>
      </w:r>
      <w:r>
        <w:rPr>
          <w:spacing w:val="27"/>
          <w:sz w:val="21"/>
        </w:rPr>
        <w:t> </w:t>
      </w:r>
      <w:r>
        <w:rPr>
          <w:sz w:val="21"/>
        </w:rPr>
        <w:t>the</w:t>
      </w:r>
      <w:r>
        <w:rPr>
          <w:spacing w:val="27"/>
          <w:sz w:val="21"/>
        </w:rPr>
        <w:t> </w:t>
      </w:r>
      <w:r>
        <w:rPr>
          <w:sz w:val="21"/>
        </w:rPr>
        <w:t>special</w:t>
      </w:r>
      <w:r>
        <w:rPr>
          <w:spacing w:val="27"/>
          <w:sz w:val="21"/>
        </w:rPr>
        <w:t> </w:t>
      </w:r>
      <w:r>
        <w:rPr>
          <w:sz w:val="21"/>
        </w:rPr>
        <w:t>tax</w:t>
      </w:r>
      <w:r>
        <w:rPr>
          <w:spacing w:val="27"/>
          <w:sz w:val="21"/>
        </w:rPr>
        <w:t> </w:t>
      </w:r>
      <w:r>
        <w:rPr>
          <w:sz w:val="21"/>
        </w:rPr>
        <w:t>on</w:t>
      </w:r>
      <w:r>
        <w:rPr>
          <w:spacing w:val="27"/>
          <w:sz w:val="21"/>
        </w:rPr>
        <w:t> </w:t>
      </w:r>
      <w:r>
        <w:rPr>
          <w:sz w:val="21"/>
        </w:rPr>
        <w:t>gambling</w:t>
      </w:r>
      <w:r>
        <w:rPr>
          <w:spacing w:val="27"/>
          <w:sz w:val="21"/>
        </w:rPr>
        <w:t> </w:t>
      </w:r>
      <w:r>
        <w:rPr>
          <w:sz w:val="21"/>
        </w:rPr>
        <w:t>due</w:t>
      </w:r>
      <w:r>
        <w:rPr>
          <w:spacing w:val="27"/>
          <w:sz w:val="21"/>
        </w:rPr>
        <w:t> </w:t>
      </w:r>
      <w:r>
        <w:rPr>
          <w:sz w:val="21"/>
        </w:rPr>
        <w:t>to</w:t>
      </w:r>
      <w:r>
        <w:rPr>
          <w:spacing w:val="27"/>
          <w:sz w:val="21"/>
        </w:rPr>
        <w:t> </w:t>
      </w:r>
      <w:r>
        <w:rPr>
          <w:sz w:val="21"/>
        </w:rPr>
        <w:t>Macau</w:t>
      </w:r>
      <w:r>
        <w:rPr>
          <w:spacing w:val="27"/>
          <w:sz w:val="21"/>
        </w:rPr>
        <w:t> </w:t>
      </w:r>
      <w:r>
        <w:rPr>
          <w:sz w:val="21"/>
        </w:rPr>
        <w:t>SAR</w:t>
      </w:r>
      <w:r>
        <w:rPr>
          <w:spacing w:val="27"/>
          <w:sz w:val="21"/>
        </w:rPr>
        <w:t> </w:t>
      </w:r>
      <w:r>
        <w:rPr>
          <w:sz w:val="21"/>
        </w:rPr>
        <w:t>under</w:t>
      </w:r>
      <w:r>
        <w:rPr>
          <w:spacing w:val="27"/>
          <w:sz w:val="21"/>
        </w:rPr>
        <w:t> </w:t>
      </w:r>
      <w:r>
        <w:rPr>
          <w:sz w:val="21"/>
        </w:rPr>
        <w:t>the</w:t>
      </w:r>
      <w:r>
        <w:rPr>
          <w:spacing w:val="27"/>
          <w:sz w:val="21"/>
        </w:rPr>
        <w:t> </w:t>
      </w:r>
      <w:r>
        <w:rPr>
          <w:sz w:val="21"/>
        </w:rPr>
        <w:t>terms</w:t>
      </w:r>
      <w:r>
        <w:rPr>
          <w:spacing w:val="27"/>
          <w:sz w:val="21"/>
        </w:rPr>
        <w:t> </w:t>
      </w:r>
      <w:r>
        <w:rPr>
          <w:sz w:val="21"/>
        </w:rPr>
        <w:t>of</w:t>
      </w:r>
      <w:r>
        <w:rPr>
          <w:spacing w:val="27"/>
          <w:sz w:val="21"/>
        </w:rPr>
        <w:t> </w:t>
      </w:r>
      <w:r>
        <w:rPr>
          <w:sz w:val="21"/>
        </w:rPr>
        <w:t>the</w:t>
      </w:r>
      <w:r>
        <w:rPr>
          <w:spacing w:val="27"/>
          <w:sz w:val="21"/>
        </w:rPr>
        <w:t> </w:t>
      </w:r>
      <w:r>
        <w:rPr>
          <w:sz w:val="21"/>
        </w:rPr>
        <w:t>law</w:t>
      </w:r>
      <w:r>
        <w:rPr>
          <w:spacing w:val="27"/>
          <w:sz w:val="21"/>
        </w:rPr>
        <w:t> </w:t>
      </w:r>
      <w:r>
        <w:rPr>
          <w:sz w:val="21"/>
        </w:rPr>
        <w:t>and this concession contract.</w:t>
      </w:r>
    </w:p>
    <w:p>
      <w:pPr>
        <w:pStyle w:val="BodyText"/>
        <w:spacing w:before="153"/>
        <w:rPr>
          <w:sz w:val="21"/>
        </w:rPr>
      </w:pPr>
    </w:p>
    <w:p>
      <w:pPr>
        <w:spacing w:line="213" w:lineRule="auto" w:before="0"/>
        <w:ind w:left="144" w:right="117" w:firstLine="0"/>
        <w:jc w:val="both"/>
        <w:rPr>
          <w:sz w:val="21"/>
        </w:rPr>
      </w:pPr>
      <w:r>
        <w:rPr>
          <w:i/>
          <w:sz w:val="21"/>
        </w:rPr>
        <w:t>Four</w:t>
      </w:r>
      <w:r>
        <w:rPr>
          <w:sz w:val="21"/>
        </w:rPr>
        <w:t>. Whenever the Government makes use of the autonomous bank guarantee referred to in paragraph </w:t>
      </w:r>
      <w:r>
        <w:rPr>
          <w:i/>
          <w:sz w:val="21"/>
        </w:rPr>
        <w:t>one</w:t>
      </w:r>
      <w:r>
        <w:rPr>
          <w:sz w:val="21"/>
        </w:rPr>
        <w:t>, the Concessionaire undertakes</w:t>
      </w:r>
      <w:r>
        <w:rPr>
          <w:spacing w:val="20"/>
          <w:sz w:val="21"/>
        </w:rPr>
        <w:t> </w:t>
      </w:r>
      <w:r>
        <w:rPr>
          <w:sz w:val="21"/>
        </w:rPr>
        <w:t>to</w:t>
      </w:r>
      <w:r>
        <w:rPr>
          <w:spacing w:val="20"/>
          <w:sz w:val="21"/>
        </w:rPr>
        <w:t> </w:t>
      </w:r>
      <w:r>
        <w:rPr>
          <w:sz w:val="21"/>
        </w:rPr>
        <w:t>take</w:t>
      </w:r>
      <w:r>
        <w:rPr>
          <w:spacing w:val="20"/>
          <w:sz w:val="21"/>
        </w:rPr>
        <w:t> </w:t>
      </w:r>
      <w:r>
        <w:rPr>
          <w:sz w:val="21"/>
        </w:rPr>
        <w:t>all</w:t>
      </w:r>
      <w:r>
        <w:rPr>
          <w:spacing w:val="20"/>
          <w:sz w:val="21"/>
        </w:rPr>
        <w:t> </w:t>
      </w:r>
      <w:r>
        <w:rPr>
          <w:sz w:val="21"/>
        </w:rPr>
        <w:t>necessary</w:t>
      </w:r>
      <w:r>
        <w:rPr>
          <w:spacing w:val="20"/>
          <w:sz w:val="21"/>
        </w:rPr>
        <w:t> </w:t>
      </w:r>
      <w:r>
        <w:rPr>
          <w:sz w:val="21"/>
        </w:rPr>
        <w:t>steps</w:t>
      </w:r>
      <w:r>
        <w:rPr>
          <w:spacing w:val="20"/>
          <w:sz w:val="21"/>
        </w:rPr>
        <w:t> </w:t>
      </w:r>
      <w:r>
        <w:rPr>
          <w:sz w:val="21"/>
        </w:rPr>
        <w:t>to</w:t>
      </w:r>
      <w:r>
        <w:rPr>
          <w:spacing w:val="20"/>
          <w:sz w:val="21"/>
        </w:rPr>
        <w:t> </w:t>
      </w:r>
      <w:r>
        <w:rPr>
          <w:sz w:val="21"/>
        </w:rPr>
        <w:t>restore</w:t>
      </w:r>
      <w:r>
        <w:rPr>
          <w:spacing w:val="20"/>
          <w:sz w:val="21"/>
        </w:rPr>
        <w:t> </w:t>
      </w:r>
      <w:r>
        <w:rPr>
          <w:sz w:val="21"/>
        </w:rPr>
        <w:t>the</w:t>
      </w:r>
      <w:r>
        <w:rPr>
          <w:spacing w:val="20"/>
          <w:sz w:val="21"/>
        </w:rPr>
        <w:t> </w:t>
      </w:r>
      <w:r>
        <w:rPr>
          <w:sz w:val="21"/>
        </w:rPr>
        <w:t>total</w:t>
      </w:r>
      <w:r>
        <w:rPr>
          <w:spacing w:val="20"/>
          <w:sz w:val="21"/>
        </w:rPr>
        <w:t> </w:t>
      </w:r>
      <w:r>
        <w:rPr>
          <w:sz w:val="21"/>
        </w:rPr>
        <w:t>amount</w:t>
      </w:r>
      <w:r>
        <w:rPr>
          <w:spacing w:val="20"/>
          <w:sz w:val="21"/>
        </w:rPr>
        <w:t> </w:t>
      </w:r>
      <w:r>
        <w:rPr>
          <w:sz w:val="21"/>
        </w:rPr>
        <w:t>of</w:t>
      </w:r>
      <w:r>
        <w:rPr>
          <w:spacing w:val="20"/>
          <w:sz w:val="21"/>
        </w:rPr>
        <w:t> </w:t>
      </w:r>
      <w:r>
        <w:rPr>
          <w:sz w:val="21"/>
        </w:rPr>
        <w:t>the</w:t>
      </w:r>
      <w:r>
        <w:rPr>
          <w:spacing w:val="20"/>
          <w:sz w:val="21"/>
        </w:rPr>
        <w:t> </w:t>
      </w:r>
      <w:r>
        <w:rPr>
          <w:sz w:val="21"/>
        </w:rPr>
        <w:t>guarantee</w:t>
      </w:r>
      <w:r>
        <w:rPr>
          <w:spacing w:val="20"/>
          <w:sz w:val="21"/>
        </w:rPr>
        <w:t> </w:t>
      </w:r>
      <w:r>
        <w:rPr>
          <w:sz w:val="21"/>
        </w:rPr>
        <w:t>within</w:t>
      </w:r>
      <w:r>
        <w:rPr>
          <w:spacing w:val="20"/>
          <w:sz w:val="21"/>
        </w:rPr>
        <w:t> </w:t>
      </w:r>
      <w:r>
        <w:rPr>
          <w:sz w:val="21"/>
        </w:rPr>
        <w:t>15</w:t>
      </w:r>
      <w:r>
        <w:rPr>
          <w:spacing w:val="20"/>
          <w:sz w:val="21"/>
        </w:rPr>
        <w:t> </w:t>
      </w:r>
      <w:r>
        <w:rPr>
          <w:sz w:val="21"/>
        </w:rPr>
        <w:t>days</w:t>
      </w:r>
      <w:r>
        <w:rPr>
          <w:spacing w:val="20"/>
          <w:sz w:val="21"/>
        </w:rPr>
        <w:t> </w:t>
      </w:r>
      <w:r>
        <w:rPr>
          <w:sz w:val="21"/>
        </w:rPr>
        <w:t>of</w:t>
      </w:r>
      <w:r>
        <w:rPr>
          <w:spacing w:val="20"/>
          <w:sz w:val="21"/>
        </w:rPr>
        <w:t> </w:t>
      </w:r>
      <w:r>
        <w:rPr>
          <w:sz w:val="21"/>
        </w:rPr>
        <w:t>being</w:t>
      </w:r>
      <w:r>
        <w:rPr>
          <w:spacing w:val="20"/>
          <w:sz w:val="21"/>
        </w:rPr>
        <w:t> </w:t>
      </w:r>
      <w:r>
        <w:rPr>
          <w:sz w:val="21"/>
        </w:rPr>
        <w:t>notified</w:t>
      </w:r>
      <w:r>
        <w:rPr>
          <w:spacing w:val="20"/>
          <w:sz w:val="21"/>
        </w:rPr>
        <w:t> </w:t>
      </w:r>
      <w:r>
        <w:rPr>
          <w:sz w:val="21"/>
        </w:rPr>
        <w:t>of</w:t>
      </w:r>
      <w:r>
        <w:rPr>
          <w:spacing w:val="20"/>
          <w:sz w:val="21"/>
        </w:rPr>
        <w:t> </w:t>
      </w:r>
      <w:r>
        <w:rPr>
          <w:sz w:val="21"/>
        </w:rPr>
        <w:t>its</w:t>
      </w:r>
      <w:r>
        <w:rPr>
          <w:spacing w:val="20"/>
          <w:sz w:val="21"/>
        </w:rPr>
        <w:t> </w:t>
      </w:r>
      <w:r>
        <w:rPr>
          <w:sz w:val="21"/>
        </w:rPr>
        <w:t>use.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4"/>
        <w:rPr>
          <w:sz w:val="20"/>
        </w:rPr>
      </w:pPr>
      <w:r>
        <w:rPr/>
        <mc:AlternateContent>
          <mc:Choice Requires="wps">
            <w:drawing>
              <wp:anchor distT="0" distB="0" distL="0" distR="0" allowOverlap="1" layoutInCell="1" locked="0" behindDoc="1" simplePos="0" relativeHeight="487782400">
                <wp:simplePos x="0" y="0"/>
                <wp:positionH relativeFrom="page">
                  <wp:posOffset>231457</wp:posOffset>
                </wp:positionH>
                <wp:positionV relativeFrom="paragraph">
                  <wp:posOffset>195567</wp:posOffset>
                </wp:positionV>
                <wp:extent cx="7312659" cy="17145"/>
                <wp:effectExtent l="0" t="0" r="0" b="0"/>
                <wp:wrapTopAndBottom/>
                <wp:docPr id="936" name="Group 936"/>
                <wp:cNvGraphicFramePr>
                  <a:graphicFrameLocks/>
                </wp:cNvGraphicFramePr>
                <a:graphic>
                  <a:graphicData uri="http://schemas.microsoft.com/office/word/2010/wordprocessingGroup">
                    <wpg:wgp>
                      <wpg:cNvPr id="936" name="Group 936"/>
                      <wpg:cNvGrpSpPr/>
                      <wpg:grpSpPr>
                        <a:xfrm>
                          <a:off x="0" y="0"/>
                          <a:ext cx="7312659" cy="17145"/>
                          <a:chExt cx="7312659" cy="17145"/>
                        </a:xfrm>
                      </wpg:grpSpPr>
                      <wps:wsp>
                        <wps:cNvPr id="937" name="Graphic 93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38" name="Graphic 938"/>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39" name="Graphic 93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399023pt;width:575.8pt;height:1.35pt;mso-position-horizontal-relative:page;mso-position-vertical-relative:paragraph;z-index:-15534080;mso-wrap-distance-left:0;mso-wrap-distance-right:0" id="docshapegroup934" coordorigin="364,308" coordsize="11516,27">
                <v:rect style="position:absolute;left:364;top:307;width:11516;height:14" id="docshape935" filled="true" fillcolor="#999999" stroked="false">
                  <v:fill type="solid"/>
                </v:rect>
                <v:shape style="position:absolute;left:364;top:307;width:11516;height:27" id="docshape936" coordorigin="364,308" coordsize="11516,27" path="m11880,308l11866,321,364,321,364,335,11866,335,11880,335,11880,321,11880,308xe" filled="true" fillcolor="#ededed" stroked="false">
                  <v:path arrowok="t"/>
                  <v:fill type="solid"/>
                </v:shape>
                <v:shape style="position:absolute;left:364;top:307;width:14;height:27" id="docshape937" coordorigin="364,308" coordsize="14,27" path="m364,335l364,308,378,308,378,321,364,335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line="213" w:lineRule="auto" w:before="90"/>
        <w:ind w:left="144" w:right="118" w:firstLine="0"/>
        <w:jc w:val="both"/>
        <w:rPr>
          <w:sz w:val="21"/>
        </w:rPr>
      </w:pPr>
      <w:r>
        <w:rPr>
          <w:i/>
          <w:sz w:val="21"/>
        </w:rPr>
        <w:t>Five</w:t>
      </w:r>
      <w:r>
        <w:rPr>
          <w:sz w:val="21"/>
        </w:rPr>
        <w:t>.</w:t>
      </w:r>
      <w:r>
        <w:rPr>
          <w:spacing w:val="40"/>
          <w:sz w:val="21"/>
        </w:rPr>
        <w:t> </w:t>
      </w:r>
      <w:r>
        <w:rPr>
          <w:sz w:val="21"/>
        </w:rPr>
        <w:t>The</w:t>
      </w:r>
      <w:r>
        <w:rPr>
          <w:spacing w:val="40"/>
          <w:sz w:val="21"/>
        </w:rPr>
        <w:t> </w:t>
      </w:r>
      <w:r>
        <w:rPr>
          <w:sz w:val="21"/>
        </w:rPr>
        <w:t>autonomous</w:t>
      </w:r>
      <w:r>
        <w:rPr>
          <w:spacing w:val="40"/>
          <w:sz w:val="21"/>
        </w:rPr>
        <w:t> </w:t>
      </w:r>
      <w:r>
        <w:rPr>
          <w:sz w:val="21"/>
        </w:rPr>
        <w:t>bank</w:t>
      </w:r>
      <w:r>
        <w:rPr>
          <w:spacing w:val="40"/>
          <w:sz w:val="21"/>
        </w:rPr>
        <w:t> </w:t>
      </w:r>
      <w:r>
        <w:rPr>
          <w:sz w:val="21"/>
        </w:rPr>
        <w:t>guarantee</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paragraph</w:t>
      </w:r>
      <w:r>
        <w:rPr>
          <w:spacing w:val="40"/>
          <w:sz w:val="21"/>
        </w:rPr>
        <w:t> </w:t>
      </w:r>
      <w:r>
        <w:rPr>
          <w:i/>
          <w:sz w:val="21"/>
        </w:rPr>
        <w:t>one</w:t>
      </w:r>
      <w:r>
        <w:rPr>
          <w:i/>
          <w:spacing w:val="40"/>
          <w:sz w:val="21"/>
        </w:rPr>
        <w:t> </w:t>
      </w:r>
      <w:r>
        <w:rPr>
          <w:sz w:val="21"/>
        </w:rPr>
        <w:t>may</w:t>
      </w:r>
      <w:r>
        <w:rPr>
          <w:spacing w:val="40"/>
          <w:sz w:val="21"/>
        </w:rPr>
        <w:t> </w:t>
      </w:r>
      <w:r>
        <w:rPr>
          <w:sz w:val="21"/>
        </w:rPr>
        <w:t>only</w:t>
      </w:r>
      <w:r>
        <w:rPr>
          <w:spacing w:val="40"/>
          <w:sz w:val="21"/>
        </w:rPr>
        <w:t> </w:t>
      </w:r>
      <w:r>
        <w:rPr>
          <w:sz w:val="21"/>
        </w:rPr>
        <w:t>be</w:t>
      </w:r>
      <w:r>
        <w:rPr>
          <w:spacing w:val="40"/>
          <w:sz w:val="21"/>
        </w:rPr>
        <w:t> </w:t>
      </w:r>
      <w:r>
        <w:rPr>
          <w:sz w:val="21"/>
        </w:rPr>
        <w:t>cancelled,</w:t>
      </w:r>
      <w:r>
        <w:rPr>
          <w:spacing w:val="40"/>
          <w:sz w:val="21"/>
        </w:rPr>
        <w:t> </w:t>
      </w:r>
      <w:r>
        <w:rPr>
          <w:sz w:val="21"/>
        </w:rPr>
        <w:t>under</w:t>
      </w:r>
      <w:r>
        <w:rPr>
          <w:spacing w:val="40"/>
          <w:sz w:val="21"/>
        </w:rPr>
        <w:t> </w:t>
      </w:r>
      <w:r>
        <w:rPr>
          <w:sz w:val="21"/>
        </w:rPr>
        <w:t>authorization</w:t>
      </w:r>
      <w:r>
        <w:rPr>
          <w:spacing w:val="40"/>
          <w:sz w:val="21"/>
        </w:rPr>
        <w:t> </w:t>
      </w:r>
      <w:r>
        <w:rPr>
          <w:sz w:val="21"/>
        </w:rPr>
        <w:t>from</w:t>
      </w:r>
      <w:r>
        <w:rPr>
          <w:spacing w:val="40"/>
          <w:sz w:val="21"/>
        </w:rPr>
        <w:t> </w:t>
      </w:r>
      <w:r>
        <w:rPr>
          <w:sz w:val="21"/>
        </w:rPr>
        <w:t>the Government,</w:t>
      </w:r>
      <w:r>
        <w:rPr>
          <w:spacing w:val="26"/>
          <w:sz w:val="21"/>
        </w:rPr>
        <w:t> </w:t>
      </w:r>
      <w:r>
        <w:rPr>
          <w:sz w:val="21"/>
        </w:rPr>
        <w:t>180</w:t>
      </w:r>
      <w:r>
        <w:rPr>
          <w:spacing w:val="26"/>
          <w:sz w:val="21"/>
        </w:rPr>
        <w:t> </w:t>
      </w:r>
      <w:r>
        <w:rPr>
          <w:sz w:val="21"/>
        </w:rPr>
        <w:t>days</w:t>
      </w:r>
      <w:r>
        <w:rPr>
          <w:spacing w:val="26"/>
          <w:sz w:val="21"/>
        </w:rPr>
        <w:t> </w:t>
      </w:r>
      <w:r>
        <w:rPr>
          <w:sz w:val="21"/>
        </w:rPr>
        <w:t>after</w:t>
      </w:r>
      <w:r>
        <w:rPr>
          <w:spacing w:val="26"/>
          <w:sz w:val="21"/>
        </w:rPr>
        <w:t> </w:t>
      </w:r>
      <w:r>
        <w:rPr>
          <w:sz w:val="21"/>
        </w:rPr>
        <w:t>the</w:t>
      </w:r>
      <w:r>
        <w:rPr>
          <w:spacing w:val="26"/>
          <w:sz w:val="21"/>
        </w:rPr>
        <w:t> </w:t>
      </w:r>
      <w:r>
        <w:rPr>
          <w:sz w:val="21"/>
        </w:rPr>
        <w:t>end</w:t>
      </w:r>
      <w:r>
        <w:rPr>
          <w:spacing w:val="26"/>
          <w:sz w:val="21"/>
        </w:rPr>
        <w:t> </w:t>
      </w:r>
      <w:r>
        <w:rPr>
          <w:sz w:val="21"/>
        </w:rPr>
        <w:t>of</w:t>
      </w:r>
      <w:r>
        <w:rPr>
          <w:spacing w:val="26"/>
          <w:sz w:val="21"/>
        </w:rPr>
        <w:t> </w:t>
      </w:r>
      <w:r>
        <w:rPr>
          <w:sz w:val="21"/>
        </w:rPr>
        <w:t>the</w:t>
      </w:r>
      <w:r>
        <w:rPr>
          <w:spacing w:val="26"/>
          <w:sz w:val="21"/>
        </w:rPr>
        <w:t> </w:t>
      </w:r>
      <w:r>
        <w:rPr>
          <w:sz w:val="21"/>
        </w:rPr>
        <w:t>concession</w:t>
      </w:r>
      <w:r>
        <w:rPr>
          <w:spacing w:val="26"/>
          <w:sz w:val="21"/>
        </w:rPr>
        <w:t> </w:t>
      </w:r>
      <w:r>
        <w:rPr>
          <w:sz w:val="21"/>
        </w:rPr>
        <w:t>contract</w:t>
      </w:r>
      <w:r>
        <w:rPr>
          <w:spacing w:val="26"/>
          <w:sz w:val="21"/>
        </w:rPr>
        <w:t> </w:t>
      </w:r>
      <w:r>
        <w:rPr>
          <w:sz w:val="21"/>
        </w:rPr>
        <w:t>or</w:t>
      </w:r>
      <w:r>
        <w:rPr>
          <w:spacing w:val="26"/>
          <w:sz w:val="21"/>
        </w:rPr>
        <w:t> </w:t>
      </w:r>
      <w:r>
        <w:rPr>
          <w:sz w:val="21"/>
        </w:rPr>
        <w:t>the</w:t>
      </w:r>
      <w:r>
        <w:rPr>
          <w:spacing w:val="26"/>
          <w:sz w:val="21"/>
        </w:rPr>
        <w:t> </w:t>
      </w:r>
      <w:r>
        <w:rPr>
          <w:sz w:val="21"/>
        </w:rPr>
        <w:t>termination</w:t>
      </w:r>
      <w:r>
        <w:rPr>
          <w:spacing w:val="26"/>
          <w:sz w:val="21"/>
        </w:rPr>
        <w:t> </w:t>
      </w:r>
      <w:r>
        <w:rPr>
          <w:sz w:val="21"/>
        </w:rPr>
        <w:t>of</w:t>
      </w:r>
      <w:r>
        <w:rPr>
          <w:spacing w:val="26"/>
          <w:sz w:val="21"/>
        </w:rPr>
        <w:t> </w:t>
      </w:r>
      <w:r>
        <w:rPr>
          <w:sz w:val="21"/>
        </w:rPr>
        <w:t>the</w:t>
      </w:r>
      <w:r>
        <w:rPr>
          <w:spacing w:val="26"/>
          <w:sz w:val="21"/>
        </w:rPr>
        <w:t> </w:t>
      </w:r>
      <w:r>
        <w:rPr>
          <w:sz w:val="21"/>
        </w:rPr>
        <w:t>concession.</w:t>
      </w:r>
    </w:p>
    <w:p>
      <w:pPr>
        <w:pStyle w:val="BodyText"/>
        <w:spacing w:before="131"/>
        <w:rPr>
          <w:sz w:val="21"/>
        </w:rPr>
      </w:pPr>
    </w:p>
    <w:p>
      <w:pPr>
        <w:spacing w:line="229" w:lineRule="exact" w:before="0"/>
        <w:ind w:left="144" w:right="0" w:firstLine="0"/>
        <w:jc w:val="both"/>
        <w:rPr>
          <w:sz w:val="21"/>
        </w:rPr>
      </w:pPr>
      <w:r>
        <w:rPr>
          <w:i/>
          <w:sz w:val="21"/>
        </w:rPr>
        <w:t>Six</w:t>
      </w:r>
      <w:r>
        <w:rPr>
          <w:sz w:val="21"/>
        </w:rPr>
        <w:t>.</w:t>
      </w:r>
      <w:r>
        <w:rPr>
          <w:spacing w:val="24"/>
          <w:sz w:val="21"/>
        </w:rPr>
        <w:t> </w:t>
      </w:r>
      <w:r>
        <w:rPr>
          <w:sz w:val="21"/>
        </w:rPr>
        <w:t>The</w:t>
      </w:r>
      <w:r>
        <w:rPr>
          <w:spacing w:val="29"/>
          <w:sz w:val="21"/>
        </w:rPr>
        <w:t> </w:t>
      </w:r>
      <w:r>
        <w:rPr>
          <w:sz w:val="21"/>
        </w:rPr>
        <w:t>costs</w:t>
      </w:r>
      <w:r>
        <w:rPr>
          <w:spacing w:val="29"/>
          <w:sz w:val="21"/>
        </w:rPr>
        <w:t> </w:t>
      </w:r>
      <w:r>
        <w:rPr>
          <w:sz w:val="21"/>
        </w:rPr>
        <w:t>arising</w:t>
      </w:r>
      <w:r>
        <w:rPr>
          <w:spacing w:val="30"/>
          <w:sz w:val="21"/>
        </w:rPr>
        <w:t> </w:t>
      </w:r>
      <w:r>
        <w:rPr>
          <w:sz w:val="21"/>
        </w:rPr>
        <w:t>from</w:t>
      </w:r>
      <w:r>
        <w:rPr>
          <w:spacing w:val="29"/>
          <w:sz w:val="21"/>
        </w:rPr>
        <w:t> </w:t>
      </w:r>
      <w:r>
        <w:rPr>
          <w:sz w:val="21"/>
        </w:rPr>
        <w:t>the</w:t>
      </w:r>
      <w:r>
        <w:rPr>
          <w:spacing w:val="29"/>
          <w:sz w:val="21"/>
        </w:rPr>
        <w:t> </w:t>
      </w:r>
      <w:r>
        <w:rPr>
          <w:sz w:val="21"/>
        </w:rPr>
        <w:t>issuance,</w:t>
      </w:r>
      <w:r>
        <w:rPr>
          <w:spacing w:val="29"/>
          <w:sz w:val="21"/>
        </w:rPr>
        <w:t> </w:t>
      </w:r>
      <w:r>
        <w:rPr>
          <w:sz w:val="21"/>
        </w:rPr>
        <w:t>maintenance</w:t>
      </w:r>
      <w:r>
        <w:rPr>
          <w:spacing w:val="29"/>
          <w:sz w:val="21"/>
        </w:rPr>
        <w:t> </w:t>
      </w:r>
      <w:r>
        <w:rPr>
          <w:sz w:val="21"/>
        </w:rPr>
        <w:t>and</w:t>
      </w:r>
      <w:r>
        <w:rPr>
          <w:spacing w:val="29"/>
          <w:sz w:val="21"/>
        </w:rPr>
        <w:t> </w:t>
      </w:r>
      <w:r>
        <w:rPr>
          <w:sz w:val="21"/>
        </w:rPr>
        <w:t>cancellation</w:t>
      </w:r>
      <w:r>
        <w:rPr>
          <w:spacing w:val="29"/>
          <w:sz w:val="21"/>
        </w:rPr>
        <w:t> </w:t>
      </w:r>
      <w:r>
        <w:rPr>
          <w:sz w:val="21"/>
        </w:rPr>
        <w:t>of</w:t>
      </w:r>
      <w:r>
        <w:rPr>
          <w:spacing w:val="30"/>
          <w:sz w:val="21"/>
        </w:rPr>
        <w:t> </w:t>
      </w:r>
      <w:r>
        <w:rPr>
          <w:sz w:val="21"/>
        </w:rPr>
        <w:t>the</w:t>
      </w:r>
      <w:r>
        <w:rPr>
          <w:spacing w:val="29"/>
          <w:sz w:val="21"/>
        </w:rPr>
        <w:t> </w:t>
      </w:r>
      <w:r>
        <w:rPr>
          <w:sz w:val="21"/>
        </w:rPr>
        <w:t>autonomous</w:t>
      </w:r>
      <w:r>
        <w:rPr>
          <w:spacing w:val="29"/>
          <w:sz w:val="21"/>
        </w:rPr>
        <w:t> </w:t>
      </w:r>
      <w:r>
        <w:rPr>
          <w:sz w:val="21"/>
        </w:rPr>
        <w:t>bank</w:t>
      </w:r>
      <w:r>
        <w:rPr>
          <w:spacing w:val="29"/>
          <w:sz w:val="21"/>
        </w:rPr>
        <w:t> </w:t>
      </w:r>
      <w:r>
        <w:rPr>
          <w:sz w:val="21"/>
        </w:rPr>
        <w:t>guarantee</w:t>
      </w:r>
      <w:r>
        <w:rPr>
          <w:spacing w:val="29"/>
          <w:sz w:val="21"/>
        </w:rPr>
        <w:t> </w:t>
      </w:r>
      <w:r>
        <w:rPr>
          <w:sz w:val="21"/>
        </w:rPr>
        <w:t>referred</w:t>
      </w:r>
      <w:r>
        <w:rPr>
          <w:spacing w:val="29"/>
          <w:sz w:val="21"/>
        </w:rPr>
        <w:t> </w:t>
      </w:r>
      <w:r>
        <w:rPr>
          <w:sz w:val="21"/>
        </w:rPr>
        <w:t>to</w:t>
      </w:r>
      <w:r>
        <w:rPr>
          <w:spacing w:val="30"/>
          <w:sz w:val="21"/>
        </w:rPr>
        <w:t> </w:t>
      </w:r>
      <w:r>
        <w:rPr>
          <w:sz w:val="21"/>
        </w:rPr>
        <w:t>in</w:t>
      </w:r>
      <w:r>
        <w:rPr>
          <w:spacing w:val="29"/>
          <w:sz w:val="21"/>
        </w:rPr>
        <w:t> </w:t>
      </w:r>
      <w:r>
        <w:rPr>
          <w:spacing w:val="-2"/>
          <w:sz w:val="21"/>
        </w:rPr>
        <w:t>paragraph</w:t>
      </w:r>
    </w:p>
    <w:p>
      <w:pPr>
        <w:spacing w:line="229" w:lineRule="exact" w:before="0"/>
        <w:ind w:left="144" w:right="0" w:firstLine="0"/>
        <w:jc w:val="both"/>
        <w:rPr>
          <w:sz w:val="21"/>
        </w:rPr>
      </w:pPr>
      <w:r>
        <w:rPr>
          <w:i/>
          <w:sz w:val="21"/>
        </w:rPr>
        <w:t>one</w:t>
      </w:r>
      <w:r>
        <w:rPr>
          <w:i/>
          <w:spacing w:val="8"/>
          <w:sz w:val="21"/>
        </w:rPr>
        <w:t> </w:t>
      </w:r>
      <w:r>
        <w:rPr>
          <w:sz w:val="21"/>
        </w:rPr>
        <w:t>shall</w:t>
      </w:r>
      <w:r>
        <w:rPr>
          <w:spacing w:val="8"/>
          <w:sz w:val="21"/>
        </w:rPr>
        <w:t> </w:t>
      </w:r>
      <w:r>
        <w:rPr>
          <w:sz w:val="21"/>
        </w:rPr>
        <w:t>be</w:t>
      </w:r>
      <w:r>
        <w:rPr>
          <w:spacing w:val="8"/>
          <w:sz w:val="21"/>
        </w:rPr>
        <w:t> </w:t>
      </w:r>
      <w:r>
        <w:rPr>
          <w:sz w:val="21"/>
        </w:rPr>
        <w:t>borne</w:t>
      </w:r>
      <w:r>
        <w:rPr>
          <w:spacing w:val="8"/>
          <w:sz w:val="21"/>
        </w:rPr>
        <w:t> </w:t>
      </w:r>
      <w:r>
        <w:rPr>
          <w:sz w:val="21"/>
        </w:rPr>
        <w:t>entirely</w:t>
      </w:r>
      <w:r>
        <w:rPr>
          <w:spacing w:val="8"/>
          <w:sz w:val="21"/>
        </w:rPr>
        <w:t> </w:t>
      </w:r>
      <w:r>
        <w:rPr>
          <w:sz w:val="21"/>
        </w:rPr>
        <w:t>by</w:t>
      </w:r>
      <w:r>
        <w:rPr>
          <w:spacing w:val="8"/>
          <w:sz w:val="21"/>
        </w:rPr>
        <w:t> </w:t>
      </w:r>
      <w:r>
        <w:rPr>
          <w:sz w:val="21"/>
        </w:rPr>
        <w:t>the</w:t>
      </w:r>
      <w:r>
        <w:rPr>
          <w:spacing w:val="8"/>
          <w:sz w:val="21"/>
        </w:rPr>
        <w:t> </w:t>
      </w:r>
      <w:r>
        <w:rPr>
          <w:spacing w:val="-2"/>
          <w:sz w:val="21"/>
        </w:rPr>
        <w:t>Concessionaire.</w:t>
      </w:r>
    </w:p>
    <w:p>
      <w:pPr>
        <w:pStyle w:val="BodyText"/>
        <w:spacing w:before="124"/>
        <w:rPr>
          <w:sz w:val="21"/>
        </w:rPr>
      </w:pPr>
    </w:p>
    <w:p>
      <w:pPr>
        <w:spacing w:before="0"/>
        <w:ind w:left="24" w:right="0" w:firstLine="0"/>
        <w:jc w:val="center"/>
        <w:rPr>
          <w:b/>
          <w:sz w:val="21"/>
        </w:rPr>
      </w:pPr>
      <w:r>
        <w:rPr>
          <w:b/>
          <w:sz w:val="21"/>
        </w:rPr>
        <w:t>Clause</w:t>
      </w:r>
      <w:r>
        <w:rPr>
          <w:b/>
          <w:spacing w:val="13"/>
          <w:sz w:val="21"/>
        </w:rPr>
        <w:t> </w:t>
      </w:r>
      <w:r>
        <w:rPr>
          <w:b/>
          <w:spacing w:val="-5"/>
          <w:sz w:val="21"/>
        </w:rPr>
        <w:t>66</w:t>
      </w:r>
    </w:p>
    <w:p>
      <w:pPr>
        <w:spacing w:before="69"/>
        <w:ind w:left="24" w:right="0" w:firstLine="0"/>
        <w:jc w:val="center"/>
        <w:rPr>
          <w:b/>
          <w:sz w:val="21"/>
        </w:rPr>
      </w:pPr>
      <w:r>
        <w:rPr>
          <w:b/>
          <w:sz w:val="21"/>
        </w:rPr>
        <w:t>Guarantee</w:t>
      </w:r>
      <w:r>
        <w:rPr>
          <w:b/>
          <w:spacing w:val="9"/>
          <w:sz w:val="21"/>
        </w:rPr>
        <w:t> </w:t>
      </w:r>
      <w:r>
        <w:rPr>
          <w:b/>
          <w:sz w:val="21"/>
        </w:rPr>
        <w:t>provided</w:t>
      </w:r>
      <w:r>
        <w:rPr>
          <w:b/>
          <w:spacing w:val="11"/>
          <w:sz w:val="21"/>
        </w:rPr>
        <w:t> </w:t>
      </w:r>
      <w:r>
        <w:rPr>
          <w:b/>
          <w:sz w:val="21"/>
        </w:rPr>
        <w:t>by</w:t>
      </w:r>
      <w:r>
        <w:rPr>
          <w:b/>
          <w:spacing w:val="12"/>
          <w:sz w:val="21"/>
        </w:rPr>
        <w:t> </w:t>
      </w:r>
      <w:r>
        <w:rPr>
          <w:b/>
          <w:sz w:val="21"/>
        </w:rPr>
        <w:t>a</w:t>
      </w:r>
      <w:r>
        <w:rPr>
          <w:b/>
          <w:spacing w:val="11"/>
          <w:sz w:val="21"/>
        </w:rPr>
        <w:t> </w:t>
      </w:r>
      <w:r>
        <w:rPr>
          <w:b/>
          <w:sz w:val="21"/>
        </w:rPr>
        <w:t>controlling</w:t>
      </w:r>
      <w:r>
        <w:rPr>
          <w:b/>
          <w:spacing w:val="12"/>
          <w:sz w:val="21"/>
        </w:rPr>
        <w:t> </w:t>
      </w:r>
      <w:r>
        <w:rPr>
          <w:b/>
          <w:sz w:val="21"/>
        </w:rPr>
        <w:t>shareholder</w:t>
      </w:r>
      <w:r>
        <w:rPr>
          <w:b/>
          <w:spacing w:val="6"/>
          <w:sz w:val="21"/>
        </w:rPr>
        <w:t> </w:t>
      </w:r>
      <w:r>
        <w:rPr>
          <w:b/>
          <w:sz w:val="21"/>
        </w:rPr>
        <w:t>or</w:t>
      </w:r>
      <w:r>
        <w:rPr>
          <w:b/>
          <w:spacing w:val="7"/>
          <w:sz w:val="21"/>
        </w:rPr>
        <w:t> </w:t>
      </w:r>
      <w:r>
        <w:rPr>
          <w:b/>
          <w:sz w:val="21"/>
        </w:rPr>
        <w:t>shareholders</w:t>
      </w:r>
      <w:r>
        <w:rPr>
          <w:b/>
          <w:spacing w:val="12"/>
          <w:sz w:val="21"/>
        </w:rPr>
        <w:t> </w:t>
      </w:r>
      <w:r>
        <w:rPr>
          <w:b/>
          <w:sz w:val="21"/>
        </w:rPr>
        <w:t>of</w:t>
      </w:r>
      <w:r>
        <w:rPr>
          <w:b/>
          <w:spacing w:val="11"/>
          <w:sz w:val="21"/>
        </w:rPr>
        <w:t> </w:t>
      </w:r>
      <w:r>
        <w:rPr>
          <w:b/>
          <w:sz w:val="21"/>
        </w:rPr>
        <w:t>the</w:t>
      </w:r>
      <w:r>
        <w:rPr>
          <w:b/>
          <w:spacing w:val="12"/>
          <w:sz w:val="21"/>
        </w:rPr>
        <w:t> </w:t>
      </w:r>
      <w:r>
        <w:rPr>
          <w:b/>
          <w:spacing w:val="-2"/>
          <w:sz w:val="21"/>
        </w:rPr>
        <w:t>Concessionaire</w:t>
      </w:r>
    </w:p>
    <w:p>
      <w:pPr>
        <w:pStyle w:val="BodyText"/>
        <w:spacing w:before="146"/>
        <w:rPr>
          <w:b/>
          <w:sz w:val="21"/>
        </w:rPr>
      </w:pPr>
    </w:p>
    <w:p>
      <w:pPr>
        <w:spacing w:line="213" w:lineRule="auto" w:before="1"/>
        <w:ind w:left="144" w:right="118" w:firstLine="0"/>
        <w:jc w:val="both"/>
        <w:rPr>
          <w:sz w:val="21"/>
        </w:rPr>
      </w:pPr>
      <w:r>
        <w:rPr>
          <w:i/>
          <w:sz w:val="21"/>
        </w:rPr>
        <w:t>One</w:t>
      </w:r>
      <w:r>
        <w:rPr>
          <w:sz w:val="21"/>
        </w:rPr>
        <w:t>.</w:t>
      </w:r>
      <w:r>
        <w:rPr>
          <w:spacing w:val="22"/>
          <w:sz w:val="21"/>
        </w:rPr>
        <w:t> </w:t>
      </w:r>
      <w:r>
        <w:rPr>
          <w:sz w:val="21"/>
        </w:rPr>
        <w:t>The</w:t>
      </w:r>
      <w:r>
        <w:rPr>
          <w:spacing w:val="27"/>
          <w:sz w:val="21"/>
        </w:rPr>
        <w:t> </w:t>
      </w:r>
      <w:r>
        <w:rPr>
          <w:sz w:val="21"/>
        </w:rPr>
        <w:t>Government</w:t>
      </w:r>
      <w:r>
        <w:rPr>
          <w:spacing w:val="27"/>
          <w:sz w:val="21"/>
        </w:rPr>
        <w:t> </w:t>
      </w:r>
      <w:r>
        <w:rPr>
          <w:sz w:val="21"/>
        </w:rPr>
        <w:t>may</w:t>
      </w:r>
      <w:r>
        <w:rPr>
          <w:spacing w:val="27"/>
          <w:sz w:val="21"/>
        </w:rPr>
        <w:t> </w:t>
      </w:r>
      <w:r>
        <w:rPr>
          <w:sz w:val="21"/>
        </w:rPr>
        <w:t>require</w:t>
      </w:r>
      <w:r>
        <w:rPr>
          <w:spacing w:val="27"/>
          <w:sz w:val="21"/>
        </w:rPr>
        <w:t> </w:t>
      </w:r>
      <w:r>
        <w:rPr>
          <w:sz w:val="21"/>
        </w:rPr>
        <w:t>that</w:t>
      </w:r>
      <w:r>
        <w:rPr>
          <w:spacing w:val="27"/>
          <w:sz w:val="21"/>
        </w:rPr>
        <w:t> </w:t>
      </w:r>
      <w:r>
        <w:rPr>
          <w:sz w:val="21"/>
        </w:rPr>
        <w:t>the</w:t>
      </w:r>
      <w:r>
        <w:rPr>
          <w:spacing w:val="27"/>
          <w:sz w:val="21"/>
        </w:rPr>
        <w:t> </w:t>
      </w:r>
      <w:r>
        <w:rPr>
          <w:sz w:val="21"/>
        </w:rPr>
        <w:t>Concessionaire's</w:t>
      </w:r>
      <w:r>
        <w:rPr>
          <w:spacing w:val="27"/>
          <w:sz w:val="21"/>
        </w:rPr>
        <w:t> </w:t>
      </w:r>
      <w:r>
        <w:rPr>
          <w:sz w:val="21"/>
        </w:rPr>
        <w:t>controlling</w:t>
      </w:r>
      <w:r>
        <w:rPr>
          <w:spacing w:val="27"/>
          <w:sz w:val="21"/>
        </w:rPr>
        <w:t> </w:t>
      </w:r>
      <w:r>
        <w:rPr>
          <w:sz w:val="21"/>
        </w:rPr>
        <w:t>shareholder</w:t>
      </w:r>
      <w:r>
        <w:rPr>
          <w:spacing w:val="27"/>
          <w:sz w:val="21"/>
        </w:rPr>
        <w:t> </w:t>
      </w:r>
      <w:r>
        <w:rPr>
          <w:sz w:val="21"/>
        </w:rPr>
        <w:t>provide</w:t>
      </w:r>
      <w:r>
        <w:rPr>
          <w:spacing w:val="27"/>
          <w:sz w:val="21"/>
        </w:rPr>
        <w:t> </w:t>
      </w:r>
      <w:r>
        <w:rPr>
          <w:sz w:val="21"/>
        </w:rPr>
        <w:t>a</w:t>
      </w:r>
      <w:r>
        <w:rPr>
          <w:spacing w:val="27"/>
          <w:sz w:val="21"/>
        </w:rPr>
        <w:t> </w:t>
      </w:r>
      <w:r>
        <w:rPr>
          <w:sz w:val="21"/>
        </w:rPr>
        <w:t>guarantee</w:t>
      </w:r>
      <w:r>
        <w:rPr>
          <w:spacing w:val="27"/>
          <w:sz w:val="21"/>
        </w:rPr>
        <w:t> </w:t>
      </w:r>
      <w:r>
        <w:rPr>
          <w:sz w:val="21"/>
        </w:rPr>
        <w:t>to</w:t>
      </w:r>
      <w:r>
        <w:rPr>
          <w:spacing w:val="27"/>
          <w:sz w:val="21"/>
        </w:rPr>
        <w:t> </w:t>
      </w:r>
      <w:r>
        <w:rPr>
          <w:sz w:val="21"/>
        </w:rPr>
        <w:t>secure</w:t>
      </w:r>
      <w:r>
        <w:rPr>
          <w:spacing w:val="27"/>
          <w:sz w:val="21"/>
        </w:rPr>
        <w:t> </w:t>
      </w:r>
      <w:r>
        <w:rPr>
          <w:sz w:val="21"/>
        </w:rPr>
        <w:t>compliance</w:t>
      </w:r>
      <w:r>
        <w:rPr>
          <w:spacing w:val="27"/>
          <w:sz w:val="21"/>
        </w:rPr>
        <w:t> </w:t>
      </w:r>
      <w:r>
        <w:rPr>
          <w:sz w:val="21"/>
        </w:rPr>
        <w:t>with the commitments and obligations assumed by the Concessionaire; if the Concessionaire does not have a controlling shareholder, the Secretary</w:t>
      </w:r>
      <w:r>
        <w:rPr>
          <w:spacing w:val="32"/>
          <w:sz w:val="21"/>
        </w:rPr>
        <w:t> </w:t>
      </w:r>
      <w:r>
        <w:rPr>
          <w:sz w:val="21"/>
        </w:rPr>
        <w:t>for</w:t>
      </w:r>
      <w:r>
        <w:rPr>
          <w:spacing w:val="32"/>
          <w:sz w:val="21"/>
        </w:rPr>
        <w:t> </w:t>
      </w:r>
      <w:r>
        <w:rPr>
          <w:sz w:val="21"/>
        </w:rPr>
        <w:t>Economy</w:t>
      </w:r>
      <w:r>
        <w:rPr>
          <w:spacing w:val="32"/>
          <w:sz w:val="21"/>
        </w:rPr>
        <w:t> </w:t>
      </w:r>
      <w:r>
        <w:rPr>
          <w:sz w:val="21"/>
        </w:rPr>
        <w:t>and</w:t>
      </w:r>
      <w:r>
        <w:rPr>
          <w:spacing w:val="32"/>
          <w:sz w:val="21"/>
        </w:rPr>
        <w:t> </w:t>
      </w:r>
      <w:r>
        <w:rPr>
          <w:sz w:val="21"/>
        </w:rPr>
        <w:t>Finance</w:t>
      </w:r>
      <w:r>
        <w:rPr>
          <w:spacing w:val="32"/>
          <w:sz w:val="21"/>
        </w:rPr>
        <w:t> </w:t>
      </w:r>
      <w:r>
        <w:rPr>
          <w:sz w:val="21"/>
        </w:rPr>
        <w:t>may</w:t>
      </w:r>
      <w:r>
        <w:rPr>
          <w:spacing w:val="32"/>
          <w:sz w:val="21"/>
        </w:rPr>
        <w:t> </w:t>
      </w:r>
      <w:r>
        <w:rPr>
          <w:sz w:val="21"/>
        </w:rPr>
        <w:t>require</w:t>
      </w:r>
      <w:r>
        <w:rPr>
          <w:spacing w:val="32"/>
          <w:sz w:val="21"/>
        </w:rPr>
        <w:t> </w:t>
      </w:r>
      <w:r>
        <w:rPr>
          <w:sz w:val="21"/>
        </w:rPr>
        <w:t>that</w:t>
      </w:r>
      <w:r>
        <w:rPr>
          <w:spacing w:val="32"/>
          <w:sz w:val="21"/>
        </w:rPr>
        <w:t> </w:t>
      </w:r>
      <w:r>
        <w:rPr>
          <w:sz w:val="21"/>
        </w:rPr>
        <w:t>the</w:t>
      </w:r>
      <w:r>
        <w:rPr>
          <w:spacing w:val="32"/>
          <w:sz w:val="21"/>
        </w:rPr>
        <w:t> </w:t>
      </w:r>
      <w:r>
        <w:rPr>
          <w:sz w:val="21"/>
        </w:rPr>
        <w:t>aforementioned</w:t>
      </w:r>
      <w:r>
        <w:rPr>
          <w:spacing w:val="32"/>
          <w:sz w:val="21"/>
        </w:rPr>
        <w:t> </w:t>
      </w:r>
      <w:r>
        <w:rPr>
          <w:sz w:val="21"/>
        </w:rPr>
        <w:t>guarantee</w:t>
      </w:r>
      <w:r>
        <w:rPr>
          <w:spacing w:val="32"/>
          <w:sz w:val="21"/>
        </w:rPr>
        <w:t> </w:t>
      </w:r>
      <w:r>
        <w:rPr>
          <w:sz w:val="21"/>
        </w:rPr>
        <w:t>to</w:t>
      </w:r>
      <w:r>
        <w:rPr>
          <w:spacing w:val="32"/>
          <w:sz w:val="21"/>
        </w:rPr>
        <w:t> </w:t>
      </w:r>
      <w:r>
        <w:rPr>
          <w:sz w:val="21"/>
        </w:rPr>
        <w:t>be</w:t>
      </w:r>
      <w:r>
        <w:rPr>
          <w:spacing w:val="32"/>
          <w:sz w:val="21"/>
        </w:rPr>
        <w:t> </w:t>
      </w:r>
      <w:r>
        <w:rPr>
          <w:sz w:val="21"/>
        </w:rPr>
        <w:t>provided</w:t>
      </w:r>
      <w:r>
        <w:rPr>
          <w:spacing w:val="32"/>
          <w:sz w:val="21"/>
        </w:rPr>
        <w:t> </w:t>
      </w:r>
      <w:r>
        <w:rPr>
          <w:sz w:val="21"/>
        </w:rPr>
        <w:t>by</w:t>
      </w:r>
      <w:r>
        <w:rPr>
          <w:spacing w:val="32"/>
          <w:sz w:val="21"/>
        </w:rPr>
        <w:t> </w:t>
      </w:r>
      <w:r>
        <w:rPr>
          <w:sz w:val="21"/>
        </w:rPr>
        <w:t>shareholders</w:t>
      </w:r>
      <w:r>
        <w:rPr>
          <w:spacing w:val="32"/>
          <w:sz w:val="21"/>
        </w:rPr>
        <w:t> </w:t>
      </w:r>
      <w:r>
        <w:rPr>
          <w:sz w:val="21"/>
        </w:rPr>
        <w:t>holding</w:t>
      </w:r>
      <w:r>
        <w:rPr>
          <w:spacing w:val="32"/>
          <w:sz w:val="21"/>
        </w:rPr>
        <w:t> </w:t>
      </w:r>
      <w:r>
        <w:rPr>
          <w:sz w:val="21"/>
        </w:rPr>
        <w:t>5%</w:t>
      </w:r>
      <w:r>
        <w:rPr>
          <w:spacing w:val="32"/>
          <w:sz w:val="21"/>
        </w:rPr>
        <w:t> </w:t>
      </w:r>
      <w:r>
        <w:rPr>
          <w:sz w:val="21"/>
        </w:rPr>
        <w:t>or more of the Concessionaire's share capital.</w:t>
      </w:r>
    </w:p>
    <w:p>
      <w:pPr>
        <w:pStyle w:val="BodyText"/>
        <w:spacing w:before="154"/>
        <w:rPr>
          <w:sz w:val="21"/>
        </w:rPr>
      </w:pPr>
    </w:p>
    <w:p>
      <w:pPr>
        <w:spacing w:line="213" w:lineRule="auto" w:before="0"/>
        <w:ind w:left="144" w:right="118" w:firstLine="0"/>
        <w:jc w:val="both"/>
        <w:rPr>
          <w:sz w:val="21"/>
        </w:rPr>
      </w:pPr>
      <w:r>
        <w:rPr>
          <w:i/>
          <w:sz w:val="21"/>
        </w:rPr>
        <w:t>Two</w:t>
      </w:r>
      <w:r>
        <w:rPr>
          <w:sz w:val="21"/>
        </w:rPr>
        <w:t>.</w:t>
      </w:r>
      <w:r>
        <w:rPr>
          <w:spacing w:val="16"/>
          <w:sz w:val="21"/>
        </w:rPr>
        <w:t> </w:t>
      </w:r>
      <w:r>
        <w:rPr>
          <w:sz w:val="21"/>
        </w:rPr>
        <w:t>The</w:t>
      </w:r>
      <w:r>
        <w:rPr>
          <w:spacing w:val="21"/>
          <w:sz w:val="21"/>
        </w:rPr>
        <w:t> </w:t>
      </w:r>
      <w:r>
        <w:rPr>
          <w:sz w:val="21"/>
        </w:rPr>
        <w:t>guarantee</w:t>
      </w:r>
      <w:r>
        <w:rPr>
          <w:spacing w:val="21"/>
          <w:sz w:val="21"/>
        </w:rPr>
        <w:t> </w:t>
      </w:r>
      <w:r>
        <w:rPr>
          <w:sz w:val="21"/>
        </w:rPr>
        <w:t>referred</w:t>
      </w:r>
      <w:r>
        <w:rPr>
          <w:spacing w:val="21"/>
          <w:sz w:val="21"/>
        </w:rPr>
        <w:t> </w:t>
      </w:r>
      <w:r>
        <w:rPr>
          <w:sz w:val="21"/>
        </w:rPr>
        <w:t>to</w:t>
      </w:r>
      <w:r>
        <w:rPr>
          <w:spacing w:val="21"/>
          <w:sz w:val="21"/>
        </w:rPr>
        <w:t> </w:t>
      </w:r>
      <w:r>
        <w:rPr>
          <w:sz w:val="21"/>
        </w:rPr>
        <w:t>in</w:t>
      </w:r>
      <w:r>
        <w:rPr>
          <w:spacing w:val="21"/>
          <w:sz w:val="21"/>
        </w:rPr>
        <w:t> </w:t>
      </w:r>
      <w:r>
        <w:rPr>
          <w:sz w:val="21"/>
        </w:rPr>
        <w:t>the</w:t>
      </w:r>
      <w:r>
        <w:rPr>
          <w:spacing w:val="21"/>
          <w:sz w:val="21"/>
        </w:rPr>
        <w:t> </w:t>
      </w:r>
      <w:r>
        <w:rPr>
          <w:sz w:val="21"/>
        </w:rPr>
        <w:t>previous</w:t>
      </w:r>
      <w:r>
        <w:rPr>
          <w:spacing w:val="21"/>
          <w:sz w:val="21"/>
        </w:rPr>
        <w:t> </w:t>
      </w:r>
      <w:r>
        <w:rPr>
          <w:sz w:val="21"/>
        </w:rPr>
        <w:t>paragraph</w:t>
      </w:r>
      <w:r>
        <w:rPr>
          <w:spacing w:val="21"/>
          <w:sz w:val="21"/>
        </w:rPr>
        <w:t> </w:t>
      </w:r>
      <w:r>
        <w:rPr>
          <w:sz w:val="21"/>
        </w:rPr>
        <w:t>may</w:t>
      </w:r>
      <w:r>
        <w:rPr>
          <w:spacing w:val="21"/>
          <w:sz w:val="21"/>
        </w:rPr>
        <w:t> </w:t>
      </w:r>
      <w:r>
        <w:rPr>
          <w:sz w:val="21"/>
        </w:rPr>
        <w:t>be</w:t>
      </w:r>
      <w:r>
        <w:rPr>
          <w:spacing w:val="21"/>
          <w:sz w:val="21"/>
        </w:rPr>
        <w:t> </w:t>
      </w:r>
      <w:r>
        <w:rPr>
          <w:sz w:val="21"/>
        </w:rPr>
        <w:t>required</w:t>
      </w:r>
      <w:r>
        <w:rPr>
          <w:spacing w:val="21"/>
          <w:sz w:val="21"/>
        </w:rPr>
        <w:t> </w:t>
      </w:r>
      <w:r>
        <w:rPr>
          <w:sz w:val="21"/>
        </w:rPr>
        <w:t>when</w:t>
      </w:r>
      <w:r>
        <w:rPr>
          <w:spacing w:val="21"/>
          <w:sz w:val="21"/>
        </w:rPr>
        <w:t> </w:t>
      </w:r>
      <w:r>
        <w:rPr>
          <w:sz w:val="21"/>
        </w:rPr>
        <w:t>there</w:t>
      </w:r>
      <w:r>
        <w:rPr>
          <w:spacing w:val="21"/>
          <w:sz w:val="21"/>
        </w:rPr>
        <w:t> </w:t>
      </w:r>
      <w:r>
        <w:rPr>
          <w:sz w:val="21"/>
        </w:rPr>
        <w:t>is</w:t>
      </w:r>
      <w:r>
        <w:rPr>
          <w:spacing w:val="21"/>
          <w:sz w:val="21"/>
        </w:rPr>
        <w:t> </w:t>
      </w:r>
      <w:r>
        <w:rPr>
          <w:sz w:val="21"/>
        </w:rPr>
        <w:t>a</w:t>
      </w:r>
      <w:r>
        <w:rPr>
          <w:spacing w:val="21"/>
          <w:sz w:val="21"/>
        </w:rPr>
        <w:t> </w:t>
      </w:r>
      <w:r>
        <w:rPr>
          <w:sz w:val="21"/>
        </w:rPr>
        <w:t>justified</w:t>
      </w:r>
      <w:r>
        <w:rPr>
          <w:spacing w:val="21"/>
          <w:sz w:val="21"/>
        </w:rPr>
        <w:t> </w:t>
      </w:r>
      <w:r>
        <w:rPr>
          <w:sz w:val="21"/>
        </w:rPr>
        <w:t>fear</w:t>
      </w:r>
      <w:r>
        <w:rPr>
          <w:spacing w:val="21"/>
          <w:sz w:val="21"/>
        </w:rPr>
        <w:t> </w:t>
      </w:r>
      <w:r>
        <w:rPr>
          <w:sz w:val="21"/>
        </w:rPr>
        <w:t>that</w:t>
      </w:r>
      <w:r>
        <w:rPr>
          <w:spacing w:val="21"/>
          <w:sz w:val="21"/>
        </w:rPr>
        <w:t> </w:t>
      </w:r>
      <w:r>
        <w:rPr>
          <w:sz w:val="21"/>
        </w:rPr>
        <w:t>the</w:t>
      </w:r>
      <w:r>
        <w:rPr>
          <w:spacing w:val="21"/>
          <w:sz w:val="21"/>
        </w:rPr>
        <w:t> </w:t>
      </w:r>
      <w:r>
        <w:rPr>
          <w:sz w:val="21"/>
        </w:rPr>
        <w:t>Concessionaire</w:t>
      </w:r>
      <w:r>
        <w:rPr>
          <w:spacing w:val="21"/>
          <w:sz w:val="21"/>
        </w:rPr>
        <w:t> </w:t>
      </w:r>
      <w:r>
        <w:rPr>
          <w:sz w:val="21"/>
        </w:rPr>
        <w:t>will not be able to meet the legal and contractual obligations to which it is bound.</w:t>
      </w:r>
    </w:p>
    <w:p>
      <w:pPr>
        <w:pStyle w:val="BodyText"/>
        <w:spacing w:before="165"/>
        <w:rPr>
          <w:sz w:val="21"/>
        </w:rPr>
      </w:pPr>
    </w:p>
    <w:p>
      <w:pPr>
        <w:spacing w:line="213" w:lineRule="auto" w:before="1"/>
        <w:ind w:left="144" w:right="118" w:firstLine="0"/>
        <w:jc w:val="both"/>
        <w:rPr>
          <w:sz w:val="21"/>
        </w:rPr>
      </w:pPr>
      <w:r>
        <w:rPr>
          <w:i/>
          <w:sz w:val="21"/>
        </w:rPr>
        <w:t>Three</w:t>
      </w:r>
      <w:r>
        <w:rPr>
          <w:sz w:val="21"/>
        </w:rPr>
        <w:t>. The guarantee referred to in paragraph </w:t>
      </w:r>
      <w:r>
        <w:rPr>
          <w:i/>
          <w:sz w:val="21"/>
        </w:rPr>
        <w:t>one </w:t>
      </w:r>
      <w:r>
        <w:rPr>
          <w:sz w:val="21"/>
        </w:rPr>
        <w:t>may be provided by a cash deposit, bank guarantee, bond insurance, or any of the forms</w:t>
      </w:r>
      <w:r>
        <w:rPr>
          <w:spacing w:val="26"/>
          <w:sz w:val="21"/>
        </w:rPr>
        <w:t> </w:t>
      </w:r>
      <w:r>
        <w:rPr>
          <w:sz w:val="21"/>
        </w:rPr>
        <w:t>provided</w:t>
      </w:r>
      <w:r>
        <w:rPr>
          <w:spacing w:val="26"/>
          <w:sz w:val="21"/>
        </w:rPr>
        <w:t> </w:t>
      </w:r>
      <w:r>
        <w:rPr>
          <w:sz w:val="21"/>
        </w:rPr>
        <w:t>for</w:t>
      </w:r>
      <w:r>
        <w:rPr>
          <w:spacing w:val="26"/>
          <w:sz w:val="21"/>
        </w:rPr>
        <w:t> </w:t>
      </w:r>
      <w:r>
        <w:rPr>
          <w:sz w:val="21"/>
        </w:rPr>
        <w:t>in</w:t>
      </w:r>
      <w:r>
        <w:rPr>
          <w:spacing w:val="26"/>
          <w:sz w:val="21"/>
        </w:rPr>
        <w:t> </w:t>
      </w:r>
      <w:r>
        <w:rPr>
          <w:sz w:val="21"/>
        </w:rPr>
        <w:t>Section</w:t>
      </w:r>
      <w:r>
        <w:rPr>
          <w:spacing w:val="26"/>
          <w:sz w:val="21"/>
        </w:rPr>
        <w:t> </w:t>
      </w:r>
      <w:r>
        <w:rPr>
          <w:sz w:val="21"/>
        </w:rPr>
        <w:t>619</w:t>
      </w:r>
      <w:r>
        <w:rPr>
          <w:spacing w:val="26"/>
          <w:sz w:val="21"/>
        </w:rPr>
        <w:t> </w:t>
      </w:r>
      <w:r>
        <w:rPr>
          <w:sz w:val="21"/>
        </w:rPr>
        <w:t>of</w:t>
      </w:r>
      <w:r>
        <w:rPr>
          <w:spacing w:val="26"/>
          <w:sz w:val="21"/>
        </w:rPr>
        <w:t> </w:t>
      </w:r>
      <w:r>
        <w:rPr>
          <w:sz w:val="21"/>
        </w:rPr>
        <w:t>the</w:t>
      </w:r>
      <w:r>
        <w:rPr>
          <w:spacing w:val="26"/>
          <w:sz w:val="21"/>
        </w:rPr>
        <w:t> </w:t>
      </w:r>
      <w:r>
        <w:rPr>
          <w:sz w:val="21"/>
        </w:rPr>
        <w:t>Civil</w:t>
      </w:r>
      <w:r>
        <w:rPr>
          <w:spacing w:val="26"/>
          <w:sz w:val="21"/>
        </w:rPr>
        <w:t> </w:t>
      </w:r>
      <w:r>
        <w:rPr>
          <w:sz w:val="21"/>
        </w:rPr>
        <w:t>Code,</w:t>
      </w:r>
      <w:r>
        <w:rPr>
          <w:spacing w:val="26"/>
          <w:sz w:val="21"/>
        </w:rPr>
        <w:t> </w:t>
      </w:r>
      <w:r>
        <w:rPr>
          <w:sz w:val="21"/>
        </w:rPr>
        <w:t>within</w:t>
      </w:r>
      <w:r>
        <w:rPr>
          <w:spacing w:val="26"/>
          <w:sz w:val="21"/>
        </w:rPr>
        <w:t> </w:t>
      </w:r>
      <w:r>
        <w:rPr>
          <w:sz w:val="21"/>
        </w:rPr>
        <w:t>the</w:t>
      </w:r>
      <w:r>
        <w:rPr>
          <w:spacing w:val="26"/>
          <w:sz w:val="21"/>
        </w:rPr>
        <w:t> </w:t>
      </w:r>
      <w:r>
        <w:rPr>
          <w:sz w:val="21"/>
        </w:rPr>
        <w:t>period</w:t>
      </w:r>
      <w:r>
        <w:rPr>
          <w:spacing w:val="26"/>
          <w:sz w:val="21"/>
        </w:rPr>
        <w:t> </w:t>
      </w:r>
      <w:r>
        <w:rPr>
          <w:sz w:val="21"/>
        </w:rPr>
        <w:t>and</w:t>
      </w:r>
      <w:r>
        <w:rPr>
          <w:spacing w:val="26"/>
          <w:sz w:val="21"/>
        </w:rPr>
        <w:t> </w:t>
      </w:r>
      <w:r>
        <w:rPr>
          <w:sz w:val="21"/>
        </w:rPr>
        <w:t>under</w:t>
      </w:r>
      <w:r>
        <w:rPr>
          <w:spacing w:val="26"/>
          <w:sz w:val="21"/>
        </w:rPr>
        <w:t> </w:t>
      </w:r>
      <w:r>
        <w:rPr>
          <w:sz w:val="21"/>
        </w:rPr>
        <w:t>the</w:t>
      </w:r>
      <w:r>
        <w:rPr>
          <w:spacing w:val="26"/>
          <w:sz w:val="21"/>
        </w:rPr>
        <w:t> </w:t>
      </w:r>
      <w:r>
        <w:rPr>
          <w:sz w:val="21"/>
        </w:rPr>
        <w:t>terms,</w:t>
      </w:r>
      <w:r>
        <w:rPr>
          <w:spacing w:val="26"/>
          <w:sz w:val="21"/>
        </w:rPr>
        <w:t> </w:t>
      </w:r>
      <w:r>
        <w:rPr>
          <w:sz w:val="21"/>
        </w:rPr>
        <w:t>conditions</w:t>
      </w:r>
      <w:r>
        <w:rPr>
          <w:spacing w:val="26"/>
          <w:sz w:val="21"/>
        </w:rPr>
        <w:t> </w:t>
      </w:r>
      <w:r>
        <w:rPr>
          <w:sz w:val="21"/>
        </w:rPr>
        <w:t>and</w:t>
      </w:r>
      <w:r>
        <w:rPr>
          <w:spacing w:val="26"/>
          <w:sz w:val="21"/>
        </w:rPr>
        <w:t> </w:t>
      </w:r>
      <w:r>
        <w:rPr>
          <w:sz w:val="21"/>
        </w:rPr>
        <w:t>value</w:t>
      </w:r>
      <w:r>
        <w:rPr>
          <w:spacing w:val="26"/>
          <w:sz w:val="21"/>
        </w:rPr>
        <w:t> </w:t>
      </w:r>
      <w:r>
        <w:rPr>
          <w:sz w:val="21"/>
        </w:rPr>
        <w:t>to</w:t>
      </w:r>
      <w:r>
        <w:rPr>
          <w:spacing w:val="26"/>
          <w:sz w:val="21"/>
        </w:rPr>
        <w:t> </w:t>
      </w:r>
      <w:r>
        <w:rPr>
          <w:sz w:val="21"/>
        </w:rPr>
        <w:t>be</w:t>
      </w:r>
      <w:r>
        <w:rPr>
          <w:spacing w:val="26"/>
          <w:sz w:val="21"/>
        </w:rPr>
        <w:t> </w:t>
      </w:r>
      <w:r>
        <w:rPr>
          <w:sz w:val="21"/>
        </w:rPr>
        <w:t>defined</w:t>
      </w:r>
      <w:r>
        <w:rPr>
          <w:spacing w:val="26"/>
          <w:sz w:val="21"/>
        </w:rPr>
        <w:t> </w:t>
      </w:r>
      <w:r>
        <w:rPr>
          <w:sz w:val="21"/>
        </w:rPr>
        <w:t>by order of the Chief Executive.</w:t>
      </w:r>
    </w:p>
    <w:p>
      <w:pPr>
        <w:pStyle w:val="BodyText"/>
        <w:spacing w:before="153"/>
        <w:rPr>
          <w:sz w:val="21"/>
        </w:rPr>
      </w:pPr>
    </w:p>
    <w:p>
      <w:pPr>
        <w:spacing w:line="213" w:lineRule="auto" w:before="0"/>
        <w:ind w:left="144" w:right="118" w:firstLine="0"/>
        <w:jc w:val="both"/>
        <w:rPr>
          <w:sz w:val="21"/>
        </w:rPr>
      </w:pPr>
      <w:r>
        <w:rPr>
          <w:i/>
          <w:sz w:val="21"/>
        </w:rPr>
        <w:t>Four</w:t>
      </w:r>
      <w:r>
        <w:rPr>
          <w:sz w:val="21"/>
        </w:rPr>
        <w:t>. The Government may use this guarantee provided under this clause, regardless of a prior court decision, whenever </w:t>
      </w:r>
      <w:r>
        <w:rPr>
          <w:sz w:val="21"/>
        </w:rPr>
        <w:t>the Concessionaire</w:t>
      </w:r>
      <w:r>
        <w:rPr>
          <w:spacing w:val="25"/>
          <w:sz w:val="21"/>
        </w:rPr>
        <w:t> </w:t>
      </w:r>
      <w:r>
        <w:rPr>
          <w:sz w:val="21"/>
        </w:rPr>
        <w:t>fails</w:t>
      </w:r>
      <w:r>
        <w:rPr>
          <w:spacing w:val="25"/>
          <w:sz w:val="21"/>
        </w:rPr>
        <w:t> </w:t>
      </w:r>
      <w:r>
        <w:rPr>
          <w:sz w:val="21"/>
        </w:rPr>
        <w:t>to</w:t>
      </w:r>
      <w:r>
        <w:rPr>
          <w:spacing w:val="25"/>
          <w:sz w:val="21"/>
        </w:rPr>
        <w:t> </w:t>
      </w:r>
      <w:r>
        <w:rPr>
          <w:sz w:val="21"/>
        </w:rPr>
        <w:t>comply</w:t>
      </w:r>
      <w:r>
        <w:rPr>
          <w:spacing w:val="25"/>
          <w:sz w:val="21"/>
        </w:rPr>
        <w:t> </w:t>
      </w:r>
      <w:r>
        <w:rPr>
          <w:sz w:val="21"/>
        </w:rPr>
        <w:t>with</w:t>
      </w:r>
      <w:r>
        <w:rPr>
          <w:spacing w:val="25"/>
          <w:sz w:val="21"/>
        </w:rPr>
        <w:t> </w:t>
      </w:r>
      <w:r>
        <w:rPr>
          <w:sz w:val="21"/>
        </w:rPr>
        <w:t>its</w:t>
      </w:r>
      <w:r>
        <w:rPr>
          <w:spacing w:val="25"/>
          <w:sz w:val="21"/>
        </w:rPr>
        <w:t> </w:t>
      </w:r>
      <w:r>
        <w:rPr>
          <w:sz w:val="21"/>
        </w:rPr>
        <w:t>commitments</w:t>
      </w:r>
      <w:r>
        <w:rPr>
          <w:spacing w:val="25"/>
          <w:sz w:val="21"/>
        </w:rPr>
        <w:t> </w:t>
      </w:r>
      <w:r>
        <w:rPr>
          <w:sz w:val="21"/>
        </w:rPr>
        <w:t>and</w:t>
      </w:r>
      <w:r>
        <w:rPr>
          <w:spacing w:val="25"/>
          <w:sz w:val="21"/>
        </w:rPr>
        <w:t> </w:t>
      </w:r>
      <w:r>
        <w:rPr>
          <w:sz w:val="21"/>
        </w:rPr>
        <w:t>obligations</w:t>
      </w:r>
      <w:r>
        <w:rPr>
          <w:spacing w:val="25"/>
          <w:sz w:val="21"/>
        </w:rPr>
        <w:t> </w:t>
      </w:r>
      <w:r>
        <w:rPr>
          <w:sz w:val="21"/>
        </w:rPr>
        <w:t>under</w:t>
      </w:r>
      <w:r>
        <w:rPr>
          <w:spacing w:val="25"/>
          <w:sz w:val="21"/>
        </w:rPr>
        <w:t> </w:t>
      </w:r>
      <w:r>
        <w:rPr>
          <w:sz w:val="21"/>
        </w:rPr>
        <w:t>the</w:t>
      </w:r>
      <w:r>
        <w:rPr>
          <w:spacing w:val="25"/>
          <w:sz w:val="21"/>
        </w:rPr>
        <w:t> </w:t>
      </w:r>
      <w:r>
        <w:rPr>
          <w:sz w:val="21"/>
        </w:rPr>
        <w:t>terms</w:t>
      </w:r>
      <w:r>
        <w:rPr>
          <w:spacing w:val="25"/>
          <w:sz w:val="21"/>
        </w:rPr>
        <w:t> </w:t>
      </w:r>
      <w:r>
        <w:rPr>
          <w:sz w:val="21"/>
        </w:rPr>
        <w:t>of</w:t>
      </w:r>
      <w:r>
        <w:rPr>
          <w:spacing w:val="25"/>
          <w:sz w:val="21"/>
        </w:rPr>
        <w:t> </w:t>
      </w:r>
      <w:r>
        <w:rPr>
          <w:sz w:val="21"/>
        </w:rPr>
        <w:t>the</w:t>
      </w:r>
      <w:r>
        <w:rPr>
          <w:spacing w:val="25"/>
          <w:sz w:val="21"/>
        </w:rPr>
        <w:t> </w:t>
      </w:r>
      <w:r>
        <w:rPr>
          <w:sz w:val="21"/>
        </w:rPr>
        <w:t>law</w:t>
      </w:r>
      <w:r>
        <w:rPr>
          <w:spacing w:val="25"/>
          <w:sz w:val="21"/>
        </w:rPr>
        <w:t> </w:t>
      </w:r>
      <w:r>
        <w:rPr>
          <w:sz w:val="21"/>
        </w:rPr>
        <w:t>and</w:t>
      </w:r>
      <w:r>
        <w:rPr>
          <w:spacing w:val="25"/>
          <w:sz w:val="21"/>
        </w:rPr>
        <w:t> </w:t>
      </w:r>
      <w:r>
        <w:rPr>
          <w:sz w:val="21"/>
        </w:rPr>
        <w:t>this</w:t>
      </w:r>
      <w:r>
        <w:rPr>
          <w:spacing w:val="25"/>
          <w:sz w:val="21"/>
        </w:rPr>
        <w:t> </w:t>
      </w:r>
      <w:r>
        <w:rPr>
          <w:sz w:val="21"/>
        </w:rPr>
        <w:t>concession</w:t>
      </w:r>
      <w:r>
        <w:rPr>
          <w:spacing w:val="25"/>
          <w:sz w:val="21"/>
        </w:rPr>
        <w:t> </w:t>
      </w:r>
      <w:r>
        <w:rPr>
          <w:sz w:val="21"/>
        </w:rPr>
        <w:t>contract.</w:t>
      </w:r>
    </w:p>
    <w:p>
      <w:pPr>
        <w:pStyle w:val="BodyText"/>
        <w:spacing w:before="152"/>
        <w:rPr>
          <w:sz w:val="21"/>
        </w:rPr>
      </w:pPr>
    </w:p>
    <w:p>
      <w:pPr>
        <w:spacing w:line="213" w:lineRule="auto" w:before="0"/>
        <w:ind w:left="144" w:right="118" w:firstLine="0"/>
        <w:jc w:val="both"/>
        <w:rPr>
          <w:sz w:val="21"/>
        </w:rPr>
      </w:pPr>
      <w:r>
        <w:rPr>
          <w:i/>
          <w:sz w:val="21"/>
        </w:rPr>
        <w:t>Five</w:t>
      </w:r>
      <w:r>
        <w:rPr>
          <w:sz w:val="21"/>
        </w:rPr>
        <w:t>.</w:t>
      </w:r>
      <w:r>
        <w:rPr>
          <w:spacing w:val="40"/>
          <w:sz w:val="21"/>
        </w:rPr>
        <w:t> </w:t>
      </w:r>
      <w:r>
        <w:rPr>
          <w:sz w:val="21"/>
        </w:rPr>
        <w:t>Whenever</w:t>
      </w:r>
      <w:r>
        <w:rPr>
          <w:spacing w:val="40"/>
          <w:sz w:val="21"/>
        </w:rPr>
        <w:t> </w:t>
      </w:r>
      <w:r>
        <w:rPr>
          <w:sz w:val="21"/>
        </w:rPr>
        <w:t>the</w:t>
      </w:r>
      <w:r>
        <w:rPr>
          <w:spacing w:val="40"/>
          <w:sz w:val="21"/>
        </w:rPr>
        <w:t> </w:t>
      </w:r>
      <w:r>
        <w:rPr>
          <w:sz w:val="21"/>
        </w:rPr>
        <w:t>Government</w:t>
      </w:r>
      <w:r>
        <w:rPr>
          <w:spacing w:val="40"/>
          <w:sz w:val="21"/>
        </w:rPr>
        <w:t> </w:t>
      </w:r>
      <w:r>
        <w:rPr>
          <w:sz w:val="21"/>
        </w:rPr>
        <w:t>makes</w:t>
      </w:r>
      <w:r>
        <w:rPr>
          <w:spacing w:val="40"/>
          <w:sz w:val="21"/>
        </w:rPr>
        <w:t> </w:t>
      </w:r>
      <w:r>
        <w:rPr>
          <w:sz w:val="21"/>
        </w:rPr>
        <w:t>use</w:t>
      </w:r>
      <w:r>
        <w:rPr>
          <w:spacing w:val="40"/>
          <w:sz w:val="21"/>
        </w:rPr>
        <w:t> </w:t>
      </w:r>
      <w:r>
        <w:rPr>
          <w:sz w:val="21"/>
        </w:rPr>
        <w:t>of</w:t>
      </w:r>
      <w:r>
        <w:rPr>
          <w:spacing w:val="40"/>
          <w:sz w:val="21"/>
        </w:rPr>
        <w:t> </w:t>
      </w:r>
      <w:r>
        <w:rPr>
          <w:sz w:val="21"/>
        </w:rPr>
        <w:t>the</w:t>
      </w:r>
      <w:r>
        <w:rPr>
          <w:spacing w:val="40"/>
          <w:sz w:val="21"/>
        </w:rPr>
        <w:t> </w:t>
      </w:r>
      <w:r>
        <w:rPr>
          <w:sz w:val="21"/>
        </w:rPr>
        <w:t>guarantee</w:t>
      </w:r>
      <w:r>
        <w:rPr>
          <w:spacing w:val="40"/>
          <w:sz w:val="21"/>
        </w:rPr>
        <w:t> </w:t>
      </w:r>
      <w:r>
        <w:rPr>
          <w:sz w:val="21"/>
        </w:rPr>
        <w:t>provided</w:t>
      </w:r>
      <w:r>
        <w:rPr>
          <w:spacing w:val="40"/>
          <w:sz w:val="21"/>
        </w:rPr>
        <w:t> </w:t>
      </w:r>
      <w:r>
        <w:rPr>
          <w:sz w:val="21"/>
        </w:rPr>
        <w:t>under</w:t>
      </w:r>
      <w:r>
        <w:rPr>
          <w:spacing w:val="40"/>
          <w:sz w:val="21"/>
        </w:rPr>
        <w:t> </w:t>
      </w:r>
      <w:r>
        <w:rPr>
          <w:sz w:val="21"/>
        </w:rPr>
        <w:t>this</w:t>
      </w:r>
      <w:r>
        <w:rPr>
          <w:spacing w:val="40"/>
          <w:sz w:val="21"/>
        </w:rPr>
        <w:t> </w:t>
      </w:r>
      <w:r>
        <w:rPr>
          <w:sz w:val="21"/>
        </w:rPr>
        <w:t>clause,</w:t>
      </w:r>
      <w:r>
        <w:rPr>
          <w:spacing w:val="40"/>
          <w:sz w:val="21"/>
        </w:rPr>
        <w:t> </w:t>
      </w:r>
      <w:r>
        <w:rPr>
          <w:sz w:val="21"/>
        </w:rPr>
        <w:t>the</w:t>
      </w:r>
      <w:r>
        <w:rPr>
          <w:spacing w:val="40"/>
          <w:sz w:val="21"/>
        </w:rPr>
        <w:t> </w:t>
      </w:r>
      <w:r>
        <w:rPr>
          <w:sz w:val="21"/>
        </w:rPr>
        <w:t>Concessionaire</w:t>
      </w:r>
      <w:r>
        <w:rPr>
          <w:spacing w:val="40"/>
          <w:sz w:val="21"/>
        </w:rPr>
        <w:t> </w:t>
      </w:r>
      <w:r>
        <w:rPr>
          <w:sz w:val="21"/>
        </w:rPr>
        <w:t>shall</w:t>
      </w:r>
      <w:r>
        <w:rPr>
          <w:spacing w:val="40"/>
          <w:sz w:val="21"/>
        </w:rPr>
        <w:t> </w:t>
      </w:r>
      <w:r>
        <w:rPr>
          <w:sz w:val="21"/>
        </w:rPr>
        <w:t>pledges</w:t>
      </w:r>
      <w:r>
        <w:rPr>
          <w:spacing w:val="40"/>
          <w:sz w:val="21"/>
        </w:rPr>
        <w:t> </w:t>
      </w:r>
      <w:r>
        <w:rPr>
          <w:sz w:val="21"/>
        </w:rPr>
        <w:t>to endeavor</w:t>
      </w:r>
      <w:r>
        <w:rPr>
          <w:spacing w:val="39"/>
          <w:sz w:val="21"/>
        </w:rPr>
        <w:t> </w:t>
      </w:r>
      <w:r>
        <w:rPr>
          <w:sz w:val="21"/>
        </w:rPr>
        <w:t>that</w:t>
      </w:r>
      <w:r>
        <w:rPr>
          <w:spacing w:val="39"/>
          <w:sz w:val="21"/>
        </w:rPr>
        <w:t> </w:t>
      </w:r>
      <w:r>
        <w:rPr>
          <w:sz w:val="21"/>
        </w:rPr>
        <w:t>its</w:t>
      </w:r>
      <w:r>
        <w:rPr>
          <w:spacing w:val="39"/>
          <w:sz w:val="21"/>
        </w:rPr>
        <w:t> </w:t>
      </w:r>
      <w:r>
        <w:rPr>
          <w:sz w:val="21"/>
        </w:rPr>
        <w:t>controlling</w:t>
      </w:r>
      <w:r>
        <w:rPr>
          <w:spacing w:val="39"/>
          <w:sz w:val="21"/>
        </w:rPr>
        <w:t> </w:t>
      </w:r>
      <w:r>
        <w:rPr>
          <w:sz w:val="21"/>
        </w:rPr>
        <w:t>shareholder</w:t>
      </w:r>
      <w:r>
        <w:rPr>
          <w:spacing w:val="39"/>
          <w:sz w:val="21"/>
        </w:rPr>
        <w:t> </w:t>
      </w:r>
      <w:r>
        <w:rPr>
          <w:sz w:val="21"/>
        </w:rPr>
        <w:t>or</w:t>
      </w:r>
      <w:r>
        <w:rPr>
          <w:spacing w:val="39"/>
          <w:sz w:val="21"/>
        </w:rPr>
        <w:t> </w:t>
      </w:r>
      <w:r>
        <w:rPr>
          <w:sz w:val="21"/>
        </w:rPr>
        <w:t>shareholders</w:t>
      </w:r>
      <w:r>
        <w:rPr>
          <w:spacing w:val="39"/>
          <w:sz w:val="21"/>
        </w:rPr>
        <w:t> </w:t>
      </w:r>
      <w:r>
        <w:rPr>
          <w:sz w:val="21"/>
        </w:rPr>
        <w:t>take</w:t>
      </w:r>
      <w:r>
        <w:rPr>
          <w:spacing w:val="39"/>
          <w:sz w:val="21"/>
        </w:rPr>
        <w:t> </w:t>
      </w:r>
      <w:r>
        <w:rPr>
          <w:sz w:val="21"/>
        </w:rPr>
        <w:t>all</w:t>
      </w:r>
      <w:r>
        <w:rPr>
          <w:spacing w:val="39"/>
          <w:sz w:val="21"/>
        </w:rPr>
        <w:t> </w:t>
      </w:r>
      <w:r>
        <w:rPr>
          <w:sz w:val="21"/>
        </w:rPr>
        <w:t>necessary</w:t>
      </w:r>
      <w:r>
        <w:rPr>
          <w:spacing w:val="39"/>
          <w:sz w:val="21"/>
        </w:rPr>
        <w:t> </w:t>
      </w:r>
      <w:r>
        <w:rPr>
          <w:sz w:val="21"/>
        </w:rPr>
        <w:t>measures</w:t>
      </w:r>
      <w:r>
        <w:rPr>
          <w:spacing w:val="39"/>
          <w:sz w:val="21"/>
        </w:rPr>
        <w:t> </w:t>
      </w:r>
      <w:r>
        <w:rPr>
          <w:sz w:val="21"/>
        </w:rPr>
        <w:t>to</w:t>
      </w:r>
      <w:r>
        <w:rPr>
          <w:spacing w:val="39"/>
          <w:sz w:val="21"/>
        </w:rPr>
        <w:t> </w:t>
      </w:r>
      <w:r>
        <w:rPr>
          <w:sz w:val="21"/>
        </w:rPr>
        <w:t>restore</w:t>
      </w:r>
      <w:r>
        <w:rPr>
          <w:spacing w:val="39"/>
          <w:sz w:val="21"/>
        </w:rPr>
        <w:t> </w:t>
      </w:r>
      <w:r>
        <w:rPr>
          <w:sz w:val="21"/>
        </w:rPr>
        <w:t>the</w:t>
      </w:r>
      <w:r>
        <w:rPr>
          <w:spacing w:val="39"/>
          <w:sz w:val="21"/>
        </w:rPr>
        <w:t> </w:t>
      </w:r>
      <w:r>
        <w:rPr>
          <w:sz w:val="21"/>
        </w:rPr>
        <w:t>total</w:t>
      </w:r>
      <w:r>
        <w:rPr>
          <w:spacing w:val="39"/>
          <w:sz w:val="21"/>
        </w:rPr>
        <w:t> </w:t>
      </w:r>
      <w:r>
        <w:rPr>
          <w:sz w:val="21"/>
        </w:rPr>
        <w:t>amount</w:t>
      </w:r>
      <w:r>
        <w:rPr>
          <w:spacing w:val="39"/>
          <w:sz w:val="21"/>
        </w:rPr>
        <w:t> </w:t>
      </w:r>
      <w:r>
        <w:rPr>
          <w:sz w:val="21"/>
        </w:rPr>
        <w:t>of</w:t>
      </w:r>
      <w:r>
        <w:rPr>
          <w:spacing w:val="39"/>
          <w:sz w:val="21"/>
        </w:rPr>
        <w:t> </w:t>
      </w:r>
      <w:r>
        <w:rPr>
          <w:sz w:val="21"/>
        </w:rPr>
        <w:t>the</w:t>
      </w:r>
      <w:r>
        <w:rPr>
          <w:spacing w:val="39"/>
          <w:sz w:val="21"/>
        </w:rPr>
        <w:t> </w:t>
      </w:r>
      <w:r>
        <w:rPr>
          <w:sz w:val="21"/>
        </w:rPr>
        <w:t>guarantee within</w:t>
      </w:r>
      <w:r>
        <w:rPr>
          <w:spacing w:val="20"/>
          <w:sz w:val="21"/>
        </w:rPr>
        <w:t> </w:t>
      </w:r>
      <w:r>
        <w:rPr>
          <w:sz w:val="21"/>
        </w:rPr>
        <w:t>15</w:t>
      </w:r>
      <w:r>
        <w:rPr>
          <w:spacing w:val="20"/>
          <w:sz w:val="21"/>
        </w:rPr>
        <w:t> </w:t>
      </w:r>
      <w:r>
        <w:rPr>
          <w:sz w:val="21"/>
        </w:rPr>
        <w:t>days</w:t>
      </w:r>
      <w:r>
        <w:rPr>
          <w:spacing w:val="20"/>
          <w:sz w:val="21"/>
        </w:rPr>
        <w:t> </w:t>
      </w:r>
      <w:r>
        <w:rPr>
          <w:sz w:val="21"/>
        </w:rPr>
        <w:t>of</w:t>
      </w:r>
      <w:r>
        <w:rPr>
          <w:spacing w:val="20"/>
          <w:sz w:val="21"/>
        </w:rPr>
        <w:t> </w:t>
      </w:r>
      <w:r>
        <w:rPr>
          <w:sz w:val="21"/>
        </w:rPr>
        <w:t>the</w:t>
      </w:r>
      <w:r>
        <w:rPr>
          <w:spacing w:val="20"/>
          <w:sz w:val="21"/>
        </w:rPr>
        <w:t> </w:t>
      </w:r>
      <w:r>
        <w:rPr>
          <w:sz w:val="21"/>
        </w:rPr>
        <w:t>date</w:t>
      </w:r>
      <w:r>
        <w:rPr>
          <w:spacing w:val="20"/>
          <w:sz w:val="21"/>
        </w:rPr>
        <w:t> </w:t>
      </w:r>
      <w:r>
        <w:rPr>
          <w:sz w:val="21"/>
        </w:rPr>
        <w:t>on</w:t>
      </w:r>
      <w:r>
        <w:rPr>
          <w:spacing w:val="20"/>
          <w:sz w:val="21"/>
        </w:rPr>
        <w:t> </w:t>
      </w:r>
      <w:r>
        <w:rPr>
          <w:sz w:val="21"/>
        </w:rPr>
        <w:t>which</w:t>
      </w:r>
      <w:r>
        <w:rPr>
          <w:spacing w:val="20"/>
          <w:sz w:val="21"/>
        </w:rPr>
        <w:t> </w:t>
      </w:r>
      <w:r>
        <w:rPr>
          <w:sz w:val="21"/>
        </w:rPr>
        <w:t>it</w:t>
      </w:r>
      <w:r>
        <w:rPr>
          <w:spacing w:val="20"/>
          <w:sz w:val="21"/>
        </w:rPr>
        <w:t> </w:t>
      </w:r>
      <w:r>
        <w:rPr>
          <w:sz w:val="21"/>
        </w:rPr>
        <w:t>is</w:t>
      </w:r>
      <w:r>
        <w:rPr>
          <w:spacing w:val="20"/>
          <w:sz w:val="21"/>
        </w:rPr>
        <w:t> </w:t>
      </w:r>
      <w:r>
        <w:rPr>
          <w:sz w:val="21"/>
        </w:rPr>
        <w:t>notified</w:t>
      </w:r>
      <w:r>
        <w:rPr>
          <w:spacing w:val="20"/>
          <w:sz w:val="21"/>
        </w:rPr>
        <w:t> </w:t>
      </w:r>
      <w:r>
        <w:rPr>
          <w:sz w:val="21"/>
        </w:rPr>
        <w:t>of</w:t>
      </w:r>
      <w:r>
        <w:rPr>
          <w:spacing w:val="20"/>
          <w:sz w:val="21"/>
        </w:rPr>
        <w:t> </w:t>
      </w:r>
      <w:r>
        <w:rPr>
          <w:sz w:val="21"/>
        </w:rPr>
        <w:t>the</w:t>
      </w:r>
      <w:r>
        <w:rPr>
          <w:spacing w:val="20"/>
          <w:sz w:val="21"/>
        </w:rPr>
        <w:t> </w:t>
      </w:r>
      <w:r>
        <w:rPr>
          <w:sz w:val="21"/>
        </w:rPr>
        <w:t>order</w:t>
      </w:r>
      <w:r>
        <w:rPr>
          <w:spacing w:val="20"/>
          <w:sz w:val="21"/>
        </w:rPr>
        <w:t> </w:t>
      </w:r>
      <w:r>
        <w:rPr>
          <w:sz w:val="21"/>
        </w:rPr>
        <w:t>regarding</w:t>
      </w:r>
      <w:r>
        <w:rPr>
          <w:spacing w:val="20"/>
          <w:sz w:val="21"/>
        </w:rPr>
        <w:t> </w:t>
      </w:r>
      <w:r>
        <w:rPr>
          <w:sz w:val="21"/>
        </w:rPr>
        <w:t>the</w:t>
      </w:r>
      <w:r>
        <w:rPr>
          <w:spacing w:val="20"/>
          <w:sz w:val="21"/>
        </w:rPr>
        <w:t> </w:t>
      </w:r>
      <w:r>
        <w:rPr>
          <w:sz w:val="21"/>
        </w:rPr>
        <w:t>use</w:t>
      </w:r>
      <w:r>
        <w:rPr>
          <w:spacing w:val="20"/>
          <w:sz w:val="21"/>
        </w:rPr>
        <w:t> </w:t>
      </w:r>
      <w:r>
        <w:rPr>
          <w:sz w:val="21"/>
        </w:rPr>
        <w:t>of</w:t>
      </w:r>
      <w:r>
        <w:rPr>
          <w:spacing w:val="20"/>
          <w:sz w:val="21"/>
        </w:rPr>
        <w:t> </w:t>
      </w:r>
      <w:r>
        <w:rPr>
          <w:sz w:val="21"/>
        </w:rPr>
        <w:t>said</w:t>
      </w:r>
      <w:r>
        <w:rPr>
          <w:spacing w:val="20"/>
          <w:sz w:val="21"/>
        </w:rPr>
        <w:t> </w:t>
      </w:r>
      <w:r>
        <w:rPr>
          <w:sz w:val="21"/>
        </w:rPr>
        <w:t>guarantee.</w:t>
      </w:r>
    </w:p>
    <w:p>
      <w:pPr>
        <w:pStyle w:val="BodyText"/>
        <w:spacing w:before="167"/>
        <w:rPr>
          <w:sz w:val="21"/>
        </w:rPr>
      </w:pPr>
    </w:p>
    <w:p>
      <w:pPr>
        <w:spacing w:line="213" w:lineRule="auto" w:before="0"/>
        <w:ind w:left="144" w:right="118" w:firstLine="0"/>
        <w:jc w:val="both"/>
        <w:rPr>
          <w:sz w:val="21"/>
        </w:rPr>
      </w:pPr>
      <w:r>
        <w:rPr>
          <w:i/>
          <w:sz w:val="21"/>
        </w:rPr>
        <w:t>Six</w:t>
      </w:r>
      <w:r>
        <w:rPr>
          <w:sz w:val="21"/>
        </w:rPr>
        <w:t>. The terms and conditions of the guarantee provided under this clause may not be altered without the authorization of the </w:t>
      </w:r>
      <w:r>
        <w:rPr>
          <w:spacing w:val="-2"/>
          <w:sz w:val="21"/>
        </w:rPr>
        <w:t>Government.</w:t>
      </w:r>
    </w:p>
    <w:p>
      <w:pPr>
        <w:pStyle w:val="BodyText"/>
        <w:spacing w:before="120"/>
        <w:rPr>
          <w:sz w:val="21"/>
        </w:rPr>
      </w:pPr>
    </w:p>
    <w:p>
      <w:pPr>
        <w:pStyle w:val="Heading1"/>
      </w:pPr>
      <w:r>
        <w:rPr/>
        <w:t>CHAPTER </w:t>
      </w:r>
      <w:r>
        <w:rPr>
          <w:spacing w:val="-4"/>
        </w:rPr>
        <w:t>XIII</w:t>
      </w:r>
    </w:p>
    <w:p>
      <w:pPr>
        <w:pStyle w:val="Heading2"/>
      </w:pPr>
      <w:r>
        <w:rPr/>
        <w:t>Supervision</w:t>
      </w:r>
      <w:r>
        <w:rPr>
          <w:spacing w:val="-1"/>
        </w:rPr>
        <w:t> </w:t>
      </w:r>
      <w:r>
        <w:rPr/>
        <w:t>of</w:t>
      </w:r>
      <w:r>
        <w:rPr>
          <w:spacing w:val="-1"/>
        </w:rPr>
        <w:t> </w:t>
      </w:r>
      <w:r>
        <w:rPr/>
        <w:t>compliance</w:t>
      </w:r>
      <w:r>
        <w:rPr>
          <w:spacing w:val="-1"/>
        </w:rPr>
        <w:t> </w:t>
      </w:r>
      <w:r>
        <w:rPr/>
        <w:t>with</w:t>
      </w:r>
      <w:r>
        <w:rPr>
          <w:spacing w:val="-1"/>
        </w:rPr>
        <w:t> </w:t>
      </w:r>
      <w:r>
        <w:rPr/>
        <w:t>the</w:t>
      </w:r>
      <w:r>
        <w:rPr>
          <w:spacing w:val="-1"/>
        </w:rPr>
        <w:t> </w:t>
      </w:r>
      <w:r>
        <w:rPr/>
        <w:t>Concessionaire's </w:t>
      </w:r>
      <w:r>
        <w:rPr>
          <w:spacing w:val="-2"/>
        </w:rPr>
        <w:t>obligations</w:t>
      </w:r>
    </w:p>
    <w:p>
      <w:pPr>
        <w:pStyle w:val="BodyText"/>
        <w:spacing w:before="83"/>
        <w:rPr>
          <w:b/>
          <w:sz w:val="25"/>
        </w:rPr>
      </w:pPr>
    </w:p>
    <w:p>
      <w:pPr>
        <w:spacing w:before="0"/>
        <w:ind w:left="24" w:right="0" w:firstLine="0"/>
        <w:jc w:val="center"/>
        <w:rPr>
          <w:b/>
          <w:sz w:val="21"/>
        </w:rPr>
      </w:pPr>
      <w:r>
        <w:rPr>
          <w:b/>
          <w:sz w:val="21"/>
        </w:rPr>
        <w:t>Clause</w:t>
      </w:r>
      <w:r>
        <w:rPr>
          <w:b/>
          <w:spacing w:val="13"/>
          <w:sz w:val="21"/>
        </w:rPr>
        <w:t> </w:t>
      </w:r>
      <w:r>
        <w:rPr>
          <w:b/>
          <w:spacing w:val="-5"/>
          <w:sz w:val="21"/>
        </w:rPr>
        <w:t>67</w:t>
      </w:r>
    </w:p>
    <w:p>
      <w:pPr>
        <w:spacing w:before="69"/>
        <w:ind w:left="24" w:right="0" w:firstLine="0"/>
        <w:jc w:val="center"/>
        <w:rPr>
          <w:b/>
          <w:sz w:val="21"/>
        </w:rPr>
      </w:pPr>
      <w:r>
        <w:rPr>
          <w:b/>
          <w:sz w:val="21"/>
        </w:rPr>
        <w:t>Oversight,</w:t>
      </w:r>
      <w:r>
        <w:rPr>
          <w:b/>
          <w:spacing w:val="11"/>
          <w:sz w:val="21"/>
        </w:rPr>
        <w:t> </w:t>
      </w:r>
      <w:r>
        <w:rPr>
          <w:b/>
          <w:sz w:val="21"/>
        </w:rPr>
        <w:t>supervision</w:t>
      </w:r>
      <w:r>
        <w:rPr>
          <w:b/>
          <w:spacing w:val="12"/>
          <w:sz w:val="21"/>
        </w:rPr>
        <w:t> </w:t>
      </w:r>
      <w:r>
        <w:rPr>
          <w:b/>
          <w:sz w:val="21"/>
        </w:rPr>
        <w:t>and</w:t>
      </w:r>
      <w:r>
        <w:rPr>
          <w:b/>
          <w:spacing w:val="12"/>
          <w:sz w:val="21"/>
        </w:rPr>
        <w:t> </w:t>
      </w:r>
      <w:r>
        <w:rPr>
          <w:b/>
          <w:sz w:val="21"/>
        </w:rPr>
        <w:t>control</w:t>
      </w:r>
      <w:r>
        <w:rPr>
          <w:b/>
          <w:spacing w:val="12"/>
          <w:sz w:val="21"/>
        </w:rPr>
        <w:t> </w:t>
      </w:r>
      <w:r>
        <w:rPr>
          <w:b/>
          <w:sz w:val="21"/>
        </w:rPr>
        <w:t>by</w:t>
      </w:r>
      <w:r>
        <w:rPr>
          <w:b/>
          <w:spacing w:val="12"/>
          <w:sz w:val="21"/>
        </w:rPr>
        <w:t> </w:t>
      </w:r>
      <w:r>
        <w:rPr>
          <w:b/>
          <w:sz w:val="21"/>
        </w:rPr>
        <w:t>the</w:t>
      </w:r>
      <w:r>
        <w:rPr>
          <w:b/>
          <w:spacing w:val="11"/>
          <w:sz w:val="21"/>
        </w:rPr>
        <w:t> </w:t>
      </w:r>
      <w:r>
        <w:rPr>
          <w:b/>
          <w:spacing w:val="-2"/>
          <w:sz w:val="21"/>
        </w:rPr>
        <w:t>Government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3"/>
        <w:rPr>
          <w:b/>
          <w:sz w:val="20"/>
        </w:rPr>
      </w:pPr>
      <w:r>
        <w:rPr/>
        <mc:AlternateContent>
          <mc:Choice Requires="wps">
            <w:drawing>
              <wp:anchor distT="0" distB="0" distL="0" distR="0" allowOverlap="1" layoutInCell="1" locked="0" behindDoc="1" simplePos="0" relativeHeight="487782912">
                <wp:simplePos x="0" y="0"/>
                <wp:positionH relativeFrom="page">
                  <wp:posOffset>231457</wp:posOffset>
                </wp:positionH>
                <wp:positionV relativeFrom="paragraph">
                  <wp:posOffset>201282</wp:posOffset>
                </wp:positionV>
                <wp:extent cx="7312659" cy="17145"/>
                <wp:effectExtent l="0" t="0" r="0" b="0"/>
                <wp:wrapTopAndBottom/>
                <wp:docPr id="940" name="Group 940"/>
                <wp:cNvGraphicFramePr>
                  <a:graphicFrameLocks/>
                </wp:cNvGraphicFramePr>
                <a:graphic>
                  <a:graphicData uri="http://schemas.microsoft.com/office/word/2010/wordprocessingGroup">
                    <wpg:wgp>
                      <wpg:cNvPr id="940" name="Group 940"/>
                      <wpg:cNvGrpSpPr/>
                      <wpg:grpSpPr>
                        <a:xfrm>
                          <a:off x="0" y="0"/>
                          <a:ext cx="7312659" cy="17145"/>
                          <a:chExt cx="7312659" cy="17145"/>
                        </a:xfrm>
                      </wpg:grpSpPr>
                      <wps:wsp>
                        <wps:cNvPr id="941" name="Graphic 94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42" name="Graphic 942"/>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43" name="Graphic 94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849024pt;width:575.8pt;height:1.35pt;mso-position-horizontal-relative:page;mso-position-vertical-relative:paragraph;z-index:-15533568;mso-wrap-distance-left:0;mso-wrap-distance-right:0" id="docshapegroup938" coordorigin="364,317" coordsize="11516,27">
                <v:rect style="position:absolute;left:364;top:316;width:11516;height:14" id="docshape939" filled="true" fillcolor="#999999" stroked="false">
                  <v:fill type="solid"/>
                </v:rect>
                <v:shape style="position:absolute;left:364;top:316;width:11516;height:27" id="docshape940" coordorigin="364,317" coordsize="11516,27" path="m11880,317l11866,330,364,330,364,344,11866,344,11880,344,11880,330,11880,317xe" filled="true" fillcolor="#ededed" stroked="false">
                  <v:path arrowok="t"/>
                  <v:fill type="solid"/>
                </v:shape>
                <v:shape style="position:absolute;left:364;top:316;width:14;height:27" id="docshape941" coordorigin="364,317" coordsize="14,27" path="m364,344l364,317,378,317,378,330,364,344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pStyle w:val="BodyText"/>
        <w:spacing w:before="5"/>
        <w:rPr>
          <w:b/>
          <w:sz w:val="21"/>
        </w:rPr>
      </w:pPr>
    </w:p>
    <w:p>
      <w:pPr>
        <w:spacing w:line="213" w:lineRule="auto" w:before="0"/>
        <w:ind w:left="144" w:right="118" w:firstLine="0"/>
        <w:jc w:val="both"/>
        <w:rPr>
          <w:sz w:val="21"/>
        </w:rPr>
      </w:pPr>
      <w:r>
        <w:rPr>
          <w:i/>
          <w:sz w:val="21"/>
        </w:rPr>
        <w:t>One</w:t>
      </w:r>
      <w:r>
        <w:rPr>
          <w:sz w:val="21"/>
        </w:rPr>
        <w:t>.</w:t>
      </w:r>
      <w:r>
        <w:rPr>
          <w:spacing w:val="40"/>
          <w:sz w:val="21"/>
        </w:rPr>
        <w:t> </w:t>
      </w:r>
      <w:r>
        <w:rPr>
          <w:sz w:val="21"/>
        </w:rPr>
        <w:t>The</w:t>
      </w:r>
      <w:r>
        <w:rPr>
          <w:spacing w:val="40"/>
          <w:sz w:val="21"/>
        </w:rPr>
        <w:t> </w:t>
      </w:r>
      <w:r>
        <w:rPr>
          <w:sz w:val="21"/>
        </w:rPr>
        <w:t>power</w:t>
      </w:r>
      <w:r>
        <w:rPr>
          <w:spacing w:val="40"/>
          <w:sz w:val="21"/>
        </w:rPr>
        <w:t> </w:t>
      </w:r>
      <w:r>
        <w:rPr>
          <w:sz w:val="21"/>
        </w:rPr>
        <w:t>to</w:t>
      </w:r>
      <w:r>
        <w:rPr>
          <w:spacing w:val="40"/>
          <w:sz w:val="21"/>
        </w:rPr>
        <w:t> </w:t>
      </w:r>
      <w:r>
        <w:rPr>
          <w:sz w:val="21"/>
        </w:rPr>
        <w:t>supervise,</w:t>
      </w:r>
      <w:r>
        <w:rPr>
          <w:spacing w:val="40"/>
          <w:sz w:val="21"/>
        </w:rPr>
        <w:t> </w:t>
      </w:r>
      <w:r>
        <w:rPr>
          <w:sz w:val="21"/>
        </w:rPr>
        <w:t>oversee</w:t>
      </w:r>
      <w:r>
        <w:rPr>
          <w:spacing w:val="40"/>
          <w:sz w:val="21"/>
        </w:rPr>
        <w:t> </w:t>
      </w:r>
      <w:r>
        <w:rPr>
          <w:sz w:val="21"/>
        </w:rPr>
        <w:t>and</w:t>
      </w:r>
      <w:r>
        <w:rPr>
          <w:spacing w:val="40"/>
          <w:sz w:val="21"/>
        </w:rPr>
        <w:t> </w:t>
      </w:r>
      <w:r>
        <w:rPr>
          <w:sz w:val="21"/>
        </w:rPr>
        <w:t>monitor</w:t>
      </w:r>
      <w:r>
        <w:rPr>
          <w:spacing w:val="40"/>
          <w:sz w:val="21"/>
        </w:rPr>
        <w:t> </w:t>
      </w:r>
      <w:r>
        <w:rPr>
          <w:sz w:val="21"/>
        </w:rPr>
        <w:t>compliance</w:t>
      </w:r>
      <w:r>
        <w:rPr>
          <w:spacing w:val="40"/>
          <w:sz w:val="21"/>
        </w:rPr>
        <w:t> </w:t>
      </w:r>
      <w:r>
        <w:rPr>
          <w:sz w:val="21"/>
        </w:rPr>
        <w:t>with</w:t>
      </w:r>
      <w:r>
        <w:rPr>
          <w:spacing w:val="40"/>
          <w:sz w:val="21"/>
        </w:rPr>
        <w:t> </w:t>
      </w:r>
      <w:r>
        <w:rPr>
          <w:sz w:val="21"/>
        </w:rPr>
        <w:t>the</w:t>
      </w:r>
      <w:r>
        <w:rPr>
          <w:spacing w:val="40"/>
          <w:sz w:val="21"/>
        </w:rPr>
        <w:t> </w:t>
      </w:r>
      <w:r>
        <w:rPr>
          <w:sz w:val="21"/>
        </w:rPr>
        <w:t>Concessionaire's</w:t>
      </w:r>
      <w:r>
        <w:rPr>
          <w:spacing w:val="40"/>
          <w:sz w:val="21"/>
        </w:rPr>
        <w:t> </w:t>
      </w:r>
      <w:r>
        <w:rPr>
          <w:sz w:val="21"/>
        </w:rPr>
        <w:t>obligations</w:t>
      </w:r>
      <w:r>
        <w:rPr>
          <w:spacing w:val="40"/>
          <w:sz w:val="21"/>
        </w:rPr>
        <w:t> </w:t>
      </w:r>
      <w:r>
        <w:rPr>
          <w:sz w:val="21"/>
        </w:rPr>
        <w:t>is</w:t>
      </w:r>
      <w:r>
        <w:rPr>
          <w:spacing w:val="40"/>
          <w:sz w:val="21"/>
        </w:rPr>
        <w:t> </w:t>
      </w:r>
      <w:r>
        <w:rPr>
          <w:sz w:val="21"/>
        </w:rPr>
        <w:t>exercised</w:t>
      </w:r>
      <w:r>
        <w:rPr>
          <w:spacing w:val="40"/>
          <w:sz w:val="21"/>
        </w:rPr>
        <w:t> </w:t>
      </w:r>
      <w:r>
        <w:rPr>
          <w:sz w:val="21"/>
        </w:rPr>
        <w:t>by</w:t>
      </w:r>
      <w:r>
        <w:rPr>
          <w:spacing w:val="40"/>
          <w:sz w:val="21"/>
        </w:rPr>
        <w:t> </w:t>
      </w:r>
      <w:r>
        <w:rPr>
          <w:sz w:val="21"/>
        </w:rPr>
        <w:t>the Government, namely through DICJ and DSF.</w:t>
      </w:r>
    </w:p>
    <w:p>
      <w:pPr>
        <w:pStyle w:val="BodyText"/>
        <w:spacing w:before="152"/>
        <w:rPr>
          <w:sz w:val="21"/>
        </w:rPr>
      </w:pPr>
    </w:p>
    <w:p>
      <w:pPr>
        <w:spacing w:line="213" w:lineRule="auto" w:before="0"/>
        <w:ind w:left="144" w:right="118" w:firstLine="0"/>
        <w:jc w:val="both"/>
        <w:rPr>
          <w:sz w:val="21"/>
        </w:rPr>
      </w:pPr>
      <w:r>
        <w:rPr>
          <w:i/>
          <w:sz w:val="21"/>
        </w:rPr>
        <w:t>Two</w:t>
      </w:r>
      <w:r>
        <w:rPr>
          <w:sz w:val="21"/>
        </w:rPr>
        <w:t>. For the due purposes, the Concessionaire undertakes, whenever requested to do so by the Government and without the need </w:t>
      </w:r>
      <w:r>
        <w:rPr>
          <w:sz w:val="21"/>
        </w:rPr>
        <w:t>for prior</w:t>
      </w:r>
      <w:r>
        <w:rPr>
          <w:spacing w:val="22"/>
          <w:sz w:val="21"/>
        </w:rPr>
        <w:t> </w:t>
      </w:r>
      <w:r>
        <w:rPr>
          <w:sz w:val="21"/>
        </w:rPr>
        <w:t>notice,</w:t>
      </w:r>
      <w:r>
        <w:rPr>
          <w:spacing w:val="22"/>
          <w:sz w:val="21"/>
        </w:rPr>
        <w:t> </w:t>
      </w:r>
      <w:r>
        <w:rPr>
          <w:sz w:val="21"/>
        </w:rPr>
        <w:t>to</w:t>
      </w:r>
      <w:r>
        <w:rPr>
          <w:spacing w:val="22"/>
          <w:sz w:val="21"/>
        </w:rPr>
        <w:t> </w:t>
      </w:r>
      <w:r>
        <w:rPr>
          <w:sz w:val="21"/>
        </w:rPr>
        <w:t>give</w:t>
      </w:r>
      <w:r>
        <w:rPr>
          <w:spacing w:val="22"/>
          <w:sz w:val="21"/>
        </w:rPr>
        <w:t> </w:t>
      </w:r>
      <w:r>
        <w:rPr>
          <w:sz w:val="21"/>
        </w:rPr>
        <w:t>the</w:t>
      </w:r>
      <w:r>
        <w:rPr>
          <w:spacing w:val="22"/>
          <w:sz w:val="21"/>
        </w:rPr>
        <w:t> </w:t>
      </w:r>
      <w:r>
        <w:rPr>
          <w:sz w:val="21"/>
        </w:rPr>
        <w:t>Government,</w:t>
      </w:r>
      <w:r>
        <w:rPr>
          <w:spacing w:val="22"/>
          <w:sz w:val="21"/>
        </w:rPr>
        <w:t> </w:t>
      </w:r>
      <w:r>
        <w:rPr>
          <w:sz w:val="21"/>
        </w:rPr>
        <w:t>or</w:t>
      </w:r>
      <w:r>
        <w:rPr>
          <w:spacing w:val="22"/>
          <w:sz w:val="21"/>
        </w:rPr>
        <w:t> </w:t>
      </w:r>
      <w:r>
        <w:rPr>
          <w:sz w:val="21"/>
        </w:rPr>
        <w:t>any</w:t>
      </w:r>
      <w:r>
        <w:rPr>
          <w:spacing w:val="22"/>
          <w:sz w:val="21"/>
        </w:rPr>
        <w:t> </w:t>
      </w:r>
      <w:r>
        <w:rPr>
          <w:sz w:val="21"/>
        </w:rPr>
        <w:t>other</w:t>
      </w:r>
      <w:r>
        <w:rPr>
          <w:spacing w:val="22"/>
          <w:sz w:val="21"/>
        </w:rPr>
        <w:t> </w:t>
      </w:r>
      <w:r>
        <w:rPr>
          <w:sz w:val="21"/>
        </w:rPr>
        <w:t>entity</w:t>
      </w:r>
      <w:r>
        <w:rPr>
          <w:spacing w:val="22"/>
          <w:sz w:val="21"/>
        </w:rPr>
        <w:t> </w:t>
      </w:r>
      <w:r>
        <w:rPr>
          <w:sz w:val="21"/>
        </w:rPr>
        <w:t>appointed</w:t>
      </w:r>
      <w:r>
        <w:rPr>
          <w:spacing w:val="22"/>
          <w:sz w:val="21"/>
        </w:rPr>
        <w:t> </w:t>
      </w:r>
      <w:r>
        <w:rPr>
          <w:sz w:val="21"/>
        </w:rPr>
        <w:t>by</w:t>
      </w:r>
      <w:r>
        <w:rPr>
          <w:spacing w:val="22"/>
          <w:sz w:val="21"/>
        </w:rPr>
        <w:t> </w:t>
      </w:r>
      <w:r>
        <w:rPr>
          <w:sz w:val="21"/>
        </w:rPr>
        <w:t>it</w:t>
      </w:r>
      <w:r>
        <w:rPr>
          <w:spacing w:val="22"/>
          <w:sz w:val="21"/>
        </w:rPr>
        <w:t> </w:t>
      </w:r>
      <w:r>
        <w:rPr>
          <w:sz w:val="21"/>
        </w:rPr>
        <w:t>duly</w:t>
      </w:r>
      <w:r>
        <w:rPr>
          <w:spacing w:val="22"/>
          <w:sz w:val="21"/>
        </w:rPr>
        <w:t> </w:t>
      </w:r>
      <w:r>
        <w:rPr>
          <w:sz w:val="21"/>
        </w:rPr>
        <w:t>authorized</w:t>
      </w:r>
      <w:r>
        <w:rPr>
          <w:spacing w:val="22"/>
          <w:sz w:val="21"/>
        </w:rPr>
        <w:t> </w:t>
      </w:r>
      <w:r>
        <w:rPr>
          <w:sz w:val="21"/>
        </w:rPr>
        <w:t>for</w:t>
      </w:r>
      <w:r>
        <w:rPr>
          <w:spacing w:val="22"/>
          <w:sz w:val="21"/>
        </w:rPr>
        <w:t> </w:t>
      </w:r>
      <w:r>
        <w:rPr>
          <w:sz w:val="21"/>
        </w:rPr>
        <w:t>this</w:t>
      </w:r>
      <w:r>
        <w:rPr>
          <w:spacing w:val="22"/>
          <w:sz w:val="21"/>
        </w:rPr>
        <w:t> </w:t>
      </w:r>
      <w:r>
        <w:rPr>
          <w:sz w:val="21"/>
        </w:rPr>
        <w:t>purpose</w:t>
      </w:r>
      <w:r>
        <w:rPr>
          <w:spacing w:val="22"/>
          <w:sz w:val="21"/>
        </w:rPr>
        <w:t> </w:t>
      </w:r>
      <w:r>
        <w:rPr>
          <w:sz w:val="21"/>
        </w:rPr>
        <w:t>and</w:t>
      </w:r>
      <w:r>
        <w:rPr>
          <w:spacing w:val="22"/>
          <w:sz w:val="21"/>
        </w:rPr>
        <w:t> </w:t>
      </w:r>
      <w:r>
        <w:rPr>
          <w:sz w:val="21"/>
        </w:rPr>
        <w:t>identified,</w:t>
      </w:r>
      <w:r>
        <w:rPr>
          <w:spacing w:val="22"/>
          <w:sz w:val="21"/>
        </w:rPr>
        <w:t> </w:t>
      </w:r>
      <w:r>
        <w:rPr>
          <w:sz w:val="21"/>
        </w:rPr>
        <w:t>free</w:t>
      </w:r>
      <w:r>
        <w:rPr>
          <w:spacing w:val="22"/>
          <w:sz w:val="21"/>
        </w:rPr>
        <w:t> </w:t>
      </w:r>
      <w:r>
        <w:rPr>
          <w:sz w:val="21"/>
        </w:rPr>
        <w:t>access to</w:t>
      </w:r>
      <w:r>
        <w:rPr>
          <w:spacing w:val="40"/>
          <w:sz w:val="21"/>
        </w:rPr>
        <w:t> </w:t>
      </w:r>
      <w:r>
        <w:rPr>
          <w:sz w:val="21"/>
        </w:rPr>
        <w:t>any</w:t>
      </w:r>
      <w:r>
        <w:rPr>
          <w:spacing w:val="40"/>
          <w:sz w:val="21"/>
        </w:rPr>
        <w:t> </w:t>
      </w:r>
      <w:r>
        <w:rPr>
          <w:sz w:val="21"/>
        </w:rPr>
        <w:t>part</w:t>
      </w:r>
      <w:r>
        <w:rPr>
          <w:spacing w:val="40"/>
          <w:sz w:val="21"/>
        </w:rPr>
        <w:t> </w:t>
      </w:r>
      <w:r>
        <w:rPr>
          <w:sz w:val="21"/>
        </w:rPr>
        <w:t>of</w:t>
      </w:r>
      <w:r>
        <w:rPr>
          <w:spacing w:val="40"/>
          <w:sz w:val="21"/>
        </w:rPr>
        <w:t> </w:t>
      </w:r>
      <w:r>
        <w:rPr>
          <w:sz w:val="21"/>
        </w:rPr>
        <w:t>its</w:t>
      </w:r>
      <w:r>
        <w:rPr>
          <w:spacing w:val="40"/>
          <w:sz w:val="21"/>
        </w:rPr>
        <w:t> </w:t>
      </w:r>
      <w:r>
        <w:rPr>
          <w:sz w:val="21"/>
        </w:rPr>
        <w:t>premises,</w:t>
      </w:r>
      <w:r>
        <w:rPr>
          <w:spacing w:val="40"/>
          <w:sz w:val="21"/>
        </w:rPr>
        <w:t> </w:t>
      </w:r>
      <w:r>
        <w:rPr>
          <w:sz w:val="21"/>
        </w:rPr>
        <w:t>as</w:t>
      </w:r>
      <w:r>
        <w:rPr>
          <w:spacing w:val="40"/>
          <w:sz w:val="21"/>
        </w:rPr>
        <w:t> </w:t>
      </w:r>
      <w:r>
        <w:rPr>
          <w:sz w:val="21"/>
        </w:rPr>
        <w:t>well</w:t>
      </w:r>
      <w:r>
        <w:rPr>
          <w:spacing w:val="40"/>
          <w:sz w:val="21"/>
        </w:rPr>
        <w:t> </w:t>
      </w:r>
      <w:r>
        <w:rPr>
          <w:sz w:val="21"/>
        </w:rPr>
        <w:t>as</w:t>
      </w:r>
      <w:r>
        <w:rPr>
          <w:spacing w:val="40"/>
          <w:sz w:val="21"/>
        </w:rPr>
        <w:t> </w:t>
      </w:r>
      <w:r>
        <w:rPr>
          <w:sz w:val="21"/>
        </w:rPr>
        <w:t>free</w:t>
      </w:r>
      <w:r>
        <w:rPr>
          <w:spacing w:val="40"/>
          <w:sz w:val="21"/>
        </w:rPr>
        <w:t> </w:t>
      </w:r>
      <w:r>
        <w:rPr>
          <w:sz w:val="21"/>
        </w:rPr>
        <w:t>access</w:t>
      </w:r>
      <w:r>
        <w:rPr>
          <w:spacing w:val="40"/>
          <w:sz w:val="21"/>
        </w:rPr>
        <w:t> </w:t>
      </w:r>
      <w:r>
        <w:rPr>
          <w:sz w:val="21"/>
        </w:rPr>
        <w:t>to</w:t>
      </w:r>
      <w:r>
        <w:rPr>
          <w:spacing w:val="40"/>
          <w:sz w:val="21"/>
        </w:rPr>
        <w:t> </w:t>
      </w:r>
      <w:r>
        <w:rPr>
          <w:sz w:val="21"/>
        </w:rPr>
        <w:t>inspect</w:t>
      </w:r>
      <w:r>
        <w:rPr>
          <w:spacing w:val="40"/>
          <w:sz w:val="21"/>
        </w:rPr>
        <w:t> </w:t>
      </w:r>
      <w:r>
        <w:rPr>
          <w:sz w:val="21"/>
        </w:rPr>
        <w:t>the</w:t>
      </w:r>
      <w:r>
        <w:rPr>
          <w:spacing w:val="40"/>
          <w:sz w:val="21"/>
        </w:rPr>
        <w:t> </w:t>
      </w:r>
      <w:r>
        <w:rPr>
          <w:sz w:val="21"/>
        </w:rPr>
        <w:t>accounting</w:t>
      </w:r>
      <w:r>
        <w:rPr>
          <w:spacing w:val="40"/>
          <w:sz w:val="21"/>
        </w:rPr>
        <w:t> </w:t>
      </w:r>
      <w:r>
        <w:rPr>
          <w:sz w:val="21"/>
        </w:rPr>
        <w:t>or</w:t>
      </w:r>
      <w:r>
        <w:rPr>
          <w:spacing w:val="40"/>
          <w:sz w:val="21"/>
        </w:rPr>
        <w:t> </w:t>
      </w:r>
      <w:r>
        <w:rPr>
          <w:sz w:val="21"/>
        </w:rPr>
        <w:t>bookkeeping,</w:t>
      </w:r>
      <w:r>
        <w:rPr>
          <w:spacing w:val="40"/>
          <w:sz w:val="21"/>
        </w:rPr>
        <w:t> </w:t>
      </w:r>
      <w:r>
        <w:rPr>
          <w:sz w:val="21"/>
        </w:rPr>
        <w:t>including</w:t>
      </w:r>
      <w:r>
        <w:rPr>
          <w:spacing w:val="40"/>
          <w:sz w:val="21"/>
        </w:rPr>
        <w:t> </w:t>
      </w:r>
      <w:r>
        <w:rPr>
          <w:sz w:val="21"/>
        </w:rPr>
        <w:t>any</w:t>
      </w:r>
      <w:r>
        <w:rPr>
          <w:spacing w:val="40"/>
          <w:sz w:val="21"/>
        </w:rPr>
        <w:t> </w:t>
      </w:r>
      <w:r>
        <w:rPr>
          <w:sz w:val="21"/>
        </w:rPr>
        <w:t>transactions,</w:t>
      </w:r>
      <w:r>
        <w:rPr>
          <w:spacing w:val="40"/>
          <w:sz w:val="21"/>
        </w:rPr>
        <w:t> </w:t>
      </w:r>
      <w:r>
        <w:rPr>
          <w:sz w:val="21"/>
        </w:rPr>
        <w:t>books, minutes,</w:t>
      </w:r>
      <w:r>
        <w:rPr>
          <w:spacing w:val="26"/>
          <w:sz w:val="21"/>
        </w:rPr>
        <w:t> </w:t>
      </w:r>
      <w:r>
        <w:rPr>
          <w:sz w:val="21"/>
        </w:rPr>
        <w:t>accounts,</w:t>
      </w:r>
      <w:r>
        <w:rPr>
          <w:spacing w:val="26"/>
          <w:sz w:val="21"/>
        </w:rPr>
        <w:t> </w:t>
      </w:r>
      <w:r>
        <w:rPr>
          <w:sz w:val="21"/>
        </w:rPr>
        <w:t>and</w:t>
      </w:r>
      <w:r>
        <w:rPr>
          <w:spacing w:val="26"/>
          <w:sz w:val="21"/>
        </w:rPr>
        <w:t> </w:t>
      </w:r>
      <w:r>
        <w:rPr>
          <w:sz w:val="21"/>
        </w:rPr>
        <w:t>other</w:t>
      </w:r>
      <w:r>
        <w:rPr>
          <w:spacing w:val="26"/>
          <w:sz w:val="21"/>
        </w:rPr>
        <w:t> </w:t>
      </w:r>
      <w:r>
        <w:rPr>
          <w:sz w:val="21"/>
        </w:rPr>
        <w:t>records</w:t>
      </w:r>
      <w:r>
        <w:rPr>
          <w:spacing w:val="26"/>
          <w:sz w:val="21"/>
        </w:rPr>
        <w:t> </w:t>
      </w:r>
      <w:r>
        <w:rPr>
          <w:sz w:val="21"/>
        </w:rPr>
        <w:t>or</w:t>
      </w:r>
      <w:r>
        <w:rPr>
          <w:spacing w:val="26"/>
          <w:sz w:val="21"/>
        </w:rPr>
        <w:t> </w:t>
      </w:r>
      <w:r>
        <w:rPr>
          <w:sz w:val="21"/>
        </w:rPr>
        <w:t>documents,</w:t>
      </w:r>
      <w:r>
        <w:rPr>
          <w:spacing w:val="26"/>
          <w:sz w:val="21"/>
        </w:rPr>
        <w:t> </w:t>
      </w:r>
      <w:r>
        <w:rPr>
          <w:sz w:val="21"/>
        </w:rPr>
        <w:t>the</w:t>
      </w:r>
      <w:r>
        <w:rPr>
          <w:spacing w:val="26"/>
          <w:sz w:val="21"/>
        </w:rPr>
        <w:t> </w:t>
      </w:r>
      <w:r>
        <w:rPr>
          <w:sz w:val="21"/>
        </w:rPr>
        <w:t>statistics</w:t>
      </w:r>
      <w:r>
        <w:rPr>
          <w:spacing w:val="26"/>
          <w:sz w:val="21"/>
        </w:rPr>
        <w:t> </w:t>
      </w:r>
      <w:r>
        <w:rPr>
          <w:sz w:val="21"/>
        </w:rPr>
        <w:t>and</w:t>
      </w:r>
      <w:r>
        <w:rPr>
          <w:spacing w:val="26"/>
          <w:sz w:val="21"/>
        </w:rPr>
        <w:t> </w:t>
      </w:r>
      <w:r>
        <w:rPr>
          <w:sz w:val="21"/>
        </w:rPr>
        <w:t>management</w:t>
      </w:r>
      <w:r>
        <w:rPr>
          <w:spacing w:val="26"/>
          <w:sz w:val="21"/>
        </w:rPr>
        <w:t> </w:t>
      </w:r>
      <w:r>
        <w:rPr>
          <w:sz w:val="21"/>
        </w:rPr>
        <w:t>records</w:t>
      </w:r>
      <w:r>
        <w:rPr>
          <w:spacing w:val="26"/>
          <w:sz w:val="21"/>
        </w:rPr>
        <w:t> </w:t>
      </w:r>
      <w:r>
        <w:rPr>
          <w:sz w:val="21"/>
        </w:rPr>
        <w:t>used,</w:t>
      </w:r>
      <w:r>
        <w:rPr>
          <w:spacing w:val="26"/>
          <w:sz w:val="21"/>
        </w:rPr>
        <w:t> </w:t>
      </w:r>
      <w:r>
        <w:rPr>
          <w:sz w:val="21"/>
        </w:rPr>
        <w:t>and</w:t>
      </w:r>
      <w:r>
        <w:rPr>
          <w:spacing w:val="26"/>
          <w:sz w:val="21"/>
        </w:rPr>
        <w:t> </w:t>
      </w:r>
      <w:r>
        <w:rPr>
          <w:sz w:val="21"/>
        </w:rPr>
        <w:t>to</w:t>
      </w:r>
      <w:r>
        <w:rPr>
          <w:spacing w:val="26"/>
          <w:sz w:val="21"/>
        </w:rPr>
        <w:t> </w:t>
      </w:r>
      <w:r>
        <w:rPr>
          <w:sz w:val="21"/>
        </w:rPr>
        <w:t>provide</w:t>
      </w:r>
      <w:r>
        <w:rPr>
          <w:spacing w:val="26"/>
          <w:sz w:val="21"/>
        </w:rPr>
        <w:t> </w:t>
      </w:r>
      <w:r>
        <w:rPr>
          <w:sz w:val="21"/>
        </w:rPr>
        <w:t>the</w:t>
      </w:r>
      <w:r>
        <w:rPr>
          <w:spacing w:val="26"/>
          <w:sz w:val="21"/>
        </w:rPr>
        <w:t> </w:t>
      </w:r>
      <w:r>
        <w:rPr>
          <w:sz w:val="21"/>
        </w:rPr>
        <w:t>Government,</w:t>
      </w:r>
      <w:r>
        <w:rPr>
          <w:spacing w:val="26"/>
          <w:sz w:val="21"/>
        </w:rPr>
        <w:t> </w:t>
      </w:r>
      <w:r>
        <w:rPr>
          <w:sz w:val="21"/>
        </w:rPr>
        <w:t>or the body appointed by it, with any information they deem necessary.</w:t>
      </w:r>
    </w:p>
    <w:p>
      <w:pPr>
        <w:pStyle w:val="BodyText"/>
        <w:spacing w:before="155"/>
        <w:rPr>
          <w:sz w:val="21"/>
        </w:rPr>
      </w:pPr>
    </w:p>
    <w:p>
      <w:pPr>
        <w:spacing w:line="213" w:lineRule="auto" w:before="0"/>
        <w:ind w:left="144" w:right="119" w:firstLine="0"/>
        <w:jc w:val="both"/>
        <w:rPr>
          <w:sz w:val="21"/>
        </w:rPr>
      </w:pPr>
      <w:r>
        <w:rPr>
          <w:i/>
          <w:sz w:val="21"/>
        </w:rPr>
        <w:t>Three</w:t>
      </w:r>
      <w:r>
        <w:rPr>
          <w:sz w:val="21"/>
        </w:rPr>
        <w:t>. The Concessionaire undertakes to obey and comply with the determinations of the Government issued within the scope of its powers</w:t>
      </w:r>
      <w:r>
        <w:rPr>
          <w:spacing w:val="40"/>
          <w:sz w:val="21"/>
        </w:rPr>
        <w:t> </w:t>
      </w:r>
      <w:r>
        <w:rPr>
          <w:sz w:val="21"/>
        </w:rPr>
        <w:t>of</w:t>
      </w:r>
      <w:r>
        <w:rPr>
          <w:spacing w:val="40"/>
          <w:sz w:val="21"/>
        </w:rPr>
        <w:t> </w:t>
      </w:r>
      <w:r>
        <w:rPr>
          <w:sz w:val="21"/>
        </w:rPr>
        <w:t>oversight</w:t>
      </w:r>
      <w:r>
        <w:rPr>
          <w:spacing w:val="40"/>
          <w:sz w:val="21"/>
        </w:rPr>
        <w:t> </w:t>
      </w:r>
      <w:r>
        <w:rPr>
          <w:sz w:val="21"/>
        </w:rPr>
        <w:t>and</w:t>
      </w:r>
      <w:r>
        <w:rPr>
          <w:spacing w:val="40"/>
          <w:sz w:val="21"/>
        </w:rPr>
        <w:t> </w:t>
      </w:r>
      <w:r>
        <w:rPr>
          <w:sz w:val="21"/>
        </w:rPr>
        <w:t>supervision,</w:t>
      </w:r>
      <w:r>
        <w:rPr>
          <w:spacing w:val="40"/>
          <w:sz w:val="21"/>
        </w:rPr>
        <w:t> </w:t>
      </w:r>
      <w:r>
        <w:rPr>
          <w:sz w:val="21"/>
        </w:rPr>
        <w:t>namely</w:t>
      </w:r>
      <w:r>
        <w:rPr>
          <w:spacing w:val="40"/>
          <w:sz w:val="21"/>
        </w:rPr>
        <w:t> </w:t>
      </w:r>
      <w:r>
        <w:rPr>
          <w:sz w:val="21"/>
        </w:rPr>
        <w:t>the</w:t>
      </w:r>
      <w:r>
        <w:rPr>
          <w:spacing w:val="40"/>
          <w:sz w:val="21"/>
        </w:rPr>
        <w:t> </w:t>
      </w:r>
      <w:r>
        <w:rPr>
          <w:sz w:val="21"/>
        </w:rPr>
        <w:t>instructions</w:t>
      </w:r>
      <w:r>
        <w:rPr>
          <w:spacing w:val="40"/>
          <w:sz w:val="21"/>
        </w:rPr>
        <w:t> </w:t>
      </w:r>
      <w:r>
        <w:rPr>
          <w:sz w:val="21"/>
        </w:rPr>
        <w:t>from</w:t>
      </w:r>
      <w:r>
        <w:rPr>
          <w:spacing w:val="40"/>
          <w:sz w:val="21"/>
        </w:rPr>
        <w:t> </w:t>
      </w:r>
      <w:r>
        <w:rPr>
          <w:sz w:val="21"/>
        </w:rPr>
        <w:t>DICJ,</w:t>
      </w:r>
      <w:r>
        <w:rPr>
          <w:spacing w:val="40"/>
          <w:sz w:val="21"/>
        </w:rPr>
        <w:t> </w:t>
      </w:r>
      <w:r>
        <w:rPr>
          <w:sz w:val="21"/>
        </w:rPr>
        <w:t>including</w:t>
      </w:r>
      <w:r>
        <w:rPr>
          <w:spacing w:val="40"/>
          <w:sz w:val="21"/>
        </w:rPr>
        <w:t> </w:t>
      </w:r>
      <w:r>
        <w:rPr>
          <w:sz w:val="21"/>
        </w:rPr>
        <w:t>those</w:t>
      </w:r>
      <w:r>
        <w:rPr>
          <w:spacing w:val="40"/>
          <w:sz w:val="21"/>
        </w:rPr>
        <w:t> </w:t>
      </w:r>
      <w:r>
        <w:rPr>
          <w:sz w:val="21"/>
        </w:rPr>
        <w:t>relating</w:t>
      </w:r>
      <w:r>
        <w:rPr>
          <w:spacing w:val="40"/>
          <w:sz w:val="21"/>
        </w:rPr>
        <w:t> </w:t>
      </w:r>
      <w:r>
        <w:rPr>
          <w:sz w:val="21"/>
        </w:rPr>
        <w:t>to</w:t>
      </w:r>
      <w:r>
        <w:rPr>
          <w:spacing w:val="40"/>
          <w:sz w:val="21"/>
        </w:rPr>
        <w:t> </w:t>
      </w:r>
      <w:r>
        <w:rPr>
          <w:sz w:val="21"/>
        </w:rPr>
        <w:t>the</w:t>
      </w:r>
      <w:r>
        <w:rPr>
          <w:spacing w:val="40"/>
          <w:sz w:val="21"/>
        </w:rPr>
        <w:t> </w:t>
      </w:r>
      <w:r>
        <w:rPr>
          <w:sz w:val="21"/>
        </w:rPr>
        <w:t>possible</w:t>
      </w:r>
      <w:r>
        <w:rPr>
          <w:spacing w:val="40"/>
          <w:sz w:val="21"/>
        </w:rPr>
        <w:t> </w:t>
      </w:r>
      <w:r>
        <w:rPr>
          <w:sz w:val="21"/>
        </w:rPr>
        <w:t>suspension</w:t>
      </w:r>
      <w:r>
        <w:rPr>
          <w:spacing w:val="40"/>
          <w:sz w:val="21"/>
        </w:rPr>
        <w:t> </w:t>
      </w:r>
      <w:r>
        <w:rPr>
          <w:sz w:val="21"/>
        </w:rPr>
        <w:t>of casino operations.</w:t>
      </w:r>
    </w:p>
    <w:p>
      <w:pPr>
        <w:pStyle w:val="BodyText"/>
        <w:spacing w:before="167"/>
        <w:rPr>
          <w:sz w:val="21"/>
        </w:rPr>
      </w:pPr>
    </w:p>
    <w:p>
      <w:pPr>
        <w:spacing w:line="213" w:lineRule="auto" w:before="0"/>
        <w:ind w:left="144" w:right="118" w:firstLine="0"/>
        <w:jc w:val="both"/>
        <w:rPr>
          <w:sz w:val="21"/>
        </w:rPr>
      </w:pPr>
      <w:r>
        <w:rPr>
          <w:i/>
          <w:sz w:val="21"/>
        </w:rPr>
        <w:t>Four</w:t>
      </w:r>
      <w:r>
        <w:rPr>
          <w:sz w:val="21"/>
        </w:rPr>
        <w:t>. The operation of the concession is subject to the permanent supervision and oversight of DICJ, according to the relevant </w:t>
      </w:r>
      <w:r>
        <w:rPr>
          <w:spacing w:val="-2"/>
          <w:sz w:val="21"/>
        </w:rPr>
        <w:t>legislation.</w:t>
      </w:r>
    </w:p>
    <w:p>
      <w:pPr>
        <w:pStyle w:val="BodyText"/>
        <w:spacing w:before="152"/>
        <w:rPr>
          <w:sz w:val="21"/>
        </w:rPr>
      </w:pPr>
    </w:p>
    <w:p>
      <w:pPr>
        <w:spacing w:line="213" w:lineRule="auto" w:before="0"/>
        <w:ind w:left="144" w:right="118" w:firstLine="0"/>
        <w:jc w:val="both"/>
        <w:rPr>
          <w:sz w:val="21"/>
        </w:rPr>
      </w:pPr>
      <w:r>
        <w:rPr>
          <w:i/>
          <w:sz w:val="21"/>
        </w:rPr>
        <w:t>Five</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be</w:t>
      </w:r>
      <w:r>
        <w:rPr>
          <w:spacing w:val="40"/>
          <w:sz w:val="21"/>
        </w:rPr>
        <w:t> </w:t>
      </w:r>
      <w:r>
        <w:rPr>
          <w:sz w:val="21"/>
        </w:rPr>
        <w:t>reviewed</w:t>
      </w:r>
      <w:r>
        <w:rPr>
          <w:spacing w:val="40"/>
          <w:sz w:val="21"/>
        </w:rPr>
        <w:t> </w:t>
      </w:r>
      <w:r>
        <w:rPr>
          <w:sz w:val="21"/>
        </w:rPr>
        <w:t>every</w:t>
      </w:r>
      <w:r>
        <w:rPr>
          <w:spacing w:val="40"/>
          <w:sz w:val="21"/>
        </w:rPr>
        <w:t> </w:t>
      </w:r>
      <w:r>
        <w:rPr>
          <w:sz w:val="21"/>
        </w:rPr>
        <w:t>three</w:t>
      </w:r>
      <w:r>
        <w:rPr>
          <w:spacing w:val="40"/>
          <w:sz w:val="21"/>
        </w:rPr>
        <w:t> </w:t>
      </w:r>
      <w:r>
        <w:rPr>
          <w:sz w:val="21"/>
        </w:rPr>
        <w:t>years</w:t>
      </w:r>
      <w:r>
        <w:rPr>
          <w:spacing w:val="40"/>
          <w:sz w:val="21"/>
        </w:rPr>
        <w:t> </w:t>
      </w:r>
      <w:r>
        <w:rPr>
          <w:sz w:val="21"/>
        </w:rPr>
        <w:t>by</w:t>
      </w:r>
      <w:r>
        <w:rPr>
          <w:spacing w:val="40"/>
          <w:sz w:val="21"/>
        </w:rPr>
        <w:t> </w:t>
      </w:r>
      <w:r>
        <w:rPr>
          <w:sz w:val="21"/>
        </w:rPr>
        <w:t>DICJ</w:t>
      </w:r>
      <w:r>
        <w:rPr>
          <w:spacing w:val="40"/>
          <w:sz w:val="21"/>
        </w:rPr>
        <w:t> </w:t>
      </w:r>
      <w:r>
        <w:rPr>
          <w:sz w:val="21"/>
        </w:rPr>
        <w:t>for</w:t>
      </w:r>
      <w:r>
        <w:rPr>
          <w:spacing w:val="40"/>
          <w:sz w:val="21"/>
        </w:rPr>
        <w:t> </w:t>
      </w:r>
      <w:r>
        <w:rPr>
          <w:sz w:val="21"/>
        </w:rPr>
        <w:t>compliance</w:t>
      </w:r>
      <w:r>
        <w:rPr>
          <w:spacing w:val="40"/>
          <w:sz w:val="21"/>
        </w:rPr>
        <w:t> </w:t>
      </w:r>
      <w:r>
        <w:rPr>
          <w:sz w:val="21"/>
        </w:rPr>
        <w:t>with</w:t>
      </w:r>
      <w:r>
        <w:rPr>
          <w:spacing w:val="40"/>
          <w:sz w:val="21"/>
        </w:rPr>
        <w:t> </w:t>
      </w:r>
      <w:r>
        <w:rPr>
          <w:sz w:val="21"/>
        </w:rPr>
        <w:t>the</w:t>
      </w:r>
      <w:r>
        <w:rPr>
          <w:spacing w:val="40"/>
          <w:sz w:val="21"/>
        </w:rPr>
        <w:t> </w:t>
      </w:r>
      <w:r>
        <w:rPr>
          <w:sz w:val="21"/>
        </w:rPr>
        <w:t>concession</w:t>
      </w:r>
      <w:r>
        <w:rPr>
          <w:spacing w:val="40"/>
          <w:sz w:val="21"/>
        </w:rPr>
        <w:t> </w:t>
      </w:r>
      <w:r>
        <w:rPr>
          <w:sz w:val="21"/>
        </w:rPr>
        <w:t>contract</w:t>
      </w:r>
      <w:r>
        <w:rPr>
          <w:spacing w:val="40"/>
          <w:sz w:val="21"/>
        </w:rPr>
        <w:t> </w:t>
      </w:r>
      <w:r>
        <w:rPr>
          <w:sz w:val="21"/>
        </w:rPr>
        <w:t>in general.</w:t>
      </w:r>
      <w:r>
        <w:rPr>
          <w:spacing w:val="40"/>
          <w:sz w:val="21"/>
        </w:rPr>
        <w:t> </w:t>
      </w:r>
      <w:r>
        <w:rPr>
          <w:sz w:val="21"/>
        </w:rPr>
        <w:t>If</w:t>
      </w:r>
      <w:r>
        <w:rPr>
          <w:spacing w:val="40"/>
          <w:sz w:val="21"/>
        </w:rPr>
        <w:t> </w:t>
      </w:r>
      <w:r>
        <w:rPr>
          <w:sz w:val="21"/>
        </w:rPr>
        <w:t>the</w:t>
      </w:r>
      <w:r>
        <w:rPr>
          <w:spacing w:val="40"/>
          <w:sz w:val="21"/>
        </w:rPr>
        <w:t> </w:t>
      </w:r>
      <w:r>
        <w:rPr>
          <w:sz w:val="21"/>
        </w:rPr>
        <w:t>results</w:t>
      </w:r>
      <w:r>
        <w:rPr>
          <w:spacing w:val="40"/>
          <w:sz w:val="21"/>
        </w:rPr>
        <w:t> </w:t>
      </w:r>
      <w:r>
        <w:rPr>
          <w:sz w:val="21"/>
        </w:rPr>
        <w:t>of</w:t>
      </w:r>
      <w:r>
        <w:rPr>
          <w:spacing w:val="40"/>
          <w:sz w:val="21"/>
        </w:rPr>
        <w:t> </w:t>
      </w:r>
      <w:r>
        <w:rPr>
          <w:sz w:val="21"/>
        </w:rPr>
        <w:t>the</w:t>
      </w:r>
      <w:r>
        <w:rPr>
          <w:spacing w:val="40"/>
          <w:sz w:val="21"/>
        </w:rPr>
        <w:t> </w:t>
      </w:r>
      <w:r>
        <w:rPr>
          <w:sz w:val="21"/>
        </w:rPr>
        <w:t>review</w:t>
      </w:r>
      <w:r>
        <w:rPr>
          <w:spacing w:val="40"/>
          <w:sz w:val="21"/>
        </w:rPr>
        <w:t> </w:t>
      </w:r>
      <w:r>
        <w:rPr>
          <w:sz w:val="21"/>
        </w:rPr>
        <w:t>reveal</w:t>
      </w:r>
      <w:r>
        <w:rPr>
          <w:spacing w:val="40"/>
          <w:sz w:val="21"/>
        </w:rPr>
        <w:t> </w:t>
      </w:r>
      <w:r>
        <w:rPr>
          <w:sz w:val="21"/>
        </w:rPr>
        <w:t>a</w:t>
      </w:r>
      <w:r>
        <w:rPr>
          <w:spacing w:val="40"/>
          <w:sz w:val="21"/>
        </w:rPr>
        <w:t> </w:t>
      </w:r>
      <w:r>
        <w:rPr>
          <w:sz w:val="21"/>
        </w:rPr>
        <w:t>lack</w:t>
      </w:r>
      <w:r>
        <w:rPr>
          <w:spacing w:val="40"/>
          <w:sz w:val="21"/>
        </w:rPr>
        <w:t> </w:t>
      </w:r>
      <w:r>
        <w:rPr>
          <w:sz w:val="21"/>
        </w:rPr>
        <w:t>of</w:t>
      </w:r>
      <w:r>
        <w:rPr>
          <w:spacing w:val="40"/>
          <w:sz w:val="21"/>
        </w:rPr>
        <w:t> </w:t>
      </w:r>
      <w:r>
        <w:rPr>
          <w:sz w:val="21"/>
        </w:rPr>
        <w:t>proactivity</w:t>
      </w:r>
      <w:r>
        <w:rPr>
          <w:spacing w:val="40"/>
          <w:sz w:val="21"/>
        </w:rPr>
        <w:t> </w:t>
      </w:r>
      <w:r>
        <w:rPr>
          <w:sz w:val="21"/>
        </w:rPr>
        <w:t>in</w:t>
      </w:r>
      <w:r>
        <w:rPr>
          <w:spacing w:val="40"/>
          <w:sz w:val="21"/>
        </w:rPr>
        <w:t> </w:t>
      </w:r>
      <w:r>
        <w:rPr>
          <w:sz w:val="21"/>
        </w:rPr>
        <w:t>complying</w:t>
      </w:r>
      <w:r>
        <w:rPr>
          <w:spacing w:val="40"/>
          <w:sz w:val="21"/>
        </w:rPr>
        <w:t> </w:t>
      </w:r>
      <w:r>
        <w:rPr>
          <w:sz w:val="21"/>
        </w:rPr>
        <w:t>with</w:t>
      </w:r>
      <w:r>
        <w:rPr>
          <w:spacing w:val="40"/>
          <w:sz w:val="21"/>
        </w:rPr>
        <w:t> </w:t>
      </w:r>
      <w:r>
        <w:rPr>
          <w:sz w:val="21"/>
        </w:rPr>
        <w:t>the</w:t>
      </w:r>
      <w:r>
        <w:rPr>
          <w:spacing w:val="40"/>
          <w:sz w:val="21"/>
        </w:rPr>
        <w:t> </w:t>
      </w:r>
      <w:r>
        <w:rPr>
          <w:sz w:val="21"/>
        </w:rPr>
        <w:t>stipulations</w:t>
      </w:r>
      <w:r>
        <w:rPr>
          <w:spacing w:val="40"/>
          <w:sz w:val="21"/>
        </w:rPr>
        <w:t> </w:t>
      </w:r>
      <w:r>
        <w:rPr>
          <w:sz w:val="21"/>
        </w:rPr>
        <w:t>of</w:t>
      </w:r>
      <w:r>
        <w:rPr>
          <w:spacing w:val="40"/>
          <w:sz w:val="21"/>
        </w:rPr>
        <w:t> </w:t>
      </w:r>
      <w:r>
        <w:rPr>
          <w:sz w:val="21"/>
        </w:rPr>
        <w:t>the</w:t>
      </w:r>
      <w:r>
        <w:rPr>
          <w:spacing w:val="40"/>
          <w:sz w:val="21"/>
        </w:rPr>
        <w:t> </w:t>
      </w:r>
      <w:r>
        <w:rPr>
          <w:sz w:val="21"/>
        </w:rPr>
        <w:t>concession</w:t>
      </w:r>
      <w:r>
        <w:rPr>
          <w:spacing w:val="40"/>
          <w:sz w:val="21"/>
        </w:rPr>
        <w:t> </w:t>
      </w:r>
      <w:r>
        <w:rPr>
          <w:sz w:val="21"/>
        </w:rPr>
        <w:t>contract</w:t>
      </w:r>
      <w:r>
        <w:rPr>
          <w:spacing w:val="40"/>
          <w:sz w:val="21"/>
        </w:rPr>
        <w:t> </w:t>
      </w:r>
      <w:r>
        <w:rPr>
          <w:sz w:val="21"/>
        </w:rPr>
        <w:t>or failure to comply with it, the Concessionaire must improve these situations within the period set by the Secretary for Economy and Finance, under Section 22 (1) 11) of Law No. 16/2001.</w:t>
      </w:r>
    </w:p>
    <w:p>
      <w:pPr>
        <w:pStyle w:val="BodyText"/>
        <w:spacing w:before="133"/>
        <w:rPr>
          <w:sz w:val="21"/>
        </w:rPr>
      </w:pPr>
    </w:p>
    <w:p>
      <w:pPr>
        <w:spacing w:before="0"/>
        <w:ind w:left="24" w:right="0" w:firstLine="0"/>
        <w:jc w:val="center"/>
        <w:rPr>
          <w:b/>
          <w:sz w:val="21"/>
        </w:rPr>
      </w:pPr>
      <w:r>
        <w:rPr>
          <w:b/>
          <w:sz w:val="21"/>
        </w:rPr>
        <w:t>Clause</w:t>
      </w:r>
      <w:r>
        <w:rPr>
          <w:b/>
          <w:spacing w:val="13"/>
          <w:sz w:val="21"/>
        </w:rPr>
        <w:t> </w:t>
      </w:r>
      <w:r>
        <w:rPr>
          <w:b/>
          <w:spacing w:val="-5"/>
          <w:sz w:val="21"/>
        </w:rPr>
        <w:t>68</w:t>
      </w:r>
    </w:p>
    <w:p>
      <w:pPr>
        <w:spacing w:before="69"/>
        <w:ind w:left="24" w:right="0" w:firstLine="0"/>
        <w:jc w:val="center"/>
        <w:rPr>
          <w:b/>
          <w:sz w:val="21"/>
        </w:rPr>
      </w:pPr>
      <w:r>
        <w:rPr>
          <w:b/>
          <w:sz w:val="21"/>
        </w:rPr>
        <w:t>Daily</w:t>
      </w:r>
      <w:r>
        <w:rPr>
          <w:b/>
          <w:spacing w:val="11"/>
          <w:sz w:val="21"/>
        </w:rPr>
        <w:t> </w:t>
      </w:r>
      <w:r>
        <w:rPr>
          <w:b/>
          <w:sz w:val="21"/>
        </w:rPr>
        <w:t>monitoring</w:t>
      </w:r>
      <w:r>
        <w:rPr>
          <w:b/>
          <w:spacing w:val="11"/>
          <w:sz w:val="21"/>
        </w:rPr>
        <w:t> </w:t>
      </w:r>
      <w:r>
        <w:rPr>
          <w:b/>
          <w:sz w:val="21"/>
        </w:rPr>
        <w:t>of</w:t>
      </w:r>
      <w:r>
        <w:rPr>
          <w:b/>
          <w:spacing w:val="12"/>
          <w:sz w:val="21"/>
        </w:rPr>
        <w:t> </w:t>
      </w:r>
      <w:r>
        <w:rPr>
          <w:b/>
          <w:sz w:val="21"/>
        </w:rPr>
        <w:t>gross</w:t>
      </w:r>
      <w:r>
        <w:rPr>
          <w:b/>
          <w:spacing w:val="11"/>
          <w:sz w:val="21"/>
        </w:rPr>
        <w:t> </w:t>
      </w:r>
      <w:r>
        <w:rPr>
          <w:b/>
          <w:sz w:val="21"/>
        </w:rPr>
        <w:t>gaming</w:t>
      </w:r>
      <w:r>
        <w:rPr>
          <w:b/>
          <w:spacing w:val="11"/>
          <w:sz w:val="21"/>
        </w:rPr>
        <w:t> </w:t>
      </w:r>
      <w:r>
        <w:rPr>
          <w:b/>
          <w:spacing w:val="-2"/>
          <w:sz w:val="21"/>
        </w:rPr>
        <w:t>revenue</w:t>
      </w:r>
    </w:p>
    <w:p>
      <w:pPr>
        <w:pStyle w:val="BodyText"/>
        <w:spacing w:before="146"/>
        <w:rPr>
          <w:b/>
          <w:sz w:val="21"/>
        </w:rPr>
      </w:pPr>
    </w:p>
    <w:p>
      <w:pPr>
        <w:spacing w:line="213" w:lineRule="auto" w:before="0"/>
        <w:ind w:left="144" w:right="118" w:firstLine="0"/>
        <w:jc w:val="both"/>
        <w:rPr>
          <w:sz w:val="21"/>
        </w:rPr>
      </w:pPr>
      <w:r>
        <w:rPr>
          <w:sz w:val="21"/>
        </w:rPr>
        <w:t>The</w:t>
      </w:r>
      <w:r>
        <w:rPr>
          <w:spacing w:val="31"/>
          <w:sz w:val="21"/>
        </w:rPr>
        <w:t> </w:t>
      </w:r>
      <w:r>
        <w:rPr>
          <w:sz w:val="21"/>
        </w:rPr>
        <w:t>Concessionaire</w:t>
      </w:r>
      <w:r>
        <w:rPr>
          <w:spacing w:val="31"/>
          <w:sz w:val="21"/>
        </w:rPr>
        <w:t> </w:t>
      </w:r>
      <w:r>
        <w:rPr>
          <w:sz w:val="21"/>
        </w:rPr>
        <w:t>is</w:t>
      </w:r>
      <w:r>
        <w:rPr>
          <w:spacing w:val="31"/>
          <w:sz w:val="21"/>
        </w:rPr>
        <w:t> </w:t>
      </w:r>
      <w:r>
        <w:rPr>
          <w:sz w:val="21"/>
        </w:rPr>
        <w:t>subject</w:t>
      </w:r>
      <w:r>
        <w:rPr>
          <w:spacing w:val="31"/>
          <w:sz w:val="21"/>
        </w:rPr>
        <w:t> </w:t>
      </w:r>
      <w:r>
        <w:rPr>
          <w:sz w:val="21"/>
        </w:rPr>
        <w:t>to</w:t>
      </w:r>
      <w:r>
        <w:rPr>
          <w:spacing w:val="31"/>
          <w:sz w:val="21"/>
        </w:rPr>
        <w:t> </w:t>
      </w:r>
      <w:r>
        <w:rPr>
          <w:sz w:val="21"/>
        </w:rPr>
        <w:t>daily</w:t>
      </w:r>
      <w:r>
        <w:rPr>
          <w:spacing w:val="31"/>
          <w:sz w:val="21"/>
        </w:rPr>
        <w:t> </w:t>
      </w:r>
      <w:r>
        <w:rPr>
          <w:sz w:val="21"/>
        </w:rPr>
        <w:t>supervision</w:t>
      </w:r>
      <w:r>
        <w:rPr>
          <w:spacing w:val="31"/>
          <w:sz w:val="21"/>
        </w:rPr>
        <w:t> </w:t>
      </w:r>
      <w:r>
        <w:rPr>
          <w:sz w:val="21"/>
        </w:rPr>
        <w:t>by</w:t>
      </w:r>
      <w:r>
        <w:rPr>
          <w:spacing w:val="31"/>
          <w:sz w:val="21"/>
        </w:rPr>
        <w:t> </w:t>
      </w:r>
      <w:r>
        <w:rPr>
          <w:sz w:val="21"/>
        </w:rPr>
        <w:t>the</w:t>
      </w:r>
      <w:r>
        <w:rPr>
          <w:spacing w:val="31"/>
          <w:sz w:val="21"/>
        </w:rPr>
        <w:t> </w:t>
      </w:r>
      <w:r>
        <w:rPr>
          <w:sz w:val="21"/>
        </w:rPr>
        <w:t>Government,</w:t>
      </w:r>
      <w:r>
        <w:rPr>
          <w:spacing w:val="31"/>
          <w:sz w:val="21"/>
        </w:rPr>
        <w:t> </w:t>
      </w:r>
      <w:r>
        <w:rPr>
          <w:sz w:val="21"/>
        </w:rPr>
        <w:t>through</w:t>
      </w:r>
      <w:r>
        <w:rPr>
          <w:spacing w:val="31"/>
          <w:sz w:val="21"/>
        </w:rPr>
        <w:t> </w:t>
      </w:r>
      <w:r>
        <w:rPr>
          <w:sz w:val="21"/>
        </w:rPr>
        <w:t>DICJ,</w:t>
      </w:r>
      <w:r>
        <w:rPr>
          <w:spacing w:val="31"/>
          <w:sz w:val="21"/>
        </w:rPr>
        <w:t> </w:t>
      </w:r>
      <w:r>
        <w:rPr>
          <w:sz w:val="21"/>
        </w:rPr>
        <w:t>of</w:t>
      </w:r>
      <w:r>
        <w:rPr>
          <w:spacing w:val="31"/>
          <w:sz w:val="21"/>
        </w:rPr>
        <w:t> </w:t>
      </w:r>
      <w:r>
        <w:rPr>
          <w:sz w:val="21"/>
        </w:rPr>
        <w:t>its</w:t>
      </w:r>
      <w:r>
        <w:rPr>
          <w:spacing w:val="31"/>
          <w:sz w:val="21"/>
        </w:rPr>
        <w:t> </w:t>
      </w:r>
      <w:r>
        <w:rPr>
          <w:sz w:val="21"/>
        </w:rPr>
        <w:t>gross</w:t>
      </w:r>
      <w:r>
        <w:rPr>
          <w:spacing w:val="31"/>
          <w:sz w:val="21"/>
        </w:rPr>
        <w:t> </w:t>
      </w:r>
      <w:r>
        <w:rPr>
          <w:sz w:val="21"/>
        </w:rPr>
        <w:t>gaming</w:t>
      </w:r>
      <w:r>
        <w:rPr>
          <w:spacing w:val="31"/>
          <w:sz w:val="21"/>
        </w:rPr>
        <w:t> </w:t>
      </w:r>
      <w:r>
        <w:rPr>
          <w:sz w:val="21"/>
        </w:rPr>
        <w:t>revenues,</w:t>
      </w:r>
      <w:r>
        <w:rPr>
          <w:spacing w:val="31"/>
          <w:sz w:val="21"/>
        </w:rPr>
        <w:t> </w:t>
      </w:r>
      <w:r>
        <w:rPr>
          <w:sz w:val="21"/>
        </w:rPr>
        <w:t>in</w:t>
      </w:r>
      <w:r>
        <w:rPr>
          <w:spacing w:val="31"/>
          <w:sz w:val="21"/>
        </w:rPr>
        <w:t> </w:t>
      </w:r>
      <w:r>
        <w:rPr>
          <w:sz w:val="21"/>
        </w:rPr>
        <w:t>accordance with the law.</w:t>
      </w:r>
    </w:p>
    <w:p>
      <w:pPr>
        <w:pStyle w:val="BodyText"/>
        <w:spacing w:before="120"/>
        <w:rPr>
          <w:sz w:val="21"/>
        </w:rPr>
      </w:pPr>
    </w:p>
    <w:p>
      <w:pPr>
        <w:pStyle w:val="Heading1"/>
        <w:spacing w:before="1"/>
      </w:pPr>
      <w:r>
        <w:rPr/>
        <w:t>CHAPTER </w:t>
      </w:r>
      <w:r>
        <w:rPr>
          <w:spacing w:val="-5"/>
        </w:rPr>
        <w:t>XIV</w:t>
      </w:r>
    </w:p>
    <w:p>
      <w:pPr>
        <w:pStyle w:val="Heading2"/>
        <w:spacing w:before="63"/>
      </w:pPr>
      <w:r>
        <w:rPr/>
        <w:t>General duties of </w:t>
      </w:r>
      <w:r>
        <w:rPr>
          <w:spacing w:val="-2"/>
        </w:rPr>
        <w:t>cooperation</w:t>
      </w:r>
    </w:p>
    <w:p>
      <w:pPr>
        <w:pStyle w:val="BodyText"/>
        <w:spacing w:before="83"/>
        <w:rPr>
          <w:b/>
          <w:sz w:val="25"/>
        </w:rPr>
      </w:pPr>
    </w:p>
    <w:p>
      <w:pPr>
        <w:spacing w:before="0"/>
        <w:ind w:left="24" w:right="0" w:firstLine="0"/>
        <w:jc w:val="center"/>
        <w:rPr>
          <w:b/>
          <w:sz w:val="21"/>
        </w:rPr>
      </w:pPr>
      <w:r>
        <w:rPr>
          <w:b/>
          <w:sz w:val="21"/>
        </w:rPr>
        <w:t>Clause</w:t>
      </w:r>
      <w:r>
        <w:rPr>
          <w:b/>
          <w:spacing w:val="13"/>
          <w:sz w:val="21"/>
        </w:rPr>
        <w:t> </w:t>
      </w:r>
      <w:r>
        <w:rPr>
          <w:b/>
          <w:spacing w:val="-5"/>
          <w:sz w:val="21"/>
        </w:rPr>
        <w:t>69</w:t>
      </w:r>
    </w:p>
    <w:p>
      <w:pPr>
        <w:spacing w:before="56"/>
        <w:ind w:left="24" w:right="0" w:firstLine="0"/>
        <w:jc w:val="center"/>
        <w:rPr>
          <w:b/>
          <w:sz w:val="21"/>
        </w:rPr>
      </w:pPr>
      <w:r>
        <w:rPr>
          <w:b/>
          <w:sz w:val="21"/>
        </w:rPr>
        <w:t>Government's</w:t>
      </w:r>
      <w:r>
        <w:rPr>
          <w:b/>
          <w:spacing w:val="14"/>
          <w:sz w:val="21"/>
        </w:rPr>
        <w:t> </w:t>
      </w:r>
      <w:r>
        <w:rPr>
          <w:b/>
          <w:sz w:val="21"/>
        </w:rPr>
        <w:t>General</w:t>
      </w:r>
      <w:r>
        <w:rPr>
          <w:b/>
          <w:spacing w:val="14"/>
          <w:sz w:val="21"/>
        </w:rPr>
        <w:t> </w:t>
      </w:r>
      <w:r>
        <w:rPr>
          <w:b/>
          <w:sz w:val="21"/>
        </w:rPr>
        <w:t>Duty</w:t>
      </w:r>
      <w:r>
        <w:rPr>
          <w:b/>
          <w:spacing w:val="14"/>
          <w:sz w:val="21"/>
        </w:rPr>
        <w:t> </w:t>
      </w:r>
      <w:r>
        <w:rPr>
          <w:b/>
          <w:sz w:val="21"/>
        </w:rPr>
        <w:t>to</w:t>
      </w:r>
      <w:r>
        <w:rPr>
          <w:b/>
          <w:spacing w:val="14"/>
          <w:sz w:val="21"/>
        </w:rPr>
        <w:t> </w:t>
      </w:r>
      <w:r>
        <w:rPr>
          <w:b/>
          <w:spacing w:val="-2"/>
          <w:sz w:val="21"/>
        </w:rPr>
        <w:t>Cooperate</w:t>
      </w:r>
    </w:p>
    <w:p>
      <w:pPr>
        <w:pStyle w:val="BodyText"/>
        <w:spacing w:before="138"/>
        <w:rPr>
          <w:b/>
          <w:sz w:val="21"/>
        </w:rPr>
      </w:pPr>
    </w:p>
    <w:p>
      <w:pPr>
        <w:spacing w:before="0"/>
        <w:ind w:left="144" w:right="0" w:firstLine="0"/>
        <w:jc w:val="both"/>
        <w:rPr>
          <w:sz w:val="21"/>
        </w:rPr>
      </w:pPr>
      <w:r>
        <w:rPr>
          <w:sz w:val="21"/>
        </w:rPr>
        <w:t>The</w:t>
      </w:r>
      <w:r>
        <w:rPr>
          <w:spacing w:val="10"/>
          <w:sz w:val="21"/>
        </w:rPr>
        <w:t> </w:t>
      </w:r>
      <w:r>
        <w:rPr>
          <w:sz w:val="21"/>
        </w:rPr>
        <w:t>Government</w:t>
      </w:r>
      <w:r>
        <w:rPr>
          <w:spacing w:val="10"/>
          <w:sz w:val="21"/>
        </w:rPr>
        <w:t> </w:t>
      </w:r>
      <w:r>
        <w:rPr>
          <w:sz w:val="21"/>
        </w:rPr>
        <w:t>undertakes</w:t>
      </w:r>
      <w:r>
        <w:rPr>
          <w:spacing w:val="10"/>
          <w:sz w:val="21"/>
        </w:rPr>
        <w:t> </w:t>
      </w:r>
      <w:r>
        <w:rPr>
          <w:sz w:val="21"/>
        </w:rPr>
        <w:t>to</w:t>
      </w:r>
      <w:r>
        <w:rPr>
          <w:spacing w:val="11"/>
          <w:sz w:val="21"/>
        </w:rPr>
        <w:t> </w:t>
      </w:r>
      <w:r>
        <w:rPr>
          <w:sz w:val="21"/>
        </w:rPr>
        <w:t>cooperate</w:t>
      </w:r>
      <w:r>
        <w:rPr>
          <w:spacing w:val="10"/>
          <w:sz w:val="21"/>
        </w:rPr>
        <w:t> </w:t>
      </w:r>
      <w:r>
        <w:rPr>
          <w:sz w:val="21"/>
        </w:rPr>
        <w:t>with</w:t>
      </w:r>
      <w:r>
        <w:rPr>
          <w:spacing w:val="10"/>
          <w:sz w:val="21"/>
        </w:rPr>
        <w:t> </w:t>
      </w:r>
      <w:r>
        <w:rPr>
          <w:sz w:val="21"/>
        </w:rPr>
        <w:t>the</w:t>
      </w:r>
      <w:r>
        <w:rPr>
          <w:spacing w:val="11"/>
          <w:sz w:val="21"/>
        </w:rPr>
        <w:t> </w:t>
      </w:r>
      <w:r>
        <w:rPr>
          <w:sz w:val="21"/>
        </w:rPr>
        <w:t>Concessionaire</w:t>
      </w:r>
      <w:r>
        <w:rPr>
          <w:spacing w:val="10"/>
          <w:sz w:val="21"/>
        </w:rPr>
        <w:t> </w:t>
      </w:r>
      <w:r>
        <w:rPr>
          <w:sz w:val="21"/>
        </w:rPr>
        <w:t>so</w:t>
      </w:r>
      <w:r>
        <w:rPr>
          <w:spacing w:val="10"/>
          <w:sz w:val="21"/>
        </w:rPr>
        <w:t> </w:t>
      </w:r>
      <w:r>
        <w:rPr>
          <w:sz w:val="21"/>
        </w:rPr>
        <w:t>as</w:t>
      </w:r>
      <w:r>
        <w:rPr>
          <w:spacing w:val="11"/>
          <w:sz w:val="21"/>
        </w:rPr>
        <w:t> </w:t>
      </w:r>
      <w:r>
        <w:rPr>
          <w:sz w:val="21"/>
        </w:rPr>
        <w:t>to</w:t>
      </w:r>
      <w:r>
        <w:rPr>
          <w:spacing w:val="10"/>
          <w:sz w:val="21"/>
        </w:rPr>
        <w:t> </w:t>
      </w:r>
      <w:r>
        <w:rPr>
          <w:sz w:val="21"/>
        </w:rPr>
        <w:t>enable</w:t>
      </w:r>
      <w:r>
        <w:rPr>
          <w:spacing w:val="10"/>
          <w:sz w:val="21"/>
        </w:rPr>
        <w:t> </w:t>
      </w:r>
      <w:r>
        <w:rPr>
          <w:sz w:val="21"/>
        </w:rPr>
        <w:t>it</w:t>
      </w:r>
      <w:r>
        <w:rPr>
          <w:spacing w:val="11"/>
          <w:sz w:val="21"/>
        </w:rPr>
        <w:t> </w:t>
      </w:r>
      <w:r>
        <w:rPr>
          <w:sz w:val="21"/>
        </w:rPr>
        <w:t>to</w:t>
      </w:r>
      <w:r>
        <w:rPr>
          <w:spacing w:val="10"/>
          <w:sz w:val="21"/>
        </w:rPr>
        <w:t> </w:t>
      </w:r>
      <w:r>
        <w:rPr>
          <w:sz w:val="21"/>
        </w:rPr>
        <w:t>fulfill</w:t>
      </w:r>
      <w:r>
        <w:rPr>
          <w:spacing w:val="10"/>
          <w:sz w:val="21"/>
        </w:rPr>
        <w:t> </w:t>
      </w:r>
      <w:r>
        <w:rPr>
          <w:sz w:val="21"/>
        </w:rPr>
        <w:t>its</w:t>
      </w:r>
      <w:r>
        <w:rPr>
          <w:spacing w:val="11"/>
          <w:sz w:val="21"/>
        </w:rPr>
        <w:t> </w:t>
      </w:r>
      <w:r>
        <w:rPr>
          <w:sz w:val="21"/>
        </w:rPr>
        <w:t>legal</w:t>
      </w:r>
      <w:r>
        <w:rPr>
          <w:spacing w:val="10"/>
          <w:sz w:val="21"/>
        </w:rPr>
        <w:t> </w:t>
      </w:r>
      <w:r>
        <w:rPr>
          <w:sz w:val="21"/>
        </w:rPr>
        <w:t>and</w:t>
      </w:r>
      <w:r>
        <w:rPr>
          <w:spacing w:val="10"/>
          <w:sz w:val="21"/>
        </w:rPr>
        <w:t> </w:t>
      </w:r>
      <w:r>
        <w:rPr>
          <w:sz w:val="21"/>
        </w:rPr>
        <w:t>contractual</w:t>
      </w:r>
      <w:r>
        <w:rPr>
          <w:spacing w:val="11"/>
          <w:sz w:val="21"/>
        </w:rPr>
        <w:t> </w:t>
      </w:r>
      <w:r>
        <w:rPr>
          <w:spacing w:val="-2"/>
          <w:sz w:val="21"/>
        </w:rPr>
        <w:t>obligations.</w:t>
      </w:r>
    </w:p>
    <w:p>
      <w:pPr>
        <w:pStyle w:val="BodyText"/>
        <w:spacing w:before="124"/>
        <w:rPr>
          <w:sz w:val="21"/>
        </w:rPr>
      </w:pPr>
    </w:p>
    <w:p>
      <w:pPr>
        <w:spacing w:before="1"/>
        <w:ind w:left="24" w:right="0" w:firstLine="0"/>
        <w:jc w:val="center"/>
        <w:rPr>
          <w:b/>
          <w:sz w:val="21"/>
        </w:rPr>
      </w:pPr>
      <w:r>
        <w:rPr>
          <w:b/>
          <w:sz w:val="21"/>
        </w:rPr>
        <w:t>Clause</w:t>
      </w:r>
      <w:r>
        <w:rPr>
          <w:b/>
          <w:spacing w:val="13"/>
          <w:sz w:val="21"/>
        </w:rPr>
        <w:t> </w:t>
      </w:r>
      <w:r>
        <w:rPr>
          <w:b/>
          <w:spacing w:val="-5"/>
          <w:sz w:val="21"/>
        </w:rPr>
        <w:t>70</w:t>
      </w:r>
    </w:p>
    <w:p>
      <w:pPr>
        <w:spacing w:before="69"/>
        <w:ind w:left="24" w:right="0" w:firstLine="0"/>
        <w:jc w:val="center"/>
        <w:rPr>
          <w:b/>
          <w:sz w:val="21"/>
        </w:rPr>
      </w:pPr>
      <w:r>
        <w:rPr>
          <w:b/>
          <w:sz w:val="21"/>
        </w:rPr>
        <w:t>General</w:t>
      </w:r>
      <w:r>
        <w:rPr>
          <w:b/>
          <w:spacing w:val="12"/>
          <w:sz w:val="21"/>
        </w:rPr>
        <w:t> </w:t>
      </w:r>
      <w:r>
        <w:rPr>
          <w:b/>
          <w:sz w:val="21"/>
        </w:rPr>
        <w:t>obligation</w:t>
      </w:r>
      <w:r>
        <w:rPr>
          <w:b/>
          <w:spacing w:val="12"/>
          <w:sz w:val="21"/>
        </w:rPr>
        <w:t> </w:t>
      </w:r>
      <w:r>
        <w:rPr>
          <w:b/>
          <w:sz w:val="21"/>
        </w:rPr>
        <w:t>of</w:t>
      </w:r>
      <w:r>
        <w:rPr>
          <w:b/>
          <w:spacing w:val="12"/>
          <w:sz w:val="21"/>
        </w:rPr>
        <w:t> </w:t>
      </w:r>
      <w:r>
        <w:rPr>
          <w:b/>
          <w:sz w:val="21"/>
        </w:rPr>
        <w:t>cooperation</w:t>
      </w:r>
      <w:r>
        <w:rPr>
          <w:b/>
          <w:spacing w:val="12"/>
          <w:sz w:val="21"/>
        </w:rPr>
        <w:t> </w:t>
      </w:r>
      <w:r>
        <w:rPr>
          <w:b/>
          <w:sz w:val="21"/>
        </w:rPr>
        <w:t>by</w:t>
      </w:r>
      <w:r>
        <w:rPr>
          <w:b/>
          <w:spacing w:val="13"/>
          <w:sz w:val="21"/>
        </w:rPr>
        <w:t> </w:t>
      </w:r>
      <w:r>
        <w:rPr>
          <w:b/>
          <w:sz w:val="21"/>
        </w:rPr>
        <w:t>the</w:t>
      </w:r>
      <w:r>
        <w:rPr>
          <w:b/>
          <w:spacing w:val="12"/>
          <w:sz w:val="21"/>
        </w:rPr>
        <w:t> </w:t>
      </w:r>
      <w:r>
        <w:rPr>
          <w:b/>
          <w:spacing w:val="-2"/>
          <w:sz w:val="21"/>
        </w:rPr>
        <w:t>Concessionaire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2"/>
        <w:rPr>
          <w:b/>
          <w:sz w:val="20"/>
        </w:rPr>
      </w:pPr>
      <w:r>
        <w:rPr/>
        <mc:AlternateContent>
          <mc:Choice Requires="wps">
            <w:drawing>
              <wp:anchor distT="0" distB="0" distL="0" distR="0" allowOverlap="1" layoutInCell="1" locked="0" behindDoc="1" simplePos="0" relativeHeight="487783424">
                <wp:simplePos x="0" y="0"/>
                <wp:positionH relativeFrom="page">
                  <wp:posOffset>231457</wp:posOffset>
                </wp:positionH>
                <wp:positionV relativeFrom="paragraph">
                  <wp:posOffset>200647</wp:posOffset>
                </wp:positionV>
                <wp:extent cx="7312659" cy="17145"/>
                <wp:effectExtent l="0" t="0" r="0" b="0"/>
                <wp:wrapTopAndBottom/>
                <wp:docPr id="944" name="Group 944"/>
                <wp:cNvGraphicFramePr>
                  <a:graphicFrameLocks/>
                </wp:cNvGraphicFramePr>
                <a:graphic>
                  <a:graphicData uri="http://schemas.microsoft.com/office/word/2010/wordprocessingGroup">
                    <wpg:wgp>
                      <wpg:cNvPr id="944" name="Group 944"/>
                      <wpg:cNvGrpSpPr/>
                      <wpg:grpSpPr>
                        <a:xfrm>
                          <a:off x="0" y="0"/>
                          <a:ext cx="7312659" cy="17145"/>
                          <a:chExt cx="7312659" cy="17145"/>
                        </a:xfrm>
                      </wpg:grpSpPr>
                      <wps:wsp>
                        <wps:cNvPr id="945" name="Graphic 94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46" name="Graphic 946"/>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47" name="Graphic 94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799024pt;width:575.8pt;height:1.35pt;mso-position-horizontal-relative:page;mso-position-vertical-relative:paragraph;z-index:-15533056;mso-wrap-distance-left:0;mso-wrap-distance-right:0" id="docshapegroup942" coordorigin="364,316" coordsize="11516,27">
                <v:rect style="position:absolute;left:364;top:315;width:11516;height:14" id="docshape943" filled="true" fillcolor="#999999" stroked="false">
                  <v:fill type="solid"/>
                </v:rect>
                <v:shape style="position:absolute;left:364;top:315;width:11516;height:27" id="docshape944" coordorigin="364,316" coordsize="11516,27" path="m11880,316l11866,329,364,329,364,343,11866,343,11880,343,11880,329,11880,316xe" filled="true" fillcolor="#ededed" stroked="false">
                  <v:path arrowok="t"/>
                  <v:fill type="solid"/>
                </v:shape>
                <v:shape style="position:absolute;left:364;top:315;width:14;height:27" id="docshape945" coordorigin="364,316" coordsize="14,27" path="m364,343l364,316,378,316,378,329,364,343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spacing w:line="213" w:lineRule="auto" w:before="233"/>
        <w:ind w:left="144" w:right="118" w:firstLine="0"/>
        <w:jc w:val="both"/>
        <w:rPr>
          <w:sz w:val="21"/>
        </w:rPr>
      </w:pPr>
      <w:r>
        <w:rPr>
          <w:sz w:val="21"/>
        </w:rPr>
        <w:t>For</w:t>
      </w:r>
      <w:r>
        <w:rPr>
          <w:spacing w:val="27"/>
          <w:sz w:val="21"/>
        </w:rPr>
        <w:t> </w:t>
      </w:r>
      <w:r>
        <w:rPr>
          <w:sz w:val="21"/>
        </w:rPr>
        <w:t>the</w:t>
      </w:r>
      <w:r>
        <w:rPr>
          <w:spacing w:val="27"/>
          <w:sz w:val="21"/>
        </w:rPr>
        <w:t> </w:t>
      </w:r>
      <w:r>
        <w:rPr>
          <w:sz w:val="21"/>
        </w:rPr>
        <w:t>purposes</w:t>
      </w:r>
      <w:r>
        <w:rPr>
          <w:spacing w:val="27"/>
          <w:sz w:val="21"/>
        </w:rPr>
        <w:t> </w:t>
      </w:r>
      <w:r>
        <w:rPr>
          <w:sz w:val="21"/>
        </w:rPr>
        <w:t>set</w:t>
      </w:r>
      <w:r>
        <w:rPr>
          <w:spacing w:val="27"/>
          <w:sz w:val="21"/>
        </w:rPr>
        <w:t> </w:t>
      </w:r>
      <w:r>
        <w:rPr>
          <w:sz w:val="21"/>
        </w:rPr>
        <w:t>forth</w:t>
      </w:r>
      <w:r>
        <w:rPr>
          <w:spacing w:val="27"/>
          <w:sz w:val="21"/>
        </w:rPr>
        <w:t> </w:t>
      </w:r>
      <w:r>
        <w:rPr>
          <w:sz w:val="21"/>
        </w:rPr>
        <w:t>in</w:t>
      </w:r>
      <w:r>
        <w:rPr>
          <w:spacing w:val="27"/>
          <w:sz w:val="21"/>
        </w:rPr>
        <w:t> </w:t>
      </w:r>
      <w:r>
        <w:rPr>
          <w:sz w:val="21"/>
        </w:rPr>
        <w:t>this</w:t>
      </w:r>
      <w:r>
        <w:rPr>
          <w:spacing w:val="27"/>
          <w:sz w:val="21"/>
        </w:rPr>
        <w:t> </w:t>
      </w:r>
      <w:r>
        <w:rPr>
          <w:sz w:val="21"/>
        </w:rPr>
        <w:t>concession</w:t>
      </w:r>
      <w:r>
        <w:rPr>
          <w:spacing w:val="27"/>
          <w:sz w:val="21"/>
        </w:rPr>
        <w:t> </w:t>
      </w:r>
      <w:r>
        <w:rPr>
          <w:sz w:val="21"/>
        </w:rPr>
        <w:t>contract,</w:t>
      </w:r>
      <w:r>
        <w:rPr>
          <w:spacing w:val="27"/>
          <w:sz w:val="21"/>
        </w:rPr>
        <w:t> </w:t>
      </w:r>
      <w:r>
        <w:rPr>
          <w:sz w:val="21"/>
        </w:rPr>
        <w:t>the</w:t>
      </w:r>
      <w:r>
        <w:rPr>
          <w:spacing w:val="27"/>
          <w:sz w:val="21"/>
        </w:rPr>
        <w:t> </w:t>
      </w:r>
      <w:r>
        <w:rPr>
          <w:sz w:val="21"/>
        </w:rPr>
        <w:t>Concessionaire</w:t>
      </w:r>
      <w:r>
        <w:rPr>
          <w:spacing w:val="27"/>
          <w:sz w:val="21"/>
        </w:rPr>
        <w:t> </w:t>
      </w:r>
      <w:r>
        <w:rPr>
          <w:sz w:val="21"/>
        </w:rPr>
        <w:t>undertakes</w:t>
      </w:r>
      <w:r>
        <w:rPr>
          <w:spacing w:val="27"/>
          <w:sz w:val="21"/>
        </w:rPr>
        <w:t> </w:t>
      </w:r>
      <w:r>
        <w:rPr>
          <w:sz w:val="21"/>
        </w:rPr>
        <w:t>to</w:t>
      </w:r>
      <w:r>
        <w:rPr>
          <w:spacing w:val="27"/>
          <w:sz w:val="21"/>
        </w:rPr>
        <w:t> </w:t>
      </w:r>
      <w:r>
        <w:rPr>
          <w:sz w:val="21"/>
        </w:rPr>
        <w:t>cooperate</w:t>
      </w:r>
      <w:r>
        <w:rPr>
          <w:spacing w:val="27"/>
          <w:sz w:val="21"/>
        </w:rPr>
        <w:t> </w:t>
      </w:r>
      <w:r>
        <w:rPr>
          <w:sz w:val="21"/>
        </w:rPr>
        <w:t>with</w:t>
      </w:r>
      <w:r>
        <w:rPr>
          <w:spacing w:val="27"/>
          <w:sz w:val="21"/>
        </w:rPr>
        <w:t> </w:t>
      </w:r>
      <w:r>
        <w:rPr>
          <w:sz w:val="21"/>
        </w:rPr>
        <w:t>the</w:t>
      </w:r>
      <w:r>
        <w:rPr>
          <w:spacing w:val="27"/>
          <w:sz w:val="21"/>
        </w:rPr>
        <w:t> </w:t>
      </w:r>
      <w:r>
        <w:rPr>
          <w:sz w:val="21"/>
        </w:rPr>
        <w:t>Government,</w:t>
      </w:r>
      <w:r>
        <w:rPr>
          <w:spacing w:val="27"/>
          <w:sz w:val="21"/>
        </w:rPr>
        <w:t> </w:t>
      </w:r>
      <w:r>
        <w:rPr>
          <w:sz w:val="21"/>
        </w:rPr>
        <w:t>submitting any</w:t>
      </w:r>
      <w:r>
        <w:rPr>
          <w:spacing w:val="35"/>
          <w:sz w:val="21"/>
        </w:rPr>
        <w:t> </w:t>
      </w:r>
      <w:r>
        <w:rPr>
          <w:sz w:val="21"/>
        </w:rPr>
        <w:t>documents</w:t>
      </w:r>
      <w:r>
        <w:rPr>
          <w:spacing w:val="35"/>
          <w:sz w:val="21"/>
        </w:rPr>
        <w:t> </w:t>
      </w:r>
      <w:r>
        <w:rPr>
          <w:sz w:val="21"/>
        </w:rPr>
        <w:t>and</w:t>
      </w:r>
      <w:r>
        <w:rPr>
          <w:spacing w:val="35"/>
          <w:sz w:val="21"/>
        </w:rPr>
        <w:t> </w:t>
      </w:r>
      <w:r>
        <w:rPr>
          <w:sz w:val="21"/>
        </w:rPr>
        <w:t>providing</w:t>
      </w:r>
      <w:r>
        <w:rPr>
          <w:spacing w:val="35"/>
          <w:sz w:val="21"/>
        </w:rPr>
        <w:t> </w:t>
      </w:r>
      <w:r>
        <w:rPr>
          <w:sz w:val="21"/>
        </w:rPr>
        <w:t>any</w:t>
      </w:r>
      <w:r>
        <w:rPr>
          <w:spacing w:val="35"/>
          <w:sz w:val="21"/>
        </w:rPr>
        <w:t> </w:t>
      </w:r>
      <w:r>
        <w:rPr>
          <w:sz w:val="21"/>
        </w:rPr>
        <w:t>information,</w:t>
      </w:r>
      <w:r>
        <w:rPr>
          <w:spacing w:val="35"/>
          <w:sz w:val="21"/>
        </w:rPr>
        <w:t> </w:t>
      </w:r>
      <w:r>
        <w:rPr>
          <w:sz w:val="21"/>
        </w:rPr>
        <w:t>data,</w:t>
      </w:r>
      <w:r>
        <w:rPr>
          <w:spacing w:val="35"/>
          <w:sz w:val="21"/>
        </w:rPr>
        <w:t> </w:t>
      </w:r>
      <w:r>
        <w:rPr>
          <w:sz w:val="21"/>
        </w:rPr>
        <w:t>authorizations</w:t>
      </w:r>
      <w:r>
        <w:rPr>
          <w:spacing w:val="35"/>
          <w:sz w:val="21"/>
        </w:rPr>
        <w:t> </w:t>
      </w:r>
      <w:r>
        <w:rPr>
          <w:sz w:val="21"/>
        </w:rPr>
        <w:t>or</w:t>
      </w:r>
      <w:r>
        <w:rPr>
          <w:spacing w:val="35"/>
          <w:sz w:val="21"/>
        </w:rPr>
        <w:t> </w:t>
      </w:r>
      <w:r>
        <w:rPr>
          <w:sz w:val="21"/>
        </w:rPr>
        <w:t>evidence</w:t>
      </w:r>
      <w:r>
        <w:rPr>
          <w:spacing w:val="35"/>
          <w:sz w:val="21"/>
        </w:rPr>
        <w:t> </w:t>
      </w:r>
      <w:r>
        <w:rPr>
          <w:sz w:val="21"/>
        </w:rPr>
        <w:t>requested</w:t>
      </w:r>
      <w:r>
        <w:rPr>
          <w:spacing w:val="35"/>
          <w:sz w:val="21"/>
        </w:rPr>
        <w:t> </w:t>
      </w:r>
      <w:r>
        <w:rPr>
          <w:sz w:val="21"/>
        </w:rPr>
        <w:t>thereof.</w:t>
      </w:r>
    </w:p>
    <w:p>
      <w:pPr>
        <w:pStyle w:val="BodyText"/>
        <w:spacing w:before="133"/>
        <w:rPr>
          <w:sz w:val="21"/>
        </w:rPr>
      </w:pPr>
    </w:p>
    <w:p>
      <w:pPr>
        <w:pStyle w:val="Heading1"/>
        <w:spacing w:before="1"/>
      </w:pPr>
      <w:r>
        <w:rPr/>
        <w:t>CHAPTER </w:t>
      </w:r>
      <w:r>
        <w:rPr>
          <w:spacing w:val="-5"/>
        </w:rPr>
        <w:t>XV</w:t>
      </w:r>
    </w:p>
    <w:p>
      <w:pPr>
        <w:pStyle w:val="Heading2"/>
      </w:pPr>
      <w:r>
        <w:rPr/>
        <w:t>Other</w:t>
      </w:r>
      <w:r>
        <w:rPr>
          <w:spacing w:val="-5"/>
        </w:rPr>
        <w:t> </w:t>
      </w:r>
      <w:r>
        <w:rPr/>
        <w:t>duties of the </w:t>
      </w:r>
      <w:r>
        <w:rPr>
          <w:spacing w:val="-2"/>
        </w:rPr>
        <w:t>Concessionaire</w:t>
      </w:r>
    </w:p>
    <w:p>
      <w:pPr>
        <w:pStyle w:val="BodyText"/>
        <w:spacing w:before="83"/>
        <w:rPr>
          <w:b/>
          <w:sz w:val="25"/>
        </w:rPr>
      </w:pPr>
    </w:p>
    <w:p>
      <w:pPr>
        <w:spacing w:before="0"/>
        <w:ind w:left="24" w:right="0" w:firstLine="0"/>
        <w:jc w:val="center"/>
        <w:rPr>
          <w:b/>
          <w:sz w:val="21"/>
        </w:rPr>
      </w:pPr>
      <w:r>
        <w:rPr>
          <w:b/>
          <w:sz w:val="21"/>
        </w:rPr>
        <w:t>Clause</w:t>
      </w:r>
      <w:r>
        <w:rPr>
          <w:b/>
          <w:spacing w:val="13"/>
          <w:sz w:val="21"/>
        </w:rPr>
        <w:t> </w:t>
      </w:r>
      <w:r>
        <w:rPr>
          <w:b/>
          <w:spacing w:val="-5"/>
          <w:sz w:val="21"/>
        </w:rPr>
        <w:t>71</w:t>
      </w:r>
    </w:p>
    <w:p>
      <w:pPr>
        <w:spacing w:before="69"/>
        <w:ind w:left="24" w:right="0" w:firstLine="0"/>
        <w:jc w:val="center"/>
        <w:rPr>
          <w:b/>
          <w:sz w:val="21"/>
        </w:rPr>
      </w:pPr>
      <w:r>
        <w:rPr>
          <w:b/>
          <w:sz w:val="21"/>
        </w:rPr>
        <w:t>Operation</w:t>
      </w:r>
      <w:r>
        <w:rPr>
          <w:b/>
          <w:spacing w:val="10"/>
          <w:sz w:val="21"/>
        </w:rPr>
        <w:t> </w:t>
      </w:r>
      <w:r>
        <w:rPr>
          <w:b/>
          <w:sz w:val="21"/>
        </w:rPr>
        <w:t>of</w:t>
      </w:r>
      <w:r>
        <w:rPr>
          <w:b/>
          <w:spacing w:val="11"/>
          <w:sz w:val="21"/>
        </w:rPr>
        <w:t> </w:t>
      </w:r>
      <w:r>
        <w:rPr>
          <w:b/>
          <w:sz w:val="21"/>
        </w:rPr>
        <w:t>the</w:t>
      </w:r>
      <w:r>
        <w:rPr>
          <w:b/>
          <w:spacing w:val="11"/>
          <w:sz w:val="21"/>
        </w:rPr>
        <w:t> </w:t>
      </w:r>
      <w:r>
        <w:rPr>
          <w:b/>
          <w:sz w:val="21"/>
        </w:rPr>
        <w:t>casinos</w:t>
      </w:r>
      <w:r>
        <w:rPr>
          <w:b/>
          <w:spacing w:val="11"/>
          <w:sz w:val="21"/>
        </w:rPr>
        <w:t> </w:t>
      </w:r>
      <w:r>
        <w:rPr>
          <w:b/>
          <w:sz w:val="21"/>
        </w:rPr>
        <w:t>and</w:t>
      </w:r>
      <w:r>
        <w:rPr>
          <w:b/>
          <w:spacing w:val="11"/>
          <w:sz w:val="21"/>
        </w:rPr>
        <w:t> </w:t>
      </w:r>
      <w:r>
        <w:rPr>
          <w:b/>
          <w:sz w:val="21"/>
        </w:rPr>
        <w:t>other</w:t>
      </w:r>
      <w:r>
        <w:rPr>
          <w:b/>
          <w:spacing w:val="6"/>
          <w:sz w:val="21"/>
        </w:rPr>
        <w:t> </w:t>
      </w:r>
      <w:r>
        <w:rPr>
          <w:b/>
          <w:sz w:val="21"/>
        </w:rPr>
        <w:t>facilities</w:t>
      </w:r>
      <w:r>
        <w:rPr>
          <w:b/>
          <w:spacing w:val="11"/>
          <w:sz w:val="21"/>
        </w:rPr>
        <w:t> </w:t>
      </w:r>
      <w:r>
        <w:rPr>
          <w:b/>
          <w:sz w:val="21"/>
        </w:rPr>
        <w:t>and</w:t>
      </w:r>
      <w:r>
        <w:rPr>
          <w:b/>
          <w:spacing w:val="11"/>
          <w:sz w:val="21"/>
        </w:rPr>
        <w:t> </w:t>
      </w:r>
      <w:r>
        <w:rPr>
          <w:b/>
          <w:spacing w:val="-2"/>
          <w:sz w:val="21"/>
        </w:rPr>
        <w:t>premises</w:t>
      </w:r>
    </w:p>
    <w:p>
      <w:pPr>
        <w:pStyle w:val="BodyText"/>
        <w:spacing w:before="146"/>
        <w:rPr>
          <w:b/>
          <w:sz w:val="21"/>
        </w:rPr>
      </w:pPr>
    </w:p>
    <w:p>
      <w:pPr>
        <w:spacing w:line="213" w:lineRule="auto" w:before="0"/>
        <w:ind w:left="144" w:right="118" w:firstLine="0"/>
        <w:jc w:val="both"/>
        <w:rPr>
          <w:sz w:val="21"/>
        </w:rPr>
      </w:pPr>
      <w:r>
        <w:rPr>
          <w:sz w:val="21"/>
        </w:rPr>
        <w:t>The</w:t>
      </w:r>
      <w:r>
        <w:rPr>
          <w:spacing w:val="29"/>
          <w:sz w:val="21"/>
        </w:rPr>
        <w:t> </w:t>
      </w:r>
      <w:r>
        <w:rPr>
          <w:sz w:val="21"/>
        </w:rPr>
        <w:t>Concessionaire</w:t>
      </w:r>
      <w:r>
        <w:rPr>
          <w:spacing w:val="29"/>
          <w:sz w:val="21"/>
        </w:rPr>
        <w:t> </w:t>
      </w:r>
      <w:r>
        <w:rPr>
          <w:sz w:val="21"/>
        </w:rPr>
        <w:t>undertakes</w:t>
      </w:r>
      <w:r>
        <w:rPr>
          <w:spacing w:val="29"/>
          <w:sz w:val="21"/>
        </w:rPr>
        <w:t> </w:t>
      </w:r>
      <w:r>
        <w:rPr>
          <w:sz w:val="21"/>
        </w:rPr>
        <w:t>to</w:t>
      </w:r>
      <w:r>
        <w:rPr>
          <w:spacing w:val="29"/>
          <w:sz w:val="21"/>
        </w:rPr>
        <w:t> </w:t>
      </w:r>
      <w:r>
        <w:rPr>
          <w:sz w:val="21"/>
        </w:rPr>
        <w:t>operate</w:t>
      </w:r>
      <w:r>
        <w:rPr>
          <w:spacing w:val="29"/>
          <w:sz w:val="21"/>
        </w:rPr>
        <w:t> </w:t>
      </w:r>
      <w:r>
        <w:rPr>
          <w:sz w:val="21"/>
        </w:rPr>
        <w:t>normally</w:t>
      </w:r>
      <w:r>
        <w:rPr>
          <w:spacing w:val="29"/>
          <w:sz w:val="21"/>
        </w:rPr>
        <w:t> </w:t>
      </w:r>
      <w:r>
        <w:rPr>
          <w:sz w:val="21"/>
        </w:rPr>
        <w:t>all</w:t>
      </w:r>
      <w:r>
        <w:rPr>
          <w:spacing w:val="29"/>
          <w:sz w:val="21"/>
        </w:rPr>
        <w:t> </w:t>
      </w:r>
      <w:r>
        <w:rPr>
          <w:sz w:val="21"/>
        </w:rPr>
        <w:t>of</w:t>
      </w:r>
      <w:r>
        <w:rPr>
          <w:spacing w:val="29"/>
          <w:sz w:val="21"/>
        </w:rPr>
        <w:t> </w:t>
      </w:r>
      <w:r>
        <w:rPr>
          <w:sz w:val="21"/>
        </w:rPr>
        <w:t>the</w:t>
      </w:r>
      <w:r>
        <w:rPr>
          <w:spacing w:val="29"/>
          <w:sz w:val="21"/>
        </w:rPr>
        <w:t> </w:t>
      </w:r>
      <w:r>
        <w:rPr>
          <w:sz w:val="21"/>
        </w:rPr>
        <w:t>premises</w:t>
      </w:r>
      <w:r>
        <w:rPr>
          <w:spacing w:val="29"/>
          <w:sz w:val="21"/>
        </w:rPr>
        <w:t> </w:t>
      </w:r>
      <w:r>
        <w:rPr>
          <w:sz w:val="21"/>
        </w:rPr>
        <w:t>of</w:t>
      </w:r>
      <w:r>
        <w:rPr>
          <w:spacing w:val="29"/>
          <w:sz w:val="21"/>
        </w:rPr>
        <w:t> </w:t>
      </w:r>
      <w:r>
        <w:rPr>
          <w:sz w:val="21"/>
        </w:rPr>
        <w:t>the</w:t>
      </w:r>
      <w:r>
        <w:rPr>
          <w:spacing w:val="29"/>
          <w:sz w:val="21"/>
        </w:rPr>
        <w:t> </w:t>
      </w:r>
      <w:r>
        <w:rPr>
          <w:sz w:val="21"/>
        </w:rPr>
        <w:t>casinos</w:t>
      </w:r>
      <w:r>
        <w:rPr>
          <w:spacing w:val="29"/>
          <w:sz w:val="21"/>
        </w:rPr>
        <w:t> </w:t>
      </w:r>
      <w:r>
        <w:rPr>
          <w:sz w:val="21"/>
        </w:rPr>
        <w:t>and</w:t>
      </w:r>
      <w:r>
        <w:rPr>
          <w:spacing w:val="29"/>
          <w:sz w:val="21"/>
        </w:rPr>
        <w:t> </w:t>
      </w:r>
      <w:r>
        <w:rPr>
          <w:sz w:val="21"/>
        </w:rPr>
        <w:t>other</w:t>
      </w:r>
      <w:r>
        <w:rPr>
          <w:spacing w:val="29"/>
          <w:sz w:val="21"/>
        </w:rPr>
        <w:t> </w:t>
      </w:r>
      <w:r>
        <w:rPr>
          <w:sz w:val="21"/>
        </w:rPr>
        <w:t>facilities</w:t>
      </w:r>
      <w:r>
        <w:rPr>
          <w:spacing w:val="29"/>
          <w:sz w:val="21"/>
        </w:rPr>
        <w:t> </w:t>
      </w:r>
      <w:r>
        <w:rPr>
          <w:sz w:val="21"/>
        </w:rPr>
        <w:t>and</w:t>
      </w:r>
      <w:r>
        <w:rPr>
          <w:spacing w:val="29"/>
          <w:sz w:val="21"/>
        </w:rPr>
        <w:t> </w:t>
      </w:r>
      <w:r>
        <w:rPr>
          <w:sz w:val="21"/>
        </w:rPr>
        <w:t>buildings</w:t>
      </w:r>
      <w:r>
        <w:rPr>
          <w:spacing w:val="29"/>
          <w:sz w:val="21"/>
        </w:rPr>
        <w:t> </w:t>
      </w:r>
      <w:r>
        <w:rPr>
          <w:sz w:val="21"/>
        </w:rPr>
        <w:t>assigned</w:t>
      </w:r>
      <w:r>
        <w:rPr>
          <w:spacing w:val="29"/>
          <w:sz w:val="21"/>
        </w:rPr>
        <w:t> </w:t>
      </w:r>
      <w:r>
        <w:rPr>
          <w:sz w:val="21"/>
        </w:rPr>
        <w:t>to the</w:t>
      </w:r>
      <w:r>
        <w:rPr>
          <w:spacing w:val="26"/>
          <w:sz w:val="21"/>
        </w:rPr>
        <w:t> </w:t>
      </w:r>
      <w:r>
        <w:rPr>
          <w:sz w:val="21"/>
        </w:rPr>
        <w:t>operation</w:t>
      </w:r>
      <w:r>
        <w:rPr>
          <w:spacing w:val="26"/>
          <w:sz w:val="21"/>
        </w:rPr>
        <w:t> </w:t>
      </w:r>
      <w:r>
        <w:rPr>
          <w:sz w:val="21"/>
        </w:rPr>
        <w:t>of</w:t>
      </w:r>
      <w:r>
        <w:rPr>
          <w:spacing w:val="26"/>
          <w:sz w:val="21"/>
        </w:rPr>
        <w:t> </w:t>
      </w:r>
      <w:r>
        <w:rPr>
          <w:sz w:val="21"/>
        </w:rPr>
        <w:t>the</w:t>
      </w:r>
      <w:r>
        <w:rPr>
          <w:spacing w:val="26"/>
          <w:sz w:val="21"/>
        </w:rPr>
        <w:t> </w:t>
      </w:r>
      <w:r>
        <w:rPr>
          <w:sz w:val="21"/>
        </w:rPr>
        <w:t>concession</w:t>
      </w:r>
      <w:r>
        <w:rPr>
          <w:spacing w:val="26"/>
          <w:sz w:val="21"/>
        </w:rPr>
        <w:t> </w:t>
      </w:r>
      <w:r>
        <w:rPr>
          <w:sz w:val="21"/>
        </w:rPr>
        <w:t>for</w:t>
      </w:r>
      <w:r>
        <w:rPr>
          <w:spacing w:val="26"/>
          <w:sz w:val="21"/>
        </w:rPr>
        <w:t> </w:t>
      </w:r>
      <w:r>
        <w:rPr>
          <w:sz w:val="21"/>
        </w:rPr>
        <w:t>the</w:t>
      </w:r>
      <w:r>
        <w:rPr>
          <w:spacing w:val="26"/>
          <w:sz w:val="21"/>
        </w:rPr>
        <w:t> </w:t>
      </w:r>
      <w:r>
        <w:rPr>
          <w:sz w:val="21"/>
        </w:rPr>
        <w:t>scopes</w:t>
      </w:r>
      <w:r>
        <w:rPr>
          <w:spacing w:val="26"/>
          <w:sz w:val="21"/>
        </w:rPr>
        <w:t> </w:t>
      </w:r>
      <w:r>
        <w:rPr>
          <w:sz w:val="21"/>
        </w:rPr>
        <w:t>for</w:t>
      </w:r>
      <w:r>
        <w:rPr>
          <w:spacing w:val="26"/>
          <w:sz w:val="21"/>
        </w:rPr>
        <w:t> </w:t>
      </w:r>
      <w:r>
        <w:rPr>
          <w:sz w:val="21"/>
        </w:rPr>
        <w:t>which</w:t>
      </w:r>
      <w:r>
        <w:rPr>
          <w:spacing w:val="26"/>
          <w:sz w:val="21"/>
        </w:rPr>
        <w:t> </w:t>
      </w:r>
      <w:r>
        <w:rPr>
          <w:sz w:val="21"/>
        </w:rPr>
        <w:t>they</w:t>
      </w:r>
      <w:r>
        <w:rPr>
          <w:spacing w:val="26"/>
          <w:sz w:val="21"/>
        </w:rPr>
        <w:t> </w:t>
      </w:r>
      <w:r>
        <w:rPr>
          <w:sz w:val="21"/>
        </w:rPr>
        <w:t>are</w:t>
      </w:r>
      <w:r>
        <w:rPr>
          <w:spacing w:val="26"/>
          <w:sz w:val="21"/>
        </w:rPr>
        <w:t> </w:t>
      </w:r>
      <w:r>
        <w:rPr>
          <w:sz w:val="21"/>
        </w:rPr>
        <w:t>intended</w:t>
      </w:r>
      <w:r>
        <w:rPr>
          <w:spacing w:val="26"/>
          <w:sz w:val="21"/>
        </w:rPr>
        <w:t> </w:t>
      </w:r>
      <w:r>
        <w:rPr>
          <w:sz w:val="21"/>
        </w:rPr>
        <w:t>or</w:t>
      </w:r>
      <w:r>
        <w:rPr>
          <w:spacing w:val="26"/>
          <w:sz w:val="21"/>
        </w:rPr>
        <w:t> </w:t>
      </w:r>
      <w:r>
        <w:rPr>
          <w:sz w:val="21"/>
        </w:rPr>
        <w:t>authorized.</w:t>
      </w:r>
    </w:p>
    <w:p>
      <w:pPr>
        <w:pStyle w:val="BodyText"/>
        <w:spacing w:before="130"/>
        <w:rPr>
          <w:sz w:val="21"/>
        </w:rPr>
      </w:pPr>
    </w:p>
    <w:p>
      <w:pPr>
        <w:spacing w:before="1"/>
        <w:ind w:left="24" w:right="0" w:firstLine="0"/>
        <w:jc w:val="center"/>
        <w:rPr>
          <w:b/>
          <w:sz w:val="21"/>
        </w:rPr>
      </w:pPr>
      <w:r>
        <w:rPr>
          <w:b/>
          <w:sz w:val="21"/>
        </w:rPr>
        <w:t>Clause</w:t>
      </w:r>
      <w:r>
        <w:rPr>
          <w:b/>
          <w:spacing w:val="13"/>
          <w:sz w:val="21"/>
        </w:rPr>
        <w:t> </w:t>
      </w:r>
      <w:r>
        <w:rPr>
          <w:b/>
          <w:spacing w:val="-5"/>
          <w:sz w:val="21"/>
        </w:rPr>
        <w:t>72</w:t>
      </w:r>
    </w:p>
    <w:p>
      <w:pPr>
        <w:spacing w:before="69"/>
        <w:ind w:left="24" w:right="0" w:firstLine="0"/>
        <w:jc w:val="center"/>
        <w:rPr>
          <w:b/>
          <w:sz w:val="21"/>
        </w:rPr>
      </w:pPr>
      <w:r>
        <w:rPr>
          <w:b/>
          <w:sz w:val="21"/>
        </w:rPr>
        <w:t>General</w:t>
      </w:r>
      <w:r>
        <w:rPr>
          <w:b/>
          <w:spacing w:val="9"/>
          <w:sz w:val="21"/>
        </w:rPr>
        <w:t> </w:t>
      </w:r>
      <w:r>
        <w:rPr>
          <w:b/>
          <w:sz w:val="21"/>
        </w:rPr>
        <w:t>duties</w:t>
      </w:r>
      <w:r>
        <w:rPr>
          <w:b/>
          <w:spacing w:val="10"/>
          <w:sz w:val="21"/>
        </w:rPr>
        <w:t> </w:t>
      </w:r>
      <w:r>
        <w:rPr>
          <w:b/>
          <w:sz w:val="21"/>
        </w:rPr>
        <w:t>of</w:t>
      </w:r>
      <w:r>
        <w:rPr>
          <w:b/>
          <w:spacing w:val="9"/>
          <w:sz w:val="21"/>
        </w:rPr>
        <w:t> </w:t>
      </w:r>
      <w:r>
        <w:rPr>
          <w:b/>
          <w:sz w:val="21"/>
        </w:rPr>
        <w:t>the</w:t>
      </w:r>
      <w:r>
        <w:rPr>
          <w:b/>
          <w:spacing w:val="10"/>
          <w:sz w:val="21"/>
        </w:rPr>
        <w:t> </w:t>
      </w:r>
      <w:r>
        <w:rPr>
          <w:b/>
          <w:spacing w:val="-2"/>
          <w:sz w:val="21"/>
        </w:rPr>
        <w:t>Concessionaire</w:t>
      </w:r>
    </w:p>
    <w:p>
      <w:pPr>
        <w:pStyle w:val="BodyText"/>
        <w:spacing w:before="146"/>
        <w:rPr>
          <w:b/>
          <w:sz w:val="21"/>
        </w:rPr>
      </w:pPr>
    </w:p>
    <w:p>
      <w:pPr>
        <w:spacing w:line="213" w:lineRule="auto" w:before="0"/>
        <w:ind w:left="144" w:right="118" w:firstLine="0"/>
        <w:jc w:val="both"/>
        <w:rPr>
          <w:sz w:val="21"/>
        </w:rPr>
      </w:pPr>
      <w:r>
        <w:rPr>
          <w:i/>
          <w:sz w:val="21"/>
        </w:rPr>
        <w:t>One</w:t>
      </w:r>
      <w:r>
        <w:rPr>
          <w:sz w:val="21"/>
        </w:rPr>
        <w:t>.</w:t>
      </w:r>
      <w:r>
        <w:rPr>
          <w:spacing w:val="40"/>
          <w:sz w:val="21"/>
        </w:rPr>
        <w:t> </w:t>
      </w:r>
      <w:r>
        <w:rPr>
          <w:sz w:val="21"/>
        </w:rPr>
        <w:t>It</w:t>
      </w:r>
      <w:r>
        <w:rPr>
          <w:spacing w:val="40"/>
          <w:sz w:val="21"/>
        </w:rPr>
        <w:t> </w:t>
      </w:r>
      <w:r>
        <w:rPr>
          <w:sz w:val="21"/>
        </w:rPr>
        <w:t>is</w:t>
      </w:r>
      <w:r>
        <w:rPr>
          <w:spacing w:val="40"/>
          <w:sz w:val="21"/>
        </w:rPr>
        <w:t> </w:t>
      </w:r>
      <w:r>
        <w:rPr>
          <w:sz w:val="21"/>
        </w:rPr>
        <w:t>the</w:t>
      </w:r>
      <w:r>
        <w:rPr>
          <w:spacing w:val="40"/>
          <w:sz w:val="21"/>
        </w:rPr>
        <w:t> </w:t>
      </w:r>
      <w:r>
        <w:rPr>
          <w:sz w:val="21"/>
        </w:rPr>
        <w:t>Concessionaire's</w:t>
      </w:r>
      <w:r>
        <w:rPr>
          <w:spacing w:val="40"/>
          <w:sz w:val="21"/>
        </w:rPr>
        <w:t> </w:t>
      </w:r>
      <w:r>
        <w:rPr>
          <w:sz w:val="21"/>
        </w:rPr>
        <w:t>special</w:t>
      </w:r>
      <w:r>
        <w:rPr>
          <w:spacing w:val="40"/>
          <w:sz w:val="21"/>
        </w:rPr>
        <w:t> </w:t>
      </w:r>
      <w:r>
        <w:rPr>
          <w:sz w:val="21"/>
        </w:rPr>
        <w:t>obligation</w:t>
      </w:r>
      <w:r>
        <w:rPr>
          <w:spacing w:val="40"/>
          <w:sz w:val="21"/>
        </w:rPr>
        <w:t> </w:t>
      </w:r>
      <w:r>
        <w:rPr>
          <w:sz w:val="21"/>
        </w:rPr>
        <w:t>to</w:t>
      </w:r>
      <w:r>
        <w:rPr>
          <w:spacing w:val="40"/>
          <w:sz w:val="21"/>
        </w:rPr>
        <w:t> </w:t>
      </w:r>
      <w:r>
        <w:rPr>
          <w:sz w:val="21"/>
        </w:rPr>
        <w:t>promote</w:t>
      </w:r>
      <w:r>
        <w:rPr>
          <w:spacing w:val="40"/>
          <w:sz w:val="21"/>
        </w:rPr>
        <w:t> </w:t>
      </w:r>
      <w:r>
        <w:rPr>
          <w:sz w:val="21"/>
        </w:rPr>
        <w:t>and</w:t>
      </w:r>
      <w:r>
        <w:rPr>
          <w:spacing w:val="40"/>
          <w:sz w:val="21"/>
        </w:rPr>
        <w:t> </w:t>
      </w:r>
      <w:r>
        <w:rPr>
          <w:sz w:val="21"/>
        </w:rPr>
        <w:t>demand,</w:t>
      </w:r>
      <w:r>
        <w:rPr>
          <w:spacing w:val="40"/>
          <w:sz w:val="21"/>
        </w:rPr>
        <w:t> </w:t>
      </w:r>
      <w:r>
        <w:rPr>
          <w:sz w:val="21"/>
        </w:rPr>
        <w:t>from</w:t>
      </w:r>
      <w:r>
        <w:rPr>
          <w:spacing w:val="40"/>
          <w:sz w:val="21"/>
        </w:rPr>
        <w:t> </w:t>
      </w:r>
      <w:r>
        <w:rPr>
          <w:sz w:val="21"/>
        </w:rPr>
        <w:t>all</w:t>
      </w:r>
      <w:r>
        <w:rPr>
          <w:spacing w:val="40"/>
          <w:sz w:val="21"/>
        </w:rPr>
        <w:t> </w:t>
      </w:r>
      <w:r>
        <w:rPr>
          <w:sz w:val="21"/>
        </w:rPr>
        <w:t>entities</w:t>
      </w:r>
      <w:r>
        <w:rPr>
          <w:spacing w:val="40"/>
          <w:sz w:val="21"/>
        </w:rPr>
        <w:t> </w:t>
      </w:r>
      <w:r>
        <w:rPr>
          <w:sz w:val="21"/>
        </w:rPr>
        <w:t>that</w:t>
      </w:r>
      <w:r>
        <w:rPr>
          <w:spacing w:val="40"/>
          <w:sz w:val="21"/>
        </w:rPr>
        <w:t> </w:t>
      </w:r>
      <w:r>
        <w:rPr>
          <w:sz w:val="21"/>
        </w:rPr>
        <w:t>may</w:t>
      </w:r>
      <w:r>
        <w:rPr>
          <w:spacing w:val="40"/>
          <w:sz w:val="21"/>
        </w:rPr>
        <w:t> </w:t>
      </w:r>
      <w:r>
        <w:rPr>
          <w:sz w:val="21"/>
        </w:rPr>
        <w:t>be</w:t>
      </w:r>
      <w:r>
        <w:rPr>
          <w:spacing w:val="40"/>
          <w:sz w:val="21"/>
        </w:rPr>
        <w:t> </w:t>
      </w:r>
      <w:r>
        <w:rPr>
          <w:sz w:val="21"/>
        </w:rPr>
        <w:t>contracted</w:t>
      </w:r>
      <w:r>
        <w:rPr>
          <w:spacing w:val="40"/>
          <w:sz w:val="21"/>
        </w:rPr>
        <w:t> </w:t>
      </w:r>
      <w:r>
        <w:rPr>
          <w:sz w:val="21"/>
        </w:rPr>
        <w:t>for</w:t>
      </w:r>
      <w:r>
        <w:rPr>
          <w:spacing w:val="40"/>
          <w:sz w:val="21"/>
        </w:rPr>
        <w:t> </w:t>
      </w:r>
      <w:r>
        <w:rPr>
          <w:sz w:val="21"/>
        </w:rPr>
        <w:t>the development of activities included within the concession, the observance of all rules of good organization and operation and special safety</w:t>
      </w:r>
      <w:r>
        <w:rPr>
          <w:spacing w:val="25"/>
          <w:sz w:val="21"/>
        </w:rPr>
        <w:t> </w:t>
      </w:r>
      <w:r>
        <w:rPr>
          <w:sz w:val="21"/>
        </w:rPr>
        <w:t>measures</w:t>
      </w:r>
      <w:r>
        <w:rPr>
          <w:spacing w:val="25"/>
          <w:sz w:val="21"/>
        </w:rPr>
        <w:t> </w:t>
      </w:r>
      <w:r>
        <w:rPr>
          <w:sz w:val="21"/>
        </w:rPr>
        <w:t>in</w:t>
      </w:r>
      <w:r>
        <w:rPr>
          <w:spacing w:val="25"/>
          <w:sz w:val="21"/>
        </w:rPr>
        <w:t> </w:t>
      </w:r>
      <w:r>
        <w:rPr>
          <w:sz w:val="21"/>
        </w:rPr>
        <w:t>relation</w:t>
      </w:r>
      <w:r>
        <w:rPr>
          <w:spacing w:val="25"/>
          <w:sz w:val="21"/>
        </w:rPr>
        <w:t> </w:t>
      </w:r>
      <w:r>
        <w:rPr>
          <w:sz w:val="21"/>
        </w:rPr>
        <w:t>to</w:t>
      </w:r>
      <w:r>
        <w:rPr>
          <w:spacing w:val="25"/>
          <w:sz w:val="21"/>
        </w:rPr>
        <w:t> </w:t>
      </w:r>
      <w:r>
        <w:rPr>
          <w:sz w:val="21"/>
        </w:rPr>
        <w:t>the</w:t>
      </w:r>
      <w:r>
        <w:rPr>
          <w:spacing w:val="25"/>
          <w:sz w:val="21"/>
        </w:rPr>
        <w:t> </w:t>
      </w:r>
      <w:r>
        <w:rPr>
          <w:sz w:val="21"/>
        </w:rPr>
        <w:t>patrons,</w:t>
      </w:r>
      <w:r>
        <w:rPr>
          <w:spacing w:val="25"/>
          <w:sz w:val="21"/>
        </w:rPr>
        <w:t> </w:t>
      </w:r>
      <w:r>
        <w:rPr>
          <w:sz w:val="21"/>
        </w:rPr>
        <w:t>its</w:t>
      </w:r>
      <w:r>
        <w:rPr>
          <w:spacing w:val="25"/>
          <w:sz w:val="21"/>
        </w:rPr>
        <w:t> </w:t>
      </w:r>
      <w:r>
        <w:rPr>
          <w:sz w:val="21"/>
        </w:rPr>
        <w:t>casinos,</w:t>
      </w:r>
      <w:r>
        <w:rPr>
          <w:spacing w:val="25"/>
          <w:sz w:val="21"/>
        </w:rPr>
        <w:t> </w:t>
      </w:r>
      <w:r>
        <w:rPr>
          <w:sz w:val="21"/>
        </w:rPr>
        <w:t>its</w:t>
      </w:r>
      <w:r>
        <w:rPr>
          <w:spacing w:val="25"/>
          <w:sz w:val="21"/>
        </w:rPr>
        <w:t> </w:t>
      </w:r>
      <w:r>
        <w:rPr>
          <w:sz w:val="21"/>
        </w:rPr>
        <w:t>employees</w:t>
      </w:r>
      <w:r>
        <w:rPr>
          <w:spacing w:val="25"/>
          <w:sz w:val="21"/>
        </w:rPr>
        <w:t> </w:t>
      </w:r>
      <w:r>
        <w:rPr>
          <w:sz w:val="21"/>
        </w:rPr>
        <w:t>and</w:t>
      </w:r>
      <w:r>
        <w:rPr>
          <w:spacing w:val="25"/>
          <w:sz w:val="21"/>
        </w:rPr>
        <w:t> </w:t>
      </w:r>
      <w:r>
        <w:rPr>
          <w:sz w:val="21"/>
        </w:rPr>
        <w:t>other</w:t>
      </w:r>
      <w:r>
        <w:rPr>
          <w:spacing w:val="25"/>
          <w:sz w:val="21"/>
        </w:rPr>
        <w:t> </w:t>
      </w:r>
      <w:r>
        <w:rPr>
          <w:sz w:val="21"/>
        </w:rPr>
        <w:t>persons</w:t>
      </w:r>
      <w:r>
        <w:rPr>
          <w:spacing w:val="25"/>
          <w:sz w:val="21"/>
        </w:rPr>
        <w:t> </w:t>
      </w:r>
      <w:r>
        <w:rPr>
          <w:sz w:val="21"/>
        </w:rPr>
        <w:t>who</w:t>
      </w:r>
      <w:r>
        <w:rPr>
          <w:spacing w:val="25"/>
          <w:sz w:val="21"/>
        </w:rPr>
        <w:t> </w:t>
      </w:r>
      <w:r>
        <w:rPr>
          <w:sz w:val="21"/>
        </w:rPr>
        <w:t>perform</w:t>
      </w:r>
      <w:r>
        <w:rPr>
          <w:spacing w:val="25"/>
          <w:sz w:val="21"/>
        </w:rPr>
        <w:t> </w:t>
      </w:r>
      <w:r>
        <w:rPr>
          <w:sz w:val="21"/>
        </w:rPr>
        <w:t>functions</w:t>
      </w:r>
      <w:r>
        <w:rPr>
          <w:spacing w:val="25"/>
          <w:sz w:val="21"/>
        </w:rPr>
        <w:t> </w:t>
      </w:r>
      <w:r>
        <w:rPr>
          <w:sz w:val="21"/>
        </w:rPr>
        <w:t>therein.</w:t>
      </w:r>
    </w:p>
    <w:p>
      <w:pPr>
        <w:pStyle w:val="BodyText"/>
        <w:spacing w:before="153"/>
        <w:rPr>
          <w:sz w:val="21"/>
        </w:rPr>
      </w:pPr>
    </w:p>
    <w:p>
      <w:pPr>
        <w:spacing w:line="213" w:lineRule="auto" w:before="0"/>
        <w:ind w:left="144" w:right="118" w:firstLine="0"/>
        <w:jc w:val="both"/>
        <w:rPr>
          <w:sz w:val="21"/>
        </w:rPr>
      </w:pPr>
      <w:r>
        <w:rPr>
          <w:i/>
          <w:sz w:val="21"/>
        </w:rPr>
        <w:t>Two</w:t>
      </w:r>
      <w:r>
        <w:rPr>
          <w:sz w:val="21"/>
        </w:rPr>
        <w:t>. In order to develop the activities included in the concession, the Concessionaire undertakes to contract entities that are </w:t>
      </w:r>
      <w:r>
        <w:rPr>
          <w:sz w:val="21"/>
        </w:rPr>
        <w:t>duly licensed</w:t>
      </w:r>
      <w:r>
        <w:rPr>
          <w:spacing w:val="30"/>
          <w:sz w:val="21"/>
        </w:rPr>
        <w:t> </w:t>
      </w:r>
      <w:r>
        <w:rPr>
          <w:sz w:val="21"/>
        </w:rPr>
        <w:t>and</w:t>
      </w:r>
      <w:r>
        <w:rPr>
          <w:spacing w:val="30"/>
          <w:sz w:val="21"/>
        </w:rPr>
        <w:t> </w:t>
      </w:r>
      <w:r>
        <w:rPr>
          <w:sz w:val="21"/>
        </w:rPr>
        <w:t>authorized</w:t>
      </w:r>
      <w:r>
        <w:rPr>
          <w:spacing w:val="30"/>
          <w:sz w:val="21"/>
        </w:rPr>
        <w:t> </w:t>
      </w:r>
      <w:r>
        <w:rPr>
          <w:sz w:val="21"/>
        </w:rPr>
        <w:t>and</w:t>
      </w:r>
      <w:r>
        <w:rPr>
          <w:spacing w:val="30"/>
          <w:sz w:val="21"/>
        </w:rPr>
        <w:t> </w:t>
      </w:r>
      <w:r>
        <w:rPr>
          <w:sz w:val="21"/>
        </w:rPr>
        <w:t>that</w:t>
      </w:r>
      <w:r>
        <w:rPr>
          <w:spacing w:val="30"/>
          <w:sz w:val="21"/>
        </w:rPr>
        <w:t> </w:t>
      </w:r>
      <w:r>
        <w:rPr>
          <w:sz w:val="21"/>
        </w:rPr>
        <w:t>have</w:t>
      </w:r>
      <w:r>
        <w:rPr>
          <w:spacing w:val="30"/>
          <w:sz w:val="21"/>
        </w:rPr>
        <w:t> </w:t>
      </w:r>
      <w:r>
        <w:rPr>
          <w:sz w:val="21"/>
        </w:rPr>
        <w:t>adequate</w:t>
      </w:r>
      <w:r>
        <w:rPr>
          <w:spacing w:val="30"/>
          <w:sz w:val="21"/>
        </w:rPr>
        <w:t> </w:t>
      </w:r>
      <w:r>
        <w:rPr>
          <w:sz w:val="21"/>
        </w:rPr>
        <w:t>technical</w:t>
      </w:r>
      <w:r>
        <w:rPr>
          <w:spacing w:val="30"/>
          <w:sz w:val="21"/>
        </w:rPr>
        <w:t> </w:t>
      </w:r>
      <w:r>
        <w:rPr>
          <w:sz w:val="21"/>
        </w:rPr>
        <w:t>and</w:t>
      </w:r>
      <w:r>
        <w:rPr>
          <w:spacing w:val="30"/>
          <w:sz w:val="21"/>
        </w:rPr>
        <w:t> </w:t>
      </w:r>
      <w:r>
        <w:rPr>
          <w:sz w:val="21"/>
        </w:rPr>
        <w:t>professional</w:t>
      </w:r>
      <w:r>
        <w:rPr>
          <w:spacing w:val="30"/>
          <w:sz w:val="21"/>
        </w:rPr>
        <w:t> </w:t>
      </w:r>
      <w:r>
        <w:rPr>
          <w:sz w:val="21"/>
        </w:rPr>
        <w:t>capacity</w:t>
      </w:r>
      <w:r>
        <w:rPr>
          <w:spacing w:val="30"/>
          <w:sz w:val="21"/>
        </w:rPr>
        <w:t> </w:t>
      </w:r>
      <w:r>
        <w:rPr>
          <w:sz w:val="21"/>
        </w:rPr>
        <w:t>for</w:t>
      </w:r>
      <w:r>
        <w:rPr>
          <w:spacing w:val="30"/>
          <w:sz w:val="21"/>
        </w:rPr>
        <w:t> </w:t>
      </w:r>
      <w:r>
        <w:rPr>
          <w:sz w:val="21"/>
        </w:rPr>
        <w:t>this</w:t>
      </w:r>
      <w:r>
        <w:rPr>
          <w:spacing w:val="30"/>
          <w:sz w:val="21"/>
        </w:rPr>
        <w:t> </w:t>
      </w:r>
      <w:r>
        <w:rPr>
          <w:sz w:val="21"/>
        </w:rPr>
        <w:t>purpose.</w:t>
      </w:r>
    </w:p>
    <w:p>
      <w:pPr>
        <w:pStyle w:val="BodyText"/>
        <w:spacing w:before="71"/>
        <w:rPr>
          <w:sz w:val="21"/>
        </w:rPr>
      </w:pPr>
    </w:p>
    <w:p>
      <w:pPr>
        <w:spacing w:line="213" w:lineRule="auto" w:before="0"/>
        <w:ind w:left="144" w:right="119" w:firstLine="0"/>
        <w:jc w:val="both"/>
        <w:rPr>
          <w:sz w:val="21"/>
        </w:rPr>
      </w:pPr>
      <w:r>
        <w:rPr>
          <w:i/>
          <w:sz w:val="21"/>
        </w:rPr>
        <w:t>Three. </w:t>
      </w:r>
      <w:r>
        <w:rPr>
          <w:sz w:val="21"/>
        </w:rPr>
        <w:t>The Concessionaire undertakes to implement plans regarding the expansion of markets for overseas customers in </w:t>
      </w:r>
      <w:r>
        <w:rPr>
          <w:sz w:val="21"/>
        </w:rPr>
        <w:t>accordance</w:t>
      </w:r>
      <w:r>
        <w:rPr>
          <w:spacing w:val="80"/>
          <w:sz w:val="21"/>
        </w:rPr>
        <w:t> </w:t>
      </w:r>
      <w:r>
        <w:rPr>
          <w:sz w:val="21"/>
        </w:rPr>
        <w:t>with the content and criteria of the proposal submitted by the Concessionaire as a bidder in the public tender for the award of</w:t>
      </w:r>
      <w:r>
        <w:rPr>
          <w:spacing w:val="40"/>
          <w:sz w:val="21"/>
        </w:rPr>
        <w:t> </w:t>
      </w:r>
      <w:r>
        <w:rPr>
          <w:sz w:val="21"/>
        </w:rPr>
        <w:t>concessions for the operation of games of fortune or chance in casino.</w:t>
      </w:r>
    </w:p>
    <w:p>
      <w:pPr>
        <w:pStyle w:val="BodyText"/>
        <w:spacing w:before="167"/>
        <w:rPr>
          <w:sz w:val="21"/>
        </w:rPr>
      </w:pPr>
    </w:p>
    <w:p>
      <w:pPr>
        <w:spacing w:line="213" w:lineRule="auto" w:before="0"/>
        <w:ind w:left="144" w:right="119" w:firstLine="0"/>
        <w:jc w:val="both"/>
        <w:rPr>
          <w:sz w:val="21"/>
        </w:rPr>
      </w:pPr>
      <w:r>
        <w:rPr>
          <w:i/>
          <w:sz w:val="21"/>
        </w:rPr>
        <w:t>Four.</w:t>
      </w:r>
      <w:r>
        <w:rPr>
          <w:i/>
          <w:spacing w:val="38"/>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implement</w:t>
      </w:r>
      <w:r>
        <w:rPr>
          <w:spacing w:val="40"/>
          <w:sz w:val="21"/>
        </w:rPr>
        <w:t> </w:t>
      </w:r>
      <w:r>
        <w:rPr>
          <w:sz w:val="21"/>
        </w:rPr>
        <w:t>the</w:t>
      </w:r>
      <w:r>
        <w:rPr>
          <w:spacing w:val="40"/>
          <w:sz w:val="21"/>
        </w:rPr>
        <w:t> </w:t>
      </w:r>
      <w:r>
        <w:rPr>
          <w:sz w:val="21"/>
        </w:rPr>
        <w:t>plans</w:t>
      </w:r>
      <w:r>
        <w:rPr>
          <w:spacing w:val="40"/>
          <w:sz w:val="21"/>
        </w:rPr>
        <w:t> </w:t>
      </w:r>
      <w:r>
        <w:rPr>
          <w:sz w:val="21"/>
        </w:rPr>
        <w:t>relating</w:t>
      </w:r>
      <w:r>
        <w:rPr>
          <w:spacing w:val="40"/>
          <w:sz w:val="21"/>
        </w:rPr>
        <w:t> </w:t>
      </w:r>
      <w:r>
        <w:rPr>
          <w:sz w:val="21"/>
        </w:rPr>
        <w:t>to</w:t>
      </w:r>
      <w:r>
        <w:rPr>
          <w:spacing w:val="40"/>
          <w:sz w:val="21"/>
        </w:rPr>
        <w:t> </w:t>
      </w:r>
      <w:r>
        <w:rPr>
          <w:sz w:val="21"/>
        </w:rPr>
        <w:t>social</w:t>
      </w:r>
      <w:r>
        <w:rPr>
          <w:spacing w:val="40"/>
          <w:sz w:val="21"/>
        </w:rPr>
        <w:t> </w:t>
      </w:r>
      <w:r>
        <w:rPr>
          <w:sz w:val="21"/>
        </w:rPr>
        <w:t>responsibility</w:t>
      </w:r>
      <w:r>
        <w:rPr>
          <w:spacing w:val="40"/>
          <w:sz w:val="21"/>
        </w:rPr>
        <w:t> </w:t>
      </w:r>
      <w:r>
        <w:rPr>
          <w:sz w:val="21"/>
        </w:rPr>
        <w:t>in</w:t>
      </w:r>
      <w:r>
        <w:rPr>
          <w:spacing w:val="40"/>
          <w:sz w:val="21"/>
        </w:rPr>
        <w:t> </w:t>
      </w:r>
      <w:r>
        <w:rPr>
          <w:sz w:val="21"/>
        </w:rPr>
        <w:t>accordance</w:t>
      </w:r>
      <w:r>
        <w:rPr>
          <w:spacing w:val="40"/>
          <w:sz w:val="21"/>
        </w:rPr>
        <w:t> </w:t>
      </w:r>
      <w:r>
        <w:rPr>
          <w:sz w:val="21"/>
        </w:rPr>
        <w:t>with</w:t>
      </w:r>
      <w:r>
        <w:rPr>
          <w:spacing w:val="40"/>
          <w:sz w:val="21"/>
        </w:rPr>
        <w:t> </w:t>
      </w:r>
      <w:r>
        <w:rPr>
          <w:sz w:val="21"/>
        </w:rPr>
        <w:t>the</w:t>
      </w:r>
      <w:r>
        <w:rPr>
          <w:spacing w:val="40"/>
          <w:sz w:val="21"/>
        </w:rPr>
        <w:t> </w:t>
      </w:r>
      <w:r>
        <w:rPr>
          <w:sz w:val="21"/>
        </w:rPr>
        <w:t>content</w:t>
      </w:r>
      <w:r>
        <w:rPr>
          <w:spacing w:val="40"/>
          <w:sz w:val="21"/>
        </w:rPr>
        <w:t> </w:t>
      </w:r>
      <w:r>
        <w:rPr>
          <w:sz w:val="21"/>
        </w:rPr>
        <w:t>and criteria of the award proposal submitted by the Concessionaire as a bidder in the public tender for the award of concessions for the operation of games of fortune or chance in casino, namely in the following areas:</w:t>
      </w:r>
    </w:p>
    <w:p>
      <w:pPr>
        <w:pStyle w:val="BodyText"/>
        <w:spacing w:before="132"/>
        <w:rPr>
          <w:sz w:val="21"/>
        </w:rPr>
      </w:pPr>
    </w:p>
    <w:p>
      <w:pPr>
        <w:pStyle w:val="ListParagraph"/>
        <w:numPr>
          <w:ilvl w:val="0"/>
          <w:numId w:val="41"/>
        </w:numPr>
        <w:tabs>
          <w:tab w:pos="887" w:val="left" w:leader="none"/>
        </w:tabs>
        <w:spacing w:line="240" w:lineRule="auto" w:before="0" w:after="0"/>
        <w:ind w:left="887" w:right="0" w:hanging="233"/>
        <w:jc w:val="left"/>
        <w:rPr>
          <w:sz w:val="21"/>
        </w:rPr>
      </w:pPr>
      <w:r>
        <w:rPr>
          <w:sz w:val="21"/>
        </w:rPr>
        <w:t>Supporting</w:t>
      </w:r>
      <w:r>
        <w:rPr>
          <w:spacing w:val="13"/>
          <w:sz w:val="21"/>
        </w:rPr>
        <w:t> </w:t>
      </w:r>
      <w:r>
        <w:rPr>
          <w:sz w:val="21"/>
        </w:rPr>
        <w:t>the</w:t>
      </w:r>
      <w:r>
        <w:rPr>
          <w:spacing w:val="13"/>
          <w:sz w:val="21"/>
        </w:rPr>
        <w:t> </w:t>
      </w:r>
      <w:r>
        <w:rPr>
          <w:sz w:val="21"/>
        </w:rPr>
        <w:t>development</w:t>
      </w:r>
      <w:r>
        <w:rPr>
          <w:spacing w:val="13"/>
          <w:sz w:val="21"/>
        </w:rPr>
        <w:t> </w:t>
      </w:r>
      <w:r>
        <w:rPr>
          <w:sz w:val="21"/>
        </w:rPr>
        <w:t>of</w:t>
      </w:r>
      <w:r>
        <w:rPr>
          <w:spacing w:val="13"/>
          <w:sz w:val="21"/>
        </w:rPr>
        <w:t> </w:t>
      </w:r>
      <w:r>
        <w:rPr>
          <w:sz w:val="21"/>
        </w:rPr>
        <w:t>local</w:t>
      </w:r>
      <w:r>
        <w:rPr>
          <w:spacing w:val="13"/>
          <w:sz w:val="21"/>
        </w:rPr>
        <w:t> </w:t>
      </w:r>
      <w:r>
        <w:rPr>
          <w:sz w:val="21"/>
        </w:rPr>
        <w:t>small</w:t>
      </w:r>
      <w:r>
        <w:rPr>
          <w:spacing w:val="13"/>
          <w:sz w:val="21"/>
        </w:rPr>
        <w:t> </w:t>
      </w:r>
      <w:r>
        <w:rPr>
          <w:sz w:val="21"/>
        </w:rPr>
        <w:t>and</w:t>
      </w:r>
      <w:r>
        <w:rPr>
          <w:spacing w:val="13"/>
          <w:sz w:val="21"/>
        </w:rPr>
        <w:t> </w:t>
      </w:r>
      <w:r>
        <w:rPr>
          <w:sz w:val="21"/>
        </w:rPr>
        <w:t>medium-sized</w:t>
      </w:r>
      <w:r>
        <w:rPr>
          <w:spacing w:val="13"/>
          <w:sz w:val="21"/>
        </w:rPr>
        <w:t> </w:t>
      </w:r>
      <w:r>
        <w:rPr>
          <w:spacing w:val="-2"/>
          <w:sz w:val="21"/>
        </w:rPr>
        <w:t>enterprises;</w:t>
      </w:r>
    </w:p>
    <w:p>
      <w:pPr>
        <w:pStyle w:val="BodyText"/>
        <w:spacing w:before="124"/>
        <w:rPr>
          <w:sz w:val="21"/>
        </w:rPr>
      </w:pPr>
    </w:p>
    <w:p>
      <w:pPr>
        <w:pStyle w:val="ListParagraph"/>
        <w:numPr>
          <w:ilvl w:val="0"/>
          <w:numId w:val="41"/>
        </w:numPr>
        <w:tabs>
          <w:tab w:pos="887" w:val="left" w:leader="none"/>
        </w:tabs>
        <w:spacing w:line="240" w:lineRule="auto" w:before="0" w:after="0"/>
        <w:ind w:left="887" w:right="0" w:hanging="233"/>
        <w:jc w:val="left"/>
        <w:rPr>
          <w:sz w:val="21"/>
        </w:rPr>
      </w:pPr>
      <w:r>
        <w:rPr>
          <w:sz w:val="21"/>
        </w:rPr>
        <w:t>Supporting</w:t>
      </w:r>
      <w:r>
        <w:rPr>
          <w:spacing w:val="13"/>
          <w:sz w:val="21"/>
        </w:rPr>
        <w:t> </w:t>
      </w:r>
      <w:r>
        <w:rPr>
          <w:sz w:val="21"/>
        </w:rPr>
        <w:t>the</w:t>
      </w:r>
      <w:r>
        <w:rPr>
          <w:spacing w:val="13"/>
          <w:sz w:val="21"/>
        </w:rPr>
        <w:t> </w:t>
      </w:r>
      <w:r>
        <w:rPr>
          <w:sz w:val="21"/>
        </w:rPr>
        <w:t>development</w:t>
      </w:r>
      <w:r>
        <w:rPr>
          <w:spacing w:val="13"/>
          <w:sz w:val="21"/>
        </w:rPr>
        <w:t> </w:t>
      </w:r>
      <w:r>
        <w:rPr>
          <w:sz w:val="21"/>
        </w:rPr>
        <w:t>of</w:t>
      </w:r>
      <w:r>
        <w:rPr>
          <w:spacing w:val="13"/>
          <w:sz w:val="21"/>
        </w:rPr>
        <w:t> </w:t>
      </w:r>
      <w:r>
        <w:rPr>
          <w:sz w:val="21"/>
        </w:rPr>
        <w:t>diversification</w:t>
      </w:r>
      <w:r>
        <w:rPr>
          <w:spacing w:val="13"/>
          <w:sz w:val="21"/>
        </w:rPr>
        <w:t> </w:t>
      </w:r>
      <w:r>
        <w:rPr>
          <w:sz w:val="21"/>
        </w:rPr>
        <w:t>of</w:t>
      </w:r>
      <w:r>
        <w:rPr>
          <w:spacing w:val="13"/>
          <w:sz w:val="21"/>
        </w:rPr>
        <w:t> </w:t>
      </w:r>
      <w:r>
        <w:rPr>
          <w:sz w:val="21"/>
        </w:rPr>
        <w:t>local</w:t>
      </w:r>
      <w:r>
        <w:rPr>
          <w:spacing w:val="13"/>
          <w:sz w:val="21"/>
        </w:rPr>
        <w:t> </w:t>
      </w:r>
      <w:r>
        <w:rPr>
          <w:spacing w:val="-2"/>
          <w:sz w:val="21"/>
        </w:rPr>
        <w:t>industries;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2"/>
        <w:rPr>
          <w:sz w:val="20"/>
        </w:rPr>
      </w:pPr>
      <w:r>
        <w:rPr/>
        <mc:AlternateContent>
          <mc:Choice Requires="wps">
            <w:drawing>
              <wp:anchor distT="0" distB="0" distL="0" distR="0" allowOverlap="1" layoutInCell="1" locked="0" behindDoc="1" simplePos="0" relativeHeight="487783936">
                <wp:simplePos x="0" y="0"/>
                <wp:positionH relativeFrom="page">
                  <wp:posOffset>231457</wp:posOffset>
                </wp:positionH>
                <wp:positionV relativeFrom="paragraph">
                  <wp:posOffset>200647</wp:posOffset>
                </wp:positionV>
                <wp:extent cx="7312659" cy="17145"/>
                <wp:effectExtent l="0" t="0" r="0" b="0"/>
                <wp:wrapTopAndBottom/>
                <wp:docPr id="948" name="Group 948"/>
                <wp:cNvGraphicFramePr>
                  <a:graphicFrameLocks/>
                </wp:cNvGraphicFramePr>
                <a:graphic>
                  <a:graphicData uri="http://schemas.microsoft.com/office/word/2010/wordprocessingGroup">
                    <wpg:wgp>
                      <wpg:cNvPr id="948" name="Group 948"/>
                      <wpg:cNvGrpSpPr/>
                      <wpg:grpSpPr>
                        <a:xfrm>
                          <a:off x="0" y="0"/>
                          <a:ext cx="7312659" cy="17145"/>
                          <a:chExt cx="7312659" cy="17145"/>
                        </a:xfrm>
                      </wpg:grpSpPr>
                      <wps:wsp>
                        <wps:cNvPr id="949" name="Graphic 94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50" name="Graphic 950"/>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51" name="Graphic 95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799024pt;width:575.8pt;height:1.35pt;mso-position-horizontal-relative:page;mso-position-vertical-relative:paragraph;z-index:-15532544;mso-wrap-distance-left:0;mso-wrap-distance-right:0" id="docshapegroup946" coordorigin="364,316" coordsize="11516,27">
                <v:rect style="position:absolute;left:364;top:315;width:11516;height:14" id="docshape947" filled="true" fillcolor="#999999" stroked="false">
                  <v:fill type="solid"/>
                </v:rect>
                <v:shape style="position:absolute;left:364;top:315;width:11516;height:27" id="docshape948" coordorigin="364,316" coordsize="11516,27" path="m11880,316l11866,329,364,329,364,343,11866,343,11880,343,11880,329,11880,316xe" filled="true" fillcolor="#ededed" stroked="false">
                  <v:path arrowok="t"/>
                  <v:fill type="solid"/>
                </v:shape>
                <v:shape style="position:absolute;left:364;top:315;width:14;height:27" id="docshape949" coordorigin="364,316" coordsize="14,27" path="m364,343l364,316,378,316,378,329,364,343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pStyle w:val="ListParagraph"/>
        <w:numPr>
          <w:ilvl w:val="0"/>
          <w:numId w:val="41"/>
        </w:numPr>
        <w:tabs>
          <w:tab w:pos="910" w:val="left" w:leader="none"/>
          <w:tab w:pos="926" w:val="left" w:leader="none"/>
        </w:tabs>
        <w:spacing w:line="213" w:lineRule="auto" w:before="97" w:after="0"/>
        <w:ind w:left="910" w:right="118" w:hanging="256"/>
        <w:jc w:val="left"/>
        <w:rPr>
          <w:sz w:val="21"/>
        </w:rPr>
      </w:pPr>
      <w:r>
        <w:rPr>
          <w:sz w:val="21"/>
        </w:rPr>
        <w:tab/>
        <w:t>Guaranteeing</w:t>
      </w:r>
      <w:r>
        <w:rPr>
          <w:spacing w:val="40"/>
          <w:sz w:val="21"/>
        </w:rPr>
        <w:t> </w:t>
      </w:r>
      <w:r>
        <w:rPr>
          <w:sz w:val="21"/>
        </w:rPr>
        <w:t>the</w:t>
      </w:r>
      <w:r>
        <w:rPr>
          <w:spacing w:val="40"/>
          <w:sz w:val="21"/>
        </w:rPr>
        <w:t> </w:t>
      </w:r>
      <w:r>
        <w:rPr>
          <w:sz w:val="21"/>
        </w:rPr>
        <w:t>rights</w:t>
      </w:r>
      <w:r>
        <w:rPr>
          <w:spacing w:val="40"/>
          <w:sz w:val="21"/>
        </w:rPr>
        <w:t> </w:t>
      </w:r>
      <w:r>
        <w:rPr>
          <w:sz w:val="21"/>
        </w:rPr>
        <w:t>and</w:t>
      </w:r>
      <w:r>
        <w:rPr>
          <w:spacing w:val="40"/>
          <w:sz w:val="21"/>
        </w:rPr>
        <w:t> </w:t>
      </w:r>
      <w:r>
        <w:rPr>
          <w:sz w:val="21"/>
        </w:rPr>
        <w:t>interests</w:t>
      </w:r>
      <w:r>
        <w:rPr>
          <w:spacing w:val="40"/>
          <w:sz w:val="21"/>
        </w:rPr>
        <w:t> </w:t>
      </w:r>
      <w:r>
        <w:rPr>
          <w:sz w:val="21"/>
        </w:rPr>
        <w:t>of</w:t>
      </w:r>
      <w:r>
        <w:rPr>
          <w:spacing w:val="40"/>
          <w:sz w:val="21"/>
        </w:rPr>
        <w:t> </w:t>
      </w:r>
      <w:r>
        <w:rPr>
          <w:sz w:val="21"/>
        </w:rPr>
        <w:t>local</w:t>
      </w:r>
      <w:r>
        <w:rPr>
          <w:spacing w:val="40"/>
          <w:sz w:val="21"/>
        </w:rPr>
        <w:t> </w:t>
      </w:r>
      <w:r>
        <w:rPr>
          <w:sz w:val="21"/>
        </w:rPr>
        <w:t>employees,</w:t>
      </w:r>
      <w:r>
        <w:rPr>
          <w:spacing w:val="40"/>
          <w:sz w:val="21"/>
        </w:rPr>
        <w:t> </w:t>
      </w:r>
      <w:r>
        <w:rPr>
          <w:sz w:val="21"/>
        </w:rPr>
        <w:t>namely</w:t>
      </w:r>
      <w:r>
        <w:rPr>
          <w:spacing w:val="40"/>
          <w:sz w:val="21"/>
        </w:rPr>
        <w:t> </w:t>
      </w:r>
      <w:r>
        <w:rPr>
          <w:sz w:val="21"/>
        </w:rPr>
        <w:t>concerning</w:t>
      </w:r>
      <w:r>
        <w:rPr>
          <w:spacing w:val="40"/>
          <w:sz w:val="21"/>
        </w:rPr>
        <w:t> </w:t>
      </w:r>
      <w:r>
        <w:rPr>
          <w:sz w:val="21"/>
        </w:rPr>
        <w:t>the</w:t>
      </w:r>
      <w:r>
        <w:rPr>
          <w:spacing w:val="40"/>
          <w:sz w:val="21"/>
        </w:rPr>
        <w:t> </w:t>
      </w:r>
      <w:r>
        <w:rPr>
          <w:sz w:val="21"/>
        </w:rPr>
        <w:t>guarantee</w:t>
      </w:r>
      <w:r>
        <w:rPr>
          <w:spacing w:val="40"/>
          <w:sz w:val="21"/>
        </w:rPr>
        <w:t> </w:t>
      </w:r>
      <w:r>
        <w:rPr>
          <w:sz w:val="21"/>
        </w:rPr>
        <w:t>of</w:t>
      </w:r>
      <w:r>
        <w:rPr>
          <w:spacing w:val="40"/>
          <w:sz w:val="21"/>
        </w:rPr>
        <w:t> </w:t>
      </w:r>
      <w:r>
        <w:rPr>
          <w:sz w:val="21"/>
        </w:rPr>
        <w:t>work</w:t>
      </w:r>
      <w:r>
        <w:rPr>
          <w:spacing w:val="40"/>
          <w:sz w:val="21"/>
        </w:rPr>
        <w:t> </w:t>
      </w:r>
      <w:r>
        <w:rPr>
          <w:sz w:val="21"/>
        </w:rPr>
        <w:t>credits,</w:t>
      </w:r>
      <w:r>
        <w:rPr>
          <w:spacing w:val="40"/>
          <w:sz w:val="21"/>
        </w:rPr>
        <w:t> </w:t>
      </w:r>
      <w:r>
        <w:rPr>
          <w:sz w:val="21"/>
        </w:rPr>
        <w:t>in-</w:t>
      </w:r>
      <w:r>
        <w:rPr>
          <w:sz w:val="21"/>
        </w:rPr>
        <w:t>service</w:t>
      </w:r>
      <w:r>
        <w:rPr>
          <w:spacing w:val="80"/>
          <w:sz w:val="21"/>
        </w:rPr>
        <w:t> </w:t>
      </w:r>
      <w:r>
        <w:rPr>
          <w:sz w:val="21"/>
        </w:rPr>
        <w:t>training,</w:t>
      </w:r>
      <w:r>
        <w:rPr>
          <w:spacing w:val="27"/>
          <w:sz w:val="21"/>
        </w:rPr>
        <w:t> </w:t>
      </w:r>
      <w:r>
        <w:rPr>
          <w:sz w:val="21"/>
        </w:rPr>
        <w:t>and</w:t>
      </w:r>
      <w:r>
        <w:rPr>
          <w:spacing w:val="27"/>
          <w:sz w:val="21"/>
        </w:rPr>
        <w:t> </w:t>
      </w:r>
      <w:r>
        <w:rPr>
          <w:sz w:val="21"/>
        </w:rPr>
        <w:t>professional</w:t>
      </w:r>
      <w:r>
        <w:rPr>
          <w:spacing w:val="27"/>
          <w:sz w:val="21"/>
        </w:rPr>
        <w:t> </w:t>
      </w:r>
      <w:r>
        <w:rPr>
          <w:sz w:val="21"/>
        </w:rPr>
        <w:t>advancement</w:t>
      </w:r>
      <w:r>
        <w:rPr>
          <w:spacing w:val="27"/>
          <w:sz w:val="21"/>
        </w:rPr>
        <w:t> </w:t>
      </w:r>
      <w:r>
        <w:rPr>
          <w:sz w:val="21"/>
        </w:rPr>
        <w:t>of</w:t>
      </w:r>
      <w:r>
        <w:rPr>
          <w:spacing w:val="27"/>
          <w:sz w:val="21"/>
        </w:rPr>
        <w:t> </w:t>
      </w:r>
      <w:r>
        <w:rPr>
          <w:sz w:val="21"/>
        </w:rPr>
        <w:t>local</w:t>
      </w:r>
      <w:r>
        <w:rPr>
          <w:spacing w:val="27"/>
          <w:sz w:val="21"/>
        </w:rPr>
        <w:t> </w:t>
      </w:r>
      <w:r>
        <w:rPr>
          <w:sz w:val="21"/>
        </w:rPr>
        <w:t>employees,</w:t>
      </w:r>
      <w:r>
        <w:rPr>
          <w:spacing w:val="27"/>
          <w:sz w:val="21"/>
        </w:rPr>
        <w:t> </w:t>
      </w:r>
      <w:r>
        <w:rPr>
          <w:sz w:val="21"/>
        </w:rPr>
        <w:t>as</w:t>
      </w:r>
      <w:r>
        <w:rPr>
          <w:spacing w:val="27"/>
          <w:sz w:val="21"/>
        </w:rPr>
        <w:t> </w:t>
      </w:r>
      <w:r>
        <w:rPr>
          <w:sz w:val="21"/>
        </w:rPr>
        <w:t>well</w:t>
      </w:r>
      <w:r>
        <w:rPr>
          <w:spacing w:val="27"/>
          <w:sz w:val="21"/>
        </w:rPr>
        <w:t> </w:t>
      </w:r>
      <w:r>
        <w:rPr>
          <w:sz w:val="21"/>
        </w:rPr>
        <w:t>as</w:t>
      </w:r>
      <w:r>
        <w:rPr>
          <w:spacing w:val="27"/>
          <w:sz w:val="21"/>
        </w:rPr>
        <w:t> </w:t>
      </w:r>
      <w:r>
        <w:rPr>
          <w:sz w:val="21"/>
        </w:rPr>
        <w:t>the</w:t>
      </w:r>
      <w:r>
        <w:rPr>
          <w:spacing w:val="27"/>
          <w:sz w:val="21"/>
        </w:rPr>
        <w:t> </w:t>
      </w:r>
      <w:r>
        <w:rPr>
          <w:sz w:val="21"/>
        </w:rPr>
        <w:t>welfare</w:t>
      </w:r>
      <w:r>
        <w:rPr>
          <w:spacing w:val="27"/>
          <w:sz w:val="21"/>
        </w:rPr>
        <w:t> </w:t>
      </w:r>
      <w:r>
        <w:rPr>
          <w:sz w:val="21"/>
        </w:rPr>
        <w:t>system</w:t>
      </w:r>
      <w:r>
        <w:rPr>
          <w:spacing w:val="27"/>
          <w:sz w:val="21"/>
        </w:rPr>
        <w:t> </w:t>
      </w:r>
      <w:r>
        <w:rPr>
          <w:sz w:val="21"/>
        </w:rPr>
        <w:t>designed</w:t>
      </w:r>
      <w:r>
        <w:rPr>
          <w:spacing w:val="27"/>
          <w:sz w:val="21"/>
        </w:rPr>
        <w:t> </w:t>
      </w:r>
      <w:r>
        <w:rPr>
          <w:sz w:val="21"/>
        </w:rPr>
        <w:t>to</w:t>
      </w:r>
      <w:r>
        <w:rPr>
          <w:spacing w:val="27"/>
          <w:sz w:val="21"/>
        </w:rPr>
        <w:t> </w:t>
      </w:r>
      <w:r>
        <w:rPr>
          <w:sz w:val="21"/>
        </w:rPr>
        <w:t>protect</w:t>
      </w:r>
      <w:r>
        <w:rPr>
          <w:spacing w:val="27"/>
          <w:sz w:val="21"/>
        </w:rPr>
        <w:t> </w:t>
      </w:r>
      <w:r>
        <w:rPr>
          <w:sz w:val="21"/>
        </w:rPr>
        <w:t>employees;</w:t>
      </w:r>
    </w:p>
    <w:p>
      <w:pPr>
        <w:pStyle w:val="BodyText"/>
        <w:spacing w:before="130"/>
        <w:rPr>
          <w:sz w:val="21"/>
        </w:rPr>
      </w:pPr>
    </w:p>
    <w:p>
      <w:pPr>
        <w:pStyle w:val="ListParagraph"/>
        <w:numPr>
          <w:ilvl w:val="0"/>
          <w:numId w:val="41"/>
        </w:numPr>
        <w:tabs>
          <w:tab w:pos="887" w:val="left" w:leader="none"/>
        </w:tabs>
        <w:spacing w:line="240" w:lineRule="auto" w:before="0" w:after="0"/>
        <w:ind w:left="887" w:right="0" w:hanging="233"/>
        <w:jc w:val="left"/>
        <w:rPr>
          <w:sz w:val="21"/>
        </w:rPr>
      </w:pPr>
      <w:r>
        <w:rPr>
          <w:sz w:val="21"/>
        </w:rPr>
        <w:t>Hiring</w:t>
      </w:r>
      <w:r>
        <w:rPr>
          <w:spacing w:val="11"/>
          <w:sz w:val="21"/>
        </w:rPr>
        <w:t> </w:t>
      </w:r>
      <w:r>
        <w:rPr>
          <w:sz w:val="21"/>
        </w:rPr>
        <w:t>of</w:t>
      </w:r>
      <w:r>
        <w:rPr>
          <w:spacing w:val="12"/>
          <w:sz w:val="21"/>
        </w:rPr>
        <w:t> </w:t>
      </w:r>
      <w:r>
        <w:rPr>
          <w:sz w:val="21"/>
        </w:rPr>
        <w:t>disabled</w:t>
      </w:r>
      <w:r>
        <w:rPr>
          <w:spacing w:val="11"/>
          <w:sz w:val="21"/>
        </w:rPr>
        <w:t> </w:t>
      </w:r>
      <w:r>
        <w:rPr>
          <w:sz w:val="21"/>
        </w:rPr>
        <w:t>or</w:t>
      </w:r>
      <w:r>
        <w:rPr>
          <w:spacing w:val="12"/>
          <w:sz w:val="21"/>
        </w:rPr>
        <w:t> </w:t>
      </w:r>
      <w:r>
        <w:rPr>
          <w:sz w:val="21"/>
        </w:rPr>
        <w:t>rehabilitated</w:t>
      </w:r>
      <w:r>
        <w:rPr>
          <w:spacing w:val="11"/>
          <w:sz w:val="21"/>
        </w:rPr>
        <w:t> </w:t>
      </w:r>
      <w:r>
        <w:rPr>
          <w:spacing w:val="-2"/>
          <w:sz w:val="21"/>
        </w:rPr>
        <w:t>individuals;</w:t>
      </w:r>
    </w:p>
    <w:p>
      <w:pPr>
        <w:pStyle w:val="BodyText"/>
        <w:spacing w:before="125"/>
        <w:rPr>
          <w:sz w:val="21"/>
        </w:rPr>
      </w:pPr>
    </w:p>
    <w:p>
      <w:pPr>
        <w:pStyle w:val="ListParagraph"/>
        <w:numPr>
          <w:ilvl w:val="0"/>
          <w:numId w:val="41"/>
        </w:numPr>
        <w:tabs>
          <w:tab w:pos="887" w:val="left" w:leader="none"/>
        </w:tabs>
        <w:spacing w:line="240" w:lineRule="auto" w:before="0" w:after="0"/>
        <w:ind w:left="887" w:right="0" w:hanging="233"/>
        <w:jc w:val="left"/>
        <w:rPr>
          <w:sz w:val="21"/>
        </w:rPr>
      </w:pPr>
      <w:r>
        <w:rPr>
          <w:sz w:val="21"/>
        </w:rPr>
        <w:t>Supporting</w:t>
      </w:r>
      <w:r>
        <w:rPr>
          <w:spacing w:val="11"/>
          <w:sz w:val="21"/>
        </w:rPr>
        <w:t> </w:t>
      </w:r>
      <w:r>
        <w:rPr>
          <w:sz w:val="21"/>
        </w:rPr>
        <w:t>activities</w:t>
      </w:r>
      <w:r>
        <w:rPr>
          <w:spacing w:val="12"/>
          <w:sz w:val="21"/>
        </w:rPr>
        <w:t> </w:t>
      </w:r>
      <w:r>
        <w:rPr>
          <w:sz w:val="21"/>
        </w:rPr>
        <w:t>in</w:t>
      </w:r>
      <w:r>
        <w:rPr>
          <w:spacing w:val="11"/>
          <w:sz w:val="21"/>
        </w:rPr>
        <w:t> </w:t>
      </w:r>
      <w:r>
        <w:rPr>
          <w:sz w:val="21"/>
        </w:rPr>
        <w:t>the</w:t>
      </w:r>
      <w:r>
        <w:rPr>
          <w:spacing w:val="12"/>
          <w:sz w:val="21"/>
        </w:rPr>
        <w:t> </w:t>
      </w:r>
      <w:r>
        <w:rPr>
          <w:sz w:val="21"/>
        </w:rPr>
        <w:t>public</w:t>
      </w:r>
      <w:r>
        <w:rPr>
          <w:spacing w:val="11"/>
          <w:sz w:val="21"/>
        </w:rPr>
        <w:t> </w:t>
      </w:r>
      <w:r>
        <w:rPr>
          <w:spacing w:val="-2"/>
          <w:sz w:val="21"/>
        </w:rPr>
        <w:t>interest;</w:t>
      </w:r>
    </w:p>
    <w:p>
      <w:pPr>
        <w:pStyle w:val="BodyText"/>
        <w:spacing w:before="138"/>
        <w:rPr>
          <w:sz w:val="21"/>
        </w:rPr>
      </w:pPr>
    </w:p>
    <w:p>
      <w:pPr>
        <w:pStyle w:val="ListParagraph"/>
        <w:numPr>
          <w:ilvl w:val="0"/>
          <w:numId w:val="41"/>
        </w:numPr>
        <w:tabs>
          <w:tab w:pos="887" w:val="left" w:leader="none"/>
        </w:tabs>
        <w:spacing w:line="240" w:lineRule="auto" w:before="0" w:after="0"/>
        <w:ind w:left="887" w:right="0" w:hanging="233"/>
        <w:jc w:val="left"/>
        <w:rPr>
          <w:sz w:val="21"/>
        </w:rPr>
      </w:pPr>
      <w:r>
        <w:rPr>
          <w:sz w:val="21"/>
        </w:rPr>
        <w:t>Supporting</w:t>
      </w:r>
      <w:r>
        <w:rPr>
          <w:spacing w:val="16"/>
          <w:sz w:val="21"/>
        </w:rPr>
        <w:t> </w:t>
      </w:r>
      <w:r>
        <w:rPr>
          <w:sz w:val="21"/>
        </w:rPr>
        <w:t>educational,</w:t>
      </w:r>
      <w:r>
        <w:rPr>
          <w:spacing w:val="16"/>
          <w:sz w:val="21"/>
        </w:rPr>
        <w:t> </w:t>
      </w:r>
      <w:r>
        <w:rPr>
          <w:sz w:val="21"/>
        </w:rPr>
        <w:t>scientific</w:t>
      </w:r>
      <w:r>
        <w:rPr>
          <w:spacing w:val="17"/>
          <w:sz w:val="21"/>
        </w:rPr>
        <w:t> </w:t>
      </w:r>
      <w:r>
        <w:rPr>
          <w:sz w:val="21"/>
        </w:rPr>
        <w:t>and</w:t>
      </w:r>
      <w:r>
        <w:rPr>
          <w:spacing w:val="16"/>
          <w:sz w:val="21"/>
        </w:rPr>
        <w:t> </w:t>
      </w:r>
      <w:r>
        <w:rPr>
          <w:sz w:val="21"/>
        </w:rPr>
        <w:t>technological,</w:t>
      </w:r>
      <w:r>
        <w:rPr>
          <w:spacing w:val="16"/>
          <w:sz w:val="21"/>
        </w:rPr>
        <w:t> </w:t>
      </w:r>
      <w:r>
        <w:rPr>
          <w:sz w:val="21"/>
        </w:rPr>
        <w:t>environmental</w:t>
      </w:r>
      <w:r>
        <w:rPr>
          <w:spacing w:val="17"/>
          <w:sz w:val="21"/>
        </w:rPr>
        <w:t> </w:t>
      </w:r>
      <w:r>
        <w:rPr>
          <w:sz w:val="21"/>
        </w:rPr>
        <w:t>protection,</w:t>
      </w:r>
      <w:r>
        <w:rPr>
          <w:spacing w:val="16"/>
          <w:sz w:val="21"/>
        </w:rPr>
        <w:t> </w:t>
      </w:r>
      <w:r>
        <w:rPr>
          <w:sz w:val="21"/>
        </w:rPr>
        <w:t>cultural,</w:t>
      </w:r>
      <w:r>
        <w:rPr>
          <w:spacing w:val="16"/>
          <w:sz w:val="21"/>
        </w:rPr>
        <w:t> </w:t>
      </w:r>
      <w:r>
        <w:rPr>
          <w:sz w:val="21"/>
        </w:rPr>
        <w:t>and</w:t>
      </w:r>
      <w:r>
        <w:rPr>
          <w:spacing w:val="17"/>
          <w:sz w:val="21"/>
        </w:rPr>
        <w:t> </w:t>
      </w:r>
      <w:r>
        <w:rPr>
          <w:sz w:val="21"/>
        </w:rPr>
        <w:t>sports</w:t>
      </w:r>
      <w:r>
        <w:rPr>
          <w:spacing w:val="16"/>
          <w:sz w:val="21"/>
        </w:rPr>
        <w:t> </w:t>
      </w:r>
      <w:r>
        <w:rPr>
          <w:sz w:val="21"/>
        </w:rPr>
        <w:t>activities,</w:t>
      </w:r>
      <w:r>
        <w:rPr>
          <w:spacing w:val="16"/>
          <w:sz w:val="21"/>
        </w:rPr>
        <w:t> </w:t>
      </w:r>
      <w:r>
        <w:rPr>
          <w:sz w:val="21"/>
        </w:rPr>
        <w:t>among</w:t>
      </w:r>
      <w:r>
        <w:rPr>
          <w:spacing w:val="17"/>
          <w:sz w:val="21"/>
        </w:rPr>
        <w:t> </w:t>
      </w:r>
      <w:r>
        <w:rPr>
          <w:spacing w:val="-2"/>
          <w:sz w:val="21"/>
        </w:rPr>
        <w:t>others.</w:t>
      </w:r>
    </w:p>
    <w:p>
      <w:pPr>
        <w:pStyle w:val="BodyText"/>
        <w:spacing w:before="146"/>
        <w:rPr>
          <w:sz w:val="21"/>
        </w:rPr>
      </w:pPr>
    </w:p>
    <w:p>
      <w:pPr>
        <w:spacing w:line="213" w:lineRule="auto" w:before="0"/>
        <w:ind w:left="144" w:right="119" w:firstLine="0"/>
        <w:jc w:val="both"/>
        <w:rPr>
          <w:sz w:val="21"/>
        </w:rPr>
      </w:pPr>
      <w:r>
        <w:rPr>
          <w:i/>
          <w:sz w:val="21"/>
        </w:rPr>
        <w:t>Five</w:t>
      </w:r>
      <w:r>
        <w:rPr>
          <w:sz w:val="21"/>
        </w:rPr>
        <w:t>.</w:t>
      </w:r>
      <w:r>
        <w:rPr>
          <w:spacing w:val="21"/>
          <w:sz w:val="21"/>
        </w:rPr>
        <w:t> </w:t>
      </w:r>
      <w:r>
        <w:rPr>
          <w:sz w:val="21"/>
        </w:rPr>
        <w:t>The</w:t>
      </w:r>
      <w:r>
        <w:rPr>
          <w:spacing w:val="26"/>
          <w:sz w:val="21"/>
        </w:rPr>
        <w:t> </w:t>
      </w:r>
      <w:r>
        <w:rPr>
          <w:sz w:val="21"/>
        </w:rPr>
        <w:t>Concessionaire</w:t>
      </w:r>
      <w:r>
        <w:rPr>
          <w:spacing w:val="26"/>
          <w:sz w:val="21"/>
        </w:rPr>
        <w:t> </w:t>
      </w:r>
      <w:r>
        <w:rPr>
          <w:sz w:val="21"/>
        </w:rPr>
        <w:t>undertakes</w:t>
      </w:r>
      <w:r>
        <w:rPr>
          <w:spacing w:val="26"/>
          <w:sz w:val="21"/>
        </w:rPr>
        <w:t> </w:t>
      </w:r>
      <w:r>
        <w:rPr>
          <w:sz w:val="21"/>
        </w:rPr>
        <w:t>to</w:t>
      </w:r>
      <w:r>
        <w:rPr>
          <w:spacing w:val="26"/>
          <w:sz w:val="21"/>
        </w:rPr>
        <w:t> </w:t>
      </w:r>
      <w:r>
        <w:rPr>
          <w:sz w:val="21"/>
        </w:rPr>
        <w:t>prepare,</w:t>
      </w:r>
      <w:r>
        <w:rPr>
          <w:spacing w:val="26"/>
          <w:sz w:val="21"/>
        </w:rPr>
        <w:t> </w:t>
      </w:r>
      <w:r>
        <w:rPr>
          <w:sz w:val="21"/>
        </w:rPr>
        <w:t>within</w:t>
      </w:r>
      <w:r>
        <w:rPr>
          <w:spacing w:val="26"/>
          <w:sz w:val="21"/>
        </w:rPr>
        <w:t> </w:t>
      </w:r>
      <w:r>
        <w:rPr>
          <w:sz w:val="21"/>
        </w:rPr>
        <w:t>a</w:t>
      </w:r>
      <w:r>
        <w:rPr>
          <w:spacing w:val="26"/>
          <w:sz w:val="21"/>
        </w:rPr>
        <w:t> </w:t>
      </w:r>
      <w:r>
        <w:rPr>
          <w:sz w:val="21"/>
        </w:rPr>
        <w:t>period</w:t>
      </w:r>
      <w:r>
        <w:rPr>
          <w:spacing w:val="26"/>
          <w:sz w:val="21"/>
        </w:rPr>
        <w:t> </w:t>
      </w:r>
      <w:r>
        <w:rPr>
          <w:sz w:val="21"/>
        </w:rPr>
        <w:t>of</w:t>
      </w:r>
      <w:r>
        <w:rPr>
          <w:spacing w:val="26"/>
          <w:sz w:val="21"/>
        </w:rPr>
        <w:t> </w:t>
      </w:r>
      <w:r>
        <w:rPr>
          <w:sz w:val="21"/>
        </w:rPr>
        <w:t>time</w:t>
      </w:r>
      <w:r>
        <w:rPr>
          <w:spacing w:val="26"/>
          <w:sz w:val="21"/>
        </w:rPr>
        <w:t> </w:t>
      </w:r>
      <w:r>
        <w:rPr>
          <w:sz w:val="21"/>
        </w:rPr>
        <w:t>to</w:t>
      </w:r>
      <w:r>
        <w:rPr>
          <w:spacing w:val="26"/>
          <w:sz w:val="21"/>
        </w:rPr>
        <w:t> </w:t>
      </w:r>
      <w:r>
        <w:rPr>
          <w:sz w:val="21"/>
        </w:rPr>
        <w:t>be</w:t>
      </w:r>
      <w:r>
        <w:rPr>
          <w:spacing w:val="26"/>
          <w:sz w:val="21"/>
        </w:rPr>
        <w:t> </w:t>
      </w:r>
      <w:r>
        <w:rPr>
          <w:sz w:val="21"/>
        </w:rPr>
        <w:t>established</w:t>
      </w:r>
      <w:r>
        <w:rPr>
          <w:spacing w:val="26"/>
          <w:sz w:val="21"/>
        </w:rPr>
        <w:t> </w:t>
      </w:r>
      <w:r>
        <w:rPr>
          <w:sz w:val="21"/>
        </w:rPr>
        <w:t>by</w:t>
      </w:r>
      <w:r>
        <w:rPr>
          <w:spacing w:val="26"/>
          <w:sz w:val="21"/>
        </w:rPr>
        <w:t> </w:t>
      </w:r>
      <w:r>
        <w:rPr>
          <w:sz w:val="21"/>
        </w:rPr>
        <w:t>the</w:t>
      </w:r>
      <w:r>
        <w:rPr>
          <w:spacing w:val="26"/>
          <w:sz w:val="21"/>
        </w:rPr>
        <w:t> </w:t>
      </w:r>
      <w:r>
        <w:rPr>
          <w:sz w:val="21"/>
        </w:rPr>
        <w:t>Government,</w:t>
      </w:r>
      <w:r>
        <w:rPr>
          <w:spacing w:val="26"/>
          <w:sz w:val="21"/>
        </w:rPr>
        <w:t> </w:t>
      </w:r>
      <w:r>
        <w:rPr>
          <w:sz w:val="21"/>
        </w:rPr>
        <w:t>a</w:t>
      </w:r>
      <w:r>
        <w:rPr>
          <w:spacing w:val="26"/>
          <w:sz w:val="21"/>
        </w:rPr>
        <w:t> </w:t>
      </w:r>
      <w:r>
        <w:rPr>
          <w:sz w:val="21"/>
        </w:rPr>
        <w:t>vocational</w:t>
      </w:r>
      <w:r>
        <w:rPr>
          <w:spacing w:val="26"/>
          <w:sz w:val="21"/>
        </w:rPr>
        <w:t> </w:t>
      </w:r>
      <w:r>
        <w:rPr>
          <w:sz w:val="21"/>
        </w:rPr>
        <w:t>training plan for the workers that will be performing duties in the activities included in the concession and deliver any other documents or additional information to such plan.</w:t>
      </w:r>
    </w:p>
    <w:p>
      <w:pPr>
        <w:pStyle w:val="BodyText"/>
        <w:spacing w:before="132"/>
        <w:rPr>
          <w:sz w:val="21"/>
        </w:rPr>
      </w:pPr>
    </w:p>
    <w:p>
      <w:pPr>
        <w:spacing w:before="0"/>
        <w:ind w:left="24" w:right="0" w:firstLine="0"/>
        <w:jc w:val="center"/>
        <w:rPr>
          <w:b/>
          <w:sz w:val="21"/>
        </w:rPr>
      </w:pPr>
      <w:r>
        <w:rPr>
          <w:b/>
          <w:sz w:val="21"/>
        </w:rPr>
        <w:t>Clause</w:t>
      </w:r>
      <w:r>
        <w:rPr>
          <w:b/>
          <w:spacing w:val="13"/>
          <w:sz w:val="21"/>
        </w:rPr>
        <w:t> </w:t>
      </w:r>
      <w:r>
        <w:rPr>
          <w:b/>
          <w:spacing w:val="-5"/>
          <w:sz w:val="21"/>
        </w:rPr>
        <w:t>73</w:t>
      </w:r>
    </w:p>
    <w:p>
      <w:pPr>
        <w:spacing w:before="69"/>
        <w:ind w:left="24" w:right="0" w:firstLine="0"/>
        <w:jc w:val="center"/>
        <w:rPr>
          <w:b/>
          <w:sz w:val="21"/>
        </w:rPr>
      </w:pPr>
      <w:r>
        <w:rPr>
          <w:b/>
          <w:sz w:val="21"/>
        </w:rPr>
        <w:t>Adherence</w:t>
      </w:r>
      <w:r>
        <w:rPr>
          <w:b/>
          <w:spacing w:val="13"/>
          <w:sz w:val="21"/>
        </w:rPr>
        <w:t> </w:t>
      </w:r>
      <w:r>
        <w:rPr>
          <w:b/>
          <w:sz w:val="21"/>
        </w:rPr>
        <w:t>to</w:t>
      </w:r>
      <w:r>
        <w:rPr>
          <w:b/>
          <w:spacing w:val="13"/>
          <w:sz w:val="21"/>
        </w:rPr>
        <w:t> </w:t>
      </w:r>
      <w:r>
        <w:rPr>
          <w:b/>
          <w:sz w:val="21"/>
        </w:rPr>
        <w:t>the</w:t>
      </w:r>
      <w:r>
        <w:rPr>
          <w:b/>
          <w:spacing w:val="14"/>
          <w:sz w:val="21"/>
        </w:rPr>
        <w:t> </w:t>
      </w:r>
      <w:r>
        <w:rPr>
          <w:b/>
          <w:sz w:val="21"/>
        </w:rPr>
        <w:t>non-mandatory</w:t>
      </w:r>
      <w:r>
        <w:rPr>
          <w:b/>
          <w:spacing w:val="13"/>
          <w:sz w:val="21"/>
        </w:rPr>
        <w:t> </w:t>
      </w:r>
      <w:r>
        <w:rPr>
          <w:b/>
          <w:sz w:val="21"/>
        </w:rPr>
        <w:t>central</w:t>
      </w:r>
      <w:r>
        <w:rPr>
          <w:b/>
          <w:spacing w:val="14"/>
          <w:sz w:val="21"/>
        </w:rPr>
        <w:t> </w:t>
      </w:r>
      <w:r>
        <w:rPr>
          <w:b/>
          <w:sz w:val="21"/>
        </w:rPr>
        <w:t>provident</w:t>
      </w:r>
      <w:r>
        <w:rPr>
          <w:b/>
          <w:spacing w:val="13"/>
          <w:sz w:val="21"/>
        </w:rPr>
        <w:t> </w:t>
      </w:r>
      <w:r>
        <w:rPr>
          <w:b/>
          <w:sz w:val="21"/>
        </w:rPr>
        <w:t>fund</w:t>
      </w:r>
      <w:r>
        <w:rPr>
          <w:b/>
          <w:spacing w:val="13"/>
          <w:sz w:val="21"/>
        </w:rPr>
        <w:t> </w:t>
      </w:r>
      <w:r>
        <w:rPr>
          <w:b/>
          <w:spacing w:val="-2"/>
          <w:sz w:val="21"/>
        </w:rPr>
        <w:t>system</w:t>
      </w:r>
    </w:p>
    <w:p>
      <w:pPr>
        <w:pStyle w:val="BodyText"/>
        <w:spacing w:before="146"/>
        <w:rPr>
          <w:b/>
          <w:sz w:val="21"/>
        </w:rPr>
      </w:pPr>
    </w:p>
    <w:p>
      <w:pPr>
        <w:spacing w:line="213" w:lineRule="auto" w:before="0"/>
        <w:ind w:left="144" w:right="118" w:firstLine="0"/>
        <w:jc w:val="both"/>
        <w:rPr>
          <w:sz w:val="21"/>
        </w:rPr>
      </w:pPr>
      <w:r>
        <w:rPr>
          <w:sz w:val="21"/>
        </w:rPr>
        <w:t>The Concessionaire undertakes to join the non-compulsory central welfare scheme established by Law No. 7/2017 (Non-compulsory central provident fund).</w:t>
      </w:r>
    </w:p>
    <w:p>
      <w:pPr>
        <w:pStyle w:val="BodyText"/>
        <w:spacing w:before="144"/>
        <w:rPr>
          <w:sz w:val="21"/>
        </w:rPr>
      </w:pPr>
    </w:p>
    <w:p>
      <w:pPr>
        <w:spacing w:before="0"/>
        <w:ind w:left="24" w:right="0" w:firstLine="0"/>
        <w:jc w:val="center"/>
        <w:rPr>
          <w:b/>
          <w:sz w:val="21"/>
        </w:rPr>
      </w:pPr>
      <w:r>
        <w:rPr>
          <w:b/>
          <w:sz w:val="21"/>
        </w:rPr>
        <w:t>Clause</w:t>
      </w:r>
      <w:r>
        <w:rPr>
          <w:b/>
          <w:spacing w:val="13"/>
          <w:sz w:val="21"/>
        </w:rPr>
        <w:t> </w:t>
      </w:r>
      <w:r>
        <w:rPr>
          <w:b/>
          <w:spacing w:val="-5"/>
          <w:sz w:val="21"/>
        </w:rPr>
        <w:t>74</w:t>
      </w:r>
    </w:p>
    <w:p>
      <w:pPr>
        <w:spacing w:before="56"/>
        <w:ind w:left="24" w:right="0" w:firstLine="0"/>
        <w:jc w:val="center"/>
        <w:rPr>
          <w:b/>
          <w:sz w:val="21"/>
        </w:rPr>
      </w:pPr>
      <w:r>
        <w:rPr>
          <w:b/>
          <w:sz w:val="21"/>
        </w:rPr>
        <w:t>Other</w:t>
      </w:r>
      <w:r>
        <w:rPr>
          <w:b/>
          <w:spacing w:val="15"/>
          <w:sz w:val="21"/>
        </w:rPr>
        <w:t> </w:t>
      </w:r>
      <w:r>
        <w:rPr>
          <w:b/>
          <w:sz w:val="21"/>
        </w:rPr>
        <w:t>Government</w:t>
      </w:r>
      <w:r>
        <w:rPr>
          <w:b/>
          <w:spacing w:val="4"/>
          <w:sz w:val="21"/>
        </w:rPr>
        <w:t> </w:t>
      </w:r>
      <w:r>
        <w:rPr>
          <w:b/>
          <w:spacing w:val="-2"/>
          <w:sz w:val="21"/>
        </w:rPr>
        <w:t>Authorizations</w:t>
      </w:r>
    </w:p>
    <w:p>
      <w:pPr>
        <w:pStyle w:val="BodyText"/>
        <w:spacing w:before="159"/>
        <w:rPr>
          <w:b/>
          <w:sz w:val="21"/>
        </w:rPr>
      </w:pPr>
    </w:p>
    <w:p>
      <w:pPr>
        <w:spacing w:line="213" w:lineRule="auto" w:before="0"/>
        <w:ind w:left="144" w:right="118" w:firstLine="0"/>
        <w:jc w:val="both"/>
        <w:rPr>
          <w:sz w:val="21"/>
        </w:rPr>
      </w:pPr>
      <w:r>
        <w:rPr>
          <w:sz w:val="21"/>
        </w:rPr>
        <w:t>The replacement, cancellation or alteration of evidential documents and records relating to the activity of the Concessionaire or the acquisition</w:t>
      </w:r>
      <w:r>
        <w:rPr>
          <w:spacing w:val="40"/>
          <w:sz w:val="21"/>
        </w:rPr>
        <w:t> </w:t>
      </w:r>
      <w:r>
        <w:rPr>
          <w:sz w:val="21"/>
        </w:rPr>
        <w:t>of</w:t>
      </w:r>
      <w:r>
        <w:rPr>
          <w:spacing w:val="40"/>
          <w:sz w:val="21"/>
        </w:rPr>
        <w:t> </w:t>
      </w:r>
      <w:r>
        <w:rPr>
          <w:sz w:val="21"/>
        </w:rPr>
        <w:t>gaming</w:t>
      </w:r>
      <w:r>
        <w:rPr>
          <w:spacing w:val="40"/>
          <w:sz w:val="21"/>
        </w:rPr>
        <w:t> </w:t>
      </w:r>
      <w:r>
        <w:rPr>
          <w:sz w:val="21"/>
        </w:rPr>
        <w:t>equipment</w:t>
      </w:r>
      <w:r>
        <w:rPr>
          <w:spacing w:val="40"/>
          <w:sz w:val="21"/>
        </w:rPr>
        <w:t> </w:t>
      </w:r>
      <w:r>
        <w:rPr>
          <w:sz w:val="21"/>
        </w:rPr>
        <w:t>and</w:t>
      </w:r>
      <w:r>
        <w:rPr>
          <w:spacing w:val="40"/>
          <w:sz w:val="21"/>
        </w:rPr>
        <w:t> </w:t>
      </w:r>
      <w:r>
        <w:rPr>
          <w:sz w:val="21"/>
        </w:rPr>
        <w:t>material</w:t>
      </w:r>
      <w:r>
        <w:rPr>
          <w:spacing w:val="40"/>
          <w:sz w:val="21"/>
        </w:rPr>
        <w:t> </w:t>
      </w:r>
      <w:r>
        <w:rPr>
          <w:sz w:val="21"/>
        </w:rPr>
        <w:t>shall</w:t>
      </w:r>
      <w:r>
        <w:rPr>
          <w:spacing w:val="40"/>
          <w:sz w:val="21"/>
        </w:rPr>
        <w:t> </w:t>
      </w:r>
      <w:r>
        <w:rPr>
          <w:sz w:val="21"/>
        </w:rPr>
        <w:t>require</w:t>
      </w:r>
      <w:r>
        <w:rPr>
          <w:spacing w:val="40"/>
          <w:sz w:val="21"/>
        </w:rPr>
        <w:t> </w:t>
      </w:r>
      <w:r>
        <w:rPr>
          <w:sz w:val="21"/>
        </w:rPr>
        <w:t>Government</w:t>
      </w:r>
      <w:r>
        <w:rPr>
          <w:spacing w:val="40"/>
          <w:sz w:val="21"/>
        </w:rPr>
        <w:t> </w:t>
      </w:r>
      <w:r>
        <w:rPr>
          <w:sz w:val="21"/>
        </w:rPr>
        <w:t>authorization.</w:t>
      </w:r>
    </w:p>
    <w:p>
      <w:pPr>
        <w:pStyle w:val="BodyText"/>
        <w:spacing w:before="131"/>
        <w:rPr>
          <w:sz w:val="21"/>
        </w:rPr>
      </w:pPr>
    </w:p>
    <w:p>
      <w:pPr>
        <w:spacing w:before="0"/>
        <w:ind w:left="24" w:right="0" w:firstLine="0"/>
        <w:jc w:val="center"/>
        <w:rPr>
          <w:b/>
          <w:sz w:val="21"/>
        </w:rPr>
      </w:pPr>
      <w:r>
        <w:rPr>
          <w:b/>
          <w:sz w:val="21"/>
        </w:rPr>
        <w:t>Clause</w:t>
      </w:r>
      <w:r>
        <w:rPr>
          <w:b/>
          <w:spacing w:val="13"/>
          <w:sz w:val="21"/>
        </w:rPr>
        <w:t> </w:t>
      </w:r>
      <w:r>
        <w:rPr>
          <w:b/>
          <w:spacing w:val="-5"/>
          <w:sz w:val="21"/>
        </w:rPr>
        <w:t>75</w:t>
      </w:r>
    </w:p>
    <w:p>
      <w:pPr>
        <w:spacing w:before="69"/>
        <w:ind w:left="24" w:right="0" w:firstLine="0"/>
        <w:jc w:val="center"/>
        <w:rPr>
          <w:b/>
          <w:sz w:val="21"/>
        </w:rPr>
      </w:pPr>
      <w:r>
        <w:rPr>
          <w:b/>
          <w:sz w:val="21"/>
        </w:rPr>
        <w:t>Government</w:t>
      </w:r>
      <w:r>
        <w:rPr>
          <w:b/>
          <w:spacing w:val="19"/>
          <w:sz w:val="21"/>
        </w:rPr>
        <w:t> </w:t>
      </w:r>
      <w:r>
        <w:rPr>
          <w:b/>
          <w:sz w:val="21"/>
        </w:rPr>
        <w:t>authorizations</w:t>
      </w:r>
      <w:r>
        <w:rPr>
          <w:b/>
          <w:spacing w:val="19"/>
          <w:sz w:val="21"/>
        </w:rPr>
        <w:t> </w:t>
      </w:r>
      <w:r>
        <w:rPr>
          <w:b/>
          <w:sz w:val="21"/>
        </w:rPr>
        <w:t>and</w:t>
      </w:r>
      <w:r>
        <w:rPr>
          <w:b/>
          <w:spacing w:val="20"/>
          <w:sz w:val="21"/>
        </w:rPr>
        <w:t> </w:t>
      </w:r>
      <w:r>
        <w:rPr>
          <w:b/>
          <w:spacing w:val="-2"/>
          <w:sz w:val="21"/>
        </w:rPr>
        <w:t>approvals</w:t>
      </w:r>
    </w:p>
    <w:p>
      <w:pPr>
        <w:pStyle w:val="BodyText"/>
        <w:spacing w:before="146"/>
        <w:rPr>
          <w:b/>
          <w:sz w:val="21"/>
        </w:rPr>
      </w:pPr>
    </w:p>
    <w:p>
      <w:pPr>
        <w:spacing w:line="213" w:lineRule="auto" w:before="0"/>
        <w:ind w:left="144" w:right="118" w:firstLine="0"/>
        <w:jc w:val="both"/>
        <w:rPr>
          <w:sz w:val="21"/>
        </w:rPr>
      </w:pPr>
      <w:r>
        <w:rPr>
          <w:sz w:val="21"/>
        </w:rPr>
        <w:t>The</w:t>
      </w:r>
      <w:r>
        <w:rPr>
          <w:spacing w:val="40"/>
          <w:sz w:val="21"/>
        </w:rPr>
        <w:t> </w:t>
      </w:r>
      <w:r>
        <w:rPr>
          <w:sz w:val="21"/>
        </w:rPr>
        <w:t>Government</w:t>
      </w:r>
      <w:r>
        <w:rPr>
          <w:spacing w:val="40"/>
          <w:sz w:val="21"/>
        </w:rPr>
        <w:t> </w:t>
      </w:r>
      <w:r>
        <w:rPr>
          <w:sz w:val="21"/>
        </w:rPr>
        <w:t>authorizations,</w:t>
      </w:r>
      <w:r>
        <w:rPr>
          <w:spacing w:val="40"/>
          <w:sz w:val="21"/>
        </w:rPr>
        <w:t> </w:t>
      </w:r>
      <w:r>
        <w:rPr>
          <w:sz w:val="21"/>
        </w:rPr>
        <w:t>approvals</w:t>
      </w:r>
      <w:r>
        <w:rPr>
          <w:spacing w:val="40"/>
          <w:sz w:val="21"/>
        </w:rPr>
        <w:t> </w:t>
      </w:r>
      <w:r>
        <w:rPr>
          <w:sz w:val="21"/>
        </w:rPr>
        <w:t>and</w:t>
      </w:r>
      <w:r>
        <w:rPr>
          <w:spacing w:val="40"/>
          <w:sz w:val="21"/>
        </w:rPr>
        <w:t> </w:t>
      </w:r>
      <w:r>
        <w:rPr>
          <w:sz w:val="21"/>
        </w:rPr>
        <w:t>its</w:t>
      </w:r>
      <w:r>
        <w:rPr>
          <w:spacing w:val="40"/>
          <w:sz w:val="21"/>
        </w:rPr>
        <w:t> </w:t>
      </w:r>
      <w:r>
        <w:rPr>
          <w:sz w:val="21"/>
        </w:rPr>
        <w:t>possible</w:t>
      </w:r>
      <w:r>
        <w:rPr>
          <w:spacing w:val="40"/>
          <w:sz w:val="21"/>
        </w:rPr>
        <w:t> </w:t>
      </w:r>
      <w:r>
        <w:rPr>
          <w:sz w:val="21"/>
        </w:rPr>
        <w:t>refusals</w:t>
      </w:r>
      <w:r>
        <w:rPr>
          <w:spacing w:val="40"/>
          <w:sz w:val="21"/>
        </w:rPr>
        <w:t> </w:t>
      </w:r>
      <w:r>
        <w:rPr>
          <w:sz w:val="21"/>
        </w:rPr>
        <w:t>do</w:t>
      </w:r>
      <w:r>
        <w:rPr>
          <w:spacing w:val="40"/>
          <w:sz w:val="21"/>
        </w:rPr>
        <w:t> </w:t>
      </w:r>
      <w:r>
        <w:rPr>
          <w:sz w:val="21"/>
        </w:rPr>
        <w:t>not</w:t>
      </w:r>
      <w:r>
        <w:rPr>
          <w:spacing w:val="40"/>
          <w:sz w:val="21"/>
        </w:rPr>
        <w:t> </w:t>
      </w:r>
      <w:r>
        <w:rPr>
          <w:sz w:val="21"/>
        </w:rPr>
        <w:t>exonerate</w:t>
      </w:r>
      <w:r>
        <w:rPr>
          <w:spacing w:val="40"/>
          <w:sz w:val="21"/>
        </w:rPr>
        <w:t> </w:t>
      </w:r>
      <w:r>
        <w:rPr>
          <w:sz w:val="21"/>
        </w:rPr>
        <w:t>the</w:t>
      </w:r>
      <w:r>
        <w:rPr>
          <w:spacing w:val="40"/>
          <w:sz w:val="21"/>
        </w:rPr>
        <w:t> </w:t>
      </w:r>
      <w:r>
        <w:rPr>
          <w:sz w:val="21"/>
        </w:rPr>
        <w:t>Concessionaire</w:t>
      </w:r>
      <w:r>
        <w:rPr>
          <w:spacing w:val="40"/>
          <w:sz w:val="21"/>
        </w:rPr>
        <w:t> </w:t>
      </w:r>
      <w:r>
        <w:rPr>
          <w:sz w:val="21"/>
        </w:rPr>
        <w:t>from</w:t>
      </w:r>
      <w:r>
        <w:rPr>
          <w:spacing w:val="40"/>
          <w:sz w:val="21"/>
        </w:rPr>
        <w:t> </w:t>
      </w:r>
      <w:r>
        <w:rPr>
          <w:sz w:val="21"/>
        </w:rPr>
        <w:t>the</w:t>
      </w:r>
      <w:r>
        <w:rPr>
          <w:spacing w:val="40"/>
          <w:sz w:val="21"/>
        </w:rPr>
        <w:t> </w:t>
      </w:r>
      <w:r>
        <w:rPr>
          <w:sz w:val="21"/>
        </w:rPr>
        <w:t>punctual compliance with the obligations undertaken in this concession contract, nor do they imply the assumption by the Government of any responsibilities,</w:t>
      </w:r>
      <w:r>
        <w:rPr>
          <w:spacing w:val="26"/>
          <w:sz w:val="21"/>
        </w:rPr>
        <w:t> </w:t>
      </w:r>
      <w:r>
        <w:rPr>
          <w:sz w:val="21"/>
        </w:rPr>
        <w:t>except</w:t>
      </w:r>
      <w:r>
        <w:rPr>
          <w:spacing w:val="26"/>
          <w:sz w:val="21"/>
        </w:rPr>
        <w:t> </w:t>
      </w:r>
      <w:r>
        <w:rPr>
          <w:sz w:val="21"/>
        </w:rPr>
        <w:t>when</w:t>
      </w:r>
      <w:r>
        <w:rPr>
          <w:spacing w:val="26"/>
          <w:sz w:val="21"/>
        </w:rPr>
        <w:t> </w:t>
      </w:r>
      <w:r>
        <w:rPr>
          <w:sz w:val="21"/>
        </w:rPr>
        <w:t>its</w:t>
      </w:r>
      <w:r>
        <w:rPr>
          <w:spacing w:val="26"/>
          <w:sz w:val="21"/>
        </w:rPr>
        <w:t> </w:t>
      </w:r>
      <w:r>
        <w:rPr>
          <w:sz w:val="21"/>
        </w:rPr>
        <w:t>action</w:t>
      </w:r>
      <w:r>
        <w:rPr>
          <w:spacing w:val="26"/>
          <w:sz w:val="21"/>
        </w:rPr>
        <w:t> </w:t>
      </w:r>
      <w:r>
        <w:rPr>
          <w:sz w:val="21"/>
        </w:rPr>
        <w:t>has</w:t>
      </w:r>
      <w:r>
        <w:rPr>
          <w:spacing w:val="26"/>
          <w:sz w:val="21"/>
        </w:rPr>
        <w:t> </w:t>
      </w:r>
      <w:r>
        <w:rPr>
          <w:sz w:val="21"/>
        </w:rPr>
        <w:t>imposed</w:t>
      </w:r>
      <w:r>
        <w:rPr>
          <w:spacing w:val="26"/>
          <w:sz w:val="21"/>
        </w:rPr>
        <w:t> </w:t>
      </w:r>
      <w:r>
        <w:rPr>
          <w:sz w:val="21"/>
        </w:rPr>
        <w:t>a</w:t>
      </w:r>
      <w:r>
        <w:rPr>
          <w:spacing w:val="26"/>
          <w:sz w:val="21"/>
        </w:rPr>
        <w:t> </w:t>
      </w:r>
      <w:r>
        <w:rPr>
          <w:sz w:val="21"/>
        </w:rPr>
        <w:t>burden</w:t>
      </w:r>
      <w:r>
        <w:rPr>
          <w:spacing w:val="26"/>
          <w:sz w:val="21"/>
        </w:rPr>
        <w:t> </w:t>
      </w:r>
      <w:r>
        <w:rPr>
          <w:sz w:val="21"/>
        </w:rPr>
        <w:t>or</w:t>
      </w:r>
      <w:r>
        <w:rPr>
          <w:spacing w:val="26"/>
          <w:sz w:val="21"/>
        </w:rPr>
        <w:t> </w:t>
      </w:r>
      <w:r>
        <w:rPr>
          <w:sz w:val="21"/>
        </w:rPr>
        <w:t>caused</w:t>
      </w:r>
      <w:r>
        <w:rPr>
          <w:spacing w:val="26"/>
          <w:sz w:val="21"/>
        </w:rPr>
        <w:t> </w:t>
      </w:r>
      <w:r>
        <w:rPr>
          <w:sz w:val="21"/>
        </w:rPr>
        <w:t>special</w:t>
      </w:r>
      <w:r>
        <w:rPr>
          <w:spacing w:val="26"/>
          <w:sz w:val="21"/>
        </w:rPr>
        <w:t> </w:t>
      </w:r>
      <w:r>
        <w:rPr>
          <w:sz w:val="21"/>
        </w:rPr>
        <w:t>and</w:t>
      </w:r>
      <w:r>
        <w:rPr>
          <w:spacing w:val="26"/>
          <w:sz w:val="21"/>
        </w:rPr>
        <w:t> </w:t>
      </w:r>
      <w:r>
        <w:rPr>
          <w:sz w:val="21"/>
        </w:rPr>
        <w:t>extraordinary</w:t>
      </w:r>
      <w:r>
        <w:rPr>
          <w:spacing w:val="26"/>
          <w:sz w:val="21"/>
        </w:rPr>
        <w:t> </w:t>
      </w:r>
      <w:r>
        <w:rPr>
          <w:sz w:val="21"/>
        </w:rPr>
        <w:t>losses</w:t>
      </w:r>
      <w:r>
        <w:rPr>
          <w:spacing w:val="26"/>
          <w:sz w:val="21"/>
        </w:rPr>
        <w:t> </w:t>
      </w:r>
      <w:r>
        <w:rPr>
          <w:sz w:val="21"/>
        </w:rPr>
        <w:t>for</w:t>
      </w:r>
      <w:r>
        <w:rPr>
          <w:spacing w:val="26"/>
          <w:sz w:val="21"/>
        </w:rPr>
        <w:t> </w:t>
      </w:r>
      <w:r>
        <w:rPr>
          <w:sz w:val="21"/>
        </w:rPr>
        <w:t>the</w:t>
      </w:r>
      <w:r>
        <w:rPr>
          <w:spacing w:val="26"/>
          <w:sz w:val="21"/>
        </w:rPr>
        <w:t> </w:t>
      </w:r>
      <w:r>
        <w:rPr>
          <w:sz w:val="21"/>
        </w:rPr>
        <w:t>Concessionaire.</w:t>
      </w:r>
    </w:p>
    <w:p>
      <w:pPr>
        <w:pStyle w:val="BodyText"/>
        <w:spacing w:before="121"/>
        <w:rPr>
          <w:sz w:val="21"/>
        </w:rPr>
      </w:pPr>
    </w:p>
    <w:p>
      <w:pPr>
        <w:pStyle w:val="Heading1"/>
      </w:pPr>
      <w:r>
        <w:rPr/>
        <w:t>CHAPTER </w:t>
      </w:r>
      <w:r>
        <w:rPr>
          <w:spacing w:val="-5"/>
        </w:rPr>
        <w:t>XVI</w:t>
      </w:r>
    </w:p>
    <w:p>
      <w:pPr>
        <w:pStyle w:val="Heading2"/>
        <w:spacing w:before="64"/>
      </w:pPr>
      <w:r>
        <w:rPr/>
        <w:t>Liability of the </w:t>
      </w:r>
      <w:r>
        <w:rPr>
          <w:spacing w:val="-2"/>
        </w:rPr>
        <w:t>Concessionaire</w:t>
      </w:r>
    </w:p>
    <w:p>
      <w:pPr>
        <w:pStyle w:val="BodyText"/>
        <w:spacing w:before="83"/>
        <w:rPr>
          <w:b/>
          <w:sz w:val="25"/>
        </w:rPr>
      </w:pPr>
    </w:p>
    <w:p>
      <w:pPr>
        <w:spacing w:before="0"/>
        <w:ind w:left="24" w:right="0" w:firstLine="0"/>
        <w:jc w:val="center"/>
        <w:rPr>
          <w:b/>
          <w:sz w:val="21"/>
        </w:rPr>
      </w:pPr>
      <w:r>
        <w:rPr>
          <w:b/>
          <w:sz w:val="21"/>
        </w:rPr>
        <w:t>Clause</w:t>
      </w:r>
      <w:r>
        <w:rPr>
          <w:b/>
          <w:spacing w:val="13"/>
          <w:sz w:val="21"/>
        </w:rPr>
        <w:t> </w:t>
      </w:r>
      <w:r>
        <w:rPr>
          <w:b/>
          <w:spacing w:val="-5"/>
          <w:sz w:val="21"/>
        </w:rPr>
        <w:t>76</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3"/>
        <w:rPr>
          <w:b/>
          <w:sz w:val="20"/>
        </w:rPr>
      </w:pPr>
      <w:r>
        <w:rPr/>
        <mc:AlternateContent>
          <mc:Choice Requires="wps">
            <w:drawing>
              <wp:anchor distT="0" distB="0" distL="0" distR="0" allowOverlap="1" layoutInCell="1" locked="0" behindDoc="1" simplePos="0" relativeHeight="487784448">
                <wp:simplePos x="0" y="0"/>
                <wp:positionH relativeFrom="page">
                  <wp:posOffset>231457</wp:posOffset>
                </wp:positionH>
                <wp:positionV relativeFrom="paragraph">
                  <wp:posOffset>201282</wp:posOffset>
                </wp:positionV>
                <wp:extent cx="7312659" cy="17145"/>
                <wp:effectExtent l="0" t="0" r="0" b="0"/>
                <wp:wrapTopAndBottom/>
                <wp:docPr id="952" name="Group 952"/>
                <wp:cNvGraphicFramePr>
                  <a:graphicFrameLocks/>
                </wp:cNvGraphicFramePr>
                <a:graphic>
                  <a:graphicData uri="http://schemas.microsoft.com/office/word/2010/wordprocessingGroup">
                    <wpg:wgp>
                      <wpg:cNvPr id="952" name="Group 952"/>
                      <wpg:cNvGrpSpPr/>
                      <wpg:grpSpPr>
                        <a:xfrm>
                          <a:off x="0" y="0"/>
                          <a:ext cx="7312659" cy="17145"/>
                          <a:chExt cx="7312659" cy="17145"/>
                        </a:xfrm>
                      </wpg:grpSpPr>
                      <wps:wsp>
                        <wps:cNvPr id="953" name="Graphic 9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54" name="Graphic 954"/>
                        <wps:cNvSpPr/>
                        <wps:spPr>
                          <a:xfrm>
                            <a:off x="-12" y="-2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55" name="Graphic 9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849024pt;width:575.8pt;height:1.35pt;mso-position-horizontal-relative:page;mso-position-vertical-relative:paragraph;z-index:-15532032;mso-wrap-distance-left:0;mso-wrap-distance-right:0" id="docshapegroup950" coordorigin="364,317" coordsize="11516,27">
                <v:rect style="position:absolute;left:364;top:316;width:11516;height:14" id="docshape951" filled="true" fillcolor="#999999" stroked="false">
                  <v:fill type="solid"/>
                </v:rect>
                <v:shape style="position:absolute;left:364;top:316;width:11516;height:27" id="docshape952" coordorigin="364,317" coordsize="11516,27" path="m11880,317l11866,330,364,330,364,344,11866,344,11880,344,11880,330,11880,317xe" filled="true" fillcolor="#ededed" stroked="false">
                  <v:path arrowok="t"/>
                  <v:fill type="solid"/>
                </v:shape>
                <v:shape style="position:absolute;left:364;top:316;width:14;height:27" id="docshape953" coordorigin="364,317" coordsize="14,27" path="m364,344l364,317,378,317,378,330,364,344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before="82"/>
        <w:ind w:left="24" w:right="0" w:firstLine="0"/>
        <w:jc w:val="center"/>
        <w:rPr>
          <w:b/>
          <w:sz w:val="21"/>
        </w:rPr>
      </w:pPr>
      <w:r>
        <w:rPr>
          <w:b/>
          <w:sz w:val="21"/>
        </w:rPr>
        <w:t>Civil</w:t>
      </w:r>
      <w:r>
        <w:rPr>
          <w:b/>
          <w:spacing w:val="9"/>
          <w:sz w:val="21"/>
        </w:rPr>
        <w:t> </w:t>
      </w:r>
      <w:r>
        <w:rPr>
          <w:b/>
          <w:sz w:val="21"/>
        </w:rPr>
        <w:t>liability</w:t>
      </w:r>
      <w:r>
        <w:rPr>
          <w:b/>
          <w:spacing w:val="10"/>
          <w:sz w:val="21"/>
        </w:rPr>
        <w:t> </w:t>
      </w:r>
      <w:r>
        <w:rPr>
          <w:b/>
          <w:sz w:val="21"/>
        </w:rPr>
        <w:t>to</w:t>
      </w:r>
      <w:r>
        <w:rPr>
          <w:b/>
          <w:spacing w:val="10"/>
          <w:sz w:val="21"/>
        </w:rPr>
        <w:t> </w:t>
      </w:r>
      <w:r>
        <w:rPr>
          <w:b/>
          <w:sz w:val="21"/>
        </w:rPr>
        <w:t>the</w:t>
      </w:r>
      <w:r>
        <w:rPr>
          <w:b/>
          <w:spacing w:val="10"/>
          <w:sz w:val="21"/>
        </w:rPr>
        <w:t> </w:t>
      </w:r>
      <w:r>
        <w:rPr>
          <w:b/>
          <w:sz w:val="21"/>
        </w:rPr>
        <w:t>Macau</w:t>
      </w:r>
      <w:r>
        <w:rPr>
          <w:b/>
          <w:spacing w:val="9"/>
          <w:sz w:val="21"/>
        </w:rPr>
        <w:t> </w:t>
      </w:r>
      <w:r>
        <w:rPr>
          <w:b/>
          <w:spacing w:val="-5"/>
          <w:sz w:val="21"/>
        </w:rPr>
        <w:t>SAR</w:t>
      </w:r>
    </w:p>
    <w:p>
      <w:pPr>
        <w:pStyle w:val="BodyText"/>
        <w:spacing w:before="65"/>
        <w:rPr>
          <w:b/>
          <w:sz w:val="21"/>
        </w:rPr>
      </w:pPr>
    </w:p>
    <w:p>
      <w:pPr>
        <w:spacing w:line="213" w:lineRule="auto" w:before="0"/>
        <w:ind w:left="144" w:right="119" w:firstLine="0"/>
        <w:jc w:val="both"/>
        <w:rPr>
          <w:sz w:val="21"/>
        </w:rPr>
      </w:pPr>
      <w:r>
        <w:rPr>
          <w:sz w:val="21"/>
        </w:rPr>
        <w:t>The Concessionaire is liable to the Macau SAR for losses resulting from total or partial non-compliance with its legal or contractual obligations due to facts it is responsible for.</w:t>
      </w:r>
    </w:p>
    <w:p>
      <w:pPr>
        <w:pStyle w:val="BodyText"/>
        <w:spacing w:before="131"/>
        <w:rPr>
          <w:sz w:val="21"/>
        </w:rPr>
      </w:pPr>
    </w:p>
    <w:p>
      <w:pPr>
        <w:spacing w:before="0"/>
        <w:ind w:left="24" w:right="0" w:firstLine="0"/>
        <w:jc w:val="center"/>
        <w:rPr>
          <w:b/>
          <w:sz w:val="21"/>
        </w:rPr>
      </w:pPr>
      <w:r>
        <w:rPr>
          <w:b/>
          <w:sz w:val="21"/>
        </w:rPr>
        <w:t>Clause</w:t>
      </w:r>
      <w:r>
        <w:rPr>
          <w:b/>
          <w:spacing w:val="13"/>
          <w:sz w:val="21"/>
        </w:rPr>
        <w:t> </w:t>
      </w:r>
      <w:r>
        <w:rPr>
          <w:b/>
          <w:spacing w:val="-5"/>
          <w:sz w:val="21"/>
        </w:rPr>
        <w:t>77</w:t>
      </w:r>
    </w:p>
    <w:p>
      <w:pPr>
        <w:spacing w:line="213" w:lineRule="auto" w:before="90"/>
        <w:ind w:left="1941" w:right="1915" w:firstLine="0"/>
        <w:jc w:val="center"/>
        <w:rPr>
          <w:b/>
          <w:sz w:val="21"/>
        </w:rPr>
      </w:pPr>
      <w:r>
        <w:rPr>
          <w:b/>
          <w:sz w:val="21"/>
        </w:rPr>
        <w:t>Exemption of the Macau SAR from the Concessionaire's non-contractual liability </w:t>
      </w:r>
      <w:r>
        <w:rPr>
          <w:b/>
          <w:sz w:val="21"/>
        </w:rPr>
        <w:t>to third parties</w:t>
      </w:r>
    </w:p>
    <w:p>
      <w:pPr>
        <w:pStyle w:val="BodyText"/>
        <w:spacing w:before="71"/>
        <w:rPr>
          <w:b/>
          <w:sz w:val="21"/>
        </w:rPr>
      </w:pPr>
    </w:p>
    <w:p>
      <w:pPr>
        <w:spacing w:line="213" w:lineRule="auto" w:before="1"/>
        <w:ind w:left="144" w:right="118" w:firstLine="0"/>
        <w:jc w:val="both"/>
        <w:rPr>
          <w:sz w:val="21"/>
        </w:rPr>
      </w:pPr>
      <w:r>
        <w:rPr>
          <w:i/>
          <w:sz w:val="21"/>
        </w:rPr>
        <w:t>One. </w:t>
      </w:r>
      <w:r>
        <w:rPr>
          <w:sz w:val="21"/>
        </w:rPr>
        <w:t>The</w:t>
      </w:r>
      <w:r>
        <w:rPr>
          <w:spacing w:val="16"/>
          <w:sz w:val="21"/>
        </w:rPr>
        <w:t> </w:t>
      </w:r>
      <w:r>
        <w:rPr>
          <w:sz w:val="21"/>
        </w:rPr>
        <w:t>Macau</w:t>
      </w:r>
      <w:r>
        <w:rPr>
          <w:spacing w:val="16"/>
          <w:sz w:val="21"/>
        </w:rPr>
        <w:t> </w:t>
      </w:r>
      <w:r>
        <w:rPr>
          <w:sz w:val="21"/>
        </w:rPr>
        <w:t>SAR</w:t>
      </w:r>
      <w:r>
        <w:rPr>
          <w:spacing w:val="16"/>
          <w:sz w:val="21"/>
        </w:rPr>
        <w:t> </w:t>
      </w:r>
      <w:r>
        <w:rPr>
          <w:sz w:val="21"/>
        </w:rPr>
        <w:t>neither</w:t>
      </w:r>
      <w:r>
        <w:rPr>
          <w:spacing w:val="16"/>
          <w:sz w:val="21"/>
        </w:rPr>
        <w:t> </w:t>
      </w:r>
      <w:r>
        <w:rPr>
          <w:sz w:val="21"/>
        </w:rPr>
        <w:t>assumes</w:t>
      </w:r>
      <w:r>
        <w:rPr>
          <w:spacing w:val="16"/>
          <w:sz w:val="21"/>
        </w:rPr>
        <w:t> </w:t>
      </w:r>
      <w:r>
        <w:rPr>
          <w:sz w:val="21"/>
        </w:rPr>
        <w:t>nor</w:t>
      </w:r>
      <w:r>
        <w:rPr>
          <w:spacing w:val="16"/>
          <w:sz w:val="21"/>
        </w:rPr>
        <w:t> </w:t>
      </w:r>
      <w:r>
        <w:rPr>
          <w:sz w:val="21"/>
        </w:rPr>
        <w:t>shares</w:t>
      </w:r>
      <w:r>
        <w:rPr>
          <w:spacing w:val="16"/>
          <w:sz w:val="21"/>
        </w:rPr>
        <w:t> </w:t>
      </w:r>
      <w:r>
        <w:rPr>
          <w:sz w:val="21"/>
        </w:rPr>
        <w:t>any</w:t>
      </w:r>
      <w:r>
        <w:rPr>
          <w:spacing w:val="16"/>
          <w:sz w:val="21"/>
        </w:rPr>
        <w:t> </w:t>
      </w:r>
      <w:r>
        <w:rPr>
          <w:sz w:val="21"/>
        </w:rPr>
        <w:t>responsibility</w:t>
      </w:r>
      <w:r>
        <w:rPr>
          <w:spacing w:val="16"/>
          <w:sz w:val="21"/>
        </w:rPr>
        <w:t> </w:t>
      </w:r>
      <w:r>
        <w:rPr>
          <w:sz w:val="21"/>
        </w:rPr>
        <w:t>which</w:t>
      </w:r>
      <w:r>
        <w:rPr>
          <w:spacing w:val="16"/>
          <w:sz w:val="21"/>
        </w:rPr>
        <w:t> </w:t>
      </w:r>
      <w:r>
        <w:rPr>
          <w:sz w:val="21"/>
        </w:rPr>
        <w:t>the</w:t>
      </w:r>
      <w:r>
        <w:rPr>
          <w:spacing w:val="16"/>
          <w:sz w:val="21"/>
        </w:rPr>
        <w:t> </w:t>
      </w:r>
      <w:r>
        <w:rPr>
          <w:sz w:val="21"/>
        </w:rPr>
        <w:t>Concessionaire</w:t>
      </w:r>
      <w:r>
        <w:rPr>
          <w:spacing w:val="16"/>
          <w:sz w:val="21"/>
        </w:rPr>
        <w:t> </w:t>
      </w:r>
      <w:r>
        <w:rPr>
          <w:sz w:val="21"/>
        </w:rPr>
        <w:t>may</w:t>
      </w:r>
      <w:r>
        <w:rPr>
          <w:spacing w:val="16"/>
          <w:sz w:val="21"/>
        </w:rPr>
        <w:t> </w:t>
      </w:r>
      <w:r>
        <w:rPr>
          <w:sz w:val="21"/>
        </w:rPr>
        <w:t>be</w:t>
      </w:r>
      <w:r>
        <w:rPr>
          <w:spacing w:val="16"/>
          <w:sz w:val="21"/>
        </w:rPr>
        <w:t> </w:t>
      </w:r>
      <w:r>
        <w:rPr>
          <w:sz w:val="21"/>
        </w:rPr>
        <w:t>liable</w:t>
      </w:r>
      <w:r>
        <w:rPr>
          <w:spacing w:val="16"/>
          <w:sz w:val="21"/>
        </w:rPr>
        <w:t> </w:t>
      </w:r>
      <w:r>
        <w:rPr>
          <w:sz w:val="21"/>
        </w:rPr>
        <w:t>to</w:t>
      </w:r>
      <w:r>
        <w:rPr>
          <w:spacing w:val="16"/>
          <w:sz w:val="21"/>
        </w:rPr>
        <w:t> </w:t>
      </w:r>
      <w:r>
        <w:rPr>
          <w:sz w:val="21"/>
        </w:rPr>
        <w:t>for</w:t>
      </w:r>
      <w:r>
        <w:rPr>
          <w:spacing w:val="16"/>
          <w:sz w:val="21"/>
        </w:rPr>
        <w:t> </w:t>
      </w:r>
      <w:r>
        <w:rPr>
          <w:sz w:val="21"/>
        </w:rPr>
        <w:t>acts</w:t>
      </w:r>
      <w:r>
        <w:rPr>
          <w:spacing w:val="16"/>
          <w:sz w:val="21"/>
        </w:rPr>
        <w:t> </w:t>
      </w:r>
      <w:r>
        <w:rPr>
          <w:sz w:val="21"/>
        </w:rPr>
        <w:t>done</w:t>
      </w:r>
      <w:r>
        <w:rPr>
          <w:spacing w:val="16"/>
          <w:sz w:val="21"/>
        </w:rPr>
        <w:t> </w:t>
      </w:r>
      <w:r>
        <w:rPr>
          <w:sz w:val="21"/>
        </w:rPr>
        <w:t>by</w:t>
      </w:r>
      <w:r>
        <w:rPr>
          <w:spacing w:val="16"/>
          <w:sz w:val="21"/>
        </w:rPr>
        <w:t> </w:t>
      </w:r>
      <w:r>
        <w:rPr>
          <w:sz w:val="21"/>
        </w:rPr>
        <w:t>it</w:t>
      </w:r>
      <w:r>
        <w:rPr>
          <w:spacing w:val="16"/>
          <w:sz w:val="21"/>
        </w:rPr>
        <w:t> </w:t>
      </w:r>
      <w:r>
        <w:rPr>
          <w:sz w:val="21"/>
        </w:rPr>
        <w:t>or on its behalf that involve or may involve civil or other liability.</w:t>
      </w:r>
    </w:p>
    <w:p>
      <w:pPr>
        <w:pStyle w:val="BodyText"/>
        <w:spacing w:before="152"/>
        <w:rPr>
          <w:sz w:val="21"/>
        </w:rPr>
      </w:pPr>
    </w:p>
    <w:p>
      <w:pPr>
        <w:spacing w:line="213" w:lineRule="auto" w:before="0"/>
        <w:ind w:left="144" w:right="118" w:firstLine="0"/>
        <w:jc w:val="both"/>
        <w:rPr>
          <w:sz w:val="21"/>
        </w:rPr>
      </w:pPr>
      <w:r>
        <w:rPr>
          <w:i/>
          <w:sz w:val="21"/>
        </w:rPr>
        <w:t>Two</w:t>
      </w:r>
      <w:r>
        <w:rPr>
          <w:sz w:val="21"/>
        </w:rPr>
        <w:t>. The Concessionaire will also be liable, under the general terms of the principal-commissioned party relationship, for damages caused</w:t>
      </w:r>
      <w:r>
        <w:rPr>
          <w:spacing w:val="23"/>
          <w:sz w:val="21"/>
        </w:rPr>
        <w:t> </w:t>
      </w:r>
      <w:r>
        <w:rPr>
          <w:sz w:val="21"/>
        </w:rPr>
        <w:t>by</w:t>
      </w:r>
      <w:r>
        <w:rPr>
          <w:spacing w:val="23"/>
          <w:sz w:val="21"/>
        </w:rPr>
        <w:t> </w:t>
      </w:r>
      <w:r>
        <w:rPr>
          <w:sz w:val="21"/>
        </w:rPr>
        <w:t>entities</w:t>
      </w:r>
      <w:r>
        <w:rPr>
          <w:spacing w:val="23"/>
          <w:sz w:val="21"/>
        </w:rPr>
        <w:t> </w:t>
      </w:r>
      <w:r>
        <w:rPr>
          <w:sz w:val="21"/>
        </w:rPr>
        <w:t>retained</w:t>
      </w:r>
      <w:r>
        <w:rPr>
          <w:spacing w:val="23"/>
          <w:sz w:val="21"/>
        </w:rPr>
        <w:t> </w:t>
      </w:r>
      <w:r>
        <w:rPr>
          <w:sz w:val="21"/>
        </w:rPr>
        <w:t>by</w:t>
      </w:r>
      <w:r>
        <w:rPr>
          <w:spacing w:val="23"/>
          <w:sz w:val="21"/>
        </w:rPr>
        <w:t> </w:t>
      </w:r>
      <w:r>
        <w:rPr>
          <w:sz w:val="21"/>
        </w:rPr>
        <w:t>it</w:t>
      </w:r>
      <w:r>
        <w:rPr>
          <w:spacing w:val="23"/>
          <w:sz w:val="21"/>
        </w:rPr>
        <w:t> </w:t>
      </w:r>
      <w:r>
        <w:rPr>
          <w:sz w:val="21"/>
        </w:rPr>
        <w:t>for</w:t>
      </w:r>
      <w:r>
        <w:rPr>
          <w:spacing w:val="23"/>
          <w:sz w:val="21"/>
        </w:rPr>
        <w:t> </w:t>
      </w:r>
      <w:r>
        <w:rPr>
          <w:sz w:val="21"/>
        </w:rPr>
        <w:t>the</w:t>
      </w:r>
      <w:r>
        <w:rPr>
          <w:spacing w:val="23"/>
          <w:sz w:val="21"/>
        </w:rPr>
        <w:t> </w:t>
      </w:r>
      <w:r>
        <w:rPr>
          <w:sz w:val="21"/>
        </w:rPr>
        <w:t>development</w:t>
      </w:r>
      <w:r>
        <w:rPr>
          <w:spacing w:val="23"/>
          <w:sz w:val="21"/>
        </w:rPr>
        <w:t> </w:t>
      </w:r>
      <w:r>
        <w:rPr>
          <w:sz w:val="21"/>
        </w:rPr>
        <w:t>of</w:t>
      </w:r>
      <w:r>
        <w:rPr>
          <w:spacing w:val="23"/>
          <w:sz w:val="21"/>
        </w:rPr>
        <w:t> </w:t>
      </w:r>
      <w:r>
        <w:rPr>
          <w:sz w:val="21"/>
        </w:rPr>
        <w:t>the</w:t>
      </w:r>
      <w:r>
        <w:rPr>
          <w:spacing w:val="23"/>
          <w:sz w:val="21"/>
        </w:rPr>
        <w:t> </w:t>
      </w:r>
      <w:r>
        <w:rPr>
          <w:sz w:val="21"/>
        </w:rPr>
        <w:t>activities</w:t>
      </w:r>
      <w:r>
        <w:rPr>
          <w:spacing w:val="23"/>
          <w:sz w:val="21"/>
        </w:rPr>
        <w:t> </w:t>
      </w:r>
      <w:r>
        <w:rPr>
          <w:sz w:val="21"/>
        </w:rPr>
        <w:t>which</w:t>
      </w:r>
      <w:r>
        <w:rPr>
          <w:spacing w:val="23"/>
          <w:sz w:val="21"/>
        </w:rPr>
        <w:t> </w:t>
      </w:r>
      <w:r>
        <w:rPr>
          <w:sz w:val="21"/>
        </w:rPr>
        <w:t>are</w:t>
      </w:r>
      <w:r>
        <w:rPr>
          <w:spacing w:val="23"/>
          <w:sz w:val="21"/>
        </w:rPr>
        <w:t> </w:t>
      </w:r>
      <w:r>
        <w:rPr>
          <w:sz w:val="21"/>
        </w:rPr>
        <w:t>part</w:t>
      </w:r>
      <w:r>
        <w:rPr>
          <w:spacing w:val="23"/>
          <w:sz w:val="21"/>
        </w:rPr>
        <w:t> </w:t>
      </w:r>
      <w:r>
        <w:rPr>
          <w:sz w:val="21"/>
        </w:rPr>
        <w:t>of</w:t>
      </w:r>
      <w:r>
        <w:rPr>
          <w:spacing w:val="23"/>
          <w:sz w:val="21"/>
        </w:rPr>
        <w:t> </w:t>
      </w:r>
      <w:r>
        <w:rPr>
          <w:sz w:val="21"/>
        </w:rPr>
        <w:t>the</w:t>
      </w:r>
      <w:r>
        <w:rPr>
          <w:spacing w:val="23"/>
          <w:sz w:val="21"/>
        </w:rPr>
        <w:t> </w:t>
      </w:r>
      <w:r>
        <w:rPr>
          <w:sz w:val="21"/>
        </w:rPr>
        <w:t>concession.</w:t>
      </w:r>
    </w:p>
    <w:p>
      <w:pPr>
        <w:pStyle w:val="BodyText"/>
        <w:spacing w:before="120"/>
        <w:rPr>
          <w:sz w:val="21"/>
        </w:rPr>
      </w:pPr>
    </w:p>
    <w:p>
      <w:pPr>
        <w:pStyle w:val="Heading1"/>
      </w:pPr>
      <w:r>
        <w:rPr/>
        <w:t>CHAPTER </w:t>
      </w:r>
      <w:r>
        <w:rPr>
          <w:spacing w:val="-4"/>
        </w:rPr>
        <w:t>XVII</w:t>
      </w:r>
    </w:p>
    <w:p>
      <w:pPr>
        <w:pStyle w:val="Heading2"/>
        <w:spacing w:before="64"/>
      </w:pPr>
      <w:r>
        <w:rPr/>
        <w:t>Subjective changes in the </w:t>
      </w:r>
      <w:r>
        <w:rPr>
          <w:spacing w:val="-2"/>
        </w:rPr>
        <w:t>concession</w:t>
      </w:r>
    </w:p>
    <w:p>
      <w:pPr>
        <w:pStyle w:val="BodyText"/>
        <w:spacing w:before="83"/>
        <w:rPr>
          <w:b/>
          <w:sz w:val="25"/>
        </w:rPr>
      </w:pPr>
    </w:p>
    <w:p>
      <w:pPr>
        <w:spacing w:before="0"/>
        <w:ind w:left="24" w:right="0" w:firstLine="0"/>
        <w:jc w:val="center"/>
        <w:rPr>
          <w:b/>
          <w:sz w:val="21"/>
        </w:rPr>
      </w:pPr>
      <w:r>
        <w:rPr>
          <w:b/>
          <w:sz w:val="21"/>
        </w:rPr>
        <w:t>Clause</w:t>
      </w:r>
      <w:r>
        <w:rPr>
          <w:b/>
          <w:spacing w:val="13"/>
          <w:sz w:val="21"/>
        </w:rPr>
        <w:t> </w:t>
      </w:r>
      <w:r>
        <w:rPr>
          <w:b/>
          <w:spacing w:val="-5"/>
          <w:sz w:val="21"/>
        </w:rPr>
        <w:t>78</w:t>
      </w:r>
    </w:p>
    <w:p>
      <w:pPr>
        <w:spacing w:before="56"/>
        <w:ind w:left="24" w:right="0" w:firstLine="0"/>
        <w:jc w:val="center"/>
        <w:rPr>
          <w:b/>
          <w:sz w:val="21"/>
        </w:rPr>
      </w:pPr>
      <w:r>
        <w:rPr>
          <w:b/>
          <w:sz w:val="21"/>
        </w:rPr>
        <w:t>Assignment</w:t>
      </w:r>
      <w:r>
        <w:rPr>
          <w:b/>
          <w:spacing w:val="15"/>
          <w:sz w:val="21"/>
        </w:rPr>
        <w:t> </w:t>
      </w:r>
      <w:r>
        <w:rPr>
          <w:b/>
          <w:sz w:val="21"/>
        </w:rPr>
        <w:t>of</w:t>
      </w:r>
      <w:r>
        <w:rPr>
          <w:b/>
          <w:spacing w:val="16"/>
          <w:sz w:val="21"/>
        </w:rPr>
        <w:t> </w:t>
      </w:r>
      <w:r>
        <w:rPr>
          <w:b/>
          <w:sz w:val="21"/>
        </w:rPr>
        <w:t>the</w:t>
      </w:r>
      <w:r>
        <w:rPr>
          <w:b/>
          <w:spacing w:val="16"/>
          <w:sz w:val="21"/>
        </w:rPr>
        <w:t> </w:t>
      </w:r>
      <w:r>
        <w:rPr>
          <w:b/>
          <w:sz w:val="21"/>
        </w:rPr>
        <w:t>contractual</w:t>
      </w:r>
      <w:r>
        <w:rPr>
          <w:b/>
          <w:spacing w:val="16"/>
          <w:sz w:val="21"/>
        </w:rPr>
        <w:t> </w:t>
      </w:r>
      <w:r>
        <w:rPr>
          <w:b/>
          <w:sz w:val="21"/>
        </w:rPr>
        <w:t>position,</w:t>
      </w:r>
      <w:r>
        <w:rPr>
          <w:b/>
          <w:spacing w:val="16"/>
          <w:sz w:val="21"/>
        </w:rPr>
        <w:t> </w:t>
      </w:r>
      <w:r>
        <w:rPr>
          <w:b/>
          <w:sz w:val="21"/>
        </w:rPr>
        <w:t>encumbrance,</w:t>
      </w:r>
      <w:r>
        <w:rPr>
          <w:b/>
          <w:spacing w:val="16"/>
          <w:sz w:val="21"/>
        </w:rPr>
        <w:t> </w:t>
      </w:r>
      <w:r>
        <w:rPr>
          <w:b/>
          <w:sz w:val="21"/>
        </w:rPr>
        <w:t>conveyance,</w:t>
      </w:r>
      <w:r>
        <w:rPr>
          <w:b/>
          <w:spacing w:val="16"/>
          <w:sz w:val="21"/>
        </w:rPr>
        <w:t> </w:t>
      </w:r>
      <w:r>
        <w:rPr>
          <w:b/>
          <w:sz w:val="21"/>
        </w:rPr>
        <w:t>and</w:t>
      </w:r>
      <w:r>
        <w:rPr>
          <w:b/>
          <w:spacing w:val="16"/>
          <w:sz w:val="21"/>
        </w:rPr>
        <w:t> </w:t>
      </w:r>
      <w:r>
        <w:rPr>
          <w:b/>
          <w:spacing w:val="-2"/>
          <w:sz w:val="21"/>
        </w:rPr>
        <w:t>alienation</w:t>
      </w:r>
    </w:p>
    <w:p>
      <w:pPr>
        <w:pStyle w:val="BodyText"/>
        <w:spacing w:before="159"/>
        <w:rPr>
          <w:b/>
          <w:sz w:val="21"/>
        </w:rPr>
      </w:pPr>
    </w:p>
    <w:p>
      <w:pPr>
        <w:spacing w:line="213" w:lineRule="auto" w:before="0"/>
        <w:ind w:left="144" w:right="118" w:firstLine="0"/>
        <w:jc w:val="both"/>
        <w:rPr>
          <w:sz w:val="21"/>
        </w:rPr>
      </w:pPr>
      <w:r>
        <w:rPr>
          <w:i/>
          <w:sz w:val="21"/>
        </w:rPr>
        <w:t>One</w:t>
      </w:r>
      <w:r>
        <w:rPr>
          <w:sz w:val="21"/>
        </w:rPr>
        <w:t>. Without prejudice to the provisions of Section 5 (3) of Law No. 7/2022, the Concessionaire undertakes not to assign, convey, dispose of, or in any way encumber, in whole or in part, expressly or tacitly, formally or informally, the right to operate a casino or gaming</w:t>
      </w:r>
      <w:r>
        <w:rPr>
          <w:spacing w:val="14"/>
          <w:sz w:val="21"/>
        </w:rPr>
        <w:t> </w:t>
      </w:r>
      <w:r>
        <w:rPr>
          <w:sz w:val="21"/>
        </w:rPr>
        <w:t>zone,</w:t>
      </w:r>
      <w:r>
        <w:rPr>
          <w:spacing w:val="14"/>
          <w:sz w:val="21"/>
        </w:rPr>
        <w:t> </w:t>
      </w:r>
      <w:r>
        <w:rPr>
          <w:sz w:val="21"/>
        </w:rPr>
        <w:t>or</w:t>
      </w:r>
      <w:r>
        <w:rPr>
          <w:spacing w:val="14"/>
          <w:sz w:val="21"/>
        </w:rPr>
        <w:t> </w:t>
      </w:r>
      <w:r>
        <w:rPr>
          <w:sz w:val="21"/>
        </w:rPr>
        <w:t>undertake</w:t>
      </w:r>
      <w:r>
        <w:rPr>
          <w:spacing w:val="14"/>
          <w:sz w:val="21"/>
        </w:rPr>
        <w:t> </w:t>
      </w:r>
      <w:r>
        <w:rPr>
          <w:sz w:val="21"/>
        </w:rPr>
        <w:t>the</w:t>
      </w:r>
      <w:r>
        <w:rPr>
          <w:spacing w:val="14"/>
          <w:sz w:val="21"/>
        </w:rPr>
        <w:t> </w:t>
      </w:r>
      <w:r>
        <w:rPr>
          <w:sz w:val="21"/>
        </w:rPr>
        <w:t>transfer</w:t>
      </w:r>
      <w:r>
        <w:rPr>
          <w:spacing w:val="14"/>
          <w:sz w:val="21"/>
        </w:rPr>
        <w:t> </w:t>
      </w:r>
      <w:r>
        <w:rPr>
          <w:sz w:val="21"/>
        </w:rPr>
        <w:t>or</w:t>
      </w:r>
      <w:r>
        <w:rPr>
          <w:spacing w:val="14"/>
          <w:sz w:val="21"/>
        </w:rPr>
        <w:t> </w:t>
      </w:r>
      <w:r>
        <w:rPr>
          <w:sz w:val="21"/>
        </w:rPr>
        <w:t>partial</w:t>
      </w:r>
      <w:r>
        <w:rPr>
          <w:spacing w:val="14"/>
          <w:sz w:val="21"/>
        </w:rPr>
        <w:t> </w:t>
      </w:r>
      <w:r>
        <w:rPr>
          <w:sz w:val="21"/>
        </w:rPr>
        <w:t>assignment</w:t>
      </w:r>
      <w:r>
        <w:rPr>
          <w:spacing w:val="14"/>
          <w:sz w:val="21"/>
        </w:rPr>
        <w:t> </w:t>
      </w:r>
      <w:r>
        <w:rPr>
          <w:sz w:val="21"/>
        </w:rPr>
        <w:t>of</w:t>
      </w:r>
      <w:r>
        <w:rPr>
          <w:spacing w:val="14"/>
          <w:sz w:val="21"/>
        </w:rPr>
        <w:t> </w:t>
      </w:r>
      <w:r>
        <w:rPr>
          <w:sz w:val="21"/>
        </w:rPr>
        <w:t>the</w:t>
      </w:r>
      <w:r>
        <w:rPr>
          <w:spacing w:val="14"/>
          <w:sz w:val="21"/>
        </w:rPr>
        <w:t> </w:t>
      </w:r>
      <w:r>
        <w:rPr>
          <w:sz w:val="21"/>
        </w:rPr>
        <w:t>legal</w:t>
      </w:r>
      <w:r>
        <w:rPr>
          <w:spacing w:val="14"/>
          <w:sz w:val="21"/>
        </w:rPr>
        <w:t> </w:t>
      </w:r>
      <w:r>
        <w:rPr>
          <w:sz w:val="21"/>
        </w:rPr>
        <w:t>rights</w:t>
      </w:r>
      <w:r>
        <w:rPr>
          <w:spacing w:val="14"/>
          <w:sz w:val="21"/>
        </w:rPr>
        <w:t> </w:t>
      </w:r>
      <w:r>
        <w:rPr>
          <w:sz w:val="21"/>
        </w:rPr>
        <w:t>and</w:t>
      </w:r>
      <w:r>
        <w:rPr>
          <w:spacing w:val="14"/>
          <w:sz w:val="21"/>
        </w:rPr>
        <w:t> </w:t>
      </w:r>
      <w:r>
        <w:rPr>
          <w:sz w:val="21"/>
        </w:rPr>
        <w:t>obligations</w:t>
      </w:r>
      <w:r>
        <w:rPr>
          <w:spacing w:val="14"/>
          <w:sz w:val="21"/>
        </w:rPr>
        <w:t> </w:t>
      </w:r>
      <w:r>
        <w:rPr>
          <w:sz w:val="21"/>
        </w:rPr>
        <w:t>relating</w:t>
      </w:r>
      <w:r>
        <w:rPr>
          <w:spacing w:val="14"/>
          <w:sz w:val="21"/>
        </w:rPr>
        <w:t> </w:t>
      </w:r>
      <w:r>
        <w:rPr>
          <w:sz w:val="21"/>
        </w:rPr>
        <w:t>to</w:t>
      </w:r>
      <w:r>
        <w:rPr>
          <w:spacing w:val="14"/>
          <w:sz w:val="21"/>
        </w:rPr>
        <w:t> </w:t>
      </w:r>
      <w:r>
        <w:rPr>
          <w:sz w:val="21"/>
        </w:rPr>
        <w:t>games</w:t>
      </w:r>
      <w:r>
        <w:rPr>
          <w:spacing w:val="14"/>
          <w:sz w:val="21"/>
        </w:rPr>
        <w:t> </w:t>
      </w:r>
      <w:r>
        <w:rPr>
          <w:sz w:val="21"/>
        </w:rPr>
        <w:t>of</w:t>
      </w:r>
      <w:r>
        <w:rPr>
          <w:spacing w:val="14"/>
          <w:sz w:val="21"/>
        </w:rPr>
        <w:t> </w:t>
      </w:r>
      <w:r>
        <w:rPr>
          <w:sz w:val="21"/>
        </w:rPr>
        <w:t>fortune</w:t>
      </w:r>
      <w:r>
        <w:rPr>
          <w:spacing w:val="14"/>
          <w:sz w:val="21"/>
        </w:rPr>
        <w:t> </w:t>
      </w:r>
      <w:r>
        <w:rPr>
          <w:sz w:val="21"/>
        </w:rPr>
        <w:t>or</w:t>
      </w:r>
      <w:r>
        <w:rPr>
          <w:spacing w:val="14"/>
          <w:sz w:val="21"/>
        </w:rPr>
        <w:t> </w:t>
      </w:r>
      <w:r>
        <w:rPr>
          <w:sz w:val="21"/>
        </w:rPr>
        <w:t>chance in casinos or the contractual position of the Concessionaire to third parties, or undertake any legal transaction aimed at achieving the same result.</w:t>
      </w:r>
    </w:p>
    <w:p>
      <w:pPr>
        <w:pStyle w:val="BodyText"/>
        <w:spacing w:before="155"/>
        <w:rPr>
          <w:sz w:val="21"/>
        </w:rPr>
      </w:pPr>
    </w:p>
    <w:p>
      <w:pPr>
        <w:spacing w:line="213" w:lineRule="auto" w:before="1"/>
        <w:ind w:left="144" w:right="118" w:firstLine="0"/>
        <w:jc w:val="both"/>
        <w:rPr>
          <w:sz w:val="21"/>
        </w:rPr>
      </w:pPr>
      <w:r>
        <w:rPr>
          <w:i/>
          <w:sz w:val="21"/>
        </w:rPr>
        <w:t>Two</w:t>
      </w:r>
      <w:r>
        <w:rPr>
          <w:sz w:val="21"/>
        </w:rPr>
        <w:t>. An</w:t>
      </w:r>
      <w:r>
        <w:rPr>
          <w:spacing w:val="21"/>
          <w:sz w:val="21"/>
        </w:rPr>
        <w:t> </w:t>
      </w:r>
      <w:r>
        <w:rPr>
          <w:sz w:val="21"/>
        </w:rPr>
        <w:t>act</w:t>
      </w:r>
      <w:r>
        <w:rPr>
          <w:spacing w:val="21"/>
          <w:sz w:val="21"/>
        </w:rPr>
        <w:t> </w:t>
      </w:r>
      <w:r>
        <w:rPr>
          <w:sz w:val="21"/>
        </w:rPr>
        <w:t>committed</w:t>
      </w:r>
      <w:r>
        <w:rPr>
          <w:spacing w:val="21"/>
          <w:sz w:val="21"/>
        </w:rPr>
        <w:t> </w:t>
      </w:r>
      <w:r>
        <w:rPr>
          <w:sz w:val="21"/>
        </w:rPr>
        <w:t>in</w:t>
      </w:r>
      <w:r>
        <w:rPr>
          <w:spacing w:val="21"/>
          <w:sz w:val="21"/>
        </w:rPr>
        <w:t> </w:t>
      </w:r>
      <w:r>
        <w:rPr>
          <w:sz w:val="21"/>
        </w:rPr>
        <w:t>violation</w:t>
      </w:r>
      <w:r>
        <w:rPr>
          <w:spacing w:val="21"/>
          <w:sz w:val="21"/>
        </w:rPr>
        <w:t> </w:t>
      </w:r>
      <w:r>
        <w:rPr>
          <w:sz w:val="21"/>
        </w:rPr>
        <w:t>of</w:t>
      </w:r>
      <w:r>
        <w:rPr>
          <w:spacing w:val="21"/>
          <w:sz w:val="21"/>
        </w:rPr>
        <w:t> </w:t>
      </w:r>
      <w:r>
        <w:rPr>
          <w:sz w:val="21"/>
        </w:rPr>
        <w:t>the</w:t>
      </w:r>
      <w:r>
        <w:rPr>
          <w:spacing w:val="21"/>
          <w:sz w:val="21"/>
        </w:rPr>
        <w:t> </w:t>
      </w:r>
      <w:r>
        <w:rPr>
          <w:sz w:val="21"/>
        </w:rPr>
        <w:t>provisions</w:t>
      </w:r>
      <w:r>
        <w:rPr>
          <w:spacing w:val="21"/>
          <w:sz w:val="21"/>
        </w:rPr>
        <w:t> </w:t>
      </w:r>
      <w:r>
        <w:rPr>
          <w:sz w:val="21"/>
        </w:rPr>
        <w:t>of</w:t>
      </w:r>
      <w:r>
        <w:rPr>
          <w:spacing w:val="21"/>
          <w:sz w:val="21"/>
        </w:rPr>
        <w:t> </w:t>
      </w:r>
      <w:r>
        <w:rPr>
          <w:sz w:val="21"/>
        </w:rPr>
        <w:t>the</w:t>
      </w:r>
      <w:r>
        <w:rPr>
          <w:spacing w:val="21"/>
          <w:sz w:val="21"/>
        </w:rPr>
        <w:t> </w:t>
      </w:r>
      <w:r>
        <w:rPr>
          <w:sz w:val="21"/>
        </w:rPr>
        <w:t>preceding</w:t>
      </w:r>
      <w:r>
        <w:rPr>
          <w:spacing w:val="21"/>
          <w:sz w:val="21"/>
        </w:rPr>
        <w:t> </w:t>
      </w:r>
      <w:r>
        <w:rPr>
          <w:sz w:val="21"/>
        </w:rPr>
        <w:t>paragraph</w:t>
      </w:r>
      <w:r>
        <w:rPr>
          <w:spacing w:val="21"/>
          <w:sz w:val="21"/>
        </w:rPr>
        <w:t> </w:t>
      </w:r>
      <w:r>
        <w:rPr>
          <w:sz w:val="21"/>
        </w:rPr>
        <w:t>and</w:t>
      </w:r>
      <w:r>
        <w:rPr>
          <w:spacing w:val="21"/>
          <w:sz w:val="21"/>
        </w:rPr>
        <w:t> </w:t>
      </w:r>
      <w:r>
        <w:rPr>
          <w:sz w:val="21"/>
        </w:rPr>
        <w:t>without</w:t>
      </w:r>
      <w:r>
        <w:rPr>
          <w:spacing w:val="21"/>
          <w:sz w:val="21"/>
        </w:rPr>
        <w:t> </w:t>
      </w:r>
      <w:r>
        <w:rPr>
          <w:sz w:val="21"/>
        </w:rPr>
        <w:t>prejudice</w:t>
      </w:r>
      <w:r>
        <w:rPr>
          <w:spacing w:val="21"/>
          <w:sz w:val="21"/>
        </w:rPr>
        <w:t> </w:t>
      </w:r>
      <w:r>
        <w:rPr>
          <w:sz w:val="21"/>
        </w:rPr>
        <w:t>to</w:t>
      </w:r>
      <w:r>
        <w:rPr>
          <w:spacing w:val="21"/>
          <w:sz w:val="21"/>
        </w:rPr>
        <w:t> </w:t>
      </w:r>
      <w:r>
        <w:rPr>
          <w:sz w:val="21"/>
        </w:rPr>
        <w:t>other</w:t>
      </w:r>
      <w:r>
        <w:rPr>
          <w:spacing w:val="21"/>
          <w:sz w:val="21"/>
        </w:rPr>
        <w:t> </w:t>
      </w:r>
      <w:r>
        <w:rPr>
          <w:sz w:val="21"/>
        </w:rPr>
        <w:t>applicable</w:t>
      </w:r>
      <w:r>
        <w:rPr>
          <w:spacing w:val="21"/>
          <w:sz w:val="21"/>
        </w:rPr>
        <w:t> </w:t>
      </w:r>
      <w:r>
        <w:rPr>
          <w:sz w:val="21"/>
        </w:rPr>
        <w:t>sanctions or</w:t>
      </w:r>
      <w:r>
        <w:rPr>
          <w:spacing w:val="24"/>
          <w:sz w:val="21"/>
        </w:rPr>
        <w:t> </w:t>
      </w:r>
      <w:r>
        <w:rPr>
          <w:sz w:val="21"/>
        </w:rPr>
        <w:t>penalties,</w:t>
      </w:r>
      <w:r>
        <w:rPr>
          <w:spacing w:val="24"/>
          <w:sz w:val="21"/>
        </w:rPr>
        <w:t> </w:t>
      </w:r>
      <w:r>
        <w:rPr>
          <w:sz w:val="21"/>
        </w:rPr>
        <w:t>shall</w:t>
      </w:r>
      <w:r>
        <w:rPr>
          <w:spacing w:val="24"/>
          <w:sz w:val="21"/>
        </w:rPr>
        <w:t> </w:t>
      </w:r>
      <w:r>
        <w:rPr>
          <w:sz w:val="21"/>
        </w:rPr>
        <w:t>result</w:t>
      </w:r>
      <w:r>
        <w:rPr>
          <w:spacing w:val="24"/>
          <w:sz w:val="21"/>
        </w:rPr>
        <w:t> </w:t>
      </w:r>
      <w:r>
        <w:rPr>
          <w:sz w:val="21"/>
        </w:rPr>
        <w:t>in</w:t>
      </w:r>
      <w:r>
        <w:rPr>
          <w:spacing w:val="24"/>
          <w:sz w:val="21"/>
        </w:rPr>
        <w:t> </w:t>
      </w:r>
      <w:r>
        <w:rPr>
          <w:sz w:val="21"/>
        </w:rPr>
        <w:t>the</w:t>
      </w:r>
      <w:r>
        <w:rPr>
          <w:spacing w:val="24"/>
          <w:sz w:val="21"/>
        </w:rPr>
        <w:t> </w:t>
      </w:r>
      <w:r>
        <w:rPr>
          <w:sz w:val="21"/>
        </w:rPr>
        <w:t>payment</w:t>
      </w:r>
      <w:r>
        <w:rPr>
          <w:spacing w:val="24"/>
          <w:sz w:val="21"/>
        </w:rPr>
        <w:t> </w:t>
      </w:r>
      <w:r>
        <w:rPr>
          <w:sz w:val="21"/>
        </w:rPr>
        <w:t>to</w:t>
      </w:r>
      <w:r>
        <w:rPr>
          <w:spacing w:val="24"/>
          <w:sz w:val="21"/>
        </w:rPr>
        <w:t> </w:t>
      </w:r>
      <w:r>
        <w:rPr>
          <w:sz w:val="21"/>
        </w:rPr>
        <w:t>the</w:t>
      </w:r>
      <w:r>
        <w:rPr>
          <w:spacing w:val="24"/>
          <w:sz w:val="21"/>
        </w:rPr>
        <w:t> </w:t>
      </w:r>
      <w:r>
        <w:rPr>
          <w:sz w:val="21"/>
        </w:rPr>
        <w:t>Macao</w:t>
      </w:r>
      <w:r>
        <w:rPr>
          <w:spacing w:val="24"/>
          <w:sz w:val="21"/>
        </w:rPr>
        <w:t> </w:t>
      </w:r>
      <w:r>
        <w:rPr>
          <w:sz w:val="21"/>
        </w:rPr>
        <w:t>SAR</w:t>
      </w:r>
      <w:r>
        <w:rPr>
          <w:spacing w:val="24"/>
          <w:sz w:val="21"/>
        </w:rPr>
        <w:t> </w:t>
      </w:r>
      <w:r>
        <w:rPr>
          <w:sz w:val="21"/>
        </w:rPr>
        <w:t>of</w:t>
      </w:r>
      <w:r>
        <w:rPr>
          <w:spacing w:val="24"/>
          <w:sz w:val="21"/>
        </w:rPr>
        <w:t> </w:t>
      </w:r>
      <w:r>
        <w:rPr>
          <w:sz w:val="21"/>
        </w:rPr>
        <w:t>the</w:t>
      </w:r>
      <w:r>
        <w:rPr>
          <w:spacing w:val="24"/>
          <w:sz w:val="21"/>
        </w:rPr>
        <w:t> </w:t>
      </w:r>
      <w:r>
        <w:rPr>
          <w:sz w:val="21"/>
        </w:rPr>
        <w:t>following</w:t>
      </w:r>
      <w:r>
        <w:rPr>
          <w:spacing w:val="24"/>
          <w:sz w:val="21"/>
        </w:rPr>
        <w:t> </w:t>
      </w:r>
      <w:r>
        <w:rPr>
          <w:sz w:val="21"/>
        </w:rPr>
        <w:t>penalty</w:t>
      </w:r>
      <w:r>
        <w:rPr>
          <w:spacing w:val="24"/>
          <w:sz w:val="21"/>
        </w:rPr>
        <w:t> </w:t>
      </w:r>
      <w:r>
        <w:rPr>
          <w:sz w:val="21"/>
        </w:rPr>
        <w:t>clauses:</w:t>
      </w:r>
    </w:p>
    <w:p>
      <w:pPr>
        <w:pStyle w:val="BodyText"/>
        <w:spacing w:before="152"/>
        <w:rPr>
          <w:sz w:val="21"/>
        </w:rPr>
      </w:pPr>
    </w:p>
    <w:p>
      <w:pPr>
        <w:pStyle w:val="ListParagraph"/>
        <w:numPr>
          <w:ilvl w:val="0"/>
          <w:numId w:val="42"/>
        </w:numPr>
        <w:tabs>
          <w:tab w:pos="908" w:val="left" w:leader="none"/>
          <w:tab w:pos="910" w:val="left" w:leader="none"/>
        </w:tabs>
        <w:spacing w:line="213" w:lineRule="auto" w:before="0" w:after="0"/>
        <w:ind w:left="910" w:right="119" w:hanging="256"/>
        <w:jc w:val="left"/>
        <w:rPr>
          <w:sz w:val="21"/>
        </w:rPr>
      </w:pPr>
      <w:r>
        <w:rPr>
          <w:sz w:val="21"/>
        </w:rPr>
        <w:t>In</w:t>
      </w:r>
      <w:r>
        <w:rPr>
          <w:spacing w:val="32"/>
          <w:sz w:val="21"/>
        </w:rPr>
        <w:t> </w:t>
      </w:r>
      <w:r>
        <w:rPr>
          <w:sz w:val="21"/>
        </w:rPr>
        <w:t>the</w:t>
      </w:r>
      <w:r>
        <w:rPr>
          <w:spacing w:val="32"/>
          <w:sz w:val="21"/>
        </w:rPr>
        <w:t> </w:t>
      </w:r>
      <w:r>
        <w:rPr>
          <w:sz w:val="21"/>
        </w:rPr>
        <w:t>case</w:t>
      </w:r>
      <w:r>
        <w:rPr>
          <w:spacing w:val="32"/>
          <w:sz w:val="21"/>
        </w:rPr>
        <w:t> </w:t>
      </w:r>
      <w:r>
        <w:rPr>
          <w:sz w:val="21"/>
        </w:rPr>
        <w:t>of</w:t>
      </w:r>
      <w:r>
        <w:rPr>
          <w:spacing w:val="32"/>
          <w:sz w:val="21"/>
        </w:rPr>
        <w:t> </w:t>
      </w:r>
      <w:r>
        <w:rPr>
          <w:sz w:val="21"/>
        </w:rPr>
        <w:t>assignment,</w:t>
      </w:r>
      <w:r>
        <w:rPr>
          <w:spacing w:val="32"/>
          <w:sz w:val="21"/>
        </w:rPr>
        <w:t> </w:t>
      </w:r>
      <w:r>
        <w:rPr>
          <w:sz w:val="21"/>
        </w:rPr>
        <w:t>conveyance,</w:t>
      </w:r>
      <w:r>
        <w:rPr>
          <w:spacing w:val="32"/>
          <w:sz w:val="21"/>
        </w:rPr>
        <w:t> </w:t>
      </w:r>
      <w:r>
        <w:rPr>
          <w:sz w:val="21"/>
        </w:rPr>
        <w:t>or</w:t>
      </w:r>
      <w:r>
        <w:rPr>
          <w:spacing w:val="32"/>
          <w:sz w:val="21"/>
        </w:rPr>
        <w:t> </w:t>
      </w:r>
      <w:r>
        <w:rPr>
          <w:sz w:val="21"/>
        </w:rPr>
        <w:t>alienation</w:t>
      </w:r>
      <w:r>
        <w:rPr>
          <w:spacing w:val="32"/>
          <w:sz w:val="21"/>
        </w:rPr>
        <w:t> </w:t>
      </w:r>
      <w:r>
        <w:rPr>
          <w:sz w:val="21"/>
        </w:rPr>
        <w:t>of</w:t>
      </w:r>
      <w:r>
        <w:rPr>
          <w:spacing w:val="32"/>
          <w:sz w:val="21"/>
        </w:rPr>
        <w:t> </w:t>
      </w:r>
      <w:r>
        <w:rPr>
          <w:sz w:val="21"/>
        </w:rPr>
        <w:t>the</w:t>
      </w:r>
      <w:r>
        <w:rPr>
          <w:spacing w:val="32"/>
          <w:sz w:val="21"/>
        </w:rPr>
        <w:t> </w:t>
      </w:r>
      <w:r>
        <w:rPr>
          <w:sz w:val="21"/>
        </w:rPr>
        <w:t>right</w:t>
      </w:r>
      <w:r>
        <w:rPr>
          <w:spacing w:val="32"/>
          <w:sz w:val="21"/>
        </w:rPr>
        <w:t> </w:t>
      </w:r>
      <w:r>
        <w:rPr>
          <w:sz w:val="21"/>
        </w:rPr>
        <w:t>to</w:t>
      </w:r>
      <w:r>
        <w:rPr>
          <w:spacing w:val="32"/>
          <w:sz w:val="21"/>
        </w:rPr>
        <w:t> </w:t>
      </w:r>
      <w:r>
        <w:rPr>
          <w:sz w:val="21"/>
        </w:rPr>
        <w:t>operate</w:t>
      </w:r>
      <w:r>
        <w:rPr>
          <w:spacing w:val="32"/>
          <w:sz w:val="21"/>
        </w:rPr>
        <w:t> </w:t>
      </w:r>
      <w:r>
        <w:rPr>
          <w:sz w:val="21"/>
        </w:rPr>
        <w:t>a</w:t>
      </w:r>
      <w:r>
        <w:rPr>
          <w:spacing w:val="32"/>
          <w:sz w:val="21"/>
        </w:rPr>
        <w:t> </w:t>
      </w:r>
      <w:r>
        <w:rPr>
          <w:sz w:val="21"/>
        </w:rPr>
        <w:t>casino</w:t>
      </w:r>
      <w:r>
        <w:rPr>
          <w:spacing w:val="32"/>
          <w:sz w:val="21"/>
        </w:rPr>
        <w:t> </w:t>
      </w:r>
      <w:r>
        <w:rPr>
          <w:sz w:val="21"/>
        </w:rPr>
        <w:t>or</w:t>
      </w:r>
      <w:r>
        <w:rPr>
          <w:spacing w:val="32"/>
          <w:sz w:val="21"/>
        </w:rPr>
        <w:t> </w:t>
      </w:r>
      <w:r>
        <w:rPr>
          <w:sz w:val="21"/>
        </w:rPr>
        <w:t>a</w:t>
      </w:r>
      <w:r>
        <w:rPr>
          <w:spacing w:val="32"/>
          <w:sz w:val="21"/>
        </w:rPr>
        <w:t> </w:t>
      </w:r>
      <w:r>
        <w:rPr>
          <w:sz w:val="21"/>
        </w:rPr>
        <w:t>gaming</w:t>
      </w:r>
      <w:r>
        <w:rPr>
          <w:spacing w:val="32"/>
          <w:sz w:val="21"/>
        </w:rPr>
        <w:t> </w:t>
      </w:r>
      <w:r>
        <w:rPr>
          <w:sz w:val="21"/>
        </w:rPr>
        <w:t>area,</w:t>
      </w:r>
      <w:r>
        <w:rPr>
          <w:spacing w:val="32"/>
          <w:sz w:val="21"/>
        </w:rPr>
        <w:t> </w:t>
      </w:r>
      <w:r>
        <w:rPr>
          <w:sz w:val="21"/>
        </w:rPr>
        <w:t>as</w:t>
      </w:r>
      <w:r>
        <w:rPr>
          <w:spacing w:val="32"/>
          <w:sz w:val="21"/>
        </w:rPr>
        <w:t> </w:t>
      </w:r>
      <w:r>
        <w:rPr>
          <w:sz w:val="21"/>
        </w:rPr>
        <w:t>a</w:t>
      </w:r>
      <w:r>
        <w:rPr>
          <w:spacing w:val="32"/>
          <w:sz w:val="21"/>
        </w:rPr>
        <w:t> </w:t>
      </w:r>
      <w:r>
        <w:rPr>
          <w:sz w:val="21"/>
        </w:rPr>
        <w:t>whole:</w:t>
      </w:r>
      <w:r>
        <w:rPr>
          <w:spacing w:val="32"/>
          <w:sz w:val="21"/>
        </w:rPr>
        <w:t> </w:t>
      </w:r>
      <w:r>
        <w:rPr>
          <w:sz w:val="21"/>
        </w:rPr>
        <w:t>MOP 2,000,000,000 (two billion patacas);</w:t>
      </w:r>
    </w:p>
    <w:p>
      <w:pPr>
        <w:pStyle w:val="BodyText"/>
        <w:spacing w:before="165"/>
        <w:rPr>
          <w:sz w:val="21"/>
        </w:rPr>
      </w:pPr>
    </w:p>
    <w:p>
      <w:pPr>
        <w:pStyle w:val="ListParagraph"/>
        <w:numPr>
          <w:ilvl w:val="0"/>
          <w:numId w:val="42"/>
        </w:numPr>
        <w:tabs>
          <w:tab w:pos="910" w:val="left" w:leader="none"/>
          <w:tab w:pos="925" w:val="left" w:leader="none"/>
        </w:tabs>
        <w:spacing w:line="213" w:lineRule="auto" w:before="1" w:after="0"/>
        <w:ind w:left="910" w:right="118" w:hanging="256"/>
        <w:jc w:val="left"/>
        <w:rPr>
          <w:sz w:val="21"/>
        </w:rPr>
      </w:pPr>
      <w:r>
        <w:rPr>
          <w:sz w:val="21"/>
        </w:rPr>
        <w:tab/>
        <w:t>In</w:t>
      </w:r>
      <w:r>
        <w:rPr>
          <w:spacing w:val="40"/>
          <w:sz w:val="21"/>
        </w:rPr>
        <w:t> </w:t>
      </w:r>
      <w:r>
        <w:rPr>
          <w:sz w:val="21"/>
        </w:rPr>
        <w:t>the</w:t>
      </w:r>
      <w:r>
        <w:rPr>
          <w:spacing w:val="40"/>
          <w:sz w:val="21"/>
        </w:rPr>
        <w:t> </w:t>
      </w:r>
      <w:r>
        <w:rPr>
          <w:sz w:val="21"/>
        </w:rPr>
        <w:t>case</w:t>
      </w:r>
      <w:r>
        <w:rPr>
          <w:spacing w:val="40"/>
          <w:sz w:val="21"/>
        </w:rPr>
        <w:t> </w:t>
      </w:r>
      <w:r>
        <w:rPr>
          <w:sz w:val="21"/>
        </w:rPr>
        <w:t>of</w:t>
      </w:r>
      <w:r>
        <w:rPr>
          <w:spacing w:val="40"/>
          <w:sz w:val="21"/>
        </w:rPr>
        <w:t> </w:t>
      </w:r>
      <w:r>
        <w:rPr>
          <w:sz w:val="21"/>
        </w:rPr>
        <w:t>assignment,</w:t>
      </w:r>
      <w:r>
        <w:rPr>
          <w:spacing w:val="40"/>
          <w:sz w:val="21"/>
        </w:rPr>
        <w:t> </w:t>
      </w:r>
      <w:r>
        <w:rPr>
          <w:sz w:val="21"/>
        </w:rPr>
        <w:t>conveyance,</w:t>
      </w:r>
      <w:r>
        <w:rPr>
          <w:spacing w:val="40"/>
          <w:sz w:val="21"/>
        </w:rPr>
        <w:t> </w:t>
      </w:r>
      <w:r>
        <w:rPr>
          <w:sz w:val="21"/>
        </w:rPr>
        <w:t>or</w:t>
      </w:r>
      <w:r>
        <w:rPr>
          <w:spacing w:val="40"/>
          <w:sz w:val="21"/>
        </w:rPr>
        <w:t> </w:t>
      </w:r>
      <w:r>
        <w:rPr>
          <w:sz w:val="21"/>
        </w:rPr>
        <w:t>alienation</w:t>
      </w:r>
      <w:r>
        <w:rPr>
          <w:spacing w:val="40"/>
          <w:sz w:val="21"/>
        </w:rPr>
        <w:t> </w:t>
      </w:r>
      <w:r>
        <w:rPr>
          <w:sz w:val="21"/>
        </w:rPr>
        <w:t>of</w:t>
      </w:r>
      <w:r>
        <w:rPr>
          <w:spacing w:val="40"/>
          <w:sz w:val="21"/>
        </w:rPr>
        <w:t> </w:t>
      </w:r>
      <w:r>
        <w:rPr>
          <w:sz w:val="21"/>
        </w:rPr>
        <w:t>the</w:t>
      </w:r>
      <w:r>
        <w:rPr>
          <w:spacing w:val="40"/>
          <w:sz w:val="21"/>
        </w:rPr>
        <w:t> </w:t>
      </w:r>
      <w:r>
        <w:rPr>
          <w:sz w:val="21"/>
        </w:rPr>
        <w:t>right</w:t>
      </w:r>
      <w:r>
        <w:rPr>
          <w:spacing w:val="40"/>
          <w:sz w:val="21"/>
        </w:rPr>
        <w:t> </w:t>
      </w:r>
      <w:r>
        <w:rPr>
          <w:sz w:val="21"/>
        </w:rPr>
        <w:t>to</w:t>
      </w:r>
      <w:r>
        <w:rPr>
          <w:spacing w:val="40"/>
          <w:sz w:val="21"/>
        </w:rPr>
        <w:t> </w:t>
      </w:r>
      <w:r>
        <w:rPr>
          <w:sz w:val="21"/>
        </w:rPr>
        <w:t>operate</w:t>
      </w:r>
      <w:r>
        <w:rPr>
          <w:spacing w:val="40"/>
          <w:sz w:val="21"/>
        </w:rPr>
        <w:t> </w:t>
      </w:r>
      <w:r>
        <w:rPr>
          <w:sz w:val="21"/>
        </w:rPr>
        <w:t>a</w:t>
      </w:r>
      <w:r>
        <w:rPr>
          <w:spacing w:val="40"/>
          <w:sz w:val="21"/>
        </w:rPr>
        <w:t> </w:t>
      </w:r>
      <w:r>
        <w:rPr>
          <w:sz w:val="21"/>
        </w:rPr>
        <w:t>casino</w:t>
      </w:r>
      <w:r>
        <w:rPr>
          <w:spacing w:val="40"/>
          <w:sz w:val="21"/>
        </w:rPr>
        <w:t> </w:t>
      </w:r>
      <w:r>
        <w:rPr>
          <w:sz w:val="21"/>
        </w:rPr>
        <w:t>or</w:t>
      </w:r>
      <w:r>
        <w:rPr>
          <w:spacing w:val="40"/>
          <w:sz w:val="21"/>
        </w:rPr>
        <w:t> </w:t>
      </w:r>
      <w:r>
        <w:rPr>
          <w:sz w:val="21"/>
        </w:rPr>
        <w:t>a</w:t>
      </w:r>
      <w:r>
        <w:rPr>
          <w:spacing w:val="40"/>
          <w:sz w:val="21"/>
        </w:rPr>
        <w:t> </w:t>
      </w:r>
      <w:r>
        <w:rPr>
          <w:sz w:val="21"/>
        </w:rPr>
        <w:t>gaming</w:t>
      </w:r>
      <w:r>
        <w:rPr>
          <w:spacing w:val="40"/>
          <w:sz w:val="21"/>
        </w:rPr>
        <w:t> </w:t>
      </w:r>
      <w:r>
        <w:rPr>
          <w:sz w:val="21"/>
        </w:rPr>
        <w:t>area,</w:t>
      </w:r>
      <w:r>
        <w:rPr>
          <w:spacing w:val="40"/>
          <w:sz w:val="21"/>
        </w:rPr>
        <w:t> </w:t>
      </w:r>
      <w:r>
        <w:rPr>
          <w:sz w:val="21"/>
        </w:rPr>
        <w:t>in</w:t>
      </w:r>
      <w:r>
        <w:rPr>
          <w:spacing w:val="40"/>
          <w:sz w:val="21"/>
        </w:rPr>
        <w:t> </w:t>
      </w:r>
      <w:r>
        <w:rPr>
          <w:sz w:val="21"/>
        </w:rPr>
        <w:t>part:</w:t>
      </w:r>
      <w:r>
        <w:rPr>
          <w:spacing w:val="40"/>
          <w:sz w:val="21"/>
        </w:rPr>
        <w:t> </w:t>
      </w:r>
      <w:r>
        <w:rPr>
          <w:sz w:val="21"/>
        </w:rPr>
        <w:t>MOP</w:t>
      </w:r>
      <w:r>
        <w:rPr>
          <w:spacing w:val="40"/>
          <w:sz w:val="21"/>
        </w:rPr>
        <w:t> </w:t>
      </w:r>
      <w:r>
        <w:rPr>
          <w:sz w:val="21"/>
        </w:rPr>
        <w:t>1,000,000,000 (one billion patacas)</w:t>
      </w:r>
    </w:p>
    <w:p>
      <w:pPr>
        <w:pStyle w:val="BodyText"/>
        <w:spacing w:before="151"/>
        <w:rPr>
          <w:sz w:val="21"/>
        </w:rPr>
      </w:pPr>
    </w:p>
    <w:p>
      <w:pPr>
        <w:pStyle w:val="ListParagraph"/>
        <w:numPr>
          <w:ilvl w:val="0"/>
          <w:numId w:val="42"/>
        </w:numPr>
        <w:tabs>
          <w:tab w:pos="893" w:val="left" w:leader="none"/>
          <w:tab w:pos="910" w:val="left" w:leader="none"/>
        </w:tabs>
        <w:spacing w:line="213" w:lineRule="auto" w:before="1" w:after="0"/>
        <w:ind w:left="910" w:right="118" w:hanging="256"/>
        <w:jc w:val="left"/>
        <w:rPr>
          <w:sz w:val="21"/>
        </w:rPr>
      </w:pPr>
      <w:r>
        <w:rPr>
          <w:sz w:val="21"/>
        </w:rPr>
        <w:t>In</w:t>
      </w:r>
      <w:r>
        <w:rPr>
          <w:spacing w:val="18"/>
          <w:sz w:val="21"/>
        </w:rPr>
        <w:t> </w:t>
      </w:r>
      <w:r>
        <w:rPr>
          <w:sz w:val="21"/>
        </w:rPr>
        <w:t>case</w:t>
      </w:r>
      <w:r>
        <w:rPr>
          <w:spacing w:val="18"/>
          <w:sz w:val="21"/>
        </w:rPr>
        <w:t> </w:t>
      </w:r>
      <w:r>
        <w:rPr>
          <w:sz w:val="21"/>
        </w:rPr>
        <w:t>of</w:t>
      </w:r>
      <w:r>
        <w:rPr>
          <w:spacing w:val="18"/>
          <w:sz w:val="21"/>
        </w:rPr>
        <w:t> </w:t>
      </w:r>
      <w:r>
        <w:rPr>
          <w:sz w:val="21"/>
        </w:rPr>
        <w:t>encumbrance</w:t>
      </w:r>
      <w:r>
        <w:rPr>
          <w:spacing w:val="18"/>
          <w:sz w:val="21"/>
        </w:rPr>
        <w:t> </w:t>
      </w:r>
      <w:r>
        <w:rPr>
          <w:sz w:val="21"/>
        </w:rPr>
        <w:t>of</w:t>
      </w:r>
      <w:r>
        <w:rPr>
          <w:spacing w:val="18"/>
          <w:sz w:val="21"/>
        </w:rPr>
        <w:t> </w:t>
      </w:r>
      <w:r>
        <w:rPr>
          <w:sz w:val="21"/>
        </w:rPr>
        <w:t>the</w:t>
      </w:r>
      <w:r>
        <w:rPr>
          <w:spacing w:val="18"/>
          <w:sz w:val="21"/>
        </w:rPr>
        <w:t> </w:t>
      </w:r>
      <w:r>
        <w:rPr>
          <w:sz w:val="21"/>
        </w:rPr>
        <w:t>right</w:t>
      </w:r>
      <w:r>
        <w:rPr>
          <w:spacing w:val="18"/>
          <w:sz w:val="21"/>
        </w:rPr>
        <w:t> </w:t>
      </w:r>
      <w:r>
        <w:rPr>
          <w:sz w:val="21"/>
        </w:rPr>
        <w:t>to</w:t>
      </w:r>
      <w:r>
        <w:rPr>
          <w:spacing w:val="18"/>
          <w:sz w:val="21"/>
        </w:rPr>
        <w:t> </w:t>
      </w:r>
      <w:r>
        <w:rPr>
          <w:sz w:val="21"/>
        </w:rPr>
        <w:t>operate</w:t>
      </w:r>
      <w:r>
        <w:rPr>
          <w:spacing w:val="18"/>
          <w:sz w:val="21"/>
        </w:rPr>
        <w:t> </w:t>
      </w:r>
      <w:r>
        <w:rPr>
          <w:sz w:val="21"/>
        </w:rPr>
        <w:t>a</w:t>
      </w:r>
      <w:r>
        <w:rPr>
          <w:spacing w:val="18"/>
          <w:sz w:val="21"/>
        </w:rPr>
        <w:t> </w:t>
      </w:r>
      <w:r>
        <w:rPr>
          <w:sz w:val="21"/>
        </w:rPr>
        <w:t>casino</w:t>
      </w:r>
      <w:r>
        <w:rPr>
          <w:spacing w:val="18"/>
          <w:sz w:val="21"/>
        </w:rPr>
        <w:t> </w:t>
      </w:r>
      <w:r>
        <w:rPr>
          <w:sz w:val="21"/>
        </w:rPr>
        <w:t>or</w:t>
      </w:r>
      <w:r>
        <w:rPr>
          <w:spacing w:val="18"/>
          <w:sz w:val="21"/>
        </w:rPr>
        <w:t> </w:t>
      </w:r>
      <w:r>
        <w:rPr>
          <w:sz w:val="21"/>
        </w:rPr>
        <w:t>gaming</w:t>
      </w:r>
      <w:r>
        <w:rPr>
          <w:spacing w:val="18"/>
          <w:sz w:val="21"/>
        </w:rPr>
        <w:t> </w:t>
      </w:r>
      <w:r>
        <w:rPr>
          <w:sz w:val="21"/>
        </w:rPr>
        <w:t>area,</w:t>
      </w:r>
      <w:r>
        <w:rPr>
          <w:spacing w:val="18"/>
          <w:sz w:val="21"/>
        </w:rPr>
        <w:t> </w:t>
      </w:r>
      <w:r>
        <w:rPr>
          <w:sz w:val="21"/>
        </w:rPr>
        <w:t>in</w:t>
      </w:r>
      <w:r>
        <w:rPr>
          <w:spacing w:val="18"/>
          <w:sz w:val="21"/>
        </w:rPr>
        <w:t> </w:t>
      </w:r>
      <w:r>
        <w:rPr>
          <w:sz w:val="21"/>
        </w:rPr>
        <w:t>whole</w:t>
      </w:r>
      <w:r>
        <w:rPr>
          <w:spacing w:val="18"/>
          <w:sz w:val="21"/>
        </w:rPr>
        <w:t> </w:t>
      </w:r>
      <w:r>
        <w:rPr>
          <w:sz w:val="21"/>
        </w:rPr>
        <w:t>or</w:t>
      </w:r>
      <w:r>
        <w:rPr>
          <w:spacing w:val="18"/>
          <w:sz w:val="21"/>
        </w:rPr>
        <w:t> </w:t>
      </w:r>
      <w:r>
        <w:rPr>
          <w:sz w:val="21"/>
        </w:rPr>
        <w:t>in</w:t>
      </w:r>
      <w:r>
        <w:rPr>
          <w:spacing w:val="18"/>
          <w:sz w:val="21"/>
        </w:rPr>
        <w:t> </w:t>
      </w:r>
      <w:r>
        <w:rPr>
          <w:sz w:val="21"/>
        </w:rPr>
        <w:t>part:</w:t>
      </w:r>
      <w:r>
        <w:rPr>
          <w:spacing w:val="18"/>
          <w:sz w:val="21"/>
        </w:rPr>
        <w:t> </w:t>
      </w:r>
      <w:r>
        <w:rPr>
          <w:sz w:val="21"/>
        </w:rPr>
        <w:t>MOP 600,000,000</w:t>
      </w:r>
      <w:r>
        <w:rPr>
          <w:spacing w:val="18"/>
          <w:sz w:val="21"/>
        </w:rPr>
        <w:t> </w:t>
      </w:r>
      <w:r>
        <w:rPr>
          <w:sz w:val="21"/>
        </w:rPr>
        <w:t>(six</w:t>
      </w:r>
      <w:r>
        <w:rPr>
          <w:spacing w:val="18"/>
          <w:sz w:val="21"/>
        </w:rPr>
        <w:t> </w:t>
      </w:r>
      <w:r>
        <w:rPr>
          <w:sz w:val="21"/>
        </w:rPr>
        <w:t>hundred million patacas)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4"/>
        <w:rPr>
          <w:sz w:val="20"/>
        </w:rPr>
      </w:pPr>
      <w:r>
        <w:rPr/>
        <mc:AlternateContent>
          <mc:Choice Requires="wps">
            <w:drawing>
              <wp:anchor distT="0" distB="0" distL="0" distR="0" allowOverlap="1" layoutInCell="1" locked="0" behindDoc="1" simplePos="0" relativeHeight="487784960">
                <wp:simplePos x="0" y="0"/>
                <wp:positionH relativeFrom="page">
                  <wp:posOffset>231457</wp:posOffset>
                </wp:positionH>
                <wp:positionV relativeFrom="paragraph">
                  <wp:posOffset>195567</wp:posOffset>
                </wp:positionV>
                <wp:extent cx="7312659" cy="17145"/>
                <wp:effectExtent l="0" t="0" r="0" b="0"/>
                <wp:wrapTopAndBottom/>
                <wp:docPr id="956" name="Group 956"/>
                <wp:cNvGraphicFramePr>
                  <a:graphicFrameLocks/>
                </wp:cNvGraphicFramePr>
                <a:graphic>
                  <a:graphicData uri="http://schemas.microsoft.com/office/word/2010/wordprocessingGroup">
                    <wpg:wgp>
                      <wpg:cNvPr id="956" name="Group 956"/>
                      <wpg:cNvGrpSpPr/>
                      <wpg:grpSpPr>
                        <a:xfrm>
                          <a:off x="0" y="0"/>
                          <a:ext cx="7312659" cy="17145"/>
                          <a:chExt cx="7312659" cy="17145"/>
                        </a:xfrm>
                      </wpg:grpSpPr>
                      <wps:wsp>
                        <wps:cNvPr id="957" name="Graphic 95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58" name="Graphic 958"/>
                        <wps:cNvSpPr/>
                        <wps:spPr>
                          <a:xfrm>
                            <a:off x="-12" y="-2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59" name="Graphic 95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399023pt;width:575.8pt;height:1.35pt;mso-position-horizontal-relative:page;mso-position-vertical-relative:paragraph;z-index:-15531520;mso-wrap-distance-left:0;mso-wrap-distance-right:0" id="docshapegroup954" coordorigin="364,308" coordsize="11516,27">
                <v:rect style="position:absolute;left:364;top:307;width:11516;height:14" id="docshape955" filled="true" fillcolor="#999999" stroked="false">
                  <v:fill type="solid"/>
                </v:rect>
                <v:shape style="position:absolute;left:364;top:307;width:11516;height:27" id="docshape956" coordorigin="364,308" coordsize="11516,27" path="m11880,308l11866,321,364,321,364,335,11866,335,11880,335,11880,321,11880,308xe" filled="true" fillcolor="#ededed" stroked="false">
                  <v:path arrowok="t"/>
                  <v:fill type="solid"/>
                </v:shape>
                <v:shape style="position:absolute;left:364;top:307;width:14;height:27" id="docshape957" coordorigin="364,308" coordsize="14,27" path="m364,335l364,308,378,308,378,321,364,335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pStyle w:val="ListParagraph"/>
        <w:numPr>
          <w:ilvl w:val="0"/>
          <w:numId w:val="42"/>
        </w:numPr>
        <w:tabs>
          <w:tab w:pos="898" w:val="left" w:leader="none"/>
          <w:tab w:pos="910" w:val="left" w:leader="none"/>
        </w:tabs>
        <w:spacing w:line="213" w:lineRule="auto" w:before="90" w:after="0"/>
        <w:ind w:left="910" w:right="118" w:hanging="256"/>
        <w:jc w:val="both"/>
        <w:rPr>
          <w:sz w:val="21"/>
        </w:rPr>
      </w:pPr>
      <w:r>
        <w:rPr>
          <w:sz w:val="21"/>
        </w:rPr>
        <w:t>In case of transferring or assigning, in part, the legal rights and obligations or the contractual position in the concession of casino gambling to a third party, or performing any other legal transaction for the same purpose: MOP 600,000,000 (six hundred million patacas).</w:t>
      </w:r>
    </w:p>
    <w:p>
      <w:pPr>
        <w:pStyle w:val="BodyText"/>
        <w:spacing w:before="132"/>
        <w:rPr>
          <w:sz w:val="21"/>
        </w:rPr>
      </w:pPr>
    </w:p>
    <w:p>
      <w:pPr>
        <w:spacing w:before="0"/>
        <w:ind w:left="24" w:right="0" w:firstLine="0"/>
        <w:jc w:val="center"/>
        <w:rPr>
          <w:b/>
          <w:sz w:val="21"/>
        </w:rPr>
      </w:pPr>
      <w:r>
        <w:rPr>
          <w:b/>
          <w:sz w:val="21"/>
        </w:rPr>
        <w:t>Clause</w:t>
      </w:r>
      <w:r>
        <w:rPr>
          <w:b/>
          <w:spacing w:val="13"/>
          <w:sz w:val="21"/>
        </w:rPr>
        <w:t> </w:t>
      </w:r>
      <w:r>
        <w:rPr>
          <w:b/>
          <w:spacing w:val="-5"/>
          <w:sz w:val="21"/>
        </w:rPr>
        <w:t>79</w:t>
      </w:r>
    </w:p>
    <w:p>
      <w:pPr>
        <w:spacing w:before="69"/>
        <w:ind w:left="24" w:right="0" w:firstLine="0"/>
        <w:jc w:val="center"/>
        <w:rPr>
          <w:b/>
          <w:sz w:val="21"/>
        </w:rPr>
      </w:pPr>
      <w:r>
        <w:rPr>
          <w:b/>
          <w:sz w:val="21"/>
        </w:rPr>
        <w:t>Prohibition</w:t>
      </w:r>
      <w:r>
        <w:rPr>
          <w:b/>
          <w:spacing w:val="15"/>
          <w:sz w:val="21"/>
        </w:rPr>
        <w:t> </w:t>
      </w:r>
      <w:r>
        <w:rPr>
          <w:b/>
          <w:sz w:val="21"/>
        </w:rPr>
        <w:t>on</w:t>
      </w:r>
      <w:r>
        <w:rPr>
          <w:b/>
          <w:spacing w:val="16"/>
          <w:sz w:val="21"/>
        </w:rPr>
        <w:t> </w:t>
      </w:r>
      <w:r>
        <w:rPr>
          <w:b/>
          <w:sz w:val="21"/>
        </w:rPr>
        <w:t>granting</w:t>
      </w:r>
      <w:r>
        <w:rPr>
          <w:b/>
          <w:spacing w:val="16"/>
          <w:sz w:val="21"/>
        </w:rPr>
        <w:t> </w:t>
      </w:r>
      <w:r>
        <w:rPr>
          <w:b/>
          <w:sz w:val="21"/>
        </w:rPr>
        <w:t>sub-</w:t>
      </w:r>
      <w:r>
        <w:rPr>
          <w:b/>
          <w:spacing w:val="-2"/>
          <w:sz w:val="21"/>
        </w:rPr>
        <w:t>concessions</w:t>
      </w:r>
    </w:p>
    <w:p>
      <w:pPr>
        <w:pStyle w:val="BodyText"/>
        <w:spacing w:before="146"/>
        <w:rPr>
          <w:b/>
          <w:sz w:val="21"/>
        </w:rPr>
      </w:pPr>
    </w:p>
    <w:p>
      <w:pPr>
        <w:spacing w:line="213" w:lineRule="auto" w:before="0"/>
        <w:ind w:left="144" w:right="119" w:firstLine="0"/>
        <w:jc w:val="both"/>
        <w:rPr>
          <w:sz w:val="21"/>
        </w:rPr>
      </w:pPr>
      <w:r>
        <w:rPr>
          <w:i/>
          <w:sz w:val="21"/>
        </w:rPr>
        <w:t>One</w:t>
      </w:r>
      <w:r>
        <w:rPr>
          <w:sz w:val="21"/>
        </w:rPr>
        <w:t>.</w:t>
      </w:r>
      <w:r>
        <w:rPr>
          <w:spacing w:val="39"/>
          <w:sz w:val="21"/>
        </w:rPr>
        <w:t> </w:t>
      </w:r>
      <w:r>
        <w:rPr>
          <w:sz w:val="21"/>
        </w:rPr>
        <w:t>The</w:t>
      </w:r>
      <w:r>
        <w:rPr>
          <w:spacing w:val="40"/>
          <w:sz w:val="21"/>
        </w:rPr>
        <w:t> </w:t>
      </w:r>
      <w:r>
        <w:rPr>
          <w:sz w:val="21"/>
        </w:rPr>
        <w:t>Concessionaire</w:t>
      </w:r>
      <w:r>
        <w:rPr>
          <w:spacing w:val="40"/>
          <w:sz w:val="21"/>
        </w:rPr>
        <w:t> </w:t>
      </w:r>
      <w:r>
        <w:rPr>
          <w:sz w:val="21"/>
        </w:rPr>
        <w:t>may</w:t>
      </w:r>
      <w:r>
        <w:rPr>
          <w:spacing w:val="40"/>
          <w:sz w:val="21"/>
        </w:rPr>
        <w:t> </w:t>
      </w:r>
      <w:r>
        <w:rPr>
          <w:sz w:val="21"/>
        </w:rPr>
        <w:t>not</w:t>
      </w:r>
      <w:r>
        <w:rPr>
          <w:spacing w:val="40"/>
          <w:sz w:val="21"/>
        </w:rPr>
        <w:t> </w:t>
      </w:r>
      <w:r>
        <w:rPr>
          <w:sz w:val="21"/>
        </w:rPr>
        <w:t>grant</w:t>
      </w:r>
      <w:r>
        <w:rPr>
          <w:spacing w:val="40"/>
          <w:sz w:val="21"/>
        </w:rPr>
        <w:t> </w:t>
      </w:r>
      <w:r>
        <w:rPr>
          <w:sz w:val="21"/>
        </w:rPr>
        <w:t>sub-concessions</w:t>
      </w:r>
      <w:r>
        <w:rPr>
          <w:spacing w:val="40"/>
          <w:sz w:val="21"/>
        </w:rPr>
        <w:t> </w:t>
      </w:r>
      <w:r>
        <w:rPr>
          <w:sz w:val="21"/>
        </w:rPr>
        <w:t>on</w:t>
      </w:r>
      <w:r>
        <w:rPr>
          <w:spacing w:val="40"/>
          <w:sz w:val="21"/>
        </w:rPr>
        <w:t> </w:t>
      </w:r>
      <w:r>
        <w:rPr>
          <w:sz w:val="21"/>
        </w:rPr>
        <w:t>its</w:t>
      </w:r>
      <w:r>
        <w:rPr>
          <w:spacing w:val="40"/>
          <w:sz w:val="21"/>
        </w:rPr>
        <w:t> </w:t>
      </w:r>
      <w:r>
        <w:rPr>
          <w:sz w:val="21"/>
        </w:rPr>
        <w:t>concession,</w:t>
      </w:r>
      <w:r>
        <w:rPr>
          <w:spacing w:val="40"/>
          <w:sz w:val="21"/>
        </w:rPr>
        <w:t> </w:t>
      </w:r>
      <w:r>
        <w:rPr>
          <w:sz w:val="21"/>
        </w:rPr>
        <w:t>in</w:t>
      </w:r>
      <w:r>
        <w:rPr>
          <w:spacing w:val="40"/>
          <w:sz w:val="21"/>
        </w:rPr>
        <w:t> </w:t>
      </w:r>
      <w:r>
        <w:rPr>
          <w:sz w:val="21"/>
        </w:rPr>
        <w:t>whole</w:t>
      </w:r>
      <w:r>
        <w:rPr>
          <w:spacing w:val="40"/>
          <w:sz w:val="21"/>
        </w:rPr>
        <w:t> </w:t>
      </w:r>
      <w:r>
        <w:rPr>
          <w:sz w:val="21"/>
        </w:rPr>
        <w:t>or</w:t>
      </w:r>
      <w:r>
        <w:rPr>
          <w:spacing w:val="40"/>
          <w:sz w:val="21"/>
        </w:rPr>
        <w:t> </w:t>
      </w:r>
      <w:r>
        <w:rPr>
          <w:sz w:val="21"/>
        </w:rPr>
        <w:t>in</w:t>
      </w:r>
      <w:r>
        <w:rPr>
          <w:spacing w:val="40"/>
          <w:sz w:val="21"/>
        </w:rPr>
        <w:t> </w:t>
      </w:r>
      <w:r>
        <w:rPr>
          <w:sz w:val="21"/>
        </w:rPr>
        <w:t>part,</w:t>
      </w:r>
      <w:r>
        <w:rPr>
          <w:spacing w:val="40"/>
          <w:sz w:val="21"/>
        </w:rPr>
        <w:t> </w:t>
      </w:r>
      <w:r>
        <w:rPr>
          <w:sz w:val="21"/>
        </w:rPr>
        <w:t>or</w:t>
      </w:r>
      <w:r>
        <w:rPr>
          <w:spacing w:val="40"/>
          <w:sz w:val="21"/>
        </w:rPr>
        <w:t> </w:t>
      </w:r>
      <w:r>
        <w:rPr>
          <w:sz w:val="21"/>
        </w:rPr>
        <w:t>undertake</w:t>
      </w:r>
      <w:r>
        <w:rPr>
          <w:spacing w:val="40"/>
          <w:sz w:val="21"/>
        </w:rPr>
        <w:t> </w:t>
      </w:r>
      <w:r>
        <w:rPr>
          <w:sz w:val="21"/>
        </w:rPr>
        <w:t>any</w:t>
      </w:r>
      <w:r>
        <w:rPr>
          <w:spacing w:val="40"/>
          <w:sz w:val="21"/>
        </w:rPr>
        <w:t> </w:t>
      </w:r>
      <w:r>
        <w:rPr>
          <w:sz w:val="21"/>
        </w:rPr>
        <w:t>legal</w:t>
      </w:r>
      <w:r>
        <w:rPr>
          <w:spacing w:val="40"/>
          <w:sz w:val="21"/>
        </w:rPr>
        <w:t> </w:t>
      </w:r>
      <w:r>
        <w:rPr>
          <w:sz w:val="21"/>
        </w:rPr>
        <w:t>business aimed at achieving the same result.</w:t>
      </w:r>
    </w:p>
    <w:p>
      <w:pPr>
        <w:pStyle w:val="BodyText"/>
        <w:spacing w:before="152"/>
        <w:rPr>
          <w:sz w:val="21"/>
        </w:rPr>
      </w:pPr>
    </w:p>
    <w:p>
      <w:pPr>
        <w:spacing w:line="213" w:lineRule="auto" w:before="0"/>
        <w:ind w:left="144" w:right="118" w:firstLine="0"/>
        <w:jc w:val="both"/>
        <w:rPr>
          <w:sz w:val="21"/>
        </w:rPr>
      </w:pPr>
      <w:r>
        <w:rPr>
          <w:i/>
          <w:sz w:val="21"/>
        </w:rPr>
        <w:t>Two</w:t>
      </w:r>
      <w:r>
        <w:rPr>
          <w:sz w:val="21"/>
        </w:rPr>
        <w:t>. Without prejudice to other applicable sanctions or penalties, an act committed in violation of the provisions of the </w:t>
      </w:r>
      <w:r>
        <w:rPr>
          <w:sz w:val="21"/>
        </w:rPr>
        <w:t>previous paragraph shall result in the payment of the following penalties to the Macau SAR:</w:t>
      </w:r>
    </w:p>
    <w:p>
      <w:pPr>
        <w:pStyle w:val="BodyText"/>
        <w:spacing w:before="131"/>
        <w:rPr>
          <w:sz w:val="21"/>
        </w:rPr>
      </w:pPr>
    </w:p>
    <w:p>
      <w:pPr>
        <w:pStyle w:val="ListParagraph"/>
        <w:numPr>
          <w:ilvl w:val="0"/>
          <w:numId w:val="43"/>
        </w:numPr>
        <w:tabs>
          <w:tab w:pos="775" w:val="left" w:leader="none"/>
        </w:tabs>
        <w:spacing w:line="240" w:lineRule="auto" w:before="0" w:after="0"/>
        <w:ind w:left="775" w:right="0" w:hanging="121"/>
        <w:jc w:val="left"/>
        <w:rPr>
          <w:sz w:val="21"/>
        </w:rPr>
      </w:pPr>
      <w:r>
        <w:rPr>
          <w:sz w:val="21"/>
        </w:rPr>
        <w:t>Where</w:t>
      </w:r>
      <w:r>
        <w:rPr>
          <w:spacing w:val="12"/>
          <w:sz w:val="21"/>
        </w:rPr>
        <w:t> </w:t>
      </w:r>
      <w:r>
        <w:rPr>
          <w:sz w:val="21"/>
        </w:rPr>
        <w:t>a</w:t>
      </w:r>
      <w:r>
        <w:rPr>
          <w:spacing w:val="12"/>
          <w:sz w:val="21"/>
        </w:rPr>
        <w:t> </w:t>
      </w:r>
      <w:r>
        <w:rPr>
          <w:sz w:val="21"/>
        </w:rPr>
        <w:t>sub-concession</w:t>
      </w:r>
      <w:r>
        <w:rPr>
          <w:spacing w:val="12"/>
          <w:sz w:val="21"/>
        </w:rPr>
        <w:t> </w:t>
      </w:r>
      <w:r>
        <w:rPr>
          <w:sz w:val="21"/>
        </w:rPr>
        <w:t>is</w:t>
      </w:r>
      <w:r>
        <w:rPr>
          <w:spacing w:val="13"/>
          <w:sz w:val="21"/>
        </w:rPr>
        <w:t> </w:t>
      </w:r>
      <w:r>
        <w:rPr>
          <w:sz w:val="21"/>
        </w:rPr>
        <w:t>granted</w:t>
      </w:r>
      <w:r>
        <w:rPr>
          <w:spacing w:val="12"/>
          <w:sz w:val="21"/>
        </w:rPr>
        <w:t> </w:t>
      </w:r>
      <w:r>
        <w:rPr>
          <w:sz w:val="21"/>
        </w:rPr>
        <w:t>on</w:t>
      </w:r>
      <w:r>
        <w:rPr>
          <w:spacing w:val="12"/>
          <w:sz w:val="21"/>
        </w:rPr>
        <w:t> </w:t>
      </w:r>
      <w:r>
        <w:rPr>
          <w:sz w:val="21"/>
        </w:rPr>
        <w:t>the</w:t>
      </w:r>
      <w:r>
        <w:rPr>
          <w:spacing w:val="12"/>
          <w:sz w:val="21"/>
        </w:rPr>
        <w:t> </w:t>
      </w:r>
      <w:r>
        <w:rPr>
          <w:sz w:val="21"/>
        </w:rPr>
        <w:t>whole</w:t>
      </w:r>
      <w:r>
        <w:rPr>
          <w:spacing w:val="13"/>
          <w:sz w:val="21"/>
        </w:rPr>
        <w:t> </w:t>
      </w:r>
      <w:r>
        <w:rPr>
          <w:sz w:val="21"/>
        </w:rPr>
        <w:t>concession:</w:t>
      </w:r>
      <w:r>
        <w:rPr>
          <w:spacing w:val="12"/>
          <w:sz w:val="21"/>
        </w:rPr>
        <w:t> </w:t>
      </w:r>
      <w:r>
        <w:rPr>
          <w:sz w:val="21"/>
        </w:rPr>
        <w:t>MOP</w:t>
      </w:r>
      <w:r>
        <w:rPr>
          <w:spacing w:val="3"/>
          <w:sz w:val="21"/>
        </w:rPr>
        <w:t> </w:t>
      </w:r>
      <w:r>
        <w:rPr>
          <w:sz w:val="21"/>
        </w:rPr>
        <w:t>1,000,000,000</w:t>
      </w:r>
      <w:r>
        <w:rPr>
          <w:spacing w:val="12"/>
          <w:sz w:val="21"/>
        </w:rPr>
        <w:t> </w:t>
      </w:r>
      <w:r>
        <w:rPr>
          <w:sz w:val="21"/>
        </w:rPr>
        <w:t>(one</w:t>
      </w:r>
      <w:r>
        <w:rPr>
          <w:spacing w:val="12"/>
          <w:sz w:val="21"/>
        </w:rPr>
        <w:t> </w:t>
      </w:r>
      <w:r>
        <w:rPr>
          <w:sz w:val="21"/>
        </w:rPr>
        <w:t>billion</w:t>
      </w:r>
      <w:r>
        <w:rPr>
          <w:spacing w:val="12"/>
          <w:sz w:val="21"/>
        </w:rPr>
        <w:t> </w:t>
      </w:r>
      <w:r>
        <w:rPr>
          <w:spacing w:val="-2"/>
          <w:sz w:val="21"/>
        </w:rPr>
        <w:t>patacas);</w:t>
      </w:r>
    </w:p>
    <w:p>
      <w:pPr>
        <w:pStyle w:val="BodyText"/>
        <w:spacing w:before="138"/>
        <w:rPr>
          <w:sz w:val="21"/>
        </w:rPr>
      </w:pPr>
    </w:p>
    <w:p>
      <w:pPr>
        <w:pStyle w:val="ListParagraph"/>
        <w:numPr>
          <w:ilvl w:val="0"/>
          <w:numId w:val="43"/>
        </w:numPr>
        <w:tabs>
          <w:tab w:pos="775" w:val="left" w:leader="none"/>
        </w:tabs>
        <w:spacing w:line="240" w:lineRule="auto" w:before="0" w:after="0"/>
        <w:ind w:left="775" w:right="0" w:hanging="121"/>
        <w:jc w:val="left"/>
        <w:rPr>
          <w:sz w:val="21"/>
        </w:rPr>
      </w:pPr>
      <w:r>
        <w:rPr>
          <w:sz w:val="21"/>
        </w:rPr>
        <w:t>Where</w:t>
      </w:r>
      <w:r>
        <w:rPr>
          <w:spacing w:val="11"/>
          <w:sz w:val="21"/>
        </w:rPr>
        <w:t> </w:t>
      </w:r>
      <w:r>
        <w:rPr>
          <w:sz w:val="21"/>
        </w:rPr>
        <w:t>a</w:t>
      </w:r>
      <w:r>
        <w:rPr>
          <w:spacing w:val="11"/>
          <w:sz w:val="21"/>
        </w:rPr>
        <w:t> </w:t>
      </w:r>
      <w:r>
        <w:rPr>
          <w:sz w:val="21"/>
        </w:rPr>
        <w:t>sub-concession</w:t>
      </w:r>
      <w:r>
        <w:rPr>
          <w:spacing w:val="12"/>
          <w:sz w:val="21"/>
        </w:rPr>
        <w:t> </w:t>
      </w:r>
      <w:r>
        <w:rPr>
          <w:sz w:val="21"/>
        </w:rPr>
        <w:t>is</w:t>
      </w:r>
      <w:r>
        <w:rPr>
          <w:spacing w:val="11"/>
          <w:sz w:val="21"/>
        </w:rPr>
        <w:t> </w:t>
      </w:r>
      <w:r>
        <w:rPr>
          <w:sz w:val="21"/>
        </w:rPr>
        <w:t>granted</w:t>
      </w:r>
      <w:r>
        <w:rPr>
          <w:spacing w:val="12"/>
          <w:sz w:val="21"/>
        </w:rPr>
        <w:t> </w:t>
      </w:r>
      <w:r>
        <w:rPr>
          <w:sz w:val="21"/>
        </w:rPr>
        <w:t>on</w:t>
      </w:r>
      <w:r>
        <w:rPr>
          <w:spacing w:val="11"/>
          <w:sz w:val="21"/>
        </w:rPr>
        <w:t> </w:t>
      </w:r>
      <w:r>
        <w:rPr>
          <w:sz w:val="21"/>
        </w:rPr>
        <w:t>part</w:t>
      </w:r>
      <w:r>
        <w:rPr>
          <w:spacing w:val="12"/>
          <w:sz w:val="21"/>
        </w:rPr>
        <w:t> </w:t>
      </w:r>
      <w:r>
        <w:rPr>
          <w:sz w:val="21"/>
        </w:rPr>
        <w:t>of</w:t>
      </w:r>
      <w:r>
        <w:rPr>
          <w:spacing w:val="11"/>
          <w:sz w:val="21"/>
        </w:rPr>
        <w:t> </w:t>
      </w:r>
      <w:r>
        <w:rPr>
          <w:sz w:val="21"/>
        </w:rPr>
        <w:t>the</w:t>
      </w:r>
      <w:r>
        <w:rPr>
          <w:spacing w:val="12"/>
          <w:sz w:val="21"/>
        </w:rPr>
        <w:t> </w:t>
      </w:r>
      <w:r>
        <w:rPr>
          <w:sz w:val="21"/>
        </w:rPr>
        <w:t>concession:</w:t>
      </w:r>
      <w:r>
        <w:rPr>
          <w:spacing w:val="11"/>
          <w:sz w:val="21"/>
        </w:rPr>
        <w:t> </w:t>
      </w:r>
      <w:r>
        <w:rPr>
          <w:sz w:val="21"/>
        </w:rPr>
        <w:t>MOP</w:t>
      </w:r>
      <w:r>
        <w:rPr>
          <w:spacing w:val="2"/>
          <w:sz w:val="21"/>
        </w:rPr>
        <w:t> </w:t>
      </w:r>
      <w:r>
        <w:rPr>
          <w:sz w:val="21"/>
        </w:rPr>
        <w:t>600,000,000</w:t>
      </w:r>
      <w:r>
        <w:rPr>
          <w:spacing w:val="11"/>
          <w:sz w:val="21"/>
        </w:rPr>
        <w:t> </w:t>
      </w:r>
      <w:r>
        <w:rPr>
          <w:sz w:val="21"/>
        </w:rPr>
        <w:t>(six</w:t>
      </w:r>
      <w:r>
        <w:rPr>
          <w:spacing w:val="12"/>
          <w:sz w:val="21"/>
        </w:rPr>
        <w:t> </w:t>
      </w:r>
      <w:r>
        <w:rPr>
          <w:sz w:val="21"/>
        </w:rPr>
        <w:t>hundred</w:t>
      </w:r>
      <w:r>
        <w:rPr>
          <w:spacing w:val="11"/>
          <w:sz w:val="21"/>
        </w:rPr>
        <w:t> </w:t>
      </w:r>
      <w:r>
        <w:rPr>
          <w:sz w:val="21"/>
        </w:rPr>
        <w:t>million</w:t>
      </w:r>
      <w:r>
        <w:rPr>
          <w:spacing w:val="12"/>
          <w:sz w:val="21"/>
        </w:rPr>
        <w:t> </w:t>
      </w:r>
      <w:r>
        <w:rPr>
          <w:spacing w:val="-2"/>
          <w:sz w:val="21"/>
        </w:rPr>
        <w:t>patacas).</w:t>
      </w:r>
    </w:p>
    <w:p>
      <w:pPr>
        <w:pStyle w:val="BodyText"/>
        <w:spacing w:before="114"/>
        <w:rPr>
          <w:sz w:val="21"/>
        </w:rPr>
      </w:pPr>
    </w:p>
    <w:p>
      <w:pPr>
        <w:pStyle w:val="Heading1"/>
      </w:pPr>
      <w:r>
        <w:rPr/>
        <w:t>CHAPTER </w:t>
      </w:r>
      <w:r>
        <w:rPr>
          <w:spacing w:val="-2"/>
        </w:rPr>
        <w:t>XVIII</w:t>
      </w:r>
    </w:p>
    <w:p>
      <w:pPr>
        <w:pStyle w:val="Heading2"/>
      </w:pPr>
      <w:r>
        <w:rPr/>
        <w:t>Non-compliance with the </w:t>
      </w:r>
      <w:r>
        <w:rPr>
          <w:spacing w:val="-2"/>
        </w:rPr>
        <w:t>contract</w:t>
      </w:r>
    </w:p>
    <w:p>
      <w:pPr>
        <w:pStyle w:val="BodyText"/>
        <w:spacing w:before="83"/>
        <w:rPr>
          <w:b/>
          <w:sz w:val="25"/>
        </w:rPr>
      </w:pPr>
    </w:p>
    <w:p>
      <w:pPr>
        <w:spacing w:before="1"/>
        <w:ind w:left="24" w:right="0" w:firstLine="0"/>
        <w:jc w:val="center"/>
        <w:rPr>
          <w:b/>
          <w:sz w:val="21"/>
        </w:rPr>
      </w:pPr>
      <w:r>
        <w:rPr>
          <w:b/>
          <w:sz w:val="21"/>
        </w:rPr>
        <w:t>Clause</w:t>
      </w:r>
      <w:r>
        <w:rPr>
          <w:b/>
          <w:spacing w:val="13"/>
          <w:sz w:val="21"/>
        </w:rPr>
        <w:t> </w:t>
      </w:r>
      <w:r>
        <w:rPr>
          <w:b/>
          <w:spacing w:val="-5"/>
          <w:sz w:val="21"/>
        </w:rPr>
        <w:t>80</w:t>
      </w:r>
    </w:p>
    <w:p>
      <w:pPr>
        <w:spacing w:before="69"/>
        <w:ind w:left="24" w:right="0" w:firstLine="0"/>
        <w:jc w:val="center"/>
        <w:rPr>
          <w:b/>
          <w:sz w:val="21"/>
        </w:rPr>
      </w:pPr>
      <w:r>
        <w:rPr>
          <w:b/>
          <w:sz w:val="21"/>
        </w:rPr>
        <w:t>Breach</w:t>
      </w:r>
      <w:r>
        <w:rPr>
          <w:b/>
          <w:spacing w:val="7"/>
          <w:sz w:val="21"/>
        </w:rPr>
        <w:t> </w:t>
      </w:r>
      <w:r>
        <w:rPr>
          <w:b/>
          <w:sz w:val="21"/>
        </w:rPr>
        <w:t>of</w:t>
      </w:r>
      <w:r>
        <w:rPr>
          <w:b/>
          <w:spacing w:val="7"/>
          <w:sz w:val="21"/>
        </w:rPr>
        <w:t> </w:t>
      </w:r>
      <w:r>
        <w:rPr>
          <w:b/>
          <w:spacing w:val="-2"/>
          <w:sz w:val="21"/>
        </w:rPr>
        <w:t>contract</w:t>
      </w:r>
    </w:p>
    <w:p>
      <w:pPr>
        <w:pStyle w:val="BodyText"/>
        <w:spacing w:before="145"/>
        <w:rPr>
          <w:b/>
          <w:sz w:val="21"/>
        </w:rPr>
      </w:pPr>
    </w:p>
    <w:p>
      <w:pPr>
        <w:spacing w:line="213" w:lineRule="auto" w:before="1"/>
        <w:ind w:left="144" w:right="118" w:firstLine="0"/>
        <w:jc w:val="both"/>
        <w:rPr>
          <w:sz w:val="21"/>
        </w:rPr>
      </w:pPr>
      <w:r>
        <w:rPr>
          <w:i/>
          <w:sz w:val="21"/>
        </w:rPr>
        <w:t>One</w:t>
      </w:r>
      <w:r>
        <w:rPr>
          <w:sz w:val="21"/>
        </w:rPr>
        <w:t>.</w:t>
      </w:r>
      <w:r>
        <w:rPr>
          <w:spacing w:val="37"/>
          <w:sz w:val="21"/>
        </w:rPr>
        <w:t> </w:t>
      </w:r>
      <w:r>
        <w:rPr>
          <w:sz w:val="21"/>
        </w:rPr>
        <w:t>Without</w:t>
      </w:r>
      <w:r>
        <w:rPr>
          <w:spacing w:val="40"/>
          <w:sz w:val="21"/>
        </w:rPr>
        <w:t> </w:t>
      </w:r>
      <w:r>
        <w:rPr>
          <w:sz w:val="21"/>
        </w:rPr>
        <w:t>prejudice</w:t>
      </w:r>
      <w:r>
        <w:rPr>
          <w:spacing w:val="40"/>
          <w:sz w:val="21"/>
        </w:rPr>
        <w:t> </w:t>
      </w:r>
      <w:r>
        <w:rPr>
          <w:sz w:val="21"/>
        </w:rPr>
        <w:t>to</w:t>
      </w:r>
      <w:r>
        <w:rPr>
          <w:spacing w:val="40"/>
          <w:sz w:val="21"/>
        </w:rPr>
        <w:t> </w:t>
      </w:r>
      <w:r>
        <w:rPr>
          <w:sz w:val="21"/>
        </w:rPr>
        <w:t>Clauses</w:t>
      </w:r>
      <w:r>
        <w:rPr>
          <w:spacing w:val="40"/>
          <w:sz w:val="21"/>
        </w:rPr>
        <w:t> </w:t>
      </w:r>
      <w:r>
        <w:rPr>
          <w:sz w:val="21"/>
        </w:rPr>
        <w:t>81</w:t>
      </w:r>
      <w:r>
        <w:rPr>
          <w:spacing w:val="40"/>
          <w:sz w:val="21"/>
        </w:rPr>
        <w:t> </w:t>
      </w:r>
      <w:r>
        <w:rPr>
          <w:sz w:val="21"/>
        </w:rPr>
        <w:t>and</w:t>
      </w:r>
      <w:r>
        <w:rPr>
          <w:spacing w:val="40"/>
          <w:sz w:val="21"/>
        </w:rPr>
        <w:t> </w:t>
      </w:r>
      <w:r>
        <w:rPr>
          <w:sz w:val="21"/>
        </w:rPr>
        <w:t>82,</w:t>
      </w:r>
      <w:r>
        <w:rPr>
          <w:spacing w:val="40"/>
          <w:sz w:val="21"/>
        </w:rPr>
        <w:t> </w:t>
      </w:r>
      <w:r>
        <w:rPr>
          <w:sz w:val="21"/>
        </w:rPr>
        <w:t>failure</w:t>
      </w:r>
      <w:r>
        <w:rPr>
          <w:spacing w:val="40"/>
          <w:sz w:val="21"/>
        </w:rPr>
        <w:t> </w:t>
      </w:r>
      <w:r>
        <w:rPr>
          <w:sz w:val="21"/>
        </w:rPr>
        <w:t>by</w:t>
      </w:r>
      <w:r>
        <w:rPr>
          <w:spacing w:val="40"/>
          <w:sz w:val="21"/>
        </w:rPr>
        <w:t> </w:t>
      </w:r>
      <w:r>
        <w:rPr>
          <w:sz w:val="21"/>
        </w:rPr>
        <w:t>the</w:t>
      </w:r>
      <w:r>
        <w:rPr>
          <w:spacing w:val="40"/>
          <w:sz w:val="21"/>
        </w:rPr>
        <w:t> </w:t>
      </w:r>
      <w:r>
        <w:rPr>
          <w:sz w:val="21"/>
        </w:rPr>
        <w:t>Concessionaire,</w:t>
      </w:r>
      <w:r>
        <w:rPr>
          <w:spacing w:val="40"/>
          <w:sz w:val="21"/>
        </w:rPr>
        <w:t> </w:t>
      </w:r>
      <w:r>
        <w:rPr>
          <w:sz w:val="21"/>
        </w:rPr>
        <w:t>for</w:t>
      </w:r>
      <w:r>
        <w:rPr>
          <w:spacing w:val="40"/>
          <w:sz w:val="21"/>
        </w:rPr>
        <w:t> </w:t>
      </w:r>
      <w:r>
        <w:rPr>
          <w:sz w:val="21"/>
        </w:rPr>
        <w:t>reasons</w:t>
      </w:r>
      <w:r>
        <w:rPr>
          <w:spacing w:val="40"/>
          <w:sz w:val="21"/>
        </w:rPr>
        <w:t> </w:t>
      </w:r>
      <w:r>
        <w:rPr>
          <w:sz w:val="21"/>
        </w:rPr>
        <w:t>attributable</w:t>
      </w:r>
      <w:r>
        <w:rPr>
          <w:spacing w:val="40"/>
          <w:sz w:val="21"/>
        </w:rPr>
        <w:t> </w:t>
      </w:r>
      <w:r>
        <w:rPr>
          <w:sz w:val="21"/>
        </w:rPr>
        <w:t>thereto,</w:t>
      </w:r>
      <w:r>
        <w:rPr>
          <w:spacing w:val="40"/>
          <w:sz w:val="21"/>
        </w:rPr>
        <w:t> </w:t>
      </w:r>
      <w:r>
        <w:rPr>
          <w:sz w:val="21"/>
        </w:rPr>
        <w:t>to</w:t>
      </w:r>
      <w:r>
        <w:rPr>
          <w:spacing w:val="40"/>
          <w:sz w:val="21"/>
        </w:rPr>
        <w:t> </w:t>
      </w:r>
      <w:r>
        <w:rPr>
          <w:sz w:val="21"/>
        </w:rPr>
        <w:t>comply</w:t>
      </w:r>
      <w:r>
        <w:rPr>
          <w:spacing w:val="40"/>
          <w:sz w:val="21"/>
        </w:rPr>
        <w:t> </w:t>
      </w:r>
      <w:r>
        <w:rPr>
          <w:sz w:val="21"/>
        </w:rPr>
        <w:t>with</w:t>
      </w:r>
      <w:r>
        <w:rPr>
          <w:spacing w:val="40"/>
          <w:sz w:val="21"/>
        </w:rPr>
        <w:t> </w:t>
      </w:r>
      <w:r>
        <w:rPr>
          <w:sz w:val="21"/>
        </w:rPr>
        <w:t>the duties</w:t>
      </w:r>
      <w:r>
        <w:rPr>
          <w:spacing w:val="25"/>
          <w:sz w:val="21"/>
        </w:rPr>
        <w:t> </w:t>
      </w:r>
      <w:r>
        <w:rPr>
          <w:sz w:val="21"/>
        </w:rPr>
        <w:t>and</w:t>
      </w:r>
      <w:r>
        <w:rPr>
          <w:spacing w:val="25"/>
          <w:sz w:val="21"/>
        </w:rPr>
        <w:t> </w:t>
      </w:r>
      <w:r>
        <w:rPr>
          <w:sz w:val="21"/>
        </w:rPr>
        <w:t>obligations</w:t>
      </w:r>
      <w:r>
        <w:rPr>
          <w:spacing w:val="25"/>
          <w:sz w:val="21"/>
        </w:rPr>
        <w:t> </w:t>
      </w:r>
      <w:r>
        <w:rPr>
          <w:sz w:val="21"/>
        </w:rPr>
        <w:t>arising</w:t>
      </w:r>
      <w:r>
        <w:rPr>
          <w:spacing w:val="25"/>
          <w:sz w:val="21"/>
        </w:rPr>
        <w:t> </w:t>
      </w:r>
      <w:r>
        <w:rPr>
          <w:sz w:val="21"/>
        </w:rPr>
        <w:t>from</w:t>
      </w:r>
      <w:r>
        <w:rPr>
          <w:spacing w:val="25"/>
          <w:sz w:val="21"/>
        </w:rPr>
        <w:t> </w:t>
      </w:r>
      <w:r>
        <w:rPr>
          <w:sz w:val="21"/>
        </w:rPr>
        <w:t>the</w:t>
      </w:r>
      <w:r>
        <w:rPr>
          <w:spacing w:val="25"/>
          <w:sz w:val="21"/>
        </w:rPr>
        <w:t> </w:t>
      </w:r>
      <w:r>
        <w:rPr>
          <w:sz w:val="21"/>
        </w:rPr>
        <w:t>legislation</w:t>
      </w:r>
      <w:r>
        <w:rPr>
          <w:spacing w:val="25"/>
          <w:sz w:val="21"/>
        </w:rPr>
        <w:t> </w:t>
      </w:r>
      <w:r>
        <w:rPr>
          <w:sz w:val="21"/>
        </w:rPr>
        <w:t>or</w:t>
      </w:r>
      <w:r>
        <w:rPr>
          <w:spacing w:val="25"/>
          <w:sz w:val="21"/>
        </w:rPr>
        <w:t> </w:t>
      </w:r>
      <w:r>
        <w:rPr>
          <w:sz w:val="21"/>
        </w:rPr>
        <w:t>this</w:t>
      </w:r>
      <w:r>
        <w:rPr>
          <w:spacing w:val="25"/>
          <w:sz w:val="21"/>
        </w:rPr>
        <w:t> </w:t>
      </w:r>
      <w:r>
        <w:rPr>
          <w:sz w:val="21"/>
        </w:rPr>
        <w:t>concession</w:t>
      </w:r>
      <w:r>
        <w:rPr>
          <w:spacing w:val="25"/>
          <w:sz w:val="21"/>
        </w:rPr>
        <w:t> </w:t>
      </w:r>
      <w:r>
        <w:rPr>
          <w:sz w:val="21"/>
        </w:rPr>
        <w:t>contract</w:t>
      </w:r>
      <w:r>
        <w:rPr>
          <w:spacing w:val="25"/>
          <w:sz w:val="21"/>
        </w:rPr>
        <w:t> </w:t>
      </w:r>
      <w:r>
        <w:rPr>
          <w:sz w:val="21"/>
        </w:rPr>
        <w:t>or</w:t>
      </w:r>
      <w:r>
        <w:rPr>
          <w:spacing w:val="25"/>
          <w:sz w:val="21"/>
        </w:rPr>
        <w:t> </w:t>
      </w:r>
      <w:r>
        <w:rPr>
          <w:sz w:val="21"/>
        </w:rPr>
        <w:t>the</w:t>
      </w:r>
      <w:r>
        <w:rPr>
          <w:spacing w:val="25"/>
          <w:sz w:val="21"/>
        </w:rPr>
        <w:t> </w:t>
      </w:r>
      <w:r>
        <w:rPr>
          <w:sz w:val="21"/>
        </w:rPr>
        <w:t>determinations</w:t>
      </w:r>
      <w:r>
        <w:rPr>
          <w:spacing w:val="25"/>
          <w:sz w:val="21"/>
        </w:rPr>
        <w:t> </w:t>
      </w:r>
      <w:r>
        <w:rPr>
          <w:sz w:val="21"/>
        </w:rPr>
        <w:t>of</w:t>
      </w:r>
      <w:r>
        <w:rPr>
          <w:spacing w:val="25"/>
          <w:sz w:val="21"/>
        </w:rPr>
        <w:t> </w:t>
      </w:r>
      <w:r>
        <w:rPr>
          <w:sz w:val="21"/>
        </w:rPr>
        <w:t>the</w:t>
      </w:r>
      <w:r>
        <w:rPr>
          <w:spacing w:val="25"/>
          <w:sz w:val="21"/>
        </w:rPr>
        <w:t> </w:t>
      </w:r>
      <w:r>
        <w:rPr>
          <w:sz w:val="21"/>
        </w:rPr>
        <w:t>Government</w:t>
      </w:r>
      <w:r>
        <w:rPr>
          <w:spacing w:val="25"/>
          <w:sz w:val="21"/>
        </w:rPr>
        <w:t> </w:t>
      </w:r>
      <w:r>
        <w:rPr>
          <w:sz w:val="21"/>
        </w:rPr>
        <w:t>shall</w:t>
      </w:r>
      <w:r>
        <w:rPr>
          <w:spacing w:val="25"/>
          <w:sz w:val="21"/>
        </w:rPr>
        <w:t> </w:t>
      </w:r>
      <w:r>
        <w:rPr>
          <w:sz w:val="21"/>
        </w:rPr>
        <w:t>subject the</w:t>
      </w:r>
      <w:r>
        <w:rPr>
          <w:spacing w:val="25"/>
          <w:sz w:val="21"/>
        </w:rPr>
        <w:t> </w:t>
      </w:r>
      <w:r>
        <w:rPr>
          <w:sz w:val="21"/>
        </w:rPr>
        <w:t>Concessionaire</w:t>
      </w:r>
      <w:r>
        <w:rPr>
          <w:spacing w:val="25"/>
          <w:sz w:val="21"/>
        </w:rPr>
        <w:t> </w:t>
      </w:r>
      <w:r>
        <w:rPr>
          <w:sz w:val="21"/>
        </w:rPr>
        <w:t>to</w:t>
      </w:r>
      <w:r>
        <w:rPr>
          <w:spacing w:val="25"/>
          <w:sz w:val="21"/>
        </w:rPr>
        <w:t> </w:t>
      </w:r>
      <w:r>
        <w:rPr>
          <w:sz w:val="21"/>
        </w:rPr>
        <w:t>the</w:t>
      </w:r>
      <w:r>
        <w:rPr>
          <w:spacing w:val="25"/>
          <w:sz w:val="21"/>
        </w:rPr>
        <w:t> </w:t>
      </w:r>
      <w:r>
        <w:rPr>
          <w:sz w:val="21"/>
        </w:rPr>
        <w:t>application</w:t>
      </w:r>
      <w:r>
        <w:rPr>
          <w:spacing w:val="25"/>
          <w:sz w:val="21"/>
        </w:rPr>
        <w:t> </w:t>
      </w:r>
      <w:r>
        <w:rPr>
          <w:sz w:val="21"/>
        </w:rPr>
        <w:t>of</w:t>
      </w:r>
      <w:r>
        <w:rPr>
          <w:spacing w:val="25"/>
          <w:sz w:val="21"/>
        </w:rPr>
        <w:t> </w:t>
      </w:r>
      <w:r>
        <w:rPr>
          <w:sz w:val="21"/>
        </w:rPr>
        <w:t>the</w:t>
      </w:r>
      <w:r>
        <w:rPr>
          <w:spacing w:val="25"/>
          <w:sz w:val="21"/>
        </w:rPr>
        <w:t> </w:t>
      </w:r>
      <w:r>
        <w:rPr>
          <w:sz w:val="21"/>
        </w:rPr>
        <w:t>sanctions</w:t>
      </w:r>
      <w:r>
        <w:rPr>
          <w:spacing w:val="25"/>
          <w:sz w:val="21"/>
        </w:rPr>
        <w:t> </w:t>
      </w:r>
      <w:r>
        <w:rPr>
          <w:sz w:val="21"/>
        </w:rPr>
        <w:t>or</w:t>
      </w:r>
      <w:r>
        <w:rPr>
          <w:spacing w:val="25"/>
          <w:sz w:val="21"/>
        </w:rPr>
        <w:t> </w:t>
      </w:r>
      <w:r>
        <w:rPr>
          <w:sz w:val="21"/>
        </w:rPr>
        <w:t>penalties</w:t>
      </w:r>
      <w:r>
        <w:rPr>
          <w:spacing w:val="25"/>
          <w:sz w:val="21"/>
        </w:rPr>
        <w:t> </w:t>
      </w:r>
      <w:r>
        <w:rPr>
          <w:sz w:val="21"/>
        </w:rPr>
        <w:t>prescribed</w:t>
      </w:r>
      <w:r>
        <w:rPr>
          <w:spacing w:val="25"/>
          <w:sz w:val="21"/>
        </w:rPr>
        <w:t> </w:t>
      </w:r>
      <w:r>
        <w:rPr>
          <w:sz w:val="21"/>
        </w:rPr>
        <w:t>by</w:t>
      </w:r>
      <w:r>
        <w:rPr>
          <w:spacing w:val="25"/>
          <w:sz w:val="21"/>
        </w:rPr>
        <w:t> </w:t>
      </w:r>
      <w:r>
        <w:rPr>
          <w:sz w:val="21"/>
        </w:rPr>
        <w:t>law</w:t>
      </w:r>
      <w:r>
        <w:rPr>
          <w:spacing w:val="25"/>
          <w:sz w:val="21"/>
        </w:rPr>
        <w:t> </w:t>
      </w:r>
      <w:r>
        <w:rPr>
          <w:sz w:val="21"/>
        </w:rPr>
        <w:t>or</w:t>
      </w:r>
      <w:r>
        <w:rPr>
          <w:spacing w:val="25"/>
          <w:sz w:val="21"/>
        </w:rPr>
        <w:t> </w:t>
      </w:r>
      <w:r>
        <w:rPr>
          <w:sz w:val="21"/>
        </w:rPr>
        <w:t>the</w:t>
      </w:r>
      <w:r>
        <w:rPr>
          <w:spacing w:val="25"/>
          <w:sz w:val="21"/>
        </w:rPr>
        <w:t> </w:t>
      </w:r>
      <w:r>
        <w:rPr>
          <w:sz w:val="21"/>
        </w:rPr>
        <w:t>contract</w:t>
      </w:r>
      <w:r>
        <w:rPr>
          <w:spacing w:val="25"/>
          <w:sz w:val="21"/>
        </w:rPr>
        <w:t> </w:t>
      </w:r>
      <w:r>
        <w:rPr>
          <w:sz w:val="21"/>
        </w:rPr>
        <w:t>herein.</w:t>
      </w:r>
    </w:p>
    <w:p>
      <w:pPr>
        <w:pStyle w:val="BodyText"/>
        <w:spacing w:before="166"/>
        <w:rPr>
          <w:sz w:val="21"/>
        </w:rPr>
      </w:pPr>
    </w:p>
    <w:p>
      <w:pPr>
        <w:spacing w:line="213" w:lineRule="auto" w:before="0"/>
        <w:ind w:left="144" w:right="118" w:firstLine="0"/>
        <w:jc w:val="both"/>
        <w:rPr>
          <w:sz w:val="21"/>
        </w:rPr>
      </w:pPr>
      <w:r>
        <w:rPr>
          <w:i/>
          <w:sz w:val="21"/>
        </w:rPr>
        <w:t>Two</w:t>
      </w:r>
      <w:r>
        <w:rPr>
          <w:sz w:val="21"/>
        </w:rPr>
        <w:t>. The</w:t>
      </w:r>
      <w:r>
        <w:rPr>
          <w:spacing w:val="24"/>
          <w:sz w:val="21"/>
        </w:rPr>
        <w:t> </w:t>
      </w:r>
      <w:r>
        <w:rPr>
          <w:sz w:val="21"/>
        </w:rPr>
        <w:t>Concessionaire</w:t>
      </w:r>
      <w:r>
        <w:rPr>
          <w:spacing w:val="24"/>
          <w:sz w:val="21"/>
        </w:rPr>
        <w:t> </w:t>
      </w:r>
      <w:r>
        <w:rPr>
          <w:sz w:val="21"/>
        </w:rPr>
        <w:t>shall</w:t>
      </w:r>
      <w:r>
        <w:rPr>
          <w:spacing w:val="24"/>
          <w:sz w:val="21"/>
        </w:rPr>
        <w:t> </w:t>
      </w:r>
      <w:r>
        <w:rPr>
          <w:sz w:val="21"/>
        </w:rPr>
        <w:t>be</w:t>
      </w:r>
      <w:r>
        <w:rPr>
          <w:spacing w:val="24"/>
          <w:sz w:val="21"/>
        </w:rPr>
        <w:t> </w:t>
      </w:r>
      <w:r>
        <w:rPr>
          <w:sz w:val="21"/>
        </w:rPr>
        <w:t>exempt</w:t>
      </w:r>
      <w:r>
        <w:rPr>
          <w:spacing w:val="24"/>
          <w:sz w:val="21"/>
        </w:rPr>
        <w:t> </w:t>
      </w:r>
      <w:r>
        <w:rPr>
          <w:sz w:val="21"/>
        </w:rPr>
        <w:t>from</w:t>
      </w:r>
      <w:r>
        <w:rPr>
          <w:spacing w:val="24"/>
          <w:sz w:val="21"/>
        </w:rPr>
        <w:t> </w:t>
      </w:r>
      <w:r>
        <w:rPr>
          <w:sz w:val="21"/>
        </w:rPr>
        <w:t>the</w:t>
      </w:r>
      <w:r>
        <w:rPr>
          <w:spacing w:val="24"/>
          <w:sz w:val="21"/>
        </w:rPr>
        <w:t> </w:t>
      </w:r>
      <w:r>
        <w:rPr>
          <w:sz w:val="21"/>
        </w:rPr>
        <w:t>liability</w:t>
      </w:r>
      <w:r>
        <w:rPr>
          <w:spacing w:val="24"/>
          <w:sz w:val="21"/>
        </w:rPr>
        <w:t> </w:t>
      </w:r>
      <w:r>
        <w:rPr>
          <w:sz w:val="21"/>
        </w:rPr>
        <w:t>referred</w:t>
      </w:r>
      <w:r>
        <w:rPr>
          <w:spacing w:val="24"/>
          <w:sz w:val="21"/>
        </w:rPr>
        <w:t> </w:t>
      </w:r>
      <w:r>
        <w:rPr>
          <w:sz w:val="21"/>
        </w:rPr>
        <w:t>to</w:t>
      </w:r>
      <w:r>
        <w:rPr>
          <w:spacing w:val="24"/>
          <w:sz w:val="21"/>
        </w:rPr>
        <w:t> </w:t>
      </w:r>
      <w:r>
        <w:rPr>
          <w:sz w:val="21"/>
        </w:rPr>
        <w:t>in</w:t>
      </w:r>
      <w:r>
        <w:rPr>
          <w:spacing w:val="24"/>
          <w:sz w:val="21"/>
        </w:rPr>
        <w:t> </w:t>
      </w:r>
      <w:r>
        <w:rPr>
          <w:sz w:val="21"/>
        </w:rPr>
        <w:t>the</w:t>
      </w:r>
      <w:r>
        <w:rPr>
          <w:spacing w:val="24"/>
          <w:sz w:val="21"/>
        </w:rPr>
        <w:t> </w:t>
      </w:r>
      <w:r>
        <w:rPr>
          <w:sz w:val="21"/>
        </w:rPr>
        <w:t>previous</w:t>
      </w:r>
      <w:r>
        <w:rPr>
          <w:spacing w:val="24"/>
          <w:sz w:val="21"/>
        </w:rPr>
        <w:t> </w:t>
      </w:r>
      <w:r>
        <w:rPr>
          <w:sz w:val="21"/>
        </w:rPr>
        <w:t>paragraph</w:t>
      </w:r>
      <w:r>
        <w:rPr>
          <w:spacing w:val="24"/>
          <w:sz w:val="21"/>
        </w:rPr>
        <w:t> </w:t>
      </w:r>
      <w:r>
        <w:rPr>
          <w:sz w:val="21"/>
        </w:rPr>
        <w:t>in</w:t>
      </w:r>
      <w:r>
        <w:rPr>
          <w:spacing w:val="24"/>
          <w:sz w:val="21"/>
        </w:rPr>
        <w:t> </w:t>
      </w:r>
      <w:r>
        <w:rPr>
          <w:sz w:val="21"/>
        </w:rPr>
        <w:t>cases</w:t>
      </w:r>
      <w:r>
        <w:rPr>
          <w:spacing w:val="24"/>
          <w:sz w:val="21"/>
        </w:rPr>
        <w:t> </w:t>
      </w:r>
      <w:r>
        <w:rPr>
          <w:sz w:val="21"/>
        </w:rPr>
        <w:t>of</w:t>
      </w:r>
      <w:r>
        <w:rPr>
          <w:spacing w:val="24"/>
          <w:sz w:val="21"/>
        </w:rPr>
        <w:t> </w:t>
      </w:r>
      <w:r>
        <w:rPr>
          <w:i/>
          <w:sz w:val="21"/>
        </w:rPr>
        <w:t>force</w:t>
      </w:r>
      <w:r>
        <w:rPr>
          <w:i/>
          <w:spacing w:val="24"/>
          <w:sz w:val="21"/>
        </w:rPr>
        <w:t> </w:t>
      </w:r>
      <w:r>
        <w:rPr>
          <w:i/>
          <w:sz w:val="21"/>
        </w:rPr>
        <w:t>majeure</w:t>
      </w:r>
      <w:r>
        <w:rPr>
          <w:i/>
          <w:spacing w:val="24"/>
          <w:sz w:val="21"/>
        </w:rPr>
        <w:t> </w:t>
      </w:r>
      <w:r>
        <w:rPr>
          <w:sz w:val="21"/>
        </w:rPr>
        <w:t>or</w:t>
      </w:r>
      <w:r>
        <w:rPr>
          <w:spacing w:val="24"/>
          <w:sz w:val="21"/>
        </w:rPr>
        <w:t> </w:t>
      </w:r>
      <w:r>
        <w:rPr>
          <w:sz w:val="21"/>
        </w:rPr>
        <w:t>other facts</w:t>
      </w:r>
      <w:r>
        <w:rPr>
          <w:spacing w:val="22"/>
          <w:sz w:val="21"/>
        </w:rPr>
        <w:t> </w:t>
      </w:r>
      <w:r>
        <w:rPr>
          <w:sz w:val="21"/>
        </w:rPr>
        <w:t>which</w:t>
      </w:r>
      <w:r>
        <w:rPr>
          <w:spacing w:val="22"/>
          <w:sz w:val="21"/>
        </w:rPr>
        <w:t> </w:t>
      </w:r>
      <w:r>
        <w:rPr>
          <w:sz w:val="21"/>
        </w:rPr>
        <w:t>are</w:t>
      </w:r>
      <w:r>
        <w:rPr>
          <w:spacing w:val="22"/>
          <w:sz w:val="21"/>
        </w:rPr>
        <w:t> </w:t>
      </w:r>
      <w:r>
        <w:rPr>
          <w:sz w:val="21"/>
        </w:rPr>
        <w:t>not</w:t>
      </w:r>
      <w:r>
        <w:rPr>
          <w:spacing w:val="22"/>
          <w:sz w:val="21"/>
        </w:rPr>
        <w:t> </w:t>
      </w:r>
      <w:r>
        <w:rPr>
          <w:sz w:val="21"/>
        </w:rPr>
        <w:t>imputable</w:t>
      </w:r>
      <w:r>
        <w:rPr>
          <w:spacing w:val="22"/>
          <w:sz w:val="21"/>
        </w:rPr>
        <w:t> </w:t>
      </w:r>
      <w:r>
        <w:rPr>
          <w:sz w:val="21"/>
        </w:rPr>
        <w:t>thereto</w:t>
      </w:r>
      <w:r>
        <w:rPr>
          <w:spacing w:val="22"/>
          <w:sz w:val="21"/>
        </w:rPr>
        <w:t> </w:t>
      </w:r>
      <w:r>
        <w:rPr>
          <w:sz w:val="21"/>
        </w:rPr>
        <w:t>but</w:t>
      </w:r>
      <w:r>
        <w:rPr>
          <w:spacing w:val="22"/>
          <w:sz w:val="21"/>
        </w:rPr>
        <w:t> </w:t>
      </w:r>
      <w:r>
        <w:rPr>
          <w:sz w:val="21"/>
        </w:rPr>
        <w:t>only</w:t>
      </w:r>
      <w:r>
        <w:rPr>
          <w:spacing w:val="22"/>
          <w:sz w:val="21"/>
        </w:rPr>
        <w:t> </w:t>
      </w:r>
      <w:r>
        <w:rPr>
          <w:sz w:val="21"/>
        </w:rPr>
        <w:t>to</w:t>
      </w:r>
      <w:r>
        <w:rPr>
          <w:spacing w:val="22"/>
          <w:sz w:val="21"/>
        </w:rPr>
        <w:t> </w:t>
      </w:r>
      <w:r>
        <w:rPr>
          <w:sz w:val="21"/>
        </w:rPr>
        <w:t>the</w:t>
      </w:r>
      <w:r>
        <w:rPr>
          <w:spacing w:val="22"/>
          <w:sz w:val="21"/>
        </w:rPr>
        <w:t> </w:t>
      </w:r>
      <w:r>
        <w:rPr>
          <w:sz w:val="21"/>
        </w:rPr>
        <w:t>strict</w:t>
      </w:r>
      <w:r>
        <w:rPr>
          <w:spacing w:val="22"/>
          <w:sz w:val="21"/>
        </w:rPr>
        <w:t> </w:t>
      </w:r>
      <w:r>
        <w:rPr>
          <w:sz w:val="21"/>
        </w:rPr>
        <w:t>extent</w:t>
      </w:r>
      <w:r>
        <w:rPr>
          <w:spacing w:val="22"/>
          <w:sz w:val="21"/>
        </w:rPr>
        <w:t> </w:t>
      </w:r>
      <w:r>
        <w:rPr>
          <w:sz w:val="21"/>
        </w:rPr>
        <w:t>that</w:t>
      </w:r>
      <w:r>
        <w:rPr>
          <w:spacing w:val="22"/>
          <w:sz w:val="21"/>
        </w:rPr>
        <w:t> </w:t>
      </w:r>
      <w:r>
        <w:rPr>
          <w:sz w:val="21"/>
        </w:rPr>
        <w:t>punctual</w:t>
      </w:r>
      <w:r>
        <w:rPr>
          <w:spacing w:val="22"/>
          <w:sz w:val="21"/>
        </w:rPr>
        <w:t> </w:t>
      </w:r>
      <w:r>
        <w:rPr>
          <w:sz w:val="21"/>
        </w:rPr>
        <w:t>and</w:t>
      </w:r>
      <w:r>
        <w:rPr>
          <w:spacing w:val="22"/>
          <w:sz w:val="21"/>
        </w:rPr>
        <w:t> </w:t>
      </w:r>
      <w:r>
        <w:rPr>
          <w:sz w:val="21"/>
        </w:rPr>
        <w:t>full</w:t>
      </w:r>
      <w:r>
        <w:rPr>
          <w:spacing w:val="22"/>
          <w:sz w:val="21"/>
        </w:rPr>
        <w:t> </w:t>
      </w:r>
      <w:r>
        <w:rPr>
          <w:sz w:val="21"/>
        </w:rPr>
        <w:t>compliance</w:t>
      </w:r>
      <w:r>
        <w:rPr>
          <w:spacing w:val="22"/>
          <w:sz w:val="21"/>
        </w:rPr>
        <w:t> </w:t>
      </w:r>
      <w:r>
        <w:rPr>
          <w:sz w:val="21"/>
        </w:rPr>
        <w:t>has</w:t>
      </w:r>
      <w:r>
        <w:rPr>
          <w:spacing w:val="22"/>
          <w:sz w:val="21"/>
        </w:rPr>
        <w:t> </w:t>
      </w:r>
      <w:r>
        <w:rPr>
          <w:sz w:val="21"/>
        </w:rPr>
        <w:t>been</w:t>
      </w:r>
      <w:r>
        <w:rPr>
          <w:spacing w:val="22"/>
          <w:sz w:val="21"/>
        </w:rPr>
        <w:t> </w:t>
      </w:r>
      <w:r>
        <w:rPr>
          <w:sz w:val="21"/>
        </w:rPr>
        <w:t>effectively</w:t>
      </w:r>
      <w:r>
        <w:rPr>
          <w:spacing w:val="22"/>
          <w:sz w:val="21"/>
        </w:rPr>
        <w:t> </w:t>
      </w:r>
      <w:r>
        <w:rPr>
          <w:sz w:val="21"/>
        </w:rPr>
        <w:t>prevented.</w:t>
      </w:r>
    </w:p>
    <w:p>
      <w:pPr>
        <w:pStyle w:val="BodyText"/>
        <w:spacing w:before="152"/>
        <w:rPr>
          <w:sz w:val="21"/>
        </w:rPr>
      </w:pPr>
    </w:p>
    <w:p>
      <w:pPr>
        <w:spacing w:line="213" w:lineRule="auto" w:before="1"/>
        <w:ind w:left="144" w:right="117" w:firstLine="0"/>
        <w:jc w:val="both"/>
        <w:rPr>
          <w:sz w:val="21"/>
        </w:rPr>
      </w:pPr>
      <w:r>
        <w:rPr>
          <w:i/>
          <w:sz w:val="21"/>
        </w:rPr>
        <w:t>Three</w:t>
      </w:r>
      <w:r>
        <w:rPr>
          <w:sz w:val="21"/>
        </w:rPr>
        <w:t>. Cases of </w:t>
      </w:r>
      <w:r>
        <w:rPr>
          <w:i/>
          <w:sz w:val="21"/>
        </w:rPr>
        <w:t>force majeure </w:t>
      </w:r>
      <w:r>
        <w:rPr>
          <w:sz w:val="21"/>
        </w:rPr>
        <w:t>shall only encompass those events which are considered unforeseeable and irresistible and beyond </w:t>
      </w:r>
      <w:r>
        <w:rPr>
          <w:sz w:val="21"/>
        </w:rPr>
        <w:t>the control</w:t>
      </w:r>
      <w:r>
        <w:rPr>
          <w:spacing w:val="26"/>
          <w:sz w:val="21"/>
        </w:rPr>
        <w:t> </w:t>
      </w:r>
      <w:r>
        <w:rPr>
          <w:sz w:val="21"/>
        </w:rPr>
        <w:t>of</w:t>
      </w:r>
      <w:r>
        <w:rPr>
          <w:spacing w:val="26"/>
          <w:sz w:val="21"/>
        </w:rPr>
        <w:t> </w:t>
      </w:r>
      <w:r>
        <w:rPr>
          <w:sz w:val="21"/>
        </w:rPr>
        <w:t>the</w:t>
      </w:r>
      <w:r>
        <w:rPr>
          <w:spacing w:val="26"/>
          <w:sz w:val="21"/>
        </w:rPr>
        <w:t> </w:t>
      </w:r>
      <w:r>
        <w:rPr>
          <w:sz w:val="21"/>
        </w:rPr>
        <w:t>Concessionaire</w:t>
      </w:r>
      <w:r>
        <w:rPr>
          <w:spacing w:val="26"/>
          <w:sz w:val="21"/>
        </w:rPr>
        <w:t> </w:t>
      </w:r>
      <w:r>
        <w:rPr>
          <w:sz w:val="21"/>
        </w:rPr>
        <w:t>and</w:t>
      </w:r>
      <w:r>
        <w:rPr>
          <w:spacing w:val="26"/>
          <w:sz w:val="21"/>
        </w:rPr>
        <w:t> </w:t>
      </w:r>
      <w:r>
        <w:rPr>
          <w:sz w:val="21"/>
        </w:rPr>
        <w:t>whose</w:t>
      </w:r>
      <w:r>
        <w:rPr>
          <w:spacing w:val="26"/>
          <w:sz w:val="21"/>
        </w:rPr>
        <w:t> </w:t>
      </w:r>
      <w:r>
        <w:rPr>
          <w:sz w:val="21"/>
        </w:rPr>
        <w:t>effects</w:t>
      </w:r>
      <w:r>
        <w:rPr>
          <w:spacing w:val="26"/>
          <w:sz w:val="21"/>
        </w:rPr>
        <w:t> </w:t>
      </w:r>
      <w:r>
        <w:rPr>
          <w:sz w:val="21"/>
        </w:rPr>
        <w:t>occur</w:t>
      </w:r>
      <w:r>
        <w:rPr>
          <w:spacing w:val="26"/>
          <w:sz w:val="21"/>
        </w:rPr>
        <w:t> </w:t>
      </w:r>
      <w:r>
        <w:rPr>
          <w:sz w:val="21"/>
        </w:rPr>
        <w:t>regardless</w:t>
      </w:r>
      <w:r>
        <w:rPr>
          <w:spacing w:val="26"/>
          <w:sz w:val="21"/>
        </w:rPr>
        <w:t> </w:t>
      </w:r>
      <w:r>
        <w:rPr>
          <w:sz w:val="21"/>
        </w:rPr>
        <w:t>of</w:t>
      </w:r>
      <w:r>
        <w:rPr>
          <w:spacing w:val="26"/>
          <w:sz w:val="21"/>
        </w:rPr>
        <w:t> </w:t>
      </w:r>
      <w:r>
        <w:rPr>
          <w:sz w:val="21"/>
        </w:rPr>
        <w:t>the</w:t>
      </w:r>
      <w:r>
        <w:rPr>
          <w:spacing w:val="26"/>
          <w:sz w:val="21"/>
        </w:rPr>
        <w:t> </w:t>
      </w:r>
      <w:r>
        <w:rPr>
          <w:sz w:val="21"/>
        </w:rPr>
        <w:t>will</w:t>
      </w:r>
      <w:r>
        <w:rPr>
          <w:spacing w:val="26"/>
          <w:sz w:val="21"/>
        </w:rPr>
        <w:t> </w:t>
      </w:r>
      <w:r>
        <w:rPr>
          <w:sz w:val="21"/>
        </w:rPr>
        <w:t>or</w:t>
      </w:r>
      <w:r>
        <w:rPr>
          <w:spacing w:val="26"/>
          <w:sz w:val="21"/>
        </w:rPr>
        <w:t> </w:t>
      </w:r>
      <w:r>
        <w:rPr>
          <w:sz w:val="21"/>
        </w:rPr>
        <w:t>personal</w:t>
      </w:r>
      <w:r>
        <w:rPr>
          <w:spacing w:val="26"/>
          <w:sz w:val="21"/>
        </w:rPr>
        <w:t> </w:t>
      </w:r>
      <w:r>
        <w:rPr>
          <w:sz w:val="21"/>
        </w:rPr>
        <w:t>circumstances</w:t>
      </w:r>
      <w:r>
        <w:rPr>
          <w:spacing w:val="26"/>
          <w:sz w:val="21"/>
        </w:rPr>
        <w:t> </w:t>
      </w:r>
      <w:r>
        <w:rPr>
          <w:sz w:val="21"/>
        </w:rPr>
        <w:t>of</w:t>
      </w:r>
      <w:r>
        <w:rPr>
          <w:spacing w:val="26"/>
          <w:sz w:val="21"/>
        </w:rPr>
        <w:t> </w:t>
      </w:r>
      <w:r>
        <w:rPr>
          <w:sz w:val="21"/>
        </w:rPr>
        <w:t>the</w:t>
      </w:r>
      <w:r>
        <w:rPr>
          <w:spacing w:val="26"/>
          <w:sz w:val="21"/>
        </w:rPr>
        <w:t> </w:t>
      </w:r>
      <w:r>
        <w:rPr>
          <w:sz w:val="21"/>
        </w:rPr>
        <w:t>same,</w:t>
      </w:r>
      <w:r>
        <w:rPr>
          <w:spacing w:val="26"/>
          <w:sz w:val="21"/>
        </w:rPr>
        <w:t> </w:t>
      </w:r>
      <w:r>
        <w:rPr>
          <w:sz w:val="21"/>
        </w:rPr>
        <w:t>namely</w:t>
      </w:r>
      <w:r>
        <w:rPr>
          <w:spacing w:val="26"/>
          <w:sz w:val="21"/>
        </w:rPr>
        <w:t> </w:t>
      </w:r>
      <w:r>
        <w:rPr>
          <w:sz w:val="21"/>
        </w:rPr>
        <w:t>acts</w:t>
      </w:r>
      <w:r>
        <w:rPr>
          <w:spacing w:val="26"/>
          <w:sz w:val="21"/>
        </w:rPr>
        <w:t> </w:t>
      </w:r>
      <w:r>
        <w:rPr>
          <w:sz w:val="21"/>
        </w:rPr>
        <w:t>of war, terrorism, alteration of public order, epidemics, atomic radiation, fire, lightning, serious floods, cyclones, tropical storms, earthquakes,</w:t>
      </w:r>
      <w:r>
        <w:rPr>
          <w:spacing w:val="32"/>
          <w:sz w:val="21"/>
        </w:rPr>
        <w:t> </w:t>
      </w:r>
      <w:r>
        <w:rPr>
          <w:sz w:val="21"/>
        </w:rPr>
        <w:t>and</w:t>
      </w:r>
      <w:r>
        <w:rPr>
          <w:spacing w:val="32"/>
          <w:sz w:val="21"/>
        </w:rPr>
        <w:t> </w:t>
      </w:r>
      <w:r>
        <w:rPr>
          <w:sz w:val="21"/>
        </w:rPr>
        <w:t>other</w:t>
      </w:r>
      <w:r>
        <w:rPr>
          <w:spacing w:val="32"/>
          <w:sz w:val="21"/>
        </w:rPr>
        <w:t> </w:t>
      </w:r>
      <w:r>
        <w:rPr>
          <w:sz w:val="21"/>
        </w:rPr>
        <w:t>natural</w:t>
      </w:r>
      <w:r>
        <w:rPr>
          <w:spacing w:val="32"/>
          <w:sz w:val="21"/>
        </w:rPr>
        <w:t> </w:t>
      </w:r>
      <w:r>
        <w:rPr>
          <w:sz w:val="21"/>
        </w:rPr>
        <w:t>cataclysms</w:t>
      </w:r>
      <w:r>
        <w:rPr>
          <w:spacing w:val="32"/>
          <w:sz w:val="21"/>
        </w:rPr>
        <w:t> </w:t>
      </w:r>
      <w:r>
        <w:rPr>
          <w:sz w:val="21"/>
        </w:rPr>
        <w:t>which</w:t>
      </w:r>
      <w:r>
        <w:rPr>
          <w:spacing w:val="32"/>
          <w:sz w:val="21"/>
        </w:rPr>
        <w:t> </w:t>
      </w:r>
      <w:r>
        <w:rPr>
          <w:sz w:val="21"/>
        </w:rPr>
        <w:t>directly</w:t>
      </w:r>
      <w:r>
        <w:rPr>
          <w:spacing w:val="32"/>
          <w:sz w:val="21"/>
        </w:rPr>
        <w:t> </w:t>
      </w:r>
      <w:r>
        <w:rPr>
          <w:sz w:val="21"/>
        </w:rPr>
        <w:t>affect</w:t>
      </w:r>
      <w:r>
        <w:rPr>
          <w:spacing w:val="32"/>
          <w:sz w:val="21"/>
        </w:rPr>
        <w:t> </w:t>
      </w:r>
      <w:r>
        <w:rPr>
          <w:sz w:val="21"/>
        </w:rPr>
        <w:t>the</w:t>
      </w:r>
      <w:r>
        <w:rPr>
          <w:spacing w:val="32"/>
          <w:sz w:val="21"/>
        </w:rPr>
        <w:t> </w:t>
      </w:r>
      <w:r>
        <w:rPr>
          <w:sz w:val="21"/>
        </w:rPr>
        <w:t>activities</w:t>
      </w:r>
      <w:r>
        <w:rPr>
          <w:spacing w:val="32"/>
          <w:sz w:val="21"/>
        </w:rPr>
        <w:t> </w:t>
      </w:r>
      <w:r>
        <w:rPr>
          <w:sz w:val="21"/>
        </w:rPr>
        <w:t>within</w:t>
      </w:r>
      <w:r>
        <w:rPr>
          <w:spacing w:val="32"/>
          <w:sz w:val="21"/>
        </w:rPr>
        <w:t> </w:t>
      </w:r>
      <w:r>
        <w:rPr>
          <w:sz w:val="21"/>
        </w:rPr>
        <w:t>the</w:t>
      </w:r>
      <w:r>
        <w:rPr>
          <w:spacing w:val="32"/>
          <w:sz w:val="21"/>
        </w:rPr>
        <w:t> </w:t>
      </w:r>
      <w:r>
        <w:rPr>
          <w:sz w:val="21"/>
        </w:rPr>
        <w:t>concession.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6"/>
        <w:rPr>
          <w:sz w:val="20"/>
        </w:rPr>
      </w:pPr>
      <w:r>
        <w:rPr/>
        <mc:AlternateContent>
          <mc:Choice Requires="wps">
            <w:drawing>
              <wp:anchor distT="0" distB="0" distL="0" distR="0" allowOverlap="1" layoutInCell="1" locked="0" behindDoc="1" simplePos="0" relativeHeight="487785472">
                <wp:simplePos x="0" y="0"/>
                <wp:positionH relativeFrom="page">
                  <wp:posOffset>231457</wp:posOffset>
                </wp:positionH>
                <wp:positionV relativeFrom="paragraph">
                  <wp:posOffset>196837</wp:posOffset>
                </wp:positionV>
                <wp:extent cx="7312659" cy="17145"/>
                <wp:effectExtent l="0" t="0" r="0" b="0"/>
                <wp:wrapTopAndBottom/>
                <wp:docPr id="960" name="Group 960"/>
                <wp:cNvGraphicFramePr>
                  <a:graphicFrameLocks/>
                </wp:cNvGraphicFramePr>
                <a:graphic>
                  <a:graphicData uri="http://schemas.microsoft.com/office/word/2010/wordprocessingGroup">
                    <wpg:wgp>
                      <wpg:cNvPr id="960" name="Group 960"/>
                      <wpg:cNvGrpSpPr/>
                      <wpg:grpSpPr>
                        <a:xfrm>
                          <a:off x="0" y="0"/>
                          <a:ext cx="7312659" cy="17145"/>
                          <a:chExt cx="7312659" cy="17145"/>
                        </a:xfrm>
                      </wpg:grpSpPr>
                      <wps:wsp>
                        <wps:cNvPr id="961" name="Graphic 96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62" name="Graphic 962"/>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63" name="Graphic 96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499023pt;width:575.8pt;height:1.35pt;mso-position-horizontal-relative:page;mso-position-vertical-relative:paragraph;z-index:-15531008;mso-wrap-distance-left:0;mso-wrap-distance-right:0" id="docshapegroup958" coordorigin="364,310" coordsize="11516,27">
                <v:rect style="position:absolute;left:364;top:309;width:11516;height:14" id="docshape959" filled="true" fillcolor="#999999" stroked="false">
                  <v:fill type="solid"/>
                </v:rect>
                <v:shape style="position:absolute;left:364;top:309;width:11516;height:27" id="docshape960" coordorigin="364,310" coordsize="11516,27" path="m11880,310l11866,323,364,323,364,337,11866,337,11880,337,11880,323,11880,310xe" filled="true" fillcolor="#ededed" stroked="false">
                  <v:path arrowok="t"/>
                  <v:fill type="solid"/>
                </v:shape>
                <v:shape style="position:absolute;left:364;top:309;width:14;height:27" id="docshape961" coordorigin="364,310" coordsize="14,27" path="m364,337l364,310,378,310,378,323,364,337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line="213" w:lineRule="auto" w:before="90"/>
        <w:ind w:left="144" w:right="118" w:firstLine="0"/>
        <w:jc w:val="both"/>
        <w:rPr>
          <w:sz w:val="21"/>
        </w:rPr>
      </w:pPr>
      <w:r>
        <w:rPr>
          <w:i/>
          <w:sz w:val="21"/>
        </w:rPr>
        <w:t>Four</w:t>
      </w:r>
      <w:r>
        <w:rPr>
          <w:sz w:val="21"/>
        </w:rPr>
        <w:t>. The Concessionaire undertakes to notify the Government immediately of the occurrence of any case of </w:t>
      </w:r>
      <w:r>
        <w:rPr>
          <w:i/>
          <w:sz w:val="21"/>
        </w:rPr>
        <w:t>force majeure </w:t>
      </w:r>
      <w:r>
        <w:rPr>
          <w:sz w:val="21"/>
        </w:rPr>
        <w:t>and, as</w:t>
      </w:r>
      <w:r>
        <w:rPr>
          <w:spacing w:val="80"/>
          <w:w w:val="150"/>
          <w:sz w:val="21"/>
        </w:rPr>
        <w:t> </w:t>
      </w:r>
      <w:r>
        <w:rPr>
          <w:sz w:val="21"/>
        </w:rPr>
        <w:t>soon as possible, to indicate which obligations arising from this concession contract are, in their opinion, prevented from </w:t>
      </w:r>
      <w:r>
        <w:rPr>
          <w:sz w:val="21"/>
        </w:rPr>
        <w:t>being</w:t>
      </w:r>
      <w:r>
        <w:rPr>
          <w:spacing w:val="80"/>
          <w:sz w:val="21"/>
        </w:rPr>
        <w:t> </w:t>
      </w:r>
      <w:r>
        <w:rPr>
          <w:sz w:val="21"/>
        </w:rPr>
        <w:t>complied due to such occurrence, as well as, if applicable, the measures it intends to implement in order to mitigate the impact of the referred event and/or normalize compliance with said obligations.</w:t>
      </w:r>
    </w:p>
    <w:p>
      <w:pPr>
        <w:pStyle w:val="BodyText"/>
        <w:spacing w:before="154"/>
        <w:rPr>
          <w:sz w:val="21"/>
        </w:rPr>
      </w:pPr>
    </w:p>
    <w:p>
      <w:pPr>
        <w:spacing w:line="213" w:lineRule="auto" w:before="1"/>
        <w:ind w:left="144" w:right="117" w:firstLine="0"/>
        <w:jc w:val="both"/>
        <w:rPr>
          <w:sz w:val="21"/>
        </w:rPr>
      </w:pPr>
      <w:r>
        <w:rPr>
          <w:i/>
          <w:sz w:val="21"/>
        </w:rPr>
        <w:t>Five</w:t>
      </w:r>
      <w:r>
        <w:rPr>
          <w:sz w:val="21"/>
        </w:rPr>
        <w:t>.</w:t>
      </w:r>
      <w:r>
        <w:rPr>
          <w:spacing w:val="30"/>
          <w:sz w:val="21"/>
        </w:rPr>
        <w:t> </w:t>
      </w:r>
      <w:r>
        <w:rPr>
          <w:sz w:val="21"/>
        </w:rPr>
        <w:t>In</w:t>
      </w:r>
      <w:r>
        <w:rPr>
          <w:spacing w:val="30"/>
          <w:sz w:val="21"/>
        </w:rPr>
        <w:t> </w:t>
      </w:r>
      <w:r>
        <w:rPr>
          <w:sz w:val="21"/>
        </w:rPr>
        <w:t>any</w:t>
      </w:r>
      <w:r>
        <w:rPr>
          <w:spacing w:val="30"/>
          <w:sz w:val="21"/>
        </w:rPr>
        <w:t> </w:t>
      </w:r>
      <w:r>
        <w:rPr>
          <w:sz w:val="21"/>
        </w:rPr>
        <w:t>of</w:t>
      </w:r>
      <w:r>
        <w:rPr>
          <w:spacing w:val="30"/>
          <w:sz w:val="21"/>
        </w:rPr>
        <w:t> </w:t>
      </w:r>
      <w:r>
        <w:rPr>
          <w:sz w:val="21"/>
        </w:rPr>
        <w:t>the</w:t>
      </w:r>
      <w:r>
        <w:rPr>
          <w:spacing w:val="30"/>
          <w:sz w:val="21"/>
        </w:rPr>
        <w:t> </w:t>
      </w:r>
      <w:r>
        <w:rPr>
          <w:sz w:val="21"/>
        </w:rPr>
        <w:t>cases</w:t>
      </w:r>
      <w:r>
        <w:rPr>
          <w:spacing w:val="30"/>
          <w:sz w:val="21"/>
        </w:rPr>
        <w:t> </w:t>
      </w:r>
      <w:r>
        <w:rPr>
          <w:sz w:val="21"/>
        </w:rPr>
        <w:t>referred</w:t>
      </w:r>
      <w:r>
        <w:rPr>
          <w:spacing w:val="30"/>
          <w:sz w:val="21"/>
        </w:rPr>
        <w:t> </w:t>
      </w:r>
      <w:r>
        <w:rPr>
          <w:sz w:val="21"/>
        </w:rPr>
        <w:t>to</w:t>
      </w:r>
      <w:r>
        <w:rPr>
          <w:spacing w:val="30"/>
          <w:sz w:val="21"/>
        </w:rPr>
        <w:t> </w:t>
      </w:r>
      <w:r>
        <w:rPr>
          <w:sz w:val="21"/>
        </w:rPr>
        <w:t>in</w:t>
      </w:r>
      <w:r>
        <w:rPr>
          <w:spacing w:val="30"/>
          <w:sz w:val="21"/>
        </w:rPr>
        <w:t> </w:t>
      </w:r>
      <w:r>
        <w:rPr>
          <w:sz w:val="21"/>
        </w:rPr>
        <w:t>paragraph</w:t>
      </w:r>
      <w:r>
        <w:rPr>
          <w:spacing w:val="30"/>
          <w:sz w:val="21"/>
        </w:rPr>
        <w:t> </w:t>
      </w:r>
      <w:r>
        <w:rPr>
          <w:i/>
          <w:sz w:val="21"/>
        </w:rPr>
        <w:t>three</w:t>
      </w:r>
      <w:r>
        <w:rPr>
          <w:sz w:val="21"/>
        </w:rPr>
        <w:t>,</w:t>
      </w:r>
      <w:r>
        <w:rPr>
          <w:spacing w:val="30"/>
          <w:sz w:val="21"/>
        </w:rPr>
        <w:t> </w:t>
      </w:r>
      <w:r>
        <w:rPr>
          <w:sz w:val="21"/>
        </w:rPr>
        <w:t>the</w:t>
      </w:r>
      <w:r>
        <w:rPr>
          <w:spacing w:val="30"/>
          <w:sz w:val="21"/>
        </w:rPr>
        <w:t> </w:t>
      </w:r>
      <w:r>
        <w:rPr>
          <w:sz w:val="21"/>
        </w:rPr>
        <w:t>Concessionaire</w:t>
      </w:r>
      <w:r>
        <w:rPr>
          <w:spacing w:val="30"/>
          <w:sz w:val="21"/>
        </w:rPr>
        <w:t> </w:t>
      </w:r>
      <w:r>
        <w:rPr>
          <w:sz w:val="21"/>
        </w:rPr>
        <w:t>undertakes</w:t>
      </w:r>
      <w:r>
        <w:rPr>
          <w:spacing w:val="30"/>
          <w:sz w:val="21"/>
        </w:rPr>
        <w:t> </w:t>
      </w:r>
      <w:r>
        <w:rPr>
          <w:sz w:val="21"/>
        </w:rPr>
        <w:t>to</w:t>
      </w:r>
      <w:r>
        <w:rPr>
          <w:spacing w:val="30"/>
          <w:sz w:val="21"/>
        </w:rPr>
        <w:t> </w:t>
      </w:r>
      <w:r>
        <w:rPr>
          <w:sz w:val="21"/>
        </w:rPr>
        <w:t>rebuild</w:t>
      </w:r>
      <w:r>
        <w:rPr>
          <w:spacing w:val="30"/>
          <w:sz w:val="21"/>
        </w:rPr>
        <w:t> </w:t>
      </w:r>
      <w:r>
        <w:rPr>
          <w:sz w:val="21"/>
        </w:rPr>
        <w:t>the</w:t>
      </w:r>
      <w:r>
        <w:rPr>
          <w:spacing w:val="30"/>
          <w:sz w:val="21"/>
        </w:rPr>
        <w:t> </w:t>
      </w:r>
      <w:r>
        <w:rPr>
          <w:sz w:val="21"/>
        </w:rPr>
        <w:t>assets</w:t>
      </w:r>
      <w:r>
        <w:rPr>
          <w:spacing w:val="30"/>
          <w:sz w:val="21"/>
        </w:rPr>
        <w:t> </w:t>
      </w:r>
      <w:r>
        <w:rPr>
          <w:sz w:val="21"/>
        </w:rPr>
        <w:t>and/or</w:t>
      </w:r>
      <w:r>
        <w:rPr>
          <w:spacing w:val="30"/>
          <w:sz w:val="21"/>
        </w:rPr>
        <w:t> </w:t>
      </w:r>
      <w:r>
        <w:rPr>
          <w:sz w:val="21"/>
        </w:rPr>
        <w:t>restore</w:t>
      </w:r>
      <w:r>
        <w:rPr>
          <w:spacing w:val="30"/>
          <w:sz w:val="21"/>
        </w:rPr>
        <w:t> </w:t>
      </w:r>
      <w:r>
        <w:rPr>
          <w:sz w:val="21"/>
        </w:rPr>
        <w:t>them</w:t>
      </w:r>
      <w:r>
        <w:rPr>
          <w:spacing w:val="30"/>
          <w:sz w:val="21"/>
        </w:rPr>
        <w:t> </w:t>
      </w:r>
      <w:r>
        <w:rPr>
          <w:sz w:val="21"/>
        </w:rPr>
        <w:t>to their</w:t>
      </w:r>
      <w:r>
        <w:rPr>
          <w:spacing w:val="16"/>
          <w:sz w:val="21"/>
        </w:rPr>
        <w:t> </w:t>
      </w:r>
      <w:r>
        <w:rPr>
          <w:sz w:val="21"/>
        </w:rPr>
        <w:t>previous</w:t>
      </w:r>
      <w:r>
        <w:rPr>
          <w:spacing w:val="16"/>
          <w:sz w:val="21"/>
        </w:rPr>
        <w:t> </w:t>
      </w:r>
      <w:r>
        <w:rPr>
          <w:sz w:val="21"/>
        </w:rPr>
        <w:t>state</w:t>
      </w:r>
      <w:r>
        <w:rPr>
          <w:spacing w:val="16"/>
          <w:sz w:val="21"/>
        </w:rPr>
        <w:t> </w:t>
      </w:r>
      <w:r>
        <w:rPr>
          <w:sz w:val="21"/>
        </w:rPr>
        <w:t>as</w:t>
      </w:r>
      <w:r>
        <w:rPr>
          <w:spacing w:val="16"/>
          <w:sz w:val="21"/>
        </w:rPr>
        <w:t> </w:t>
      </w:r>
      <w:r>
        <w:rPr>
          <w:sz w:val="21"/>
        </w:rPr>
        <w:t>soon</w:t>
      </w:r>
      <w:r>
        <w:rPr>
          <w:spacing w:val="16"/>
          <w:sz w:val="21"/>
        </w:rPr>
        <w:t> </w:t>
      </w:r>
      <w:r>
        <w:rPr>
          <w:sz w:val="21"/>
        </w:rPr>
        <w:t>as</w:t>
      </w:r>
      <w:r>
        <w:rPr>
          <w:spacing w:val="16"/>
          <w:sz w:val="21"/>
        </w:rPr>
        <w:t> </w:t>
      </w:r>
      <w:r>
        <w:rPr>
          <w:sz w:val="21"/>
        </w:rPr>
        <w:t>possible,</w:t>
      </w:r>
      <w:r>
        <w:rPr>
          <w:spacing w:val="16"/>
          <w:sz w:val="21"/>
        </w:rPr>
        <w:t> </w:t>
      </w:r>
      <w:r>
        <w:rPr>
          <w:sz w:val="21"/>
        </w:rPr>
        <w:t>thereby</w:t>
      </w:r>
      <w:r>
        <w:rPr>
          <w:spacing w:val="16"/>
          <w:sz w:val="21"/>
        </w:rPr>
        <w:t> </w:t>
      </w:r>
      <w:r>
        <w:rPr>
          <w:sz w:val="21"/>
        </w:rPr>
        <w:t>re-establishing</w:t>
      </w:r>
      <w:r>
        <w:rPr>
          <w:spacing w:val="16"/>
          <w:sz w:val="21"/>
        </w:rPr>
        <w:t> </w:t>
      </w:r>
      <w:r>
        <w:rPr>
          <w:sz w:val="21"/>
        </w:rPr>
        <w:t>the</w:t>
      </w:r>
      <w:r>
        <w:rPr>
          <w:spacing w:val="16"/>
          <w:sz w:val="21"/>
        </w:rPr>
        <w:t> </w:t>
      </w:r>
      <w:r>
        <w:rPr>
          <w:sz w:val="21"/>
        </w:rPr>
        <w:t>proper</w:t>
      </w:r>
      <w:r>
        <w:rPr>
          <w:spacing w:val="16"/>
          <w:sz w:val="21"/>
        </w:rPr>
        <w:t> </w:t>
      </w:r>
      <w:r>
        <w:rPr>
          <w:sz w:val="21"/>
        </w:rPr>
        <w:t>operation</w:t>
      </w:r>
      <w:r>
        <w:rPr>
          <w:spacing w:val="16"/>
          <w:sz w:val="21"/>
        </w:rPr>
        <w:t> </w:t>
      </w:r>
      <w:r>
        <w:rPr>
          <w:sz w:val="21"/>
        </w:rPr>
        <w:t>of</w:t>
      </w:r>
      <w:r>
        <w:rPr>
          <w:spacing w:val="16"/>
          <w:sz w:val="21"/>
        </w:rPr>
        <w:t> </w:t>
      </w:r>
      <w:r>
        <w:rPr>
          <w:sz w:val="21"/>
        </w:rPr>
        <w:t>games</w:t>
      </w:r>
      <w:r>
        <w:rPr>
          <w:spacing w:val="16"/>
          <w:sz w:val="21"/>
        </w:rPr>
        <w:t> </w:t>
      </w:r>
      <w:r>
        <w:rPr>
          <w:sz w:val="21"/>
        </w:rPr>
        <w:t>of</w:t>
      </w:r>
      <w:r>
        <w:rPr>
          <w:spacing w:val="16"/>
          <w:sz w:val="21"/>
        </w:rPr>
        <w:t> </w:t>
      </w:r>
      <w:r>
        <w:rPr>
          <w:sz w:val="21"/>
        </w:rPr>
        <w:t>fortune</w:t>
      </w:r>
      <w:r>
        <w:rPr>
          <w:spacing w:val="16"/>
          <w:sz w:val="21"/>
        </w:rPr>
        <w:t> </w:t>
      </w:r>
      <w:r>
        <w:rPr>
          <w:sz w:val="21"/>
        </w:rPr>
        <w:t>or</w:t>
      </w:r>
      <w:r>
        <w:rPr>
          <w:spacing w:val="16"/>
          <w:sz w:val="21"/>
        </w:rPr>
        <w:t> </w:t>
      </w:r>
      <w:r>
        <w:rPr>
          <w:sz w:val="21"/>
        </w:rPr>
        <w:t>chance</w:t>
      </w:r>
      <w:r>
        <w:rPr>
          <w:spacing w:val="16"/>
          <w:sz w:val="21"/>
        </w:rPr>
        <w:t> </w:t>
      </w:r>
      <w:r>
        <w:rPr>
          <w:sz w:val="21"/>
        </w:rPr>
        <w:t>in</w:t>
      </w:r>
      <w:r>
        <w:rPr>
          <w:spacing w:val="16"/>
          <w:sz w:val="21"/>
        </w:rPr>
        <w:t> </w:t>
      </w:r>
      <w:r>
        <w:rPr>
          <w:sz w:val="21"/>
        </w:rPr>
        <w:t>casinos;</w:t>
      </w:r>
      <w:r>
        <w:rPr>
          <w:spacing w:val="16"/>
          <w:sz w:val="21"/>
        </w:rPr>
        <w:t> </w:t>
      </w:r>
      <w:r>
        <w:rPr>
          <w:sz w:val="21"/>
        </w:rPr>
        <w:t>should the Concessionaire have no economic interest in rebuilding and/or restoring the aforementioned assets, it undertakes to transfer the insurance payment to the Macau SAR.</w:t>
      </w:r>
    </w:p>
    <w:p>
      <w:pPr>
        <w:pStyle w:val="BodyText"/>
        <w:spacing w:before="122"/>
        <w:rPr>
          <w:sz w:val="21"/>
        </w:rPr>
      </w:pPr>
    </w:p>
    <w:p>
      <w:pPr>
        <w:pStyle w:val="Heading1"/>
      </w:pPr>
      <w:r>
        <w:rPr/>
        <w:t>CHAPTER </w:t>
      </w:r>
      <w:r>
        <w:rPr>
          <w:spacing w:val="-5"/>
        </w:rPr>
        <w:t>XIX</w:t>
      </w:r>
    </w:p>
    <w:p>
      <w:pPr>
        <w:pStyle w:val="Heading2"/>
        <w:spacing w:before="64"/>
      </w:pPr>
      <w:r>
        <w:rPr/>
        <w:t>Termination,</w:t>
      </w:r>
      <w:r>
        <w:rPr>
          <w:spacing w:val="-4"/>
        </w:rPr>
        <w:t> </w:t>
      </w:r>
      <w:r>
        <w:rPr/>
        <w:t>cessation,</w:t>
      </w:r>
      <w:r>
        <w:rPr>
          <w:spacing w:val="-4"/>
        </w:rPr>
        <w:t> </w:t>
      </w:r>
      <w:r>
        <w:rPr/>
        <w:t>and</w:t>
      </w:r>
      <w:r>
        <w:rPr>
          <w:spacing w:val="-4"/>
        </w:rPr>
        <w:t> </w:t>
      </w:r>
      <w:r>
        <w:rPr/>
        <w:t>suspension</w:t>
      </w:r>
      <w:r>
        <w:rPr>
          <w:spacing w:val="-4"/>
        </w:rPr>
        <w:t> </w:t>
      </w:r>
      <w:r>
        <w:rPr/>
        <w:t>of</w:t>
      </w:r>
      <w:r>
        <w:rPr>
          <w:spacing w:val="-4"/>
        </w:rPr>
        <w:t> </w:t>
      </w:r>
      <w:r>
        <w:rPr/>
        <w:t>the</w:t>
      </w:r>
      <w:r>
        <w:rPr>
          <w:spacing w:val="-4"/>
        </w:rPr>
        <w:t> </w:t>
      </w:r>
      <w:r>
        <w:rPr>
          <w:spacing w:val="-2"/>
        </w:rPr>
        <w:t>concession</w:t>
      </w:r>
    </w:p>
    <w:p>
      <w:pPr>
        <w:pStyle w:val="BodyText"/>
        <w:spacing w:before="83"/>
        <w:rPr>
          <w:b/>
          <w:sz w:val="25"/>
        </w:rPr>
      </w:pPr>
    </w:p>
    <w:p>
      <w:pPr>
        <w:spacing w:line="295" w:lineRule="auto" w:before="0"/>
        <w:ind w:left="5330" w:right="5303" w:hanging="1"/>
        <w:jc w:val="center"/>
        <w:rPr>
          <w:b/>
          <w:sz w:val="21"/>
        </w:rPr>
      </w:pPr>
      <w:r>
        <w:rPr>
          <w:b/>
          <w:sz w:val="21"/>
        </w:rPr>
        <w:t>Clause 81 </w:t>
      </w:r>
      <w:r>
        <w:rPr>
          <w:b/>
          <w:spacing w:val="-2"/>
          <w:sz w:val="21"/>
        </w:rPr>
        <w:t>Termination</w:t>
      </w:r>
    </w:p>
    <w:p>
      <w:pPr>
        <w:pStyle w:val="BodyText"/>
        <w:spacing w:before="104"/>
        <w:rPr>
          <w:b/>
          <w:sz w:val="21"/>
        </w:rPr>
      </w:pPr>
    </w:p>
    <w:p>
      <w:pPr>
        <w:spacing w:line="213" w:lineRule="auto" w:before="0"/>
        <w:ind w:left="144" w:right="118" w:firstLine="0"/>
        <w:jc w:val="both"/>
        <w:rPr>
          <w:sz w:val="21"/>
        </w:rPr>
      </w:pPr>
      <w:r>
        <w:rPr>
          <w:sz w:val="21"/>
        </w:rPr>
        <w:t>According</w:t>
      </w:r>
      <w:r>
        <w:rPr>
          <w:spacing w:val="40"/>
          <w:sz w:val="21"/>
        </w:rPr>
        <w:t> </w:t>
      </w:r>
      <w:r>
        <w:rPr>
          <w:sz w:val="21"/>
        </w:rPr>
        <w:t>to</w:t>
      </w:r>
      <w:r>
        <w:rPr>
          <w:spacing w:val="40"/>
          <w:sz w:val="21"/>
        </w:rPr>
        <w:t> </w:t>
      </w:r>
      <w:r>
        <w:rPr>
          <w:sz w:val="21"/>
        </w:rPr>
        <w:t>Section</w:t>
      </w:r>
      <w:r>
        <w:rPr>
          <w:spacing w:val="40"/>
          <w:sz w:val="21"/>
        </w:rPr>
        <w:t> </w:t>
      </w:r>
      <w:r>
        <w:rPr>
          <w:sz w:val="21"/>
        </w:rPr>
        <w:t>45</w:t>
      </w:r>
      <w:r>
        <w:rPr>
          <w:spacing w:val="40"/>
          <w:sz w:val="21"/>
        </w:rPr>
        <w:t> </w:t>
      </w:r>
      <w:r>
        <w:rPr>
          <w:sz w:val="21"/>
        </w:rPr>
        <w:t>of</w:t>
      </w:r>
      <w:r>
        <w:rPr>
          <w:spacing w:val="40"/>
          <w:sz w:val="21"/>
        </w:rPr>
        <w:t> </w:t>
      </w:r>
      <w:r>
        <w:rPr>
          <w:sz w:val="21"/>
        </w:rPr>
        <w:t>Law</w:t>
      </w:r>
      <w:r>
        <w:rPr>
          <w:spacing w:val="40"/>
          <w:sz w:val="21"/>
        </w:rPr>
        <w:t> </w:t>
      </w:r>
      <w:r>
        <w:rPr>
          <w:sz w:val="21"/>
        </w:rPr>
        <w:t>No.</w:t>
      </w:r>
      <w:r>
        <w:rPr>
          <w:spacing w:val="40"/>
          <w:sz w:val="21"/>
        </w:rPr>
        <w:t> </w:t>
      </w:r>
      <w:r>
        <w:rPr>
          <w:sz w:val="21"/>
        </w:rPr>
        <w:t>16/2001,</w:t>
      </w:r>
      <w:r>
        <w:rPr>
          <w:spacing w:val="40"/>
          <w:sz w:val="21"/>
        </w:rPr>
        <w:t> </w:t>
      </w:r>
      <w:r>
        <w:rPr>
          <w:sz w:val="21"/>
        </w:rPr>
        <w:t>the</w:t>
      </w:r>
      <w:r>
        <w:rPr>
          <w:spacing w:val="40"/>
          <w:sz w:val="21"/>
        </w:rPr>
        <w:t> </w:t>
      </w:r>
      <w:r>
        <w:rPr>
          <w:sz w:val="21"/>
        </w:rPr>
        <w:t>casino</w:t>
      </w:r>
      <w:r>
        <w:rPr>
          <w:spacing w:val="40"/>
          <w:sz w:val="21"/>
        </w:rPr>
        <w:t> </w:t>
      </w:r>
      <w:r>
        <w:rPr>
          <w:sz w:val="21"/>
        </w:rPr>
        <w:t>gambling</w:t>
      </w:r>
      <w:r>
        <w:rPr>
          <w:spacing w:val="40"/>
          <w:sz w:val="21"/>
        </w:rPr>
        <w:t> </w:t>
      </w:r>
      <w:r>
        <w:rPr>
          <w:sz w:val="21"/>
        </w:rPr>
        <w:t>concession</w:t>
      </w:r>
      <w:r>
        <w:rPr>
          <w:spacing w:val="40"/>
          <w:sz w:val="21"/>
        </w:rPr>
        <w:t> </w:t>
      </w:r>
      <w:r>
        <w:rPr>
          <w:sz w:val="21"/>
        </w:rPr>
        <w:t>may</w:t>
      </w:r>
      <w:r>
        <w:rPr>
          <w:spacing w:val="40"/>
          <w:sz w:val="21"/>
        </w:rPr>
        <w:t> </w:t>
      </w:r>
      <w:r>
        <w:rPr>
          <w:sz w:val="21"/>
        </w:rPr>
        <w:t>be</w:t>
      </w:r>
      <w:r>
        <w:rPr>
          <w:spacing w:val="40"/>
          <w:sz w:val="21"/>
        </w:rPr>
        <w:t> </w:t>
      </w:r>
      <w:r>
        <w:rPr>
          <w:sz w:val="21"/>
        </w:rPr>
        <w:t>terminated</w:t>
      </w:r>
      <w:r>
        <w:rPr>
          <w:spacing w:val="40"/>
          <w:sz w:val="21"/>
        </w:rPr>
        <w:t> </w:t>
      </w:r>
      <w:r>
        <w:rPr>
          <w:sz w:val="21"/>
        </w:rPr>
        <w:t>by</w:t>
      </w:r>
      <w:r>
        <w:rPr>
          <w:spacing w:val="40"/>
          <w:sz w:val="21"/>
        </w:rPr>
        <w:t> </w:t>
      </w:r>
      <w:r>
        <w:rPr>
          <w:sz w:val="21"/>
        </w:rPr>
        <w:t>the</w:t>
      </w:r>
      <w:r>
        <w:rPr>
          <w:spacing w:val="40"/>
          <w:sz w:val="21"/>
        </w:rPr>
        <w:t> </w:t>
      </w:r>
      <w:r>
        <w:rPr>
          <w:sz w:val="21"/>
        </w:rPr>
        <w:t>Chief</w:t>
      </w:r>
      <w:r>
        <w:rPr>
          <w:spacing w:val="40"/>
          <w:sz w:val="21"/>
        </w:rPr>
        <w:t> </w:t>
      </w:r>
      <w:r>
        <w:rPr>
          <w:sz w:val="21"/>
        </w:rPr>
        <w:t>Executive,</w:t>
      </w:r>
      <w:r>
        <w:rPr>
          <w:spacing w:val="40"/>
          <w:sz w:val="21"/>
        </w:rPr>
        <w:t> </w:t>
      </w:r>
      <w:r>
        <w:rPr>
          <w:sz w:val="21"/>
        </w:rPr>
        <w:t>after hearing the Specialized Commission for the Gaming Sector, for the following reasons:</w:t>
      </w:r>
    </w:p>
    <w:p>
      <w:pPr>
        <w:pStyle w:val="BodyText"/>
        <w:spacing w:before="130"/>
        <w:rPr>
          <w:sz w:val="21"/>
        </w:rPr>
      </w:pPr>
    </w:p>
    <w:p>
      <w:pPr>
        <w:pStyle w:val="ListParagraph"/>
        <w:numPr>
          <w:ilvl w:val="0"/>
          <w:numId w:val="44"/>
        </w:numPr>
        <w:tabs>
          <w:tab w:pos="883" w:val="left" w:leader="none"/>
        </w:tabs>
        <w:spacing w:line="240" w:lineRule="auto" w:before="1" w:after="0"/>
        <w:ind w:left="883" w:right="0" w:hanging="229"/>
        <w:jc w:val="left"/>
        <w:rPr>
          <w:sz w:val="21"/>
        </w:rPr>
      </w:pPr>
      <w:r>
        <w:rPr>
          <w:sz w:val="21"/>
        </w:rPr>
        <w:t>Termination</w:t>
      </w:r>
      <w:r>
        <w:rPr>
          <w:spacing w:val="7"/>
          <w:sz w:val="21"/>
        </w:rPr>
        <w:t> </w:t>
      </w:r>
      <w:r>
        <w:rPr>
          <w:sz w:val="21"/>
        </w:rPr>
        <w:t>due</w:t>
      </w:r>
      <w:r>
        <w:rPr>
          <w:spacing w:val="8"/>
          <w:sz w:val="21"/>
        </w:rPr>
        <w:t> </w:t>
      </w:r>
      <w:r>
        <w:rPr>
          <w:sz w:val="21"/>
        </w:rPr>
        <w:t>to</w:t>
      </w:r>
      <w:r>
        <w:rPr>
          <w:spacing w:val="7"/>
          <w:sz w:val="21"/>
        </w:rPr>
        <w:t> </w:t>
      </w:r>
      <w:r>
        <w:rPr>
          <w:sz w:val="21"/>
        </w:rPr>
        <w:t>a</w:t>
      </w:r>
      <w:r>
        <w:rPr>
          <w:spacing w:val="8"/>
          <w:sz w:val="21"/>
        </w:rPr>
        <w:t> </w:t>
      </w:r>
      <w:r>
        <w:rPr>
          <w:sz w:val="21"/>
        </w:rPr>
        <w:t>threat</w:t>
      </w:r>
      <w:r>
        <w:rPr>
          <w:spacing w:val="7"/>
          <w:sz w:val="21"/>
        </w:rPr>
        <w:t> </w:t>
      </w:r>
      <w:r>
        <w:rPr>
          <w:sz w:val="21"/>
        </w:rPr>
        <w:t>to</w:t>
      </w:r>
      <w:r>
        <w:rPr>
          <w:spacing w:val="8"/>
          <w:sz w:val="21"/>
        </w:rPr>
        <w:t> </w:t>
      </w:r>
      <w:r>
        <w:rPr>
          <w:sz w:val="21"/>
        </w:rPr>
        <w:t>national</w:t>
      </w:r>
      <w:r>
        <w:rPr>
          <w:spacing w:val="8"/>
          <w:sz w:val="21"/>
        </w:rPr>
        <w:t> </w:t>
      </w:r>
      <w:r>
        <w:rPr>
          <w:sz w:val="21"/>
        </w:rPr>
        <w:t>security</w:t>
      </w:r>
      <w:r>
        <w:rPr>
          <w:spacing w:val="7"/>
          <w:sz w:val="21"/>
        </w:rPr>
        <w:t> </w:t>
      </w:r>
      <w:r>
        <w:rPr>
          <w:sz w:val="21"/>
        </w:rPr>
        <w:t>or</w:t>
      </w:r>
      <w:r>
        <w:rPr>
          <w:spacing w:val="8"/>
          <w:sz w:val="21"/>
        </w:rPr>
        <w:t> </w:t>
      </w:r>
      <w:r>
        <w:rPr>
          <w:sz w:val="21"/>
        </w:rPr>
        <w:t>to</w:t>
      </w:r>
      <w:r>
        <w:rPr>
          <w:spacing w:val="7"/>
          <w:sz w:val="21"/>
        </w:rPr>
        <w:t> </w:t>
      </w:r>
      <w:r>
        <w:rPr>
          <w:sz w:val="21"/>
        </w:rPr>
        <w:t>the</w:t>
      </w:r>
      <w:r>
        <w:rPr>
          <w:spacing w:val="8"/>
          <w:sz w:val="21"/>
        </w:rPr>
        <w:t> </w:t>
      </w:r>
      <w:r>
        <w:rPr>
          <w:sz w:val="21"/>
        </w:rPr>
        <w:t>Macau</w:t>
      </w:r>
      <w:r>
        <w:rPr>
          <w:spacing w:val="7"/>
          <w:sz w:val="21"/>
        </w:rPr>
        <w:t> </w:t>
      </w:r>
      <w:r>
        <w:rPr>
          <w:spacing w:val="-4"/>
          <w:sz w:val="21"/>
        </w:rPr>
        <w:t>SAR;</w:t>
      </w:r>
    </w:p>
    <w:p>
      <w:pPr>
        <w:pStyle w:val="BodyText"/>
        <w:spacing w:before="124"/>
        <w:rPr>
          <w:sz w:val="21"/>
        </w:rPr>
      </w:pPr>
    </w:p>
    <w:p>
      <w:pPr>
        <w:pStyle w:val="ListParagraph"/>
        <w:numPr>
          <w:ilvl w:val="0"/>
          <w:numId w:val="44"/>
        </w:numPr>
        <w:tabs>
          <w:tab w:pos="883" w:val="left" w:leader="none"/>
        </w:tabs>
        <w:spacing w:line="240" w:lineRule="auto" w:before="0" w:after="0"/>
        <w:ind w:left="883" w:right="0" w:hanging="229"/>
        <w:jc w:val="left"/>
        <w:rPr>
          <w:sz w:val="21"/>
        </w:rPr>
      </w:pPr>
      <w:r>
        <w:rPr>
          <w:sz w:val="21"/>
        </w:rPr>
        <w:t>Termination</w:t>
      </w:r>
      <w:r>
        <w:rPr>
          <w:spacing w:val="9"/>
          <w:sz w:val="21"/>
        </w:rPr>
        <w:t> </w:t>
      </w:r>
      <w:r>
        <w:rPr>
          <w:sz w:val="21"/>
        </w:rPr>
        <w:t>by</w:t>
      </w:r>
      <w:r>
        <w:rPr>
          <w:spacing w:val="9"/>
          <w:sz w:val="21"/>
        </w:rPr>
        <w:t> </w:t>
      </w:r>
      <w:r>
        <w:rPr>
          <w:sz w:val="21"/>
        </w:rPr>
        <w:t>agreement</w:t>
      </w:r>
      <w:r>
        <w:rPr>
          <w:spacing w:val="10"/>
          <w:sz w:val="21"/>
        </w:rPr>
        <w:t> </w:t>
      </w:r>
      <w:r>
        <w:rPr>
          <w:sz w:val="21"/>
        </w:rPr>
        <w:t>between</w:t>
      </w:r>
      <w:r>
        <w:rPr>
          <w:spacing w:val="9"/>
          <w:sz w:val="21"/>
        </w:rPr>
        <w:t> </w:t>
      </w:r>
      <w:r>
        <w:rPr>
          <w:sz w:val="21"/>
        </w:rPr>
        <w:t>the</w:t>
      </w:r>
      <w:r>
        <w:rPr>
          <w:spacing w:val="10"/>
          <w:sz w:val="21"/>
        </w:rPr>
        <w:t> </w:t>
      </w:r>
      <w:r>
        <w:rPr>
          <w:sz w:val="21"/>
        </w:rPr>
        <w:t>Macau</w:t>
      </w:r>
      <w:r>
        <w:rPr>
          <w:spacing w:val="9"/>
          <w:sz w:val="21"/>
        </w:rPr>
        <w:t> </w:t>
      </w:r>
      <w:r>
        <w:rPr>
          <w:sz w:val="21"/>
        </w:rPr>
        <w:t>SAR</w:t>
      </w:r>
      <w:r>
        <w:rPr>
          <w:spacing w:val="10"/>
          <w:sz w:val="21"/>
        </w:rPr>
        <w:t> </w:t>
      </w:r>
      <w:r>
        <w:rPr>
          <w:sz w:val="21"/>
        </w:rPr>
        <w:t>and</w:t>
      </w:r>
      <w:r>
        <w:rPr>
          <w:spacing w:val="9"/>
          <w:sz w:val="21"/>
        </w:rPr>
        <w:t> </w:t>
      </w:r>
      <w:r>
        <w:rPr>
          <w:sz w:val="21"/>
        </w:rPr>
        <w:t>the</w:t>
      </w:r>
      <w:r>
        <w:rPr>
          <w:spacing w:val="10"/>
          <w:sz w:val="21"/>
        </w:rPr>
        <w:t> </w:t>
      </w:r>
      <w:r>
        <w:rPr>
          <w:spacing w:val="-2"/>
          <w:sz w:val="21"/>
        </w:rPr>
        <w:t>Concessionaire;</w:t>
      </w:r>
    </w:p>
    <w:p>
      <w:pPr>
        <w:pStyle w:val="BodyText"/>
        <w:spacing w:before="138"/>
        <w:rPr>
          <w:sz w:val="21"/>
        </w:rPr>
      </w:pPr>
    </w:p>
    <w:p>
      <w:pPr>
        <w:pStyle w:val="ListParagraph"/>
        <w:numPr>
          <w:ilvl w:val="0"/>
          <w:numId w:val="44"/>
        </w:numPr>
        <w:tabs>
          <w:tab w:pos="887" w:val="left" w:leader="none"/>
        </w:tabs>
        <w:spacing w:line="240" w:lineRule="auto" w:before="0" w:after="0"/>
        <w:ind w:left="887" w:right="0" w:hanging="233"/>
        <w:jc w:val="left"/>
        <w:rPr>
          <w:sz w:val="21"/>
        </w:rPr>
      </w:pPr>
      <w:r>
        <w:rPr>
          <w:spacing w:val="-2"/>
          <w:sz w:val="21"/>
        </w:rPr>
        <w:t>Redemption;</w:t>
      </w:r>
    </w:p>
    <w:p>
      <w:pPr>
        <w:pStyle w:val="BodyText"/>
        <w:spacing w:before="125"/>
        <w:rPr>
          <w:sz w:val="21"/>
        </w:rPr>
      </w:pPr>
    </w:p>
    <w:p>
      <w:pPr>
        <w:pStyle w:val="ListParagraph"/>
        <w:numPr>
          <w:ilvl w:val="0"/>
          <w:numId w:val="44"/>
        </w:numPr>
        <w:tabs>
          <w:tab w:pos="883" w:val="left" w:leader="none"/>
        </w:tabs>
        <w:spacing w:line="240" w:lineRule="auto" w:before="0" w:after="0"/>
        <w:ind w:left="883" w:right="0" w:hanging="229"/>
        <w:jc w:val="left"/>
        <w:rPr>
          <w:sz w:val="21"/>
        </w:rPr>
      </w:pPr>
      <w:r>
        <w:rPr>
          <w:sz w:val="21"/>
        </w:rPr>
        <w:t>Termination</w:t>
      </w:r>
      <w:r>
        <w:rPr>
          <w:spacing w:val="8"/>
          <w:sz w:val="21"/>
        </w:rPr>
        <w:t> </w:t>
      </w:r>
      <w:r>
        <w:rPr>
          <w:sz w:val="21"/>
        </w:rPr>
        <w:t>for</w:t>
      </w:r>
      <w:r>
        <w:rPr>
          <w:spacing w:val="9"/>
          <w:sz w:val="21"/>
        </w:rPr>
        <w:t> </w:t>
      </w:r>
      <w:r>
        <w:rPr>
          <w:sz w:val="21"/>
        </w:rPr>
        <w:t>breach</w:t>
      </w:r>
      <w:r>
        <w:rPr>
          <w:spacing w:val="8"/>
          <w:sz w:val="21"/>
        </w:rPr>
        <w:t> </w:t>
      </w:r>
      <w:r>
        <w:rPr>
          <w:sz w:val="21"/>
        </w:rPr>
        <w:t>of</w:t>
      </w:r>
      <w:r>
        <w:rPr>
          <w:spacing w:val="9"/>
          <w:sz w:val="21"/>
        </w:rPr>
        <w:t> </w:t>
      </w:r>
      <w:r>
        <w:rPr>
          <w:sz w:val="21"/>
        </w:rPr>
        <w:t>obligations,</w:t>
      </w:r>
      <w:r>
        <w:rPr>
          <w:spacing w:val="9"/>
          <w:sz w:val="21"/>
        </w:rPr>
        <w:t> </w:t>
      </w:r>
      <w:r>
        <w:rPr>
          <w:sz w:val="21"/>
        </w:rPr>
        <w:t>by</w:t>
      </w:r>
      <w:r>
        <w:rPr>
          <w:spacing w:val="8"/>
          <w:sz w:val="21"/>
        </w:rPr>
        <w:t> </w:t>
      </w:r>
      <w:r>
        <w:rPr>
          <w:sz w:val="21"/>
        </w:rPr>
        <w:t>the</w:t>
      </w:r>
      <w:r>
        <w:rPr>
          <w:spacing w:val="9"/>
          <w:sz w:val="21"/>
        </w:rPr>
        <w:t> </w:t>
      </w:r>
      <w:r>
        <w:rPr>
          <w:spacing w:val="-2"/>
          <w:sz w:val="21"/>
        </w:rPr>
        <w:t>Concessionaire;</w:t>
      </w:r>
    </w:p>
    <w:p>
      <w:pPr>
        <w:pStyle w:val="BodyText"/>
        <w:spacing w:before="124"/>
        <w:rPr>
          <w:sz w:val="21"/>
        </w:rPr>
      </w:pPr>
    </w:p>
    <w:p>
      <w:pPr>
        <w:pStyle w:val="ListParagraph"/>
        <w:numPr>
          <w:ilvl w:val="0"/>
          <w:numId w:val="44"/>
        </w:numPr>
        <w:tabs>
          <w:tab w:pos="883" w:val="left" w:leader="none"/>
        </w:tabs>
        <w:spacing w:line="240" w:lineRule="auto" w:before="0" w:after="0"/>
        <w:ind w:left="883" w:right="0" w:hanging="229"/>
        <w:jc w:val="left"/>
        <w:rPr>
          <w:sz w:val="21"/>
        </w:rPr>
      </w:pPr>
      <w:r>
        <w:rPr>
          <w:sz w:val="21"/>
        </w:rPr>
        <w:t>Termination</w:t>
      </w:r>
      <w:r>
        <w:rPr>
          <w:spacing w:val="8"/>
          <w:sz w:val="21"/>
        </w:rPr>
        <w:t> </w:t>
      </w:r>
      <w:r>
        <w:rPr>
          <w:sz w:val="21"/>
        </w:rPr>
        <w:t>for</w:t>
      </w:r>
      <w:r>
        <w:rPr>
          <w:spacing w:val="8"/>
          <w:sz w:val="21"/>
        </w:rPr>
        <w:t> </w:t>
      </w:r>
      <w:r>
        <w:rPr>
          <w:sz w:val="21"/>
        </w:rPr>
        <w:t>reasons</w:t>
      </w:r>
      <w:r>
        <w:rPr>
          <w:spacing w:val="8"/>
          <w:sz w:val="21"/>
        </w:rPr>
        <w:t> </w:t>
      </w:r>
      <w:r>
        <w:rPr>
          <w:sz w:val="21"/>
        </w:rPr>
        <w:t>of</w:t>
      </w:r>
      <w:r>
        <w:rPr>
          <w:spacing w:val="9"/>
          <w:sz w:val="21"/>
        </w:rPr>
        <w:t> </w:t>
      </w:r>
      <w:r>
        <w:rPr>
          <w:sz w:val="21"/>
        </w:rPr>
        <w:t>public</w:t>
      </w:r>
      <w:r>
        <w:rPr>
          <w:spacing w:val="8"/>
          <w:sz w:val="21"/>
        </w:rPr>
        <w:t> </w:t>
      </w:r>
      <w:r>
        <w:rPr>
          <w:spacing w:val="-2"/>
          <w:sz w:val="21"/>
        </w:rPr>
        <w:t>interest;</w:t>
      </w:r>
    </w:p>
    <w:p>
      <w:pPr>
        <w:pStyle w:val="BodyText"/>
        <w:spacing w:before="125"/>
        <w:rPr>
          <w:sz w:val="21"/>
        </w:rPr>
      </w:pPr>
    </w:p>
    <w:p>
      <w:pPr>
        <w:pStyle w:val="ListParagraph"/>
        <w:numPr>
          <w:ilvl w:val="0"/>
          <w:numId w:val="44"/>
        </w:numPr>
        <w:tabs>
          <w:tab w:pos="883" w:val="left" w:leader="none"/>
        </w:tabs>
        <w:spacing w:line="240" w:lineRule="auto" w:before="0" w:after="0"/>
        <w:ind w:left="883" w:right="0" w:hanging="229"/>
        <w:jc w:val="left"/>
        <w:rPr>
          <w:sz w:val="21"/>
        </w:rPr>
      </w:pPr>
      <w:r>
        <w:rPr>
          <w:sz w:val="21"/>
        </w:rPr>
        <w:t>Termination</w:t>
      </w:r>
      <w:r>
        <w:rPr>
          <w:spacing w:val="8"/>
          <w:sz w:val="21"/>
        </w:rPr>
        <w:t> </w:t>
      </w:r>
      <w:r>
        <w:rPr>
          <w:sz w:val="21"/>
        </w:rPr>
        <w:t>for</w:t>
      </w:r>
      <w:r>
        <w:rPr>
          <w:spacing w:val="8"/>
          <w:sz w:val="21"/>
        </w:rPr>
        <w:t> </w:t>
      </w:r>
      <w:r>
        <w:rPr>
          <w:sz w:val="21"/>
        </w:rPr>
        <w:t>lack</w:t>
      </w:r>
      <w:r>
        <w:rPr>
          <w:spacing w:val="8"/>
          <w:sz w:val="21"/>
        </w:rPr>
        <w:t> </w:t>
      </w:r>
      <w:r>
        <w:rPr>
          <w:sz w:val="21"/>
        </w:rPr>
        <w:t>of</w:t>
      </w:r>
      <w:r>
        <w:rPr>
          <w:spacing w:val="8"/>
          <w:sz w:val="21"/>
        </w:rPr>
        <w:t> </w:t>
      </w:r>
      <w:r>
        <w:rPr>
          <w:sz w:val="21"/>
        </w:rPr>
        <w:t>good</w:t>
      </w:r>
      <w:r>
        <w:rPr>
          <w:spacing w:val="9"/>
          <w:sz w:val="21"/>
        </w:rPr>
        <w:t> </w:t>
      </w:r>
      <w:r>
        <w:rPr>
          <w:sz w:val="21"/>
        </w:rPr>
        <w:t>standing</w:t>
      </w:r>
      <w:r>
        <w:rPr>
          <w:spacing w:val="8"/>
          <w:sz w:val="21"/>
        </w:rPr>
        <w:t> </w:t>
      </w:r>
      <w:r>
        <w:rPr>
          <w:sz w:val="21"/>
        </w:rPr>
        <w:t>on</w:t>
      </w:r>
      <w:r>
        <w:rPr>
          <w:spacing w:val="8"/>
          <w:sz w:val="21"/>
        </w:rPr>
        <w:t> </w:t>
      </w:r>
      <w:r>
        <w:rPr>
          <w:sz w:val="21"/>
        </w:rPr>
        <w:t>the</w:t>
      </w:r>
      <w:r>
        <w:rPr>
          <w:spacing w:val="8"/>
          <w:sz w:val="21"/>
        </w:rPr>
        <w:t> </w:t>
      </w:r>
      <w:r>
        <w:rPr>
          <w:sz w:val="21"/>
        </w:rPr>
        <w:t>part</w:t>
      </w:r>
      <w:r>
        <w:rPr>
          <w:spacing w:val="8"/>
          <w:sz w:val="21"/>
        </w:rPr>
        <w:t> </w:t>
      </w:r>
      <w:r>
        <w:rPr>
          <w:sz w:val="21"/>
        </w:rPr>
        <w:t>of</w:t>
      </w:r>
      <w:r>
        <w:rPr>
          <w:spacing w:val="9"/>
          <w:sz w:val="21"/>
        </w:rPr>
        <w:t> </w:t>
      </w:r>
      <w:r>
        <w:rPr>
          <w:sz w:val="21"/>
        </w:rPr>
        <w:t>the</w:t>
      </w:r>
      <w:r>
        <w:rPr>
          <w:spacing w:val="8"/>
          <w:sz w:val="21"/>
        </w:rPr>
        <w:t> </w:t>
      </w:r>
      <w:r>
        <w:rPr>
          <w:sz w:val="21"/>
        </w:rPr>
        <w:t>Concessionaire,</w:t>
      </w:r>
      <w:r>
        <w:rPr>
          <w:spacing w:val="8"/>
          <w:sz w:val="21"/>
        </w:rPr>
        <w:t> </w:t>
      </w:r>
      <w:r>
        <w:rPr>
          <w:sz w:val="21"/>
        </w:rPr>
        <w:t>as</w:t>
      </w:r>
      <w:r>
        <w:rPr>
          <w:spacing w:val="8"/>
          <w:sz w:val="21"/>
        </w:rPr>
        <w:t> </w:t>
      </w:r>
      <w:r>
        <w:rPr>
          <w:sz w:val="21"/>
        </w:rPr>
        <w:t>referred</w:t>
      </w:r>
      <w:r>
        <w:rPr>
          <w:spacing w:val="8"/>
          <w:sz w:val="21"/>
        </w:rPr>
        <w:t> </w:t>
      </w:r>
      <w:r>
        <w:rPr>
          <w:sz w:val="21"/>
        </w:rPr>
        <w:t>to</w:t>
      </w:r>
      <w:r>
        <w:rPr>
          <w:spacing w:val="9"/>
          <w:sz w:val="21"/>
        </w:rPr>
        <w:t> </w:t>
      </w:r>
      <w:r>
        <w:rPr>
          <w:sz w:val="21"/>
        </w:rPr>
        <w:t>in</w:t>
      </w:r>
      <w:r>
        <w:rPr>
          <w:spacing w:val="8"/>
          <w:sz w:val="21"/>
        </w:rPr>
        <w:t> </w:t>
      </w:r>
      <w:r>
        <w:rPr>
          <w:sz w:val="21"/>
        </w:rPr>
        <w:t>Section</w:t>
      </w:r>
      <w:r>
        <w:rPr>
          <w:spacing w:val="8"/>
          <w:sz w:val="21"/>
        </w:rPr>
        <w:t> </w:t>
      </w:r>
      <w:r>
        <w:rPr>
          <w:sz w:val="21"/>
        </w:rPr>
        <w:t>14</w:t>
      </w:r>
      <w:r>
        <w:rPr>
          <w:spacing w:val="8"/>
          <w:sz w:val="21"/>
        </w:rPr>
        <w:t> </w:t>
      </w:r>
      <w:r>
        <w:rPr>
          <w:sz w:val="21"/>
        </w:rPr>
        <w:t>of</w:t>
      </w:r>
      <w:r>
        <w:rPr>
          <w:spacing w:val="8"/>
          <w:sz w:val="21"/>
        </w:rPr>
        <w:t> </w:t>
      </w:r>
      <w:r>
        <w:rPr>
          <w:sz w:val="21"/>
        </w:rPr>
        <w:t>Law</w:t>
      </w:r>
      <w:r>
        <w:rPr>
          <w:spacing w:val="9"/>
          <w:sz w:val="21"/>
        </w:rPr>
        <w:t> </w:t>
      </w:r>
      <w:r>
        <w:rPr>
          <w:sz w:val="21"/>
        </w:rPr>
        <w:t>No.</w:t>
      </w:r>
      <w:r>
        <w:rPr>
          <w:spacing w:val="8"/>
          <w:sz w:val="21"/>
        </w:rPr>
        <w:t> </w:t>
      </w:r>
      <w:r>
        <w:rPr>
          <w:spacing w:val="-2"/>
          <w:sz w:val="21"/>
        </w:rPr>
        <w:t>16/2001.</w:t>
      </w:r>
    </w:p>
    <w:p>
      <w:pPr>
        <w:pStyle w:val="BodyText"/>
        <w:spacing w:before="138"/>
        <w:rPr>
          <w:sz w:val="21"/>
        </w:rPr>
      </w:pPr>
    </w:p>
    <w:p>
      <w:pPr>
        <w:spacing w:before="0"/>
        <w:ind w:left="24" w:right="0" w:firstLine="0"/>
        <w:jc w:val="center"/>
        <w:rPr>
          <w:b/>
          <w:sz w:val="21"/>
        </w:rPr>
      </w:pPr>
      <w:r>
        <w:rPr>
          <w:b/>
          <w:sz w:val="21"/>
        </w:rPr>
        <w:t>Clause</w:t>
      </w:r>
      <w:r>
        <w:rPr>
          <w:b/>
          <w:spacing w:val="13"/>
          <w:sz w:val="21"/>
        </w:rPr>
        <w:t> </w:t>
      </w:r>
      <w:r>
        <w:rPr>
          <w:b/>
          <w:spacing w:val="-5"/>
          <w:sz w:val="21"/>
        </w:rPr>
        <w:t>82</w:t>
      </w:r>
    </w:p>
    <w:p>
      <w:pPr>
        <w:spacing w:before="55"/>
        <w:ind w:left="24" w:right="0" w:firstLine="0"/>
        <w:jc w:val="center"/>
        <w:rPr>
          <w:b/>
          <w:sz w:val="21"/>
        </w:rPr>
      </w:pPr>
      <w:r>
        <w:rPr>
          <w:b/>
          <w:sz w:val="21"/>
        </w:rPr>
        <w:t>Rescission</w:t>
      </w:r>
      <w:r>
        <w:rPr>
          <w:b/>
          <w:spacing w:val="12"/>
          <w:sz w:val="21"/>
        </w:rPr>
        <w:t> </w:t>
      </w:r>
      <w:r>
        <w:rPr>
          <w:b/>
          <w:sz w:val="21"/>
        </w:rPr>
        <w:t>by</w:t>
      </w:r>
      <w:r>
        <w:rPr>
          <w:b/>
          <w:spacing w:val="13"/>
          <w:sz w:val="21"/>
        </w:rPr>
        <w:t> </w:t>
      </w:r>
      <w:r>
        <w:rPr>
          <w:b/>
          <w:sz w:val="21"/>
        </w:rPr>
        <w:t>mutual</w:t>
      </w:r>
      <w:r>
        <w:rPr>
          <w:b/>
          <w:spacing w:val="13"/>
          <w:sz w:val="21"/>
        </w:rPr>
        <w:t> </w:t>
      </w:r>
      <w:r>
        <w:rPr>
          <w:b/>
          <w:spacing w:val="-2"/>
          <w:sz w:val="21"/>
        </w:rPr>
        <w:t>agreement</w:t>
      </w:r>
    </w:p>
    <w:p>
      <w:pPr>
        <w:pStyle w:val="BodyText"/>
        <w:spacing w:before="138"/>
        <w:rPr>
          <w:b/>
          <w:sz w:val="21"/>
        </w:rPr>
      </w:pPr>
    </w:p>
    <w:p>
      <w:pPr>
        <w:spacing w:before="0"/>
        <w:ind w:left="144" w:right="0" w:firstLine="0"/>
        <w:jc w:val="both"/>
        <w:rPr>
          <w:sz w:val="21"/>
        </w:rPr>
      </w:pPr>
      <w:r>
        <w:rPr>
          <w:i/>
          <w:sz w:val="21"/>
        </w:rPr>
        <w:t>One</w:t>
      </w:r>
      <w:r>
        <w:rPr>
          <w:sz w:val="21"/>
        </w:rPr>
        <w:t>.</w:t>
      </w:r>
      <w:r>
        <w:rPr>
          <w:spacing w:val="6"/>
          <w:sz w:val="21"/>
        </w:rPr>
        <w:t> </w:t>
      </w:r>
      <w:r>
        <w:rPr>
          <w:sz w:val="21"/>
        </w:rPr>
        <w:t>The</w:t>
      </w:r>
      <w:r>
        <w:rPr>
          <w:spacing w:val="12"/>
          <w:sz w:val="21"/>
        </w:rPr>
        <w:t> </w:t>
      </w:r>
      <w:r>
        <w:rPr>
          <w:sz w:val="21"/>
        </w:rPr>
        <w:t>Government</w:t>
      </w:r>
      <w:r>
        <w:rPr>
          <w:spacing w:val="11"/>
          <w:sz w:val="21"/>
        </w:rPr>
        <w:t> </w:t>
      </w:r>
      <w:r>
        <w:rPr>
          <w:sz w:val="21"/>
        </w:rPr>
        <w:t>and</w:t>
      </w:r>
      <w:r>
        <w:rPr>
          <w:spacing w:val="11"/>
          <w:sz w:val="21"/>
        </w:rPr>
        <w:t> </w:t>
      </w:r>
      <w:r>
        <w:rPr>
          <w:sz w:val="21"/>
        </w:rPr>
        <w:t>the</w:t>
      </w:r>
      <w:r>
        <w:rPr>
          <w:spacing w:val="12"/>
          <w:sz w:val="21"/>
        </w:rPr>
        <w:t> </w:t>
      </w:r>
      <w:r>
        <w:rPr>
          <w:sz w:val="21"/>
        </w:rPr>
        <w:t>Concessionaire</w:t>
      </w:r>
      <w:r>
        <w:rPr>
          <w:spacing w:val="11"/>
          <w:sz w:val="21"/>
        </w:rPr>
        <w:t> </w:t>
      </w:r>
      <w:r>
        <w:rPr>
          <w:sz w:val="21"/>
        </w:rPr>
        <w:t>may</w:t>
      </w:r>
      <w:r>
        <w:rPr>
          <w:spacing w:val="12"/>
          <w:sz w:val="21"/>
        </w:rPr>
        <w:t> </w:t>
      </w:r>
      <w:r>
        <w:rPr>
          <w:sz w:val="21"/>
        </w:rPr>
        <w:t>at</w:t>
      </w:r>
      <w:r>
        <w:rPr>
          <w:spacing w:val="11"/>
          <w:sz w:val="21"/>
        </w:rPr>
        <w:t> </w:t>
      </w:r>
      <w:r>
        <w:rPr>
          <w:sz w:val="21"/>
        </w:rPr>
        <w:t>any</w:t>
      </w:r>
      <w:r>
        <w:rPr>
          <w:spacing w:val="12"/>
          <w:sz w:val="21"/>
        </w:rPr>
        <w:t> </w:t>
      </w:r>
      <w:r>
        <w:rPr>
          <w:sz w:val="21"/>
        </w:rPr>
        <w:t>time</w:t>
      </w:r>
      <w:r>
        <w:rPr>
          <w:spacing w:val="11"/>
          <w:sz w:val="21"/>
        </w:rPr>
        <w:t> </w:t>
      </w:r>
      <w:r>
        <w:rPr>
          <w:sz w:val="21"/>
        </w:rPr>
        <w:t>terminate</w:t>
      </w:r>
      <w:r>
        <w:rPr>
          <w:spacing w:val="11"/>
          <w:sz w:val="21"/>
        </w:rPr>
        <w:t> </w:t>
      </w:r>
      <w:r>
        <w:rPr>
          <w:sz w:val="21"/>
        </w:rPr>
        <w:t>this</w:t>
      </w:r>
      <w:r>
        <w:rPr>
          <w:spacing w:val="12"/>
          <w:sz w:val="21"/>
        </w:rPr>
        <w:t> </w:t>
      </w:r>
      <w:r>
        <w:rPr>
          <w:sz w:val="21"/>
        </w:rPr>
        <w:t>concession</w:t>
      </w:r>
      <w:r>
        <w:rPr>
          <w:spacing w:val="11"/>
          <w:sz w:val="21"/>
        </w:rPr>
        <w:t> </w:t>
      </w:r>
      <w:r>
        <w:rPr>
          <w:sz w:val="21"/>
        </w:rPr>
        <w:t>contract</w:t>
      </w:r>
      <w:r>
        <w:rPr>
          <w:spacing w:val="12"/>
          <w:sz w:val="21"/>
        </w:rPr>
        <w:t> </w:t>
      </w:r>
      <w:r>
        <w:rPr>
          <w:sz w:val="21"/>
        </w:rPr>
        <w:t>by</w:t>
      </w:r>
      <w:r>
        <w:rPr>
          <w:spacing w:val="11"/>
          <w:sz w:val="21"/>
        </w:rPr>
        <w:t> </w:t>
      </w:r>
      <w:r>
        <w:rPr>
          <w:sz w:val="21"/>
        </w:rPr>
        <w:t>mutual</w:t>
      </w:r>
      <w:r>
        <w:rPr>
          <w:spacing w:val="11"/>
          <w:sz w:val="21"/>
        </w:rPr>
        <w:t> </w:t>
      </w:r>
      <w:r>
        <w:rPr>
          <w:spacing w:val="-2"/>
          <w:sz w:val="21"/>
        </w:rPr>
        <w:t>agreement.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9"/>
        <w:rPr>
          <w:sz w:val="20"/>
        </w:rPr>
      </w:pPr>
      <w:r>
        <w:rPr/>
        <mc:AlternateContent>
          <mc:Choice Requires="wps">
            <w:drawing>
              <wp:anchor distT="0" distB="0" distL="0" distR="0" allowOverlap="1" layoutInCell="1" locked="0" behindDoc="1" simplePos="0" relativeHeight="487785984">
                <wp:simplePos x="0" y="0"/>
                <wp:positionH relativeFrom="page">
                  <wp:posOffset>231457</wp:posOffset>
                </wp:positionH>
                <wp:positionV relativeFrom="paragraph">
                  <wp:posOffset>192392</wp:posOffset>
                </wp:positionV>
                <wp:extent cx="7312659" cy="17145"/>
                <wp:effectExtent l="0" t="0" r="0" b="0"/>
                <wp:wrapTopAndBottom/>
                <wp:docPr id="964" name="Group 964"/>
                <wp:cNvGraphicFramePr>
                  <a:graphicFrameLocks/>
                </wp:cNvGraphicFramePr>
                <a:graphic>
                  <a:graphicData uri="http://schemas.microsoft.com/office/word/2010/wordprocessingGroup">
                    <wpg:wgp>
                      <wpg:cNvPr id="964" name="Group 964"/>
                      <wpg:cNvGrpSpPr/>
                      <wpg:grpSpPr>
                        <a:xfrm>
                          <a:off x="0" y="0"/>
                          <a:ext cx="7312659" cy="17145"/>
                          <a:chExt cx="7312659" cy="17145"/>
                        </a:xfrm>
                      </wpg:grpSpPr>
                      <wps:wsp>
                        <wps:cNvPr id="965" name="Graphic 96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66" name="Graphic 966"/>
                        <wps:cNvSpPr/>
                        <wps:spPr>
                          <a:xfrm>
                            <a:off x="-12" y="-2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67" name="Graphic 96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149023pt;width:575.8pt;height:1.35pt;mso-position-horizontal-relative:page;mso-position-vertical-relative:paragraph;z-index:-15530496;mso-wrap-distance-left:0;mso-wrap-distance-right:0" id="docshapegroup962" coordorigin="364,303" coordsize="11516,27">
                <v:rect style="position:absolute;left:364;top:302;width:11516;height:14" id="docshape963" filled="true" fillcolor="#999999" stroked="false">
                  <v:fill type="solid"/>
                </v:rect>
                <v:shape style="position:absolute;left:364;top:302;width:11516;height:27" id="docshape964" coordorigin="364,303" coordsize="11516,27" path="m11880,303l11866,316,364,316,364,330,11866,330,11880,330,11880,316,11880,303xe" filled="true" fillcolor="#ededed" stroked="false">
                  <v:path arrowok="t"/>
                  <v:fill type="solid"/>
                </v:shape>
                <v:shape style="position:absolute;left:364;top:302;width:14;height:27" id="docshape965" coordorigin="364,303" coordsize="14,27" path="m364,330l364,303,378,303,378,316,364,330xe" filled="true" fillcolor="#999999" stroked="false">
                  <v:path arrowok="t"/>
                  <v:fill type="solid"/>
                </v:shape>
                <w10:wrap type="topAndBottom"/>
              </v:group>
            </w:pict>
          </mc:Fallback>
        </mc:AlternateContent>
      </w:r>
    </w:p>
    <w:p>
      <w:pPr>
        <w:spacing w:after="0"/>
        <w:rPr>
          <w:sz w:val="20"/>
        </w:rPr>
        <w:sectPr>
          <w:pgSz w:w="12240" w:h="15840"/>
          <w:pgMar w:top="1760" w:bottom="280" w:left="220" w:right="240"/>
        </w:sectPr>
      </w:pPr>
    </w:p>
    <w:p>
      <w:pPr>
        <w:spacing w:line="213" w:lineRule="auto" w:before="97"/>
        <w:ind w:left="144" w:right="118" w:firstLine="0"/>
        <w:jc w:val="both"/>
        <w:rPr>
          <w:sz w:val="21"/>
        </w:rPr>
      </w:pPr>
      <w:r>
        <w:rPr>
          <w:i/>
          <w:sz w:val="21"/>
        </w:rPr>
        <w:t>Two</w:t>
      </w:r>
      <w:r>
        <w:rPr>
          <w:sz w:val="21"/>
        </w:rPr>
        <w:t>. The Concessionaire shall be entirely responsible for the termination of the effects of any contracts to which it is a party, and the Macau</w:t>
      </w:r>
      <w:r>
        <w:rPr>
          <w:spacing w:val="28"/>
          <w:sz w:val="21"/>
        </w:rPr>
        <w:t> </w:t>
      </w:r>
      <w:r>
        <w:rPr>
          <w:sz w:val="21"/>
        </w:rPr>
        <w:t>SAR</w:t>
      </w:r>
      <w:r>
        <w:rPr>
          <w:spacing w:val="28"/>
          <w:sz w:val="21"/>
        </w:rPr>
        <w:t> </w:t>
      </w:r>
      <w:r>
        <w:rPr>
          <w:sz w:val="21"/>
        </w:rPr>
        <w:t>shall</w:t>
      </w:r>
      <w:r>
        <w:rPr>
          <w:spacing w:val="28"/>
          <w:sz w:val="21"/>
        </w:rPr>
        <w:t> </w:t>
      </w:r>
      <w:r>
        <w:rPr>
          <w:sz w:val="21"/>
        </w:rPr>
        <w:t>not</w:t>
      </w:r>
      <w:r>
        <w:rPr>
          <w:spacing w:val="28"/>
          <w:sz w:val="21"/>
        </w:rPr>
        <w:t> </w:t>
      </w:r>
      <w:r>
        <w:rPr>
          <w:sz w:val="21"/>
        </w:rPr>
        <w:t>assume</w:t>
      </w:r>
      <w:r>
        <w:rPr>
          <w:spacing w:val="28"/>
          <w:sz w:val="21"/>
        </w:rPr>
        <w:t> </w:t>
      </w:r>
      <w:r>
        <w:rPr>
          <w:sz w:val="21"/>
        </w:rPr>
        <w:t>any</w:t>
      </w:r>
      <w:r>
        <w:rPr>
          <w:spacing w:val="28"/>
          <w:sz w:val="21"/>
        </w:rPr>
        <w:t> </w:t>
      </w:r>
      <w:r>
        <w:rPr>
          <w:sz w:val="21"/>
        </w:rPr>
        <w:t>liability</w:t>
      </w:r>
      <w:r>
        <w:rPr>
          <w:spacing w:val="28"/>
          <w:sz w:val="21"/>
        </w:rPr>
        <w:t> </w:t>
      </w:r>
      <w:r>
        <w:rPr>
          <w:sz w:val="21"/>
        </w:rPr>
        <w:t>in</w:t>
      </w:r>
      <w:r>
        <w:rPr>
          <w:spacing w:val="28"/>
          <w:sz w:val="21"/>
        </w:rPr>
        <w:t> </w:t>
      </w:r>
      <w:r>
        <w:rPr>
          <w:sz w:val="21"/>
        </w:rPr>
        <w:t>this</w:t>
      </w:r>
      <w:r>
        <w:rPr>
          <w:spacing w:val="28"/>
          <w:sz w:val="21"/>
        </w:rPr>
        <w:t> </w:t>
      </w:r>
      <w:r>
        <w:rPr>
          <w:sz w:val="21"/>
        </w:rPr>
        <w:t>regard,</w:t>
      </w:r>
      <w:r>
        <w:rPr>
          <w:spacing w:val="28"/>
          <w:sz w:val="21"/>
        </w:rPr>
        <w:t> </w:t>
      </w:r>
      <w:r>
        <w:rPr>
          <w:sz w:val="21"/>
        </w:rPr>
        <w:t>unless</w:t>
      </w:r>
      <w:r>
        <w:rPr>
          <w:spacing w:val="28"/>
          <w:sz w:val="21"/>
        </w:rPr>
        <w:t> </w:t>
      </w:r>
      <w:r>
        <w:rPr>
          <w:sz w:val="21"/>
        </w:rPr>
        <w:t>otherwise</w:t>
      </w:r>
      <w:r>
        <w:rPr>
          <w:spacing w:val="28"/>
          <w:sz w:val="21"/>
        </w:rPr>
        <w:t> </w:t>
      </w:r>
      <w:r>
        <w:rPr>
          <w:sz w:val="21"/>
        </w:rPr>
        <w:t>expressly</w:t>
      </w:r>
      <w:r>
        <w:rPr>
          <w:spacing w:val="28"/>
          <w:sz w:val="21"/>
        </w:rPr>
        <w:t> </w:t>
      </w:r>
      <w:r>
        <w:rPr>
          <w:sz w:val="21"/>
        </w:rPr>
        <w:t>agreed.</w:t>
      </w:r>
    </w:p>
    <w:p>
      <w:pPr>
        <w:pStyle w:val="BodyText"/>
        <w:spacing w:before="144"/>
        <w:rPr>
          <w:sz w:val="21"/>
        </w:rPr>
      </w:pPr>
    </w:p>
    <w:p>
      <w:pPr>
        <w:spacing w:line="295" w:lineRule="auto" w:before="0"/>
        <w:ind w:left="5338" w:right="5311" w:hanging="1"/>
        <w:jc w:val="center"/>
        <w:rPr>
          <w:b/>
          <w:sz w:val="21"/>
        </w:rPr>
      </w:pPr>
      <w:r>
        <w:rPr>
          <w:b/>
          <w:sz w:val="21"/>
        </w:rPr>
        <w:t>Clause 83 </w:t>
      </w:r>
      <w:r>
        <w:rPr>
          <w:b/>
          <w:spacing w:val="-2"/>
          <w:sz w:val="21"/>
        </w:rPr>
        <w:t>Redemption</w:t>
      </w:r>
    </w:p>
    <w:p>
      <w:pPr>
        <w:pStyle w:val="BodyText"/>
        <w:spacing w:before="104"/>
        <w:rPr>
          <w:b/>
          <w:sz w:val="21"/>
        </w:rPr>
      </w:pPr>
    </w:p>
    <w:p>
      <w:pPr>
        <w:spacing w:line="213" w:lineRule="auto" w:before="0"/>
        <w:ind w:left="144" w:right="118" w:firstLine="0"/>
        <w:jc w:val="both"/>
        <w:rPr>
          <w:sz w:val="21"/>
        </w:rPr>
      </w:pPr>
      <w:r>
        <w:rPr>
          <w:i/>
          <w:sz w:val="21"/>
        </w:rPr>
        <w:t>One</w:t>
      </w:r>
      <w:r>
        <w:rPr>
          <w:sz w:val="21"/>
        </w:rPr>
        <w:t>.</w:t>
      </w:r>
      <w:r>
        <w:rPr>
          <w:spacing w:val="32"/>
          <w:sz w:val="21"/>
        </w:rPr>
        <w:t> </w:t>
      </w:r>
      <w:r>
        <w:rPr>
          <w:sz w:val="21"/>
        </w:rPr>
        <w:t>Unless</w:t>
      </w:r>
      <w:r>
        <w:rPr>
          <w:spacing w:val="32"/>
          <w:sz w:val="21"/>
        </w:rPr>
        <w:t> </w:t>
      </w:r>
      <w:r>
        <w:rPr>
          <w:sz w:val="21"/>
        </w:rPr>
        <w:t>provided</w:t>
      </w:r>
      <w:r>
        <w:rPr>
          <w:spacing w:val="32"/>
          <w:sz w:val="21"/>
        </w:rPr>
        <w:t> </w:t>
      </w:r>
      <w:r>
        <w:rPr>
          <w:sz w:val="21"/>
        </w:rPr>
        <w:t>otherwise</w:t>
      </w:r>
      <w:r>
        <w:rPr>
          <w:spacing w:val="32"/>
          <w:sz w:val="21"/>
        </w:rPr>
        <w:t> </w:t>
      </w:r>
      <w:r>
        <w:rPr>
          <w:sz w:val="21"/>
        </w:rPr>
        <w:t>by</w:t>
      </w:r>
      <w:r>
        <w:rPr>
          <w:spacing w:val="32"/>
          <w:sz w:val="21"/>
        </w:rPr>
        <w:t> </w:t>
      </w:r>
      <w:r>
        <w:rPr>
          <w:sz w:val="21"/>
        </w:rPr>
        <w:t>law,</w:t>
      </w:r>
      <w:r>
        <w:rPr>
          <w:spacing w:val="32"/>
          <w:sz w:val="21"/>
        </w:rPr>
        <w:t> </w:t>
      </w:r>
      <w:r>
        <w:rPr>
          <w:sz w:val="21"/>
        </w:rPr>
        <w:t>the</w:t>
      </w:r>
      <w:r>
        <w:rPr>
          <w:spacing w:val="32"/>
          <w:sz w:val="21"/>
        </w:rPr>
        <w:t> </w:t>
      </w:r>
      <w:r>
        <w:rPr>
          <w:sz w:val="21"/>
        </w:rPr>
        <w:t>Government</w:t>
      </w:r>
      <w:r>
        <w:rPr>
          <w:spacing w:val="32"/>
          <w:sz w:val="21"/>
        </w:rPr>
        <w:t> </w:t>
      </w:r>
      <w:r>
        <w:rPr>
          <w:sz w:val="21"/>
        </w:rPr>
        <w:t>may,</w:t>
      </w:r>
      <w:r>
        <w:rPr>
          <w:spacing w:val="32"/>
          <w:sz w:val="21"/>
        </w:rPr>
        <w:t> </w:t>
      </w:r>
      <w:r>
        <w:rPr>
          <w:sz w:val="21"/>
        </w:rPr>
        <w:t>from</w:t>
      </w:r>
      <w:r>
        <w:rPr>
          <w:spacing w:val="32"/>
          <w:sz w:val="21"/>
        </w:rPr>
        <w:t> </w:t>
      </w:r>
      <w:r>
        <w:rPr>
          <w:sz w:val="21"/>
        </w:rPr>
        <w:t>the</w:t>
      </w:r>
      <w:r>
        <w:rPr>
          <w:spacing w:val="32"/>
          <w:sz w:val="21"/>
        </w:rPr>
        <w:t> </w:t>
      </w:r>
      <w:r>
        <w:rPr>
          <w:sz w:val="21"/>
        </w:rPr>
        <w:t>eighth</w:t>
      </w:r>
      <w:r>
        <w:rPr>
          <w:spacing w:val="32"/>
          <w:sz w:val="21"/>
        </w:rPr>
        <w:t> </w:t>
      </w:r>
      <w:r>
        <w:rPr>
          <w:sz w:val="21"/>
        </w:rPr>
        <w:t>year</w:t>
      </w:r>
      <w:r>
        <w:rPr>
          <w:spacing w:val="32"/>
          <w:sz w:val="21"/>
        </w:rPr>
        <w:t> </w:t>
      </w:r>
      <w:r>
        <w:rPr>
          <w:sz w:val="21"/>
        </w:rPr>
        <w:t>of</w:t>
      </w:r>
      <w:r>
        <w:rPr>
          <w:spacing w:val="32"/>
          <w:sz w:val="21"/>
        </w:rPr>
        <w:t> </w:t>
      </w:r>
      <w:r>
        <w:rPr>
          <w:sz w:val="21"/>
        </w:rPr>
        <w:t>the</w:t>
      </w:r>
      <w:r>
        <w:rPr>
          <w:spacing w:val="32"/>
          <w:sz w:val="21"/>
        </w:rPr>
        <w:t> </w:t>
      </w:r>
      <w:r>
        <w:rPr>
          <w:sz w:val="21"/>
        </w:rPr>
        <w:t>concession,</w:t>
      </w:r>
      <w:r>
        <w:rPr>
          <w:spacing w:val="32"/>
          <w:sz w:val="21"/>
        </w:rPr>
        <w:t> </w:t>
      </w:r>
      <w:r>
        <w:rPr>
          <w:sz w:val="21"/>
        </w:rPr>
        <w:t>redeem</w:t>
      </w:r>
      <w:r>
        <w:rPr>
          <w:spacing w:val="32"/>
          <w:sz w:val="21"/>
        </w:rPr>
        <w:t> </w:t>
      </w:r>
      <w:r>
        <w:rPr>
          <w:sz w:val="21"/>
        </w:rPr>
        <w:t>said</w:t>
      </w:r>
      <w:r>
        <w:rPr>
          <w:spacing w:val="32"/>
          <w:sz w:val="21"/>
        </w:rPr>
        <w:t> </w:t>
      </w:r>
      <w:r>
        <w:rPr>
          <w:sz w:val="21"/>
        </w:rPr>
        <w:t>concession</w:t>
      </w:r>
      <w:r>
        <w:rPr>
          <w:spacing w:val="32"/>
          <w:sz w:val="21"/>
        </w:rPr>
        <w:t> </w:t>
      </w:r>
      <w:r>
        <w:rPr>
          <w:sz w:val="21"/>
        </w:rPr>
        <w:t>by giving the Concessionaire at least one year's notice by prepaid registered letter.</w:t>
      </w:r>
    </w:p>
    <w:p>
      <w:pPr>
        <w:pStyle w:val="BodyText"/>
        <w:spacing w:before="152"/>
        <w:rPr>
          <w:sz w:val="21"/>
        </w:rPr>
      </w:pPr>
    </w:p>
    <w:p>
      <w:pPr>
        <w:spacing w:line="213" w:lineRule="auto" w:before="0"/>
        <w:ind w:left="144" w:right="118" w:firstLine="0"/>
        <w:jc w:val="both"/>
        <w:rPr>
          <w:sz w:val="21"/>
        </w:rPr>
      </w:pPr>
      <w:r>
        <w:rPr>
          <w:i/>
          <w:sz w:val="21"/>
        </w:rPr>
        <w:t>Two</w:t>
      </w:r>
      <w:r>
        <w:rPr>
          <w:sz w:val="21"/>
        </w:rPr>
        <w:t>. By the redemption, the Macau SAR shall assume all the rights and obligations of the Concessionaire arising from legal</w:t>
      </w:r>
      <w:r>
        <w:rPr>
          <w:spacing w:val="80"/>
          <w:sz w:val="21"/>
        </w:rPr>
        <w:t> </w:t>
      </w:r>
      <w:r>
        <w:rPr>
          <w:sz w:val="21"/>
        </w:rPr>
        <w:t>transactions</w:t>
      </w:r>
      <w:r>
        <w:rPr>
          <w:spacing w:val="23"/>
          <w:sz w:val="21"/>
        </w:rPr>
        <w:t> </w:t>
      </w:r>
      <w:r>
        <w:rPr>
          <w:sz w:val="21"/>
        </w:rPr>
        <w:t>validly</w:t>
      </w:r>
      <w:r>
        <w:rPr>
          <w:spacing w:val="23"/>
          <w:sz w:val="21"/>
        </w:rPr>
        <w:t> </w:t>
      </w:r>
      <w:r>
        <w:rPr>
          <w:sz w:val="21"/>
        </w:rPr>
        <w:t>entered</w:t>
      </w:r>
      <w:r>
        <w:rPr>
          <w:spacing w:val="23"/>
          <w:sz w:val="21"/>
        </w:rPr>
        <w:t> </w:t>
      </w:r>
      <w:r>
        <w:rPr>
          <w:sz w:val="21"/>
        </w:rPr>
        <w:t>into</w:t>
      </w:r>
      <w:r>
        <w:rPr>
          <w:spacing w:val="23"/>
          <w:sz w:val="21"/>
        </w:rPr>
        <w:t> </w:t>
      </w:r>
      <w:r>
        <w:rPr>
          <w:sz w:val="21"/>
        </w:rPr>
        <w:t>by</w:t>
      </w:r>
      <w:r>
        <w:rPr>
          <w:spacing w:val="23"/>
          <w:sz w:val="21"/>
        </w:rPr>
        <w:t> </w:t>
      </w:r>
      <w:r>
        <w:rPr>
          <w:sz w:val="21"/>
        </w:rPr>
        <w:t>the</w:t>
      </w:r>
      <w:r>
        <w:rPr>
          <w:spacing w:val="23"/>
          <w:sz w:val="21"/>
        </w:rPr>
        <w:t> </w:t>
      </w:r>
      <w:r>
        <w:rPr>
          <w:sz w:val="21"/>
        </w:rPr>
        <w:t>latter</w:t>
      </w:r>
      <w:r>
        <w:rPr>
          <w:spacing w:val="23"/>
          <w:sz w:val="21"/>
        </w:rPr>
        <w:t> </w:t>
      </w:r>
      <w:r>
        <w:rPr>
          <w:sz w:val="21"/>
        </w:rPr>
        <w:t>before</w:t>
      </w:r>
      <w:r>
        <w:rPr>
          <w:spacing w:val="23"/>
          <w:sz w:val="21"/>
        </w:rPr>
        <w:t> </w:t>
      </w:r>
      <w:r>
        <w:rPr>
          <w:sz w:val="21"/>
        </w:rPr>
        <w:t>the</w:t>
      </w:r>
      <w:r>
        <w:rPr>
          <w:spacing w:val="23"/>
          <w:sz w:val="21"/>
        </w:rPr>
        <w:t> </w:t>
      </w:r>
      <w:r>
        <w:rPr>
          <w:sz w:val="21"/>
        </w:rPr>
        <w:t>date</w:t>
      </w:r>
      <w:r>
        <w:rPr>
          <w:spacing w:val="23"/>
          <w:sz w:val="21"/>
        </w:rPr>
        <w:t> </w:t>
      </w:r>
      <w:r>
        <w:rPr>
          <w:sz w:val="21"/>
        </w:rPr>
        <w:t>of</w:t>
      </w:r>
      <w:r>
        <w:rPr>
          <w:spacing w:val="23"/>
          <w:sz w:val="21"/>
        </w:rPr>
        <w:t> </w:t>
      </w:r>
      <w:r>
        <w:rPr>
          <w:sz w:val="21"/>
        </w:rPr>
        <w:t>the</w:t>
      </w:r>
      <w:r>
        <w:rPr>
          <w:spacing w:val="23"/>
          <w:sz w:val="21"/>
        </w:rPr>
        <w:t> </w:t>
      </w:r>
      <w:r>
        <w:rPr>
          <w:sz w:val="21"/>
        </w:rPr>
        <w:t>notice</w:t>
      </w:r>
      <w:r>
        <w:rPr>
          <w:spacing w:val="23"/>
          <w:sz w:val="21"/>
        </w:rPr>
        <w:t> </w:t>
      </w:r>
      <w:r>
        <w:rPr>
          <w:sz w:val="21"/>
        </w:rPr>
        <w:t>referred</w:t>
      </w:r>
      <w:r>
        <w:rPr>
          <w:spacing w:val="23"/>
          <w:sz w:val="21"/>
        </w:rPr>
        <w:t> </w:t>
      </w:r>
      <w:r>
        <w:rPr>
          <w:sz w:val="21"/>
        </w:rPr>
        <w:t>to</w:t>
      </w:r>
      <w:r>
        <w:rPr>
          <w:spacing w:val="23"/>
          <w:sz w:val="21"/>
        </w:rPr>
        <w:t> </w:t>
      </w:r>
      <w:r>
        <w:rPr>
          <w:sz w:val="21"/>
        </w:rPr>
        <w:t>in</w:t>
      </w:r>
      <w:r>
        <w:rPr>
          <w:spacing w:val="23"/>
          <w:sz w:val="21"/>
        </w:rPr>
        <w:t> </w:t>
      </w:r>
      <w:r>
        <w:rPr>
          <w:sz w:val="21"/>
        </w:rPr>
        <w:t>the</w:t>
      </w:r>
      <w:r>
        <w:rPr>
          <w:spacing w:val="23"/>
          <w:sz w:val="21"/>
        </w:rPr>
        <w:t> </w:t>
      </w:r>
      <w:r>
        <w:rPr>
          <w:sz w:val="21"/>
        </w:rPr>
        <w:t>previous</w:t>
      </w:r>
      <w:r>
        <w:rPr>
          <w:spacing w:val="23"/>
          <w:sz w:val="21"/>
        </w:rPr>
        <w:t> </w:t>
      </w:r>
      <w:r>
        <w:rPr>
          <w:sz w:val="21"/>
        </w:rPr>
        <w:t>paragraph.</w:t>
      </w:r>
    </w:p>
    <w:p>
      <w:pPr>
        <w:pStyle w:val="BodyText"/>
        <w:spacing w:before="131"/>
        <w:rPr>
          <w:sz w:val="21"/>
        </w:rPr>
      </w:pPr>
    </w:p>
    <w:p>
      <w:pPr>
        <w:spacing w:line="229" w:lineRule="exact" w:before="0"/>
        <w:ind w:left="144" w:right="0" w:firstLine="0"/>
        <w:jc w:val="both"/>
        <w:rPr>
          <w:i/>
          <w:sz w:val="21"/>
        </w:rPr>
      </w:pPr>
      <w:r>
        <w:rPr>
          <w:i/>
          <w:sz w:val="21"/>
        </w:rPr>
        <w:t>Three</w:t>
      </w:r>
      <w:r>
        <w:rPr>
          <w:sz w:val="21"/>
        </w:rPr>
        <w:t>.</w:t>
      </w:r>
      <w:r>
        <w:rPr>
          <w:spacing w:val="27"/>
          <w:sz w:val="21"/>
        </w:rPr>
        <w:t> </w:t>
      </w:r>
      <w:r>
        <w:rPr>
          <w:sz w:val="21"/>
        </w:rPr>
        <w:t>The</w:t>
      </w:r>
      <w:r>
        <w:rPr>
          <w:spacing w:val="31"/>
          <w:sz w:val="21"/>
        </w:rPr>
        <w:t> </w:t>
      </w:r>
      <w:r>
        <w:rPr>
          <w:sz w:val="21"/>
        </w:rPr>
        <w:t>obligations</w:t>
      </w:r>
      <w:r>
        <w:rPr>
          <w:spacing w:val="32"/>
          <w:sz w:val="21"/>
        </w:rPr>
        <w:t> </w:t>
      </w:r>
      <w:r>
        <w:rPr>
          <w:sz w:val="21"/>
        </w:rPr>
        <w:t>contracted</w:t>
      </w:r>
      <w:r>
        <w:rPr>
          <w:spacing w:val="31"/>
          <w:sz w:val="21"/>
        </w:rPr>
        <w:t> </w:t>
      </w:r>
      <w:r>
        <w:rPr>
          <w:sz w:val="21"/>
        </w:rPr>
        <w:t>by</w:t>
      </w:r>
      <w:r>
        <w:rPr>
          <w:spacing w:val="32"/>
          <w:sz w:val="21"/>
        </w:rPr>
        <w:t> </w:t>
      </w:r>
      <w:r>
        <w:rPr>
          <w:sz w:val="21"/>
        </w:rPr>
        <w:t>the</w:t>
      </w:r>
      <w:r>
        <w:rPr>
          <w:spacing w:val="31"/>
          <w:sz w:val="21"/>
        </w:rPr>
        <w:t> </w:t>
      </w:r>
      <w:r>
        <w:rPr>
          <w:sz w:val="21"/>
        </w:rPr>
        <w:t>Concessionaire</w:t>
      </w:r>
      <w:r>
        <w:rPr>
          <w:spacing w:val="32"/>
          <w:sz w:val="21"/>
        </w:rPr>
        <w:t> </w:t>
      </w:r>
      <w:r>
        <w:rPr>
          <w:sz w:val="21"/>
        </w:rPr>
        <w:t>under</w:t>
      </w:r>
      <w:r>
        <w:rPr>
          <w:spacing w:val="32"/>
          <w:sz w:val="21"/>
        </w:rPr>
        <w:t> </w:t>
      </w:r>
      <w:r>
        <w:rPr>
          <w:sz w:val="21"/>
        </w:rPr>
        <w:t>contracts</w:t>
      </w:r>
      <w:r>
        <w:rPr>
          <w:spacing w:val="31"/>
          <w:sz w:val="21"/>
        </w:rPr>
        <w:t> </w:t>
      </w:r>
      <w:r>
        <w:rPr>
          <w:sz w:val="21"/>
        </w:rPr>
        <w:t>signed</w:t>
      </w:r>
      <w:r>
        <w:rPr>
          <w:spacing w:val="32"/>
          <w:sz w:val="21"/>
        </w:rPr>
        <w:t> </w:t>
      </w:r>
      <w:r>
        <w:rPr>
          <w:sz w:val="21"/>
        </w:rPr>
        <w:t>by</w:t>
      </w:r>
      <w:r>
        <w:rPr>
          <w:spacing w:val="31"/>
          <w:sz w:val="21"/>
        </w:rPr>
        <w:t> </w:t>
      </w:r>
      <w:r>
        <w:rPr>
          <w:sz w:val="21"/>
        </w:rPr>
        <w:t>it</w:t>
      </w:r>
      <w:r>
        <w:rPr>
          <w:spacing w:val="32"/>
          <w:sz w:val="21"/>
        </w:rPr>
        <w:t> </w:t>
      </w:r>
      <w:r>
        <w:rPr>
          <w:sz w:val="21"/>
        </w:rPr>
        <w:t>after</w:t>
      </w:r>
      <w:r>
        <w:rPr>
          <w:spacing w:val="31"/>
          <w:sz w:val="21"/>
        </w:rPr>
        <w:t> </w:t>
      </w:r>
      <w:r>
        <w:rPr>
          <w:sz w:val="21"/>
        </w:rPr>
        <w:t>the</w:t>
      </w:r>
      <w:r>
        <w:rPr>
          <w:spacing w:val="32"/>
          <w:sz w:val="21"/>
        </w:rPr>
        <w:t> </w:t>
      </w:r>
      <w:r>
        <w:rPr>
          <w:sz w:val="21"/>
        </w:rPr>
        <w:t>notice</w:t>
      </w:r>
      <w:r>
        <w:rPr>
          <w:spacing w:val="32"/>
          <w:sz w:val="21"/>
        </w:rPr>
        <w:t> </w:t>
      </w:r>
      <w:r>
        <w:rPr>
          <w:sz w:val="21"/>
        </w:rPr>
        <w:t>referred</w:t>
      </w:r>
      <w:r>
        <w:rPr>
          <w:spacing w:val="31"/>
          <w:sz w:val="21"/>
        </w:rPr>
        <w:t> </w:t>
      </w:r>
      <w:r>
        <w:rPr>
          <w:sz w:val="21"/>
        </w:rPr>
        <w:t>to</w:t>
      </w:r>
      <w:r>
        <w:rPr>
          <w:spacing w:val="32"/>
          <w:sz w:val="21"/>
        </w:rPr>
        <w:t> </w:t>
      </w:r>
      <w:r>
        <w:rPr>
          <w:sz w:val="21"/>
        </w:rPr>
        <w:t>in</w:t>
      </w:r>
      <w:r>
        <w:rPr>
          <w:spacing w:val="31"/>
          <w:sz w:val="21"/>
        </w:rPr>
        <w:t> </w:t>
      </w:r>
      <w:r>
        <w:rPr>
          <w:sz w:val="21"/>
        </w:rPr>
        <w:t>paragraph</w:t>
      </w:r>
      <w:r>
        <w:rPr>
          <w:spacing w:val="32"/>
          <w:sz w:val="21"/>
        </w:rPr>
        <w:t> </w:t>
      </w:r>
      <w:r>
        <w:rPr>
          <w:i/>
          <w:spacing w:val="-5"/>
          <w:sz w:val="21"/>
        </w:rPr>
        <w:t>one</w:t>
      </w:r>
    </w:p>
    <w:p>
      <w:pPr>
        <w:spacing w:line="229" w:lineRule="exact" w:before="0"/>
        <w:ind w:left="144" w:right="0" w:firstLine="0"/>
        <w:jc w:val="both"/>
        <w:rPr>
          <w:sz w:val="21"/>
        </w:rPr>
      </w:pPr>
      <w:r>
        <w:rPr>
          <w:sz w:val="21"/>
        </w:rPr>
        <w:t>shall</w:t>
      </w:r>
      <w:r>
        <w:rPr>
          <w:spacing w:val="10"/>
          <w:sz w:val="21"/>
        </w:rPr>
        <w:t> </w:t>
      </w:r>
      <w:r>
        <w:rPr>
          <w:sz w:val="21"/>
        </w:rPr>
        <w:t>only</w:t>
      </w:r>
      <w:r>
        <w:rPr>
          <w:spacing w:val="10"/>
          <w:sz w:val="21"/>
        </w:rPr>
        <w:t> </w:t>
      </w:r>
      <w:r>
        <w:rPr>
          <w:sz w:val="21"/>
        </w:rPr>
        <w:t>be</w:t>
      </w:r>
      <w:r>
        <w:rPr>
          <w:spacing w:val="11"/>
          <w:sz w:val="21"/>
        </w:rPr>
        <w:t> </w:t>
      </w:r>
      <w:r>
        <w:rPr>
          <w:sz w:val="21"/>
        </w:rPr>
        <w:t>taken</w:t>
      </w:r>
      <w:r>
        <w:rPr>
          <w:spacing w:val="10"/>
          <w:sz w:val="21"/>
        </w:rPr>
        <w:t> </w:t>
      </w:r>
      <w:r>
        <w:rPr>
          <w:sz w:val="21"/>
        </w:rPr>
        <w:t>on</w:t>
      </w:r>
      <w:r>
        <w:rPr>
          <w:spacing w:val="10"/>
          <w:sz w:val="21"/>
        </w:rPr>
        <w:t> </w:t>
      </w:r>
      <w:r>
        <w:rPr>
          <w:sz w:val="21"/>
        </w:rPr>
        <w:t>by</w:t>
      </w:r>
      <w:r>
        <w:rPr>
          <w:spacing w:val="11"/>
          <w:sz w:val="21"/>
        </w:rPr>
        <w:t> </w:t>
      </w:r>
      <w:r>
        <w:rPr>
          <w:sz w:val="21"/>
        </w:rPr>
        <w:t>the</w:t>
      </w:r>
      <w:r>
        <w:rPr>
          <w:spacing w:val="10"/>
          <w:sz w:val="21"/>
        </w:rPr>
        <w:t> </w:t>
      </w:r>
      <w:r>
        <w:rPr>
          <w:sz w:val="21"/>
        </w:rPr>
        <w:t>Macau</w:t>
      </w:r>
      <w:r>
        <w:rPr>
          <w:spacing w:val="10"/>
          <w:sz w:val="21"/>
        </w:rPr>
        <w:t> </w:t>
      </w:r>
      <w:r>
        <w:rPr>
          <w:sz w:val="21"/>
        </w:rPr>
        <w:t>SAR</w:t>
      </w:r>
      <w:r>
        <w:rPr>
          <w:spacing w:val="11"/>
          <w:sz w:val="21"/>
        </w:rPr>
        <w:t> </w:t>
      </w:r>
      <w:r>
        <w:rPr>
          <w:sz w:val="21"/>
        </w:rPr>
        <w:t>when</w:t>
      </w:r>
      <w:r>
        <w:rPr>
          <w:spacing w:val="10"/>
          <w:sz w:val="21"/>
        </w:rPr>
        <w:t> </w:t>
      </w:r>
      <w:r>
        <w:rPr>
          <w:sz w:val="21"/>
        </w:rPr>
        <w:t>these</w:t>
      </w:r>
      <w:r>
        <w:rPr>
          <w:spacing w:val="10"/>
          <w:sz w:val="21"/>
        </w:rPr>
        <w:t> </w:t>
      </w:r>
      <w:r>
        <w:rPr>
          <w:sz w:val="21"/>
        </w:rPr>
        <w:t>contracts</w:t>
      </w:r>
      <w:r>
        <w:rPr>
          <w:spacing w:val="11"/>
          <w:sz w:val="21"/>
        </w:rPr>
        <w:t> </w:t>
      </w:r>
      <w:r>
        <w:rPr>
          <w:sz w:val="21"/>
        </w:rPr>
        <w:t>have</w:t>
      </w:r>
      <w:r>
        <w:rPr>
          <w:spacing w:val="10"/>
          <w:sz w:val="21"/>
        </w:rPr>
        <w:t> </w:t>
      </w:r>
      <w:r>
        <w:rPr>
          <w:sz w:val="21"/>
        </w:rPr>
        <w:t>obtained</w:t>
      </w:r>
      <w:r>
        <w:rPr>
          <w:spacing w:val="10"/>
          <w:sz w:val="21"/>
        </w:rPr>
        <w:t> </w:t>
      </w:r>
      <w:r>
        <w:rPr>
          <w:sz w:val="21"/>
        </w:rPr>
        <w:t>the</w:t>
      </w:r>
      <w:r>
        <w:rPr>
          <w:spacing w:val="11"/>
          <w:sz w:val="21"/>
        </w:rPr>
        <w:t> </w:t>
      </w:r>
      <w:r>
        <w:rPr>
          <w:sz w:val="21"/>
        </w:rPr>
        <w:t>Government's</w:t>
      </w:r>
      <w:r>
        <w:rPr>
          <w:spacing w:val="10"/>
          <w:sz w:val="21"/>
        </w:rPr>
        <w:t> </w:t>
      </w:r>
      <w:r>
        <w:rPr>
          <w:sz w:val="21"/>
        </w:rPr>
        <w:t>authorization</w:t>
      </w:r>
      <w:r>
        <w:rPr>
          <w:spacing w:val="10"/>
          <w:sz w:val="21"/>
        </w:rPr>
        <w:t> </w:t>
      </w:r>
      <w:r>
        <w:rPr>
          <w:sz w:val="21"/>
        </w:rPr>
        <w:t>prior</w:t>
      </w:r>
      <w:r>
        <w:rPr>
          <w:spacing w:val="11"/>
          <w:sz w:val="21"/>
        </w:rPr>
        <w:t> </w:t>
      </w:r>
      <w:r>
        <w:rPr>
          <w:sz w:val="21"/>
        </w:rPr>
        <w:t>to</w:t>
      </w:r>
      <w:r>
        <w:rPr>
          <w:spacing w:val="10"/>
          <w:sz w:val="21"/>
        </w:rPr>
        <w:t> </w:t>
      </w:r>
      <w:r>
        <w:rPr>
          <w:sz w:val="21"/>
        </w:rPr>
        <w:t>their</w:t>
      </w:r>
      <w:r>
        <w:rPr>
          <w:spacing w:val="10"/>
          <w:sz w:val="21"/>
        </w:rPr>
        <w:t> </w:t>
      </w:r>
      <w:r>
        <w:rPr>
          <w:spacing w:val="-2"/>
          <w:sz w:val="21"/>
        </w:rPr>
        <w:t>signing.</w:t>
      </w:r>
    </w:p>
    <w:p>
      <w:pPr>
        <w:pStyle w:val="BodyText"/>
        <w:spacing w:before="159"/>
        <w:rPr>
          <w:sz w:val="21"/>
        </w:rPr>
      </w:pPr>
    </w:p>
    <w:p>
      <w:pPr>
        <w:spacing w:line="213" w:lineRule="auto" w:before="0"/>
        <w:ind w:left="144" w:right="118" w:firstLine="0"/>
        <w:jc w:val="both"/>
        <w:rPr>
          <w:sz w:val="21"/>
        </w:rPr>
      </w:pPr>
      <w:r>
        <w:rPr>
          <w:i/>
          <w:sz w:val="21"/>
        </w:rPr>
        <w:t>Four</w:t>
      </w:r>
      <w:r>
        <w:rPr>
          <w:sz w:val="21"/>
        </w:rPr>
        <w:t>. The assumption by the Macau SAR of obligations contracted by the Concessionaire is made without prejudice to the right </w:t>
      </w:r>
      <w:r>
        <w:rPr>
          <w:sz w:val="21"/>
        </w:rPr>
        <w:t>of recovery</w:t>
      </w:r>
      <w:r>
        <w:rPr>
          <w:spacing w:val="29"/>
          <w:sz w:val="21"/>
        </w:rPr>
        <w:t> </w:t>
      </w:r>
      <w:r>
        <w:rPr>
          <w:sz w:val="21"/>
        </w:rPr>
        <w:t>for</w:t>
      </w:r>
      <w:r>
        <w:rPr>
          <w:spacing w:val="29"/>
          <w:sz w:val="21"/>
        </w:rPr>
        <w:t> </w:t>
      </w:r>
      <w:r>
        <w:rPr>
          <w:sz w:val="21"/>
        </w:rPr>
        <w:t>obligations</w:t>
      </w:r>
      <w:r>
        <w:rPr>
          <w:spacing w:val="29"/>
          <w:sz w:val="21"/>
        </w:rPr>
        <w:t> </w:t>
      </w:r>
      <w:r>
        <w:rPr>
          <w:sz w:val="21"/>
        </w:rPr>
        <w:t>contracted</w:t>
      </w:r>
      <w:r>
        <w:rPr>
          <w:spacing w:val="29"/>
          <w:sz w:val="21"/>
        </w:rPr>
        <w:t> </w:t>
      </w:r>
      <w:r>
        <w:rPr>
          <w:sz w:val="21"/>
        </w:rPr>
        <w:t>by</w:t>
      </w:r>
      <w:r>
        <w:rPr>
          <w:spacing w:val="29"/>
          <w:sz w:val="21"/>
        </w:rPr>
        <w:t> </w:t>
      </w:r>
      <w:r>
        <w:rPr>
          <w:sz w:val="21"/>
        </w:rPr>
        <w:t>the</w:t>
      </w:r>
      <w:r>
        <w:rPr>
          <w:spacing w:val="29"/>
          <w:sz w:val="21"/>
        </w:rPr>
        <w:t> </w:t>
      </w:r>
      <w:r>
        <w:rPr>
          <w:sz w:val="21"/>
        </w:rPr>
        <w:t>Concessionaire</w:t>
      </w:r>
      <w:r>
        <w:rPr>
          <w:spacing w:val="29"/>
          <w:sz w:val="21"/>
        </w:rPr>
        <w:t> </w:t>
      </w:r>
      <w:r>
        <w:rPr>
          <w:sz w:val="21"/>
        </w:rPr>
        <w:t>which</w:t>
      </w:r>
      <w:r>
        <w:rPr>
          <w:spacing w:val="29"/>
          <w:sz w:val="21"/>
        </w:rPr>
        <w:t> </w:t>
      </w:r>
      <w:r>
        <w:rPr>
          <w:sz w:val="21"/>
        </w:rPr>
        <w:t>are</w:t>
      </w:r>
      <w:r>
        <w:rPr>
          <w:spacing w:val="29"/>
          <w:sz w:val="21"/>
        </w:rPr>
        <w:t> </w:t>
      </w:r>
      <w:r>
        <w:rPr>
          <w:sz w:val="21"/>
        </w:rPr>
        <w:t>outside</w:t>
      </w:r>
      <w:r>
        <w:rPr>
          <w:spacing w:val="29"/>
          <w:sz w:val="21"/>
        </w:rPr>
        <w:t> </w:t>
      </w:r>
      <w:r>
        <w:rPr>
          <w:sz w:val="21"/>
        </w:rPr>
        <w:t>the</w:t>
      </w:r>
      <w:r>
        <w:rPr>
          <w:spacing w:val="29"/>
          <w:sz w:val="21"/>
        </w:rPr>
        <w:t> </w:t>
      </w:r>
      <w:r>
        <w:rPr>
          <w:sz w:val="21"/>
        </w:rPr>
        <w:t>normal</w:t>
      </w:r>
      <w:r>
        <w:rPr>
          <w:spacing w:val="29"/>
          <w:sz w:val="21"/>
        </w:rPr>
        <w:t> </w:t>
      </w:r>
      <w:r>
        <w:rPr>
          <w:sz w:val="21"/>
        </w:rPr>
        <w:t>management</w:t>
      </w:r>
      <w:r>
        <w:rPr>
          <w:spacing w:val="29"/>
          <w:sz w:val="21"/>
        </w:rPr>
        <w:t> </w:t>
      </w:r>
      <w:r>
        <w:rPr>
          <w:sz w:val="21"/>
        </w:rPr>
        <w:t>of</w:t>
      </w:r>
      <w:r>
        <w:rPr>
          <w:spacing w:val="29"/>
          <w:sz w:val="21"/>
        </w:rPr>
        <w:t> </w:t>
      </w:r>
      <w:r>
        <w:rPr>
          <w:sz w:val="21"/>
        </w:rPr>
        <w:t>the</w:t>
      </w:r>
      <w:r>
        <w:rPr>
          <w:spacing w:val="29"/>
          <w:sz w:val="21"/>
        </w:rPr>
        <w:t> </w:t>
      </w:r>
      <w:r>
        <w:rPr>
          <w:sz w:val="21"/>
        </w:rPr>
        <w:t>concession.</w:t>
      </w:r>
    </w:p>
    <w:p>
      <w:pPr>
        <w:pStyle w:val="BodyText"/>
        <w:spacing w:before="152"/>
        <w:rPr>
          <w:sz w:val="21"/>
        </w:rPr>
      </w:pPr>
    </w:p>
    <w:p>
      <w:pPr>
        <w:spacing w:line="213" w:lineRule="auto" w:before="0"/>
        <w:ind w:left="144" w:right="117" w:firstLine="0"/>
        <w:jc w:val="both"/>
        <w:rPr>
          <w:sz w:val="21"/>
        </w:rPr>
      </w:pPr>
      <w:r>
        <w:rPr>
          <w:i/>
          <w:sz w:val="21"/>
        </w:rPr>
        <w:t>Five</w:t>
      </w:r>
      <w:r>
        <w:rPr>
          <w:sz w:val="21"/>
        </w:rPr>
        <w:t>.</w:t>
      </w:r>
      <w:r>
        <w:rPr>
          <w:spacing w:val="40"/>
          <w:sz w:val="21"/>
        </w:rPr>
        <w:t> </w:t>
      </w:r>
      <w:r>
        <w:rPr>
          <w:sz w:val="21"/>
        </w:rPr>
        <w:t>Upon</w:t>
      </w:r>
      <w:r>
        <w:rPr>
          <w:spacing w:val="40"/>
          <w:sz w:val="21"/>
        </w:rPr>
        <w:t> </w:t>
      </w:r>
      <w:r>
        <w:rPr>
          <w:sz w:val="21"/>
        </w:rPr>
        <w:t>the</w:t>
      </w:r>
      <w:r>
        <w:rPr>
          <w:spacing w:val="40"/>
          <w:sz w:val="21"/>
        </w:rPr>
        <w:t> </w:t>
      </w:r>
      <w:r>
        <w:rPr>
          <w:sz w:val="21"/>
        </w:rPr>
        <w:t>redemption</w:t>
      </w:r>
      <w:r>
        <w:rPr>
          <w:spacing w:val="40"/>
          <w:sz w:val="21"/>
        </w:rPr>
        <w:t> </w:t>
      </w:r>
      <w:r>
        <w:rPr>
          <w:sz w:val="21"/>
        </w:rPr>
        <w:t>of</w:t>
      </w:r>
      <w:r>
        <w:rPr>
          <w:spacing w:val="40"/>
          <w:sz w:val="21"/>
        </w:rPr>
        <w:t> </w:t>
      </w:r>
      <w:r>
        <w:rPr>
          <w:sz w:val="21"/>
        </w:rPr>
        <w:t>the</w:t>
      </w:r>
      <w:r>
        <w:rPr>
          <w:spacing w:val="40"/>
          <w:sz w:val="21"/>
        </w:rPr>
        <w:t> </w:t>
      </w:r>
      <w:r>
        <w:rPr>
          <w:sz w:val="21"/>
        </w:rPr>
        <w:t>concession,</w:t>
      </w:r>
      <w:r>
        <w:rPr>
          <w:spacing w:val="40"/>
          <w:sz w:val="21"/>
        </w:rPr>
        <w:t> </w:t>
      </w:r>
      <w:r>
        <w:rPr>
          <w:sz w:val="21"/>
        </w:rPr>
        <w:t>the</w:t>
      </w:r>
      <w:r>
        <w:rPr>
          <w:spacing w:val="40"/>
          <w:sz w:val="21"/>
        </w:rPr>
        <w:t> </w:t>
      </w:r>
      <w:r>
        <w:rPr>
          <w:sz w:val="21"/>
        </w:rPr>
        <w:t>Concessionaire</w:t>
      </w:r>
      <w:r>
        <w:rPr>
          <w:spacing w:val="40"/>
          <w:sz w:val="21"/>
        </w:rPr>
        <w:t> </w:t>
      </w:r>
      <w:r>
        <w:rPr>
          <w:sz w:val="21"/>
        </w:rPr>
        <w:t>has</w:t>
      </w:r>
      <w:r>
        <w:rPr>
          <w:spacing w:val="40"/>
          <w:sz w:val="21"/>
        </w:rPr>
        <w:t> </w:t>
      </w:r>
      <w:r>
        <w:rPr>
          <w:sz w:val="21"/>
        </w:rPr>
        <w:t>the</w:t>
      </w:r>
      <w:r>
        <w:rPr>
          <w:spacing w:val="40"/>
          <w:sz w:val="21"/>
        </w:rPr>
        <w:t> </w:t>
      </w:r>
      <w:r>
        <w:rPr>
          <w:sz w:val="21"/>
        </w:rPr>
        <w:t>right,</w:t>
      </w:r>
      <w:r>
        <w:rPr>
          <w:spacing w:val="40"/>
          <w:sz w:val="21"/>
        </w:rPr>
        <w:t> </w:t>
      </w:r>
      <w:r>
        <w:rPr>
          <w:sz w:val="21"/>
        </w:rPr>
        <w:t>in</w:t>
      </w:r>
      <w:r>
        <w:rPr>
          <w:spacing w:val="40"/>
          <w:sz w:val="21"/>
        </w:rPr>
        <w:t> </w:t>
      </w:r>
      <w:r>
        <w:rPr>
          <w:sz w:val="21"/>
        </w:rPr>
        <w:t>accordance</w:t>
      </w:r>
      <w:r>
        <w:rPr>
          <w:spacing w:val="40"/>
          <w:sz w:val="21"/>
        </w:rPr>
        <w:t> </w:t>
      </w:r>
      <w:r>
        <w:rPr>
          <w:sz w:val="21"/>
        </w:rPr>
        <w:t>with</w:t>
      </w:r>
      <w:r>
        <w:rPr>
          <w:spacing w:val="40"/>
          <w:sz w:val="21"/>
        </w:rPr>
        <w:t> </w:t>
      </w:r>
      <w:r>
        <w:rPr>
          <w:sz w:val="21"/>
        </w:rPr>
        <w:t>Section</w:t>
      </w:r>
      <w:r>
        <w:rPr>
          <w:spacing w:val="40"/>
          <w:sz w:val="21"/>
        </w:rPr>
        <w:t> </w:t>
      </w:r>
      <w:r>
        <w:rPr>
          <w:sz w:val="21"/>
        </w:rPr>
        <w:t>46(2)</w:t>
      </w:r>
      <w:r>
        <w:rPr>
          <w:spacing w:val="40"/>
          <w:sz w:val="21"/>
        </w:rPr>
        <w:t> </w:t>
      </w:r>
      <w:r>
        <w:rPr>
          <w:sz w:val="21"/>
        </w:rPr>
        <w:t>of</w:t>
      </w:r>
      <w:r>
        <w:rPr>
          <w:spacing w:val="40"/>
          <w:sz w:val="21"/>
        </w:rPr>
        <w:t> </w:t>
      </w:r>
      <w:r>
        <w:rPr>
          <w:sz w:val="21"/>
        </w:rPr>
        <w:t>Law</w:t>
      </w:r>
      <w:r>
        <w:rPr>
          <w:spacing w:val="40"/>
          <w:sz w:val="21"/>
        </w:rPr>
        <w:t> </w:t>
      </w:r>
      <w:r>
        <w:rPr>
          <w:sz w:val="21"/>
        </w:rPr>
        <w:t>No. 16/2001, to a fair and equitable compensation corresponding to the benefits it ceased to obtain as a result of the concession in the</w:t>
      </w:r>
      <w:r>
        <w:rPr>
          <w:spacing w:val="40"/>
          <w:sz w:val="21"/>
        </w:rPr>
        <w:t> </w:t>
      </w:r>
      <w:r>
        <w:rPr>
          <w:sz w:val="21"/>
        </w:rPr>
        <w:t>projects</w:t>
      </w:r>
      <w:r>
        <w:rPr>
          <w:spacing w:val="25"/>
          <w:sz w:val="21"/>
        </w:rPr>
        <w:t> </w:t>
      </w:r>
      <w:r>
        <w:rPr>
          <w:sz w:val="21"/>
        </w:rPr>
        <w:t>included</w:t>
      </w:r>
      <w:r>
        <w:rPr>
          <w:spacing w:val="25"/>
          <w:sz w:val="21"/>
        </w:rPr>
        <w:t> </w:t>
      </w:r>
      <w:r>
        <w:rPr>
          <w:sz w:val="21"/>
        </w:rPr>
        <w:t>in</w:t>
      </w:r>
      <w:r>
        <w:rPr>
          <w:spacing w:val="25"/>
          <w:sz w:val="21"/>
        </w:rPr>
        <w:t> </w:t>
      </w:r>
      <w:r>
        <w:rPr>
          <w:sz w:val="21"/>
        </w:rPr>
        <w:t>the</w:t>
      </w:r>
      <w:r>
        <w:rPr>
          <w:spacing w:val="25"/>
          <w:sz w:val="21"/>
        </w:rPr>
        <w:t> </w:t>
      </w:r>
      <w:r>
        <w:rPr>
          <w:sz w:val="21"/>
        </w:rPr>
        <w:t>Investment</w:t>
      </w:r>
      <w:r>
        <w:rPr>
          <w:spacing w:val="25"/>
          <w:sz w:val="21"/>
        </w:rPr>
        <w:t> </w:t>
      </w:r>
      <w:r>
        <w:rPr>
          <w:sz w:val="21"/>
        </w:rPr>
        <w:t>Plans</w:t>
      </w:r>
      <w:r>
        <w:rPr>
          <w:spacing w:val="25"/>
          <w:sz w:val="21"/>
        </w:rPr>
        <w:t> </w:t>
      </w:r>
      <w:r>
        <w:rPr>
          <w:sz w:val="21"/>
        </w:rPr>
        <w:t>annexed</w:t>
      </w:r>
      <w:r>
        <w:rPr>
          <w:spacing w:val="25"/>
          <w:sz w:val="21"/>
        </w:rPr>
        <w:t> </w:t>
      </w:r>
      <w:r>
        <w:rPr>
          <w:sz w:val="21"/>
        </w:rPr>
        <w:t>to</w:t>
      </w:r>
      <w:r>
        <w:rPr>
          <w:spacing w:val="25"/>
          <w:sz w:val="21"/>
        </w:rPr>
        <w:t> </w:t>
      </w:r>
      <w:r>
        <w:rPr>
          <w:sz w:val="21"/>
        </w:rPr>
        <w:t>this</w:t>
      </w:r>
      <w:r>
        <w:rPr>
          <w:spacing w:val="25"/>
          <w:sz w:val="21"/>
        </w:rPr>
        <w:t> </w:t>
      </w:r>
      <w:r>
        <w:rPr>
          <w:sz w:val="21"/>
        </w:rPr>
        <w:t>concession</w:t>
      </w:r>
      <w:r>
        <w:rPr>
          <w:spacing w:val="25"/>
          <w:sz w:val="21"/>
        </w:rPr>
        <w:t> </w:t>
      </w:r>
      <w:r>
        <w:rPr>
          <w:sz w:val="21"/>
        </w:rPr>
        <w:t>contract.</w:t>
      </w:r>
      <w:r>
        <w:rPr>
          <w:spacing w:val="25"/>
          <w:sz w:val="21"/>
        </w:rPr>
        <w:t> </w:t>
      </w:r>
      <w:r>
        <w:rPr>
          <w:sz w:val="21"/>
        </w:rPr>
        <w:t>Of</w:t>
      </w:r>
      <w:r>
        <w:rPr>
          <w:spacing w:val="25"/>
          <w:sz w:val="21"/>
        </w:rPr>
        <w:t> </w:t>
      </w:r>
      <w:r>
        <w:rPr>
          <w:sz w:val="21"/>
        </w:rPr>
        <w:t>the</w:t>
      </w:r>
      <w:r>
        <w:rPr>
          <w:spacing w:val="25"/>
          <w:sz w:val="21"/>
        </w:rPr>
        <w:t> </w:t>
      </w:r>
      <w:r>
        <w:rPr>
          <w:sz w:val="21"/>
        </w:rPr>
        <w:t>amount</w:t>
      </w:r>
      <w:r>
        <w:rPr>
          <w:spacing w:val="25"/>
          <w:sz w:val="21"/>
        </w:rPr>
        <w:t> </w:t>
      </w:r>
      <w:r>
        <w:rPr>
          <w:sz w:val="21"/>
        </w:rPr>
        <w:t>of</w:t>
      </w:r>
      <w:r>
        <w:rPr>
          <w:spacing w:val="25"/>
          <w:sz w:val="21"/>
        </w:rPr>
        <w:t> </w:t>
      </w:r>
      <w:r>
        <w:rPr>
          <w:sz w:val="21"/>
        </w:rPr>
        <w:t>the</w:t>
      </w:r>
      <w:r>
        <w:rPr>
          <w:spacing w:val="25"/>
          <w:sz w:val="21"/>
        </w:rPr>
        <w:t> </w:t>
      </w:r>
      <w:r>
        <w:rPr>
          <w:sz w:val="21"/>
        </w:rPr>
        <w:t>compensation,</w:t>
      </w:r>
      <w:r>
        <w:rPr>
          <w:spacing w:val="25"/>
          <w:sz w:val="21"/>
        </w:rPr>
        <w:t> </w:t>
      </w:r>
      <w:r>
        <w:rPr>
          <w:sz w:val="21"/>
        </w:rPr>
        <w:t>the</w:t>
      </w:r>
      <w:r>
        <w:rPr>
          <w:spacing w:val="25"/>
          <w:sz w:val="21"/>
        </w:rPr>
        <w:t> </w:t>
      </w:r>
      <w:r>
        <w:rPr>
          <w:sz w:val="21"/>
        </w:rPr>
        <w:t>part</w:t>
      </w:r>
      <w:r>
        <w:rPr>
          <w:spacing w:val="25"/>
          <w:sz w:val="21"/>
        </w:rPr>
        <w:t> </w:t>
      </w:r>
      <w:r>
        <w:rPr>
          <w:sz w:val="21"/>
        </w:rPr>
        <w:t>relating to the construction projects shall correspond to the value of the income from such projects obtained in the fiscal year prior to that in which</w:t>
      </w:r>
      <w:r>
        <w:rPr>
          <w:spacing w:val="40"/>
          <w:sz w:val="21"/>
        </w:rPr>
        <w:t> </w:t>
      </w:r>
      <w:r>
        <w:rPr>
          <w:sz w:val="21"/>
        </w:rPr>
        <w:t>the</w:t>
      </w:r>
      <w:r>
        <w:rPr>
          <w:spacing w:val="40"/>
          <w:sz w:val="21"/>
        </w:rPr>
        <w:t> </w:t>
      </w:r>
      <w:r>
        <w:rPr>
          <w:sz w:val="21"/>
        </w:rPr>
        <w:t>redemption</w:t>
      </w:r>
      <w:r>
        <w:rPr>
          <w:spacing w:val="40"/>
          <w:sz w:val="21"/>
        </w:rPr>
        <w:t> </w:t>
      </w:r>
      <w:r>
        <w:rPr>
          <w:sz w:val="21"/>
        </w:rPr>
        <w:t>is</w:t>
      </w:r>
      <w:r>
        <w:rPr>
          <w:spacing w:val="40"/>
          <w:sz w:val="21"/>
        </w:rPr>
        <w:t> </w:t>
      </w:r>
      <w:r>
        <w:rPr>
          <w:sz w:val="21"/>
        </w:rPr>
        <w:t>made,</w:t>
      </w:r>
      <w:r>
        <w:rPr>
          <w:spacing w:val="40"/>
          <w:sz w:val="21"/>
        </w:rPr>
        <w:t> </w:t>
      </w:r>
      <w:r>
        <w:rPr>
          <w:sz w:val="21"/>
        </w:rPr>
        <w:t>before</w:t>
      </w:r>
      <w:r>
        <w:rPr>
          <w:spacing w:val="40"/>
          <w:sz w:val="21"/>
        </w:rPr>
        <w:t> </w:t>
      </w:r>
      <w:r>
        <w:rPr>
          <w:sz w:val="21"/>
        </w:rPr>
        <w:t>deduction</w:t>
      </w:r>
      <w:r>
        <w:rPr>
          <w:spacing w:val="40"/>
          <w:sz w:val="21"/>
        </w:rPr>
        <w:t> </w:t>
      </w:r>
      <w:r>
        <w:rPr>
          <w:sz w:val="21"/>
        </w:rPr>
        <w:t>of</w:t>
      </w:r>
      <w:r>
        <w:rPr>
          <w:spacing w:val="40"/>
          <w:sz w:val="21"/>
        </w:rPr>
        <w:t> </w:t>
      </w:r>
      <w:r>
        <w:rPr>
          <w:sz w:val="21"/>
        </w:rPr>
        <w:t>interest,</w:t>
      </w:r>
      <w:r>
        <w:rPr>
          <w:spacing w:val="40"/>
          <w:sz w:val="21"/>
        </w:rPr>
        <w:t> </w:t>
      </w:r>
      <w:r>
        <w:rPr>
          <w:sz w:val="21"/>
        </w:rPr>
        <w:t>depreciation</w:t>
      </w:r>
      <w:r>
        <w:rPr>
          <w:spacing w:val="40"/>
          <w:sz w:val="21"/>
        </w:rPr>
        <w:t> </w:t>
      </w:r>
      <w:r>
        <w:rPr>
          <w:sz w:val="21"/>
        </w:rPr>
        <w:t>and</w:t>
      </w:r>
      <w:r>
        <w:rPr>
          <w:spacing w:val="40"/>
          <w:sz w:val="21"/>
        </w:rPr>
        <w:t> </w:t>
      </w:r>
      <w:r>
        <w:rPr>
          <w:sz w:val="21"/>
        </w:rPr>
        <w:t>amortization,</w:t>
      </w:r>
      <w:r>
        <w:rPr>
          <w:spacing w:val="40"/>
          <w:sz w:val="21"/>
        </w:rPr>
        <w:t> </w:t>
      </w:r>
      <w:r>
        <w:rPr>
          <w:sz w:val="21"/>
        </w:rPr>
        <w:t>multiplied</w:t>
      </w:r>
      <w:r>
        <w:rPr>
          <w:spacing w:val="40"/>
          <w:sz w:val="21"/>
        </w:rPr>
        <w:t> </w:t>
      </w:r>
      <w:r>
        <w:rPr>
          <w:sz w:val="21"/>
        </w:rPr>
        <w:t>by</w:t>
      </w:r>
      <w:r>
        <w:rPr>
          <w:spacing w:val="40"/>
          <w:sz w:val="21"/>
        </w:rPr>
        <w:t> </w:t>
      </w:r>
      <w:r>
        <w:rPr>
          <w:sz w:val="21"/>
        </w:rPr>
        <w:t>the</w:t>
      </w:r>
      <w:r>
        <w:rPr>
          <w:spacing w:val="40"/>
          <w:sz w:val="21"/>
        </w:rPr>
        <w:t> </w:t>
      </w:r>
      <w:r>
        <w:rPr>
          <w:sz w:val="21"/>
        </w:rPr>
        <w:t>number</w:t>
      </w:r>
      <w:r>
        <w:rPr>
          <w:spacing w:val="40"/>
          <w:sz w:val="21"/>
        </w:rPr>
        <w:t> </w:t>
      </w:r>
      <w:r>
        <w:rPr>
          <w:sz w:val="21"/>
        </w:rPr>
        <w:t>of</w:t>
      </w:r>
      <w:r>
        <w:rPr>
          <w:spacing w:val="40"/>
          <w:sz w:val="21"/>
        </w:rPr>
        <w:t> </w:t>
      </w:r>
      <w:r>
        <w:rPr>
          <w:sz w:val="21"/>
        </w:rPr>
        <w:t>years remaining until the end of the concession.</w:t>
      </w:r>
    </w:p>
    <w:p>
      <w:pPr>
        <w:pStyle w:val="BodyText"/>
        <w:spacing w:before="135"/>
        <w:rPr>
          <w:sz w:val="21"/>
        </w:rPr>
      </w:pPr>
    </w:p>
    <w:p>
      <w:pPr>
        <w:spacing w:line="309" w:lineRule="auto" w:before="0"/>
        <w:ind w:left="5170" w:right="5143" w:firstLine="0"/>
        <w:jc w:val="center"/>
        <w:rPr>
          <w:b/>
          <w:sz w:val="21"/>
        </w:rPr>
      </w:pPr>
      <w:r>
        <w:rPr>
          <w:b/>
          <w:sz w:val="21"/>
        </w:rPr>
        <w:t>Clause</w:t>
      </w:r>
      <w:r>
        <w:rPr>
          <w:b/>
          <w:spacing w:val="-13"/>
          <w:sz w:val="21"/>
        </w:rPr>
        <w:t> </w:t>
      </w:r>
      <w:r>
        <w:rPr>
          <w:b/>
          <w:sz w:val="21"/>
        </w:rPr>
        <w:t>84 </w:t>
      </w:r>
      <w:r>
        <w:rPr>
          <w:b/>
          <w:spacing w:val="-2"/>
          <w:sz w:val="21"/>
        </w:rPr>
        <w:t>Seizure</w:t>
      </w:r>
    </w:p>
    <w:p>
      <w:pPr>
        <w:pStyle w:val="BodyText"/>
        <w:spacing w:before="75"/>
        <w:rPr>
          <w:b/>
          <w:sz w:val="21"/>
        </w:rPr>
      </w:pPr>
    </w:p>
    <w:p>
      <w:pPr>
        <w:spacing w:line="213" w:lineRule="auto" w:before="1"/>
        <w:ind w:left="144" w:right="119" w:firstLine="0"/>
        <w:jc w:val="both"/>
        <w:rPr>
          <w:sz w:val="21"/>
        </w:rPr>
      </w:pPr>
      <w:r>
        <w:rPr>
          <w:i/>
          <w:sz w:val="21"/>
        </w:rPr>
        <w:t>One</w:t>
      </w:r>
      <w:r>
        <w:rPr>
          <w:sz w:val="21"/>
        </w:rPr>
        <w:t>. When the total or partial termination or interruption of the operation of the concession by the Concessionaire occurs or is</w:t>
      </w:r>
      <w:r>
        <w:rPr>
          <w:spacing w:val="40"/>
          <w:sz w:val="21"/>
        </w:rPr>
        <w:t> </w:t>
      </w:r>
      <w:r>
        <w:rPr>
          <w:sz w:val="21"/>
        </w:rPr>
        <w:t>imminent,</w:t>
      </w:r>
      <w:r>
        <w:rPr>
          <w:spacing w:val="40"/>
          <w:sz w:val="21"/>
        </w:rPr>
        <w:t> </w:t>
      </w:r>
      <w:r>
        <w:rPr>
          <w:sz w:val="21"/>
        </w:rPr>
        <w:t>without</w:t>
      </w:r>
      <w:r>
        <w:rPr>
          <w:spacing w:val="40"/>
          <w:sz w:val="21"/>
        </w:rPr>
        <w:t> </w:t>
      </w:r>
      <w:r>
        <w:rPr>
          <w:sz w:val="21"/>
        </w:rPr>
        <w:t>authorization</w:t>
      </w:r>
      <w:r>
        <w:rPr>
          <w:spacing w:val="40"/>
          <w:sz w:val="21"/>
        </w:rPr>
        <w:t> </w:t>
      </w:r>
      <w:r>
        <w:rPr>
          <w:sz w:val="21"/>
        </w:rPr>
        <w:t>and</w:t>
      </w:r>
      <w:r>
        <w:rPr>
          <w:spacing w:val="40"/>
          <w:sz w:val="21"/>
        </w:rPr>
        <w:t> </w:t>
      </w:r>
      <w:r>
        <w:rPr>
          <w:sz w:val="21"/>
        </w:rPr>
        <w:t>not</w:t>
      </w:r>
      <w:r>
        <w:rPr>
          <w:spacing w:val="40"/>
          <w:sz w:val="21"/>
        </w:rPr>
        <w:t> </w:t>
      </w:r>
      <w:r>
        <w:rPr>
          <w:sz w:val="21"/>
        </w:rPr>
        <w:t>due</w:t>
      </w:r>
      <w:r>
        <w:rPr>
          <w:spacing w:val="40"/>
          <w:sz w:val="21"/>
        </w:rPr>
        <w:t> </w:t>
      </w:r>
      <w:r>
        <w:rPr>
          <w:sz w:val="21"/>
        </w:rPr>
        <w:t>to</w:t>
      </w:r>
      <w:r>
        <w:rPr>
          <w:spacing w:val="40"/>
          <w:sz w:val="21"/>
        </w:rPr>
        <w:t> </w:t>
      </w:r>
      <w:r>
        <w:rPr>
          <w:i/>
          <w:sz w:val="21"/>
        </w:rPr>
        <w:t>force</w:t>
      </w:r>
      <w:r>
        <w:rPr>
          <w:i/>
          <w:spacing w:val="40"/>
          <w:sz w:val="21"/>
        </w:rPr>
        <w:t> </w:t>
      </w:r>
      <w:r>
        <w:rPr>
          <w:i/>
          <w:sz w:val="21"/>
        </w:rPr>
        <w:t>majeure</w:t>
      </w:r>
      <w:r>
        <w:rPr>
          <w:sz w:val="21"/>
        </w:rPr>
        <w:t>,</w:t>
      </w:r>
      <w:r>
        <w:rPr>
          <w:spacing w:val="40"/>
          <w:sz w:val="21"/>
        </w:rPr>
        <w:t> </w:t>
      </w:r>
      <w:r>
        <w:rPr>
          <w:sz w:val="21"/>
        </w:rPr>
        <w:t>or</w:t>
      </w:r>
      <w:r>
        <w:rPr>
          <w:spacing w:val="40"/>
          <w:sz w:val="21"/>
        </w:rPr>
        <w:t> </w:t>
      </w:r>
      <w:r>
        <w:rPr>
          <w:sz w:val="21"/>
        </w:rPr>
        <w:t>when</w:t>
      </w:r>
      <w:r>
        <w:rPr>
          <w:spacing w:val="40"/>
          <w:sz w:val="21"/>
        </w:rPr>
        <w:t> </w:t>
      </w:r>
      <w:r>
        <w:rPr>
          <w:sz w:val="21"/>
        </w:rPr>
        <w:t>there</w:t>
      </w:r>
      <w:r>
        <w:rPr>
          <w:spacing w:val="40"/>
          <w:sz w:val="21"/>
        </w:rPr>
        <w:t> </w:t>
      </w:r>
      <w:r>
        <w:rPr>
          <w:sz w:val="21"/>
        </w:rPr>
        <w:t>are</w:t>
      </w:r>
      <w:r>
        <w:rPr>
          <w:spacing w:val="40"/>
          <w:sz w:val="21"/>
        </w:rPr>
        <w:t> </w:t>
      </w:r>
      <w:r>
        <w:rPr>
          <w:sz w:val="21"/>
        </w:rPr>
        <w:t>serious</w:t>
      </w:r>
      <w:r>
        <w:rPr>
          <w:spacing w:val="40"/>
          <w:sz w:val="21"/>
        </w:rPr>
        <w:t> </w:t>
      </w:r>
      <w:r>
        <w:rPr>
          <w:sz w:val="21"/>
        </w:rPr>
        <w:t>disturbances</w:t>
      </w:r>
      <w:r>
        <w:rPr>
          <w:spacing w:val="40"/>
          <w:sz w:val="21"/>
        </w:rPr>
        <w:t> </w:t>
      </w:r>
      <w:r>
        <w:rPr>
          <w:sz w:val="21"/>
        </w:rPr>
        <w:t>or</w:t>
      </w:r>
      <w:r>
        <w:rPr>
          <w:spacing w:val="40"/>
          <w:sz w:val="21"/>
        </w:rPr>
        <w:t> </w:t>
      </w:r>
      <w:r>
        <w:rPr>
          <w:sz w:val="21"/>
        </w:rPr>
        <w:t>deficiencies</w:t>
      </w:r>
      <w:r>
        <w:rPr>
          <w:spacing w:val="40"/>
          <w:sz w:val="21"/>
        </w:rPr>
        <w:t> </w:t>
      </w:r>
      <w:r>
        <w:rPr>
          <w:sz w:val="21"/>
        </w:rPr>
        <w:t>in</w:t>
      </w:r>
      <w:r>
        <w:rPr>
          <w:spacing w:val="40"/>
          <w:sz w:val="21"/>
        </w:rPr>
        <w:t> </w:t>
      </w:r>
      <w:r>
        <w:rPr>
          <w:sz w:val="21"/>
        </w:rPr>
        <w:t>the organization</w:t>
      </w:r>
      <w:r>
        <w:rPr>
          <w:spacing w:val="40"/>
          <w:sz w:val="21"/>
        </w:rPr>
        <w:t> </w:t>
      </w:r>
      <w:r>
        <w:rPr>
          <w:sz w:val="21"/>
        </w:rPr>
        <w:t>and</w:t>
      </w:r>
      <w:r>
        <w:rPr>
          <w:spacing w:val="40"/>
          <w:sz w:val="21"/>
        </w:rPr>
        <w:t> </w:t>
      </w:r>
      <w:r>
        <w:rPr>
          <w:sz w:val="21"/>
        </w:rPr>
        <w:t>operation</w:t>
      </w:r>
      <w:r>
        <w:rPr>
          <w:spacing w:val="40"/>
          <w:sz w:val="21"/>
        </w:rPr>
        <w:t> </w:t>
      </w:r>
      <w:r>
        <w:rPr>
          <w:sz w:val="21"/>
        </w:rPr>
        <w:t>of</w:t>
      </w:r>
      <w:r>
        <w:rPr>
          <w:spacing w:val="40"/>
          <w:sz w:val="21"/>
        </w:rPr>
        <w:t> </w:t>
      </w:r>
      <w:r>
        <w:rPr>
          <w:sz w:val="21"/>
        </w:rPr>
        <w:t>the</w:t>
      </w:r>
      <w:r>
        <w:rPr>
          <w:spacing w:val="40"/>
          <w:sz w:val="21"/>
        </w:rPr>
        <w:t> </w:t>
      </w:r>
      <w:r>
        <w:rPr>
          <w:sz w:val="21"/>
        </w:rPr>
        <w:t>Concessionaire</w:t>
      </w:r>
      <w:r>
        <w:rPr>
          <w:spacing w:val="40"/>
          <w:sz w:val="21"/>
        </w:rPr>
        <w:t> </w:t>
      </w:r>
      <w:r>
        <w:rPr>
          <w:sz w:val="21"/>
        </w:rPr>
        <w:t>or</w:t>
      </w:r>
      <w:r>
        <w:rPr>
          <w:spacing w:val="40"/>
          <w:sz w:val="21"/>
        </w:rPr>
        <w:t> </w:t>
      </w:r>
      <w:r>
        <w:rPr>
          <w:sz w:val="21"/>
        </w:rPr>
        <w:t>in</w:t>
      </w:r>
      <w:r>
        <w:rPr>
          <w:spacing w:val="40"/>
          <w:sz w:val="21"/>
        </w:rPr>
        <w:t> </w:t>
      </w:r>
      <w:r>
        <w:rPr>
          <w:sz w:val="21"/>
        </w:rPr>
        <w:t>the</w:t>
      </w:r>
      <w:r>
        <w:rPr>
          <w:spacing w:val="40"/>
          <w:sz w:val="21"/>
        </w:rPr>
        <w:t> </w:t>
      </w:r>
      <w:r>
        <w:rPr>
          <w:sz w:val="21"/>
        </w:rPr>
        <w:t>general</w:t>
      </w:r>
      <w:r>
        <w:rPr>
          <w:spacing w:val="40"/>
          <w:sz w:val="21"/>
        </w:rPr>
        <w:t> </w:t>
      </w:r>
      <w:r>
        <w:rPr>
          <w:sz w:val="21"/>
        </w:rPr>
        <w:t>condition</w:t>
      </w:r>
      <w:r>
        <w:rPr>
          <w:spacing w:val="40"/>
          <w:sz w:val="21"/>
        </w:rPr>
        <w:t> </w:t>
      </w:r>
      <w:r>
        <w:rPr>
          <w:sz w:val="21"/>
        </w:rPr>
        <w:t>of</w:t>
      </w:r>
      <w:r>
        <w:rPr>
          <w:spacing w:val="40"/>
          <w:sz w:val="21"/>
        </w:rPr>
        <w:t> </w:t>
      </w:r>
      <w:r>
        <w:rPr>
          <w:sz w:val="21"/>
        </w:rPr>
        <w:t>the</w:t>
      </w:r>
      <w:r>
        <w:rPr>
          <w:spacing w:val="40"/>
          <w:sz w:val="21"/>
        </w:rPr>
        <w:t> </w:t>
      </w:r>
      <w:r>
        <w:rPr>
          <w:sz w:val="21"/>
        </w:rPr>
        <w:t>installations</w:t>
      </w:r>
      <w:r>
        <w:rPr>
          <w:spacing w:val="40"/>
          <w:sz w:val="21"/>
        </w:rPr>
        <w:t> </w:t>
      </w:r>
      <w:r>
        <w:rPr>
          <w:sz w:val="21"/>
        </w:rPr>
        <w:t>and</w:t>
      </w:r>
      <w:r>
        <w:rPr>
          <w:spacing w:val="40"/>
          <w:sz w:val="21"/>
        </w:rPr>
        <w:t> </w:t>
      </w:r>
      <w:r>
        <w:rPr>
          <w:sz w:val="21"/>
        </w:rPr>
        <w:t>equipment,</w:t>
      </w:r>
      <w:r>
        <w:rPr>
          <w:spacing w:val="40"/>
          <w:sz w:val="21"/>
        </w:rPr>
        <w:t> </w:t>
      </w:r>
      <w:r>
        <w:rPr>
          <w:sz w:val="21"/>
        </w:rPr>
        <w:t>which</w:t>
      </w:r>
      <w:r>
        <w:rPr>
          <w:spacing w:val="40"/>
          <w:sz w:val="21"/>
        </w:rPr>
        <w:t> </w:t>
      </w:r>
      <w:r>
        <w:rPr>
          <w:sz w:val="21"/>
        </w:rPr>
        <w:t>may compromise the regularity of the concession operation, the Government may replace the Concessionaire, directly or through third- parties, ensuring the operation of the concession and promoting the execution of the measures required to ensure the scope of this concession</w:t>
      </w:r>
      <w:r>
        <w:rPr>
          <w:spacing w:val="26"/>
          <w:sz w:val="21"/>
        </w:rPr>
        <w:t> </w:t>
      </w:r>
      <w:r>
        <w:rPr>
          <w:sz w:val="21"/>
        </w:rPr>
        <w:t>contract,</w:t>
      </w:r>
      <w:r>
        <w:rPr>
          <w:spacing w:val="26"/>
          <w:sz w:val="21"/>
        </w:rPr>
        <w:t> </w:t>
      </w:r>
      <w:r>
        <w:rPr>
          <w:sz w:val="21"/>
        </w:rPr>
        <w:t>for</w:t>
      </w:r>
      <w:r>
        <w:rPr>
          <w:spacing w:val="26"/>
          <w:sz w:val="21"/>
        </w:rPr>
        <w:t> </w:t>
      </w:r>
      <w:r>
        <w:rPr>
          <w:sz w:val="21"/>
        </w:rPr>
        <w:t>as</w:t>
      </w:r>
      <w:r>
        <w:rPr>
          <w:spacing w:val="26"/>
          <w:sz w:val="21"/>
        </w:rPr>
        <w:t> </w:t>
      </w:r>
      <w:r>
        <w:rPr>
          <w:sz w:val="21"/>
        </w:rPr>
        <w:t>long</w:t>
      </w:r>
      <w:r>
        <w:rPr>
          <w:spacing w:val="26"/>
          <w:sz w:val="21"/>
        </w:rPr>
        <w:t> </w:t>
      </w:r>
      <w:r>
        <w:rPr>
          <w:sz w:val="21"/>
        </w:rPr>
        <w:t>as</w:t>
      </w:r>
      <w:r>
        <w:rPr>
          <w:spacing w:val="26"/>
          <w:sz w:val="21"/>
        </w:rPr>
        <w:t> </w:t>
      </w:r>
      <w:r>
        <w:rPr>
          <w:sz w:val="21"/>
        </w:rPr>
        <w:t>the</w:t>
      </w:r>
      <w:r>
        <w:rPr>
          <w:spacing w:val="26"/>
          <w:sz w:val="21"/>
        </w:rPr>
        <w:t> </w:t>
      </w:r>
      <w:r>
        <w:rPr>
          <w:sz w:val="21"/>
        </w:rPr>
        <w:t>termination</w:t>
      </w:r>
      <w:r>
        <w:rPr>
          <w:spacing w:val="26"/>
          <w:sz w:val="21"/>
        </w:rPr>
        <w:t> </w:t>
      </w:r>
      <w:r>
        <w:rPr>
          <w:sz w:val="21"/>
        </w:rPr>
        <w:t>or</w:t>
      </w:r>
      <w:r>
        <w:rPr>
          <w:spacing w:val="26"/>
          <w:sz w:val="21"/>
        </w:rPr>
        <w:t> </w:t>
      </w:r>
      <w:r>
        <w:rPr>
          <w:sz w:val="21"/>
        </w:rPr>
        <w:t>interruption</w:t>
      </w:r>
      <w:r>
        <w:rPr>
          <w:spacing w:val="26"/>
          <w:sz w:val="21"/>
        </w:rPr>
        <w:t> </w:t>
      </w:r>
      <w:r>
        <w:rPr>
          <w:sz w:val="21"/>
        </w:rPr>
        <w:t>lasts</w:t>
      </w:r>
      <w:r>
        <w:rPr>
          <w:spacing w:val="26"/>
          <w:sz w:val="21"/>
        </w:rPr>
        <w:t> </w:t>
      </w:r>
      <w:r>
        <w:rPr>
          <w:sz w:val="21"/>
        </w:rPr>
        <w:t>or</w:t>
      </w:r>
      <w:r>
        <w:rPr>
          <w:spacing w:val="26"/>
          <w:sz w:val="21"/>
        </w:rPr>
        <w:t> </w:t>
      </w:r>
      <w:r>
        <w:rPr>
          <w:sz w:val="21"/>
        </w:rPr>
        <w:t>the</w:t>
      </w:r>
      <w:r>
        <w:rPr>
          <w:spacing w:val="26"/>
          <w:sz w:val="21"/>
        </w:rPr>
        <w:t> </w:t>
      </w:r>
      <w:r>
        <w:rPr>
          <w:sz w:val="21"/>
        </w:rPr>
        <w:t>disturbances</w:t>
      </w:r>
      <w:r>
        <w:rPr>
          <w:spacing w:val="26"/>
          <w:sz w:val="21"/>
        </w:rPr>
        <w:t> </w:t>
      </w:r>
      <w:r>
        <w:rPr>
          <w:sz w:val="21"/>
        </w:rPr>
        <w:t>and</w:t>
      </w:r>
      <w:r>
        <w:rPr>
          <w:spacing w:val="26"/>
          <w:sz w:val="21"/>
        </w:rPr>
        <w:t> </w:t>
      </w:r>
      <w:r>
        <w:rPr>
          <w:sz w:val="21"/>
        </w:rPr>
        <w:t>deficiencies</w:t>
      </w:r>
      <w:r>
        <w:rPr>
          <w:spacing w:val="26"/>
          <w:sz w:val="21"/>
        </w:rPr>
        <w:t> </w:t>
      </w:r>
      <w:r>
        <w:rPr>
          <w:sz w:val="21"/>
        </w:rPr>
        <w:t>persist.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2"/>
        <w:rPr>
          <w:sz w:val="20"/>
        </w:rPr>
      </w:pPr>
      <w:r>
        <w:rPr/>
        <mc:AlternateContent>
          <mc:Choice Requires="wps">
            <w:drawing>
              <wp:anchor distT="0" distB="0" distL="0" distR="0" allowOverlap="1" layoutInCell="1" locked="0" behindDoc="1" simplePos="0" relativeHeight="487786496">
                <wp:simplePos x="0" y="0"/>
                <wp:positionH relativeFrom="page">
                  <wp:posOffset>231457</wp:posOffset>
                </wp:positionH>
                <wp:positionV relativeFrom="paragraph">
                  <wp:posOffset>206997</wp:posOffset>
                </wp:positionV>
                <wp:extent cx="7312659" cy="17145"/>
                <wp:effectExtent l="0" t="0" r="0" b="0"/>
                <wp:wrapTopAndBottom/>
                <wp:docPr id="968" name="Group 968"/>
                <wp:cNvGraphicFramePr>
                  <a:graphicFrameLocks/>
                </wp:cNvGraphicFramePr>
                <a:graphic>
                  <a:graphicData uri="http://schemas.microsoft.com/office/word/2010/wordprocessingGroup">
                    <wpg:wgp>
                      <wpg:cNvPr id="968" name="Group 968"/>
                      <wpg:cNvGrpSpPr/>
                      <wpg:grpSpPr>
                        <a:xfrm>
                          <a:off x="0" y="0"/>
                          <a:ext cx="7312659" cy="17145"/>
                          <a:chExt cx="7312659" cy="17145"/>
                        </a:xfrm>
                      </wpg:grpSpPr>
                      <wps:wsp>
                        <wps:cNvPr id="969" name="Graphic 96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70" name="Graphic 970"/>
                        <wps:cNvSpPr/>
                        <wps:spPr>
                          <a:xfrm>
                            <a:off x="-12" y="-1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71" name="Graphic 9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299023pt;width:575.8pt;height:1.35pt;mso-position-horizontal-relative:page;mso-position-vertical-relative:paragraph;z-index:-15529984;mso-wrap-distance-left:0;mso-wrap-distance-right:0" id="docshapegroup966" coordorigin="364,326" coordsize="11516,27">
                <v:rect style="position:absolute;left:364;top:325;width:11516;height:14" id="docshape967" filled="true" fillcolor="#999999" stroked="false">
                  <v:fill type="solid"/>
                </v:rect>
                <v:shape style="position:absolute;left:364;top:325;width:11516;height:27" id="docshape968" coordorigin="364,326" coordsize="11516,27" path="m11880,326l11866,339,364,339,364,353,11866,353,11880,353,11880,339,11880,326xe" filled="true" fillcolor="#ededed" stroked="false">
                  <v:path arrowok="t"/>
                  <v:fill type="solid"/>
                </v:shape>
                <v:shape style="position:absolute;left:364;top:325;width:14;height:27" id="docshape969" coordorigin="364,326" coordsize="14,27" path="m364,353l364,326,378,326,378,339,364,353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97"/>
        <w:ind w:left="144" w:right="118" w:firstLine="0"/>
        <w:jc w:val="both"/>
        <w:rPr>
          <w:sz w:val="21"/>
        </w:rPr>
      </w:pPr>
      <w:r>
        <w:rPr>
          <w:i/>
          <w:sz w:val="21"/>
        </w:rPr>
        <w:t>Two</w:t>
      </w:r>
      <w:r>
        <w:rPr>
          <w:sz w:val="21"/>
        </w:rPr>
        <w:t>. During such seizure, the Concessionaire shall be liable for the expenses incurred in the maintenance and normalization of the concession operation and for this purpose the Government can use the collateral to guarantee the fulfilment of the Concessionaire’s</w:t>
      </w:r>
      <w:r>
        <w:rPr>
          <w:spacing w:val="80"/>
          <w:sz w:val="21"/>
        </w:rPr>
        <w:t> </w:t>
      </w:r>
      <w:r>
        <w:rPr>
          <w:sz w:val="21"/>
        </w:rPr>
        <w:t>legal</w:t>
      </w:r>
      <w:r>
        <w:rPr>
          <w:spacing w:val="30"/>
          <w:sz w:val="21"/>
        </w:rPr>
        <w:t> </w:t>
      </w:r>
      <w:r>
        <w:rPr>
          <w:sz w:val="21"/>
        </w:rPr>
        <w:t>or</w:t>
      </w:r>
      <w:r>
        <w:rPr>
          <w:spacing w:val="30"/>
          <w:sz w:val="21"/>
        </w:rPr>
        <w:t> </w:t>
      </w:r>
      <w:r>
        <w:rPr>
          <w:sz w:val="21"/>
        </w:rPr>
        <w:t>contractual</w:t>
      </w:r>
      <w:r>
        <w:rPr>
          <w:spacing w:val="30"/>
          <w:sz w:val="21"/>
        </w:rPr>
        <w:t> </w:t>
      </w:r>
      <w:r>
        <w:rPr>
          <w:sz w:val="21"/>
        </w:rPr>
        <w:t>obligations</w:t>
      </w:r>
      <w:r>
        <w:rPr>
          <w:spacing w:val="30"/>
          <w:sz w:val="21"/>
        </w:rPr>
        <w:t> </w:t>
      </w:r>
      <w:r>
        <w:rPr>
          <w:sz w:val="21"/>
        </w:rPr>
        <w:t>and</w:t>
      </w:r>
      <w:r>
        <w:rPr>
          <w:spacing w:val="30"/>
          <w:sz w:val="21"/>
        </w:rPr>
        <w:t> </w:t>
      </w:r>
      <w:r>
        <w:rPr>
          <w:sz w:val="21"/>
        </w:rPr>
        <w:t>the</w:t>
      </w:r>
      <w:r>
        <w:rPr>
          <w:spacing w:val="30"/>
          <w:sz w:val="21"/>
        </w:rPr>
        <w:t> </w:t>
      </w:r>
      <w:r>
        <w:rPr>
          <w:sz w:val="21"/>
        </w:rPr>
        <w:t>guarantee</w:t>
      </w:r>
      <w:r>
        <w:rPr>
          <w:spacing w:val="30"/>
          <w:sz w:val="21"/>
        </w:rPr>
        <w:t> </w:t>
      </w:r>
      <w:r>
        <w:rPr>
          <w:sz w:val="21"/>
        </w:rPr>
        <w:t>provided</w:t>
      </w:r>
      <w:r>
        <w:rPr>
          <w:spacing w:val="30"/>
          <w:sz w:val="21"/>
        </w:rPr>
        <w:t> </w:t>
      </w:r>
      <w:r>
        <w:rPr>
          <w:sz w:val="21"/>
        </w:rPr>
        <w:t>by</w:t>
      </w:r>
      <w:r>
        <w:rPr>
          <w:spacing w:val="30"/>
          <w:sz w:val="21"/>
        </w:rPr>
        <w:t> </w:t>
      </w:r>
      <w:r>
        <w:rPr>
          <w:sz w:val="21"/>
        </w:rPr>
        <w:t>the</w:t>
      </w:r>
      <w:r>
        <w:rPr>
          <w:spacing w:val="30"/>
          <w:sz w:val="21"/>
        </w:rPr>
        <w:t> </w:t>
      </w:r>
      <w:r>
        <w:rPr>
          <w:sz w:val="21"/>
        </w:rPr>
        <w:t>controlling</w:t>
      </w:r>
      <w:r>
        <w:rPr>
          <w:spacing w:val="30"/>
          <w:sz w:val="21"/>
        </w:rPr>
        <w:t> </w:t>
      </w:r>
      <w:r>
        <w:rPr>
          <w:sz w:val="21"/>
        </w:rPr>
        <w:t>shareholder</w:t>
      </w:r>
      <w:r>
        <w:rPr>
          <w:spacing w:val="30"/>
          <w:sz w:val="21"/>
        </w:rPr>
        <w:t> </w:t>
      </w:r>
      <w:r>
        <w:rPr>
          <w:sz w:val="21"/>
        </w:rPr>
        <w:t>of</w:t>
      </w:r>
      <w:r>
        <w:rPr>
          <w:spacing w:val="30"/>
          <w:sz w:val="21"/>
        </w:rPr>
        <w:t> </w:t>
      </w:r>
      <w:r>
        <w:rPr>
          <w:sz w:val="21"/>
        </w:rPr>
        <w:t>the</w:t>
      </w:r>
      <w:r>
        <w:rPr>
          <w:spacing w:val="30"/>
          <w:sz w:val="21"/>
        </w:rPr>
        <w:t> </w:t>
      </w:r>
      <w:r>
        <w:rPr>
          <w:sz w:val="21"/>
        </w:rPr>
        <w:t>Concessionaire.</w:t>
      </w:r>
    </w:p>
    <w:p>
      <w:pPr>
        <w:pStyle w:val="BodyText"/>
        <w:spacing w:before="153"/>
        <w:rPr>
          <w:sz w:val="21"/>
        </w:rPr>
      </w:pPr>
    </w:p>
    <w:p>
      <w:pPr>
        <w:spacing w:line="213" w:lineRule="auto" w:before="0"/>
        <w:ind w:left="144" w:right="118" w:firstLine="0"/>
        <w:jc w:val="both"/>
        <w:rPr>
          <w:sz w:val="21"/>
        </w:rPr>
      </w:pPr>
      <w:r>
        <w:rPr>
          <w:i/>
          <w:sz w:val="21"/>
        </w:rPr>
        <w:t>Three</w:t>
      </w:r>
      <w:r>
        <w:rPr>
          <w:sz w:val="21"/>
        </w:rPr>
        <w:t>. As soon as the reasons for the seizure cease to exist and the Government deems it appropriate, the Concessionaire shall </w:t>
      </w:r>
      <w:r>
        <w:rPr>
          <w:sz w:val="21"/>
        </w:rPr>
        <w:t>be notified to resume normal operation of the concession within the established period.</w:t>
      </w:r>
    </w:p>
    <w:p>
      <w:pPr>
        <w:pStyle w:val="BodyText"/>
        <w:spacing w:before="165"/>
        <w:rPr>
          <w:sz w:val="21"/>
        </w:rPr>
      </w:pPr>
    </w:p>
    <w:p>
      <w:pPr>
        <w:spacing w:line="213" w:lineRule="auto" w:before="1"/>
        <w:ind w:left="144" w:right="118" w:firstLine="0"/>
        <w:jc w:val="both"/>
        <w:rPr>
          <w:sz w:val="21"/>
        </w:rPr>
      </w:pPr>
      <w:r>
        <w:rPr>
          <w:i/>
          <w:sz w:val="21"/>
        </w:rPr>
        <w:t>Four</w:t>
      </w:r>
      <w:r>
        <w:rPr>
          <w:sz w:val="21"/>
        </w:rPr>
        <w:t>. Should the Concessionaire be unwilling or unable to resume the operation of the concession or if, having done so, </w:t>
      </w:r>
      <w:r>
        <w:rPr>
          <w:sz w:val="21"/>
        </w:rPr>
        <w:t>serious disturbances</w:t>
      </w:r>
      <w:r>
        <w:rPr>
          <w:spacing w:val="28"/>
          <w:sz w:val="21"/>
        </w:rPr>
        <w:t> </w:t>
      </w:r>
      <w:r>
        <w:rPr>
          <w:sz w:val="21"/>
        </w:rPr>
        <w:t>or</w:t>
      </w:r>
      <w:r>
        <w:rPr>
          <w:spacing w:val="28"/>
          <w:sz w:val="21"/>
        </w:rPr>
        <w:t> </w:t>
      </w:r>
      <w:r>
        <w:rPr>
          <w:sz w:val="21"/>
        </w:rPr>
        <w:t>deficiencies</w:t>
      </w:r>
      <w:r>
        <w:rPr>
          <w:spacing w:val="28"/>
          <w:sz w:val="21"/>
        </w:rPr>
        <w:t> </w:t>
      </w:r>
      <w:r>
        <w:rPr>
          <w:sz w:val="21"/>
        </w:rPr>
        <w:t>in</w:t>
      </w:r>
      <w:r>
        <w:rPr>
          <w:spacing w:val="28"/>
          <w:sz w:val="21"/>
        </w:rPr>
        <w:t> </w:t>
      </w:r>
      <w:r>
        <w:rPr>
          <w:sz w:val="21"/>
        </w:rPr>
        <w:t>its</w:t>
      </w:r>
      <w:r>
        <w:rPr>
          <w:spacing w:val="28"/>
          <w:sz w:val="21"/>
        </w:rPr>
        <w:t> </w:t>
      </w:r>
      <w:r>
        <w:rPr>
          <w:sz w:val="21"/>
        </w:rPr>
        <w:t>organization</w:t>
      </w:r>
      <w:r>
        <w:rPr>
          <w:spacing w:val="28"/>
          <w:sz w:val="21"/>
        </w:rPr>
        <w:t> </w:t>
      </w:r>
      <w:r>
        <w:rPr>
          <w:sz w:val="21"/>
        </w:rPr>
        <w:t>and</w:t>
      </w:r>
      <w:r>
        <w:rPr>
          <w:spacing w:val="28"/>
          <w:sz w:val="21"/>
        </w:rPr>
        <w:t> </w:t>
      </w:r>
      <w:r>
        <w:rPr>
          <w:sz w:val="21"/>
        </w:rPr>
        <w:t>operation</w:t>
      </w:r>
      <w:r>
        <w:rPr>
          <w:spacing w:val="28"/>
          <w:sz w:val="21"/>
        </w:rPr>
        <w:t> </w:t>
      </w:r>
      <w:r>
        <w:rPr>
          <w:sz w:val="21"/>
        </w:rPr>
        <w:t>continue</w:t>
      </w:r>
      <w:r>
        <w:rPr>
          <w:spacing w:val="28"/>
          <w:sz w:val="21"/>
        </w:rPr>
        <w:t> </w:t>
      </w:r>
      <w:r>
        <w:rPr>
          <w:sz w:val="21"/>
        </w:rPr>
        <w:t>to</w:t>
      </w:r>
      <w:r>
        <w:rPr>
          <w:spacing w:val="28"/>
          <w:sz w:val="21"/>
        </w:rPr>
        <w:t> </w:t>
      </w:r>
      <w:r>
        <w:rPr>
          <w:sz w:val="21"/>
        </w:rPr>
        <w:t>occur,</w:t>
      </w:r>
      <w:r>
        <w:rPr>
          <w:spacing w:val="28"/>
          <w:sz w:val="21"/>
        </w:rPr>
        <w:t> </w:t>
      </w:r>
      <w:r>
        <w:rPr>
          <w:sz w:val="21"/>
        </w:rPr>
        <w:t>the</w:t>
      </w:r>
      <w:r>
        <w:rPr>
          <w:spacing w:val="28"/>
          <w:sz w:val="21"/>
        </w:rPr>
        <w:t> </w:t>
      </w:r>
      <w:r>
        <w:rPr>
          <w:sz w:val="21"/>
        </w:rPr>
        <w:t>Government</w:t>
      </w:r>
      <w:r>
        <w:rPr>
          <w:spacing w:val="28"/>
          <w:sz w:val="21"/>
        </w:rPr>
        <w:t> </w:t>
      </w:r>
      <w:r>
        <w:rPr>
          <w:sz w:val="21"/>
        </w:rPr>
        <w:t>may</w:t>
      </w:r>
      <w:r>
        <w:rPr>
          <w:spacing w:val="28"/>
          <w:sz w:val="21"/>
        </w:rPr>
        <w:t> </w:t>
      </w:r>
      <w:r>
        <w:rPr>
          <w:sz w:val="21"/>
        </w:rPr>
        <w:t>declare</w:t>
      </w:r>
      <w:r>
        <w:rPr>
          <w:spacing w:val="28"/>
          <w:sz w:val="21"/>
        </w:rPr>
        <w:t> </w:t>
      </w:r>
      <w:r>
        <w:rPr>
          <w:sz w:val="21"/>
        </w:rPr>
        <w:t>unilateral</w:t>
      </w:r>
      <w:r>
        <w:rPr>
          <w:spacing w:val="28"/>
          <w:sz w:val="21"/>
        </w:rPr>
        <w:t> </w:t>
      </w:r>
      <w:r>
        <w:rPr>
          <w:sz w:val="21"/>
        </w:rPr>
        <w:t>termination for breach of this concession contract.</w:t>
      </w:r>
    </w:p>
    <w:p>
      <w:pPr>
        <w:pStyle w:val="BodyText"/>
        <w:spacing w:before="131"/>
        <w:rPr>
          <w:sz w:val="21"/>
        </w:rPr>
      </w:pPr>
    </w:p>
    <w:p>
      <w:pPr>
        <w:spacing w:before="0"/>
        <w:ind w:left="24" w:right="0" w:firstLine="0"/>
        <w:jc w:val="center"/>
        <w:rPr>
          <w:b/>
          <w:sz w:val="21"/>
        </w:rPr>
      </w:pPr>
      <w:r>
        <w:rPr>
          <w:b/>
          <w:sz w:val="21"/>
        </w:rPr>
        <w:t>Clause</w:t>
      </w:r>
      <w:r>
        <w:rPr>
          <w:b/>
          <w:spacing w:val="13"/>
          <w:sz w:val="21"/>
        </w:rPr>
        <w:t> </w:t>
      </w:r>
      <w:r>
        <w:rPr>
          <w:b/>
          <w:spacing w:val="-5"/>
          <w:sz w:val="21"/>
        </w:rPr>
        <w:t>85</w:t>
      </w:r>
    </w:p>
    <w:p>
      <w:pPr>
        <w:spacing w:before="69"/>
        <w:ind w:left="24" w:right="0" w:firstLine="0"/>
        <w:jc w:val="center"/>
        <w:rPr>
          <w:b/>
          <w:sz w:val="21"/>
        </w:rPr>
      </w:pPr>
      <w:r>
        <w:rPr>
          <w:b/>
          <w:sz w:val="21"/>
        </w:rPr>
        <w:t>Termination</w:t>
      </w:r>
      <w:r>
        <w:rPr>
          <w:b/>
          <w:spacing w:val="12"/>
          <w:sz w:val="21"/>
        </w:rPr>
        <w:t> </w:t>
      </w:r>
      <w:r>
        <w:rPr>
          <w:b/>
          <w:sz w:val="21"/>
        </w:rPr>
        <w:t>for</w:t>
      </w:r>
      <w:r>
        <w:rPr>
          <w:b/>
          <w:spacing w:val="7"/>
          <w:sz w:val="21"/>
        </w:rPr>
        <w:t> </w:t>
      </w:r>
      <w:r>
        <w:rPr>
          <w:b/>
          <w:sz w:val="21"/>
        </w:rPr>
        <w:t>non-compliance</w:t>
      </w:r>
      <w:r>
        <w:rPr>
          <w:b/>
          <w:spacing w:val="13"/>
          <w:sz w:val="21"/>
        </w:rPr>
        <w:t> </w:t>
      </w:r>
      <w:r>
        <w:rPr>
          <w:b/>
          <w:sz w:val="21"/>
        </w:rPr>
        <w:t>with</w:t>
      </w:r>
      <w:r>
        <w:rPr>
          <w:b/>
          <w:spacing w:val="12"/>
          <w:sz w:val="21"/>
        </w:rPr>
        <w:t> </w:t>
      </w:r>
      <w:r>
        <w:rPr>
          <w:b/>
          <w:spacing w:val="-2"/>
          <w:sz w:val="21"/>
        </w:rPr>
        <w:t>obligations</w:t>
      </w:r>
    </w:p>
    <w:p>
      <w:pPr>
        <w:pStyle w:val="BodyText"/>
        <w:spacing w:before="146"/>
        <w:rPr>
          <w:b/>
          <w:sz w:val="21"/>
        </w:rPr>
      </w:pPr>
    </w:p>
    <w:p>
      <w:pPr>
        <w:spacing w:line="213" w:lineRule="auto" w:before="1"/>
        <w:ind w:left="144" w:right="118" w:firstLine="0"/>
        <w:jc w:val="both"/>
        <w:rPr>
          <w:sz w:val="21"/>
        </w:rPr>
      </w:pPr>
      <w:r>
        <w:rPr>
          <w:i/>
          <w:sz w:val="21"/>
        </w:rPr>
        <w:t>One</w:t>
      </w:r>
      <w:r>
        <w:rPr>
          <w:sz w:val="21"/>
        </w:rPr>
        <w:t>. The Chief Executive may terminate the concession for the operation of games of fortune or chance in casinos, by </w:t>
      </w:r>
      <w:r>
        <w:rPr>
          <w:sz w:val="21"/>
        </w:rPr>
        <w:t>unilateral termination, in the event of non-compliance with obligations arising from legislation or from this concession contract to which the Concessionaire is bound.</w:t>
      </w:r>
    </w:p>
    <w:p>
      <w:pPr>
        <w:pStyle w:val="BodyText"/>
        <w:spacing w:before="131"/>
        <w:rPr>
          <w:sz w:val="21"/>
        </w:rPr>
      </w:pPr>
    </w:p>
    <w:p>
      <w:pPr>
        <w:spacing w:before="0"/>
        <w:ind w:left="144" w:right="0" w:firstLine="0"/>
        <w:jc w:val="both"/>
        <w:rPr>
          <w:sz w:val="21"/>
        </w:rPr>
      </w:pPr>
      <w:r>
        <w:rPr>
          <w:i/>
          <w:sz w:val="21"/>
        </w:rPr>
        <w:t>Two</w:t>
      </w:r>
      <w:r>
        <w:rPr>
          <w:sz w:val="21"/>
        </w:rPr>
        <w:t>.</w:t>
      </w:r>
      <w:r>
        <w:rPr>
          <w:spacing w:val="5"/>
          <w:sz w:val="21"/>
        </w:rPr>
        <w:t> </w:t>
      </w:r>
      <w:r>
        <w:rPr>
          <w:sz w:val="21"/>
        </w:rPr>
        <w:t>The</w:t>
      </w:r>
      <w:r>
        <w:rPr>
          <w:spacing w:val="11"/>
          <w:sz w:val="21"/>
        </w:rPr>
        <w:t> </w:t>
      </w:r>
      <w:r>
        <w:rPr>
          <w:sz w:val="21"/>
        </w:rPr>
        <w:t>following,</w:t>
      </w:r>
      <w:r>
        <w:rPr>
          <w:spacing w:val="11"/>
          <w:sz w:val="21"/>
        </w:rPr>
        <w:t> </w:t>
      </w:r>
      <w:r>
        <w:rPr>
          <w:sz w:val="21"/>
        </w:rPr>
        <w:t>in</w:t>
      </w:r>
      <w:r>
        <w:rPr>
          <w:spacing w:val="10"/>
          <w:sz w:val="21"/>
        </w:rPr>
        <w:t> </w:t>
      </w:r>
      <w:r>
        <w:rPr>
          <w:sz w:val="21"/>
        </w:rPr>
        <w:t>particular,</w:t>
      </w:r>
      <w:r>
        <w:rPr>
          <w:spacing w:val="11"/>
          <w:sz w:val="21"/>
        </w:rPr>
        <w:t> </w:t>
      </w:r>
      <w:r>
        <w:rPr>
          <w:sz w:val="21"/>
        </w:rPr>
        <w:t>constitute</w:t>
      </w:r>
      <w:r>
        <w:rPr>
          <w:spacing w:val="11"/>
          <w:sz w:val="21"/>
        </w:rPr>
        <w:t> </w:t>
      </w:r>
      <w:r>
        <w:rPr>
          <w:sz w:val="21"/>
        </w:rPr>
        <w:t>grounds</w:t>
      </w:r>
      <w:r>
        <w:rPr>
          <w:spacing w:val="10"/>
          <w:sz w:val="21"/>
        </w:rPr>
        <w:t> </w:t>
      </w:r>
      <w:r>
        <w:rPr>
          <w:sz w:val="21"/>
        </w:rPr>
        <w:t>for</w:t>
      </w:r>
      <w:r>
        <w:rPr>
          <w:spacing w:val="11"/>
          <w:sz w:val="21"/>
        </w:rPr>
        <w:t> </w:t>
      </w:r>
      <w:r>
        <w:rPr>
          <w:sz w:val="21"/>
        </w:rPr>
        <w:t>unilateral</w:t>
      </w:r>
      <w:r>
        <w:rPr>
          <w:spacing w:val="11"/>
          <w:sz w:val="21"/>
        </w:rPr>
        <w:t> </w:t>
      </w:r>
      <w:r>
        <w:rPr>
          <w:sz w:val="21"/>
        </w:rPr>
        <w:t>termination</w:t>
      </w:r>
      <w:r>
        <w:rPr>
          <w:spacing w:val="10"/>
          <w:sz w:val="21"/>
        </w:rPr>
        <w:t> </w:t>
      </w:r>
      <w:r>
        <w:rPr>
          <w:sz w:val="21"/>
        </w:rPr>
        <w:t>of</w:t>
      </w:r>
      <w:r>
        <w:rPr>
          <w:spacing w:val="11"/>
          <w:sz w:val="21"/>
        </w:rPr>
        <w:t> </w:t>
      </w:r>
      <w:r>
        <w:rPr>
          <w:sz w:val="21"/>
        </w:rPr>
        <w:t>this</w:t>
      </w:r>
      <w:r>
        <w:rPr>
          <w:spacing w:val="10"/>
          <w:sz w:val="21"/>
        </w:rPr>
        <w:t> </w:t>
      </w:r>
      <w:r>
        <w:rPr>
          <w:sz w:val="21"/>
        </w:rPr>
        <w:t>concession</w:t>
      </w:r>
      <w:r>
        <w:rPr>
          <w:spacing w:val="11"/>
          <w:sz w:val="21"/>
        </w:rPr>
        <w:t> </w:t>
      </w:r>
      <w:r>
        <w:rPr>
          <w:spacing w:val="-2"/>
          <w:sz w:val="21"/>
        </w:rPr>
        <w:t>contract:</w:t>
      </w:r>
    </w:p>
    <w:p>
      <w:pPr>
        <w:pStyle w:val="BodyText"/>
        <w:spacing w:before="160"/>
        <w:rPr>
          <w:sz w:val="21"/>
        </w:rPr>
      </w:pPr>
    </w:p>
    <w:p>
      <w:pPr>
        <w:pStyle w:val="ListParagraph"/>
        <w:numPr>
          <w:ilvl w:val="0"/>
          <w:numId w:val="45"/>
        </w:numPr>
        <w:tabs>
          <w:tab w:pos="910" w:val="left" w:leader="none"/>
          <w:tab w:pos="912" w:val="left" w:leader="none"/>
        </w:tabs>
        <w:spacing w:line="213" w:lineRule="auto" w:before="0" w:after="0"/>
        <w:ind w:left="910" w:right="118" w:hanging="256"/>
        <w:jc w:val="left"/>
        <w:rPr>
          <w:sz w:val="21"/>
        </w:rPr>
      </w:pPr>
      <w:r>
        <w:rPr>
          <w:sz w:val="21"/>
        </w:rPr>
        <w:tab/>
        <w:t>The</w:t>
      </w:r>
      <w:r>
        <w:rPr>
          <w:spacing w:val="40"/>
          <w:sz w:val="21"/>
        </w:rPr>
        <w:t> </w:t>
      </w:r>
      <w:r>
        <w:rPr>
          <w:sz w:val="21"/>
        </w:rPr>
        <w:t>deviation</w:t>
      </w:r>
      <w:r>
        <w:rPr>
          <w:spacing w:val="40"/>
          <w:sz w:val="21"/>
        </w:rPr>
        <w:t> </w:t>
      </w:r>
      <w:r>
        <w:rPr>
          <w:sz w:val="21"/>
        </w:rPr>
        <w:t>of</w:t>
      </w:r>
      <w:r>
        <w:rPr>
          <w:spacing w:val="40"/>
          <w:sz w:val="21"/>
        </w:rPr>
        <w:t> </w:t>
      </w:r>
      <w:r>
        <w:rPr>
          <w:sz w:val="21"/>
        </w:rPr>
        <w:t>the</w:t>
      </w:r>
      <w:r>
        <w:rPr>
          <w:spacing w:val="40"/>
          <w:sz w:val="21"/>
        </w:rPr>
        <w:t> </w:t>
      </w:r>
      <w:r>
        <w:rPr>
          <w:sz w:val="21"/>
        </w:rPr>
        <w:t>scope</w:t>
      </w:r>
      <w:r>
        <w:rPr>
          <w:spacing w:val="40"/>
          <w:sz w:val="21"/>
        </w:rPr>
        <w:t> </w:t>
      </w:r>
      <w:r>
        <w:rPr>
          <w:sz w:val="21"/>
        </w:rPr>
        <w:t>of</w:t>
      </w:r>
      <w:r>
        <w:rPr>
          <w:spacing w:val="40"/>
          <w:sz w:val="21"/>
        </w:rPr>
        <w:t> </w:t>
      </w:r>
      <w:r>
        <w:rPr>
          <w:sz w:val="21"/>
        </w:rPr>
        <w:t>the</w:t>
      </w:r>
      <w:r>
        <w:rPr>
          <w:spacing w:val="40"/>
          <w:sz w:val="21"/>
        </w:rPr>
        <w:t> </w:t>
      </w:r>
      <w:r>
        <w:rPr>
          <w:sz w:val="21"/>
        </w:rPr>
        <w:t>concession,</w:t>
      </w:r>
      <w:r>
        <w:rPr>
          <w:spacing w:val="40"/>
          <w:sz w:val="21"/>
        </w:rPr>
        <w:t> </w:t>
      </w:r>
      <w:r>
        <w:rPr>
          <w:sz w:val="21"/>
        </w:rPr>
        <w:t>either</w:t>
      </w:r>
      <w:r>
        <w:rPr>
          <w:spacing w:val="40"/>
          <w:sz w:val="21"/>
        </w:rPr>
        <w:t> </w:t>
      </w:r>
      <w:r>
        <w:rPr>
          <w:sz w:val="21"/>
        </w:rPr>
        <w:t>through</w:t>
      </w:r>
      <w:r>
        <w:rPr>
          <w:spacing w:val="40"/>
          <w:sz w:val="21"/>
        </w:rPr>
        <w:t> </w:t>
      </w:r>
      <w:r>
        <w:rPr>
          <w:sz w:val="21"/>
        </w:rPr>
        <w:t>unauthorized</w:t>
      </w:r>
      <w:r>
        <w:rPr>
          <w:spacing w:val="40"/>
          <w:sz w:val="21"/>
        </w:rPr>
        <w:t> </w:t>
      </w:r>
      <w:r>
        <w:rPr>
          <w:sz w:val="21"/>
        </w:rPr>
        <w:t>gaming</w:t>
      </w:r>
      <w:r>
        <w:rPr>
          <w:spacing w:val="40"/>
          <w:sz w:val="21"/>
        </w:rPr>
        <w:t> </w:t>
      </w:r>
      <w:r>
        <w:rPr>
          <w:sz w:val="21"/>
        </w:rPr>
        <w:t>operation,</w:t>
      </w:r>
      <w:r>
        <w:rPr>
          <w:spacing w:val="40"/>
          <w:sz w:val="21"/>
        </w:rPr>
        <w:t> </w:t>
      </w:r>
      <w:r>
        <w:rPr>
          <w:sz w:val="21"/>
        </w:rPr>
        <w:t>or</w:t>
      </w:r>
      <w:r>
        <w:rPr>
          <w:spacing w:val="40"/>
          <w:sz w:val="21"/>
        </w:rPr>
        <w:t> </w:t>
      </w:r>
      <w:r>
        <w:rPr>
          <w:sz w:val="21"/>
        </w:rPr>
        <w:t>through</w:t>
      </w:r>
      <w:r>
        <w:rPr>
          <w:spacing w:val="40"/>
          <w:sz w:val="21"/>
        </w:rPr>
        <w:t> </w:t>
      </w:r>
      <w:r>
        <w:rPr>
          <w:sz w:val="21"/>
        </w:rPr>
        <w:t>the</w:t>
      </w:r>
      <w:r>
        <w:rPr>
          <w:spacing w:val="40"/>
          <w:sz w:val="21"/>
        </w:rPr>
        <w:t> </w:t>
      </w:r>
      <w:r>
        <w:rPr>
          <w:sz w:val="21"/>
        </w:rPr>
        <w:t>exercise</w:t>
      </w:r>
      <w:r>
        <w:rPr>
          <w:spacing w:val="40"/>
          <w:sz w:val="21"/>
        </w:rPr>
        <w:t> </w:t>
      </w:r>
      <w:r>
        <w:rPr>
          <w:sz w:val="21"/>
        </w:rPr>
        <w:t>of activities excluded from the corporate scope of the Concessionaire;</w:t>
      </w:r>
    </w:p>
    <w:p>
      <w:pPr>
        <w:pStyle w:val="BodyText"/>
        <w:spacing w:before="152"/>
        <w:rPr>
          <w:sz w:val="21"/>
        </w:rPr>
      </w:pPr>
    </w:p>
    <w:p>
      <w:pPr>
        <w:pStyle w:val="ListParagraph"/>
        <w:numPr>
          <w:ilvl w:val="0"/>
          <w:numId w:val="45"/>
        </w:numPr>
        <w:tabs>
          <w:tab w:pos="891" w:val="left" w:leader="none"/>
          <w:tab w:pos="910" w:val="left" w:leader="none"/>
        </w:tabs>
        <w:spacing w:line="213" w:lineRule="auto" w:before="0" w:after="0"/>
        <w:ind w:left="910" w:right="118" w:hanging="256"/>
        <w:jc w:val="left"/>
        <w:rPr>
          <w:sz w:val="21"/>
        </w:rPr>
      </w:pPr>
      <w:r>
        <w:rPr>
          <w:sz w:val="21"/>
        </w:rPr>
        <w:t>The</w:t>
      </w:r>
      <w:r>
        <w:rPr>
          <w:spacing w:val="22"/>
          <w:sz w:val="21"/>
        </w:rPr>
        <w:t> </w:t>
      </w:r>
      <w:r>
        <w:rPr>
          <w:sz w:val="21"/>
        </w:rPr>
        <w:t>abandonment</w:t>
      </w:r>
      <w:r>
        <w:rPr>
          <w:spacing w:val="22"/>
          <w:sz w:val="21"/>
        </w:rPr>
        <w:t> </w:t>
      </w:r>
      <w:r>
        <w:rPr>
          <w:sz w:val="21"/>
        </w:rPr>
        <w:t>of</w:t>
      </w:r>
      <w:r>
        <w:rPr>
          <w:spacing w:val="22"/>
          <w:sz w:val="21"/>
        </w:rPr>
        <w:t> </w:t>
      </w:r>
      <w:r>
        <w:rPr>
          <w:sz w:val="21"/>
        </w:rPr>
        <w:t>the</w:t>
      </w:r>
      <w:r>
        <w:rPr>
          <w:spacing w:val="22"/>
          <w:sz w:val="21"/>
        </w:rPr>
        <w:t> </w:t>
      </w:r>
      <w:r>
        <w:rPr>
          <w:sz w:val="21"/>
        </w:rPr>
        <w:t>concession</w:t>
      </w:r>
      <w:r>
        <w:rPr>
          <w:spacing w:val="22"/>
          <w:sz w:val="21"/>
        </w:rPr>
        <w:t> </w:t>
      </w:r>
      <w:r>
        <w:rPr>
          <w:sz w:val="21"/>
        </w:rPr>
        <w:t>operation</w:t>
      </w:r>
      <w:r>
        <w:rPr>
          <w:spacing w:val="22"/>
          <w:sz w:val="21"/>
        </w:rPr>
        <w:t> </w:t>
      </w:r>
      <w:r>
        <w:rPr>
          <w:sz w:val="21"/>
        </w:rPr>
        <w:t>or</w:t>
      </w:r>
      <w:r>
        <w:rPr>
          <w:spacing w:val="22"/>
          <w:sz w:val="21"/>
        </w:rPr>
        <w:t> </w:t>
      </w:r>
      <w:r>
        <w:rPr>
          <w:sz w:val="21"/>
        </w:rPr>
        <w:t>its</w:t>
      </w:r>
      <w:r>
        <w:rPr>
          <w:spacing w:val="22"/>
          <w:sz w:val="21"/>
        </w:rPr>
        <w:t> </w:t>
      </w:r>
      <w:r>
        <w:rPr>
          <w:sz w:val="21"/>
        </w:rPr>
        <w:t>unjustified</w:t>
      </w:r>
      <w:r>
        <w:rPr>
          <w:spacing w:val="22"/>
          <w:sz w:val="21"/>
        </w:rPr>
        <w:t> </w:t>
      </w:r>
      <w:r>
        <w:rPr>
          <w:sz w:val="21"/>
        </w:rPr>
        <w:t>suspension</w:t>
      </w:r>
      <w:r>
        <w:rPr>
          <w:spacing w:val="22"/>
          <w:sz w:val="21"/>
        </w:rPr>
        <w:t> </w:t>
      </w:r>
      <w:r>
        <w:rPr>
          <w:sz w:val="21"/>
        </w:rPr>
        <w:t>for</w:t>
      </w:r>
      <w:r>
        <w:rPr>
          <w:spacing w:val="22"/>
          <w:sz w:val="21"/>
        </w:rPr>
        <w:t> </w:t>
      </w:r>
      <w:r>
        <w:rPr>
          <w:sz w:val="21"/>
        </w:rPr>
        <w:t>a</w:t>
      </w:r>
      <w:r>
        <w:rPr>
          <w:spacing w:val="22"/>
          <w:sz w:val="21"/>
        </w:rPr>
        <w:t> </w:t>
      </w:r>
      <w:r>
        <w:rPr>
          <w:sz w:val="21"/>
        </w:rPr>
        <w:t>period</w:t>
      </w:r>
      <w:r>
        <w:rPr>
          <w:spacing w:val="22"/>
          <w:sz w:val="21"/>
        </w:rPr>
        <w:t> </w:t>
      </w:r>
      <w:r>
        <w:rPr>
          <w:sz w:val="21"/>
        </w:rPr>
        <w:t>exceeding</w:t>
      </w:r>
      <w:r>
        <w:rPr>
          <w:spacing w:val="22"/>
          <w:sz w:val="21"/>
        </w:rPr>
        <w:t> </w:t>
      </w:r>
      <w:r>
        <w:rPr>
          <w:sz w:val="21"/>
        </w:rPr>
        <w:t>7</w:t>
      </w:r>
      <w:r>
        <w:rPr>
          <w:spacing w:val="22"/>
          <w:sz w:val="21"/>
        </w:rPr>
        <w:t> </w:t>
      </w:r>
      <w:r>
        <w:rPr>
          <w:sz w:val="21"/>
        </w:rPr>
        <w:t>consecutive</w:t>
      </w:r>
      <w:r>
        <w:rPr>
          <w:spacing w:val="22"/>
          <w:sz w:val="21"/>
        </w:rPr>
        <w:t> </w:t>
      </w:r>
      <w:r>
        <w:rPr>
          <w:sz w:val="21"/>
        </w:rPr>
        <w:t>days</w:t>
      </w:r>
      <w:r>
        <w:rPr>
          <w:spacing w:val="22"/>
          <w:sz w:val="21"/>
        </w:rPr>
        <w:t> </w:t>
      </w:r>
      <w:r>
        <w:rPr>
          <w:sz w:val="21"/>
        </w:rPr>
        <w:t>or</w:t>
      </w:r>
      <w:r>
        <w:rPr>
          <w:spacing w:val="22"/>
          <w:sz w:val="21"/>
        </w:rPr>
        <w:t> </w:t>
      </w:r>
      <w:r>
        <w:rPr>
          <w:sz w:val="21"/>
        </w:rPr>
        <w:t>14 interspersed days in a calendar year;</w:t>
      </w:r>
    </w:p>
    <w:p>
      <w:pPr>
        <w:pStyle w:val="BodyText"/>
        <w:spacing w:before="152"/>
        <w:rPr>
          <w:sz w:val="21"/>
        </w:rPr>
      </w:pPr>
    </w:p>
    <w:p>
      <w:pPr>
        <w:pStyle w:val="ListParagraph"/>
        <w:numPr>
          <w:ilvl w:val="0"/>
          <w:numId w:val="45"/>
        </w:numPr>
        <w:tabs>
          <w:tab w:pos="895" w:val="left" w:leader="none"/>
          <w:tab w:pos="910" w:val="left" w:leader="none"/>
        </w:tabs>
        <w:spacing w:line="213" w:lineRule="auto" w:before="0" w:after="0"/>
        <w:ind w:left="910" w:right="118" w:hanging="256"/>
        <w:jc w:val="left"/>
        <w:rPr>
          <w:sz w:val="21"/>
        </w:rPr>
      </w:pPr>
      <w:r>
        <w:rPr>
          <w:sz w:val="21"/>
        </w:rPr>
        <w:t>The</w:t>
      </w:r>
      <w:r>
        <w:rPr>
          <w:spacing w:val="25"/>
          <w:sz w:val="21"/>
        </w:rPr>
        <w:t> </w:t>
      </w:r>
      <w:r>
        <w:rPr>
          <w:sz w:val="21"/>
        </w:rPr>
        <w:t>total</w:t>
      </w:r>
      <w:r>
        <w:rPr>
          <w:spacing w:val="25"/>
          <w:sz w:val="21"/>
        </w:rPr>
        <w:t> </w:t>
      </w:r>
      <w:r>
        <w:rPr>
          <w:sz w:val="21"/>
        </w:rPr>
        <w:t>or</w:t>
      </w:r>
      <w:r>
        <w:rPr>
          <w:spacing w:val="25"/>
          <w:sz w:val="21"/>
        </w:rPr>
        <w:t> </w:t>
      </w:r>
      <w:r>
        <w:rPr>
          <w:sz w:val="21"/>
        </w:rPr>
        <w:t>partial,</w:t>
      </w:r>
      <w:r>
        <w:rPr>
          <w:spacing w:val="25"/>
          <w:sz w:val="21"/>
        </w:rPr>
        <w:t> </w:t>
      </w:r>
      <w:r>
        <w:rPr>
          <w:sz w:val="21"/>
        </w:rPr>
        <w:t>temporary</w:t>
      </w:r>
      <w:r>
        <w:rPr>
          <w:spacing w:val="25"/>
          <w:sz w:val="21"/>
        </w:rPr>
        <w:t> </w:t>
      </w:r>
      <w:r>
        <w:rPr>
          <w:sz w:val="21"/>
        </w:rPr>
        <w:t>or</w:t>
      </w:r>
      <w:r>
        <w:rPr>
          <w:spacing w:val="25"/>
          <w:sz w:val="21"/>
        </w:rPr>
        <w:t> </w:t>
      </w:r>
      <w:r>
        <w:rPr>
          <w:sz w:val="21"/>
        </w:rPr>
        <w:t>definitive,</w:t>
      </w:r>
      <w:r>
        <w:rPr>
          <w:spacing w:val="25"/>
          <w:sz w:val="21"/>
        </w:rPr>
        <w:t> </w:t>
      </w:r>
      <w:r>
        <w:rPr>
          <w:sz w:val="21"/>
        </w:rPr>
        <w:t>transfer</w:t>
      </w:r>
      <w:r>
        <w:rPr>
          <w:spacing w:val="25"/>
          <w:sz w:val="21"/>
        </w:rPr>
        <w:t> </w:t>
      </w:r>
      <w:r>
        <w:rPr>
          <w:sz w:val="21"/>
        </w:rPr>
        <w:t>of</w:t>
      </w:r>
      <w:r>
        <w:rPr>
          <w:spacing w:val="25"/>
          <w:sz w:val="21"/>
        </w:rPr>
        <w:t> </w:t>
      </w:r>
      <w:r>
        <w:rPr>
          <w:sz w:val="21"/>
        </w:rPr>
        <w:t>the</w:t>
      </w:r>
      <w:r>
        <w:rPr>
          <w:spacing w:val="25"/>
          <w:sz w:val="21"/>
        </w:rPr>
        <w:t> </w:t>
      </w:r>
      <w:r>
        <w:rPr>
          <w:sz w:val="21"/>
        </w:rPr>
        <w:t>right</w:t>
      </w:r>
      <w:r>
        <w:rPr>
          <w:spacing w:val="25"/>
          <w:sz w:val="21"/>
        </w:rPr>
        <w:t> </w:t>
      </w:r>
      <w:r>
        <w:rPr>
          <w:sz w:val="21"/>
        </w:rPr>
        <w:t>of</w:t>
      </w:r>
      <w:r>
        <w:rPr>
          <w:spacing w:val="25"/>
          <w:sz w:val="21"/>
        </w:rPr>
        <w:t> </w:t>
      </w:r>
      <w:r>
        <w:rPr>
          <w:sz w:val="21"/>
        </w:rPr>
        <w:t>operation</w:t>
      </w:r>
      <w:r>
        <w:rPr>
          <w:spacing w:val="25"/>
          <w:sz w:val="21"/>
        </w:rPr>
        <w:t> </w:t>
      </w:r>
      <w:r>
        <w:rPr>
          <w:sz w:val="21"/>
        </w:rPr>
        <w:t>in</w:t>
      </w:r>
      <w:r>
        <w:rPr>
          <w:spacing w:val="25"/>
          <w:sz w:val="21"/>
        </w:rPr>
        <w:t> </w:t>
      </w:r>
      <w:r>
        <w:rPr>
          <w:sz w:val="21"/>
        </w:rPr>
        <w:t>non-compliance</w:t>
      </w:r>
      <w:r>
        <w:rPr>
          <w:spacing w:val="25"/>
          <w:sz w:val="21"/>
        </w:rPr>
        <w:t> </w:t>
      </w:r>
      <w:r>
        <w:rPr>
          <w:sz w:val="21"/>
        </w:rPr>
        <w:t>with</w:t>
      </w:r>
      <w:r>
        <w:rPr>
          <w:spacing w:val="25"/>
          <w:sz w:val="21"/>
        </w:rPr>
        <w:t> </w:t>
      </w:r>
      <w:r>
        <w:rPr>
          <w:sz w:val="21"/>
        </w:rPr>
        <w:t>the</w:t>
      </w:r>
      <w:r>
        <w:rPr>
          <w:spacing w:val="25"/>
          <w:sz w:val="21"/>
        </w:rPr>
        <w:t> </w:t>
      </w:r>
      <w:r>
        <w:rPr>
          <w:sz w:val="21"/>
        </w:rPr>
        <w:t>provisions</w:t>
      </w:r>
      <w:r>
        <w:rPr>
          <w:spacing w:val="25"/>
          <w:sz w:val="21"/>
        </w:rPr>
        <w:t> </w:t>
      </w:r>
      <w:r>
        <w:rPr>
          <w:sz w:val="21"/>
        </w:rPr>
        <w:t>of</w:t>
      </w:r>
      <w:r>
        <w:rPr>
          <w:spacing w:val="25"/>
          <w:sz w:val="21"/>
        </w:rPr>
        <w:t> </w:t>
      </w:r>
      <w:r>
        <w:rPr>
          <w:sz w:val="21"/>
        </w:rPr>
        <w:t>the concession regime referred to in clause six;</w:t>
      </w:r>
    </w:p>
    <w:p>
      <w:pPr>
        <w:pStyle w:val="BodyText"/>
        <w:spacing w:before="152"/>
        <w:rPr>
          <w:sz w:val="21"/>
        </w:rPr>
      </w:pPr>
    </w:p>
    <w:p>
      <w:pPr>
        <w:pStyle w:val="ListParagraph"/>
        <w:numPr>
          <w:ilvl w:val="0"/>
          <w:numId w:val="45"/>
        </w:numPr>
        <w:tabs>
          <w:tab w:pos="910" w:val="left" w:leader="none"/>
          <w:tab w:pos="932" w:val="left" w:leader="none"/>
        </w:tabs>
        <w:spacing w:line="213" w:lineRule="auto" w:before="0" w:after="0"/>
        <w:ind w:left="910" w:right="118" w:hanging="256"/>
        <w:jc w:val="left"/>
        <w:rPr>
          <w:sz w:val="21"/>
        </w:rPr>
      </w:pPr>
      <w:r>
        <w:rPr>
          <w:sz w:val="21"/>
        </w:rPr>
        <w:tab/>
        <w:t>Failure</w:t>
      </w:r>
      <w:r>
        <w:rPr>
          <w:spacing w:val="58"/>
          <w:sz w:val="21"/>
        </w:rPr>
        <w:t> </w:t>
      </w:r>
      <w:r>
        <w:rPr>
          <w:sz w:val="21"/>
        </w:rPr>
        <w:t>to</w:t>
      </w:r>
      <w:r>
        <w:rPr>
          <w:spacing w:val="58"/>
          <w:sz w:val="21"/>
        </w:rPr>
        <w:t> </w:t>
      </w:r>
      <w:r>
        <w:rPr>
          <w:sz w:val="21"/>
        </w:rPr>
        <w:t>pay</w:t>
      </w:r>
      <w:r>
        <w:rPr>
          <w:spacing w:val="58"/>
          <w:sz w:val="21"/>
        </w:rPr>
        <w:t> </w:t>
      </w:r>
      <w:r>
        <w:rPr>
          <w:sz w:val="21"/>
        </w:rPr>
        <w:t>the</w:t>
      </w:r>
      <w:r>
        <w:rPr>
          <w:spacing w:val="58"/>
          <w:sz w:val="21"/>
        </w:rPr>
        <w:t> </w:t>
      </w:r>
      <w:r>
        <w:rPr>
          <w:sz w:val="21"/>
        </w:rPr>
        <w:t>taxes,</w:t>
      </w:r>
      <w:r>
        <w:rPr>
          <w:spacing w:val="58"/>
          <w:sz w:val="21"/>
        </w:rPr>
        <w:t> </w:t>
      </w:r>
      <w:r>
        <w:rPr>
          <w:sz w:val="21"/>
        </w:rPr>
        <w:t>premiums,</w:t>
      </w:r>
      <w:r>
        <w:rPr>
          <w:spacing w:val="58"/>
          <w:sz w:val="21"/>
        </w:rPr>
        <w:t> </w:t>
      </w:r>
      <w:r>
        <w:rPr>
          <w:sz w:val="21"/>
        </w:rPr>
        <w:t>contributions,</w:t>
      </w:r>
      <w:r>
        <w:rPr>
          <w:spacing w:val="58"/>
          <w:sz w:val="21"/>
        </w:rPr>
        <w:t> </w:t>
      </w:r>
      <w:r>
        <w:rPr>
          <w:sz w:val="21"/>
        </w:rPr>
        <w:t>or</w:t>
      </w:r>
      <w:r>
        <w:rPr>
          <w:spacing w:val="58"/>
          <w:sz w:val="21"/>
        </w:rPr>
        <w:t> </w:t>
      </w:r>
      <w:r>
        <w:rPr>
          <w:sz w:val="21"/>
        </w:rPr>
        <w:t>other</w:t>
      </w:r>
      <w:r>
        <w:rPr>
          <w:spacing w:val="58"/>
          <w:sz w:val="21"/>
        </w:rPr>
        <w:t> </w:t>
      </w:r>
      <w:r>
        <w:rPr>
          <w:sz w:val="21"/>
        </w:rPr>
        <w:t>remuneration</w:t>
      </w:r>
      <w:r>
        <w:rPr>
          <w:spacing w:val="58"/>
          <w:sz w:val="21"/>
        </w:rPr>
        <w:t> </w:t>
      </w:r>
      <w:r>
        <w:rPr>
          <w:sz w:val="21"/>
        </w:rPr>
        <w:t>due</w:t>
      </w:r>
      <w:r>
        <w:rPr>
          <w:spacing w:val="58"/>
          <w:sz w:val="21"/>
        </w:rPr>
        <w:t> </w:t>
      </w:r>
      <w:r>
        <w:rPr>
          <w:sz w:val="21"/>
        </w:rPr>
        <w:t>to</w:t>
      </w:r>
      <w:r>
        <w:rPr>
          <w:spacing w:val="58"/>
          <w:sz w:val="21"/>
        </w:rPr>
        <w:t> </w:t>
      </w:r>
      <w:r>
        <w:rPr>
          <w:sz w:val="21"/>
        </w:rPr>
        <w:t>the</w:t>
      </w:r>
      <w:r>
        <w:rPr>
          <w:spacing w:val="58"/>
          <w:sz w:val="21"/>
        </w:rPr>
        <w:t> </w:t>
      </w:r>
      <w:r>
        <w:rPr>
          <w:sz w:val="21"/>
        </w:rPr>
        <w:t>Macau</w:t>
      </w:r>
      <w:r>
        <w:rPr>
          <w:spacing w:val="58"/>
          <w:sz w:val="21"/>
        </w:rPr>
        <w:t> </w:t>
      </w:r>
      <w:r>
        <w:rPr>
          <w:sz w:val="21"/>
        </w:rPr>
        <w:t>SAR</w:t>
      </w:r>
      <w:r>
        <w:rPr>
          <w:spacing w:val="58"/>
          <w:sz w:val="21"/>
        </w:rPr>
        <w:t> </w:t>
      </w:r>
      <w:r>
        <w:rPr>
          <w:sz w:val="21"/>
        </w:rPr>
        <w:t>provided</w:t>
      </w:r>
      <w:r>
        <w:rPr>
          <w:spacing w:val="58"/>
          <w:sz w:val="21"/>
        </w:rPr>
        <w:t> </w:t>
      </w:r>
      <w:r>
        <w:rPr>
          <w:sz w:val="21"/>
        </w:rPr>
        <w:t>for</w:t>
      </w:r>
      <w:r>
        <w:rPr>
          <w:spacing w:val="58"/>
          <w:sz w:val="21"/>
        </w:rPr>
        <w:t> </w:t>
      </w:r>
      <w:r>
        <w:rPr>
          <w:sz w:val="21"/>
        </w:rPr>
        <w:t>in</w:t>
      </w:r>
      <w:r>
        <w:rPr>
          <w:spacing w:val="58"/>
          <w:sz w:val="21"/>
        </w:rPr>
        <w:t> </w:t>
      </w:r>
      <w:r>
        <w:rPr>
          <w:sz w:val="21"/>
        </w:rPr>
        <w:t>the concessions</w:t>
      </w:r>
      <w:r>
        <w:rPr>
          <w:spacing w:val="27"/>
          <w:sz w:val="21"/>
        </w:rPr>
        <w:t> </w:t>
      </w:r>
      <w:r>
        <w:rPr>
          <w:sz w:val="21"/>
        </w:rPr>
        <w:t>regime</w:t>
      </w:r>
      <w:r>
        <w:rPr>
          <w:spacing w:val="27"/>
          <w:sz w:val="21"/>
        </w:rPr>
        <w:t> </w:t>
      </w:r>
      <w:r>
        <w:rPr>
          <w:sz w:val="21"/>
        </w:rPr>
        <w:t>referred</w:t>
      </w:r>
      <w:r>
        <w:rPr>
          <w:spacing w:val="27"/>
          <w:sz w:val="21"/>
        </w:rPr>
        <w:t> </w:t>
      </w:r>
      <w:r>
        <w:rPr>
          <w:sz w:val="21"/>
        </w:rPr>
        <w:t>to</w:t>
      </w:r>
      <w:r>
        <w:rPr>
          <w:spacing w:val="27"/>
          <w:sz w:val="21"/>
        </w:rPr>
        <w:t> </w:t>
      </w:r>
      <w:r>
        <w:rPr>
          <w:sz w:val="21"/>
        </w:rPr>
        <w:t>in</w:t>
      </w:r>
      <w:r>
        <w:rPr>
          <w:spacing w:val="27"/>
          <w:sz w:val="21"/>
        </w:rPr>
        <w:t> </w:t>
      </w:r>
      <w:r>
        <w:rPr>
          <w:sz w:val="21"/>
        </w:rPr>
        <w:t>Clause</w:t>
      </w:r>
      <w:r>
        <w:rPr>
          <w:spacing w:val="27"/>
          <w:sz w:val="21"/>
        </w:rPr>
        <w:t> </w:t>
      </w:r>
      <w:r>
        <w:rPr>
          <w:sz w:val="21"/>
        </w:rPr>
        <w:t>6</w:t>
      </w:r>
      <w:r>
        <w:rPr>
          <w:spacing w:val="27"/>
          <w:sz w:val="21"/>
        </w:rPr>
        <w:t> </w:t>
      </w:r>
      <w:r>
        <w:rPr>
          <w:sz w:val="21"/>
        </w:rPr>
        <w:t>and</w:t>
      </w:r>
      <w:r>
        <w:rPr>
          <w:spacing w:val="27"/>
          <w:sz w:val="21"/>
        </w:rPr>
        <w:t> </w:t>
      </w:r>
      <w:r>
        <w:rPr>
          <w:sz w:val="21"/>
        </w:rPr>
        <w:t>not</w:t>
      </w:r>
      <w:r>
        <w:rPr>
          <w:spacing w:val="27"/>
          <w:sz w:val="21"/>
        </w:rPr>
        <w:t> </w:t>
      </w:r>
      <w:r>
        <w:rPr>
          <w:sz w:val="21"/>
        </w:rPr>
        <w:t>contested</w:t>
      </w:r>
      <w:r>
        <w:rPr>
          <w:spacing w:val="27"/>
          <w:sz w:val="21"/>
        </w:rPr>
        <w:t> </w:t>
      </w:r>
      <w:r>
        <w:rPr>
          <w:sz w:val="21"/>
        </w:rPr>
        <w:t>within</w:t>
      </w:r>
      <w:r>
        <w:rPr>
          <w:spacing w:val="27"/>
          <w:sz w:val="21"/>
        </w:rPr>
        <w:t> </w:t>
      </w:r>
      <w:r>
        <w:rPr>
          <w:sz w:val="21"/>
        </w:rPr>
        <w:t>the</w:t>
      </w:r>
      <w:r>
        <w:rPr>
          <w:spacing w:val="27"/>
          <w:sz w:val="21"/>
        </w:rPr>
        <w:t> </w:t>
      </w:r>
      <w:r>
        <w:rPr>
          <w:sz w:val="21"/>
        </w:rPr>
        <w:t>legal</w:t>
      </w:r>
      <w:r>
        <w:rPr>
          <w:spacing w:val="27"/>
          <w:sz w:val="21"/>
        </w:rPr>
        <w:t> </w:t>
      </w:r>
      <w:r>
        <w:rPr>
          <w:sz w:val="21"/>
        </w:rPr>
        <w:t>deadline;</w:t>
      </w:r>
    </w:p>
    <w:p>
      <w:pPr>
        <w:pStyle w:val="BodyText"/>
        <w:spacing w:before="166"/>
        <w:rPr>
          <w:sz w:val="21"/>
        </w:rPr>
      </w:pPr>
    </w:p>
    <w:p>
      <w:pPr>
        <w:pStyle w:val="ListParagraph"/>
        <w:numPr>
          <w:ilvl w:val="0"/>
          <w:numId w:val="45"/>
        </w:numPr>
        <w:tabs>
          <w:tab w:pos="900" w:val="left" w:leader="none"/>
          <w:tab w:pos="910" w:val="left" w:leader="none"/>
        </w:tabs>
        <w:spacing w:line="213" w:lineRule="auto" w:before="0" w:after="0"/>
        <w:ind w:left="910" w:right="118" w:hanging="256"/>
        <w:jc w:val="left"/>
        <w:rPr>
          <w:sz w:val="21"/>
        </w:rPr>
      </w:pPr>
      <w:r>
        <w:rPr>
          <w:sz w:val="21"/>
        </w:rPr>
        <w:t>The</w:t>
      </w:r>
      <w:r>
        <w:rPr>
          <w:spacing w:val="29"/>
          <w:sz w:val="21"/>
        </w:rPr>
        <w:t> </w:t>
      </w:r>
      <w:r>
        <w:rPr>
          <w:sz w:val="21"/>
        </w:rPr>
        <w:t>refusal</w:t>
      </w:r>
      <w:r>
        <w:rPr>
          <w:spacing w:val="29"/>
          <w:sz w:val="21"/>
        </w:rPr>
        <w:t> </w:t>
      </w:r>
      <w:r>
        <w:rPr>
          <w:sz w:val="21"/>
        </w:rPr>
        <w:t>or</w:t>
      </w:r>
      <w:r>
        <w:rPr>
          <w:spacing w:val="29"/>
          <w:sz w:val="21"/>
        </w:rPr>
        <w:t> </w:t>
      </w:r>
      <w:r>
        <w:rPr>
          <w:sz w:val="21"/>
        </w:rPr>
        <w:t>inability</w:t>
      </w:r>
      <w:r>
        <w:rPr>
          <w:spacing w:val="29"/>
          <w:sz w:val="21"/>
        </w:rPr>
        <w:t> </w:t>
      </w:r>
      <w:r>
        <w:rPr>
          <w:sz w:val="21"/>
        </w:rPr>
        <w:t>of</w:t>
      </w:r>
      <w:r>
        <w:rPr>
          <w:spacing w:val="29"/>
          <w:sz w:val="21"/>
        </w:rPr>
        <w:t> </w:t>
      </w:r>
      <w:r>
        <w:rPr>
          <w:sz w:val="21"/>
        </w:rPr>
        <w:t>the</w:t>
      </w:r>
      <w:r>
        <w:rPr>
          <w:spacing w:val="29"/>
          <w:sz w:val="21"/>
        </w:rPr>
        <w:t> </w:t>
      </w:r>
      <w:r>
        <w:rPr>
          <w:sz w:val="21"/>
        </w:rPr>
        <w:t>Concessionaire</w:t>
      </w:r>
      <w:r>
        <w:rPr>
          <w:spacing w:val="29"/>
          <w:sz w:val="21"/>
        </w:rPr>
        <w:t> </w:t>
      </w:r>
      <w:r>
        <w:rPr>
          <w:sz w:val="21"/>
        </w:rPr>
        <w:t>to</w:t>
      </w:r>
      <w:r>
        <w:rPr>
          <w:spacing w:val="29"/>
          <w:sz w:val="21"/>
        </w:rPr>
        <w:t> </w:t>
      </w:r>
      <w:r>
        <w:rPr>
          <w:sz w:val="21"/>
        </w:rPr>
        <w:t>resume</w:t>
      </w:r>
      <w:r>
        <w:rPr>
          <w:spacing w:val="29"/>
          <w:sz w:val="21"/>
        </w:rPr>
        <w:t> </w:t>
      </w:r>
      <w:r>
        <w:rPr>
          <w:sz w:val="21"/>
        </w:rPr>
        <w:t>the</w:t>
      </w:r>
      <w:r>
        <w:rPr>
          <w:spacing w:val="29"/>
          <w:sz w:val="21"/>
        </w:rPr>
        <w:t> </w:t>
      </w:r>
      <w:r>
        <w:rPr>
          <w:sz w:val="21"/>
        </w:rPr>
        <w:t>concession</w:t>
      </w:r>
      <w:r>
        <w:rPr>
          <w:spacing w:val="29"/>
          <w:sz w:val="21"/>
        </w:rPr>
        <w:t> </w:t>
      </w:r>
      <w:r>
        <w:rPr>
          <w:sz w:val="21"/>
        </w:rPr>
        <w:t>under</w:t>
      </w:r>
      <w:r>
        <w:rPr>
          <w:spacing w:val="29"/>
          <w:sz w:val="21"/>
        </w:rPr>
        <w:t> </w:t>
      </w:r>
      <w:r>
        <w:rPr>
          <w:sz w:val="21"/>
        </w:rPr>
        <w:t>the</w:t>
      </w:r>
      <w:r>
        <w:rPr>
          <w:spacing w:val="29"/>
          <w:sz w:val="21"/>
        </w:rPr>
        <w:t> </w:t>
      </w:r>
      <w:r>
        <w:rPr>
          <w:sz w:val="21"/>
        </w:rPr>
        <w:t>terms</w:t>
      </w:r>
      <w:r>
        <w:rPr>
          <w:spacing w:val="29"/>
          <w:sz w:val="21"/>
        </w:rPr>
        <w:t> </w:t>
      </w:r>
      <w:r>
        <w:rPr>
          <w:sz w:val="21"/>
        </w:rPr>
        <w:t>of</w:t>
      </w:r>
      <w:r>
        <w:rPr>
          <w:spacing w:val="29"/>
          <w:sz w:val="21"/>
        </w:rPr>
        <w:t> </w:t>
      </w:r>
      <w:r>
        <w:rPr>
          <w:sz w:val="21"/>
        </w:rPr>
        <w:t>paragraph</w:t>
      </w:r>
      <w:r>
        <w:rPr>
          <w:spacing w:val="29"/>
          <w:sz w:val="21"/>
        </w:rPr>
        <w:t> </w:t>
      </w:r>
      <w:r>
        <w:rPr>
          <w:i/>
          <w:sz w:val="21"/>
        </w:rPr>
        <w:t>four</w:t>
      </w:r>
      <w:r>
        <w:rPr>
          <w:i/>
          <w:spacing w:val="29"/>
          <w:sz w:val="21"/>
        </w:rPr>
        <w:t> </w:t>
      </w:r>
      <w:r>
        <w:rPr>
          <w:sz w:val="21"/>
        </w:rPr>
        <w:t>of</w:t>
      </w:r>
      <w:r>
        <w:rPr>
          <w:spacing w:val="29"/>
          <w:sz w:val="21"/>
        </w:rPr>
        <w:t> </w:t>
      </w:r>
      <w:r>
        <w:rPr>
          <w:sz w:val="21"/>
        </w:rPr>
        <w:t>the</w:t>
      </w:r>
      <w:r>
        <w:rPr>
          <w:spacing w:val="29"/>
          <w:sz w:val="21"/>
        </w:rPr>
        <w:t> </w:t>
      </w:r>
      <w:r>
        <w:rPr>
          <w:sz w:val="21"/>
        </w:rPr>
        <w:t>previous clause</w:t>
      </w:r>
      <w:r>
        <w:rPr>
          <w:spacing w:val="23"/>
          <w:sz w:val="21"/>
        </w:rPr>
        <w:t> </w:t>
      </w:r>
      <w:r>
        <w:rPr>
          <w:sz w:val="21"/>
        </w:rPr>
        <w:t>or</w:t>
      </w:r>
      <w:r>
        <w:rPr>
          <w:spacing w:val="23"/>
          <w:sz w:val="21"/>
        </w:rPr>
        <w:t> </w:t>
      </w:r>
      <w:r>
        <w:rPr>
          <w:sz w:val="21"/>
        </w:rPr>
        <w:t>if</w:t>
      </w:r>
      <w:r>
        <w:rPr>
          <w:spacing w:val="23"/>
          <w:sz w:val="21"/>
        </w:rPr>
        <w:t> </w:t>
      </w:r>
      <w:r>
        <w:rPr>
          <w:sz w:val="21"/>
        </w:rPr>
        <w:t>after</w:t>
      </w:r>
      <w:r>
        <w:rPr>
          <w:spacing w:val="23"/>
          <w:sz w:val="21"/>
        </w:rPr>
        <w:t> </w:t>
      </w:r>
      <w:r>
        <w:rPr>
          <w:sz w:val="21"/>
        </w:rPr>
        <w:t>having</w:t>
      </w:r>
      <w:r>
        <w:rPr>
          <w:spacing w:val="23"/>
          <w:sz w:val="21"/>
        </w:rPr>
        <w:t> </w:t>
      </w:r>
      <w:r>
        <w:rPr>
          <w:sz w:val="21"/>
        </w:rPr>
        <w:t>done</w:t>
      </w:r>
      <w:r>
        <w:rPr>
          <w:spacing w:val="23"/>
          <w:sz w:val="21"/>
        </w:rPr>
        <w:t> </w:t>
      </w:r>
      <w:r>
        <w:rPr>
          <w:sz w:val="21"/>
        </w:rPr>
        <w:t>so,</w:t>
      </w:r>
      <w:r>
        <w:rPr>
          <w:spacing w:val="23"/>
          <w:sz w:val="21"/>
        </w:rPr>
        <w:t> </w:t>
      </w:r>
      <w:r>
        <w:rPr>
          <w:sz w:val="21"/>
        </w:rPr>
        <w:t>the</w:t>
      </w:r>
      <w:r>
        <w:rPr>
          <w:spacing w:val="23"/>
          <w:sz w:val="21"/>
        </w:rPr>
        <w:t> </w:t>
      </w:r>
      <w:r>
        <w:rPr>
          <w:sz w:val="21"/>
        </w:rPr>
        <w:t>continuation</w:t>
      </w:r>
      <w:r>
        <w:rPr>
          <w:spacing w:val="23"/>
          <w:sz w:val="21"/>
        </w:rPr>
        <w:t> </w:t>
      </w:r>
      <w:r>
        <w:rPr>
          <w:sz w:val="21"/>
        </w:rPr>
        <w:t>of</w:t>
      </w:r>
      <w:r>
        <w:rPr>
          <w:spacing w:val="23"/>
          <w:sz w:val="21"/>
        </w:rPr>
        <w:t> </w:t>
      </w:r>
      <w:r>
        <w:rPr>
          <w:sz w:val="21"/>
        </w:rPr>
        <w:t>the</w:t>
      </w:r>
      <w:r>
        <w:rPr>
          <w:spacing w:val="23"/>
          <w:sz w:val="21"/>
        </w:rPr>
        <w:t> </w:t>
      </w:r>
      <w:r>
        <w:rPr>
          <w:sz w:val="21"/>
        </w:rPr>
        <w:t>situations</w:t>
      </w:r>
      <w:r>
        <w:rPr>
          <w:spacing w:val="23"/>
          <w:sz w:val="21"/>
        </w:rPr>
        <w:t> </w:t>
      </w:r>
      <w:r>
        <w:rPr>
          <w:sz w:val="21"/>
        </w:rPr>
        <w:t>which</w:t>
      </w:r>
      <w:r>
        <w:rPr>
          <w:spacing w:val="23"/>
          <w:sz w:val="21"/>
        </w:rPr>
        <w:t> </w:t>
      </w:r>
      <w:r>
        <w:rPr>
          <w:sz w:val="21"/>
        </w:rPr>
        <w:t>gave</w:t>
      </w:r>
      <w:r>
        <w:rPr>
          <w:spacing w:val="23"/>
          <w:sz w:val="21"/>
        </w:rPr>
        <w:t> </w:t>
      </w:r>
      <w:r>
        <w:rPr>
          <w:sz w:val="21"/>
        </w:rPr>
        <w:t>grounds</w:t>
      </w:r>
      <w:r>
        <w:rPr>
          <w:spacing w:val="23"/>
          <w:sz w:val="21"/>
        </w:rPr>
        <w:t> </w:t>
      </w:r>
      <w:r>
        <w:rPr>
          <w:sz w:val="21"/>
        </w:rPr>
        <w:t>for</w:t>
      </w:r>
      <w:r>
        <w:rPr>
          <w:spacing w:val="23"/>
          <w:sz w:val="21"/>
        </w:rPr>
        <w:t> </w:t>
      </w:r>
      <w:r>
        <w:rPr>
          <w:sz w:val="21"/>
        </w:rPr>
        <w:t>the</w:t>
      </w:r>
      <w:r>
        <w:rPr>
          <w:spacing w:val="23"/>
          <w:sz w:val="21"/>
        </w:rPr>
        <w:t> </w:t>
      </w:r>
      <w:r>
        <w:rPr>
          <w:sz w:val="21"/>
        </w:rPr>
        <w:t>attachment;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5"/>
        <w:rPr>
          <w:sz w:val="20"/>
        </w:rPr>
      </w:pPr>
      <w:r>
        <w:rPr/>
        <mc:AlternateContent>
          <mc:Choice Requires="wps">
            <w:drawing>
              <wp:anchor distT="0" distB="0" distL="0" distR="0" allowOverlap="1" layoutInCell="1" locked="0" behindDoc="1" simplePos="0" relativeHeight="487787008">
                <wp:simplePos x="0" y="0"/>
                <wp:positionH relativeFrom="page">
                  <wp:posOffset>231457</wp:posOffset>
                </wp:positionH>
                <wp:positionV relativeFrom="paragraph">
                  <wp:posOffset>196202</wp:posOffset>
                </wp:positionV>
                <wp:extent cx="7312659" cy="17145"/>
                <wp:effectExtent l="0" t="0" r="0" b="0"/>
                <wp:wrapTopAndBottom/>
                <wp:docPr id="972" name="Group 972"/>
                <wp:cNvGraphicFramePr>
                  <a:graphicFrameLocks/>
                </wp:cNvGraphicFramePr>
                <a:graphic>
                  <a:graphicData uri="http://schemas.microsoft.com/office/word/2010/wordprocessingGroup">
                    <wpg:wgp>
                      <wpg:cNvPr id="972" name="Group 972"/>
                      <wpg:cNvGrpSpPr/>
                      <wpg:grpSpPr>
                        <a:xfrm>
                          <a:off x="0" y="0"/>
                          <a:ext cx="7312659" cy="17145"/>
                          <a:chExt cx="7312659" cy="17145"/>
                        </a:xfrm>
                      </wpg:grpSpPr>
                      <wps:wsp>
                        <wps:cNvPr id="973" name="Graphic 97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74" name="Graphic 974"/>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75" name="Graphic 97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449023pt;width:575.8pt;height:1.35pt;mso-position-horizontal-relative:page;mso-position-vertical-relative:paragraph;z-index:-15529472;mso-wrap-distance-left:0;mso-wrap-distance-right:0" id="docshapegroup970" coordorigin="364,309" coordsize="11516,27">
                <v:rect style="position:absolute;left:364;top:308;width:11516;height:14" id="docshape971" filled="true" fillcolor="#999999" stroked="false">
                  <v:fill type="solid"/>
                </v:rect>
                <v:shape style="position:absolute;left:364;top:308;width:11516;height:27" id="docshape972" coordorigin="364,309" coordsize="11516,27" path="m11880,309l11866,322,364,322,364,336,11866,336,11880,336,11880,322,11880,309xe" filled="true" fillcolor="#ededed" stroked="false">
                  <v:path arrowok="t"/>
                  <v:fill type="solid"/>
                </v:shape>
                <v:shape style="position:absolute;left:364;top:308;width:14;height:27" id="docshape973" coordorigin="364,309" coordsize="14,27" path="m364,336l364,309,378,309,378,322,364,336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pStyle w:val="ListParagraph"/>
        <w:numPr>
          <w:ilvl w:val="0"/>
          <w:numId w:val="45"/>
        </w:numPr>
        <w:tabs>
          <w:tab w:pos="910" w:val="left" w:leader="none"/>
          <w:tab w:pos="915" w:val="left" w:leader="none"/>
        </w:tabs>
        <w:spacing w:line="213" w:lineRule="auto" w:before="97" w:after="0"/>
        <w:ind w:left="910" w:right="118" w:hanging="256"/>
        <w:jc w:val="left"/>
        <w:rPr>
          <w:sz w:val="21"/>
        </w:rPr>
      </w:pPr>
      <w:r>
        <w:rPr>
          <w:sz w:val="21"/>
        </w:rPr>
        <w:tab/>
        <w:t>Repeated</w:t>
      </w:r>
      <w:r>
        <w:rPr>
          <w:spacing w:val="40"/>
          <w:sz w:val="21"/>
        </w:rPr>
        <w:t> </w:t>
      </w:r>
      <w:r>
        <w:rPr>
          <w:sz w:val="21"/>
        </w:rPr>
        <w:t>opposition</w:t>
      </w:r>
      <w:r>
        <w:rPr>
          <w:spacing w:val="40"/>
          <w:sz w:val="21"/>
        </w:rPr>
        <w:t> </w:t>
      </w:r>
      <w:r>
        <w:rPr>
          <w:sz w:val="21"/>
        </w:rPr>
        <w:t>to</w:t>
      </w:r>
      <w:r>
        <w:rPr>
          <w:spacing w:val="40"/>
          <w:sz w:val="21"/>
        </w:rPr>
        <w:t> </w:t>
      </w:r>
      <w:r>
        <w:rPr>
          <w:sz w:val="21"/>
        </w:rPr>
        <w:t>the</w:t>
      </w:r>
      <w:r>
        <w:rPr>
          <w:spacing w:val="40"/>
          <w:sz w:val="21"/>
        </w:rPr>
        <w:t> </w:t>
      </w:r>
      <w:r>
        <w:rPr>
          <w:sz w:val="21"/>
        </w:rPr>
        <w:t>exercise</w:t>
      </w:r>
      <w:r>
        <w:rPr>
          <w:spacing w:val="40"/>
          <w:sz w:val="21"/>
        </w:rPr>
        <w:t> </w:t>
      </w:r>
      <w:r>
        <w:rPr>
          <w:sz w:val="21"/>
        </w:rPr>
        <w:t>of</w:t>
      </w:r>
      <w:r>
        <w:rPr>
          <w:spacing w:val="40"/>
          <w:sz w:val="21"/>
        </w:rPr>
        <w:t> </w:t>
      </w:r>
      <w:r>
        <w:rPr>
          <w:sz w:val="21"/>
        </w:rPr>
        <w:t>supervision</w:t>
      </w:r>
      <w:r>
        <w:rPr>
          <w:spacing w:val="40"/>
          <w:sz w:val="21"/>
        </w:rPr>
        <w:t> </w:t>
      </w:r>
      <w:r>
        <w:rPr>
          <w:sz w:val="21"/>
        </w:rPr>
        <w:t>and</w:t>
      </w:r>
      <w:r>
        <w:rPr>
          <w:spacing w:val="40"/>
          <w:sz w:val="21"/>
        </w:rPr>
        <w:t> </w:t>
      </w:r>
      <w:r>
        <w:rPr>
          <w:sz w:val="21"/>
        </w:rPr>
        <w:t>inspection</w:t>
      </w:r>
      <w:r>
        <w:rPr>
          <w:spacing w:val="40"/>
          <w:sz w:val="21"/>
        </w:rPr>
        <w:t> </w:t>
      </w:r>
      <w:r>
        <w:rPr>
          <w:sz w:val="21"/>
        </w:rPr>
        <w:t>or</w:t>
      </w:r>
      <w:r>
        <w:rPr>
          <w:spacing w:val="40"/>
          <w:sz w:val="21"/>
        </w:rPr>
        <w:t> </w:t>
      </w:r>
      <w:r>
        <w:rPr>
          <w:sz w:val="21"/>
        </w:rPr>
        <w:t>repeated</w:t>
      </w:r>
      <w:r>
        <w:rPr>
          <w:spacing w:val="40"/>
          <w:sz w:val="21"/>
        </w:rPr>
        <w:t> </w:t>
      </w:r>
      <w:r>
        <w:rPr>
          <w:sz w:val="21"/>
        </w:rPr>
        <w:t>disobedience</w:t>
      </w:r>
      <w:r>
        <w:rPr>
          <w:spacing w:val="40"/>
          <w:sz w:val="21"/>
        </w:rPr>
        <w:t> </w:t>
      </w:r>
      <w:r>
        <w:rPr>
          <w:sz w:val="21"/>
        </w:rPr>
        <w:t>to</w:t>
      </w:r>
      <w:r>
        <w:rPr>
          <w:spacing w:val="40"/>
          <w:sz w:val="21"/>
        </w:rPr>
        <w:t> </w:t>
      </w:r>
      <w:r>
        <w:rPr>
          <w:sz w:val="21"/>
        </w:rPr>
        <w:t>the</w:t>
      </w:r>
      <w:r>
        <w:rPr>
          <w:spacing w:val="40"/>
          <w:sz w:val="21"/>
        </w:rPr>
        <w:t> </w:t>
      </w:r>
      <w:r>
        <w:rPr>
          <w:sz w:val="21"/>
        </w:rPr>
        <w:t>determinations</w:t>
      </w:r>
      <w:r>
        <w:rPr>
          <w:spacing w:val="40"/>
          <w:sz w:val="21"/>
        </w:rPr>
        <w:t> </w:t>
      </w:r>
      <w:r>
        <w:rPr>
          <w:sz w:val="21"/>
        </w:rPr>
        <w:t>of</w:t>
      </w:r>
      <w:r>
        <w:rPr>
          <w:spacing w:val="40"/>
          <w:sz w:val="21"/>
        </w:rPr>
        <w:t> </w:t>
      </w:r>
      <w:r>
        <w:rPr>
          <w:sz w:val="21"/>
        </w:rPr>
        <w:t>the Government, namely the instructions from DICJ;</w:t>
      </w:r>
    </w:p>
    <w:p>
      <w:pPr>
        <w:pStyle w:val="BodyText"/>
        <w:spacing w:before="144"/>
        <w:rPr>
          <w:sz w:val="21"/>
        </w:rPr>
      </w:pPr>
    </w:p>
    <w:p>
      <w:pPr>
        <w:pStyle w:val="ListParagraph"/>
        <w:numPr>
          <w:ilvl w:val="0"/>
          <w:numId w:val="45"/>
        </w:numPr>
        <w:tabs>
          <w:tab w:pos="887" w:val="left" w:leader="none"/>
        </w:tabs>
        <w:spacing w:line="240" w:lineRule="auto" w:before="0" w:after="0"/>
        <w:ind w:left="887" w:right="0" w:hanging="233"/>
        <w:jc w:val="left"/>
        <w:rPr>
          <w:sz w:val="21"/>
        </w:rPr>
      </w:pPr>
      <w:r>
        <w:rPr>
          <w:sz w:val="21"/>
        </w:rPr>
        <w:t>Systematic</w:t>
      </w:r>
      <w:r>
        <w:rPr>
          <w:spacing w:val="13"/>
          <w:sz w:val="21"/>
        </w:rPr>
        <w:t> </w:t>
      </w:r>
      <w:r>
        <w:rPr>
          <w:sz w:val="21"/>
        </w:rPr>
        <w:t>non-compliance</w:t>
      </w:r>
      <w:r>
        <w:rPr>
          <w:spacing w:val="13"/>
          <w:sz w:val="21"/>
        </w:rPr>
        <w:t> </w:t>
      </w:r>
      <w:r>
        <w:rPr>
          <w:sz w:val="21"/>
        </w:rPr>
        <w:t>with</w:t>
      </w:r>
      <w:r>
        <w:rPr>
          <w:spacing w:val="14"/>
          <w:sz w:val="21"/>
        </w:rPr>
        <w:t> </w:t>
      </w:r>
      <w:r>
        <w:rPr>
          <w:sz w:val="21"/>
        </w:rPr>
        <w:t>the</w:t>
      </w:r>
      <w:r>
        <w:rPr>
          <w:spacing w:val="13"/>
          <w:sz w:val="21"/>
        </w:rPr>
        <w:t> </w:t>
      </w:r>
      <w:r>
        <w:rPr>
          <w:sz w:val="21"/>
        </w:rPr>
        <w:t>fundamental</w:t>
      </w:r>
      <w:r>
        <w:rPr>
          <w:spacing w:val="13"/>
          <w:sz w:val="21"/>
        </w:rPr>
        <w:t> </w:t>
      </w:r>
      <w:r>
        <w:rPr>
          <w:sz w:val="21"/>
        </w:rPr>
        <w:t>obligations</w:t>
      </w:r>
      <w:r>
        <w:rPr>
          <w:spacing w:val="14"/>
          <w:sz w:val="21"/>
        </w:rPr>
        <w:t> </w:t>
      </w:r>
      <w:r>
        <w:rPr>
          <w:sz w:val="21"/>
        </w:rPr>
        <w:t>contained</w:t>
      </w:r>
      <w:r>
        <w:rPr>
          <w:spacing w:val="13"/>
          <w:sz w:val="21"/>
        </w:rPr>
        <w:t> </w:t>
      </w:r>
      <w:r>
        <w:rPr>
          <w:sz w:val="21"/>
        </w:rPr>
        <w:t>in</w:t>
      </w:r>
      <w:r>
        <w:rPr>
          <w:spacing w:val="13"/>
          <w:sz w:val="21"/>
        </w:rPr>
        <w:t> </w:t>
      </w:r>
      <w:r>
        <w:rPr>
          <w:sz w:val="21"/>
        </w:rPr>
        <w:t>the</w:t>
      </w:r>
      <w:r>
        <w:rPr>
          <w:spacing w:val="14"/>
          <w:sz w:val="21"/>
        </w:rPr>
        <w:t> </w:t>
      </w:r>
      <w:r>
        <w:rPr>
          <w:sz w:val="21"/>
        </w:rPr>
        <w:t>concessions</w:t>
      </w:r>
      <w:r>
        <w:rPr>
          <w:spacing w:val="13"/>
          <w:sz w:val="21"/>
        </w:rPr>
        <w:t> </w:t>
      </w:r>
      <w:r>
        <w:rPr>
          <w:sz w:val="21"/>
        </w:rPr>
        <w:t>regime</w:t>
      </w:r>
      <w:r>
        <w:rPr>
          <w:spacing w:val="14"/>
          <w:sz w:val="21"/>
        </w:rPr>
        <w:t> </w:t>
      </w:r>
      <w:r>
        <w:rPr>
          <w:sz w:val="21"/>
        </w:rPr>
        <w:t>referred</w:t>
      </w:r>
      <w:r>
        <w:rPr>
          <w:spacing w:val="13"/>
          <w:sz w:val="21"/>
        </w:rPr>
        <w:t> </w:t>
      </w:r>
      <w:r>
        <w:rPr>
          <w:sz w:val="21"/>
        </w:rPr>
        <w:t>to</w:t>
      </w:r>
      <w:r>
        <w:rPr>
          <w:spacing w:val="13"/>
          <w:sz w:val="21"/>
        </w:rPr>
        <w:t> </w:t>
      </w:r>
      <w:r>
        <w:rPr>
          <w:sz w:val="21"/>
        </w:rPr>
        <w:t>in</w:t>
      </w:r>
      <w:r>
        <w:rPr>
          <w:spacing w:val="14"/>
          <w:sz w:val="21"/>
        </w:rPr>
        <w:t> </w:t>
      </w:r>
      <w:r>
        <w:rPr>
          <w:sz w:val="21"/>
        </w:rPr>
        <w:t>Clause</w:t>
      </w:r>
      <w:r>
        <w:rPr>
          <w:spacing w:val="13"/>
          <w:sz w:val="21"/>
        </w:rPr>
        <w:t> </w:t>
      </w:r>
      <w:r>
        <w:rPr>
          <w:spacing w:val="-5"/>
          <w:sz w:val="21"/>
        </w:rPr>
        <w:t>6;</w:t>
      </w:r>
    </w:p>
    <w:p>
      <w:pPr>
        <w:pStyle w:val="BodyText"/>
        <w:spacing w:before="146"/>
        <w:rPr>
          <w:sz w:val="21"/>
        </w:rPr>
      </w:pPr>
    </w:p>
    <w:p>
      <w:pPr>
        <w:pStyle w:val="ListParagraph"/>
        <w:numPr>
          <w:ilvl w:val="0"/>
          <w:numId w:val="45"/>
        </w:numPr>
        <w:tabs>
          <w:tab w:pos="898" w:val="left" w:leader="none"/>
          <w:tab w:pos="910" w:val="left" w:leader="none"/>
        </w:tabs>
        <w:spacing w:line="213" w:lineRule="auto" w:before="0" w:after="0"/>
        <w:ind w:left="910" w:right="118" w:hanging="256"/>
        <w:jc w:val="left"/>
        <w:rPr>
          <w:sz w:val="21"/>
        </w:rPr>
      </w:pPr>
      <w:r>
        <w:rPr>
          <w:sz w:val="21"/>
        </w:rPr>
        <w:t>Failure</w:t>
      </w:r>
      <w:r>
        <w:rPr>
          <w:spacing w:val="25"/>
          <w:sz w:val="21"/>
        </w:rPr>
        <w:t> </w:t>
      </w:r>
      <w:r>
        <w:rPr>
          <w:sz w:val="21"/>
        </w:rPr>
        <w:t>to</w:t>
      </w:r>
      <w:r>
        <w:rPr>
          <w:spacing w:val="25"/>
          <w:sz w:val="21"/>
        </w:rPr>
        <w:t> </w:t>
      </w:r>
      <w:r>
        <w:rPr>
          <w:sz w:val="21"/>
        </w:rPr>
        <w:t>provide</w:t>
      </w:r>
      <w:r>
        <w:rPr>
          <w:spacing w:val="25"/>
          <w:sz w:val="21"/>
        </w:rPr>
        <w:t> </w:t>
      </w:r>
      <w:r>
        <w:rPr>
          <w:sz w:val="21"/>
        </w:rPr>
        <w:t>or</w:t>
      </w:r>
      <w:r>
        <w:rPr>
          <w:spacing w:val="25"/>
          <w:sz w:val="21"/>
        </w:rPr>
        <w:t> </w:t>
      </w:r>
      <w:r>
        <w:rPr>
          <w:sz w:val="21"/>
        </w:rPr>
        <w:t>reinforce</w:t>
      </w:r>
      <w:r>
        <w:rPr>
          <w:spacing w:val="25"/>
          <w:sz w:val="21"/>
        </w:rPr>
        <w:t> </w:t>
      </w:r>
      <w:r>
        <w:rPr>
          <w:sz w:val="21"/>
        </w:rPr>
        <w:t>the</w:t>
      </w:r>
      <w:r>
        <w:rPr>
          <w:spacing w:val="25"/>
          <w:sz w:val="21"/>
        </w:rPr>
        <w:t> </w:t>
      </w:r>
      <w:r>
        <w:rPr>
          <w:sz w:val="21"/>
        </w:rPr>
        <w:t>collateral</w:t>
      </w:r>
      <w:r>
        <w:rPr>
          <w:spacing w:val="25"/>
          <w:sz w:val="21"/>
        </w:rPr>
        <w:t> </w:t>
      </w:r>
      <w:r>
        <w:rPr>
          <w:sz w:val="21"/>
        </w:rPr>
        <w:t>or</w:t>
      </w:r>
      <w:r>
        <w:rPr>
          <w:spacing w:val="25"/>
          <w:sz w:val="21"/>
        </w:rPr>
        <w:t> </w:t>
      </w:r>
      <w:r>
        <w:rPr>
          <w:sz w:val="21"/>
        </w:rPr>
        <w:t>guarantees</w:t>
      </w:r>
      <w:r>
        <w:rPr>
          <w:spacing w:val="25"/>
          <w:sz w:val="21"/>
        </w:rPr>
        <w:t> </w:t>
      </w:r>
      <w:r>
        <w:rPr>
          <w:sz w:val="21"/>
        </w:rPr>
        <w:t>provided</w:t>
      </w:r>
      <w:r>
        <w:rPr>
          <w:spacing w:val="25"/>
          <w:sz w:val="21"/>
        </w:rPr>
        <w:t> </w:t>
      </w:r>
      <w:r>
        <w:rPr>
          <w:sz w:val="21"/>
        </w:rPr>
        <w:t>for</w:t>
      </w:r>
      <w:r>
        <w:rPr>
          <w:spacing w:val="25"/>
          <w:sz w:val="21"/>
        </w:rPr>
        <w:t> </w:t>
      </w:r>
      <w:r>
        <w:rPr>
          <w:sz w:val="21"/>
        </w:rPr>
        <w:t>in</w:t>
      </w:r>
      <w:r>
        <w:rPr>
          <w:spacing w:val="25"/>
          <w:sz w:val="21"/>
        </w:rPr>
        <w:t> </w:t>
      </w:r>
      <w:r>
        <w:rPr>
          <w:sz w:val="21"/>
        </w:rPr>
        <w:t>the</w:t>
      </w:r>
      <w:r>
        <w:rPr>
          <w:spacing w:val="25"/>
          <w:sz w:val="21"/>
        </w:rPr>
        <w:t> </w:t>
      </w:r>
      <w:r>
        <w:rPr>
          <w:sz w:val="21"/>
        </w:rPr>
        <w:t>present</w:t>
      </w:r>
      <w:r>
        <w:rPr>
          <w:spacing w:val="25"/>
          <w:sz w:val="21"/>
        </w:rPr>
        <w:t> </w:t>
      </w:r>
      <w:r>
        <w:rPr>
          <w:sz w:val="21"/>
        </w:rPr>
        <w:t>concession</w:t>
      </w:r>
      <w:r>
        <w:rPr>
          <w:spacing w:val="25"/>
          <w:sz w:val="21"/>
        </w:rPr>
        <w:t> </w:t>
      </w:r>
      <w:r>
        <w:rPr>
          <w:sz w:val="21"/>
        </w:rPr>
        <w:t>contract</w:t>
      </w:r>
      <w:r>
        <w:rPr>
          <w:spacing w:val="25"/>
          <w:sz w:val="21"/>
        </w:rPr>
        <w:t> </w:t>
      </w:r>
      <w:r>
        <w:rPr>
          <w:sz w:val="21"/>
        </w:rPr>
        <w:t>within</w:t>
      </w:r>
      <w:r>
        <w:rPr>
          <w:spacing w:val="25"/>
          <w:sz w:val="21"/>
        </w:rPr>
        <w:t> </w:t>
      </w:r>
      <w:r>
        <w:rPr>
          <w:sz w:val="21"/>
        </w:rPr>
        <w:t>the</w:t>
      </w:r>
      <w:r>
        <w:rPr>
          <w:spacing w:val="25"/>
          <w:sz w:val="21"/>
        </w:rPr>
        <w:t> </w:t>
      </w:r>
      <w:r>
        <w:rPr>
          <w:sz w:val="21"/>
        </w:rPr>
        <w:t>terms and deadlines;</w:t>
      </w:r>
    </w:p>
    <w:p>
      <w:pPr>
        <w:pStyle w:val="BodyText"/>
        <w:spacing w:before="130"/>
        <w:rPr>
          <w:sz w:val="21"/>
        </w:rPr>
      </w:pPr>
    </w:p>
    <w:p>
      <w:pPr>
        <w:pStyle w:val="ListParagraph"/>
        <w:numPr>
          <w:ilvl w:val="0"/>
          <w:numId w:val="45"/>
        </w:numPr>
        <w:tabs>
          <w:tab w:pos="883" w:val="left" w:leader="none"/>
        </w:tabs>
        <w:spacing w:line="240" w:lineRule="auto" w:before="1" w:after="0"/>
        <w:ind w:left="883" w:right="0" w:hanging="229"/>
        <w:jc w:val="left"/>
        <w:rPr>
          <w:sz w:val="21"/>
        </w:rPr>
      </w:pPr>
      <w:r>
        <w:rPr>
          <w:sz w:val="21"/>
        </w:rPr>
        <w:t>The</w:t>
      </w:r>
      <w:r>
        <w:rPr>
          <w:spacing w:val="10"/>
          <w:sz w:val="21"/>
        </w:rPr>
        <w:t> </w:t>
      </w:r>
      <w:r>
        <w:rPr>
          <w:sz w:val="21"/>
        </w:rPr>
        <w:t>bankruptcy</w:t>
      </w:r>
      <w:r>
        <w:rPr>
          <w:spacing w:val="10"/>
          <w:sz w:val="21"/>
        </w:rPr>
        <w:t> </w:t>
      </w:r>
      <w:r>
        <w:rPr>
          <w:sz w:val="21"/>
        </w:rPr>
        <w:t>or</w:t>
      </w:r>
      <w:r>
        <w:rPr>
          <w:spacing w:val="10"/>
          <w:sz w:val="21"/>
        </w:rPr>
        <w:t> </w:t>
      </w:r>
      <w:r>
        <w:rPr>
          <w:sz w:val="21"/>
        </w:rPr>
        <w:t>insolvency</w:t>
      </w:r>
      <w:r>
        <w:rPr>
          <w:spacing w:val="11"/>
          <w:sz w:val="21"/>
        </w:rPr>
        <w:t> </w:t>
      </w:r>
      <w:r>
        <w:rPr>
          <w:sz w:val="21"/>
        </w:rPr>
        <w:t>of</w:t>
      </w:r>
      <w:r>
        <w:rPr>
          <w:spacing w:val="10"/>
          <w:sz w:val="21"/>
        </w:rPr>
        <w:t> </w:t>
      </w:r>
      <w:r>
        <w:rPr>
          <w:sz w:val="21"/>
        </w:rPr>
        <w:t>the</w:t>
      </w:r>
      <w:r>
        <w:rPr>
          <w:spacing w:val="10"/>
          <w:sz w:val="21"/>
        </w:rPr>
        <w:t> </w:t>
      </w:r>
      <w:r>
        <w:rPr>
          <w:spacing w:val="-2"/>
          <w:sz w:val="21"/>
        </w:rPr>
        <w:t>Concessionaire;</w:t>
      </w:r>
    </w:p>
    <w:p>
      <w:pPr>
        <w:pStyle w:val="BodyText"/>
        <w:spacing w:before="137"/>
        <w:rPr>
          <w:sz w:val="21"/>
        </w:rPr>
      </w:pPr>
    </w:p>
    <w:p>
      <w:pPr>
        <w:pStyle w:val="ListParagraph"/>
        <w:numPr>
          <w:ilvl w:val="0"/>
          <w:numId w:val="45"/>
        </w:numPr>
        <w:tabs>
          <w:tab w:pos="991" w:val="left" w:leader="none"/>
        </w:tabs>
        <w:spacing w:line="240" w:lineRule="auto" w:before="1" w:after="0"/>
        <w:ind w:left="991" w:right="0" w:hanging="337"/>
        <w:jc w:val="left"/>
        <w:rPr>
          <w:sz w:val="21"/>
        </w:rPr>
      </w:pPr>
      <w:r>
        <w:rPr>
          <w:sz w:val="21"/>
        </w:rPr>
        <w:t>The</w:t>
      </w:r>
      <w:r>
        <w:rPr>
          <w:spacing w:val="11"/>
          <w:sz w:val="21"/>
        </w:rPr>
        <w:t> </w:t>
      </w:r>
      <w:r>
        <w:rPr>
          <w:sz w:val="21"/>
        </w:rPr>
        <w:t>practice</w:t>
      </w:r>
      <w:r>
        <w:rPr>
          <w:spacing w:val="11"/>
          <w:sz w:val="21"/>
        </w:rPr>
        <w:t> </w:t>
      </w:r>
      <w:r>
        <w:rPr>
          <w:sz w:val="21"/>
        </w:rPr>
        <w:t>of</w:t>
      </w:r>
      <w:r>
        <w:rPr>
          <w:spacing w:val="11"/>
          <w:sz w:val="21"/>
        </w:rPr>
        <w:t> </w:t>
      </w:r>
      <w:r>
        <w:rPr>
          <w:sz w:val="21"/>
        </w:rPr>
        <w:t>serious</w:t>
      </w:r>
      <w:r>
        <w:rPr>
          <w:spacing w:val="11"/>
          <w:sz w:val="21"/>
        </w:rPr>
        <w:t> </w:t>
      </w:r>
      <w:r>
        <w:rPr>
          <w:sz w:val="21"/>
        </w:rPr>
        <w:t>fraudulent</w:t>
      </w:r>
      <w:r>
        <w:rPr>
          <w:spacing w:val="11"/>
          <w:sz w:val="21"/>
        </w:rPr>
        <w:t> </w:t>
      </w:r>
      <w:r>
        <w:rPr>
          <w:sz w:val="21"/>
        </w:rPr>
        <w:t>activity</w:t>
      </w:r>
      <w:r>
        <w:rPr>
          <w:spacing w:val="11"/>
          <w:sz w:val="21"/>
        </w:rPr>
        <w:t> </w:t>
      </w:r>
      <w:r>
        <w:rPr>
          <w:sz w:val="21"/>
        </w:rPr>
        <w:t>aimed</w:t>
      </w:r>
      <w:r>
        <w:rPr>
          <w:spacing w:val="11"/>
          <w:sz w:val="21"/>
        </w:rPr>
        <w:t> </w:t>
      </w:r>
      <w:r>
        <w:rPr>
          <w:sz w:val="21"/>
        </w:rPr>
        <w:t>at</w:t>
      </w:r>
      <w:r>
        <w:rPr>
          <w:spacing w:val="11"/>
          <w:sz w:val="21"/>
        </w:rPr>
        <w:t> </w:t>
      </w:r>
      <w:r>
        <w:rPr>
          <w:sz w:val="21"/>
        </w:rPr>
        <w:t>damaging</w:t>
      </w:r>
      <w:r>
        <w:rPr>
          <w:spacing w:val="11"/>
          <w:sz w:val="21"/>
        </w:rPr>
        <w:t> </w:t>
      </w:r>
      <w:r>
        <w:rPr>
          <w:sz w:val="21"/>
        </w:rPr>
        <w:t>the</w:t>
      </w:r>
      <w:r>
        <w:rPr>
          <w:spacing w:val="11"/>
          <w:sz w:val="21"/>
        </w:rPr>
        <w:t> </w:t>
      </w:r>
      <w:r>
        <w:rPr>
          <w:sz w:val="21"/>
        </w:rPr>
        <w:t>public</w:t>
      </w:r>
      <w:r>
        <w:rPr>
          <w:spacing w:val="11"/>
          <w:sz w:val="21"/>
        </w:rPr>
        <w:t> </w:t>
      </w:r>
      <w:r>
        <w:rPr>
          <w:spacing w:val="-2"/>
          <w:sz w:val="21"/>
        </w:rPr>
        <w:t>interest;</w:t>
      </w:r>
    </w:p>
    <w:p>
      <w:pPr>
        <w:pStyle w:val="BodyText"/>
        <w:spacing w:before="124"/>
        <w:rPr>
          <w:sz w:val="21"/>
        </w:rPr>
      </w:pPr>
    </w:p>
    <w:p>
      <w:pPr>
        <w:pStyle w:val="ListParagraph"/>
        <w:numPr>
          <w:ilvl w:val="0"/>
          <w:numId w:val="45"/>
        </w:numPr>
        <w:tabs>
          <w:tab w:pos="982" w:val="left" w:leader="none"/>
        </w:tabs>
        <w:spacing w:line="240" w:lineRule="auto" w:before="0" w:after="0"/>
        <w:ind w:left="982" w:right="0" w:hanging="328"/>
        <w:jc w:val="left"/>
        <w:rPr>
          <w:sz w:val="21"/>
        </w:rPr>
      </w:pPr>
      <w:r>
        <w:rPr>
          <w:sz w:val="21"/>
        </w:rPr>
        <w:t>The</w:t>
      </w:r>
      <w:r>
        <w:rPr>
          <w:spacing w:val="9"/>
          <w:sz w:val="21"/>
        </w:rPr>
        <w:t> </w:t>
      </w:r>
      <w:r>
        <w:rPr>
          <w:sz w:val="21"/>
        </w:rPr>
        <w:t>serious</w:t>
      </w:r>
      <w:r>
        <w:rPr>
          <w:spacing w:val="9"/>
          <w:sz w:val="21"/>
        </w:rPr>
        <w:t> </w:t>
      </w:r>
      <w:r>
        <w:rPr>
          <w:sz w:val="21"/>
        </w:rPr>
        <w:t>and</w:t>
      </w:r>
      <w:r>
        <w:rPr>
          <w:spacing w:val="10"/>
          <w:sz w:val="21"/>
        </w:rPr>
        <w:t> </w:t>
      </w:r>
      <w:r>
        <w:rPr>
          <w:sz w:val="21"/>
        </w:rPr>
        <w:t>repeated</w:t>
      </w:r>
      <w:r>
        <w:rPr>
          <w:spacing w:val="9"/>
          <w:sz w:val="21"/>
        </w:rPr>
        <w:t> </w:t>
      </w:r>
      <w:r>
        <w:rPr>
          <w:sz w:val="21"/>
        </w:rPr>
        <w:t>violation</w:t>
      </w:r>
      <w:r>
        <w:rPr>
          <w:spacing w:val="10"/>
          <w:sz w:val="21"/>
        </w:rPr>
        <w:t> </w:t>
      </w:r>
      <w:r>
        <w:rPr>
          <w:sz w:val="21"/>
        </w:rPr>
        <w:t>of</w:t>
      </w:r>
      <w:r>
        <w:rPr>
          <w:spacing w:val="9"/>
          <w:sz w:val="21"/>
        </w:rPr>
        <w:t> </w:t>
      </w:r>
      <w:r>
        <w:rPr>
          <w:sz w:val="21"/>
        </w:rPr>
        <w:t>the</w:t>
      </w:r>
      <w:r>
        <w:rPr>
          <w:spacing w:val="9"/>
          <w:sz w:val="21"/>
        </w:rPr>
        <w:t> </w:t>
      </w:r>
      <w:r>
        <w:rPr>
          <w:sz w:val="21"/>
        </w:rPr>
        <w:t>rules</w:t>
      </w:r>
      <w:r>
        <w:rPr>
          <w:spacing w:val="10"/>
          <w:sz w:val="21"/>
        </w:rPr>
        <w:t> </w:t>
      </w:r>
      <w:r>
        <w:rPr>
          <w:sz w:val="21"/>
        </w:rPr>
        <w:t>for</w:t>
      </w:r>
      <w:r>
        <w:rPr>
          <w:spacing w:val="9"/>
          <w:sz w:val="21"/>
        </w:rPr>
        <w:t> </w:t>
      </w:r>
      <w:r>
        <w:rPr>
          <w:sz w:val="21"/>
        </w:rPr>
        <w:t>running</w:t>
      </w:r>
      <w:r>
        <w:rPr>
          <w:spacing w:val="10"/>
          <w:sz w:val="21"/>
        </w:rPr>
        <w:t> </w:t>
      </w:r>
      <w:r>
        <w:rPr>
          <w:sz w:val="21"/>
        </w:rPr>
        <w:t>games</w:t>
      </w:r>
      <w:r>
        <w:rPr>
          <w:spacing w:val="9"/>
          <w:sz w:val="21"/>
        </w:rPr>
        <w:t> </w:t>
      </w:r>
      <w:r>
        <w:rPr>
          <w:sz w:val="21"/>
        </w:rPr>
        <w:t>of</w:t>
      </w:r>
      <w:r>
        <w:rPr>
          <w:spacing w:val="10"/>
          <w:sz w:val="21"/>
        </w:rPr>
        <w:t> </w:t>
      </w:r>
      <w:r>
        <w:rPr>
          <w:sz w:val="21"/>
        </w:rPr>
        <w:t>fortune</w:t>
      </w:r>
      <w:r>
        <w:rPr>
          <w:spacing w:val="9"/>
          <w:sz w:val="21"/>
        </w:rPr>
        <w:t> </w:t>
      </w:r>
      <w:r>
        <w:rPr>
          <w:sz w:val="21"/>
        </w:rPr>
        <w:t>or</w:t>
      </w:r>
      <w:r>
        <w:rPr>
          <w:spacing w:val="9"/>
          <w:sz w:val="21"/>
        </w:rPr>
        <w:t> </w:t>
      </w:r>
      <w:r>
        <w:rPr>
          <w:sz w:val="21"/>
        </w:rPr>
        <w:t>chance</w:t>
      </w:r>
      <w:r>
        <w:rPr>
          <w:spacing w:val="10"/>
          <w:sz w:val="21"/>
        </w:rPr>
        <w:t> </w:t>
      </w:r>
      <w:r>
        <w:rPr>
          <w:sz w:val="21"/>
        </w:rPr>
        <w:t>in</w:t>
      </w:r>
      <w:r>
        <w:rPr>
          <w:spacing w:val="9"/>
          <w:sz w:val="21"/>
        </w:rPr>
        <w:t> </w:t>
      </w:r>
      <w:r>
        <w:rPr>
          <w:sz w:val="21"/>
        </w:rPr>
        <w:t>casinos</w:t>
      </w:r>
      <w:r>
        <w:rPr>
          <w:spacing w:val="10"/>
          <w:sz w:val="21"/>
        </w:rPr>
        <w:t> </w:t>
      </w:r>
      <w:r>
        <w:rPr>
          <w:sz w:val="21"/>
        </w:rPr>
        <w:t>or</w:t>
      </w:r>
      <w:r>
        <w:rPr>
          <w:spacing w:val="9"/>
          <w:sz w:val="21"/>
        </w:rPr>
        <w:t> </w:t>
      </w:r>
      <w:r>
        <w:rPr>
          <w:sz w:val="21"/>
        </w:rPr>
        <w:t>the</w:t>
      </w:r>
      <w:r>
        <w:rPr>
          <w:spacing w:val="9"/>
          <w:sz w:val="21"/>
        </w:rPr>
        <w:t> </w:t>
      </w:r>
      <w:r>
        <w:rPr>
          <w:sz w:val="21"/>
        </w:rPr>
        <w:t>integrity</w:t>
      </w:r>
      <w:r>
        <w:rPr>
          <w:spacing w:val="10"/>
          <w:sz w:val="21"/>
        </w:rPr>
        <w:t> </w:t>
      </w:r>
      <w:r>
        <w:rPr>
          <w:spacing w:val="-2"/>
          <w:sz w:val="21"/>
        </w:rPr>
        <w:t>thereof;</w:t>
      </w:r>
    </w:p>
    <w:p>
      <w:pPr>
        <w:pStyle w:val="BodyText"/>
        <w:spacing w:before="146"/>
        <w:rPr>
          <w:sz w:val="21"/>
        </w:rPr>
      </w:pPr>
    </w:p>
    <w:p>
      <w:pPr>
        <w:pStyle w:val="ListParagraph"/>
        <w:numPr>
          <w:ilvl w:val="0"/>
          <w:numId w:val="45"/>
        </w:numPr>
        <w:tabs>
          <w:tab w:pos="1019" w:val="left" w:leader="none"/>
          <w:tab w:pos="1038" w:val="left" w:leader="none"/>
        </w:tabs>
        <w:spacing w:line="213" w:lineRule="auto" w:before="0" w:after="0"/>
        <w:ind w:left="1038" w:right="118" w:hanging="384"/>
        <w:jc w:val="left"/>
        <w:rPr>
          <w:sz w:val="21"/>
        </w:rPr>
      </w:pPr>
      <w:r>
        <w:rPr>
          <w:sz w:val="21"/>
        </w:rPr>
        <w:t>Non-compliance</w:t>
      </w:r>
      <w:r>
        <w:rPr>
          <w:spacing w:val="40"/>
          <w:sz w:val="21"/>
        </w:rPr>
        <w:t> </w:t>
      </w:r>
      <w:r>
        <w:rPr>
          <w:sz w:val="21"/>
        </w:rPr>
        <w:t>with</w:t>
      </w:r>
      <w:r>
        <w:rPr>
          <w:spacing w:val="40"/>
          <w:sz w:val="21"/>
        </w:rPr>
        <w:t> </w:t>
      </w:r>
      <w:r>
        <w:rPr>
          <w:sz w:val="21"/>
        </w:rPr>
        <w:t>the</w:t>
      </w:r>
      <w:r>
        <w:rPr>
          <w:spacing w:val="40"/>
          <w:sz w:val="21"/>
        </w:rPr>
        <w:t> </w:t>
      </w:r>
      <w:r>
        <w:rPr>
          <w:sz w:val="21"/>
        </w:rPr>
        <w:t>investment</w:t>
      </w:r>
      <w:r>
        <w:rPr>
          <w:spacing w:val="40"/>
          <w:sz w:val="21"/>
        </w:rPr>
        <w:t> </w:t>
      </w:r>
      <w:r>
        <w:rPr>
          <w:sz w:val="21"/>
        </w:rPr>
        <w:t>amount</w:t>
      </w:r>
      <w:r>
        <w:rPr>
          <w:spacing w:val="40"/>
          <w:sz w:val="21"/>
        </w:rPr>
        <w:t> </w:t>
      </w:r>
      <w:r>
        <w:rPr>
          <w:sz w:val="21"/>
        </w:rPr>
        <w:t>and</w:t>
      </w:r>
      <w:r>
        <w:rPr>
          <w:spacing w:val="40"/>
          <w:sz w:val="21"/>
        </w:rPr>
        <w:t> </w:t>
      </w:r>
      <w:r>
        <w:rPr>
          <w:sz w:val="21"/>
        </w:rPr>
        <w:t>the</w:t>
      </w:r>
      <w:r>
        <w:rPr>
          <w:spacing w:val="40"/>
          <w:sz w:val="21"/>
        </w:rPr>
        <w:t> </w:t>
      </w:r>
      <w:r>
        <w:rPr>
          <w:sz w:val="21"/>
        </w:rPr>
        <w:t>respective</w:t>
      </w:r>
      <w:r>
        <w:rPr>
          <w:spacing w:val="40"/>
          <w:sz w:val="21"/>
        </w:rPr>
        <w:t> </w:t>
      </w:r>
      <w:r>
        <w:rPr>
          <w:sz w:val="21"/>
        </w:rPr>
        <w:t>criteria</w:t>
      </w:r>
      <w:r>
        <w:rPr>
          <w:spacing w:val="40"/>
          <w:sz w:val="21"/>
        </w:rPr>
        <w:t> </w:t>
      </w:r>
      <w:r>
        <w:rPr>
          <w:sz w:val="21"/>
        </w:rPr>
        <w:t>foreseen</w:t>
      </w:r>
      <w:r>
        <w:rPr>
          <w:spacing w:val="40"/>
          <w:sz w:val="21"/>
        </w:rPr>
        <w:t> </w:t>
      </w:r>
      <w:r>
        <w:rPr>
          <w:sz w:val="21"/>
        </w:rPr>
        <w:t>in</w:t>
      </w:r>
      <w:r>
        <w:rPr>
          <w:spacing w:val="40"/>
          <w:sz w:val="21"/>
        </w:rPr>
        <w:t> </w:t>
      </w:r>
      <w:r>
        <w:rPr>
          <w:sz w:val="21"/>
        </w:rPr>
        <w:t>this</w:t>
      </w:r>
      <w:r>
        <w:rPr>
          <w:spacing w:val="40"/>
          <w:sz w:val="21"/>
        </w:rPr>
        <w:t> </w:t>
      </w:r>
      <w:r>
        <w:rPr>
          <w:sz w:val="21"/>
        </w:rPr>
        <w:t>concession</w:t>
      </w:r>
      <w:r>
        <w:rPr>
          <w:spacing w:val="40"/>
          <w:sz w:val="21"/>
        </w:rPr>
        <w:t> </w:t>
      </w:r>
      <w:r>
        <w:rPr>
          <w:sz w:val="21"/>
        </w:rPr>
        <w:t>contract,</w:t>
      </w:r>
      <w:r>
        <w:rPr>
          <w:spacing w:val="40"/>
          <w:sz w:val="21"/>
        </w:rPr>
        <w:t> </w:t>
      </w:r>
      <w:r>
        <w:rPr>
          <w:sz w:val="21"/>
        </w:rPr>
        <w:t>within</w:t>
      </w:r>
      <w:r>
        <w:rPr>
          <w:spacing w:val="40"/>
          <w:sz w:val="21"/>
        </w:rPr>
        <w:t> </w:t>
      </w:r>
      <w:r>
        <w:rPr>
          <w:sz w:val="21"/>
        </w:rPr>
        <w:t>the deadline set by the Secretary for Economy and Finance.</w:t>
      </w:r>
    </w:p>
    <w:p>
      <w:pPr>
        <w:pStyle w:val="BodyText"/>
        <w:spacing w:before="166"/>
        <w:rPr>
          <w:sz w:val="21"/>
        </w:rPr>
      </w:pPr>
    </w:p>
    <w:p>
      <w:pPr>
        <w:spacing w:line="213" w:lineRule="auto" w:before="0"/>
        <w:ind w:left="144" w:right="118" w:firstLine="0"/>
        <w:jc w:val="both"/>
        <w:rPr>
          <w:sz w:val="21"/>
        </w:rPr>
      </w:pPr>
      <w:r>
        <w:rPr>
          <w:i/>
          <w:sz w:val="21"/>
        </w:rPr>
        <w:t>Three</w:t>
      </w:r>
      <w:r>
        <w:rPr>
          <w:sz w:val="21"/>
        </w:rPr>
        <w:t>. Without prejudice to the provisions of Clause 88, in the event one of the situations referred in the preceding paragraph or </w:t>
      </w:r>
      <w:r>
        <w:rPr>
          <w:sz w:val="21"/>
        </w:rPr>
        <w:t>any other</w:t>
      </w:r>
      <w:r>
        <w:rPr>
          <w:spacing w:val="24"/>
          <w:sz w:val="21"/>
        </w:rPr>
        <w:t> </w:t>
      </w:r>
      <w:r>
        <w:rPr>
          <w:sz w:val="21"/>
        </w:rPr>
        <w:t>situation</w:t>
      </w:r>
      <w:r>
        <w:rPr>
          <w:spacing w:val="24"/>
          <w:sz w:val="21"/>
        </w:rPr>
        <w:t> </w:t>
      </w:r>
      <w:r>
        <w:rPr>
          <w:sz w:val="21"/>
        </w:rPr>
        <w:t>which,</w:t>
      </w:r>
      <w:r>
        <w:rPr>
          <w:spacing w:val="24"/>
          <w:sz w:val="21"/>
        </w:rPr>
        <w:t> </w:t>
      </w:r>
      <w:r>
        <w:rPr>
          <w:sz w:val="21"/>
        </w:rPr>
        <w:t>under</w:t>
      </w:r>
      <w:r>
        <w:rPr>
          <w:spacing w:val="24"/>
          <w:sz w:val="21"/>
        </w:rPr>
        <w:t> </w:t>
      </w:r>
      <w:r>
        <w:rPr>
          <w:sz w:val="21"/>
        </w:rPr>
        <w:t>the</w:t>
      </w:r>
      <w:r>
        <w:rPr>
          <w:spacing w:val="24"/>
          <w:sz w:val="21"/>
        </w:rPr>
        <w:t> </w:t>
      </w:r>
      <w:r>
        <w:rPr>
          <w:sz w:val="21"/>
        </w:rPr>
        <w:t>terms</w:t>
      </w:r>
      <w:r>
        <w:rPr>
          <w:spacing w:val="24"/>
          <w:sz w:val="21"/>
        </w:rPr>
        <w:t> </w:t>
      </w:r>
      <w:r>
        <w:rPr>
          <w:sz w:val="21"/>
        </w:rPr>
        <w:t>of</w:t>
      </w:r>
      <w:r>
        <w:rPr>
          <w:spacing w:val="24"/>
          <w:sz w:val="21"/>
        </w:rPr>
        <w:t> </w:t>
      </w:r>
      <w:r>
        <w:rPr>
          <w:sz w:val="21"/>
        </w:rPr>
        <w:t>this</w:t>
      </w:r>
      <w:r>
        <w:rPr>
          <w:spacing w:val="24"/>
          <w:sz w:val="21"/>
        </w:rPr>
        <w:t> </w:t>
      </w:r>
      <w:r>
        <w:rPr>
          <w:sz w:val="21"/>
        </w:rPr>
        <w:t>clause,</w:t>
      </w:r>
      <w:r>
        <w:rPr>
          <w:spacing w:val="24"/>
          <w:sz w:val="21"/>
        </w:rPr>
        <w:t> </w:t>
      </w:r>
      <w:r>
        <w:rPr>
          <w:sz w:val="21"/>
        </w:rPr>
        <w:t>may</w:t>
      </w:r>
      <w:r>
        <w:rPr>
          <w:spacing w:val="24"/>
          <w:sz w:val="21"/>
        </w:rPr>
        <w:t> </w:t>
      </w:r>
      <w:r>
        <w:rPr>
          <w:sz w:val="21"/>
        </w:rPr>
        <w:t>motivate</w:t>
      </w:r>
      <w:r>
        <w:rPr>
          <w:spacing w:val="24"/>
          <w:sz w:val="21"/>
        </w:rPr>
        <w:t> </w:t>
      </w:r>
      <w:r>
        <w:rPr>
          <w:sz w:val="21"/>
        </w:rPr>
        <w:t>the</w:t>
      </w:r>
      <w:r>
        <w:rPr>
          <w:spacing w:val="24"/>
          <w:sz w:val="21"/>
        </w:rPr>
        <w:t> </w:t>
      </w:r>
      <w:r>
        <w:rPr>
          <w:sz w:val="21"/>
        </w:rPr>
        <w:t>unilateral</w:t>
      </w:r>
      <w:r>
        <w:rPr>
          <w:spacing w:val="24"/>
          <w:sz w:val="21"/>
        </w:rPr>
        <w:t> </w:t>
      </w:r>
      <w:r>
        <w:rPr>
          <w:sz w:val="21"/>
        </w:rPr>
        <w:t>termination</w:t>
      </w:r>
      <w:r>
        <w:rPr>
          <w:spacing w:val="24"/>
          <w:sz w:val="21"/>
        </w:rPr>
        <w:t> </w:t>
      </w:r>
      <w:r>
        <w:rPr>
          <w:sz w:val="21"/>
        </w:rPr>
        <w:t>for</w:t>
      </w:r>
      <w:r>
        <w:rPr>
          <w:spacing w:val="24"/>
          <w:sz w:val="21"/>
        </w:rPr>
        <w:t> </w:t>
      </w:r>
      <w:r>
        <w:rPr>
          <w:sz w:val="21"/>
        </w:rPr>
        <w:t>breach</w:t>
      </w:r>
      <w:r>
        <w:rPr>
          <w:spacing w:val="24"/>
          <w:sz w:val="21"/>
        </w:rPr>
        <w:t> </w:t>
      </w:r>
      <w:r>
        <w:rPr>
          <w:sz w:val="21"/>
        </w:rPr>
        <w:t>of</w:t>
      </w:r>
      <w:r>
        <w:rPr>
          <w:spacing w:val="24"/>
          <w:sz w:val="21"/>
        </w:rPr>
        <w:t> </w:t>
      </w:r>
      <w:r>
        <w:rPr>
          <w:sz w:val="21"/>
        </w:rPr>
        <w:t>this</w:t>
      </w:r>
      <w:r>
        <w:rPr>
          <w:spacing w:val="24"/>
          <w:sz w:val="21"/>
        </w:rPr>
        <w:t> </w:t>
      </w:r>
      <w:r>
        <w:rPr>
          <w:sz w:val="21"/>
        </w:rPr>
        <w:t>concession</w:t>
      </w:r>
      <w:r>
        <w:rPr>
          <w:spacing w:val="24"/>
          <w:sz w:val="21"/>
        </w:rPr>
        <w:t> </w:t>
      </w:r>
      <w:r>
        <w:rPr>
          <w:sz w:val="21"/>
        </w:rPr>
        <w:t>contract, the Government shall notify the Concessionaire to fully comply with its obligations and correct or remedy the consequences of its actions</w:t>
      </w:r>
      <w:r>
        <w:rPr>
          <w:spacing w:val="21"/>
          <w:sz w:val="21"/>
        </w:rPr>
        <w:t> </w:t>
      </w:r>
      <w:r>
        <w:rPr>
          <w:sz w:val="21"/>
        </w:rPr>
        <w:t>within</w:t>
      </w:r>
      <w:r>
        <w:rPr>
          <w:spacing w:val="21"/>
          <w:sz w:val="21"/>
        </w:rPr>
        <w:t> </w:t>
      </w:r>
      <w:r>
        <w:rPr>
          <w:sz w:val="21"/>
        </w:rPr>
        <w:t>a</w:t>
      </w:r>
      <w:r>
        <w:rPr>
          <w:spacing w:val="21"/>
          <w:sz w:val="21"/>
        </w:rPr>
        <w:t> </w:t>
      </w:r>
      <w:r>
        <w:rPr>
          <w:sz w:val="21"/>
        </w:rPr>
        <w:t>period</w:t>
      </w:r>
      <w:r>
        <w:rPr>
          <w:spacing w:val="21"/>
          <w:sz w:val="21"/>
        </w:rPr>
        <w:t> </w:t>
      </w:r>
      <w:r>
        <w:rPr>
          <w:sz w:val="21"/>
        </w:rPr>
        <w:t>of</w:t>
      </w:r>
      <w:r>
        <w:rPr>
          <w:spacing w:val="21"/>
          <w:sz w:val="21"/>
        </w:rPr>
        <w:t> </w:t>
      </w:r>
      <w:r>
        <w:rPr>
          <w:sz w:val="21"/>
        </w:rPr>
        <w:t>time</w:t>
      </w:r>
      <w:r>
        <w:rPr>
          <w:spacing w:val="21"/>
          <w:sz w:val="21"/>
        </w:rPr>
        <w:t> </w:t>
      </w:r>
      <w:r>
        <w:rPr>
          <w:sz w:val="21"/>
        </w:rPr>
        <w:t>to</w:t>
      </w:r>
      <w:r>
        <w:rPr>
          <w:spacing w:val="21"/>
          <w:sz w:val="21"/>
        </w:rPr>
        <w:t> </w:t>
      </w:r>
      <w:r>
        <w:rPr>
          <w:sz w:val="21"/>
        </w:rPr>
        <w:t>be</w:t>
      </w:r>
      <w:r>
        <w:rPr>
          <w:spacing w:val="21"/>
          <w:sz w:val="21"/>
        </w:rPr>
        <w:t> </w:t>
      </w:r>
      <w:r>
        <w:rPr>
          <w:sz w:val="21"/>
        </w:rPr>
        <w:t>fixed</w:t>
      </w:r>
      <w:r>
        <w:rPr>
          <w:spacing w:val="21"/>
          <w:sz w:val="21"/>
        </w:rPr>
        <w:t> </w:t>
      </w:r>
      <w:r>
        <w:rPr>
          <w:sz w:val="21"/>
        </w:rPr>
        <w:t>by</w:t>
      </w:r>
      <w:r>
        <w:rPr>
          <w:spacing w:val="21"/>
          <w:sz w:val="21"/>
        </w:rPr>
        <w:t> </w:t>
      </w:r>
      <w:r>
        <w:rPr>
          <w:sz w:val="21"/>
        </w:rPr>
        <w:t>the</w:t>
      </w:r>
      <w:r>
        <w:rPr>
          <w:spacing w:val="21"/>
          <w:sz w:val="21"/>
        </w:rPr>
        <w:t> </w:t>
      </w:r>
      <w:r>
        <w:rPr>
          <w:sz w:val="21"/>
        </w:rPr>
        <w:t>Government,</w:t>
      </w:r>
      <w:r>
        <w:rPr>
          <w:spacing w:val="21"/>
          <w:sz w:val="21"/>
        </w:rPr>
        <w:t> </w:t>
      </w:r>
      <w:r>
        <w:rPr>
          <w:sz w:val="21"/>
        </w:rPr>
        <w:t>except</w:t>
      </w:r>
      <w:r>
        <w:rPr>
          <w:spacing w:val="21"/>
          <w:sz w:val="21"/>
        </w:rPr>
        <w:t> </w:t>
      </w:r>
      <w:r>
        <w:rPr>
          <w:sz w:val="21"/>
        </w:rPr>
        <w:t>in</w:t>
      </w:r>
      <w:r>
        <w:rPr>
          <w:spacing w:val="21"/>
          <w:sz w:val="21"/>
        </w:rPr>
        <w:t> </w:t>
      </w:r>
      <w:r>
        <w:rPr>
          <w:sz w:val="21"/>
        </w:rPr>
        <w:t>the</w:t>
      </w:r>
      <w:r>
        <w:rPr>
          <w:spacing w:val="21"/>
          <w:sz w:val="21"/>
        </w:rPr>
        <w:t> </w:t>
      </w:r>
      <w:r>
        <w:rPr>
          <w:sz w:val="21"/>
        </w:rPr>
        <w:t>case</w:t>
      </w:r>
      <w:r>
        <w:rPr>
          <w:spacing w:val="21"/>
          <w:sz w:val="21"/>
        </w:rPr>
        <w:t> </w:t>
      </w:r>
      <w:r>
        <w:rPr>
          <w:sz w:val="21"/>
        </w:rPr>
        <w:t>of</w:t>
      </w:r>
      <w:r>
        <w:rPr>
          <w:spacing w:val="21"/>
          <w:sz w:val="21"/>
        </w:rPr>
        <w:t> </w:t>
      </w:r>
      <w:r>
        <w:rPr>
          <w:sz w:val="21"/>
        </w:rPr>
        <w:t>an</w:t>
      </w:r>
      <w:r>
        <w:rPr>
          <w:spacing w:val="21"/>
          <w:sz w:val="21"/>
        </w:rPr>
        <w:t> </w:t>
      </w:r>
      <w:r>
        <w:rPr>
          <w:sz w:val="21"/>
        </w:rPr>
        <w:t>irremediable</w:t>
      </w:r>
      <w:r>
        <w:rPr>
          <w:spacing w:val="21"/>
          <w:sz w:val="21"/>
        </w:rPr>
        <w:t> </w:t>
      </w:r>
      <w:r>
        <w:rPr>
          <w:sz w:val="21"/>
        </w:rPr>
        <w:t>breach.</w:t>
      </w:r>
    </w:p>
    <w:p>
      <w:pPr>
        <w:pStyle w:val="BodyText"/>
        <w:spacing w:before="154"/>
        <w:rPr>
          <w:sz w:val="21"/>
        </w:rPr>
      </w:pPr>
    </w:p>
    <w:p>
      <w:pPr>
        <w:spacing w:line="213" w:lineRule="auto" w:before="0"/>
        <w:ind w:left="144" w:right="119" w:firstLine="0"/>
        <w:jc w:val="both"/>
        <w:rPr>
          <w:sz w:val="21"/>
        </w:rPr>
      </w:pPr>
      <w:r>
        <w:rPr>
          <w:i/>
          <w:sz w:val="21"/>
        </w:rPr>
        <w:t>Four</w:t>
      </w:r>
      <w:r>
        <w:rPr>
          <w:sz w:val="21"/>
        </w:rPr>
        <w:t>. In the event the Concessionaire does not comply with its obligations or does not correct or remedy the consequences of its</w:t>
      </w:r>
      <w:r>
        <w:rPr>
          <w:spacing w:val="80"/>
          <w:sz w:val="21"/>
        </w:rPr>
        <w:t> </w:t>
      </w:r>
      <w:r>
        <w:rPr>
          <w:sz w:val="21"/>
        </w:rPr>
        <w:t>actions, under the terms determined by the Government, the Government may unilaterally terminate this concession contract by</w:t>
      </w:r>
      <w:r>
        <w:rPr>
          <w:spacing w:val="40"/>
          <w:sz w:val="21"/>
        </w:rPr>
        <w:t> </w:t>
      </w:r>
      <w:r>
        <w:rPr>
          <w:sz w:val="21"/>
        </w:rPr>
        <w:t>notifying</w:t>
      </w:r>
      <w:r>
        <w:rPr>
          <w:spacing w:val="40"/>
          <w:sz w:val="21"/>
        </w:rPr>
        <w:t> </w:t>
      </w:r>
      <w:r>
        <w:rPr>
          <w:sz w:val="21"/>
        </w:rPr>
        <w:t>the</w:t>
      </w:r>
      <w:r>
        <w:rPr>
          <w:spacing w:val="40"/>
          <w:sz w:val="21"/>
        </w:rPr>
        <w:t> </w:t>
      </w:r>
      <w:r>
        <w:rPr>
          <w:sz w:val="21"/>
        </w:rPr>
        <w:t>Concessionaire.</w:t>
      </w:r>
      <w:r>
        <w:rPr>
          <w:spacing w:val="40"/>
          <w:sz w:val="21"/>
        </w:rPr>
        <w:t> </w:t>
      </w:r>
      <w:r>
        <w:rPr>
          <w:sz w:val="21"/>
        </w:rPr>
        <w:t>The</w:t>
      </w:r>
      <w:r>
        <w:rPr>
          <w:spacing w:val="40"/>
          <w:sz w:val="21"/>
        </w:rPr>
        <w:t> </w:t>
      </w:r>
      <w:r>
        <w:rPr>
          <w:sz w:val="21"/>
        </w:rPr>
        <w:t>Government</w:t>
      </w:r>
      <w:r>
        <w:rPr>
          <w:spacing w:val="40"/>
          <w:sz w:val="21"/>
        </w:rPr>
        <w:t> </w:t>
      </w:r>
      <w:r>
        <w:rPr>
          <w:sz w:val="21"/>
        </w:rPr>
        <w:t>may</w:t>
      </w:r>
      <w:r>
        <w:rPr>
          <w:spacing w:val="40"/>
          <w:sz w:val="21"/>
        </w:rPr>
        <w:t> </w:t>
      </w:r>
      <w:r>
        <w:rPr>
          <w:sz w:val="21"/>
        </w:rPr>
        <w:t>also</w:t>
      </w:r>
      <w:r>
        <w:rPr>
          <w:spacing w:val="40"/>
          <w:sz w:val="21"/>
        </w:rPr>
        <w:t> </w:t>
      </w:r>
      <w:r>
        <w:rPr>
          <w:sz w:val="21"/>
        </w:rPr>
        <w:t>notify,</w:t>
      </w:r>
      <w:r>
        <w:rPr>
          <w:spacing w:val="40"/>
          <w:sz w:val="21"/>
        </w:rPr>
        <w:t> </w:t>
      </w:r>
      <w:r>
        <w:rPr>
          <w:sz w:val="21"/>
        </w:rPr>
        <w:t>in</w:t>
      </w:r>
      <w:r>
        <w:rPr>
          <w:spacing w:val="40"/>
          <w:sz w:val="21"/>
        </w:rPr>
        <w:t> </w:t>
      </w:r>
      <w:r>
        <w:rPr>
          <w:sz w:val="21"/>
        </w:rPr>
        <w:t>writing,</w:t>
      </w:r>
      <w:r>
        <w:rPr>
          <w:spacing w:val="40"/>
          <w:sz w:val="21"/>
        </w:rPr>
        <w:t> </w:t>
      </w:r>
      <w:r>
        <w:rPr>
          <w:sz w:val="21"/>
        </w:rPr>
        <w:t>the</w:t>
      </w:r>
      <w:r>
        <w:rPr>
          <w:spacing w:val="40"/>
          <w:sz w:val="21"/>
        </w:rPr>
        <w:t> </w:t>
      </w:r>
      <w:r>
        <w:rPr>
          <w:sz w:val="21"/>
        </w:rPr>
        <w:t>entities</w:t>
      </w:r>
      <w:r>
        <w:rPr>
          <w:spacing w:val="40"/>
          <w:sz w:val="21"/>
        </w:rPr>
        <w:t> </w:t>
      </w:r>
      <w:r>
        <w:rPr>
          <w:sz w:val="21"/>
        </w:rPr>
        <w:t>that</w:t>
      </w:r>
      <w:r>
        <w:rPr>
          <w:spacing w:val="40"/>
          <w:sz w:val="21"/>
        </w:rPr>
        <w:t> </w:t>
      </w:r>
      <w:r>
        <w:rPr>
          <w:sz w:val="21"/>
        </w:rPr>
        <w:t>guaranteed</w:t>
      </w:r>
      <w:r>
        <w:rPr>
          <w:spacing w:val="40"/>
          <w:sz w:val="21"/>
        </w:rPr>
        <w:t> </w:t>
      </w:r>
      <w:r>
        <w:rPr>
          <w:sz w:val="21"/>
        </w:rPr>
        <w:t>the</w:t>
      </w:r>
      <w:r>
        <w:rPr>
          <w:spacing w:val="40"/>
          <w:sz w:val="21"/>
        </w:rPr>
        <w:t> </w:t>
      </w:r>
      <w:r>
        <w:rPr>
          <w:sz w:val="21"/>
        </w:rPr>
        <w:t>financing</w:t>
      </w:r>
      <w:r>
        <w:rPr>
          <w:spacing w:val="40"/>
          <w:sz w:val="21"/>
        </w:rPr>
        <w:t> </w:t>
      </w:r>
      <w:r>
        <w:rPr>
          <w:sz w:val="21"/>
        </w:rPr>
        <w:t>of</w:t>
      </w:r>
      <w:r>
        <w:rPr>
          <w:spacing w:val="40"/>
          <w:sz w:val="21"/>
        </w:rPr>
        <w:t> </w:t>
      </w:r>
      <w:r>
        <w:rPr>
          <w:sz w:val="21"/>
        </w:rPr>
        <w:t>the investments and obligations undertaken by the Concessionaire, under the terms and for the purposes of what is established in the concessions regime referred to in Clause 6, regarding financial capacity.</w:t>
      </w:r>
    </w:p>
    <w:p>
      <w:pPr>
        <w:pStyle w:val="BodyText"/>
        <w:spacing w:before="156"/>
        <w:rPr>
          <w:sz w:val="21"/>
        </w:rPr>
      </w:pPr>
    </w:p>
    <w:p>
      <w:pPr>
        <w:spacing w:line="213" w:lineRule="auto" w:before="0"/>
        <w:ind w:left="144" w:right="118" w:firstLine="0"/>
        <w:jc w:val="both"/>
        <w:rPr>
          <w:sz w:val="21"/>
        </w:rPr>
      </w:pPr>
      <w:r>
        <w:rPr>
          <w:i/>
          <w:sz w:val="21"/>
        </w:rPr>
        <w:t>Five</w:t>
      </w:r>
      <w:r>
        <w:rPr>
          <w:sz w:val="21"/>
        </w:rPr>
        <w:t>.</w:t>
      </w:r>
      <w:r>
        <w:rPr>
          <w:spacing w:val="40"/>
          <w:sz w:val="21"/>
        </w:rPr>
        <w:t> </w:t>
      </w:r>
      <w:r>
        <w:rPr>
          <w:sz w:val="21"/>
        </w:rPr>
        <w:t>The</w:t>
      </w:r>
      <w:r>
        <w:rPr>
          <w:spacing w:val="40"/>
          <w:sz w:val="21"/>
        </w:rPr>
        <w:t> </w:t>
      </w:r>
      <w:r>
        <w:rPr>
          <w:sz w:val="21"/>
        </w:rPr>
        <w:t>communication</w:t>
      </w:r>
      <w:r>
        <w:rPr>
          <w:spacing w:val="40"/>
          <w:sz w:val="21"/>
        </w:rPr>
        <w:t> </w:t>
      </w:r>
      <w:r>
        <w:rPr>
          <w:sz w:val="21"/>
        </w:rPr>
        <w:t>to</w:t>
      </w:r>
      <w:r>
        <w:rPr>
          <w:spacing w:val="40"/>
          <w:sz w:val="21"/>
        </w:rPr>
        <w:t> </w:t>
      </w:r>
      <w:r>
        <w:rPr>
          <w:sz w:val="21"/>
        </w:rPr>
        <w:t>the</w:t>
      </w:r>
      <w:r>
        <w:rPr>
          <w:spacing w:val="40"/>
          <w:sz w:val="21"/>
        </w:rPr>
        <w:t> </w:t>
      </w:r>
      <w:r>
        <w:rPr>
          <w:sz w:val="21"/>
        </w:rPr>
        <w:t>Concessionaire</w:t>
      </w:r>
      <w:r>
        <w:rPr>
          <w:spacing w:val="40"/>
          <w:sz w:val="21"/>
        </w:rPr>
        <w:t> </w:t>
      </w:r>
      <w:r>
        <w:rPr>
          <w:sz w:val="21"/>
        </w:rPr>
        <w:t>of</w:t>
      </w:r>
      <w:r>
        <w:rPr>
          <w:spacing w:val="40"/>
          <w:sz w:val="21"/>
        </w:rPr>
        <w:t> </w:t>
      </w:r>
      <w:r>
        <w:rPr>
          <w:sz w:val="21"/>
        </w:rPr>
        <w:t>the</w:t>
      </w:r>
      <w:r>
        <w:rPr>
          <w:spacing w:val="40"/>
          <w:sz w:val="21"/>
        </w:rPr>
        <w:t> </w:t>
      </w:r>
      <w:r>
        <w:rPr>
          <w:sz w:val="21"/>
        </w:rPr>
        <w:t>termination</w:t>
      </w:r>
      <w:r>
        <w:rPr>
          <w:spacing w:val="40"/>
          <w:sz w:val="21"/>
        </w:rPr>
        <w:t> </w:t>
      </w:r>
      <w:r>
        <w:rPr>
          <w:sz w:val="21"/>
        </w:rPr>
        <w:t>decision</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the</w:t>
      </w:r>
      <w:r>
        <w:rPr>
          <w:spacing w:val="40"/>
          <w:sz w:val="21"/>
        </w:rPr>
        <w:t> </w:t>
      </w:r>
      <w:r>
        <w:rPr>
          <w:sz w:val="21"/>
        </w:rPr>
        <w:t>previous</w:t>
      </w:r>
      <w:r>
        <w:rPr>
          <w:spacing w:val="40"/>
          <w:sz w:val="21"/>
        </w:rPr>
        <w:t> </w:t>
      </w:r>
      <w:r>
        <w:rPr>
          <w:sz w:val="21"/>
        </w:rPr>
        <w:t>paragraph</w:t>
      </w:r>
      <w:r>
        <w:rPr>
          <w:spacing w:val="40"/>
          <w:sz w:val="21"/>
        </w:rPr>
        <w:t> </w:t>
      </w:r>
      <w:r>
        <w:rPr>
          <w:sz w:val="21"/>
        </w:rPr>
        <w:t>shall</w:t>
      </w:r>
      <w:r>
        <w:rPr>
          <w:spacing w:val="40"/>
          <w:sz w:val="21"/>
        </w:rPr>
        <w:t> </w:t>
      </w:r>
      <w:r>
        <w:rPr>
          <w:sz w:val="21"/>
        </w:rPr>
        <w:t>take immediate effect, regardless of any other formality.</w:t>
      </w:r>
    </w:p>
    <w:p>
      <w:pPr>
        <w:pStyle w:val="BodyText"/>
        <w:spacing w:before="165"/>
        <w:rPr>
          <w:sz w:val="21"/>
        </w:rPr>
      </w:pPr>
    </w:p>
    <w:p>
      <w:pPr>
        <w:spacing w:line="213" w:lineRule="auto" w:before="0"/>
        <w:ind w:left="144" w:right="118" w:firstLine="0"/>
        <w:jc w:val="both"/>
        <w:rPr>
          <w:sz w:val="21"/>
        </w:rPr>
      </w:pPr>
      <w:r>
        <w:rPr>
          <w:i/>
          <w:sz w:val="21"/>
        </w:rPr>
        <w:t>Six</w:t>
      </w:r>
      <w:r>
        <w:rPr>
          <w:sz w:val="21"/>
        </w:rPr>
        <w:t>.</w:t>
      </w:r>
      <w:r>
        <w:rPr>
          <w:spacing w:val="18"/>
          <w:sz w:val="21"/>
        </w:rPr>
        <w:t> </w:t>
      </w:r>
      <w:r>
        <w:rPr>
          <w:sz w:val="21"/>
        </w:rPr>
        <w:t>In</w:t>
      </w:r>
      <w:r>
        <w:rPr>
          <w:spacing w:val="18"/>
          <w:sz w:val="21"/>
        </w:rPr>
        <w:t> </w:t>
      </w:r>
      <w:r>
        <w:rPr>
          <w:sz w:val="21"/>
        </w:rPr>
        <w:t>cases</w:t>
      </w:r>
      <w:r>
        <w:rPr>
          <w:spacing w:val="18"/>
          <w:sz w:val="21"/>
        </w:rPr>
        <w:t> </w:t>
      </w:r>
      <w:r>
        <w:rPr>
          <w:sz w:val="21"/>
        </w:rPr>
        <w:t>of</w:t>
      </w:r>
      <w:r>
        <w:rPr>
          <w:spacing w:val="18"/>
          <w:sz w:val="21"/>
        </w:rPr>
        <w:t> </w:t>
      </w:r>
      <w:r>
        <w:rPr>
          <w:sz w:val="21"/>
        </w:rPr>
        <w:t>justified</w:t>
      </w:r>
      <w:r>
        <w:rPr>
          <w:spacing w:val="18"/>
          <w:sz w:val="21"/>
        </w:rPr>
        <w:t> </w:t>
      </w:r>
      <w:r>
        <w:rPr>
          <w:sz w:val="21"/>
        </w:rPr>
        <w:t>urgency</w:t>
      </w:r>
      <w:r>
        <w:rPr>
          <w:spacing w:val="18"/>
          <w:sz w:val="21"/>
        </w:rPr>
        <w:t> </w:t>
      </w:r>
      <w:r>
        <w:rPr>
          <w:sz w:val="21"/>
        </w:rPr>
        <w:t>which</w:t>
      </w:r>
      <w:r>
        <w:rPr>
          <w:spacing w:val="18"/>
          <w:sz w:val="21"/>
        </w:rPr>
        <w:t> </w:t>
      </w:r>
      <w:r>
        <w:rPr>
          <w:sz w:val="21"/>
        </w:rPr>
        <w:t>are</w:t>
      </w:r>
      <w:r>
        <w:rPr>
          <w:spacing w:val="18"/>
          <w:sz w:val="21"/>
        </w:rPr>
        <w:t> </w:t>
      </w:r>
      <w:r>
        <w:rPr>
          <w:sz w:val="21"/>
        </w:rPr>
        <w:t>not</w:t>
      </w:r>
      <w:r>
        <w:rPr>
          <w:spacing w:val="18"/>
          <w:sz w:val="21"/>
        </w:rPr>
        <w:t> </w:t>
      </w:r>
      <w:r>
        <w:rPr>
          <w:sz w:val="21"/>
        </w:rPr>
        <w:t>compatible</w:t>
      </w:r>
      <w:r>
        <w:rPr>
          <w:spacing w:val="18"/>
          <w:sz w:val="21"/>
        </w:rPr>
        <w:t> </w:t>
      </w:r>
      <w:r>
        <w:rPr>
          <w:sz w:val="21"/>
        </w:rPr>
        <w:t>with</w:t>
      </w:r>
      <w:r>
        <w:rPr>
          <w:spacing w:val="18"/>
          <w:sz w:val="21"/>
        </w:rPr>
        <w:t> </w:t>
      </w:r>
      <w:r>
        <w:rPr>
          <w:sz w:val="21"/>
        </w:rPr>
        <w:t>the</w:t>
      </w:r>
      <w:r>
        <w:rPr>
          <w:spacing w:val="18"/>
          <w:sz w:val="21"/>
        </w:rPr>
        <w:t> </w:t>
      </w:r>
      <w:r>
        <w:rPr>
          <w:sz w:val="21"/>
        </w:rPr>
        <w:t>delays</w:t>
      </w:r>
      <w:r>
        <w:rPr>
          <w:spacing w:val="18"/>
          <w:sz w:val="21"/>
        </w:rPr>
        <w:t> </w:t>
      </w:r>
      <w:r>
        <w:rPr>
          <w:sz w:val="21"/>
        </w:rPr>
        <w:t>in</w:t>
      </w:r>
      <w:r>
        <w:rPr>
          <w:spacing w:val="18"/>
          <w:sz w:val="21"/>
        </w:rPr>
        <w:t> </w:t>
      </w:r>
      <w:r>
        <w:rPr>
          <w:sz w:val="21"/>
        </w:rPr>
        <w:t>the</w:t>
      </w:r>
      <w:r>
        <w:rPr>
          <w:spacing w:val="18"/>
          <w:sz w:val="21"/>
        </w:rPr>
        <w:t> </w:t>
      </w:r>
      <w:r>
        <w:rPr>
          <w:sz w:val="21"/>
        </w:rPr>
        <w:t>process</w:t>
      </w:r>
      <w:r>
        <w:rPr>
          <w:spacing w:val="18"/>
          <w:sz w:val="21"/>
        </w:rPr>
        <w:t> </w:t>
      </w:r>
      <w:r>
        <w:rPr>
          <w:sz w:val="21"/>
        </w:rPr>
        <w:t>for</w:t>
      </w:r>
      <w:r>
        <w:rPr>
          <w:spacing w:val="18"/>
          <w:sz w:val="21"/>
        </w:rPr>
        <w:t> </w:t>
      </w:r>
      <w:r>
        <w:rPr>
          <w:sz w:val="21"/>
        </w:rPr>
        <w:t>remedying</w:t>
      </w:r>
      <w:r>
        <w:rPr>
          <w:spacing w:val="18"/>
          <w:sz w:val="21"/>
        </w:rPr>
        <w:t> </w:t>
      </w:r>
      <w:r>
        <w:rPr>
          <w:sz w:val="21"/>
        </w:rPr>
        <w:t>the</w:t>
      </w:r>
      <w:r>
        <w:rPr>
          <w:spacing w:val="18"/>
          <w:sz w:val="21"/>
        </w:rPr>
        <w:t> </w:t>
      </w:r>
      <w:r>
        <w:rPr>
          <w:sz w:val="21"/>
        </w:rPr>
        <w:t>breach</w:t>
      </w:r>
      <w:r>
        <w:rPr>
          <w:spacing w:val="18"/>
          <w:sz w:val="21"/>
        </w:rPr>
        <w:t> </w:t>
      </w:r>
      <w:r>
        <w:rPr>
          <w:sz w:val="21"/>
        </w:rPr>
        <w:t>of</w:t>
      </w:r>
      <w:r>
        <w:rPr>
          <w:spacing w:val="18"/>
          <w:sz w:val="21"/>
        </w:rPr>
        <w:t> </w:t>
      </w:r>
      <w:r>
        <w:rPr>
          <w:sz w:val="21"/>
        </w:rPr>
        <w:t>duty</w:t>
      </w:r>
      <w:r>
        <w:rPr>
          <w:spacing w:val="18"/>
          <w:sz w:val="21"/>
        </w:rPr>
        <w:t> </w:t>
      </w:r>
      <w:r>
        <w:rPr>
          <w:sz w:val="21"/>
        </w:rPr>
        <w:t>provided for in paragraph </w:t>
      </w:r>
      <w:r>
        <w:rPr>
          <w:i/>
          <w:sz w:val="21"/>
        </w:rPr>
        <w:t>three</w:t>
      </w:r>
      <w:r>
        <w:rPr>
          <w:sz w:val="21"/>
        </w:rPr>
        <w:t>, the Government may, without prejudice to observance of that process and compliance with the provisions of paragraph</w:t>
      </w:r>
      <w:r>
        <w:rPr>
          <w:spacing w:val="25"/>
          <w:sz w:val="21"/>
        </w:rPr>
        <w:t> </w:t>
      </w:r>
      <w:r>
        <w:rPr>
          <w:i/>
          <w:sz w:val="21"/>
        </w:rPr>
        <w:t>four</w:t>
      </w:r>
      <w:r>
        <w:rPr>
          <w:sz w:val="21"/>
        </w:rPr>
        <w:t>,</w:t>
      </w:r>
      <w:r>
        <w:rPr>
          <w:spacing w:val="25"/>
          <w:sz w:val="21"/>
        </w:rPr>
        <w:t> </w:t>
      </w:r>
      <w:r>
        <w:rPr>
          <w:sz w:val="21"/>
        </w:rPr>
        <w:t>immediately</w:t>
      </w:r>
      <w:r>
        <w:rPr>
          <w:spacing w:val="25"/>
          <w:sz w:val="21"/>
        </w:rPr>
        <w:t> </w:t>
      </w:r>
      <w:r>
        <w:rPr>
          <w:sz w:val="21"/>
        </w:rPr>
        <w:t>proceed</w:t>
      </w:r>
      <w:r>
        <w:rPr>
          <w:spacing w:val="25"/>
          <w:sz w:val="21"/>
        </w:rPr>
        <w:t> </w:t>
      </w:r>
      <w:r>
        <w:rPr>
          <w:sz w:val="21"/>
        </w:rPr>
        <w:t>to</w:t>
      </w:r>
      <w:r>
        <w:rPr>
          <w:spacing w:val="25"/>
          <w:sz w:val="21"/>
        </w:rPr>
        <w:t> </w:t>
      </w:r>
      <w:r>
        <w:rPr>
          <w:sz w:val="21"/>
        </w:rPr>
        <w:t>the</w:t>
      </w:r>
      <w:r>
        <w:rPr>
          <w:spacing w:val="25"/>
          <w:sz w:val="21"/>
        </w:rPr>
        <w:t> </w:t>
      </w:r>
      <w:r>
        <w:rPr>
          <w:sz w:val="21"/>
        </w:rPr>
        <w:t>attachment</w:t>
      </w:r>
      <w:r>
        <w:rPr>
          <w:spacing w:val="25"/>
          <w:sz w:val="21"/>
        </w:rPr>
        <w:t> </w:t>
      </w:r>
      <w:r>
        <w:rPr>
          <w:sz w:val="21"/>
        </w:rPr>
        <w:t>of</w:t>
      </w:r>
      <w:r>
        <w:rPr>
          <w:spacing w:val="25"/>
          <w:sz w:val="21"/>
        </w:rPr>
        <w:t> </w:t>
      </w:r>
      <w:r>
        <w:rPr>
          <w:sz w:val="21"/>
        </w:rPr>
        <w:t>the</w:t>
      </w:r>
      <w:r>
        <w:rPr>
          <w:spacing w:val="25"/>
          <w:sz w:val="21"/>
        </w:rPr>
        <w:t> </w:t>
      </w:r>
      <w:r>
        <w:rPr>
          <w:sz w:val="21"/>
        </w:rPr>
        <w:t>concession</w:t>
      </w:r>
      <w:r>
        <w:rPr>
          <w:spacing w:val="25"/>
          <w:sz w:val="21"/>
        </w:rPr>
        <w:t> </w:t>
      </w:r>
      <w:r>
        <w:rPr>
          <w:sz w:val="21"/>
        </w:rPr>
        <w:t>under</w:t>
      </w:r>
      <w:r>
        <w:rPr>
          <w:spacing w:val="25"/>
          <w:sz w:val="21"/>
        </w:rPr>
        <w:t> </w:t>
      </w:r>
      <w:r>
        <w:rPr>
          <w:sz w:val="21"/>
        </w:rPr>
        <w:t>the</w:t>
      </w:r>
      <w:r>
        <w:rPr>
          <w:spacing w:val="25"/>
          <w:sz w:val="21"/>
        </w:rPr>
        <w:t> </w:t>
      </w:r>
      <w:r>
        <w:rPr>
          <w:sz w:val="21"/>
        </w:rPr>
        <w:t>terms</w:t>
      </w:r>
      <w:r>
        <w:rPr>
          <w:spacing w:val="25"/>
          <w:sz w:val="21"/>
        </w:rPr>
        <w:t> </w:t>
      </w:r>
      <w:r>
        <w:rPr>
          <w:sz w:val="21"/>
        </w:rPr>
        <w:t>defined</w:t>
      </w:r>
      <w:r>
        <w:rPr>
          <w:spacing w:val="25"/>
          <w:sz w:val="21"/>
        </w:rPr>
        <w:t> </w:t>
      </w:r>
      <w:r>
        <w:rPr>
          <w:sz w:val="21"/>
        </w:rPr>
        <w:t>in</w:t>
      </w:r>
      <w:r>
        <w:rPr>
          <w:spacing w:val="25"/>
          <w:sz w:val="21"/>
        </w:rPr>
        <w:t> </w:t>
      </w:r>
      <w:r>
        <w:rPr>
          <w:sz w:val="21"/>
        </w:rPr>
        <w:t>the</w:t>
      </w:r>
      <w:r>
        <w:rPr>
          <w:spacing w:val="25"/>
          <w:sz w:val="21"/>
        </w:rPr>
        <w:t> </w:t>
      </w:r>
      <w:r>
        <w:rPr>
          <w:sz w:val="21"/>
        </w:rPr>
        <w:t>previous</w:t>
      </w:r>
      <w:r>
        <w:rPr>
          <w:spacing w:val="25"/>
          <w:sz w:val="21"/>
        </w:rPr>
        <w:t> </w:t>
      </w:r>
      <w:r>
        <w:rPr>
          <w:sz w:val="21"/>
        </w:rPr>
        <w:t>clause.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0"/>
        <w:rPr>
          <w:sz w:val="20"/>
        </w:rPr>
      </w:pPr>
      <w:r>
        <w:rPr/>
        <mc:AlternateContent>
          <mc:Choice Requires="wps">
            <w:drawing>
              <wp:anchor distT="0" distB="0" distL="0" distR="0" allowOverlap="1" layoutInCell="1" locked="0" behindDoc="1" simplePos="0" relativeHeight="487787520">
                <wp:simplePos x="0" y="0"/>
                <wp:positionH relativeFrom="page">
                  <wp:posOffset>231457</wp:posOffset>
                </wp:positionH>
                <wp:positionV relativeFrom="paragraph">
                  <wp:posOffset>205727</wp:posOffset>
                </wp:positionV>
                <wp:extent cx="7312659" cy="17145"/>
                <wp:effectExtent l="0" t="0" r="0" b="0"/>
                <wp:wrapTopAndBottom/>
                <wp:docPr id="976" name="Group 976"/>
                <wp:cNvGraphicFramePr>
                  <a:graphicFrameLocks/>
                </wp:cNvGraphicFramePr>
                <a:graphic>
                  <a:graphicData uri="http://schemas.microsoft.com/office/word/2010/wordprocessingGroup">
                    <wpg:wgp>
                      <wpg:cNvPr id="976" name="Group 976"/>
                      <wpg:cNvGrpSpPr/>
                      <wpg:grpSpPr>
                        <a:xfrm>
                          <a:off x="0" y="0"/>
                          <a:ext cx="7312659" cy="17145"/>
                          <a:chExt cx="7312659" cy="17145"/>
                        </a:xfrm>
                      </wpg:grpSpPr>
                      <wps:wsp>
                        <wps:cNvPr id="977" name="Graphic 97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78" name="Graphic 978"/>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79" name="Graphic 97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199024pt;width:575.8pt;height:1.35pt;mso-position-horizontal-relative:page;mso-position-vertical-relative:paragraph;z-index:-15528960;mso-wrap-distance-left:0;mso-wrap-distance-right:0" id="docshapegroup974" coordorigin="364,324" coordsize="11516,27">
                <v:rect style="position:absolute;left:364;top:323;width:11516;height:14" id="docshape975" filled="true" fillcolor="#999999" stroked="false">
                  <v:fill type="solid"/>
                </v:rect>
                <v:shape style="position:absolute;left:364;top:323;width:11516;height:27" id="docshape976" coordorigin="364,324" coordsize="11516,27" path="m11880,324l11866,337,364,337,364,351,11866,351,11880,351,11880,337,11880,324xe" filled="true" fillcolor="#ededed" stroked="false">
                  <v:path arrowok="t"/>
                  <v:fill type="solid"/>
                </v:shape>
                <v:shape style="position:absolute;left:364;top:323;width:14;height:27" id="docshape977" coordorigin="364,324" coordsize="14,27" path="m364,351l364,324,378,324,378,337,364,351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233"/>
        <w:ind w:left="144" w:right="119" w:firstLine="0"/>
        <w:jc w:val="both"/>
        <w:rPr>
          <w:sz w:val="21"/>
        </w:rPr>
      </w:pPr>
      <w:r>
        <w:rPr>
          <w:i/>
          <w:sz w:val="21"/>
        </w:rPr>
        <w:t>Seven</w:t>
      </w:r>
      <w:r>
        <w:rPr>
          <w:sz w:val="21"/>
        </w:rPr>
        <w:t>.</w:t>
      </w:r>
      <w:r>
        <w:rPr>
          <w:spacing w:val="40"/>
          <w:sz w:val="21"/>
        </w:rPr>
        <w:t> </w:t>
      </w:r>
      <w:r>
        <w:rPr>
          <w:sz w:val="21"/>
        </w:rPr>
        <w:t>The</w:t>
      </w:r>
      <w:r>
        <w:rPr>
          <w:spacing w:val="40"/>
          <w:sz w:val="21"/>
        </w:rPr>
        <w:t> </w:t>
      </w:r>
      <w:r>
        <w:rPr>
          <w:sz w:val="21"/>
        </w:rPr>
        <w:t>unilateral</w:t>
      </w:r>
      <w:r>
        <w:rPr>
          <w:spacing w:val="40"/>
          <w:sz w:val="21"/>
        </w:rPr>
        <w:t> </w:t>
      </w:r>
      <w:r>
        <w:rPr>
          <w:sz w:val="21"/>
        </w:rPr>
        <w:t>termination</w:t>
      </w:r>
      <w:r>
        <w:rPr>
          <w:spacing w:val="40"/>
          <w:sz w:val="21"/>
        </w:rPr>
        <w:t> </w:t>
      </w:r>
      <w:r>
        <w:rPr>
          <w:sz w:val="21"/>
        </w:rPr>
        <w:t>for</w:t>
      </w:r>
      <w:r>
        <w:rPr>
          <w:spacing w:val="40"/>
          <w:sz w:val="21"/>
        </w:rPr>
        <w:t> </w:t>
      </w:r>
      <w:r>
        <w:rPr>
          <w:sz w:val="21"/>
        </w:rPr>
        <w:t>breach</w:t>
      </w:r>
      <w:r>
        <w:rPr>
          <w:spacing w:val="40"/>
          <w:sz w:val="21"/>
        </w:rPr>
        <w:t> </w:t>
      </w:r>
      <w:r>
        <w:rPr>
          <w:sz w:val="21"/>
        </w:rPr>
        <w:t>of</w:t>
      </w:r>
      <w:r>
        <w:rPr>
          <w:spacing w:val="40"/>
          <w:sz w:val="21"/>
        </w:rPr>
        <w:t> </w:t>
      </w:r>
      <w:r>
        <w:rPr>
          <w:sz w:val="21"/>
        </w:rPr>
        <w:t>this</w:t>
      </w:r>
      <w:r>
        <w:rPr>
          <w:spacing w:val="40"/>
          <w:sz w:val="21"/>
        </w:rPr>
        <w:t> </w:t>
      </w:r>
      <w:r>
        <w:rPr>
          <w:sz w:val="21"/>
        </w:rPr>
        <w:t>concession</w:t>
      </w:r>
      <w:r>
        <w:rPr>
          <w:spacing w:val="40"/>
          <w:sz w:val="21"/>
        </w:rPr>
        <w:t> </w:t>
      </w:r>
      <w:r>
        <w:rPr>
          <w:sz w:val="21"/>
        </w:rPr>
        <w:t>contract,</w:t>
      </w:r>
      <w:r>
        <w:rPr>
          <w:spacing w:val="40"/>
          <w:sz w:val="21"/>
        </w:rPr>
        <w:t> </w:t>
      </w:r>
      <w:r>
        <w:rPr>
          <w:sz w:val="21"/>
        </w:rPr>
        <w:t>under</w:t>
      </w:r>
      <w:r>
        <w:rPr>
          <w:spacing w:val="40"/>
          <w:sz w:val="21"/>
        </w:rPr>
        <w:t> </w:t>
      </w:r>
      <w:r>
        <w:rPr>
          <w:sz w:val="21"/>
        </w:rPr>
        <w:t>the</w:t>
      </w:r>
      <w:r>
        <w:rPr>
          <w:spacing w:val="40"/>
          <w:sz w:val="21"/>
        </w:rPr>
        <w:t> </w:t>
      </w:r>
      <w:r>
        <w:rPr>
          <w:sz w:val="21"/>
        </w:rPr>
        <w:t>terms</w:t>
      </w:r>
      <w:r>
        <w:rPr>
          <w:spacing w:val="40"/>
          <w:sz w:val="21"/>
        </w:rPr>
        <w:t> </w:t>
      </w:r>
      <w:r>
        <w:rPr>
          <w:sz w:val="21"/>
        </w:rPr>
        <w:t>of</w:t>
      </w:r>
      <w:r>
        <w:rPr>
          <w:spacing w:val="40"/>
          <w:sz w:val="21"/>
        </w:rPr>
        <w:t> </w:t>
      </w:r>
      <w:r>
        <w:rPr>
          <w:sz w:val="21"/>
        </w:rPr>
        <w:t>this</w:t>
      </w:r>
      <w:r>
        <w:rPr>
          <w:spacing w:val="40"/>
          <w:sz w:val="21"/>
        </w:rPr>
        <w:t> </w:t>
      </w:r>
      <w:r>
        <w:rPr>
          <w:sz w:val="21"/>
        </w:rPr>
        <w:t>clause,</w:t>
      </w:r>
      <w:r>
        <w:rPr>
          <w:spacing w:val="40"/>
          <w:sz w:val="21"/>
        </w:rPr>
        <w:t> </w:t>
      </w:r>
      <w:r>
        <w:rPr>
          <w:sz w:val="21"/>
        </w:rPr>
        <w:t>shall</w:t>
      </w:r>
      <w:r>
        <w:rPr>
          <w:spacing w:val="40"/>
          <w:sz w:val="21"/>
        </w:rPr>
        <w:t> </w:t>
      </w:r>
      <w:r>
        <w:rPr>
          <w:sz w:val="21"/>
        </w:rPr>
        <w:t>rise</w:t>
      </w:r>
      <w:r>
        <w:rPr>
          <w:spacing w:val="40"/>
          <w:sz w:val="21"/>
        </w:rPr>
        <w:t> </w:t>
      </w:r>
      <w:r>
        <w:rPr>
          <w:sz w:val="21"/>
        </w:rPr>
        <w:t>the</w:t>
      </w:r>
      <w:r>
        <w:rPr>
          <w:spacing w:val="40"/>
          <w:sz w:val="21"/>
        </w:rPr>
        <w:t> </w:t>
      </w:r>
      <w:r>
        <w:rPr>
          <w:sz w:val="21"/>
        </w:rPr>
        <w:t>duty</w:t>
      </w:r>
      <w:r>
        <w:rPr>
          <w:spacing w:val="40"/>
          <w:sz w:val="21"/>
        </w:rPr>
        <w:t> </w:t>
      </w:r>
      <w:r>
        <w:rPr>
          <w:sz w:val="21"/>
        </w:rPr>
        <w:t>to compensate</w:t>
      </w:r>
      <w:r>
        <w:rPr>
          <w:spacing w:val="26"/>
          <w:sz w:val="21"/>
        </w:rPr>
        <w:t> </w:t>
      </w:r>
      <w:r>
        <w:rPr>
          <w:sz w:val="21"/>
        </w:rPr>
        <w:t>the</w:t>
      </w:r>
      <w:r>
        <w:rPr>
          <w:spacing w:val="26"/>
          <w:sz w:val="21"/>
        </w:rPr>
        <w:t> </w:t>
      </w:r>
      <w:r>
        <w:rPr>
          <w:sz w:val="21"/>
        </w:rPr>
        <w:t>Concessionaire</w:t>
      </w:r>
      <w:r>
        <w:rPr>
          <w:spacing w:val="26"/>
          <w:sz w:val="21"/>
        </w:rPr>
        <w:t> </w:t>
      </w:r>
      <w:r>
        <w:rPr>
          <w:sz w:val="21"/>
        </w:rPr>
        <w:t>and</w:t>
      </w:r>
      <w:r>
        <w:rPr>
          <w:spacing w:val="26"/>
          <w:sz w:val="21"/>
        </w:rPr>
        <w:t> </w:t>
      </w:r>
      <w:r>
        <w:rPr>
          <w:sz w:val="21"/>
        </w:rPr>
        <w:t>the</w:t>
      </w:r>
      <w:r>
        <w:rPr>
          <w:spacing w:val="26"/>
          <w:sz w:val="21"/>
        </w:rPr>
        <w:t> </w:t>
      </w:r>
      <w:r>
        <w:rPr>
          <w:sz w:val="21"/>
        </w:rPr>
        <w:t>compensation</w:t>
      </w:r>
      <w:r>
        <w:rPr>
          <w:spacing w:val="26"/>
          <w:sz w:val="21"/>
        </w:rPr>
        <w:t> </w:t>
      </w:r>
      <w:r>
        <w:rPr>
          <w:sz w:val="21"/>
        </w:rPr>
        <w:t>shall</w:t>
      </w:r>
      <w:r>
        <w:rPr>
          <w:spacing w:val="26"/>
          <w:sz w:val="21"/>
        </w:rPr>
        <w:t> </w:t>
      </w:r>
      <w:r>
        <w:rPr>
          <w:sz w:val="21"/>
        </w:rPr>
        <w:t>be</w:t>
      </w:r>
      <w:r>
        <w:rPr>
          <w:spacing w:val="26"/>
          <w:sz w:val="21"/>
        </w:rPr>
        <w:t> </w:t>
      </w:r>
      <w:r>
        <w:rPr>
          <w:sz w:val="21"/>
        </w:rPr>
        <w:t>calculated</w:t>
      </w:r>
      <w:r>
        <w:rPr>
          <w:spacing w:val="26"/>
          <w:sz w:val="21"/>
        </w:rPr>
        <w:t> </w:t>
      </w:r>
      <w:r>
        <w:rPr>
          <w:sz w:val="21"/>
        </w:rPr>
        <w:t>under</w:t>
      </w:r>
      <w:r>
        <w:rPr>
          <w:spacing w:val="26"/>
          <w:sz w:val="21"/>
        </w:rPr>
        <w:t> </w:t>
      </w:r>
      <w:r>
        <w:rPr>
          <w:sz w:val="21"/>
        </w:rPr>
        <w:t>the</w:t>
      </w:r>
      <w:r>
        <w:rPr>
          <w:spacing w:val="26"/>
          <w:sz w:val="21"/>
        </w:rPr>
        <w:t> </w:t>
      </w:r>
      <w:r>
        <w:rPr>
          <w:sz w:val="21"/>
        </w:rPr>
        <w:t>general</w:t>
      </w:r>
      <w:r>
        <w:rPr>
          <w:spacing w:val="26"/>
          <w:sz w:val="21"/>
        </w:rPr>
        <w:t> </w:t>
      </w:r>
      <w:r>
        <w:rPr>
          <w:sz w:val="21"/>
        </w:rPr>
        <w:t>terms</w:t>
      </w:r>
      <w:r>
        <w:rPr>
          <w:spacing w:val="26"/>
          <w:sz w:val="21"/>
        </w:rPr>
        <w:t> </w:t>
      </w:r>
      <w:r>
        <w:rPr>
          <w:sz w:val="21"/>
        </w:rPr>
        <w:t>of</w:t>
      </w:r>
      <w:r>
        <w:rPr>
          <w:spacing w:val="26"/>
          <w:sz w:val="21"/>
        </w:rPr>
        <w:t> </w:t>
      </w:r>
      <w:r>
        <w:rPr>
          <w:sz w:val="21"/>
        </w:rPr>
        <w:t>the</w:t>
      </w:r>
      <w:r>
        <w:rPr>
          <w:spacing w:val="26"/>
          <w:sz w:val="21"/>
        </w:rPr>
        <w:t> </w:t>
      </w:r>
      <w:r>
        <w:rPr>
          <w:sz w:val="21"/>
        </w:rPr>
        <w:t>law.</w:t>
      </w:r>
    </w:p>
    <w:p>
      <w:pPr>
        <w:pStyle w:val="BodyText"/>
        <w:spacing w:before="165"/>
        <w:rPr>
          <w:sz w:val="21"/>
        </w:rPr>
      </w:pPr>
    </w:p>
    <w:p>
      <w:pPr>
        <w:spacing w:line="213" w:lineRule="auto" w:before="0"/>
        <w:ind w:left="144" w:right="118" w:firstLine="0"/>
        <w:jc w:val="both"/>
        <w:rPr>
          <w:sz w:val="21"/>
        </w:rPr>
      </w:pPr>
      <w:r>
        <w:rPr>
          <w:i/>
          <w:sz w:val="21"/>
        </w:rPr>
        <w:t>Eight</w:t>
      </w:r>
      <w:r>
        <w:rPr>
          <w:sz w:val="21"/>
        </w:rPr>
        <w:t>. Unilateral termination for breach of this concession contract implies the immediate reversion at no cost, free of any burdens </w:t>
      </w:r>
      <w:r>
        <w:rPr>
          <w:sz w:val="21"/>
        </w:rPr>
        <w:t>or charges for the Macau SAR, of the casinos in question, as well as the equipment and utensils allocated to the games, even if located outside the casinos.</w:t>
      </w:r>
    </w:p>
    <w:p>
      <w:pPr>
        <w:pStyle w:val="BodyText"/>
        <w:spacing w:before="132"/>
        <w:rPr>
          <w:sz w:val="21"/>
        </w:rPr>
      </w:pPr>
    </w:p>
    <w:p>
      <w:pPr>
        <w:spacing w:line="309" w:lineRule="auto" w:before="0"/>
        <w:ind w:left="5170" w:right="5143" w:firstLine="0"/>
        <w:jc w:val="center"/>
        <w:rPr>
          <w:b/>
          <w:sz w:val="21"/>
        </w:rPr>
      </w:pPr>
      <w:r>
        <w:rPr>
          <w:b/>
          <w:sz w:val="21"/>
        </w:rPr>
        <w:t>Clause</w:t>
      </w:r>
      <w:r>
        <w:rPr>
          <w:b/>
          <w:spacing w:val="-13"/>
          <w:sz w:val="21"/>
        </w:rPr>
        <w:t> </w:t>
      </w:r>
      <w:r>
        <w:rPr>
          <w:b/>
          <w:sz w:val="21"/>
        </w:rPr>
        <w:t>86 </w:t>
      </w:r>
      <w:r>
        <w:rPr>
          <w:b/>
          <w:spacing w:val="-2"/>
          <w:sz w:val="21"/>
        </w:rPr>
        <w:t>Cessation</w:t>
      </w:r>
    </w:p>
    <w:p>
      <w:pPr>
        <w:pStyle w:val="BodyText"/>
        <w:spacing w:before="75"/>
        <w:rPr>
          <w:b/>
          <w:sz w:val="21"/>
        </w:rPr>
      </w:pPr>
    </w:p>
    <w:p>
      <w:pPr>
        <w:spacing w:line="213" w:lineRule="auto" w:before="0"/>
        <w:ind w:left="144" w:right="118" w:firstLine="0"/>
        <w:jc w:val="both"/>
        <w:rPr>
          <w:sz w:val="21"/>
        </w:rPr>
      </w:pPr>
      <w:r>
        <w:rPr>
          <w:i/>
          <w:sz w:val="21"/>
        </w:rPr>
        <w:t>One. </w:t>
      </w:r>
      <w:r>
        <w:rPr>
          <w:sz w:val="21"/>
        </w:rPr>
        <w:t>The concession and contract for the operation of games of fortune or chance in casinos shall cease at the end of the concession period, ceasing the existing contractual relations between the Parties, without prejudice to the clauses of this concession contract that</w:t>
      </w:r>
      <w:r>
        <w:rPr>
          <w:spacing w:val="80"/>
          <w:sz w:val="21"/>
        </w:rPr>
        <w:t> </w:t>
      </w:r>
      <w:r>
        <w:rPr>
          <w:sz w:val="21"/>
        </w:rPr>
        <w:t>last beyond the term of the concession.</w:t>
      </w:r>
    </w:p>
    <w:p>
      <w:pPr>
        <w:pStyle w:val="BodyText"/>
        <w:spacing w:before="153"/>
        <w:rPr>
          <w:sz w:val="21"/>
        </w:rPr>
      </w:pPr>
    </w:p>
    <w:p>
      <w:pPr>
        <w:spacing w:line="213" w:lineRule="auto" w:before="0"/>
        <w:ind w:left="144" w:right="119" w:firstLine="0"/>
        <w:jc w:val="both"/>
        <w:rPr>
          <w:sz w:val="21"/>
        </w:rPr>
      </w:pPr>
      <w:r>
        <w:rPr>
          <w:i/>
          <w:sz w:val="21"/>
        </w:rPr>
        <w:t>Two</w:t>
      </w:r>
      <w:r>
        <w:rPr>
          <w:sz w:val="21"/>
        </w:rPr>
        <w:t>.</w:t>
      </w:r>
      <w:r>
        <w:rPr>
          <w:spacing w:val="23"/>
          <w:sz w:val="21"/>
        </w:rPr>
        <w:t> </w:t>
      </w:r>
      <w:r>
        <w:rPr>
          <w:sz w:val="21"/>
        </w:rPr>
        <w:t>Upon</w:t>
      </w:r>
      <w:r>
        <w:rPr>
          <w:spacing w:val="23"/>
          <w:sz w:val="21"/>
        </w:rPr>
        <w:t> </w:t>
      </w:r>
      <w:r>
        <w:rPr>
          <w:sz w:val="21"/>
        </w:rPr>
        <w:t>cessation</w:t>
      </w:r>
      <w:r>
        <w:rPr>
          <w:spacing w:val="23"/>
          <w:sz w:val="21"/>
        </w:rPr>
        <w:t> </w:t>
      </w:r>
      <w:r>
        <w:rPr>
          <w:sz w:val="21"/>
        </w:rPr>
        <w:t>under</w:t>
      </w:r>
      <w:r>
        <w:rPr>
          <w:spacing w:val="23"/>
          <w:sz w:val="21"/>
        </w:rPr>
        <w:t> </w:t>
      </w:r>
      <w:r>
        <w:rPr>
          <w:sz w:val="21"/>
        </w:rPr>
        <w:t>the</w:t>
      </w:r>
      <w:r>
        <w:rPr>
          <w:spacing w:val="23"/>
          <w:sz w:val="21"/>
        </w:rPr>
        <w:t> </w:t>
      </w:r>
      <w:r>
        <w:rPr>
          <w:sz w:val="21"/>
        </w:rPr>
        <w:t>terms</w:t>
      </w:r>
      <w:r>
        <w:rPr>
          <w:spacing w:val="23"/>
          <w:sz w:val="21"/>
        </w:rPr>
        <w:t> </w:t>
      </w:r>
      <w:r>
        <w:rPr>
          <w:sz w:val="21"/>
        </w:rPr>
        <w:t>of</w:t>
      </w:r>
      <w:r>
        <w:rPr>
          <w:spacing w:val="23"/>
          <w:sz w:val="21"/>
        </w:rPr>
        <w:t> </w:t>
      </w:r>
      <w:r>
        <w:rPr>
          <w:sz w:val="21"/>
        </w:rPr>
        <w:t>the</w:t>
      </w:r>
      <w:r>
        <w:rPr>
          <w:spacing w:val="23"/>
          <w:sz w:val="21"/>
        </w:rPr>
        <w:t> </w:t>
      </w:r>
      <w:r>
        <w:rPr>
          <w:sz w:val="21"/>
        </w:rPr>
        <w:t>previous</w:t>
      </w:r>
      <w:r>
        <w:rPr>
          <w:spacing w:val="23"/>
          <w:sz w:val="21"/>
        </w:rPr>
        <w:t> </w:t>
      </w:r>
      <w:r>
        <w:rPr>
          <w:sz w:val="21"/>
        </w:rPr>
        <w:t>paragraph,</w:t>
      </w:r>
      <w:r>
        <w:rPr>
          <w:spacing w:val="23"/>
          <w:sz w:val="21"/>
        </w:rPr>
        <w:t> </w:t>
      </w:r>
      <w:r>
        <w:rPr>
          <w:sz w:val="21"/>
        </w:rPr>
        <w:t>the</w:t>
      </w:r>
      <w:r>
        <w:rPr>
          <w:spacing w:val="23"/>
          <w:sz w:val="21"/>
        </w:rPr>
        <w:t> </w:t>
      </w:r>
      <w:r>
        <w:rPr>
          <w:sz w:val="21"/>
        </w:rPr>
        <w:t>Concessionaire</w:t>
      </w:r>
      <w:r>
        <w:rPr>
          <w:spacing w:val="23"/>
          <w:sz w:val="21"/>
        </w:rPr>
        <w:t> </w:t>
      </w:r>
      <w:r>
        <w:rPr>
          <w:sz w:val="21"/>
        </w:rPr>
        <w:t>shall</w:t>
      </w:r>
      <w:r>
        <w:rPr>
          <w:spacing w:val="23"/>
          <w:sz w:val="21"/>
        </w:rPr>
        <w:t> </w:t>
      </w:r>
      <w:r>
        <w:rPr>
          <w:sz w:val="21"/>
        </w:rPr>
        <w:t>be</w:t>
      </w:r>
      <w:r>
        <w:rPr>
          <w:spacing w:val="23"/>
          <w:sz w:val="21"/>
        </w:rPr>
        <w:t> </w:t>
      </w:r>
      <w:r>
        <w:rPr>
          <w:sz w:val="21"/>
        </w:rPr>
        <w:t>entirely</w:t>
      </w:r>
      <w:r>
        <w:rPr>
          <w:spacing w:val="23"/>
          <w:sz w:val="21"/>
        </w:rPr>
        <w:t> </w:t>
      </w:r>
      <w:r>
        <w:rPr>
          <w:sz w:val="21"/>
        </w:rPr>
        <w:t>responsible</w:t>
      </w:r>
      <w:r>
        <w:rPr>
          <w:spacing w:val="23"/>
          <w:sz w:val="21"/>
        </w:rPr>
        <w:t> </w:t>
      </w:r>
      <w:r>
        <w:rPr>
          <w:sz w:val="21"/>
        </w:rPr>
        <w:t>for</w:t>
      </w:r>
      <w:r>
        <w:rPr>
          <w:spacing w:val="23"/>
          <w:sz w:val="21"/>
        </w:rPr>
        <w:t> </w:t>
      </w:r>
      <w:r>
        <w:rPr>
          <w:sz w:val="21"/>
        </w:rPr>
        <w:t>the</w:t>
      </w:r>
      <w:r>
        <w:rPr>
          <w:spacing w:val="23"/>
          <w:sz w:val="21"/>
        </w:rPr>
        <w:t> </w:t>
      </w:r>
      <w:r>
        <w:rPr>
          <w:sz w:val="21"/>
        </w:rPr>
        <w:t>termination of</w:t>
      </w:r>
      <w:r>
        <w:rPr>
          <w:spacing w:val="17"/>
          <w:sz w:val="21"/>
        </w:rPr>
        <w:t> </w:t>
      </w:r>
      <w:r>
        <w:rPr>
          <w:sz w:val="21"/>
        </w:rPr>
        <w:t>the</w:t>
      </w:r>
      <w:r>
        <w:rPr>
          <w:spacing w:val="17"/>
          <w:sz w:val="21"/>
        </w:rPr>
        <w:t> </w:t>
      </w:r>
      <w:r>
        <w:rPr>
          <w:sz w:val="21"/>
        </w:rPr>
        <w:t>effects</w:t>
      </w:r>
      <w:r>
        <w:rPr>
          <w:spacing w:val="17"/>
          <w:sz w:val="21"/>
        </w:rPr>
        <w:t> </w:t>
      </w:r>
      <w:r>
        <w:rPr>
          <w:sz w:val="21"/>
        </w:rPr>
        <w:t>of</w:t>
      </w:r>
      <w:r>
        <w:rPr>
          <w:spacing w:val="17"/>
          <w:sz w:val="21"/>
        </w:rPr>
        <w:t> </w:t>
      </w:r>
      <w:r>
        <w:rPr>
          <w:sz w:val="21"/>
        </w:rPr>
        <w:t>any</w:t>
      </w:r>
      <w:r>
        <w:rPr>
          <w:spacing w:val="17"/>
          <w:sz w:val="21"/>
        </w:rPr>
        <w:t> </w:t>
      </w:r>
      <w:r>
        <w:rPr>
          <w:sz w:val="21"/>
        </w:rPr>
        <w:t>contracts</w:t>
      </w:r>
      <w:r>
        <w:rPr>
          <w:spacing w:val="17"/>
          <w:sz w:val="21"/>
        </w:rPr>
        <w:t> </w:t>
      </w:r>
      <w:r>
        <w:rPr>
          <w:sz w:val="21"/>
        </w:rPr>
        <w:t>to</w:t>
      </w:r>
      <w:r>
        <w:rPr>
          <w:spacing w:val="17"/>
          <w:sz w:val="21"/>
        </w:rPr>
        <w:t> </w:t>
      </w:r>
      <w:r>
        <w:rPr>
          <w:sz w:val="21"/>
        </w:rPr>
        <w:t>which</w:t>
      </w:r>
      <w:r>
        <w:rPr>
          <w:spacing w:val="17"/>
          <w:sz w:val="21"/>
        </w:rPr>
        <w:t> </w:t>
      </w:r>
      <w:r>
        <w:rPr>
          <w:sz w:val="21"/>
        </w:rPr>
        <w:t>it</w:t>
      </w:r>
      <w:r>
        <w:rPr>
          <w:spacing w:val="17"/>
          <w:sz w:val="21"/>
        </w:rPr>
        <w:t> </w:t>
      </w:r>
      <w:r>
        <w:rPr>
          <w:sz w:val="21"/>
        </w:rPr>
        <w:t>is</w:t>
      </w:r>
      <w:r>
        <w:rPr>
          <w:spacing w:val="17"/>
          <w:sz w:val="21"/>
        </w:rPr>
        <w:t> </w:t>
      </w:r>
      <w:r>
        <w:rPr>
          <w:sz w:val="21"/>
        </w:rPr>
        <w:t>a</w:t>
      </w:r>
      <w:r>
        <w:rPr>
          <w:spacing w:val="17"/>
          <w:sz w:val="21"/>
        </w:rPr>
        <w:t> </w:t>
      </w:r>
      <w:r>
        <w:rPr>
          <w:sz w:val="21"/>
        </w:rPr>
        <w:t>party</w:t>
      </w:r>
      <w:r>
        <w:rPr>
          <w:spacing w:val="17"/>
          <w:sz w:val="21"/>
        </w:rPr>
        <w:t> </w:t>
      </w:r>
      <w:r>
        <w:rPr>
          <w:sz w:val="21"/>
        </w:rPr>
        <w:t>and</w:t>
      </w:r>
      <w:r>
        <w:rPr>
          <w:spacing w:val="17"/>
          <w:sz w:val="21"/>
        </w:rPr>
        <w:t> </w:t>
      </w:r>
      <w:r>
        <w:rPr>
          <w:sz w:val="21"/>
        </w:rPr>
        <w:t>the</w:t>
      </w:r>
      <w:r>
        <w:rPr>
          <w:spacing w:val="17"/>
          <w:sz w:val="21"/>
        </w:rPr>
        <w:t> </w:t>
      </w:r>
      <w:r>
        <w:rPr>
          <w:sz w:val="21"/>
        </w:rPr>
        <w:t>Macau</w:t>
      </w:r>
      <w:r>
        <w:rPr>
          <w:spacing w:val="17"/>
          <w:sz w:val="21"/>
        </w:rPr>
        <w:t> </w:t>
      </w:r>
      <w:r>
        <w:rPr>
          <w:sz w:val="21"/>
        </w:rPr>
        <w:t>SAR</w:t>
      </w:r>
      <w:r>
        <w:rPr>
          <w:spacing w:val="17"/>
          <w:sz w:val="21"/>
        </w:rPr>
        <w:t> </w:t>
      </w:r>
      <w:r>
        <w:rPr>
          <w:sz w:val="21"/>
        </w:rPr>
        <w:t>shall</w:t>
      </w:r>
      <w:r>
        <w:rPr>
          <w:spacing w:val="17"/>
          <w:sz w:val="21"/>
        </w:rPr>
        <w:t> </w:t>
      </w:r>
      <w:r>
        <w:rPr>
          <w:sz w:val="21"/>
        </w:rPr>
        <w:t>be</w:t>
      </w:r>
      <w:r>
        <w:rPr>
          <w:spacing w:val="17"/>
          <w:sz w:val="21"/>
        </w:rPr>
        <w:t> </w:t>
      </w:r>
      <w:r>
        <w:rPr>
          <w:sz w:val="21"/>
        </w:rPr>
        <w:t>exempted</w:t>
      </w:r>
      <w:r>
        <w:rPr>
          <w:spacing w:val="17"/>
          <w:sz w:val="21"/>
        </w:rPr>
        <w:t> </w:t>
      </w:r>
      <w:r>
        <w:rPr>
          <w:sz w:val="21"/>
        </w:rPr>
        <w:t>of</w:t>
      </w:r>
      <w:r>
        <w:rPr>
          <w:spacing w:val="17"/>
          <w:sz w:val="21"/>
        </w:rPr>
        <w:t> </w:t>
      </w:r>
      <w:r>
        <w:rPr>
          <w:sz w:val="21"/>
        </w:rPr>
        <w:t>any</w:t>
      </w:r>
      <w:r>
        <w:rPr>
          <w:spacing w:val="17"/>
          <w:sz w:val="21"/>
        </w:rPr>
        <w:t> </w:t>
      </w:r>
      <w:r>
        <w:rPr>
          <w:sz w:val="21"/>
        </w:rPr>
        <w:t>liability</w:t>
      </w:r>
      <w:r>
        <w:rPr>
          <w:spacing w:val="17"/>
          <w:sz w:val="21"/>
        </w:rPr>
        <w:t> </w:t>
      </w:r>
      <w:r>
        <w:rPr>
          <w:sz w:val="21"/>
        </w:rPr>
        <w:t>in</w:t>
      </w:r>
      <w:r>
        <w:rPr>
          <w:spacing w:val="17"/>
          <w:sz w:val="21"/>
        </w:rPr>
        <w:t> </w:t>
      </w:r>
      <w:r>
        <w:rPr>
          <w:sz w:val="21"/>
        </w:rPr>
        <w:t>this</w:t>
      </w:r>
      <w:r>
        <w:rPr>
          <w:spacing w:val="17"/>
          <w:sz w:val="21"/>
        </w:rPr>
        <w:t> </w:t>
      </w:r>
      <w:r>
        <w:rPr>
          <w:sz w:val="21"/>
        </w:rPr>
        <w:t>matter.</w:t>
      </w:r>
    </w:p>
    <w:p>
      <w:pPr>
        <w:pStyle w:val="BodyText"/>
        <w:spacing w:before="121"/>
        <w:rPr>
          <w:sz w:val="21"/>
        </w:rPr>
      </w:pPr>
    </w:p>
    <w:p>
      <w:pPr>
        <w:pStyle w:val="Heading1"/>
      </w:pPr>
      <w:r>
        <w:rPr/>
        <w:t>CHAPTER </w:t>
      </w:r>
      <w:r>
        <w:rPr>
          <w:spacing w:val="-5"/>
        </w:rPr>
        <w:t>XX</w:t>
      </w:r>
    </w:p>
    <w:p>
      <w:pPr>
        <w:pStyle w:val="Heading2"/>
        <w:spacing w:before="63"/>
      </w:pPr>
      <w:r>
        <w:rPr/>
        <w:t>Contract</w:t>
      </w:r>
      <w:r>
        <w:rPr>
          <w:spacing w:val="-2"/>
        </w:rPr>
        <w:t> </w:t>
      </w:r>
      <w:r>
        <w:rPr/>
        <w:t>revisions</w:t>
      </w:r>
      <w:r>
        <w:rPr>
          <w:spacing w:val="-2"/>
        </w:rPr>
        <w:t> </w:t>
      </w:r>
      <w:r>
        <w:rPr/>
        <w:t>and</w:t>
      </w:r>
      <w:r>
        <w:rPr>
          <w:spacing w:val="-1"/>
        </w:rPr>
        <w:t> </w:t>
      </w:r>
      <w:r>
        <w:rPr>
          <w:spacing w:val="-2"/>
        </w:rPr>
        <w:t>amendments</w:t>
      </w:r>
    </w:p>
    <w:p>
      <w:pPr>
        <w:pStyle w:val="BodyText"/>
        <w:spacing w:before="83"/>
        <w:rPr>
          <w:b/>
          <w:sz w:val="25"/>
        </w:rPr>
      </w:pPr>
    </w:p>
    <w:p>
      <w:pPr>
        <w:spacing w:before="1"/>
        <w:ind w:left="24" w:right="0" w:firstLine="0"/>
        <w:jc w:val="center"/>
        <w:rPr>
          <w:b/>
          <w:sz w:val="21"/>
        </w:rPr>
      </w:pPr>
      <w:r>
        <w:rPr>
          <w:b/>
          <w:sz w:val="21"/>
        </w:rPr>
        <w:t>Clause</w:t>
      </w:r>
      <w:r>
        <w:rPr>
          <w:b/>
          <w:spacing w:val="13"/>
          <w:sz w:val="21"/>
        </w:rPr>
        <w:t> </w:t>
      </w:r>
      <w:r>
        <w:rPr>
          <w:b/>
          <w:spacing w:val="-5"/>
          <w:sz w:val="21"/>
        </w:rPr>
        <w:t>87</w:t>
      </w:r>
    </w:p>
    <w:p>
      <w:pPr>
        <w:spacing w:before="55"/>
        <w:ind w:left="24" w:right="0" w:firstLine="0"/>
        <w:jc w:val="center"/>
        <w:rPr>
          <w:b/>
          <w:sz w:val="21"/>
        </w:rPr>
      </w:pPr>
      <w:r>
        <w:rPr>
          <w:b/>
          <w:sz w:val="21"/>
        </w:rPr>
        <w:t>Revisions</w:t>
      </w:r>
      <w:r>
        <w:rPr>
          <w:b/>
          <w:spacing w:val="12"/>
          <w:sz w:val="21"/>
        </w:rPr>
        <w:t> </w:t>
      </w:r>
      <w:r>
        <w:rPr>
          <w:b/>
          <w:sz w:val="21"/>
        </w:rPr>
        <w:t>of</w:t>
      </w:r>
      <w:r>
        <w:rPr>
          <w:b/>
          <w:spacing w:val="12"/>
          <w:sz w:val="21"/>
        </w:rPr>
        <w:t> </w:t>
      </w:r>
      <w:r>
        <w:rPr>
          <w:b/>
          <w:sz w:val="21"/>
        </w:rPr>
        <w:t>the</w:t>
      </w:r>
      <w:r>
        <w:rPr>
          <w:b/>
          <w:spacing w:val="12"/>
          <w:sz w:val="21"/>
        </w:rPr>
        <w:t> </w:t>
      </w:r>
      <w:r>
        <w:rPr>
          <w:b/>
          <w:sz w:val="21"/>
        </w:rPr>
        <w:t>concession</w:t>
      </w:r>
      <w:r>
        <w:rPr>
          <w:b/>
          <w:spacing w:val="13"/>
          <w:sz w:val="21"/>
        </w:rPr>
        <w:t> </w:t>
      </w:r>
      <w:r>
        <w:rPr>
          <w:b/>
          <w:spacing w:val="-2"/>
          <w:sz w:val="21"/>
        </w:rPr>
        <w:t>contract</w:t>
      </w:r>
    </w:p>
    <w:p>
      <w:pPr>
        <w:pStyle w:val="BodyText"/>
        <w:spacing w:before="160"/>
        <w:rPr>
          <w:b/>
          <w:sz w:val="21"/>
        </w:rPr>
      </w:pPr>
    </w:p>
    <w:p>
      <w:pPr>
        <w:spacing w:line="213" w:lineRule="auto" w:before="0"/>
        <w:ind w:left="144" w:right="118" w:firstLine="0"/>
        <w:jc w:val="both"/>
        <w:rPr>
          <w:sz w:val="21"/>
        </w:rPr>
      </w:pPr>
      <w:r>
        <w:rPr>
          <w:i/>
          <w:sz w:val="21"/>
        </w:rPr>
        <w:t>One</w:t>
      </w:r>
      <w:r>
        <w:rPr>
          <w:sz w:val="21"/>
        </w:rPr>
        <w:t>.</w:t>
      </w:r>
      <w:r>
        <w:rPr>
          <w:spacing w:val="22"/>
          <w:sz w:val="21"/>
        </w:rPr>
        <w:t> </w:t>
      </w:r>
      <w:r>
        <w:rPr>
          <w:sz w:val="21"/>
        </w:rPr>
        <w:t>This</w:t>
      </w:r>
      <w:r>
        <w:rPr>
          <w:spacing w:val="26"/>
          <w:sz w:val="21"/>
        </w:rPr>
        <w:t> </w:t>
      </w:r>
      <w:r>
        <w:rPr>
          <w:sz w:val="21"/>
        </w:rPr>
        <w:t>concession</w:t>
      </w:r>
      <w:r>
        <w:rPr>
          <w:spacing w:val="26"/>
          <w:sz w:val="21"/>
        </w:rPr>
        <w:t> </w:t>
      </w:r>
      <w:r>
        <w:rPr>
          <w:sz w:val="21"/>
        </w:rPr>
        <w:t>contract</w:t>
      </w:r>
      <w:r>
        <w:rPr>
          <w:spacing w:val="26"/>
          <w:sz w:val="21"/>
        </w:rPr>
        <w:t> </w:t>
      </w:r>
      <w:r>
        <w:rPr>
          <w:sz w:val="21"/>
        </w:rPr>
        <w:t>may</w:t>
      </w:r>
      <w:r>
        <w:rPr>
          <w:spacing w:val="26"/>
          <w:sz w:val="21"/>
        </w:rPr>
        <w:t> </w:t>
      </w:r>
      <w:r>
        <w:rPr>
          <w:sz w:val="21"/>
        </w:rPr>
        <w:t>be</w:t>
      </w:r>
      <w:r>
        <w:rPr>
          <w:spacing w:val="26"/>
          <w:sz w:val="21"/>
        </w:rPr>
        <w:t> </w:t>
      </w:r>
      <w:r>
        <w:rPr>
          <w:sz w:val="21"/>
        </w:rPr>
        <w:t>revised</w:t>
      </w:r>
      <w:r>
        <w:rPr>
          <w:spacing w:val="26"/>
          <w:sz w:val="21"/>
        </w:rPr>
        <w:t> </w:t>
      </w:r>
      <w:r>
        <w:rPr>
          <w:sz w:val="21"/>
        </w:rPr>
        <w:t>after</w:t>
      </w:r>
      <w:r>
        <w:rPr>
          <w:spacing w:val="26"/>
          <w:sz w:val="21"/>
        </w:rPr>
        <w:t> </w:t>
      </w:r>
      <w:r>
        <w:rPr>
          <w:sz w:val="21"/>
        </w:rPr>
        <w:t>consultations</w:t>
      </w:r>
      <w:r>
        <w:rPr>
          <w:spacing w:val="26"/>
          <w:sz w:val="21"/>
        </w:rPr>
        <w:t> </w:t>
      </w:r>
      <w:r>
        <w:rPr>
          <w:sz w:val="21"/>
        </w:rPr>
        <w:t>between</w:t>
      </w:r>
      <w:r>
        <w:rPr>
          <w:spacing w:val="26"/>
          <w:sz w:val="21"/>
        </w:rPr>
        <w:t> </w:t>
      </w:r>
      <w:r>
        <w:rPr>
          <w:sz w:val="21"/>
        </w:rPr>
        <w:t>the</w:t>
      </w:r>
      <w:r>
        <w:rPr>
          <w:spacing w:val="26"/>
          <w:sz w:val="21"/>
        </w:rPr>
        <w:t> </w:t>
      </w:r>
      <w:r>
        <w:rPr>
          <w:sz w:val="21"/>
        </w:rPr>
        <w:t>Government</w:t>
      </w:r>
      <w:r>
        <w:rPr>
          <w:spacing w:val="26"/>
          <w:sz w:val="21"/>
        </w:rPr>
        <w:t> </w:t>
      </w:r>
      <w:r>
        <w:rPr>
          <w:sz w:val="21"/>
        </w:rPr>
        <w:t>and</w:t>
      </w:r>
      <w:r>
        <w:rPr>
          <w:spacing w:val="26"/>
          <w:sz w:val="21"/>
        </w:rPr>
        <w:t> </w:t>
      </w:r>
      <w:r>
        <w:rPr>
          <w:sz w:val="21"/>
        </w:rPr>
        <w:t>the</w:t>
      </w:r>
      <w:r>
        <w:rPr>
          <w:spacing w:val="26"/>
          <w:sz w:val="21"/>
        </w:rPr>
        <w:t> </w:t>
      </w:r>
      <w:r>
        <w:rPr>
          <w:sz w:val="21"/>
        </w:rPr>
        <w:t>Concessionaire,</w:t>
      </w:r>
      <w:r>
        <w:rPr>
          <w:spacing w:val="26"/>
          <w:sz w:val="21"/>
        </w:rPr>
        <w:t> </w:t>
      </w:r>
      <w:r>
        <w:rPr>
          <w:sz w:val="21"/>
        </w:rPr>
        <w:t>under</w:t>
      </w:r>
      <w:r>
        <w:rPr>
          <w:spacing w:val="26"/>
          <w:sz w:val="21"/>
        </w:rPr>
        <w:t> </w:t>
      </w:r>
      <w:r>
        <w:rPr>
          <w:sz w:val="21"/>
        </w:rPr>
        <w:t>the</w:t>
      </w:r>
      <w:r>
        <w:rPr>
          <w:spacing w:val="26"/>
          <w:sz w:val="21"/>
        </w:rPr>
        <w:t> </w:t>
      </w:r>
      <w:r>
        <w:rPr>
          <w:sz w:val="21"/>
        </w:rPr>
        <w:t>terms of the law.</w:t>
      </w:r>
    </w:p>
    <w:p>
      <w:pPr>
        <w:pStyle w:val="BodyText"/>
        <w:spacing w:before="152"/>
        <w:rPr>
          <w:sz w:val="21"/>
        </w:rPr>
      </w:pPr>
    </w:p>
    <w:p>
      <w:pPr>
        <w:spacing w:line="213" w:lineRule="auto" w:before="0"/>
        <w:ind w:left="144" w:right="118" w:firstLine="0"/>
        <w:jc w:val="both"/>
        <w:rPr>
          <w:sz w:val="21"/>
        </w:rPr>
      </w:pPr>
      <w:r>
        <w:rPr>
          <w:i/>
          <w:sz w:val="21"/>
        </w:rPr>
        <w:t>Two</w:t>
      </w:r>
      <w:r>
        <w:rPr>
          <w:sz w:val="21"/>
        </w:rPr>
        <w:t>. The revision of this concession contract, as well as any addenda thereto, shall follow the formalities set forth in Section 91 of Administrative Regulation No. 26/2001.</w:t>
      </w:r>
    </w:p>
    <w:p>
      <w:pPr>
        <w:pStyle w:val="BodyText"/>
        <w:spacing w:before="120"/>
        <w:rPr>
          <w:sz w:val="21"/>
        </w:rPr>
      </w:pPr>
    </w:p>
    <w:p>
      <w:pPr>
        <w:pStyle w:val="Heading1"/>
      </w:pPr>
      <w:r>
        <w:rPr/>
        <w:t>CHAPTER </w:t>
      </w:r>
      <w:r>
        <w:rPr>
          <w:spacing w:val="-5"/>
        </w:rPr>
        <w:t>XXI</w:t>
      </w:r>
    </w:p>
    <w:p>
      <w:pPr>
        <w:pStyle w:val="Heading2"/>
        <w:spacing w:before="64"/>
      </w:pPr>
      <w:r>
        <w:rPr/>
        <w:t>Pre-litigation</w:t>
      </w:r>
      <w:r>
        <w:rPr>
          <w:spacing w:val="-5"/>
        </w:rPr>
        <w:t> </w:t>
      </w:r>
      <w:r>
        <w:rPr>
          <w:spacing w:val="-2"/>
        </w:rPr>
        <w:t>phase</w:t>
      </w:r>
    </w:p>
    <w:p>
      <w:pPr>
        <w:pStyle w:val="BodyText"/>
        <w:spacing w:before="83"/>
        <w:rPr>
          <w:b/>
          <w:sz w:val="25"/>
        </w:rPr>
      </w:pPr>
    </w:p>
    <w:p>
      <w:pPr>
        <w:spacing w:before="0"/>
        <w:ind w:left="24" w:right="0" w:firstLine="0"/>
        <w:jc w:val="center"/>
        <w:rPr>
          <w:b/>
          <w:sz w:val="21"/>
        </w:rPr>
      </w:pPr>
      <w:r>
        <w:rPr>
          <w:b/>
          <w:sz w:val="21"/>
        </w:rPr>
        <w:t>Clause</w:t>
      </w:r>
      <w:r>
        <w:rPr>
          <w:b/>
          <w:spacing w:val="13"/>
          <w:sz w:val="21"/>
        </w:rPr>
        <w:t> </w:t>
      </w:r>
      <w:r>
        <w:rPr>
          <w:b/>
          <w:spacing w:val="-5"/>
          <w:sz w:val="21"/>
        </w:rPr>
        <w:t>88</w:t>
      </w:r>
    </w:p>
    <w:p>
      <w:pPr>
        <w:spacing w:before="56"/>
        <w:ind w:left="24" w:right="0" w:firstLine="0"/>
        <w:jc w:val="center"/>
        <w:rPr>
          <w:b/>
          <w:sz w:val="21"/>
        </w:rPr>
      </w:pPr>
      <w:r>
        <w:rPr>
          <w:b/>
          <w:sz w:val="21"/>
        </w:rPr>
        <w:t>Consultations</w:t>
      </w:r>
      <w:r>
        <w:rPr>
          <w:b/>
          <w:spacing w:val="16"/>
          <w:sz w:val="21"/>
        </w:rPr>
        <w:t> </w:t>
      </w:r>
      <w:r>
        <w:rPr>
          <w:b/>
          <w:sz w:val="21"/>
        </w:rPr>
        <w:t>in</w:t>
      </w:r>
      <w:r>
        <w:rPr>
          <w:b/>
          <w:spacing w:val="17"/>
          <w:sz w:val="21"/>
        </w:rPr>
        <w:t> </w:t>
      </w:r>
      <w:r>
        <w:rPr>
          <w:b/>
          <w:sz w:val="21"/>
        </w:rPr>
        <w:t>pre-litigation</w:t>
      </w:r>
      <w:r>
        <w:rPr>
          <w:b/>
          <w:spacing w:val="17"/>
          <w:sz w:val="21"/>
        </w:rPr>
        <w:t> </w:t>
      </w:r>
      <w:r>
        <w:rPr>
          <w:b/>
          <w:spacing w:val="-2"/>
          <w:sz w:val="21"/>
        </w:rPr>
        <w:t>phase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2"/>
        <w:rPr>
          <w:b/>
          <w:sz w:val="20"/>
        </w:rPr>
      </w:pPr>
      <w:r>
        <w:rPr/>
        <mc:AlternateContent>
          <mc:Choice Requires="wps">
            <w:drawing>
              <wp:anchor distT="0" distB="0" distL="0" distR="0" allowOverlap="1" layoutInCell="1" locked="0" behindDoc="1" simplePos="0" relativeHeight="487788032">
                <wp:simplePos x="0" y="0"/>
                <wp:positionH relativeFrom="page">
                  <wp:posOffset>231457</wp:posOffset>
                </wp:positionH>
                <wp:positionV relativeFrom="paragraph">
                  <wp:posOffset>200647</wp:posOffset>
                </wp:positionV>
                <wp:extent cx="7312659" cy="17145"/>
                <wp:effectExtent l="0" t="0" r="0" b="0"/>
                <wp:wrapTopAndBottom/>
                <wp:docPr id="980" name="Group 980"/>
                <wp:cNvGraphicFramePr>
                  <a:graphicFrameLocks/>
                </wp:cNvGraphicFramePr>
                <a:graphic>
                  <a:graphicData uri="http://schemas.microsoft.com/office/word/2010/wordprocessingGroup">
                    <wpg:wgp>
                      <wpg:cNvPr id="980" name="Group 980"/>
                      <wpg:cNvGrpSpPr/>
                      <wpg:grpSpPr>
                        <a:xfrm>
                          <a:off x="0" y="0"/>
                          <a:ext cx="7312659" cy="17145"/>
                          <a:chExt cx="7312659" cy="17145"/>
                        </a:xfrm>
                      </wpg:grpSpPr>
                      <wps:wsp>
                        <wps:cNvPr id="981" name="Graphic 98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82" name="Graphic 982"/>
                        <wps:cNvSpPr/>
                        <wps:spPr>
                          <a:xfrm>
                            <a:off x="-12" y="-2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83" name="Graphic 98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799024pt;width:575.8pt;height:1.35pt;mso-position-horizontal-relative:page;mso-position-vertical-relative:paragraph;z-index:-15528448;mso-wrap-distance-left:0;mso-wrap-distance-right:0" id="docshapegroup978" coordorigin="364,316" coordsize="11516,27">
                <v:rect style="position:absolute;left:364;top:315;width:11516;height:14" id="docshape979" filled="true" fillcolor="#999999" stroked="false">
                  <v:fill type="solid"/>
                </v:rect>
                <v:shape style="position:absolute;left:364;top:315;width:11516;height:27" id="docshape980" coordorigin="364,316" coordsize="11516,27" path="m11880,316l11866,329,364,329,364,343,11866,343,11880,343,11880,329,11880,316xe" filled="true" fillcolor="#ededed" stroked="false">
                  <v:path arrowok="t"/>
                  <v:fill type="solid"/>
                </v:shape>
                <v:shape style="position:absolute;left:364;top:315;width:14;height:27" id="docshape981" coordorigin="364,316" coordsize="14,27" path="m364,343l364,316,378,316,378,329,364,343xe" filled="true" fillcolor="#999999" stroked="false">
                  <v:path arrowok="t"/>
                  <v:fill type="solid"/>
                </v:shape>
                <w10:wrap type="topAndBottom"/>
              </v:group>
            </w:pict>
          </mc:Fallback>
        </mc:AlternateContent>
      </w:r>
    </w:p>
    <w:p>
      <w:pPr>
        <w:spacing w:after="0"/>
        <w:rPr>
          <w:sz w:val="20"/>
        </w:rPr>
        <w:sectPr>
          <w:pgSz w:w="12240" w:h="15840"/>
          <w:pgMar w:top="1820" w:bottom="280" w:left="220" w:right="240"/>
        </w:sectPr>
      </w:pPr>
    </w:p>
    <w:p>
      <w:pPr>
        <w:spacing w:line="213" w:lineRule="auto" w:before="97"/>
        <w:ind w:left="144" w:right="118" w:firstLine="0"/>
        <w:jc w:val="both"/>
        <w:rPr>
          <w:sz w:val="21"/>
        </w:rPr>
      </w:pPr>
      <w:r>
        <w:rPr>
          <w:i/>
          <w:sz w:val="21"/>
        </w:rPr>
        <w:t>One</w:t>
      </w:r>
      <w:r>
        <w:rPr>
          <w:sz w:val="21"/>
        </w:rPr>
        <w:t>. The Parties undertake to hold consultations whenever questions or divergences arise between them regarding the </w:t>
      </w:r>
      <w:r>
        <w:rPr>
          <w:sz w:val="21"/>
        </w:rPr>
        <w:t>validity, application,</w:t>
      </w:r>
      <w:r>
        <w:rPr>
          <w:spacing w:val="32"/>
          <w:sz w:val="21"/>
        </w:rPr>
        <w:t> </w:t>
      </w:r>
      <w:r>
        <w:rPr>
          <w:sz w:val="21"/>
        </w:rPr>
        <w:t>execution,</w:t>
      </w:r>
      <w:r>
        <w:rPr>
          <w:spacing w:val="32"/>
          <w:sz w:val="21"/>
        </w:rPr>
        <w:t> </w:t>
      </w:r>
      <w:r>
        <w:rPr>
          <w:sz w:val="21"/>
        </w:rPr>
        <w:t>interpretation,</w:t>
      </w:r>
      <w:r>
        <w:rPr>
          <w:spacing w:val="32"/>
          <w:sz w:val="21"/>
        </w:rPr>
        <w:t> </w:t>
      </w:r>
      <w:r>
        <w:rPr>
          <w:sz w:val="21"/>
        </w:rPr>
        <w:t>or</w:t>
      </w:r>
      <w:r>
        <w:rPr>
          <w:spacing w:val="32"/>
          <w:sz w:val="21"/>
        </w:rPr>
        <w:t> </w:t>
      </w:r>
      <w:r>
        <w:rPr>
          <w:sz w:val="21"/>
        </w:rPr>
        <w:t>integration</w:t>
      </w:r>
      <w:r>
        <w:rPr>
          <w:spacing w:val="32"/>
          <w:sz w:val="21"/>
        </w:rPr>
        <w:t> </w:t>
      </w:r>
      <w:r>
        <w:rPr>
          <w:sz w:val="21"/>
        </w:rPr>
        <w:t>of</w:t>
      </w:r>
      <w:r>
        <w:rPr>
          <w:spacing w:val="32"/>
          <w:sz w:val="21"/>
        </w:rPr>
        <w:t> </w:t>
      </w:r>
      <w:r>
        <w:rPr>
          <w:sz w:val="21"/>
        </w:rPr>
        <w:t>the</w:t>
      </w:r>
      <w:r>
        <w:rPr>
          <w:spacing w:val="32"/>
          <w:sz w:val="21"/>
        </w:rPr>
        <w:t> </w:t>
      </w:r>
      <w:r>
        <w:rPr>
          <w:sz w:val="21"/>
        </w:rPr>
        <w:t>rules</w:t>
      </w:r>
      <w:r>
        <w:rPr>
          <w:spacing w:val="32"/>
          <w:sz w:val="21"/>
        </w:rPr>
        <w:t> </w:t>
      </w:r>
      <w:r>
        <w:rPr>
          <w:sz w:val="21"/>
        </w:rPr>
        <w:t>that</w:t>
      </w:r>
      <w:r>
        <w:rPr>
          <w:spacing w:val="32"/>
          <w:sz w:val="21"/>
        </w:rPr>
        <w:t> </w:t>
      </w:r>
      <w:r>
        <w:rPr>
          <w:sz w:val="21"/>
        </w:rPr>
        <w:t>govern</w:t>
      </w:r>
      <w:r>
        <w:rPr>
          <w:spacing w:val="32"/>
          <w:sz w:val="21"/>
        </w:rPr>
        <w:t> </w:t>
      </w:r>
      <w:r>
        <w:rPr>
          <w:sz w:val="21"/>
        </w:rPr>
        <w:t>this</w:t>
      </w:r>
      <w:r>
        <w:rPr>
          <w:spacing w:val="32"/>
          <w:sz w:val="21"/>
        </w:rPr>
        <w:t> </w:t>
      </w:r>
      <w:r>
        <w:rPr>
          <w:sz w:val="21"/>
        </w:rPr>
        <w:t>concession</w:t>
      </w:r>
      <w:r>
        <w:rPr>
          <w:spacing w:val="32"/>
          <w:sz w:val="21"/>
        </w:rPr>
        <w:t> </w:t>
      </w:r>
      <w:r>
        <w:rPr>
          <w:sz w:val="21"/>
        </w:rPr>
        <w:t>contract.</w:t>
      </w:r>
    </w:p>
    <w:p>
      <w:pPr>
        <w:pStyle w:val="BodyText"/>
        <w:spacing w:before="152"/>
        <w:rPr>
          <w:sz w:val="21"/>
        </w:rPr>
      </w:pPr>
    </w:p>
    <w:p>
      <w:pPr>
        <w:spacing w:line="213" w:lineRule="auto" w:before="0"/>
        <w:ind w:left="144" w:right="118" w:firstLine="0"/>
        <w:jc w:val="both"/>
        <w:rPr>
          <w:sz w:val="21"/>
        </w:rPr>
      </w:pPr>
      <w:r>
        <w:rPr>
          <w:i/>
          <w:sz w:val="21"/>
        </w:rPr>
        <w:t>Two</w:t>
      </w:r>
      <w:r>
        <w:rPr>
          <w:sz w:val="21"/>
        </w:rPr>
        <w:t>. The issues raised do not exempt the Concessionaire from the timely and full compliance with the provisions of this concession contract</w:t>
      </w:r>
      <w:r>
        <w:rPr>
          <w:spacing w:val="16"/>
          <w:sz w:val="21"/>
        </w:rPr>
        <w:t> </w:t>
      </w:r>
      <w:r>
        <w:rPr>
          <w:sz w:val="21"/>
        </w:rPr>
        <w:t>and</w:t>
      </w:r>
      <w:r>
        <w:rPr>
          <w:spacing w:val="16"/>
          <w:sz w:val="21"/>
        </w:rPr>
        <w:t> </w:t>
      </w:r>
      <w:r>
        <w:rPr>
          <w:sz w:val="21"/>
        </w:rPr>
        <w:t>the</w:t>
      </w:r>
      <w:r>
        <w:rPr>
          <w:spacing w:val="16"/>
          <w:sz w:val="21"/>
        </w:rPr>
        <w:t> </w:t>
      </w:r>
      <w:r>
        <w:rPr>
          <w:sz w:val="21"/>
        </w:rPr>
        <w:t>determinations</w:t>
      </w:r>
      <w:r>
        <w:rPr>
          <w:spacing w:val="16"/>
          <w:sz w:val="21"/>
        </w:rPr>
        <w:t> </w:t>
      </w:r>
      <w:r>
        <w:rPr>
          <w:sz w:val="21"/>
        </w:rPr>
        <w:t>of</w:t>
      </w:r>
      <w:r>
        <w:rPr>
          <w:spacing w:val="16"/>
          <w:sz w:val="21"/>
        </w:rPr>
        <w:t> </w:t>
      </w:r>
      <w:r>
        <w:rPr>
          <w:sz w:val="21"/>
        </w:rPr>
        <w:t>the</w:t>
      </w:r>
      <w:r>
        <w:rPr>
          <w:spacing w:val="16"/>
          <w:sz w:val="21"/>
        </w:rPr>
        <w:t> </w:t>
      </w:r>
      <w:r>
        <w:rPr>
          <w:sz w:val="21"/>
        </w:rPr>
        <w:t>Government</w:t>
      </w:r>
      <w:r>
        <w:rPr>
          <w:spacing w:val="16"/>
          <w:sz w:val="21"/>
        </w:rPr>
        <w:t> </w:t>
      </w:r>
      <w:r>
        <w:rPr>
          <w:sz w:val="21"/>
        </w:rPr>
        <w:t>that</w:t>
      </w:r>
      <w:r>
        <w:rPr>
          <w:spacing w:val="16"/>
          <w:sz w:val="21"/>
        </w:rPr>
        <w:t> </w:t>
      </w:r>
      <w:r>
        <w:rPr>
          <w:sz w:val="21"/>
        </w:rPr>
        <w:t>are</w:t>
      </w:r>
      <w:r>
        <w:rPr>
          <w:spacing w:val="16"/>
          <w:sz w:val="21"/>
        </w:rPr>
        <w:t> </w:t>
      </w:r>
      <w:r>
        <w:rPr>
          <w:sz w:val="21"/>
        </w:rPr>
        <w:t>communicated</w:t>
      </w:r>
      <w:r>
        <w:rPr>
          <w:spacing w:val="16"/>
          <w:sz w:val="21"/>
        </w:rPr>
        <w:t> </w:t>
      </w:r>
      <w:r>
        <w:rPr>
          <w:sz w:val="21"/>
        </w:rPr>
        <w:t>to</w:t>
      </w:r>
      <w:r>
        <w:rPr>
          <w:spacing w:val="16"/>
          <w:sz w:val="21"/>
        </w:rPr>
        <w:t> </w:t>
      </w:r>
      <w:r>
        <w:rPr>
          <w:sz w:val="21"/>
        </w:rPr>
        <w:t>it</w:t>
      </w:r>
      <w:r>
        <w:rPr>
          <w:spacing w:val="16"/>
          <w:sz w:val="21"/>
        </w:rPr>
        <w:t> </w:t>
      </w:r>
      <w:r>
        <w:rPr>
          <w:sz w:val="21"/>
        </w:rPr>
        <w:t>within</w:t>
      </w:r>
      <w:r>
        <w:rPr>
          <w:spacing w:val="16"/>
          <w:sz w:val="21"/>
        </w:rPr>
        <w:t> </w:t>
      </w:r>
      <w:r>
        <w:rPr>
          <w:sz w:val="21"/>
        </w:rPr>
        <w:t>its</w:t>
      </w:r>
      <w:r>
        <w:rPr>
          <w:spacing w:val="16"/>
          <w:sz w:val="21"/>
        </w:rPr>
        <w:t> </w:t>
      </w:r>
      <w:r>
        <w:rPr>
          <w:sz w:val="21"/>
        </w:rPr>
        <w:t>scope,</w:t>
      </w:r>
      <w:r>
        <w:rPr>
          <w:spacing w:val="16"/>
          <w:sz w:val="21"/>
        </w:rPr>
        <w:t> </w:t>
      </w:r>
      <w:r>
        <w:rPr>
          <w:sz w:val="21"/>
        </w:rPr>
        <w:t>nor</w:t>
      </w:r>
      <w:r>
        <w:rPr>
          <w:spacing w:val="16"/>
          <w:sz w:val="21"/>
        </w:rPr>
        <w:t> </w:t>
      </w:r>
      <w:r>
        <w:rPr>
          <w:sz w:val="21"/>
        </w:rPr>
        <w:t>does</w:t>
      </w:r>
      <w:r>
        <w:rPr>
          <w:spacing w:val="16"/>
          <w:sz w:val="21"/>
        </w:rPr>
        <w:t> </w:t>
      </w:r>
      <w:r>
        <w:rPr>
          <w:sz w:val="21"/>
        </w:rPr>
        <w:t>it</w:t>
      </w:r>
      <w:r>
        <w:rPr>
          <w:spacing w:val="16"/>
          <w:sz w:val="21"/>
        </w:rPr>
        <w:t> </w:t>
      </w:r>
      <w:r>
        <w:rPr>
          <w:sz w:val="21"/>
        </w:rPr>
        <w:t>allow</w:t>
      </w:r>
      <w:r>
        <w:rPr>
          <w:spacing w:val="16"/>
          <w:sz w:val="21"/>
        </w:rPr>
        <w:t> </w:t>
      </w:r>
      <w:r>
        <w:rPr>
          <w:sz w:val="21"/>
        </w:rPr>
        <w:t>any</w:t>
      </w:r>
      <w:r>
        <w:rPr>
          <w:spacing w:val="16"/>
          <w:sz w:val="21"/>
        </w:rPr>
        <w:t> </w:t>
      </w:r>
      <w:r>
        <w:rPr>
          <w:sz w:val="21"/>
        </w:rPr>
        <w:t>interruption</w:t>
      </w:r>
      <w:r>
        <w:rPr>
          <w:spacing w:val="16"/>
          <w:sz w:val="21"/>
        </w:rPr>
        <w:t> </w:t>
      </w:r>
      <w:r>
        <w:rPr>
          <w:sz w:val="21"/>
        </w:rPr>
        <w:t>in the development of any aspect of its activity which should continue to be carried out under the terms in force at the date of the submission of the issue.</w:t>
      </w:r>
    </w:p>
    <w:p>
      <w:pPr>
        <w:pStyle w:val="BodyText"/>
        <w:spacing w:before="168"/>
        <w:rPr>
          <w:sz w:val="21"/>
        </w:rPr>
      </w:pPr>
    </w:p>
    <w:p>
      <w:pPr>
        <w:spacing w:line="213" w:lineRule="auto" w:before="0"/>
        <w:ind w:left="144" w:right="118" w:firstLine="0"/>
        <w:jc w:val="both"/>
        <w:rPr>
          <w:sz w:val="21"/>
        </w:rPr>
      </w:pPr>
      <w:r>
        <w:rPr>
          <w:i/>
          <w:sz w:val="21"/>
        </w:rPr>
        <w:t>Three</w:t>
      </w:r>
      <w:r>
        <w:rPr>
          <w:sz w:val="21"/>
        </w:rPr>
        <w:t>.</w:t>
      </w:r>
      <w:r>
        <w:rPr>
          <w:spacing w:val="31"/>
          <w:sz w:val="21"/>
        </w:rPr>
        <w:t> </w:t>
      </w:r>
      <w:r>
        <w:rPr>
          <w:sz w:val="21"/>
        </w:rPr>
        <w:t>The</w:t>
      </w:r>
      <w:r>
        <w:rPr>
          <w:spacing w:val="36"/>
          <w:sz w:val="21"/>
        </w:rPr>
        <w:t> </w:t>
      </w:r>
      <w:r>
        <w:rPr>
          <w:sz w:val="21"/>
        </w:rPr>
        <w:t>provisions</w:t>
      </w:r>
      <w:r>
        <w:rPr>
          <w:spacing w:val="36"/>
          <w:sz w:val="21"/>
        </w:rPr>
        <w:t> </w:t>
      </w:r>
      <w:r>
        <w:rPr>
          <w:sz w:val="21"/>
        </w:rPr>
        <w:t>of</w:t>
      </w:r>
      <w:r>
        <w:rPr>
          <w:spacing w:val="36"/>
          <w:sz w:val="21"/>
        </w:rPr>
        <w:t> </w:t>
      </w:r>
      <w:r>
        <w:rPr>
          <w:sz w:val="21"/>
        </w:rPr>
        <w:t>the</w:t>
      </w:r>
      <w:r>
        <w:rPr>
          <w:spacing w:val="36"/>
          <w:sz w:val="21"/>
        </w:rPr>
        <w:t> </w:t>
      </w:r>
      <w:r>
        <w:rPr>
          <w:sz w:val="21"/>
        </w:rPr>
        <w:t>previous</w:t>
      </w:r>
      <w:r>
        <w:rPr>
          <w:spacing w:val="36"/>
          <w:sz w:val="21"/>
        </w:rPr>
        <w:t> </w:t>
      </w:r>
      <w:r>
        <w:rPr>
          <w:sz w:val="21"/>
        </w:rPr>
        <w:t>paragraph</w:t>
      </w:r>
      <w:r>
        <w:rPr>
          <w:spacing w:val="36"/>
          <w:sz w:val="21"/>
        </w:rPr>
        <w:t> </w:t>
      </w:r>
      <w:r>
        <w:rPr>
          <w:sz w:val="21"/>
        </w:rPr>
        <w:t>regarding</w:t>
      </w:r>
      <w:r>
        <w:rPr>
          <w:spacing w:val="36"/>
          <w:sz w:val="21"/>
        </w:rPr>
        <w:t> </w:t>
      </w:r>
      <w:r>
        <w:rPr>
          <w:sz w:val="21"/>
        </w:rPr>
        <w:t>the</w:t>
      </w:r>
      <w:r>
        <w:rPr>
          <w:spacing w:val="36"/>
          <w:sz w:val="21"/>
        </w:rPr>
        <w:t> </w:t>
      </w:r>
      <w:r>
        <w:rPr>
          <w:sz w:val="21"/>
        </w:rPr>
        <w:t>Concessionaire's</w:t>
      </w:r>
      <w:r>
        <w:rPr>
          <w:spacing w:val="36"/>
          <w:sz w:val="21"/>
        </w:rPr>
        <w:t> </w:t>
      </w:r>
      <w:r>
        <w:rPr>
          <w:sz w:val="21"/>
        </w:rPr>
        <w:t>compliance</w:t>
      </w:r>
      <w:r>
        <w:rPr>
          <w:spacing w:val="36"/>
          <w:sz w:val="21"/>
        </w:rPr>
        <w:t> </w:t>
      </w:r>
      <w:r>
        <w:rPr>
          <w:sz w:val="21"/>
        </w:rPr>
        <w:t>with</w:t>
      </w:r>
      <w:r>
        <w:rPr>
          <w:spacing w:val="36"/>
          <w:sz w:val="21"/>
        </w:rPr>
        <w:t> </w:t>
      </w:r>
      <w:r>
        <w:rPr>
          <w:sz w:val="21"/>
        </w:rPr>
        <w:t>Government</w:t>
      </w:r>
      <w:r>
        <w:rPr>
          <w:spacing w:val="36"/>
          <w:sz w:val="21"/>
        </w:rPr>
        <w:t> </w:t>
      </w:r>
      <w:r>
        <w:rPr>
          <w:sz w:val="21"/>
        </w:rPr>
        <w:t>determinations</w:t>
      </w:r>
      <w:r>
        <w:rPr>
          <w:spacing w:val="36"/>
          <w:sz w:val="21"/>
        </w:rPr>
        <w:t> </w:t>
      </w:r>
      <w:r>
        <w:rPr>
          <w:sz w:val="21"/>
        </w:rPr>
        <w:t>shall also apply to successive determinations on the same matter, even if issued after the date on which the consultations </w:t>
      </w:r>
      <w:r>
        <w:rPr>
          <w:sz w:val="21"/>
        </w:rPr>
        <w:t>commenced, provided</w:t>
      </w:r>
      <w:r>
        <w:rPr>
          <w:spacing w:val="26"/>
          <w:sz w:val="21"/>
        </w:rPr>
        <w:t> </w:t>
      </w:r>
      <w:r>
        <w:rPr>
          <w:sz w:val="21"/>
        </w:rPr>
        <w:t>that</w:t>
      </w:r>
      <w:r>
        <w:rPr>
          <w:spacing w:val="26"/>
          <w:sz w:val="21"/>
        </w:rPr>
        <w:t> </w:t>
      </w:r>
      <w:r>
        <w:rPr>
          <w:sz w:val="21"/>
        </w:rPr>
        <w:t>the</w:t>
      </w:r>
      <w:r>
        <w:rPr>
          <w:spacing w:val="26"/>
          <w:sz w:val="21"/>
        </w:rPr>
        <w:t> </w:t>
      </w:r>
      <w:r>
        <w:rPr>
          <w:sz w:val="21"/>
        </w:rPr>
        <w:t>first</w:t>
      </w:r>
      <w:r>
        <w:rPr>
          <w:spacing w:val="26"/>
          <w:sz w:val="21"/>
        </w:rPr>
        <w:t> </w:t>
      </w:r>
      <w:r>
        <w:rPr>
          <w:sz w:val="21"/>
        </w:rPr>
        <w:t>of</w:t>
      </w:r>
      <w:r>
        <w:rPr>
          <w:spacing w:val="26"/>
          <w:sz w:val="21"/>
        </w:rPr>
        <w:t> </w:t>
      </w:r>
      <w:r>
        <w:rPr>
          <w:sz w:val="21"/>
        </w:rPr>
        <w:t>these</w:t>
      </w:r>
      <w:r>
        <w:rPr>
          <w:spacing w:val="26"/>
          <w:sz w:val="21"/>
        </w:rPr>
        <w:t> </w:t>
      </w:r>
      <w:r>
        <w:rPr>
          <w:sz w:val="21"/>
        </w:rPr>
        <w:t>successive</w:t>
      </w:r>
      <w:r>
        <w:rPr>
          <w:spacing w:val="26"/>
          <w:sz w:val="21"/>
        </w:rPr>
        <w:t> </w:t>
      </w:r>
      <w:r>
        <w:rPr>
          <w:sz w:val="21"/>
        </w:rPr>
        <w:t>determinations</w:t>
      </w:r>
      <w:r>
        <w:rPr>
          <w:spacing w:val="26"/>
          <w:sz w:val="21"/>
        </w:rPr>
        <w:t> </w:t>
      </w:r>
      <w:r>
        <w:rPr>
          <w:sz w:val="21"/>
        </w:rPr>
        <w:t>was</w:t>
      </w:r>
      <w:r>
        <w:rPr>
          <w:spacing w:val="26"/>
          <w:sz w:val="21"/>
        </w:rPr>
        <w:t> </w:t>
      </w:r>
      <w:r>
        <w:rPr>
          <w:sz w:val="21"/>
        </w:rPr>
        <w:t>communicated</w:t>
      </w:r>
      <w:r>
        <w:rPr>
          <w:spacing w:val="26"/>
          <w:sz w:val="21"/>
        </w:rPr>
        <w:t> </w:t>
      </w:r>
      <w:r>
        <w:rPr>
          <w:sz w:val="21"/>
        </w:rPr>
        <w:t>to</w:t>
      </w:r>
      <w:r>
        <w:rPr>
          <w:spacing w:val="26"/>
          <w:sz w:val="21"/>
        </w:rPr>
        <w:t> </w:t>
      </w:r>
      <w:r>
        <w:rPr>
          <w:sz w:val="21"/>
        </w:rPr>
        <w:t>the</w:t>
      </w:r>
      <w:r>
        <w:rPr>
          <w:spacing w:val="26"/>
          <w:sz w:val="21"/>
        </w:rPr>
        <w:t> </w:t>
      </w:r>
      <w:r>
        <w:rPr>
          <w:sz w:val="21"/>
        </w:rPr>
        <w:t>Concessionaire</w:t>
      </w:r>
      <w:r>
        <w:rPr>
          <w:spacing w:val="26"/>
          <w:sz w:val="21"/>
        </w:rPr>
        <w:t> </w:t>
      </w:r>
      <w:r>
        <w:rPr>
          <w:sz w:val="21"/>
        </w:rPr>
        <w:t>prior</w:t>
      </w:r>
      <w:r>
        <w:rPr>
          <w:spacing w:val="26"/>
          <w:sz w:val="21"/>
        </w:rPr>
        <w:t> </w:t>
      </w:r>
      <w:r>
        <w:rPr>
          <w:sz w:val="21"/>
        </w:rPr>
        <w:t>to</w:t>
      </w:r>
      <w:r>
        <w:rPr>
          <w:spacing w:val="26"/>
          <w:sz w:val="21"/>
        </w:rPr>
        <w:t> </w:t>
      </w:r>
      <w:r>
        <w:rPr>
          <w:sz w:val="21"/>
        </w:rPr>
        <w:t>that</w:t>
      </w:r>
      <w:r>
        <w:rPr>
          <w:spacing w:val="26"/>
          <w:sz w:val="21"/>
        </w:rPr>
        <w:t> </w:t>
      </w:r>
      <w:r>
        <w:rPr>
          <w:sz w:val="21"/>
        </w:rPr>
        <w:t>date.</w:t>
      </w:r>
    </w:p>
    <w:p>
      <w:pPr>
        <w:pStyle w:val="BodyText"/>
        <w:spacing w:before="121"/>
        <w:rPr>
          <w:sz w:val="21"/>
        </w:rPr>
      </w:pPr>
    </w:p>
    <w:p>
      <w:pPr>
        <w:pStyle w:val="Heading1"/>
      </w:pPr>
      <w:r>
        <w:rPr/>
        <w:t>CHAPTER </w:t>
      </w:r>
      <w:r>
        <w:rPr>
          <w:spacing w:val="-4"/>
        </w:rPr>
        <w:t>XXII</w:t>
      </w:r>
    </w:p>
    <w:p>
      <w:pPr>
        <w:pStyle w:val="Heading2"/>
      </w:pPr>
      <w:r>
        <w:rPr/>
        <w:t>Final </w:t>
      </w:r>
      <w:r>
        <w:rPr>
          <w:spacing w:val="-2"/>
        </w:rPr>
        <w:t>Provisions</w:t>
      </w:r>
    </w:p>
    <w:p>
      <w:pPr>
        <w:pStyle w:val="BodyText"/>
        <w:spacing w:before="83"/>
        <w:rPr>
          <w:b/>
          <w:sz w:val="25"/>
        </w:rPr>
      </w:pPr>
    </w:p>
    <w:p>
      <w:pPr>
        <w:spacing w:before="1"/>
        <w:ind w:left="24" w:right="0" w:firstLine="0"/>
        <w:jc w:val="center"/>
        <w:rPr>
          <w:b/>
          <w:sz w:val="21"/>
        </w:rPr>
      </w:pPr>
      <w:r>
        <w:rPr>
          <w:b/>
          <w:sz w:val="21"/>
        </w:rPr>
        <w:t>Clause</w:t>
      </w:r>
      <w:r>
        <w:rPr>
          <w:b/>
          <w:spacing w:val="13"/>
          <w:sz w:val="21"/>
        </w:rPr>
        <w:t> </w:t>
      </w:r>
      <w:r>
        <w:rPr>
          <w:b/>
          <w:spacing w:val="-5"/>
          <w:sz w:val="21"/>
        </w:rPr>
        <w:t>89</w:t>
      </w:r>
    </w:p>
    <w:p>
      <w:pPr>
        <w:spacing w:before="69"/>
        <w:ind w:left="24" w:right="0" w:firstLine="0"/>
        <w:jc w:val="center"/>
        <w:rPr>
          <w:b/>
          <w:sz w:val="21"/>
        </w:rPr>
      </w:pPr>
      <w:r>
        <w:rPr>
          <w:b/>
          <w:sz w:val="21"/>
        </w:rPr>
        <w:t>Securing</w:t>
      </w:r>
      <w:r>
        <w:rPr>
          <w:b/>
          <w:spacing w:val="13"/>
          <w:sz w:val="21"/>
        </w:rPr>
        <w:t> </w:t>
      </w:r>
      <w:r>
        <w:rPr>
          <w:b/>
          <w:sz w:val="21"/>
        </w:rPr>
        <w:t>licenses,</w:t>
      </w:r>
      <w:r>
        <w:rPr>
          <w:b/>
          <w:spacing w:val="14"/>
          <w:sz w:val="21"/>
        </w:rPr>
        <w:t> </w:t>
      </w:r>
      <w:r>
        <w:rPr>
          <w:b/>
          <w:sz w:val="21"/>
        </w:rPr>
        <w:t>permits,</w:t>
      </w:r>
      <w:r>
        <w:rPr>
          <w:b/>
          <w:spacing w:val="13"/>
          <w:sz w:val="21"/>
        </w:rPr>
        <w:t> </w:t>
      </w:r>
      <w:r>
        <w:rPr>
          <w:b/>
          <w:sz w:val="21"/>
        </w:rPr>
        <w:t>or</w:t>
      </w:r>
      <w:r>
        <w:rPr>
          <w:b/>
          <w:spacing w:val="9"/>
          <w:sz w:val="21"/>
        </w:rPr>
        <w:t> </w:t>
      </w:r>
      <w:r>
        <w:rPr>
          <w:b/>
          <w:spacing w:val="-2"/>
          <w:sz w:val="21"/>
        </w:rPr>
        <w:t>authorizations</w:t>
      </w:r>
    </w:p>
    <w:p>
      <w:pPr>
        <w:pStyle w:val="BodyText"/>
        <w:spacing w:before="145"/>
        <w:rPr>
          <w:b/>
          <w:sz w:val="21"/>
        </w:rPr>
      </w:pPr>
    </w:p>
    <w:p>
      <w:pPr>
        <w:spacing w:line="213" w:lineRule="auto" w:before="1"/>
        <w:ind w:left="144" w:right="119" w:firstLine="0"/>
        <w:jc w:val="both"/>
        <w:rPr>
          <w:sz w:val="21"/>
        </w:rPr>
      </w:pPr>
      <w:r>
        <w:rPr>
          <w:i/>
          <w:sz w:val="21"/>
        </w:rPr>
        <w:t>One</w:t>
      </w:r>
      <w:r>
        <w:rPr>
          <w:sz w:val="21"/>
        </w:rPr>
        <w:t>. This concession contract does not exempt the Concessionaire from applying for, paying for, and/or endeavoring to obtain all licenses, permits, or authorizations necessary to carry out any aspect of its activity or for the fulfilment of the obligations foreseen in</w:t>
      </w:r>
      <w:r>
        <w:rPr>
          <w:spacing w:val="80"/>
          <w:sz w:val="21"/>
        </w:rPr>
        <w:t> </w:t>
      </w:r>
      <w:r>
        <w:rPr>
          <w:sz w:val="21"/>
        </w:rPr>
        <w:t>this</w:t>
      </w:r>
      <w:r>
        <w:rPr>
          <w:spacing w:val="23"/>
          <w:sz w:val="21"/>
        </w:rPr>
        <w:t> </w:t>
      </w:r>
      <w:r>
        <w:rPr>
          <w:sz w:val="21"/>
        </w:rPr>
        <w:t>concession</w:t>
      </w:r>
      <w:r>
        <w:rPr>
          <w:spacing w:val="23"/>
          <w:sz w:val="21"/>
        </w:rPr>
        <w:t> </w:t>
      </w:r>
      <w:r>
        <w:rPr>
          <w:sz w:val="21"/>
        </w:rPr>
        <w:t>contract,</w:t>
      </w:r>
      <w:r>
        <w:rPr>
          <w:spacing w:val="23"/>
          <w:sz w:val="21"/>
        </w:rPr>
        <w:t> </w:t>
      </w:r>
      <w:r>
        <w:rPr>
          <w:sz w:val="21"/>
        </w:rPr>
        <w:t>as</w:t>
      </w:r>
      <w:r>
        <w:rPr>
          <w:spacing w:val="23"/>
          <w:sz w:val="21"/>
        </w:rPr>
        <w:t> </w:t>
      </w:r>
      <w:r>
        <w:rPr>
          <w:sz w:val="21"/>
        </w:rPr>
        <w:t>well</w:t>
      </w:r>
      <w:r>
        <w:rPr>
          <w:spacing w:val="23"/>
          <w:sz w:val="21"/>
        </w:rPr>
        <w:t> </w:t>
      </w:r>
      <w:r>
        <w:rPr>
          <w:sz w:val="21"/>
        </w:rPr>
        <w:t>as</w:t>
      </w:r>
      <w:r>
        <w:rPr>
          <w:spacing w:val="23"/>
          <w:sz w:val="21"/>
        </w:rPr>
        <w:t> </w:t>
      </w:r>
      <w:r>
        <w:rPr>
          <w:sz w:val="21"/>
        </w:rPr>
        <w:t>from</w:t>
      </w:r>
      <w:r>
        <w:rPr>
          <w:spacing w:val="23"/>
          <w:sz w:val="21"/>
        </w:rPr>
        <w:t> </w:t>
      </w:r>
      <w:r>
        <w:rPr>
          <w:sz w:val="21"/>
        </w:rPr>
        <w:t>observing</w:t>
      </w:r>
      <w:r>
        <w:rPr>
          <w:spacing w:val="23"/>
          <w:sz w:val="21"/>
        </w:rPr>
        <w:t> </w:t>
      </w:r>
      <w:r>
        <w:rPr>
          <w:sz w:val="21"/>
        </w:rPr>
        <w:t>or</w:t>
      </w:r>
      <w:r>
        <w:rPr>
          <w:spacing w:val="23"/>
          <w:sz w:val="21"/>
        </w:rPr>
        <w:t> </w:t>
      </w:r>
      <w:r>
        <w:rPr>
          <w:sz w:val="21"/>
        </w:rPr>
        <w:t>fulfilling</w:t>
      </w:r>
      <w:r>
        <w:rPr>
          <w:spacing w:val="23"/>
          <w:sz w:val="21"/>
        </w:rPr>
        <w:t> </w:t>
      </w:r>
      <w:r>
        <w:rPr>
          <w:sz w:val="21"/>
        </w:rPr>
        <w:t>all</w:t>
      </w:r>
      <w:r>
        <w:rPr>
          <w:spacing w:val="23"/>
          <w:sz w:val="21"/>
        </w:rPr>
        <w:t> </w:t>
      </w:r>
      <w:r>
        <w:rPr>
          <w:sz w:val="21"/>
        </w:rPr>
        <w:t>the</w:t>
      </w:r>
      <w:r>
        <w:rPr>
          <w:spacing w:val="23"/>
          <w:sz w:val="21"/>
        </w:rPr>
        <w:t> </w:t>
      </w:r>
      <w:r>
        <w:rPr>
          <w:sz w:val="21"/>
        </w:rPr>
        <w:t>requirements</w:t>
      </w:r>
      <w:r>
        <w:rPr>
          <w:spacing w:val="23"/>
          <w:sz w:val="21"/>
        </w:rPr>
        <w:t> </w:t>
      </w:r>
      <w:r>
        <w:rPr>
          <w:sz w:val="21"/>
        </w:rPr>
        <w:t>necessary</w:t>
      </w:r>
      <w:r>
        <w:rPr>
          <w:spacing w:val="23"/>
          <w:sz w:val="21"/>
        </w:rPr>
        <w:t> </w:t>
      </w:r>
      <w:r>
        <w:rPr>
          <w:sz w:val="21"/>
        </w:rPr>
        <w:t>to</w:t>
      </w:r>
      <w:r>
        <w:rPr>
          <w:spacing w:val="23"/>
          <w:sz w:val="21"/>
        </w:rPr>
        <w:t> </w:t>
      </w:r>
      <w:r>
        <w:rPr>
          <w:sz w:val="21"/>
        </w:rPr>
        <w:t>obtain</w:t>
      </w:r>
      <w:r>
        <w:rPr>
          <w:spacing w:val="23"/>
          <w:sz w:val="21"/>
        </w:rPr>
        <w:t> </w:t>
      </w:r>
      <w:r>
        <w:rPr>
          <w:sz w:val="21"/>
        </w:rPr>
        <w:t>and</w:t>
      </w:r>
      <w:r>
        <w:rPr>
          <w:spacing w:val="23"/>
          <w:sz w:val="21"/>
        </w:rPr>
        <w:t> </w:t>
      </w:r>
      <w:r>
        <w:rPr>
          <w:sz w:val="21"/>
        </w:rPr>
        <w:t>maintain</w:t>
      </w:r>
      <w:r>
        <w:rPr>
          <w:spacing w:val="23"/>
          <w:sz w:val="21"/>
        </w:rPr>
        <w:t> </w:t>
      </w:r>
      <w:r>
        <w:rPr>
          <w:sz w:val="21"/>
        </w:rPr>
        <w:t>their</w:t>
      </w:r>
      <w:r>
        <w:rPr>
          <w:spacing w:val="23"/>
          <w:sz w:val="21"/>
        </w:rPr>
        <w:t> </w:t>
      </w:r>
      <w:r>
        <w:rPr>
          <w:sz w:val="21"/>
        </w:rPr>
        <w:t>validity.</w:t>
      </w:r>
    </w:p>
    <w:p>
      <w:pPr>
        <w:pStyle w:val="BodyText"/>
        <w:spacing w:before="153"/>
        <w:rPr>
          <w:sz w:val="21"/>
        </w:rPr>
      </w:pPr>
    </w:p>
    <w:p>
      <w:pPr>
        <w:spacing w:line="213" w:lineRule="auto" w:before="0"/>
        <w:ind w:left="144" w:right="118" w:firstLine="0"/>
        <w:jc w:val="both"/>
        <w:rPr>
          <w:sz w:val="21"/>
        </w:rPr>
      </w:pPr>
      <w:r>
        <w:rPr>
          <w:i/>
          <w:sz w:val="21"/>
        </w:rPr>
        <w:t>Two</w:t>
      </w:r>
      <w:r>
        <w:rPr>
          <w:sz w:val="21"/>
        </w:rPr>
        <w:t>. The</w:t>
      </w:r>
      <w:r>
        <w:rPr>
          <w:spacing w:val="40"/>
          <w:sz w:val="21"/>
        </w:rPr>
        <w:t> </w:t>
      </w:r>
      <w:r>
        <w:rPr>
          <w:sz w:val="21"/>
        </w:rPr>
        <w:t>Concessionaire</w:t>
      </w:r>
      <w:r>
        <w:rPr>
          <w:spacing w:val="40"/>
          <w:sz w:val="21"/>
        </w:rPr>
        <w:t> </w:t>
      </w:r>
      <w:r>
        <w:rPr>
          <w:sz w:val="21"/>
        </w:rPr>
        <w:t>shall</w:t>
      </w:r>
      <w:r>
        <w:rPr>
          <w:spacing w:val="40"/>
          <w:sz w:val="21"/>
        </w:rPr>
        <w:t> </w:t>
      </w:r>
      <w:r>
        <w:rPr>
          <w:sz w:val="21"/>
        </w:rPr>
        <w:t>immediately</w:t>
      </w:r>
      <w:r>
        <w:rPr>
          <w:spacing w:val="40"/>
          <w:sz w:val="21"/>
        </w:rPr>
        <w:t> </w:t>
      </w:r>
      <w:r>
        <w:rPr>
          <w:sz w:val="21"/>
        </w:rPr>
        <w:t>inform</w:t>
      </w:r>
      <w:r>
        <w:rPr>
          <w:spacing w:val="40"/>
          <w:sz w:val="21"/>
        </w:rPr>
        <w:t> </w:t>
      </w:r>
      <w:r>
        <w:rPr>
          <w:sz w:val="21"/>
        </w:rPr>
        <w:t>the</w:t>
      </w:r>
      <w:r>
        <w:rPr>
          <w:spacing w:val="40"/>
          <w:sz w:val="21"/>
        </w:rPr>
        <w:t> </w:t>
      </w:r>
      <w:r>
        <w:rPr>
          <w:sz w:val="21"/>
        </w:rPr>
        <w:t>Government</w:t>
      </w:r>
      <w:r>
        <w:rPr>
          <w:spacing w:val="40"/>
          <w:sz w:val="21"/>
        </w:rPr>
        <w:t> </w:t>
      </w:r>
      <w:r>
        <w:rPr>
          <w:sz w:val="21"/>
        </w:rPr>
        <w:t>if</w:t>
      </w:r>
      <w:r>
        <w:rPr>
          <w:spacing w:val="40"/>
          <w:sz w:val="21"/>
        </w:rPr>
        <w:t> </w:t>
      </w:r>
      <w:r>
        <w:rPr>
          <w:sz w:val="21"/>
        </w:rPr>
        <w:t>any</w:t>
      </w:r>
      <w:r>
        <w:rPr>
          <w:spacing w:val="40"/>
          <w:sz w:val="21"/>
        </w:rPr>
        <w:t> </w:t>
      </w:r>
      <w:r>
        <w:rPr>
          <w:sz w:val="21"/>
        </w:rPr>
        <w:t>licenses,</w:t>
      </w:r>
      <w:r>
        <w:rPr>
          <w:spacing w:val="40"/>
          <w:sz w:val="21"/>
        </w:rPr>
        <w:t> </w:t>
      </w:r>
      <w:r>
        <w:rPr>
          <w:sz w:val="21"/>
        </w:rPr>
        <w:t>permits,</w:t>
      </w:r>
      <w:r>
        <w:rPr>
          <w:spacing w:val="40"/>
          <w:sz w:val="21"/>
        </w:rPr>
        <w:t> </w:t>
      </w:r>
      <w:r>
        <w:rPr>
          <w:sz w:val="21"/>
        </w:rPr>
        <w:t>or</w:t>
      </w:r>
      <w:r>
        <w:rPr>
          <w:spacing w:val="40"/>
          <w:sz w:val="21"/>
        </w:rPr>
        <w:t> </w:t>
      </w:r>
      <w:r>
        <w:rPr>
          <w:sz w:val="21"/>
        </w:rPr>
        <w:t>authorizations</w:t>
      </w:r>
      <w:r>
        <w:rPr>
          <w:spacing w:val="40"/>
          <w:sz w:val="21"/>
        </w:rPr>
        <w:t> </w:t>
      </w:r>
      <w:r>
        <w:rPr>
          <w:sz w:val="21"/>
        </w:rPr>
        <w:t>referred</w:t>
      </w:r>
      <w:r>
        <w:rPr>
          <w:spacing w:val="40"/>
          <w:sz w:val="21"/>
        </w:rPr>
        <w:t> </w:t>
      </w:r>
      <w:r>
        <w:rPr>
          <w:sz w:val="21"/>
        </w:rPr>
        <w:t>to</w:t>
      </w:r>
      <w:r>
        <w:rPr>
          <w:spacing w:val="40"/>
          <w:sz w:val="21"/>
        </w:rPr>
        <w:t> </w:t>
      </w:r>
      <w:r>
        <w:rPr>
          <w:sz w:val="21"/>
        </w:rPr>
        <w:t>in</w:t>
      </w:r>
      <w:r>
        <w:rPr>
          <w:spacing w:val="40"/>
          <w:sz w:val="21"/>
        </w:rPr>
        <w:t> </w:t>
      </w:r>
      <w:r>
        <w:rPr>
          <w:sz w:val="21"/>
        </w:rPr>
        <w:t>the previous</w:t>
      </w:r>
      <w:r>
        <w:rPr>
          <w:spacing w:val="40"/>
          <w:sz w:val="21"/>
        </w:rPr>
        <w:t> </w:t>
      </w:r>
      <w:r>
        <w:rPr>
          <w:sz w:val="21"/>
        </w:rPr>
        <w:t>paragraph</w:t>
      </w:r>
      <w:r>
        <w:rPr>
          <w:spacing w:val="40"/>
          <w:sz w:val="21"/>
        </w:rPr>
        <w:t> </w:t>
      </w:r>
      <w:r>
        <w:rPr>
          <w:sz w:val="21"/>
        </w:rPr>
        <w:t>are</w:t>
      </w:r>
      <w:r>
        <w:rPr>
          <w:spacing w:val="40"/>
          <w:sz w:val="21"/>
        </w:rPr>
        <w:t> </w:t>
      </w:r>
      <w:r>
        <w:rPr>
          <w:sz w:val="21"/>
        </w:rPr>
        <w:t>withdrawn</w:t>
      </w:r>
      <w:r>
        <w:rPr>
          <w:spacing w:val="40"/>
          <w:sz w:val="21"/>
        </w:rPr>
        <w:t> </w:t>
      </w:r>
      <w:r>
        <w:rPr>
          <w:sz w:val="21"/>
        </w:rPr>
        <w:t>are</w:t>
      </w:r>
      <w:r>
        <w:rPr>
          <w:spacing w:val="40"/>
          <w:sz w:val="21"/>
        </w:rPr>
        <w:t> </w:t>
      </w:r>
      <w:r>
        <w:rPr>
          <w:sz w:val="21"/>
        </w:rPr>
        <w:t>set</w:t>
      </w:r>
      <w:r>
        <w:rPr>
          <w:spacing w:val="40"/>
          <w:sz w:val="21"/>
        </w:rPr>
        <w:t> </w:t>
      </w:r>
      <w:r>
        <w:rPr>
          <w:sz w:val="21"/>
        </w:rPr>
        <w:t>to</w:t>
      </w:r>
      <w:r>
        <w:rPr>
          <w:spacing w:val="40"/>
          <w:sz w:val="21"/>
        </w:rPr>
        <w:t> </w:t>
      </w:r>
      <w:r>
        <w:rPr>
          <w:sz w:val="21"/>
        </w:rPr>
        <w:t>expire,</w:t>
      </w:r>
      <w:r>
        <w:rPr>
          <w:spacing w:val="40"/>
          <w:sz w:val="21"/>
        </w:rPr>
        <w:t> </w:t>
      </w:r>
      <w:r>
        <w:rPr>
          <w:sz w:val="21"/>
        </w:rPr>
        <w:t>are</w:t>
      </w:r>
      <w:r>
        <w:rPr>
          <w:spacing w:val="40"/>
          <w:sz w:val="21"/>
        </w:rPr>
        <w:t> </w:t>
      </w:r>
      <w:r>
        <w:rPr>
          <w:sz w:val="21"/>
        </w:rPr>
        <w:t>suspended</w:t>
      </w:r>
      <w:r>
        <w:rPr>
          <w:spacing w:val="40"/>
          <w:sz w:val="21"/>
        </w:rPr>
        <w:t> </w:t>
      </w:r>
      <w:r>
        <w:rPr>
          <w:sz w:val="21"/>
        </w:rPr>
        <w:t>or</w:t>
      </w:r>
      <w:r>
        <w:rPr>
          <w:spacing w:val="40"/>
          <w:sz w:val="21"/>
        </w:rPr>
        <w:t> </w:t>
      </w:r>
      <w:r>
        <w:rPr>
          <w:sz w:val="21"/>
        </w:rPr>
        <w:t>revoked,</w:t>
      </w:r>
      <w:r>
        <w:rPr>
          <w:spacing w:val="40"/>
          <w:sz w:val="21"/>
        </w:rPr>
        <w:t> </w:t>
      </w:r>
      <w:r>
        <w:rPr>
          <w:sz w:val="21"/>
        </w:rPr>
        <w:t>or</w:t>
      </w:r>
      <w:r>
        <w:rPr>
          <w:spacing w:val="40"/>
          <w:sz w:val="21"/>
        </w:rPr>
        <w:t> </w:t>
      </w:r>
      <w:r>
        <w:rPr>
          <w:sz w:val="21"/>
        </w:rPr>
        <w:t>cease</w:t>
      </w:r>
      <w:r>
        <w:rPr>
          <w:spacing w:val="40"/>
          <w:sz w:val="21"/>
        </w:rPr>
        <w:t> </w:t>
      </w:r>
      <w:r>
        <w:rPr>
          <w:sz w:val="21"/>
        </w:rPr>
        <w:t>to</w:t>
      </w:r>
      <w:r>
        <w:rPr>
          <w:spacing w:val="40"/>
          <w:sz w:val="21"/>
        </w:rPr>
        <w:t> </w:t>
      </w:r>
      <w:r>
        <w:rPr>
          <w:sz w:val="21"/>
        </w:rPr>
        <w:t>produce</w:t>
      </w:r>
      <w:r>
        <w:rPr>
          <w:spacing w:val="40"/>
          <w:sz w:val="21"/>
        </w:rPr>
        <w:t> </w:t>
      </w:r>
      <w:r>
        <w:rPr>
          <w:sz w:val="21"/>
        </w:rPr>
        <w:t>their</w:t>
      </w:r>
      <w:r>
        <w:rPr>
          <w:spacing w:val="40"/>
          <w:sz w:val="21"/>
        </w:rPr>
        <w:t> </w:t>
      </w:r>
      <w:r>
        <w:rPr>
          <w:sz w:val="21"/>
        </w:rPr>
        <w:t>effects</w:t>
      </w:r>
      <w:r>
        <w:rPr>
          <w:spacing w:val="40"/>
          <w:sz w:val="21"/>
        </w:rPr>
        <w:t> </w:t>
      </w:r>
      <w:r>
        <w:rPr>
          <w:sz w:val="21"/>
        </w:rPr>
        <w:t>for</w:t>
      </w:r>
      <w:r>
        <w:rPr>
          <w:spacing w:val="40"/>
          <w:sz w:val="21"/>
        </w:rPr>
        <w:t> </w:t>
      </w:r>
      <w:r>
        <w:rPr>
          <w:sz w:val="21"/>
        </w:rPr>
        <w:t>any</w:t>
      </w:r>
      <w:r>
        <w:rPr>
          <w:spacing w:val="40"/>
          <w:sz w:val="21"/>
        </w:rPr>
        <w:t> </w:t>
      </w:r>
      <w:r>
        <w:rPr>
          <w:sz w:val="21"/>
        </w:rPr>
        <w:t>reason, reporting</w:t>
      </w:r>
      <w:r>
        <w:rPr>
          <w:spacing w:val="25"/>
          <w:sz w:val="21"/>
        </w:rPr>
        <w:t> </w:t>
      </w:r>
      <w:r>
        <w:rPr>
          <w:sz w:val="21"/>
        </w:rPr>
        <w:t>immediately</w:t>
      </w:r>
      <w:r>
        <w:rPr>
          <w:spacing w:val="25"/>
          <w:sz w:val="21"/>
        </w:rPr>
        <w:t> </w:t>
      </w:r>
      <w:r>
        <w:rPr>
          <w:sz w:val="21"/>
        </w:rPr>
        <w:t>what</w:t>
      </w:r>
      <w:r>
        <w:rPr>
          <w:spacing w:val="25"/>
          <w:sz w:val="21"/>
        </w:rPr>
        <w:t> </w:t>
      </w:r>
      <w:r>
        <w:rPr>
          <w:sz w:val="21"/>
        </w:rPr>
        <w:t>measures</w:t>
      </w:r>
      <w:r>
        <w:rPr>
          <w:spacing w:val="25"/>
          <w:sz w:val="21"/>
        </w:rPr>
        <w:t> </w:t>
      </w:r>
      <w:r>
        <w:rPr>
          <w:sz w:val="21"/>
        </w:rPr>
        <w:t>it</w:t>
      </w:r>
      <w:r>
        <w:rPr>
          <w:spacing w:val="25"/>
          <w:sz w:val="21"/>
        </w:rPr>
        <w:t> </w:t>
      </w:r>
      <w:r>
        <w:rPr>
          <w:sz w:val="21"/>
        </w:rPr>
        <w:t>has</w:t>
      </w:r>
      <w:r>
        <w:rPr>
          <w:spacing w:val="25"/>
          <w:sz w:val="21"/>
        </w:rPr>
        <w:t> </w:t>
      </w:r>
      <w:r>
        <w:rPr>
          <w:sz w:val="21"/>
        </w:rPr>
        <w:t>taken</w:t>
      </w:r>
      <w:r>
        <w:rPr>
          <w:spacing w:val="25"/>
          <w:sz w:val="21"/>
        </w:rPr>
        <w:t> </w:t>
      </w:r>
      <w:r>
        <w:rPr>
          <w:sz w:val="21"/>
        </w:rPr>
        <w:t>or</w:t>
      </w:r>
      <w:r>
        <w:rPr>
          <w:spacing w:val="25"/>
          <w:sz w:val="21"/>
        </w:rPr>
        <w:t> </w:t>
      </w:r>
      <w:r>
        <w:rPr>
          <w:sz w:val="21"/>
        </w:rPr>
        <w:t>will</w:t>
      </w:r>
      <w:r>
        <w:rPr>
          <w:spacing w:val="25"/>
          <w:sz w:val="21"/>
        </w:rPr>
        <w:t> </w:t>
      </w:r>
      <w:r>
        <w:rPr>
          <w:sz w:val="21"/>
        </w:rPr>
        <w:t>take</w:t>
      </w:r>
      <w:r>
        <w:rPr>
          <w:spacing w:val="25"/>
          <w:sz w:val="21"/>
        </w:rPr>
        <w:t> </w:t>
      </w:r>
      <w:r>
        <w:rPr>
          <w:sz w:val="21"/>
        </w:rPr>
        <w:t>to</w:t>
      </w:r>
      <w:r>
        <w:rPr>
          <w:spacing w:val="25"/>
          <w:sz w:val="21"/>
        </w:rPr>
        <w:t> </w:t>
      </w:r>
      <w:r>
        <w:rPr>
          <w:sz w:val="21"/>
        </w:rPr>
        <w:t>restore</w:t>
      </w:r>
      <w:r>
        <w:rPr>
          <w:spacing w:val="25"/>
          <w:sz w:val="21"/>
        </w:rPr>
        <w:t> </w:t>
      </w:r>
      <w:r>
        <w:rPr>
          <w:sz w:val="21"/>
        </w:rPr>
        <w:t>or</w:t>
      </w:r>
      <w:r>
        <w:rPr>
          <w:spacing w:val="25"/>
          <w:sz w:val="21"/>
        </w:rPr>
        <w:t> </w:t>
      </w:r>
      <w:r>
        <w:rPr>
          <w:sz w:val="21"/>
        </w:rPr>
        <w:t>reactivate</w:t>
      </w:r>
      <w:r>
        <w:rPr>
          <w:spacing w:val="25"/>
          <w:sz w:val="21"/>
        </w:rPr>
        <w:t> </w:t>
      </w:r>
      <w:r>
        <w:rPr>
          <w:sz w:val="21"/>
        </w:rPr>
        <w:t>such</w:t>
      </w:r>
      <w:r>
        <w:rPr>
          <w:spacing w:val="25"/>
          <w:sz w:val="21"/>
        </w:rPr>
        <w:t> </w:t>
      </w:r>
      <w:r>
        <w:rPr>
          <w:sz w:val="21"/>
        </w:rPr>
        <w:t>licenses,</w:t>
      </w:r>
      <w:r>
        <w:rPr>
          <w:spacing w:val="25"/>
          <w:sz w:val="21"/>
        </w:rPr>
        <w:t> </w:t>
      </w:r>
      <w:r>
        <w:rPr>
          <w:sz w:val="21"/>
        </w:rPr>
        <w:t>permits</w:t>
      </w:r>
      <w:r>
        <w:rPr>
          <w:spacing w:val="25"/>
          <w:sz w:val="21"/>
        </w:rPr>
        <w:t> </w:t>
      </w:r>
      <w:r>
        <w:rPr>
          <w:sz w:val="21"/>
        </w:rPr>
        <w:t>or</w:t>
      </w:r>
      <w:r>
        <w:rPr>
          <w:spacing w:val="25"/>
          <w:sz w:val="21"/>
        </w:rPr>
        <w:t> </w:t>
      </w:r>
      <w:r>
        <w:rPr>
          <w:sz w:val="21"/>
        </w:rPr>
        <w:t>authorizations.</w:t>
      </w:r>
    </w:p>
    <w:p>
      <w:pPr>
        <w:pStyle w:val="BodyText"/>
        <w:spacing w:before="167"/>
        <w:rPr>
          <w:sz w:val="21"/>
        </w:rPr>
      </w:pPr>
    </w:p>
    <w:p>
      <w:pPr>
        <w:spacing w:line="213" w:lineRule="auto" w:before="0"/>
        <w:ind w:left="144" w:right="118" w:firstLine="0"/>
        <w:jc w:val="both"/>
        <w:rPr>
          <w:sz w:val="21"/>
        </w:rPr>
      </w:pPr>
      <w:r>
        <w:rPr>
          <w:i/>
          <w:sz w:val="21"/>
        </w:rPr>
        <w:t>Three</w:t>
      </w:r>
      <w:r>
        <w:rPr>
          <w:sz w:val="21"/>
        </w:rPr>
        <w:t>. No clause of this concession contract may be understood as replacing the need to obtain any license, permit or authorization legally or contractually required.</w:t>
      </w:r>
    </w:p>
    <w:p>
      <w:pPr>
        <w:pStyle w:val="BodyText"/>
        <w:spacing w:before="130"/>
        <w:rPr>
          <w:sz w:val="21"/>
        </w:rPr>
      </w:pPr>
    </w:p>
    <w:p>
      <w:pPr>
        <w:spacing w:before="0"/>
        <w:ind w:left="24" w:right="0" w:firstLine="0"/>
        <w:jc w:val="center"/>
        <w:rPr>
          <w:b/>
          <w:sz w:val="21"/>
        </w:rPr>
      </w:pPr>
      <w:r>
        <w:rPr>
          <w:b/>
          <w:sz w:val="21"/>
        </w:rPr>
        <w:t>Clause</w:t>
      </w:r>
      <w:r>
        <w:rPr>
          <w:b/>
          <w:spacing w:val="13"/>
          <w:sz w:val="21"/>
        </w:rPr>
        <w:t> </w:t>
      </w:r>
      <w:r>
        <w:rPr>
          <w:b/>
          <w:spacing w:val="-5"/>
          <w:sz w:val="21"/>
        </w:rPr>
        <w:t>90</w:t>
      </w:r>
    </w:p>
    <w:p>
      <w:pPr>
        <w:spacing w:before="69"/>
        <w:ind w:left="24" w:right="0" w:firstLine="0"/>
        <w:jc w:val="center"/>
        <w:rPr>
          <w:b/>
          <w:sz w:val="21"/>
        </w:rPr>
      </w:pPr>
      <w:r>
        <w:rPr>
          <w:b/>
          <w:sz w:val="21"/>
        </w:rPr>
        <w:t>Industrial</w:t>
      </w:r>
      <w:r>
        <w:rPr>
          <w:b/>
          <w:spacing w:val="15"/>
          <w:sz w:val="21"/>
        </w:rPr>
        <w:t> </w:t>
      </w:r>
      <w:r>
        <w:rPr>
          <w:b/>
          <w:sz w:val="21"/>
        </w:rPr>
        <w:t>and</w:t>
      </w:r>
      <w:r>
        <w:rPr>
          <w:b/>
          <w:spacing w:val="15"/>
          <w:sz w:val="21"/>
        </w:rPr>
        <w:t> </w:t>
      </w:r>
      <w:r>
        <w:rPr>
          <w:b/>
          <w:sz w:val="21"/>
        </w:rPr>
        <w:t>intellectual</w:t>
      </w:r>
      <w:r>
        <w:rPr>
          <w:b/>
          <w:spacing w:val="15"/>
          <w:sz w:val="21"/>
        </w:rPr>
        <w:t> </w:t>
      </w:r>
      <w:r>
        <w:rPr>
          <w:b/>
          <w:sz w:val="21"/>
        </w:rPr>
        <w:t>property</w:t>
      </w:r>
      <w:r>
        <w:rPr>
          <w:b/>
          <w:spacing w:val="15"/>
          <w:sz w:val="21"/>
        </w:rPr>
        <w:t> </w:t>
      </w:r>
      <w:r>
        <w:rPr>
          <w:b/>
          <w:spacing w:val="-2"/>
          <w:sz w:val="21"/>
        </w:rPr>
        <w:t>rights</w:t>
      </w:r>
    </w:p>
    <w:p>
      <w:pPr>
        <w:pStyle w:val="BodyText"/>
        <w:spacing w:before="146"/>
        <w:rPr>
          <w:b/>
          <w:sz w:val="21"/>
        </w:rPr>
      </w:pPr>
    </w:p>
    <w:p>
      <w:pPr>
        <w:spacing w:line="213" w:lineRule="auto" w:before="0"/>
        <w:ind w:left="144" w:right="119" w:firstLine="0"/>
        <w:jc w:val="both"/>
        <w:rPr>
          <w:sz w:val="21"/>
        </w:rPr>
      </w:pPr>
      <w:r>
        <w:rPr>
          <w:i/>
          <w:sz w:val="21"/>
        </w:rPr>
        <w:t>One</w:t>
      </w:r>
      <w:r>
        <w:rPr>
          <w:sz w:val="21"/>
        </w:rPr>
        <w:t>.</w:t>
      </w:r>
      <w:r>
        <w:rPr>
          <w:spacing w:val="37"/>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respect</w:t>
      </w:r>
      <w:r>
        <w:rPr>
          <w:spacing w:val="40"/>
          <w:sz w:val="21"/>
        </w:rPr>
        <w:t> </w:t>
      </w:r>
      <w:r>
        <w:rPr>
          <w:sz w:val="21"/>
        </w:rPr>
        <w:t>industrial</w:t>
      </w:r>
      <w:r>
        <w:rPr>
          <w:spacing w:val="40"/>
          <w:sz w:val="21"/>
        </w:rPr>
        <w:t> </w:t>
      </w:r>
      <w:r>
        <w:rPr>
          <w:sz w:val="21"/>
        </w:rPr>
        <w:t>and</w:t>
      </w:r>
      <w:r>
        <w:rPr>
          <w:spacing w:val="40"/>
          <w:sz w:val="21"/>
        </w:rPr>
        <w:t> </w:t>
      </w:r>
      <w:r>
        <w:rPr>
          <w:sz w:val="21"/>
        </w:rPr>
        <w:t>intellectual</w:t>
      </w:r>
      <w:r>
        <w:rPr>
          <w:spacing w:val="40"/>
          <w:sz w:val="21"/>
        </w:rPr>
        <w:t> </w:t>
      </w:r>
      <w:r>
        <w:rPr>
          <w:sz w:val="21"/>
        </w:rPr>
        <w:t>property</w:t>
      </w:r>
      <w:r>
        <w:rPr>
          <w:spacing w:val="40"/>
          <w:sz w:val="21"/>
        </w:rPr>
        <w:t> </w:t>
      </w:r>
      <w:r>
        <w:rPr>
          <w:sz w:val="21"/>
        </w:rPr>
        <w:t>rights</w:t>
      </w:r>
      <w:r>
        <w:rPr>
          <w:spacing w:val="40"/>
          <w:sz w:val="21"/>
        </w:rPr>
        <w:t> </w:t>
      </w:r>
      <w:r>
        <w:rPr>
          <w:sz w:val="21"/>
        </w:rPr>
        <w:t>in</w:t>
      </w:r>
      <w:r>
        <w:rPr>
          <w:spacing w:val="40"/>
          <w:sz w:val="21"/>
        </w:rPr>
        <w:t> </w:t>
      </w:r>
      <w:r>
        <w:rPr>
          <w:sz w:val="21"/>
        </w:rPr>
        <w:t>the</w:t>
      </w:r>
      <w:r>
        <w:rPr>
          <w:spacing w:val="40"/>
          <w:sz w:val="21"/>
        </w:rPr>
        <w:t> </w:t>
      </w:r>
      <w:r>
        <w:rPr>
          <w:sz w:val="21"/>
        </w:rPr>
        <w:t>exercise</w:t>
      </w:r>
      <w:r>
        <w:rPr>
          <w:spacing w:val="40"/>
          <w:sz w:val="21"/>
        </w:rPr>
        <w:t> </w:t>
      </w:r>
      <w:r>
        <w:rPr>
          <w:sz w:val="21"/>
        </w:rPr>
        <w:t>of</w:t>
      </w:r>
      <w:r>
        <w:rPr>
          <w:spacing w:val="40"/>
          <w:sz w:val="21"/>
        </w:rPr>
        <w:t> </w:t>
      </w:r>
      <w:r>
        <w:rPr>
          <w:sz w:val="21"/>
        </w:rPr>
        <w:t>its</w:t>
      </w:r>
      <w:r>
        <w:rPr>
          <w:spacing w:val="40"/>
          <w:sz w:val="21"/>
        </w:rPr>
        <w:t> </w:t>
      </w:r>
      <w:r>
        <w:rPr>
          <w:sz w:val="21"/>
        </w:rPr>
        <w:t>activity,</w:t>
      </w:r>
      <w:r>
        <w:rPr>
          <w:spacing w:val="40"/>
          <w:sz w:val="21"/>
        </w:rPr>
        <w:t> </w:t>
      </w:r>
      <w:r>
        <w:rPr>
          <w:sz w:val="21"/>
        </w:rPr>
        <w:t>under</w:t>
      </w:r>
      <w:r>
        <w:rPr>
          <w:spacing w:val="40"/>
          <w:sz w:val="21"/>
        </w:rPr>
        <w:t> </w:t>
      </w:r>
      <w:r>
        <w:rPr>
          <w:sz w:val="21"/>
        </w:rPr>
        <w:t>the terms</w:t>
      </w:r>
      <w:r>
        <w:rPr>
          <w:spacing w:val="20"/>
          <w:sz w:val="21"/>
        </w:rPr>
        <w:t> </w:t>
      </w:r>
      <w:r>
        <w:rPr>
          <w:sz w:val="21"/>
        </w:rPr>
        <w:t>of</w:t>
      </w:r>
      <w:r>
        <w:rPr>
          <w:spacing w:val="20"/>
          <w:sz w:val="21"/>
        </w:rPr>
        <w:t> </w:t>
      </w:r>
      <w:r>
        <w:rPr>
          <w:sz w:val="21"/>
        </w:rPr>
        <w:t>the</w:t>
      </w:r>
      <w:r>
        <w:rPr>
          <w:spacing w:val="20"/>
          <w:sz w:val="21"/>
        </w:rPr>
        <w:t> </w:t>
      </w:r>
      <w:r>
        <w:rPr>
          <w:sz w:val="21"/>
        </w:rPr>
        <w:t>law</w:t>
      </w:r>
      <w:r>
        <w:rPr>
          <w:spacing w:val="20"/>
          <w:sz w:val="21"/>
        </w:rPr>
        <w:t> </w:t>
      </w:r>
      <w:r>
        <w:rPr>
          <w:sz w:val="21"/>
        </w:rPr>
        <w:t>in</w:t>
      </w:r>
      <w:r>
        <w:rPr>
          <w:spacing w:val="20"/>
          <w:sz w:val="21"/>
        </w:rPr>
        <w:t> </w:t>
      </w:r>
      <w:r>
        <w:rPr>
          <w:sz w:val="21"/>
        </w:rPr>
        <w:t>force</w:t>
      </w:r>
      <w:r>
        <w:rPr>
          <w:spacing w:val="20"/>
          <w:sz w:val="21"/>
        </w:rPr>
        <w:t> </w:t>
      </w:r>
      <w:r>
        <w:rPr>
          <w:sz w:val="21"/>
        </w:rPr>
        <w:t>in</w:t>
      </w:r>
      <w:r>
        <w:rPr>
          <w:spacing w:val="20"/>
          <w:sz w:val="21"/>
        </w:rPr>
        <w:t> </w:t>
      </w:r>
      <w:r>
        <w:rPr>
          <w:sz w:val="21"/>
        </w:rPr>
        <w:t>the</w:t>
      </w:r>
      <w:r>
        <w:rPr>
          <w:spacing w:val="20"/>
          <w:sz w:val="21"/>
        </w:rPr>
        <w:t> </w:t>
      </w:r>
      <w:r>
        <w:rPr>
          <w:sz w:val="21"/>
        </w:rPr>
        <w:t>Macau</w:t>
      </w:r>
      <w:r>
        <w:rPr>
          <w:spacing w:val="20"/>
          <w:sz w:val="21"/>
        </w:rPr>
        <w:t> </w:t>
      </w:r>
      <w:r>
        <w:rPr>
          <w:sz w:val="21"/>
        </w:rPr>
        <w:t>SAR</w:t>
      </w:r>
      <w:r>
        <w:rPr>
          <w:spacing w:val="20"/>
          <w:sz w:val="21"/>
        </w:rPr>
        <w:t> </w:t>
      </w:r>
      <w:r>
        <w:rPr>
          <w:sz w:val="21"/>
        </w:rPr>
        <w:t>and</w:t>
      </w:r>
      <w:r>
        <w:rPr>
          <w:spacing w:val="20"/>
          <w:sz w:val="21"/>
        </w:rPr>
        <w:t> </w:t>
      </w:r>
      <w:r>
        <w:rPr>
          <w:sz w:val="21"/>
        </w:rPr>
        <w:t>is</w:t>
      </w:r>
      <w:r>
        <w:rPr>
          <w:spacing w:val="20"/>
          <w:sz w:val="21"/>
        </w:rPr>
        <w:t> </w:t>
      </w:r>
      <w:r>
        <w:rPr>
          <w:sz w:val="21"/>
        </w:rPr>
        <w:t>exclusively</w:t>
      </w:r>
      <w:r>
        <w:rPr>
          <w:spacing w:val="20"/>
          <w:sz w:val="21"/>
        </w:rPr>
        <w:t> </w:t>
      </w:r>
      <w:r>
        <w:rPr>
          <w:sz w:val="21"/>
        </w:rPr>
        <w:t>liable</w:t>
      </w:r>
      <w:r>
        <w:rPr>
          <w:spacing w:val="20"/>
          <w:sz w:val="21"/>
        </w:rPr>
        <w:t> </w:t>
      </w:r>
      <w:r>
        <w:rPr>
          <w:sz w:val="21"/>
        </w:rPr>
        <w:t>for</w:t>
      </w:r>
      <w:r>
        <w:rPr>
          <w:spacing w:val="20"/>
          <w:sz w:val="21"/>
        </w:rPr>
        <w:t> </w:t>
      </w:r>
      <w:r>
        <w:rPr>
          <w:sz w:val="21"/>
        </w:rPr>
        <w:t>the</w:t>
      </w:r>
      <w:r>
        <w:rPr>
          <w:spacing w:val="20"/>
          <w:sz w:val="21"/>
        </w:rPr>
        <w:t> </w:t>
      </w:r>
      <w:r>
        <w:rPr>
          <w:sz w:val="21"/>
        </w:rPr>
        <w:t>effects</w:t>
      </w:r>
      <w:r>
        <w:rPr>
          <w:spacing w:val="20"/>
          <w:sz w:val="21"/>
        </w:rPr>
        <w:t> </w:t>
      </w:r>
      <w:r>
        <w:rPr>
          <w:sz w:val="21"/>
        </w:rPr>
        <w:t>resulting</w:t>
      </w:r>
      <w:r>
        <w:rPr>
          <w:spacing w:val="20"/>
          <w:sz w:val="21"/>
        </w:rPr>
        <w:t> </w:t>
      </w:r>
      <w:r>
        <w:rPr>
          <w:sz w:val="21"/>
        </w:rPr>
        <w:t>from</w:t>
      </w:r>
      <w:r>
        <w:rPr>
          <w:spacing w:val="20"/>
          <w:sz w:val="21"/>
        </w:rPr>
        <w:t> </w:t>
      </w:r>
      <w:r>
        <w:rPr>
          <w:sz w:val="21"/>
        </w:rPr>
        <w:t>their</w:t>
      </w:r>
      <w:r>
        <w:rPr>
          <w:spacing w:val="20"/>
          <w:sz w:val="21"/>
        </w:rPr>
        <w:t> </w:t>
      </w:r>
      <w:r>
        <w:rPr>
          <w:sz w:val="21"/>
        </w:rPr>
        <w:t>violation.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5"/>
        <w:rPr>
          <w:sz w:val="20"/>
        </w:rPr>
      </w:pPr>
      <w:r>
        <w:rPr/>
        <mc:AlternateContent>
          <mc:Choice Requires="wps">
            <w:drawing>
              <wp:anchor distT="0" distB="0" distL="0" distR="0" allowOverlap="1" layoutInCell="1" locked="0" behindDoc="1" simplePos="0" relativeHeight="487788544">
                <wp:simplePos x="0" y="0"/>
                <wp:positionH relativeFrom="page">
                  <wp:posOffset>231457</wp:posOffset>
                </wp:positionH>
                <wp:positionV relativeFrom="paragraph">
                  <wp:posOffset>196202</wp:posOffset>
                </wp:positionV>
                <wp:extent cx="7312659" cy="17145"/>
                <wp:effectExtent l="0" t="0" r="0" b="0"/>
                <wp:wrapTopAndBottom/>
                <wp:docPr id="984" name="Group 984"/>
                <wp:cNvGraphicFramePr>
                  <a:graphicFrameLocks/>
                </wp:cNvGraphicFramePr>
                <a:graphic>
                  <a:graphicData uri="http://schemas.microsoft.com/office/word/2010/wordprocessingGroup">
                    <wpg:wgp>
                      <wpg:cNvPr id="984" name="Group 984"/>
                      <wpg:cNvGrpSpPr/>
                      <wpg:grpSpPr>
                        <a:xfrm>
                          <a:off x="0" y="0"/>
                          <a:ext cx="7312659" cy="17145"/>
                          <a:chExt cx="7312659" cy="17145"/>
                        </a:xfrm>
                      </wpg:grpSpPr>
                      <wps:wsp>
                        <wps:cNvPr id="985" name="Graphic 98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86" name="Graphic 986"/>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87" name="Graphic 98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449023pt;width:575.8pt;height:1.35pt;mso-position-horizontal-relative:page;mso-position-vertical-relative:paragraph;z-index:-15527936;mso-wrap-distance-left:0;mso-wrap-distance-right:0" id="docshapegroup982" coordorigin="364,309" coordsize="11516,27">
                <v:rect style="position:absolute;left:364;top:308;width:11516;height:14" id="docshape983" filled="true" fillcolor="#999999" stroked="false">
                  <v:fill type="solid"/>
                </v:rect>
                <v:shape style="position:absolute;left:364;top:308;width:11516;height:27" id="docshape984" coordorigin="364,309" coordsize="11516,27" path="m11880,309l11866,322,364,322,364,336,11866,336,11880,336,11880,322,11880,309xe" filled="true" fillcolor="#ededed" stroked="false">
                  <v:path arrowok="t"/>
                  <v:fill type="solid"/>
                </v:shape>
                <v:shape style="position:absolute;left:364;top:308;width:14;height:27" id="docshape985" coordorigin="364,309" coordsize="14,27" path="m364,336l364,309,378,309,378,322,364,336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90"/>
        <w:ind w:left="144" w:right="118" w:firstLine="0"/>
        <w:jc w:val="both"/>
        <w:rPr>
          <w:sz w:val="21"/>
        </w:rPr>
      </w:pPr>
      <w:r>
        <w:rPr>
          <w:i/>
          <w:sz w:val="21"/>
        </w:rPr>
        <w:t>Two</w:t>
      </w:r>
      <w:r>
        <w:rPr>
          <w:sz w:val="21"/>
        </w:rPr>
        <w:t>. The licenses, permits or authorizations granted to the Concessionaire, namely those related to the fulfilment of the Investment</w:t>
      </w:r>
      <w:r>
        <w:rPr>
          <w:spacing w:val="40"/>
          <w:sz w:val="21"/>
        </w:rPr>
        <w:t> </w:t>
      </w:r>
      <w:r>
        <w:rPr>
          <w:sz w:val="21"/>
        </w:rPr>
        <w:t>Plans</w:t>
      </w:r>
      <w:r>
        <w:rPr>
          <w:spacing w:val="35"/>
          <w:sz w:val="21"/>
        </w:rPr>
        <w:t> </w:t>
      </w:r>
      <w:r>
        <w:rPr>
          <w:sz w:val="21"/>
        </w:rPr>
        <w:t>annexed</w:t>
      </w:r>
      <w:r>
        <w:rPr>
          <w:spacing w:val="35"/>
          <w:sz w:val="21"/>
        </w:rPr>
        <w:t> </w:t>
      </w:r>
      <w:r>
        <w:rPr>
          <w:sz w:val="21"/>
        </w:rPr>
        <w:t>to</w:t>
      </w:r>
      <w:r>
        <w:rPr>
          <w:spacing w:val="35"/>
          <w:sz w:val="21"/>
        </w:rPr>
        <w:t> </w:t>
      </w:r>
      <w:r>
        <w:rPr>
          <w:sz w:val="21"/>
        </w:rPr>
        <w:t>this</w:t>
      </w:r>
      <w:r>
        <w:rPr>
          <w:spacing w:val="35"/>
          <w:sz w:val="21"/>
        </w:rPr>
        <w:t> </w:t>
      </w:r>
      <w:r>
        <w:rPr>
          <w:sz w:val="21"/>
        </w:rPr>
        <w:t>concession</w:t>
      </w:r>
      <w:r>
        <w:rPr>
          <w:spacing w:val="35"/>
          <w:sz w:val="21"/>
        </w:rPr>
        <w:t> </w:t>
      </w:r>
      <w:r>
        <w:rPr>
          <w:sz w:val="21"/>
        </w:rPr>
        <w:t>contract,</w:t>
      </w:r>
      <w:r>
        <w:rPr>
          <w:spacing w:val="35"/>
          <w:sz w:val="21"/>
        </w:rPr>
        <w:t> </w:t>
      </w:r>
      <w:r>
        <w:rPr>
          <w:sz w:val="21"/>
        </w:rPr>
        <w:t>takes</w:t>
      </w:r>
      <w:r>
        <w:rPr>
          <w:spacing w:val="35"/>
          <w:sz w:val="21"/>
        </w:rPr>
        <w:t> </w:t>
      </w:r>
      <w:r>
        <w:rPr>
          <w:sz w:val="21"/>
        </w:rPr>
        <w:t>into</w:t>
      </w:r>
      <w:r>
        <w:rPr>
          <w:spacing w:val="35"/>
          <w:sz w:val="21"/>
        </w:rPr>
        <w:t> </w:t>
      </w:r>
      <w:r>
        <w:rPr>
          <w:sz w:val="21"/>
        </w:rPr>
        <w:t>assumption</w:t>
      </w:r>
      <w:r>
        <w:rPr>
          <w:spacing w:val="35"/>
          <w:sz w:val="21"/>
        </w:rPr>
        <w:t> </w:t>
      </w:r>
      <w:r>
        <w:rPr>
          <w:sz w:val="21"/>
        </w:rPr>
        <w:t>all</w:t>
      </w:r>
      <w:r>
        <w:rPr>
          <w:spacing w:val="35"/>
          <w:sz w:val="21"/>
        </w:rPr>
        <w:t> </w:t>
      </w:r>
      <w:r>
        <w:rPr>
          <w:sz w:val="21"/>
        </w:rPr>
        <w:t>industrial</w:t>
      </w:r>
      <w:r>
        <w:rPr>
          <w:spacing w:val="35"/>
          <w:sz w:val="21"/>
        </w:rPr>
        <w:t> </w:t>
      </w:r>
      <w:r>
        <w:rPr>
          <w:sz w:val="21"/>
        </w:rPr>
        <w:t>and</w:t>
      </w:r>
      <w:r>
        <w:rPr>
          <w:spacing w:val="35"/>
          <w:sz w:val="21"/>
        </w:rPr>
        <w:t> </w:t>
      </w:r>
      <w:r>
        <w:rPr>
          <w:sz w:val="21"/>
        </w:rPr>
        <w:t>intellectual</w:t>
      </w:r>
      <w:r>
        <w:rPr>
          <w:spacing w:val="35"/>
          <w:sz w:val="21"/>
        </w:rPr>
        <w:t> </w:t>
      </w:r>
      <w:r>
        <w:rPr>
          <w:sz w:val="21"/>
        </w:rPr>
        <w:t>property</w:t>
      </w:r>
      <w:r>
        <w:rPr>
          <w:spacing w:val="35"/>
          <w:sz w:val="21"/>
        </w:rPr>
        <w:t> </w:t>
      </w:r>
      <w:r>
        <w:rPr>
          <w:sz w:val="21"/>
        </w:rPr>
        <w:t>rights</w:t>
      </w:r>
      <w:r>
        <w:rPr>
          <w:spacing w:val="35"/>
          <w:sz w:val="21"/>
        </w:rPr>
        <w:t> </w:t>
      </w:r>
      <w:r>
        <w:rPr>
          <w:sz w:val="21"/>
        </w:rPr>
        <w:t>have</w:t>
      </w:r>
      <w:r>
        <w:rPr>
          <w:spacing w:val="35"/>
          <w:sz w:val="21"/>
        </w:rPr>
        <w:t> </w:t>
      </w:r>
      <w:r>
        <w:rPr>
          <w:sz w:val="21"/>
        </w:rPr>
        <w:t>been</w:t>
      </w:r>
      <w:r>
        <w:rPr>
          <w:spacing w:val="35"/>
          <w:sz w:val="21"/>
        </w:rPr>
        <w:t> </w:t>
      </w:r>
      <w:r>
        <w:rPr>
          <w:sz w:val="21"/>
        </w:rPr>
        <w:t>complied with by the Concessionaire.</w:t>
      </w:r>
    </w:p>
    <w:p>
      <w:pPr>
        <w:pStyle w:val="BodyText"/>
        <w:spacing w:before="153"/>
        <w:rPr>
          <w:sz w:val="21"/>
        </w:rPr>
      </w:pPr>
    </w:p>
    <w:p>
      <w:pPr>
        <w:spacing w:line="213" w:lineRule="auto" w:before="1"/>
        <w:ind w:left="144" w:right="118" w:firstLine="0"/>
        <w:jc w:val="both"/>
        <w:rPr>
          <w:sz w:val="21"/>
        </w:rPr>
      </w:pPr>
      <w:r>
        <w:rPr>
          <w:i/>
          <w:sz w:val="21"/>
        </w:rPr>
        <w:t>Three</w:t>
      </w:r>
      <w:r>
        <w:rPr>
          <w:sz w:val="21"/>
        </w:rPr>
        <w:t>.</w:t>
      </w:r>
      <w:r>
        <w:rPr>
          <w:spacing w:val="35"/>
          <w:sz w:val="21"/>
        </w:rPr>
        <w:t> </w:t>
      </w:r>
      <w:r>
        <w:rPr>
          <w:sz w:val="21"/>
        </w:rPr>
        <w:t>The</w:t>
      </w:r>
      <w:r>
        <w:rPr>
          <w:spacing w:val="39"/>
          <w:sz w:val="21"/>
        </w:rPr>
        <w:t> </w:t>
      </w:r>
      <w:r>
        <w:rPr>
          <w:sz w:val="21"/>
        </w:rPr>
        <w:t>Concessionaire</w:t>
      </w:r>
      <w:r>
        <w:rPr>
          <w:spacing w:val="39"/>
          <w:sz w:val="21"/>
        </w:rPr>
        <w:t> </w:t>
      </w:r>
      <w:r>
        <w:rPr>
          <w:sz w:val="21"/>
        </w:rPr>
        <w:t>shall</w:t>
      </w:r>
      <w:r>
        <w:rPr>
          <w:spacing w:val="39"/>
          <w:sz w:val="21"/>
        </w:rPr>
        <w:t> </w:t>
      </w:r>
      <w:r>
        <w:rPr>
          <w:sz w:val="21"/>
        </w:rPr>
        <w:t>freely</w:t>
      </w:r>
      <w:r>
        <w:rPr>
          <w:spacing w:val="39"/>
          <w:sz w:val="21"/>
        </w:rPr>
        <w:t> </w:t>
      </w:r>
      <w:r>
        <w:rPr>
          <w:sz w:val="21"/>
        </w:rPr>
        <w:t>provide</w:t>
      </w:r>
      <w:r>
        <w:rPr>
          <w:spacing w:val="39"/>
          <w:sz w:val="21"/>
        </w:rPr>
        <w:t> </w:t>
      </w:r>
      <w:r>
        <w:rPr>
          <w:sz w:val="21"/>
        </w:rPr>
        <w:t>the</w:t>
      </w:r>
      <w:r>
        <w:rPr>
          <w:spacing w:val="39"/>
          <w:sz w:val="21"/>
        </w:rPr>
        <w:t> </w:t>
      </w:r>
      <w:r>
        <w:rPr>
          <w:sz w:val="21"/>
        </w:rPr>
        <w:t>Macau</w:t>
      </w:r>
      <w:r>
        <w:rPr>
          <w:spacing w:val="39"/>
          <w:sz w:val="21"/>
        </w:rPr>
        <w:t> </w:t>
      </w:r>
      <w:r>
        <w:rPr>
          <w:sz w:val="21"/>
        </w:rPr>
        <w:t>SAR</w:t>
      </w:r>
      <w:r>
        <w:rPr>
          <w:spacing w:val="39"/>
          <w:sz w:val="21"/>
        </w:rPr>
        <w:t> </w:t>
      </w:r>
      <w:r>
        <w:rPr>
          <w:sz w:val="21"/>
        </w:rPr>
        <w:t>with</w:t>
      </w:r>
      <w:r>
        <w:rPr>
          <w:spacing w:val="39"/>
          <w:sz w:val="21"/>
        </w:rPr>
        <w:t> </w:t>
      </w:r>
      <w:r>
        <w:rPr>
          <w:sz w:val="21"/>
        </w:rPr>
        <w:t>all</w:t>
      </w:r>
      <w:r>
        <w:rPr>
          <w:spacing w:val="39"/>
          <w:sz w:val="21"/>
        </w:rPr>
        <w:t> </w:t>
      </w:r>
      <w:r>
        <w:rPr>
          <w:sz w:val="21"/>
        </w:rPr>
        <w:t>of</w:t>
      </w:r>
      <w:r>
        <w:rPr>
          <w:spacing w:val="39"/>
          <w:sz w:val="21"/>
        </w:rPr>
        <w:t> </w:t>
      </w:r>
      <w:r>
        <w:rPr>
          <w:sz w:val="21"/>
        </w:rPr>
        <w:t>its</w:t>
      </w:r>
      <w:r>
        <w:rPr>
          <w:spacing w:val="39"/>
          <w:sz w:val="21"/>
        </w:rPr>
        <w:t> </w:t>
      </w:r>
      <w:r>
        <w:rPr>
          <w:sz w:val="21"/>
        </w:rPr>
        <w:t>studies,</w:t>
      </w:r>
      <w:r>
        <w:rPr>
          <w:spacing w:val="39"/>
          <w:sz w:val="21"/>
        </w:rPr>
        <w:t> </w:t>
      </w:r>
      <w:r>
        <w:rPr>
          <w:sz w:val="21"/>
        </w:rPr>
        <w:t>projects,</w:t>
      </w:r>
      <w:r>
        <w:rPr>
          <w:spacing w:val="39"/>
          <w:sz w:val="21"/>
        </w:rPr>
        <w:t> </w:t>
      </w:r>
      <w:r>
        <w:rPr>
          <w:sz w:val="21"/>
        </w:rPr>
        <w:t>plans,</w:t>
      </w:r>
      <w:r>
        <w:rPr>
          <w:spacing w:val="39"/>
          <w:sz w:val="21"/>
        </w:rPr>
        <w:t> </w:t>
      </w:r>
      <w:r>
        <w:rPr>
          <w:sz w:val="21"/>
        </w:rPr>
        <w:t>blueprints,</w:t>
      </w:r>
      <w:r>
        <w:rPr>
          <w:spacing w:val="39"/>
          <w:sz w:val="21"/>
        </w:rPr>
        <w:t> </w:t>
      </w:r>
      <w:r>
        <w:rPr>
          <w:sz w:val="21"/>
        </w:rPr>
        <w:t>documents</w:t>
      </w:r>
      <w:r>
        <w:rPr>
          <w:spacing w:val="39"/>
          <w:sz w:val="21"/>
        </w:rPr>
        <w:t> </w:t>
      </w:r>
      <w:r>
        <w:rPr>
          <w:sz w:val="21"/>
        </w:rPr>
        <w:t>and other</w:t>
      </w:r>
      <w:r>
        <w:rPr>
          <w:spacing w:val="40"/>
          <w:sz w:val="21"/>
        </w:rPr>
        <w:t> </w:t>
      </w:r>
      <w:r>
        <w:rPr>
          <w:sz w:val="21"/>
        </w:rPr>
        <w:t>materials,</w:t>
      </w:r>
      <w:r>
        <w:rPr>
          <w:spacing w:val="40"/>
          <w:sz w:val="21"/>
        </w:rPr>
        <w:t> </w:t>
      </w:r>
      <w:r>
        <w:rPr>
          <w:sz w:val="21"/>
        </w:rPr>
        <w:t>of</w:t>
      </w:r>
      <w:r>
        <w:rPr>
          <w:spacing w:val="40"/>
          <w:sz w:val="21"/>
        </w:rPr>
        <w:t> </w:t>
      </w:r>
      <w:r>
        <w:rPr>
          <w:sz w:val="21"/>
        </w:rPr>
        <w:t>any</w:t>
      </w:r>
      <w:r>
        <w:rPr>
          <w:spacing w:val="40"/>
          <w:sz w:val="21"/>
        </w:rPr>
        <w:t> </w:t>
      </w:r>
      <w:r>
        <w:rPr>
          <w:sz w:val="21"/>
        </w:rPr>
        <w:t>nature,</w:t>
      </w:r>
      <w:r>
        <w:rPr>
          <w:spacing w:val="40"/>
          <w:sz w:val="21"/>
        </w:rPr>
        <w:t> </w:t>
      </w:r>
      <w:r>
        <w:rPr>
          <w:sz w:val="21"/>
        </w:rPr>
        <w:t>which</w:t>
      </w:r>
      <w:r>
        <w:rPr>
          <w:spacing w:val="40"/>
          <w:sz w:val="21"/>
        </w:rPr>
        <w:t> </w:t>
      </w:r>
      <w:r>
        <w:rPr>
          <w:sz w:val="21"/>
        </w:rPr>
        <w:t>prove</w:t>
      </w:r>
      <w:r>
        <w:rPr>
          <w:spacing w:val="40"/>
          <w:sz w:val="21"/>
        </w:rPr>
        <w:t> </w:t>
      </w:r>
      <w:r>
        <w:rPr>
          <w:sz w:val="21"/>
        </w:rPr>
        <w:t>to</w:t>
      </w:r>
      <w:r>
        <w:rPr>
          <w:spacing w:val="40"/>
          <w:sz w:val="21"/>
        </w:rPr>
        <w:t> </w:t>
      </w:r>
      <w:r>
        <w:rPr>
          <w:sz w:val="21"/>
        </w:rPr>
        <w:t>be</w:t>
      </w:r>
      <w:r>
        <w:rPr>
          <w:spacing w:val="40"/>
          <w:sz w:val="21"/>
        </w:rPr>
        <w:t> </w:t>
      </w:r>
      <w:r>
        <w:rPr>
          <w:sz w:val="21"/>
        </w:rPr>
        <w:t>necessary</w:t>
      </w:r>
      <w:r>
        <w:rPr>
          <w:spacing w:val="40"/>
          <w:sz w:val="21"/>
        </w:rPr>
        <w:t> </w:t>
      </w:r>
      <w:r>
        <w:rPr>
          <w:sz w:val="21"/>
        </w:rPr>
        <w:t>or</w:t>
      </w:r>
      <w:r>
        <w:rPr>
          <w:spacing w:val="40"/>
          <w:sz w:val="21"/>
        </w:rPr>
        <w:t> </w:t>
      </w:r>
      <w:r>
        <w:rPr>
          <w:sz w:val="21"/>
        </w:rPr>
        <w:t>useful</w:t>
      </w:r>
      <w:r>
        <w:rPr>
          <w:spacing w:val="40"/>
          <w:sz w:val="21"/>
        </w:rPr>
        <w:t> </w:t>
      </w:r>
      <w:r>
        <w:rPr>
          <w:sz w:val="21"/>
        </w:rPr>
        <w:t>for</w:t>
      </w:r>
      <w:r>
        <w:rPr>
          <w:spacing w:val="40"/>
          <w:sz w:val="21"/>
        </w:rPr>
        <w:t> </w:t>
      </w:r>
      <w:r>
        <w:rPr>
          <w:sz w:val="21"/>
        </w:rPr>
        <w:t>the</w:t>
      </w:r>
      <w:r>
        <w:rPr>
          <w:spacing w:val="40"/>
          <w:sz w:val="21"/>
        </w:rPr>
        <w:t> </w:t>
      </w:r>
      <w:r>
        <w:rPr>
          <w:sz w:val="21"/>
        </w:rPr>
        <w:t>performance</w:t>
      </w:r>
      <w:r>
        <w:rPr>
          <w:spacing w:val="40"/>
          <w:sz w:val="21"/>
        </w:rPr>
        <w:t> </w:t>
      </w:r>
      <w:r>
        <w:rPr>
          <w:sz w:val="21"/>
        </w:rPr>
        <w:t>of</w:t>
      </w:r>
      <w:r>
        <w:rPr>
          <w:spacing w:val="40"/>
          <w:sz w:val="21"/>
        </w:rPr>
        <w:t> </w:t>
      </w:r>
      <w:r>
        <w:rPr>
          <w:sz w:val="21"/>
        </w:rPr>
        <w:t>its</w:t>
      </w:r>
      <w:r>
        <w:rPr>
          <w:spacing w:val="40"/>
          <w:sz w:val="21"/>
        </w:rPr>
        <w:t> </w:t>
      </w:r>
      <w:r>
        <w:rPr>
          <w:sz w:val="21"/>
        </w:rPr>
        <w:t>duties</w:t>
      </w:r>
      <w:r>
        <w:rPr>
          <w:spacing w:val="40"/>
          <w:sz w:val="21"/>
        </w:rPr>
        <w:t> </w:t>
      </w:r>
      <w:r>
        <w:rPr>
          <w:sz w:val="21"/>
        </w:rPr>
        <w:t>under</w:t>
      </w:r>
      <w:r>
        <w:rPr>
          <w:spacing w:val="40"/>
          <w:sz w:val="21"/>
        </w:rPr>
        <w:t> </w:t>
      </w:r>
      <w:r>
        <w:rPr>
          <w:sz w:val="21"/>
        </w:rPr>
        <w:t>the</w:t>
      </w:r>
      <w:r>
        <w:rPr>
          <w:spacing w:val="40"/>
          <w:sz w:val="21"/>
        </w:rPr>
        <w:t> </w:t>
      </w:r>
      <w:r>
        <w:rPr>
          <w:sz w:val="21"/>
        </w:rPr>
        <w:t>terms</w:t>
      </w:r>
      <w:r>
        <w:rPr>
          <w:spacing w:val="40"/>
          <w:sz w:val="21"/>
        </w:rPr>
        <w:t> </w:t>
      </w:r>
      <w:r>
        <w:rPr>
          <w:sz w:val="21"/>
        </w:rPr>
        <w:t>of</w:t>
      </w:r>
      <w:r>
        <w:rPr>
          <w:spacing w:val="40"/>
          <w:sz w:val="21"/>
        </w:rPr>
        <w:t> </w:t>
      </w:r>
      <w:r>
        <w:rPr>
          <w:sz w:val="21"/>
        </w:rPr>
        <w:t>this concession</w:t>
      </w:r>
      <w:r>
        <w:rPr>
          <w:spacing w:val="25"/>
          <w:sz w:val="21"/>
        </w:rPr>
        <w:t> </w:t>
      </w:r>
      <w:r>
        <w:rPr>
          <w:sz w:val="21"/>
        </w:rPr>
        <w:t>contract,</w:t>
      </w:r>
      <w:r>
        <w:rPr>
          <w:spacing w:val="25"/>
          <w:sz w:val="21"/>
        </w:rPr>
        <w:t> </w:t>
      </w:r>
      <w:r>
        <w:rPr>
          <w:sz w:val="21"/>
        </w:rPr>
        <w:t>or</w:t>
      </w:r>
      <w:r>
        <w:rPr>
          <w:spacing w:val="25"/>
          <w:sz w:val="21"/>
        </w:rPr>
        <w:t> </w:t>
      </w:r>
      <w:r>
        <w:rPr>
          <w:sz w:val="21"/>
        </w:rPr>
        <w:t>for</w:t>
      </w:r>
      <w:r>
        <w:rPr>
          <w:spacing w:val="25"/>
          <w:sz w:val="21"/>
        </w:rPr>
        <w:t> </w:t>
      </w:r>
      <w:r>
        <w:rPr>
          <w:sz w:val="21"/>
        </w:rPr>
        <w:t>the</w:t>
      </w:r>
      <w:r>
        <w:rPr>
          <w:spacing w:val="25"/>
          <w:sz w:val="21"/>
        </w:rPr>
        <w:t> </w:t>
      </w:r>
      <w:r>
        <w:rPr>
          <w:sz w:val="21"/>
        </w:rPr>
        <w:t>exercise</w:t>
      </w:r>
      <w:r>
        <w:rPr>
          <w:spacing w:val="25"/>
          <w:sz w:val="21"/>
        </w:rPr>
        <w:t> </w:t>
      </w:r>
      <w:r>
        <w:rPr>
          <w:sz w:val="21"/>
        </w:rPr>
        <w:t>of</w:t>
      </w:r>
      <w:r>
        <w:rPr>
          <w:spacing w:val="25"/>
          <w:sz w:val="21"/>
        </w:rPr>
        <w:t> </w:t>
      </w:r>
      <w:r>
        <w:rPr>
          <w:sz w:val="21"/>
        </w:rPr>
        <w:t>its</w:t>
      </w:r>
      <w:r>
        <w:rPr>
          <w:spacing w:val="25"/>
          <w:sz w:val="21"/>
        </w:rPr>
        <w:t> </w:t>
      </w:r>
      <w:r>
        <w:rPr>
          <w:sz w:val="21"/>
        </w:rPr>
        <w:t>rights</w:t>
      </w:r>
      <w:r>
        <w:rPr>
          <w:spacing w:val="25"/>
          <w:sz w:val="21"/>
        </w:rPr>
        <w:t> </w:t>
      </w:r>
      <w:r>
        <w:rPr>
          <w:sz w:val="21"/>
        </w:rPr>
        <w:t>under</w:t>
      </w:r>
      <w:r>
        <w:rPr>
          <w:spacing w:val="25"/>
          <w:sz w:val="21"/>
        </w:rPr>
        <w:t> </w:t>
      </w:r>
      <w:r>
        <w:rPr>
          <w:sz w:val="21"/>
        </w:rPr>
        <w:t>the</w:t>
      </w:r>
      <w:r>
        <w:rPr>
          <w:spacing w:val="25"/>
          <w:sz w:val="21"/>
        </w:rPr>
        <w:t> </w:t>
      </w:r>
      <w:r>
        <w:rPr>
          <w:sz w:val="21"/>
        </w:rPr>
        <w:t>terms</w:t>
      </w:r>
      <w:r>
        <w:rPr>
          <w:spacing w:val="25"/>
          <w:sz w:val="21"/>
        </w:rPr>
        <w:t> </w:t>
      </w:r>
      <w:r>
        <w:rPr>
          <w:sz w:val="21"/>
        </w:rPr>
        <w:t>of</w:t>
      </w:r>
      <w:r>
        <w:rPr>
          <w:spacing w:val="25"/>
          <w:sz w:val="21"/>
        </w:rPr>
        <w:t> </w:t>
      </w:r>
      <w:r>
        <w:rPr>
          <w:sz w:val="21"/>
        </w:rPr>
        <w:t>this</w:t>
      </w:r>
      <w:r>
        <w:rPr>
          <w:spacing w:val="25"/>
          <w:sz w:val="21"/>
        </w:rPr>
        <w:t> </w:t>
      </w:r>
      <w:r>
        <w:rPr>
          <w:sz w:val="21"/>
        </w:rPr>
        <w:t>concession</w:t>
      </w:r>
      <w:r>
        <w:rPr>
          <w:spacing w:val="25"/>
          <w:sz w:val="21"/>
        </w:rPr>
        <w:t> </w:t>
      </w:r>
      <w:r>
        <w:rPr>
          <w:sz w:val="21"/>
        </w:rPr>
        <w:t>contract.</w:t>
      </w:r>
    </w:p>
    <w:p>
      <w:pPr>
        <w:pStyle w:val="BodyText"/>
        <w:spacing w:before="153"/>
        <w:rPr>
          <w:sz w:val="21"/>
        </w:rPr>
      </w:pPr>
    </w:p>
    <w:p>
      <w:pPr>
        <w:spacing w:line="213" w:lineRule="auto" w:before="0"/>
        <w:ind w:left="144" w:right="118" w:firstLine="0"/>
        <w:jc w:val="both"/>
        <w:rPr>
          <w:sz w:val="21"/>
        </w:rPr>
      </w:pPr>
      <w:r>
        <w:rPr>
          <w:i/>
          <w:sz w:val="21"/>
        </w:rPr>
        <w:t>Four</w:t>
      </w:r>
      <w:r>
        <w:rPr>
          <w:sz w:val="21"/>
        </w:rPr>
        <w:t>.</w:t>
      </w:r>
      <w:r>
        <w:rPr>
          <w:spacing w:val="39"/>
          <w:sz w:val="21"/>
        </w:rPr>
        <w:t> </w:t>
      </w:r>
      <w:r>
        <w:rPr>
          <w:sz w:val="21"/>
        </w:rPr>
        <w:t>At</w:t>
      </w:r>
      <w:r>
        <w:rPr>
          <w:spacing w:val="40"/>
          <w:sz w:val="21"/>
        </w:rPr>
        <w:t> </w:t>
      </w:r>
      <w:r>
        <w:rPr>
          <w:sz w:val="21"/>
        </w:rPr>
        <w:t>the</w:t>
      </w:r>
      <w:r>
        <w:rPr>
          <w:spacing w:val="40"/>
          <w:sz w:val="21"/>
        </w:rPr>
        <w:t> </w:t>
      </w:r>
      <w:r>
        <w:rPr>
          <w:sz w:val="21"/>
        </w:rPr>
        <w:t>request</w:t>
      </w:r>
      <w:r>
        <w:rPr>
          <w:spacing w:val="40"/>
          <w:sz w:val="21"/>
        </w:rPr>
        <w:t> </w:t>
      </w:r>
      <w:r>
        <w:rPr>
          <w:sz w:val="21"/>
        </w:rPr>
        <w:t>of</w:t>
      </w:r>
      <w:r>
        <w:rPr>
          <w:spacing w:val="40"/>
          <w:sz w:val="21"/>
        </w:rPr>
        <w:t> </w:t>
      </w:r>
      <w:r>
        <w:rPr>
          <w:sz w:val="21"/>
        </w:rPr>
        <w:t>the</w:t>
      </w:r>
      <w:r>
        <w:rPr>
          <w:spacing w:val="40"/>
          <w:sz w:val="21"/>
        </w:rPr>
        <w:t> </w:t>
      </w:r>
      <w:r>
        <w:rPr>
          <w:sz w:val="21"/>
        </w:rPr>
        <w:t>Macau</w:t>
      </w:r>
      <w:r>
        <w:rPr>
          <w:spacing w:val="40"/>
          <w:sz w:val="21"/>
        </w:rPr>
        <w:t> </w:t>
      </w:r>
      <w:r>
        <w:rPr>
          <w:sz w:val="21"/>
        </w:rPr>
        <w:t>SAR,</w:t>
      </w:r>
      <w:r>
        <w:rPr>
          <w:spacing w:val="40"/>
          <w:sz w:val="21"/>
        </w:rPr>
        <w:t> </w:t>
      </w:r>
      <w:r>
        <w:rPr>
          <w:sz w:val="21"/>
        </w:rPr>
        <w:t>the</w:t>
      </w:r>
      <w:r>
        <w:rPr>
          <w:spacing w:val="40"/>
          <w:sz w:val="21"/>
        </w:rPr>
        <w:t> </w:t>
      </w:r>
      <w:r>
        <w:rPr>
          <w:sz w:val="21"/>
        </w:rPr>
        <w:t>Concessionaire</w:t>
      </w:r>
      <w:r>
        <w:rPr>
          <w:spacing w:val="40"/>
          <w:sz w:val="21"/>
        </w:rPr>
        <w:t> </w:t>
      </w:r>
      <w:r>
        <w:rPr>
          <w:sz w:val="21"/>
        </w:rPr>
        <w:t>pledges</w:t>
      </w:r>
      <w:r>
        <w:rPr>
          <w:spacing w:val="40"/>
          <w:sz w:val="21"/>
        </w:rPr>
        <w:t> </w:t>
      </w:r>
      <w:r>
        <w:rPr>
          <w:sz w:val="21"/>
        </w:rPr>
        <w:t>to</w:t>
      </w:r>
      <w:r>
        <w:rPr>
          <w:spacing w:val="40"/>
          <w:sz w:val="21"/>
        </w:rPr>
        <w:t> </w:t>
      </w:r>
      <w:r>
        <w:rPr>
          <w:sz w:val="21"/>
        </w:rPr>
        <w:t>prepare</w:t>
      </w:r>
      <w:r>
        <w:rPr>
          <w:spacing w:val="40"/>
          <w:sz w:val="21"/>
        </w:rPr>
        <w:t> </w:t>
      </w:r>
      <w:r>
        <w:rPr>
          <w:sz w:val="21"/>
        </w:rPr>
        <w:t>any</w:t>
      </w:r>
      <w:r>
        <w:rPr>
          <w:spacing w:val="40"/>
          <w:sz w:val="21"/>
        </w:rPr>
        <w:t> </w:t>
      </w:r>
      <w:r>
        <w:rPr>
          <w:sz w:val="21"/>
        </w:rPr>
        <w:t>type</w:t>
      </w:r>
      <w:r>
        <w:rPr>
          <w:spacing w:val="40"/>
          <w:sz w:val="21"/>
        </w:rPr>
        <w:t> </w:t>
      </w:r>
      <w:r>
        <w:rPr>
          <w:sz w:val="21"/>
        </w:rPr>
        <w:t>of</w:t>
      </w:r>
      <w:r>
        <w:rPr>
          <w:spacing w:val="40"/>
          <w:sz w:val="21"/>
        </w:rPr>
        <w:t> </w:t>
      </w:r>
      <w:r>
        <w:rPr>
          <w:sz w:val="21"/>
        </w:rPr>
        <w:t>document</w:t>
      </w:r>
      <w:r>
        <w:rPr>
          <w:spacing w:val="40"/>
          <w:sz w:val="21"/>
        </w:rPr>
        <w:t> </w:t>
      </w:r>
      <w:r>
        <w:rPr>
          <w:sz w:val="21"/>
        </w:rPr>
        <w:t>or</w:t>
      </w:r>
      <w:r>
        <w:rPr>
          <w:spacing w:val="40"/>
          <w:sz w:val="21"/>
        </w:rPr>
        <w:t> </w:t>
      </w:r>
      <w:r>
        <w:rPr>
          <w:sz w:val="21"/>
        </w:rPr>
        <w:t>declaration</w:t>
      </w:r>
      <w:r>
        <w:rPr>
          <w:spacing w:val="40"/>
          <w:sz w:val="21"/>
        </w:rPr>
        <w:t> </w:t>
      </w:r>
      <w:r>
        <w:rPr>
          <w:sz w:val="21"/>
        </w:rPr>
        <w:t>with</w:t>
      </w:r>
      <w:r>
        <w:rPr>
          <w:spacing w:val="40"/>
          <w:sz w:val="21"/>
        </w:rPr>
        <w:t> </w:t>
      </w:r>
      <w:r>
        <w:rPr>
          <w:sz w:val="21"/>
        </w:rPr>
        <w:t>the objective of confirming or registering the rights referred to in the previous paragraph.</w:t>
      </w:r>
    </w:p>
    <w:p>
      <w:pPr>
        <w:pStyle w:val="BodyText"/>
        <w:spacing w:before="165"/>
        <w:rPr>
          <w:sz w:val="21"/>
        </w:rPr>
      </w:pPr>
    </w:p>
    <w:p>
      <w:pPr>
        <w:spacing w:line="213" w:lineRule="auto" w:before="0"/>
        <w:ind w:left="144" w:right="119" w:firstLine="0"/>
        <w:jc w:val="both"/>
        <w:rPr>
          <w:sz w:val="21"/>
        </w:rPr>
      </w:pPr>
      <w:r>
        <w:rPr>
          <w:i/>
          <w:sz w:val="21"/>
        </w:rPr>
        <w:t>Five</w:t>
      </w:r>
      <w:r>
        <w:rPr>
          <w:sz w:val="21"/>
        </w:rPr>
        <w:t>. If the Concessionaire does not settle any existing disputes with third parties regarding possible violations of industrial </w:t>
      </w:r>
      <w:r>
        <w:rPr>
          <w:sz w:val="21"/>
        </w:rPr>
        <w:t>or intellectual property rights awarded or to be awarded to the Macau SAR under the terms of this clause, the Macau SAR shall always intervene</w:t>
      </w:r>
      <w:r>
        <w:rPr>
          <w:spacing w:val="24"/>
          <w:sz w:val="21"/>
        </w:rPr>
        <w:t> </w:t>
      </w:r>
      <w:r>
        <w:rPr>
          <w:sz w:val="21"/>
        </w:rPr>
        <w:t>in</w:t>
      </w:r>
      <w:r>
        <w:rPr>
          <w:spacing w:val="24"/>
          <w:sz w:val="21"/>
        </w:rPr>
        <w:t> </w:t>
      </w:r>
      <w:r>
        <w:rPr>
          <w:sz w:val="21"/>
        </w:rPr>
        <w:t>defense</w:t>
      </w:r>
      <w:r>
        <w:rPr>
          <w:spacing w:val="24"/>
          <w:sz w:val="21"/>
        </w:rPr>
        <w:t> </w:t>
      </w:r>
      <w:r>
        <w:rPr>
          <w:sz w:val="21"/>
        </w:rPr>
        <w:t>of</w:t>
      </w:r>
      <w:r>
        <w:rPr>
          <w:spacing w:val="24"/>
          <w:sz w:val="21"/>
        </w:rPr>
        <w:t> </w:t>
      </w:r>
      <w:r>
        <w:rPr>
          <w:sz w:val="21"/>
        </w:rPr>
        <w:t>these</w:t>
      </w:r>
      <w:r>
        <w:rPr>
          <w:spacing w:val="24"/>
          <w:sz w:val="21"/>
        </w:rPr>
        <w:t> </w:t>
      </w:r>
      <w:r>
        <w:rPr>
          <w:sz w:val="21"/>
        </w:rPr>
        <w:t>rights,</w:t>
      </w:r>
      <w:r>
        <w:rPr>
          <w:spacing w:val="24"/>
          <w:sz w:val="21"/>
        </w:rPr>
        <w:t> </w:t>
      </w:r>
      <w:r>
        <w:rPr>
          <w:sz w:val="21"/>
        </w:rPr>
        <w:t>with</w:t>
      </w:r>
      <w:r>
        <w:rPr>
          <w:spacing w:val="24"/>
          <w:sz w:val="21"/>
        </w:rPr>
        <w:t> </w:t>
      </w:r>
      <w:r>
        <w:rPr>
          <w:sz w:val="21"/>
        </w:rPr>
        <w:t>the</w:t>
      </w:r>
      <w:r>
        <w:rPr>
          <w:spacing w:val="24"/>
          <w:sz w:val="21"/>
        </w:rPr>
        <w:t> </w:t>
      </w:r>
      <w:r>
        <w:rPr>
          <w:sz w:val="21"/>
        </w:rPr>
        <w:t>Concessionaire</w:t>
      </w:r>
      <w:r>
        <w:rPr>
          <w:spacing w:val="24"/>
          <w:sz w:val="21"/>
        </w:rPr>
        <w:t> </w:t>
      </w:r>
      <w:r>
        <w:rPr>
          <w:sz w:val="21"/>
        </w:rPr>
        <w:t>undertaking</w:t>
      </w:r>
      <w:r>
        <w:rPr>
          <w:spacing w:val="24"/>
          <w:sz w:val="21"/>
        </w:rPr>
        <w:t> </w:t>
      </w:r>
      <w:r>
        <w:rPr>
          <w:sz w:val="21"/>
        </w:rPr>
        <w:t>to</w:t>
      </w:r>
      <w:r>
        <w:rPr>
          <w:spacing w:val="24"/>
          <w:sz w:val="21"/>
        </w:rPr>
        <w:t> </w:t>
      </w:r>
      <w:r>
        <w:rPr>
          <w:sz w:val="21"/>
        </w:rPr>
        <w:t>provide</w:t>
      </w:r>
      <w:r>
        <w:rPr>
          <w:spacing w:val="24"/>
          <w:sz w:val="21"/>
        </w:rPr>
        <w:t> </w:t>
      </w:r>
      <w:r>
        <w:rPr>
          <w:sz w:val="21"/>
        </w:rPr>
        <w:t>all</w:t>
      </w:r>
      <w:r>
        <w:rPr>
          <w:spacing w:val="24"/>
          <w:sz w:val="21"/>
        </w:rPr>
        <w:t> </w:t>
      </w:r>
      <w:r>
        <w:rPr>
          <w:sz w:val="21"/>
        </w:rPr>
        <w:t>of</w:t>
      </w:r>
      <w:r>
        <w:rPr>
          <w:spacing w:val="24"/>
          <w:sz w:val="21"/>
        </w:rPr>
        <w:t> </w:t>
      </w:r>
      <w:r>
        <w:rPr>
          <w:sz w:val="21"/>
        </w:rPr>
        <w:t>the</w:t>
      </w:r>
      <w:r>
        <w:rPr>
          <w:spacing w:val="24"/>
          <w:sz w:val="21"/>
        </w:rPr>
        <w:t> </w:t>
      </w:r>
      <w:r>
        <w:rPr>
          <w:sz w:val="21"/>
        </w:rPr>
        <w:t>assistance</w:t>
      </w:r>
      <w:r>
        <w:rPr>
          <w:spacing w:val="24"/>
          <w:sz w:val="21"/>
        </w:rPr>
        <w:t> </w:t>
      </w:r>
      <w:r>
        <w:rPr>
          <w:sz w:val="21"/>
        </w:rPr>
        <w:t>required</w:t>
      </w:r>
      <w:r>
        <w:rPr>
          <w:spacing w:val="24"/>
          <w:sz w:val="21"/>
        </w:rPr>
        <w:t> </w:t>
      </w:r>
      <w:r>
        <w:rPr>
          <w:sz w:val="21"/>
        </w:rPr>
        <w:t>for</w:t>
      </w:r>
      <w:r>
        <w:rPr>
          <w:spacing w:val="24"/>
          <w:sz w:val="21"/>
        </w:rPr>
        <w:t> </w:t>
      </w:r>
      <w:r>
        <w:rPr>
          <w:sz w:val="21"/>
        </w:rPr>
        <w:t>that</w:t>
      </w:r>
      <w:r>
        <w:rPr>
          <w:spacing w:val="24"/>
          <w:sz w:val="21"/>
        </w:rPr>
        <w:t> </w:t>
      </w:r>
      <w:r>
        <w:rPr>
          <w:sz w:val="21"/>
        </w:rPr>
        <w:t>purpose.</w:t>
      </w:r>
    </w:p>
    <w:p>
      <w:pPr>
        <w:pStyle w:val="BodyText"/>
        <w:spacing w:before="132"/>
        <w:rPr>
          <w:sz w:val="21"/>
        </w:rPr>
      </w:pPr>
    </w:p>
    <w:p>
      <w:pPr>
        <w:spacing w:before="0"/>
        <w:ind w:left="24" w:right="0" w:firstLine="0"/>
        <w:jc w:val="center"/>
        <w:rPr>
          <w:b/>
          <w:sz w:val="21"/>
        </w:rPr>
      </w:pPr>
      <w:r>
        <w:rPr>
          <w:b/>
          <w:sz w:val="21"/>
        </w:rPr>
        <w:t>Clause</w:t>
      </w:r>
      <w:r>
        <w:rPr>
          <w:b/>
          <w:spacing w:val="13"/>
          <w:sz w:val="21"/>
        </w:rPr>
        <w:t> </w:t>
      </w:r>
      <w:r>
        <w:rPr>
          <w:b/>
          <w:spacing w:val="-5"/>
          <w:sz w:val="21"/>
        </w:rPr>
        <w:t>91</w:t>
      </w:r>
    </w:p>
    <w:p>
      <w:pPr>
        <w:spacing w:before="69"/>
        <w:ind w:left="24" w:right="0" w:firstLine="0"/>
        <w:jc w:val="center"/>
        <w:rPr>
          <w:b/>
          <w:sz w:val="21"/>
        </w:rPr>
      </w:pPr>
      <w:r>
        <w:rPr>
          <w:b/>
          <w:sz w:val="21"/>
        </w:rPr>
        <w:t>Notifications,</w:t>
      </w:r>
      <w:r>
        <w:rPr>
          <w:b/>
          <w:spacing w:val="21"/>
          <w:sz w:val="21"/>
        </w:rPr>
        <w:t> </w:t>
      </w:r>
      <w:r>
        <w:rPr>
          <w:b/>
          <w:sz w:val="21"/>
        </w:rPr>
        <w:t>communications,</w:t>
      </w:r>
      <w:r>
        <w:rPr>
          <w:b/>
          <w:spacing w:val="21"/>
          <w:sz w:val="21"/>
        </w:rPr>
        <w:t> </w:t>
      </w:r>
      <w:r>
        <w:rPr>
          <w:b/>
          <w:sz w:val="21"/>
        </w:rPr>
        <w:t>notices,</w:t>
      </w:r>
      <w:r>
        <w:rPr>
          <w:b/>
          <w:spacing w:val="21"/>
          <w:sz w:val="21"/>
        </w:rPr>
        <w:t> </w:t>
      </w:r>
      <w:r>
        <w:rPr>
          <w:b/>
          <w:sz w:val="21"/>
        </w:rPr>
        <w:t>authorizations,</w:t>
      </w:r>
      <w:r>
        <w:rPr>
          <w:b/>
          <w:spacing w:val="22"/>
          <w:sz w:val="21"/>
        </w:rPr>
        <w:t> </w:t>
      </w:r>
      <w:r>
        <w:rPr>
          <w:b/>
          <w:sz w:val="21"/>
        </w:rPr>
        <w:t>and</w:t>
      </w:r>
      <w:r>
        <w:rPr>
          <w:b/>
          <w:spacing w:val="21"/>
          <w:sz w:val="21"/>
        </w:rPr>
        <w:t> </w:t>
      </w:r>
      <w:r>
        <w:rPr>
          <w:b/>
          <w:spacing w:val="-2"/>
          <w:sz w:val="21"/>
        </w:rPr>
        <w:t>approvals</w:t>
      </w:r>
    </w:p>
    <w:p>
      <w:pPr>
        <w:pStyle w:val="BodyText"/>
        <w:spacing w:before="146"/>
        <w:rPr>
          <w:b/>
          <w:sz w:val="21"/>
        </w:rPr>
      </w:pPr>
    </w:p>
    <w:p>
      <w:pPr>
        <w:spacing w:line="213" w:lineRule="auto" w:before="0"/>
        <w:ind w:left="144" w:right="118" w:firstLine="0"/>
        <w:jc w:val="both"/>
        <w:rPr>
          <w:sz w:val="21"/>
        </w:rPr>
      </w:pPr>
      <w:r>
        <w:rPr>
          <w:i/>
          <w:sz w:val="21"/>
        </w:rPr>
        <w:t>One</w:t>
      </w:r>
      <w:r>
        <w:rPr>
          <w:sz w:val="21"/>
        </w:rPr>
        <w:t>. Unless otherwise specified, notices, notifications, communications, authorizations and approvals referred to in this </w:t>
      </w:r>
      <w:r>
        <w:rPr>
          <w:sz w:val="21"/>
        </w:rPr>
        <w:t>concession agreement shall be in writing and made:</w:t>
      </w:r>
    </w:p>
    <w:p>
      <w:pPr>
        <w:pStyle w:val="BodyText"/>
        <w:spacing w:before="131"/>
        <w:rPr>
          <w:sz w:val="21"/>
        </w:rPr>
      </w:pPr>
    </w:p>
    <w:p>
      <w:pPr>
        <w:pStyle w:val="ListParagraph"/>
        <w:numPr>
          <w:ilvl w:val="0"/>
          <w:numId w:val="46"/>
        </w:numPr>
        <w:tabs>
          <w:tab w:pos="887" w:val="left" w:leader="none"/>
        </w:tabs>
        <w:spacing w:line="240" w:lineRule="auto" w:before="0" w:after="0"/>
        <w:ind w:left="887" w:right="0" w:hanging="233"/>
        <w:jc w:val="left"/>
        <w:rPr>
          <w:sz w:val="21"/>
        </w:rPr>
      </w:pPr>
      <w:r>
        <w:rPr>
          <w:sz w:val="21"/>
        </w:rPr>
        <w:t>By</w:t>
      </w:r>
      <w:r>
        <w:rPr>
          <w:spacing w:val="10"/>
          <w:sz w:val="21"/>
        </w:rPr>
        <w:t> </w:t>
      </w:r>
      <w:r>
        <w:rPr>
          <w:sz w:val="21"/>
        </w:rPr>
        <w:t>hand,</w:t>
      </w:r>
      <w:r>
        <w:rPr>
          <w:spacing w:val="11"/>
          <w:sz w:val="21"/>
        </w:rPr>
        <w:t> </w:t>
      </w:r>
      <w:r>
        <w:rPr>
          <w:sz w:val="21"/>
        </w:rPr>
        <w:t>provided</w:t>
      </w:r>
      <w:r>
        <w:rPr>
          <w:spacing w:val="10"/>
          <w:sz w:val="21"/>
        </w:rPr>
        <w:t> </w:t>
      </w:r>
      <w:r>
        <w:rPr>
          <w:sz w:val="21"/>
        </w:rPr>
        <w:t>they</w:t>
      </w:r>
      <w:r>
        <w:rPr>
          <w:spacing w:val="11"/>
          <w:sz w:val="21"/>
        </w:rPr>
        <w:t> </w:t>
      </w:r>
      <w:r>
        <w:rPr>
          <w:sz w:val="21"/>
        </w:rPr>
        <w:t>are</w:t>
      </w:r>
      <w:r>
        <w:rPr>
          <w:spacing w:val="10"/>
          <w:sz w:val="21"/>
        </w:rPr>
        <w:t> </w:t>
      </w:r>
      <w:r>
        <w:rPr>
          <w:sz w:val="21"/>
        </w:rPr>
        <w:t>corroborated</w:t>
      </w:r>
      <w:r>
        <w:rPr>
          <w:spacing w:val="11"/>
          <w:sz w:val="21"/>
        </w:rPr>
        <w:t> </w:t>
      </w:r>
      <w:r>
        <w:rPr>
          <w:sz w:val="21"/>
        </w:rPr>
        <w:t>by</w:t>
      </w:r>
      <w:r>
        <w:rPr>
          <w:spacing w:val="11"/>
          <w:sz w:val="21"/>
        </w:rPr>
        <w:t> </w:t>
      </w:r>
      <w:r>
        <w:rPr>
          <w:spacing w:val="-2"/>
          <w:sz w:val="21"/>
        </w:rPr>
        <w:t>docket;</w:t>
      </w:r>
    </w:p>
    <w:p>
      <w:pPr>
        <w:pStyle w:val="BodyText"/>
        <w:spacing w:before="138"/>
        <w:rPr>
          <w:sz w:val="21"/>
        </w:rPr>
      </w:pPr>
    </w:p>
    <w:p>
      <w:pPr>
        <w:pStyle w:val="ListParagraph"/>
        <w:numPr>
          <w:ilvl w:val="0"/>
          <w:numId w:val="46"/>
        </w:numPr>
        <w:tabs>
          <w:tab w:pos="887" w:val="left" w:leader="none"/>
        </w:tabs>
        <w:spacing w:line="240" w:lineRule="auto" w:before="0" w:after="0"/>
        <w:ind w:left="887" w:right="0" w:hanging="233"/>
        <w:jc w:val="left"/>
        <w:rPr>
          <w:sz w:val="21"/>
        </w:rPr>
      </w:pPr>
      <w:r>
        <w:rPr>
          <w:sz w:val="21"/>
        </w:rPr>
        <w:t>By</w:t>
      </w:r>
      <w:r>
        <w:rPr>
          <w:spacing w:val="9"/>
          <w:sz w:val="21"/>
        </w:rPr>
        <w:t> </w:t>
      </w:r>
      <w:r>
        <w:rPr>
          <w:sz w:val="21"/>
        </w:rPr>
        <w:t>fax,</w:t>
      </w:r>
      <w:r>
        <w:rPr>
          <w:spacing w:val="11"/>
          <w:sz w:val="21"/>
        </w:rPr>
        <w:t> </w:t>
      </w:r>
      <w:r>
        <w:rPr>
          <w:sz w:val="21"/>
        </w:rPr>
        <w:t>and</w:t>
      </w:r>
      <w:r>
        <w:rPr>
          <w:spacing w:val="11"/>
          <w:sz w:val="21"/>
        </w:rPr>
        <w:t> </w:t>
      </w:r>
      <w:r>
        <w:rPr>
          <w:sz w:val="21"/>
        </w:rPr>
        <w:t>corroborated</w:t>
      </w:r>
      <w:r>
        <w:rPr>
          <w:spacing w:val="11"/>
          <w:sz w:val="21"/>
        </w:rPr>
        <w:t> </w:t>
      </w:r>
      <w:r>
        <w:rPr>
          <w:sz w:val="21"/>
        </w:rPr>
        <w:t>by</w:t>
      </w:r>
      <w:r>
        <w:rPr>
          <w:spacing w:val="11"/>
          <w:sz w:val="21"/>
        </w:rPr>
        <w:t> </w:t>
      </w:r>
      <w:r>
        <w:rPr>
          <w:sz w:val="21"/>
        </w:rPr>
        <w:t>transmittal</w:t>
      </w:r>
      <w:r>
        <w:rPr>
          <w:spacing w:val="12"/>
          <w:sz w:val="21"/>
        </w:rPr>
        <w:t> </w:t>
      </w:r>
      <w:r>
        <w:rPr>
          <w:spacing w:val="-2"/>
          <w:sz w:val="21"/>
        </w:rPr>
        <w:t>receipt;</w:t>
      </w:r>
    </w:p>
    <w:p>
      <w:pPr>
        <w:pStyle w:val="BodyText"/>
        <w:spacing w:before="124"/>
        <w:rPr>
          <w:sz w:val="21"/>
        </w:rPr>
      </w:pPr>
    </w:p>
    <w:p>
      <w:pPr>
        <w:pStyle w:val="ListParagraph"/>
        <w:numPr>
          <w:ilvl w:val="0"/>
          <w:numId w:val="46"/>
        </w:numPr>
        <w:tabs>
          <w:tab w:pos="887" w:val="left" w:leader="none"/>
        </w:tabs>
        <w:spacing w:line="240" w:lineRule="auto" w:before="1" w:after="0"/>
        <w:ind w:left="887" w:right="0" w:hanging="233"/>
        <w:jc w:val="left"/>
        <w:rPr>
          <w:sz w:val="21"/>
        </w:rPr>
      </w:pPr>
      <w:r>
        <w:rPr>
          <w:sz w:val="21"/>
        </w:rPr>
        <w:t>By</w:t>
      </w:r>
      <w:r>
        <w:rPr>
          <w:spacing w:val="12"/>
          <w:sz w:val="21"/>
        </w:rPr>
        <w:t> </w:t>
      </w:r>
      <w:r>
        <w:rPr>
          <w:sz w:val="21"/>
        </w:rPr>
        <w:t>prepaid</w:t>
      </w:r>
      <w:r>
        <w:rPr>
          <w:spacing w:val="12"/>
          <w:sz w:val="21"/>
        </w:rPr>
        <w:t> </w:t>
      </w:r>
      <w:r>
        <w:rPr>
          <w:sz w:val="21"/>
        </w:rPr>
        <w:t>registered</w:t>
      </w:r>
      <w:r>
        <w:rPr>
          <w:spacing w:val="13"/>
          <w:sz w:val="21"/>
        </w:rPr>
        <w:t> </w:t>
      </w:r>
      <w:r>
        <w:rPr>
          <w:spacing w:val="-2"/>
          <w:sz w:val="21"/>
        </w:rPr>
        <w:t>letter.</w:t>
      </w:r>
    </w:p>
    <w:p>
      <w:pPr>
        <w:pStyle w:val="BodyText"/>
        <w:spacing w:before="124"/>
        <w:rPr>
          <w:sz w:val="21"/>
        </w:rPr>
      </w:pPr>
    </w:p>
    <w:p>
      <w:pPr>
        <w:spacing w:before="0"/>
        <w:ind w:left="144" w:right="0" w:firstLine="0"/>
        <w:jc w:val="left"/>
        <w:rPr>
          <w:sz w:val="21"/>
        </w:rPr>
      </w:pPr>
      <w:r>
        <w:rPr>
          <w:i/>
          <w:sz w:val="21"/>
        </w:rPr>
        <w:t>Two</w:t>
      </w:r>
      <w:r>
        <w:rPr>
          <w:sz w:val="21"/>
        </w:rPr>
        <w:t>.</w:t>
      </w:r>
      <w:r>
        <w:rPr>
          <w:spacing w:val="-5"/>
          <w:sz w:val="21"/>
        </w:rPr>
        <w:t> </w:t>
      </w:r>
      <w:r>
        <w:rPr>
          <w:sz w:val="21"/>
        </w:rPr>
        <w:t>Authorizations</w:t>
      </w:r>
      <w:r>
        <w:rPr>
          <w:spacing w:val="10"/>
          <w:sz w:val="21"/>
        </w:rPr>
        <w:t> </w:t>
      </w:r>
      <w:r>
        <w:rPr>
          <w:sz w:val="21"/>
        </w:rPr>
        <w:t>to</w:t>
      </w:r>
      <w:r>
        <w:rPr>
          <w:spacing w:val="9"/>
          <w:sz w:val="21"/>
        </w:rPr>
        <w:t> </w:t>
      </w:r>
      <w:r>
        <w:rPr>
          <w:sz w:val="21"/>
        </w:rPr>
        <w:t>be</w:t>
      </w:r>
      <w:r>
        <w:rPr>
          <w:spacing w:val="10"/>
          <w:sz w:val="21"/>
        </w:rPr>
        <w:t> </w:t>
      </w:r>
      <w:r>
        <w:rPr>
          <w:sz w:val="21"/>
        </w:rPr>
        <w:t>granted</w:t>
      </w:r>
      <w:r>
        <w:rPr>
          <w:spacing w:val="9"/>
          <w:sz w:val="21"/>
        </w:rPr>
        <w:t> </w:t>
      </w:r>
      <w:r>
        <w:rPr>
          <w:sz w:val="21"/>
        </w:rPr>
        <w:t>by</w:t>
      </w:r>
      <w:r>
        <w:rPr>
          <w:spacing w:val="9"/>
          <w:sz w:val="21"/>
        </w:rPr>
        <w:t> </w:t>
      </w:r>
      <w:r>
        <w:rPr>
          <w:sz w:val="21"/>
        </w:rPr>
        <w:t>the</w:t>
      </w:r>
      <w:r>
        <w:rPr>
          <w:spacing w:val="10"/>
          <w:sz w:val="21"/>
        </w:rPr>
        <w:t> </w:t>
      </w:r>
      <w:r>
        <w:rPr>
          <w:sz w:val="21"/>
        </w:rPr>
        <w:t>Government</w:t>
      </w:r>
      <w:r>
        <w:rPr>
          <w:spacing w:val="9"/>
          <w:sz w:val="21"/>
        </w:rPr>
        <w:t> </w:t>
      </w:r>
      <w:r>
        <w:rPr>
          <w:sz w:val="21"/>
        </w:rPr>
        <w:t>are</w:t>
      </w:r>
      <w:r>
        <w:rPr>
          <w:spacing w:val="10"/>
          <w:sz w:val="21"/>
        </w:rPr>
        <w:t> </w:t>
      </w:r>
      <w:r>
        <w:rPr>
          <w:sz w:val="21"/>
        </w:rPr>
        <w:t>always</w:t>
      </w:r>
      <w:r>
        <w:rPr>
          <w:spacing w:val="9"/>
          <w:sz w:val="21"/>
        </w:rPr>
        <w:t> </w:t>
      </w:r>
      <w:r>
        <w:rPr>
          <w:sz w:val="21"/>
        </w:rPr>
        <w:t>prior</w:t>
      </w:r>
      <w:r>
        <w:rPr>
          <w:spacing w:val="10"/>
          <w:sz w:val="21"/>
        </w:rPr>
        <w:t> </w:t>
      </w:r>
      <w:r>
        <w:rPr>
          <w:sz w:val="21"/>
        </w:rPr>
        <w:t>and</w:t>
      </w:r>
      <w:r>
        <w:rPr>
          <w:spacing w:val="9"/>
          <w:sz w:val="21"/>
        </w:rPr>
        <w:t> </w:t>
      </w:r>
      <w:r>
        <w:rPr>
          <w:sz w:val="21"/>
        </w:rPr>
        <w:t>may</w:t>
      </w:r>
      <w:r>
        <w:rPr>
          <w:spacing w:val="10"/>
          <w:sz w:val="21"/>
        </w:rPr>
        <w:t> </w:t>
      </w:r>
      <w:r>
        <w:rPr>
          <w:sz w:val="21"/>
        </w:rPr>
        <w:t>impose</w:t>
      </w:r>
      <w:r>
        <w:rPr>
          <w:spacing w:val="9"/>
          <w:sz w:val="21"/>
        </w:rPr>
        <w:t> </w:t>
      </w:r>
      <w:r>
        <w:rPr>
          <w:spacing w:val="-2"/>
          <w:sz w:val="21"/>
        </w:rPr>
        <w:t>conditions.</w:t>
      </w:r>
    </w:p>
    <w:p>
      <w:pPr>
        <w:pStyle w:val="BodyText"/>
        <w:spacing w:before="159"/>
        <w:rPr>
          <w:sz w:val="21"/>
        </w:rPr>
      </w:pPr>
    </w:p>
    <w:p>
      <w:pPr>
        <w:spacing w:line="213" w:lineRule="auto" w:before="1"/>
        <w:ind w:left="144" w:right="119" w:firstLine="0"/>
        <w:jc w:val="both"/>
        <w:rPr>
          <w:sz w:val="21"/>
        </w:rPr>
      </w:pPr>
      <w:r>
        <w:rPr>
          <w:i/>
          <w:sz w:val="21"/>
        </w:rPr>
        <w:t>Three</w:t>
      </w:r>
      <w:r>
        <w:rPr>
          <w:sz w:val="21"/>
        </w:rPr>
        <w:t>. Failure to respond to a request for authorization and approval or another request made by the Concessionaire will result </w:t>
      </w:r>
      <w:r>
        <w:rPr>
          <w:sz w:val="21"/>
        </w:rPr>
        <w:t>in </w:t>
      </w:r>
      <w:r>
        <w:rPr>
          <w:spacing w:val="-2"/>
          <w:sz w:val="21"/>
        </w:rPr>
        <w:t>rejection.</w:t>
      </w:r>
    </w:p>
    <w:p>
      <w:pPr>
        <w:pStyle w:val="BodyText"/>
        <w:spacing w:before="152"/>
        <w:rPr>
          <w:sz w:val="21"/>
        </w:rPr>
      </w:pPr>
    </w:p>
    <w:p>
      <w:pPr>
        <w:spacing w:line="213" w:lineRule="auto" w:before="0"/>
        <w:ind w:left="144" w:right="118" w:firstLine="0"/>
        <w:jc w:val="both"/>
        <w:rPr>
          <w:sz w:val="21"/>
        </w:rPr>
      </w:pPr>
      <w:r>
        <w:rPr>
          <w:i/>
          <w:sz w:val="21"/>
        </w:rPr>
        <w:t>Four</w:t>
      </w:r>
      <w:r>
        <w:rPr>
          <w:sz w:val="21"/>
        </w:rPr>
        <w:t>.</w:t>
      </w:r>
      <w:r>
        <w:rPr>
          <w:spacing w:val="18"/>
          <w:sz w:val="21"/>
        </w:rPr>
        <w:t> </w:t>
      </w:r>
      <w:r>
        <w:rPr>
          <w:sz w:val="21"/>
        </w:rPr>
        <w:t>For</w:t>
      </w:r>
      <w:r>
        <w:rPr>
          <w:spacing w:val="18"/>
          <w:sz w:val="21"/>
        </w:rPr>
        <w:t> </w:t>
      </w:r>
      <w:r>
        <w:rPr>
          <w:sz w:val="21"/>
        </w:rPr>
        <w:t>the</w:t>
      </w:r>
      <w:r>
        <w:rPr>
          <w:spacing w:val="18"/>
          <w:sz w:val="21"/>
        </w:rPr>
        <w:t> </w:t>
      </w:r>
      <w:r>
        <w:rPr>
          <w:sz w:val="21"/>
        </w:rPr>
        <w:t>scopes</w:t>
      </w:r>
      <w:r>
        <w:rPr>
          <w:spacing w:val="18"/>
          <w:sz w:val="21"/>
        </w:rPr>
        <w:t> </w:t>
      </w:r>
      <w:r>
        <w:rPr>
          <w:sz w:val="21"/>
        </w:rPr>
        <w:t>of</w:t>
      </w:r>
      <w:r>
        <w:rPr>
          <w:spacing w:val="18"/>
          <w:sz w:val="21"/>
        </w:rPr>
        <w:t> </w:t>
      </w:r>
      <w:r>
        <w:rPr>
          <w:sz w:val="21"/>
        </w:rPr>
        <w:t>this</w:t>
      </w:r>
      <w:r>
        <w:rPr>
          <w:spacing w:val="18"/>
          <w:sz w:val="21"/>
        </w:rPr>
        <w:t> </w:t>
      </w:r>
      <w:r>
        <w:rPr>
          <w:sz w:val="21"/>
        </w:rPr>
        <w:t>concession</w:t>
      </w:r>
      <w:r>
        <w:rPr>
          <w:spacing w:val="18"/>
          <w:sz w:val="21"/>
        </w:rPr>
        <w:t> </w:t>
      </w:r>
      <w:r>
        <w:rPr>
          <w:sz w:val="21"/>
        </w:rPr>
        <w:t>contract,</w:t>
      </w:r>
      <w:r>
        <w:rPr>
          <w:spacing w:val="18"/>
          <w:sz w:val="21"/>
        </w:rPr>
        <w:t> </w:t>
      </w:r>
      <w:r>
        <w:rPr>
          <w:sz w:val="21"/>
        </w:rPr>
        <w:t>the</w:t>
      </w:r>
      <w:r>
        <w:rPr>
          <w:spacing w:val="18"/>
          <w:sz w:val="21"/>
        </w:rPr>
        <w:t> </w:t>
      </w:r>
      <w:r>
        <w:rPr>
          <w:sz w:val="21"/>
        </w:rPr>
        <w:t>following</w:t>
      </w:r>
      <w:r>
        <w:rPr>
          <w:spacing w:val="18"/>
          <w:sz w:val="21"/>
        </w:rPr>
        <w:t> </w:t>
      </w:r>
      <w:r>
        <w:rPr>
          <w:sz w:val="21"/>
        </w:rPr>
        <w:t>addresses</w:t>
      </w:r>
      <w:r>
        <w:rPr>
          <w:spacing w:val="18"/>
          <w:sz w:val="21"/>
        </w:rPr>
        <w:t> </w:t>
      </w:r>
      <w:r>
        <w:rPr>
          <w:sz w:val="21"/>
        </w:rPr>
        <w:t>and</w:t>
      </w:r>
      <w:r>
        <w:rPr>
          <w:spacing w:val="18"/>
          <w:sz w:val="21"/>
        </w:rPr>
        <w:t> </w:t>
      </w:r>
      <w:r>
        <w:rPr>
          <w:sz w:val="21"/>
        </w:rPr>
        <w:t>fax</w:t>
      </w:r>
      <w:r>
        <w:rPr>
          <w:spacing w:val="18"/>
          <w:sz w:val="21"/>
        </w:rPr>
        <w:t> </w:t>
      </w:r>
      <w:r>
        <w:rPr>
          <w:sz w:val="21"/>
        </w:rPr>
        <w:t>reception</w:t>
      </w:r>
      <w:r>
        <w:rPr>
          <w:spacing w:val="18"/>
          <w:sz w:val="21"/>
        </w:rPr>
        <w:t> </w:t>
      </w:r>
      <w:r>
        <w:rPr>
          <w:sz w:val="21"/>
        </w:rPr>
        <w:t>points</w:t>
      </w:r>
      <w:r>
        <w:rPr>
          <w:spacing w:val="18"/>
          <w:sz w:val="21"/>
        </w:rPr>
        <w:t> </w:t>
      </w:r>
      <w:r>
        <w:rPr>
          <w:sz w:val="21"/>
        </w:rPr>
        <w:t>are</w:t>
      </w:r>
      <w:r>
        <w:rPr>
          <w:spacing w:val="18"/>
          <w:sz w:val="21"/>
        </w:rPr>
        <w:t> </w:t>
      </w:r>
      <w:r>
        <w:rPr>
          <w:sz w:val="21"/>
        </w:rPr>
        <w:t>considered</w:t>
      </w:r>
      <w:r>
        <w:rPr>
          <w:spacing w:val="18"/>
          <w:sz w:val="21"/>
        </w:rPr>
        <w:t> </w:t>
      </w:r>
      <w:r>
        <w:rPr>
          <w:sz w:val="21"/>
        </w:rPr>
        <w:t>to</w:t>
      </w:r>
      <w:r>
        <w:rPr>
          <w:spacing w:val="18"/>
          <w:sz w:val="21"/>
        </w:rPr>
        <w:t> </w:t>
      </w:r>
      <w:r>
        <w:rPr>
          <w:sz w:val="21"/>
        </w:rPr>
        <w:t>be</w:t>
      </w:r>
      <w:r>
        <w:rPr>
          <w:spacing w:val="18"/>
          <w:sz w:val="21"/>
        </w:rPr>
        <w:t> </w:t>
      </w:r>
      <w:r>
        <w:rPr>
          <w:sz w:val="21"/>
        </w:rPr>
        <w:t>the</w:t>
      </w:r>
      <w:r>
        <w:rPr>
          <w:spacing w:val="18"/>
          <w:sz w:val="21"/>
        </w:rPr>
        <w:t> </w:t>
      </w:r>
      <w:r>
        <w:rPr>
          <w:sz w:val="21"/>
        </w:rPr>
        <w:t>domiciles of the parties:</w:t>
      </w:r>
    </w:p>
    <w:p>
      <w:pPr>
        <w:pStyle w:val="BodyText"/>
        <w:spacing w:before="130"/>
        <w:rPr>
          <w:sz w:val="21"/>
        </w:rPr>
      </w:pPr>
    </w:p>
    <w:p>
      <w:pPr>
        <w:spacing w:before="0"/>
        <w:ind w:left="144" w:right="0" w:firstLine="0"/>
        <w:jc w:val="left"/>
        <w:rPr>
          <w:sz w:val="21"/>
        </w:rPr>
      </w:pPr>
      <w:r>
        <w:rPr>
          <w:sz w:val="21"/>
        </w:rPr>
        <w:t>Government</w:t>
      </w:r>
      <w:r>
        <w:rPr>
          <w:spacing w:val="11"/>
          <w:sz w:val="21"/>
        </w:rPr>
        <w:t> </w:t>
      </w:r>
      <w:r>
        <w:rPr>
          <w:sz w:val="21"/>
        </w:rPr>
        <w:t>of</w:t>
      </w:r>
      <w:r>
        <w:rPr>
          <w:spacing w:val="11"/>
          <w:sz w:val="21"/>
        </w:rPr>
        <w:t> </w:t>
      </w:r>
      <w:r>
        <w:rPr>
          <w:sz w:val="21"/>
        </w:rPr>
        <w:t>the</w:t>
      </w:r>
      <w:r>
        <w:rPr>
          <w:spacing w:val="11"/>
          <w:sz w:val="21"/>
        </w:rPr>
        <w:t> </w:t>
      </w:r>
      <w:r>
        <w:rPr>
          <w:sz w:val="21"/>
        </w:rPr>
        <w:t>Macau</w:t>
      </w:r>
      <w:r>
        <w:rPr>
          <w:spacing w:val="12"/>
          <w:sz w:val="21"/>
        </w:rPr>
        <w:t> </w:t>
      </w:r>
      <w:r>
        <w:rPr>
          <w:spacing w:val="-4"/>
          <w:sz w:val="21"/>
        </w:rPr>
        <w:t>SAR:</w:t>
      </w:r>
    </w:p>
    <w:p>
      <w:pPr>
        <w:spacing w:before="69"/>
        <w:ind w:left="144" w:right="0" w:firstLine="0"/>
        <w:jc w:val="left"/>
        <w:rPr>
          <w:sz w:val="21"/>
        </w:rPr>
      </w:pPr>
      <w:r>
        <w:rPr>
          <w:sz w:val="21"/>
        </w:rPr>
        <w:t>Direcção</w:t>
      </w:r>
      <w:r>
        <w:rPr>
          <w:spacing w:val="11"/>
          <w:sz w:val="21"/>
        </w:rPr>
        <w:t> </w:t>
      </w:r>
      <w:r>
        <w:rPr>
          <w:sz w:val="21"/>
        </w:rPr>
        <w:t>de</w:t>
      </w:r>
      <w:r>
        <w:rPr>
          <w:spacing w:val="12"/>
          <w:sz w:val="21"/>
        </w:rPr>
        <w:t> </w:t>
      </w:r>
      <w:r>
        <w:rPr>
          <w:sz w:val="21"/>
        </w:rPr>
        <w:t>Inspecção</w:t>
      </w:r>
      <w:r>
        <w:rPr>
          <w:spacing w:val="11"/>
          <w:sz w:val="21"/>
        </w:rPr>
        <w:t> </w:t>
      </w:r>
      <w:r>
        <w:rPr>
          <w:sz w:val="21"/>
        </w:rPr>
        <w:t>e</w:t>
      </w:r>
      <w:r>
        <w:rPr>
          <w:spacing w:val="12"/>
          <w:sz w:val="21"/>
        </w:rPr>
        <w:t> </w:t>
      </w:r>
      <w:r>
        <w:rPr>
          <w:sz w:val="21"/>
        </w:rPr>
        <w:t>Coordenação</w:t>
      </w:r>
      <w:r>
        <w:rPr>
          <w:spacing w:val="12"/>
          <w:sz w:val="21"/>
        </w:rPr>
        <w:t> </w:t>
      </w:r>
      <w:r>
        <w:rPr>
          <w:sz w:val="21"/>
        </w:rPr>
        <w:t>de</w:t>
      </w:r>
      <w:r>
        <w:rPr>
          <w:spacing w:val="11"/>
          <w:sz w:val="21"/>
        </w:rPr>
        <w:t> </w:t>
      </w:r>
      <w:r>
        <w:rPr>
          <w:spacing w:val="-2"/>
          <w:sz w:val="21"/>
        </w:rPr>
        <w:t>Jogos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2"/>
        <w:rPr>
          <w:sz w:val="20"/>
        </w:rPr>
      </w:pPr>
      <w:r>
        <w:rPr/>
        <mc:AlternateContent>
          <mc:Choice Requires="wps">
            <w:drawing>
              <wp:anchor distT="0" distB="0" distL="0" distR="0" allowOverlap="1" layoutInCell="1" locked="0" behindDoc="1" simplePos="0" relativeHeight="487789056">
                <wp:simplePos x="0" y="0"/>
                <wp:positionH relativeFrom="page">
                  <wp:posOffset>231457</wp:posOffset>
                </wp:positionH>
                <wp:positionV relativeFrom="paragraph">
                  <wp:posOffset>295897</wp:posOffset>
                </wp:positionV>
                <wp:extent cx="7312659" cy="8890"/>
                <wp:effectExtent l="0" t="0" r="0" b="0"/>
                <wp:wrapTopAndBottom/>
                <wp:docPr id="988" name="Group 988"/>
                <wp:cNvGraphicFramePr>
                  <a:graphicFrameLocks/>
                </wp:cNvGraphicFramePr>
                <a:graphic>
                  <a:graphicData uri="http://schemas.microsoft.com/office/word/2010/wordprocessingGroup">
                    <wpg:wgp>
                      <wpg:cNvPr id="988" name="Group 988"/>
                      <wpg:cNvGrpSpPr/>
                      <wpg:grpSpPr>
                        <a:xfrm>
                          <a:off x="0" y="0"/>
                          <a:ext cx="7312659" cy="8890"/>
                          <a:chExt cx="7312659" cy="8890"/>
                        </a:xfrm>
                      </wpg:grpSpPr>
                      <wps:wsp>
                        <wps:cNvPr id="989" name="Graphic 989"/>
                        <wps:cNvSpPr/>
                        <wps:spPr>
                          <a:xfrm>
                            <a:off x="0" y="12"/>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90" name="Graphic 990"/>
                        <wps:cNvSpPr/>
                        <wps:spPr>
                          <a:xfrm>
                            <a:off x="7303768" y="0"/>
                            <a:ext cx="8890" cy="8890"/>
                          </a:xfrm>
                          <a:custGeom>
                            <a:avLst/>
                            <a:gdLst/>
                            <a:ahLst/>
                            <a:cxnLst/>
                            <a:rect l="l" t="t" r="r" b="b"/>
                            <a:pathLst>
                              <a:path w="8890" h="8890">
                                <a:moveTo>
                                  <a:pt x="8572" y="8502"/>
                                </a:moveTo>
                                <a:lnTo>
                                  <a:pt x="0" y="8502"/>
                                </a:lnTo>
                                <a:lnTo>
                                  <a:pt x="8572" y="0"/>
                                </a:lnTo>
                                <a:lnTo>
                                  <a:pt x="8572" y="8502"/>
                                </a:lnTo>
                                <a:close/>
                              </a:path>
                            </a:pathLst>
                          </a:custGeom>
                          <a:solidFill>
                            <a:srgbClr val="EDEDED"/>
                          </a:solidFill>
                        </wps:spPr>
                        <wps:bodyPr wrap="square" lIns="0" tIns="0" rIns="0" bIns="0" rtlCol="0">
                          <a:prstTxWarp prst="textNoShape">
                            <a:avLst/>
                          </a:prstTxWarp>
                          <a:noAutofit/>
                        </wps:bodyPr>
                      </wps:wsp>
                      <wps:wsp>
                        <wps:cNvPr id="991" name="Graphic 991"/>
                        <wps:cNvSpPr/>
                        <wps:spPr>
                          <a:xfrm>
                            <a:off x="0" y="28"/>
                            <a:ext cx="8890" cy="8890"/>
                          </a:xfrm>
                          <a:custGeom>
                            <a:avLst/>
                            <a:gdLst/>
                            <a:ahLst/>
                            <a:cxnLst/>
                            <a:rect l="l" t="t" r="r" b="b"/>
                            <a:pathLst>
                              <a:path w="8890" h="8890">
                                <a:moveTo>
                                  <a:pt x="8572" y="8502"/>
                                </a:moveTo>
                                <a:lnTo>
                                  <a:pt x="0" y="8502"/>
                                </a:lnTo>
                                <a:lnTo>
                                  <a:pt x="0" y="0"/>
                                </a:lnTo>
                                <a:lnTo>
                                  <a:pt x="8572" y="0"/>
                                </a:lnTo>
                                <a:lnTo>
                                  <a:pt x="8572" y="8502"/>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3.299023pt;width:575.8pt;height:.7pt;mso-position-horizontal-relative:page;mso-position-vertical-relative:paragraph;z-index:-15527424;mso-wrap-distance-left:0;mso-wrap-distance-right:0" id="docshapegroup986" coordorigin="364,466" coordsize="11516,14">
                <v:rect style="position:absolute;left:364;top:466;width:11516;height:14" id="docshape987" filled="true" fillcolor="#999999" stroked="false">
                  <v:fill type="solid"/>
                </v:rect>
                <v:shape style="position:absolute;left:11866;top:465;width:14;height:14" id="docshape988" coordorigin="11866,466" coordsize="14,14" path="m11880,479l11866,479,11880,466,11880,479xe" filled="true" fillcolor="#ededed" stroked="false">
                  <v:path arrowok="t"/>
                  <v:fill type="solid"/>
                </v:shape>
                <v:rect style="position:absolute;left:364;top:466;width:14;height:14" id="docshape989" filled="true" fillcolor="#999999" stroked="false">
                  <v:fill type="solid"/>
                </v:rect>
                <w10:wrap type="topAndBottom"/>
              </v:group>
            </w:pict>
          </mc:Fallback>
        </mc:AlternateContent>
      </w:r>
    </w:p>
    <w:p>
      <w:pPr>
        <w:spacing w:after="0"/>
        <w:rPr>
          <w:sz w:val="20"/>
        </w:rPr>
        <w:sectPr>
          <w:pgSz w:w="12240" w:h="15840"/>
          <w:pgMar w:top="1760" w:bottom="280" w:left="220" w:right="240"/>
        </w:sectPr>
      </w:pPr>
    </w:p>
    <w:p>
      <w:pPr>
        <w:pStyle w:val="BodyText"/>
        <w:spacing w:line="20" w:lineRule="exact"/>
        <w:ind w:left="144"/>
        <w:rPr>
          <w:sz w:val="2"/>
        </w:rPr>
      </w:pPr>
      <w:r>
        <w:rPr>
          <w:sz w:val="2"/>
        </w:rPr>
        <mc:AlternateContent>
          <mc:Choice Requires="wps">
            <w:drawing>
              <wp:inline distT="0" distB="0" distL="0" distR="0">
                <wp:extent cx="7312659" cy="8890"/>
                <wp:effectExtent l="9525" t="0" r="0" b="635"/>
                <wp:docPr id="992" name="Group 992"/>
                <wp:cNvGraphicFramePr>
                  <a:graphicFrameLocks/>
                </wp:cNvGraphicFramePr>
                <a:graphic>
                  <a:graphicData uri="http://schemas.microsoft.com/office/word/2010/wordprocessingGroup">
                    <wpg:wgp>
                      <wpg:cNvPr id="992" name="Group 992"/>
                      <wpg:cNvGrpSpPr/>
                      <wpg:grpSpPr>
                        <a:xfrm>
                          <a:off x="0" y="0"/>
                          <a:ext cx="7312659" cy="8890"/>
                          <a:chExt cx="7312659" cy="8890"/>
                        </a:xfrm>
                      </wpg:grpSpPr>
                      <wps:wsp>
                        <wps:cNvPr id="993" name="Graphic 993"/>
                        <wps:cNvSpPr/>
                        <wps:spPr>
                          <a:xfrm>
                            <a:off x="-12" y="8"/>
                            <a:ext cx="7312659" cy="8890"/>
                          </a:xfrm>
                          <a:custGeom>
                            <a:avLst/>
                            <a:gdLst/>
                            <a:ahLst/>
                            <a:cxnLst/>
                            <a:rect l="l" t="t" r="r" b="b"/>
                            <a:pathLst>
                              <a:path w="7312659" h="8890">
                                <a:moveTo>
                                  <a:pt x="7312342" y="0"/>
                                </a:moveTo>
                                <a:lnTo>
                                  <a:pt x="7303770" y="0"/>
                                </a:lnTo>
                                <a:lnTo>
                                  <a:pt x="0" y="101"/>
                                </a:lnTo>
                                <a:lnTo>
                                  <a:pt x="0" y="8674"/>
                                </a:lnTo>
                                <a:lnTo>
                                  <a:pt x="7312342" y="8674"/>
                                </a:lnTo>
                                <a:lnTo>
                                  <a:pt x="7312342" y="101"/>
                                </a:lnTo>
                                <a:close/>
                              </a:path>
                            </a:pathLst>
                          </a:custGeom>
                          <a:solidFill>
                            <a:srgbClr val="EDEDED"/>
                          </a:solidFill>
                        </wps:spPr>
                        <wps:bodyPr wrap="square" lIns="0" tIns="0" rIns="0" bIns="0" rtlCol="0">
                          <a:prstTxWarp prst="textNoShape">
                            <a:avLst/>
                          </a:prstTxWarp>
                          <a:noAutofit/>
                        </wps:bodyPr>
                      </wps:wsp>
                      <wps:wsp>
                        <wps:cNvPr id="994" name="Graphic 994"/>
                        <wps:cNvSpPr/>
                        <wps:spPr>
                          <a:xfrm>
                            <a:off x="0" y="0"/>
                            <a:ext cx="8890" cy="8890"/>
                          </a:xfrm>
                          <a:custGeom>
                            <a:avLst/>
                            <a:gdLst/>
                            <a:ahLst/>
                            <a:cxnLst/>
                            <a:rect l="l" t="t" r="r" b="b"/>
                            <a:pathLst>
                              <a:path w="8890" h="8890">
                                <a:moveTo>
                                  <a:pt x="0" y="8635"/>
                                </a:moveTo>
                                <a:lnTo>
                                  <a:pt x="0" y="0"/>
                                </a:lnTo>
                                <a:lnTo>
                                  <a:pt x="8572" y="0"/>
                                </a:lnTo>
                                <a:lnTo>
                                  <a:pt x="0" y="863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990" coordorigin="0,0" coordsize="11516,14">
                <v:shape style="position:absolute;left:-1;top:0;width:11516;height:14" id="docshape991" coordorigin="0,0" coordsize="11516,14" path="m11515,0l11502,0,0,0,0,14,11515,14,11515,0xe" filled="true" fillcolor="#ededed" stroked="false">
                  <v:path arrowok="t"/>
                  <v:fill type="solid"/>
                </v:shape>
                <v:shape style="position:absolute;left:0;top:0;width:14;height:14" id="docshape992" coordorigin="0,0" coordsize="14,14" path="m0,14l0,0,13,0,0,14xe" filled="true" fillcolor="#999999" stroked="false">
                  <v:path arrowok="t"/>
                  <v:fill type="solid"/>
                </v:shape>
              </v:group>
            </w:pict>
          </mc:Fallback>
        </mc:AlternateContent>
      </w:r>
      <w:r>
        <w:rPr>
          <w:sz w:val="2"/>
        </w:rPr>
      </w: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42"/>
        <w:rPr>
          <w:sz w:val="21"/>
        </w:rPr>
      </w:pPr>
    </w:p>
    <w:p>
      <w:pPr>
        <w:spacing w:line="233" w:lineRule="exact" w:before="0"/>
        <w:ind w:left="144" w:right="0" w:firstLine="0"/>
        <w:jc w:val="left"/>
        <w:rPr>
          <w:sz w:val="21"/>
        </w:rPr>
      </w:pPr>
      <w:r>
        <w:rPr>
          <w:sz w:val="21"/>
        </w:rPr>
        <w:t>Avenida</w:t>
      </w:r>
      <w:r>
        <w:rPr>
          <w:spacing w:val="9"/>
          <w:sz w:val="21"/>
        </w:rPr>
        <w:t> </w:t>
      </w:r>
      <w:r>
        <w:rPr>
          <w:sz w:val="21"/>
        </w:rPr>
        <w:t>da</w:t>
      </w:r>
      <w:r>
        <w:rPr>
          <w:spacing w:val="9"/>
          <w:sz w:val="21"/>
        </w:rPr>
        <w:t> </w:t>
      </w:r>
      <w:r>
        <w:rPr>
          <w:sz w:val="21"/>
        </w:rPr>
        <w:t>Praia</w:t>
      </w:r>
      <w:r>
        <w:rPr>
          <w:spacing w:val="9"/>
          <w:sz w:val="21"/>
        </w:rPr>
        <w:t> </w:t>
      </w:r>
      <w:r>
        <w:rPr>
          <w:sz w:val="21"/>
        </w:rPr>
        <w:t>Grande,</w:t>
      </w:r>
      <w:r>
        <w:rPr>
          <w:spacing w:val="9"/>
          <w:sz w:val="21"/>
        </w:rPr>
        <w:t> </w:t>
      </w:r>
      <w:r>
        <w:rPr>
          <w:sz w:val="21"/>
        </w:rPr>
        <w:t>n.º</w:t>
      </w:r>
      <w:r>
        <w:rPr>
          <w:position w:val="7"/>
          <w:sz w:val="14"/>
        </w:rPr>
        <w:t>s</w:t>
      </w:r>
      <w:r>
        <w:rPr>
          <w:spacing w:val="27"/>
          <w:position w:val="7"/>
          <w:sz w:val="14"/>
        </w:rPr>
        <w:t> </w:t>
      </w:r>
      <w:r>
        <w:rPr>
          <w:sz w:val="21"/>
        </w:rPr>
        <w:t>762-804,</w:t>
      </w:r>
      <w:r>
        <w:rPr>
          <w:spacing w:val="9"/>
          <w:sz w:val="21"/>
        </w:rPr>
        <w:t> </w:t>
      </w:r>
      <w:r>
        <w:rPr>
          <w:sz w:val="21"/>
        </w:rPr>
        <w:t>Edifício</w:t>
      </w:r>
      <w:r>
        <w:rPr>
          <w:spacing w:val="9"/>
          <w:sz w:val="21"/>
        </w:rPr>
        <w:t> </w:t>
      </w:r>
      <w:r>
        <w:rPr>
          <w:sz w:val="21"/>
        </w:rPr>
        <w:t>“China</w:t>
      </w:r>
      <w:r>
        <w:rPr>
          <w:spacing w:val="9"/>
          <w:sz w:val="21"/>
        </w:rPr>
        <w:t> </w:t>
      </w:r>
      <w:r>
        <w:rPr>
          <w:sz w:val="21"/>
        </w:rPr>
        <w:t>Plaza”,</w:t>
      </w:r>
      <w:r>
        <w:rPr>
          <w:spacing w:val="9"/>
          <w:sz w:val="21"/>
        </w:rPr>
        <w:t> </w:t>
      </w:r>
      <w:r>
        <w:rPr>
          <w:sz w:val="21"/>
        </w:rPr>
        <w:t>12.º</w:t>
      </w:r>
      <w:r>
        <w:rPr>
          <w:spacing w:val="9"/>
          <w:sz w:val="21"/>
        </w:rPr>
        <w:t> </w:t>
      </w:r>
      <w:r>
        <w:rPr>
          <w:sz w:val="21"/>
        </w:rPr>
        <w:t>andar,</w:t>
      </w:r>
      <w:r>
        <w:rPr>
          <w:spacing w:val="9"/>
          <w:sz w:val="21"/>
        </w:rPr>
        <w:t> </w:t>
      </w:r>
      <w:r>
        <w:rPr>
          <w:spacing w:val="-2"/>
          <w:sz w:val="21"/>
        </w:rPr>
        <w:t>Macau</w:t>
      </w:r>
    </w:p>
    <w:p>
      <w:pPr>
        <w:spacing w:line="229" w:lineRule="exact" w:before="0"/>
        <w:ind w:left="144" w:right="0" w:firstLine="0"/>
        <w:jc w:val="left"/>
        <w:rPr>
          <w:sz w:val="21"/>
        </w:rPr>
      </w:pPr>
      <w:r>
        <w:rPr>
          <w:i/>
          <w:sz w:val="21"/>
        </w:rPr>
        <w:t>Fax</w:t>
      </w:r>
      <w:r>
        <w:rPr>
          <w:sz w:val="21"/>
        </w:rPr>
        <w:t>:</w:t>
      </w:r>
      <w:r>
        <w:rPr>
          <w:spacing w:val="8"/>
          <w:sz w:val="21"/>
        </w:rPr>
        <w:t> </w:t>
      </w:r>
      <w:r>
        <w:rPr>
          <w:spacing w:val="-2"/>
          <w:sz w:val="21"/>
        </w:rPr>
        <w:t>28370296</w:t>
      </w:r>
    </w:p>
    <w:p>
      <w:pPr>
        <w:spacing w:before="191"/>
        <w:ind w:left="144" w:right="0" w:firstLine="0"/>
        <w:jc w:val="left"/>
        <w:rPr>
          <w:sz w:val="21"/>
        </w:rPr>
      </w:pPr>
      <w:r>
        <w:rPr>
          <w:spacing w:val="-2"/>
          <w:sz w:val="21"/>
        </w:rPr>
        <w:t>Concessionária:</w:t>
      </w:r>
    </w:p>
    <w:p>
      <w:pPr>
        <w:spacing w:line="229" w:lineRule="exact" w:before="190"/>
        <w:ind w:left="144" w:right="0" w:firstLine="0"/>
        <w:jc w:val="left"/>
        <w:rPr>
          <w:sz w:val="21"/>
        </w:rPr>
      </w:pPr>
      <w:r>
        <w:rPr>
          <w:sz w:val="21"/>
        </w:rPr>
        <w:t>MGM</w:t>
      </w:r>
      <w:r>
        <w:rPr>
          <w:spacing w:val="12"/>
          <w:sz w:val="21"/>
        </w:rPr>
        <w:t> </w:t>
      </w:r>
      <w:r>
        <w:rPr>
          <w:sz w:val="21"/>
        </w:rPr>
        <w:t>Grand</w:t>
      </w:r>
      <w:r>
        <w:rPr>
          <w:spacing w:val="13"/>
          <w:sz w:val="21"/>
        </w:rPr>
        <w:t> </w:t>
      </w:r>
      <w:r>
        <w:rPr>
          <w:sz w:val="21"/>
        </w:rPr>
        <w:t>Paradise</w:t>
      </w:r>
      <w:r>
        <w:rPr>
          <w:spacing w:val="13"/>
          <w:sz w:val="21"/>
        </w:rPr>
        <w:t> </w:t>
      </w:r>
      <w:r>
        <w:rPr>
          <w:spacing w:val="-4"/>
          <w:sz w:val="21"/>
        </w:rPr>
        <w:t>S.A.</w:t>
      </w:r>
    </w:p>
    <w:p>
      <w:pPr>
        <w:spacing w:line="213" w:lineRule="auto" w:before="9"/>
        <w:ind w:left="144" w:right="5850" w:firstLine="0"/>
        <w:jc w:val="left"/>
        <w:rPr>
          <w:sz w:val="21"/>
        </w:rPr>
      </w:pPr>
      <w:r>
        <w:rPr>
          <w:sz w:val="21"/>
        </w:rPr>
        <w:t>Sede:</w:t>
      </w:r>
      <w:r>
        <w:rPr>
          <w:spacing w:val="-7"/>
          <w:sz w:val="21"/>
        </w:rPr>
        <w:t> </w:t>
      </w:r>
      <w:r>
        <w:rPr>
          <w:sz w:val="21"/>
        </w:rPr>
        <w:t>Avenida Dr. Sun</w:t>
      </w:r>
      <w:r>
        <w:rPr>
          <w:spacing w:val="-3"/>
          <w:sz w:val="21"/>
        </w:rPr>
        <w:t> </w:t>
      </w:r>
      <w:r>
        <w:rPr>
          <w:sz w:val="21"/>
        </w:rPr>
        <w:t>Yat Sen n.º 1101, Edifício MGM, Macau Fax: 8802 5905</w:t>
      </w:r>
    </w:p>
    <w:p>
      <w:pPr>
        <w:pStyle w:val="BodyText"/>
        <w:spacing w:before="71"/>
        <w:rPr>
          <w:sz w:val="21"/>
        </w:rPr>
      </w:pPr>
    </w:p>
    <w:p>
      <w:pPr>
        <w:spacing w:line="213" w:lineRule="auto" w:before="0"/>
        <w:ind w:left="144" w:right="0" w:firstLine="0"/>
        <w:jc w:val="left"/>
        <w:rPr>
          <w:sz w:val="21"/>
        </w:rPr>
      </w:pPr>
      <w:r>
        <w:rPr>
          <w:i/>
          <w:sz w:val="21"/>
        </w:rPr>
        <w:t>Five</w:t>
      </w:r>
      <w:r>
        <w:rPr>
          <w:sz w:val="21"/>
        </w:rPr>
        <w:t>.</w:t>
      </w:r>
      <w:r>
        <w:rPr>
          <w:spacing w:val="18"/>
          <w:sz w:val="21"/>
        </w:rPr>
        <w:t> </w:t>
      </w:r>
      <w:r>
        <w:rPr>
          <w:sz w:val="21"/>
        </w:rPr>
        <w:t>The</w:t>
      </w:r>
      <w:r>
        <w:rPr>
          <w:spacing w:val="23"/>
          <w:sz w:val="21"/>
        </w:rPr>
        <w:t> </w:t>
      </w:r>
      <w:r>
        <w:rPr>
          <w:sz w:val="21"/>
        </w:rPr>
        <w:t>Parties</w:t>
      </w:r>
      <w:r>
        <w:rPr>
          <w:spacing w:val="23"/>
          <w:sz w:val="21"/>
        </w:rPr>
        <w:t> </w:t>
      </w:r>
      <w:r>
        <w:rPr>
          <w:sz w:val="21"/>
        </w:rPr>
        <w:t>may</w:t>
      </w:r>
      <w:r>
        <w:rPr>
          <w:spacing w:val="23"/>
          <w:sz w:val="21"/>
        </w:rPr>
        <w:t> </w:t>
      </w:r>
      <w:r>
        <w:rPr>
          <w:sz w:val="21"/>
        </w:rPr>
        <w:t>change</w:t>
      </w:r>
      <w:r>
        <w:rPr>
          <w:spacing w:val="23"/>
          <w:sz w:val="21"/>
        </w:rPr>
        <w:t> </w:t>
      </w:r>
      <w:r>
        <w:rPr>
          <w:sz w:val="21"/>
        </w:rPr>
        <w:t>the</w:t>
      </w:r>
      <w:r>
        <w:rPr>
          <w:spacing w:val="23"/>
          <w:sz w:val="21"/>
        </w:rPr>
        <w:t> </w:t>
      </w:r>
      <w:r>
        <w:rPr>
          <w:sz w:val="21"/>
        </w:rPr>
        <w:t>addresses</w:t>
      </w:r>
      <w:r>
        <w:rPr>
          <w:spacing w:val="23"/>
          <w:sz w:val="21"/>
        </w:rPr>
        <w:t> </w:t>
      </w:r>
      <w:r>
        <w:rPr>
          <w:sz w:val="21"/>
        </w:rPr>
        <w:t>and</w:t>
      </w:r>
      <w:r>
        <w:rPr>
          <w:spacing w:val="23"/>
          <w:sz w:val="21"/>
        </w:rPr>
        <w:t> </w:t>
      </w:r>
      <w:r>
        <w:rPr>
          <w:sz w:val="21"/>
        </w:rPr>
        <w:t>fax</w:t>
      </w:r>
      <w:r>
        <w:rPr>
          <w:spacing w:val="23"/>
          <w:sz w:val="21"/>
        </w:rPr>
        <w:t> </w:t>
      </w:r>
      <w:r>
        <w:rPr>
          <w:sz w:val="21"/>
        </w:rPr>
        <w:t>reception</w:t>
      </w:r>
      <w:r>
        <w:rPr>
          <w:spacing w:val="23"/>
          <w:sz w:val="21"/>
        </w:rPr>
        <w:t> </w:t>
      </w:r>
      <w:r>
        <w:rPr>
          <w:sz w:val="21"/>
        </w:rPr>
        <w:t>points</w:t>
      </w:r>
      <w:r>
        <w:rPr>
          <w:spacing w:val="23"/>
          <w:sz w:val="21"/>
        </w:rPr>
        <w:t> </w:t>
      </w:r>
      <w:r>
        <w:rPr>
          <w:sz w:val="21"/>
        </w:rPr>
        <w:t>referred</w:t>
      </w:r>
      <w:r>
        <w:rPr>
          <w:spacing w:val="23"/>
          <w:sz w:val="21"/>
        </w:rPr>
        <w:t> </w:t>
      </w:r>
      <w:r>
        <w:rPr>
          <w:sz w:val="21"/>
        </w:rPr>
        <w:t>to</w:t>
      </w:r>
      <w:r>
        <w:rPr>
          <w:spacing w:val="23"/>
          <w:sz w:val="21"/>
        </w:rPr>
        <w:t> </w:t>
      </w:r>
      <w:r>
        <w:rPr>
          <w:sz w:val="21"/>
        </w:rPr>
        <w:t>in</w:t>
      </w:r>
      <w:r>
        <w:rPr>
          <w:spacing w:val="23"/>
          <w:sz w:val="21"/>
        </w:rPr>
        <w:t> </w:t>
      </w:r>
      <w:r>
        <w:rPr>
          <w:sz w:val="21"/>
        </w:rPr>
        <w:t>the</w:t>
      </w:r>
      <w:r>
        <w:rPr>
          <w:spacing w:val="23"/>
          <w:sz w:val="21"/>
        </w:rPr>
        <w:t> </w:t>
      </w:r>
      <w:r>
        <w:rPr>
          <w:sz w:val="21"/>
        </w:rPr>
        <w:t>preceding</w:t>
      </w:r>
      <w:r>
        <w:rPr>
          <w:spacing w:val="23"/>
          <w:sz w:val="21"/>
        </w:rPr>
        <w:t> </w:t>
      </w:r>
      <w:r>
        <w:rPr>
          <w:sz w:val="21"/>
        </w:rPr>
        <w:t>paragraph</w:t>
      </w:r>
      <w:r>
        <w:rPr>
          <w:spacing w:val="23"/>
          <w:sz w:val="21"/>
        </w:rPr>
        <w:t> </w:t>
      </w:r>
      <w:r>
        <w:rPr>
          <w:sz w:val="21"/>
        </w:rPr>
        <w:t>upon</w:t>
      </w:r>
      <w:r>
        <w:rPr>
          <w:spacing w:val="23"/>
          <w:sz w:val="21"/>
        </w:rPr>
        <w:t> </w:t>
      </w:r>
      <w:r>
        <w:rPr>
          <w:sz w:val="21"/>
        </w:rPr>
        <w:t>prior</w:t>
      </w:r>
      <w:r>
        <w:rPr>
          <w:spacing w:val="23"/>
          <w:sz w:val="21"/>
        </w:rPr>
        <w:t> </w:t>
      </w:r>
      <w:r>
        <w:rPr>
          <w:sz w:val="21"/>
        </w:rPr>
        <w:t>notice</w:t>
      </w:r>
      <w:r>
        <w:rPr>
          <w:spacing w:val="23"/>
          <w:sz w:val="21"/>
        </w:rPr>
        <w:t> </w:t>
      </w:r>
      <w:r>
        <w:rPr>
          <w:sz w:val="21"/>
        </w:rPr>
        <w:t>of</w:t>
      </w:r>
      <w:r>
        <w:rPr>
          <w:spacing w:val="23"/>
          <w:sz w:val="21"/>
        </w:rPr>
        <w:t> </w:t>
      </w:r>
      <w:r>
        <w:rPr>
          <w:sz w:val="21"/>
        </w:rPr>
        <w:t>the other Party.</w:t>
      </w:r>
    </w:p>
    <w:p>
      <w:pPr>
        <w:pStyle w:val="BodyText"/>
        <w:spacing w:before="131"/>
        <w:rPr>
          <w:sz w:val="21"/>
        </w:rPr>
      </w:pPr>
    </w:p>
    <w:p>
      <w:pPr>
        <w:spacing w:before="0"/>
        <w:ind w:left="24" w:right="0" w:firstLine="0"/>
        <w:jc w:val="center"/>
        <w:rPr>
          <w:b/>
          <w:sz w:val="21"/>
        </w:rPr>
      </w:pPr>
      <w:r>
        <w:rPr>
          <w:b/>
          <w:sz w:val="21"/>
        </w:rPr>
        <w:t>Clause</w:t>
      </w:r>
      <w:r>
        <w:rPr>
          <w:b/>
          <w:spacing w:val="13"/>
          <w:sz w:val="21"/>
        </w:rPr>
        <w:t> </w:t>
      </w:r>
      <w:r>
        <w:rPr>
          <w:b/>
          <w:spacing w:val="-5"/>
          <w:sz w:val="21"/>
        </w:rPr>
        <w:t>92</w:t>
      </w:r>
    </w:p>
    <w:p>
      <w:pPr>
        <w:spacing w:before="69"/>
        <w:ind w:left="24" w:right="0" w:firstLine="0"/>
        <w:jc w:val="center"/>
        <w:rPr>
          <w:b/>
          <w:sz w:val="21"/>
        </w:rPr>
      </w:pPr>
      <w:r>
        <w:rPr>
          <w:b/>
          <w:sz w:val="21"/>
        </w:rPr>
        <w:t>Prohibition</w:t>
      </w:r>
      <w:r>
        <w:rPr>
          <w:b/>
          <w:spacing w:val="11"/>
          <w:sz w:val="21"/>
        </w:rPr>
        <w:t> </w:t>
      </w:r>
      <w:r>
        <w:rPr>
          <w:b/>
          <w:sz w:val="21"/>
        </w:rPr>
        <w:t>of</w:t>
      </w:r>
      <w:r>
        <w:rPr>
          <w:b/>
          <w:spacing w:val="11"/>
          <w:sz w:val="21"/>
        </w:rPr>
        <w:t> </w:t>
      </w:r>
      <w:r>
        <w:rPr>
          <w:b/>
          <w:sz w:val="21"/>
        </w:rPr>
        <w:t>acts</w:t>
      </w:r>
      <w:r>
        <w:rPr>
          <w:b/>
          <w:spacing w:val="12"/>
          <w:sz w:val="21"/>
        </w:rPr>
        <w:t> </w:t>
      </w:r>
      <w:r>
        <w:rPr>
          <w:b/>
          <w:sz w:val="21"/>
        </w:rPr>
        <w:t>restricting</w:t>
      </w:r>
      <w:r>
        <w:rPr>
          <w:b/>
          <w:spacing w:val="11"/>
          <w:sz w:val="21"/>
        </w:rPr>
        <w:t> </w:t>
      </w:r>
      <w:r>
        <w:rPr>
          <w:b/>
          <w:spacing w:val="-2"/>
          <w:sz w:val="21"/>
        </w:rPr>
        <w:t>competition</w:t>
      </w:r>
    </w:p>
    <w:p>
      <w:pPr>
        <w:pStyle w:val="BodyText"/>
        <w:spacing w:before="146"/>
        <w:rPr>
          <w:b/>
          <w:sz w:val="21"/>
        </w:rPr>
      </w:pPr>
    </w:p>
    <w:p>
      <w:pPr>
        <w:spacing w:line="213" w:lineRule="auto" w:before="0"/>
        <w:ind w:left="144" w:right="0" w:firstLine="0"/>
        <w:jc w:val="left"/>
        <w:rPr>
          <w:sz w:val="21"/>
        </w:rPr>
      </w:pPr>
      <w:r>
        <w:rPr>
          <w:i/>
          <w:sz w:val="21"/>
        </w:rPr>
        <w:t>One</w:t>
      </w:r>
      <w:r>
        <w:rPr>
          <w:sz w:val="21"/>
        </w:rPr>
        <w:t>.</w:t>
      </w:r>
      <w:r>
        <w:rPr>
          <w:spacing w:val="31"/>
          <w:sz w:val="21"/>
        </w:rPr>
        <w:t> </w:t>
      </w:r>
      <w:r>
        <w:rPr>
          <w:sz w:val="21"/>
        </w:rPr>
        <w:t>The</w:t>
      </w:r>
      <w:r>
        <w:rPr>
          <w:spacing w:val="36"/>
          <w:sz w:val="21"/>
        </w:rPr>
        <w:t> </w:t>
      </w:r>
      <w:r>
        <w:rPr>
          <w:sz w:val="21"/>
        </w:rPr>
        <w:t>Concessionaire</w:t>
      </w:r>
      <w:r>
        <w:rPr>
          <w:spacing w:val="36"/>
          <w:sz w:val="21"/>
        </w:rPr>
        <w:t> </w:t>
      </w:r>
      <w:r>
        <w:rPr>
          <w:sz w:val="21"/>
        </w:rPr>
        <w:t>undertakes</w:t>
      </w:r>
      <w:r>
        <w:rPr>
          <w:spacing w:val="36"/>
          <w:sz w:val="21"/>
        </w:rPr>
        <w:t> </w:t>
      </w:r>
      <w:r>
        <w:rPr>
          <w:sz w:val="21"/>
        </w:rPr>
        <w:t>to</w:t>
      </w:r>
      <w:r>
        <w:rPr>
          <w:spacing w:val="36"/>
          <w:sz w:val="21"/>
        </w:rPr>
        <w:t> </w:t>
      </w:r>
      <w:r>
        <w:rPr>
          <w:sz w:val="21"/>
        </w:rPr>
        <w:t>carry</w:t>
      </w:r>
      <w:r>
        <w:rPr>
          <w:spacing w:val="36"/>
          <w:sz w:val="21"/>
        </w:rPr>
        <w:t> </w:t>
      </w:r>
      <w:r>
        <w:rPr>
          <w:sz w:val="21"/>
        </w:rPr>
        <w:t>out</w:t>
      </w:r>
      <w:r>
        <w:rPr>
          <w:spacing w:val="36"/>
          <w:sz w:val="21"/>
        </w:rPr>
        <w:t> </w:t>
      </w:r>
      <w:r>
        <w:rPr>
          <w:sz w:val="21"/>
        </w:rPr>
        <w:t>its</w:t>
      </w:r>
      <w:r>
        <w:rPr>
          <w:spacing w:val="36"/>
          <w:sz w:val="21"/>
        </w:rPr>
        <w:t> </w:t>
      </w:r>
      <w:r>
        <w:rPr>
          <w:sz w:val="21"/>
        </w:rPr>
        <w:t>activity</w:t>
      </w:r>
      <w:r>
        <w:rPr>
          <w:spacing w:val="36"/>
          <w:sz w:val="21"/>
        </w:rPr>
        <w:t> </w:t>
      </w:r>
      <w:r>
        <w:rPr>
          <w:sz w:val="21"/>
        </w:rPr>
        <w:t>in</w:t>
      </w:r>
      <w:r>
        <w:rPr>
          <w:spacing w:val="36"/>
          <w:sz w:val="21"/>
        </w:rPr>
        <w:t> </w:t>
      </w:r>
      <w:r>
        <w:rPr>
          <w:sz w:val="21"/>
        </w:rPr>
        <w:t>due</w:t>
      </w:r>
      <w:r>
        <w:rPr>
          <w:spacing w:val="36"/>
          <w:sz w:val="21"/>
        </w:rPr>
        <w:t> </w:t>
      </w:r>
      <w:r>
        <w:rPr>
          <w:sz w:val="21"/>
        </w:rPr>
        <w:t>respect</w:t>
      </w:r>
      <w:r>
        <w:rPr>
          <w:spacing w:val="36"/>
          <w:sz w:val="21"/>
        </w:rPr>
        <w:t> </w:t>
      </w:r>
      <w:r>
        <w:rPr>
          <w:sz w:val="21"/>
        </w:rPr>
        <w:t>of</w:t>
      </w:r>
      <w:r>
        <w:rPr>
          <w:spacing w:val="36"/>
          <w:sz w:val="21"/>
        </w:rPr>
        <w:t> </w:t>
      </w:r>
      <w:r>
        <w:rPr>
          <w:sz w:val="21"/>
        </w:rPr>
        <w:t>sound</w:t>
      </w:r>
      <w:r>
        <w:rPr>
          <w:spacing w:val="36"/>
          <w:sz w:val="21"/>
        </w:rPr>
        <w:t> </w:t>
      </w:r>
      <w:r>
        <w:rPr>
          <w:sz w:val="21"/>
        </w:rPr>
        <w:t>and</w:t>
      </w:r>
      <w:r>
        <w:rPr>
          <w:spacing w:val="36"/>
          <w:sz w:val="21"/>
        </w:rPr>
        <w:t> </w:t>
      </w:r>
      <w:r>
        <w:rPr>
          <w:sz w:val="21"/>
        </w:rPr>
        <w:t>fair</w:t>
      </w:r>
      <w:r>
        <w:rPr>
          <w:spacing w:val="36"/>
          <w:sz w:val="21"/>
        </w:rPr>
        <w:t> </w:t>
      </w:r>
      <w:r>
        <w:rPr>
          <w:sz w:val="21"/>
        </w:rPr>
        <w:t>competition,</w:t>
      </w:r>
      <w:r>
        <w:rPr>
          <w:spacing w:val="36"/>
          <w:sz w:val="21"/>
        </w:rPr>
        <w:t> </w:t>
      </w:r>
      <w:r>
        <w:rPr>
          <w:sz w:val="21"/>
        </w:rPr>
        <w:t>subject</w:t>
      </w:r>
      <w:r>
        <w:rPr>
          <w:spacing w:val="36"/>
          <w:sz w:val="21"/>
        </w:rPr>
        <w:t> </w:t>
      </w:r>
      <w:r>
        <w:rPr>
          <w:sz w:val="21"/>
        </w:rPr>
        <w:t>to</w:t>
      </w:r>
      <w:r>
        <w:rPr>
          <w:spacing w:val="36"/>
          <w:sz w:val="21"/>
        </w:rPr>
        <w:t> </w:t>
      </w:r>
      <w:r>
        <w:rPr>
          <w:sz w:val="21"/>
        </w:rPr>
        <w:t>the</w:t>
      </w:r>
      <w:r>
        <w:rPr>
          <w:spacing w:val="36"/>
          <w:sz w:val="21"/>
        </w:rPr>
        <w:t> </w:t>
      </w:r>
      <w:r>
        <w:rPr>
          <w:sz w:val="21"/>
        </w:rPr>
        <w:t>inherent principles of market economy.</w:t>
      </w:r>
    </w:p>
    <w:p>
      <w:pPr>
        <w:pStyle w:val="BodyText"/>
        <w:spacing w:before="152"/>
        <w:rPr>
          <w:sz w:val="21"/>
        </w:rPr>
      </w:pPr>
    </w:p>
    <w:p>
      <w:pPr>
        <w:spacing w:line="213" w:lineRule="auto" w:before="0"/>
        <w:ind w:left="144" w:right="118" w:firstLine="0"/>
        <w:jc w:val="both"/>
        <w:rPr>
          <w:sz w:val="21"/>
        </w:rPr>
      </w:pPr>
      <w:r>
        <w:rPr>
          <w:i/>
          <w:sz w:val="21"/>
        </w:rPr>
        <w:t>Two</w:t>
      </w:r>
      <w:r>
        <w:rPr>
          <w:sz w:val="21"/>
        </w:rPr>
        <w:t>.</w:t>
      </w:r>
      <w:r>
        <w:rPr>
          <w:spacing w:val="32"/>
          <w:sz w:val="21"/>
        </w:rPr>
        <w:t> </w:t>
      </w:r>
      <w:r>
        <w:rPr>
          <w:sz w:val="21"/>
        </w:rPr>
        <w:t>The</w:t>
      </w:r>
      <w:r>
        <w:rPr>
          <w:spacing w:val="36"/>
          <w:sz w:val="21"/>
        </w:rPr>
        <w:t> </w:t>
      </w:r>
      <w:r>
        <w:rPr>
          <w:sz w:val="21"/>
        </w:rPr>
        <w:t>Concessionaire</w:t>
      </w:r>
      <w:r>
        <w:rPr>
          <w:spacing w:val="36"/>
          <w:sz w:val="21"/>
        </w:rPr>
        <w:t> </w:t>
      </w:r>
      <w:r>
        <w:rPr>
          <w:sz w:val="21"/>
        </w:rPr>
        <w:t>is</w:t>
      </w:r>
      <w:r>
        <w:rPr>
          <w:spacing w:val="36"/>
          <w:sz w:val="21"/>
        </w:rPr>
        <w:t> </w:t>
      </w:r>
      <w:r>
        <w:rPr>
          <w:sz w:val="21"/>
        </w:rPr>
        <w:t>bound</w:t>
      </w:r>
      <w:r>
        <w:rPr>
          <w:spacing w:val="36"/>
          <w:sz w:val="21"/>
        </w:rPr>
        <w:t> </w:t>
      </w:r>
      <w:r>
        <w:rPr>
          <w:sz w:val="21"/>
        </w:rPr>
        <w:t>not</w:t>
      </w:r>
      <w:r>
        <w:rPr>
          <w:spacing w:val="36"/>
          <w:sz w:val="21"/>
        </w:rPr>
        <w:t> </w:t>
      </w:r>
      <w:r>
        <w:rPr>
          <w:sz w:val="21"/>
        </w:rPr>
        <w:t>to</w:t>
      </w:r>
      <w:r>
        <w:rPr>
          <w:spacing w:val="36"/>
          <w:sz w:val="21"/>
        </w:rPr>
        <w:t> </w:t>
      </w:r>
      <w:r>
        <w:rPr>
          <w:sz w:val="21"/>
        </w:rPr>
        <w:t>enter</w:t>
      </w:r>
      <w:r>
        <w:rPr>
          <w:spacing w:val="36"/>
          <w:sz w:val="21"/>
        </w:rPr>
        <w:t> </w:t>
      </w:r>
      <w:r>
        <w:rPr>
          <w:sz w:val="21"/>
        </w:rPr>
        <w:t>into</w:t>
      </w:r>
      <w:r>
        <w:rPr>
          <w:spacing w:val="36"/>
          <w:sz w:val="21"/>
        </w:rPr>
        <w:t> </w:t>
      </w:r>
      <w:r>
        <w:rPr>
          <w:sz w:val="21"/>
        </w:rPr>
        <w:t>agreements</w:t>
      </w:r>
      <w:r>
        <w:rPr>
          <w:spacing w:val="36"/>
          <w:sz w:val="21"/>
        </w:rPr>
        <w:t> </w:t>
      </w:r>
      <w:r>
        <w:rPr>
          <w:sz w:val="21"/>
        </w:rPr>
        <w:t>and</w:t>
      </w:r>
      <w:r>
        <w:rPr>
          <w:spacing w:val="36"/>
          <w:sz w:val="21"/>
        </w:rPr>
        <w:t> </w:t>
      </w:r>
      <w:r>
        <w:rPr>
          <w:sz w:val="21"/>
        </w:rPr>
        <w:t>not</w:t>
      </w:r>
      <w:r>
        <w:rPr>
          <w:spacing w:val="36"/>
          <w:sz w:val="21"/>
        </w:rPr>
        <w:t> </w:t>
      </w:r>
      <w:r>
        <w:rPr>
          <w:sz w:val="21"/>
        </w:rPr>
        <w:t>to</w:t>
      </w:r>
      <w:r>
        <w:rPr>
          <w:spacing w:val="36"/>
          <w:sz w:val="21"/>
        </w:rPr>
        <w:t> </w:t>
      </w:r>
      <w:r>
        <w:rPr>
          <w:sz w:val="21"/>
        </w:rPr>
        <w:t>engage</w:t>
      </w:r>
      <w:r>
        <w:rPr>
          <w:spacing w:val="36"/>
          <w:sz w:val="21"/>
        </w:rPr>
        <w:t> </w:t>
      </w:r>
      <w:r>
        <w:rPr>
          <w:sz w:val="21"/>
        </w:rPr>
        <w:t>in</w:t>
      </w:r>
      <w:r>
        <w:rPr>
          <w:spacing w:val="36"/>
          <w:sz w:val="21"/>
        </w:rPr>
        <w:t> </w:t>
      </w:r>
      <w:r>
        <w:rPr>
          <w:sz w:val="21"/>
        </w:rPr>
        <w:t>concerted</w:t>
      </w:r>
      <w:r>
        <w:rPr>
          <w:spacing w:val="36"/>
          <w:sz w:val="21"/>
        </w:rPr>
        <w:t> </w:t>
      </w:r>
      <w:r>
        <w:rPr>
          <w:sz w:val="21"/>
        </w:rPr>
        <w:t>practices,</w:t>
      </w:r>
      <w:r>
        <w:rPr>
          <w:spacing w:val="36"/>
          <w:sz w:val="21"/>
        </w:rPr>
        <w:t> </w:t>
      </w:r>
      <w:r>
        <w:rPr>
          <w:sz w:val="21"/>
        </w:rPr>
        <w:t>in</w:t>
      </w:r>
      <w:r>
        <w:rPr>
          <w:spacing w:val="36"/>
          <w:sz w:val="21"/>
        </w:rPr>
        <w:t> </w:t>
      </w:r>
      <w:r>
        <w:rPr>
          <w:sz w:val="21"/>
        </w:rPr>
        <w:t>whatever</w:t>
      </w:r>
      <w:r>
        <w:rPr>
          <w:spacing w:val="36"/>
          <w:sz w:val="21"/>
        </w:rPr>
        <w:t> </w:t>
      </w:r>
      <w:r>
        <w:rPr>
          <w:sz w:val="21"/>
        </w:rPr>
        <w:t>form,</w:t>
      </w:r>
      <w:r>
        <w:rPr>
          <w:spacing w:val="36"/>
          <w:sz w:val="21"/>
        </w:rPr>
        <w:t> </w:t>
      </w:r>
      <w:r>
        <w:rPr>
          <w:sz w:val="21"/>
        </w:rPr>
        <w:t>with other</w:t>
      </w:r>
      <w:r>
        <w:rPr>
          <w:spacing w:val="40"/>
          <w:sz w:val="21"/>
        </w:rPr>
        <w:t> </w:t>
      </w:r>
      <w:r>
        <w:rPr>
          <w:sz w:val="21"/>
        </w:rPr>
        <w:t>concessionaires</w:t>
      </w:r>
      <w:r>
        <w:rPr>
          <w:spacing w:val="40"/>
          <w:sz w:val="21"/>
        </w:rPr>
        <w:t> </w:t>
      </w:r>
      <w:r>
        <w:rPr>
          <w:sz w:val="21"/>
        </w:rPr>
        <w:t>operating</w:t>
      </w:r>
      <w:r>
        <w:rPr>
          <w:spacing w:val="40"/>
          <w:sz w:val="21"/>
        </w:rPr>
        <w:t> </w:t>
      </w:r>
      <w:r>
        <w:rPr>
          <w:sz w:val="21"/>
        </w:rPr>
        <w:t>in</w:t>
      </w:r>
      <w:r>
        <w:rPr>
          <w:spacing w:val="40"/>
          <w:sz w:val="21"/>
        </w:rPr>
        <w:t> </w:t>
      </w:r>
      <w:r>
        <w:rPr>
          <w:sz w:val="21"/>
        </w:rPr>
        <w:t>the</w:t>
      </w:r>
      <w:r>
        <w:rPr>
          <w:spacing w:val="40"/>
          <w:sz w:val="21"/>
        </w:rPr>
        <w:t> </w:t>
      </w:r>
      <w:r>
        <w:rPr>
          <w:sz w:val="21"/>
        </w:rPr>
        <w:t>Macau</w:t>
      </w:r>
      <w:r>
        <w:rPr>
          <w:spacing w:val="40"/>
          <w:sz w:val="21"/>
        </w:rPr>
        <w:t> </w:t>
      </w:r>
      <w:r>
        <w:rPr>
          <w:sz w:val="21"/>
        </w:rPr>
        <w:t>SAR</w:t>
      </w:r>
      <w:r>
        <w:rPr>
          <w:spacing w:val="40"/>
          <w:sz w:val="21"/>
        </w:rPr>
        <w:t> </w:t>
      </w:r>
      <w:r>
        <w:rPr>
          <w:sz w:val="21"/>
        </w:rPr>
        <w:t>or</w:t>
      </w:r>
      <w:r>
        <w:rPr>
          <w:spacing w:val="40"/>
          <w:sz w:val="21"/>
        </w:rPr>
        <w:t> </w:t>
      </w:r>
      <w:r>
        <w:rPr>
          <w:sz w:val="21"/>
        </w:rPr>
        <w:t>with</w:t>
      </w:r>
      <w:r>
        <w:rPr>
          <w:spacing w:val="40"/>
          <w:sz w:val="21"/>
        </w:rPr>
        <w:t> </w:t>
      </w:r>
      <w:r>
        <w:rPr>
          <w:sz w:val="21"/>
        </w:rPr>
        <w:t>companies</w:t>
      </w:r>
      <w:r>
        <w:rPr>
          <w:spacing w:val="40"/>
          <w:sz w:val="21"/>
        </w:rPr>
        <w:t> </w:t>
      </w:r>
      <w:r>
        <w:rPr>
          <w:sz w:val="21"/>
        </w:rPr>
        <w:t>belonging</w:t>
      </w:r>
      <w:r>
        <w:rPr>
          <w:spacing w:val="40"/>
          <w:sz w:val="21"/>
        </w:rPr>
        <w:t> </w:t>
      </w:r>
      <w:r>
        <w:rPr>
          <w:sz w:val="21"/>
        </w:rPr>
        <w:t>to</w:t>
      </w:r>
      <w:r>
        <w:rPr>
          <w:spacing w:val="40"/>
          <w:sz w:val="21"/>
        </w:rPr>
        <w:t> </w:t>
      </w:r>
      <w:r>
        <w:rPr>
          <w:sz w:val="21"/>
        </w:rPr>
        <w:t>their</w:t>
      </w:r>
      <w:r>
        <w:rPr>
          <w:spacing w:val="40"/>
          <w:sz w:val="21"/>
        </w:rPr>
        <w:t> </w:t>
      </w:r>
      <w:r>
        <w:rPr>
          <w:sz w:val="21"/>
        </w:rPr>
        <w:t>respective</w:t>
      </w:r>
      <w:r>
        <w:rPr>
          <w:spacing w:val="40"/>
          <w:sz w:val="21"/>
        </w:rPr>
        <w:t> </w:t>
      </w:r>
      <w:r>
        <w:rPr>
          <w:sz w:val="21"/>
        </w:rPr>
        <w:t>groups,</w:t>
      </w:r>
      <w:r>
        <w:rPr>
          <w:spacing w:val="40"/>
          <w:sz w:val="21"/>
        </w:rPr>
        <w:t> </w:t>
      </w:r>
      <w:r>
        <w:rPr>
          <w:sz w:val="21"/>
        </w:rPr>
        <w:t>which</w:t>
      </w:r>
      <w:r>
        <w:rPr>
          <w:spacing w:val="40"/>
          <w:sz w:val="21"/>
        </w:rPr>
        <w:t> </w:t>
      </w:r>
      <w:r>
        <w:rPr>
          <w:sz w:val="21"/>
        </w:rPr>
        <w:t>may</w:t>
      </w:r>
      <w:r>
        <w:rPr>
          <w:spacing w:val="40"/>
          <w:sz w:val="21"/>
        </w:rPr>
        <w:t> </w:t>
      </w:r>
      <w:r>
        <w:rPr>
          <w:sz w:val="21"/>
        </w:rPr>
        <w:t>hinder, restrict, or distort competition.</w:t>
      </w:r>
    </w:p>
    <w:p>
      <w:pPr>
        <w:pStyle w:val="BodyText"/>
        <w:spacing w:before="167"/>
        <w:rPr>
          <w:sz w:val="21"/>
        </w:rPr>
      </w:pPr>
    </w:p>
    <w:p>
      <w:pPr>
        <w:spacing w:line="213" w:lineRule="auto" w:before="0"/>
        <w:ind w:left="144" w:right="119" w:firstLine="0"/>
        <w:jc w:val="both"/>
        <w:rPr>
          <w:sz w:val="21"/>
        </w:rPr>
      </w:pPr>
      <w:r>
        <w:rPr>
          <w:i/>
          <w:sz w:val="21"/>
        </w:rPr>
        <w:t>Three</w:t>
      </w:r>
      <w:r>
        <w:rPr>
          <w:sz w:val="21"/>
        </w:rPr>
        <w:t>. The Concessionaire shall not abuse its dominant position in the market or in a substantial part thereof, which might </w:t>
      </w:r>
      <w:r>
        <w:rPr>
          <w:sz w:val="21"/>
        </w:rPr>
        <w:t>hinder, restrict, or distort competition.</w:t>
      </w:r>
    </w:p>
    <w:p>
      <w:pPr>
        <w:pStyle w:val="BodyText"/>
        <w:spacing w:before="130"/>
        <w:rPr>
          <w:sz w:val="21"/>
        </w:rPr>
      </w:pPr>
    </w:p>
    <w:p>
      <w:pPr>
        <w:spacing w:line="309" w:lineRule="auto" w:before="0"/>
        <w:ind w:left="5170" w:right="5143" w:firstLine="0"/>
        <w:jc w:val="center"/>
        <w:rPr>
          <w:b/>
          <w:sz w:val="21"/>
        </w:rPr>
      </w:pPr>
      <w:r>
        <w:rPr>
          <w:b/>
          <w:sz w:val="21"/>
        </w:rPr>
        <w:t>Clause</w:t>
      </w:r>
      <w:r>
        <w:rPr>
          <w:b/>
          <w:spacing w:val="-13"/>
          <w:sz w:val="21"/>
        </w:rPr>
        <w:t> </w:t>
      </w:r>
      <w:r>
        <w:rPr>
          <w:b/>
          <w:sz w:val="21"/>
        </w:rPr>
        <w:t>93 </w:t>
      </w:r>
      <w:r>
        <w:rPr>
          <w:b/>
          <w:spacing w:val="-2"/>
          <w:sz w:val="21"/>
        </w:rPr>
        <w:t>Junkets</w:t>
      </w:r>
    </w:p>
    <w:p>
      <w:pPr>
        <w:pStyle w:val="BodyText"/>
        <w:spacing w:before="75"/>
        <w:rPr>
          <w:b/>
          <w:sz w:val="21"/>
        </w:rPr>
      </w:pPr>
    </w:p>
    <w:p>
      <w:pPr>
        <w:spacing w:line="213" w:lineRule="auto" w:before="1"/>
        <w:ind w:left="144" w:right="118" w:firstLine="0"/>
        <w:jc w:val="both"/>
        <w:rPr>
          <w:sz w:val="21"/>
        </w:rPr>
      </w:pPr>
      <w:r>
        <w:rPr>
          <w:sz w:val="21"/>
        </w:rPr>
        <w:t>The</w:t>
      </w:r>
      <w:r>
        <w:rPr>
          <w:spacing w:val="31"/>
          <w:sz w:val="21"/>
        </w:rPr>
        <w:t> </w:t>
      </w:r>
      <w:r>
        <w:rPr>
          <w:sz w:val="21"/>
        </w:rPr>
        <w:t>Concessionaire</w:t>
      </w:r>
      <w:r>
        <w:rPr>
          <w:spacing w:val="31"/>
          <w:sz w:val="21"/>
        </w:rPr>
        <w:t> </w:t>
      </w:r>
      <w:r>
        <w:rPr>
          <w:sz w:val="21"/>
        </w:rPr>
        <w:t>is</w:t>
      </w:r>
      <w:r>
        <w:rPr>
          <w:spacing w:val="31"/>
          <w:sz w:val="21"/>
        </w:rPr>
        <w:t> </w:t>
      </w:r>
      <w:r>
        <w:rPr>
          <w:sz w:val="21"/>
        </w:rPr>
        <w:t>liable</w:t>
      </w:r>
      <w:r>
        <w:rPr>
          <w:spacing w:val="31"/>
          <w:sz w:val="21"/>
        </w:rPr>
        <w:t> </w:t>
      </w:r>
      <w:r>
        <w:rPr>
          <w:sz w:val="21"/>
        </w:rPr>
        <w:t>to</w:t>
      </w:r>
      <w:r>
        <w:rPr>
          <w:spacing w:val="31"/>
          <w:sz w:val="21"/>
        </w:rPr>
        <w:t> </w:t>
      </w:r>
      <w:r>
        <w:rPr>
          <w:sz w:val="21"/>
        </w:rPr>
        <w:t>the</w:t>
      </w:r>
      <w:r>
        <w:rPr>
          <w:spacing w:val="31"/>
          <w:sz w:val="21"/>
        </w:rPr>
        <w:t> </w:t>
      </w:r>
      <w:r>
        <w:rPr>
          <w:sz w:val="21"/>
        </w:rPr>
        <w:t>Government</w:t>
      </w:r>
      <w:r>
        <w:rPr>
          <w:spacing w:val="31"/>
          <w:sz w:val="21"/>
        </w:rPr>
        <w:t> </w:t>
      </w:r>
      <w:r>
        <w:rPr>
          <w:sz w:val="21"/>
        </w:rPr>
        <w:t>for</w:t>
      </w:r>
      <w:r>
        <w:rPr>
          <w:spacing w:val="31"/>
          <w:sz w:val="21"/>
        </w:rPr>
        <w:t> </w:t>
      </w:r>
      <w:r>
        <w:rPr>
          <w:sz w:val="21"/>
        </w:rPr>
        <w:t>the</w:t>
      </w:r>
      <w:r>
        <w:rPr>
          <w:spacing w:val="31"/>
          <w:sz w:val="21"/>
        </w:rPr>
        <w:t> </w:t>
      </w:r>
      <w:r>
        <w:rPr>
          <w:sz w:val="21"/>
        </w:rPr>
        <w:t>casino</w:t>
      </w:r>
      <w:r>
        <w:rPr>
          <w:spacing w:val="31"/>
          <w:sz w:val="21"/>
        </w:rPr>
        <w:t> </w:t>
      </w:r>
      <w:r>
        <w:rPr>
          <w:sz w:val="21"/>
        </w:rPr>
        <w:t>activities</w:t>
      </w:r>
      <w:r>
        <w:rPr>
          <w:spacing w:val="31"/>
          <w:sz w:val="21"/>
        </w:rPr>
        <w:t> </w:t>
      </w:r>
      <w:r>
        <w:rPr>
          <w:sz w:val="21"/>
        </w:rPr>
        <w:t>of</w:t>
      </w:r>
      <w:r>
        <w:rPr>
          <w:spacing w:val="31"/>
          <w:sz w:val="21"/>
        </w:rPr>
        <w:t> </w:t>
      </w:r>
      <w:r>
        <w:rPr>
          <w:sz w:val="21"/>
        </w:rPr>
        <w:t>their</w:t>
      </w:r>
      <w:r>
        <w:rPr>
          <w:spacing w:val="31"/>
          <w:sz w:val="21"/>
        </w:rPr>
        <w:t> </w:t>
      </w:r>
      <w:r>
        <w:rPr>
          <w:sz w:val="21"/>
        </w:rPr>
        <w:t>registered</w:t>
      </w:r>
      <w:r>
        <w:rPr>
          <w:spacing w:val="31"/>
          <w:sz w:val="21"/>
        </w:rPr>
        <w:t> </w:t>
      </w:r>
      <w:r>
        <w:rPr>
          <w:sz w:val="21"/>
        </w:rPr>
        <w:t>junkets,</w:t>
      </w:r>
      <w:r>
        <w:rPr>
          <w:spacing w:val="31"/>
          <w:sz w:val="21"/>
        </w:rPr>
        <w:t> </w:t>
      </w:r>
      <w:r>
        <w:rPr>
          <w:sz w:val="21"/>
        </w:rPr>
        <w:t>as</w:t>
      </w:r>
      <w:r>
        <w:rPr>
          <w:spacing w:val="31"/>
          <w:sz w:val="21"/>
        </w:rPr>
        <w:t> </w:t>
      </w:r>
      <w:r>
        <w:rPr>
          <w:sz w:val="21"/>
        </w:rPr>
        <w:t>well</w:t>
      </w:r>
      <w:r>
        <w:rPr>
          <w:spacing w:val="31"/>
          <w:sz w:val="21"/>
        </w:rPr>
        <w:t> </w:t>
      </w:r>
      <w:r>
        <w:rPr>
          <w:sz w:val="21"/>
        </w:rPr>
        <w:t>as</w:t>
      </w:r>
      <w:r>
        <w:rPr>
          <w:spacing w:val="31"/>
          <w:sz w:val="21"/>
        </w:rPr>
        <w:t> </w:t>
      </w:r>
      <w:r>
        <w:rPr>
          <w:sz w:val="21"/>
        </w:rPr>
        <w:t>their</w:t>
      </w:r>
      <w:r>
        <w:rPr>
          <w:spacing w:val="31"/>
          <w:sz w:val="21"/>
        </w:rPr>
        <w:t> </w:t>
      </w:r>
      <w:r>
        <w:rPr>
          <w:sz w:val="21"/>
        </w:rPr>
        <w:t>administrators, key employees and collaborators and it shall supervise their activity.</w:t>
      </w:r>
    </w:p>
    <w:p>
      <w:pPr>
        <w:pStyle w:val="BodyText"/>
        <w:spacing w:before="130"/>
        <w:rPr>
          <w:sz w:val="21"/>
        </w:rPr>
      </w:pPr>
    </w:p>
    <w:p>
      <w:pPr>
        <w:spacing w:before="0"/>
        <w:ind w:left="24" w:right="0" w:firstLine="0"/>
        <w:jc w:val="center"/>
        <w:rPr>
          <w:b/>
          <w:sz w:val="21"/>
        </w:rPr>
      </w:pPr>
      <w:r>
        <w:rPr>
          <w:b/>
          <w:sz w:val="21"/>
        </w:rPr>
        <w:t>Clause</w:t>
      </w:r>
      <w:r>
        <w:rPr>
          <w:b/>
          <w:spacing w:val="13"/>
          <w:sz w:val="21"/>
        </w:rPr>
        <w:t> </w:t>
      </w:r>
      <w:r>
        <w:rPr>
          <w:b/>
          <w:spacing w:val="-5"/>
          <w:sz w:val="21"/>
        </w:rPr>
        <w:t>94</w:t>
      </w:r>
    </w:p>
    <w:p>
      <w:pPr>
        <w:spacing w:before="69"/>
        <w:ind w:left="24" w:right="0" w:firstLine="0"/>
        <w:jc w:val="center"/>
        <w:rPr>
          <w:b/>
          <w:sz w:val="21"/>
        </w:rPr>
      </w:pPr>
      <w:r>
        <w:rPr>
          <w:b/>
          <w:sz w:val="21"/>
        </w:rPr>
        <w:t>Promotion</w:t>
      </w:r>
      <w:r>
        <w:rPr>
          <w:b/>
          <w:spacing w:val="12"/>
          <w:sz w:val="21"/>
        </w:rPr>
        <w:t> </w:t>
      </w:r>
      <w:r>
        <w:rPr>
          <w:b/>
          <w:sz w:val="21"/>
        </w:rPr>
        <w:t>of</w:t>
      </w:r>
      <w:r>
        <w:rPr>
          <w:b/>
          <w:spacing w:val="13"/>
          <w:sz w:val="21"/>
        </w:rPr>
        <w:t> </w:t>
      </w:r>
      <w:r>
        <w:rPr>
          <w:b/>
          <w:sz w:val="21"/>
        </w:rPr>
        <w:t>the</w:t>
      </w:r>
      <w:r>
        <w:rPr>
          <w:b/>
          <w:spacing w:val="13"/>
          <w:sz w:val="21"/>
        </w:rPr>
        <w:t> </w:t>
      </w:r>
      <w:r>
        <w:rPr>
          <w:b/>
          <w:sz w:val="21"/>
        </w:rPr>
        <w:t>Concessionaire</w:t>
      </w:r>
      <w:r>
        <w:rPr>
          <w:b/>
          <w:spacing w:val="13"/>
          <w:sz w:val="21"/>
        </w:rPr>
        <w:t> </w:t>
      </w:r>
      <w:r>
        <w:rPr>
          <w:b/>
          <w:spacing w:val="-2"/>
          <w:sz w:val="21"/>
        </w:rPr>
        <w:t>enterprises</w:t>
      </w:r>
    </w:p>
    <w:p>
      <w:pPr>
        <w:pStyle w:val="BodyText"/>
        <w:spacing w:before="146"/>
        <w:rPr>
          <w:b/>
          <w:sz w:val="21"/>
        </w:rPr>
      </w:pPr>
    </w:p>
    <w:p>
      <w:pPr>
        <w:spacing w:line="213" w:lineRule="auto" w:before="0"/>
        <w:ind w:left="144" w:right="118" w:firstLine="0"/>
        <w:jc w:val="both"/>
        <w:rPr>
          <w:sz w:val="21"/>
        </w:rPr>
      </w:pPr>
      <w:r>
        <w:rPr>
          <w:i/>
          <w:sz w:val="21"/>
        </w:rPr>
        <w:t>One</w:t>
      </w:r>
      <w:r>
        <w:rPr>
          <w:sz w:val="21"/>
        </w:rPr>
        <w:t>.</w:t>
      </w:r>
      <w:r>
        <w:rPr>
          <w:spacing w:val="33"/>
          <w:sz w:val="21"/>
        </w:rPr>
        <w:t> </w:t>
      </w:r>
      <w:r>
        <w:rPr>
          <w:sz w:val="21"/>
        </w:rPr>
        <w:t>In</w:t>
      </w:r>
      <w:r>
        <w:rPr>
          <w:spacing w:val="33"/>
          <w:sz w:val="21"/>
        </w:rPr>
        <w:t> </w:t>
      </w:r>
      <w:r>
        <w:rPr>
          <w:sz w:val="21"/>
        </w:rPr>
        <w:t>compliance</w:t>
      </w:r>
      <w:r>
        <w:rPr>
          <w:spacing w:val="33"/>
          <w:sz w:val="21"/>
        </w:rPr>
        <w:t> </w:t>
      </w:r>
      <w:r>
        <w:rPr>
          <w:sz w:val="21"/>
        </w:rPr>
        <w:t>with</w:t>
      </w:r>
      <w:r>
        <w:rPr>
          <w:spacing w:val="33"/>
          <w:sz w:val="21"/>
        </w:rPr>
        <w:t> </w:t>
      </w:r>
      <w:r>
        <w:rPr>
          <w:sz w:val="21"/>
        </w:rPr>
        <w:t>the</w:t>
      </w:r>
      <w:r>
        <w:rPr>
          <w:spacing w:val="33"/>
          <w:sz w:val="21"/>
        </w:rPr>
        <w:t> </w:t>
      </w:r>
      <w:r>
        <w:rPr>
          <w:sz w:val="21"/>
        </w:rPr>
        <w:t>provisions</w:t>
      </w:r>
      <w:r>
        <w:rPr>
          <w:spacing w:val="33"/>
          <w:sz w:val="21"/>
        </w:rPr>
        <w:t> </w:t>
      </w:r>
      <w:r>
        <w:rPr>
          <w:sz w:val="21"/>
        </w:rPr>
        <w:t>of</w:t>
      </w:r>
      <w:r>
        <w:rPr>
          <w:spacing w:val="33"/>
          <w:sz w:val="21"/>
        </w:rPr>
        <w:t> </w:t>
      </w:r>
      <w:r>
        <w:rPr>
          <w:sz w:val="21"/>
        </w:rPr>
        <w:t>Section</w:t>
      </w:r>
      <w:r>
        <w:rPr>
          <w:spacing w:val="33"/>
          <w:sz w:val="21"/>
        </w:rPr>
        <w:t> </w:t>
      </w:r>
      <w:r>
        <w:rPr>
          <w:sz w:val="21"/>
        </w:rPr>
        <w:t>42-A</w:t>
      </w:r>
      <w:r>
        <w:rPr>
          <w:spacing w:val="19"/>
          <w:sz w:val="21"/>
        </w:rPr>
        <w:t> </w:t>
      </w:r>
      <w:r>
        <w:rPr>
          <w:sz w:val="21"/>
        </w:rPr>
        <w:t>of</w:t>
      </w:r>
      <w:r>
        <w:rPr>
          <w:spacing w:val="33"/>
          <w:sz w:val="21"/>
        </w:rPr>
        <w:t> </w:t>
      </w:r>
      <w:r>
        <w:rPr>
          <w:sz w:val="21"/>
        </w:rPr>
        <w:t>Law</w:t>
      </w:r>
      <w:r>
        <w:rPr>
          <w:spacing w:val="33"/>
          <w:sz w:val="21"/>
        </w:rPr>
        <w:t> </w:t>
      </w:r>
      <w:r>
        <w:rPr>
          <w:sz w:val="21"/>
        </w:rPr>
        <w:t>No.</w:t>
      </w:r>
      <w:r>
        <w:rPr>
          <w:spacing w:val="33"/>
          <w:sz w:val="21"/>
        </w:rPr>
        <w:t> </w:t>
      </w:r>
      <w:r>
        <w:rPr>
          <w:sz w:val="21"/>
        </w:rPr>
        <w:t>16/2001,</w:t>
      </w:r>
      <w:r>
        <w:rPr>
          <w:spacing w:val="33"/>
          <w:sz w:val="21"/>
        </w:rPr>
        <w:t> </w:t>
      </w:r>
      <w:r>
        <w:rPr>
          <w:sz w:val="21"/>
        </w:rPr>
        <w:t>the</w:t>
      </w:r>
      <w:r>
        <w:rPr>
          <w:spacing w:val="33"/>
          <w:sz w:val="21"/>
        </w:rPr>
        <w:t> </w:t>
      </w:r>
      <w:r>
        <w:rPr>
          <w:sz w:val="21"/>
        </w:rPr>
        <w:t>Concessionaire</w:t>
      </w:r>
      <w:r>
        <w:rPr>
          <w:spacing w:val="33"/>
          <w:sz w:val="21"/>
        </w:rPr>
        <w:t> </w:t>
      </w:r>
      <w:r>
        <w:rPr>
          <w:sz w:val="21"/>
        </w:rPr>
        <w:t>pledges</w:t>
      </w:r>
      <w:r>
        <w:rPr>
          <w:spacing w:val="33"/>
          <w:sz w:val="21"/>
        </w:rPr>
        <w:t> </w:t>
      </w:r>
      <w:r>
        <w:rPr>
          <w:sz w:val="21"/>
        </w:rPr>
        <w:t>to</w:t>
      </w:r>
      <w:r>
        <w:rPr>
          <w:spacing w:val="33"/>
          <w:sz w:val="21"/>
        </w:rPr>
        <w:t> </w:t>
      </w:r>
      <w:r>
        <w:rPr>
          <w:sz w:val="21"/>
        </w:rPr>
        <w:t>carry</w:t>
      </w:r>
      <w:r>
        <w:rPr>
          <w:spacing w:val="33"/>
          <w:sz w:val="21"/>
        </w:rPr>
        <w:t> </w:t>
      </w:r>
      <w:r>
        <w:rPr>
          <w:sz w:val="21"/>
        </w:rPr>
        <w:t>out</w:t>
      </w:r>
      <w:r>
        <w:rPr>
          <w:spacing w:val="33"/>
          <w:sz w:val="21"/>
        </w:rPr>
        <w:t> </w:t>
      </w:r>
      <w:r>
        <w:rPr>
          <w:sz w:val="21"/>
        </w:rPr>
        <w:t>advertising and marketing campaigns for its undertakings in Macau SAR and abroad.</w:t>
      </w:r>
    </w:p>
    <w:p>
      <w:pPr>
        <w:pStyle w:val="BodyText"/>
        <w:spacing w:before="166"/>
        <w:rPr>
          <w:sz w:val="21"/>
        </w:rPr>
      </w:pPr>
    </w:p>
    <w:p>
      <w:pPr>
        <w:spacing w:line="213" w:lineRule="auto" w:before="0"/>
        <w:ind w:left="144" w:right="118" w:firstLine="0"/>
        <w:jc w:val="both"/>
        <w:rPr>
          <w:sz w:val="21"/>
        </w:rPr>
      </w:pPr>
      <w:r>
        <w:rPr>
          <w:i/>
          <w:sz w:val="21"/>
        </w:rPr>
        <w:t>Two</w:t>
      </w:r>
      <w:r>
        <w:rPr>
          <w:sz w:val="21"/>
        </w:rPr>
        <w:t>. The government and the Concessionaire undertake to coordinate their publicity and marketing activities and campaigns </w:t>
      </w:r>
      <w:r>
        <w:rPr>
          <w:sz w:val="21"/>
        </w:rPr>
        <w:t>in promoting Macau abroad.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5"/>
        <w:rPr>
          <w:sz w:val="20"/>
        </w:rPr>
      </w:pPr>
      <w:r>
        <w:rPr/>
        <mc:AlternateContent>
          <mc:Choice Requires="wps">
            <w:drawing>
              <wp:anchor distT="0" distB="0" distL="0" distR="0" allowOverlap="1" layoutInCell="1" locked="0" behindDoc="1" simplePos="0" relativeHeight="487790080">
                <wp:simplePos x="0" y="0"/>
                <wp:positionH relativeFrom="page">
                  <wp:posOffset>231457</wp:posOffset>
                </wp:positionH>
                <wp:positionV relativeFrom="paragraph">
                  <wp:posOffset>196314</wp:posOffset>
                </wp:positionV>
                <wp:extent cx="7312659" cy="17145"/>
                <wp:effectExtent l="0" t="0" r="0" b="0"/>
                <wp:wrapTopAndBottom/>
                <wp:docPr id="995" name="Group 995"/>
                <wp:cNvGraphicFramePr>
                  <a:graphicFrameLocks/>
                </wp:cNvGraphicFramePr>
                <a:graphic>
                  <a:graphicData uri="http://schemas.microsoft.com/office/word/2010/wordprocessingGroup">
                    <wpg:wgp>
                      <wpg:cNvPr id="995" name="Group 995"/>
                      <wpg:cNvGrpSpPr/>
                      <wpg:grpSpPr>
                        <a:xfrm>
                          <a:off x="0" y="0"/>
                          <a:ext cx="7312659" cy="17145"/>
                          <a:chExt cx="7312659" cy="17145"/>
                        </a:xfrm>
                      </wpg:grpSpPr>
                      <wps:wsp>
                        <wps:cNvPr id="996" name="Graphic 99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97" name="Graphic 997"/>
                        <wps:cNvSpPr/>
                        <wps:spPr>
                          <a:xfrm>
                            <a:off x="-12" y="-2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98" name="Graphic 99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457824pt;width:575.8pt;height:1.35pt;mso-position-horizontal-relative:page;mso-position-vertical-relative:paragraph;z-index:-15526400;mso-wrap-distance-left:0;mso-wrap-distance-right:0" id="docshapegroup993" coordorigin="364,309" coordsize="11516,27">
                <v:rect style="position:absolute;left:364;top:309;width:11516;height:14" id="docshape994" filled="true" fillcolor="#999999" stroked="false">
                  <v:fill type="solid"/>
                </v:rect>
                <v:shape style="position:absolute;left:364;top:309;width:11516;height:27" id="docshape995" coordorigin="364,309" coordsize="11516,27" path="m11880,309l11866,323,364,323,364,336,11866,336,11880,336,11880,323,11880,309xe" filled="true" fillcolor="#ededed" stroked="false">
                  <v:path arrowok="t"/>
                  <v:fill type="solid"/>
                </v:shape>
                <v:shape style="position:absolute;left:364;top:309;width:14;height:27" id="docshape996" coordorigin="364,309" coordsize="14,27" path="m364,336l364,309,378,309,378,323,364,336xe" filled="true" fillcolor="#999999" stroked="false">
                  <v:path arrowok="t"/>
                  <v:fill type="solid"/>
                </v:shape>
                <w10:wrap type="topAndBottom"/>
              </v:group>
            </w:pict>
          </mc:Fallback>
        </mc:AlternateContent>
      </w:r>
    </w:p>
    <w:p>
      <w:pPr>
        <w:spacing w:after="0"/>
        <w:rPr>
          <w:sz w:val="20"/>
        </w:rPr>
        <w:sectPr>
          <w:pgSz w:w="12240" w:h="15840"/>
          <w:pgMar w:top="360" w:bottom="280" w:left="220" w:right="240"/>
        </w:sectPr>
      </w:pPr>
    </w:p>
    <w:p>
      <w:pPr>
        <w:spacing w:line="213" w:lineRule="auto" w:before="97"/>
        <w:ind w:left="144" w:right="118" w:firstLine="0"/>
        <w:jc w:val="both"/>
        <w:rPr>
          <w:sz w:val="21"/>
        </w:rPr>
      </w:pPr>
      <w:r>
        <w:rPr>
          <w:i/>
          <w:sz w:val="21"/>
        </w:rPr>
        <w:t>Three</w:t>
      </w:r>
      <w:r>
        <w:rPr>
          <w:sz w:val="21"/>
        </w:rPr>
        <w:t>. The Concessionaire undertakes not to use images or broad contextual references to its casinos and other premises and </w:t>
      </w:r>
      <w:r>
        <w:rPr>
          <w:sz w:val="21"/>
        </w:rPr>
        <w:t>annexes assigned to the operation of the concession on websites or internet addresses or in any other place which are designed to promote interactive games, without the Government's permission.</w:t>
      </w:r>
    </w:p>
    <w:p>
      <w:pPr>
        <w:pStyle w:val="BodyText"/>
        <w:spacing w:before="145"/>
        <w:rPr>
          <w:sz w:val="21"/>
        </w:rPr>
      </w:pPr>
    </w:p>
    <w:p>
      <w:pPr>
        <w:spacing w:before="0"/>
        <w:ind w:left="24" w:right="0" w:firstLine="0"/>
        <w:jc w:val="center"/>
        <w:rPr>
          <w:b/>
          <w:sz w:val="21"/>
        </w:rPr>
      </w:pPr>
      <w:r>
        <w:rPr>
          <w:b/>
          <w:sz w:val="21"/>
        </w:rPr>
        <w:t>Clause</w:t>
      </w:r>
      <w:r>
        <w:rPr>
          <w:b/>
          <w:spacing w:val="13"/>
          <w:sz w:val="21"/>
        </w:rPr>
        <w:t> </w:t>
      </w:r>
      <w:r>
        <w:rPr>
          <w:b/>
          <w:spacing w:val="-5"/>
          <w:sz w:val="21"/>
        </w:rPr>
        <w:t>95</w:t>
      </w:r>
    </w:p>
    <w:p>
      <w:pPr>
        <w:spacing w:before="55"/>
        <w:ind w:left="24" w:right="0" w:firstLine="0"/>
        <w:jc w:val="center"/>
        <w:rPr>
          <w:b/>
          <w:sz w:val="21"/>
        </w:rPr>
      </w:pPr>
      <w:r>
        <w:rPr>
          <w:b/>
          <w:sz w:val="21"/>
        </w:rPr>
        <w:t>Elements</w:t>
      </w:r>
      <w:r>
        <w:rPr>
          <w:b/>
          <w:spacing w:val="13"/>
          <w:sz w:val="21"/>
        </w:rPr>
        <w:t> </w:t>
      </w:r>
      <w:r>
        <w:rPr>
          <w:b/>
          <w:sz w:val="21"/>
        </w:rPr>
        <w:t>included</w:t>
      </w:r>
      <w:r>
        <w:rPr>
          <w:b/>
          <w:spacing w:val="12"/>
          <w:sz w:val="21"/>
        </w:rPr>
        <w:t> </w:t>
      </w:r>
      <w:r>
        <w:rPr>
          <w:b/>
          <w:sz w:val="21"/>
        </w:rPr>
        <w:t>in</w:t>
      </w:r>
      <w:r>
        <w:rPr>
          <w:b/>
          <w:spacing w:val="13"/>
          <w:sz w:val="21"/>
        </w:rPr>
        <w:t> </w:t>
      </w:r>
      <w:r>
        <w:rPr>
          <w:b/>
          <w:sz w:val="21"/>
        </w:rPr>
        <w:t>the</w:t>
      </w:r>
      <w:r>
        <w:rPr>
          <w:b/>
          <w:spacing w:val="13"/>
          <w:sz w:val="21"/>
        </w:rPr>
        <w:t> </w:t>
      </w:r>
      <w:r>
        <w:rPr>
          <w:b/>
          <w:sz w:val="21"/>
        </w:rPr>
        <w:t>concession</w:t>
      </w:r>
      <w:r>
        <w:rPr>
          <w:b/>
          <w:spacing w:val="13"/>
          <w:sz w:val="21"/>
        </w:rPr>
        <w:t> </w:t>
      </w:r>
      <w:r>
        <w:rPr>
          <w:b/>
          <w:spacing w:val="-2"/>
          <w:sz w:val="21"/>
        </w:rPr>
        <w:t>contract</w:t>
      </w:r>
    </w:p>
    <w:p>
      <w:pPr>
        <w:pStyle w:val="BodyText"/>
        <w:spacing w:before="160"/>
        <w:rPr>
          <w:b/>
          <w:sz w:val="21"/>
        </w:rPr>
      </w:pPr>
    </w:p>
    <w:p>
      <w:pPr>
        <w:spacing w:line="213" w:lineRule="auto" w:before="0"/>
        <w:ind w:left="144" w:right="118" w:firstLine="0"/>
        <w:jc w:val="both"/>
        <w:rPr>
          <w:sz w:val="21"/>
        </w:rPr>
      </w:pPr>
      <w:r>
        <w:rPr>
          <w:sz w:val="21"/>
        </w:rPr>
        <w:t>The</w:t>
      </w:r>
      <w:r>
        <w:rPr>
          <w:spacing w:val="38"/>
          <w:sz w:val="21"/>
        </w:rPr>
        <w:t> </w:t>
      </w:r>
      <w:r>
        <w:rPr>
          <w:sz w:val="21"/>
        </w:rPr>
        <w:t>proposal</w:t>
      </w:r>
      <w:r>
        <w:rPr>
          <w:spacing w:val="38"/>
          <w:sz w:val="21"/>
        </w:rPr>
        <w:t> </w:t>
      </w:r>
      <w:r>
        <w:rPr>
          <w:sz w:val="21"/>
        </w:rPr>
        <w:t>submitted</w:t>
      </w:r>
      <w:r>
        <w:rPr>
          <w:spacing w:val="38"/>
          <w:sz w:val="21"/>
        </w:rPr>
        <w:t> </w:t>
      </w:r>
      <w:r>
        <w:rPr>
          <w:sz w:val="21"/>
        </w:rPr>
        <w:t>by</w:t>
      </w:r>
      <w:r>
        <w:rPr>
          <w:spacing w:val="38"/>
          <w:sz w:val="21"/>
        </w:rPr>
        <w:t> </w:t>
      </w:r>
      <w:r>
        <w:rPr>
          <w:sz w:val="21"/>
        </w:rPr>
        <w:t>the</w:t>
      </w:r>
      <w:r>
        <w:rPr>
          <w:spacing w:val="38"/>
          <w:sz w:val="21"/>
        </w:rPr>
        <w:t> </w:t>
      </w:r>
      <w:r>
        <w:rPr>
          <w:sz w:val="21"/>
        </w:rPr>
        <w:t>Concessionaire</w:t>
      </w:r>
      <w:r>
        <w:rPr>
          <w:spacing w:val="38"/>
          <w:sz w:val="21"/>
        </w:rPr>
        <w:t> </w:t>
      </w:r>
      <w:r>
        <w:rPr>
          <w:sz w:val="21"/>
        </w:rPr>
        <w:t>as</w:t>
      </w:r>
      <w:r>
        <w:rPr>
          <w:spacing w:val="38"/>
          <w:sz w:val="21"/>
        </w:rPr>
        <w:t> </w:t>
      </w:r>
      <w:r>
        <w:rPr>
          <w:sz w:val="21"/>
        </w:rPr>
        <w:t>a</w:t>
      </w:r>
      <w:r>
        <w:rPr>
          <w:spacing w:val="38"/>
          <w:sz w:val="21"/>
        </w:rPr>
        <w:t> </w:t>
      </w:r>
      <w:r>
        <w:rPr>
          <w:sz w:val="21"/>
        </w:rPr>
        <w:t>bidder</w:t>
      </w:r>
      <w:r>
        <w:rPr>
          <w:spacing w:val="38"/>
          <w:sz w:val="21"/>
        </w:rPr>
        <w:t> </w:t>
      </w:r>
      <w:r>
        <w:rPr>
          <w:sz w:val="21"/>
        </w:rPr>
        <w:t>in</w:t>
      </w:r>
      <w:r>
        <w:rPr>
          <w:spacing w:val="38"/>
          <w:sz w:val="21"/>
        </w:rPr>
        <w:t> </w:t>
      </w:r>
      <w:r>
        <w:rPr>
          <w:sz w:val="21"/>
        </w:rPr>
        <w:t>the</w:t>
      </w:r>
      <w:r>
        <w:rPr>
          <w:spacing w:val="38"/>
          <w:sz w:val="21"/>
        </w:rPr>
        <w:t> </w:t>
      </w:r>
      <w:r>
        <w:rPr>
          <w:sz w:val="21"/>
        </w:rPr>
        <w:t>public</w:t>
      </w:r>
      <w:r>
        <w:rPr>
          <w:spacing w:val="38"/>
          <w:sz w:val="21"/>
        </w:rPr>
        <w:t> </w:t>
      </w:r>
      <w:r>
        <w:rPr>
          <w:sz w:val="21"/>
        </w:rPr>
        <w:t>tender</w:t>
      </w:r>
      <w:r>
        <w:rPr>
          <w:spacing w:val="38"/>
          <w:sz w:val="21"/>
        </w:rPr>
        <w:t> </w:t>
      </w:r>
      <w:r>
        <w:rPr>
          <w:sz w:val="21"/>
        </w:rPr>
        <w:t>for</w:t>
      </w:r>
      <w:r>
        <w:rPr>
          <w:spacing w:val="38"/>
          <w:sz w:val="21"/>
        </w:rPr>
        <w:t> </w:t>
      </w:r>
      <w:r>
        <w:rPr>
          <w:sz w:val="21"/>
        </w:rPr>
        <w:t>the</w:t>
      </w:r>
      <w:r>
        <w:rPr>
          <w:spacing w:val="38"/>
          <w:sz w:val="21"/>
        </w:rPr>
        <w:t> </w:t>
      </w:r>
      <w:r>
        <w:rPr>
          <w:sz w:val="21"/>
        </w:rPr>
        <w:t>award</w:t>
      </w:r>
      <w:r>
        <w:rPr>
          <w:spacing w:val="38"/>
          <w:sz w:val="21"/>
        </w:rPr>
        <w:t> </w:t>
      </w:r>
      <w:r>
        <w:rPr>
          <w:sz w:val="21"/>
        </w:rPr>
        <w:t>of</w:t>
      </w:r>
      <w:r>
        <w:rPr>
          <w:spacing w:val="38"/>
          <w:sz w:val="21"/>
        </w:rPr>
        <w:t> </w:t>
      </w:r>
      <w:r>
        <w:rPr>
          <w:sz w:val="21"/>
        </w:rPr>
        <w:t>concessions</w:t>
      </w:r>
      <w:r>
        <w:rPr>
          <w:spacing w:val="38"/>
          <w:sz w:val="21"/>
        </w:rPr>
        <w:t> </w:t>
      </w:r>
      <w:r>
        <w:rPr>
          <w:sz w:val="21"/>
        </w:rPr>
        <w:t>for</w:t>
      </w:r>
      <w:r>
        <w:rPr>
          <w:spacing w:val="38"/>
          <w:sz w:val="21"/>
        </w:rPr>
        <w:t> </w:t>
      </w:r>
      <w:r>
        <w:rPr>
          <w:sz w:val="21"/>
        </w:rPr>
        <w:t>the</w:t>
      </w:r>
      <w:r>
        <w:rPr>
          <w:spacing w:val="38"/>
          <w:sz w:val="21"/>
        </w:rPr>
        <w:t> </w:t>
      </w:r>
      <w:r>
        <w:rPr>
          <w:sz w:val="21"/>
        </w:rPr>
        <w:t>operation</w:t>
      </w:r>
      <w:r>
        <w:rPr>
          <w:spacing w:val="38"/>
          <w:sz w:val="21"/>
        </w:rPr>
        <w:t> </w:t>
      </w:r>
      <w:r>
        <w:rPr>
          <w:sz w:val="21"/>
        </w:rPr>
        <w:t>of games</w:t>
      </w:r>
      <w:r>
        <w:rPr>
          <w:spacing w:val="40"/>
          <w:sz w:val="21"/>
        </w:rPr>
        <w:t> </w:t>
      </w:r>
      <w:r>
        <w:rPr>
          <w:sz w:val="21"/>
        </w:rPr>
        <w:t>of</w:t>
      </w:r>
      <w:r>
        <w:rPr>
          <w:spacing w:val="40"/>
          <w:sz w:val="21"/>
        </w:rPr>
        <w:t> </w:t>
      </w:r>
      <w:r>
        <w:rPr>
          <w:sz w:val="21"/>
        </w:rPr>
        <w:t>fortune</w:t>
      </w:r>
      <w:r>
        <w:rPr>
          <w:spacing w:val="40"/>
          <w:sz w:val="21"/>
        </w:rPr>
        <w:t> </w:t>
      </w:r>
      <w:r>
        <w:rPr>
          <w:sz w:val="21"/>
        </w:rPr>
        <w:t>or</w:t>
      </w:r>
      <w:r>
        <w:rPr>
          <w:spacing w:val="40"/>
          <w:sz w:val="21"/>
        </w:rPr>
        <w:t> </w:t>
      </w:r>
      <w:r>
        <w:rPr>
          <w:sz w:val="21"/>
        </w:rPr>
        <w:t>chance</w:t>
      </w:r>
      <w:r>
        <w:rPr>
          <w:spacing w:val="40"/>
          <w:sz w:val="21"/>
        </w:rPr>
        <w:t> </w:t>
      </w:r>
      <w:r>
        <w:rPr>
          <w:sz w:val="21"/>
        </w:rPr>
        <w:t>in</w:t>
      </w:r>
      <w:r>
        <w:rPr>
          <w:spacing w:val="40"/>
          <w:sz w:val="21"/>
        </w:rPr>
        <w:t> </w:t>
      </w:r>
      <w:r>
        <w:rPr>
          <w:sz w:val="21"/>
        </w:rPr>
        <w:t>casinos,</w:t>
      </w:r>
      <w:r>
        <w:rPr>
          <w:spacing w:val="40"/>
          <w:sz w:val="21"/>
        </w:rPr>
        <w:t> </w:t>
      </w:r>
      <w:r>
        <w:rPr>
          <w:sz w:val="21"/>
        </w:rPr>
        <w:t>opened</w:t>
      </w:r>
      <w:r>
        <w:rPr>
          <w:spacing w:val="40"/>
          <w:sz w:val="21"/>
        </w:rPr>
        <w:t> </w:t>
      </w:r>
      <w:r>
        <w:rPr>
          <w:sz w:val="21"/>
        </w:rPr>
        <w:t>by</w:t>
      </w:r>
      <w:r>
        <w:rPr>
          <w:spacing w:val="40"/>
          <w:sz w:val="21"/>
        </w:rPr>
        <w:t> </w:t>
      </w:r>
      <w:r>
        <w:rPr>
          <w:sz w:val="21"/>
        </w:rPr>
        <w:t>Chief</w:t>
      </w:r>
      <w:r>
        <w:rPr>
          <w:spacing w:val="40"/>
          <w:sz w:val="21"/>
        </w:rPr>
        <w:t> </w:t>
      </w:r>
      <w:r>
        <w:rPr>
          <w:sz w:val="21"/>
        </w:rPr>
        <w:t>Executive</w:t>
      </w:r>
      <w:r>
        <w:rPr>
          <w:spacing w:val="40"/>
          <w:sz w:val="21"/>
        </w:rPr>
        <w:t> </w:t>
      </w:r>
      <w:r>
        <w:rPr>
          <w:sz w:val="21"/>
        </w:rPr>
        <w:t>Order</w:t>
      </w:r>
      <w:r>
        <w:rPr>
          <w:spacing w:val="40"/>
          <w:sz w:val="21"/>
        </w:rPr>
        <w:t> </w:t>
      </w:r>
      <w:r>
        <w:rPr>
          <w:sz w:val="21"/>
        </w:rPr>
        <w:t>No.</w:t>
      </w:r>
      <w:r>
        <w:rPr>
          <w:spacing w:val="40"/>
          <w:sz w:val="21"/>
        </w:rPr>
        <w:t> </w:t>
      </w:r>
      <w:r>
        <w:rPr>
          <w:sz w:val="21"/>
        </w:rPr>
        <w:t>136/2022,</w:t>
      </w:r>
      <w:r>
        <w:rPr>
          <w:spacing w:val="40"/>
          <w:sz w:val="21"/>
        </w:rPr>
        <w:t> </w:t>
      </w:r>
      <w:r>
        <w:rPr>
          <w:sz w:val="21"/>
        </w:rPr>
        <w:t>is</w:t>
      </w:r>
      <w:r>
        <w:rPr>
          <w:spacing w:val="40"/>
          <w:sz w:val="21"/>
        </w:rPr>
        <w:t> </w:t>
      </w:r>
      <w:r>
        <w:rPr>
          <w:sz w:val="21"/>
        </w:rPr>
        <w:t>considered</w:t>
      </w:r>
      <w:r>
        <w:rPr>
          <w:spacing w:val="40"/>
          <w:sz w:val="21"/>
        </w:rPr>
        <w:t> </w:t>
      </w:r>
      <w:r>
        <w:rPr>
          <w:sz w:val="21"/>
        </w:rPr>
        <w:t>to</w:t>
      </w:r>
      <w:r>
        <w:rPr>
          <w:spacing w:val="40"/>
          <w:sz w:val="21"/>
        </w:rPr>
        <w:t> </w:t>
      </w:r>
      <w:r>
        <w:rPr>
          <w:sz w:val="21"/>
        </w:rPr>
        <w:t>be</w:t>
      </w:r>
      <w:r>
        <w:rPr>
          <w:spacing w:val="40"/>
          <w:sz w:val="21"/>
        </w:rPr>
        <w:t> </w:t>
      </w:r>
      <w:r>
        <w:rPr>
          <w:sz w:val="21"/>
        </w:rPr>
        <w:t>included</w:t>
      </w:r>
      <w:r>
        <w:rPr>
          <w:spacing w:val="40"/>
          <w:sz w:val="21"/>
        </w:rPr>
        <w:t> </w:t>
      </w:r>
      <w:r>
        <w:rPr>
          <w:sz w:val="21"/>
        </w:rPr>
        <w:t>in</w:t>
      </w:r>
      <w:r>
        <w:rPr>
          <w:spacing w:val="40"/>
          <w:sz w:val="21"/>
        </w:rPr>
        <w:t> </w:t>
      </w:r>
      <w:r>
        <w:rPr>
          <w:sz w:val="21"/>
        </w:rPr>
        <w:t>this concession</w:t>
      </w:r>
      <w:r>
        <w:rPr>
          <w:spacing w:val="27"/>
          <w:sz w:val="21"/>
        </w:rPr>
        <w:t> </w:t>
      </w:r>
      <w:r>
        <w:rPr>
          <w:sz w:val="21"/>
        </w:rPr>
        <w:t>contract</w:t>
      </w:r>
      <w:r>
        <w:rPr>
          <w:spacing w:val="27"/>
          <w:sz w:val="21"/>
        </w:rPr>
        <w:t> </w:t>
      </w:r>
      <w:r>
        <w:rPr>
          <w:sz w:val="21"/>
        </w:rPr>
        <w:t>in</w:t>
      </w:r>
      <w:r>
        <w:rPr>
          <w:spacing w:val="27"/>
          <w:sz w:val="21"/>
        </w:rPr>
        <w:t> </w:t>
      </w:r>
      <w:r>
        <w:rPr>
          <w:sz w:val="21"/>
        </w:rPr>
        <w:t>all</w:t>
      </w:r>
      <w:r>
        <w:rPr>
          <w:spacing w:val="27"/>
          <w:sz w:val="21"/>
        </w:rPr>
        <w:t> </w:t>
      </w:r>
      <w:r>
        <w:rPr>
          <w:sz w:val="21"/>
        </w:rPr>
        <w:t>matters</w:t>
      </w:r>
      <w:r>
        <w:rPr>
          <w:spacing w:val="27"/>
          <w:sz w:val="21"/>
        </w:rPr>
        <w:t> </w:t>
      </w:r>
      <w:r>
        <w:rPr>
          <w:sz w:val="21"/>
        </w:rPr>
        <w:t>that</w:t>
      </w:r>
      <w:r>
        <w:rPr>
          <w:spacing w:val="27"/>
          <w:sz w:val="21"/>
        </w:rPr>
        <w:t> </w:t>
      </w:r>
      <w:r>
        <w:rPr>
          <w:sz w:val="21"/>
        </w:rPr>
        <w:t>are</w:t>
      </w:r>
      <w:r>
        <w:rPr>
          <w:spacing w:val="27"/>
          <w:sz w:val="21"/>
        </w:rPr>
        <w:t> </w:t>
      </w:r>
      <w:r>
        <w:rPr>
          <w:sz w:val="21"/>
        </w:rPr>
        <w:t>not</w:t>
      </w:r>
      <w:r>
        <w:rPr>
          <w:spacing w:val="27"/>
          <w:sz w:val="21"/>
        </w:rPr>
        <w:t> </w:t>
      </w:r>
      <w:r>
        <w:rPr>
          <w:sz w:val="21"/>
        </w:rPr>
        <w:t>explicitly</w:t>
      </w:r>
      <w:r>
        <w:rPr>
          <w:spacing w:val="27"/>
          <w:sz w:val="21"/>
        </w:rPr>
        <w:t> </w:t>
      </w:r>
      <w:r>
        <w:rPr>
          <w:sz w:val="21"/>
        </w:rPr>
        <w:t>or</w:t>
      </w:r>
      <w:r>
        <w:rPr>
          <w:spacing w:val="27"/>
          <w:sz w:val="21"/>
        </w:rPr>
        <w:t> </w:t>
      </w:r>
      <w:r>
        <w:rPr>
          <w:sz w:val="21"/>
        </w:rPr>
        <w:t>implicitly</w:t>
      </w:r>
      <w:r>
        <w:rPr>
          <w:spacing w:val="27"/>
          <w:sz w:val="21"/>
        </w:rPr>
        <w:t> </w:t>
      </w:r>
      <w:r>
        <w:rPr>
          <w:sz w:val="21"/>
        </w:rPr>
        <w:t>contradicted</w:t>
      </w:r>
      <w:r>
        <w:rPr>
          <w:spacing w:val="27"/>
          <w:sz w:val="21"/>
        </w:rPr>
        <w:t> </w:t>
      </w:r>
      <w:r>
        <w:rPr>
          <w:sz w:val="21"/>
        </w:rPr>
        <w:t>by</w:t>
      </w:r>
      <w:r>
        <w:rPr>
          <w:spacing w:val="27"/>
          <w:sz w:val="21"/>
        </w:rPr>
        <w:t> </w:t>
      </w:r>
      <w:r>
        <w:rPr>
          <w:sz w:val="21"/>
        </w:rPr>
        <w:t>it.</w:t>
      </w:r>
    </w:p>
    <w:p>
      <w:pPr>
        <w:pStyle w:val="BodyText"/>
        <w:spacing w:before="132"/>
        <w:rPr>
          <w:sz w:val="21"/>
        </w:rPr>
      </w:pPr>
    </w:p>
    <w:p>
      <w:pPr>
        <w:spacing w:before="0"/>
        <w:ind w:left="24" w:right="0" w:firstLine="0"/>
        <w:jc w:val="center"/>
        <w:rPr>
          <w:b/>
          <w:sz w:val="21"/>
        </w:rPr>
      </w:pPr>
      <w:r>
        <w:rPr>
          <w:b/>
          <w:sz w:val="21"/>
        </w:rPr>
        <w:t>Clause</w:t>
      </w:r>
      <w:r>
        <w:rPr>
          <w:b/>
          <w:spacing w:val="13"/>
          <w:sz w:val="21"/>
        </w:rPr>
        <w:t> </w:t>
      </w:r>
      <w:r>
        <w:rPr>
          <w:b/>
          <w:spacing w:val="-5"/>
          <w:sz w:val="21"/>
        </w:rPr>
        <w:t>96</w:t>
      </w:r>
    </w:p>
    <w:p>
      <w:pPr>
        <w:spacing w:before="69"/>
        <w:ind w:left="24" w:right="0" w:firstLine="0"/>
        <w:jc w:val="center"/>
        <w:rPr>
          <w:b/>
          <w:sz w:val="21"/>
        </w:rPr>
      </w:pPr>
      <w:r>
        <w:rPr>
          <w:b/>
          <w:sz w:val="21"/>
        </w:rPr>
        <w:t>Chips</w:t>
      </w:r>
      <w:r>
        <w:rPr>
          <w:b/>
          <w:spacing w:val="8"/>
          <w:sz w:val="21"/>
        </w:rPr>
        <w:t> </w:t>
      </w:r>
      <w:r>
        <w:rPr>
          <w:b/>
          <w:sz w:val="21"/>
        </w:rPr>
        <w:t>to</w:t>
      </w:r>
      <w:r>
        <w:rPr>
          <w:b/>
          <w:spacing w:val="9"/>
          <w:sz w:val="21"/>
        </w:rPr>
        <w:t> </w:t>
      </w:r>
      <w:r>
        <w:rPr>
          <w:b/>
          <w:sz w:val="21"/>
        </w:rPr>
        <w:t>be</w:t>
      </w:r>
      <w:r>
        <w:rPr>
          <w:b/>
          <w:spacing w:val="9"/>
          <w:sz w:val="21"/>
        </w:rPr>
        <w:t> </w:t>
      </w:r>
      <w:r>
        <w:rPr>
          <w:b/>
          <w:sz w:val="21"/>
        </w:rPr>
        <w:t>used</w:t>
      </w:r>
      <w:r>
        <w:rPr>
          <w:b/>
          <w:spacing w:val="9"/>
          <w:sz w:val="21"/>
        </w:rPr>
        <w:t> </w:t>
      </w:r>
      <w:r>
        <w:rPr>
          <w:b/>
          <w:sz w:val="21"/>
        </w:rPr>
        <w:t>in</w:t>
      </w:r>
      <w:r>
        <w:rPr>
          <w:b/>
          <w:spacing w:val="8"/>
          <w:sz w:val="21"/>
        </w:rPr>
        <w:t> </w:t>
      </w:r>
      <w:r>
        <w:rPr>
          <w:b/>
          <w:sz w:val="21"/>
        </w:rPr>
        <w:t>the</w:t>
      </w:r>
      <w:r>
        <w:rPr>
          <w:b/>
          <w:spacing w:val="9"/>
          <w:sz w:val="21"/>
        </w:rPr>
        <w:t> </w:t>
      </w:r>
      <w:r>
        <w:rPr>
          <w:b/>
          <w:sz w:val="21"/>
        </w:rPr>
        <w:t>concession</w:t>
      </w:r>
      <w:r>
        <w:rPr>
          <w:b/>
          <w:spacing w:val="9"/>
          <w:sz w:val="21"/>
        </w:rPr>
        <w:t> </w:t>
      </w:r>
      <w:r>
        <w:rPr>
          <w:b/>
          <w:spacing w:val="-2"/>
          <w:sz w:val="21"/>
        </w:rPr>
        <w:t>operation</w:t>
      </w:r>
    </w:p>
    <w:p>
      <w:pPr>
        <w:pStyle w:val="BodyText"/>
        <w:spacing w:before="146"/>
        <w:rPr>
          <w:b/>
          <w:sz w:val="21"/>
        </w:rPr>
      </w:pPr>
    </w:p>
    <w:p>
      <w:pPr>
        <w:spacing w:line="213" w:lineRule="auto" w:before="0"/>
        <w:ind w:left="144" w:right="118" w:firstLine="0"/>
        <w:jc w:val="both"/>
        <w:rPr>
          <w:sz w:val="21"/>
        </w:rPr>
      </w:pPr>
      <w:r>
        <w:rPr>
          <w:i/>
          <w:sz w:val="21"/>
        </w:rPr>
        <w:t>One.</w:t>
      </w:r>
      <w:r>
        <w:rPr>
          <w:i/>
          <w:spacing w:val="40"/>
          <w:sz w:val="21"/>
        </w:rPr>
        <w:t> </w:t>
      </w:r>
      <w:r>
        <w:rPr>
          <w:sz w:val="21"/>
        </w:rPr>
        <w:t>The</w:t>
      </w:r>
      <w:r>
        <w:rPr>
          <w:spacing w:val="40"/>
          <w:sz w:val="21"/>
        </w:rPr>
        <w:t> </w:t>
      </w:r>
      <w:r>
        <w:rPr>
          <w:sz w:val="21"/>
        </w:rPr>
        <w:t>acquisition</w:t>
      </w:r>
      <w:r>
        <w:rPr>
          <w:spacing w:val="40"/>
          <w:sz w:val="21"/>
        </w:rPr>
        <w:t> </w:t>
      </w:r>
      <w:r>
        <w:rPr>
          <w:sz w:val="21"/>
        </w:rPr>
        <w:t>of</w:t>
      </w:r>
      <w:r>
        <w:rPr>
          <w:spacing w:val="40"/>
          <w:sz w:val="21"/>
        </w:rPr>
        <w:t> </w:t>
      </w:r>
      <w:r>
        <w:rPr>
          <w:sz w:val="21"/>
        </w:rPr>
        <w:t>chips</w:t>
      </w:r>
      <w:r>
        <w:rPr>
          <w:spacing w:val="40"/>
          <w:sz w:val="21"/>
        </w:rPr>
        <w:t> </w:t>
      </w:r>
      <w:r>
        <w:rPr>
          <w:sz w:val="21"/>
        </w:rPr>
        <w:t>by</w:t>
      </w:r>
      <w:r>
        <w:rPr>
          <w:spacing w:val="40"/>
          <w:sz w:val="21"/>
        </w:rPr>
        <w:t> </w:t>
      </w:r>
      <w:r>
        <w:rPr>
          <w:sz w:val="21"/>
        </w:rPr>
        <w:t>the</w:t>
      </w:r>
      <w:r>
        <w:rPr>
          <w:spacing w:val="40"/>
          <w:sz w:val="21"/>
        </w:rPr>
        <w:t> </w:t>
      </w:r>
      <w:r>
        <w:rPr>
          <w:sz w:val="21"/>
        </w:rPr>
        <w:t>Concessionaire</w:t>
      </w:r>
      <w:r>
        <w:rPr>
          <w:spacing w:val="40"/>
          <w:sz w:val="21"/>
        </w:rPr>
        <w:t> </w:t>
      </w:r>
      <w:r>
        <w:rPr>
          <w:sz w:val="21"/>
        </w:rPr>
        <w:t>is</w:t>
      </w:r>
      <w:r>
        <w:rPr>
          <w:spacing w:val="40"/>
          <w:sz w:val="21"/>
        </w:rPr>
        <w:t> </w:t>
      </w:r>
      <w:r>
        <w:rPr>
          <w:sz w:val="21"/>
        </w:rPr>
        <w:t>subject</w:t>
      </w:r>
      <w:r>
        <w:rPr>
          <w:spacing w:val="40"/>
          <w:sz w:val="21"/>
        </w:rPr>
        <w:t> </w:t>
      </w:r>
      <w:r>
        <w:rPr>
          <w:sz w:val="21"/>
        </w:rPr>
        <w:t>to</w:t>
      </w:r>
      <w:r>
        <w:rPr>
          <w:spacing w:val="40"/>
          <w:sz w:val="21"/>
        </w:rPr>
        <w:t> </w:t>
      </w:r>
      <w:r>
        <w:rPr>
          <w:sz w:val="21"/>
        </w:rPr>
        <w:t>the</w:t>
      </w:r>
      <w:r>
        <w:rPr>
          <w:spacing w:val="40"/>
          <w:sz w:val="21"/>
        </w:rPr>
        <w:t> </w:t>
      </w:r>
      <w:r>
        <w:rPr>
          <w:sz w:val="21"/>
        </w:rPr>
        <w:t>authorization</w:t>
      </w:r>
      <w:r>
        <w:rPr>
          <w:spacing w:val="40"/>
          <w:sz w:val="21"/>
        </w:rPr>
        <w:t> </w:t>
      </w:r>
      <w:r>
        <w:rPr>
          <w:sz w:val="21"/>
        </w:rPr>
        <w:t>of</w:t>
      </w:r>
      <w:r>
        <w:rPr>
          <w:spacing w:val="40"/>
          <w:sz w:val="21"/>
        </w:rPr>
        <w:t> </w:t>
      </w:r>
      <w:r>
        <w:rPr>
          <w:sz w:val="21"/>
        </w:rPr>
        <w:t>the</w:t>
      </w:r>
      <w:r>
        <w:rPr>
          <w:spacing w:val="40"/>
          <w:sz w:val="21"/>
        </w:rPr>
        <w:t> </w:t>
      </w:r>
      <w:r>
        <w:rPr>
          <w:sz w:val="21"/>
        </w:rPr>
        <w:t>Gaming</w:t>
      </w:r>
      <w:r>
        <w:rPr>
          <w:spacing w:val="40"/>
          <w:sz w:val="21"/>
        </w:rPr>
        <w:t> </w:t>
      </w:r>
      <w:r>
        <w:rPr>
          <w:sz w:val="21"/>
        </w:rPr>
        <w:t>Inspection</w:t>
      </w:r>
      <w:r>
        <w:rPr>
          <w:spacing w:val="40"/>
          <w:sz w:val="21"/>
        </w:rPr>
        <w:t> </w:t>
      </w:r>
      <w:r>
        <w:rPr>
          <w:sz w:val="21"/>
        </w:rPr>
        <w:t>and</w:t>
      </w:r>
      <w:r>
        <w:rPr>
          <w:spacing w:val="40"/>
          <w:sz w:val="21"/>
        </w:rPr>
        <w:t> </w:t>
      </w:r>
      <w:r>
        <w:rPr>
          <w:sz w:val="21"/>
        </w:rPr>
        <w:t>Coordination </w:t>
      </w:r>
      <w:r>
        <w:rPr>
          <w:spacing w:val="-2"/>
          <w:sz w:val="21"/>
        </w:rPr>
        <w:t>Bureau.</w:t>
      </w:r>
    </w:p>
    <w:p>
      <w:pPr>
        <w:pStyle w:val="BodyText"/>
        <w:spacing w:before="152"/>
        <w:rPr>
          <w:sz w:val="21"/>
        </w:rPr>
      </w:pPr>
    </w:p>
    <w:p>
      <w:pPr>
        <w:spacing w:line="213" w:lineRule="auto" w:before="0"/>
        <w:ind w:left="144" w:right="118" w:firstLine="0"/>
        <w:jc w:val="both"/>
        <w:rPr>
          <w:sz w:val="21"/>
        </w:rPr>
      </w:pPr>
      <w:r>
        <w:rPr>
          <w:i/>
          <w:sz w:val="21"/>
        </w:rPr>
        <w:t>Two.</w:t>
      </w:r>
      <w:r>
        <w:rPr>
          <w:i/>
          <w:spacing w:val="33"/>
          <w:sz w:val="21"/>
        </w:rPr>
        <w:t> </w:t>
      </w:r>
      <w:r>
        <w:rPr>
          <w:sz w:val="21"/>
        </w:rPr>
        <w:t>The</w:t>
      </w:r>
      <w:r>
        <w:rPr>
          <w:spacing w:val="33"/>
          <w:sz w:val="21"/>
        </w:rPr>
        <w:t> </w:t>
      </w:r>
      <w:r>
        <w:rPr>
          <w:sz w:val="21"/>
        </w:rPr>
        <w:t>circulation</w:t>
      </w:r>
      <w:r>
        <w:rPr>
          <w:spacing w:val="33"/>
          <w:sz w:val="21"/>
        </w:rPr>
        <w:t> </w:t>
      </w:r>
      <w:r>
        <w:rPr>
          <w:sz w:val="21"/>
        </w:rPr>
        <w:t>of</w:t>
      </w:r>
      <w:r>
        <w:rPr>
          <w:spacing w:val="33"/>
          <w:sz w:val="21"/>
        </w:rPr>
        <w:t> </w:t>
      </w:r>
      <w:r>
        <w:rPr>
          <w:sz w:val="21"/>
        </w:rPr>
        <w:t>chips</w:t>
      </w:r>
      <w:r>
        <w:rPr>
          <w:spacing w:val="33"/>
          <w:sz w:val="21"/>
        </w:rPr>
        <w:t> </w:t>
      </w:r>
      <w:r>
        <w:rPr>
          <w:sz w:val="21"/>
        </w:rPr>
        <w:t>is</w:t>
      </w:r>
      <w:r>
        <w:rPr>
          <w:spacing w:val="33"/>
          <w:sz w:val="21"/>
        </w:rPr>
        <w:t> </w:t>
      </w:r>
      <w:r>
        <w:rPr>
          <w:sz w:val="21"/>
        </w:rPr>
        <w:t>subject</w:t>
      </w:r>
      <w:r>
        <w:rPr>
          <w:spacing w:val="33"/>
          <w:sz w:val="21"/>
        </w:rPr>
        <w:t> </w:t>
      </w:r>
      <w:r>
        <w:rPr>
          <w:sz w:val="21"/>
        </w:rPr>
        <w:t>to</w:t>
      </w:r>
      <w:r>
        <w:rPr>
          <w:spacing w:val="33"/>
          <w:sz w:val="21"/>
        </w:rPr>
        <w:t> </w:t>
      </w:r>
      <w:r>
        <w:rPr>
          <w:sz w:val="21"/>
        </w:rPr>
        <w:t>the</w:t>
      </w:r>
      <w:r>
        <w:rPr>
          <w:spacing w:val="33"/>
          <w:sz w:val="21"/>
        </w:rPr>
        <w:t> </w:t>
      </w:r>
      <w:r>
        <w:rPr>
          <w:sz w:val="21"/>
        </w:rPr>
        <w:t>authorization</w:t>
      </w:r>
      <w:r>
        <w:rPr>
          <w:spacing w:val="33"/>
          <w:sz w:val="21"/>
        </w:rPr>
        <w:t> </w:t>
      </w:r>
      <w:r>
        <w:rPr>
          <w:sz w:val="21"/>
        </w:rPr>
        <w:t>of</w:t>
      </w:r>
      <w:r>
        <w:rPr>
          <w:spacing w:val="33"/>
          <w:sz w:val="21"/>
        </w:rPr>
        <w:t> </w:t>
      </w:r>
      <w:r>
        <w:rPr>
          <w:sz w:val="21"/>
        </w:rPr>
        <w:t>the</w:t>
      </w:r>
      <w:r>
        <w:rPr>
          <w:spacing w:val="33"/>
          <w:sz w:val="21"/>
        </w:rPr>
        <w:t> </w:t>
      </w:r>
      <w:r>
        <w:rPr>
          <w:sz w:val="21"/>
        </w:rPr>
        <w:t>Secretary</w:t>
      </w:r>
      <w:r>
        <w:rPr>
          <w:spacing w:val="33"/>
          <w:sz w:val="21"/>
        </w:rPr>
        <w:t> </w:t>
      </w:r>
      <w:r>
        <w:rPr>
          <w:sz w:val="21"/>
        </w:rPr>
        <w:t>for</w:t>
      </w:r>
      <w:r>
        <w:rPr>
          <w:spacing w:val="33"/>
          <w:sz w:val="21"/>
        </w:rPr>
        <w:t> </w:t>
      </w:r>
      <w:r>
        <w:rPr>
          <w:sz w:val="21"/>
        </w:rPr>
        <w:t>Economy</w:t>
      </w:r>
      <w:r>
        <w:rPr>
          <w:spacing w:val="33"/>
          <w:sz w:val="21"/>
        </w:rPr>
        <w:t> </w:t>
      </w:r>
      <w:r>
        <w:rPr>
          <w:sz w:val="21"/>
        </w:rPr>
        <w:t>and</w:t>
      </w:r>
      <w:r>
        <w:rPr>
          <w:spacing w:val="33"/>
          <w:sz w:val="21"/>
        </w:rPr>
        <w:t> </w:t>
      </w:r>
      <w:r>
        <w:rPr>
          <w:sz w:val="21"/>
        </w:rPr>
        <w:t>Finance</w:t>
      </w:r>
      <w:r>
        <w:rPr>
          <w:spacing w:val="33"/>
          <w:sz w:val="21"/>
        </w:rPr>
        <w:t> </w:t>
      </w:r>
      <w:r>
        <w:rPr>
          <w:sz w:val="21"/>
        </w:rPr>
        <w:t>who</w:t>
      </w:r>
      <w:r>
        <w:rPr>
          <w:spacing w:val="33"/>
          <w:sz w:val="21"/>
        </w:rPr>
        <w:t> </w:t>
      </w:r>
      <w:r>
        <w:rPr>
          <w:sz w:val="21"/>
        </w:rPr>
        <w:t>may</w:t>
      </w:r>
      <w:r>
        <w:rPr>
          <w:spacing w:val="33"/>
          <w:sz w:val="21"/>
        </w:rPr>
        <w:t> </w:t>
      </w:r>
      <w:r>
        <w:rPr>
          <w:sz w:val="21"/>
        </w:rPr>
        <w:t>set</w:t>
      </w:r>
      <w:r>
        <w:rPr>
          <w:spacing w:val="33"/>
          <w:sz w:val="21"/>
        </w:rPr>
        <w:t> </w:t>
      </w:r>
      <w:r>
        <w:rPr>
          <w:sz w:val="21"/>
        </w:rPr>
        <w:t>a</w:t>
      </w:r>
      <w:r>
        <w:rPr>
          <w:spacing w:val="33"/>
          <w:sz w:val="21"/>
        </w:rPr>
        <w:t> </w:t>
      </w:r>
      <w:r>
        <w:rPr>
          <w:sz w:val="21"/>
        </w:rPr>
        <w:t>maximum limit for the total number of chips allowed.</w:t>
      </w:r>
    </w:p>
    <w:p>
      <w:pPr>
        <w:pStyle w:val="BodyText"/>
        <w:spacing w:before="144"/>
        <w:rPr>
          <w:sz w:val="21"/>
        </w:rPr>
      </w:pPr>
    </w:p>
    <w:p>
      <w:pPr>
        <w:spacing w:before="0"/>
        <w:ind w:left="144" w:right="0" w:firstLine="0"/>
        <w:jc w:val="both"/>
        <w:rPr>
          <w:sz w:val="21"/>
        </w:rPr>
      </w:pPr>
      <w:r>
        <w:rPr>
          <w:i/>
          <w:sz w:val="21"/>
        </w:rPr>
        <w:t>Three.</w:t>
      </w:r>
      <w:r>
        <w:rPr>
          <w:i/>
          <w:spacing w:val="10"/>
          <w:sz w:val="21"/>
        </w:rPr>
        <w:t> </w:t>
      </w:r>
      <w:r>
        <w:rPr>
          <w:sz w:val="21"/>
        </w:rPr>
        <w:t>The</w:t>
      </w:r>
      <w:r>
        <w:rPr>
          <w:spacing w:val="10"/>
          <w:sz w:val="21"/>
        </w:rPr>
        <w:t> </w:t>
      </w:r>
      <w:r>
        <w:rPr>
          <w:sz w:val="21"/>
        </w:rPr>
        <w:t>Concessionaire</w:t>
      </w:r>
      <w:r>
        <w:rPr>
          <w:spacing w:val="11"/>
          <w:sz w:val="21"/>
        </w:rPr>
        <w:t> </w:t>
      </w:r>
      <w:r>
        <w:rPr>
          <w:sz w:val="21"/>
        </w:rPr>
        <w:t>undertakes</w:t>
      </w:r>
      <w:r>
        <w:rPr>
          <w:spacing w:val="10"/>
          <w:sz w:val="21"/>
        </w:rPr>
        <w:t> </w:t>
      </w:r>
      <w:r>
        <w:rPr>
          <w:sz w:val="21"/>
        </w:rPr>
        <w:t>to</w:t>
      </w:r>
      <w:r>
        <w:rPr>
          <w:spacing w:val="10"/>
          <w:sz w:val="21"/>
        </w:rPr>
        <w:t> </w:t>
      </w:r>
      <w:r>
        <w:rPr>
          <w:sz w:val="21"/>
        </w:rPr>
        <w:t>guarantee</w:t>
      </w:r>
      <w:r>
        <w:rPr>
          <w:spacing w:val="11"/>
          <w:sz w:val="21"/>
        </w:rPr>
        <w:t> </w:t>
      </w:r>
      <w:r>
        <w:rPr>
          <w:sz w:val="21"/>
        </w:rPr>
        <w:t>the</w:t>
      </w:r>
      <w:r>
        <w:rPr>
          <w:spacing w:val="10"/>
          <w:sz w:val="21"/>
        </w:rPr>
        <w:t> </w:t>
      </w:r>
      <w:r>
        <w:rPr>
          <w:sz w:val="21"/>
        </w:rPr>
        <w:t>reimbursement,</w:t>
      </w:r>
      <w:r>
        <w:rPr>
          <w:spacing w:val="10"/>
          <w:sz w:val="21"/>
        </w:rPr>
        <w:t> </w:t>
      </w:r>
      <w:r>
        <w:rPr>
          <w:sz w:val="21"/>
        </w:rPr>
        <w:t>by</w:t>
      </w:r>
      <w:r>
        <w:rPr>
          <w:spacing w:val="11"/>
          <w:sz w:val="21"/>
        </w:rPr>
        <w:t> </w:t>
      </w:r>
      <w:r>
        <w:rPr>
          <w:sz w:val="21"/>
        </w:rPr>
        <w:t>cash</w:t>
      </w:r>
      <w:r>
        <w:rPr>
          <w:spacing w:val="10"/>
          <w:sz w:val="21"/>
        </w:rPr>
        <w:t> </w:t>
      </w:r>
      <w:r>
        <w:rPr>
          <w:sz w:val="21"/>
        </w:rPr>
        <w:t>or</w:t>
      </w:r>
      <w:r>
        <w:rPr>
          <w:spacing w:val="10"/>
          <w:sz w:val="21"/>
        </w:rPr>
        <w:t> </w:t>
      </w:r>
      <w:r>
        <w:rPr>
          <w:sz w:val="21"/>
        </w:rPr>
        <w:t>credit,</w:t>
      </w:r>
      <w:r>
        <w:rPr>
          <w:spacing w:val="11"/>
          <w:sz w:val="21"/>
        </w:rPr>
        <w:t> </w:t>
      </w:r>
      <w:r>
        <w:rPr>
          <w:sz w:val="21"/>
        </w:rPr>
        <w:t>of</w:t>
      </w:r>
      <w:r>
        <w:rPr>
          <w:spacing w:val="10"/>
          <w:sz w:val="21"/>
        </w:rPr>
        <w:t> </w:t>
      </w:r>
      <w:r>
        <w:rPr>
          <w:sz w:val="21"/>
        </w:rPr>
        <w:t>the</w:t>
      </w:r>
      <w:r>
        <w:rPr>
          <w:spacing w:val="11"/>
          <w:sz w:val="21"/>
        </w:rPr>
        <w:t> </w:t>
      </w:r>
      <w:r>
        <w:rPr>
          <w:sz w:val="21"/>
        </w:rPr>
        <w:t>chips</w:t>
      </w:r>
      <w:r>
        <w:rPr>
          <w:spacing w:val="10"/>
          <w:sz w:val="21"/>
        </w:rPr>
        <w:t> </w:t>
      </w:r>
      <w:r>
        <w:rPr>
          <w:sz w:val="21"/>
        </w:rPr>
        <w:t>in</w:t>
      </w:r>
      <w:r>
        <w:rPr>
          <w:spacing w:val="10"/>
          <w:sz w:val="21"/>
        </w:rPr>
        <w:t> </w:t>
      </w:r>
      <w:r>
        <w:rPr>
          <w:spacing w:val="-2"/>
          <w:sz w:val="21"/>
        </w:rPr>
        <w:t>circulation.</w:t>
      </w:r>
    </w:p>
    <w:p>
      <w:pPr>
        <w:pStyle w:val="BodyText"/>
        <w:spacing w:before="146"/>
        <w:rPr>
          <w:sz w:val="21"/>
        </w:rPr>
      </w:pPr>
    </w:p>
    <w:p>
      <w:pPr>
        <w:spacing w:line="213" w:lineRule="auto" w:before="0"/>
        <w:ind w:left="144" w:right="118" w:firstLine="0"/>
        <w:jc w:val="both"/>
        <w:rPr>
          <w:sz w:val="21"/>
        </w:rPr>
      </w:pPr>
      <w:r>
        <w:rPr>
          <w:i/>
          <w:sz w:val="21"/>
        </w:rPr>
        <w:t>Four. </w:t>
      </w:r>
      <w:r>
        <w:rPr>
          <w:sz w:val="21"/>
        </w:rPr>
        <w:t>The Concessionaire undertakes to maintain a solvency ratio, to set aside provisions, and to observe other prudential rules to </w:t>
      </w:r>
      <w:r>
        <w:rPr>
          <w:sz w:val="21"/>
        </w:rPr>
        <w:t>be indicated at a given time by the Government on the total amount of chips in circulation, in cash, or through highly liquid securities to guarantee their immediate payment.</w:t>
      </w:r>
    </w:p>
    <w:p>
      <w:pPr>
        <w:pStyle w:val="BodyText"/>
        <w:spacing w:before="132"/>
        <w:rPr>
          <w:sz w:val="21"/>
        </w:rPr>
      </w:pPr>
    </w:p>
    <w:p>
      <w:pPr>
        <w:spacing w:line="309" w:lineRule="auto" w:before="0"/>
        <w:ind w:left="5206" w:right="5179" w:hanging="1"/>
        <w:jc w:val="center"/>
        <w:rPr>
          <w:b/>
          <w:sz w:val="21"/>
        </w:rPr>
      </w:pPr>
      <w:r>
        <w:rPr>
          <w:b/>
          <w:sz w:val="21"/>
        </w:rPr>
        <w:t>Clause 97 </w:t>
      </w:r>
      <w:r>
        <w:rPr>
          <w:b/>
          <w:spacing w:val="-2"/>
          <w:sz w:val="21"/>
        </w:rPr>
        <w:t>Confidentiality</w:t>
      </w:r>
    </w:p>
    <w:p>
      <w:pPr>
        <w:pStyle w:val="BodyText"/>
        <w:spacing w:before="75"/>
        <w:rPr>
          <w:b/>
          <w:sz w:val="21"/>
        </w:rPr>
      </w:pPr>
    </w:p>
    <w:p>
      <w:pPr>
        <w:spacing w:line="213" w:lineRule="auto" w:before="0"/>
        <w:ind w:left="144" w:right="118" w:firstLine="0"/>
        <w:jc w:val="both"/>
        <w:rPr>
          <w:sz w:val="21"/>
        </w:rPr>
      </w:pPr>
      <w:r>
        <w:rPr>
          <w:i/>
          <w:sz w:val="21"/>
        </w:rPr>
        <w:t>One.</w:t>
      </w:r>
      <w:r>
        <w:rPr>
          <w:i/>
          <w:spacing w:val="40"/>
          <w:sz w:val="21"/>
        </w:rPr>
        <w:t> </w:t>
      </w:r>
      <w:r>
        <w:rPr>
          <w:sz w:val="21"/>
        </w:rPr>
        <w:t>In</w:t>
      </w:r>
      <w:r>
        <w:rPr>
          <w:spacing w:val="40"/>
          <w:sz w:val="21"/>
        </w:rPr>
        <w:t> </w:t>
      </w:r>
      <w:r>
        <w:rPr>
          <w:sz w:val="21"/>
        </w:rPr>
        <w:t>compliance</w:t>
      </w:r>
      <w:r>
        <w:rPr>
          <w:spacing w:val="40"/>
          <w:sz w:val="21"/>
        </w:rPr>
        <w:t> </w:t>
      </w:r>
      <w:r>
        <w:rPr>
          <w:sz w:val="21"/>
        </w:rPr>
        <w:t>with</w:t>
      </w:r>
      <w:r>
        <w:rPr>
          <w:spacing w:val="40"/>
          <w:sz w:val="21"/>
        </w:rPr>
        <w:t> </w:t>
      </w:r>
      <w:r>
        <w:rPr>
          <w:sz w:val="21"/>
        </w:rPr>
        <w:t>the</w:t>
      </w:r>
      <w:r>
        <w:rPr>
          <w:spacing w:val="40"/>
          <w:sz w:val="21"/>
        </w:rPr>
        <w:t> </w:t>
      </w:r>
      <w:r>
        <w:rPr>
          <w:sz w:val="21"/>
        </w:rPr>
        <w:t>provisions</w:t>
      </w:r>
      <w:r>
        <w:rPr>
          <w:spacing w:val="40"/>
          <w:sz w:val="21"/>
        </w:rPr>
        <w:t> </w:t>
      </w:r>
      <w:r>
        <w:rPr>
          <w:sz w:val="21"/>
        </w:rPr>
        <w:t>in</w:t>
      </w:r>
      <w:r>
        <w:rPr>
          <w:spacing w:val="40"/>
          <w:sz w:val="21"/>
        </w:rPr>
        <w:t> </w:t>
      </w:r>
      <w:r>
        <w:rPr>
          <w:sz w:val="21"/>
        </w:rPr>
        <w:t>the</w:t>
      </w:r>
      <w:r>
        <w:rPr>
          <w:spacing w:val="40"/>
          <w:sz w:val="21"/>
        </w:rPr>
        <w:t> </w:t>
      </w:r>
      <w:r>
        <w:rPr>
          <w:sz w:val="21"/>
        </w:rPr>
        <w:t>concessions</w:t>
      </w:r>
      <w:r>
        <w:rPr>
          <w:spacing w:val="40"/>
          <w:sz w:val="21"/>
        </w:rPr>
        <w:t> </w:t>
      </w:r>
      <w:r>
        <w:rPr>
          <w:sz w:val="21"/>
        </w:rPr>
        <w:t>regime</w:t>
      </w:r>
      <w:r>
        <w:rPr>
          <w:spacing w:val="40"/>
          <w:sz w:val="21"/>
        </w:rPr>
        <w:t> </w:t>
      </w:r>
      <w:r>
        <w:rPr>
          <w:sz w:val="21"/>
        </w:rPr>
        <w:t>mentioned</w:t>
      </w:r>
      <w:r>
        <w:rPr>
          <w:spacing w:val="40"/>
          <w:sz w:val="21"/>
        </w:rPr>
        <w:t> </w:t>
      </w:r>
      <w:r>
        <w:rPr>
          <w:sz w:val="21"/>
        </w:rPr>
        <w:t>in</w:t>
      </w:r>
      <w:r>
        <w:rPr>
          <w:spacing w:val="40"/>
          <w:sz w:val="21"/>
        </w:rPr>
        <w:t> </w:t>
      </w:r>
      <w:r>
        <w:rPr>
          <w:sz w:val="21"/>
        </w:rPr>
        <w:t>Clause</w:t>
      </w:r>
      <w:r>
        <w:rPr>
          <w:spacing w:val="40"/>
          <w:sz w:val="21"/>
        </w:rPr>
        <w:t> </w:t>
      </w:r>
      <w:r>
        <w:rPr>
          <w:sz w:val="21"/>
        </w:rPr>
        <w:t>6,</w:t>
      </w:r>
      <w:r>
        <w:rPr>
          <w:spacing w:val="40"/>
          <w:sz w:val="21"/>
        </w:rPr>
        <w:t> </w:t>
      </w:r>
      <w:r>
        <w:rPr>
          <w:sz w:val="21"/>
        </w:rPr>
        <w:t>the</w:t>
      </w:r>
      <w:r>
        <w:rPr>
          <w:spacing w:val="40"/>
          <w:sz w:val="21"/>
        </w:rPr>
        <w:t> </w:t>
      </w:r>
      <w:r>
        <w:rPr>
          <w:sz w:val="21"/>
        </w:rPr>
        <w:t>documents</w:t>
      </w:r>
      <w:r>
        <w:rPr>
          <w:spacing w:val="40"/>
          <w:sz w:val="21"/>
        </w:rPr>
        <w:t> </w:t>
      </w:r>
      <w:r>
        <w:rPr>
          <w:sz w:val="21"/>
        </w:rPr>
        <w:t>produced</w:t>
      </w:r>
      <w:r>
        <w:rPr>
          <w:spacing w:val="40"/>
          <w:sz w:val="21"/>
        </w:rPr>
        <w:t> </w:t>
      </w:r>
      <w:r>
        <w:rPr>
          <w:sz w:val="21"/>
        </w:rPr>
        <w:t>by</w:t>
      </w:r>
      <w:r>
        <w:rPr>
          <w:spacing w:val="40"/>
          <w:sz w:val="21"/>
        </w:rPr>
        <w:t> </w:t>
      </w:r>
      <w:r>
        <w:rPr>
          <w:sz w:val="21"/>
        </w:rPr>
        <w:t>the Government or by the Concessionaire are confidential and may only be made available to third parties with the Government’s </w:t>
      </w:r>
      <w:r>
        <w:rPr>
          <w:spacing w:val="-2"/>
          <w:sz w:val="21"/>
        </w:rPr>
        <w:t>authorization.</w:t>
      </w:r>
    </w:p>
    <w:p>
      <w:pPr>
        <w:pStyle w:val="BodyText"/>
        <w:spacing w:before="153"/>
        <w:rPr>
          <w:sz w:val="21"/>
        </w:rPr>
      </w:pPr>
    </w:p>
    <w:p>
      <w:pPr>
        <w:spacing w:line="213" w:lineRule="auto" w:before="0"/>
        <w:ind w:left="144" w:right="118" w:firstLine="0"/>
        <w:jc w:val="both"/>
        <w:rPr>
          <w:sz w:val="21"/>
        </w:rPr>
      </w:pPr>
      <w:r>
        <w:rPr>
          <w:i/>
          <w:sz w:val="21"/>
        </w:rPr>
        <w:t>Two</w:t>
      </w:r>
      <w:r>
        <w:rPr>
          <w:sz w:val="21"/>
        </w:rPr>
        <w:t>. The Government and the Concessionaire undertake to take the necessary measures to ensure that the employees of the Public Administration</w:t>
      </w:r>
      <w:r>
        <w:rPr>
          <w:spacing w:val="25"/>
          <w:sz w:val="21"/>
        </w:rPr>
        <w:t> </w:t>
      </w:r>
      <w:r>
        <w:rPr>
          <w:sz w:val="21"/>
        </w:rPr>
        <w:t>of</w:t>
      </w:r>
      <w:r>
        <w:rPr>
          <w:spacing w:val="25"/>
          <w:sz w:val="21"/>
        </w:rPr>
        <w:t> </w:t>
      </w:r>
      <w:r>
        <w:rPr>
          <w:sz w:val="21"/>
        </w:rPr>
        <w:t>the</w:t>
      </w:r>
      <w:r>
        <w:rPr>
          <w:spacing w:val="25"/>
          <w:sz w:val="21"/>
        </w:rPr>
        <w:t> </w:t>
      </w:r>
      <w:r>
        <w:rPr>
          <w:sz w:val="21"/>
        </w:rPr>
        <w:t>Macau</w:t>
      </w:r>
      <w:r>
        <w:rPr>
          <w:spacing w:val="25"/>
          <w:sz w:val="21"/>
        </w:rPr>
        <w:t> </w:t>
      </w:r>
      <w:r>
        <w:rPr>
          <w:sz w:val="21"/>
        </w:rPr>
        <w:t>SAR</w:t>
      </w:r>
      <w:r>
        <w:rPr>
          <w:spacing w:val="25"/>
          <w:sz w:val="21"/>
        </w:rPr>
        <w:t> </w:t>
      </w:r>
      <w:r>
        <w:rPr>
          <w:sz w:val="21"/>
        </w:rPr>
        <w:t>and</w:t>
      </w:r>
      <w:r>
        <w:rPr>
          <w:spacing w:val="25"/>
          <w:sz w:val="21"/>
        </w:rPr>
        <w:t> </w:t>
      </w:r>
      <w:r>
        <w:rPr>
          <w:sz w:val="21"/>
        </w:rPr>
        <w:t>of</w:t>
      </w:r>
      <w:r>
        <w:rPr>
          <w:spacing w:val="25"/>
          <w:sz w:val="21"/>
        </w:rPr>
        <w:t> </w:t>
      </w:r>
      <w:r>
        <w:rPr>
          <w:sz w:val="21"/>
        </w:rPr>
        <w:t>the</w:t>
      </w:r>
      <w:r>
        <w:rPr>
          <w:spacing w:val="25"/>
          <w:sz w:val="21"/>
        </w:rPr>
        <w:t> </w:t>
      </w:r>
      <w:r>
        <w:rPr>
          <w:sz w:val="21"/>
        </w:rPr>
        <w:t>Concessionaire</w:t>
      </w:r>
      <w:r>
        <w:rPr>
          <w:spacing w:val="25"/>
          <w:sz w:val="21"/>
        </w:rPr>
        <w:t> </w:t>
      </w:r>
      <w:r>
        <w:rPr>
          <w:sz w:val="21"/>
        </w:rPr>
        <w:t>are</w:t>
      </w:r>
      <w:r>
        <w:rPr>
          <w:spacing w:val="25"/>
          <w:sz w:val="21"/>
        </w:rPr>
        <w:t> </w:t>
      </w:r>
      <w:r>
        <w:rPr>
          <w:sz w:val="21"/>
        </w:rPr>
        <w:t>bound</w:t>
      </w:r>
      <w:r>
        <w:rPr>
          <w:spacing w:val="25"/>
          <w:sz w:val="21"/>
        </w:rPr>
        <w:t> </w:t>
      </w:r>
      <w:r>
        <w:rPr>
          <w:sz w:val="21"/>
        </w:rPr>
        <w:t>by</w:t>
      </w:r>
      <w:r>
        <w:rPr>
          <w:spacing w:val="25"/>
          <w:sz w:val="21"/>
        </w:rPr>
        <w:t> </w:t>
      </w:r>
      <w:r>
        <w:rPr>
          <w:sz w:val="21"/>
        </w:rPr>
        <w:t>the</w:t>
      </w:r>
      <w:r>
        <w:rPr>
          <w:spacing w:val="25"/>
          <w:sz w:val="21"/>
        </w:rPr>
        <w:t> </w:t>
      </w:r>
      <w:r>
        <w:rPr>
          <w:sz w:val="21"/>
        </w:rPr>
        <w:t>duty</w:t>
      </w:r>
      <w:r>
        <w:rPr>
          <w:spacing w:val="25"/>
          <w:sz w:val="21"/>
        </w:rPr>
        <w:t> </w:t>
      </w:r>
      <w:r>
        <w:rPr>
          <w:sz w:val="21"/>
        </w:rPr>
        <w:t>of</w:t>
      </w:r>
      <w:r>
        <w:rPr>
          <w:spacing w:val="25"/>
          <w:sz w:val="21"/>
        </w:rPr>
        <w:t> </w:t>
      </w:r>
      <w:r>
        <w:rPr>
          <w:sz w:val="21"/>
        </w:rPr>
        <w:t>confidentiality.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9"/>
        <w:rPr>
          <w:sz w:val="20"/>
        </w:rPr>
      </w:pPr>
      <w:r>
        <w:rPr/>
        <mc:AlternateContent>
          <mc:Choice Requires="wps">
            <w:drawing>
              <wp:anchor distT="0" distB="0" distL="0" distR="0" allowOverlap="1" layoutInCell="1" locked="0" behindDoc="1" simplePos="0" relativeHeight="487790592">
                <wp:simplePos x="0" y="0"/>
                <wp:positionH relativeFrom="page">
                  <wp:posOffset>231457</wp:posOffset>
                </wp:positionH>
                <wp:positionV relativeFrom="paragraph">
                  <wp:posOffset>205115</wp:posOffset>
                </wp:positionV>
                <wp:extent cx="7312659" cy="17145"/>
                <wp:effectExtent l="0" t="0" r="0" b="0"/>
                <wp:wrapTopAndBottom/>
                <wp:docPr id="999" name="Group 999"/>
                <wp:cNvGraphicFramePr>
                  <a:graphicFrameLocks/>
                </wp:cNvGraphicFramePr>
                <a:graphic>
                  <a:graphicData uri="http://schemas.microsoft.com/office/word/2010/wordprocessingGroup">
                    <wpg:wgp>
                      <wpg:cNvPr id="999" name="Group 999"/>
                      <wpg:cNvGrpSpPr/>
                      <wpg:grpSpPr>
                        <a:xfrm>
                          <a:off x="0" y="0"/>
                          <a:ext cx="7312659" cy="17145"/>
                          <a:chExt cx="7312659" cy="17145"/>
                        </a:xfrm>
                      </wpg:grpSpPr>
                      <wps:wsp>
                        <wps:cNvPr id="1000" name="Graphic 100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01" name="Graphic 1001"/>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02" name="Graphic 100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150808pt;width:575.8pt;height:1.35pt;mso-position-horizontal-relative:page;mso-position-vertical-relative:paragraph;z-index:-15525888;mso-wrap-distance-left:0;mso-wrap-distance-right:0" id="docshapegroup997" coordorigin="364,323" coordsize="11516,27">
                <v:rect style="position:absolute;left:364;top:323;width:11516;height:14" id="docshape998" filled="true" fillcolor="#999999" stroked="false">
                  <v:fill type="solid"/>
                </v:rect>
                <v:shape style="position:absolute;left:364;top:322;width:11516;height:27" id="docshape999" coordorigin="364,323" coordsize="11516,27" path="m11880,323l11866,336,364,336,364,350,11866,350,11880,350,11880,336,11880,323xe" filled="true" fillcolor="#ededed" stroked="false">
                  <v:path arrowok="t"/>
                  <v:fill type="solid"/>
                </v:shape>
                <v:shape style="position:absolute;left:364;top:323;width:14;height:27" id="docshape1000" coordorigin="364,323" coordsize="14,27" path="m364,350l364,323,378,323,378,337,364,350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spacing w:line="213" w:lineRule="auto" w:before="97"/>
        <w:ind w:left="144" w:right="118" w:firstLine="0"/>
        <w:jc w:val="both"/>
        <w:rPr>
          <w:sz w:val="21"/>
        </w:rPr>
      </w:pPr>
      <w:r>
        <w:rPr>
          <w:i/>
          <w:sz w:val="21"/>
        </w:rPr>
        <w:t>Three</w:t>
      </w:r>
      <w:r>
        <w:rPr>
          <w:sz w:val="21"/>
        </w:rPr>
        <w:t>. The Government and the Concessionaire undertake to impose the duty of secrecy on other persons who have had or may </w:t>
      </w:r>
      <w:r>
        <w:rPr>
          <w:sz w:val="21"/>
        </w:rPr>
        <w:t>have access</w:t>
      </w:r>
      <w:r>
        <w:rPr>
          <w:spacing w:val="32"/>
          <w:sz w:val="21"/>
        </w:rPr>
        <w:t> </w:t>
      </w:r>
      <w:r>
        <w:rPr>
          <w:sz w:val="21"/>
        </w:rPr>
        <w:t>to</w:t>
      </w:r>
      <w:r>
        <w:rPr>
          <w:spacing w:val="32"/>
          <w:sz w:val="21"/>
        </w:rPr>
        <w:t> </w:t>
      </w:r>
      <w:r>
        <w:rPr>
          <w:sz w:val="21"/>
        </w:rPr>
        <w:t>confidential</w:t>
      </w:r>
      <w:r>
        <w:rPr>
          <w:spacing w:val="32"/>
          <w:sz w:val="21"/>
        </w:rPr>
        <w:t> </w:t>
      </w:r>
      <w:r>
        <w:rPr>
          <w:sz w:val="21"/>
        </w:rPr>
        <w:t>documents,</w:t>
      </w:r>
      <w:r>
        <w:rPr>
          <w:spacing w:val="32"/>
          <w:sz w:val="21"/>
        </w:rPr>
        <w:t> </w:t>
      </w:r>
      <w:r>
        <w:rPr>
          <w:sz w:val="21"/>
        </w:rPr>
        <w:t>namely</w:t>
      </w:r>
      <w:r>
        <w:rPr>
          <w:spacing w:val="32"/>
          <w:sz w:val="21"/>
        </w:rPr>
        <w:t> </w:t>
      </w:r>
      <w:r>
        <w:rPr>
          <w:sz w:val="21"/>
        </w:rPr>
        <w:t>through</w:t>
      </w:r>
      <w:r>
        <w:rPr>
          <w:spacing w:val="32"/>
          <w:sz w:val="21"/>
        </w:rPr>
        <w:t> </w:t>
      </w:r>
      <w:r>
        <w:rPr>
          <w:sz w:val="21"/>
        </w:rPr>
        <w:t>consultancy,</w:t>
      </w:r>
      <w:r>
        <w:rPr>
          <w:spacing w:val="32"/>
          <w:sz w:val="21"/>
        </w:rPr>
        <w:t> </w:t>
      </w:r>
      <w:r>
        <w:rPr>
          <w:sz w:val="21"/>
        </w:rPr>
        <w:t>provision</w:t>
      </w:r>
      <w:r>
        <w:rPr>
          <w:spacing w:val="32"/>
          <w:sz w:val="21"/>
        </w:rPr>
        <w:t> </w:t>
      </w:r>
      <w:r>
        <w:rPr>
          <w:sz w:val="21"/>
        </w:rPr>
        <w:t>of</w:t>
      </w:r>
      <w:r>
        <w:rPr>
          <w:spacing w:val="32"/>
          <w:sz w:val="21"/>
        </w:rPr>
        <w:t> </w:t>
      </w:r>
      <w:r>
        <w:rPr>
          <w:sz w:val="21"/>
        </w:rPr>
        <w:t>service</w:t>
      </w:r>
      <w:r>
        <w:rPr>
          <w:spacing w:val="32"/>
          <w:sz w:val="21"/>
        </w:rPr>
        <w:t> </w:t>
      </w:r>
      <w:r>
        <w:rPr>
          <w:sz w:val="21"/>
        </w:rPr>
        <w:t>or</w:t>
      </w:r>
      <w:r>
        <w:rPr>
          <w:spacing w:val="32"/>
          <w:sz w:val="21"/>
        </w:rPr>
        <w:t> </w:t>
      </w:r>
      <w:r>
        <w:rPr>
          <w:sz w:val="21"/>
        </w:rPr>
        <w:t>other</w:t>
      </w:r>
      <w:r>
        <w:rPr>
          <w:spacing w:val="32"/>
          <w:sz w:val="21"/>
        </w:rPr>
        <w:t> </w:t>
      </w:r>
      <w:r>
        <w:rPr>
          <w:sz w:val="21"/>
        </w:rPr>
        <w:t>contracts.</w:t>
      </w:r>
    </w:p>
    <w:p>
      <w:pPr>
        <w:pStyle w:val="BodyText"/>
        <w:spacing w:before="152"/>
        <w:rPr>
          <w:sz w:val="21"/>
        </w:rPr>
      </w:pPr>
    </w:p>
    <w:p>
      <w:pPr>
        <w:spacing w:line="213" w:lineRule="auto" w:before="0"/>
        <w:ind w:left="144" w:right="117" w:firstLine="0"/>
        <w:jc w:val="both"/>
        <w:rPr>
          <w:sz w:val="21"/>
        </w:rPr>
      </w:pPr>
      <w:r>
        <w:rPr>
          <w:i/>
          <w:sz w:val="21"/>
        </w:rPr>
        <w:t>Four.</w:t>
      </w:r>
      <w:r>
        <w:rPr>
          <w:i/>
          <w:spacing w:val="33"/>
          <w:sz w:val="21"/>
        </w:rPr>
        <w:t> </w:t>
      </w:r>
      <w:r>
        <w:rPr>
          <w:sz w:val="21"/>
        </w:rPr>
        <w:t>The</w:t>
      </w:r>
      <w:r>
        <w:rPr>
          <w:spacing w:val="32"/>
          <w:sz w:val="21"/>
        </w:rPr>
        <w:t> </w:t>
      </w:r>
      <w:r>
        <w:rPr>
          <w:sz w:val="21"/>
        </w:rPr>
        <w:t>Concessionaire</w:t>
      </w:r>
      <w:r>
        <w:rPr>
          <w:spacing w:val="32"/>
          <w:sz w:val="21"/>
        </w:rPr>
        <w:t> </w:t>
      </w:r>
      <w:r>
        <w:rPr>
          <w:sz w:val="21"/>
        </w:rPr>
        <w:t>undertakes</w:t>
      </w:r>
      <w:r>
        <w:rPr>
          <w:spacing w:val="32"/>
          <w:sz w:val="21"/>
        </w:rPr>
        <w:t> </w:t>
      </w:r>
      <w:r>
        <w:rPr>
          <w:sz w:val="21"/>
        </w:rPr>
        <w:t>to</w:t>
      </w:r>
      <w:r>
        <w:rPr>
          <w:spacing w:val="32"/>
          <w:sz w:val="21"/>
        </w:rPr>
        <w:t> </w:t>
      </w:r>
      <w:r>
        <w:rPr>
          <w:sz w:val="21"/>
        </w:rPr>
        <w:t>keep</w:t>
      </w:r>
      <w:r>
        <w:rPr>
          <w:spacing w:val="32"/>
          <w:sz w:val="21"/>
        </w:rPr>
        <w:t> </w:t>
      </w:r>
      <w:r>
        <w:rPr>
          <w:sz w:val="21"/>
        </w:rPr>
        <w:t>the</w:t>
      </w:r>
      <w:r>
        <w:rPr>
          <w:spacing w:val="32"/>
          <w:sz w:val="21"/>
        </w:rPr>
        <w:t> </w:t>
      </w:r>
      <w:r>
        <w:rPr>
          <w:sz w:val="21"/>
        </w:rPr>
        <w:t>entire</w:t>
      </w:r>
      <w:r>
        <w:rPr>
          <w:spacing w:val="32"/>
          <w:sz w:val="21"/>
        </w:rPr>
        <w:t> </w:t>
      </w:r>
      <w:r>
        <w:rPr>
          <w:sz w:val="21"/>
        </w:rPr>
        <w:t>contents</w:t>
      </w:r>
      <w:r>
        <w:rPr>
          <w:spacing w:val="32"/>
          <w:sz w:val="21"/>
        </w:rPr>
        <w:t> </w:t>
      </w:r>
      <w:r>
        <w:rPr>
          <w:sz w:val="21"/>
        </w:rPr>
        <w:t>of</w:t>
      </w:r>
      <w:r>
        <w:rPr>
          <w:spacing w:val="32"/>
          <w:sz w:val="21"/>
        </w:rPr>
        <w:t> </w:t>
      </w:r>
      <w:r>
        <w:rPr>
          <w:sz w:val="21"/>
        </w:rPr>
        <w:t>this</w:t>
      </w:r>
      <w:r>
        <w:rPr>
          <w:spacing w:val="32"/>
          <w:sz w:val="21"/>
        </w:rPr>
        <w:t> </w:t>
      </w:r>
      <w:r>
        <w:rPr>
          <w:sz w:val="21"/>
        </w:rPr>
        <w:t>concession</w:t>
      </w:r>
      <w:r>
        <w:rPr>
          <w:spacing w:val="32"/>
          <w:sz w:val="21"/>
        </w:rPr>
        <w:t> </w:t>
      </w:r>
      <w:r>
        <w:rPr>
          <w:sz w:val="21"/>
        </w:rPr>
        <w:t>contract</w:t>
      </w:r>
      <w:r>
        <w:rPr>
          <w:spacing w:val="32"/>
          <w:sz w:val="21"/>
        </w:rPr>
        <w:t> </w:t>
      </w:r>
      <w:r>
        <w:rPr>
          <w:sz w:val="21"/>
        </w:rPr>
        <w:t>confidential,</w:t>
      </w:r>
      <w:r>
        <w:rPr>
          <w:spacing w:val="32"/>
          <w:sz w:val="21"/>
        </w:rPr>
        <w:t> </w:t>
      </w:r>
      <w:r>
        <w:rPr>
          <w:sz w:val="21"/>
        </w:rPr>
        <w:t>including</w:t>
      </w:r>
      <w:r>
        <w:rPr>
          <w:spacing w:val="32"/>
          <w:sz w:val="21"/>
        </w:rPr>
        <w:t> </w:t>
      </w:r>
      <w:r>
        <w:rPr>
          <w:sz w:val="21"/>
        </w:rPr>
        <w:t>any</w:t>
      </w:r>
      <w:r>
        <w:rPr>
          <w:spacing w:val="32"/>
          <w:sz w:val="21"/>
        </w:rPr>
        <w:t> </w:t>
      </w:r>
      <w:r>
        <w:rPr>
          <w:sz w:val="21"/>
        </w:rPr>
        <w:t>documents that</w:t>
      </w:r>
      <w:r>
        <w:rPr>
          <w:spacing w:val="40"/>
          <w:sz w:val="21"/>
        </w:rPr>
        <w:t> </w:t>
      </w:r>
      <w:r>
        <w:rPr>
          <w:sz w:val="21"/>
        </w:rPr>
        <w:t>may</w:t>
      </w:r>
      <w:r>
        <w:rPr>
          <w:spacing w:val="40"/>
          <w:sz w:val="21"/>
        </w:rPr>
        <w:t> </w:t>
      </w:r>
      <w:r>
        <w:rPr>
          <w:sz w:val="21"/>
        </w:rPr>
        <w:t>make</w:t>
      </w:r>
      <w:r>
        <w:rPr>
          <w:spacing w:val="40"/>
          <w:sz w:val="21"/>
        </w:rPr>
        <w:t> </w:t>
      </w:r>
      <w:r>
        <w:rPr>
          <w:sz w:val="21"/>
        </w:rPr>
        <w:t>the</w:t>
      </w:r>
      <w:r>
        <w:rPr>
          <w:spacing w:val="40"/>
          <w:sz w:val="21"/>
        </w:rPr>
        <w:t> </w:t>
      </w:r>
      <w:r>
        <w:rPr>
          <w:sz w:val="21"/>
        </w:rPr>
        <w:t>contents</w:t>
      </w:r>
      <w:r>
        <w:rPr>
          <w:spacing w:val="40"/>
          <w:sz w:val="21"/>
        </w:rPr>
        <w:t> </w:t>
      </w:r>
      <w:r>
        <w:rPr>
          <w:sz w:val="21"/>
        </w:rPr>
        <w:t>of</w:t>
      </w:r>
      <w:r>
        <w:rPr>
          <w:spacing w:val="40"/>
          <w:sz w:val="21"/>
        </w:rPr>
        <w:t> </w:t>
      </w:r>
      <w:r>
        <w:rPr>
          <w:sz w:val="21"/>
        </w:rPr>
        <w:t>the</w:t>
      </w:r>
      <w:r>
        <w:rPr>
          <w:spacing w:val="40"/>
          <w:sz w:val="21"/>
        </w:rPr>
        <w:t> </w:t>
      </w:r>
      <w:r>
        <w:rPr>
          <w:sz w:val="21"/>
        </w:rPr>
        <w:t>contract</w:t>
      </w:r>
      <w:r>
        <w:rPr>
          <w:spacing w:val="40"/>
          <w:sz w:val="21"/>
        </w:rPr>
        <w:t> </w:t>
      </w:r>
      <w:r>
        <w:rPr>
          <w:sz w:val="21"/>
        </w:rPr>
        <w:t>known</w:t>
      </w:r>
      <w:r>
        <w:rPr>
          <w:spacing w:val="40"/>
          <w:sz w:val="21"/>
        </w:rPr>
        <w:t> </w:t>
      </w:r>
      <w:r>
        <w:rPr>
          <w:sz w:val="21"/>
        </w:rPr>
        <w:t>and</w:t>
      </w:r>
      <w:r>
        <w:rPr>
          <w:spacing w:val="40"/>
          <w:sz w:val="21"/>
        </w:rPr>
        <w:t> </w:t>
      </w:r>
      <w:r>
        <w:rPr>
          <w:sz w:val="21"/>
        </w:rPr>
        <w:t>may</w:t>
      </w:r>
      <w:r>
        <w:rPr>
          <w:spacing w:val="40"/>
          <w:sz w:val="21"/>
        </w:rPr>
        <w:t> </w:t>
      </w:r>
      <w:r>
        <w:rPr>
          <w:sz w:val="21"/>
        </w:rPr>
        <w:t>only</w:t>
      </w:r>
      <w:r>
        <w:rPr>
          <w:spacing w:val="40"/>
          <w:sz w:val="21"/>
        </w:rPr>
        <w:t> </w:t>
      </w:r>
      <w:r>
        <w:rPr>
          <w:sz w:val="21"/>
        </w:rPr>
        <w:t>disclose</w:t>
      </w:r>
      <w:r>
        <w:rPr>
          <w:spacing w:val="40"/>
          <w:sz w:val="21"/>
        </w:rPr>
        <w:t> </w:t>
      </w:r>
      <w:r>
        <w:rPr>
          <w:sz w:val="21"/>
        </w:rPr>
        <w:t>them</w:t>
      </w:r>
      <w:r>
        <w:rPr>
          <w:spacing w:val="40"/>
          <w:sz w:val="21"/>
        </w:rPr>
        <w:t> </w:t>
      </w:r>
      <w:r>
        <w:rPr>
          <w:sz w:val="21"/>
        </w:rPr>
        <w:t>to</w:t>
      </w:r>
      <w:r>
        <w:rPr>
          <w:spacing w:val="40"/>
          <w:sz w:val="21"/>
        </w:rPr>
        <w:t> </w:t>
      </w:r>
      <w:r>
        <w:rPr>
          <w:sz w:val="21"/>
        </w:rPr>
        <w:t>third</w:t>
      </w:r>
      <w:r>
        <w:rPr>
          <w:spacing w:val="40"/>
          <w:sz w:val="21"/>
        </w:rPr>
        <w:t> </w:t>
      </w:r>
      <w:r>
        <w:rPr>
          <w:sz w:val="21"/>
        </w:rPr>
        <w:t>parties</w:t>
      </w:r>
      <w:r>
        <w:rPr>
          <w:spacing w:val="40"/>
          <w:sz w:val="21"/>
        </w:rPr>
        <w:t> </w:t>
      </w:r>
      <w:r>
        <w:rPr>
          <w:sz w:val="21"/>
        </w:rPr>
        <w:t>with</w:t>
      </w:r>
      <w:r>
        <w:rPr>
          <w:spacing w:val="40"/>
          <w:sz w:val="21"/>
        </w:rPr>
        <w:t> </w:t>
      </w:r>
      <w:r>
        <w:rPr>
          <w:sz w:val="21"/>
        </w:rPr>
        <w:t>the</w:t>
      </w:r>
      <w:r>
        <w:rPr>
          <w:spacing w:val="40"/>
          <w:sz w:val="21"/>
        </w:rPr>
        <w:t> </w:t>
      </w:r>
      <w:r>
        <w:rPr>
          <w:sz w:val="21"/>
        </w:rPr>
        <w:t>authorization</w:t>
      </w:r>
      <w:r>
        <w:rPr>
          <w:spacing w:val="40"/>
          <w:sz w:val="21"/>
        </w:rPr>
        <w:t> </w:t>
      </w:r>
      <w:r>
        <w:rPr>
          <w:sz w:val="21"/>
        </w:rPr>
        <w:t>of</w:t>
      </w:r>
      <w:r>
        <w:rPr>
          <w:spacing w:val="40"/>
          <w:sz w:val="21"/>
        </w:rPr>
        <w:t> </w:t>
      </w:r>
      <w:r>
        <w:rPr>
          <w:sz w:val="21"/>
        </w:rPr>
        <w:t>the </w:t>
      </w:r>
      <w:r>
        <w:rPr>
          <w:spacing w:val="-2"/>
          <w:sz w:val="21"/>
        </w:rPr>
        <w:t>Government.</w:t>
      </w:r>
    </w:p>
    <w:p>
      <w:pPr>
        <w:pStyle w:val="BodyText"/>
        <w:spacing w:before="166"/>
        <w:rPr>
          <w:sz w:val="21"/>
        </w:rPr>
      </w:pPr>
    </w:p>
    <w:p>
      <w:pPr>
        <w:spacing w:line="213" w:lineRule="auto" w:before="1"/>
        <w:ind w:left="144" w:right="118" w:firstLine="0"/>
        <w:jc w:val="both"/>
        <w:rPr>
          <w:sz w:val="21"/>
        </w:rPr>
      </w:pPr>
      <w:r>
        <w:rPr>
          <w:i/>
          <w:sz w:val="21"/>
        </w:rPr>
        <w:t>Five</w:t>
      </w:r>
      <w:r>
        <w:rPr>
          <w:sz w:val="21"/>
        </w:rPr>
        <w:t>. The provisions set out in paragraph </w:t>
      </w:r>
      <w:r>
        <w:rPr>
          <w:i/>
          <w:sz w:val="21"/>
        </w:rPr>
        <w:t>one </w:t>
      </w:r>
      <w:r>
        <w:rPr>
          <w:sz w:val="21"/>
        </w:rPr>
        <w:t>and in the previous paragraph shall not apply to documents, information or elements requested on justified grounds by the competent judicial authority, by the regulatory agency for the operation of games of chance or</w:t>
      </w:r>
      <w:r>
        <w:rPr>
          <w:spacing w:val="40"/>
          <w:sz w:val="21"/>
        </w:rPr>
        <w:t> </w:t>
      </w:r>
      <w:r>
        <w:rPr>
          <w:sz w:val="21"/>
        </w:rPr>
        <w:t>other casino games in another jurisdiction or by the regulatory agency for the securities market, of which fact the Concessionaire is bound to inform the Government.</w:t>
      </w:r>
    </w:p>
    <w:p>
      <w:pPr>
        <w:pStyle w:val="BodyText"/>
        <w:spacing w:before="154"/>
        <w:rPr>
          <w:sz w:val="21"/>
        </w:rPr>
      </w:pPr>
    </w:p>
    <w:p>
      <w:pPr>
        <w:spacing w:line="213" w:lineRule="auto" w:before="0"/>
        <w:ind w:left="144" w:right="117" w:firstLine="0"/>
        <w:jc w:val="both"/>
        <w:rPr>
          <w:sz w:val="21"/>
        </w:rPr>
      </w:pPr>
      <w:r>
        <w:rPr>
          <w:i/>
          <w:sz w:val="21"/>
        </w:rPr>
        <w:t>Six</w:t>
      </w:r>
      <w:r>
        <w:rPr>
          <w:sz w:val="21"/>
        </w:rPr>
        <w:t>. The provisions foreseen in paragraphs </w:t>
      </w:r>
      <w:r>
        <w:rPr>
          <w:i/>
          <w:sz w:val="21"/>
        </w:rPr>
        <w:t>one </w:t>
      </w:r>
      <w:r>
        <w:rPr>
          <w:sz w:val="21"/>
        </w:rPr>
        <w:t>and </w:t>
      </w:r>
      <w:r>
        <w:rPr>
          <w:i/>
          <w:sz w:val="21"/>
        </w:rPr>
        <w:t>four </w:t>
      </w:r>
      <w:r>
        <w:rPr>
          <w:sz w:val="21"/>
        </w:rPr>
        <w:t>do not apply to documents, information, or elements which, in the Concessionaire’s opinion, are subject to being handed over to external financial entities, investors, lawyers, qualified </w:t>
      </w:r>
      <w:r>
        <w:rPr>
          <w:sz w:val="21"/>
        </w:rPr>
        <w:t>accountants, auditors</w:t>
      </w:r>
      <w:r>
        <w:rPr>
          <w:spacing w:val="32"/>
          <w:sz w:val="21"/>
        </w:rPr>
        <w:t> </w:t>
      </w:r>
      <w:r>
        <w:rPr>
          <w:sz w:val="21"/>
        </w:rPr>
        <w:t>or</w:t>
      </w:r>
      <w:r>
        <w:rPr>
          <w:spacing w:val="32"/>
          <w:sz w:val="21"/>
        </w:rPr>
        <w:t> </w:t>
      </w:r>
      <w:r>
        <w:rPr>
          <w:sz w:val="21"/>
        </w:rPr>
        <w:t>advisors,</w:t>
      </w:r>
      <w:r>
        <w:rPr>
          <w:spacing w:val="32"/>
          <w:sz w:val="21"/>
        </w:rPr>
        <w:t> </w:t>
      </w:r>
      <w:r>
        <w:rPr>
          <w:sz w:val="21"/>
        </w:rPr>
        <w:t>but</w:t>
      </w:r>
      <w:r>
        <w:rPr>
          <w:spacing w:val="32"/>
          <w:sz w:val="21"/>
        </w:rPr>
        <w:t> </w:t>
      </w:r>
      <w:r>
        <w:rPr>
          <w:sz w:val="21"/>
        </w:rPr>
        <w:t>the</w:t>
      </w:r>
      <w:r>
        <w:rPr>
          <w:spacing w:val="32"/>
          <w:sz w:val="21"/>
        </w:rPr>
        <w:t> </w:t>
      </w:r>
      <w:r>
        <w:rPr>
          <w:sz w:val="21"/>
        </w:rPr>
        <w:t>Concessionaire</w:t>
      </w:r>
      <w:r>
        <w:rPr>
          <w:spacing w:val="32"/>
          <w:sz w:val="21"/>
        </w:rPr>
        <w:t> </w:t>
      </w:r>
      <w:r>
        <w:rPr>
          <w:sz w:val="21"/>
        </w:rPr>
        <w:t>undertakes</w:t>
      </w:r>
      <w:r>
        <w:rPr>
          <w:spacing w:val="32"/>
          <w:sz w:val="21"/>
        </w:rPr>
        <w:t> </w:t>
      </w:r>
      <w:r>
        <w:rPr>
          <w:sz w:val="21"/>
        </w:rPr>
        <w:t>to</w:t>
      </w:r>
      <w:r>
        <w:rPr>
          <w:spacing w:val="32"/>
          <w:sz w:val="21"/>
        </w:rPr>
        <w:t> </w:t>
      </w:r>
      <w:r>
        <w:rPr>
          <w:sz w:val="21"/>
        </w:rPr>
        <w:t>ensure</w:t>
      </w:r>
      <w:r>
        <w:rPr>
          <w:spacing w:val="32"/>
          <w:sz w:val="21"/>
        </w:rPr>
        <w:t> </w:t>
      </w:r>
      <w:r>
        <w:rPr>
          <w:sz w:val="21"/>
        </w:rPr>
        <w:t>that</w:t>
      </w:r>
      <w:r>
        <w:rPr>
          <w:spacing w:val="32"/>
          <w:sz w:val="21"/>
        </w:rPr>
        <w:t> </w:t>
      </w:r>
      <w:r>
        <w:rPr>
          <w:sz w:val="21"/>
        </w:rPr>
        <w:t>these</w:t>
      </w:r>
      <w:r>
        <w:rPr>
          <w:spacing w:val="32"/>
          <w:sz w:val="21"/>
        </w:rPr>
        <w:t> </w:t>
      </w:r>
      <w:r>
        <w:rPr>
          <w:sz w:val="21"/>
        </w:rPr>
        <w:t>persons</w:t>
      </w:r>
      <w:r>
        <w:rPr>
          <w:spacing w:val="32"/>
          <w:sz w:val="21"/>
        </w:rPr>
        <w:t> </w:t>
      </w:r>
      <w:r>
        <w:rPr>
          <w:sz w:val="21"/>
        </w:rPr>
        <w:t>have</w:t>
      </w:r>
      <w:r>
        <w:rPr>
          <w:spacing w:val="32"/>
          <w:sz w:val="21"/>
        </w:rPr>
        <w:t> </w:t>
      </w:r>
      <w:r>
        <w:rPr>
          <w:sz w:val="21"/>
        </w:rPr>
        <w:t>the</w:t>
      </w:r>
      <w:r>
        <w:rPr>
          <w:spacing w:val="32"/>
          <w:sz w:val="21"/>
        </w:rPr>
        <w:t> </w:t>
      </w:r>
      <w:r>
        <w:rPr>
          <w:sz w:val="21"/>
        </w:rPr>
        <w:t>same</w:t>
      </w:r>
      <w:r>
        <w:rPr>
          <w:spacing w:val="32"/>
          <w:sz w:val="21"/>
        </w:rPr>
        <w:t> </w:t>
      </w:r>
      <w:r>
        <w:rPr>
          <w:sz w:val="21"/>
        </w:rPr>
        <w:t>duty</w:t>
      </w:r>
      <w:r>
        <w:rPr>
          <w:spacing w:val="32"/>
          <w:sz w:val="21"/>
        </w:rPr>
        <w:t> </w:t>
      </w:r>
      <w:r>
        <w:rPr>
          <w:sz w:val="21"/>
        </w:rPr>
        <w:t>of</w:t>
      </w:r>
      <w:r>
        <w:rPr>
          <w:spacing w:val="32"/>
          <w:sz w:val="21"/>
        </w:rPr>
        <w:t> </w:t>
      </w:r>
      <w:r>
        <w:rPr>
          <w:sz w:val="21"/>
        </w:rPr>
        <w:t>confidentiality</w:t>
      </w:r>
      <w:r>
        <w:rPr>
          <w:spacing w:val="32"/>
          <w:sz w:val="21"/>
        </w:rPr>
        <w:t> </w:t>
      </w:r>
      <w:r>
        <w:rPr>
          <w:sz w:val="21"/>
        </w:rPr>
        <w:t>towards third parties.</w:t>
      </w:r>
    </w:p>
    <w:p>
      <w:pPr>
        <w:pStyle w:val="BodyText"/>
        <w:spacing w:before="154"/>
        <w:rPr>
          <w:sz w:val="21"/>
        </w:rPr>
      </w:pPr>
    </w:p>
    <w:p>
      <w:pPr>
        <w:spacing w:line="213" w:lineRule="auto" w:before="0"/>
        <w:ind w:left="144" w:right="118" w:firstLine="0"/>
        <w:jc w:val="both"/>
        <w:rPr>
          <w:sz w:val="21"/>
        </w:rPr>
      </w:pPr>
      <w:r>
        <w:rPr>
          <w:i/>
          <w:sz w:val="21"/>
        </w:rPr>
        <w:t>Seven</w:t>
      </w:r>
      <w:r>
        <w:rPr>
          <w:sz w:val="21"/>
        </w:rPr>
        <w:t>. Upon obtaining the authorization indicated in paragraph </w:t>
      </w:r>
      <w:r>
        <w:rPr>
          <w:i/>
          <w:sz w:val="21"/>
        </w:rPr>
        <w:t>four</w:t>
      </w:r>
      <w:r>
        <w:rPr>
          <w:sz w:val="21"/>
        </w:rPr>
        <w:t>, the Concessionaire is obligated to take all necessary steps </w:t>
      </w:r>
      <w:r>
        <w:rPr>
          <w:sz w:val="21"/>
        </w:rPr>
        <w:t>to</w:t>
      </w:r>
      <w:r>
        <w:rPr>
          <w:spacing w:val="80"/>
          <w:w w:val="150"/>
          <w:sz w:val="21"/>
        </w:rPr>
        <w:t> </w:t>
      </w:r>
      <w:r>
        <w:rPr>
          <w:sz w:val="21"/>
        </w:rPr>
        <w:t>ensure</w:t>
      </w:r>
      <w:r>
        <w:rPr>
          <w:spacing w:val="40"/>
          <w:sz w:val="21"/>
        </w:rPr>
        <w:t> </w:t>
      </w:r>
      <w:r>
        <w:rPr>
          <w:sz w:val="21"/>
        </w:rPr>
        <w:t>that</w:t>
      </w:r>
      <w:r>
        <w:rPr>
          <w:spacing w:val="40"/>
          <w:sz w:val="21"/>
        </w:rPr>
        <w:t> </w:t>
      </w:r>
      <w:r>
        <w:rPr>
          <w:sz w:val="21"/>
        </w:rPr>
        <w:t>other</w:t>
      </w:r>
      <w:r>
        <w:rPr>
          <w:spacing w:val="40"/>
          <w:sz w:val="21"/>
        </w:rPr>
        <w:t> </w:t>
      </w:r>
      <w:r>
        <w:rPr>
          <w:sz w:val="21"/>
        </w:rPr>
        <w:t>people</w:t>
      </w:r>
      <w:r>
        <w:rPr>
          <w:spacing w:val="40"/>
          <w:sz w:val="21"/>
        </w:rPr>
        <w:t> </w:t>
      </w:r>
      <w:r>
        <w:rPr>
          <w:sz w:val="21"/>
        </w:rPr>
        <w:t>or</w:t>
      </w:r>
      <w:r>
        <w:rPr>
          <w:spacing w:val="40"/>
          <w:sz w:val="21"/>
        </w:rPr>
        <w:t> </w:t>
      </w:r>
      <w:r>
        <w:rPr>
          <w:sz w:val="21"/>
        </w:rPr>
        <w:t>entities</w:t>
      </w:r>
      <w:r>
        <w:rPr>
          <w:spacing w:val="40"/>
          <w:sz w:val="21"/>
        </w:rPr>
        <w:t> </w:t>
      </w:r>
      <w:r>
        <w:rPr>
          <w:sz w:val="21"/>
        </w:rPr>
        <w:t>who</w:t>
      </w:r>
      <w:r>
        <w:rPr>
          <w:spacing w:val="40"/>
          <w:sz w:val="21"/>
        </w:rPr>
        <w:t> </w:t>
      </w:r>
      <w:r>
        <w:rPr>
          <w:sz w:val="21"/>
        </w:rPr>
        <w:t>have</w:t>
      </w:r>
      <w:r>
        <w:rPr>
          <w:spacing w:val="40"/>
          <w:sz w:val="21"/>
        </w:rPr>
        <w:t> </w:t>
      </w:r>
      <w:r>
        <w:rPr>
          <w:sz w:val="21"/>
        </w:rPr>
        <w:t>known</w:t>
      </w:r>
      <w:r>
        <w:rPr>
          <w:spacing w:val="40"/>
          <w:sz w:val="21"/>
        </w:rPr>
        <w:t> </w:t>
      </w:r>
      <w:r>
        <w:rPr>
          <w:sz w:val="21"/>
        </w:rPr>
        <w:t>or</w:t>
      </w:r>
      <w:r>
        <w:rPr>
          <w:spacing w:val="40"/>
          <w:sz w:val="21"/>
        </w:rPr>
        <w:t> </w:t>
      </w:r>
      <w:r>
        <w:rPr>
          <w:sz w:val="21"/>
        </w:rPr>
        <w:t>come</w:t>
      </w:r>
      <w:r>
        <w:rPr>
          <w:spacing w:val="40"/>
          <w:sz w:val="21"/>
        </w:rPr>
        <w:t> </w:t>
      </w:r>
      <w:r>
        <w:rPr>
          <w:sz w:val="21"/>
        </w:rPr>
        <w:t>to</w:t>
      </w:r>
      <w:r>
        <w:rPr>
          <w:spacing w:val="40"/>
          <w:sz w:val="21"/>
        </w:rPr>
        <w:t> </w:t>
      </w:r>
      <w:r>
        <w:rPr>
          <w:sz w:val="21"/>
        </w:rPr>
        <w:t>know</w:t>
      </w:r>
      <w:r>
        <w:rPr>
          <w:spacing w:val="40"/>
          <w:sz w:val="21"/>
        </w:rPr>
        <w:t> </w:t>
      </w:r>
      <w:r>
        <w:rPr>
          <w:sz w:val="21"/>
        </w:rPr>
        <w:t>the</w:t>
      </w:r>
      <w:r>
        <w:rPr>
          <w:spacing w:val="40"/>
          <w:sz w:val="21"/>
        </w:rPr>
        <w:t> </w:t>
      </w:r>
      <w:r>
        <w:rPr>
          <w:sz w:val="21"/>
        </w:rPr>
        <w:t>content</w:t>
      </w:r>
      <w:r>
        <w:rPr>
          <w:spacing w:val="40"/>
          <w:sz w:val="21"/>
        </w:rPr>
        <w:t> </w:t>
      </w:r>
      <w:r>
        <w:rPr>
          <w:sz w:val="21"/>
        </w:rPr>
        <w:t>of</w:t>
      </w:r>
      <w:r>
        <w:rPr>
          <w:spacing w:val="40"/>
          <w:sz w:val="21"/>
        </w:rPr>
        <w:t> </w:t>
      </w:r>
      <w:r>
        <w:rPr>
          <w:sz w:val="21"/>
        </w:rPr>
        <w:t>this</w:t>
      </w:r>
      <w:r>
        <w:rPr>
          <w:spacing w:val="40"/>
          <w:sz w:val="21"/>
        </w:rPr>
        <w:t> </w:t>
      </w:r>
      <w:r>
        <w:rPr>
          <w:sz w:val="21"/>
        </w:rPr>
        <w:t>concession</w:t>
      </w:r>
      <w:r>
        <w:rPr>
          <w:spacing w:val="40"/>
          <w:sz w:val="21"/>
        </w:rPr>
        <w:t> </w:t>
      </w:r>
      <w:r>
        <w:rPr>
          <w:sz w:val="21"/>
        </w:rPr>
        <w:t>contract,</w:t>
      </w:r>
      <w:r>
        <w:rPr>
          <w:spacing w:val="40"/>
          <w:sz w:val="21"/>
        </w:rPr>
        <w:t> </w:t>
      </w:r>
      <w:r>
        <w:rPr>
          <w:sz w:val="21"/>
        </w:rPr>
        <w:t>including</w:t>
      </w:r>
      <w:r>
        <w:rPr>
          <w:spacing w:val="40"/>
          <w:sz w:val="21"/>
        </w:rPr>
        <w:t> </w:t>
      </w:r>
      <w:r>
        <w:rPr>
          <w:sz w:val="21"/>
        </w:rPr>
        <w:t>any documents</w:t>
      </w:r>
      <w:r>
        <w:rPr>
          <w:spacing w:val="22"/>
          <w:sz w:val="21"/>
        </w:rPr>
        <w:t> </w:t>
      </w:r>
      <w:r>
        <w:rPr>
          <w:sz w:val="21"/>
        </w:rPr>
        <w:t>that</w:t>
      </w:r>
      <w:r>
        <w:rPr>
          <w:spacing w:val="22"/>
          <w:sz w:val="21"/>
        </w:rPr>
        <w:t> </w:t>
      </w:r>
      <w:r>
        <w:rPr>
          <w:sz w:val="21"/>
        </w:rPr>
        <w:t>may</w:t>
      </w:r>
      <w:r>
        <w:rPr>
          <w:spacing w:val="22"/>
          <w:sz w:val="21"/>
        </w:rPr>
        <w:t> </w:t>
      </w:r>
      <w:r>
        <w:rPr>
          <w:sz w:val="21"/>
        </w:rPr>
        <w:t>make</w:t>
      </w:r>
      <w:r>
        <w:rPr>
          <w:spacing w:val="22"/>
          <w:sz w:val="21"/>
        </w:rPr>
        <w:t> </w:t>
      </w:r>
      <w:r>
        <w:rPr>
          <w:sz w:val="21"/>
        </w:rPr>
        <w:t>the</w:t>
      </w:r>
      <w:r>
        <w:rPr>
          <w:spacing w:val="22"/>
          <w:sz w:val="21"/>
        </w:rPr>
        <w:t> </w:t>
      </w:r>
      <w:r>
        <w:rPr>
          <w:sz w:val="21"/>
        </w:rPr>
        <w:t>content</w:t>
      </w:r>
      <w:r>
        <w:rPr>
          <w:spacing w:val="22"/>
          <w:sz w:val="21"/>
        </w:rPr>
        <w:t> </w:t>
      </w:r>
      <w:r>
        <w:rPr>
          <w:sz w:val="21"/>
        </w:rPr>
        <w:t>of</w:t>
      </w:r>
      <w:r>
        <w:rPr>
          <w:spacing w:val="22"/>
          <w:sz w:val="21"/>
        </w:rPr>
        <w:t> </w:t>
      </w:r>
      <w:r>
        <w:rPr>
          <w:sz w:val="21"/>
        </w:rPr>
        <w:t>the</w:t>
      </w:r>
      <w:r>
        <w:rPr>
          <w:spacing w:val="22"/>
          <w:sz w:val="21"/>
        </w:rPr>
        <w:t> </w:t>
      </w:r>
      <w:r>
        <w:rPr>
          <w:sz w:val="21"/>
        </w:rPr>
        <w:t>contract</w:t>
      </w:r>
      <w:r>
        <w:rPr>
          <w:spacing w:val="22"/>
          <w:sz w:val="21"/>
        </w:rPr>
        <w:t> </w:t>
      </w:r>
      <w:r>
        <w:rPr>
          <w:sz w:val="21"/>
        </w:rPr>
        <w:t>known,</w:t>
      </w:r>
      <w:r>
        <w:rPr>
          <w:spacing w:val="22"/>
          <w:sz w:val="21"/>
        </w:rPr>
        <w:t> </w:t>
      </w:r>
      <w:r>
        <w:rPr>
          <w:sz w:val="21"/>
        </w:rPr>
        <w:t>are</w:t>
      </w:r>
      <w:r>
        <w:rPr>
          <w:spacing w:val="22"/>
          <w:sz w:val="21"/>
        </w:rPr>
        <w:t> </w:t>
      </w:r>
      <w:r>
        <w:rPr>
          <w:sz w:val="21"/>
        </w:rPr>
        <w:t>bound</w:t>
      </w:r>
      <w:r>
        <w:rPr>
          <w:spacing w:val="22"/>
          <w:sz w:val="21"/>
        </w:rPr>
        <w:t> </w:t>
      </w:r>
      <w:r>
        <w:rPr>
          <w:sz w:val="21"/>
        </w:rPr>
        <w:t>by</w:t>
      </w:r>
      <w:r>
        <w:rPr>
          <w:spacing w:val="22"/>
          <w:sz w:val="21"/>
        </w:rPr>
        <w:t> </w:t>
      </w:r>
      <w:r>
        <w:rPr>
          <w:sz w:val="21"/>
        </w:rPr>
        <w:t>the</w:t>
      </w:r>
      <w:r>
        <w:rPr>
          <w:spacing w:val="22"/>
          <w:sz w:val="21"/>
        </w:rPr>
        <w:t> </w:t>
      </w:r>
      <w:r>
        <w:rPr>
          <w:sz w:val="21"/>
        </w:rPr>
        <w:t>duty</w:t>
      </w:r>
      <w:r>
        <w:rPr>
          <w:spacing w:val="22"/>
          <w:sz w:val="21"/>
        </w:rPr>
        <w:t> </w:t>
      </w:r>
      <w:r>
        <w:rPr>
          <w:sz w:val="21"/>
        </w:rPr>
        <w:t>of</w:t>
      </w:r>
      <w:r>
        <w:rPr>
          <w:spacing w:val="22"/>
          <w:sz w:val="21"/>
        </w:rPr>
        <w:t> </w:t>
      </w:r>
      <w:r>
        <w:rPr>
          <w:sz w:val="21"/>
        </w:rPr>
        <w:t>secrecy.</w:t>
      </w:r>
    </w:p>
    <w:p>
      <w:pPr>
        <w:pStyle w:val="BodyText"/>
        <w:spacing w:before="145"/>
        <w:rPr>
          <w:sz w:val="21"/>
        </w:rPr>
      </w:pPr>
    </w:p>
    <w:p>
      <w:pPr>
        <w:spacing w:before="1"/>
        <w:ind w:left="144" w:right="0" w:firstLine="0"/>
        <w:jc w:val="both"/>
        <w:rPr>
          <w:sz w:val="21"/>
        </w:rPr>
      </w:pPr>
      <w:r>
        <w:rPr>
          <w:i/>
          <w:sz w:val="21"/>
        </w:rPr>
        <w:t>Eight</w:t>
      </w:r>
      <w:r>
        <w:rPr>
          <w:sz w:val="21"/>
        </w:rPr>
        <w:t>.</w:t>
      </w:r>
      <w:r>
        <w:rPr>
          <w:spacing w:val="5"/>
          <w:sz w:val="21"/>
        </w:rPr>
        <w:t> </w:t>
      </w:r>
      <w:r>
        <w:rPr>
          <w:sz w:val="21"/>
        </w:rPr>
        <w:t>The</w:t>
      </w:r>
      <w:r>
        <w:rPr>
          <w:spacing w:val="9"/>
          <w:sz w:val="21"/>
        </w:rPr>
        <w:t> </w:t>
      </w:r>
      <w:r>
        <w:rPr>
          <w:sz w:val="21"/>
        </w:rPr>
        <w:t>provisions</w:t>
      </w:r>
      <w:r>
        <w:rPr>
          <w:spacing w:val="10"/>
          <w:sz w:val="21"/>
        </w:rPr>
        <w:t> </w:t>
      </w:r>
      <w:r>
        <w:rPr>
          <w:sz w:val="21"/>
        </w:rPr>
        <w:t>of</w:t>
      </w:r>
      <w:r>
        <w:rPr>
          <w:spacing w:val="10"/>
          <w:sz w:val="21"/>
        </w:rPr>
        <w:t> </w:t>
      </w:r>
      <w:r>
        <w:rPr>
          <w:sz w:val="21"/>
        </w:rPr>
        <w:t>this</w:t>
      </w:r>
      <w:r>
        <w:rPr>
          <w:spacing w:val="10"/>
          <w:sz w:val="21"/>
        </w:rPr>
        <w:t> </w:t>
      </w:r>
      <w:r>
        <w:rPr>
          <w:sz w:val="21"/>
        </w:rPr>
        <w:t>clause</w:t>
      </w:r>
      <w:r>
        <w:rPr>
          <w:spacing w:val="10"/>
          <w:sz w:val="21"/>
        </w:rPr>
        <w:t> </w:t>
      </w:r>
      <w:r>
        <w:rPr>
          <w:sz w:val="21"/>
        </w:rPr>
        <w:t>shall</w:t>
      </w:r>
      <w:r>
        <w:rPr>
          <w:spacing w:val="9"/>
          <w:sz w:val="21"/>
        </w:rPr>
        <w:t> </w:t>
      </w:r>
      <w:r>
        <w:rPr>
          <w:sz w:val="21"/>
        </w:rPr>
        <w:t>not</w:t>
      </w:r>
      <w:r>
        <w:rPr>
          <w:spacing w:val="10"/>
          <w:sz w:val="21"/>
        </w:rPr>
        <w:t> </w:t>
      </w:r>
      <w:r>
        <w:rPr>
          <w:sz w:val="21"/>
        </w:rPr>
        <w:t>prejudice</w:t>
      </w:r>
      <w:r>
        <w:rPr>
          <w:spacing w:val="10"/>
          <w:sz w:val="21"/>
        </w:rPr>
        <w:t> </w:t>
      </w:r>
      <w:r>
        <w:rPr>
          <w:sz w:val="21"/>
        </w:rPr>
        <w:t>the</w:t>
      </w:r>
      <w:r>
        <w:rPr>
          <w:spacing w:val="10"/>
          <w:sz w:val="21"/>
        </w:rPr>
        <w:t> </w:t>
      </w:r>
      <w:r>
        <w:rPr>
          <w:sz w:val="21"/>
        </w:rPr>
        <w:t>application</w:t>
      </w:r>
      <w:r>
        <w:rPr>
          <w:spacing w:val="9"/>
          <w:sz w:val="21"/>
        </w:rPr>
        <w:t> </w:t>
      </w:r>
      <w:r>
        <w:rPr>
          <w:sz w:val="21"/>
        </w:rPr>
        <w:t>of</w:t>
      </w:r>
      <w:r>
        <w:rPr>
          <w:spacing w:val="10"/>
          <w:sz w:val="21"/>
        </w:rPr>
        <w:t> </w:t>
      </w:r>
      <w:r>
        <w:rPr>
          <w:sz w:val="21"/>
        </w:rPr>
        <w:t>the</w:t>
      </w:r>
      <w:r>
        <w:rPr>
          <w:spacing w:val="10"/>
          <w:sz w:val="21"/>
        </w:rPr>
        <w:t> </w:t>
      </w:r>
      <w:r>
        <w:rPr>
          <w:sz w:val="21"/>
        </w:rPr>
        <w:t>provisions</w:t>
      </w:r>
      <w:r>
        <w:rPr>
          <w:spacing w:val="10"/>
          <w:sz w:val="21"/>
        </w:rPr>
        <w:t> </w:t>
      </w:r>
      <w:r>
        <w:rPr>
          <w:sz w:val="21"/>
        </w:rPr>
        <w:t>of</w:t>
      </w:r>
      <w:r>
        <w:rPr>
          <w:spacing w:val="10"/>
          <w:sz w:val="21"/>
        </w:rPr>
        <w:t> </w:t>
      </w:r>
      <w:r>
        <w:rPr>
          <w:sz w:val="21"/>
        </w:rPr>
        <w:t>Section</w:t>
      </w:r>
      <w:r>
        <w:rPr>
          <w:spacing w:val="9"/>
          <w:sz w:val="21"/>
        </w:rPr>
        <w:t> </w:t>
      </w:r>
      <w:r>
        <w:rPr>
          <w:sz w:val="21"/>
        </w:rPr>
        <w:t>48-N</w:t>
      </w:r>
      <w:r>
        <w:rPr>
          <w:spacing w:val="10"/>
          <w:sz w:val="21"/>
        </w:rPr>
        <w:t> </w:t>
      </w:r>
      <w:r>
        <w:rPr>
          <w:sz w:val="21"/>
        </w:rPr>
        <w:t>of</w:t>
      </w:r>
      <w:r>
        <w:rPr>
          <w:spacing w:val="10"/>
          <w:sz w:val="21"/>
        </w:rPr>
        <w:t> </w:t>
      </w:r>
      <w:r>
        <w:rPr>
          <w:sz w:val="21"/>
        </w:rPr>
        <w:t>Law</w:t>
      </w:r>
      <w:r>
        <w:rPr>
          <w:spacing w:val="10"/>
          <w:sz w:val="21"/>
        </w:rPr>
        <w:t> </w:t>
      </w:r>
      <w:r>
        <w:rPr>
          <w:sz w:val="21"/>
        </w:rPr>
        <w:t>No.</w:t>
      </w:r>
      <w:r>
        <w:rPr>
          <w:spacing w:val="9"/>
          <w:sz w:val="21"/>
        </w:rPr>
        <w:t> </w:t>
      </w:r>
      <w:r>
        <w:rPr>
          <w:spacing w:val="-2"/>
          <w:sz w:val="21"/>
        </w:rPr>
        <w:t>16/2001.</w:t>
      </w:r>
    </w:p>
    <w:p>
      <w:pPr>
        <w:pStyle w:val="BodyText"/>
        <w:spacing w:before="124"/>
        <w:rPr>
          <w:sz w:val="21"/>
        </w:rPr>
      </w:pPr>
    </w:p>
    <w:p>
      <w:pPr>
        <w:spacing w:before="0"/>
        <w:ind w:left="24" w:right="0" w:firstLine="0"/>
        <w:jc w:val="center"/>
        <w:rPr>
          <w:b/>
          <w:sz w:val="21"/>
        </w:rPr>
      </w:pPr>
      <w:r>
        <w:rPr>
          <w:b/>
          <w:sz w:val="21"/>
        </w:rPr>
        <w:t>Clause</w:t>
      </w:r>
      <w:r>
        <w:rPr>
          <w:b/>
          <w:spacing w:val="13"/>
          <w:sz w:val="21"/>
        </w:rPr>
        <w:t> </w:t>
      </w:r>
      <w:r>
        <w:rPr>
          <w:b/>
          <w:spacing w:val="-5"/>
          <w:sz w:val="21"/>
        </w:rPr>
        <w:t>98</w:t>
      </w:r>
    </w:p>
    <w:p>
      <w:pPr>
        <w:spacing w:before="69"/>
        <w:ind w:left="24" w:right="0" w:firstLine="0"/>
        <w:jc w:val="center"/>
        <w:rPr>
          <w:b/>
          <w:sz w:val="21"/>
        </w:rPr>
      </w:pPr>
      <w:r>
        <w:rPr>
          <w:b/>
          <w:sz w:val="21"/>
        </w:rPr>
        <w:t>Complaints</w:t>
      </w:r>
      <w:r>
        <w:rPr>
          <w:b/>
          <w:spacing w:val="21"/>
          <w:sz w:val="21"/>
        </w:rPr>
        <w:t> </w:t>
      </w:r>
      <w:r>
        <w:rPr>
          <w:b/>
          <w:spacing w:val="-4"/>
          <w:sz w:val="21"/>
        </w:rPr>
        <w:t>book</w:t>
      </w:r>
    </w:p>
    <w:p>
      <w:pPr>
        <w:pStyle w:val="BodyText"/>
        <w:spacing w:before="146"/>
        <w:rPr>
          <w:b/>
          <w:sz w:val="21"/>
        </w:rPr>
      </w:pPr>
    </w:p>
    <w:p>
      <w:pPr>
        <w:spacing w:line="213" w:lineRule="auto" w:before="0"/>
        <w:ind w:left="144" w:right="118" w:firstLine="0"/>
        <w:jc w:val="both"/>
        <w:rPr>
          <w:sz w:val="21"/>
        </w:rPr>
      </w:pPr>
      <w:r>
        <w:rPr>
          <w:i/>
          <w:sz w:val="21"/>
        </w:rPr>
        <w:t>One</w:t>
      </w:r>
      <w:r>
        <w:rPr>
          <w:sz w:val="21"/>
        </w:rPr>
        <w:t>.</w:t>
      </w:r>
      <w:r>
        <w:rPr>
          <w:spacing w:val="40"/>
          <w:sz w:val="21"/>
        </w:rPr>
        <w:t> </w:t>
      </w: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set</w:t>
      </w:r>
      <w:r>
        <w:rPr>
          <w:spacing w:val="40"/>
          <w:sz w:val="21"/>
        </w:rPr>
        <w:t> </w:t>
      </w:r>
      <w:r>
        <w:rPr>
          <w:sz w:val="21"/>
        </w:rPr>
        <w:t>up</w:t>
      </w:r>
      <w:r>
        <w:rPr>
          <w:spacing w:val="40"/>
          <w:sz w:val="21"/>
        </w:rPr>
        <w:t> </w:t>
      </w:r>
      <w:r>
        <w:rPr>
          <w:sz w:val="21"/>
        </w:rPr>
        <w:t>and</w:t>
      </w:r>
      <w:r>
        <w:rPr>
          <w:spacing w:val="40"/>
          <w:sz w:val="21"/>
        </w:rPr>
        <w:t> </w:t>
      </w:r>
      <w:r>
        <w:rPr>
          <w:sz w:val="21"/>
        </w:rPr>
        <w:t>keep</w:t>
      </w:r>
      <w:r>
        <w:rPr>
          <w:spacing w:val="40"/>
          <w:sz w:val="21"/>
        </w:rPr>
        <w:t> </w:t>
      </w:r>
      <w:r>
        <w:rPr>
          <w:sz w:val="21"/>
        </w:rPr>
        <w:t>available</w:t>
      </w:r>
      <w:r>
        <w:rPr>
          <w:spacing w:val="40"/>
          <w:sz w:val="21"/>
        </w:rPr>
        <w:t> </w:t>
      </w:r>
      <w:r>
        <w:rPr>
          <w:sz w:val="21"/>
        </w:rPr>
        <w:t>to</w:t>
      </w:r>
      <w:r>
        <w:rPr>
          <w:spacing w:val="40"/>
          <w:sz w:val="21"/>
        </w:rPr>
        <w:t> </w:t>
      </w:r>
      <w:r>
        <w:rPr>
          <w:sz w:val="21"/>
        </w:rPr>
        <w:t>casino</w:t>
      </w:r>
      <w:r>
        <w:rPr>
          <w:spacing w:val="40"/>
          <w:sz w:val="21"/>
        </w:rPr>
        <w:t> </w:t>
      </w:r>
      <w:r>
        <w:rPr>
          <w:sz w:val="21"/>
        </w:rPr>
        <w:t>patrons</w:t>
      </w:r>
      <w:r>
        <w:rPr>
          <w:spacing w:val="40"/>
          <w:sz w:val="21"/>
        </w:rPr>
        <w:t> </w:t>
      </w:r>
      <w:r>
        <w:rPr>
          <w:sz w:val="21"/>
        </w:rPr>
        <w:t>a</w:t>
      </w:r>
      <w:r>
        <w:rPr>
          <w:spacing w:val="40"/>
          <w:sz w:val="21"/>
        </w:rPr>
        <w:t> </w:t>
      </w:r>
      <w:r>
        <w:rPr>
          <w:sz w:val="21"/>
        </w:rPr>
        <w:t>specific</w:t>
      </w:r>
      <w:r>
        <w:rPr>
          <w:spacing w:val="40"/>
          <w:sz w:val="21"/>
        </w:rPr>
        <w:t> </w:t>
      </w:r>
      <w:r>
        <w:rPr>
          <w:sz w:val="21"/>
        </w:rPr>
        <w:t>complaints</w:t>
      </w:r>
      <w:r>
        <w:rPr>
          <w:spacing w:val="40"/>
          <w:sz w:val="21"/>
        </w:rPr>
        <w:t> </w:t>
      </w:r>
      <w:r>
        <w:rPr>
          <w:sz w:val="21"/>
        </w:rPr>
        <w:t>book</w:t>
      </w:r>
      <w:r>
        <w:rPr>
          <w:spacing w:val="40"/>
          <w:sz w:val="21"/>
        </w:rPr>
        <w:t> </w:t>
      </w:r>
      <w:r>
        <w:rPr>
          <w:sz w:val="21"/>
        </w:rPr>
        <w:t>for</w:t>
      </w:r>
      <w:r>
        <w:rPr>
          <w:spacing w:val="40"/>
          <w:sz w:val="21"/>
        </w:rPr>
        <w:t> </w:t>
      </w:r>
      <w:r>
        <w:rPr>
          <w:sz w:val="21"/>
        </w:rPr>
        <w:t>complaints regarding the operation of games of fortune or chance in casinos.</w:t>
      </w:r>
    </w:p>
    <w:p>
      <w:pPr>
        <w:pStyle w:val="BodyText"/>
        <w:spacing w:before="152"/>
        <w:rPr>
          <w:sz w:val="21"/>
        </w:rPr>
      </w:pPr>
    </w:p>
    <w:p>
      <w:pPr>
        <w:spacing w:line="213" w:lineRule="auto" w:before="0"/>
        <w:ind w:left="144" w:right="118" w:firstLine="0"/>
        <w:jc w:val="both"/>
        <w:rPr>
          <w:sz w:val="21"/>
        </w:rPr>
      </w:pPr>
      <w:r>
        <w:rPr>
          <w:i/>
          <w:sz w:val="21"/>
        </w:rPr>
        <w:t>Two</w:t>
      </w:r>
      <w:r>
        <w:rPr>
          <w:sz w:val="21"/>
        </w:rPr>
        <w:t>.</w:t>
      </w:r>
      <w:r>
        <w:rPr>
          <w:spacing w:val="17"/>
          <w:sz w:val="21"/>
        </w:rPr>
        <w:t> </w:t>
      </w:r>
      <w:r>
        <w:rPr>
          <w:sz w:val="21"/>
        </w:rPr>
        <w:t>The</w:t>
      </w:r>
      <w:r>
        <w:rPr>
          <w:spacing w:val="22"/>
          <w:sz w:val="21"/>
        </w:rPr>
        <w:t> </w:t>
      </w:r>
      <w:r>
        <w:rPr>
          <w:sz w:val="21"/>
        </w:rPr>
        <w:t>Concessionaire</w:t>
      </w:r>
      <w:r>
        <w:rPr>
          <w:spacing w:val="22"/>
          <w:sz w:val="21"/>
        </w:rPr>
        <w:t> </w:t>
      </w:r>
      <w:r>
        <w:rPr>
          <w:sz w:val="21"/>
        </w:rPr>
        <w:t>undertakes</w:t>
      </w:r>
      <w:r>
        <w:rPr>
          <w:spacing w:val="22"/>
          <w:sz w:val="21"/>
        </w:rPr>
        <w:t> </w:t>
      </w:r>
      <w:r>
        <w:rPr>
          <w:sz w:val="21"/>
        </w:rPr>
        <w:t>to</w:t>
      </w:r>
      <w:r>
        <w:rPr>
          <w:spacing w:val="22"/>
          <w:sz w:val="21"/>
        </w:rPr>
        <w:t> </w:t>
      </w:r>
      <w:r>
        <w:rPr>
          <w:sz w:val="21"/>
        </w:rPr>
        <w:t>post,</w:t>
      </w:r>
      <w:r>
        <w:rPr>
          <w:spacing w:val="22"/>
          <w:sz w:val="21"/>
        </w:rPr>
        <w:t> </w:t>
      </w:r>
      <w:r>
        <w:rPr>
          <w:sz w:val="21"/>
        </w:rPr>
        <w:t>in</w:t>
      </w:r>
      <w:r>
        <w:rPr>
          <w:spacing w:val="22"/>
          <w:sz w:val="21"/>
        </w:rPr>
        <w:t> </w:t>
      </w:r>
      <w:r>
        <w:rPr>
          <w:sz w:val="21"/>
        </w:rPr>
        <w:t>a</w:t>
      </w:r>
      <w:r>
        <w:rPr>
          <w:spacing w:val="22"/>
          <w:sz w:val="21"/>
        </w:rPr>
        <w:t> </w:t>
      </w:r>
      <w:r>
        <w:rPr>
          <w:sz w:val="21"/>
        </w:rPr>
        <w:t>visible</w:t>
      </w:r>
      <w:r>
        <w:rPr>
          <w:spacing w:val="22"/>
          <w:sz w:val="21"/>
        </w:rPr>
        <w:t> </w:t>
      </w:r>
      <w:r>
        <w:rPr>
          <w:sz w:val="21"/>
        </w:rPr>
        <w:t>place</w:t>
      </w:r>
      <w:r>
        <w:rPr>
          <w:spacing w:val="22"/>
          <w:sz w:val="21"/>
        </w:rPr>
        <w:t> </w:t>
      </w:r>
      <w:r>
        <w:rPr>
          <w:sz w:val="21"/>
        </w:rPr>
        <w:t>in</w:t>
      </w:r>
      <w:r>
        <w:rPr>
          <w:spacing w:val="22"/>
          <w:sz w:val="21"/>
        </w:rPr>
        <w:t> </w:t>
      </w:r>
      <w:r>
        <w:rPr>
          <w:sz w:val="21"/>
        </w:rPr>
        <w:t>the</w:t>
      </w:r>
      <w:r>
        <w:rPr>
          <w:spacing w:val="22"/>
          <w:sz w:val="21"/>
        </w:rPr>
        <w:t> </w:t>
      </w:r>
      <w:r>
        <w:rPr>
          <w:sz w:val="21"/>
        </w:rPr>
        <w:t>casinos</w:t>
      </w:r>
      <w:r>
        <w:rPr>
          <w:spacing w:val="22"/>
          <w:sz w:val="21"/>
        </w:rPr>
        <w:t> </w:t>
      </w:r>
      <w:r>
        <w:rPr>
          <w:sz w:val="21"/>
        </w:rPr>
        <w:t>and</w:t>
      </w:r>
      <w:r>
        <w:rPr>
          <w:spacing w:val="22"/>
          <w:sz w:val="21"/>
        </w:rPr>
        <w:t> </w:t>
      </w:r>
      <w:r>
        <w:rPr>
          <w:sz w:val="21"/>
        </w:rPr>
        <w:t>other</w:t>
      </w:r>
      <w:r>
        <w:rPr>
          <w:spacing w:val="22"/>
          <w:sz w:val="21"/>
        </w:rPr>
        <w:t> </w:t>
      </w:r>
      <w:r>
        <w:rPr>
          <w:sz w:val="21"/>
        </w:rPr>
        <w:t>gambling</w:t>
      </w:r>
      <w:r>
        <w:rPr>
          <w:spacing w:val="22"/>
          <w:sz w:val="21"/>
        </w:rPr>
        <w:t> </w:t>
      </w:r>
      <w:r>
        <w:rPr>
          <w:sz w:val="21"/>
        </w:rPr>
        <w:t>areas,</w:t>
      </w:r>
      <w:r>
        <w:rPr>
          <w:spacing w:val="22"/>
          <w:sz w:val="21"/>
        </w:rPr>
        <w:t> </w:t>
      </w:r>
      <w:r>
        <w:rPr>
          <w:sz w:val="21"/>
        </w:rPr>
        <w:t>a</w:t>
      </w:r>
      <w:r>
        <w:rPr>
          <w:spacing w:val="22"/>
          <w:sz w:val="21"/>
        </w:rPr>
        <w:t> </w:t>
      </w:r>
      <w:r>
        <w:rPr>
          <w:sz w:val="21"/>
        </w:rPr>
        <w:t>notice</w:t>
      </w:r>
      <w:r>
        <w:rPr>
          <w:spacing w:val="22"/>
          <w:sz w:val="21"/>
        </w:rPr>
        <w:t> </w:t>
      </w:r>
      <w:r>
        <w:rPr>
          <w:sz w:val="21"/>
        </w:rPr>
        <w:t>on</w:t>
      </w:r>
      <w:r>
        <w:rPr>
          <w:spacing w:val="22"/>
          <w:sz w:val="21"/>
        </w:rPr>
        <w:t> </w:t>
      </w:r>
      <w:r>
        <w:rPr>
          <w:sz w:val="21"/>
        </w:rPr>
        <w:t>the</w:t>
      </w:r>
      <w:r>
        <w:rPr>
          <w:spacing w:val="22"/>
          <w:sz w:val="21"/>
        </w:rPr>
        <w:t> </w:t>
      </w:r>
      <w:r>
        <w:rPr>
          <w:sz w:val="21"/>
        </w:rPr>
        <w:t>existence</w:t>
      </w:r>
      <w:r>
        <w:rPr>
          <w:spacing w:val="22"/>
          <w:sz w:val="21"/>
        </w:rPr>
        <w:t> </w:t>
      </w:r>
      <w:r>
        <w:rPr>
          <w:sz w:val="21"/>
        </w:rPr>
        <w:t>of the complaints book.</w:t>
      </w:r>
    </w:p>
    <w:p>
      <w:pPr>
        <w:pStyle w:val="BodyText"/>
        <w:spacing w:before="166"/>
        <w:rPr>
          <w:sz w:val="21"/>
        </w:rPr>
      </w:pPr>
    </w:p>
    <w:p>
      <w:pPr>
        <w:spacing w:line="213" w:lineRule="auto" w:before="0"/>
        <w:ind w:left="144" w:right="118" w:firstLine="0"/>
        <w:jc w:val="both"/>
        <w:rPr>
          <w:sz w:val="21"/>
        </w:rPr>
      </w:pPr>
      <w:r>
        <w:rPr>
          <w:i/>
          <w:sz w:val="21"/>
        </w:rPr>
        <w:t>Three</w:t>
      </w:r>
      <w:r>
        <w:rPr>
          <w:sz w:val="21"/>
        </w:rPr>
        <w:t>. The Concessionaire undertakes to forward the content of the complaints made in the complaints book to the Government, accompanied by the Concessionaire's report, within 48 hours.</w:t>
      </w:r>
    </w:p>
    <w:p>
      <w:pPr>
        <w:pStyle w:val="BodyText"/>
        <w:spacing w:before="131"/>
        <w:rPr>
          <w:sz w:val="21"/>
        </w:rPr>
      </w:pPr>
    </w:p>
    <w:p>
      <w:pPr>
        <w:spacing w:before="0"/>
        <w:ind w:left="144" w:right="0" w:firstLine="0"/>
        <w:jc w:val="both"/>
        <w:rPr>
          <w:sz w:val="21"/>
        </w:rPr>
      </w:pPr>
      <w:r>
        <w:rPr>
          <w:i/>
          <w:sz w:val="21"/>
        </w:rPr>
        <w:t>Four</w:t>
      </w:r>
      <w:r>
        <w:rPr>
          <w:sz w:val="21"/>
        </w:rPr>
        <w:t>.</w:t>
      </w:r>
      <w:r>
        <w:rPr>
          <w:spacing w:val="10"/>
          <w:sz w:val="21"/>
        </w:rPr>
        <w:t> </w:t>
      </w:r>
      <w:r>
        <w:rPr>
          <w:sz w:val="21"/>
        </w:rPr>
        <w:t>Complaints</w:t>
      </w:r>
      <w:r>
        <w:rPr>
          <w:spacing w:val="11"/>
          <w:sz w:val="21"/>
        </w:rPr>
        <w:t> </w:t>
      </w:r>
      <w:r>
        <w:rPr>
          <w:sz w:val="21"/>
        </w:rPr>
        <w:t>books</w:t>
      </w:r>
      <w:r>
        <w:rPr>
          <w:spacing w:val="10"/>
          <w:sz w:val="21"/>
        </w:rPr>
        <w:t> </w:t>
      </w:r>
      <w:r>
        <w:rPr>
          <w:sz w:val="21"/>
        </w:rPr>
        <w:t>may</w:t>
      </w:r>
      <w:r>
        <w:rPr>
          <w:spacing w:val="11"/>
          <w:sz w:val="21"/>
        </w:rPr>
        <w:t> </w:t>
      </w:r>
      <w:r>
        <w:rPr>
          <w:sz w:val="21"/>
        </w:rPr>
        <w:t>take</w:t>
      </w:r>
      <w:r>
        <w:rPr>
          <w:spacing w:val="11"/>
          <w:sz w:val="21"/>
        </w:rPr>
        <w:t> </w:t>
      </w:r>
      <w:r>
        <w:rPr>
          <w:sz w:val="21"/>
        </w:rPr>
        <w:t>the</w:t>
      </w:r>
      <w:r>
        <w:rPr>
          <w:spacing w:val="10"/>
          <w:sz w:val="21"/>
        </w:rPr>
        <w:t> </w:t>
      </w:r>
      <w:r>
        <w:rPr>
          <w:sz w:val="21"/>
        </w:rPr>
        <w:t>form</w:t>
      </w:r>
      <w:r>
        <w:rPr>
          <w:spacing w:val="11"/>
          <w:sz w:val="21"/>
        </w:rPr>
        <w:t> </w:t>
      </w:r>
      <w:r>
        <w:rPr>
          <w:sz w:val="21"/>
        </w:rPr>
        <w:t>of</w:t>
      </w:r>
      <w:r>
        <w:rPr>
          <w:spacing w:val="10"/>
          <w:sz w:val="21"/>
        </w:rPr>
        <w:t> </w:t>
      </w:r>
      <w:r>
        <w:rPr>
          <w:sz w:val="21"/>
        </w:rPr>
        <w:t>electronic</w:t>
      </w:r>
      <w:r>
        <w:rPr>
          <w:spacing w:val="11"/>
          <w:sz w:val="21"/>
        </w:rPr>
        <w:t> </w:t>
      </w:r>
      <w:r>
        <w:rPr>
          <w:spacing w:val="-2"/>
          <w:sz w:val="21"/>
        </w:rPr>
        <w:t>media.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3"/>
        <w:rPr>
          <w:sz w:val="20"/>
        </w:rPr>
      </w:pPr>
      <w:r>
        <w:rPr/>
        <mc:AlternateContent>
          <mc:Choice Requires="wps">
            <w:drawing>
              <wp:anchor distT="0" distB="0" distL="0" distR="0" allowOverlap="1" layoutInCell="1" locked="0" behindDoc="1" simplePos="0" relativeHeight="487791104">
                <wp:simplePos x="0" y="0"/>
                <wp:positionH relativeFrom="page">
                  <wp:posOffset>231457</wp:posOffset>
                </wp:positionH>
                <wp:positionV relativeFrom="paragraph">
                  <wp:posOffset>252082</wp:posOffset>
                </wp:positionV>
                <wp:extent cx="7312659" cy="17145"/>
                <wp:effectExtent l="0" t="0" r="0" b="0"/>
                <wp:wrapTopAndBottom/>
                <wp:docPr id="1003" name="Group 1003"/>
                <wp:cNvGraphicFramePr>
                  <a:graphicFrameLocks/>
                </wp:cNvGraphicFramePr>
                <a:graphic>
                  <a:graphicData uri="http://schemas.microsoft.com/office/word/2010/wordprocessingGroup">
                    <wpg:wgp>
                      <wpg:cNvPr id="1003" name="Group 1003"/>
                      <wpg:cNvGrpSpPr/>
                      <wpg:grpSpPr>
                        <a:xfrm>
                          <a:off x="0" y="0"/>
                          <a:ext cx="7312659" cy="17145"/>
                          <a:chExt cx="7312659" cy="17145"/>
                        </a:xfrm>
                      </wpg:grpSpPr>
                      <wps:wsp>
                        <wps:cNvPr id="1004" name="Graphic 100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05" name="Graphic 1005"/>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06" name="Graphic 10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9.849024pt;width:575.8pt;height:1.35pt;mso-position-horizontal-relative:page;mso-position-vertical-relative:paragraph;z-index:-15525376;mso-wrap-distance-left:0;mso-wrap-distance-right:0" id="docshapegroup1001" coordorigin="364,397" coordsize="11516,27">
                <v:rect style="position:absolute;left:364;top:396;width:11516;height:14" id="docshape1002" filled="true" fillcolor="#999999" stroked="false">
                  <v:fill type="solid"/>
                </v:rect>
                <v:shape style="position:absolute;left:364;top:396;width:11516;height:27" id="docshape1003" coordorigin="364,397" coordsize="11516,27" path="m11880,397l11866,410,364,410,364,424,11866,424,11880,424,11880,410,11880,397xe" filled="true" fillcolor="#ededed" stroked="false">
                  <v:path arrowok="t"/>
                  <v:fill type="solid"/>
                </v:shape>
                <v:shape style="position:absolute;left:364;top:396;width:14;height:27" id="docshape1004" coordorigin="364,397" coordsize="14,27" path="m364,424l364,397,378,397,378,410,364,424xe" filled="true" fillcolor="#999999" stroked="false">
                  <v:path arrowok="t"/>
                  <v:fill type="solid"/>
                </v:shape>
                <w10:wrap type="topAndBottom"/>
              </v:group>
            </w:pict>
          </mc:Fallback>
        </mc:AlternateContent>
      </w:r>
    </w:p>
    <w:p>
      <w:pPr>
        <w:spacing w:after="0"/>
        <w:rPr>
          <w:sz w:val="20"/>
        </w:rPr>
        <w:sectPr>
          <w:pgSz w:w="12240" w:h="15840"/>
          <w:pgMar w:top="1740" w:bottom="280" w:left="220" w:right="240"/>
        </w:sectPr>
      </w:pPr>
    </w:p>
    <w:p>
      <w:pPr>
        <w:pStyle w:val="Heading1"/>
        <w:spacing w:before="65"/>
      </w:pPr>
      <w:r>
        <w:rPr/>
        <w:t>CHAPTER </w:t>
      </w:r>
      <w:r>
        <w:rPr>
          <w:spacing w:val="-2"/>
        </w:rPr>
        <w:t>XXIII</w:t>
      </w:r>
    </w:p>
    <w:p>
      <w:pPr>
        <w:pStyle w:val="Heading2"/>
        <w:spacing w:before="104"/>
      </w:pPr>
      <w:r>
        <w:rPr/>
        <w:t>Interim </w:t>
      </w:r>
      <w:r>
        <w:rPr>
          <w:spacing w:val="-2"/>
        </w:rPr>
        <w:t>Provisions</w:t>
      </w:r>
    </w:p>
    <w:p>
      <w:pPr>
        <w:pStyle w:val="BodyText"/>
        <w:spacing w:before="151"/>
        <w:rPr>
          <w:b/>
          <w:sz w:val="25"/>
        </w:rPr>
      </w:pPr>
    </w:p>
    <w:p>
      <w:pPr>
        <w:spacing w:line="309" w:lineRule="auto" w:before="0"/>
        <w:ind w:left="4807" w:right="4600" w:firstLine="648"/>
        <w:jc w:val="left"/>
        <w:rPr>
          <w:b/>
          <w:sz w:val="21"/>
        </w:rPr>
      </w:pPr>
      <w:r>
        <w:rPr>
          <w:b/>
          <w:sz w:val="21"/>
        </w:rPr>
        <w:t>Clause 99 Investment plans - </w:t>
      </w:r>
      <w:r>
        <w:rPr>
          <w:b/>
          <w:sz w:val="21"/>
        </w:rPr>
        <w:t>2023</w:t>
      </w:r>
    </w:p>
    <w:p>
      <w:pPr>
        <w:pStyle w:val="BodyText"/>
        <w:spacing w:before="75"/>
        <w:rPr>
          <w:b/>
          <w:sz w:val="21"/>
        </w:rPr>
      </w:pPr>
    </w:p>
    <w:p>
      <w:pPr>
        <w:spacing w:line="213" w:lineRule="auto" w:before="0"/>
        <w:ind w:left="144" w:right="119" w:firstLine="0"/>
        <w:jc w:val="both"/>
        <w:rPr>
          <w:sz w:val="21"/>
        </w:rPr>
      </w:pPr>
      <w:r>
        <w:rPr>
          <w:sz w:val="21"/>
        </w:rPr>
        <w:t>The Concessionaire undertakes to submit to the Government for approval, in March 2023, a proposal for the execution of a </w:t>
      </w:r>
      <w:r>
        <w:rPr>
          <w:sz w:val="21"/>
        </w:rPr>
        <w:t>concrete investment</w:t>
      </w:r>
      <w:r>
        <w:rPr>
          <w:spacing w:val="19"/>
          <w:sz w:val="21"/>
        </w:rPr>
        <w:t> </w:t>
      </w:r>
      <w:r>
        <w:rPr>
          <w:sz w:val="21"/>
        </w:rPr>
        <w:t>project</w:t>
      </w:r>
      <w:r>
        <w:rPr>
          <w:spacing w:val="19"/>
          <w:sz w:val="21"/>
        </w:rPr>
        <w:t> </w:t>
      </w:r>
      <w:r>
        <w:rPr>
          <w:sz w:val="21"/>
        </w:rPr>
        <w:t>for</w:t>
      </w:r>
      <w:r>
        <w:rPr>
          <w:spacing w:val="19"/>
          <w:sz w:val="21"/>
        </w:rPr>
        <w:t> </w:t>
      </w:r>
      <w:r>
        <w:rPr>
          <w:sz w:val="21"/>
        </w:rPr>
        <w:t>the</w:t>
      </w:r>
      <w:r>
        <w:rPr>
          <w:spacing w:val="19"/>
          <w:sz w:val="21"/>
        </w:rPr>
        <w:t> </w:t>
      </w:r>
      <w:r>
        <w:rPr>
          <w:sz w:val="21"/>
        </w:rPr>
        <w:t>same</w:t>
      </w:r>
      <w:r>
        <w:rPr>
          <w:spacing w:val="19"/>
          <w:sz w:val="21"/>
        </w:rPr>
        <w:t> </w:t>
      </w:r>
      <w:r>
        <w:rPr>
          <w:sz w:val="21"/>
        </w:rPr>
        <w:t>year</w:t>
      </w:r>
      <w:r>
        <w:rPr>
          <w:spacing w:val="19"/>
          <w:sz w:val="21"/>
        </w:rPr>
        <w:t> </w:t>
      </w:r>
      <w:r>
        <w:rPr>
          <w:sz w:val="21"/>
        </w:rPr>
        <w:t>to</w:t>
      </w:r>
      <w:r>
        <w:rPr>
          <w:spacing w:val="19"/>
          <w:sz w:val="21"/>
        </w:rPr>
        <w:t> </w:t>
      </w:r>
      <w:r>
        <w:rPr>
          <w:sz w:val="21"/>
        </w:rPr>
        <w:t>implement</w:t>
      </w:r>
      <w:r>
        <w:rPr>
          <w:spacing w:val="19"/>
          <w:sz w:val="21"/>
        </w:rPr>
        <w:t> </w:t>
      </w:r>
      <w:r>
        <w:rPr>
          <w:sz w:val="21"/>
        </w:rPr>
        <w:t>the</w:t>
      </w:r>
      <w:r>
        <w:rPr>
          <w:spacing w:val="19"/>
          <w:sz w:val="21"/>
        </w:rPr>
        <w:t> </w:t>
      </w:r>
      <w:r>
        <w:rPr>
          <w:sz w:val="21"/>
        </w:rPr>
        <w:t>Investment</w:t>
      </w:r>
      <w:r>
        <w:rPr>
          <w:spacing w:val="19"/>
          <w:sz w:val="21"/>
        </w:rPr>
        <w:t> </w:t>
      </w:r>
      <w:r>
        <w:rPr>
          <w:sz w:val="21"/>
        </w:rPr>
        <w:t>Plans</w:t>
      </w:r>
      <w:r>
        <w:rPr>
          <w:spacing w:val="19"/>
          <w:sz w:val="21"/>
        </w:rPr>
        <w:t> </w:t>
      </w:r>
      <w:r>
        <w:rPr>
          <w:sz w:val="21"/>
        </w:rPr>
        <w:t>attached</w:t>
      </w:r>
      <w:r>
        <w:rPr>
          <w:spacing w:val="19"/>
          <w:sz w:val="21"/>
        </w:rPr>
        <w:t> </w:t>
      </w:r>
      <w:r>
        <w:rPr>
          <w:sz w:val="21"/>
        </w:rPr>
        <w:t>to</w:t>
      </w:r>
      <w:r>
        <w:rPr>
          <w:spacing w:val="19"/>
          <w:sz w:val="21"/>
        </w:rPr>
        <w:t> </w:t>
      </w:r>
      <w:r>
        <w:rPr>
          <w:sz w:val="21"/>
        </w:rPr>
        <w:t>this</w:t>
      </w:r>
      <w:r>
        <w:rPr>
          <w:spacing w:val="19"/>
          <w:sz w:val="21"/>
        </w:rPr>
        <w:t> </w:t>
      </w:r>
      <w:r>
        <w:rPr>
          <w:sz w:val="21"/>
        </w:rPr>
        <w:t>concession</w:t>
      </w:r>
      <w:r>
        <w:rPr>
          <w:spacing w:val="19"/>
          <w:sz w:val="21"/>
        </w:rPr>
        <w:t> </w:t>
      </w:r>
      <w:r>
        <w:rPr>
          <w:sz w:val="21"/>
        </w:rPr>
        <w:t>contract,</w:t>
      </w:r>
      <w:r>
        <w:rPr>
          <w:spacing w:val="19"/>
          <w:sz w:val="21"/>
        </w:rPr>
        <w:t> </w:t>
      </w:r>
      <w:r>
        <w:rPr>
          <w:sz w:val="21"/>
        </w:rPr>
        <w:t>applying</w:t>
      </w:r>
      <w:r>
        <w:rPr>
          <w:spacing w:val="19"/>
          <w:sz w:val="21"/>
        </w:rPr>
        <w:t> </w:t>
      </w:r>
      <w:r>
        <w:rPr>
          <w:sz w:val="21"/>
        </w:rPr>
        <w:t>the</w:t>
      </w:r>
      <w:r>
        <w:rPr>
          <w:spacing w:val="19"/>
          <w:sz w:val="21"/>
        </w:rPr>
        <w:t> </w:t>
      </w:r>
      <w:r>
        <w:rPr>
          <w:sz w:val="21"/>
        </w:rPr>
        <w:t>provisions of Clause 38 with the necessary adaptations.</w:t>
      </w:r>
    </w:p>
    <w:p>
      <w:pPr>
        <w:pStyle w:val="BodyText"/>
        <w:spacing w:before="131"/>
        <w:rPr>
          <w:sz w:val="21"/>
        </w:rPr>
      </w:pPr>
    </w:p>
    <w:p>
      <w:pPr>
        <w:spacing w:before="0"/>
        <w:ind w:left="24" w:right="0" w:firstLine="0"/>
        <w:jc w:val="center"/>
        <w:rPr>
          <w:b/>
          <w:sz w:val="21"/>
        </w:rPr>
      </w:pPr>
      <w:r>
        <w:rPr>
          <w:b/>
          <w:sz w:val="21"/>
        </w:rPr>
        <w:t>Clause</w:t>
      </w:r>
      <w:r>
        <w:rPr>
          <w:b/>
          <w:spacing w:val="13"/>
          <w:sz w:val="21"/>
        </w:rPr>
        <w:t> </w:t>
      </w:r>
      <w:r>
        <w:rPr>
          <w:b/>
          <w:spacing w:val="-5"/>
          <w:sz w:val="21"/>
        </w:rPr>
        <w:t>100</w:t>
      </w:r>
    </w:p>
    <w:p>
      <w:pPr>
        <w:spacing w:before="70"/>
        <w:ind w:left="24" w:right="0" w:firstLine="0"/>
        <w:jc w:val="center"/>
        <w:rPr>
          <w:b/>
          <w:sz w:val="21"/>
        </w:rPr>
      </w:pPr>
      <w:r>
        <w:rPr>
          <w:b/>
          <w:sz w:val="21"/>
        </w:rPr>
        <w:t>Declaration</w:t>
      </w:r>
      <w:r>
        <w:rPr>
          <w:b/>
          <w:spacing w:val="9"/>
          <w:sz w:val="21"/>
        </w:rPr>
        <w:t> </w:t>
      </w:r>
      <w:r>
        <w:rPr>
          <w:b/>
          <w:sz w:val="21"/>
        </w:rPr>
        <w:t>regarding</w:t>
      </w:r>
      <w:r>
        <w:rPr>
          <w:b/>
          <w:spacing w:val="11"/>
          <w:sz w:val="21"/>
        </w:rPr>
        <w:t> </w:t>
      </w:r>
      <w:r>
        <w:rPr>
          <w:b/>
          <w:sz w:val="21"/>
        </w:rPr>
        <w:t>the</w:t>
      </w:r>
      <w:r>
        <w:rPr>
          <w:b/>
          <w:spacing w:val="12"/>
          <w:sz w:val="21"/>
        </w:rPr>
        <w:t> </w:t>
      </w:r>
      <w:r>
        <w:rPr>
          <w:b/>
          <w:sz w:val="21"/>
        </w:rPr>
        <w:t>duty</w:t>
      </w:r>
      <w:r>
        <w:rPr>
          <w:b/>
          <w:spacing w:val="11"/>
          <w:sz w:val="21"/>
        </w:rPr>
        <w:t> </w:t>
      </w:r>
      <w:r>
        <w:rPr>
          <w:b/>
          <w:sz w:val="21"/>
        </w:rPr>
        <w:t>of</w:t>
      </w:r>
      <w:r>
        <w:rPr>
          <w:b/>
          <w:spacing w:val="12"/>
          <w:sz w:val="21"/>
        </w:rPr>
        <w:t> </w:t>
      </w:r>
      <w:r>
        <w:rPr>
          <w:b/>
          <w:spacing w:val="-2"/>
          <w:sz w:val="21"/>
        </w:rPr>
        <w:t>cooperation</w:t>
      </w:r>
    </w:p>
    <w:p>
      <w:pPr>
        <w:pStyle w:val="BodyText"/>
        <w:spacing w:before="145"/>
        <w:rPr>
          <w:b/>
          <w:sz w:val="21"/>
        </w:rPr>
      </w:pPr>
    </w:p>
    <w:p>
      <w:pPr>
        <w:spacing w:line="213" w:lineRule="auto" w:before="1"/>
        <w:ind w:left="144" w:right="119" w:firstLine="0"/>
        <w:jc w:val="both"/>
        <w:rPr>
          <w:sz w:val="21"/>
        </w:rPr>
      </w:pP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make</w:t>
      </w:r>
      <w:r>
        <w:rPr>
          <w:spacing w:val="40"/>
          <w:sz w:val="21"/>
        </w:rPr>
        <w:t> </w:t>
      </w:r>
      <w:r>
        <w:rPr>
          <w:sz w:val="21"/>
        </w:rPr>
        <w:t>every</w:t>
      </w:r>
      <w:r>
        <w:rPr>
          <w:spacing w:val="40"/>
          <w:sz w:val="21"/>
        </w:rPr>
        <w:t> </w:t>
      </w:r>
      <w:r>
        <w:rPr>
          <w:sz w:val="21"/>
        </w:rPr>
        <w:t>effort</w:t>
      </w:r>
      <w:r>
        <w:rPr>
          <w:spacing w:val="40"/>
          <w:sz w:val="21"/>
        </w:rPr>
        <w:t> </w:t>
      </w:r>
      <w:r>
        <w:rPr>
          <w:sz w:val="21"/>
        </w:rPr>
        <w:t>to</w:t>
      </w:r>
      <w:r>
        <w:rPr>
          <w:spacing w:val="40"/>
          <w:sz w:val="21"/>
        </w:rPr>
        <w:t> </w:t>
      </w:r>
      <w:r>
        <w:rPr>
          <w:sz w:val="21"/>
        </w:rPr>
        <w:t>obtain</w:t>
      </w:r>
      <w:r>
        <w:rPr>
          <w:spacing w:val="40"/>
          <w:sz w:val="21"/>
        </w:rPr>
        <w:t> </w:t>
      </w:r>
      <w:r>
        <w:rPr>
          <w:sz w:val="21"/>
        </w:rPr>
        <w:t>and</w:t>
      </w:r>
      <w:r>
        <w:rPr>
          <w:spacing w:val="40"/>
          <w:sz w:val="21"/>
        </w:rPr>
        <w:t> </w:t>
      </w:r>
      <w:r>
        <w:rPr>
          <w:sz w:val="21"/>
        </w:rPr>
        <w:t>submit</w:t>
      </w:r>
      <w:r>
        <w:rPr>
          <w:spacing w:val="40"/>
          <w:sz w:val="21"/>
        </w:rPr>
        <w:t> </w:t>
      </w:r>
      <w:r>
        <w:rPr>
          <w:sz w:val="21"/>
        </w:rPr>
        <w:t>to</w:t>
      </w:r>
      <w:r>
        <w:rPr>
          <w:spacing w:val="40"/>
          <w:sz w:val="21"/>
        </w:rPr>
        <w:t> </w:t>
      </w:r>
      <w:r>
        <w:rPr>
          <w:sz w:val="21"/>
        </w:rPr>
        <w:t>DICJ,</w:t>
      </w:r>
      <w:r>
        <w:rPr>
          <w:spacing w:val="40"/>
          <w:sz w:val="21"/>
        </w:rPr>
        <w:t> </w:t>
      </w:r>
      <w:r>
        <w:rPr>
          <w:sz w:val="21"/>
        </w:rPr>
        <w:t>within</w:t>
      </w:r>
      <w:r>
        <w:rPr>
          <w:spacing w:val="40"/>
          <w:sz w:val="21"/>
        </w:rPr>
        <w:t> </w:t>
      </w:r>
      <w:r>
        <w:rPr>
          <w:sz w:val="21"/>
        </w:rPr>
        <w:t>15</w:t>
      </w:r>
      <w:r>
        <w:rPr>
          <w:spacing w:val="40"/>
          <w:sz w:val="21"/>
        </w:rPr>
        <w:t> </w:t>
      </w:r>
      <w:r>
        <w:rPr>
          <w:sz w:val="21"/>
        </w:rPr>
        <w:t>days</w:t>
      </w:r>
      <w:r>
        <w:rPr>
          <w:spacing w:val="40"/>
          <w:sz w:val="21"/>
        </w:rPr>
        <w:t> </w:t>
      </w:r>
      <w:r>
        <w:rPr>
          <w:sz w:val="21"/>
        </w:rPr>
        <w:t>of</w:t>
      </w:r>
      <w:r>
        <w:rPr>
          <w:spacing w:val="40"/>
          <w:sz w:val="21"/>
        </w:rPr>
        <w:t> </w:t>
      </w:r>
      <w:r>
        <w:rPr>
          <w:sz w:val="21"/>
        </w:rPr>
        <w:t>signing</w:t>
      </w:r>
      <w:r>
        <w:rPr>
          <w:spacing w:val="40"/>
          <w:sz w:val="21"/>
        </w:rPr>
        <w:t> </w:t>
      </w:r>
      <w:r>
        <w:rPr>
          <w:sz w:val="21"/>
        </w:rPr>
        <w:t>this</w:t>
      </w:r>
      <w:r>
        <w:rPr>
          <w:spacing w:val="40"/>
          <w:sz w:val="21"/>
        </w:rPr>
        <w:t> </w:t>
      </w:r>
      <w:r>
        <w:rPr>
          <w:sz w:val="21"/>
        </w:rPr>
        <w:t>concession contract, a statement signed by shareholders holding 5% or more of its share capital, its directors, key employees, and the final controlling</w:t>
      </w:r>
      <w:r>
        <w:rPr>
          <w:spacing w:val="20"/>
          <w:sz w:val="21"/>
        </w:rPr>
        <w:t> </w:t>
      </w:r>
      <w:r>
        <w:rPr>
          <w:sz w:val="21"/>
        </w:rPr>
        <w:t>shareholders,</w:t>
      </w:r>
      <w:r>
        <w:rPr>
          <w:spacing w:val="20"/>
          <w:sz w:val="21"/>
        </w:rPr>
        <w:t> </w:t>
      </w:r>
      <w:r>
        <w:rPr>
          <w:sz w:val="21"/>
        </w:rPr>
        <w:t>under</w:t>
      </w:r>
      <w:r>
        <w:rPr>
          <w:spacing w:val="20"/>
          <w:sz w:val="21"/>
        </w:rPr>
        <w:t> </w:t>
      </w:r>
      <w:r>
        <w:rPr>
          <w:sz w:val="21"/>
        </w:rPr>
        <w:t>the</w:t>
      </w:r>
      <w:r>
        <w:rPr>
          <w:spacing w:val="20"/>
          <w:sz w:val="21"/>
        </w:rPr>
        <w:t> </w:t>
      </w:r>
      <w:r>
        <w:rPr>
          <w:sz w:val="21"/>
        </w:rPr>
        <w:t>terms</w:t>
      </w:r>
      <w:r>
        <w:rPr>
          <w:spacing w:val="20"/>
          <w:sz w:val="21"/>
        </w:rPr>
        <w:t> </w:t>
      </w:r>
      <w:r>
        <w:rPr>
          <w:sz w:val="21"/>
        </w:rPr>
        <w:t>of</w:t>
      </w:r>
      <w:r>
        <w:rPr>
          <w:spacing w:val="20"/>
          <w:sz w:val="21"/>
        </w:rPr>
        <w:t> </w:t>
      </w:r>
      <w:r>
        <w:rPr>
          <w:sz w:val="21"/>
        </w:rPr>
        <w:t>which</w:t>
      </w:r>
      <w:r>
        <w:rPr>
          <w:spacing w:val="20"/>
          <w:sz w:val="21"/>
        </w:rPr>
        <w:t> </w:t>
      </w:r>
      <w:r>
        <w:rPr>
          <w:sz w:val="21"/>
        </w:rPr>
        <w:t>they</w:t>
      </w:r>
      <w:r>
        <w:rPr>
          <w:spacing w:val="20"/>
          <w:sz w:val="21"/>
        </w:rPr>
        <w:t> </w:t>
      </w:r>
      <w:r>
        <w:rPr>
          <w:sz w:val="21"/>
        </w:rPr>
        <w:t>agree</w:t>
      </w:r>
      <w:r>
        <w:rPr>
          <w:spacing w:val="20"/>
          <w:sz w:val="21"/>
        </w:rPr>
        <w:t> </w:t>
      </w:r>
      <w:r>
        <w:rPr>
          <w:sz w:val="21"/>
        </w:rPr>
        <w:t>to</w:t>
      </w:r>
      <w:r>
        <w:rPr>
          <w:spacing w:val="20"/>
          <w:sz w:val="21"/>
        </w:rPr>
        <w:t> </w:t>
      </w:r>
      <w:r>
        <w:rPr>
          <w:sz w:val="21"/>
        </w:rPr>
        <w:t>comply</w:t>
      </w:r>
      <w:r>
        <w:rPr>
          <w:spacing w:val="20"/>
          <w:sz w:val="21"/>
        </w:rPr>
        <w:t> </w:t>
      </w:r>
      <w:r>
        <w:rPr>
          <w:sz w:val="21"/>
        </w:rPr>
        <w:t>with</w:t>
      </w:r>
      <w:r>
        <w:rPr>
          <w:spacing w:val="20"/>
          <w:sz w:val="21"/>
        </w:rPr>
        <w:t> </w:t>
      </w:r>
      <w:r>
        <w:rPr>
          <w:sz w:val="21"/>
        </w:rPr>
        <w:t>the</w:t>
      </w:r>
      <w:r>
        <w:rPr>
          <w:spacing w:val="20"/>
          <w:sz w:val="21"/>
        </w:rPr>
        <w:t> </w:t>
      </w:r>
      <w:r>
        <w:rPr>
          <w:sz w:val="21"/>
        </w:rPr>
        <w:t>special</w:t>
      </w:r>
      <w:r>
        <w:rPr>
          <w:spacing w:val="20"/>
          <w:sz w:val="21"/>
        </w:rPr>
        <w:t> </w:t>
      </w:r>
      <w:r>
        <w:rPr>
          <w:sz w:val="21"/>
        </w:rPr>
        <w:t>duties</w:t>
      </w:r>
      <w:r>
        <w:rPr>
          <w:spacing w:val="20"/>
          <w:sz w:val="21"/>
        </w:rPr>
        <w:t> </w:t>
      </w:r>
      <w:r>
        <w:rPr>
          <w:sz w:val="21"/>
        </w:rPr>
        <w:t>of</w:t>
      </w:r>
      <w:r>
        <w:rPr>
          <w:spacing w:val="20"/>
          <w:sz w:val="21"/>
        </w:rPr>
        <w:t> </w:t>
      </w:r>
      <w:r>
        <w:rPr>
          <w:sz w:val="21"/>
        </w:rPr>
        <w:t>cooperation</w:t>
      </w:r>
      <w:r>
        <w:rPr>
          <w:spacing w:val="20"/>
          <w:sz w:val="21"/>
        </w:rPr>
        <w:t> </w:t>
      </w:r>
      <w:r>
        <w:rPr>
          <w:sz w:val="21"/>
        </w:rPr>
        <w:t>with</w:t>
      </w:r>
      <w:r>
        <w:rPr>
          <w:spacing w:val="20"/>
          <w:sz w:val="21"/>
        </w:rPr>
        <w:t> </w:t>
      </w:r>
      <w:r>
        <w:rPr>
          <w:sz w:val="21"/>
        </w:rPr>
        <w:t>the</w:t>
      </w:r>
      <w:r>
        <w:rPr>
          <w:spacing w:val="20"/>
          <w:sz w:val="21"/>
        </w:rPr>
        <w:t> </w:t>
      </w:r>
      <w:r>
        <w:rPr>
          <w:sz w:val="21"/>
        </w:rPr>
        <w:t>Government and undertake to submit any documents and provide any information, data, authorizations or evidence requested of them for this</w:t>
      </w:r>
      <w:r>
        <w:rPr>
          <w:spacing w:val="40"/>
          <w:sz w:val="21"/>
        </w:rPr>
        <w:t> </w:t>
      </w:r>
      <w:r>
        <w:rPr>
          <w:spacing w:val="-2"/>
          <w:sz w:val="21"/>
        </w:rPr>
        <w:t>purpose.</w:t>
      </w:r>
    </w:p>
    <w:p>
      <w:pPr>
        <w:pStyle w:val="BodyText"/>
        <w:spacing w:before="147"/>
        <w:rPr>
          <w:sz w:val="21"/>
        </w:rPr>
      </w:pPr>
    </w:p>
    <w:p>
      <w:pPr>
        <w:spacing w:line="295" w:lineRule="auto" w:before="0"/>
        <w:ind w:left="5170" w:right="5143" w:firstLine="0"/>
        <w:jc w:val="center"/>
        <w:rPr>
          <w:b/>
          <w:sz w:val="21"/>
        </w:rPr>
      </w:pPr>
      <w:r>
        <w:rPr>
          <w:b/>
          <w:sz w:val="21"/>
        </w:rPr>
        <w:t>Clause</w:t>
      </w:r>
      <w:r>
        <w:rPr>
          <w:b/>
          <w:spacing w:val="-10"/>
          <w:sz w:val="21"/>
        </w:rPr>
        <w:t> </w:t>
      </w:r>
      <w:r>
        <w:rPr>
          <w:b/>
          <w:sz w:val="21"/>
        </w:rPr>
        <w:t>101 </w:t>
      </w:r>
      <w:r>
        <w:rPr>
          <w:b/>
          <w:spacing w:val="-2"/>
          <w:sz w:val="21"/>
        </w:rPr>
        <w:t>Validity</w:t>
      </w:r>
    </w:p>
    <w:p>
      <w:pPr>
        <w:spacing w:line="608" w:lineRule="exact" w:before="34"/>
        <w:ind w:left="144" w:right="2861" w:firstLine="0"/>
        <w:jc w:val="left"/>
        <w:rPr>
          <w:sz w:val="21"/>
        </w:rPr>
      </w:pPr>
      <w:r>
        <w:rPr>
          <w:sz w:val="21"/>
        </w:rPr>
        <w:t>This</w:t>
      </w:r>
      <w:r>
        <w:rPr>
          <w:spacing w:val="11"/>
          <w:sz w:val="21"/>
        </w:rPr>
        <w:t> </w:t>
      </w:r>
      <w:r>
        <w:rPr>
          <w:sz w:val="21"/>
        </w:rPr>
        <w:t>concession</w:t>
      </w:r>
      <w:r>
        <w:rPr>
          <w:spacing w:val="11"/>
          <w:sz w:val="21"/>
        </w:rPr>
        <w:t> </w:t>
      </w:r>
      <w:r>
        <w:rPr>
          <w:sz w:val="21"/>
        </w:rPr>
        <w:t>contract</w:t>
      </w:r>
      <w:r>
        <w:rPr>
          <w:spacing w:val="11"/>
          <w:sz w:val="21"/>
        </w:rPr>
        <w:t> </w:t>
      </w:r>
      <w:r>
        <w:rPr>
          <w:sz w:val="21"/>
        </w:rPr>
        <w:t>is</w:t>
      </w:r>
      <w:r>
        <w:rPr>
          <w:spacing w:val="11"/>
          <w:sz w:val="21"/>
        </w:rPr>
        <w:t> </w:t>
      </w:r>
      <w:r>
        <w:rPr>
          <w:sz w:val="21"/>
        </w:rPr>
        <w:t>written</w:t>
      </w:r>
      <w:r>
        <w:rPr>
          <w:spacing w:val="11"/>
          <w:sz w:val="21"/>
        </w:rPr>
        <w:t> </w:t>
      </w:r>
      <w:r>
        <w:rPr>
          <w:sz w:val="21"/>
        </w:rPr>
        <w:t>in</w:t>
      </w:r>
      <w:r>
        <w:rPr>
          <w:spacing w:val="11"/>
          <w:sz w:val="21"/>
        </w:rPr>
        <w:t> </w:t>
      </w:r>
      <w:r>
        <w:rPr>
          <w:sz w:val="21"/>
        </w:rPr>
        <w:t>both</w:t>
      </w:r>
      <w:r>
        <w:rPr>
          <w:spacing w:val="11"/>
          <w:sz w:val="21"/>
        </w:rPr>
        <w:t> </w:t>
      </w:r>
      <w:r>
        <w:rPr>
          <w:sz w:val="21"/>
        </w:rPr>
        <w:t>official</w:t>
      </w:r>
      <w:r>
        <w:rPr>
          <w:spacing w:val="11"/>
          <w:sz w:val="21"/>
        </w:rPr>
        <w:t> </w:t>
      </w:r>
      <w:r>
        <w:rPr>
          <w:sz w:val="21"/>
        </w:rPr>
        <w:t>languages</w:t>
      </w:r>
      <w:r>
        <w:rPr>
          <w:spacing w:val="11"/>
          <w:sz w:val="21"/>
        </w:rPr>
        <w:t> </w:t>
      </w:r>
      <w:r>
        <w:rPr>
          <w:sz w:val="21"/>
        </w:rPr>
        <w:t>and</w:t>
      </w:r>
      <w:r>
        <w:rPr>
          <w:spacing w:val="11"/>
          <w:sz w:val="21"/>
        </w:rPr>
        <w:t> </w:t>
      </w:r>
      <w:r>
        <w:rPr>
          <w:sz w:val="21"/>
        </w:rPr>
        <w:t>shall</w:t>
      </w:r>
      <w:r>
        <w:rPr>
          <w:spacing w:val="11"/>
          <w:sz w:val="21"/>
        </w:rPr>
        <w:t> </w:t>
      </w:r>
      <w:r>
        <w:rPr>
          <w:sz w:val="21"/>
        </w:rPr>
        <w:t>be</w:t>
      </w:r>
      <w:r>
        <w:rPr>
          <w:spacing w:val="11"/>
          <w:sz w:val="21"/>
        </w:rPr>
        <w:t> </w:t>
      </w:r>
      <w:r>
        <w:rPr>
          <w:sz w:val="21"/>
        </w:rPr>
        <w:t>valid</w:t>
      </w:r>
      <w:r>
        <w:rPr>
          <w:spacing w:val="11"/>
          <w:sz w:val="21"/>
        </w:rPr>
        <w:t> </w:t>
      </w:r>
      <w:r>
        <w:rPr>
          <w:sz w:val="21"/>
        </w:rPr>
        <w:t>as</w:t>
      </w:r>
      <w:r>
        <w:rPr>
          <w:spacing w:val="11"/>
          <w:sz w:val="21"/>
        </w:rPr>
        <w:t> </w:t>
      </w:r>
      <w:r>
        <w:rPr>
          <w:sz w:val="21"/>
        </w:rPr>
        <w:t>of</w:t>
      </w:r>
      <w:r>
        <w:rPr>
          <w:spacing w:val="11"/>
          <w:sz w:val="21"/>
        </w:rPr>
        <w:t> </w:t>
      </w:r>
      <w:r>
        <w:rPr>
          <w:sz w:val="21"/>
        </w:rPr>
        <w:t>1</w:t>
      </w:r>
      <w:r>
        <w:rPr>
          <w:spacing w:val="11"/>
          <w:sz w:val="21"/>
        </w:rPr>
        <w:t> </w:t>
      </w:r>
      <w:r>
        <w:rPr>
          <w:sz w:val="21"/>
        </w:rPr>
        <w:t>January</w:t>
      </w:r>
      <w:r>
        <w:rPr>
          <w:spacing w:val="11"/>
          <w:sz w:val="21"/>
        </w:rPr>
        <w:t> </w:t>
      </w:r>
      <w:r>
        <w:rPr>
          <w:sz w:val="21"/>
        </w:rPr>
        <w:t>2023. It was thus said and granted.</w:t>
      </w:r>
    </w:p>
    <w:p>
      <w:pPr>
        <w:tabs>
          <w:tab w:pos="4571" w:val="left" w:leader="none"/>
        </w:tabs>
        <w:spacing w:line="295" w:lineRule="auto" w:before="0"/>
        <w:ind w:left="144" w:right="6666" w:firstLine="0"/>
        <w:jc w:val="left"/>
        <w:rPr>
          <w:sz w:val="21"/>
        </w:rPr>
      </w:pPr>
      <w:r>
        <w:rPr>
          <w:sz w:val="21"/>
        </w:rPr>
        <w:t>Financial Services Bureau, on</w:t>
      </w:r>
      <w:r>
        <w:rPr>
          <w:sz w:val="21"/>
          <w:u w:val="single"/>
        </w:rPr>
        <w:tab/>
      </w:r>
      <w:r>
        <w:rPr>
          <w:sz w:val="21"/>
        </w:rPr>
        <w:t>,</w:t>
      </w:r>
      <w:r>
        <w:rPr>
          <w:spacing w:val="-12"/>
          <w:sz w:val="21"/>
        </w:rPr>
        <w:t> </w:t>
      </w:r>
      <w:r>
        <w:rPr>
          <w:sz w:val="21"/>
        </w:rPr>
        <w:t>202</w:t>
      </w:r>
      <w:r>
        <w:rPr>
          <w:spacing w:val="-12"/>
          <w:sz w:val="21"/>
        </w:rPr>
        <w:t> </w:t>
      </w:r>
      <w:r>
        <w:rPr>
          <w:sz w:val="21"/>
        </w:rPr>
        <w:t>. </w:t>
      </w:r>
      <w:r>
        <w:rPr>
          <w:spacing w:val="-2"/>
          <w:sz w:val="21"/>
        </w:rPr>
        <w:t>Notary</w:t>
      </w:r>
    </w:p>
    <w:p>
      <w:pPr>
        <w:pStyle w:val="BodyText"/>
        <w:spacing w:before="19"/>
        <w:rPr>
          <w:sz w:val="20"/>
        </w:rPr>
      </w:pPr>
      <w:r>
        <w:rPr/>
        <mc:AlternateContent>
          <mc:Choice Requires="wps">
            <w:drawing>
              <wp:anchor distT="0" distB="0" distL="0" distR="0" allowOverlap="1" layoutInCell="1" locked="0" behindDoc="1" simplePos="0" relativeHeight="487791616">
                <wp:simplePos x="0" y="0"/>
                <wp:positionH relativeFrom="page">
                  <wp:posOffset>231457</wp:posOffset>
                </wp:positionH>
                <wp:positionV relativeFrom="paragraph">
                  <wp:posOffset>173728</wp:posOffset>
                </wp:positionV>
                <wp:extent cx="1388745" cy="1270"/>
                <wp:effectExtent l="0" t="0" r="0" b="0"/>
                <wp:wrapTopAndBottom/>
                <wp:docPr id="1007" name="Graphic 1007"/>
                <wp:cNvGraphicFramePr>
                  <a:graphicFrameLocks/>
                </wp:cNvGraphicFramePr>
                <a:graphic>
                  <a:graphicData uri="http://schemas.microsoft.com/office/word/2010/wordprocessingShape">
                    <wps:wsp>
                      <wps:cNvPr id="1007" name="Graphic 1007"/>
                      <wps:cNvSpPr/>
                      <wps:spPr>
                        <a:xfrm>
                          <a:off x="0" y="0"/>
                          <a:ext cx="1388745" cy="1270"/>
                        </a:xfrm>
                        <a:custGeom>
                          <a:avLst/>
                          <a:gdLst/>
                          <a:ahLst/>
                          <a:cxnLst/>
                          <a:rect l="l" t="t" r="r" b="b"/>
                          <a:pathLst>
                            <a:path w="1388745" h="0">
                              <a:moveTo>
                                <a:pt x="0" y="0"/>
                              </a:moveTo>
                              <a:lnTo>
                                <a:pt x="1388744" y="0"/>
                              </a:lnTo>
                            </a:path>
                          </a:pathLst>
                        </a:custGeom>
                        <a:ln w="97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24997pt;margin-top:13.679407pt;width:109.35pt;height:.1pt;mso-position-horizontal-relative:page;mso-position-vertical-relative:paragraph;z-index:-15524864;mso-wrap-distance-left:0;mso-wrap-distance-right:0" id="docshape1005" coordorigin="364,274" coordsize="2187,0" path="m364,274l2551,274e" filled="false" stroked="true" strokeweight=".76545pt" strokecolor="#000000">
                <v:path arrowok="t"/>
                <v:stroke dashstyle="solid"/>
                <w10:wrap type="topAndBottom"/>
              </v:shape>
            </w:pict>
          </mc:Fallback>
        </mc:AlternateConten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214"/>
        <w:rPr>
          <w:sz w:val="19"/>
        </w:rPr>
      </w:pPr>
    </w:p>
    <w:p>
      <w:pPr>
        <w:spacing w:before="0"/>
        <w:ind w:left="24" w:right="0" w:firstLine="0"/>
        <w:jc w:val="center"/>
        <w:rPr>
          <w:sz w:val="19"/>
        </w:rPr>
      </w:pPr>
      <w:r>
        <w:rPr>
          <w:spacing w:val="-2"/>
          <w:w w:val="105"/>
          <w:sz w:val="19"/>
        </w:rPr>
        <w:t>*************************************************</w:t>
      </w:r>
    </w:p>
    <w:p>
      <w:pPr>
        <w:pStyle w:val="Heading2"/>
        <w:spacing w:line="292" w:lineRule="auto" w:before="130"/>
        <w:ind w:left="3934" w:right="3908"/>
      </w:pPr>
      <w:r>
        <w:rPr/>
        <w:t>Annex</w:t>
      </w:r>
      <w:r>
        <w:rPr>
          <w:spacing w:val="-3"/>
        </w:rPr>
        <w:t> </w:t>
      </w:r>
      <w:r>
        <w:rPr/>
        <w:t>to</w:t>
      </w:r>
      <w:r>
        <w:rPr>
          <w:spacing w:val="-3"/>
        </w:rPr>
        <w:t> </w:t>
      </w:r>
      <w:r>
        <w:rPr/>
        <w:t>the</w:t>
      </w:r>
      <w:r>
        <w:rPr>
          <w:spacing w:val="-3"/>
        </w:rPr>
        <w:t> </w:t>
      </w:r>
      <w:r>
        <w:rPr/>
        <w:t>Concession</w:t>
      </w:r>
      <w:r>
        <w:rPr>
          <w:spacing w:val="-3"/>
        </w:rPr>
        <w:t> </w:t>
      </w:r>
      <w:r>
        <w:rPr/>
        <w:t>Contract Investment Plans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0"/>
        </w:rPr>
      </w:pPr>
      <w:r>
        <w:rPr/>
        <mc:AlternateContent>
          <mc:Choice Requires="wps">
            <w:drawing>
              <wp:anchor distT="0" distB="0" distL="0" distR="0" allowOverlap="1" layoutInCell="1" locked="0" behindDoc="1" simplePos="0" relativeHeight="487792128">
                <wp:simplePos x="0" y="0"/>
                <wp:positionH relativeFrom="page">
                  <wp:posOffset>231457</wp:posOffset>
                </wp:positionH>
                <wp:positionV relativeFrom="paragraph">
                  <wp:posOffset>164452</wp:posOffset>
                </wp:positionV>
                <wp:extent cx="7312659" cy="8890"/>
                <wp:effectExtent l="0" t="0" r="0" b="0"/>
                <wp:wrapTopAndBottom/>
                <wp:docPr id="1008" name="Group 1008"/>
                <wp:cNvGraphicFramePr>
                  <a:graphicFrameLocks/>
                </wp:cNvGraphicFramePr>
                <a:graphic>
                  <a:graphicData uri="http://schemas.microsoft.com/office/word/2010/wordprocessingGroup">
                    <wpg:wgp>
                      <wpg:cNvPr id="1008" name="Group 1008"/>
                      <wpg:cNvGrpSpPr/>
                      <wpg:grpSpPr>
                        <a:xfrm>
                          <a:off x="0" y="0"/>
                          <a:ext cx="7312659" cy="8890"/>
                          <a:chExt cx="7312659" cy="8890"/>
                        </a:xfrm>
                      </wpg:grpSpPr>
                      <wps:wsp>
                        <wps:cNvPr id="1009" name="Graphic 100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10" name="Graphic 1010"/>
                        <wps:cNvSpPr/>
                        <wps:spPr>
                          <a:xfrm>
                            <a:off x="7303768" y="44"/>
                            <a:ext cx="8890" cy="8890"/>
                          </a:xfrm>
                          <a:custGeom>
                            <a:avLst/>
                            <a:gdLst/>
                            <a:ahLst/>
                            <a:cxnLst/>
                            <a:rect l="l" t="t" r="r" b="b"/>
                            <a:pathLst>
                              <a:path w="8890" h="8890">
                                <a:moveTo>
                                  <a:pt x="8572" y="8525"/>
                                </a:moveTo>
                                <a:lnTo>
                                  <a:pt x="0" y="8525"/>
                                </a:lnTo>
                                <a:lnTo>
                                  <a:pt x="8572" y="0"/>
                                </a:lnTo>
                                <a:lnTo>
                                  <a:pt x="8572" y="8525"/>
                                </a:lnTo>
                                <a:close/>
                              </a:path>
                            </a:pathLst>
                          </a:custGeom>
                          <a:solidFill>
                            <a:srgbClr val="EDEDED"/>
                          </a:solidFill>
                        </wps:spPr>
                        <wps:bodyPr wrap="square" lIns="0" tIns="0" rIns="0" bIns="0" rtlCol="0">
                          <a:prstTxWarp prst="textNoShape">
                            <a:avLst/>
                          </a:prstTxWarp>
                          <a:noAutofit/>
                        </wps:bodyPr>
                      </wps:wsp>
                      <wps:wsp>
                        <wps:cNvPr id="1011" name="Graphic 1011"/>
                        <wps:cNvSpPr/>
                        <wps:spPr>
                          <a:xfrm>
                            <a:off x="0" y="73"/>
                            <a:ext cx="8890" cy="8890"/>
                          </a:xfrm>
                          <a:custGeom>
                            <a:avLst/>
                            <a:gdLst/>
                            <a:ahLst/>
                            <a:cxnLst/>
                            <a:rect l="l" t="t" r="r" b="b"/>
                            <a:pathLst>
                              <a:path w="8890" h="8890">
                                <a:moveTo>
                                  <a:pt x="8572" y="8525"/>
                                </a:moveTo>
                                <a:lnTo>
                                  <a:pt x="0" y="8525"/>
                                </a:lnTo>
                                <a:lnTo>
                                  <a:pt x="0" y="0"/>
                                </a:lnTo>
                                <a:lnTo>
                                  <a:pt x="8572" y="0"/>
                                </a:lnTo>
                                <a:lnTo>
                                  <a:pt x="8572" y="85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949023pt;width:575.8pt;height:.7pt;mso-position-horizontal-relative:page;mso-position-vertical-relative:paragraph;z-index:-15524352;mso-wrap-distance-left:0;mso-wrap-distance-right:0" id="docshapegroup1006" coordorigin="364,259" coordsize="11516,14">
                <v:rect style="position:absolute;left:364;top:258;width:11516;height:14" id="docshape1007" filled="true" fillcolor="#999999" stroked="false">
                  <v:fill type="solid"/>
                </v:rect>
                <v:shape style="position:absolute;left:11866;top:259;width:14;height:14" id="docshape1008" coordorigin="11866,259" coordsize="14,14" path="m11880,272l11866,272,11880,259,11880,272xe" filled="true" fillcolor="#ededed" stroked="false">
                  <v:path arrowok="t"/>
                  <v:fill type="solid"/>
                </v:shape>
                <v:rect style="position:absolute;left:364;top:259;width:14;height:14" id="docshape1009" filled="true" fillcolor="#999999" stroked="false">
                  <v:fill type="solid"/>
                </v:rect>
                <w10:wrap type="topAndBottom"/>
              </v:group>
            </w:pict>
          </mc:Fallback>
        </mc:AlternateContent>
      </w:r>
    </w:p>
    <w:p>
      <w:pPr>
        <w:spacing w:after="0"/>
        <w:rPr>
          <w:sz w:val="20"/>
        </w:rPr>
        <w:sectPr>
          <w:pgSz w:w="12240" w:h="15840"/>
          <w:pgMar w:top="1740" w:bottom="280" w:left="220" w:right="240"/>
        </w:sectPr>
      </w:pPr>
    </w:p>
    <w:p>
      <w:pPr>
        <w:pStyle w:val="BodyText"/>
        <w:spacing w:line="20" w:lineRule="exact"/>
        <w:ind w:left="144"/>
        <w:rPr>
          <w:sz w:val="2"/>
        </w:rPr>
      </w:pPr>
      <w:r>
        <w:rPr>
          <w:sz w:val="2"/>
        </w:rPr>
        <mc:AlternateContent>
          <mc:Choice Requires="wps">
            <w:drawing>
              <wp:inline distT="0" distB="0" distL="0" distR="0">
                <wp:extent cx="7312659" cy="8890"/>
                <wp:effectExtent l="9525" t="0" r="0" b="635"/>
                <wp:docPr id="1012" name="Group 1012"/>
                <wp:cNvGraphicFramePr>
                  <a:graphicFrameLocks/>
                </wp:cNvGraphicFramePr>
                <a:graphic>
                  <a:graphicData uri="http://schemas.microsoft.com/office/word/2010/wordprocessingGroup">
                    <wpg:wgp>
                      <wpg:cNvPr id="1012" name="Group 1012"/>
                      <wpg:cNvGrpSpPr/>
                      <wpg:grpSpPr>
                        <a:xfrm>
                          <a:off x="0" y="0"/>
                          <a:ext cx="7312659" cy="8890"/>
                          <a:chExt cx="7312659" cy="8890"/>
                        </a:xfrm>
                      </wpg:grpSpPr>
                      <wps:wsp>
                        <wps:cNvPr id="1013" name="Graphic 1013"/>
                        <wps:cNvSpPr/>
                        <wps:spPr>
                          <a:xfrm>
                            <a:off x="-12" y="13"/>
                            <a:ext cx="7312659" cy="8890"/>
                          </a:xfrm>
                          <a:custGeom>
                            <a:avLst/>
                            <a:gdLst/>
                            <a:ahLst/>
                            <a:cxnLst/>
                            <a:rect l="l" t="t" r="r" b="b"/>
                            <a:pathLst>
                              <a:path w="7312659" h="8890">
                                <a:moveTo>
                                  <a:pt x="7312342" y="0"/>
                                </a:moveTo>
                                <a:lnTo>
                                  <a:pt x="7303770" y="0"/>
                                </a:lnTo>
                                <a:lnTo>
                                  <a:pt x="7303770" y="139"/>
                                </a:lnTo>
                                <a:lnTo>
                                  <a:pt x="0" y="139"/>
                                </a:lnTo>
                                <a:lnTo>
                                  <a:pt x="0" y="8712"/>
                                </a:lnTo>
                                <a:lnTo>
                                  <a:pt x="7312342" y="8712"/>
                                </a:lnTo>
                                <a:lnTo>
                                  <a:pt x="7312342" y="139"/>
                                </a:lnTo>
                                <a:lnTo>
                                  <a:pt x="7312342" y="0"/>
                                </a:lnTo>
                                <a:close/>
                              </a:path>
                            </a:pathLst>
                          </a:custGeom>
                          <a:solidFill>
                            <a:srgbClr val="EDEDED"/>
                          </a:solidFill>
                        </wps:spPr>
                        <wps:bodyPr wrap="square" lIns="0" tIns="0" rIns="0" bIns="0" rtlCol="0">
                          <a:prstTxWarp prst="textNoShape">
                            <a:avLst/>
                          </a:prstTxWarp>
                          <a:noAutofit/>
                        </wps:bodyPr>
                      </wps:wsp>
                      <wps:wsp>
                        <wps:cNvPr id="1014" name="Graphic 1014"/>
                        <wps:cNvSpPr/>
                        <wps:spPr>
                          <a:xfrm>
                            <a:off x="0" y="0"/>
                            <a:ext cx="8890" cy="8890"/>
                          </a:xfrm>
                          <a:custGeom>
                            <a:avLst/>
                            <a:gdLst/>
                            <a:ahLst/>
                            <a:cxnLst/>
                            <a:rect l="l" t="t" r="r" b="b"/>
                            <a:pathLst>
                              <a:path w="8890" h="8890">
                                <a:moveTo>
                                  <a:pt x="0" y="8634"/>
                                </a:moveTo>
                                <a:lnTo>
                                  <a:pt x="0" y="0"/>
                                </a:lnTo>
                                <a:lnTo>
                                  <a:pt x="8572" y="0"/>
                                </a:lnTo>
                                <a:lnTo>
                                  <a:pt x="0" y="8634"/>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1010" coordorigin="0,0" coordsize="11516,14">
                <v:shape style="position:absolute;left:-1;top:0;width:11516;height:14" id="docshape1011" coordorigin="0,0" coordsize="11516,14" path="m11515,0l11502,0,11502,0,0,0,0,14,11515,14,11515,0,11515,0xe" filled="true" fillcolor="#ededed" stroked="false">
                  <v:path arrowok="t"/>
                  <v:fill type="solid"/>
                </v:shape>
                <v:shape style="position:absolute;left:0;top:0;width:14;height:14" id="docshape1012" coordorigin="0,0" coordsize="14,14" path="m0,14l0,0,13,0,0,14xe" filled="true" fillcolor="#999999" stroked="false">
                  <v:path arrowok="t"/>
                  <v:fill type="solid"/>
                </v:shape>
              </v:group>
            </w:pict>
          </mc:Fallback>
        </mc:AlternateContent>
      </w:r>
      <w:r>
        <w:rPr>
          <w:sz w:val="2"/>
        </w:rPr>
      </w: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spacing w:before="21"/>
        <w:rPr>
          <w:b/>
          <w:sz w:val="21"/>
        </w:rPr>
      </w:pPr>
    </w:p>
    <w:p>
      <w:pPr>
        <w:spacing w:line="213" w:lineRule="auto" w:before="0"/>
        <w:ind w:left="144" w:right="118" w:firstLine="0"/>
        <w:jc w:val="both"/>
        <w:rPr>
          <w:sz w:val="21"/>
        </w:rPr>
      </w:pPr>
      <w:r>
        <w:rPr>
          <w:sz w:val="21"/>
        </w:rPr>
        <w:t>The</w:t>
      </w:r>
      <w:r>
        <w:rPr>
          <w:spacing w:val="40"/>
          <w:sz w:val="21"/>
        </w:rPr>
        <w:t> </w:t>
      </w:r>
      <w:r>
        <w:rPr>
          <w:sz w:val="21"/>
        </w:rPr>
        <w:t>Concessionaire</w:t>
      </w:r>
      <w:r>
        <w:rPr>
          <w:spacing w:val="40"/>
          <w:sz w:val="21"/>
        </w:rPr>
        <w:t> </w:t>
      </w:r>
      <w:r>
        <w:rPr>
          <w:sz w:val="21"/>
        </w:rPr>
        <w:t>undertakes</w:t>
      </w:r>
      <w:r>
        <w:rPr>
          <w:spacing w:val="40"/>
          <w:sz w:val="21"/>
        </w:rPr>
        <w:t> </w:t>
      </w:r>
      <w:r>
        <w:rPr>
          <w:sz w:val="21"/>
        </w:rPr>
        <w:t>to</w:t>
      </w:r>
      <w:r>
        <w:rPr>
          <w:spacing w:val="40"/>
          <w:sz w:val="21"/>
        </w:rPr>
        <w:t> </w:t>
      </w:r>
      <w:r>
        <w:rPr>
          <w:sz w:val="21"/>
        </w:rPr>
        <w:t>carry</w:t>
      </w:r>
      <w:r>
        <w:rPr>
          <w:spacing w:val="40"/>
          <w:sz w:val="21"/>
        </w:rPr>
        <w:t> </w:t>
      </w:r>
      <w:r>
        <w:rPr>
          <w:sz w:val="21"/>
        </w:rPr>
        <w:t>out</w:t>
      </w:r>
      <w:r>
        <w:rPr>
          <w:spacing w:val="40"/>
          <w:sz w:val="21"/>
        </w:rPr>
        <w:t> </w:t>
      </w:r>
      <w:r>
        <w:rPr>
          <w:sz w:val="21"/>
        </w:rPr>
        <w:t>the</w:t>
      </w:r>
      <w:r>
        <w:rPr>
          <w:spacing w:val="40"/>
          <w:sz w:val="21"/>
        </w:rPr>
        <w:t> </w:t>
      </w:r>
      <w:r>
        <w:rPr>
          <w:sz w:val="21"/>
        </w:rPr>
        <w:t>investment</w:t>
      </w:r>
      <w:r>
        <w:rPr>
          <w:spacing w:val="40"/>
          <w:sz w:val="21"/>
        </w:rPr>
        <w:t> </w:t>
      </w:r>
      <w:r>
        <w:rPr>
          <w:sz w:val="21"/>
        </w:rPr>
        <w:t>projects</w:t>
      </w:r>
      <w:r>
        <w:rPr>
          <w:spacing w:val="40"/>
          <w:sz w:val="21"/>
        </w:rPr>
        <w:t> </w:t>
      </w:r>
      <w:r>
        <w:rPr>
          <w:sz w:val="21"/>
        </w:rPr>
        <w:t>in</w:t>
      </w:r>
      <w:r>
        <w:rPr>
          <w:spacing w:val="40"/>
          <w:sz w:val="21"/>
        </w:rPr>
        <w:t> </w:t>
      </w:r>
      <w:r>
        <w:rPr>
          <w:sz w:val="21"/>
        </w:rPr>
        <w:t>accordance</w:t>
      </w:r>
      <w:r>
        <w:rPr>
          <w:spacing w:val="40"/>
          <w:sz w:val="21"/>
        </w:rPr>
        <w:t> </w:t>
      </w:r>
      <w:r>
        <w:rPr>
          <w:sz w:val="21"/>
        </w:rPr>
        <w:t>with</w:t>
      </w:r>
      <w:r>
        <w:rPr>
          <w:spacing w:val="40"/>
          <w:sz w:val="21"/>
        </w:rPr>
        <w:t> </w:t>
      </w:r>
      <w:r>
        <w:rPr>
          <w:sz w:val="21"/>
        </w:rPr>
        <w:t>the</w:t>
      </w:r>
      <w:r>
        <w:rPr>
          <w:spacing w:val="40"/>
          <w:sz w:val="21"/>
        </w:rPr>
        <w:t> </w:t>
      </w:r>
      <w:r>
        <w:rPr>
          <w:sz w:val="21"/>
        </w:rPr>
        <w:t>proposals</w:t>
      </w:r>
      <w:r>
        <w:rPr>
          <w:spacing w:val="40"/>
          <w:sz w:val="21"/>
        </w:rPr>
        <w:t> </w:t>
      </w:r>
      <w:r>
        <w:rPr>
          <w:sz w:val="21"/>
        </w:rPr>
        <w:t>submitted</w:t>
      </w:r>
      <w:r>
        <w:rPr>
          <w:spacing w:val="40"/>
          <w:sz w:val="21"/>
        </w:rPr>
        <w:t> </w:t>
      </w:r>
      <w:r>
        <w:rPr>
          <w:sz w:val="21"/>
        </w:rPr>
        <w:t>in</w:t>
      </w:r>
      <w:r>
        <w:rPr>
          <w:spacing w:val="40"/>
          <w:sz w:val="21"/>
        </w:rPr>
        <w:t> </w:t>
      </w:r>
      <w:r>
        <w:rPr>
          <w:sz w:val="21"/>
        </w:rPr>
        <w:t>the</w:t>
      </w:r>
      <w:r>
        <w:rPr>
          <w:spacing w:val="40"/>
          <w:sz w:val="21"/>
        </w:rPr>
        <w:t> </w:t>
      </w:r>
      <w:r>
        <w:rPr>
          <w:sz w:val="21"/>
        </w:rPr>
        <w:t>bidding process for the operation of games of fortune or chance in casinos, the total amount of the investment budget being MOP</w:t>
      </w:r>
      <w:r>
        <w:rPr>
          <w:spacing w:val="40"/>
          <w:sz w:val="21"/>
        </w:rPr>
        <w:t> </w:t>
      </w:r>
      <w:r>
        <w:rPr>
          <w:sz w:val="21"/>
        </w:rPr>
        <w:t>16,700,000,000</w:t>
      </w:r>
      <w:r>
        <w:rPr>
          <w:spacing w:val="40"/>
          <w:sz w:val="21"/>
        </w:rPr>
        <w:t> </w:t>
      </w:r>
      <w:r>
        <w:rPr>
          <w:sz w:val="21"/>
        </w:rPr>
        <w:t>(sixteen</w:t>
      </w:r>
      <w:r>
        <w:rPr>
          <w:spacing w:val="40"/>
          <w:sz w:val="21"/>
        </w:rPr>
        <w:t> </w:t>
      </w:r>
      <w:r>
        <w:rPr>
          <w:sz w:val="21"/>
        </w:rPr>
        <w:t>billion</w:t>
      </w:r>
      <w:r>
        <w:rPr>
          <w:spacing w:val="40"/>
          <w:sz w:val="21"/>
        </w:rPr>
        <w:t> </w:t>
      </w:r>
      <w:r>
        <w:rPr>
          <w:sz w:val="21"/>
        </w:rPr>
        <w:t>seven</w:t>
      </w:r>
      <w:r>
        <w:rPr>
          <w:spacing w:val="40"/>
          <w:sz w:val="21"/>
        </w:rPr>
        <w:t> </w:t>
      </w:r>
      <w:r>
        <w:rPr>
          <w:sz w:val="21"/>
        </w:rPr>
        <w:t>hundred</w:t>
      </w:r>
      <w:r>
        <w:rPr>
          <w:spacing w:val="40"/>
          <w:sz w:val="21"/>
        </w:rPr>
        <w:t> </w:t>
      </w:r>
      <w:r>
        <w:rPr>
          <w:sz w:val="21"/>
        </w:rPr>
        <w:t>million</w:t>
      </w:r>
      <w:r>
        <w:rPr>
          <w:spacing w:val="40"/>
          <w:sz w:val="21"/>
        </w:rPr>
        <w:t> </w:t>
      </w:r>
      <w:r>
        <w:rPr>
          <w:sz w:val="21"/>
        </w:rPr>
        <w:t>patacas),</w:t>
      </w:r>
      <w:r>
        <w:rPr>
          <w:spacing w:val="40"/>
          <w:sz w:val="21"/>
        </w:rPr>
        <w:t> </w:t>
      </w:r>
      <w:r>
        <w:rPr>
          <w:sz w:val="21"/>
        </w:rPr>
        <w:t>without</w:t>
      </w:r>
      <w:r>
        <w:rPr>
          <w:spacing w:val="40"/>
          <w:sz w:val="21"/>
        </w:rPr>
        <w:t> </w:t>
      </w:r>
      <w:r>
        <w:rPr>
          <w:sz w:val="21"/>
        </w:rPr>
        <w:t>prejudice</w:t>
      </w:r>
      <w:r>
        <w:rPr>
          <w:spacing w:val="40"/>
          <w:sz w:val="21"/>
        </w:rPr>
        <w:t> </w:t>
      </w:r>
      <w:r>
        <w:rPr>
          <w:sz w:val="21"/>
        </w:rPr>
        <w:t>to</w:t>
      </w:r>
      <w:r>
        <w:rPr>
          <w:spacing w:val="40"/>
          <w:sz w:val="21"/>
        </w:rPr>
        <w:t> </w:t>
      </w:r>
      <w:r>
        <w:rPr>
          <w:sz w:val="21"/>
        </w:rPr>
        <w:t>activating</w:t>
      </w:r>
      <w:r>
        <w:rPr>
          <w:spacing w:val="40"/>
          <w:sz w:val="21"/>
        </w:rPr>
        <w:t> </w:t>
      </w:r>
      <w:r>
        <w:rPr>
          <w:sz w:val="21"/>
        </w:rPr>
        <w:t>the</w:t>
      </w:r>
      <w:r>
        <w:rPr>
          <w:spacing w:val="40"/>
          <w:sz w:val="21"/>
        </w:rPr>
        <w:t> </w:t>
      </w:r>
      <w:r>
        <w:rPr>
          <w:sz w:val="21"/>
        </w:rPr>
        <w:t>mechanism</w:t>
      </w:r>
      <w:r>
        <w:rPr>
          <w:spacing w:val="40"/>
          <w:sz w:val="21"/>
        </w:rPr>
        <w:t> </w:t>
      </w:r>
      <w:r>
        <w:rPr>
          <w:sz w:val="21"/>
        </w:rPr>
        <w:t>for</w:t>
      </w:r>
      <w:r>
        <w:rPr>
          <w:spacing w:val="40"/>
          <w:sz w:val="21"/>
        </w:rPr>
        <w:t> </w:t>
      </w:r>
      <w:r>
        <w:rPr>
          <w:sz w:val="21"/>
        </w:rPr>
        <w:t>increased investment, including investment projects related to gambling and non-gambling, namely in the following areas: (1) Origin of international</w:t>
      </w:r>
      <w:r>
        <w:rPr>
          <w:spacing w:val="34"/>
          <w:sz w:val="21"/>
        </w:rPr>
        <w:t> </w:t>
      </w:r>
      <w:r>
        <w:rPr>
          <w:sz w:val="21"/>
        </w:rPr>
        <w:t>visitors;</w:t>
      </w:r>
      <w:r>
        <w:rPr>
          <w:spacing w:val="34"/>
          <w:sz w:val="21"/>
        </w:rPr>
        <w:t> </w:t>
      </w:r>
      <w:r>
        <w:rPr>
          <w:sz w:val="21"/>
        </w:rPr>
        <w:t>(2)</w:t>
      </w:r>
      <w:r>
        <w:rPr>
          <w:spacing w:val="34"/>
          <w:sz w:val="21"/>
        </w:rPr>
        <w:t> </w:t>
      </w:r>
      <w:r>
        <w:rPr>
          <w:sz w:val="21"/>
        </w:rPr>
        <w:t>Conventions</w:t>
      </w:r>
      <w:r>
        <w:rPr>
          <w:spacing w:val="34"/>
          <w:sz w:val="21"/>
        </w:rPr>
        <w:t> </w:t>
      </w:r>
      <w:r>
        <w:rPr>
          <w:sz w:val="21"/>
        </w:rPr>
        <w:t>and</w:t>
      </w:r>
      <w:r>
        <w:rPr>
          <w:spacing w:val="34"/>
          <w:sz w:val="21"/>
        </w:rPr>
        <w:t> </w:t>
      </w:r>
      <w:r>
        <w:rPr>
          <w:sz w:val="21"/>
        </w:rPr>
        <w:t>exhibitions;</w:t>
      </w:r>
      <w:r>
        <w:rPr>
          <w:spacing w:val="34"/>
          <w:sz w:val="21"/>
        </w:rPr>
        <w:t> </w:t>
      </w:r>
      <w:r>
        <w:rPr>
          <w:sz w:val="21"/>
        </w:rPr>
        <w:t>(3)</w:t>
      </w:r>
      <w:r>
        <w:rPr>
          <w:spacing w:val="34"/>
          <w:sz w:val="21"/>
        </w:rPr>
        <w:t> </w:t>
      </w:r>
      <w:r>
        <w:rPr>
          <w:sz w:val="21"/>
        </w:rPr>
        <w:t>Entertainment</w:t>
      </w:r>
      <w:r>
        <w:rPr>
          <w:spacing w:val="34"/>
          <w:sz w:val="21"/>
        </w:rPr>
        <w:t> </w:t>
      </w:r>
      <w:r>
        <w:rPr>
          <w:sz w:val="21"/>
        </w:rPr>
        <w:t>shows;</w:t>
      </w:r>
      <w:r>
        <w:rPr>
          <w:spacing w:val="34"/>
          <w:sz w:val="21"/>
        </w:rPr>
        <w:t> </w:t>
      </w:r>
      <w:r>
        <w:rPr>
          <w:sz w:val="21"/>
        </w:rPr>
        <w:t>(4)</w:t>
      </w:r>
      <w:r>
        <w:rPr>
          <w:spacing w:val="34"/>
          <w:sz w:val="21"/>
        </w:rPr>
        <w:t> </w:t>
      </w:r>
      <w:r>
        <w:rPr>
          <w:sz w:val="21"/>
        </w:rPr>
        <w:t>Sports</w:t>
      </w:r>
      <w:r>
        <w:rPr>
          <w:spacing w:val="34"/>
          <w:sz w:val="21"/>
        </w:rPr>
        <w:t> </w:t>
      </w:r>
      <w:r>
        <w:rPr>
          <w:sz w:val="21"/>
        </w:rPr>
        <w:t>events;</w:t>
      </w:r>
      <w:r>
        <w:rPr>
          <w:spacing w:val="34"/>
          <w:sz w:val="21"/>
        </w:rPr>
        <w:t> </w:t>
      </w:r>
      <w:r>
        <w:rPr>
          <w:sz w:val="21"/>
        </w:rPr>
        <w:t>(5)</w:t>
      </w:r>
      <w:r>
        <w:rPr>
          <w:spacing w:val="34"/>
          <w:sz w:val="21"/>
        </w:rPr>
        <w:t> </w:t>
      </w:r>
      <w:r>
        <w:rPr>
          <w:sz w:val="21"/>
        </w:rPr>
        <w:t>Culture</w:t>
      </w:r>
      <w:r>
        <w:rPr>
          <w:spacing w:val="34"/>
          <w:sz w:val="21"/>
        </w:rPr>
        <w:t> </w:t>
      </w:r>
      <w:r>
        <w:rPr>
          <w:sz w:val="21"/>
        </w:rPr>
        <w:t>and</w:t>
      </w:r>
      <w:r>
        <w:rPr>
          <w:spacing w:val="34"/>
          <w:sz w:val="21"/>
        </w:rPr>
        <w:t> </w:t>
      </w:r>
      <w:r>
        <w:rPr>
          <w:sz w:val="21"/>
        </w:rPr>
        <w:t>art;</w:t>
      </w:r>
      <w:r>
        <w:rPr>
          <w:spacing w:val="34"/>
          <w:sz w:val="21"/>
        </w:rPr>
        <w:t> </w:t>
      </w:r>
      <w:r>
        <w:rPr>
          <w:sz w:val="21"/>
        </w:rPr>
        <w:t>(6)</w:t>
      </w:r>
      <w:r>
        <w:rPr>
          <w:spacing w:val="34"/>
          <w:sz w:val="21"/>
        </w:rPr>
        <w:t> </w:t>
      </w:r>
      <w:r>
        <w:rPr>
          <w:sz w:val="21"/>
        </w:rPr>
        <w:t>Health and</w:t>
      </w:r>
      <w:r>
        <w:rPr>
          <w:spacing w:val="28"/>
          <w:sz w:val="21"/>
        </w:rPr>
        <w:t> </w:t>
      </w:r>
      <w:r>
        <w:rPr>
          <w:sz w:val="21"/>
        </w:rPr>
        <w:t>wellness;</w:t>
      </w:r>
      <w:r>
        <w:rPr>
          <w:spacing w:val="28"/>
          <w:sz w:val="21"/>
        </w:rPr>
        <w:t> </w:t>
      </w:r>
      <w:r>
        <w:rPr>
          <w:sz w:val="21"/>
        </w:rPr>
        <w:t>(7)</w:t>
      </w:r>
      <w:r>
        <w:rPr>
          <w:spacing w:val="22"/>
          <w:sz w:val="21"/>
        </w:rPr>
        <w:t> </w:t>
      </w:r>
      <w:r>
        <w:rPr>
          <w:sz w:val="21"/>
        </w:rPr>
        <w:t>Themed</w:t>
      </w:r>
      <w:r>
        <w:rPr>
          <w:spacing w:val="28"/>
          <w:sz w:val="21"/>
        </w:rPr>
        <w:t> </w:t>
      </w:r>
      <w:r>
        <w:rPr>
          <w:sz w:val="21"/>
        </w:rPr>
        <w:t>entertainment;</w:t>
      </w:r>
      <w:r>
        <w:rPr>
          <w:spacing w:val="28"/>
          <w:sz w:val="21"/>
        </w:rPr>
        <w:t> </w:t>
      </w:r>
      <w:r>
        <w:rPr>
          <w:sz w:val="21"/>
        </w:rPr>
        <w:t>(8)</w:t>
      </w:r>
      <w:r>
        <w:rPr>
          <w:spacing w:val="28"/>
          <w:sz w:val="21"/>
        </w:rPr>
        <w:t> </w:t>
      </w:r>
      <w:r>
        <w:rPr>
          <w:sz w:val="21"/>
        </w:rPr>
        <w:t>Gastronomic</w:t>
      </w:r>
      <w:r>
        <w:rPr>
          <w:spacing w:val="28"/>
          <w:sz w:val="21"/>
        </w:rPr>
        <w:t> </w:t>
      </w:r>
      <w:r>
        <w:rPr>
          <w:sz w:val="21"/>
        </w:rPr>
        <w:t>city;</w:t>
      </w:r>
      <w:r>
        <w:rPr>
          <w:spacing w:val="28"/>
          <w:sz w:val="21"/>
        </w:rPr>
        <w:t> </w:t>
      </w:r>
      <w:r>
        <w:rPr>
          <w:sz w:val="21"/>
        </w:rPr>
        <w:t>(9)</w:t>
      </w:r>
      <w:r>
        <w:rPr>
          <w:spacing w:val="28"/>
          <w:sz w:val="21"/>
        </w:rPr>
        <w:t> </w:t>
      </w:r>
      <w:r>
        <w:rPr>
          <w:sz w:val="21"/>
        </w:rPr>
        <w:t>Community</w:t>
      </w:r>
      <w:r>
        <w:rPr>
          <w:spacing w:val="28"/>
          <w:sz w:val="21"/>
        </w:rPr>
        <w:t> </w:t>
      </w:r>
      <w:r>
        <w:rPr>
          <w:sz w:val="21"/>
        </w:rPr>
        <w:t>tourism;</w:t>
      </w:r>
      <w:r>
        <w:rPr>
          <w:spacing w:val="28"/>
          <w:sz w:val="21"/>
        </w:rPr>
        <w:t> </w:t>
      </w:r>
      <w:r>
        <w:rPr>
          <w:sz w:val="21"/>
        </w:rPr>
        <w:t>(10)</w:t>
      </w:r>
      <w:r>
        <w:rPr>
          <w:spacing w:val="28"/>
          <w:sz w:val="21"/>
        </w:rPr>
        <w:t> </w:t>
      </w:r>
      <w:r>
        <w:rPr>
          <w:sz w:val="21"/>
        </w:rPr>
        <w:t>Maritime</w:t>
      </w:r>
      <w:r>
        <w:rPr>
          <w:spacing w:val="28"/>
          <w:sz w:val="21"/>
        </w:rPr>
        <w:t> </w:t>
      </w:r>
      <w:r>
        <w:rPr>
          <w:sz w:val="21"/>
        </w:rPr>
        <w:t>tourism;</w:t>
      </w:r>
      <w:r>
        <w:rPr>
          <w:spacing w:val="28"/>
          <w:sz w:val="21"/>
        </w:rPr>
        <w:t> </w:t>
      </w:r>
      <w:r>
        <w:rPr>
          <w:sz w:val="21"/>
        </w:rPr>
        <w:t>(11)</w:t>
      </w:r>
      <w:r>
        <w:rPr>
          <w:spacing w:val="28"/>
          <w:sz w:val="21"/>
        </w:rPr>
        <w:t> </w:t>
      </w:r>
      <w:r>
        <w:rPr>
          <w:sz w:val="21"/>
        </w:rPr>
        <w:t>Other.</w:t>
      </w:r>
    </w:p>
    <w:p>
      <w:pPr>
        <w:spacing w:after="0" w:line="213" w:lineRule="auto"/>
        <w:jc w:val="both"/>
        <w:rPr>
          <w:sz w:val="21"/>
        </w:rPr>
        <w:sectPr>
          <w:pgSz w:w="12240" w:h="15840"/>
          <w:pgMar w:top="360" w:bottom="280" w:left="220" w:right="240"/>
        </w:sectPr>
      </w:pPr>
    </w:p>
    <w:p>
      <w:pPr>
        <w:spacing w:before="84"/>
        <w:ind w:left="0" w:right="118" w:firstLine="0"/>
        <w:jc w:val="right"/>
        <w:rPr>
          <w:b/>
          <w:sz w:val="21"/>
        </w:rPr>
      </w:pPr>
      <w:bookmarkStart w:name="_bookmark32" w:id="33"/>
      <w:bookmarkEnd w:id="33"/>
      <w:r>
        <w:rPr/>
      </w:r>
      <w:r>
        <w:rPr>
          <w:b/>
          <w:sz w:val="21"/>
        </w:rPr>
        <w:t>Exhibit</w:t>
      </w:r>
      <w:r>
        <w:rPr>
          <w:b/>
          <w:spacing w:val="14"/>
          <w:sz w:val="21"/>
        </w:rPr>
        <w:t> </w:t>
      </w:r>
      <w:r>
        <w:rPr>
          <w:b/>
          <w:spacing w:val="-2"/>
          <w:sz w:val="21"/>
        </w:rPr>
        <w:t>10.4(5)</w:t>
      </w:r>
    </w:p>
    <w:p>
      <w:pPr>
        <w:pStyle w:val="BodyText"/>
        <w:rPr>
          <w:b/>
          <w:sz w:val="21"/>
        </w:rPr>
      </w:pPr>
    </w:p>
    <w:p>
      <w:pPr>
        <w:pStyle w:val="BodyText"/>
        <w:rPr>
          <w:b/>
          <w:sz w:val="21"/>
        </w:rPr>
      </w:pPr>
    </w:p>
    <w:p>
      <w:pPr>
        <w:pStyle w:val="BodyText"/>
        <w:rPr>
          <w:b/>
          <w:sz w:val="21"/>
        </w:rPr>
      </w:pPr>
    </w:p>
    <w:p>
      <w:pPr>
        <w:pStyle w:val="BodyText"/>
        <w:rPr>
          <w:b/>
          <w:sz w:val="21"/>
        </w:rPr>
      </w:pPr>
    </w:p>
    <w:p>
      <w:pPr>
        <w:pStyle w:val="BodyText"/>
        <w:spacing w:before="63"/>
        <w:rPr>
          <w:b/>
          <w:sz w:val="21"/>
        </w:rPr>
      </w:pPr>
    </w:p>
    <w:p>
      <w:pPr>
        <w:spacing w:before="0"/>
        <w:ind w:left="24" w:right="0" w:firstLine="0"/>
        <w:jc w:val="center"/>
        <w:rPr>
          <w:b/>
          <w:sz w:val="21"/>
        </w:rPr>
      </w:pPr>
      <w:r>
        <w:rPr>
          <w:b/>
          <w:sz w:val="21"/>
        </w:rPr>
        <w:t>EXHIBIT</w:t>
      </w:r>
      <w:r>
        <w:rPr>
          <w:b/>
          <w:spacing w:val="2"/>
          <w:sz w:val="21"/>
        </w:rPr>
        <w:t> </w:t>
      </w:r>
      <w:r>
        <w:rPr>
          <w:b/>
          <w:spacing w:val="-10"/>
          <w:sz w:val="21"/>
        </w:rPr>
        <w:t>A</w:t>
      </w:r>
    </w:p>
    <w:p>
      <w:pPr>
        <w:spacing w:line="213" w:lineRule="auto" w:before="212"/>
        <w:ind w:left="4251" w:right="4290" w:firstLine="0"/>
        <w:jc w:val="center"/>
        <w:rPr>
          <w:b/>
          <w:sz w:val="21"/>
        </w:rPr>
      </w:pPr>
      <w:r>
        <w:rPr>
          <w:b/>
          <w:sz w:val="21"/>
        </w:rPr>
        <w:t>AMENDMENT NUMBER </w:t>
      </w:r>
      <w:r>
        <w:rPr>
          <w:b/>
          <w:sz w:val="21"/>
        </w:rPr>
        <w:t>TWO TO THE MGM RESORTS</w:t>
      </w:r>
    </w:p>
    <w:p>
      <w:pPr>
        <w:spacing w:line="222" w:lineRule="exact" w:before="0"/>
        <w:ind w:left="0" w:right="38" w:firstLine="0"/>
        <w:jc w:val="center"/>
        <w:rPr>
          <w:b/>
          <w:sz w:val="21"/>
        </w:rPr>
      </w:pPr>
      <w:r>
        <w:rPr>
          <w:b/>
          <w:sz w:val="21"/>
        </w:rPr>
        <w:t>DEFERRED</w:t>
      </w:r>
      <w:r>
        <w:rPr>
          <w:b/>
          <w:spacing w:val="18"/>
          <w:sz w:val="21"/>
        </w:rPr>
        <w:t> </w:t>
      </w:r>
      <w:r>
        <w:rPr>
          <w:b/>
          <w:sz w:val="21"/>
        </w:rPr>
        <w:t>COMPENSATION</w:t>
      </w:r>
      <w:r>
        <w:rPr>
          <w:b/>
          <w:spacing w:val="18"/>
          <w:sz w:val="21"/>
        </w:rPr>
        <w:t> </w:t>
      </w:r>
      <w:r>
        <w:rPr>
          <w:b/>
          <w:sz w:val="21"/>
        </w:rPr>
        <w:t>PLAN</w:t>
      </w:r>
      <w:r>
        <w:rPr>
          <w:b/>
          <w:spacing w:val="19"/>
          <w:sz w:val="21"/>
        </w:rPr>
        <w:t> </w:t>
      </w:r>
      <w:r>
        <w:rPr>
          <w:b/>
          <w:spacing w:val="-5"/>
          <w:sz w:val="21"/>
        </w:rPr>
        <w:t>II</w:t>
      </w:r>
    </w:p>
    <w:p>
      <w:pPr>
        <w:spacing w:line="213" w:lineRule="auto" w:before="212"/>
        <w:ind w:left="144" w:right="117" w:firstLine="248"/>
        <w:jc w:val="both"/>
        <w:rPr>
          <w:sz w:val="21"/>
        </w:rPr>
      </w:pPr>
      <w:r>
        <w:rPr>
          <w:sz w:val="21"/>
        </w:rPr>
        <w:t>WHEREAS, Section 11.2 of the MGM Resorts Deferred Compensation Plan II, as amended and restated effective December 17,</w:t>
      </w:r>
      <w:r>
        <w:rPr>
          <w:spacing w:val="40"/>
          <w:sz w:val="21"/>
        </w:rPr>
        <w:t> </w:t>
      </w:r>
      <w:r>
        <w:rPr>
          <w:sz w:val="21"/>
        </w:rPr>
        <w:t>2014 (the "</w:t>
      </w:r>
      <w:r>
        <w:rPr>
          <w:b/>
          <w:sz w:val="21"/>
        </w:rPr>
        <w:t>Plan</w:t>
      </w:r>
      <w:r>
        <w:rPr>
          <w:sz w:val="21"/>
        </w:rPr>
        <w:t>"), provides that the Committee (as defined in the Plan) may amend the Plan in whole or in part, provided that no amendment or modification shall decrease or restrict the value of a Plan participant's vested account balance at the time of such amendment or modification; and</w:t>
      </w:r>
    </w:p>
    <w:p>
      <w:pPr>
        <w:spacing w:line="213" w:lineRule="auto" w:before="220"/>
        <w:ind w:left="144" w:right="118" w:firstLine="323"/>
        <w:jc w:val="both"/>
        <w:rPr>
          <w:sz w:val="21"/>
        </w:rPr>
      </w:pPr>
      <w:r>
        <w:rPr>
          <w:sz w:val="21"/>
        </w:rPr>
        <w:t>WHEREAS,</w:t>
      </w:r>
      <w:r>
        <w:rPr>
          <w:spacing w:val="40"/>
          <w:sz w:val="21"/>
        </w:rPr>
        <w:t> </w:t>
      </w:r>
      <w:r>
        <w:rPr>
          <w:sz w:val="21"/>
        </w:rPr>
        <w:t>the</w:t>
      </w:r>
      <w:r>
        <w:rPr>
          <w:spacing w:val="40"/>
          <w:sz w:val="21"/>
        </w:rPr>
        <w:t> </w:t>
      </w:r>
      <w:r>
        <w:rPr>
          <w:sz w:val="21"/>
        </w:rPr>
        <w:t>Committee</w:t>
      </w:r>
      <w:r>
        <w:rPr>
          <w:spacing w:val="40"/>
          <w:sz w:val="21"/>
        </w:rPr>
        <w:t> </w:t>
      </w:r>
      <w:r>
        <w:rPr>
          <w:sz w:val="21"/>
        </w:rPr>
        <w:t>desires</w:t>
      </w:r>
      <w:r>
        <w:rPr>
          <w:spacing w:val="40"/>
          <w:sz w:val="21"/>
        </w:rPr>
        <w:t> </w:t>
      </w:r>
      <w:r>
        <w:rPr>
          <w:sz w:val="21"/>
        </w:rPr>
        <w:t>to</w:t>
      </w:r>
      <w:r>
        <w:rPr>
          <w:spacing w:val="40"/>
          <w:sz w:val="21"/>
        </w:rPr>
        <w:t> </w:t>
      </w:r>
      <w:r>
        <w:rPr>
          <w:sz w:val="21"/>
        </w:rPr>
        <w:t>amend</w:t>
      </w:r>
      <w:r>
        <w:rPr>
          <w:spacing w:val="40"/>
          <w:sz w:val="21"/>
        </w:rPr>
        <w:t> </w:t>
      </w:r>
      <w:r>
        <w:rPr>
          <w:sz w:val="21"/>
        </w:rPr>
        <w:t>the</w:t>
      </w:r>
      <w:r>
        <w:rPr>
          <w:spacing w:val="40"/>
          <w:sz w:val="21"/>
        </w:rPr>
        <w:t> </w:t>
      </w:r>
      <w:r>
        <w:rPr>
          <w:sz w:val="21"/>
        </w:rPr>
        <w:t>Plan</w:t>
      </w:r>
      <w:r>
        <w:rPr>
          <w:spacing w:val="40"/>
          <w:sz w:val="21"/>
        </w:rPr>
        <w:t> </w:t>
      </w:r>
      <w:r>
        <w:rPr>
          <w:sz w:val="21"/>
        </w:rPr>
        <w:t>in</w:t>
      </w:r>
      <w:r>
        <w:rPr>
          <w:spacing w:val="40"/>
          <w:sz w:val="21"/>
        </w:rPr>
        <w:t> </w:t>
      </w:r>
      <w:r>
        <w:rPr>
          <w:sz w:val="21"/>
        </w:rPr>
        <w:t>order</w:t>
      </w:r>
      <w:r>
        <w:rPr>
          <w:spacing w:val="40"/>
          <w:sz w:val="21"/>
        </w:rPr>
        <w:t> </w:t>
      </w:r>
      <w:r>
        <w:rPr>
          <w:sz w:val="21"/>
        </w:rPr>
        <w:t>to</w:t>
      </w:r>
      <w:r>
        <w:rPr>
          <w:spacing w:val="40"/>
          <w:sz w:val="21"/>
        </w:rPr>
        <w:t> </w:t>
      </w:r>
      <w:r>
        <w:rPr>
          <w:sz w:val="21"/>
        </w:rPr>
        <w:t>provide</w:t>
      </w:r>
      <w:r>
        <w:rPr>
          <w:spacing w:val="40"/>
          <w:sz w:val="21"/>
        </w:rPr>
        <w:t> </w:t>
      </w:r>
      <w:r>
        <w:rPr>
          <w:sz w:val="21"/>
        </w:rPr>
        <w:t>that</w:t>
      </w:r>
      <w:r>
        <w:rPr>
          <w:spacing w:val="40"/>
          <w:sz w:val="21"/>
        </w:rPr>
        <w:t> </w:t>
      </w:r>
      <w:r>
        <w:rPr>
          <w:sz w:val="21"/>
        </w:rPr>
        <w:t>changes</w:t>
      </w:r>
      <w:r>
        <w:rPr>
          <w:spacing w:val="40"/>
          <w:sz w:val="21"/>
        </w:rPr>
        <w:t> </w:t>
      </w:r>
      <w:r>
        <w:rPr>
          <w:sz w:val="21"/>
        </w:rPr>
        <w:t>made</w:t>
      </w:r>
      <w:r>
        <w:rPr>
          <w:spacing w:val="40"/>
          <w:sz w:val="21"/>
        </w:rPr>
        <w:t> </w:t>
      </w:r>
      <w:r>
        <w:rPr>
          <w:sz w:val="21"/>
        </w:rPr>
        <w:t>to</w:t>
      </w:r>
      <w:r>
        <w:rPr>
          <w:spacing w:val="40"/>
          <w:sz w:val="21"/>
        </w:rPr>
        <w:t> </w:t>
      </w:r>
      <w:r>
        <w:rPr>
          <w:sz w:val="21"/>
        </w:rPr>
        <w:t>the</w:t>
      </w:r>
      <w:r>
        <w:rPr>
          <w:spacing w:val="40"/>
          <w:sz w:val="21"/>
        </w:rPr>
        <w:t> </w:t>
      </w:r>
      <w:r>
        <w:rPr>
          <w:sz w:val="21"/>
        </w:rPr>
        <w:t>Measurement</w:t>
      </w:r>
      <w:r>
        <w:rPr>
          <w:spacing w:val="40"/>
          <w:sz w:val="21"/>
        </w:rPr>
        <w:t> </w:t>
      </w:r>
      <w:r>
        <w:rPr>
          <w:sz w:val="21"/>
        </w:rPr>
        <w:t>Funds</w:t>
      </w:r>
      <w:r>
        <w:rPr>
          <w:spacing w:val="40"/>
          <w:sz w:val="21"/>
        </w:rPr>
        <w:t> </w:t>
      </w:r>
      <w:r>
        <w:rPr>
          <w:sz w:val="21"/>
        </w:rPr>
        <w:t>(as defined</w:t>
      </w:r>
      <w:r>
        <w:rPr>
          <w:spacing w:val="40"/>
          <w:sz w:val="21"/>
        </w:rPr>
        <w:t> </w:t>
      </w:r>
      <w:r>
        <w:rPr>
          <w:sz w:val="21"/>
        </w:rPr>
        <w:t>in</w:t>
      </w:r>
      <w:r>
        <w:rPr>
          <w:spacing w:val="40"/>
          <w:sz w:val="21"/>
        </w:rPr>
        <w:t> </w:t>
      </w:r>
      <w:r>
        <w:rPr>
          <w:sz w:val="21"/>
        </w:rPr>
        <w:t>the</w:t>
      </w:r>
      <w:r>
        <w:rPr>
          <w:spacing w:val="40"/>
          <w:sz w:val="21"/>
        </w:rPr>
        <w:t> </w:t>
      </w:r>
      <w:r>
        <w:rPr>
          <w:sz w:val="21"/>
        </w:rPr>
        <w:t>Plan)</w:t>
      </w:r>
      <w:r>
        <w:rPr>
          <w:spacing w:val="40"/>
          <w:sz w:val="21"/>
        </w:rPr>
        <w:t> </w:t>
      </w:r>
      <w:r>
        <w:rPr>
          <w:sz w:val="21"/>
        </w:rPr>
        <w:t>pursuant</w:t>
      </w:r>
      <w:r>
        <w:rPr>
          <w:spacing w:val="40"/>
          <w:sz w:val="21"/>
        </w:rPr>
        <w:t> </w:t>
      </w:r>
      <w:r>
        <w:rPr>
          <w:sz w:val="21"/>
        </w:rPr>
        <w:t>to</w:t>
      </w:r>
      <w:r>
        <w:rPr>
          <w:spacing w:val="40"/>
          <w:sz w:val="21"/>
        </w:rPr>
        <w:t> </w:t>
      </w:r>
      <w:r>
        <w:rPr>
          <w:sz w:val="21"/>
        </w:rPr>
        <w:t>Section</w:t>
      </w:r>
      <w:r>
        <w:rPr>
          <w:spacing w:val="40"/>
          <w:sz w:val="21"/>
        </w:rPr>
        <w:t> </w:t>
      </w:r>
      <w:r>
        <w:rPr>
          <w:sz w:val="21"/>
        </w:rPr>
        <w:t>3.8(c)</w:t>
      </w:r>
      <w:r>
        <w:rPr>
          <w:spacing w:val="40"/>
          <w:sz w:val="21"/>
        </w:rPr>
        <w:t> </w:t>
      </w:r>
      <w:r>
        <w:rPr>
          <w:sz w:val="21"/>
        </w:rPr>
        <w:t>of</w:t>
      </w:r>
      <w:r>
        <w:rPr>
          <w:spacing w:val="40"/>
          <w:sz w:val="21"/>
        </w:rPr>
        <w:t> </w:t>
      </w:r>
      <w:r>
        <w:rPr>
          <w:sz w:val="21"/>
        </w:rPr>
        <w:t>the</w:t>
      </w:r>
      <w:r>
        <w:rPr>
          <w:spacing w:val="40"/>
          <w:sz w:val="21"/>
        </w:rPr>
        <w:t> </w:t>
      </w:r>
      <w:r>
        <w:rPr>
          <w:sz w:val="21"/>
        </w:rPr>
        <w:t>Plan</w:t>
      </w:r>
      <w:r>
        <w:rPr>
          <w:spacing w:val="40"/>
          <w:sz w:val="21"/>
        </w:rPr>
        <w:t> </w:t>
      </w:r>
      <w:r>
        <w:rPr>
          <w:sz w:val="21"/>
        </w:rPr>
        <w:t>shall</w:t>
      </w:r>
      <w:r>
        <w:rPr>
          <w:spacing w:val="40"/>
          <w:sz w:val="21"/>
        </w:rPr>
        <w:t> </w:t>
      </w:r>
      <w:r>
        <w:rPr>
          <w:sz w:val="21"/>
        </w:rPr>
        <w:t>take</w:t>
      </w:r>
      <w:r>
        <w:rPr>
          <w:spacing w:val="40"/>
          <w:sz w:val="21"/>
        </w:rPr>
        <w:t> </w:t>
      </w:r>
      <w:r>
        <w:rPr>
          <w:sz w:val="21"/>
        </w:rPr>
        <w:t>effect</w:t>
      </w:r>
      <w:r>
        <w:rPr>
          <w:spacing w:val="40"/>
          <w:sz w:val="21"/>
        </w:rPr>
        <w:t> </w:t>
      </w:r>
      <w:r>
        <w:rPr>
          <w:sz w:val="21"/>
        </w:rPr>
        <w:t>as</w:t>
      </w:r>
      <w:r>
        <w:rPr>
          <w:spacing w:val="40"/>
          <w:sz w:val="21"/>
        </w:rPr>
        <w:t> </w:t>
      </w:r>
      <w:r>
        <w:rPr>
          <w:sz w:val="21"/>
        </w:rPr>
        <w:t>soon</w:t>
      </w:r>
      <w:r>
        <w:rPr>
          <w:spacing w:val="40"/>
          <w:sz w:val="21"/>
        </w:rPr>
        <w:t> </w:t>
      </w:r>
      <w:r>
        <w:rPr>
          <w:sz w:val="21"/>
        </w:rPr>
        <w:t>as</w:t>
      </w:r>
      <w:r>
        <w:rPr>
          <w:spacing w:val="40"/>
          <w:sz w:val="21"/>
        </w:rPr>
        <w:t> </w:t>
      </w:r>
      <w:r>
        <w:rPr>
          <w:sz w:val="21"/>
        </w:rPr>
        <w:t>administratively</w:t>
      </w:r>
      <w:r>
        <w:rPr>
          <w:spacing w:val="40"/>
          <w:sz w:val="21"/>
        </w:rPr>
        <w:t> </w:t>
      </w:r>
      <w:r>
        <w:rPr>
          <w:sz w:val="21"/>
        </w:rPr>
        <w:t>practicable</w:t>
      </w:r>
      <w:r>
        <w:rPr>
          <w:spacing w:val="40"/>
          <w:sz w:val="21"/>
        </w:rPr>
        <w:t> </w:t>
      </w:r>
      <w:r>
        <w:rPr>
          <w:sz w:val="21"/>
        </w:rPr>
        <w:t>after</w:t>
      </w:r>
      <w:r>
        <w:rPr>
          <w:spacing w:val="40"/>
          <w:sz w:val="21"/>
        </w:rPr>
        <w:t> </w:t>
      </w:r>
      <w:r>
        <w:rPr>
          <w:sz w:val="21"/>
        </w:rPr>
        <w:t>the Committee provides written notice of such change to Plan participants.</w:t>
      </w:r>
    </w:p>
    <w:p>
      <w:pPr>
        <w:spacing w:before="198"/>
        <w:ind w:left="360" w:right="0" w:firstLine="0"/>
        <w:jc w:val="left"/>
        <w:rPr>
          <w:sz w:val="21"/>
        </w:rPr>
      </w:pPr>
      <w:r>
        <w:rPr>
          <w:sz w:val="21"/>
        </w:rPr>
        <w:t>NOW</w:t>
      </w:r>
      <w:r>
        <w:rPr>
          <w:spacing w:val="1"/>
          <w:sz w:val="21"/>
        </w:rPr>
        <w:t> </w:t>
      </w:r>
      <w:r>
        <w:rPr>
          <w:sz w:val="21"/>
        </w:rPr>
        <w:t>THEREFORE,</w:t>
      </w:r>
      <w:r>
        <w:rPr>
          <w:spacing w:val="12"/>
          <w:sz w:val="21"/>
        </w:rPr>
        <w:t> </w:t>
      </w:r>
      <w:r>
        <w:rPr>
          <w:sz w:val="21"/>
        </w:rPr>
        <w:t>effective</w:t>
      </w:r>
      <w:r>
        <w:rPr>
          <w:spacing w:val="11"/>
          <w:sz w:val="21"/>
        </w:rPr>
        <w:t> </w:t>
      </w:r>
      <w:r>
        <w:rPr>
          <w:sz w:val="21"/>
        </w:rPr>
        <w:t>November</w:t>
      </w:r>
      <w:r>
        <w:rPr>
          <w:spacing w:val="11"/>
          <w:sz w:val="21"/>
        </w:rPr>
        <w:t> </w:t>
      </w:r>
      <w:r>
        <w:rPr>
          <w:sz w:val="21"/>
        </w:rPr>
        <w:t>1,</w:t>
      </w:r>
      <w:r>
        <w:rPr>
          <w:spacing w:val="11"/>
          <w:sz w:val="21"/>
        </w:rPr>
        <w:t> </w:t>
      </w:r>
      <w:r>
        <w:rPr>
          <w:sz w:val="21"/>
        </w:rPr>
        <w:t>2022,</w:t>
      </w:r>
      <w:r>
        <w:rPr>
          <w:spacing w:val="12"/>
          <w:sz w:val="21"/>
        </w:rPr>
        <w:t> </w:t>
      </w:r>
      <w:r>
        <w:rPr>
          <w:sz w:val="21"/>
        </w:rPr>
        <w:t>the</w:t>
      </w:r>
      <w:r>
        <w:rPr>
          <w:spacing w:val="11"/>
          <w:sz w:val="21"/>
        </w:rPr>
        <w:t> </w:t>
      </w:r>
      <w:r>
        <w:rPr>
          <w:sz w:val="21"/>
        </w:rPr>
        <w:t>Plan</w:t>
      </w:r>
      <w:r>
        <w:rPr>
          <w:spacing w:val="11"/>
          <w:sz w:val="21"/>
        </w:rPr>
        <w:t> </w:t>
      </w:r>
      <w:r>
        <w:rPr>
          <w:sz w:val="21"/>
        </w:rPr>
        <w:t>is</w:t>
      </w:r>
      <w:r>
        <w:rPr>
          <w:spacing w:val="12"/>
          <w:sz w:val="21"/>
        </w:rPr>
        <w:t> </w:t>
      </w:r>
      <w:r>
        <w:rPr>
          <w:sz w:val="21"/>
        </w:rPr>
        <w:t>hereby</w:t>
      </w:r>
      <w:r>
        <w:rPr>
          <w:spacing w:val="11"/>
          <w:sz w:val="21"/>
        </w:rPr>
        <w:t> </w:t>
      </w:r>
      <w:r>
        <w:rPr>
          <w:sz w:val="21"/>
        </w:rPr>
        <w:t>amended</w:t>
      </w:r>
      <w:r>
        <w:rPr>
          <w:spacing w:val="11"/>
          <w:sz w:val="21"/>
        </w:rPr>
        <w:t> </w:t>
      </w:r>
      <w:r>
        <w:rPr>
          <w:sz w:val="21"/>
        </w:rPr>
        <w:t>as</w:t>
      </w:r>
      <w:r>
        <w:rPr>
          <w:spacing w:val="11"/>
          <w:sz w:val="21"/>
        </w:rPr>
        <w:t> </w:t>
      </w:r>
      <w:r>
        <w:rPr>
          <w:spacing w:val="-2"/>
          <w:sz w:val="21"/>
        </w:rPr>
        <w:t>follows:</w:t>
      </w:r>
    </w:p>
    <w:p>
      <w:pPr>
        <w:spacing w:before="190"/>
        <w:ind w:left="792" w:right="0" w:firstLine="0"/>
        <w:jc w:val="both"/>
        <w:rPr>
          <w:sz w:val="21"/>
        </w:rPr>
      </w:pPr>
      <w:r>
        <w:rPr>
          <w:sz w:val="21"/>
        </w:rPr>
        <w:t>The</w:t>
      </w:r>
      <w:r>
        <w:rPr>
          <w:spacing w:val="9"/>
          <w:sz w:val="21"/>
        </w:rPr>
        <w:t> </w:t>
      </w:r>
      <w:r>
        <w:rPr>
          <w:sz w:val="21"/>
        </w:rPr>
        <w:t>third</w:t>
      </w:r>
      <w:r>
        <w:rPr>
          <w:spacing w:val="9"/>
          <w:sz w:val="21"/>
        </w:rPr>
        <w:t> </w:t>
      </w:r>
      <w:r>
        <w:rPr>
          <w:sz w:val="21"/>
        </w:rPr>
        <w:t>sentence</w:t>
      </w:r>
      <w:r>
        <w:rPr>
          <w:spacing w:val="9"/>
          <w:sz w:val="21"/>
        </w:rPr>
        <w:t> </w:t>
      </w:r>
      <w:r>
        <w:rPr>
          <w:sz w:val="21"/>
        </w:rPr>
        <w:t>of</w:t>
      </w:r>
      <w:r>
        <w:rPr>
          <w:spacing w:val="9"/>
          <w:sz w:val="21"/>
        </w:rPr>
        <w:t> </w:t>
      </w:r>
      <w:r>
        <w:rPr>
          <w:sz w:val="21"/>
        </w:rPr>
        <w:t>Section</w:t>
      </w:r>
      <w:r>
        <w:rPr>
          <w:spacing w:val="9"/>
          <w:sz w:val="21"/>
        </w:rPr>
        <w:t> </w:t>
      </w:r>
      <w:r>
        <w:rPr>
          <w:sz w:val="21"/>
        </w:rPr>
        <w:t>3.8(c)</w:t>
      </w:r>
      <w:r>
        <w:rPr>
          <w:spacing w:val="9"/>
          <w:sz w:val="21"/>
        </w:rPr>
        <w:t> </w:t>
      </w:r>
      <w:r>
        <w:rPr>
          <w:sz w:val="21"/>
        </w:rPr>
        <w:t>of</w:t>
      </w:r>
      <w:r>
        <w:rPr>
          <w:spacing w:val="10"/>
          <w:sz w:val="21"/>
        </w:rPr>
        <w:t> </w:t>
      </w:r>
      <w:r>
        <w:rPr>
          <w:sz w:val="21"/>
        </w:rPr>
        <w:t>the</w:t>
      </w:r>
      <w:r>
        <w:rPr>
          <w:spacing w:val="9"/>
          <w:sz w:val="21"/>
        </w:rPr>
        <w:t> </w:t>
      </w:r>
      <w:r>
        <w:rPr>
          <w:sz w:val="21"/>
        </w:rPr>
        <w:t>Plan</w:t>
      </w:r>
      <w:r>
        <w:rPr>
          <w:spacing w:val="9"/>
          <w:sz w:val="21"/>
        </w:rPr>
        <w:t> </w:t>
      </w:r>
      <w:r>
        <w:rPr>
          <w:sz w:val="21"/>
        </w:rPr>
        <w:t>is</w:t>
      </w:r>
      <w:r>
        <w:rPr>
          <w:spacing w:val="9"/>
          <w:sz w:val="21"/>
        </w:rPr>
        <w:t> </w:t>
      </w:r>
      <w:r>
        <w:rPr>
          <w:sz w:val="21"/>
        </w:rPr>
        <w:t>hereby</w:t>
      </w:r>
      <w:r>
        <w:rPr>
          <w:spacing w:val="9"/>
          <w:sz w:val="21"/>
        </w:rPr>
        <w:t> </w:t>
      </w:r>
      <w:r>
        <w:rPr>
          <w:sz w:val="21"/>
        </w:rPr>
        <w:t>deleted</w:t>
      </w:r>
      <w:r>
        <w:rPr>
          <w:spacing w:val="9"/>
          <w:sz w:val="21"/>
        </w:rPr>
        <w:t> </w:t>
      </w:r>
      <w:r>
        <w:rPr>
          <w:sz w:val="21"/>
        </w:rPr>
        <w:t>and</w:t>
      </w:r>
      <w:r>
        <w:rPr>
          <w:spacing w:val="9"/>
          <w:sz w:val="21"/>
        </w:rPr>
        <w:t> </w:t>
      </w:r>
      <w:r>
        <w:rPr>
          <w:sz w:val="21"/>
        </w:rPr>
        <w:t>replaced</w:t>
      </w:r>
      <w:r>
        <w:rPr>
          <w:spacing w:val="9"/>
          <w:sz w:val="21"/>
        </w:rPr>
        <w:t> </w:t>
      </w:r>
      <w:r>
        <w:rPr>
          <w:sz w:val="21"/>
        </w:rPr>
        <w:t>with</w:t>
      </w:r>
      <w:r>
        <w:rPr>
          <w:spacing w:val="10"/>
          <w:sz w:val="21"/>
        </w:rPr>
        <w:t> </w:t>
      </w:r>
      <w:r>
        <w:rPr>
          <w:sz w:val="21"/>
        </w:rPr>
        <w:t>the</w:t>
      </w:r>
      <w:r>
        <w:rPr>
          <w:spacing w:val="9"/>
          <w:sz w:val="21"/>
        </w:rPr>
        <w:t> </w:t>
      </w:r>
      <w:r>
        <w:rPr>
          <w:spacing w:val="-2"/>
          <w:sz w:val="21"/>
        </w:rPr>
        <w:t>following:</w:t>
      </w:r>
    </w:p>
    <w:p>
      <w:pPr>
        <w:spacing w:line="213" w:lineRule="auto" w:before="213"/>
        <w:ind w:left="792" w:right="119" w:firstLine="0"/>
        <w:jc w:val="both"/>
        <w:rPr>
          <w:sz w:val="21"/>
        </w:rPr>
      </w:pPr>
      <w:r>
        <w:rPr>
          <w:sz w:val="21"/>
        </w:rPr>
        <w:t>"Each</w:t>
      </w:r>
      <w:r>
        <w:rPr>
          <w:spacing w:val="40"/>
          <w:sz w:val="21"/>
        </w:rPr>
        <w:t> </w:t>
      </w:r>
      <w:r>
        <w:rPr>
          <w:sz w:val="21"/>
        </w:rPr>
        <w:t>such</w:t>
      </w:r>
      <w:r>
        <w:rPr>
          <w:spacing w:val="40"/>
          <w:sz w:val="21"/>
        </w:rPr>
        <w:t> </w:t>
      </w:r>
      <w:r>
        <w:rPr>
          <w:sz w:val="21"/>
        </w:rPr>
        <w:t>action</w:t>
      </w:r>
      <w:r>
        <w:rPr>
          <w:spacing w:val="40"/>
          <w:sz w:val="21"/>
        </w:rPr>
        <w:t> </w:t>
      </w:r>
      <w:r>
        <w:rPr>
          <w:sz w:val="21"/>
        </w:rPr>
        <w:t>will</w:t>
      </w:r>
      <w:r>
        <w:rPr>
          <w:spacing w:val="40"/>
          <w:sz w:val="21"/>
        </w:rPr>
        <w:t> </w:t>
      </w:r>
      <w:r>
        <w:rPr>
          <w:sz w:val="21"/>
        </w:rPr>
        <w:t>take</w:t>
      </w:r>
      <w:r>
        <w:rPr>
          <w:spacing w:val="40"/>
          <w:sz w:val="21"/>
        </w:rPr>
        <w:t> </w:t>
      </w:r>
      <w:r>
        <w:rPr>
          <w:sz w:val="21"/>
        </w:rPr>
        <w:t>effect</w:t>
      </w:r>
      <w:r>
        <w:rPr>
          <w:spacing w:val="40"/>
          <w:sz w:val="21"/>
        </w:rPr>
        <w:t> </w:t>
      </w:r>
      <w:r>
        <w:rPr>
          <w:sz w:val="21"/>
        </w:rPr>
        <w:t>as</w:t>
      </w:r>
      <w:r>
        <w:rPr>
          <w:spacing w:val="40"/>
          <w:sz w:val="21"/>
        </w:rPr>
        <w:t> </w:t>
      </w:r>
      <w:r>
        <w:rPr>
          <w:sz w:val="21"/>
        </w:rPr>
        <w:t>soon</w:t>
      </w:r>
      <w:r>
        <w:rPr>
          <w:spacing w:val="40"/>
          <w:sz w:val="21"/>
        </w:rPr>
        <w:t> </w:t>
      </w:r>
      <w:r>
        <w:rPr>
          <w:sz w:val="21"/>
        </w:rPr>
        <w:t>as</w:t>
      </w:r>
      <w:r>
        <w:rPr>
          <w:spacing w:val="40"/>
          <w:sz w:val="21"/>
        </w:rPr>
        <w:t> </w:t>
      </w:r>
      <w:r>
        <w:rPr>
          <w:sz w:val="21"/>
        </w:rPr>
        <w:t>administratively</w:t>
      </w:r>
      <w:r>
        <w:rPr>
          <w:spacing w:val="40"/>
          <w:sz w:val="21"/>
        </w:rPr>
        <w:t> </w:t>
      </w:r>
      <w:r>
        <w:rPr>
          <w:sz w:val="21"/>
        </w:rPr>
        <w:t>practicable</w:t>
      </w:r>
      <w:r>
        <w:rPr>
          <w:spacing w:val="40"/>
          <w:sz w:val="21"/>
        </w:rPr>
        <w:t> </w:t>
      </w:r>
      <w:r>
        <w:rPr>
          <w:sz w:val="21"/>
        </w:rPr>
        <w:t>after</w:t>
      </w:r>
      <w:r>
        <w:rPr>
          <w:spacing w:val="40"/>
          <w:sz w:val="21"/>
        </w:rPr>
        <w:t> </w:t>
      </w:r>
      <w:r>
        <w:rPr>
          <w:sz w:val="21"/>
        </w:rPr>
        <w:t>the</w:t>
      </w:r>
      <w:r>
        <w:rPr>
          <w:spacing w:val="40"/>
          <w:sz w:val="21"/>
        </w:rPr>
        <w:t> </w:t>
      </w:r>
      <w:r>
        <w:rPr>
          <w:sz w:val="21"/>
        </w:rPr>
        <w:t>Committee</w:t>
      </w:r>
      <w:r>
        <w:rPr>
          <w:spacing w:val="40"/>
          <w:sz w:val="21"/>
        </w:rPr>
        <w:t> </w:t>
      </w:r>
      <w:r>
        <w:rPr>
          <w:sz w:val="21"/>
        </w:rPr>
        <w:t>gives</w:t>
      </w:r>
      <w:r>
        <w:rPr>
          <w:spacing w:val="40"/>
          <w:sz w:val="21"/>
        </w:rPr>
        <w:t> </w:t>
      </w:r>
      <w:r>
        <w:rPr>
          <w:sz w:val="21"/>
        </w:rPr>
        <w:t>Participants</w:t>
      </w:r>
      <w:r>
        <w:rPr>
          <w:spacing w:val="40"/>
          <w:sz w:val="21"/>
        </w:rPr>
        <w:t> </w:t>
      </w:r>
      <w:r>
        <w:rPr>
          <w:sz w:val="21"/>
        </w:rPr>
        <w:t>advance written</w:t>
      </w:r>
      <w:r>
        <w:rPr>
          <w:spacing w:val="40"/>
          <w:sz w:val="21"/>
        </w:rPr>
        <w:t> </w:t>
      </w:r>
      <w:r>
        <w:rPr>
          <w:sz w:val="21"/>
        </w:rPr>
        <w:t>notice</w:t>
      </w:r>
      <w:r>
        <w:rPr>
          <w:spacing w:val="40"/>
          <w:sz w:val="21"/>
        </w:rPr>
        <w:t> </w:t>
      </w:r>
      <w:r>
        <w:rPr>
          <w:sz w:val="21"/>
        </w:rPr>
        <w:t>of</w:t>
      </w:r>
      <w:r>
        <w:rPr>
          <w:spacing w:val="40"/>
          <w:sz w:val="21"/>
        </w:rPr>
        <w:t> </w:t>
      </w:r>
      <w:r>
        <w:rPr>
          <w:sz w:val="21"/>
        </w:rPr>
        <w:t>such</w:t>
      </w:r>
      <w:r>
        <w:rPr>
          <w:spacing w:val="40"/>
          <w:sz w:val="21"/>
        </w:rPr>
        <w:t> </w:t>
      </w:r>
      <w:r>
        <w:rPr>
          <w:sz w:val="21"/>
        </w:rPr>
        <w:t>change,</w:t>
      </w:r>
      <w:r>
        <w:rPr>
          <w:spacing w:val="40"/>
          <w:sz w:val="21"/>
        </w:rPr>
        <w:t> </w:t>
      </w:r>
      <w:r>
        <w:rPr>
          <w:sz w:val="21"/>
        </w:rPr>
        <w:t>unless</w:t>
      </w:r>
      <w:r>
        <w:rPr>
          <w:spacing w:val="40"/>
          <w:sz w:val="21"/>
        </w:rPr>
        <w:t> </w:t>
      </w:r>
      <w:r>
        <w:rPr>
          <w:sz w:val="21"/>
        </w:rPr>
        <w:t>such</w:t>
      </w:r>
      <w:r>
        <w:rPr>
          <w:spacing w:val="40"/>
          <w:sz w:val="21"/>
        </w:rPr>
        <w:t> </w:t>
      </w:r>
      <w:r>
        <w:rPr>
          <w:sz w:val="21"/>
        </w:rPr>
        <w:t>advance</w:t>
      </w:r>
      <w:r>
        <w:rPr>
          <w:spacing w:val="40"/>
          <w:sz w:val="21"/>
        </w:rPr>
        <w:t> </w:t>
      </w:r>
      <w:r>
        <w:rPr>
          <w:sz w:val="21"/>
        </w:rPr>
        <w:t>notice</w:t>
      </w:r>
      <w:r>
        <w:rPr>
          <w:spacing w:val="40"/>
          <w:sz w:val="21"/>
        </w:rPr>
        <w:t> </w:t>
      </w:r>
      <w:r>
        <w:rPr>
          <w:sz w:val="21"/>
        </w:rPr>
        <w:t>cannot</w:t>
      </w:r>
      <w:r>
        <w:rPr>
          <w:spacing w:val="40"/>
          <w:sz w:val="21"/>
        </w:rPr>
        <w:t> </w:t>
      </w:r>
      <w:r>
        <w:rPr>
          <w:sz w:val="21"/>
        </w:rPr>
        <w:t>be</w:t>
      </w:r>
      <w:r>
        <w:rPr>
          <w:spacing w:val="40"/>
          <w:sz w:val="21"/>
        </w:rPr>
        <w:t> </w:t>
      </w:r>
      <w:r>
        <w:rPr>
          <w:sz w:val="21"/>
        </w:rPr>
        <w:t>given</w:t>
      </w:r>
      <w:r>
        <w:rPr>
          <w:spacing w:val="40"/>
          <w:sz w:val="21"/>
        </w:rPr>
        <w:t> </w:t>
      </w:r>
      <w:r>
        <w:rPr>
          <w:sz w:val="21"/>
        </w:rPr>
        <w:t>due</w:t>
      </w:r>
      <w:r>
        <w:rPr>
          <w:spacing w:val="40"/>
          <w:sz w:val="21"/>
        </w:rPr>
        <w:t> </w:t>
      </w:r>
      <w:r>
        <w:rPr>
          <w:sz w:val="21"/>
        </w:rPr>
        <w:t>to</w:t>
      </w:r>
      <w:r>
        <w:rPr>
          <w:spacing w:val="40"/>
          <w:sz w:val="21"/>
        </w:rPr>
        <w:t> </w:t>
      </w:r>
      <w:r>
        <w:rPr>
          <w:sz w:val="21"/>
        </w:rPr>
        <w:t>reasons</w:t>
      </w:r>
      <w:r>
        <w:rPr>
          <w:spacing w:val="40"/>
          <w:sz w:val="21"/>
        </w:rPr>
        <w:t> </w:t>
      </w:r>
      <w:r>
        <w:rPr>
          <w:sz w:val="21"/>
        </w:rPr>
        <w:t>beyond</w:t>
      </w:r>
      <w:r>
        <w:rPr>
          <w:spacing w:val="40"/>
          <w:sz w:val="21"/>
        </w:rPr>
        <w:t> </w:t>
      </w:r>
      <w:r>
        <w:rPr>
          <w:sz w:val="21"/>
        </w:rPr>
        <w:t>the</w:t>
      </w:r>
      <w:r>
        <w:rPr>
          <w:spacing w:val="40"/>
          <w:sz w:val="21"/>
        </w:rPr>
        <w:t> </w:t>
      </w:r>
      <w:r>
        <w:rPr>
          <w:sz w:val="21"/>
        </w:rPr>
        <w:t>control</w:t>
      </w:r>
      <w:r>
        <w:rPr>
          <w:spacing w:val="40"/>
          <w:sz w:val="21"/>
        </w:rPr>
        <w:t> </w:t>
      </w:r>
      <w:r>
        <w:rPr>
          <w:sz w:val="21"/>
        </w:rPr>
        <w:t>of</w:t>
      </w:r>
      <w:r>
        <w:rPr>
          <w:spacing w:val="40"/>
          <w:sz w:val="21"/>
        </w:rPr>
        <w:t> </w:t>
      </w:r>
      <w:r>
        <w:rPr>
          <w:sz w:val="21"/>
        </w:rPr>
        <w:t>the Committee,</w:t>
      </w:r>
      <w:r>
        <w:rPr>
          <w:spacing w:val="26"/>
          <w:sz w:val="21"/>
        </w:rPr>
        <w:t> </w:t>
      </w:r>
      <w:r>
        <w:rPr>
          <w:sz w:val="21"/>
        </w:rPr>
        <w:t>in</w:t>
      </w:r>
      <w:r>
        <w:rPr>
          <w:spacing w:val="26"/>
          <w:sz w:val="21"/>
        </w:rPr>
        <w:t> </w:t>
      </w:r>
      <w:r>
        <w:rPr>
          <w:sz w:val="21"/>
        </w:rPr>
        <w:t>which</w:t>
      </w:r>
      <w:r>
        <w:rPr>
          <w:spacing w:val="26"/>
          <w:sz w:val="21"/>
        </w:rPr>
        <w:t> </w:t>
      </w:r>
      <w:r>
        <w:rPr>
          <w:sz w:val="21"/>
        </w:rPr>
        <w:t>case</w:t>
      </w:r>
      <w:r>
        <w:rPr>
          <w:spacing w:val="26"/>
          <w:sz w:val="21"/>
        </w:rPr>
        <w:t> </w:t>
      </w:r>
      <w:r>
        <w:rPr>
          <w:sz w:val="21"/>
        </w:rPr>
        <w:t>notice</w:t>
      </w:r>
      <w:r>
        <w:rPr>
          <w:spacing w:val="26"/>
          <w:sz w:val="21"/>
        </w:rPr>
        <w:t> </w:t>
      </w:r>
      <w:r>
        <w:rPr>
          <w:sz w:val="21"/>
        </w:rPr>
        <w:t>of</w:t>
      </w:r>
      <w:r>
        <w:rPr>
          <w:spacing w:val="26"/>
          <w:sz w:val="21"/>
        </w:rPr>
        <w:t> </w:t>
      </w:r>
      <w:r>
        <w:rPr>
          <w:sz w:val="21"/>
        </w:rPr>
        <w:t>the</w:t>
      </w:r>
      <w:r>
        <w:rPr>
          <w:spacing w:val="26"/>
          <w:sz w:val="21"/>
        </w:rPr>
        <w:t> </w:t>
      </w:r>
      <w:r>
        <w:rPr>
          <w:sz w:val="21"/>
        </w:rPr>
        <w:t>change</w:t>
      </w:r>
      <w:r>
        <w:rPr>
          <w:spacing w:val="26"/>
          <w:sz w:val="21"/>
        </w:rPr>
        <w:t> </w:t>
      </w:r>
      <w:r>
        <w:rPr>
          <w:sz w:val="21"/>
        </w:rPr>
        <w:t>shall</w:t>
      </w:r>
      <w:r>
        <w:rPr>
          <w:spacing w:val="26"/>
          <w:sz w:val="21"/>
        </w:rPr>
        <w:t> </w:t>
      </w:r>
      <w:r>
        <w:rPr>
          <w:sz w:val="21"/>
        </w:rPr>
        <w:t>be</w:t>
      </w:r>
      <w:r>
        <w:rPr>
          <w:spacing w:val="26"/>
          <w:sz w:val="21"/>
        </w:rPr>
        <w:t> </w:t>
      </w:r>
      <w:r>
        <w:rPr>
          <w:sz w:val="21"/>
        </w:rPr>
        <w:t>given</w:t>
      </w:r>
      <w:r>
        <w:rPr>
          <w:spacing w:val="26"/>
          <w:sz w:val="21"/>
        </w:rPr>
        <w:t> </w:t>
      </w:r>
      <w:r>
        <w:rPr>
          <w:sz w:val="21"/>
        </w:rPr>
        <w:t>as</w:t>
      </w:r>
      <w:r>
        <w:rPr>
          <w:spacing w:val="26"/>
          <w:sz w:val="21"/>
        </w:rPr>
        <w:t> </w:t>
      </w:r>
      <w:r>
        <w:rPr>
          <w:sz w:val="21"/>
        </w:rPr>
        <w:t>soon</w:t>
      </w:r>
      <w:r>
        <w:rPr>
          <w:spacing w:val="26"/>
          <w:sz w:val="21"/>
        </w:rPr>
        <w:t> </w:t>
      </w:r>
      <w:r>
        <w:rPr>
          <w:sz w:val="21"/>
        </w:rPr>
        <w:t>as</w:t>
      </w:r>
      <w:r>
        <w:rPr>
          <w:spacing w:val="26"/>
          <w:sz w:val="21"/>
        </w:rPr>
        <w:t> </w:t>
      </w:r>
      <w:r>
        <w:rPr>
          <w:sz w:val="21"/>
        </w:rPr>
        <w:t>administratively</w:t>
      </w:r>
      <w:r>
        <w:rPr>
          <w:spacing w:val="26"/>
          <w:sz w:val="21"/>
        </w:rPr>
        <w:t> </w:t>
      </w:r>
      <w:r>
        <w:rPr>
          <w:sz w:val="21"/>
        </w:rPr>
        <w:t>practicable."</w:t>
      </w:r>
    </w:p>
    <w:p>
      <w:pPr>
        <w:pStyle w:val="BodyText"/>
        <w:spacing w:before="172"/>
        <w:rPr>
          <w:sz w:val="21"/>
        </w:rPr>
      </w:pPr>
    </w:p>
    <w:p>
      <w:pPr>
        <w:spacing w:before="0"/>
        <w:ind w:left="792" w:right="0" w:firstLine="0"/>
        <w:jc w:val="both"/>
        <w:rPr>
          <w:sz w:val="21"/>
        </w:rPr>
      </w:pPr>
      <w:r>
        <w:rPr>
          <w:sz w:val="21"/>
        </w:rPr>
        <w:t>IN</w:t>
      </w:r>
      <w:r>
        <w:rPr>
          <w:spacing w:val="4"/>
          <w:sz w:val="21"/>
        </w:rPr>
        <w:t> </w:t>
      </w:r>
      <w:r>
        <w:rPr>
          <w:sz w:val="21"/>
        </w:rPr>
        <w:t>WITNESS</w:t>
      </w:r>
      <w:r>
        <w:rPr>
          <w:spacing w:val="4"/>
          <w:sz w:val="21"/>
        </w:rPr>
        <w:t> </w:t>
      </w:r>
      <w:r>
        <w:rPr>
          <w:sz w:val="21"/>
        </w:rPr>
        <w:t>WHEREOF,</w:t>
      </w:r>
      <w:r>
        <w:rPr>
          <w:spacing w:val="9"/>
          <w:sz w:val="21"/>
        </w:rPr>
        <w:t> </w:t>
      </w:r>
      <w:r>
        <w:rPr>
          <w:sz w:val="21"/>
        </w:rPr>
        <w:t>this</w:t>
      </w:r>
      <w:r>
        <w:rPr>
          <w:spacing w:val="-4"/>
          <w:sz w:val="21"/>
        </w:rPr>
        <w:t> </w:t>
      </w:r>
      <w:r>
        <w:rPr>
          <w:sz w:val="21"/>
        </w:rPr>
        <w:t>Amendment</w:t>
      </w:r>
      <w:r>
        <w:rPr>
          <w:spacing w:val="8"/>
          <w:sz w:val="21"/>
        </w:rPr>
        <w:t> </w:t>
      </w:r>
      <w:r>
        <w:rPr>
          <w:sz w:val="21"/>
        </w:rPr>
        <w:t>is</w:t>
      </w:r>
      <w:r>
        <w:rPr>
          <w:spacing w:val="9"/>
          <w:sz w:val="21"/>
        </w:rPr>
        <w:t> </w:t>
      </w:r>
      <w:r>
        <w:rPr>
          <w:sz w:val="21"/>
        </w:rPr>
        <w:t>executed</w:t>
      </w:r>
      <w:r>
        <w:rPr>
          <w:spacing w:val="9"/>
          <w:sz w:val="21"/>
        </w:rPr>
        <w:t> </w:t>
      </w:r>
      <w:r>
        <w:rPr>
          <w:sz w:val="21"/>
        </w:rPr>
        <w:t>by</w:t>
      </w:r>
      <w:r>
        <w:rPr>
          <w:spacing w:val="9"/>
          <w:sz w:val="21"/>
        </w:rPr>
        <w:t> </w:t>
      </w:r>
      <w:r>
        <w:rPr>
          <w:sz w:val="21"/>
        </w:rPr>
        <w:t>a</w:t>
      </w:r>
      <w:r>
        <w:rPr>
          <w:spacing w:val="9"/>
          <w:sz w:val="21"/>
        </w:rPr>
        <w:t> </w:t>
      </w:r>
      <w:r>
        <w:rPr>
          <w:sz w:val="21"/>
        </w:rPr>
        <w:t>duly</w:t>
      </w:r>
      <w:r>
        <w:rPr>
          <w:spacing w:val="9"/>
          <w:sz w:val="21"/>
        </w:rPr>
        <w:t> </w:t>
      </w:r>
      <w:r>
        <w:rPr>
          <w:sz w:val="21"/>
        </w:rPr>
        <w:t>authorized</w:t>
      </w:r>
      <w:r>
        <w:rPr>
          <w:spacing w:val="9"/>
          <w:sz w:val="21"/>
        </w:rPr>
        <w:t> </w:t>
      </w:r>
      <w:r>
        <w:rPr>
          <w:sz w:val="21"/>
        </w:rPr>
        <w:t>officer</w:t>
      </w:r>
      <w:r>
        <w:rPr>
          <w:spacing w:val="9"/>
          <w:sz w:val="21"/>
        </w:rPr>
        <w:t> </w:t>
      </w:r>
      <w:r>
        <w:rPr>
          <w:sz w:val="21"/>
        </w:rPr>
        <w:t>as</w:t>
      </w:r>
      <w:r>
        <w:rPr>
          <w:spacing w:val="9"/>
          <w:sz w:val="21"/>
        </w:rPr>
        <w:t> </w:t>
      </w:r>
      <w:r>
        <w:rPr>
          <w:sz w:val="21"/>
        </w:rPr>
        <w:t>of</w:t>
      </w:r>
      <w:r>
        <w:rPr>
          <w:spacing w:val="9"/>
          <w:sz w:val="21"/>
        </w:rPr>
        <w:t> </w:t>
      </w:r>
      <w:r>
        <w:rPr>
          <w:sz w:val="21"/>
        </w:rPr>
        <w:t>the</w:t>
      </w:r>
      <w:r>
        <w:rPr>
          <w:spacing w:val="9"/>
          <w:sz w:val="21"/>
        </w:rPr>
        <w:t> </w:t>
      </w:r>
      <w:r>
        <w:rPr>
          <w:sz w:val="21"/>
        </w:rPr>
        <w:t>date</w:t>
      </w:r>
      <w:r>
        <w:rPr>
          <w:spacing w:val="9"/>
          <w:sz w:val="21"/>
        </w:rPr>
        <w:t> </w:t>
      </w:r>
      <w:r>
        <w:rPr>
          <w:sz w:val="21"/>
        </w:rPr>
        <w:t>set</w:t>
      </w:r>
      <w:r>
        <w:rPr>
          <w:spacing w:val="9"/>
          <w:sz w:val="21"/>
        </w:rPr>
        <w:t> </w:t>
      </w:r>
      <w:r>
        <w:rPr>
          <w:sz w:val="21"/>
        </w:rPr>
        <w:t>forth</w:t>
      </w:r>
      <w:r>
        <w:rPr>
          <w:spacing w:val="9"/>
          <w:sz w:val="21"/>
        </w:rPr>
        <w:t> </w:t>
      </w:r>
      <w:r>
        <w:rPr>
          <w:spacing w:val="-2"/>
          <w:sz w:val="21"/>
        </w:rPr>
        <w:t>below.</w:t>
      </w:r>
    </w:p>
    <w:p>
      <w:pPr>
        <w:pStyle w:val="BodyText"/>
        <w:spacing w:before="165"/>
        <w:rPr>
          <w:sz w:val="21"/>
        </w:rPr>
      </w:pPr>
    </w:p>
    <w:p>
      <w:pPr>
        <w:spacing w:before="0"/>
        <w:ind w:left="144" w:right="0" w:firstLine="0"/>
        <w:jc w:val="left"/>
        <w:rPr>
          <w:sz w:val="21"/>
        </w:rPr>
      </w:pPr>
      <w:r>
        <w:rPr>
          <w:sz w:val="21"/>
        </w:rPr>
        <w:t>MGM</w:t>
      </w:r>
      <w:r>
        <w:rPr>
          <w:spacing w:val="8"/>
          <w:sz w:val="21"/>
        </w:rPr>
        <w:t> </w:t>
      </w:r>
      <w:r>
        <w:rPr>
          <w:sz w:val="21"/>
        </w:rPr>
        <w:t>RESORTS</w:t>
      </w:r>
      <w:r>
        <w:rPr>
          <w:spacing w:val="9"/>
          <w:sz w:val="21"/>
        </w:rPr>
        <w:t> </w:t>
      </w:r>
      <w:r>
        <w:rPr>
          <w:spacing w:val="-2"/>
          <w:sz w:val="21"/>
        </w:rPr>
        <w:t>INTERNATIONAL</w:t>
      </w:r>
    </w:p>
    <w:p>
      <w:pPr>
        <w:pStyle w:val="BodyText"/>
        <w:spacing w:before="18"/>
        <w:rPr>
          <w:sz w:val="20"/>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3848"/>
        <w:gridCol w:w="2620"/>
        <w:gridCol w:w="4010"/>
      </w:tblGrid>
      <w:tr>
        <w:trPr>
          <w:trHeight w:val="259" w:hRule="atLeast"/>
        </w:trPr>
        <w:tc>
          <w:tcPr>
            <w:tcW w:w="689" w:type="dxa"/>
          </w:tcPr>
          <w:p>
            <w:pPr>
              <w:pStyle w:val="TableParagraph"/>
              <w:spacing w:line="229" w:lineRule="exact" w:before="10"/>
              <w:ind w:left="50"/>
              <w:rPr>
                <w:sz w:val="21"/>
              </w:rPr>
            </w:pPr>
            <w:r>
              <w:rPr>
                <w:spacing w:val="-5"/>
                <w:sz w:val="21"/>
              </w:rPr>
              <w:t>By:</w:t>
            </w:r>
          </w:p>
        </w:tc>
        <w:tc>
          <w:tcPr>
            <w:tcW w:w="3848" w:type="dxa"/>
            <w:tcBorders>
              <w:bottom w:val="single" w:sz="6" w:space="0" w:color="000000"/>
            </w:tcBorders>
          </w:tcPr>
          <w:p>
            <w:pPr>
              <w:pStyle w:val="TableParagraph"/>
              <w:spacing w:line="238" w:lineRule="exact" w:before="0"/>
              <w:ind w:left="23"/>
              <w:rPr>
                <w:sz w:val="21"/>
              </w:rPr>
            </w:pPr>
            <w:r>
              <w:rPr>
                <w:sz w:val="21"/>
              </w:rPr>
              <w:t>/s/</w:t>
            </w:r>
            <w:r>
              <w:rPr>
                <w:spacing w:val="8"/>
                <w:sz w:val="21"/>
              </w:rPr>
              <w:t> </w:t>
            </w:r>
            <w:r>
              <w:rPr>
                <w:sz w:val="21"/>
              </w:rPr>
              <w:t>Shawn</w:t>
            </w:r>
            <w:r>
              <w:rPr>
                <w:spacing w:val="9"/>
                <w:sz w:val="21"/>
              </w:rPr>
              <w:t> </w:t>
            </w:r>
            <w:r>
              <w:rPr>
                <w:spacing w:val="-4"/>
                <w:sz w:val="21"/>
              </w:rPr>
              <w:t>Sani</w:t>
            </w:r>
          </w:p>
        </w:tc>
        <w:tc>
          <w:tcPr>
            <w:tcW w:w="2620" w:type="dxa"/>
          </w:tcPr>
          <w:p>
            <w:pPr>
              <w:pStyle w:val="TableParagraph"/>
              <w:spacing w:line="229" w:lineRule="exact" w:before="10"/>
              <w:ind w:right="330"/>
              <w:jc w:val="right"/>
              <w:rPr>
                <w:sz w:val="21"/>
              </w:rPr>
            </w:pPr>
            <w:r>
              <w:rPr>
                <w:spacing w:val="-2"/>
                <w:sz w:val="21"/>
              </w:rPr>
              <w:t>Date:</w:t>
            </w:r>
          </w:p>
        </w:tc>
        <w:tc>
          <w:tcPr>
            <w:tcW w:w="4010" w:type="dxa"/>
            <w:tcBorders>
              <w:bottom w:val="single" w:sz="6" w:space="0" w:color="000000"/>
            </w:tcBorders>
          </w:tcPr>
          <w:p>
            <w:pPr>
              <w:pStyle w:val="TableParagraph"/>
              <w:spacing w:line="238" w:lineRule="exact" w:before="0"/>
              <w:ind w:left="11"/>
              <w:rPr>
                <w:sz w:val="21"/>
              </w:rPr>
            </w:pPr>
            <w:r>
              <w:rPr>
                <w:spacing w:val="-2"/>
                <w:sz w:val="21"/>
              </w:rPr>
              <w:t>11/08/2022</w:t>
            </w:r>
          </w:p>
        </w:tc>
      </w:tr>
      <w:tr>
        <w:trPr>
          <w:trHeight w:val="267" w:hRule="atLeast"/>
        </w:trPr>
        <w:tc>
          <w:tcPr>
            <w:tcW w:w="689" w:type="dxa"/>
          </w:tcPr>
          <w:p>
            <w:pPr>
              <w:pStyle w:val="TableParagraph"/>
              <w:spacing w:line="229" w:lineRule="exact" w:before="19"/>
              <w:ind w:left="50"/>
              <w:rPr>
                <w:sz w:val="21"/>
              </w:rPr>
            </w:pPr>
            <w:r>
              <w:rPr>
                <w:spacing w:val="-4"/>
                <w:sz w:val="21"/>
              </w:rPr>
              <w:t>Its:</w:t>
            </w:r>
          </w:p>
        </w:tc>
        <w:tc>
          <w:tcPr>
            <w:tcW w:w="3848" w:type="dxa"/>
            <w:tcBorders>
              <w:top w:val="single" w:sz="6" w:space="0" w:color="000000"/>
              <w:bottom w:val="single" w:sz="12" w:space="0" w:color="000000"/>
            </w:tcBorders>
          </w:tcPr>
          <w:p>
            <w:pPr>
              <w:pStyle w:val="TableParagraph"/>
              <w:spacing w:before="5"/>
              <w:ind w:left="23"/>
              <w:rPr>
                <w:sz w:val="21"/>
              </w:rPr>
            </w:pPr>
            <w:r>
              <w:rPr>
                <w:sz w:val="21"/>
              </w:rPr>
              <w:t>Chief</w:t>
            </w:r>
            <w:r>
              <w:rPr>
                <w:spacing w:val="-4"/>
                <w:sz w:val="21"/>
              </w:rPr>
              <w:t> </w:t>
            </w:r>
            <w:r>
              <w:rPr>
                <w:sz w:val="21"/>
              </w:rPr>
              <w:t>Tax</w:t>
            </w:r>
            <w:r>
              <w:rPr>
                <w:spacing w:val="1"/>
                <w:sz w:val="21"/>
              </w:rPr>
              <w:t> </w:t>
            </w:r>
            <w:r>
              <w:rPr>
                <w:spacing w:val="-2"/>
                <w:sz w:val="21"/>
              </w:rPr>
              <w:t>Officer</w:t>
            </w:r>
          </w:p>
        </w:tc>
        <w:tc>
          <w:tcPr>
            <w:tcW w:w="2620" w:type="dxa"/>
          </w:tcPr>
          <w:p>
            <w:pPr>
              <w:pStyle w:val="TableParagraph"/>
              <w:spacing w:before="0"/>
              <w:rPr>
                <w:sz w:val="18"/>
              </w:rPr>
            </w:pPr>
          </w:p>
        </w:tc>
        <w:tc>
          <w:tcPr>
            <w:tcW w:w="4010" w:type="dxa"/>
            <w:tcBorders>
              <w:top w:val="single" w:sz="6" w:space="0" w:color="000000"/>
            </w:tcBorders>
          </w:tcPr>
          <w:p>
            <w:pPr>
              <w:pStyle w:val="TableParagraph"/>
              <w:spacing w:before="0"/>
              <w:rPr>
                <w:sz w:val="18"/>
              </w:rPr>
            </w:pPr>
          </w:p>
        </w:tc>
      </w:tr>
    </w:tbl>
    <w:p>
      <w:pPr>
        <w:spacing w:after="0"/>
        <w:rPr>
          <w:sz w:val="18"/>
        </w:rPr>
        <w:sectPr>
          <w:pgSz w:w="12240" w:h="15840"/>
          <w:pgMar w:top="260" w:bottom="280" w:left="220" w:right="240"/>
        </w:sectPr>
      </w:pPr>
    </w:p>
    <w:p>
      <w:pPr>
        <w:spacing w:before="66"/>
        <w:ind w:left="0" w:right="118" w:firstLine="0"/>
        <w:jc w:val="right"/>
        <w:rPr>
          <w:b/>
          <w:sz w:val="21"/>
        </w:rPr>
      </w:pPr>
      <w:bookmarkStart w:name="_bookmark33" w:id="34"/>
      <w:bookmarkEnd w:id="34"/>
      <w:r>
        <w:rPr/>
      </w:r>
      <w:r>
        <w:rPr>
          <w:b/>
          <w:sz w:val="21"/>
        </w:rPr>
        <w:t>Exhibit</w:t>
      </w:r>
      <w:r>
        <w:rPr>
          <w:b/>
          <w:spacing w:val="14"/>
          <w:sz w:val="21"/>
        </w:rPr>
        <w:t> </w:t>
      </w:r>
      <w:r>
        <w:rPr>
          <w:b/>
          <w:spacing w:val="-2"/>
          <w:sz w:val="21"/>
        </w:rPr>
        <w:t>10.4(10)</w:t>
      </w:r>
    </w:p>
    <w:p>
      <w:pPr>
        <w:pStyle w:val="BodyText"/>
        <w:rPr>
          <w:b/>
          <w:sz w:val="21"/>
        </w:rPr>
      </w:pPr>
    </w:p>
    <w:p>
      <w:pPr>
        <w:pStyle w:val="BodyText"/>
        <w:rPr>
          <w:b/>
          <w:sz w:val="21"/>
        </w:rPr>
      </w:pPr>
    </w:p>
    <w:p>
      <w:pPr>
        <w:pStyle w:val="BodyText"/>
        <w:rPr>
          <w:b/>
          <w:sz w:val="21"/>
        </w:rPr>
      </w:pPr>
    </w:p>
    <w:p>
      <w:pPr>
        <w:pStyle w:val="BodyText"/>
        <w:rPr>
          <w:b/>
          <w:sz w:val="21"/>
        </w:rPr>
      </w:pPr>
    </w:p>
    <w:p>
      <w:pPr>
        <w:pStyle w:val="BodyText"/>
        <w:spacing w:before="63"/>
        <w:rPr>
          <w:b/>
          <w:sz w:val="21"/>
        </w:rPr>
      </w:pPr>
    </w:p>
    <w:p>
      <w:pPr>
        <w:spacing w:before="0"/>
        <w:ind w:left="24" w:right="0" w:firstLine="0"/>
        <w:jc w:val="center"/>
        <w:rPr>
          <w:b/>
          <w:sz w:val="21"/>
        </w:rPr>
      </w:pPr>
      <w:r>
        <w:rPr>
          <w:b/>
          <w:sz w:val="21"/>
        </w:rPr>
        <w:t>EXHIBIT</w:t>
      </w:r>
      <w:r>
        <w:rPr>
          <w:b/>
          <w:spacing w:val="14"/>
          <w:sz w:val="21"/>
        </w:rPr>
        <w:t> </w:t>
      </w:r>
      <w:r>
        <w:rPr>
          <w:b/>
          <w:spacing w:val="-10"/>
          <w:sz w:val="21"/>
        </w:rPr>
        <w:t>B</w:t>
      </w:r>
    </w:p>
    <w:p>
      <w:pPr>
        <w:spacing w:line="213" w:lineRule="auto" w:before="212"/>
        <w:ind w:left="4251" w:right="4290" w:firstLine="0"/>
        <w:jc w:val="center"/>
        <w:rPr>
          <w:b/>
          <w:sz w:val="21"/>
        </w:rPr>
      </w:pPr>
      <w:r>
        <w:rPr>
          <w:b/>
          <w:sz w:val="21"/>
        </w:rPr>
        <w:t>AMENDMENT NUMBER </w:t>
      </w:r>
      <w:r>
        <w:rPr>
          <w:b/>
          <w:sz w:val="21"/>
        </w:rPr>
        <w:t>FOUR TO THE MGM RESORTS</w:t>
      </w:r>
    </w:p>
    <w:p>
      <w:pPr>
        <w:spacing w:line="222" w:lineRule="exact" w:before="0"/>
        <w:ind w:left="0" w:right="38" w:firstLine="0"/>
        <w:jc w:val="center"/>
        <w:rPr>
          <w:b/>
          <w:sz w:val="21"/>
        </w:rPr>
      </w:pPr>
      <w:r>
        <w:rPr>
          <w:b/>
          <w:sz w:val="21"/>
        </w:rPr>
        <w:t>SUPPLEMENTAL</w:t>
      </w:r>
      <w:r>
        <w:rPr>
          <w:b/>
          <w:spacing w:val="6"/>
          <w:sz w:val="21"/>
        </w:rPr>
        <w:t> </w:t>
      </w:r>
      <w:r>
        <w:rPr>
          <w:b/>
          <w:sz w:val="21"/>
        </w:rPr>
        <w:t>EXECUTIVE</w:t>
      </w:r>
      <w:r>
        <w:rPr>
          <w:b/>
          <w:spacing w:val="23"/>
          <w:sz w:val="21"/>
        </w:rPr>
        <w:t> </w:t>
      </w:r>
      <w:r>
        <w:rPr>
          <w:b/>
          <w:sz w:val="21"/>
        </w:rPr>
        <w:t>RETIREMENT</w:t>
      </w:r>
      <w:r>
        <w:rPr>
          <w:b/>
          <w:spacing w:val="18"/>
          <w:sz w:val="21"/>
        </w:rPr>
        <w:t> </w:t>
      </w:r>
      <w:r>
        <w:rPr>
          <w:b/>
          <w:sz w:val="21"/>
        </w:rPr>
        <w:t>PLAN</w:t>
      </w:r>
      <w:r>
        <w:rPr>
          <w:b/>
          <w:spacing w:val="23"/>
          <w:sz w:val="21"/>
        </w:rPr>
        <w:t> </w:t>
      </w:r>
      <w:r>
        <w:rPr>
          <w:b/>
          <w:spacing w:val="-5"/>
          <w:sz w:val="21"/>
        </w:rPr>
        <w:t>II</w:t>
      </w:r>
    </w:p>
    <w:p>
      <w:pPr>
        <w:spacing w:line="213" w:lineRule="auto" w:before="212"/>
        <w:ind w:left="144" w:right="118" w:firstLine="375"/>
        <w:jc w:val="both"/>
        <w:rPr>
          <w:sz w:val="21"/>
        </w:rPr>
      </w:pPr>
      <w:r>
        <w:rPr>
          <w:sz w:val="21"/>
        </w:rPr>
        <w:t>WHEREAS, Section 11.2 of the MGM Resorts Supplemental Executive Retirement Plan II (the "</w:t>
      </w:r>
      <w:r>
        <w:rPr>
          <w:b/>
          <w:sz w:val="21"/>
        </w:rPr>
        <w:t>Plan</w:t>
      </w:r>
      <w:r>
        <w:rPr>
          <w:sz w:val="21"/>
        </w:rPr>
        <w:t>") provides that the Committee</w:t>
      </w:r>
      <w:r>
        <w:rPr>
          <w:spacing w:val="40"/>
          <w:sz w:val="21"/>
        </w:rPr>
        <w:t> </w:t>
      </w:r>
      <w:r>
        <w:rPr>
          <w:sz w:val="21"/>
        </w:rPr>
        <w:t>(as</w:t>
      </w:r>
      <w:r>
        <w:rPr>
          <w:spacing w:val="40"/>
          <w:sz w:val="21"/>
        </w:rPr>
        <w:t> </w:t>
      </w:r>
      <w:r>
        <w:rPr>
          <w:sz w:val="21"/>
        </w:rPr>
        <w:t>defined</w:t>
      </w:r>
      <w:r>
        <w:rPr>
          <w:spacing w:val="40"/>
          <w:sz w:val="21"/>
        </w:rPr>
        <w:t> </w:t>
      </w:r>
      <w:r>
        <w:rPr>
          <w:sz w:val="21"/>
        </w:rPr>
        <w:t>in</w:t>
      </w:r>
      <w:r>
        <w:rPr>
          <w:spacing w:val="40"/>
          <w:sz w:val="21"/>
        </w:rPr>
        <w:t> </w:t>
      </w:r>
      <w:r>
        <w:rPr>
          <w:sz w:val="21"/>
        </w:rPr>
        <w:t>the</w:t>
      </w:r>
      <w:r>
        <w:rPr>
          <w:spacing w:val="40"/>
          <w:sz w:val="21"/>
        </w:rPr>
        <w:t> </w:t>
      </w:r>
      <w:r>
        <w:rPr>
          <w:sz w:val="21"/>
        </w:rPr>
        <w:t>Plan)</w:t>
      </w:r>
      <w:r>
        <w:rPr>
          <w:spacing w:val="40"/>
          <w:sz w:val="21"/>
        </w:rPr>
        <w:t> </w:t>
      </w:r>
      <w:r>
        <w:rPr>
          <w:sz w:val="21"/>
        </w:rPr>
        <w:t>may</w:t>
      </w:r>
      <w:r>
        <w:rPr>
          <w:spacing w:val="40"/>
          <w:sz w:val="21"/>
        </w:rPr>
        <w:t> </w:t>
      </w:r>
      <w:r>
        <w:rPr>
          <w:sz w:val="21"/>
        </w:rPr>
        <w:t>amend</w:t>
      </w:r>
      <w:r>
        <w:rPr>
          <w:spacing w:val="40"/>
          <w:sz w:val="21"/>
        </w:rPr>
        <w:t> </w:t>
      </w:r>
      <w:r>
        <w:rPr>
          <w:sz w:val="21"/>
        </w:rPr>
        <w:t>the</w:t>
      </w:r>
      <w:r>
        <w:rPr>
          <w:spacing w:val="40"/>
          <w:sz w:val="21"/>
        </w:rPr>
        <w:t> </w:t>
      </w:r>
      <w:r>
        <w:rPr>
          <w:sz w:val="21"/>
        </w:rPr>
        <w:t>Plan</w:t>
      </w:r>
      <w:r>
        <w:rPr>
          <w:spacing w:val="40"/>
          <w:sz w:val="21"/>
        </w:rPr>
        <w:t> </w:t>
      </w:r>
      <w:r>
        <w:rPr>
          <w:sz w:val="21"/>
        </w:rPr>
        <w:t>in</w:t>
      </w:r>
      <w:r>
        <w:rPr>
          <w:spacing w:val="40"/>
          <w:sz w:val="21"/>
        </w:rPr>
        <w:t> </w:t>
      </w:r>
      <w:r>
        <w:rPr>
          <w:sz w:val="21"/>
        </w:rPr>
        <w:t>whole</w:t>
      </w:r>
      <w:r>
        <w:rPr>
          <w:spacing w:val="40"/>
          <w:sz w:val="21"/>
        </w:rPr>
        <w:t> </w:t>
      </w:r>
      <w:r>
        <w:rPr>
          <w:sz w:val="21"/>
        </w:rPr>
        <w:t>or</w:t>
      </w:r>
      <w:r>
        <w:rPr>
          <w:spacing w:val="40"/>
          <w:sz w:val="21"/>
        </w:rPr>
        <w:t> </w:t>
      </w:r>
      <w:r>
        <w:rPr>
          <w:sz w:val="21"/>
        </w:rPr>
        <w:t>in</w:t>
      </w:r>
      <w:r>
        <w:rPr>
          <w:spacing w:val="40"/>
          <w:sz w:val="21"/>
        </w:rPr>
        <w:t> </w:t>
      </w:r>
      <w:r>
        <w:rPr>
          <w:sz w:val="21"/>
        </w:rPr>
        <w:t>part,</w:t>
      </w:r>
      <w:r>
        <w:rPr>
          <w:spacing w:val="40"/>
          <w:sz w:val="21"/>
        </w:rPr>
        <w:t> </w:t>
      </w:r>
      <w:r>
        <w:rPr>
          <w:sz w:val="21"/>
        </w:rPr>
        <w:t>provided</w:t>
      </w:r>
      <w:r>
        <w:rPr>
          <w:spacing w:val="40"/>
          <w:sz w:val="21"/>
        </w:rPr>
        <w:t> </w:t>
      </w:r>
      <w:r>
        <w:rPr>
          <w:sz w:val="21"/>
        </w:rPr>
        <w:t>that</w:t>
      </w:r>
      <w:r>
        <w:rPr>
          <w:spacing w:val="40"/>
          <w:sz w:val="21"/>
        </w:rPr>
        <w:t> </w:t>
      </w:r>
      <w:r>
        <w:rPr>
          <w:sz w:val="21"/>
        </w:rPr>
        <w:t>no</w:t>
      </w:r>
      <w:r>
        <w:rPr>
          <w:spacing w:val="40"/>
          <w:sz w:val="21"/>
        </w:rPr>
        <w:t> </w:t>
      </w:r>
      <w:r>
        <w:rPr>
          <w:sz w:val="21"/>
        </w:rPr>
        <w:t>amendment</w:t>
      </w:r>
      <w:r>
        <w:rPr>
          <w:spacing w:val="40"/>
          <w:sz w:val="21"/>
        </w:rPr>
        <w:t> </w:t>
      </w:r>
      <w:r>
        <w:rPr>
          <w:sz w:val="21"/>
        </w:rPr>
        <w:t>or</w:t>
      </w:r>
      <w:r>
        <w:rPr>
          <w:spacing w:val="40"/>
          <w:sz w:val="21"/>
        </w:rPr>
        <w:t> </w:t>
      </w:r>
      <w:r>
        <w:rPr>
          <w:sz w:val="21"/>
        </w:rPr>
        <w:t>modification</w:t>
      </w:r>
      <w:r>
        <w:rPr>
          <w:spacing w:val="40"/>
          <w:sz w:val="21"/>
        </w:rPr>
        <w:t> </w:t>
      </w:r>
      <w:r>
        <w:rPr>
          <w:sz w:val="21"/>
        </w:rPr>
        <w:t>shall decrease</w:t>
      </w:r>
      <w:r>
        <w:rPr>
          <w:spacing w:val="22"/>
          <w:sz w:val="21"/>
        </w:rPr>
        <w:t> </w:t>
      </w:r>
      <w:r>
        <w:rPr>
          <w:sz w:val="21"/>
        </w:rPr>
        <w:t>or</w:t>
      </w:r>
      <w:r>
        <w:rPr>
          <w:spacing w:val="22"/>
          <w:sz w:val="21"/>
        </w:rPr>
        <w:t> </w:t>
      </w:r>
      <w:r>
        <w:rPr>
          <w:sz w:val="21"/>
        </w:rPr>
        <w:t>restrict</w:t>
      </w:r>
      <w:r>
        <w:rPr>
          <w:spacing w:val="22"/>
          <w:sz w:val="21"/>
        </w:rPr>
        <w:t> </w:t>
      </w:r>
      <w:r>
        <w:rPr>
          <w:sz w:val="21"/>
        </w:rPr>
        <w:t>the</w:t>
      </w:r>
      <w:r>
        <w:rPr>
          <w:spacing w:val="22"/>
          <w:sz w:val="21"/>
        </w:rPr>
        <w:t> </w:t>
      </w:r>
      <w:r>
        <w:rPr>
          <w:sz w:val="21"/>
        </w:rPr>
        <w:t>value</w:t>
      </w:r>
      <w:r>
        <w:rPr>
          <w:spacing w:val="22"/>
          <w:sz w:val="21"/>
        </w:rPr>
        <w:t> </w:t>
      </w:r>
      <w:r>
        <w:rPr>
          <w:sz w:val="21"/>
        </w:rPr>
        <w:t>of</w:t>
      </w:r>
      <w:r>
        <w:rPr>
          <w:spacing w:val="22"/>
          <w:sz w:val="21"/>
        </w:rPr>
        <w:t> </w:t>
      </w:r>
      <w:r>
        <w:rPr>
          <w:sz w:val="21"/>
        </w:rPr>
        <w:t>a</w:t>
      </w:r>
      <w:r>
        <w:rPr>
          <w:spacing w:val="22"/>
          <w:sz w:val="21"/>
        </w:rPr>
        <w:t> </w:t>
      </w:r>
      <w:r>
        <w:rPr>
          <w:sz w:val="21"/>
        </w:rPr>
        <w:t>Plan</w:t>
      </w:r>
      <w:r>
        <w:rPr>
          <w:spacing w:val="22"/>
          <w:sz w:val="21"/>
        </w:rPr>
        <w:t> </w:t>
      </w:r>
      <w:r>
        <w:rPr>
          <w:sz w:val="21"/>
        </w:rPr>
        <w:t>participant's</w:t>
      </w:r>
      <w:r>
        <w:rPr>
          <w:spacing w:val="22"/>
          <w:sz w:val="21"/>
        </w:rPr>
        <w:t> </w:t>
      </w:r>
      <w:r>
        <w:rPr>
          <w:sz w:val="21"/>
        </w:rPr>
        <w:t>vested</w:t>
      </w:r>
      <w:r>
        <w:rPr>
          <w:spacing w:val="22"/>
          <w:sz w:val="21"/>
        </w:rPr>
        <w:t> </w:t>
      </w:r>
      <w:r>
        <w:rPr>
          <w:sz w:val="21"/>
        </w:rPr>
        <w:t>account</w:t>
      </w:r>
      <w:r>
        <w:rPr>
          <w:spacing w:val="22"/>
          <w:sz w:val="21"/>
        </w:rPr>
        <w:t> </w:t>
      </w:r>
      <w:r>
        <w:rPr>
          <w:sz w:val="21"/>
        </w:rPr>
        <w:t>balance</w:t>
      </w:r>
      <w:r>
        <w:rPr>
          <w:spacing w:val="22"/>
          <w:sz w:val="21"/>
        </w:rPr>
        <w:t> </w:t>
      </w:r>
      <w:r>
        <w:rPr>
          <w:sz w:val="21"/>
        </w:rPr>
        <w:t>at</w:t>
      </w:r>
      <w:r>
        <w:rPr>
          <w:spacing w:val="22"/>
          <w:sz w:val="21"/>
        </w:rPr>
        <w:t> </w:t>
      </w:r>
      <w:r>
        <w:rPr>
          <w:sz w:val="21"/>
        </w:rPr>
        <w:t>the</w:t>
      </w:r>
      <w:r>
        <w:rPr>
          <w:spacing w:val="22"/>
          <w:sz w:val="21"/>
        </w:rPr>
        <w:t> </w:t>
      </w:r>
      <w:r>
        <w:rPr>
          <w:sz w:val="21"/>
        </w:rPr>
        <w:t>time</w:t>
      </w:r>
      <w:r>
        <w:rPr>
          <w:spacing w:val="22"/>
          <w:sz w:val="21"/>
        </w:rPr>
        <w:t> </w:t>
      </w:r>
      <w:r>
        <w:rPr>
          <w:sz w:val="21"/>
        </w:rPr>
        <w:t>of</w:t>
      </w:r>
      <w:r>
        <w:rPr>
          <w:spacing w:val="22"/>
          <w:sz w:val="21"/>
        </w:rPr>
        <w:t> </w:t>
      </w:r>
      <w:r>
        <w:rPr>
          <w:sz w:val="21"/>
        </w:rPr>
        <w:t>such</w:t>
      </w:r>
      <w:r>
        <w:rPr>
          <w:spacing w:val="22"/>
          <w:sz w:val="21"/>
        </w:rPr>
        <w:t> </w:t>
      </w:r>
      <w:r>
        <w:rPr>
          <w:sz w:val="21"/>
        </w:rPr>
        <w:t>amendment</w:t>
      </w:r>
      <w:r>
        <w:rPr>
          <w:spacing w:val="22"/>
          <w:sz w:val="21"/>
        </w:rPr>
        <w:t> </w:t>
      </w:r>
      <w:r>
        <w:rPr>
          <w:sz w:val="21"/>
        </w:rPr>
        <w:t>or</w:t>
      </w:r>
      <w:r>
        <w:rPr>
          <w:spacing w:val="22"/>
          <w:sz w:val="21"/>
        </w:rPr>
        <w:t> </w:t>
      </w:r>
      <w:r>
        <w:rPr>
          <w:sz w:val="21"/>
        </w:rPr>
        <w:t>modification;</w:t>
      </w:r>
      <w:r>
        <w:rPr>
          <w:spacing w:val="22"/>
          <w:sz w:val="21"/>
        </w:rPr>
        <w:t> </w:t>
      </w:r>
      <w:r>
        <w:rPr>
          <w:sz w:val="21"/>
        </w:rPr>
        <w:t>and</w:t>
      </w:r>
    </w:p>
    <w:p>
      <w:pPr>
        <w:spacing w:line="213" w:lineRule="auto" w:before="220"/>
        <w:ind w:left="144" w:right="118" w:firstLine="323"/>
        <w:jc w:val="both"/>
        <w:rPr>
          <w:sz w:val="21"/>
        </w:rPr>
      </w:pPr>
      <w:r>
        <w:rPr>
          <w:sz w:val="21"/>
        </w:rPr>
        <w:t>WHEREAS,</w:t>
      </w:r>
      <w:r>
        <w:rPr>
          <w:spacing w:val="40"/>
          <w:sz w:val="21"/>
        </w:rPr>
        <w:t> </w:t>
      </w:r>
      <w:r>
        <w:rPr>
          <w:sz w:val="21"/>
        </w:rPr>
        <w:t>the</w:t>
      </w:r>
      <w:r>
        <w:rPr>
          <w:spacing w:val="40"/>
          <w:sz w:val="21"/>
        </w:rPr>
        <w:t> </w:t>
      </w:r>
      <w:r>
        <w:rPr>
          <w:sz w:val="21"/>
        </w:rPr>
        <w:t>Committee</w:t>
      </w:r>
      <w:r>
        <w:rPr>
          <w:spacing w:val="40"/>
          <w:sz w:val="21"/>
        </w:rPr>
        <w:t> </w:t>
      </w:r>
      <w:r>
        <w:rPr>
          <w:sz w:val="21"/>
        </w:rPr>
        <w:t>desires</w:t>
      </w:r>
      <w:r>
        <w:rPr>
          <w:spacing w:val="40"/>
          <w:sz w:val="21"/>
        </w:rPr>
        <w:t> </w:t>
      </w:r>
      <w:r>
        <w:rPr>
          <w:sz w:val="21"/>
        </w:rPr>
        <w:t>to</w:t>
      </w:r>
      <w:r>
        <w:rPr>
          <w:spacing w:val="40"/>
          <w:sz w:val="21"/>
        </w:rPr>
        <w:t> </w:t>
      </w:r>
      <w:r>
        <w:rPr>
          <w:sz w:val="21"/>
        </w:rPr>
        <w:t>amend</w:t>
      </w:r>
      <w:r>
        <w:rPr>
          <w:spacing w:val="40"/>
          <w:sz w:val="21"/>
        </w:rPr>
        <w:t> </w:t>
      </w:r>
      <w:r>
        <w:rPr>
          <w:sz w:val="21"/>
        </w:rPr>
        <w:t>the</w:t>
      </w:r>
      <w:r>
        <w:rPr>
          <w:spacing w:val="40"/>
          <w:sz w:val="21"/>
        </w:rPr>
        <w:t> </w:t>
      </w:r>
      <w:r>
        <w:rPr>
          <w:sz w:val="21"/>
        </w:rPr>
        <w:t>Plan</w:t>
      </w:r>
      <w:r>
        <w:rPr>
          <w:spacing w:val="40"/>
          <w:sz w:val="21"/>
        </w:rPr>
        <w:t> </w:t>
      </w:r>
      <w:r>
        <w:rPr>
          <w:sz w:val="21"/>
        </w:rPr>
        <w:t>in</w:t>
      </w:r>
      <w:r>
        <w:rPr>
          <w:spacing w:val="40"/>
          <w:sz w:val="21"/>
        </w:rPr>
        <w:t> </w:t>
      </w:r>
      <w:r>
        <w:rPr>
          <w:sz w:val="21"/>
        </w:rPr>
        <w:t>order</w:t>
      </w:r>
      <w:r>
        <w:rPr>
          <w:spacing w:val="40"/>
          <w:sz w:val="21"/>
        </w:rPr>
        <w:t> </w:t>
      </w:r>
      <w:r>
        <w:rPr>
          <w:sz w:val="21"/>
        </w:rPr>
        <w:t>to</w:t>
      </w:r>
      <w:r>
        <w:rPr>
          <w:spacing w:val="40"/>
          <w:sz w:val="21"/>
        </w:rPr>
        <w:t> </w:t>
      </w:r>
      <w:r>
        <w:rPr>
          <w:sz w:val="21"/>
        </w:rPr>
        <w:t>provide</w:t>
      </w:r>
      <w:r>
        <w:rPr>
          <w:spacing w:val="40"/>
          <w:sz w:val="21"/>
        </w:rPr>
        <w:t> </w:t>
      </w:r>
      <w:r>
        <w:rPr>
          <w:sz w:val="21"/>
        </w:rPr>
        <w:t>that</w:t>
      </w:r>
      <w:r>
        <w:rPr>
          <w:spacing w:val="40"/>
          <w:sz w:val="21"/>
        </w:rPr>
        <w:t> </w:t>
      </w:r>
      <w:r>
        <w:rPr>
          <w:sz w:val="21"/>
        </w:rPr>
        <w:t>changes</w:t>
      </w:r>
      <w:r>
        <w:rPr>
          <w:spacing w:val="40"/>
          <w:sz w:val="21"/>
        </w:rPr>
        <w:t> </w:t>
      </w:r>
      <w:r>
        <w:rPr>
          <w:sz w:val="21"/>
        </w:rPr>
        <w:t>made</w:t>
      </w:r>
      <w:r>
        <w:rPr>
          <w:spacing w:val="40"/>
          <w:sz w:val="21"/>
        </w:rPr>
        <w:t> </w:t>
      </w:r>
      <w:r>
        <w:rPr>
          <w:sz w:val="21"/>
        </w:rPr>
        <w:t>to</w:t>
      </w:r>
      <w:r>
        <w:rPr>
          <w:spacing w:val="40"/>
          <w:sz w:val="21"/>
        </w:rPr>
        <w:t> </w:t>
      </w:r>
      <w:r>
        <w:rPr>
          <w:sz w:val="21"/>
        </w:rPr>
        <w:t>the</w:t>
      </w:r>
      <w:r>
        <w:rPr>
          <w:spacing w:val="40"/>
          <w:sz w:val="21"/>
        </w:rPr>
        <w:t> </w:t>
      </w:r>
      <w:r>
        <w:rPr>
          <w:sz w:val="21"/>
        </w:rPr>
        <w:t>Measurement</w:t>
      </w:r>
      <w:r>
        <w:rPr>
          <w:spacing w:val="40"/>
          <w:sz w:val="21"/>
        </w:rPr>
        <w:t> </w:t>
      </w:r>
      <w:r>
        <w:rPr>
          <w:sz w:val="21"/>
        </w:rPr>
        <w:t>Funds</w:t>
      </w:r>
      <w:r>
        <w:rPr>
          <w:spacing w:val="40"/>
          <w:sz w:val="21"/>
        </w:rPr>
        <w:t> </w:t>
      </w:r>
      <w:r>
        <w:rPr>
          <w:sz w:val="21"/>
        </w:rPr>
        <w:t>(as defined</w:t>
      </w:r>
      <w:r>
        <w:rPr>
          <w:spacing w:val="40"/>
          <w:sz w:val="21"/>
        </w:rPr>
        <w:t> </w:t>
      </w:r>
      <w:r>
        <w:rPr>
          <w:sz w:val="21"/>
        </w:rPr>
        <w:t>in</w:t>
      </w:r>
      <w:r>
        <w:rPr>
          <w:spacing w:val="40"/>
          <w:sz w:val="21"/>
        </w:rPr>
        <w:t> </w:t>
      </w:r>
      <w:r>
        <w:rPr>
          <w:sz w:val="21"/>
        </w:rPr>
        <w:t>the</w:t>
      </w:r>
      <w:r>
        <w:rPr>
          <w:spacing w:val="40"/>
          <w:sz w:val="21"/>
        </w:rPr>
        <w:t> </w:t>
      </w:r>
      <w:r>
        <w:rPr>
          <w:sz w:val="21"/>
        </w:rPr>
        <w:t>Plan)</w:t>
      </w:r>
      <w:r>
        <w:rPr>
          <w:spacing w:val="40"/>
          <w:sz w:val="21"/>
        </w:rPr>
        <w:t> </w:t>
      </w:r>
      <w:r>
        <w:rPr>
          <w:sz w:val="21"/>
        </w:rPr>
        <w:t>pursuant</w:t>
      </w:r>
      <w:r>
        <w:rPr>
          <w:spacing w:val="40"/>
          <w:sz w:val="21"/>
        </w:rPr>
        <w:t> </w:t>
      </w:r>
      <w:r>
        <w:rPr>
          <w:sz w:val="21"/>
        </w:rPr>
        <w:t>to</w:t>
      </w:r>
      <w:r>
        <w:rPr>
          <w:spacing w:val="40"/>
          <w:sz w:val="21"/>
        </w:rPr>
        <w:t> </w:t>
      </w:r>
      <w:r>
        <w:rPr>
          <w:sz w:val="21"/>
        </w:rPr>
        <w:t>Section</w:t>
      </w:r>
      <w:r>
        <w:rPr>
          <w:spacing w:val="40"/>
          <w:sz w:val="21"/>
        </w:rPr>
        <w:t> </w:t>
      </w:r>
      <w:r>
        <w:rPr>
          <w:sz w:val="21"/>
        </w:rPr>
        <w:t>3.3(c)</w:t>
      </w:r>
      <w:r>
        <w:rPr>
          <w:spacing w:val="40"/>
          <w:sz w:val="21"/>
        </w:rPr>
        <w:t> </w:t>
      </w:r>
      <w:r>
        <w:rPr>
          <w:sz w:val="21"/>
        </w:rPr>
        <w:t>of</w:t>
      </w:r>
      <w:r>
        <w:rPr>
          <w:spacing w:val="40"/>
          <w:sz w:val="21"/>
        </w:rPr>
        <w:t> </w:t>
      </w:r>
      <w:r>
        <w:rPr>
          <w:sz w:val="21"/>
        </w:rPr>
        <w:t>the</w:t>
      </w:r>
      <w:r>
        <w:rPr>
          <w:spacing w:val="40"/>
          <w:sz w:val="21"/>
        </w:rPr>
        <w:t> </w:t>
      </w:r>
      <w:r>
        <w:rPr>
          <w:sz w:val="21"/>
        </w:rPr>
        <w:t>Plan</w:t>
      </w:r>
      <w:r>
        <w:rPr>
          <w:spacing w:val="40"/>
          <w:sz w:val="21"/>
        </w:rPr>
        <w:t> </w:t>
      </w:r>
      <w:r>
        <w:rPr>
          <w:sz w:val="21"/>
        </w:rPr>
        <w:t>shall</w:t>
      </w:r>
      <w:r>
        <w:rPr>
          <w:spacing w:val="40"/>
          <w:sz w:val="21"/>
        </w:rPr>
        <w:t> </w:t>
      </w:r>
      <w:r>
        <w:rPr>
          <w:sz w:val="21"/>
        </w:rPr>
        <w:t>take</w:t>
      </w:r>
      <w:r>
        <w:rPr>
          <w:spacing w:val="40"/>
          <w:sz w:val="21"/>
        </w:rPr>
        <w:t> </w:t>
      </w:r>
      <w:r>
        <w:rPr>
          <w:sz w:val="21"/>
        </w:rPr>
        <w:t>effect</w:t>
      </w:r>
      <w:r>
        <w:rPr>
          <w:spacing w:val="40"/>
          <w:sz w:val="21"/>
        </w:rPr>
        <w:t> </w:t>
      </w:r>
      <w:r>
        <w:rPr>
          <w:sz w:val="21"/>
        </w:rPr>
        <w:t>as</w:t>
      </w:r>
      <w:r>
        <w:rPr>
          <w:spacing w:val="40"/>
          <w:sz w:val="21"/>
        </w:rPr>
        <w:t> </w:t>
      </w:r>
      <w:r>
        <w:rPr>
          <w:sz w:val="21"/>
        </w:rPr>
        <w:t>soon</w:t>
      </w:r>
      <w:r>
        <w:rPr>
          <w:spacing w:val="40"/>
          <w:sz w:val="21"/>
        </w:rPr>
        <w:t> </w:t>
      </w:r>
      <w:r>
        <w:rPr>
          <w:sz w:val="21"/>
        </w:rPr>
        <w:t>as</w:t>
      </w:r>
      <w:r>
        <w:rPr>
          <w:spacing w:val="40"/>
          <w:sz w:val="21"/>
        </w:rPr>
        <w:t> </w:t>
      </w:r>
      <w:r>
        <w:rPr>
          <w:sz w:val="21"/>
        </w:rPr>
        <w:t>administratively</w:t>
      </w:r>
      <w:r>
        <w:rPr>
          <w:spacing w:val="40"/>
          <w:sz w:val="21"/>
        </w:rPr>
        <w:t> </w:t>
      </w:r>
      <w:r>
        <w:rPr>
          <w:sz w:val="21"/>
        </w:rPr>
        <w:t>practicable</w:t>
      </w:r>
      <w:r>
        <w:rPr>
          <w:spacing w:val="40"/>
          <w:sz w:val="21"/>
        </w:rPr>
        <w:t> </w:t>
      </w:r>
      <w:r>
        <w:rPr>
          <w:sz w:val="21"/>
        </w:rPr>
        <w:t>after</w:t>
      </w:r>
      <w:r>
        <w:rPr>
          <w:spacing w:val="40"/>
          <w:sz w:val="21"/>
        </w:rPr>
        <w:t> </w:t>
      </w:r>
      <w:r>
        <w:rPr>
          <w:sz w:val="21"/>
        </w:rPr>
        <w:t>the Committee provides written notice of such change to Plan participants.</w:t>
      </w:r>
    </w:p>
    <w:p>
      <w:pPr>
        <w:spacing w:before="197"/>
        <w:ind w:left="360" w:right="0" w:firstLine="0"/>
        <w:jc w:val="left"/>
        <w:rPr>
          <w:sz w:val="21"/>
        </w:rPr>
      </w:pPr>
      <w:r>
        <w:rPr>
          <w:sz w:val="21"/>
        </w:rPr>
        <w:t>NOW</w:t>
      </w:r>
      <w:r>
        <w:rPr>
          <w:spacing w:val="1"/>
          <w:sz w:val="21"/>
        </w:rPr>
        <w:t> </w:t>
      </w:r>
      <w:r>
        <w:rPr>
          <w:sz w:val="21"/>
        </w:rPr>
        <w:t>THEREFORE,</w:t>
      </w:r>
      <w:r>
        <w:rPr>
          <w:spacing w:val="12"/>
          <w:sz w:val="21"/>
        </w:rPr>
        <w:t> </w:t>
      </w:r>
      <w:r>
        <w:rPr>
          <w:sz w:val="21"/>
        </w:rPr>
        <w:t>effective</w:t>
      </w:r>
      <w:r>
        <w:rPr>
          <w:spacing w:val="11"/>
          <w:sz w:val="21"/>
        </w:rPr>
        <w:t> </w:t>
      </w:r>
      <w:r>
        <w:rPr>
          <w:sz w:val="21"/>
        </w:rPr>
        <w:t>November</w:t>
      </w:r>
      <w:r>
        <w:rPr>
          <w:spacing w:val="11"/>
          <w:sz w:val="21"/>
        </w:rPr>
        <w:t> </w:t>
      </w:r>
      <w:r>
        <w:rPr>
          <w:sz w:val="21"/>
        </w:rPr>
        <w:t>1,</w:t>
      </w:r>
      <w:r>
        <w:rPr>
          <w:spacing w:val="11"/>
          <w:sz w:val="21"/>
        </w:rPr>
        <w:t> </w:t>
      </w:r>
      <w:r>
        <w:rPr>
          <w:sz w:val="21"/>
        </w:rPr>
        <w:t>2022,</w:t>
      </w:r>
      <w:r>
        <w:rPr>
          <w:spacing w:val="12"/>
          <w:sz w:val="21"/>
        </w:rPr>
        <w:t> </w:t>
      </w:r>
      <w:r>
        <w:rPr>
          <w:sz w:val="21"/>
        </w:rPr>
        <w:t>the</w:t>
      </w:r>
      <w:r>
        <w:rPr>
          <w:spacing w:val="11"/>
          <w:sz w:val="21"/>
        </w:rPr>
        <w:t> </w:t>
      </w:r>
      <w:r>
        <w:rPr>
          <w:sz w:val="21"/>
        </w:rPr>
        <w:t>Plan</w:t>
      </w:r>
      <w:r>
        <w:rPr>
          <w:spacing w:val="11"/>
          <w:sz w:val="21"/>
        </w:rPr>
        <w:t> </w:t>
      </w:r>
      <w:r>
        <w:rPr>
          <w:sz w:val="21"/>
        </w:rPr>
        <w:t>is</w:t>
      </w:r>
      <w:r>
        <w:rPr>
          <w:spacing w:val="12"/>
          <w:sz w:val="21"/>
        </w:rPr>
        <w:t> </w:t>
      </w:r>
      <w:r>
        <w:rPr>
          <w:sz w:val="21"/>
        </w:rPr>
        <w:t>hereby</w:t>
      </w:r>
      <w:r>
        <w:rPr>
          <w:spacing w:val="11"/>
          <w:sz w:val="21"/>
        </w:rPr>
        <w:t> </w:t>
      </w:r>
      <w:r>
        <w:rPr>
          <w:sz w:val="21"/>
        </w:rPr>
        <w:t>amended</w:t>
      </w:r>
      <w:r>
        <w:rPr>
          <w:spacing w:val="11"/>
          <w:sz w:val="21"/>
        </w:rPr>
        <w:t> </w:t>
      </w:r>
      <w:r>
        <w:rPr>
          <w:sz w:val="21"/>
        </w:rPr>
        <w:t>as</w:t>
      </w:r>
      <w:r>
        <w:rPr>
          <w:spacing w:val="11"/>
          <w:sz w:val="21"/>
        </w:rPr>
        <w:t> </w:t>
      </w:r>
      <w:r>
        <w:rPr>
          <w:spacing w:val="-2"/>
          <w:sz w:val="21"/>
        </w:rPr>
        <w:t>follows:</w:t>
      </w:r>
    </w:p>
    <w:p>
      <w:pPr>
        <w:spacing w:before="191"/>
        <w:ind w:left="792" w:right="0" w:firstLine="0"/>
        <w:jc w:val="both"/>
        <w:rPr>
          <w:sz w:val="21"/>
        </w:rPr>
      </w:pPr>
      <w:r>
        <w:rPr>
          <w:sz w:val="21"/>
        </w:rPr>
        <w:t>The</w:t>
      </w:r>
      <w:r>
        <w:rPr>
          <w:spacing w:val="9"/>
          <w:sz w:val="21"/>
        </w:rPr>
        <w:t> </w:t>
      </w:r>
      <w:r>
        <w:rPr>
          <w:sz w:val="21"/>
        </w:rPr>
        <w:t>third</w:t>
      </w:r>
      <w:r>
        <w:rPr>
          <w:spacing w:val="9"/>
          <w:sz w:val="21"/>
        </w:rPr>
        <w:t> </w:t>
      </w:r>
      <w:r>
        <w:rPr>
          <w:sz w:val="21"/>
        </w:rPr>
        <w:t>sentence</w:t>
      </w:r>
      <w:r>
        <w:rPr>
          <w:spacing w:val="9"/>
          <w:sz w:val="21"/>
        </w:rPr>
        <w:t> </w:t>
      </w:r>
      <w:r>
        <w:rPr>
          <w:sz w:val="21"/>
        </w:rPr>
        <w:t>of</w:t>
      </w:r>
      <w:r>
        <w:rPr>
          <w:spacing w:val="9"/>
          <w:sz w:val="21"/>
        </w:rPr>
        <w:t> </w:t>
      </w:r>
      <w:r>
        <w:rPr>
          <w:sz w:val="21"/>
        </w:rPr>
        <w:t>Section</w:t>
      </w:r>
      <w:r>
        <w:rPr>
          <w:spacing w:val="9"/>
          <w:sz w:val="21"/>
        </w:rPr>
        <w:t> </w:t>
      </w:r>
      <w:r>
        <w:rPr>
          <w:sz w:val="21"/>
        </w:rPr>
        <w:t>3.3(c)</w:t>
      </w:r>
      <w:r>
        <w:rPr>
          <w:spacing w:val="9"/>
          <w:sz w:val="21"/>
        </w:rPr>
        <w:t> </w:t>
      </w:r>
      <w:r>
        <w:rPr>
          <w:sz w:val="21"/>
        </w:rPr>
        <w:t>of</w:t>
      </w:r>
      <w:r>
        <w:rPr>
          <w:spacing w:val="10"/>
          <w:sz w:val="21"/>
        </w:rPr>
        <w:t> </w:t>
      </w:r>
      <w:r>
        <w:rPr>
          <w:sz w:val="21"/>
        </w:rPr>
        <w:t>the</w:t>
      </w:r>
      <w:r>
        <w:rPr>
          <w:spacing w:val="9"/>
          <w:sz w:val="21"/>
        </w:rPr>
        <w:t> </w:t>
      </w:r>
      <w:r>
        <w:rPr>
          <w:sz w:val="21"/>
        </w:rPr>
        <w:t>Plan</w:t>
      </w:r>
      <w:r>
        <w:rPr>
          <w:spacing w:val="9"/>
          <w:sz w:val="21"/>
        </w:rPr>
        <w:t> </w:t>
      </w:r>
      <w:r>
        <w:rPr>
          <w:sz w:val="21"/>
        </w:rPr>
        <w:t>is</w:t>
      </w:r>
      <w:r>
        <w:rPr>
          <w:spacing w:val="9"/>
          <w:sz w:val="21"/>
        </w:rPr>
        <w:t> </w:t>
      </w:r>
      <w:r>
        <w:rPr>
          <w:sz w:val="21"/>
        </w:rPr>
        <w:t>hereby</w:t>
      </w:r>
      <w:r>
        <w:rPr>
          <w:spacing w:val="9"/>
          <w:sz w:val="21"/>
        </w:rPr>
        <w:t> </w:t>
      </w:r>
      <w:r>
        <w:rPr>
          <w:sz w:val="21"/>
        </w:rPr>
        <w:t>deleted</w:t>
      </w:r>
      <w:r>
        <w:rPr>
          <w:spacing w:val="9"/>
          <w:sz w:val="21"/>
        </w:rPr>
        <w:t> </w:t>
      </w:r>
      <w:r>
        <w:rPr>
          <w:sz w:val="21"/>
        </w:rPr>
        <w:t>and</w:t>
      </w:r>
      <w:r>
        <w:rPr>
          <w:spacing w:val="9"/>
          <w:sz w:val="21"/>
        </w:rPr>
        <w:t> </w:t>
      </w:r>
      <w:r>
        <w:rPr>
          <w:sz w:val="21"/>
        </w:rPr>
        <w:t>replaced</w:t>
      </w:r>
      <w:r>
        <w:rPr>
          <w:spacing w:val="9"/>
          <w:sz w:val="21"/>
        </w:rPr>
        <w:t> </w:t>
      </w:r>
      <w:r>
        <w:rPr>
          <w:sz w:val="21"/>
        </w:rPr>
        <w:t>with</w:t>
      </w:r>
      <w:r>
        <w:rPr>
          <w:spacing w:val="10"/>
          <w:sz w:val="21"/>
        </w:rPr>
        <w:t> </w:t>
      </w:r>
      <w:r>
        <w:rPr>
          <w:sz w:val="21"/>
        </w:rPr>
        <w:t>the</w:t>
      </w:r>
      <w:r>
        <w:rPr>
          <w:spacing w:val="9"/>
          <w:sz w:val="21"/>
        </w:rPr>
        <w:t> </w:t>
      </w:r>
      <w:r>
        <w:rPr>
          <w:spacing w:val="-2"/>
          <w:sz w:val="21"/>
        </w:rPr>
        <w:t>following:</w:t>
      </w:r>
    </w:p>
    <w:p>
      <w:pPr>
        <w:spacing w:line="213" w:lineRule="auto" w:before="212"/>
        <w:ind w:left="792" w:right="119" w:firstLine="0"/>
        <w:jc w:val="both"/>
        <w:rPr>
          <w:sz w:val="21"/>
        </w:rPr>
      </w:pPr>
      <w:r>
        <w:rPr>
          <w:sz w:val="21"/>
        </w:rPr>
        <w:t>"Each</w:t>
      </w:r>
      <w:r>
        <w:rPr>
          <w:spacing w:val="40"/>
          <w:sz w:val="21"/>
        </w:rPr>
        <w:t> </w:t>
      </w:r>
      <w:r>
        <w:rPr>
          <w:sz w:val="21"/>
        </w:rPr>
        <w:t>such</w:t>
      </w:r>
      <w:r>
        <w:rPr>
          <w:spacing w:val="40"/>
          <w:sz w:val="21"/>
        </w:rPr>
        <w:t> </w:t>
      </w:r>
      <w:r>
        <w:rPr>
          <w:sz w:val="21"/>
        </w:rPr>
        <w:t>action</w:t>
      </w:r>
      <w:r>
        <w:rPr>
          <w:spacing w:val="40"/>
          <w:sz w:val="21"/>
        </w:rPr>
        <w:t> </w:t>
      </w:r>
      <w:r>
        <w:rPr>
          <w:sz w:val="21"/>
        </w:rPr>
        <w:t>will</w:t>
      </w:r>
      <w:r>
        <w:rPr>
          <w:spacing w:val="40"/>
          <w:sz w:val="21"/>
        </w:rPr>
        <w:t> </w:t>
      </w:r>
      <w:r>
        <w:rPr>
          <w:sz w:val="21"/>
        </w:rPr>
        <w:t>take</w:t>
      </w:r>
      <w:r>
        <w:rPr>
          <w:spacing w:val="40"/>
          <w:sz w:val="21"/>
        </w:rPr>
        <w:t> </w:t>
      </w:r>
      <w:r>
        <w:rPr>
          <w:sz w:val="21"/>
        </w:rPr>
        <w:t>effect</w:t>
      </w:r>
      <w:r>
        <w:rPr>
          <w:spacing w:val="40"/>
          <w:sz w:val="21"/>
        </w:rPr>
        <w:t> </w:t>
      </w:r>
      <w:r>
        <w:rPr>
          <w:sz w:val="21"/>
        </w:rPr>
        <w:t>as</w:t>
      </w:r>
      <w:r>
        <w:rPr>
          <w:spacing w:val="40"/>
          <w:sz w:val="21"/>
        </w:rPr>
        <w:t> </w:t>
      </w:r>
      <w:r>
        <w:rPr>
          <w:sz w:val="21"/>
        </w:rPr>
        <w:t>soon</w:t>
      </w:r>
      <w:r>
        <w:rPr>
          <w:spacing w:val="40"/>
          <w:sz w:val="21"/>
        </w:rPr>
        <w:t> </w:t>
      </w:r>
      <w:r>
        <w:rPr>
          <w:sz w:val="21"/>
        </w:rPr>
        <w:t>as</w:t>
      </w:r>
      <w:r>
        <w:rPr>
          <w:spacing w:val="40"/>
          <w:sz w:val="21"/>
        </w:rPr>
        <w:t> </w:t>
      </w:r>
      <w:r>
        <w:rPr>
          <w:sz w:val="21"/>
        </w:rPr>
        <w:t>administratively</w:t>
      </w:r>
      <w:r>
        <w:rPr>
          <w:spacing w:val="40"/>
          <w:sz w:val="21"/>
        </w:rPr>
        <w:t> </w:t>
      </w:r>
      <w:r>
        <w:rPr>
          <w:sz w:val="21"/>
        </w:rPr>
        <w:t>practicable</w:t>
      </w:r>
      <w:r>
        <w:rPr>
          <w:spacing w:val="40"/>
          <w:sz w:val="21"/>
        </w:rPr>
        <w:t> </w:t>
      </w:r>
      <w:r>
        <w:rPr>
          <w:sz w:val="21"/>
        </w:rPr>
        <w:t>after</w:t>
      </w:r>
      <w:r>
        <w:rPr>
          <w:spacing w:val="40"/>
          <w:sz w:val="21"/>
        </w:rPr>
        <w:t> </w:t>
      </w:r>
      <w:r>
        <w:rPr>
          <w:sz w:val="21"/>
        </w:rPr>
        <w:t>the</w:t>
      </w:r>
      <w:r>
        <w:rPr>
          <w:spacing w:val="40"/>
          <w:sz w:val="21"/>
        </w:rPr>
        <w:t> </w:t>
      </w:r>
      <w:r>
        <w:rPr>
          <w:sz w:val="21"/>
        </w:rPr>
        <w:t>Committee</w:t>
      </w:r>
      <w:r>
        <w:rPr>
          <w:spacing w:val="40"/>
          <w:sz w:val="21"/>
        </w:rPr>
        <w:t> </w:t>
      </w:r>
      <w:r>
        <w:rPr>
          <w:sz w:val="21"/>
        </w:rPr>
        <w:t>gives</w:t>
      </w:r>
      <w:r>
        <w:rPr>
          <w:spacing w:val="40"/>
          <w:sz w:val="21"/>
        </w:rPr>
        <w:t> </w:t>
      </w:r>
      <w:r>
        <w:rPr>
          <w:sz w:val="21"/>
        </w:rPr>
        <w:t>Participants</w:t>
      </w:r>
      <w:r>
        <w:rPr>
          <w:spacing w:val="40"/>
          <w:sz w:val="21"/>
        </w:rPr>
        <w:t> </w:t>
      </w:r>
      <w:r>
        <w:rPr>
          <w:sz w:val="21"/>
        </w:rPr>
        <w:t>advance written</w:t>
      </w:r>
      <w:r>
        <w:rPr>
          <w:spacing w:val="40"/>
          <w:sz w:val="21"/>
        </w:rPr>
        <w:t> </w:t>
      </w:r>
      <w:r>
        <w:rPr>
          <w:sz w:val="21"/>
        </w:rPr>
        <w:t>notice</w:t>
      </w:r>
      <w:r>
        <w:rPr>
          <w:spacing w:val="40"/>
          <w:sz w:val="21"/>
        </w:rPr>
        <w:t> </w:t>
      </w:r>
      <w:r>
        <w:rPr>
          <w:sz w:val="21"/>
        </w:rPr>
        <w:t>of</w:t>
      </w:r>
      <w:r>
        <w:rPr>
          <w:spacing w:val="40"/>
          <w:sz w:val="21"/>
        </w:rPr>
        <w:t> </w:t>
      </w:r>
      <w:r>
        <w:rPr>
          <w:sz w:val="21"/>
        </w:rPr>
        <w:t>such</w:t>
      </w:r>
      <w:r>
        <w:rPr>
          <w:spacing w:val="40"/>
          <w:sz w:val="21"/>
        </w:rPr>
        <w:t> </w:t>
      </w:r>
      <w:r>
        <w:rPr>
          <w:sz w:val="21"/>
        </w:rPr>
        <w:t>change,</w:t>
      </w:r>
      <w:r>
        <w:rPr>
          <w:spacing w:val="40"/>
          <w:sz w:val="21"/>
        </w:rPr>
        <w:t> </w:t>
      </w:r>
      <w:r>
        <w:rPr>
          <w:sz w:val="21"/>
        </w:rPr>
        <w:t>unless</w:t>
      </w:r>
      <w:r>
        <w:rPr>
          <w:spacing w:val="40"/>
          <w:sz w:val="21"/>
        </w:rPr>
        <w:t> </w:t>
      </w:r>
      <w:r>
        <w:rPr>
          <w:sz w:val="21"/>
        </w:rPr>
        <w:t>such</w:t>
      </w:r>
      <w:r>
        <w:rPr>
          <w:spacing w:val="40"/>
          <w:sz w:val="21"/>
        </w:rPr>
        <w:t> </w:t>
      </w:r>
      <w:r>
        <w:rPr>
          <w:sz w:val="21"/>
        </w:rPr>
        <w:t>advance</w:t>
      </w:r>
      <w:r>
        <w:rPr>
          <w:spacing w:val="40"/>
          <w:sz w:val="21"/>
        </w:rPr>
        <w:t> </w:t>
      </w:r>
      <w:r>
        <w:rPr>
          <w:sz w:val="21"/>
        </w:rPr>
        <w:t>notice</w:t>
      </w:r>
      <w:r>
        <w:rPr>
          <w:spacing w:val="40"/>
          <w:sz w:val="21"/>
        </w:rPr>
        <w:t> </w:t>
      </w:r>
      <w:r>
        <w:rPr>
          <w:sz w:val="21"/>
        </w:rPr>
        <w:t>cannot</w:t>
      </w:r>
      <w:r>
        <w:rPr>
          <w:spacing w:val="40"/>
          <w:sz w:val="21"/>
        </w:rPr>
        <w:t> </w:t>
      </w:r>
      <w:r>
        <w:rPr>
          <w:sz w:val="21"/>
        </w:rPr>
        <w:t>be</w:t>
      </w:r>
      <w:r>
        <w:rPr>
          <w:spacing w:val="40"/>
          <w:sz w:val="21"/>
        </w:rPr>
        <w:t> </w:t>
      </w:r>
      <w:r>
        <w:rPr>
          <w:sz w:val="21"/>
        </w:rPr>
        <w:t>given</w:t>
      </w:r>
      <w:r>
        <w:rPr>
          <w:spacing w:val="40"/>
          <w:sz w:val="21"/>
        </w:rPr>
        <w:t> </w:t>
      </w:r>
      <w:r>
        <w:rPr>
          <w:sz w:val="21"/>
        </w:rPr>
        <w:t>due</w:t>
      </w:r>
      <w:r>
        <w:rPr>
          <w:spacing w:val="40"/>
          <w:sz w:val="21"/>
        </w:rPr>
        <w:t> </w:t>
      </w:r>
      <w:r>
        <w:rPr>
          <w:sz w:val="21"/>
        </w:rPr>
        <w:t>to</w:t>
      </w:r>
      <w:r>
        <w:rPr>
          <w:spacing w:val="40"/>
          <w:sz w:val="21"/>
        </w:rPr>
        <w:t> </w:t>
      </w:r>
      <w:r>
        <w:rPr>
          <w:sz w:val="21"/>
        </w:rPr>
        <w:t>reasons</w:t>
      </w:r>
      <w:r>
        <w:rPr>
          <w:spacing w:val="40"/>
          <w:sz w:val="21"/>
        </w:rPr>
        <w:t> </w:t>
      </w:r>
      <w:r>
        <w:rPr>
          <w:sz w:val="21"/>
        </w:rPr>
        <w:t>beyond</w:t>
      </w:r>
      <w:r>
        <w:rPr>
          <w:spacing w:val="40"/>
          <w:sz w:val="21"/>
        </w:rPr>
        <w:t> </w:t>
      </w:r>
      <w:r>
        <w:rPr>
          <w:sz w:val="21"/>
        </w:rPr>
        <w:t>the</w:t>
      </w:r>
      <w:r>
        <w:rPr>
          <w:spacing w:val="40"/>
          <w:sz w:val="21"/>
        </w:rPr>
        <w:t> </w:t>
      </w:r>
      <w:r>
        <w:rPr>
          <w:sz w:val="21"/>
        </w:rPr>
        <w:t>control</w:t>
      </w:r>
      <w:r>
        <w:rPr>
          <w:spacing w:val="40"/>
          <w:sz w:val="21"/>
        </w:rPr>
        <w:t> </w:t>
      </w:r>
      <w:r>
        <w:rPr>
          <w:sz w:val="21"/>
        </w:rPr>
        <w:t>of</w:t>
      </w:r>
      <w:r>
        <w:rPr>
          <w:spacing w:val="40"/>
          <w:sz w:val="21"/>
        </w:rPr>
        <w:t> </w:t>
      </w:r>
      <w:r>
        <w:rPr>
          <w:sz w:val="21"/>
        </w:rPr>
        <w:t>the Committee,</w:t>
      </w:r>
      <w:r>
        <w:rPr>
          <w:spacing w:val="26"/>
          <w:sz w:val="21"/>
        </w:rPr>
        <w:t> </w:t>
      </w:r>
      <w:r>
        <w:rPr>
          <w:sz w:val="21"/>
        </w:rPr>
        <w:t>in</w:t>
      </w:r>
      <w:r>
        <w:rPr>
          <w:spacing w:val="26"/>
          <w:sz w:val="21"/>
        </w:rPr>
        <w:t> </w:t>
      </w:r>
      <w:r>
        <w:rPr>
          <w:sz w:val="21"/>
        </w:rPr>
        <w:t>which</w:t>
      </w:r>
      <w:r>
        <w:rPr>
          <w:spacing w:val="26"/>
          <w:sz w:val="21"/>
        </w:rPr>
        <w:t> </w:t>
      </w:r>
      <w:r>
        <w:rPr>
          <w:sz w:val="21"/>
        </w:rPr>
        <w:t>case</w:t>
      </w:r>
      <w:r>
        <w:rPr>
          <w:spacing w:val="26"/>
          <w:sz w:val="21"/>
        </w:rPr>
        <w:t> </w:t>
      </w:r>
      <w:r>
        <w:rPr>
          <w:sz w:val="21"/>
        </w:rPr>
        <w:t>notice</w:t>
      </w:r>
      <w:r>
        <w:rPr>
          <w:spacing w:val="26"/>
          <w:sz w:val="21"/>
        </w:rPr>
        <w:t> </w:t>
      </w:r>
      <w:r>
        <w:rPr>
          <w:sz w:val="21"/>
        </w:rPr>
        <w:t>of</w:t>
      </w:r>
      <w:r>
        <w:rPr>
          <w:spacing w:val="26"/>
          <w:sz w:val="21"/>
        </w:rPr>
        <w:t> </w:t>
      </w:r>
      <w:r>
        <w:rPr>
          <w:sz w:val="21"/>
        </w:rPr>
        <w:t>the</w:t>
      </w:r>
      <w:r>
        <w:rPr>
          <w:spacing w:val="26"/>
          <w:sz w:val="21"/>
        </w:rPr>
        <w:t> </w:t>
      </w:r>
      <w:r>
        <w:rPr>
          <w:sz w:val="21"/>
        </w:rPr>
        <w:t>change</w:t>
      </w:r>
      <w:r>
        <w:rPr>
          <w:spacing w:val="26"/>
          <w:sz w:val="21"/>
        </w:rPr>
        <w:t> </w:t>
      </w:r>
      <w:r>
        <w:rPr>
          <w:sz w:val="21"/>
        </w:rPr>
        <w:t>shall</w:t>
      </w:r>
      <w:r>
        <w:rPr>
          <w:spacing w:val="26"/>
          <w:sz w:val="21"/>
        </w:rPr>
        <w:t> </w:t>
      </w:r>
      <w:r>
        <w:rPr>
          <w:sz w:val="21"/>
        </w:rPr>
        <w:t>be</w:t>
      </w:r>
      <w:r>
        <w:rPr>
          <w:spacing w:val="26"/>
          <w:sz w:val="21"/>
        </w:rPr>
        <w:t> </w:t>
      </w:r>
      <w:r>
        <w:rPr>
          <w:sz w:val="21"/>
        </w:rPr>
        <w:t>given</w:t>
      </w:r>
      <w:r>
        <w:rPr>
          <w:spacing w:val="26"/>
          <w:sz w:val="21"/>
        </w:rPr>
        <w:t> </w:t>
      </w:r>
      <w:r>
        <w:rPr>
          <w:sz w:val="21"/>
        </w:rPr>
        <w:t>as</w:t>
      </w:r>
      <w:r>
        <w:rPr>
          <w:spacing w:val="26"/>
          <w:sz w:val="21"/>
        </w:rPr>
        <w:t> </w:t>
      </w:r>
      <w:r>
        <w:rPr>
          <w:sz w:val="21"/>
        </w:rPr>
        <w:t>soon</w:t>
      </w:r>
      <w:r>
        <w:rPr>
          <w:spacing w:val="26"/>
          <w:sz w:val="21"/>
        </w:rPr>
        <w:t> </w:t>
      </w:r>
      <w:r>
        <w:rPr>
          <w:sz w:val="21"/>
        </w:rPr>
        <w:t>as</w:t>
      </w:r>
      <w:r>
        <w:rPr>
          <w:spacing w:val="26"/>
          <w:sz w:val="21"/>
        </w:rPr>
        <w:t> </w:t>
      </w:r>
      <w:r>
        <w:rPr>
          <w:sz w:val="21"/>
        </w:rPr>
        <w:t>administratively</w:t>
      </w:r>
      <w:r>
        <w:rPr>
          <w:spacing w:val="26"/>
          <w:sz w:val="21"/>
        </w:rPr>
        <w:t> </w:t>
      </w:r>
      <w:r>
        <w:rPr>
          <w:sz w:val="21"/>
        </w:rPr>
        <w:t>practicable."</w:t>
      </w:r>
    </w:p>
    <w:p>
      <w:pPr>
        <w:pStyle w:val="BodyText"/>
        <w:spacing w:before="172"/>
        <w:rPr>
          <w:sz w:val="21"/>
        </w:rPr>
      </w:pPr>
    </w:p>
    <w:p>
      <w:pPr>
        <w:spacing w:before="0"/>
        <w:ind w:left="792" w:right="0" w:firstLine="0"/>
        <w:jc w:val="both"/>
        <w:rPr>
          <w:sz w:val="21"/>
        </w:rPr>
      </w:pPr>
      <w:r>
        <w:rPr>
          <w:sz w:val="21"/>
        </w:rPr>
        <w:t>IN</w:t>
      </w:r>
      <w:r>
        <w:rPr>
          <w:spacing w:val="4"/>
          <w:sz w:val="21"/>
        </w:rPr>
        <w:t> </w:t>
      </w:r>
      <w:r>
        <w:rPr>
          <w:sz w:val="21"/>
        </w:rPr>
        <w:t>WITNESS</w:t>
      </w:r>
      <w:r>
        <w:rPr>
          <w:spacing w:val="4"/>
          <w:sz w:val="21"/>
        </w:rPr>
        <w:t> </w:t>
      </w:r>
      <w:r>
        <w:rPr>
          <w:sz w:val="21"/>
        </w:rPr>
        <w:t>WHEREOF,</w:t>
      </w:r>
      <w:r>
        <w:rPr>
          <w:spacing w:val="9"/>
          <w:sz w:val="21"/>
        </w:rPr>
        <w:t> </w:t>
      </w:r>
      <w:r>
        <w:rPr>
          <w:sz w:val="21"/>
        </w:rPr>
        <w:t>this</w:t>
      </w:r>
      <w:r>
        <w:rPr>
          <w:spacing w:val="-4"/>
          <w:sz w:val="21"/>
        </w:rPr>
        <w:t> </w:t>
      </w:r>
      <w:r>
        <w:rPr>
          <w:sz w:val="21"/>
        </w:rPr>
        <w:t>Amendment</w:t>
      </w:r>
      <w:r>
        <w:rPr>
          <w:spacing w:val="8"/>
          <w:sz w:val="21"/>
        </w:rPr>
        <w:t> </w:t>
      </w:r>
      <w:r>
        <w:rPr>
          <w:sz w:val="21"/>
        </w:rPr>
        <w:t>is</w:t>
      </w:r>
      <w:r>
        <w:rPr>
          <w:spacing w:val="9"/>
          <w:sz w:val="21"/>
        </w:rPr>
        <w:t> </w:t>
      </w:r>
      <w:r>
        <w:rPr>
          <w:sz w:val="21"/>
        </w:rPr>
        <w:t>executed</w:t>
      </w:r>
      <w:r>
        <w:rPr>
          <w:spacing w:val="9"/>
          <w:sz w:val="21"/>
        </w:rPr>
        <w:t> </w:t>
      </w:r>
      <w:r>
        <w:rPr>
          <w:sz w:val="21"/>
        </w:rPr>
        <w:t>by</w:t>
      </w:r>
      <w:r>
        <w:rPr>
          <w:spacing w:val="9"/>
          <w:sz w:val="21"/>
        </w:rPr>
        <w:t> </w:t>
      </w:r>
      <w:r>
        <w:rPr>
          <w:sz w:val="21"/>
        </w:rPr>
        <w:t>a</w:t>
      </w:r>
      <w:r>
        <w:rPr>
          <w:spacing w:val="9"/>
          <w:sz w:val="21"/>
        </w:rPr>
        <w:t> </w:t>
      </w:r>
      <w:r>
        <w:rPr>
          <w:sz w:val="21"/>
        </w:rPr>
        <w:t>duly</w:t>
      </w:r>
      <w:r>
        <w:rPr>
          <w:spacing w:val="9"/>
          <w:sz w:val="21"/>
        </w:rPr>
        <w:t> </w:t>
      </w:r>
      <w:r>
        <w:rPr>
          <w:sz w:val="21"/>
        </w:rPr>
        <w:t>authorized</w:t>
      </w:r>
      <w:r>
        <w:rPr>
          <w:spacing w:val="9"/>
          <w:sz w:val="21"/>
        </w:rPr>
        <w:t> </w:t>
      </w:r>
      <w:r>
        <w:rPr>
          <w:sz w:val="21"/>
        </w:rPr>
        <w:t>officer</w:t>
      </w:r>
      <w:r>
        <w:rPr>
          <w:spacing w:val="9"/>
          <w:sz w:val="21"/>
        </w:rPr>
        <w:t> </w:t>
      </w:r>
      <w:r>
        <w:rPr>
          <w:sz w:val="21"/>
        </w:rPr>
        <w:t>as</w:t>
      </w:r>
      <w:r>
        <w:rPr>
          <w:spacing w:val="9"/>
          <w:sz w:val="21"/>
        </w:rPr>
        <w:t> </w:t>
      </w:r>
      <w:r>
        <w:rPr>
          <w:sz w:val="21"/>
        </w:rPr>
        <w:t>of</w:t>
      </w:r>
      <w:r>
        <w:rPr>
          <w:spacing w:val="9"/>
          <w:sz w:val="21"/>
        </w:rPr>
        <w:t> </w:t>
      </w:r>
      <w:r>
        <w:rPr>
          <w:sz w:val="21"/>
        </w:rPr>
        <w:t>the</w:t>
      </w:r>
      <w:r>
        <w:rPr>
          <w:spacing w:val="9"/>
          <w:sz w:val="21"/>
        </w:rPr>
        <w:t> </w:t>
      </w:r>
      <w:r>
        <w:rPr>
          <w:sz w:val="21"/>
        </w:rPr>
        <w:t>date</w:t>
      </w:r>
      <w:r>
        <w:rPr>
          <w:spacing w:val="9"/>
          <w:sz w:val="21"/>
        </w:rPr>
        <w:t> </w:t>
      </w:r>
      <w:r>
        <w:rPr>
          <w:sz w:val="21"/>
        </w:rPr>
        <w:t>set</w:t>
      </w:r>
      <w:r>
        <w:rPr>
          <w:spacing w:val="9"/>
          <w:sz w:val="21"/>
        </w:rPr>
        <w:t> </w:t>
      </w:r>
      <w:r>
        <w:rPr>
          <w:sz w:val="21"/>
        </w:rPr>
        <w:t>forth</w:t>
      </w:r>
      <w:r>
        <w:rPr>
          <w:spacing w:val="9"/>
          <w:sz w:val="21"/>
        </w:rPr>
        <w:t> </w:t>
      </w:r>
      <w:r>
        <w:rPr>
          <w:spacing w:val="-2"/>
          <w:sz w:val="21"/>
        </w:rPr>
        <w:t>below.</w:t>
      </w:r>
    </w:p>
    <w:p>
      <w:pPr>
        <w:pStyle w:val="BodyText"/>
        <w:spacing w:before="165"/>
        <w:rPr>
          <w:sz w:val="21"/>
        </w:rPr>
      </w:pPr>
    </w:p>
    <w:p>
      <w:pPr>
        <w:spacing w:before="0"/>
        <w:ind w:left="144" w:right="0" w:firstLine="0"/>
        <w:jc w:val="left"/>
        <w:rPr>
          <w:sz w:val="21"/>
        </w:rPr>
      </w:pPr>
      <w:r>
        <w:rPr>
          <w:sz w:val="21"/>
        </w:rPr>
        <w:t>MGM</w:t>
      </w:r>
      <w:r>
        <w:rPr>
          <w:spacing w:val="8"/>
          <w:sz w:val="21"/>
        </w:rPr>
        <w:t> </w:t>
      </w:r>
      <w:r>
        <w:rPr>
          <w:sz w:val="21"/>
        </w:rPr>
        <w:t>RESORTS</w:t>
      </w:r>
      <w:r>
        <w:rPr>
          <w:spacing w:val="9"/>
          <w:sz w:val="21"/>
        </w:rPr>
        <w:t> </w:t>
      </w:r>
      <w:r>
        <w:rPr>
          <w:spacing w:val="-2"/>
          <w:sz w:val="21"/>
        </w:rPr>
        <w:t>INTERNATIONAL</w:t>
      </w:r>
    </w:p>
    <w:p>
      <w:pPr>
        <w:pStyle w:val="BodyText"/>
        <w:spacing w:before="18"/>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3969"/>
        <w:gridCol w:w="3186"/>
        <w:gridCol w:w="3766"/>
      </w:tblGrid>
      <w:tr>
        <w:trPr>
          <w:trHeight w:val="258" w:hRule="atLeast"/>
        </w:trPr>
        <w:tc>
          <w:tcPr>
            <w:tcW w:w="626" w:type="dxa"/>
          </w:tcPr>
          <w:p>
            <w:pPr>
              <w:pStyle w:val="TableParagraph"/>
              <w:spacing w:line="229" w:lineRule="exact" w:before="10"/>
              <w:ind w:left="50"/>
              <w:rPr>
                <w:sz w:val="21"/>
              </w:rPr>
            </w:pPr>
            <w:r>
              <w:rPr>
                <w:spacing w:val="-5"/>
                <w:sz w:val="21"/>
              </w:rPr>
              <w:t>By:</w:t>
            </w:r>
          </w:p>
        </w:tc>
        <w:tc>
          <w:tcPr>
            <w:tcW w:w="3969" w:type="dxa"/>
            <w:tcBorders>
              <w:bottom w:val="single" w:sz="12" w:space="0" w:color="000000"/>
            </w:tcBorders>
          </w:tcPr>
          <w:p>
            <w:pPr>
              <w:pStyle w:val="TableParagraph"/>
              <w:spacing w:line="238" w:lineRule="exact" w:before="0"/>
              <w:ind w:left="14"/>
              <w:rPr>
                <w:sz w:val="21"/>
              </w:rPr>
            </w:pPr>
            <w:r>
              <w:rPr>
                <w:sz w:val="21"/>
              </w:rPr>
              <w:t>/s/</w:t>
            </w:r>
            <w:r>
              <w:rPr>
                <w:spacing w:val="8"/>
                <w:sz w:val="21"/>
              </w:rPr>
              <w:t> </w:t>
            </w:r>
            <w:r>
              <w:rPr>
                <w:sz w:val="21"/>
              </w:rPr>
              <w:t>Shawn</w:t>
            </w:r>
            <w:r>
              <w:rPr>
                <w:spacing w:val="9"/>
                <w:sz w:val="21"/>
              </w:rPr>
              <w:t> </w:t>
            </w:r>
            <w:r>
              <w:rPr>
                <w:spacing w:val="-4"/>
                <w:sz w:val="21"/>
              </w:rPr>
              <w:t>Sani</w:t>
            </w:r>
          </w:p>
        </w:tc>
        <w:tc>
          <w:tcPr>
            <w:tcW w:w="3186" w:type="dxa"/>
          </w:tcPr>
          <w:p>
            <w:pPr>
              <w:pStyle w:val="TableParagraph"/>
              <w:spacing w:line="229" w:lineRule="exact" w:before="10"/>
              <w:ind w:right="366"/>
              <w:jc w:val="right"/>
              <w:rPr>
                <w:sz w:val="21"/>
              </w:rPr>
            </w:pPr>
            <w:r>
              <w:rPr>
                <w:spacing w:val="-2"/>
                <w:sz w:val="21"/>
              </w:rPr>
              <w:t>Date:</w:t>
            </w:r>
          </w:p>
        </w:tc>
        <w:tc>
          <w:tcPr>
            <w:tcW w:w="3766" w:type="dxa"/>
            <w:tcBorders>
              <w:bottom w:val="single" w:sz="12" w:space="0" w:color="000000"/>
            </w:tcBorders>
          </w:tcPr>
          <w:p>
            <w:pPr>
              <w:pStyle w:val="TableParagraph"/>
              <w:spacing w:line="238" w:lineRule="exact" w:before="0"/>
              <w:ind w:left="11"/>
              <w:rPr>
                <w:sz w:val="21"/>
              </w:rPr>
            </w:pPr>
            <w:r>
              <w:rPr>
                <w:spacing w:val="-2"/>
                <w:sz w:val="21"/>
              </w:rPr>
              <w:t>11/08/2022</w:t>
            </w:r>
          </w:p>
        </w:tc>
      </w:tr>
      <w:tr>
        <w:trPr>
          <w:trHeight w:val="267" w:hRule="atLeast"/>
        </w:trPr>
        <w:tc>
          <w:tcPr>
            <w:tcW w:w="626" w:type="dxa"/>
          </w:tcPr>
          <w:p>
            <w:pPr>
              <w:pStyle w:val="TableParagraph"/>
              <w:spacing w:before="5"/>
              <w:ind w:left="50"/>
              <w:rPr>
                <w:sz w:val="21"/>
              </w:rPr>
            </w:pPr>
            <w:r>
              <w:rPr>
                <w:spacing w:val="-4"/>
                <w:sz w:val="21"/>
              </w:rPr>
              <w:t>Its:</w:t>
            </w:r>
          </w:p>
        </w:tc>
        <w:tc>
          <w:tcPr>
            <w:tcW w:w="3969" w:type="dxa"/>
            <w:tcBorders>
              <w:top w:val="single" w:sz="12" w:space="0" w:color="000000"/>
              <w:bottom w:val="single" w:sz="6" w:space="0" w:color="000000"/>
            </w:tcBorders>
          </w:tcPr>
          <w:p>
            <w:pPr>
              <w:pStyle w:val="TableParagraph"/>
              <w:spacing w:before="5"/>
              <w:ind w:left="14"/>
              <w:rPr>
                <w:sz w:val="21"/>
              </w:rPr>
            </w:pPr>
            <w:r>
              <w:rPr>
                <w:sz w:val="21"/>
              </w:rPr>
              <w:t>Chief</w:t>
            </w:r>
            <w:r>
              <w:rPr>
                <w:spacing w:val="-4"/>
                <w:sz w:val="21"/>
              </w:rPr>
              <w:t> </w:t>
            </w:r>
            <w:r>
              <w:rPr>
                <w:sz w:val="21"/>
              </w:rPr>
              <w:t>Tax</w:t>
            </w:r>
            <w:r>
              <w:rPr>
                <w:spacing w:val="1"/>
                <w:sz w:val="21"/>
              </w:rPr>
              <w:t> </w:t>
            </w:r>
            <w:r>
              <w:rPr>
                <w:spacing w:val="-2"/>
                <w:sz w:val="21"/>
              </w:rPr>
              <w:t>Officer</w:t>
            </w:r>
          </w:p>
        </w:tc>
        <w:tc>
          <w:tcPr>
            <w:tcW w:w="3186" w:type="dxa"/>
          </w:tcPr>
          <w:p>
            <w:pPr>
              <w:pStyle w:val="TableParagraph"/>
              <w:spacing w:before="0"/>
              <w:rPr>
                <w:sz w:val="18"/>
              </w:rPr>
            </w:pPr>
          </w:p>
        </w:tc>
        <w:tc>
          <w:tcPr>
            <w:tcW w:w="3766" w:type="dxa"/>
            <w:tcBorders>
              <w:top w:val="single" w:sz="12" w:space="0" w:color="000000"/>
            </w:tcBorders>
          </w:tcPr>
          <w:p>
            <w:pPr>
              <w:pStyle w:val="TableParagraph"/>
              <w:spacing w:before="0"/>
              <w:rPr>
                <w:sz w:val="18"/>
              </w:rPr>
            </w:pPr>
          </w:p>
        </w:tc>
      </w:tr>
    </w:tbl>
    <w:p>
      <w:pPr>
        <w:spacing w:after="0"/>
        <w:rPr>
          <w:sz w:val="18"/>
        </w:rPr>
        <w:sectPr>
          <w:pgSz w:w="12240" w:h="15840"/>
          <w:pgMar w:top="480" w:bottom="280" w:left="220" w:right="240"/>
        </w:sectPr>
      </w:pPr>
    </w:p>
    <w:p>
      <w:pPr>
        <w:spacing w:before="76"/>
        <w:ind w:left="0" w:right="118" w:firstLine="0"/>
        <w:jc w:val="right"/>
        <w:rPr>
          <w:b/>
          <w:sz w:val="19"/>
        </w:rPr>
      </w:pPr>
      <w:bookmarkStart w:name="_bookmark34" w:id="35"/>
      <w:bookmarkEnd w:id="35"/>
      <w:r>
        <w:rPr/>
      </w:r>
      <w:r>
        <w:rPr>
          <w:b/>
          <w:w w:val="105"/>
          <w:sz w:val="19"/>
        </w:rPr>
        <w:t>Exhibit</w:t>
      </w:r>
      <w:r>
        <w:rPr>
          <w:b/>
          <w:spacing w:val="-8"/>
          <w:w w:val="105"/>
          <w:sz w:val="19"/>
        </w:rPr>
        <w:t> </w:t>
      </w:r>
      <w:r>
        <w:rPr>
          <w:b/>
          <w:spacing w:val="-2"/>
          <w:w w:val="105"/>
          <w:sz w:val="19"/>
        </w:rPr>
        <w:t>10.4(15)</w:t>
      </w:r>
    </w:p>
    <w:p>
      <w:pPr>
        <w:pStyle w:val="BodyText"/>
        <w:rPr>
          <w:b/>
          <w:sz w:val="19"/>
        </w:rPr>
      </w:pPr>
    </w:p>
    <w:p>
      <w:pPr>
        <w:pStyle w:val="BodyText"/>
        <w:rPr>
          <w:b/>
          <w:sz w:val="19"/>
        </w:rPr>
      </w:pPr>
    </w:p>
    <w:p>
      <w:pPr>
        <w:pStyle w:val="BodyText"/>
        <w:rPr>
          <w:b/>
          <w:sz w:val="19"/>
        </w:rPr>
      </w:pPr>
    </w:p>
    <w:p>
      <w:pPr>
        <w:pStyle w:val="BodyText"/>
        <w:spacing w:before="198"/>
        <w:rPr>
          <w:b/>
          <w:sz w:val="19"/>
        </w:rPr>
      </w:pPr>
    </w:p>
    <w:p>
      <w:pPr>
        <w:pStyle w:val="Heading3"/>
      </w:pPr>
      <w:r>
        <w:rPr/>
        <w:t>FIRST AMENDMENT</w:t>
      </w:r>
      <w:r>
        <w:rPr>
          <w:spacing w:val="13"/>
        </w:rPr>
        <w:t> </w:t>
      </w:r>
      <w:r>
        <w:rPr/>
        <w:t>TO</w:t>
      </w:r>
      <w:r>
        <w:rPr>
          <w:spacing w:val="24"/>
        </w:rPr>
        <w:t> </w:t>
      </w:r>
      <w:r>
        <w:rPr/>
        <w:t>EMPLOYMENT </w:t>
      </w:r>
      <w:r>
        <w:rPr>
          <w:spacing w:val="-2"/>
        </w:rPr>
        <w:t>AGREEMENT</w:t>
      </w:r>
    </w:p>
    <w:p>
      <w:pPr>
        <w:spacing w:line="268" w:lineRule="auto" w:before="164"/>
        <w:ind w:left="144" w:right="117" w:firstLine="0"/>
        <w:jc w:val="both"/>
        <w:rPr>
          <w:sz w:val="21"/>
        </w:rPr>
      </w:pPr>
      <w:r>
        <w:rPr>
          <w:sz w:val="21"/>
        </w:rPr>
        <w:t>This First Amendment to Employment Agreement (this “</w:t>
      </w:r>
      <w:r>
        <w:rPr>
          <w:b/>
          <w:sz w:val="21"/>
        </w:rPr>
        <w:t>Amendment</w:t>
      </w:r>
      <w:r>
        <w:rPr>
          <w:sz w:val="21"/>
        </w:rPr>
        <w:t>”) is entered into by and between </w:t>
      </w:r>
      <w:r>
        <w:rPr>
          <w:b/>
          <w:sz w:val="21"/>
        </w:rPr>
        <w:t>William Hornbuckle </w:t>
      </w:r>
      <w:r>
        <w:rPr>
          <w:sz w:val="21"/>
        </w:rPr>
        <w:t>(“</w:t>
      </w:r>
      <w:r>
        <w:rPr>
          <w:b/>
          <w:sz w:val="21"/>
        </w:rPr>
        <w:t>Employee</w:t>
      </w:r>
      <w:r>
        <w:rPr>
          <w:sz w:val="21"/>
        </w:rPr>
        <w:t>”)</w:t>
      </w:r>
      <w:r>
        <w:rPr>
          <w:spacing w:val="30"/>
          <w:sz w:val="21"/>
        </w:rPr>
        <w:t> </w:t>
      </w:r>
      <w:r>
        <w:rPr>
          <w:sz w:val="21"/>
        </w:rPr>
        <w:t>and</w:t>
      </w:r>
      <w:r>
        <w:rPr>
          <w:spacing w:val="30"/>
          <w:sz w:val="21"/>
        </w:rPr>
        <w:t> </w:t>
      </w:r>
      <w:r>
        <w:rPr>
          <w:b/>
          <w:sz w:val="21"/>
        </w:rPr>
        <w:t>MGM</w:t>
      </w:r>
      <w:r>
        <w:rPr>
          <w:b/>
          <w:spacing w:val="30"/>
          <w:sz w:val="21"/>
        </w:rPr>
        <w:t> </w:t>
      </w:r>
      <w:r>
        <w:rPr>
          <w:b/>
          <w:sz w:val="21"/>
        </w:rPr>
        <w:t>Resorts</w:t>
      </w:r>
      <w:r>
        <w:rPr>
          <w:b/>
          <w:spacing w:val="30"/>
          <w:sz w:val="21"/>
        </w:rPr>
        <w:t> </w:t>
      </w:r>
      <w:r>
        <w:rPr>
          <w:b/>
          <w:sz w:val="21"/>
        </w:rPr>
        <w:t>International</w:t>
      </w:r>
      <w:r>
        <w:rPr>
          <w:b/>
          <w:spacing w:val="30"/>
          <w:sz w:val="21"/>
        </w:rPr>
        <w:t> </w:t>
      </w:r>
      <w:r>
        <w:rPr>
          <w:sz w:val="21"/>
        </w:rPr>
        <w:t>(“</w:t>
      </w:r>
      <w:r>
        <w:rPr>
          <w:b/>
          <w:sz w:val="21"/>
        </w:rPr>
        <w:t>Employer</w:t>
      </w:r>
      <w:r>
        <w:rPr>
          <w:b/>
          <w:spacing w:val="25"/>
          <w:sz w:val="21"/>
        </w:rPr>
        <w:t> </w:t>
      </w:r>
      <w:r>
        <w:rPr>
          <w:b/>
          <w:sz w:val="21"/>
        </w:rPr>
        <w:t>or</w:t>
      </w:r>
      <w:r>
        <w:rPr>
          <w:b/>
          <w:spacing w:val="25"/>
          <w:sz w:val="21"/>
        </w:rPr>
        <w:t> </w:t>
      </w:r>
      <w:r>
        <w:rPr>
          <w:b/>
          <w:sz w:val="21"/>
        </w:rPr>
        <w:t>Company</w:t>
      </w:r>
      <w:r>
        <w:rPr>
          <w:sz w:val="21"/>
        </w:rPr>
        <w:t>”),</w:t>
      </w:r>
      <w:r>
        <w:rPr>
          <w:spacing w:val="30"/>
          <w:sz w:val="21"/>
        </w:rPr>
        <w:t> </w:t>
      </w:r>
      <w:r>
        <w:rPr>
          <w:sz w:val="21"/>
        </w:rPr>
        <w:t>as</w:t>
      </w:r>
      <w:r>
        <w:rPr>
          <w:spacing w:val="30"/>
          <w:sz w:val="21"/>
        </w:rPr>
        <w:t> </w:t>
      </w:r>
      <w:r>
        <w:rPr>
          <w:sz w:val="21"/>
        </w:rPr>
        <w:t>of</w:t>
      </w:r>
      <w:r>
        <w:rPr>
          <w:spacing w:val="30"/>
          <w:sz w:val="21"/>
        </w:rPr>
        <w:t> </w:t>
      </w:r>
      <w:r>
        <w:rPr>
          <w:b/>
          <w:sz w:val="21"/>
        </w:rPr>
        <w:t>December</w:t>
      </w:r>
      <w:r>
        <w:rPr>
          <w:b/>
          <w:spacing w:val="25"/>
          <w:sz w:val="21"/>
        </w:rPr>
        <w:t> </w:t>
      </w:r>
      <w:r>
        <w:rPr>
          <w:b/>
          <w:sz w:val="21"/>
        </w:rPr>
        <w:t>6,</w:t>
      </w:r>
      <w:r>
        <w:rPr>
          <w:b/>
          <w:spacing w:val="30"/>
          <w:sz w:val="21"/>
        </w:rPr>
        <w:t> </w:t>
      </w:r>
      <w:r>
        <w:rPr>
          <w:b/>
          <w:sz w:val="21"/>
        </w:rPr>
        <w:t>2022</w:t>
      </w:r>
      <w:r>
        <w:rPr>
          <w:sz w:val="21"/>
        </w:rPr>
        <w:t>.</w:t>
      </w:r>
      <w:r>
        <w:rPr>
          <w:spacing w:val="30"/>
          <w:sz w:val="21"/>
        </w:rPr>
        <w:t> </w:t>
      </w:r>
      <w:r>
        <w:rPr>
          <w:sz w:val="21"/>
        </w:rPr>
        <w:t>Capitalized</w:t>
      </w:r>
      <w:r>
        <w:rPr>
          <w:spacing w:val="30"/>
          <w:sz w:val="21"/>
        </w:rPr>
        <w:t> </w:t>
      </w:r>
      <w:r>
        <w:rPr>
          <w:sz w:val="21"/>
        </w:rPr>
        <w:t>terms</w:t>
      </w:r>
      <w:r>
        <w:rPr>
          <w:spacing w:val="30"/>
          <w:sz w:val="21"/>
        </w:rPr>
        <w:t> </w:t>
      </w:r>
      <w:r>
        <w:rPr>
          <w:sz w:val="21"/>
        </w:rPr>
        <w:t>that</w:t>
      </w:r>
      <w:r>
        <w:rPr>
          <w:spacing w:val="30"/>
          <w:sz w:val="21"/>
        </w:rPr>
        <w:t> </w:t>
      </w:r>
      <w:r>
        <w:rPr>
          <w:sz w:val="21"/>
        </w:rPr>
        <w:t>are not</w:t>
      </w:r>
      <w:r>
        <w:rPr>
          <w:spacing w:val="26"/>
          <w:sz w:val="21"/>
        </w:rPr>
        <w:t> </w:t>
      </w:r>
      <w:r>
        <w:rPr>
          <w:sz w:val="21"/>
        </w:rPr>
        <w:t>defined</w:t>
      </w:r>
      <w:r>
        <w:rPr>
          <w:spacing w:val="26"/>
          <w:sz w:val="21"/>
        </w:rPr>
        <w:t> </w:t>
      </w:r>
      <w:r>
        <w:rPr>
          <w:sz w:val="21"/>
        </w:rPr>
        <w:t>herein</w:t>
      </w:r>
      <w:r>
        <w:rPr>
          <w:spacing w:val="26"/>
          <w:sz w:val="21"/>
        </w:rPr>
        <w:t> </w:t>
      </w:r>
      <w:r>
        <w:rPr>
          <w:sz w:val="21"/>
        </w:rPr>
        <w:t>shall</w:t>
      </w:r>
      <w:r>
        <w:rPr>
          <w:spacing w:val="26"/>
          <w:sz w:val="21"/>
        </w:rPr>
        <w:t> </w:t>
      </w:r>
      <w:r>
        <w:rPr>
          <w:sz w:val="21"/>
        </w:rPr>
        <w:t>have</w:t>
      </w:r>
      <w:r>
        <w:rPr>
          <w:spacing w:val="26"/>
          <w:sz w:val="21"/>
        </w:rPr>
        <w:t> </w:t>
      </w:r>
      <w:r>
        <w:rPr>
          <w:sz w:val="21"/>
        </w:rPr>
        <w:t>the</w:t>
      </w:r>
      <w:r>
        <w:rPr>
          <w:spacing w:val="26"/>
          <w:sz w:val="21"/>
        </w:rPr>
        <w:t> </w:t>
      </w:r>
      <w:r>
        <w:rPr>
          <w:sz w:val="21"/>
        </w:rPr>
        <w:t>meanings</w:t>
      </w:r>
      <w:r>
        <w:rPr>
          <w:spacing w:val="26"/>
          <w:sz w:val="21"/>
        </w:rPr>
        <w:t> </w:t>
      </w:r>
      <w:r>
        <w:rPr>
          <w:sz w:val="21"/>
        </w:rPr>
        <w:t>ascribed</w:t>
      </w:r>
      <w:r>
        <w:rPr>
          <w:spacing w:val="26"/>
          <w:sz w:val="21"/>
        </w:rPr>
        <w:t> </w:t>
      </w:r>
      <w:r>
        <w:rPr>
          <w:sz w:val="21"/>
        </w:rPr>
        <w:t>to</w:t>
      </w:r>
      <w:r>
        <w:rPr>
          <w:spacing w:val="26"/>
          <w:sz w:val="21"/>
        </w:rPr>
        <w:t> </w:t>
      </w:r>
      <w:r>
        <w:rPr>
          <w:sz w:val="21"/>
        </w:rPr>
        <w:t>them</w:t>
      </w:r>
      <w:r>
        <w:rPr>
          <w:spacing w:val="26"/>
          <w:sz w:val="21"/>
        </w:rPr>
        <w:t> </w:t>
      </w:r>
      <w:r>
        <w:rPr>
          <w:sz w:val="21"/>
        </w:rPr>
        <w:t>in</w:t>
      </w:r>
      <w:r>
        <w:rPr>
          <w:spacing w:val="26"/>
          <w:sz w:val="21"/>
        </w:rPr>
        <w:t> </w:t>
      </w:r>
      <w:r>
        <w:rPr>
          <w:sz w:val="21"/>
        </w:rPr>
        <w:t>the Agreement</w:t>
      </w:r>
      <w:r>
        <w:rPr>
          <w:spacing w:val="26"/>
          <w:sz w:val="21"/>
        </w:rPr>
        <w:t> </w:t>
      </w:r>
      <w:r>
        <w:rPr>
          <w:sz w:val="21"/>
        </w:rPr>
        <w:t>(as</w:t>
      </w:r>
      <w:r>
        <w:rPr>
          <w:spacing w:val="26"/>
          <w:sz w:val="21"/>
        </w:rPr>
        <w:t> </w:t>
      </w:r>
      <w:r>
        <w:rPr>
          <w:sz w:val="21"/>
        </w:rPr>
        <w:t>defined</w:t>
      </w:r>
      <w:r>
        <w:rPr>
          <w:spacing w:val="26"/>
          <w:sz w:val="21"/>
        </w:rPr>
        <w:t> </w:t>
      </w:r>
      <w:r>
        <w:rPr>
          <w:sz w:val="21"/>
        </w:rPr>
        <w:t>below).</w:t>
      </w:r>
    </w:p>
    <w:p>
      <w:pPr>
        <w:spacing w:before="166"/>
        <w:ind w:left="24" w:right="0" w:firstLine="0"/>
        <w:jc w:val="center"/>
        <w:rPr>
          <w:b/>
          <w:sz w:val="19"/>
        </w:rPr>
      </w:pPr>
      <w:r>
        <w:rPr>
          <w:b/>
          <w:spacing w:val="-2"/>
          <w:w w:val="105"/>
          <w:sz w:val="19"/>
        </w:rPr>
        <w:t>RECITALS</w:t>
      </w:r>
    </w:p>
    <w:p>
      <w:pPr>
        <w:pStyle w:val="BodyText"/>
        <w:spacing w:before="30"/>
        <w:rPr>
          <w:b/>
          <w:sz w:val="19"/>
        </w:rPr>
      </w:pPr>
    </w:p>
    <w:p>
      <w:pPr>
        <w:spacing w:line="280" w:lineRule="auto" w:before="0"/>
        <w:ind w:left="144" w:right="118" w:firstLine="0"/>
        <w:jc w:val="both"/>
        <w:rPr>
          <w:sz w:val="21"/>
        </w:rPr>
      </w:pPr>
      <w:r>
        <w:rPr>
          <w:b/>
          <w:sz w:val="21"/>
        </w:rPr>
        <w:t>WHEREAS</w:t>
      </w:r>
      <w:r>
        <w:rPr>
          <w:sz w:val="21"/>
        </w:rPr>
        <w:t>, Employer and Employee have entered into that certain Employment Agreement, effective as of September 1, 2022 </w:t>
      </w:r>
      <w:r>
        <w:rPr>
          <w:sz w:val="21"/>
        </w:rPr>
        <w:t>(the “</w:t>
      </w:r>
      <w:r>
        <w:rPr>
          <w:b/>
          <w:sz w:val="21"/>
        </w:rPr>
        <w:t>Agreement</w:t>
      </w:r>
      <w:r>
        <w:rPr>
          <w:sz w:val="21"/>
        </w:rPr>
        <w:t>”); and</w:t>
      </w:r>
    </w:p>
    <w:p>
      <w:pPr>
        <w:spacing w:line="280" w:lineRule="auto" w:before="204"/>
        <w:ind w:left="144" w:right="118" w:firstLine="0"/>
        <w:jc w:val="both"/>
        <w:rPr>
          <w:sz w:val="21"/>
        </w:rPr>
      </w:pPr>
      <w:r>
        <w:rPr>
          <w:b/>
          <w:sz w:val="21"/>
        </w:rPr>
        <w:t>WHEREAS</w:t>
      </w:r>
      <w:r>
        <w:rPr>
          <w:sz w:val="21"/>
        </w:rPr>
        <w:t>,</w:t>
      </w:r>
      <w:r>
        <w:rPr>
          <w:spacing w:val="25"/>
          <w:sz w:val="21"/>
        </w:rPr>
        <w:t> </w:t>
      </w:r>
      <w:r>
        <w:rPr>
          <w:sz w:val="21"/>
        </w:rPr>
        <w:t>Employee</w:t>
      </w:r>
      <w:r>
        <w:rPr>
          <w:spacing w:val="25"/>
          <w:sz w:val="21"/>
        </w:rPr>
        <w:t> </w:t>
      </w:r>
      <w:r>
        <w:rPr>
          <w:sz w:val="21"/>
        </w:rPr>
        <w:t>is</w:t>
      </w:r>
      <w:r>
        <w:rPr>
          <w:spacing w:val="25"/>
          <w:sz w:val="21"/>
        </w:rPr>
        <w:t> </w:t>
      </w:r>
      <w:r>
        <w:rPr>
          <w:sz w:val="21"/>
        </w:rPr>
        <w:t>willing</w:t>
      </w:r>
      <w:r>
        <w:rPr>
          <w:spacing w:val="25"/>
          <w:sz w:val="21"/>
        </w:rPr>
        <w:t> </w:t>
      </w:r>
      <w:r>
        <w:rPr>
          <w:sz w:val="21"/>
        </w:rPr>
        <w:t>and</w:t>
      </w:r>
      <w:r>
        <w:rPr>
          <w:spacing w:val="25"/>
          <w:sz w:val="21"/>
        </w:rPr>
        <w:t> </w:t>
      </w:r>
      <w:r>
        <w:rPr>
          <w:sz w:val="21"/>
        </w:rPr>
        <w:t>Employer</w:t>
      </w:r>
      <w:r>
        <w:rPr>
          <w:spacing w:val="25"/>
          <w:sz w:val="21"/>
        </w:rPr>
        <w:t> </w:t>
      </w:r>
      <w:r>
        <w:rPr>
          <w:sz w:val="21"/>
        </w:rPr>
        <w:t>desires</w:t>
      </w:r>
      <w:r>
        <w:rPr>
          <w:spacing w:val="25"/>
          <w:sz w:val="21"/>
        </w:rPr>
        <w:t> </w:t>
      </w:r>
      <w:r>
        <w:rPr>
          <w:sz w:val="21"/>
        </w:rPr>
        <w:t>to</w:t>
      </w:r>
      <w:r>
        <w:rPr>
          <w:spacing w:val="25"/>
          <w:sz w:val="21"/>
        </w:rPr>
        <w:t> </w:t>
      </w:r>
      <w:r>
        <w:rPr>
          <w:sz w:val="21"/>
        </w:rPr>
        <w:t>modify</w:t>
      </w:r>
      <w:r>
        <w:rPr>
          <w:spacing w:val="25"/>
          <w:sz w:val="21"/>
        </w:rPr>
        <w:t> </w:t>
      </w:r>
      <w:r>
        <w:rPr>
          <w:sz w:val="21"/>
        </w:rPr>
        <w:t>certain</w:t>
      </w:r>
      <w:r>
        <w:rPr>
          <w:spacing w:val="25"/>
          <w:sz w:val="21"/>
        </w:rPr>
        <w:t> </w:t>
      </w:r>
      <w:r>
        <w:rPr>
          <w:sz w:val="21"/>
        </w:rPr>
        <w:t>terms</w:t>
      </w:r>
      <w:r>
        <w:rPr>
          <w:spacing w:val="25"/>
          <w:sz w:val="21"/>
        </w:rPr>
        <w:t> </w:t>
      </w:r>
      <w:r>
        <w:rPr>
          <w:sz w:val="21"/>
        </w:rPr>
        <w:t>and</w:t>
      </w:r>
      <w:r>
        <w:rPr>
          <w:spacing w:val="25"/>
          <w:sz w:val="21"/>
        </w:rPr>
        <w:t> </w:t>
      </w:r>
      <w:r>
        <w:rPr>
          <w:sz w:val="21"/>
        </w:rPr>
        <w:t>conditions</w:t>
      </w:r>
      <w:r>
        <w:rPr>
          <w:spacing w:val="25"/>
          <w:sz w:val="21"/>
        </w:rPr>
        <w:t> </w:t>
      </w:r>
      <w:r>
        <w:rPr>
          <w:sz w:val="21"/>
        </w:rPr>
        <w:t>to</w:t>
      </w:r>
      <w:r>
        <w:rPr>
          <w:spacing w:val="25"/>
          <w:sz w:val="21"/>
        </w:rPr>
        <w:t> </w:t>
      </w:r>
      <w:r>
        <w:rPr>
          <w:sz w:val="21"/>
        </w:rPr>
        <w:t>the Agreement</w:t>
      </w:r>
      <w:r>
        <w:rPr>
          <w:spacing w:val="25"/>
          <w:sz w:val="21"/>
        </w:rPr>
        <w:t> </w:t>
      </w:r>
      <w:r>
        <w:rPr>
          <w:sz w:val="21"/>
        </w:rPr>
        <w:t>as</w:t>
      </w:r>
      <w:r>
        <w:rPr>
          <w:spacing w:val="25"/>
          <w:sz w:val="21"/>
        </w:rPr>
        <w:t> </w:t>
      </w:r>
      <w:r>
        <w:rPr>
          <w:sz w:val="21"/>
        </w:rPr>
        <w:t>more</w:t>
      </w:r>
      <w:r>
        <w:rPr>
          <w:spacing w:val="25"/>
          <w:sz w:val="21"/>
        </w:rPr>
        <w:t> </w:t>
      </w:r>
      <w:r>
        <w:rPr>
          <w:sz w:val="21"/>
        </w:rPr>
        <w:t>fully</w:t>
      </w:r>
      <w:r>
        <w:rPr>
          <w:spacing w:val="25"/>
          <w:sz w:val="21"/>
        </w:rPr>
        <w:t> </w:t>
      </w:r>
      <w:r>
        <w:rPr>
          <w:sz w:val="21"/>
        </w:rPr>
        <w:t>set forth herein;</w:t>
      </w:r>
    </w:p>
    <w:p>
      <w:pPr>
        <w:pStyle w:val="BodyText"/>
        <w:spacing w:before="31"/>
        <w:rPr>
          <w:sz w:val="21"/>
        </w:rPr>
      </w:pPr>
    </w:p>
    <w:p>
      <w:pPr>
        <w:spacing w:line="268" w:lineRule="auto" w:before="0"/>
        <w:ind w:left="144" w:right="118" w:firstLine="0"/>
        <w:jc w:val="both"/>
        <w:rPr>
          <w:sz w:val="21"/>
        </w:rPr>
      </w:pPr>
      <w:r>
        <w:rPr>
          <w:b/>
          <w:sz w:val="21"/>
        </w:rPr>
        <w:t>NOW,</w:t>
      </w:r>
      <w:r>
        <w:rPr>
          <w:b/>
          <w:spacing w:val="30"/>
          <w:sz w:val="21"/>
        </w:rPr>
        <w:t> </w:t>
      </w:r>
      <w:r>
        <w:rPr>
          <w:b/>
          <w:sz w:val="21"/>
        </w:rPr>
        <w:t>THEREFORE</w:t>
      </w:r>
      <w:r>
        <w:rPr>
          <w:sz w:val="21"/>
        </w:rPr>
        <w:t>,</w:t>
      </w:r>
      <w:r>
        <w:rPr>
          <w:spacing w:val="35"/>
          <w:sz w:val="21"/>
        </w:rPr>
        <w:t> </w:t>
      </w:r>
      <w:r>
        <w:rPr>
          <w:sz w:val="21"/>
        </w:rPr>
        <w:t>in</w:t>
      </w:r>
      <w:r>
        <w:rPr>
          <w:spacing w:val="35"/>
          <w:sz w:val="21"/>
        </w:rPr>
        <w:t> </w:t>
      </w:r>
      <w:r>
        <w:rPr>
          <w:sz w:val="21"/>
        </w:rPr>
        <w:t>consideration</w:t>
      </w:r>
      <w:r>
        <w:rPr>
          <w:spacing w:val="35"/>
          <w:sz w:val="21"/>
        </w:rPr>
        <w:t> </w:t>
      </w:r>
      <w:r>
        <w:rPr>
          <w:sz w:val="21"/>
        </w:rPr>
        <w:t>of</w:t>
      </w:r>
      <w:r>
        <w:rPr>
          <w:spacing w:val="35"/>
          <w:sz w:val="21"/>
        </w:rPr>
        <w:t> </w:t>
      </w:r>
      <w:r>
        <w:rPr>
          <w:sz w:val="21"/>
        </w:rPr>
        <w:t>the</w:t>
      </w:r>
      <w:r>
        <w:rPr>
          <w:spacing w:val="35"/>
          <w:sz w:val="21"/>
        </w:rPr>
        <w:t> </w:t>
      </w:r>
      <w:r>
        <w:rPr>
          <w:sz w:val="21"/>
        </w:rPr>
        <w:t>foregoing</w:t>
      </w:r>
      <w:r>
        <w:rPr>
          <w:spacing w:val="35"/>
          <w:sz w:val="21"/>
        </w:rPr>
        <w:t> </w:t>
      </w:r>
      <w:r>
        <w:rPr>
          <w:sz w:val="21"/>
        </w:rPr>
        <w:t>and</w:t>
      </w:r>
      <w:r>
        <w:rPr>
          <w:spacing w:val="35"/>
          <w:sz w:val="21"/>
        </w:rPr>
        <w:t> </w:t>
      </w:r>
      <w:r>
        <w:rPr>
          <w:sz w:val="21"/>
        </w:rPr>
        <w:t>the</w:t>
      </w:r>
      <w:r>
        <w:rPr>
          <w:spacing w:val="35"/>
          <w:sz w:val="21"/>
        </w:rPr>
        <w:t> </w:t>
      </w:r>
      <w:r>
        <w:rPr>
          <w:sz w:val="21"/>
        </w:rPr>
        <w:t>respective</w:t>
      </w:r>
      <w:r>
        <w:rPr>
          <w:spacing w:val="35"/>
          <w:sz w:val="21"/>
        </w:rPr>
        <w:t> </w:t>
      </w:r>
      <w:r>
        <w:rPr>
          <w:sz w:val="21"/>
        </w:rPr>
        <w:t>representations,</w:t>
      </w:r>
      <w:r>
        <w:rPr>
          <w:spacing w:val="35"/>
          <w:sz w:val="21"/>
        </w:rPr>
        <w:t> </w:t>
      </w:r>
      <w:r>
        <w:rPr>
          <w:sz w:val="21"/>
        </w:rPr>
        <w:t>warranties,</w:t>
      </w:r>
      <w:r>
        <w:rPr>
          <w:spacing w:val="35"/>
          <w:sz w:val="21"/>
        </w:rPr>
        <w:t> </w:t>
      </w:r>
      <w:r>
        <w:rPr>
          <w:sz w:val="21"/>
        </w:rPr>
        <w:t>covenants</w:t>
      </w:r>
      <w:r>
        <w:rPr>
          <w:spacing w:val="35"/>
          <w:sz w:val="21"/>
        </w:rPr>
        <w:t> </w:t>
      </w:r>
      <w:r>
        <w:rPr>
          <w:sz w:val="21"/>
        </w:rPr>
        <w:t>and</w:t>
      </w:r>
      <w:r>
        <w:rPr>
          <w:spacing w:val="35"/>
          <w:sz w:val="21"/>
        </w:rPr>
        <w:t> </w:t>
      </w:r>
      <w:r>
        <w:rPr>
          <w:sz w:val="21"/>
        </w:rPr>
        <w:t>agreements set forth in the Agreement, the parties hereto agree as follows:</w:t>
      </w:r>
    </w:p>
    <w:p>
      <w:pPr>
        <w:pStyle w:val="ListParagraph"/>
        <w:numPr>
          <w:ilvl w:val="0"/>
          <w:numId w:val="47"/>
        </w:numPr>
        <w:tabs>
          <w:tab w:pos="791" w:val="left" w:leader="none"/>
        </w:tabs>
        <w:spacing w:line="240" w:lineRule="auto" w:before="233" w:after="0"/>
        <w:ind w:left="791" w:right="0" w:hanging="323"/>
        <w:jc w:val="left"/>
        <w:rPr>
          <w:sz w:val="19"/>
        </w:rPr>
      </w:pPr>
      <w:r>
        <w:rPr>
          <w:spacing w:val="-2"/>
          <w:w w:val="105"/>
          <w:sz w:val="19"/>
          <w:u w:val="single"/>
        </w:rPr>
        <w:t>Amendments</w:t>
      </w:r>
      <w:r>
        <w:rPr>
          <w:spacing w:val="-2"/>
          <w:w w:val="105"/>
          <w:sz w:val="19"/>
        </w:rPr>
        <w:t>.</w:t>
      </w:r>
    </w:p>
    <w:p>
      <w:pPr>
        <w:pStyle w:val="BodyText"/>
        <w:spacing w:before="16"/>
        <w:rPr>
          <w:sz w:val="19"/>
        </w:rPr>
      </w:pPr>
    </w:p>
    <w:p>
      <w:pPr>
        <w:pStyle w:val="ListParagraph"/>
        <w:numPr>
          <w:ilvl w:val="1"/>
          <w:numId w:val="47"/>
        </w:numPr>
        <w:tabs>
          <w:tab w:pos="1116" w:val="left" w:leader="none"/>
        </w:tabs>
        <w:spacing w:line="482" w:lineRule="auto" w:before="1" w:after="0"/>
        <w:ind w:left="1116" w:right="662" w:hanging="324"/>
        <w:jc w:val="left"/>
        <w:rPr>
          <w:sz w:val="21"/>
        </w:rPr>
      </w:pPr>
      <w:r>
        <w:rPr>
          <w:sz w:val="21"/>
        </w:rPr>
        <w:t>Employer and Employee hereby agree to amend Section 10.1.1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7"/>
        </w:numPr>
        <w:tabs>
          <w:tab w:pos="1116" w:val="left" w:leader="none"/>
        </w:tabs>
        <w:spacing w:line="482" w:lineRule="auto" w:before="1" w:after="0"/>
        <w:ind w:left="1116" w:right="662" w:hanging="324"/>
        <w:jc w:val="left"/>
        <w:rPr>
          <w:sz w:val="21"/>
        </w:rPr>
      </w:pPr>
      <w:r>
        <w:rPr>
          <w:sz w:val="21"/>
        </w:rPr>
        <w:t>Employer and Employee hereby agree to amend Section 10.1.2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7"/>
        </w:numPr>
        <w:tabs>
          <w:tab w:pos="1115" w:val="left" w:leader="none"/>
        </w:tabs>
        <w:spacing w:line="240" w:lineRule="auto" w:before="1" w:after="0"/>
        <w:ind w:left="1115" w:right="0" w:hanging="323"/>
        <w:jc w:val="left"/>
        <w:rPr>
          <w:sz w:val="21"/>
        </w:rPr>
      </w:pPr>
      <w:r>
        <w:rPr>
          <w:sz w:val="21"/>
        </w:rPr>
        <w:t>Employer</w:t>
      </w:r>
      <w:r>
        <w:rPr>
          <w:spacing w:val="10"/>
          <w:sz w:val="21"/>
        </w:rPr>
        <w:t> </w:t>
      </w:r>
      <w:r>
        <w:rPr>
          <w:sz w:val="21"/>
        </w:rPr>
        <w:t>and</w:t>
      </w:r>
      <w:r>
        <w:rPr>
          <w:spacing w:val="11"/>
          <w:sz w:val="21"/>
        </w:rPr>
        <w:t> </w:t>
      </w:r>
      <w:r>
        <w:rPr>
          <w:sz w:val="21"/>
        </w:rPr>
        <w:t>Employee</w:t>
      </w:r>
      <w:r>
        <w:rPr>
          <w:spacing w:val="10"/>
          <w:sz w:val="21"/>
        </w:rPr>
        <w:t> </w:t>
      </w:r>
      <w:r>
        <w:rPr>
          <w:sz w:val="21"/>
        </w:rPr>
        <w:t>hereby</w:t>
      </w:r>
      <w:r>
        <w:rPr>
          <w:spacing w:val="11"/>
          <w:sz w:val="21"/>
        </w:rPr>
        <w:t> </w:t>
      </w:r>
      <w:r>
        <w:rPr>
          <w:sz w:val="21"/>
        </w:rPr>
        <w:t>agree</w:t>
      </w:r>
      <w:r>
        <w:rPr>
          <w:spacing w:val="11"/>
          <w:sz w:val="21"/>
        </w:rPr>
        <w:t> </w:t>
      </w:r>
      <w:r>
        <w:rPr>
          <w:sz w:val="21"/>
        </w:rPr>
        <w:t>to</w:t>
      </w:r>
      <w:r>
        <w:rPr>
          <w:spacing w:val="10"/>
          <w:sz w:val="21"/>
        </w:rPr>
        <w:t> </w:t>
      </w:r>
      <w:r>
        <w:rPr>
          <w:sz w:val="21"/>
        </w:rPr>
        <w:t>amend</w:t>
      </w:r>
      <w:r>
        <w:rPr>
          <w:spacing w:val="11"/>
          <w:sz w:val="21"/>
        </w:rPr>
        <w:t> </w:t>
      </w:r>
      <w:r>
        <w:rPr>
          <w:sz w:val="21"/>
        </w:rPr>
        <w:t>Section</w:t>
      </w:r>
      <w:r>
        <w:rPr>
          <w:spacing w:val="10"/>
          <w:sz w:val="21"/>
        </w:rPr>
        <w:t> </w:t>
      </w:r>
      <w:r>
        <w:rPr>
          <w:sz w:val="21"/>
        </w:rPr>
        <w:t>10.2.1</w:t>
      </w:r>
      <w:r>
        <w:rPr>
          <w:spacing w:val="11"/>
          <w:sz w:val="21"/>
        </w:rPr>
        <w:t> </w:t>
      </w:r>
      <w:r>
        <w:rPr>
          <w:sz w:val="21"/>
        </w:rPr>
        <w:t>by</w:t>
      </w:r>
      <w:r>
        <w:rPr>
          <w:spacing w:val="11"/>
          <w:sz w:val="21"/>
        </w:rPr>
        <w:t> </w:t>
      </w:r>
      <w:r>
        <w:rPr>
          <w:sz w:val="21"/>
        </w:rPr>
        <w:t>adding</w:t>
      </w:r>
      <w:r>
        <w:rPr>
          <w:spacing w:val="10"/>
          <w:sz w:val="21"/>
        </w:rPr>
        <w:t> </w:t>
      </w:r>
      <w:r>
        <w:rPr>
          <w:sz w:val="21"/>
        </w:rPr>
        <w:t>the</w:t>
      </w:r>
      <w:r>
        <w:rPr>
          <w:spacing w:val="11"/>
          <w:sz w:val="21"/>
        </w:rPr>
        <w:t> </w:t>
      </w:r>
      <w:r>
        <w:rPr>
          <w:sz w:val="21"/>
        </w:rPr>
        <w:t>following</w:t>
      </w:r>
      <w:r>
        <w:rPr>
          <w:spacing w:val="11"/>
          <w:sz w:val="21"/>
        </w:rPr>
        <w:t> </w:t>
      </w:r>
      <w:r>
        <w:rPr>
          <w:sz w:val="21"/>
        </w:rPr>
        <w:t>sentence</w:t>
      </w:r>
      <w:r>
        <w:rPr>
          <w:spacing w:val="10"/>
          <w:sz w:val="21"/>
        </w:rPr>
        <w:t> </w:t>
      </w:r>
      <w:r>
        <w:rPr>
          <w:sz w:val="21"/>
        </w:rPr>
        <w:t>at</w:t>
      </w:r>
      <w:r>
        <w:rPr>
          <w:spacing w:val="11"/>
          <w:sz w:val="21"/>
        </w:rPr>
        <w:t> </w:t>
      </w:r>
      <w:r>
        <w:rPr>
          <w:sz w:val="21"/>
        </w:rPr>
        <w:t>the</w:t>
      </w:r>
      <w:r>
        <w:rPr>
          <w:spacing w:val="10"/>
          <w:sz w:val="21"/>
        </w:rPr>
        <w:t> </w:t>
      </w:r>
      <w:r>
        <w:rPr>
          <w:sz w:val="21"/>
        </w:rPr>
        <w:t>end</w:t>
      </w:r>
      <w:r>
        <w:rPr>
          <w:spacing w:val="11"/>
          <w:sz w:val="21"/>
        </w:rPr>
        <w:t> </w:t>
      </w:r>
      <w:r>
        <w:rPr>
          <w:spacing w:val="-2"/>
          <w:sz w:val="21"/>
        </w:rPr>
        <w:t>thereof:</w:t>
      </w:r>
    </w:p>
    <w:p>
      <w:pPr>
        <w:pStyle w:val="BodyText"/>
        <w:spacing w:before="3"/>
        <w:rPr>
          <w:sz w:val="21"/>
        </w:rPr>
      </w:pPr>
    </w:p>
    <w:p>
      <w:pPr>
        <w:spacing w:line="268" w:lineRule="auto" w:before="0"/>
        <w:ind w:left="1116" w:right="218" w:firstLine="0"/>
        <w:jc w:val="left"/>
        <w:rPr>
          <w:sz w:val="21"/>
        </w:rPr>
      </w:pPr>
      <w:r>
        <w:rPr>
          <w:sz w:val="21"/>
        </w:rPr>
        <w:t>“For</w:t>
      </w:r>
      <w:r>
        <w:rPr>
          <w:spacing w:val="14"/>
          <w:sz w:val="21"/>
        </w:rPr>
        <w:t> </w:t>
      </w:r>
      <w:r>
        <w:rPr>
          <w:sz w:val="21"/>
        </w:rPr>
        <w:t>the</w:t>
      </w:r>
      <w:r>
        <w:rPr>
          <w:spacing w:val="13"/>
          <w:sz w:val="21"/>
        </w:rPr>
        <w:t> </w:t>
      </w:r>
      <w:r>
        <w:rPr>
          <w:sz w:val="21"/>
        </w:rPr>
        <w:t>avoidance</w:t>
      </w:r>
      <w:r>
        <w:rPr>
          <w:spacing w:val="14"/>
          <w:sz w:val="21"/>
        </w:rPr>
        <w:t> </w:t>
      </w:r>
      <w:r>
        <w:rPr>
          <w:sz w:val="21"/>
        </w:rPr>
        <w:t>of</w:t>
      </w:r>
      <w:r>
        <w:rPr>
          <w:spacing w:val="13"/>
          <w:sz w:val="21"/>
        </w:rPr>
        <w:t> </w:t>
      </w:r>
      <w:r>
        <w:rPr>
          <w:sz w:val="21"/>
        </w:rPr>
        <w:t>doubt,</w:t>
      </w:r>
      <w:r>
        <w:rPr>
          <w:spacing w:val="14"/>
          <w:sz w:val="21"/>
        </w:rPr>
        <w:t> </w:t>
      </w:r>
      <w:r>
        <w:rPr>
          <w:sz w:val="21"/>
        </w:rPr>
        <w:t>an</w:t>
      </w:r>
      <w:r>
        <w:rPr>
          <w:spacing w:val="13"/>
          <w:sz w:val="21"/>
        </w:rPr>
        <w:t> </w:t>
      </w:r>
      <w:r>
        <w:rPr>
          <w:sz w:val="21"/>
        </w:rPr>
        <w:t>earned</w:t>
      </w:r>
      <w:r>
        <w:rPr>
          <w:spacing w:val="14"/>
          <w:sz w:val="21"/>
        </w:rPr>
        <w:t> </w:t>
      </w:r>
      <w:r>
        <w:rPr>
          <w:sz w:val="21"/>
        </w:rPr>
        <w:t>bonus</w:t>
      </w:r>
      <w:r>
        <w:rPr>
          <w:spacing w:val="13"/>
          <w:sz w:val="21"/>
        </w:rPr>
        <w:t> </w:t>
      </w:r>
      <w:r>
        <w:rPr>
          <w:sz w:val="21"/>
        </w:rPr>
        <w:t>includes</w:t>
      </w:r>
      <w:r>
        <w:rPr>
          <w:spacing w:val="14"/>
          <w:sz w:val="21"/>
        </w:rPr>
        <w:t> </w:t>
      </w:r>
      <w:r>
        <w:rPr>
          <w:sz w:val="21"/>
        </w:rPr>
        <w:t>any</w:t>
      </w:r>
      <w:r>
        <w:rPr>
          <w:spacing w:val="13"/>
          <w:sz w:val="21"/>
        </w:rPr>
        <w:t> </w:t>
      </w:r>
      <w:r>
        <w:rPr>
          <w:sz w:val="21"/>
        </w:rPr>
        <w:t>bonus</w:t>
      </w:r>
      <w:r>
        <w:rPr>
          <w:spacing w:val="14"/>
          <w:sz w:val="21"/>
        </w:rPr>
        <w:t> </w:t>
      </w:r>
      <w:r>
        <w:rPr>
          <w:sz w:val="21"/>
        </w:rPr>
        <w:t>where</w:t>
      </w:r>
      <w:r>
        <w:rPr>
          <w:spacing w:val="13"/>
          <w:sz w:val="21"/>
        </w:rPr>
        <w:t> </w:t>
      </w:r>
      <w:r>
        <w:rPr>
          <w:sz w:val="21"/>
        </w:rPr>
        <w:t>the</w:t>
      </w:r>
      <w:r>
        <w:rPr>
          <w:spacing w:val="14"/>
          <w:sz w:val="21"/>
        </w:rPr>
        <w:t> </w:t>
      </w:r>
      <w:r>
        <w:rPr>
          <w:sz w:val="21"/>
        </w:rPr>
        <w:t>performance</w:t>
      </w:r>
      <w:r>
        <w:rPr>
          <w:spacing w:val="13"/>
          <w:sz w:val="21"/>
        </w:rPr>
        <w:t> </w:t>
      </w:r>
      <w:r>
        <w:rPr>
          <w:sz w:val="21"/>
        </w:rPr>
        <w:t>period</w:t>
      </w:r>
      <w:r>
        <w:rPr>
          <w:spacing w:val="14"/>
          <w:sz w:val="21"/>
        </w:rPr>
        <w:t> </w:t>
      </w:r>
      <w:r>
        <w:rPr>
          <w:sz w:val="21"/>
        </w:rPr>
        <w:t>has</w:t>
      </w:r>
      <w:r>
        <w:rPr>
          <w:spacing w:val="13"/>
          <w:sz w:val="21"/>
        </w:rPr>
        <w:t> </w:t>
      </w:r>
      <w:r>
        <w:rPr>
          <w:sz w:val="21"/>
        </w:rPr>
        <w:t>been</w:t>
      </w:r>
      <w:r>
        <w:rPr>
          <w:spacing w:val="14"/>
          <w:sz w:val="21"/>
        </w:rPr>
        <w:t> </w:t>
      </w:r>
      <w:r>
        <w:rPr>
          <w:sz w:val="21"/>
        </w:rPr>
        <w:t>completed</w:t>
      </w:r>
      <w:r>
        <w:rPr>
          <w:spacing w:val="13"/>
          <w:sz w:val="21"/>
        </w:rPr>
        <w:t> </w:t>
      </w:r>
      <w:r>
        <w:rPr>
          <w:sz w:val="21"/>
        </w:rPr>
        <w:t>and a bonus has become determinable (an “</w:t>
      </w:r>
      <w:r>
        <w:rPr>
          <w:sz w:val="21"/>
          <w:u w:val="single"/>
        </w:rPr>
        <w:t>Earned Bonus Amount</w:t>
      </w:r>
      <w:r>
        <w:rPr>
          <w:sz w:val="21"/>
        </w:rPr>
        <w:t>”).”</w:t>
      </w:r>
    </w:p>
    <w:p>
      <w:pPr>
        <w:pStyle w:val="ListParagraph"/>
        <w:numPr>
          <w:ilvl w:val="1"/>
          <w:numId w:val="47"/>
        </w:numPr>
        <w:tabs>
          <w:tab w:pos="1116" w:val="left" w:leader="none"/>
        </w:tabs>
        <w:spacing w:line="268" w:lineRule="auto" w:before="215" w:after="0"/>
        <w:ind w:left="1116" w:right="404" w:hanging="324"/>
        <w:jc w:val="left"/>
        <w:rPr>
          <w:sz w:val="21"/>
        </w:rPr>
      </w:pPr>
      <w:r>
        <w:rPr>
          <w:sz w:val="21"/>
        </w:rPr>
        <w:t>Employer and Employee hereby agree to clarify and amend Section 10.3.1 by adding the following sentence at the end</w:t>
      </w:r>
      <w:r>
        <w:rPr>
          <w:spacing w:val="80"/>
          <w:sz w:val="21"/>
        </w:rPr>
        <w:t> </w:t>
      </w:r>
      <w:r>
        <w:rPr>
          <w:spacing w:val="-2"/>
          <w:sz w:val="21"/>
        </w:rPr>
        <w:t>thereof:</w:t>
      </w:r>
    </w:p>
    <w:p>
      <w:pPr>
        <w:spacing w:before="215"/>
        <w:ind w:left="1116" w:right="0" w:firstLine="0"/>
        <w:jc w:val="left"/>
        <w:rPr>
          <w:sz w:val="21"/>
        </w:rPr>
      </w:pPr>
      <w:r>
        <w:rPr>
          <w:sz w:val="21"/>
        </w:rPr>
        <w:t>“Employer</w:t>
      </w:r>
      <w:r>
        <w:rPr>
          <w:spacing w:val="11"/>
          <w:sz w:val="21"/>
        </w:rPr>
        <w:t> </w:t>
      </w:r>
      <w:r>
        <w:rPr>
          <w:sz w:val="21"/>
        </w:rPr>
        <w:t>shall</w:t>
      </w:r>
      <w:r>
        <w:rPr>
          <w:spacing w:val="12"/>
          <w:sz w:val="21"/>
        </w:rPr>
        <w:t> </w:t>
      </w:r>
      <w:r>
        <w:rPr>
          <w:sz w:val="21"/>
        </w:rPr>
        <w:t>also</w:t>
      </w:r>
      <w:r>
        <w:rPr>
          <w:spacing w:val="12"/>
          <w:sz w:val="21"/>
        </w:rPr>
        <w:t> </w:t>
      </w:r>
      <w:r>
        <w:rPr>
          <w:sz w:val="21"/>
        </w:rPr>
        <w:t>pay</w:t>
      </w:r>
      <w:r>
        <w:rPr>
          <w:spacing w:val="12"/>
          <w:sz w:val="21"/>
        </w:rPr>
        <w:t> </w:t>
      </w:r>
      <w:r>
        <w:rPr>
          <w:sz w:val="21"/>
        </w:rPr>
        <w:t>Employee</w:t>
      </w:r>
      <w:r>
        <w:rPr>
          <w:spacing w:val="12"/>
          <w:sz w:val="21"/>
        </w:rPr>
        <w:t> </w:t>
      </w:r>
      <w:r>
        <w:rPr>
          <w:sz w:val="21"/>
        </w:rPr>
        <w:t>any</w:t>
      </w:r>
      <w:r>
        <w:rPr>
          <w:spacing w:val="12"/>
          <w:sz w:val="21"/>
        </w:rPr>
        <w:t> </w:t>
      </w:r>
      <w:r>
        <w:rPr>
          <w:sz w:val="21"/>
        </w:rPr>
        <w:t>Earned</w:t>
      </w:r>
      <w:r>
        <w:rPr>
          <w:spacing w:val="12"/>
          <w:sz w:val="21"/>
        </w:rPr>
        <w:t> </w:t>
      </w:r>
      <w:r>
        <w:rPr>
          <w:sz w:val="21"/>
        </w:rPr>
        <w:t>Bonus</w:t>
      </w:r>
      <w:r>
        <w:rPr>
          <w:spacing w:val="-3"/>
          <w:sz w:val="21"/>
        </w:rPr>
        <w:t> </w:t>
      </w:r>
      <w:r>
        <w:rPr>
          <w:spacing w:val="-2"/>
          <w:sz w:val="21"/>
        </w:rPr>
        <w:t>Amount.”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rPr>
          <w:sz w:val="20"/>
        </w:rPr>
      </w:pPr>
      <w:r>
        <w:rPr/>
        <mc:AlternateContent>
          <mc:Choice Requires="wps">
            <w:drawing>
              <wp:anchor distT="0" distB="0" distL="0" distR="0" allowOverlap="1" layoutInCell="1" locked="0" behindDoc="1" simplePos="0" relativeHeight="487793152">
                <wp:simplePos x="0" y="0"/>
                <wp:positionH relativeFrom="page">
                  <wp:posOffset>231457</wp:posOffset>
                </wp:positionH>
                <wp:positionV relativeFrom="paragraph">
                  <wp:posOffset>243827</wp:posOffset>
                </wp:positionV>
                <wp:extent cx="7312659" cy="17145"/>
                <wp:effectExtent l="0" t="0" r="0" b="0"/>
                <wp:wrapTopAndBottom/>
                <wp:docPr id="1015" name="Group 1015"/>
                <wp:cNvGraphicFramePr>
                  <a:graphicFrameLocks/>
                </wp:cNvGraphicFramePr>
                <a:graphic>
                  <a:graphicData uri="http://schemas.microsoft.com/office/word/2010/wordprocessingGroup">
                    <wpg:wgp>
                      <wpg:cNvPr id="1015" name="Group 1015"/>
                      <wpg:cNvGrpSpPr/>
                      <wpg:grpSpPr>
                        <a:xfrm>
                          <a:off x="0" y="0"/>
                          <a:ext cx="7312659" cy="17145"/>
                          <a:chExt cx="7312659" cy="17145"/>
                        </a:xfrm>
                      </wpg:grpSpPr>
                      <wps:wsp>
                        <wps:cNvPr id="1016" name="Graphic 101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17" name="Graphic 1017"/>
                        <wps:cNvSpPr/>
                        <wps:spPr>
                          <a:xfrm>
                            <a:off x="-12" y="-2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18" name="Graphic 101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9.199024pt;width:575.8pt;height:1.35pt;mso-position-horizontal-relative:page;mso-position-vertical-relative:paragraph;z-index:-15523328;mso-wrap-distance-left:0;mso-wrap-distance-right:0" id="docshapegroup1013" coordorigin="364,384" coordsize="11516,27">
                <v:rect style="position:absolute;left:364;top:383;width:11516;height:14" id="docshape1014" filled="true" fillcolor="#999999" stroked="false">
                  <v:fill type="solid"/>
                </v:rect>
                <v:shape style="position:absolute;left:364;top:383;width:11516;height:27" id="docshape1015" coordorigin="364,384" coordsize="11516,27" path="m11880,384l11866,397,364,397,364,411,11866,411,11880,411,11880,397,11880,384xe" filled="true" fillcolor="#ededed" stroked="false">
                  <v:path arrowok="t"/>
                  <v:fill type="solid"/>
                </v:shape>
                <v:shape style="position:absolute;left:364;top:383;width:14;height:27" id="docshape1016" coordorigin="364,384" coordsize="14,27" path="m364,411l364,384,378,384,378,397,364,411xe" filled="true" fillcolor="#999999" stroked="false">
                  <v:path arrowok="t"/>
                  <v:fill type="solid"/>
                </v:shape>
                <w10:wrap type="topAndBottom"/>
              </v:group>
            </w:pict>
          </mc:Fallback>
        </mc:AlternateContent>
      </w:r>
    </w:p>
    <w:p>
      <w:pPr>
        <w:spacing w:after="0"/>
        <w:rPr>
          <w:sz w:val="20"/>
        </w:rPr>
        <w:sectPr>
          <w:pgSz w:w="12240" w:h="15840"/>
          <w:pgMar w:top="300" w:bottom="280" w:left="220" w:right="240"/>
        </w:sectPr>
      </w:pPr>
    </w:p>
    <w:p>
      <w:pPr>
        <w:pStyle w:val="ListParagraph"/>
        <w:numPr>
          <w:ilvl w:val="0"/>
          <w:numId w:val="47"/>
        </w:numPr>
        <w:tabs>
          <w:tab w:pos="791" w:val="left" w:leader="none"/>
        </w:tabs>
        <w:spacing w:line="240" w:lineRule="auto" w:before="81" w:after="0"/>
        <w:ind w:left="791" w:right="0" w:hanging="323"/>
        <w:jc w:val="left"/>
        <w:rPr>
          <w:sz w:val="21"/>
        </w:rPr>
      </w:pPr>
      <w:r>
        <w:rPr>
          <w:sz w:val="21"/>
          <w:u w:val="single"/>
        </w:rPr>
        <w:t>Effectiveness</w:t>
      </w:r>
      <w:r>
        <w:rPr>
          <w:sz w:val="21"/>
        </w:rPr>
        <w:t>.</w:t>
      </w:r>
      <w:r>
        <w:rPr>
          <w:spacing w:val="4"/>
          <w:sz w:val="21"/>
        </w:rPr>
        <w:t> </w:t>
      </w:r>
      <w:r>
        <w:rPr>
          <w:sz w:val="21"/>
        </w:rPr>
        <w:t>The</w:t>
      </w:r>
      <w:r>
        <w:rPr>
          <w:spacing w:val="9"/>
          <w:sz w:val="21"/>
        </w:rPr>
        <w:t> </w:t>
      </w:r>
      <w:r>
        <w:rPr>
          <w:sz w:val="21"/>
        </w:rPr>
        <w:t>amendments</w:t>
      </w:r>
      <w:r>
        <w:rPr>
          <w:spacing w:val="9"/>
          <w:sz w:val="21"/>
        </w:rPr>
        <w:t> </w:t>
      </w:r>
      <w:r>
        <w:rPr>
          <w:sz w:val="21"/>
        </w:rPr>
        <w:t>set</w:t>
      </w:r>
      <w:r>
        <w:rPr>
          <w:spacing w:val="9"/>
          <w:sz w:val="21"/>
        </w:rPr>
        <w:t> </w:t>
      </w:r>
      <w:r>
        <w:rPr>
          <w:sz w:val="21"/>
        </w:rPr>
        <w:t>forth</w:t>
      </w:r>
      <w:r>
        <w:rPr>
          <w:spacing w:val="9"/>
          <w:sz w:val="21"/>
        </w:rPr>
        <w:t> </w:t>
      </w:r>
      <w:r>
        <w:rPr>
          <w:sz w:val="21"/>
        </w:rPr>
        <w:t>in</w:t>
      </w:r>
      <w:r>
        <w:rPr>
          <w:spacing w:val="9"/>
          <w:sz w:val="21"/>
        </w:rPr>
        <w:t> </w:t>
      </w:r>
      <w:r>
        <w:rPr>
          <w:sz w:val="21"/>
        </w:rPr>
        <w:t>Section</w:t>
      </w:r>
      <w:r>
        <w:rPr>
          <w:spacing w:val="9"/>
          <w:sz w:val="21"/>
        </w:rPr>
        <w:t> </w:t>
      </w:r>
      <w:r>
        <w:rPr>
          <w:sz w:val="21"/>
        </w:rPr>
        <w:t>1</w:t>
      </w:r>
      <w:r>
        <w:rPr>
          <w:spacing w:val="9"/>
          <w:sz w:val="21"/>
        </w:rPr>
        <w:t> </w:t>
      </w:r>
      <w:r>
        <w:rPr>
          <w:sz w:val="21"/>
        </w:rPr>
        <w:t>shall</w:t>
      </w:r>
      <w:r>
        <w:rPr>
          <w:spacing w:val="9"/>
          <w:sz w:val="21"/>
        </w:rPr>
        <w:t> </w:t>
      </w:r>
      <w:r>
        <w:rPr>
          <w:sz w:val="21"/>
        </w:rPr>
        <w:t>be</w:t>
      </w:r>
      <w:r>
        <w:rPr>
          <w:spacing w:val="9"/>
          <w:sz w:val="21"/>
        </w:rPr>
        <w:t> </w:t>
      </w:r>
      <w:r>
        <w:rPr>
          <w:sz w:val="21"/>
        </w:rPr>
        <w:t>effective</w:t>
      </w:r>
      <w:r>
        <w:rPr>
          <w:spacing w:val="9"/>
          <w:sz w:val="21"/>
        </w:rPr>
        <w:t> </w:t>
      </w:r>
      <w:r>
        <w:rPr>
          <w:sz w:val="21"/>
        </w:rPr>
        <w:t>as</w:t>
      </w:r>
      <w:r>
        <w:rPr>
          <w:spacing w:val="9"/>
          <w:sz w:val="21"/>
        </w:rPr>
        <w:t> </w:t>
      </w:r>
      <w:r>
        <w:rPr>
          <w:sz w:val="21"/>
        </w:rPr>
        <w:t>of</w:t>
      </w:r>
      <w:r>
        <w:rPr>
          <w:spacing w:val="9"/>
          <w:sz w:val="21"/>
        </w:rPr>
        <w:t> </w:t>
      </w:r>
      <w:r>
        <w:rPr>
          <w:sz w:val="21"/>
        </w:rPr>
        <w:t>the</w:t>
      </w:r>
      <w:r>
        <w:rPr>
          <w:spacing w:val="9"/>
          <w:sz w:val="21"/>
        </w:rPr>
        <w:t> </w:t>
      </w:r>
      <w:r>
        <w:rPr>
          <w:sz w:val="21"/>
        </w:rPr>
        <w:t>date</w:t>
      </w:r>
      <w:r>
        <w:rPr>
          <w:spacing w:val="9"/>
          <w:sz w:val="21"/>
        </w:rPr>
        <w:t> </w:t>
      </w:r>
      <w:r>
        <w:rPr>
          <w:spacing w:val="-2"/>
          <w:sz w:val="21"/>
        </w:rPr>
        <w:t>hereof.</w:t>
      </w:r>
    </w:p>
    <w:p>
      <w:pPr>
        <w:pStyle w:val="BodyText"/>
        <w:spacing w:before="3"/>
        <w:rPr>
          <w:sz w:val="21"/>
        </w:rPr>
      </w:pPr>
    </w:p>
    <w:p>
      <w:pPr>
        <w:pStyle w:val="ListParagraph"/>
        <w:numPr>
          <w:ilvl w:val="0"/>
          <w:numId w:val="47"/>
        </w:numPr>
        <w:tabs>
          <w:tab w:pos="792" w:val="left" w:leader="none"/>
        </w:tabs>
        <w:spacing w:line="268" w:lineRule="auto" w:before="0" w:after="0"/>
        <w:ind w:left="792" w:right="117" w:hanging="324"/>
        <w:jc w:val="left"/>
        <w:rPr>
          <w:sz w:val="21"/>
        </w:rPr>
      </w:pPr>
      <w:r>
        <w:rPr>
          <w:sz w:val="21"/>
          <w:u w:val="single"/>
        </w:rPr>
        <w:t>Other</w:t>
      </w:r>
      <w:r>
        <w:rPr>
          <w:spacing w:val="39"/>
          <w:sz w:val="21"/>
          <w:u w:val="single"/>
        </w:rPr>
        <w:t> </w:t>
      </w:r>
      <w:r>
        <w:rPr>
          <w:sz w:val="21"/>
          <w:u w:val="single"/>
        </w:rPr>
        <w:t>Provisions</w:t>
      </w:r>
      <w:r>
        <w:rPr>
          <w:spacing w:val="39"/>
          <w:sz w:val="21"/>
          <w:u w:val="single"/>
        </w:rPr>
        <w:t> </w:t>
      </w:r>
      <w:r>
        <w:rPr>
          <w:sz w:val="21"/>
          <w:u w:val="single"/>
        </w:rPr>
        <w:t>of</w:t>
      </w:r>
      <w:r>
        <w:rPr>
          <w:spacing w:val="24"/>
          <w:sz w:val="21"/>
          <w:u w:val="single"/>
        </w:rPr>
        <w:t> </w:t>
      </w:r>
      <w:r>
        <w:rPr>
          <w:sz w:val="21"/>
          <w:u w:val="single"/>
        </w:rPr>
        <w:t>Agreement</w:t>
      </w:r>
      <w:r>
        <w:rPr>
          <w:sz w:val="21"/>
        </w:rPr>
        <w:t>.</w:t>
      </w:r>
      <w:r>
        <w:rPr>
          <w:spacing w:val="34"/>
          <w:sz w:val="21"/>
        </w:rPr>
        <w:t> </w:t>
      </w:r>
      <w:r>
        <w:rPr>
          <w:sz w:val="21"/>
        </w:rPr>
        <w:t>The</w:t>
      </w:r>
      <w:r>
        <w:rPr>
          <w:spacing w:val="39"/>
          <w:sz w:val="21"/>
        </w:rPr>
        <w:t> </w:t>
      </w:r>
      <w:r>
        <w:rPr>
          <w:sz w:val="21"/>
        </w:rPr>
        <w:t>parties</w:t>
      </w:r>
      <w:r>
        <w:rPr>
          <w:spacing w:val="39"/>
          <w:sz w:val="21"/>
        </w:rPr>
        <w:t> </w:t>
      </w:r>
      <w:r>
        <w:rPr>
          <w:sz w:val="21"/>
        </w:rPr>
        <w:t>acknowledge</w:t>
      </w:r>
      <w:r>
        <w:rPr>
          <w:spacing w:val="39"/>
          <w:sz w:val="21"/>
        </w:rPr>
        <w:t> </w:t>
      </w:r>
      <w:r>
        <w:rPr>
          <w:sz w:val="21"/>
        </w:rPr>
        <w:t>that</w:t>
      </w:r>
      <w:r>
        <w:rPr>
          <w:spacing w:val="39"/>
          <w:sz w:val="21"/>
        </w:rPr>
        <w:t> </w:t>
      </w:r>
      <w:r>
        <w:rPr>
          <w:sz w:val="21"/>
        </w:rPr>
        <w:t>the</w:t>
      </w:r>
      <w:r>
        <w:rPr>
          <w:spacing w:val="24"/>
          <w:sz w:val="21"/>
        </w:rPr>
        <w:t> </w:t>
      </w:r>
      <w:r>
        <w:rPr>
          <w:sz w:val="21"/>
        </w:rPr>
        <w:t>Agreement</w:t>
      </w:r>
      <w:r>
        <w:rPr>
          <w:spacing w:val="39"/>
          <w:sz w:val="21"/>
        </w:rPr>
        <w:t> </w:t>
      </w:r>
      <w:r>
        <w:rPr>
          <w:sz w:val="21"/>
        </w:rPr>
        <w:t>is</w:t>
      </w:r>
      <w:r>
        <w:rPr>
          <w:spacing w:val="39"/>
          <w:sz w:val="21"/>
        </w:rPr>
        <w:t> </w:t>
      </w:r>
      <w:r>
        <w:rPr>
          <w:sz w:val="21"/>
        </w:rPr>
        <w:t>being</w:t>
      </w:r>
      <w:r>
        <w:rPr>
          <w:spacing w:val="39"/>
          <w:sz w:val="21"/>
        </w:rPr>
        <w:t> </w:t>
      </w:r>
      <w:r>
        <w:rPr>
          <w:sz w:val="21"/>
        </w:rPr>
        <w:t>modified</w:t>
      </w:r>
      <w:r>
        <w:rPr>
          <w:spacing w:val="39"/>
          <w:sz w:val="21"/>
        </w:rPr>
        <w:t> </w:t>
      </w:r>
      <w:r>
        <w:rPr>
          <w:sz w:val="21"/>
        </w:rPr>
        <w:t>only</w:t>
      </w:r>
      <w:r>
        <w:rPr>
          <w:spacing w:val="39"/>
          <w:sz w:val="21"/>
        </w:rPr>
        <w:t> </w:t>
      </w:r>
      <w:r>
        <w:rPr>
          <w:sz w:val="21"/>
        </w:rPr>
        <w:t>as</w:t>
      </w:r>
      <w:r>
        <w:rPr>
          <w:spacing w:val="39"/>
          <w:sz w:val="21"/>
        </w:rPr>
        <w:t> </w:t>
      </w:r>
      <w:r>
        <w:rPr>
          <w:sz w:val="21"/>
        </w:rPr>
        <w:t>stated</w:t>
      </w:r>
      <w:r>
        <w:rPr>
          <w:spacing w:val="39"/>
          <w:sz w:val="21"/>
        </w:rPr>
        <w:t> </w:t>
      </w:r>
      <w:r>
        <w:rPr>
          <w:sz w:val="21"/>
        </w:rPr>
        <w:t>herein,</w:t>
      </w:r>
      <w:r>
        <w:rPr>
          <w:spacing w:val="39"/>
          <w:sz w:val="21"/>
        </w:rPr>
        <w:t> </w:t>
      </w:r>
      <w:r>
        <w:rPr>
          <w:sz w:val="21"/>
        </w:rPr>
        <w:t>and agree that nothing else in the Agreement shall be affected by this Amendment.</w:t>
      </w:r>
    </w:p>
    <w:p>
      <w:pPr>
        <w:pStyle w:val="ListParagraph"/>
        <w:numPr>
          <w:ilvl w:val="0"/>
          <w:numId w:val="47"/>
        </w:numPr>
        <w:tabs>
          <w:tab w:pos="792" w:val="left" w:leader="none"/>
        </w:tabs>
        <w:spacing w:line="268" w:lineRule="auto" w:before="215" w:after="0"/>
        <w:ind w:left="792" w:right="118" w:hanging="324"/>
        <w:jc w:val="left"/>
        <w:rPr>
          <w:sz w:val="21"/>
        </w:rPr>
      </w:pPr>
      <w:r>
        <w:rPr>
          <w:sz w:val="21"/>
          <w:u w:val="single"/>
        </w:rPr>
        <w:t>Employee Acknowledgment</w:t>
      </w:r>
      <w:r>
        <w:rPr>
          <w:sz w:val="21"/>
        </w:rPr>
        <w:t>.</w:t>
      </w:r>
      <w:r>
        <w:rPr>
          <w:spacing w:val="23"/>
          <w:sz w:val="21"/>
        </w:rPr>
        <w:t> </w:t>
      </w:r>
      <w:r>
        <w:rPr>
          <w:sz w:val="21"/>
        </w:rPr>
        <w:t>Employee</w:t>
      </w:r>
      <w:r>
        <w:rPr>
          <w:spacing w:val="23"/>
          <w:sz w:val="21"/>
        </w:rPr>
        <w:t> </w:t>
      </w:r>
      <w:r>
        <w:rPr>
          <w:sz w:val="21"/>
        </w:rPr>
        <w:t>agrees</w:t>
      </w:r>
      <w:r>
        <w:rPr>
          <w:spacing w:val="23"/>
          <w:sz w:val="21"/>
        </w:rPr>
        <w:t> </w:t>
      </w:r>
      <w:r>
        <w:rPr>
          <w:sz w:val="21"/>
        </w:rPr>
        <w:t>that</w:t>
      </w:r>
      <w:r>
        <w:rPr>
          <w:spacing w:val="23"/>
          <w:sz w:val="21"/>
        </w:rPr>
        <w:t> </w:t>
      </w:r>
      <w:r>
        <w:rPr>
          <w:sz w:val="21"/>
        </w:rPr>
        <w:t>Employee</w:t>
      </w:r>
      <w:r>
        <w:rPr>
          <w:spacing w:val="23"/>
          <w:sz w:val="21"/>
        </w:rPr>
        <w:t> </w:t>
      </w:r>
      <w:r>
        <w:rPr>
          <w:sz w:val="21"/>
        </w:rPr>
        <w:t>has</w:t>
      </w:r>
      <w:r>
        <w:rPr>
          <w:spacing w:val="23"/>
          <w:sz w:val="21"/>
        </w:rPr>
        <w:t> </w:t>
      </w:r>
      <w:r>
        <w:rPr>
          <w:sz w:val="21"/>
        </w:rPr>
        <w:t>had</w:t>
      </w:r>
      <w:r>
        <w:rPr>
          <w:spacing w:val="23"/>
          <w:sz w:val="21"/>
        </w:rPr>
        <w:t> </w:t>
      </w:r>
      <w:r>
        <w:rPr>
          <w:sz w:val="21"/>
        </w:rPr>
        <w:t>enough</w:t>
      </w:r>
      <w:r>
        <w:rPr>
          <w:spacing w:val="23"/>
          <w:sz w:val="21"/>
        </w:rPr>
        <w:t> </w:t>
      </w:r>
      <w:r>
        <w:rPr>
          <w:sz w:val="21"/>
        </w:rPr>
        <w:t>time</w:t>
      </w:r>
      <w:r>
        <w:rPr>
          <w:spacing w:val="23"/>
          <w:sz w:val="21"/>
        </w:rPr>
        <w:t> </w:t>
      </w:r>
      <w:r>
        <w:rPr>
          <w:sz w:val="21"/>
        </w:rPr>
        <w:t>to</w:t>
      </w:r>
      <w:r>
        <w:rPr>
          <w:spacing w:val="23"/>
          <w:sz w:val="21"/>
        </w:rPr>
        <w:t> </w:t>
      </w:r>
      <w:r>
        <w:rPr>
          <w:sz w:val="21"/>
        </w:rPr>
        <w:t>review</w:t>
      </w:r>
      <w:r>
        <w:rPr>
          <w:spacing w:val="23"/>
          <w:sz w:val="21"/>
        </w:rPr>
        <w:t> </w:t>
      </w:r>
      <w:r>
        <w:rPr>
          <w:sz w:val="21"/>
        </w:rPr>
        <w:t>this Amendment,</w:t>
      </w:r>
      <w:r>
        <w:rPr>
          <w:spacing w:val="23"/>
          <w:sz w:val="21"/>
        </w:rPr>
        <w:t> </w:t>
      </w:r>
      <w:r>
        <w:rPr>
          <w:sz w:val="21"/>
        </w:rPr>
        <w:t>ask</w:t>
      </w:r>
      <w:r>
        <w:rPr>
          <w:spacing w:val="23"/>
          <w:sz w:val="21"/>
        </w:rPr>
        <w:t> </w:t>
      </w:r>
      <w:r>
        <w:rPr>
          <w:sz w:val="21"/>
        </w:rPr>
        <w:t>questions about its content, and consult with counsel of Employee’s choosing before signing below.</w:t>
      </w:r>
    </w:p>
    <w:p>
      <w:pPr>
        <w:pStyle w:val="Heading3"/>
        <w:spacing w:before="215"/>
        <w:ind w:left="144"/>
        <w:jc w:val="left"/>
        <w:rPr>
          <w:b w:val="0"/>
        </w:rPr>
      </w:pPr>
      <w:r>
        <w:rPr/>
        <w:t>IN</w:t>
      </w:r>
      <w:r>
        <w:rPr>
          <w:spacing w:val="7"/>
        </w:rPr>
        <w:t> </w:t>
      </w:r>
      <w:r>
        <w:rPr/>
        <w:t>WITNESS</w:t>
      </w:r>
      <w:r>
        <w:rPr>
          <w:spacing w:val="7"/>
        </w:rPr>
        <w:t> </w:t>
      </w:r>
      <w:r>
        <w:rPr/>
        <w:t>WHEREOF,</w:t>
      </w:r>
      <w:r>
        <w:rPr>
          <w:spacing w:val="13"/>
        </w:rPr>
        <w:t> </w:t>
      </w:r>
      <w:r>
        <w:rPr/>
        <w:t>EMPLOYER</w:t>
      </w:r>
      <w:r>
        <w:rPr>
          <w:spacing w:val="-3"/>
        </w:rPr>
        <w:t> </w:t>
      </w:r>
      <w:r>
        <w:rPr/>
        <w:t>AND</w:t>
      </w:r>
      <w:r>
        <w:rPr>
          <w:spacing w:val="13"/>
        </w:rPr>
        <w:t> </w:t>
      </w:r>
      <w:r>
        <w:rPr/>
        <w:t>EMPLOYEE</w:t>
      </w:r>
      <w:r>
        <w:rPr>
          <w:spacing w:val="12"/>
        </w:rPr>
        <w:t> </w:t>
      </w:r>
      <w:r>
        <w:rPr/>
        <w:t>HAVE</w:t>
      </w:r>
      <w:r>
        <w:rPr>
          <w:spacing w:val="12"/>
        </w:rPr>
        <w:t> </w:t>
      </w:r>
      <w:r>
        <w:rPr/>
        <w:t>ENTERED</w:t>
      </w:r>
      <w:r>
        <w:rPr>
          <w:spacing w:val="13"/>
        </w:rPr>
        <w:t> </w:t>
      </w:r>
      <w:r>
        <w:rPr/>
        <w:t>INTO</w:t>
      </w:r>
      <w:r>
        <w:rPr>
          <w:spacing w:val="7"/>
        </w:rPr>
        <w:t> </w:t>
      </w:r>
      <w:r>
        <w:rPr/>
        <w:t>THIS</w:t>
      </w:r>
      <w:r>
        <w:rPr>
          <w:spacing w:val="-2"/>
        </w:rPr>
        <w:t> AGREEMENT</w:t>
      </w:r>
      <w:r>
        <w:rPr>
          <w:b w:val="0"/>
          <w:spacing w:val="-2"/>
        </w:rPr>
        <w:t>.</w:t>
      </w:r>
    </w:p>
    <w:p>
      <w:pPr>
        <w:pStyle w:val="BodyText"/>
        <w:spacing w:before="57"/>
        <w:rPr>
          <w:sz w:val="21"/>
        </w:rPr>
      </w:pPr>
    </w:p>
    <w:p>
      <w:pPr>
        <w:tabs>
          <w:tab w:pos="6954" w:val="left" w:leader="none"/>
        </w:tabs>
        <w:spacing w:before="0"/>
        <w:ind w:left="162" w:right="0" w:firstLine="0"/>
        <w:jc w:val="left"/>
        <w:rPr>
          <w:b/>
          <w:sz w:val="21"/>
        </w:rPr>
      </w:pPr>
      <w:r>
        <w:rPr>
          <w:b/>
          <w:sz w:val="21"/>
        </w:rPr>
        <w:t>William</w:t>
      </w:r>
      <w:r>
        <w:rPr>
          <w:b/>
          <w:spacing w:val="11"/>
          <w:sz w:val="21"/>
        </w:rPr>
        <w:t> </w:t>
      </w:r>
      <w:r>
        <w:rPr>
          <w:b/>
          <w:spacing w:val="-2"/>
          <w:sz w:val="21"/>
        </w:rPr>
        <w:t>Hornbuckle</w:t>
      </w:r>
      <w:r>
        <w:rPr>
          <w:b/>
          <w:sz w:val="21"/>
        </w:rPr>
        <w:tab/>
        <w:t>MGM</w:t>
      </w:r>
      <w:r>
        <w:rPr>
          <w:b/>
          <w:spacing w:val="13"/>
          <w:sz w:val="21"/>
        </w:rPr>
        <w:t> </w:t>
      </w:r>
      <w:r>
        <w:rPr>
          <w:b/>
          <w:sz w:val="21"/>
        </w:rPr>
        <w:t>Resorts</w:t>
      </w:r>
      <w:r>
        <w:rPr>
          <w:b/>
          <w:spacing w:val="13"/>
          <w:sz w:val="21"/>
        </w:rPr>
        <w:t> </w:t>
      </w:r>
      <w:r>
        <w:rPr>
          <w:b/>
          <w:spacing w:val="-2"/>
          <w:sz w:val="21"/>
        </w:rPr>
        <w:t>International</w:t>
      </w:r>
    </w:p>
    <w:p>
      <w:pPr>
        <w:tabs>
          <w:tab w:pos="6954" w:val="left" w:leader="none"/>
        </w:tabs>
        <w:spacing w:before="83"/>
        <w:ind w:left="162" w:right="0" w:firstLine="0"/>
        <w:jc w:val="left"/>
        <w:rPr>
          <w:sz w:val="21"/>
        </w:rPr>
      </w:pPr>
      <w:r>
        <w:rPr/>
        <mc:AlternateContent>
          <mc:Choice Requires="wps">
            <w:drawing>
              <wp:anchor distT="0" distB="0" distL="0" distR="0" allowOverlap="1" layoutInCell="1" locked="0" behindDoc="1" simplePos="0" relativeHeight="487793664">
                <wp:simplePos x="0" y="0"/>
                <wp:positionH relativeFrom="page">
                  <wp:posOffset>231444</wp:posOffset>
                </wp:positionH>
                <wp:positionV relativeFrom="paragraph">
                  <wp:posOffset>237384</wp:posOffset>
                </wp:positionV>
                <wp:extent cx="3000375" cy="8890"/>
                <wp:effectExtent l="0" t="0" r="0" b="0"/>
                <wp:wrapTopAndBottom/>
                <wp:docPr id="1019" name="Graphic 1019"/>
                <wp:cNvGraphicFramePr>
                  <a:graphicFrameLocks/>
                </wp:cNvGraphicFramePr>
                <a:graphic>
                  <a:graphicData uri="http://schemas.microsoft.com/office/word/2010/wordprocessingShape">
                    <wps:wsp>
                      <wps:cNvPr id="1019" name="Graphic 1019"/>
                      <wps:cNvSpPr/>
                      <wps:spPr>
                        <a:xfrm>
                          <a:off x="0" y="0"/>
                          <a:ext cx="3000375" cy="8890"/>
                        </a:xfrm>
                        <a:custGeom>
                          <a:avLst/>
                          <a:gdLst/>
                          <a:ahLst/>
                          <a:cxnLst/>
                          <a:rect l="l" t="t" r="r" b="b"/>
                          <a:pathLst>
                            <a:path w="3000375" h="8890">
                              <a:moveTo>
                                <a:pt x="3000375" y="0"/>
                              </a:moveTo>
                              <a:lnTo>
                                <a:pt x="2983230" y="0"/>
                              </a:lnTo>
                              <a:lnTo>
                                <a:pt x="68580" y="0"/>
                              </a:lnTo>
                              <a:lnTo>
                                <a:pt x="0" y="0"/>
                              </a:lnTo>
                              <a:lnTo>
                                <a:pt x="0" y="8572"/>
                              </a:lnTo>
                              <a:lnTo>
                                <a:pt x="68580" y="8572"/>
                              </a:lnTo>
                              <a:lnTo>
                                <a:pt x="2983230" y="8572"/>
                              </a:lnTo>
                              <a:lnTo>
                                <a:pt x="3000375" y="8572"/>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8.691694pt;width:236.25pt;height:.7pt;mso-position-horizontal-relative:page;mso-position-vertical-relative:paragraph;z-index:-15522816;mso-wrap-distance-left:0;mso-wrap-distance-right:0" id="docshape1017" coordorigin="364,374" coordsize="4725,14" path="m5089,374l5062,374,472,374,364,374,364,387,472,387,5062,387,5089,387,5089,3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94176">
                <wp:simplePos x="0" y="0"/>
                <wp:positionH relativeFrom="page">
                  <wp:posOffset>4543412</wp:posOffset>
                </wp:positionH>
                <wp:positionV relativeFrom="paragraph">
                  <wp:posOffset>237384</wp:posOffset>
                </wp:positionV>
                <wp:extent cx="3000375" cy="8890"/>
                <wp:effectExtent l="0" t="0" r="0" b="0"/>
                <wp:wrapTopAndBottom/>
                <wp:docPr id="1020" name="Graphic 1020"/>
                <wp:cNvGraphicFramePr>
                  <a:graphicFrameLocks/>
                </wp:cNvGraphicFramePr>
                <a:graphic>
                  <a:graphicData uri="http://schemas.microsoft.com/office/word/2010/wordprocessingShape">
                    <wps:wsp>
                      <wps:cNvPr id="1020" name="Graphic 1020"/>
                      <wps:cNvSpPr/>
                      <wps:spPr>
                        <a:xfrm>
                          <a:off x="0" y="0"/>
                          <a:ext cx="3000375" cy="8890"/>
                        </a:xfrm>
                        <a:custGeom>
                          <a:avLst/>
                          <a:gdLst/>
                          <a:ahLst/>
                          <a:cxnLst/>
                          <a:rect l="l" t="t" r="r" b="b"/>
                          <a:pathLst>
                            <a:path w="3000375" h="8890">
                              <a:moveTo>
                                <a:pt x="3000375" y="0"/>
                              </a:moveTo>
                              <a:lnTo>
                                <a:pt x="2983230" y="0"/>
                              </a:lnTo>
                              <a:lnTo>
                                <a:pt x="77152" y="0"/>
                              </a:lnTo>
                              <a:lnTo>
                                <a:pt x="0" y="0"/>
                              </a:lnTo>
                              <a:lnTo>
                                <a:pt x="0" y="8572"/>
                              </a:lnTo>
                              <a:lnTo>
                                <a:pt x="77152" y="8572"/>
                              </a:lnTo>
                              <a:lnTo>
                                <a:pt x="2983230" y="8572"/>
                              </a:lnTo>
                              <a:lnTo>
                                <a:pt x="3000375" y="8572"/>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49023pt;margin-top:18.691694pt;width:236.25pt;height:.7pt;mso-position-horizontal-relative:page;mso-position-vertical-relative:paragraph;z-index:-15522304;mso-wrap-distance-left:0;mso-wrap-distance-right:0" id="docshape1018" coordorigin="7155,374" coordsize="4725,14" path="m11880,374l11853,374,7276,374,7155,374,7155,387,7276,387,11853,387,11880,387,11880,374xe" filled="true" fillcolor="#000000" stroked="false">
                <v:path arrowok="t"/>
                <v:fill type="solid"/>
                <w10:wrap type="topAndBottom"/>
              </v:shape>
            </w:pict>
          </mc:Fallback>
        </mc:AlternateContent>
      </w:r>
      <w:r>
        <w:rPr>
          <w:sz w:val="21"/>
        </w:rPr>
        <w:t>/s/</w:t>
      </w:r>
      <w:r>
        <w:rPr>
          <w:spacing w:val="1"/>
          <w:sz w:val="21"/>
        </w:rPr>
        <w:t> </w:t>
      </w:r>
      <w:r>
        <w:rPr>
          <w:sz w:val="21"/>
        </w:rPr>
        <w:t>William</w:t>
      </w:r>
      <w:r>
        <w:rPr>
          <w:spacing w:val="5"/>
          <w:sz w:val="21"/>
        </w:rPr>
        <w:t> </w:t>
      </w:r>
      <w:r>
        <w:rPr>
          <w:spacing w:val="-2"/>
          <w:sz w:val="21"/>
        </w:rPr>
        <w:t>Hornbuckle</w:t>
      </w:r>
      <w:r>
        <w:rPr>
          <w:sz w:val="21"/>
        </w:rPr>
        <w:tab/>
        <w:t>/s/</w:t>
      </w:r>
      <w:r>
        <w:rPr>
          <w:spacing w:val="6"/>
          <w:sz w:val="21"/>
        </w:rPr>
        <w:t> </w:t>
      </w:r>
      <w:r>
        <w:rPr>
          <w:sz w:val="21"/>
        </w:rPr>
        <w:t>John</w:t>
      </w:r>
      <w:r>
        <w:rPr>
          <w:spacing w:val="7"/>
          <w:sz w:val="21"/>
        </w:rPr>
        <w:t> </w:t>
      </w:r>
      <w:r>
        <w:rPr>
          <w:spacing w:val="-2"/>
          <w:sz w:val="21"/>
        </w:rPr>
        <w:t>McManus</w:t>
      </w:r>
    </w:p>
    <w:p>
      <w:pPr>
        <w:spacing w:line="268" w:lineRule="auto" w:before="33"/>
        <w:ind w:left="6954" w:right="0" w:firstLine="0"/>
        <w:jc w:val="left"/>
        <w:rPr>
          <w:sz w:val="21"/>
        </w:rPr>
      </w:pPr>
      <w:r>
        <w:rPr>
          <w:sz w:val="21"/>
        </w:rPr>
        <w:t>By: John McManus, Chief Legal and </w:t>
      </w:r>
      <w:r>
        <w:rPr>
          <w:sz w:val="21"/>
        </w:rPr>
        <w:t>Administrative </w:t>
      </w:r>
      <w:r>
        <w:rPr>
          <w:spacing w:val="-2"/>
          <w:sz w:val="21"/>
        </w:rPr>
        <w:t>Officer</w:t>
      </w:r>
    </w:p>
    <w:p>
      <w:pPr>
        <w:tabs>
          <w:tab w:pos="6954" w:val="left" w:leader="none"/>
        </w:tabs>
        <w:spacing w:before="53"/>
        <w:ind w:left="162" w:right="0" w:firstLine="0"/>
        <w:jc w:val="left"/>
        <w:rPr>
          <w:sz w:val="21"/>
        </w:rPr>
      </w:pPr>
      <w:r>
        <w:rPr/>
        <mc:AlternateContent>
          <mc:Choice Requires="wps">
            <w:drawing>
              <wp:anchor distT="0" distB="0" distL="0" distR="0" allowOverlap="1" layoutInCell="1" locked="0" behindDoc="1" simplePos="0" relativeHeight="487794688">
                <wp:simplePos x="0" y="0"/>
                <wp:positionH relativeFrom="page">
                  <wp:posOffset>231444</wp:posOffset>
                </wp:positionH>
                <wp:positionV relativeFrom="paragraph">
                  <wp:posOffset>208946</wp:posOffset>
                </wp:positionV>
                <wp:extent cx="3000375" cy="17145"/>
                <wp:effectExtent l="0" t="0" r="0" b="0"/>
                <wp:wrapTopAndBottom/>
                <wp:docPr id="1021" name="Graphic 1021"/>
                <wp:cNvGraphicFramePr>
                  <a:graphicFrameLocks/>
                </wp:cNvGraphicFramePr>
                <a:graphic>
                  <a:graphicData uri="http://schemas.microsoft.com/office/word/2010/wordprocessingShape">
                    <wps:wsp>
                      <wps:cNvPr id="1021" name="Graphic 1021"/>
                      <wps:cNvSpPr/>
                      <wps:spPr>
                        <a:xfrm>
                          <a:off x="0" y="0"/>
                          <a:ext cx="3000375" cy="17145"/>
                        </a:xfrm>
                        <a:custGeom>
                          <a:avLst/>
                          <a:gdLst/>
                          <a:ahLst/>
                          <a:cxnLst/>
                          <a:rect l="l" t="t" r="r" b="b"/>
                          <a:pathLst>
                            <a:path w="3000375" h="17145">
                              <a:moveTo>
                                <a:pt x="3000375" y="0"/>
                              </a:moveTo>
                              <a:lnTo>
                                <a:pt x="2983230" y="0"/>
                              </a:lnTo>
                              <a:lnTo>
                                <a:pt x="68580" y="0"/>
                              </a:lnTo>
                              <a:lnTo>
                                <a:pt x="0" y="0"/>
                              </a:lnTo>
                              <a:lnTo>
                                <a:pt x="0" y="17145"/>
                              </a:lnTo>
                              <a:lnTo>
                                <a:pt x="68580" y="17145"/>
                              </a:lnTo>
                              <a:lnTo>
                                <a:pt x="2983230" y="17145"/>
                              </a:lnTo>
                              <a:lnTo>
                                <a:pt x="3000375" y="17145"/>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6.452461pt;width:236.25pt;height:1.35pt;mso-position-horizontal-relative:page;mso-position-vertical-relative:paragraph;z-index:-15521792;mso-wrap-distance-left:0;mso-wrap-distance-right:0" id="docshape1019" coordorigin="364,329" coordsize="4725,27" path="m5089,329l5062,329,472,329,364,329,364,356,472,356,5062,356,5089,356,5089,32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95200">
                <wp:simplePos x="0" y="0"/>
                <wp:positionH relativeFrom="page">
                  <wp:posOffset>4543412</wp:posOffset>
                </wp:positionH>
                <wp:positionV relativeFrom="paragraph">
                  <wp:posOffset>208946</wp:posOffset>
                </wp:positionV>
                <wp:extent cx="3000375" cy="17145"/>
                <wp:effectExtent l="0" t="0" r="0" b="0"/>
                <wp:wrapTopAndBottom/>
                <wp:docPr id="1022" name="Graphic 1022"/>
                <wp:cNvGraphicFramePr>
                  <a:graphicFrameLocks/>
                </wp:cNvGraphicFramePr>
                <a:graphic>
                  <a:graphicData uri="http://schemas.microsoft.com/office/word/2010/wordprocessingShape">
                    <wps:wsp>
                      <wps:cNvPr id="1022" name="Graphic 1022"/>
                      <wps:cNvSpPr/>
                      <wps:spPr>
                        <a:xfrm>
                          <a:off x="0" y="0"/>
                          <a:ext cx="3000375" cy="17145"/>
                        </a:xfrm>
                        <a:custGeom>
                          <a:avLst/>
                          <a:gdLst/>
                          <a:ahLst/>
                          <a:cxnLst/>
                          <a:rect l="l" t="t" r="r" b="b"/>
                          <a:pathLst>
                            <a:path w="3000375" h="17145">
                              <a:moveTo>
                                <a:pt x="3000375" y="0"/>
                              </a:moveTo>
                              <a:lnTo>
                                <a:pt x="2983230" y="0"/>
                              </a:lnTo>
                              <a:lnTo>
                                <a:pt x="77152" y="0"/>
                              </a:lnTo>
                              <a:lnTo>
                                <a:pt x="0" y="0"/>
                              </a:lnTo>
                              <a:lnTo>
                                <a:pt x="0" y="17145"/>
                              </a:lnTo>
                              <a:lnTo>
                                <a:pt x="77152" y="17145"/>
                              </a:lnTo>
                              <a:lnTo>
                                <a:pt x="2983230" y="17145"/>
                              </a:lnTo>
                              <a:lnTo>
                                <a:pt x="3000375" y="17145"/>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49023pt;margin-top:16.452461pt;width:236.25pt;height:1.35pt;mso-position-horizontal-relative:page;mso-position-vertical-relative:paragraph;z-index:-15521280;mso-wrap-distance-left:0;mso-wrap-distance-right:0" id="docshape1020" coordorigin="7155,329" coordsize="4725,27" path="m11880,329l11853,329,7276,329,7155,329,7155,356,7276,356,11853,356,11880,356,11880,329xe" filled="true" fillcolor="#000000" stroked="false">
                <v:path arrowok="t"/>
                <v:fill type="solid"/>
                <w10:wrap type="topAndBottom"/>
              </v:shape>
            </w:pict>
          </mc:Fallback>
        </mc:AlternateContent>
      </w:r>
      <w:r>
        <w:rPr>
          <w:spacing w:val="-2"/>
          <w:sz w:val="21"/>
        </w:rPr>
        <w:t>Dated:</w:t>
      </w:r>
      <w:r>
        <w:rPr>
          <w:sz w:val="21"/>
        </w:rPr>
        <w:tab/>
        <w:t>Dated:</w:t>
      </w:r>
      <w:r>
        <w:rPr>
          <w:spacing w:val="21"/>
          <w:sz w:val="21"/>
        </w:rPr>
        <w:t> </w:t>
      </w:r>
      <w:r>
        <w:rPr>
          <w:sz w:val="21"/>
        </w:rPr>
        <w:t>12-6-</w:t>
      </w:r>
      <w:r>
        <w:rPr>
          <w:spacing w:val="-5"/>
          <w:sz w:val="21"/>
        </w:rPr>
        <w:t>22</w:t>
      </w:r>
    </w:p>
    <w:p>
      <w:pPr>
        <w:spacing w:after="0"/>
        <w:jc w:val="left"/>
        <w:rPr>
          <w:sz w:val="21"/>
        </w:rPr>
        <w:sectPr>
          <w:pgSz w:w="12240" w:h="15840"/>
          <w:pgMar w:top="1680" w:bottom="280" w:left="220" w:right="240"/>
        </w:sectPr>
      </w:pPr>
    </w:p>
    <w:p>
      <w:pPr>
        <w:spacing w:before="76"/>
        <w:ind w:left="0" w:right="118" w:firstLine="0"/>
        <w:jc w:val="right"/>
        <w:rPr>
          <w:b/>
          <w:sz w:val="19"/>
        </w:rPr>
      </w:pPr>
      <w:bookmarkStart w:name="_bookmark35" w:id="36"/>
      <w:bookmarkEnd w:id="36"/>
      <w:r>
        <w:rPr/>
      </w:r>
      <w:r>
        <w:rPr>
          <w:b/>
          <w:w w:val="105"/>
          <w:sz w:val="19"/>
        </w:rPr>
        <w:t>Exhibit</w:t>
      </w:r>
      <w:r>
        <w:rPr>
          <w:b/>
          <w:spacing w:val="-8"/>
          <w:w w:val="105"/>
          <w:sz w:val="19"/>
        </w:rPr>
        <w:t> </w:t>
      </w:r>
      <w:r>
        <w:rPr>
          <w:b/>
          <w:spacing w:val="-2"/>
          <w:w w:val="105"/>
          <w:sz w:val="19"/>
        </w:rPr>
        <w:t>10.4(16)</w:t>
      </w:r>
    </w:p>
    <w:p>
      <w:pPr>
        <w:pStyle w:val="BodyText"/>
        <w:rPr>
          <w:b/>
          <w:sz w:val="19"/>
        </w:rPr>
      </w:pPr>
    </w:p>
    <w:p>
      <w:pPr>
        <w:pStyle w:val="BodyText"/>
        <w:rPr>
          <w:b/>
          <w:sz w:val="19"/>
        </w:rPr>
      </w:pPr>
    </w:p>
    <w:p>
      <w:pPr>
        <w:pStyle w:val="BodyText"/>
        <w:rPr>
          <w:b/>
          <w:sz w:val="19"/>
        </w:rPr>
      </w:pPr>
    </w:p>
    <w:p>
      <w:pPr>
        <w:pStyle w:val="BodyText"/>
        <w:spacing w:before="198"/>
        <w:rPr>
          <w:b/>
          <w:sz w:val="19"/>
        </w:rPr>
      </w:pPr>
    </w:p>
    <w:p>
      <w:pPr>
        <w:pStyle w:val="Heading3"/>
      </w:pPr>
      <w:r>
        <w:rPr/>
        <w:t>FIRST AMENDMENT</w:t>
      </w:r>
      <w:r>
        <w:rPr>
          <w:spacing w:val="13"/>
        </w:rPr>
        <w:t> </w:t>
      </w:r>
      <w:r>
        <w:rPr/>
        <w:t>TO</w:t>
      </w:r>
      <w:r>
        <w:rPr>
          <w:spacing w:val="24"/>
        </w:rPr>
        <w:t> </w:t>
      </w:r>
      <w:r>
        <w:rPr/>
        <w:t>EMPLOYMENT </w:t>
      </w:r>
      <w:r>
        <w:rPr>
          <w:spacing w:val="-2"/>
        </w:rPr>
        <w:t>AGREEMENT</w:t>
      </w:r>
    </w:p>
    <w:p>
      <w:pPr>
        <w:spacing w:line="268" w:lineRule="auto" w:before="177"/>
        <w:ind w:left="144" w:right="117" w:firstLine="0"/>
        <w:jc w:val="both"/>
        <w:rPr>
          <w:sz w:val="21"/>
        </w:rPr>
      </w:pPr>
      <w:r>
        <w:rPr>
          <w:sz w:val="21"/>
        </w:rPr>
        <w:t>This</w:t>
      </w:r>
      <w:r>
        <w:rPr>
          <w:spacing w:val="40"/>
          <w:sz w:val="21"/>
        </w:rPr>
        <w:t> </w:t>
      </w:r>
      <w:r>
        <w:rPr>
          <w:sz w:val="21"/>
        </w:rPr>
        <w:t>First</w:t>
      </w:r>
      <w:r>
        <w:rPr>
          <w:spacing w:val="40"/>
          <w:sz w:val="21"/>
        </w:rPr>
        <w:t> </w:t>
      </w:r>
      <w:r>
        <w:rPr>
          <w:sz w:val="21"/>
        </w:rPr>
        <w:t>Amendment</w:t>
      </w:r>
      <w:r>
        <w:rPr>
          <w:spacing w:val="40"/>
          <w:sz w:val="21"/>
        </w:rPr>
        <w:t> </w:t>
      </w:r>
      <w:r>
        <w:rPr>
          <w:sz w:val="21"/>
        </w:rPr>
        <w:t>to</w:t>
      </w:r>
      <w:r>
        <w:rPr>
          <w:spacing w:val="40"/>
          <w:sz w:val="21"/>
        </w:rPr>
        <w:t> </w:t>
      </w:r>
      <w:r>
        <w:rPr>
          <w:sz w:val="21"/>
        </w:rPr>
        <w:t>Employment</w:t>
      </w:r>
      <w:r>
        <w:rPr>
          <w:spacing w:val="40"/>
          <w:sz w:val="21"/>
        </w:rPr>
        <w:t> </w:t>
      </w:r>
      <w:r>
        <w:rPr>
          <w:sz w:val="21"/>
        </w:rPr>
        <w:t>Agreement</w:t>
      </w:r>
      <w:r>
        <w:rPr>
          <w:spacing w:val="40"/>
          <w:sz w:val="21"/>
        </w:rPr>
        <w:t> </w:t>
      </w:r>
      <w:r>
        <w:rPr>
          <w:sz w:val="21"/>
        </w:rPr>
        <w:t>(this</w:t>
      </w:r>
      <w:r>
        <w:rPr>
          <w:spacing w:val="40"/>
          <w:sz w:val="21"/>
        </w:rPr>
        <w:t> </w:t>
      </w:r>
      <w:r>
        <w:rPr>
          <w:sz w:val="21"/>
        </w:rPr>
        <w:t>“</w:t>
      </w:r>
      <w:r>
        <w:rPr>
          <w:b/>
          <w:sz w:val="21"/>
        </w:rPr>
        <w:t>Amendment</w:t>
      </w:r>
      <w:r>
        <w:rPr>
          <w:sz w:val="21"/>
        </w:rPr>
        <w:t>”)</w:t>
      </w:r>
      <w:r>
        <w:rPr>
          <w:spacing w:val="40"/>
          <w:sz w:val="21"/>
        </w:rPr>
        <w:t> </w:t>
      </w:r>
      <w:r>
        <w:rPr>
          <w:sz w:val="21"/>
        </w:rPr>
        <w:t>is</w:t>
      </w:r>
      <w:r>
        <w:rPr>
          <w:spacing w:val="40"/>
          <w:sz w:val="21"/>
        </w:rPr>
        <w:t> </w:t>
      </w:r>
      <w:r>
        <w:rPr>
          <w:sz w:val="21"/>
        </w:rPr>
        <w:t>entered</w:t>
      </w:r>
      <w:r>
        <w:rPr>
          <w:spacing w:val="40"/>
          <w:sz w:val="21"/>
        </w:rPr>
        <w:t> </w:t>
      </w:r>
      <w:r>
        <w:rPr>
          <w:sz w:val="21"/>
        </w:rPr>
        <w:t>into</w:t>
      </w:r>
      <w:r>
        <w:rPr>
          <w:spacing w:val="40"/>
          <w:sz w:val="21"/>
        </w:rPr>
        <w:t> </w:t>
      </w:r>
      <w:r>
        <w:rPr>
          <w:sz w:val="21"/>
        </w:rPr>
        <w:t>by</w:t>
      </w:r>
      <w:r>
        <w:rPr>
          <w:spacing w:val="40"/>
          <w:sz w:val="21"/>
        </w:rPr>
        <w:t> </w:t>
      </w:r>
      <w:r>
        <w:rPr>
          <w:sz w:val="21"/>
        </w:rPr>
        <w:t>and</w:t>
      </w:r>
      <w:r>
        <w:rPr>
          <w:spacing w:val="40"/>
          <w:sz w:val="21"/>
        </w:rPr>
        <w:t> </w:t>
      </w:r>
      <w:r>
        <w:rPr>
          <w:sz w:val="21"/>
        </w:rPr>
        <w:t>between</w:t>
      </w:r>
      <w:r>
        <w:rPr>
          <w:spacing w:val="40"/>
          <w:sz w:val="21"/>
        </w:rPr>
        <w:t> </w:t>
      </w:r>
      <w:r>
        <w:rPr>
          <w:b/>
          <w:sz w:val="21"/>
        </w:rPr>
        <w:t>Corey</w:t>
      </w:r>
      <w:r>
        <w:rPr>
          <w:b/>
          <w:spacing w:val="40"/>
          <w:sz w:val="21"/>
        </w:rPr>
        <w:t> </w:t>
      </w:r>
      <w:r>
        <w:rPr>
          <w:b/>
          <w:sz w:val="21"/>
        </w:rPr>
        <w:t>Sanders </w:t>
      </w:r>
      <w:r>
        <w:rPr>
          <w:sz w:val="21"/>
        </w:rPr>
        <w:t>(“</w:t>
      </w:r>
      <w:r>
        <w:rPr>
          <w:b/>
          <w:sz w:val="21"/>
        </w:rPr>
        <w:t>Employee</w:t>
      </w:r>
      <w:r>
        <w:rPr>
          <w:sz w:val="21"/>
        </w:rPr>
        <w:t>”)</w:t>
      </w:r>
      <w:r>
        <w:rPr>
          <w:spacing w:val="31"/>
          <w:sz w:val="21"/>
        </w:rPr>
        <w:t> </w:t>
      </w:r>
      <w:r>
        <w:rPr>
          <w:sz w:val="21"/>
        </w:rPr>
        <w:t>and</w:t>
      </w:r>
      <w:r>
        <w:rPr>
          <w:spacing w:val="31"/>
          <w:sz w:val="21"/>
        </w:rPr>
        <w:t> </w:t>
      </w:r>
      <w:r>
        <w:rPr>
          <w:b/>
          <w:sz w:val="21"/>
        </w:rPr>
        <w:t>MGM</w:t>
      </w:r>
      <w:r>
        <w:rPr>
          <w:b/>
          <w:spacing w:val="31"/>
          <w:sz w:val="21"/>
        </w:rPr>
        <w:t> </w:t>
      </w:r>
      <w:r>
        <w:rPr>
          <w:b/>
          <w:sz w:val="21"/>
        </w:rPr>
        <w:t>Resorts</w:t>
      </w:r>
      <w:r>
        <w:rPr>
          <w:b/>
          <w:spacing w:val="31"/>
          <w:sz w:val="21"/>
        </w:rPr>
        <w:t> </w:t>
      </w:r>
      <w:r>
        <w:rPr>
          <w:b/>
          <w:sz w:val="21"/>
        </w:rPr>
        <w:t>International</w:t>
      </w:r>
      <w:r>
        <w:rPr>
          <w:b/>
          <w:spacing w:val="31"/>
          <w:sz w:val="21"/>
        </w:rPr>
        <w:t> </w:t>
      </w:r>
      <w:r>
        <w:rPr>
          <w:sz w:val="21"/>
        </w:rPr>
        <w:t>(“</w:t>
      </w:r>
      <w:r>
        <w:rPr>
          <w:b/>
          <w:sz w:val="21"/>
        </w:rPr>
        <w:t>Employer</w:t>
      </w:r>
      <w:r>
        <w:rPr>
          <w:b/>
          <w:spacing w:val="31"/>
          <w:sz w:val="21"/>
        </w:rPr>
        <w:t> </w:t>
      </w:r>
      <w:r>
        <w:rPr>
          <w:sz w:val="21"/>
        </w:rPr>
        <w:t>or</w:t>
      </w:r>
      <w:r>
        <w:rPr>
          <w:spacing w:val="31"/>
          <w:sz w:val="21"/>
        </w:rPr>
        <w:t> </w:t>
      </w:r>
      <w:r>
        <w:rPr>
          <w:b/>
          <w:sz w:val="21"/>
        </w:rPr>
        <w:t>Company</w:t>
      </w:r>
      <w:r>
        <w:rPr>
          <w:sz w:val="21"/>
        </w:rPr>
        <w:t>”),</w:t>
      </w:r>
      <w:r>
        <w:rPr>
          <w:spacing w:val="31"/>
          <w:sz w:val="21"/>
        </w:rPr>
        <w:t> </w:t>
      </w:r>
      <w:r>
        <w:rPr>
          <w:sz w:val="21"/>
        </w:rPr>
        <w:t>as</w:t>
      </w:r>
      <w:r>
        <w:rPr>
          <w:spacing w:val="31"/>
          <w:sz w:val="21"/>
        </w:rPr>
        <w:t> </w:t>
      </w:r>
      <w:r>
        <w:rPr>
          <w:sz w:val="21"/>
        </w:rPr>
        <w:t>of</w:t>
      </w:r>
      <w:r>
        <w:rPr>
          <w:spacing w:val="31"/>
          <w:sz w:val="21"/>
        </w:rPr>
        <w:t> </w:t>
      </w:r>
      <w:r>
        <w:rPr>
          <w:b/>
          <w:sz w:val="21"/>
        </w:rPr>
        <w:t>December</w:t>
      </w:r>
      <w:r>
        <w:rPr>
          <w:b/>
          <w:spacing w:val="26"/>
          <w:sz w:val="21"/>
        </w:rPr>
        <w:t> </w:t>
      </w:r>
      <w:r>
        <w:rPr>
          <w:b/>
          <w:sz w:val="21"/>
        </w:rPr>
        <w:t>6,</w:t>
      </w:r>
      <w:r>
        <w:rPr>
          <w:b/>
          <w:spacing w:val="31"/>
          <w:sz w:val="21"/>
        </w:rPr>
        <w:t> </w:t>
      </w:r>
      <w:r>
        <w:rPr>
          <w:b/>
          <w:sz w:val="21"/>
        </w:rPr>
        <w:t>2022</w:t>
      </w:r>
      <w:r>
        <w:rPr>
          <w:sz w:val="21"/>
        </w:rPr>
        <w:t>.</w:t>
      </w:r>
      <w:r>
        <w:rPr>
          <w:spacing w:val="31"/>
          <w:sz w:val="21"/>
        </w:rPr>
        <w:t> </w:t>
      </w:r>
      <w:r>
        <w:rPr>
          <w:sz w:val="21"/>
        </w:rPr>
        <w:t>Capitalized</w:t>
      </w:r>
      <w:r>
        <w:rPr>
          <w:spacing w:val="31"/>
          <w:sz w:val="21"/>
        </w:rPr>
        <w:t> </w:t>
      </w:r>
      <w:r>
        <w:rPr>
          <w:sz w:val="21"/>
        </w:rPr>
        <w:t>terms</w:t>
      </w:r>
      <w:r>
        <w:rPr>
          <w:spacing w:val="31"/>
          <w:sz w:val="21"/>
        </w:rPr>
        <w:t> </w:t>
      </w:r>
      <w:r>
        <w:rPr>
          <w:sz w:val="21"/>
        </w:rPr>
        <w:t>that</w:t>
      </w:r>
      <w:r>
        <w:rPr>
          <w:spacing w:val="31"/>
          <w:sz w:val="21"/>
        </w:rPr>
        <w:t> </w:t>
      </w:r>
      <w:r>
        <w:rPr>
          <w:sz w:val="21"/>
        </w:rPr>
        <w:t>are not</w:t>
      </w:r>
      <w:r>
        <w:rPr>
          <w:spacing w:val="26"/>
          <w:sz w:val="21"/>
        </w:rPr>
        <w:t> </w:t>
      </w:r>
      <w:r>
        <w:rPr>
          <w:sz w:val="21"/>
        </w:rPr>
        <w:t>defined</w:t>
      </w:r>
      <w:r>
        <w:rPr>
          <w:spacing w:val="26"/>
          <w:sz w:val="21"/>
        </w:rPr>
        <w:t> </w:t>
      </w:r>
      <w:r>
        <w:rPr>
          <w:sz w:val="21"/>
        </w:rPr>
        <w:t>herein</w:t>
      </w:r>
      <w:r>
        <w:rPr>
          <w:spacing w:val="26"/>
          <w:sz w:val="21"/>
        </w:rPr>
        <w:t> </w:t>
      </w:r>
      <w:r>
        <w:rPr>
          <w:sz w:val="21"/>
        </w:rPr>
        <w:t>shall</w:t>
      </w:r>
      <w:r>
        <w:rPr>
          <w:spacing w:val="26"/>
          <w:sz w:val="21"/>
        </w:rPr>
        <w:t> </w:t>
      </w:r>
      <w:r>
        <w:rPr>
          <w:sz w:val="21"/>
        </w:rPr>
        <w:t>have</w:t>
      </w:r>
      <w:r>
        <w:rPr>
          <w:spacing w:val="26"/>
          <w:sz w:val="21"/>
        </w:rPr>
        <w:t> </w:t>
      </w:r>
      <w:r>
        <w:rPr>
          <w:sz w:val="21"/>
        </w:rPr>
        <w:t>the</w:t>
      </w:r>
      <w:r>
        <w:rPr>
          <w:spacing w:val="26"/>
          <w:sz w:val="21"/>
        </w:rPr>
        <w:t> </w:t>
      </w:r>
      <w:r>
        <w:rPr>
          <w:sz w:val="21"/>
        </w:rPr>
        <w:t>meanings</w:t>
      </w:r>
      <w:r>
        <w:rPr>
          <w:spacing w:val="26"/>
          <w:sz w:val="21"/>
        </w:rPr>
        <w:t> </w:t>
      </w:r>
      <w:r>
        <w:rPr>
          <w:sz w:val="21"/>
        </w:rPr>
        <w:t>ascribed</w:t>
      </w:r>
      <w:r>
        <w:rPr>
          <w:spacing w:val="26"/>
          <w:sz w:val="21"/>
        </w:rPr>
        <w:t> </w:t>
      </w:r>
      <w:r>
        <w:rPr>
          <w:sz w:val="21"/>
        </w:rPr>
        <w:t>to</w:t>
      </w:r>
      <w:r>
        <w:rPr>
          <w:spacing w:val="26"/>
          <w:sz w:val="21"/>
        </w:rPr>
        <w:t> </w:t>
      </w:r>
      <w:r>
        <w:rPr>
          <w:sz w:val="21"/>
        </w:rPr>
        <w:t>them</w:t>
      </w:r>
      <w:r>
        <w:rPr>
          <w:spacing w:val="26"/>
          <w:sz w:val="21"/>
        </w:rPr>
        <w:t> </w:t>
      </w:r>
      <w:r>
        <w:rPr>
          <w:sz w:val="21"/>
        </w:rPr>
        <w:t>in</w:t>
      </w:r>
      <w:r>
        <w:rPr>
          <w:spacing w:val="26"/>
          <w:sz w:val="21"/>
        </w:rPr>
        <w:t> </w:t>
      </w:r>
      <w:r>
        <w:rPr>
          <w:sz w:val="21"/>
        </w:rPr>
        <w:t>the Agreement</w:t>
      </w:r>
      <w:r>
        <w:rPr>
          <w:spacing w:val="26"/>
          <w:sz w:val="21"/>
        </w:rPr>
        <w:t> </w:t>
      </w:r>
      <w:r>
        <w:rPr>
          <w:sz w:val="21"/>
        </w:rPr>
        <w:t>(as</w:t>
      </w:r>
      <w:r>
        <w:rPr>
          <w:spacing w:val="26"/>
          <w:sz w:val="21"/>
        </w:rPr>
        <w:t> </w:t>
      </w:r>
      <w:r>
        <w:rPr>
          <w:sz w:val="21"/>
        </w:rPr>
        <w:t>defined</w:t>
      </w:r>
      <w:r>
        <w:rPr>
          <w:spacing w:val="26"/>
          <w:sz w:val="21"/>
        </w:rPr>
        <w:t> </w:t>
      </w:r>
      <w:r>
        <w:rPr>
          <w:sz w:val="21"/>
        </w:rPr>
        <w:t>below).</w:t>
      </w:r>
    </w:p>
    <w:p>
      <w:pPr>
        <w:spacing w:before="153"/>
        <w:ind w:left="24" w:right="0" w:firstLine="0"/>
        <w:jc w:val="center"/>
        <w:rPr>
          <w:b/>
          <w:sz w:val="19"/>
        </w:rPr>
      </w:pPr>
      <w:r>
        <w:rPr>
          <w:b/>
          <w:spacing w:val="-2"/>
          <w:w w:val="105"/>
          <w:sz w:val="19"/>
        </w:rPr>
        <w:t>RECITALS</w:t>
      </w:r>
    </w:p>
    <w:p>
      <w:pPr>
        <w:pStyle w:val="BodyText"/>
        <w:spacing w:before="43"/>
        <w:rPr>
          <w:b/>
          <w:sz w:val="19"/>
        </w:rPr>
      </w:pPr>
    </w:p>
    <w:p>
      <w:pPr>
        <w:spacing w:line="268" w:lineRule="auto" w:before="0"/>
        <w:ind w:left="144" w:right="118" w:firstLine="0"/>
        <w:jc w:val="both"/>
        <w:rPr>
          <w:sz w:val="21"/>
        </w:rPr>
      </w:pPr>
      <w:r>
        <w:rPr>
          <w:b/>
          <w:sz w:val="21"/>
        </w:rPr>
        <w:t>WHEREAS</w:t>
      </w:r>
      <w:r>
        <w:rPr>
          <w:sz w:val="21"/>
        </w:rPr>
        <w:t>, Employer and Employee have entered into that certain Employment Agreement, effective as of September 1, 2022 </w:t>
      </w:r>
      <w:r>
        <w:rPr>
          <w:sz w:val="21"/>
        </w:rPr>
        <w:t>(the “</w:t>
      </w:r>
      <w:r>
        <w:rPr>
          <w:b/>
          <w:sz w:val="21"/>
        </w:rPr>
        <w:t>Agreement</w:t>
      </w:r>
      <w:r>
        <w:rPr>
          <w:sz w:val="21"/>
        </w:rPr>
        <w:t>”); and</w:t>
      </w:r>
    </w:p>
    <w:p>
      <w:pPr>
        <w:spacing w:line="268" w:lineRule="auto" w:before="229"/>
        <w:ind w:left="144" w:right="118" w:firstLine="0"/>
        <w:jc w:val="both"/>
        <w:rPr>
          <w:sz w:val="21"/>
        </w:rPr>
      </w:pPr>
      <w:r>
        <w:rPr>
          <w:b/>
          <w:sz w:val="21"/>
        </w:rPr>
        <w:t>WHEREAS</w:t>
      </w:r>
      <w:r>
        <w:rPr>
          <w:sz w:val="21"/>
        </w:rPr>
        <w:t>,</w:t>
      </w:r>
      <w:r>
        <w:rPr>
          <w:spacing w:val="25"/>
          <w:sz w:val="21"/>
        </w:rPr>
        <w:t> </w:t>
      </w:r>
      <w:r>
        <w:rPr>
          <w:sz w:val="21"/>
        </w:rPr>
        <w:t>Employee</w:t>
      </w:r>
      <w:r>
        <w:rPr>
          <w:spacing w:val="25"/>
          <w:sz w:val="21"/>
        </w:rPr>
        <w:t> </w:t>
      </w:r>
      <w:r>
        <w:rPr>
          <w:sz w:val="21"/>
        </w:rPr>
        <w:t>is</w:t>
      </w:r>
      <w:r>
        <w:rPr>
          <w:spacing w:val="25"/>
          <w:sz w:val="21"/>
        </w:rPr>
        <w:t> </w:t>
      </w:r>
      <w:r>
        <w:rPr>
          <w:sz w:val="21"/>
        </w:rPr>
        <w:t>willing</w:t>
      </w:r>
      <w:r>
        <w:rPr>
          <w:spacing w:val="25"/>
          <w:sz w:val="21"/>
        </w:rPr>
        <w:t> </w:t>
      </w:r>
      <w:r>
        <w:rPr>
          <w:sz w:val="21"/>
        </w:rPr>
        <w:t>and</w:t>
      </w:r>
      <w:r>
        <w:rPr>
          <w:spacing w:val="25"/>
          <w:sz w:val="21"/>
        </w:rPr>
        <w:t> </w:t>
      </w:r>
      <w:r>
        <w:rPr>
          <w:sz w:val="21"/>
        </w:rPr>
        <w:t>Employer</w:t>
      </w:r>
      <w:r>
        <w:rPr>
          <w:spacing w:val="25"/>
          <w:sz w:val="21"/>
        </w:rPr>
        <w:t> </w:t>
      </w:r>
      <w:r>
        <w:rPr>
          <w:sz w:val="21"/>
        </w:rPr>
        <w:t>desires</w:t>
      </w:r>
      <w:r>
        <w:rPr>
          <w:spacing w:val="25"/>
          <w:sz w:val="21"/>
        </w:rPr>
        <w:t> </w:t>
      </w:r>
      <w:r>
        <w:rPr>
          <w:sz w:val="21"/>
        </w:rPr>
        <w:t>to</w:t>
      </w:r>
      <w:r>
        <w:rPr>
          <w:spacing w:val="25"/>
          <w:sz w:val="21"/>
        </w:rPr>
        <w:t> </w:t>
      </w:r>
      <w:r>
        <w:rPr>
          <w:sz w:val="21"/>
        </w:rPr>
        <w:t>modify</w:t>
      </w:r>
      <w:r>
        <w:rPr>
          <w:spacing w:val="25"/>
          <w:sz w:val="21"/>
        </w:rPr>
        <w:t> </w:t>
      </w:r>
      <w:r>
        <w:rPr>
          <w:sz w:val="21"/>
        </w:rPr>
        <w:t>certain</w:t>
      </w:r>
      <w:r>
        <w:rPr>
          <w:spacing w:val="25"/>
          <w:sz w:val="21"/>
        </w:rPr>
        <w:t> </w:t>
      </w:r>
      <w:r>
        <w:rPr>
          <w:sz w:val="21"/>
        </w:rPr>
        <w:t>terms</w:t>
      </w:r>
      <w:r>
        <w:rPr>
          <w:spacing w:val="25"/>
          <w:sz w:val="21"/>
        </w:rPr>
        <w:t> </w:t>
      </w:r>
      <w:r>
        <w:rPr>
          <w:sz w:val="21"/>
        </w:rPr>
        <w:t>and</w:t>
      </w:r>
      <w:r>
        <w:rPr>
          <w:spacing w:val="25"/>
          <w:sz w:val="21"/>
        </w:rPr>
        <w:t> </w:t>
      </w:r>
      <w:r>
        <w:rPr>
          <w:sz w:val="21"/>
        </w:rPr>
        <w:t>conditions</w:t>
      </w:r>
      <w:r>
        <w:rPr>
          <w:spacing w:val="25"/>
          <w:sz w:val="21"/>
        </w:rPr>
        <w:t> </w:t>
      </w:r>
      <w:r>
        <w:rPr>
          <w:sz w:val="21"/>
        </w:rPr>
        <w:t>to</w:t>
      </w:r>
      <w:r>
        <w:rPr>
          <w:spacing w:val="25"/>
          <w:sz w:val="21"/>
        </w:rPr>
        <w:t> </w:t>
      </w:r>
      <w:r>
        <w:rPr>
          <w:sz w:val="21"/>
        </w:rPr>
        <w:t>the Agreement</w:t>
      </w:r>
      <w:r>
        <w:rPr>
          <w:spacing w:val="25"/>
          <w:sz w:val="21"/>
        </w:rPr>
        <w:t> </w:t>
      </w:r>
      <w:r>
        <w:rPr>
          <w:sz w:val="21"/>
        </w:rPr>
        <w:t>as</w:t>
      </w:r>
      <w:r>
        <w:rPr>
          <w:spacing w:val="25"/>
          <w:sz w:val="21"/>
        </w:rPr>
        <w:t> </w:t>
      </w:r>
      <w:r>
        <w:rPr>
          <w:sz w:val="21"/>
        </w:rPr>
        <w:t>more</w:t>
      </w:r>
      <w:r>
        <w:rPr>
          <w:spacing w:val="25"/>
          <w:sz w:val="21"/>
        </w:rPr>
        <w:t> </w:t>
      </w:r>
      <w:r>
        <w:rPr>
          <w:sz w:val="21"/>
        </w:rPr>
        <w:t>fully</w:t>
      </w:r>
      <w:r>
        <w:rPr>
          <w:spacing w:val="25"/>
          <w:sz w:val="21"/>
        </w:rPr>
        <w:t> </w:t>
      </w:r>
      <w:r>
        <w:rPr>
          <w:sz w:val="21"/>
        </w:rPr>
        <w:t>set forth herein;</w:t>
      </w:r>
    </w:p>
    <w:p>
      <w:pPr>
        <w:pStyle w:val="BodyText"/>
        <w:spacing w:before="41"/>
        <w:rPr>
          <w:sz w:val="21"/>
        </w:rPr>
      </w:pPr>
    </w:p>
    <w:p>
      <w:pPr>
        <w:spacing w:line="280" w:lineRule="auto" w:before="0"/>
        <w:ind w:left="144" w:right="118" w:firstLine="0"/>
        <w:jc w:val="both"/>
        <w:rPr>
          <w:sz w:val="21"/>
        </w:rPr>
      </w:pPr>
      <w:r>
        <w:rPr>
          <w:b/>
          <w:sz w:val="21"/>
        </w:rPr>
        <w:t>NOW,</w:t>
      </w:r>
      <w:r>
        <w:rPr>
          <w:b/>
          <w:spacing w:val="30"/>
          <w:sz w:val="21"/>
        </w:rPr>
        <w:t> </w:t>
      </w:r>
      <w:r>
        <w:rPr>
          <w:b/>
          <w:sz w:val="21"/>
        </w:rPr>
        <w:t>THEREFORE</w:t>
      </w:r>
      <w:r>
        <w:rPr>
          <w:sz w:val="21"/>
        </w:rPr>
        <w:t>,</w:t>
      </w:r>
      <w:r>
        <w:rPr>
          <w:spacing w:val="35"/>
          <w:sz w:val="21"/>
        </w:rPr>
        <w:t> </w:t>
      </w:r>
      <w:r>
        <w:rPr>
          <w:sz w:val="21"/>
        </w:rPr>
        <w:t>in</w:t>
      </w:r>
      <w:r>
        <w:rPr>
          <w:spacing w:val="35"/>
          <w:sz w:val="21"/>
        </w:rPr>
        <w:t> </w:t>
      </w:r>
      <w:r>
        <w:rPr>
          <w:sz w:val="21"/>
        </w:rPr>
        <w:t>consideration</w:t>
      </w:r>
      <w:r>
        <w:rPr>
          <w:spacing w:val="35"/>
          <w:sz w:val="21"/>
        </w:rPr>
        <w:t> </w:t>
      </w:r>
      <w:r>
        <w:rPr>
          <w:sz w:val="21"/>
        </w:rPr>
        <w:t>of</w:t>
      </w:r>
      <w:r>
        <w:rPr>
          <w:spacing w:val="35"/>
          <w:sz w:val="21"/>
        </w:rPr>
        <w:t> </w:t>
      </w:r>
      <w:r>
        <w:rPr>
          <w:sz w:val="21"/>
        </w:rPr>
        <w:t>the</w:t>
      </w:r>
      <w:r>
        <w:rPr>
          <w:spacing w:val="35"/>
          <w:sz w:val="21"/>
        </w:rPr>
        <w:t> </w:t>
      </w:r>
      <w:r>
        <w:rPr>
          <w:sz w:val="21"/>
        </w:rPr>
        <w:t>foregoing</w:t>
      </w:r>
      <w:r>
        <w:rPr>
          <w:spacing w:val="35"/>
          <w:sz w:val="21"/>
        </w:rPr>
        <w:t> </w:t>
      </w:r>
      <w:r>
        <w:rPr>
          <w:sz w:val="21"/>
        </w:rPr>
        <w:t>and</w:t>
      </w:r>
      <w:r>
        <w:rPr>
          <w:spacing w:val="35"/>
          <w:sz w:val="21"/>
        </w:rPr>
        <w:t> </w:t>
      </w:r>
      <w:r>
        <w:rPr>
          <w:sz w:val="21"/>
        </w:rPr>
        <w:t>the</w:t>
      </w:r>
      <w:r>
        <w:rPr>
          <w:spacing w:val="35"/>
          <w:sz w:val="21"/>
        </w:rPr>
        <w:t> </w:t>
      </w:r>
      <w:r>
        <w:rPr>
          <w:sz w:val="21"/>
        </w:rPr>
        <w:t>respective</w:t>
      </w:r>
      <w:r>
        <w:rPr>
          <w:spacing w:val="35"/>
          <w:sz w:val="21"/>
        </w:rPr>
        <w:t> </w:t>
      </w:r>
      <w:r>
        <w:rPr>
          <w:sz w:val="21"/>
        </w:rPr>
        <w:t>representations,</w:t>
      </w:r>
      <w:r>
        <w:rPr>
          <w:spacing w:val="35"/>
          <w:sz w:val="21"/>
        </w:rPr>
        <w:t> </w:t>
      </w:r>
      <w:r>
        <w:rPr>
          <w:sz w:val="21"/>
        </w:rPr>
        <w:t>warranties,</w:t>
      </w:r>
      <w:r>
        <w:rPr>
          <w:spacing w:val="35"/>
          <w:sz w:val="21"/>
        </w:rPr>
        <w:t> </w:t>
      </w:r>
      <w:r>
        <w:rPr>
          <w:sz w:val="21"/>
        </w:rPr>
        <w:t>covenants</w:t>
      </w:r>
      <w:r>
        <w:rPr>
          <w:spacing w:val="35"/>
          <w:sz w:val="21"/>
        </w:rPr>
        <w:t> </w:t>
      </w:r>
      <w:r>
        <w:rPr>
          <w:sz w:val="21"/>
        </w:rPr>
        <w:t>and</w:t>
      </w:r>
      <w:r>
        <w:rPr>
          <w:spacing w:val="35"/>
          <w:sz w:val="21"/>
        </w:rPr>
        <w:t> </w:t>
      </w:r>
      <w:r>
        <w:rPr>
          <w:sz w:val="21"/>
        </w:rPr>
        <w:t>agreements set forth in the Agreement, the parties hereto agree as follows:</w:t>
      </w:r>
    </w:p>
    <w:p>
      <w:pPr>
        <w:pStyle w:val="ListParagraph"/>
        <w:numPr>
          <w:ilvl w:val="0"/>
          <w:numId w:val="48"/>
        </w:numPr>
        <w:tabs>
          <w:tab w:pos="791" w:val="left" w:leader="none"/>
        </w:tabs>
        <w:spacing w:line="240" w:lineRule="auto" w:before="209" w:after="0"/>
        <w:ind w:left="791" w:right="0" w:hanging="323"/>
        <w:jc w:val="left"/>
        <w:rPr>
          <w:sz w:val="19"/>
        </w:rPr>
      </w:pPr>
      <w:r>
        <w:rPr>
          <w:spacing w:val="-2"/>
          <w:w w:val="105"/>
          <w:sz w:val="19"/>
          <w:u w:val="single"/>
        </w:rPr>
        <w:t>Amendments</w:t>
      </w:r>
      <w:r>
        <w:rPr>
          <w:spacing w:val="-2"/>
          <w:w w:val="105"/>
          <w:sz w:val="19"/>
        </w:rPr>
        <w:t>.</w:t>
      </w:r>
    </w:p>
    <w:p>
      <w:pPr>
        <w:pStyle w:val="BodyText"/>
        <w:spacing w:before="17"/>
        <w:rPr>
          <w:sz w:val="19"/>
        </w:rPr>
      </w:pPr>
    </w:p>
    <w:p>
      <w:pPr>
        <w:pStyle w:val="ListParagraph"/>
        <w:numPr>
          <w:ilvl w:val="1"/>
          <w:numId w:val="48"/>
        </w:numPr>
        <w:tabs>
          <w:tab w:pos="1116" w:val="left" w:leader="none"/>
        </w:tabs>
        <w:spacing w:line="482" w:lineRule="auto" w:before="0" w:after="0"/>
        <w:ind w:left="1116" w:right="662" w:hanging="324"/>
        <w:jc w:val="left"/>
        <w:rPr>
          <w:sz w:val="21"/>
        </w:rPr>
      </w:pPr>
      <w:r>
        <w:rPr>
          <w:sz w:val="21"/>
        </w:rPr>
        <w:t>Employer and Employee hereby agree to amend Section 10.1.1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8"/>
        </w:numPr>
        <w:tabs>
          <w:tab w:pos="1116" w:val="left" w:leader="none"/>
        </w:tabs>
        <w:spacing w:line="482" w:lineRule="auto" w:before="1" w:after="0"/>
        <w:ind w:left="1116" w:right="662" w:hanging="324"/>
        <w:jc w:val="left"/>
        <w:rPr>
          <w:sz w:val="21"/>
        </w:rPr>
      </w:pPr>
      <w:r>
        <w:rPr>
          <w:sz w:val="21"/>
        </w:rPr>
        <w:t>Employer and Employee hereby agree to amend Section 10.1.2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8"/>
        </w:numPr>
        <w:tabs>
          <w:tab w:pos="1116" w:val="left" w:leader="none"/>
        </w:tabs>
        <w:spacing w:line="482" w:lineRule="auto" w:before="1" w:after="0"/>
        <w:ind w:left="1116" w:right="662" w:hanging="324"/>
        <w:jc w:val="left"/>
        <w:rPr>
          <w:sz w:val="21"/>
        </w:rPr>
      </w:pPr>
      <w:r>
        <w:rPr>
          <w:sz w:val="21"/>
        </w:rPr>
        <w:t>Employer and Employee hereby agree to amend Section 10.2.1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8"/>
        </w:numPr>
        <w:tabs>
          <w:tab w:pos="1116" w:val="left" w:leader="none"/>
        </w:tabs>
        <w:spacing w:line="631" w:lineRule="auto" w:before="2" w:after="0"/>
        <w:ind w:left="1116" w:right="423" w:hanging="324"/>
        <w:jc w:val="left"/>
        <w:rPr>
          <w:sz w:val="21"/>
        </w:rPr>
      </w:pPr>
      <w:r>
        <w:rPr>
          <w:sz w:val="21"/>
        </w:rPr>
        <w:t>Employer and Employee hereby agree to amend Section 10.2.1(a)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8"/>
        </w:numPr>
        <w:tabs>
          <w:tab w:pos="1116" w:val="left" w:leader="none"/>
        </w:tabs>
        <w:spacing w:line="268" w:lineRule="auto" w:before="0" w:after="0"/>
        <w:ind w:left="1116" w:right="404" w:hanging="324"/>
        <w:jc w:val="left"/>
        <w:rPr>
          <w:sz w:val="21"/>
        </w:rPr>
      </w:pPr>
      <w:r>
        <w:rPr>
          <w:sz w:val="21"/>
        </w:rPr>
        <w:t>Employer and Employee hereby agree to clarify and amend Section 10.3.1 by adding the following sentence at the end</w:t>
      </w:r>
      <w:r>
        <w:rPr>
          <w:spacing w:val="80"/>
          <w:sz w:val="21"/>
        </w:rPr>
        <w:t> </w:t>
      </w:r>
      <w:r>
        <w:rPr>
          <w:spacing w:val="-2"/>
          <w:sz w:val="21"/>
        </w:rPr>
        <w:t>thereof:</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4"/>
        <w:rPr>
          <w:sz w:val="20"/>
        </w:rPr>
      </w:pPr>
      <w:r>
        <w:rPr/>
        <mc:AlternateContent>
          <mc:Choice Requires="wps">
            <w:drawing>
              <wp:anchor distT="0" distB="0" distL="0" distR="0" allowOverlap="1" layoutInCell="1" locked="0" behindDoc="1" simplePos="0" relativeHeight="487795712">
                <wp:simplePos x="0" y="0"/>
                <wp:positionH relativeFrom="page">
                  <wp:posOffset>231457</wp:posOffset>
                </wp:positionH>
                <wp:positionV relativeFrom="paragraph">
                  <wp:posOffset>284467</wp:posOffset>
                </wp:positionV>
                <wp:extent cx="7312659" cy="17145"/>
                <wp:effectExtent l="0" t="0" r="0" b="0"/>
                <wp:wrapTopAndBottom/>
                <wp:docPr id="1023" name="Group 1023"/>
                <wp:cNvGraphicFramePr>
                  <a:graphicFrameLocks/>
                </wp:cNvGraphicFramePr>
                <a:graphic>
                  <a:graphicData uri="http://schemas.microsoft.com/office/word/2010/wordprocessingGroup">
                    <wpg:wgp>
                      <wpg:cNvPr id="1023" name="Group 1023"/>
                      <wpg:cNvGrpSpPr/>
                      <wpg:grpSpPr>
                        <a:xfrm>
                          <a:off x="0" y="0"/>
                          <a:ext cx="7312659" cy="17145"/>
                          <a:chExt cx="7312659" cy="17145"/>
                        </a:xfrm>
                      </wpg:grpSpPr>
                      <wps:wsp>
                        <wps:cNvPr id="1024" name="Graphic 102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25" name="Graphic 1025"/>
                        <wps:cNvSpPr/>
                        <wps:spPr>
                          <a:xfrm>
                            <a:off x="-12" y="-1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26" name="Graphic 102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2.399023pt;width:575.8pt;height:1.35pt;mso-position-horizontal-relative:page;mso-position-vertical-relative:paragraph;z-index:-15520768;mso-wrap-distance-left:0;mso-wrap-distance-right:0" id="docshapegroup1021" coordorigin="364,448" coordsize="11516,27">
                <v:rect style="position:absolute;left:364;top:447;width:11516;height:14" id="docshape1022" filled="true" fillcolor="#999999" stroked="false">
                  <v:fill type="solid"/>
                </v:rect>
                <v:shape style="position:absolute;left:364;top:447;width:11516;height:27" id="docshape1023" coordorigin="364,448" coordsize="11516,27" path="m11880,448l11866,461,364,461,364,475,11866,475,11880,475,11880,461,11880,448xe" filled="true" fillcolor="#ededed" stroked="false">
                  <v:path arrowok="t"/>
                  <v:fill type="solid"/>
                </v:shape>
                <v:shape style="position:absolute;left:364;top:447;width:14;height:27" id="docshape1024" coordorigin="364,448" coordsize="14,27" path="m364,475l364,448,378,448,378,461,364,475xe" filled="true" fillcolor="#999999" stroked="false">
                  <v:path arrowok="t"/>
                  <v:fill type="solid"/>
                </v:shape>
                <w10:wrap type="topAndBottom"/>
              </v:group>
            </w:pict>
          </mc:Fallback>
        </mc:AlternateContent>
      </w:r>
    </w:p>
    <w:p>
      <w:pPr>
        <w:spacing w:after="0"/>
        <w:rPr>
          <w:sz w:val="20"/>
        </w:rPr>
        <w:sectPr>
          <w:pgSz w:w="12240" w:h="15840"/>
          <w:pgMar w:top="300" w:bottom="280" w:left="220" w:right="240"/>
        </w:sectPr>
      </w:pPr>
    </w:p>
    <w:p>
      <w:pPr>
        <w:spacing w:line="268" w:lineRule="auto" w:before="81"/>
        <w:ind w:left="1116" w:right="218" w:firstLine="0"/>
        <w:jc w:val="left"/>
        <w:rPr>
          <w:sz w:val="21"/>
        </w:rPr>
      </w:pPr>
      <w:r>
        <w:rPr>
          <w:sz w:val="21"/>
        </w:rPr>
        <w:t>“For</w:t>
      </w:r>
      <w:r>
        <w:rPr>
          <w:spacing w:val="14"/>
          <w:sz w:val="21"/>
        </w:rPr>
        <w:t> </w:t>
      </w:r>
      <w:r>
        <w:rPr>
          <w:sz w:val="21"/>
        </w:rPr>
        <w:t>the</w:t>
      </w:r>
      <w:r>
        <w:rPr>
          <w:spacing w:val="13"/>
          <w:sz w:val="21"/>
        </w:rPr>
        <w:t> </w:t>
      </w:r>
      <w:r>
        <w:rPr>
          <w:sz w:val="21"/>
        </w:rPr>
        <w:t>avoidance</w:t>
      </w:r>
      <w:r>
        <w:rPr>
          <w:spacing w:val="14"/>
          <w:sz w:val="21"/>
        </w:rPr>
        <w:t> </w:t>
      </w:r>
      <w:r>
        <w:rPr>
          <w:sz w:val="21"/>
        </w:rPr>
        <w:t>of</w:t>
      </w:r>
      <w:r>
        <w:rPr>
          <w:spacing w:val="13"/>
          <w:sz w:val="21"/>
        </w:rPr>
        <w:t> </w:t>
      </w:r>
      <w:r>
        <w:rPr>
          <w:sz w:val="21"/>
        </w:rPr>
        <w:t>doubt,</w:t>
      </w:r>
      <w:r>
        <w:rPr>
          <w:spacing w:val="14"/>
          <w:sz w:val="21"/>
        </w:rPr>
        <w:t> </w:t>
      </w:r>
      <w:r>
        <w:rPr>
          <w:sz w:val="21"/>
        </w:rPr>
        <w:t>an</w:t>
      </w:r>
      <w:r>
        <w:rPr>
          <w:spacing w:val="13"/>
          <w:sz w:val="21"/>
        </w:rPr>
        <w:t> </w:t>
      </w:r>
      <w:r>
        <w:rPr>
          <w:sz w:val="21"/>
        </w:rPr>
        <w:t>earned</w:t>
      </w:r>
      <w:r>
        <w:rPr>
          <w:spacing w:val="14"/>
          <w:sz w:val="21"/>
        </w:rPr>
        <w:t> </w:t>
      </w:r>
      <w:r>
        <w:rPr>
          <w:sz w:val="21"/>
        </w:rPr>
        <w:t>bonus</w:t>
      </w:r>
      <w:r>
        <w:rPr>
          <w:spacing w:val="13"/>
          <w:sz w:val="21"/>
        </w:rPr>
        <w:t> </w:t>
      </w:r>
      <w:r>
        <w:rPr>
          <w:sz w:val="21"/>
        </w:rPr>
        <w:t>includes</w:t>
      </w:r>
      <w:r>
        <w:rPr>
          <w:spacing w:val="14"/>
          <w:sz w:val="21"/>
        </w:rPr>
        <w:t> </w:t>
      </w:r>
      <w:r>
        <w:rPr>
          <w:sz w:val="21"/>
        </w:rPr>
        <w:t>any</w:t>
      </w:r>
      <w:r>
        <w:rPr>
          <w:spacing w:val="13"/>
          <w:sz w:val="21"/>
        </w:rPr>
        <w:t> </w:t>
      </w:r>
      <w:r>
        <w:rPr>
          <w:sz w:val="21"/>
        </w:rPr>
        <w:t>bonus</w:t>
      </w:r>
      <w:r>
        <w:rPr>
          <w:spacing w:val="14"/>
          <w:sz w:val="21"/>
        </w:rPr>
        <w:t> </w:t>
      </w:r>
      <w:r>
        <w:rPr>
          <w:sz w:val="21"/>
        </w:rPr>
        <w:t>where</w:t>
      </w:r>
      <w:r>
        <w:rPr>
          <w:spacing w:val="13"/>
          <w:sz w:val="21"/>
        </w:rPr>
        <w:t> </w:t>
      </w:r>
      <w:r>
        <w:rPr>
          <w:sz w:val="21"/>
        </w:rPr>
        <w:t>the</w:t>
      </w:r>
      <w:r>
        <w:rPr>
          <w:spacing w:val="14"/>
          <w:sz w:val="21"/>
        </w:rPr>
        <w:t> </w:t>
      </w:r>
      <w:r>
        <w:rPr>
          <w:sz w:val="21"/>
        </w:rPr>
        <w:t>performance</w:t>
      </w:r>
      <w:r>
        <w:rPr>
          <w:spacing w:val="13"/>
          <w:sz w:val="21"/>
        </w:rPr>
        <w:t> </w:t>
      </w:r>
      <w:r>
        <w:rPr>
          <w:sz w:val="21"/>
        </w:rPr>
        <w:t>period</w:t>
      </w:r>
      <w:r>
        <w:rPr>
          <w:spacing w:val="14"/>
          <w:sz w:val="21"/>
        </w:rPr>
        <w:t> </w:t>
      </w:r>
      <w:r>
        <w:rPr>
          <w:sz w:val="21"/>
        </w:rPr>
        <w:t>has</w:t>
      </w:r>
      <w:r>
        <w:rPr>
          <w:spacing w:val="13"/>
          <w:sz w:val="21"/>
        </w:rPr>
        <w:t> </w:t>
      </w:r>
      <w:r>
        <w:rPr>
          <w:sz w:val="21"/>
        </w:rPr>
        <w:t>been</w:t>
      </w:r>
      <w:r>
        <w:rPr>
          <w:spacing w:val="14"/>
          <w:sz w:val="21"/>
        </w:rPr>
        <w:t> </w:t>
      </w:r>
      <w:r>
        <w:rPr>
          <w:sz w:val="21"/>
        </w:rPr>
        <w:t>completed</w:t>
      </w:r>
      <w:r>
        <w:rPr>
          <w:spacing w:val="13"/>
          <w:sz w:val="21"/>
        </w:rPr>
        <w:t> </w:t>
      </w:r>
      <w:r>
        <w:rPr>
          <w:sz w:val="21"/>
        </w:rPr>
        <w:t>and a bonus has become determinable (an “</w:t>
      </w:r>
      <w:r>
        <w:rPr>
          <w:sz w:val="21"/>
          <w:u w:val="single"/>
        </w:rPr>
        <w:t>Earned Bonus Amount</w:t>
      </w:r>
      <w:r>
        <w:rPr>
          <w:sz w:val="21"/>
        </w:rPr>
        <w:t>”).”</w:t>
      </w:r>
    </w:p>
    <w:p>
      <w:pPr>
        <w:pStyle w:val="ListParagraph"/>
        <w:numPr>
          <w:ilvl w:val="0"/>
          <w:numId w:val="48"/>
        </w:numPr>
        <w:tabs>
          <w:tab w:pos="791" w:val="left" w:leader="none"/>
        </w:tabs>
        <w:spacing w:line="240" w:lineRule="auto" w:before="215" w:after="0"/>
        <w:ind w:left="791" w:right="0" w:hanging="323"/>
        <w:jc w:val="left"/>
        <w:rPr>
          <w:sz w:val="21"/>
        </w:rPr>
      </w:pPr>
      <w:r>
        <w:rPr>
          <w:sz w:val="21"/>
          <w:u w:val="single"/>
        </w:rPr>
        <w:t>Effectiveness</w:t>
      </w:r>
      <w:r>
        <w:rPr>
          <w:sz w:val="21"/>
        </w:rPr>
        <w:t>.</w:t>
      </w:r>
      <w:r>
        <w:rPr>
          <w:spacing w:val="4"/>
          <w:sz w:val="21"/>
        </w:rPr>
        <w:t> </w:t>
      </w:r>
      <w:r>
        <w:rPr>
          <w:sz w:val="21"/>
        </w:rPr>
        <w:t>The</w:t>
      </w:r>
      <w:r>
        <w:rPr>
          <w:spacing w:val="9"/>
          <w:sz w:val="21"/>
        </w:rPr>
        <w:t> </w:t>
      </w:r>
      <w:r>
        <w:rPr>
          <w:sz w:val="21"/>
        </w:rPr>
        <w:t>amendments</w:t>
      </w:r>
      <w:r>
        <w:rPr>
          <w:spacing w:val="9"/>
          <w:sz w:val="21"/>
        </w:rPr>
        <w:t> </w:t>
      </w:r>
      <w:r>
        <w:rPr>
          <w:sz w:val="21"/>
        </w:rPr>
        <w:t>set</w:t>
      </w:r>
      <w:r>
        <w:rPr>
          <w:spacing w:val="9"/>
          <w:sz w:val="21"/>
        </w:rPr>
        <w:t> </w:t>
      </w:r>
      <w:r>
        <w:rPr>
          <w:sz w:val="21"/>
        </w:rPr>
        <w:t>forth</w:t>
      </w:r>
      <w:r>
        <w:rPr>
          <w:spacing w:val="9"/>
          <w:sz w:val="21"/>
        </w:rPr>
        <w:t> </w:t>
      </w:r>
      <w:r>
        <w:rPr>
          <w:sz w:val="21"/>
        </w:rPr>
        <w:t>in</w:t>
      </w:r>
      <w:r>
        <w:rPr>
          <w:spacing w:val="9"/>
          <w:sz w:val="21"/>
        </w:rPr>
        <w:t> </w:t>
      </w:r>
      <w:r>
        <w:rPr>
          <w:sz w:val="21"/>
        </w:rPr>
        <w:t>Section</w:t>
      </w:r>
      <w:r>
        <w:rPr>
          <w:spacing w:val="9"/>
          <w:sz w:val="21"/>
        </w:rPr>
        <w:t> </w:t>
      </w:r>
      <w:r>
        <w:rPr>
          <w:sz w:val="21"/>
        </w:rPr>
        <w:t>1</w:t>
      </w:r>
      <w:r>
        <w:rPr>
          <w:spacing w:val="9"/>
          <w:sz w:val="21"/>
        </w:rPr>
        <w:t> </w:t>
      </w:r>
      <w:r>
        <w:rPr>
          <w:sz w:val="21"/>
        </w:rPr>
        <w:t>shall</w:t>
      </w:r>
      <w:r>
        <w:rPr>
          <w:spacing w:val="9"/>
          <w:sz w:val="21"/>
        </w:rPr>
        <w:t> </w:t>
      </w:r>
      <w:r>
        <w:rPr>
          <w:sz w:val="21"/>
        </w:rPr>
        <w:t>be</w:t>
      </w:r>
      <w:r>
        <w:rPr>
          <w:spacing w:val="9"/>
          <w:sz w:val="21"/>
        </w:rPr>
        <w:t> </w:t>
      </w:r>
      <w:r>
        <w:rPr>
          <w:sz w:val="21"/>
        </w:rPr>
        <w:t>effective</w:t>
      </w:r>
      <w:r>
        <w:rPr>
          <w:spacing w:val="9"/>
          <w:sz w:val="21"/>
        </w:rPr>
        <w:t> </w:t>
      </w:r>
      <w:r>
        <w:rPr>
          <w:sz w:val="21"/>
        </w:rPr>
        <w:t>as</w:t>
      </w:r>
      <w:r>
        <w:rPr>
          <w:spacing w:val="9"/>
          <w:sz w:val="21"/>
        </w:rPr>
        <w:t> </w:t>
      </w:r>
      <w:r>
        <w:rPr>
          <w:sz w:val="21"/>
        </w:rPr>
        <w:t>of</w:t>
      </w:r>
      <w:r>
        <w:rPr>
          <w:spacing w:val="9"/>
          <w:sz w:val="21"/>
        </w:rPr>
        <w:t> </w:t>
      </w:r>
      <w:r>
        <w:rPr>
          <w:sz w:val="21"/>
        </w:rPr>
        <w:t>the</w:t>
      </w:r>
      <w:r>
        <w:rPr>
          <w:spacing w:val="9"/>
          <w:sz w:val="21"/>
        </w:rPr>
        <w:t> </w:t>
      </w:r>
      <w:r>
        <w:rPr>
          <w:sz w:val="21"/>
        </w:rPr>
        <w:t>date</w:t>
      </w:r>
      <w:r>
        <w:rPr>
          <w:spacing w:val="9"/>
          <w:sz w:val="21"/>
        </w:rPr>
        <w:t> </w:t>
      </w:r>
      <w:r>
        <w:rPr>
          <w:spacing w:val="-2"/>
          <w:sz w:val="21"/>
        </w:rPr>
        <w:t>hereof.</w:t>
      </w:r>
    </w:p>
    <w:p>
      <w:pPr>
        <w:pStyle w:val="BodyText"/>
        <w:spacing w:before="3"/>
        <w:rPr>
          <w:sz w:val="21"/>
        </w:rPr>
      </w:pPr>
    </w:p>
    <w:p>
      <w:pPr>
        <w:pStyle w:val="ListParagraph"/>
        <w:numPr>
          <w:ilvl w:val="0"/>
          <w:numId w:val="48"/>
        </w:numPr>
        <w:tabs>
          <w:tab w:pos="792" w:val="left" w:leader="none"/>
        </w:tabs>
        <w:spacing w:line="268" w:lineRule="auto" w:before="0" w:after="0"/>
        <w:ind w:left="792" w:right="117" w:hanging="324"/>
        <w:jc w:val="left"/>
        <w:rPr>
          <w:sz w:val="21"/>
        </w:rPr>
      </w:pPr>
      <w:r>
        <w:rPr>
          <w:sz w:val="21"/>
          <w:u w:val="single"/>
        </w:rPr>
        <w:t>Other</w:t>
      </w:r>
      <w:r>
        <w:rPr>
          <w:spacing w:val="39"/>
          <w:sz w:val="21"/>
          <w:u w:val="single"/>
        </w:rPr>
        <w:t> </w:t>
      </w:r>
      <w:r>
        <w:rPr>
          <w:sz w:val="21"/>
          <w:u w:val="single"/>
        </w:rPr>
        <w:t>Provisions</w:t>
      </w:r>
      <w:r>
        <w:rPr>
          <w:spacing w:val="39"/>
          <w:sz w:val="21"/>
          <w:u w:val="single"/>
        </w:rPr>
        <w:t> </w:t>
      </w:r>
      <w:r>
        <w:rPr>
          <w:sz w:val="21"/>
          <w:u w:val="single"/>
        </w:rPr>
        <w:t>of</w:t>
      </w:r>
      <w:r>
        <w:rPr>
          <w:spacing w:val="24"/>
          <w:sz w:val="21"/>
          <w:u w:val="single"/>
        </w:rPr>
        <w:t> </w:t>
      </w:r>
      <w:r>
        <w:rPr>
          <w:sz w:val="21"/>
          <w:u w:val="single"/>
        </w:rPr>
        <w:t>Agreement</w:t>
      </w:r>
      <w:r>
        <w:rPr>
          <w:sz w:val="21"/>
        </w:rPr>
        <w:t>.</w:t>
      </w:r>
      <w:r>
        <w:rPr>
          <w:spacing w:val="34"/>
          <w:sz w:val="21"/>
        </w:rPr>
        <w:t> </w:t>
      </w:r>
      <w:r>
        <w:rPr>
          <w:sz w:val="21"/>
        </w:rPr>
        <w:t>The</w:t>
      </w:r>
      <w:r>
        <w:rPr>
          <w:spacing w:val="39"/>
          <w:sz w:val="21"/>
        </w:rPr>
        <w:t> </w:t>
      </w:r>
      <w:r>
        <w:rPr>
          <w:sz w:val="21"/>
        </w:rPr>
        <w:t>parties</w:t>
      </w:r>
      <w:r>
        <w:rPr>
          <w:spacing w:val="39"/>
          <w:sz w:val="21"/>
        </w:rPr>
        <w:t> </w:t>
      </w:r>
      <w:r>
        <w:rPr>
          <w:sz w:val="21"/>
        </w:rPr>
        <w:t>acknowledge</w:t>
      </w:r>
      <w:r>
        <w:rPr>
          <w:spacing w:val="39"/>
          <w:sz w:val="21"/>
        </w:rPr>
        <w:t> </w:t>
      </w:r>
      <w:r>
        <w:rPr>
          <w:sz w:val="21"/>
        </w:rPr>
        <w:t>that</w:t>
      </w:r>
      <w:r>
        <w:rPr>
          <w:spacing w:val="39"/>
          <w:sz w:val="21"/>
        </w:rPr>
        <w:t> </w:t>
      </w:r>
      <w:r>
        <w:rPr>
          <w:sz w:val="21"/>
        </w:rPr>
        <w:t>the</w:t>
      </w:r>
      <w:r>
        <w:rPr>
          <w:spacing w:val="24"/>
          <w:sz w:val="21"/>
        </w:rPr>
        <w:t> </w:t>
      </w:r>
      <w:r>
        <w:rPr>
          <w:sz w:val="21"/>
        </w:rPr>
        <w:t>Agreement</w:t>
      </w:r>
      <w:r>
        <w:rPr>
          <w:spacing w:val="39"/>
          <w:sz w:val="21"/>
        </w:rPr>
        <w:t> </w:t>
      </w:r>
      <w:r>
        <w:rPr>
          <w:sz w:val="21"/>
        </w:rPr>
        <w:t>is</w:t>
      </w:r>
      <w:r>
        <w:rPr>
          <w:spacing w:val="39"/>
          <w:sz w:val="21"/>
        </w:rPr>
        <w:t> </w:t>
      </w:r>
      <w:r>
        <w:rPr>
          <w:sz w:val="21"/>
        </w:rPr>
        <w:t>being</w:t>
      </w:r>
      <w:r>
        <w:rPr>
          <w:spacing w:val="39"/>
          <w:sz w:val="21"/>
        </w:rPr>
        <w:t> </w:t>
      </w:r>
      <w:r>
        <w:rPr>
          <w:sz w:val="21"/>
        </w:rPr>
        <w:t>modified</w:t>
      </w:r>
      <w:r>
        <w:rPr>
          <w:spacing w:val="39"/>
          <w:sz w:val="21"/>
        </w:rPr>
        <w:t> </w:t>
      </w:r>
      <w:r>
        <w:rPr>
          <w:sz w:val="21"/>
        </w:rPr>
        <w:t>only</w:t>
      </w:r>
      <w:r>
        <w:rPr>
          <w:spacing w:val="39"/>
          <w:sz w:val="21"/>
        </w:rPr>
        <w:t> </w:t>
      </w:r>
      <w:r>
        <w:rPr>
          <w:sz w:val="21"/>
        </w:rPr>
        <w:t>as</w:t>
      </w:r>
      <w:r>
        <w:rPr>
          <w:spacing w:val="39"/>
          <w:sz w:val="21"/>
        </w:rPr>
        <w:t> </w:t>
      </w:r>
      <w:r>
        <w:rPr>
          <w:sz w:val="21"/>
        </w:rPr>
        <w:t>stated</w:t>
      </w:r>
      <w:r>
        <w:rPr>
          <w:spacing w:val="39"/>
          <w:sz w:val="21"/>
        </w:rPr>
        <w:t> </w:t>
      </w:r>
      <w:r>
        <w:rPr>
          <w:sz w:val="21"/>
        </w:rPr>
        <w:t>herein,</w:t>
      </w:r>
      <w:r>
        <w:rPr>
          <w:spacing w:val="39"/>
          <w:sz w:val="21"/>
        </w:rPr>
        <w:t> </w:t>
      </w:r>
      <w:r>
        <w:rPr>
          <w:sz w:val="21"/>
        </w:rPr>
        <w:t>and agree that nothing else in the Agreement shall be affected by this Amendment.</w:t>
      </w:r>
    </w:p>
    <w:p>
      <w:pPr>
        <w:pStyle w:val="ListParagraph"/>
        <w:numPr>
          <w:ilvl w:val="0"/>
          <w:numId w:val="48"/>
        </w:numPr>
        <w:tabs>
          <w:tab w:pos="792" w:val="left" w:leader="none"/>
        </w:tabs>
        <w:spacing w:line="268" w:lineRule="auto" w:before="215" w:after="0"/>
        <w:ind w:left="792" w:right="118" w:hanging="324"/>
        <w:jc w:val="left"/>
        <w:rPr>
          <w:sz w:val="21"/>
        </w:rPr>
      </w:pPr>
      <w:r>
        <w:rPr>
          <w:sz w:val="21"/>
          <w:u w:val="single"/>
        </w:rPr>
        <w:t>Employee Acknowledgment</w:t>
      </w:r>
      <w:r>
        <w:rPr>
          <w:sz w:val="21"/>
        </w:rPr>
        <w:t>.</w:t>
      </w:r>
      <w:r>
        <w:rPr>
          <w:spacing w:val="23"/>
          <w:sz w:val="21"/>
        </w:rPr>
        <w:t> </w:t>
      </w:r>
      <w:r>
        <w:rPr>
          <w:sz w:val="21"/>
        </w:rPr>
        <w:t>Employee</w:t>
      </w:r>
      <w:r>
        <w:rPr>
          <w:spacing w:val="23"/>
          <w:sz w:val="21"/>
        </w:rPr>
        <w:t> </w:t>
      </w:r>
      <w:r>
        <w:rPr>
          <w:sz w:val="21"/>
        </w:rPr>
        <w:t>agrees</w:t>
      </w:r>
      <w:r>
        <w:rPr>
          <w:spacing w:val="23"/>
          <w:sz w:val="21"/>
        </w:rPr>
        <w:t> </w:t>
      </w:r>
      <w:r>
        <w:rPr>
          <w:sz w:val="21"/>
        </w:rPr>
        <w:t>that</w:t>
      </w:r>
      <w:r>
        <w:rPr>
          <w:spacing w:val="23"/>
          <w:sz w:val="21"/>
        </w:rPr>
        <w:t> </w:t>
      </w:r>
      <w:r>
        <w:rPr>
          <w:sz w:val="21"/>
        </w:rPr>
        <w:t>Employee</w:t>
      </w:r>
      <w:r>
        <w:rPr>
          <w:spacing w:val="23"/>
          <w:sz w:val="21"/>
        </w:rPr>
        <w:t> </w:t>
      </w:r>
      <w:r>
        <w:rPr>
          <w:sz w:val="21"/>
        </w:rPr>
        <w:t>has</w:t>
      </w:r>
      <w:r>
        <w:rPr>
          <w:spacing w:val="23"/>
          <w:sz w:val="21"/>
        </w:rPr>
        <w:t> </w:t>
      </w:r>
      <w:r>
        <w:rPr>
          <w:sz w:val="21"/>
        </w:rPr>
        <w:t>had</w:t>
      </w:r>
      <w:r>
        <w:rPr>
          <w:spacing w:val="23"/>
          <w:sz w:val="21"/>
        </w:rPr>
        <w:t> </w:t>
      </w:r>
      <w:r>
        <w:rPr>
          <w:sz w:val="21"/>
        </w:rPr>
        <w:t>enough</w:t>
      </w:r>
      <w:r>
        <w:rPr>
          <w:spacing w:val="23"/>
          <w:sz w:val="21"/>
        </w:rPr>
        <w:t> </w:t>
      </w:r>
      <w:r>
        <w:rPr>
          <w:sz w:val="21"/>
        </w:rPr>
        <w:t>time</w:t>
      </w:r>
      <w:r>
        <w:rPr>
          <w:spacing w:val="23"/>
          <w:sz w:val="21"/>
        </w:rPr>
        <w:t> </w:t>
      </w:r>
      <w:r>
        <w:rPr>
          <w:sz w:val="21"/>
        </w:rPr>
        <w:t>to</w:t>
      </w:r>
      <w:r>
        <w:rPr>
          <w:spacing w:val="23"/>
          <w:sz w:val="21"/>
        </w:rPr>
        <w:t> </w:t>
      </w:r>
      <w:r>
        <w:rPr>
          <w:sz w:val="21"/>
        </w:rPr>
        <w:t>review</w:t>
      </w:r>
      <w:r>
        <w:rPr>
          <w:spacing w:val="23"/>
          <w:sz w:val="21"/>
        </w:rPr>
        <w:t> </w:t>
      </w:r>
      <w:r>
        <w:rPr>
          <w:sz w:val="21"/>
        </w:rPr>
        <w:t>this Amendment,</w:t>
      </w:r>
      <w:r>
        <w:rPr>
          <w:spacing w:val="23"/>
          <w:sz w:val="21"/>
        </w:rPr>
        <w:t> </w:t>
      </w:r>
      <w:r>
        <w:rPr>
          <w:sz w:val="21"/>
        </w:rPr>
        <w:t>ask</w:t>
      </w:r>
      <w:r>
        <w:rPr>
          <w:spacing w:val="23"/>
          <w:sz w:val="21"/>
        </w:rPr>
        <w:t> </w:t>
      </w:r>
      <w:r>
        <w:rPr>
          <w:sz w:val="21"/>
        </w:rPr>
        <w:t>questions about its content, and consult with counsel of Employee’s choosing before signing below.</w:t>
      </w:r>
    </w:p>
    <w:p>
      <w:pPr>
        <w:pStyle w:val="Heading3"/>
        <w:spacing w:before="215"/>
        <w:ind w:left="144"/>
        <w:jc w:val="left"/>
        <w:rPr>
          <w:b w:val="0"/>
        </w:rPr>
      </w:pPr>
      <w:r>
        <w:rPr/>
        <w:t>IN</w:t>
      </w:r>
      <w:r>
        <w:rPr>
          <w:spacing w:val="7"/>
        </w:rPr>
        <w:t> </w:t>
      </w:r>
      <w:r>
        <w:rPr/>
        <w:t>WITNESS</w:t>
      </w:r>
      <w:r>
        <w:rPr>
          <w:spacing w:val="7"/>
        </w:rPr>
        <w:t> </w:t>
      </w:r>
      <w:r>
        <w:rPr/>
        <w:t>WHEREOF,</w:t>
      </w:r>
      <w:r>
        <w:rPr>
          <w:spacing w:val="13"/>
        </w:rPr>
        <w:t> </w:t>
      </w:r>
      <w:r>
        <w:rPr/>
        <w:t>EMPLOYER</w:t>
      </w:r>
      <w:r>
        <w:rPr>
          <w:spacing w:val="-3"/>
        </w:rPr>
        <w:t> </w:t>
      </w:r>
      <w:r>
        <w:rPr/>
        <w:t>AND</w:t>
      </w:r>
      <w:r>
        <w:rPr>
          <w:spacing w:val="13"/>
        </w:rPr>
        <w:t> </w:t>
      </w:r>
      <w:r>
        <w:rPr/>
        <w:t>EMPLOYEE</w:t>
      </w:r>
      <w:r>
        <w:rPr>
          <w:spacing w:val="12"/>
        </w:rPr>
        <w:t> </w:t>
      </w:r>
      <w:r>
        <w:rPr/>
        <w:t>HAVE</w:t>
      </w:r>
      <w:r>
        <w:rPr>
          <w:spacing w:val="12"/>
        </w:rPr>
        <w:t> </w:t>
      </w:r>
      <w:r>
        <w:rPr/>
        <w:t>ENTERED</w:t>
      </w:r>
      <w:r>
        <w:rPr>
          <w:spacing w:val="13"/>
        </w:rPr>
        <w:t> </w:t>
      </w:r>
      <w:r>
        <w:rPr/>
        <w:t>INTO</w:t>
      </w:r>
      <w:r>
        <w:rPr>
          <w:spacing w:val="7"/>
        </w:rPr>
        <w:t> </w:t>
      </w:r>
      <w:r>
        <w:rPr/>
        <w:t>THIS</w:t>
      </w:r>
      <w:r>
        <w:rPr>
          <w:spacing w:val="-2"/>
        </w:rPr>
        <w:t> AGREEMENT</w:t>
      </w:r>
      <w:r>
        <w:rPr>
          <w:b w:val="0"/>
          <w:spacing w:val="-2"/>
        </w:rPr>
        <w:t>.</w:t>
      </w:r>
    </w:p>
    <w:p>
      <w:pPr>
        <w:pStyle w:val="BodyText"/>
        <w:spacing w:before="57"/>
        <w:rPr>
          <w:sz w:val="21"/>
        </w:rPr>
      </w:pPr>
    </w:p>
    <w:p>
      <w:pPr>
        <w:tabs>
          <w:tab w:pos="6953" w:val="left" w:leader="none"/>
        </w:tabs>
        <w:spacing w:before="0"/>
        <w:ind w:left="162" w:right="0" w:firstLine="0"/>
        <w:jc w:val="left"/>
        <w:rPr>
          <w:b/>
          <w:sz w:val="21"/>
        </w:rPr>
      </w:pPr>
      <w:r>
        <w:rPr>
          <w:b/>
          <w:sz w:val="21"/>
        </w:rPr>
        <w:t>Corey</w:t>
      </w:r>
      <w:r>
        <w:rPr>
          <w:b/>
          <w:spacing w:val="7"/>
          <w:sz w:val="21"/>
        </w:rPr>
        <w:t> </w:t>
      </w:r>
      <w:r>
        <w:rPr>
          <w:b/>
          <w:spacing w:val="-2"/>
          <w:sz w:val="21"/>
        </w:rPr>
        <w:t>Sanders</w:t>
      </w:r>
      <w:r>
        <w:rPr>
          <w:b/>
          <w:sz w:val="21"/>
        </w:rPr>
        <w:tab/>
        <w:t>MGM</w:t>
      </w:r>
      <w:r>
        <w:rPr>
          <w:b/>
          <w:spacing w:val="13"/>
          <w:sz w:val="21"/>
        </w:rPr>
        <w:t> </w:t>
      </w:r>
      <w:r>
        <w:rPr>
          <w:b/>
          <w:sz w:val="21"/>
        </w:rPr>
        <w:t>Resorts</w:t>
      </w:r>
      <w:r>
        <w:rPr>
          <w:b/>
          <w:spacing w:val="13"/>
          <w:sz w:val="21"/>
        </w:rPr>
        <w:t> </w:t>
      </w:r>
      <w:r>
        <w:rPr>
          <w:b/>
          <w:spacing w:val="-2"/>
          <w:sz w:val="21"/>
        </w:rPr>
        <w:t>International</w:t>
      </w:r>
    </w:p>
    <w:p>
      <w:pPr>
        <w:tabs>
          <w:tab w:pos="6953" w:val="left" w:leader="none"/>
        </w:tabs>
        <w:spacing w:before="83"/>
        <w:ind w:left="162" w:right="0" w:firstLine="0"/>
        <w:jc w:val="left"/>
        <w:rPr>
          <w:sz w:val="21"/>
        </w:rPr>
      </w:pPr>
      <w:r>
        <w:rPr/>
        <mc:AlternateContent>
          <mc:Choice Requires="wps">
            <w:drawing>
              <wp:anchor distT="0" distB="0" distL="0" distR="0" allowOverlap="1" layoutInCell="1" locked="0" behindDoc="1" simplePos="0" relativeHeight="487796224">
                <wp:simplePos x="0" y="0"/>
                <wp:positionH relativeFrom="page">
                  <wp:posOffset>231444</wp:posOffset>
                </wp:positionH>
                <wp:positionV relativeFrom="paragraph">
                  <wp:posOffset>237426</wp:posOffset>
                </wp:positionV>
                <wp:extent cx="3000375" cy="8890"/>
                <wp:effectExtent l="0" t="0" r="0" b="0"/>
                <wp:wrapTopAndBottom/>
                <wp:docPr id="1027" name="Graphic 1027"/>
                <wp:cNvGraphicFramePr>
                  <a:graphicFrameLocks/>
                </wp:cNvGraphicFramePr>
                <a:graphic>
                  <a:graphicData uri="http://schemas.microsoft.com/office/word/2010/wordprocessingShape">
                    <wps:wsp>
                      <wps:cNvPr id="1027" name="Graphic 1027"/>
                      <wps:cNvSpPr/>
                      <wps:spPr>
                        <a:xfrm>
                          <a:off x="0" y="0"/>
                          <a:ext cx="3000375" cy="8890"/>
                        </a:xfrm>
                        <a:custGeom>
                          <a:avLst/>
                          <a:gdLst/>
                          <a:ahLst/>
                          <a:cxnLst/>
                          <a:rect l="l" t="t" r="r" b="b"/>
                          <a:pathLst>
                            <a:path w="3000375" h="8890">
                              <a:moveTo>
                                <a:pt x="3000375" y="0"/>
                              </a:moveTo>
                              <a:lnTo>
                                <a:pt x="2983230" y="0"/>
                              </a:lnTo>
                              <a:lnTo>
                                <a:pt x="68580" y="0"/>
                              </a:lnTo>
                              <a:lnTo>
                                <a:pt x="0" y="0"/>
                              </a:lnTo>
                              <a:lnTo>
                                <a:pt x="0" y="8572"/>
                              </a:lnTo>
                              <a:lnTo>
                                <a:pt x="68580" y="8572"/>
                              </a:lnTo>
                              <a:lnTo>
                                <a:pt x="2983230" y="8572"/>
                              </a:lnTo>
                              <a:lnTo>
                                <a:pt x="3000375" y="8572"/>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8.694994pt;width:236.25pt;height:.7pt;mso-position-horizontal-relative:page;mso-position-vertical-relative:paragraph;z-index:-15520256;mso-wrap-distance-left:0;mso-wrap-distance-right:0" id="docshape1025" coordorigin="364,374" coordsize="4725,14" path="m5089,374l5062,374,472,374,364,374,364,387,472,387,5062,387,5089,387,5089,3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96736">
                <wp:simplePos x="0" y="0"/>
                <wp:positionH relativeFrom="page">
                  <wp:posOffset>4543412</wp:posOffset>
                </wp:positionH>
                <wp:positionV relativeFrom="paragraph">
                  <wp:posOffset>237426</wp:posOffset>
                </wp:positionV>
                <wp:extent cx="3000375" cy="8890"/>
                <wp:effectExtent l="0" t="0" r="0" b="0"/>
                <wp:wrapTopAndBottom/>
                <wp:docPr id="1028" name="Graphic 1028"/>
                <wp:cNvGraphicFramePr>
                  <a:graphicFrameLocks/>
                </wp:cNvGraphicFramePr>
                <a:graphic>
                  <a:graphicData uri="http://schemas.microsoft.com/office/word/2010/wordprocessingShape">
                    <wps:wsp>
                      <wps:cNvPr id="1028" name="Graphic 1028"/>
                      <wps:cNvSpPr/>
                      <wps:spPr>
                        <a:xfrm>
                          <a:off x="0" y="0"/>
                          <a:ext cx="3000375" cy="8890"/>
                        </a:xfrm>
                        <a:custGeom>
                          <a:avLst/>
                          <a:gdLst/>
                          <a:ahLst/>
                          <a:cxnLst/>
                          <a:rect l="l" t="t" r="r" b="b"/>
                          <a:pathLst>
                            <a:path w="3000375" h="8890">
                              <a:moveTo>
                                <a:pt x="3000375" y="0"/>
                              </a:moveTo>
                              <a:lnTo>
                                <a:pt x="2983230" y="0"/>
                              </a:lnTo>
                              <a:lnTo>
                                <a:pt x="77152" y="0"/>
                              </a:lnTo>
                              <a:lnTo>
                                <a:pt x="0" y="0"/>
                              </a:lnTo>
                              <a:lnTo>
                                <a:pt x="0" y="8572"/>
                              </a:lnTo>
                              <a:lnTo>
                                <a:pt x="77152" y="8572"/>
                              </a:lnTo>
                              <a:lnTo>
                                <a:pt x="2983230" y="8572"/>
                              </a:lnTo>
                              <a:lnTo>
                                <a:pt x="3000375" y="8572"/>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49023pt;margin-top:18.694994pt;width:236.25pt;height:.7pt;mso-position-horizontal-relative:page;mso-position-vertical-relative:paragraph;z-index:-15519744;mso-wrap-distance-left:0;mso-wrap-distance-right:0" id="docshape1026" coordorigin="7155,374" coordsize="4725,14" path="m11880,374l11853,374,7276,374,7155,374,7155,387,7276,387,11853,387,11880,387,11880,374xe" filled="true" fillcolor="#000000" stroked="false">
                <v:path arrowok="t"/>
                <v:fill type="solid"/>
                <w10:wrap type="topAndBottom"/>
              </v:shape>
            </w:pict>
          </mc:Fallback>
        </mc:AlternateContent>
      </w:r>
      <w:r>
        <w:rPr>
          <w:sz w:val="21"/>
        </w:rPr>
        <w:t>/s/</w:t>
      </w:r>
      <w:r>
        <w:rPr>
          <w:spacing w:val="8"/>
          <w:sz w:val="21"/>
        </w:rPr>
        <w:t> </w:t>
      </w:r>
      <w:r>
        <w:rPr>
          <w:sz w:val="21"/>
        </w:rPr>
        <w:t>Corey</w:t>
      </w:r>
      <w:r>
        <w:rPr>
          <w:spacing w:val="8"/>
          <w:sz w:val="21"/>
        </w:rPr>
        <w:t> </w:t>
      </w:r>
      <w:r>
        <w:rPr>
          <w:spacing w:val="-2"/>
          <w:sz w:val="21"/>
        </w:rPr>
        <w:t>Sanders</w:t>
      </w:r>
      <w:r>
        <w:rPr>
          <w:sz w:val="21"/>
        </w:rPr>
        <w:tab/>
        <w:t>/s/ William</w:t>
      </w:r>
      <w:r>
        <w:rPr>
          <w:spacing w:val="5"/>
          <w:sz w:val="21"/>
        </w:rPr>
        <w:t> </w:t>
      </w:r>
      <w:r>
        <w:rPr>
          <w:sz w:val="21"/>
        </w:rPr>
        <w:t>J.</w:t>
      </w:r>
      <w:r>
        <w:rPr>
          <w:spacing w:val="5"/>
          <w:sz w:val="21"/>
        </w:rPr>
        <w:t> </w:t>
      </w:r>
      <w:r>
        <w:rPr>
          <w:spacing w:val="-2"/>
          <w:sz w:val="21"/>
        </w:rPr>
        <w:t>Hornbuckle</w:t>
      </w:r>
    </w:p>
    <w:p>
      <w:pPr>
        <w:spacing w:line="268" w:lineRule="auto" w:before="33"/>
        <w:ind w:left="6953" w:right="370" w:firstLine="0"/>
        <w:jc w:val="left"/>
        <w:rPr>
          <w:sz w:val="21"/>
        </w:rPr>
      </w:pPr>
      <w:r>
        <w:rPr>
          <w:sz w:val="21"/>
        </w:rPr>
        <w:t>By: William J. Hornbuckle, Chief Executive </w:t>
      </w:r>
      <w:r>
        <w:rPr>
          <w:sz w:val="21"/>
        </w:rPr>
        <w:t>Officer and President</w:t>
      </w:r>
    </w:p>
    <w:p>
      <w:pPr>
        <w:tabs>
          <w:tab w:pos="6953" w:val="left" w:leader="none"/>
        </w:tabs>
        <w:spacing w:before="53"/>
        <w:ind w:left="162" w:right="0" w:firstLine="0"/>
        <w:jc w:val="left"/>
        <w:rPr>
          <w:sz w:val="21"/>
        </w:rPr>
      </w:pPr>
      <w:r>
        <w:rPr/>
        <mc:AlternateContent>
          <mc:Choice Requires="wps">
            <w:drawing>
              <wp:anchor distT="0" distB="0" distL="0" distR="0" allowOverlap="1" layoutInCell="1" locked="0" behindDoc="1" simplePos="0" relativeHeight="487797248">
                <wp:simplePos x="0" y="0"/>
                <wp:positionH relativeFrom="page">
                  <wp:posOffset>231444</wp:posOffset>
                </wp:positionH>
                <wp:positionV relativeFrom="paragraph">
                  <wp:posOffset>208949</wp:posOffset>
                </wp:positionV>
                <wp:extent cx="3000375" cy="17145"/>
                <wp:effectExtent l="0" t="0" r="0" b="0"/>
                <wp:wrapTopAndBottom/>
                <wp:docPr id="1029" name="Graphic 1029"/>
                <wp:cNvGraphicFramePr>
                  <a:graphicFrameLocks/>
                </wp:cNvGraphicFramePr>
                <a:graphic>
                  <a:graphicData uri="http://schemas.microsoft.com/office/word/2010/wordprocessingShape">
                    <wps:wsp>
                      <wps:cNvPr id="1029" name="Graphic 1029"/>
                      <wps:cNvSpPr/>
                      <wps:spPr>
                        <a:xfrm>
                          <a:off x="0" y="0"/>
                          <a:ext cx="3000375" cy="17145"/>
                        </a:xfrm>
                        <a:custGeom>
                          <a:avLst/>
                          <a:gdLst/>
                          <a:ahLst/>
                          <a:cxnLst/>
                          <a:rect l="l" t="t" r="r" b="b"/>
                          <a:pathLst>
                            <a:path w="3000375" h="17145">
                              <a:moveTo>
                                <a:pt x="3000375" y="0"/>
                              </a:moveTo>
                              <a:lnTo>
                                <a:pt x="2983230" y="0"/>
                              </a:lnTo>
                              <a:lnTo>
                                <a:pt x="68580" y="0"/>
                              </a:lnTo>
                              <a:lnTo>
                                <a:pt x="0" y="0"/>
                              </a:lnTo>
                              <a:lnTo>
                                <a:pt x="0" y="17145"/>
                              </a:lnTo>
                              <a:lnTo>
                                <a:pt x="68580" y="17145"/>
                              </a:lnTo>
                              <a:lnTo>
                                <a:pt x="2983230" y="17145"/>
                              </a:lnTo>
                              <a:lnTo>
                                <a:pt x="3000375" y="17145"/>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6.452694pt;width:236.25pt;height:1.35pt;mso-position-horizontal-relative:page;mso-position-vertical-relative:paragraph;z-index:-15519232;mso-wrap-distance-left:0;mso-wrap-distance-right:0" id="docshape1027" coordorigin="364,329" coordsize="4725,27" path="m5089,329l5062,329,472,329,364,329,364,356,472,356,5062,356,5089,356,5089,32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97760">
                <wp:simplePos x="0" y="0"/>
                <wp:positionH relativeFrom="page">
                  <wp:posOffset>4543412</wp:posOffset>
                </wp:positionH>
                <wp:positionV relativeFrom="paragraph">
                  <wp:posOffset>208949</wp:posOffset>
                </wp:positionV>
                <wp:extent cx="3000375" cy="17145"/>
                <wp:effectExtent l="0" t="0" r="0" b="0"/>
                <wp:wrapTopAndBottom/>
                <wp:docPr id="1030" name="Graphic 1030"/>
                <wp:cNvGraphicFramePr>
                  <a:graphicFrameLocks/>
                </wp:cNvGraphicFramePr>
                <a:graphic>
                  <a:graphicData uri="http://schemas.microsoft.com/office/word/2010/wordprocessingShape">
                    <wps:wsp>
                      <wps:cNvPr id="1030" name="Graphic 1030"/>
                      <wps:cNvSpPr/>
                      <wps:spPr>
                        <a:xfrm>
                          <a:off x="0" y="0"/>
                          <a:ext cx="3000375" cy="17145"/>
                        </a:xfrm>
                        <a:custGeom>
                          <a:avLst/>
                          <a:gdLst/>
                          <a:ahLst/>
                          <a:cxnLst/>
                          <a:rect l="l" t="t" r="r" b="b"/>
                          <a:pathLst>
                            <a:path w="3000375" h="17145">
                              <a:moveTo>
                                <a:pt x="3000375" y="0"/>
                              </a:moveTo>
                              <a:lnTo>
                                <a:pt x="2983230" y="0"/>
                              </a:lnTo>
                              <a:lnTo>
                                <a:pt x="77152" y="0"/>
                              </a:lnTo>
                              <a:lnTo>
                                <a:pt x="0" y="0"/>
                              </a:lnTo>
                              <a:lnTo>
                                <a:pt x="0" y="17145"/>
                              </a:lnTo>
                              <a:lnTo>
                                <a:pt x="77152" y="17145"/>
                              </a:lnTo>
                              <a:lnTo>
                                <a:pt x="2983230" y="17145"/>
                              </a:lnTo>
                              <a:lnTo>
                                <a:pt x="3000375" y="17145"/>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49023pt;margin-top:16.452694pt;width:236.25pt;height:1.35pt;mso-position-horizontal-relative:page;mso-position-vertical-relative:paragraph;z-index:-15518720;mso-wrap-distance-left:0;mso-wrap-distance-right:0" id="docshape1028" coordorigin="7155,329" coordsize="4725,27" path="m11880,329l11853,329,7276,329,7155,329,7155,356,7276,356,11853,356,11880,356,11880,329xe" filled="true" fillcolor="#000000" stroked="false">
                <v:path arrowok="t"/>
                <v:fill type="solid"/>
                <w10:wrap type="topAndBottom"/>
              </v:shape>
            </w:pict>
          </mc:Fallback>
        </mc:AlternateContent>
      </w:r>
      <w:r>
        <w:rPr>
          <w:sz w:val="21"/>
        </w:rPr>
        <w:t>Dated:</w:t>
      </w:r>
      <w:r>
        <w:rPr>
          <w:spacing w:val="21"/>
          <w:sz w:val="21"/>
        </w:rPr>
        <w:t> </w:t>
      </w:r>
      <w:r>
        <w:rPr>
          <w:sz w:val="21"/>
        </w:rPr>
        <w:t>12-8-</w:t>
      </w:r>
      <w:r>
        <w:rPr>
          <w:spacing w:val="-7"/>
          <w:sz w:val="21"/>
        </w:rPr>
        <w:t>22</w:t>
      </w:r>
      <w:r>
        <w:rPr>
          <w:sz w:val="21"/>
        </w:rPr>
        <w:tab/>
      </w:r>
      <w:r>
        <w:rPr>
          <w:spacing w:val="-2"/>
          <w:sz w:val="21"/>
        </w:rPr>
        <w:t>Dated:</w:t>
      </w:r>
    </w:p>
    <w:p>
      <w:pPr>
        <w:spacing w:after="0"/>
        <w:jc w:val="left"/>
        <w:rPr>
          <w:sz w:val="21"/>
        </w:rPr>
        <w:sectPr>
          <w:pgSz w:w="12240" w:h="15840"/>
          <w:pgMar w:top="1680" w:bottom="280" w:left="220" w:right="240"/>
        </w:sectPr>
      </w:pPr>
    </w:p>
    <w:p>
      <w:pPr>
        <w:spacing w:before="76"/>
        <w:ind w:left="0" w:right="118" w:firstLine="0"/>
        <w:jc w:val="right"/>
        <w:rPr>
          <w:b/>
          <w:sz w:val="19"/>
        </w:rPr>
      </w:pPr>
      <w:bookmarkStart w:name="_bookmark36" w:id="37"/>
      <w:bookmarkEnd w:id="37"/>
      <w:r>
        <w:rPr/>
      </w:r>
      <w:r>
        <w:rPr>
          <w:b/>
          <w:w w:val="105"/>
          <w:sz w:val="19"/>
        </w:rPr>
        <w:t>Exhibit</w:t>
      </w:r>
      <w:r>
        <w:rPr>
          <w:b/>
          <w:spacing w:val="-8"/>
          <w:w w:val="105"/>
          <w:sz w:val="19"/>
        </w:rPr>
        <w:t> </w:t>
      </w:r>
      <w:r>
        <w:rPr>
          <w:b/>
          <w:spacing w:val="-2"/>
          <w:w w:val="105"/>
          <w:sz w:val="19"/>
        </w:rPr>
        <w:t>10.4(17)</w:t>
      </w:r>
    </w:p>
    <w:p>
      <w:pPr>
        <w:pStyle w:val="BodyText"/>
        <w:rPr>
          <w:b/>
          <w:sz w:val="19"/>
        </w:rPr>
      </w:pPr>
    </w:p>
    <w:p>
      <w:pPr>
        <w:pStyle w:val="BodyText"/>
        <w:rPr>
          <w:b/>
          <w:sz w:val="19"/>
        </w:rPr>
      </w:pPr>
    </w:p>
    <w:p>
      <w:pPr>
        <w:pStyle w:val="BodyText"/>
        <w:rPr>
          <w:b/>
          <w:sz w:val="19"/>
        </w:rPr>
      </w:pPr>
    </w:p>
    <w:p>
      <w:pPr>
        <w:pStyle w:val="BodyText"/>
        <w:spacing w:before="198"/>
        <w:rPr>
          <w:b/>
          <w:sz w:val="19"/>
        </w:rPr>
      </w:pPr>
    </w:p>
    <w:p>
      <w:pPr>
        <w:pStyle w:val="Heading3"/>
      </w:pPr>
      <w:r>
        <w:rPr/>
        <w:t>FIRST AMENDMENT</w:t>
      </w:r>
      <w:r>
        <w:rPr>
          <w:spacing w:val="13"/>
        </w:rPr>
        <w:t> </w:t>
      </w:r>
      <w:r>
        <w:rPr/>
        <w:t>TO</w:t>
      </w:r>
      <w:r>
        <w:rPr>
          <w:spacing w:val="24"/>
        </w:rPr>
        <w:t> </w:t>
      </w:r>
      <w:r>
        <w:rPr/>
        <w:t>EMPLOYMENT </w:t>
      </w:r>
      <w:r>
        <w:rPr>
          <w:spacing w:val="-2"/>
        </w:rPr>
        <w:t>AGREEMENT</w:t>
      </w:r>
    </w:p>
    <w:p>
      <w:pPr>
        <w:spacing w:line="268" w:lineRule="auto" w:before="177"/>
        <w:ind w:left="144" w:right="117" w:firstLine="0"/>
        <w:jc w:val="both"/>
        <w:rPr>
          <w:sz w:val="21"/>
        </w:rPr>
      </w:pPr>
      <w:r>
        <w:rPr>
          <w:sz w:val="21"/>
        </w:rPr>
        <w:t>This First Amendment to Employment Agreement (this “</w:t>
      </w:r>
      <w:r>
        <w:rPr>
          <w:b/>
          <w:sz w:val="21"/>
        </w:rPr>
        <w:t>Amendment</w:t>
      </w:r>
      <w:r>
        <w:rPr>
          <w:sz w:val="21"/>
        </w:rPr>
        <w:t>”) is entered into by and between </w:t>
      </w:r>
      <w:r>
        <w:rPr>
          <w:b/>
          <w:sz w:val="21"/>
        </w:rPr>
        <w:t>Jonathan Halkyard </w:t>
      </w:r>
      <w:r>
        <w:rPr>
          <w:sz w:val="21"/>
        </w:rPr>
        <w:t>(“</w:t>
      </w:r>
      <w:r>
        <w:rPr>
          <w:b/>
          <w:sz w:val="21"/>
        </w:rPr>
        <w:t>Employee</w:t>
      </w:r>
      <w:r>
        <w:rPr>
          <w:sz w:val="21"/>
        </w:rPr>
        <w:t>”)</w:t>
      </w:r>
      <w:r>
        <w:rPr>
          <w:spacing w:val="31"/>
          <w:sz w:val="21"/>
        </w:rPr>
        <w:t> </w:t>
      </w:r>
      <w:r>
        <w:rPr>
          <w:sz w:val="21"/>
        </w:rPr>
        <w:t>and</w:t>
      </w:r>
      <w:r>
        <w:rPr>
          <w:spacing w:val="31"/>
          <w:sz w:val="21"/>
        </w:rPr>
        <w:t> </w:t>
      </w:r>
      <w:r>
        <w:rPr>
          <w:b/>
          <w:sz w:val="21"/>
        </w:rPr>
        <w:t>MGM</w:t>
      </w:r>
      <w:r>
        <w:rPr>
          <w:b/>
          <w:spacing w:val="31"/>
          <w:sz w:val="21"/>
        </w:rPr>
        <w:t> </w:t>
      </w:r>
      <w:r>
        <w:rPr>
          <w:b/>
          <w:sz w:val="21"/>
        </w:rPr>
        <w:t>Resorts</w:t>
      </w:r>
      <w:r>
        <w:rPr>
          <w:b/>
          <w:spacing w:val="31"/>
          <w:sz w:val="21"/>
        </w:rPr>
        <w:t> </w:t>
      </w:r>
      <w:r>
        <w:rPr>
          <w:b/>
          <w:sz w:val="21"/>
        </w:rPr>
        <w:t>International</w:t>
      </w:r>
      <w:r>
        <w:rPr>
          <w:b/>
          <w:spacing w:val="31"/>
          <w:sz w:val="21"/>
        </w:rPr>
        <w:t> </w:t>
      </w:r>
      <w:r>
        <w:rPr>
          <w:sz w:val="21"/>
        </w:rPr>
        <w:t>(“</w:t>
      </w:r>
      <w:r>
        <w:rPr>
          <w:b/>
          <w:sz w:val="21"/>
        </w:rPr>
        <w:t>Employer</w:t>
      </w:r>
      <w:r>
        <w:rPr>
          <w:b/>
          <w:spacing w:val="31"/>
          <w:sz w:val="21"/>
        </w:rPr>
        <w:t> </w:t>
      </w:r>
      <w:r>
        <w:rPr>
          <w:sz w:val="21"/>
        </w:rPr>
        <w:t>or</w:t>
      </w:r>
      <w:r>
        <w:rPr>
          <w:spacing w:val="31"/>
          <w:sz w:val="21"/>
        </w:rPr>
        <w:t> </w:t>
      </w:r>
      <w:r>
        <w:rPr>
          <w:b/>
          <w:sz w:val="21"/>
        </w:rPr>
        <w:t>Company</w:t>
      </w:r>
      <w:r>
        <w:rPr>
          <w:sz w:val="21"/>
        </w:rPr>
        <w:t>”),</w:t>
      </w:r>
      <w:r>
        <w:rPr>
          <w:spacing w:val="31"/>
          <w:sz w:val="21"/>
        </w:rPr>
        <w:t> </w:t>
      </w:r>
      <w:r>
        <w:rPr>
          <w:sz w:val="21"/>
        </w:rPr>
        <w:t>as</w:t>
      </w:r>
      <w:r>
        <w:rPr>
          <w:spacing w:val="31"/>
          <w:sz w:val="21"/>
        </w:rPr>
        <w:t> </w:t>
      </w:r>
      <w:r>
        <w:rPr>
          <w:sz w:val="21"/>
        </w:rPr>
        <w:t>of</w:t>
      </w:r>
      <w:r>
        <w:rPr>
          <w:spacing w:val="31"/>
          <w:sz w:val="21"/>
        </w:rPr>
        <w:t> </w:t>
      </w:r>
      <w:r>
        <w:rPr>
          <w:b/>
          <w:sz w:val="21"/>
        </w:rPr>
        <w:t>December</w:t>
      </w:r>
      <w:r>
        <w:rPr>
          <w:b/>
          <w:spacing w:val="26"/>
          <w:sz w:val="21"/>
        </w:rPr>
        <w:t> </w:t>
      </w:r>
      <w:r>
        <w:rPr>
          <w:b/>
          <w:sz w:val="21"/>
        </w:rPr>
        <w:t>6,</w:t>
      </w:r>
      <w:r>
        <w:rPr>
          <w:b/>
          <w:spacing w:val="31"/>
          <w:sz w:val="21"/>
        </w:rPr>
        <w:t> </w:t>
      </w:r>
      <w:r>
        <w:rPr>
          <w:b/>
          <w:sz w:val="21"/>
        </w:rPr>
        <w:t>2022</w:t>
      </w:r>
      <w:r>
        <w:rPr>
          <w:sz w:val="21"/>
        </w:rPr>
        <w:t>.</w:t>
      </w:r>
      <w:r>
        <w:rPr>
          <w:spacing w:val="31"/>
          <w:sz w:val="21"/>
        </w:rPr>
        <w:t> </w:t>
      </w:r>
      <w:r>
        <w:rPr>
          <w:sz w:val="21"/>
        </w:rPr>
        <w:t>Capitalized</w:t>
      </w:r>
      <w:r>
        <w:rPr>
          <w:spacing w:val="31"/>
          <w:sz w:val="21"/>
        </w:rPr>
        <w:t> </w:t>
      </w:r>
      <w:r>
        <w:rPr>
          <w:sz w:val="21"/>
        </w:rPr>
        <w:t>terms</w:t>
      </w:r>
      <w:r>
        <w:rPr>
          <w:spacing w:val="31"/>
          <w:sz w:val="21"/>
        </w:rPr>
        <w:t> </w:t>
      </w:r>
      <w:r>
        <w:rPr>
          <w:sz w:val="21"/>
        </w:rPr>
        <w:t>that</w:t>
      </w:r>
      <w:r>
        <w:rPr>
          <w:spacing w:val="31"/>
          <w:sz w:val="21"/>
        </w:rPr>
        <w:t> </w:t>
      </w:r>
      <w:r>
        <w:rPr>
          <w:sz w:val="21"/>
        </w:rPr>
        <w:t>are not</w:t>
      </w:r>
      <w:r>
        <w:rPr>
          <w:spacing w:val="26"/>
          <w:sz w:val="21"/>
        </w:rPr>
        <w:t> </w:t>
      </w:r>
      <w:r>
        <w:rPr>
          <w:sz w:val="21"/>
        </w:rPr>
        <w:t>defined</w:t>
      </w:r>
      <w:r>
        <w:rPr>
          <w:spacing w:val="26"/>
          <w:sz w:val="21"/>
        </w:rPr>
        <w:t> </w:t>
      </w:r>
      <w:r>
        <w:rPr>
          <w:sz w:val="21"/>
        </w:rPr>
        <w:t>herein</w:t>
      </w:r>
      <w:r>
        <w:rPr>
          <w:spacing w:val="26"/>
          <w:sz w:val="21"/>
        </w:rPr>
        <w:t> </w:t>
      </w:r>
      <w:r>
        <w:rPr>
          <w:sz w:val="21"/>
        </w:rPr>
        <w:t>shall</w:t>
      </w:r>
      <w:r>
        <w:rPr>
          <w:spacing w:val="26"/>
          <w:sz w:val="21"/>
        </w:rPr>
        <w:t> </w:t>
      </w:r>
      <w:r>
        <w:rPr>
          <w:sz w:val="21"/>
        </w:rPr>
        <w:t>have</w:t>
      </w:r>
      <w:r>
        <w:rPr>
          <w:spacing w:val="26"/>
          <w:sz w:val="21"/>
        </w:rPr>
        <w:t> </w:t>
      </w:r>
      <w:r>
        <w:rPr>
          <w:sz w:val="21"/>
        </w:rPr>
        <w:t>the</w:t>
      </w:r>
      <w:r>
        <w:rPr>
          <w:spacing w:val="26"/>
          <w:sz w:val="21"/>
        </w:rPr>
        <w:t> </w:t>
      </w:r>
      <w:r>
        <w:rPr>
          <w:sz w:val="21"/>
        </w:rPr>
        <w:t>meanings</w:t>
      </w:r>
      <w:r>
        <w:rPr>
          <w:spacing w:val="26"/>
          <w:sz w:val="21"/>
        </w:rPr>
        <w:t> </w:t>
      </w:r>
      <w:r>
        <w:rPr>
          <w:sz w:val="21"/>
        </w:rPr>
        <w:t>ascribed</w:t>
      </w:r>
      <w:r>
        <w:rPr>
          <w:spacing w:val="26"/>
          <w:sz w:val="21"/>
        </w:rPr>
        <w:t> </w:t>
      </w:r>
      <w:r>
        <w:rPr>
          <w:sz w:val="21"/>
        </w:rPr>
        <w:t>to</w:t>
      </w:r>
      <w:r>
        <w:rPr>
          <w:spacing w:val="26"/>
          <w:sz w:val="21"/>
        </w:rPr>
        <w:t> </w:t>
      </w:r>
      <w:r>
        <w:rPr>
          <w:sz w:val="21"/>
        </w:rPr>
        <w:t>them</w:t>
      </w:r>
      <w:r>
        <w:rPr>
          <w:spacing w:val="26"/>
          <w:sz w:val="21"/>
        </w:rPr>
        <w:t> </w:t>
      </w:r>
      <w:r>
        <w:rPr>
          <w:sz w:val="21"/>
        </w:rPr>
        <w:t>in</w:t>
      </w:r>
      <w:r>
        <w:rPr>
          <w:spacing w:val="26"/>
          <w:sz w:val="21"/>
        </w:rPr>
        <w:t> </w:t>
      </w:r>
      <w:r>
        <w:rPr>
          <w:sz w:val="21"/>
        </w:rPr>
        <w:t>the Agreement</w:t>
      </w:r>
      <w:r>
        <w:rPr>
          <w:spacing w:val="26"/>
          <w:sz w:val="21"/>
        </w:rPr>
        <w:t> </w:t>
      </w:r>
      <w:r>
        <w:rPr>
          <w:sz w:val="21"/>
        </w:rPr>
        <w:t>(as</w:t>
      </w:r>
      <w:r>
        <w:rPr>
          <w:spacing w:val="26"/>
          <w:sz w:val="21"/>
        </w:rPr>
        <w:t> </w:t>
      </w:r>
      <w:r>
        <w:rPr>
          <w:sz w:val="21"/>
        </w:rPr>
        <w:t>defined</w:t>
      </w:r>
      <w:r>
        <w:rPr>
          <w:spacing w:val="26"/>
          <w:sz w:val="21"/>
        </w:rPr>
        <w:t> </w:t>
      </w:r>
      <w:r>
        <w:rPr>
          <w:sz w:val="21"/>
        </w:rPr>
        <w:t>below).</w:t>
      </w:r>
    </w:p>
    <w:p>
      <w:pPr>
        <w:spacing w:before="153"/>
        <w:ind w:left="24" w:right="0" w:firstLine="0"/>
        <w:jc w:val="center"/>
        <w:rPr>
          <w:b/>
          <w:sz w:val="19"/>
        </w:rPr>
      </w:pPr>
      <w:r>
        <w:rPr>
          <w:b/>
          <w:spacing w:val="-2"/>
          <w:w w:val="105"/>
          <w:sz w:val="19"/>
        </w:rPr>
        <w:t>RECITALS</w:t>
      </w:r>
    </w:p>
    <w:p>
      <w:pPr>
        <w:pStyle w:val="BodyText"/>
        <w:spacing w:before="43"/>
        <w:rPr>
          <w:b/>
          <w:sz w:val="19"/>
        </w:rPr>
      </w:pPr>
    </w:p>
    <w:p>
      <w:pPr>
        <w:spacing w:line="268" w:lineRule="auto" w:before="0"/>
        <w:ind w:left="144" w:right="118" w:firstLine="0"/>
        <w:jc w:val="both"/>
        <w:rPr>
          <w:sz w:val="21"/>
        </w:rPr>
      </w:pPr>
      <w:r>
        <w:rPr>
          <w:b/>
          <w:sz w:val="21"/>
        </w:rPr>
        <w:t>WHEREAS</w:t>
      </w:r>
      <w:r>
        <w:rPr>
          <w:sz w:val="21"/>
        </w:rPr>
        <w:t>, Employer and Employee have entered into that certain Employment Agreement, effective as of September 1, 2022 </w:t>
      </w:r>
      <w:r>
        <w:rPr>
          <w:sz w:val="21"/>
        </w:rPr>
        <w:t>(the “</w:t>
      </w:r>
      <w:r>
        <w:rPr>
          <w:b/>
          <w:sz w:val="21"/>
        </w:rPr>
        <w:t>Agreement</w:t>
      </w:r>
      <w:r>
        <w:rPr>
          <w:sz w:val="21"/>
        </w:rPr>
        <w:t>”); and</w:t>
      </w:r>
    </w:p>
    <w:p>
      <w:pPr>
        <w:spacing w:line="268" w:lineRule="auto" w:before="229"/>
        <w:ind w:left="144" w:right="118" w:firstLine="0"/>
        <w:jc w:val="both"/>
        <w:rPr>
          <w:sz w:val="21"/>
        </w:rPr>
      </w:pPr>
      <w:r>
        <w:rPr>
          <w:b/>
          <w:sz w:val="21"/>
        </w:rPr>
        <w:t>WHEREAS</w:t>
      </w:r>
      <w:r>
        <w:rPr>
          <w:sz w:val="21"/>
        </w:rPr>
        <w:t>,</w:t>
      </w:r>
      <w:r>
        <w:rPr>
          <w:spacing w:val="25"/>
          <w:sz w:val="21"/>
        </w:rPr>
        <w:t> </w:t>
      </w:r>
      <w:r>
        <w:rPr>
          <w:sz w:val="21"/>
        </w:rPr>
        <w:t>Employee</w:t>
      </w:r>
      <w:r>
        <w:rPr>
          <w:spacing w:val="25"/>
          <w:sz w:val="21"/>
        </w:rPr>
        <w:t> </w:t>
      </w:r>
      <w:r>
        <w:rPr>
          <w:sz w:val="21"/>
        </w:rPr>
        <w:t>is</w:t>
      </w:r>
      <w:r>
        <w:rPr>
          <w:spacing w:val="25"/>
          <w:sz w:val="21"/>
        </w:rPr>
        <w:t> </w:t>
      </w:r>
      <w:r>
        <w:rPr>
          <w:sz w:val="21"/>
        </w:rPr>
        <w:t>willing</w:t>
      </w:r>
      <w:r>
        <w:rPr>
          <w:spacing w:val="25"/>
          <w:sz w:val="21"/>
        </w:rPr>
        <w:t> </w:t>
      </w:r>
      <w:r>
        <w:rPr>
          <w:sz w:val="21"/>
        </w:rPr>
        <w:t>and</w:t>
      </w:r>
      <w:r>
        <w:rPr>
          <w:spacing w:val="25"/>
          <w:sz w:val="21"/>
        </w:rPr>
        <w:t> </w:t>
      </w:r>
      <w:r>
        <w:rPr>
          <w:sz w:val="21"/>
        </w:rPr>
        <w:t>Employer</w:t>
      </w:r>
      <w:r>
        <w:rPr>
          <w:spacing w:val="25"/>
          <w:sz w:val="21"/>
        </w:rPr>
        <w:t> </w:t>
      </w:r>
      <w:r>
        <w:rPr>
          <w:sz w:val="21"/>
        </w:rPr>
        <w:t>desires</w:t>
      </w:r>
      <w:r>
        <w:rPr>
          <w:spacing w:val="25"/>
          <w:sz w:val="21"/>
        </w:rPr>
        <w:t> </w:t>
      </w:r>
      <w:r>
        <w:rPr>
          <w:sz w:val="21"/>
        </w:rPr>
        <w:t>to</w:t>
      </w:r>
      <w:r>
        <w:rPr>
          <w:spacing w:val="25"/>
          <w:sz w:val="21"/>
        </w:rPr>
        <w:t> </w:t>
      </w:r>
      <w:r>
        <w:rPr>
          <w:sz w:val="21"/>
        </w:rPr>
        <w:t>modify</w:t>
      </w:r>
      <w:r>
        <w:rPr>
          <w:spacing w:val="25"/>
          <w:sz w:val="21"/>
        </w:rPr>
        <w:t> </w:t>
      </w:r>
      <w:r>
        <w:rPr>
          <w:sz w:val="21"/>
        </w:rPr>
        <w:t>certain</w:t>
      </w:r>
      <w:r>
        <w:rPr>
          <w:spacing w:val="25"/>
          <w:sz w:val="21"/>
        </w:rPr>
        <w:t> </w:t>
      </w:r>
      <w:r>
        <w:rPr>
          <w:sz w:val="21"/>
        </w:rPr>
        <w:t>terms</w:t>
      </w:r>
      <w:r>
        <w:rPr>
          <w:spacing w:val="25"/>
          <w:sz w:val="21"/>
        </w:rPr>
        <w:t> </w:t>
      </w:r>
      <w:r>
        <w:rPr>
          <w:sz w:val="21"/>
        </w:rPr>
        <w:t>and</w:t>
      </w:r>
      <w:r>
        <w:rPr>
          <w:spacing w:val="25"/>
          <w:sz w:val="21"/>
        </w:rPr>
        <w:t> </w:t>
      </w:r>
      <w:r>
        <w:rPr>
          <w:sz w:val="21"/>
        </w:rPr>
        <w:t>conditions</w:t>
      </w:r>
      <w:r>
        <w:rPr>
          <w:spacing w:val="25"/>
          <w:sz w:val="21"/>
        </w:rPr>
        <w:t> </w:t>
      </w:r>
      <w:r>
        <w:rPr>
          <w:sz w:val="21"/>
        </w:rPr>
        <w:t>to</w:t>
      </w:r>
      <w:r>
        <w:rPr>
          <w:spacing w:val="25"/>
          <w:sz w:val="21"/>
        </w:rPr>
        <w:t> </w:t>
      </w:r>
      <w:r>
        <w:rPr>
          <w:sz w:val="21"/>
        </w:rPr>
        <w:t>the Agreement</w:t>
      </w:r>
      <w:r>
        <w:rPr>
          <w:spacing w:val="25"/>
          <w:sz w:val="21"/>
        </w:rPr>
        <w:t> </w:t>
      </w:r>
      <w:r>
        <w:rPr>
          <w:sz w:val="21"/>
        </w:rPr>
        <w:t>as</w:t>
      </w:r>
      <w:r>
        <w:rPr>
          <w:spacing w:val="25"/>
          <w:sz w:val="21"/>
        </w:rPr>
        <w:t> </w:t>
      </w:r>
      <w:r>
        <w:rPr>
          <w:sz w:val="21"/>
        </w:rPr>
        <w:t>more</w:t>
      </w:r>
      <w:r>
        <w:rPr>
          <w:spacing w:val="25"/>
          <w:sz w:val="21"/>
        </w:rPr>
        <w:t> </w:t>
      </w:r>
      <w:r>
        <w:rPr>
          <w:sz w:val="21"/>
        </w:rPr>
        <w:t>fully</w:t>
      </w:r>
      <w:r>
        <w:rPr>
          <w:spacing w:val="25"/>
          <w:sz w:val="21"/>
        </w:rPr>
        <w:t> </w:t>
      </w:r>
      <w:r>
        <w:rPr>
          <w:sz w:val="21"/>
        </w:rPr>
        <w:t>set forth herein;</w:t>
      </w:r>
    </w:p>
    <w:p>
      <w:pPr>
        <w:pStyle w:val="BodyText"/>
        <w:spacing w:before="41"/>
        <w:rPr>
          <w:sz w:val="21"/>
        </w:rPr>
      </w:pPr>
    </w:p>
    <w:p>
      <w:pPr>
        <w:spacing w:line="280" w:lineRule="auto" w:before="0"/>
        <w:ind w:left="144" w:right="118" w:firstLine="0"/>
        <w:jc w:val="both"/>
        <w:rPr>
          <w:sz w:val="21"/>
        </w:rPr>
      </w:pPr>
      <w:r>
        <w:rPr>
          <w:b/>
          <w:sz w:val="21"/>
        </w:rPr>
        <w:t>NOW,</w:t>
      </w:r>
      <w:r>
        <w:rPr>
          <w:b/>
          <w:spacing w:val="30"/>
          <w:sz w:val="21"/>
        </w:rPr>
        <w:t> </w:t>
      </w:r>
      <w:r>
        <w:rPr>
          <w:b/>
          <w:sz w:val="21"/>
        </w:rPr>
        <w:t>THEREFORE</w:t>
      </w:r>
      <w:r>
        <w:rPr>
          <w:sz w:val="21"/>
        </w:rPr>
        <w:t>,</w:t>
      </w:r>
      <w:r>
        <w:rPr>
          <w:spacing w:val="35"/>
          <w:sz w:val="21"/>
        </w:rPr>
        <w:t> </w:t>
      </w:r>
      <w:r>
        <w:rPr>
          <w:sz w:val="21"/>
        </w:rPr>
        <w:t>in</w:t>
      </w:r>
      <w:r>
        <w:rPr>
          <w:spacing w:val="35"/>
          <w:sz w:val="21"/>
        </w:rPr>
        <w:t> </w:t>
      </w:r>
      <w:r>
        <w:rPr>
          <w:sz w:val="21"/>
        </w:rPr>
        <w:t>consideration</w:t>
      </w:r>
      <w:r>
        <w:rPr>
          <w:spacing w:val="35"/>
          <w:sz w:val="21"/>
        </w:rPr>
        <w:t> </w:t>
      </w:r>
      <w:r>
        <w:rPr>
          <w:sz w:val="21"/>
        </w:rPr>
        <w:t>of</w:t>
      </w:r>
      <w:r>
        <w:rPr>
          <w:spacing w:val="35"/>
          <w:sz w:val="21"/>
        </w:rPr>
        <w:t> </w:t>
      </w:r>
      <w:r>
        <w:rPr>
          <w:sz w:val="21"/>
        </w:rPr>
        <w:t>the</w:t>
      </w:r>
      <w:r>
        <w:rPr>
          <w:spacing w:val="35"/>
          <w:sz w:val="21"/>
        </w:rPr>
        <w:t> </w:t>
      </w:r>
      <w:r>
        <w:rPr>
          <w:sz w:val="21"/>
        </w:rPr>
        <w:t>foregoing</w:t>
      </w:r>
      <w:r>
        <w:rPr>
          <w:spacing w:val="35"/>
          <w:sz w:val="21"/>
        </w:rPr>
        <w:t> </w:t>
      </w:r>
      <w:r>
        <w:rPr>
          <w:sz w:val="21"/>
        </w:rPr>
        <w:t>and</w:t>
      </w:r>
      <w:r>
        <w:rPr>
          <w:spacing w:val="35"/>
          <w:sz w:val="21"/>
        </w:rPr>
        <w:t> </w:t>
      </w:r>
      <w:r>
        <w:rPr>
          <w:sz w:val="21"/>
        </w:rPr>
        <w:t>the</w:t>
      </w:r>
      <w:r>
        <w:rPr>
          <w:spacing w:val="35"/>
          <w:sz w:val="21"/>
        </w:rPr>
        <w:t> </w:t>
      </w:r>
      <w:r>
        <w:rPr>
          <w:sz w:val="21"/>
        </w:rPr>
        <w:t>respective</w:t>
      </w:r>
      <w:r>
        <w:rPr>
          <w:spacing w:val="35"/>
          <w:sz w:val="21"/>
        </w:rPr>
        <w:t> </w:t>
      </w:r>
      <w:r>
        <w:rPr>
          <w:sz w:val="21"/>
        </w:rPr>
        <w:t>representations,</w:t>
      </w:r>
      <w:r>
        <w:rPr>
          <w:spacing w:val="35"/>
          <w:sz w:val="21"/>
        </w:rPr>
        <w:t> </w:t>
      </w:r>
      <w:r>
        <w:rPr>
          <w:sz w:val="21"/>
        </w:rPr>
        <w:t>warranties,</w:t>
      </w:r>
      <w:r>
        <w:rPr>
          <w:spacing w:val="35"/>
          <w:sz w:val="21"/>
        </w:rPr>
        <w:t> </w:t>
      </w:r>
      <w:r>
        <w:rPr>
          <w:sz w:val="21"/>
        </w:rPr>
        <w:t>covenants</w:t>
      </w:r>
      <w:r>
        <w:rPr>
          <w:spacing w:val="35"/>
          <w:sz w:val="21"/>
        </w:rPr>
        <w:t> </w:t>
      </w:r>
      <w:r>
        <w:rPr>
          <w:sz w:val="21"/>
        </w:rPr>
        <w:t>and</w:t>
      </w:r>
      <w:r>
        <w:rPr>
          <w:spacing w:val="35"/>
          <w:sz w:val="21"/>
        </w:rPr>
        <w:t> </w:t>
      </w:r>
      <w:r>
        <w:rPr>
          <w:sz w:val="21"/>
        </w:rPr>
        <w:t>agreements set forth in the Agreement, the parties hereto agree as follows:</w:t>
      </w:r>
    </w:p>
    <w:p>
      <w:pPr>
        <w:pStyle w:val="ListParagraph"/>
        <w:numPr>
          <w:ilvl w:val="0"/>
          <w:numId w:val="49"/>
        </w:numPr>
        <w:tabs>
          <w:tab w:pos="791" w:val="left" w:leader="none"/>
        </w:tabs>
        <w:spacing w:line="240" w:lineRule="auto" w:before="209" w:after="0"/>
        <w:ind w:left="791" w:right="0" w:hanging="323"/>
        <w:jc w:val="left"/>
        <w:rPr>
          <w:sz w:val="19"/>
        </w:rPr>
      </w:pPr>
      <w:r>
        <w:rPr>
          <w:spacing w:val="-2"/>
          <w:w w:val="105"/>
          <w:sz w:val="19"/>
          <w:u w:val="single"/>
        </w:rPr>
        <w:t>Amendments</w:t>
      </w:r>
      <w:r>
        <w:rPr>
          <w:spacing w:val="-2"/>
          <w:w w:val="105"/>
          <w:sz w:val="19"/>
        </w:rPr>
        <w:t>.</w:t>
      </w:r>
    </w:p>
    <w:p>
      <w:pPr>
        <w:pStyle w:val="BodyText"/>
        <w:spacing w:before="17"/>
        <w:rPr>
          <w:sz w:val="19"/>
        </w:rPr>
      </w:pPr>
    </w:p>
    <w:p>
      <w:pPr>
        <w:pStyle w:val="ListParagraph"/>
        <w:numPr>
          <w:ilvl w:val="1"/>
          <w:numId w:val="49"/>
        </w:numPr>
        <w:tabs>
          <w:tab w:pos="1116" w:val="left" w:leader="none"/>
        </w:tabs>
        <w:spacing w:line="482" w:lineRule="auto" w:before="0" w:after="0"/>
        <w:ind w:left="1116" w:right="662" w:hanging="324"/>
        <w:jc w:val="left"/>
        <w:rPr>
          <w:sz w:val="21"/>
        </w:rPr>
      </w:pPr>
      <w:r>
        <w:rPr>
          <w:sz w:val="21"/>
        </w:rPr>
        <w:t>Employer and Employee hereby agree to amend Section 10.1.1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9"/>
        </w:numPr>
        <w:tabs>
          <w:tab w:pos="1116" w:val="left" w:leader="none"/>
        </w:tabs>
        <w:spacing w:line="482" w:lineRule="auto" w:before="1" w:after="0"/>
        <w:ind w:left="1116" w:right="662" w:hanging="324"/>
        <w:jc w:val="left"/>
        <w:rPr>
          <w:sz w:val="21"/>
        </w:rPr>
      </w:pPr>
      <w:r>
        <w:rPr>
          <w:sz w:val="21"/>
        </w:rPr>
        <w:t>Employer and Employee hereby agree to amend Section 10.1.2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9"/>
        </w:numPr>
        <w:tabs>
          <w:tab w:pos="1116" w:val="left" w:leader="none"/>
        </w:tabs>
        <w:spacing w:line="482" w:lineRule="auto" w:before="1" w:after="0"/>
        <w:ind w:left="1116" w:right="662" w:hanging="324"/>
        <w:jc w:val="left"/>
        <w:rPr>
          <w:sz w:val="21"/>
        </w:rPr>
      </w:pPr>
      <w:r>
        <w:rPr>
          <w:sz w:val="21"/>
        </w:rPr>
        <w:t>Employer and Employee hereby agree to amend Section 10.2.1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9"/>
        </w:numPr>
        <w:tabs>
          <w:tab w:pos="1116" w:val="left" w:leader="none"/>
        </w:tabs>
        <w:spacing w:line="631" w:lineRule="auto" w:before="2" w:after="0"/>
        <w:ind w:left="1116" w:right="423" w:hanging="324"/>
        <w:jc w:val="left"/>
        <w:rPr>
          <w:sz w:val="21"/>
        </w:rPr>
      </w:pPr>
      <w:r>
        <w:rPr>
          <w:sz w:val="21"/>
        </w:rPr>
        <w:t>Employer and Employee hereby agree to amend Section 10.2.1(a) by adding the following sentence at the end thereof:</w:t>
      </w:r>
      <w:r>
        <w:rPr>
          <w:spacing w:val="80"/>
          <w:sz w:val="21"/>
        </w:rPr>
        <w:t> </w:t>
      </w:r>
      <w:r>
        <w:rPr>
          <w:sz w:val="21"/>
        </w:rPr>
        <w:t>“Employer shall also pay Employee any Earned Bonus Amount (as defined below).”</w:t>
      </w:r>
    </w:p>
    <w:p>
      <w:pPr>
        <w:pStyle w:val="ListParagraph"/>
        <w:numPr>
          <w:ilvl w:val="1"/>
          <w:numId w:val="49"/>
        </w:numPr>
        <w:tabs>
          <w:tab w:pos="1116" w:val="left" w:leader="none"/>
        </w:tabs>
        <w:spacing w:line="268" w:lineRule="auto" w:before="0" w:after="0"/>
        <w:ind w:left="1116" w:right="404" w:hanging="324"/>
        <w:jc w:val="left"/>
        <w:rPr>
          <w:sz w:val="21"/>
        </w:rPr>
      </w:pPr>
      <w:r>
        <w:rPr>
          <w:sz w:val="21"/>
        </w:rPr>
        <w:t>Employer and Employee hereby agree to clarify and amend Section 10.3.1 by adding the following sentence at the end</w:t>
      </w:r>
      <w:r>
        <w:rPr>
          <w:spacing w:val="80"/>
          <w:sz w:val="21"/>
        </w:rPr>
        <w:t> </w:t>
      </w:r>
      <w:r>
        <w:rPr>
          <w:spacing w:val="-2"/>
          <w:sz w:val="21"/>
        </w:rPr>
        <w:t>thereof:</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4"/>
        <w:rPr>
          <w:sz w:val="20"/>
        </w:rPr>
      </w:pPr>
      <w:r>
        <w:rPr/>
        <mc:AlternateContent>
          <mc:Choice Requires="wps">
            <w:drawing>
              <wp:anchor distT="0" distB="0" distL="0" distR="0" allowOverlap="1" layoutInCell="1" locked="0" behindDoc="1" simplePos="0" relativeHeight="487798272">
                <wp:simplePos x="0" y="0"/>
                <wp:positionH relativeFrom="page">
                  <wp:posOffset>231457</wp:posOffset>
                </wp:positionH>
                <wp:positionV relativeFrom="paragraph">
                  <wp:posOffset>284467</wp:posOffset>
                </wp:positionV>
                <wp:extent cx="7312659" cy="17145"/>
                <wp:effectExtent l="0" t="0" r="0" b="0"/>
                <wp:wrapTopAndBottom/>
                <wp:docPr id="1031" name="Group 1031"/>
                <wp:cNvGraphicFramePr>
                  <a:graphicFrameLocks/>
                </wp:cNvGraphicFramePr>
                <a:graphic>
                  <a:graphicData uri="http://schemas.microsoft.com/office/word/2010/wordprocessingGroup">
                    <wpg:wgp>
                      <wpg:cNvPr id="1031" name="Group 1031"/>
                      <wpg:cNvGrpSpPr/>
                      <wpg:grpSpPr>
                        <a:xfrm>
                          <a:off x="0" y="0"/>
                          <a:ext cx="7312659" cy="17145"/>
                          <a:chExt cx="7312659" cy="17145"/>
                        </a:xfrm>
                      </wpg:grpSpPr>
                      <wps:wsp>
                        <wps:cNvPr id="1032" name="Graphic 103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33" name="Graphic 1033"/>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34" name="Graphic 103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2.399023pt;width:575.8pt;height:1.35pt;mso-position-horizontal-relative:page;mso-position-vertical-relative:paragraph;z-index:-15518208;mso-wrap-distance-left:0;mso-wrap-distance-right:0" id="docshapegroup1029" coordorigin="364,448" coordsize="11516,27">
                <v:rect style="position:absolute;left:364;top:447;width:11516;height:14" id="docshape1030" filled="true" fillcolor="#999999" stroked="false">
                  <v:fill type="solid"/>
                </v:rect>
                <v:shape style="position:absolute;left:364;top:447;width:11516;height:27" id="docshape1031" coordorigin="364,448" coordsize="11516,27" path="m11880,448l11866,461,364,461,364,475,11866,475,11880,475,11880,461,11880,448xe" filled="true" fillcolor="#ededed" stroked="false">
                  <v:path arrowok="t"/>
                  <v:fill type="solid"/>
                </v:shape>
                <v:shape style="position:absolute;left:364;top:447;width:14;height:27" id="docshape1032" coordorigin="364,448" coordsize="14,27" path="m364,475l364,448,378,448,378,461,364,475xe" filled="true" fillcolor="#999999" stroked="false">
                  <v:path arrowok="t"/>
                  <v:fill type="solid"/>
                </v:shape>
                <w10:wrap type="topAndBottom"/>
              </v:group>
            </w:pict>
          </mc:Fallback>
        </mc:AlternateContent>
      </w:r>
    </w:p>
    <w:p>
      <w:pPr>
        <w:spacing w:after="0"/>
        <w:rPr>
          <w:sz w:val="20"/>
        </w:rPr>
        <w:sectPr>
          <w:pgSz w:w="12240" w:h="15840"/>
          <w:pgMar w:top="300" w:bottom="280" w:left="220" w:right="240"/>
        </w:sectPr>
      </w:pPr>
    </w:p>
    <w:p>
      <w:pPr>
        <w:spacing w:line="268" w:lineRule="auto" w:before="81"/>
        <w:ind w:left="1116" w:right="218" w:firstLine="0"/>
        <w:jc w:val="left"/>
        <w:rPr>
          <w:sz w:val="21"/>
        </w:rPr>
      </w:pPr>
      <w:r>
        <w:rPr>
          <w:sz w:val="21"/>
        </w:rPr>
        <w:t>“For</w:t>
      </w:r>
      <w:r>
        <w:rPr>
          <w:spacing w:val="14"/>
          <w:sz w:val="21"/>
        </w:rPr>
        <w:t> </w:t>
      </w:r>
      <w:r>
        <w:rPr>
          <w:sz w:val="21"/>
        </w:rPr>
        <w:t>the</w:t>
      </w:r>
      <w:r>
        <w:rPr>
          <w:spacing w:val="13"/>
          <w:sz w:val="21"/>
        </w:rPr>
        <w:t> </w:t>
      </w:r>
      <w:r>
        <w:rPr>
          <w:sz w:val="21"/>
        </w:rPr>
        <w:t>avoidance</w:t>
      </w:r>
      <w:r>
        <w:rPr>
          <w:spacing w:val="14"/>
          <w:sz w:val="21"/>
        </w:rPr>
        <w:t> </w:t>
      </w:r>
      <w:r>
        <w:rPr>
          <w:sz w:val="21"/>
        </w:rPr>
        <w:t>of</w:t>
      </w:r>
      <w:r>
        <w:rPr>
          <w:spacing w:val="13"/>
          <w:sz w:val="21"/>
        </w:rPr>
        <w:t> </w:t>
      </w:r>
      <w:r>
        <w:rPr>
          <w:sz w:val="21"/>
        </w:rPr>
        <w:t>doubt,</w:t>
      </w:r>
      <w:r>
        <w:rPr>
          <w:spacing w:val="14"/>
          <w:sz w:val="21"/>
        </w:rPr>
        <w:t> </w:t>
      </w:r>
      <w:r>
        <w:rPr>
          <w:sz w:val="21"/>
        </w:rPr>
        <w:t>an</w:t>
      </w:r>
      <w:r>
        <w:rPr>
          <w:spacing w:val="13"/>
          <w:sz w:val="21"/>
        </w:rPr>
        <w:t> </w:t>
      </w:r>
      <w:r>
        <w:rPr>
          <w:sz w:val="21"/>
        </w:rPr>
        <w:t>earned</w:t>
      </w:r>
      <w:r>
        <w:rPr>
          <w:spacing w:val="14"/>
          <w:sz w:val="21"/>
        </w:rPr>
        <w:t> </w:t>
      </w:r>
      <w:r>
        <w:rPr>
          <w:sz w:val="21"/>
        </w:rPr>
        <w:t>bonus</w:t>
      </w:r>
      <w:r>
        <w:rPr>
          <w:spacing w:val="13"/>
          <w:sz w:val="21"/>
        </w:rPr>
        <w:t> </w:t>
      </w:r>
      <w:r>
        <w:rPr>
          <w:sz w:val="21"/>
        </w:rPr>
        <w:t>includes</w:t>
      </w:r>
      <w:r>
        <w:rPr>
          <w:spacing w:val="14"/>
          <w:sz w:val="21"/>
        </w:rPr>
        <w:t> </w:t>
      </w:r>
      <w:r>
        <w:rPr>
          <w:sz w:val="21"/>
        </w:rPr>
        <w:t>any</w:t>
      </w:r>
      <w:r>
        <w:rPr>
          <w:spacing w:val="13"/>
          <w:sz w:val="21"/>
        </w:rPr>
        <w:t> </w:t>
      </w:r>
      <w:r>
        <w:rPr>
          <w:sz w:val="21"/>
        </w:rPr>
        <w:t>bonus</w:t>
      </w:r>
      <w:r>
        <w:rPr>
          <w:spacing w:val="14"/>
          <w:sz w:val="21"/>
        </w:rPr>
        <w:t> </w:t>
      </w:r>
      <w:r>
        <w:rPr>
          <w:sz w:val="21"/>
        </w:rPr>
        <w:t>where</w:t>
      </w:r>
      <w:r>
        <w:rPr>
          <w:spacing w:val="13"/>
          <w:sz w:val="21"/>
        </w:rPr>
        <w:t> </w:t>
      </w:r>
      <w:r>
        <w:rPr>
          <w:sz w:val="21"/>
        </w:rPr>
        <w:t>the</w:t>
      </w:r>
      <w:r>
        <w:rPr>
          <w:spacing w:val="14"/>
          <w:sz w:val="21"/>
        </w:rPr>
        <w:t> </w:t>
      </w:r>
      <w:r>
        <w:rPr>
          <w:sz w:val="21"/>
        </w:rPr>
        <w:t>performance</w:t>
      </w:r>
      <w:r>
        <w:rPr>
          <w:spacing w:val="13"/>
          <w:sz w:val="21"/>
        </w:rPr>
        <w:t> </w:t>
      </w:r>
      <w:r>
        <w:rPr>
          <w:sz w:val="21"/>
        </w:rPr>
        <w:t>period</w:t>
      </w:r>
      <w:r>
        <w:rPr>
          <w:spacing w:val="14"/>
          <w:sz w:val="21"/>
        </w:rPr>
        <w:t> </w:t>
      </w:r>
      <w:r>
        <w:rPr>
          <w:sz w:val="21"/>
        </w:rPr>
        <w:t>has</w:t>
      </w:r>
      <w:r>
        <w:rPr>
          <w:spacing w:val="13"/>
          <w:sz w:val="21"/>
        </w:rPr>
        <w:t> </w:t>
      </w:r>
      <w:r>
        <w:rPr>
          <w:sz w:val="21"/>
        </w:rPr>
        <w:t>been</w:t>
      </w:r>
      <w:r>
        <w:rPr>
          <w:spacing w:val="14"/>
          <w:sz w:val="21"/>
        </w:rPr>
        <w:t> </w:t>
      </w:r>
      <w:r>
        <w:rPr>
          <w:sz w:val="21"/>
        </w:rPr>
        <w:t>completed</w:t>
      </w:r>
      <w:r>
        <w:rPr>
          <w:spacing w:val="13"/>
          <w:sz w:val="21"/>
        </w:rPr>
        <w:t> </w:t>
      </w:r>
      <w:r>
        <w:rPr>
          <w:sz w:val="21"/>
        </w:rPr>
        <w:t>and a bonus has become determinable (an “</w:t>
      </w:r>
      <w:r>
        <w:rPr>
          <w:sz w:val="21"/>
          <w:u w:val="single"/>
        </w:rPr>
        <w:t>Earned Bonus Amount</w:t>
      </w:r>
      <w:r>
        <w:rPr>
          <w:sz w:val="21"/>
        </w:rPr>
        <w:t>”).”</w:t>
      </w:r>
    </w:p>
    <w:p>
      <w:pPr>
        <w:pStyle w:val="ListParagraph"/>
        <w:numPr>
          <w:ilvl w:val="0"/>
          <w:numId w:val="49"/>
        </w:numPr>
        <w:tabs>
          <w:tab w:pos="791" w:val="left" w:leader="none"/>
        </w:tabs>
        <w:spacing w:line="240" w:lineRule="auto" w:before="215" w:after="0"/>
        <w:ind w:left="791" w:right="0" w:hanging="323"/>
        <w:jc w:val="left"/>
        <w:rPr>
          <w:sz w:val="21"/>
        </w:rPr>
      </w:pPr>
      <w:r>
        <w:rPr>
          <w:sz w:val="21"/>
          <w:u w:val="single"/>
        </w:rPr>
        <w:t>Effectiveness</w:t>
      </w:r>
      <w:r>
        <w:rPr>
          <w:sz w:val="21"/>
        </w:rPr>
        <w:t>.</w:t>
      </w:r>
      <w:r>
        <w:rPr>
          <w:spacing w:val="4"/>
          <w:sz w:val="21"/>
        </w:rPr>
        <w:t> </w:t>
      </w:r>
      <w:r>
        <w:rPr>
          <w:sz w:val="21"/>
        </w:rPr>
        <w:t>The</w:t>
      </w:r>
      <w:r>
        <w:rPr>
          <w:spacing w:val="9"/>
          <w:sz w:val="21"/>
        </w:rPr>
        <w:t> </w:t>
      </w:r>
      <w:r>
        <w:rPr>
          <w:sz w:val="21"/>
        </w:rPr>
        <w:t>amendments</w:t>
      </w:r>
      <w:r>
        <w:rPr>
          <w:spacing w:val="9"/>
          <w:sz w:val="21"/>
        </w:rPr>
        <w:t> </w:t>
      </w:r>
      <w:r>
        <w:rPr>
          <w:sz w:val="21"/>
        </w:rPr>
        <w:t>set</w:t>
      </w:r>
      <w:r>
        <w:rPr>
          <w:spacing w:val="9"/>
          <w:sz w:val="21"/>
        </w:rPr>
        <w:t> </w:t>
      </w:r>
      <w:r>
        <w:rPr>
          <w:sz w:val="21"/>
        </w:rPr>
        <w:t>forth</w:t>
      </w:r>
      <w:r>
        <w:rPr>
          <w:spacing w:val="9"/>
          <w:sz w:val="21"/>
        </w:rPr>
        <w:t> </w:t>
      </w:r>
      <w:r>
        <w:rPr>
          <w:sz w:val="21"/>
        </w:rPr>
        <w:t>in</w:t>
      </w:r>
      <w:r>
        <w:rPr>
          <w:spacing w:val="9"/>
          <w:sz w:val="21"/>
        </w:rPr>
        <w:t> </w:t>
      </w:r>
      <w:r>
        <w:rPr>
          <w:sz w:val="21"/>
        </w:rPr>
        <w:t>Section</w:t>
      </w:r>
      <w:r>
        <w:rPr>
          <w:spacing w:val="9"/>
          <w:sz w:val="21"/>
        </w:rPr>
        <w:t> </w:t>
      </w:r>
      <w:r>
        <w:rPr>
          <w:sz w:val="21"/>
        </w:rPr>
        <w:t>1</w:t>
      </w:r>
      <w:r>
        <w:rPr>
          <w:spacing w:val="9"/>
          <w:sz w:val="21"/>
        </w:rPr>
        <w:t> </w:t>
      </w:r>
      <w:r>
        <w:rPr>
          <w:sz w:val="21"/>
        </w:rPr>
        <w:t>shall</w:t>
      </w:r>
      <w:r>
        <w:rPr>
          <w:spacing w:val="9"/>
          <w:sz w:val="21"/>
        </w:rPr>
        <w:t> </w:t>
      </w:r>
      <w:r>
        <w:rPr>
          <w:sz w:val="21"/>
        </w:rPr>
        <w:t>be</w:t>
      </w:r>
      <w:r>
        <w:rPr>
          <w:spacing w:val="9"/>
          <w:sz w:val="21"/>
        </w:rPr>
        <w:t> </w:t>
      </w:r>
      <w:r>
        <w:rPr>
          <w:sz w:val="21"/>
        </w:rPr>
        <w:t>effective</w:t>
      </w:r>
      <w:r>
        <w:rPr>
          <w:spacing w:val="9"/>
          <w:sz w:val="21"/>
        </w:rPr>
        <w:t> </w:t>
      </w:r>
      <w:r>
        <w:rPr>
          <w:sz w:val="21"/>
        </w:rPr>
        <w:t>as</w:t>
      </w:r>
      <w:r>
        <w:rPr>
          <w:spacing w:val="9"/>
          <w:sz w:val="21"/>
        </w:rPr>
        <w:t> </w:t>
      </w:r>
      <w:r>
        <w:rPr>
          <w:sz w:val="21"/>
        </w:rPr>
        <w:t>of</w:t>
      </w:r>
      <w:r>
        <w:rPr>
          <w:spacing w:val="9"/>
          <w:sz w:val="21"/>
        </w:rPr>
        <w:t> </w:t>
      </w:r>
      <w:r>
        <w:rPr>
          <w:sz w:val="21"/>
        </w:rPr>
        <w:t>the</w:t>
      </w:r>
      <w:r>
        <w:rPr>
          <w:spacing w:val="9"/>
          <w:sz w:val="21"/>
        </w:rPr>
        <w:t> </w:t>
      </w:r>
      <w:r>
        <w:rPr>
          <w:sz w:val="21"/>
        </w:rPr>
        <w:t>date</w:t>
      </w:r>
      <w:r>
        <w:rPr>
          <w:spacing w:val="9"/>
          <w:sz w:val="21"/>
        </w:rPr>
        <w:t> </w:t>
      </w:r>
      <w:r>
        <w:rPr>
          <w:spacing w:val="-2"/>
          <w:sz w:val="21"/>
        </w:rPr>
        <w:t>hereof.</w:t>
      </w:r>
    </w:p>
    <w:p>
      <w:pPr>
        <w:pStyle w:val="BodyText"/>
        <w:spacing w:before="3"/>
        <w:rPr>
          <w:sz w:val="21"/>
        </w:rPr>
      </w:pPr>
    </w:p>
    <w:p>
      <w:pPr>
        <w:pStyle w:val="ListParagraph"/>
        <w:numPr>
          <w:ilvl w:val="0"/>
          <w:numId w:val="49"/>
        </w:numPr>
        <w:tabs>
          <w:tab w:pos="792" w:val="left" w:leader="none"/>
        </w:tabs>
        <w:spacing w:line="268" w:lineRule="auto" w:before="0" w:after="0"/>
        <w:ind w:left="792" w:right="117" w:hanging="324"/>
        <w:jc w:val="left"/>
        <w:rPr>
          <w:sz w:val="21"/>
        </w:rPr>
      </w:pPr>
      <w:r>
        <w:rPr>
          <w:sz w:val="21"/>
          <w:u w:val="single"/>
        </w:rPr>
        <w:t>Other</w:t>
      </w:r>
      <w:r>
        <w:rPr>
          <w:spacing w:val="39"/>
          <w:sz w:val="21"/>
          <w:u w:val="single"/>
        </w:rPr>
        <w:t> </w:t>
      </w:r>
      <w:r>
        <w:rPr>
          <w:sz w:val="21"/>
          <w:u w:val="single"/>
        </w:rPr>
        <w:t>Provisions</w:t>
      </w:r>
      <w:r>
        <w:rPr>
          <w:spacing w:val="39"/>
          <w:sz w:val="21"/>
          <w:u w:val="single"/>
        </w:rPr>
        <w:t> </w:t>
      </w:r>
      <w:r>
        <w:rPr>
          <w:sz w:val="21"/>
          <w:u w:val="single"/>
        </w:rPr>
        <w:t>of</w:t>
      </w:r>
      <w:r>
        <w:rPr>
          <w:spacing w:val="24"/>
          <w:sz w:val="21"/>
          <w:u w:val="single"/>
        </w:rPr>
        <w:t> </w:t>
      </w:r>
      <w:r>
        <w:rPr>
          <w:sz w:val="21"/>
          <w:u w:val="single"/>
        </w:rPr>
        <w:t>Agreement</w:t>
      </w:r>
      <w:r>
        <w:rPr>
          <w:sz w:val="21"/>
        </w:rPr>
        <w:t>.</w:t>
      </w:r>
      <w:r>
        <w:rPr>
          <w:spacing w:val="34"/>
          <w:sz w:val="21"/>
        </w:rPr>
        <w:t> </w:t>
      </w:r>
      <w:r>
        <w:rPr>
          <w:sz w:val="21"/>
        </w:rPr>
        <w:t>The</w:t>
      </w:r>
      <w:r>
        <w:rPr>
          <w:spacing w:val="39"/>
          <w:sz w:val="21"/>
        </w:rPr>
        <w:t> </w:t>
      </w:r>
      <w:r>
        <w:rPr>
          <w:sz w:val="21"/>
        </w:rPr>
        <w:t>parties</w:t>
      </w:r>
      <w:r>
        <w:rPr>
          <w:spacing w:val="39"/>
          <w:sz w:val="21"/>
        </w:rPr>
        <w:t> </w:t>
      </w:r>
      <w:r>
        <w:rPr>
          <w:sz w:val="21"/>
        </w:rPr>
        <w:t>acknowledge</w:t>
      </w:r>
      <w:r>
        <w:rPr>
          <w:spacing w:val="39"/>
          <w:sz w:val="21"/>
        </w:rPr>
        <w:t> </w:t>
      </w:r>
      <w:r>
        <w:rPr>
          <w:sz w:val="21"/>
        </w:rPr>
        <w:t>that</w:t>
      </w:r>
      <w:r>
        <w:rPr>
          <w:spacing w:val="39"/>
          <w:sz w:val="21"/>
        </w:rPr>
        <w:t> </w:t>
      </w:r>
      <w:r>
        <w:rPr>
          <w:sz w:val="21"/>
        </w:rPr>
        <w:t>the</w:t>
      </w:r>
      <w:r>
        <w:rPr>
          <w:spacing w:val="24"/>
          <w:sz w:val="21"/>
        </w:rPr>
        <w:t> </w:t>
      </w:r>
      <w:r>
        <w:rPr>
          <w:sz w:val="21"/>
        </w:rPr>
        <w:t>Agreement</w:t>
      </w:r>
      <w:r>
        <w:rPr>
          <w:spacing w:val="39"/>
          <w:sz w:val="21"/>
        </w:rPr>
        <w:t> </w:t>
      </w:r>
      <w:r>
        <w:rPr>
          <w:sz w:val="21"/>
        </w:rPr>
        <w:t>is</w:t>
      </w:r>
      <w:r>
        <w:rPr>
          <w:spacing w:val="39"/>
          <w:sz w:val="21"/>
        </w:rPr>
        <w:t> </w:t>
      </w:r>
      <w:r>
        <w:rPr>
          <w:sz w:val="21"/>
        </w:rPr>
        <w:t>being</w:t>
      </w:r>
      <w:r>
        <w:rPr>
          <w:spacing w:val="39"/>
          <w:sz w:val="21"/>
        </w:rPr>
        <w:t> </w:t>
      </w:r>
      <w:r>
        <w:rPr>
          <w:sz w:val="21"/>
        </w:rPr>
        <w:t>modified</w:t>
      </w:r>
      <w:r>
        <w:rPr>
          <w:spacing w:val="39"/>
          <w:sz w:val="21"/>
        </w:rPr>
        <w:t> </w:t>
      </w:r>
      <w:r>
        <w:rPr>
          <w:sz w:val="21"/>
        </w:rPr>
        <w:t>only</w:t>
      </w:r>
      <w:r>
        <w:rPr>
          <w:spacing w:val="39"/>
          <w:sz w:val="21"/>
        </w:rPr>
        <w:t> </w:t>
      </w:r>
      <w:r>
        <w:rPr>
          <w:sz w:val="21"/>
        </w:rPr>
        <w:t>as</w:t>
      </w:r>
      <w:r>
        <w:rPr>
          <w:spacing w:val="39"/>
          <w:sz w:val="21"/>
        </w:rPr>
        <w:t> </w:t>
      </w:r>
      <w:r>
        <w:rPr>
          <w:sz w:val="21"/>
        </w:rPr>
        <w:t>stated</w:t>
      </w:r>
      <w:r>
        <w:rPr>
          <w:spacing w:val="39"/>
          <w:sz w:val="21"/>
        </w:rPr>
        <w:t> </w:t>
      </w:r>
      <w:r>
        <w:rPr>
          <w:sz w:val="21"/>
        </w:rPr>
        <w:t>herein,</w:t>
      </w:r>
      <w:r>
        <w:rPr>
          <w:spacing w:val="39"/>
          <w:sz w:val="21"/>
        </w:rPr>
        <w:t> </w:t>
      </w:r>
      <w:r>
        <w:rPr>
          <w:sz w:val="21"/>
        </w:rPr>
        <w:t>and agree that nothing else in the Agreement shall be affected by this Amendment.</w:t>
      </w:r>
    </w:p>
    <w:p>
      <w:pPr>
        <w:pStyle w:val="ListParagraph"/>
        <w:numPr>
          <w:ilvl w:val="0"/>
          <w:numId w:val="49"/>
        </w:numPr>
        <w:tabs>
          <w:tab w:pos="792" w:val="left" w:leader="none"/>
        </w:tabs>
        <w:spacing w:line="268" w:lineRule="auto" w:before="215" w:after="0"/>
        <w:ind w:left="792" w:right="118" w:hanging="324"/>
        <w:jc w:val="left"/>
        <w:rPr>
          <w:sz w:val="21"/>
        </w:rPr>
      </w:pPr>
      <w:r>
        <w:rPr>
          <w:sz w:val="21"/>
          <w:u w:val="single"/>
        </w:rPr>
        <w:t>Employee Acknowledgment</w:t>
      </w:r>
      <w:r>
        <w:rPr>
          <w:sz w:val="21"/>
        </w:rPr>
        <w:t>.</w:t>
      </w:r>
      <w:r>
        <w:rPr>
          <w:spacing w:val="23"/>
          <w:sz w:val="21"/>
        </w:rPr>
        <w:t> </w:t>
      </w:r>
      <w:r>
        <w:rPr>
          <w:sz w:val="21"/>
        </w:rPr>
        <w:t>Employee</w:t>
      </w:r>
      <w:r>
        <w:rPr>
          <w:spacing w:val="23"/>
          <w:sz w:val="21"/>
        </w:rPr>
        <w:t> </w:t>
      </w:r>
      <w:r>
        <w:rPr>
          <w:sz w:val="21"/>
        </w:rPr>
        <w:t>agrees</w:t>
      </w:r>
      <w:r>
        <w:rPr>
          <w:spacing w:val="23"/>
          <w:sz w:val="21"/>
        </w:rPr>
        <w:t> </w:t>
      </w:r>
      <w:r>
        <w:rPr>
          <w:sz w:val="21"/>
        </w:rPr>
        <w:t>that</w:t>
      </w:r>
      <w:r>
        <w:rPr>
          <w:spacing w:val="23"/>
          <w:sz w:val="21"/>
        </w:rPr>
        <w:t> </w:t>
      </w:r>
      <w:r>
        <w:rPr>
          <w:sz w:val="21"/>
        </w:rPr>
        <w:t>Employee</w:t>
      </w:r>
      <w:r>
        <w:rPr>
          <w:spacing w:val="23"/>
          <w:sz w:val="21"/>
        </w:rPr>
        <w:t> </w:t>
      </w:r>
      <w:r>
        <w:rPr>
          <w:sz w:val="21"/>
        </w:rPr>
        <w:t>has</w:t>
      </w:r>
      <w:r>
        <w:rPr>
          <w:spacing w:val="23"/>
          <w:sz w:val="21"/>
        </w:rPr>
        <w:t> </w:t>
      </w:r>
      <w:r>
        <w:rPr>
          <w:sz w:val="21"/>
        </w:rPr>
        <w:t>had</w:t>
      </w:r>
      <w:r>
        <w:rPr>
          <w:spacing w:val="23"/>
          <w:sz w:val="21"/>
        </w:rPr>
        <w:t> </w:t>
      </w:r>
      <w:r>
        <w:rPr>
          <w:sz w:val="21"/>
        </w:rPr>
        <w:t>enough</w:t>
      </w:r>
      <w:r>
        <w:rPr>
          <w:spacing w:val="23"/>
          <w:sz w:val="21"/>
        </w:rPr>
        <w:t> </w:t>
      </w:r>
      <w:r>
        <w:rPr>
          <w:sz w:val="21"/>
        </w:rPr>
        <w:t>time</w:t>
      </w:r>
      <w:r>
        <w:rPr>
          <w:spacing w:val="23"/>
          <w:sz w:val="21"/>
        </w:rPr>
        <w:t> </w:t>
      </w:r>
      <w:r>
        <w:rPr>
          <w:sz w:val="21"/>
        </w:rPr>
        <w:t>to</w:t>
      </w:r>
      <w:r>
        <w:rPr>
          <w:spacing w:val="23"/>
          <w:sz w:val="21"/>
        </w:rPr>
        <w:t> </w:t>
      </w:r>
      <w:r>
        <w:rPr>
          <w:sz w:val="21"/>
        </w:rPr>
        <w:t>review</w:t>
      </w:r>
      <w:r>
        <w:rPr>
          <w:spacing w:val="23"/>
          <w:sz w:val="21"/>
        </w:rPr>
        <w:t> </w:t>
      </w:r>
      <w:r>
        <w:rPr>
          <w:sz w:val="21"/>
        </w:rPr>
        <w:t>this Amendment,</w:t>
      </w:r>
      <w:r>
        <w:rPr>
          <w:spacing w:val="23"/>
          <w:sz w:val="21"/>
        </w:rPr>
        <w:t> </w:t>
      </w:r>
      <w:r>
        <w:rPr>
          <w:sz w:val="21"/>
        </w:rPr>
        <w:t>ask</w:t>
      </w:r>
      <w:r>
        <w:rPr>
          <w:spacing w:val="23"/>
          <w:sz w:val="21"/>
        </w:rPr>
        <w:t> </w:t>
      </w:r>
      <w:r>
        <w:rPr>
          <w:sz w:val="21"/>
        </w:rPr>
        <w:t>questions about its content, and consult with counsel of Employee’s choosing before signing below.</w:t>
      </w:r>
    </w:p>
    <w:p>
      <w:pPr>
        <w:pStyle w:val="Heading3"/>
        <w:spacing w:before="215"/>
        <w:ind w:left="144"/>
        <w:jc w:val="left"/>
        <w:rPr>
          <w:b w:val="0"/>
        </w:rPr>
      </w:pPr>
      <w:r>
        <w:rPr/>
        <w:t>IN</w:t>
      </w:r>
      <w:r>
        <w:rPr>
          <w:spacing w:val="7"/>
        </w:rPr>
        <w:t> </w:t>
      </w:r>
      <w:r>
        <w:rPr/>
        <w:t>WITNESS</w:t>
      </w:r>
      <w:r>
        <w:rPr>
          <w:spacing w:val="7"/>
        </w:rPr>
        <w:t> </w:t>
      </w:r>
      <w:r>
        <w:rPr/>
        <w:t>WHEREOF,</w:t>
      </w:r>
      <w:r>
        <w:rPr>
          <w:spacing w:val="13"/>
        </w:rPr>
        <w:t> </w:t>
      </w:r>
      <w:r>
        <w:rPr/>
        <w:t>EMPLOYER</w:t>
      </w:r>
      <w:r>
        <w:rPr>
          <w:spacing w:val="-3"/>
        </w:rPr>
        <w:t> </w:t>
      </w:r>
      <w:r>
        <w:rPr/>
        <w:t>AND</w:t>
      </w:r>
      <w:r>
        <w:rPr>
          <w:spacing w:val="13"/>
        </w:rPr>
        <w:t> </w:t>
      </w:r>
      <w:r>
        <w:rPr/>
        <w:t>EMPLOYEE</w:t>
      </w:r>
      <w:r>
        <w:rPr>
          <w:spacing w:val="12"/>
        </w:rPr>
        <w:t> </w:t>
      </w:r>
      <w:r>
        <w:rPr/>
        <w:t>HAVE</w:t>
      </w:r>
      <w:r>
        <w:rPr>
          <w:spacing w:val="12"/>
        </w:rPr>
        <w:t> </w:t>
      </w:r>
      <w:r>
        <w:rPr/>
        <w:t>ENTERED</w:t>
      </w:r>
      <w:r>
        <w:rPr>
          <w:spacing w:val="13"/>
        </w:rPr>
        <w:t> </w:t>
      </w:r>
      <w:r>
        <w:rPr/>
        <w:t>INTO</w:t>
      </w:r>
      <w:r>
        <w:rPr>
          <w:spacing w:val="7"/>
        </w:rPr>
        <w:t> </w:t>
      </w:r>
      <w:r>
        <w:rPr/>
        <w:t>THIS</w:t>
      </w:r>
      <w:r>
        <w:rPr>
          <w:spacing w:val="-2"/>
        </w:rPr>
        <w:t> AGREEMENT</w:t>
      </w:r>
      <w:r>
        <w:rPr>
          <w:b w:val="0"/>
          <w:spacing w:val="-2"/>
        </w:rPr>
        <w:t>.</w:t>
      </w:r>
    </w:p>
    <w:p>
      <w:pPr>
        <w:pStyle w:val="BodyText"/>
        <w:spacing w:before="57"/>
        <w:rPr>
          <w:sz w:val="21"/>
        </w:rPr>
      </w:pPr>
    </w:p>
    <w:p>
      <w:pPr>
        <w:tabs>
          <w:tab w:pos="6954" w:val="left" w:leader="none"/>
        </w:tabs>
        <w:spacing w:before="0"/>
        <w:ind w:left="162" w:right="0" w:firstLine="0"/>
        <w:jc w:val="left"/>
        <w:rPr>
          <w:b/>
          <w:sz w:val="21"/>
        </w:rPr>
      </w:pPr>
      <w:r>
        <w:rPr>
          <w:b/>
          <w:sz w:val="21"/>
        </w:rPr>
        <w:t>Jonathan</w:t>
      </w:r>
      <w:r>
        <w:rPr>
          <w:b/>
          <w:spacing w:val="17"/>
          <w:sz w:val="21"/>
        </w:rPr>
        <w:t> </w:t>
      </w:r>
      <w:r>
        <w:rPr>
          <w:b/>
          <w:spacing w:val="-2"/>
          <w:sz w:val="21"/>
        </w:rPr>
        <w:t>Halkyard</w:t>
      </w:r>
      <w:r>
        <w:rPr>
          <w:b/>
          <w:sz w:val="21"/>
        </w:rPr>
        <w:tab/>
        <w:t>MGM</w:t>
      </w:r>
      <w:r>
        <w:rPr>
          <w:b/>
          <w:spacing w:val="13"/>
          <w:sz w:val="21"/>
        </w:rPr>
        <w:t> </w:t>
      </w:r>
      <w:r>
        <w:rPr>
          <w:b/>
          <w:sz w:val="21"/>
        </w:rPr>
        <w:t>Resorts</w:t>
      </w:r>
      <w:r>
        <w:rPr>
          <w:b/>
          <w:spacing w:val="13"/>
          <w:sz w:val="21"/>
        </w:rPr>
        <w:t> </w:t>
      </w:r>
      <w:r>
        <w:rPr>
          <w:b/>
          <w:spacing w:val="-2"/>
          <w:sz w:val="21"/>
        </w:rPr>
        <w:t>International</w:t>
      </w:r>
    </w:p>
    <w:p>
      <w:pPr>
        <w:tabs>
          <w:tab w:pos="6954" w:val="left" w:leader="none"/>
        </w:tabs>
        <w:spacing w:before="83"/>
        <w:ind w:left="162" w:right="0" w:firstLine="0"/>
        <w:jc w:val="left"/>
        <w:rPr>
          <w:sz w:val="21"/>
        </w:rPr>
      </w:pPr>
      <w:r>
        <w:rPr/>
        <mc:AlternateContent>
          <mc:Choice Requires="wps">
            <w:drawing>
              <wp:anchor distT="0" distB="0" distL="0" distR="0" allowOverlap="1" layoutInCell="1" locked="0" behindDoc="1" simplePos="0" relativeHeight="487798784">
                <wp:simplePos x="0" y="0"/>
                <wp:positionH relativeFrom="page">
                  <wp:posOffset>231444</wp:posOffset>
                </wp:positionH>
                <wp:positionV relativeFrom="paragraph">
                  <wp:posOffset>237439</wp:posOffset>
                </wp:positionV>
                <wp:extent cx="3000375" cy="8890"/>
                <wp:effectExtent l="0" t="0" r="0" b="0"/>
                <wp:wrapTopAndBottom/>
                <wp:docPr id="1035" name="Graphic 1035"/>
                <wp:cNvGraphicFramePr>
                  <a:graphicFrameLocks/>
                </wp:cNvGraphicFramePr>
                <a:graphic>
                  <a:graphicData uri="http://schemas.microsoft.com/office/word/2010/wordprocessingShape">
                    <wps:wsp>
                      <wps:cNvPr id="1035" name="Graphic 1035"/>
                      <wps:cNvSpPr/>
                      <wps:spPr>
                        <a:xfrm>
                          <a:off x="0" y="0"/>
                          <a:ext cx="3000375" cy="8890"/>
                        </a:xfrm>
                        <a:custGeom>
                          <a:avLst/>
                          <a:gdLst/>
                          <a:ahLst/>
                          <a:cxnLst/>
                          <a:rect l="l" t="t" r="r" b="b"/>
                          <a:pathLst>
                            <a:path w="3000375" h="8890">
                              <a:moveTo>
                                <a:pt x="3000375" y="0"/>
                              </a:moveTo>
                              <a:lnTo>
                                <a:pt x="2983230" y="0"/>
                              </a:lnTo>
                              <a:lnTo>
                                <a:pt x="68580" y="0"/>
                              </a:lnTo>
                              <a:lnTo>
                                <a:pt x="0" y="0"/>
                              </a:lnTo>
                              <a:lnTo>
                                <a:pt x="0" y="8572"/>
                              </a:lnTo>
                              <a:lnTo>
                                <a:pt x="68580" y="8572"/>
                              </a:lnTo>
                              <a:lnTo>
                                <a:pt x="2983230" y="8572"/>
                              </a:lnTo>
                              <a:lnTo>
                                <a:pt x="3000375" y="8572"/>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8.695993pt;width:236.25pt;height:.7pt;mso-position-horizontal-relative:page;mso-position-vertical-relative:paragraph;z-index:-15517696;mso-wrap-distance-left:0;mso-wrap-distance-right:0" id="docshape1033" coordorigin="364,374" coordsize="4725,14" path="m5089,374l5062,374,472,374,364,374,364,387,472,387,5062,387,5089,387,5089,3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99296">
                <wp:simplePos x="0" y="0"/>
                <wp:positionH relativeFrom="page">
                  <wp:posOffset>4543412</wp:posOffset>
                </wp:positionH>
                <wp:positionV relativeFrom="paragraph">
                  <wp:posOffset>237439</wp:posOffset>
                </wp:positionV>
                <wp:extent cx="3000375" cy="8890"/>
                <wp:effectExtent l="0" t="0" r="0" b="0"/>
                <wp:wrapTopAndBottom/>
                <wp:docPr id="1036" name="Graphic 1036"/>
                <wp:cNvGraphicFramePr>
                  <a:graphicFrameLocks/>
                </wp:cNvGraphicFramePr>
                <a:graphic>
                  <a:graphicData uri="http://schemas.microsoft.com/office/word/2010/wordprocessingShape">
                    <wps:wsp>
                      <wps:cNvPr id="1036" name="Graphic 1036"/>
                      <wps:cNvSpPr/>
                      <wps:spPr>
                        <a:xfrm>
                          <a:off x="0" y="0"/>
                          <a:ext cx="3000375" cy="8890"/>
                        </a:xfrm>
                        <a:custGeom>
                          <a:avLst/>
                          <a:gdLst/>
                          <a:ahLst/>
                          <a:cxnLst/>
                          <a:rect l="l" t="t" r="r" b="b"/>
                          <a:pathLst>
                            <a:path w="3000375" h="8890">
                              <a:moveTo>
                                <a:pt x="3000375" y="0"/>
                              </a:moveTo>
                              <a:lnTo>
                                <a:pt x="2983230" y="0"/>
                              </a:lnTo>
                              <a:lnTo>
                                <a:pt x="77152" y="0"/>
                              </a:lnTo>
                              <a:lnTo>
                                <a:pt x="0" y="0"/>
                              </a:lnTo>
                              <a:lnTo>
                                <a:pt x="0" y="8572"/>
                              </a:lnTo>
                              <a:lnTo>
                                <a:pt x="77152" y="8572"/>
                              </a:lnTo>
                              <a:lnTo>
                                <a:pt x="2983230" y="8572"/>
                              </a:lnTo>
                              <a:lnTo>
                                <a:pt x="3000375" y="8572"/>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49023pt;margin-top:18.695993pt;width:236.25pt;height:.7pt;mso-position-horizontal-relative:page;mso-position-vertical-relative:paragraph;z-index:-15517184;mso-wrap-distance-left:0;mso-wrap-distance-right:0" id="docshape1034" coordorigin="7155,374" coordsize="4725,14" path="m11880,374l11853,374,7276,374,7155,374,7155,387,7276,387,11853,387,11880,387,11880,374xe" filled="true" fillcolor="#000000" stroked="false">
                <v:path arrowok="t"/>
                <v:fill type="solid"/>
                <w10:wrap type="topAndBottom"/>
              </v:shape>
            </w:pict>
          </mc:Fallback>
        </mc:AlternateContent>
      </w:r>
      <w:r>
        <w:rPr>
          <w:sz w:val="21"/>
        </w:rPr>
        <w:t>/s/</w:t>
      </w:r>
      <w:r>
        <w:rPr>
          <w:spacing w:val="10"/>
          <w:sz w:val="21"/>
        </w:rPr>
        <w:t> </w:t>
      </w:r>
      <w:r>
        <w:rPr>
          <w:sz w:val="21"/>
        </w:rPr>
        <w:t>Jonathan</w:t>
      </w:r>
      <w:r>
        <w:rPr>
          <w:spacing w:val="10"/>
          <w:sz w:val="21"/>
        </w:rPr>
        <w:t> </w:t>
      </w:r>
      <w:r>
        <w:rPr>
          <w:spacing w:val="-2"/>
          <w:sz w:val="21"/>
        </w:rPr>
        <w:t>Halkyard</w:t>
      </w:r>
      <w:r>
        <w:rPr>
          <w:sz w:val="21"/>
        </w:rPr>
        <w:tab/>
        <w:t>/s/ William</w:t>
      </w:r>
      <w:r>
        <w:rPr>
          <w:spacing w:val="5"/>
          <w:sz w:val="21"/>
        </w:rPr>
        <w:t> </w:t>
      </w:r>
      <w:r>
        <w:rPr>
          <w:sz w:val="21"/>
        </w:rPr>
        <w:t>J.</w:t>
      </w:r>
      <w:r>
        <w:rPr>
          <w:spacing w:val="5"/>
          <w:sz w:val="21"/>
        </w:rPr>
        <w:t> </w:t>
      </w:r>
      <w:r>
        <w:rPr>
          <w:spacing w:val="-2"/>
          <w:sz w:val="21"/>
        </w:rPr>
        <w:t>Hornbuckle</w:t>
      </w:r>
    </w:p>
    <w:p>
      <w:pPr>
        <w:spacing w:line="268" w:lineRule="auto" w:before="33"/>
        <w:ind w:left="6954" w:right="370" w:firstLine="0"/>
        <w:jc w:val="left"/>
        <w:rPr>
          <w:sz w:val="21"/>
        </w:rPr>
      </w:pPr>
      <w:r>
        <w:rPr>
          <w:sz w:val="21"/>
        </w:rPr>
        <w:t>By: William J. Hornbuckle, Chief Executive </w:t>
      </w:r>
      <w:r>
        <w:rPr>
          <w:sz w:val="21"/>
        </w:rPr>
        <w:t>Officer and President</w:t>
      </w:r>
    </w:p>
    <w:p>
      <w:pPr>
        <w:tabs>
          <w:tab w:pos="6954" w:val="left" w:leader="none"/>
        </w:tabs>
        <w:spacing w:before="53"/>
        <w:ind w:left="162" w:right="0" w:firstLine="0"/>
        <w:jc w:val="left"/>
        <w:rPr>
          <w:sz w:val="21"/>
        </w:rPr>
      </w:pPr>
      <w:r>
        <w:rPr/>
        <mc:AlternateContent>
          <mc:Choice Requires="wps">
            <w:drawing>
              <wp:anchor distT="0" distB="0" distL="0" distR="0" allowOverlap="1" layoutInCell="1" locked="0" behindDoc="1" simplePos="0" relativeHeight="487799808">
                <wp:simplePos x="0" y="0"/>
                <wp:positionH relativeFrom="page">
                  <wp:posOffset>231444</wp:posOffset>
                </wp:positionH>
                <wp:positionV relativeFrom="paragraph">
                  <wp:posOffset>208947</wp:posOffset>
                </wp:positionV>
                <wp:extent cx="3000375" cy="17145"/>
                <wp:effectExtent l="0" t="0" r="0" b="0"/>
                <wp:wrapTopAndBottom/>
                <wp:docPr id="1037" name="Graphic 1037"/>
                <wp:cNvGraphicFramePr>
                  <a:graphicFrameLocks/>
                </wp:cNvGraphicFramePr>
                <a:graphic>
                  <a:graphicData uri="http://schemas.microsoft.com/office/word/2010/wordprocessingShape">
                    <wps:wsp>
                      <wps:cNvPr id="1037" name="Graphic 1037"/>
                      <wps:cNvSpPr/>
                      <wps:spPr>
                        <a:xfrm>
                          <a:off x="0" y="0"/>
                          <a:ext cx="3000375" cy="17145"/>
                        </a:xfrm>
                        <a:custGeom>
                          <a:avLst/>
                          <a:gdLst/>
                          <a:ahLst/>
                          <a:cxnLst/>
                          <a:rect l="l" t="t" r="r" b="b"/>
                          <a:pathLst>
                            <a:path w="3000375" h="17145">
                              <a:moveTo>
                                <a:pt x="3000375" y="0"/>
                              </a:moveTo>
                              <a:lnTo>
                                <a:pt x="2983230" y="0"/>
                              </a:lnTo>
                              <a:lnTo>
                                <a:pt x="68580" y="0"/>
                              </a:lnTo>
                              <a:lnTo>
                                <a:pt x="0" y="0"/>
                              </a:lnTo>
                              <a:lnTo>
                                <a:pt x="0" y="17145"/>
                              </a:lnTo>
                              <a:lnTo>
                                <a:pt x="68580" y="17145"/>
                              </a:lnTo>
                              <a:lnTo>
                                <a:pt x="2983230" y="17145"/>
                              </a:lnTo>
                              <a:lnTo>
                                <a:pt x="3000375" y="17145"/>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6.452524pt;width:236.25pt;height:1.35pt;mso-position-horizontal-relative:page;mso-position-vertical-relative:paragraph;z-index:-15516672;mso-wrap-distance-left:0;mso-wrap-distance-right:0" id="docshape1035" coordorigin="364,329" coordsize="4725,27" path="m5089,329l5062,329,472,329,364,329,364,356,472,356,5062,356,5089,356,5089,32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00320">
                <wp:simplePos x="0" y="0"/>
                <wp:positionH relativeFrom="page">
                  <wp:posOffset>4543412</wp:posOffset>
                </wp:positionH>
                <wp:positionV relativeFrom="paragraph">
                  <wp:posOffset>208947</wp:posOffset>
                </wp:positionV>
                <wp:extent cx="3000375" cy="17145"/>
                <wp:effectExtent l="0" t="0" r="0" b="0"/>
                <wp:wrapTopAndBottom/>
                <wp:docPr id="1038" name="Graphic 1038"/>
                <wp:cNvGraphicFramePr>
                  <a:graphicFrameLocks/>
                </wp:cNvGraphicFramePr>
                <a:graphic>
                  <a:graphicData uri="http://schemas.microsoft.com/office/word/2010/wordprocessingShape">
                    <wps:wsp>
                      <wps:cNvPr id="1038" name="Graphic 1038"/>
                      <wps:cNvSpPr/>
                      <wps:spPr>
                        <a:xfrm>
                          <a:off x="0" y="0"/>
                          <a:ext cx="3000375" cy="17145"/>
                        </a:xfrm>
                        <a:custGeom>
                          <a:avLst/>
                          <a:gdLst/>
                          <a:ahLst/>
                          <a:cxnLst/>
                          <a:rect l="l" t="t" r="r" b="b"/>
                          <a:pathLst>
                            <a:path w="3000375" h="17145">
                              <a:moveTo>
                                <a:pt x="3000375" y="0"/>
                              </a:moveTo>
                              <a:lnTo>
                                <a:pt x="2983230" y="0"/>
                              </a:lnTo>
                              <a:lnTo>
                                <a:pt x="77152" y="0"/>
                              </a:lnTo>
                              <a:lnTo>
                                <a:pt x="0" y="0"/>
                              </a:lnTo>
                              <a:lnTo>
                                <a:pt x="0" y="17145"/>
                              </a:lnTo>
                              <a:lnTo>
                                <a:pt x="77152" y="17145"/>
                              </a:lnTo>
                              <a:lnTo>
                                <a:pt x="2983230" y="17145"/>
                              </a:lnTo>
                              <a:lnTo>
                                <a:pt x="3000375" y="17145"/>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49023pt;margin-top:16.452524pt;width:236.25pt;height:1.35pt;mso-position-horizontal-relative:page;mso-position-vertical-relative:paragraph;z-index:-15516160;mso-wrap-distance-left:0;mso-wrap-distance-right:0" id="docshape1036" coordorigin="7155,329" coordsize="4725,27" path="m11880,329l11853,329,7276,329,7155,329,7155,356,7276,356,11853,356,11880,356,11880,329xe" filled="true" fillcolor="#000000" stroked="false">
                <v:path arrowok="t"/>
                <v:fill type="solid"/>
                <w10:wrap type="topAndBottom"/>
              </v:shape>
            </w:pict>
          </mc:Fallback>
        </mc:AlternateContent>
      </w:r>
      <w:r>
        <w:rPr>
          <w:sz w:val="21"/>
        </w:rPr>
        <w:t>Dated:</w:t>
      </w:r>
      <w:r>
        <w:rPr>
          <w:spacing w:val="21"/>
          <w:sz w:val="21"/>
        </w:rPr>
        <w:t> </w:t>
      </w:r>
      <w:r>
        <w:rPr>
          <w:sz w:val="21"/>
        </w:rPr>
        <w:t>12-7-</w:t>
      </w:r>
      <w:r>
        <w:rPr>
          <w:spacing w:val="-7"/>
          <w:sz w:val="21"/>
        </w:rPr>
        <w:t>22</w:t>
      </w:r>
      <w:r>
        <w:rPr>
          <w:sz w:val="21"/>
        </w:rPr>
        <w:tab/>
      </w:r>
      <w:r>
        <w:rPr>
          <w:spacing w:val="-2"/>
          <w:sz w:val="21"/>
        </w:rPr>
        <w:t>Dated:</w:t>
      </w:r>
    </w:p>
    <w:p>
      <w:pPr>
        <w:spacing w:after="0"/>
        <w:jc w:val="left"/>
        <w:rPr>
          <w:sz w:val="21"/>
        </w:rPr>
        <w:sectPr>
          <w:pgSz w:w="12240" w:h="15840"/>
          <w:pgMar w:top="1680" w:bottom="280" w:left="220" w:right="240"/>
        </w:sectPr>
      </w:pPr>
    </w:p>
    <w:p>
      <w:pPr>
        <w:spacing w:before="76"/>
        <w:ind w:left="0" w:right="118" w:firstLine="0"/>
        <w:jc w:val="right"/>
        <w:rPr>
          <w:b/>
          <w:sz w:val="19"/>
        </w:rPr>
      </w:pPr>
      <w:bookmarkStart w:name="_bookmark37" w:id="38"/>
      <w:bookmarkEnd w:id="38"/>
      <w:r>
        <w:rPr/>
      </w:r>
      <w:r>
        <w:rPr>
          <w:b/>
          <w:w w:val="105"/>
          <w:sz w:val="19"/>
        </w:rPr>
        <w:t>Exhibit</w:t>
      </w:r>
      <w:r>
        <w:rPr>
          <w:b/>
          <w:spacing w:val="-8"/>
          <w:w w:val="105"/>
          <w:sz w:val="19"/>
        </w:rPr>
        <w:t> </w:t>
      </w:r>
      <w:r>
        <w:rPr>
          <w:b/>
          <w:spacing w:val="-2"/>
          <w:w w:val="105"/>
          <w:sz w:val="19"/>
        </w:rPr>
        <w:t>10.4(18)</w:t>
      </w:r>
    </w:p>
    <w:p>
      <w:pPr>
        <w:pStyle w:val="BodyText"/>
        <w:rPr>
          <w:b/>
          <w:sz w:val="19"/>
        </w:rPr>
      </w:pPr>
    </w:p>
    <w:p>
      <w:pPr>
        <w:pStyle w:val="BodyText"/>
        <w:rPr>
          <w:b/>
          <w:sz w:val="19"/>
        </w:rPr>
      </w:pPr>
    </w:p>
    <w:p>
      <w:pPr>
        <w:pStyle w:val="BodyText"/>
        <w:rPr>
          <w:b/>
          <w:sz w:val="19"/>
        </w:rPr>
      </w:pPr>
    </w:p>
    <w:p>
      <w:pPr>
        <w:pStyle w:val="BodyText"/>
        <w:spacing w:before="198"/>
        <w:rPr>
          <w:b/>
          <w:sz w:val="19"/>
        </w:rPr>
      </w:pPr>
    </w:p>
    <w:p>
      <w:pPr>
        <w:pStyle w:val="Heading3"/>
      </w:pPr>
      <w:r>
        <w:rPr/>
        <w:t>FIRST AMENDMENT</w:t>
      </w:r>
      <w:r>
        <w:rPr>
          <w:spacing w:val="13"/>
        </w:rPr>
        <w:t> </w:t>
      </w:r>
      <w:r>
        <w:rPr/>
        <w:t>TO</w:t>
      </w:r>
      <w:r>
        <w:rPr>
          <w:spacing w:val="24"/>
        </w:rPr>
        <w:t> </w:t>
      </w:r>
      <w:r>
        <w:rPr/>
        <w:t>EMPLOYMENT </w:t>
      </w:r>
      <w:r>
        <w:rPr>
          <w:spacing w:val="-2"/>
        </w:rPr>
        <w:t>AGREEMENT</w:t>
      </w:r>
    </w:p>
    <w:p>
      <w:pPr>
        <w:spacing w:line="268" w:lineRule="auto" w:before="177"/>
        <w:ind w:left="144" w:right="117" w:firstLine="0"/>
        <w:jc w:val="both"/>
        <w:rPr>
          <w:sz w:val="21"/>
        </w:rPr>
      </w:pPr>
      <w:r>
        <w:rPr>
          <w:sz w:val="21"/>
        </w:rPr>
        <w:t>This</w:t>
      </w:r>
      <w:r>
        <w:rPr>
          <w:spacing w:val="40"/>
          <w:sz w:val="21"/>
        </w:rPr>
        <w:t> </w:t>
      </w:r>
      <w:r>
        <w:rPr>
          <w:sz w:val="21"/>
        </w:rPr>
        <w:t>First Amendment</w:t>
      </w:r>
      <w:r>
        <w:rPr>
          <w:spacing w:val="40"/>
          <w:sz w:val="21"/>
        </w:rPr>
        <w:t> </w:t>
      </w:r>
      <w:r>
        <w:rPr>
          <w:sz w:val="21"/>
        </w:rPr>
        <w:t>to</w:t>
      </w:r>
      <w:r>
        <w:rPr>
          <w:spacing w:val="40"/>
          <w:sz w:val="21"/>
        </w:rPr>
        <w:t> </w:t>
      </w:r>
      <w:r>
        <w:rPr>
          <w:sz w:val="21"/>
        </w:rPr>
        <w:t>Employment Agreement</w:t>
      </w:r>
      <w:r>
        <w:rPr>
          <w:spacing w:val="40"/>
          <w:sz w:val="21"/>
        </w:rPr>
        <w:t> </w:t>
      </w:r>
      <w:r>
        <w:rPr>
          <w:sz w:val="21"/>
        </w:rPr>
        <w:t>(this</w:t>
      </w:r>
      <w:r>
        <w:rPr>
          <w:spacing w:val="40"/>
          <w:sz w:val="21"/>
        </w:rPr>
        <w:t> </w:t>
      </w:r>
      <w:r>
        <w:rPr>
          <w:sz w:val="21"/>
        </w:rPr>
        <w:t>“</w:t>
      </w:r>
      <w:r>
        <w:rPr>
          <w:b/>
          <w:sz w:val="21"/>
        </w:rPr>
        <w:t>Amendment</w:t>
      </w:r>
      <w:r>
        <w:rPr>
          <w:sz w:val="21"/>
        </w:rPr>
        <w:t>”)</w:t>
      </w:r>
      <w:r>
        <w:rPr>
          <w:spacing w:val="40"/>
          <w:sz w:val="21"/>
        </w:rPr>
        <w:t> </w:t>
      </w:r>
      <w:r>
        <w:rPr>
          <w:sz w:val="21"/>
        </w:rPr>
        <w:t>is</w:t>
      </w:r>
      <w:r>
        <w:rPr>
          <w:spacing w:val="40"/>
          <w:sz w:val="21"/>
        </w:rPr>
        <w:t> </w:t>
      </w:r>
      <w:r>
        <w:rPr>
          <w:sz w:val="21"/>
        </w:rPr>
        <w:t>entered</w:t>
      </w:r>
      <w:r>
        <w:rPr>
          <w:spacing w:val="40"/>
          <w:sz w:val="21"/>
        </w:rPr>
        <w:t> </w:t>
      </w:r>
      <w:r>
        <w:rPr>
          <w:sz w:val="21"/>
        </w:rPr>
        <w:t>into</w:t>
      </w:r>
      <w:r>
        <w:rPr>
          <w:spacing w:val="40"/>
          <w:sz w:val="21"/>
        </w:rPr>
        <w:t> </w:t>
      </w:r>
      <w:r>
        <w:rPr>
          <w:sz w:val="21"/>
        </w:rPr>
        <w:t>by</w:t>
      </w:r>
      <w:r>
        <w:rPr>
          <w:spacing w:val="40"/>
          <w:sz w:val="21"/>
        </w:rPr>
        <w:t> </w:t>
      </w:r>
      <w:r>
        <w:rPr>
          <w:sz w:val="21"/>
        </w:rPr>
        <w:t>and</w:t>
      </w:r>
      <w:r>
        <w:rPr>
          <w:spacing w:val="40"/>
          <w:sz w:val="21"/>
        </w:rPr>
        <w:t> </w:t>
      </w:r>
      <w:r>
        <w:rPr>
          <w:sz w:val="21"/>
        </w:rPr>
        <w:t>between</w:t>
      </w:r>
      <w:r>
        <w:rPr>
          <w:spacing w:val="40"/>
          <w:sz w:val="21"/>
        </w:rPr>
        <w:t> </w:t>
      </w:r>
      <w:r>
        <w:rPr>
          <w:b/>
          <w:sz w:val="21"/>
        </w:rPr>
        <w:t>John</w:t>
      </w:r>
      <w:r>
        <w:rPr>
          <w:b/>
          <w:spacing w:val="40"/>
          <w:sz w:val="21"/>
        </w:rPr>
        <w:t> </w:t>
      </w:r>
      <w:r>
        <w:rPr>
          <w:b/>
          <w:sz w:val="21"/>
        </w:rPr>
        <w:t>McManus </w:t>
      </w:r>
      <w:r>
        <w:rPr>
          <w:sz w:val="21"/>
        </w:rPr>
        <w:t>(“</w:t>
      </w:r>
      <w:r>
        <w:rPr>
          <w:b/>
          <w:sz w:val="21"/>
        </w:rPr>
        <w:t>Employee</w:t>
      </w:r>
      <w:r>
        <w:rPr>
          <w:sz w:val="21"/>
        </w:rPr>
        <w:t>”)</w:t>
      </w:r>
      <w:r>
        <w:rPr>
          <w:spacing w:val="31"/>
          <w:sz w:val="21"/>
        </w:rPr>
        <w:t> </w:t>
      </w:r>
      <w:r>
        <w:rPr>
          <w:sz w:val="21"/>
        </w:rPr>
        <w:t>and</w:t>
      </w:r>
      <w:r>
        <w:rPr>
          <w:spacing w:val="31"/>
          <w:sz w:val="21"/>
        </w:rPr>
        <w:t> </w:t>
      </w:r>
      <w:r>
        <w:rPr>
          <w:b/>
          <w:sz w:val="21"/>
        </w:rPr>
        <w:t>MGM</w:t>
      </w:r>
      <w:r>
        <w:rPr>
          <w:b/>
          <w:spacing w:val="31"/>
          <w:sz w:val="21"/>
        </w:rPr>
        <w:t> </w:t>
      </w:r>
      <w:r>
        <w:rPr>
          <w:b/>
          <w:sz w:val="21"/>
        </w:rPr>
        <w:t>Resorts</w:t>
      </w:r>
      <w:r>
        <w:rPr>
          <w:b/>
          <w:spacing w:val="31"/>
          <w:sz w:val="21"/>
        </w:rPr>
        <w:t> </w:t>
      </w:r>
      <w:r>
        <w:rPr>
          <w:b/>
          <w:sz w:val="21"/>
        </w:rPr>
        <w:t>International</w:t>
      </w:r>
      <w:r>
        <w:rPr>
          <w:b/>
          <w:spacing w:val="31"/>
          <w:sz w:val="21"/>
        </w:rPr>
        <w:t> </w:t>
      </w:r>
      <w:r>
        <w:rPr>
          <w:sz w:val="21"/>
        </w:rPr>
        <w:t>(“</w:t>
      </w:r>
      <w:r>
        <w:rPr>
          <w:b/>
          <w:sz w:val="21"/>
        </w:rPr>
        <w:t>Employer</w:t>
      </w:r>
      <w:r>
        <w:rPr>
          <w:b/>
          <w:spacing w:val="31"/>
          <w:sz w:val="21"/>
        </w:rPr>
        <w:t> </w:t>
      </w:r>
      <w:r>
        <w:rPr>
          <w:sz w:val="21"/>
        </w:rPr>
        <w:t>or</w:t>
      </w:r>
      <w:r>
        <w:rPr>
          <w:spacing w:val="31"/>
          <w:sz w:val="21"/>
        </w:rPr>
        <w:t> </w:t>
      </w:r>
      <w:r>
        <w:rPr>
          <w:b/>
          <w:sz w:val="21"/>
        </w:rPr>
        <w:t>Company</w:t>
      </w:r>
      <w:r>
        <w:rPr>
          <w:sz w:val="21"/>
        </w:rPr>
        <w:t>”),</w:t>
      </w:r>
      <w:r>
        <w:rPr>
          <w:spacing w:val="31"/>
          <w:sz w:val="21"/>
        </w:rPr>
        <w:t> </w:t>
      </w:r>
      <w:r>
        <w:rPr>
          <w:sz w:val="21"/>
        </w:rPr>
        <w:t>as</w:t>
      </w:r>
      <w:r>
        <w:rPr>
          <w:spacing w:val="31"/>
          <w:sz w:val="21"/>
        </w:rPr>
        <w:t> </w:t>
      </w:r>
      <w:r>
        <w:rPr>
          <w:sz w:val="21"/>
        </w:rPr>
        <w:t>of</w:t>
      </w:r>
      <w:r>
        <w:rPr>
          <w:spacing w:val="31"/>
          <w:sz w:val="21"/>
        </w:rPr>
        <w:t> </w:t>
      </w:r>
      <w:r>
        <w:rPr>
          <w:b/>
          <w:sz w:val="21"/>
        </w:rPr>
        <w:t>December</w:t>
      </w:r>
      <w:r>
        <w:rPr>
          <w:b/>
          <w:spacing w:val="26"/>
          <w:sz w:val="21"/>
        </w:rPr>
        <w:t> </w:t>
      </w:r>
      <w:r>
        <w:rPr>
          <w:b/>
          <w:sz w:val="21"/>
        </w:rPr>
        <w:t>6,</w:t>
      </w:r>
      <w:r>
        <w:rPr>
          <w:b/>
          <w:spacing w:val="31"/>
          <w:sz w:val="21"/>
        </w:rPr>
        <w:t> </w:t>
      </w:r>
      <w:r>
        <w:rPr>
          <w:b/>
          <w:sz w:val="21"/>
        </w:rPr>
        <w:t>2022</w:t>
      </w:r>
      <w:r>
        <w:rPr>
          <w:sz w:val="21"/>
        </w:rPr>
        <w:t>.</w:t>
      </w:r>
      <w:r>
        <w:rPr>
          <w:spacing w:val="31"/>
          <w:sz w:val="21"/>
        </w:rPr>
        <w:t> </w:t>
      </w:r>
      <w:r>
        <w:rPr>
          <w:sz w:val="21"/>
        </w:rPr>
        <w:t>Capitalized</w:t>
      </w:r>
      <w:r>
        <w:rPr>
          <w:spacing w:val="31"/>
          <w:sz w:val="21"/>
        </w:rPr>
        <w:t> </w:t>
      </w:r>
      <w:r>
        <w:rPr>
          <w:sz w:val="21"/>
        </w:rPr>
        <w:t>terms</w:t>
      </w:r>
      <w:r>
        <w:rPr>
          <w:spacing w:val="31"/>
          <w:sz w:val="21"/>
        </w:rPr>
        <w:t> </w:t>
      </w:r>
      <w:r>
        <w:rPr>
          <w:sz w:val="21"/>
        </w:rPr>
        <w:t>that</w:t>
      </w:r>
      <w:r>
        <w:rPr>
          <w:spacing w:val="31"/>
          <w:sz w:val="21"/>
        </w:rPr>
        <w:t> </w:t>
      </w:r>
      <w:r>
        <w:rPr>
          <w:sz w:val="21"/>
        </w:rPr>
        <w:t>are not</w:t>
      </w:r>
      <w:r>
        <w:rPr>
          <w:spacing w:val="26"/>
          <w:sz w:val="21"/>
        </w:rPr>
        <w:t> </w:t>
      </w:r>
      <w:r>
        <w:rPr>
          <w:sz w:val="21"/>
        </w:rPr>
        <w:t>defined</w:t>
      </w:r>
      <w:r>
        <w:rPr>
          <w:spacing w:val="26"/>
          <w:sz w:val="21"/>
        </w:rPr>
        <w:t> </w:t>
      </w:r>
      <w:r>
        <w:rPr>
          <w:sz w:val="21"/>
        </w:rPr>
        <w:t>herein</w:t>
      </w:r>
      <w:r>
        <w:rPr>
          <w:spacing w:val="26"/>
          <w:sz w:val="21"/>
        </w:rPr>
        <w:t> </w:t>
      </w:r>
      <w:r>
        <w:rPr>
          <w:sz w:val="21"/>
        </w:rPr>
        <w:t>shall</w:t>
      </w:r>
      <w:r>
        <w:rPr>
          <w:spacing w:val="26"/>
          <w:sz w:val="21"/>
        </w:rPr>
        <w:t> </w:t>
      </w:r>
      <w:r>
        <w:rPr>
          <w:sz w:val="21"/>
        </w:rPr>
        <w:t>have</w:t>
      </w:r>
      <w:r>
        <w:rPr>
          <w:spacing w:val="26"/>
          <w:sz w:val="21"/>
        </w:rPr>
        <w:t> </w:t>
      </w:r>
      <w:r>
        <w:rPr>
          <w:sz w:val="21"/>
        </w:rPr>
        <w:t>the</w:t>
      </w:r>
      <w:r>
        <w:rPr>
          <w:spacing w:val="26"/>
          <w:sz w:val="21"/>
        </w:rPr>
        <w:t> </w:t>
      </w:r>
      <w:r>
        <w:rPr>
          <w:sz w:val="21"/>
        </w:rPr>
        <w:t>meanings</w:t>
      </w:r>
      <w:r>
        <w:rPr>
          <w:spacing w:val="26"/>
          <w:sz w:val="21"/>
        </w:rPr>
        <w:t> </w:t>
      </w:r>
      <w:r>
        <w:rPr>
          <w:sz w:val="21"/>
        </w:rPr>
        <w:t>ascribed</w:t>
      </w:r>
      <w:r>
        <w:rPr>
          <w:spacing w:val="26"/>
          <w:sz w:val="21"/>
        </w:rPr>
        <w:t> </w:t>
      </w:r>
      <w:r>
        <w:rPr>
          <w:sz w:val="21"/>
        </w:rPr>
        <w:t>to</w:t>
      </w:r>
      <w:r>
        <w:rPr>
          <w:spacing w:val="26"/>
          <w:sz w:val="21"/>
        </w:rPr>
        <w:t> </w:t>
      </w:r>
      <w:r>
        <w:rPr>
          <w:sz w:val="21"/>
        </w:rPr>
        <w:t>them</w:t>
      </w:r>
      <w:r>
        <w:rPr>
          <w:spacing w:val="26"/>
          <w:sz w:val="21"/>
        </w:rPr>
        <w:t> </w:t>
      </w:r>
      <w:r>
        <w:rPr>
          <w:sz w:val="21"/>
        </w:rPr>
        <w:t>in</w:t>
      </w:r>
      <w:r>
        <w:rPr>
          <w:spacing w:val="26"/>
          <w:sz w:val="21"/>
        </w:rPr>
        <w:t> </w:t>
      </w:r>
      <w:r>
        <w:rPr>
          <w:sz w:val="21"/>
        </w:rPr>
        <w:t>the Agreement</w:t>
      </w:r>
      <w:r>
        <w:rPr>
          <w:spacing w:val="26"/>
          <w:sz w:val="21"/>
        </w:rPr>
        <w:t> </w:t>
      </w:r>
      <w:r>
        <w:rPr>
          <w:sz w:val="21"/>
        </w:rPr>
        <w:t>(as</w:t>
      </w:r>
      <w:r>
        <w:rPr>
          <w:spacing w:val="26"/>
          <w:sz w:val="21"/>
        </w:rPr>
        <w:t> </w:t>
      </w:r>
      <w:r>
        <w:rPr>
          <w:sz w:val="21"/>
        </w:rPr>
        <w:t>defined</w:t>
      </w:r>
      <w:r>
        <w:rPr>
          <w:spacing w:val="26"/>
          <w:sz w:val="21"/>
        </w:rPr>
        <w:t> </w:t>
      </w:r>
      <w:r>
        <w:rPr>
          <w:sz w:val="21"/>
        </w:rPr>
        <w:t>below).</w:t>
      </w:r>
    </w:p>
    <w:p>
      <w:pPr>
        <w:spacing w:before="153"/>
        <w:ind w:left="24" w:right="0" w:firstLine="0"/>
        <w:jc w:val="center"/>
        <w:rPr>
          <w:b/>
          <w:sz w:val="19"/>
        </w:rPr>
      </w:pPr>
      <w:r>
        <w:rPr>
          <w:b/>
          <w:spacing w:val="-2"/>
          <w:w w:val="105"/>
          <w:sz w:val="19"/>
        </w:rPr>
        <w:t>RECITALS</w:t>
      </w:r>
    </w:p>
    <w:p>
      <w:pPr>
        <w:pStyle w:val="BodyText"/>
        <w:spacing w:before="43"/>
        <w:rPr>
          <w:b/>
          <w:sz w:val="19"/>
        </w:rPr>
      </w:pPr>
    </w:p>
    <w:p>
      <w:pPr>
        <w:spacing w:line="268" w:lineRule="auto" w:before="0"/>
        <w:ind w:left="144" w:right="118" w:firstLine="0"/>
        <w:jc w:val="both"/>
        <w:rPr>
          <w:sz w:val="21"/>
        </w:rPr>
      </w:pPr>
      <w:r>
        <w:rPr>
          <w:b/>
          <w:sz w:val="21"/>
        </w:rPr>
        <w:t>WHEREAS</w:t>
      </w:r>
      <w:r>
        <w:rPr>
          <w:sz w:val="21"/>
        </w:rPr>
        <w:t>, Employer and Employee have entered into that certain Employment Agreement, effective as of September 1, 2022 </w:t>
      </w:r>
      <w:r>
        <w:rPr>
          <w:sz w:val="21"/>
        </w:rPr>
        <w:t>(the “</w:t>
      </w:r>
      <w:r>
        <w:rPr>
          <w:b/>
          <w:sz w:val="21"/>
        </w:rPr>
        <w:t>Agreement</w:t>
      </w:r>
      <w:r>
        <w:rPr>
          <w:sz w:val="21"/>
        </w:rPr>
        <w:t>”); and</w:t>
      </w:r>
    </w:p>
    <w:p>
      <w:pPr>
        <w:spacing w:line="268" w:lineRule="auto" w:before="229"/>
        <w:ind w:left="144" w:right="118" w:firstLine="0"/>
        <w:jc w:val="both"/>
        <w:rPr>
          <w:sz w:val="21"/>
        </w:rPr>
      </w:pPr>
      <w:r>
        <w:rPr>
          <w:b/>
          <w:sz w:val="21"/>
        </w:rPr>
        <w:t>WHEREAS</w:t>
      </w:r>
      <w:r>
        <w:rPr>
          <w:sz w:val="21"/>
        </w:rPr>
        <w:t>,</w:t>
      </w:r>
      <w:r>
        <w:rPr>
          <w:spacing w:val="25"/>
          <w:sz w:val="21"/>
        </w:rPr>
        <w:t> </w:t>
      </w:r>
      <w:r>
        <w:rPr>
          <w:sz w:val="21"/>
        </w:rPr>
        <w:t>Employee</w:t>
      </w:r>
      <w:r>
        <w:rPr>
          <w:spacing w:val="25"/>
          <w:sz w:val="21"/>
        </w:rPr>
        <w:t> </w:t>
      </w:r>
      <w:r>
        <w:rPr>
          <w:sz w:val="21"/>
        </w:rPr>
        <w:t>is</w:t>
      </w:r>
      <w:r>
        <w:rPr>
          <w:spacing w:val="25"/>
          <w:sz w:val="21"/>
        </w:rPr>
        <w:t> </w:t>
      </w:r>
      <w:r>
        <w:rPr>
          <w:sz w:val="21"/>
        </w:rPr>
        <w:t>willing</w:t>
      </w:r>
      <w:r>
        <w:rPr>
          <w:spacing w:val="25"/>
          <w:sz w:val="21"/>
        </w:rPr>
        <w:t> </w:t>
      </w:r>
      <w:r>
        <w:rPr>
          <w:sz w:val="21"/>
        </w:rPr>
        <w:t>and</w:t>
      </w:r>
      <w:r>
        <w:rPr>
          <w:spacing w:val="25"/>
          <w:sz w:val="21"/>
        </w:rPr>
        <w:t> </w:t>
      </w:r>
      <w:r>
        <w:rPr>
          <w:sz w:val="21"/>
        </w:rPr>
        <w:t>Employer</w:t>
      </w:r>
      <w:r>
        <w:rPr>
          <w:spacing w:val="25"/>
          <w:sz w:val="21"/>
        </w:rPr>
        <w:t> </w:t>
      </w:r>
      <w:r>
        <w:rPr>
          <w:sz w:val="21"/>
        </w:rPr>
        <w:t>desires</w:t>
      </w:r>
      <w:r>
        <w:rPr>
          <w:spacing w:val="25"/>
          <w:sz w:val="21"/>
        </w:rPr>
        <w:t> </w:t>
      </w:r>
      <w:r>
        <w:rPr>
          <w:sz w:val="21"/>
        </w:rPr>
        <w:t>to</w:t>
      </w:r>
      <w:r>
        <w:rPr>
          <w:spacing w:val="25"/>
          <w:sz w:val="21"/>
        </w:rPr>
        <w:t> </w:t>
      </w:r>
      <w:r>
        <w:rPr>
          <w:sz w:val="21"/>
        </w:rPr>
        <w:t>modify</w:t>
      </w:r>
      <w:r>
        <w:rPr>
          <w:spacing w:val="25"/>
          <w:sz w:val="21"/>
        </w:rPr>
        <w:t> </w:t>
      </w:r>
      <w:r>
        <w:rPr>
          <w:sz w:val="21"/>
        </w:rPr>
        <w:t>certain</w:t>
      </w:r>
      <w:r>
        <w:rPr>
          <w:spacing w:val="25"/>
          <w:sz w:val="21"/>
        </w:rPr>
        <w:t> </w:t>
      </w:r>
      <w:r>
        <w:rPr>
          <w:sz w:val="21"/>
        </w:rPr>
        <w:t>terms</w:t>
      </w:r>
      <w:r>
        <w:rPr>
          <w:spacing w:val="25"/>
          <w:sz w:val="21"/>
        </w:rPr>
        <w:t> </w:t>
      </w:r>
      <w:r>
        <w:rPr>
          <w:sz w:val="21"/>
        </w:rPr>
        <w:t>and</w:t>
      </w:r>
      <w:r>
        <w:rPr>
          <w:spacing w:val="25"/>
          <w:sz w:val="21"/>
        </w:rPr>
        <w:t> </w:t>
      </w:r>
      <w:r>
        <w:rPr>
          <w:sz w:val="21"/>
        </w:rPr>
        <w:t>conditions</w:t>
      </w:r>
      <w:r>
        <w:rPr>
          <w:spacing w:val="25"/>
          <w:sz w:val="21"/>
        </w:rPr>
        <w:t> </w:t>
      </w:r>
      <w:r>
        <w:rPr>
          <w:sz w:val="21"/>
        </w:rPr>
        <w:t>to</w:t>
      </w:r>
      <w:r>
        <w:rPr>
          <w:spacing w:val="25"/>
          <w:sz w:val="21"/>
        </w:rPr>
        <w:t> </w:t>
      </w:r>
      <w:r>
        <w:rPr>
          <w:sz w:val="21"/>
        </w:rPr>
        <w:t>the Agreement</w:t>
      </w:r>
      <w:r>
        <w:rPr>
          <w:spacing w:val="25"/>
          <w:sz w:val="21"/>
        </w:rPr>
        <w:t> </w:t>
      </w:r>
      <w:r>
        <w:rPr>
          <w:sz w:val="21"/>
        </w:rPr>
        <w:t>as</w:t>
      </w:r>
      <w:r>
        <w:rPr>
          <w:spacing w:val="25"/>
          <w:sz w:val="21"/>
        </w:rPr>
        <w:t> </w:t>
      </w:r>
      <w:r>
        <w:rPr>
          <w:sz w:val="21"/>
        </w:rPr>
        <w:t>more</w:t>
      </w:r>
      <w:r>
        <w:rPr>
          <w:spacing w:val="25"/>
          <w:sz w:val="21"/>
        </w:rPr>
        <w:t> </w:t>
      </w:r>
      <w:r>
        <w:rPr>
          <w:sz w:val="21"/>
        </w:rPr>
        <w:t>fully</w:t>
      </w:r>
      <w:r>
        <w:rPr>
          <w:spacing w:val="25"/>
          <w:sz w:val="21"/>
        </w:rPr>
        <w:t> </w:t>
      </w:r>
      <w:r>
        <w:rPr>
          <w:sz w:val="21"/>
        </w:rPr>
        <w:t>set forth herein;</w:t>
      </w:r>
    </w:p>
    <w:p>
      <w:pPr>
        <w:pStyle w:val="BodyText"/>
        <w:spacing w:before="41"/>
        <w:rPr>
          <w:sz w:val="21"/>
        </w:rPr>
      </w:pPr>
    </w:p>
    <w:p>
      <w:pPr>
        <w:spacing w:line="268" w:lineRule="auto" w:before="0"/>
        <w:ind w:left="144" w:right="118" w:firstLine="0"/>
        <w:jc w:val="both"/>
        <w:rPr>
          <w:sz w:val="21"/>
        </w:rPr>
      </w:pPr>
      <w:r>
        <w:rPr>
          <w:b/>
          <w:sz w:val="21"/>
        </w:rPr>
        <w:t>NOW,</w:t>
      </w:r>
      <w:r>
        <w:rPr>
          <w:b/>
          <w:spacing w:val="30"/>
          <w:sz w:val="21"/>
        </w:rPr>
        <w:t> </w:t>
      </w:r>
      <w:r>
        <w:rPr>
          <w:b/>
          <w:sz w:val="21"/>
        </w:rPr>
        <w:t>THEREFORE</w:t>
      </w:r>
      <w:r>
        <w:rPr>
          <w:sz w:val="21"/>
        </w:rPr>
        <w:t>,</w:t>
      </w:r>
      <w:r>
        <w:rPr>
          <w:spacing w:val="35"/>
          <w:sz w:val="21"/>
        </w:rPr>
        <w:t> </w:t>
      </w:r>
      <w:r>
        <w:rPr>
          <w:sz w:val="21"/>
        </w:rPr>
        <w:t>in</w:t>
      </w:r>
      <w:r>
        <w:rPr>
          <w:spacing w:val="35"/>
          <w:sz w:val="21"/>
        </w:rPr>
        <w:t> </w:t>
      </w:r>
      <w:r>
        <w:rPr>
          <w:sz w:val="21"/>
        </w:rPr>
        <w:t>consideration</w:t>
      </w:r>
      <w:r>
        <w:rPr>
          <w:spacing w:val="35"/>
          <w:sz w:val="21"/>
        </w:rPr>
        <w:t> </w:t>
      </w:r>
      <w:r>
        <w:rPr>
          <w:sz w:val="21"/>
        </w:rPr>
        <w:t>of</w:t>
      </w:r>
      <w:r>
        <w:rPr>
          <w:spacing w:val="35"/>
          <w:sz w:val="21"/>
        </w:rPr>
        <w:t> </w:t>
      </w:r>
      <w:r>
        <w:rPr>
          <w:sz w:val="21"/>
        </w:rPr>
        <w:t>the</w:t>
      </w:r>
      <w:r>
        <w:rPr>
          <w:spacing w:val="35"/>
          <w:sz w:val="21"/>
        </w:rPr>
        <w:t> </w:t>
      </w:r>
      <w:r>
        <w:rPr>
          <w:sz w:val="21"/>
        </w:rPr>
        <w:t>foregoing</w:t>
      </w:r>
      <w:r>
        <w:rPr>
          <w:spacing w:val="35"/>
          <w:sz w:val="21"/>
        </w:rPr>
        <w:t> </w:t>
      </w:r>
      <w:r>
        <w:rPr>
          <w:sz w:val="21"/>
        </w:rPr>
        <w:t>and</w:t>
      </w:r>
      <w:r>
        <w:rPr>
          <w:spacing w:val="35"/>
          <w:sz w:val="21"/>
        </w:rPr>
        <w:t> </w:t>
      </w:r>
      <w:r>
        <w:rPr>
          <w:sz w:val="21"/>
        </w:rPr>
        <w:t>the</w:t>
      </w:r>
      <w:r>
        <w:rPr>
          <w:spacing w:val="35"/>
          <w:sz w:val="21"/>
        </w:rPr>
        <w:t> </w:t>
      </w:r>
      <w:r>
        <w:rPr>
          <w:sz w:val="21"/>
        </w:rPr>
        <w:t>respective</w:t>
      </w:r>
      <w:r>
        <w:rPr>
          <w:spacing w:val="35"/>
          <w:sz w:val="21"/>
        </w:rPr>
        <w:t> </w:t>
      </w:r>
      <w:r>
        <w:rPr>
          <w:sz w:val="21"/>
        </w:rPr>
        <w:t>representations,</w:t>
      </w:r>
      <w:r>
        <w:rPr>
          <w:spacing w:val="35"/>
          <w:sz w:val="21"/>
        </w:rPr>
        <w:t> </w:t>
      </w:r>
      <w:r>
        <w:rPr>
          <w:sz w:val="21"/>
        </w:rPr>
        <w:t>warranties,</w:t>
      </w:r>
      <w:r>
        <w:rPr>
          <w:spacing w:val="35"/>
          <w:sz w:val="21"/>
        </w:rPr>
        <w:t> </w:t>
      </w:r>
      <w:r>
        <w:rPr>
          <w:sz w:val="21"/>
        </w:rPr>
        <w:t>covenants</w:t>
      </w:r>
      <w:r>
        <w:rPr>
          <w:spacing w:val="35"/>
          <w:sz w:val="21"/>
        </w:rPr>
        <w:t> </w:t>
      </w:r>
      <w:r>
        <w:rPr>
          <w:sz w:val="21"/>
        </w:rPr>
        <w:t>and</w:t>
      </w:r>
      <w:r>
        <w:rPr>
          <w:spacing w:val="35"/>
          <w:sz w:val="21"/>
        </w:rPr>
        <w:t> </w:t>
      </w:r>
      <w:r>
        <w:rPr>
          <w:sz w:val="21"/>
        </w:rPr>
        <w:t>agreements set forth in the Agreement, the parties hereto agree as follows:</w:t>
      </w:r>
    </w:p>
    <w:p>
      <w:pPr>
        <w:pStyle w:val="ListParagraph"/>
        <w:numPr>
          <w:ilvl w:val="0"/>
          <w:numId w:val="50"/>
        </w:numPr>
        <w:tabs>
          <w:tab w:pos="791" w:val="left" w:leader="none"/>
        </w:tabs>
        <w:spacing w:line="240" w:lineRule="auto" w:before="233" w:after="0"/>
        <w:ind w:left="791" w:right="0" w:hanging="323"/>
        <w:jc w:val="left"/>
        <w:rPr>
          <w:sz w:val="19"/>
        </w:rPr>
      </w:pPr>
      <w:r>
        <w:rPr>
          <w:spacing w:val="-2"/>
          <w:w w:val="105"/>
          <w:sz w:val="19"/>
          <w:u w:val="single"/>
        </w:rPr>
        <w:t>Amendments</w:t>
      </w:r>
      <w:r>
        <w:rPr>
          <w:spacing w:val="-2"/>
          <w:w w:val="105"/>
          <w:sz w:val="19"/>
        </w:rPr>
        <w:t>.</w:t>
      </w:r>
    </w:p>
    <w:p>
      <w:pPr>
        <w:pStyle w:val="BodyText"/>
        <w:spacing w:before="17"/>
        <w:rPr>
          <w:sz w:val="19"/>
        </w:rPr>
      </w:pPr>
    </w:p>
    <w:p>
      <w:pPr>
        <w:pStyle w:val="ListParagraph"/>
        <w:numPr>
          <w:ilvl w:val="1"/>
          <w:numId w:val="50"/>
        </w:numPr>
        <w:tabs>
          <w:tab w:pos="1116" w:val="left" w:leader="none"/>
        </w:tabs>
        <w:spacing w:line="482" w:lineRule="auto" w:before="0" w:after="0"/>
        <w:ind w:left="1116" w:right="662" w:hanging="324"/>
        <w:jc w:val="left"/>
        <w:rPr>
          <w:sz w:val="21"/>
        </w:rPr>
      </w:pPr>
      <w:r>
        <w:rPr>
          <w:sz w:val="21"/>
        </w:rPr>
        <w:t>Employer and Employee hereby agree to amend Section 10.1.1 by adding the following sentence at the end thereof:</w:t>
      </w:r>
      <w:r>
        <w:rPr>
          <w:spacing w:val="80"/>
          <w:sz w:val="21"/>
        </w:rPr>
        <w:t> </w:t>
      </w:r>
      <w:r>
        <w:rPr>
          <w:sz w:val="21"/>
        </w:rPr>
        <w:t>“Employer shall also pay Employee any Earned Bonus Amount (as defined below).”</w:t>
      </w:r>
    </w:p>
    <w:p>
      <w:pPr>
        <w:pStyle w:val="ListParagraph"/>
        <w:numPr>
          <w:ilvl w:val="1"/>
          <w:numId w:val="50"/>
        </w:numPr>
        <w:tabs>
          <w:tab w:pos="1116" w:val="left" w:leader="none"/>
        </w:tabs>
        <w:spacing w:line="482" w:lineRule="auto" w:before="1" w:after="0"/>
        <w:ind w:left="1116" w:right="662" w:hanging="324"/>
        <w:jc w:val="left"/>
        <w:rPr>
          <w:sz w:val="21"/>
        </w:rPr>
      </w:pPr>
      <w:r>
        <w:rPr>
          <w:sz w:val="21"/>
        </w:rPr>
        <w:t>Employer and Employee hereby agree to amend Section 10.1.2 by adding the following sentence at the end thereof:</w:t>
      </w:r>
      <w:r>
        <w:rPr>
          <w:spacing w:val="80"/>
          <w:sz w:val="21"/>
        </w:rPr>
        <w:t> </w:t>
      </w:r>
      <w:r>
        <w:rPr>
          <w:sz w:val="21"/>
        </w:rPr>
        <w:t>“Employer shall also pay Employee any Earned Bonus Amount (as defined below).”</w:t>
      </w:r>
    </w:p>
    <w:p>
      <w:pPr>
        <w:pStyle w:val="ListParagraph"/>
        <w:numPr>
          <w:ilvl w:val="1"/>
          <w:numId w:val="50"/>
        </w:numPr>
        <w:tabs>
          <w:tab w:pos="1116" w:val="left" w:leader="none"/>
        </w:tabs>
        <w:spacing w:line="482" w:lineRule="auto" w:before="1" w:after="0"/>
        <w:ind w:left="1116" w:right="662" w:hanging="324"/>
        <w:jc w:val="left"/>
        <w:rPr>
          <w:sz w:val="21"/>
        </w:rPr>
      </w:pPr>
      <w:r>
        <w:rPr>
          <w:sz w:val="21"/>
        </w:rPr>
        <w:t>Employer and Employee hereby agree to amend Section 10.2.1 by adding the following sentence at the end thereof:</w:t>
      </w:r>
      <w:r>
        <w:rPr>
          <w:spacing w:val="80"/>
          <w:sz w:val="21"/>
        </w:rPr>
        <w:t> </w:t>
      </w:r>
      <w:r>
        <w:rPr>
          <w:sz w:val="21"/>
        </w:rPr>
        <w:t>“Employer shall also pay Employee any Earned Bonus Amount (as defined below).”</w:t>
      </w:r>
    </w:p>
    <w:p>
      <w:pPr>
        <w:pStyle w:val="ListParagraph"/>
        <w:numPr>
          <w:ilvl w:val="1"/>
          <w:numId w:val="50"/>
        </w:numPr>
        <w:tabs>
          <w:tab w:pos="1116" w:val="left" w:leader="none"/>
        </w:tabs>
        <w:spacing w:line="631" w:lineRule="auto" w:before="2" w:after="0"/>
        <w:ind w:left="1116" w:right="423" w:hanging="324"/>
        <w:jc w:val="left"/>
        <w:rPr>
          <w:sz w:val="21"/>
        </w:rPr>
      </w:pPr>
      <w:r>
        <w:rPr>
          <w:sz w:val="21"/>
        </w:rPr>
        <w:t>Employer and Employee hereby agree to amend Section 10.2.1(a) by adding the following sentence at the end thereof:</w:t>
      </w:r>
      <w:r>
        <w:rPr>
          <w:spacing w:val="80"/>
          <w:sz w:val="21"/>
        </w:rPr>
        <w:t> </w:t>
      </w:r>
      <w:r>
        <w:rPr>
          <w:sz w:val="21"/>
        </w:rPr>
        <w:t>“Employer shall also pay Employee any Earned Bonus Amount (as defined below).”</w:t>
      </w:r>
    </w:p>
    <w:p>
      <w:pPr>
        <w:pStyle w:val="ListParagraph"/>
        <w:numPr>
          <w:ilvl w:val="1"/>
          <w:numId w:val="50"/>
        </w:numPr>
        <w:tabs>
          <w:tab w:pos="1116" w:val="left" w:leader="none"/>
        </w:tabs>
        <w:spacing w:line="268" w:lineRule="auto" w:before="0" w:after="0"/>
        <w:ind w:left="1116" w:right="404" w:hanging="324"/>
        <w:jc w:val="left"/>
        <w:rPr>
          <w:sz w:val="21"/>
        </w:rPr>
      </w:pPr>
      <w:r>
        <w:rPr>
          <w:sz w:val="21"/>
        </w:rPr>
        <w:t>Employer and Employee hereby agree to clarify and amend Section 10.3.1 by adding the following sentence at the end</w:t>
      </w:r>
      <w:r>
        <w:rPr>
          <w:spacing w:val="80"/>
          <w:sz w:val="21"/>
        </w:rPr>
        <w:t> </w:t>
      </w:r>
      <w:r>
        <w:rPr>
          <w:spacing w:val="-2"/>
          <w:sz w:val="21"/>
        </w:rPr>
        <w:t>thereof:</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4"/>
        <w:rPr>
          <w:sz w:val="20"/>
        </w:rPr>
      </w:pPr>
      <w:r>
        <w:rPr/>
        <mc:AlternateContent>
          <mc:Choice Requires="wps">
            <w:drawing>
              <wp:anchor distT="0" distB="0" distL="0" distR="0" allowOverlap="1" layoutInCell="1" locked="0" behindDoc="1" simplePos="0" relativeHeight="487800832">
                <wp:simplePos x="0" y="0"/>
                <wp:positionH relativeFrom="page">
                  <wp:posOffset>231457</wp:posOffset>
                </wp:positionH>
                <wp:positionV relativeFrom="paragraph">
                  <wp:posOffset>284467</wp:posOffset>
                </wp:positionV>
                <wp:extent cx="7312659" cy="17145"/>
                <wp:effectExtent l="0" t="0" r="0" b="0"/>
                <wp:wrapTopAndBottom/>
                <wp:docPr id="1039" name="Group 1039"/>
                <wp:cNvGraphicFramePr>
                  <a:graphicFrameLocks/>
                </wp:cNvGraphicFramePr>
                <a:graphic>
                  <a:graphicData uri="http://schemas.microsoft.com/office/word/2010/wordprocessingGroup">
                    <wpg:wgp>
                      <wpg:cNvPr id="1039" name="Group 1039"/>
                      <wpg:cNvGrpSpPr/>
                      <wpg:grpSpPr>
                        <a:xfrm>
                          <a:off x="0" y="0"/>
                          <a:ext cx="7312659" cy="17145"/>
                          <a:chExt cx="7312659" cy="17145"/>
                        </a:xfrm>
                      </wpg:grpSpPr>
                      <wps:wsp>
                        <wps:cNvPr id="1040" name="Graphic 104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41" name="Graphic 1041"/>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42" name="Graphic 104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2.399023pt;width:575.8pt;height:1.35pt;mso-position-horizontal-relative:page;mso-position-vertical-relative:paragraph;z-index:-15515648;mso-wrap-distance-left:0;mso-wrap-distance-right:0" id="docshapegroup1037" coordorigin="364,448" coordsize="11516,27">
                <v:rect style="position:absolute;left:364;top:447;width:11516;height:14" id="docshape1038" filled="true" fillcolor="#999999" stroked="false">
                  <v:fill type="solid"/>
                </v:rect>
                <v:shape style="position:absolute;left:364;top:447;width:11516;height:27" id="docshape1039" coordorigin="364,448" coordsize="11516,27" path="m11880,448l11866,461,364,461,364,475,11866,475,11880,475,11880,461,11880,448xe" filled="true" fillcolor="#ededed" stroked="false">
                  <v:path arrowok="t"/>
                  <v:fill type="solid"/>
                </v:shape>
                <v:shape style="position:absolute;left:364;top:447;width:14;height:27" id="docshape1040" coordorigin="364,448" coordsize="14,27" path="m364,475l364,448,378,448,378,461,364,475xe" filled="true" fillcolor="#999999" stroked="false">
                  <v:path arrowok="t"/>
                  <v:fill type="solid"/>
                </v:shape>
                <w10:wrap type="topAndBottom"/>
              </v:group>
            </w:pict>
          </mc:Fallback>
        </mc:AlternateContent>
      </w:r>
    </w:p>
    <w:p>
      <w:pPr>
        <w:spacing w:after="0"/>
        <w:rPr>
          <w:sz w:val="20"/>
        </w:rPr>
        <w:sectPr>
          <w:pgSz w:w="12240" w:h="15840"/>
          <w:pgMar w:top="300" w:bottom="280" w:left="220" w:right="240"/>
        </w:sectPr>
      </w:pPr>
    </w:p>
    <w:p>
      <w:pPr>
        <w:spacing w:line="268" w:lineRule="auto" w:before="81"/>
        <w:ind w:left="1116" w:right="218" w:firstLine="0"/>
        <w:jc w:val="left"/>
        <w:rPr>
          <w:sz w:val="21"/>
        </w:rPr>
      </w:pPr>
      <w:r>
        <w:rPr>
          <w:sz w:val="21"/>
        </w:rPr>
        <w:t>“For</w:t>
      </w:r>
      <w:r>
        <w:rPr>
          <w:spacing w:val="14"/>
          <w:sz w:val="21"/>
        </w:rPr>
        <w:t> </w:t>
      </w:r>
      <w:r>
        <w:rPr>
          <w:sz w:val="21"/>
        </w:rPr>
        <w:t>the</w:t>
      </w:r>
      <w:r>
        <w:rPr>
          <w:spacing w:val="13"/>
          <w:sz w:val="21"/>
        </w:rPr>
        <w:t> </w:t>
      </w:r>
      <w:r>
        <w:rPr>
          <w:sz w:val="21"/>
        </w:rPr>
        <w:t>avoidance</w:t>
      </w:r>
      <w:r>
        <w:rPr>
          <w:spacing w:val="14"/>
          <w:sz w:val="21"/>
        </w:rPr>
        <w:t> </w:t>
      </w:r>
      <w:r>
        <w:rPr>
          <w:sz w:val="21"/>
        </w:rPr>
        <w:t>of</w:t>
      </w:r>
      <w:r>
        <w:rPr>
          <w:spacing w:val="13"/>
          <w:sz w:val="21"/>
        </w:rPr>
        <w:t> </w:t>
      </w:r>
      <w:r>
        <w:rPr>
          <w:sz w:val="21"/>
        </w:rPr>
        <w:t>doubt,</w:t>
      </w:r>
      <w:r>
        <w:rPr>
          <w:spacing w:val="14"/>
          <w:sz w:val="21"/>
        </w:rPr>
        <w:t> </w:t>
      </w:r>
      <w:r>
        <w:rPr>
          <w:sz w:val="21"/>
        </w:rPr>
        <w:t>an</w:t>
      </w:r>
      <w:r>
        <w:rPr>
          <w:spacing w:val="13"/>
          <w:sz w:val="21"/>
        </w:rPr>
        <w:t> </w:t>
      </w:r>
      <w:r>
        <w:rPr>
          <w:sz w:val="21"/>
        </w:rPr>
        <w:t>earned</w:t>
      </w:r>
      <w:r>
        <w:rPr>
          <w:spacing w:val="14"/>
          <w:sz w:val="21"/>
        </w:rPr>
        <w:t> </w:t>
      </w:r>
      <w:r>
        <w:rPr>
          <w:sz w:val="21"/>
        </w:rPr>
        <w:t>bonus</w:t>
      </w:r>
      <w:r>
        <w:rPr>
          <w:spacing w:val="13"/>
          <w:sz w:val="21"/>
        </w:rPr>
        <w:t> </w:t>
      </w:r>
      <w:r>
        <w:rPr>
          <w:sz w:val="21"/>
        </w:rPr>
        <w:t>includes</w:t>
      </w:r>
      <w:r>
        <w:rPr>
          <w:spacing w:val="14"/>
          <w:sz w:val="21"/>
        </w:rPr>
        <w:t> </w:t>
      </w:r>
      <w:r>
        <w:rPr>
          <w:sz w:val="21"/>
        </w:rPr>
        <w:t>any</w:t>
      </w:r>
      <w:r>
        <w:rPr>
          <w:spacing w:val="13"/>
          <w:sz w:val="21"/>
        </w:rPr>
        <w:t> </w:t>
      </w:r>
      <w:r>
        <w:rPr>
          <w:sz w:val="21"/>
        </w:rPr>
        <w:t>bonus</w:t>
      </w:r>
      <w:r>
        <w:rPr>
          <w:spacing w:val="14"/>
          <w:sz w:val="21"/>
        </w:rPr>
        <w:t> </w:t>
      </w:r>
      <w:r>
        <w:rPr>
          <w:sz w:val="21"/>
        </w:rPr>
        <w:t>where</w:t>
      </w:r>
      <w:r>
        <w:rPr>
          <w:spacing w:val="13"/>
          <w:sz w:val="21"/>
        </w:rPr>
        <w:t> </w:t>
      </w:r>
      <w:r>
        <w:rPr>
          <w:sz w:val="21"/>
        </w:rPr>
        <w:t>the</w:t>
      </w:r>
      <w:r>
        <w:rPr>
          <w:spacing w:val="14"/>
          <w:sz w:val="21"/>
        </w:rPr>
        <w:t> </w:t>
      </w:r>
      <w:r>
        <w:rPr>
          <w:sz w:val="21"/>
        </w:rPr>
        <w:t>performance</w:t>
      </w:r>
      <w:r>
        <w:rPr>
          <w:spacing w:val="13"/>
          <w:sz w:val="21"/>
        </w:rPr>
        <w:t> </w:t>
      </w:r>
      <w:r>
        <w:rPr>
          <w:sz w:val="21"/>
        </w:rPr>
        <w:t>period</w:t>
      </w:r>
      <w:r>
        <w:rPr>
          <w:spacing w:val="14"/>
          <w:sz w:val="21"/>
        </w:rPr>
        <w:t> </w:t>
      </w:r>
      <w:r>
        <w:rPr>
          <w:sz w:val="21"/>
        </w:rPr>
        <w:t>has</w:t>
      </w:r>
      <w:r>
        <w:rPr>
          <w:spacing w:val="13"/>
          <w:sz w:val="21"/>
        </w:rPr>
        <w:t> </w:t>
      </w:r>
      <w:r>
        <w:rPr>
          <w:sz w:val="21"/>
        </w:rPr>
        <w:t>been</w:t>
      </w:r>
      <w:r>
        <w:rPr>
          <w:spacing w:val="14"/>
          <w:sz w:val="21"/>
        </w:rPr>
        <w:t> </w:t>
      </w:r>
      <w:r>
        <w:rPr>
          <w:sz w:val="21"/>
        </w:rPr>
        <w:t>completed</w:t>
      </w:r>
      <w:r>
        <w:rPr>
          <w:spacing w:val="13"/>
          <w:sz w:val="21"/>
        </w:rPr>
        <w:t> </w:t>
      </w:r>
      <w:r>
        <w:rPr>
          <w:sz w:val="21"/>
        </w:rPr>
        <w:t>and a bonus has become determinable (an “</w:t>
      </w:r>
      <w:r>
        <w:rPr>
          <w:sz w:val="21"/>
          <w:u w:val="single"/>
        </w:rPr>
        <w:t>Earned Bonus Amount</w:t>
      </w:r>
      <w:r>
        <w:rPr>
          <w:sz w:val="21"/>
        </w:rPr>
        <w:t>”).”</w:t>
      </w:r>
    </w:p>
    <w:p>
      <w:pPr>
        <w:pStyle w:val="ListParagraph"/>
        <w:numPr>
          <w:ilvl w:val="0"/>
          <w:numId w:val="50"/>
        </w:numPr>
        <w:tabs>
          <w:tab w:pos="791" w:val="left" w:leader="none"/>
        </w:tabs>
        <w:spacing w:line="240" w:lineRule="auto" w:before="215" w:after="0"/>
        <w:ind w:left="791" w:right="0" w:hanging="323"/>
        <w:jc w:val="left"/>
        <w:rPr>
          <w:sz w:val="21"/>
        </w:rPr>
      </w:pPr>
      <w:r>
        <w:rPr>
          <w:sz w:val="21"/>
          <w:u w:val="single"/>
        </w:rPr>
        <w:t>Effectiveness</w:t>
      </w:r>
      <w:r>
        <w:rPr>
          <w:sz w:val="21"/>
        </w:rPr>
        <w:t>.</w:t>
      </w:r>
      <w:r>
        <w:rPr>
          <w:spacing w:val="4"/>
          <w:sz w:val="21"/>
        </w:rPr>
        <w:t> </w:t>
      </w:r>
      <w:r>
        <w:rPr>
          <w:sz w:val="21"/>
        </w:rPr>
        <w:t>The</w:t>
      </w:r>
      <w:r>
        <w:rPr>
          <w:spacing w:val="9"/>
          <w:sz w:val="21"/>
        </w:rPr>
        <w:t> </w:t>
      </w:r>
      <w:r>
        <w:rPr>
          <w:sz w:val="21"/>
        </w:rPr>
        <w:t>amendments</w:t>
      </w:r>
      <w:r>
        <w:rPr>
          <w:spacing w:val="9"/>
          <w:sz w:val="21"/>
        </w:rPr>
        <w:t> </w:t>
      </w:r>
      <w:r>
        <w:rPr>
          <w:sz w:val="21"/>
        </w:rPr>
        <w:t>set</w:t>
      </w:r>
      <w:r>
        <w:rPr>
          <w:spacing w:val="9"/>
          <w:sz w:val="21"/>
        </w:rPr>
        <w:t> </w:t>
      </w:r>
      <w:r>
        <w:rPr>
          <w:sz w:val="21"/>
        </w:rPr>
        <w:t>forth</w:t>
      </w:r>
      <w:r>
        <w:rPr>
          <w:spacing w:val="9"/>
          <w:sz w:val="21"/>
        </w:rPr>
        <w:t> </w:t>
      </w:r>
      <w:r>
        <w:rPr>
          <w:sz w:val="21"/>
        </w:rPr>
        <w:t>in</w:t>
      </w:r>
      <w:r>
        <w:rPr>
          <w:spacing w:val="9"/>
          <w:sz w:val="21"/>
        </w:rPr>
        <w:t> </w:t>
      </w:r>
      <w:r>
        <w:rPr>
          <w:sz w:val="21"/>
        </w:rPr>
        <w:t>Section</w:t>
      </w:r>
      <w:r>
        <w:rPr>
          <w:spacing w:val="9"/>
          <w:sz w:val="21"/>
        </w:rPr>
        <w:t> </w:t>
      </w:r>
      <w:r>
        <w:rPr>
          <w:sz w:val="21"/>
        </w:rPr>
        <w:t>1</w:t>
      </w:r>
      <w:r>
        <w:rPr>
          <w:spacing w:val="9"/>
          <w:sz w:val="21"/>
        </w:rPr>
        <w:t> </w:t>
      </w:r>
      <w:r>
        <w:rPr>
          <w:sz w:val="21"/>
        </w:rPr>
        <w:t>shall</w:t>
      </w:r>
      <w:r>
        <w:rPr>
          <w:spacing w:val="9"/>
          <w:sz w:val="21"/>
        </w:rPr>
        <w:t> </w:t>
      </w:r>
      <w:r>
        <w:rPr>
          <w:sz w:val="21"/>
        </w:rPr>
        <w:t>be</w:t>
      </w:r>
      <w:r>
        <w:rPr>
          <w:spacing w:val="9"/>
          <w:sz w:val="21"/>
        </w:rPr>
        <w:t> </w:t>
      </w:r>
      <w:r>
        <w:rPr>
          <w:sz w:val="21"/>
        </w:rPr>
        <w:t>effective</w:t>
      </w:r>
      <w:r>
        <w:rPr>
          <w:spacing w:val="9"/>
          <w:sz w:val="21"/>
        </w:rPr>
        <w:t> </w:t>
      </w:r>
      <w:r>
        <w:rPr>
          <w:sz w:val="21"/>
        </w:rPr>
        <w:t>as</w:t>
      </w:r>
      <w:r>
        <w:rPr>
          <w:spacing w:val="9"/>
          <w:sz w:val="21"/>
        </w:rPr>
        <w:t> </w:t>
      </w:r>
      <w:r>
        <w:rPr>
          <w:sz w:val="21"/>
        </w:rPr>
        <w:t>of</w:t>
      </w:r>
      <w:r>
        <w:rPr>
          <w:spacing w:val="9"/>
          <w:sz w:val="21"/>
        </w:rPr>
        <w:t> </w:t>
      </w:r>
      <w:r>
        <w:rPr>
          <w:sz w:val="21"/>
        </w:rPr>
        <w:t>the</w:t>
      </w:r>
      <w:r>
        <w:rPr>
          <w:spacing w:val="9"/>
          <w:sz w:val="21"/>
        </w:rPr>
        <w:t> </w:t>
      </w:r>
      <w:r>
        <w:rPr>
          <w:sz w:val="21"/>
        </w:rPr>
        <w:t>date</w:t>
      </w:r>
      <w:r>
        <w:rPr>
          <w:spacing w:val="9"/>
          <w:sz w:val="21"/>
        </w:rPr>
        <w:t> </w:t>
      </w:r>
      <w:r>
        <w:rPr>
          <w:spacing w:val="-2"/>
          <w:sz w:val="21"/>
        </w:rPr>
        <w:t>hereof.</w:t>
      </w:r>
    </w:p>
    <w:p>
      <w:pPr>
        <w:pStyle w:val="BodyText"/>
        <w:spacing w:before="3"/>
        <w:rPr>
          <w:sz w:val="21"/>
        </w:rPr>
      </w:pPr>
    </w:p>
    <w:p>
      <w:pPr>
        <w:pStyle w:val="ListParagraph"/>
        <w:numPr>
          <w:ilvl w:val="0"/>
          <w:numId w:val="50"/>
        </w:numPr>
        <w:tabs>
          <w:tab w:pos="792" w:val="left" w:leader="none"/>
        </w:tabs>
        <w:spacing w:line="268" w:lineRule="auto" w:before="0" w:after="0"/>
        <w:ind w:left="792" w:right="117" w:hanging="324"/>
        <w:jc w:val="left"/>
        <w:rPr>
          <w:sz w:val="21"/>
        </w:rPr>
      </w:pPr>
      <w:r>
        <w:rPr>
          <w:sz w:val="21"/>
          <w:u w:val="single"/>
        </w:rPr>
        <w:t>Other</w:t>
      </w:r>
      <w:r>
        <w:rPr>
          <w:spacing w:val="39"/>
          <w:sz w:val="21"/>
          <w:u w:val="single"/>
        </w:rPr>
        <w:t> </w:t>
      </w:r>
      <w:r>
        <w:rPr>
          <w:sz w:val="21"/>
          <w:u w:val="single"/>
        </w:rPr>
        <w:t>Provisions</w:t>
      </w:r>
      <w:r>
        <w:rPr>
          <w:spacing w:val="39"/>
          <w:sz w:val="21"/>
          <w:u w:val="single"/>
        </w:rPr>
        <w:t> </w:t>
      </w:r>
      <w:r>
        <w:rPr>
          <w:sz w:val="21"/>
          <w:u w:val="single"/>
        </w:rPr>
        <w:t>of</w:t>
      </w:r>
      <w:r>
        <w:rPr>
          <w:spacing w:val="24"/>
          <w:sz w:val="21"/>
          <w:u w:val="single"/>
        </w:rPr>
        <w:t> </w:t>
      </w:r>
      <w:r>
        <w:rPr>
          <w:sz w:val="21"/>
          <w:u w:val="single"/>
        </w:rPr>
        <w:t>Agreement</w:t>
      </w:r>
      <w:r>
        <w:rPr>
          <w:sz w:val="21"/>
        </w:rPr>
        <w:t>.</w:t>
      </w:r>
      <w:r>
        <w:rPr>
          <w:spacing w:val="34"/>
          <w:sz w:val="21"/>
        </w:rPr>
        <w:t> </w:t>
      </w:r>
      <w:r>
        <w:rPr>
          <w:sz w:val="21"/>
        </w:rPr>
        <w:t>The</w:t>
      </w:r>
      <w:r>
        <w:rPr>
          <w:spacing w:val="39"/>
          <w:sz w:val="21"/>
        </w:rPr>
        <w:t> </w:t>
      </w:r>
      <w:r>
        <w:rPr>
          <w:sz w:val="21"/>
        </w:rPr>
        <w:t>parties</w:t>
      </w:r>
      <w:r>
        <w:rPr>
          <w:spacing w:val="39"/>
          <w:sz w:val="21"/>
        </w:rPr>
        <w:t> </w:t>
      </w:r>
      <w:r>
        <w:rPr>
          <w:sz w:val="21"/>
        </w:rPr>
        <w:t>acknowledge</w:t>
      </w:r>
      <w:r>
        <w:rPr>
          <w:spacing w:val="39"/>
          <w:sz w:val="21"/>
        </w:rPr>
        <w:t> </w:t>
      </w:r>
      <w:r>
        <w:rPr>
          <w:sz w:val="21"/>
        </w:rPr>
        <w:t>that</w:t>
      </w:r>
      <w:r>
        <w:rPr>
          <w:spacing w:val="39"/>
          <w:sz w:val="21"/>
        </w:rPr>
        <w:t> </w:t>
      </w:r>
      <w:r>
        <w:rPr>
          <w:sz w:val="21"/>
        </w:rPr>
        <w:t>the</w:t>
      </w:r>
      <w:r>
        <w:rPr>
          <w:spacing w:val="24"/>
          <w:sz w:val="21"/>
        </w:rPr>
        <w:t> </w:t>
      </w:r>
      <w:r>
        <w:rPr>
          <w:sz w:val="21"/>
        </w:rPr>
        <w:t>Agreement</w:t>
      </w:r>
      <w:r>
        <w:rPr>
          <w:spacing w:val="39"/>
          <w:sz w:val="21"/>
        </w:rPr>
        <w:t> </w:t>
      </w:r>
      <w:r>
        <w:rPr>
          <w:sz w:val="21"/>
        </w:rPr>
        <w:t>is</w:t>
      </w:r>
      <w:r>
        <w:rPr>
          <w:spacing w:val="39"/>
          <w:sz w:val="21"/>
        </w:rPr>
        <w:t> </w:t>
      </w:r>
      <w:r>
        <w:rPr>
          <w:sz w:val="21"/>
        </w:rPr>
        <w:t>being</w:t>
      </w:r>
      <w:r>
        <w:rPr>
          <w:spacing w:val="39"/>
          <w:sz w:val="21"/>
        </w:rPr>
        <w:t> </w:t>
      </w:r>
      <w:r>
        <w:rPr>
          <w:sz w:val="21"/>
        </w:rPr>
        <w:t>modified</w:t>
      </w:r>
      <w:r>
        <w:rPr>
          <w:spacing w:val="39"/>
          <w:sz w:val="21"/>
        </w:rPr>
        <w:t> </w:t>
      </w:r>
      <w:r>
        <w:rPr>
          <w:sz w:val="21"/>
        </w:rPr>
        <w:t>only</w:t>
      </w:r>
      <w:r>
        <w:rPr>
          <w:spacing w:val="39"/>
          <w:sz w:val="21"/>
        </w:rPr>
        <w:t> </w:t>
      </w:r>
      <w:r>
        <w:rPr>
          <w:sz w:val="21"/>
        </w:rPr>
        <w:t>as</w:t>
      </w:r>
      <w:r>
        <w:rPr>
          <w:spacing w:val="39"/>
          <w:sz w:val="21"/>
        </w:rPr>
        <w:t> </w:t>
      </w:r>
      <w:r>
        <w:rPr>
          <w:sz w:val="21"/>
        </w:rPr>
        <w:t>stated</w:t>
      </w:r>
      <w:r>
        <w:rPr>
          <w:spacing w:val="39"/>
          <w:sz w:val="21"/>
        </w:rPr>
        <w:t> </w:t>
      </w:r>
      <w:r>
        <w:rPr>
          <w:sz w:val="21"/>
        </w:rPr>
        <w:t>herein,</w:t>
      </w:r>
      <w:r>
        <w:rPr>
          <w:spacing w:val="39"/>
          <w:sz w:val="21"/>
        </w:rPr>
        <w:t> </w:t>
      </w:r>
      <w:r>
        <w:rPr>
          <w:sz w:val="21"/>
        </w:rPr>
        <w:t>and agree that nothing else in the Agreement shall be affected by this Amendment.</w:t>
      </w:r>
    </w:p>
    <w:p>
      <w:pPr>
        <w:pStyle w:val="ListParagraph"/>
        <w:numPr>
          <w:ilvl w:val="0"/>
          <w:numId w:val="50"/>
        </w:numPr>
        <w:tabs>
          <w:tab w:pos="792" w:val="left" w:leader="none"/>
        </w:tabs>
        <w:spacing w:line="268" w:lineRule="auto" w:before="215" w:after="0"/>
        <w:ind w:left="792" w:right="118" w:hanging="324"/>
        <w:jc w:val="left"/>
        <w:rPr>
          <w:sz w:val="21"/>
        </w:rPr>
      </w:pPr>
      <w:r>
        <w:rPr>
          <w:sz w:val="21"/>
          <w:u w:val="single"/>
        </w:rPr>
        <w:t>Employee Acknowledgment</w:t>
      </w:r>
      <w:r>
        <w:rPr>
          <w:sz w:val="21"/>
        </w:rPr>
        <w:t>.</w:t>
      </w:r>
      <w:r>
        <w:rPr>
          <w:spacing w:val="23"/>
          <w:sz w:val="21"/>
        </w:rPr>
        <w:t> </w:t>
      </w:r>
      <w:r>
        <w:rPr>
          <w:sz w:val="21"/>
        </w:rPr>
        <w:t>Employee</w:t>
      </w:r>
      <w:r>
        <w:rPr>
          <w:spacing w:val="23"/>
          <w:sz w:val="21"/>
        </w:rPr>
        <w:t> </w:t>
      </w:r>
      <w:r>
        <w:rPr>
          <w:sz w:val="21"/>
        </w:rPr>
        <w:t>agrees</w:t>
      </w:r>
      <w:r>
        <w:rPr>
          <w:spacing w:val="23"/>
          <w:sz w:val="21"/>
        </w:rPr>
        <w:t> </w:t>
      </w:r>
      <w:r>
        <w:rPr>
          <w:sz w:val="21"/>
        </w:rPr>
        <w:t>that</w:t>
      </w:r>
      <w:r>
        <w:rPr>
          <w:spacing w:val="23"/>
          <w:sz w:val="21"/>
        </w:rPr>
        <w:t> </w:t>
      </w:r>
      <w:r>
        <w:rPr>
          <w:sz w:val="21"/>
        </w:rPr>
        <w:t>Employee</w:t>
      </w:r>
      <w:r>
        <w:rPr>
          <w:spacing w:val="23"/>
          <w:sz w:val="21"/>
        </w:rPr>
        <w:t> </w:t>
      </w:r>
      <w:r>
        <w:rPr>
          <w:sz w:val="21"/>
        </w:rPr>
        <w:t>has</w:t>
      </w:r>
      <w:r>
        <w:rPr>
          <w:spacing w:val="23"/>
          <w:sz w:val="21"/>
        </w:rPr>
        <w:t> </w:t>
      </w:r>
      <w:r>
        <w:rPr>
          <w:sz w:val="21"/>
        </w:rPr>
        <w:t>had</w:t>
      </w:r>
      <w:r>
        <w:rPr>
          <w:spacing w:val="23"/>
          <w:sz w:val="21"/>
        </w:rPr>
        <w:t> </w:t>
      </w:r>
      <w:r>
        <w:rPr>
          <w:sz w:val="21"/>
        </w:rPr>
        <w:t>enough</w:t>
      </w:r>
      <w:r>
        <w:rPr>
          <w:spacing w:val="23"/>
          <w:sz w:val="21"/>
        </w:rPr>
        <w:t> </w:t>
      </w:r>
      <w:r>
        <w:rPr>
          <w:sz w:val="21"/>
        </w:rPr>
        <w:t>time</w:t>
      </w:r>
      <w:r>
        <w:rPr>
          <w:spacing w:val="23"/>
          <w:sz w:val="21"/>
        </w:rPr>
        <w:t> </w:t>
      </w:r>
      <w:r>
        <w:rPr>
          <w:sz w:val="21"/>
        </w:rPr>
        <w:t>to</w:t>
      </w:r>
      <w:r>
        <w:rPr>
          <w:spacing w:val="23"/>
          <w:sz w:val="21"/>
        </w:rPr>
        <w:t> </w:t>
      </w:r>
      <w:r>
        <w:rPr>
          <w:sz w:val="21"/>
        </w:rPr>
        <w:t>review</w:t>
      </w:r>
      <w:r>
        <w:rPr>
          <w:spacing w:val="23"/>
          <w:sz w:val="21"/>
        </w:rPr>
        <w:t> </w:t>
      </w:r>
      <w:r>
        <w:rPr>
          <w:sz w:val="21"/>
        </w:rPr>
        <w:t>this Amendment,</w:t>
      </w:r>
      <w:r>
        <w:rPr>
          <w:spacing w:val="23"/>
          <w:sz w:val="21"/>
        </w:rPr>
        <w:t> </w:t>
      </w:r>
      <w:r>
        <w:rPr>
          <w:sz w:val="21"/>
        </w:rPr>
        <w:t>ask</w:t>
      </w:r>
      <w:r>
        <w:rPr>
          <w:spacing w:val="23"/>
          <w:sz w:val="21"/>
        </w:rPr>
        <w:t> </w:t>
      </w:r>
      <w:r>
        <w:rPr>
          <w:sz w:val="21"/>
        </w:rPr>
        <w:t>questions about its content, and consult with counsel of Employee’s choosing before signing below.</w:t>
      </w:r>
    </w:p>
    <w:p>
      <w:pPr>
        <w:pStyle w:val="Heading3"/>
        <w:spacing w:before="215"/>
        <w:ind w:left="144"/>
        <w:jc w:val="left"/>
        <w:rPr>
          <w:b w:val="0"/>
        </w:rPr>
      </w:pPr>
      <w:r>
        <w:rPr/>
        <w:t>IN</w:t>
      </w:r>
      <w:r>
        <w:rPr>
          <w:spacing w:val="7"/>
        </w:rPr>
        <w:t> </w:t>
      </w:r>
      <w:r>
        <w:rPr/>
        <w:t>WITNESS</w:t>
      </w:r>
      <w:r>
        <w:rPr>
          <w:spacing w:val="7"/>
        </w:rPr>
        <w:t> </w:t>
      </w:r>
      <w:r>
        <w:rPr/>
        <w:t>WHEREOF,</w:t>
      </w:r>
      <w:r>
        <w:rPr>
          <w:spacing w:val="13"/>
        </w:rPr>
        <w:t> </w:t>
      </w:r>
      <w:r>
        <w:rPr/>
        <w:t>EMPLOYER</w:t>
      </w:r>
      <w:r>
        <w:rPr>
          <w:spacing w:val="-3"/>
        </w:rPr>
        <w:t> </w:t>
      </w:r>
      <w:r>
        <w:rPr/>
        <w:t>AND</w:t>
      </w:r>
      <w:r>
        <w:rPr>
          <w:spacing w:val="13"/>
        </w:rPr>
        <w:t> </w:t>
      </w:r>
      <w:r>
        <w:rPr/>
        <w:t>EMPLOYEE</w:t>
      </w:r>
      <w:r>
        <w:rPr>
          <w:spacing w:val="12"/>
        </w:rPr>
        <w:t> </w:t>
      </w:r>
      <w:r>
        <w:rPr/>
        <w:t>HAVE</w:t>
      </w:r>
      <w:r>
        <w:rPr>
          <w:spacing w:val="12"/>
        </w:rPr>
        <w:t> </w:t>
      </w:r>
      <w:r>
        <w:rPr/>
        <w:t>ENTERED</w:t>
      </w:r>
      <w:r>
        <w:rPr>
          <w:spacing w:val="13"/>
        </w:rPr>
        <w:t> </w:t>
      </w:r>
      <w:r>
        <w:rPr/>
        <w:t>INTO</w:t>
      </w:r>
      <w:r>
        <w:rPr>
          <w:spacing w:val="7"/>
        </w:rPr>
        <w:t> </w:t>
      </w:r>
      <w:r>
        <w:rPr/>
        <w:t>THIS</w:t>
      </w:r>
      <w:r>
        <w:rPr>
          <w:spacing w:val="-2"/>
        </w:rPr>
        <w:t> AGREEMENT</w:t>
      </w:r>
      <w:r>
        <w:rPr>
          <w:b w:val="0"/>
          <w:spacing w:val="-2"/>
        </w:rPr>
        <w:t>.</w:t>
      </w:r>
    </w:p>
    <w:p>
      <w:pPr>
        <w:pStyle w:val="BodyText"/>
        <w:rPr>
          <w:sz w:val="21"/>
        </w:rPr>
      </w:pPr>
    </w:p>
    <w:p>
      <w:pPr>
        <w:pStyle w:val="BodyText"/>
        <w:spacing w:before="32"/>
        <w:rPr>
          <w:sz w:val="21"/>
        </w:rPr>
      </w:pPr>
    </w:p>
    <w:p>
      <w:pPr>
        <w:tabs>
          <w:tab w:pos="6954" w:val="left" w:leader="none"/>
        </w:tabs>
        <w:spacing w:before="0"/>
        <w:ind w:left="162" w:right="0" w:firstLine="0"/>
        <w:jc w:val="left"/>
        <w:rPr>
          <w:b/>
          <w:sz w:val="21"/>
        </w:rPr>
      </w:pPr>
      <w:r>
        <w:rPr>
          <w:b/>
          <w:sz w:val="21"/>
        </w:rPr>
        <w:t>John</w:t>
      </w:r>
      <w:r>
        <w:rPr>
          <w:b/>
          <w:spacing w:val="9"/>
          <w:sz w:val="21"/>
        </w:rPr>
        <w:t> </w:t>
      </w:r>
      <w:r>
        <w:rPr>
          <w:b/>
          <w:spacing w:val="-2"/>
          <w:sz w:val="21"/>
        </w:rPr>
        <w:t>McManus</w:t>
      </w:r>
      <w:r>
        <w:rPr>
          <w:b/>
          <w:sz w:val="21"/>
        </w:rPr>
        <w:tab/>
        <w:t>MGM</w:t>
      </w:r>
      <w:r>
        <w:rPr>
          <w:b/>
          <w:spacing w:val="13"/>
          <w:sz w:val="21"/>
        </w:rPr>
        <w:t> </w:t>
      </w:r>
      <w:r>
        <w:rPr>
          <w:b/>
          <w:sz w:val="21"/>
        </w:rPr>
        <w:t>Resorts</w:t>
      </w:r>
      <w:r>
        <w:rPr>
          <w:b/>
          <w:spacing w:val="13"/>
          <w:sz w:val="21"/>
        </w:rPr>
        <w:t> </w:t>
      </w:r>
      <w:r>
        <w:rPr>
          <w:b/>
          <w:spacing w:val="-2"/>
          <w:sz w:val="21"/>
        </w:rPr>
        <w:t>International</w:t>
      </w:r>
    </w:p>
    <w:p>
      <w:pPr>
        <w:tabs>
          <w:tab w:pos="6954" w:val="left" w:leader="none"/>
        </w:tabs>
        <w:spacing w:before="83"/>
        <w:ind w:left="162" w:right="0" w:firstLine="0"/>
        <w:jc w:val="left"/>
        <w:rPr>
          <w:sz w:val="21"/>
        </w:rPr>
      </w:pPr>
      <w:r>
        <w:rPr/>
        <mc:AlternateContent>
          <mc:Choice Requires="wps">
            <w:drawing>
              <wp:anchor distT="0" distB="0" distL="0" distR="0" allowOverlap="1" layoutInCell="1" locked="0" behindDoc="1" simplePos="0" relativeHeight="487801344">
                <wp:simplePos x="0" y="0"/>
                <wp:positionH relativeFrom="page">
                  <wp:posOffset>231444</wp:posOffset>
                </wp:positionH>
                <wp:positionV relativeFrom="paragraph">
                  <wp:posOffset>237121</wp:posOffset>
                </wp:positionV>
                <wp:extent cx="3000375" cy="8890"/>
                <wp:effectExtent l="0" t="0" r="0" b="0"/>
                <wp:wrapTopAndBottom/>
                <wp:docPr id="1043" name="Graphic 1043"/>
                <wp:cNvGraphicFramePr>
                  <a:graphicFrameLocks/>
                </wp:cNvGraphicFramePr>
                <a:graphic>
                  <a:graphicData uri="http://schemas.microsoft.com/office/word/2010/wordprocessingShape">
                    <wps:wsp>
                      <wps:cNvPr id="1043" name="Graphic 1043"/>
                      <wps:cNvSpPr/>
                      <wps:spPr>
                        <a:xfrm>
                          <a:off x="0" y="0"/>
                          <a:ext cx="3000375" cy="8890"/>
                        </a:xfrm>
                        <a:custGeom>
                          <a:avLst/>
                          <a:gdLst/>
                          <a:ahLst/>
                          <a:cxnLst/>
                          <a:rect l="l" t="t" r="r" b="b"/>
                          <a:pathLst>
                            <a:path w="3000375" h="8890">
                              <a:moveTo>
                                <a:pt x="3000375" y="0"/>
                              </a:moveTo>
                              <a:lnTo>
                                <a:pt x="2983230" y="0"/>
                              </a:lnTo>
                              <a:lnTo>
                                <a:pt x="68580" y="0"/>
                              </a:lnTo>
                              <a:lnTo>
                                <a:pt x="0" y="0"/>
                              </a:lnTo>
                              <a:lnTo>
                                <a:pt x="0" y="8572"/>
                              </a:lnTo>
                              <a:lnTo>
                                <a:pt x="68580" y="8572"/>
                              </a:lnTo>
                              <a:lnTo>
                                <a:pt x="2983230" y="8572"/>
                              </a:lnTo>
                              <a:lnTo>
                                <a:pt x="3000375" y="8572"/>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8.671019pt;width:236.25pt;height:.7pt;mso-position-horizontal-relative:page;mso-position-vertical-relative:paragraph;z-index:-15515136;mso-wrap-distance-left:0;mso-wrap-distance-right:0" id="docshape1041" coordorigin="364,373" coordsize="4725,14" path="m5089,373l5062,373,472,373,364,373,364,387,472,387,5062,387,5089,387,5089,3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01856">
                <wp:simplePos x="0" y="0"/>
                <wp:positionH relativeFrom="page">
                  <wp:posOffset>4543412</wp:posOffset>
                </wp:positionH>
                <wp:positionV relativeFrom="paragraph">
                  <wp:posOffset>237121</wp:posOffset>
                </wp:positionV>
                <wp:extent cx="3000375" cy="8890"/>
                <wp:effectExtent l="0" t="0" r="0" b="0"/>
                <wp:wrapTopAndBottom/>
                <wp:docPr id="1044" name="Graphic 1044"/>
                <wp:cNvGraphicFramePr>
                  <a:graphicFrameLocks/>
                </wp:cNvGraphicFramePr>
                <a:graphic>
                  <a:graphicData uri="http://schemas.microsoft.com/office/word/2010/wordprocessingShape">
                    <wps:wsp>
                      <wps:cNvPr id="1044" name="Graphic 1044"/>
                      <wps:cNvSpPr/>
                      <wps:spPr>
                        <a:xfrm>
                          <a:off x="0" y="0"/>
                          <a:ext cx="3000375" cy="8890"/>
                        </a:xfrm>
                        <a:custGeom>
                          <a:avLst/>
                          <a:gdLst/>
                          <a:ahLst/>
                          <a:cxnLst/>
                          <a:rect l="l" t="t" r="r" b="b"/>
                          <a:pathLst>
                            <a:path w="3000375" h="8890">
                              <a:moveTo>
                                <a:pt x="3000375" y="0"/>
                              </a:moveTo>
                              <a:lnTo>
                                <a:pt x="2983230" y="0"/>
                              </a:lnTo>
                              <a:lnTo>
                                <a:pt x="77152" y="0"/>
                              </a:lnTo>
                              <a:lnTo>
                                <a:pt x="0" y="0"/>
                              </a:lnTo>
                              <a:lnTo>
                                <a:pt x="0" y="8572"/>
                              </a:lnTo>
                              <a:lnTo>
                                <a:pt x="77152" y="8572"/>
                              </a:lnTo>
                              <a:lnTo>
                                <a:pt x="2983230" y="8572"/>
                              </a:lnTo>
                              <a:lnTo>
                                <a:pt x="3000375" y="8572"/>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49023pt;margin-top:18.671019pt;width:236.25pt;height:.7pt;mso-position-horizontal-relative:page;mso-position-vertical-relative:paragraph;z-index:-15514624;mso-wrap-distance-left:0;mso-wrap-distance-right:0" id="docshape1042" coordorigin="7155,373" coordsize="4725,14" path="m11880,373l11853,373,7276,373,7155,373,7155,387,7276,387,11853,387,11880,387,11880,373xe" filled="true" fillcolor="#000000" stroked="false">
                <v:path arrowok="t"/>
                <v:fill type="solid"/>
                <w10:wrap type="topAndBottom"/>
              </v:shape>
            </w:pict>
          </mc:Fallback>
        </mc:AlternateContent>
      </w:r>
      <w:r>
        <w:rPr>
          <w:sz w:val="21"/>
        </w:rPr>
        <w:t>/s/</w:t>
      </w:r>
      <w:r>
        <w:rPr>
          <w:spacing w:val="6"/>
          <w:sz w:val="21"/>
        </w:rPr>
        <w:t> </w:t>
      </w:r>
      <w:r>
        <w:rPr>
          <w:sz w:val="21"/>
        </w:rPr>
        <w:t>John</w:t>
      </w:r>
      <w:r>
        <w:rPr>
          <w:spacing w:val="7"/>
          <w:sz w:val="21"/>
        </w:rPr>
        <w:t> </w:t>
      </w:r>
      <w:r>
        <w:rPr>
          <w:spacing w:val="-2"/>
          <w:sz w:val="21"/>
        </w:rPr>
        <w:t>McManus</w:t>
      </w:r>
      <w:r>
        <w:rPr>
          <w:sz w:val="21"/>
        </w:rPr>
        <w:tab/>
        <w:t>/s/ William</w:t>
      </w:r>
      <w:r>
        <w:rPr>
          <w:spacing w:val="5"/>
          <w:sz w:val="21"/>
        </w:rPr>
        <w:t> </w:t>
      </w:r>
      <w:r>
        <w:rPr>
          <w:sz w:val="21"/>
        </w:rPr>
        <w:t>J.</w:t>
      </w:r>
      <w:r>
        <w:rPr>
          <w:spacing w:val="5"/>
          <w:sz w:val="21"/>
        </w:rPr>
        <w:t> </w:t>
      </w:r>
      <w:r>
        <w:rPr>
          <w:spacing w:val="-2"/>
          <w:sz w:val="21"/>
        </w:rPr>
        <w:t>Hornbuckle</w:t>
      </w:r>
    </w:p>
    <w:p>
      <w:pPr>
        <w:spacing w:line="268" w:lineRule="auto" w:before="33"/>
        <w:ind w:left="6954" w:right="370" w:firstLine="0"/>
        <w:jc w:val="left"/>
        <w:rPr>
          <w:sz w:val="21"/>
        </w:rPr>
      </w:pPr>
      <w:r>
        <w:rPr>
          <w:sz w:val="21"/>
        </w:rPr>
        <w:t>By: William J. Hornbuckle, Chief Executive </w:t>
      </w:r>
      <w:r>
        <w:rPr>
          <w:sz w:val="21"/>
        </w:rPr>
        <w:t>Officer and President</w:t>
      </w:r>
    </w:p>
    <w:p>
      <w:pPr>
        <w:tabs>
          <w:tab w:pos="6954" w:val="left" w:leader="none"/>
        </w:tabs>
        <w:spacing w:before="53"/>
        <w:ind w:left="162" w:right="0" w:firstLine="0"/>
        <w:jc w:val="left"/>
        <w:rPr>
          <w:sz w:val="21"/>
        </w:rPr>
      </w:pPr>
      <w:r>
        <w:rPr/>
        <mc:AlternateContent>
          <mc:Choice Requires="wps">
            <w:drawing>
              <wp:anchor distT="0" distB="0" distL="0" distR="0" allowOverlap="1" layoutInCell="1" locked="0" behindDoc="1" simplePos="0" relativeHeight="487802368">
                <wp:simplePos x="0" y="0"/>
                <wp:positionH relativeFrom="page">
                  <wp:posOffset>231444</wp:posOffset>
                </wp:positionH>
                <wp:positionV relativeFrom="paragraph">
                  <wp:posOffset>208949</wp:posOffset>
                </wp:positionV>
                <wp:extent cx="3000375" cy="17145"/>
                <wp:effectExtent l="0" t="0" r="0" b="0"/>
                <wp:wrapTopAndBottom/>
                <wp:docPr id="1045" name="Graphic 1045"/>
                <wp:cNvGraphicFramePr>
                  <a:graphicFrameLocks/>
                </wp:cNvGraphicFramePr>
                <a:graphic>
                  <a:graphicData uri="http://schemas.microsoft.com/office/word/2010/wordprocessingShape">
                    <wps:wsp>
                      <wps:cNvPr id="1045" name="Graphic 1045"/>
                      <wps:cNvSpPr/>
                      <wps:spPr>
                        <a:xfrm>
                          <a:off x="0" y="0"/>
                          <a:ext cx="3000375" cy="17145"/>
                        </a:xfrm>
                        <a:custGeom>
                          <a:avLst/>
                          <a:gdLst/>
                          <a:ahLst/>
                          <a:cxnLst/>
                          <a:rect l="l" t="t" r="r" b="b"/>
                          <a:pathLst>
                            <a:path w="3000375" h="17145">
                              <a:moveTo>
                                <a:pt x="3000375" y="0"/>
                              </a:moveTo>
                              <a:lnTo>
                                <a:pt x="2983230" y="0"/>
                              </a:lnTo>
                              <a:lnTo>
                                <a:pt x="68580" y="0"/>
                              </a:lnTo>
                              <a:lnTo>
                                <a:pt x="0" y="0"/>
                              </a:lnTo>
                              <a:lnTo>
                                <a:pt x="0" y="17145"/>
                              </a:lnTo>
                              <a:lnTo>
                                <a:pt x="68580" y="17145"/>
                              </a:lnTo>
                              <a:lnTo>
                                <a:pt x="2983230" y="17145"/>
                              </a:lnTo>
                              <a:lnTo>
                                <a:pt x="3000375" y="17145"/>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6.452753pt;width:236.25pt;height:1.35pt;mso-position-horizontal-relative:page;mso-position-vertical-relative:paragraph;z-index:-15514112;mso-wrap-distance-left:0;mso-wrap-distance-right:0" id="docshape1043" coordorigin="364,329" coordsize="4725,27" path="m5089,329l5062,329,472,329,364,329,364,356,472,356,5062,356,5089,356,5089,32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802880">
                <wp:simplePos x="0" y="0"/>
                <wp:positionH relativeFrom="page">
                  <wp:posOffset>4543412</wp:posOffset>
                </wp:positionH>
                <wp:positionV relativeFrom="paragraph">
                  <wp:posOffset>208949</wp:posOffset>
                </wp:positionV>
                <wp:extent cx="3000375" cy="17145"/>
                <wp:effectExtent l="0" t="0" r="0" b="0"/>
                <wp:wrapTopAndBottom/>
                <wp:docPr id="1046" name="Graphic 1046"/>
                <wp:cNvGraphicFramePr>
                  <a:graphicFrameLocks/>
                </wp:cNvGraphicFramePr>
                <a:graphic>
                  <a:graphicData uri="http://schemas.microsoft.com/office/word/2010/wordprocessingShape">
                    <wps:wsp>
                      <wps:cNvPr id="1046" name="Graphic 1046"/>
                      <wps:cNvSpPr/>
                      <wps:spPr>
                        <a:xfrm>
                          <a:off x="0" y="0"/>
                          <a:ext cx="3000375" cy="17145"/>
                        </a:xfrm>
                        <a:custGeom>
                          <a:avLst/>
                          <a:gdLst/>
                          <a:ahLst/>
                          <a:cxnLst/>
                          <a:rect l="l" t="t" r="r" b="b"/>
                          <a:pathLst>
                            <a:path w="3000375" h="17145">
                              <a:moveTo>
                                <a:pt x="3000375" y="0"/>
                              </a:moveTo>
                              <a:lnTo>
                                <a:pt x="2983230" y="0"/>
                              </a:lnTo>
                              <a:lnTo>
                                <a:pt x="77152" y="0"/>
                              </a:lnTo>
                              <a:lnTo>
                                <a:pt x="0" y="0"/>
                              </a:lnTo>
                              <a:lnTo>
                                <a:pt x="0" y="17145"/>
                              </a:lnTo>
                              <a:lnTo>
                                <a:pt x="77152" y="17145"/>
                              </a:lnTo>
                              <a:lnTo>
                                <a:pt x="2983230" y="17145"/>
                              </a:lnTo>
                              <a:lnTo>
                                <a:pt x="3000375" y="17145"/>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49023pt;margin-top:16.452753pt;width:236.25pt;height:1.35pt;mso-position-horizontal-relative:page;mso-position-vertical-relative:paragraph;z-index:-15513600;mso-wrap-distance-left:0;mso-wrap-distance-right:0" id="docshape1044" coordorigin="7155,329" coordsize="4725,27" path="m11880,329l11853,329,7276,329,7155,329,7155,356,7276,356,11853,356,11880,356,11880,329xe" filled="true" fillcolor="#000000" stroked="false">
                <v:path arrowok="t"/>
                <v:fill type="solid"/>
                <w10:wrap type="topAndBottom"/>
              </v:shape>
            </w:pict>
          </mc:Fallback>
        </mc:AlternateContent>
      </w:r>
      <w:r>
        <w:rPr>
          <w:sz w:val="21"/>
        </w:rPr>
        <w:t>Dated:</w:t>
      </w:r>
      <w:r>
        <w:rPr>
          <w:spacing w:val="21"/>
          <w:sz w:val="21"/>
        </w:rPr>
        <w:t> </w:t>
      </w:r>
      <w:r>
        <w:rPr>
          <w:sz w:val="21"/>
        </w:rPr>
        <w:t>12-6-</w:t>
      </w:r>
      <w:r>
        <w:rPr>
          <w:spacing w:val="-7"/>
          <w:sz w:val="21"/>
        </w:rPr>
        <w:t>22</w:t>
      </w:r>
      <w:r>
        <w:rPr>
          <w:sz w:val="21"/>
        </w:rPr>
        <w:tab/>
      </w:r>
      <w:r>
        <w:rPr>
          <w:spacing w:val="-2"/>
          <w:sz w:val="21"/>
        </w:rPr>
        <w:t>Dated:</w:t>
      </w:r>
    </w:p>
    <w:p>
      <w:pPr>
        <w:spacing w:after="0"/>
        <w:jc w:val="left"/>
        <w:rPr>
          <w:sz w:val="21"/>
        </w:rPr>
        <w:sectPr>
          <w:pgSz w:w="12240" w:h="15840"/>
          <w:pgMar w:top="1680" w:bottom="280" w:left="220" w:right="240"/>
        </w:sectPr>
      </w:pPr>
    </w:p>
    <w:p>
      <w:pPr>
        <w:spacing w:before="69"/>
        <w:ind w:left="0" w:right="118" w:firstLine="0"/>
        <w:jc w:val="right"/>
        <w:rPr>
          <w:b/>
          <w:sz w:val="19"/>
        </w:rPr>
      </w:pPr>
      <w:bookmarkStart w:name="_bookmark38" w:id="39"/>
      <w:bookmarkEnd w:id="39"/>
      <w:r>
        <w:rPr/>
      </w:r>
      <w:r>
        <w:rPr>
          <w:b/>
          <w:w w:val="105"/>
          <w:sz w:val="19"/>
        </w:rPr>
        <w:t>Exhibit</w:t>
      </w:r>
      <w:r>
        <w:rPr>
          <w:b/>
          <w:spacing w:val="-8"/>
          <w:w w:val="105"/>
          <w:sz w:val="19"/>
        </w:rPr>
        <w:t> </w:t>
      </w:r>
      <w:r>
        <w:rPr>
          <w:b/>
          <w:spacing w:val="-2"/>
          <w:w w:val="105"/>
          <w:sz w:val="19"/>
        </w:rPr>
        <w:t>10.4(19)</w:t>
      </w:r>
    </w:p>
    <w:p>
      <w:pPr>
        <w:pStyle w:val="BodyText"/>
        <w:rPr>
          <w:b/>
          <w:sz w:val="19"/>
        </w:rPr>
      </w:pPr>
    </w:p>
    <w:p>
      <w:pPr>
        <w:pStyle w:val="BodyText"/>
        <w:rPr>
          <w:b/>
          <w:sz w:val="19"/>
        </w:rPr>
      </w:pPr>
    </w:p>
    <w:p>
      <w:pPr>
        <w:pStyle w:val="BodyText"/>
        <w:rPr>
          <w:b/>
          <w:sz w:val="19"/>
        </w:rPr>
      </w:pPr>
    </w:p>
    <w:p>
      <w:pPr>
        <w:pStyle w:val="BodyText"/>
        <w:spacing w:before="198"/>
        <w:rPr>
          <w:b/>
          <w:sz w:val="19"/>
        </w:rPr>
      </w:pPr>
    </w:p>
    <w:p>
      <w:pPr>
        <w:pStyle w:val="Heading3"/>
      </w:pPr>
      <w:r>
        <w:rPr/>
        <w:t>EMPLOYMENT</w:t>
      </w:r>
      <w:r>
        <w:rPr>
          <w:spacing w:val="16"/>
        </w:rPr>
        <w:t> </w:t>
      </w:r>
      <w:r>
        <w:rPr>
          <w:spacing w:val="-2"/>
        </w:rPr>
        <w:t>AGREEMENT</w:t>
      </w:r>
    </w:p>
    <w:p>
      <w:pPr>
        <w:spacing w:line="213" w:lineRule="auto" w:before="212"/>
        <w:ind w:left="252" w:right="0" w:firstLine="648"/>
        <w:jc w:val="left"/>
        <w:rPr>
          <w:sz w:val="21"/>
        </w:rPr>
      </w:pPr>
      <w:r>
        <w:rPr>
          <w:sz w:val="21"/>
        </w:rPr>
        <w:t>This</w:t>
      </w:r>
      <w:r>
        <w:rPr>
          <w:spacing w:val="31"/>
          <w:sz w:val="21"/>
        </w:rPr>
        <w:t> </w:t>
      </w:r>
      <w:r>
        <w:rPr>
          <w:sz w:val="21"/>
        </w:rPr>
        <w:t>Employment</w:t>
      </w:r>
      <w:r>
        <w:rPr>
          <w:spacing w:val="17"/>
          <w:sz w:val="21"/>
        </w:rPr>
        <w:t> </w:t>
      </w:r>
      <w:r>
        <w:rPr>
          <w:sz w:val="21"/>
        </w:rPr>
        <w:t>Agreement</w:t>
      </w:r>
      <w:r>
        <w:rPr>
          <w:spacing w:val="31"/>
          <w:sz w:val="21"/>
        </w:rPr>
        <w:t> </w:t>
      </w:r>
      <w:r>
        <w:rPr>
          <w:sz w:val="21"/>
        </w:rPr>
        <w:t>(this</w:t>
      </w:r>
      <w:r>
        <w:rPr>
          <w:spacing w:val="31"/>
          <w:sz w:val="21"/>
        </w:rPr>
        <w:t> </w:t>
      </w:r>
      <w:r>
        <w:rPr>
          <w:sz w:val="21"/>
        </w:rPr>
        <w:t>“Agreement”)</w:t>
      </w:r>
      <w:r>
        <w:rPr>
          <w:spacing w:val="31"/>
          <w:sz w:val="21"/>
        </w:rPr>
        <w:t> </w:t>
      </w:r>
      <w:r>
        <w:rPr>
          <w:sz w:val="21"/>
        </w:rPr>
        <w:t>is</w:t>
      </w:r>
      <w:r>
        <w:rPr>
          <w:spacing w:val="31"/>
          <w:sz w:val="21"/>
        </w:rPr>
        <w:t> </w:t>
      </w:r>
      <w:r>
        <w:rPr>
          <w:sz w:val="21"/>
        </w:rPr>
        <w:t>entered</w:t>
      </w:r>
      <w:r>
        <w:rPr>
          <w:spacing w:val="31"/>
          <w:sz w:val="21"/>
        </w:rPr>
        <w:t> </w:t>
      </w:r>
      <w:r>
        <w:rPr>
          <w:sz w:val="21"/>
        </w:rPr>
        <w:t>into</w:t>
      </w:r>
      <w:r>
        <w:rPr>
          <w:spacing w:val="31"/>
          <w:sz w:val="21"/>
        </w:rPr>
        <w:t> </w:t>
      </w:r>
      <w:r>
        <w:rPr>
          <w:sz w:val="21"/>
        </w:rPr>
        <w:t>as</w:t>
      </w:r>
      <w:r>
        <w:rPr>
          <w:spacing w:val="31"/>
          <w:sz w:val="21"/>
        </w:rPr>
        <w:t> </w:t>
      </w:r>
      <w:r>
        <w:rPr>
          <w:sz w:val="21"/>
        </w:rPr>
        <w:t>of</w:t>
      </w:r>
      <w:r>
        <w:rPr>
          <w:spacing w:val="31"/>
          <w:sz w:val="21"/>
        </w:rPr>
        <w:t> </w:t>
      </w:r>
      <w:r>
        <w:rPr>
          <w:b/>
          <w:sz w:val="21"/>
        </w:rPr>
        <w:t>October</w:t>
      </w:r>
      <w:r>
        <w:rPr>
          <w:b/>
          <w:spacing w:val="27"/>
          <w:sz w:val="21"/>
        </w:rPr>
        <w:t> </w:t>
      </w:r>
      <w:r>
        <w:rPr>
          <w:b/>
          <w:sz w:val="21"/>
        </w:rPr>
        <w:t>4,</w:t>
      </w:r>
      <w:r>
        <w:rPr>
          <w:b/>
          <w:spacing w:val="31"/>
          <w:sz w:val="21"/>
        </w:rPr>
        <w:t> </w:t>
      </w:r>
      <w:r>
        <w:rPr>
          <w:b/>
          <w:sz w:val="21"/>
        </w:rPr>
        <w:t>2022,</w:t>
      </w:r>
      <w:r>
        <w:rPr>
          <w:b/>
          <w:spacing w:val="31"/>
          <w:sz w:val="21"/>
        </w:rPr>
        <w:t> </w:t>
      </w:r>
      <w:r>
        <w:rPr>
          <w:sz w:val="21"/>
        </w:rPr>
        <w:t>by</w:t>
      </w:r>
      <w:r>
        <w:rPr>
          <w:spacing w:val="31"/>
          <w:sz w:val="21"/>
        </w:rPr>
        <w:t> </w:t>
      </w:r>
      <w:r>
        <w:rPr>
          <w:sz w:val="21"/>
        </w:rPr>
        <w:t>and</w:t>
      </w:r>
      <w:r>
        <w:rPr>
          <w:spacing w:val="31"/>
          <w:sz w:val="21"/>
        </w:rPr>
        <w:t> </w:t>
      </w:r>
      <w:r>
        <w:rPr>
          <w:sz w:val="21"/>
        </w:rPr>
        <w:t>between</w:t>
      </w:r>
      <w:r>
        <w:rPr>
          <w:spacing w:val="31"/>
          <w:sz w:val="21"/>
        </w:rPr>
        <w:t> </w:t>
      </w:r>
      <w:r>
        <w:rPr>
          <w:b/>
          <w:sz w:val="21"/>
        </w:rPr>
        <w:t>MGM</w:t>
      </w:r>
      <w:r>
        <w:rPr>
          <w:b/>
          <w:spacing w:val="31"/>
          <w:sz w:val="21"/>
        </w:rPr>
        <w:t> </w:t>
      </w:r>
      <w:r>
        <w:rPr>
          <w:b/>
          <w:sz w:val="21"/>
        </w:rPr>
        <w:t>Resorts Satellite, LLC </w:t>
      </w:r>
      <w:r>
        <w:rPr>
          <w:sz w:val="21"/>
        </w:rPr>
        <w:t>(“Employer”), and </w:t>
      </w:r>
      <w:r>
        <w:rPr>
          <w:b/>
          <w:sz w:val="21"/>
        </w:rPr>
        <w:t>Gary Fritz </w:t>
      </w:r>
      <w:r>
        <w:rPr>
          <w:sz w:val="21"/>
        </w:rPr>
        <w:t>(“Employee”).</w:t>
      </w:r>
    </w:p>
    <w:p>
      <w:pPr>
        <w:pStyle w:val="ListParagraph"/>
        <w:numPr>
          <w:ilvl w:val="0"/>
          <w:numId w:val="51"/>
        </w:numPr>
        <w:tabs>
          <w:tab w:pos="396" w:val="left" w:leader="none"/>
        </w:tabs>
        <w:spacing w:line="213" w:lineRule="auto" w:before="218" w:after="0"/>
        <w:ind w:left="151" w:right="220" w:firstLine="0"/>
        <w:jc w:val="both"/>
        <w:rPr>
          <w:sz w:val="21"/>
        </w:rPr>
      </w:pPr>
      <w:r>
        <w:rPr>
          <w:sz w:val="21"/>
          <w:u w:val="single"/>
        </w:rPr>
        <w:t>Employment</w:t>
      </w:r>
      <w:r>
        <w:rPr>
          <w:sz w:val="21"/>
        </w:rPr>
        <w:t>. Employer hereby employs Employee, and Employee hereby accepts employment by Employer as </w:t>
      </w:r>
      <w:r>
        <w:rPr>
          <w:b/>
          <w:sz w:val="21"/>
        </w:rPr>
        <w:t>President – Interactive</w:t>
      </w:r>
      <w:r>
        <w:rPr>
          <w:sz w:val="21"/>
        </w:rPr>
        <w:t>, reporting to the Chief Executive Officer, to perform such executive duties as Employer may specify from time to time during the Specified Term (as defined in Section 2). If during the Specified Term Employee becomes an employee of another</w:t>
      </w:r>
      <w:r>
        <w:rPr>
          <w:spacing w:val="80"/>
          <w:sz w:val="21"/>
        </w:rPr>
        <w:t> </w:t>
      </w:r>
      <w:r>
        <w:rPr>
          <w:sz w:val="21"/>
        </w:rPr>
        <w:t>employer affiliated with the “Company,” Employee’s employment with the Employer shall terminate as of the date </w:t>
      </w:r>
      <w:r>
        <w:rPr>
          <w:sz w:val="21"/>
        </w:rPr>
        <w:t>Employee commences such other employment and, pursuant to Section 19, Employee’s new Company employer shall assume all rights and obligations</w:t>
      </w:r>
      <w:r>
        <w:rPr>
          <w:spacing w:val="39"/>
          <w:sz w:val="21"/>
        </w:rPr>
        <w:t> </w:t>
      </w:r>
      <w:r>
        <w:rPr>
          <w:sz w:val="21"/>
        </w:rPr>
        <w:t>of</w:t>
      </w:r>
      <w:r>
        <w:rPr>
          <w:spacing w:val="39"/>
          <w:sz w:val="21"/>
        </w:rPr>
        <w:t> </w:t>
      </w:r>
      <w:r>
        <w:rPr>
          <w:sz w:val="21"/>
        </w:rPr>
        <w:t>Employer</w:t>
      </w:r>
      <w:r>
        <w:rPr>
          <w:spacing w:val="39"/>
          <w:sz w:val="21"/>
        </w:rPr>
        <w:t> </w:t>
      </w:r>
      <w:r>
        <w:rPr>
          <w:sz w:val="21"/>
        </w:rPr>
        <w:t>under</w:t>
      </w:r>
      <w:r>
        <w:rPr>
          <w:spacing w:val="39"/>
          <w:sz w:val="21"/>
        </w:rPr>
        <w:t> </w:t>
      </w:r>
      <w:r>
        <w:rPr>
          <w:sz w:val="21"/>
        </w:rPr>
        <w:t>this</w:t>
      </w:r>
      <w:r>
        <w:rPr>
          <w:spacing w:val="24"/>
          <w:sz w:val="21"/>
        </w:rPr>
        <w:t> </w:t>
      </w:r>
      <w:r>
        <w:rPr>
          <w:sz w:val="21"/>
        </w:rPr>
        <w:t>Agreement.</w:t>
      </w:r>
      <w:r>
        <w:rPr>
          <w:spacing w:val="39"/>
          <w:sz w:val="21"/>
        </w:rPr>
        <w:t> </w:t>
      </w:r>
      <w:r>
        <w:rPr>
          <w:sz w:val="21"/>
        </w:rPr>
        <w:t>For</w:t>
      </w:r>
      <w:r>
        <w:rPr>
          <w:spacing w:val="39"/>
          <w:sz w:val="21"/>
        </w:rPr>
        <w:t> </w:t>
      </w:r>
      <w:r>
        <w:rPr>
          <w:sz w:val="21"/>
        </w:rPr>
        <w:t>purposes</w:t>
      </w:r>
      <w:r>
        <w:rPr>
          <w:spacing w:val="39"/>
          <w:sz w:val="21"/>
        </w:rPr>
        <w:t> </w:t>
      </w:r>
      <w:r>
        <w:rPr>
          <w:sz w:val="21"/>
        </w:rPr>
        <w:t>of</w:t>
      </w:r>
      <w:r>
        <w:rPr>
          <w:spacing w:val="39"/>
          <w:sz w:val="21"/>
        </w:rPr>
        <w:t> </w:t>
      </w:r>
      <w:r>
        <w:rPr>
          <w:sz w:val="21"/>
        </w:rPr>
        <w:t>this</w:t>
      </w:r>
      <w:r>
        <w:rPr>
          <w:spacing w:val="24"/>
          <w:sz w:val="21"/>
        </w:rPr>
        <w:t> </w:t>
      </w:r>
      <w:r>
        <w:rPr>
          <w:sz w:val="21"/>
        </w:rPr>
        <w:t>Agreement,</w:t>
      </w:r>
      <w:r>
        <w:rPr>
          <w:spacing w:val="39"/>
          <w:sz w:val="21"/>
        </w:rPr>
        <w:t> </w:t>
      </w:r>
      <w:r>
        <w:rPr>
          <w:sz w:val="21"/>
        </w:rPr>
        <w:t>“Company”</w:t>
      </w:r>
      <w:r>
        <w:rPr>
          <w:spacing w:val="39"/>
          <w:sz w:val="21"/>
        </w:rPr>
        <w:t> </w:t>
      </w:r>
      <w:r>
        <w:rPr>
          <w:sz w:val="21"/>
        </w:rPr>
        <w:t>means</w:t>
      </w:r>
      <w:r>
        <w:rPr>
          <w:spacing w:val="39"/>
          <w:sz w:val="21"/>
        </w:rPr>
        <w:t> </w:t>
      </w:r>
      <w:r>
        <w:rPr>
          <w:sz w:val="21"/>
        </w:rPr>
        <w:t>MGM</w:t>
      </w:r>
      <w:r>
        <w:rPr>
          <w:spacing w:val="39"/>
          <w:sz w:val="21"/>
        </w:rPr>
        <w:t> </w:t>
      </w:r>
      <w:r>
        <w:rPr>
          <w:sz w:val="21"/>
        </w:rPr>
        <w:t>Resorts</w:t>
      </w:r>
      <w:r>
        <w:rPr>
          <w:spacing w:val="39"/>
          <w:sz w:val="21"/>
        </w:rPr>
        <w:t> </w:t>
      </w:r>
      <w:r>
        <w:rPr>
          <w:sz w:val="21"/>
        </w:rPr>
        <w:t>International, and all of its subsidiary and affiliated entities, together with all of their respective officers, directors, joint venturers, members, shareholders, employees, ERISA plans, attorneys and assigns.</w:t>
      </w:r>
    </w:p>
    <w:p>
      <w:pPr>
        <w:pStyle w:val="ListParagraph"/>
        <w:numPr>
          <w:ilvl w:val="0"/>
          <w:numId w:val="51"/>
        </w:numPr>
        <w:tabs>
          <w:tab w:pos="367" w:val="left" w:leader="none"/>
        </w:tabs>
        <w:spacing w:line="213" w:lineRule="auto" w:before="225" w:after="0"/>
        <w:ind w:left="144" w:right="117" w:firstLine="0"/>
        <w:jc w:val="both"/>
        <w:rPr>
          <w:sz w:val="21"/>
        </w:rPr>
      </w:pPr>
      <w:r>
        <w:rPr>
          <w:sz w:val="21"/>
          <w:u w:val="single"/>
        </w:rPr>
        <w:t>Term</w:t>
      </w:r>
      <w:r>
        <w:rPr>
          <w:sz w:val="21"/>
        </w:rPr>
        <w:t>. The</w:t>
      </w:r>
      <w:r>
        <w:rPr>
          <w:spacing w:val="26"/>
          <w:sz w:val="21"/>
        </w:rPr>
        <w:t> </w:t>
      </w:r>
      <w:r>
        <w:rPr>
          <w:sz w:val="21"/>
        </w:rPr>
        <w:t>term</w:t>
      </w:r>
      <w:r>
        <w:rPr>
          <w:spacing w:val="26"/>
          <w:sz w:val="21"/>
        </w:rPr>
        <w:t> </w:t>
      </w:r>
      <w:r>
        <w:rPr>
          <w:sz w:val="21"/>
        </w:rPr>
        <w:t>of</w:t>
      </w:r>
      <w:r>
        <w:rPr>
          <w:spacing w:val="26"/>
          <w:sz w:val="21"/>
        </w:rPr>
        <w:t> </w:t>
      </w:r>
      <w:r>
        <w:rPr>
          <w:sz w:val="21"/>
        </w:rPr>
        <w:t>your</w:t>
      </w:r>
      <w:r>
        <w:rPr>
          <w:spacing w:val="26"/>
          <w:sz w:val="21"/>
        </w:rPr>
        <w:t> </w:t>
      </w:r>
      <w:r>
        <w:rPr>
          <w:sz w:val="21"/>
        </w:rPr>
        <w:t>employment</w:t>
      </w:r>
      <w:r>
        <w:rPr>
          <w:spacing w:val="26"/>
          <w:sz w:val="21"/>
        </w:rPr>
        <w:t> </w:t>
      </w:r>
      <w:r>
        <w:rPr>
          <w:sz w:val="21"/>
        </w:rPr>
        <w:t>under</w:t>
      </w:r>
      <w:r>
        <w:rPr>
          <w:spacing w:val="26"/>
          <w:sz w:val="21"/>
        </w:rPr>
        <w:t> </w:t>
      </w:r>
      <w:r>
        <w:rPr>
          <w:sz w:val="21"/>
        </w:rPr>
        <w:t>this Agreement</w:t>
      </w:r>
      <w:r>
        <w:rPr>
          <w:spacing w:val="26"/>
          <w:sz w:val="21"/>
        </w:rPr>
        <w:t> </w:t>
      </w:r>
      <w:r>
        <w:rPr>
          <w:sz w:val="21"/>
        </w:rPr>
        <w:t>commences</w:t>
      </w:r>
      <w:r>
        <w:rPr>
          <w:spacing w:val="26"/>
          <w:sz w:val="21"/>
        </w:rPr>
        <w:t> </w:t>
      </w:r>
      <w:r>
        <w:rPr>
          <w:sz w:val="21"/>
        </w:rPr>
        <w:t>on</w:t>
      </w:r>
      <w:r>
        <w:rPr>
          <w:spacing w:val="26"/>
          <w:sz w:val="21"/>
        </w:rPr>
        <w:t> </w:t>
      </w:r>
      <w:r>
        <w:rPr>
          <w:b/>
          <w:sz w:val="21"/>
        </w:rPr>
        <w:t>October 1,</w:t>
      </w:r>
      <w:r>
        <w:rPr>
          <w:b/>
          <w:spacing w:val="26"/>
          <w:sz w:val="21"/>
        </w:rPr>
        <w:t> </w:t>
      </w:r>
      <w:r>
        <w:rPr>
          <w:b/>
          <w:sz w:val="21"/>
        </w:rPr>
        <w:t>2022</w:t>
      </w:r>
      <w:r>
        <w:rPr>
          <w:b/>
          <w:spacing w:val="26"/>
          <w:sz w:val="21"/>
        </w:rPr>
        <w:t> </w:t>
      </w:r>
      <w:r>
        <w:rPr>
          <w:sz w:val="21"/>
        </w:rPr>
        <w:t>and</w:t>
      </w:r>
      <w:r>
        <w:rPr>
          <w:spacing w:val="26"/>
          <w:sz w:val="21"/>
        </w:rPr>
        <w:t> </w:t>
      </w:r>
      <w:r>
        <w:rPr>
          <w:sz w:val="21"/>
        </w:rPr>
        <w:t>it</w:t>
      </w:r>
      <w:r>
        <w:rPr>
          <w:spacing w:val="26"/>
          <w:sz w:val="21"/>
        </w:rPr>
        <w:t> </w:t>
      </w:r>
      <w:r>
        <w:rPr>
          <w:sz w:val="21"/>
        </w:rPr>
        <w:t>terminates</w:t>
      </w:r>
      <w:r>
        <w:rPr>
          <w:spacing w:val="26"/>
          <w:sz w:val="21"/>
        </w:rPr>
        <w:t> </w:t>
      </w:r>
      <w:r>
        <w:rPr>
          <w:sz w:val="21"/>
        </w:rPr>
        <w:t>on</w:t>
      </w:r>
      <w:r>
        <w:rPr>
          <w:spacing w:val="26"/>
          <w:sz w:val="21"/>
        </w:rPr>
        <w:t> </w:t>
      </w:r>
      <w:r>
        <w:rPr>
          <w:b/>
          <w:sz w:val="21"/>
        </w:rPr>
        <w:t>September 30, 2026</w:t>
      </w:r>
      <w:r>
        <w:rPr>
          <w:b/>
          <w:spacing w:val="26"/>
          <w:sz w:val="21"/>
        </w:rPr>
        <w:t> </w:t>
      </w:r>
      <w:r>
        <w:rPr>
          <w:sz w:val="21"/>
        </w:rPr>
        <w:t>(the</w:t>
      </w:r>
      <w:r>
        <w:rPr>
          <w:spacing w:val="26"/>
          <w:sz w:val="21"/>
        </w:rPr>
        <w:t> </w:t>
      </w:r>
      <w:r>
        <w:rPr>
          <w:sz w:val="21"/>
        </w:rPr>
        <w:t>“Specified</w:t>
      </w:r>
      <w:r>
        <w:rPr>
          <w:spacing w:val="21"/>
          <w:sz w:val="21"/>
        </w:rPr>
        <w:t> </w:t>
      </w:r>
      <w:r>
        <w:rPr>
          <w:sz w:val="21"/>
        </w:rPr>
        <w:t>Term”),</w:t>
      </w:r>
      <w:r>
        <w:rPr>
          <w:spacing w:val="26"/>
          <w:sz w:val="21"/>
        </w:rPr>
        <w:t> </w:t>
      </w:r>
      <w:r>
        <w:rPr>
          <w:sz w:val="21"/>
        </w:rPr>
        <w:t>unless</w:t>
      </w:r>
      <w:r>
        <w:rPr>
          <w:spacing w:val="26"/>
          <w:sz w:val="21"/>
        </w:rPr>
        <w:t> </w:t>
      </w:r>
      <w:r>
        <w:rPr>
          <w:sz w:val="21"/>
        </w:rPr>
        <w:t>a</w:t>
      </w:r>
      <w:r>
        <w:rPr>
          <w:spacing w:val="26"/>
          <w:sz w:val="21"/>
        </w:rPr>
        <w:t> </w:t>
      </w:r>
      <w:r>
        <w:rPr>
          <w:sz w:val="21"/>
        </w:rPr>
        <w:t>new</w:t>
      </w:r>
      <w:r>
        <w:rPr>
          <w:spacing w:val="26"/>
          <w:sz w:val="21"/>
        </w:rPr>
        <w:t> </w:t>
      </w:r>
      <w:r>
        <w:rPr>
          <w:sz w:val="21"/>
        </w:rPr>
        <w:t>written</w:t>
      </w:r>
      <w:r>
        <w:rPr>
          <w:spacing w:val="26"/>
          <w:sz w:val="21"/>
        </w:rPr>
        <w:t> </w:t>
      </w:r>
      <w:r>
        <w:rPr>
          <w:sz w:val="21"/>
        </w:rPr>
        <w:t>employment</w:t>
      </w:r>
      <w:r>
        <w:rPr>
          <w:spacing w:val="26"/>
          <w:sz w:val="21"/>
        </w:rPr>
        <w:t> </w:t>
      </w:r>
      <w:r>
        <w:rPr>
          <w:sz w:val="21"/>
        </w:rPr>
        <w:t>agreement</w:t>
      </w:r>
      <w:r>
        <w:rPr>
          <w:spacing w:val="26"/>
          <w:sz w:val="21"/>
        </w:rPr>
        <w:t> </w:t>
      </w:r>
      <w:r>
        <w:rPr>
          <w:sz w:val="21"/>
        </w:rPr>
        <w:t>is</w:t>
      </w:r>
      <w:r>
        <w:rPr>
          <w:spacing w:val="26"/>
          <w:sz w:val="21"/>
        </w:rPr>
        <w:t> </w:t>
      </w:r>
      <w:r>
        <w:rPr>
          <w:sz w:val="21"/>
        </w:rPr>
        <w:t>executed</w:t>
      </w:r>
      <w:r>
        <w:rPr>
          <w:spacing w:val="26"/>
          <w:sz w:val="21"/>
        </w:rPr>
        <w:t> </w:t>
      </w:r>
      <w:r>
        <w:rPr>
          <w:sz w:val="21"/>
        </w:rPr>
        <w:t>by</w:t>
      </w:r>
      <w:r>
        <w:rPr>
          <w:spacing w:val="26"/>
          <w:sz w:val="21"/>
        </w:rPr>
        <w:t> </w:t>
      </w:r>
      <w:r>
        <w:rPr>
          <w:sz w:val="21"/>
        </w:rPr>
        <w:t>the</w:t>
      </w:r>
      <w:r>
        <w:rPr>
          <w:spacing w:val="26"/>
          <w:sz w:val="21"/>
        </w:rPr>
        <w:t> </w:t>
      </w:r>
      <w:r>
        <w:rPr>
          <w:sz w:val="21"/>
        </w:rPr>
        <w:t>parties.</w:t>
      </w:r>
      <w:r>
        <w:rPr>
          <w:spacing w:val="26"/>
          <w:sz w:val="21"/>
        </w:rPr>
        <w:t> </w:t>
      </w:r>
      <w:r>
        <w:rPr>
          <w:sz w:val="21"/>
        </w:rPr>
        <w:t>If</w:t>
      </w:r>
      <w:r>
        <w:rPr>
          <w:spacing w:val="26"/>
          <w:sz w:val="21"/>
        </w:rPr>
        <w:t> </w:t>
      </w:r>
      <w:r>
        <w:rPr>
          <w:sz w:val="21"/>
        </w:rPr>
        <w:t>this Agreement</w:t>
      </w:r>
      <w:r>
        <w:rPr>
          <w:spacing w:val="26"/>
          <w:sz w:val="21"/>
        </w:rPr>
        <w:t> </w:t>
      </w:r>
      <w:r>
        <w:rPr>
          <w:sz w:val="21"/>
        </w:rPr>
        <w:t>is</w:t>
      </w:r>
      <w:r>
        <w:rPr>
          <w:spacing w:val="26"/>
          <w:sz w:val="21"/>
        </w:rPr>
        <w:t> </w:t>
      </w:r>
      <w:r>
        <w:rPr>
          <w:sz w:val="21"/>
        </w:rPr>
        <w:t>finalized and</w:t>
      </w:r>
      <w:r>
        <w:rPr>
          <w:spacing w:val="19"/>
          <w:sz w:val="21"/>
        </w:rPr>
        <w:t> </w:t>
      </w:r>
      <w:r>
        <w:rPr>
          <w:sz w:val="21"/>
        </w:rPr>
        <w:t>executed</w:t>
      </w:r>
      <w:r>
        <w:rPr>
          <w:spacing w:val="19"/>
          <w:sz w:val="21"/>
        </w:rPr>
        <w:t> </w:t>
      </w:r>
      <w:r>
        <w:rPr>
          <w:sz w:val="21"/>
        </w:rPr>
        <w:t>after</w:t>
      </w:r>
      <w:r>
        <w:rPr>
          <w:spacing w:val="19"/>
          <w:sz w:val="21"/>
        </w:rPr>
        <w:t> </w:t>
      </w:r>
      <w:r>
        <w:rPr>
          <w:sz w:val="21"/>
        </w:rPr>
        <w:t>October</w:t>
      </w:r>
      <w:r>
        <w:rPr>
          <w:spacing w:val="19"/>
          <w:sz w:val="21"/>
        </w:rPr>
        <w:t> </w:t>
      </w:r>
      <w:r>
        <w:rPr>
          <w:sz w:val="21"/>
        </w:rPr>
        <w:t>1,</w:t>
      </w:r>
      <w:r>
        <w:rPr>
          <w:spacing w:val="19"/>
          <w:sz w:val="21"/>
        </w:rPr>
        <w:t> </w:t>
      </w:r>
      <w:r>
        <w:rPr>
          <w:sz w:val="21"/>
        </w:rPr>
        <w:t>2022,</w:t>
      </w:r>
      <w:r>
        <w:rPr>
          <w:spacing w:val="19"/>
          <w:sz w:val="21"/>
        </w:rPr>
        <w:t> </w:t>
      </w:r>
      <w:r>
        <w:rPr>
          <w:sz w:val="21"/>
        </w:rPr>
        <w:t>it</w:t>
      </w:r>
      <w:r>
        <w:rPr>
          <w:spacing w:val="19"/>
          <w:sz w:val="21"/>
        </w:rPr>
        <w:t> </w:t>
      </w:r>
      <w:r>
        <w:rPr>
          <w:sz w:val="21"/>
        </w:rPr>
        <w:t>shall</w:t>
      </w:r>
      <w:r>
        <w:rPr>
          <w:spacing w:val="19"/>
          <w:sz w:val="21"/>
        </w:rPr>
        <w:t> </w:t>
      </w:r>
      <w:r>
        <w:rPr>
          <w:sz w:val="21"/>
        </w:rPr>
        <w:t>be</w:t>
      </w:r>
      <w:r>
        <w:rPr>
          <w:spacing w:val="19"/>
          <w:sz w:val="21"/>
        </w:rPr>
        <w:t> </w:t>
      </w:r>
      <w:r>
        <w:rPr>
          <w:sz w:val="21"/>
        </w:rPr>
        <w:t>retroactive</w:t>
      </w:r>
      <w:r>
        <w:rPr>
          <w:spacing w:val="19"/>
          <w:sz w:val="21"/>
        </w:rPr>
        <w:t> </w:t>
      </w:r>
      <w:r>
        <w:rPr>
          <w:sz w:val="21"/>
        </w:rPr>
        <w:t>to</w:t>
      </w:r>
      <w:r>
        <w:rPr>
          <w:spacing w:val="19"/>
          <w:sz w:val="21"/>
        </w:rPr>
        <w:t> </w:t>
      </w:r>
      <w:r>
        <w:rPr>
          <w:sz w:val="21"/>
        </w:rPr>
        <w:t>October</w:t>
      </w:r>
      <w:r>
        <w:rPr>
          <w:spacing w:val="19"/>
          <w:sz w:val="21"/>
        </w:rPr>
        <w:t> </w:t>
      </w:r>
      <w:r>
        <w:rPr>
          <w:sz w:val="21"/>
        </w:rPr>
        <w:t>1,</w:t>
      </w:r>
      <w:r>
        <w:rPr>
          <w:spacing w:val="19"/>
          <w:sz w:val="21"/>
        </w:rPr>
        <w:t> </w:t>
      </w:r>
      <w:r>
        <w:rPr>
          <w:sz w:val="21"/>
        </w:rPr>
        <w:t>2022.</w:t>
      </w:r>
      <w:r>
        <w:rPr>
          <w:spacing w:val="19"/>
          <w:sz w:val="21"/>
        </w:rPr>
        <w:t> </w:t>
      </w:r>
      <w:r>
        <w:rPr>
          <w:sz w:val="21"/>
        </w:rPr>
        <w:t>If</w:t>
      </w:r>
      <w:r>
        <w:rPr>
          <w:spacing w:val="19"/>
          <w:sz w:val="21"/>
        </w:rPr>
        <w:t> </w:t>
      </w:r>
      <w:r>
        <w:rPr>
          <w:sz w:val="21"/>
        </w:rPr>
        <w:t>Employee</w:t>
      </w:r>
      <w:r>
        <w:rPr>
          <w:spacing w:val="19"/>
          <w:sz w:val="21"/>
        </w:rPr>
        <w:t> </w:t>
      </w:r>
      <w:r>
        <w:rPr>
          <w:sz w:val="21"/>
        </w:rPr>
        <w:t>remains</w:t>
      </w:r>
      <w:r>
        <w:rPr>
          <w:spacing w:val="19"/>
          <w:sz w:val="21"/>
        </w:rPr>
        <w:t> </w:t>
      </w:r>
      <w:r>
        <w:rPr>
          <w:sz w:val="21"/>
        </w:rPr>
        <w:t>employed</w:t>
      </w:r>
      <w:r>
        <w:rPr>
          <w:spacing w:val="19"/>
          <w:sz w:val="21"/>
        </w:rPr>
        <w:t> </w:t>
      </w:r>
      <w:r>
        <w:rPr>
          <w:sz w:val="21"/>
        </w:rPr>
        <w:t>after</w:t>
      </w:r>
      <w:r>
        <w:rPr>
          <w:spacing w:val="19"/>
          <w:sz w:val="21"/>
        </w:rPr>
        <w:t> </w:t>
      </w:r>
      <w:r>
        <w:rPr>
          <w:sz w:val="21"/>
        </w:rPr>
        <w:t>the</w:t>
      </w:r>
      <w:r>
        <w:rPr>
          <w:spacing w:val="19"/>
          <w:sz w:val="21"/>
        </w:rPr>
        <w:t> </w:t>
      </w:r>
      <w:r>
        <w:rPr>
          <w:sz w:val="21"/>
        </w:rPr>
        <w:t>expiration</w:t>
      </w:r>
      <w:r>
        <w:rPr>
          <w:spacing w:val="19"/>
          <w:sz w:val="21"/>
        </w:rPr>
        <w:t> </w:t>
      </w:r>
      <w:r>
        <w:rPr>
          <w:sz w:val="21"/>
        </w:rPr>
        <w:t>of the</w:t>
      </w:r>
      <w:r>
        <w:rPr>
          <w:spacing w:val="14"/>
          <w:sz w:val="21"/>
        </w:rPr>
        <w:t> </w:t>
      </w:r>
      <w:r>
        <w:rPr>
          <w:sz w:val="21"/>
        </w:rPr>
        <w:t>Specified Term,</w:t>
      </w:r>
      <w:r>
        <w:rPr>
          <w:spacing w:val="14"/>
          <w:sz w:val="21"/>
        </w:rPr>
        <w:t> </w:t>
      </w:r>
      <w:r>
        <w:rPr>
          <w:sz w:val="21"/>
        </w:rPr>
        <w:t>and</w:t>
      </w:r>
      <w:r>
        <w:rPr>
          <w:spacing w:val="14"/>
          <w:sz w:val="21"/>
        </w:rPr>
        <w:t> </w:t>
      </w:r>
      <w:r>
        <w:rPr>
          <w:sz w:val="21"/>
        </w:rPr>
        <w:t>the</w:t>
      </w:r>
      <w:r>
        <w:rPr>
          <w:spacing w:val="14"/>
          <w:sz w:val="21"/>
        </w:rPr>
        <w:t> </w:t>
      </w:r>
      <w:r>
        <w:rPr>
          <w:sz w:val="21"/>
        </w:rPr>
        <w:t>parties</w:t>
      </w:r>
      <w:r>
        <w:rPr>
          <w:spacing w:val="14"/>
          <w:sz w:val="21"/>
        </w:rPr>
        <w:t> </w:t>
      </w:r>
      <w:r>
        <w:rPr>
          <w:sz w:val="21"/>
        </w:rPr>
        <w:t>do</w:t>
      </w:r>
      <w:r>
        <w:rPr>
          <w:spacing w:val="14"/>
          <w:sz w:val="21"/>
        </w:rPr>
        <w:t> </w:t>
      </w:r>
      <w:r>
        <w:rPr>
          <w:sz w:val="21"/>
        </w:rPr>
        <w:t>not</w:t>
      </w:r>
      <w:r>
        <w:rPr>
          <w:spacing w:val="14"/>
          <w:sz w:val="21"/>
        </w:rPr>
        <w:t> </w:t>
      </w:r>
      <w:r>
        <w:rPr>
          <w:sz w:val="21"/>
        </w:rPr>
        <w:t>execute</w:t>
      </w:r>
      <w:r>
        <w:rPr>
          <w:spacing w:val="14"/>
          <w:sz w:val="21"/>
        </w:rPr>
        <w:t> </w:t>
      </w:r>
      <w:r>
        <w:rPr>
          <w:sz w:val="21"/>
        </w:rPr>
        <w:t>a</w:t>
      </w:r>
      <w:r>
        <w:rPr>
          <w:spacing w:val="14"/>
          <w:sz w:val="21"/>
        </w:rPr>
        <w:t> </w:t>
      </w:r>
      <w:r>
        <w:rPr>
          <w:sz w:val="21"/>
        </w:rPr>
        <w:t>new</w:t>
      </w:r>
      <w:r>
        <w:rPr>
          <w:spacing w:val="14"/>
          <w:sz w:val="21"/>
        </w:rPr>
        <w:t> </w:t>
      </w:r>
      <w:r>
        <w:rPr>
          <w:sz w:val="21"/>
        </w:rPr>
        <w:t>employment</w:t>
      </w:r>
      <w:r>
        <w:rPr>
          <w:spacing w:val="14"/>
          <w:sz w:val="21"/>
        </w:rPr>
        <w:t> </w:t>
      </w:r>
      <w:r>
        <w:rPr>
          <w:sz w:val="21"/>
        </w:rPr>
        <w:t>agreement,</w:t>
      </w:r>
      <w:r>
        <w:rPr>
          <w:spacing w:val="14"/>
          <w:sz w:val="21"/>
        </w:rPr>
        <w:t> </w:t>
      </w:r>
      <w:r>
        <w:rPr>
          <w:sz w:val="21"/>
        </w:rPr>
        <w:t>then</w:t>
      </w:r>
      <w:r>
        <w:rPr>
          <w:spacing w:val="14"/>
          <w:sz w:val="21"/>
        </w:rPr>
        <w:t> </w:t>
      </w:r>
      <w:r>
        <w:rPr>
          <w:sz w:val="21"/>
        </w:rPr>
        <w:t>Employee</w:t>
      </w:r>
      <w:r>
        <w:rPr>
          <w:spacing w:val="14"/>
          <w:sz w:val="21"/>
        </w:rPr>
        <w:t> </w:t>
      </w:r>
      <w:r>
        <w:rPr>
          <w:sz w:val="21"/>
        </w:rPr>
        <w:t>shall</w:t>
      </w:r>
      <w:r>
        <w:rPr>
          <w:spacing w:val="14"/>
          <w:sz w:val="21"/>
        </w:rPr>
        <w:t> </w:t>
      </w:r>
      <w:r>
        <w:rPr>
          <w:sz w:val="21"/>
        </w:rPr>
        <w:t>be</w:t>
      </w:r>
      <w:r>
        <w:rPr>
          <w:spacing w:val="14"/>
          <w:sz w:val="21"/>
        </w:rPr>
        <w:t> </w:t>
      </w:r>
      <w:r>
        <w:rPr>
          <w:sz w:val="21"/>
        </w:rPr>
        <w:t>employed</w:t>
      </w:r>
      <w:r>
        <w:rPr>
          <w:spacing w:val="14"/>
          <w:sz w:val="21"/>
        </w:rPr>
        <w:t> </w:t>
      </w:r>
      <w:r>
        <w:rPr>
          <w:b/>
          <w:sz w:val="21"/>
        </w:rPr>
        <w:t>at-will</w:t>
      </w:r>
      <w:r>
        <w:rPr>
          <w:b/>
          <w:spacing w:val="14"/>
          <w:sz w:val="21"/>
        </w:rPr>
        <w:t> </w:t>
      </w:r>
      <w:r>
        <w:rPr>
          <w:sz w:val="21"/>
        </w:rPr>
        <w:t>and</w:t>
      </w:r>
      <w:r>
        <w:rPr>
          <w:spacing w:val="14"/>
          <w:sz w:val="21"/>
        </w:rPr>
        <w:t> </w:t>
      </w:r>
      <w:r>
        <w:rPr>
          <w:sz w:val="21"/>
        </w:rPr>
        <w:t>none of</w:t>
      </w:r>
      <w:r>
        <w:rPr>
          <w:spacing w:val="40"/>
          <w:sz w:val="21"/>
        </w:rPr>
        <w:t> </w:t>
      </w:r>
      <w:r>
        <w:rPr>
          <w:sz w:val="21"/>
        </w:rPr>
        <w:t>the</w:t>
      </w:r>
      <w:r>
        <w:rPr>
          <w:spacing w:val="40"/>
          <w:sz w:val="21"/>
        </w:rPr>
        <w:t> </w:t>
      </w:r>
      <w:r>
        <w:rPr>
          <w:sz w:val="21"/>
        </w:rPr>
        <w:t>provisions</w:t>
      </w:r>
      <w:r>
        <w:rPr>
          <w:spacing w:val="40"/>
          <w:sz w:val="21"/>
        </w:rPr>
        <w:t> </w:t>
      </w:r>
      <w:r>
        <w:rPr>
          <w:sz w:val="21"/>
        </w:rPr>
        <w:t>of</w:t>
      </w:r>
      <w:r>
        <w:rPr>
          <w:spacing w:val="40"/>
          <w:sz w:val="21"/>
        </w:rPr>
        <w:t> </w:t>
      </w:r>
      <w:r>
        <w:rPr>
          <w:sz w:val="21"/>
        </w:rPr>
        <w:t>the</w:t>
      </w:r>
      <w:r>
        <w:rPr>
          <w:spacing w:val="40"/>
          <w:sz w:val="21"/>
        </w:rPr>
        <w:t> </w:t>
      </w:r>
      <w:r>
        <w:rPr>
          <w:sz w:val="21"/>
        </w:rPr>
        <w:t>Agreement</w:t>
      </w:r>
      <w:r>
        <w:rPr>
          <w:spacing w:val="40"/>
          <w:sz w:val="21"/>
        </w:rPr>
        <w:t> </w:t>
      </w:r>
      <w:r>
        <w:rPr>
          <w:sz w:val="21"/>
        </w:rPr>
        <w:t>shall</w:t>
      </w:r>
      <w:r>
        <w:rPr>
          <w:spacing w:val="40"/>
          <w:sz w:val="21"/>
        </w:rPr>
        <w:t> </w:t>
      </w:r>
      <w:r>
        <w:rPr>
          <w:sz w:val="21"/>
        </w:rPr>
        <w:t>apply</w:t>
      </w:r>
      <w:r>
        <w:rPr>
          <w:spacing w:val="40"/>
          <w:sz w:val="21"/>
        </w:rPr>
        <w:t> </w:t>
      </w:r>
      <w:r>
        <w:rPr>
          <w:sz w:val="21"/>
        </w:rPr>
        <w:t>to</w:t>
      </w:r>
      <w:r>
        <w:rPr>
          <w:spacing w:val="40"/>
          <w:sz w:val="21"/>
        </w:rPr>
        <w:t> </w:t>
      </w:r>
      <w:r>
        <w:rPr>
          <w:sz w:val="21"/>
        </w:rPr>
        <w:t>Employee’s</w:t>
      </w:r>
      <w:r>
        <w:rPr>
          <w:spacing w:val="40"/>
          <w:sz w:val="21"/>
        </w:rPr>
        <w:t> </w:t>
      </w:r>
      <w:r>
        <w:rPr>
          <w:sz w:val="21"/>
        </w:rPr>
        <w:t>continued</w:t>
      </w:r>
      <w:r>
        <w:rPr>
          <w:spacing w:val="40"/>
          <w:sz w:val="21"/>
        </w:rPr>
        <w:t> </w:t>
      </w:r>
      <w:r>
        <w:rPr>
          <w:sz w:val="21"/>
        </w:rPr>
        <w:t>employment</w:t>
      </w:r>
      <w:r>
        <w:rPr>
          <w:spacing w:val="40"/>
          <w:sz w:val="21"/>
        </w:rPr>
        <w:t> </w:t>
      </w:r>
      <w:r>
        <w:rPr>
          <w:sz w:val="21"/>
        </w:rPr>
        <w:t>at-will,</w:t>
      </w:r>
      <w:r>
        <w:rPr>
          <w:spacing w:val="40"/>
          <w:sz w:val="21"/>
        </w:rPr>
        <w:t> </w:t>
      </w:r>
      <w:r>
        <w:rPr>
          <w:sz w:val="21"/>
        </w:rPr>
        <w:t>except</w:t>
      </w:r>
      <w:r>
        <w:rPr>
          <w:spacing w:val="40"/>
          <w:sz w:val="21"/>
        </w:rPr>
        <w:t> </w:t>
      </w:r>
      <w:r>
        <w:rPr>
          <w:sz w:val="21"/>
        </w:rPr>
        <w:t>applicable</w:t>
      </w:r>
      <w:r>
        <w:rPr>
          <w:spacing w:val="40"/>
          <w:sz w:val="21"/>
        </w:rPr>
        <w:t> </w:t>
      </w:r>
      <w:r>
        <w:rPr>
          <w:sz w:val="21"/>
        </w:rPr>
        <w:t>provisions</w:t>
      </w:r>
      <w:r>
        <w:rPr>
          <w:spacing w:val="40"/>
          <w:sz w:val="21"/>
        </w:rPr>
        <w:t> </w:t>
      </w:r>
      <w:r>
        <w:rPr>
          <w:sz w:val="21"/>
        </w:rPr>
        <w:t>of Sections 8, 10 (including, but not limited to, definitions of Employer’s Good Cause and Employee’s Good Cause), 11, 12-23, 24 (so</w:t>
      </w:r>
      <w:r>
        <w:rPr>
          <w:spacing w:val="40"/>
          <w:sz w:val="21"/>
        </w:rPr>
        <w:t> </w:t>
      </w:r>
      <w:r>
        <w:rPr>
          <w:sz w:val="21"/>
        </w:rPr>
        <w:t>long</w:t>
      </w:r>
      <w:r>
        <w:rPr>
          <w:spacing w:val="40"/>
          <w:sz w:val="21"/>
        </w:rPr>
        <w:t> </w:t>
      </w:r>
      <w:r>
        <w:rPr>
          <w:sz w:val="21"/>
        </w:rPr>
        <w:t>as</w:t>
      </w:r>
      <w:r>
        <w:rPr>
          <w:spacing w:val="40"/>
          <w:sz w:val="21"/>
        </w:rPr>
        <w:t> </w:t>
      </w:r>
      <w:r>
        <w:rPr>
          <w:sz w:val="21"/>
        </w:rPr>
        <w:t>the</w:t>
      </w:r>
      <w:r>
        <w:rPr>
          <w:spacing w:val="40"/>
          <w:sz w:val="21"/>
        </w:rPr>
        <w:t> </w:t>
      </w:r>
      <w:r>
        <w:rPr>
          <w:sz w:val="21"/>
        </w:rPr>
        <w:t>Board</w:t>
      </w:r>
      <w:r>
        <w:rPr>
          <w:spacing w:val="40"/>
          <w:sz w:val="21"/>
        </w:rPr>
        <w:t> </w:t>
      </w:r>
      <w:r>
        <w:rPr>
          <w:sz w:val="21"/>
        </w:rPr>
        <w:t>continues</w:t>
      </w:r>
      <w:r>
        <w:rPr>
          <w:spacing w:val="40"/>
          <w:sz w:val="21"/>
        </w:rPr>
        <w:t> </w:t>
      </w:r>
      <w:r>
        <w:rPr>
          <w:sz w:val="21"/>
        </w:rPr>
        <w:t>to</w:t>
      </w:r>
      <w:r>
        <w:rPr>
          <w:spacing w:val="40"/>
          <w:sz w:val="21"/>
        </w:rPr>
        <w:t> </w:t>
      </w:r>
      <w:r>
        <w:rPr>
          <w:sz w:val="21"/>
        </w:rPr>
        <w:t>determine</w:t>
      </w:r>
      <w:r>
        <w:rPr>
          <w:spacing w:val="40"/>
          <w:sz w:val="21"/>
        </w:rPr>
        <w:t> </w:t>
      </w:r>
      <w:r>
        <w:rPr>
          <w:sz w:val="21"/>
        </w:rPr>
        <w:t>that</w:t>
      </w:r>
      <w:r>
        <w:rPr>
          <w:spacing w:val="40"/>
          <w:sz w:val="21"/>
        </w:rPr>
        <w:t> </w:t>
      </w:r>
      <w:r>
        <w:rPr>
          <w:sz w:val="21"/>
        </w:rPr>
        <w:t>Employee</w:t>
      </w:r>
      <w:r>
        <w:rPr>
          <w:spacing w:val="40"/>
          <w:sz w:val="21"/>
        </w:rPr>
        <w:t> </w:t>
      </w:r>
      <w:r>
        <w:rPr>
          <w:sz w:val="21"/>
        </w:rPr>
        <w:t>is</w:t>
      </w:r>
      <w:r>
        <w:rPr>
          <w:spacing w:val="40"/>
          <w:sz w:val="21"/>
        </w:rPr>
        <w:t> </w:t>
      </w:r>
      <w:r>
        <w:rPr>
          <w:sz w:val="21"/>
        </w:rPr>
        <w:t>an</w:t>
      </w:r>
      <w:r>
        <w:rPr>
          <w:spacing w:val="40"/>
          <w:sz w:val="21"/>
        </w:rPr>
        <w:t> </w:t>
      </w:r>
      <w:r>
        <w:rPr>
          <w:sz w:val="21"/>
        </w:rPr>
        <w:t>Officer</w:t>
      </w:r>
      <w:r>
        <w:rPr>
          <w:spacing w:val="40"/>
          <w:sz w:val="21"/>
        </w:rPr>
        <w:t> </w:t>
      </w:r>
      <w:r>
        <w:rPr>
          <w:sz w:val="21"/>
        </w:rPr>
        <w:t>of</w:t>
      </w:r>
      <w:r>
        <w:rPr>
          <w:spacing w:val="40"/>
          <w:sz w:val="21"/>
        </w:rPr>
        <w:t> </w:t>
      </w:r>
      <w:r>
        <w:rPr>
          <w:sz w:val="21"/>
        </w:rPr>
        <w:t>MGM</w:t>
      </w:r>
      <w:r>
        <w:rPr>
          <w:spacing w:val="40"/>
          <w:sz w:val="21"/>
        </w:rPr>
        <w:t> </w:t>
      </w:r>
      <w:r>
        <w:rPr>
          <w:sz w:val="21"/>
        </w:rPr>
        <w:t>Resorts</w:t>
      </w:r>
      <w:r>
        <w:rPr>
          <w:spacing w:val="40"/>
          <w:sz w:val="21"/>
        </w:rPr>
        <w:t> </w:t>
      </w:r>
      <w:r>
        <w:rPr>
          <w:sz w:val="21"/>
        </w:rPr>
        <w:t>International</w:t>
      </w:r>
      <w:r>
        <w:rPr>
          <w:spacing w:val="40"/>
          <w:sz w:val="21"/>
        </w:rPr>
        <w:t> </w:t>
      </w:r>
      <w:r>
        <w:rPr>
          <w:sz w:val="21"/>
        </w:rPr>
        <w:t>(“MGM”),</w:t>
      </w:r>
      <w:r>
        <w:rPr>
          <w:spacing w:val="40"/>
          <w:sz w:val="21"/>
        </w:rPr>
        <w:t> </w:t>
      </w:r>
      <w:r>
        <w:rPr>
          <w:sz w:val="21"/>
        </w:rPr>
        <w:t>and</w:t>
      </w:r>
      <w:r>
        <w:rPr>
          <w:spacing w:val="40"/>
          <w:sz w:val="21"/>
        </w:rPr>
        <w:t> </w:t>
      </w:r>
      <w:r>
        <w:rPr>
          <w:sz w:val="21"/>
        </w:rPr>
        <w:t>25,</w:t>
      </w:r>
      <w:r>
        <w:rPr>
          <w:spacing w:val="40"/>
          <w:sz w:val="21"/>
        </w:rPr>
        <w:t> </w:t>
      </w:r>
      <w:r>
        <w:rPr>
          <w:sz w:val="21"/>
        </w:rPr>
        <w:t>and Employer shall have the right to terminate Employee’s employment with or without cause or notice, for any reason or no reason, and (unless</w:t>
      </w:r>
      <w:r>
        <w:rPr>
          <w:spacing w:val="27"/>
          <w:sz w:val="21"/>
        </w:rPr>
        <w:t> </w:t>
      </w:r>
      <w:r>
        <w:rPr>
          <w:sz w:val="21"/>
        </w:rPr>
        <w:t>otherwise</w:t>
      </w:r>
      <w:r>
        <w:rPr>
          <w:spacing w:val="27"/>
          <w:sz w:val="21"/>
        </w:rPr>
        <w:t> </w:t>
      </w:r>
      <w:r>
        <w:rPr>
          <w:sz w:val="21"/>
        </w:rPr>
        <w:t>provided</w:t>
      </w:r>
      <w:r>
        <w:rPr>
          <w:spacing w:val="27"/>
          <w:sz w:val="21"/>
        </w:rPr>
        <w:t> </w:t>
      </w:r>
      <w:r>
        <w:rPr>
          <w:sz w:val="21"/>
        </w:rPr>
        <w:t>herein)</w:t>
      </w:r>
      <w:r>
        <w:rPr>
          <w:spacing w:val="27"/>
          <w:sz w:val="21"/>
        </w:rPr>
        <w:t> </w:t>
      </w:r>
      <w:r>
        <w:rPr>
          <w:sz w:val="21"/>
        </w:rPr>
        <w:t>without</w:t>
      </w:r>
      <w:r>
        <w:rPr>
          <w:spacing w:val="27"/>
          <w:sz w:val="21"/>
        </w:rPr>
        <w:t> </w:t>
      </w:r>
      <w:r>
        <w:rPr>
          <w:sz w:val="21"/>
        </w:rPr>
        <w:t>any</w:t>
      </w:r>
      <w:r>
        <w:rPr>
          <w:spacing w:val="27"/>
          <w:sz w:val="21"/>
        </w:rPr>
        <w:t> </w:t>
      </w:r>
      <w:r>
        <w:rPr>
          <w:sz w:val="21"/>
        </w:rPr>
        <w:t>payment</w:t>
      </w:r>
      <w:r>
        <w:rPr>
          <w:spacing w:val="27"/>
          <w:sz w:val="21"/>
        </w:rPr>
        <w:t> </w:t>
      </w:r>
      <w:r>
        <w:rPr>
          <w:sz w:val="21"/>
        </w:rPr>
        <w:t>of</w:t>
      </w:r>
      <w:r>
        <w:rPr>
          <w:spacing w:val="27"/>
          <w:sz w:val="21"/>
        </w:rPr>
        <w:t> </w:t>
      </w:r>
      <w:r>
        <w:rPr>
          <w:sz w:val="21"/>
        </w:rPr>
        <w:t>severance</w:t>
      </w:r>
      <w:r>
        <w:rPr>
          <w:spacing w:val="27"/>
          <w:sz w:val="21"/>
        </w:rPr>
        <w:t> </w:t>
      </w:r>
      <w:r>
        <w:rPr>
          <w:sz w:val="21"/>
        </w:rPr>
        <w:t>or</w:t>
      </w:r>
      <w:r>
        <w:rPr>
          <w:spacing w:val="27"/>
          <w:sz w:val="21"/>
        </w:rPr>
        <w:t> </w:t>
      </w:r>
      <w:r>
        <w:rPr>
          <w:sz w:val="21"/>
        </w:rPr>
        <w:t>compensation,</w:t>
      </w:r>
      <w:r>
        <w:rPr>
          <w:spacing w:val="27"/>
          <w:sz w:val="21"/>
        </w:rPr>
        <w:t> </w:t>
      </w:r>
      <w:r>
        <w:rPr>
          <w:sz w:val="21"/>
        </w:rPr>
        <w:t>except</w:t>
      </w:r>
      <w:r>
        <w:rPr>
          <w:spacing w:val="27"/>
          <w:sz w:val="21"/>
        </w:rPr>
        <w:t> </w:t>
      </w:r>
      <w:r>
        <w:rPr>
          <w:sz w:val="21"/>
        </w:rPr>
        <w:t>as</w:t>
      </w:r>
      <w:r>
        <w:rPr>
          <w:spacing w:val="27"/>
          <w:sz w:val="21"/>
        </w:rPr>
        <w:t> </w:t>
      </w:r>
      <w:r>
        <w:rPr>
          <w:sz w:val="21"/>
        </w:rPr>
        <w:t>described</w:t>
      </w:r>
      <w:r>
        <w:rPr>
          <w:spacing w:val="27"/>
          <w:sz w:val="21"/>
        </w:rPr>
        <w:t> </w:t>
      </w:r>
      <w:r>
        <w:rPr>
          <w:sz w:val="21"/>
        </w:rPr>
        <w:t>in</w:t>
      </w:r>
      <w:r>
        <w:rPr>
          <w:spacing w:val="27"/>
          <w:sz w:val="21"/>
        </w:rPr>
        <w:t> </w:t>
      </w:r>
      <w:r>
        <w:rPr>
          <w:sz w:val="21"/>
        </w:rPr>
        <w:t>Section</w:t>
      </w:r>
      <w:r>
        <w:rPr>
          <w:spacing w:val="27"/>
          <w:sz w:val="21"/>
        </w:rPr>
        <w:t> </w:t>
      </w:r>
      <w:r>
        <w:rPr>
          <w:sz w:val="21"/>
        </w:rPr>
        <w:t>10.</w:t>
      </w:r>
    </w:p>
    <w:p>
      <w:pPr>
        <w:pStyle w:val="ListParagraph"/>
        <w:numPr>
          <w:ilvl w:val="0"/>
          <w:numId w:val="51"/>
        </w:numPr>
        <w:tabs>
          <w:tab w:pos="381" w:val="left" w:leader="none"/>
        </w:tabs>
        <w:spacing w:line="213" w:lineRule="auto" w:before="226" w:after="0"/>
        <w:ind w:left="144" w:right="221" w:firstLine="0"/>
        <w:jc w:val="both"/>
        <w:rPr>
          <w:sz w:val="21"/>
        </w:rPr>
      </w:pPr>
      <w:r>
        <w:rPr>
          <w:sz w:val="21"/>
          <w:u w:val="single"/>
        </w:rPr>
        <w:t>Compensation</w:t>
      </w:r>
      <w:r>
        <w:rPr>
          <w:sz w:val="21"/>
        </w:rPr>
        <w:t>. During the Specified Term, Employer shall pay Employee a minimum annual salary of </w:t>
      </w:r>
      <w:r>
        <w:rPr>
          <w:b/>
          <w:sz w:val="21"/>
        </w:rPr>
        <w:t>$1,250,000 </w:t>
      </w:r>
      <w:r>
        <w:rPr>
          <w:sz w:val="21"/>
        </w:rPr>
        <w:t>payable </w:t>
      </w:r>
      <w:r>
        <w:rPr>
          <w:sz w:val="21"/>
        </w:rPr>
        <w:t>in</w:t>
      </w:r>
      <w:r>
        <w:rPr>
          <w:spacing w:val="80"/>
          <w:sz w:val="21"/>
        </w:rPr>
        <w:t> </w:t>
      </w:r>
      <w:r>
        <w:rPr>
          <w:sz w:val="21"/>
        </w:rPr>
        <w:t>arrears</w:t>
      </w:r>
      <w:r>
        <w:rPr>
          <w:spacing w:val="38"/>
          <w:sz w:val="21"/>
        </w:rPr>
        <w:t> </w:t>
      </w:r>
      <w:r>
        <w:rPr>
          <w:sz w:val="21"/>
        </w:rPr>
        <w:t>at</w:t>
      </w:r>
      <w:r>
        <w:rPr>
          <w:spacing w:val="38"/>
          <w:sz w:val="21"/>
        </w:rPr>
        <w:t> </w:t>
      </w:r>
      <w:r>
        <w:rPr>
          <w:sz w:val="21"/>
        </w:rPr>
        <w:t>such</w:t>
      </w:r>
      <w:r>
        <w:rPr>
          <w:spacing w:val="38"/>
          <w:sz w:val="21"/>
        </w:rPr>
        <w:t> </w:t>
      </w:r>
      <w:r>
        <w:rPr>
          <w:sz w:val="21"/>
        </w:rPr>
        <w:t>frequencies</w:t>
      </w:r>
      <w:r>
        <w:rPr>
          <w:spacing w:val="38"/>
          <w:sz w:val="21"/>
        </w:rPr>
        <w:t> </w:t>
      </w:r>
      <w:r>
        <w:rPr>
          <w:sz w:val="21"/>
        </w:rPr>
        <w:t>and</w:t>
      </w:r>
      <w:r>
        <w:rPr>
          <w:spacing w:val="38"/>
          <w:sz w:val="21"/>
        </w:rPr>
        <w:t> </w:t>
      </w:r>
      <w:r>
        <w:rPr>
          <w:sz w:val="21"/>
        </w:rPr>
        <w:t>times</w:t>
      </w:r>
      <w:r>
        <w:rPr>
          <w:spacing w:val="38"/>
          <w:sz w:val="21"/>
        </w:rPr>
        <w:t> </w:t>
      </w:r>
      <w:r>
        <w:rPr>
          <w:sz w:val="21"/>
        </w:rPr>
        <w:t>as</w:t>
      </w:r>
      <w:r>
        <w:rPr>
          <w:spacing w:val="38"/>
          <w:sz w:val="21"/>
        </w:rPr>
        <w:t> </w:t>
      </w:r>
      <w:r>
        <w:rPr>
          <w:sz w:val="21"/>
        </w:rPr>
        <w:t>Employer</w:t>
      </w:r>
      <w:r>
        <w:rPr>
          <w:spacing w:val="38"/>
          <w:sz w:val="21"/>
        </w:rPr>
        <w:t> </w:t>
      </w:r>
      <w:r>
        <w:rPr>
          <w:sz w:val="21"/>
        </w:rPr>
        <w:t>pays</w:t>
      </w:r>
      <w:r>
        <w:rPr>
          <w:spacing w:val="38"/>
          <w:sz w:val="21"/>
        </w:rPr>
        <w:t> </w:t>
      </w:r>
      <w:r>
        <w:rPr>
          <w:sz w:val="21"/>
        </w:rPr>
        <w:t>its</w:t>
      </w:r>
      <w:r>
        <w:rPr>
          <w:spacing w:val="38"/>
          <w:sz w:val="21"/>
        </w:rPr>
        <w:t> </w:t>
      </w:r>
      <w:r>
        <w:rPr>
          <w:sz w:val="21"/>
        </w:rPr>
        <w:t>other</w:t>
      </w:r>
      <w:r>
        <w:rPr>
          <w:spacing w:val="38"/>
          <w:sz w:val="21"/>
        </w:rPr>
        <w:t> </w:t>
      </w:r>
      <w:r>
        <w:rPr>
          <w:sz w:val="21"/>
        </w:rPr>
        <w:t>employees.</w:t>
      </w:r>
      <w:r>
        <w:rPr>
          <w:spacing w:val="38"/>
          <w:sz w:val="21"/>
        </w:rPr>
        <w:t> </w:t>
      </w:r>
      <w:r>
        <w:rPr>
          <w:sz w:val="21"/>
        </w:rPr>
        <w:t>Employee</w:t>
      </w:r>
      <w:r>
        <w:rPr>
          <w:spacing w:val="38"/>
          <w:sz w:val="21"/>
        </w:rPr>
        <w:t> </w:t>
      </w:r>
      <w:r>
        <w:rPr>
          <w:sz w:val="21"/>
        </w:rPr>
        <w:t>is</w:t>
      </w:r>
      <w:r>
        <w:rPr>
          <w:spacing w:val="38"/>
          <w:sz w:val="21"/>
        </w:rPr>
        <w:t> </w:t>
      </w:r>
      <w:r>
        <w:rPr>
          <w:sz w:val="21"/>
        </w:rPr>
        <w:t>also</w:t>
      </w:r>
      <w:r>
        <w:rPr>
          <w:spacing w:val="38"/>
          <w:sz w:val="21"/>
        </w:rPr>
        <w:t> </w:t>
      </w:r>
      <w:r>
        <w:rPr>
          <w:sz w:val="21"/>
        </w:rPr>
        <w:t>eligible</w:t>
      </w:r>
      <w:r>
        <w:rPr>
          <w:spacing w:val="38"/>
          <w:sz w:val="21"/>
        </w:rPr>
        <w:t> </w:t>
      </w:r>
      <w:r>
        <w:rPr>
          <w:sz w:val="21"/>
        </w:rPr>
        <w:t>to</w:t>
      </w:r>
      <w:r>
        <w:rPr>
          <w:spacing w:val="38"/>
          <w:sz w:val="21"/>
        </w:rPr>
        <w:t> </w:t>
      </w:r>
      <w:r>
        <w:rPr>
          <w:sz w:val="21"/>
        </w:rPr>
        <w:t>receive</w:t>
      </w:r>
      <w:r>
        <w:rPr>
          <w:spacing w:val="38"/>
          <w:sz w:val="21"/>
        </w:rPr>
        <w:t> </w:t>
      </w:r>
      <w:r>
        <w:rPr>
          <w:sz w:val="21"/>
        </w:rPr>
        <w:t>employee</w:t>
      </w:r>
      <w:r>
        <w:rPr>
          <w:spacing w:val="38"/>
          <w:sz w:val="21"/>
        </w:rPr>
        <w:t> </w:t>
      </w:r>
      <w:r>
        <w:rPr>
          <w:sz w:val="21"/>
        </w:rPr>
        <w:t>and fringe benefits that are no less favorable than those provided to employees having the rank of the second highest senior executive of</w:t>
      </w:r>
      <w:r>
        <w:rPr>
          <w:spacing w:val="80"/>
          <w:sz w:val="21"/>
        </w:rPr>
        <w:t> </w:t>
      </w:r>
      <w:r>
        <w:rPr>
          <w:sz w:val="21"/>
        </w:rPr>
        <w:t>the Company. Employer will reimburse Employee for all reasonable business and travel expenses Employee incurs in performing Employee’s duties under this Agreement payable in accordance with Employer’s customary practices and policies as Employer may modify and amend them from time to time. Employee’s performance may be reviewed periodically. Employee may be eligible to participate</w:t>
      </w:r>
      <w:r>
        <w:rPr>
          <w:spacing w:val="17"/>
          <w:sz w:val="21"/>
        </w:rPr>
        <w:t> </w:t>
      </w:r>
      <w:r>
        <w:rPr>
          <w:sz w:val="21"/>
        </w:rPr>
        <w:t>in</w:t>
      </w:r>
      <w:r>
        <w:rPr>
          <w:spacing w:val="17"/>
          <w:sz w:val="21"/>
        </w:rPr>
        <w:t> </w:t>
      </w:r>
      <w:r>
        <w:rPr>
          <w:sz w:val="21"/>
        </w:rPr>
        <w:t>MGM</w:t>
      </w:r>
      <w:r>
        <w:rPr>
          <w:spacing w:val="17"/>
          <w:sz w:val="21"/>
        </w:rPr>
        <w:t> </w:t>
      </w:r>
      <w:r>
        <w:rPr>
          <w:sz w:val="21"/>
        </w:rPr>
        <w:t>Resorts’</w:t>
      </w:r>
      <w:r>
        <w:rPr>
          <w:spacing w:val="-3"/>
          <w:sz w:val="21"/>
        </w:rPr>
        <w:t> </w:t>
      </w:r>
      <w:r>
        <w:rPr>
          <w:sz w:val="21"/>
        </w:rPr>
        <w:t>deferred</w:t>
      </w:r>
      <w:r>
        <w:rPr>
          <w:spacing w:val="17"/>
          <w:sz w:val="21"/>
        </w:rPr>
        <w:t> </w:t>
      </w:r>
      <w:r>
        <w:rPr>
          <w:sz w:val="21"/>
        </w:rPr>
        <w:t>compensation</w:t>
      </w:r>
      <w:r>
        <w:rPr>
          <w:spacing w:val="17"/>
          <w:sz w:val="21"/>
        </w:rPr>
        <w:t> </w:t>
      </w:r>
      <w:r>
        <w:rPr>
          <w:sz w:val="21"/>
        </w:rPr>
        <w:t>plan</w:t>
      </w:r>
      <w:r>
        <w:rPr>
          <w:spacing w:val="17"/>
          <w:sz w:val="21"/>
        </w:rPr>
        <w:t> </w:t>
      </w:r>
      <w:r>
        <w:rPr>
          <w:sz w:val="21"/>
        </w:rPr>
        <w:t>according</w:t>
      </w:r>
      <w:r>
        <w:rPr>
          <w:spacing w:val="17"/>
          <w:sz w:val="21"/>
        </w:rPr>
        <w:t> </w:t>
      </w:r>
      <w:r>
        <w:rPr>
          <w:sz w:val="21"/>
        </w:rPr>
        <w:t>to</w:t>
      </w:r>
      <w:r>
        <w:rPr>
          <w:spacing w:val="17"/>
          <w:sz w:val="21"/>
        </w:rPr>
        <w:t> </w:t>
      </w:r>
      <w:r>
        <w:rPr>
          <w:sz w:val="21"/>
        </w:rPr>
        <w:t>the</w:t>
      </w:r>
      <w:r>
        <w:rPr>
          <w:spacing w:val="17"/>
          <w:sz w:val="21"/>
        </w:rPr>
        <w:t> </w:t>
      </w:r>
      <w:r>
        <w:rPr>
          <w:sz w:val="21"/>
        </w:rPr>
        <w:t>terms</w:t>
      </w:r>
      <w:r>
        <w:rPr>
          <w:spacing w:val="17"/>
          <w:sz w:val="21"/>
        </w:rPr>
        <w:t> </w:t>
      </w:r>
      <w:r>
        <w:rPr>
          <w:sz w:val="21"/>
        </w:rPr>
        <w:t>and</w:t>
      </w:r>
      <w:r>
        <w:rPr>
          <w:spacing w:val="17"/>
          <w:sz w:val="21"/>
        </w:rPr>
        <w:t> </w:t>
      </w:r>
      <w:r>
        <w:rPr>
          <w:sz w:val="21"/>
        </w:rPr>
        <w:t>conditions</w:t>
      </w:r>
      <w:r>
        <w:rPr>
          <w:spacing w:val="17"/>
          <w:sz w:val="21"/>
        </w:rPr>
        <w:t> </w:t>
      </w:r>
      <w:r>
        <w:rPr>
          <w:sz w:val="21"/>
        </w:rPr>
        <w:t>of</w:t>
      </w:r>
      <w:r>
        <w:rPr>
          <w:spacing w:val="17"/>
          <w:sz w:val="21"/>
        </w:rPr>
        <w:t> </w:t>
      </w:r>
      <w:r>
        <w:rPr>
          <w:sz w:val="21"/>
        </w:rPr>
        <w:t>the</w:t>
      </w:r>
      <w:r>
        <w:rPr>
          <w:spacing w:val="17"/>
          <w:sz w:val="21"/>
        </w:rPr>
        <w:t> </w:t>
      </w:r>
      <w:r>
        <w:rPr>
          <w:sz w:val="21"/>
        </w:rPr>
        <w:t>plan,</w:t>
      </w:r>
      <w:r>
        <w:rPr>
          <w:spacing w:val="17"/>
          <w:sz w:val="21"/>
        </w:rPr>
        <w:t> </w:t>
      </w:r>
      <w:r>
        <w:rPr>
          <w:sz w:val="21"/>
        </w:rPr>
        <w:t>which</w:t>
      </w:r>
      <w:r>
        <w:rPr>
          <w:spacing w:val="17"/>
          <w:sz w:val="21"/>
        </w:rPr>
        <w:t> </w:t>
      </w:r>
      <w:r>
        <w:rPr>
          <w:sz w:val="21"/>
        </w:rPr>
        <w:t>may</w:t>
      </w:r>
      <w:r>
        <w:rPr>
          <w:spacing w:val="17"/>
          <w:sz w:val="21"/>
        </w:rPr>
        <w:t> </w:t>
      </w:r>
      <w:r>
        <w:rPr>
          <w:sz w:val="21"/>
        </w:rPr>
        <w:t>be</w:t>
      </w:r>
      <w:r>
        <w:rPr>
          <w:spacing w:val="17"/>
          <w:sz w:val="21"/>
        </w:rPr>
        <w:t> </w:t>
      </w:r>
      <w:r>
        <w:rPr>
          <w:sz w:val="21"/>
        </w:rPr>
        <w:t>amended or</w:t>
      </w:r>
      <w:r>
        <w:rPr>
          <w:spacing w:val="25"/>
          <w:sz w:val="21"/>
        </w:rPr>
        <w:t> </w:t>
      </w:r>
      <w:r>
        <w:rPr>
          <w:sz w:val="21"/>
        </w:rPr>
        <w:t>discontinued</w:t>
      </w:r>
      <w:r>
        <w:rPr>
          <w:spacing w:val="25"/>
          <w:sz w:val="21"/>
        </w:rPr>
        <w:t> </w:t>
      </w:r>
      <w:r>
        <w:rPr>
          <w:sz w:val="21"/>
        </w:rPr>
        <w:t>at</w:t>
      </w:r>
      <w:r>
        <w:rPr>
          <w:spacing w:val="25"/>
          <w:sz w:val="21"/>
        </w:rPr>
        <w:t> </w:t>
      </w:r>
      <w:r>
        <w:rPr>
          <w:sz w:val="21"/>
        </w:rPr>
        <w:t>any</w:t>
      </w:r>
      <w:r>
        <w:rPr>
          <w:spacing w:val="25"/>
          <w:sz w:val="21"/>
        </w:rPr>
        <w:t> </w:t>
      </w:r>
      <w:r>
        <w:rPr>
          <w:sz w:val="21"/>
        </w:rPr>
        <w:t>time</w:t>
      </w:r>
      <w:r>
        <w:rPr>
          <w:spacing w:val="25"/>
          <w:sz w:val="21"/>
        </w:rPr>
        <w:t> </w:t>
      </w:r>
      <w:r>
        <w:rPr>
          <w:sz w:val="21"/>
        </w:rPr>
        <w:t>at</w:t>
      </w:r>
      <w:r>
        <w:rPr>
          <w:spacing w:val="25"/>
          <w:sz w:val="21"/>
        </w:rPr>
        <w:t> </w:t>
      </w:r>
      <w:r>
        <w:rPr>
          <w:sz w:val="21"/>
        </w:rPr>
        <w:t>the</w:t>
      </w:r>
      <w:r>
        <w:rPr>
          <w:spacing w:val="25"/>
          <w:sz w:val="21"/>
        </w:rPr>
        <w:t> </w:t>
      </w:r>
      <w:r>
        <w:rPr>
          <w:sz w:val="21"/>
        </w:rPr>
        <w:t>Company’s</w:t>
      </w:r>
      <w:r>
        <w:rPr>
          <w:spacing w:val="25"/>
          <w:sz w:val="21"/>
        </w:rPr>
        <w:t> </w:t>
      </w:r>
      <w:r>
        <w:rPr>
          <w:sz w:val="21"/>
        </w:rPr>
        <w:t>discretion.</w:t>
      </w:r>
      <w:r>
        <w:rPr>
          <w:spacing w:val="25"/>
          <w:sz w:val="21"/>
        </w:rPr>
        <w:t> </w:t>
      </w:r>
      <w:r>
        <w:rPr>
          <w:sz w:val="21"/>
        </w:rPr>
        <w:t>Employee</w:t>
      </w:r>
      <w:r>
        <w:rPr>
          <w:spacing w:val="25"/>
          <w:sz w:val="21"/>
        </w:rPr>
        <w:t> </w:t>
      </w:r>
      <w:r>
        <w:rPr>
          <w:sz w:val="21"/>
        </w:rPr>
        <w:t>is</w:t>
      </w:r>
      <w:r>
        <w:rPr>
          <w:spacing w:val="25"/>
          <w:sz w:val="21"/>
        </w:rPr>
        <w:t> </w:t>
      </w:r>
      <w:r>
        <w:rPr>
          <w:sz w:val="21"/>
        </w:rPr>
        <w:t>eligible</w:t>
      </w:r>
      <w:r>
        <w:rPr>
          <w:spacing w:val="25"/>
          <w:sz w:val="21"/>
        </w:rPr>
        <w:t> </w:t>
      </w:r>
      <w:r>
        <w:rPr>
          <w:sz w:val="21"/>
        </w:rPr>
        <w:t>for</w:t>
      </w:r>
      <w:r>
        <w:rPr>
          <w:spacing w:val="25"/>
          <w:sz w:val="21"/>
        </w:rPr>
        <w:t> </w:t>
      </w:r>
      <w:r>
        <w:rPr>
          <w:sz w:val="21"/>
        </w:rPr>
        <w:t>consideration</w:t>
      </w:r>
      <w:r>
        <w:rPr>
          <w:spacing w:val="25"/>
          <w:sz w:val="21"/>
        </w:rPr>
        <w:t> </w:t>
      </w:r>
      <w:r>
        <w:rPr>
          <w:sz w:val="21"/>
        </w:rPr>
        <w:t>for</w:t>
      </w:r>
      <w:r>
        <w:rPr>
          <w:spacing w:val="25"/>
          <w:sz w:val="21"/>
        </w:rPr>
        <w:t> </w:t>
      </w:r>
      <w:r>
        <w:rPr>
          <w:sz w:val="21"/>
        </w:rPr>
        <w:t>a</w:t>
      </w:r>
      <w:r>
        <w:rPr>
          <w:spacing w:val="25"/>
          <w:sz w:val="21"/>
        </w:rPr>
        <w:t> </w:t>
      </w:r>
      <w:r>
        <w:rPr>
          <w:sz w:val="21"/>
        </w:rPr>
        <w:t>discretionary</w:t>
      </w:r>
      <w:r>
        <w:rPr>
          <w:spacing w:val="25"/>
          <w:sz w:val="21"/>
        </w:rPr>
        <w:t> </w:t>
      </w:r>
      <w:r>
        <w:rPr>
          <w:sz w:val="21"/>
        </w:rPr>
        <w:t>raise,</w:t>
      </w:r>
    </w:p>
    <w:p>
      <w:pPr>
        <w:pStyle w:val="BodyText"/>
        <w:spacing w:before="40"/>
        <w:rPr>
          <w:sz w:val="21"/>
        </w:rPr>
      </w:pPr>
    </w:p>
    <w:p>
      <w:pPr>
        <w:spacing w:before="0"/>
        <w:ind w:left="251" w:right="0" w:firstLine="0"/>
        <w:jc w:val="left"/>
        <w:rPr>
          <w:sz w:val="14"/>
        </w:rPr>
      </w:pPr>
      <w:r>
        <w:rPr>
          <w:sz w:val="14"/>
        </w:rPr>
        <w:t>Employment</w:t>
      </w:r>
      <w:r>
        <w:rPr>
          <w:spacing w:val="-1"/>
          <w:sz w:val="14"/>
        </w:rPr>
        <w:t> </w:t>
      </w:r>
      <w:r>
        <w:rPr>
          <w:sz w:val="14"/>
        </w:rPr>
        <w:t>Agreement</w:t>
      </w:r>
      <w:r>
        <w:rPr>
          <w:spacing w:val="8"/>
          <w:sz w:val="14"/>
        </w:rPr>
        <w:t> </w:t>
      </w:r>
      <w:r>
        <w:rPr>
          <w:sz w:val="14"/>
        </w:rPr>
        <w:t>–</w:t>
      </w:r>
      <w:r>
        <w:rPr>
          <w:spacing w:val="8"/>
          <w:sz w:val="14"/>
        </w:rPr>
        <w:t> </w:t>
      </w:r>
      <w:r>
        <w:rPr>
          <w:sz w:val="14"/>
        </w:rPr>
        <w:t>Gary</w:t>
      </w:r>
      <w:r>
        <w:rPr>
          <w:spacing w:val="9"/>
          <w:sz w:val="14"/>
        </w:rPr>
        <w:t> </w:t>
      </w:r>
      <w:r>
        <w:rPr>
          <w:sz w:val="14"/>
        </w:rPr>
        <w:t>Fritz</w:t>
      </w:r>
      <w:r>
        <w:rPr>
          <w:spacing w:val="8"/>
          <w:sz w:val="14"/>
        </w:rPr>
        <w:t> </w:t>
      </w:r>
      <w:r>
        <w:rPr>
          <w:spacing w:val="-2"/>
          <w:sz w:val="14"/>
        </w:rPr>
        <w:t>(2022)</w:t>
      </w:r>
    </w:p>
    <w:p>
      <w:pPr>
        <w:pStyle w:val="BodyText"/>
        <w:rPr>
          <w:sz w:val="20"/>
        </w:rPr>
      </w:pPr>
    </w:p>
    <w:p>
      <w:pPr>
        <w:pStyle w:val="BodyText"/>
        <w:rPr>
          <w:sz w:val="20"/>
        </w:rPr>
      </w:pPr>
    </w:p>
    <w:p>
      <w:pPr>
        <w:pStyle w:val="BodyText"/>
        <w:spacing w:before="39"/>
        <w:rPr>
          <w:sz w:val="20"/>
        </w:rPr>
      </w:pPr>
      <w:r>
        <w:rPr/>
        <mc:AlternateContent>
          <mc:Choice Requires="wps">
            <w:drawing>
              <wp:anchor distT="0" distB="0" distL="0" distR="0" allowOverlap="1" layoutInCell="1" locked="0" behindDoc="1" simplePos="0" relativeHeight="487803392">
                <wp:simplePos x="0" y="0"/>
                <wp:positionH relativeFrom="page">
                  <wp:posOffset>231457</wp:posOffset>
                </wp:positionH>
                <wp:positionV relativeFrom="paragraph">
                  <wp:posOffset>186042</wp:posOffset>
                </wp:positionV>
                <wp:extent cx="7312659" cy="17145"/>
                <wp:effectExtent l="0" t="0" r="0" b="0"/>
                <wp:wrapTopAndBottom/>
                <wp:docPr id="1047" name="Group 1047"/>
                <wp:cNvGraphicFramePr>
                  <a:graphicFrameLocks/>
                </wp:cNvGraphicFramePr>
                <a:graphic>
                  <a:graphicData uri="http://schemas.microsoft.com/office/word/2010/wordprocessingGroup">
                    <wpg:wgp>
                      <wpg:cNvPr id="1047" name="Group 1047"/>
                      <wpg:cNvGrpSpPr/>
                      <wpg:grpSpPr>
                        <a:xfrm>
                          <a:off x="0" y="0"/>
                          <a:ext cx="7312659" cy="17145"/>
                          <a:chExt cx="7312659" cy="17145"/>
                        </a:xfrm>
                      </wpg:grpSpPr>
                      <wps:wsp>
                        <wps:cNvPr id="1048" name="Graphic 104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49" name="Graphic 1049"/>
                        <wps:cNvSpPr/>
                        <wps:spPr>
                          <a:xfrm>
                            <a:off x="-12" y="-2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50" name="Graphic 105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649023pt;width:575.8pt;height:1.35pt;mso-position-horizontal-relative:page;mso-position-vertical-relative:paragraph;z-index:-15513088;mso-wrap-distance-left:0;mso-wrap-distance-right:0" id="docshapegroup1045" coordorigin="364,293" coordsize="11516,27">
                <v:rect style="position:absolute;left:364;top:292;width:11516;height:14" id="docshape1046" filled="true" fillcolor="#999999" stroked="false">
                  <v:fill type="solid"/>
                </v:rect>
                <v:shape style="position:absolute;left:364;top:292;width:11516;height:27" id="docshape1047" coordorigin="364,293" coordsize="11516,27" path="m11880,293l11866,306,364,306,364,320,11866,320,11880,320,11880,306,11880,293xe" filled="true" fillcolor="#ededed" stroked="false">
                  <v:path arrowok="t"/>
                  <v:fill type="solid"/>
                </v:shape>
                <v:shape style="position:absolute;left:364;top:292;width:14;height:27" id="docshape1048" coordorigin="364,293" coordsize="14,27" path="m364,320l364,293,378,293,378,306,364,320xe" filled="true" fillcolor="#999999" stroked="false">
                  <v:path arrowok="t"/>
                  <v:fill type="solid"/>
                </v:shape>
                <w10:wrap type="topAndBottom"/>
              </v:group>
            </w:pict>
          </mc:Fallback>
        </mc:AlternateContent>
      </w:r>
    </w:p>
    <w:p>
      <w:pPr>
        <w:spacing w:after="0"/>
        <w:rPr>
          <w:sz w:val="20"/>
        </w:rPr>
        <w:sectPr>
          <w:pgSz w:w="12240" w:h="15840"/>
          <w:pgMar w:top="280" w:bottom="280" w:left="220" w:right="240"/>
        </w:sectPr>
      </w:pPr>
    </w:p>
    <w:p>
      <w:pPr>
        <w:spacing w:line="213" w:lineRule="auto" w:before="102"/>
        <w:ind w:left="144" w:right="222" w:firstLine="0"/>
        <w:jc w:val="both"/>
        <w:rPr>
          <w:sz w:val="21"/>
        </w:rPr>
      </w:pPr>
      <w:r>
        <w:rPr>
          <w:sz w:val="21"/>
        </w:rPr>
        <w:t>bonuses</w:t>
      </w:r>
      <w:r>
        <w:rPr>
          <w:spacing w:val="40"/>
          <w:sz w:val="21"/>
        </w:rPr>
        <w:t> </w:t>
      </w:r>
      <w:r>
        <w:rPr>
          <w:sz w:val="21"/>
        </w:rPr>
        <w:t>(whether</w:t>
      </w:r>
      <w:r>
        <w:rPr>
          <w:spacing w:val="40"/>
          <w:sz w:val="21"/>
        </w:rPr>
        <w:t> </w:t>
      </w:r>
      <w:r>
        <w:rPr>
          <w:sz w:val="21"/>
        </w:rPr>
        <w:t>in</w:t>
      </w:r>
      <w:r>
        <w:rPr>
          <w:spacing w:val="40"/>
          <w:sz w:val="21"/>
        </w:rPr>
        <w:t> </w:t>
      </w:r>
      <w:r>
        <w:rPr>
          <w:sz w:val="21"/>
        </w:rPr>
        <w:t>cash</w:t>
      </w:r>
      <w:r>
        <w:rPr>
          <w:spacing w:val="40"/>
          <w:sz w:val="21"/>
        </w:rPr>
        <w:t> </w:t>
      </w:r>
      <w:r>
        <w:rPr>
          <w:sz w:val="21"/>
        </w:rPr>
        <w:t>or</w:t>
      </w:r>
      <w:r>
        <w:rPr>
          <w:spacing w:val="40"/>
          <w:sz w:val="21"/>
        </w:rPr>
        <w:t> </w:t>
      </w:r>
      <w:r>
        <w:rPr>
          <w:sz w:val="21"/>
        </w:rPr>
        <w:t>equity</w:t>
      </w:r>
      <w:r>
        <w:rPr>
          <w:spacing w:val="40"/>
          <w:sz w:val="21"/>
        </w:rPr>
        <w:t> </w:t>
      </w:r>
      <w:r>
        <w:rPr>
          <w:sz w:val="21"/>
        </w:rPr>
        <w:t>or</w:t>
      </w:r>
      <w:r>
        <w:rPr>
          <w:spacing w:val="40"/>
          <w:sz w:val="21"/>
        </w:rPr>
        <w:t> </w:t>
      </w:r>
      <w:r>
        <w:rPr>
          <w:sz w:val="21"/>
        </w:rPr>
        <w:t>equity-based</w:t>
      </w:r>
      <w:r>
        <w:rPr>
          <w:spacing w:val="40"/>
          <w:sz w:val="21"/>
        </w:rPr>
        <w:t> </w:t>
      </w:r>
      <w:r>
        <w:rPr>
          <w:sz w:val="21"/>
        </w:rPr>
        <w:t>awards),</w:t>
      </w:r>
      <w:r>
        <w:rPr>
          <w:spacing w:val="40"/>
          <w:sz w:val="21"/>
        </w:rPr>
        <w:t> </w:t>
      </w:r>
      <w:r>
        <w:rPr>
          <w:sz w:val="21"/>
        </w:rPr>
        <w:t>promotion,</w:t>
      </w:r>
      <w:r>
        <w:rPr>
          <w:spacing w:val="40"/>
          <w:sz w:val="21"/>
        </w:rPr>
        <w:t> </w:t>
      </w:r>
      <w:r>
        <w:rPr>
          <w:sz w:val="21"/>
        </w:rPr>
        <w:t>and/or</w:t>
      </w:r>
      <w:r>
        <w:rPr>
          <w:spacing w:val="40"/>
          <w:sz w:val="21"/>
        </w:rPr>
        <w:t> </w:t>
      </w:r>
      <w:r>
        <w:rPr>
          <w:sz w:val="21"/>
        </w:rPr>
        <w:t>participation</w:t>
      </w:r>
      <w:r>
        <w:rPr>
          <w:spacing w:val="40"/>
          <w:sz w:val="21"/>
        </w:rPr>
        <w:t> </w:t>
      </w:r>
      <w:r>
        <w:rPr>
          <w:sz w:val="21"/>
        </w:rPr>
        <w:t>in</w:t>
      </w:r>
      <w:r>
        <w:rPr>
          <w:spacing w:val="40"/>
          <w:sz w:val="21"/>
        </w:rPr>
        <w:t> </w:t>
      </w:r>
      <w:r>
        <w:rPr>
          <w:sz w:val="21"/>
        </w:rPr>
        <w:t>discretionary</w:t>
      </w:r>
      <w:r>
        <w:rPr>
          <w:spacing w:val="40"/>
          <w:sz w:val="21"/>
        </w:rPr>
        <w:t> </w:t>
      </w:r>
      <w:r>
        <w:rPr>
          <w:sz w:val="21"/>
        </w:rPr>
        <w:t>benefit</w:t>
      </w:r>
      <w:r>
        <w:rPr>
          <w:spacing w:val="40"/>
          <w:sz w:val="21"/>
        </w:rPr>
        <w:t> </w:t>
      </w:r>
      <w:r>
        <w:rPr>
          <w:sz w:val="21"/>
        </w:rPr>
        <w:t>plans; provided,</w:t>
      </w:r>
      <w:r>
        <w:rPr>
          <w:spacing w:val="24"/>
          <w:sz w:val="21"/>
        </w:rPr>
        <w:t> </w:t>
      </w:r>
      <w:r>
        <w:rPr>
          <w:sz w:val="21"/>
        </w:rPr>
        <w:t>however,</w:t>
      </w:r>
      <w:r>
        <w:rPr>
          <w:spacing w:val="24"/>
          <w:sz w:val="21"/>
        </w:rPr>
        <w:t> </w:t>
      </w:r>
      <w:r>
        <w:rPr>
          <w:sz w:val="21"/>
        </w:rPr>
        <w:t>whether</w:t>
      </w:r>
      <w:r>
        <w:rPr>
          <w:spacing w:val="24"/>
          <w:sz w:val="21"/>
        </w:rPr>
        <w:t> </w:t>
      </w:r>
      <w:r>
        <w:rPr>
          <w:sz w:val="21"/>
        </w:rPr>
        <w:t>and</w:t>
      </w:r>
      <w:r>
        <w:rPr>
          <w:spacing w:val="24"/>
          <w:sz w:val="21"/>
        </w:rPr>
        <w:t> </w:t>
      </w:r>
      <w:r>
        <w:rPr>
          <w:sz w:val="21"/>
        </w:rPr>
        <w:t>to</w:t>
      </w:r>
      <w:r>
        <w:rPr>
          <w:spacing w:val="24"/>
          <w:sz w:val="21"/>
        </w:rPr>
        <w:t> </w:t>
      </w:r>
      <w:r>
        <w:rPr>
          <w:sz w:val="21"/>
        </w:rPr>
        <w:t>what</w:t>
      </w:r>
      <w:r>
        <w:rPr>
          <w:spacing w:val="24"/>
          <w:sz w:val="21"/>
        </w:rPr>
        <w:t> </w:t>
      </w:r>
      <w:r>
        <w:rPr>
          <w:sz w:val="21"/>
        </w:rPr>
        <w:t>extent</w:t>
      </w:r>
      <w:r>
        <w:rPr>
          <w:spacing w:val="24"/>
          <w:sz w:val="21"/>
        </w:rPr>
        <w:t> </w:t>
      </w:r>
      <w:r>
        <w:rPr>
          <w:sz w:val="21"/>
        </w:rPr>
        <w:t>Employee</w:t>
      </w:r>
      <w:r>
        <w:rPr>
          <w:spacing w:val="24"/>
          <w:sz w:val="21"/>
        </w:rPr>
        <w:t> </w:t>
      </w:r>
      <w:r>
        <w:rPr>
          <w:sz w:val="21"/>
        </w:rPr>
        <w:t>will</w:t>
      </w:r>
      <w:r>
        <w:rPr>
          <w:spacing w:val="24"/>
          <w:sz w:val="21"/>
        </w:rPr>
        <w:t> </w:t>
      </w:r>
      <w:r>
        <w:rPr>
          <w:sz w:val="21"/>
        </w:rPr>
        <w:t>be</w:t>
      </w:r>
      <w:r>
        <w:rPr>
          <w:spacing w:val="24"/>
          <w:sz w:val="21"/>
        </w:rPr>
        <w:t> </w:t>
      </w:r>
      <w:r>
        <w:rPr>
          <w:sz w:val="21"/>
        </w:rPr>
        <w:t>granted</w:t>
      </w:r>
      <w:r>
        <w:rPr>
          <w:spacing w:val="24"/>
          <w:sz w:val="21"/>
        </w:rPr>
        <w:t> </w:t>
      </w:r>
      <w:r>
        <w:rPr>
          <w:sz w:val="21"/>
        </w:rPr>
        <w:t>any</w:t>
      </w:r>
      <w:r>
        <w:rPr>
          <w:spacing w:val="24"/>
          <w:sz w:val="21"/>
        </w:rPr>
        <w:t> </w:t>
      </w:r>
      <w:r>
        <w:rPr>
          <w:sz w:val="21"/>
        </w:rPr>
        <w:t>of</w:t>
      </w:r>
      <w:r>
        <w:rPr>
          <w:spacing w:val="24"/>
          <w:sz w:val="21"/>
        </w:rPr>
        <w:t> </w:t>
      </w:r>
      <w:r>
        <w:rPr>
          <w:sz w:val="21"/>
        </w:rPr>
        <w:t>the</w:t>
      </w:r>
      <w:r>
        <w:rPr>
          <w:spacing w:val="24"/>
          <w:sz w:val="21"/>
        </w:rPr>
        <w:t> </w:t>
      </w:r>
      <w:r>
        <w:rPr>
          <w:sz w:val="21"/>
        </w:rPr>
        <w:t>above</w:t>
      </w:r>
      <w:r>
        <w:rPr>
          <w:spacing w:val="24"/>
          <w:sz w:val="21"/>
        </w:rPr>
        <w:t> </w:t>
      </w:r>
      <w:r>
        <w:rPr>
          <w:sz w:val="21"/>
        </w:rPr>
        <w:t>will</w:t>
      </w:r>
      <w:r>
        <w:rPr>
          <w:spacing w:val="24"/>
          <w:sz w:val="21"/>
        </w:rPr>
        <w:t> </w:t>
      </w:r>
      <w:r>
        <w:rPr>
          <w:sz w:val="21"/>
        </w:rPr>
        <w:t>be</w:t>
      </w:r>
      <w:r>
        <w:rPr>
          <w:spacing w:val="24"/>
          <w:sz w:val="21"/>
        </w:rPr>
        <w:t> </w:t>
      </w:r>
      <w:r>
        <w:rPr>
          <w:sz w:val="21"/>
        </w:rPr>
        <w:t>determined</w:t>
      </w:r>
      <w:r>
        <w:rPr>
          <w:spacing w:val="24"/>
          <w:sz w:val="21"/>
        </w:rPr>
        <w:t> </w:t>
      </w:r>
      <w:r>
        <w:rPr>
          <w:sz w:val="21"/>
        </w:rPr>
        <w:t>by</w:t>
      </w:r>
      <w:r>
        <w:rPr>
          <w:spacing w:val="24"/>
          <w:sz w:val="21"/>
        </w:rPr>
        <w:t> </w:t>
      </w:r>
      <w:r>
        <w:rPr>
          <w:sz w:val="21"/>
        </w:rPr>
        <w:t>Employer</w:t>
      </w:r>
      <w:r>
        <w:rPr>
          <w:spacing w:val="24"/>
          <w:sz w:val="21"/>
        </w:rPr>
        <w:t> </w:t>
      </w:r>
      <w:r>
        <w:rPr>
          <w:sz w:val="21"/>
        </w:rPr>
        <w:t>in</w:t>
      </w:r>
      <w:r>
        <w:rPr>
          <w:spacing w:val="24"/>
          <w:sz w:val="21"/>
        </w:rPr>
        <w:t> </w:t>
      </w:r>
      <w:r>
        <w:rPr>
          <w:sz w:val="21"/>
        </w:rPr>
        <w:t>its sole and absolute discretion.</w:t>
      </w:r>
    </w:p>
    <w:p>
      <w:pPr>
        <w:pStyle w:val="ListParagraph"/>
        <w:numPr>
          <w:ilvl w:val="1"/>
          <w:numId w:val="51"/>
        </w:numPr>
        <w:tabs>
          <w:tab w:pos="792" w:val="left" w:leader="none"/>
        </w:tabs>
        <w:spacing w:line="213" w:lineRule="auto" w:before="219" w:after="0"/>
        <w:ind w:left="468" w:right="220" w:firstLine="0"/>
        <w:jc w:val="both"/>
        <w:rPr>
          <w:sz w:val="21"/>
        </w:rPr>
      </w:pPr>
      <w:r>
        <w:rPr>
          <w:sz w:val="21"/>
        </w:rPr>
        <w:t>Starting</w:t>
      </w:r>
      <w:r>
        <w:rPr>
          <w:spacing w:val="15"/>
          <w:sz w:val="21"/>
        </w:rPr>
        <w:t> </w:t>
      </w:r>
      <w:r>
        <w:rPr>
          <w:sz w:val="21"/>
        </w:rPr>
        <w:t>with</w:t>
      </w:r>
      <w:r>
        <w:rPr>
          <w:spacing w:val="15"/>
          <w:sz w:val="21"/>
        </w:rPr>
        <w:t> </w:t>
      </w:r>
      <w:r>
        <w:rPr>
          <w:sz w:val="21"/>
        </w:rPr>
        <w:t>the</w:t>
      </w:r>
      <w:r>
        <w:rPr>
          <w:spacing w:val="15"/>
          <w:sz w:val="21"/>
        </w:rPr>
        <w:t> </w:t>
      </w:r>
      <w:r>
        <w:rPr>
          <w:sz w:val="21"/>
        </w:rPr>
        <w:t>fiscal</w:t>
      </w:r>
      <w:r>
        <w:rPr>
          <w:spacing w:val="15"/>
          <w:sz w:val="21"/>
        </w:rPr>
        <w:t> </w:t>
      </w:r>
      <w:r>
        <w:rPr>
          <w:sz w:val="21"/>
        </w:rPr>
        <w:t>year</w:t>
      </w:r>
      <w:r>
        <w:rPr>
          <w:spacing w:val="15"/>
          <w:sz w:val="21"/>
        </w:rPr>
        <w:t> </w:t>
      </w:r>
      <w:r>
        <w:rPr>
          <w:sz w:val="21"/>
        </w:rPr>
        <w:t>ending</w:t>
      </w:r>
      <w:r>
        <w:rPr>
          <w:spacing w:val="15"/>
          <w:sz w:val="21"/>
        </w:rPr>
        <w:t> </w:t>
      </w:r>
      <w:r>
        <w:rPr>
          <w:sz w:val="21"/>
        </w:rPr>
        <w:t>December</w:t>
      </w:r>
      <w:r>
        <w:rPr>
          <w:spacing w:val="15"/>
          <w:sz w:val="21"/>
        </w:rPr>
        <w:t> </w:t>
      </w:r>
      <w:r>
        <w:rPr>
          <w:sz w:val="21"/>
        </w:rPr>
        <w:t>31,</w:t>
      </w:r>
      <w:r>
        <w:rPr>
          <w:spacing w:val="15"/>
          <w:sz w:val="21"/>
        </w:rPr>
        <w:t> </w:t>
      </w:r>
      <w:r>
        <w:rPr>
          <w:sz w:val="21"/>
        </w:rPr>
        <w:t>2023,</w:t>
      </w:r>
      <w:r>
        <w:rPr>
          <w:spacing w:val="15"/>
          <w:sz w:val="21"/>
        </w:rPr>
        <w:t> </w:t>
      </w:r>
      <w:r>
        <w:rPr>
          <w:sz w:val="21"/>
        </w:rPr>
        <w:t>Employee</w:t>
      </w:r>
      <w:r>
        <w:rPr>
          <w:spacing w:val="15"/>
          <w:sz w:val="21"/>
        </w:rPr>
        <w:t> </w:t>
      </w:r>
      <w:r>
        <w:rPr>
          <w:sz w:val="21"/>
        </w:rPr>
        <w:t>will</w:t>
      </w:r>
      <w:r>
        <w:rPr>
          <w:spacing w:val="15"/>
          <w:sz w:val="21"/>
        </w:rPr>
        <w:t> </w:t>
      </w:r>
      <w:r>
        <w:rPr>
          <w:sz w:val="21"/>
        </w:rPr>
        <w:t>be</w:t>
      </w:r>
      <w:r>
        <w:rPr>
          <w:spacing w:val="15"/>
          <w:sz w:val="21"/>
        </w:rPr>
        <w:t> </w:t>
      </w:r>
      <w:r>
        <w:rPr>
          <w:sz w:val="21"/>
        </w:rPr>
        <w:t>eligible</w:t>
      </w:r>
      <w:r>
        <w:rPr>
          <w:spacing w:val="15"/>
          <w:sz w:val="21"/>
        </w:rPr>
        <w:t> </w:t>
      </w:r>
      <w:r>
        <w:rPr>
          <w:sz w:val="21"/>
        </w:rPr>
        <w:t>for</w:t>
      </w:r>
      <w:r>
        <w:rPr>
          <w:spacing w:val="15"/>
          <w:sz w:val="21"/>
        </w:rPr>
        <w:t> </w:t>
      </w:r>
      <w:r>
        <w:rPr>
          <w:sz w:val="21"/>
        </w:rPr>
        <w:t>a</w:t>
      </w:r>
      <w:r>
        <w:rPr>
          <w:spacing w:val="15"/>
          <w:sz w:val="21"/>
        </w:rPr>
        <w:t> </w:t>
      </w:r>
      <w:r>
        <w:rPr>
          <w:sz w:val="21"/>
        </w:rPr>
        <w:t>discretionary</w:t>
      </w:r>
      <w:r>
        <w:rPr>
          <w:spacing w:val="15"/>
          <w:sz w:val="21"/>
        </w:rPr>
        <w:t> </w:t>
      </w:r>
      <w:r>
        <w:rPr>
          <w:sz w:val="21"/>
        </w:rPr>
        <w:t>annual</w:t>
      </w:r>
      <w:r>
        <w:rPr>
          <w:spacing w:val="15"/>
          <w:sz w:val="21"/>
        </w:rPr>
        <w:t> </w:t>
      </w:r>
      <w:r>
        <w:rPr>
          <w:sz w:val="21"/>
        </w:rPr>
        <w:t>bonus</w:t>
      </w:r>
      <w:r>
        <w:rPr>
          <w:spacing w:val="15"/>
          <w:sz w:val="21"/>
        </w:rPr>
        <w:t> </w:t>
      </w:r>
      <w:r>
        <w:rPr>
          <w:sz w:val="21"/>
        </w:rPr>
        <w:t>pursuant to the terms of this</w:t>
      </w:r>
      <w:r>
        <w:rPr>
          <w:spacing w:val="-1"/>
          <w:sz w:val="21"/>
        </w:rPr>
        <w:t> </w:t>
      </w:r>
      <w:r>
        <w:rPr>
          <w:sz w:val="21"/>
        </w:rPr>
        <w:t>Agreement, with a target bonus amount equal to </w:t>
      </w:r>
      <w:r>
        <w:rPr>
          <w:b/>
          <w:sz w:val="21"/>
        </w:rPr>
        <w:t>100% </w:t>
      </w:r>
      <w:r>
        <w:rPr>
          <w:sz w:val="21"/>
        </w:rPr>
        <w:t>of Employee’s base salary (the “Target Bonus”). It is currently</w:t>
      </w:r>
      <w:r>
        <w:rPr>
          <w:spacing w:val="27"/>
          <w:sz w:val="21"/>
        </w:rPr>
        <w:t> </w:t>
      </w:r>
      <w:r>
        <w:rPr>
          <w:sz w:val="21"/>
        </w:rPr>
        <w:t>expected</w:t>
      </w:r>
      <w:r>
        <w:rPr>
          <w:spacing w:val="27"/>
          <w:sz w:val="21"/>
        </w:rPr>
        <w:t> </w:t>
      </w:r>
      <w:r>
        <w:rPr>
          <w:sz w:val="21"/>
        </w:rPr>
        <w:t>that</w:t>
      </w:r>
      <w:r>
        <w:rPr>
          <w:spacing w:val="27"/>
          <w:sz w:val="21"/>
        </w:rPr>
        <w:t> </w:t>
      </w:r>
      <w:r>
        <w:rPr>
          <w:sz w:val="21"/>
        </w:rPr>
        <w:t>Employee’s</w:t>
      </w:r>
      <w:r>
        <w:rPr>
          <w:spacing w:val="27"/>
          <w:sz w:val="21"/>
        </w:rPr>
        <w:t> </w:t>
      </w:r>
      <w:r>
        <w:rPr>
          <w:sz w:val="21"/>
        </w:rPr>
        <w:t>annual</w:t>
      </w:r>
      <w:r>
        <w:rPr>
          <w:spacing w:val="27"/>
          <w:sz w:val="21"/>
        </w:rPr>
        <w:t> </w:t>
      </w:r>
      <w:r>
        <w:rPr>
          <w:sz w:val="21"/>
        </w:rPr>
        <w:t>bonus</w:t>
      </w:r>
      <w:r>
        <w:rPr>
          <w:spacing w:val="27"/>
          <w:sz w:val="21"/>
        </w:rPr>
        <w:t> </w:t>
      </w:r>
      <w:r>
        <w:rPr>
          <w:sz w:val="21"/>
        </w:rPr>
        <w:t>will</w:t>
      </w:r>
      <w:r>
        <w:rPr>
          <w:spacing w:val="27"/>
          <w:sz w:val="21"/>
        </w:rPr>
        <w:t> </w:t>
      </w:r>
      <w:r>
        <w:rPr>
          <w:sz w:val="21"/>
        </w:rPr>
        <w:t>be</w:t>
      </w:r>
      <w:r>
        <w:rPr>
          <w:spacing w:val="27"/>
          <w:sz w:val="21"/>
        </w:rPr>
        <w:t> </w:t>
      </w:r>
      <w:r>
        <w:rPr>
          <w:sz w:val="21"/>
        </w:rPr>
        <w:t>based</w:t>
      </w:r>
      <w:r>
        <w:rPr>
          <w:spacing w:val="27"/>
          <w:sz w:val="21"/>
        </w:rPr>
        <w:t> </w:t>
      </w:r>
      <w:r>
        <w:rPr>
          <w:sz w:val="21"/>
        </w:rPr>
        <w:t>50%</w:t>
      </w:r>
      <w:r>
        <w:rPr>
          <w:spacing w:val="27"/>
          <w:sz w:val="21"/>
        </w:rPr>
        <w:t> </w:t>
      </w:r>
      <w:r>
        <w:rPr>
          <w:sz w:val="21"/>
        </w:rPr>
        <w:t>on</w:t>
      </w:r>
      <w:r>
        <w:rPr>
          <w:spacing w:val="27"/>
          <w:sz w:val="21"/>
        </w:rPr>
        <w:t> </w:t>
      </w:r>
      <w:r>
        <w:rPr>
          <w:sz w:val="21"/>
        </w:rPr>
        <w:t>the</w:t>
      </w:r>
      <w:r>
        <w:rPr>
          <w:spacing w:val="27"/>
          <w:sz w:val="21"/>
        </w:rPr>
        <w:t> </w:t>
      </w:r>
      <w:r>
        <w:rPr>
          <w:sz w:val="21"/>
        </w:rPr>
        <w:t>achievement</w:t>
      </w:r>
      <w:r>
        <w:rPr>
          <w:spacing w:val="27"/>
          <w:sz w:val="21"/>
        </w:rPr>
        <w:t> </w:t>
      </w:r>
      <w:r>
        <w:rPr>
          <w:sz w:val="21"/>
        </w:rPr>
        <w:t>of</w:t>
      </w:r>
      <w:r>
        <w:rPr>
          <w:spacing w:val="27"/>
          <w:sz w:val="21"/>
        </w:rPr>
        <w:t> </w:t>
      </w:r>
      <w:r>
        <w:rPr>
          <w:sz w:val="21"/>
        </w:rPr>
        <w:t>an Adjusted</w:t>
      </w:r>
      <w:r>
        <w:rPr>
          <w:spacing w:val="27"/>
          <w:sz w:val="21"/>
        </w:rPr>
        <w:t> </w:t>
      </w:r>
      <w:r>
        <w:rPr>
          <w:sz w:val="21"/>
        </w:rPr>
        <w:t>EBITDAR</w:t>
      </w:r>
      <w:r>
        <w:rPr>
          <w:spacing w:val="27"/>
          <w:sz w:val="21"/>
        </w:rPr>
        <w:t> </w:t>
      </w:r>
      <w:r>
        <w:rPr>
          <w:sz w:val="21"/>
        </w:rPr>
        <w:t>target</w:t>
      </w:r>
      <w:r>
        <w:rPr>
          <w:spacing w:val="27"/>
          <w:sz w:val="21"/>
        </w:rPr>
        <w:t> </w:t>
      </w:r>
      <w:r>
        <w:rPr>
          <w:sz w:val="21"/>
        </w:rPr>
        <w:t>and 50% tied to a combination of strategic goals related to the Company’s digital and interactive businesses and general corporate leadership. Such annual bonus program may be modified as determined by the CEO and the Committee in consultation with the Employee.</w:t>
      </w:r>
      <w:r>
        <w:rPr>
          <w:spacing w:val="30"/>
          <w:sz w:val="21"/>
        </w:rPr>
        <w:t> </w:t>
      </w:r>
      <w:r>
        <w:rPr>
          <w:sz w:val="21"/>
        </w:rPr>
        <w:t>Employee</w:t>
      </w:r>
      <w:r>
        <w:rPr>
          <w:spacing w:val="30"/>
          <w:sz w:val="21"/>
        </w:rPr>
        <w:t> </w:t>
      </w:r>
      <w:r>
        <w:rPr>
          <w:sz w:val="21"/>
        </w:rPr>
        <w:t>will</w:t>
      </w:r>
      <w:r>
        <w:rPr>
          <w:spacing w:val="30"/>
          <w:sz w:val="21"/>
        </w:rPr>
        <w:t> </w:t>
      </w:r>
      <w:r>
        <w:rPr>
          <w:sz w:val="21"/>
        </w:rPr>
        <w:t>not</w:t>
      </w:r>
      <w:r>
        <w:rPr>
          <w:spacing w:val="30"/>
          <w:sz w:val="21"/>
        </w:rPr>
        <w:t> </w:t>
      </w:r>
      <w:r>
        <w:rPr>
          <w:sz w:val="21"/>
        </w:rPr>
        <w:t>be</w:t>
      </w:r>
      <w:r>
        <w:rPr>
          <w:spacing w:val="30"/>
          <w:sz w:val="21"/>
        </w:rPr>
        <w:t> </w:t>
      </w:r>
      <w:r>
        <w:rPr>
          <w:sz w:val="21"/>
        </w:rPr>
        <w:t>eligible</w:t>
      </w:r>
      <w:r>
        <w:rPr>
          <w:spacing w:val="30"/>
          <w:sz w:val="21"/>
        </w:rPr>
        <w:t> </w:t>
      </w:r>
      <w:r>
        <w:rPr>
          <w:sz w:val="21"/>
        </w:rPr>
        <w:t>to</w:t>
      </w:r>
      <w:r>
        <w:rPr>
          <w:spacing w:val="30"/>
          <w:sz w:val="21"/>
        </w:rPr>
        <w:t> </w:t>
      </w:r>
      <w:r>
        <w:rPr>
          <w:sz w:val="21"/>
        </w:rPr>
        <w:t>participate</w:t>
      </w:r>
      <w:r>
        <w:rPr>
          <w:spacing w:val="30"/>
          <w:sz w:val="21"/>
        </w:rPr>
        <w:t> </w:t>
      </w:r>
      <w:r>
        <w:rPr>
          <w:sz w:val="21"/>
        </w:rPr>
        <w:t>in</w:t>
      </w:r>
      <w:r>
        <w:rPr>
          <w:spacing w:val="30"/>
          <w:sz w:val="21"/>
        </w:rPr>
        <w:t> </w:t>
      </w:r>
      <w:r>
        <w:rPr>
          <w:sz w:val="21"/>
        </w:rPr>
        <w:t>the</w:t>
      </w:r>
      <w:r>
        <w:rPr>
          <w:spacing w:val="30"/>
          <w:sz w:val="21"/>
        </w:rPr>
        <w:t> </w:t>
      </w:r>
      <w:r>
        <w:rPr>
          <w:sz w:val="21"/>
        </w:rPr>
        <w:t>Employer’s</w:t>
      </w:r>
      <w:r>
        <w:rPr>
          <w:spacing w:val="30"/>
          <w:sz w:val="21"/>
        </w:rPr>
        <w:t> </w:t>
      </w:r>
      <w:r>
        <w:rPr>
          <w:sz w:val="21"/>
        </w:rPr>
        <w:t>annual</w:t>
      </w:r>
      <w:r>
        <w:rPr>
          <w:spacing w:val="30"/>
          <w:sz w:val="21"/>
        </w:rPr>
        <w:t> </w:t>
      </w:r>
      <w:r>
        <w:rPr>
          <w:sz w:val="21"/>
        </w:rPr>
        <w:t>bonus</w:t>
      </w:r>
      <w:r>
        <w:rPr>
          <w:spacing w:val="30"/>
          <w:sz w:val="21"/>
        </w:rPr>
        <w:t> </w:t>
      </w:r>
      <w:r>
        <w:rPr>
          <w:sz w:val="21"/>
        </w:rPr>
        <w:t>program</w:t>
      </w:r>
      <w:r>
        <w:rPr>
          <w:spacing w:val="30"/>
          <w:sz w:val="21"/>
        </w:rPr>
        <w:t> </w:t>
      </w:r>
      <w:r>
        <w:rPr>
          <w:sz w:val="21"/>
        </w:rPr>
        <w:t>applicable</w:t>
      </w:r>
      <w:r>
        <w:rPr>
          <w:spacing w:val="30"/>
          <w:sz w:val="21"/>
        </w:rPr>
        <w:t> </w:t>
      </w:r>
      <w:r>
        <w:rPr>
          <w:sz w:val="21"/>
        </w:rPr>
        <w:t>to</w:t>
      </w:r>
      <w:r>
        <w:rPr>
          <w:spacing w:val="30"/>
          <w:sz w:val="21"/>
        </w:rPr>
        <w:t> </w:t>
      </w:r>
      <w:r>
        <w:rPr>
          <w:sz w:val="21"/>
        </w:rPr>
        <w:t>the</w:t>
      </w:r>
      <w:r>
        <w:rPr>
          <w:spacing w:val="30"/>
          <w:sz w:val="21"/>
        </w:rPr>
        <w:t> </w:t>
      </w:r>
      <w:r>
        <w:rPr>
          <w:sz w:val="21"/>
        </w:rPr>
        <w:t>2022</w:t>
      </w:r>
      <w:r>
        <w:rPr>
          <w:spacing w:val="30"/>
          <w:sz w:val="21"/>
        </w:rPr>
        <w:t> </w:t>
      </w:r>
      <w:r>
        <w:rPr>
          <w:sz w:val="21"/>
        </w:rPr>
        <w:t>fiscal year.</w:t>
      </w:r>
      <w:r>
        <w:rPr>
          <w:spacing w:val="25"/>
          <w:sz w:val="21"/>
        </w:rPr>
        <w:t> </w:t>
      </w:r>
      <w:r>
        <w:rPr>
          <w:sz w:val="21"/>
        </w:rPr>
        <w:t>However,</w:t>
      </w:r>
      <w:r>
        <w:rPr>
          <w:spacing w:val="25"/>
          <w:sz w:val="21"/>
        </w:rPr>
        <w:t> </w:t>
      </w:r>
      <w:r>
        <w:rPr>
          <w:sz w:val="21"/>
        </w:rPr>
        <w:t>Employee</w:t>
      </w:r>
      <w:r>
        <w:rPr>
          <w:spacing w:val="25"/>
          <w:sz w:val="21"/>
        </w:rPr>
        <w:t> </w:t>
      </w:r>
      <w:r>
        <w:rPr>
          <w:sz w:val="21"/>
        </w:rPr>
        <w:t>shall,</w:t>
      </w:r>
      <w:r>
        <w:rPr>
          <w:spacing w:val="25"/>
          <w:sz w:val="21"/>
        </w:rPr>
        <w:t> </w:t>
      </w:r>
      <w:r>
        <w:rPr>
          <w:sz w:val="21"/>
        </w:rPr>
        <w:t>in</w:t>
      </w:r>
      <w:r>
        <w:rPr>
          <w:spacing w:val="25"/>
          <w:sz w:val="21"/>
        </w:rPr>
        <w:t> </w:t>
      </w:r>
      <w:r>
        <w:rPr>
          <w:sz w:val="21"/>
        </w:rPr>
        <w:t>Employer’s</w:t>
      </w:r>
      <w:r>
        <w:rPr>
          <w:spacing w:val="25"/>
          <w:sz w:val="21"/>
        </w:rPr>
        <w:t> </w:t>
      </w:r>
      <w:r>
        <w:rPr>
          <w:sz w:val="21"/>
        </w:rPr>
        <w:t>sole</w:t>
      </w:r>
      <w:r>
        <w:rPr>
          <w:spacing w:val="25"/>
          <w:sz w:val="21"/>
        </w:rPr>
        <w:t> </w:t>
      </w:r>
      <w:r>
        <w:rPr>
          <w:sz w:val="21"/>
        </w:rPr>
        <w:t>discretion,</w:t>
      </w:r>
      <w:r>
        <w:rPr>
          <w:spacing w:val="25"/>
          <w:sz w:val="21"/>
        </w:rPr>
        <w:t> </w:t>
      </w:r>
      <w:r>
        <w:rPr>
          <w:sz w:val="21"/>
        </w:rPr>
        <w:t>be</w:t>
      </w:r>
      <w:r>
        <w:rPr>
          <w:spacing w:val="25"/>
          <w:sz w:val="21"/>
        </w:rPr>
        <w:t> </w:t>
      </w:r>
      <w:r>
        <w:rPr>
          <w:sz w:val="21"/>
        </w:rPr>
        <w:t>eligible</w:t>
      </w:r>
      <w:r>
        <w:rPr>
          <w:spacing w:val="25"/>
          <w:sz w:val="21"/>
        </w:rPr>
        <w:t> </w:t>
      </w:r>
      <w:r>
        <w:rPr>
          <w:sz w:val="21"/>
        </w:rPr>
        <w:t>to</w:t>
      </w:r>
      <w:r>
        <w:rPr>
          <w:spacing w:val="25"/>
          <w:sz w:val="21"/>
        </w:rPr>
        <w:t> </w:t>
      </w:r>
      <w:r>
        <w:rPr>
          <w:sz w:val="21"/>
        </w:rPr>
        <w:t>receive</w:t>
      </w:r>
      <w:r>
        <w:rPr>
          <w:spacing w:val="25"/>
          <w:sz w:val="21"/>
        </w:rPr>
        <w:t> </w:t>
      </w:r>
      <w:r>
        <w:rPr>
          <w:sz w:val="21"/>
        </w:rPr>
        <w:t>a</w:t>
      </w:r>
      <w:r>
        <w:rPr>
          <w:spacing w:val="25"/>
          <w:sz w:val="21"/>
        </w:rPr>
        <w:t> </w:t>
      </w:r>
      <w:r>
        <w:rPr>
          <w:sz w:val="21"/>
        </w:rPr>
        <w:t>pro</w:t>
      </w:r>
      <w:r>
        <w:rPr>
          <w:spacing w:val="25"/>
          <w:sz w:val="21"/>
        </w:rPr>
        <w:t> </w:t>
      </w:r>
      <w:r>
        <w:rPr>
          <w:sz w:val="21"/>
        </w:rPr>
        <w:t>rata</w:t>
      </w:r>
      <w:r>
        <w:rPr>
          <w:spacing w:val="25"/>
          <w:sz w:val="21"/>
        </w:rPr>
        <w:t> </w:t>
      </w:r>
      <w:r>
        <w:rPr>
          <w:sz w:val="21"/>
        </w:rPr>
        <w:t>portion</w:t>
      </w:r>
      <w:r>
        <w:rPr>
          <w:spacing w:val="25"/>
          <w:sz w:val="21"/>
        </w:rPr>
        <w:t> </w:t>
      </w:r>
      <w:r>
        <w:rPr>
          <w:sz w:val="21"/>
        </w:rPr>
        <w:t>of</w:t>
      </w:r>
      <w:r>
        <w:rPr>
          <w:spacing w:val="25"/>
          <w:sz w:val="21"/>
        </w:rPr>
        <w:t> </w:t>
      </w:r>
      <w:r>
        <w:rPr>
          <w:sz w:val="21"/>
        </w:rPr>
        <w:t>his</w:t>
      </w:r>
      <w:r>
        <w:rPr>
          <w:spacing w:val="20"/>
          <w:sz w:val="21"/>
        </w:rPr>
        <w:t> </w:t>
      </w:r>
      <w:r>
        <w:rPr>
          <w:sz w:val="21"/>
        </w:rPr>
        <w:t>Target</w:t>
      </w:r>
      <w:r>
        <w:rPr>
          <w:spacing w:val="25"/>
          <w:sz w:val="21"/>
        </w:rPr>
        <w:t> </w:t>
      </w:r>
      <w:r>
        <w:rPr>
          <w:sz w:val="21"/>
        </w:rPr>
        <w:t>Bonus</w:t>
      </w:r>
      <w:r>
        <w:rPr>
          <w:spacing w:val="25"/>
          <w:sz w:val="21"/>
        </w:rPr>
        <w:t> </w:t>
      </w:r>
      <w:r>
        <w:rPr>
          <w:sz w:val="21"/>
        </w:rPr>
        <w:t>on the terms and conditions determined by the Committee. The terms and conditions of the annual bonus program may be changed from time to time. Except as otherwise provided in Sections 10.2, 10.3, 10.4 or 10.6, any Bonus under this Section 3.1 shall be</w:t>
      </w:r>
      <w:r>
        <w:rPr>
          <w:spacing w:val="80"/>
          <w:w w:val="150"/>
          <w:sz w:val="21"/>
        </w:rPr>
        <w:t> </w:t>
      </w:r>
      <w:r>
        <w:rPr>
          <w:sz w:val="21"/>
        </w:rPr>
        <w:t>paid</w:t>
      </w:r>
      <w:r>
        <w:rPr>
          <w:spacing w:val="23"/>
          <w:sz w:val="21"/>
        </w:rPr>
        <w:t> </w:t>
      </w:r>
      <w:r>
        <w:rPr>
          <w:sz w:val="21"/>
        </w:rPr>
        <w:t>at</w:t>
      </w:r>
      <w:r>
        <w:rPr>
          <w:spacing w:val="23"/>
          <w:sz w:val="21"/>
        </w:rPr>
        <w:t> </w:t>
      </w:r>
      <w:r>
        <w:rPr>
          <w:sz w:val="21"/>
        </w:rPr>
        <w:t>such</w:t>
      </w:r>
      <w:r>
        <w:rPr>
          <w:spacing w:val="23"/>
          <w:sz w:val="21"/>
        </w:rPr>
        <w:t> </w:t>
      </w:r>
      <w:r>
        <w:rPr>
          <w:sz w:val="21"/>
        </w:rPr>
        <w:t>time</w:t>
      </w:r>
      <w:r>
        <w:rPr>
          <w:spacing w:val="23"/>
          <w:sz w:val="21"/>
        </w:rPr>
        <w:t> </w:t>
      </w:r>
      <w:r>
        <w:rPr>
          <w:sz w:val="21"/>
        </w:rPr>
        <w:t>as</w:t>
      </w:r>
      <w:r>
        <w:rPr>
          <w:spacing w:val="23"/>
          <w:sz w:val="21"/>
        </w:rPr>
        <w:t> </w:t>
      </w:r>
      <w:r>
        <w:rPr>
          <w:sz w:val="21"/>
        </w:rPr>
        <w:t>the</w:t>
      </w:r>
      <w:r>
        <w:rPr>
          <w:spacing w:val="23"/>
          <w:sz w:val="21"/>
        </w:rPr>
        <w:t> </w:t>
      </w:r>
      <w:r>
        <w:rPr>
          <w:sz w:val="21"/>
        </w:rPr>
        <w:t>Company</w:t>
      </w:r>
      <w:r>
        <w:rPr>
          <w:spacing w:val="23"/>
          <w:sz w:val="21"/>
        </w:rPr>
        <w:t> </w:t>
      </w:r>
      <w:r>
        <w:rPr>
          <w:sz w:val="21"/>
        </w:rPr>
        <w:t>pays</w:t>
      </w:r>
      <w:r>
        <w:rPr>
          <w:spacing w:val="23"/>
          <w:sz w:val="21"/>
        </w:rPr>
        <w:t> </w:t>
      </w:r>
      <w:r>
        <w:rPr>
          <w:sz w:val="21"/>
        </w:rPr>
        <w:t>bonuses</w:t>
      </w:r>
      <w:r>
        <w:rPr>
          <w:spacing w:val="23"/>
          <w:sz w:val="21"/>
        </w:rPr>
        <w:t> </w:t>
      </w:r>
      <w:r>
        <w:rPr>
          <w:sz w:val="21"/>
        </w:rPr>
        <w:t>to</w:t>
      </w:r>
      <w:r>
        <w:rPr>
          <w:spacing w:val="23"/>
          <w:sz w:val="21"/>
        </w:rPr>
        <w:t> </w:t>
      </w:r>
      <w:r>
        <w:rPr>
          <w:sz w:val="21"/>
        </w:rPr>
        <w:t>the</w:t>
      </w:r>
      <w:r>
        <w:rPr>
          <w:spacing w:val="23"/>
          <w:sz w:val="21"/>
        </w:rPr>
        <w:t> </w:t>
      </w:r>
      <w:r>
        <w:rPr>
          <w:sz w:val="21"/>
        </w:rPr>
        <w:t>Company’s</w:t>
      </w:r>
      <w:r>
        <w:rPr>
          <w:spacing w:val="23"/>
          <w:sz w:val="21"/>
        </w:rPr>
        <w:t> </w:t>
      </w:r>
      <w:r>
        <w:rPr>
          <w:sz w:val="21"/>
        </w:rPr>
        <w:t>other</w:t>
      </w:r>
      <w:r>
        <w:rPr>
          <w:spacing w:val="23"/>
          <w:sz w:val="21"/>
        </w:rPr>
        <w:t> </w:t>
      </w:r>
      <w:r>
        <w:rPr>
          <w:sz w:val="21"/>
        </w:rPr>
        <w:t>senior</w:t>
      </w:r>
      <w:r>
        <w:rPr>
          <w:spacing w:val="23"/>
          <w:sz w:val="21"/>
        </w:rPr>
        <w:t> </w:t>
      </w:r>
      <w:r>
        <w:rPr>
          <w:sz w:val="21"/>
        </w:rPr>
        <w:t>executives</w:t>
      </w:r>
      <w:r>
        <w:rPr>
          <w:spacing w:val="23"/>
          <w:sz w:val="21"/>
        </w:rPr>
        <w:t> </w:t>
      </w:r>
      <w:r>
        <w:rPr>
          <w:sz w:val="21"/>
        </w:rPr>
        <w:t>with</w:t>
      </w:r>
      <w:r>
        <w:rPr>
          <w:spacing w:val="23"/>
          <w:sz w:val="21"/>
        </w:rPr>
        <w:t> </w:t>
      </w:r>
      <w:r>
        <w:rPr>
          <w:sz w:val="21"/>
        </w:rPr>
        <w:t>respect</w:t>
      </w:r>
      <w:r>
        <w:rPr>
          <w:spacing w:val="23"/>
          <w:sz w:val="21"/>
        </w:rPr>
        <w:t> </w:t>
      </w:r>
      <w:r>
        <w:rPr>
          <w:sz w:val="21"/>
        </w:rPr>
        <w:t>to</w:t>
      </w:r>
      <w:r>
        <w:rPr>
          <w:spacing w:val="23"/>
          <w:sz w:val="21"/>
        </w:rPr>
        <w:t> </w:t>
      </w:r>
      <w:r>
        <w:rPr>
          <w:sz w:val="21"/>
        </w:rPr>
        <w:t>each</w:t>
      </w:r>
      <w:r>
        <w:rPr>
          <w:spacing w:val="23"/>
          <w:sz w:val="21"/>
        </w:rPr>
        <w:t> </w:t>
      </w:r>
      <w:r>
        <w:rPr>
          <w:sz w:val="21"/>
        </w:rPr>
        <w:t>fiscal</w:t>
      </w:r>
      <w:r>
        <w:rPr>
          <w:spacing w:val="23"/>
          <w:sz w:val="21"/>
        </w:rPr>
        <w:t> </w:t>
      </w:r>
      <w:r>
        <w:rPr>
          <w:sz w:val="21"/>
        </w:rPr>
        <w:t>year,</w:t>
      </w:r>
      <w:r>
        <w:rPr>
          <w:spacing w:val="23"/>
          <w:sz w:val="21"/>
        </w:rPr>
        <w:t> </w:t>
      </w:r>
      <w:r>
        <w:rPr>
          <w:sz w:val="21"/>
        </w:rPr>
        <w:t>but not</w:t>
      </w:r>
      <w:r>
        <w:rPr>
          <w:spacing w:val="16"/>
          <w:sz w:val="21"/>
        </w:rPr>
        <w:t> </w:t>
      </w:r>
      <w:r>
        <w:rPr>
          <w:sz w:val="21"/>
        </w:rPr>
        <w:t>earlier</w:t>
      </w:r>
      <w:r>
        <w:rPr>
          <w:spacing w:val="16"/>
          <w:sz w:val="21"/>
        </w:rPr>
        <w:t> </w:t>
      </w:r>
      <w:r>
        <w:rPr>
          <w:sz w:val="21"/>
        </w:rPr>
        <w:t>than</w:t>
      </w:r>
      <w:r>
        <w:rPr>
          <w:spacing w:val="16"/>
          <w:sz w:val="21"/>
        </w:rPr>
        <w:t> </w:t>
      </w:r>
      <w:r>
        <w:rPr>
          <w:sz w:val="21"/>
        </w:rPr>
        <w:t>January</w:t>
      </w:r>
      <w:r>
        <w:rPr>
          <w:spacing w:val="16"/>
          <w:sz w:val="21"/>
        </w:rPr>
        <w:t> </w:t>
      </w:r>
      <w:r>
        <w:rPr>
          <w:sz w:val="21"/>
        </w:rPr>
        <w:t>1</w:t>
      </w:r>
      <w:r>
        <w:rPr>
          <w:spacing w:val="16"/>
          <w:sz w:val="21"/>
        </w:rPr>
        <w:t> </w:t>
      </w:r>
      <w:r>
        <w:rPr>
          <w:sz w:val="21"/>
        </w:rPr>
        <w:t>or</w:t>
      </w:r>
      <w:r>
        <w:rPr>
          <w:spacing w:val="16"/>
          <w:sz w:val="21"/>
        </w:rPr>
        <w:t> </w:t>
      </w:r>
      <w:r>
        <w:rPr>
          <w:sz w:val="21"/>
        </w:rPr>
        <w:t>later</w:t>
      </w:r>
      <w:r>
        <w:rPr>
          <w:spacing w:val="16"/>
          <w:sz w:val="21"/>
        </w:rPr>
        <w:t> </w:t>
      </w:r>
      <w:r>
        <w:rPr>
          <w:sz w:val="21"/>
        </w:rPr>
        <w:t>than</w:t>
      </w:r>
      <w:r>
        <w:rPr>
          <w:spacing w:val="16"/>
          <w:sz w:val="21"/>
        </w:rPr>
        <w:t> </w:t>
      </w:r>
      <w:r>
        <w:rPr>
          <w:sz w:val="21"/>
        </w:rPr>
        <w:t>March</w:t>
      </w:r>
      <w:r>
        <w:rPr>
          <w:spacing w:val="16"/>
          <w:sz w:val="21"/>
        </w:rPr>
        <w:t> </w:t>
      </w:r>
      <w:r>
        <w:rPr>
          <w:sz w:val="21"/>
        </w:rPr>
        <w:t>15</w:t>
      </w:r>
      <w:r>
        <w:rPr>
          <w:spacing w:val="16"/>
          <w:sz w:val="21"/>
        </w:rPr>
        <w:t> </w:t>
      </w:r>
      <w:r>
        <w:rPr>
          <w:sz w:val="21"/>
        </w:rPr>
        <w:t>of</w:t>
      </w:r>
      <w:r>
        <w:rPr>
          <w:spacing w:val="16"/>
          <w:sz w:val="21"/>
        </w:rPr>
        <w:t> </w:t>
      </w:r>
      <w:r>
        <w:rPr>
          <w:sz w:val="21"/>
        </w:rPr>
        <w:t>the</w:t>
      </w:r>
      <w:r>
        <w:rPr>
          <w:spacing w:val="16"/>
          <w:sz w:val="21"/>
        </w:rPr>
        <w:t> </w:t>
      </w:r>
      <w:r>
        <w:rPr>
          <w:sz w:val="21"/>
        </w:rPr>
        <w:t>year</w:t>
      </w:r>
      <w:r>
        <w:rPr>
          <w:spacing w:val="16"/>
          <w:sz w:val="21"/>
        </w:rPr>
        <w:t> </w:t>
      </w:r>
      <w:r>
        <w:rPr>
          <w:sz w:val="21"/>
        </w:rPr>
        <w:t>immediately</w:t>
      </w:r>
      <w:r>
        <w:rPr>
          <w:spacing w:val="16"/>
          <w:sz w:val="21"/>
        </w:rPr>
        <w:t> </w:t>
      </w:r>
      <w:r>
        <w:rPr>
          <w:sz w:val="21"/>
        </w:rPr>
        <w:t>following</w:t>
      </w:r>
      <w:r>
        <w:rPr>
          <w:spacing w:val="16"/>
          <w:sz w:val="21"/>
        </w:rPr>
        <w:t> </w:t>
      </w:r>
      <w:r>
        <w:rPr>
          <w:sz w:val="21"/>
        </w:rPr>
        <w:t>the</w:t>
      </w:r>
      <w:r>
        <w:rPr>
          <w:spacing w:val="16"/>
          <w:sz w:val="21"/>
        </w:rPr>
        <w:t> </w:t>
      </w:r>
      <w:r>
        <w:rPr>
          <w:sz w:val="21"/>
        </w:rPr>
        <w:t>end</w:t>
      </w:r>
      <w:r>
        <w:rPr>
          <w:spacing w:val="16"/>
          <w:sz w:val="21"/>
        </w:rPr>
        <w:t> </w:t>
      </w:r>
      <w:r>
        <w:rPr>
          <w:sz w:val="21"/>
        </w:rPr>
        <w:t>of</w:t>
      </w:r>
      <w:r>
        <w:rPr>
          <w:spacing w:val="16"/>
          <w:sz w:val="21"/>
        </w:rPr>
        <w:t> </w:t>
      </w:r>
      <w:r>
        <w:rPr>
          <w:sz w:val="21"/>
        </w:rPr>
        <w:t>each</w:t>
      </w:r>
      <w:r>
        <w:rPr>
          <w:spacing w:val="16"/>
          <w:sz w:val="21"/>
        </w:rPr>
        <w:t> </w:t>
      </w:r>
      <w:r>
        <w:rPr>
          <w:sz w:val="21"/>
        </w:rPr>
        <w:t>fiscal</w:t>
      </w:r>
      <w:r>
        <w:rPr>
          <w:spacing w:val="16"/>
          <w:sz w:val="21"/>
        </w:rPr>
        <w:t> </w:t>
      </w:r>
      <w:r>
        <w:rPr>
          <w:sz w:val="21"/>
        </w:rPr>
        <w:t>year;</w:t>
      </w:r>
      <w:r>
        <w:rPr>
          <w:spacing w:val="16"/>
          <w:sz w:val="21"/>
        </w:rPr>
        <w:t> </w:t>
      </w:r>
      <w:r>
        <w:rPr>
          <w:sz w:val="21"/>
        </w:rPr>
        <w:t>provided</w:t>
      </w:r>
      <w:r>
        <w:rPr>
          <w:spacing w:val="16"/>
          <w:sz w:val="21"/>
        </w:rPr>
        <w:t> </w:t>
      </w:r>
      <w:r>
        <w:rPr>
          <w:sz w:val="21"/>
        </w:rPr>
        <w:t>that</w:t>
      </w:r>
      <w:r>
        <w:rPr>
          <w:spacing w:val="16"/>
          <w:sz w:val="21"/>
        </w:rPr>
        <w:t> </w:t>
      </w:r>
      <w:r>
        <w:rPr>
          <w:sz w:val="21"/>
        </w:rPr>
        <w:t>to the</w:t>
      </w:r>
      <w:r>
        <w:rPr>
          <w:spacing w:val="26"/>
          <w:sz w:val="21"/>
        </w:rPr>
        <w:t> </w:t>
      </w:r>
      <w:r>
        <w:rPr>
          <w:sz w:val="21"/>
        </w:rPr>
        <w:t>extent</w:t>
      </w:r>
      <w:r>
        <w:rPr>
          <w:spacing w:val="26"/>
          <w:sz w:val="21"/>
        </w:rPr>
        <w:t> </w:t>
      </w:r>
      <w:r>
        <w:rPr>
          <w:sz w:val="21"/>
        </w:rPr>
        <w:t>any</w:t>
      </w:r>
      <w:r>
        <w:rPr>
          <w:spacing w:val="26"/>
          <w:sz w:val="21"/>
        </w:rPr>
        <w:t> </w:t>
      </w:r>
      <w:r>
        <w:rPr>
          <w:sz w:val="21"/>
        </w:rPr>
        <w:t>such</w:t>
      </w:r>
      <w:r>
        <w:rPr>
          <w:spacing w:val="26"/>
          <w:sz w:val="21"/>
        </w:rPr>
        <w:t> </w:t>
      </w:r>
      <w:r>
        <w:rPr>
          <w:sz w:val="21"/>
        </w:rPr>
        <w:t>bonus</w:t>
      </w:r>
      <w:r>
        <w:rPr>
          <w:spacing w:val="26"/>
          <w:sz w:val="21"/>
        </w:rPr>
        <w:t> </w:t>
      </w:r>
      <w:r>
        <w:rPr>
          <w:sz w:val="21"/>
        </w:rPr>
        <w:t>is</w:t>
      </w:r>
      <w:r>
        <w:rPr>
          <w:spacing w:val="26"/>
          <w:sz w:val="21"/>
        </w:rPr>
        <w:t> </w:t>
      </w:r>
      <w:r>
        <w:rPr>
          <w:sz w:val="21"/>
        </w:rPr>
        <w:t>in</w:t>
      </w:r>
      <w:r>
        <w:rPr>
          <w:spacing w:val="26"/>
          <w:sz w:val="21"/>
        </w:rPr>
        <w:t> </w:t>
      </w:r>
      <w:r>
        <w:rPr>
          <w:sz w:val="21"/>
        </w:rPr>
        <w:t>excess</w:t>
      </w:r>
      <w:r>
        <w:rPr>
          <w:spacing w:val="26"/>
          <w:sz w:val="21"/>
        </w:rPr>
        <w:t> </w:t>
      </w:r>
      <w:r>
        <w:rPr>
          <w:sz w:val="21"/>
        </w:rPr>
        <w:t>of</w:t>
      </w:r>
      <w:r>
        <w:rPr>
          <w:spacing w:val="26"/>
          <w:sz w:val="21"/>
        </w:rPr>
        <w:t> </w:t>
      </w:r>
      <w:r>
        <w:rPr>
          <w:b/>
          <w:sz w:val="21"/>
        </w:rPr>
        <w:t>150%</w:t>
      </w:r>
      <w:r>
        <w:rPr>
          <w:b/>
          <w:spacing w:val="26"/>
          <w:sz w:val="21"/>
        </w:rPr>
        <w:t> </w:t>
      </w:r>
      <w:r>
        <w:rPr>
          <w:sz w:val="21"/>
        </w:rPr>
        <w:t>of</w:t>
      </w:r>
      <w:r>
        <w:rPr>
          <w:spacing w:val="26"/>
          <w:sz w:val="21"/>
        </w:rPr>
        <w:t> </w:t>
      </w:r>
      <w:r>
        <w:rPr>
          <w:sz w:val="21"/>
        </w:rPr>
        <w:t>the</w:t>
      </w:r>
      <w:r>
        <w:rPr>
          <w:spacing w:val="22"/>
          <w:sz w:val="21"/>
        </w:rPr>
        <w:t> </w:t>
      </w:r>
      <w:r>
        <w:rPr>
          <w:sz w:val="21"/>
        </w:rPr>
        <w:t>Target</w:t>
      </w:r>
      <w:r>
        <w:rPr>
          <w:spacing w:val="26"/>
          <w:sz w:val="21"/>
        </w:rPr>
        <w:t> </w:t>
      </w:r>
      <w:r>
        <w:rPr>
          <w:sz w:val="21"/>
        </w:rPr>
        <w:t>Bonus</w:t>
      </w:r>
      <w:r>
        <w:rPr>
          <w:spacing w:val="26"/>
          <w:sz w:val="21"/>
        </w:rPr>
        <w:t> </w:t>
      </w:r>
      <w:r>
        <w:rPr>
          <w:sz w:val="21"/>
        </w:rPr>
        <w:t>(such</w:t>
      </w:r>
      <w:r>
        <w:rPr>
          <w:spacing w:val="26"/>
          <w:sz w:val="21"/>
        </w:rPr>
        <w:t> </w:t>
      </w:r>
      <w:r>
        <w:rPr>
          <w:sz w:val="21"/>
        </w:rPr>
        <w:t>excess</w:t>
      </w:r>
      <w:r>
        <w:rPr>
          <w:spacing w:val="26"/>
          <w:sz w:val="21"/>
        </w:rPr>
        <w:t> </w:t>
      </w:r>
      <w:r>
        <w:rPr>
          <w:sz w:val="21"/>
        </w:rPr>
        <w:t>portion,</w:t>
      </w:r>
      <w:r>
        <w:rPr>
          <w:spacing w:val="26"/>
          <w:sz w:val="21"/>
        </w:rPr>
        <w:t> </w:t>
      </w:r>
      <w:r>
        <w:rPr>
          <w:sz w:val="21"/>
        </w:rPr>
        <w:t>the</w:t>
      </w:r>
      <w:r>
        <w:rPr>
          <w:spacing w:val="26"/>
          <w:sz w:val="21"/>
        </w:rPr>
        <w:t> </w:t>
      </w:r>
      <w:r>
        <w:rPr>
          <w:sz w:val="21"/>
        </w:rPr>
        <w:t>“Incremental</w:t>
      </w:r>
      <w:r>
        <w:rPr>
          <w:spacing w:val="26"/>
          <w:sz w:val="21"/>
        </w:rPr>
        <w:t> </w:t>
      </w:r>
      <w:r>
        <w:rPr>
          <w:sz w:val="21"/>
        </w:rPr>
        <w:t>Bonus Amount”), the</w:t>
      </w:r>
      <w:r>
        <w:rPr>
          <w:spacing w:val="21"/>
          <w:sz w:val="21"/>
        </w:rPr>
        <w:t> </w:t>
      </w:r>
      <w:r>
        <w:rPr>
          <w:sz w:val="21"/>
        </w:rPr>
        <w:t>Incremental</w:t>
      </w:r>
      <w:r>
        <w:rPr>
          <w:spacing w:val="21"/>
          <w:sz w:val="21"/>
        </w:rPr>
        <w:t> </w:t>
      </w:r>
      <w:r>
        <w:rPr>
          <w:sz w:val="21"/>
        </w:rPr>
        <w:t>Bonus Amount</w:t>
      </w:r>
      <w:r>
        <w:rPr>
          <w:spacing w:val="21"/>
          <w:sz w:val="21"/>
        </w:rPr>
        <w:t> </w:t>
      </w:r>
      <w:r>
        <w:rPr>
          <w:sz w:val="21"/>
        </w:rPr>
        <w:t>shall</w:t>
      </w:r>
      <w:r>
        <w:rPr>
          <w:spacing w:val="21"/>
          <w:sz w:val="21"/>
        </w:rPr>
        <w:t> </w:t>
      </w:r>
      <w:r>
        <w:rPr>
          <w:sz w:val="21"/>
        </w:rPr>
        <w:t>be</w:t>
      </w:r>
      <w:r>
        <w:rPr>
          <w:spacing w:val="21"/>
          <w:sz w:val="21"/>
        </w:rPr>
        <w:t> </w:t>
      </w:r>
      <w:r>
        <w:rPr>
          <w:sz w:val="21"/>
        </w:rPr>
        <w:t>payable</w:t>
      </w:r>
      <w:r>
        <w:rPr>
          <w:spacing w:val="21"/>
          <w:sz w:val="21"/>
        </w:rPr>
        <w:t> </w:t>
      </w:r>
      <w:r>
        <w:rPr>
          <w:sz w:val="21"/>
        </w:rPr>
        <w:t>100%</w:t>
      </w:r>
      <w:r>
        <w:rPr>
          <w:spacing w:val="21"/>
          <w:sz w:val="21"/>
        </w:rPr>
        <w:t> </w:t>
      </w:r>
      <w:r>
        <w:rPr>
          <w:sz w:val="21"/>
        </w:rPr>
        <w:t>in</w:t>
      </w:r>
      <w:r>
        <w:rPr>
          <w:spacing w:val="21"/>
          <w:sz w:val="21"/>
        </w:rPr>
        <w:t> </w:t>
      </w:r>
      <w:r>
        <w:rPr>
          <w:sz w:val="21"/>
        </w:rPr>
        <w:t>the</w:t>
      </w:r>
      <w:r>
        <w:rPr>
          <w:spacing w:val="21"/>
          <w:sz w:val="21"/>
        </w:rPr>
        <w:t> </w:t>
      </w:r>
      <w:r>
        <w:rPr>
          <w:sz w:val="21"/>
        </w:rPr>
        <w:t>form</w:t>
      </w:r>
      <w:r>
        <w:rPr>
          <w:spacing w:val="21"/>
          <w:sz w:val="21"/>
        </w:rPr>
        <w:t> </w:t>
      </w:r>
      <w:r>
        <w:rPr>
          <w:sz w:val="21"/>
        </w:rPr>
        <w:t>of</w:t>
      </w:r>
      <w:r>
        <w:rPr>
          <w:spacing w:val="21"/>
          <w:sz w:val="21"/>
        </w:rPr>
        <w:t> </w:t>
      </w:r>
      <w:r>
        <w:rPr>
          <w:sz w:val="21"/>
        </w:rPr>
        <w:t>fully</w:t>
      </w:r>
      <w:r>
        <w:rPr>
          <w:spacing w:val="21"/>
          <w:sz w:val="21"/>
        </w:rPr>
        <w:t> </w:t>
      </w:r>
      <w:r>
        <w:rPr>
          <w:sz w:val="21"/>
        </w:rPr>
        <w:t>vested</w:t>
      </w:r>
      <w:r>
        <w:rPr>
          <w:spacing w:val="21"/>
          <w:sz w:val="21"/>
        </w:rPr>
        <w:t> </w:t>
      </w:r>
      <w:r>
        <w:rPr>
          <w:sz w:val="21"/>
        </w:rPr>
        <w:t>restricted</w:t>
      </w:r>
      <w:r>
        <w:rPr>
          <w:spacing w:val="21"/>
          <w:sz w:val="21"/>
        </w:rPr>
        <w:t> </w:t>
      </w:r>
      <w:r>
        <w:rPr>
          <w:sz w:val="21"/>
        </w:rPr>
        <w:t>stock</w:t>
      </w:r>
      <w:r>
        <w:rPr>
          <w:spacing w:val="21"/>
          <w:sz w:val="21"/>
        </w:rPr>
        <w:t> </w:t>
      </w:r>
      <w:r>
        <w:rPr>
          <w:sz w:val="21"/>
        </w:rPr>
        <w:t>units</w:t>
      </w:r>
      <w:r>
        <w:rPr>
          <w:spacing w:val="21"/>
          <w:sz w:val="21"/>
        </w:rPr>
        <w:t> </w:t>
      </w:r>
      <w:r>
        <w:rPr>
          <w:sz w:val="21"/>
        </w:rPr>
        <w:t>(the</w:t>
      </w:r>
      <w:r>
        <w:rPr>
          <w:spacing w:val="21"/>
          <w:sz w:val="21"/>
        </w:rPr>
        <w:t> </w:t>
      </w:r>
      <w:r>
        <w:rPr>
          <w:sz w:val="21"/>
        </w:rPr>
        <w:t>“Deferred</w:t>
      </w:r>
      <w:r>
        <w:rPr>
          <w:spacing w:val="21"/>
          <w:sz w:val="21"/>
        </w:rPr>
        <w:t> </w:t>
      </w:r>
      <w:r>
        <w:rPr>
          <w:sz w:val="21"/>
        </w:rPr>
        <w:t>RSUs”). The Deferred RSUs will be granted as of the Bonus Determination Date pursuant to the terms of the Company's 2022 Omnibus Incentive Plan and the Company's Form of Deferred Restricted Stock Unit Agreement for Bonus Payouts (the “Award Agreement”). The Deferred RSUs shall be payable annually in four equal installments over the four-year period following the</w:t>
      </w:r>
      <w:r>
        <w:rPr>
          <w:spacing w:val="80"/>
          <w:sz w:val="21"/>
        </w:rPr>
        <w:t> </w:t>
      </w:r>
      <w:r>
        <w:rPr>
          <w:sz w:val="21"/>
        </w:rPr>
        <w:t>grant</w:t>
      </w:r>
      <w:r>
        <w:rPr>
          <w:spacing w:val="30"/>
          <w:sz w:val="21"/>
        </w:rPr>
        <w:t> </w:t>
      </w:r>
      <w:r>
        <w:rPr>
          <w:sz w:val="21"/>
        </w:rPr>
        <w:t>date,</w:t>
      </w:r>
      <w:r>
        <w:rPr>
          <w:spacing w:val="30"/>
          <w:sz w:val="21"/>
        </w:rPr>
        <w:t> </w:t>
      </w:r>
      <w:r>
        <w:rPr>
          <w:sz w:val="21"/>
        </w:rPr>
        <w:t>subject</w:t>
      </w:r>
      <w:r>
        <w:rPr>
          <w:spacing w:val="30"/>
          <w:sz w:val="21"/>
        </w:rPr>
        <w:t> </w:t>
      </w:r>
      <w:r>
        <w:rPr>
          <w:sz w:val="21"/>
        </w:rPr>
        <w:t>to</w:t>
      </w:r>
      <w:r>
        <w:rPr>
          <w:spacing w:val="30"/>
          <w:sz w:val="21"/>
        </w:rPr>
        <w:t> </w:t>
      </w:r>
      <w:r>
        <w:rPr>
          <w:sz w:val="21"/>
        </w:rPr>
        <w:t>acceleration</w:t>
      </w:r>
      <w:r>
        <w:rPr>
          <w:spacing w:val="30"/>
          <w:sz w:val="21"/>
        </w:rPr>
        <w:t> </w:t>
      </w:r>
      <w:r>
        <w:rPr>
          <w:sz w:val="21"/>
        </w:rPr>
        <w:t>in</w:t>
      </w:r>
      <w:r>
        <w:rPr>
          <w:spacing w:val="30"/>
          <w:sz w:val="21"/>
        </w:rPr>
        <w:t> </w:t>
      </w:r>
      <w:r>
        <w:rPr>
          <w:sz w:val="21"/>
        </w:rPr>
        <w:t>the</w:t>
      </w:r>
      <w:r>
        <w:rPr>
          <w:spacing w:val="30"/>
          <w:sz w:val="21"/>
        </w:rPr>
        <w:t> </w:t>
      </w:r>
      <w:r>
        <w:rPr>
          <w:sz w:val="21"/>
        </w:rPr>
        <w:t>event</w:t>
      </w:r>
      <w:r>
        <w:rPr>
          <w:spacing w:val="30"/>
          <w:sz w:val="21"/>
        </w:rPr>
        <w:t> </w:t>
      </w:r>
      <w:r>
        <w:rPr>
          <w:sz w:val="21"/>
        </w:rPr>
        <w:t>of</w:t>
      </w:r>
      <w:r>
        <w:rPr>
          <w:spacing w:val="30"/>
          <w:sz w:val="21"/>
        </w:rPr>
        <w:t> </w:t>
      </w:r>
      <w:r>
        <w:rPr>
          <w:sz w:val="21"/>
        </w:rPr>
        <w:t>the</w:t>
      </w:r>
      <w:r>
        <w:rPr>
          <w:spacing w:val="30"/>
          <w:sz w:val="21"/>
        </w:rPr>
        <w:t> </w:t>
      </w:r>
      <w:r>
        <w:rPr>
          <w:sz w:val="21"/>
        </w:rPr>
        <w:t>Employee’s</w:t>
      </w:r>
      <w:r>
        <w:rPr>
          <w:spacing w:val="30"/>
          <w:sz w:val="21"/>
        </w:rPr>
        <w:t> </w:t>
      </w:r>
      <w:r>
        <w:rPr>
          <w:sz w:val="21"/>
        </w:rPr>
        <w:t>termination</w:t>
      </w:r>
      <w:r>
        <w:rPr>
          <w:spacing w:val="30"/>
          <w:sz w:val="21"/>
        </w:rPr>
        <w:t> </w:t>
      </w:r>
      <w:r>
        <w:rPr>
          <w:sz w:val="21"/>
        </w:rPr>
        <w:t>of</w:t>
      </w:r>
      <w:r>
        <w:rPr>
          <w:spacing w:val="30"/>
          <w:sz w:val="21"/>
        </w:rPr>
        <w:t> </w:t>
      </w:r>
      <w:r>
        <w:rPr>
          <w:sz w:val="21"/>
        </w:rPr>
        <w:t>employment,</w:t>
      </w:r>
      <w:r>
        <w:rPr>
          <w:spacing w:val="30"/>
          <w:sz w:val="21"/>
        </w:rPr>
        <w:t> </w:t>
      </w:r>
      <w:r>
        <w:rPr>
          <w:sz w:val="21"/>
        </w:rPr>
        <w:t>in</w:t>
      </w:r>
      <w:r>
        <w:rPr>
          <w:spacing w:val="30"/>
          <w:sz w:val="21"/>
        </w:rPr>
        <w:t> </w:t>
      </w:r>
      <w:r>
        <w:rPr>
          <w:sz w:val="21"/>
        </w:rPr>
        <w:t>accordance</w:t>
      </w:r>
      <w:r>
        <w:rPr>
          <w:spacing w:val="30"/>
          <w:sz w:val="21"/>
        </w:rPr>
        <w:t> </w:t>
      </w:r>
      <w:r>
        <w:rPr>
          <w:sz w:val="21"/>
        </w:rPr>
        <w:t>with</w:t>
      </w:r>
      <w:r>
        <w:rPr>
          <w:spacing w:val="30"/>
          <w:sz w:val="21"/>
        </w:rPr>
        <w:t> </w:t>
      </w:r>
      <w:r>
        <w:rPr>
          <w:sz w:val="21"/>
        </w:rPr>
        <w:t>the</w:t>
      </w:r>
      <w:r>
        <w:rPr>
          <w:spacing w:val="30"/>
          <w:sz w:val="21"/>
        </w:rPr>
        <w:t> </w:t>
      </w:r>
      <w:r>
        <w:rPr>
          <w:sz w:val="21"/>
        </w:rPr>
        <w:t>specific terms</w:t>
      </w:r>
      <w:r>
        <w:rPr>
          <w:spacing w:val="19"/>
          <w:sz w:val="21"/>
        </w:rPr>
        <w:t> </w:t>
      </w:r>
      <w:r>
        <w:rPr>
          <w:sz w:val="21"/>
        </w:rPr>
        <w:t>set</w:t>
      </w:r>
      <w:r>
        <w:rPr>
          <w:spacing w:val="19"/>
          <w:sz w:val="21"/>
        </w:rPr>
        <w:t> </w:t>
      </w:r>
      <w:r>
        <w:rPr>
          <w:sz w:val="21"/>
        </w:rPr>
        <w:t>forth</w:t>
      </w:r>
      <w:r>
        <w:rPr>
          <w:spacing w:val="19"/>
          <w:sz w:val="21"/>
        </w:rPr>
        <w:t> </w:t>
      </w:r>
      <w:r>
        <w:rPr>
          <w:sz w:val="21"/>
        </w:rPr>
        <w:t>in</w:t>
      </w:r>
      <w:r>
        <w:rPr>
          <w:spacing w:val="19"/>
          <w:sz w:val="21"/>
        </w:rPr>
        <w:t> </w:t>
      </w:r>
      <w:r>
        <w:rPr>
          <w:sz w:val="21"/>
        </w:rPr>
        <w:t>the Award Agreement. Any</w:t>
      </w:r>
      <w:r>
        <w:rPr>
          <w:spacing w:val="19"/>
          <w:sz w:val="21"/>
        </w:rPr>
        <w:t> </w:t>
      </w:r>
      <w:r>
        <w:rPr>
          <w:sz w:val="21"/>
        </w:rPr>
        <w:t>such</w:t>
      </w:r>
      <w:r>
        <w:rPr>
          <w:spacing w:val="19"/>
          <w:sz w:val="21"/>
        </w:rPr>
        <w:t> </w:t>
      </w:r>
      <w:r>
        <w:rPr>
          <w:sz w:val="21"/>
        </w:rPr>
        <w:t>bonus</w:t>
      </w:r>
      <w:r>
        <w:rPr>
          <w:spacing w:val="19"/>
          <w:sz w:val="21"/>
        </w:rPr>
        <w:t> </w:t>
      </w:r>
      <w:r>
        <w:rPr>
          <w:sz w:val="21"/>
        </w:rPr>
        <w:t>shall</w:t>
      </w:r>
      <w:r>
        <w:rPr>
          <w:spacing w:val="19"/>
          <w:sz w:val="21"/>
        </w:rPr>
        <w:t> </w:t>
      </w:r>
      <w:r>
        <w:rPr>
          <w:sz w:val="21"/>
        </w:rPr>
        <w:t>be</w:t>
      </w:r>
      <w:r>
        <w:rPr>
          <w:spacing w:val="19"/>
          <w:sz w:val="21"/>
        </w:rPr>
        <w:t> </w:t>
      </w:r>
      <w:r>
        <w:rPr>
          <w:sz w:val="21"/>
        </w:rPr>
        <w:t>subject</w:t>
      </w:r>
      <w:r>
        <w:rPr>
          <w:spacing w:val="19"/>
          <w:sz w:val="21"/>
        </w:rPr>
        <w:t> </w:t>
      </w:r>
      <w:r>
        <w:rPr>
          <w:sz w:val="21"/>
        </w:rPr>
        <w:t>to</w:t>
      </w:r>
      <w:r>
        <w:rPr>
          <w:spacing w:val="19"/>
          <w:sz w:val="21"/>
        </w:rPr>
        <w:t> </w:t>
      </w:r>
      <w:r>
        <w:rPr>
          <w:sz w:val="21"/>
        </w:rPr>
        <w:t>the</w:t>
      </w:r>
      <w:r>
        <w:rPr>
          <w:spacing w:val="19"/>
          <w:sz w:val="21"/>
        </w:rPr>
        <w:t> </w:t>
      </w:r>
      <w:r>
        <w:rPr>
          <w:sz w:val="21"/>
        </w:rPr>
        <w:t>Policy</w:t>
      </w:r>
      <w:r>
        <w:rPr>
          <w:spacing w:val="19"/>
          <w:sz w:val="21"/>
        </w:rPr>
        <w:t> </w:t>
      </w:r>
      <w:r>
        <w:rPr>
          <w:sz w:val="21"/>
        </w:rPr>
        <w:t>on</w:t>
      </w:r>
      <w:r>
        <w:rPr>
          <w:spacing w:val="19"/>
          <w:sz w:val="21"/>
        </w:rPr>
        <w:t> </w:t>
      </w:r>
      <w:r>
        <w:rPr>
          <w:sz w:val="21"/>
        </w:rPr>
        <w:t>Recovery</w:t>
      </w:r>
      <w:r>
        <w:rPr>
          <w:spacing w:val="19"/>
          <w:sz w:val="21"/>
        </w:rPr>
        <w:t> </w:t>
      </w:r>
      <w:r>
        <w:rPr>
          <w:sz w:val="21"/>
        </w:rPr>
        <w:t>of</w:t>
      </w:r>
      <w:r>
        <w:rPr>
          <w:spacing w:val="19"/>
          <w:sz w:val="21"/>
        </w:rPr>
        <w:t> </w:t>
      </w:r>
      <w:r>
        <w:rPr>
          <w:sz w:val="21"/>
        </w:rPr>
        <w:t>Incentive</w:t>
      </w:r>
      <w:r>
        <w:rPr>
          <w:spacing w:val="19"/>
          <w:sz w:val="21"/>
        </w:rPr>
        <w:t> </w:t>
      </w:r>
      <w:r>
        <w:rPr>
          <w:sz w:val="21"/>
        </w:rPr>
        <w:t>Compensation in</w:t>
      </w:r>
      <w:r>
        <w:rPr>
          <w:spacing w:val="40"/>
          <w:sz w:val="21"/>
        </w:rPr>
        <w:t> </w:t>
      </w:r>
      <w:r>
        <w:rPr>
          <w:sz w:val="21"/>
        </w:rPr>
        <w:t>Event</w:t>
      </w:r>
      <w:r>
        <w:rPr>
          <w:spacing w:val="40"/>
          <w:sz w:val="21"/>
        </w:rPr>
        <w:t> </w:t>
      </w:r>
      <w:r>
        <w:rPr>
          <w:sz w:val="21"/>
        </w:rPr>
        <w:t>of</w:t>
      </w:r>
      <w:r>
        <w:rPr>
          <w:spacing w:val="40"/>
          <w:sz w:val="21"/>
        </w:rPr>
        <w:t> </w:t>
      </w:r>
      <w:r>
        <w:rPr>
          <w:sz w:val="21"/>
        </w:rPr>
        <w:t>Financial</w:t>
      </w:r>
      <w:r>
        <w:rPr>
          <w:spacing w:val="40"/>
          <w:sz w:val="21"/>
        </w:rPr>
        <w:t> </w:t>
      </w:r>
      <w:r>
        <w:rPr>
          <w:sz w:val="21"/>
        </w:rPr>
        <w:t>Restatement,</w:t>
      </w:r>
      <w:r>
        <w:rPr>
          <w:spacing w:val="40"/>
          <w:sz w:val="21"/>
        </w:rPr>
        <w:t> </w:t>
      </w:r>
      <w:r>
        <w:rPr>
          <w:sz w:val="21"/>
        </w:rPr>
        <w:t>as</w:t>
      </w:r>
      <w:r>
        <w:rPr>
          <w:spacing w:val="40"/>
          <w:sz w:val="21"/>
        </w:rPr>
        <w:t> </w:t>
      </w:r>
      <w:r>
        <w:rPr>
          <w:sz w:val="21"/>
        </w:rPr>
        <w:t>may</w:t>
      </w:r>
      <w:r>
        <w:rPr>
          <w:spacing w:val="40"/>
          <w:sz w:val="21"/>
        </w:rPr>
        <w:t> </w:t>
      </w:r>
      <w:r>
        <w:rPr>
          <w:sz w:val="21"/>
        </w:rPr>
        <w:t>be</w:t>
      </w:r>
      <w:r>
        <w:rPr>
          <w:spacing w:val="40"/>
          <w:sz w:val="21"/>
        </w:rPr>
        <w:t> </w:t>
      </w:r>
      <w:r>
        <w:rPr>
          <w:sz w:val="21"/>
        </w:rPr>
        <w:t>amended</w:t>
      </w:r>
      <w:r>
        <w:rPr>
          <w:spacing w:val="40"/>
          <w:sz w:val="21"/>
        </w:rPr>
        <w:t> </w:t>
      </w:r>
      <w:r>
        <w:rPr>
          <w:sz w:val="21"/>
        </w:rPr>
        <w:t>by</w:t>
      </w:r>
      <w:r>
        <w:rPr>
          <w:spacing w:val="40"/>
          <w:sz w:val="21"/>
        </w:rPr>
        <w:t> </w:t>
      </w:r>
      <w:r>
        <w:rPr>
          <w:sz w:val="21"/>
        </w:rPr>
        <w:t>the</w:t>
      </w:r>
      <w:r>
        <w:rPr>
          <w:spacing w:val="40"/>
          <w:sz w:val="21"/>
        </w:rPr>
        <w:t> </w:t>
      </w:r>
      <w:r>
        <w:rPr>
          <w:sz w:val="21"/>
        </w:rPr>
        <w:t>Company</w:t>
      </w:r>
      <w:r>
        <w:rPr>
          <w:spacing w:val="40"/>
          <w:sz w:val="21"/>
        </w:rPr>
        <w:t> </w:t>
      </w:r>
      <w:r>
        <w:rPr>
          <w:sz w:val="21"/>
        </w:rPr>
        <w:t>from</w:t>
      </w:r>
      <w:r>
        <w:rPr>
          <w:spacing w:val="40"/>
          <w:sz w:val="21"/>
        </w:rPr>
        <w:t> </w:t>
      </w:r>
      <w:r>
        <w:rPr>
          <w:sz w:val="21"/>
        </w:rPr>
        <w:t>time</w:t>
      </w:r>
      <w:r>
        <w:rPr>
          <w:spacing w:val="40"/>
          <w:sz w:val="21"/>
        </w:rPr>
        <w:t> </w:t>
      </w:r>
      <w:r>
        <w:rPr>
          <w:sz w:val="21"/>
        </w:rPr>
        <w:t>to</w:t>
      </w:r>
      <w:r>
        <w:rPr>
          <w:spacing w:val="40"/>
          <w:sz w:val="21"/>
        </w:rPr>
        <w:t> </w:t>
      </w:r>
      <w:r>
        <w:rPr>
          <w:sz w:val="21"/>
        </w:rPr>
        <w:t>time</w:t>
      </w:r>
      <w:r>
        <w:rPr>
          <w:spacing w:val="40"/>
          <w:sz w:val="21"/>
        </w:rPr>
        <w:t> </w:t>
      </w:r>
      <w:r>
        <w:rPr>
          <w:sz w:val="21"/>
        </w:rPr>
        <w:t>in</w:t>
      </w:r>
      <w:r>
        <w:rPr>
          <w:spacing w:val="40"/>
          <w:sz w:val="21"/>
        </w:rPr>
        <w:t> </w:t>
      </w:r>
      <w:r>
        <w:rPr>
          <w:sz w:val="21"/>
        </w:rPr>
        <w:t>its</w:t>
      </w:r>
      <w:r>
        <w:rPr>
          <w:spacing w:val="40"/>
          <w:sz w:val="21"/>
        </w:rPr>
        <w:t> </w:t>
      </w:r>
      <w:r>
        <w:rPr>
          <w:sz w:val="21"/>
        </w:rPr>
        <w:t>discretion,</w:t>
      </w:r>
      <w:r>
        <w:rPr>
          <w:spacing w:val="40"/>
          <w:sz w:val="21"/>
        </w:rPr>
        <w:t> </w:t>
      </w:r>
      <w:r>
        <w:rPr>
          <w:sz w:val="21"/>
        </w:rPr>
        <w:t>and</w:t>
      </w:r>
      <w:r>
        <w:rPr>
          <w:spacing w:val="40"/>
          <w:sz w:val="21"/>
        </w:rPr>
        <w:t> </w:t>
      </w:r>
      <w:r>
        <w:rPr>
          <w:sz w:val="21"/>
        </w:rPr>
        <w:t>any</w:t>
      </w:r>
      <w:r>
        <w:rPr>
          <w:spacing w:val="40"/>
          <w:sz w:val="21"/>
        </w:rPr>
        <w:t> </w:t>
      </w:r>
      <w:r>
        <w:rPr>
          <w:sz w:val="21"/>
        </w:rPr>
        <w:t>other clawback</w:t>
      </w:r>
      <w:r>
        <w:rPr>
          <w:spacing w:val="36"/>
          <w:sz w:val="21"/>
        </w:rPr>
        <w:t> </w:t>
      </w:r>
      <w:r>
        <w:rPr>
          <w:sz w:val="21"/>
        </w:rPr>
        <w:t>policies</w:t>
      </w:r>
      <w:r>
        <w:rPr>
          <w:spacing w:val="36"/>
          <w:sz w:val="21"/>
        </w:rPr>
        <w:t> </w:t>
      </w:r>
      <w:r>
        <w:rPr>
          <w:sz w:val="21"/>
        </w:rPr>
        <w:t>as</w:t>
      </w:r>
      <w:r>
        <w:rPr>
          <w:spacing w:val="36"/>
          <w:sz w:val="21"/>
        </w:rPr>
        <w:t> </w:t>
      </w:r>
      <w:r>
        <w:rPr>
          <w:sz w:val="21"/>
        </w:rPr>
        <w:t>may</w:t>
      </w:r>
      <w:r>
        <w:rPr>
          <w:spacing w:val="36"/>
          <w:sz w:val="21"/>
        </w:rPr>
        <w:t> </w:t>
      </w:r>
      <w:r>
        <w:rPr>
          <w:sz w:val="21"/>
        </w:rPr>
        <w:t>be</w:t>
      </w:r>
      <w:r>
        <w:rPr>
          <w:spacing w:val="36"/>
          <w:sz w:val="21"/>
        </w:rPr>
        <w:t> </w:t>
      </w:r>
      <w:r>
        <w:rPr>
          <w:sz w:val="21"/>
        </w:rPr>
        <w:t>adopted</w:t>
      </w:r>
      <w:r>
        <w:rPr>
          <w:spacing w:val="36"/>
          <w:sz w:val="21"/>
        </w:rPr>
        <w:t> </w:t>
      </w:r>
      <w:r>
        <w:rPr>
          <w:sz w:val="21"/>
        </w:rPr>
        <w:t>from</w:t>
      </w:r>
      <w:r>
        <w:rPr>
          <w:spacing w:val="36"/>
          <w:sz w:val="21"/>
        </w:rPr>
        <w:t> </w:t>
      </w:r>
      <w:r>
        <w:rPr>
          <w:sz w:val="21"/>
        </w:rPr>
        <w:t>time</w:t>
      </w:r>
      <w:r>
        <w:rPr>
          <w:spacing w:val="36"/>
          <w:sz w:val="21"/>
        </w:rPr>
        <w:t> </w:t>
      </w:r>
      <w:r>
        <w:rPr>
          <w:sz w:val="21"/>
        </w:rPr>
        <w:t>to</w:t>
      </w:r>
      <w:r>
        <w:rPr>
          <w:spacing w:val="36"/>
          <w:sz w:val="21"/>
        </w:rPr>
        <w:t> </w:t>
      </w:r>
      <w:r>
        <w:rPr>
          <w:sz w:val="21"/>
        </w:rPr>
        <w:t>time,</w:t>
      </w:r>
      <w:r>
        <w:rPr>
          <w:spacing w:val="36"/>
          <w:sz w:val="21"/>
        </w:rPr>
        <w:t> </w:t>
      </w:r>
      <w:r>
        <w:rPr>
          <w:sz w:val="21"/>
        </w:rPr>
        <w:t>including</w:t>
      </w:r>
      <w:r>
        <w:rPr>
          <w:spacing w:val="36"/>
          <w:sz w:val="21"/>
        </w:rPr>
        <w:t> </w:t>
      </w:r>
      <w:r>
        <w:rPr>
          <w:sz w:val="21"/>
        </w:rPr>
        <w:t>but</w:t>
      </w:r>
      <w:r>
        <w:rPr>
          <w:spacing w:val="36"/>
          <w:sz w:val="21"/>
        </w:rPr>
        <w:t> </w:t>
      </w:r>
      <w:r>
        <w:rPr>
          <w:sz w:val="21"/>
        </w:rPr>
        <w:t>not</w:t>
      </w:r>
      <w:r>
        <w:rPr>
          <w:spacing w:val="36"/>
          <w:sz w:val="21"/>
        </w:rPr>
        <w:t> </w:t>
      </w:r>
      <w:r>
        <w:rPr>
          <w:sz w:val="21"/>
        </w:rPr>
        <w:t>limited</w:t>
      </w:r>
      <w:r>
        <w:rPr>
          <w:spacing w:val="36"/>
          <w:sz w:val="21"/>
        </w:rPr>
        <w:t> </w:t>
      </w:r>
      <w:r>
        <w:rPr>
          <w:sz w:val="21"/>
        </w:rPr>
        <w:t>to</w:t>
      </w:r>
      <w:r>
        <w:rPr>
          <w:spacing w:val="36"/>
          <w:sz w:val="21"/>
        </w:rPr>
        <w:t> </w:t>
      </w:r>
      <w:r>
        <w:rPr>
          <w:sz w:val="21"/>
        </w:rPr>
        <w:t>for</w:t>
      </w:r>
      <w:r>
        <w:rPr>
          <w:spacing w:val="36"/>
          <w:sz w:val="21"/>
        </w:rPr>
        <w:t> </w:t>
      </w:r>
      <w:r>
        <w:rPr>
          <w:sz w:val="21"/>
        </w:rPr>
        <w:t>the</w:t>
      </w:r>
      <w:r>
        <w:rPr>
          <w:spacing w:val="36"/>
          <w:sz w:val="21"/>
        </w:rPr>
        <w:t> </w:t>
      </w:r>
      <w:r>
        <w:rPr>
          <w:sz w:val="21"/>
        </w:rPr>
        <w:t>purpose</w:t>
      </w:r>
      <w:r>
        <w:rPr>
          <w:spacing w:val="36"/>
          <w:sz w:val="21"/>
        </w:rPr>
        <w:t> </w:t>
      </w:r>
      <w:r>
        <w:rPr>
          <w:sz w:val="21"/>
        </w:rPr>
        <w:t>of</w:t>
      </w:r>
      <w:r>
        <w:rPr>
          <w:spacing w:val="36"/>
          <w:sz w:val="21"/>
        </w:rPr>
        <w:t> </w:t>
      </w:r>
      <w:r>
        <w:rPr>
          <w:sz w:val="21"/>
        </w:rPr>
        <w:t>complying</w:t>
      </w:r>
      <w:r>
        <w:rPr>
          <w:spacing w:val="36"/>
          <w:sz w:val="21"/>
        </w:rPr>
        <w:t> </w:t>
      </w:r>
      <w:r>
        <w:rPr>
          <w:sz w:val="21"/>
        </w:rPr>
        <w:t>with</w:t>
      </w:r>
      <w:r>
        <w:rPr>
          <w:spacing w:val="36"/>
          <w:sz w:val="21"/>
        </w:rPr>
        <w:t> </w:t>
      </w:r>
      <w:r>
        <w:rPr>
          <w:sz w:val="21"/>
        </w:rPr>
        <w:t>the Dodd-Frank</w:t>
      </w:r>
      <w:r>
        <w:rPr>
          <w:spacing w:val="40"/>
          <w:sz w:val="21"/>
        </w:rPr>
        <w:t> </w:t>
      </w:r>
      <w:r>
        <w:rPr>
          <w:sz w:val="21"/>
        </w:rPr>
        <w:t>Wall</w:t>
      </w:r>
      <w:r>
        <w:rPr>
          <w:spacing w:val="40"/>
          <w:sz w:val="21"/>
        </w:rPr>
        <w:t> </w:t>
      </w:r>
      <w:r>
        <w:rPr>
          <w:sz w:val="21"/>
        </w:rPr>
        <w:t>Street</w:t>
      </w:r>
      <w:r>
        <w:rPr>
          <w:spacing w:val="40"/>
          <w:sz w:val="21"/>
        </w:rPr>
        <w:t> </w:t>
      </w:r>
      <w:r>
        <w:rPr>
          <w:sz w:val="21"/>
        </w:rPr>
        <w:t>Reform</w:t>
      </w:r>
      <w:r>
        <w:rPr>
          <w:spacing w:val="40"/>
          <w:sz w:val="21"/>
        </w:rPr>
        <w:t> </w:t>
      </w:r>
      <w:r>
        <w:rPr>
          <w:sz w:val="21"/>
        </w:rPr>
        <w:t>and</w:t>
      </w:r>
      <w:r>
        <w:rPr>
          <w:spacing w:val="40"/>
          <w:sz w:val="21"/>
        </w:rPr>
        <w:t> </w:t>
      </w:r>
      <w:r>
        <w:rPr>
          <w:sz w:val="21"/>
        </w:rPr>
        <w:t>Consumer</w:t>
      </w:r>
      <w:r>
        <w:rPr>
          <w:spacing w:val="40"/>
          <w:sz w:val="21"/>
        </w:rPr>
        <w:t> </w:t>
      </w:r>
      <w:r>
        <w:rPr>
          <w:sz w:val="21"/>
        </w:rPr>
        <w:t>Protection</w:t>
      </w:r>
      <w:r>
        <w:rPr>
          <w:spacing w:val="40"/>
          <w:sz w:val="21"/>
        </w:rPr>
        <w:t> </w:t>
      </w:r>
      <w:r>
        <w:rPr>
          <w:sz w:val="21"/>
        </w:rPr>
        <w:t>Act</w:t>
      </w:r>
      <w:r>
        <w:rPr>
          <w:spacing w:val="40"/>
          <w:sz w:val="21"/>
        </w:rPr>
        <w:t> </w:t>
      </w:r>
      <w:r>
        <w:rPr>
          <w:sz w:val="21"/>
        </w:rPr>
        <w:t>of</w:t>
      </w:r>
      <w:r>
        <w:rPr>
          <w:spacing w:val="40"/>
          <w:sz w:val="21"/>
        </w:rPr>
        <w:t> </w:t>
      </w:r>
      <w:r>
        <w:rPr>
          <w:sz w:val="21"/>
        </w:rPr>
        <w:t>2010</w:t>
      </w:r>
      <w:r>
        <w:rPr>
          <w:spacing w:val="40"/>
          <w:sz w:val="21"/>
        </w:rPr>
        <w:t> </w:t>
      </w:r>
      <w:r>
        <w:rPr>
          <w:sz w:val="21"/>
        </w:rPr>
        <w:t>and</w:t>
      </w:r>
      <w:r>
        <w:rPr>
          <w:spacing w:val="40"/>
          <w:sz w:val="21"/>
        </w:rPr>
        <w:t> </w:t>
      </w:r>
      <w:r>
        <w:rPr>
          <w:sz w:val="21"/>
        </w:rPr>
        <w:t>regulations</w:t>
      </w:r>
      <w:r>
        <w:rPr>
          <w:spacing w:val="40"/>
          <w:sz w:val="21"/>
        </w:rPr>
        <w:t> </w:t>
      </w:r>
      <w:r>
        <w:rPr>
          <w:sz w:val="21"/>
        </w:rPr>
        <w:t>thereunder</w:t>
      </w:r>
      <w:r>
        <w:rPr>
          <w:spacing w:val="40"/>
          <w:sz w:val="21"/>
        </w:rPr>
        <w:t> </w:t>
      </w:r>
      <w:r>
        <w:rPr>
          <w:sz w:val="21"/>
        </w:rPr>
        <w:t>promulgated</w:t>
      </w:r>
      <w:r>
        <w:rPr>
          <w:spacing w:val="40"/>
          <w:sz w:val="21"/>
        </w:rPr>
        <w:t> </w:t>
      </w:r>
      <w:r>
        <w:rPr>
          <w:sz w:val="21"/>
        </w:rPr>
        <w:t>by</w:t>
      </w:r>
      <w:r>
        <w:rPr>
          <w:spacing w:val="40"/>
          <w:sz w:val="21"/>
        </w:rPr>
        <w:t> </w:t>
      </w:r>
      <w:r>
        <w:rPr>
          <w:sz w:val="21"/>
        </w:rPr>
        <w:t>the Securities Exchange Commission (the “SEC”).</w:t>
      </w:r>
    </w:p>
    <w:p>
      <w:pPr>
        <w:pStyle w:val="BodyText"/>
        <w:spacing w:before="12"/>
        <w:rPr>
          <w:sz w:val="21"/>
        </w:rPr>
      </w:pPr>
    </w:p>
    <w:p>
      <w:pPr>
        <w:pStyle w:val="ListParagraph"/>
        <w:numPr>
          <w:ilvl w:val="1"/>
          <w:numId w:val="51"/>
        </w:numPr>
        <w:tabs>
          <w:tab w:pos="792" w:val="left" w:leader="none"/>
        </w:tabs>
        <w:spacing w:line="213" w:lineRule="auto" w:before="0" w:after="0"/>
        <w:ind w:left="468" w:right="221" w:firstLine="0"/>
        <w:jc w:val="both"/>
        <w:rPr>
          <w:sz w:val="21"/>
        </w:rPr>
      </w:pPr>
      <w:r>
        <w:rPr>
          <w:sz w:val="21"/>
        </w:rPr>
        <w:t>It is anticipated that Employee will be required to travel extensively on behalf of Employer. Such travel, if by air, may be on aircraft provided by</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30"/>
        <w:rPr>
          <w:sz w:val="21"/>
        </w:rPr>
      </w:pPr>
    </w:p>
    <w:p>
      <w:pPr>
        <w:spacing w:before="0"/>
        <w:ind w:left="24" w:right="0" w:firstLine="0"/>
        <w:jc w:val="center"/>
        <w:rPr>
          <w:sz w:val="19"/>
        </w:rPr>
      </w:pPr>
      <w:r>
        <w:rPr>
          <w:spacing w:val="-10"/>
          <w:w w:val="105"/>
          <w:sz w:val="19"/>
        </w:rPr>
        <w:t>2</w:t>
      </w:r>
    </w:p>
    <w:p>
      <w:pPr>
        <w:pStyle w:val="BodyText"/>
        <w:spacing w:before="11"/>
        <w:rPr>
          <w:sz w:val="4"/>
        </w:rPr>
      </w:pPr>
      <w:r>
        <w:rPr/>
        <mc:AlternateContent>
          <mc:Choice Requires="wps">
            <w:drawing>
              <wp:anchor distT="0" distB="0" distL="0" distR="0" allowOverlap="1" layoutInCell="1" locked="0" behindDoc="1" simplePos="0" relativeHeight="487803904">
                <wp:simplePos x="0" y="0"/>
                <wp:positionH relativeFrom="page">
                  <wp:posOffset>231457</wp:posOffset>
                </wp:positionH>
                <wp:positionV relativeFrom="paragraph">
                  <wp:posOffset>51444</wp:posOffset>
                </wp:positionV>
                <wp:extent cx="7312659" cy="17145"/>
                <wp:effectExtent l="0" t="0" r="0" b="0"/>
                <wp:wrapTopAndBottom/>
                <wp:docPr id="1051" name="Group 1051"/>
                <wp:cNvGraphicFramePr>
                  <a:graphicFrameLocks/>
                </wp:cNvGraphicFramePr>
                <a:graphic>
                  <a:graphicData uri="http://schemas.microsoft.com/office/word/2010/wordprocessingGroup">
                    <wpg:wgp>
                      <wpg:cNvPr id="1051" name="Group 1051"/>
                      <wpg:cNvGrpSpPr/>
                      <wpg:grpSpPr>
                        <a:xfrm>
                          <a:off x="0" y="0"/>
                          <a:ext cx="7312659" cy="17145"/>
                          <a:chExt cx="7312659" cy="17145"/>
                        </a:xfrm>
                      </wpg:grpSpPr>
                      <wps:wsp>
                        <wps:cNvPr id="1052" name="Graphic 105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53" name="Graphic 1053"/>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54" name="Graphic 105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050777pt;width:575.8pt;height:1.35pt;mso-position-horizontal-relative:page;mso-position-vertical-relative:paragraph;z-index:-15512576;mso-wrap-distance-left:0;mso-wrap-distance-right:0" id="docshapegroup1049" coordorigin="364,81" coordsize="11516,27">
                <v:rect style="position:absolute;left:364;top:81;width:11516;height:14" id="docshape1050" filled="true" fillcolor="#999999" stroked="false">
                  <v:fill type="solid"/>
                </v:rect>
                <v:shape style="position:absolute;left:364;top:80;width:11516;height:27" id="docshape1051" coordorigin="364,81" coordsize="11516,27" path="m11880,81l11866,94,364,94,364,108,11866,108,11880,108,11880,94,11880,81xe" filled="true" fillcolor="#ededed" stroked="false">
                  <v:path arrowok="t"/>
                  <v:fill type="solid"/>
                </v:shape>
                <v:shape style="position:absolute;left:364;top:81;width:14;height:27" id="docshape1052" coordorigin="364,81" coordsize="14,27" path="m364,108l364,81,378,81,378,95,364,108xe" filled="true" fillcolor="#999999" stroked="false">
                  <v:path arrowok="t"/>
                  <v:fill type="solid"/>
                </v:shape>
                <w10:wrap type="topAndBottom"/>
              </v:group>
            </w:pict>
          </mc:Fallback>
        </mc:AlternateContent>
      </w:r>
    </w:p>
    <w:p>
      <w:pPr>
        <w:spacing w:after="0"/>
        <w:rPr>
          <w:sz w:val="4"/>
        </w:rPr>
        <w:sectPr>
          <w:pgSz w:w="12240" w:h="15840"/>
          <w:pgMar w:top="1640" w:bottom="280" w:left="220" w:right="240"/>
        </w:sectPr>
      </w:pPr>
    </w:p>
    <w:p>
      <w:pPr>
        <w:spacing w:line="213" w:lineRule="auto" w:before="138"/>
        <w:ind w:left="468" w:right="221" w:firstLine="0"/>
        <w:jc w:val="both"/>
        <w:rPr>
          <w:sz w:val="21"/>
        </w:rPr>
      </w:pPr>
      <w:r>
        <w:rPr>
          <w:sz w:val="21"/>
        </w:rPr>
        <w:t>Employer</w:t>
      </w:r>
      <w:r>
        <w:rPr>
          <w:spacing w:val="40"/>
          <w:sz w:val="21"/>
        </w:rPr>
        <w:t> </w:t>
      </w:r>
      <w:r>
        <w:rPr>
          <w:sz w:val="21"/>
        </w:rPr>
        <w:t>(if</w:t>
      </w:r>
      <w:r>
        <w:rPr>
          <w:spacing w:val="40"/>
          <w:sz w:val="21"/>
        </w:rPr>
        <w:t> </w:t>
      </w:r>
      <w:r>
        <w:rPr>
          <w:sz w:val="21"/>
        </w:rPr>
        <w:t>authorized</w:t>
      </w:r>
      <w:r>
        <w:rPr>
          <w:spacing w:val="40"/>
          <w:sz w:val="21"/>
        </w:rPr>
        <w:t> </w:t>
      </w:r>
      <w:r>
        <w:rPr>
          <w:sz w:val="21"/>
        </w:rPr>
        <w:t>by</w:t>
      </w:r>
      <w:r>
        <w:rPr>
          <w:spacing w:val="40"/>
          <w:sz w:val="21"/>
        </w:rPr>
        <w:t> </w:t>
      </w:r>
      <w:r>
        <w:rPr>
          <w:sz w:val="21"/>
        </w:rPr>
        <w:t>the</w:t>
      </w:r>
      <w:r>
        <w:rPr>
          <w:spacing w:val="40"/>
          <w:sz w:val="21"/>
        </w:rPr>
        <w:t> </w:t>
      </w:r>
      <w:r>
        <w:rPr>
          <w:sz w:val="21"/>
        </w:rPr>
        <w:t>Chief</w:t>
      </w:r>
      <w:r>
        <w:rPr>
          <w:spacing w:val="40"/>
          <w:sz w:val="21"/>
        </w:rPr>
        <w:t> </w:t>
      </w:r>
      <w:r>
        <w:rPr>
          <w:sz w:val="21"/>
        </w:rPr>
        <w:t>Executive</w:t>
      </w:r>
      <w:r>
        <w:rPr>
          <w:spacing w:val="40"/>
          <w:sz w:val="21"/>
        </w:rPr>
        <w:t> </w:t>
      </w:r>
      <w:r>
        <w:rPr>
          <w:sz w:val="21"/>
        </w:rPr>
        <w:t>Officer),</w:t>
      </w:r>
      <w:r>
        <w:rPr>
          <w:spacing w:val="40"/>
          <w:sz w:val="21"/>
        </w:rPr>
        <w:t> </w:t>
      </w:r>
      <w:r>
        <w:rPr>
          <w:sz w:val="21"/>
        </w:rPr>
        <w:t>or</w:t>
      </w:r>
      <w:r>
        <w:rPr>
          <w:spacing w:val="40"/>
          <w:sz w:val="21"/>
        </w:rPr>
        <w:t> </w:t>
      </w:r>
      <w:r>
        <w:rPr>
          <w:sz w:val="21"/>
        </w:rPr>
        <w:t>if</w:t>
      </w:r>
      <w:r>
        <w:rPr>
          <w:spacing w:val="40"/>
          <w:sz w:val="21"/>
        </w:rPr>
        <w:t> </w:t>
      </w:r>
      <w:r>
        <w:rPr>
          <w:sz w:val="21"/>
        </w:rPr>
        <w:t>commercial</w:t>
      </w:r>
      <w:r>
        <w:rPr>
          <w:spacing w:val="40"/>
          <w:sz w:val="21"/>
        </w:rPr>
        <w:t> </w:t>
      </w:r>
      <w:r>
        <w:rPr>
          <w:sz w:val="21"/>
        </w:rPr>
        <w:t>airlines</w:t>
      </w:r>
      <w:r>
        <w:rPr>
          <w:spacing w:val="40"/>
          <w:sz w:val="21"/>
        </w:rPr>
        <w:t> </w:t>
      </w:r>
      <w:r>
        <w:rPr>
          <w:sz w:val="21"/>
        </w:rPr>
        <w:t>are</w:t>
      </w:r>
      <w:r>
        <w:rPr>
          <w:spacing w:val="40"/>
          <w:sz w:val="21"/>
        </w:rPr>
        <w:t> </w:t>
      </w:r>
      <w:r>
        <w:rPr>
          <w:sz w:val="21"/>
        </w:rPr>
        <w:t>used,</w:t>
      </w:r>
      <w:r>
        <w:rPr>
          <w:spacing w:val="40"/>
          <w:sz w:val="21"/>
        </w:rPr>
        <w:t> </w:t>
      </w:r>
      <w:r>
        <w:rPr>
          <w:sz w:val="21"/>
        </w:rPr>
        <w:t>on</w:t>
      </w:r>
      <w:r>
        <w:rPr>
          <w:spacing w:val="40"/>
          <w:sz w:val="21"/>
        </w:rPr>
        <w:t> </w:t>
      </w:r>
      <w:r>
        <w:rPr>
          <w:sz w:val="21"/>
        </w:rPr>
        <w:t>a</w:t>
      </w:r>
      <w:r>
        <w:rPr>
          <w:spacing w:val="40"/>
          <w:sz w:val="21"/>
        </w:rPr>
        <w:t> </w:t>
      </w:r>
      <w:r>
        <w:rPr>
          <w:sz w:val="21"/>
        </w:rPr>
        <w:t>first-class</w:t>
      </w:r>
      <w:r>
        <w:rPr>
          <w:spacing w:val="40"/>
          <w:sz w:val="21"/>
        </w:rPr>
        <w:t> </w:t>
      </w:r>
      <w:r>
        <w:rPr>
          <w:sz w:val="21"/>
        </w:rPr>
        <w:t>basis</w:t>
      </w:r>
      <w:r>
        <w:rPr>
          <w:spacing w:val="40"/>
          <w:sz w:val="21"/>
        </w:rPr>
        <w:t> </w:t>
      </w:r>
      <w:r>
        <w:rPr>
          <w:sz w:val="21"/>
        </w:rPr>
        <w:t>(or</w:t>
      </w:r>
      <w:r>
        <w:rPr>
          <w:spacing w:val="40"/>
          <w:sz w:val="21"/>
        </w:rPr>
        <w:t> </w:t>
      </w:r>
      <w:r>
        <w:rPr>
          <w:sz w:val="21"/>
        </w:rPr>
        <w:t>best available basis, if first class is not available).</w:t>
      </w:r>
    </w:p>
    <w:p>
      <w:pPr>
        <w:pStyle w:val="ListParagraph"/>
        <w:numPr>
          <w:ilvl w:val="1"/>
          <w:numId w:val="51"/>
        </w:numPr>
        <w:tabs>
          <w:tab w:pos="845" w:val="left" w:leader="none"/>
        </w:tabs>
        <w:spacing w:line="229" w:lineRule="exact" w:before="210" w:after="0"/>
        <w:ind w:left="845" w:right="0" w:hanging="377"/>
        <w:jc w:val="both"/>
        <w:rPr>
          <w:sz w:val="21"/>
        </w:rPr>
      </w:pPr>
      <w:r>
        <w:rPr>
          <w:sz w:val="21"/>
        </w:rPr>
        <w:t>During</w:t>
      </w:r>
      <w:r>
        <w:rPr>
          <w:spacing w:val="63"/>
          <w:sz w:val="21"/>
        </w:rPr>
        <w:t> </w:t>
      </w:r>
      <w:r>
        <w:rPr>
          <w:sz w:val="21"/>
        </w:rPr>
        <w:t>the</w:t>
      </w:r>
      <w:r>
        <w:rPr>
          <w:spacing w:val="64"/>
          <w:sz w:val="21"/>
        </w:rPr>
        <w:t> </w:t>
      </w:r>
      <w:r>
        <w:rPr>
          <w:sz w:val="21"/>
        </w:rPr>
        <w:t>Specified</w:t>
      </w:r>
      <w:r>
        <w:rPr>
          <w:spacing w:val="59"/>
          <w:sz w:val="21"/>
        </w:rPr>
        <w:t> </w:t>
      </w:r>
      <w:r>
        <w:rPr>
          <w:sz w:val="21"/>
        </w:rPr>
        <w:t>Term,</w:t>
      </w:r>
      <w:r>
        <w:rPr>
          <w:spacing w:val="64"/>
          <w:sz w:val="21"/>
        </w:rPr>
        <w:t> </w:t>
      </w:r>
      <w:r>
        <w:rPr>
          <w:sz w:val="21"/>
        </w:rPr>
        <w:t>Employee</w:t>
      </w:r>
      <w:r>
        <w:rPr>
          <w:spacing w:val="63"/>
          <w:sz w:val="21"/>
        </w:rPr>
        <w:t> </w:t>
      </w:r>
      <w:r>
        <w:rPr>
          <w:sz w:val="21"/>
        </w:rPr>
        <w:t>will</w:t>
      </w:r>
      <w:r>
        <w:rPr>
          <w:spacing w:val="64"/>
          <w:sz w:val="21"/>
        </w:rPr>
        <w:t> </w:t>
      </w:r>
      <w:r>
        <w:rPr>
          <w:sz w:val="21"/>
        </w:rPr>
        <w:t>be</w:t>
      </w:r>
      <w:r>
        <w:rPr>
          <w:spacing w:val="64"/>
          <w:sz w:val="21"/>
        </w:rPr>
        <w:t> </w:t>
      </w:r>
      <w:r>
        <w:rPr>
          <w:sz w:val="21"/>
        </w:rPr>
        <w:t>eligible</w:t>
      </w:r>
      <w:r>
        <w:rPr>
          <w:spacing w:val="63"/>
          <w:sz w:val="21"/>
        </w:rPr>
        <w:t> </w:t>
      </w:r>
      <w:r>
        <w:rPr>
          <w:sz w:val="21"/>
        </w:rPr>
        <w:t>to</w:t>
      </w:r>
      <w:r>
        <w:rPr>
          <w:spacing w:val="64"/>
          <w:sz w:val="21"/>
        </w:rPr>
        <w:t> </w:t>
      </w:r>
      <w:r>
        <w:rPr>
          <w:sz w:val="21"/>
        </w:rPr>
        <w:t>receive</w:t>
      </w:r>
      <w:r>
        <w:rPr>
          <w:spacing w:val="64"/>
          <w:sz w:val="21"/>
        </w:rPr>
        <w:t> </w:t>
      </w:r>
      <w:r>
        <w:rPr>
          <w:sz w:val="21"/>
        </w:rPr>
        <w:t>the</w:t>
      </w:r>
      <w:r>
        <w:rPr>
          <w:spacing w:val="63"/>
          <w:sz w:val="21"/>
        </w:rPr>
        <w:t> </w:t>
      </w:r>
      <w:r>
        <w:rPr>
          <w:sz w:val="21"/>
        </w:rPr>
        <w:t>following</w:t>
      </w:r>
      <w:r>
        <w:rPr>
          <w:spacing w:val="64"/>
          <w:sz w:val="21"/>
        </w:rPr>
        <w:t> </w:t>
      </w:r>
      <w:r>
        <w:rPr>
          <w:sz w:val="21"/>
        </w:rPr>
        <w:t>two</w:t>
      </w:r>
      <w:r>
        <w:rPr>
          <w:spacing w:val="64"/>
          <w:sz w:val="21"/>
        </w:rPr>
        <w:t> </w:t>
      </w:r>
      <w:r>
        <w:rPr>
          <w:sz w:val="21"/>
        </w:rPr>
        <w:t>special</w:t>
      </w:r>
      <w:r>
        <w:rPr>
          <w:spacing w:val="63"/>
          <w:sz w:val="21"/>
        </w:rPr>
        <w:t> </w:t>
      </w:r>
      <w:r>
        <w:rPr>
          <w:sz w:val="21"/>
        </w:rPr>
        <w:t>bonus</w:t>
      </w:r>
      <w:r>
        <w:rPr>
          <w:spacing w:val="64"/>
          <w:sz w:val="21"/>
        </w:rPr>
        <w:t> </w:t>
      </w:r>
      <w:r>
        <w:rPr>
          <w:sz w:val="21"/>
        </w:rPr>
        <w:t>opportunities</w:t>
      </w:r>
      <w:r>
        <w:rPr>
          <w:spacing w:val="64"/>
          <w:sz w:val="21"/>
        </w:rPr>
        <w:t> </w:t>
      </w:r>
      <w:r>
        <w:rPr>
          <w:spacing w:val="-5"/>
          <w:sz w:val="21"/>
        </w:rPr>
        <w:t>for</w:t>
      </w:r>
    </w:p>
    <w:p>
      <w:pPr>
        <w:spacing w:line="213" w:lineRule="auto" w:before="9"/>
        <w:ind w:left="468" w:right="221" w:firstLine="0"/>
        <w:jc w:val="both"/>
        <w:rPr>
          <w:sz w:val="21"/>
        </w:rPr>
      </w:pPr>
      <w:r>
        <w:rPr>
          <w:sz w:val="21"/>
        </w:rPr>
        <w:t>$2,000,0000 each, split 50% in a one-time single lump sum cash amount and 50% in RSUs (1) achievement of a trailing </w:t>
      </w:r>
      <w:r>
        <w:rPr>
          <w:sz w:val="21"/>
        </w:rPr>
        <w:t>twelve month Adjusted EBITDA at BetMGM, LLC and (2) successfully launching a defined digital offering on an MGM property, as</w:t>
      </w:r>
      <w:r>
        <w:rPr>
          <w:spacing w:val="40"/>
          <w:sz w:val="21"/>
        </w:rPr>
        <w:t> </w:t>
      </w:r>
      <w:r>
        <w:rPr>
          <w:sz w:val="21"/>
        </w:rPr>
        <w:t>more</w:t>
      </w:r>
      <w:r>
        <w:rPr>
          <w:spacing w:val="29"/>
          <w:sz w:val="21"/>
        </w:rPr>
        <w:t> </w:t>
      </w:r>
      <w:r>
        <w:rPr>
          <w:sz w:val="21"/>
        </w:rPr>
        <w:t>fully</w:t>
      </w:r>
      <w:r>
        <w:rPr>
          <w:spacing w:val="29"/>
          <w:sz w:val="21"/>
        </w:rPr>
        <w:t> </w:t>
      </w:r>
      <w:r>
        <w:rPr>
          <w:sz w:val="21"/>
        </w:rPr>
        <w:t>detailed</w:t>
      </w:r>
      <w:r>
        <w:rPr>
          <w:spacing w:val="29"/>
          <w:sz w:val="21"/>
        </w:rPr>
        <w:t> </w:t>
      </w:r>
      <w:r>
        <w:rPr>
          <w:sz w:val="21"/>
        </w:rPr>
        <w:t>in</w:t>
      </w:r>
      <w:r>
        <w:rPr>
          <w:spacing w:val="29"/>
          <w:sz w:val="21"/>
        </w:rPr>
        <w:t> </w:t>
      </w:r>
      <w:r>
        <w:rPr>
          <w:sz w:val="21"/>
        </w:rPr>
        <w:t>Exhibit A.</w:t>
      </w:r>
      <w:r>
        <w:rPr>
          <w:spacing w:val="29"/>
          <w:sz w:val="21"/>
        </w:rPr>
        <w:t> </w:t>
      </w:r>
      <w:r>
        <w:rPr>
          <w:sz w:val="21"/>
        </w:rPr>
        <w:t>related</w:t>
      </w:r>
      <w:r>
        <w:rPr>
          <w:spacing w:val="29"/>
          <w:sz w:val="21"/>
        </w:rPr>
        <w:t> </w:t>
      </w:r>
      <w:r>
        <w:rPr>
          <w:sz w:val="21"/>
        </w:rPr>
        <w:t>to</w:t>
      </w:r>
      <w:r>
        <w:rPr>
          <w:spacing w:val="29"/>
          <w:sz w:val="21"/>
        </w:rPr>
        <w:t> </w:t>
      </w:r>
      <w:r>
        <w:rPr>
          <w:sz w:val="21"/>
        </w:rPr>
        <w:t>the</w:t>
      </w:r>
      <w:r>
        <w:rPr>
          <w:spacing w:val="29"/>
          <w:sz w:val="21"/>
        </w:rPr>
        <w:t> </w:t>
      </w:r>
      <w:r>
        <w:rPr>
          <w:sz w:val="21"/>
        </w:rPr>
        <w:t>achievement</w:t>
      </w:r>
      <w:r>
        <w:rPr>
          <w:spacing w:val="29"/>
          <w:sz w:val="21"/>
        </w:rPr>
        <w:t> </w:t>
      </w:r>
      <w:r>
        <w:rPr>
          <w:sz w:val="21"/>
        </w:rPr>
        <w:t>of</w:t>
      </w:r>
      <w:r>
        <w:rPr>
          <w:spacing w:val="29"/>
          <w:sz w:val="21"/>
        </w:rPr>
        <w:t> </w:t>
      </w:r>
      <w:r>
        <w:rPr>
          <w:sz w:val="21"/>
        </w:rPr>
        <w:t>significant</w:t>
      </w:r>
      <w:r>
        <w:rPr>
          <w:spacing w:val="29"/>
          <w:sz w:val="21"/>
        </w:rPr>
        <w:t> </w:t>
      </w:r>
      <w:r>
        <w:rPr>
          <w:sz w:val="21"/>
        </w:rPr>
        <w:t>corporate</w:t>
      </w:r>
      <w:r>
        <w:rPr>
          <w:spacing w:val="29"/>
          <w:sz w:val="21"/>
        </w:rPr>
        <w:t> </w:t>
      </w:r>
      <w:r>
        <w:rPr>
          <w:sz w:val="21"/>
        </w:rPr>
        <w:t>initiatives:</w:t>
      </w:r>
    </w:p>
    <w:p>
      <w:pPr>
        <w:pStyle w:val="ListParagraph"/>
        <w:numPr>
          <w:ilvl w:val="1"/>
          <w:numId w:val="51"/>
        </w:numPr>
        <w:tabs>
          <w:tab w:pos="795" w:val="left" w:leader="none"/>
        </w:tabs>
        <w:spacing w:line="213" w:lineRule="auto" w:before="233" w:after="0"/>
        <w:ind w:left="468" w:right="221" w:firstLine="0"/>
        <w:jc w:val="both"/>
        <w:rPr>
          <w:sz w:val="21"/>
        </w:rPr>
      </w:pPr>
      <w:r>
        <w:rPr>
          <w:sz w:val="21"/>
        </w:rPr>
        <w:t>Employee shall be eligible for annual equity awards in 2022, 2023, 2024 and 2025 in forms and amounts determined by the Human Capital and Compensation Committee (the “Committee”) in its discretion. It is the Committee’s present expectation that such annual awards will have an aggregate grant-date</w:t>
      </w:r>
      <w:r>
        <w:rPr>
          <w:spacing w:val="-1"/>
          <w:sz w:val="21"/>
        </w:rPr>
        <w:t> </w:t>
      </w:r>
      <w:r>
        <w:rPr>
          <w:sz w:val="21"/>
        </w:rPr>
        <w:t>Accounting Value targeted at $3,750,000 and that such annual awards </w:t>
      </w:r>
      <w:r>
        <w:rPr>
          <w:sz w:val="21"/>
        </w:rPr>
        <w:t>will</w:t>
      </w:r>
      <w:r>
        <w:rPr>
          <w:spacing w:val="80"/>
          <w:sz w:val="21"/>
        </w:rPr>
        <w:t> </w:t>
      </w:r>
      <w:r>
        <w:rPr>
          <w:sz w:val="21"/>
        </w:rPr>
        <w:t>be provided (i) 60% in the form of RSUs of the Company that are subject to performance-based and service-based vesting conditions</w:t>
      </w:r>
      <w:r>
        <w:rPr>
          <w:spacing w:val="30"/>
          <w:sz w:val="21"/>
        </w:rPr>
        <w:t> </w:t>
      </w:r>
      <w:r>
        <w:rPr>
          <w:sz w:val="21"/>
        </w:rPr>
        <w:t>and</w:t>
      </w:r>
      <w:r>
        <w:rPr>
          <w:spacing w:val="30"/>
          <w:sz w:val="21"/>
        </w:rPr>
        <w:t> </w:t>
      </w:r>
      <w:r>
        <w:rPr>
          <w:sz w:val="21"/>
        </w:rPr>
        <w:t>(ii)</w:t>
      </w:r>
      <w:r>
        <w:rPr>
          <w:spacing w:val="30"/>
          <w:sz w:val="21"/>
        </w:rPr>
        <w:t> </w:t>
      </w:r>
      <w:r>
        <w:rPr>
          <w:sz w:val="21"/>
        </w:rPr>
        <w:t>40%</w:t>
      </w:r>
      <w:r>
        <w:rPr>
          <w:spacing w:val="30"/>
          <w:sz w:val="21"/>
        </w:rPr>
        <w:t> </w:t>
      </w:r>
      <w:r>
        <w:rPr>
          <w:sz w:val="21"/>
        </w:rPr>
        <w:t>in</w:t>
      </w:r>
      <w:r>
        <w:rPr>
          <w:spacing w:val="30"/>
          <w:sz w:val="21"/>
        </w:rPr>
        <w:t> </w:t>
      </w:r>
      <w:r>
        <w:rPr>
          <w:sz w:val="21"/>
        </w:rPr>
        <w:t>the</w:t>
      </w:r>
      <w:r>
        <w:rPr>
          <w:spacing w:val="30"/>
          <w:sz w:val="21"/>
        </w:rPr>
        <w:t> </w:t>
      </w:r>
      <w:r>
        <w:rPr>
          <w:sz w:val="21"/>
        </w:rPr>
        <w:t>form</w:t>
      </w:r>
      <w:r>
        <w:rPr>
          <w:spacing w:val="30"/>
          <w:sz w:val="21"/>
        </w:rPr>
        <w:t> </w:t>
      </w:r>
      <w:r>
        <w:rPr>
          <w:sz w:val="21"/>
        </w:rPr>
        <w:t>of</w:t>
      </w:r>
      <w:r>
        <w:rPr>
          <w:spacing w:val="30"/>
          <w:sz w:val="21"/>
        </w:rPr>
        <w:t> </w:t>
      </w:r>
      <w:r>
        <w:rPr>
          <w:sz w:val="21"/>
        </w:rPr>
        <w:t>RSUs</w:t>
      </w:r>
      <w:r>
        <w:rPr>
          <w:spacing w:val="30"/>
          <w:sz w:val="21"/>
        </w:rPr>
        <w:t> </w:t>
      </w:r>
      <w:r>
        <w:rPr>
          <w:sz w:val="21"/>
        </w:rPr>
        <w:t>that</w:t>
      </w:r>
      <w:r>
        <w:rPr>
          <w:spacing w:val="30"/>
          <w:sz w:val="21"/>
        </w:rPr>
        <w:t> </w:t>
      </w:r>
      <w:r>
        <w:rPr>
          <w:sz w:val="21"/>
        </w:rPr>
        <w:t>are</w:t>
      </w:r>
      <w:r>
        <w:rPr>
          <w:spacing w:val="30"/>
          <w:sz w:val="21"/>
        </w:rPr>
        <w:t> </w:t>
      </w:r>
      <w:r>
        <w:rPr>
          <w:sz w:val="21"/>
        </w:rPr>
        <w:t>subject</w:t>
      </w:r>
      <w:r>
        <w:rPr>
          <w:spacing w:val="30"/>
          <w:sz w:val="21"/>
        </w:rPr>
        <w:t> </w:t>
      </w:r>
      <w:r>
        <w:rPr>
          <w:sz w:val="21"/>
        </w:rPr>
        <w:t>solely</w:t>
      </w:r>
      <w:r>
        <w:rPr>
          <w:spacing w:val="30"/>
          <w:sz w:val="21"/>
        </w:rPr>
        <w:t> </w:t>
      </w:r>
      <w:r>
        <w:rPr>
          <w:sz w:val="21"/>
        </w:rPr>
        <w:t>to</w:t>
      </w:r>
      <w:r>
        <w:rPr>
          <w:spacing w:val="30"/>
          <w:sz w:val="21"/>
        </w:rPr>
        <w:t> </w:t>
      </w:r>
      <w:r>
        <w:rPr>
          <w:sz w:val="21"/>
        </w:rPr>
        <w:t>service-based</w:t>
      </w:r>
      <w:r>
        <w:rPr>
          <w:spacing w:val="30"/>
          <w:sz w:val="21"/>
        </w:rPr>
        <w:t> </w:t>
      </w:r>
      <w:r>
        <w:rPr>
          <w:sz w:val="21"/>
        </w:rPr>
        <w:t>vesting</w:t>
      </w:r>
      <w:r>
        <w:rPr>
          <w:spacing w:val="30"/>
          <w:sz w:val="21"/>
        </w:rPr>
        <w:t> </w:t>
      </w:r>
      <w:r>
        <w:rPr>
          <w:sz w:val="21"/>
        </w:rPr>
        <w:t>conditions.</w:t>
      </w:r>
      <w:r>
        <w:rPr>
          <w:spacing w:val="25"/>
          <w:sz w:val="21"/>
        </w:rPr>
        <w:t> </w:t>
      </w:r>
      <w:r>
        <w:rPr>
          <w:sz w:val="21"/>
        </w:rPr>
        <w:t>These</w:t>
      </w:r>
      <w:r>
        <w:rPr>
          <w:spacing w:val="30"/>
          <w:sz w:val="21"/>
        </w:rPr>
        <w:t> </w:t>
      </w:r>
      <w:r>
        <w:rPr>
          <w:sz w:val="21"/>
        </w:rPr>
        <w:t>annual</w:t>
      </w:r>
      <w:r>
        <w:rPr>
          <w:spacing w:val="30"/>
          <w:sz w:val="21"/>
        </w:rPr>
        <w:t> </w:t>
      </w:r>
      <w:r>
        <w:rPr>
          <w:sz w:val="21"/>
        </w:rPr>
        <w:t>awards and</w:t>
      </w:r>
      <w:r>
        <w:rPr>
          <w:spacing w:val="40"/>
          <w:sz w:val="21"/>
        </w:rPr>
        <w:t> </w:t>
      </w:r>
      <w:r>
        <w:rPr>
          <w:sz w:val="21"/>
        </w:rPr>
        <w:t>any</w:t>
      </w:r>
      <w:r>
        <w:rPr>
          <w:spacing w:val="40"/>
          <w:sz w:val="21"/>
        </w:rPr>
        <w:t> </w:t>
      </w:r>
      <w:r>
        <w:rPr>
          <w:sz w:val="21"/>
        </w:rPr>
        <w:t>other</w:t>
      </w:r>
      <w:r>
        <w:rPr>
          <w:spacing w:val="40"/>
          <w:sz w:val="21"/>
        </w:rPr>
        <w:t> </w:t>
      </w:r>
      <w:r>
        <w:rPr>
          <w:sz w:val="21"/>
        </w:rPr>
        <w:t>equity</w:t>
      </w:r>
      <w:r>
        <w:rPr>
          <w:spacing w:val="40"/>
          <w:sz w:val="21"/>
        </w:rPr>
        <w:t> </w:t>
      </w:r>
      <w:r>
        <w:rPr>
          <w:sz w:val="21"/>
        </w:rPr>
        <w:t>awards</w:t>
      </w:r>
      <w:r>
        <w:rPr>
          <w:spacing w:val="40"/>
          <w:sz w:val="21"/>
        </w:rPr>
        <w:t> </w:t>
      </w:r>
      <w:r>
        <w:rPr>
          <w:sz w:val="21"/>
        </w:rPr>
        <w:t>granted</w:t>
      </w:r>
      <w:r>
        <w:rPr>
          <w:spacing w:val="40"/>
          <w:sz w:val="21"/>
        </w:rPr>
        <w:t> </w:t>
      </w:r>
      <w:r>
        <w:rPr>
          <w:sz w:val="21"/>
        </w:rPr>
        <w:t>on</w:t>
      </w:r>
      <w:r>
        <w:rPr>
          <w:spacing w:val="40"/>
          <w:sz w:val="21"/>
        </w:rPr>
        <w:t> </w:t>
      </w:r>
      <w:r>
        <w:rPr>
          <w:sz w:val="21"/>
        </w:rPr>
        <w:t>or</w:t>
      </w:r>
      <w:r>
        <w:rPr>
          <w:spacing w:val="40"/>
          <w:sz w:val="21"/>
        </w:rPr>
        <w:t> </w:t>
      </w:r>
      <w:r>
        <w:rPr>
          <w:sz w:val="21"/>
        </w:rPr>
        <w:t>after</w:t>
      </w:r>
      <w:r>
        <w:rPr>
          <w:spacing w:val="40"/>
          <w:sz w:val="21"/>
        </w:rPr>
        <w:t> </w:t>
      </w:r>
      <w:r>
        <w:rPr>
          <w:sz w:val="21"/>
        </w:rPr>
        <w:t>the</w:t>
      </w:r>
      <w:r>
        <w:rPr>
          <w:spacing w:val="40"/>
          <w:sz w:val="21"/>
        </w:rPr>
        <w:t> </w:t>
      </w:r>
      <w:r>
        <w:rPr>
          <w:sz w:val="21"/>
        </w:rPr>
        <w:t>Effective</w:t>
      </w:r>
      <w:r>
        <w:rPr>
          <w:spacing w:val="40"/>
          <w:sz w:val="21"/>
        </w:rPr>
        <w:t> </w:t>
      </w:r>
      <w:r>
        <w:rPr>
          <w:sz w:val="21"/>
        </w:rPr>
        <w:t>Date</w:t>
      </w:r>
      <w:r>
        <w:rPr>
          <w:spacing w:val="40"/>
          <w:sz w:val="21"/>
        </w:rPr>
        <w:t> </w:t>
      </w:r>
      <w:r>
        <w:rPr>
          <w:sz w:val="21"/>
        </w:rPr>
        <w:t>shall</w:t>
      </w:r>
      <w:r>
        <w:rPr>
          <w:spacing w:val="40"/>
          <w:sz w:val="21"/>
        </w:rPr>
        <w:t> </w:t>
      </w:r>
      <w:r>
        <w:rPr>
          <w:sz w:val="21"/>
        </w:rPr>
        <w:t>be</w:t>
      </w:r>
      <w:r>
        <w:rPr>
          <w:spacing w:val="40"/>
          <w:sz w:val="21"/>
        </w:rPr>
        <w:t> </w:t>
      </w:r>
      <w:r>
        <w:rPr>
          <w:sz w:val="21"/>
        </w:rPr>
        <w:t>subject</w:t>
      </w:r>
      <w:r>
        <w:rPr>
          <w:spacing w:val="40"/>
          <w:sz w:val="21"/>
        </w:rPr>
        <w:t> </w:t>
      </w:r>
      <w:r>
        <w:rPr>
          <w:sz w:val="21"/>
        </w:rPr>
        <w:t>to</w:t>
      </w:r>
      <w:r>
        <w:rPr>
          <w:spacing w:val="40"/>
          <w:sz w:val="21"/>
        </w:rPr>
        <w:t> </w:t>
      </w:r>
      <w:r>
        <w:rPr>
          <w:sz w:val="21"/>
        </w:rPr>
        <w:t>such</w:t>
      </w:r>
      <w:r>
        <w:rPr>
          <w:spacing w:val="40"/>
          <w:sz w:val="21"/>
        </w:rPr>
        <w:t> </w:t>
      </w:r>
      <w:r>
        <w:rPr>
          <w:sz w:val="21"/>
        </w:rPr>
        <w:t>terms</w:t>
      </w:r>
      <w:r>
        <w:rPr>
          <w:spacing w:val="40"/>
          <w:sz w:val="21"/>
        </w:rPr>
        <w:t> </w:t>
      </w:r>
      <w:r>
        <w:rPr>
          <w:sz w:val="21"/>
        </w:rPr>
        <w:t>as</w:t>
      </w:r>
      <w:r>
        <w:rPr>
          <w:spacing w:val="40"/>
          <w:sz w:val="21"/>
        </w:rPr>
        <w:t> </w:t>
      </w:r>
      <w:r>
        <w:rPr>
          <w:sz w:val="21"/>
        </w:rPr>
        <w:t>the</w:t>
      </w:r>
      <w:r>
        <w:rPr>
          <w:spacing w:val="40"/>
          <w:sz w:val="21"/>
        </w:rPr>
        <w:t> </w:t>
      </w:r>
      <w:r>
        <w:rPr>
          <w:sz w:val="21"/>
        </w:rPr>
        <w:t>Committee</w:t>
      </w:r>
      <w:r>
        <w:rPr>
          <w:spacing w:val="40"/>
          <w:sz w:val="21"/>
        </w:rPr>
        <w:t> </w:t>
      </w:r>
      <w:r>
        <w:rPr>
          <w:sz w:val="21"/>
        </w:rPr>
        <w:t>may determine in its discretion. “Accounting Value” means the accounting value calculated by Employer’s Chief Accounting Officer under procedures approved or modified by the Committee from time to time.</w:t>
      </w:r>
    </w:p>
    <w:p>
      <w:pPr>
        <w:pStyle w:val="ListParagraph"/>
        <w:numPr>
          <w:ilvl w:val="1"/>
          <w:numId w:val="51"/>
        </w:numPr>
        <w:tabs>
          <w:tab w:pos="838" w:val="left" w:leader="none"/>
        </w:tabs>
        <w:spacing w:line="213" w:lineRule="auto" w:before="225" w:after="0"/>
        <w:ind w:left="468" w:right="221" w:firstLine="0"/>
        <w:jc w:val="both"/>
        <w:rPr>
          <w:sz w:val="21"/>
        </w:rPr>
      </w:pPr>
      <w:r>
        <w:rPr>
          <w:sz w:val="21"/>
        </w:rPr>
        <w:t>Notwithstanding</w:t>
      </w:r>
      <w:r>
        <w:rPr>
          <w:spacing w:val="40"/>
          <w:sz w:val="21"/>
        </w:rPr>
        <w:t> </w:t>
      </w:r>
      <w:r>
        <w:rPr>
          <w:sz w:val="21"/>
        </w:rPr>
        <w:t>anything</w:t>
      </w:r>
      <w:r>
        <w:rPr>
          <w:spacing w:val="40"/>
          <w:sz w:val="21"/>
        </w:rPr>
        <w:t> </w:t>
      </w:r>
      <w:r>
        <w:rPr>
          <w:sz w:val="21"/>
        </w:rPr>
        <w:t>herein</w:t>
      </w:r>
      <w:r>
        <w:rPr>
          <w:spacing w:val="40"/>
          <w:sz w:val="21"/>
        </w:rPr>
        <w:t> </w:t>
      </w:r>
      <w:r>
        <w:rPr>
          <w:sz w:val="21"/>
        </w:rPr>
        <w:t>to</w:t>
      </w:r>
      <w:r>
        <w:rPr>
          <w:spacing w:val="40"/>
          <w:sz w:val="21"/>
        </w:rPr>
        <w:t> </w:t>
      </w:r>
      <w:r>
        <w:rPr>
          <w:sz w:val="21"/>
        </w:rPr>
        <w:t>the</w:t>
      </w:r>
      <w:r>
        <w:rPr>
          <w:spacing w:val="40"/>
          <w:sz w:val="21"/>
        </w:rPr>
        <w:t> </w:t>
      </w:r>
      <w:r>
        <w:rPr>
          <w:sz w:val="21"/>
        </w:rPr>
        <w:t>contrary,</w:t>
      </w:r>
      <w:r>
        <w:rPr>
          <w:spacing w:val="40"/>
          <w:sz w:val="21"/>
        </w:rPr>
        <w:t> </w:t>
      </w:r>
      <w:r>
        <w:rPr>
          <w:sz w:val="21"/>
        </w:rPr>
        <w:t>(A)</w:t>
      </w:r>
      <w:r>
        <w:rPr>
          <w:spacing w:val="40"/>
          <w:sz w:val="21"/>
        </w:rPr>
        <w:t> </w:t>
      </w:r>
      <w:r>
        <w:rPr>
          <w:sz w:val="21"/>
        </w:rPr>
        <w:t>with</w:t>
      </w:r>
      <w:r>
        <w:rPr>
          <w:spacing w:val="40"/>
          <w:sz w:val="21"/>
        </w:rPr>
        <w:t> </w:t>
      </w:r>
      <w:r>
        <w:rPr>
          <w:sz w:val="21"/>
        </w:rPr>
        <w:t>respect</w:t>
      </w:r>
      <w:r>
        <w:rPr>
          <w:spacing w:val="40"/>
          <w:sz w:val="21"/>
        </w:rPr>
        <w:t> </w:t>
      </w:r>
      <w:r>
        <w:rPr>
          <w:sz w:val="21"/>
        </w:rPr>
        <w:t>to</w:t>
      </w:r>
      <w:r>
        <w:rPr>
          <w:spacing w:val="40"/>
          <w:sz w:val="21"/>
        </w:rPr>
        <w:t> </w:t>
      </w:r>
      <w:r>
        <w:rPr>
          <w:sz w:val="21"/>
        </w:rPr>
        <w:t>any</w:t>
      </w:r>
      <w:r>
        <w:rPr>
          <w:spacing w:val="40"/>
          <w:sz w:val="21"/>
        </w:rPr>
        <w:t> </w:t>
      </w:r>
      <w:r>
        <w:rPr>
          <w:sz w:val="21"/>
        </w:rPr>
        <w:t>regular</w:t>
      </w:r>
      <w:r>
        <w:rPr>
          <w:spacing w:val="40"/>
          <w:sz w:val="21"/>
        </w:rPr>
        <w:t> </w:t>
      </w:r>
      <w:r>
        <w:rPr>
          <w:sz w:val="21"/>
        </w:rPr>
        <w:t>annual</w:t>
      </w:r>
      <w:r>
        <w:rPr>
          <w:spacing w:val="40"/>
          <w:sz w:val="21"/>
        </w:rPr>
        <w:t> </w:t>
      </w:r>
      <w:r>
        <w:rPr>
          <w:sz w:val="21"/>
        </w:rPr>
        <w:t>incentive</w:t>
      </w:r>
      <w:r>
        <w:rPr>
          <w:spacing w:val="40"/>
          <w:sz w:val="21"/>
        </w:rPr>
        <w:t> </w:t>
      </w:r>
      <w:r>
        <w:rPr>
          <w:sz w:val="21"/>
        </w:rPr>
        <w:t>awards</w:t>
      </w:r>
      <w:r>
        <w:rPr>
          <w:spacing w:val="40"/>
          <w:sz w:val="21"/>
        </w:rPr>
        <w:t> </w:t>
      </w:r>
      <w:r>
        <w:rPr>
          <w:sz w:val="21"/>
        </w:rPr>
        <w:t>granted</w:t>
      </w:r>
      <w:r>
        <w:rPr>
          <w:spacing w:val="40"/>
          <w:sz w:val="21"/>
        </w:rPr>
        <w:t> </w:t>
      </w:r>
      <w:r>
        <w:rPr>
          <w:sz w:val="21"/>
        </w:rPr>
        <w:t>to Employee during the Specified Term under the Omnibus Plan or any successor thereto (but excluding any one-time or special retention</w:t>
      </w:r>
      <w:r>
        <w:rPr>
          <w:spacing w:val="29"/>
          <w:sz w:val="21"/>
        </w:rPr>
        <w:t> </w:t>
      </w:r>
      <w:r>
        <w:rPr>
          <w:sz w:val="21"/>
        </w:rPr>
        <w:t>awards,</w:t>
      </w:r>
      <w:r>
        <w:rPr>
          <w:spacing w:val="29"/>
          <w:sz w:val="21"/>
        </w:rPr>
        <w:t> </w:t>
      </w:r>
      <w:r>
        <w:rPr>
          <w:sz w:val="21"/>
        </w:rPr>
        <w:t>as</w:t>
      </w:r>
      <w:r>
        <w:rPr>
          <w:spacing w:val="29"/>
          <w:sz w:val="21"/>
        </w:rPr>
        <w:t> </w:t>
      </w:r>
      <w:r>
        <w:rPr>
          <w:sz w:val="21"/>
        </w:rPr>
        <w:t>determined</w:t>
      </w:r>
      <w:r>
        <w:rPr>
          <w:spacing w:val="29"/>
          <w:sz w:val="21"/>
        </w:rPr>
        <w:t> </w:t>
      </w:r>
      <w:r>
        <w:rPr>
          <w:sz w:val="21"/>
        </w:rPr>
        <w:t>by</w:t>
      </w:r>
      <w:r>
        <w:rPr>
          <w:spacing w:val="29"/>
          <w:sz w:val="21"/>
        </w:rPr>
        <w:t> </w:t>
      </w:r>
      <w:r>
        <w:rPr>
          <w:sz w:val="21"/>
        </w:rPr>
        <w:t>the</w:t>
      </w:r>
      <w:r>
        <w:rPr>
          <w:spacing w:val="29"/>
          <w:sz w:val="21"/>
        </w:rPr>
        <w:t> </w:t>
      </w:r>
      <w:r>
        <w:rPr>
          <w:sz w:val="21"/>
        </w:rPr>
        <w:t>Committee),</w:t>
      </w:r>
      <w:r>
        <w:rPr>
          <w:spacing w:val="29"/>
          <w:sz w:val="21"/>
        </w:rPr>
        <w:t> </w:t>
      </w:r>
      <w:r>
        <w:rPr>
          <w:sz w:val="21"/>
        </w:rPr>
        <w:t>the</w:t>
      </w:r>
      <w:r>
        <w:rPr>
          <w:spacing w:val="29"/>
          <w:sz w:val="21"/>
        </w:rPr>
        <w:t> </w:t>
      </w:r>
      <w:r>
        <w:rPr>
          <w:sz w:val="21"/>
        </w:rPr>
        <w:t>applicable</w:t>
      </w:r>
      <w:r>
        <w:rPr>
          <w:spacing w:val="29"/>
          <w:sz w:val="21"/>
        </w:rPr>
        <w:t> </w:t>
      </w:r>
      <w:r>
        <w:rPr>
          <w:sz w:val="21"/>
        </w:rPr>
        <w:t>award</w:t>
      </w:r>
      <w:r>
        <w:rPr>
          <w:spacing w:val="29"/>
          <w:sz w:val="21"/>
        </w:rPr>
        <w:t> </w:t>
      </w:r>
      <w:r>
        <w:rPr>
          <w:sz w:val="21"/>
        </w:rPr>
        <w:t>agreements</w:t>
      </w:r>
      <w:r>
        <w:rPr>
          <w:spacing w:val="29"/>
          <w:sz w:val="21"/>
        </w:rPr>
        <w:t> </w:t>
      </w:r>
      <w:r>
        <w:rPr>
          <w:sz w:val="21"/>
        </w:rPr>
        <w:t>for</w:t>
      </w:r>
      <w:r>
        <w:rPr>
          <w:spacing w:val="29"/>
          <w:sz w:val="21"/>
        </w:rPr>
        <w:t> </w:t>
      </w:r>
      <w:r>
        <w:rPr>
          <w:sz w:val="21"/>
        </w:rPr>
        <w:t>such</w:t>
      </w:r>
      <w:r>
        <w:rPr>
          <w:spacing w:val="29"/>
          <w:sz w:val="21"/>
        </w:rPr>
        <w:t> </w:t>
      </w:r>
      <w:r>
        <w:rPr>
          <w:sz w:val="21"/>
        </w:rPr>
        <w:t>awards</w:t>
      </w:r>
      <w:r>
        <w:rPr>
          <w:spacing w:val="29"/>
          <w:sz w:val="21"/>
        </w:rPr>
        <w:t> </w:t>
      </w:r>
      <w:r>
        <w:rPr>
          <w:sz w:val="21"/>
        </w:rPr>
        <w:t>shall</w:t>
      </w:r>
      <w:r>
        <w:rPr>
          <w:spacing w:val="29"/>
          <w:sz w:val="21"/>
        </w:rPr>
        <w:t> </w:t>
      </w:r>
      <w:r>
        <w:rPr>
          <w:sz w:val="21"/>
        </w:rPr>
        <w:t>include</w:t>
      </w:r>
      <w:r>
        <w:rPr>
          <w:spacing w:val="29"/>
          <w:sz w:val="21"/>
        </w:rPr>
        <w:t> </w:t>
      </w:r>
      <w:r>
        <w:rPr>
          <w:sz w:val="21"/>
        </w:rPr>
        <w:t>provisions with respect (i) death or Disability, (ii) termination by Employer other than by reason of “Employer’s Good Cause” and (iii) termination</w:t>
      </w:r>
      <w:r>
        <w:rPr>
          <w:spacing w:val="19"/>
          <w:sz w:val="21"/>
        </w:rPr>
        <w:t> </w:t>
      </w:r>
      <w:r>
        <w:rPr>
          <w:sz w:val="21"/>
        </w:rPr>
        <w:t>by</w:t>
      </w:r>
      <w:r>
        <w:rPr>
          <w:spacing w:val="19"/>
          <w:sz w:val="21"/>
        </w:rPr>
        <w:t> </w:t>
      </w:r>
      <w:r>
        <w:rPr>
          <w:sz w:val="21"/>
        </w:rPr>
        <w:t>Employee</w:t>
      </w:r>
      <w:r>
        <w:rPr>
          <w:spacing w:val="19"/>
          <w:sz w:val="21"/>
        </w:rPr>
        <w:t> </w:t>
      </w:r>
      <w:r>
        <w:rPr>
          <w:sz w:val="21"/>
        </w:rPr>
        <w:t>by</w:t>
      </w:r>
      <w:r>
        <w:rPr>
          <w:spacing w:val="19"/>
          <w:sz w:val="21"/>
        </w:rPr>
        <w:t> </w:t>
      </w:r>
      <w:r>
        <w:rPr>
          <w:sz w:val="21"/>
        </w:rPr>
        <w:t>reason</w:t>
      </w:r>
      <w:r>
        <w:rPr>
          <w:spacing w:val="19"/>
          <w:sz w:val="21"/>
        </w:rPr>
        <w:t> </w:t>
      </w:r>
      <w:r>
        <w:rPr>
          <w:sz w:val="21"/>
        </w:rPr>
        <w:t>of</w:t>
      </w:r>
      <w:r>
        <w:rPr>
          <w:spacing w:val="19"/>
          <w:sz w:val="21"/>
        </w:rPr>
        <w:t> </w:t>
      </w:r>
      <w:r>
        <w:rPr>
          <w:sz w:val="21"/>
        </w:rPr>
        <w:t>“Participant’s</w:t>
      </w:r>
      <w:r>
        <w:rPr>
          <w:spacing w:val="19"/>
          <w:sz w:val="21"/>
        </w:rPr>
        <w:t> </w:t>
      </w:r>
      <w:r>
        <w:rPr>
          <w:sz w:val="21"/>
        </w:rPr>
        <w:t>Good</w:t>
      </w:r>
      <w:r>
        <w:rPr>
          <w:spacing w:val="19"/>
          <w:sz w:val="21"/>
        </w:rPr>
        <w:t> </w:t>
      </w:r>
      <w:r>
        <w:rPr>
          <w:sz w:val="21"/>
        </w:rPr>
        <w:t>Cause”</w:t>
      </w:r>
      <w:r>
        <w:rPr>
          <w:spacing w:val="19"/>
          <w:sz w:val="21"/>
        </w:rPr>
        <w:t> </w:t>
      </w:r>
      <w:r>
        <w:rPr>
          <w:sz w:val="21"/>
        </w:rPr>
        <w:t>that</w:t>
      </w:r>
      <w:r>
        <w:rPr>
          <w:spacing w:val="19"/>
          <w:sz w:val="21"/>
        </w:rPr>
        <w:t> </w:t>
      </w:r>
      <w:r>
        <w:rPr>
          <w:sz w:val="21"/>
        </w:rPr>
        <w:t>shall</w:t>
      </w:r>
      <w:r>
        <w:rPr>
          <w:spacing w:val="19"/>
          <w:sz w:val="21"/>
        </w:rPr>
        <w:t> </w:t>
      </w:r>
      <w:r>
        <w:rPr>
          <w:sz w:val="21"/>
        </w:rPr>
        <w:t>be</w:t>
      </w:r>
      <w:r>
        <w:rPr>
          <w:spacing w:val="19"/>
          <w:sz w:val="21"/>
        </w:rPr>
        <w:t> </w:t>
      </w:r>
      <w:r>
        <w:rPr>
          <w:sz w:val="21"/>
        </w:rPr>
        <w:t>no</w:t>
      </w:r>
      <w:r>
        <w:rPr>
          <w:spacing w:val="19"/>
          <w:sz w:val="21"/>
        </w:rPr>
        <w:t> </w:t>
      </w:r>
      <w:r>
        <w:rPr>
          <w:sz w:val="21"/>
        </w:rPr>
        <w:t>less</w:t>
      </w:r>
      <w:r>
        <w:rPr>
          <w:spacing w:val="19"/>
          <w:sz w:val="21"/>
        </w:rPr>
        <w:t> </w:t>
      </w:r>
      <w:r>
        <w:rPr>
          <w:sz w:val="21"/>
        </w:rPr>
        <w:t>favorable</w:t>
      </w:r>
      <w:r>
        <w:rPr>
          <w:spacing w:val="19"/>
          <w:sz w:val="21"/>
        </w:rPr>
        <w:t> </w:t>
      </w:r>
      <w:r>
        <w:rPr>
          <w:sz w:val="21"/>
        </w:rPr>
        <w:t>to</w:t>
      </w:r>
      <w:r>
        <w:rPr>
          <w:spacing w:val="19"/>
          <w:sz w:val="21"/>
        </w:rPr>
        <w:t> </w:t>
      </w:r>
      <w:r>
        <w:rPr>
          <w:sz w:val="21"/>
        </w:rPr>
        <w:t>Employee</w:t>
      </w:r>
      <w:r>
        <w:rPr>
          <w:spacing w:val="19"/>
          <w:sz w:val="21"/>
        </w:rPr>
        <w:t> </w:t>
      </w:r>
      <w:r>
        <w:rPr>
          <w:sz w:val="21"/>
        </w:rPr>
        <w:t>than</w:t>
      </w:r>
      <w:r>
        <w:rPr>
          <w:spacing w:val="19"/>
          <w:sz w:val="21"/>
        </w:rPr>
        <w:t> </w:t>
      </w:r>
      <w:r>
        <w:rPr>
          <w:sz w:val="21"/>
        </w:rPr>
        <w:t>as</w:t>
      </w:r>
      <w:r>
        <w:rPr>
          <w:spacing w:val="19"/>
          <w:sz w:val="21"/>
        </w:rPr>
        <w:t> </w:t>
      </w:r>
      <w:r>
        <w:rPr>
          <w:sz w:val="21"/>
        </w:rPr>
        <w:t>set</w:t>
      </w:r>
      <w:r>
        <w:rPr>
          <w:spacing w:val="19"/>
          <w:sz w:val="21"/>
        </w:rPr>
        <w:t> </w:t>
      </w:r>
      <w:r>
        <w:rPr>
          <w:sz w:val="21"/>
        </w:rPr>
        <w:t>forth in each of the forms attached as Exhibits B, C and D and (B) during the Specified Term, any benefits Employee receives in connection</w:t>
      </w:r>
      <w:r>
        <w:rPr>
          <w:spacing w:val="40"/>
          <w:sz w:val="21"/>
        </w:rPr>
        <w:t> </w:t>
      </w:r>
      <w:r>
        <w:rPr>
          <w:sz w:val="21"/>
        </w:rPr>
        <w:t>with</w:t>
      </w:r>
      <w:r>
        <w:rPr>
          <w:spacing w:val="40"/>
          <w:sz w:val="21"/>
        </w:rPr>
        <w:t> </w:t>
      </w:r>
      <w:r>
        <w:rPr>
          <w:sz w:val="21"/>
        </w:rPr>
        <w:t>a</w:t>
      </w:r>
      <w:r>
        <w:rPr>
          <w:spacing w:val="40"/>
          <w:sz w:val="21"/>
        </w:rPr>
        <w:t> </w:t>
      </w:r>
      <w:r>
        <w:rPr>
          <w:sz w:val="21"/>
        </w:rPr>
        <w:t>Change</w:t>
      </w:r>
      <w:r>
        <w:rPr>
          <w:spacing w:val="40"/>
          <w:sz w:val="21"/>
        </w:rPr>
        <w:t> </w:t>
      </w:r>
      <w:r>
        <w:rPr>
          <w:sz w:val="21"/>
        </w:rPr>
        <w:t>of</w:t>
      </w:r>
      <w:r>
        <w:rPr>
          <w:spacing w:val="40"/>
          <w:sz w:val="21"/>
        </w:rPr>
        <w:t> </w:t>
      </w:r>
      <w:r>
        <w:rPr>
          <w:sz w:val="21"/>
        </w:rPr>
        <w:t>Control</w:t>
      </w:r>
      <w:r>
        <w:rPr>
          <w:spacing w:val="40"/>
          <w:sz w:val="21"/>
        </w:rPr>
        <w:t> </w:t>
      </w:r>
      <w:r>
        <w:rPr>
          <w:sz w:val="21"/>
        </w:rPr>
        <w:t>shall</w:t>
      </w:r>
      <w:r>
        <w:rPr>
          <w:spacing w:val="40"/>
          <w:sz w:val="21"/>
        </w:rPr>
        <w:t> </w:t>
      </w:r>
      <w:r>
        <w:rPr>
          <w:sz w:val="21"/>
        </w:rPr>
        <w:t>be</w:t>
      </w:r>
      <w:r>
        <w:rPr>
          <w:spacing w:val="40"/>
          <w:sz w:val="21"/>
        </w:rPr>
        <w:t> </w:t>
      </w:r>
      <w:r>
        <w:rPr>
          <w:sz w:val="21"/>
        </w:rPr>
        <w:t>no</w:t>
      </w:r>
      <w:r>
        <w:rPr>
          <w:spacing w:val="40"/>
          <w:sz w:val="21"/>
        </w:rPr>
        <w:t> </w:t>
      </w:r>
      <w:r>
        <w:rPr>
          <w:sz w:val="21"/>
        </w:rPr>
        <w:t>less</w:t>
      </w:r>
      <w:r>
        <w:rPr>
          <w:spacing w:val="40"/>
          <w:sz w:val="21"/>
        </w:rPr>
        <w:t> </w:t>
      </w:r>
      <w:r>
        <w:rPr>
          <w:sz w:val="21"/>
        </w:rPr>
        <w:t>favorable</w:t>
      </w:r>
      <w:r>
        <w:rPr>
          <w:spacing w:val="40"/>
          <w:sz w:val="21"/>
        </w:rPr>
        <w:t> </w:t>
      </w:r>
      <w:r>
        <w:rPr>
          <w:sz w:val="21"/>
        </w:rPr>
        <w:t>than</w:t>
      </w:r>
      <w:r>
        <w:rPr>
          <w:spacing w:val="40"/>
          <w:sz w:val="21"/>
        </w:rPr>
        <w:t> </w:t>
      </w:r>
      <w:r>
        <w:rPr>
          <w:sz w:val="21"/>
        </w:rPr>
        <w:t>those</w:t>
      </w:r>
      <w:r>
        <w:rPr>
          <w:spacing w:val="40"/>
          <w:sz w:val="21"/>
        </w:rPr>
        <w:t> </w:t>
      </w:r>
      <w:r>
        <w:rPr>
          <w:sz w:val="21"/>
        </w:rPr>
        <w:t>benefits</w:t>
      </w:r>
      <w:r>
        <w:rPr>
          <w:spacing w:val="40"/>
          <w:sz w:val="21"/>
        </w:rPr>
        <w:t> </w:t>
      </w:r>
      <w:r>
        <w:rPr>
          <w:sz w:val="21"/>
        </w:rPr>
        <w:t>provided</w:t>
      </w:r>
      <w:r>
        <w:rPr>
          <w:spacing w:val="40"/>
          <w:sz w:val="21"/>
        </w:rPr>
        <w:t> </w:t>
      </w:r>
      <w:r>
        <w:rPr>
          <w:sz w:val="21"/>
        </w:rPr>
        <w:t>in</w:t>
      </w:r>
      <w:r>
        <w:rPr>
          <w:spacing w:val="40"/>
          <w:sz w:val="21"/>
        </w:rPr>
        <w:t> </w:t>
      </w:r>
      <w:r>
        <w:rPr>
          <w:sz w:val="21"/>
        </w:rPr>
        <w:t>the Amended</w:t>
      </w:r>
      <w:r>
        <w:rPr>
          <w:spacing w:val="40"/>
          <w:sz w:val="21"/>
        </w:rPr>
        <w:t> </w:t>
      </w:r>
      <w:r>
        <w:rPr>
          <w:sz w:val="21"/>
        </w:rPr>
        <w:t>and</w:t>
      </w:r>
      <w:r>
        <w:rPr>
          <w:spacing w:val="40"/>
          <w:sz w:val="21"/>
        </w:rPr>
        <w:t> </w:t>
      </w:r>
      <w:r>
        <w:rPr>
          <w:sz w:val="21"/>
        </w:rPr>
        <w:t>Restated Change</w:t>
      </w:r>
      <w:r>
        <w:rPr>
          <w:spacing w:val="28"/>
          <w:sz w:val="21"/>
        </w:rPr>
        <w:t> </w:t>
      </w:r>
      <w:r>
        <w:rPr>
          <w:sz w:val="21"/>
        </w:rPr>
        <w:t>of</w:t>
      </w:r>
      <w:r>
        <w:rPr>
          <w:spacing w:val="28"/>
          <w:sz w:val="21"/>
        </w:rPr>
        <w:t> </w:t>
      </w:r>
      <w:r>
        <w:rPr>
          <w:sz w:val="21"/>
        </w:rPr>
        <w:t>Control</w:t>
      </w:r>
      <w:r>
        <w:rPr>
          <w:spacing w:val="28"/>
          <w:sz w:val="21"/>
        </w:rPr>
        <w:t> </w:t>
      </w:r>
      <w:r>
        <w:rPr>
          <w:sz w:val="21"/>
        </w:rPr>
        <w:t>Policy</w:t>
      </w:r>
      <w:r>
        <w:rPr>
          <w:spacing w:val="28"/>
          <w:sz w:val="21"/>
        </w:rPr>
        <w:t> </w:t>
      </w:r>
      <w:r>
        <w:rPr>
          <w:sz w:val="21"/>
        </w:rPr>
        <w:t>For</w:t>
      </w:r>
      <w:r>
        <w:rPr>
          <w:spacing w:val="28"/>
          <w:sz w:val="21"/>
        </w:rPr>
        <w:t> </w:t>
      </w:r>
      <w:r>
        <w:rPr>
          <w:sz w:val="21"/>
        </w:rPr>
        <w:t>Executive</w:t>
      </w:r>
      <w:r>
        <w:rPr>
          <w:spacing w:val="28"/>
          <w:sz w:val="21"/>
        </w:rPr>
        <w:t> </w:t>
      </w:r>
      <w:r>
        <w:rPr>
          <w:sz w:val="21"/>
        </w:rPr>
        <w:t>Officers</w:t>
      </w:r>
      <w:r>
        <w:rPr>
          <w:spacing w:val="28"/>
          <w:sz w:val="21"/>
        </w:rPr>
        <w:t> </w:t>
      </w:r>
      <w:r>
        <w:rPr>
          <w:sz w:val="21"/>
        </w:rPr>
        <w:t>adopted</w:t>
      </w:r>
      <w:r>
        <w:rPr>
          <w:spacing w:val="28"/>
          <w:sz w:val="21"/>
        </w:rPr>
        <w:t> </w:t>
      </w:r>
      <w:r>
        <w:rPr>
          <w:sz w:val="21"/>
        </w:rPr>
        <w:t>on August</w:t>
      </w:r>
      <w:r>
        <w:rPr>
          <w:spacing w:val="28"/>
          <w:sz w:val="21"/>
        </w:rPr>
        <w:t> </w:t>
      </w:r>
      <w:r>
        <w:rPr>
          <w:sz w:val="21"/>
        </w:rPr>
        <w:t>16,</w:t>
      </w:r>
      <w:r>
        <w:rPr>
          <w:spacing w:val="28"/>
          <w:sz w:val="21"/>
        </w:rPr>
        <w:t> </w:t>
      </w:r>
      <w:r>
        <w:rPr>
          <w:sz w:val="21"/>
        </w:rPr>
        <w:t>2022</w:t>
      </w:r>
      <w:r>
        <w:rPr>
          <w:spacing w:val="28"/>
          <w:sz w:val="21"/>
        </w:rPr>
        <w:t> </w:t>
      </w:r>
      <w:r>
        <w:rPr>
          <w:sz w:val="21"/>
        </w:rPr>
        <w:t>(the</w:t>
      </w:r>
      <w:r>
        <w:rPr>
          <w:spacing w:val="28"/>
          <w:sz w:val="21"/>
        </w:rPr>
        <w:t> </w:t>
      </w:r>
      <w:r>
        <w:rPr>
          <w:sz w:val="21"/>
        </w:rPr>
        <w:t>“COC</w:t>
      </w:r>
      <w:r>
        <w:rPr>
          <w:spacing w:val="28"/>
          <w:sz w:val="21"/>
        </w:rPr>
        <w:t> </w:t>
      </w:r>
      <w:r>
        <w:rPr>
          <w:sz w:val="21"/>
        </w:rPr>
        <w:t>Policy”).</w:t>
      </w:r>
    </w:p>
    <w:p>
      <w:pPr>
        <w:pStyle w:val="BodyText"/>
        <w:spacing w:before="185"/>
        <w:rPr>
          <w:sz w:val="21"/>
        </w:rPr>
      </w:pPr>
    </w:p>
    <w:p>
      <w:pPr>
        <w:pStyle w:val="ListParagraph"/>
        <w:numPr>
          <w:ilvl w:val="0"/>
          <w:numId w:val="51"/>
        </w:numPr>
        <w:tabs>
          <w:tab w:pos="383" w:val="left" w:leader="none"/>
        </w:tabs>
        <w:spacing w:line="213" w:lineRule="auto" w:before="0" w:after="0"/>
        <w:ind w:left="144" w:right="221" w:firstLine="0"/>
        <w:jc w:val="both"/>
        <w:rPr>
          <w:sz w:val="21"/>
        </w:rPr>
      </w:pPr>
      <w:r>
        <w:rPr>
          <w:sz w:val="21"/>
          <w:u w:val="single"/>
        </w:rPr>
        <w:t>Extent</w:t>
      </w:r>
      <w:r>
        <w:rPr>
          <w:spacing w:val="39"/>
          <w:sz w:val="21"/>
          <w:u w:val="single"/>
        </w:rPr>
        <w:t> </w:t>
      </w:r>
      <w:r>
        <w:rPr>
          <w:sz w:val="21"/>
          <w:u w:val="single"/>
        </w:rPr>
        <w:t>of</w:t>
      </w:r>
      <w:r>
        <w:rPr>
          <w:spacing w:val="39"/>
          <w:sz w:val="21"/>
          <w:u w:val="single"/>
        </w:rPr>
        <w:t> </w:t>
      </w:r>
      <w:r>
        <w:rPr>
          <w:sz w:val="21"/>
          <w:u w:val="single"/>
        </w:rPr>
        <w:t>Services</w:t>
      </w:r>
      <w:r>
        <w:rPr>
          <w:sz w:val="21"/>
        </w:rPr>
        <w:t>.</w:t>
      </w:r>
      <w:r>
        <w:rPr>
          <w:spacing w:val="39"/>
          <w:sz w:val="21"/>
        </w:rPr>
        <w:t> </w:t>
      </w:r>
      <w:r>
        <w:rPr>
          <w:sz w:val="21"/>
        </w:rPr>
        <w:t>Employee</w:t>
      </w:r>
      <w:r>
        <w:rPr>
          <w:spacing w:val="39"/>
          <w:sz w:val="21"/>
        </w:rPr>
        <w:t> </w:t>
      </w:r>
      <w:r>
        <w:rPr>
          <w:sz w:val="21"/>
        </w:rPr>
        <w:t>agrees</w:t>
      </w:r>
      <w:r>
        <w:rPr>
          <w:spacing w:val="39"/>
          <w:sz w:val="21"/>
        </w:rPr>
        <w:t> </w:t>
      </w:r>
      <w:r>
        <w:rPr>
          <w:sz w:val="21"/>
        </w:rPr>
        <w:t>that</w:t>
      </w:r>
      <w:r>
        <w:rPr>
          <w:spacing w:val="39"/>
          <w:sz w:val="21"/>
        </w:rPr>
        <w:t> </w:t>
      </w:r>
      <w:r>
        <w:rPr>
          <w:sz w:val="21"/>
        </w:rPr>
        <w:t>Employee’s</w:t>
      </w:r>
      <w:r>
        <w:rPr>
          <w:spacing w:val="39"/>
          <w:sz w:val="21"/>
        </w:rPr>
        <w:t> </w:t>
      </w:r>
      <w:r>
        <w:rPr>
          <w:sz w:val="21"/>
        </w:rPr>
        <w:t>employment</w:t>
      </w:r>
      <w:r>
        <w:rPr>
          <w:spacing w:val="39"/>
          <w:sz w:val="21"/>
        </w:rPr>
        <w:t> </w:t>
      </w:r>
      <w:r>
        <w:rPr>
          <w:sz w:val="21"/>
        </w:rPr>
        <w:t>by</w:t>
      </w:r>
      <w:r>
        <w:rPr>
          <w:spacing w:val="39"/>
          <w:sz w:val="21"/>
        </w:rPr>
        <w:t> </w:t>
      </w:r>
      <w:r>
        <w:rPr>
          <w:sz w:val="21"/>
        </w:rPr>
        <w:t>Employer</w:t>
      </w:r>
      <w:r>
        <w:rPr>
          <w:spacing w:val="39"/>
          <w:sz w:val="21"/>
        </w:rPr>
        <w:t> </w:t>
      </w:r>
      <w:r>
        <w:rPr>
          <w:sz w:val="21"/>
        </w:rPr>
        <w:t>is</w:t>
      </w:r>
      <w:r>
        <w:rPr>
          <w:spacing w:val="39"/>
          <w:sz w:val="21"/>
        </w:rPr>
        <w:t> </w:t>
      </w:r>
      <w:r>
        <w:rPr>
          <w:sz w:val="21"/>
        </w:rPr>
        <w:t>full</w:t>
      </w:r>
      <w:r>
        <w:rPr>
          <w:spacing w:val="39"/>
          <w:sz w:val="21"/>
        </w:rPr>
        <w:t> </w:t>
      </w:r>
      <w:r>
        <w:rPr>
          <w:sz w:val="21"/>
        </w:rPr>
        <w:t>time</w:t>
      </w:r>
      <w:r>
        <w:rPr>
          <w:spacing w:val="39"/>
          <w:sz w:val="21"/>
        </w:rPr>
        <w:t> </w:t>
      </w:r>
      <w:r>
        <w:rPr>
          <w:sz w:val="21"/>
        </w:rPr>
        <w:t>and</w:t>
      </w:r>
      <w:r>
        <w:rPr>
          <w:spacing w:val="39"/>
          <w:sz w:val="21"/>
        </w:rPr>
        <w:t> </w:t>
      </w:r>
      <w:r>
        <w:rPr>
          <w:sz w:val="21"/>
        </w:rPr>
        <w:t>exclusive.</w:t>
      </w:r>
      <w:r>
        <w:rPr>
          <w:spacing w:val="39"/>
          <w:sz w:val="21"/>
        </w:rPr>
        <w:t> </w:t>
      </w:r>
      <w:r>
        <w:rPr>
          <w:sz w:val="21"/>
        </w:rPr>
        <w:t>Employee</w:t>
      </w:r>
      <w:r>
        <w:rPr>
          <w:spacing w:val="39"/>
          <w:sz w:val="21"/>
        </w:rPr>
        <w:t> </w:t>
      </w:r>
      <w:r>
        <w:rPr>
          <w:sz w:val="21"/>
        </w:rPr>
        <w:t>further agrees</w:t>
      </w:r>
      <w:r>
        <w:rPr>
          <w:spacing w:val="40"/>
          <w:sz w:val="21"/>
        </w:rPr>
        <w:t> </w:t>
      </w:r>
      <w:r>
        <w:rPr>
          <w:sz w:val="21"/>
        </w:rPr>
        <w:t>to</w:t>
      </w:r>
      <w:r>
        <w:rPr>
          <w:spacing w:val="40"/>
          <w:sz w:val="21"/>
        </w:rPr>
        <w:t> </w:t>
      </w:r>
      <w:r>
        <w:rPr>
          <w:sz w:val="21"/>
        </w:rPr>
        <w:t>perform</w:t>
      </w:r>
      <w:r>
        <w:rPr>
          <w:spacing w:val="40"/>
          <w:sz w:val="21"/>
        </w:rPr>
        <w:t> </w:t>
      </w:r>
      <w:r>
        <w:rPr>
          <w:sz w:val="21"/>
        </w:rPr>
        <w:t>Employee’s</w:t>
      </w:r>
      <w:r>
        <w:rPr>
          <w:spacing w:val="40"/>
          <w:sz w:val="21"/>
        </w:rPr>
        <w:t> </w:t>
      </w:r>
      <w:r>
        <w:rPr>
          <w:sz w:val="21"/>
        </w:rPr>
        <w:t>duties</w:t>
      </w:r>
      <w:r>
        <w:rPr>
          <w:spacing w:val="40"/>
          <w:sz w:val="21"/>
        </w:rPr>
        <w:t> </w:t>
      </w:r>
      <w:r>
        <w:rPr>
          <w:sz w:val="21"/>
        </w:rPr>
        <w:t>in</w:t>
      </w:r>
      <w:r>
        <w:rPr>
          <w:spacing w:val="40"/>
          <w:sz w:val="21"/>
        </w:rPr>
        <w:t> </w:t>
      </w:r>
      <w:r>
        <w:rPr>
          <w:sz w:val="21"/>
        </w:rPr>
        <w:t>a</w:t>
      </w:r>
      <w:r>
        <w:rPr>
          <w:spacing w:val="40"/>
          <w:sz w:val="21"/>
        </w:rPr>
        <w:t> </w:t>
      </w:r>
      <w:r>
        <w:rPr>
          <w:sz w:val="21"/>
        </w:rPr>
        <w:t>competent,</w:t>
      </w:r>
      <w:r>
        <w:rPr>
          <w:spacing w:val="40"/>
          <w:sz w:val="21"/>
        </w:rPr>
        <w:t> </w:t>
      </w:r>
      <w:r>
        <w:rPr>
          <w:sz w:val="21"/>
        </w:rPr>
        <w:t>trustworthy</w:t>
      </w:r>
      <w:r>
        <w:rPr>
          <w:spacing w:val="40"/>
          <w:sz w:val="21"/>
        </w:rPr>
        <w:t> </w:t>
      </w:r>
      <w:r>
        <w:rPr>
          <w:sz w:val="21"/>
        </w:rPr>
        <w:t>and</w:t>
      </w:r>
      <w:r>
        <w:rPr>
          <w:spacing w:val="40"/>
          <w:sz w:val="21"/>
        </w:rPr>
        <w:t> </w:t>
      </w:r>
      <w:r>
        <w:rPr>
          <w:sz w:val="21"/>
        </w:rPr>
        <w:t>businesslike</w:t>
      </w:r>
      <w:r>
        <w:rPr>
          <w:spacing w:val="40"/>
          <w:sz w:val="21"/>
        </w:rPr>
        <w:t> </w:t>
      </w:r>
      <w:r>
        <w:rPr>
          <w:sz w:val="21"/>
        </w:rPr>
        <w:t>manner.</w:t>
      </w:r>
      <w:r>
        <w:rPr>
          <w:spacing w:val="40"/>
          <w:sz w:val="21"/>
        </w:rPr>
        <w:t> </w:t>
      </w:r>
      <w:r>
        <w:rPr>
          <w:sz w:val="21"/>
        </w:rPr>
        <w:t>Employee</w:t>
      </w:r>
      <w:r>
        <w:rPr>
          <w:spacing w:val="40"/>
          <w:sz w:val="21"/>
        </w:rPr>
        <w:t> </w:t>
      </w:r>
      <w:r>
        <w:rPr>
          <w:sz w:val="21"/>
        </w:rPr>
        <w:t>agrees</w:t>
      </w:r>
      <w:r>
        <w:rPr>
          <w:spacing w:val="40"/>
          <w:sz w:val="21"/>
        </w:rPr>
        <w:t> </w:t>
      </w:r>
      <w:r>
        <w:rPr>
          <w:sz w:val="21"/>
        </w:rPr>
        <w:t>that</w:t>
      </w:r>
      <w:r>
        <w:rPr>
          <w:spacing w:val="40"/>
          <w:sz w:val="21"/>
        </w:rPr>
        <w:t> </w:t>
      </w:r>
      <w:r>
        <w:rPr>
          <w:sz w:val="21"/>
        </w:rPr>
        <w:t>during</w:t>
      </w:r>
      <w:r>
        <w:rPr>
          <w:spacing w:val="40"/>
          <w:sz w:val="21"/>
        </w:rPr>
        <w:t> </w:t>
      </w:r>
      <w:r>
        <w:rPr>
          <w:sz w:val="21"/>
        </w:rPr>
        <w:t>the Specified</w:t>
      </w:r>
      <w:r>
        <w:rPr>
          <w:spacing w:val="18"/>
          <w:sz w:val="21"/>
        </w:rPr>
        <w:t> </w:t>
      </w:r>
      <w:r>
        <w:rPr>
          <w:sz w:val="21"/>
        </w:rPr>
        <w:t>Term</w:t>
      </w:r>
      <w:r>
        <w:rPr>
          <w:spacing w:val="22"/>
          <w:sz w:val="21"/>
        </w:rPr>
        <w:t> </w:t>
      </w:r>
      <w:r>
        <w:rPr>
          <w:sz w:val="21"/>
        </w:rPr>
        <w:t>Employee</w:t>
      </w:r>
      <w:r>
        <w:rPr>
          <w:spacing w:val="22"/>
          <w:sz w:val="21"/>
        </w:rPr>
        <w:t> </w:t>
      </w:r>
      <w:r>
        <w:rPr>
          <w:sz w:val="21"/>
        </w:rPr>
        <w:t>will</w:t>
      </w:r>
      <w:r>
        <w:rPr>
          <w:spacing w:val="22"/>
          <w:sz w:val="21"/>
        </w:rPr>
        <w:t> </w:t>
      </w:r>
      <w:r>
        <w:rPr>
          <w:sz w:val="21"/>
        </w:rPr>
        <w:t>not</w:t>
      </w:r>
      <w:r>
        <w:rPr>
          <w:spacing w:val="22"/>
          <w:sz w:val="21"/>
        </w:rPr>
        <w:t> </w:t>
      </w:r>
      <w:r>
        <w:rPr>
          <w:sz w:val="21"/>
        </w:rPr>
        <w:t>render</w:t>
      </w:r>
      <w:r>
        <w:rPr>
          <w:spacing w:val="22"/>
          <w:sz w:val="21"/>
        </w:rPr>
        <w:t> </w:t>
      </w:r>
      <w:r>
        <w:rPr>
          <w:sz w:val="21"/>
        </w:rPr>
        <w:t>any</w:t>
      </w:r>
      <w:r>
        <w:rPr>
          <w:spacing w:val="22"/>
          <w:sz w:val="21"/>
        </w:rPr>
        <w:t> </w:t>
      </w:r>
      <w:r>
        <w:rPr>
          <w:sz w:val="21"/>
        </w:rPr>
        <w:t>services</w:t>
      </w:r>
      <w:r>
        <w:rPr>
          <w:spacing w:val="22"/>
          <w:sz w:val="21"/>
        </w:rPr>
        <w:t> </w:t>
      </w:r>
      <w:r>
        <w:rPr>
          <w:sz w:val="21"/>
        </w:rPr>
        <w:t>of</w:t>
      </w:r>
      <w:r>
        <w:rPr>
          <w:spacing w:val="22"/>
          <w:sz w:val="21"/>
        </w:rPr>
        <w:t> </w:t>
      </w:r>
      <w:r>
        <w:rPr>
          <w:sz w:val="21"/>
        </w:rPr>
        <w:t>any</w:t>
      </w:r>
      <w:r>
        <w:rPr>
          <w:spacing w:val="22"/>
          <w:sz w:val="21"/>
        </w:rPr>
        <w:t> </w:t>
      </w:r>
      <w:r>
        <w:rPr>
          <w:sz w:val="21"/>
        </w:rPr>
        <w:t>kind</w:t>
      </w:r>
      <w:r>
        <w:rPr>
          <w:spacing w:val="22"/>
          <w:sz w:val="21"/>
        </w:rPr>
        <w:t> </w:t>
      </w:r>
      <w:r>
        <w:rPr>
          <w:sz w:val="21"/>
        </w:rPr>
        <w:t>(whether</w:t>
      </w:r>
      <w:r>
        <w:rPr>
          <w:spacing w:val="22"/>
          <w:sz w:val="21"/>
        </w:rPr>
        <w:t> </w:t>
      </w:r>
      <w:r>
        <w:rPr>
          <w:sz w:val="21"/>
        </w:rPr>
        <w:t>or</w:t>
      </w:r>
      <w:r>
        <w:rPr>
          <w:spacing w:val="22"/>
          <w:sz w:val="21"/>
        </w:rPr>
        <w:t> </w:t>
      </w:r>
      <w:r>
        <w:rPr>
          <w:sz w:val="21"/>
        </w:rPr>
        <w:t>not</w:t>
      </w:r>
      <w:r>
        <w:rPr>
          <w:spacing w:val="22"/>
          <w:sz w:val="21"/>
        </w:rPr>
        <w:t> </w:t>
      </w:r>
      <w:r>
        <w:rPr>
          <w:sz w:val="21"/>
        </w:rPr>
        <w:t>for</w:t>
      </w:r>
      <w:r>
        <w:rPr>
          <w:spacing w:val="22"/>
          <w:sz w:val="21"/>
        </w:rPr>
        <w:t> </w:t>
      </w:r>
      <w:r>
        <w:rPr>
          <w:sz w:val="21"/>
        </w:rPr>
        <w:t>compensation)</w:t>
      </w:r>
      <w:r>
        <w:rPr>
          <w:spacing w:val="22"/>
          <w:sz w:val="21"/>
        </w:rPr>
        <w:t> </w:t>
      </w:r>
      <w:r>
        <w:rPr>
          <w:sz w:val="21"/>
        </w:rPr>
        <w:t>for</w:t>
      </w:r>
      <w:r>
        <w:rPr>
          <w:spacing w:val="22"/>
          <w:sz w:val="21"/>
        </w:rPr>
        <w:t> </w:t>
      </w:r>
      <w:r>
        <w:rPr>
          <w:sz w:val="21"/>
        </w:rPr>
        <w:t>any</w:t>
      </w:r>
      <w:r>
        <w:rPr>
          <w:spacing w:val="22"/>
          <w:sz w:val="21"/>
        </w:rPr>
        <w:t> </w:t>
      </w:r>
      <w:r>
        <w:rPr>
          <w:sz w:val="21"/>
        </w:rPr>
        <w:t>person</w:t>
      </w:r>
      <w:r>
        <w:rPr>
          <w:spacing w:val="22"/>
          <w:sz w:val="21"/>
        </w:rPr>
        <w:t> </w:t>
      </w:r>
      <w:r>
        <w:rPr>
          <w:sz w:val="21"/>
        </w:rPr>
        <w:t>or</w:t>
      </w:r>
      <w:r>
        <w:rPr>
          <w:spacing w:val="22"/>
          <w:sz w:val="21"/>
        </w:rPr>
        <w:t> </w:t>
      </w:r>
      <w:r>
        <w:rPr>
          <w:sz w:val="21"/>
        </w:rPr>
        <w:t>entity</w:t>
      </w:r>
      <w:r>
        <w:rPr>
          <w:spacing w:val="22"/>
          <w:sz w:val="21"/>
        </w:rPr>
        <w:t> </w:t>
      </w:r>
      <w:r>
        <w:rPr>
          <w:sz w:val="21"/>
        </w:rPr>
        <w:t>and that Employee will not engage in any other</w:t>
      </w: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52"/>
        <w:rPr>
          <w:sz w:val="21"/>
        </w:rPr>
      </w:pPr>
    </w:p>
    <w:p>
      <w:pPr>
        <w:spacing w:before="1"/>
        <w:ind w:left="24" w:right="0" w:firstLine="0"/>
        <w:jc w:val="center"/>
        <w:rPr>
          <w:sz w:val="21"/>
        </w:rPr>
      </w:pPr>
      <w:r>
        <w:rPr>
          <w:spacing w:val="-10"/>
          <w:sz w:val="21"/>
        </w:rPr>
        <w:t>3</w:t>
      </w:r>
    </w:p>
    <w:p>
      <w:pPr>
        <w:pStyle w:val="BodyText"/>
        <w:spacing w:before="6"/>
        <w:rPr>
          <w:sz w:val="4"/>
        </w:rPr>
      </w:pPr>
      <w:r>
        <w:rPr/>
        <mc:AlternateContent>
          <mc:Choice Requires="wps">
            <w:drawing>
              <wp:anchor distT="0" distB="0" distL="0" distR="0" allowOverlap="1" layoutInCell="1" locked="0" behindDoc="1" simplePos="0" relativeHeight="487804416">
                <wp:simplePos x="0" y="0"/>
                <wp:positionH relativeFrom="page">
                  <wp:posOffset>231457</wp:posOffset>
                </wp:positionH>
                <wp:positionV relativeFrom="paragraph">
                  <wp:posOffset>48317</wp:posOffset>
                </wp:positionV>
                <wp:extent cx="7312659" cy="17145"/>
                <wp:effectExtent l="0" t="0" r="0" b="0"/>
                <wp:wrapTopAndBottom/>
                <wp:docPr id="1055" name="Group 1055"/>
                <wp:cNvGraphicFramePr>
                  <a:graphicFrameLocks/>
                </wp:cNvGraphicFramePr>
                <a:graphic>
                  <a:graphicData uri="http://schemas.microsoft.com/office/word/2010/wordprocessingGroup">
                    <wpg:wgp>
                      <wpg:cNvPr id="1055" name="Group 1055"/>
                      <wpg:cNvGrpSpPr/>
                      <wpg:grpSpPr>
                        <a:xfrm>
                          <a:off x="0" y="0"/>
                          <a:ext cx="7312659" cy="17145"/>
                          <a:chExt cx="7312659" cy="17145"/>
                        </a:xfrm>
                      </wpg:grpSpPr>
                      <wps:wsp>
                        <wps:cNvPr id="1056" name="Graphic 105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57" name="Graphic 1057"/>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58" name="Graphic 105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804528pt;width:575.8pt;height:1.35pt;mso-position-horizontal-relative:page;mso-position-vertical-relative:paragraph;z-index:-15512064;mso-wrap-distance-left:0;mso-wrap-distance-right:0" id="docshapegroup1053" coordorigin="364,76" coordsize="11516,27">
                <v:rect style="position:absolute;left:364;top:76;width:11516;height:14" id="docshape1054" filled="true" fillcolor="#999999" stroked="false">
                  <v:fill type="solid"/>
                </v:rect>
                <v:shape style="position:absolute;left:364;top:76;width:11516;height:27" id="docshape1055" coordorigin="364,76" coordsize="11516,27" path="m11880,76l11866,90,364,90,364,103,11866,103,11880,103,11880,90,11880,76xe" filled="true" fillcolor="#ededed" stroked="false">
                  <v:path arrowok="t"/>
                  <v:fill type="solid"/>
                </v:shape>
                <v:shape style="position:absolute;left:364;top:76;width:14;height:27" id="docshape1056" coordorigin="364,76" coordsize="14,27" path="m364,103l364,76,378,76,378,90,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spacing w:line="213" w:lineRule="auto" w:before="102"/>
        <w:ind w:left="144" w:right="220" w:firstLine="0"/>
        <w:jc w:val="both"/>
        <w:rPr>
          <w:sz w:val="21"/>
        </w:rPr>
      </w:pPr>
      <w:r>
        <w:rPr>
          <w:sz w:val="21"/>
        </w:rPr>
        <w:t>business activity (whether or not for compensation) that is similar to or conflicts with Employee’s duties under this </w:t>
      </w:r>
      <w:r>
        <w:rPr>
          <w:sz w:val="21"/>
        </w:rPr>
        <w:t>Agreement,</w:t>
      </w:r>
      <w:r>
        <w:rPr>
          <w:spacing w:val="80"/>
          <w:sz w:val="21"/>
        </w:rPr>
        <w:t> </w:t>
      </w:r>
      <w:r>
        <w:rPr>
          <w:sz w:val="21"/>
        </w:rPr>
        <w:t>without the approval of the CEO or the Chief Legal and Administrative Officer (or General Counsel, as applicable) or the person or persons designated by the Office of the General Counsel to determine such matters. Employer understands that Employee serves or intends</w:t>
      </w:r>
      <w:r>
        <w:rPr>
          <w:spacing w:val="27"/>
          <w:sz w:val="21"/>
        </w:rPr>
        <w:t> </w:t>
      </w:r>
      <w:r>
        <w:rPr>
          <w:sz w:val="21"/>
        </w:rPr>
        <w:t>to</w:t>
      </w:r>
      <w:r>
        <w:rPr>
          <w:spacing w:val="27"/>
          <w:sz w:val="21"/>
        </w:rPr>
        <w:t> </w:t>
      </w:r>
      <w:r>
        <w:rPr>
          <w:sz w:val="21"/>
        </w:rPr>
        <w:t>serve</w:t>
      </w:r>
      <w:r>
        <w:rPr>
          <w:spacing w:val="27"/>
          <w:sz w:val="21"/>
        </w:rPr>
        <w:t> </w:t>
      </w:r>
      <w:r>
        <w:rPr>
          <w:sz w:val="21"/>
        </w:rPr>
        <w:t>on</w:t>
      </w:r>
      <w:r>
        <w:rPr>
          <w:spacing w:val="27"/>
          <w:sz w:val="21"/>
        </w:rPr>
        <w:t> </w:t>
      </w:r>
      <w:r>
        <w:rPr>
          <w:sz w:val="21"/>
        </w:rPr>
        <w:t>corporate</w:t>
      </w:r>
      <w:r>
        <w:rPr>
          <w:spacing w:val="27"/>
          <w:sz w:val="21"/>
        </w:rPr>
        <w:t> </w:t>
      </w:r>
      <w:r>
        <w:rPr>
          <w:sz w:val="21"/>
        </w:rPr>
        <w:t>boards</w:t>
      </w:r>
      <w:r>
        <w:rPr>
          <w:spacing w:val="27"/>
          <w:sz w:val="21"/>
        </w:rPr>
        <w:t> </w:t>
      </w:r>
      <w:r>
        <w:rPr>
          <w:sz w:val="21"/>
        </w:rPr>
        <w:t>and</w:t>
      </w:r>
      <w:r>
        <w:rPr>
          <w:spacing w:val="27"/>
          <w:sz w:val="21"/>
        </w:rPr>
        <w:t> </w:t>
      </w:r>
      <w:r>
        <w:rPr>
          <w:sz w:val="21"/>
        </w:rPr>
        <w:t>the</w:t>
      </w:r>
      <w:r>
        <w:rPr>
          <w:spacing w:val="27"/>
          <w:sz w:val="21"/>
        </w:rPr>
        <w:t> </w:t>
      </w:r>
      <w:r>
        <w:rPr>
          <w:sz w:val="21"/>
        </w:rPr>
        <w:t>restrictions</w:t>
      </w:r>
      <w:r>
        <w:rPr>
          <w:spacing w:val="27"/>
          <w:sz w:val="21"/>
        </w:rPr>
        <w:t> </w:t>
      </w:r>
      <w:r>
        <w:rPr>
          <w:sz w:val="21"/>
        </w:rPr>
        <w:t>of</w:t>
      </w:r>
      <w:r>
        <w:rPr>
          <w:spacing w:val="27"/>
          <w:sz w:val="21"/>
        </w:rPr>
        <w:t> </w:t>
      </w:r>
      <w:r>
        <w:rPr>
          <w:sz w:val="21"/>
        </w:rPr>
        <w:t>this</w:t>
      </w:r>
      <w:r>
        <w:rPr>
          <w:spacing w:val="27"/>
          <w:sz w:val="21"/>
        </w:rPr>
        <w:t> </w:t>
      </w:r>
      <w:r>
        <w:rPr>
          <w:sz w:val="21"/>
        </w:rPr>
        <w:t>Section</w:t>
      </w:r>
      <w:r>
        <w:rPr>
          <w:spacing w:val="27"/>
          <w:sz w:val="21"/>
        </w:rPr>
        <w:t> </w:t>
      </w:r>
      <w:r>
        <w:rPr>
          <w:sz w:val="21"/>
        </w:rPr>
        <w:t>4</w:t>
      </w:r>
      <w:r>
        <w:rPr>
          <w:spacing w:val="27"/>
          <w:sz w:val="21"/>
        </w:rPr>
        <w:t> </w:t>
      </w:r>
      <w:r>
        <w:rPr>
          <w:sz w:val="21"/>
        </w:rPr>
        <w:t>will</w:t>
      </w:r>
      <w:r>
        <w:rPr>
          <w:spacing w:val="27"/>
          <w:sz w:val="21"/>
        </w:rPr>
        <w:t> </w:t>
      </w:r>
      <w:r>
        <w:rPr>
          <w:sz w:val="21"/>
        </w:rPr>
        <w:t>not</w:t>
      </w:r>
      <w:r>
        <w:rPr>
          <w:spacing w:val="27"/>
          <w:sz w:val="21"/>
        </w:rPr>
        <w:t> </w:t>
      </w:r>
      <w:r>
        <w:rPr>
          <w:sz w:val="21"/>
        </w:rPr>
        <w:t>apply</w:t>
      </w:r>
      <w:r>
        <w:rPr>
          <w:spacing w:val="27"/>
          <w:sz w:val="21"/>
        </w:rPr>
        <w:t> </w:t>
      </w:r>
      <w:r>
        <w:rPr>
          <w:sz w:val="21"/>
        </w:rPr>
        <w:t>to</w:t>
      </w:r>
      <w:r>
        <w:rPr>
          <w:spacing w:val="27"/>
          <w:sz w:val="21"/>
        </w:rPr>
        <w:t> </w:t>
      </w:r>
      <w:r>
        <w:rPr>
          <w:sz w:val="21"/>
        </w:rPr>
        <w:t>Employee’s</w:t>
      </w:r>
      <w:r>
        <w:rPr>
          <w:spacing w:val="27"/>
          <w:sz w:val="21"/>
        </w:rPr>
        <w:t> </w:t>
      </w:r>
      <w:r>
        <w:rPr>
          <w:sz w:val="21"/>
        </w:rPr>
        <w:t>board</w:t>
      </w:r>
      <w:r>
        <w:rPr>
          <w:spacing w:val="27"/>
          <w:sz w:val="21"/>
        </w:rPr>
        <w:t> </w:t>
      </w:r>
      <w:r>
        <w:rPr>
          <w:sz w:val="21"/>
        </w:rPr>
        <w:t>service,</w:t>
      </w:r>
      <w:r>
        <w:rPr>
          <w:spacing w:val="27"/>
          <w:sz w:val="21"/>
        </w:rPr>
        <w:t> </w:t>
      </w:r>
      <w:r>
        <w:rPr>
          <w:sz w:val="21"/>
        </w:rPr>
        <w:t>whether</w:t>
      </w:r>
      <w:r>
        <w:rPr>
          <w:spacing w:val="27"/>
          <w:sz w:val="21"/>
        </w:rPr>
        <w:t> </w:t>
      </w:r>
      <w:r>
        <w:rPr>
          <w:sz w:val="21"/>
        </w:rPr>
        <w:t>or not</w:t>
      </w:r>
      <w:r>
        <w:rPr>
          <w:spacing w:val="27"/>
          <w:sz w:val="21"/>
        </w:rPr>
        <w:t> </w:t>
      </w:r>
      <w:r>
        <w:rPr>
          <w:sz w:val="21"/>
        </w:rPr>
        <w:t>such</w:t>
      </w:r>
      <w:r>
        <w:rPr>
          <w:spacing w:val="27"/>
          <w:sz w:val="21"/>
        </w:rPr>
        <w:t> </w:t>
      </w:r>
      <w:r>
        <w:rPr>
          <w:sz w:val="21"/>
        </w:rPr>
        <w:t>board</w:t>
      </w:r>
      <w:r>
        <w:rPr>
          <w:spacing w:val="27"/>
          <w:sz w:val="21"/>
        </w:rPr>
        <w:t> </w:t>
      </w:r>
      <w:r>
        <w:rPr>
          <w:sz w:val="21"/>
        </w:rPr>
        <w:t>service</w:t>
      </w:r>
      <w:r>
        <w:rPr>
          <w:spacing w:val="27"/>
          <w:sz w:val="21"/>
        </w:rPr>
        <w:t> </w:t>
      </w:r>
      <w:r>
        <w:rPr>
          <w:sz w:val="21"/>
        </w:rPr>
        <w:t>is</w:t>
      </w:r>
      <w:r>
        <w:rPr>
          <w:spacing w:val="27"/>
          <w:sz w:val="21"/>
        </w:rPr>
        <w:t> </w:t>
      </w:r>
      <w:r>
        <w:rPr>
          <w:sz w:val="21"/>
        </w:rPr>
        <w:t>compensated,</w:t>
      </w:r>
      <w:r>
        <w:rPr>
          <w:spacing w:val="27"/>
          <w:sz w:val="21"/>
        </w:rPr>
        <w:t> </w:t>
      </w:r>
      <w:r>
        <w:rPr>
          <w:sz w:val="21"/>
        </w:rPr>
        <w:t>if</w:t>
      </w:r>
      <w:r>
        <w:rPr>
          <w:spacing w:val="27"/>
          <w:sz w:val="21"/>
        </w:rPr>
        <w:t> </w:t>
      </w:r>
      <w:r>
        <w:rPr>
          <w:sz w:val="21"/>
        </w:rPr>
        <w:t>such</w:t>
      </w:r>
      <w:r>
        <w:rPr>
          <w:spacing w:val="27"/>
          <w:sz w:val="21"/>
        </w:rPr>
        <w:t> </w:t>
      </w:r>
      <w:r>
        <w:rPr>
          <w:sz w:val="21"/>
        </w:rPr>
        <w:t>board</w:t>
      </w:r>
      <w:r>
        <w:rPr>
          <w:spacing w:val="27"/>
          <w:sz w:val="21"/>
        </w:rPr>
        <w:t> </w:t>
      </w:r>
      <w:r>
        <w:rPr>
          <w:sz w:val="21"/>
        </w:rPr>
        <w:t>service</w:t>
      </w:r>
      <w:r>
        <w:rPr>
          <w:spacing w:val="27"/>
          <w:sz w:val="21"/>
        </w:rPr>
        <w:t> </w:t>
      </w:r>
      <w:r>
        <w:rPr>
          <w:sz w:val="21"/>
        </w:rPr>
        <w:t>does</w:t>
      </w:r>
      <w:r>
        <w:rPr>
          <w:spacing w:val="27"/>
          <w:sz w:val="21"/>
        </w:rPr>
        <w:t> </w:t>
      </w:r>
      <w:r>
        <w:rPr>
          <w:sz w:val="21"/>
        </w:rPr>
        <w:t>not</w:t>
      </w:r>
      <w:r>
        <w:rPr>
          <w:spacing w:val="27"/>
          <w:sz w:val="21"/>
        </w:rPr>
        <w:t> </w:t>
      </w:r>
      <w:r>
        <w:rPr>
          <w:sz w:val="21"/>
        </w:rPr>
        <w:t>pose</w:t>
      </w:r>
      <w:r>
        <w:rPr>
          <w:spacing w:val="27"/>
          <w:sz w:val="21"/>
        </w:rPr>
        <w:t> </w:t>
      </w:r>
      <w:r>
        <w:rPr>
          <w:sz w:val="21"/>
        </w:rPr>
        <w:t>a</w:t>
      </w:r>
      <w:r>
        <w:rPr>
          <w:spacing w:val="27"/>
          <w:sz w:val="21"/>
        </w:rPr>
        <w:t> </w:t>
      </w:r>
      <w:r>
        <w:rPr>
          <w:sz w:val="21"/>
        </w:rPr>
        <w:t>conflict</w:t>
      </w:r>
      <w:r>
        <w:rPr>
          <w:spacing w:val="27"/>
          <w:sz w:val="21"/>
        </w:rPr>
        <w:t> </w:t>
      </w:r>
      <w:r>
        <w:rPr>
          <w:sz w:val="21"/>
        </w:rPr>
        <w:t>of</w:t>
      </w:r>
      <w:r>
        <w:rPr>
          <w:spacing w:val="27"/>
          <w:sz w:val="21"/>
        </w:rPr>
        <w:t> </w:t>
      </w:r>
      <w:r>
        <w:rPr>
          <w:sz w:val="21"/>
        </w:rPr>
        <w:t>interest</w:t>
      </w:r>
      <w:r>
        <w:rPr>
          <w:spacing w:val="27"/>
          <w:sz w:val="21"/>
        </w:rPr>
        <w:t> </w:t>
      </w:r>
      <w:r>
        <w:rPr>
          <w:sz w:val="21"/>
        </w:rPr>
        <w:t>to</w:t>
      </w:r>
      <w:r>
        <w:rPr>
          <w:spacing w:val="27"/>
          <w:sz w:val="21"/>
        </w:rPr>
        <w:t> </w:t>
      </w:r>
      <w:r>
        <w:rPr>
          <w:sz w:val="21"/>
        </w:rPr>
        <w:t>the</w:t>
      </w:r>
      <w:r>
        <w:rPr>
          <w:spacing w:val="27"/>
          <w:sz w:val="21"/>
        </w:rPr>
        <w:t> </w:t>
      </w:r>
      <w:r>
        <w:rPr>
          <w:sz w:val="21"/>
        </w:rPr>
        <w:t>Company</w:t>
      </w:r>
      <w:r>
        <w:rPr>
          <w:spacing w:val="27"/>
          <w:sz w:val="21"/>
        </w:rPr>
        <w:t> </w:t>
      </w:r>
      <w:r>
        <w:rPr>
          <w:sz w:val="21"/>
        </w:rPr>
        <w:t>(it</w:t>
      </w:r>
      <w:r>
        <w:rPr>
          <w:spacing w:val="27"/>
          <w:sz w:val="21"/>
        </w:rPr>
        <w:t> </w:t>
      </w:r>
      <w:r>
        <w:rPr>
          <w:sz w:val="21"/>
        </w:rPr>
        <w:t>being</w:t>
      </w:r>
      <w:r>
        <w:rPr>
          <w:spacing w:val="27"/>
          <w:sz w:val="21"/>
        </w:rPr>
        <w:t> </w:t>
      </w:r>
      <w:r>
        <w:rPr>
          <w:sz w:val="21"/>
        </w:rPr>
        <w:t>agreed that</w:t>
      </w:r>
      <w:r>
        <w:rPr>
          <w:spacing w:val="33"/>
          <w:sz w:val="21"/>
        </w:rPr>
        <w:t> </w:t>
      </w:r>
      <w:r>
        <w:rPr>
          <w:sz w:val="21"/>
        </w:rPr>
        <w:t>service</w:t>
      </w:r>
      <w:r>
        <w:rPr>
          <w:spacing w:val="33"/>
          <w:sz w:val="21"/>
        </w:rPr>
        <w:t> </w:t>
      </w:r>
      <w:r>
        <w:rPr>
          <w:sz w:val="21"/>
        </w:rPr>
        <w:t>on</w:t>
      </w:r>
      <w:r>
        <w:rPr>
          <w:spacing w:val="33"/>
          <w:sz w:val="21"/>
        </w:rPr>
        <w:t> </w:t>
      </w:r>
      <w:r>
        <w:rPr>
          <w:sz w:val="21"/>
        </w:rPr>
        <w:t>the</w:t>
      </w:r>
      <w:r>
        <w:rPr>
          <w:spacing w:val="33"/>
          <w:sz w:val="21"/>
        </w:rPr>
        <w:t> </w:t>
      </w:r>
      <w:r>
        <w:rPr>
          <w:sz w:val="21"/>
        </w:rPr>
        <w:t>board</w:t>
      </w:r>
      <w:r>
        <w:rPr>
          <w:spacing w:val="33"/>
          <w:sz w:val="21"/>
        </w:rPr>
        <w:t> </w:t>
      </w:r>
      <w:r>
        <w:rPr>
          <w:sz w:val="21"/>
        </w:rPr>
        <w:t>of</w:t>
      </w:r>
      <w:r>
        <w:rPr>
          <w:spacing w:val="33"/>
          <w:sz w:val="21"/>
        </w:rPr>
        <w:t> </w:t>
      </w:r>
      <w:r>
        <w:rPr>
          <w:sz w:val="21"/>
        </w:rPr>
        <w:t>a</w:t>
      </w:r>
      <w:r>
        <w:rPr>
          <w:spacing w:val="33"/>
          <w:sz w:val="21"/>
        </w:rPr>
        <w:t> </w:t>
      </w:r>
      <w:r>
        <w:rPr>
          <w:sz w:val="21"/>
        </w:rPr>
        <w:t>competitor</w:t>
      </w:r>
      <w:r>
        <w:rPr>
          <w:spacing w:val="33"/>
          <w:sz w:val="21"/>
        </w:rPr>
        <w:t> </w:t>
      </w:r>
      <w:r>
        <w:rPr>
          <w:sz w:val="21"/>
        </w:rPr>
        <w:t>of</w:t>
      </w:r>
      <w:r>
        <w:rPr>
          <w:spacing w:val="33"/>
          <w:sz w:val="21"/>
        </w:rPr>
        <w:t> </w:t>
      </w:r>
      <w:r>
        <w:rPr>
          <w:sz w:val="21"/>
        </w:rPr>
        <w:t>the</w:t>
      </w:r>
      <w:r>
        <w:rPr>
          <w:spacing w:val="33"/>
          <w:sz w:val="21"/>
        </w:rPr>
        <w:t> </w:t>
      </w:r>
      <w:r>
        <w:rPr>
          <w:sz w:val="21"/>
        </w:rPr>
        <w:t>Company</w:t>
      </w:r>
      <w:r>
        <w:rPr>
          <w:spacing w:val="33"/>
          <w:sz w:val="21"/>
        </w:rPr>
        <w:t> </w:t>
      </w:r>
      <w:r>
        <w:rPr>
          <w:sz w:val="21"/>
        </w:rPr>
        <w:t>or</w:t>
      </w:r>
      <w:r>
        <w:rPr>
          <w:spacing w:val="33"/>
          <w:sz w:val="21"/>
        </w:rPr>
        <w:t> </w:t>
      </w:r>
      <w:r>
        <w:rPr>
          <w:sz w:val="21"/>
        </w:rPr>
        <w:t>BetMGM</w:t>
      </w:r>
      <w:r>
        <w:rPr>
          <w:spacing w:val="33"/>
          <w:sz w:val="21"/>
        </w:rPr>
        <w:t> </w:t>
      </w:r>
      <w:r>
        <w:rPr>
          <w:sz w:val="21"/>
        </w:rPr>
        <w:t>would</w:t>
      </w:r>
      <w:r>
        <w:rPr>
          <w:spacing w:val="33"/>
          <w:sz w:val="21"/>
        </w:rPr>
        <w:t> </w:t>
      </w:r>
      <w:r>
        <w:rPr>
          <w:sz w:val="21"/>
        </w:rPr>
        <w:t>pose</w:t>
      </w:r>
      <w:r>
        <w:rPr>
          <w:spacing w:val="33"/>
          <w:sz w:val="21"/>
        </w:rPr>
        <w:t> </w:t>
      </w:r>
      <w:r>
        <w:rPr>
          <w:sz w:val="21"/>
        </w:rPr>
        <w:t>a</w:t>
      </w:r>
      <w:r>
        <w:rPr>
          <w:spacing w:val="33"/>
          <w:sz w:val="21"/>
        </w:rPr>
        <w:t> </w:t>
      </w:r>
      <w:r>
        <w:rPr>
          <w:sz w:val="21"/>
        </w:rPr>
        <w:t>conflict)</w:t>
      </w:r>
      <w:r>
        <w:rPr>
          <w:spacing w:val="33"/>
          <w:sz w:val="21"/>
        </w:rPr>
        <w:t> </w:t>
      </w:r>
      <w:r>
        <w:rPr>
          <w:sz w:val="21"/>
        </w:rPr>
        <w:t>and</w:t>
      </w:r>
      <w:r>
        <w:rPr>
          <w:spacing w:val="33"/>
          <w:sz w:val="21"/>
        </w:rPr>
        <w:t> </w:t>
      </w:r>
      <w:r>
        <w:rPr>
          <w:sz w:val="21"/>
        </w:rPr>
        <w:t>provided</w:t>
      </w:r>
      <w:r>
        <w:rPr>
          <w:spacing w:val="33"/>
          <w:sz w:val="21"/>
        </w:rPr>
        <w:t> </w:t>
      </w:r>
      <w:r>
        <w:rPr>
          <w:sz w:val="21"/>
        </w:rPr>
        <w:t>that</w:t>
      </w:r>
      <w:r>
        <w:rPr>
          <w:spacing w:val="33"/>
          <w:sz w:val="21"/>
        </w:rPr>
        <w:t> </w:t>
      </w:r>
      <w:r>
        <w:rPr>
          <w:sz w:val="21"/>
        </w:rPr>
        <w:t>Employee</w:t>
      </w:r>
      <w:r>
        <w:rPr>
          <w:spacing w:val="33"/>
          <w:sz w:val="21"/>
        </w:rPr>
        <w:t> </w:t>
      </w:r>
      <w:r>
        <w:rPr>
          <w:sz w:val="21"/>
        </w:rPr>
        <w:t>only serves</w:t>
      </w:r>
      <w:r>
        <w:rPr>
          <w:spacing w:val="24"/>
          <w:sz w:val="21"/>
        </w:rPr>
        <w:t> </w:t>
      </w:r>
      <w:r>
        <w:rPr>
          <w:sz w:val="21"/>
        </w:rPr>
        <w:t>on</w:t>
      </w:r>
      <w:r>
        <w:rPr>
          <w:spacing w:val="24"/>
          <w:sz w:val="21"/>
        </w:rPr>
        <w:t> </w:t>
      </w:r>
      <w:r>
        <w:rPr>
          <w:sz w:val="21"/>
        </w:rPr>
        <w:t>one</w:t>
      </w:r>
      <w:r>
        <w:rPr>
          <w:spacing w:val="24"/>
          <w:sz w:val="21"/>
        </w:rPr>
        <w:t> </w:t>
      </w:r>
      <w:r>
        <w:rPr>
          <w:sz w:val="21"/>
        </w:rPr>
        <w:t>public</w:t>
      </w:r>
      <w:r>
        <w:rPr>
          <w:spacing w:val="24"/>
          <w:sz w:val="21"/>
        </w:rPr>
        <w:t> </w:t>
      </w:r>
      <w:r>
        <w:rPr>
          <w:sz w:val="21"/>
        </w:rPr>
        <w:t>company</w:t>
      </w:r>
      <w:r>
        <w:rPr>
          <w:spacing w:val="24"/>
          <w:sz w:val="21"/>
        </w:rPr>
        <w:t> </w:t>
      </w:r>
      <w:r>
        <w:rPr>
          <w:sz w:val="21"/>
        </w:rPr>
        <w:t>Board</w:t>
      </w:r>
      <w:r>
        <w:rPr>
          <w:spacing w:val="24"/>
          <w:sz w:val="21"/>
        </w:rPr>
        <w:t> </w:t>
      </w:r>
      <w:r>
        <w:rPr>
          <w:sz w:val="21"/>
        </w:rPr>
        <w:t>(in</w:t>
      </w:r>
      <w:r>
        <w:rPr>
          <w:spacing w:val="24"/>
          <w:sz w:val="21"/>
        </w:rPr>
        <w:t> </w:t>
      </w:r>
      <w:r>
        <w:rPr>
          <w:sz w:val="21"/>
        </w:rPr>
        <w:t>addition</w:t>
      </w:r>
      <w:r>
        <w:rPr>
          <w:spacing w:val="24"/>
          <w:sz w:val="21"/>
        </w:rPr>
        <w:t> </w:t>
      </w:r>
      <w:r>
        <w:rPr>
          <w:sz w:val="21"/>
        </w:rPr>
        <w:t>to</w:t>
      </w:r>
      <w:r>
        <w:rPr>
          <w:spacing w:val="24"/>
          <w:sz w:val="21"/>
        </w:rPr>
        <w:t> </w:t>
      </w:r>
      <w:r>
        <w:rPr>
          <w:sz w:val="21"/>
        </w:rPr>
        <w:t>any</w:t>
      </w:r>
      <w:r>
        <w:rPr>
          <w:spacing w:val="24"/>
          <w:sz w:val="21"/>
        </w:rPr>
        <w:t> </w:t>
      </w:r>
      <w:r>
        <w:rPr>
          <w:sz w:val="21"/>
        </w:rPr>
        <w:t>Boards</w:t>
      </w:r>
      <w:r>
        <w:rPr>
          <w:spacing w:val="24"/>
          <w:sz w:val="21"/>
        </w:rPr>
        <w:t> </w:t>
      </w:r>
      <w:r>
        <w:rPr>
          <w:sz w:val="21"/>
        </w:rPr>
        <w:t>specified</w:t>
      </w:r>
      <w:r>
        <w:rPr>
          <w:spacing w:val="24"/>
          <w:sz w:val="21"/>
        </w:rPr>
        <w:t> </w:t>
      </w:r>
      <w:r>
        <w:rPr>
          <w:sz w:val="21"/>
        </w:rPr>
        <w:t>on</w:t>
      </w:r>
      <w:r>
        <w:rPr>
          <w:spacing w:val="24"/>
          <w:sz w:val="21"/>
        </w:rPr>
        <w:t> </w:t>
      </w:r>
      <w:r>
        <w:rPr>
          <w:sz w:val="21"/>
          <w:u w:val="single"/>
        </w:rPr>
        <w:t>Exhibit</w:t>
      </w:r>
      <w:r>
        <w:rPr>
          <w:spacing w:val="24"/>
          <w:sz w:val="21"/>
          <w:u w:val="single"/>
        </w:rPr>
        <w:t> </w:t>
      </w:r>
      <w:r>
        <w:rPr>
          <w:sz w:val="21"/>
          <w:u w:val="single"/>
        </w:rPr>
        <w:t>E</w:t>
      </w:r>
      <w:r>
        <w:rPr>
          <w:spacing w:val="24"/>
          <w:sz w:val="21"/>
        </w:rPr>
        <w:t> </w:t>
      </w:r>
      <w:r>
        <w:rPr>
          <w:sz w:val="21"/>
        </w:rPr>
        <w:t>hereto).</w:t>
      </w:r>
      <w:r>
        <w:rPr>
          <w:spacing w:val="24"/>
          <w:sz w:val="21"/>
        </w:rPr>
        <w:t> </w:t>
      </w:r>
      <w:r>
        <w:rPr>
          <w:sz w:val="21"/>
        </w:rPr>
        <w:t>Employee</w:t>
      </w:r>
      <w:r>
        <w:rPr>
          <w:spacing w:val="24"/>
          <w:sz w:val="21"/>
        </w:rPr>
        <w:t> </w:t>
      </w:r>
      <w:r>
        <w:rPr>
          <w:sz w:val="21"/>
        </w:rPr>
        <w:t>must</w:t>
      </w:r>
      <w:r>
        <w:rPr>
          <w:spacing w:val="24"/>
          <w:sz w:val="21"/>
        </w:rPr>
        <w:t> </w:t>
      </w:r>
      <w:r>
        <w:rPr>
          <w:sz w:val="21"/>
        </w:rPr>
        <w:t>submit</w:t>
      </w:r>
      <w:r>
        <w:rPr>
          <w:spacing w:val="24"/>
          <w:sz w:val="21"/>
        </w:rPr>
        <w:t> </w:t>
      </w:r>
      <w:r>
        <w:rPr>
          <w:sz w:val="21"/>
        </w:rPr>
        <w:t>a</w:t>
      </w:r>
      <w:r>
        <w:rPr>
          <w:spacing w:val="24"/>
          <w:sz w:val="21"/>
        </w:rPr>
        <w:t> </w:t>
      </w:r>
      <w:r>
        <w:rPr>
          <w:sz w:val="21"/>
        </w:rPr>
        <w:t>conflict- of-interest form in connection with all such activities and receive approval from the Company, which approval shall not be unreasonably withheld.</w:t>
      </w:r>
    </w:p>
    <w:p>
      <w:pPr>
        <w:pStyle w:val="ListParagraph"/>
        <w:numPr>
          <w:ilvl w:val="0"/>
          <w:numId w:val="51"/>
        </w:numPr>
        <w:tabs>
          <w:tab w:pos="367" w:val="left" w:leader="none"/>
        </w:tabs>
        <w:spacing w:line="213" w:lineRule="auto" w:before="226" w:after="0"/>
        <w:ind w:left="144" w:right="223" w:firstLine="0"/>
        <w:jc w:val="both"/>
        <w:rPr>
          <w:sz w:val="21"/>
        </w:rPr>
      </w:pPr>
      <w:r>
        <w:rPr>
          <w:sz w:val="21"/>
          <w:u w:val="single"/>
        </w:rPr>
        <w:t>Policies and Procedures</w:t>
      </w:r>
      <w:r>
        <w:rPr>
          <w:sz w:val="21"/>
        </w:rPr>
        <w:t>. Employee agrees and acknowledges that Employee is bound by Employer’s policies and procedures as</w:t>
      </w:r>
      <w:r>
        <w:rPr>
          <w:spacing w:val="80"/>
          <w:sz w:val="21"/>
        </w:rPr>
        <w:t> </w:t>
      </w:r>
      <w:r>
        <w:rPr>
          <w:sz w:val="21"/>
        </w:rPr>
        <w:t>they may be modified, amended or adopted by Employer from time to time including, but not limited to, the </w:t>
      </w:r>
      <w:r>
        <w:rPr>
          <w:sz w:val="21"/>
        </w:rPr>
        <w:t>Anti-</w:t>
      </w:r>
      <w:r>
        <w:rPr>
          <w:spacing w:val="80"/>
          <w:sz w:val="21"/>
        </w:rPr>
        <w:t> </w:t>
      </w:r>
      <w:r>
        <w:rPr>
          <w:sz w:val="21"/>
        </w:rPr>
        <w:t>Discrimination/Anti-Harassment/No Retaliation, Code of Conduct and Conflict of Interest policies. In the event the terms in this Agreement conflict with Employer’s policies and procedures, the terms of this Agreement shall take precedence. As Employee is aware,</w:t>
      </w:r>
      <w:r>
        <w:rPr>
          <w:spacing w:val="40"/>
          <w:sz w:val="21"/>
        </w:rPr>
        <w:t> </w:t>
      </w:r>
      <w:r>
        <w:rPr>
          <w:sz w:val="21"/>
        </w:rPr>
        <w:t>problem</w:t>
      </w:r>
      <w:r>
        <w:rPr>
          <w:spacing w:val="40"/>
          <w:sz w:val="21"/>
        </w:rPr>
        <w:t> </w:t>
      </w:r>
      <w:r>
        <w:rPr>
          <w:sz w:val="21"/>
        </w:rPr>
        <w:t>gaming</w:t>
      </w:r>
      <w:r>
        <w:rPr>
          <w:spacing w:val="40"/>
          <w:sz w:val="21"/>
        </w:rPr>
        <w:t> </w:t>
      </w:r>
      <w:r>
        <w:rPr>
          <w:sz w:val="21"/>
        </w:rPr>
        <w:t>and</w:t>
      </w:r>
      <w:r>
        <w:rPr>
          <w:spacing w:val="40"/>
          <w:sz w:val="21"/>
        </w:rPr>
        <w:t> </w:t>
      </w:r>
      <w:r>
        <w:rPr>
          <w:sz w:val="21"/>
        </w:rPr>
        <w:t>underage</w:t>
      </w:r>
      <w:r>
        <w:rPr>
          <w:spacing w:val="40"/>
          <w:sz w:val="21"/>
        </w:rPr>
        <w:t> </w:t>
      </w:r>
      <w:r>
        <w:rPr>
          <w:sz w:val="21"/>
        </w:rPr>
        <w:t>gambling</w:t>
      </w:r>
      <w:r>
        <w:rPr>
          <w:spacing w:val="40"/>
          <w:sz w:val="21"/>
        </w:rPr>
        <w:t> </w:t>
      </w:r>
      <w:r>
        <w:rPr>
          <w:sz w:val="21"/>
        </w:rPr>
        <w:t>can</w:t>
      </w:r>
      <w:r>
        <w:rPr>
          <w:spacing w:val="40"/>
          <w:sz w:val="21"/>
        </w:rPr>
        <w:t> </w:t>
      </w:r>
      <w:r>
        <w:rPr>
          <w:sz w:val="21"/>
        </w:rPr>
        <w:t>have</w:t>
      </w:r>
      <w:r>
        <w:rPr>
          <w:spacing w:val="40"/>
          <w:sz w:val="21"/>
        </w:rPr>
        <w:t> </w:t>
      </w:r>
      <w:r>
        <w:rPr>
          <w:sz w:val="21"/>
        </w:rPr>
        <w:t>adverse</w:t>
      </w:r>
      <w:r>
        <w:rPr>
          <w:spacing w:val="40"/>
          <w:sz w:val="21"/>
        </w:rPr>
        <w:t> </w:t>
      </w:r>
      <w:r>
        <w:rPr>
          <w:sz w:val="21"/>
        </w:rPr>
        <w:t>effects</w:t>
      </w:r>
      <w:r>
        <w:rPr>
          <w:spacing w:val="40"/>
          <w:sz w:val="21"/>
        </w:rPr>
        <w:t> </w:t>
      </w:r>
      <w:r>
        <w:rPr>
          <w:sz w:val="21"/>
        </w:rPr>
        <w:t>on</w:t>
      </w:r>
      <w:r>
        <w:rPr>
          <w:spacing w:val="40"/>
          <w:sz w:val="21"/>
        </w:rPr>
        <w:t> </w:t>
      </w:r>
      <w:r>
        <w:rPr>
          <w:sz w:val="21"/>
        </w:rPr>
        <w:t>individuals</w:t>
      </w:r>
      <w:r>
        <w:rPr>
          <w:spacing w:val="40"/>
          <w:sz w:val="21"/>
        </w:rPr>
        <w:t> </w:t>
      </w:r>
      <w:r>
        <w:rPr>
          <w:sz w:val="21"/>
        </w:rPr>
        <w:t>and</w:t>
      </w:r>
      <w:r>
        <w:rPr>
          <w:spacing w:val="40"/>
          <w:sz w:val="21"/>
        </w:rPr>
        <w:t> </w:t>
      </w:r>
      <w:r>
        <w:rPr>
          <w:sz w:val="21"/>
        </w:rPr>
        <w:t>the</w:t>
      </w:r>
      <w:r>
        <w:rPr>
          <w:spacing w:val="40"/>
          <w:sz w:val="21"/>
        </w:rPr>
        <w:t> </w:t>
      </w:r>
      <w:r>
        <w:rPr>
          <w:sz w:val="21"/>
        </w:rPr>
        <w:t>gaming</w:t>
      </w:r>
      <w:r>
        <w:rPr>
          <w:spacing w:val="40"/>
          <w:sz w:val="21"/>
        </w:rPr>
        <w:t> </w:t>
      </w:r>
      <w:r>
        <w:rPr>
          <w:sz w:val="21"/>
        </w:rPr>
        <w:t>industry</w:t>
      </w:r>
      <w:r>
        <w:rPr>
          <w:spacing w:val="40"/>
          <w:sz w:val="21"/>
        </w:rPr>
        <w:t> </w:t>
      </w:r>
      <w:r>
        <w:rPr>
          <w:sz w:val="21"/>
        </w:rPr>
        <w:t>as</w:t>
      </w:r>
      <w:r>
        <w:rPr>
          <w:spacing w:val="40"/>
          <w:sz w:val="21"/>
        </w:rPr>
        <w:t> </w:t>
      </w:r>
      <w:r>
        <w:rPr>
          <w:sz w:val="21"/>
        </w:rPr>
        <w:t>a</w:t>
      </w:r>
      <w:r>
        <w:rPr>
          <w:spacing w:val="40"/>
          <w:sz w:val="21"/>
        </w:rPr>
        <w:t> </w:t>
      </w:r>
      <w:r>
        <w:rPr>
          <w:sz w:val="21"/>
        </w:rPr>
        <w:t>whole. Employee</w:t>
      </w:r>
      <w:r>
        <w:rPr>
          <w:spacing w:val="31"/>
          <w:sz w:val="21"/>
        </w:rPr>
        <w:t> </w:t>
      </w:r>
      <w:r>
        <w:rPr>
          <w:sz w:val="21"/>
        </w:rPr>
        <w:t>acknowledges</w:t>
      </w:r>
      <w:r>
        <w:rPr>
          <w:spacing w:val="31"/>
          <w:sz w:val="21"/>
        </w:rPr>
        <w:t> </w:t>
      </w:r>
      <w:r>
        <w:rPr>
          <w:sz w:val="21"/>
        </w:rPr>
        <w:t>that</w:t>
      </w:r>
      <w:r>
        <w:rPr>
          <w:spacing w:val="31"/>
          <w:sz w:val="21"/>
        </w:rPr>
        <w:t> </w:t>
      </w:r>
      <w:r>
        <w:rPr>
          <w:sz w:val="21"/>
        </w:rPr>
        <w:t>Employee</w:t>
      </w:r>
      <w:r>
        <w:rPr>
          <w:spacing w:val="31"/>
          <w:sz w:val="21"/>
        </w:rPr>
        <w:t> </w:t>
      </w:r>
      <w:r>
        <w:rPr>
          <w:sz w:val="21"/>
        </w:rPr>
        <w:t>has</w:t>
      </w:r>
      <w:r>
        <w:rPr>
          <w:spacing w:val="31"/>
          <w:sz w:val="21"/>
        </w:rPr>
        <w:t> </w:t>
      </w:r>
      <w:r>
        <w:rPr>
          <w:sz w:val="21"/>
        </w:rPr>
        <w:t>read</w:t>
      </w:r>
      <w:r>
        <w:rPr>
          <w:spacing w:val="31"/>
          <w:sz w:val="21"/>
        </w:rPr>
        <w:t> </w:t>
      </w:r>
      <w:r>
        <w:rPr>
          <w:sz w:val="21"/>
        </w:rPr>
        <w:t>and</w:t>
      </w:r>
      <w:r>
        <w:rPr>
          <w:spacing w:val="31"/>
          <w:sz w:val="21"/>
        </w:rPr>
        <w:t> </w:t>
      </w:r>
      <w:r>
        <w:rPr>
          <w:sz w:val="21"/>
        </w:rPr>
        <w:t>is</w:t>
      </w:r>
      <w:r>
        <w:rPr>
          <w:spacing w:val="31"/>
          <w:sz w:val="21"/>
        </w:rPr>
        <w:t> </w:t>
      </w:r>
      <w:r>
        <w:rPr>
          <w:sz w:val="21"/>
        </w:rPr>
        <w:t>familiar</w:t>
      </w:r>
      <w:r>
        <w:rPr>
          <w:spacing w:val="31"/>
          <w:sz w:val="21"/>
        </w:rPr>
        <w:t> </w:t>
      </w:r>
      <w:r>
        <w:rPr>
          <w:sz w:val="21"/>
        </w:rPr>
        <w:t>with</w:t>
      </w:r>
      <w:r>
        <w:rPr>
          <w:spacing w:val="31"/>
          <w:sz w:val="21"/>
        </w:rPr>
        <w:t> </w:t>
      </w:r>
      <w:r>
        <w:rPr>
          <w:sz w:val="21"/>
        </w:rPr>
        <w:t>Employer’s</w:t>
      </w:r>
      <w:r>
        <w:rPr>
          <w:spacing w:val="31"/>
          <w:sz w:val="21"/>
        </w:rPr>
        <w:t> </w:t>
      </w:r>
      <w:r>
        <w:rPr>
          <w:sz w:val="21"/>
        </w:rPr>
        <w:t>policies,</w:t>
      </w:r>
      <w:r>
        <w:rPr>
          <w:spacing w:val="31"/>
          <w:sz w:val="21"/>
        </w:rPr>
        <w:t> </w:t>
      </w:r>
      <w:r>
        <w:rPr>
          <w:sz w:val="21"/>
        </w:rPr>
        <w:t>procedures</w:t>
      </w:r>
      <w:r>
        <w:rPr>
          <w:spacing w:val="31"/>
          <w:sz w:val="21"/>
        </w:rPr>
        <w:t> </w:t>
      </w:r>
      <w:r>
        <w:rPr>
          <w:sz w:val="21"/>
        </w:rPr>
        <w:t>and</w:t>
      </w:r>
      <w:r>
        <w:rPr>
          <w:spacing w:val="31"/>
          <w:sz w:val="21"/>
        </w:rPr>
        <w:t> </w:t>
      </w:r>
      <w:r>
        <w:rPr>
          <w:sz w:val="21"/>
        </w:rPr>
        <w:t>manuals</w:t>
      </w:r>
      <w:r>
        <w:rPr>
          <w:spacing w:val="31"/>
          <w:sz w:val="21"/>
        </w:rPr>
        <w:t> </w:t>
      </w:r>
      <w:r>
        <w:rPr>
          <w:sz w:val="21"/>
        </w:rPr>
        <w:t>and</w:t>
      </w:r>
      <w:r>
        <w:rPr>
          <w:spacing w:val="31"/>
          <w:sz w:val="21"/>
        </w:rPr>
        <w:t> </w:t>
      </w:r>
      <w:r>
        <w:rPr>
          <w:sz w:val="21"/>
        </w:rPr>
        <w:t>agrees</w:t>
      </w:r>
      <w:r>
        <w:rPr>
          <w:spacing w:val="31"/>
          <w:sz w:val="21"/>
        </w:rPr>
        <w:t> </w:t>
      </w:r>
      <w:r>
        <w:rPr>
          <w:sz w:val="21"/>
        </w:rPr>
        <w:t>to abide</w:t>
      </w:r>
      <w:r>
        <w:rPr>
          <w:spacing w:val="40"/>
          <w:sz w:val="21"/>
        </w:rPr>
        <w:t> </w:t>
      </w:r>
      <w:r>
        <w:rPr>
          <w:sz w:val="21"/>
        </w:rPr>
        <w:t>by</w:t>
      </w:r>
      <w:r>
        <w:rPr>
          <w:spacing w:val="40"/>
          <w:sz w:val="21"/>
        </w:rPr>
        <w:t> </w:t>
      </w:r>
      <w:r>
        <w:rPr>
          <w:sz w:val="21"/>
        </w:rPr>
        <w:t>them.</w:t>
      </w:r>
      <w:r>
        <w:rPr>
          <w:spacing w:val="40"/>
          <w:sz w:val="21"/>
        </w:rPr>
        <w:t> </w:t>
      </w:r>
      <w:r>
        <w:rPr>
          <w:sz w:val="21"/>
        </w:rPr>
        <w:t>Because</w:t>
      </w:r>
      <w:r>
        <w:rPr>
          <w:spacing w:val="40"/>
          <w:sz w:val="21"/>
        </w:rPr>
        <w:t> </w:t>
      </w:r>
      <w:r>
        <w:rPr>
          <w:sz w:val="21"/>
        </w:rPr>
        <w:t>these</w:t>
      </w:r>
      <w:r>
        <w:rPr>
          <w:spacing w:val="40"/>
          <w:sz w:val="21"/>
        </w:rPr>
        <w:t> </w:t>
      </w:r>
      <w:r>
        <w:rPr>
          <w:sz w:val="21"/>
        </w:rPr>
        <w:t>matters</w:t>
      </w:r>
      <w:r>
        <w:rPr>
          <w:spacing w:val="40"/>
          <w:sz w:val="21"/>
        </w:rPr>
        <w:t> </w:t>
      </w:r>
      <w:r>
        <w:rPr>
          <w:sz w:val="21"/>
        </w:rPr>
        <w:t>are</w:t>
      </w:r>
      <w:r>
        <w:rPr>
          <w:spacing w:val="40"/>
          <w:sz w:val="21"/>
        </w:rPr>
        <w:t> </w:t>
      </w:r>
      <w:r>
        <w:rPr>
          <w:sz w:val="21"/>
        </w:rPr>
        <w:t>of</w:t>
      </w:r>
      <w:r>
        <w:rPr>
          <w:spacing w:val="40"/>
          <w:sz w:val="21"/>
        </w:rPr>
        <w:t> </w:t>
      </w:r>
      <w:r>
        <w:rPr>
          <w:sz w:val="21"/>
        </w:rPr>
        <w:t>such</w:t>
      </w:r>
      <w:r>
        <w:rPr>
          <w:spacing w:val="40"/>
          <w:sz w:val="21"/>
        </w:rPr>
        <w:t> </w:t>
      </w:r>
      <w:r>
        <w:rPr>
          <w:sz w:val="21"/>
        </w:rPr>
        <w:t>importance</w:t>
      </w:r>
      <w:r>
        <w:rPr>
          <w:spacing w:val="40"/>
          <w:sz w:val="21"/>
        </w:rPr>
        <w:t> </w:t>
      </w:r>
      <w:r>
        <w:rPr>
          <w:sz w:val="21"/>
        </w:rPr>
        <w:t>to</w:t>
      </w:r>
      <w:r>
        <w:rPr>
          <w:spacing w:val="40"/>
          <w:sz w:val="21"/>
        </w:rPr>
        <w:t> </w:t>
      </w:r>
      <w:r>
        <w:rPr>
          <w:sz w:val="21"/>
        </w:rPr>
        <w:t>Employer,</w:t>
      </w:r>
      <w:r>
        <w:rPr>
          <w:spacing w:val="40"/>
          <w:sz w:val="21"/>
        </w:rPr>
        <w:t> </w:t>
      </w:r>
      <w:r>
        <w:rPr>
          <w:sz w:val="21"/>
        </w:rPr>
        <w:t>Employee</w:t>
      </w:r>
      <w:r>
        <w:rPr>
          <w:spacing w:val="40"/>
          <w:sz w:val="21"/>
        </w:rPr>
        <w:t> </w:t>
      </w:r>
      <w:r>
        <w:rPr>
          <w:sz w:val="21"/>
        </w:rPr>
        <w:t>specifically</w:t>
      </w:r>
      <w:r>
        <w:rPr>
          <w:spacing w:val="40"/>
          <w:sz w:val="21"/>
        </w:rPr>
        <w:t> </w:t>
      </w:r>
      <w:r>
        <w:rPr>
          <w:sz w:val="21"/>
        </w:rPr>
        <w:t>confirms</w:t>
      </w:r>
      <w:r>
        <w:rPr>
          <w:spacing w:val="40"/>
          <w:sz w:val="21"/>
        </w:rPr>
        <w:t> </w:t>
      </w:r>
      <w:r>
        <w:rPr>
          <w:sz w:val="21"/>
        </w:rPr>
        <w:t>that</w:t>
      </w:r>
      <w:r>
        <w:rPr>
          <w:spacing w:val="40"/>
          <w:sz w:val="21"/>
        </w:rPr>
        <w:t> </w:t>
      </w:r>
      <w:r>
        <w:rPr>
          <w:sz w:val="21"/>
        </w:rPr>
        <w:t>Employee</w:t>
      </w:r>
      <w:r>
        <w:rPr>
          <w:spacing w:val="40"/>
          <w:sz w:val="21"/>
        </w:rPr>
        <w:t> </w:t>
      </w:r>
      <w:r>
        <w:rPr>
          <w:sz w:val="21"/>
        </w:rPr>
        <w:t>is familiar with and will comply with Employer’s policies of prohibiting underage gaming, supporting programs to treat compulsive gambling, and promoting diversity in all aspects of Employer’s business.</w:t>
      </w:r>
    </w:p>
    <w:p>
      <w:pPr>
        <w:pStyle w:val="ListParagraph"/>
        <w:numPr>
          <w:ilvl w:val="0"/>
          <w:numId w:val="51"/>
        </w:numPr>
        <w:tabs>
          <w:tab w:pos="365" w:val="left" w:leader="none"/>
        </w:tabs>
        <w:spacing w:line="213" w:lineRule="auto" w:before="226" w:after="0"/>
        <w:ind w:left="144" w:right="223" w:firstLine="0"/>
        <w:jc w:val="both"/>
        <w:rPr>
          <w:sz w:val="21"/>
        </w:rPr>
      </w:pPr>
      <w:r>
        <w:rPr>
          <w:sz w:val="21"/>
          <w:u w:val="single"/>
        </w:rPr>
        <w:t>Licensing</w:t>
      </w:r>
      <w:r>
        <w:rPr>
          <w:spacing w:val="-14"/>
          <w:sz w:val="21"/>
        </w:rPr>
        <w:t> </w:t>
      </w:r>
      <w:r>
        <w:rPr>
          <w:spacing w:val="24"/>
          <w:sz w:val="21"/>
          <w:u w:val="single"/>
        </w:rPr>
        <w:t> </w:t>
      </w:r>
      <w:r>
        <w:rPr>
          <w:sz w:val="21"/>
          <w:u w:val="single"/>
        </w:rPr>
        <w:t>Requirements</w:t>
      </w:r>
      <w:r>
        <w:rPr>
          <w:sz w:val="21"/>
        </w:rPr>
        <w:t>.</w:t>
      </w:r>
      <w:r>
        <w:rPr>
          <w:spacing w:val="-13"/>
          <w:sz w:val="21"/>
        </w:rPr>
        <w:t> </w:t>
      </w:r>
      <w:r>
        <w:rPr>
          <w:sz w:val="21"/>
        </w:rPr>
        <w:t>Employee acknowledges that Employer is engaged in a business that is or may be subject to and exists because</w:t>
      </w:r>
      <w:r>
        <w:rPr>
          <w:spacing w:val="32"/>
          <w:sz w:val="21"/>
        </w:rPr>
        <w:t> </w:t>
      </w:r>
      <w:r>
        <w:rPr>
          <w:sz w:val="21"/>
        </w:rPr>
        <w:t>of</w:t>
      </w:r>
      <w:r>
        <w:rPr>
          <w:spacing w:val="32"/>
          <w:sz w:val="21"/>
        </w:rPr>
        <w:t> </w:t>
      </w:r>
      <w:r>
        <w:rPr>
          <w:sz w:val="21"/>
        </w:rPr>
        <w:t>privileged</w:t>
      </w:r>
      <w:r>
        <w:rPr>
          <w:spacing w:val="32"/>
          <w:sz w:val="21"/>
        </w:rPr>
        <w:t> </w:t>
      </w:r>
      <w:r>
        <w:rPr>
          <w:sz w:val="21"/>
        </w:rPr>
        <w:t>licenses</w:t>
      </w:r>
      <w:r>
        <w:rPr>
          <w:spacing w:val="32"/>
          <w:sz w:val="21"/>
        </w:rPr>
        <w:t> </w:t>
      </w:r>
      <w:r>
        <w:rPr>
          <w:sz w:val="21"/>
        </w:rPr>
        <w:t>issued</w:t>
      </w:r>
      <w:r>
        <w:rPr>
          <w:spacing w:val="32"/>
          <w:sz w:val="21"/>
        </w:rPr>
        <w:t> </w:t>
      </w:r>
      <w:r>
        <w:rPr>
          <w:sz w:val="21"/>
        </w:rPr>
        <w:t>by</w:t>
      </w:r>
      <w:r>
        <w:rPr>
          <w:spacing w:val="32"/>
          <w:sz w:val="21"/>
        </w:rPr>
        <w:t> </w:t>
      </w:r>
      <w:r>
        <w:rPr>
          <w:sz w:val="21"/>
        </w:rPr>
        <w:t>governmental</w:t>
      </w:r>
      <w:r>
        <w:rPr>
          <w:spacing w:val="32"/>
          <w:sz w:val="21"/>
        </w:rPr>
        <w:t> </w:t>
      </w:r>
      <w:r>
        <w:rPr>
          <w:sz w:val="21"/>
        </w:rPr>
        <w:t>authorities</w:t>
      </w:r>
      <w:r>
        <w:rPr>
          <w:spacing w:val="32"/>
          <w:sz w:val="21"/>
        </w:rPr>
        <w:t> </w:t>
      </w:r>
      <w:r>
        <w:rPr>
          <w:sz w:val="21"/>
        </w:rPr>
        <w:t>within</w:t>
      </w:r>
      <w:r>
        <w:rPr>
          <w:spacing w:val="32"/>
          <w:sz w:val="21"/>
        </w:rPr>
        <w:t> </w:t>
      </w:r>
      <w:r>
        <w:rPr>
          <w:sz w:val="21"/>
        </w:rPr>
        <w:t>and</w:t>
      </w:r>
      <w:r>
        <w:rPr>
          <w:spacing w:val="32"/>
          <w:sz w:val="21"/>
        </w:rPr>
        <w:t> </w:t>
      </w:r>
      <w:r>
        <w:rPr>
          <w:sz w:val="21"/>
        </w:rPr>
        <w:t>outside</w:t>
      </w:r>
      <w:r>
        <w:rPr>
          <w:spacing w:val="32"/>
          <w:sz w:val="21"/>
        </w:rPr>
        <w:t> </w:t>
      </w:r>
      <w:r>
        <w:rPr>
          <w:sz w:val="21"/>
        </w:rPr>
        <w:t>the</w:t>
      </w:r>
      <w:r>
        <w:rPr>
          <w:spacing w:val="32"/>
          <w:sz w:val="21"/>
        </w:rPr>
        <w:t> </w:t>
      </w:r>
      <w:r>
        <w:rPr>
          <w:sz w:val="21"/>
        </w:rPr>
        <w:t>United</w:t>
      </w:r>
      <w:r>
        <w:rPr>
          <w:spacing w:val="32"/>
          <w:sz w:val="21"/>
        </w:rPr>
        <w:t> </w:t>
      </w:r>
      <w:r>
        <w:rPr>
          <w:sz w:val="21"/>
        </w:rPr>
        <w:t>States.</w:t>
      </w:r>
      <w:r>
        <w:rPr>
          <w:spacing w:val="32"/>
          <w:sz w:val="21"/>
        </w:rPr>
        <w:t> </w:t>
      </w:r>
      <w:r>
        <w:rPr>
          <w:sz w:val="21"/>
        </w:rPr>
        <w:t>Employee</w:t>
      </w:r>
      <w:r>
        <w:rPr>
          <w:spacing w:val="32"/>
          <w:sz w:val="21"/>
        </w:rPr>
        <w:t> </w:t>
      </w:r>
      <w:r>
        <w:rPr>
          <w:sz w:val="21"/>
        </w:rPr>
        <w:t>shall</w:t>
      </w:r>
      <w:r>
        <w:rPr>
          <w:spacing w:val="32"/>
          <w:sz w:val="21"/>
        </w:rPr>
        <w:t> </w:t>
      </w:r>
      <w:r>
        <w:rPr>
          <w:sz w:val="21"/>
        </w:rPr>
        <w:t>apply</w:t>
      </w:r>
      <w:r>
        <w:rPr>
          <w:spacing w:val="32"/>
          <w:sz w:val="21"/>
        </w:rPr>
        <w:t> </w:t>
      </w:r>
      <w:r>
        <w:rPr>
          <w:sz w:val="21"/>
        </w:rPr>
        <w:t>for and obtain any license, qualification, clearance or other similar approval that Employer or any regulatory authority, which </w:t>
      </w:r>
      <w:r>
        <w:rPr>
          <w:sz w:val="21"/>
        </w:rPr>
        <w:t>has jurisdiction over Employer, requests or requires that Employee obtain.</w:t>
      </w:r>
    </w:p>
    <w:p>
      <w:pPr>
        <w:pStyle w:val="ListParagraph"/>
        <w:numPr>
          <w:ilvl w:val="0"/>
          <w:numId w:val="51"/>
        </w:numPr>
        <w:tabs>
          <w:tab w:pos="379" w:val="left" w:leader="none"/>
        </w:tabs>
        <w:spacing w:line="213" w:lineRule="auto" w:before="234" w:after="0"/>
        <w:ind w:left="144" w:right="223" w:firstLine="0"/>
        <w:jc w:val="both"/>
        <w:rPr>
          <w:sz w:val="21"/>
        </w:rPr>
      </w:pPr>
      <w:r>
        <w:rPr>
          <w:sz w:val="21"/>
          <w:u w:val="single"/>
        </w:rPr>
        <w:t>Failure</w:t>
      </w:r>
      <w:r>
        <w:rPr>
          <w:spacing w:val="1"/>
          <w:sz w:val="21"/>
          <w:u w:val="single"/>
        </w:rPr>
        <w:t> </w:t>
      </w:r>
      <w:r>
        <w:rPr>
          <w:sz w:val="21"/>
          <w:u w:val="single"/>
        </w:rPr>
        <w:t>to</w:t>
      </w:r>
      <w:r>
        <w:rPr>
          <w:spacing w:val="34"/>
          <w:sz w:val="21"/>
          <w:u w:val="single"/>
        </w:rPr>
        <w:t> </w:t>
      </w:r>
      <w:r>
        <w:rPr>
          <w:sz w:val="21"/>
          <w:u w:val="single"/>
        </w:rPr>
        <w:t>Satisf</w:t>
      </w:r>
      <w:r>
        <w:rPr>
          <w:sz w:val="21"/>
        </w:rPr>
        <w:t>y</w:t>
      </w:r>
      <w:r>
        <w:rPr>
          <w:spacing w:val="40"/>
          <w:sz w:val="21"/>
          <w:u w:val="single"/>
        </w:rPr>
        <w:t> </w:t>
      </w:r>
      <w:r>
        <w:rPr>
          <w:sz w:val="21"/>
          <w:u w:val="single"/>
        </w:rPr>
        <w:t>Licensing</w:t>
      </w:r>
      <w:r>
        <w:rPr>
          <w:spacing w:val="-14"/>
          <w:sz w:val="21"/>
        </w:rPr>
        <w:t> </w:t>
      </w:r>
      <w:r>
        <w:rPr>
          <w:spacing w:val="24"/>
          <w:sz w:val="21"/>
          <w:u w:val="single"/>
        </w:rPr>
        <w:t> </w:t>
      </w:r>
      <w:r>
        <w:rPr>
          <w:sz w:val="21"/>
          <w:u w:val="single"/>
        </w:rPr>
        <w:t>Requirement</w:t>
      </w:r>
      <w:r>
        <w:rPr>
          <w:sz w:val="21"/>
        </w:rPr>
        <w:t>.</w:t>
      </w:r>
      <w:r>
        <w:rPr>
          <w:spacing w:val="34"/>
          <w:sz w:val="21"/>
        </w:rPr>
        <w:t> </w:t>
      </w:r>
      <w:r>
        <w:rPr>
          <w:sz w:val="21"/>
        </w:rPr>
        <w:t>Employer</w:t>
      </w:r>
      <w:r>
        <w:rPr>
          <w:spacing w:val="33"/>
          <w:sz w:val="21"/>
        </w:rPr>
        <w:t> </w:t>
      </w:r>
      <w:r>
        <w:rPr>
          <w:sz w:val="21"/>
        </w:rPr>
        <w:t>has</w:t>
      </w:r>
      <w:r>
        <w:rPr>
          <w:spacing w:val="33"/>
          <w:sz w:val="21"/>
        </w:rPr>
        <w:t> </w:t>
      </w:r>
      <w:r>
        <w:rPr>
          <w:sz w:val="21"/>
        </w:rPr>
        <w:t>the</w:t>
      </w:r>
      <w:r>
        <w:rPr>
          <w:spacing w:val="33"/>
          <w:sz w:val="21"/>
        </w:rPr>
        <w:t> </w:t>
      </w:r>
      <w:r>
        <w:rPr>
          <w:sz w:val="21"/>
        </w:rPr>
        <w:t>right</w:t>
      </w:r>
      <w:r>
        <w:rPr>
          <w:spacing w:val="33"/>
          <w:sz w:val="21"/>
        </w:rPr>
        <w:t> </w:t>
      </w:r>
      <w:r>
        <w:rPr>
          <w:sz w:val="21"/>
        </w:rPr>
        <w:t>to</w:t>
      </w:r>
      <w:r>
        <w:rPr>
          <w:spacing w:val="33"/>
          <w:sz w:val="21"/>
        </w:rPr>
        <w:t> </w:t>
      </w:r>
      <w:r>
        <w:rPr>
          <w:sz w:val="21"/>
        </w:rPr>
        <w:t>terminate</w:t>
      </w:r>
      <w:r>
        <w:rPr>
          <w:spacing w:val="33"/>
          <w:sz w:val="21"/>
        </w:rPr>
        <w:t> </w:t>
      </w:r>
      <w:r>
        <w:rPr>
          <w:sz w:val="21"/>
        </w:rPr>
        <w:t>Employee’s</w:t>
      </w:r>
      <w:r>
        <w:rPr>
          <w:spacing w:val="33"/>
          <w:sz w:val="21"/>
        </w:rPr>
        <w:t> </w:t>
      </w:r>
      <w:r>
        <w:rPr>
          <w:sz w:val="21"/>
        </w:rPr>
        <w:t>employment</w:t>
      </w:r>
      <w:r>
        <w:rPr>
          <w:spacing w:val="33"/>
          <w:sz w:val="21"/>
        </w:rPr>
        <w:t> </w:t>
      </w:r>
      <w:r>
        <w:rPr>
          <w:sz w:val="21"/>
        </w:rPr>
        <w:t>under</w:t>
      </w:r>
      <w:r>
        <w:rPr>
          <w:spacing w:val="33"/>
          <w:sz w:val="21"/>
        </w:rPr>
        <w:t> </w:t>
      </w:r>
      <w:r>
        <w:rPr>
          <w:sz w:val="21"/>
        </w:rPr>
        <w:t>Section</w:t>
      </w:r>
      <w:r>
        <w:rPr>
          <w:spacing w:val="33"/>
          <w:sz w:val="21"/>
        </w:rPr>
        <w:t> </w:t>
      </w:r>
      <w:r>
        <w:rPr>
          <w:sz w:val="21"/>
        </w:rPr>
        <w:t>10.1</w:t>
      </w:r>
      <w:r>
        <w:rPr>
          <w:spacing w:val="33"/>
          <w:sz w:val="21"/>
        </w:rPr>
        <w:t> </w:t>
      </w:r>
      <w:r>
        <w:rPr>
          <w:sz w:val="21"/>
        </w:rPr>
        <w:t>of this Agreement if: (i) Employee fails to satisfy any licensing requirement referred to in Section 6 above; (ii) Employer is directed </w:t>
      </w:r>
      <w:r>
        <w:rPr>
          <w:sz w:val="21"/>
        </w:rPr>
        <w:t>to cease</w:t>
      </w:r>
      <w:r>
        <w:rPr>
          <w:spacing w:val="23"/>
          <w:sz w:val="21"/>
        </w:rPr>
        <w:t> </w:t>
      </w:r>
      <w:r>
        <w:rPr>
          <w:sz w:val="21"/>
        </w:rPr>
        <w:t>business</w:t>
      </w:r>
      <w:r>
        <w:rPr>
          <w:spacing w:val="23"/>
          <w:sz w:val="21"/>
        </w:rPr>
        <w:t> </w:t>
      </w:r>
      <w:r>
        <w:rPr>
          <w:sz w:val="21"/>
        </w:rPr>
        <w:t>with</w:t>
      </w:r>
      <w:r>
        <w:rPr>
          <w:spacing w:val="23"/>
          <w:sz w:val="21"/>
        </w:rPr>
        <w:t> </w:t>
      </w:r>
      <w:r>
        <w:rPr>
          <w:sz w:val="21"/>
        </w:rPr>
        <w:t>Employee</w:t>
      </w:r>
      <w:r>
        <w:rPr>
          <w:spacing w:val="23"/>
          <w:sz w:val="21"/>
        </w:rPr>
        <w:t> </w:t>
      </w:r>
      <w:r>
        <w:rPr>
          <w:sz w:val="21"/>
        </w:rPr>
        <w:t>by</w:t>
      </w:r>
      <w:r>
        <w:rPr>
          <w:spacing w:val="23"/>
          <w:sz w:val="21"/>
        </w:rPr>
        <w:t> </w:t>
      </w:r>
      <w:r>
        <w:rPr>
          <w:sz w:val="21"/>
        </w:rPr>
        <w:t>any</w:t>
      </w:r>
      <w:r>
        <w:rPr>
          <w:spacing w:val="23"/>
          <w:sz w:val="21"/>
        </w:rPr>
        <w:t> </w:t>
      </w:r>
      <w:r>
        <w:rPr>
          <w:sz w:val="21"/>
        </w:rPr>
        <w:t>governmental</w:t>
      </w:r>
      <w:r>
        <w:rPr>
          <w:spacing w:val="23"/>
          <w:sz w:val="21"/>
        </w:rPr>
        <w:t> </w:t>
      </w:r>
      <w:r>
        <w:rPr>
          <w:sz w:val="21"/>
        </w:rPr>
        <w:t>authority</w:t>
      </w:r>
      <w:r>
        <w:rPr>
          <w:spacing w:val="23"/>
          <w:sz w:val="21"/>
        </w:rPr>
        <w:t> </w:t>
      </w:r>
      <w:r>
        <w:rPr>
          <w:sz w:val="21"/>
        </w:rPr>
        <w:t>referred</w:t>
      </w:r>
      <w:r>
        <w:rPr>
          <w:spacing w:val="23"/>
          <w:sz w:val="21"/>
        </w:rPr>
        <w:t> </w:t>
      </w:r>
      <w:r>
        <w:rPr>
          <w:sz w:val="21"/>
        </w:rPr>
        <w:t>to</w:t>
      </w:r>
      <w:r>
        <w:rPr>
          <w:spacing w:val="23"/>
          <w:sz w:val="21"/>
        </w:rPr>
        <w:t> </w:t>
      </w:r>
      <w:r>
        <w:rPr>
          <w:sz w:val="21"/>
        </w:rPr>
        <w:t>in</w:t>
      </w:r>
      <w:r>
        <w:rPr>
          <w:spacing w:val="23"/>
          <w:sz w:val="21"/>
        </w:rPr>
        <w:t> </w:t>
      </w:r>
      <w:r>
        <w:rPr>
          <w:sz w:val="21"/>
        </w:rPr>
        <w:t>Section</w:t>
      </w:r>
      <w:r>
        <w:rPr>
          <w:spacing w:val="23"/>
          <w:sz w:val="21"/>
        </w:rPr>
        <w:t> </w:t>
      </w:r>
      <w:r>
        <w:rPr>
          <w:sz w:val="21"/>
        </w:rPr>
        <w:t>6</w:t>
      </w:r>
      <w:r>
        <w:rPr>
          <w:spacing w:val="23"/>
          <w:sz w:val="21"/>
        </w:rPr>
        <w:t> </w:t>
      </w:r>
      <w:r>
        <w:rPr>
          <w:sz w:val="21"/>
        </w:rPr>
        <w:t>above;</w:t>
      </w:r>
      <w:r>
        <w:rPr>
          <w:spacing w:val="23"/>
          <w:sz w:val="21"/>
        </w:rPr>
        <w:t> </w:t>
      </w:r>
      <w:r>
        <w:rPr>
          <w:sz w:val="21"/>
        </w:rPr>
        <w:t>(iii)</w:t>
      </w:r>
      <w:r>
        <w:rPr>
          <w:spacing w:val="23"/>
          <w:sz w:val="21"/>
        </w:rPr>
        <w:t> </w:t>
      </w:r>
      <w:r>
        <w:rPr>
          <w:sz w:val="21"/>
        </w:rPr>
        <w:t>Employer</w:t>
      </w:r>
      <w:r>
        <w:rPr>
          <w:spacing w:val="23"/>
          <w:sz w:val="21"/>
        </w:rPr>
        <w:t> </w:t>
      </w:r>
      <w:r>
        <w:rPr>
          <w:sz w:val="21"/>
        </w:rPr>
        <w:t>determines,</w:t>
      </w:r>
      <w:r>
        <w:rPr>
          <w:spacing w:val="23"/>
          <w:sz w:val="21"/>
        </w:rPr>
        <w:t> </w:t>
      </w:r>
      <w:r>
        <w:rPr>
          <w:sz w:val="21"/>
        </w:rPr>
        <w:t>in</w:t>
      </w:r>
      <w:r>
        <w:rPr>
          <w:spacing w:val="23"/>
          <w:sz w:val="21"/>
        </w:rPr>
        <w:t> </w:t>
      </w:r>
      <w:r>
        <w:rPr>
          <w:sz w:val="21"/>
        </w:rPr>
        <w:t>its</w:t>
      </w:r>
      <w:r>
        <w:rPr>
          <w:spacing w:val="23"/>
          <w:sz w:val="21"/>
        </w:rPr>
        <w:t> </w:t>
      </w:r>
      <w:r>
        <w:rPr>
          <w:sz w:val="21"/>
        </w:rPr>
        <w:t>sole and</w:t>
      </w:r>
      <w:r>
        <w:rPr>
          <w:spacing w:val="20"/>
          <w:sz w:val="21"/>
        </w:rPr>
        <w:t> </w:t>
      </w:r>
      <w:r>
        <w:rPr>
          <w:sz w:val="21"/>
        </w:rPr>
        <w:t>exclusive</w:t>
      </w:r>
      <w:r>
        <w:rPr>
          <w:spacing w:val="20"/>
          <w:sz w:val="21"/>
        </w:rPr>
        <w:t> </w:t>
      </w:r>
      <w:r>
        <w:rPr>
          <w:sz w:val="21"/>
        </w:rPr>
        <w:t>judgment,</w:t>
      </w:r>
      <w:r>
        <w:rPr>
          <w:spacing w:val="20"/>
          <w:sz w:val="21"/>
        </w:rPr>
        <w:t> </w:t>
      </w:r>
      <w:r>
        <w:rPr>
          <w:sz w:val="21"/>
        </w:rPr>
        <w:t>that</w:t>
      </w:r>
      <w:r>
        <w:rPr>
          <w:spacing w:val="20"/>
          <w:sz w:val="21"/>
        </w:rPr>
        <w:t> </w:t>
      </w:r>
      <w:r>
        <w:rPr>
          <w:sz w:val="21"/>
        </w:rPr>
        <w:t>Employee</w:t>
      </w:r>
      <w:r>
        <w:rPr>
          <w:spacing w:val="20"/>
          <w:sz w:val="21"/>
        </w:rPr>
        <w:t> </w:t>
      </w:r>
      <w:r>
        <w:rPr>
          <w:sz w:val="21"/>
        </w:rPr>
        <w:t>was,</w:t>
      </w:r>
      <w:r>
        <w:rPr>
          <w:spacing w:val="20"/>
          <w:sz w:val="21"/>
        </w:rPr>
        <w:t> </w:t>
      </w:r>
      <w:r>
        <w:rPr>
          <w:sz w:val="21"/>
        </w:rPr>
        <w:t>is</w:t>
      </w:r>
      <w:r>
        <w:rPr>
          <w:spacing w:val="20"/>
          <w:sz w:val="21"/>
        </w:rPr>
        <w:t> </w:t>
      </w:r>
      <w:r>
        <w:rPr>
          <w:sz w:val="21"/>
        </w:rPr>
        <w:t>or</w:t>
      </w:r>
      <w:r>
        <w:rPr>
          <w:spacing w:val="20"/>
          <w:sz w:val="21"/>
        </w:rPr>
        <w:t> </w:t>
      </w:r>
      <w:r>
        <w:rPr>
          <w:sz w:val="21"/>
        </w:rPr>
        <w:t>might</w:t>
      </w:r>
      <w:r>
        <w:rPr>
          <w:spacing w:val="20"/>
          <w:sz w:val="21"/>
        </w:rPr>
        <w:t> </w:t>
      </w:r>
      <w:r>
        <w:rPr>
          <w:sz w:val="21"/>
        </w:rPr>
        <w:t>be</w:t>
      </w:r>
      <w:r>
        <w:rPr>
          <w:spacing w:val="20"/>
          <w:sz w:val="21"/>
        </w:rPr>
        <w:t> </w:t>
      </w:r>
      <w:r>
        <w:rPr>
          <w:sz w:val="21"/>
        </w:rPr>
        <w:t>involved</w:t>
      </w:r>
      <w:r>
        <w:rPr>
          <w:spacing w:val="20"/>
          <w:sz w:val="21"/>
        </w:rPr>
        <w:t> </w:t>
      </w:r>
      <w:r>
        <w:rPr>
          <w:sz w:val="21"/>
        </w:rPr>
        <w:t>in,</w:t>
      </w:r>
      <w:r>
        <w:rPr>
          <w:spacing w:val="20"/>
          <w:sz w:val="21"/>
        </w:rPr>
        <w:t> </w:t>
      </w:r>
      <w:r>
        <w:rPr>
          <w:sz w:val="21"/>
        </w:rPr>
        <w:t>or</w:t>
      </w:r>
      <w:r>
        <w:rPr>
          <w:spacing w:val="20"/>
          <w:sz w:val="21"/>
        </w:rPr>
        <w:t> </w:t>
      </w:r>
      <w:r>
        <w:rPr>
          <w:sz w:val="21"/>
        </w:rPr>
        <w:t>are</w:t>
      </w:r>
      <w:r>
        <w:rPr>
          <w:spacing w:val="20"/>
          <w:sz w:val="21"/>
        </w:rPr>
        <w:t> </w:t>
      </w:r>
      <w:r>
        <w:rPr>
          <w:sz w:val="21"/>
        </w:rPr>
        <w:t>about</w:t>
      </w:r>
      <w:r>
        <w:rPr>
          <w:spacing w:val="20"/>
          <w:sz w:val="21"/>
        </w:rPr>
        <w:t> </w:t>
      </w:r>
      <w:r>
        <w:rPr>
          <w:sz w:val="21"/>
        </w:rPr>
        <w:t>to</w:t>
      </w:r>
      <w:r>
        <w:rPr>
          <w:spacing w:val="20"/>
          <w:sz w:val="21"/>
        </w:rPr>
        <w:t> </w:t>
      </w:r>
      <w:r>
        <w:rPr>
          <w:sz w:val="21"/>
        </w:rPr>
        <w:t>be</w:t>
      </w:r>
      <w:r>
        <w:rPr>
          <w:spacing w:val="20"/>
          <w:sz w:val="21"/>
        </w:rPr>
        <w:t> </w:t>
      </w:r>
      <w:r>
        <w:rPr>
          <w:sz w:val="21"/>
        </w:rPr>
        <w:t>involved</w:t>
      </w:r>
      <w:r>
        <w:rPr>
          <w:spacing w:val="20"/>
          <w:sz w:val="21"/>
        </w:rPr>
        <w:t> </w:t>
      </w:r>
      <w:r>
        <w:rPr>
          <w:sz w:val="21"/>
        </w:rPr>
        <w:t>in,</w:t>
      </w:r>
      <w:r>
        <w:rPr>
          <w:spacing w:val="20"/>
          <w:sz w:val="21"/>
        </w:rPr>
        <w:t> </w:t>
      </w:r>
      <w:r>
        <w:rPr>
          <w:sz w:val="21"/>
        </w:rPr>
        <w:t>any</w:t>
      </w:r>
      <w:r>
        <w:rPr>
          <w:spacing w:val="20"/>
          <w:sz w:val="21"/>
        </w:rPr>
        <w:t> </w:t>
      </w:r>
      <w:r>
        <w:rPr>
          <w:sz w:val="21"/>
        </w:rPr>
        <w:t>activity,</w:t>
      </w:r>
      <w:r>
        <w:rPr>
          <w:spacing w:val="20"/>
          <w:sz w:val="21"/>
        </w:rPr>
        <w:t> </w:t>
      </w:r>
      <w:r>
        <w:rPr>
          <w:sz w:val="21"/>
        </w:rPr>
        <w:t>relationship(s) or</w:t>
      </w:r>
      <w:r>
        <w:rPr>
          <w:spacing w:val="40"/>
          <w:sz w:val="21"/>
        </w:rPr>
        <w:t> </w:t>
      </w:r>
      <w:r>
        <w:rPr>
          <w:sz w:val="21"/>
        </w:rPr>
        <w:t>circumstance</w:t>
      </w:r>
      <w:r>
        <w:rPr>
          <w:spacing w:val="40"/>
          <w:sz w:val="21"/>
        </w:rPr>
        <w:t> </w:t>
      </w:r>
      <w:r>
        <w:rPr>
          <w:sz w:val="21"/>
        </w:rPr>
        <w:t>which</w:t>
      </w:r>
      <w:r>
        <w:rPr>
          <w:spacing w:val="40"/>
          <w:sz w:val="21"/>
        </w:rPr>
        <w:t> </w:t>
      </w:r>
      <w:r>
        <w:rPr>
          <w:sz w:val="21"/>
        </w:rPr>
        <w:t>could</w:t>
      </w:r>
      <w:r>
        <w:rPr>
          <w:spacing w:val="40"/>
          <w:sz w:val="21"/>
        </w:rPr>
        <w:t> </w:t>
      </w:r>
      <w:r>
        <w:rPr>
          <w:sz w:val="21"/>
        </w:rPr>
        <w:t>or</w:t>
      </w:r>
      <w:r>
        <w:rPr>
          <w:spacing w:val="40"/>
          <w:sz w:val="21"/>
        </w:rPr>
        <w:t> </w:t>
      </w:r>
      <w:r>
        <w:rPr>
          <w:sz w:val="21"/>
        </w:rPr>
        <w:t>does</w:t>
      </w:r>
      <w:r>
        <w:rPr>
          <w:spacing w:val="40"/>
          <w:sz w:val="21"/>
        </w:rPr>
        <w:t> </w:t>
      </w:r>
      <w:r>
        <w:rPr>
          <w:sz w:val="21"/>
        </w:rPr>
        <w:t>jeopardize</w:t>
      </w:r>
      <w:r>
        <w:rPr>
          <w:spacing w:val="40"/>
          <w:sz w:val="21"/>
        </w:rPr>
        <w:t> </w:t>
      </w:r>
      <w:r>
        <w:rPr>
          <w:sz w:val="21"/>
        </w:rPr>
        <w:t>Employer’s</w:t>
      </w:r>
      <w:r>
        <w:rPr>
          <w:spacing w:val="40"/>
          <w:sz w:val="21"/>
        </w:rPr>
        <w:t> </w:t>
      </w:r>
      <w:r>
        <w:rPr>
          <w:sz w:val="21"/>
        </w:rPr>
        <w:t>business,</w:t>
      </w:r>
      <w:r>
        <w:rPr>
          <w:spacing w:val="40"/>
          <w:sz w:val="21"/>
        </w:rPr>
        <w:t> </w:t>
      </w:r>
      <w:r>
        <w:rPr>
          <w:sz w:val="21"/>
        </w:rPr>
        <w:t>reputation</w:t>
      </w:r>
      <w:r>
        <w:rPr>
          <w:spacing w:val="40"/>
          <w:sz w:val="21"/>
        </w:rPr>
        <w:t> </w:t>
      </w:r>
      <w:r>
        <w:rPr>
          <w:sz w:val="21"/>
        </w:rPr>
        <w:t>or</w:t>
      </w:r>
      <w:r>
        <w:rPr>
          <w:spacing w:val="40"/>
          <w:sz w:val="21"/>
        </w:rPr>
        <w:t> </w:t>
      </w:r>
      <w:r>
        <w:rPr>
          <w:sz w:val="21"/>
        </w:rPr>
        <w:t>such</w:t>
      </w:r>
      <w:r>
        <w:rPr>
          <w:spacing w:val="40"/>
          <w:sz w:val="21"/>
        </w:rPr>
        <w:t> </w:t>
      </w:r>
      <w:r>
        <w:rPr>
          <w:sz w:val="21"/>
        </w:rPr>
        <w:t>licenses;</w:t>
      </w:r>
      <w:r>
        <w:rPr>
          <w:spacing w:val="40"/>
          <w:sz w:val="21"/>
        </w:rPr>
        <w:t> </w:t>
      </w:r>
      <w:r>
        <w:rPr>
          <w:sz w:val="21"/>
        </w:rPr>
        <w:t>or</w:t>
      </w:r>
      <w:r>
        <w:rPr>
          <w:spacing w:val="40"/>
          <w:sz w:val="21"/>
        </w:rPr>
        <w:t> </w:t>
      </w:r>
      <w:r>
        <w:rPr>
          <w:sz w:val="21"/>
        </w:rPr>
        <w:t>(iv)</w:t>
      </w:r>
      <w:r>
        <w:rPr>
          <w:spacing w:val="40"/>
          <w:sz w:val="21"/>
        </w:rPr>
        <w:t> </w:t>
      </w:r>
      <w:r>
        <w:rPr>
          <w:sz w:val="21"/>
        </w:rPr>
        <w:t>any</w:t>
      </w:r>
      <w:r>
        <w:rPr>
          <w:spacing w:val="40"/>
          <w:sz w:val="21"/>
        </w:rPr>
        <w:t> </w:t>
      </w:r>
      <w:r>
        <w:rPr>
          <w:sz w:val="21"/>
        </w:rPr>
        <w:t>of</w:t>
      </w:r>
      <w:r>
        <w:rPr>
          <w:spacing w:val="40"/>
          <w:sz w:val="21"/>
        </w:rPr>
        <w:t> </w:t>
      </w:r>
      <w:r>
        <w:rPr>
          <w:sz w:val="21"/>
        </w:rPr>
        <w:t>Employer’s licenses</w:t>
      </w:r>
      <w:r>
        <w:rPr>
          <w:spacing w:val="15"/>
          <w:sz w:val="21"/>
        </w:rPr>
        <w:t> </w:t>
      </w:r>
      <w:r>
        <w:rPr>
          <w:sz w:val="21"/>
        </w:rPr>
        <w:t>is</w:t>
      </w:r>
      <w:r>
        <w:rPr>
          <w:spacing w:val="15"/>
          <w:sz w:val="21"/>
        </w:rPr>
        <w:t> </w:t>
      </w:r>
      <w:r>
        <w:rPr>
          <w:sz w:val="21"/>
        </w:rPr>
        <w:t>threatened</w:t>
      </w:r>
      <w:r>
        <w:rPr>
          <w:spacing w:val="15"/>
          <w:sz w:val="21"/>
        </w:rPr>
        <w:t> </w:t>
      </w:r>
      <w:r>
        <w:rPr>
          <w:sz w:val="21"/>
        </w:rPr>
        <w:t>to</w:t>
      </w:r>
      <w:r>
        <w:rPr>
          <w:spacing w:val="15"/>
          <w:sz w:val="21"/>
        </w:rPr>
        <w:t> </w:t>
      </w:r>
      <w:r>
        <w:rPr>
          <w:sz w:val="21"/>
        </w:rPr>
        <w:t>be,</w:t>
      </w:r>
      <w:r>
        <w:rPr>
          <w:spacing w:val="15"/>
          <w:sz w:val="21"/>
        </w:rPr>
        <w:t> </w:t>
      </w:r>
      <w:r>
        <w:rPr>
          <w:sz w:val="21"/>
        </w:rPr>
        <w:t>or</w:t>
      </w:r>
      <w:r>
        <w:rPr>
          <w:spacing w:val="15"/>
          <w:sz w:val="21"/>
        </w:rPr>
        <w:t> </w:t>
      </w:r>
      <w:r>
        <w:rPr>
          <w:sz w:val="21"/>
        </w:rPr>
        <w:t>is,</w:t>
      </w:r>
      <w:r>
        <w:rPr>
          <w:spacing w:val="15"/>
          <w:sz w:val="21"/>
        </w:rPr>
        <w:t> </w:t>
      </w:r>
      <w:r>
        <w:rPr>
          <w:sz w:val="21"/>
        </w:rPr>
        <w:t>denied,</w:t>
      </w:r>
      <w:r>
        <w:rPr>
          <w:spacing w:val="15"/>
          <w:sz w:val="21"/>
        </w:rPr>
        <w:t> </w:t>
      </w:r>
      <w:r>
        <w:rPr>
          <w:sz w:val="21"/>
        </w:rPr>
        <w:t>curtailed,</w:t>
      </w:r>
      <w:r>
        <w:rPr>
          <w:spacing w:val="15"/>
          <w:sz w:val="21"/>
        </w:rPr>
        <w:t> </w:t>
      </w:r>
      <w:r>
        <w:rPr>
          <w:sz w:val="21"/>
        </w:rPr>
        <w:t>suspended</w:t>
      </w:r>
      <w:r>
        <w:rPr>
          <w:spacing w:val="15"/>
          <w:sz w:val="21"/>
        </w:rPr>
        <w:t> </w:t>
      </w:r>
      <w:r>
        <w:rPr>
          <w:sz w:val="21"/>
        </w:rPr>
        <w:t>or</w:t>
      </w:r>
      <w:r>
        <w:rPr>
          <w:spacing w:val="15"/>
          <w:sz w:val="21"/>
        </w:rPr>
        <w:t> </w:t>
      </w:r>
      <w:r>
        <w:rPr>
          <w:sz w:val="21"/>
        </w:rPr>
        <w:t>revoked</w:t>
      </w:r>
      <w:r>
        <w:rPr>
          <w:spacing w:val="15"/>
          <w:sz w:val="21"/>
        </w:rPr>
        <w:t> </w:t>
      </w:r>
      <w:r>
        <w:rPr>
          <w:sz w:val="21"/>
        </w:rPr>
        <w:t>as</w:t>
      </w:r>
      <w:r>
        <w:rPr>
          <w:spacing w:val="15"/>
          <w:sz w:val="21"/>
        </w:rPr>
        <w:t> </w:t>
      </w:r>
      <w:r>
        <w:rPr>
          <w:sz w:val="21"/>
        </w:rPr>
        <w:t>a</w:t>
      </w:r>
      <w:r>
        <w:rPr>
          <w:spacing w:val="15"/>
          <w:sz w:val="21"/>
        </w:rPr>
        <w:t> </w:t>
      </w:r>
      <w:r>
        <w:rPr>
          <w:sz w:val="21"/>
        </w:rPr>
        <w:t>result</w:t>
      </w:r>
      <w:r>
        <w:rPr>
          <w:spacing w:val="15"/>
          <w:sz w:val="21"/>
        </w:rPr>
        <w:t> </w:t>
      </w:r>
      <w:r>
        <w:rPr>
          <w:sz w:val="21"/>
        </w:rPr>
        <w:t>of</w:t>
      </w:r>
      <w:r>
        <w:rPr>
          <w:spacing w:val="15"/>
          <w:sz w:val="21"/>
        </w:rPr>
        <w:t> </w:t>
      </w:r>
      <w:r>
        <w:rPr>
          <w:sz w:val="21"/>
        </w:rPr>
        <w:t>Employee’s</w:t>
      </w:r>
      <w:r>
        <w:rPr>
          <w:spacing w:val="15"/>
          <w:sz w:val="21"/>
        </w:rPr>
        <w:t> </w:t>
      </w:r>
      <w:r>
        <w:rPr>
          <w:sz w:val="21"/>
        </w:rPr>
        <w:t>employment</w:t>
      </w:r>
      <w:r>
        <w:rPr>
          <w:spacing w:val="15"/>
          <w:sz w:val="21"/>
        </w:rPr>
        <w:t> </w:t>
      </w:r>
      <w:r>
        <w:rPr>
          <w:sz w:val="21"/>
        </w:rPr>
        <w:t>by</w:t>
      </w:r>
      <w:r>
        <w:rPr>
          <w:spacing w:val="15"/>
          <w:sz w:val="21"/>
        </w:rPr>
        <w:t> </w:t>
      </w:r>
      <w:r>
        <w:rPr>
          <w:sz w:val="21"/>
        </w:rPr>
        <w:t>Employer</w:t>
      </w:r>
      <w:r>
        <w:rPr>
          <w:spacing w:val="15"/>
          <w:sz w:val="21"/>
        </w:rPr>
        <w:t> </w:t>
      </w:r>
      <w:r>
        <w:rPr>
          <w:sz w:val="21"/>
        </w:rPr>
        <w:t>or</w:t>
      </w:r>
      <w:r>
        <w:rPr>
          <w:spacing w:val="15"/>
          <w:sz w:val="21"/>
        </w:rPr>
        <w:t> </w:t>
      </w:r>
      <w:r>
        <w:rPr>
          <w:sz w:val="21"/>
        </w:rPr>
        <w:t>as a result of Employee’s actions.</w:t>
      </w: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95"/>
        <w:rPr>
          <w:sz w:val="21"/>
        </w:rPr>
      </w:pPr>
    </w:p>
    <w:p>
      <w:pPr>
        <w:spacing w:before="1"/>
        <w:ind w:left="24" w:right="0" w:firstLine="0"/>
        <w:jc w:val="center"/>
        <w:rPr>
          <w:sz w:val="21"/>
        </w:rPr>
      </w:pPr>
      <w:r>
        <w:rPr/>
        <mc:AlternateContent>
          <mc:Choice Requires="wps">
            <w:drawing>
              <wp:anchor distT="0" distB="0" distL="0" distR="0" allowOverlap="1" layoutInCell="1" locked="0" behindDoc="1" simplePos="0" relativeHeight="487804928">
                <wp:simplePos x="0" y="0"/>
                <wp:positionH relativeFrom="page">
                  <wp:posOffset>231457</wp:posOffset>
                </wp:positionH>
                <wp:positionV relativeFrom="paragraph">
                  <wp:posOffset>184204</wp:posOffset>
                </wp:positionV>
                <wp:extent cx="7312659" cy="17145"/>
                <wp:effectExtent l="0" t="0" r="0" b="0"/>
                <wp:wrapTopAndBottom/>
                <wp:docPr id="1059" name="Group 1059"/>
                <wp:cNvGraphicFramePr>
                  <a:graphicFrameLocks/>
                </wp:cNvGraphicFramePr>
                <a:graphic>
                  <a:graphicData uri="http://schemas.microsoft.com/office/word/2010/wordprocessingGroup">
                    <wpg:wgp>
                      <wpg:cNvPr id="1059" name="Group 1059"/>
                      <wpg:cNvGrpSpPr/>
                      <wpg:grpSpPr>
                        <a:xfrm>
                          <a:off x="0" y="0"/>
                          <a:ext cx="7312659" cy="17145"/>
                          <a:chExt cx="7312659" cy="17145"/>
                        </a:xfrm>
                      </wpg:grpSpPr>
                      <wps:wsp>
                        <wps:cNvPr id="1060" name="Graphic 106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61" name="Graphic 1061"/>
                        <wps:cNvSpPr/>
                        <wps:spPr>
                          <a:xfrm>
                            <a:off x="-12" y="-1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62" name="Graphic 106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504293pt;width:575.8pt;height:1.35pt;mso-position-horizontal-relative:page;mso-position-vertical-relative:paragraph;z-index:-15511552;mso-wrap-distance-left:0;mso-wrap-distance-right:0" id="docshapegroup1057" coordorigin="364,290" coordsize="11516,27">
                <v:rect style="position:absolute;left:364;top:290;width:11516;height:14" id="docshape1058" filled="true" fillcolor="#999999" stroked="false">
                  <v:fill type="solid"/>
                </v:rect>
                <v:shape style="position:absolute;left:364;top:290;width:11516;height:27" id="docshape1059" coordorigin="364,290" coordsize="11516,27" path="m11880,290l11866,304,364,304,364,317,11866,317,11880,317,11880,304,11880,290xe" filled="true" fillcolor="#ededed" stroked="false">
                  <v:path arrowok="t"/>
                  <v:fill type="solid"/>
                </v:shape>
                <v:shape style="position:absolute;left:364;top:290;width:14;height:27" id="docshape1060" coordorigin="364,290" coordsize="14,27" path="m364,317l364,290,378,290,378,304,364,317xe" filled="true" fillcolor="#999999" stroked="false">
                  <v:path arrowok="t"/>
                  <v:fill type="solid"/>
                </v:shape>
                <w10:wrap type="topAndBottom"/>
              </v:group>
            </w:pict>
          </mc:Fallback>
        </mc:AlternateContent>
      </w:r>
      <w:r>
        <w:rPr>
          <w:spacing w:val="-10"/>
          <w:sz w:val="21"/>
        </w:rPr>
        <w:t>4</w:t>
      </w:r>
    </w:p>
    <w:p>
      <w:pPr>
        <w:spacing w:after="0"/>
        <w:jc w:val="center"/>
        <w:rPr>
          <w:sz w:val="21"/>
        </w:rPr>
        <w:sectPr>
          <w:pgSz w:w="12240" w:h="15840"/>
          <w:pgMar w:top="1640" w:bottom="280" w:left="220" w:right="240"/>
        </w:sectPr>
      </w:pPr>
    </w:p>
    <w:p>
      <w:pPr>
        <w:pStyle w:val="ListParagraph"/>
        <w:numPr>
          <w:ilvl w:val="0"/>
          <w:numId w:val="51"/>
        </w:numPr>
        <w:tabs>
          <w:tab w:pos="423" w:val="left" w:leader="none"/>
        </w:tabs>
        <w:spacing w:line="213" w:lineRule="auto" w:before="179" w:after="0"/>
        <w:ind w:left="144" w:right="220" w:firstLine="0"/>
        <w:jc w:val="both"/>
        <w:rPr>
          <w:sz w:val="21"/>
        </w:rPr>
      </w:pPr>
      <w:r>
        <w:rPr>
          <w:sz w:val="21"/>
          <w:u w:val="single"/>
        </w:rPr>
        <w:t>Restrictive</w:t>
      </w:r>
      <w:r>
        <w:rPr>
          <w:spacing w:val="40"/>
          <w:sz w:val="21"/>
          <w:u w:val="single"/>
        </w:rPr>
        <w:t> </w:t>
      </w:r>
      <w:r>
        <w:rPr>
          <w:sz w:val="21"/>
          <w:u w:val="single"/>
        </w:rPr>
        <w:t>Covenants</w:t>
      </w:r>
      <w:r>
        <w:rPr>
          <w:sz w:val="21"/>
        </w:rPr>
        <w:t>.</w:t>
      </w:r>
      <w:r>
        <w:rPr>
          <w:spacing w:val="40"/>
          <w:sz w:val="21"/>
        </w:rPr>
        <w:t> </w:t>
      </w:r>
      <w:r>
        <w:rPr>
          <w:sz w:val="21"/>
        </w:rPr>
        <w:t>Employee</w:t>
      </w:r>
      <w:r>
        <w:rPr>
          <w:spacing w:val="40"/>
          <w:sz w:val="21"/>
        </w:rPr>
        <w:t> </w:t>
      </w:r>
      <w:r>
        <w:rPr>
          <w:sz w:val="21"/>
        </w:rPr>
        <w:t>acknowledges</w:t>
      </w:r>
      <w:r>
        <w:rPr>
          <w:spacing w:val="40"/>
          <w:sz w:val="21"/>
        </w:rPr>
        <w:t> </w:t>
      </w:r>
      <w:r>
        <w:rPr>
          <w:sz w:val="21"/>
        </w:rPr>
        <w:t>that</w:t>
      </w:r>
      <w:r>
        <w:rPr>
          <w:spacing w:val="40"/>
          <w:sz w:val="21"/>
        </w:rPr>
        <w:t> </w:t>
      </w:r>
      <w:r>
        <w:rPr>
          <w:sz w:val="21"/>
        </w:rPr>
        <w:t>in</w:t>
      </w:r>
      <w:r>
        <w:rPr>
          <w:spacing w:val="40"/>
          <w:sz w:val="21"/>
        </w:rPr>
        <w:t> </w:t>
      </w:r>
      <w:r>
        <w:rPr>
          <w:sz w:val="21"/>
        </w:rPr>
        <w:t>the</w:t>
      </w:r>
      <w:r>
        <w:rPr>
          <w:spacing w:val="40"/>
          <w:sz w:val="21"/>
        </w:rPr>
        <w:t> </w:t>
      </w:r>
      <w:r>
        <w:rPr>
          <w:sz w:val="21"/>
        </w:rPr>
        <w:t>course</w:t>
      </w:r>
      <w:r>
        <w:rPr>
          <w:spacing w:val="40"/>
          <w:sz w:val="21"/>
        </w:rPr>
        <w:t> </w:t>
      </w:r>
      <w:r>
        <w:rPr>
          <w:sz w:val="21"/>
        </w:rPr>
        <w:t>of</w:t>
      </w:r>
      <w:r>
        <w:rPr>
          <w:spacing w:val="40"/>
          <w:sz w:val="21"/>
        </w:rPr>
        <w:t> </w:t>
      </w:r>
      <w:r>
        <w:rPr>
          <w:sz w:val="21"/>
        </w:rPr>
        <w:t>performing</w:t>
      </w:r>
      <w:r>
        <w:rPr>
          <w:spacing w:val="40"/>
          <w:sz w:val="21"/>
        </w:rPr>
        <w:t> </w:t>
      </w:r>
      <w:r>
        <w:rPr>
          <w:sz w:val="21"/>
        </w:rPr>
        <w:t>Employee’s</w:t>
      </w:r>
      <w:r>
        <w:rPr>
          <w:spacing w:val="40"/>
          <w:sz w:val="21"/>
        </w:rPr>
        <w:t> </w:t>
      </w:r>
      <w:r>
        <w:rPr>
          <w:sz w:val="21"/>
        </w:rPr>
        <w:t>responsibilities</w:t>
      </w:r>
      <w:r>
        <w:rPr>
          <w:spacing w:val="40"/>
          <w:sz w:val="21"/>
        </w:rPr>
        <w:t> </w:t>
      </w:r>
      <w:r>
        <w:rPr>
          <w:sz w:val="21"/>
        </w:rPr>
        <w:t>under</w:t>
      </w:r>
      <w:r>
        <w:rPr>
          <w:spacing w:val="40"/>
          <w:sz w:val="21"/>
        </w:rPr>
        <w:t> </w:t>
      </w:r>
      <w:r>
        <w:rPr>
          <w:sz w:val="21"/>
        </w:rPr>
        <w:t>this Agreement Employee will form relationships and become acquainted with Employer and Company’s “Trade Secrets” </w:t>
      </w:r>
      <w:r>
        <w:rPr>
          <w:sz w:val="21"/>
        </w:rPr>
        <w:t>and</w:t>
      </w:r>
      <w:r>
        <w:rPr>
          <w:spacing w:val="40"/>
          <w:sz w:val="21"/>
        </w:rPr>
        <w:t> </w:t>
      </w:r>
      <w:r>
        <w:rPr>
          <w:sz w:val="21"/>
        </w:rPr>
        <w:t>“Confidential</w:t>
      </w:r>
      <w:r>
        <w:rPr>
          <w:spacing w:val="40"/>
          <w:sz w:val="21"/>
        </w:rPr>
        <w:t> </w:t>
      </w:r>
      <w:r>
        <w:rPr>
          <w:sz w:val="21"/>
        </w:rPr>
        <w:t>Information”</w:t>
      </w:r>
      <w:r>
        <w:rPr>
          <w:spacing w:val="40"/>
          <w:sz w:val="21"/>
        </w:rPr>
        <w:t> </w:t>
      </w:r>
      <w:r>
        <w:rPr>
          <w:sz w:val="21"/>
        </w:rPr>
        <w:t>(defined</w:t>
      </w:r>
      <w:r>
        <w:rPr>
          <w:spacing w:val="40"/>
          <w:sz w:val="21"/>
        </w:rPr>
        <w:t> </w:t>
      </w:r>
      <w:r>
        <w:rPr>
          <w:sz w:val="21"/>
        </w:rPr>
        <w:t>below</w:t>
      </w:r>
      <w:r>
        <w:rPr>
          <w:spacing w:val="40"/>
          <w:sz w:val="21"/>
        </w:rPr>
        <w:t> </w:t>
      </w:r>
      <w:r>
        <w:rPr>
          <w:sz w:val="21"/>
        </w:rPr>
        <w:t>in</w:t>
      </w:r>
      <w:r>
        <w:rPr>
          <w:spacing w:val="40"/>
          <w:sz w:val="21"/>
        </w:rPr>
        <w:t> </w:t>
      </w:r>
      <w:r>
        <w:rPr>
          <w:sz w:val="21"/>
        </w:rPr>
        <w:t>Sections</w:t>
      </w:r>
      <w:r>
        <w:rPr>
          <w:spacing w:val="40"/>
          <w:sz w:val="21"/>
        </w:rPr>
        <w:t> </w:t>
      </w:r>
      <w:r>
        <w:rPr>
          <w:sz w:val="21"/>
        </w:rPr>
        <w:t>8.3.1</w:t>
      </w:r>
      <w:r>
        <w:rPr>
          <w:spacing w:val="40"/>
          <w:sz w:val="21"/>
        </w:rPr>
        <w:t> </w:t>
      </w:r>
      <w:r>
        <w:rPr>
          <w:sz w:val="21"/>
        </w:rPr>
        <w:t>and</w:t>
      </w:r>
      <w:r>
        <w:rPr>
          <w:spacing w:val="40"/>
          <w:sz w:val="21"/>
        </w:rPr>
        <w:t> </w:t>
      </w:r>
      <w:r>
        <w:rPr>
          <w:sz w:val="21"/>
        </w:rPr>
        <w:t>8.3.2).</w:t>
      </w:r>
      <w:r>
        <w:rPr>
          <w:spacing w:val="40"/>
          <w:sz w:val="21"/>
        </w:rPr>
        <w:t> </w:t>
      </w:r>
      <w:r>
        <w:rPr>
          <w:sz w:val="21"/>
        </w:rPr>
        <w:t>Employee</w:t>
      </w:r>
      <w:r>
        <w:rPr>
          <w:spacing w:val="40"/>
          <w:sz w:val="21"/>
        </w:rPr>
        <w:t> </w:t>
      </w:r>
      <w:r>
        <w:rPr>
          <w:sz w:val="21"/>
        </w:rPr>
        <w:t>further</w:t>
      </w:r>
      <w:r>
        <w:rPr>
          <w:spacing w:val="40"/>
          <w:sz w:val="21"/>
        </w:rPr>
        <w:t> </w:t>
      </w:r>
      <w:r>
        <w:rPr>
          <w:sz w:val="21"/>
        </w:rPr>
        <w:t>acknowledges</w:t>
      </w:r>
      <w:r>
        <w:rPr>
          <w:spacing w:val="40"/>
          <w:sz w:val="21"/>
        </w:rPr>
        <w:t> </w:t>
      </w:r>
      <w:r>
        <w:rPr>
          <w:sz w:val="21"/>
        </w:rPr>
        <w:t>that</w:t>
      </w:r>
      <w:r>
        <w:rPr>
          <w:spacing w:val="40"/>
          <w:sz w:val="21"/>
        </w:rPr>
        <w:t> </w:t>
      </w:r>
      <w:r>
        <w:rPr>
          <w:sz w:val="21"/>
        </w:rPr>
        <w:t>such</w:t>
      </w:r>
      <w:r>
        <w:rPr>
          <w:spacing w:val="40"/>
          <w:sz w:val="21"/>
        </w:rPr>
        <w:t> </w:t>
      </w:r>
      <w:r>
        <w:rPr>
          <w:sz w:val="21"/>
        </w:rPr>
        <w:t>relationships, Trade Secrets, and Confidential Information are valuable to Employer. Employee therefore acknowledges that the restrictions on Employee’s</w:t>
      </w:r>
      <w:r>
        <w:rPr>
          <w:spacing w:val="35"/>
          <w:sz w:val="21"/>
        </w:rPr>
        <w:t> </w:t>
      </w:r>
      <w:r>
        <w:rPr>
          <w:sz w:val="21"/>
        </w:rPr>
        <w:t>future</w:t>
      </w:r>
      <w:r>
        <w:rPr>
          <w:spacing w:val="35"/>
          <w:sz w:val="21"/>
        </w:rPr>
        <w:t> </w:t>
      </w:r>
      <w:r>
        <w:rPr>
          <w:sz w:val="21"/>
        </w:rPr>
        <w:t>employment</w:t>
      </w:r>
      <w:r>
        <w:rPr>
          <w:spacing w:val="35"/>
          <w:sz w:val="21"/>
        </w:rPr>
        <w:t> </w:t>
      </w:r>
      <w:r>
        <w:rPr>
          <w:sz w:val="21"/>
        </w:rPr>
        <w:t>contained</w:t>
      </w:r>
      <w:r>
        <w:rPr>
          <w:spacing w:val="35"/>
          <w:sz w:val="21"/>
        </w:rPr>
        <w:t> </w:t>
      </w:r>
      <w:r>
        <w:rPr>
          <w:sz w:val="21"/>
        </w:rPr>
        <w:t>in</w:t>
      </w:r>
      <w:r>
        <w:rPr>
          <w:spacing w:val="35"/>
          <w:sz w:val="21"/>
        </w:rPr>
        <w:t> </w:t>
      </w:r>
      <w:r>
        <w:rPr>
          <w:sz w:val="21"/>
        </w:rPr>
        <w:t>this Agreement,</w:t>
      </w:r>
      <w:r>
        <w:rPr>
          <w:spacing w:val="35"/>
          <w:sz w:val="21"/>
        </w:rPr>
        <w:t> </w:t>
      </w:r>
      <w:r>
        <w:rPr>
          <w:sz w:val="21"/>
        </w:rPr>
        <w:t>if</w:t>
      </w:r>
      <w:r>
        <w:rPr>
          <w:spacing w:val="35"/>
          <w:sz w:val="21"/>
        </w:rPr>
        <w:t> </w:t>
      </w:r>
      <w:r>
        <w:rPr>
          <w:sz w:val="21"/>
        </w:rPr>
        <w:t>any,</w:t>
      </w:r>
      <w:r>
        <w:rPr>
          <w:spacing w:val="35"/>
          <w:sz w:val="21"/>
        </w:rPr>
        <w:t> </w:t>
      </w:r>
      <w:r>
        <w:rPr>
          <w:sz w:val="21"/>
        </w:rPr>
        <w:t>are</w:t>
      </w:r>
      <w:r>
        <w:rPr>
          <w:spacing w:val="35"/>
          <w:sz w:val="21"/>
        </w:rPr>
        <w:t> </w:t>
      </w:r>
      <w:r>
        <w:rPr>
          <w:sz w:val="21"/>
        </w:rPr>
        <w:t>reasonably</w:t>
      </w:r>
      <w:r>
        <w:rPr>
          <w:spacing w:val="35"/>
          <w:sz w:val="21"/>
        </w:rPr>
        <w:t> </w:t>
      </w:r>
      <w:r>
        <w:rPr>
          <w:sz w:val="21"/>
        </w:rPr>
        <w:t>necessary</w:t>
      </w:r>
      <w:r>
        <w:rPr>
          <w:spacing w:val="35"/>
          <w:sz w:val="21"/>
        </w:rPr>
        <w:t> </w:t>
      </w:r>
      <w:r>
        <w:rPr>
          <w:sz w:val="21"/>
        </w:rPr>
        <w:t>and</w:t>
      </w:r>
      <w:r>
        <w:rPr>
          <w:spacing w:val="35"/>
          <w:sz w:val="21"/>
        </w:rPr>
        <w:t> </w:t>
      </w:r>
      <w:r>
        <w:rPr>
          <w:sz w:val="21"/>
        </w:rPr>
        <w:t>appropriate</w:t>
      </w:r>
      <w:r>
        <w:rPr>
          <w:spacing w:val="35"/>
          <w:sz w:val="21"/>
        </w:rPr>
        <w:t> </w:t>
      </w:r>
      <w:r>
        <w:rPr>
          <w:sz w:val="21"/>
        </w:rPr>
        <w:t>in</w:t>
      </w:r>
      <w:r>
        <w:rPr>
          <w:spacing w:val="35"/>
          <w:sz w:val="21"/>
        </w:rPr>
        <w:t> </w:t>
      </w:r>
      <w:r>
        <w:rPr>
          <w:sz w:val="21"/>
        </w:rPr>
        <w:t>scope</w:t>
      </w:r>
      <w:r>
        <w:rPr>
          <w:spacing w:val="35"/>
          <w:sz w:val="21"/>
        </w:rPr>
        <w:t> </w:t>
      </w:r>
      <w:r>
        <w:rPr>
          <w:sz w:val="21"/>
        </w:rPr>
        <w:t>such</w:t>
      </w:r>
      <w:r>
        <w:rPr>
          <w:spacing w:val="35"/>
          <w:sz w:val="21"/>
        </w:rPr>
        <w:t> </w:t>
      </w:r>
      <w:r>
        <w:rPr>
          <w:sz w:val="21"/>
        </w:rPr>
        <w:t>that such</w:t>
      </w:r>
      <w:r>
        <w:rPr>
          <w:spacing w:val="21"/>
          <w:sz w:val="21"/>
        </w:rPr>
        <w:t> </w:t>
      </w:r>
      <w:r>
        <w:rPr>
          <w:sz w:val="21"/>
        </w:rPr>
        <w:t>restrictions</w:t>
      </w:r>
      <w:r>
        <w:rPr>
          <w:spacing w:val="21"/>
          <w:sz w:val="21"/>
        </w:rPr>
        <w:t> </w:t>
      </w:r>
      <w:r>
        <w:rPr>
          <w:sz w:val="21"/>
        </w:rPr>
        <w:t>do</w:t>
      </w:r>
      <w:r>
        <w:rPr>
          <w:spacing w:val="22"/>
          <w:sz w:val="21"/>
        </w:rPr>
        <w:t> </w:t>
      </w:r>
      <w:r>
        <w:rPr>
          <w:color w:val="2F2F2F"/>
          <w:sz w:val="21"/>
        </w:rPr>
        <w:t>not</w:t>
      </w:r>
      <w:r>
        <w:rPr>
          <w:color w:val="2F2F2F"/>
          <w:spacing w:val="21"/>
          <w:sz w:val="21"/>
        </w:rPr>
        <w:t> </w:t>
      </w:r>
      <w:r>
        <w:rPr>
          <w:color w:val="2F2F2F"/>
          <w:sz w:val="21"/>
        </w:rPr>
        <w:t>impose</w:t>
      </w:r>
      <w:r>
        <w:rPr>
          <w:color w:val="2F2F2F"/>
          <w:spacing w:val="21"/>
          <w:sz w:val="21"/>
        </w:rPr>
        <w:t> </w:t>
      </w:r>
      <w:r>
        <w:rPr>
          <w:color w:val="2F2F2F"/>
          <w:sz w:val="21"/>
        </w:rPr>
        <w:t>an</w:t>
      </w:r>
      <w:r>
        <w:rPr>
          <w:color w:val="2F2F2F"/>
          <w:spacing w:val="21"/>
          <w:sz w:val="21"/>
        </w:rPr>
        <w:t> </w:t>
      </w:r>
      <w:r>
        <w:rPr>
          <w:color w:val="2F2F2F"/>
          <w:sz w:val="21"/>
        </w:rPr>
        <w:t>undue</w:t>
      </w:r>
      <w:r>
        <w:rPr>
          <w:color w:val="2F2F2F"/>
          <w:spacing w:val="21"/>
          <w:sz w:val="21"/>
        </w:rPr>
        <w:t> </w:t>
      </w:r>
      <w:r>
        <w:rPr>
          <w:color w:val="2F2F2F"/>
          <w:sz w:val="21"/>
        </w:rPr>
        <w:t>hardship</w:t>
      </w:r>
      <w:r>
        <w:rPr>
          <w:color w:val="2F2F2F"/>
          <w:spacing w:val="21"/>
          <w:sz w:val="21"/>
        </w:rPr>
        <w:t> </w:t>
      </w:r>
      <w:r>
        <w:rPr>
          <w:color w:val="2F2F2F"/>
          <w:sz w:val="21"/>
        </w:rPr>
        <w:t>on</w:t>
      </w:r>
      <w:r>
        <w:rPr>
          <w:color w:val="2F2F2F"/>
          <w:spacing w:val="21"/>
          <w:sz w:val="21"/>
        </w:rPr>
        <w:t> </w:t>
      </w:r>
      <w:r>
        <w:rPr>
          <w:color w:val="2F2F2F"/>
          <w:sz w:val="21"/>
        </w:rPr>
        <w:t>Employee</w:t>
      </w:r>
      <w:r>
        <w:rPr>
          <w:color w:val="2F2F2F"/>
          <w:spacing w:val="21"/>
          <w:sz w:val="21"/>
        </w:rPr>
        <w:t> </w:t>
      </w:r>
      <w:r>
        <w:rPr>
          <w:color w:val="2F2F2F"/>
          <w:sz w:val="21"/>
        </w:rPr>
        <w:t>and</w:t>
      </w:r>
      <w:r>
        <w:rPr>
          <w:color w:val="2F2F2F"/>
          <w:spacing w:val="21"/>
          <w:sz w:val="21"/>
        </w:rPr>
        <w:t> </w:t>
      </w:r>
      <w:r>
        <w:rPr>
          <w:color w:val="2F2F2F"/>
          <w:sz w:val="21"/>
        </w:rPr>
        <w:t>are</w:t>
      </w:r>
      <w:r>
        <w:rPr>
          <w:color w:val="2F2F2F"/>
          <w:spacing w:val="21"/>
          <w:sz w:val="21"/>
        </w:rPr>
        <w:t> </w:t>
      </w:r>
      <w:r>
        <w:rPr>
          <w:color w:val="2F2F2F"/>
          <w:sz w:val="21"/>
        </w:rPr>
        <w:t>no</w:t>
      </w:r>
      <w:r>
        <w:rPr>
          <w:color w:val="2F2F2F"/>
          <w:spacing w:val="21"/>
          <w:sz w:val="21"/>
        </w:rPr>
        <w:t> </w:t>
      </w:r>
      <w:r>
        <w:rPr>
          <w:color w:val="2F2F2F"/>
          <w:sz w:val="21"/>
        </w:rPr>
        <w:t>broader</w:t>
      </w:r>
      <w:r>
        <w:rPr>
          <w:color w:val="2F2F2F"/>
          <w:spacing w:val="21"/>
          <w:sz w:val="21"/>
        </w:rPr>
        <w:t> </w:t>
      </w:r>
      <w:r>
        <w:rPr>
          <w:color w:val="2F2F2F"/>
          <w:sz w:val="21"/>
        </w:rPr>
        <w:t>than</w:t>
      </w:r>
      <w:r>
        <w:rPr>
          <w:color w:val="2F2F2F"/>
          <w:spacing w:val="21"/>
          <w:sz w:val="21"/>
        </w:rPr>
        <w:t> </w:t>
      </w:r>
      <w:r>
        <w:rPr>
          <w:color w:val="2F2F2F"/>
          <w:sz w:val="21"/>
        </w:rPr>
        <w:t>necessary</w:t>
      </w:r>
      <w:r>
        <w:rPr>
          <w:color w:val="2F2F2F"/>
          <w:spacing w:val="21"/>
          <w:sz w:val="21"/>
        </w:rPr>
        <w:t> </w:t>
      </w:r>
      <w:r>
        <w:rPr>
          <w:color w:val="2F2F2F"/>
          <w:sz w:val="21"/>
        </w:rPr>
        <w:t>for</w:t>
      </w:r>
      <w:r>
        <w:rPr>
          <w:color w:val="2F2F2F"/>
          <w:spacing w:val="21"/>
          <w:sz w:val="21"/>
        </w:rPr>
        <w:t> </w:t>
      </w:r>
      <w:r>
        <w:rPr>
          <w:color w:val="2F2F2F"/>
          <w:sz w:val="21"/>
        </w:rPr>
        <w:t>the</w:t>
      </w:r>
      <w:r>
        <w:rPr>
          <w:color w:val="2F2F2F"/>
          <w:spacing w:val="21"/>
          <w:sz w:val="21"/>
        </w:rPr>
        <w:t> </w:t>
      </w:r>
      <w:r>
        <w:rPr>
          <w:color w:val="2F2F2F"/>
          <w:sz w:val="21"/>
        </w:rPr>
        <w:t>protection</w:t>
      </w:r>
      <w:r>
        <w:rPr>
          <w:color w:val="2F2F2F"/>
          <w:spacing w:val="21"/>
          <w:sz w:val="21"/>
        </w:rPr>
        <w:t> </w:t>
      </w:r>
      <w:r>
        <w:rPr>
          <w:color w:val="2F2F2F"/>
          <w:sz w:val="21"/>
        </w:rPr>
        <w:t>of</w:t>
      </w:r>
      <w:r>
        <w:rPr>
          <w:color w:val="2F2F2F"/>
          <w:spacing w:val="21"/>
          <w:sz w:val="21"/>
        </w:rPr>
        <w:t> </w:t>
      </w:r>
      <w:r>
        <w:rPr>
          <w:sz w:val="21"/>
        </w:rPr>
        <w:t>Employer. In light of the valuable consideration provided for in this Agreement including, but not limited to, Employee’s offer of employment and/or</w:t>
      </w:r>
      <w:r>
        <w:rPr>
          <w:spacing w:val="16"/>
          <w:sz w:val="21"/>
        </w:rPr>
        <w:t> </w:t>
      </w:r>
      <w:r>
        <w:rPr>
          <w:sz w:val="21"/>
        </w:rPr>
        <w:t>continued</w:t>
      </w:r>
      <w:r>
        <w:rPr>
          <w:spacing w:val="16"/>
          <w:sz w:val="21"/>
        </w:rPr>
        <w:t> </w:t>
      </w:r>
      <w:r>
        <w:rPr>
          <w:sz w:val="21"/>
        </w:rPr>
        <w:t>employment,</w:t>
      </w:r>
      <w:r>
        <w:rPr>
          <w:spacing w:val="16"/>
          <w:sz w:val="21"/>
        </w:rPr>
        <w:t> </w:t>
      </w:r>
      <w:r>
        <w:rPr>
          <w:sz w:val="21"/>
        </w:rPr>
        <w:t>and</w:t>
      </w:r>
      <w:r>
        <w:rPr>
          <w:spacing w:val="16"/>
          <w:sz w:val="21"/>
        </w:rPr>
        <w:t> </w:t>
      </w:r>
      <w:r>
        <w:rPr>
          <w:sz w:val="21"/>
        </w:rPr>
        <w:t>the</w:t>
      </w:r>
      <w:r>
        <w:rPr>
          <w:spacing w:val="16"/>
          <w:sz w:val="21"/>
        </w:rPr>
        <w:t> </w:t>
      </w:r>
      <w:r>
        <w:rPr>
          <w:sz w:val="21"/>
        </w:rPr>
        <w:t>“Severance</w:t>
      </w:r>
      <w:r>
        <w:rPr>
          <w:spacing w:val="16"/>
          <w:sz w:val="21"/>
        </w:rPr>
        <w:t> </w:t>
      </w:r>
      <w:r>
        <w:rPr>
          <w:sz w:val="21"/>
        </w:rPr>
        <w:t>Payment”</w:t>
      </w:r>
      <w:r>
        <w:rPr>
          <w:spacing w:val="16"/>
          <w:sz w:val="21"/>
        </w:rPr>
        <w:t> </w:t>
      </w:r>
      <w:r>
        <w:rPr>
          <w:sz w:val="21"/>
        </w:rPr>
        <w:t>to</w:t>
      </w:r>
      <w:r>
        <w:rPr>
          <w:spacing w:val="16"/>
          <w:sz w:val="21"/>
        </w:rPr>
        <w:t> </w:t>
      </w:r>
      <w:r>
        <w:rPr>
          <w:sz w:val="21"/>
        </w:rPr>
        <w:t>which</w:t>
      </w:r>
      <w:r>
        <w:rPr>
          <w:spacing w:val="16"/>
          <w:sz w:val="21"/>
        </w:rPr>
        <w:t> </w:t>
      </w:r>
      <w:r>
        <w:rPr>
          <w:sz w:val="21"/>
        </w:rPr>
        <w:t>Employee</w:t>
      </w:r>
      <w:r>
        <w:rPr>
          <w:spacing w:val="16"/>
          <w:sz w:val="21"/>
        </w:rPr>
        <w:t> </w:t>
      </w:r>
      <w:r>
        <w:rPr>
          <w:sz w:val="21"/>
        </w:rPr>
        <w:t>is</w:t>
      </w:r>
      <w:r>
        <w:rPr>
          <w:spacing w:val="16"/>
          <w:sz w:val="21"/>
        </w:rPr>
        <w:t> </w:t>
      </w:r>
      <w:r>
        <w:rPr>
          <w:sz w:val="21"/>
        </w:rPr>
        <w:t>entitled</w:t>
      </w:r>
      <w:r>
        <w:rPr>
          <w:spacing w:val="16"/>
          <w:sz w:val="21"/>
        </w:rPr>
        <w:t> </w:t>
      </w:r>
      <w:r>
        <w:rPr>
          <w:sz w:val="21"/>
        </w:rPr>
        <w:t>to</w:t>
      </w:r>
      <w:r>
        <w:rPr>
          <w:spacing w:val="16"/>
          <w:sz w:val="21"/>
        </w:rPr>
        <w:t> </w:t>
      </w:r>
      <w:r>
        <w:rPr>
          <w:sz w:val="21"/>
        </w:rPr>
        <w:t>under</w:t>
      </w:r>
      <w:r>
        <w:rPr>
          <w:spacing w:val="16"/>
          <w:sz w:val="21"/>
        </w:rPr>
        <w:t> </w:t>
      </w:r>
      <w:r>
        <w:rPr>
          <w:sz w:val="21"/>
        </w:rPr>
        <w:t>the</w:t>
      </w:r>
      <w:r>
        <w:rPr>
          <w:spacing w:val="16"/>
          <w:sz w:val="21"/>
        </w:rPr>
        <w:t> </w:t>
      </w:r>
      <w:r>
        <w:rPr>
          <w:sz w:val="21"/>
        </w:rPr>
        <w:t>circumstances</w:t>
      </w:r>
      <w:r>
        <w:rPr>
          <w:spacing w:val="16"/>
          <w:sz w:val="21"/>
        </w:rPr>
        <w:t> </w:t>
      </w:r>
      <w:r>
        <w:rPr>
          <w:sz w:val="21"/>
        </w:rPr>
        <w:t>stated</w:t>
      </w:r>
      <w:r>
        <w:rPr>
          <w:spacing w:val="16"/>
          <w:sz w:val="21"/>
        </w:rPr>
        <w:t> </w:t>
      </w:r>
      <w:r>
        <w:rPr>
          <w:sz w:val="21"/>
        </w:rPr>
        <w:t>below in Section 10, Employee agrees as follows:</w:t>
      </w:r>
    </w:p>
    <w:p>
      <w:pPr>
        <w:pStyle w:val="ListParagraph"/>
        <w:numPr>
          <w:ilvl w:val="1"/>
          <w:numId w:val="51"/>
        </w:numPr>
        <w:tabs>
          <w:tab w:pos="838" w:val="left" w:leader="none"/>
        </w:tabs>
        <w:spacing w:line="213" w:lineRule="auto" w:before="225" w:after="0"/>
        <w:ind w:left="468" w:right="220" w:firstLine="0"/>
        <w:jc w:val="both"/>
        <w:rPr>
          <w:sz w:val="21"/>
        </w:rPr>
      </w:pPr>
      <w:r>
        <w:rPr>
          <w:sz w:val="21"/>
          <w:u w:val="single"/>
        </w:rPr>
        <w:t>Competition</w:t>
      </w:r>
      <w:r>
        <w:rPr>
          <w:sz w:val="21"/>
        </w:rPr>
        <w:t>. During the term of Employee’s employment within the Specified Term and for a period of 12 months immediately</w:t>
      </w:r>
      <w:r>
        <w:rPr>
          <w:spacing w:val="18"/>
          <w:sz w:val="21"/>
        </w:rPr>
        <w:t> </w:t>
      </w:r>
      <w:r>
        <w:rPr>
          <w:sz w:val="21"/>
        </w:rPr>
        <w:t>thereafter</w:t>
      </w:r>
      <w:r>
        <w:rPr>
          <w:spacing w:val="18"/>
          <w:sz w:val="21"/>
        </w:rPr>
        <w:t> </w:t>
      </w:r>
      <w:r>
        <w:rPr>
          <w:sz w:val="21"/>
        </w:rPr>
        <w:t>(the</w:t>
      </w:r>
      <w:r>
        <w:rPr>
          <w:spacing w:val="18"/>
          <w:sz w:val="21"/>
        </w:rPr>
        <w:t> </w:t>
      </w:r>
      <w:r>
        <w:rPr>
          <w:sz w:val="21"/>
        </w:rPr>
        <w:t>“Restricted</w:t>
      </w:r>
      <w:r>
        <w:rPr>
          <w:spacing w:val="18"/>
          <w:sz w:val="21"/>
        </w:rPr>
        <w:t> </w:t>
      </w:r>
      <w:r>
        <w:rPr>
          <w:sz w:val="21"/>
        </w:rPr>
        <w:t>Period”),</w:t>
      </w:r>
      <w:r>
        <w:rPr>
          <w:spacing w:val="18"/>
          <w:sz w:val="21"/>
        </w:rPr>
        <w:t> </w:t>
      </w:r>
      <w:r>
        <w:rPr>
          <w:sz w:val="21"/>
        </w:rPr>
        <w:t>Employee</w:t>
      </w:r>
      <w:r>
        <w:rPr>
          <w:spacing w:val="18"/>
          <w:sz w:val="21"/>
        </w:rPr>
        <w:t> </w:t>
      </w:r>
      <w:r>
        <w:rPr>
          <w:sz w:val="21"/>
        </w:rPr>
        <w:t>shall</w:t>
      </w:r>
      <w:r>
        <w:rPr>
          <w:spacing w:val="18"/>
          <w:sz w:val="21"/>
        </w:rPr>
        <w:t> </w:t>
      </w:r>
      <w:r>
        <w:rPr>
          <w:sz w:val="21"/>
        </w:rPr>
        <w:t>not</w:t>
      </w:r>
      <w:r>
        <w:rPr>
          <w:spacing w:val="18"/>
          <w:sz w:val="21"/>
        </w:rPr>
        <w:t> </w:t>
      </w:r>
      <w:r>
        <w:rPr>
          <w:sz w:val="21"/>
        </w:rPr>
        <w:t>directly</w:t>
      </w:r>
      <w:r>
        <w:rPr>
          <w:spacing w:val="18"/>
          <w:sz w:val="21"/>
        </w:rPr>
        <w:t> </w:t>
      </w:r>
      <w:r>
        <w:rPr>
          <w:sz w:val="21"/>
        </w:rPr>
        <w:t>or</w:t>
      </w:r>
      <w:r>
        <w:rPr>
          <w:spacing w:val="18"/>
          <w:sz w:val="21"/>
        </w:rPr>
        <w:t> </w:t>
      </w:r>
      <w:r>
        <w:rPr>
          <w:sz w:val="21"/>
        </w:rPr>
        <w:t>indirectly</w:t>
      </w:r>
      <w:r>
        <w:rPr>
          <w:spacing w:val="18"/>
          <w:sz w:val="21"/>
        </w:rPr>
        <w:t> </w:t>
      </w:r>
      <w:r>
        <w:rPr>
          <w:sz w:val="21"/>
        </w:rPr>
        <w:t>be</w:t>
      </w:r>
      <w:r>
        <w:rPr>
          <w:spacing w:val="18"/>
          <w:sz w:val="21"/>
        </w:rPr>
        <w:t> </w:t>
      </w:r>
      <w:r>
        <w:rPr>
          <w:sz w:val="21"/>
        </w:rPr>
        <w:t>employed</w:t>
      </w:r>
      <w:r>
        <w:rPr>
          <w:spacing w:val="18"/>
          <w:sz w:val="21"/>
        </w:rPr>
        <w:t> </w:t>
      </w:r>
      <w:r>
        <w:rPr>
          <w:sz w:val="21"/>
        </w:rPr>
        <w:t>by,</w:t>
      </w:r>
      <w:r>
        <w:rPr>
          <w:spacing w:val="18"/>
          <w:sz w:val="21"/>
        </w:rPr>
        <w:t> </w:t>
      </w:r>
      <w:r>
        <w:rPr>
          <w:sz w:val="21"/>
        </w:rPr>
        <w:t>provide</w:t>
      </w:r>
      <w:r>
        <w:rPr>
          <w:spacing w:val="18"/>
          <w:sz w:val="21"/>
        </w:rPr>
        <w:t> </w:t>
      </w:r>
      <w:r>
        <w:rPr>
          <w:sz w:val="21"/>
        </w:rPr>
        <w:t>consultation or</w:t>
      </w:r>
      <w:r>
        <w:rPr>
          <w:spacing w:val="26"/>
          <w:sz w:val="21"/>
        </w:rPr>
        <w:t> </w:t>
      </w:r>
      <w:r>
        <w:rPr>
          <w:sz w:val="21"/>
        </w:rPr>
        <w:t>other</w:t>
      </w:r>
      <w:r>
        <w:rPr>
          <w:spacing w:val="26"/>
          <w:sz w:val="21"/>
        </w:rPr>
        <w:t> </w:t>
      </w:r>
      <w:r>
        <w:rPr>
          <w:sz w:val="21"/>
        </w:rPr>
        <w:t>services</w:t>
      </w:r>
      <w:r>
        <w:rPr>
          <w:spacing w:val="26"/>
          <w:sz w:val="21"/>
        </w:rPr>
        <w:t> </w:t>
      </w:r>
      <w:r>
        <w:rPr>
          <w:sz w:val="21"/>
        </w:rPr>
        <w:t>to,</w:t>
      </w:r>
      <w:r>
        <w:rPr>
          <w:spacing w:val="26"/>
          <w:sz w:val="21"/>
        </w:rPr>
        <w:t> </w:t>
      </w:r>
      <w:r>
        <w:rPr>
          <w:sz w:val="21"/>
        </w:rPr>
        <w:t>engage</w:t>
      </w:r>
      <w:r>
        <w:rPr>
          <w:spacing w:val="26"/>
          <w:sz w:val="21"/>
        </w:rPr>
        <w:t> </w:t>
      </w:r>
      <w:r>
        <w:rPr>
          <w:sz w:val="21"/>
        </w:rPr>
        <w:t>in,</w:t>
      </w:r>
      <w:r>
        <w:rPr>
          <w:spacing w:val="26"/>
          <w:sz w:val="21"/>
        </w:rPr>
        <w:t> </w:t>
      </w:r>
      <w:r>
        <w:rPr>
          <w:sz w:val="21"/>
        </w:rPr>
        <w:t>participate</w:t>
      </w:r>
      <w:r>
        <w:rPr>
          <w:spacing w:val="26"/>
          <w:sz w:val="21"/>
        </w:rPr>
        <w:t> </w:t>
      </w:r>
      <w:r>
        <w:rPr>
          <w:sz w:val="21"/>
        </w:rPr>
        <w:t>in</w:t>
      </w:r>
      <w:r>
        <w:rPr>
          <w:spacing w:val="26"/>
          <w:sz w:val="21"/>
        </w:rPr>
        <w:t> </w:t>
      </w:r>
      <w:r>
        <w:rPr>
          <w:sz w:val="21"/>
        </w:rPr>
        <w:t>or</w:t>
      </w:r>
      <w:r>
        <w:rPr>
          <w:spacing w:val="26"/>
          <w:sz w:val="21"/>
        </w:rPr>
        <w:t> </w:t>
      </w:r>
      <w:r>
        <w:rPr>
          <w:sz w:val="21"/>
        </w:rPr>
        <w:t>otherwise</w:t>
      </w:r>
      <w:r>
        <w:rPr>
          <w:spacing w:val="26"/>
          <w:sz w:val="21"/>
        </w:rPr>
        <w:t> </w:t>
      </w:r>
      <w:r>
        <w:rPr>
          <w:sz w:val="21"/>
        </w:rPr>
        <w:t>be</w:t>
      </w:r>
      <w:r>
        <w:rPr>
          <w:spacing w:val="26"/>
          <w:sz w:val="21"/>
        </w:rPr>
        <w:t> </w:t>
      </w:r>
      <w:r>
        <w:rPr>
          <w:sz w:val="21"/>
        </w:rPr>
        <w:t>connected</w:t>
      </w:r>
      <w:r>
        <w:rPr>
          <w:spacing w:val="26"/>
          <w:sz w:val="21"/>
        </w:rPr>
        <w:t> </w:t>
      </w:r>
      <w:r>
        <w:rPr>
          <w:sz w:val="21"/>
        </w:rPr>
        <w:t>in</w:t>
      </w:r>
      <w:r>
        <w:rPr>
          <w:spacing w:val="26"/>
          <w:sz w:val="21"/>
        </w:rPr>
        <w:t> </w:t>
      </w:r>
      <w:r>
        <w:rPr>
          <w:sz w:val="21"/>
        </w:rPr>
        <w:t>any</w:t>
      </w:r>
      <w:r>
        <w:rPr>
          <w:spacing w:val="26"/>
          <w:sz w:val="21"/>
        </w:rPr>
        <w:t> </w:t>
      </w:r>
      <w:r>
        <w:rPr>
          <w:sz w:val="21"/>
        </w:rPr>
        <w:t>way</w:t>
      </w:r>
      <w:r>
        <w:rPr>
          <w:spacing w:val="26"/>
          <w:sz w:val="21"/>
        </w:rPr>
        <w:t> </w:t>
      </w:r>
      <w:r>
        <w:rPr>
          <w:sz w:val="21"/>
        </w:rPr>
        <w:t>with</w:t>
      </w:r>
      <w:r>
        <w:rPr>
          <w:spacing w:val="26"/>
          <w:sz w:val="21"/>
        </w:rPr>
        <w:t> </w:t>
      </w:r>
      <w:r>
        <w:rPr>
          <w:sz w:val="21"/>
        </w:rPr>
        <w:t>any</w:t>
      </w:r>
      <w:r>
        <w:rPr>
          <w:spacing w:val="26"/>
          <w:sz w:val="21"/>
        </w:rPr>
        <w:t> </w:t>
      </w:r>
      <w:r>
        <w:rPr>
          <w:sz w:val="21"/>
        </w:rPr>
        <w:t>“Competitor”</w:t>
      </w:r>
      <w:r>
        <w:rPr>
          <w:spacing w:val="26"/>
          <w:sz w:val="21"/>
        </w:rPr>
        <w:t> </w:t>
      </w:r>
      <w:r>
        <w:rPr>
          <w:sz w:val="21"/>
        </w:rPr>
        <w:t>(defined</w:t>
      </w:r>
      <w:r>
        <w:rPr>
          <w:spacing w:val="26"/>
          <w:sz w:val="21"/>
        </w:rPr>
        <w:t> </w:t>
      </w:r>
      <w:r>
        <w:rPr>
          <w:sz w:val="21"/>
        </w:rPr>
        <w:t>below)</w:t>
      </w:r>
      <w:r>
        <w:rPr>
          <w:spacing w:val="26"/>
          <w:sz w:val="21"/>
        </w:rPr>
        <w:t> </w:t>
      </w:r>
      <w:r>
        <w:rPr>
          <w:sz w:val="21"/>
        </w:rPr>
        <w:t>in any</w:t>
      </w:r>
      <w:r>
        <w:rPr>
          <w:spacing w:val="40"/>
          <w:sz w:val="21"/>
        </w:rPr>
        <w:t> </w:t>
      </w:r>
      <w:r>
        <w:rPr>
          <w:sz w:val="21"/>
        </w:rPr>
        <w:t>capacity</w:t>
      </w:r>
      <w:r>
        <w:rPr>
          <w:spacing w:val="40"/>
          <w:sz w:val="21"/>
        </w:rPr>
        <w:t> </w:t>
      </w:r>
      <w:r>
        <w:rPr>
          <w:sz w:val="21"/>
        </w:rPr>
        <w:t>that</w:t>
      </w:r>
      <w:r>
        <w:rPr>
          <w:spacing w:val="40"/>
          <w:sz w:val="21"/>
        </w:rPr>
        <w:t> </w:t>
      </w:r>
      <w:r>
        <w:rPr>
          <w:sz w:val="21"/>
        </w:rPr>
        <w:t>is</w:t>
      </w:r>
      <w:r>
        <w:rPr>
          <w:spacing w:val="40"/>
          <w:sz w:val="21"/>
        </w:rPr>
        <w:t> </w:t>
      </w:r>
      <w:r>
        <w:rPr>
          <w:sz w:val="21"/>
        </w:rPr>
        <w:t>the</w:t>
      </w:r>
      <w:r>
        <w:rPr>
          <w:spacing w:val="40"/>
          <w:sz w:val="21"/>
        </w:rPr>
        <w:t> </w:t>
      </w:r>
      <w:r>
        <w:rPr>
          <w:sz w:val="21"/>
        </w:rPr>
        <w:t>same</w:t>
      </w:r>
      <w:r>
        <w:rPr>
          <w:spacing w:val="40"/>
          <w:sz w:val="21"/>
        </w:rPr>
        <w:t> </w:t>
      </w:r>
      <w:r>
        <w:rPr>
          <w:sz w:val="21"/>
        </w:rPr>
        <w:t>or</w:t>
      </w:r>
      <w:r>
        <w:rPr>
          <w:spacing w:val="40"/>
          <w:sz w:val="21"/>
        </w:rPr>
        <w:t> </w:t>
      </w:r>
      <w:r>
        <w:rPr>
          <w:sz w:val="21"/>
        </w:rPr>
        <w:t>substantially</w:t>
      </w:r>
      <w:r>
        <w:rPr>
          <w:spacing w:val="40"/>
          <w:sz w:val="21"/>
        </w:rPr>
        <w:t> </w:t>
      </w:r>
      <w:r>
        <w:rPr>
          <w:sz w:val="21"/>
        </w:rPr>
        <w:t>the</w:t>
      </w:r>
      <w:r>
        <w:rPr>
          <w:spacing w:val="40"/>
          <w:sz w:val="21"/>
        </w:rPr>
        <w:t> </w:t>
      </w:r>
      <w:r>
        <w:rPr>
          <w:sz w:val="21"/>
        </w:rPr>
        <w:t>same</w:t>
      </w:r>
      <w:r>
        <w:rPr>
          <w:spacing w:val="40"/>
          <w:sz w:val="21"/>
        </w:rPr>
        <w:t> </w:t>
      </w:r>
      <w:r>
        <w:rPr>
          <w:sz w:val="21"/>
        </w:rPr>
        <w:t>to</w:t>
      </w:r>
      <w:r>
        <w:rPr>
          <w:spacing w:val="40"/>
          <w:sz w:val="21"/>
        </w:rPr>
        <w:t> </w:t>
      </w:r>
      <w:r>
        <w:rPr>
          <w:sz w:val="21"/>
        </w:rPr>
        <w:t>the</w:t>
      </w:r>
      <w:r>
        <w:rPr>
          <w:spacing w:val="40"/>
          <w:sz w:val="21"/>
        </w:rPr>
        <w:t> </w:t>
      </w:r>
      <w:r>
        <w:rPr>
          <w:sz w:val="21"/>
        </w:rPr>
        <w:t>position</w:t>
      </w:r>
      <w:r>
        <w:rPr>
          <w:spacing w:val="40"/>
          <w:sz w:val="21"/>
        </w:rPr>
        <w:t> </w:t>
      </w:r>
      <w:r>
        <w:rPr>
          <w:sz w:val="21"/>
        </w:rPr>
        <w:t>or</w:t>
      </w:r>
      <w:r>
        <w:rPr>
          <w:spacing w:val="40"/>
          <w:sz w:val="21"/>
        </w:rPr>
        <w:t> </w:t>
      </w:r>
      <w:r>
        <w:rPr>
          <w:sz w:val="21"/>
        </w:rPr>
        <w:t>capacity</w:t>
      </w:r>
      <w:r>
        <w:rPr>
          <w:spacing w:val="40"/>
          <w:sz w:val="21"/>
        </w:rPr>
        <w:t> </w:t>
      </w:r>
      <w:r>
        <w:rPr>
          <w:sz w:val="21"/>
        </w:rPr>
        <w:t>(irrespective</w:t>
      </w:r>
      <w:r>
        <w:rPr>
          <w:spacing w:val="40"/>
          <w:sz w:val="21"/>
        </w:rPr>
        <w:t> </w:t>
      </w:r>
      <w:r>
        <w:rPr>
          <w:sz w:val="21"/>
        </w:rPr>
        <w:t>of</w:t>
      </w:r>
      <w:r>
        <w:rPr>
          <w:spacing w:val="40"/>
          <w:sz w:val="21"/>
        </w:rPr>
        <w:t> </w:t>
      </w:r>
      <w:r>
        <w:rPr>
          <w:sz w:val="21"/>
        </w:rPr>
        <w:t>title</w:t>
      </w:r>
      <w:r>
        <w:rPr>
          <w:spacing w:val="40"/>
          <w:sz w:val="21"/>
        </w:rPr>
        <w:t> </w:t>
      </w:r>
      <w:r>
        <w:rPr>
          <w:sz w:val="21"/>
        </w:rPr>
        <w:t>or</w:t>
      </w:r>
      <w:r>
        <w:rPr>
          <w:spacing w:val="40"/>
          <w:sz w:val="21"/>
        </w:rPr>
        <w:t> </w:t>
      </w:r>
      <w:r>
        <w:rPr>
          <w:sz w:val="21"/>
        </w:rPr>
        <w:t>department)</w:t>
      </w:r>
      <w:r>
        <w:rPr>
          <w:spacing w:val="40"/>
          <w:sz w:val="21"/>
        </w:rPr>
        <w:t> </w:t>
      </w:r>
      <w:r>
        <w:rPr>
          <w:sz w:val="21"/>
        </w:rPr>
        <w:t>as Employee held during the last year of Employee’s employment with Employer. Notwithstanding the foregoing, if (a) during the Specified</w:t>
      </w:r>
      <w:r>
        <w:rPr>
          <w:spacing w:val="19"/>
          <w:sz w:val="21"/>
        </w:rPr>
        <w:t> </w:t>
      </w:r>
      <w:r>
        <w:rPr>
          <w:sz w:val="21"/>
        </w:rPr>
        <w:t>Term,</w:t>
      </w:r>
      <w:r>
        <w:rPr>
          <w:spacing w:val="23"/>
          <w:sz w:val="21"/>
        </w:rPr>
        <w:t> </w:t>
      </w:r>
      <w:r>
        <w:rPr>
          <w:sz w:val="21"/>
        </w:rPr>
        <w:t>(i)</w:t>
      </w:r>
      <w:r>
        <w:rPr>
          <w:spacing w:val="23"/>
          <w:sz w:val="21"/>
        </w:rPr>
        <w:t> </w:t>
      </w:r>
      <w:r>
        <w:rPr>
          <w:sz w:val="21"/>
        </w:rPr>
        <w:t>Employer</w:t>
      </w:r>
      <w:r>
        <w:rPr>
          <w:spacing w:val="23"/>
          <w:sz w:val="21"/>
        </w:rPr>
        <w:t> </w:t>
      </w:r>
      <w:r>
        <w:rPr>
          <w:sz w:val="21"/>
        </w:rPr>
        <w:t>terminates</w:t>
      </w:r>
      <w:r>
        <w:rPr>
          <w:spacing w:val="23"/>
          <w:sz w:val="21"/>
        </w:rPr>
        <w:t> </w:t>
      </w:r>
      <w:r>
        <w:rPr>
          <w:sz w:val="21"/>
        </w:rPr>
        <w:t>this Agreement</w:t>
      </w:r>
      <w:r>
        <w:rPr>
          <w:spacing w:val="23"/>
          <w:sz w:val="21"/>
        </w:rPr>
        <w:t> </w:t>
      </w:r>
      <w:r>
        <w:rPr>
          <w:sz w:val="21"/>
        </w:rPr>
        <w:t>due</w:t>
      </w:r>
      <w:r>
        <w:rPr>
          <w:spacing w:val="23"/>
          <w:sz w:val="21"/>
        </w:rPr>
        <w:t> </w:t>
      </w:r>
      <w:r>
        <w:rPr>
          <w:sz w:val="21"/>
        </w:rPr>
        <w:t>to</w:t>
      </w:r>
      <w:r>
        <w:rPr>
          <w:spacing w:val="23"/>
          <w:sz w:val="21"/>
        </w:rPr>
        <w:t> </w:t>
      </w:r>
      <w:r>
        <w:rPr>
          <w:sz w:val="21"/>
        </w:rPr>
        <w:t>elimination</w:t>
      </w:r>
      <w:r>
        <w:rPr>
          <w:spacing w:val="23"/>
          <w:sz w:val="21"/>
        </w:rPr>
        <w:t> </w:t>
      </w:r>
      <w:r>
        <w:rPr>
          <w:sz w:val="21"/>
        </w:rPr>
        <w:t>of</w:t>
      </w:r>
      <w:r>
        <w:rPr>
          <w:spacing w:val="23"/>
          <w:sz w:val="21"/>
        </w:rPr>
        <w:t> </w:t>
      </w:r>
      <w:r>
        <w:rPr>
          <w:sz w:val="21"/>
        </w:rPr>
        <w:t>Employees</w:t>
      </w:r>
      <w:r>
        <w:rPr>
          <w:spacing w:val="23"/>
          <w:sz w:val="21"/>
        </w:rPr>
        <w:t> </w:t>
      </w:r>
      <w:r>
        <w:rPr>
          <w:sz w:val="21"/>
        </w:rPr>
        <w:t>position</w:t>
      </w:r>
      <w:r>
        <w:rPr>
          <w:spacing w:val="23"/>
          <w:sz w:val="21"/>
        </w:rPr>
        <w:t> </w:t>
      </w:r>
      <w:r>
        <w:rPr>
          <w:sz w:val="21"/>
        </w:rPr>
        <w:t>(and</w:t>
      </w:r>
      <w:r>
        <w:rPr>
          <w:spacing w:val="23"/>
          <w:sz w:val="21"/>
        </w:rPr>
        <w:t> </w:t>
      </w:r>
      <w:r>
        <w:rPr>
          <w:sz w:val="21"/>
        </w:rPr>
        <w:t>such</w:t>
      </w:r>
      <w:r>
        <w:rPr>
          <w:spacing w:val="23"/>
          <w:sz w:val="21"/>
        </w:rPr>
        <w:t> </w:t>
      </w:r>
      <w:r>
        <w:rPr>
          <w:sz w:val="21"/>
        </w:rPr>
        <w:t>general</w:t>
      </w:r>
      <w:r>
        <w:rPr>
          <w:spacing w:val="23"/>
          <w:sz w:val="21"/>
        </w:rPr>
        <w:t> </w:t>
      </w:r>
      <w:r>
        <w:rPr>
          <w:sz w:val="21"/>
        </w:rPr>
        <w:t>duties</w:t>
      </w:r>
      <w:r>
        <w:rPr>
          <w:spacing w:val="23"/>
          <w:sz w:val="21"/>
        </w:rPr>
        <w:t> </w:t>
      </w:r>
      <w:r>
        <w:rPr>
          <w:sz w:val="21"/>
        </w:rPr>
        <w:t>are not</w:t>
      </w:r>
      <w:r>
        <w:rPr>
          <w:spacing w:val="40"/>
          <w:sz w:val="21"/>
        </w:rPr>
        <w:t> </w:t>
      </w:r>
      <w:r>
        <w:rPr>
          <w:sz w:val="21"/>
        </w:rPr>
        <w:t>otherwise</w:t>
      </w:r>
      <w:r>
        <w:rPr>
          <w:spacing w:val="40"/>
          <w:sz w:val="21"/>
        </w:rPr>
        <w:t> </w:t>
      </w:r>
      <w:r>
        <w:rPr>
          <w:sz w:val="21"/>
        </w:rPr>
        <w:t>moved</w:t>
      </w:r>
      <w:r>
        <w:rPr>
          <w:spacing w:val="40"/>
          <w:sz w:val="21"/>
        </w:rPr>
        <w:t> </w:t>
      </w:r>
      <w:r>
        <w:rPr>
          <w:sz w:val="21"/>
        </w:rPr>
        <w:t>to</w:t>
      </w:r>
      <w:r>
        <w:rPr>
          <w:spacing w:val="40"/>
          <w:sz w:val="21"/>
        </w:rPr>
        <w:t> </w:t>
      </w:r>
      <w:r>
        <w:rPr>
          <w:sz w:val="21"/>
        </w:rPr>
        <w:t>another</w:t>
      </w:r>
      <w:r>
        <w:rPr>
          <w:spacing w:val="40"/>
          <w:sz w:val="21"/>
        </w:rPr>
        <w:t> </w:t>
      </w:r>
      <w:r>
        <w:rPr>
          <w:sz w:val="21"/>
        </w:rPr>
        <w:t>position</w:t>
      </w:r>
      <w:r>
        <w:rPr>
          <w:spacing w:val="40"/>
          <w:sz w:val="21"/>
        </w:rPr>
        <w:t> </w:t>
      </w:r>
      <w:r>
        <w:rPr>
          <w:sz w:val="21"/>
        </w:rPr>
        <w:t>or</w:t>
      </w:r>
      <w:r>
        <w:rPr>
          <w:spacing w:val="40"/>
          <w:sz w:val="21"/>
        </w:rPr>
        <w:t> </w:t>
      </w:r>
      <w:r>
        <w:rPr>
          <w:sz w:val="21"/>
        </w:rPr>
        <w:t>role</w:t>
      </w:r>
      <w:r>
        <w:rPr>
          <w:spacing w:val="40"/>
          <w:sz w:val="21"/>
        </w:rPr>
        <w:t> </w:t>
      </w:r>
      <w:r>
        <w:rPr>
          <w:sz w:val="21"/>
        </w:rPr>
        <w:t>regardless</w:t>
      </w:r>
      <w:r>
        <w:rPr>
          <w:spacing w:val="40"/>
          <w:sz w:val="21"/>
        </w:rPr>
        <w:t> </w:t>
      </w:r>
      <w:r>
        <w:rPr>
          <w:sz w:val="21"/>
        </w:rPr>
        <w:t>of</w:t>
      </w:r>
      <w:r>
        <w:rPr>
          <w:spacing w:val="40"/>
          <w:sz w:val="21"/>
        </w:rPr>
        <w:t> </w:t>
      </w:r>
      <w:r>
        <w:rPr>
          <w:sz w:val="21"/>
        </w:rPr>
        <w:t>the</w:t>
      </w:r>
      <w:r>
        <w:rPr>
          <w:spacing w:val="40"/>
          <w:sz w:val="21"/>
        </w:rPr>
        <w:t> </w:t>
      </w:r>
      <w:r>
        <w:rPr>
          <w:sz w:val="21"/>
        </w:rPr>
        <w:t>title)</w:t>
      </w:r>
      <w:r>
        <w:rPr>
          <w:spacing w:val="40"/>
          <w:sz w:val="21"/>
        </w:rPr>
        <w:t> </w:t>
      </w:r>
      <w:r>
        <w:rPr>
          <w:sz w:val="21"/>
        </w:rPr>
        <w:t>or</w:t>
      </w:r>
      <w:r>
        <w:rPr>
          <w:spacing w:val="40"/>
          <w:sz w:val="21"/>
        </w:rPr>
        <w:t> </w:t>
      </w:r>
      <w:r>
        <w:rPr>
          <w:sz w:val="21"/>
        </w:rPr>
        <w:t>(ii)</w:t>
      </w:r>
      <w:r>
        <w:rPr>
          <w:spacing w:val="40"/>
          <w:sz w:val="21"/>
        </w:rPr>
        <w:t> </w:t>
      </w:r>
      <w:r>
        <w:rPr>
          <w:sz w:val="21"/>
        </w:rPr>
        <w:t>Employee</w:t>
      </w:r>
      <w:r>
        <w:rPr>
          <w:spacing w:val="40"/>
          <w:sz w:val="21"/>
        </w:rPr>
        <w:t> </w:t>
      </w:r>
      <w:r>
        <w:rPr>
          <w:sz w:val="21"/>
        </w:rPr>
        <w:t>terminates</w:t>
      </w:r>
      <w:r>
        <w:rPr>
          <w:spacing w:val="40"/>
          <w:sz w:val="21"/>
        </w:rPr>
        <w:t> </w:t>
      </w:r>
      <w:r>
        <w:rPr>
          <w:sz w:val="21"/>
        </w:rPr>
        <w:t>this Agreement</w:t>
      </w:r>
      <w:r>
        <w:rPr>
          <w:spacing w:val="40"/>
          <w:sz w:val="21"/>
        </w:rPr>
        <w:t> </w:t>
      </w:r>
      <w:r>
        <w:rPr>
          <w:sz w:val="21"/>
        </w:rPr>
        <w:t>with Employee Good Cause, or (b) Employee remains employed at-will by Employer after expiration of the Specified Term and is thereafter separated by Employer during the Restricted Period for any reason other than “Employer’s Good Cause” (defined</w:t>
      </w:r>
      <w:r>
        <w:rPr>
          <w:spacing w:val="40"/>
          <w:sz w:val="21"/>
        </w:rPr>
        <w:t> </w:t>
      </w:r>
      <w:r>
        <w:rPr>
          <w:sz w:val="21"/>
        </w:rPr>
        <w:t>below), Employee shall not be subject to this Section 8.1.</w:t>
      </w:r>
    </w:p>
    <w:p>
      <w:pPr>
        <w:pStyle w:val="ListParagraph"/>
        <w:numPr>
          <w:ilvl w:val="2"/>
          <w:numId w:val="51"/>
        </w:numPr>
        <w:tabs>
          <w:tab w:pos="1362" w:val="left" w:leader="none"/>
        </w:tabs>
        <w:spacing w:line="213" w:lineRule="auto" w:before="227" w:after="0"/>
        <w:ind w:left="792" w:right="222" w:firstLine="0"/>
        <w:jc w:val="both"/>
        <w:rPr>
          <w:sz w:val="21"/>
        </w:rPr>
      </w:pPr>
      <w:r>
        <w:rPr>
          <w:sz w:val="21"/>
          <w:u w:val="single"/>
        </w:rPr>
        <w:t>Competitor</w:t>
      </w:r>
      <w:r>
        <w:rPr>
          <w:spacing w:val="40"/>
          <w:sz w:val="21"/>
          <w:u w:val="single"/>
        </w:rPr>
        <w:t> </w:t>
      </w:r>
      <w:r>
        <w:rPr>
          <w:sz w:val="21"/>
          <w:u w:val="single"/>
        </w:rPr>
        <w:t>Defined</w:t>
      </w:r>
      <w:r>
        <w:rPr>
          <w:sz w:val="21"/>
        </w:rPr>
        <w:t>.</w:t>
      </w:r>
      <w:r>
        <w:rPr>
          <w:spacing w:val="40"/>
          <w:sz w:val="21"/>
        </w:rPr>
        <w:t> </w:t>
      </w:r>
      <w:r>
        <w:rPr>
          <w:sz w:val="21"/>
        </w:rPr>
        <w:t>“</w:t>
      </w:r>
      <w:r>
        <w:rPr>
          <w:sz w:val="21"/>
          <w:u w:val="single"/>
        </w:rPr>
        <w:t>Competitor</w:t>
      </w:r>
      <w:r>
        <w:rPr>
          <w:sz w:val="21"/>
        </w:rPr>
        <w:t>”</w:t>
      </w:r>
      <w:r>
        <w:rPr>
          <w:spacing w:val="40"/>
          <w:sz w:val="21"/>
        </w:rPr>
        <w:t> </w:t>
      </w:r>
      <w:r>
        <w:rPr>
          <w:sz w:val="21"/>
        </w:rPr>
        <w:t>means</w:t>
      </w:r>
      <w:r>
        <w:rPr>
          <w:spacing w:val="40"/>
          <w:sz w:val="21"/>
        </w:rPr>
        <w:t> </w:t>
      </w:r>
      <w:r>
        <w:rPr>
          <w:sz w:val="21"/>
        </w:rPr>
        <w:t>any</w:t>
      </w:r>
      <w:r>
        <w:rPr>
          <w:spacing w:val="40"/>
          <w:sz w:val="21"/>
        </w:rPr>
        <w:t> </w:t>
      </w:r>
      <w:r>
        <w:rPr>
          <w:sz w:val="21"/>
        </w:rPr>
        <w:t>person,</w:t>
      </w:r>
      <w:r>
        <w:rPr>
          <w:spacing w:val="40"/>
          <w:sz w:val="21"/>
        </w:rPr>
        <w:t> </w:t>
      </w:r>
      <w:r>
        <w:rPr>
          <w:sz w:val="21"/>
        </w:rPr>
        <w:t>corporation,</w:t>
      </w:r>
      <w:r>
        <w:rPr>
          <w:spacing w:val="40"/>
          <w:sz w:val="21"/>
        </w:rPr>
        <w:t> </w:t>
      </w:r>
      <w:r>
        <w:rPr>
          <w:sz w:val="21"/>
        </w:rPr>
        <w:t>partnership,</w:t>
      </w:r>
      <w:r>
        <w:rPr>
          <w:spacing w:val="40"/>
          <w:sz w:val="21"/>
        </w:rPr>
        <w:t> </w:t>
      </w:r>
      <w:r>
        <w:rPr>
          <w:sz w:val="21"/>
        </w:rPr>
        <w:t>limited</w:t>
      </w:r>
      <w:r>
        <w:rPr>
          <w:spacing w:val="40"/>
          <w:sz w:val="21"/>
        </w:rPr>
        <w:t> </w:t>
      </w:r>
      <w:r>
        <w:rPr>
          <w:sz w:val="21"/>
        </w:rPr>
        <w:t>liability</w:t>
      </w:r>
      <w:r>
        <w:rPr>
          <w:spacing w:val="40"/>
          <w:sz w:val="21"/>
        </w:rPr>
        <w:t> </w:t>
      </w:r>
      <w:r>
        <w:rPr>
          <w:sz w:val="21"/>
        </w:rPr>
        <w:t>company</w:t>
      </w:r>
      <w:r>
        <w:rPr>
          <w:spacing w:val="40"/>
          <w:sz w:val="21"/>
        </w:rPr>
        <w:t> </w:t>
      </w:r>
      <w:r>
        <w:rPr>
          <w:sz w:val="21"/>
        </w:rPr>
        <w:t>or</w:t>
      </w:r>
      <w:r>
        <w:rPr>
          <w:spacing w:val="40"/>
          <w:sz w:val="21"/>
        </w:rPr>
        <w:t> </w:t>
      </w:r>
      <w:r>
        <w:rPr>
          <w:sz w:val="21"/>
        </w:rPr>
        <w:t>other entity which is either directly, indirectly or through an affiliated company, engaged in or proposes to engage in the development,</w:t>
      </w:r>
      <w:r>
        <w:rPr>
          <w:spacing w:val="23"/>
          <w:sz w:val="21"/>
        </w:rPr>
        <w:t> </w:t>
      </w:r>
      <w:r>
        <w:rPr>
          <w:sz w:val="21"/>
        </w:rPr>
        <w:t>ownership,</w:t>
      </w:r>
      <w:r>
        <w:rPr>
          <w:spacing w:val="23"/>
          <w:sz w:val="21"/>
        </w:rPr>
        <w:t> </w:t>
      </w:r>
      <w:r>
        <w:rPr>
          <w:sz w:val="21"/>
        </w:rPr>
        <w:t>operation</w:t>
      </w:r>
      <w:r>
        <w:rPr>
          <w:spacing w:val="23"/>
          <w:sz w:val="21"/>
        </w:rPr>
        <w:t> </w:t>
      </w:r>
      <w:r>
        <w:rPr>
          <w:sz w:val="21"/>
        </w:rPr>
        <w:t>or</w:t>
      </w:r>
      <w:r>
        <w:rPr>
          <w:spacing w:val="23"/>
          <w:sz w:val="21"/>
        </w:rPr>
        <w:t> </w:t>
      </w:r>
      <w:r>
        <w:rPr>
          <w:sz w:val="21"/>
        </w:rPr>
        <w:t>management</w:t>
      </w:r>
      <w:r>
        <w:rPr>
          <w:spacing w:val="23"/>
          <w:sz w:val="21"/>
        </w:rPr>
        <w:t> </w:t>
      </w:r>
      <w:r>
        <w:rPr>
          <w:sz w:val="21"/>
        </w:rPr>
        <w:t>of</w:t>
      </w:r>
      <w:r>
        <w:rPr>
          <w:spacing w:val="23"/>
          <w:sz w:val="21"/>
        </w:rPr>
        <w:t> </w:t>
      </w:r>
      <w:r>
        <w:rPr>
          <w:sz w:val="21"/>
        </w:rPr>
        <w:t>(i)</w:t>
      </w:r>
      <w:r>
        <w:rPr>
          <w:spacing w:val="23"/>
          <w:sz w:val="21"/>
        </w:rPr>
        <w:t> </w:t>
      </w:r>
      <w:r>
        <w:rPr>
          <w:sz w:val="21"/>
        </w:rPr>
        <w:t>gaming</w:t>
      </w:r>
      <w:r>
        <w:rPr>
          <w:spacing w:val="23"/>
          <w:sz w:val="21"/>
        </w:rPr>
        <w:t> </w:t>
      </w:r>
      <w:r>
        <w:rPr>
          <w:sz w:val="21"/>
        </w:rPr>
        <w:t>facilities;</w:t>
      </w:r>
      <w:r>
        <w:rPr>
          <w:spacing w:val="23"/>
          <w:sz w:val="21"/>
        </w:rPr>
        <w:t> </w:t>
      </w:r>
      <w:r>
        <w:rPr>
          <w:sz w:val="21"/>
        </w:rPr>
        <w:t>(ii)</w:t>
      </w:r>
      <w:r>
        <w:rPr>
          <w:spacing w:val="23"/>
          <w:sz w:val="21"/>
        </w:rPr>
        <w:t> </w:t>
      </w:r>
      <w:r>
        <w:rPr>
          <w:sz w:val="21"/>
        </w:rPr>
        <w:t>convention</w:t>
      </w:r>
      <w:r>
        <w:rPr>
          <w:spacing w:val="23"/>
          <w:sz w:val="21"/>
        </w:rPr>
        <w:t> </w:t>
      </w:r>
      <w:r>
        <w:rPr>
          <w:sz w:val="21"/>
        </w:rPr>
        <w:t>or</w:t>
      </w:r>
      <w:r>
        <w:rPr>
          <w:spacing w:val="23"/>
          <w:sz w:val="21"/>
        </w:rPr>
        <w:t> </w:t>
      </w:r>
      <w:r>
        <w:rPr>
          <w:sz w:val="21"/>
        </w:rPr>
        <w:t>meeting</w:t>
      </w:r>
      <w:r>
        <w:rPr>
          <w:spacing w:val="23"/>
          <w:sz w:val="21"/>
        </w:rPr>
        <w:t> </w:t>
      </w:r>
      <w:r>
        <w:rPr>
          <w:sz w:val="21"/>
        </w:rPr>
        <w:t>facilities;</w:t>
      </w:r>
      <w:r>
        <w:rPr>
          <w:spacing w:val="23"/>
          <w:sz w:val="21"/>
        </w:rPr>
        <w:t> </w:t>
      </w:r>
      <w:r>
        <w:rPr>
          <w:sz w:val="21"/>
        </w:rPr>
        <w:t>or</w:t>
      </w:r>
      <w:r>
        <w:rPr>
          <w:spacing w:val="23"/>
          <w:sz w:val="21"/>
        </w:rPr>
        <w:t> </w:t>
      </w:r>
      <w:r>
        <w:rPr>
          <w:sz w:val="21"/>
        </w:rPr>
        <w:t>(iii)</w:t>
      </w:r>
      <w:r>
        <w:rPr>
          <w:spacing w:val="23"/>
          <w:sz w:val="21"/>
        </w:rPr>
        <w:t> </w:t>
      </w:r>
      <w:r>
        <w:rPr>
          <w:sz w:val="21"/>
        </w:rPr>
        <w:t>one or more hotels if any such hotel is connected in any way, whether physically or by business association, to a gaming establishment and, further, where Competitor’s activities are within a 150 mile radius of any location where any of the foregoing facilities, hotels, or venues are, or are proposed to be, owned, operated, managed or developed by the Company. Given the unique nature of Employee’s involvement in Employer’s sports betting and mobile gaming/betting business, Competitor</w:t>
      </w:r>
      <w:r>
        <w:rPr>
          <w:spacing w:val="40"/>
          <w:sz w:val="21"/>
        </w:rPr>
        <w:t> </w:t>
      </w:r>
      <w:r>
        <w:rPr>
          <w:sz w:val="21"/>
        </w:rPr>
        <w:t>also</w:t>
      </w:r>
      <w:r>
        <w:rPr>
          <w:spacing w:val="40"/>
          <w:sz w:val="21"/>
        </w:rPr>
        <w:t> </w:t>
      </w:r>
      <w:r>
        <w:rPr>
          <w:sz w:val="21"/>
        </w:rPr>
        <w:t>includes</w:t>
      </w:r>
      <w:r>
        <w:rPr>
          <w:spacing w:val="40"/>
          <w:sz w:val="21"/>
        </w:rPr>
        <w:t> </w:t>
      </w:r>
      <w:r>
        <w:rPr>
          <w:sz w:val="21"/>
        </w:rPr>
        <w:t>any</w:t>
      </w:r>
      <w:r>
        <w:rPr>
          <w:spacing w:val="40"/>
          <w:sz w:val="21"/>
        </w:rPr>
        <w:t> </w:t>
      </w:r>
      <w:r>
        <w:rPr>
          <w:sz w:val="21"/>
        </w:rPr>
        <w:t>business</w:t>
      </w:r>
      <w:r>
        <w:rPr>
          <w:spacing w:val="40"/>
          <w:sz w:val="21"/>
        </w:rPr>
        <w:t> </w:t>
      </w:r>
      <w:r>
        <w:rPr>
          <w:sz w:val="21"/>
        </w:rPr>
        <w:t>or</w:t>
      </w:r>
      <w:r>
        <w:rPr>
          <w:spacing w:val="40"/>
          <w:sz w:val="21"/>
        </w:rPr>
        <w:t> </w:t>
      </w:r>
      <w:r>
        <w:rPr>
          <w:sz w:val="21"/>
        </w:rPr>
        <w:t>enterprise</w:t>
      </w:r>
      <w:r>
        <w:rPr>
          <w:spacing w:val="40"/>
          <w:sz w:val="21"/>
        </w:rPr>
        <w:t> </w:t>
      </w:r>
      <w:r>
        <w:rPr>
          <w:sz w:val="21"/>
        </w:rPr>
        <w:t>(located</w:t>
      </w:r>
      <w:r>
        <w:rPr>
          <w:spacing w:val="40"/>
          <w:sz w:val="21"/>
        </w:rPr>
        <w:t> </w:t>
      </w:r>
      <w:r>
        <w:rPr>
          <w:sz w:val="21"/>
        </w:rPr>
        <w:t>anywhere</w:t>
      </w:r>
      <w:r>
        <w:rPr>
          <w:spacing w:val="40"/>
          <w:sz w:val="21"/>
        </w:rPr>
        <w:t> </w:t>
      </w:r>
      <w:r>
        <w:rPr>
          <w:sz w:val="21"/>
        </w:rPr>
        <w:t>in</w:t>
      </w:r>
      <w:r>
        <w:rPr>
          <w:spacing w:val="40"/>
          <w:sz w:val="21"/>
        </w:rPr>
        <w:t> </w:t>
      </w:r>
      <w:r>
        <w:rPr>
          <w:sz w:val="21"/>
        </w:rPr>
        <w:t>the</w:t>
      </w:r>
      <w:r>
        <w:rPr>
          <w:spacing w:val="40"/>
          <w:sz w:val="21"/>
        </w:rPr>
        <w:t> </w:t>
      </w:r>
      <w:r>
        <w:rPr>
          <w:sz w:val="21"/>
        </w:rPr>
        <w:t>world)</w:t>
      </w:r>
      <w:r>
        <w:rPr>
          <w:spacing w:val="40"/>
          <w:sz w:val="21"/>
        </w:rPr>
        <w:t> </w:t>
      </w:r>
      <w:r>
        <w:rPr>
          <w:sz w:val="21"/>
        </w:rPr>
        <w:t>which</w:t>
      </w:r>
      <w:r>
        <w:rPr>
          <w:spacing w:val="40"/>
          <w:sz w:val="21"/>
        </w:rPr>
        <w:t> </w:t>
      </w:r>
      <w:r>
        <w:rPr>
          <w:sz w:val="21"/>
        </w:rPr>
        <w:t>owns,</w:t>
      </w:r>
      <w:r>
        <w:rPr>
          <w:spacing w:val="40"/>
          <w:sz w:val="21"/>
        </w:rPr>
        <w:t> </w:t>
      </w:r>
      <w:r>
        <w:rPr>
          <w:sz w:val="21"/>
        </w:rPr>
        <w:t>operates,</w:t>
      </w:r>
      <w:r>
        <w:rPr>
          <w:spacing w:val="40"/>
          <w:sz w:val="21"/>
        </w:rPr>
        <w:t> </w:t>
      </w:r>
      <w:r>
        <w:rPr>
          <w:sz w:val="21"/>
        </w:rPr>
        <w:t>develops, maintains or facilitates the</w:t>
      </w: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212"/>
        <w:rPr>
          <w:sz w:val="21"/>
        </w:rPr>
      </w:pPr>
    </w:p>
    <w:p>
      <w:pPr>
        <w:spacing w:before="0"/>
        <w:ind w:left="24" w:right="0" w:firstLine="0"/>
        <w:jc w:val="center"/>
        <w:rPr>
          <w:sz w:val="21"/>
        </w:rPr>
      </w:pPr>
      <w:r>
        <w:rPr/>
        <mc:AlternateContent>
          <mc:Choice Requires="wps">
            <w:drawing>
              <wp:anchor distT="0" distB="0" distL="0" distR="0" allowOverlap="1" layoutInCell="1" locked="0" behindDoc="1" simplePos="0" relativeHeight="487805440">
                <wp:simplePos x="0" y="0"/>
                <wp:positionH relativeFrom="page">
                  <wp:posOffset>231457</wp:posOffset>
                </wp:positionH>
                <wp:positionV relativeFrom="paragraph">
                  <wp:posOffset>183856</wp:posOffset>
                </wp:positionV>
                <wp:extent cx="7312659" cy="17145"/>
                <wp:effectExtent l="0" t="0" r="0" b="0"/>
                <wp:wrapTopAndBottom/>
                <wp:docPr id="1063" name="Group 1063"/>
                <wp:cNvGraphicFramePr>
                  <a:graphicFrameLocks/>
                </wp:cNvGraphicFramePr>
                <a:graphic>
                  <a:graphicData uri="http://schemas.microsoft.com/office/word/2010/wordprocessingGroup">
                    <wpg:wgp>
                      <wpg:cNvPr id="1063" name="Group 1063"/>
                      <wpg:cNvGrpSpPr/>
                      <wpg:grpSpPr>
                        <a:xfrm>
                          <a:off x="0" y="0"/>
                          <a:ext cx="7312659" cy="17145"/>
                          <a:chExt cx="7312659" cy="17145"/>
                        </a:xfrm>
                      </wpg:grpSpPr>
                      <wps:wsp>
                        <wps:cNvPr id="1064" name="Graphic 106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65" name="Graphic 1065"/>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66" name="Graphic 106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476917pt;width:575.8pt;height:1.35pt;mso-position-horizontal-relative:page;mso-position-vertical-relative:paragraph;z-index:-15511040;mso-wrap-distance-left:0;mso-wrap-distance-right:0" id="docshapegroup1061" coordorigin="364,290" coordsize="11516,27">
                <v:rect style="position:absolute;left:364;top:289;width:11516;height:14" id="docshape1062" filled="true" fillcolor="#999999" stroked="false">
                  <v:fill type="solid"/>
                </v:rect>
                <v:shape style="position:absolute;left:364;top:289;width:11516;height:27" id="docshape1063" coordorigin="364,290" coordsize="11516,27" path="m11880,290l11866,303,364,303,364,317,11866,317,11880,317,11880,303,11880,290xe" filled="true" fillcolor="#ededed" stroked="false">
                  <v:path arrowok="t"/>
                  <v:fill type="solid"/>
                </v:shape>
                <v:shape style="position:absolute;left:364;top:289;width:14;height:27" id="docshape1064" coordorigin="364,290" coordsize="14,27" path="m364,317l364,290,378,290,378,303,364,317xe" filled="true" fillcolor="#999999" stroked="false">
                  <v:path arrowok="t"/>
                  <v:fill type="solid"/>
                </v:shape>
                <w10:wrap type="topAndBottom"/>
              </v:group>
            </w:pict>
          </mc:Fallback>
        </mc:AlternateContent>
      </w:r>
      <w:r>
        <w:rPr>
          <w:spacing w:val="-10"/>
          <w:sz w:val="21"/>
        </w:rPr>
        <w:t>5</w:t>
      </w:r>
    </w:p>
    <w:p>
      <w:pPr>
        <w:spacing w:after="0"/>
        <w:jc w:val="center"/>
        <w:rPr>
          <w:sz w:val="21"/>
        </w:rPr>
        <w:sectPr>
          <w:pgSz w:w="12240" w:h="15840"/>
          <w:pgMar w:top="1820" w:bottom="280" w:left="220" w:right="240"/>
        </w:sectPr>
      </w:pPr>
    </w:p>
    <w:p>
      <w:pPr>
        <w:spacing w:line="213" w:lineRule="auto" w:before="102"/>
        <w:ind w:left="792" w:right="223" w:firstLine="0"/>
        <w:jc w:val="both"/>
        <w:rPr>
          <w:sz w:val="21"/>
        </w:rPr>
      </w:pPr>
      <w:r>
        <w:rPr>
          <w:sz w:val="21"/>
        </w:rPr>
        <w:t>operation</w:t>
      </w:r>
      <w:r>
        <w:rPr>
          <w:spacing w:val="40"/>
          <w:sz w:val="21"/>
        </w:rPr>
        <w:t> </w:t>
      </w:r>
      <w:r>
        <w:rPr>
          <w:sz w:val="21"/>
        </w:rPr>
        <w:t>of</w:t>
      </w:r>
      <w:r>
        <w:rPr>
          <w:spacing w:val="40"/>
          <w:sz w:val="21"/>
        </w:rPr>
        <w:t> </w:t>
      </w:r>
      <w:r>
        <w:rPr>
          <w:sz w:val="21"/>
        </w:rPr>
        <w:t>mobile</w:t>
      </w:r>
      <w:r>
        <w:rPr>
          <w:spacing w:val="40"/>
          <w:sz w:val="21"/>
        </w:rPr>
        <w:t> </w:t>
      </w:r>
      <w:r>
        <w:rPr>
          <w:sz w:val="21"/>
        </w:rPr>
        <w:t>gaming/betting,</w:t>
      </w:r>
      <w:r>
        <w:rPr>
          <w:spacing w:val="40"/>
          <w:sz w:val="21"/>
        </w:rPr>
        <w:t> </w:t>
      </w:r>
      <w:r>
        <w:rPr>
          <w:sz w:val="21"/>
        </w:rPr>
        <w:t>regardless</w:t>
      </w:r>
      <w:r>
        <w:rPr>
          <w:spacing w:val="40"/>
          <w:sz w:val="21"/>
        </w:rPr>
        <w:t> </w:t>
      </w:r>
      <w:r>
        <w:rPr>
          <w:sz w:val="21"/>
        </w:rPr>
        <w:t>of</w:t>
      </w:r>
      <w:r>
        <w:rPr>
          <w:spacing w:val="40"/>
          <w:sz w:val="21"/>
        </w:rPr>
        <w:t> </w:t>
      </w:r>
      <w:r>
        <w:rPr>
          <w:sz w:val="21"/>
        </w:rPr>
        <w:t>whether</w:t>
      </w:r>
      <w:r>
        <w:rPr>
          <w:spacing w:val="40"/>
          <w:sz w:val="21"/>
        </w:rPr>
        <w:t> </w:t>
      </w:r>
      <w:r>
        <w:rPr>
          <w:sz w:val="21"/>
        </w:rPr>
        <w:t>such</w:t>
      </w:r>
      <w:r>
        <w:rPr>
          <w:spacing w:val="40"/>
          <w:sz w:val="21"/>
        </w:rPr>
        <w:t> </w:t>
      </w:r>
      <w:r>
        <w:rPr>
          <w:sz w:val="21"/>
        </w:rPr>
        <w:t>mobile</w:t>
      </w:r>
      <w:r>
        <w:rPr>
          <w:spacing w:val="40"/>
          <w:sz w:val="21"/>
        </w:rPr>
        <w:t> </w:t>
      </w:r>
      <w:r>
        <w:rPr>
          <w:sz w:val="21"/>
        </w:rPr>
        <w:t>gaming/betting</w:t>
      </w:r>
      <w:r>
        <w:rPr>
          <w:spacing w:val="40"/>
          <w:sz w:val="21"/>
        </w:rPr>
        <w:t> </w:t>
      </w:r>
      <w:r>
        <w:rPr>
          <w:sz w:val="21"/>
        </w:rPr>
        <w:t>is</w:t>
      </w:r>
      <w:r>
        <w:rPr>
          <w:spacing w:val="40"/>
          <w:sz w:val="21"/>
        </w:rPr>
        <w:t> </w:t>
      </w:r>
      <w:r>
        <w:rPr>
          <w:sz w:val="21"/>
        </w:rPr>
        <w:t>conducted</w:t>
      </w:r>
      <w:r>
        <w:rPr>
          <w:spacing w:val="40"/>
          <w:sz w:val="21"/>
        </w:rPr>
        <w:t> </w:t>
      </w:r>
      <w:r>
        <w:rPr>
          <w:sz w:val="21"/>
        </w:rPr>
        <w:t>online,</w:t>
      </w:r>
      <w:r>
        <w:rPr>
          <w:spacing w:val="40"/>
          <w:sz w:val="21"/>
        </w:rPr>
        <w:t> </w:t>
      </w:r>
      <w:r>
        <w:rPr>
          <w:sz w:val="21"/>
        </w:rPr>
        <w:t>through</w:t>
      </w:r>
      <w:r>
        <w:rPr>
          <w:spacing w:val="40"/>
          <w:sz w:val="21"/>
        </w:rPr>
        <w:t> </w:t>
      </w:r>
      <w:r>
        <w:rPr>
          <w:sz w:val="21"/>
        </w:rPr>
        <w:t>an “app,” via peer-to-peer transactions, and/or under the auspices of a gaming-resort. Without limitation, William Hill is an example</w:t>
      </w:r>
      <w:r>
        <w:rPr>
          <w:spacing w:val="18"/>
          <w:sz w:val="21"/>
        </w:rPr>
        <w:t> </w:t>
      </w:r>
      <w:r>
        <w:rPr>
          <w:sz w:val="21"/>
        </w:rPr>
        <w:t>of</w:t>
      </w:r>
      <w:r>
        <w:rPr>
          <w:spacing w:val="18"/>
          <w:sz w:val="21"/>
        </w:rPr>
        <w:t> </w:t>
      </w:r>
      <w:r>
        <w:rPr>
          <w:sz w:val="21"/>
        </w:rPr>
        <w:t>such</w:t>
      </w:r>
      <w:r>
        <w:rPr>
          <w:spacing w:val="18"/>
          <w:sz w:val="21"/>
        </w:rPr>
        <w:t> </w:t>
      </w:r>
      <w:r>
        <w:rPr>
          <w:sz w:val="21"/>
        </w:rPr>
        <w:t>a</w:t>
      </w:r>
      <w:r>
        <w:rPr>
          <w:spacing w:val="18"/>
          <w:sz w:val="21"/>
        </w:rPr>
        <w:t> </w:t>
      </w:r>
      <w:r>
        <w:rPr>
          <w:sz w:val="21"/>
        </w:rPr>
        <w:t>Competitor,</w:t>
      </w:r>
      <w:r>
        <w:rPr>
          <w:spacing w:val="18"/>
          <w:sz w:val="21"/>
        </w:rPr>
        <w:t> </w:t>
      </w:r>
      <w:r>
        <w:rPr>
          <w:sz w:val="21"/>
        </w:rPr>
        <w:t>and</w:t>
      </w:r>
      <w:r>
        <w:rPr>
          <w:spacing w:val="18"/>
          <w:sz w:val="21"/>
        </w:rPr>
        <w:t> </w:t>
      </w:r>
      <w:r>
        <w:rPr>
          <w:color w:val="1B1B1B"/>
          <w:sz w:val="21"/>
        </w:rPr>
        <w:t>Flutter</w:t>
      </w:r>
      <w:r>
        <w:rPr>
          <w:color w:val="1B1B1B"/>
          <w:spacing w:val="18"/>
          <w:sz w:val="21"/>
        </w:rPr>
        <w:t> </w:t>
      </w:r>
      <w:r>
        <w:rPr>
          <w:color w:val="1B1B1B"/>
          <w:sz w:val="21"/>
        </w:rPr>
        <w:t>Entertainment</w:t>
      </w:r>
      <w:r>
        <w:rPr>
          <w:color w:val="1B1B1B"/>
          <w:spacing w:val="18"/>
          <w:sz w:val="21"/>
        </w:rPr>
        <w:t> </w:t>
      </w:r>
      <w:r>
        <w:rPr>
          <w:color w:val="1B1B1B"/>
          <w:sz w:val="21"/>
        </w:rPr>
        <w:t>plc</w:t>
      </w:r>
      <w:r>
        <w:rPr>
          <w:color w:val="1B1B1B"/>
          <w:spacing w:val="18"/>
          <w:sz w:val="21"/>
        </w:rPr>
        <w:t> </w:t>
      </w:r>
      <w:r>
        <w:rPr>
          <w:color w:val="1B1B1B"/>
          <w:sz w:val="21"/>
        </w:rPr>
        <w:t>(formerly</w:t>
      </w:r>
      <w:r>
        <w:rPr>
          <w:color w:val="1B1B1B"/>
          <w:spacing w:val="18"/>
          <w:sz w:val="21"/>
        </w:rPr>
        <w:t> </w:t>
      </w:r>
      <w:r>
        <w:rPr>
          <w:color w:val="1B1B1B"/>
          <w:sz w:val="21"/>
        </w:rPr>
        <w:t>Paddy</w:t>
      </w:r>
      <w:r>
        <w:rPr>
          <w:color w:val="1B1B1B"/>
          <w:spacing w:val="18"/>
          <w:sz w:val="21"/>
        </w:rPr>
        <w:t> </w:t>
      </w:r>
      <w:r>
        <w:rPr>
          <w:color w:val="1B1B1B"/>
          <w:sz w:val="21"/>
        </w:rPr>
        <w:t>Power</w:t>
      </w:r>
      <w:r>
        <w:rPr>
          <w:color w:val="1B1B1B"/>
          <w:spacing w:val="18"/>
          <w:sz w:val="21"/>
        </w:rPr>
        <w:t> </w:t>
      </w:r>
      <w:r>
        <w:rPr>
          <w:color w:val="1B1B1B"/>
          <w:sz w:val="21"/>
        </w:rPr>
        <w:t>Betfair</w:t>
      </w:r>
      <w:r>
        <w:rPr>
          <w:color w:val="1B1B1B"/>
          <w:spacing w:val="18"/>
          <w:sz w:val="21"/>
        </w:rPr>
        <w:t> </w:t>
      </w:r>
      <w:r>
        <w:rPr>
          <w:color w:val="1B1B1B"/>
          <w:sz w:val="21"/>
        </w:rPr>
        <w:t>plc)</w:t>
      </w:r>
      <w:r>
        <w:rPr>
          <w:sz w:val="21"/>
        </w:rPr>
        <w:t>,</w:t>
      </w:r>
      <w:r>
        <w:rPr>
          <w:spacing w:val="18"/>
          <w:sz w:val="21"/>
        </w:rPr>
        <w:t> </w:t>
      </w:r>
      <w:r>
        <w:rPr>
          <w:sz w:val="21"/>
        </w:rPr>
        <w:t>which</w:t>
      </w:r>
      <w:r>
        <w:rPr>
          <w:spacing w:val="18"/>
          <w:sz w:val="21"/>
        </w:rPr>
        <w:t> </w:t>
      </w:r>
      <w:r>
        <w:rPr>
          <w:sz w:val="21"/>
        </w:rPr>
        <w:t>is</w:t>
      </w:r>
      <w:r>
        <w:rPr>
          <w:spacing w:val="18"/>
          <w:sz w:val="21"/>
        </w:rPr>
        <w:t> </w:t>
      </w:r>
      <w:r>
        <w:rPr>
          <w:sz w:val="21"/>
        </w:rPr>
        <w:t>based</w:t>
      </w:r>
      <w:r>
        <w:rPr>
          <w:spacing w:val="18"/>
          <w:sz w:val="21"/>
        </w:rPr>
        <w:t> </w:t>
      </w:r>
      <w:r>
        <w:rPr>
          <w:sz w:val="21"/>
        </w:rPr>
        <w:t>in</w:t>
      </w:r>
      <w:r>
        <w:rPr>
          <w:spacing w:val="18"/>
          <w:sz w:val="21"/>
        </w:rPr>
        <w:t> </w:t>
      </w:r>
      <w:r>
        <w:rPr>
          <w:sz w:val="21"/>
        </w:rPr>
        <w:t>Ireland, the United Kingdom and Italy, but which engages in business in the United States, is another. Because Employer’s business interest in the mobile gaming/betting market and customer base is not dependent on geographic proximity or location and instead</w:t>
      </w:r>
      <w:r>
        <w:rPr>
          <w:spacing w:val="34"/>
          <w:sz w:val="21"/>
        </w:rPr>
        <w:t> </w:t>
      </w:r>
      <w:r>
        <w:rPr>
          <w:sz w:val="21"/>
        </w:rPr>
        <w:t>draws</w:t>
      </w:r>
      <w:r>
        <w:rPr>
          <w:spacing w:val="34"/>
          <w:sz w:val="21"/>
        </w:rPr>
        <w:t> </w:t>
      </w:r>
      <w:r>
        <w:rPr>
          <w:sz w:val="21"/>
        </w:rPr>
        <w:t>from</w:t>
      </w:r>
      <w:r>
        <w:rPr>
          <w:spacing w:val="34"/>
          <w:sz w:val="21"/>
        </w:rPr>
        <w:t> </w:t>
      </w:r>
      <w:r>
        <w:rPr>
          <w:sz w:val="21"/>
        </w:rPr>
        <w:t>Business</w:t>
      </w:r>
      <w:r>
        <w:rPr>
          <w:spacing w:val="34"/>
          <w:sz w:val="21"/>
        </w:rPr>
        <w:t> </w:t>
      </w:r>
      <w:r>
        <w:rPr>
          <w:sz w:val="21"/>
        </w:rPr>
        <w:t>Contacts</w:t>
      </w:r>
      <w:r>
        <w:rPr>
          <w:spacing w:val="34"/>
          <w:sz w:val="21"/>
        </w:rPr>
        <w:t> </w:t>
      </w:r>
      <w:r>
        <w:rPr>
          <w:sz w:val="21"/>
        </w:rPr>
        <w:t>around</w:t>
      </w:r>
      <w:r>
        <w:rPr>
          <w:spacing w:val="34"/>
          <w:sz w:val="21"/>
        </w:rPr>
        <w:t> </w:t>
      </w:r>
      <w:r>
        <w:rPr>
          <w:sz w:val="21"/>
        </w:rPr>
        <w:t>the</w:t>
      </w:r>
      <w:r>
        <w:rPr>
          <w:spacing w:val="34"/>
          <w:sz w:val="21"/>
        </w:rPr>
        <w:t> </w:t>
      </w:r>
      <w:r>
        <w:rPr>
          <w:sz w:val="21"/>
        </w:rPr>
        <w:t>world,</w:t>
      </w:r>
      <w:r>
        <w:rPr>
          <w:spacing w:val="34"/>
          <w:sz w:val="21"/>
        </w:rPr>
        <w:t> </w:t>
      </w:r>
      <w:r>
        <w:rPr>
          <w:sz w:val="21"/>
        </w:rPr>
        <w:t>and</w:t>
      </w:r>
      <w:r>
        <w:rPr>
          <w:spacing w:val="34"/>
          <w:sz w:val="21"/>
        </w:rPr>
        <w:t> </w:t>
      </w:r>
      <w:r>
        <w:rPr>
          <w:sz w:val="21"/>
        </w:rPr>
        <w:t>because</w:t>
      </w:r>
      <w:r>
        <w:rPr>
          <w:spacing w:val="34"/>
          <w:sz w:val="21"/>
        </w:rPr>
        <w:t> </w:t>
      </w:r>
      <w:r>
        <w:rPr>
          <w:sz w:val="21"/>
        </w:rPr>
        <w:t>such</w:t>
      </w:r>
      <w:r>
        <w:rPr>
          <w:spacing w:val="34"/>
          <w:sz w:val="21"/>
        </w:rPr>
        <w:t> </w:t>
      </w:r>
      <w:r>
        <w:rPr>
          <w:sz w:val="21"/>
        </w:rPr>
        <w:t>business</w:t>
      </w:r>
      <w:r>
        <w:rPr>
          <w:spacing w:val="34"/>
          <w:sz w:val="21"/>
        </w:rPr>
        <w:t> </w:t>
      </w:r>
      <w:r>
        <w:rPr>
          <w:sz w:val="21"/>
        </w:rPr>
        <w:t>or</w:t>
      </w:r>
      <w:r>
        <w:rPr>
          <w:spacing w:val="34"/>
          <w:sz w:val="21"/>
        </w:rPr>
        <w:t> </w:t>
      </w:r>
      <w:r>
        <w:rPr>
          <w:sz w:val="21"/>
        </w:rPr>
        <w:t>enterprise</w:t>
      </w:r>
      <w:r>
        <w:rPr>
          <w:spacing w:val="34"/>
          <w:sz w:val="21"/>
        </w:rPr>
        <w:t> </w:t>
      </w:r>
      <w:r>
        <w:rPr>
          <w:sz w:val="21"/>
        </w:rPr>
        <w:t>allows</w:t>
      </w:r>
      <w:r>
        <w:rPr>
          <w:spacing w:val="34"/>
          <w:sz w:val="21"/>
        </w:rPr>
        <w:t> </w:t>
      </w:r>
      <w:r>
        <w:rPr>
          <w:sz w:val="21"/>
        </w:rPr>
        <w:t>for</w:t>
      </w:r>
      <w:r>
        <w:rPr>
          <w:spacing w:val="34"/>
          <w:sz w:val="21"/>
        </w:rPr>
        <w:t> </w:t>
      </w:r>
      <w:r>
        <w:rPr>
          <w:sz w:val="21"/>
        </w:rPr>
        <w:t>Employee</w:t>
      </w:r>
      <w:r>
        <w:rPr>
          <w:spacing w:val="34"/>
          <w:sz w:val="21"/>
        </w:rPr>
        <w:t> </w:t>
      </w:r>
      <w:r>
        <w:rPr>
          <w:sz w:val="21"/>
        </w:rPr>
        <w:t>to work</w:t>
      </w:r>
      <w:r>
        <w:rPr>
          <w:spacing w:val="30"/>
          <w:sz w:val="21"/>
        </w:rPr>
        <w:t> </w:t>
      </w:r>
      <w:r>
        <w:rPr>
          <w:sz w:val="21"/>
        </w:rPr>
        <w:t>remotely,</w:t>
      </w:r>
      <w:r>
        <w:rPr>
          <w:spacing w:val="30"/>
          <w:sz w:val="21"/>
        </w:rPr>
        <w:t> </w:t>
      </w:r>
      <w:r>
        <w:rPr>
          <w:sz w:val="21"/>
        </w:rPr>
        <w:t>Employee</w:t>
      </w:r>
      <w:r>
        <w:rPr>
          <w:spacing w:val="30"/>
          <w:sz w:val="21"/>
        </w:rPr>
        <w:t> </w:t>
      </w:r>
      <w:r>
        <w:rPr>
          <w:sz w:val="21"/>
        </w:rPr>
        <w:t>agrees</w:t>
      </w:r>
      <w:r>
        <w:rPr>
          <w:spacing w:val="30"/>
          <w:sz w:val="21"/>
        </w:rPr>
        <w:t> </w:t>
      </w:r>
      <w:r>
        <w:rPr>
          <w:sz w:val="21"/>
        </w:rPr>
        <w:t>the</w:t>
      </w:r>
      <w:r>
        <w:rPr>
          <w:spacing w:val="30"/>
          <w:sz w:val="21"/>
        </w:rPr>
        <w:t> </w:t>
      </w:r>
      <w:r>
        <w:rPr>
          <w:sz w:val="21"/>
        </w:rPr>
        <w:t>foregoing</w:t>
      </w:r>
      <w:r>
        <w:rPr>
          <w:spacing w:val="30"/>
          <w:sz w:val="21"/>
        </w:rPr>
        <w:t> </w:t>
      </w:r>
      <w:r>
        <w:rPr>
          <w:sz w:val="21"/>
        </w:rPr>
        <w:t>world-</w:t>
      </w:r>
      <w:r>
        <w:rPr>
          <w:spacing w:val="30"/>
          <w:sz w:val="21"/>
        </w:rPr>
        <w:t> </w:t>
      </w:r>
      <w:r>
        <w:rPr>
          <w:sz w:val="21"/>
        </w:rPr>
        <w:t>wide</w:t>
      </w:r>
      <w:r>
        <w:rPr>
          <w:spacing w:val="30"/>
          <w:sz w:val="21"/>
        </w:rPr>
        <w:t> </w:t>
      </w:r>
      <w:r>
        <w:rPr>
          <w:sz w:val="21"/>
        </w:rPr>
        <w:t>restriction</w:t>
      </w:r>
      <w:r>
        <w:rPr>
          <w:spacing w:val="30"/>
          <w:sz w:val="21"/>
        </w:rPr>
        <w:t> </w:t>
      </w:r>
      <w:r>
        <w:rPr>
          <w:sz w:val="21"/>
        </w:rPr>
        <w:t>is</w:t>
      </w:r>
      <w:r>
        <w:rPr>
          <w:spacing w:val="30"/>
          <w:sz w:val="21"/>
        </w:rPr>
        <w:t> </w:t>
      </w:r>
      <w:r>
        <w:rPr>
          <w:sz w:val="21"/>
        </w:rPr>
        <w:t>reasonable</w:t>
      </w:r>
      <w:r>
        <w:rPr>
          <w:spacing w:val="30"/>
          <w:sz w:val="21"/>
        </w:rPr>
        <w:t> </w:t>
      </w:r>
      <w:r>
        <w:rPr>
          <w:sz w:val="21"/>
        </w:rPr>
        <w:t>and</w:t>
      </w:r>
      <w:r>
        <w:rPr>
          <w:spacing w:val="30"/>
          <w:sz w:val="21"/>
        </w:rPr>
        <w:t> </w:t>
      </w:r>
      <w:r>
        <w:rPr>
          <w:sz w:val="21"/>
        </w:rPr>
        <w:t>necessary.</w:t>
      </w:r>
    </w:p>
    <w:p>
      <w:pPr>
        <w:pStyle w:val="ListParagraph"/>
        <w:numPr>
          <w:ilvl w:val="1"/>
          <w:numId w:val="51"/>
        </w:numPr>
        <w:tabs>
          <w:tab w:pos="813" w:val="left" w:leader="none"/>
        </w:tabs>
        <w:spacing w:line="213" w:lineRule="auto" w:before="224" w:after="0"/>
        <w:ind w:left="468" w:right="220" w:firstLine="0"/>
        <w:jc w:val="both"/>
        <w:rPr>
          <w:sz w:val="21"/>
        </w:rPr>
      </w:pPr>
      <w:r>
        <w:rPr>
          <w:sz w:val="21"/>
          <w:u w:val="single"/>
        </w:rPr>
        <w:t>Non-Solicitation</w:t>
      </w:r>
      <w:r>
        <w:rPr>
          <w:sz w:val="21"/>
        </w:rPr>
        <w:t>. At all times during Employee’s employment with the Employer, and for twelve (12) months thereafter, Employee will not, without the prior written consent of Employer, in each and every instance such consent to be within</w:t>
      </w:r>
      <w:r>
        <w:rPr>
          <w:spacing w:val="80"/>
          <w:sz w:val="21"/>
        </w:rPr>
        <w:t> </w:t>
      </w:r>
      <w:r>
        <w:rPr>
          <w:sz w:val="21"/>
        </w:rPr>
        <w:t>Employer’s</w:t>
      </w:r>
      <w:r>
        <w:rPr>
          <w:spacing w:val="23"/>
          <w:sz w:val="21"/>
        </w:rPr>
        <w:t> </w:t>
      </w:r>
      <w:r>
        <w:rPr>
          <w:sz w:val="21"/>
        </w:rPr>
        <w:t>sole</w:t>
      </w:r>
      <w:r>
        <w:rPr>
          <w:spacing w:val="23"/>
          <w:sz w:val="21"/>
        </w:rPr>
        <w:t> </w:t>
      </w:r>
      <w:r>
        <w:rPr>
          <w:sz w:val="21"/>
        </w:rPr>
        <w:t>and</w:t>
      </w:r>
      <w:r>
        <w:rPr>
          <w:spacing w:val="23"/>
          <w:sz w:val="21"/>
        </w:rPr>
        <w:t> </w:t>
      </w:r>
      <w:r>
        <w:rPr>
          <w:sz w:val="21"/>
        </w:rPr>
        <w:t>absolute</w:t>
      </w:r>
      <w:r>
        <w:rPr>
          <w:spacing w:val="23"/>
          <w:sz w:val="21"/>
        </w:rPr>
        <w:t> </w:t>
      </w:r>
      <w:r>
        <w:rPr>
          <w:sz w:val="21"/>
        </w:rPr>
        <w:t>discretion,</w:t>
      </w:r>
      <w:r>
        <w:rPr>
          <w:spacing w:val="23"/>
          <w:sz w:val="21"/>
        </w:rPr>
        <w:t> </w:t>
      </w:r>
      <w:r>
        <w:rPr>
          <w:sz w:val="21"/>
        </w:rPr>
        <w:t>call</w:t>
      </w:r>
      <w:r>
        <w:rPr>
          <w:spacing w:val="23"/>
          <w:sz w:val="21"/>
        </w:rPr>
        <w:t> </w:t>
      </w:r>
      <w:r>
        <w:rPr>
          <w:sz w:val="21"/>
        </w:rPr>
        <w:t>on,</w:t>
      </w:r>
      <w:r>
        <w:rPr>
          <w:spacing w:val="23"/>
          <w:sz w:val="21"/>
        </w:rPr>
        <w:t> </w:t>
      </w:r>
      <w:r>
        <w:rPr>
          <w:sz w:val="21"/>
        </w:rPr>
        <w:t>solicit,</w:t>
      </w:r>
      <w:r>
        <w:rPr>
          <w:spacing w:val="23"/>
          <w:sz w:val="21"/>
        </w:rPr>
        <w:t> </w:t>
      </w:r>
      <w:r>
        <w:rPr>
          <w:sz w:val="21"/>
        </w:rPr>
        <w:t>induce</w:t>
      </w:r>
      <w:r>
        <w:rPr>
          <w:spacing w:val="23"/>
          <w:sz w:val="21"/>
        </w:rPr>
        <w:t> </w:t>
      </w:r>
      <w:r>
        <w:rPr>
          <w:sz w:val="21"/>
        </w:rPr>
        <w:t>to</w:t>
      </w:r>
      <w:r>
        <w:rPr>
          <w:spacing w:val="23"/>
          <w:sz w:val="21"/>
        </w:rPr>
        <w:t> </w:t>
      </w:r>
      <w:r>
        <w:rPr>
          <w:sz w:val="21"/>
        </w:rPr>
        <w:t>leave</w:t>
      </w:r>
      <w:r>
        <w:rPr>
          <w:spacing w:val="23"/>
          <w:sz w:val="21"/>
        </w:rPr>
        <w:t> </w:t>
      </w:r>
      <w:r>
        <w:rPr>
          <w:sz w:val="21"/>
        </w:rPr>
        <w:t>and/or</w:t>
      </w:r>
      <w:r>
        <w:rPr>
          <w:spacing w:val="23"/>
          <w:sz w:val="21"/>
        </w:rPr>
        <w:t> </w:t>
      </w:r>
      <w:r>
        <w:rPr>
          <w:sz w:val="21"/>
        </w:rPr>
        <w:t>take</w:t>
      </w:r>
      <w:r>
        <w:rPr>
          <w:spacing w:val="23"/>
          <w:sz w:val="21"/>
        </w:rPr>
        <w:t> </w:t>
      </w:r>
      <w:r>
        <w:rPr>
          <w:sz w:val="21"/>
        </w:rPr>
        <w:t>away,</w:t>
      </w:r>
      <w:r>
        <w:rPr>
          <w:spacing w:val="23"/>
          <w:sz w:val="21"/>
        </w:rPr>
        <w:t> </w:t>
      </w:r>
      <w:r>
        <w:rPr>
          <w:sz w:val="21"/>
        </w:rPr>
        <w:t>or</w:t>
      </w:r>
      <w:r>
        <w:rPr>
          <w:spacing w:val="23"/>
          <w:sz w:val="21"/>
        </w:rPr>
        <w:t> </w:t>
      </w:r>
      <w:r>
        <w:rPr>
          <w:sz w:val="21"/>
        </w:rPr>
        <w:t>attempt</w:t>
      </w:r>
      <w:r>
        <w:rPr>
          <w:spacing w:val="23"/>
          <w:sz w:val="21"/>
        </w:rPr>
        <w:t> </w:t>
      </w:r>
      <w:r>
        <w:rPr>
          <w:sz w:val="21"/>
        </w:rPr>
        <w:t>to</w:t>
      </w:r>
      <w:r>
        <w:rPr>
          <w:spacing w:val="23"/>
          <w:sz w:val="21"/>
        </w:rPr>
        <w:t> </w:t>
      </w:r>
      <w:r>
        <w:rPr>
          <w:sz w:val="21"/>
        </w:rPr>
        <w:t>call</w:t>
      </w:r>
      <w:r>
        <w:rPr>
          <w:spacing w:val="23"/>
          <w:sz w:val="21"/>
        </w:rPr>
        <w:t> </w:t>
      </w:r>
      <w:r>
        <w:rPr>
          <w:sz w:val="21"/>
        </w:rPr>
        <w:t>on,</w:t>
      </w:r>
      <w:r>
        <w:rPr>
          <w:spacing w:val="23"/>
          <w:sz w:val="21"/>
        </w:rPr>
        <w:t> </w:t>
      </w:r>
      <w:r>
        <w:rPr>
          <w:sz w:val="21"/>
        </w:rPr>
        <w:t>solicit,</w:t>
      </w:r>
      <w:r>
        <w:rPr>
          <w:spacing w:val="23"/>
          <w:sz w:val="21"/>
        </w:rPr>
        <w:t> </w:t>
      </w:r>
      <w:r>
        <w:rPr>
          <w:sz w:val="21"/>
        </w:rPr>
        <w:t>induce to leave and/or take away:</w:t>
      </w:r>
    </w:p>
    <w:p>
      <w:pPr>
        <w:pStyle w:val="ListParagraph"/>
        <w:numPr>
          <w:ilvl w:val="2"/>
          <w:numId w:val="52"/>
        </w:numPr>
        <w:tabs>
          <w:tab w:pos="1287" w:val="left" w:leader="none"/>
        </w:tabs>
        <w:spacing w:line="213" w:lineRule="auto" w:before="220" w:after="0"/>
        <w:ind w:left="792" w:right="223" w:firstLine="0"/>
        <w:jc w:val="both"/>
        <w:rPr>
          <w:sz w:val="21"/>
        </w:rPr>
      </w:pPr>
      <w:r>
        <w:rPr>
          <w:sz w:val="21"/>
        </w:rPr>
        <w:t>any</w:t>
      </w:r>
      <w:r>
        <w:rPr>
          <w:spacing w:val="24"/>
          <w:sz w:val="21"/>
        </w:rPr>
        <w:t> </w:t>
      </w:r>
      <w:r>
        <w:rPr>
          <w:sz w:val="21"/>
        </w:rPr>
        <w:t>“Business</w:t>
      </w:r>
      <w:r>
        <w:rPr>
          <w:spacing w:val="24"/>
          <w:sz w:val="21"/>
        </w:rPr>
        <w:t> </w:t>
      </w:r>
      <w:r>
        <w:rPr>
          <w:sz w:val="21"/>
        </w:rPr>
        <w:t>Contacts”</w:t>
      </w:r>
      <w:r>
        <w:rPr>
          <w:spacing w:val="24"/>
          <w:sz w:val="21"/>
        </w:rPr>
        <w:t> </w:t>
      </w:r>
      <w:r>
        <w:rPr>
          <w:sz w:val="21"/>
        </w:rPr>
        <w:t>(defined</w:t>
      </w:r>
      <w:r>
        <w:rPr>
          <w:spacing w:val="24"/>
          <w:sz w:val="21"/>
        </w:rPr>
        <w:t> </w:t>
      </w:r>
      <w:r>
        <w:rPr>
          <w:sz w:val="21"/>
        </w:rPr>
        <w:t>below)</w:t>
      </w:r>
      <w:r>
        <w:rPr>
          <w:spacing w:val="24"/>
          <w:sz w:val="21"/>
        </w:rPr>
        <w:t> </w:t>
      </w:r>
      <w:r>
        <w:rPr>
          <w:sz w:val="21"/>
        </w:rPr>
        <w:t>of</w:t>
      </w:r>
      <w:r>
        <w:rPr>
          <w:spacing w:val="24"/>
          <w:sz w:val="21"/>
        </w:rPr>
        <w:t> </w:t>
      </w:r>
      <w:r>
        <w:rPr>
          <w:sz w:val="21"/>
        </w:rPr>
        <w:t>Employer</w:t>
      </w:r>
      <w:r>
        <w:rPr>
          <w:spacing w:val="24"/>
          <w:sz w:val="21"/>
        </w:rPr>
        <w:t> </w:t>
      </w:r>
      <w:r>
        <w:rPr>
          <w:sz w:val="21"/>
        </w:rPr>
        <w:t>or</w:t>
      </w:r>
      <w:r>
        <w:rPr>
          <w:spacing w:val="24"/>
          <w:sz w:val="21"/>
        </w:rPr>
        <w:t> </w:t>
      </w:r>
      <w:r>
        <w:rPr>
          <w:sz w:val="21"/>
        </w:rPr>
        <w:t>the</w:t>
      </w:r>
      <w:r>
        <w:rPr>
          <w:spacing w:val="24"/>
          <w:sz w:val="21"/>
        </w:rPr>
        <w:t> </w:t>
      </w:r>
      <w:r>
        <w:rPr>
          <w:sz w:val="21"/>
        </w:rPr>
        <w:t>Company</w:t>
      </w:r>
      <w:r>
        <w:rPr>
          <w:spacing w:val="24"/>
          <w:sz w:val="21"/>
        </w:rPr>
        <w:t> </w:t>
      </w:r>
      <w:r>
        <w:rPr>
          <w:sz w:val="21"/>
        </w:rPr>
        <w:t>for</w:t>
      </w:r>
      <w:r>
        <w:rPr>
          <w:spacing w:val="24"/>
          <w:sz w:val="21"/>
        </w:rPr>
        <w:t> </w:t>
      </w:r>
      <w:r>
        <w:rPr>
          <w:sz w:val="21"/>
        </w:rPr>
        <w:t>the</w:t>
      </w:r>
      <w:r>
        <w:rPr>
          <w:spacing w:val="24"/>
          <w:sz w:val="21"/>
        </w:rPr>
        <w:t> </w:t>
      </w:r>
      <w:r>
        <w:rPr>
          <w:sz w:val="21"/>
        </w:rPr>
        <w:t>benefit</w:t>
      </w:r>
      <w:r>
        <w:rPr>
          <w:spacing w:val="24"/>
          <w:sz w:val="21"/>
        </w:rPr>
        <w:t> </w:t>
      </w:r>
      <w:r>
        <w:rPr>
          <w:sz w:val="21"/>
        </w:rPr>
        <w:t>of</w:t>
      </w:r>
      <w:r>
        <w:rPr>
          <w:spacing w:val="24"/>
          <w:sz w:val="21"/>
        </w:rPr>
        <w:t> </w:t>
      </w:r>
      <w:r>
        <w:rPr>
          <w:sz w:val="21"/>
        </w:rPr>
        <w:t>a</w:t>
      </w:r>
      <w:r>
        <w:rPr>
          <w:spacing w:val="24"/>
          <w:sz w:val="21"/>
        </w:rPr>
        <w:t> </w:t>
      </w:r>
      <w:r>
        <w:rPr>
          <w:sz w:val="21"/>
        </w:rPr>
        <w:t>Competitor</w:t>
      </w:r>
      <w:r>
        <w:rPr>
          <w:spacing w:val="24"/>
          <w:sz w:val="21"/>
        </w:rPr>
        <w:t> </w:t>
      </w:r>
      <w:r>
        <w:rPr>
          <w:sz w:val="21"/>
        </w:rPr>
        <w:t>or</w:t>
      </w:r>
      <w:r>
        <w:rPr>
          <w:spacing w:val="24"/>
          <w:sz w:val="21"/>
        </w:rPr>
        <w:t> </w:t>
      </w:r>
      <w:r>
        <w:rPr>
          <w:sz w:val="21"/>
        </w:rPr>
        <w:t>any</w:t>
      </w:r>
      <w:r>
        <w:rPr>
          <w:spacing w:val="24"/>
          <w:sz w:val="21"/>
        </w:rPr>
        <w:t> </w:t>
      </w:r>
      <w:r>
        <w:rPr>
          <w:sz w:val="21"/>
        </w:rPr>
        <w:t>person or entity working on behalf of a Competitor. For purposes of this Agreement “Business Contacts” means (a) any person including, but not limited to, any of Employer or Company’s patrons, customers or guests, or agents of thereof, (b) any</w:t>
      </w:r>
      <w:r>
        <w:rPr>
          <w:spacing w:val="80"/>
          <w:sz w:val="21"/>
        </w:rPr>
        <w:t> </w:t>
      </w:r>
      <w:r>
        <w:rPr>
          <w:sz w:val="21"/>
        </w:rPr>
        <w:t>business</w:t>
      </w:r>
      <w:r>
        <w:rPr>
          <w:spacing w:val="19"/>
          <w:sz w:val="21"/>
        </w:rPr>
        <w:t> </w:t>
      </w:r>
      <w:r>
        <w:rPr>
          <w:sz w:val="21"/>
        </w:rPr>
        <w:t>entity</w:t>
      </w:r>
      <w:r>
        <w:rPr>
          <w:spacing w:val="20"/>
          <w:sz w:val="21"/>
        </w:rPr>
        <w:t> </w:t>
      </w:r>
      <w:r>
        <w:rPr>
          <w:sz w:val="21"/>
        </w:rPr>
        <w:t>including,</w:t>
      </w:r>
      <w:r>
        <w:rPr>
          <w:spacing w:val="20"/>
          <w:sz w:val="21"/>
        </w:rPr>
        <w:t> </w:t>
      </w:r>
      <w:r>
        <w:rPr>
          <w:sz w:val="21"/>
        </w:rPr>
        <w:t>but</w:t>
      </w:r>
      <w:r>
        <w:rPr>
          <w:spacing w:val="19"/>
          <w:sz w:val="21"/>
        </w:rPr>
        <w:t> </w:t>
      </w:r>
      <w:r>
        <w:rPr>
          <w:sz w:val="21"/>
        </w:rPr>
        <w:t>not</w:t>
      </w:r>
      <w:r>
        <w:rPr>
          <w:spacing w:val="20"/>
          <w:sz w:val="21"/>
        </w:rPr>
        <w:t> </w:t>
      </w:r>
      <w:r>
        <w:rPr>
          <w:sz w:val="21"/>
        </w:rPr>
        <w:t>limited</w:t>
      </w:r>
      <w:r>
        <w:rPr>
          <w:spacing w:val="20"/>
          <w:sz w:val="21"/>
        </w:rPr>
        <w:t> </w:t>
      </w:r>
      <w:r>
        <w:rPr>
          <w:sz w:val="21"/>
        </w:rPr>
        <w:t>to,</w:t>
      </w:r>
      <w:r>
        <w:rPr>
          <w:spacing w:val="19"/>
          <w:sz w:val="21"/>
        </w:rPr>
        <w:t> </w:t>
      </w:r>
      <w:r>
        <w:rPr>
          <w:sz w:val="21"/>
        </w:rPr>
        <w:t>advertisers,</w:t>
      </w:r>
      <w:r>
        <w:rPr>
          <w:spacing w:val="20"/>
          <w:sz w:val="21"/>
        </w:rPr>
        <w:t> </w:t>
      </w:r>
      <w:r>
        <w:rPr>
          <w:sz w:val="21"/>
        </w:rPr>
        <w:t>suppliers,</w:t>
      </w:r>
      <w:r>
        <w:rPr>
          <w:spacing w:val="20"/>
          <w:sz w:val="21"/>
        </w:rPr>
        <w:t> </w:t>
      </w:r>
      <w:r>
        <w:rPr>
          <w:sz w:val="21"/>
        </w:rPr>
        <w:t>vendors,</w:t>
      </w:r>
      <w:r>
        <w:rPr>
          <w:spacing w:val="19"/>
          <w:sz w:val="21"/>
        </w:rPr>
        <w:t> </w:t>
      </w:r>
      <w:r>
        <w:rPr>
          <w:sz w:val="21"/>
        </w:rPr>
        <w:t>or</w:t>
      </w:r>
      <w:r>
        <w:rPr>
          <w:spacing w:val="20"/>
          <w:sz w:val="21"/>
        </w:rPr>
        <w:t> </w:t>
      </w:r>
      <w:r>
        <w:rPr>
          <w:sz w:val="21"/>
        </w:rPr>
        <w:t>independent</w:t>
      </w:r>
      <w:r>
        <w:rPr>
          <w:spacing w:val="20"/>
          <w:sz w:val="21"/>
        </w:rPr>
        <w:t> </w:t>
      </w:r>
      <w:r>
        <w:rPr>
          <w:sz w:val="21"/>
        </w:rPr>
        <w:t>contractors,</w:t>
      </w:r>
      <w:r>
        <w:rPr>
          <w:spacing w:val="19"/>
          <w:sz w:val="21"/>
        </w:rPr>
        <w:t> </w:t>
      </w:r>
      <w:r>
        <w:rPr>
          <w:sz w:val="21"/>
        </w:rPr>
        <w:t>or</w:t>
      </w:r>
      <w:r>
        <w:rPr>
          <w:spacing w:val="20"/>
          <w:sz w:val="21"/>
        </w:rPr>
        <w:t> </w:t>
      </w:r>
      <w:r>
        <w:rPr>
          <w:sz w:val="21"/>
        </w:rPr>
        <w:t>agent</w:t>
      </w:r>
      <w:r>
        <w:rPr>
          <w:spacing w:val="20"/>
          <w:sz w:val="21"/>
        </w:rPr>
        <w:t> </w:t>
      </w:r>
      <w:r>
        <w:rPr>
          <w:sz w:val="21"/>
        </w:rPr>
        <w:t>thereof,</w:t>
      </w:r>
      <w:r>
        <w:rPr>
          <w:spacing w:val="19"/>
          <w:sz w:val="21"/>
        </w:rPr>
        <w:t> </w:t>
      </w:r>
      <w:r>
        <w:rPr>
          <w:spacing w:val="-5"/>
          <w:sz w:val="21"/>
        </w:rPr>
        <w:t>or</w:t>
      </w:r>
    </w:p>
    <w:p>
      <w:pPr>
        <w:spacing w:line="213" w:lineRule="auto" w:before="4"/>
        <w:ind w:left="792" w:right="223" w:firstLine="0"/>
        <w:jc w:val="both"/>
        <w:rPr>
          <w:sz w:val="21"/>
        </w:rPr>
      </w:pPr>
      <w:r>
        <w:rPr>
          <w:sz w:val="21"/>
        </w:rPr>
        <w:t>(c)</w:t>
      </w:r>
      <w:r>
        <w:rPr>
          <w:spacing w:val="40"/>
          <w:sz w:val="21"/>
        </w:rPr>
        <w:t> </w:t>
      </w:r>
      <w:r>
        <w:rPr>
          <w:sz w:val="21"/>
        </w:rPr>
        <w:t>any</w:t>
      </w:r>
      <w:r>
        <w:rPr>
          <w:spacing w:val="40"/>
          <w:sz w:val="21"/>
        </w:rPr>
        <w:t> </w:t>
      </w:r>
      <w:r>
        <w:rPr>
          <w:sz w:val="21"/>
        </w:rPr>
        <w:t>contact</w:t>
      </w:r>
      <w:r>
        <w:rPr>
          <w:spacing w:val="40"/>
          <w:sz w:val="21"/>
        </w:rPr>
        <w:t> </w:t>
      </w:r>
      <w:r>
        <w:rPr>
          <w:sz w:val="21"/>
        </w:rPr>
        <w:t>or</w:t>
      </w:r>
      <w:r>
        <w:rPr>
          <w:spacing w:val="40"/>
          <w:sz w:val="21"/>
        </w:rPr>
        <w:t> </w:t>
      </w:r>
      <w:r>
        <w:rPr>
          <w:sz w:val="21"/>
        </w:rPr>
        <w:t>other</w:t>
      </w:r>
      <w:r>
        <w:rPr>
          <w:spacing w:val="40"/>
          <w:sz w:val="21"/>
        </w:rPr>
        <w:t> </w:t>
      </w:r>
      <w:r>
        <w:rPr>
          <w:sz w:val="21"/>
        </w:rPr>
        <w:t>information</w:t>
      </w:r>
      <w:r>
        <w:rPr>
          <w:spacing w:val="40"/>
          <w:sz w:val="21"/>
        </w:rPr>
        <w:t> </w:t>
      </w:r>
      <w:r>
        <w:rPr>
          <w:sz w:val="21"/>
        </w:rPr>
        <w:t>pertaining</w:t>
      </w:r>
      <w:r>
        <w:rPr>
          <w:spacing w:val="40"/>
          <w:sz w:val="21"/>
        </w:rPr>
        <w:t> </w:t>
      </w:r>
      <w:r>
        <w:rPr>
          <w:sz w:val="21"/>
        </w:rPr>
        <w:t>to</w:t>
      </w:r>
      <w:r>
        <w:rPr>
          <w:spacing w:val="40"/>
          <w:sz w:val="21"/>
        </w:rPr>
        <w:t> </w:t>
      </w:r>
      <w:r>
        <w:rPr>
          <w:sz w:val="21"/>
        </w:rPr>
        <w:t>any</w:t>
      </w:r>
      <w:r>
        <w:rPr>
          <w:spacing w:val="40"/>
          <w:sz w:val="21"/>
        </w:rPr>
        <w:t> </w:t>
      </w:r>
      <w:r>
        <w:rPr>
          <w:sz w:val="21"/>
        </w:rPr>
        <w:t>person</w:t>
      </w:r>
      <w:r>
        <w:rPr>
          <w:spacing w:val="40"/>
          <w:sz w:val="21"/>
        </w:rPr>
        <w:t> </w:t>
      </w:r>
      <w:r>
        <w:rPr>
          <w:sz w:val="21"/>
        </w:rPr>
        <w:t>or</w:t>
      </w:r>
      <w:r>
        <w:rPr>
          <w:spacing w:val="40"/>
          <w:sz w:val="21"/>
        </w:rPr>
        <w:t> </w:t>
      </w:r>
      <w:r>
        <w:rPr>
          <w:sz w:val="21"/>
        </w:rPr>
        <w:t>business</w:t>
      </w:r>
      <w:r>
        <w:rPr>
          <w:spacing w:val="40"/>
          <w:sz w:val="21"/>
        </w:rPr>
        <w:t> </w:t>
      </w:r>
      <w:r>
        <w:rPr>
          <w:sz w:val="21"/>
        </w:rPr>
        <w:t>entity</w:t>
      </w:r>
      <w:r>
        <w:rPr>
          <w:spacing w:val="40"/>
          <w:sz w:val="21"/>
        </w:rPr>
        <w:t> </w:t>
      </w:r>
      <w:r>
        <w:rPr>
          <w:sz w:val="21"/>
        </w:rPr>
        <w:t>with</w:t>
      </w:r>
      <w:r>
        <w:rPr>
          <w:spacing w:val="40"/>
          <w:sz w:val="21"/>
        </w:rPr>
        <w:t> </w:t>
      </w:r>
      <w:r>
        <w:rPr>
          <w:sz w:val="21"/>
        </w:rPr>
        <w:t>whom</w:t>
      </w:r>
      <w:r>
        <w:rPr>
          <w:spacing w:val="40"/>
          <w:sz w:val="21"/>
        </w:rPr>
        <w:t> </w:t>
      </w:r>
      <w:r>
        <w:rPr>
          <w:sz w:val="21"/>
        </w:rPr>
        <w:t>Employee</w:t>
      </w:r>
      <w:r>
        <w:rPr>
          <w:spacing w:val="40"/>
          <w:sz w:val="21"/>
        </w:rPr>
        <w:t> </w:t>
      </w:r>
      <w:r>
        <w:rPr>
          <w:sz w:val="21"/>
        </w:rPr>
        <w:t>worked</w:t>
      </w:r>
      <w:r>
        <w:rPr>
          <w:spacing w:val="40"/>
          <w:sz w:val="21"/>
        </w:rPr>
        <w:t> </w:t>
      </w:r>
      <w:r>
        <w:rPr>
          <w:sz w:val="21"/>
        </w:rPr>
        <w:t>or</w:t>
      </w:r>
      <w:r>
        <w:rPr>
          <w:spacing w:val="40"/>
          <w:sz w:val="21"/>
        </w:rPr>
        <w:t> </w:t>
      </w:r>
      <w:r>
        <w:rPr>
          <w:sz w:val="21"/>
        </w:rPr>
        <w:t>did business during the 12 months prior to Employee’s termination.</w:t>
      </w:r>
    </w:p>
    <w:p>
      <w:pPr>
        <w:pStyle w:val="ListParagraph"/>
        <w:numPr>
          <w:ilvl w:val="2"/>
          <w:numId w:val="52"/>
        </w:numPr>
        <w:tabs>
          <w:tab w:pos="1288" w:val="left" w:leader="none"/>
        </w:tabs>
        <w:spacing w:line="213" w:lineRule="auto" w:before="219" w:after="0"/>
        <w:ind w:left="792" w:right="222" w:firstLine="0"/>
        <w:jc w:val="both"/>
        <w:rPr>
          <w:sz w:val="21"/>
        </w:rPr>
      </w:pPr>
      <w:r>
        <w:rPr>
          <w:sz w:val="21"/>
        </w:rPr>
        <w:t>any Business Contact for purposes of prompting or attempting to prompt such Business Contact to cease or diminish his/her/its relationship with Employer or the Company for the benefit of a Competitor or any person or entity working </w:t>
      </w:r>
      <w:r>
        <w:rPr>
          <w:sz w:val="21"/>
        </w:rPr>
        <w:t>on</w:t>
      </w:r>
      <w:r>
        <w:rPr>
          <w:spacing w:val="80"/>
          <w:sz w:val="21"/>
        </w:rPr>
        <w:t> </w:t>
      </w:r>
      <w:r>
        <w:rPr>
          <w:sz w:val="21"/>
        </w:rPr>
        <w:t>behalf of a Competitor; or,</w:t>
      </w:r>
    </w:p>
    <w:p>
      <w:pPr>
        <w:spacing w:line="213" w:lineRule="auto" w:before="219"/>
        <w:ind w:left="792" w:right="223" w:firstLine="0"/>
        <w:jc w:val="both"/>
        <w:rPr>
          <w:sz w:val="21"/>
        </w:rPr>
      </w:pPr>
      <w:r>
        <w:rPr>
          <w:sz w:val="21"/>
        </w:rPr>
        <w:t>8.2.3. any of Employer’s employees who worked in any department in which Employee worked during the 12 months immediately</w:t>
      </w:r>
      <w:r>
        <w:rPr>
          <w:spacing w:val="40"/>
          <w:sz w:val="21"/>
        </w:rPr>
        <w:t> </w:t>
      </w:r>
      <w:r>
        <w:rPr>
          <w:sz w:val="21"/>
        </w:rPr>
        <w:t>prior</w:t>
      </w:r>
      <w:r>
        <w:rPr>
          <w:spacing w:val="40"/>
          <w:sz w:val="21"/>
        </w:rPr>
        <w:t> </w:t>
      </w:r>
      <w:r>
        <w:rPr>
          <w:sz w:val="21"/>
        </w:rPr>
        <w:t>to</w:t>
      </w:r>
      <w:r>
        <w:rPr>
          <w:spacing w:val="40"/>
          <w:sz w:val="21"/>
        </w:rPr>
        <w:t> </w:t>
      </w:r>
      <w:r>
        <w:rPr>
          <w:sz w:val="21"/>
        </w:rPr>
        <w:t>Employee’s</w:t>
      </w:r>
      <w:r>
        <w:rPr>
          <w:spacing w:val="40"/>
          <w:sz w:val="21"/>
        </w:rPr>
        <w:t> </w:t>
      </w:r>
      <w:r>
        <w:rPr>
          <w:sz w:val="21"/>
        </w:rPr>
        <w:t>termination</w:t>
      </w:r>
      <w:r>
        <w:rPr>
          <w:spacing w:val="40"/>
          <w:sz w:val="21"/>
        </w:rPr>
        <w:t> </w:t>
      </w:r>
      <w:r>
        <w:rPr>
          <w:sz w:val="21"/>
        </w:rPr>
        <w:t>to</w:t>
      </w:r>
      <w:r>
        <w:rPr>
          <w:spacing w:val="40"/>
          <w:sz w:val="21"/>
        </w:rPr>
        <w:t> </w:t>
      </w:r>
      <w:r>
        <w:rPr>
          <w:sz w:val="21"/>
        </w:rPr>
        <w:t>end</w:t>
      </w:r>
      <w:r>
        <w:rPr>
          <w:spacing w:val="40"/>
          <w:sz w:val="21"/>
        </w:rPr>
        <w:t> </w:t>
      </w:r>
      <w:r>
        <w:rPr>
          <w:sz w:val="21"/>
        </w:rPr>
        <w:t>such</w:t>
      </w:r>
      <w:r>
        <w:rPr>
          <w:spacing w:val="40"/>
          <w:sz w:val="21"/>
        </w:rPr>
        <w:t> </w:t>
      </w:r>
      <w:r>
        <w:rPr>
          <w:sz w:val="21"/>
        </w:rPr>
        <w:t>employee’s</w:t>
      </w:r>
      <w:r>
        <w:rPr>
          <w:spacing w:val="40"/>
          <w:sz w:val="21"/>
        </w:rPr>
        <w:t> </w:t>
      </w:r>
      <w:r>
        <w:rPr>
          <w:sz w:val="21"/>
        </w:rPr>
        <w:t>employment</w:t>
      </w:r>
      <w:r>
        <w:rPr>
          <w:spacing w:val="40"/>
          <w:sz w:val="21"/>
        </w:rPr>
        <w:t> </w:t>
      </w:r>
      <w:r>
        <w:rPr>
          <w:sz w:val="21"/>
        </w:rPr>
        <w:t>with</w:t>
      </w:r>
      <w:r>
        <w:rPr>
          <w:spacing w:val="40"/>
          <w:sz w:val="21"/>
        </w:rPr>
        <w:t> </w:t>
      </w:r>
      <w:r>
        <w:rPr>
          <w:sz w:val="21"/>
        </w:rPr>
        <w:t>Employer</w:t>
      </w:r>
      <w:r>
        <w:rPr>
          <w:spacing w:val="40"/>
          <w:sz w:val="21"/>
        </w:rPr>
        <w:t> </w:t>
      </w:r>
      <w:r>
        <w:rPr>
          <w:sz w:val="21"/>
        </w:rPr>
        <w:t>or</w:t>
      </w:r>
      <w:r>
        <w:rPr>
          <w:spacing w:val="40"/>
          <w:sz w:val="21"/>
        </w:rPr>
        <w:t> </w:t>
      </w:r>
      <w:r>
        <w:rPr>
          <w:sz w:val="21"/>
        </w:rPr>
        <w:t>to</w:t>
      </w:r>
      <w:r>
        <w:rPr>
          <w:spacing w:val="40"/>
          <w:sz w:val="21"/>
        </w:rPr>
        <w:t> </w:t>
      </w:r>
      <w:r>
        <w:rPr>
          <w:sz w:val="21"/>
        </w:rPr>
        <w:t>breach</w:t>
      </w:r>
      <w:r>
        <w:rPr>
          <w:spacing w:val="58"/>
          <w:sz w:val="21"/>
        </w:rPr>
        <w:t> </w:t>
      </w:r>
      <w:r>
        <w:rPr>
          <w:sz w:val="21"/>
        </w:rPr>
        <w:t>any</w:t>
      </w:r>
      <w:r>
        <w:rPr>
          <w:sz w:val="21"/>
        </w:rPr>
        <w:t> agreement</w:t>
      </w:r>
      <w:r>
        <w:rPr>
          <w:spacing w:val="40"/>
          <w:sz w:val="21"/>
        </w:rPr>
        <w:t> </w:t>
      </w:r>
      <w:r>
        <w:rPr>
          <w:sz w:val="21"/>
        </w:rPr>
        <w:t>with</w:t>
      </w:r>
      <w:r>
        <w:rPr>
          <w:spacing w:val="40"/>
          <w:sz w:val="21"/>
        </w:rPr>
        <w:t> </w:t>
      </w:r>
      <w:r>
        <w:rPr>
          <w:sz w:val="21"/>
        </w:rPr>
        <w:t>Employer,</w:t>
      </w:r>
      <w:r>
        <w:rPr>
          <w:spacing w:val="40"/>
          <w:sz w:val="21"/>
        </w:rPr>
        <w:t> </w:t>
      </w:r>
      <w:r>
        <w:rPr>
          <w:sz w:val="21"/>
        </w:rPr>
        <w:t>including,</w:t>
      </w:r>
      <w:r>
        <w:rPr>
          <w:spacing w:val="40"/>
          <w:sz w:val="21"/>
        </w:rPr>
        <w:t> </w:t>
      </w:r>
      <w:r>
        <w:rPr>
          <w:sz w:val="21"/>
        </w:rPr>
        <w:t>but</w:t>
      </w:r>
      <w:r>
        <w:rPr>
          <w:spacing w:val="40"/>
          <w:sz w:val="21"/>
        </w:rPr>
        <w:t> </w:t>
      </w:r>
      <w:r>
        <w:rPr>
          <w:sz w:val="21"/>
        </w:rPr>
        <w:t>not</w:t>
      </w:r>
      <w:r>
        <w:rPr>
          <w:spacing w:val="40"/>
          <w:sz w:val="21"/>
        </w:rPr>
        <w:t> </w:t>
      </w:r>
      <w:r>
        <w:rPr>
          <w:sz w:val="21"/>
        </w:rPr>
        <w:t>limited</w:t>
      </w:r>
      <w:r>
        <w:rPr>
          <w:spacing w:val="40"/>
          <w:sz w:val="21"/>
        </w:rPr>
        <w:t> </w:t>
      </w:r>
      <w:r>
        <w:rPr>
          <w:sz w:val="21"/>
        </w:rPr>
        <w:t>to</w:t>
      </w:r>
      <w:r>
        <w:rPr>
          <w:spacing w:val="40"/>
          <w:sz w:val="21"/>
        </w:rPr>
        <w:t> </w:t>
      </w:r>
      <w:r>
        <w:rPr>
          <w:sz w:val="21"/>
        </w:rPr>
        <w:t>an</w:t>
      </w:r>
      <w:r>
        <w:rPr>
          <w:spacing w:val="40"/>
          <w:sz w:val="21"/>
        </w:rPr>
        <w:t> </w:t>
      </w:r>
      <w:r>
        <w:rPr>
          <w:sz w:val="21"/>
        </w:rPr>
        <w:t>agreement</w:t>
      </w:r>
      <w:r>
        <w:rPr>
          <w:spacing w:val="40"/>
          <w:sz w:val="21"/>
        </w:rPr>
        <w:t> </w:t>
      </w:r>
      <w:r>
        <w:rPr>
          <w:sz w:val="21"/>
        </w:rPr>
        <w:t>for</w:t>
      </w:r>
      <w:r>
        <w:rPr>
          <w:spacing w:val="40"/>
          <w:sz w:val="21"/>
        </w:rPr>
        <w:t> </w:t>
      </w:r>
      <w:r>
        <w:rPr>
          <w:sz w:val="21"/>
        </w:rPr>
        <w:t>non-disclosure,</w:t>
      </w:r>
      <w:r>
        <w:rPr>
          <w:spacing w:val="40"/>
          <w:sz w:val="21"/>
        </w:rPr>
        <w:t> </w:t>
      </w:r>
      <w:r>
        <w:rPr>
          <w:sz w:val="21"/>
        </w:rPr>
        <w:t>non-</w:t>
      </w:r>
      <w:r>
        <w:rPr>
          <w:spacing w:val="40"/>
          <w:sz w:val="21"/>
        </w:rPr>
        <w:t> </w:t>
      </w:r>
      <w:r>
        <w:rPr>
          <w:sz w:val="21"/>
        </w:rPr>
        <w:t>competition</w:t>
      </w:r>
      <w:r>
        <w:rPr>
          <w:spacing w:val="40"/>
          <w:sz w:val="21"/>
        </w:rPr>
        <w:t> </w:t>
      </w:r>
      <w:r>
        <w:rPr>
          <w:sz w:val="21"/>
        </w:rPr>
        <w:t>or</w:t>
      </w:r>
      <w:r>
        <w:rPr>
          <w:spacing w:val="60"/>
          <w:sz w:val="21"/>
        </w:rPr>
        <w:t> </w:t>
      </w:r>
      <w:r>
        <w:rPr>
          <w:sz w:val="21"/>
        </w:rPr>
        <w:t>non-</w:t>
      </w:r>
      <w:r>
        <w:rPr>
          <w:sz w:val="21"/>
        </w:rPr>
        <w:t> </w:t>
      </w:r>
      <w:r>
        <w:rPr>
          <w:spacing w:val="-2"/>
          <w:sz w:val="21"/>
        </w:rPr>
        <w:t>solicitation.</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67"/>
        <w:rPr>
          <w:sz w:val="21"/>
        </w:rPr>
      </w:pPr>
    </w:p>
    <w:p>
      <w:pPr>
        <w:spacing w:before="0"/>
        <w:ind w:left="24" w:right="0" w:firstLine="0"/>
        <w:jc w:val="center"/>
        <w:rPr>
          <w:sz w:val="21"/>
        </w:rPr>
      </w:pPr>
      <w:r>
        <w:rPr>
          <w:spacing w:val="-10"/>
          <w:sz w:val="21"/>
        </w:rPr>
        <w:t>6</w:t>
      </w:r>
    </w:p>
    <w:p>
      <w:pPr>
        <w:pStyle w:val="BodyText"/>
        <w:spacing w:before="6"/>
        <w:rPr>
          <w:sz w:val="4"/>
        </w:rPr>
      </w:pPr>
      <w:r>
        <w:rPr/>
        <mc:AlternateContent>
          <mc:Choice Requires="wps">
            <w:drawing>
              <wp:anchor distT="0" distB="0" distL="0" distR="0" allowOverlap="1" layoutInCell="1" locked="0" behindDoc="1" simplePos="0" relativeHeight="487805952">
                <wp:simplePos x="0" y="0"/>
                <wp:positionH relativeFrom="page">
                  <wp:posOffset>231457</wp:posOffset>
                </wp:positionH>
                <wp:positionV relativeFrom="paragraph">
                  <wp:posOffset>48257</wp:posOffset>
                </wp:positionV>
                <wp:extent cx="7312659" cy="17145"/>
                <wp:effectExtent l="0" t="0" r="0" b="0"/>
                <wp:wrapTopAndBottom/>
                <wp:docPr id="1067" name="Group 1067"/>
                <wp:cNvGraphicFramePr>
                  <a:graphicFrameLocks/>
                </wp:cNvGraphicFramePr>
                <a:graphic>
                  <a:graphicData uri="http://schemas.microsoft.com/office/word/2010/wordprocessingGroup">
                    <wpg:wgp>
                      <wpg:cNvPr id="1067" name="Group 1067"/>
                      <wpg:cNvGrpSpPr/>
                      <wpg:grpSpPr>
                        <a:xfrm>
                          <a:off x="0" y="0"/>
                          <a:ext cx="7312659" cy="17145"/>
                          <a:chExt cx="7312659" cy="17145"/>
                        </a:xfrm>
                      </wpg:grpSpPr>
                      <wps:wsp>
                        <wps:cNvPr id="1068" name="Graphic 10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69" name="Graphic 1069"/>
                        <wps:cNvSpPr/>
                        <wps:spPr>
                          <a:xfrm>
                            <a:off x="-12" y="-2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70" name="Graphic 10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10528;mso-wrap-distance-left:0;mso-wrap-distance-right:0" id="docshapegroup1065" coordorigin="364,76" coordsize="11516,27">
                <v:rect style="position:absolute;left:364;top:76;width:11516;height:14" id="docshape1066" filled="true" fillcolor="#999999" stroked="false">
                  <v:fill type="solid"/>
                </v:rect>
                <v:shape style="position:absolute;left:364;top:75;width:11516;height:27" id="docshape1067" coordorigin="364,76" coordsize="11516,27" path="m11880,76l11866,89,364,89,364,103,11866,103,11880,103,11880,89,11880,76xe" filled="true" fillcolor="#ededed" stroked="false">
                  <v:path arrowok="t"/>
                  <v:fill type="solid"/>
                </v:shape>
                <v:shape style="position:absolute;left:364;top:76;width:14;height:27" id="docshape1068" coordorigin="364,76" coordsize="14,27" path="m364,103l364,76,378,76,378,89,364,103xe" filled="true" fillcolor="#999999" stroked="false">
                  <v:path arrowok="t"/>
                  <v:fill type="solid"/>
                </v:shape>
                <w10:wrap type="topAndBottom"/>
              </v:group>
            </w:pict>
          </mc:Fallback>
        </mc:AlternateContent>
      </w:r>
    </w:p>
    <w:p>
      <w:pPr>
        <w:spacing w:after="0"/>
        <w:rPr>
          <w:sz w:val="4"/>
        </w:rPr>
        <w:sectPr>
          <w:pgSz w:w="12240" w:h="15840"/>
          <w:pgMar w:top="1640" w:bottom="280" w:left="220" w:right="240"/>
        </w:sectPr>
      </w:pPr>
    </w:p>
    <w:p>
      <w:pPr>
        <w:pStyle w:val="ListParagraph"/>
        <w:numPr>
          <w:ilvl w:val="1"/>
          <w:numId w:val="51"/>
        </w:numPr>
        <w:tabs>
          <w:tab w:pos="791" w:val="left" w:leader="none"/>
        </w:tabs>
        <w:spacing w:line="240" w:lineRule="auto" w:before="117" w:after="0"/>
        <w:ind w:left="791" w:right="0" w:hanging="323"/>
        <w:jc w:val="left"/>
        <w:rPr>
          <w:sz w:val="21"/>
        </w:rPr>
      </w:pPr>
      <w:r>
        <w:rPr>
          <w:spacing w:val="-2"/>
          <w:sz w:val="21"/>
          <w:u w:val="single"/>
        </w:rPr>
        <w:t>Confidentiali</w:t>
      </w:r>
      <w:r>
        <w:rPr>
          <w:spacing w:val="-2"/>
          <w:sz w:val="21"/>
        </w:rPr>
        <w:t>ty.</w:t>
      </w:r>
    </w:p>
    <w:p>
      <w:pPr>
        <w:pStyle w:val="BodyText"/>
        <w:spacing w:before="51"/>
        <w:rPr>
          <w:sz w:val="21"/>
        </w:rPr>
      </w:pPr>
    </w:p>
    <w:p>
      <w:pPr>
        <w:pStyle w:val="ListParagraph"/>
        <w:numPr>
          <w:ilvl w:val="2"/>
          <w:numId w:val="53"/>
        </w:numPr>
        <w:tabs>
          <w:tab w:pos="1288" w:val="left" w:leader="none"/>
        </w:tabs>
        <w:spacing w:line="213" w:lineRule="auto" w:before="0" w:after="0"/>
        <w:ind w:left="792" w:right="221" w:firstLine="0"/>
        <w:jc w:val="both"/>
        <w:rPr>
          <w:sz w:val="21"/>
        </w:rPr>
      </w:pPr>
      <w:r>
        <w:rPr>
          <w:sz w:val="21"/>
          <w:u w:val="single"/>
        </w:rPr>
        <w:t>Trade Secrets</w:t>
      </w:r>
      <w:r>
        <w:rPr>
          <w:sz w:val="21"/>
        </w:rPr>
        <w:t>. At all times during Employee’s employment with the Employer, and at all times thereafter, </w:t>
      </w:r>
      <w:r>
        <w:rPr>
          <w:sz w:val="21"/>
        </w:rPr>
        <w:t>Employee</w:t>
      </w:r>
      <w:r>
        <w:rPr>
          <w:spacing w:val="80"/>
          <w:sz w:val="21"/>
        </w:rPr>
        <w:t> </w:t>
      </w:r>
      <w:r>
        <w:rPr>
          <w:sz w:val="21"/>
        </w:rPr>
        <w:t>shall</w:t>
      </w:r>
      <w:r>
        <w:rPr>
          <w:spacing w:val="19"/>
          <w:sz w:val="21"/>
        </w:rPr>
        <w:t> </w:t>
      </w:r>
      <w:r>
        <w:rPr>
          <w:sz w:val="21"/>
        </w:rPr>
        <w:t>not</w:t>
      </w:r>
      <w:r>
        <w:rPr>
          <w:spacing w:val="19"/>
          <w:sz w:val="21"/>
        </w:rPr>
        <w:t> </w:t>
      </w:r>
      <w:r>
        <w:rPr>
          <w:sz w:val="21"/>
        </w:rPr>
        <w:t>use,</w:t>
      </w:r>
      <w:r>
        <w:rPr>
          <w:spacing w:val="19"/>
          <w:sz w:val="21"/>
        </w:rPr>
        <w:t> </w:t>
      </w:r>
      <w:r>
        <w:rPr>
          <w:sz w:val="21"/>
        </w:rPr>
        <w:t>access,</w:t>
      </w:r>
      <w:r>
        <w:rPr>
          <w:spacing w:val="19"/>
          <w:sz w:val="21"/>
        </w:rPr>
        <w:t> </w:t>
      </w:r>
      <w:r>
        <w:rPr>
          <w:sz w:val="21"/>
        </w:rPr>
        <w:t>disclose,</w:t>
      </w:r>
      <w:r>
        <w:rPr>
          <w:spacing w:val="19"/>
          <w:sz w:val="21"/>
        </w:rPr>
        <w:t> </w:t>
      </w:r>
      <w:r>
        <w:rPr>
          <w:sz w:val="21"/>
        </w:rPr>
        <w:t>make</w:t>
      </w:r>
      <w:r>
        <w:rPr>
          <w:spacing w:val="19"/>
          <w:sz w:val="21"/>
        </w:rPr>
        <w:t> </w:t>
      </w:r>
      <w:r>
        <w:rPr>
          <w:sz w:val="21"/>
        </w:rPr>
        <w:t>known</w:t>
      </w:r>
      <w:r>
        <w:rPr>
          <w:spacing w:val="19"/>
          <w:sz w:val="21"/>
        </w:rPr>
        <w:t> </w:t>
      </w:r>
      <w:r>
        <w:rPr>
          <w:sz w:val="21"/>
        </w:rPr>
        <w:t>to,</w:t>
      </w:r>
      <w:r>
        <w:rPr>
          <w:spacing w:val="19"/>
          <w:sz w:val="21"/>
        </w:rPr>
        <w:t> </w:t>
      </w:r>
      <w:r>
        <w:rPr>
          <w:sz w:val="21"/>
        </w:rPr>
        <w:t>or</w:t>
      </w:r>
      <w:r>
        <w:rPr>
          <w:spacing w:val="19"/>
          <w:sz w:val="21"/>
        </w:rPr>
        <w:t> </w:t>
      </w:r>
      <w:r>
        <w:rPr>
          <w:sz w:val="21"/>
        </w:rPr>
        <w:t>otherwise</w:t>
      </w:r>
      <w:r>
        <w:rPr>
          <w:spacing w:val="19"/>
          <w:sz w:val="21"/>
        </w:rPr>
        <w:t> </w:t>
      </w:r>
      <w:r>
        <w:rPr>
          <w:sz w:val="21"/>
        </w:rPr>
        <w:t>disseminate</w:t>
      </w:r>
      <w:r>
        <w:rPr>
          <w:spacing w:val="19"/>
          <w:sz w:val="21"/>
        </w:rPr>
        <w:t> </w:t>
      </w:r>
      <w:r>
        <w:rPr>
          <w:sz w:val="21"/>
        </w:rPr>
        <w:t>for</w:t>
      </w:r>
      <w:r>
        <w:rPr>
          <w:spacing w:val="19"/>
          <w:sz w:val="21"/>
        </w:rPr>
        <w:t> </w:t>
      </w:r>
      <w:r>
        <w:rPr>
          <w:sz w:val="21"/>
        </w:rPr>
        <w:t>personal</w:t>
      </w:r>
      <w:r>
        <w:rPr>
          <w:spacing w:val="19"/>
          <w:sz w:val="21"/>
        </w:rPr>
        <w:t> </w:t>
      </w:r>
      <w:r>
        <w:rPr>
          <w:sz w:val="21"/>
        </w:rPr>
        <w:t>gain</w:t>
      </w:r>
      <w:r>
        <w:rPr>
          <w:spacing w:val="19"/>
          <w:sz w:val="21"/>
        </w:rPr>
        <w:t> </w:t>
      </w:r>
      <w:r>
        <w:rPr>
          <w:sz w:val="21"/>
        </w:rPr>
        <w:t>or</w:t>
      </w:r>
      <w:r>
        <w:rPr>
          <w:spacing w:val="19"/>
          <w:sz w:val="21"/>
        </w:rPr>
        <w:t> </w:t>
      </w:r>
      <w:r>
        <w:rPr>
          <w:sz w:val="21"/>
        </w:rPr>
        <w:t>for</w:t>
      </w:r>
      <w:r>
        <w:rPr>
          <w:spacing w:val="19"/>
          <w:sz w:val="21"/>
        </w:rPr>
        <w:t> </w:t>
      </w:r>
      <w:r>
        <w:rPr>
          <w:sz w:val="21"/>
        </w:rPr>
        <w:t>the</w:t>
      </w:r>
      <w:r>
        <w:rPr>
          <w:spacing w:val="19"/>
          <w:sz w:val="21"/>
        </w:rPr>
        <w:t> </w:t>
      </w:r>
      <w:r>
        <w:rPr>
          <w:sz w:val="21"/>
        </w:rPr>
        <w:t>benefit</w:t>
      </w:r>
      <w:r>
        <w:rPr>
          <w:spacing w:val="19"/>
          <w:sz w:val="21"/>
        </w:rPr>
        <w:t> </w:t>
      </w:r>
      <w:r>
        <w:rPr>
          <w:sz w:val="21"/>
        </w:rPr>
        <w:t>of</w:t>
      </w:r>
      <w:r>
        <w:rPr>
          <w:spacing w:val="19"/>
          <w:sz w:val="21"/>
        </w:rPr>
        <w:t> </w:t>
      </w:r>
      <w:r>
        <w:rPr>
          <w:sz w:val="21"/>
        </w:rPr>
        <w:t>a</w:t>
      </w:r>
      <w:r>
        <w:rPr>
          <w:spacing w:val="19"/>
          <w:sz w:val="21"/>
        </w:rPr>
        <w:t> </w:t>
      </w:r>
      <w:r>
        <w:rPr>
          <w:sz w:val="21"/>
        </w:rPr>
        <w:t>third</w:t>
      </w:r>
      <w:r>
        <w:rPr>
          <w:spacing w:val="19"/>
          <w:sz w:val="21"/>
        </w:rPr>
        <w:t> </w:t>
      </w:r>
      <w:r>
        <w:rPr>
          <w:sz w:val="21"/>
        </w:rPr>
        <w:t>party (or</w:t>
      </w:r>
      <w:r>
        <w:rPr>
          <w:spacing w:val="40"/>
          <w:sz w:val="21"/>
        </w:rPr>
        <w:t> </w:t>
      </w:r>
      <w:r>
        <w:rPr>
          <w:sz w:val="21"/>
        </w:rPr>
        <w:t>induce,</w:t>
      </w:r>
      <w:r>
        <w:rPr>
          <w:spacing w:val="40"/>
          <w:sz w:val="21"/>
        </w:rPr>
        <w:t> </w:t>
      </w:r>
      <w:r>
        <w:rPr>
          <w:sz w:val="21"/>
        </w:rPr>
        <w:t>encourage</w:t>
      </w:r>
      <w:r>
        <w:rPr>
          <w:spacing w:val="40"/>
          <w:sz w:val="21"/>
        </w:rPr>
        <w:t> </w:t>
      </w:r>
      <w:r>
        <w:rPr>
          <w:sz w:val="21"/>
        </w:rPr>
        <w:t>or</w:t>
      </w:r>
      <w:r>
        <w:rPr>
          <w:spacing w:val="40"/>
          <w:sz w:val="21"/>
        </w:rPr>
        <w:t> </w:t>
      </w:r>
      <w:r>
        <w:rPr>
          <w:sz w:val="21"/>
        </w:rPr>
        <w:t>assist</w:t>
      </w:r>
      <w:r>
        <w:rPr>
          <w:spacing w:val="40"/>
          <w:sz w:val="21"/>
        </w:rPr>
        <w:t> </w:t>
      </w:r>
      <w:r>
        <w:rPr>
          <w:sz w:val="21"/>
        </w:rPr>
        <w:t>others</w:t>
      </w:r>
      <w:r>
        <w:rPr>
          <w:spacing w:val="40"/>
          <w:sz w:val="21"/>
        </w:rPr>
        <w:t> </w:t>
      </w:r>
      <w:r>
        <w:rPr>
          <w:sz w:val="21"/>
        </w:rPr>
        <w:t>in</w:t>
      </w:r>
      <w:r>
        <w:rPr>
          <w:spacing w:val="40"/>
          <w:sz w:val="21"/>
        </w:rPr>
        <w:t> </w:t>
      </w:r>
      <w:r>
        <w:rPr>
          <w:sz w:val="21"/>
        </w:rPr>
        <w:t>doing</w:t>
      </w:r>
      <w:r>
        <w:rPr>
          <w:spacing w:val="40"/>
          <w:sz w:val="21"/>
        </w:rPr>
        <w:t> </w:t>
      </w:r>
      <w:r>
        <w:rPr>
          <w:sz w:val="21"/>
        </w:rPr>
        <w:t>any</w:t>
      </w:r>
      <w:r>
        <w:rPr>
          <w:spacing w:val="40"/>
          <w:sz w:val="21"/>
        </w:rPr>
        <w:t> </w:t>
      </w:r>
      <w:r>
        <w:rPr>
          <w:sz w:val="21"/>
        </w:rPr>
        <w:t>of</w:t>
      </w:r>
      <w:r>
        <w:rPr>
          <w:spacing w:val="40"/>
          <w:sz w:val="21"/>
        </w:rPr>
        <w:t> </w:t>
      </w:r>
      <w:r>
        <w:rPr>
          <w:sz w:val="21"/>
        </w:rPr>
        <w:t>the</w:t>
      </w:r>
      <w:r>
        <w:rPr>
          <w:spacing w:val="40"/>
          <w:sz w:val="21"/>
        </w:rPr>
        <w:t> </w:t>
      </w:r>
      <w:r>
        <w:rPr>
          <w:sz w:val="21"/>
        </w:rPr>
        <w:t>foregoing</w:t>
      </w:r>
      <w:r>
        <w:rPr>
          <w:spacing w:val="40"/>
          <w:sz w:val="21"/>
        </w:rPr>
        <w:t> </w:t>
      </w:r>
      <w:r>
        <w:rPr>
          <w:sz w:val="21"/>
        </w:rPr>
        <w:t>acts)</w:t>
      </w:r>
      <w:r>
        <w:rPr>
          <w:spacing w:val="40"/>
          <w:sz w:val="21"/>
        </w:rPr>
        <w:t> </w:t>
      </w:r>
      <w:r>
        <w:rPr>
          <w:sz w:val="21"/>
        </w:rPr>
        <w:t>any</w:t>
      </w:r>
      <w:r>
        <w:rPr>
          <w:spacing w:val="40"/>
          <w:sz w:val="21"/>
        </w:rPr>
        <w:t> </w:t>
      </w:r>
      <w:r>
        <w:rPr>
          <w:sz w:val="21"/>
        </w:rPr>
        <w:t>Employer</w:t>
      </w:r>
      <w:r>
        <w:rPr>
          <w:spacing w:val="40"/>
          <w:sz w:val="21"/>
        </w:rPr>
        <w:t> </w:t>
      </w:r>
      <w:r>
        <w:rPr>
          <w:sz w:val="21"/>
        </w:rPr>
        <w:t>or</w:t>
      </w:r>
      <w:r>
        <w:rPr>
          <w:spacing w:val="40"/>
          <w:sz w:val="21"/>
        </w:rPr>
        <w:t> </w:t>
      </w:r>
      <w:r>
        <w:rPr>
          <w:sz w:val="21"/>
        </w:rPr>
        <w:t>Company</w:t>
      </w:r>
      <w:r>
        <w:rPr>
          <w:spacing w:val="40"/>
          <w:sz w:val="21"/>
        </w:rPr>
        <w:t> </w:t>
      </w:r>
      <w:r>
        <w:rPr>
          <w:sz w:val="21"/>
        </w:rPr>
        <w:t>“Trade</w:t>
      </w:r>
      <w:r>
        <w:rPr>
          <w:spacing w:val="40"/>
          <w:sz w:val="21"/>
        </w:rPr>
        <w:t> </w:t>
      </w:r>
      <w:r>
        <w:rPr>
          <w:sz w:val="21"/>
        </w:rPr>
        <w:t>Secrets” (defined below) for any purpose whatsoever. “Trade Secrets” are defined in a manner consistent with the broadest</w:t>
      </w:r>
      <w:r>
        <w:rPr>
          <w:spacing w:val="80"/>
          <w:sz w:val="21"/>
        </w:rPr>
        <w:t> </w:t>
      </w:r>
      <w:r>
        <w:rPr>
          <w:sz w:val="21"/>
        </w:rPr>
        <w:t>interpretation of the law of the state in which Employee was last employed and shall include, without limitation, formulas, inventions, patterns, compilations, vendor lists, customer lists, contracts, business plans and practices, marketing plans and practices,</w:t>
      </w:r>
      <w:r>
        <w:rPr>
          <w:spacing w:val="40"/>
          <w:sz w:val="21"/>
        </w:rPr>
        <w:t> </w:t>
      </w:r>
      <w:r>
        <w:rPr>
          <w:sz w:val="21"/>
        </w:rPr>
        <w:t>financial</w:t>
      </w:r>
      <w:r>
        <w:rPr>
          <w:spacing w:val="40"/>
          <w:sz w:val="21"/>
        </w:rPr>
        <w:t> </w:t>
      </w:r>
      <w:r>
        <w:rPr>
          <w:sz w:val="21"/>
        </w:rPr>
        <w:t>plans</w:t>
      </w:r>
      <w:r>
        <w:rPr>
          <w:spacing w:val="40"/>
          <w:sz w:val="21"/>
        </w:rPr>
        <w:t> </w:t>
      </w:r>
      <w:r>
        <w:rPr>
          <w:sz w:val="21"/>
        </w:rPr>
        <w:t>and</w:t>
      </w:r>
      <w:r>
        <w:rPr>
          <w:spacing w:val="40"/>
          <w:sz w:val="21"/>
        </w:rPr>
        <w:t> </w:t>
      </w:r>
      <w:r>
        <w:rPr>
          <w:sz w:val="21"/>
        </w:rPr>
        <w:t>practices,</w:t>
      </w:r>
      <w:r>
        <w:rPr>
          <w:spacing w:val="40"/>
          <w:sz w:val="21"/>
        </w:rPr>
        <w:t> </w:t>
      </w:r>
      <w:r>
        <w:rPr>
          <w:sz w:val="21"/>
        </w:rPr>
        <w:t>programs,</w:t>
      </w:r>
      <w:r>
        <w:rPr>
          <w:spacing w:val="40"/>
          <w:sz w:val="21"/>
        </w:rPr>
        <w:t> </w:t>
      </w:r>
      <w:r>
        <w:rPr>
          <w:sz w:val="21"/>
        </w:rPr>
        <w:t>devices,</w:t>
      </w:r>
      <w:r>
        <w:rPr>
          <w:spacing w:val="40"/>
          <w:sz w:val="21"/>
        </w:rPr>
        <w:t> </w:t>
      </w:r>
      <w:r>
        <w:rPr>
          <w:sz w:val="21"/>
        </w:rPr>
        <w:t>methods,</w:t>
      </w:r>
      <w:r>
        <w:rPr>
          <w:spacing w:val="40"/>
          <w:sz w:val="21"/>
        </w:rPr>
        <w:t> </w:t>
      </w:r>
      <w:r>
        <w:rPr>
          <w:sz w:val="21"/>
        </w:rPr>
        <w:t>know-hows,</w:t>
      </w:r>
      <w:r>
        <w:rPr>
          <w:spacing w:val="40"/>
          <w:sz w:val="21"/>
        </w:rPr>
        <w:t> </w:t>
      </w:r>
      <w:r>
        <w:rPr>
          <w:sz w:val="21"/>
        </w:rPr>
        <w:t>techniques</w:t>
      </w:r>
      <w:r>
        <w:rPr>
          <w:spacing w:val="40"/>
          <w:sz w:val="21"/>
        </w:rPr>
        <w:t> </w:t>
      </w:r>
      <w:r>
        <w:rPr>
          <w:sz w:val="21"/>
        </w:rPr>
        <w:t>or</w:t>
      </w:r>
      <w:r>
        <w:rPr>
          <w:spacing w:val="40"/>
          <w:sz w:val="21"/>
        </w:rPr>
        <w:t> </w:t>
      </w:r>
      <w:r>
        <w:rPr>
          <w:sz w:val="21"/>
        </w:rPr>
        <w:t>processes,</w:t>
      </w:r>
      <w:r>
        <w:rPr>
          <w:spacing w:val="40"/>
          <w:sz w:val="21"/>
        </w:rPr>
        <w:t> </w:t>
      </w:r>
      <w:r>
        <w:rPr>
          <w:sz w:val="21"/>
        </w:rPr>
        <w:t>any</w:t>
      </w:r>
      <w:r>
        <w:rPr>
          <w:spacing w:val="40"/>
          <w:sz w:val="21"/>
        </w:rPr>
        <w:t> </w:t>
      </w:r>
      <w:r>
        <w:rPr>
          <w:sz w:val="21"/>
        </w:rPr>
        <w:t>of</w:t>
      </w:r>
      <w:r>
        <w:rPr>
          <w:spacing w:val="40"/>
          <w:sz w:val="21"/>
        </w:rPr>
        <w:t> </w:t>
      </w:r>
      <w:r>
        <w:rPr>
          <w:sz w:val="21"/>
        </w:rPr>
        <w:t>which derive</w:t>
      </w:r>
      <w:r>
        <w:rPr>
          <w:spacing w:val="40"/>
          <w:sz w:val="21"/>
        </w:rPr>
        <w:t> </w:t>
      </w:r>
      <w:r>
        <w:rPr>
          <w:sz w:val="21"/>
        </w:rPr>
        <w:t>economic</w:t>
      </w:r>
      <w:r>
        <w:rPr>
          <w:spacing w:val="40"/>
          <w:sz w:val="21"/>
        </w:rPr>
        <w:t> </w:t>
      </w:r>
      <w:r>
        <w:rPr>
          <w:sz w:val="21"/>
        </w:rPr>
        <w:t>value,</w:t>
      </w:r>
      <w:r>
        <w:rPr>
          <w:spacing w:val="40"/>
          <w:sz w:val="21"/>
        </w:rPr>
        <w:t> </w:t>
      </w:r>
      <w:r>
        <w:rPr>
          <w:sz w:val="21"/>
        </w:rPr>
        <w:t>present</w:t>
      </w:r>
      <w:r>
        <w:rPr>
          <w:spacing w:val="40"/>
          <w:sz w:val="21"/>
        </w:rPr>
        <w:t> </w:t>
      </w:r>
      <w:r>
        <w:rPr>
          <w:sz w:val="21"/>
        </w:rPr>
        <w:t>or</w:t>
      </w:r>
      <w:r>
        <w:rPr>
          <w:spacing w:val="40"/>
          <w:sz w:val="21"/>
        </w:rPr>
        <w:t> </w:t>
      </w:r>
      <w:r>
        <w:rPr>
          <w:sz w:val="21"/>
        </w:rPr>
        <w:t>potential,</w:t>
      </w:r>
      <w:r>
        <w:rPr>
          <w:spacing w:val="40"/>
          <w:sz w:val="21"/>
        </w:rPr>
        <w:t> </w:t>
      </w:r>
      <w:r>
        <w:rPr>
          <w:sz w:val="21"/>
        </w:rPr>
        <w:t>from</w:t>
      </w:r>
      <w:r>
        <w:rPr>
          <w:spacing w:val="40"/>
          <w:sz w:val="21"/>
        </w:rPr>
        <w:t> </w:t>
      </w:r>
      <w:r>
        <w:rPr>
          <w:sz w:val="21"/>
        </w:rPr>
        <w:t>not</w:t>
      </w:r>
      <w:r>
        <w:rPr>
          <w:spacing w:val="40"/>
          <w:sz w:val="21"/>
        </w:rPr>
        <w:t> </w:t>
      </w:r>
      <w:r>
        <w:rPr>
          <w:sz w:val="21"/>
        </w:rPr>
        <w:t>being</w:t>
      </w:r>
      <w:r>
        <w:rPr>
          <w:spacing w:val="40"/>
          <w:sz w:val="21"/>
        </w:rPr>
        <w:t> </w:t>
      </w:r>
      <w:r>
        <w:rPr>
          <w:sz w:val="21"/>
        </w:rPr>
        <w:t>generally</w:t>
      </w:r>
      <w:r>
        <w:rPr>
          <w:spacing w:val="40"/>
          <w:sz w:val="21"/>
        </w:rPr>
        <w:t> </w:t>
      </w:r>
      <w:r>
        <w:rPr>
          <w:sz w:val="21"/>
        </w:rPr>
        <w:t>known</w:t>
      </w:r>
      <w:r>
        <w:rPr>
          <w:spacing w:val="40"/>
          <w:sz w:val="21"/>
        </w:rPr>
        <w:t> </w:t>
      </w:r>
      <w:r>
        <w:rPr>
          <w:sz w:val="21"/>
        </w:rPr>
        <w:t>to,</w:t>
      </w:r>
      <w:r>
        <w:rPr>
          <w:spacing w:val="40"/>
          <w:sz w:val="21"/>
        </w:rPr>
        <w:t> </w:t>
      </w:r>
      <w:r>
        <w:rPr>
          <w:sz w:val="21"/>
        </w:rPr>
        <w:t>and</w:t>
      </w:r>
      <w:r>
        <w:rPr>
          <w:spacing w:val="40"/>
          <w:sz w:val="21"/>
        </w:rPr>
        <w:t> </w:t>
      </w:r>
      <w:r>
        <w:rPr>
          <w:sz w:val="21"/>
        </w:rPr>
        <w:t>not</w:t>
      </w:r>
      <w:r>
        <w:rPr>
          <w:spacing w:val="40"/>
          <w:sz w:val="21"/>
        </w:rPr>
        <w:t> </w:t>
      </w:r>
      <w:r>
        <w:rPr>
          <w:sz w:val="21"/>
        </w:rPr>
        <w:t>being</w:t>
      </w:r>
      <w:r>
        <w:rPr>
          <w:spacing w:val="40"/>
          <w:sz w:val="21"/>
        </w:rPr>
        <w:t> </w:t>
      </w:r>
      <w:r>
        <w:rPr>
          <w:sz w:val="21"/>
        </w:rPr>
        <w:t>readily</w:t>
      </w:r>
      <w:r>
        <w:rPr>
          <w:spacing w:val="40"/>
          <w:sz w:val="21"/>
        </w:rPr>
        <w:t> </w:t>
      </w:r>
      <w:r>
        <w:rPr>
          <w:sz w:val="21"/>
        </w:rPr>
        <w:t>ascertainable</w:t>
      </w:r>
      <w:r>
        <w:rPr>
          <w:spacing w:val="40"/>
          <w:sz w:val="21"/>
        </w:rPr>
        <w:t> </w:t>
      </w:r>
      <w:r>
        <w:rPr>
          <w:sz w:val="21"/>
        </w:rPr>
        <w:t>by proper means by, other persons who may or could obtain any economic value from its disclosure or use, including but not limited to the general public.</w:t>
      </w:r>
    </w:p>
    <w:p>
      <w:pPr>
        <w:pStyle w:val="ListParagraph"/>
        <w:numPr>
          <w:ilvl w:val="2"/>
          <w:numId w:val="53"/>
        </w:numPr>
        <w:tabs>
          <w:tab w:pos="1288" w:val="left" w:leader="none"/>
        </w:tabs>
        <w:spacing w:line="213" w:lineRule="auto" w:before="227" w:after="0"/>
        <w:ind w:left="792" w:right="220" w:firstLine="0"/>
        <w:jc w:val="both"/>
        <w:rPr>
          <w:sz w:val="21"/>
        </w:rPr>
      </w:pPr>
      <w:r>
        <w:rPr>
          <w:sz w:val="21"/>
          <w:u w:val="single"/>
        </w:rPr>
        <w:t>Confidential Information</w:t>
      </w:r>
      <w:r>
        <w:rPr>
          <w:sz w:val="21"/>
        </w:rPr>
        <w:t>. At all times during Employee’s employment with Employer and thereafter, Employee shall</w:t>
      </w:r>
      <w:r>
        <w:rPr>
          <w:spacing w:val="80"/>
          <w:sz w:val="21"/>
        </w:rPr>
        <w:t> </w:t>
      </w:r>
      <w:r>
        <w:rPr>
          <w:sz w:val="21"/>
        </w:rPr>
        <w:t>not,</w:t>
      </w:r>
      <w:r>
        <w:rPr>
          <w:spacing w:val="40"/>
          <w:sz w:val="21"/>
        </w:rPr>
        <w:t> </w:t>
      </w:r>
      <w:r>
        <w:rPr>
          <w:sz w:val="21"/>
        </w:rPr>
        <w:t>without</w:t>
      </w:r>
      <w:r>
        <w:rPr>
          <w:spacing w:val="40"/>
          <w:sz w:val="21"/>
        </w:rPr>
        <w:t> </w:t>
      </w:r>
      <w:r>
        <w:rPr>
          <w:sz w:val="21"/>
        </w:rPr>
        <w:t>the</w:t>
      </w:r>
      <w:r>
        <w:rPr>
          <w:spacing w:val="40"/>
          <w:sz w:val="21"/>
        </w:rPr>
        <w:t> </w:t>
      </w:r>
      <w:r>
        <w:rPr>
          <w:sz w:val="21"/>
        </w:rPr>
        <w:t>prior</w:t>
      </w:r>
      <w:r>
        <w:rPr>
          <w:spacing w:val="40"/>
          <w:sz w:val="21"/>
        </w:rPr>
        <w:t> </w:t>
      </w:r>
      <w:r>
        <w:rPr>
          <w:sz w:val="21"/>
        </w:rPr>
        <w:t>written</w:t>
      </w:r>
      <w:r>
        <w:rPr>
          <w:spacing w:val="40"/>
          <w:sz w:val="21"/>
        </w:rPr>
        <w:t> </w:t>
      </w:r>
      <w:r>
        <w:rPr>
          <w:sz w:val="21"/>
        </w:rPr>
        <w:t>consent</w:t>
      </w:r>
      <w:r>
        <w:rPr>
          <w:spacing w:val="40"/>
          <w:sz w:val="21"/>
        </w:rPr>
        <w:t> </w:t>
      </w:r>
      <w:r>
        <w:rPr>
          <w:sz w:val="21"/>
        </w:rPr>
        <w:t>of</w:t>
      </w:r>
      <w:r>
        <w:rPr>
          <w:spacing w:val="40"/>
          <w:sz w:val="21"/>
        </w:rPr>
        <w:t> </w:t>
      </w:r>
      <w:r>
        <w:rPr>
          <w:sz w:val="21"/>
        </w:rPr>
        <w:t>the</w:t>
      </w:r>
      <w:r>
        <w:rPr>
          <w:spacing w:val="40"/>
          <w:sz w:val="21"/>
        </w:rPr>
        <w:t> </w:t>
      </w:r>
      <w:r>
        <w:rPr>
          <w:sz w:val="21"/>
        </w:rPr>
        <w:t>Employer’s</w:t>
      </w:r>
      <w:r>
        <w:rPr>
          <w:spacing w:val="40"/>
          <w:sz w:val="21"/>
        </w:rPr>
        <w:t> </w:t>
      </w:r>
      <w:r>
        <w:rPr>
          <w:sz w:val="21"/>
        </w:rPr>
        <w:t>Chief</w:t>
      </w:r>
      <w:r>
        <w:rPr>
          <w:spacing w:val="40"/>
          <w:sz w:val="21"/>
        </w:rPr>
        <w:t> </w:t>
      </w:r>
      <w:r>
        <w:rPr>
          <w:sz w:val="21"/>
        </w:rPr>
        <w:t>Executive</w:t>
      </w:r>
      <w:r>
        <w:rPr>
          <w:spacing w:val="40"/>
          <w:sz w:val="21"/>
        </w:rPr>
        <w:t> </w:t>
      </w:r>
      <w:r>
        <w:rPr>
          <w:sz w:val="21"/>
        </w:rPr>
        <w:t>Officer,</w:t>
      </w:r>
      <w:r>
        <w:rPr>
          <w:spacing w:val="40"/>
          <w:sz w:val="21"/>
        </w:rPr>
        <w:t> </w:t>
      </w:r>
      <w:r>
        <w:rPr>
          <w:sz w:val="21"/>
        </w:rPr>
        <w:t>Chief</w:t>
      </w:r>
      <w:r>
        <w:rPr>
          <w:spacing w:val="40"/>
          <w:sz w:val="21"/>
        </w:rPr>
        <w:t> </w:t>
      </w:r>
      <w:r>
        <w:rPr>
          <w:sz w:val="21"/>
        </w:rPr>
        <w:t>Operating</w:t>
      </w:r>
      <w:r>
        <w:rPr>
          <w:spacing w:val="40"/>
          <w:sz w:val="21"/>
        </w:rPr>
        <w:t> </w:t>
      </w:r>
      <w:r>
        <w:rPr>
          <w:sz w:val="21"/>
        </w:rPr>
        <w:t>Officer,</w:t>
      </w:r>
      <w:r>
        <w:rPr>
          <w:spacing w:val="40"/>
          <w:sz w:val="21"/>
        </w:rPr>
        <w:t> </w:t>
      </w:r>
      <w:r>
        <w:rPr>
          <w:sz w:val="21"/>
        </w:rPr>
        <w:t>President,</w:t>
      </w:r>
      <w:r>
        <w:rPr>
          <w:spacing w:val="40"/>
          <w:sz w:val="21"/>
        </w:rPr>
        <w:t> </w:t>
      </w:r>
      <w:r>
        <w:rPr>
          <w:sz w:val="21"/>
        </w:rPr>
        <w:t>or Chief</w:t>
      </w:r>
      <w:r>
        <w:rPr>
          <w:spacing w:val="40"/>
          <w:sz w:val="21"/>
        </w:rPr>
        <w:t> </w:t>
      </w:r>
      <w:r>
        <w:rPr>
          <w:sz w:val="21"/>
        </w:rPr>
        <w:t>Legal</w:t>
      </w:r>
      <w:r>
        <w:rPr>
          <w:spacing w:val="40"/>
          <w:sz w:val="21"/>
        </w:rPr>
        <w:t> </w:t>
      </w:r>
      <w:r>
        <w:rPr>
          <w:sz w:val="21"/>
        </w:rPr>
        <w:t>Officer</w:t>
      </w:r>
      <w:r>
        <w:rPr>
          <w:spacing w:val="40"/>
          <w:sz w:val="21"/>
        </w:rPr>
        <w:t> </w:t>
      </w:r>
      <w:r>
        <w:rPr>
          <w:sz w:val="21"/>
        </w:rPr>
        <w:t>(or</w:t>
      </w:r>
      <w:r>
        <w:rPr>
          <w:spacing w:val="40"/>
          <w:sz w:val="21"/>
        </w:rPr>
        <w:t> </w:t>
      </w:r>
      <w:r>
        <w:rPr>
          <w:sz w:val="21"/>
        </w:rPr>
        <w:t>General</w:t>
      </w:r>
      <w:r>
        <w:rPr>
          <w:spacing w:val="40"/>
          <w:sz w:val="21"/>
        </w:rPr>
        <w:t> </w:t>
      </w:r>
      <w:r>
        <w:rPr>
          <w:sz w:val="21"/>
        </w:rPr>
        <w:t>Counsel,</w:t>
      </w:r>
      <w:r>
        <w:rPr>
          <w:spacing w:val="40"/>
          <w:sz w:val="21"/>
        </w:rPr>
        <w:t> </w:t>
      </w:r>
      <w:r>
        <w:rPr>
          <w:sz w:val="21"/>
        </w:rPr>
        <w:t>as</w:t>
      </w:r>
      <w:r>
        <w:rPr>
          <w:spacing w:val="40"/>
          <w:sz w:val="21"/>
        </w:rPr>
        <w:t> </w:t>
      </w:r>
      <w:r>
        <w:rPr>
          <w:sz w:val="21"/>
        </w:rPr>
        <w:t>applicable),</w:t>
      </w:r>
      <w:r>
        <w:rPr>
          <w:spacing w:val="40"/>
          <w:sz w:val="21"/>
        </w:rPr>
        <w:t> </w:t>
      </w:r>
      <w:r>
        <w:rPr>
          <w:sz w:val="21"/>
        </w:rPr>
        <w:t>in</w:t>
      </w:r>
      <w:r>
        <w:rPr>
          <w:spacing w:val="40"/>
          <w:sz w:val="21"/>
        </w:rPr>
        <w:t> </w:t>
      </w:r>
      <w:r>
        <w:rPr>
          <w:sz w:val="21"/>
        </w:rPr>
        <w:t>each</w:t>
      </w:r>
      <w:r>
        <w:rPr>
          <w:spacing w:val="40"/>
          <w:sz w:val="21"/>
        </w:rPr>
        <w:t> </w:t>
      </w:r>
      <w:r>
        <w:rPr>
          <w:sz w:val="21"/>
        </w:rPr>
        <w:t>and</w:t>
      </w:r>
      <w:r>
        <w:rPr>
          <w:spacing w:val="40"/>
          <w:sz w:val="21"/>
        </w:rPr>
        <w:t> </w:t>
      </w:r>
      <w:r>
        <w:rPr>
          <w:sz w:val="21"/>
        </w:rPr>
        <w:t>every</w:t>
      </w:r>
      <w:r>
        <w:rPr>
          <w:spacing w:val="40"/>
          <w:sz w:val="21"/>
        </w:rPr>
        <w:t> </w:t>
      </w:r>
      <w:r>
        <w:rPr>
          <w:sz w:val="21"/>
        </w:rPr>
        <w:t>instance--such</w:t>
      </w:r>
      <w:r>
        <w:rPr>
          <w:spacing w:val="40"/>
          <w:sz w:val="21"/>
        </w:rPr>
        <w:t> </w:t>
      </w:r>
      <w:r>
        <w:rPr>
          <w:sz w:val="21"/>
        </w:rPr>
        <w:t>consent</w:t>
      </w:r>
      <w:r>
        <w:rPr>
          <w:spacing w:val="40"/>
          <w:sz w:val="21"/>
        </w:rPr>
        <w:t> </w:t>
      </w:r>
      <w:r>
        <w:rPr>
          <w:sz w:val="21"/>
        </w:rPr>
        <w:t>to</w:t>
      </w:r>
      <w:r>
        <w:rPr>
          <w:spacing w:val="40"/>
          <w:sz w:val="21"/>
        </w:rPr>
        <w:t> </w:t>
      </w:r>
      <w:r>
        <w:rPr>
          <w:sz w:val="21"/>
        </w:rPr>
        <w:t>be</w:t>
      </w:r>
      <w:r>
        <w:rPr>
          <w:spacing w:val="40"/>
          <w:sz w:val="21"/>
        </w:rPr>
        <w:t> </w:t>
      </w:r>
      <w:r>
        <w:rPr>
          <w:sz w:val="21"/>
        </w:rPr>
        <w:t>within</w:t>
      </w:r>
      <w:r>
        <w:rPr>
          <w:spacing w:val="40"/>
          <w:sz w:val="21"/>
        </w:rPr>
        <w:t> </w:t>
      </w:r>
      <w:r>
        <w:rPr>
          <w:sz w:val="21"/>
        </w:rPr>
        <w:t>the Employer’s sole and absolute discretion--use, disclose or make known to any person, entity or other third party outside of Employer</w:t>
      </w:r>
      <w:r>
        <w:rPr>
          <w:spacing w:val="40"/>
          <w:sz w:val="21"/>
        </w:rPr>
        <w:t> </w:t>
      </w:r>
      <w:r>
        <w:rPr>
          <w:sz w:val="21"/>
        </w:rPr>
        <w:t>or</w:t>
      </w:r>
      <w:r>
        <w:rPr>
          <w:spacing w:val="40"/>
          <w:sz w:val="21"/>
        </w:rPr>
        <w:t> </w:t>
      </w:r>
      <w:r>
        <w:rPr>
          <w:sz w:val="21"/>
        </w:rPr>
        <w:t>Company</w:t>
      </w:r>
      <w:r>
        <w:rPr>
          <w:spacing w:val="40"/>
          <w:sz w:val="21"/>
        </w:rPr>
        <w:t> </w:t>
      </w:r>
      <w:r>
        <w:rPr>
          <w:sz w:val="21"/>
        </w:rPr>
        <w:t>any</w:t>
      </w:r>
      <w:r>
        <w:rPr>
          <w:spacing w:val="40"/>
          <w:sz w:val="21"/>
        </w:rPr>
        <w:t> </w:t>
      </w:r>
      <w:r>
        <w:rPr>
          <w:sz w:val="21"/>
        </w:rPr>
        <w:t>“Confidential</w:t>
      </w:r>
      <w:r>
        <w:rPr>
          <w:spacing w:val="40"/>
          <w:sz w:val="21"/>
        </w:rPr>
        <w:t> </w:t>
      </w:r>
      <w:r>
        <w:rPr>
          <w:sz w:val="21"/>
        </w:rPr>
        <w:t>Information”</w:t>
      </w:r>
      <w:r>
        <w:rPr>
          <w:spacing w:val="40"/>
          <w:sz w:val="21"/>
        </w:rPr>
        <w:t> </w:t>
      </w:r>
      <w:r>
        <w:rPr>
          <w:sz w:val="21"/>
        </w:rPr>
        <w:t>(defined</w:t>
      </w:r>
      <w:r>
        <w:rPr>
          <w:spacing w:val="40"/>
          <w:sz w:val="21"/>
        </w:rPr>
        <w:t> </w:t>
      </w:r>
      <w:r>
        <w:rPr>
          <w:sz w:val="21"/>
        </w:rPr>
        <w:t>below)</w:t>
      </w:r>
      <w:r>
        <w:rPr>
          <w:spacing w:val="40"/>
          <w:sz w:val="21"/>
        </w:rPr>
        <w:t> </w:t>
      </w:r>
      <w:r>
        <w:rPr>
          <w:sz w:val="21"/>
        </w:rPr>
        <w:t>belonging</w:t>
      </w:r>
      <w:r>
        <w:rPr>
          <w:spacing w:val="40"/>
          <w:sz w:val="21"/>
        </w:rPr>
        <w:t> </w:t>
      </w:r>
      <w:r>
        <w:rPr>
          <w:sz w:val="21"/>
        </w:rPr>
        <w:t>to</w:t>
      </w:r>
      <w:r>
        <w:rPr>
          <w:spacing w:val="40"/>
          <w:sz w:val="21"/>
        </w:rPr>
        <w:t> </w:t>
      </w:r>
      <w:r>
        <w:rPr>
          <w:sz w:val="21"/>
        </w:rPr>
        <w:t>Employer</w:t>
      </w:r>
      <w:r>
        <w:rPr>
          <w:spacing w:val="40"/>
          <w:sz w:val="21"/>
        </w:rPr>
        <w:t> </w:t>
      </w:r>
      <w:r>
        <w:rPr>
          <w:sz w:val="21"/>
        </w:rPr>
        <w:t>or</w:t>
      </w:r>
      <w:r>
        <w:rPr>
          <w:spacing w:val="40"/>
          <w:sz w:val="21"/>
        </w:rPr>
        <w:t> </w:t>
      </w:r>
      <w:r>
        <w:rPr>
          <w:sz w:val="21"/>
        </w:rPr>
        <w:t>the</w:t>
      </w:r>
      <w:r>
        <w:rPr>
          <w:spacing w:val="40"/>
          <w:sz w:val="21"/>
        </w:rPr>
        <w:t> </w:t>
      </w:r>
      <w:r>
        <w:rPr>
          <w:sz w:val="21"/>
        </w:rPr>
        <w:t>Company.</w:t>
      </w:r>
      <w:r>
        <w:rPr>
          <w:spacing w:val="40"/>
          <w:sz w:val="21"/>
        </w:rPr>
        <w:t> </w:t>
      </w:r>
      <w:r>
        <w:rPr>
          <w:sz w:val="21"/>
        </w:rPr>
        <w:t>For purposes of this Agreement Confidential Information includes, but is not limited to, Employer’s Business Contacts; business plans, practices, and procedures; contractual relationships; financial information, operations or plans; financial management systems; marketing practices and procedures; management policies; customer databases; client and customer lists; the</w:t>
      </w:r>
      <w:r>
        <w:rPr>
          <w:spacing w:val="80"/>
          <w:w w:val="150"/>
          <w:sz w:val="21"/>
        </w:rPr>
        <w:t> </w:t>
      </w:r>
      <w:r>
        <w:rPr>
          <w:sz w:val="21"/>
        </w:rPr>
        <w:t>identities and contact information for customers, players, and/or guests; pricing systems pertaining to all goods and services offered by Employer; and any information regarding Employer’s marketing, financial plans and practices, and business operation</w:t>
      </w:r>
      <w:r>
        <w:rPr>
          <w:spacing w:val="37"/>
          <w:sz w:val="21"/>
        </w:rPr>
        <w:t> </w:t>
      </w:r>
      <w:r>
        <w:rPr>
          <w:sz w:val="21"/>
        </w:rPr>
        <w:t>whatsoever</w:t>
      </w:r>
      <w:r>
        <w:rPr>
          <w:spacing w:val="37"/>
          <w:sz w:val="21"/>
        </w:rPr>
        <w:t> </w:t>
      </w:r>
      <w:r>
        <w:rPr>
          <w:sz w:val="21"/>
        </w:rPr>
        <w:t>that</w:t>
      </w:r>
      <w:r>
        <w:rPr>
          <w:spacing w:val="37"/>
          <w:sz w:val="21"/>
        </w:rPr>
        <w:t> </w:t>
      </w:r>
      <w:r>
        <w:rPr>
          <w:sz w:val="21"/>
        </w:rPr>
        <w:t>a</w:t>
      </w:r>
      <w:r>
        <w:rPr>
          <w:spacing w:val="37"/>
          <w:sz w:val="21"/>
        </w:rPr>
        <w:t> </w:t>
      </w:r>
      <w:r>
        <w:rPr>
          <w:sz w:val="21"/>
        </w:rPr>
        <w:t>reasonable</w:t>
      </w:r>
      <w:r>
        <w:rPr>
          <w:spacing w:val="37"/>
          <w:sz w:val="21"/>
        </w:rPr>
        <w:t> </w:t>
      </w:r>
      <w:r>
        <w:rPr>
          <w:sz w:val="21"/>
        </w:rPr>
        <w:t>person</w:t>
      </w:r>
      <w:r>
        <w:rPr>
          <w:spacing w:val="37"/>
          <w:sz w:val="21"/>
        </w:rPr>
        <w:t> </w:t>
      </w:r>
      <w:r>
        <w:rPr>
          <w:sz w:val="21"/>
        </w:rPr>
        <w:t>in</w:t>
      </w:r>
      <w:r>
        <w:rPr>
          <w:spacing w:val="37"/>
          <w:sz w:val="21"/>
        </w:rPr>
        <w:t> </w:t>
      </w:r>
      <w:r>
        <w:rPr>
          <w:sz w:val="21"/>
        </w:rPr>
        <w:t>Employee’s</w:t>
      </w:r>
      <w:r>
        <w:rPr>
          <w:spacing w:val="37"/>
          <w:sz w:val="21"/>
        </w:rPr>
        <w:t> </w:t>
      </w:r>
      <w:r>
        <w:rPr>
          <w:sz w:val="21"/>
        </w:rPr>
        <w:t>position</w:t>
      </w:r>
      <w:r>
        <w:rPr>
          <w:spacing w:val="37"/>
          <w:sz w:val="21"/>
        </w:rPr>
        <w:t> </w:t>
      </w:r>
      <w:r>
        <w:rPr>
          <w:sz w:val="21"/>
        </w:rPr>
        <w:t>would</w:t>
      </w:r>
      <w:r>
        <w:rPr>
          <w:spacing w:val="37"/>
          <w:sz w:val="21"/>
        </w:rPr>
        <w:t> </w:t>
      </w:r>
      <w:r>
        <w:rPr>
          <w:sz w:val="21"/>
        </w:rPr>
        <w:t>understand</w:t>
      </w:r>
      <w:r>
        <w:rPr>
          <w:spacing w:val="37"/>
          <w:sz w:val="21"/>
        </w:rPr>
        <w:t> </w:t>
      </w:r>
      <w:r>
        <w:rPr>
          <w:sz w:val="21"/>
        </w:rPr>
        <w:t>to</w:t>
      </w:r>
      <w:r>
        <w:rPr>
          <w:spacing w:val="37"/>
          <w:sz w:val="21"/>
        </w:rPr>
        <w:t> </w:t>
      </w:r>
      <w:r>
        <w:rPr>
          <w:sz w:val="21"/>
        </w:rPr>
        <w:t>be</w:t>
      </w:r>
      <w:r>
        <w:rPr>
          <w:spacing w:val="37"/>
          <w:sz w:val="21"/>
        </w:rPr>
        <w:t> </w:t>
      </w:r>
      <w:r>
        <w:rPr>
          <w:sz w:val="21"/>
        </w:rPr>
        <w:t>confidential</w:t>
      </w:r>
      <w:r>
        <w:rPr>
          <w:spacing w:val="37"/>
          <w:sz w:val="21"/>
        </w:rPr>
        <w:t> </w:t>
      </w:r>
      <w:r>
        <w:rPr>
          <w:sz w:val="21"/>
        </w:rPr>
        <w:t>or</w:t>
      </w:r>
      <w:r>
        <w:rPr>
          <w:spacing w:val="37"/>
          <w:sz w:val="21"/>
        </w:rPr>
        <w:t> </w:t>
      </w:r>
      <w:r>
        <w:rPr>
          <w:sz w:val="21"/>
        </w:rPr>
        <w:t>proprietary that</w:t>
      </w:r>
      <w:r>
        <w:rPr>
          <w:spacing w:val="40"/>
          <w:sz w:val="21"/>
        </w:rPr>
        <w:t> </w:t>
      </w:r>
      <w:r>
        <w:rPr>
          <w:sz w:val="21"/>
        </w:rPr>
        <w:t>is</w:t>
      </w:r>
      <w:r>
        <w:rPr>
          <w:spacing w:val="40"/>
          <w:sz w:val="21"/>
        </w:rPr>
        <w:t> </w:t>
      </w:r>
      <w:r>
        <w:rPr>
          <w:sz w:val="21"/>
        </w:rPr>
        <w:t>not</w:t>
      </w:r>
      <w:r>
        <w:rPr>
          <w:spacing w:val="40"/>
          <w:sz w:val="21"/>
        </w:rPr>
        <w:t> </w:t>
      </w:r>
      <w:r>
        <w:rPr>
          <w:sz w:val="21"/>
        </w:rPr>
        <w:t>already</w:t>
      </w:r>
      <w:r>
        <w:rPr>
          <w:spacing w:val="40"/>
          <w:sz w:val="21"/>
        </w:rPr>
        <w:t> </w:t>
      </w:r>
      <w:r>
        <w:rPr>
          <w:sz w:val="21"/>
        </w:rPr>
        <w:t>generally</w:t>
      </w:r>
      <w:r>
        <w:rPr>
          <w:spacing w:val="40"/>
          <w:sz w:val="21"/>
        </w:rPr>
        <w:t> </w:t>
      </w:r>
      <w:r>
        <w:rPr>
          <w:sz w:val="21"/>
        </w:rPr>
        <w:t>known</w:t>
      </w:r>
      <w:r>
        <w:rPr>
          <w:spacing w:val="40"/>
          <w:sz w:val="21"/>
        </w:rPr>
        <w:t> </w:t>
      </w:r>
      <w:r>
        <w:rPr>
          <w:sz w:val="21"/>
        </w:rPr>
        <w:t>to</w:t>
      </w:r>
      <w:r>
        <w:rPr>
          <w:spacing w:val="40"/>
          <w:sz w:val="21"/>
        </w:rPr>
        <w:t> </w:t>
      </w:r>
      <w:r>
        <w:rPr>
          <w:sz w:val="21"/>
        </w:rPr>
        <w:t>the</w:t>
      </w:r>
      <w:r>
        <w:rPr>
          <w:spacing w:val="40"/>
          <w:sz w:val="21"/>
        </w:rPr>
        <w:t> </w:t>
      </w:r>
      <w:r>
        <w:rPr>
          <w:sz w:val="21"/>
        </w:rPr>
        <w:t>public</w:t>
      </w:r>
      <w:r>
        <w:rPr>
          <w:spacing w:val="40"/>
          <w:sz w:val="21"/>
        </w:rPr>
        <w:t> </w:t>
      </w:r>
      <w:r>
        <w:rPr>
          <w:sz w:val="21"/>
        </w:rPr>
        <w:t>through</w:t>
      </w:r>
      <w:r>
        <w:rPr>
          <w:spacing w:val="40"/>
          <w:sz w:val="21"/>
        </w:rPr>
        <w:t> </w:t>
      </w:r>
      <w:r>
        <w:rPr>
          <w:sz w:val="21"/>
        </w:rPr>
        <w:t>no</w:t>
      </w:r>
      <w:r>
        <w:rPr>
          <w:spacing w:val="40"/>
          <w:sz w:val="21"/>
        </w:rPr>
        <w:t> </w:t>
      </w:r>
      <w:r>
        <w:rPr>
          <w:sz w:val="21"/>
        </w:rPr>
        <w:t>wrongful</w:t>
      </w:r>
      <w:r>
        <w:rPr>
          <w:spacing w:val="40"/>
          <w:sz w:val="21"/>
        </w:rPr>
        <w:t> </w:t>
      </w:r>
      <w:r>
        <w:rPr>
          <w:sz w:val="21"/>
        </w:rPr>
        <w:t>act</w:t>
      </w:r>
      <w:r>
        <w:rPr>
          <w:spacing w:val="40"/>
          <w:sz w:val="21"/>
        </w:rPr>
        <w:t> </w:t>
      </w:r>
      <w:r>
        <w:rPr>
          <w:sz w:val="21"/>
        </w:rPr>
        <w:t>of</w:t>
      </w:r>
      <w:r>
        <w:rPr>
          <w:spacing w:val="40"/>
          <w:sz w:val="21"/>
        </w:rPr>
        <w:t> </w:t>
      </w:r>
      <w:r>
        <w:rPr>
          <w:sz w:val="21"/>
        </w:rPr>
        <w:t>Employee</w:t>
      </w:r>
      <w:r>
        <w:rPr>
          <w:spacing w:val="40"/>
          <w:sz w:val="21"/>
        </w:rPr>
        <w:t> </w:t>
      </w:r>
      <w:r>
        <w:rPr>
          <w:sz w:val="21"/>
        </w:rPr>
        <w:t>or</w:t>
      </w:r>
      <w:r>
        <w:rPr>
          <w:spacing w:val="40"/>
          <w:sz w:val="21"/>
        </w:rPr>
        <w:t> </w:t>
      </w:r>
      <w:r>
        <w:rPr>
          <w:sz w:val="21"/>
        </w:rPr>
        <w:t>any</w:t>
      </w:r>
      <w:r>
        <w:rPr>
          <w:spacing w:val="40"/>
          <w:sz w:val="21"/>
        </w:rPr>
        <w:t> </w:t>
      </w:r>
      <w:r>
        <w:rPr>
          <w:sz w:val="21"/>
        </w:rPr>
        <w:t>other</w:t>
      </w:r>
      <w:r>
        <w:rPr>
          <w:spacing w:val="40"/>
          <w:sz w:val="21"/>
        </w:rPr>
        <w:t> </w:t>
      </w:r>
      <w:r>
        <w:rPr>
          <w:sz w:val="21"/>
        </w:rPr>
        <w:t>party</w:t>
      </w:r>
      <w:r>
        <w:rPr>
          <w:spacing w:val="40"/>
          <w:sz w:val="21"/>
        </w:rPr>
        <w:t> </w:t>
      </w:r>
      <w:r>
        <w:rPr>
          <w:sz w:val="21"/>
        </w:rPr>
        <w:t>known</w:t>
      </w:r>
      <w:r>
        <w:rPr>
          <w:spacing w:val="40"/>
          <w:sz w:val="21"/>
        </w:rPr>
        <w:t> </w:t>
      </w:r>
      <w:r>
        <w:rPr>
          <w:sz w:val="21"/>
        </w:rPr>
        <w:t>to </w:t>
      </w:r>
      <w:r>
        <w:rPr>
          <w:spacing w:val="-2"/>
          <w:sz w:val="21"/>
        </w:rPr>
        <w:t>Employee.</w:t>
      </w:r>
    </w:p>
    <w:p>
      <w:pPr>
        <w:pStyle w:val="ListParagraph"/>
        <w:numPr>
          <w:ilvl w:val="3"/>
          <w:numId w:val="53"/>
        </w:numPr>
        <w:tabs>
          <w:tab w:pos="1765" w:val="left" w:leader="none"/>
        </w:tabs>
        <w:spacing w:line="213" w:lineRule="auto" w:before="230" w:after="0"/>
        <w:ind w:left="1116" w:right="118" w:firstLine="0"/>
        <w:jc w:val="left"/>
        <w:rPr>
          <w:sz w:val="21"/>
        </w:rPr>
      </w:pPr>
      <w:r>
        <w:rPr>
          <w:sz w:val="21"/>
        </w:rPr>
        <w:t>Notwithstanding</w:t>
      </w:r>
      <w:r>
        <w:rPr>
          <w:spacing w:val="17"/>
          <w:sz w:val="21"/>
        </w:rPr>
        <w:t> </w:t>
      </w:r>
      <w:r>
        <w:rPr>
          <w:sz w:val="21"/>
        </w:rPr>
        <w:t>the</w:t>
      </w:r>
      <w:r>
        <w:rPr>
          <w:spacing w:val="17"/>
          <w:sz w:val="21"/>
        </w:rPr>
        <w:t> </w:t>
      </w:r>
      <w:r>
        <w:rPr>
          <w:sz w:val="21"/>
        </w:rPr>
        <w:t>foregoing,</w:t>
      </w:r>
      <w:r>
        <w:rPr>
          <w:spacing w:val="17"/>
          <w:sz w:val="21"/>
        </w:rPr>
        <w:t> </w:t>
      </w:r>
      <w:r>
        <w:rPr>
          <w:sz w:val="21"/>
        </w:rPr>
        <w:t>the</w:t>
      </w:r>
      <w:r>
        <w:rPr>
          <w:spacing w:val="17"/>
          <w:sz w:val="21"/>
        </w:rPr>
        <w:t> </w:t>
      </w:r>
      <w:r>
        <w:rPr>
          <w:sz w:val="21"/>
        </w:rPr>
        <w:t>provisions</w:t>
      </w:r>
      <w:r>
        <w:rPr>
          <w:spacing w:val="17"/>
          <w:sz w:val="21"/>
        </w:rPr>
        <w:t> </w:t>
      </w:r>
      <w:r>
        <w:rPr>
          <w:sz w:val="21"/>
        </w:rPr>
        <w:t>of</w:t>
      </w:r>
      <w:r>
        <w:rPr>
          <w:spacing w:val="17"/>
          <w:sz w:val="21"/>
        </w:rPr>
        <w:t> </w:t>
      </w:r>
      <w:r>
        <w:rPr>
          <w:sz w:val="21"/>
        </w:rPr>
        <w:t>Section</w:t>
      </w:r>
      <w:r>
        <w:rPr>
          <w:spacing w:val="17"/>
          <w:sz w:val="21"/>
        </w:rPr>
        <w:t> </w:t>
      </w:r>
      <w:r>
        <w:rPr>
          <w:sz w:val="21"/>
        </w:rPr>
        <w:t>8.3.1</w:t>
      </w:r>
      <w:r>
        <w:rPr>
          <w:spacing w:val="17"/>
          <w:sz w:val="21"/>
        </w:rPr>
        <w:t> </w:t>
      </w:r>
      <w:r>
        <w:rPr>
          <w:sz w:val="21"/>
        </w:rPr>
        <w:t>shall</w:t>
      </w:r>
      <w:r>
        <w:rPr>
          <w:spacing w:val="17"/>
          <w:sz w:val="21"/>
        </w:rPr>
        <w:t> </w:t>
      </w:r>
      <w:r>
        <w:rPr>
          <w:sz w:val="21"/>
        </w:rPr>
        <w:t>not</w:t>
      </w:r>
      <w:r>
        <w:rPr>
          <w:spacing w:val="17"/>
          <w:sz w:val="21"/>
        </w:rPr>
        <w:t> </w:t>
      </w:r>
      <w:r>
        <w:rPr>
          <w:sz w:val="21"/>
        </w:rPr>
        <w:t>apply</w:t>
      </w:r>
      <w:r>
        <w:rPr>
          <w:spacing w:val="17"/>
          <w:sz w:val="21"/>
        </w:rPr>
        <w:t> </w:t>
      </w:r>
      <w:r>
        <w:rPr>
          <w:sz w:val="21"/>
        </w:rPr>
        <w:t>to</w:t>
      </w:r>
      <w:r>
        <w:rPr>
          <w:spacing w:val="17"/>
          <w:sz w:val="21"/>
        </w:rPr>
        <w:t> </w:t>
      </w:r>
      <w:r>
        <w:rPr>
          <w:sz w:val="21"/>
        </w:rPr>
        <w:t>Confidential</w:t>
      </w:r>
      <w:r>
        <w:rPr>
          <w:spacing w:val="17"/>
          <w:sz w:val="21"/>
        </w:rPr>
        <w:t> </w:t>
      </w:r>
      <w:r>
        <w:rPr>
          <w:sz w:val="21"/>
        </w:rPr>
        <w:t>Information:</w:t>
      </w:r>
      <w:r>
        <w:rPr>
          <w:spacing w:val="17"/>
          <w:sz w:val="21"/>
        </w:rPr>
        <w:t> </w:t>
      </w:r>
      <w:r>
        <w:rPr>
          <w:sz w:val="21"/>
        </w:rPr>
        <w:t>(i)</w:t>
      </w:r>
      <w:r>
        <w:rPr>
          <w:spacing w:val="17"/>
          <w:sz w:val="21"/>
        </w:rPr>
        <w:t> </w:t>
      </w:r>
      <w:r>
        <w:rPr>
          <w:sz w:val="21"/>
        </w:rPr>
        <w:t>that is</w:t>
      </w:r>
      <w:r>
        <w:rPr>
          <w:spacing w:val="13"/>
          <w:sz w:val="21"/>
        </w:rPr>
        <w:t> </w:t>
      </w:r>
      <w:r>
        <w:rPr>
          <w:sz w:val="21"/>
        </w:rPr>
        <w:t>required</w:t>
      </w:r>
      <w:r>
        <w:rPr>
          <w:spacing w:val="13"/>
          <w:sz w:val="21"/>
        </w:rPr>
        <w:t> </w:t>
      </w:r>
      <w:r>
        <w:rPr>
          <w:sz w:val="21"/>
        </w:rPr>
        <w:t>to</w:t>
      </w:r>
      <w:r>
        <w:rPr>
          <w:spacing w:val="13"/>
          <w:sz w:val="21"/>
        </w:rPr>
        <w:t> </w:t>
      </w:r>
      <w:r>
        <w:rPr>
          <w:sz w:val="21"/>
        </w:rPr>
        <w:t>be</w:t>
      </w:r>
      <w:r>
        <w:rPr>
          <w:spacing w:val="13"/>
          <w:sz w:val="21"/>
        </w:rPr>
        <w:t> </w:t>
      </w:r>
      <w:r>
        <w:rPr>
          <w:sz w:val="21"/>
        </w:rPr>
        <w:t>disclosed</w:t>
      </w:r>
      <w:r>
        <w:rPr>
          <w:spacing w:val="13"/>
          <w:sz w:val="21"/>
        </w:rPr>
        <w:t> </w:t>
      </w:r>
      <w:r>
        <w:rPr>
          <w:sz w:val="21"/>
        </w:rPr>
        <w:t>by</w:t>
      </w:r>
      <w:r>
        <w:rPr>
          <w:spacing w:val="13"/>
          <w:sz w:val="21"/>
        </w:rPr>
        <w:t> </w:t>
      </w:r>
      <w:r>
        <w:rPr>
          <w:sz w:val="21"/>
        </w:rPr>
        <w:t>law</w:t>
      </w:r>
      <w:r>
        <w:rPr>
          <w:spacing w:val="13"/>
          <w:sz w:val="21"/>
        </w:rPr>
        <w:t> </w:t>
      </w:r>
      <w:r>
        <w:rPr>
          <w:sz w:val="21"/>
        </w:rPr>
        <w:t>or</w:t>
      </w:r>
      <w:r>
        <w:rPr>
          <w:spacing w:val="13"/>
          <w:sz w:val="21"/>
        </w:rPr>
        <w:t> </w:t>
      </w:r>
      <w:r>
        <w:rPr>
          <w:sz w:val="21"/>
        </w:rPr>
        <w:t>by</w:t>
      </w:r>
      <w:r>
        <w:rPr>
          <w:spacing w:val="13"/>
          <w:sz w:val="21"/>
        </w:rPr>
        <w:t> </w:t>
      </w:r>
      <w:r>
        <w:rPr>
          <w:sz w:val="21"/>
        </w:rPr>
        <w:t>any</w:t>
      </w:r>
      <w:r>
        <w:rPr>
          <w:spacing w:val="13"/>
          <w:sz w:val="21"/>
        </w:rPr>
        <w:t> </w:t>
      </w:r>
      <w:r>
        <w:rPr>
          <w:sz w:val="21"/>
        </w:rPr>
        <w:t>court,</w:t>
      </w:r>
      <w:r>
        <w:rPr>
          <w:spacing w:val="13"/>
          <w:sz w:val="21"/>
        </w:rPr>
        <w:t> </w:t>
      </w:r>
      <w:r>
        <w:rPr>
          <w:sz w:val="21"/>
        </w:rPr>
        <w:t>arbitrator,</w:t>
      </w:r>
      <w:r>
        <w:rPr>
          <w:spacing w:val="13"/>
          <w:sz w:val="21"/>
        </w:rPr>
        <w:t> </w:t>
      </w:r>
      <w:r>
        <w:rPr>
          <w:sz w:val="21"/>
        </w:rPr>
        <w:t>mediator</w:t>
      </w:r>
      <w:r>
        <w:rPr>
          <w:spacing w:val="13"/>
          <w:sz w:val="21"/>
        </w:rPr>
        <w:t> </w:t>
      </w:r>
      <w:r>
        <w:rPr>
          <w:sz w:val="21"/>
        </w:rPr>
        <w:t>or</w:t>
      </w:r>
      <w:r>
        <w:rPr>
          <w:spacing w:val="13"/>
          <w:sz w:val="21"/>
        </w:rPr>
        <w:t> </w:t>
      </w:r>
      <w:r>
        <w:rPr>
          <w:sz w:val="21"/>
        </w:rPr>
        <w:t>administrative</w:t>
      </w:r>
      <w:r>
        <w:rPr>
          <w:spacing w:val="13"/>
          <w:sz w:val="21"/>
        </w:rPr>
        <w:t> </w:t>
      </w:r>
      <w:r>
        <w:rPr>
          <w:sz w:val="21"/>
        </w:rPr>
        <w:t>or</w:t>
      </w:r>
      <w:r>
        <w:rPr>
          <w:spacing w:val="13"/>
          <w:sz w:val="21"/>
        </w:rPr>
        <w:t> </w:t>
      </w:r>
      <w:r>
        <w:rPr>
          <w:sz w:val="21"/>
        </w:rPr>
        <w:t>legislative</w:t>
      </w:r>
      <w:r>
        <w:rPr>
          <w:spacing w:val="13"/>
          <w:sz w:val="21"/>
        </w:rPr>
        <w:t> </w:t>
      </w:r>
      <w:r>
        <w:rPr>
          <w:sz w:val="21"/>
        </w:rPr>
        <w:t>body</w:t>
      </w:r>
      <w:r>
        <w:rPr>
          <w:spacing w:val="13"/>
          <w:sz w:val="21"/>
        </w:rPr>
        <w:t> </w:t>
      </w:r>
      <w:r>
        <w:rPr>
          <w:sz w:val="21"/>
        </w:rPr>
        <w:t>(including</w:t>
      </w:r>
      <w:r>
        <w:rPr>
          <w:spacing w:val="13"/>
          <w:sz w:val="21"/>
        </w:rPr>
        <w:t> </w:t>
      </w:r>
      <w:r>
        <w:rPr>
          <w:sz w:val="21"/>
        </w:rPr>
        <w:t>any</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65"/>
        <w:rPr>
          <w:sz w:val="21"/>
        </w:rPr>
      </w:pPr>
    </w:p>
    <w:p>
      <w:pPr>
        <w:spacing w:before="0"/>
        <w:ind w:left="24" w:right="0" w:firstLine="0"/>
        <w:jc w:val="center"/>
        <w:rPr>
          <w:sz w:val="21"/>
        </w:rPr>
      </w:pPr>
      <w:r>
        <w:rPr>
          <w:spacing w:val="-10"/>
          <w:sz w:val="21"/>
        </w:rPr>
        <w:t>7</w:t>
      </w:r>
    </w:p>
    <w:p>
      <w:pPr>
        <w:pStyle w:val="BodyText"/>
        <w:spacing w:before="6"/>
        <w:rPr>
          <w:sz w:val="4"/>
        </w:rPr>
      </w:pPr>
      <w:r>
        <w:rPr/>
        <mc:AlternateContent>
          <mc:Choice Requires="wps">
            <w:drawing>
              <wp:anchor distT="0" distB="0" distL="0" distR="0" allowOverlap="1" layoutInCell="1" locked="0" behindDoc="1" simplePos="0" relativeHeight="487806464">
                <wp:simplePos x="0" y="0"/>
                <wp:positionH relativeFrom="page">
                  <wp:posOffset>231457</wp:posOffset>
                </wp:positionH>
                <wp:positionV relativeFrom="paragraph">
                  <wp:posOffset>48257</wp:posOffset>
                </wp:positionV>
                <wp:extent cx="7312659" cy="17145"/>
                <wp:effectExtent l="0" t="0" r="0" b="0"/>
                <wp:wrapTopAndBottom/>
                <wp:docPr id="1071" name="Group 1071"/>
                <wp:cNvGraphicFramePr>
                  <a:graphicFrameLocks/>
                </wp:cNvGraphicFramePr>
                <a:graphic>
                  <a:graphicData uri="http://schemas.microsoft.com/office/word/2010/wordprocessingGroup">
                    <wpg:wgp>
                      <wpg:cNvPr id="1071" name="Group 1071"/>
                      <wpg:cNvGrpSpPr/>
                      <wpg:grpSpPr>
                        <a:xfrm>
                          <a:off x="0" y="0"/>
                          <a:ext cx="7312659" cy="17145"/>
                          <a:chExt cx="7312659" cy="17145"/>
                        </a:xfrm>
                      </wpg:grpSpPr>
                      <wps:wsp>
                        <wps:cNvPr id="1072" name="Graphic 107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73" name="Graphic 1073"/>
                        <wps:cNvSpPr/>
                        <wps:spPr>
                          <a:xfrm>
                            <a:off x="-12" y="-1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74" name="Graphic 107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10016;mso-wrap-distance-left:0;mso-wrap-distance-right:0" id="docshapegroup1069" coordorigin="364,76" coordsize="11516,27">
                <v:rect style="position:absolute;left:364;top:76;width:11516;height:14" id="docshape1070" filled="true" fillcolor="#999999" stroked="false">
                  <v:fill type="solid"/>
                </v:rect>
                <v:shape style="position:absolute;left:364;top:75;width:11516;height:27" id="docshape1071" coordorigin="364,76" coordsize="11516,27" path="m11880,76l11866,89,364,89,364,103,11866,103,11880,103,11880,89,11880,76xe" filled="true" fillcolor="#ededed" stroked="false">
                  <v:path arrowok="t"/>
                  <v:fill type="solid"/>
                </v:shape>
                <v:shape style="position:absolute;left:364;top:76;width:14;height:27" id="docshape1072" coordorigin="364,76" coordsize="14,27" path="m364,103l364,76,378,76,378,89,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spacing w:line="213" w:lineRule="auto" w:before="138"/>
        <w:ind w:left="1116" w:right="221" w:firstLine="0"/>
        <w:jc w:val="both"/>
        <w:rPr>
          <w:sz w:val="21"/>
        </w:rPr>
      </w:pPr>
      <w:r>
        <w:rPr>
          <w:sz w:val="21"/>
        </w:rPr>
        <w:t>committee thereof) in any litigation, arbitration, mediation or legislative hearing, with jurisdiction to order Employee </w:t>
      </w:r>
      <w:r>
        <w:rPr>
          <w:sz w:val="21"/>
        </w:rPr>
        <w:t>to disclose or make accessible any information, provided, however, that Employee provides Employer with ten (10) days’ advance written notice of such disclosure to enable Employer to seek a protective order or other relief to protect the confidentiality of such Confidential Information; (ii) that becomes generally known to the public or within the relevant</w:t>
      </w:r>
      <w:r>
        <w:rPr>
          <w:spacing w:val="40"/>
          <w:sz w:val="21"/>
        </w:rPr>
        <w:t> </w:t>
      </w:r>
      <w:r>
        <w:rPr>
          <w:sz w:val="21"/>
        </w:rPr>
        <w:t>trade</w:t>
      </w:r>
      <w:r>
        <w:rPr>
          <w:spacing w:val="22"/>
          <w:sz w:val="21"/>
        </w:rPr>
        <w:t> </w:t>
      </w:r>
      <w:r>
        <w:rPr>
          <w:sz w:val="21"/>
        </w:rPr>
        <w:t>or</w:t>
      </w:r>
      <w:r>
        <w:rPr>
          <w:spacing w:val="22"/>
          <w:sz w:val="21"/>
        </w:rPr>
        <w:t> </w:t>
      </w:r>
      <w:r>
        <w:rPr>
          <w:sz w:val="21"/>
        </w:rPr>
        <w:t>industry</w:t>
      </w:r>
      <w:r>
        <w:rPr>
          <w:spacing w:val="22"/>
          <w:sz w:val="21"/>
        </w:rPr>
        <w:t> </w:t>
      </w:r>
      <w:r>
        <w:rPr>
          <w:sz w:val="21"/>
        </w:rPr>
        <w:t>other</w:t>
      </w:r>
      <w:r>
        <w:rPr>
          <w:spacing w:val="22"/>
          <w:sz w:val="21"/>
        </w:rPr>
        <w:t> </w:t>
      </w:r>
      <w:r>
        <w:rPr>
          <w:sz w:val="21"/>
        </w:rPr>
        <w:t>than</w:t>
      </w:r>
      <w:r>
        <w:rPr>
          <w:spacing w:val="22"/>
          <w:sz w:val="21"/>
        </w:rPr>
        <w:t> </w:t>
      </w:r>
      <w:r>
        <w:rPr>
          <w:sz w:val="21"/>
        </w:rPr>
        <w:t>due</w:t>
      </w:r>
      <w:r>
        <w:rPr>
          <w:spacing w:val="22"/>
          <w:sz w:val="21"/>
        </w:rPr>
        <w:t> </w:t>
      </w:r>
      <w:r>
        <w:rPr>
          <w:sz w:val="21"/>
        </w:rPr>
        <w:t>to</w:t>
      </w:r>
      <w:r>
        <w:rPr>
          <w:spacing w:val="22"/>
          <w:sz w:val="21"/>
        </w:rPr>
        <w:t> </w:t>
      </w:r>
      <w:r>
        <w:rPr>
          <w:sz w:val="21"/>
        </w:rPr>
        <w:t>Employee’s</w:t>
      </w:r>
      <w:r>
        <w:rPr>
          <w:spacing w:val="22"/>
          <w:sz w:val="21"/>
        </w:rPr>
        <w:t> </w:t>
      </w:r>
      <w:r>
        <w:rPr>
          <w:sz w:val="21"/>
        </w:rPr>
        <w:t>violation</w:t>
      </w:r>
      <w:r>
        <w:rPr>
          <w:spacing w:val="22"/>
          <w:sz w:val="21"/>
        </w:rPr>
        <w:t> </w:t>
      </w:r>
      <w:r>
        <w:rPr>
          <w:sz w:val="21"/>
        </w:rPr>
        <w:t>of</w:t>
      </w:r>
      <w:r>
        <w:rPr>
          <w:spacing w:val="22"/>
          <w:sz w:val="21"/>
        </w:rPr>
        <w:t> </w:t>
      </w:r>
      <w:r>
        <w:rPr>
          <w:sz w:val="21"/>
        </w:rPr>
        <w:t>this Agreement;</w:t>
      </w:r>
      <w:r>
        <w:rPr>
          <w:spacing w:val="22"/>
          <w:sz w:val="21"/>
        </w:rPr>
        <w:t> </w:t>
      </w:r>
      <w:r>
        <w:rPr>
          <w:sz w:val="21"/>
        </w:rPr>
        <w:t>or</w:t>
      </w:r>
      <w:r>
        <w:rPr>
          <w:spacing w:val="22"/>
          <w:sz w:val="21"/>
        </w:rPr>
        <w:t> </w:t>
      </w:r>
      <w:r>
        <w:rPr>
          <w:sz w:val="21"/>
        </w:rPr>
        <w:t>(iii)</w:t>
      </w:r>
      <w:r>
        <w:rPr>
          <w:spacing w:val="22"/>
          <w:sz w:val="21"/>
        </w:rPr>
        <w:t> </w:t>
      </w:r>
      <w:r>
        <w:rPr>
          <w:sz w:val="21"/>
        </w:rPr>
        <w:t>that</w:t>
      </w:r>
      <w:r>
        <w:rPr>
          <w:spacing w:val="22"/>
          <w:sz w:val="21"/>
        </w:rPr>
        <w:t> </w:t>
      </w:r>
      <w:r>
        <w:rPr>
          <w:sz w:val="21"/>
        </w:rPr>
        <w:t>becomes</w:t>
      </w:r>
      <w:r>
        <w:rPr>
          <w:spacing w:val="22"/>
          <w:sz w:val="21"/>
        </w:rPr>
        <w:t> </w:t>
      </w:r>
      <w:r>
        <w:rPr>
          <w:sz w:val="21"/>
        </w:rPr>
        <w:t>available</w:t>
      </w:r>
      <w:r>
        <w:rPr>
          <w:spacing w:val="22"/>
          <w:sz w:val="21"/>
        </w:rPr>
        <w:t> </w:t>
      </w:r>
      <w:r>
        <w:rPr>
          <w:sz w:val="21"/>
        </w:rPr>
        <w:t>to</w:t>
      </w:r>
      <w:r>
        <w:rPr>
          <w:spacing w:val="22"/>
          <w:sz w:val="21"/>
        </w:rPr>
        <w:t> </w:t>
      </w:r>
      <w:r>
        <w:rPr>
          <w:sz w:val="21"/>
        </w:rPr>
        <w:t>Employee on</w:t>
      </w:r>
      <w:r>
        <w:rPr>
          <w:spacing w:val="24"/>
          <w:sz w:val="21"/>
        </w:rPr>
        <w:t> </w:t>
      </w:r>
      <w:r>
        <w:rPr>
          <w:sz w:val="21"/>
        </w:rPr>
        <w:t>a</w:t>
      </w:r>
      <w:r>
        <w:rPr>
          <w:spacing w:val="24"/>
          <w:sz w:val="21"/>
        </w:rPr>
        <w:t> </w:t>
      </w:r>
      <w:r>
        <w:rPr>
          <w:sz w:val="21"/>
        </w:rPr>
        <w:t>non-confidential</w:t>
      </w:r>
      <w:r>
        <w:rPr>
          <w:spacing w:val="24"/>
          <w:sz w:val="21"/>
        </w:rPr>
        <w:t> </w:t>
      </w:r>
      <w:r>
        <w:rPr>
          <w:sz w:val="21"/>
        </w:rPr>
        <w:t>basis</w:t>
      </w:r>
      <w:r>
        <w:rPr>
          <w:spacing w:val="24"/>
          <w:sz w:val="21"/>
        </w:rPr>
        <w:t> </w:t>
      </w:r>
      <w:r>
        <w:rPr>
          <w:sz w:val="21"/>
        </w:rPr>
        <w:t>from</w:t>
      </w:r>
      <w:r>
        <w:rPr>
          <w:spacing w:val="24"/>
          <w:sz w:val="21"/>
        </w:rPr>
        <w:t> </w:t>
      </w:r>
      <w:r>
        <w:rPr>
          <w:sz w:val="21"/>
        </w:rPr>
        <w:t>a</w:t>
      </w:r>
      <w:r>
        <w:rPr>
          <w:spacing w:val="24"/>
          <w:sz w:val="21"/>
        </w:rPr>
        <w:t> </w:t>
      </w:r>
      <w:r>
        <w:rPr>
          <w:sz w:val="21"/>
        </w:rPr>
        <w:t>source</w:t>
      </w:r>
      <w:r>
        <w:rPr>
          <w:spacing w:val="24"/>
          <w:sz w:val="21"/>
        </w:rPr>
        <w:t> </w:t>
      </w:r>
      <w:r>
        <w:rPr>
          <w:sz w:val="21"/>
        </w:rPr>
        <w:t>that</w:t>
      </w:r>
      <w:r>
        <w:rPr>
          <w:spacing w:val="24"/>
          <w:sz w:val="21"/>
        </w:rPr>
        <w:t> </w:t>
      </w:r>
      <w:r>
        <w:rPr>
          <w:sz w:val="21"/>
        </w:rPr>
        <w:t>is</w:t>
      </w:r>
      <w:r>
        <w:rPr>
          <w:spacing w:val="24"/>
          <w:sz w:val="21"/>
        </w:rPr>
        <w:t> </w:t>
      </w:r>
      <w:r>
        <w:rPr>
          <w:sz w:val="21"/>
        </w:rPr>
        <w:t>legally</w:t>
      </w:r>
      <w:r>
        <w:rPr>
          <w:spacing w:val="24"/>
          <w:sz w:val="21"/>
        </w:rPr>
        <w:t> </w:t>
      </w:r>
      <w:r>
        <w:rPr>
          <w:sz w:val="21"/>
        </w:rPr>
        <w:t>entitled</w:t>
      </w:r>
      <w:r>
        <w:rPr>
          <w:spacing w:val="24"/>
          <w:sz w:val="21"/>
        </w:rPr>
        <w:t> </w:t>
      </w:r>
      <w:r>
        <w:rPr>
          <w:sz w:val="21"/>
        </w:rPr>
        <w:t>to</w:t>
      </w:r>
      <w:r>
        <w:rPr>
          <w:spacing w:val="24"/>
          <w:sz w:val="21"/>
        </w:rPr>
        <w:t> </w:t>
      </w:r>
      <w:r>
        <w:rPr>
          <w:sz w:val="21"/>
        </w:rPr>
        <w:t>disclose</w:t>
      </w:r>
      <w:r>
        <w:rPr>
          <w:spacing w:val="24"/>
          <w:sz w:val="21"/>
        </w:rPr>
        <w:t> </w:t>
      </w:r>
      <w:r>
        <w:rPr>
          <w:sz w:val="21"/>
        </w:rPr>
        <w:t>it</w:t>
      </w:r>
      <w:r>
        <w:rPr>
          <w:spacing w:val="24"/>
          <w:sz w:val="21"/>
        </w:rPr>
        <w:t> </w:t>
      </w:r>
      <w:r>
        <w:rPr>
          <w:sz w:val="21"/>
        </w:rPr>
        <w:t>to</w:t>
      </w:r>
      <w:r>
        <w:rPr>
          <w:spacing w:val="24"/>
          <w:sz w:val="21"/>
        </w:rPr>
        <w:t> </w:t>
      </w:r>
      <w:r>
        <w:rPr>
          <w:sz w:val="21"/>
        </w:rPr>
        <w:t>Employee.</w:t>
      </w:r>
    </w:p>
    <w:p>
      <w:pPr>
        <w:pStyle w:val="ListParagraph"/>
        <w:numPr>
          <w:ilvl w:val="3"/>
          <w:numId w:val="53"/>
        </w:numPr>
        <w:tabs>
          <w:tab w:pos="1792" w:val="left" w:leader="none"/>
        </w:tabs>
        <w:spacing w:line="213" w:lineRule="auto" w:before="223" w:after="0"/>
        <w:ind w:left="1116" w:right="220" w:firstLine="0"/>
        <w:jc w:val="both"/>
        <w:rPr>
          <w:sz w:val="21"/>
        </w:rPr>
      </w:pPr>
      <w:r>
        <w:rPr>
          <w:sz w:val="21"/>
        </w:rPr>
        <w:t>Under</w:t>
      </w:r>
      <w:r>
        <w:rPr>
          <w:spacing w:val="40"/>
          <w:sz w:val="21"/>
        </w:rPr>
        <w:t> </w:t>
      </w:r>
      <w:r>
        <w:rPr>
          <w:sz w:val="21"/>
        </w:rPr>
        <w:t>the</w:t>
      </w:r>
      <w:r>
        <w:rPr>
          <w:spacing w:val="40"/>
          <w:sz w:val="21"/>
        </w:rPr>
        <w:t> </w:t>
      </w:r>
      <w:r>
        <w:rPr>
          <w:sz w:val="21"/>
        </w:rPr>
        <w:t>federal</w:t>
      </w:r>
      <w:r>
        <w:rPr>
          <w:spacing w:val="40"/>
          <w:sz w:val="21"/>
        </w:rPr>
        <w:t> </w:t>
      </w:r>
      <w:r>
        <w:rPr>
          <w:sz w:val="21"/>
        </w:rPr>
        <w:t>Defend</w:t>
      </w:r>
      <w:r>
        <w:rPr>
          <w:spacing w:val="36"/>
          <w:sz w:val="21"/>
        </w:rPr>
        <w:t> </w:t>
      </w:r>
      <w:r>
        <w:rPr>
          <w:sz w:val="21"/>
        </w:rPr>
        <w:t>Trade</w:t>
      </w:r>
      <w:r>
        <w:rPr>
          <w:spacing w:val="40"/>
          <w:sz w:val="21"/>
        </w:rPr>
        <w:t> </w:t>
      </w:r>
      <w:r>
        <w:rPr>
          <w:sz w:val="21"/>
        </w:rPr>
        <w:t>Secrets</w:t>
      </w:r>
      <w:r>
        <w:rPr>
          <w:spacing w:val="28"/>
          <w:sz w:val="21"/>
        </w:rPr>
        <w:t> </w:t>
      </w:r>
      <w:r>
        <w:rPr>
          <w:sz w:val="21"/>
        </w:rPr>
        <w:t>Act</w:t>
      </w:r>
      <w:r>
        <w:rPr>
          <w:spacing w:val="40"/>
          <w:sz w:val="21"/>
        </w:rPr>
        <w:t> </w:t>
      </w:r>
      <w:r>
        <w:rPr>
          <w:sz w:val="21"/>
        </w:rPr>
        <w:t>of</w:t>
      </w:r>
      <w:r>
        <w:rPr>
          <w:spacing w:val="40"/>
          <w:sz w:val="21"/>
        </w:rPr>
        <w:t> </w:t>
      </w:r>
      <w:r>
        <w:rPr>
          <w:sz w:val="21"/>
        </w:rPr>
        <w:t>2016,</w:t>
      </w:r>
      <w:r>
        <w:rPr>
          <w:spacing w:val="40"/>
          <w:sz w:val="21"/>
        </w:rPr>
        <w:t> </w:t>
      </w:r>
      <w:r>
        <w:rPr>
          <w:sz w:val="21"/>
        </w:rPr>
        <w:t>Employee</w:t>
      </w:r>
      <w:r>
        <w:rPr>
          <w:spacing w:val="40"/>
          <w:sz w:val="21"/>
        </w:rPr>
        <w:t> </w:t>
      </w:r>
      <w:r>
        <w:rPr>
          <w:sz w:val="21"/>
        </w:rPr>
        <w:t>shall</w:t>
      </w:r>
      <w:r>
        <w:rPr>
          <w:spacing w:val="40"/>
          <w:sz w:val="21"/>
        </w:rPr>
        <w:t> </w:t>
      </w:r>
      <w:r>
        <w:rPr>
          <w:sz w:val="21"/>
        </w:rPr>
        <w:t>not</w:t>
      </w:r>
      <w:r>
        <w:rPr>
          <w:spacing w:val="40"/>
          <w:sz w:val="21"/>
        </w:rPr>
        <w:t> </w:t>
      </w:r>
      <w:r>
        <w:rPr>
          <w:sz w:val="21"/>
        </w:rPr>
        <w:t>be</w:t>
      </w:r>
      <w:r>
        <w:rPr>
          <w:spacing w:val="40"/>
          <w:sz w:val="21"/>
        </w:rPr>
        <w:t> </w:t>
      </w:r>
      <w:r>
        <w:rPr>
          <w:sz w:val="21"/>
        </w:rPr>
        <w:t>held</w:t>
      </w:r>
      <w:r>
        <w:rPr>
          <w:spacing w:val="40"/>
          <w:sz w:val="21"/>
        </w:rPr>
        <w:t> </w:t>
      </w:r>
      <w:r>
        <w:rPr>
          <w:sz w:val="21"/>
        </w:rPr>
        <w:t>criminally</w:t>
      </w:r>
      <w:r>
        <w:rPr>
          <w:spacing w:val="40"/>
          <w:sz w:val="21"/>
        </w:rPr>
        <w:t> </w:t>
      </w:r>
      <w:r>
        <w:rPr>
          <w:sz w:val="21"/>
        </w:rPr>
        <w:t>or</w:t>
      </w:r>
      <w:r>
        <w:rPr>
          <w:spacing w:val="40"/>
          <w:sz w:val="21"/>
        </w:rPr>
        <w:t> </w:t>
      </w:r>
      <w:r>
        <w:rPr>
          <w:sz w:val="21"/>
        </w:rPr>
        <w:t>civilly</w:t>
      </w:r>
      <w:r>
        <w:rPr>
          <w:spacing w:val="40"/>
          <w:sz w:val="21"/>
        </w:rPr>
        <w:t> </w:t>
      </w:r>
      <w:r>
        <w:rPr>
          <w:sz w:val="21"/>
        </w:rPr>
        <w:t>liable under</w:t>
      </w:r>
      <w:r>
        <w:rPr>
          <w:spacing w:val="34"/>
          <w:sz w:val="21"/>
        </w:rPr>
        <w:t> </w:t>
      </w:r>
      <w:r>
        <w:rPr>
          <w:sz w:val="21"/>
        </w:rPr>
        <w:t>any</w:t>
      </w:r>
      <w:r>
        <w:rPr>
          <w:spacing w:val="34"/>
          <w:sz w:val="21"/>
        </w:rPr>
        <w:t> </w:t>
      </w:r>
      <w:r>
        <w:rPr>
          <w:sz w:val="21"/>
        </w:rPr>
        <w:t>federal</w:t>
      </w:r>
      <w:r>
        <w:rPr>
          <w:spacing w:val="34"/>
          <w:sz w:val="21"/>
        </w:rPr>
        <w:t> </w:t>
      </w:r>
      <w:r>
        <w:rPr>
          <w:sz w:val="21"/>
        </w:rPr>
        <w:t>or</w:t>
      </w:r>
      <w:r>
        <w:rPr>
          <w:spacing w:val="34"/>
          <w:sz w:val="21"/>
        </w:rPr>
        <w:t> </w:t>
      </w:r>
      <w:r>
        <w:rPr>
          <w:sz w:val="21"/>
        </w:rPr>
        <w:t>state</w:t>
      </w:r>
      <w:r>
        <w:rPr>
          <w:spacing w:val="34"/>
          <w:sz w:val="21"/>
        </w:rPr>
        <w:t> </w:t>
      </w:r>
      <w:r>
        <w:rPr>
          <w:sz w:val="21"/>
        </w:rPr>
        <w:t>trade</w:t>
      </w:r>
      <w:r>
        <w:rPr>
          <w:spacing w:val="34"/>
          <w:sz w:val="21"/>
        </w:rPr>
        <w:t> </w:t>
      </w:r>
      <w:r>
        <w:rPr>
          <w:sz w:val="21"/>
        </w:rPr>
        <w:t>secret</w:t>
      </w:r>
      <w:r>
        <w:rPr>
          <w:spacing w:val="34"/>
          <w:sz w:val="21"/>
        </w:rPr>
        <w:t> </w:t>
      </w:r>
      <w:r>
        <w:rPr>
          <w:sz w:val="21"/>
        </w:rPr>
        <w:t>law</w:t>
      </w:r>
      <w:r>
        <w:rPr>
          <w:spacing w:val="34"/>
          <w:sz w:val="21"/>
        </w:rPr>
        <w:t> </w:t>
      </w:r>
      <w:r>
        <w:rPr>
          <w:sz w:val="21"/>
        </w:rPr>
        <w:t>for</w:t>
      </w:r>
      <w:r>
        <w:rPr>
          <w:spacing w:val="34"/>
          <w:sz w:val="21"/>
        </w:rPr>
        <w:t> </w:t>
      </w:r>
      <w:r>
        <w:rPr>
          <w:sz w:val="21"/>
        </w:rPr>
        <w:t>the</w:t>
      </w:r>
      <w:r>
        <w:rPr>
          <w:spacing w:val="34"/>
          <w:sz w:val="21"/>
        </w:rPr>
        <w:t> </w:t>
      </w:r>
      <w:r>
        <w:rPr>
          <w:sz w:val="21"/>
        </w:rPr>
        <w:t>disclosure</w:t>
      </w:r>
      <w:r>
        <w:rPr>
          <w:spacing w:val="34"/>
          <w:sz w:val="21"/>
        </w:rPr>
        <w:t> </w:t>
      </w:r>
      <w:r>
        <w:rPr>
          <w:sz w:val="21"/>
        </w:rPr>
        <w:t>of</w:t>
      </w:r>
      <w:r>
        <w:rPr>
          <w:spacing w:val="34"/>
          <w:sz w:val="21"/>
        </w:rPr>
        <w:t> </w:t>
      </w:r>
      <w:r>
        <w:rPr>
          <w:sz w:val="21"/>
        </w:rPr>
        <w:t>a</w:t>
      </w:r>
      <w:r>
        <w:rPr>
          <w:spacing w:val="34"/>
          <w:sz w:val="21"/>
        </w:rPr>
        <w:t> </w:t>
      </w:r>
      <w:r>
        <w:rPr>
          <w:sz w:val="21"/>
        </w:rPr>
        <w:t>trade</w:t>
      </w:r>
      <w:r>
        <w:rPr>
          <w:spacing w:val="34"/>
          <w:sz w:val="21"/>
        </w:rPr>
        <w:t> </w:t>
      </w:r>
      <w:r>
        <w:rPr>
          <w:sz w:val="21"/>
        </w:rPr>
        <w:t>secret</w:t>
      </w:r>
      <w:r>
        <w:rPr>
          <w:spacing w:val="34"/>
          <w:sz w:val="21"/>
        </w:rPr>
        <w:t> </w:t>
      </w:r>
      <w:r>
        <w:rPr>
          <w:sz w:val="21"/>
        </w:rPr>
        <w:t>that:</w:t>
      </w:r>
      <w:r>
        <w:rPr>
          <w:spacing w:val="34"/>
          <w:sz w:val="21"/>
        </w:rPr>
        <w:t> </w:t>
      </w:r>
      <w:r>
        <w:rPr>
          <w:sz w:val="21"/>
        </w:rPr>
        <w:t>(a)</w:t>
      </w:r>
      <w:r>
        <w:rPr>
          <w:spacing w:val="34"/>
          <w:sz w:val="21"/>
        </w:rPr>
        <w:t> </w:t>
      </w:r>
      <w:r>
        <w:rPr>
          <w:sz w:val="21"/>
        </w:rPr>
        <w:t>is</w:t>
      </w:r>
      <w:r>
        <w:rPr>
          <w:spacing w:val="34"/>
          <w:sz w:val="21"/>
        </w:rPr>
        <w:t> </w:t>
      </w:r>
      <w:r>
        <w:rPr>
          <w:sz w:val="21"/>
        </w:rPr>
        <w:t>made</w:t>
      </w:r>
      <w:r>
        <w:rPr>
          <w:spacing w:val="34"/>
          <w:sz w:val="21"/>
        </w:rPr>
        <w:t> </w:t>
      </w:r>
      <w:r>
        <w:rPr>
          <w:sz w:val="21"/>
        </w:rPr>
        <w:t>(i)</w:t>
      </w:r>
      <w:r>
        <w:rPr>
          <w:spacing w:val="34"/>
          <w:sz w:val="21"/>
        </w:rPr>
        <w:t> </w:t>
      </w:r>
      <w:r>
        <w:rPr>
          <w:sz w:val="21"/>
        </w:rPr>
        <w:t>in</w:t>
      </w:r>
      <w:r>
        <w:rPr>
          <w:spacing w:val="34"/>
          <w:sz w:val="21"/>
        </w:rPr>
        <w:t> </w:t>
      </w:r>
      <w:r>
        <w:rPr>
          <w:sz w:val="21"/>
        </w:rPr>
        <w:t>confidence</w:t>
      </w:r>
      <w:r>
        <w:rPr>
          <w:spacing w:val="34"/>
          <w:sz w:val="21"/>
        </w:rPr>
        <w:t> </w:t>
      </w:r>
      <w:r>
        <w:rPr>
          <w:sz w:val="21"/>
        </w:rPr>
        <w:t>to</w:t>
      </w:r>
      <w:r>
        <w:rPr>
          <w:spacing w:val="34"/>
          <w:sz w:val="21"/>
        </w:rPr>
        <w:t> </w:t>
      </w:r>
      <w:r>
        <w:rPr>
          <w:sz w:val="21"/>
        </w:rPr>
        <w:t>a federal, state or local government official, either directly or indirectly, or to an attorney; and (ii) solely for the purpose of reporting or investigating a suspected violation of law; or (b) is made to Employee’s attorney in relation to a lawsuit </w:t>
      </w:r>
      <w:r>
        <w:rPr>
          <w:sz w:val="21"/>
        </w:rPr>
        <w:t>for retaliation against Employee for reporting a suspected violation of law; or (c) is made in a complaint or other document</w:t>
      </w:r>
      <w:r>
        <w:rPr>
          <w:spacing w:val="40"/>
          <w:sz w:val="21"/>
        </w:rPr>
        <w:t> </w:t>
      </w:r>
      <w:r>
        <w:rPr>
          <w:sz w:val="21"/>
        </w:rPr>
        <w:t>filed in a lawsuit or other proceeding, if such filing is made under seal.</w:t>
      </w:r>
    </w:p>
    <w:p>
      <w:pPr>
        <w:spacing w:line="213" w:lineRule="auto" w:before="222"/>
        <w:ind w:left="1116" w:right="221" w:firstLine="0"/>
        <w:jc w:val="both"/>
        <w:rPr>
          <w:sz w:val="21"/>
        </w:rPr>
      </w:pPr>
      <w:r>
        <w:rPr>
          <w:sz w:val="21"/>
        </w:rPr>
        <w:t>Nothing</w:t>
      </w:r>
      <w:r>
        <w:rPr>
          <w:spacing w:val="27"/>
          <w:sz w:val="21"/>
        </w:rPr>
        <w:t> </w:t>
      </w:r>
      <w:r>
        <w:rPr>
          <w:sz w:val="21"/>
        </w:rPr>
        <w:t>in</w:t>
      </w:r>
      <w:r>
        <w:rPr>
          <w:spacing w:val="27"/>
          <w:sz w:val="21"/>
        </w:rPr>
        <w:t> </w:t>
      </w:r>
      <w:r>
        <w:rPr>
          <w:sz w:val="21"/>
        </w:rPr>
        <w:t>this</w:t>
      </w:r>
      <w:r>
        <w:rPr>
          <w:spacing w:val="12"/>
          <w:sz w:val="21"/>
        </w:rPr>
        <w:t> </w:t>
      </w:r>
      <w:r>
        <w:rPr>
          <w:sz w:val="21"/>
        </w:rPr>
        <w:t>Agreement</w:t>
      </w:r>
      <w:r>
        <w:rPr>
          <w:spacing w:val="27"/>
          <w:sz w:val="21"/>
        </w:rPr>
        <w:t> </w:t>
      </w:r>
      <w:r>
        <w:rPr>
          <w:sz w:val="21"/>
        </w:rPr>
        <w:t>(or</w:t>
      </w:r>
      <w:r>
        <w:rPr>
          <w:spacing w:val="27"/>
          <w:sz w:val="21"/>
        </w:rPr>
        <w:t> </w:t>
      </w:r>
      <w:r>
        <w:rPr>
          <w:sz w:val="21"/>
        </w:rPr>
        <w:t>another</w:t>
      </w:r>
      <w:r>
        <w:rPr>
          <w:spacing w:val="27"/>
          <w:sz w:val="21"/>
        </w:rPr>
        <w:t> </w:t>
      </w:r>
      <w:r>
        <w:rPr>
          <w:sz w:val="21"/>
        </w:rPr>
        <w:t>agreement</w:t>
      </w:r>
      <w:r>
        <w:rPr>
          <w:spacing w:val="27"/>
          <w:sz w:val="21"/>
        </w:rPr>
        <w:t> </w:t>
      </w:r>
      <w:r>
        <w:rPr>
          <w:sz w:val="21"/>
        </w:rPr>
        <w:t>between</w:t>
      </w:r>
      <w:r>
        <w:rPr>
          <w:spacing w:val="27"/>
          <w:sz w:val="21"/>
        </w:rPr>
        <w:t> </w:t>
      </w:r>
      <w:r>
        <w:rPr>
          <w:sz w:val="21"/>
        </w:rPr>
        <w:t>Employee</w:t>
      </w:r>
      <w:r>
        <w:rPr>
          <w:spacing w:val="27"/>
          <w:sz w:val="21"/>
        </w:rPr>
        <w:t> </w:t>
      </w:r>
      <w:r>
        <w:rPr>
          <w:sz w:val="21"/>
        </w:rPr>
        <w:t>and</w:t>
      </w:r>
      <w:r>
        <w:rPr>
          <w:spacing w:val="27"/>
          <w:sz w:val="21"/>
        </w:rPr>
        <w:t> </w:t>
      </w:r>
      <w:r>
        <w:rPr>
          <w:sz w:val="21"/>
        </w:rPr>
        <w:t>the</w:t>
      </w:r>
      <w:r>
        <w:rPr>
          <w:spacing w:val="27"/>
          <w:sz w:val="21"/>
        </w:rPr>
        <w:t> </w:t>
      </w:r>
      <w:r>
        <w:rPr>
          <w:sz w:val="21"/>
        </w:rPr>
        <w:t>Company)</w:t>
      </w:r>
      <w:r>
        <w:rPr>
          <w:spacing w:val="27"/>
          <w:sz w:val="21"/>
        </w:rPr>
        <w:t> </w:t>
      </w:r>
      <w:r>
        <w:rPr>
          <w:sz w:val="21"/>
        </w:rPr>
        <w:t>is</w:t>
      </w:r>
      <w:r>
        <w:rPr>
          <w:spacing w:val="27"/>
          <w:sz w:val="21"/>
        </w:rPr>
        <w:t> </w:t>
      </w:r>
      <w:r>
        <w:rPr>
          <w:sz w:val="21"/>
        </w:rPr>
        <w:t>intended</w:t>
      </w:r>
      <w:r>
        <w:rPr>
          <w:spacing w:val="27"/>
          <w:sz w:val="21"/>
        </w:rPr>
        <w:t> </w:t>
      </w:r>
      <w:r>
        <w:rPr>
          <w:sz w:val="21"/>
        </w:rPr>
        <w:t>to</w:t>
      </w:r>
      <w:r>
        <w:rPr>
          <w:spacing w:val="27"/>
          <w:sz w:val="21"/>
        </w:rPr>
        <w:t> </w:t>
      </w:r>
      <w:r>
        <w:rPr>
          <w:sz w:val="21"/>
        </w:rPr>
        <w:t>or</w:t>
      </w:r>
      <w:r>
        <w:rPr>
          <w:spacing w:val="27"/>
          <w:sz w:val="21"/>
        </w:rPr>
        <w:t> </w:t>
      </w:r>
      <w:r>
        <w:rPr>
          <w:sz w:val="21"/>
        </w:rPr>
        <w:t>shall</w:t>
      </w:r>
      <w:r>
        <w:rPr>
          <w:spacing w:val="27"/>
          <w:sz w:val="21"/>
        </w:rPr>
        <w:t> </w:t>
      </w:r>
      <w:r>
        <w:rPr>
          <w:sz w:val="21"/>
        </w:rPr>
        <w:t>prevent or</w:t>
      </w:r>
      <w:r>
        <w:rPr>
          <w:spacing w:val="21"/>
          <w:sz w:val="21"/>
        </w:rPr>
        <w:t> </w:t>
      </w:r>
      <w:r>
        <w:rPr>
          <w:sz w:val="21"/>
        </w:rPr>
        <w:t>interfere</w:t>
      </w:r>
      <w:r>
        <w:rPr>
          <w:spacing w:val="21"/>
          <w:sz w:val="21"/>
        </w:rPr>
        <w:t> </w:t>
      </w:r>
      <w:r>
        <w:rPr>
          <w:sz w:val="21"/>
        </w:rPr>
        <w:t>with</w:t>
      </w:r>
      <w:r>
        <w:rPr>
          <w:spacing w:val="21"/>
          <w:sz w:val="21"/>
        </w:rPr>
        <w:t> </w:t>
      </w:r>
      <w:r>
        <w:rPr>
          <w:sz w:val="21"/>
        </w:rPr>
        <w:t>Employee</w:t>
      </w:r>
      <w:r>
        <w:rPr>
          <w:spacing w:val="21"/>
          <w:sz w:val="21"/>
        </w:rPr>
        <w:t> </w:t>
      </w:r>
      <w:r>
        <w:rPr>
          <w:sz w:val="21"/>
        </w:rPr>
        <w:t>disclosing</w:t>
      </w:r>
      <w:r>
        <w:rPr>
          <w:spacing w:val="21"/>
          <w:sz w:val="21"/>
        </w:rPr>
        <w:t> </w:t>
      </w:r>
      <w:r>
        <w:rPr>
          <w:sz w:val="21"/>
        </w:rPr>
        <w:t>information</w:t>
      </w:r>
      <w:r>
        <w:rPr>
          <w:spacing w:val="21"/>
          <w:sz w:val="21"/>
        </w:rPr>
        <w:t> </w:t>
      </w:r>
      <w:r>
        <w:rPr>
          <w:sz w:val="21"/>
        </w:rPr>
        <w:t>that</w:t>
      </w:r>
      <w:r>
        <w:rPr>
          <w:spacing w:val="21"/>
          <w:sz w:val="21"/>
        </w:rPr>
        <w:t> </w:t>
      </w:r>
      <w:r>
        <w:rPr>
          <w:sz w:val="21"/>
        </w:rPr>
        <w:t>Employee</w:t>
      </w:r>
      <w:r>
        <w:rPr>
          <w:spacing w:val="21"/>
          <w:sz w:val="21"/>
        </w:rPr>
        <w:t> </w:t>
      </w:r>
      <w:r>
        <w:rPr>
          <w:sz w:val="21"/>
        </w:rPr>
        <w:t>has</w:t>
      </w:r>
      <w:r>
        <w:rPr>
          <w:spacing w:val="21"/>
          <w:sz w:val="21"/>
        </w:rPr>
        <w:t> </w:t>
      </w:r>
      <w:r>
        <w:rPr>
          <w:sz w:val="21"/>
        </w:rPr>
        <w:t>a</w:t>
      </w:r>
      <w:r>
        <w:rPr>
          <w:spacing w:val="21"/>
          <w:sz w:val="21"/>
        </w:rPr>
        <w:t> </w:t>
      </w:r>
      <w:r>
        <w:rPr>
          <w:sz w:val="21"/>
        </w:rPr>
        <w:t>right</w:t>
      </w:r>
      <w:r>
        <w:rPr>
          <w:spacing w:val="21"/>
          <w:sz w:val="21"/>
        </w:rPr>
        <w:t> </w:t>
      </w:r>
      <w:r>
        <w:rPr>
          <w:sz w:val="21"/>
        </w:rPr>
        <w:t>to</w:t>
      </w:r>
      <w:r>
        <w:rPr>
          <w:spacing w:val="21"/>
          <w:sz w:val="21"/>
        </w:rPr>
        <w:t> </w:t>
      </w:r>
      <w:r>
        <w:rPr>
          <w:sz w:val="21"/>
        </w:rPr>
        <w:t>disclose</w:t>
      </w:r>
      <w:r>
        <w:rPr>
          <w:spacing w:val="21"/>
          <w:sz w:val="21"/>
        </w:rPr>
        <w:t> </w:t>
      </w:r>
      <w:r>
        <w:rPr>
          <w:sz w:val="21"/>
        </w:rPr>
        <w:t>under</w:t>
      </w:r>
      <w:r>
        <w:rPr>
          <w:spacing w:val="21"/>
          <w:sz w:val="21"/>
        </w:rPr>
        <w:t> </w:t>
      </w:r>
      <w:r>
        <w:rPr>
          <w:sz w:val="21"/>
        </w:rPr>
        <w:t>applicable</w:t>
      </w:r>
      <w:r>
        <w:rPr>
          <w:spacing w:val="21"/>
          <w:sz w:val="21"/>
        </w:rPr>
        <w:t> </w:t>
      </w:r>
      <w:r>
        <w:rPr>
          <w:sz w:val="21"/>
        </w:rPr>
        <w:t>law,</w:t>
      </w:r>
      <w:r>
        <w:rPr>
          <w:spacing w:val="21"/>
          <w:sz w:val="21"/>
        </w:rPr>
        <w:t> </w:t>
      </w:r>
      <w:r>
        <w:rPr>
          <w:sz w:val="21"/>
        </w:rPr>
        <w:t>including but</w:t>
      </w:r>
      <w:r>
        <w:rPr>
          <w:spacing w:val="40"/>
          <w:sz w:val="21"/>
        </w:rPr>
        <w:t> </w:t>
      </w:r>
      <w:r>
        <w:rPr>
          <w:sz w:val="21"/>
        </w:rPr>
        <w:t>not</w:t>
      </w:r>
      <w:r>
        <w:rPr>
          <w:spacing w:val="40"/>
          <w:sz w:val="21"/>
        </w:rPr>
        <w:t> </w:t>
      </w:r>
      <w:r>
        <w:rPr>
          <w:sz w:val="21"/>
        </w:rPr>
        <w:t>limited</w:t>
      </w:r>
      <w:r>
        <w:rPr>
          <w:spacing w:val="40"/>
          <w:sz w:val="21"/>
        </w:rPr>
        <w:t> </w:t>
      </w:r>
      <w:r>
        <w:rPr>
          <w:sz w:val="21"/>
        </w:rPr>
        <w:t>to:</w:t>
      </w:r>
      <w:r>
        <w:rPr>
          <w:spacing w:val="40"/>
          <w:sz w:val="21"/>
        </w:rPr>
        <w:t> </w:t>
      </w:r>
      <w:r>
        <w:rPr>
          <w:sz w:val="21"/>
        </w:rPr>
        <w:t>(i)</w:t>
      </w:r>
      <w:r>
        <w:rPr>
          <w:spacing w:val="40"/>
          <w:sz w:val="21"/>
        </w:rPr>
        <w:t> </w:t>
      </w:r>
      <w:r>
        <w:rPr>
          <w:sz w:val="21"/>
        </w:rPr>
        <w:t>Employee</w:t>
      </w:r>
      <w:r>
        <w:rPr>
          <w:spacing w:val="40"/>
          <w:sz w:val="21"/>
        </w:rPr>
        <w:t> </w:t>
      </w:r>
      <w:r>
        <w:rPr>
          <w:sz w:val="21"/>
        </w:rPr>
        <w:t>discussing</w:t>
      </w:r>
      <w:r>
        <w:rPr>
          <w:spacing w:val="40"/>
          <w:sz w:val="21"/>
        </w:rPr>
        <w:t> </w:t>
      </w:r>
      <w:r>
        <w:rPr>
          <w:sz w:val="21"/>
        </w:rPr>
        <w:t>or</w:t>
      </w:r>
      <w:r>
        <w:rPr>
          <w:spacing w:val="40"/>
          <w:sz w:val="21"/>
        </w:rPr>
        <w:t> </w:t>
      </w:r>
      <w:r>
        <w:rPr>
          <w:sz w:val="21"/>
        </w:rPr>
        <w:t>disclosing</w:t>
      </w:r>
      <w:r>
        <w:rPr>
          <w:spacing w:val="40"/>
          <w:sz w:val="21"/>
        </w:rPr>
        <w:t> </w:t>
      </w:r>
      <w:r>
        <w:rPr>
          <w:sz w:val="21"/>
        </w:rPr>
        <w:t>information</w:t>
      </w:r>
      <w:r>
        <w:rPr>
          <w:spacing w:val="40"/>
          <w:sz w:val="21"/>
        </w:rPr>
        <w:t> </w:t>
      </w:r>
      <w:r>
        <w:rPr>
          <w:sz w:val="21"/>
        </w:rPr>
        <w:t>relating</w:t>
      </w:r>
      <w:r>
        <w:rPr>
          <w:spacing w:val="40"/>
          <w:sz w:val="21"/>
        </w:rPr>
        <w:t> </w:t>
      </w:r>
      <w:r>
        <w:rPr>
          <w:sz w:val="21"/>
        </w:rPr>
        <w:t>to</w:t>
      </w:r>
      <w:r>
        <w:rPr>
          <w:spacing w:val="40"/>
          <w:sz w:val="21"/>
        </w:rPr>
        <w:t> </w:t>
      </w:r>
      <w:r>
        <w:rPr>
          <w:sz w:val="21"/>
        </w:rPr>
        <w:t>conduct</w:t>
      </w:r>
      <w:r>
        <w:rPr>
          <w:spacing w:val="40"/>
          <w:sz w:val="21"/>
        </w:rPr>
        <w:t> </w:t>
      </w:r>
      <w:r>
        <w:rPr>
          <w:sz w:val="21"/>
        </w:rPr>
        <w:t>that</w:t>
      </w:r>
      <w:r>
        <w:rPr>
          <w:spacing w:val="40"/>
          <w:sz w:val="21"/>
        </w:rPr>
        <w:t> </w:t>
      </w:r>
      <w:r>
        <w:rPr>
          <w:sz w:val="21"/>
        </w:rPr>
        <w:t>Employee</w:t>
      </w:r>
      <w:r>
        <w:rPr>
          <w:spacing w:val="40"/>
          <w:sz w:val="21"/>
        </w:rPr>
        <w:t> </w:t>
      </w:r>
      <w:r>
        <w:rPr>
          <w:sz w:val="21"/>
        </w:rPr>
        <w:t>reasonably believes</w:t>
      </w:r>
      <w:r>
        <w:rPr>
          <w:spacing w:val="20"/>
          <w:sz w:val="21"/>
        </w:rPr>
        <w:t> </w:t>
      </w:r>
      <w:r>
        <w:rPr>
          <w:sz w:val="21"/>
        </w:rPr>
        <w:t>to</w:t>
      </w:r>
      <w:r>
        <w:rPr>
          <w:spacing w:val="20"/>
          <w:sz w:val="21"/>
        </w:rPr>
        <w:t> </w:t>
      </w:r>
      <w:r>
        <w:rPr>
          <w:sz w:val="21"/>
        </w:rPr>
        <w:t>be</w:t>
      </w:r>
      <w:r>
        <w:rPr>
          <w:spacing w:val="20"/>
          <w:sz w:val="21"/>
        </w:rPr>
        <w:t> </w:t>
      </w:r>
      <w:r>
        <w:rPr>
          <w:sz w:val="21"/>
        </w:rPr>
        <w:t>illegal</w:t>
      </w:r>
      <w:r>
        <w:rPr>
          <w:spacing w:val="20"/>
          <w:sz w:val="21"/>
        </w:rPr>
        <w:t> </w:t>
      </w:r>
      <w:r>
        <w:rPr>
          <w:sz w:val="21"/>
        </w:rPr>
        <w:t>discrimination,</w:t>
      </w:r>
      <w:r>
        <w:rPr>
          <w:spacing w:val="20"/>
          <w:sz w:val="21"/>
        </w:rPr>
        <w:t> </w:t>
      </w:r>
      <w:r>
        <w:rPr>
          <w:sz w:val="21"/>
        </w:rPr>
        <w:t>illegal</w:t>
      </w:r>
      <w:r>
        <w:rPr>
          <w:spacing w:val="20"/>
          <w:sz w:val="21"/>
        </w:rPr>
        <w:t> </w:t>
      </w:r>
      <w:r>
        <w:rPr>
          <w:sz w:val="21"/>
        </w:rPr>
        <w:t>harassment,</w:t>
      </w:r>
      <w:r>
        <w:rPr>
          <w:spacing w:val="20"/>
          <w:sz w:val="21"/>
        </w:rPr>
        <w:t> </w:t>
      </w:r>
      <w:r>
        <w:rPr>
          <w:sz w:val="21"/>
        </w:rPr>
        <w:t>illegal</w:t>
      </w:r>
      <w:r>
        <w:rPr>
          <w:spacing w:val="20"/>
          <w:sz w:val="21"/>
        </w:rPr>
        <w:t> </w:t>
      </w:r>
      <w:r>
        <w:rPr>
          <w:sz w:val="21"/>
        </w:rPr>
        <w:t>retaliation,</w:t>
      </w:r>
      <w:r>
        <w:rPr>
          <w:spacing w:val="20"/>
          <w:sz w:val="21"/>
        </w:rPr>
        <w:t> </w:t>
      </w:r>
      <w:r>
        <w:rPr>
          <w:sz w:val="21"/>
        </w:rPr>
        <w:t>a</w:t>
      </w:r>
      <w:r>
        <w:rPr>
          <w:spacing w:val="20"/>
          <w:sz w:val="21"/>
        </w:rPr>
        <w:t> </w:t>
      </w:r>
      <w:r>
        <w:rPr>
          <w:sz w:val="21"/>
        </w:rPr>
        <w:t>wage</w:t>
      </w:r>
      <w:r>
        <w:rPr>
          <w:spacing w:val="20"/>
          <w:sz w:val="21"/>
        </w:rPr>
        <w:t> </w:t>
      </w:r>
      <w:r>
        <w:rPr>
          <w:sz w:val="21"/>
        </w:rPr>
        <w:t>and</w:t>
      </w:r>
      <w:r>
        <w:rPr>
          <w:spacing w:val="20"/>
          <w:sz w:val="21"/>
        </w:rPr>
        <w:t> </w:t>
      </w:r>
      <w:r>
        <w:rPr>
          <w:sz w:val="21"/>
        </w:rPr>
        <w:t>hour</w:t>
      </w:r>
      <w:r>
        <w:rPr>
          <w:spacing w:val="20"/>
          <w:sz w:val="21"/>
        </w:rPr>
        <w:t> </w:t>
      </w:r>
      <w:r>
        <w:rPr>
          <w:sz w:val="21"/>
        </w:rPr>
        <w:t>violation,</w:t>
      </w:r>
      <w:r>
        <w:rPr>
          <w:spacing w:val="20"/>
          <w:sz w:val="21"/>
        </w:rPr>
        <w:t> </w:t>
      </w:r>
      <w:r>
        <w:rPr>
          <w:sz w:val="21"/>
        </w:rPr>
        <w:t>sexual</w:t>
      </w:r>
      <w:r>
        <w:rPr>
          <w:spacing w:val="20"/>
          <w:sz w:val="21"/>
        </w:rPr>
        <w:t> </w:t>
      </w:r>
      <w:r>
        <w:rPr>
          <w:sz w:val="21"/>
        </w:rPr>
        <w:t>assault</w:t>
      </w:r>
      <w:r>
        <w:rPr>
          <w:spacing w:val="20"/>
          <w:sz w:val="21"/>
        </w:rPr>
        <w:t> </w:t>
      </w:r>
      <w:r>
        <w:rPr>
          <w:sz w:val="21"/>
        </w:rPr>
        <w:t>that is</w:t>
      </w:r>
      <w:r>
        <w:rPr>
          <w:spacing w:val="38"/>
          <w:sz w:val="21"/>
        </w:rPr>
        <w:t> </w:t>
      </w:r>
      <w:r>
        <w:rPr>
          <w:sz w:val="21"/>
        </w:rPr>
        <w:t>recognized</w:t>
      </w:r>
      <w:r>
        <w:rPr>
          <w:spacing w:val="38"/>
          <w:sz w:val="21"/>
        </w:rPr>
        <w:t> </w:t>
      </w:r>
      <w:r>
        <w:rPr>
          <w:sz w:val="21"/>
        </w:rPr>
        <w:t>as</w:t>
      </w:r>
      <w:r>
        <w:rPr>
          <w:spacing w:val="38"/>
          <w:sz w:val="21"/>
        </w:rPr>
        <w:t> </w:t>
      </w:r>
      <w:r>
        <w:rPr>
          <w:sz w:val="21"/>
        </w:rPr>
        <w:t>illegal</w:t>
      </w:r>
      <w:r>
        <w:rPr>
          <w:spacing w:val="38"/>
          <w:sz w:val="21"/>
        </w:rPr>
        <w:t> </w:t>
      </w:r>
      <w:r>
        <w:rPr>
          <w:sz w:val="21"/>
        </w:rPr>
        <w:t>under</w:t>
      </w:r>
      <w:r>
        <w:rPr>
          <w:spacing w:val="38"/>
          <w:sz w:val="21"/>
        </w:rPr>
        <w:t> </w:t>
      </w:r>
      <w:r>
        <w:rPr>
          <w:sz w:val="21"/>
        </w:rPr>
        <w:t>any</w:t>
      </w:r>
      <w:r>
        <w:rPr>
          <w:spacing w:val="38"/>
          <w:sz w:val="21"/>
        </w:rPr>
        <w:t> </w:t>
      </w:r>
      <w:r>
        <w:rPr>
          <w:sz w:val="21"/>
        </w:rPr>
        <w:t>state,</w:t>
      </w:r>
      <w:r>
        <w:rPr>
          <w:spacing w:val="38"/>
          <w:sz w:val="21"/>
        </w:rPr>
        <w:t> </w:t>
      </w:r>
      <w:r>
        <w:rPr>
          <w:sz w:val="21"/>
        </w:rPr>
        <w:t>federal,</w:t>
      </w:r>
      <w:r>
        <w:rPr>
          <w:spacing w:val="38"/>
          <w:sz w:val="21"/>
        </w:rPr>
        <w:t> </w:t>
      </w:r>
      <w:r>
        <w:rPr>
          <w:sz w:val="21"/>
        </w:rPr>
        <w:t>or</w:t>
      </w:r>
      <w:r>
        <w:rPr>
          <w:spacing w:val="38"/>
          <w:sz w:val="21"/>
        </w:rPr>
        <w:t> </w:t>
      </w:r>
      <w:r>
        <w:rPr>
          <w:sz w:val="21"/>
        </w:rPr>
        <w:t>common</w:t>
      </w:r>
      <w:r>
        <w:rPr>
          <w:spacing w:val="38"/>
          <w:sz w:val="21"/>
        </w:rPr>
        <w:t> </w:t>
      </w:r>
      <w:r>
        <w:rPr>
          <w:sz w:val="21"/>
        </w:rPr>
        <w:t>law,</w:t>
      </w:r>
      <w:r>
        <w:rPr>
          <w:spacing w:val="38"/>
          <w:sz w:val="21"/>
        </w:rPr>
        <w:t> </w:t>
      </w:r>
      <w:r>
        <w:rPr>
          <w:sz w:val="21"/>
        </w:rPr>
        <w:t>or</w:t>
      </w:r>
      <w:r>
        <w:rPr>
          <w:spacing w:val="38"/>
          <w:sz w:val="21"/>
        </w:rPr>
        <w:t> </w:t>
      </w:r>
      <w:r>
        <w:rPr>
          <w:sz w:val="21"/>
        </w:rPr>
        <w:t>that</w:t>
      </w:r>
      <w:r>
        <w:rPr>
          <w:spacing w:val="38"/>
          <w:sz w:val="21"/>
        </w:rPr>
        <w:t> </w:t>
      </w:r>
      <w:r>
        <w:rPr>
          <w:sz w:val="21"/>
        </w:rPr>
        <w:t>is</w:t>
      </w:r>
      <w:r>
        <w:rPr>
          <w:spacing w:val="38"/>
          <w:sz w:val="21"/>
        </w:rPr>
        <w:t> </w:t>
      </w:r>
      <w:r>
        <w:rPr>
          <w:sz w:val="21"/>
        </w:rPr>
        <w:t>recognized</w:t>
      </w:r>
      <w:r>
        <w:rPr>
          <w:spacing w:val="38"/>
          <w:sz w:val="21"/>
        </w:rPr>
        <w:t> </w:t>
      </w:r>
      <w:r>
        <w:rPr>
          <w:sz w:val="21"/>
        </w:rPr>
        <w:t>as</w:t>
      </w:r>
      <w:r>
        <w:rPr>
          <w:spacing w:val="38"/>
          <w:sz w:val="21"/>
        </w:rPr>
        <w:t> </w:t>
      </w:r>
      <w:r>
        <w:rPr>
          <w:sz w:val="21"/>
        </w:rPr>
        <w:t>against</w:t>
      </w:r>
      <w:r>
        <w:rPr>
          <w:spacing w:val="38"/>
          <w:sz w:val="21"/>
        </w:rPr>
        <w:t> </w:t>
      </w:r>
      <w:r>
        <w:rPr>
          <w:sz w:val="21"/>
        </w:rPr>
        <w:t>a</w:t>
      </w:r>
      <w:r>
        <w:rPr>
          <w:spacing w:val="38"/>
          <w:sz w:val="21"/>
        </w:rPr>
        <w:t> </w:t>
      </w:r>
      <w:r>
        <w:rPr>
          <w:sz w:val="21"/>
        </w:rPr>
        <w:t>clear</w:t>
      </w:r>
      <w:r>
        <w:rPr>
          <w:spacing w:val="38"/>
          <w:sz w:val="21"/>
        </w:rPr>
        <w:t> </w:t>
      </w:r>
      <w:r>
        <w:rPr>
          <w:sz w:val="21"/>
        </w:rPr>
        <w:t>mandate</w:t>
      </w:r>
      <w:r>
        <w:rPr>
          <w:spacing w:val="38"/>
          <w:sz w:val="21"/>
        </w:rPr>
        <w:t> </w:t>
      </w:r>
      <w:r>
        <w:rPr>
          <w:sz w:val="21"/>
        </w:rPr>
        <w:t>of public</w:t>
      </w:r>
      <w:r>
        <w:rPr>
          <w:spacing w:val="40"/>
          <w:sz w:val="21"/>
        </w:rPr>
        <w:t> </w:t>
      </w:r>
      <w:r>
        <w:rPr>
          <w:sz w:val="21"/>
        </w:rPr>
        <w:t>policy,</w:t>
      </w:r>
      <w:r>
        <w:rPr>
          <w:spacing w:val="40"/>
          <w:sz w:val="21"/>
        </w:rPr>
        <w:t> </w:t>
      </w:r>
      <w:r>
        <w:rPr>
          <w:sz w:val="21"/>
        </w:rPr>
        <w:t>and</w:t>
      </w:r>
      <w:r>
        <w:rPr>
          <w:spacing w:val="40"/>
          <w:sz w:val="21"/>
        </w:rPr>
        <w:t> </w:t>
      </w:r>
      <w:r>
        <w:rPr>
          <w:sz w:val="21"/>
        </w:rPr>
        <w:t>that</w:t>
      </w:r>
      <w:r>
        <w:rPr>
          <w:spacing w:val="40"/>
          <w:sz w:val="21"/>
        </w:rPr>
        <w:t> </w:t>
      </w:r>
      <w:r>
        <w:rPr>
          <w:sz w:val="21"/>
        </w:rPr>
        <w:t>occurs</w:t>
      </w:r>
      <w:r>
        <w:rPr>
          <w:spacing w:val="40"/>
          <w:sz w:val="21"/>
        </w:rPr>
        <w:t> </w:t>
      </w:r>
      <w:r>
        <w:rPr>
          <w:sz w:val="21"/>
        </w:rPr>
        <w:t>or</w:t>
      </w:r>
      <w:r>
        <w:rPr>
          <w:spacing w:val="40"/>
          <w:sz w:val="21"/>
        </w:rPr>
        <w:t> </w:t>
      </w:r>
      <w:r>
        <w:rPr>
          <w:sz w:val="21"/>
        </w:rPr>
        <w:t>occurred</w:t>
      </w:r>
      <w:r>
        <w:rPr>
          <w:spacing w:val="40"/>
          <w:sz w:val="21"/>
        </w:rPr>
        <w:t> </w:t>
      </w:r>
      <w:r>
        <w:rPr>
          <w:sz w:val="21"/>
        </w:rPr>
        <w:t>at</w:t>
      </w:r>
      <w:r>
        <w:rPr>
          <w:spacing w:val="40"/>
          <w:sz w:val="21"/>
        </w:rPr>
        <w:t> </w:t>
      </w:r>
      <w:r>
        <w:rPr>
          <w:sz w:val="21"/>
        </w:rPr>
        <w:t>the</w:t>
      </w:r>
      <w:r>
        <w:rPr>
          <w:spacing w:val="40"/>
          <w:sz w:val="21"/>
        </w:rPr>
        <w:t> </w:t>
      </w:r>
      <w:r>
        <w:rPr>
          <w:sz w:val="21"/>
        </w:rPr>
        <w:t>workplace,</w:t>
      </w:r>
      <w:r>
        <w:rPr>
          <w:spacing w:val="40"/>
          <w:sz w:val="21"/>
        </w:rPr>
        <w:t> </w:t>
      </w:r>
      <w:r>
        <w:rPr>
          <w:sz w:val="21"/>
        </w:rPr>
        <w:t>at</w:t>
      </w:r>
      <w:r>
        <w:rPr>
          <w:spacing w:val="40"/>
          <w:sz w:val="21"/>
        </w:rPr>
        <w:t> </w:t>
      </w:r>
      <w:r>
        <w:rPr>
          <w:sz w:val="21"/>
        </w:rPr>
        <w:t>work-related</w:t>
      </w:r>
      <w:r>
        <w:rPr>
          <w:spacing w:val="40"/>
          <w:sz w:val="21"/>
        </w:rPr>
        <w:t> </w:t>
      </w:r>
      <w:r>
        <w:rPr>
          <w:sz w:val="21"/>
        </w:rPr>
        <w:t>events</w:t>
      </w:r>
      <w:r>
        <w:rPr>
          <w:spacing w:val="40"/>
          <w:sz w:val="21"/>
        </w:rPr>
        <w:t> </w:t>
      </w:r>
      <w:r>
        <w:rPr>
          <w:sz w:val="21"/>
        </w:rPr>
        <w:t>coordinated</w:t>
      </w:r>
      <w:r>
        <w:rPr>
          <w:spacing w:val="40"/>
          <w:sz w:val="21"/>
        </w:rPr>
        <w:t> </w:t>
      </w:r>
      <w:r>
        <w:rPr>
          <w:sz w:val="21"/>
        </w:rPr>
        <w:t>by</w:t>
      </w:r>
      <w:r>
        <w:rPr>
          <w:spacing w:val="40"/>
          <w:sz w:val="21"/>
        </w:rPr>
        <w:t> </w:t>
      </w:r>
      <w:r>
        <w:rPr>
          <w:sz w:val="21"/>
        </w:rPr>
        <w:t>or</w:t>
      </w:r>
      <w:r>
        <w:rPr>
          <w:spacing w:val="40"/>
          <w:sz w:val="21"/>
        </w:rPr>
        <w:t> </w:t>
      </w:r>
      <w:r>
        <w:rPr>
          <w:sz w:val="21"/>
        </w:rPr>
        <w:t>through</w:t>
      </w:r>
      <w:r>
        <w:rPr>
          <w:spacing w:val="40"/>
          <w:sz w:val="21"/>
        </w:rPr>
        <w:t> </w:t>
      </w:r>
      <w:r>
        <w:rPr>
          <w:sz w:val="21"/>
        </w:rPr>
        <w:t>the Company, between employees of the Company or between the Company and an employee, whether on or off the employment</w:t>
      </w:r>
      <w:r>
        <w:rPr>
          <w:spacing w:val="31"/>
          <w:sz w:val="21"/>
        </w:rPr>
        <w:t> </w:t>
      </w:r>
      <w:r>
        <w:rPr>
          <w:sz w:val="21"/>
        </w:rPr>
        <w:t>premises;</w:t>
      </w:r>
      <w:r>
        <w:rPr>
          <w:spacing w:val="31"/>
          <w:sz w:val="21"/>
        </w:rPr>
        <w:t> </w:t>
      </w:r>
      <w:r>
        <w:rPr>
          <w:sz w:val="21"/>
        </w:rPr>
        <w:t>and</w:t>
      </w:r>
      <w:r>
        <w:rPr>
          <w:spacing w:val="31"/>
          <w:sz w:val="21"/>
        </w:rPr>
        <w:t> </w:t>
      </w:r>
      <w:r>
        <w:rPr>
          <w:sz w:val="21"/>
        </w:rPr>
        <w:t>(ii)</w:t>
      </w:r>
      <w:r>
        <w:rPr>
          <w:spacing w:val="31"/>
          <w:sz w:val="21"/>
        </w:rPr>
        <w:t> </w:t>
      </w:r>
      <w:r>
        <w:rPr>
          <w:sz w:val="21"/>
        </w:rPr>
        <w:t>Employee</w:t>
      </w:r>
      <w:r>
        <w:rPr>
          <w:spacing w:val="31"/>
          <w:sz w:val="21"/>
        </w:rPr>
        <w:t> </w:t>
      </w:r>
      <w:r>
        <w:rPr>
          <w:sz w:val="21"/>
        </w:rPr>
        <w:t>disclosing</w:t>
      </w:r>
      <w:r>
        <w:rPr>
          <w:spacing w:val="31"/>
          <w:sz w:val="21"/>
        </w:rPr>
        <w:t> </w:t>
      </w:r>
      <w:r>
        <w:rPr>
          <w:sz w:val="21"/>
        </w:rPr>
        <w:t>Employee’s</w:t>
      </w:r>
      <w:r>
        <w:rPr>
          <w:spacing w:val="31"/>
          <w:sz w:val="21"/>
        </w:rPr>
        <w:t> </w:t>
      </w:r>
      <w:r>
        <w:rPr>
          <w:sz w:val="21"/>
        </w:rPr>
        <w:t>own</w:t>
      </w:r>
      <w:r>
        <w:rPr>
          <w:spacing w:val="31"/>
          <w:sz w:val="21"/>
        </w:rPr>
        <w:t> </w:t>
      </w:r>
      <w:r>
        <w:rPr>
          <w:sz w:val="21"/>
        </w:rPr>
        <w:t>compensation</w:t>
      </w:r>
      <w:r>
        <w:rPr>
          <w:spacing w:val="31"/>
          <w:sz w:val="21"/>
        </w:rPr>
        <w:t> </w:t>
      </w:r>
      <w:r>
        <w:rPr>
          <w:sz w:val="21"/>
        </w:rPr>
        <w:t>information</w:t>
      </w:r>
      <w:r>
        <w:rPr>
          <w:spacing w:val="31"/>
          <w:sz w:val="21"/>
        </w:rPr>
        <w:t> </w:t>
      </w:r>
      <w:r>
        <w:rPr>
          <w:sz w:val="21"/>
        </w:rPr>
        <w:t>with</w:t>
      </w:r>
      <w:r>
        <w:rPr>
          <w:spacing w:val="31"/>
          <w:sz w:val="21"/>
        </w:rPr>
        <w:t> </w:t>
      </w:r>
      <w:r>
        <w:rPr>
          <w:sz w:val="21"/>
        </w:rPr>
        <w:t>other</w:t>
      </w:r>
      <w:r>
        <w:rPr>
          <w:spacing w:val="31"/>
          <w:sz w:val="21"/>
        </w:rPr>
        <w:t> </w:t>
      </w:r>
      <w:r>
        <w:rPr>
          <w:sz w:val="21"/>
        </w:rPr>
        <w:t>employees, or with third parties who are not future employers or competitors of the Company.</w:t>
      </w:r>
    </w:p>
    <w:p>
      <w:pPr>
        <w:pStyle w:val="ListParagraph"/>
        <w:numPr>
          <w:ilvl w:val="1"/>
          <w:numId w:val="51"/>
        </w:numPr>
        <w:tabs>
          <w:tab w:pos="801" w:val="left" w:leader="none"/>
        </w:tabs>
        <w:spacing w:line="213" w:lineRule="auto" w:before="226" w:after="0"/>
        <w:ind w:left="468" w:right="224" w:firstLine="0"/>
        <w:jc w:val="left"/>
        <w:rPr>
          <w:sz w:val="21"/>
        </w:rPr>
      </w:pPr>
      <w:r>
        <w:rPr>
          <w:sz w:val="21"/>
          <w:u w:val="single"/>
        </w:rPr>
        <w:t>Third</w:t>
      </w:r>
      <w:r>
        <w:rPr>
          <w:spacing w:val="28"/>
          <w:sz w:val="21"/>
          <w:u w:val="single"/>
        </w:rPr>
        <w:t> </w:t>
      </w:r>
      <w:r>
        <w:rPr>
          <w:sz w:val="21"/>
          <w:u w:val="single"/>
        </w:rPr>
        <w:t>Par</w:t>
      </w:r>
      <w:r>
        <w:rPr>
          <w:sz w:val="21"/>
        </w:rPr>
        <w:t>ty</w:t>
      </w:r>
      <w:r>
        <w:rPr>
          <w:spacing w:val="68"/>
          <w:sz w:val="21"/>
          <w:u w:val="single"/>
        </w:rPr>
        <w:t> </w:t>
      </w:r>
      <w:r>
        <w:rPr>
          <w:sz w:val="21"/>
          <w:u w:val="single"/>
        </w:rPr>
        <w:t>Information</w:t>
      </w:r>
      <w:r>
        <w:rPr>
          <w:sz w:val="21"/>
        </w:rPr>
        <w:t>.</w:t>
      </w:r>
      <w:r>
        <w:rPr>
          <w:spacing w:val="28"/>
          <w:sz w:val="21"/>
        </w:rPr>
        <w:t> </w:t>
      </w:r>
      <w:r>
        <w:rPr>
          <w:sz w:val="21"/>
        </w:rPr>
        <w:t>Employee</w:t>
      </w:r>
      <w:r>
        <w:rPr>
          <w:spacing w:val="28"/>
          <w:sz w:val="21"/>
        </w:rPr>
        <w:t> </w:t>
      </w:r>
      <w:r>
        <w:rPr>
          <w:sz w:val="21"/>
        </w:rPr>
        <w:t>understands</w:t>
      </w:r>
      <w:r>
        <w:rPr>
          <w:spacing w:val="28"/>
          <w:sz w:val="21"/>
        </w:rPr>
        <w:t> </w:t>
      </w:r>
      <w:r>
        <w:rPr>
          <w:sz w:val="21"/>
        </w:rPr>
        <w:t>and</w:t>
      </w:r>
      <w:r>
        <w:rPr>
          <w:spacing w:val="28"/>
          <w:sz w:val="21"/>
        </w:rPr>
        <w:t> </w:t>
      </w:r>
      <w:r>
        <w:rPr>
          <w:sz w:val="21"/>
        </w:rPr>
        <w:t>acknowledges</w:t>
      </w:r>
      <w:r>
        <w:rPr>
          <w:spacing w:val="28"/>
          <w:sz w:val="21"/>
        </w:rPr>
        <w:t> </w:t>
      </w:r>
      <w:r>
        <w:rPr>
          <w:sz w:val="21"/>
        </w:rPr>
        <w:t>that</w:t>
      </w:r>
      <w:r>
        <w:rPr>
          <w:spacing w:val="28"/>
          <w:sz w:val="21"/>
        </w:rPr>
        <w:t> </w:t>
      </w:r>
      <w:r>
        <w:rPr>
          <w:sz w:val="21"/>
        </w:rPr>
        <w:t>Employer</w:t>
      </w:r>
      <w:r>
        <w:rPr>
          <w:spacing w:val="28"/>
          <w:sz w:val="21"/>
        </w:rPr>
        <w:t> </w:t>
      </w:r>
      <w:r>
        <w:rPr>
          <w:sz w:val="21"/>
        </w:rPr>
        <w:t>and</w:t>
      </w:r>
      <w:r>
        <w:rPr>
          <w:spacing w:val="28"/>
          <w:sz w:val="21"/>
        </w:rPr>
        <w:t> </w:t>
      </w:r>
      <w:r>
        <w:rPr>
          <w:sz w:val="21"/>
        </w:rPr>
        <w:t>the</w:t>
      </w:r>
      <w:r>
        <w:rPr>
          <w:spacing w:val="28"/>
          <w:sz w:val="21"/>
        </w:rPr>
        <w:t> </w:t>
      </w:r>
      <w:r>
        <w:rPr>
          <w:sz w:val="21"/>
        </w:rPr>
        <w:t>Company</w:t>
      </w:r>
      <w:r>
        <w:rPr>
          <w:spacing w:val="28"/>
          <w:sz w:val="21"/>
        </w:rPr>
        <w:t> </w:t>
      </w:r>
      <w:r>
        <w:rPr>
          <w:sz w:val="21"/>
        </w:rPr>
        <w:t>have</w:t>
      </w:r>
      <w:r>
        <w:rPr>
          <w:spacing w:val="28"/>
          <w:sz w:val="21"/>
        </w:rPr>
        <w:t> </w:t>
      </w:r>
      <w:r>
        <w:rPr>
          <w:sz w:val="21"/>
        </w:rPr>
        <w:t>received,</w:t>
      </w:r>
      <w:r>
        <w:rPr>
          <w:spacing w:val="28"/>
          <w:sz w:val="21"/>
        </w:rPr>
        <w:t> </w:t>
      </w:r>
      <w:r>
        <w:rPr>
          <w:sz w:val="21"/>
        </w:rPr>
        <w:t>and</w:t>
      </w:r>
      <w:r>
        <w:rPr>
          <w:spacing w:val="28"/>
          <w:sz w:val="21"/>
        </w:rPr>
        <w:t> </w:t>
      </w:r>
      <w:r>
        <w:rPr>
          <w:sz w:val="21"/>
        </w:rPr>
        <w:t>in the</w:t>
      </w:r>
      <w:r>
        <w:rPr>
          <w:spacing w:val="25"/>
          <w:sz w:val="21"/>
        </w:rPr>
        <w:t> </w:t>
      </w:r>
      <w:r>
        <w:rPr>
          <w:sz w:val="21"/>
        </w:rPr>
        <w:t>future</w:t>
      </w:r>
      <w:r>
        <w:rPr>
          <w:spacing w:val="25"/>
          <w:sz w:val="21"/>
        </w:rPr>
        <w:t> </w:t>
      </w:r>
      <w:r>
        <w:rPr>
          <w:sz w:val="21"/>
        </w:rPr>
        <w:t>will</w:t>
      </w:r>
      <w:r>
        <w:rPr>
          <w:spacing w:val="25"/>
          <w:sz w:val="21"/>
        </w:rPr>
        <w:t> </w:t>
      </w:r>
      <w:r>
        <w:rPr>
          <w:sz w:val="21"/>
        </w:rPr>
        <w:t>receive,</w:t>
      </w:r>
      <w:r>
        <w:rPr>
          <w:spacing w:val="25"/>
          <w:sz w:val="21"/>
        </w:rPr>
        <w:t> </w:t>
      </w:r>
      <w:r>
        <w:rPr>
          <w:sz w:val="21"/>
        </w:rPr>
        <w:t>from</w:t>
      </w:r>
      <w:r>
        <w:rPr>
          <w:spacing w:val="25"/>
          <w:sz w:val="21"/>
        </w:rPr>
        <w:t> </w:t>
      </w:r>
      <w:r>
        <w:rPr>
          <w:sz w:val="21"/>
        </w:rPr>
        <w:t>third</w:t>
      </w:r>
      <w:r>
        <w:rPr>
          <w:spacing w:val="25"/>
          <w:sz w:val="21"/>
        </w:rPr>
        <w:t> </w:t>
      </w:r>
      <w:r>
        <w:rPr>
          <w:sz w:val="21"/>
        </w:rPr>
        <w:t>parties,</w:t>
      </w:r>
      <w:r>
        <w:rPr>
          <w:spacing w:val="25"/>
          <w:sz w:val="21"/>
        </w:rPr>
        <w:t> </w:t>
      </w:r>
      <w:r>
        <w:rPr>
          <w:sz w:val="21"/>
        </w:rPr>
        <w:t>their</w:t>
      </w:r>
      <w:r>
        <w:rPr>
          <w:spacing w:val="25"/>
          <w:sz w:val="21"/>
        </w:rPr>
        <w:t> </w:t>
      </w:r>
      <w:r>
        <w:rPr>
          <w:sz w:val="21"/>
        </w:rPr>
        <w:t>confidential</w:t>
      </w:r>
      <w:r>
        <w:rPr>
          <w:spacing w:val="25"/>
          <w:sz w:val="21"/>
        </w:rPr>
        <w:t> </w:t>
      </w:r>
      <w:r>
        <w:rPr>
          <w:sz w:val="21"/>
        </w:rPr>
        <w:t>or</w:t>
      </w:r>
      <w:r>
        <w:rPr>
          <w:spacing w:val="25"/>
          <w:sz w:val="21"/>
        </w:rPr>
        <w:t> </w:t>
      </w:r>
      <w:r>
        <w:rPr>
          <w:sz w:val="21"/>
        </w:rPr>
        <w:t>proprietary</w:t>
      </w:r>
      <w:r>
        <w:rPr>
          <w:spacing w:val="25"/>
          <w:sz w:val="21"/>
        </w:rPr>
        <w:t> </w:t>
      </w:r>
      <w:r>
        <w:rPr>
          <w:sz w:val="21"/>
        </w:rPr>
        <w:t>information</w:t>
      </w:r>
      <w:r>
        <w:rPr>
          <w:spacing w:val="25"/>
          <w:sz w:val="21"/>
        </w:rPr>
        <w:t> </w:t>
      </w:r>
      <w:r>
        <w:rPr>
          <w:sz w:val="21"/>
        </w:rPr>
        <w:t>subject</w:t>
      </w:r>
      <w:r>
        <w:rPr>
          <w:spacing w:val="25"/>
          <w:sz w:val="21"/>
        </w:rPr>
        <w:t> </w:t>
      </w:r>
      <w:r>
        <w:rPr>
          <w:sz w:val="21"/>
        </w:rPr>
        <w:t>to</w:t>
      </w:r>
      <w:r>
        <w:rPr>
          <w:spacing w:val="25"/>
          <w:sz w:val="21"/>
        </w:rPr>
        <w:t> </w:t>
      </w:r>
      <w:r>
        <w:rPr>
          <w:sz w:val="21"/>
        </w:rPr>
        <w:t>a</w:t>
      </w:r>
      <w:r>
        <w:rPr>
          <w:spacing w:val="25"/>
          <w:sz w:val="21"/>
        </w:rPr>
        <w:t> </w:t>
      </w:r>
      <w:r>
        <w:rPr>
          <w:sz w:val="21"/>
        </w:rPr>
        <w:t>duty</w:t>
      </w:r>
      <w:r>
        <w:rPr>
          <w:spacing w:val="25"/>
          <w:sz w:val="21"/>
        </w:rPr>
        <w:t> </w:t>
      </w:r>
      <w:r>
        <w:rPr>
          <w:sz w:val="21"/>
        </w:rPr>
        <w:t>to</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65"/>
        <w:rPr>
          <w:sz w:val="21"/>
        </w:rPr>
      </w:pPr>
    </w:p>
    <w:p>
      <w:pPr>
        <w:spacing w:before="0"/>
        <w:ind w:left="24" w:right="0" w:firstLine="0"/>
        <w:jc w:val="center"/>
        <w:rPr>
          <w:sz w:val="21"/>
        </w:rPr>
      </w:pPr>
      <w:r>
        <w:rPr>
          <w:spacing w:val="-10"/>
          <w:sz w:val="21"/>
        </w:rPr>
        <w:t>8</w:t>
      </w:r>
    </w:p>
    <w:p>
      <w:pPr>
        <w:pStyle w:val="BodyText"/>
        <w:spacing w:before="6"/>
        <w:rPr>
          <w:sz w:val="4"/>
        </w:rPr>
      </w:pPr>
      <w:r>
        <w:rPr/>
        <mc:AlternateContent>
          <mc:Choice Requires="wps">
            <w:drawing>
              <wp:anchor distT="0" distB="0" distL="0" distR="0" allowOverlap="1" layoutInCell="1" locked="0" behindDoc="1" simplePos="0" relativeHeight="487806976">
                <wp:simplePos x="0" y="0"/>
                <wp:positionH relativeFrom="page">
                  <wp:posOffset>231457</wp:posOffset>
                </wp:positionH>
                <wp:positionV relativeFrom="paragraph">
                  <wp:posOffset>48257</wp:posOffset>
                </wp:positionV>
                <wp:extent cx="7312659" cy="17145"/>
                <wp:effectExtent l="0" t="0" r="0" b="0"/>
                <wp:wrapTopAndBottom/>
                <wp:docPr id="1075" name="Group 1075"/>
                <wp:cNvGraphicFramePr>
                  <a:graphicFrameLocks/>
                </wp:cNvGraphicFramePr>
                <a:graphic>
                  <a:graphicData uri="http://schemas.microsoft.com/office/word/2010/wordprocessingGroup">
                    <wpg:wgp>
                      <wpg:cNvPr id="1075" name="Group 1075"/>
                      <wpg:cNvGrpSpPr/>
                      <wpg:grpSpPr>
                        <a:xfrm>
                          <a:off x="0" y="0"/>
                          <a:ext cx="7312659" cy="17145"/>
                          <a:chExt cx="7312659" cy="17145"/>
                        </a:xfrm>
                      </wpg:grpSpPr>
                      <wps:wsp>
                        <wps:cNvPr id="1076" name="Graphic 107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77" name="Graphic 1077"/>
                        <wps:cNvSpPr/>
                        <wps:spPr>
                          <a:xfrm>
                            <a:off x="-12" y="-2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78" name="Graphic 10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09504;mso-wrap-distance-left:0;mso-wrap-distance-right:0" id="docshapegroup1073" coordorigin="364,76" coordsize="11516,27">
                <v:rect style="position:absolute;left:364;top:76;width:11516;height:14" id="docshape1074" filled="true" fillcolor="#999999" stroked="false">
                  <v:fill type="solid"/>
                </v:rect>
                <v:shape style="position:absolute;left:364;top:75;width:11516;height:27" id="docshape1075" coordorigin="364,76" coordsize="11516,27" path="m11880,76l11866,89,364,89,364,103,11866,103,11880,103,11880,89,11880,76xe" filled="true" fillcolor="#ededed" stroked="false">
                  <v:path arrowok="t"/>
                  <v:fill type="solid"/>
                </v:shape>
                <v:shape style="position:absolute;left:364;top:76;width:14;height:27" id="docshape1076" coordorigin="364,76" coordsize="14,27" path="m364,103l364,76,378,76,378,89,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spacing w:line="213" w:lineRule="auto" w:before="138"/>
        <w:ind w:left="468" w:right="223" w:firstLine="0"/>
        <w:jc w:val="both"/>
        <w:rPr>
          <w:sz w:val="21"/>
        </w:rPr>
      </w:pPr>
      <w:r>
        <w:rPr>
          <w:sz w:val="21"/>
        </w:rPr>
        <w:t>maintain the confidentiality of such information and to use it only for certain limited purposes. At all times during </w:t>
      </w:r>
      <w:r>
        <w:rPr>
          <w:sz w:val="21"/>
        </w:rPr>
        <w:t>Employee’s employment with Employer, whether pursuant to this Agreement or at-will, and at all times thereafter, Employee shall hold any</w:t>
      </w:r>
      <w:r>
        <w:rPr>
          <w:spacing w:val="80"/>
          <w:sz w:val="21"/>
        </w:rPr>
        <w:t> </w:t>
      </w:r>
      <w:r>
        <w:rPr>
          <w:sz w:val="21"/>
        </w:rPr>
        <w:t>and</w:t>
      </w:r>
      <w:r>
        <w:rPr>
          <w:spacing w:val="40"/>
          <w:sz w:val="21"/>
        </w:rPr>
        <w:t> </w:t>
      </w:r>
      <w:r>
        <w:rPr>
          <w:sz w:val="21"/>
        </w:rPr>
        <w:t>all</w:t>
      </w:r>
      <w:r>
        <w:rPr>
          <w:spacing w:val="40"/>
          <w:sz w:val="21"/>
        </w:rPr>
        <w:t> </w:t>
      </w:r>
      <w:r>
        <w:rPr>
          <w:sz w:val="21"/>
        </w:rPr>
        <w:t>such</w:t>
      </w:r>
      <w:r>
        <w:rPr>
          <w:spacing w:val="40"/>
          <w:sz w:val="21"/>
        </w:rPr>
        <w:t> </w:t>
      </w:r>
      <w:r>
        <w:rPr>
          <w:sz w:val="21"/>
        </w:rPr>
        <w:t>third</w:t>
      </w:r>
      <w:r>
        <w:rPr>
          <w:spacing w:val="40"/>
          <w:sz w:val="21"/>
        </w:rPr>
        <w:t> </w:t>
      </w:r>
      <w:r>
        <w:rPr>
          <w:sz w:val="21"/>
        </w:rPr>
        <w:t>party</w:t>
      </w:r>
      <w:r>
        <w:rPr>
          <w:spacing w:val="40"/>
          <w:sz w:val="21"/>
        </w:rPr>
        <w:t> </w:t>
      </w:r>
      <w:r>
        <w:rPr>
          <w:sz w:val="21"/>
        </w:rPr>
        <w:t>confidential</w:t>
      </w:r>
      <w:r>
        <w:rPr>
          <w:spacing w:val="40"/>
          <w:sz w:val="21"/>
        </w:rPr>
        <w:t> </w:t>
      </w:r>
      <w:r>
        <w:rPr>
          <w:sz w:val="21"/>
        </w:rPr>
        <w:t>or</w:t>
      </w:r>
      <w:r>
        <w:rPr>
          <w:spacing w:val="40"/>
          <w:sz w:val="21"/>
        </w:rPr>
        <w:t> </w:t>
      </w:r>
      <w:r>
        <w:rPr>
          <w:sz w:val="21"/>
        </w:rPr>
        <w:t>proprietary</w:t>
      </w:r>
      <w:r>
        <w:rPr>
          <w:spacing w:val="40"/>
          <w:sz w:val="21"/>
        </w:rPr>
        <w:t> </w:t>
      </w:r>
      <w:r>
        <w:rPr>
          <w:sz w:val="21"/>
        </w:rPr>
        <w:t>information</w:t>
      </w:r>
      <w:r>
        <w:rPr>
          <w:spacing w:val="40"/>
          <w:sz w:val="21"/>
        </w:rPr>
        <w:t> </w:t>
      </w:r>
      <w:r>
        <w:rPr>
          <w:sz w:val="21"/>
        </w:rPr>
        <w:t>of</w:t>
      </w:r>
      <w:r>
        <w:rPr>
          <w:spacing w:val="40"/>
          <w:sz w:val="21"/>
        </w:rPr>
        <w:t> </w:t>
      </w:r>
      <w:r>
        <w:rPr>
          <w:sz w:val="21"/>
        </w:rPr>
        <w:t>third</w:t>
      </w:r>
      <w:r>
        <w:rPr>
          <w:spacing w:val="40"/>
          <w:sz w:val="21"/>
        </w:rPr>
        <w:t> </w:t>
      </w:r>
      <w:r>
        <w:rPr>
          <w:sz w:val="21"/>
        </w:rPr>
        <w:t>parties</w:t>
      </w:r>
      <w:r>
        <w:rPr>
          <w:spacing w:val="40"/>
          <w:sz w:val="21"/>
        </w:rPr>
        <w:t> </w:t>
      </w:r>
      <w:r>
        <w:rPr>
          <w:sz w:val="21"/>
        </w:rPr>
        <w:t>in</w:t>
      </w:r>
      <w:r>
        <w:rPr>
          <w:spacing w:val="40"/>
          <w:sz w:val="21"/>
        </w:rPr>
        <w:t> </w:t>
      </w:r>
      <w:r>
        <w:rPr>
          <w:sz w:val="21"/>
        </w:rPr>
        <w:t>the</w:t>
      </w:r>
      <w:r>
        <w:rPr>
          <w:spacing w:val="40"/>
          <w:sz w:val="21"/>
        </w:rPr>
        <w:t> </w:t>
      </w:r>
      <w:r>
        <w:rPr>
          <w:sz w:val="21"/>
        </w:rPr>
        <w:t>strictest</w:t>
      </w:r>
      <w:r>
        <w:rPr>
          <w:spacing w:val="40"/>
          <w:sz w:val="21"/>
        </w:rPr>
        <w:t> </w:t>
      </w:r>
      <w:r>
        <w:rPr>
          <w:sz w:val="21"/>
        </w:rPr>
        <w:t>confidence</w:t>
      </w:r>
      <w:r>
        <w:rPr>
          <w:spacing w:val="40"/>
          <w:sz w:val="21"/>
        </w:rPr>
        <w:t> </w:t>
      </w:r>
      <w:r>
        <w:rPr>
          <w:sz w:val="21"/>
        </w:rPr>
        <w:t>and</w:t>
      </w:r>
      <w:r>
        <w:rPr>
          <w:spacing w:val="40"/>
          <w:sz w:val="21"/>
        </w:rPr>
        <w:t> </w:t>
      </w:r>
      <w:r>
        <w:rPr>
          <w:sz w:val="21"/>
        </w:rPr>
        <w:t>will</w:t>
      </w:r>
      <w:r>
        <w:rPr>
          <w:spacing w:val="40"/>
          <w:sz w:val="21"/>
        </w:rPr>
        <w:t> </w:t>
      </w:r>
      <w:r>
        <w:rPr>
          <w:sz w:val="21"/>
        </w:rPr>
        <w:t>not intentionally</w:t>
      </w:r>
      <w:r>
        <w:rPr>
          <w:spacing w:val="18"/>
          <w:sz w:val="21"/>
        </w:rPr>
        <w:t> </w:t>
      </w:r>
      <w:r>
        <w:rPr>
          <w:sz w:val="21"/>
        </w:rPr>
        <w:t>or</w:t>
      </w:r>
      <w:r>
        <w:rPr>
          <w:spacing w:val="18"/>
          <w:sz w:val="21"/>
        </w:rPr>
        <w:t> </w:t>
      </w:r>
      <w:r>
        <w:rPr>
          <w:sz w:val="21"/>
        </w:rPr>
        <w:t>negligently</w:t>
      </w:r>
      <w:r>
        <w:rPr>
          <w:spacing w:val="18"/>
          <w:sz w:val="21"/>
        </w:rPr>
        <w:t> </w:t>
      </w:r>
      <w:r>
        <w:rPr>
          <w:sz w:val="21"/>
        </w:rPr>
        <w:t>disclose</w:t>
      </w:r>
      <w:r>
        <w:rPr>
          <w:spacing w:val="18"/>
          <w:sz w:val="21"/>
        </w:rPr>
        <w:t> </w:t>
      </w:r>
      <w:r>
        <w:rPr>
          <w:sz w:val="21"/>
        </w:rPr>
        <w:t>it</w:t>
      </w:r>
      <w:r>
        <w:rPr>
          <w:spacing w:val="18"/>
          <w:sz w:val="21"/>
        </w:rPr>
        <w:t> </w:t>
      </w:r>
      <w:r>
        <w:rPr>
          <w:sz w:val="21"/>
        </w:rPr>
        <w:t>to</w:t>
      </w:r>
      <w:r>
        <w:rPr>
          <w:spacing w:val="18"/>
          <w:sz w:val="21"/>
        </w:rPr>
        <w:t> </w:t>
      </w:r>
      <w:r>
        <w:rPr>
          <w:sz w:val="21"/>
        </w:rPr>
        <w:t>any</w:t>
      </w:r>
      <w:r>
        <w:rPr>
          <w:spacing w:val="18"/>
          <w:sz w:val="21"/>
        </w:rPr>
        <w:t> </w:t>
      </w:r>
      <w:r>
        <w:rPr>
          <w:sz w:val="21"/>
        </w:rPr>
        <w:t>person</w:t>
      </w:r>
      <w:r>
        <w:rPr>
          <w:spacing w:val="18"/>
          <w:sz w:val="21"/>
        </w:rPr>
        <w:t> </w:t>
      </w:r>
      <w:r>
        <w:rPr>
          <w:sz w:val="21"/>
        </w:rPr>
        <w:t>or</w:t>
      </w:r>
      <w:r>
        <w:rPr>
          <w:spacing w:val="18"/>
          <w:sz w:val="21"/>
        </w:rPr>
        <w:t> </w:t>
      </w:r>
      <w:r>
        <w:rPr>
          <w:sz w:val="21"/>
        </w:rPr>
        <w:t>entity</w:t>
      </w:r>
      <w:r>
        <w:rPr>
          <w:spacing w:val="18"/>
          <w:sz w:val="21"/>
        </w:rPr>
        <w:t> </w:t>
      </w:r>
      <w:r>
        <w:rPr>
          <w:sz w:val="21"/>
        </w:rPr>
        <w:t>or</w:t>
      </w:r>
      <w:r>
        <w:rPr>
          <w:spacing w:val="18"/>
          <w:sz w:val="21"/>
        </w:rPr>
        <w:t> </w:t>
      </w:r>
      <w:r>
        <w:rPr>
          <w:sz w:val="21"/>
        </w:rPr>
        <w:t>to</w:t>
      </w:r>
      <w:r>
        <w:rPr>
          <w:spacing w:val="18"/>
          <w:sz w:val="21"/>
        </w:rPr>
        <w:t> </w:t>
      </w:r>
      <w:r>
        <w:rPr>
          <w:sz w:val="21"/>
        </w:rPr>
        <w:t>use</w:t>
      </w:r>
      <w:r>
        <w:rPr>
          <w:spacing w:val="18"/>
          <w:sz w:val="21"/>
        </w:rPr>
        <w:t> </w:t>
      </w:r>
      <w:r>
        <w:rPr>
          <w:sz w:val="21"/>
        </w:rPr>
        <w:t>it</w:t>
      </w:r>
      <w:r>
        <w:rPr>
          <w:spacing w:val="18"/>
          <w:sz w:val="21"/>
        </w:rPr>
        <w:t> </w:t>
      </w:r>
      <w:r>
        <w:rPr>
          <w:sz w:val="21"/>
        </w:rPr>
        <w:t>except</w:t>
      </w:r>
      <w:r>
        <w:rPr>
          <w:spacing w:val="18"/>
          <w:sz w:val="21"/>
        </w:rPr>
        <w:t> </w:t>
      </w:r>
      <w:r>
        <w:rPr>
          <w:sz w:val="21"/>
        </w:rPr>
        <w:t>as</w:t>
      </w:r>
      <w:r>
        <w:rPr>
          <w:spacing w:val="18"/>
          <w:sz w:val="21"/>
        </w:rPr>
        <w:t> </w:t>
      </w:r>
      <w:r>
        <w:rPr>
          <w:sz w:val="21"/>
        </w:rPr>
        <w:t>necessary</w:t>
      </w:r>
      <w:r>
        <w:rPr>
          <w:spacing w:val="18"/>
          <w:sz w:val="21"/>
        </w:rPr>
        <w:t> </w:t>
      </w:r>
      <w:r>
        <w:rPr>
          <w:sz w:val="21"/>
        </w:rPr>
        <w:t>in</w:t>
      </w:r>
      <w:r>
        <w:rPr>
          <w:spacing w:val="18"/>
          <w:sz w:val="21"/>
        </w:rPr>
        <w:t> </w:t>
      </w:r>
      <w:r>
        <w:rPr>
          <w:sz w:val="21"/>
        </w:rPr>
        <w:t>carrying</w:t>
      </w:r>
      <w:r>
        <w:rPr>
          <w:spacing w:val="18"/>
          <w:sz w:val="21"/>
        </w:rPr>
        <w:t> </w:t>
      </w:r>
      <w:r>
        <w:rPr>
          <w:sz w:val="21"/>
        </w:rPr>
        <w:t>out</w:t>
      </w:r>
      <w:r>
        <w:rPr>
          <w:spacing w:val="18"/>
          <w:sz w:val="21"/>
        </w:rPr>
        <w:t> </w:t>
      </w:r>
      <w:r>
        <w:rPr>
          <w:sz w:val="21"/>
        </w:rPr>
        <w:t>Employee’s</w:t>
      </w:r>
      <w:r>
        <w:rPr>
          <w:spacing w:val="18"/>
          <w:sz w:val="21"/>
        </w:rPr>
        <w:t> </w:t>
      </w:r>
      <w:r>
        <w:rPr>
          <w:sz w:val="21"/>
        </w:rPr>
        <w:t>duties and</w:t>
      </w:r>
      <w:r>
        <w:rPr>
          <w:spacing w:val="24"/>
          <w:sz w:val="21"/>
        </w:rPr>
        <w:t> </w:t>
      </w:r>
      <w:r>
        <w:rPr>
          <w:sz w:val="21"/>
        </w:rPr>
        <w:t>obligations</w:t>
      </w:r>
      <w:r>
        <w:rPr>
          <w:spacing w:val="24"/>
          <w:sz w:val="21"/>
        </w:rPr>
        <w:t> </w:t>
      </w:r>
      <w:r>
        <w:rPr>
          <w:sz w:val="21"/>
        </w:rPr>
        <w:t>hereunder</w:t>
      </w:r>
      <w:r>
        <w:rPr>
          <w:spacing w:val="24"/>
          <w:sz w:val="21"/>
        </w:rPr>
        <w:t> </w:t>
      </w:r>
      <w:r>
        <w:rPr>
          <w:sz w:val="21"/>
        </w:rPr>
        <w:t>consistent</w:t>
      </w:r>
      <w:r>
        <w:rPr>
          <w:spacing w:val="24"/>
          <w:sz w:val="21"/>
        </w:rPr>
        <w:t> </w:t>
      </w:r>
      <w:r>
        <w:rPr>
          <w:sz w:val="21"/>
        </w:rPr>
        <w:t>with</w:t>
      </w:r>
      <w:r>
        <w:rPr>
          <w:spacing w:val="24"/>
          <w:sz w:val="21"/>
        </w:rPr>
        <w:t> </w:t>
      </w:r>
      <w:r>
        <w:rPr>
          <w:sz w:val="21"/>
        </w:rPr>
        <w:t>the</w:t>
      </w:r>
      <w:r>
        <w:rPr>
          <w:spacing w:val="24"/>
          <w:sz w:val="21"/>
        </w:rPr>
        <w:t> </w:t>
      </w:r>
      <w:r>
        <w:rPr>
          <w:sz w:val="21"/>
        </w:rPr>
        <w:t>Employer</w:t>
      </w:r>
      <w:r>
        <w:rPr>
          <w:spacing w:val="24"/>
          <w:sz w:val="21"/>
        </w:rPr>
        <w:t> </w:t>
      </w:r>
      <w:r>
        <w:rPr>
          <w:sz w:val="21"/>
        </w:rPr>
        <w:t>or</w:t>
      </w:r>
      <w:r>
        <w:rPr>
          <w:spacing w:val="24"/>
          <w:sz w:val="21"/>
        </w:rPr>
        <w:t> </w:t>
      </w:r>
      <w:r>
        <w:rPr>
          <w:sz w:val="21"/>
        </w:rPr>
        <w:t>Company’s</w:t>
      </w:r>
      <w:r>
        <w:rPr>
          <w:spacing w:val="24"/>
          <w:sz w:val="21"/>
        </w:rPr>
        <w:t> </w:t>
      </w:r>
      <w:r>
        <w:rPr>
          <w:sz w:val="21"/>
        </w:rPr>
        <w:t>agreement</w:t>
      </w:r>
      <w:r>
        <w:rPr>
          <w:spacing w:val="24"/>
          <w:sz w:val="21"/>
        </w:rPr>
        <w:t> </w:t>
      </w:r>
      <w:r>
        <w:rPr>
          <w:sz w:val="21"/>
        </w:rPr>
        <w:t>with</w:t>
      </w:r>
      <w:r>
        <w:rPr>
          <w:spacing w:val="24"/>
          <w:sz w:val="21"/>
        </w:rPr>
        <w:t> </w:t>
      </w:r>
      <w:r>
        <w:rPr>
          <w:sz w:val="21"/>
        </w:rPr>
        <w:t>such</w:t>
      </w:r>
      <w:r>
        <w:rPr>
          <w:spacing w:val="24"/>
          <w:sz w:val="21"/>
        </w:rPr>
        <w:t> </w:t>
      </w:r>
      <w:r>
        <w:rPr>
          <w:sz w:val="21"/>
        </w:rPr>
        <w:t>third</w:t>
      </w:r>
      <w:r>
        <w:rPr>
          <w:spacing w:val="24"/>
          <w:sz w:val="21"/>
        </w:rPr>
        <w:t> </w:t>
      </w:r>
      <w:r>
        <w:rPr>
          <w:sz w:val="21"/>
        </w:rPr>
        <w:t>party.</w:t>
      </w:r>
      <w:r>
        <w:rPr>
          <w:spacing w:val="24"/>
          <w:sz w:val="21"/>
        </w:rPr>
        <w:t> </w:t>
      </w:r>
      <w:r>
        <w:rPr>
          <w:sz w:val="21"/>
        </w:rPr>
        <w:t>Employee</w:t>
      </w:r>
      <w:r>
        <w:rPr>
          <w:spacing w:val="24"/>
          <w:sz w:val="21"/>
        </w:rPr>
        <w:t> </w:t>
      </w:r>
      <w:r>
        <w:rPr>
          <w:sz w:val="21"/>
        </w:rPr>
        <w:t>shall</w:t>
      </w:r>
      <w:r>
        <w:rPr>
          <w:spacing w:val="24"/>
          <w:sz w:val="21"/>
        </w:rPr>
        <w:t> </w:t>
      </w:r>
      <w:r>
        <w:rPr>
          <w:sz w:val="21"/>
        </w:rPr>
        <w:t>not</w:t>
      </w:r>
      <w:r>
        <w:rPr>
          <w:spacing w:val="24"/>
          <w:sz w:val="21"/>
        </w:rPr>
        <w:t> </w:t>
      </w:r>
      <w:r>
        <w:rPr>
          <w:sz w:val="21"/>
        </w:rPr>
        <w:t>be in violation of Employee’s obligations hereunder if such third party confidential or proprietary information is already generally known to the public through no wrongful act of Employee or any other party.</w:t>
      </w:r>
    </w:p>
    <w:p>
      <w:pPr>
        <w:pStyle w:val="ListParagraph"/>
        <w:numPr>
          <w:ilvl w:val="1"/>
          <w:numId w:val="51"/>
        </w:numPr>
        <w:tabs>
          <w:tab w:pos="794" w:val="left" w:leader="none"/>
        </w:tabs>
        <w:spacing w:line="213" w:lineRule="auto" w:before="224" w:after="0"/>
        <w:ind w:left="468" w:right="221" w:firstLine="0"/>
        <w:jc w:val="both"/>
        <w:rPr>
          <w:sz w:val="21"/>
        </w:rPr>
      </w:pPr>
      <w:r>
        <w:rPr>
          <w:sz w:val="21"/>
          <w:u w:val="single"/>
        </w:rPr>
        <w:t>Acknowledgement</w:t>
      </w:r>
      <w:r>
        <w:rPr>
          <w:spacing w:val="-4"/>
          <w:sz w:val="21"/>
          <w:u w:val="single"/>
        </w:rPr>
        <w:t> </w:t>
      </w:r>
      <w:r>
        <w:rPr>
          <w:sz w:val="21"/>
          <w:u w:val="single"/>
        </w:rPr>
        <w:t>of Ownership of Confidential Information Proper</w:t>
      </w:r>
      <w:r>
        <w:rPr>
          <w:sz w:val="21"/>
        </w:rPr>
        <w:t>ty</w:t>
      </w:r>
      <w:r>
        <w:rPr>
          <w:spacing w:val="40"/>
          <w:sz w:val="21"/>
          <w:u w:val="single"/>
        </w:rPr>
        <w:t> </w:t>
      </w:r>
      <w:r>
        <w:rPr>
          <w:sz w:val="21"/>
          <w:u w:val="single"/>
        </w:rPr>
        <w:t>Acquired or Developed During</w:t>
      </w:r>
      <w:r>
        <w:rPr>
          <w:spacing w:val="-14"/>
          <w:sz w:val="21"/>
        </w:rPr>
        <w:t> </w:t>
      </w:r>
      <w:r>
        <w:rPr>
          <w:spacing w:val="24"/>
          <w:sz w:val="21"/>
          <w:u w:val="single"/>
        </w:rPr>
        <w:t> </w:t>
      </w:r>
      <w:r>
        <w:rPr>
          <w:sz w:val="21"/>
          <w:u w:val="single"/>
        </w:rPr>
        <w:t>Emplo</w:t>
      </w:r>
      <w:r>
        <w:rPr>
          <w:sz w:val="21"/>
        </w:rPr>
        <w:t>y</w:t>
      </w:r>
      <w:r>
        <w:rPr>
          <w:spacing w:val="-11"/>
          <w:sz w:val="21"/>
          <w:u w:val="single"/>
        </w:rPr>
        <w:t> </w:t>
      </w:r>
      <w:r>
        <w:rPr>
          <w:sz w:val="21"/>
          <w:u w:val="single"/>
        </w:rPr>
        <w:t>ment; Non-</w:t>
      </w:r>
      <w:r>
        <w:rPr>
          <w:sz w:val="21"/>
        </w:rPr>
        <w:t> </w:t>
      </w:r>
      <w:r>
        <w:rPr>
          <w:sz w:val="21"/>
          <w:u w:val="single"/>
        </w:rPr>
        <w:t>Transfer</w:t>
      </w:r>
      <w:r>
        <w:rPr>
          <w:sz w:val="21"/>
        </w:rPr>
        <w:t>. Employee understands, agrees, and hereby confirms that Employee’s duties and responsibilities include acquiring Confidential</w:t>
      </w:r>
      <w:r>
        <w:rPr>
          <w:spacing w:val="40"/>
          <w:sz w:val="21"/>
        </w:rPr>
        <w:t> </w:t>
      </w:r>
      <w:r>
        <w:rPr>
          <w:sz w:val="21"/>
        </w:rPr>
        <w:t>Information</w:t>
      </w:r>
      <w:r>
        <w:rPr>
          <w:spacing w:val="40"/>
          <w:sz w:val="21"/>
        </w:rPr>
        <w:t> </w:t>
      </w:r>
      <w:r>
        <w:rPr>
          <w:sz w:val="21"/>
        </w:rPr>
        <w:t>and</w:t>
      </w:r>
      <w:r>
        <w:rPr>
          <w:spacing w:val="40"/>
          <w:sz w:val="21"/>
        </w:rPr>
        <w:t> </w:t>
      </w:r>
      <w:r>
        <w:rPr>
          <w:sz w:val="21"/>
        </w:rPr>
        <w:t>developing</w:t>
      </w:r>
      <w:r>
        <w:rPr>
          <w:spacing w:val="40"/>
          <w:sz w:val="21"/>
        </w:rPr>
        <w:t> </w:t>
      </w:r>
      <w:r>
        <w:rPr>
          <w:sz w:val="21"/>
        </w:rPr>
        <w:t>Relationships</w:t>
      </w:r>
      <w:r>
        <w:rPr>
          <w:spacing w:val="40"/>
          <w:sz w:val="21"/>
        </w:rPr>
        <w:t> </w:t>
      </w:r>
      <w:r>
        <w:rPr>
          <w:sz w:val="21"/>
        </w:rPr>
        <w:t>for</w:t>
      </w:r>
      <w:r>
        <w:rPr>
          <w:spacing w:val="40"/>
          <w:sz w:val="21"/>
        </w:rPr>
        <w:t> </w:t>
      </w:r>
      <w:r>
        <w:rPr>
          <w:sz w:val="21"/>
        </w:rPr>
        <w:t>the</w:t>
      </w:r>
      <w:r>
        <w:rPr>
          <w:spacing w:val="40"/>
          <w:sz w:val="21"/>
        </w:rPr>
        <w:t> </w:t>
      </w:r>
      <w:r>
        <w:rPr>
          <w:sz w:val="21"/>
        </w:rPr>
        <w:t>benefit</w:t>
      </w:r>
      <w:r>
        <w:rPr>
          <w:spacing w:val="40"/>
          <w:sz w:val="21"/>
        </w:rPr>
        <w:t> </w:t>
      </w:r>
      <w:r>
        <w:rPr>
          <w:sz w:val="21"/>
        </w:rPr>
        <w:t>of</w:t>
      </w:r>
      <w:r>
        <w:rPr>
          <w:spacing w:val="40"/>
          <w:sz w:val="21"/>
        </w:rPr>
        <w:t> </w:t>
      </w:r>
      <w:r>
        <w:rPr>
          <w:sz w:val="21"/>
        </w:rPr>
        <w:t>Employer</w:t>
      </w:r>
      <w:r>
        <w:rPr>
          <w:spacing w:val="40"/>
          <w:sz w:val="21"/>
        </w:rPr>
        <w:t> </w:t>
      </w:r>
      <w:r>
        <w:rPr>
          <w:sz w:val="21"/>
        </w:rPr>
        <w:t>and</w:t>
      </w:r>
      <w:r>
        <w:rPr>
          <w:spacing w:val="40"/>
          <w:sz w:val="21"/>
        </w:rPr>
        <w:t> </w:t>
      </w:r>
      <w:r>
        <w:rPr>
          <w:sz w:val="21"/>
        </w:rPr>
        <w:t>Employer.</w:t>
      </w:r>
      <w:r>
        <w:rPr>
          <w:spacing w:val="40"/>
          <w:sz w:val="21"/>
        </w:rPr>
        <w:t> </w:t>
      </w:r>
      <w:r>
        <w:rPr>
          <w:sz w:val="21"/>
        </w:rPr>
        <w:t>Employee</w:t>
      </w:r>
      <w:r>
        <w:rPr>
          <w:spacing w:val="40"/>
          <w:sz w:val="21"/>
        </w:rPr>
        <w:t> </w:t>
      </w:r>
      <w:r>
        <w:rPr>
          <w:sz w:val="21"/>
        </w:rPr>
        <w:t>acknowledges that</w:t>
      </w:r>
      <w:r>
        <w:rPr>
          <w:spacing w:val="40"/>
          <w:sz w:val="21"/>
        </w:rPr>
        <w:t> </w:t>
      </w:r>
      <w:r>
        <w:rPr>
          <w:sz w:val="21"/>
        </w:rPr>
        <w:t>Confidential</w:t>
      </w:r>
      <w:r>
        <w:rPr>
          <w:spacing w:val="40"/>
          <w:sz w:val="21"/>
        </w:rPr>
        <w:t> </w:t>
      </w:r>
      <w:r>
        <w:rPr>
          <w:sz w:val="21"/>
        </w:rPr>
        <w:t>Information</w:t>
      </w:r>
      <w:r>
        <w:rPr>
          <w:spacing w:val="40"/>
          <w:sz w:val="21"/>
        </w:rPr>
        <w:t> </w:t>
      </w:r>
      <w:r>
        <w:rPr>
          <w:sz w:val="21"/>
        </w:rPr>
        <w:t>acquired,</w:t>
      </w:r>
      <w:r>
        <w:rPr>
          <w:spacing w:val="40"/>
          <w:sz w:val="21"/>
        </w:rPr>
        <w:t> </w:t>
      </w:r>
      <w:r>
        <w:rPr>
          <w:sz w:val="21"/>
        </w:rPr>
        <w:t>obtained,</w:t>
      </w:r>
      <w:r>
        <w:rPr>
          <w:spacing w:val="40"/>
          <w:sz w:val="21"/>
        </w:rPr>
        <w:t> </w:t>
      </w:r>
      <w:r>
        <w:rPr>
          <w:sz w:val="21"/>
        </w:rPr>
        <w:t>learned,</w:t>
      </w:r>
      <w:r>
        <w:rPr>
          <w:spacing w:val="40"/>
          <w:sz w:val="21"/>
        </w:rPr>
        <w:t> </w:t>
      </w:r>
      <w:r>
        <w:rPr>
          <w:sz w:val="21"/>
        </w:rPr>
        <w:t>or</w:t>
      </w:r>
      <w:r>
        <w:rPr>
          <w:spacing w:val="40"/>
          <w:sz w:val="21"/>
        </w:rPr>
        <w:t> </w:t>
      </w:r>
      <w:r>
        <w:rPr>
          <w:sz w:val="21"/>
        </w:rPr>
        <w:t>developed</w:t>
      </w:r>
      <w:r>
        <w:rPr>
          <w:spacing w:val="40"/>
          <w:sz w:val="21"/>
        </w:rPr>
        <w:t> </w:t>
      </w:r>
      <w:r>
        <w:rPr>
          <w:sz w:val="21"/>
        </w:rPr>
        <w:t>during</w:t>
      </w:r>
      <w:r>
        <w:rPr>
          <w:spacing w:val="40"/>
          <w:sz w:val="21"/>
        </w:rPr>
        <w:t> </w:t>
      </w:r>
      <w:r>
        <w:rPr>
          <w:sz w:val="21"/>
        </w:rPr>
        <w:t>Employee’s</w:t>
      </w:r>
      <w:r>
        <w:rPr>
          <w:spacing w:val="40"/>
          <w:sz w:val="21"/>
        </w:rPr>
        <w:t> </w:t>
      </w:r>
      <w:r>
        <w:rPr>
          <w:sz w:val="21"/>
        </w:rPr>
        <w:t>employment</w:t>
      </w:r>
      <w:r>
        <w:rPr>
          <w:spacing w:val="40"/>
          <w:sz w:val="21"/>
        </w:rPr>
        <w:t> </w:t>
      </w:r>
      <w:r>
        <w:rPr>
          <w:sz w:val="21"/>
        </w:rPr>
        <w:t>with</w:t>
      </w:r>
      <w:r>
        <w:rPr>
          <w:spacing w:val="40"/>
          <w:sz w:val="21"/>
        </w:rPr>
        <w:t> </w:t>
      </w:r>
      <w:r>
        <w:rPr>
          <w:sz w:val="21"/>
        </w:rPr>
        <w:t>Employer, including but not limited to, Business Contacts developed during Employee’s employment, constitutes the sole and </w:t>
      </w:r>
      <w:r>
        <w:rPr>
          <w:sz w:val="21"/>
        </w:rPr>
        <w:t>exclusive property of Employer, regardless of whether the information qualifies for protection as a Trade Secret. Employee further understands,</w:t>
      </w:r>
      <w:r>
        <w:rPr>
          <w:spacing w:val="40"/>
          <w:sz w:val="21"/>
        </w:rPr>
        <w:t> </w:t>
      </w:r>
      <w:r>
        <w:rPr>
          <w:sz w:val="21"/>
        </w:rPr>
        <w:t>agrees,</w:t>
      </w:r>
      <w:r>
        <w:rPr>
          <w:spacing w:val="40"/>
          <w:sz w:val="21"/>
        </w:rPr>
        <w:t> </w:t>
      </w:r>
      <w:r>
        <w:rPr>
          <w:sz w:val="21"/>
        </w:rPr>
        <w:t>and</w:t>
      </w:r>
      <w:r>
        <w:rPr>
          <w:spacing w:val="40"/>
          <w:sz w:val="21"/>
        </w:rPr>
        <w:t> </w:t>
      </w:r>
      <w:r>
        <w:rPr>
          <w:sz w:val="21"/>
        </w:rPr>
        <w:t>hereby</w:t>
      </w:r>
      <w:r>
        <w:rPr>
          <w:spacing w:val="40"/>
          <w:sz w:val="21"/>
        </w:rPr>
        <w:t> </w:t>
      </w:r>
      <w:r>
        <w:rPr>
          <w:sz w:val="21"/>
        </w:rPr>
        <w:t>confirms</w:t>
      </w:r>
      <w:r>
        <w:rPr>
          <w:spacing w:val="40"/>
          <w:sz w:val="21"/>
        </w:rPr>
        <w:t> </w:t>
      </w:r>
      <w:r>
        <w:rPr>
          <w:sz w:val="21"/>
        </w:rPr>
        <w:t>that</w:t>
      </w:r>
      <w:r>
        <w:rPr>
          <w:spacing w:val="40"/>
          <w:sz w:val="21"/>
        </w:rPr>
        <w:t> </w:t>
      </w:r>
      <w:r>
        <w:rPr>
          <w:sz w:val="21"/>
        </w:rPr>
        <w:t>during</w:t>
      </w:r>
      <w:r>
        <w:rPr>
          <w:spacing w:val="40"/>
          <w:sz w:val="21"/>
        </w:rPr>
        <w:t> </w:t>
      </w:r>
      <w:r>
        <w:rPr>
          <w:sz w:val="21"/>
        </w:rPr>
        <w:t>Employee’s</w:t>
      </w:r>
      <w:r>
        <w:rPr>
          <w:spacing w:val="40"/>
          <w:sz w:val="21"/>
        </w:rPr>
        <w:t> </w:t>
      </w:r>
      <w:r>
        <w:rPr>
          <w:sz w:val="21"/>
        </w:rPr>
        <w:t>employment,</w:t>
      </w:r>
      <w:r>
        <w:rPr>
          <w:spacing w:val="40"/>
          <w:sz w:val="21"/>
        </w:rPr>
        <w:t> </w:t>
      </w:r>
      <w:r>
        <w:rPr>
          <w:sz w:val="21"/>
        </w:rPr>
        <w:t>Employee</w:t>
      </w:r>
      <w:r>
        <w:rPr>
          <w:spacing w:val="40"/>
          <w:sz w:val="21"/>
        </w:rPr>
        <w:t> </w:t>
      </w:r>
      <w:r>
        <w:rPr>
          <w:sz w:val="21"/>
        </w:rPr>
        <w:t>shall</w:t>
      </w:r>
      <w:r>
        <w:rPr>
          <w:spacing w:val="40"/>
          <w:sz w:val="21"/>
        </w:rPr>
        <w:t> </w:t>
      </w:r>
      <w:r>
        <w:rPr>
          <w:sz w:val="21"/>
        </w:rPr>
        <w:t>not,</w:t>
      </w:r>
      <w:r>
        <w:rPr>
          <w:spacing w:val="40"/>
          <w:sz w:val="21"/>
        </w:rPr>
        <w:t> </w:t>
      </w:r>
      <w:r>
        <w:rPr>
          <w:sz w:val="21"/>
        </w:rPr>
        <w:t>at</w:t>
      </w:r>
      <w:r>
        <w:rPr>
          <w:spacing w:val="40"/>
          <w:sz w:val="21"/>
        </w:rPr>
        <w:t> </w:t>
      </w:r>
      <w:r>
        <w:rPr>
          <w:sz w:val="21"/>
        </w:rPr>
        <w:t>any</w:t>
      </w:r>
      <w:r>
        <w:rPr>
          <w:spacing w:val="40"/>
          <w:sz w:val="21"/>
        </w:rPr>
        <w:t> </w:t>
      </w:r>
      <w:r>
        <w:rPr>
          <w:sz w:val="21"/>
        </w:rPr>
        <w:t>time</w:t>
      </w:r>
      <w:r>
        <w:rPr>
          <w:spacing w:val="40"/>
          <w:sz w:val="21"/>
        </w:rPr>
        <w:t> </w:t>
      </w:r>
      <w:r>
        <w:rPr>
          <w:sz w:val="21"/>
        </w:rPr>
        <w:t>or</w:t>
      </w:r>
      <w:r>
        <w:rPr>
          <w:spacing w:val="40"/>
          <w:sz w:val="21"/>
        </w:rPr>
        <w:t> </w:t>
      </w:r>
      <w:r>
        <w:rPr>
          <w:sz w:val="21"/>
        </w:rPr>
        <w:t>for</w:t>
      </w:r>
      <w:r>
        <w:rPr>
          <w:spacing w:val="40"/>
          <w:sz w:val="21"/>
        </w:rPr>
        <w:t> </w:t>
      </w:r>
      <w:r>
        <w:rPr>
          <w:sz w:val="21"/>
        </w:rPr>
        <w:t>any reason whatsoever, except upon the express written authorization of Employer, store, transfer, maintain, copy, duplicate or otherwise possess Confidential Information on any device or in any form or format except on devices and in such formats as expressly approved and issued by Employer to Employee. By way of example, and without limitation, Employee shall not text, copy, or otherwise transfer in any form or format Confidential Information to any document, paper, computer, tablet, cellular</w:t>
      </w:r>
      <w:r>
        <w:rPr>
          <w:spacing w:val="40"/>
          <w:sz w:val="21"/>
        </w:rPr>
        <w:t> </w:t>
      </w:r>
      <w:r>
        <w:rPr>
          <w:sz w:val="21"/>
        </w:rPr>
        <w:t>phone, personal mobile device, iPhone, iPad, thumb drive, smart phone memory, zip drive or disk, flash drive, external drive or</w:t>
      </w:r>
      <w:r>
        <w:rPr>
          <w:spacing w:val="80"/>
          <w:sz w:val="21"/>
        </w:rPr>
        <w:t> </w:t>
      </w:r>
      <w:r>
        <w:rPr>
          <w:sz w:val="21"/>
        </w:rPr>
        <w:t>any</w:t>
      </w:r>
      <w:r>
        <w:rPr>
          <w:spacing w:val="35"/>
          <w:sz w:val="21"/>
        </w:rPr>
        <w:t> </w:t>
      </w:r>
      <w:r>
        <w:rPr>
          <w:sz w:val="21"/>
        </w:rPr>
        <w:t>other</w:t>
      </w:r>
      <w:r>
        <w:rPr>
          <w:spacing w:val="35"/>
          <w:sz w:val="21"/>
        </w:rPr>
        <w:t> </w:t>
      </w:r>
      <w:r>
        <w:rPr>
          <w:sz w:val="21"/>
        </w:rPr>
        <w:t>similar</w:t>
      </w:r>
      <w:r>
        <w:rPr>
          <w:spacing w:val="35"/>
          <w:sz w:val="21"/>
        </w:rPr>
        <w:t> </w:t>
      </w:r>
      <w:r>
        <w:rPr>
          <w:sz w:val="21"/>
        </w:rPr>
        <w:t>device</w:t>
      </w:r>
      <w:r>
        <w:rPr>
          <w:spacing w:val="35"/>
          <w:sz w:val="21"/>
        </w:rPr>
        <w:t> </w:t>
      </w:r>
      <w:r>
        <w:rPr>
          <w:sz w:val="21"/>
        </w:rPr>
        <w:t>used</w:t>
      </w:r>
      <w:r>
        <w:rPr>
          <w:spacing w:val="35"/>
          <w:sz w:val="21"/>
        </w:rPr>
        <w:t> </w:t>
      </w:r>
      <w:r>
        <w:rPr>
          <w:sz w:val="21"/>
        </w:rPr>
        <w:t>for</w:t>
      </w:r>
      <w:r>
        <w:rPr>
          <w:spacing w:val="35"/>
          <w:sz w:val="21"/>
        </w:rPr>
        <w:t> </w:t>
      </w:r>
      <w:r>
        <w:rPr>
          <w:sz w:val="21"/>
        </w:rPr>
        <w:t>storing</w:t>
      </w:r>
      <w:r>
        <w:rPr>
          <w:spacing w:val="35"/>
          <w:sz w:val="21"/>
        </w:rPr>
        <w:t> </w:t>
      </w:r>
      <w:r>
        <w:rPr>
          <w:sz w:val="21"/>
        </w:rPr>
        <w:t>or</w:t>
      </w:r>
      <w:r>
        <w:rPr>
          <w:spacing w:val="35"/>
          <w:sz w:val="21"/>
        </w:rPr>
        <w:t> </w:t>
      </w:r>
      <w:r>
        <w:rPr>
          <w:sz w:val="21"/>
        </w:rPr>
        <w:t>recording</w:t>
      </w:r>
      <w:r>
        <w:rPr>
          <w:spacing w:val="35"/>
          <w:sz w:val="21"/>
        </w:rPr>
        <w:t> </w:t>
      </w:r>
      <w:r>
        <w:rPr>
          <w:sz w:val="21"/>
        </w:rPr>
        <w:t>data</w:t>
      </w:r>
      <w:r>
        <w:rPr>
          <w:spacing w:val="35"/>
          <w:sz w:val="21"/>
        </w:rPr>
        <w:t> </w:t>
      </w:r>
      <w:r>
        <w:rPr>
          <w:sz w:val="21"/>
        </w:rPr>
        <w:t>of</w:t>
      </w:r>
      <w:r>
        <w:rPr>
          <w:spacing w:val="35"/>
          <w:sz w:val="21"/>
        </w:rPr>
        <w:t> </w:t>
      </w:r>
      <w:r>
        <w:rPr>
          <w:sz w:val="21"/>
        </w:rPr>
        <w:t>any</w:t>
      </w:r>
      <w:r>
        <w:rPr>
          <w:spacing w:val="35"/>
          <w:sz w:val="21"/>
        </w:rPr>
        <w:t> </w:t>
      </w:r>
      <w:r>
        <w:rPr>
          <w:sz w:val="21"/>
        </w:rPr>
        <w:t>kind</w:t>
      </w:r>
      <w:r>
        <w:rPr>
          <w:spacing w:val="35"/>
          <w:sz w:val="21"/>
        </w:rPr>
        <w:t> </w:t>
      </w:r>
      <w:r>
        <w:rPr>
          <w:sz w:val="21"/>
        </w:rPr>
        <w:t>(a</w:t>
      </w:r>
      <w:r>
        <w:rPr>
          <w:spacing w:val="35"/>
          <w:sz w:val="21"/>
        </w:rPr>
        <w:t> </w:t>
      </w:r>
      <w:r>
        <w:rPr>
          <w:sz w:val="21"/>
        </w:rPr>
        <w:t>“Device”</w:t>
      </w:r>
      <w:r>
        <w:rPr>
          <w:spacing w:val="35"/>
          <w:sz w:val="21"/>
        </w:rPr>
        <w:t> </w:t>
      </w:r>
      <w:r>
        <w:rPr>
          <w:sz w:val="21"/>
        </w:rPr>
        <w:t>or</w:t>
      </w:r>
      <w:r>
        <w:rPr>
          <w:spacing w:val="35"/>
          <w:sz w:val="21"/>
        </w:rPr>
        <w:t> </w:t>
      </w:r>
      <w:r>
        <w:rPr>
          <w:sz w:val="21"/>
        </w:rPr>
        <w:t>the</w:t>
      </w:r>
      <w:r>
        <w:rPr>
          <w:spacing w:val="35"/>
          <w:sz w:val="21"/>
        </w:rPr>
        <w:t> </w:t>
      </w:r>
      <w:r>
        <w:rPr>
          <w:sz w:val="21"/>
        </w:rPr>
        <w:t>“Devices”)</w:t>
      </w:r>
      <w:r>
        <w:rPr>
          <w:spacing w:val="35"/>
          <w:sz w:val="21"/>
        </w:rPr>
        <w:t> </w:t>
      </w:r>
      <w:r>
        <w:rPr>
          <w:sz w:val="21"/>
        </w:rPr>
        <w:t>unless</w:t>
      </w:r>
      <w:r>
        <w:rPr>
          <w:spacing w:val="35"/>
          <w:sz w:val="21"/>
        </w:rPr>
        <w:t> </w:t>
      </w:r>
      <w:r>
        <w:rPr>
          <w:sz w:val="21"/>
        </w:rPr>
        <w:t>such</w:t>
      </w:r>
      <w:r>
        <w:rPr>
          <w:spacing w:val="35"/>
          <w:sz w:val="21"/>
        </w:rPr>
        <w:t> </w:t>
      </w:r>
      <w:r>
        <w:rPr>
          <w:sz w:val="21"/>
        </w:rPr>
        <w:t>Device</w:t>
      </w:r>
      <w:r>
        <w:rPr>
          <w:spacing w:val="35"/>
          <w:sz w:val="21"/>
        </w:rPr>
        <w:t> </w:t>
      </w:r>
      <w:r>
        <w:rPr>
          <w:sz w:val="21"/>
        </w:rPr>
        <w:t>is issued by the Employer to Employee, or unless such text, copy or transfer is expressly approved in writing by Employer before Employee’s use of such Device. Employer expressly approves Employee’s use of the following devices for his work with the Company: MacBook Pro, iPad and Google Pixel Phone (including future replacements for these devices). Employee may store, transfer,</w:t>
      </w:r>
      <w:r>
        <w:rPr>
          <w:spacing w:val="28"/>
          <w:sz w:val="21"/>
        </w:rPr>
        <w:t> </w:t>
      </w:r>
      <w:r>
        <w:rPr>
          <w:sz w:val="21"/>
        </w:rPr>
        <w:t>maintain,</w:t>
      </w:r>
      <w:r>
        <w:rPr>
          <w:spacing w:val="28"/>
          <w:sz w:val="21"/>
        </w:rPr>
        <w:t> </w:t>
      </w:r>
      <w:r>
        <w:rPr>
          <w:sz w:val="21"/>
        </w:rPr>
        <w:t>copy,</w:t>
      </w:r>
      <w:r>
        <w:rPr>
          <w:spacing w:val="28"/>
          <w:sz w:val="21"/>
        </w:rPr>
        <w:t> </w:t>
      </w:r>
      <w:r>
        <w:rPr>
          <w:sz w:val="21"/>
        </w:rPr>
        <w:t>duplicate</w:t>
      </w:r>
      <w:r>
        <w:rPr>
          <w:spacing w:val="28"/>
          <w:sz w:val="21"/>
        </w:rPr>
        <w:t> </w:t>
      </w:r>
      <w:r>
        <w:rPr>
          <w:sz w:val="21"/>
        </w:rPr>
        <w:t>or</w:t>
      </w:r>
      <w:r>
        <w:rPr>
          <w:spacing w:val="28"/>
          <w:sz w:val="21"/>
        </w:rPr>
        <w:t> </w:t>
      </w:r>
      <w:r>
        <w:rPr>
          <w:sz w:val="21"/>
        </w:rPr>
        <w:t>otherwise</w:t>
      </w:r>
      <w:r>
        <w:rPr>
          <w:spacing w:val="28"/>
          <w:sz w:val="21"/>
        </w:rPr>
        <w:t> </w:t>
      </w:r>
      <w:r>
        <w:rPr>
          <w:sz w:val="21"/>
        </w:rPr>
        <w:t>possess</w:t>
      </w:r>
      <w:r>
        <w:rPr>
          <w:spacing w:val="28"/>
          <w:sz w:val="21"/>
        </w:rPr>
        <w:t> </w:t>
      </w:r>
      <w:r>
        <w:rPr>
          <w:sz w:val="21"/>
        </w:rPr>
        <w:t>Confidential</w:t>
      </w:r>
      <w:r>
        <w:rPr>
          <w:spacing w:val="28"/>
          <w:sz w:val="21"/>
        </w:rPr>
        <w:t> </w:t>
      </w:r>
      <w:r>
        <w:rPr>
          <w:sz w:val="21"/>
        </w:rPr>
        <w:t>Information</w:t>
      </w:r>
      <w:r>
        <w:rPr>
          <w:spacing w:val="28"/>
          <w:sz w:val="21"/>
        </w:rPr>
        <w:t> </w:t>
      </w:r>
      <w:r>
        <w:rPr>
          <w:sz w:val="21"/>
        </w:rPr>
        <w:t>on</w:t>
      </w:r>
      <w:r>
        <w:rPr>
          <w:spacing w:val="28"/>
          <w:sz w:val="21"/>
        </w:rPr>
        <w:t> </w:t>
      </w:r>
      <w:r>
        <w:rPr>
          <w:sz w:val="21"/>
        </w:rPr>
        <w:t>or</w:t>
      </w:r>
      <w:r>
        <w:rPr>
          <w:spacing w:val="28"/>
          <w:sz w:val="21"/>
        </w:rPr>
        <w:t> </w:t>
      </w:r>
      <w:r>
        <w:rPr>
          <w:sz w:val="21"/>
        </w:rPr>
        <w:t>to</w:t>
      </w:r>
      <w:r>
        <w:rPr>
          <w:spacing w:val="28"/>
          <w:sz w:val="21"/>
        </w:rPr>
        <w:t> </w:t>
      </w:r>
      <w:r>
        <w:rPr>
          <w:sz w:val="21"/>
        </w:rPr>
        <w:t>said</w:t>
      </w:r>
      <w:r>
        <w:rPr>
          <w:spacing w:val="28"/>
          <w:sz w:val="21"/>
        </w:rPr>
        <w:t> </w:t>
      </w:r>
      <w:r>
        <w:rPr>
          <w:sz w:val="21"/>
        </w:rPr>
        <w:t>devices.</w:t>
      </w:r>
    </w:p>
    <w:p>
      <w:pPr>
        <w:pStyle w:val="ListParagraph"/>
        <w:numPr>
          <w:ilvl w:val="1"/>
          <w:numId w:val="51"/>
        </w:numPr>
        <w:tabs>
          <w:tab w:pos="813" w:val="left" w:leader="none"/>
        </w:tabs>
        <w:spacing w:line="213" w:lineRule="auto" w:before="234" w:after="0"/>
        <w:ind w:left="468" w:right="221" w:firstLine="0"/>
        <w:jc w:val="both"/>
        <w:rPr>
          <w:sz w:val="21"/>
        </w:rPr>
      </w:pPr>
      <w:r>
        <w:rPr>
          <w:sz w:val="21"/>
          <w:u w:val="single"/>
        </w:rPr>
        <w:t>Return</w:t>
      </w:r>
      <w:r>
        <w:rPr>
          <w:spacing w:val="38"/>
          <w:sz w:val="21"/>
          <w:u w:val="single"/>
        </w:rPr>
        <w:t> </w:t>
      </w:r>
      <w:r>
        <w:rPr>
          <w:sz w:val="21"/>
          <w:u w:val="single"/>
        </w:rPr>
        <w:t>of</w:t>
      </w:r>
      <w:r>
        <w:rPr>
          <w:spacing w:val="38"/>
          <w:sz w:val="21"/>
          <w:u w:val="single"/>
        </w:rPr>
        <w:t> </w:t>
      </w:r>
      <w:r>
        <w:rPr>
          <w:sz w:val="21"/>
          <w:u w:val="single"/>
        </w:rPr>
        <w:t>Confidential</w:t>
      </w:r>
      <w:r>
        <w:rPr>
          <w:spacing w:val="38"/>
          <w:sz w:val="21"/>
          <w:u w:val="single"/>
        </w:rPr>
        <w:t> </w:t>
      </w:r>
      <w:r>
        <w:rPr>
          <w:sz w:val="21"/>
          <w:u w:val="single"/>
        </w:rPr>
        <w:t>Information</w:t>
      </w:r>
      <w:r>
        <w:rPr>
          <w:sz w:val="21"/>
        </w:rPr>
        <w:t>.</w:t>
      </w:r>
      <w:r>
        <w:rPr>
          <w:spacing w:val="38"/>
          <w:sz w:val="21"/>
        </w:rPr>
        <w:t> </w:t>
      </w:r>
      <w:r>
        <w:rPr>
          <w:sz w:val="21"/>
        </w:rPr>
        <w:t>Upon</w:t>
      </w:r>
      <w:r>
        <w:rPr>
          <w:spacing w:val="38"/>
          <w:sz w:val="21"/>
        </w:rPr>
        <w:t> </w:t>
      </w:r>
      <w:r>
        <w:rPr>
          <w:sz w:val="21"/>
        </w:rPr>
        <w:t>termination</w:t>
      </w:r>
      <w:r>
        <w:rPr>
          <w:spacing w:val="38"/>
          <w:sz w:val="21"/>
        </w:rPr>
        <w:t> </w:t>
      </w:r>
      <w:r>
        <w:rPr>
          <w:sz w:val="21"/>
        </w:rPr>
        <w:t>of</w:t>
      </w:r>
      <w:r>
        <w:rPr>
          <w:spacing w:val="38"/>
          <w:sz w:val="21"/>
        </w:rPr>
        <w:t> </w:t>
      </w:r>
      <w:r>
        <w:rPr>
          <w:sz w:val="21"/>
        </w:rPr>
        <w:t>Employee’s</w:t>
      </w:r>
      <w:r>
        <w:rPr>
          <w:spacing w:val="38"/>
          <w:sz w:val="21"/>
        </w:rPr>
        <w:t> </w:t>
      </w:r>
      <w:r>
        <w:rPr>
          <w:sz w:val="21"/>
        </w:rPr>
        <w:t>employment</w:t>
      </w:r>
      <w:r>
        <w:rPr>
          <w:spacing w:val="38"/>
          <w:sz w:val="21"/>
        </w:rPr>
        <w:t> </w:t>
      </w:r>
      <w:r>
        <w:rPr>
          <w:sz w:val="21"/>
        </w:rPr>
        <w:t>for</w:t>
      </w:r>
      <w:r>
        <w:rPr>
          <w:spacing w:val="38"/>
          <w:sz w:val="21"/>
        </w:rPr>
        <w:t> </w:t>
      </w:r>
      <w:r>
        <w:rPr>
          <w:sz w:val="21"/>
        </w:rPr>
        <w:t>any</w:t>
      </w:r>
      <w:r>
        <w:rPr>
          <w:spacing w:val="38"/>
          <w:sz w:val="21"/>
        </w:rPr>
        <w:t> </w:t>
      </w:r>
      <w:r>
        <w:rPr>
          <w:sz w:val="21"/>
        </w:rPr>
        <w:t>reason</w:t>
      </w:r>
      <w:r>
        <w:rPr>
          <w:spacing w:val="38"/>
          <w:sz w:val="21"/>
        </w:rPr>
        <w:t> </w:t>
      </w:r>
      <w:r>
        <w:rPr>
          <w:sz w:val="21"/>
        </w:rPr>
        <w:t>at</w:t>
      </w:r>
      <w:r>
        <w:rPr>
          <w:spacing w:val="38"/>
          <w:sz w:val="21"/>
        </w:rPr>
        <w:t> </w:t>
      </w:r>
      <w:r>
        <w:rPr>
          <w:sz w:val="21"/>
        </w:rPr>
        <w:t>any</w:t>
      </w:r>
      <w:r>
        <w:rPr>
          <w:spacing w:val="38"/>
          <w:sz w:val="21"/>
        </w:rPr>
        <w:t> </w:t>
      </w:r>
      <w:r>
        <w:rPr>
          <w:sz w:val="21"/>
        </w:rPr>
        <w:t>time,</w:t>
      </w:r>
      <w:r>
        <w:rPr>
          <w:spacing w:val="38"/>
          <w:sz w:val="21"/>
        </w:rPr>
        <w:t> </w:t>
      </w:r>
      <w:r>
        <w:rPr>
          <w:sz w:val="21"/>
        </w:rPr>
        <w:t>Employee shall immediately return to the Employer, and retain no copies of, any all Confidential Information in Employee’s possession </w:t>
      </w:r>
      <w:r>
        <w:rPr>
          <w:sz w:val="21"/>
        </w:rPr>
        <w:t>or control. If any Confidential Information is recorded or</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66"/>
        <w:rPr>
          <w:sz w:val="21"/>
        </w:rPr>
      </w:pPr>
    </w:p>
    <w:p>
      <w:pPr>
        <w:spacing w:before="0"/>
        <w:ind w:left="24" w:right="0" w:firstLine="0"/>
        <w:jc w:val="center"/>
        <w:rPr>
          <w:sz w:val="21"/>
        </w:rPr>
      </w:pPr>
      <w:r>
        <w:rPr>
          <w:spacing w:val="-10"/>
          <w:sz w:val="21"/>
        </w:rPr>
        <w:t>9</w:t>
      </w:r>
    </w:p>
    <w:p>
      <w:pPr>
        <w:pStyle w:val="BodyText"/>
        <w:spacing w:before="6"/>
        <w:rPr>
          <w:sz w:val="4"/>
        </w:rPr>
      </w:pPr>
      <w:r>
        <w:rPr/>
        <mc:AlternateContent>
          <mc:Choice Requires="wps">
            <w:drawing>
              <wp:anchor distT="0" distB="0" distL="0" distR="0" allowOverlap="1" layoutInCell="1" locked="0" behindDoc="1" simplePos="0" relativeHeight="487807488">
                <wp:simplePos x="0" y="0"/>
                <wp:positionH relativeFrom="page">
                  <wp:posOffset>231457</wp:posOffset>
                </wp:positionH>
                <wp:positionV relativeFrom="paragraph">
                  <wp:posOffset>48257</wp:posOffset>
                </wp:positionV>
                <wp:extent cx="7312659" cy="17145"/>
                <wp:effectExtent l="0" t="0" r="0" b="0"/>
                <wp:wrapTopAndBottom/>
                <wp:docPr id="1079" name="Group 1079"/>
                <wp:cNvGraphicFramePr>
                  <a:graphicFrameLocks/>
                </wp:cNvGraphicFramePr>
                <a:graphic>
                  <a:graphicData uri="http://schemas.microsoft.com/office/word/2010/wordprocessingGroup">
                    <wpg:wgp>
                      <wpg:cNvPr id="1079" name="Group 1079"/>
                      <wpg:cNvGrpSpPr/>
                      <wpg:grpSpPr>
                        <a:xfrm>
                          <a:off x="0" y="0"/>
                          <a:ext cx="7312659" cy="17145"/>
                          <a:chExt cx="7312659" cy="17145"/>
                        </a:xfrm>
                      </wpg:grpSpPr>
                      <wps:wsp>
                        <wps:cNvPr id="1080" name="Graphic 108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81" name="Graphic 1081"/>
                        <wps:cNvSpPr/>
                        <wps:spPr>
                          <a:xfrm>
                            <a:off x="-12" y="-1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82" name="Graphic 108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08992;mso-wrap-distance-left:0;mso-wrap-distance-right:0" id="docshapegroup1077" coordorigin="364,76" coordsize="11516,27">
                <v:rect style="position:absolute;left:364;top:76;width:11516;height:14" id="docshape1078" filled="true" fillcolor="#999999" stroked="false">
                  <v:fill type="solid"/>
                </v:rect>
                <v:shape style="position:absolute;left:364;top:75;width:11516;height:27" id="docshape1079" coordorigin="364,76" coordsize="11516,27" path="m11880,76l11866,89,364,89,364,103,11866,103,11880,103,11880,89,11880,76xe" filled="true" fillcolor="#ededed" stroked="false">
                  <v:path arrowok="t"/>
                  <v:fill type="solid"/>
                </v:shape>
                <v:shape style="position:absolute;left:364;top:76;width:14;height:27" id="docshape1080" coordorigin="364,76" coordsize="14,27" path="m364,103l364,76,378,76,378,89,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spacing w:line="213" w:lineRule="auto" w:before="138"/>
        <w:ind w:left="468" w:right="222" w:firstLine="0"/>
        <w:jc w:val="both"/>
        <w:rPr>
          <w:sz w:val="21"/>
        </w:rPr>
      </w:pPr>
      <w:r>
        <w:rPr>
          <w:sz w:val="21"/>
        </w:rPr>
        <w:t>saved in any format or on any Devices, Employee shall delete the Confidential Information. Upon Employer’s request, </w:t>
      </w:r>
      <w:r>
        <w:rPr>
          <w:sz w:val="21"/>
        </w:rPr>
        <w:t>at Employer’s expense and through a mutually agreed third party service and protocol, Employee will allow Employer to inspect</w:t>
      </w:r>
      <w:r>
        <w:rPr>
          <w:spacing w:val="80"/>
          <w:sz w:val="21"/>
        </w:rPr>
        <w:t> </w:t>
      </w:r>
      <w:r>
        <w:rPr>
          <w:sz w:val="21"/>
        </w:rPr>
        <w:t>such</w:t>
      </w:r>
      <w:r>
        <w:rPr>
          <w:spacing w:val="36"/>
          <w:sz w:val="21"/>
        </w:rPr>
        <w:t> </w:t>
      </w:r>
      <w:r>
        <w:rPr>
          <w:sz w:val="21"/>
        </w:rPr>
        <w:t>Devices</w:t>
      </w:r>
      <w:r>
        <w:rPr>
          <w:spacing w:val="36"/>
          <w:sz w:val="21"/>
        </w:rPr>
        <w:t> </w:t>
      </w:r>
      <w:r>
        <w:rPr>
          <w:sz w:val="21"/>
        </w:rPr>
        <w:t>to</w:t>
      </w:r>
      <w:r>
        <w:rPr>
          <w:spacing w:val="36"/>
          <w:sz w:val="21"/>
        </w:rPr>
        <w:t> </w:t>
      </w:r>
      <w:r>
        <w:rPr>
          <w:sz w:val="21"/>
        </w:rPr>
        <w:t>confirm</w:t>
      </w:r>
      <w:r>
        <w:rPr>
          <w:spacing w:val="36"/>
          <w:sz w:val="21"/>
        </w:rPr>
        <w:t> </w:t>
      </w:r>
      <w:r>
        <w:rPr>
          <w:sz w:val="21"/>
        </w:rPr>
        <w:t>the</w:t>
      </w:r>
      <w:r>
        <w:rPr>
          <w:spacing w:val="36"/>
          <w:sz w:val="21"/>
        </w:rPr>
        <w:t> </w:t>
      </w:r>
      <w:r>
        <w:rPr>
          <w:sz w:val="21"/>
        </w:rPr>
        <w:t>deletion.</w:t>
      </w:r>
      <w:r>
        <w:rPr>
          <w:spacing w:val="36"/>
          <w:sz w:val="21"/>
        </w:rPr>
        <w:t> </w:t>
      </w:r>
      <w:r>
        <w:rPr>
          <w:sz w:val="21"/>
        </w:rPr>
        <w:t>Upon</w:t>
      </w:r>
      <w:r>
        <w:rPr>
          <w:spacing w:val="36"/>
          <w:sz w:val="21"/>
        </w:rPr>
        <w:t> </w:t>
      </w:r>
      <w:r>
        <w:rPr>
          <w:sz w:val="21"/>
        </w:rPr>
        <w:t>Employer’s</w:t>
      </w:r>
      <w:r>
        <w:rPr>
          <w:spacing w:val="36"/>
          <w:sz w:val="21"/>
        </w:rPr>
        <w:t> </w:t>
      </w:r>
      <w:r>
        <w:rPr>
          <w:sz w:val="21"/>
        </w:rPr>
        <w:t>request,</w:t>
      </w:r>
      <w:r>
        <w:rPr>
          <w:spacing w:val="36"/>
          <w:sz w:val="21"/>
        </w:rPr>
        <w:t> </w:t>
      </w:r>
      <w:r>
        <w:rPr>
          <w:sz w:val="21"/>
        </w:rPr>
        <w:t>at</w:t>
      </w:r>
      <w:r>
        <w:rPr>
          <w:spacing w:val="36"/>
          <w:sz w:val="21"/>
        </w:rPr>
        <w:t> </w:t>
      </w:r>
      <w:r>
        <w:rPr>
          <w:sz w:val="21"/>
        </w:rPr>
        <w:t>Employer’s</w:t>
      </w:r>
      <w:r>
        <w:rPr>
          <w:spacing w:val="36"/>
          <w:sz w:val="21"/>
        </w:rPr>
        <w:t> </w:t>
      </w:r>
      <w:r>
        <w:rPr>
          <w:sz w:val="21"/>
        </w:rPr>
        <w:t>expense</w:t>
      </w:r>
      <w:r>
        <w:rPr>
          <w:spacing w:val="36"/>
          <w:sz w:val="21"/>
        </w:rPr>
        <w:t> </w:t>
      </w:r>
      <w:r>
        <w:rPr>
          <w:sz w:val="21"/>
        </w:rPr>
        <w:t>and</w:t>
      </w:r>
      <w:r>
        <w:rPr>
          <w:spacing w:val="36"/>
          <w:sz w:val="21"/>
        </w:rPr>
        <w:t> </w:t>
      </w:r>
      <w:r>
        <w:rPr>
          <w:sz w:val="21"/>
        </w:rPr>
        <w:t>through</w:t>
      </w:r>
      <w:r>
        <w:rPr>
          <w:spacing w:val="36"/>
          <w:sz w:val="21"/>
        </w:rPr>
        <w:t> </w:t>
      </w:r>
      <w:r>
        <w:rPr>
          <w:sz w:val="21"/>
        </w:rPr>
        <w:t>a</w:t>
      </w:r>
      <w:r>
        <w:rPr>
          <w:spacing w:val="36"/>
          <w:sz w:val="21"/>
        </w:rPr>
        <w:t> </w:t>
      </w:r>
      <w:r>
        <w:rPr>
          <w:sz w:val="21"/>
        </w:rPr>
        <w:t>mutually</w:t>
      </w:r>
      <w:r>
        <w:rPr>
          <w:spacing w:val="36"/>
          <w:sz w:val="21"/>
        </w:rPr>
        <w:t> </w:t>
      </w:r>
      <w:r>
        <w:rPr>
          <w:sz w:val="21"/>
        </w:rPr>
        <w:t>agreed</w:t>
      </w:r>
      <w:r>
        <w:rPr>
          <w:spacing w:val="36"/>
          <w:sz w:val="21"/>
        </w:rPr>
        <w:t> </w:t>
      </w:r>
      <w:r>
        <w:rPr>
          <w:sz w:val="21"/>
        </w:rPr>
        <w:t>third party</w:t>
      </w:r>
      <w:r>
        <w:rPr>
          <w:spacing w:val="40"/>
          <w:sz w:val="21"/>
        </w:rPr>
        <w:t> </w:t>
      </w:r>
      <w:r>
        <w:rPr>
          <w:sz w:val="21"/>
        </w:rPr>
        <w:t>service</w:t>
      </w:r>
      <w:r>
        <w:rPr>
          <w:spacing w:val="40"/>
          <w:sz w:val="21"/>
        </w:rPr>
        <w:t> </w:t>
      </w:r>
      <w:r>
        <w:rPr>
          <w:sz w:val="21"/>
        </w:rPr>
        <w:t>and</w:t>
      </w:r>
      <w:r>
        <w:rPr>
          <w:spacing w:val="40"/>
          <w:sz w:val="21"/>
        </w:rPr>
        <w:t> </w:t>
      </w:r>
      <w:r>
        <w:rPr>
          <w:sz w:val="21"/>
        </w:rPr>
        <w:t>protocol,</w:t>
      </w:r>
      <w:r>
        <w:rPr>
          <w:spacing w:val="40"/>
          <w:sz w:val="21"/>
        </w:rPr>
        <w:t> </w:t>
      </w:r>
      <w:r>
        <w:rPr>
          <w:sz w:val="21"/>
        </w:rPr>
        <w:t>Employee</w:t>
      </w:r>
      <w:r>
        <w:rPr>
          <w:spacing w:val="40"/>
          <w:sz w:val="21"/>
        </w:rPr>
        <w:t> </w:t>
      </w:r>
      <w:r>
        <w:rPr>
          <w:sz w:val="21"/>
        </w:rPr>
        <w:t>shall</w:t>
      </w:r>
      <w:r>
        <w:rPr>
          <w:spacing w:val="40"/>
          <w:sz w:val="21"/>
        </w:rPr>
        <w:t> </w:t>
      </w:r>
      <w:r>
        <w:rPr>
          <w:sz w:val="21"/>
        </w:rPr>
        <w:t>allow</w:t>
      </w:r>
      <w:r>
        <w:rPr>
          <w:spacing w:val="40"/>
          <w:sz w:val="21"/>
        </w:rPr>
        <w:t> </w:t>
      </w:r>
      <w:r>
        <w:rPr>
          <w:sz w:val="21"/>
        </w:rPr>
        <w:t>Employer</w:t>
      </w:r>
      <w:r>
        <w:rPr>
          <w:spacing w:val="40"/>
          <w:sz w:val="21"/>
        </w:rPr>
        <w:t> </w:t>
      </w:r>
      <w:r>
        <w:rPr>
          <w:sz w:val="21"/>
        </w:rPr>
        <w:t>reasonable</w:t>
      </w:r>
      <w:r>
        <w:rPr>
          <w:spacing w:val="40"/>
          <w:sz w:val="21"/>
        </w:rPr>
        <w:t> </w:t>
      </w:r>
      <w:r>
        <w:rPr>
          <w:sz w:val="21"/>
        </w:rPr>
        <w:t>access</w:t>
      </w:r>
      <w:r>
        <w:rPr>
          <w:spacing w:val="40"/>
          <w:sz w:val="21"/>
        </w:rPr>
        <w:t> </w:t>
      </w:r>
      <w:r>
        <w:rPr>
          <w:sz w:val="21"/>
        </w:rPr>
        <w:t>to</w:t>
      </w:r>
      <w:r>
        <w:rPr>
          <w:spacing w:val="40"/>
          <w:sz w:val="21"/>
        </w:rPr>
        <w:t> </w:t>
      </w:r>
      <w:r>
        <w:rPr>
          <w:sz w:val="21"/>
        </w:rPr>
        <w:t>Employee’s</w:t>
      </w:r>
      <w:r>
        <w:rPr>
          <w:spacing w:val="40"/>
          <w:sz w:val="21"/>
        </w:rPr>
        <w:t> </w:t>
      </w:r>
      <w:r>
        <w:rPr>
          <w:sz w:val="21"/>
        </w:rPr>
        <w:t>personal</w:t>
      </w:r>
      <w:r>
        <w:rPr>
          <w:spacing w:val="40"/>
          <w:sz w:val="21"/>
        </w:rPr>
        <w:t> </w:t>
      </w:r>
      <w:r>
        <w:rPr>
          <w:sz w:val="21"/>
        </w:rPr>
        <w:t>computers,</w:t>
      </w:r>
      <w:r>
        <w:rPr>
          <w:spacing w:val="40"/>
          <w:sz w:val="21"/>
        </w:rPr>
        <w:t> </w:t>
      </w:r>
      <w:r>
        <w:rPr>
          <w:sz w:val="21"/>
        </w:rPr>
        <w:t>email accounts,</w:t>
      </w:r>
      <w:r>
        <w:rPr>
          <w:spacing w:val="30"/>
          <w:sz w:val="21"/>
        </w:rPr>
        <w:t> </w:t>
      </w:r>
      <w:r>
        <w:rPr>
          <w:sz w:val="21"/>
        </w:rPr>
        <w:t>and</w:t>
      </w:r>
      <w:r>
        <w:rPr>
          <w:spacing w:val="30"/>
          <w:sz w:val="21"/>
        </w:rPr>
        <w:t> </w:t>
      </w:r>
      <w:r>
        <w:rPr>
          <w:sz w:val="21"/>
        </w:rPr>
        <w:t>Devices</w:t>
      </w:r>
      <w:r>
        <w:rPr>
          <w:spacing w:val="30"/>
          <w:sz w:val="21"/>
        </w:rPr>
        <w:t> </w:t>
      </w:r>
      <w:r>
        <w:rPr>
          <w:sz w:val="21"/>
        </w:rPr>
        <w:t>to</w:t>
      </w:r>
      <w:r>
        <w:rPr>
          <w:spacing w:val="30"/>
          <w:sz w:val="21"/>
        </w:rPr>
        <w:t> </w:t>
      </w:r>
      <w:r>
        <w:rPr>
          <w:sz w:val="21"/>
        </w:rPr>
        <w:t>confirm</w:t>
      </w:r>
      <w:r>
        <w:rPr>
          <w:spacing w:val="30"/>
          <w:sz w:val="21"/>
        </w:rPr>
        <w:t> </w:t>
      </w:r>
      <w:r>
        <w:rPr>
          <w:sz w:val="21"/>
        </w:rPr>
        <w:t>that</w:t>
      </w:r>
      <w:r>
        <w:rPr>
          <w:spacing w:val="30"/>
          <w:sz w:val="21"/>
        </w:rPr>
        <w:t> </w:t>
      </w:r>
      <w:r>
        <w:rPr>
          <w:sz w:val="21"/>
        </w:rPr>
        <w:t>Employee</w:t>
      </w:r>
      <w:r>
        <w:rPr>
          <w:spacing w:val="30"/>
          <w:sz w:val="21"/>
        </w:rPr>
        <w:t> </w:t>
      </w:r>
      <w:r>
        <w:rPr>
          <w:sz w:val="21"/>
        </w:rPr>
        <w:t>does</w:t>
      </w:r>
      <w:r>
        <w:rPr>
          <w:spacing w:val="30"/>
          <w:sz w:val="21"/>
        </w:rPr>
        <w:t> </w:t>
      </w:r>
      <w:r>
        <w:rPr>
          <w:sz w:val="21"/>
        </w:rPr>
        <w:t>not</w:t>
      </w:r>
      <w:r>
        <w:rPr>
          <w:spacing w:val="30"/>
          <w:sz w:val="21"/>
        </w:rPr>
        <w:t> </w:t>
      </w:r>
      <w:r>
        <w:rPr>
          <w:sz w:val="21"/>
        </w:rPr>
        <w:t>possess</w:t>
      </w:r>
      <w:r>
        <w:rPr>
          <w:spacing w:val="30"/>
          <w:sz w:val="21"/>
        </w:rPr>
        <w:t> </w:t>
      </w:r>
      <w:r>
        <w:rPr>
          <w:sz w:val="21"/>
        </w:rPr>
        <w:t>any</w:t>
      </w:r>
      <w:r>
        <w:rPr>
          <w:spacing w:val="30"/>
          <w:sz w:val="21"/>
        </w:rPr>
        <w:t> </w:t>
      </w:r>
      <w:r>
        <w:rPr>
          <w:sz w:val="21"/>
        </w:rPr>
        <w:t>Confidential</w:t>
      </w:r>
      <w:r>
        <w:rPr>
          <w:spacing w:val="30"/>
          <w:sz w:val="21"/>
        </w:rPr>
        <w:t> </w:t>
      </w:r>
      <w:r>
        <w:rPr>
          <w:sz w:val="21"/>
        </w:rPr>
        <w:t>Information</w:t>
      </w:r>
      <w:r>
        <w:rPr>
          <w:spacing w:val="30"/>
          <w:sz w:val="21"/>
        </w:rPr>
        <w:t> </w:t>
      </w:r>
      <w:r>
        <w:rPr>
          <w:sz w:val="21"/>
        </w:rPr>
        <w:t>of</w:t>
      </w:r>
      <w:r>
        <w:rPr>
          <w:spacing w:val="30"/>
          <w:sz w:val="21"/>
        </w:rPr>
        <w:t> </w:t>
      </w:r>
      <w:r>
        <w:rPr>
          <w:sz w:val="21"/>
        </w:rPr>
        <w:t>Employer</w:t>
      </w:r>
      <w:r>
        <w:rPr>
          <w:spacing w:val="30"/>
          <w:sz w:val="21"/>
        </w:rPr>
        <w:t> </w:t>
      </w:r>
      <w:r>
        <w:rPr>
          <w:sz w:val="21"/>
        </w:rPr>
        <w:t>in</w:t>
      </w:r>
      <w:r>
        <w:rPr>
          <w:spacing w:val="30"/>
          <w:sz w:val="21"/>
        </w:rPr>
        <w:t> </w:t>
      </w:r>
      <w:r>
        <w:rPr>
          <w:sz w:val="21"/>
        </w:rPr>
        <w:t>contravention of this Agreement.</w:t>
      </w:r>
    </w:p>
    <w:p>
      <w:pPr>
        <w:pStyle w:val="ListParagraph"/>
        <w:numPr>
          <w:ilvl w:val="1"/>
          <w:numId w:val="51"/>
        </w:numPr>
        <w:tabs>
          <w:tab w:pos="839" w:val="left" w:leader="none"/>
        </w:tabs>
        <w:spacing w:line="213" w:lineRule="auto" w:before="223" w:after="0"/>
        <w:ind w:left="468" w:right="221" w:firstLine="0"/>
        <w:jc w:val="both"/>
        <w:rPr>
          <w:sz w:val="21"/>
        </w:rPr>
      </w:pPr>
      <w:r>
        <w:rPr/>
        <mc:AlternateContent>
          <mc:Choice Requires="wps">
            <w:drawing>
              <wp:anchor distT="0" distB="0" distL="0" distR="0" allowOverlap="1" layoutInCell="1" locked="0" behindDoc="0" simplePos="0" relativeHeight="15949312">
                <wp:simplePos x="0" y="0"/>
                <wp:positionH relativeFrom="page">
                  <wp:posOffset>2163096</wp:posOffset>
                </wp:positionH>
                <wp:positionV relativeFrom="paragraph">
                  <wp:posOffset>261046</wp:posOffset>
                </wp:positionV>
                <wp:extent cx="25400" cy="8890"/>
                <wp:effectExtent l="0" t="0" r="0" b="0"/>
                <wp:wrapNone/>
                <wp:docPr id="1083" name="Graphic 1083"/>
                <wp:cNvGraphicFramePr>
                  <a:graphicFrameLocks/>
                </wp:cNvGraphicFramePr>
                <a:graphic>
                  <a:graphicData uri="http://schemas.microsoft.com/office/word/2010/wordprocessingShape">
                    <wps:wsp>
                      <wps:cNvPr id="1083" name="Graphic 1083"/>
                      <wps:cNvSpPr/>
                      <wps:spPr>
                        <a:xfrm>
                          <a:off x="0" y="0"/>
                          <a:ext cx="25400" cy="8890"/>
                        </a:xfrm>
                        <a:custGeom>
                          <a:avLst/>
                          <a:gdLst/>
                          <a:ahLst/>
                          <a:cxnLst/>
                          <a:rect l="l" t="t" r="r" b="b"/>
                          <a:pathLst>
                            <a:path w="25400" h="8890">
                              <a:moveTo>
                                <a:pt x="25183" y="8572"/>
                              </a:moveTo>
                              <a:lnTo>
                                <a:pt x="0" y="8572"/>
                              </a:lnTo>
                              <a:lnTo>
                                <a:pt x="0" y="0"/>
                              </a:lnTo>
                              <a:lnTo>
                                <a:pt x="25183" y="0"/>
                              </a:lnTo>
                              <a:lnTo>
                                <a:pt x="2518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0.322586pt;margin-top:20.554852pt;width:1.982945pt;height:.675pt;mso-position-horizontal-relative:page;mso-position-vertical-relative:paragraph;z-index:15949312" id="docshape1081" filled="true" fillcolor="#000000" stroked="false">
                <v:fill type="solid"/>
                <w10:wrap type="none"/>
              </v:rect>
            </w:pict>
          </mc:Fallback>
        </mc:AlternateContent>
      </w:r>
      <w:r>
        <w:rPr>
          <w:sz w:val="21"/>
          <w:u w:val="single"/>
        </w:rPr>
        <w:t>Acknowledgement</w:t>
      </w:r>
      <w:r>
        <w:rPr>
          <w:spacing w:val="40"/>
          <w:sz w:val="21"/>
          <w:u w:val="single"/>
        </w:rPr>
        <w:t> </w:t>
      </w:r>
      <w:r>
        <w:rPr>
          <w:sz w:val="21"/>
          <w:u w:val="single"/>
        </w:rPr>
        <w:t>of</w:t>
      </w:r>
      <w:r>
        <w:rPr>
          <w:spacing w:val="40"/>
          <w:sz w:val="21"/>
          <w:u w:val="single"/>
        </w:rPr>
        <w:t> </w:t>
      </w:r>
      <w:r>
        <w:rPr>
          <w:sz w:val="21"/>
          <w:u w:val="single"/>
        </w:rPr>
        <w:t>Co</w:t>
      </w:r>
      <w:r>
        <w:rPr>
          <w:sz w:val="21"/>
        </w:rPr>
        <w:t>py</w:t>
      </w:r>
      <w:r>
        <w:rPr>
          <w:sz w:val="21"/>
          <w:u w:val="single"/>
        </w:rPr>
        <w:t>rights</w:t>
      </w:r>
      <w:r>
        <w:rPr>
          <w:spacing w:val="40"/>
          <w:sz w:val="21"/>
          <w:u w:val="single"/>
        </w:rPr>
        <w:t> </w:t>
      </w:r>
      <w:r>
        <w:rPr>
          <w:sz w:val="21"/>
          <w:u w:val="single"/>
        </w:rPr>
        <w:t>in</w:t>
      </w:r>
      <w:r>
        <w:rPr>
          <w:spacing w:val="40"/>
          <w:sz w:val="21"/>
          <w:u w:val="single"/>
        </w:rPr>
        <w:t> </w:t>
      </w:r>
      <w:r>
        <w:rPr>
          <w:sz w:val="21"/>
          <w:u w:val="single"/>
        </w:rPr>
        <w:t>and</w:t>
      </w:r>
      <w:r>
        <w:rPr>
          <w:spacing w:val="40"/>
          <w:sz w:val="21"/>
          <w:u w:val="single"/>
        </w:rPr>
        <w:t> </w:t>
      </w:r>
      <w:r>
        <w:rPr>
          <w:sz w:val="21"/>
          <w:u w:val="single"/>
        </w:rPr>
        <w:t>to</w:t>
      </w:r>
      <w:r>
        <w:rPr>
          <w:spacing w:val="40"/>
          <w:sz w:val="21"/>
          <w:u w:val="single"/>
        </w:rPr>
        <w:t> </w:t>
      </w:r>
      <w:r>
        <w:rPr>
          <w:sz w:val="21"/>
          <w:u w:val="single"/>
        </w:rPr>
        <w:t>Compilations</w:t>
      </w:r>
      <w:r>
        <w:rPr>
          <w:spacing w:val="40"/>
          <w:sz w:val="21"/>
          <w:u w:val="single"/>
        </w:rPr>
        <w:t> </w:t>
      </w:r>
      <w:r>
        <w:rPr>
          <w:sz w:val="21"/>
          <w:u w:val="single"/>
        </w:rPr>
        <w:t>of</w:t>
      </w:r>
      <w:r>
        <w:rPr>
          <w:spacing w:val="40"/>
          <w:sz w:val="21"/>
          <w:u w:val="single"/>
        </w:rPr>
        <w:t> </w:t>
      </w:r>
      <w:r>
        <w:rPr>
          <w:sz w:val="21"/>
          <w:u w:val="single"/>
        </w:rPr>
        <w:t>Confidential</w:t>
      </w:r>
      <w:r>
        <w:rPr>
          <w:spacing w:val="40"/>
          <w:sz w:val="21"/>
        </w:rPr>
        <w:t> </w:t>
      </w:r>
      <w:r>
        <w:rPr>
          <w:sz w:val="21"/>
          <w:u w:val="single"/>
        </w:rPr>
        <w:t>Information</w:t>
      </w:r>
      <w:r>
        <w:rPr>
          <w:sz w:val="21"/>
        </w:rPr>
        <w:t>.</w:t>
      </w:r>
      <w:r>
        <w:rPr>
          <w:spacing w:val="40"/>
          <w:sz w:val="21"/>
        </w:rPr>
        <w:t> </w:t>
      </w:r>
      <w:r>
        <w:rPr>
          <w:sz w:val="21"/>
        </w:rPr>
        <w:t>Employee</w:t>
      </w:r>
      <w:r>
        <w:rPr>
          <w:spacing w:val="40"/>
          <w:sz w:val="21"/>
        </w:rPr>
        <w:t> </w:t>
      </w:r>
      <w:r>
        <w:rPr>
          <w:sz w:val="21"/>
        </w:rPr>
        <w:t>acknowledges</w:t>
      </w:r>
      <w:r>
        <w:rPr>
          <w:spacing w:val="40"/>
          <w:sz w:val="21"/>
        </w:rPr>
        <w:t> </w:t>
      </w:r>
      <w:r>
        <w:rPr>
          <w:sz w:val="21"/>
        </w:rPr>
        <w:t>that Employer and/or the Company owns copyrights in any and all compilations of Confidential Information in any tangible or electronic form (including, but not limited to, printed lists, handwritten lists, spreadsheets, and databases) in any storage </w:t>
      </w:r>
      <w:r>
        <w:rPr>
          <w:sz w:val="21"/>
        </w:rPr>
        <w:t>media, including, but not limited to, Devices, (collectively, “Copyrighted Works”). Employee further acknowledges that unauthorized copying, distributing, or creating derivative works, or inducing or contributing to such conduct by others, based on such Copyrighted Works constitutes infringement of Employer and/or the Company’s copyrights in and to the Copyrighted Works. Employee acknowledges that only the Chief Executive Officer, Chief Operating Officer, President, or Chief Legal and Administrative Officer (or General Counsel, as applicable) of Employer or the Company are authorized to grant authorization to Employee to copy, distribute or create derivative works based on the Copyrighted Works. Employee shall obtain any such authorization</w:t>
      </w:r>
      <w:r>
        <w:rPr>
          <w:spacing w:val="15"/>
          <w:sz w:val="21"/>
        </w:rPr>
        <w:t> </w:t>
      </w:r>
      <w:r>
        <w:rPr>
          <w:sz w:val="21"/>
        </w:rPr>
        <w:t>from</w:t>
      </w:r>
      <w:r>
        <w:rPr>
          <w:spacing w:val="15"/>
          <w:sz w:val="21"/>
        </w:rPr>
        <w:t> </w:t>
      </w:r>
      <w:r>
        <w:rPr>
          <w:sz w:val="21"/>
        </w:rPr>
        <w:t>Employer</w:t>
      </w:r>
      <w:r>
        <w:rPr>
          <w:spacing w:val="15"/>
          <w:sz w:val="21"/>
        </w:rPr>
        <w:t> </w:t>
      </w:r>
      <w:r>
        <w:rPr>
          <w:sz w:val="21"/>
        </w:rPr>
        <w:t>or</w:t>
      </w:r>
      <w:r>
        <w:rPr>
          <w:spacing w:val="15"/>
          <w:sz w:val="21"/>
        </w:rPr>
        <w:t> </w:t>
      </w:r>
      <w:r>
        <w:rPr>
          <w:sz w:val="21"/>
        </w:rPr>
        <w:t>the</w:t>
      </w:r>
      <w:r>
        <w:rPr>
          <w:spacing w:val="15"/>
          <w:sz w:val="21"/>
        </w:rPr>
        <w:t> </w:t>
      </w:r>
      <w:r>
        <w:rPr>
          <w:sz w:val="21"/>
        </w:rPr>
        <w:t>Company</w:t>
      </w:r>
      <w:r>
        <w:rPr>
          <w:spacing w:val="15"/>
          <w:sz w:val="21"/>
        </w:rPr>
        <w:t> </w:t>
      </w:r>
      <w:r>
        <w:rPr>
          <w:sz w:val="21"/>
        </w:rPr>
        <w:t>in</w:t>
      </w:r>
      <w:r>
        <w:rPr>
          <w:spacing w:val="15"/>
          <w:sz w:val="21"/>
        </w:rPr>
        <w:t> </w:t>
      </w:r>
      <w:r>
        <w:rPr>
          <w:sz w:val="21"/>
        </w:rPr>
        <w:t>writing,</w:t>
      </w:r>
      <w:r>
        <w:rPr>
          <w:spacing w:val="15"/>
          <w:sz w:val="21"/>
        </w:rPr>
        <w:t> </w:t>
      </w:r>
      <w:r>
        <w:rPr>
          <w:sz w:val="21"/>
        </w:rPr>
        <w:t>in</w:t>
      </w:r>
      <w:r>
        <w:rPr>
          <w:spacing w:val="15"/>
          <w:sz w:val="21"/>
        </w:rPr>
        <w:t> </w:t>
      </w:r>
      <w:r>
        <w:rPr>
          <w:sz w:val="21"/>
        </w:rPr>
        <w:t>advance</w:t>
      </w:r>
      <w:r>
        <w:rPr>
          <w:spacing w:val="15"/>
          <w:sz w:val="21"/>
        </w:rPr>
        <w:t> </w:t>
      </w:r>
      <w:r>
        <w:rPr>
          <w:sz w:val="21"/>
        </w:rPr>
        <w:t>of</w:t>
      </w:r>
      <w:r>
        <w:rPr>
          <w:spacing w:val="15"/>
          <w:sz w:val="21"/>
        </w:rPr>
        <w:t> </w:t>
      </w:r>
      <w:r>
        <w:rPr>
          <w:sz w:val="21"/>
        </w:rPr>
        <w:t>any</w:t>
      </w:r>
      <w:r>
        <w:rPr>
          <w:spacing w:val="15"/>
          <w:sz w:val="21"/>
        </w:rPr>
        <w:t> </w:t>
      </w:r>
      <w:r>
        <w:rPr>
          <w:sz w:val="21"/>
        </w:rPr>
        <w:t>copying,</w:t>
      </w:r>
      <w:r>
        <w:rPr>
          <w:spacing w:val="15"/>
          <w:sz w:val="21"/>
        </w:rPr>
        <w:t> </w:t>
      </w:r>
      <w:r>
        <w:rPr>
          <w:sz w:val="21"/>
        </w:rPr>
        <w:t>distribution</w:t>
      </w:r>
      <w:r>
        <w:rPr>
          <w:spacing w:val="15"/>
          <w:sz w:val="21"/>
        </w:rPr>
        <w:t> </w:t>
      </w:r>
      <w:r>
        <w:rPr>
          <w:sz w:val="21"/>
        </w:rPr>
        <w:t>or</w:t>
      </w:r>
      <w:r>
        <w:rPr>
          <w:spacing w:val="15"/>
          <w:sz w:val="21"/>
        </w:rPr>
        <w:t> </w:t>
      </w:r>
      <w:r>
        <w:rPr>
          <w:sz w:val="21"/>
        </w:rPr>
        <w:t>creation</w:t>
      </w:r>
      <w:r>
        <w:rPr>
          <w:spacing w:val="15"/>
          <w:sz w:val="21"/>
        </w:rPr>
        <w:t> </w:t>
      </w:r>
      <w:r>
        <w:rPr>
          <w:sz w:val="21"/>
        </w:rPr>
        <w:t>of</w:t>
      </w:r>
      <w:r>
        <w:rPr>
          <w:spacing w:val="15"/>
          <w:sz w:val="21"/>
        </w:rPr>
        <w:t> </w:t>
      </w:r>
      <w:r>
        <w:rPr>
          <w:sz w:val="21"/>
        </w:rPr>
        <w:t>derivative</w:t>
      </w:r>
      <w:r>
        <w:rPr>
          <w:spacing w:val="15"/>
          <w:sz w:val="21"/>
        </w:rPr>
        <w:t> </w:t>
      </w:r>
      <w:r>
        <w:rPr>
          <w:sz w:val="21"/>
        </w:rPr>
        <w:t>works by Employee. Employee acknowledges that federal law provides for civil liability and criminal penalties for copyright</w:t>
      </w:r>
      <w:r>
        <w:rPr>
          <w:spacing w:val="40"/>
          <w:sz w:val="21"/>
        </w:rPr>
        <w:t> </w:t>
      </w:r>
      <w:r>
        <w:rPr>
          <w:sz w:val="21"/>
        </w:rPr>
        <w:t>infringement. Employee agrees not to challenge, contest or dispute Employer’s or the Company’s right, title and interest in the Copyrighted Works</w:t>
      </w:r>
      <w:r>
        <w:rPr>
          <w:spacing w:val="26"/>
          <w:sz w:val="21"/>
        </w:rPr>
        <w:t> </w:t>
      </w:r>
      <w:r>
        <w:rPr>
          <w:sz w:val="21"/>
        </w:rPr>
        <w:t>and</w:t>
      </w:r>
      <w:r>
        <w:rPr>
          <w:spacing w:val="26"/>
          <w:sz w:val="21"/>
        </w:rPr>
        <w:t> </w:t>
      </w:r>
      <w:r>
        <w:rPr>
          <w:sz w:val="21"/>
        </w:rPr>
        <w:t>waives</w:t>
      </w:r>
      <w:r>
        <w:rPr>
          <w:spacing w:val="26"/>
          <w:sz w:val="21"/>
        </w:rPr>
        <w:t> </w:t>
      </w:r>
      <w:r>
        <w:rPr>
          <w:sz w:val="21"/>
        </w:rPr>
        <w:t>any</w:t>
      </w:r>
      <w:r>
        <w:rPr>
          <w:spacing w:val="26"/>
          <w:sz w:val="21"/>
        </w:rPr>
        <w:t> </w:t>
      </w:r>
      <w:r>
        <w:rPr>
          <w:sz w:val="21"/>
        </w:rPr>
        <w:t>legal</w:t>
      </w:r>
      <w:r>
        <w:rPr>
          <w:spacing w:val="26"/>
          <w:sz w:val="21"/>
        </w:rPr>
        <w:t> </w:t>
      </w:r>
      <w:r>
        <w:rPr>
          <w:sz w:val="21"/>
        </w:rPr>
        <w:t>or</w:t>
      </w:r>
      <w:r>
        <w:rPr>
          <w:spacing w:val="26"/>
          <w:sz w:val="21"/>
        </w:rPr>
        <w:t> </w:t>
      </w:r>
      <w:r>
        <w:rPr>
          <w:sz w:val="21"/>
        </w:rPr>
        <w:t>equitable</w:t>
      </w:r>
      <w:r>
        <w:rPr>
          <w:spacing w:val="26"/>
          <w:sz w:val="21"/>
        </w:rPr>
        <w:t> </w:t>
      </w:r>
      <w:r>
        <w:rPr>
          <w:sz w:val="21"/>
        </w:rPr>
        <w:t>defense</w:t>
      </w:r>
      <w:r>
        <w:rPr>
          <w:spacing w:val="26"/>
          <w:sz w:val="21"/>
        </w:rPr>
        <w:t> </w:t>
      </w:r>
      <w:r>
        <w:rPr>
          <w:sz w:val="21"/>
        </w:rPr>
        <w:t>to</w:t>
      </w:r>
      <w:r>
        <w:rPr>
          <w:spacing w:val="26"/>
          <w:sz w:val="21"/>
        </w:rPr>
        <w:t> </w:t>
      </w:r>
      <w:r>
        <w:rPr>
          <w:sz w:val="21"/>
        </w:rPr>
        <w:t>infringement</w:t>
      </w:r>
      <w:r>
        <w:rPr>
          <w:spacing w:val="26"/>
          <w:sz w:val="21"/>
        </w:rPr>
        <w:t> </w:t>
      </w:r>
      <w:r>
        <w:rPr>
          <w:sz w:val="21"/>
        </w:rPr>
        <w:t>of</w:t>
      </w:r>
      <w:r>
        <w:rPr>
          <w:spacing w:val="26"/>
          <w:sz w:val="21"/>
        </w:rPr>
        <w:t> </w:t>
      </w:r>
      <w:r>
        <w:rPr>
          <w:sz w:val="21"/>
        </w:rPr>
        <w:t>such</w:t>
      </w:r>
      <w:r>
        <w:rPr>
          <w:spacing w:val="26"/>
          <w:sz w:val="21"/>
        </w:rPr>
        <w:t> </w:t>
      </w:r>
      <w:r>
        <w:rPr>
          <w:sz w:val="21"/>
        </w:rPr>
        <w:t>Copyrighted Works.</w:t>
      </w:r>
    </w:p>
    <w:p>
      <w:pPr>
        <w:pStyle w:val="ListParagraph"/>
        <w:numPr>
          <w:ilvl w:val="0"/>
          <w:numId w:val="54"/>
        </w:numPr>
        <w:tabs>
          <w:tab w:pos="305" w:val="left" w:leader="none"/>
        </w:tabs>
        <w:spacing w:line="213" w:lineRule="auto" w:before="230" w:after="0"/>
        <w:ind w:left="144" w:right="617" w:firstLine="0"/>
        <w:jc w:val="left"/>
        <w:rPr>
          <w:sz w:val="21"/>
        </w:rPr>
      </w:pPr>
      <w:r>
        <w:rPr>
          <w:sz w:val="21"/>
          <w:u w:val="single"/>
        </w:rPr>
        <w:t>Representations and Warranties</w:t>
      </w:r>
      <w:r>
        <w:rPr>
          <w:sz w:val="21"/>
        </w:rPr>
        <w:t>. Employee hereby represents and warrants to Employer, and hereby agrees with Employer, as</w:t>
      </w:r>
      <w:r>
        <w:rPr>
          <w:spacing w:val="80"/>
          <w:sz w:val="21"/>
        </w:rPr>
        <w:t> </w:t>
      </w:r>
      <w:r>
        <w:rPr>
          <w:spacing w:val="-2"/>
          <w:sz w:val="21"/>
        </w:rPr>
        <w:t>follows:</w:t>
      </w:r>
    </w:p>
    <w:p>
      <w:pPr>
        <w:pStyle w:val="ListParagraph"/>
        <w:numPr>
          <w:ilvl w:val="1"/>
          <w:numId w:val="54"/>
        </w:numPr>
        <w:tabs>
          <w:tab w:pos="796" w:val="left" w:leader="none"/>
        </w:tabs>
        <w:spacing w:line="213" w:lineRule="auto" w:before="231" w:after="0"/>
        <w:ind w:left="468" w:right="223" w:firstLine="0"/>
        <w:jc w:val="both"/>
        <w:rPr>
          <w:sz w:val="21"/>
        </w:rPr>
      </w:pPr>
      <w:r>
        <w:rPr>
          <w:sz w:val="21"/>
        </w:rPr>
        <w:t>Employee has received valuable consideration in light of each and all of the restrictions set forth above in Sections 4 and 8. Employee</w:t>
      </w:r>
      <w:r>
        <w:rPr>
          <w:spacing w:val="22"/>
          <w:sz w:val="21"/>
        </w:rPr>
        <w:t> </w:t>
      </w:r>
      <w:r>
        <w:rPr>
          <w:sz w:val="21"/>
        </w:rPr>
        <w:t>therefore</w:t>
      </w:r>
      <w:r>
        <w:rPr>
          <w:spacing w:val="22"/>
          <w:sz w:val="21"/>
        </w:rPr>
        <w:t> </w:t>
      </w:r>
      <w:r>
        <w:rPr>
          <w:sz w:val="21"/>
        </w:rPr>
        <w:t>expressly</w:t>
      </w:r>
      <w:r>
        <w:rPr>
          <w:spacing w:val="22"/>
          <w:sz w:val="21"/>
        </w:rPr>
        <w:t> </w:t>
      </w:r>
      <w:r>
        <w:rPr>
          <w:sz w:val="21"/>
        </w:rPr>
        <w:t>agrees</w:t>
      </w:r>
      <w:r>
        <w:rPr>
          <w:spacing w:val="22"/>
          <w:sz w:val="21"/>
        </w:rPr>
        <w:t> </w:t>
      </w:r>
      <w:r>
        <w:rPr>
          <w:sz w:val="21"/>
        </w:rPr>
        <w:t>that</w:t>
      </w:r>
      <w:r>
        <w:rPr>
          <w:spacing w:val="22"/>
          <w:sz w:val="21"/>
        </w:rPr>
        <w:t> </w:t>
      </w:r>
      <w:r>
        <w:rPr>
          <w:sz w:val="21"/>
        </w:rPr>
        <w:t>the</w:t>
      </w:r>
      <w:r>
        <w:rPr>
          <w:spacing w:val="22"/>
          <w:sz w:val="21"/>
        </w:rPr>
        <w:t> </w:t>
      </w:r>
      <w:r>
        <w:rPr>
          <w:sz w:val="21"/>
        </w:rPr>
        <w:t>restrictions</w:t>
      </w:r>
      <w:r>
        <w:rPr>
          <w:spacing w:val="22"/>
          <w:sz w:val="21"/>
        </w:rPr>
        <w:t> </w:t>
      </w:r>
      <w:r>
        <w:rPr>
          <w:sz w:val="21"/>
        </w:rPr>
        <w:t>contained</w:t>
      </w:r>
      <w:r>
        <w:rPr>
          <w:spacing w:val="22"/>
          <w:sz w:val="21"/>
        </w:rPr>
        <w:t> </w:t>
      </w:r>
      <w:r>
        <w:rPr>
          <w:sz w:val="21"/>
        </w:rPr>
        <w:t>in</w:t>
      </w:r>
      <w:r>
        <w:rPr>
          <w:spacing w:val="22"/>
          <w:sz w:val="21"/>
        </w:rPr>
        <w:t> </w:t>
      </w:r>
      <w:r>
        <w:rPr>
          <w:sz w:val="21"/>
        </w:rPr>
        <w:t>Sections</w:t>
      </w:r>
      <w:r>
        <w:rPr>
          <w:spacing w:val="22"/>
          <w:sz w:val="21"/>
        </w:rPr>
        <w:t> </w:t>
      </w:r>
      <w:r>
        <w:rPr>
          <w:sz w:val="21"/>
        </w:rPr>
        <w:t>4</w:t>
      </w:r>
      <w:r>
        <w:rPr>
          <w:spacing w:val="22"/>
          <w:sz w:val="21"/>
        </w:rPr>
        <w:t> </w:t>
      </w:r>
      <w:r>
        <w:rPr>
          <w:sz w:val="21"/>
        </w:rPr>
        <w:t>and</w:t>
      </w:r>
      <w:r>
        <w:rPr>
          <w:spacing w:val="22"/>
          <w:sz w:val="21"/>
        </w:rPr>
        <w:t> </w:t>
      </w:r>
      <w:r>
        <w:rPr>
          <w:sz w:val="21"/>
        </w:rPr>
        <w:t>8</w:t>
      </w:r>
      <w:r>
        <w:rPr>
          <w:spacing w:val="22"/>
          <w:sz w:val="21"/>
        </w:rPr>
        <w:t> </w:t>
      </w:r>
      <w:r>
        <w:rPr>
          <w:sz w:val="21"/>
        </w:rPr>
        <w:t>are</w:t>
      </w:r>
      <w:r>
        <w:rPr>
          <w:spacing w:val="22"/>
          <w:sz w:val="21"/>
        </w:rPr>
        <w:t> </w:t>
      </w:r>
      <w:r>
        <w:rPr>
          <w:sz w:val="21"/>
        </w:rPr>
        <w:t>reasonable,</w:t>
      </w:r>
      <w:r>
        <w:rPr>
          <w:spacing w:val="22"/>
          <w:sz w:val="21"/>
        </w:rPr>
        <w:t> </w:t>
      </w:r>
      <w:r>
        <w:rPr>
          <w:sz w:val="21"/>
        </w:rPr>
        <w:t>appropriate</w:t>
      </w:r>
      <w:r>
        <w:rPr>
          <w:spacing w:val="22"/>
          <w:sz w:val="21"/>
        </w:rPr>
        <w:t> </w:t>
      </w:r>
      <w:r>
        <w:rPr>
          <w:sz w:val="21"/>
        </w:rPr>
        <w:t>and</w:t>
      </w:r>
      <w:r>
        <w:rPr>
          <w:spacing w:val="22"/>
          <w:sz w:val="21"/>
        </w:rPr>
        <w:t> </w:t>
      </w:r>
      <w:r>
        <w:rPr>
          <w:sz w:val="21"/>
        </w:rPr>
        <w:t>suitable in their geographic scope, duration and content, and are essential for the Employer’s reasonable protection of its Trade Secrets, Business Contacts, and Confidential Information. In accordance with Employee’s agreement to suitability, appropriateness, and reasonableness</w:t>
      </w:r>
      <w:r>
        <w:rPr>
          <w:spacing w:val="40"/>
          <w:sz w:val="21"/>
        </w:rPr>
        <w:t> </w:t>
      </w:r>
      <w:r>
        <w:rPr>
          <w:sz w:val="21"/>
        </w:rPr>
        <w:t>of</w:t>
      </w:r>
      <w:r>
        <w:rPr>
          <w:spacing w:val="40"/>
          <w:sz w:val="21"/>
        </w:rPr>
        <w:t> </w:t>
      </w:r>
      <w:r>
        <w:rPr>
          <w:sz w:val="21"/>
        </w:rPr>
        <w:t>such</w:t>
      </w:r>
      <w:r>
        <w:rPr>
          <w:spacing w:val="40"/>
          <w:sz w:val="21"/>
        </w:rPr>
        <w:t> </w:t>
      </w:r>
      <w:r>
        <w:rPr>
          <w:sz w:val="21"/>
        </w:rPr>
        <w:t>restriction,</w:t>
      </w:r>
      <w:r>
        <w:rPr>
          <w:spacing w:val="40"/>
          <w:sz w:val="21"/>
        </w:rPr>
        <w:t> </w:t>
      </w:r>
      <w:r>
        <w:rPr>
          <w:sz w:val="21"/>
        </w:rPr>
        <w:t>Employee</w:t>
      </w:r>
      <w:r>
        <w:rPr>
          <w:spacing w:val="40"/>
          <w:sz w:val="21"/>
        </w:rPr>
        <w:t> </w:t>
      </w:r>
      <w:r>
        <w:rPr>
          <w:sz w:val="21"/>
        </w:rPr>
        <w:t>agrees</w:t>
      </w:r>
      <w:r>
        <w:rPr>
          <w:spacing w:val="40"/>
          <w:sz w:val="21"/>
        </w:rPr>
        <w:t> </w:t>
      </w:r>
      <w:r>
        <w:rPr>
          <w:sz w:val="21"/>
        </w:rPr>
        <w:t>that</w:t>
      </w:r>
      <w:r>
        <w:rPr>
          <w:spacing w:val="40"/>
          <w:sz w:val="21"/>
        </w:rPr>
        <w:t> </w:t>
      </w:r>
      <w:r>
        <w:rPr>
          <w:sz w:val="21"/>
        </w:rPr>
        <w:t>Employee</w:t>
      </w:r>
      <w:r>
        <w:rPr>
          <w:spacing w:val="40"/>
          <w:sz w:val="21"/>
        </w:rPr>
        <w:t> </w:t>
      </w:r>
      <w:r>
        <w:rPr>
          <w:sz w:val="21"/>
        </w:rPr>
        <w:t>shall</w:t>
      </w:r>
      <w:r>
        <w:rPr>
          <w:spacing w:val="40"/>
          <w:sz w:val="21"/>
        </w:rPr>
        <w:t> </w:t>
      </w:r>
      <w:r>
        <w:rPr>
          <w:sz w:val="21"/>
        </w:rPr>
        <w:t>not</w:t>
      </w:r>
      <w:r>
        <w:rPr>
          <w:spacing w:val="40"/>
          <w:sz w:val="21"/>
        </w:rPr>
        <w:t> </w:t>
      </w:r>
      <w:r>
        <w:rPr>
          <w:sz w:val="21"/>
        </w:rPr>
        <w:t>raise</w:t>
      </w:r>
      <w:r>
        <w:rPr>
          <w:spacing w:val="40"/>
          <w:sz w:val="21"/>
        </w:rPr>
        <w:t> </w:t>
      </w:r>
      <w:r>
        <w:rPr>
          <w:sz w:val="21"/>
        </w:rPr>
        <w:t>any</w:t>
      </w:r>
      <w:r>
        <w:rPr>
          <w:spacing w:val="40"/>
          <w:sz w:val="21"/>
        </w:rPr>
        <w:t> </w:t>
      </w:r>
      <w:r>
        <w:rPr>
          <w:sz w:val="21"/>
        </w:rPr>
        <w:t>issue</w:t>
      </w:r>
      <w:r>
        <w:rPr>
          <w:spacing w:val="40"/>
          <w:sz w:val="21"/>
        </w:rPr>
        <w:t> </w:t>
      </w:r>
      <w:r>
        <w:rPr>
          <w:sz w:val="21"/>
        </w:rPr>
        <w:t>of</w:t>
      </w:r>
      <w:r>
        <w:rPr>
          <w:spacing w:val="40"/>
          <w:sz w:val="21"/>
        </w:rPr>
        <w:t> </w:t>
      </w:r>
      <w:r>
        <w:rPr>
          <w:sz w:val="21"/>
        </w:rPr>
        <w:t>the</w:t>
      </w:r>
      <w:r>
        <w:rPr>
          <w:spacing w:val="40"/>
          <w:sz w:val="21"/>
        </w:rPr>
        <w:t> </w:t>
      </w:r>
      <w:r>
        <w:rPr>
          <w:sz w:val="21"/>
        </w:rPr>
        <w:t>reasonableness, appropriateness</w:t>
      </w:r>
      <w:r>
        <w:rPr>
          <w:spacing w:val="36"/>
          <w:sz w:val="21"/>
        </w:rPr>
        <w:t> </w:t>
      </w:r>
      <w:r>
        <w:rPr>
          <w:sz w:val="21"/>
        </w:rPr>
        <w:t>and</w:t>
      </w:r>
      <w:r>
        <w:rPr>
          <w:spacing w:val="36"/>
          <w:sz w:val="21"/>
        </w:rPr>
        <w:t> </w:t>
      </w:r>
      <w:r>
        <w:rPr>
          <w:sz w:val="21"/>
        </w:rPr>
        <w:t>suitability</w:t>
      </w:r>
      <w:r>
        <w:rPr>
          <w:spacing w:val="36"/>
          <w:sz w:val="21"/>
        </w:rPr>
        <w:t> </w:t>
      </w:r>
      <w:r>
        <w:rPr>
          <w:sz w:val="21"/>
        </w:rPr>
        <w:t>of</w:t>
      </w:r>
      <w:r>
        <w:rPr>
          <w:spacing w:val="36"/>
          <w:sz w:val="21"/>
        </w:rPr>
        <w:t> </w:t>
      </w:r>
      <w:r>
        <w:rPr>
          <w:sz w:val="21"/>
        </w:rPr>
        <w:t>the</w:t>
      </w:r>
      <w:r>
        <w:rPr>
          <w:spacing w:val="36"/>
          <w:sz w:val="21"/>
        </w:rPr>
        <w:t> </w:t>
      </w:r>
      <w:r>
        <w:rPr>
          <w:sz w:val="21"/>
        </w:rPr>
        <w:t>geographic</w:t>
      </w:r>
      <w:r>
        <w:rPr>
          <w:spacing w:val="36"/>
          <w:sz w:val="21"/>
        </w:rPr>
        <w:t> </w:t>
      </w:r>
      <w:r>
        <w:rPr>
          <w:sz w:val="21"/>
        </w:rPr>
        <w:t>scope,</w:t>
      </w:r>
      <w:r>
        <w:rPr>
          <w:spacing w:val="36"/>
          <w:sz w:val="21"/>
        </w:rPr>
        <w:t> </w:t>
      </w:r>
      <w:r>
        <w:rPr>
          <w:sz w:val="21"/>
        </w:rPr>
        <w:t>duration</w:t>
      </w:r>
      <w:r>
        <w:rPr>
          <w:spacing w:val="36"/>
          <w:sz w:val="21"/>
        </w:rPr>
        <w:t> </w:t>
      </w:r>
      <w:r>
        <w:rPr>
          <w:sz w:val="21"/>
        </w:rPr>
        <w:t>or</w:t>
      </w:r>
      <w:r>
        <w:rPr>
          <w:spacing w:val="36"/>
          <w:sz w:val="21"/>
        </w:rPr>
        <w:t> </w:t>
      </w:r>
      <w:r>
        <w:rPr>
          <w:sz w:val="21"/>
        </w:rPr>
        <w:t>content</w:t>
      </w:r>
      <w:r>
        <w:rPr>
          <w:spacing w:val="36"/>
          <w:sz w:val="21"/>
        </w:rPr>
        <w:t> </w:t>
      </w:r>
      <w:r>
        <w:rPr>
          <w:sz w:val="21"/>
        </w:rPr>
        <w:t>of</w:t>
      </w:r>
      <w:r>
        <w:rPr>
          <w:spacing w:val="36"/>
          <w:sz w:val="21"/>
        </w:rPr>
        <w:t> </w:t>
      </w:r>
      <w:r>
        <w:rPr>
          <w:sz w:val="21"/>
        </w:rPr>
        <w:t>such</w:t>
      </w:r>
      <w:r>
        <w:rPr>
          <w:spacing w:val="36"/>
          <w:sz w:val="21"/>
        </w:rPr>
        <w:t> </w:t>
      </w:r>
      <w:r>
        <w:rPr>
          <w:sz w:val="21"/>
        </w:rPr>
        <w:t>restrictions</w:t>
      </w:r>
      <w:r>
        <w:rPr>
          <w:spacing w:val="36"/>
          <w:sz w:val="21"/>
        </w:rPr>
        <w:t> </w:t>
      </w:r>
      <w:r>
        <w:rPr>
          <w:sz w:val="21"/>
        </w:rPr>
        <w:t>in</w:t>
      </w:r>
      <w:r>
        <w:rPr>
          <w:spacing w:val="36"/>
          <w:sz w:val="21"/>
        </w:rPr>
        <w:t> </w:t>
      </w:r>
      <w:r>
        <w:rPr>
          <w:sz w:val="21"/>
        </w:rPr>
        <w:t>any</w:t>
      </w:r>
      <w:r>
        <w:rPr>
          <w:spacing w:val="36"/>
          <w:sz w:val="21"/>
        </w:rPr>
        <w:t> </w:t>
      </w:r>
      <w:r>
        <w:rPr>
          <w:sz w:val="21"/>
        </w:rPr>
        <w:t>proceeding</w:t>
      </w:r>
      <w:r>
        <w:rPr>
          <w:spacing w:val="36"/>
          <w:sz w:val="21"/>
        </w:rPr>
        <w:t> </w:t>
      </w:r>
      <w:r>
        <w:rPr>
          <w:sz w:val="21"/>
        </w:rPr>
        <w:t>to</w:t>
      </w:r>
      <w:r>
        <w:rPr>
          <w:spacing w:val="36"/>
          <w:sz w:val="21"/>
        </w:rPr>
        <w:t> </w:t>
      </w:r>
      <w:r>
        <w:rPr>
          <w:sz w:val="21"/>
        </w:rPr>
        <w:t>enforce such restrictions. Employee further</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71"/>
        <w:rPr>
          <w:sz w:val="21"/>
        </w:rPr>
      </w:pPr>
    </w:p>
    <w:p>
      <w:pPr>
        <w:spacing w:before="0"/>
        <w:ind w:left="24" w:right="0" w:firstLine="0"/>
        <w:jc w:val="center"/>
        <w:rPr>
          <w:sz w:val="21"/>
        </w:rPr>
      </w:pPr>
      <w:r>
        <w:rPr/>
        <mc:AlternateContent>
          <mc:Choice Requires="wps">
            <w:drawing>
              <wp:anchor distT="0" distB="0" distL="0" distR="0" allowOverlap="1" layoutInCell="1" locked="0" behindDoc="1" simplePos="0" relativeHeight="487808000">
                <wp:simplePos x="0" y="0"/>
                <wp:positionH relativeFrom="page">
                  <wp:posOffset>231457</wp:posOffset>
                </wp:positionH>
                <wp:positionV relativeFrom="paragraph">
                  <wp:posOffset>183868</wp:posOffset>
                </wp:positionV>
                <wp:extent cx="7312659" cy="17145"/>
                <wp:effectExtent l="0" t="0" r="0" b="0"/>
                <wp:wrapTopAndBottom/>
                <wp:docPr id="1084" name="Group 1084"/>
                <wp:cNvGraphicFramePr>
                  <a:graphicFrameLocks/>
                </wp:cNvGraphicFramePr>
                <a:graphic>
                  <a:graphicData uri="http://schemas.microsoft.com/office/word/2010/wordprocessingGroup">
                    <wpg:wgp>
                      <wpg:cNvPr id="1084" name="Group 1084"/>
                      <wpg:cNvGrpSpPr/>
                      <wpg:grpSpPr>
                        <a:xfrm>
                          <a:off x="0" y="0"/>
                          <a:ext cx="7312659" cy="17145"/>
                          <a:chExt cx="7312659" cy="17145"/>
                        </a:xfrm>
                      </wpg:grpSpPr>
                      <wps:wsp>
                        <wps:cNvPr id="1085" name="Graphic 108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86" name="Graphic 1086"/>
                        <wps:cNvSpPr/>
                        <wps:spPr>
                          <a:xfrm>
                            <a:off x="-12" y="-2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87" name="Graphic 108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477872pt;width:575.8pt;height:1.35pt;mso-position-horizontal-relative:page;mso-position-vertical-relative:paragraph;z-index:-15508480;mso-wrap-distance-left:0;mso-wrap-distance-right:0" id="docshapegroup1082" coordorigin="364,290" coordsize="11516,27">
                <v:rect style="position:absolute;left:364;top:289;width:11516;height:14" id="docshape1083" filled="true" fillcolor="#999999" stroked="false">
                  <v:fill type="solid"/>
                </v:rect>
                <v:shape style="position:absolute;left:364;top:289;width:11516;height:27" id="docshape1084" coordorigin="364,290" coordsize="11516,27" path="m11880,290l11866,303,364,303,364,317,11866,317,11880,317,11880,303,11880,290xe" filled="true" fillcolor="#ededed" stroked="false">
                  <v:path arrowok="t"/>
                  <v:fill type="solid"/>
                </v:shape>
                <v:shape style="position:absolute;left:364;top:289;width:14;height:27" id="docshape1085" coordorigin="364,290" coordsize="14,27" path="m364,317l364,290,378,290,378,303,364,317xe" filled="true" fillcolor="#999999" stroked="false">
                  <v:path arrowok="t"/>
                  <v:fill type="solid"/>
                </v:shape>
                <w10:wrap type="topAndBottom"/>
              </v:group>
            </w:pict>
          </mc:Fallback>
        </mc:AlternateContent>
      </w:r>
      <w:r>
        <w:rPr>
          <w:spacing w:val="-5"/>
          <w:sz w:val="21"/>
        </w:rPr>
        <w:t>10</w:t>
      </w:r>
    </w:p>
    <w:p>
      <w:pPr>
        <w:spacing w:after="0"/>
        <w:jc w:val="center"/>
        <w:rPr>
          <w:sz w:val="21"/>
        </w:rPr>
        <w:sectPr>
          <w:pgSz w:w="12240" w:h="15840"/>
          <w:pgMar w:top="1820" w:bottom="280" w:left="220" w:right="240"/>
        </w:sectPr>
      </w:pPr>
    </w:p>
    <w:p>
      <w:pPr>
        <w:spacing w:line="213" w:lineRule="auto" w:before="138"/>
        <w:ind w:left="468" w:right="223" w:firstLine="0"/>
        <w:jc w:val="both"/>
        <w:rPr>
          <w:sz w:val="21"/>
        </w:rPr>
      </w:pPr>
      <w:r>
        <w:rPr>
          <w:sz w:val="21"/>
        </w:rPr>
        <w:t>agrees that Sections 4 and 8 shall survive the termination of this Agreement in accordance with their terms. Employee further expressly</w:t>
      </w:r>
      <w:r>
        <w:rPr>
          <w:spacing w:val="21"/>
          <w:sz w:val="21"/>
        </w:rPr>
        <w:t> </w:t>
      </w:r>
      <w:r>
        <w:rPr>
          <w:sz w:val="21"/>
        </w:rPr>
        <w:t>agrees</w:t>
      </w:r>
      <w:r>
        <w:rPr>
          <w:spacing w:val="21"/>
          <w:sz w:val="21"/>
        </w:rPr>
        <w:t> </w:t>
      </w:r>
      <w:r>
        <w:rPr>
          <w:sz w:val="21"/>
        </w:rPr>
        <w:t>that</w:t>
      </w:r>
      <w:r>
        <w:rPr>
          <w:spacing w:val="21"/>
          <w:sz w:val="21"/>
        </w:rPr>
        <w:t> </w:t>
      </w:r>
      <w:r>
        <w:rPr>
          <w:sz w:val="21"/>
        </w:rPr>
        <w:t>Employee</w:t>
      </w:r>
      <w:r>
        <w:rPr>
          <w:spacing w:val="21"/>
          <w:sz w:val="21"/>
        </w:rPr>
        <w:t> </w:t>
      </w:r>
      <w:r>
        <w:rPr>
          <w:sz w:val="21"/>
        </w:rPr>
        <w:t>has</w:t>
      </w:r>
      <w:r>
        <w:rPr>
          <w:spacing w:val="21"/>
          <w:sz w:val="21"/>
        </w:rPr>
        <w:t> </w:t>
      </w:r>
      <w:r>
        <w:rPr>
          <w:sz w:val="21"/>
        </w:rPr>
        <w:t>received</w:t>
      </w:r>
      <w:r>
        <w:rPr>
          <w:spacing w:val="21"/>
          <w:sz w:val="21"/>
        </w:rPr>
        <w:t> </w:t>
      </w:r>
      <w:r>
        <w:rPr>
          <w:sz w:val="21"/>
        </w:rPr>
        <w:t>sufficient</w:t>
      </w:r>
      <w:r>
        <w:rPr>
          <w:spacing w:val="21"/>
          <w:sz w:val="21"/>
        </w:rPr>
        <w:t> </w:t>
      </w:r>
      <w:r>
        <w:rPr>
          <w:sz w:val="21"/>
        </w:rPr>
        <w:t>and</w:t>
      </w:r>
      <w:r>
        <w:rPr>
          <w:spacing w:val="21"/>
          <w:sz w:val="21"/>
        </w:rPr>
        <w:t> </w:t>
      </w:r>
      <w:r>
        <w:rPr>
          <w:sz w:val="21"/>
        </w:rPr>
        <w:t>valuable</w:t>
      </w:r>
      <w:r>
        <w:rPr>
          <w:spacing w:val="21"/>
          <w:sz w:val="21"/>
        </w:rPr>
        <w:t> </w:t>
      </w:r>
      <w:r>
        <w:rPr>
          <w:sz w:val="21"/>
        </w:rPr>
        <w:t>consideration</w:t>
      </w:r>
      <w:r>
        <w:rPr>
          <w:spacing w:val="21"/>
          <w:sz w:val="21"/>
        </w:rPr>
        <w:t> </w:t>
      </w:r>
      <w:r>
        <w:rPr>
          <w:sz w:val="21"/>
        </w:rPr>
        <w:t>allowing</w:t>
      </w:r>
      <w:r>
        <w:rPr>
          <w:spacing w:val="21"/>
          <w:sz w:val="21"/>
        </w:rPr>
        <w:t> </w:t>
      </w:r>
      <w:r>
        <w:rPr>
          <w:sz w:val="21"/>
        </w:rPr>
        <w:t>Employer</w:t>
      </w:r>
      <w:r>
        <w:rPr>
          <w:spacing w:val="21"/>
          <w:sz w:val="21"/>
        </w:rPr>
        <w:t> </w:t>
      </w:r>
      <w:r>
        <w:rPr>
          <w:sz w:val="21"/>
        </w:rPr>
        <w:t>to</w:t>
      </w:r>
      <w:r>
        <w:rPr>
          <w:spacing w:val="21"/>
          <w:sz w:val="21"/>
        </w:rPr>
        <w:t> </w:t>
      </w:r>
      <w:r>
        <w:rPr>
          <w:sz w:val="21"/>
        </w:rPr>
        <w:t>freely</w:t>
      </w:r>
      <w:r>
        <w:rPr>
          <w:spacing w:val="21"/>
          <w:sz w:val="21"/>
        </w:rPr>
        <w:t> </w:t>
      </w:r>
      <w:r>
        <w:rPr>
          <w:sz w:val="21"/>
        </w:rPr>
        <w:t>and</w:t>
      </w:r>
      <w:r>
        <w:rPr>
          <w:spacing w:val="21"/>
          <w:sz w:val="21"/>
        </w:rPr>
        <w:t> </w:t>
      </w:r>
      <w:r>
        <w:rPr>
          <w:sz w:val="21"/>
        </w:rPr>
        <w:t>fully</w:t>
      </w:r>
      <w:r>
        <w:rPr>
          <w:spacing w:val="21"/>
          <w:sz w:val="21"/>
        </w:rPr>
        <w:t> </w:t>
      </w:r>
      <w:r>
        <w:rPr>
          <w:sz w:val="21"/>
        </w:rPr>
        <w:t>assign its rights under Sections 4 and 8 to the Company or upon a sale or other transaction of any kind relating to the ownership and/or control</w:t>
      </w:r>
      <w:r>
        <w:rPr>
          <w:spacing w:val="25"/>
          <w:sz w:val="21"/>
        </w:rPr>
        <w:t> </w:t>
      </w:r>
      <w:r>
        <w:rPr>
          <w:sz w:val="21"/>
        </w:rPr>
        <w:t>of</w:t>
      </w:r>
      <w:r>
        <w:rPr>
          <w:spacing w:val="25"/>
          <w:sz w:val="21"/>
        </w:rPr>
        <w:t> </w:t>
      </w:r>
      <w:r>
        <w:rPr>
          <w:sz w:val="21"/>
        </w:rPr>
        <w:t>Employer,</w:t>
      </w:r>
      <w:r>
        <w:rPr>
          <w:spacing w:val="25"/>
          <w:sz w:val="21"/>
        </w:rPr>
        <w:t> </w:t>
      </w:r>
      <w:r>
        <w:rPr>
          <w:sz w:val="21"/>
        </w:rPr>
        <w:t>so</w:t>
      </w:r>
      <w:r>
        <w:rPr>
          <w:spacing w:val="25"/>
          <w:sz w:val="21"/>
        </w:rPr>
        <w:t> </w:t>
      </w:r>
      <w:r>
        <w:rPr>
          <w:sz w:val="21"/>
        </w:rPr>
        <w:t>long</w:t>
      </w:r>
      <w:r>
        <w:rPr>
          <w:spacing w:val="25"/>
          <w:sz w:val="21"/>
        </w:rPr>
        <w:t> </w:t>
      </w:r>
      <w:r>
        <w:rPr>
          <w:sz w:val="21"/>
        </w:rPr>
        <w:t>as</w:t>
      </w:r>
      <w:r>
        <w:rPr>
          <w:spacing w:val="25"/>
          <w:sz w:val="21"/>
        </w:rPr>
        <w:t> </w:t>
      </w:r>
      <w:r>
        <w:rPr>
          <w:sz w:val="21"/>
        </w:rPr>
        <w:t>any</w:t>
      </w:r>
      <w:r>
        <w:rPr>
          <w:spacing w:val="25"/>
          <w:sz w:val="21"/>
        </w:rPr>
        <w:t> </w:t>
      </w:r>
      <w:r>
        <w:rPr>
          <w:sz w:val="21"/>
        </w:rPr>
        <w:t>other</w:t>
      </w:r>
      <w:r>
        <w:rPr>
          <w:spacing w:val="25"/>
          <w:sz w:val="21"/>
        </w:rPr>
        <w:t> </w:t>
      </w:r>
      <w:r>
        <w:rPr>
          <w:sz w:val="21"/>
        </w:rPr>
        <w:t>remaining</w:t>
      </w:r>
      <w:r>
        <w:rPr>
          <w:spacing w:val="25"/>
          <w:sz w:val="21"/>
        </w:rPr>
        <w:t> </w:t>
      </w:r>
      <w:r>
        <w:rPr>
          <w:sz w:val="21"/>
        </w:rPr>
        <w:t>obligations</w:t>
      </w:r>
      <w:r>
        <w:rPr>
          <w:spacing w:val="25"/>
          <w:sz w:val="21"/>
        </w:rPr>
        <w:t> </w:t>
      </w:r>
      <w:r>
        <w:rPr>
          <w:sz w:val="21"/>
        </w:rPr>
        <w:t>to</w:t>
      </w:r>
      <w:r>
        <w:rPr>
          <w:spacing w:val="25"/>
          <w:sz w:val="21"/>
        </w:rPr>
        <w:t> </w:t>
      </w:r>
      <w:r>
        <w:rPr>
          <w:sz w:val="21"/>
        </w:rPr>
        <w:t>Employee</w:t>
      </w:r>
      <w:r>
        <w:rPr>
          <w:spacing w:val="25"/>
          <w:sz w:val="21"/>
        </w:rPr>
        <w:t> </w:t>
      </w:r>
      <w:r>
        <w:rPr>
          <w:sz w:val="21"/>
        </w:rPr>
        <w:t>under</w:t>
      </w:r>
      <w:r>
        <w:rPr>
          <w:spacing w:val="25"/>
          <w:sz w:val="21"/>
        </w:rPr>
        <w:t> </w:t>
      </w:r>
      <w:r>
        <w:rPr>
          <w:sz w:val="21"/>
        </w:rPr>
        <w:t>this Agreement</w:t>
      </w:r>
      <w:r>
        <w:rPr>
          <w:spacing w:val="25"/>
          <w:sz w:val="21"/>
        </w:rPr>
        <w:t> </w:t>
      </w:r>
      <w:r>
        <w:rPr>
          <w:sz w:val="21"/>
        </w:rPr>
        <w:t>are</w:t>
      </w:r>
      <w:r>
        <w:rPr>
          <w:spacing w:val="25"/>
          <w:sz w:val="21"/>
        </w:rPr>
        <w:t> </w:t>
      </w:r>
      <w:r>
        <w:rPr>
          <w:sz w:val="21"/>
        </w:rPr>
        <w:t>also</w:t>
      </w:r>
      <w:r>
        <w:rPr>
          <w:spacing w:val="25"/>
          <w:sz w:val="21"/>
        </w:rPr>
        <w:t> </w:t>
      </w:r>
      <w:r>
        <w:rPr>
          <w:sz w:val="21"/>
        </w:rPr>
        <w:t>assigned.</w:t>
      </w:r>
    </w:p>
    <w:p>
      <w:pPr>
        <w:pStyle w:val="ListParagraph"/>
        <w:numPr>
          <w:ilvl w:val="1"/>
          <w:numId w:val="54"/>
        </w:numPr>
        <w:tabs>
          <w:tab w:pos="823" w:val="left" w:leader="none"/>
        </w:tabs>
        <w:spacing w:line="213" w:lineRule="auto" w:before="221" w:after="0"/>
        <w:ind w:left="468" w:right="221" w:firstLine="0"/>
        <w:jc w:val="both"/>
        <w:rPr>
          <w:sz w:val="21"/>
        </w:rPr>
      </w:pPr>
      <w:r>
        <w:rPr>
          <w:sz w:val="21"/>
        </w:rPr>
        <w:t>Employee agrees that the enforcement of any remedy under this Agreement will not prevent Employee from earning </w:t>
      </w:r>
      <w:r>
        <w:rPr>
          <w:sz w:val="21"/>
        </w:rPr>
        <w:t>a livelihood because Employee’s past work history and abilities are such that Employee can reasonably expect to find work irrespective of the restrictions contained herein.</w:t>
      </w:r>
    </w:p>
    <w:p>
      <w:pPr>
        <w:pStyle w:val="ListParagraph"/>
        <w:numPr>
          <w:ilvl w:val="1"/>
          <w:numId w:val="54"/>
        </w:numPr>
        <w:tabs>
          <w:tab w:pos="800" w:val="left" w:leader="none"/>
        </w:tabs>
        <w:spacing w:line="213" w:lineRule="auto" w:before="219" w:after="0"/>
        <w:ind w:left="468" w:right="226" w:firstLine="0"/>
        <w:jc w:val="both"/>
        <w:rPr>
          <w:sz w:val="21"/>
        </w:rPr>
      </w:pPr>
      <w:r>
        <w:rPr>
          <w:sz w:val="21"/>
        </w:rPr>
        <w:t>Employer</w:t>
      </w:r>
      <w:r>
        <w:rPr>
          <w:spacing w:val="24"/>
          <w:sz w:val="21"/>
        </w:rPr>
        <w:t> </w:t>
      </w:r>
      <w:r>
        <w:rPr>
          <w:sz w:val="21"/>
        </w:rPr>
        <w:t>has</w:t>
      </w:r>
      <w:r>
        <w:rPr>
          <w:spacing w:val="24"/>
          <w:sz w:val="21"/>
        </w:rPr>
        <w:t> </w:t>
      </w:r>
      <w:r>
        <w:rPr>
          <w:sz w:val="21"/>
        </w:rPr>
        <w:t>reasonably</w:t>
      </w:r>
      <w:r>
        <w:rPr>
          <w:spacing w:val="24"/>
          <w:sz w:val="21"/>
        </w:rPr>
        <w:t> </w:t>
      </w:r>
      <w:r>
        <w:rPr>
          <w:sz w:val="21"/>
        </w:rPr>
        <w:t>relied</w:t>
      </w:r>
      <w:r>
        <w:rPr>
          <w:spacing w:val="24"/>
          <w:sz w:val="21"/>
        </w:rPr>
        <w:t> </w:t>
      </w:r>
      <w:r>
        <w:rPr>
          <w:sz w:val="21"/>
        </w:rPr>
        <w:t>on</w:t>
      </w:r>
      <w:r>
        <w:rPr>
          <w:spacing w:val="24"/>
          <w:sz w:val="21"/>
        </w:rPr>
        <w:t> </w:t>
      </w:r>
      <w:r>
        <w:rPr>
          <w:sz w:val="21"/>
        </w:rPr>
        <w:t>Employee’s</w:t>
      </w:r>
      <w:r>
        <w:rPr>
          <w:spacing w:val="24"/>
          <w:sz w:val="21"/>
        </w:rPr>
        <w:t> </w:t>
      </w:r>
      <w:r>
        <w:rPr>
          <w:sz w:val="21"/>
        </w:rPr>
        <w:t>covenants,</w:t>
      </w:r>
      <w:r>
        <w:rPr>
          <w:spacing w:val="24"/>
          <w:sz w:val="21"/>
        </w:rPr>
        <w:t> </w:t>
      </w:r>
      <w:r>
        <w:rPr>
          <w:sz w:val="21"/>
        </w:rPr>
        <w:t>representations</w:t>
      </w:r>
      <w:r>
        <w:rPr>
          <w:spacing w:val="24"/>
          <w:sz w:val="21"/>
        </w:rPr>
        <w:t> </w:t>
      </w:r>
      <w:r>
        <w:rPr>
          <w:sz w:val="21"/>
        </w:rPr>
        <w:t>and</w:t>
      </w:r>
      <w:r>
        <w:rPr>
          <w:spacing w:val="24"/>
          <w:sz w:val="21"/>
        </w:rPr>
        <w:t> </w:t>
      </w:r>
      <w:r>
        <w:rPr>
          <w:sz w:val="21"/>
        </w:rPr>
        <w:t>agreements</w:t>
      </w:r>
      <w:r>
        <w:rPr>
          <w:spacing w:val="24"/>
          <w:sz w:val="21"/>
        </w:rPr>
        <w:t> </w:t>
      </w:r>
      <w:r>
        <w:rPr>
          <w:sz w:val="21"/>
        </w:rPr>
        <w:t>with</w:t>
      </w:r>
      <w:r>
        <w:rPr>
          <w:spacing w:val="24"/>
          <w:sz w:val="21"/>
        </w:rPr>
        <w:t> </w:t>
      </w:r>
      <w:r>
        <w:rPr>
          <w:sz w:val="21"/>
        </w:rPr>
        <w:t>respect</w:t>
      </w:r>
      <w:r>
        <w:rPr>
          <w:spacing w:val="24"/>
          <w:sz w:val="21"/>
        </w:rPr>
        <w:t> </w:t>
      </w:r>
      <w:r>
        <w:rPr>
          <w:sz w:val="21"/>
        </w:rPr>
        <w:t>to</w:t>
      </w:r>
      <w:r>
        <w:rPr>
          <w:spacing w:val="24"/>
          <w:sz w:val="21"/>
        </w:rPr>
        <w:t> </w:t>
      </w:r>
      <w:r>
        <w:rPr>
          <w:sz w:val="21"/>
        </w:rPr>
        <w:t>Sections</w:t>
      </w:r>
      <w:r>
        <w:rPr>
          <w:spacing w:val="24"/>
          <w:sz w:val="21"/>
        </w:rPr>
        <w:t> </w:t>
      </w:r>
      <w:r>
        <w:rPr>
          <w:sz w:val="21"/>
        </w:rPr>
        <w:t>4</w:t>
      </w:r>
      <w:r>
        <w:rPr>
          <w:spacing w:val="24"/>
          <w:sz w:val="21"/>
        </w:rPr>
        <w:t> </w:t>
      </w:r>
      <w:r>
        <w:rPr>
          <w:sz w:val="21"/>
        </w:rPr>
        <w:t>and</w:t>
      </w:r>
      <w:r>
        <w:rPr>
          <w:spacing w:val="24"/>
          <w:sz w:val="21"/>
        </w:rPr>
        <w:t> </w:t>
      </w:r>
      <w:r>
        <w:rPr>
          <w:sz w:val="21"/>
        </w:rPr>
        <w:t>8 in this Agreement.</w:t>
      </w:r>
    </w:p>
    <w:p>
      <w:pPr>
        <w:pStyle w:val="ListParagraph"/>
        <w:numPr>
          <w:ilvl w:val="1"/>
          <w:numId w:val="54"/>
        </w:numPr>
        <w:tabs>
          <w:tab w:pos="801" w:val="left" w:leader="none"/>
        </w:tabs>
        <w:spacing w:line="213" w:lineRule="auto" w:before="218" w:after="0"/>
        <w:ind w:left="468" w:right="220" w:firstLine="0"/>
        <w:jc w:val="both"/>
        <w:rPr>
          <w:sz w:val="21"/>
        </w:rPr>
      </w:pPr>
      <w:r>
        <w:rPr>
          <w:sz w:val="21"/>
        </w:rPr>
        <w:t>Employee acknowledges and agrees that because Employer has and will continue to invest substantial time and expense in developing</w:t>
      </w:r>
      <w:r>
        <w:rPr>
          <w:spacing w:val="34"/>
          <w:sz w:val="21"/>
        </w:rPr>
        <w:t> </w:t>
      </w:r>
      <w:r>
        <w:rPr>
          <w:sz w:val="21"/>
        </w:rPr>
        <w:t>and</w:t>
      </w:r>
      <w:r>
        <w:rPr>
          <w:spacing w:val="34"/>
          <w:sz w:val="21"/>
        </w:rPr>
        <w:t> </w:t>
      </w:r>
      <w:r>
        <w:rPr>
          <w:sz w:val="21"/>
        </w:rPr>
        <w:t>protecting</w:t>
      </w:r>
      <w:r>
        <w:rPr>
          <w:spacing w:val="34"/>
          <w:sz w:val="21"/>
        </w:rPr>
        <w:t> </w:t>
      </w:r>
      <w:r>
        <w:rPr>
          <w:sz w:val="21"/>
        </w:rPr>
        <w:t>its</w:t>
      </w:r>
      <w:r>
        <w:rPr>
          <w:spacing w:val="34"/>
          <w:sz w:val="21"/>
        </w:rPr>
        <w:t> </w:t>
      </w:r>
      <w:r>
        <w:rPr>
          <w:sz w:val="21"/>
        </w:rPr>
        <w:t>relationships</w:t>
      </w:r>
      <w:r>
        <w:rPr>
          <w:spacing w:val="34"/>
          <w:sz w:val="21"/>
        </w:rPr>
        <w:t> </w:t>
      </w:r>
      <w:r>
        <w:rPr>
          <w:sz w:val="21"/>
        </w:rPr>
        <w:t>and</w:t>
      </w:r>
      <w:r>
        <w:rPr>
          <w:spacing w:val="34"/>
          <w:sz w:val="21"/>
        </w:rPr>
        <w:t> </w:t>
      </w:r>
      <w:r>
        <w:rPr>
          <w:sz w:val="21"/>
        </w:rPr>
        <w:t>Confidential</w:t>
      </w:r>
      <w:r>
        <w:rPr>
          <w:spacing w:val="34"/>
          <w:sz w:val="21"/>
        </w:rPr>
        <w:t> </w:t>
      </w:r>
      <w:r>
        <w:rPr>
          <w:sz w:val="21"/>
        </w:rPr>
        <w:t>Information,</w:t>
      </w:r>
      <w:r>
        <w:rPr>
          <w:spacing w:val="34"/>
          <w:sz w:val="21"/>
        </w:rPr>
        <w:t> </w:t>
      </w:r>
      <w:r>
        <w:rPr>
          <w:sz w:val="21"/>
        </w:rPr>
        <w:t>any</w:t>
      </w:r>
      <w:r>
        <w:rPr>
          <w:spacing w:val="34"/>
          <w:sz w:val="21"/>
        </w:rPr>
        <w:t> </w:t>
      </w:r>
      <w:r>
        <w:rPr>
          <w:sz w:val="21"/>
        </w:rPr>
        <w:t>loss</w:t>
      </w:r>
      <w:r>
        <w:rPr>
          <w:spacing w:val="34"/>
          <w:sz w:val="21"/>
        </w:rPr>
        <w:t> </w:t>
      </w:r>
      <w:r>
        <w:rPr>
          <w:sz w:val="21"/>
        </w:rPr>
        <w:t>of</w:t>
      </w:r>
      <w:r>
        <w:rPr>
          <w:spacing w:val="34"/>
          <w:sz w:val="21"/>
        </w:rPr>
        <w:t> </w:t>
      </w:r>
      <w:r>
        <w:rPr>
          <w:sz w:val="21"/>
        </w:rPr>
        <w:t>or</w:t>
      </w:r>
      <w:r>
        <w:rPr>
          <w:spacing w:val="34"/>
          <w:sz w:val="21"/>
        </w:rPr>
        <w:t> </w:t>
      </w:r>
      <w:r>
        <w:rPr>
          <w:sz w:val="21"/>
        </w:rPr>
        <w:t>damage</w:t>
      </w:r>
      <w:r>
        <w:rPr>
          <w:spacing w:val="34"/>
          <w:sz w:val="21"/>
        </w:rPr>
        <w:t> </w:t>
      </w:r>
      <w:r>
        <w:rPr>
          <w:sz w:val="21"/>
        </w:rPr>
        <w:t>to</w:t>
      </w:r>
      <w:r>
        <w:rPr>
          <w:spacing w:val="34"/>
          <w:sz w:val="21"/>
        </w:rPr>
        <w:t> </w:t>
      </w:r>
      <w:r>
        <w:rPr>
          <w:sz w:val="21"/>
        </w:rPr>
        <w:t>Employer</w:t>
      </w:r>
      <w:r>
        <w:rPr>
          <w:spacing w:val="34"/>
          <w:sz w:val="21"/>
        </w:rPr>
        <w:t> </w:t>
      </w:r>
      <w:r>
        <w:rPr>
          <w:sz w:val="21"/>
        </w:rPr>
        <w:t>as</w:t>
      </w:r>
      <w:r>
        <w:rPr>
          <w:spacing w:val="34"/>
          <w:sz w:val="21"/>
        </w:rPr>
        <w:t> </w:t>
      </w:r>
      <w:r>
        <w:rPr>
          <w:sz w:val="21"/>
        </w:rPr>
        <w:t>a</w:t>
      </w:r>
      <w:r>
        <w:rPr>
          <w:spacing w:val="34"/>
          <w:sz w:val="21"/>
        </w:rPr>
        <w:t> </w:t>
      </w:r>
      <w:r>
        <w:rPr>
          <w:sz w:val="21"/>
        </w:rPr>
        <w:t>result</w:t>
      </w:r>
      <w:r>
        <w:rPr>
          <w:spacing w:val="34"/>
          <w:sz w:val="21"/>
        </w:rPr>
        <w:t> </w:t>
      </w:r>
      <w:r>
        <w:rPr>
          <w:sz w:val="21"/>
        </w:rPr>
        <w:t>of</w:t>
      </w:r>
      <w:r>
        <w:rPr>
          <w:spacing w:val="34"/>
          <w:sz w:val="21"/>
        </w:rPr>
        <w:t> </w:t>
      </w:r>
      <w:r>
        <w:rPr>
          <w:sz w:val="21"/>
        </w:rPr>
        <w:t>a breach or threatened breach of any of the covenants or agreements set forth in Sections 4 and 8 hereof will cause Employer </w:t>
      </w:r>
      <w:r>
        <w:rPr>
          <w:sz w:val="21"/>
        </w:rPr>
        <w:t>to</w:t>
      </w:r>
      <w:r>
        <w:rPr>
          <w:spacing w:val="40"/>
          <w:sz w:val="21"/>
        </w:rPr>
        <w:t> </w:t>
      </w:r>
      <w:r>
        <w:rPr>
          <w:sz w:val="21"/>
        </w:rPr>
        <w:t>suffer</w:t>
      </w:r>
      <w:r>
        <w:rPr>
          <w:spacing w:val="26"/>
          <w:sz w:val="21"/>
        </w:rPr>
        <w:t> </w:t>
      </w:r>
      <w:r>
        <w:rPr>
          <w:sz w:val="21"/>
        </w:rPr>
        <w:t>irreparable</w:t>
      </w:r>
      <w:r>
        <w:rPr>
          <w:spacing w:val="26"/>
          <w:sz w:val="21"/>
        </w:rPr>
        <w:t> </w:t>
      </w:r>
      <w:r>
        <w:rPr>
          <w:sz w:val="21"/>
        </w:rPr>
        <w:t>harm.</w:t>
      </w:r>
      <w:r>
        <w:rPr>
          <w:spacing w:val="26"/>
          <w:sz w:val="21"/>
        </w:rPr>
        <w:t> </w:t>
      </w:r>
      <w:r>
        <w:rPr>
          <w:sz w:val="21"/>
        </w:rPr>
        <w:t>Consequently,</w:t>
      </w:r>
      <w:r>
        <w:rPr>
          <w:spacing w:val="26"/>
          <w:sz w:val="21"/>
        </w:rPr>
        <w:t> </w:t>
      </w:r>
      <w:r>
        <w:rPr>
          <w:sz w:val="21"/>
        </w:rPr>
        <w:t>Employee</w:t>
      </w:r>
      <w:r>
        <w:rPr>
          <w:spacing w:val="26"/>
          <w:sz w:val="21"/>
        </w:rPr>
        <w:t> </w:t>
      </w:r>
      <w:r>
        <w:rPr>
          <w:sz w:val="21"/>
        </w:rPr>
        <w:t>covenants</w:t>
      </w:r>
      <w:r>
        <w:rPr>
          <w:spacing w:val="26"/>
          <w:sz w:val="21"/>
        </w:rPr>
        <w:t> </w:t>
      </w:r>
      <w:r>
        <w:rPr>
          <w:sz w:val="21"/>
        </w:rPr>
        <w:t>and</w:t>
      </w:r>
      <w:r>
        <w:rPr>
          <w:spacing w:val="26"/>
          <w:sz w:val="21"/>
        </w:rPr>
        <w:t> </w:t>
      </w:r>
      <w:r>
        <w:rPr>
          <w:sz w:val="21"/>
        </w:rPr>
        <w:t>agrees</w:t>
      </w:r>
      <w:r>
        <w:rPr>
          <w:spacing w:val="26"/>
          <w:sz w:val="21"/>
        </w:rPr>
        <w:t> </w:t>
      </w:r>
      <w:r>
        <w:rPr>
          <w:sz w:val="21"/>
        </w:rPr>
        <w:t>that</w:t>
      </w:r>
      <w:r>
        <w:rPr>
          <w:spacing w:val="26"/>
          <w:sz w:val="21"/>
        </w:rPr>
        <w:t> </w:t>
      </w:r>
      <w:r>
        <w:rPr>
          <w:sz w:val="21"/>
        </w:rPr>
        <w:t>any</w:t>
      </w:r>
      <w:r>
        <w:rPr>
          <w:spacing w:val="26"/>
          <w:sz w:val="21"/>
        </w:rPr>
        <w:t> </w:t>
      </w:r>
      <w:r>
        <w:rPr>
          <w:sz w:val="21"/>
        </w:rPr>
        <w:t>violation</w:t>
      </w:r>
      <w:r>
        <w:rPr>
          <w:spacing w:val="26"/>
          <w:sz w:val="21"/>
        </w:rPr>
        <w:t> </w:t>
      </w:r>
      <w:r>
        <w:rPr>
          <w:sz w:val="21"/>
        </w:rPr>
        <w:t>by</w:t>
      </w:r>
      <w:r>
        <w:rPr>
          <w:spacing w:val="26"/>
          <w:sz w:val="21"/>
        </w:rPr>
        <w:t> </w:t>
      </w:r>
      <w:r>
        <w:rPr>
          <w:sz w:val="21"/>
        </w:rPr>
        <w:t>Employee</w:t>
      </w:r>
      <w:r>
        <w:rPr>
          <w:spacing w:val="26"/>
          <w:sz w:val="21"/>
        </w:rPr>
        <w:t> </w:t>
      </w:r>
      <w:r>
        <w:rPr>
          <w:sz w:val="21"/>
        </w:rPr>
        <w:t>of</w:t>
      </w:r>
      <w:r>
        <w:rPr>
          <w:spacing w:val="26"/>
          <w:sz w:val="21"/>
        </w:rPr>
        <w:t> </w:t>
      </w:r>
      <w:r>
        <w:rPr>
          <w:sz w:val="21"/>
        </w:rPr>
        <w:t>Sections</w:t>
      </w:r>
      <w:r>
        <w:rPr>
          <w:spacing w:val="26"/>
          <w:sz w:val="21"/>
        </w:rPr>
        <w:t> </w:t>
      </w:r>
      <w:r>
        <w:rPr>
          <w:sz w:val="21"/>
        </w:rPr>
        <w:t>4</w:t>
      </w:r>
      <w:r>
        <w:rPr>
          <w:spacing w:val="26"/>
          <w:sz w:val="21"/>
        </w:rPr>
        <w:t> </w:t>
      </w:r>
      <w:r>
        <w:rPr>
          <w:sz w:val="21"/>
        </w:rPr>
        <w:t>and</w:t>
      </w:r>
      <w:r>
        <w:rPr>
          <w:spacing w:val="26"/>
          <w:sz w:val="21"/>
        </w:rPr>
        <w:t> </w:t>
      </w:r>
      <w:r>
        <w:rPr>
          <w:sz w:val="21"/>
        </w:rPr>
        <w:t>8</w:t>
      </w:r>
      <w:r>
        <w:rPr>
          <w:spacing w:val="26"/>
          <w:sz w:val="21"/>
        </w:rPr>
        <w:t> </w:t>
      </w:r>
      <w:r>
        <w:rPr>
          <w:sz w:val="21"/>
        </w:rPr>
        <w:t>of this Agreement</w:t>
      </w:r>
      <w:r>
        <w:rPr>
          <w:spacing w:val="40"/>
          <w:sz w:val="21"/>
        </w:rPr>
        <w:t> </w:t>
      </w:r>
      <w:r>
        <w:rPr>
          <w:sz w:val="21"/>
        </w:rPr>
        <w:t>shall</w:t>
      </w:r>
      <w:r>
        <w:rPr>
          <w:spacing w:val="40"/>
          <w:sz w:val="21"/>
        </w:rPr>
        <w:t> </w:t>
      </w:r>
      <w:r>
        <w:rPr>
          <w:sz w:val="21"/>
        </w:rPr>
        <w:t>entitle</w:t>
      </w:r>
      <w:r>
        <w:rPr>
          <w:spacing w:val="40"/>
          <w:sz w:val="21"/>
        </w:rPr>
        <w:t> </w:t>
      </w:r>
      <w:r>
        <w:rPr>
          <w:sz w:val="21"/>
        </w:rPr>
        <w:t>Employer</w:t>
      </w:r>
      <w:r>
        <w:rPr>
          <w:spacing w:val="40"/>
          <w:sz w:val="21"/>
        </w:rPr>
        <w:t> </w:t>
      </w:r>
      <w:r>
        <w:rPr>
          <w:sz w:val="21"/>
        </w:rPr>
        <w:t>to</w:t>
      </w:r>
      <w:r>
        <w:rPr>
          <w:spacing w:val="40"/>
          <w:sz w:val="21"/>
        </w:rPr>
        <w:t> </w:t>
      </w:r>
      <w:r>
        <w:rPr>
          <w:sz w:val="21"/>
        </w:rPr>
        <w:t>seek</w:t>
      </w:r>
      <w:r>
        <w:rPr>
          <w:spacing w:val="40"/>
          <w:sz w:val="21"/>
        </w:rPr>
        <w:t> </w:t>
      </w:r>
      <w:r>
        <w:rPr>
          <w:sz w:val="21"/>
        </w:rPr>
        <w:t>immediate</w:t>
      </w:r>
      <w:r>
        <w:rPr>
          <w:spacing w:val="40"/>
          <w:sz w:val="21"/>
        </w:rPr>
        <w:t> </w:t>
      </w:r>
      <w:r>
        <w:rPr>
          <w:sz w:val="21"/>
        </w:rPr>
        <w:t>injunctive</w:t>
      </w:r>
      <w:r>
        <w:rPr>
          <w:spacing w:val="40"/>
          <w:sz w:val="21"/>
        </w:rPr>
        <w:t> </w:t>
      </w:r>
      <w:r>
        <w:rPr>
          <w:sz w:val="21"/>
        </w:rPr>
        <w:t>relief</w:t>
      </w:r>
      <w:r>
        <w:rPr>
          <w:spacing w:val="40"/>
          <w:sz w:val="21"/>
        </w:rPr>
        <w:t> </w:t>
      </w:r>
      <w:r>
        <w:rPr>
          <w:sz w:val="21"/>
        </w:rPr>
        <w:t>in</w:t>
      </w:r>
      <w:r>
        <w:rPr>
          <w:spacing w:val="40"/>
          <w:sz w:val="21"/>
        </w:rPr>
        <w:t> </w:t>
      </w:r>
      <w:r>
        <w:rPr>
          <w:sz w:val="21"/>
        </w:rPr>
        <w:t>a</w:t>
      </w:r>
      <w:r>
        <w:rPr>
          <w:spacing w:val="40"/>
          <w:sz w:val="21"/>
        </w:rPr>
        <w:t> </w:t>
      </w:r>
      <w:r>
        <w:rPr>
          <w:sz w:val="21"/>
        </w:rPr>
        <w:t>court</w:t>
      </w:r>
      <w:r>
        <w:rPr>
          <w:spacing w:val="40"/>
          <w:sz w:val="21"/>
        </w:rPr>
        <w:t> </w:t>
      </w:r>
      <w:r>
        <w:rPr>
          <w:sz w:val="21"/>
        </w:rPr>
        <w:t>of</w:t>
      </w:r>
      <w:r>
        <w:rPr>
          <w:spacing w:val="40"/>
          <w:sz w:val="21"/>
        </w:rPr>
        <w:t> </w:t>
      </w:r>
      <w:r>
        <w:rPr>
          <w:sz w:val="21"/>
        </w:rPr>
        <w:t>competent</w:t>
      </w:r>
      <w:r>
        <w:rPr>
          <w:spacing w:val="40"/>
          <w:sz w:val="21"/>
        </w:rPr>
        <w:t> </w:t>
      </w:r>
      <w:r>
        <w:rPr>
          <w:sz w:val="21"/>
        </w:rPr>
        <w:t>jurisdiction</w:t>
      </w:r>
      <w:r>
        <w:rPr>
          <w:spacing w:val="40"/>
          <w:sz w:val="21"/>
        </w:rPr>
        <w:t> </w:t>
      </w:r>
      <w:r>
        <w:rPr>
          <w:sz w:val="21"/>
        </w:rPr>
        <w:t>without</w:t>
      </w:r>
      <w:r>
        <w:rPr>
          <w:spacing w:val="40"/>
          <w:sz w:val="21"/>
        </w:rPr>
        <w:t> </w:t>
      </w:r>
      <w:r>
        <w:rPr>
          <w:sz w:val="21"/>
        </w:rPr>
        <w:t>the necessity</w:t>
      </w:r>
      <w:r>
        <w:rPr>
          <w:spacing w:val="31"/>
          <w:sz w:val="21"/>
        </w:rPr>
        <w:t> </w:t>
      </w:r>
      <w:r>
        <w:rPr>
          <w:sz w:val="21"/>
        </w:rPr>
        <w:t>of</w:t>
      </w:r>
      <w:r>
        <w:rPr>
          <w:spacing w:val="31"/>
          <w:sz w:val="21"/>
        </w:rPr>
        <w:t> </w:t>
      </w:r>
      <w:r>
        <w:rPr>
          <w:sz w:val="21"/>
        </w:rPr>
        <w:t>posting</w:t>
      </w:r>
      <w:r>
        <w:rPr>
          <w:spacing w:val="31"/>
          <w:sz w:val="21"/>
        </w:rPr>
        <w:t> </w:t>
      </w:r>
      <w:r>
        <w:rPr>
          <w:sz w:val="21"/>
        </w:rPr>
        <w:t>any</w:t>
      </w:r>
      <w:r>
        <w:rPr>
          <w:spacing w:val="31"/>
          <w:sz w:val="21"/>
        </w:rPr>
        <w:t> </w:t>
      </w:r>
      <w:r>
        <w:rPr>
          <w:sz w:val="21"/>
        </w:rPr>
        <w:t>bond</w:t>
      </w:r>
      <w:r>
        <w:rPr>
          <w:spacing w:val="31"/>
          <w:sz w:val="21"/>
        </w:rPr>
        <w:t> </w:t>
      </w:r>
      <w:r>
        <w:rPr>
          <w:sz w:val="21"/>
        </w:rPr>
        <w:t>or</w:t>
      </w:r>
      <w:r>
        <w:rPr>
          <w:spacing w:val="31"/>
          <w:sz w:val="21"/>
        </w:rPr>
        <w:t> </w:t>
      </w:r>
      <w:r>
        <w:rPr>
          <w:sz w:val="21"/>
        </w:rPr>
        <w:t>waiving</w:t>
      </w:r>
      <w:r>
        <w:rPr>
          <w:spacing w:val="31"/>
          <w:sz w:val="21"/>
        </w:rPr>
        <w:t> </w:t>
      </w:r>
      <w:r>
        <w:rPr>
          <w:sz w:val="21"/>
        </w:rPr>
        <w:t>any</w:t>
      </w:r>
      <w:r>
        <w:rPr>
          <w:spacing w:val="31"/>
          <w:sz w:val="21"/>
        </w:rPr>
        <w:t> </w:t>
      </w:r>
      <w:r>
        <w:rPr>
          <w:sz w:val="21"/>
        </w:rPr>
        <w:t>claim</w:t>
      </w:r>
      <w:r>
        <w:rPr>
          <w:spacing w:val="31"/>
          <w:sz w:val="21"/>
        </w:rPr>
        <w:t> </w:t>
      </w:r>
      <w:r>
        <w:rPr>
          <w:sz w:val="21"/>
        </w:rPr>
        <w:t>for</w:t>
      </w:r>
      <w:r>
        <w:rPr>
          <w:spacing w:val="31"/>
          <w:sz w:val="21"/>
        </w:rPr>
        <w:t> </w:t>
      </w:r>
      <w:r>
        <w:rPr>
          <w:sz w:val="21"/>
        </w:rPr>
        <w:t>damages.</w:t>
      </w:r>
      <w:r>
        <w:rPr>
          <w:spacing w:val="31"/>
          <w:sz w:val="21"/>
        </w:rPr>
        <w:t> </w:t>
      </w:r>
      <w:r>
        <w:rPr>
          <w:sz w:val="21"/>
        </w:rPr>
        <w:t>Employee</w:t>
      </w:r>
      <w:r>
        <w:rPr>
          <w:spacing w:val="31"/>
          <w:sz w:val="21"/>
        </w:rPr>
        <w:t> </w:t>
      </w:r>
      <w:r>
        <w:rPr>
          <w:sz w:val="21"/>
        </w:rPr>
        <w:t>further</w:t>
      </w:r>
      <w:r>
        <w:rPr>
          <w:spacing w:val="31"/>
          <w:sz w:val="21"/>
        </w:rPr>
        <w:t> </w:t>
      </w:r>
      <w:r>
        <w:rPr>
          <w:sz w:val="21"/>
        </w:rPr>
        <w:t>covenants</w:t>
      </w:r>
      <w:r>
        <w:rPr>
          <w:spacing w:val="31"/>
          <w:sz w:val="21"/>
        </w:rPr>
        <w:t> </w:t>
      </w:r>
      <w:r>
        <w:rPr>
          <w:sz w:val="21"/>
        </w:rPr>
        <w:t>and</w:t>
      </w:r>
      <w:r>
        <w:rPr>
          <w:spacing w:val="31"/>
          <w:sz w:val="21"/>
        </w:rPr>
        <w:t> </w:t>
      </w:r>
      <w:r>
        <w:rPr>
          <w:sz w:val="21"/>
        </w:rPr>
        <w:t>agrees</w:t>
      </w:r>
      <w:r>
        <w:rPr>
          <w:spacing w:val="31"/>
          <w:sz w:val="21"/>
        </w:rPr>
        <w:t> </w:t>
      </w:r>
      <w:r>
        <w:rPr>
          <w:sz w:val="21"/>
        </w:rPr>
        <w:t>that</w:t>
      </w:r>
      <w:r>
        <w:rPr>
          <w:spacing w:val="31"/>
          <w:sz w:val="21"/>
        </w:rPr>
        <w:t> </w:t>
      </w:r>
      <w:r>
        <w:rPr>
          <w:sz w:val="21"/>
        </w:rPr>
        <w:t>Employee</w:t>
      </w:r>
      <w:r>
        <w:rPr>
          <w:spacing w:val="31"/>
          <w:sz w:val="21"/>
        </w:rPr>
        <w:t> </w:t>
      </w:r>
      <w:r>
        <w:rPr>
          <w:sz w:val="21"/>
        </w:rPr>
        <w:t>will not contest the enforceability of just an injunction in any state or country in which such an injunction is not, itself, a violation of </w:t>
      </w:r>
      <w:r>
        <w:rPr>
          <w:spacing w:val="-4"/>
          <w:sz w:val="21"/>
        </w:rPr>
        <w:t>law.</w:t>
      </w:r>
    </w:p>
    <w:p>
      <w:pPr>
        <w:pStyle w:val="ListParagraph"/>
        <w:numPr>
          <w:ilvl w:val="1"/>
          <w:numId w:val="54"/>
        </w:numPr>
        <w:tabs>
          <w:tab w:pos="846" w:val="left" w:leader="none"/>
        </w:tabs>
        <w:spacing w:line="213" w:lineRule="auto" w:before="225" w:after="0"/>
        <w:ind w:left="468" w:right="223" w:firstLine="0"/>
        <w:jc w:val="both"/>
        <w:rPr>
          <w:sz w:val="21"/>
        </w:rPr>
      </w:pPr>
      <w:r>
        <w:rPr>
          <w:sz w:val="21"/>
        </w:rPr>
        <w:t>Employee</w:t>
      </w:r>
      <w:r>
        <w:rPr>
          <w:spacing w:val="40"/>
          <w:sz w:val="21"/>
        </w:rPr>
        <w:t> </w:t>
      </w:r>
      <w:r>
        <w:rPr>
          <w:sz w:val="21"/>
        </w:rPr>
        <w:t>has</w:t>
      </w:r>
      <w:r>
        <w:rPr>
          <w:spacing w:val="40"/>
          <w:sz w:val="21"/>
        </w:rPr>
        <w:t> </w:t>
      </w:r>
      <w:r>
        <w:rPr>
          <w:sz w:val="21"/>
        </w:rPr>
        <w:t>the</w:t>
      </w:r>
      <w:r>
        <w:rPr>
          <w:spacing w:val="40"/>
          <w:sz w:val="21"/>
        </w:rPr>
        <w:t> </w:t>
      </w:r>
      <w:r>
        <w:rPr>
          <w:sz w:val="21"/>
        </w:rPr>
        <w:t>full</w:t>
      </w:r>
      <w:r>
        <w:rPr>
          <w:spacing w:val="40"/>
          <w:sz w:val="21"/>
        </w:rPr>
        <w:t> </w:t>
      </w:r>
      <w:r>
        <w:rPr>
          <w:sz w:val="21"/>
        </w:rPr>
        <w:t>right,</w:t>
      </w:r>
      <w:r>
        <w:rPr>
          <w:spacing w:val="40"/>
          <w:sz w:val="21"/>
        </w:rPr>
        <w:t> </w:t>
      </w:r>
      <w:r>
        <w:rPr>
          <w:sz w:val="21"/>
        </w:rPr>
        <w:t>power</w:t>
      </w:r>
      <w:r>
        <w:rPr>
          <w:spacing w:val="40"/>
          <w:sz w:val="21"/>
        </w:rPr>
        <w:t> </w:t>
      </w:r>
      <w:r>
        <w:rPr>
          <w:sz w:val="21"/>
        </w:rPr>
        <w:t>and</w:t>
      </w:r>
      <w:r>
        <w:rPr>
          <w:spacing w:val="40"/>
          <w:sz w:val="21"/>
        </w:rPr>
        <w:t> </w:t>
      </w:r>
      <w:r>
        <w:rPr>
          <w:sz w:val="21"/>
        </w:rPr>
        <w:t>authority</w:t>
      </w:r>
      <w:r>
        <w:rPr>
          <w:spacing w:val="40"/>
          <w:sz w:val="21"/>
        </w:rPr>
        <w:t> </w:t>
      </w:r>
      <w:r>
        <w:rPr>
          <w:sz w:val="21"/>
        </w:rPr>
        <w:t>to</w:t>
      </w:r>
      <w:r>
        <w:rPr>
          <w:spacing w:val="40"/>
          <w:sz w:val="21"/>
        </w:rPr>
        <w:t> </w:t>
      </w:r>
      <w:r>
        <w:rPr>
          <w:sz w:val="21"/>
        </w:rPr>
        <w:t>enter</w:t>
      </w:r>
      <w:r>
        <w:rPr>
          <w:spacing w:val="40"/>
          <w:sz w:val="21"/>
        </w:rPr>
        <w:t> </w:t>
      </w:r>
      <w:r>
        <w:rPr>
          <w:sz w:val="21"/>
        </w:rPr>
        <w:t>into</w:t>
      </w:r>
      <w:r>
        <w:rPr>
          <w:spacing w:val="40"/>
          <w:sz w:val="21"/>
        </w:rPr>
        <w:t> </w:t>
      </w:r>
      <w:r>
        <w:rPr>
          <w:sz w:val="21"/>
        </w:rPr>
        <w:t>this</w:t>
      </w:r>
      <w:r>
        <w:rPr>
          <w:spacing w:val="40"/>
          <w:sz w:val="21"/>
        </w:rPr>
        <w:t> </w:t>
      </w:r>
      <w:r>
        <w:rPr>
          <w:sz w:val="21"/>
        </w:rPr>
        <w:t>Agreement</w:t>
      </w:r>
      <w:r>
        <w:rPr>
          <w:spacing w:val="40"/>
          <w:sz w:val="21"/>
        </w:rPr>
        <w:t> </w:t>
      </w:r>
      <w:r>
        <w:rPr>
          <w:sz w:val="21"/>
        </w:rPr>
        <w:t>and</w:t>
      </w:r>
      <w:r>
        <w:rPr>
          <w:spacing w:val="40"/>
          <w:sz w:val="21"/>
        </w:rPr>
        <w:t> </w:t>
      </w:r>
      <w:r>
        <w:rPr>
          <w:sz w:val="21"/>
        </w:rPr>
        <w:t>perform</w:t>
      </w:r>
      <w:r>
        <w:rPr>
          <w:spacing w:val="40"/>
          <w:sz w:val="21"/>
        </w:rPr>
        <w:t> </w:t>
      </w:r>
      <w:r>
        <w:rPr>
          <w:sz w:val="21"/>
        </w:rPr>
        <w:t>Employee’s</w:t>
      </w:r>
      <w:r>
        <w:rPr>
          <w:spacing w:val="40"/>
          <w:sz w:val="21"/>
        </w:rPr>
        <w:t> </w:t>
      </w:r>
      <w:r>
        <w:rPr>
          <w:sz w:val="21"/>
        </w:rPr>
        <w:t>duties</w:t>
      </w:r>
      <w:r>
        <w:rPr>
          <w:spacing w:val="40"/>
          <w:sz w:val="21"/>
        </w:rPr>
        <w:t> </w:t>
      </w:r>
      <w:r>
        <w:rPr>
          <w:sz w:val="21"/>
        </w:rPr>
        <w:t>and obligations</w:t>
      </w:r>
      <w:r>
        <w:rPr>
          <w:spacing w:val="29"/>
          <w:sz w:val="21"/>
        </w:rPr>
        <w:t> </w:t>
      </w:r>
      <w:r>
        <w:rPr>
          <w:sz w:val="21"/>
        </w:rPr>
        <w:t>hereunder,</w:t>
      </w:r>
      <w:r>
        <w:rPr>
          <w:spacing w:val="29"/>
          <w:sz w:val="21"/>
        </w:rPr>
        <w:t> </w:t>
      </w:r>
      <w:r>
        <w:rPr>
          <w:sz w:val="21"/>
        </w:rPr>
        <w:t>and</w:t>
      </w:r>
      <w:r>
        <w:rPr>
          <w:spacing w:val="29"/>
          <w:sz w:val="21"/>
        </w:rPr>
        <w:t> </w:t>
      </w:r>
      <w:r>
        <w:rPr>
          <w:sz w:val="21"/>
        </w:rPr>
        <w:t>the</w:t>
      </w:r>
      <w:r>
        <w:rPr>
          <w:spacing w:val="29"/>
          <w:sz w:val="21"/>
        </w:rPr>
        <w:t> </w:t>
      </w:r>
      <w:r>
        <w:rPr>
          <w:sz w:val="21"/>
        </w:rPr>
        <w:t>entering</w:t>
      </w:r>
      <w:r>
        <w:rPr>
          <w:spacing w:val="29"/>
          <w:sz w:val="21"/>
        </w:rPr>
        <w:t> </w:t>
      </w:r>
      <w:r>
        <w:rPr>
          <w:sz w:val="21"/>
        </w:rPr>
        <w:t>into</w:t>
      </w:r>
      <w:r>
        <w:rPr>
          <w:spacing w:val="29"/>
          <w:sz w:val="21"/>
        </w:rPr>
        <w:t> </w:t>
      </w:r>
      <w:r>
        <w:rPr>
          <w:sz w:val="21"/>
        </w:rPr>
        <w:t>and</w:t>
      </w:r>
      <w:r>
        <w:rPr>
          <w:spacing w:val="29"/>
          <w:sz w:val="21"/>
        </w:rPr>
        <w:t> </w:t>
      </w:r>
      <w:r>
        <w:rPr>
          <w:sz w:val="21"/>
        </w:rPr>
        <w:t>performance</w:t>
      </w:r>
      <w:r>
        <w:rPr>
          <w:spacing w:val="29"/>
          <w:sz w:val="21"/>
        </w:rPr>
        <w:t> </w:t>
      </w:r>
      <w:r>
        <w:rPr>
          <w:sz w:val="21"/>
        </w:rPr>
        <w:t>of</w:t>
      </w:r>
      <w:r>
        <w:rPr>
          <w:spacing w:val="29"/>
          <w:sz w:val="21"/>
        </w:rPr>
        <w:t> </w:t>
      </w:r>
      <w:r>
        <w:rPr>
          <w:sz w:val="21"/>
        </w:rPr>
        <w:t>this Agreement</w:t>
      </w:r>
      <w:r>
        <w:rPr>
          <w:spacing w:val="29"/>
          <w:sz w:val="21"/>
        </w:rPr>
        <w:t> </w:t>
      </w:r>
      <w:r>
        <w:rPr>
          <w:sz w:val="21"/>
        </w:rPr>
        <w:t>by</w:t>
      </w:r>
      <w:r>
        <w:rPr>
          <w:spacing w:val="29"/>
          <w:sz w:val="21"/>
        </w:rPr>
        <w:t> </w:t>
      </w:r>
      <w:r>
        <w:rPr>
          <w:sz w:val="21"/>
        </w:rPr>
        <w:t>Employee</w:t>
      </w:r>
      <w:r>
        <w:rPr>
          <w:spacing w:val="29"/>
          <w:sz w:val="21"/>
        </w:rPr>
        <w:t> </w:t>
      </w:r>
      <w:r>
        <w:rPr>
          <w:sz w:val="21"/>
        </w:rPr>
        <w:t>will</w:t>
      </w:r>
      <w:r>
        <w:rPr>
          <w:spacing w:val="29"/>
          <w:sz w:val="21"/>
        </w:rPr>
        <w:t> </w:t>
      </w:r>
      <w:r>
        <w:rPr>
          <w:sz w:val="21"/>
        </w:rPr>
        <w:t>not</w:t>
      </w:r>
      <w:r>
        <w:rPr>
          <w:spacing w:val="29"/>
          <w:sz w:val="21"/>
        </w:rPr>
        <w:t> </w:t>
      </w:r>
      <w:r>
        <w:rPr>
          <w:sz w:val="21"/>
        </w:rPr>
        <w:t>violate</w:t>
      </w:r>
      <w:r>
        <w:rPr>
          <w:spacing w:val="29"/>
          <w:sz w:val="21"/>
        </w:rPr>
        <w:t> </w:t>
      </w:r>
      <w:r>
        <w:rPr>
          <w:sz w:val="21"/>
        </w:rPr>
        <w:t>or</w:t>
      </w:r>
      <w:r>
        <w:rPr>
          <w:spacing w:val="29"/>
          <w:sz w:val="21"/>
        </w:rPr>
        <w:t> </w:t>
      </w:r>
      <w:r>
        <w:rPr>
          <w:sz w:val="21"/>
        </w:rPr>
        <w:t>conflict</w:t>
      </w:r>
      <w:r>
        <w:rPr>
          <w:spacing w:val="29"/>
          <w:sz w:val="21"/>
        </w:rPr>
        <w:t> </w:t>
      </w:r>
      <w:r>
        <w:rPr>
          <w:sz w:val="21"/>
        </w:rPr>
        <w:t>with any</w:t>
      </w:r>
      <w:r>
        <w:rPr>
          <w:spacing w:val="24"/>
          <w:sz w:val="21"/>
        </w:rPr>
        <w:t> </w:t>
      </w:r>
      <w:r>
        <w:rPr>
          <w:sz w:val="21"/>
        </w:rPr>
        <w:t>arrangements</w:t>
      </w:r>
      <w:r>
        <w:rPr>
          <w:spacing w:val="24"/>
          <w:sz w:val="21"/>
        </w:rPr>
        <w:t> </w:t>
      </w:r>
      <w:r>
        <w:rPr>
          <w:sz w:val="21"/>
        </w:rPr>
        <w:t>or</w:t>
      </w:r>
      <w:r>
        <w:rPr>
          <w:spacing w:val="24"/>
          <w:sz w:val="21"/>
        </w:rPr>
        <w:t> </w:t>
      </w:r>
      <w:r>
        <w:rPr>
          <w:sz w:val="21"/>
        </w:rPr>
        <w:t>other</w:t>
      </w:r>
      <w:r>
        <w:rPr>
          <w:spacing w:val="24"/>
          <w:sz w:val="21"/>
        </w:rPr>
        <w:t> </w:t>
      </w:r>
      <w:r>
        <w:rPr>
          <w:sz w:val="21"/>
        </w:rPr>
        <w:t>agreements</w:t>
      </w:r>
      <w:r>
        <w:rPr>
          <w:spacing w:val="24"/>
          <w:sz w:val="21"/>
        </w:rPr>
        <w:t> </w:t>
      </w:r>
      <w:r>
        <w:rPr>
          <w:sz w:val="21"/>
        </w:rPr>
        <w:t>Employee</w:t>
      </w:r>
      <w:r>
        <w:rPr>
          <w:spacing w:val="24"/>
          <w:sz w:val="21"/>
        </w:rPr>
        <w:t> </w:t>
      </w:r>
      <w:r>
        <w:rPr>
          <w:sz w:val="21"/>
        </w:rPr>
        <w:t>may</w:t>
      </w:r>
      <w:r>
        <w:rPr>
          <w:spacing w:val="24"/>
          <w:sz w:val="21"/>
        </w:rPr>
        <w:t> </w:t>
      </w:r>
      <w:r>
        <w:rPr>
          <w:sz w:val="21"/>
        </w:rPr>
        <w:t>have</w:t>
      </w:r>
      <w:r>
        <w:rPr>
          <w:spacing w:val="24"/>
          <w:sz w:val="21"/>
        </w:rPr>
        <w:t> </w:t>
      </w:r>
      <w:r>
        <w:rPr>
          <w:sz w:val="21"/>
        </w:rPr>
        <w:t>or</w:t>
      </w:r>
      <w:r>
        <w:rPr>
          <w:spacing w:val="24"/>
          <w:sz w:val="21"/>
        </w:rPr>
        <w:t> </w:t>
      </w:r>
      <w:r>
        <w:rPr>
          <w:sz w:val="21"/>
        </w:rPr>
        <w:t>has</w:t>
      </w:r>
      <w:r>
        <w:rPr>
          <w:spacing w:val="24"/>
          <w:sz w:val="21"/>
        </w:rPr>
        <w:t> </w:t>
      </w:r>
      <w:r>
        <w:rPr>
          <w:sz w:val="21"/>
        </w:rPr>
        <w:t>with</w:t>
      </w:r>
      <w:r>
        <w:rPr>
          <w:spacing w:val="24"/>
          <w:sz w:val="21"/>
        </w:rPr>
        <w:t> </w:t>
      </w:r>
      <w:r>
        <w:rPr>
          <w:sz w:val="21"/>
        </w:rPr>
        <w:t>any</w:t>
      </w:r>
      <w:r>
        <w:rPr>
          <w:spacing w:val="24"/>
          <w:sz w:val="21"/>
        </w:rPr>
        <w:t> </w:t>
      </w:r>
      <w:r>
        <w:rPr>
          <w:sz w:val="21"/>
        </w:rPr>
        <w:t>other</w:t>
      </w:r>
      <w:r>
        <w:rPr>
          <w:spacing w:val="24"/>
          <w:sz w:val="21"/>
        </w:rPr>
        <w:t> </w:t>
      </w:r>
      <w:r>
        <w:rPr>
          <w:sz w:val="21"/>
        </w:rPr>
        <w:t>person</w:t>
      </w:r>
      <w:r>
        <w:rPr>
          <w:spacing w:val="24"/>
          <w:sz w:val="21"/>
        </w:rPr>
        <w:t> </w:t>
      </w:r>
      <w:r>
        <w:rPr>
          <w:sz w:val="21"/>
        </w:rPr>
        <w:t>or</w:t>
      </w:r>
      <w:r>
        <w:rPr>
          <w:spacing w:val="24"/>
          <w:sz w:val="21"/>
        </w:rPr>
        <w:t> </w:t>
      </w:r>
      <w:r>
        <w:rPr>
          <w:sz w:val="21"/>
        </w:rPr>
        <w:t>entity.</w:t>
      </w:r>
    </w:p>
    <w:p>
      <w:pPr>
        <w:pStyle w:val="BodyText"/>
        <w:spacing w:before="193"/>
        <w:rPr>
          <w:sz w:val="21"/>
        </w:rPr>
      </w:pPr>
    </w:p>
    <w:p>
      <w:pPr>
        <w:pStyle w:val="ListParagraph"/>
        <w:numPr>
          <w:ilvl w:val="0"/>
          <w:numId w:val="55"/>
        </w:numPr>
        <w:tabs>
          <w:tab w:pos="497" w:val="left" w:leader="none"/>
        </w:tabs>
        <w:spacing w:line="213" w:lineRule="auto" w:before="0" w:after="0"/>
        <w:ind w:left="144" w:right="223" w:firstLine="0"/>
        <w:jc w:val="both"/>
        <w:rPr>
          <w:sz w:val="21"/>
        </w:rPr>
      </w:pPr>
      <w:r>
        <w:rPr>
          <w:sz w:val="21"/>
          <w:u w:val="single"/>
        </w:rPr>
        <w:t>Termination</w:t>
      </w:r>
      <w:r>
        <w:rPr>
          <w:sz w:val="21"/>
        </w:rPr>
        <w:t>.</w:t>
      </w:r>
      <w:r>
        <w:rPr>
          <w:spacing w:val="40"/>
          <w:sz w:val="21"/>
        </w:rPr>
        <w:t> </w:t>
      </w:r>
      <w:r>
        <w:rPr>
          <w:sz w:val="21"/>
        </w:rPr>
        <w:t>Upon</w:t>
      </w:r>
      <w:r>
        <w:rPr>
          <w:spacing w:val="40"/>
          <w:sz w:val="21"/>
        </w:rPr>
        <w:t> </w:t>
      </w:r>
      <w:r>
        <w:rPr>
          <w:sz w:val="21"/>
        </w:rPr>
        <w:t>termination</w:t>
      </w:r>
      <w:r>
        <w:rPr>
          <w:spacing w:val="40"/>
          <w:sz w:val="21"/>
        </w:rPr>
        <w:t> </w:t>
      </w:r>
      <w:r>
        <w:rPr>
          <w:sz w:val="21"/>
        </w:rPr>
        <w:t>of</w:t>
      </w:r>
      <w:r>
        <w:rPr>
          <w:spacing w:val="40"/>
          <w:sz w:val="21"/>
        </w:rPr>
        <w:t> </w:t>
      </w:r>
      <w:r>
        <w:rPr>
          <w:sz w:val="21"/>
        </w:rPr>
        <w:t>employment</w:t>
      </w:r>
      <w:r>
        <w:rPr>
          <w:spacing w:val="40"/>
          <w:sz w:val="21"/>
        </w:rPr>
        <w:t> </w:t>
      </w:r>
      <w:r>
        <w:rPr>
          <w:sz w:val="21"/>
        </w:rPr>
        <w:t>for</w:t>
      </w:r>
      <w:r>
        <w:rPr>
          <w:spacing w:val="40"/>
          <w:sz w:val="21"/>
        </w:rPr>
        <w:t> </w:t>
      </w:r>
      <w:r>
        <w:rPr>
          <w:sz w:val="21"/>
        </w:rPr>
        <w:t>any</w:t>
      </w:r>
      <w:r>
        <w:rPr>
          <w:spacing w:val="40"/>
          <w:sz w:val="21"/>
        </w:rPr>
        <w:t> </w:t>
      </w:r>
      <w:r>
        <w:rPr>
          <w:sz w:val="21"/>
        </w:rPr>
        <w:t>reason,</w:t>
      </w:r>
      <w:r>
        <w:rPr>
          <w:spacing w:val="40"/>
          <w:sz w:val="21"/>
        </w:rPr>
        <w:t> </w:t>
      </w:r>
      <w:r>
        <w:rPr>
          <w:sz w:val="21"/>
        </w:rPr>
        <w:t>during</w:t>
      </w:r>
      <w:r>
        <w:rPr>
          <w:spacing w:val="40"/>
          <w:sz w:val="21"/>
        </w:rPr>
        <w:t> </w:t>
      </w:r>
      <w:r>
        <w:rPr>
          <w:sz w:val="21"/>
        </w:rPr>
        <w:t>the</w:t>
      </w:r>
      <w:r>
        <w:rPr>
          <w:spacing w:val="40"/>
          <w:sz w:val="21"/>
        </w:rPr>
        <w:t> </w:t>
      </w:r>
      <w:r>
        <w:rPr>
          <w:sz w:val="21"/>
        </w:rPr>
        <w:t>Specified</w:t>
      </w:r>
      <w:r>
        <w:rPr>
          <w:spacing w:val="40"/>
          <w:sz w:val="21"/>
        </w:rPr>
        <w:t> </w:t>
      </w:r>
      <w:r>
        <w:rPr>
          <w:sz w:val="21"/>
        </w:rPr>
        <w:t>Term</w:t>
      </w:r>
      <w:r>
        <w:rPr>
          <w:spacing w:val="40"/>
          <w:sz w:val="21"/>
        </w:rPr>
        <w:t> </w:t>
      </w:r>
      <w:r>
        <w:rPr>
          <w:sz w:val="21"/>
        </w:rPr>
        <w:t>or</w:t>
      </w:r>
      <w:r>
        <w:rPr>
          <w:spacing w:val="40"/>
          <w:sz w:val="21"/>
        </w:rPr>
        <w:t> </w:t>
      </w:r>
      <w:r>
        <w:rPr>
          <w:sz w:val="21"/>
        </w:rPr>
        <w:t>thereafter,</w:t>
      </w:r>
      <w:r>
        <w:rPr>
          <w:spacing w:val="40"/>
          <w:sz w:val="21"/>
        </w:rPr>
        <w:t> </w:t>
      </w:r>
      <w:r>
        <w:rPr>
          <w:sz w:val="21"/>
        </w:rPr>
        <w:t>Employee</w:t>
      </w:r>
      <w:r>
        <w:rPr>
          <w:spacing w:val="40"/>
          <w:sz w:val="21"/>
        </w:rPr>
        <w:t> </w:t>
      </w:r>
      <w:r>
        <w:rPr>
          <w:sz w:val="21"/>
        </w:rPr>
        <w:t>shall</w:t>
      </w:r>
      <w:r>
        <w:rPr>
          <w:spacing w:val="40"/>
          <w:sz w:val="21"/>
        </w:rPr>
        <w:t> </w:t>
      </w:r>
      <w:r>
        <w:rPr>
          <w:sz w:val="21"/>
        </w:rPr>
        <w:t>be entitled to a) any accrued base salary and benefits due to Employee for his work through the termination date; b) reimbursement of reasonable</w:t>
      </w:r>
      <w:r>
        <w:rPr>
          <w:spacing w:val="40"/>
          <w:sz w:val="21"/>
        </w:rPr>
        <w:t> </w:t>
      </w:r>
      <w:r>
        <w:rPr>
          <w:sz w:val="21"/>
        </w:rPr>
        <w:t>business</w:t>
      </w:r>
      <w:r>
        <w:rPr>
          <w:spacing w:val="40"/>
          <w:sz w:val="21"/>
        </w:rPr>
        <w:t> </w:t>
      </w:r>
      <w:r>
        <w:rPr>
          <w:sz w:val="21"/>
        </w:rPr>
        <w:t>and</w:t>
      </w:r>
      <w:r>
        <w:rPr>
          <w:spacing w:val="40"/>
          <w:sz w:val="21"/>
        </w:rPr>
        <w:t> </w:t>
      </w:r>
      <w:r>
        <w:rPr>
          <w:sz w:val="21"/>
        </w:rPr>
        <w:t>travel</w:t>
      </w:r>
      <w:r>
        <w:rPr>
          <w:spacing w:val="40"/>
          <w:sz w:val="21"/>
        </w:rPr>
        <w:t> </w:t>
      </w:r>
      <w:r>
        <w:rPr>
          <w:sz w:val="21"/>
        </w:rPr>
        <w:t>expenses</w:t>
      </w:r>
      <w:r>
        <w:rPr>
          <w:spacing w:val="40"/>
          <w:sz w:val="21"/>
        </w:rPr>
        <w:t> </w:t>
      </w:r>
      <w:r>
        <w:rPr>
          <w:sz w:val="21"/>
        </w:rPr>
        <w:t>incurred</w:t>
      </w:r>
      <w:r>
        <w:rPr>
          <w:spacing w:val="40"/>
          <w:sz w:val="21"/>
        </w:rPr>
        <w:t> </w:t>
      </w:r>
      <w:r>
        <w:rPr>
          <w:sz w:val="21"/>
        </w:rPr>
        <w:t>by</w:t>
      </w:r>
      <w:r>
        <w:rPr>
          <w:spacing w:val="40"/>
          <w:sz w:val="21"/>
        </w:rPr>
        <w:t> </w:t>
      </w:r>
      <w:r>
        <w:rPr>
          <w:sz w:val="21"/>
        </w:rPr>
        <w:t>Employee</w:t>
      </w:r>
      <w:r>
        <w:rPr>
          <w:spacing w:val="40"/>
          <w:sz w:val="21"/>
        </w:rPr>
        <w:t> </w:t>
      </w:r>
      <w:r>
        <w:rPr>
          <w:sz w:val="21"/>
        </w:rPr>
        <w:t>prior</w:t>
      </w:r>
      <w:r>
        <w:rPr>
          <w:spacing w:val="40"/>
          <w:sz w:val="21"/>
        </w:rPr>
        <w:t> </w:t>
      </w:r>
      <w:r>
        <w:rPr>
          <w:sz w:val="21"/>
        </w:rPr>
        <w:t>to</w:t>
      </w:r>
      <w:r>
        <w:rPr>
          <w:spacing w:val="40"/>
          <w:sz w:val="21"/>
        </w:rPr>
        <w:t> </w:t>
      </w:r>
      <w:r>
        <w:rPr>
          <w:sz w:val="21"/>
        </w:rPr>
        <w:t>the</w:t>
      </w:r>
      <w:r>
        <w:rPr>
          <w:spacing w:val="40"/>
          <w:sz w:val="21"/>
        </w:rPr>
        <w:t> </w:t>
      </w:r>
      <w:r>
        <w:rPr>
          <w:sz w:val="21"/>
        </w:rPr>
        <w:t>termination</w:t>
      </w:r>
      <w:r>
        <w:rPr>
          <w:spacing w:val="40"/>
          <w:sz w:val="21"/>
        </w:rPr>
        <w:t> </w:t>
      </w:r>
      <w:r>
        <w:rPr>
          <w:sz w:val="21"/>
        </w:rPr>
        <w:t>date,</w:t>
      </w:r>
      <w:r>
        <w:rPr>
          <w:spacing w:val="40"/>
          <w:sz w:val="21"/>
        </w:rPr>
        <w:t> </w:t>
      </w:r>
      <w:r>
        <w:rPr>
          <w:sz w:val="21"/>
        </w:rPr>
        <w:t>payable</w:t>
      </w:r>
      <w:r>
        <w:rPr>
          <w:spacing w:val="40"/>
          <w:sz w:val="21"/>
        </w:rPr>
        <w:t> </w:t>
      </w:r>
      <w:r>
        <w:rPr>
          <w:sz w:val="21"/>
        </w:rPr>
        <w:t>in</w:t>
      </w:r>
      <w:r>
        <w:rPr>
          <w:spacing w:val="40"/>
          <w:sz w:val="21"/>
        </w:rPr>
        <w:t> </w:t>
      </w:r>
      <w:r>
        <w:rPr>
          <w:sz w:val="21"/>
        </w:rPr>
        <w:t>accordance</w:t>
      </w:r>
      <w:r>
        <w:rPr>
          <w:spacing w:val="40"/>
          <w:sz w:val="21"/>
        </w:rPr>
        <w:t> </w:t>
      </w:r>
      <w:r>
        <w:rPr>
          <w:sz w:val="21"/>
        </w:rPr>
        <w:t>with Employer’s customary practices and policies, and c) equity vesting pursuant to the terms of applicable equity award agreements. In addition to the foregoing:</w:t>
      </w:r>
    </w:p>
    <w:p>
      <w:pPr>
        <w:pStyle w:val="ListParagraph"/>
        <w:numPr>
          <w:ilvl w:val="1"/>
          <w:numId w:val="55"/>
        </w:numPr>
        <w:tabs>
          <w:tab w:pos="914" w:val="left" w:leader="none"/>
        </w:tabs>
        <w:spacing w:line="213" w:lineRule="auto" w:before="222" w:after="0"/>
        <w:ind w:left="468" w:right="225" w:firstLine="0"/>
        <w:jc w:val="both"/>
        <w:rPr>
          <w:sz w:val="21"/>
        </w:rPr>
      </w:pPr>
      <w:r>
        <w:rPr>
          <w:sz w:val="21"/>
          <w:u w:val="single"/>
        </w:rPr>
        <w:t>Employer’s Good Cause Termination</w:t>
      </w:r>
      <w:r>
        <w:rPr>
          <w:sz w:val="21"/>
        </w:rPr>
        <w:t>. Employer has the right to terminate this Agreement for “Good Cause” at any </w:t>
      </w:r>
      <w:r>
        <w:rPr>
          <w:sz w:val="21"/>
        </w:rPr>
        <w:t>time during the Specified Term. Good</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78"/>
        <w:rPr>
          <w:sz w:val="21"/>
        </w:rPr>
      </w:pPr>
    </w:p>
    <w:p>
      <w:pPr>
        <w:spacing w:before="1"/>
        <w:ind w:left="24" w:right="0" w:firstLine="0"/>
        <w:jc w:val="center"/>
        <w:rPr>
          <w:sz w:val="21"/>
        </w:rPr>
      </w:pPr>
      <w:r>
        <w:rPr/>
        <mc:AlternateContent>
          <mc:Choice Requires="wps">
            <w:drawing>
              <wp:anchor distT="0" distB="0" distL="0" distR="0" allowOverlap="1" layoutInCell="1" locked="0" behindDoc="1" simplePos="0" relativeHeight="487809024">
                <wp:simplePos x="0" y="0"/>
                <wp:positionH relativeFrom="page">
                  <wp:posOffset>231457</wp:posOffset>
                </wp:positionH>
                <wp:positionV relativeFrom="paragraph">
                  <wp:posOffset>184138</wp:posOffset>
                </wp:positionV>
                <wp:extent cx="7312659" cy="17145"/>
                <wp:effectExtent l="0" t="0" r="0" b="0"/>
                <wp:wrapTopAndBottom/>
                <wp:docPr id="1088" name="Group 1088"/>
                <wp:cNvGraphicFramePr>
                  <a:graphicFrameLocks/>
                </wp:cNvGraphicFramePr>
                <a:graphic>
                  <a:graphicData uri="http://schemas.microsoft.com/office/word/2010/wordprocessingGroup">
                    <wpg:wgp>
                      <wpg:cNvPr id="1088" name="Group 1088"/>
                      <wpg:cNvGrpSpPr/>
                      <wpg:grpSpPr>
                        <a:xfrm>
                          <a:off x="0" y="0"/>
                          <a:ext cx="7312659" cy="17145"/>
                          <a:chExt cx="7312659" cy="17145"/>
                        </a:xfrm>
                      </wpg:grpSpPr>
                      <wps:wsp>
                        <wps:cNvPr id="1089" name="Graphic 108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90" name="Graphic 1090"/>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91" name="Graphic 109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499117pt;width:575.8pt;height:1.35pt;mso-position-horizontal-relative:page;mso-position-vertical-relative:paragraph;z-index:-15507456;mso-wrap-distance-left:0;mso-wrap-distance-right:0" id="docshapegroup1086" coordorigin="364,290" coordsize="11516,27">
                <v:rect style="position:absolute;left:364;top:289;width:11516;height:14" id="docshape1087" filled="true" fillcolor="#999999" stroked="false">
                  <v:fill type="solid"/>
                </v:rect>
                <v:shape style="position:absolute;left:364;top:289;width:11516;height:27" id="docshape1088" coordorigin="364,290" coordsize="11516,27" path="m11880,290l11866,303,364,303,364,317,11866,317,11880,317,11880,303,11880,290xe" filled="true" fillcolor="#ededed" stroked="false">
                  <v:path arrowok="t"/>
                  <v:fill type="solid"/>
                </v:shape>
                <v:shape style="position:absolute;left:364;top:289;width:14;height:27" id="docshape1089" coordorigin="364,290" coordsize="14,27" path="m364,317l364,290,378,290,378,303,364,317xe" filled="true" fillcolor="#999999" stroked="false">
                  <v:path arrowok="t"/>
                  <v:fill type="solid"/>
                </v:shape>
                <w10:wrap type="topAndBottom"/>
              </v:group>
            </w:pict>
          </mc:Fallback>
        </mc:AlternateContent>
      </w:r>
      <w:r>
        <w:rPr>
          <w:spacing w:val="-5"/>
          <w:sz w:val="21"/>
        </w:rPr>
        <w:t>11</w:t>
      </w:r>
    </w:p>
    <w:p>
      <w:pPr>
        <w:spacing w:after="0"/>
        <w:jc w:val="center"/>
        <w:rPr>
          <w:sz w:val="21"/>
        </w:rPr>
        <w:sectPr>
          <w:pgSz w:w="12240" w:h="15840"/>
          <w:pgMar w:top="1820" w:bottom="280" w:left="220" w:right="240"/>
        </w:sectPr>
      </w:pPr>
    </w:p>
    <w:p>
      <w:pPr>
        <w:spacing w:line="213" w:lineRule="auto" w:before="138"/>
        <w:ind w:left="468" w:right="221" w:firstLine="0"/>
        <w:jc w:val="both"/>
        <w:rPr>
          <w:sz w:val="21"/>
        </w:rPr>
      </w:pPr>
      <w:r>
        <w:rPr>
          <w:sz w:val="21"/>
        </w:rPr>
        <w:t>Cause</w:t>
      </w:r>
      <w:r>
        <w:rPr>
          <w:spacing w:val="40"/>
          <w:sz w:val="21"/>
        </w:rPr>
        <w:t> </w:t>
      </w:r>
      <w:r>
        <w:rPr>
          <w:sz w:val="21"/>
        </w:rPr>
        <w:t>shall</w:t>
      </w:r>
      <w:r>
        <w:rPr>
          <w:spacing w:val="40"/>
          <w:sz w:val="21"/>
        </w:rPr>
        <w:t> </w:t>
      </w:r>
      <w:r>
        <w:rPr>
          <w:sz w:val="21"/>
        </w:rPr>
        <w:t>mean</w:t>
      </w:r>
      <w:r>
        <w:rPr>
          <w:spacing w:val="40"/>
          <w:sz w:val="21"/>
        </w:rPr>
        <w:t> </w:t>
      </w:r>
      <w:r>
        <w:rPr>
          <w:sz w:val="21"/>
        </w:rPr>
        <w:t>(1)</w:t>
      </w:r>
      <w:r>
        <w:rPr>
          <w:spacing w:val="40"/>
          <w:sz w:val="21"/>
        </w:rPr>
        <w:t> </w:t>
      </w:r>
      <w:r>
        <w:rPr>
          <w:sz w:val="21"/>
        </w:rPr>
        <w:t>(A)</w:t>
      </w:r>
      <w:r>
        <w:rPr>
          <w:spacing w:val="40"/>
          <w:sz w:val="21"/>
        </w:rPr>
        <w:t> </w:t>
      </w:r>
      <w:r>
        <w:rPr>
          <w:sz w:val="21"/>
        </w:rPr>
        <w:t>the</w:t>
      </w:r>
      <w:r>
        <w:rPr>
          <w:spacing w:val="40"/>
          <w:sz w:val="21"/>
        </w:rPr>
        <w:t> </w:t>
      </w:r>
      <w:r>
        <w:rPr>
          <w:sz w:val="21"/>
        </w:rPr>
        <w:t>Employee’s</w:t>
      </w:r>
      <w:r>
        <w:rPr>
          <w:spacing w:val="40"/>
          <w:sz w:val="21"/>
        </w:rPr>
        <w:t> </w:t>
      </w:r>
      <w:r>
        <w:rPr>
          <w:sz w:val="21"/>
        </w:rPr>
        <w:t>conviction</w:t>
      </w:r>
      <w:r>
        <w:rPr>
          <w:spacing w:val="40"/>
          <w:sz w:val="21"/>
        </w:rPr>
        <w:t> </w:t>
      </w:r>
      <w:r>
        <w:rPr>
          <w:sz w:val="21"/>
        </w:rPr>
        <w:t>of,</w:t>
      </w:r>
      <w:r>
        <w:rPr>
          <w:spacing w:val="40"/>
          <w:sz w:val="21"/>
        </w:rPr>
        <w:t> </w:t>
      </w:r>
      <w:r>
        <w:rPr>
          <w:sz w:val="21"/>
        </w:rPr>
        <w:t>or</w:t>
      </w:r>
      <w:r>
        <w:rPr>
          <w:spacing w:val="40"/>
          <w:sz w:val="21"/>
        </w:rPr>
        <w:t> </w:t>
      </w:r>
      <w:r>
        <w:rPr>
          <w:sz w:val="21"/>
        </w:rPr>
        <w:t>plea</w:t>
      </w:r>
      <w:r>
        <w:rPr>
          <w:spacing w:val="40"/>
          <w:sz w:val="21"/>
        </w:rPr>
        <w:t> </w:t>
      </w:r>
      <w:r>
        <w:rPr>
          <w:sz w:val="21"/>
        </w:rPr>
        <w:t>of</w:t>
      </w:r>
      <w:r>
        <w:rPr>
          <w:spacing w:val="40"/>
          <w:sz w:val="21"/>
        </w:rPr>
        <w:t> </w:t>
      </w:r>
      <w:r>
        <w:rPr>
          <w:sz w:val="21"/>
        </w:rPr>
        <w:t>guilty</w:t>
      </w:r>
      <w:r>
        <w:rPr>
          <w:spacing w:val="40"/>
          <w:sz w:val="21"/>
        </w:rPr>
        <w:t> </w:t>
      </w:r>
      <w:r>
        <w:rPr>
          <w:sz w:val="21"/>
        </w:rPr>
        <w:t>or</w:t>
      </w:r>
      <w:r>
        <w:rPr>
          <w:spacing w:val="40"/>
          <w:sz w:val="21"/>
        </w:rPr>
        <w:t> </w:t>
      </w:r>
      <w:r>
        <w:rPr>
          <w:sz w:val="21"/>
        </w:rPr>
        <w:t>nolo</w:t>
      </w:r>
      <w:r>
        <w:rPr>
          <w:spacing w:val="40"/>
          <w:sz w:val="21"/>
        </w:rPr>
        <w:t> </w:t>
      </w:r>
      <w:r>
        <w:rPr>
          <w:sz w:val="21"/>
        </w:rPr>
        <w:t>contendere</w:t>
      </w:r>
      <w:r>
        <w:rPr>
          <w:spacing w:val="40"/>
          <w:sz w:val="21"/>
        </w:rPr>
        <w:t> </w:t>
      </w:r>
      <w:r>
        <w:rPr>
          <w:sz w:val="21"/>
        </w:rPr>
        <w:t>to</w:t>
      </w:r>
      <w:r>
        <w:rPr>
          <w:spacing w:val="40"/>
          <w:sz w:val="21"/>
        </w:rPr>
        <w:t> </w:t>
      </w:r>
      <w:r>
        <w:rPr>
          <w:sz w:val="21"/>
        </w:rPr>
        <w:t>(x)</w:t>
      </w:r>
      <w:r>
        <w:rPr>
          <w:spacing w:val="40"/>
          <w:sz w:val="21"/>
        </w:rPr>
        <w:t> </w:t>
      </w:r>
      <w:r>
        <w:rPr>
          <w:sz w:val="21"/>
        </w:rPr>
        <w:t>a</w:t>
      </w:r>
      <w:r>
        <w:rPr>
          <w:spacing w:val="40"/>
          <w:sz w:val="21"/>
        </w:rPr>
        <w:t> </w:t>
      </w:r>
      <w:r>
        <w:rPr>
          <w:sz w:val="21"/>
        </w:rPr>
        <w:t>crime</w:t>
      </w:r>
      <w:r>
        <w:rPr>
          <w:spacing w:val="40"/>
          <w:sz w:val="21"/>
        </w:rPr>
        <w:t> </w:t>
      </w:r>
      <w:r>
        <w:rPr>
          <w:sz w:val="21"/>
        </w:rPr>
        <w:t>relating</w:t>
      </w:r>
      <w:r>
        <w:rPr>
          <w:spacing w:val="40"/>
          <w:sz w:val="21"/>
        </w:rPr>
        <w:t> </w:t>
      </w:r>
      <w:r>
        <w:rPr>
          <w:sz w:val="21"/>
        </w:rPr>
        <w:t>to</w:t>
      </w:r>
      <w:r>
        <w:rPr>
          <w:spacing w:val="40"/>
          <w:sz w:val="21"/>
        </w:rPr>
        <w:t> </w:t>
      </w:r>
      <w:r>
        <w:rPr>
          <w:sz w:val="21"/>
        </w:rPr>
        <w:t>the Company or its affiliates or (y) any felony, (B) Employee is found disqualified or not suitable to hold a casino or other gaming license by a final, non-appealable determination (or if Employee fails to appeal a determination that may be appealed) of an applicable</w:t>
      </w:r>
      <w:r>
        <w:rPr>
          <w:spacing w:val="40"/>
          <w:sz w:val="21"/>
        </w:rPr>
        <w:t> </w:t>
      </w:r>
      <w:r>
        <w:rPr>
          <w:sz w:val="21"/>
        </w:rPr>
        <w:t>governmental</w:t>
      </w:r>
      <w:r>
        <w:rPr>
          <w:spacing w:val="40"/>
          <w:sz w:val="21"/>
        </w:rPr>
        <w:t> </w:t>
      </w:r>
      <w:r>
        <w:rPr>
          <w:sz w:val="21"/>
        </w:rPr>
        <w:t>gaming</w:t>
      </w:r>
      <w:r>
        <w:rPr>
          <w:spacing w:val="40"/>
          <w:sz w:val="21"/>
        </w:rPr>
        <w:t> </w:t>
      </w:r>
      <w:r>
        <w:rPr>
          <w:sz w:val="21"/>
        </w:rPr>
        <w:t>authority,</w:t>
      </w:r>
      <w:r>
        <w:rPr>
          <w:spacing w:val="40"/>
          <w:sz w:val="21"/>
        </w:rPr>
        <w:t> </w:t>
      </w:r>
      <w:r>
        <w:rPr>
          <w:sz w:val="21"/>
        </w:rPr>
        <w:t>which</w:t>
      </w:r>
      <w:r>
        <w:rPr>
          <w:spacing w:val="40"/>
          <w:sz w:val="21"/>
        </w:rPr>
        <w:t> </w:t>
      </w:r>
      <w:r>
        <w:rPr>
          <w:sz w:val="21"/>
        </w:rPr>
        <w:t>causes</w:t>
      </w:r>
      <w:r>
        <w:rPr>
          <w:spacing w:val="40"/>
          <w:sz w:val="21"/>
        </w:rPr>
        <w:t> </w:t>
      </w:r>
      <w:r>
        <w:rPr>
          <w:sz w:val="21"/>
        </w:rPr>
        <w:t>Employee’s</w:t>
      </w:r>
      <w:r>
        <w:rPr>
          <w:spacing w:val="40"/>
          <w:sz w:val="21"/>
        </w:rPr>
        <w:t> </w:t>
      </w:r>
      <w:r>
        <w:rPr>
          <w:sz w:val="21"/>
        </w:rPr>
        <w:t>failure</w:t>
      </w:r>
      <w:r>
        <w:rPr>
          <w:spacing w:val="40"/>
          <w:sz w:val="21"/>
        </w:rPr>
        <w:t> </w:t>
      </w:r>
      <w:r>
        <w:rPr>
          <w:sz w:val="21"/>
        </w:rPr>
        <w:t>or</w:t>
      </w:r>
      <w:r>
        <w:rPr>
          <w:spacing w:val="40"/>
          <w:sz w:val="21"/>
        </w:rPr>
        <w:t> </w:t>
      </w:r>
      <w:r>
        <w:rPr>
          <w:sz w:val="21"/>
        </w:rPr>
        <w:t>inability</w:t>
      </w:r>
      <w:r>
        <w:rPr>
          <w:spacing w:val="40"/>
          <w:sz w:val="21"/>
        </w:rPr>
        <w:t> </w:t>
      </w:r>
      <w:r>
        <w:rPr>
          <w:sz w:val="21"/>
        </w:rPr>
        <w:t>to</w:t>
      </w:r>
      <w:r>
        <w:rPr>
          <w:spacing w:val="40"/>
          <w:sz w:val="21"/>
        </w:rPr>
        <w:t> </w:t>
      </w:r>
      <w:r>
        <w:rPr>
          <w:sz w:val="21"/>
        </w:rPr>
        <w:t>satisfy</w:t>
      </w:r>
      <w:r>
        <w:rPr>
          <w:spacing w:val="40"/>
          <w:sz w:val="21"/>
        </w:rPr>
        <w:t> </w:t>
      </w:r>
      <w:r>
        <w:rPr>
          <w:sz w:val="21"/>
        </w:rPr>
        <w:t>gaming</w:t>
      </w:r>
      <w:r>
        <w:rPr>
          <w:spacing w:val="40"/>
          <w:sz w:val="21"/>
        </w:rPr>
        <w:t> </w:t>
      </w:r>
      <w:r>
        <w:rPr>
          <w:sz w:val="21"/>
        </w:rPr>
        <w:t>licensing requirements</w:t>
      </w:r>
      <w:r>
        <w:rPr>
          <w:spacing w:val="27"/>
          <w:sz w:val="21"/>
        </w:rPr>
        <w:t> </w:t>
      </w:r>
      <w:r>
        <w:rPr>
          <w:sz w:val="21"/>
        </w:rPr>
        <w:t>set</w:t>
      </w:r>
      <w:r>
        <w:rPr>
          <w:spacing w:val="27"/>
          <w:sz w:val="21"/>
        </w:rPr>
        <w:t> </w:t>
      </w:r>
      <w:r>
        <w:rPr>
          <w:sz w:val="21"/>
        </w:rPr>
        <w:t>forth</w:t>
      </w:r>
      <w:r>
        <w:rPr>
          <w:spacing w:val="27"/>
          <w:sz w:val="21"/>
        </w:rPr>
        <w:t> </w:t>
      </w:r>
      <w:r>
        <w:rPr>
          <w:sz w:val="21"/>
        </w:rPr>
        <w:t>in</w:t>
      </w:r>
      <w:r>
        <w:rPr>
          <w:spacing w:val="27"/>
          <w:sz w:val="21"/>
        </w:rPr>
        <w:t> </w:t>
      </w:r>
      <w:r>
        <w:rPr>
          <w:sz w:val="21"/>
        </w:rPr>
        <w:t>this Agreement,</w:t>
      </w:r>
      <w:r>
        <w:rPr>
          <w:spacing w:val="27"/>
          <w:sz w:val="21"/>
        </w:rPr>
        <w:t> </w:t>
      </w:r>
      <w:r>
        <w:rPr>
          <w:sz w:val="21"/>
        </w:rPr>
        <w:t>(C)</w:t>
      </w:r>
      <w:r>
        <w:rPr>
          <w:spacing w:val="27"/>
          <w:sz w:val="21"/>
        </w:rPr>
        <w:t> </w:t>
      </w:r>
      <w:r>
        <w:rPr>
          <w:sz w:val="21"/>
        </w:rPr>
        <w:t>willful</w:t>
      </w:r>
      <w:r>
        <w:rPr>
          <w:spacing w:val="27"/>
          <w:sz w:val="21"/>
        </w:rPr>
        <w:t> </w:t>
      </w:r>
      <w:r>
        <w:rPr>
          <w:sz w:val="21"/>
        </w:rPr>
        <w:t>misconduct,</w:t>
      </w:r>
      <w:r>
        <w:rPr>
          <w:spacing w:val="27"/>
          <w:sz w:val="21"/>
        </w:rPr>
        <w:t> </w:t>
      </w:r>
      <w:r>
        <w:rPr>
          <w:sz w:val="21"/>
        </w:rPr>
        <w:t>gross</w:t>
      </w:r>
      <w:r>
        <w:rPr>
          <w:spacing w:val="27"/>
          <w:sz w:val="21"/>
        </w:rPr>
        <w:t> </w:t>
      </w:r>
      <w:r>
        <w:rPr>
          <w:sz w:val="21"/>
        </w:rPr>
        <w:t>misconduct,</w:t>
      </w:r>
      <w:r>
        <w:rPr>
          <w:spacing w:val="27"/>
          <w:sz w:val="21"/>
        </w:rPr>
        <w:t> </w:t>
      </w:r>
      <w:r>
        <w:rPr>
          <w:sz w:val="21"/>
        </w:rPr>
        <w:t>or</w:t>
      </w:r>
      <w:r>
        <w:rPr>
          <w:spacing w:val="27"/>
          <w:sz w:val="21"/>
        </w:rPr>
        <w:t> </w:t>
      </w:r>
      <w:r>
        <w:rPr>
          <w:sz w:val="21"/>
        </w:rPr>
        <w:t>gross</w:t>
      </w:r>
      <w:r>
        <w:rPr>
          <w:spacing w:val="27"/>
          <w:sz w:val="21"/>
        </w:rPr>
        <w:t> </w:t>
      </w:r>
      <w:r>
        <w:rPr>
          <w:sz w:val="21"/>
        </w:rPr>
        <w:t>negligence</w:t>
      </w:r>
      <w:r>
        <w:rPr>
          <w:spacing w:val="27"/>
          <w:sz w:val="21"/>
        </w:rPr>
        <w:t> </w:t>
      </w:r>
      <w:r>
        <w:rPr>
          <w:sz w:val="21"/>
        </w:rPr>
        <w:t>in</w:t>
      </w:r>
      <w:r>
        <w:rPr>
          <w:spacing w:val="27"/>
          <w:sz w:val="21"/>
        </w:rPr>
        <w:t> </w:t>
      </w:r>
      <w:r>
        <w:rPr>
          <w:sz w:val="21"/>
        </w:rPr>
        <w:t>the</w:t>
      </w:r>
      <w:r>
        <w:rPr>
          <w:spacing w:val="27"/>
          <w:sz w:val="21"/>
        </w:rPr>
        <w:t> </w:t>
      </w:r>
      <w:r>
        <w:rPr>
          <w:sz w:val="21"/>
        </w:rPr>
        <w:t>performance</w:t>
      </w:r>
      <w:r>
        <w:rPr>
          <w:spacing w:val="27"/>
          <w:sz w:val="21"/>
        </w:rPr>
        <w:t> </w:t>
      </w:r>
      <w:r>
        <w:rPr>
          <w:sz w:val="21"/>
        </w:rPr>
        <w:t>of the</w:t>
      </w:r>
      <w:r>
        <w:rPr>
          <w:spacing w:val="40"/>
          <w:sz w:val="21"/>
        </w:rPr>
        <w:t> </w:t>
      </w:r>
      <w:r>
        <w:rPr>
          <w:sz w:val="21"/>
        </w:rPr>
        <w:t>Employee’s</w:t>
      </w:r>
      <w:r>
        <w:rPr>
          <w:spacing w:val="40"/>
          <w:sz w:val="21"/>
        </w:rPr>
        <w:t> </w:t>
      </w:r>
      <w:r>
        <w:rPr>
          <w:sz w:val="21"/>
        </w:rPr>
        <w:t>duties</w:t>
      </w:r>
      <w:r>
        <w:rPr>
          <w:spacing w:val="40"/>
          <w:sz w:val="21"/>
        </w:rPr>
        <w:t> </w:t>
      </w:r>
      <w:r>
        <w:rPr>
          <w:sz w:val="21"/>
        </w:rPr>
        <w:t>to</w:t>
      </w:r>
      <w:r>
        <w:rPr>
          <w:spacing w:val="40"/>
          <w:sz w:val="21"/>
        </w:rPr>
        <w:t> </w:t>
      </w:r>
      <w:r>
        <w:rPr>
          <w:sz w:val="21"/>
        </w:rPr>
        <w:t>the</w:t>
      </w:r>
      <w:r>
        <w:rPr>
          <w:spacing w:val="40"/>
          <w:sz w:val="21"/>
        </w:rPr>
        <w:t> </w:t>
      </w:r>
      <w:r>
        <w:rPr>
          <w:sz w:val="21"/>
        </w:rPr>
        <w:t>Company</w:t>
      </w:r>
      <w:r>
        <w:rPr>
          <w:spacing w:val="40"/>
          <w:sz w:val="21"/>
        </w:rPr>
        <w:t> </w:t>
      </w:r>
      <w:r>
        <w:rPr>
          <w:sz w:val="21"/>
        </w:rPr>
        <w:t>(which</w:t>
      </w:r>
      <w:r>
        <w:rPr>
          <w:spacing w:val="40"/>
          <w:sz w:val="21"/>
        </w:rPr>
        <w:t> </w:t>
      </w:r>
      <w:r>
        <w:rPr>
          <w:sz w:val="21"/>
        </w:rPr>
        <w:t>includes</w:t>
      </w:r>
      <w:r>
        <w:rPr>
          <w:spacing w:val="40"/>
          <w:sz w:val="21"/>
        </w:rPr>
        <w:t> </w:t>
      </w:r>
      <w:r>
        <w:rPr>
          <w:sz w:val="21"/>
        </w:rPr>
        <w:t>but</w:t>
      </w:r>
      <w:r>
        <w:rPr>
          <w:spacing w:val="40"/>
          <w:sz w:val="21"/>
        </w:rPr>
        <w:t> </w:t>
      </w:r>
      <w:r>
        <w:rPr>
          <w:sz w:val="21"/>
        </w:rPr>
        <w:t>is</w:t>
      </w:r>
      <w:r>
        <w:rPr>
          <w:spacing w:val="40"/>
          <w:sz w:val="21"/>
        </w:rPr>
        <w:t> </w:t>
      </w:r>
      <w:r>
        <w:rPr>
          <w:sz w:val="21"/>
        </w:rPr>
        <w:t>not</w:t>
      </w:r>
      <w:r>
        <w:rPr>
          <w:spacing w:val="40"/>
          <w:sz w:val="21"/>
        </w:rPr>
        <w:t> </w:t>
      </w:r>
      <w:r>
        <w:rPr>
          <w:sz w:val="21"/>
        </w:rPr>
        <w:t>limited</w:t>
      </w:r>
      <w:r>
        <w:rPr>
          <w:spacing w:val="40"/>
          <w:sz w:val="21"/>
        </w:rPr>
        <w:t> </w:t>
      </w:r>
      <w:r>
        <w:rPr>
          <w:sz w:val="21"/>
        </w:rPr>
        <w:t>to</w:t>
      </w:r>
      <w:r>
        <w:rPr>
          <w:spacing w:val="40"/>
          <w:sz w:val="21"/>
        </w:rPr>
        <w:t> </w:t>
      </w:r>
      <w:r>
        <w:rPr>
          <w:sz w:val="21"/>
        </w:rPr>
        <w:t>material</w:t>
      </w:r>
      <w:r>
        <w:rPr>
          <w:spacing w:val="40"/>
          <w:sz w:val="21"/>
        </w:rPr>
        <w:t> </w:t>
      </w:r>
      <w:r>
        <w:rPr>
          <w:sz w:val="21"/>
        </w:rPr>
        <w:t>inattention</w:t>
      </w:r>
      <w:r>
        <w:rPr>
          <w:spacing w:val="40"/>
          <w:sz w:val="21"/>
        </w:rPr>
        <w:t> </w:t>
      </w:r>
      <w:r>
        <w:rPr>
          <w:sz w:val="21"/>
        </w:rPr>
        <w:t>to</w:t>
      </w:r>
      <w:r>
        <w:rPr>
          <w:spacing w:val="40"/>
          <w:sz w:val="21"/>
        </w:rPr>
        <w:t> </w:t>
      </w:r>
      <w:r>
        <w:rPr>
          <w:sz w:val="21"/>
        </w:rPr>
        <w:t>Employer’s</w:t>
      </w:r>
      <w:r>
        <w:rPr>
          <w:spacing w:val="40"/>
          <w:sz w:val="21"/>
        </w:rPr>
        <w:t> </w:t>
      </w:r>
      <w:r>
        <w:rPr>
          <w:sz w:val="21"/>
        </w:rPr>
        <w:t>business</w:t>
      </w:r>
      <w:r>
        <w:rPr>
          <w:spacing w:val="40"/>
          <w:sz w:val="21"/>
        </w:rPr>
        <w:t> </w:t>
      </w:r>
      <w:r>
        <w:rPr>
          <w:sz w:val="21"/>
        </w:rPr>
        <w:t>or material</w:t>
      </w:r>
      <w:r>
        <w:rPr>
          <w:spacing w:val="40"/>
          <w:sz w:val="21"/>
        </w:rPr>
        <w:t> </w:t>
      </w:r>
      <w:r>
        <w:rPr>
          <w:sz w:val="21"/>
        </w:rPr>
        <w:t>dishonesty)</w:t>
      </w:r>
      <w:r>
        <w:rPr>
          <w:spacing w:val="40"/>
          <w:sz w:val="21"/>
        </w:rPr>
        <w:t> </w:t>
      </w:r>
      <w:r>
        <w:rPr>
          <w:sz w:val="21"/>
        </w:rPr>
        <w:t>(D)</w:t>
      </w:r>
      <w:r>
        <w:rPr>
          <w:spacing w:val="40"/>
          <w:sz w:val="21"/>
        </w:rPr>
        <w:t> </w:t>
      </w:r>
      <w:r>
        <w:rPr>
          <w:sz w:val="21"/>
        </w:rPr>
        <w:t>a</w:t>
      </w:r>
      <w:r>
        <w:rPr>
          <w:spacing w:val="40"/>
          <w:sz w:val="21"/>
        </w:rPr>
        <w:t> </w:t>
      </w:r>
      <w:r>
        <w:rPr>
          <w:sz w:val="21"/>
        </w:rPr>
        <w:t>material</w:t>
      </w:r>
      <w:r>
        <w:rPr>
          <w:spacing w:val="40"/>
          <w:sz w:val="21"/>
        </w:rPr>
        <w:t> </w:t>
      </w:r>
      <w:r>
        <w:rPr>
          <w:sz w:val="21"/>
        </w:rPr>
        <w:t>breach</w:t>
      </w:r>
      <w:r>
        <w:rPr>
          <w:spacing w:val="40"/>
          <w:sz w:val="21"/>
        </w:rPr>
        <w:t> </w:t>
      </w:r>
      <w:r>
        <w:rPr>
          <w:sz w:val="21"/>
        </w:rPr>
        <w:t>by</w:t>
      </w:r>
      <w:r>
        <w:rPr>
          <w:spacing w:val="40"/>
          <w:sz w:val="21"/>
        </w:rPr>
        <w:t> </w:t>
      </w:r>
      <w:r>
        <w:rPr>
          <w:sz w:val="21"/>
        </w:rPr>
        <w:t>the</w:t>
      </w:r>
      <w:r>
        <w:rPr>
          <w:spacing w:val="40"/>
          <w:sz w:val="21"/>
        </w:rPr>
        <w:t> </w:t>
      </w:r>
      <w:r>
        <w:rPr>
          <w:sz w:val="21"/>
        </w:rPr>
        <w:t>Employee</w:t>
      </w:r>
      <w:r>
        <w:rPr>
          <w:spacing w:val="40"/>
          <w:sz w:val="21"/>
        </w:rPr>
        <w:t> </w:t>
      </w:r>
      <w:r>
        <w:rPr>
          <w:sz w:val="21"/>
        </w:rPr>
        <w:t>of</w:t>
      </w:r>
      <w:r>
        <w:rPr>
          <w:spacing w:val="40"/>
          <w:sz w:val="21"/>
        </w:rPr>
        <w:t> </w:t>
      </w:r>
      <w:r>
        <w:rPr>
          <w:sz w:val="21"/>
        </w:rPr>
        <w:t>any</w:t>
      </w:r>
      <w:r>
        <w:rPr>
          <w:spacing w:val="40"/>
          <w:sz w:val="21"/>
        </w:rPr>
        <w:t> </w:t>
      </w:r>
      <w:r>
        <w:rPr>
          <w:sz w:val="21"/>
        </w:rPr>
        <w:t>material</w:t>
      </w:r>
      <w:r>
        <w:rPr>
          <w:spacing w:val="40"/>
          <w:sz w:val="21"/>
        </w:rPr>
        <w:t> </w:t>
      </w:r>
      <w:r>
        <w:rPr>
          <w:sz w:val="21"/>
        </w:rPr>
        <w:t>written</w:t>
      </w:r>
      <w:r>
        <w:rPr>
          <w:spacing w:val="40"/>
          <w:sz w:val="21"/>
        </w:rPr>
        <w:t> </w:t>
      </w:r>
      <w:r>
        <w:rPr>
          <w:sz w:val="21"/>
        </w:rPr>
        <w:t>agreement</w:t>
      </w:r>
      <w:r>
        <w:rPr>
          <w:spacing w:val="40"/>
          <w:sz w:val="21"/>
        </w:rPr>
        <w:t> </w:t>
      </w:r>
      <w:r>
        <w:rPr>
          <w:sz w:val="21"/>
        </w:rPr>
        <w:t>entered</w:t>
      </w:r>
      <w:r>
        <w:rPr>
          <w:spacing w:val="40"/>
          <w:sz w:val="21"/>
        </w:rPr>
        <w:t> </w:t>
      </w:r>
      <w:r>
        <w:rPr>
          <w:sz w:val="21"/>
        </w:rPr>
        <w:t>into</w:t>
      </w:r>
      <w:r>
        <w:rPr>
          <w:spacing w:val="40"/>
          <w:sz w:val="21"/>
        </w:rPr>
        <w:t> </w:t>
      </w:r>
      <w:r>
        <w:rPr>
          <w:sz w:val="21"/>
        </w:rPr>
        <w:t>between</w:t>
      </w:r>
      <w:r>
        <w:rPr>
          <w:spacing w:val="40"/>
          <w:sz w:val="21"/>
        </w:rPr>
        <w:t> </w:t>
      </w:r>
      <w:r>
        <w:rPr>
          <w:sz w:val="21"/>
        </w:rPr>
        <w:t>the Employee and the Company, or any material written policy of the Company, including but not limited to the Company’s sexual harassment</w:t>
      </w:r>
      <w:r>
        <w:rPr>
          <w:spacing w:val="40"/>
          <w:sz w:val="21"/>
        </w:rPr>
        <w:t> </w:t>
      </w:r>
      <w:r>
        <w:rPr>
          <w:sz w:val="21"/>
        </w:rPr>
        <w:t>policy,</w:t>
      </w:r>
      <w:r>
        <w:rPr>
          <w:spacing w:val="40"/>
          <w:sz w:val="21"/>
        </w:rPr>
        <w:t> </w:t>
      </w:r>
      <w:r>
        <w:rPr>
          <w:sz w:val="21"/>
        </w:rPr>
        <w:t>(E)</w:t>
      </w:r>
      <w:r>
        <w:rPr>
          <w:spacing w:val="40"/>
          <w:sz w:val="21"/>
        </w:rPr>
        <w:t> </w:t>
      </w:r>
      <w:r>
        <w:rPr>
          <w:sz w:val="21"/>
        </w:rPr>
        <w:t>the</w:t>
      </w:r>
      <w:r>
        <w:rPr>
          <w:spacing w:val="40"/>
          <w:sz w:val="21"/>
        </w:rPr>
        <w:t> </w:t>
      </w:r>
      <w:r>
        <w:rPr>
          <w:sz w:val="21"/>
        </w:rPr>
        <w:t>Employee’s</w:t>
      </w:r>
      <w:r>
        <w:rPr>
          <w:spacing w:val="40"/>
          <w:sz w:val="21"/>
        </w:rPr>
        <w:t> </w:t>
      </w:r>
      <w:r>
        <w:rPr>
          <w:sz w:val="21"/>
        </w:rPr>
        <w:t>refusal</w:t>
      </w:r>
      <w:r>
        <w:rPr>
          <w:spacing w:val="40"/>
          <w:sz w:val="21"/>
        </w:rPr>
        <w:t> </w:t>
      </w:r>
      <w:r>
        <w:rPr>
          <w:sz w:val="21"/>
        </w:rPr>
        <w:t>or</w:t>
      </w:r>
      <w:r>
        <w:rPr>
          <w:spacing w:val="40"/>
          <w:sz w:val="21"/>
        </w:rPr>
        <w:t> </w:t>
      </w:r>
      <w:r>
        <w:rPr>
          <w:sz w:val="21"/>
        </w:rPr>
        <w:t>intentional</w:t>
      </w:r>
      <w:r>
        <w:rPr>
          <w:spacing w:val="40"/>
          <w:sz w:val="21"/>
        </w:rPr>
        <w:t> </w:t>
      </w:r>
      <w:r>
        <w:rPr>
          <w:sz w:val="21"/>
        </w:rPr>
        <w:t>failure</w:t>
      </w:r>
      <w:r>
        <w:rPr>
          <w:spacing w:val="40"/>
          <w:sz w:val="21"/>
        </w:rPr>
        <w:t> </w:t>
      </w:r>
      <w:r>
        <w:rPr>
          <w:sz w:val="21"/>
        </w:rPr>
        <w:t>to</w:t>
      </w:r>
      <w:r>
        <w:rPr>
          <w:spacing w:val="40"/>
          <w:sz w:val="21"/>
        </w:rPr>
        <w:t> </w:t>
      </w:r>
      <w:r>
        <w:rPr>
          <w:sz w:val="21"/>
        </w:rPr>
        <w:t>follow</w:t>
      </w:r>
      <w:r>
        <w:rPr>
          <w:spacing w:val="40"/>
          <w:sz w:val="21"/>
        </w:rPr>
        <w:t> </w:t>
      </w:r>
      <w:r>
        <w:rPr>
          <w:sz w:val="21"/>
        </w:rPr>
        <w:t>a</w:t>
      </w:r>
      <w:r>
        <w:rPr>
          <w:spacing w:val="40"/>
          <w:sz w:val="21"/>
        </w:rPr>
        <w:t> </w:t>
      </w:r>
      <w:r>
        <w:rPr>
          <w:sz w:val="21"/>
        </w:rPr>
        <w:t>lawful</w:t>
      </w:r>
      <w:r>
        <w:rPr>
          <w:spacing w:val="40"/>
          <w:sz w:val="21"/>
        </w:rPr>
        <w:t> </w:t>
      </w:r>
      <w:r>
        <w:rPr>
          <w:sz w:val="21"/>
        </w:rPr>
        <w:t>and</w:t>
      </w:r>
      <w:r>
        <w:rPr>
          <w:spacing w:val="40"/>
          <w:sz w:val="21"/>
        </w:rPr>
        <w:t> </w:t>
      </w:r>
      <w:r>
        <w:rPr>
          <w:sz w:val="21"/>
        </w:rPr>
        <w:t>proper</w:t>
      </w:r>
      <w:r>
        <w:rPr>
          <w:spacing w:val="40"/>
          <w:sz w:val="21"/>
        </w:rPr>
        <w:t> </w:t>
      </w:r>
      <w:r>
        <w:rPr>
          <w:sz w:val="21"/>
        </w:rPr>
        <w:t>direction</w:t>
      </w:r>
      <w:r>
        <w:rPr>
          <w:spacing w:val="40"/>
          <w:sz w:val="21"/>
        </w:rPr>
        <w:t> </w:t>
      </w:r>
      <w:r>
        <w:rPr>
          <w:sz w:val="21"/>
        </w:rPr>
        <w:t>of</w:t>
      </w:r>
      <w:r>
        <w:rPr>
          <w:spacing w:val="40"/>
          <w:sz w:val="21"/>
        </w:rPr>
        <w:t> </w:t>
      </w:r>
      <w:r>
        <w:rPr>
          <w:sz w:val="21"/>
        </w:rPr>
        <w:t>the</w:t>
      </w:r>
      <w:r>
        <w:rPr>
          <w:spacing w:val="40"/>
          <w:sz w:val="21"/>
        </w:rPr>
        <w:t> </w:t>
      </w:r>
      <w:r>
        <w:rPr>
          <w:sz w:val="21"/>
        </w:rPr>
        <w:t>Chief Executive Officer or the Board, or (F) any conduct (whether or not listed in (A) through (E) of this paragraph) by the Employee, whether</w:t>
      </w:r>
      <w:r>
        <w:rPr>
          <w:spacing w:val="25"/>
          <w:sz w:val="21"/>
        </w:rPr>
        <w:t> </w:t>
      </w:r>
      <w:r>
        <w:rPr>
          <w:sz w:val="21"/>
        </w:rPr>
        <w:t>or</w:t>
      </w:r>
      <w:r>
        <w:rPr>
          <w:spacing w:val="25"/>
          <w:sz w:val="21"/>
        </w:rPr>
        <w:t> </w:t>
      </w:r>
      <w:r>
        <w:rPr>
          <w:sz w:val="21"/>
        </w:rPr>
        <w:t>not</w:t>
      </w:r>
      <w:r>
        <w:rPr>
          <w:spacing w:val="25"/>
          <w:sz w:val="21"/>
        </w:rPr>
        <w:t> </w:t>
      </w:r>
      <w:r>
        <w:rPr>
          <w:sz w:val="21"/>
        </w:rPr>
        <w:t>in</w:t>
      </w:r>
      <w:r>
        <w:rPr>
          <w:spacing w:val="25"/>
          <w:sz w:val="21"/>
        </w:rPr>
        <w:t> </w:t>
      </w:r>
      <w:r>
        <w:rPr>
          <w:sz w:val="21"/>
        </w:rPr>
        <w:t>the</w:t>
      </w:r>
      <w:r>
        <w:rPr>
          <w:spacing w:val="25"/>
          <w:sz w:val="21"/>
        </w:rPr>
        <w:t> </w:t>
      </w:r>
      <w:r>
        <w:rPr>
          <w:sz w:val="21"/>
        </w:rPr>
        <w:t>course</w:t>
      </w:r>
      <w:r>
        <w:rPr>
          <w:spacing w:val="25"/>
          <w:sz w:val="21"/>
        </w:rPr>
        <w:t> </w:t>
      </w:r>
      <w:r>
        <w:rPr>
          <w:sz w:val="21"/>
        </w:rPr>
        <w:t>of</w:t>
      </w:r>
      <w:r>
        <w:rPr>
          <w:spacing w:val="25"/>
          <w:sz w:val="21"/>
        </w:rPr>
        <w:t> </w:t>
      </w:r>
      <w:r>
        <w:rPr>
          <w:sz w:val="21"/>
        </w:rPr>
        <w:t>performing</w:t>
      </w:r>
      <w:r>
        <w:rPr>
          <w:spacing w:val="25"/>
          <w:sz w:val="21"/>
        </w:rPr>
        <w:t> </w:t>
      </w:r>
      <w:r>
        <w:rPr>
          <w:sz w:val="21"/>
        </w:rPr>
        <w:t>the</w:t>
      </w:r>
      <w:r>
        <w:rPr>
          <w:spacing w:val="25"/>
          <w:sz w:val="21"/>
        </w:rPr>
        <w:t> </w:t>
      </w:r>
      <w:r>
        <w:rPr>
          <w:sz w:val="21"/>
        </w:rPr>
        <w:t>Employee’s</w:t>
      </w:r>
      <w:r>
        <w:rPr>
          <w:spacing w:val="25"/>
          <w:sz w:val="21"/>
        </w:rPr>
        <w:t> </w:t>
      </w:r>
      <w:r>
        <w:rPr>
          <w:sz w:val="21"/>
        </w:rPr>
        <w:t>responsibilities</w:t>
      </w:r>
      <w:r>
        <w:rPr>
          <w:spacing w:val="25"/>
          <w:sz w:val="21"/>
        </w:rPr>
        <w:t> </w:t>
      </w:r>
      <w:r>
        <w:rPr>
          <w:sz w:val="21"/>
        </w:rPr>
        <w:t>to</w:t>
      </w:r>
      <w:r>
        <w:rPr>
          <w:spacing w:val="25"/>
          <w:sz w:val="21"/>
        </w:rPr>
        <w:t> </w:t>
      </w:r>
      <w:r>
        <w:rPr>
          <w:sz w:val="21"/>
        </w:rPr>
        <w:t>the</w:t>
      </w:r>
      <w:r>
        <w:rPr>
          <w:spacing w:val="25"/>
          <w:sz w:val="21"/>
        </w:rPr>
        <w:t> </w:t>
      </w:r>
      <w:r>
        <w:rPr>
          <w:sz w:val="21"/>
        </w:rPr>
        <w:t>Company,</w:t>
      </w:r>
      <w:r>
        <w:rPr>
          <w:spacing w:val="25"/>
          <w:sz w:val="21"/>
        </w:rPr>
        <w:t> </w:t>
      </w:r>
      <w:r>
        <w:rPr>
          <w:sz w:val="21"/>
        </w:rPr>
        <w:t>that</w:t>
      </w:r>
      <w:r>
        <w:rPr>
          <w:spacing w:val="25"/>
          <w:sz w:val="21"/>
        </w:rPr>
        <w:t> </w:t>
      </w:r>
      <w:r>
        <w:rPr>
          <w:sz w:val="21"/>
        </w:rPr>
        <w:t>has</w:t>
      </w:r>
      <w:r>
        <w:rPr>
          <w:spacing w:val="25"/>
          <w:sz w:val="21"/>
        </w:rPr>
        <w:t> </w:t>
      </w:r>
      <w:r>
        <w:rPr>
          <w:sz w:val="21"/>
        </w:rPr>
        <w:t>or</w:t>
      </w:r>
      <w:r>
        <w:rPr>
          <w:spacing w:val="25"/>
          <w:sz w:val="21"/>
        </w:rPr>
        <w:t> </w:t>
      </w:r>
      <w:r>
        <w:rPr>
          <w:sz w:val="21"/>
        </w:rPr>
        <w:t>is</w:t>
      </w:r>
      <w:r>
        <w:rPr>
          <w:spacing w:val="25"/>
          <w:sz w:val="21"/>
        </w:rPr>
        <w:t> </w:t>
      </w:r>
      <w:r>
        <w:rPr>
          <w:sz w:val="21"/>
        </w:rPr>
        <w:t>reasonably</w:t>
      </w:r>
      <w:r>
        <w:rPr>
          <w:spacing w:val="25"/>
          <w:sz w:val="21"/>
        </w:rPr>
        <w:t> </w:t>
      </w:r>
      <w:r>
        <w:rPr>
          <w:sz w:val="21"/>
        </w:rPr>
        <w:t>likely</w:t>
      </w:r>
      <w:r>
        <w:rPr>
          <w:spacing w:val="25"/>
          <w:sz w:val="21"/>
        </w:rPr>
        <w:t> </w:t>
      </w:r>
      <w:r>
        <w:rPr>
          <w:sz w:val="21"/>
        </w:rPr>
        <w:t>to have</w:t>
      </w:r>
      <w:r>
        <w:rPr>
          <w:spacing w:val="34"/>
          <w:sz w:val="21"/>
        </w:rPr>
        <w:t> </w:t>
      </w:r>
      <w:r>
        <w:rPr>
          <w:sz w:val="21"/>
        </w:rPr>
        <w:t>a</w:t>
      </w:r>
      <w:r>
        <w:rPr>
          <w:spacing w:val="34"/>
          <w:sz w:val="21"/>
        </w:rPr>
        <w:t> </w:t>
      </w:r>
      <w:r>
        <w:rPr>
          <w:sz w:val="21"/>
        </w:rPr>
        <w:t>material</w:t>
      </w:r>
      <w:r>
        <w:rPr>
          <w:spacing w:val="34"/>
          <w:sz w:val="21"/>
        </w:rPr>
        <w:t> </w:t>
      </w:r>
      <w:r>
        <w:rPr>
          <w:sz w:val="21"/>
        </w:rPr>
        <w:t>adverse</w:t>
      </w:r>
      <w:r>
        <w:rPr>
          <w:spacing w:val="34"/>
          <w:sz w:val="21"/>
        </w:rPr>
        <w:t> </w:t>
      </w:r>
      <w:r>
        <w:rPr>
          <w:sz w:val="21"/>
        </w:rPr>
        <w:t>effect</w:t>
      </w:r>
      <w:r>
        <w:rPr>
          <w:spacing w:val="34"/>
          <w:sz w:val="21"/>
        </w:rPr>
        <w:t> </w:t>
      </w:r>
      <w:r>
        <w:rPr>
          <w:sz w:val="21"/>
        </w:rPr>
        <w:t>on</w:t>
      </w:r>
      <w:r>
        <w:rPr>
          <w:spacing w:val="34"/>
          <w:sz w:val="21"/>
        </w:rPr>
        <w:t> </w:t>
      </w:r>
      <w:r>
        <w:rPr>
          <w:sz w:val="21"/>
        </w:rPr>
        <w:t>the</w:t>
      </w:r>
      <w:r>
        <w:rPr>
          <w:spacing w:val="34"/>
          <w:sz w:val="21"/>
        </w:rPr>
        <w:t> </w:t>
      </w:r>
      <w:r>
        <w:rPr>
          <w:sz w:val="21"/>
        </w:rPr>
        <w:t>business,</w:t>
      </w:r>
      <w:r>
        <w:rPr>
          <w:spacing w:val="34"/>
          <w:sz w:val="21"/>
        </w:rPr>
        <w:t> </w:t>
      </w:r>
      <w:r>
        <w:rPr>
          <w:sz w:val="21"/>
        </w:rPr>
        <w:t>assets</w:t>
      </w:r>
      <w:r>
        <w:rPr>
          <w:spacing w:val="34"/>
          <w:sz w:val="21"/>
        </w:rPr>
        <w:t> </w:t>
      </w:r>
      <w:r>
        <w:rPr>
          <w:sz w:val="21"/>
        </w:rPr>
        <w:t>or</w:t>
      </w:r>
      <w:r>
        <w:rPr>
          <w:spacing w:val="34"/>
          <w:sz w:val="21"/>
        </w:rPr>
        <w:t> </w:t>
      </w:r>
      <w:r>
        <w:rPr>
          <w:sz w:val="21"/>
        </w:rPr>
        <w:t>reputation</w:t>
      </w:r>
      <w:r>
        <w:rPr>
          <w:spacing w:val="34"/>
          <w:sz w:val="21"/>
        </w:rPr>
        <w:t> </w:t>
      </w:r>
      <w:r>
        <w:rPr>
          <w:sz w:val="21"/>
        </w:rPr>
        <w:t>of</w:t>
      </w:r>
      <w:r>
        <w:rPr>
          <w:spacing w:val="34"/>
          <w:sz w:val="21"/>
        </w:rPr>
        <w:t> </w:t>
      </w:r>
      <w:r>
        <w:rPr>
          <w:sz w:val="21"/>
        </w:rPr>
        <w:t>the</w:t>
      </w:r>
      <w:r>
        <w:rPr>
          <w:spacing w:val="34"/>
          <w:sz w:val="21"/>
        </w:rPr>
        <w:t> </w:t>
      </w:r>
      <w:r>
        <w:rPr>
          <w:sz w:val="21"/>
        </w:rPr>
        <w:t>Company;</w:t>
      </w:r>
      <w:r>
        <w:rPr>
          <w:spacing w:val="34"/>
          <w:sz w:val="21"/>
        </w:rPr>
        <w:t> </w:t>
      </w:r>
      <w:r>
        <w:rPr>
          <w:sz w:val="21"/>
        </w:rPr>
        <w:t>in</w:t>
      </w:r>
      <w:r>
        <w:rPr>
          <w:spacing w:val="34"/>
          <w:sz w:val="21"/>
        </w:rPr>
        <w:t> </w:t>
      </w:r>
      <w:r>
        <w:rPr>
          <w:sz w:val="21"/>
        </w:rPr>
        <w:t>the</w:t>
      </w:r>
      <w:r>
        <w:rPr>
          <w:spacing w:val="34"/>
          <w:sz w:val="21"/>
        </w:rPr>
        <w:t> </w:t>
      </w:r>
      <w:r>
        <w:rPr>
          <w:sz w:val="21"/>
        </w:rPr>
        <w:t>cases</w:t>
      </w:r>
      <w:r>
        <w:rPr>
          <w:spacing w:val="34"/>
          <w:sz w:val="21"/>
        </w:rPr>
        <w:t> </w:t>
      </w:r>
      <w:r>
        <w:rPr>
          <w:sz w:val="21"/>
        </w:rPr>
        <w:t>of</w:t>
      </w:r>
      <w:r>
        <w:rPr>
          <w:spacing w:val="34"/>
          <w:sz w:val="21"/>
        </w:rPr>
        <w:t> </w:t>
      </w:r>
      <w:r>
        <w:rPr>
          <w:sz w:val="21"/>
        </w:rPr>
        <w:t>each</w:t>
      </w:r>
      <w:r>
        <w:rPr>
          <w:spacing w:val="34"/>
          <w:sz w:val="21"/>
        </w:rPr>
        <w:t> </w:t>
      </w:r>
      <w:r>
        <w:rPr>
          <w:sz w:val="21"/>
        </w:rPr>
        <w:t>of</w:t>
      </w:r>
      <w:r>
        <w:rPr>
          <w:spacing w:val="34"/>
          <w:sz w:val="21"/>
        </w:rPr>
        <w:t> </w:t>
      </w:r>
      <w:r>
        <w:rPr>
          <w:sz w:val="21"/>
        </w:rPr>
        <w:t>(C)</w:t>
      </w:r>
      <w:r>
        <w:rPr>
          <w:spacing w:val="34"/>
          <w:sz w:val="21"/>
        </w:rPr>
        <w:t> </w:t>
      </w:r>
      <w:r>
        <w:rPr>
          <w:sz w:val="21"/>
        </w:rPr>
        <w:t>through</w:t>
      </w:r>
      <w:r>
        <w:rPr>
          <w:spacing w:val="34"/>
          <w:sz w:val="21"/>
        </w:rPr>
        <w:t> </w:t>
      </w:r>
      <w:r>
        <w:rPr>
          <w:sz w:val="21"/>
        </w:rPr>
        <w:t>(F) above, that, if curable, is not cured by the Employee within thirty (30) days following the Employee’s receipt of written notice given to the Employee by the Company; or</w:t>
      </w:r>
    </w:p>
    <w:p>
      <w:pPr>
        <w:spacing w:line="213" w:lineRule="auto" w:before="15"/>
        <w:ind w:left="468" w:right="221" w:firstLine="0"/>
        <w:jc w:val="both"/>
        <w:rPr>
          <w:sz w:val="21"/>
        </w:rPr>
      </w:pPr>
      <w:r>
        <w:rPr>
          <w:sz w:val="21"/>
        </w:rPr>
        <w:t>(2) Employee’s failure or inability to satisfy the requirements stated in Section 6 above. Employer further reserves the sole and absolute discretion to determine Employee’s failure or inability to satisfy the requirements stated in Section 6 above, which discretion</w:t>
      </w:r>
      <w:r>
        <w:rPr>
          <w:spacing w:val="40"/>
          <w:sz w:val="21"/>
        </w:rPr>
        <w:t> </w:t>
      </w:r>
      <w:r>
        <w:rPr>
          <w:sz w:val="21"/>
        </w:rPr>
        <w:t>will</w:t>
      </w:r>
      <w:r>
        <w:rPr>
          <w:spacing w:val="40"/>
          <w:sz w:val="21"/>
        </w:rPr>
        <w:t> </w:t>
      </w:r>
      <w:r>
        <w:rPr>
          <w:sz w:val="21"/>
        </w:rPr>
        <w:t>be</w:t>
      </w:r>
      <w:r>
        <w:rPr>
          <w:spacing w:val="40"/>
          <w:sz w:val="21"/>
        </w:rPr>
        <w:t> </w:t>
      </w:r>
      <w:r>
        <w:rPr>
          <w:sz w:val="21"/>
        </w:rPr>
        <w:t>exercised</w:t>
      </w:r>
      <w:r>
        <w:rPr>
          <w:spacing w:val="40"/>
          <w:sz w:val="21"/>
        </w:rPr>
        <w:t> </w:t>
      </w:r>
      <w:r>
        <w:rPr>
          <w:sz w:val="21"/>
        </w:rPr>
        <w:t>lawfully</w:t>
      </w:r>
      <w:r>
        <w:rPr>
          <w:spacing w:val="40"/>
          <w:sz w:val="21"/>
        </w:rPr>
        <w:t> </w:t>
      </w:r>
      <w:r>
        <w:rPr>
          <w:sz w:val="21"/>
        </w:rPr>
        <w:t>and</w:t>
      </w:r>
      <w:r>
        <w:rPr>
          <w:spacing w:val="40"/>
          <w:sz w:val="21"/>
        </w:rPr>
        <w:t> </w:t>
      </w:r>
      <w:r>
        <w:rPr>
          <w:sz w:val="21"/>
        </w:rPr>
        <w:t>in</w:t>
      </w:r>
      <w:r>
        <w:rPr>
          <w:spacing w:val="40"/>
          <w:sz w:val="21"/>
        </w:rPr>
        <w:t> </w:t>
      </w:r>
      <w:r>
        <w:rPr>
          <w:sz w:val="21"/>
        </w:rPr>
        <w:t>good</w:t>
      </w:r>
      <w:r>
        <w:rPr>
          <w:spacing w:val="40"/>
          <w:sz w:val="21"/>
        </w:rPr>
        <w:t> </w:t>
      </w:r>
      <w:r>
        <w:rPr>
          <w:sz w:val="21"/>
        </w:rPr>
        <w:t>faith.</w:t>
      </w:r>
      <w:r>
        <w:rPr>
          <w:spacing w:val="40"/>
          <w:sz w:val="21"/>
        </w:rPr>
        <w:t> </w:t>
      </w:r>
      <w:r>
        <w:rPr>
          <w:sz w:val="21"/>
        </w:rPr>
        <w:t>Upon</w:t>
      </w:r>
      <w:r>
        <w:rPr>
          <w:spacing w:val="40"/>
          <w:sz w:val="21"/>
        </w:rPr>
        <w:t> </w:t>
      </w:r>
      <w:r>
        <w:rPr>
          <w:sz w:val="21"/>
        </w:rPr>
        <w:t>Employer’s</w:t>
      </w:r>
      <w:r>
        <w:rPr>
          <w:spacing w:val="40"/>
          <w:sz w:val="21"/>
        </w:rPr>
        <w:t> </w:t>
      </w:r>
      <w:r>
        <w:rPr>
          <w:sz w:val="21"/>
        </w:rPr>
        <w:t>Good</w:t>
      </w:r>
      <w:r>
        <w:rPr>
          <w:spacing w:val="40"/>
          <w:sz w:val="21"/>
        </w:rPr>
        <w:t> </w:t>
      </w:r>
      <w:r>
        <w:rPr>
          <w:sz w:val="21"/>
        </w:rPr>
        <w:t>Cause</w:t>
      </w:r>
      <w:r>
        <w:rPr>
          <w:spacing w:val="40"/>
          <w:sz w:val="21"/>
        </w:rPr>
        <w:t> </w:t>
      </w:r>
      <w:r>
        <w:rPr>
          <w:sz w:val="21"/>
        </w:rPr>
        <w:t>termination,</w:t>
      </w:r>
      <w:r>
        <w:rPr>
          <w:spacing w:val="40"/>
          <w:sz w:val="21"/>
        </w:rPr>
        <w:t> </w:t>
      </w:r>
      <w:r>
        <w:rPr>
          <w:sz w:val="21"/>
        </w:rPr>
        <w:t>Employer</w:t>
      </w:r>
      <w:r>
        <w:rPr>
          <w:spacing w:val="40"/>
          <w:sz w:val="21"/>
        </w:rPr>
        <w:t> </w:t>
      </w:r>
      <w:r>
        <w:rPr>
          <w:sz w:val="21"/>
        </w:rPr>
        <w:t>shall</w:t>
      </w:r>
      <w:r>
        <w:rPr>
          <w:spacing w:val="40"/>
          <w:sz w:val="21"/>
        </w:rPr>
        <w:t> </w:t>
      </w:r>
      <w:r>
        <w:rPr>
          <w:sz w:val="21"/>
        </w:rPr>
        <w:t>have</w:t>
      </w:r>
      <w:r>
        <w:rPr>
          <w:spacing w:val="40"/>
          <w:sz w:val="21"/>
        </w:rPr>
        <w:t> </w:t>
      </w:r>
      <w:r>
        <w:rPr>
          <w:sz w:val="21"/>
        </w:rPr>
        <w:t>no further</w:t>
      </w:r>
      <w:r>
        <w:rPr>
          <w:spacing w:val="24"/>
          <w:sz w:val="21"/>
        </w:rPr>
        <w:t> </w:t>
      </w:r>
      <w:r>
        <w:rPr>
          <w:sz w:val="21"/>
        </w:rPr>
        <w:t>liability</w:t>
      </w:r>
      <w:r>
        <w:rPr>
          <w:spacing w:val="24"/>
          <w:sz w:val="21"/>
        </w:rPr>
        <w:t> </w:t>
      </w:r>
      <w:r>
        <w:rPr>
          <w:sz w:val="21"/>
        </w:rPr>
        <w:t>or</w:t>
      </w:r>
      <w:r>
        <w:rPr>
          <w:spacing w:val="24"/>
          <w:sz w:val="21"/>
        </w:rPr>
        <w:t> </w:t>
      </w:r>
      <w:r>
        <w:rPr>
          <w:sz w:val="21"/>
        </w:rPr>
        <w:t>obligations</w:t>
      </w:r>
      <w:r>
        <w:rPr>
          <w:spacing w:val="24"/>
          <w:sz w:val="21"/>
        </w:rPr>
        <w:t> </w:t>
      </w:r>
      <w:r>
        <w:rPr>
          <w:sz w:val="21"/>
        </w:rPr>
        <w:t>whatsoever</w:t>
      </w:r>
      <w:r>
        <w:rPr>
          <w:spacing w:val="24"/>
          <w:sz w:val="21"/>
        </w:rPr>
        <w:t> </w:t>
      </w:r>
      <w:r>
        <w:rPr>
          <w:sz w:val="21"/>
        </w:rPr>
        <w:t>to</w:t>
      </w:r>
      <w:r>
        <w:rPr>
          <w:spacing w:val="24"/>
          <w:sz w:val="21"/>
        </w:rPr>
        <w:t> </w:t>
      </w:r>
      <w:r>
        <w:rPr>
          <w:sz w:val="21"/>
        </w:rPr>
        <w:t>Employee</w:t>
      </w:r>
      <w:r>
        <w:rPr>
          <w:spacing w:val="24"/>
          <w:sz w:val="21"/>
        </w:rPr>
        <w:t> </w:t>
      </w:r>
      <w:r>
        <w:rPr>
          <w:sz w:val="21"/>
        </w:rPr>
        <w:t>under</w:t>
      </w:r>
      <w:r>
        <w:rPr>
          <w:spacing w:val="24"/>
          <w:sz w:val="21"/>
        </w:rPr>
        <w:t> </w:t>
      </w:r>
      <w:r>
        <w:rPr>
          <w:sz w:val="21"/>
        </w:rPr>
        <w:t>this Agreement</w:t>
      </w:r>
      <w:r>
        <w:rPr>
          <w:spacing w:val="24"/>
          <w:sz w:val="21"/>
        </w:rPr>
        <w:t> </w:t>
      </w:r>
      <w:r>
        <w:rPr>
          <w:sz w:val="21"/>
        </w:rPr>
        <w:t>except</w:t>
      </w:r>
      <w:r>
        <w:rPr>
          <w:spacing w:val="24"/>
          <w:sz w:val="21"/>
        </w:rPr>
        <w:t> </w:t>
      </w:r>
      <w:r>
        <w:rPr>
          <w:sz w:val="21"/>
        </w:rPr>
        <w:t>as</w:t>
      </w:r>
      <w:r>
        <w:rPr>
          <w:spacing w:val="24"/>
          <w:sz w:val="21"/>
        </w:rPr>
        <w:t> </w:t>
      </w:r>
      <w:r>
        <w:rPr>
          <w:sz w:val="21"/>
        </w:rPr>
        <w:t>expressly</w:t>
      </w:r>
      <w:r>
        <w:rPr>
          <w:spacing w:val="24"/>
          <w:sz w:val="21"/>
        </w:rPr>
        <w:t> </w:t>
      </w:r>
      <w:r>
        <w:rPr>
          <w:sz w:val="21"/>
        </w:rPr>
        <w:t>described</w:t>
      </w:r>
      <w:r>
        <w:rPr>
          <w:spacing w:val="24"/>
          <w:sz w:val="21"/>
        </w:rPr>
        <w:t> </w:t>
      </w:r>
      <w:r>
        <w:rPr>
          <w:sz w:val="21"/>
        </w:rPr>
        <w:t>at</w:t>
      </w:r>
      <w:r>
        <w:rPr>
          <w:spacing w:val="24"/>
          <w:sz w:val="21"/>
        </w:rPr>
        <w:t> </w:t>
      </w:r>
      <w:r>
        <w:rPr>
          <w:sz w:val="21"/>
        </w:rPr>
        <w:t>the</w:t>
      </w:r>
      <w:r>
        <w:rPr>
          <w:spacing w:val="24"/>
          <w:sz w:val="21"/>
        </w:rPr>
        <w:t> </w:t>
      </w:r>
      <w:r>
        <w:rPr>
          <w:sz w:val="21"/>
        </w:rPr>
        <w:t>beginning</w:t>
      </w:r>
      <w:r>
        <w:rPr>
          <w:spacing w:val="24"/>
          <w:sz w:val="21"/>
        </w:rPr>
        <w:t> </w:t>
      </w:r>
      <w:r>
        <w:rPr>
          <w:sz w:val="21"/>
        </w:rPr>
        <w:t>of this Section 10.</w:t>
      </w:r>
    </w:p>
    <w:p>
      <w:pPr>
        <w:pStyle w:val="ListParagraph"/>
        <w:numPr>
          <w:ilvl w:val="1"/>
          <w:numId w:val="55"/>
        </w:numPr>
        <w:tabs>
          <w:tab w:pos="920" w:val="left" w:leader="none"/>
        </w:tabs>
        <w:spacing w:line="213" w:lineRule="auto" w:before="222" w:after="0"/>
        <w:ind w:left="468" w:right="221" w:firstLine="0"/>
        <w:jc w:val="both"/>
        <w:rPr>
          <w:sz w:val="21"/>
        </w:rPr>
      </w:pPr>
      <w:r>
        <w:rPr>
          <w:sz w:val="21"/>
          <w:u w:val="single"/>
        </w:rPr>
        <w:t>Termination</w:t>
      </w:r>
      <w:r>
        <w:rPr>
          <w:spacing w:val="37"/>
          <w:sz w:val="21"/>
          <w:u w:val="single"/>
        </w:rPr>
        <w:t> </w:t>
      </w:r>
      <w:r>
        <w:rPr>
          <w:sz w:val="21"/>
          <w:u w:val="single"/>
        </w:rPr>
        <w:t>Due</w:t>
      </w:r>
      <w:r>
        <w:rPr>
          <w:spacing w:val="37"/>
          <w:sz w:val="21"/>
          <w:u w:val="single"/>
        </w:rPr>
        <w:t> </w:t>
      </w:r>
      <w:r>
        <w:rPr>
          <w:sz w:val="21"/>
          <w:u w:val="single"/>
        </w:rPr>
        <w:t>to</w:t>
      </w:r>
      <w:r>
        <w:rPr>
          <w:spacing w:val="37"/>
          <w:sz w:val="21"/>
          <w:u w:val="single"/>
        </w:rPr>
        <w:t> </w:t>
      </w:r>
      <w:r>
        <w:rPr>
          <w:sz w:val="21"/>
          <w:u w:val="single"/>
        </w:rPr>
        <w:t>Employee’s</w:t>
      </w:r>
      <w:r>
        <w:rPr>
          <w:spacing w:val="37"/>
          <w:sz w:val="21"/>
          <w:u w:val="single"/>
        </w:rPr>
        <w:t> </w:t>
      </w:r>
      <w:r>
        <w:rPr>
          <w:sz w:val="21"/>
          <w:u w:val="single"/>
        </w:rPr>
        <w:t>Death</w:t>
      </w:r>
      <w:r>
        <w:rPr>
          <w:sz w:val="21"/>
        </w:rPr>
        <w:t>.</w:t>
      </w:r>
      <w:r>
        <w:rPr>
          <w:spacing w:val="37"/>
          <w:sz w:val="21"/>
        </w:rPr>
        <w:t> </w:t>
      </w:r>
      <w:r>
        <w:rPr>
          <w:sz w:val="21"/>
        </w:rPr>
        <w:t>In</w:t>
      </w:r>
      <w:r>
        <w:rPr>
          <w:spacing w:val="37"/>
          <w:sz w:val="21"/>
        </w:rPr>
        <w:t> </w:t>
      </w:r>
      <w:r>
        <w:rPr>
          <w:sz w:val="21"/>
        </w:rPr>
        <w:t>the</w:t>
      </w:r>
      <w:r>
        <w:rPr>
          <w:spacing w:val="37"/>
          <w:sz w:val="21"/>
        </w:rPr>
        <w:t> </w:t>
      </w:r>
      <w:r>
        <w:rPr>
          <w:sz w:val="21"/>
        </w:rPr>
        <w:t>event</w:t>
      </w:r>
      <w:r>
        <w:rPr>
          <w:spacing w:val="37"/>
          <w:sz w:val="21"/>
        </w:rPr>
        <w:t> </w:t>
      </w:r>
      <w:r>
        <w:rPr>
          <w:sz w:val="21"/>
        </w:rPr>
        <w:t>Employee’s</w:t>
      </w:r>
      <w:r>
        <w:rPr>
          <w:spacing w:val="37"/>
          <w:sz w:val="21"/>
        </w:rPr>
        <w:t> </w:t>
      </w:r>
      <w:r>
        <w:rPr>
          <w:sz w:val="21"/>
        </w:rPr>
        <w:t>employment</w:t>
      </w:r>
      <w:r>
        <w:rPr>
          <w:spacing w:val="37"/>
          <w:sz w:val="21"/>
        </w:rPr>
        <w:t> </w:t>
      </w:r>
      <w:r>
        <w:rPr>
          <w:sz w:val="21"/>
        </w:rPr>
        <w:t>is</w:t>
      </w:r>
      <w:r>
        <w:rPr>
          <w:spacing w:val="37"/>
          <w:sz w:val="21"/>
        </w:rPr>
        <w:t> </w:t>
      </w:r>
      <w:r>
        <w:rPr>
          <w:sz w:val="21"/>
        </w:rPr>
        <w:t>terminated</w:t>
      </w:r>
      <w:r>
        <w:rPr>
          <w:spacing w:val="37"/>
          <w:sz w:val="21"/>
        </w:rPr>
        <w:t> </w:t>
      </w:r>
      <w:r>
        <w:rPr>
          <w:sz w:val="21"/>
        </w:rPr>
        <w:t>as</w:t>
      </w:r>
      <w:r>
        <w:rPr>
          <w:spacing w:val="37"/>
          <w:sz w:val="21"/>
        </w:rPr>
        <w:t> </w:t>
      </w:r>
      <w:r>
        <w:rPr>
          <w:sz w:val="21"/>
        </w:rPr>
        <w:t>the</w:t>
      </w:r>
      <w:r>
        <w:rPr>
          <w:spacing w:val="37"/>
          <w:sz w:val="21"/>
        </w:rPr>
        <w:t> </w:t>
      </w:r>
      <w:r>
        <w:rPr>
          <w:sz w:val="21"/>
        </w:rPr>
        <w:t>result</w:t>
      </w:r>
      <w:r>
        <w:rPr>
          <w:spacing w:val="37"/>
          <w:sz w:val="21"/>
        </w:rPr>
        <w:t> </w:t>
      </w:r>
      <w:r>
        <w:rPr>
          <w:sz w:val="21"/>
        </w:rPr>
        <w:t>of</w:t>
      </w:r>
      <w:r>
        <w:rPr>
          <w:spacing w:val="37"/>
          <w:sz w:val="21"/>
        </w:rPr>
        <w:t> </w:t>
      </w:r>
      <w:r>
        <w:rPr>
          <w:sz w:val="21"/>
        </w:rPr>
        <w:t>Employee’s death during the Specified Term, Employee’s beneficiary (as designated by Employee on Employer’s benefit records) shall be entitled to receive Employee’s salary for a twelve (12) month period (less taxes and withholding), such amount to be paid as a</w:t>
      </w:r>
      <w:r>
        <w:rPr>
          <w:spacing w:val="80"/>
          <w:sz w:val="21"/>
        </w:rPr>
        <w:t> </w:t>
      </w:r>
      <w:r>
        <w:rPr>
          <w:sz w:val="21"/>
        </w:rPr>
        <w:t>lump</w:t>
      </w:r>
      <w:r>
        <w:rPr>
          <w:spacing w:val="40"/>
          <w:sz w:val="21"/>
        </w:rPr>
        <w:t> </w:t>
      </w:r>
      <w:r>
        <w:rPr>
          <w:sz w:val="21"/>
        </w:rPr>
        <w:t>sum</w:t>
      </w:r>
      <w:r>
        <w:rPr>
          <w:spacing w:val="40"/>
          <w:sz w:val="21"/>
        </w:rPr>
        <w:t> </w:t>
      </w:r>
      <w:r>
        <w:rPr>
          <w:sz w:val="21"/>
        </w:rPr>
        <w:t>within</w:t>
      </w:r>
      <w:r>
        <w:rPr>
          <w:spacing w:val="40"/>
          <w:sz w:val="21"/>
        </w:rPr>
        <w:t> </w:t>
      </w:r>
      <w:r>
        <w:rPr>
          <w:sz w:val="21"/>
        </w:rPr>
        <w:t>thirty</w:t>
      </w:r>
      <w:r>
        <w:rPr>
          <w:spacing w:val="40"/>
          <w:sz w:val="21"/>
        </w:rPr>
        <w:t> </w:t>
      </w:r>
      <w:r>
        <w:rPr>
          <w:sz w:val="21"/>
        </w:rPr>
        <w:t>(30)</w:t>
      </w:r>
      <w:r>
        <w:rPr>
          <w:spacing w:val="40"/>
          <w:sz w:val="21"/>
        </w:rPr>
        <w:t> </w:t>
      </w:r>
      <w:r>
        <w:rPr>
          <w:sz w:val="21"/>
        </w:rPr>
        <w:t>days</w:t>
      </w:r>
      <w:r>
        <w:rPr>
          <w:spacing w:val="40"/>
          <w:sz w:val="21"/>
        </w:rPr>
        <w:t> </w:t>
      </w:r>
      <w:r>
        <w:rPr>
          <w:sz w:val="21"/>
        </w:rPr>
        <w:t>of</w:t>
      </w:r>
      <w:r>
        <w:rPr>
          <w:spacing w:val="40"/>
          <w:sz w:val="21"/>
        </w:rPr>
        <w:t> </w:t>
      </w:r>
      <w:r>
        <w:rPr>
          <w:sz w:val="21"/>
        </w:rPr>
        <w:t>Employee’s</w:t>
      </w:r>
      <w:r>
        <w:rPr>
          <w:spacing w:val="40"/>
          <w:sz w:val="21"/>
        </w:rPr>
        <w:t> </w:t>
      </w:r>
      <w:r>
        <w:rPr>
          <w:sz w:val="21"/>
        </w:rPr>
        <w:t>termination</w:t>
      </w:r>
      <w:r>
        <w:rPr>
          <w:spacing w:val="40"/>
          <w:sz w:val="21"/>
        </w:rPr>
        <w:t> </w:t>
      </w:r>
      <w:r>
        <w:rPr>
          <w:sz w:val="21"/>
        </w:rPr>
        <w:t>date.</w:t>
      </w:r>
      <w:r>
        <w:rPr>
          <w:spacing w:val="40"/>
          <w:sz w:val="21"/>
        </w:rPr>
        <w:t> </w:t>
      </w:r>
      <w:r>
        <w:rPr>
          <w:sz w:val="21"/>
        </w:rPr>
        <w:t>Employer</w:t>
      </w:r>
      <w:r>
        <w:rPr>
          <w:spacing w:val="40"/>
          <w:sz w:val="21"/>
        </w:rPr>
        <w:t> </w:t>
      </w:r>
      <w:r>
        <w:rPr>
          <w:sz w:val="21"/>
        </w:rPr>
        <w:t>shall</w:t>
      </w:r>
      <w:r>
        <w:rPr>
          <w:spacing w:val="40"/>
          <w:sz w:val="21"/>
        </w:rPr>
        <w:t> </w:t>
      </w:r>
      <w:r>
        <w:rPr>
          <w:sz w:val="21"/>
        </w:rPr>
        <w:t>also</w:t>
      </w:r>
      <w:r>
        <w:rPr>
          <w:spacing w:val="40"/>
          <w:sz w:val="21"/>
        </w:rPr>
        <w:t> </w:t>
      </w:r>
      <w:r>
        <w:rPr>
          <w:sz w:val="21"/>
        </w:rPr>
        <w:t>pay</w:t>
      </w:r>
      <w:r>
        <w:rPr>
          <w:spacing w:val="40"/>
          <w:sz w:val="21"/>
        </w:rPr>
        <w:t> </w:t>
      </w:r>
      <w:r>
        <w:rPr>
          <w:sz w:val="21"/>
        </w:rPr>
        <w:t>any</w:t>
      </w:r>
      <w:r>
        <w:rPr>
          <w:spacing w:val="40"/>
          <w:sz w:val="21"/>
        </w:rPr>
        <w:t> </w:t>
      </w:r>
      <w:r>
        <w:rPr>
          <w:sz w:val="21"/>
        </w:rPr>
        <w:t>Earned</w:t>
      </w:r>
      <w:r>
        <w:rPr>
          <w:spacing w:val="40"/>
          <w:sz w:val="21"/>
        </w:rPr>
        <w:t> </w:t>
      </w:r>
      <w:r>
        <w:rPr>
          <w:sz w:val="21"/>
        </w:rPr>
        <w:t>Bonus Amount</w:t>
      </w:r>
      <w:r>
        <w:rPr>
          <w:spacing w:val="40"/>
          <w:sz w:val="21"/>
        </w:rPr>
        <w:t> </w:t>
      </w:r>
      <w:r>
        <w:rPr>
          <w:sz w:val="21"/>
        </w:rPr>
        <w:t>(as defined below).</w:t>
      </w:r>
    </w:p>
    <w:p>
      <w:pPr>
        <w:pStyle w:val="ListParagraph"/>
        <w:numPr>
          <w:ilvl w:val="1"/>
          <w:numId w:val="55"/>
        </w:numPr>
        <w:tabs>
          <w:tab w:pos="959" w:val="left" w:leader="none"/>
        </w:tabs>
        <w:spacing w:line="213" w:lineRule="auto" w:before="221" w:after="0"/>
        <w:ind w:left="468" w:right="221" w:firstLine="0"/>
        <w:jc w:val="both"/>
        <w:rPr>
          <w:sz w:val="21"/>
        </w:rPr>
      </w:pPr>
      <w:r>
        <w:rPr>
          <w:sz w:val="21"/>
          <w:u w:val="single"/>
        </w:rPr>
        <w:t>Termination</w:t>
      </w:r>
      <w:r>
        <w:rPr>
          <w:spacing w:val="40"/>
          <w:sz w:val="21"/>
          <w:u w:val="single"/>
        </w:rPr>
        <w:t> </w:t>
      </w:r>
      <w:r>
        <w:rPr>
          <w:sz w:val="21"/>
          <w:u w:val="single"/>
        </w:rPr>
        <w:t>Due</w:t>
      </w:r>
      <w:r>
        <w:rPr>
          <w:spacing w:val="40"/>
          <w:sz w:val="21"/>
          <w:u w:val="single"/>
        </w:rPr>
        <w:t> </w:t>
      </w:r>
      <w:r>
        <w:rPr>
          <w:sz w:val="21"/>
          <w:u w:val="single"/>
        </w:rPr>
        <w:t>to</w:t>
      </w:r>
      <w:r>
        <w:rPr>
          <w:spacing w:val="40"/>
          <w:sz w:val="21"/>
          <w:u w:val="single"/>
        </w:rPr>
        <w:t> </w:t>
      </w:r>
      <w:r>
        <w:rPr>
          <w:sz w:val="21"/>
          <w:u w:val="single"/>
        </w:rPr>
        <w:t>Employee’s</w:t>
      </w:r>
      <w:r>
        <w:rPr>
          <w:spacing w:val="40"/>
          <w:sz w:val="21"/>
          <w:u w:val="single"/>
        </w:rPr>
        <w:t> </w:t>
      </w:r>
      <w:r>
        <w:rPr>
          <w:sz w:val="21"/>
          <w:u w:val="single"/>
        </w:rPr>
        <w:t>Disabili</w:t>
      </w:r>
      <w:r>
        <w:rPr>
          <w:sz w:val="21"/>
        </w:rPr>
        <w:t>ty.</w:t>
      </w:r>
      <w:r>
        <w:rPr>
          <w:spacing w:val="40"/>
          <w:sz w:val="21"/>
        </w:rPr>
        <w:t> </w:t>
      </w:r>
      <w:r>
        <w:rPr>
          <w:sz w:val="21"/>
        </w:rPr>
        <w:t>In</w:t>
      </w:r>
      <w:r>
        <w:rPr>
          <w:spacing w:val="40"/>
          <w:sz w:val="21"/>
        </w:rPr>
        <w:t> </w:t>
      </w:r>
      <w:r>
        <w:rPr>
          <w:sz w:val="21"/>
        </w:rPr>
        <w:t>the</w:t>
      </w:r>
      <w:r>
        <w:rPr>
          <w:spacing w:val="40"/>
          <w:sz w:val="21"/>
        </w:rPr>
        <w:t> </w:t>
      </w:r>
      <w:r>
        <w:rPr>
          <w:sz w:val="21"/>
        </w:rPr>
        <w:t>event</w:t>
      </w:r>
      <w:r>
        <w:rPr>
          <w:spacing w:val="40"/>
          <w:sz w:val="21"/>
        </w:rPr>
        <w:t> </w:t>
      </w:r>
      <w:r>
        <w:rPr>
          <w:sz w:val="21"/>
        </w:rPr>
        <w:t>that</w:t>
      </w:r>
      <w:r>
        <w:rPr>
          <w:spacing w:val="40"/>
          <w:sz w:val="21"/>
        </w:rPr>
        <w:t> </w:t>
      </w:r>
      <w:r>
        <w:rPr>
          <w:sz w:val="21"/>
        </w:rPr>
        <w:t>Employee’s</w:t>
      </w:r>
      <w:r>
        <w:rPr>
          <w:spacing w:val="40"/>
          <w:sz w:val="21"/>
        </w:rPr>
        <w:t> </w:t>
      </w:r>
      <w:r>
        <w:rPr>
          <w:sz w:val="21"/>
        </w:rPr>
        <w:t>termination</w:t>
      </w:r>
      <w:r>
        <w:rPr>
          <w:spacing w:val="40"/>
          <w:sz w:val="21"/>
        </w:rPr>
        <w:t> </w:t>
      </w:r>
      <w:r>
        <w:rPr>
          <w:sz w:val="21"/>
        </w:rPr>
        <w:t>is</w:t>
      </w:r>
      <w:r>
        <w:rPr>
          <w:spacing w:val="40"/>
          <w:sz w:val="21"/>
        </w:rPr>
        <w:t> </w:t>
      </w:r>
      <w:r>
        <w:rPr>
          <w:sz w:val="21"/>
        </w:rPr>
        <w:t>the</w:t>
      </w:r>
      <w:r>
        <w:rPr>
          <w:spacing w:val="40"/>
          <w:sz w:val="21"/>
        </w:rPr>
        <w:t> </w:t>
      </w:r>
      <w:r>
        <w:rPr>
          <w:sz w:val="21"/>
        </w:rPr>
        <w:t>result</w:t>
      </w:r>
      <w:r>
        <w:rPr>
          <w:spacing w:val="40"/>
          <w:sz w:val="21"/>
        </w:rPr>
        <w:t> </w:t>
      </w:r>
      <w:r>
        <w:rPr>
          <w:sz w:val="21"/>
        </w:rPr>
        <w:t>of</w:t>
      </w:r>
      <w:r>
        <w:rPr>
          <w:spacing w:val="40"/>
          <w:sz w:val="21"/>
        </w:rPr>
        <w:t> </w:t>
      </w:r>
      <w:r>
        <w:rPr>
          <w:sz w:val="21"/>
        </w:rPr>
        <w:t>Employee’s “Disability”</w:t>
      </w:r>
      <w:r>
        <w:rPr>
          <w:spacing w:val="30"/>
          <w:sz w:val="21"/>
        </w:rPr>
        <w:t> </w:t>
      </w:r>
      <w:r>
        <w:rPr>
          <w:sz w:val="21"/>
        </w:rPr>
        <w:t>(defined</w:t>
      </w:r>
      <w:r>
        <w:rPr>
          <w:spacing w:val="30"/>
          <w:sz w:val="21"/>
        </w:rPr>
        <w:t> </w:t>
      </w:r>
      <w:r>
        <w:rPr>
          <w:sz w:val="21"/>
        </w:rPr>
        <w:t>below)</w:t>
      </w:r>
      <w:r>
        <w:rPr>
          <w:spacing w:val="30"/>
          <w:sz w:val="21"/>
        </w:rPr>
        <w:t> </w:t>
      </w:r>
      <w:r>
        <w:rPr>
          <w:sz w:val="21"/>
        </w:rPr>
        <w:t>during</w:t>
      </w:r>
      <w:r>
        <w:rPr>
          <w:spacing w:val="30"/>
          <w:sz w:val="21"/>
        </w:rPr>
        <w:t> </w:t>
      </w:r>
      <w:r>
        <w:rPr>
          <w:sz w:val="21"/>
        </w:rPr>
        <w:t>the</w:t>
      </w:r>
      <w:r>
        <w:rPr>
          <w:spacing w:val="30"/>
          <w:sz w:val="21"/>
        </w:rPr>
        <w:t> </w:t>
      </w:r>
      <w:r>
        <w:rPr>
          <w:sz w:val="21"/>
        </w:rPr>
        <w:t>Specified</w:t>
      </w:r>
      <w:r>
        <w:rPr>
          <w:spacing w:val="25"/>
          <w:sz w:val="21"/>
        </w:rPr>
        <w:t> </w:t>
      </w:r>
      <w:r>
        <w:rPr>
          <w:sz w:val="21"/>
        </w:rPr>
        <w:t>Term,</w:t>
      </w:r>
      <w:r>
        <w:rPr>
          <w:spacing w:val="30"/>
          <w:sz w:val="21"/>
        </w:rPr>
        <w:t> </w:t>
      </w:r>
      <w:r>
        <w:rPr>
          <w:sz w:val="21"/>
        </w:rPr>
        <w:t>Employer</w:t>
      </w:r>
      <w:r>
        <w:rPr>
          <w:spacing w:val="30"/>
          <w:sz w:val="21"/>
        </w:rPr>
        <w:t> </w:t>
      </w:r>
      <w:r>
        <w:rPr>
          <w:sz w:val="21"/>
        </w:rPr>
        <w:t>shall</w:t>
      </w:r>
      <w:r>
        <w:rPr>
          <w:spacing w:val="30"/>
          <w:sz w:val="21"/>
        </w:rPr>
        <w:t> </w:t>
      </w:r>
      <w:r>
        <w:rPr>
          <w:sz w:val="21"/>
        </w:rPr>
        <w:t>pay</w:t>
      </w:r>
      <w:r>
        <w:rPr>
          <w:spacing w:val="30"/>
          <w:sz w:val="21"/>
        </w:rPr>
        <w:t> </w:t>
      </w:r>
      <w:r>
        <w:rPr>
          <w:sz w:val="21"/>
        </w:rPr>
        <w:t>Employee</w:t>
      </w:r>
      <w:r>
        <w:rPr>
          <w:spacing w:val="30"/>
          <w:sz w:val="21"/>
        </w:rPr>
        <w:t> </w:t>
      </w:r>
      <w:r>
        <w:rPr>
          <w:sz w:val="21"/>
        </w:rPr>
        <w:t>an</w:t>
      </w:r>
      <w:r>
        <w:rPr>
          <w:spacing w:val="30"/>
          <w:sz w:val="21"/>
        </w:rPr>
        <w:t> </w:t>
      </w:r>
      <w:r>
        <w:rPr>
          <w:sz w:val="21"/>
        </w:rPr>
        <w:t>amount</w:t>
      </w:r>
      <w:r>
        <w:rPr>
          <w:spacing w:val="30"/>
          <w:sz w:val="21"/>
        </w:rPr>
        <w:t> </w:t>
      </w:r>
      <w:r>
        <w:rPr>
          <w:sz w:val="21"/>
        </w:rPr>
        <w:t>equal</w:t>
      </w:r>
      <w:r>
        <w:rPr>
          <w:spacing w:val="30"/>
          <w:sz w:val="21"/>
        </w:rPr>
        <w:t> </w:t>
      </w:r>
      <w:r>
        <w:rPr>
          <w:sz w:val="21"/>
        </w:rPr>
        <w:t>to</w:t>
      </w:r>
      <w:r>
        <w:rPr>
          <w:spacing w:val="30"/>
          <w:sz w:val="21"/>
        </w:rPr>
        <w:t> </w:t>
      </w:r>
      <w:r>
        <w:rPr>
          <w:sz w:val="21"/>
        </w:rPr>
        <w:t>Employee’s</w:t>
      </w:r>
      <w:r>
        <w:rPr>
          <w:spacing w:val="30"/>
          <w:sz w:val="21"/>
        </w:rPr>
        <w:t> </w:t>
      </w:r>
      <w:r>
        <w:rPr>
          <w:sz w:val="21"/>
        </w:rPr>
        <w:t>salary for twelve (12) month period (less taxes and withholding)</w:t>
      </w:r>
      <w:r>
        <w:rPr>
          <w:color w:val="FF0000"/>
          <w:sz w:val="21"/>
        </w:rPr>
        <w:t>, </w:t>
      </w:r>
      <w:r>
        <w:rPr>
          <w:sz w:val="21"/>
        </w:rPr>
        <w:t>such amount to be paid as a lump sum within thirty (30) days of Employee’s</w:t>
      </w:r>
      <w:r>
        <w:rPr>
          <w:spacing w:val="14"/>
          <w:sz w:val="21"/>
        </w:rPr>
        <w:t> </w:t>
      </w:r>
      <w:r>
        <w:rPr>
          <w:sz w:val="21"/>
        </w:rPr>
        <w:t>termination</w:t>
      </w:r>
      <w:r>
        <w:rPr>
          <w:spacing w:val="14"/>
          <w:sz w:val="21"/>
        </w:rPr>
        <w:t> </w:t>
      </w:r>
      <w:r>
        <w:rPr>
          <w:sz w:val="21"/>
        </w:rPr>
        <w:t>date.</w:t>
      </w:r>
      <w:r>
        <w:rPr>
          <w:spacing w:val="14"/>
          <w:sz w:val="21"/>
        </w:rPr>
        <w:t> </w:t>
      </w:r>
      <w:r>
        <w:rPr>
          <w:sz w:val="21"/>
        </w:rPr>
        <w:t>In</w:t>
      </w:r>
      <w:r>
        <w:rPr>
          <w:spacing w:val="14"/>
          <w:sz w:val="21"/>
        </w:rPr>
        <w:t> </w:t>
      </w:r>
      <w:r>
        <w:rPr>
          <w:sz w:val="21"/>
        </w:rPr>
        <w:t>addition,</w:t>
      </w:r>
      <w:r>
        <w:rPr>
          <w:spacing w:val="14"/>
          <w:sz w:val="21"/>
        </w:rPr>
        <w:t> </w:t>
      </w:r>
      <w:r>
        <w:rPr>
          <w:sz w:val="21"/>
        </w:rPr>
        <w:t>Employee</w:t>
      </w:r>
      <w:r>
        <w:rPr>
          <w:spacing w:val="14"/>
          <w:sz w:val="21"/>
        </w:rPr>
        <w:t> </w:t>
      </w:r>
      <w:r>
        <w:rPr>
          <w:sz w:val="21"/>
        </w:rPr>
        <w:t>shall</w:t>
      </w:r>
      <w:r>
        <w:rPr>
          <w:spacing w:val="14"/>
          <w:sz w:val="21"/>
        </w:rPr>
        <w:t> </w:t>
      </w:r>
      <w:r>
        <w:rPr>
          <w:sz w:val="21"/>
        </w:rPr>
        <w:t>receive</w:t>
      </w:r>
      <w:r>
        <w:rPr>
          <w:spacing w:val="14"/>
          <w:sz w:val="21"/>
        </w:rPr>
        <w:t> </w:t>
      </w:r>
      <w:r>
        <w:rPr>
          <w:sz w:val="21"/>
        </w:rPr>
        <w:t>a</w:t>
      </w:r>
      <w:r>
        <w:rPr>
          <w:spacing w:val="14"/>
          <w:sz w:val="21"/>
        </w:rPr>
        <w:t> </w:t>
      </w:r>
      <w:r>
        <w:rPr>
          <w:sz w:val="21"/>
        </w:rPr>
        <w:t>payment</w:t>
      </w:r>
      <w:r>
        <w:rPr>
          <w:spacing w:val="14"/>
          <w:sz w:val="21"/>
        </w:rPr>
        <w:t> </w:t>
      </w:r>
      <w:r>
        <w:rPr>
          <w:sz w:val="21"/>
        </w:rPr>
        <w:t>equal</w:t>
      </w:r>
      <w:r>
        <w:rPr>
          <w:spacing w:val="14"/>
          <w:sz w:val="21"/>
        </w:rPr>
        <w:t> </w:t>
      </w:r>
      <w:r>
        <w:rPr>
          <w:sz w:val="21"/>
        </w:rPr>
        <w:t>to</w:t>
      </w:r>
      <w:r>
        <w:rPr>
          <w:spacing w:val="14"/>
          <w:sz w:val="21"/>
        </w:rPr>
        <w:t> </w:t>
      </w:r>
      <w:r>
        <w:rPr>
          <w:sz w:val="21"/>
        </w:rPr>
        <w:t>1.5</w:t>
      </w:r>
      <w:r>
        <w:rPr>
          <w:spacing w:val="14"/>
          <w:sz w:val="21"/>
        </w:rPr>
        <w:t> </w:t>
      </w:r>
      <w:r>
        <w:rPr>
          <w:sz w:val="21"/>
        </w:rPr>
        <w:t>times</w:t>
      </w:r>
      <w:r>
        <w:rPr>
          <w:spacing w:val="14"/>
          <w:sz w:val="21"/>
        </w:rPr>
        <w:t> </w:t>
      </w:r>
      <w:r>
        <w:rPr>
          <w:sz w:val="21"/>
        </w:rPr>
        <w:t>the</w:t>
      </w:r>
      <w:r>
        <w:rPr>
          <w:spacing w:val="14"/>
          <w:sz w:val="21"/>
        </w:rPr>
        <w:t> </w:t>
      </w:r>
      <w:r>
        <w:rPr>
          <w:sz w:val="21"/>
        </w:rPr>
        <w:t>cost</w:t>
      </w:r>
      <w:r>
        <w:rPr>
          <w:spacing w:val="14"/>
          <w:sz w:val="21"/>
        </w:rPr>
        <w:t> </w:t>
      </w:r>
      <w:r>
        <w:rPr>
          <w:sz w:val="21"/>
        </w:rPr>
        <w:t>of</w:t>
      </w:r>
      <w:r>
        <w:rPr>
          <w:spacing w:val="14"/>
          <w:sz w:val="21"/>
        </w:rPr>
        <w:t> </w:t>
      </w:r>
      <w:r>
        <w:rPr>
          <w:sz w:val="21"/>
        </w:rPr>
        <w:t>COBRA</w:t>
      </w:r>
      <w:r>
        <w:rPr>
          <w:spacing w:val="-1"/>
          <w:sz w:val="21"/>
        </w:rPr>
        <w:t> </w:t>
      </w:r>
      <w:r>
        <w:rPr>
          <w:sz w:val="21"/>
        </w:rPr>
        <w:t>coverage</w:t>
      </w:r>
      <w:r>
        <w:rPr>
          <w:spacing w:val="14"/>
          <w:sz w:val="21"/>
        </w:rPr>
        <w:t> </w:t>
      </w:r>
      <w:r>
        <w:rPr>
          <w:sz w:val="21"/>
        </w:rPr>
        <w:t>for a</w:t>
      </w:r>
      <w:r>
        <w:rPr>
          <w:spacing w:val="11"/>
          <w:sz w:val="21"/>
        </w:rPr>
        <w:t> </w:t>
      </w:r>
      <w:r>
        <w:rPr>
          <w:sz w:val="21"/>
        </w:rPr>
        <w:t>period</w:t>
      </w:r>
      <w:r>
        <w:rPr>
          <w:spacing w:val="12"/>
          <w:sz w:val="21"/>
        </w:rPr>
        <w:t> </w:t>
      </w:r>
      <w:r>
        <w:rPr>
          <w:sz w:val="21"/>
        </w:rPr>
        <w:t>of</w:t>
      </w:r>
      <w:r>
        <w:rPr>
          <w:spacing w:val="11"/>
          <w:sz w:val="21"/>
        </w:rPr>
        <w:t> </w:t>
      </w:r>
      <w:r>
        <w:rPr>
          <w:sz w:val="21"/>
        </w:rPr>
        <w:t>twelve</w:t>
      </w:r>
      <w:r>
        <w:rPr>
          <w:spacing w:val="12"/>
          <w:sz w:val="21"/>
        </w:rPr>
        <w:t> </w:t>
      </w:r>
      <w:r>
        <w:rPr>
          <w:sz w:val="21"/>
        </w:rPr>
        <w:t>(12)</w:t>
      </w:r>
      <w:r>
        <w:rPr>
          <w:spacing w:val="11"/>
          <w:sz w:val="21"/>
        </w:rPr>
        <w:t> </w:t>
      </w:r>
      <w:r>
        <w:rPr>
          <w:sz w:val="21"/>
        </w:rPr>
        <w:t>months</w:t>
      </w:r>
      <w:r>
        <w:rPr>
          <w:spacing w:val="12"/>
          <w:sz w:val="21"/>
        </w:rPr>
        <w:t> </w:t>
      </w:r>
      <w:r>
        <w:rPr>
          <w:sz w:val="21"/>
        </w:rPr>
        <w:t>immediately</w:t>
      </w:r>
      <w:r>
        <w:rPr>
          <w:spacing w:val="11"/>
          <w:sz w:val="21"/>
        </w:rPr>
        <w:t> </w:t>
      </w:r>
      <w:r>
        <w:rPr>
          <w:sz w:val="21"/>
        </w:rPr>
        <w:t>following</w:t>
      </w:r>
      <w:r>
        <w:rPr>
          <w:spacing w:val="12"/>
          <w:sz w:val="21"/>
        </w:rPr>
        <w:t> </w:t>
      </w:r>
      <w:r>
        <w:rPr>
          <w:sz w:val="21"/>
        </w:rPr>
        <w:t>separation</w:t>
      </w:r>
      <w:r>
        <w:rPr>
          <w:spacing w:val="11"/>
          <w:sz w:val="21"/>
        </w:rPr>
        <w:t> </w:t>
      </w:r>
      <w:r>
        <w:rPr>
          <w:sz w:val="21"/>
        </w:rPr>
        <w:t>(the</w:t>
      </w:r>
      <w:r>
        <w:rPr>
          <w:spacing w:val="12"/>
          <w:sz w:val="21"/>
        </w:rPr>
        <w:t> </w:t>
      </w:r>
      <w:r>
        <w:rPr>
          <w:sz w:val="21"/>
        </w:rPr>
        <w:t>“COBRA</w:t>
      </w:r>
      <w:r>
        <w:rPr>
          <w:spacing w:val="-2"/>
          <w:sz w:val="21"/>
        </w:rPr>
        <w:t> </w:t>
      </w:r>
      <w:r>
        <w:rPr>
          <w:sz w:val="21"/>
        </w:rPr>
        <w:t>Payment”),</w:t>
      </w:r>
      <w:r>
        <w:rPr>
          <w:spacing w:val="12"/>
          <w:sz w:val="21"/>
        </w:rPr>
        <w:t> </w:t>
      </w:r>
      <w:r>
        <w:rPr>
          <w:sz w:val="21"/>
        </w:rPr>
        <w:t>payable</w:t>
      </w:r>
      <w:r>
        <w:rPr>
          <w:spacing w:val="11"/>
          <w:sz w:val="21"/>
        </w:rPr>
        <w:t> </w:t>
      </w:r>
      <w:r>
        <w:rPr>
          <w:sz w:val="21"/>
        </w:rPr>
        <w:t>in</w:t>
      </w:r>
      <w:r>
        <w:rPr>
          <w:spacing w:val="12"/>
          <w:sz w:val="21"/>
        </w:rPr>
        <w:t> </w:t>
      </w:r>
      <w:r>
        <w:rPr>
          <w:sz w:val="21"/>
        </w:rPr>
        <w:t>a</w:t>
      </w:r>
      <w:r>
        <w:rPr>
          <w:spacing w:val="12"/>
          <w:sz w:val="21"/>
        </w:rPr>
        <w:t> </w:t>
      </w:r>
      <w:r>
        <w:rPr>
          <w:sz w:val="21"/>
        </w:rPr>
        <w:t>lump</w:t>
      </w:r>
      <w:r>
        <w:rPr>
          <w:spacing w:val="11"/>
          <w:sz w:val="21"/>
        </w:rPr>
        <w:t> </w:t>
      </w:r>
      <w:r>
        <w:rPr>
          <w:sz w:val="21"/>
        </w:rPr>
        <w:t>sum</w:t>
      </w:r>
      <w:r>
        <w:rPr>
          <w:spacing w:val="12"/>
          <w:sz w:val="21"/>
        </w:rPr>
        <w:t> </w:t>
      </w:r>
      <w:r>
        <w:rPr>
          <w:sz w:val="21"/>
        </w:rPr>
        <w:t>within</w:t>
      </w:r>
      <w:r>
        <w:rPr>
          <w:spacing w:val="11"/>
          <w:sz w:val="21"/>
        </w:rPr>
        <w:t> </w:t>
      </w:r>
      <w:r>
        <w:rPr>
          <w:spacing w:val="-2"/>
          <w:sz w:val="21"/>
        </w:rPr>
        <w:t>thirty</w:t>
      </w:r>
    </w:p>
    <w:p>
      <w:pPr>
        <w:spacing w:line="225" w:lineRule="exact" w:before="0"/>
        <w:ind w:left="468" w:right="0" w:firstLine="0"/>
        <w:jc w:val="both"/>
        <w:rPr>
          <w:sz w:val="21"/>
        </w:rPr>
      </w:pPr>
      <w:r>
        <w:rPr>
          <w:sz w:val="21"/>
        </w:rPr>
        <w:t>(30)</w:t>
      </w:r>
      <w:r>
        <w:rPr>
          <w:spacing w:val="8"/>
          <w:sz w:val="21"/>
        </w:rPr>
        <w:t> </w:t>
      </w:r>
      <w:r>
        <w:rPr>
          <w:sz w:val="21"/>
        </w:rPr>
        <w:t>days</w:t>
      </w:r>
      <w:r>
        <w:rPr>
          <w:spacing w:val="8"/>
          <w:sz w:val="21"/>
        </w:rPr>
        <w:t> </w:t>
      </w:r>
      <w:r>
        <w:rPr>
          <w:spacing w:val="-5"/>
          <w:sz w:val="21"/>
        </w:rPr>
        <w:t>of</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73"/>
        <w:rPr>
          <w:sz w:val="21"/>
        </w:rPr>
      </w:pPr>
    </w:p>
    <w:p>
      <w:pPr>
        <w:spacing w:before="0"/>
        <w:ind w:left="24" w:right="0" w:firstLine="0"/>
        <w:jc w:val="center"/>
        <w:rPr>
          <w:sz w:val="21"/>
        </w:rPr>
      </w:pPr>
      <w:r>
        <w:rPr/>
        <mc:AlternateContent>
          <mc:Choice Requires="wps">
            <w:drawing>
              <wp:anchor distT="0" distB="0" distL="0" distR="0" allowOverlap="1" layoutInCell="1" locked="0" behindDoc="1" simplePos="0" relativeHeight="487809536">
                <wp:simplePos x="0" y="0"/>
                <wp:positionH relativeFrom="page">
                  <wp:posOffset>231457</wp:posOffset>
                </wp:positionH>
                <wp:positionV relativeFrom="paragraph">
                  <wp:posOffset>183697</wp:posOffset>
                </wp:positionV>
                <wp:extent cx="7312659" cy="17145"/>
                <wp:effectExtent l="0" t="0" r="0" b="0"/>
                <wp:wrapTopAndBottom/>
                <wp:docPr id="1092" name="Group 1092"/>
                <wp:cNvGraphicFramePr>
                  <a:graphicFrameLocks/>
                </wp:cNvGraphicFramePr>
                <a:graphic>
                  <a:graphicData uri="http://schemas.microsoft.com/office/word/2010/wordprocessingGroup">
                    <wpg:wgp>
                      <wpg:cNvPr id="1092" name="Group 1092"/>
                      <wpg:cNvGrpSpPr/>
                      <wpg:grpSpPr>
                        <a:xfrm>
                          <a:off x="0" y="0"/>
                          <a:ext cx="7312659" cy="17145"/>
                          <a:chExt cx="7312659" cy="17145"/>
                        </a:xfrm>
                      </wpg:grpSpPr>
                      <wps:wsp>
                        <wps:cNvPr id="1093" name="Graphic 109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94" name="Graphic 1094"/>
                        <wps:cNvSpPr/>
                        <wps:spPr>
                          <a:xfrm>
                            <a:off x="-12" y="-2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95" name="Graphic 109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464346pt;width:575.8pt;height:1.35pt;mso-position-horizontal-relative:page;mso-position-vertical-relative:paragraph;z-index:-15506944;mso-wrap-distance-left:0;mso-wrap-distance-right:0" id="docshapegroup1090" coordorigin="364,289" coordsize="11516,27">
                <v:rect style="position:absolute;left:364;top:289;width:11516;height:14" id="docshape1091" filled="true" fillcolor="#999999" stroked="false">
                  <v:fill type="solid"/>
                </v:rect>
                <v:shape style="position:absolute;left:364;top:289;width:11516;height:27" id="docshape1092" coordorigin="364,289" coordsize="11516,27" path="m11880,289l11866,303,364,303,364,316,11866,316,11880,316,11880,303,11880,289xe" filled="true" fillcolor="#ededed" stroked="false">
                  <v:path arrowok="t"/>
                  <v:fill type="solid"/>
                </v:shape>
                <v:shape style="position:absolute;left:364;top:289;width:14;height:27" id="docshape1093" coordorigin="364,289" coordsize="14,27" path="m364,316l364,289,378,289,378,303,364,316xe" filled="true" fillcolor="#999999" stroked="false">
                  <v:path arrowok="t"/>
                  <v:fill type="solid"/>
                </v:shape>
                <w10:wrap type="topAndBottom"/>
              </v:group>
            </w:pict>
          </mc:Fallback>
        </mc:AlternateContent>
      </w:r>
      <w:r>
        <w:rPr>
          <w:spacing w:val="-5"/>
          <w:sz w:val="21"/>
        </w:rPr>
        <w:t>12</w:t>
      </w:r>
    </w:p>
    <w:p>
      <w:pPr>
        <w:spacing w:after="0"/>
        <w:jc w:val="center"/>
        <w:rPr>
          <w:sz w:val="21"/>
        </w:rPr>
        <w:sectPr>
          <w:pgSz w:w="12240" w:h="15840"/>
          <w:pgMar w:top="1820" w:bottom="280" w:left="220" w:right="240"/>
        </w:sectPr>
      </w:pPr>
    </w:p>
    <w:p>
      <w:pPr>
        <w:spacing w:line="213" w:lineRule="auto" w:before="138"/>
        <w:ind w:left="468" w:right="221" w:firstLine="0"/>
        <w:jc w:val="both"/>
        <w:rPr>
          <w:sz w:val="21"/>
        </w:rPr>
      </w:pPr>
      <w:r>
        <w:rPr>
          <w:sz w:val="21"/>
        </w:rPr>
        <w:t>Employee’s termination date. Employer shall also pay any Earned Bonus Amount (as defined below). For purposes of this Agreement,</w:t>
      </w:r>
      <w:r>
        <w:rPr>
          <w:spacing w:val="25"/>
          <w:sz w:val="21"/>
        </w:rPr>
        <w:t> </w:t>
      </w:r>
      <w:r>
        <w:rPr>
          <w:sz w:val="21"/>
        </w:rPr>
        <w:t>and</w:t>
      </w:r>
      <w:r>
        <w:rPr>
          <w:spacing w:val="25"/>
          <w:sz w:val="21"/>
        </w:rPr>
        <w:t> </w:t>
      </w:r>
      <w:r>
        <w:rPr>
          <w:sz w:val="21"/>
        </w:rPr>
        <w:t>because</w:t>
      </w:r>
      <w:r>
        <w:rPr>
          <w:spacing w:val="25"/>
          <w:sz w:val="21"/>
        </w:rPr>
        <w:t> </w:t>
      </w:r>
      <w:r>
        <w:rPr>
          <w:sz w:val="21"/>
        </w:rPr>
        <w:t>of</w:t>
      </w:r>
      <w:r>
        <w:rPr>
          <w:spacing w:val="25"/>
          <w:sz w:val="21"/>
        </w:rPr>
        <w:t> </w:t>
      </w:r>
      <w:r>
        <w:rPr>
          <w:sz w:val="21"/>
        </w:rPr>
        <w:t>Employee’s</w:t>
      </w:r>
      <w:r>
        <w:rPr>
          <w:spacing w:val="25"/>
          <w:sz w:val="21"/>
        </w:rPr>
        <w:t> </w:t>
      </w:r>
      <w:r>
        <w:rPr>
          <w:sz w:val="21"/>
        </w:rPr>
        <w:t>unique</w:t>
      </w:r>
      <w:r>
        <w:rPr>
          <w:spacing w:val="25"/>
          <w:sz w:val="21"/>
        </w:rPr>
        <w:t> </w:t>
      </w:r>
      <w:r>
        <w:rPr>
          <w:sz w:val="21"/>
        </w:rPr>
        <w:t>position</w:t>
      </w:r>
      <w:r>
        <w:rPr>
          <w:spacing w:val="25"/>
          <w:sz w:val="21"/>
        </w:rPr>
        <w:t> </w:t>
      </w:r>
      <w:r>
        <w:rPr>
          <w:sz w:val="21"/>
        </w:rPr>
        <w:t>and</w:t>
      </w:r>
      <w:r>
        <w:rPr>
          <w:spacing w:val="25"/>
          <w:sz w:val="21"/>
        </w:rPr>
        <w:t> </w:t>
      </w:r>
      <w:r>
        <w:rPr>
          <w:sz w:val="21"/>
        </w:rPr>
        <w:t>duties</w:t>
      </w:r>
      <w:r>
        <w:rPr>
          <w:spacing w:val="25"/>
          <w:sz w:val="21"/>
        </w:rPr>
        <w:t> </w:t>
      </w:r>
      <w:r>
        <w:rPr>
          <w:sz w:val="21"/>
        </w:rPr>
        <w:t>for</w:t>
      </w:r>
      <w:r>
        <w:rPr>
          <w:spacing w:val="25"/>
          <w:sz w:val="21"/>
        </w:rPr>
        <w:t> </w:t>
      </w:r>
      <w:r>
        <w:rPr>
          <w:sz w:val="21"/>
        </w:rPr>
        <w:t>Employer,</w:t>
      </w:r>
      <w:r>
        <w:rPr>
          <w:spacing w:val="25"/>
          <w:sz w:val="21"/>
        </w:rPr>
        <w:t> </w:t>
      </w:r>
      <w:r>
        <w:rPr>
          <w:sz w:val="21"/>
        </w:rPr>
        <w:t>“Disability”</w:t>
      </w:r>
      <w:r>
        <w:rPr>
          <w:spacing w:val="25"/>
          <w:sz w:val="21"/>
        </w:rPr>
        <w:t> </w:t>
      </w:r>
      <w:r>
        <w:rPr>
          <w:sz w:val="21"/>
        </w:rPr>
        <w:t>shall</w:t>
      </w:r>
      <w:r>
        <w:rPr>
          <w:spacing w:val="25"/>
          <w:sz w:val="21"/>
        </w:rPr>
        <w:t> </w:t>
      </w:r>
      <w:r>
        <w:rPr>
          <w:sz w:val="21"/>
        </w:rPr>
        <w:t>mean</w:t>
      </w:r>
      <w:r>
        <w:rPr>
          <w:spacing w:val="25"/>
          <w:sz w:val="21"/>
        </w:rPr>
        <w:t> </w:t>
      </w:r>
      <w:r>
        <w:rPr>
          <w:sz w:val="21"/>
        </w:rPr>
        <w:t>Employee’s</w:t>
      </w:r>
      <w:r>
        <w:rPr>
          <w:spacing w:val="25"/>
          <w:sz w:val="21"/>
        </w:rPr>
        <w:t> </w:t>
      </w:r>
      <w:r>
        <w:rPr>
          <w:sz w:val="21"/>
        </w:rPr>
        <w:t>inability to</w:t>
      </w:r>
      <w:r>
        <w:rPr>
          <w:spacing w:val="19"/>
          <w:sz w:val="21"/>
        </w:rPr>
        <w:t> </w:t>
      </w:r>
      <w:r>
        <w:rPr>
          <w:sz w:val="21"/>
        </w:rPr>
        <w:t>perform</w:t>
      </w:r>
      <w:r>
        <w:rPr>
          <w:spacing w:val="19"/>
          <w:sz w:val="21"/>
        </w:rPr>
        <w:t> </w:t>
      </w:r>
      <w:r>
        <w:rPr>
          <w:sz w:val="21"/>
        </w:rPr>
        <w:t>the</w:t>
      </w:r>
      <w:r>
        <w:rPr>
          <w:spacing w:val="19"/>
          <w:sz w:val="21"/>
        </w:rPr>
        <w:t> </w:t>
      </w:r>
      <w:r>
        <w:rPr>
          <w:sz w:val="21"/>
        </w:rPr>
        <w:t>essential</w:t>
      </w:r>
      <w:r>
        <w:rPr>
          <w:spacing w:val="20"/>
          <w:sz w:val="21"/>
        </w:rPr>
        <w:t> </w:t>
      </w:r>
      <w:r>
        <w:rPr>
          <w:sz w:val="21"/>
        </w:rPr>
        <w:t>functions</w:t>
      </w:r>
      <w:r>
        <w:rPr>
          <w:spacing w:val="19"/>
          <w:sz w:val="21"/>
        </w:rPr>
        <w:t> </w:t>
      </w:r>
      <w:r>
        <w:rPr>
          <w:sz w:val="21"/>
        </w:rPr>
        <w:t>of</w:t>
      </w:r>
      <w:r>
        <w:rPr>
          <w:spacing w:val="19"/>
          <w:sz w:val="21"/>
        </w:rPr>
        <w:t> </w:t>
      </w:r>
      <w:r>
        <w:rPr>
          <w:sz w:val="21"/>
        </w:rPr>
        <w:t>the</w:t>
      </w:r>
      <w:r>
        <w:rPr>
          <w:spacing w:val="19"/>
          <w:sz w:val="21"/>
        </w:rPr>
        <w:t> </w:t>
      </w:r>
      <w:r>
        <w:rPr>
          <w:sz w:val="21"/>
        </w:rPr>
        <w:t>Employee’s</w:t>
      </w:r>
      <w:r>
        <w:rPr>
          <w:spacing w:val="20"/>
          <w:sz w:val="21"/>
        </w:rPr>
        <w:t> </w:t>
      </w:r>
      <w:r>
        <w:rPr>
          <w:sz w:val="21"/>
        </w:rPr>
        <w:t>position,</w:t>
      </w:r>
      <w:r>
        <w:rPr>
          <w:spacing w:val="19"/>
          <w:sz w:val="21"/>
        </w:rPr>
        <w:t> </w:t>
      </w:r>
      <w:r>
        <w:rPr>
          <w:sz w:val="21"/>
        </w:rPr>
        <w:t>with</w:t>
      </w:r>
      <w:r>
        <w:rPr>
          <w:spacing w:val="19"/>
          <w:sz w:val="21"/>
        </w:rPr>
        <w:t> </w:t>
      </w:r>
      <w:r>
        <w:rPr>
          <w:sz w:val="21"/>
        </w:rPr>
        <w:t>or</w:t>
      </w:r>
      <w:r>
        <w:rPr>
          <w:spacing w:val="19"/>
          <w:sz w:val="21"/>
        </w:rPr>
        <w:t> </w:t>
      </w:r>
      <w:r>
        <w:rPr>
          <w:sz w:val="21"/>
        </w:rPr>
        <w:t>without</w:t>
      </w:r>
      <w:r>
        <w:rPr>
          <w:spacing w:val="20"/>
          <w:sz w:val="21"/>
        </w:rPr>
        <w:t> </w:t>
      </w:r>
      <w:r>
        <w:rPr>
          <w:sz w:val="21"/>
        </w:rPr>
        <w:t>a</w:t>
      </w:r>
      <w:r>
        <w:rPr>
          <w:spacing w:val="19"/>
          <w:sz w:val="21"/>
        </w:rPr>
        <w:t> </w:t>
      </w:r>
      <w:r>
        <w:rPr>
          <w:sz w:val="21"/>
        </w:rPr>
        <w:t>reasonable</w:t>
      </w:r>
      <w:r>
        <w:rPr>
          <w:spacing w:val="19"/>
          <w:sz w:val="21"/>
        </w:rPr>
        <w:t> </w:t>
      </w:r>
      <w:r>
        <w:rPr>
          <w:sz w:val="21"/>
        </w:rPr>
        <w:t>accommodation,</w:t>
      </w:r>
      <w:r>
        <w:rPr>
          <w:spacing w:val="19"/>
          <w:sz w:val="21"/>
        </w:rPr>
        <w:t> </w:t>
      </w:r>
      <w:r>
        <w:rPr>
          <w:sz w:val="21"/>
        </w:rPr>
        <w:t>for</w:t>
      </w:r>
      <w:r>
        <w:rPr>
          <w:spacing w:val="20"/>
          <w:sz w:val="21"/>
        </w:rPr>
        <w:t> </w:t>
      </w:r>
      <w:r>
        <w:rPr>
          <w:sz w:val="21"/>
        </w:rPr>
        <w:t>a</w:t>
      </w:r>
      <w:r>
        <w:rPr>
          <w:spacing w:val="19"/>
          <w:sz w:val="21"/>
        </w:rPr>
        <w:t> </w:t>
      </w:r>
      <w:r>
        <w:rPr>
          <w:sz w:val="21"/>
        </w:rPr>
        <w:t>period</w:t>
      </w:r>
      <w:r>
        <w:rPr>
          <w:spacing w:val="19"/>
          <w:sz w:val="21"/>
        </w:rPr>
        <w:t> </w:t>
      </w:r>
      <w:r>
        <w:rPr>
          <w:sz w:val="21"/>
        </w:rPr>
        <w:t>of</w:t>
      </w:r>
      <w:r>
        <w:rPr>
          <w:spacing w:val="19"/>
          <w:sz w:val="21"/>
        </w:rPr>
        <w:t> </w:t>
      </w:r>
      <w:r>
        <w:rPr>
          <w:spacing w:val="-5"/>
          <w:sz w:val="21"/>
        </w:rPr>
        <w:t>six</w:t>
      </w:r>
    </w:p>
    <w:p>
      <w:pPr>
        <w:spacing w:line="223" w:lineRule="exact" w:before="0"/>
        <w:ind w:left="468" w:right="0" w:firstLine="0"/>
        <w:jc w:val="both"/>
        <w:rPr>
          <w:sz w:val="21"/>
        </w:rPr>
      </w:pPr>
      <w:r>
        <w:rPr>
          <w:sz w:val="21"/>
        </w:rPr>
        <w:t>(6)</w:t>
      </w:r>
      <w:r>
        <w:rPr>
          <w:spacing w:val="9"/>
          <w:sz w:val="21"/>
        </w:rPr>
        <w:t> </w:t>
      </w:r>
      <w:r>
        <w:rPr>
          <w:sz w:val="21"/>
        </w:rPr>
        <w:t>consecutive</w:t>
      </w:r>
      <w:r>
        <w:rPr>
          <w:spacing w:val="9"/>
          <w:sz w:val="21"/>
        </w:rPr>
        <w:t> </w:t>
      </w:r>
      <w:r>
        <w:rPr>
          <w:sz w:val="21"/>
        </w:rPr>
        <w:t>months</w:t>
      </w:r>
      <w:r>
        <w:rPr>
          <w:spacing w:val="9"/>
          <w:sz w:val="21"/>
        </w:rPr>
        <w:t> </w:t>
      </w:r>
      <w:r>
        <w:rPr>
          <w:sz w:val="21"/>
        </w:rPr>
        <w:t>or</w:t>
      </w:r>
      <w:r>
        <w:rPr>
          <w:spacing w:val="10"/>
          <w:sz w:val="21"/>
        </w:rPr>
        <w:t> </w:t>
      </w:r>
      <w:r>
        <w:rPr>
          <w:sz w:val="21"/>
        </w:rPr>
        <w:t>for</w:t>
      </w:r>
      <w:r>
        <w:rPr>
          <w:spacing w:val="9"/>
          <w:sz w:val="21"/>
        </w:rPr>
        <w:t> </w:t>
      </w:r>
      <w:r>
        <w:rPr>
          <w:sz w:val="21"/>
        </w:rPr>
        <w:t>a</w:t>
      </w:r>
      <w:r>
        <w:rPr>
          <w:spacing w:val="9"/>
          <w:sz w:val="21"/>
        </w:rPr>
        <w:t> </w:t>
      </w:r>
      <w:r>
        <w:rPr>
          <w:sz w:val="21"/>
        </w:rPr>
        <w:t>cumulative</w:t>
      </w:r>
      <w:r>
        <w:rPr>
          <w:spacing w:val="9"/>
          <w:sz w:val="21"/>
        </w:rPr>
        <w:t> </w:t>
      </w:r>
      <w:r>
        <w:rPr>
          <w:sz w:val="21"/>
        </w:rPr>
        <w:t>period</w:t>
      </w:r>
      <w:r>
        <w:rPr>
          <w:spacing w:val="10"/>
          <w:sz w:val="21"/>
        </w:rPr>
        <w:t> </w:t>
      </w:r>
      <w:r>
        <w:rPr>
          <w:sz w:val="21"/>
        </w:rPr>
        <w:t>of</w:t>
      </w:r>
      <w:r>
        <w:rPr>
          <w:spacing w:val="9"/>
          <w:sz w:val="21"/>
        </w:rPr>
        <w:t> </w:t>
      </w:r>
      <w:r>
        <w:rPr>
          <w:sz w:val="21"/>
        </w:rPr>
        <w:t>six</w:t>
      </w:r>
      <w:r>
        <w:rPr>
          <w:spacing w:val="9"/>
          <w:sz w:val="21"/>
        </w:rPr>
        <w:t> </w:t>
      </w:r>
      <w:r>
        <w:rPr>
          <w:sz w:val="21"/>
        </w:rPr>
        <w:t>(6)</w:t>
      </w:r>
      <w:r>
        <w:rPr>
          <w:spacing w:val="10"/>
          <w:sz w:val="21"/>
        </w:rPr>
        <w:t> </w:t>
      </w:r>
      <w:r>
        <w:rPr>
          <w:sz w:val="21"/>
        </w:rPr>
        <w:t>months</w:t>
      </w:r>
      <w:r>
        <w:rPr>
          <w:spacing w:val="9"/>
          <w:sz w:val="21"/>
        </w:rPr>
        <w:t> </w:t>
      </w:r>
      <w:r>
        <w:rPr>
          <w:sz w:val="21"/>
        </w:rPr>
        <w:t>over</w:t>
      </w:r>
      <w:r>
        <w:rPr>
          <w:spacing w:val="9"/>
          <w:sz w:val="21"/>
        </w:rPr>
        <w:t> </w:t>
      </w:r>
      <w:r>
        <w:rPr>
          <w:sz w:val="21"/>
        </w:rPr>
        <w:t>a</w:t>
      </w:r>
      <w:r>
        <w:rPr>
          <w:spacing w:val="9"/>
          <w:sz w:val="21"/>
        </w:rPr>
        <w:t> </w:t>
      </w:r>
      <w:r>
        <w:rPr>
          <w:sz w:val="21"/>
        </w:rPr>
        <w:t>twelve</w:t>
      </w:r>
      <w:r>
        <w:rPr>
          <w:spacing w:val="10"/>
          <w:sz w:val="21"/>
        </w:rPr>
        <w:t> </w:t>
      </w:r>
      <w:r>
        <w:rPr>
          <w:sz w:val="21"/>
        </w:rPr>
        <w:t>(12)</w:t>
      </w:r>
      <w:r>
        <w:rPr>
          <w:spacing w:val="9"/>
          <w:sz w:val="21"/>
        </w:rPr>
        <w:t> </w:t>
      </w:r>
      <w:r>
        <w:rPr>
          <w:sz w:val="21"/>
        </w:rPr>
        <w:t>month</w:t>
      </w:r>
      <w:r>
        <w:rPr>
          <w:spacing w:val="9"/>
          <w:sz w:val="21"/>
        </w:rPr>
        <w:t> </w:t>
      </w:r>
      <w:r>
        <w:rPr>
          <w:spacing w:val="-2"/>
          <w:sz w:val="21"/>
        </w:rPr>
        <w:t>period.</w:t>
      </w:r>
    </w:p>
    <w:p>
      <w:pPr>
        <w:pStyle w:val="ListParagraph"/>
        <w:numPr>
          <w:ilvl w:val="1"/>
          <w:numId w:val="55"/>
        </w:numPr>
        <w:tabs>
          <w:tab w:pos="923" w:val="left" w:leader="none"/>
        </w:tabs>
        <w:spacing w:line="213" w:lineRule="auto" w:before="212" w:after="0"/>
        <w:ind w:left="468" w:right="220" w:firstLine="0"/>
        <w:jc w:val="both"/>
        <w:rPr>
          <w:sz w:val="21"/>
        </w:rPr>
      </w:pPr>
      <w:r>
        <w:rPr>
          <w:sz w:val="21"/>
          <w:u w:val="single"/>
        </w:rPr>
        <w:t>Employer’s No Cause Termination of Employee</w:t>
      </w:r>
      <w:r>
        <w:rPr>
          <w:sz w:val="21"/>
        </w:rPr>
        <w:t>. Employer has the right to terminate Employee’s employment for “No Cause” (defined below) in its sole discretion at any time during the Specified Term. A “No Cause” termination of Employee is termination</w:t>
      </w:r>
      <w:r>
        <w:rPr>
          <w:spacing w:val="16"/>
          <w:sz w:val="21"/>
        </w:rPr>
        <w:t> </w:t>
      </w:r>
      <w:r>
        <w:rPr>
          <w:sz w:val="21"/>
        </w:rPr>
        <w:t>for</w:t>
      </w:r>
      <w:r>
        <w:rPr>
          <w:spacing w:val="16"/>
          <w:sz w:val="21"/>
        </w:rPr>
        <w:t> </w:t>
      </w:r>
      <w:r>
        <w:rPr>
          <w:sz w:val="21"/>
        </w:rPr>
        <w:t>a</w:t>
      </w:r>
      <w:r>
        <w:rPr>
          <w:spacing w:val="16"/>
          <w:sz w:val="21"/>
        </w:rPr>
        <w:t> </w:t>
      </w:r>
      <w:r>
        <w:rPr>
          <w:sz w:val="21"/>
        </w:rPr>
        <w:t>reason</w:t>
      </w:r>
      <w:r>
        <w:rPr>
          <w:spacing w:val="16"/>
          <w:sz w:val="21"/>
        </w:rPr>
        <w:t> </w:t>
      </w:r>
      <w:r>
        <w:rPr>
          <w:sz w:val="21"/>
        </w:rPr>
        <w:t>other</w:t>
      </w:r>
      <w:r>
        <w:rPr>
          <w:spacing w:val="16"/>
          <w:sz w:val="21"/>
        </w:rPr>
        <w:t> </w:t>
      </w:r>
      <w:r>
        <w:rPr>
          <w:sz w:val="21"/>
        </w:rPr>
        <w:t>than</w:t>
      </w:r>
      <w:r>
        <w:rPr>
          <w:spacing w:val="16"/>
          <w:sz w:val="21"/>
        </w:rPr>
        <w:t> </w:t>
      </w:r>
      <w:r>
        <w:rPr>
          <w:sz w:val="21"/>
        </w:rPr>
        <w:t>a</w:t>
      </w:r>
      <w:r>
        <w:rPr>
          <w:spacing w:val="16"/>
          <w:sz w:val="21"/>
        </w:rPr>
        <w:t> </w:t>
      </w:r>
      <w:r>
        <w:rPr>
          <w:sz w:val="21"/>
        </w:rPr>
        <w:t>reason</w:t>
      </w:r>
      <w:r>
        <w:rPr>
          <w:spacing w:val="16"/>
          <w:sz w:val="21"/>
        </w:rPr>
        <w:t> </w:t>
      </w:r>
      <w:r>
        <w:rPr>
          <w:sz w:val="21"/>
        </w:rPr>
        <w:t>stated</w:t>
      </w:r>
      <w:r>
        <w:rPr>
          <w:spacing w:val="16"/>
          <w:sz w:val="21"/>
        </w:rPr>
        <w:t> </w:t>
      </w:r>
      <w:r>
        <w:rPr>
          <w:sz w:val="21"/>
        </w:rPr>
        <w:t>in</w:t>
      </w:r>
      <w:r>
        <w:rPr>
          <w:spacing w:val="16"/>
          <w:sz w:val="21"/>
        </w:rPr>
        <w:t> </w:t>
      </w:r>
      <w:r>
        <w:rPr>
          <w:sz w:val="21"/>
        </w:rPr>
        <w:t>Section</w:t>
      </w:r>
      <w:r>
        <w:rPr>
          <w:spacing w:val="16"/>
          <w:sz w:val="21"/>
        </w:rPr>
        <w:t> </w:t>
      </w:r>
      <w:r>
        <w:rPr>
          <w:sz w:val="21"/>
        </w:rPr>
        <w:t>10.1</w:t>
      </w:r>
      <w:r>
        <w:rPr>
          <w:spacing w:val="16"/>
          <w:sz w:val="21"/>
        </w:rPr>
        <w:t> </w:t>
      </w:r>
      <w:r>
        <w:rPr>
          <w:sz w:val="21"/>
        </w:rPr>
        <w:t>through</w:t>
      </w:r>
      <w:r>
        <w:rPr>
          <w:spacing w:val="16"/>
          <w:sz w:val="21"/>
        </w:rPr>
        <w:t> </w:t>
      </w:r>
      <w:r>
        <w:rPr>
          <w:sz w:val="21"/>
        </w:rPr>
        <w:t>10.3</w:t>
      </w:r>
      <w:r>
        <w:rPr>
          <w:spacing w:val="16"/>
          <w:sz w:val="21"/>
        </w:rPr>
        <w:t> </w:t>
      </w:r>
      <w:r>
        <w:rPr>
          <w:sz w:val="21"/>
        </w:rPr>
        <w:t>above.</w:t>
      </w:r>
      <w:r>
        <w:rPr>
          <w:spacing w:val="16"/>
          <w:sz w:val="21"/>
        </w:rPr>
        <w:t> </w:t>
      </w:r>
      <w:r>
        <w:rPr>
          <w:sz w:val="21"/>
        </w:rPr>
        <w:t>Subject</w:t>
      </w:r>
      <w:r>
        <w:rPr>
          <w:spacing w:val="16"/>
          <w:sz w:val="21"/>
        </w:rPr>
        <w:t> </w:t>
      </w:r>
      <w:r>
        <w:rPr>
          <w:sz w:val="21"/>
        </w:rPr>
        <w:t>to</w:t>
      </w:r>
      <w:r>
        <w:rPr>
          <w:spacing w:val="16"/>
          <w:sz w:val="21"/>
        </w:rPr>
        <w:t> </w:t>
      </w:r>
      <w:r>
        <w:rPr>
          <w:sz w:val="21"/>
        </w:rPr>
        <w:t>the</w:t>
      </w:r>
      <w:r>
        <w:rPr>
          <w:spacing w:val="16"/>
          <w:sz w:val="21"/>
        </w:rPr>
        <w:t> </w:t>
      </w:r>
      <w:r>
        <w:rPr>
          <w:sz w:val="21"/>
        </w:rPr>
        <w:t>conditions</w:t>
      </w:r>
      <w:r>
        <w:rPr>
          <w:spacing w:val="16"/>
          <w:sz w:val="21"/>
        </w:rPr>
        <w:t> </w:t>
      </w:r>
      <w:r>
        <w:rPr>
          <w:sz w:val="21"/>
        </w:rPr>
        <w:t>set</w:t>
      </w:r>
      <w:r>
        <w:rPr>
          <w:spacing w:val="16"/>
          <w:sz w:val="21"/>
        </w:rPr>
        <w:t> </w:t>
      </w:r>
      <w:r>
        <w:rPr>
          <w:sz w:val="21"/>
        </w:rPr>
        <w:t>forth</w:t>
      </w:r>
      <w:r>
        <w:rPr>
          <w:spacing w:val="16"/>
          <w:sz w:val="21"/>
        </w:rPr>
        <w:t> </w:t>
      </w:r>
      <w:r>
        <w:rPr>
          <w:sz w:val="21"/>
        </w:rPr>
        <w:t>below in Section 10.5:</w:t>
      </w:r>
    </w:p>
    <w:p>
      <w:pPr>
        <w:pStyle w:val="ListParagraph"/>
        <w:numPr>
          <w:ilvl w:val="2"/>
          <w:numId w:val="55"/>
        </w:numPr>
        <w:tabs>
          <w:tab w:pos="1408" w:val="left" w:leader="none"/>
        </w:tabs>
        <w:spacing w:line="213" w:lineRule="auto" w:before="221" w:after="0"/>
        <w:ind w:left="792" w:right="224" w:firstLine="0"/>
        <w:jc w:val="both"/>
        <w:rPr>
          <w:sz w:val="21"/>
        </w:rPr>
      </w:pPr>
      <w:r>
        <w:rPr>
          <w:sz w:val="21"/>
        </w:rPr>
        <w:t>If Employee is terminated during the Specified Term, Employee shall receive an amount equal to: (i) Employee’s</w:t>
      </w:r>
      <w:r>
        <w:rPr>
          <w:spacing w:val="80"/>
          <w:sz w:val="21"/>
        </w:rPr>
        <w:t> </w:t>
      </w:r>
      <w:r>
        <w:rPr>
          <w:sz w:val="21"/>
        </w:rPr>
        <w:t>annual</w:t>
      </w:r>
      <w:r>
        <w:rPr>
          <w:spacing w:val="40"/>
          <w:sz w:val="21"/>
        </w:rPr>
        <w:t> </w:t>
      </w:r>
      <w:r>
        <w:rPr>
          <w:sz w:val="21"/>
        </w:rPr>
        <w:t>base</w:t>
      </w:r>
      <w:r>
        <w:rPr>
          <w:spacing w:val="40"/>
          <w:sz w:val="21"/>
        </w:rPr>
        <w:t> </w:t>
      </w:r>
      <w:r>
        <w:rPr>
          <w:sz w:val="21"/>
        </w:rPr>
        <w:t>salary</w:t>
      </w:r>
      <w:r>
        <w:rPr>
          <w:spacing w:val="40"/>
          <w:sz w:val="21"/>
        </w:rPr>
        <w:t> </w:t>
      </w:r>
      <w:r>
        <w:rPr>
          <w:sz w:val="21"/>
        </w:rPr>
        <w:t>and</w:t>
      </w:r>
      <w:r>
        <w:rPr>
          <w:spacing w:val="40"/>
          <w:sz w:val="21"/>
        </w:rPr>
        <w:t> </w:t>
      </w:r>
      <w:r>
        <w:rPr>
          <w:sz w:val="21"/>
        </w:rPr>
        <w:t>(ii)</w:t>
      </w:r>
      <w:r>
        <w:rPr>
          <w:spacing w:val="40"/>
          <w:sz w:val="21"/>
        </w:rPr>
        <w:t> </w:t>
      </w:r>
      <w:r>
        <w:rPr>
          <w:sz w:val="21"/>
        </w:rPr>
        <w:t>Target</w:t>
      </w:r>
      <w:r>
        <w:rPr>
          <w:spacing w:val="40"/>
          <w:sz w:val="21"/>
        </w:rPr>
        <w:t> </w:t>
      </w:r>
      <w:r>
        <w:rPr>
          <w:sz w:val="21"/>
        </w:rPr>
        <w:t>Bonus</w:t>
      </w:r>
      <w:r>
        <w:rPr>
          <w:spacing w:val="40"/>
          <w:sz w:val="21"/>
        </w:rPr>
        <w:t> </w:t>
      </w:r>
      <w:r>
        <w:rPr>
          <w:sz w:val="21"/>
        </w:rPr>
        <w:t>(the</w:t>
      </w:r>
      <w:r>
        <w:rPr>
          <w:spacing w:val="40"/>
          <w:sz w:val="21"/>
        </w:rPr>
        <w:t> </w:t>
      </w:r>
      <w:r>
        <w:rPr>
          <w:sz w:val="21"/>
        </w:rPr>
        <w:t>“Severance</w:t>
      </w:r>
      <w:r>
        <w:rPr>
          <w:spacing w:val="40"/>
          <w:sz w:val="21"/>
        </w:rPr>
        <w:t> </w:t>
      </w:r>
      <w:r>
        <w:rPr>
          <w:sz w:val="21"/>
        </w:rPr>
        <w:t>Payment”),</w:t>
      </w:r>
      <w:r>
        <w:rPr>
          <w:spacing w:val="40"/>
          <w:sz w:val="21"/>
        </w:rPr>
        <w:t> </w:t>
      </w:r>
      <w:r>
        <w:rPr>
          <w:sz w:val="21"/>
        </w:rPr>
        <w:t>less</w:t>
      </w:r>
      <w:r>
        <w:rPr>
          <w:spacing w:val="40"/>
          <w:sz w:val="21"/>
        </w:rPr>
        <w:t> </w:t>
      </w:r>
      <w:r>
        <w:rPr>
          <w:sz w:val="21"/>
        </w:rPr>
        <w:t>all</w:t>
      </w:r>
      <w:r>
        <w:rPr>
          <w:spacing w:val="40"/>
          <w:sz w:val="21"/>
        </w:rPr>
        <w:t> </w:t>
      </w:r>
      <w:r>
        <w:rPr>
          <w:sz w:val="21"/>
        </w:rPr>
        <w:t>applicable</w:t>
      </w:r>
      <w:r>
        <w:rPr>
          <w:spacing w:val="40"/>
          <w:sz w:val="21"/>
        </w:rPr>
        <w:t> </w:t>
      </w:r>
      <w:r>
        <w:rPr>
          <w:sz w:val="21"/>
        </w:rPr>
        <w:t>taxes,</w:t>
      </w:r>
      <w:r>
        <w:rPr>
          <w:spacing w:val="40"/>
          <w:sz w:val="21"/>
        </w:rPr>
        <w:t> </w:t>
      </w:r>
      <w:r>
        <w:rPr>
          <w:sz w:val="21"/>
        </w:rPr>
        <w:t>payable</w:t>
      </w:r>
      <w:r>
        <w:rPr>
          <w:spacing w:val="40"/>
          <w:sz w:val="21"/>
        </w:rPr>
        <w:t> </w:t>
      </w:r>
      <w:r>
        <w:rPr>
          <w:sz w:val="21"/>
        </w:rPr>
        <w:t>in</w:t>
      </w:r>
      <w:r>
        <w:rPr>
          <w:spacing w:val="40"/>
          <w:sz w:val="21"/>
        </w:rPr>
        <w:t> </w:t>
      </w:r>
      <w:r>
        <w:rPr>
          <w:sz w:val="21"/>
        </w:rPr>
        <w:t>twelve</w:t>
      </w:r>
      <w:r>
        <w:rPr>
          <w:spacing w:val="40"/>
          <w:sz w:val="21"/>
        </w:rPr>
        <w:t> </w:t>
      </w:r>
      <w:r>
        <w:rPr>
          <w:sz w:val="21"/>
        </w:rPr>
        <w:t>(12) monthly</w:t>
      </w:r>
      <w:r>
        <w:rPr>
          <w:spacing w:val="36"/>
          <w:sz w:val="21"/>
        </w:rPr>
        <w:t> </w:t>
      </w:r>
      <w:r>
        <w:rPr>
          <w:sz w:val="21"/>
        </w:rPr>
        <w:t>installments</w:t>
      </w:r>
      <w:r>
        <w:rPr>
          <w:spacing w:val="36"/>
          <w:sz w:val="21"/>
        </w:rPr>
        <w:t> </w:t>
      </w:r>
      <w:r>
        <w:rPr>
          <w:sz w:val="21"/>
        </w:rPr>
        <w:t>commencing</w:t>
      </w:r>
      <w:r>
        <w:rPr>
          <w:spacing w:val="36"/>
          <w:sz w:val="21"/>
        </w:rPr>
        <w:t> </w:t>
      </w:r>
      <w:r>
        <w:rPr>
          <w:sz w:val="21"/>
        </w:rPr>
        <w:t>upon</w:t>
      </w:r>
      <w:r>
        <w:rPr>
          <w:spacing w:val="36"/>
          <w:sz w:val="21"/>
        </w:rPr>
        <w:t> </w:t>
      </w:r>
      <w:r>
        <w:rPr>
          <w:sz w:val="21"/>
        </w:rPr>
        <w:t>the</w:t>
      </w:r>
      <w:r>
        <w:rPr>
          <w:spacing w:val="36"/>
          <w:sz w:val="21"/>
        </w:rPr>
        <w:t> </w:t>
      </w:r>
      <w:r>
        <w:rPr>
          <w:sz w:val="21"/>
        </w:rPr>
        <w:t>date</w:t>
      </w:r>
      <w:r>
        <w:rPr>
          <w:spacing w:val="36"/>
          <w:sz w:val="21"/>
        </w:rPr>
        <w:t> </w:t>
      </w:r>
      <w:r>
        <w:rPr>
          <w:sz w:val="21"/>
        </w:rPr>
        <w:t>that</w:t>
      </w:r>
      <w:r>
        <w:rPr>
          <w:spacing w:val="36"/>
          <w:sz w:val="21"/>
        </w:rPr>
        <w:t> </w:t>
      </w:r>
      <w:r>
        <w:rPr>
          <w:sz w:val="21"/>
        </w:rPr>
        <w:t>is</w:t>
      </w:r>
      <w:r>
        <w:rPr>
          <w:spacing w:val="36"/>
          <w:sz w:val="21"/>
        </w:rPr>
        <w:t> </w:t>
      </w:r>
      <w:r>
        <w:rPr>
          <w:sz w:val="21"/>
        </w:rPr>
        <w:t>thirty</w:t>
      </w:r>
      <w:r>
        <w:rPr>
          <w:spacing w:val="36"/>
          <w:sz w:val="21"/>
        </w:rPr>
        <w:t> </w:t>
      </w:r>
      <w:r>
        <w:rPr>
          <w:sz w:val="21"/>
        </w:rPr>
        <w:t>(30)</w:t>
      </w:r>
      <w:r>
        <w:rPr>
          <w:spacing w:val="36"/>
          <w:sz w:val="21"/>
        </w:rPr>
        <w:t> </w:t>
      </w:r>
      <w:r>
        <w:rPr>
          <w:sz w:val="21"/>
        </w:rPr>
        <w:t>days</w:t>
      </w:r>
      <w:r>
        <w:rPr>
          <w:spacing w:val="36"/>
          <w:sz w:val="21"/>
        </w:rPr>
        <w:t> </w:t>
      </w:r>
      <w:r>
        <w:rPr>
          <w:sz w:val="21"/>
        </w:rPr>
        <w:t>after</w:t>
      </w:r>
      <w:r>
        <w:rPr>
          <w:spacing w:val="36"/>
          <w:sz w:val="21"/>
        </w:rPr>
        <w:t> </w:t>
      </w:r>
      <w:r>
        <w:rPr>
          <w:sz w:val="21"/>
        </w:rPr>
        <w:t>the</w:t>
      </w:r>
      <w:r>
        <w:rPr>
          <w:spacing w:val="36"/>
          <w:sz w:val="21"/>
        </w:rPr>
        <w:t> </w:t>
      </w:r>
      <w:r>
        <w:rPr>
          <w:sz w:val="21"/>
        </w:rPr>
        <w:t>date</w:t>
      </w:r>
      <w:r>
        <w:rPr>
          <w:spacing w:val="36"/>
          <w:sz w:val="21"/>
        </w:rPr>
        <w:t> </w:t>
      </w:r>
      <w:r>
        <w:rPr>
          <w:sz w:val="21"/>
        </w:rPr>
        <w:t>of</w:t>
      </w:r>
      <w:r>
        <w:rPr>
          <w:spacing w:val="36"/>
          <w:sz w:val="21"/>
        </w:rPr>
        <w:t> </w:t>
      </w:r>
      <w:r>
        <w:rPr>
          <w:sz w:val="21"/>
        </w:rPr>
        <w:t>separation;</w:t>
      </w:r>
      <w:r>
        <w:rPr>
          <w:spacing w:val="36"/>
          <w:sz w:val="21"/>
        </w:rPr>
        <w:t> </w:t>
      </w:r>
      <w:r>
        <w:rPr>
          <w:sz w:val="21"/>
        </w:rPr>
        <w:t>plus</w:t>
      </w:r>
      <w:r>
        <w:rPr>
          <w:spacing w:val="36"/>
          <w:sz w:val="21"/>
        </w:rPr>
        <w:t> </w:t>
      </w:r>
      <w:r>
        <w:rPr>
          <w:sz w:val="21"/>
        </w:rPr>
        <w:t>any</w:t>
      </w:r>
      <w:r>
        <w:rPr>
          <w:spacing w:val="36"/>
          <w:sz w:val="21"/>
        </w:rPr>
        <w:t> </w:t>
      </w:r>
      <w:r>
        <w:rPr>
          <w:sz w:val="21"/>
        </w:rPr>
        <w:t>earned</w:t>
      </w:r>
      <w:r>
        <w:rPr>
          <w:spacing w:val="36"/>
          <w:sz w:val="21"/>
        </w:rPr>
        <w:t> </w:t>
      </w:r>
      <w:r>
        <w:rPr>
          <w:sz w:val="21"/>
        </w:rPr>
        <w:t>but unpaid discretionary bonus due to Employee, payable in accordance with the provisions of the bonus program. For the avoidance of doubt, an earned bonus includes any bonus where the performance period has been completed and a bonus has become payable to the Employee (an “Earned Bonus Amount”). In addition, Employee shall receive a lump sum payment</w:t>
      </w:r>
      <w:r>
        <w:rPr>
          <w:spacing w:val="80"/>
          <w:sz w:val="21"/>
        </w:rPr>
        <w:t> </w:t>
      </w:r>
      <w:r>
        <w:rPr>
          <w:sz w:val="21"/>
        </w:rPr>
        <w:t>equal to 1.5 times the cost of COBRA coverage for a period of twelve (12) months immediately following separation (the “COBRA Payment”), payable in twelve (12) monthly installments commencing upon separation. Notwithstanding the foregoing,</w:t>
      </w:r>
      <w:r>
        <w:rPr>
          <w:spacing w:val="39"/>
          <w:sz w:val="21"/>
        </w:rPr>
        <w:t> </w:t>
      </w:r>
      <w:r>
        <w:rPr>
          <w:sz w:val="21"/>
        </w:rPr>
        <w:t>if</w:t>
      </w:r>
      <w:r>
        <w:rPr>
          <w:spacing w:val="39"/>
          <w:sz w:val="21"/>
        </w:rPr>
        <w:t> </w:t>
      </w:r>
      <w:r>
        <w:rPr>
          <w:sz w:val="21"/>
        </w:rPr>
        <w:t>Employee</w:t>
      </w:r>
      <w:r>
        <w:rPr>
          <w:spacing w:val="39"/>
          <w:sz w:val="21"/>
        </w:rPr>
        <w:t> </w:t>
      </w:r>
      <w:r>
        <w:rPr>
          <w:sz w:val="21"/>
        </w:rPr>
        <w:t>is</w:t>
      </w:r>
      <w:r>
        <w:rPr>
          <w:spacing w:val="39"/>
          <w:sz w:val="21"/>
        </w:rPr>
        <w:t> </w:t>
      </w:r>
      <w:r>
        <w:rPr>
          <w:sz w:val="21"/>
        </w:rPr>
        <w:t>terminated</w:t>
      </w:r>
      <w:r>
        <w:rPr>
          <w:spacing w:val="39"/>
          <w:sz w:val="21"/>
        </w:rPr>
        <w:t> </w:t>
      </w:r>
      <w:r>
        <w:rPr>
          <w:sz w:val="21"/>
        </w:rPr>
        <w:t>during</w:t>
      </w:r>
      <w:r>
        <w:rPr>
          <w:spacing w:val="39"/>
          <w:sz w:val="21"/>
        </w:rPr>
        <w:t> </w:t>
      </w:r>
      <w:r>
        <w:rPr>
          <w:sz w:val="21"/>
        </w:rPr>
        <w:t>the</w:t>
      </w:r>
      <w:r>
        <w:rPr>
          <w:spacing w:val="39"/>
          <w:sz w:val="21"/>
        </w:rPr>
        <w:t> </w:t>
      </w:r>
      <w:r>
        <w:rPr>
          <w:sz w:val="21"/>
        </w:rPr>
        <w:t>Specified</w:t>
      </w:r>
      <w:r>
        <w:rPr>
          <w:spacing w:val="34"/>
          <w:sz w:val="21"/>
        </w:rPr>
        <w:t> </w:t>
      </w:r>
      <w:r>
        <w:rPr>
          <w:sz w:val="21"/>
        </w:rPr>
        <w:t>Term</w:t>
      </w:r>
      <w:r>
        <w:rPr>
          <w:spacing w:val="39"/>
          <w:sz w:val="21"/>
        </w:rPr>
        <w:t> </w:t>
      </w:r>
      <w:r>
        <w:rPr>
          <w:sz w:val="21"/>
        </w:rPr>
        <w:t>as</w:t>
      </w:r>
      <w:r>
        <w:rPr>
          <w:spacing w:val="39"/>
          <w:sz w:val="21"/>
        </w:rPr>
        <w:t> </w:t>
      </w:r>
      <w:r>
        <w:rPr>
          <w:sz w:val="21"/>
        </w:rPr>
        <w:t>a</w:t>
      </w:r>
      <w:r>
        <w:rPr>
          <w:spacing w:val="39"/>
          <w:sz w:val="21"/>
        </w:rPr>
        <w:t> </w:t>
      </w:r>
      <w:r>
        <w:rPr>
          <w:sz w:val="21"/>
        </w:rPr>
        <w:t>result</w:t>
      </w:r>
      <w:r>
        <w:rPr>
          <w:spacing w:val="39"/>
          <w:sz w:val="21"/>
        </w:rPr>
        <w:t> </w:t>
      </w:r>
      <w:r>
        <w:rPr>
          <w:sz w:val="21"/>
        </w:rPr>
        <w:t>of</w:t>
      </w:r>
      <w:r>
        <w:rPr>
          <w:spacing w:val="39"/>
          <w:sz w:val="21"/>
        </w:rPr>
        <w:t> </w:t>
      </w:r>
      <w:r>
        <w:rPr>
          <w:sz w:val="21"/>
        </w:rPr>
        <w:t>a</w:t>
      </w:r>
      <w:r>
        <w:rPr>
          <w:spacing w:val="39"/>
          <w:sz w:val="21"/>
        </w:rPr>
        <w:t> </w:t>
      </w:r>
      <w:r>
        <w:rPr>
          <w:sz w:val="21"/>
        </w:rPr>
        <w:t>Material</w:t>
      </w:r>
      <w:r>
        <w:rPr>
          <w:spacing w:val="39"/>
          <w:sz w:val="21"/>
        </w:rPr>
        <w:t> </w:t>
      </w:r>
      <w:r>
        <w:rPr>
          <w:sz w:val="21"/>
        </w:rPr>
        <w:t>Digital Acquisition</w:t>
      </w:r>
      <w:r>
        <w:rPr>
          <w:spacing w:val="39"/>
          <w:sz w:val="21"/>
        </w:rPr>
        <w:t> </w:t>
      </w:r>
      <w:r>
        <w:rPr>
          <w:sz w:val="21"/>
        </w:rPr>
        <w:t>(as</w:t>
      </w:r>
      <w:r>
        <w:rPr>
          <w:spacing w:val="39"/>
          <w:sz w:val="21"/>
        </w:rPr>
        <w:t> </w:t>
      </w:r>
      <w:r>
        <w:rPr>
          <w:sz w:val="21"/>
        </w:rPr>
        <w:t>defined below)</w:t>
      </w:r>
      <w:r>
        <w:rPr>
          <w:spacing w:val="40"/>
          <w:sz w:val="21"/>
        </w:rPr>
        <w:t> </w:t>
      </w:r>
      <w:r>
        <w:rPr>
          <w:sz w:val="21"/>
        </w:rPr>
        <w:t>then,</w:t>
      </w:r>
      <w:r>
        <w:rPr>
          <w:spacing w:val="40"/>
          <w:sz w:val="21"/>
        </w:rPr>
        <w:t> </w:t>
      </w:r>
      <w:r>
        <w:rPr>
          <w:sz w:val="21"/>
        </w:rPr>
        <w:t>in</w:t>
      </w:r>
      <w:r>
        <w:rPr>
          <w:spacing w:val="40"/>
          <w:sz w:val="21"/>
        </w:rPr>
        <w:t> </w:t>
      </w:r>
      <w:r>
        <w:rPr>
          <w:sz w:val="21"/>
        </w:rPr>
        <w:t>lieu</w:t>
      </w:r>
      <w:r>
        <w:rPr>
          <w:spacing w:val="40"/>
          <w:sz w:val="21"/>
        </w:rPr>
        <w:t> </w:t>
      </w:r>
      <w:r>
        <w:rPr>
          <w:sz w:val="21"/>
        </w:rPr>
        <w:t>of</w:t>
      </w:r>
      <w:r>
        <w:rPr>
          <w:spacing w:val="40"/>
          <w:sz w:val="21"/>
        </w:rPr>
        <w:t> </w:t>
      </w:r>
      <w:r>
        <w:rPr>
          <w:sz w:val="21"/>
        </w:rPr>
        <w:t>the</w:t>
      </w:r>
      <w:r>
        <w:rPr>
          <w:spacing w:val="40"/>
          <w:sz w:val="21"/>
        </w:rPr>
        <w:t> </w:t>
      </w:r>
      <w:r>
        <w:rPr>
          <w:sz w:val="21"/>
        </w:rPr>
        <w:t>Severance</w:t>
      </w:r>
      <w:r>
        <w:rPr>
          <w:spacing w:val="40"/>
          <w:sz w:val="21"/>
        </w:rPr>
        <w:t> </w:t>
      </w:r>
      <w:r>
        <w:rPr>
          <w:sz w:val="21"/>
        </w:rPr>
        <w:t>Payment,</w:t>
      </w:r>
      <w:r>
        <w:rPr>
          <w:spacing w:val="40"/>
          <w:sz w:val="21"/>
        </w:rPr>
        <w:t> </w:t>
      </w:r>
      <w:r>
        <w:rPr>
          <w:sz w:val="21"/>
        </w:rPr>
        <w:t>Employee</w:t>
      </w:r>
      <w:r>
        <w:rPr>
          <w:spacing w:val="40"/>
          <w:sz w:val="21"/>
        </w:rPr>
        <w:t> </w:t>
      </w:r>
      <w:r>
        <w:rPr>
          <w:sz w:val="21"/>
        </w:rPr>
        <w:t>shall</w:t>
      </w:r>
      <w:r>
        <w:rPr>
          <w:spacing w:val="40"/>
          <w:sz w:val="21"/>
        </w:rPr>
        <w:t> </w:t>
      </w:r>
      <w:r>
        <w:rPr>
          <w:sz w:val="21"/>
        </w:rPr>
        <w:t>be</w:t>
      </w:r>
      <w:r>
        <w:rPr>
          <w:spacing w:val="40"/>
          <w:sz w:val="21"/>
        </w:rPr>
        <w:t> </w:t>
      </w:r>
      <w:r>
        <w:rPr>
          <w:sz w:val="21"/>
        </w:rPr>
        <w:t>entitled</w:t>
      </w:r>
      <w:r>
        <w:rPr>
          <w:spacing w:val="40"/>
          <w:sz w:val="21"/>
        </w:rPr>
        <w:t> </w:t>
      </w:r>
      <w:r>
        <w:rPr>
          <w:sz w:val="21"/>
        </w:rPr>
        <w:t>to</w:t>
      </w:r>
      <w:r>
        <w:rPr>
          <w:spacing w:val="40"/>
          <w:sz w:val="21"/>
        </w:rPr>
        <w:t> </w:t>
      </w:r>
      <w:r>
        <w:rPr>
          <w:sz w:val="21"/>
        </w:rPr>
        <w:t>an</w:t>
      </w:r>
      <w:r>
        <w:rPr>
          <w:spacing w:val="40"/>
          <w:sz w:val="21"/>
        </w:rPr>
        <w:t> </w:t>
      </w:r>
      <w:r>
        <w:rPr>
          <w:sz w:val="21"/>
        </w:rPr>
        <w:t>amount</w:t>
      </w:r>
      <w:r>
        <w:rPr>
          <w:spacing w:val="40"/>
          <w:sz w:val="21"/>
        </w:rPr>
        <w:t> </w:t>
      </w:r>
      <w:r>
        <w:rPr>
          <w:sz w:val="21"/>
        </w:rPr>
        <w:t>equal</w:t>
      </w:r>
      <w:r>
        <w:rPr>
          <w:spacing w:val="40"/>
          <w:sz w:val="21"/>
        </w:rPr>
        <w:t> </w:t>
      </w:r>
      <w:r>
        <w:rPr>
          <w:sz w:val="21"/>
        </w:rPr>
        <w:t>to</w:t>
      </w:r>
      <w:r>
        <w:rPr>
          <w:spacing w:val="40"/>
          <w:sz w:val="21"/>
        </w:rPr>
        <w:t> </w:t>
      </w:r>
      <w:r>
        <w:rPr>
          <w:sz w:val="21"/>
        </w:rPr>
        <w:t>(i)</w:t>
      </w:r>
      <w:r>
        <w:rPr>
          <w:spacing w:val="40"/>
          <w:sz w:val="21"/>
        </w:rPr>
        <w:t> </w:t>
      </w:r>
      <w:r>
        <w:rPr>
          <w:sz w:val="21"/>
        </w:rPr>
        <w:t>two</w:t>
      </w:r>
      <w:r>
        <w:rPr>
          <w:spacing w:val="40"/>
          <w:sz w:val="21"/>
        </w:rPr>
        <w:t> </w:t>
      </w:r>
      <w:r>
        <w:rPr>
          <w:sz w:val="21"/>
        </w:rPr>
        <w:t>(2)</w:t>
      </w:r>
      <w:r>
        <w:rPr>
          <w:spacing w:val="40"/>
          <w:sz w:val="21"/>
        </w:rPr>
        <w:t> </w:t>
      </w:r>
      <w:r>
        <w:rPr>
          <w:sz w:val="21"/>
        </w:rPr>
        <w:t>times Employee’s annual base salary plus two (2) times his Target Bonus, less all applicable taxes, payable in twenty four (24) monthly installments commencing upon the date that is thirty (30) days after Employee’s termination date (the “MDA Severance</w:t>
      </w:r>
      <w:r>
        <w:rPr>
          <w:spacing w:val="40"/>
          <w:sz w:val="21"/>
        </w:rPr>
        <w:t> </w:t>
      </w:r>
      <w:r>
        <w:rPr>
          <w:sz w:val="21"/>
        </w:rPr>
        <w:t>Payment”)</w:t>
      </w:r>
      <w:r>
        <w:rPr>
          <w:spacing w:val="40"/>
          <w:sz w:val="21"/>
        </w:rPr>
        <w:t> </w:t>
      </w:r>
      <w:r>
        <w:rPr>
          <w:sz w:val="21"/>
        </w:rPr>
        <w:t>and</w:t>
      </w:r>
      <w:r>
        <w:rPr>
          <w:spacing w:val="40"/>
          <w:sz w:val="21"/>
        </w:rPr>
        <w:t> </w:t>
      </w:r>
      <w:r>
        <w:rPr>
          <w:sz w:val="21"/>
        </w:rPr>
        <w:t>(ii)</w:t>
      </w:r>
      <w:r>
        <w:rPr>
          <w:spacing w:val="40"/>
          <w:sz w:val="21"/>
        </w:rPr>
        <w:t> </w:t>
      </w:r>
      <w:r>
        <w:rPr>
          <w:sz w:val="21"/>
        </w:rPr>
        <w:t>the</w:t>
      </w:r>
      <w:r>
        <w:rPr>
          <w:spacing w:val="40"/>
          <w:sz w:val="21"/>
        </w:rPr>
        <w:t> </w:t>
      </w:r>
      <w:r>
        <w:rPr>
          <w:sz w:val="21"/>
        </w:rPr>
        <w:t>COBRA</w:t>
      </w:r>
      <w:r>
        <w:rPr>
          <w:spacing w:val="40"/>
          <w:sz w:val="21"/>
        </w:rPr>
        <w:t> </w:t>
      </w:r>
      <w:r>
        <w:rPr>
          <w:sz w:val="21"/>
        </w:rPr>
        <w:t>Payment.</w:t>
      </w:r>
      <w:r>
        <w:rPr>
          <w:spacing w:val="40"/>
          <w:sz w:val="21"/>
        </w:rPr>
        <w:t> </w:t>
      </w:r>
      <w:r>
        <w:rPr>
          <w:sz w:val="21"/>
        </w:rPr>
        <w:t>In</w:t>
      </w:r>
      <w:r>
        <w:rPr>
          <w:spacing w:val="40"/>
          <w:sz w:val="21"/>
        </w:rPr>
        <w:t> </w:t>
      </w:r>
      <w:r>
        <w:rPr>
          <w:sz w:val="21"/>
        </w:rPr>
        <w:t>the</w:t>
      </w:r>
      <w:r>
        <w:rPr>
          <w:spacing w:val="40"/>
          <w:sz w:val="21"/>
        </w:rPr>
        <w:t> </w:t>
      </w:r>
      <w:r>
        <w:rPr>
          <w:sz w:val="21"/>
        </w:rPr>
        <w:t>event</w:t>
      </w:r>
      <w:r>
        <w:rPr>
          <w:spacing w:val="40"/>
          <w:sz w:val="21"/>
        </w:rPr>
        <w:t> </w:t>
      </w:r>
      <w:r>
        <w:rPr>
          <w:sz w:val="21"/>
        </w:rPr>
        <w:t>Employee</w:t>
      </w:r>
      <w:r>
        <w:rPr>
          <w:spacing w:val="40"/>
          <w:sz w:val="21"/>
        </w:rPr>
        <w:t> </w:t>
      </w:r>
      <w:r>
        <w:rPr>
          <w:sz w:val="21"/>
        </w:rPr>
        <w:t>becomes</w:t>
      </w:r>
      <w:r>
        <w:rPr>
          <w:spacing w:val="40"/>
          <w:sz w:val="21"/>
        </w:rPr>
        <w:t> </w:t>
      </w:r>
      <w:r>
        <w:rPr>
          <w:sz w:val="21"/>
        </w:rPr>
        <w:t>entitled</w:t>
      </w:r>
      <w:r>
        <w:rPr>
          <w:spacing w:val="40"/>
          <w:sz w:val="21"/>
        </w:rPr>
        <w:t> </w:t>
      </w:r>
      <w:r>
        <w:rPr>
          <w:sz w:val="21"/>
        </w:rPr>
        <w:t>to</w:t>
      </w:r>
      <w:r>
        <w:rPr>
          <w:spacing w:val="40"/>
          <w:sz w:val="21"/>
        </w:rPr>
        <w:t> </w:t>
      </w:r>
      <w:r>
        <w:rPr>
          <w:sz w:val="21"/>
        </w:rPr>
        <w:t>the</w:t>
      </w:r>
      <w:r>
        <w:rPr>
          <w:spacing w:val="40"/>
          <w:sz w:val="21"/>
        </w:rPr>
        <w:t> </w:t>
      </w:r>
      <w:r>
        <w:rPr>
          <w:sz w:val="21"/>
        </w:rPr>
        <w:t>MDA</w:t>
      </w:r>
      <w:r>
        <w:rPr>
          <w:spacing w:val="40"/>
          <w:sz w:val="21"/>
        </w:rPr>
        <w:t> </w:t>
      </w:r>
      <w:r>
        <w:rPr>
          <w:sz w:val="21"/>
        </w:rPr>
        <w:t>Severance Payment</w:t>
      </w:r>
      <w:r>
        <w:rPr>
          <w:spacing w:val="40"/>
          <w:sz w:val="21"/>
        </w:rPr>
        <w:t> </w:t>
      </w:r>
      <w:r>
        <w:rPr>
          <w:sz w:val="21"/>
        </w:rPr>
        <w:t>and</w:t>
      </w:r>
      <w:r>
        <w:rPr>
          <w:spacing w:val="40"/>
          <w:sz w:val="21"/>
        </w:rPr>
        <w:t> </w:t>
      </w:r>
      <w:r>
        <w:rPr>
          <w:sz w:val="21"/>
        </w:rPr>
        <w:t>such</w:t>
      </w:r>
      <w:r>
        <w:rPr>
          <w:spacing w:val="40"/>
          <w:sz w:val="21"/>
        </w:rPr>
        <w:t> </w:t>
      </w:r>
      <w:r>
        <w:rPr>
          <w:sz w:val="21"/>
        </w:rPr>
        <w:t>event</w:t>
      </w:r>
      <w:r>
        <w:rPr>
          <w:spacing w:val="40"/>
          <w:sz w:val="21"/>
        </w:rPr>
        <w:t> </w:t>
      </w:r>
      <w:r>
        <w:rPr>
          <w:sz w:val="21"/>
        </w:rPr>
        <w:t>triggers</w:t>
      </w:r>
      <w:r>
        <w:rPr>
          <w:spacing w:val="40"/>
          <w:sz w:val="21"/>
        </w:rPr>
        <w:t> </w:t>
      </w:r>
      <w:r>
        <w:rPr>
          <w:sz w:val="21"/>
        </w:rPr>
        <w:t>severance</w:t>
      </w:r>
      <w:r>
        <w:rPr>
          <w:spacing w:val="40"/>
          <w:sz w:val="21"/>
        </w:rPr>
        <w:t> </w:t>
      </w:r>
      <w:r>
        <w:rPr>
          <w:sz w:val="21"/>
        </w:rPr>
        <w:t>payments</w:t>
      </w:r>
      <w:r>
        <w:rPr>
          <w:spacing w:val="40"/>
          <w:sz w:val="21"/>
        </w:rPr>
        <w:t> </w:t>
      </w:r>
      <w:r>
        <w:rPr>
          <w:sz w:val="21"/>
        </w:rPr>
        <w:t>under</w:t>
      </w:r>
      <w:r>
        <w:rPr>
          <w:spacing w:val="40"/>
          <w:sz w:val="21"/>
        </w:rPr>
        <w:t> </w:t>
      </w:r>
      <w:r>
        <w:rPr>
          <w:sz w:val="21"/>
        </w:rPr>
        <w:t>the</w:t>
      </w:r>
      <w:r>
        <w:rPr>
          <w:spacing w:val="40"/>
          <w:sz w:val="21"/>
        </w:rPr>
        <w:t> </w:t>
      </w:r>
      <w:r>
        <w:rPr>
          <w:sz w:val="21"/>
        </w:rPr>
        <w:t>Company’s</w:t>
      </w:r>
      <w:r>
        <w:rPr>
          <w:spacing w:val="40"/>
          <w:sz w:val="21"/>
        </w:rPr>
        <w:t> </w:t>
      </w:r>
      <w:r>
        <w:rPr>
          <w:sz w:val="21"/>
        </w:rPr>
        <w:t>COC</w:t>
      </w:r>
      <w:r>
        <w:rPr>
          <w:spacing w:val="40"/>
          <w:sz w:val="21"/>
        </w:rPr>
        <w:t> </w:t>
      </w:r>
      <w:r>
        <w:rPr>
          <w:sz w:val="21"/>
        </w:rPr>
        <w:t>Policy,</w:t>
      </w:r>
      <w:r>
        <w:rPr>
          <w:spacing w:val="40"/>
          <w:sz w:val="21"/>
        </w:rPr>
        <w:t> </w:t>
      </w:r>
      <w:r>
        <w:rPr>
          <w:sz w:val="21"/>
        </w:rPr>
        <w:t>if</w:t>
      </w:r>
      <w:r>
        <w:rPr>
          <w:spacing w:val="40"/>
          <w:sz w:val="21"/>
        </w:rPr>
        <w:t> </w:t>
      </w:r>
      <w:r>
        <w:rPr>
          <w:sz w:val="21"/>
        </w:rPr>
        <w:t>the</w:t>
      </w:r>
      <w:r>
        <w:rPr>
          <w:spacing w:val="40"/>
          <w:sz w:val="21"/>
        </w:rPr>
        <w:t> </w:t>
      </w:r>
      <w:r>
        <w:rPr>
          <w:sz w:val="21"/>
        </w:rPr>
        <w:t>aggregate</w:t>
      </w:r>
      <w:r>
        <w:rPr>
          <w:spacing w:val="40"/>
          <w:sz w:val="21"/>
        </w:rPr>
        <w:t> </w:t>
      </w:r>
      <w:r>
        <w:rPr>
          <w:sz w:val="21"/>
        </w:rPr>
        <w:t>cash</w:t>
      </w:r>
      <w:r>
        <w:rPr>
          <w:spacing w:val="40"/>
          <w:sz w:val="21"/>
        </w:rPr>
        <w:t> </w:t>
      </w:r>
      <w:r>
        <w:rPr>
          <w:sz w:val="21"/>
        </w:rPr>
        <w:t>benefits payable to Employee pursuant to Sections 10.4 or 10.6 of this Agreement are more than the aggregate cash benefits payable under</w:t>
      </w:r>
      <w:r>
        <w:rPr>
          <w:spacing w:val="22"/>
          <w:sz w:val="21"/>
        </w:rPr>
        <w:t> </w:t>
      </w:r>
      <w:r>
        <w:rPr>
          <w:sz w:val="21"/>
        </w:rPr>
        <w:t>the</w:t>
      </w:r>
      <w:r>
        <w:rPr>
          <w:spacing w:val="22"/>
          <w:sz w:val="21"/>
        </w:rPr>
        <w:t> </w:t>
      </w:r>
      <w:r>
        <w:rPr>
          <w:sz w:val="21"/>
        </w:rPr>
        <w:t>CoC</w:t>
      </w:r>
      <w:r>
        <w:rPr>
          <w:spacing w:val="22"/>
          <w:sz w:val="21"/>
        </w:rPr>
        <w:t> </w:t>
      </w:r>
      <w:r>
        <w:rPr>
          <w:sz w:val="21"/>
        </w:rPr>
        <w:t>Policy</w:t>
      </w:r>
      <w:r>
        <w:rPr>
          <w:spacing w:val="22"/>
          <w:sz w:val="21"/>
        </w:rPr>
        <w:t> </w:t>
      </w:r>
      <w:r>
        <w:rPr>
          <w:sz w:val="21"/>
        </w:rPr>
        <w:t>then</w:t>
      </w:r>
      <w:r>
        <w:rPr>
          <w:spacing w:val="22"/>
          <w:sz w:val="21"/>
        </w:rPr>
        <w:t> </w:t>
      </w:r>
      <w:r>
        <w:rPr>
          <w:sz w:val="21"/>
        </w:rPr>
        <w:t>Employee</w:t>
      </w:r>
      <w:r>
        <w:rPr>
          <w:spacing w:val="22"/>
          <w:sz w:val="21"/>
        </w:rPr>
        <w:t> </w:t>
      </w:r>
      <w:r>
        <w:rPr>
          <w:sz w:val="21"/>
        </w:rPr>
        <w:t>shall</w:t>
      </w:r>
      <w:r>
        <w:rPr>
          <w:spacing w:val="22"/>
          <w:sz w:val="21"/>
        </w:rPr>
        <w:t> </w:t>
      </w:r>
      <w:r>
        <w:rPr>
          <w:sz w:val="21"/>
        </w:rPr>
        <w:t>be</w:t>
      </w:r>
      <w:r>
        <w:rPr>
          <w:spacing w:val="22"/>
          <w:sz w:val="21"/>
        </w:rPr>
        <w:t> </w:t>
      </w:r>
      <w:r>
        <w:rPr>
          <w:sz w:val="21"/>
        </w:rPr>
        <w:t>entitled</w:t>
      </w:r>
      <w:r>
        <w:rPr>
          <w:spacing w:val="22"/>
          <w:sz w:val="21"/>
        </w:rPr>
        <w:t> </w:t>
      </w:r>
      <w:r>
        <w:rPr>
          <w:sz w:val="21"/>
        </w:rPr>
        <w:t>to</w:t>
      </w:r>
      <w:r>
        <w:rPr>
          <w:spacing w:val="22"/>
          <w:sz w:val="21"/>
        </w:rPr>
        <w:t> </w:t>
      </w:r>
      <w:r>
        <w:rPr>
          <w:sz w:val="21"/>
        </w:rPr>
        <w:t>the</w:t>
      </w:r>
      <w:r>
        <w:rPr>
          <w:spacing w:val="22"/>
          <w:sz w:val="21"/>
        </w:rPr>
        <w:t> </w:t>
      </w:r>
      <w:r>
        <w:rPr>
          <w:sz w:val="21"/>
        </w:rPr>
        <w:t>amount</w:t>
      </w:r>
      <w:r>
        <w:rPr>
          <w:spacing w:val="22"/>
          <w:sz w:val="21"/>
        </w:rPr>
        <w:t> </w:t>
      </w:r>
      <w:r>
        <w:rPr>
          <w:sz w:val="21"/>
        </w:rPr>
        <w:t>of</w:t>
      </w:r>
      <w:r>
        <w:rPr>
          <w:spacing w:val="22"/>
          <w:sz w:val="21"/>
        </w:rPr>
        <w:t> </w:t>
      </w:r>
      <w:r>
        <w:rPr>
          <w:sz w:val="21"/>
        </w:rPr>
        <w:t>aggregate</w:t>
      </w:r>
      <w:r>
        <w:rPr>
          <w:spacing w:val="22"/>
          <w:sz w:val="21"/>
        </w:rPr>
        <w:t> </w:t>
      </w:r>
      <w:r>
        <w:rPr>
          <w:sz w:val="21"/>
        </w:rPr>
        <w:t>cash</w:t>
      </w:r>
      <w:r>
        <w:rPr>
          <w:spacing w:val="22"/>
          <w:sz w:val="21"/>
        </w:rPr>
        <w:t> </w:t>
      </w:r>
      <w:r>
        <w:rPr>
          <w:sz w:val="21"/>
        </w:rPr>
        <w:t>benefits</w:t>
      </w:r>
      <w:r>
        <w:rPr>
          <w:spacing w:val="22"/>
          <w:sz w:val="21"/>
        </w:rPr>
        <w:t> </w:t>
      </w:r>
      <w:r>
        <w:rPr>
          <w:sz w:val="21"/>
        </w:rPr>
        <w:t>payable</w:t>
      </w:r>
      <w:r>
        <w:rPr>
          <w:spacing w:val="22"/>
          <w:sz w:val="21"/>
        </w:rPr>
        <w:t> </w:t>
      </w:r>
      <w:r>
        <w:rPr>
          <w:sz w:val="21"/>
        </w:rPr>
        <w:t>under</w:t>
      </w:r>
      <w:r>
        <w:rPr>
          <w:spacing w:val="22"/>
          <w:sz w:val="21"/>
        </w:rPr>
        <w:t> </w:t>
      </w:r>
      <w:r>
        <w:rPr>
          <w:sz w:val="21"/>
        </w:rPr>
        <w:t>Section</w:t>
      </w:r>
      <w:r>
        <w:rPr>
          <w:spacing w:val="22"/>
          <w:sz w:val="21"/>
        </w:rPr>
        <w:t> </w:t>
      </w:r>
      <w:r>
        <w:rPr>
          <w:sz w:val="21"/>
        </w:rPr>
        <w:t>10.4 or 10.6 of this Agreement, as applicable, which shall be payable in the form and at the times set forth in Section 3.2 of the</w:t>
      </w:r>
      <w:r>
        <w:rPr>
          <w:spacing w:val="80"/>
          <w:sz w:val="21"/>
        </w:rPr>
        <w:t> </w:t>
      </w:r>
      <w:r>
        <w:rPr>
          <w:sz w:val="21"/>
        </w:rPr>
        <w:t>COC Policy (in lieu of any cash benefits under Section 3.3 of the COC Policy).</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82"/>
        <w:rPr>
          <w:sz w:val="21"/>
        </w:rPr>
      </w:pPr>
    </w:p>
    <w:p>
      <w:pPr>
        <w:spacing w:before="0"/>
        <w:ind w:left="24" w:right="0" w:firstLine="0"/>
        <w:jc w:val="center"/>
        <w:rPr>
          <w:sz w:val="21"/>
        </w:rPr>
      </w:pPr>
      <w:r>
        <w:rPr>
          <w:spacing w:val="-5"/>
          <w:sz w:val="21"/>
        </w:rPr>
        <w:t>13</w:t>
      </w:r>
    </w:p>
    <w:p>
      <w:pPr>
        <w:pStyle w:val="BodyText"/>
        <w:spacing w:before="6"/>
        <w:rPr>
          <w:sz w:val="4"/>
        </w:rPr>
      </w:pPr>
      <w:r>
        <w:rPr/>
        <mc:AlternateContent>
          <mc:Choice Requires="wps">
            <w:drawing>
              <wp:anchor distT="0" distB="0" distL="0" distR="0" allowOverlap="1" layoutInCell="1" locked="0" behindDoc="1" simplePos="0" relativeHeight="487810048">
                <wp:simplePos x="0" y="0"/>
                <wp:positionH relativeFrom="page">
                  <wp:posOffset>231457</wp:posOffset>
                </wp:positionH>
                <wp:positionV relativeFrom="paragraph">
                  <wp:posOffset>48257</wp:posOffset>
                </wp:positionV>
                <wp:extent cx="7312659" cy="17145"/>
                <wp:effectExtent l="0" t="0" r="0" b="0"/>
                <wp:wrapTopAndBottom/>
                <wp:docPr id="1096" name="Group 1096"/>
                <wp:cNvGraphicFramePr>
                  <a:graphicFrameLocks/>
                </wp:cNvGraphicFramePr>
                <a:graphic>
                  <a:graphicData uri="http://schemas.microsoft.com/office/word/2010/wordprocessingGroup">
                    <wpg:wgp>
                      <wpg:cNvPr id="1096" name="Group 1096"/>
                      <wpg:cNvGrpSpPr/>
                      <wpg:grpSpPr>
                        <a:xfrm>
                          <a:off x="0" y="0"/>
                          <a:ext cx="7312659" cy="17145"/>
                          <a:chExt cx="7312659" cy="17145"/>
                        </a:xfrm>
                      </wpg:grpSpPr>
                      <wps:wsp>
                        <wps:cNvPr id="1097" name="Graphic 109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98" name="Graphic 1098"/>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99" name="Graphic 109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06432;mso-wrap-distance-left:0;mso-wrap-distance-right:0" id="docshapegroup1094" coordorigin="364,76" coordsize="11516,27">
                <v:rect style="position:absolute;left:364;top:76;width:11516;height:14" id="docshape1095" filled="true" fillcolor="#999999" stroked="false">
                  <v:fill type="solid"/>
                </v:rect>
                <v:shape style="position:absolute;left:364;top:75;width:11516;height:27" id="docshape1096" coordorigin="364,76" coordsize="11516,27" path="m11880,76l11866,89,364,89,364,103,11866,103,11880,103,11880,89,11880,76xe" filled="true" fillcolor="#ededed" stroked="false">
                  <v:path arrowok="t"/>
                  <v:fill type="solid"/>
                </v:shape>
                <v:shape style="position:absolute;left:364;top:76;width:14;height:27" id="docshape1097" coordorigin="364,76" coordsize="14,27" path="m364,103l364,76,378,76,378,89,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spacing w:line="213" w:lineRule="auto" w:before="138"/>
        <w:ind w:left="792" w:right="0" w:firstLine="0"/>
        <w:jc w:val="left"/>
        <w:rPr>
          <w:sz w:val="21"/>
        </w:rPr>
      </w:pPr>
      <w:r>
        <w:rPr>
          <w:sz w:val="21"/>
        </w:rPr>
        <w:t>“</w:t>
      </w:r>
      <w:r>
        <w:rPr>
          <w:sz w:val="21"/>
          <w:u w:val="single"/>
        </w:rPr>
        <w:t>Material</w:t>
      </w:r>
      <w:r>
        <w:rPr>
          <w:spacing w:val="38"/>
          <w:sz w:val="21"/>
          <w:u w:val="single"/>
        </w:rPr>
        <w:t> </w:t>
      </w:r>
      <w:r>
        <w:rPr>
          <w:sz w:val="21"/>
          <w:u w:val="single"/>
        </w:rPr>
        <w:t>Digital</w:t>
      </w:r>
      <w:r>
        <w:rPr>
          <w:spacing w:val="24"/>
          <w:sz w:val="21"/>
          <w:u w:val="single"/>
        </w:rPr>
        <w:t> </w:t>
      </w:r>
      <w:r>
        <w:rPr>
          <w:sz w:val="21"/>
          <w:u w:val="single"/>
        </w:rPr>
        <w:t>Acquisition</w:t>
      </w:r>
      <w:r>
        <w:rPr>
          <w:sz w:val="21"/>
        </w:rPr>
        <w:t>”</w:t>
      </w:r>
      <w:r>
        <w:rPr>
          <w:spacing w:val="38"/>
          <w:sz w:val="21"/>
        </w:rPr>
        <w:t> </w:t>
      </w:r>
      <w:r>
        <w:rPr>
          <w:sz w:val="21"/>
        </w:rPr>
        <w:t>means</w:t>
      </w:r>
      <w:r>
        <w:rPr>
          <w:spacing w:val="38"/>
          <w:sz w:val="21"/>
        </w:rPr>
        <w:t> </w:t>
      </w:r>
      <w:r>
        <w:rPr>
          <w:sz w:val="21"/>
        </w:rPr>
        <w:t>consummation</w:t>
      </w:r>
      <w:r>
        <w:rPr>
          <w:spacing w:val="38"/>
          <w:sz w:val="21"/>
        </w:rPr>
        <w:t> </w:t>
      </w:r>
      <w:r>
        <w:rPr>
          <w:sz w:val="21"/>
        </w:rPr>
        <w:t>of</w:t>
      </w:r>
      <w:r>
        <w:rPr>
          <w:spacing w:val="38"/>
          <w:sz w:val="21"/>
        </w:rPr>
        <w:t> </w:t>
      </w:r>
      <w:r>
        <w:rPr>
          <w:sz w:val="21"/>
        </w:rPr>
        <w:t>an</w:t>
      </w:r>
      <w:r>
        <w:rPr>
          <w:spacing w:val="38"/>
          <w:sz w:val="21"/>
        </w:rPr>
        <w:t> </w:t>
      </w:r>
      <w:r>
        <w:rPr>
          <w:sz w:val="21"/>
        </w:rPr>
        <w:t>acquisition</w:t>
      </w:r>
      <w:r>
        <w:rPr>
          <w:spacing w:val="38"/>
          <w:sz w:val="21"/>
        </w:rPr>
        <w:t> </w:t>
      </w:r>
      <w:r>
        <w:rPr>
          <w:sz w:val="21"/>
        </w:rPr>
        <w:t>(or</w:t>
      </w:r>
      <w:r>
        <w:rPr>
          <w:spacing w:val="38"/>
          <w:sz w:val="21"/>
        </w:rPr>
        <w:t> </w:t>
      </w:r>
      <w:r>
        <w:rPr>
          <w:sz w:val="21"/>
        </w:rPr>
        <w:t>merger</w:t>
      </w:r>
      <w:r>
        <w:rPr>
          <w:spacing w:val="38"/>
          <w:sz w:val="21"/>
        </w:rPr>
        <w:t> </w:t>
      </w:r>
      <w:r>
        <w:rPr>
          <w:sz w:val="21"/>
        </w:rPr>
        <w:t>or</w:t>
      </w:r>
      <w:r>
        <w:rPr>
          <w:spacing w:val="38"/>
          <w:sz w:val="21"/>
        </w:rPr>
        <w:t> </w:t>
      </w:r>
      <w:r>
        <w:rPr>
          <w:sz w:val="21"/>
        </w:rPr>
        <w:t>similar</w:t>
      </w:r>
      <w:r>
        <w:rPr>
          <w:spacing w:val="38"/>
          <w:sz w:val="21"/>
        </w:rPr>
        <w:t> </w:t>
      </w:r>
      <w:r>
        <w:rPr>
          <w:sz w:val="21"/>
        </w:rPr>
        <w:t>corporate</w:t>
      </w:r>
      <w:r>
        <w:rPr>
          <w:spacing w:val="38"/>
          <w:sz w:val="21"/>
        </w:rPr>
        <w:t> </w:t>
      </w:r>
      <w:r>
        <w:rPr>
          <w:sz w:val="21"/>
        </w:rPr>
        <w:t>transaction)</w:t>
      </w:r>
      <w:r>
        <w:rPr>
          <w:spacing w:val="38"/>
          <w:sz w:val="21"/>
        </w:rPr>
        <w:t> </w:t>
      </w:r>
      <w:r>
        <w:rPr>
          <w:sz w:val="21"/>
        </w:rPr>
        <w:t>by</w:t>
      </w:r>
      <w:r>
        <w:rPr>
          <w:spacing w:val="38"/>
          <w:sz w:val="21"/>
        </w:rPr>
        <w:t> </w:t>
      </w:r>
      <w:r>
        <w:rPr>
          <w:sz w:val="21"/>
        </w:rPr>
        <w:t>the Company</w:t>
      </w:r>
      <w:r>
        <w:rPr>
          <w:spacing w:val="27"/>
          <w:sz w:val="21"/>
        </w:rPr>
        <w:t> </w:t>
      </w:r>
      <w:r>
        <w:rPr>
          <w:sz w:val="21"/>
        </w:rPr>
        <w:t>of</w:t>
      </w:r>
      <w:r>
        <w:rPr>
          <w:spacing w:val="27"/>
          <w:sz w:val="21"/>
        </w:rPr>
        <w:t> </w:t>
      </w:r>
      <w:r>
        <w:rPr>
          <w:sz w:val="21"/>
        </w:rPr>
        <w:t>a</w:t>
      </w:r>
      <w:r>
        <w:rPr>
          <w:spacing w:val="27"/>
          <w:sz w:val="21"/>
        </w:rPr>
        <w:t> </w:t>
      </w:r>
      <w:r>
        <w:rPr>
          <w:sz w:val="21"/>
        </w:rPr>
        <w:t>digital</w:t>
      </w:r>
      <w:r>
        <w:rPr>
          <w:spacing w:val="27"/>
          <w:sz w:val="21"/>
        </w:rPr>
        <w:t> </w:t>
      </w:r>
      <w:r>
        <w:rPr>
          <w:sz w:val="21"/>
        </w:rPr>
        <w:t>gaming/interactive</w:t>
      </w:r>
      <w:r>
        <w:rPr>
          <w:spacing w:val="27"/>
          <w:sz w:val="21"/>
        </w:rPr>
        <w:t> </w:t>
      </w:r>
      <w:r>
        <w:rPr>
          <w:sz w:val="21"/>
        </w:rPr>
        <w:t>company</w:t>
      </w:r>
      <w:r>
        <w:rPr>
          <w:spacing w:val="27"/>
          <w:sz w:val="21"/>
        </w:rPr>
        <w:t> </w:t>
      </w:r>
      <w:r>
        <w:rPr>
          <w:sz w:val="21"/>
        </w:rPr>
        <w:t>that</w:t>
      </w:r>
      <w:r>
        <w:rPr>
          <w:spacing w:val="27"/>
          <w:sz w:val="21"/>
        </w:rPr>
        <w:t> </w:t>
      </w:r>
      <w:r>
        <w:rPr>
          <w:sz w:val="21"/>
        </w:rPr>
        <w:t>is</w:t>
      </w:r>
      <w:r>
        <w:rPr>
          <w:spacing w:val="27"/>
          <w:sz w:val="21"/>
        </w:rPr>
        <w:t> </w:t>
      </w:r>
      <w:r>
        <w:rPr>
          <w:sz w:val="21"/>
        </w:rPr>
        <w:t>material</w:t>
      </w:r>
      <w:r>
        <w:rPr>
          <w:spacing w:val="27"/>
          <w:sz w:val="21"/>
        </w:rPr>
        <w:t> </w:t>
      </w:r>
      <w:r>
        <w:rPr>
          <w:sz w:val="21"/>
        </w:rPr>
        <w:t>to</w:t>
      </w:r>
      <w:r>
        <w:rPr>
          <w:spacing w:val="27"/>
          <w:sz w:val="21"/>
        </w:rPr>
        <w:t> </w:t>
      </w:r>
      <w:r>
        <w:rPr>
          <w:sz w:val="21"/>
        </w:rPr>
        <w:t>the</w:t>
      </w:r>
      <w:r>
        <w:rPr>
          <w:spacing w:val="27"/>
          <w:sz w:val="21"/>
        </w:rPr>
        <w:t> </w:t>
      </w:r>
      <w:r>
        <w:rPr>
          <w:sz w:val="21"/>
        </w:rPr>
        <w:t>Company</w:t>
      </w:r>
      <w:r>
        <w:rPr>
          <w:spacing w:val="27"/>
          <w:sz w:val="21"/>
        </w:rPr>
        <w:t> </w:t>
      </w:r>
      <w:r>
        <w:rPr>
          <w:sz w:val="21"/>
        </w:rPr>
        <w:t>on</w:t>
      </w:r>
      <w:r>
        <w:rPr>
          <w:spacing w:val="27"/>
          <w:sz w:val="21"/>
        </w:rPr>
        <w:t> </w:t>
      </w:r>
      <w:r>
        <w:rPr>
          <w:sz w:val="21"/>
        </w:rPr>
        <w:t>a</w:t>
      </w:r>
      <w:r>
        <w:rPr>
          <w:spacing w:val="27"/>
          <w:sz w:val="21"/>
        </w:rPr>
        <w:t> </w:t>
      </w:r>
      <w:r>
        <w:rPr>
          <w:sz w:val="21"/>
        </w:rPr>
        <w:t>consolidated</w:t>
      </w:r>
      <w:r>
        <w:rPr>
          <w:spacing w:val="27"/>
          <w:sz w:val="21"/>
        </w:rPr>
        <w:t> </w:t>
      </w:r>
      <w:r>
        <w:rPr>
          <w:sz w:val="21"/>
        </w:rPr>
        <w:t>basis.</w:t>
      </w:r>
    </w:p>
    <w:p>
      <w:pPr>
        <w:pStyle w:val="ListParagraph"/>
        <w:numPr>
          <w:ilvl w:val="2"/>
          <w:numId w:val="55"/>
        </w:numPr>
        <w:tabs>
          <w:tab w:pos="1387" w:val="left" w:leader="none"/>
        </w:tabs>
        <w:spacing w:line="213" w:lineRule="auto" w:before="218" w:after="0"/>
        <w:ind w:left="792" w:right="224" w:firstLine="0"/>
        <w:jc w:val="both"/>
        <w:rPr>
          <w:sz w:val="21"/>
        </w:rPr>
      </w:pPr>
      <w:r>
        <w:rPr>
          <w:sz w:val="21"/>
        </w:rPr>
        <w:t>If Employee remains employed at-will by Employer after expiration of the Specified Term and is thereafter separated during the Restricted Period for No Cause, employee shall receive a lump sum payment (less all applicable taxes) equal </w:t>
      </w:r>
      <w:r>
        <w:rPr>
          <w:sz w:val="21"/>
        </w:rPr>
        <w:t>to Employee’s</w:t>
      </w:r>
      <w:r>
        <w:rPr>
          <w:spacing w:val="29"/>
          <w:sz w:val="21"/>
        </w:rPr>
        <w:t> </w:t>
      </w:r>
      <w:r>
        <w:rPr>
          <w:sz w:val="21"/>
        </w:rPr>
        <w:t>then-current</w:t>
      </w:r>
      <w:r>
        <w:rPr>
          <w:spacing w:val="29"/>
          <w:sz w:val="21"/>
        </w:rPr>
        <w:t> </w:t>
      </w:r>
      <w:r>
        <w:rPr>
          <w:sz w:val="21"/>
        </w:rPr>
        <w:t>annual</w:t>
      </w:r>
      <w:r>
        <w:rPr>
          <w:spacing w:val="29"/>
          <w:sz w:val="21"/>
        </w:rPr>
        <w:t> </w:t>
      </w:r>
      <w:r>
        <w:rPr>
          <w:sz w:val="21"/>
        </w:rPr>
        <w:t>base</w:t>
      </w:r>
      <w:r>
        <w:rPr>
          <w:spacing w:val="29"/>
          <w:sz w:val="21"/>
        </w:rPr>
        <w:t> </w:t>
      </w:r>
      <w:r>
        <w:rPr>
          <w:sz w:val="21"/>
        </w:rPr>
        <w:t>salary,</w:t>
      </w:r>
      <w:r>
        <w:rPr>
          <w:spacing w:val="29"/>
          <w:sz w:val="21"/>
        </w:rPr>
        <w:t> </w:t>
      </w:r>
      <w:r>
        <w:rPr>
          <w:sz w:val="21"/>
        </w:rPr>
        <w:t>payable</w:t>
      </w:r>
      <w:r>
        <w:rPr>
          <w:spacing w:val="29"/>
          <w:sz w:val="21"/>
        </w:rPr>
        <w:t> </w:t>
      </w:r>
      <w:r>
        <w:rPr>
          <w:sz w:val="21"/>
        </w:rPr>
        <w:t>upon</w:t>
      </w:r>
      <w:r>
        <w:rPr>
          <w:spacing w:val="29"/>
          <w:sz w:val="21"/>
        </w:rPr>
        <w:t> </w:t>
      </w:r>
      <w:r>
        <w:rPr>
          <w:sz w:val="21"/>
        </w:rPr>
        <w:t>the</w:t>
      </w:r>
      <w:r>
        <w:rPr>
          <w:spacing w:val="29"/>
          <w:sz w:val="21"/>
        </w:rPr>
        <w:t> </w:t>
      </w:r>
      <w:r>
        <w:rPr>
          <w:sz w:val="21"/>
        </w:rPr>
        <w:t>date</w:t>
      </w:r>
      <w:r>
        <w:rPr>
          <w:spacing w:val="29"/>
          <w:sz w:val="21"/>
        </w:rPr>
        <w:t> </w:t>
      </w:r>
      <w:r>
        <w:rPr>
          <w:sz w:val="21"/>
        </w:rPr>
        <w:t>that</w:t>
      </w:r>
      <w:r>
        <w:rPr>
          <w:spacing w:val="29"/>
          <w:sz w:val="21"/>
        </w:rPr>
        <w:t> </w:t>
      </w:r>
      <w:r>
        <w:rPr>
          <w:sz w:val="21"/>
        </w:rPr>
        <w:t>is</w:t>
      </w:r>
      <w:r>
        <w:rPr>
          <w:spacing w:val="29"/>
          <w:sz w:val="21"/>
        </w:rPr>
        <w:t> </w:t>
      </w:r>
      <w:r>
        <w:rPr>
          <w:sz w:val="21"/>
        </w:rPr>
        <w:t>thirty</w:t>
      </w:r>
      <w:r>
        <w:rPr>
          <w:spacing w:val="29"/>
          <w:sz w:val="21"/>
        </w:rPr>
        <w:t> </w:t>
      </w:r>
      <w:r>
        <w:rPr>
          <w:sz w:val="21"/>
        </w:rPr>
        <w:t>(30)</w:t>
      </w:r>
      <w:r>
        <w:rPr>
          <w:spacing w:val="29"/>
          <w:sz w:val="21"/>
        </w:rPr>
        <w:t> </w:t>
      </w:r>
      <w:r>
        <w:rPr>
          <w:sz w:val="21"/>
        </w:rPr>
        <w:t>days</w:t>
      </w:r>
      <w:r>
        <w:rPr>
          <w:spacing w:val="29"/>
          <w:sz w:val="21"/>
        </w:rPr>
        <w:t> </w:t>
      </w:r>
      <w:r>
        <w:rPr>
          <w:sz w:val="21"/>
        </w:rPr>
        <w:t>after</w:t>
      </w:r>
      <w:r>
        <w:rPr>
          <w:spacing w:val="29"/>
          <w:sz w:val="21"/>
        </w:rPr>
        <w:t> </w:t>
      </w:r>
      <w:r>
        <w:rPr>
          <w:sz w:val="21"/>
        </w:rPr>
        <w:t>the</w:t>
      </w:r>
      <w:r>
        <w:rPr>
          <w:spacing w:val="29"/>
          <w:sz w:val="21"/>
        </w:rPr>
        <w:t> </w:t>
      </w:r>
      <w:r>
        <w:rPr>
          <w:sz w:val="21"/>
        </w:rPr>
        <w:t>date</w:t>
      </w:r>
      <w:r>
        <w:rPr>
          <w:spacing w:val="29"/>
          <w:sz w:val="21"/>
        </w:rPr>
        <w:t> </w:t>
      </w:r>
      <w:r>
        <w:rPr>
          <w:sz w:val="21"/>
        </w:rPr>
        <w:t>of</w:t>
      </w:r>
      <w:r>
        <w:rPr>
          <w:spacing w:val="29"/>
          <w:sz w:val="21"/>
        </w:rPr>
        <w:t> </w:t>
      </w:r>
      <w:r>
        <w:rPr>
          <w:sz w:val="21"/>
        </w:rPr>
        <w:t>separation</w:t>
      </w:r>
      <w:r>
        <w:rPr>
          <w:spacing w:val="29"/>
          <w:sz w:val="21"/>
        </w:rPr>
        <w:t> </w:t>
      </w:r>
      <w:r>
        <w:rPr>
          <w:sz w:val="21"/>
        </w:rPr>
        <w:t>and any Earned Bonus Amount.</w:t>
      </w:r>
    </w:p>
    <w:p>
      <w:pPr>
        <w:pStyle w:val="ListParagraph"/>
        <w:numPr>
          <w:ilvl w:val="1"/>
          <w:numId w:val="55"/>
        </w:numPr>
        <w:tabs>
          <w:tab w:pos="899" w:val="left" w:leader="none"/>
        </w:tabs>
        <w:spacing w:line="213" w:lineRule="auto" w:before="221" w:after="0"/>
        <w:ind w:left="468" w:right="219" w:firstLine="0"/>
        <w:jc w:val="both"/>
        <w:rPr>
          <w:sz w:val="21"/>
        </w:rPr>
      </w:pPr>
      <w:r>
        <w:rPr>
          <w:sz w:val="21"/>
          <w:u w:val="single"/>
        </w:rPr>
        <w:t>Payments Conditioned on Release</w:t>
      </w:r>
      <w:r>
        <w:rPr>
          <w:sz w:val="21"/>
        </w:rPr>
        <w:t>. Employee’s eligibility for the amounts set forth in Sections 10.3, 10.4, and 10.6 shall be expressly subject to, conditioned upon, and in consideration of Employee’s execution of a full and final release and </w:t>
      </w:r>
      <w:r>
        <w:rPr>
          <w:sz w:val="21"/>
        </w:rPr>
        <w:t>non-</w:t>
      </w:r>
      <w:r>
        <w:rPr>
          <w:spacing w:val="80"/>
          <w:sz w:val="21"/>
        </w:rPr>
        <w:t> </w:t>
      </w:r>
      <w:r>
        <w:rPr>
          <w:sz w:val="21"/>
        </w:rPr>
        <w:t>revocation</w:t>
      </w:r>
      <w:r>
        <w:rPr>
          <w:spacing w:val="22"/>
          <w:sz w:val="21"/>
        </w:rPr>
        <w:t> </w:t>
      </w:r>
      <w:r>
        <w:rPr>
          <w:sz w:val="21"/>
        </w:rPr>
        <w:t>of</w:t>
      </w:r>
      <w:r>
        <w:rPr>
          <w:spacing w:val="22"/>
          <w:sz w:val="21"/>
        </w:rPr>
        <w:t> </w:t>
      </w:r>
      <w:r>
        <w:rPr>
          <w:sz w:val="21"/>
        </w:rPr>
        <w:t>all</w:t>
      </w:r>
      <w:r>
        <w:rPr>
          <w:spacing w:val="22"/>
          <w:sz w:val="21"/>
        </w:rPr>
        <w:t> </w:t>
      </w:r>
      <w:r>
        <w:rPr>
          <w:sz w:val="21"/>
        </w:rPr>
        <w:t>claims</w:t>
      </w:r>
      <w:r>
        <w:rPr>
          <w:spacing w:val="22"/>
          <w:sz w:val="21"/>
        </w:rPr>
        <w:t> </w:t>
      </w:r>
      <w:r>
        <w:rPr>
          <w:sz w:val="21"/>
        </w:rPr>
        <w:t>of</w:t>
      </w:r>
      <w:r>
        <w:rPr>
          <w:spacing w:val="22"/>
          <w:sz w:val="21"/>
        </w:rPr>
        <w:t> </w:t>
      </w:r>
      <w:r>
        <w:rPr>
          <w:sz w:val="21"/>
        </w:rPr>
        <w:t>any</w:t>
      </w:r>
      <w:r>
        <w:rPr>
          <w:spacing w:val="22"/>
          <w:sz w:val="21"/>
        </w:rPr>
        <w:t> </w:t>
      </w:r>
      <w:r>
        <w:rPr>
          <w:sz w:val="21"/>
        </w:rPr>
        <w:t>kind</w:t>
      </w:r>
      <w:r>
        <w:rPr>
          <w:spacing w:val="22"/>
          <w:sz w:val="21"/>
        </w:rPr>
        <w:t> </w:t>
      </w:r>
      <w:r>
        <w:rPr>
          <w:sz w:val="21"/>
        </w:rPr>
        <w:t>whatsoever</w:t>
      </w:r>
      <w:r>
        <w:rPr>
          <w:spacing w:val="22"/>
          <w:sz w:val="21"/>
        </w:rPr>
        <w:t> </w:t>
      </w:r>
      <w:r>
        <w:rPr>
          <w:sz w:val="21"/>
        </w:rPr>
        <w:t>(except</w:t>
      </w:r>
      <w:r>
        <w:rPr>
          <w:spacing w:val="22"/>
          <w:sz w:val="21"/>
        </w:rPr>
        <w:t> </w:t>
      </w:r>
      <w:r>
        <w:rPr>
          <w:sz w:val="21"/>
        </w:rPr>
        <w:t>those</w:t>
      </w:r>
      <w:r>
        <w:rPr>
          <w:spacing w:val="22"/>
          <w:sz w:val="21"/>
        </w:rPr>
        <w:t> </w:t>
      </w:r>
      <w:r>
        <w:rPr>
          <w:sz w:val="21"/>
        </w:rPr>
        <w:t>that</w:t>
      </w:r>
      <w:r>
        <w:rPr>
          <w:spacing w:val="22"/>
          <w:sz w:val="21"/>
        </w:rPr>
        <w:t> </w:t>
      </w:r>
      <w:r>
        <w:rPr>
          <w:sz w:val="21"/>
        </w:rPr>
        <w:t>cannot</w:t>
      </w:r>
      <w:r>
        <w:rPr>
          <w:spacing w:val="22"/>
          <w:sz w:val="21"/>
        </w:rPr>
        <w:t> </w:t>
      </w:r>
      <w:r>
        <w:rPr>
          <w:sz w:val="21"/>
        </w:rPr>
        <w:t>be</w:t>
      </w:r>
      <w:r>
        <w:rPr>
          <w:spacing w:val="22"/>
          <w:sz w:val="21"/>
        </w:rPr>
        <w:t> </w:t>
      </w:r>
      <w:r>
        <w:rPr>
          <w:sz w:val="21"/>
        </w:rPr>
        <w:t>released</w:t>
      </w:r>
      <w:r>
        <w:rPr>
          <w:spacing w:val="22"/>
          <w:sz w:val="21"/>
        </w:rPr>
        <w:t> </w:t>
      </w:r>
      <w:r>
        <w:rPr>
          <w:sz w:val="21"/>
        </w:rPr>
        <w:t>as</w:t>
      </w:r>
      <w:r>
        <w:rPr>
          <w:spacing w:val="22"/>
          <w:sz w:val="21"/>
        </w:rPr>
        <w:t> </w:t>
      </w:r>
      <w:r>
        <w:rPr>
          <w:sz w:val="21"/>
        </w:rPr>
        <w:t>a</w:t>
      </w:r>
      <w:r>
        <w:rPr>
          <w:spacing w:val="22"/>
          <w:sz w:val="21"/>
        </w:rPr>
        <w:t> </w:t>
      </w:r>
      <w:r>
        <w:rPr>
          <w:sz w:val="21"/>
        </w:rPr>
        <w:t>matter</w:t>
      </w:r>
      <w:r>
        <w:rPr>
          <w:spacing w:val="22"/>
          <w:sz w:val="21"/>
        </w:rPr>
        <w:t> </w:t>
      </w:r>
      <w:r>
        <w:rPr>
          <w:sz w:val="21"/>
        </w:rPr>
        <w:t>of</w:t>
      </w:r>
      <w:r>
        <w:rPr>
          <w:spacing w:val="22"/>
          <w:sz w:val="21"/>
        </w:rPr>
        <w:t> </w:t>
      </w:r>
      <w:r>
        <w:rPr>
          <w:sz w:val="21"/>
        </w:rPr>
        <w:t>law)</w:t>
      </w:r>
      <w:r>
        <w:rPr>
          <w:spacing w:val="22"/>
          <w:sz w:val="21"/>
        </w:rPr>
        <w:t> </w:t>
      </w:r>
      <w:r>
        <w:rPr>
          <w:sz w:val="21"/>
        </w:rPr>
        <w:t>in</w:t>
      </w:r>
      <w:r>
        <w:rPr>
          <w:spacing w:val="22"/>
          <w:sz w:val="21"/>
        </w:rPr>
        <w:t> </w:t>
      </w:r>
      <w:r>
        <w:rPr>
          <w:sz w:val="21"/>
        </w:rPr>
        <w:t>favor</w:t>
      </w:r>
      <w:r>
        <w:rPr>
          <w:spacing w:val="22"/>
          <w:sz w:val="21"/>
        </w:rPr>
        <w:t> </w:t>
      </w:r>
      <w:r>
        <w:rPr>
          <w:sz w:val="21"/>
        </w:rPr>
        <w:t>of</w:t>
      </w:r>
      <w:r>
        <w:rPr>
          <w:spacing w:val="22"/>
          <w:sz w:val="21"/>
        </w:rPr>
        <w:t> </w:t>
      </w:r>
      <w:r>
        <w:rPr>
          <w:sz w:val="21"/>
        </w:rPr>
        <w:t>Employer and</w:t>
      </w:r>
      <w:r>
        <w:rPr>
          <w:spacing w:val="22"/>
          <w:sz w:val="21"/>
        </w:rPr>
        <w:t> </w:t>
      </w:r>
      <w:r>
        <w:rPr>
          <w:sz w:val="21"/>
        </w:rPr>
        <w:t>the</w:t>
      </w:r>
      <w:r>
        <w:rPr>
          <w:spacing w:val="22"/>
          <w:sz w:val="21"/>
        </w:rPr>
        <w:t> </w:t>
      </w:r>
      <w:r>
        <w:rPr>
          <w:sz w:val="21"/>
        </w:rPr>
        <w:t>Company,</w:t>
      </w:r>
      <w:r>
        <w:rPr>
          <w:spacing w:val="22"/>
          <w:sz w:val="21"/>
        </w:rPr>
        <w:t> </w:t>
      </w:r>
      <w:r>
        <w:rPr>
          <w:sz w:val="21"/>
        </w:rPr>
        <w:t>whether</w:t>
      </w:r>
      <w:r>
        <w:rPr>
          <w:spacing w:val="22"/>
          <w:sz w:val="21"/>
        </w:rPr>
        <w:t> </w:t>
      </w:r>
      <w:r>
        <w:rPr>
          <w:sz w:val="21"/>
        </w:rPr>
        <w:t>such</w:t>
      </w:r>
      <w:r>
        <w:rPr>
          <w:spacing w:val="22"/>
          <w:sz w:val="21"/>
        </w:rPr>
        <w:t> </w:t>
      </w:r>
      <w:r>
        <w:rPr>
          <w:sz w:val="21"/>
        </w:rPr>
        <w:t>claims</w:t>
      </w:r>
      <w:r>
        <w:rPr>
          <w:spacing w:val="22"/>
          <w:sz w:val="21"/>
        </w:rPr>
        <w:t> </w:t>
      </w:r>
      <w:r>
        <w:rPr>
          <w:sz w:val="21"/>
        </w:rPr>
        <w:t>are</w:t>
      </w:r>
      <w:r>
        <w:rPr>
          <w:spacing w:val="22"/>
          <w:sz w:val="21"/>
        </w:rPr>
        <w:t> </w:t>
      </w:r>
      <w:r>
        <w:rPr>
          <w:sz w:val="21"/>
        </w:rPr>
        <w:t>known</w:t>
      </w:r>
      <w:r>
        <w:rPr>
          <w:spacing w:val="22"/>
          <w:sz w:val="21"/>
        </w:rPr>
        <w:t> </w:t>
      </w:r>
      <w:r>
        <w:rPr>
          <w:sz w:val="21"/>
        </w:rPr>
        <w:t>or</w:t>
      </w:r>
      <w:r>
        <w:rPr>
          <w:spacing w:val="22"/>
          <w:sz w:val="21"/>
        </w:rPr>
        <w:t> </w:t>
      </w:r>
      <w:r>
        <w:rPr>
          <w:sz w:val="21"/>
        </w:rPr>
        <w:t>unknown,</w:t>
      </w:r>
      <w:r>
        <w:rPr>
          <w:spacing w:val="22"/>
          <w:sz w:val="21"/>
        </w:rPr>
        <w:t> </w:t>
      </w:r>
      <w:r>
        <w:rPr>
          <w:sz w:val="21"/>
        </w:rPr>
        <w:t>and</w:t>
      </w:r>
      <w:r>
        <w:rPr>
          <w:spacing w:val="22"/>
          <w:sz w:val="21"/>
        </w:rPr>
        <w:t> </w:t>
      </w:r>
      <w:r>
        <w:rPr>
          <w:sz w:val="21"/>
        </w:rPr>
        <w:t>regardless</w:t>
      </w:r>
      <w:r>
        <w:rPr>
          <w:spacing w:val="22"/>
          <w:sz w:val="21"/>
        </w:rPr>
        <w:t> </w:t>
      </w:r>
      <w:r>
        <w:rPr>
          <w:sz w:val="21"/>
        </w:rPr>
        <w:t>of</w:t>
      </w:r>
      <w:r>
        <w:rPr>
          <w:spacing w:val="22"/>
          <w:sz w:val="21"/>
        </w:rPr>
        <w:t> </w:t>
      </w:r>
      <w:r>
        <w:rPr>
          <w:sz w:val="21"/>
        </w:rPr>
        <w:t>type,</w:t>
      </w:r>
      <w:r>
        <w:rPr>
          <w:spacing w:val="22"/>
          <w:sz w:val="21"/>
        </w:rPr>
        <w:t> </w:t>
      </w:r>
      <w:r>
        <w:rPr>
          <w:sz w:val="21"/>
        </w:rPr>
        <w:t>cause</w:t>
      </w:r>
      <w:r>
        <w:rPr>
          <w:spacing w:val="22"/>
          <w:sz w:val="21"/>
        </w:rPr>
        <w:t> </w:t>
      </w:r>
      <w:r>
        <w:rPr>
          <w:sz w:val="21"/>
        </w:rPr>
        <w:t>or</w:t>
      </w:r>
      <w:r>
        <w:rPr>
          <w:spacing w:val="22"/>
          <w:sz w:val="21"/>
        </w:rPr>
        <w:t> </w:t>
      </w:r>
      <w:r>
        <w:rPr>
          <w:sz w:val="21"/>
        </w:rPr>
        <w:t>nature</w:t>
      </w:r>
      <w:r>
        <w:rPr>
          <w:spacing w:val="22"/>
          <w:sz w:val="21"/>
        </w:rPr>
        <w:t> </w:t>
      </w:r>
      <w:r>
        <w:rPr>
          <w:sz w:val="21"/>
        </w:rPr>
        <w:t>of</w:t>
      </w:r>
      <w:r>
        <w:rPr>
          <w:spacing w:val="22"/>
          <w:sz w:val="21"/>
        </w:rPr>
        <w:t> </w:t>
      </w:r>
      <w:r>
        <w:rPr>
          <w:sz w:val="21"/>
        </w:rPr>
        <w:t>such</w:t>
      </w:r>
      <w:r>
        <w:rPr>
          <w:spacing w:val="22"/>
          <w:sz w:val="21"/>
        </w:rPr>
        <w:t> </w:t>
      </w:r>
      <w:r>
        <w:rPr>
          <w:sz w:val="21"/>
        </w:rPr>
        <w:t>claims.</w:t>
      </w:r>
    </w:p>
    <w:p>
      <w:pPr>
        <w:pStyle w:val="ListParagraph"/>
        <w:numPr>
          <w:ilvl w:val="2"/>
          <w:numId w:val="55"/>
        </w:numPr>
        <w:tabs>
          <w:tab w:pos="1373" w:val="left" w:leader="none"/>
        </w:tabs>
        <w:spacing w:line="229" w:lineRule="exact" w:before="198" w:after="0"/>
        <w:ind w:left="1373" w:right="0" w:hanging="581"/>
        <w:jc w:val="both"/>
        <w:rPr>
          <w:sz w:val="21"/>
        </w:rPr>
      </w:pPr>
      <w:r>
        <w:rPr>
          <w:sz w:val="21"/>
        </w:rPr>
        <w:t>As</w:t>
      </w:r>
      <w:r>
        <w:rPr>
          <w:spacing w:val="11"/>
          <w:sz w:val="21"/>
        </w:rPr>
        <w:t> </w:t>
      </w:r>
      <w:r>
        <w:rPr>
          <w:sz w:val="21"/>
        </w:rPr>
        <w:t>a</w:t>
      </w:r>
      <w:r>
        <w:rPr>
          <w:spacing w:val="11"/>
          <w:sz w:val="21"/>
        </w:rPr>
        <w:t> </w:t>
      </w:r>
      <w:r>
        <w:rPr>
          <w:sz w:val="21"/>
        </w:rPr>
        <w:t>further</w:t>
      </w:r>
      <w:r>
        <w:rPr>
          <w:spacing w:val="11"/>
          <w:sz w:val="21"/>
        </w:rPr>
        <w:t> </w:t>
      </w:r>
      <w:r>
        <w:rPr>
          <w:sz w:val="21"/>
        </w:rPr>
        <w:t>condition</w:t>
      </w:r>
      <w:r>
        <w:rPr>
          <w:spacing w:val="11"/>
          <w:sz w:val="21"/>
        </w:rPr>
        <w:t> </w:t>
      </w:r>
      <w:r>
        <w:rPr>
          <w:sz w:val="21"/>
        </w:rPr>
        <w:t>to</w:t>
      </w:r>
      <w:r>
        <w:rPr>
          <w:spacing w:val="11"/>
          <w:sz w:val="21"/>
        </w:rPr>
        <w:t> </w:t>
      </w:r>
      <w:r>
        <w:rPr>
          <w:sz w:val="21"/>
        </w:rPr>
        <w:t>Employer’s</w:t>
      </w:r>
      <w:r>
        <w:rPr>
          <w:spacing w:val="11"/>
          <w:sz w:val="21"/>
        </w:rPr>
        <w:t> </w:t>
      </w:r>
      <w:r>
        <w:rPr>
          <w:sz w:val="21"/>
        </w:rPr>
        <w:t>obligations</w:t>
      </w:r>
      <w:r>
        <w:rPr>
          <w:spacing w:val="11"/>
          <w:sz w:val="21"/>
        </w:rPr>
        <w:t> </w:t>
      </w:r>
      <w:r>
        <w:rPr>
          <w:sz w:val="21"/>
        </w:rPr>
        <w:t>under</w:t>
      </w:r>
      <w:r>
        <w:rPr>
          <w:spacing w:val="11"/>
          <w:sz w:val="21"/>
        </w:rPr>
        <w:t> </w:t>
      </w:r>
      <w:r>
        <w:rPr>
          <w:spacing w:val="-2"/>
          <w:sz w:val="21"/>
        </w:rPr>
        <w:t>Section</w:t>
      </w:r>
    </w:p>
    <w:p>
      <w:pPr>
        <w:spacing w:line="213" w:lineRule="auto" w:before="9"/>
        <w:ind w:left="792" w:right="220" w:firstLine="0"/>
        <w:jc w:val="both"/>
        <w:rPr>
          <w:sz w:val="21"/>
        </w:rPr>
      </w:pPr>
      <w:r>
        <w:rPr>
          <w:sz w:val="21"/>
        </w:rPr>
        <w:t>10.5</w:t>
      </w:r>
      <w:r>
        <w:rPr>
          <w:spacing w:val="19"/>
          <w:sz w:val="21"/>
        </w:rPr>
        <w:t> </w:t>
      </w:r>
      <w:r>
        <w:rPr>
          <w:sz w:val="21"/>
        </w:rPr>
        <w:t>above,</w:t>
      </w:r>
      <w:r>
        <w:rPr>
          <w:spacing w:val="19"/>
          <w:sz w:val="21"/>
        </w:rPr>
        <w:t> </w:t>
      </w:r>
      <w:r>
        <w:rPr>
          <w:sz w:val="21"/>
        </w:rPr>
        <w:t>Employee</w:t>
      </w:r>
      <w:r>
        <w:rPr>
          <w:spacing w:val="19"/>
          <w:sz w:val="21"/>
        </w:rPr>
        <w:t> </w:t>
      </w:r>
      <w:r>
        <w:rPr>
          <w:sz w:val="21"/>
        </w:rPr>
        <w:t>agrees</w:t>
      </w:r>
      <w:r>
        <w:rPr>
          <w:spacing w:val="19"/>
          <w:sz w:val="21"/>
        </w:rPr>
        <w:t> </w:t>
      </w:r>
      <w:r>
        <w:rPr>
          <w:sz w:val="21"/>
        </w:rPr>
        <w:t>to</w:t>
      </w:r>
      <w:r>
        <w:rPr>
          <w:spacing w:val="19"/>
          <w:sz w:val="21"/>
        </w:rPr>
        <w:t> </w:t>
      </w:r>
      <w:r>
        <w:rPr>
          <w:sz w:val="21"/>
        </w:rPr>
        <w:t>cooperate</w:t>
      </w:r>
      <w:r>
        <w:rPr>
          <w:spacing w:val="19"/>
          <w:sz w:val="21"/>
        </w:rPr>
        <w:t> </w:t>
      </w:r>
      <w:r>
        <w:rPr>
          <w:sz w:val="21"/>
        </w:rPr>
        <w:t>with</w:t>
      </w:r>
      <w:r>
        <w:rPr>
          <w:spacing w:val="19"/>
          <w:sz w:val="21"/>
        </w:rPr>
        <w:t> </w:t>
      </w:r>
      <w:r>
        <w:rPr>
          <w:sz w:val="21"/>
        </w:rPr>
        <w:t>Employer</w:t>
      </w:r>
      <w:r>
        <w:rPr>
          <w:spacing w:val="19"/>
          <w:sz w:val="21"/>
        </w:rPr>
        <w:t> </w:t>
      </w:r>
      <w:r>
        <w:rPr>
          <w:sz w:val="21"/>
        </w:rPr>
        <w:t>and</w:t>
      </w:r>
      <w:r>
        <w:rPr>
          <w:spacing w:val="19"/>
          <w:sz w:val="21"/>
        </w:rPr>
        <w:t> </w:t>
      </w:r>
      <w:r>
        <w:rPr>
          <w:sz w:val="21"/>
        </w:rPr>
        <w:t>Company</w:t>
      </w:r>
      <w:r>
        <w:rPr>
          <w:spacing w:val="19"/>
          <w:sz w:val="21"/>
        </w:rPr>
        <w:t> </w:t>
      </w:r>
      <w:r>
        <w:rPr>
          <w:sz w:val="21"/>
        </w:rPr>
        <w:t>regarding</w:t>
      </w:r>
      <w:r>
        <w:rPr>
          <w:spacing w:val="19"/>
          <w:sz w:val="21"/>
        </w:rPr>
        <w:t> </w:t>
      </w:r>
      <w:r>
        <w:rPr>
          <w:sz w:val="21"/>
        </w:rPr>
        <w:t>matters</w:t>
      </w:r>
      <w:r>
        <w:rPr>
          <w:spacing w:val="19"/>
          <w:sz w:val="21"/>
        </w:rPr>
        <w:t> </w:t>
      </w:r>
      <w:r>
        <w:rPr>
          <w:sz w:val="21"/>
        </w:rPr>
        <w:t>on</w:t>
      </w:r>
      <w:r>
        <w:rPr>
          <w:spacing w:val="19"/>
          <w:sz w:val="21"/>
        </w:rPr>
        <w:t> </w:t>
      </w:r>
      <w:r>
        <w:rPr>
          <w:sz w:val="21"/>
        </w:rPr>
        <w:t>which</w:t>
      </w:r>
      <w:r>
        <w:rPr>
          <w:spacing w:val="19"/>
          <w:sz w:val="21"/>
        </w:rPr>
        <w:t> </w:t>
      </w:r>
      <w:r>
        <w:rPr>
          <w:sz w:val="21"/>
        </w:rPr>
        <w:t>Employee</w:t>
      </w:r>
      <w:r>
        <w:rPr>
          <w:spacing w:val="19"/>
          <w:sz w:val="21"/>
        </w:rPr>
        <w:t> </w:t>
      </w:r>
      <w:r>
        <w:rPr>
          <w:sz w:val="21"/>
        </w:rPr>
        <w:t>has</w:t>
      </w:r>
      <w:r>
        <w:rPr>
          <w:spacing w:val="5"/>
          <w:sz w:val="21"/>
        </w:rPr>
        <w:t> </w:t>
      </w:r>
      <w:r>
        <w:rPr>
          <w:sz w:val="21"/>
        </w:rPr>
        <w:t>worked,</w:t>
      </w:r>
      <w:r>
        <w:rPr>
          <w:sz w:val="21"/>
        </w:rPr>
        <w:t> on a reasonable basis and at times mutually convenient to both parties. Employee further agrees to fully cooperate with Employer and the Company in any ongoing or future legal matters about which Employee has knowledge or information, </w:t>
      </w:r>
      <w:r>
        <w:rPr>
          <w:sz w:val="21"/>
        </w:rPr>
        <w:t>or</w:t>
      </w:r>
      <w:r>
        <w:rPr>
          <w:spacing w:val="40"/>
          <w:sz w:val="21"/>
        </w:rPr>
        <w:t> </w:t>
      </w:r>
      <w:r>
        <w:rPr>
          <w:sz w:val="21"/>
        </w:rPr>
        <w:t>that concern Employee’s former position with Employer. To the extent that Employee’s cooperation requires more than a de minimis time commitment, Employer and Employee shall agree on a reasonable hourly rate for time and services related </w:t>
      </w:r>
      <w:r>
        <w:rPr>
          <w:sz w:val="21"/>
        </w:rPr>
        <w:t>to</w:t>
      </w:r>
      <w:r>
        <w:rPr>
          <w:sz w:val="21"/>
        </w:rPr>
        <w:t> Employee’s cooperation.</w:t>
      </w:r>
    </w:p>
    <w:p>
      <w:pPr>
        <w:pStyle w:val="ListParagraph"/>
        <w:numPr>
          <w:ilvl w:val="1"/>
          <w:numId w:val="55"/>
        </w:numPr>
        <w:tabs>
          <w:tab w:pos="982" w:val="left" w:leader="none"/>
        </w:tabs>
        <w:spacing w:line="213" w:lineRule="auto" w:before="223" w:after="0"/>
        <w:ind w:left="468" w:right="220" w:firstLine="0"/>
        <w:jc w:val="both"/>
        <w:rPr>
          <w:sz w:val="21"/>
        </w:rPr>
      </w:pPr>
      <w:r>
        <w:rPr>
          <w:sz w:val="21"/>
          <w:u w:val="single"/>
        </w:rPr>
        <w:t>Employee’s</w:t>
      </w:r>
      <w:r>
        <w:rPr>
          <w:spacing w:val="40"/>
          <w:sz w:val="21"/>
          <w:u w:val="single"/>
        </w:rPr>
        <w:t> </w:t>
      </w:r>
      <w:r>
        <w:rPr>
          <w:sz w:val="21"/>
          <w:u w:val="single"/>
        </w:rPr>
        <w:t>Good</w:t>
      </w:r>
      <w:r>
        <w:rPr>
          <w:spacing w:val="40"/>
          <w:sz w:val="21"/>
          <w:u w:val="single"/>
        </w:rPr>
        <w:t> </w:t>
      </w:r>
      <w:r>
        <w:rPr>
          <w:sz w:val="21"/>
          <w:u w:val="single"/>
        </w:rPr>
        <w:t>Cause</w:t>
      </w:r>
      <w:r>
        <w:rPr>
          <w:spacing w:val="40"/>
          <w:sz w:val="21"/>
          <w:u w:val="single"/>
        </w:rPr>
        <w:t> </w:t>
      </w:r>
      <w:r>
        <w:rPr>
          <w:sz w:val="21"/>
          <w:u w:val="single"/>
        </w:rPr>
        <w:t>Termination</w:t>
      </w:r>
      <w:r>
        <w:rPr>
          <w:sz w:val="21"/>
        </w:rPr>
        <w:t>.</w:t>
      </w:r>
      <w:r>
        <w:rPr>
          <w:spacing w:val="40"/>
          <w:sz w:val="21"/>
        </w:rPr>
        <w:t> </w:t>
      </w:r>
      <w:r>
        <w:rPr>
          <w:sz w:val="21"/>
        </w:rPr>
        <w:t>Employee</w:t>
      </w:r>
      <w:r>
        <w:rPr>
          <w:spacing w:val="40"/>
          <w:sz w:val="21"/>
        </w:rPr>
        <w:t> </w:t>
      </w:r>
      <w:r>
        <w:rPr>
          <w:sz w:val="21"/>
        </w:rPr>
        <w:t>may</w:t>
      </w:r>
      <w:r>
        <w:rPr>
          <w:spacing w:val="40"/>
          <w:sz w:val="21"/>
        </w:rPr>
        <w:t> </w:t>
      </w:r>
      <w:r>
        <w:rPr>
          <w:sz w:val="21"/>
        </w:rPr>
        <w:t>terminate</w:t>
      </w:r>
      <w:r>
        <w:rPr>
          <w:spacing w:val="40"/>
          <w:sz w:val="21"/>
        </w:rPr>
        <w:t> </w:t>
      </w:r>
      <w:r>
        <w:rPr>
          <w:sz w:val="21"/>
        </w:rPr>
        <w:t>this</w:t>
      </w:r>
      <w:r>
        <w:rPr>
          <w:spacing w:val="40"/>
          <w:sz w:val="21"/>
        </w:rPr>
        <w:t> </w:t>
      </w:r>
      <w:r>
        <w:rPr>
          <w:sz w:val="21"/>
        </w:rPr>
        <w:t>Agreement</w:t>
      </w:r>
      <w:r>
        <w:rPr>
          <w:spacing w:val="40"/>
          <w:sz w:val="21"/>
        </w:rPr>
        <w:t> </w:t>
      </w:r>
      <w:r>
        <w:rPr>
          <w:sz w:val="21"/>
        </w:rPr>
        <w:t>during</w:t>
      </w:r>
      <w:r>
        <w:rPr>
          <w:spacing w:val="40"/>
          <w:sz w:val="21"/>
        </w:rPr>
        <w:t> </w:t>
      </w:r>
      <w:r>
        <w:rPr>
          <w:sz w:val="21"/>
        </w:rPr>
        <w:t>the</w:t>
      </w:r>
      <w:r>
        <w:rPr>
          <w:spacing w:val="40"/>
          <w:sz w:val="21"/>
        </w:rPr>
        <w:t> </w:t>
      </w:r>
      <w:r>
        <w:rPr>
          <w:sz w:val="21"/>
        </w:rPr>
        <w:t>Specified</w:t>
      </w:r>
      <w:r>
        <w:rPr>
          <w:spacing w:val="40"/>
          <w:sz w:val="21"/>
        </w:rPr>
        <w:t> </w:t>
      </w:r>
      <w:r>
        <w:rPr>
          <w:sz w:val="21"/>
        </w:rPr>
        <w:t>Term</w:t>
      </w:r>
      <w:r>
        <w:rPr>
          <w:spacing w:val="40"/>
          <w:sz w:val="21"/>
        </w:rPr>
        <w:t> </w:t>
      </w:r>
      <w:r>
        <w:rPr>
          <w:sz w:val="21"/>
        </w:rPr>
        <w:t>for “Employee’s Good Cause.” For purposes of this Agreement, Employee’s Good Cause shall mean, without Employee’s written consent (i) any assignment to Employee of duties that are materially different than those contemplated by the terms of this Agreement, (ii) a decrease to Employee’s salary and/or target bonus potential, each as set forth in Section 3, (iii) a materially adverse change in Employee’s reporting relationship, (iv) any requirement that Employee relocate his office location from the greater Seattle, Washington area, (v) the failure of Employer to pay Employee any compensation when due, (vi) other material breach of this Agreement by Employer, (vii) Employee’s resignation during the Specified Term following a Material Digital Acquisition</w:t>
      </w:r>
      <w:r>
        <w:rPr>
          <w:spacing w:val="24"/>
          <w:sz w:val="21"/>
        </w:rPr>
        <w:t> </w:t>
      </w:r>
      <w:r>
        <w:rPr>
          <w:sz w:val="21"/>
        </w:rPr>
        <w:t>that</w:t>
      </w:r>
      <w:r>
        <w:rPr>
          <w:spacing w:val="24"/>
          <w:sz w:val="21"/>
        </w:rPr>
        <w:t> </w:t>
      </w:r>
      <w:r>
        <w:rPr>
          <w:sz w:val="21"/>
        </w:rPr>
        <w:t>would</w:t>
      </w:r>
      <w:r>
        <w:rPr>
          <w:spacing w:val="24"/>
          <w:sz w:val="21"/>
        </w:rPr>
        <w:t> </w:t>
      </w:r>
      <w:r>
        <w:rPr>
          <w:sz w:val="21"/>
        </w:rPr>
        <w:t>require</w:t>
      </w:r>
      <w:r>
        <w:rPr>
          <w:spacing w:val="24"/>
          <w:sz w:val="21"/>
        </w:rPr>
        <w:t> </w:t>
      </w:r>
      <w:r>
        <w:rPr>
          <w:sz w:val="21"/>
        </w:rPr>
        <w:t>Employee</w:t>
      </w:r>
      <w:r>
        <w:rPr>
          <w:spacing w:val="24"/>
          <w:sz w:val="21"/>
        </w:rPr>
        <w:t> </w:t>
      </w:r>
      <w:r>
        <w:rPr>
          <w:sz w:val="21"/>
        </w:rPr>
        <w:t>to</w:t>
      </w:r>
      <w:r>
        <w:rPr>
          <w:spacing w:val="24"/>
          <w:sz w:val="21"/>
        </w:rPr>
        <w:t> </w:t>
      </w:r>
      <w:r>
        <w:rPr>
          <w:sz w:val="21"/>
        </w:rPr>
        <w:t>re-locate</w:t>
      </w:r>
      <w:r>
        <w:rPr>
          <w:spacing w:val="24"/>
          <w:sz w:val="21"/>
        </w:rPr>
        <w:t> </w:t>
      </w:r>
      <w:r>
        <w:rPr>
          <w:sz w:val="21"/>
        </w:rPr>
        <w:t>outside</w:t>
      </w:r>
      <w:r>
        <w:rPr>
          <w:spacing w:val="24"/>
          <w:sz w:val="21"/>
        </w:rPr>
        <w:t> </w:t>
      </w:r>
      <w:r>
        <w:rPr>
          <w:sz w:val="21"/>
        </w:rPr>
        <w:t>of</w:t>
      </w:r>
      <w:r>
        <w:rPr>
          <w:spacing w:val="24"/>
          <w:sz w:val="21"/>
        </w:rPr>
        <w:t> </w:t>
      </w:r>
      <w:r>
        <w:rPr>
          <w:sz w:val="21"/>
        </w:rPr>
        <w:t>North America</w:t>
      </w:r>
      <w:r>
        <w:rPr>
          <w:spacing w:val="24"/>
          <w:sz w:val="21"/>
        </w:rPr>
        <w:t> </w:t>
      </w:r>
      <w:r>
        <w:rPr>
          <w:sz w:val="21"/>
        </w:rPr>
        <w:t>or</w:t>
      </w:r>
      <w:r>
        <w:rPr>
          <w:spacing w:val="24"/>
          <w:sz w:val="21"/>
        </w:rPr>
        <w:t> </w:t>
      </w:r>
      <w:r>
        <w:rPr>
          <w:sz w:val="21"/>
        </w:rPr>
        <w:t>(viii)</w:t>
      </w:r>
      <w:r>
        <w:rPr>
          <w:spacing w:val="24"/>
          <w:sz w:val="21"/>
        </w:rPr>
        <w:t> </w:t>
      </w:r>
      <w:r>
        <w:rPr>
          <w:sz w:val="21"/>
        </w:rPr>
        <w:t>any</w:t>
      </w:r>
      <w:r>
        <w:rPr>
          <w:spacing w:val="24"/>
          <w:sz w:val="21"/>
        </w:rPr>
        <w:t> </w:t>
      </w:r>
      <w:r>
        <w:rPr>
          <w:sz w:val="21"/>
        </w:rPr>
        <w:t>material</w:t>
      </w:r>
      <w:r>
        <w:rPr>
          <w:spacing w:val="24"/>
          <w:sz w:val="21"/>
        </w:rPr>
        <w:t> </w:t>
      </w:r>
      <w:r>
        <w:rPr>
          <w:sz w:val="21"/>
        </w:rPr>
        <w:t>and</w:t>
      </w:r>
      <w:r>
        <w:rPr>
          <w:spacing w:val="24"/>
          <w:sz w:val="21"/>
        </w:rPr>
        <w:t> </w:t>
      </w:r>
      <w:r>
        <w:rPr>
          <w:sz w:val="21"/>
        </w:rPr>
        <w:t>significant</w:t>
      </w:r>
      <w:r>
        <w:rPr>
          <w:spacing w:val="24"/>
          <w:sz w:val="21"/>
        </w:rPr>
        <w:t> </w:t>
      </w:r>
      <w:r>
        <w:rPr>
          <w:sz w:val="21"/>
        </w:rPr>
        <w:t>limitation on</w:t>
      </w:r>
      <w:r>
        <w:rPr>
          <w:spacing w:val="26"/>
          <w:sz w:val="21"/>
        </w:rPr>
        <w:t> </w:t>
      </w:r>
      <w:r>
        <w:rPr>
          <w:sz w:val="21"/>
        </w:rPr>
        <w:t>the</w:t>
      </w:r>
      <w:r>
        <w:rPr>
          <w:spacing w:val="26"/>
          <w:sz w:val="21"/>
        </w:rPr>
        <w:t> </w:t>
      </w:r>
      <w:r>
        <w:rPr>
          <w:sz w:val="21"/>
        </w:rPr>
        <w:t>powers</w:t>
      </w:r>
      <w:r>
        <w:rPr>
          <w:spacing w:val="26"/>
          <w:sz w:val="21"/>
        </w:rPr>
        <w:t> </w:t>
      </w:r>
      <w:r>
        <w:rPr>
          <w:sz w:val="21"/>
        </w:rPr>
        <w:t>of</w:t>
      </w:r>
      <w:r>
        <w:rPr>
          <w:spacing w:val="26"/>
          <w:sz w:val="21"/>
        </w:rPr>
        <w:t> </w:t>
      </w:r>
      <w:r>
        <w:rPr>
          <w:sz w:val="21"/>
        </w:rPr>
        <w:t>the</w:t>
      </w:r>
      <w:r>
        <w:rPr>
          <w:spacing w:val="26"/>
          <w:sz w:val="21"/>
        </w:rPr>
        <w:t> </w:t>
      </w:r>
      <w:r>
        <w:rPr>
          <w:sz w:val="21"/>
        </w:rPr>
        <w:t>Employee</w:t>
      </w:r>
      <w:r>
        <w:rPr>
          <w:spacing w:val="26"/>
          <w:sz w:val="21"/>
        </w:rPr>
        <w:t> </w:t>
      </w:r>
      <w:r>
        <w:rPr>
          <w:sz w:val="21"/>
        </w:rPr>
        <w:t>not</w:t>
      </w:r>
      <w:r>
        <w:rPr>
          <w:spacing w:val="26"/>
          <w:sz w:val="21"/>
        </w:rPr>
        <w:t> </w:t>
      </w:r>
      <w:r>
        <w:rPr>
          <w:sz w:val="21"/>
        </w:rPr>
        <w:t>contemplated</w:t>
      </w:r>
      <w:r>
        <w:rPr>
          <w:spacing w:val="26"/>
          <w:sz w:val="21"/>
        </w:rPr>
        <w:t> </w:t>
      </w:r>
      <w:r>
        <w:rPr>
          <w:sz w:val="21"/>
        </w:rPr>
        <w:t>by</w:t>
      </w:r>
      <w:r>
        <w:rPr>
          <w:spacing w:val="26"/>
          <w:sz w:val="21"/>
        </w:rPr>
        <w:t> </w:t>
      </w:r>
      <w:r>
        <w:rPr>
          <w:sz w:val="21"/>
        </w:rPr>
        <w:t>the</w:t>
      </w:r>
      <w:r>
        <w:rPr>
          <w:spacing w:val="26"/>
          <w:sz w:val="21"/>
        </w:rPr>
        <w:t> </w:t>
      </w:r>
      <w:r>
        <w:rPr>
          <w:sz w:val="21"/>
        </w:rPr>
        <w:t>terms</w:t>
      </w:r>
      <w:r>
        <w:rPr>
          <w:spacing w:val="26"/>
          <w:sz w:val="21"/>
        </w:rPr>
        <w:t> </w:t>
      </w:r>
      <w:r>
        <w:rPr>
          <w:sz w:val="21"/>
        </w:rPr>
        <w:t>of</w:t>
      </w:r>
      <w:r>
        <w:rPr>
          <w:spacing w:val="26"/>
          <w:sz w:val="21"/>
        </w:rPr>
        <w:t> </w:t>
      </w:r>
      <w:r>
        <w:rPr>
          <w:sz w:val="21"/>
        </w:rPr>
        <w:t>this Agreement.</w:t>
      </w:r>
      <w:r>
        <w:rPr>
          <w:spacing w:val="26"/>
          <w:sz w:val="21"/>
        </w:rPr>
        <w:t> </w:t>
      </w:r>
      <w:r>
        <w:rPr>
          <w:sz w:val="21"/>
        </w:rPr>
        <w:t>Employee’s</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72"/>
        <w:rPr>
          <w:sz w:val="21"/>
        </w:rPr>
      </w:pPr>
    </w:p>
    <w:p>
      <w:pPr>
        <w:spacing w:before="1"/>
        <w:ind w:left="24" w:right="0" w:firstLine="0"/>
        <w:jc w:val="center"/>
        <w:rPr>
          <w:sz w:val="21"/>
        </w:rPr>
      </w:pPr>
      <w:r>
        <w:rPr>
          <w:spacing w:val="-5"/>
          <w:sz w:val="21"/>
        </w:rPr>
        <w:t>14</w:t>
      </w:r>
    </w:p>
    <w:p>
      <w:pPr>
        <w:pStyle w:val="BodyText"/>
        <w:spacing w:before="6"/>
        <w:rPr>
          <w:sz w:val="4"/>
        </w:rPr>
      </w:pPr>
      <w:r>
        <w:rPr/>
        <mc:AlternateContent>
          <mc:Choice Requires="wps">
            <w:drawing>
              <wp:anchor distT="0" distB="0" distL="0" distR="0" allowOverlap="1" layoutInCell="1" locked="0" behindDoc="1" simplePos="0" relativeHeight="487810560">
                <wp:simplePos x="0" y="0"/>
                <wp:positionH relativeFrom="page">
                  <wp:posOffset>231457</wp:posOffset>
                </wp:positionH>
                <wp:positionV relativeFrom="paragraph">
                  <wp:posOffset>48315</wp:posOffset>
                </wp:positionV>
                <wp:extent cx="7312659" cy="17145"/>
                <wp:effectExtent l="0" t="0" r="0" b="0"/>
                <wp:wrapTopAndBottom/>
                <wp:docPr id="1100" name="Group 1100"/>
                <wp:cNvGraphicFramePr>
                  <a:graphicFrameLocks/>
                </wp:cNvGraphicFramePr>
                <a:graphic>
                  <a:graphicData uri="http://schemas.microsoft.com/office/word/2010/wordprocessingGroup">
                    <wpg:wgp>
                      <wpg:cNvPr id="1100" name="Group 1100"/>
                      <wpg:cNvGrpSpPr/>
                      <wpg:grpSpPr>
                        <a:xfrm>
                          <a:off x="0" y="0"/>
                          <a:ext cx="7312659" cy="17145"/>
                          <a:chExt cx="7312659" cy="17145"/>
                        </a:xfrm>
                      </wpg:grpSpPr>
                      <wps:wsp>
                        <wps:cNvPr id="1101" name="Graphic 110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02" name="Graphic 1102"/>
                        <wps:cNvSpPr/>
                        <wps:spPr>
                          <a:xfrm>
                            <a:off x="-12" y="-2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03" name="Graphic 110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804338pt;width:575.8pt;height:1.35pt;mso-position-horizontal-relative:page;mso-position-vertical-relative:paragraph;z-index:-15505920;mso-wrap-distance-left:0;mso-wrap-distance-right:0" id="docshapegroup1098" coordorigin="364,76" coordsize="11516,27">
                <v:rect style="position:absolute;left:364;top:76;width:11516;height:14" id="docshape1099" filled="true" fillcolor="#999999" stroked="false">
                  <v:fill type="solid"/>
                </v:rect>
                <v:shape style="position:absolute;left:364;top:76;width:11516;height:27" id="docshape1100" coordorigin="364,76" coordsize="11516,27" path="m11880,76l11866,90,364,90,364,103,11866,103,11880,103,11880,90,11880,76xe" filled="true" fillcolor="#ededed" stroked="false">
                  <v:path arrowok="t"/>
                  <v:fill type="solid"/>
                </v:shape>
                <v:shape style="position:absolute;left:364;top:76;width:14;height:27" id="docshape1101" coordorigin="364,76" coordsize="14,27" path="m364,103l364,76,378,76,378,90,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spacing w:line="213" w:lineRule="auto" w:before="138"/>
        <w:ind w:left="468" w:right="0" w:firstLine="0"/>
        <w:jc w:val="left"/>
        <w:rPr>
          <w:sz w:val="21"/>
        </w:rPr>
      </w:pPr>
      <w:r>
        <w:rPr>
          <w:sz w:val="21"/>
        </w:rPr>
        <w:t>Good</w:t>
      </w:r>
      <w:r>
        <w:rPr>
          <w:spacing w:val="18"/>
          <w:sz w:val="21"/>
        </w:rPr>
        <w:t> </w:t>
      </w:r>
      <w:r>
        <w:rPr>
          <w:sz w:val="21"/>
        </w:rPr>
        <w:t>Cause Termination</w:t>
      </w:r>
      <w:r>
        <w:rPr>
          <w:spacing w:val="18"/>
          <w:sz w:val="21"/>
        </w:rPr>
        <w:t> </w:t>
      </w:r>
      <w:r>
        <w:rPr>
          <w:sz w:val="21"/>
        </w:rPr>
        <w:t>shall</w:t>
      </w:r>
      <w:r>
        <w:rPr>
          <w:spacing w:val="18"/>
          <w:sz w:val="21"/>
        </w:rPr>
        <w:t> </w:t>
      </w:r>
      <w:r>
        <w:rPr>
          <w:sz w:val="21"/>
        </w:rPr>
        <w:t>not</w:t>
      </w:r>
      <w:r>
        <w:rPr>
          <w:spacing w:val="18"/>
          <w:sz w:val="21"/>
        </w:rPr>
        <w:t> </w:t>
      </w:r>
      <w:r>
        <w:rPr>
          <w:sz w:val="21"/>
        </w:rPr>
        <w:t>be</w:t>
      </w:r>
      <w:r>
        <w:rPr>
          <w:spacing w:val="18"/>
          <w:sz w:val="21"/>
        </w:rPr>
        <w:t> </w:t>
      </w:r>
      <w:r>
        <w:rPr>
          <w:sz w:val="21"/>
        </w:rPr>
        <w:t>effective</w:t>
      </w:r>
      <w:r>
        <w:rPr>
          <w:spacing w:val="18"/>
          <w:sz w:val="21"/>
        </w:rPr>
        <w:t> </w:t>
      </w:r>
      <w:r>
        <w:rPr>
          <w:sz w:val="21"/>
        </w:rPr>
        <w:t>until</w:t>
      </w:r>
      <w:r>
        <w:rPr>
          <w:spacing w:val="18"/>
          <w:sz w:val="21"/>
        </w:rPr>
        <w:t> </w:t>
      </w:r>
      <w:r>
        <w:rPr>
          <w:sz w:val="21"/>
        </w:rPr>
        <w:t>Employee</w:t>
      </w:r>
      <w:r>
        <w:rPr>
          <w:spacing w:val="18"/>
          <w:sz w:val="21"/>
        </w:rPr>
        <w:t> </w:t>
      </w:r>
      <w:r>
        <w:rPr>
          <w:sz w:val="21"/>
        </w:rPr>
        <w:t>has</w:t>
      </w:r>
      <w:r>
        <w:rPr>
          <w:spacing w:val="18"/>
          <w:sz w:val="21"/>
        </w:rPr>
        <w:t> </w:t>
      </w:r>
      <w:r>
        <w:rPr>
          <w:sz w:val="21"/>
        </w:rPr>
        <w:t>given</w:t>
      </w:r>
      <w:r>
        <w:rPr>
          <w:spacing w:val="18"/>
          <w:sz w:val="21"/>
        </w:rPr>
        <w:t> </w:t>
      </w:r>
      <w:r>
        <w:rPr>
          <w:sz w:val="21"/>
        </w:rPr>
        <w:t>Employer</w:t>
      </w:r>
      <w:r>
        <w:rPr>
          <w:spacing w:val="18"/>
          <w:sz w:val="21"/>
        </w:rPr>
        <w:t> </w:t>
      </w:r>
      <w:r>
        <w:rPr>
          <w:sz w:val="21"/>
        </w:rPr>
        <w:t>specific</w:t>
      </w:r>
      <w:r>
        <w:rPr>
          <w:spacing w:val="18"/>
          <w:sz w:val="21"/>
        </w:rPr>
        <w:t> </w:t>
      </w:r>
      <w:r>
        <w:rPr>
          <w:sz w:val="21"/>
        </w:rPr>
        <w:t>notice</w:t>
      </w:r>
      <w:r>
        <w:rPr>
          <w:spacing w:val="18"/>
          <w:sz w:val="21"/>
        </w:rPr>
        <w:t> </w:t>
      </w:r>
      <w:r>
        <w:rPr>
          <w:sz w:val="21"/>
        </w:rPr>
        <w:t>identifying</w:t>
      </w:r>
      <w:r>
        <w:rPr>
          <w:spacing w:val="18"/>
          <w:sz w:val="21"/>
        </w:rPr>
        <w:t> </w:t>
      </w:r>
      <w:r>
        <w:rPr>
          <w:sz w:val="21"/>
        </w:rPr>
        <w:t>the</w:t>
      </w:r>
      <w:r>
        <w:rPr>
          <w:spacing w:val="18"/>
          <w:sz w:val="21"/>
        </w:rPr>
        <w:t> </w:t>
      </w:r>
      <w:r>
        <w:rPr>
          <w:sz w:val="21"/>
        </w:rPr>
        <w:t>alleged</w:t>
      </w:r>
      <w:r>
        <w:rPr>
          <w:spacing w:val="18"/>
          <w:sz w:val="21"/>
        </w:rPr>
        <w:t> </w:t>
      </w:r>
      <w:r>
        <w:rPr>
          <w:sz w:val="21"/>
        </w:rPr>
        <w:t>Good Cause</w:t>
      </w:r>
      <w:r>
        <w:rPr>
          <w:spacing w:val="27"/>
          <w:sz w:val="21"/>
        </w:rPr>
        <w:t> </w:t>
      </w:r>
      <w:r>
        <w:rPr>
          <w:sz w:val="21"/>
        </w:rPr>
        <w:t>and</w:t>
      </w:r>
      <w:r>
        <w:rPr>
          <w:spacing w:val="27"/>
          <w:sz w:val="21"/>
        </w:rPr>
        <w:t> </w:t>
      </w:r>
      <w:r>
        <w:rPr>
          <w:sz w:val="21"/>
        </w:rPr>
        <w:t>Employer</w:t>
      </w:r>
      <w:r>
        <w:rPr>
          <w:spacing w:val="27"/>
          <w:sz w:val="21"/>
        </w:rPr>
        <w:t> </w:t>
      </w:r>
      <w:r>
        <w:rPr>
          <w:sz w:val="21"/>
        </w:rPr>
        <w:t>has</w:t>
      </w:r>
      <w:r>
        <w:rPr>
          <w:spacing w:val="27"/>
          <w:sz w:val="21"/>
        </w:rPr>
        <w:t> </w:t>
      </w:r>
      <w:r>
        <w:rPr>
          <w:sz w:val="21"/>
        </w:rPr>
        <w:t>not</w:t>
      </w:r>
      <w:r>
        <w:rPr>
          <w:spacing w:val="27"/>
          <w:sz w:val="21"/>
        </w:rPr>
        <w:t> </w:t>
      </w:r>
      <w:r>
        <w:rPr>
          <w:sz w:val="21"/>
        </w:rPr>
        <w:t>cured</w:t>
      </w:r>
      <w:r>
        <w:rPr>
          <w:spacing w:val="27"/>
          <w:sz w:val="21"/>
        </w:rPr>
        <w:t> </w:t>
      </w:r>
      <w:r>
        <w:rPr>
          <w:sz w:val="21"/>
        </w:rPr>
        <w:t>the</w:t>
      </w:r>
      <w:r>
        <w:rPr>
          <w:spacing w:val="27"/>
          <w:sz w:val="21"/>
        </w:rPr>
        <w:t> </w:t>
      </w:r>
      <w:r>
        <w:rPr>
          <w:sz w:val="21"/>
        </w:rPr>
        <w:t>circumstances</w:t>
      </w:r>
      <w:r>
        <w:rPr>
          <w:spacing w:val="27"/>
          <w:sz w:val="21"/>
        </w:rPr>
        <w:t> </w:t>
      </w:r>
      <w:r>
        <w:rPr>
          <w:sz w:val="21"/>
        </w:rPr>
        <w:t>constituting</w:t>
      </w:r>
      <w:r>
        <w:rPr>
          <w:spacing w:val="27"/>
          <w:sz w:val="21"/>
        </w:rPr>
        <w:t> </w:t>
      </w:r>
      <w:r>
        <w:rPr>
          <w:sz w:val="21"/>
        </w:rPr>
        <w:t>Good</w:t>
      </w:r>
      <w:r>
        <w:rPr>
          <w:spacing w:val="27"/>
          <w:sz w:val="21"/>
        </w:rPr>
        <w:t> </w:t>
      </w:r>
      <w:r>
        <w:rPr>
          <w:sz w:val="21"/>
        </w:rPr>
        <w:t>Cause</w:t>
      </w:r>
      <w:r>
        <w:rPr>
          <w:spacing w:val="27"/>
          <w:sz w:val="21"/>
        </w:rPr>
        <w:t> </w:t>
      </w:r>
      <w:r>
        <w:rPr>
          <w:sz w:val="21"/>
        </w:rPr>
        <w:t>within</w:t>
      </w:r>
      <w:r>
        <w:rPr>
          <w:spacing w:val="27"/>
          <w:sz w:val="21"/>
        </w:rPr>
        <w:t> </w:t>
      </w:r>
      <w:r>
        <w:rPr>
          <w:sz w:val="21"/>
        </w:rPr>
        <w:t>ten</w:t>
      </w:r>
      <w:r>
        <w:rPr>
          <w:spacing w:val="27"/>
          <w:sz w:val="21"/>
        </w:rPr>
        <w:t> </w:t>
      </w:r>
      <w:r>
        <w:rPr>
          <w:sz w:val="21"/>
        </w:rPr>
        <w:t>(10)</w:t>
      </w:r>
      <w:r>
        <w:rPr>
          <w:spacing w:val="27"/>
          <w:sz w:val="21"/>
        </w:rPr>
        <w:t> </w:t>
      </w:r>
      <w:r>
        <w:rPr>
          <w:sz w:val="21"/>
        </w:rPr>
        <w:t>business</w:t>
      </w:r>
      <w:r>
        <w:rPr>
          <w:spacing w:val="27"/>
          <w:sz w:val="21"/>
        </w:rPr>
        <w:t> </w:t>
      </w:r>
      <w:r>
        <w:rPr>
          <w:sz w:val="21"/>
        </w:rPr>
        <w:t>days.</w:t>
      </w:r>
    </w:p>
    <w:p>
      <w:pPr>
        <w:pStyle w:val="ListParagraph"/>
        <w:numPr>
          <w:ilvl w:val="2"/>
          <w:numId w:val="55"/>
        </w:numPr>
        <w:tabs>
          <w:tab w:pos="1391" w:val="left" w:leader="none"/>
        </w:tabs>
        <w:spacing w:line="213" w:lineRule="auto" w:before="218" w:after="0"/>
        <w:ind w:left="792" w:right="220" w:firstLine="0"/>
        <w:jc w:val="both"/>
        <w:rPr>
          <w:sz w:val="21"/>
        </w:rPr>
      </w:pPr>
      <w:r>
        <w:rPr>
          <w:sz w:val="21"/>
        </w:rPr>
        <w:t>If</w:t>
      </w:r>
      <w:r>
        <w:rPr>
          <w:spacing w:val="21"/>
          <w:sz w:val="21"/>
        </w:rPr>
        <w:t> </w:t>
      </w:r>
      <w:r>
        <w:rPr>
          <w:sz w:val="21"/>
        </w:rPr>
        <w:t>Employee</w:t>
      </w:r>
      <w:r>
        <w:rPr>
          <w:spacing w:val="21"/>
          <w:sz w:val="21"/>
        </w:rPr>
        <w:t> </w:t>
      </w:r>
      <w:r>
        <w:rPr>
          <w:sz w:val="21"/>
        </w:rPr>
        <w:t>terminates</w:t>
      </w:r>
      <w:r>
        <w:rPr>
          <w:spacing w:val="21"/>
          <w:sz w:val="21"/>
        </w:rPr>
        <w:t> </w:t>
      </w:r>
      <w:r>
        <w:rPr>
          <w:sz w:val="21"/>
        </w:rPr>
        <w:t>employment</w:t>
      </w:r>
      <w:r>
        <w:rPr>
          <w:spacing w:val="21"/>
          <w:sz w:val="21"/>
        </w:rPr>
        <w:t> </w:t>
      </w:r>
      <w:r>
        <w:rPr>
          <w:sz w:val="21"/>
        </w:rPr>
        <w:t>during</w:t>
      </w:r>
      <w:r>
        <w:rPr>
          <w:spacing w:val="21"/>
          <w:sz w:val="21"/>
        </w:rPr>
        <w:t> </w:t>
      </w:r>
      <w:r>
        <w:rPr>
          <w:sz w:val="21"/>
        </w:rPr>
        <w:t>the</w:t>
      </w:r>
      <w:r>
        <w:rPr>
          <w:spacing w:val="21"/>
          <w:sz w:val="21"/>
        </w:rPr>
        <w:t> </w:t>
      </w:r>
      <w:r>
        <w:rPr>
          <w:sz w:val="21"/>
        </w:rPr>
        <w:t>Specified Term</w:t>
      </w:r>
      <w:r>
        <w:rPr>
          <w:spacing w:val="21"/>
          <w:sz w:val="21"/>
        </w:rPr>
        <w:t> </w:t>
      </w:r>
      <w:r>
        <w:rPr>
          <w:sz w:val="21"/>
        </w:rPr>
        <w:t>for</w:t>
      </w:r>
      <w:r>
        <w:rPr>
          <w:spacing w:val="21"/>
          <w:sz w:val="21"/>
        </w:rPr>
        <w:t> </w:t>
      </w:r>
      <w:r>
        <w:rPr>
          <w:sz w:val="21"/>
        </w:rPr>
        <w:t>Employee’s</w:t>
      </w:r>
      <w:r>
        <w:rPr>
          <w:spacing w:val="21"/>
          <w:sz w:val="21"/>
        </w:rPr>
        <w:t> </w:t>
      </w:r>
      <w:r>
        <w:rPr>
          <w:sz w:val="21"/>
        </w:rPr>
        <w:t>Good</w:t>
      </w:r>
      <w:r>
        <w:rPr>
          <w:spacing w:val="21"/>
          <w:sz w:val="21"/>
        </w:rPr>
        <w:t> </w:t>
      </w:r>
      <w:r>
        <w:rPr>
          <w:sz w:val="21"/>
        </w:rPr>
        <w:t>Cause,</w:t>
      </w:r>
      <w:r>
        <w:rPr>
          <w:spacing w:val="21"/>
          <w:sz w:val="21"/>
        </w:rPr>
        <w:t> </w:t>
      </w:r>
      <w:r>
        <w:rPr>
          <w:sz w:val="21"/>
        </w:rPr>
        <w:t>Employee</w:t>
      </w:r>
      <w:r>
        <w:rPr>
          <w:spacing w:val="21"/>
          <w:sz w:val="21"/>
        </w:rPr>
        <w:t> </w:t>
      </w:r>
      <w:r>
        <w:rPr>
          <w:sz w:val="21"/>
        </w:rPr>
        <w:t>shall</w:t>
      </w:r>
      <w:r>
        <w:rPr>
          <w:spacing w:val="21"/>
          <w:sz w:val="21"/>
        </w:rPr>
        <w:t> </w:t>
      </w:r>
      <w:r>
        <w:rPr>
          <w:sz w:val="21"/>
        </w:rPr>
        <w:t>receive an amount equal to the (a) Severance Payment, less all applicable taxes, or, if applicable the MDA Severance Payment,</w:t>
      </w:r>
      <w:r>
        <w:rPr>
          <w:spacing w:val="80"/>
          <w:w w:val="150"/>
          <w:sz w:val="21"/>
        </w:rPr>
        <w:t> </w:t>
      </w:r>
      <w:r>
        <w:rPr>
          <w:sz w:val="21"/>
        </w:rPr>
        <w:t>payable in twelve (12) monthly installments commencing upon the date that is thirty (30) days after Employee’s termination date and in accordance with 10.5 and (b) any Accrued Bonus Amount. In addition, Employee shall receive a lump sum</w:t>
      </w:r>
      <w:r>
        <w:rPr>
          <w:spacing w:val="80"/>
          <w:sz w:val="21"/>
        </w:rPr>
        <w:t> </w:t>
      </w:r>
      <w:r>
        <w:rPr>
          <w:sz w:val="21"/>
        </w:rPr>
        <w:t>payment</w:t>
      </w:r>
      <w:r>
        <w:rPr>
          <w:spacing w:val="40"/>
          <w:sz w:val="21"/>
        </w:rPr>
        <w:t> </w:t>
      </w:r>
      <w:r>
        <w:rPr>
          <w:sz w:val="21"/>
        </w:rPr>
        <w:t>equal</w:t>
      </w:r>
      <w:r>
        <w:rPr>
          <w:spacing w:val="40"/>
          <w:sz w:val="21"/>
        </w:rPr>
        <w:t> </w:t>
      </w:r>
      <w:r>
        <w:rPr>
          <w:sz w:val="21"/>
        </w:rPr>
        <w:t>to</w:t>
      </w:r>
      <w:r>
        <w:rPr>
          <w:spacing w:val="40"/>
          <w:sz w:val="21"/>
        </w:rPr>
        <w:t> </w:t>
      </w:r>
      <w:r>
        <w:rPr>
          <w:sz w:val="21"/>
        </w:rPr>
        <w:t>1.5</w:t>
      </w:r>
      <w:r>
        <w:rPr>
          <w:spacing w:val="40"/>
          <w:sz w:val="21"/>
        </w:rPr>
        <w:t> </w:t>
      </w:r>
      <w:r>
        <w:rPr>
          <w:sz w:val="21"/>
        </w:rPr>
        <w:t>times</w:t>
      </w:r>
      <w:r>
        <w:rPr>
          <w:spacing w:val="40"/>
          <w:sz w:val="21"/>
        </w:rPr>
        <w:t> </w:t>
      </w:r>
      <w:r>
        <w:rPr>
          <w:sz w:val="21"/>
        </w:rPr>
        <w:t>the</w:t>
      </w:r>
      <w:r>
        <w:rPr>
          <w:spacing w:val="40"/>
          <w:sz w:val="21"/>
        </w:rPr>
        <w:t> </w:t>
      </w:r>
      <w:r>
        <w:rPr>
          <w:sz w:val="21"/>
        </w:rPr>
        <w:t>cost</w:t>
      </w:r>
      <w:r>
        <w:rPr>
          <w:spacing w:val="40"/>
          <w:sz w:val="21"/>
        </w:rPr>
        <w:t> </w:t>
      </w:r>
      <w:r>
        <w:rPr>
          <w:sz w:val="21"/>
        </w:rPr>
        <w:t>of</w:t>
      </w:r>
      <w:r>
        <w:rPr>
          <w:spacing w:val="40"/>
          <w:sz w:val="21"/>
        </w:rPr>
        <w:t> </w:t>
      </w:r>
      <w:r>
        <w:rPr>
          <w:sz w:val="21"/>
        </w:rPr>
        <w:t>COBRA coverage</w:t>
      </w:r>
      <w:r>
        <w:rPr>
          <w:spacing w:val="40"/>
          <w:sz w:val="21"/>
        </w:rPr>
        <w:t> </w:t>
      </w:r>
      <w:r>
        <w:rPr>
          <w:sz w:val="21"/>
        </w:rPr>
        <w:t>for</w:t>
      </w:r>
      <w:r>
        <w:rPr>
          <w:spacing w:val="40"/>
          <w:sz w:val="21"/>
        </w:rPr>
        <w:t> </w:t>
      </w:r>
      <w:r>
        <w:rPr>
          <w:sz w:val="21"/>
        </w:rPr>
        <w:t>a</w:t>
      </w:r>
      <w:r>
        <w:rPr>
          <w:spacing w:val="40"/>
          <w:sz w:val="21"/>
        </w:rPr>
        <w:t> </w:t>
      </w:r>
      <w:r>
        <w:rPr>
          <w:sz w:val="21"/>
        </w:rPr>
        <w:t>period</w:t>
      </w:r>
      <w:r>
        <w:rPr>
          <w:spacing w:val="40"/>
          <w:sz w:val="21"/>
        </w:rPr>
        <w:t> </w:t>
      </w:r>
      <w:r>
        <w:rPr>
          <w:sz w:val="21"/>
        </w:rPr>
        <w:t>of</w:t>
      </w:r>
      <w:r>
        <w:rPr>
          <w:spacing w:val="40"/>
          <w:sz w:val="21"/>
        </w:rPr>
        <w:t> </w:t>
      </w:r>
      <w:r>
        <w:rPr>
          <w:sz w:val="21"/>
        </w:rPr>
        <w:t>twelve</w:t>
      </w:r>
      <w:r>
        <w:rPr>
          <w:spacing w:val="40"/>
          <w:sz w:val="21"/>
        </w:rPr>
        <w:t> </w:t>
      </w:r>
      <w:r>
        <w:rPr>
          <w:sz w:val="21"/>
        </w:rPr>
        <w:t>(12)</w:t>
      </w:r>
      <w:r>
        <w:rPr>
          <w:spacing w:val="40"/>
          <w:sz w:val="21"/>
        </w:rPr>
        <w:t> </w:t>
      </w:r>
      <w:r>
        <w:rPr>
          <w:sz w:val="21"/>
        </w:rPr>
        <w:t>months</w:t>
      </w:r>
      <w:r>
        <w:rPr>
          <w:spacing w:val="40"/>
          <w:sz w:val="21"/>
        </w:rPr>
        <w:t> </w:t>
      </w:r>
      <w:r>
        <w:rPr>
          <w:sz w:val="21"/>
        </w:rPr>
        <w:t>immediately</w:t>
      </w:r>
      <w:r>
        <w:rPr>
          <w:spacing w:val="40"/>
          <w:sz w:val="21"/>
        </w:rPr>
        <w:t> </w:t>
      </w:r>
      <w:r>
        <w:rPr>
          <w:sz w:val="21"/>
        </w:rPr>
        <w:t>following separation</w:t>
      </w:r>
      <w:r>
        <w:rPr>
          <w:spacing w:val="26"/>
          <w:sz w:val="21"/>
        </w:rPr>
        <w:t> </w:t>
      </w:r>
      <w:r>
        <w:rPr>
          <w:sz w:val="21"/>
        </w:rPr>
        <w:t>(the</w:t>
      </w:r>
      <w:r>
        <w:rPr>
          <w:spacing w:val="26"/>
          <w:sz w:val="21"/>
        </w:rPr>
        <w:t> </w:t>
      </w:r>
      <w:r>
        <w:rPr>
          <w:sz w:val="21"/>
        </w:rPr>
        <w:t>“COBRA</w:t>
      </w:r>
      <w:r>
        <w:rPr>
          <w:spacing w:val="12"/>
          <w:sz w:val="21"/>
        </w:rPr>
        <w:t> </w:t>
      </w:r>
      <w:r>
        <w:rPr>
          <w:sz w:val="21"/>
        </w:rPr>
        <w:t>Payment”),</w:t>
      </w:r>
      <w:r>
        <w:rPr>
          <w:spacing w:val="27"/>
          <w:sz w:val="21"/>
        </w:rPr>
        <w:t> </w:t>
      </w:r>
      <w:r>
        <w:rPr>
          <w:sz w:val="21"/>
        </w:rPr>
        <w:t>payable</w:t>
      </w:r>
      <w:r>
        <w:rPr>
          <w:spacing w:val="26"/>
          <w:sz w:val="21"/>
        </w:rPr>
        <w:t> </w:t>
      </w:r>
      <w:r>
        <w:rPr>
          <w:sz w:val="21"/>
        </w:rPr>
        <w:t>in</w:t>
      </w:r>
      <w:r>
        <w:rPr>
          <w:spacing w:val="26"/>
          <w:sz w:val="21"/>
        </w:rPr>
        <w:t> </w:t>
      </w:r>
      <w:r>
        <w:rPr>
          <w:sz w:val="21"/>
        </w:rPr>
        <w:t>twelve</w:t>
      </w:r>
      <w:r>
        <w:rPr>
          <w:spacing w:val="27"/>
          <w:sz w:val="21"/>
        </w:rPr>
        <w:t> </w:t>
      </w:r>
      <w:r>
        <w:rPr>
          <w:sz w:val="21"/>
        </w:rPr>
        <w:t>(12)</w:t>
      </w:r>
      <w:r>
        <w:rPr>
          <w:spacing w:val="26"/>
          <w:sz w:val="21"/>
        </w:rPr>
        <w:t> </w:t>
      </w:r>
      <w:r>
        <w:rPr>
          <w:sz w:val="21"/>
        </w:rPr>
        <w:t>monthly</w:t>
      </w:r>
      <w:r>
        <w:rPr>
          <w:spacing w:val="26"/>
          <w:sz w:val="21"/>
        </w:rPr>
        <w:t> </w:t>
      </w:r>
      <w:r>
        <w:rPr>
          <w:sz w:val="21"/>
        </w:rPr>
        <w:t>installments</w:t>
      </w:r>
      <w:r>
        <w:rPr>
          <w:spacing w:val="27"/>
          <w:sz w:val="21"/>
        </w:rPr>
        <w:t> </w:t>
      </w:r>
      <w:r>
        <w:rPr>
          <w:sz w:val="21"/>
        </w:rPr>
        <w:t>commencing</w:t>
      </w:r>
      <w:r>
        <w:rPr>
          <w:spacing w:val="26"/>
          <w:sz w:val="21"/>
        </w:rPr>
        <w:t> </w:t>
      </w:r>
      <w:r>
        <w:rPr>
          <w:sz w:val="21"/>
        </w:rPr>
        <w:t>upon</w:t>
      </w:r>
      <w:r>
        <w:rPr>
          <w:spacing w:val="26"/>
          <w:sz w:val="21"/>
        </w:rPr>
        <w:t> </w:t>
      </w:r>
      <w:r>
        <w:rPr>
          <w:sz w:val="21"/>
        </w:rPr>
        <w:t>the</w:t>
      </w:r>
      <w:r>
        <w:rPr>
          <w:spacing w:val="27"/>
          <w:sz w:val="21"/>
        </w:rPr>
        <w:t> </w:t>
      </w:r>
      <w:r>
        <w:rPr>
          <w:sz w:val="21"/>
        </w:rPr>
        <w:t>date</w:t>
      </w:r>
      <w:r>
        <w:rPr>
          <w:spacing w:val="26"/>
          <w:sz w:val="21"/>
        </w:rPr>
        <w:t> </w:t>
      </w:r>
      <w:r>
        <w:rPr>
          <w:sz w:val="21"/>
        </w:rPr>
        <w:t>that</w:t>
      </w:r>
      <w:r>
        <w:rPr>
          <w:spacing w:val="26"/>
          <w:sz w:val="21"/>
        </w:rPr>
        <w:t> </w:t>
      </w:r>
      <w:r>
        <w:rPr>
          <w:sz w:val="21"/>
        </w:rPr>
        <w:t>is</w:t>
      </w:r>
      <w:r>
        <w:rPr>
          <w:spacing w:val="27"/>
          <w:sz w:val="21"/>
        </w:rPr>
        <w:t> </w:t>
      </w:r>
      <w:r>
        <w:rPr>
          <w:spacing w:val="-2"/>
          <w:sz w:val="21"/>
        </w:rPr>
        <w:t>thirty</w:t>
      </w:r>
    </w:p>
    <w:p>
      <w:pPr>
        <w:spacing w:line="226" w:lineRule="exact" w:before="0"/>
        <w:ind w:left="792" w:right="0" w:firstLine="0"/>
        <w:jc w:val="both"/>
        <w:rPr>
          <w:sz w:val="21"/>
        </w:rPr>
      </w:pPr>
      <w:r>
        <w:rPr>
          <w:sz w:val="21"/>
        </w:rPr>
        <w:t>(30)</w:t>
      </w:r>
      <w:r>
        <w:rPr>
          <w:spacing w:val="10"/>
          <w:sz w:val="21"/>
        </w:rPr>
        <w:t> </w:t>
      </w:r>
      <w:r>
        <w:rPr>
          <w:sz w:val="21"/>
        </w:rPr>
        <w:t>days</w:t>
      </w:r>
      <w:r>
        <w:rPr>
          <w:spacing w:val="11"/>
          <w:sz w:val="21"/>
        </w:rPr>
        <w:t> </w:t>
      </w:r>
      <w:r>
        <w:rPr>
          <w:sz w:val="21"/>
        </w:rPr>
        <w:t>after</w:t>
      </w:r>
      <w:r>
        <w:rPr>
          <w:spacing w:val="11"/>
          <w:sz w:val="21"/>
        </w:rPr>
        <w:t> </w:t>
      </w:r>
      <w:r>
        <w:rPr>
          <w:sz w:val="21"/>
        </w:rPr>
        <w:t>Employee’s</w:t>
      </w:r>
      <w:r>
        <w:rPr>
          <w:spacing w:val="11"/>
          <w:sz w:val="21"/>
        </w:rPr>
        <w:t> </w:t>
      </w:r>
      <w:r>
        <w:rPr>
          <w:sz w:val="21"/>
        </w:rPr>
        <w:t>termination</w:t>
      </w:r>
      <w:r>
        <w:rPr>
          <w:spacing w:val="11"/>
          <w:sz w:val="21"/>
        </w:rPr>
        <w:t> </w:t>
      </w:r>
      <w:r>
        <w:rPr>
          <w:spacing w:val="-2"/>
          <w:sz w:val="21"/>
        </w:rPr>
        <w:t>date.</w:t>
      </w:r>
    </w:p>
    <w:p>
      <w:pPr>
        <w:pStyle w:val="BodyText"/>
        <w:spacing w:before="187"/>
        <w:rPr>
          <w:sz w:val="21"/>
        </w:rPr>
      </w:pPr>
    </w:p>
    <w:p>
      <w:pPr>
        <w:pStyle w:val="ListParagraph"/>
        <w:numPr>
          <w:ilvl w:val="1"/>
          <w:numId w:val="55"/>
        </w:numPr>
        <w:tabs>
          <w:tab w:pos="921" w:val="left" w:leader="none"/>
        </w:tabs>
        <w:spacing w:line="213" w:lineRule="auto" w:before="0" w:after="0"/>
        <w:ind w:left="468" w:right="221" w:firstLine="0"/>
        <w:jc w:val="both"/>
        <w:rPr>
          <w:sz w:val="21"/>
        </w:rPr>
      </w:pPr>
      <w:r>
        <w:rPr>
          <w:sz w:val="21"/>
          <w:u w:val="single"/>
        </w:rPr>
        <w:t>Employee’s No Cause Termination</w:t>
      </w:r>
      <w:r>
        <w:rPr>
          <w:sz w:val="21"/>
        </w:rPr>
        <w:t>. Employee may terminate Employee’s employment at any time during the </w:t>
      </w:r>
      <w:r>
        <w:rPr>
          <w:sz w:val="21"/>
        </w:rPr>
        <w:t>Specified</w:t>
      </w:r>
      <w:r>
        <w:rPr>
          <w:spacing w:val="80"/>
          <w:w w:val="150"/>
          <w:sz w:val="21"/>
        </w:rPr>
        <w:t> </w:t>
      </w:r>
      <w:r>
        <w:rPr>
          <w:sz w:val="21"/>
        </w:rPr>
        <w:t>Term for “No Cause” after providing Employer at least thirty (30) days advance notice (the “Notice Period’) of such intent to terminate. Employer may elect to terminate Employee prior to the expiration of the Notice Period but must, in that event, keep Employee on its payroll for the duration of the Notice Period and continue to provide related benefits and vesting. A No Cause termination by Employee shall mean a termination by Employee of Employee’s employment for any reason other than for Good Cause, as defined above. In the event Employee terminates Employee’s employment under this Agreement for No Cause,</w:t>
      </w:r>
      <w:r>
        <w:rPr>
          <w:spacing w:val="40"/>
          <w:sz w:val="21"/>
        </w:rPr>
        <w:t> </w:t>
      </w:r>
      <w:r>
        <w:rPr>
          <w:sz w:val="21"/>
        </w:rPr>
        <w:t>Employer shall have no further liability or obligations whatsoever to Employee under this Agreement except as expressly</w:t>
      </w:r>
      <w:r>
        <w:rPr>
          <w:spacing w:val="80"/>
          <w:sz w:val="21"/>
        </w:rPr>
        <w:t> </w:t>
      </w:r>
      <w:r>
        <w:rPr>
          <w:sz w:val="21"/>
        </w:rPr>
        <w:t>described at the beginning of this Section 10.</w:t>
      </w:r>
    </w:p>
    <w:p>
      <w:pPr>
        <w:pStyle w:val="ListParagraph"/>
        <w:numPr>
          <w:ilvl w:val="1"/>
          <w:numId w:val="55"/>
        </w:numPr>
        <w:tabs>
          <w:tab w:pos="901" w:val="left" w:leader="none"/>
        </w:tabs>
        <w:spacing w:line="213" w:lineRule="auto" w:before="225" w:after="0"/>
        <w:ind w:left="468" w:right="222" w:firstLine="0"/>
        <w:jc w:val="both"/>
        <w:rPr>
          <w:sz w:val="21"/>
        </w:rPr>
      </w:pPr>
      <w:r>
        <w:rPr>
          <w:sz w:val="21"/>
          <w:u w:val="single"/>
        </w:rPr>
        <w:t>Employer’s</w:t>
      </w:r>
      <w:r>
        <w:rPr>
          <w:spacing w:val="14"/>
          <w:sz w:val="21"/>
          <w:u w:val="single"/>
        </w:rPr>
        <w:t> </w:t>
      </w:r>
      <w:r>
        <w:rPr>
          <w:sz w:val="21"/>
          <w:u w:val="single"/>
        </w:rPr>
        <w:t>Option</w:t>
      </w:r>
      <w:r>
        <w:rPr>
          <w:spacing w:val="14"/>
          <w:sz w:val="21"/>
          <w:u w:val="single"/>
        </w:rPr>
        <w:t> </w:t>
      </w:r>
      <w:r>
        <w:rPr>
          <w:sz w:val="21"/>
          <w:u w:val="single"/>
        </w:rPr>
        <w:t>to</w:t>
      </w:r>
      <w:r>
        <w:rPr>
          <w:spacing w:val="14"/>
          <w:sz w:val="21"/>
          <w:u w:val="single"/>
        </w:rPr>
        <w:t> </w:t>
      </w:r>
      <w:r>
        <w:rPr>
          <w:sz w:val="21"/>
          <w:u w:val="single"/>
        </w:rPr>
        <w:t>Make</w:t>
      </w:r>
      <w:r>
        <w:rPr>
          <w:spacing w:val="-1"/>
          <w:sz w:val="21"/>
          <w:u w:val="single"/>
        </w:rPr>
        <w:t> </w:t>
      </w:r>
      <w:r>
        <w:rPr>
          <w:sz w:val="21"/>
          <w:u w:val="single"/>
        </w:rPr>
        <w:t>Additional</w:t>
      </w:r>
      <w:r>
        <w:rPr>
          <w:spacing w:val="14"/>
          <w:sz w:val="21"/>
          <w:u w:val="single"/>
        </w:rPr>
        <w:t> </w:t>
      </w:r>
      <w:r>
        <w:rPr>
          <w:sz w:val="21"/>
          <w:u w:val="single"/>
        </w:rPr>
        <w:t>Salar</w:t>
      </w:r>
      <w:r>
        <w:rPr>
          <w:sz w:val="21"/>
        </w:rPr>
        <w:t>y</w:t>
      </w:r>
      <w:r>
        <w:rPr>
          <w:spacing w:val="40"/>
          <w:sz w:val="21"/>
          <w:u w:val="single"/>
        </w:rPr>
        <w:t> </w:t>
      </w:r>
      <w:r>
        <w:rPr>
          <w:sz w:val="21"/>
          <w:u w:val="single"/>
        </w:rPr>
        <w:t>Continuation</w:t>
      </w:r>
      <w:r>
        <w:rPr>
          <w:spacing w:val="14"/>
          <w:sz w:val="21"/>
          <w:u w:val="single"/>
        </w:rPr>
        <w:t> </w:t>
      </w:r>
      <w:r>
        <w:rPr>
          <w:sz w:val="21"/>
          <w:u w:val="single"/>
        </w:rPr>
        <w:t>Payments</w:t>
      </w:r>
      <w:r>
        <w:rPr>
          <w:sz w:val="21"/>
        </w:rPr>
        <w:t>.</w:t>
      </w:r>
      <w:r>
        <w:rPr>
          <w:spacing w:val="14"/>
          <w:sz w:val="21"/>
        </w:rPr>
        <w:t> </w:t>
      </w:r>
      <w:r>
        <w:rPr>
          <w:sz w:val="21"/>
        </w:rPr>
        <w:t>In</w:t>
      </w:r>
      <w:r>
        <w:rPr>
          <w:spacing w:val="14"/>
          <w:sz w:val="21"/>
        </w:rPr>
        <w:t> </w:t>
      </w:r>
      <w:r>
        <w:rPr>
          <w:sz w:val="21"/>
        </w:rPr>
        <w:t>the</w:t>
      </w:r>
      <w:r>
        <w:rPr>
          <w:spacing w:val="14"/>
          <w:sz w:val="21"/>
        </w:rPr>
        <w:t> </w:t>
      </w:r>
      <w:r>
        <w:rPr>
          <w:sz w:val="21"/>
        </w:rPr>
        <w:t>event</w:t>
      </w:r>
      <w:r>
        <w:rPr>
          <w:spacing w:val="14"/>
          <w:sz w:val="21"/>
        </w:rPr>
        <w:t> </w:t>
      </w:r>
      <w:r>
        <w:rPr>
          <w:sz w:val="21"/>
        </w:rPr>
        <w:t>Employee</w:t>
      </w:r>
      <w:r>
        <w:rPr>
          <w:spacing w:val="14"/>
          <w:sz w:val="21"/>
        </w:rPr>
        <w:t> </w:t>
      </w:r>
      <w:r>
        <w:rPr>
          <w:sz w:val="21"/>
        </w:rPr>
        <w:t>is</w:t>
      </w:r>
      <w:r>
        <w:rPr>
          <w:spacing w:val="14"/>
          <w:sz w:val="21"/>
        </w:rPr>
        <w:t> </w:t>
      </w:r>
      <w:r>
        <w:rPr>
          <w:sz w:val="21"/>
        </w:rPr>
        <w:t>terminated</w:t>
      </w:r>
      <w:r>
        <w:rPr>
          <w:spacing w:val="14"/>
          <w:sz w:val="21"/>
        </w:rPr>
        <w:t> </w:t>
      </w:r>
      <w:r>
        <w:rPr>
          <w:sz w:val="21"/>
        </w:rPr>
        <w:t>as</w:t>
      </w:r>
      <w:r>
        <w:rPr>
          <w:spacing w:val="14"/>
          <w:sz w:val="21"/>
        </w:rPr>
        <w:t> </w:t>
      </w:r>
      <w:r>
        <w:rPr>
          <w:sz w:val="21"/>
        </w:rPr>
        <w:t>the</w:t>
      </w:r>
      <w:r>
        <w:rPr>
          <w:spacing w:val="14"/>
          <w:sz w:val="21"/>
        </w:rPr>
        <w:t> </w:t>
      </w:r>
      <w:r>
        <w:rPr>
          <w:sz w:val="21"/>
        </w:rPr>
        <w:t>result</w:t>
      </w:r>
      <w:r>
        <w:rPr>
          <w:spacing w:val="14"/>
          <w:sz w:val="21"/>
        </w:rPr>
        <w:t> </w:t>
      </w:r>
      <w:r>
        <w:rPr>
          <w:sz w:val="21"/>
        </w:rPr>
        <w:t>of a</w:t>
      </w:r>
      <w:r>
        <w:rPr>
          <w:spacing w:val="40"/>
          <w:sz w:val="21"/>
        </w:rPr>
        <w:t> </w:t>
      </w:r>
      <w:r>
        <w:rPr>
          <w:sz w:val="21"/>
        </w:rPr>
        <w:t>layoff</w:t>
      </w:r>
      <w:r>
        <w:rPr>
          <w:spacing w:val="40"/>
          <w:sz w:val="21"/>
        </w:rPr>
        <w:t> </w:t>
      </w:r>
      <w:r>
        <w:rPr>
          <w:sz w:val="21"/>
        </w:rPr>
        <w:t>(as</w:t>
      </w:r>
      <w:r>
        <w:rPr>
          <w:spacing w:val="40"/>
          <w:sz w:val="21"/>
        </w:rPr>
        <w:t> </w:t>
      </w:r>
      <w:r>
        <w:rPr>
          <w:sz w:val="21"/>
        </w:rPr>
        <w:t>the</w:t>
      </w:r>
      <w:r>
        <w:rPr>
          <w:spacing w:val="40"/>
          <w:sz w:val="21"/>
        </w:rPr>
        <w:t> </w:t>
      </w:r>
      <w:r>
        <w:rPr>
          <w:sz w:val="21"/>
        </w:rPr>
        <w:t>term</w:t>
      </w:r>
      <w:r>
        <w:rPr>
          <w:spacing w:val="40"/>
          <w:sz w:val="21"/>
        </w:rPr>
        <w:t> </w:t>
      </w:r>
      <w:r>
        <w:rPr>
          <w:sz w:val="21"/>
        </w:rPr>
        <w:t>“layoff”</w:t>
      </w:r>
      <w:r>
        <w:rPr>
          <w:spacing w:val="40"/>
          <w:sz w:val="21"/>
        </w:rPr>
        <w:t> </w:t>
      </w:r>
      <w:r>
        <w:rPr>
          <w:sz w:val="21"/>
        </w:rPr>
        <w:t>is</w:t>
      </w:r>
      <w:r>
        <w:rPr>
          <w:spacing w:val="40"/>
          <w:sz w:val="21"/>
        </w:rPr>
        <w:t> </w:t>
      </w:r>
      <w:r>
        <w:rPr>
          <w:sz w:val="21"/>
        </w:rPr>
        <w:t>construed</w:t>
      </w:r>
      <w:r>
        <w:rPr>
          <w:spacing w:val="40"/>
          <w:sz w:val="21"/>
        </w:rPr>
        <w:t> </w:t>
      </w:r>
      <w:r>
        <w:rPr>
          <w:sz w:val="21"/>
        </w:rPr>
        <w:t>under</w:t>
      </w:r>
      <w:r>
        <w:rPr>
          <w:spacing w:val="40"/>
          <w:sz w:val="21"/>
        </w:rPr>
        <w:t> </w:t>
      </w:r>
      <w:r>
        <w:rPr>
          <w:sz w:val="21"/>
        </w:rPr>
        <w:t>RCW</w:t>
      </w:r>
      <w:r>
        <w:rPr>
          <w:spacing w:val="40"/>
          <w:sz w:val="21"/>
        </w:rPr>
        <w:t> </w:t>
      </w:r>
      <w:r>
        <w:rPr>
          <w:sz w:val="21"/>
        </w:rPr>
        <w:t>49.62.020),</w:t>
      </w:r>
      <w:r>
        <w:rPr>
          <w:spacing w:val="40"/>
          <w:sz w:val="21"/>
        </w:rPr>
        <w:t> </w:t>
      </w:r>
      <w:r>
        <w:rPr>
          <w:sz w:val="21"/>
        </w:rPr>
        <w:t>and</w:t>
      </w:r>
      <w:r>
        <w:rPr>
          <w:spacing w:val="40"/>
          <w:sz w:val="21"/>
        </w:rPr>
        <w:t> </w:t>
      </w:r>
      <w:r>
        <w:rPr>
          <w:sz w:val="21"/>
        </w:rPr>
        <w:t>in</w:t>
      </w:r>
      <w:r>
        <w:rPr>
          <w:spacing w:val="40"/>
          <w:sz w:val="21"/>
        </w:rPr>
        <w:t> </w:t>
      </w:r>
      <w:r>
        <w:rPr>
          <w:sz w:val="21"/>
        </w:rPr>
        <w:t>the</w:t>
      </w:r>
      <w:r>
        <w:rPr>
          <w:spacing w:val="40"/>
          <w:sz w:val="21"/>
        </w:rPr>
        <w:t> </w:t>
      </w:r>
      <w:r>
        <w:rPr>
          <w:sz w:val="21"/>
        </w:rPr>
        <w:t>event</w:t>
      </w:r>
      <w:r>
        <w:rPr>
          <w:spacing w:val="40"/>
          <w:sz w:val="21"/>
        </w:rPr>
        <w:t> </w:t>
      </w:r>
      <w:r>
        <w:rPr>
          <w:sz w:val="21"/>
        </w:rPr>
        <w:t>the</w:t>
      </w:r>
      <w:r>
        <w:rPr>
          <w:spacing w:val="40"/>
          <w:sz w:val="21"/>
        </w:rPr>
        <w:t> </w:t>
      </w:r>
      <w:r>
        <w:rPr>
          <w:sz w:val="21"/>
        </w:rPr>
        <w:t>terms</w:t>
      </w:r>
      <w:r>
        <w:rPr>
          <w:spacing w:val="40"/>
          <w:sz w:val="21"/>
        </w:rPr>
        <w:t> </w:t>
      </w:r>
      <w:r>
        <w:rPr>
          <w:sz w:val="21"/>
        </w:rPr>
        <w:t>of</w:t>
      </w:r>
      <w:r>
        <w:rPr>
          <w:spacing w:val="40"/>
          <w:sz w:val="21"/>
        </w:rPr>
        <w:t> </w:t>
      </w:r>
      <w:r>
        <w:rPr>
          <w:sz w:val="21"/>
        </w:rPr>
        <w:t>this</w:t>
      </w:r>
      <w:r>
        <w:rPr>
          <w:spacing w:val="40"/>
          <w:sz w:val="21"/>
        </w:rPr>
        <w:t> </w:t>
      </w:r>
      <w:r>
        <w:rPr>
          <w:sz w:val="21"/>
        </w:rPr>
        <w:t>Agreement</w:t>
      </w:r>
      <w:r>
        <w:rPr>
          <w:spacing w:val="40"/>
          <w:sz w:val="21"/>
        </w:rPr>
        <w:t> </w:t>
      </w:r>
      <w:r>
        <w:rPr>
          <w:sz w:val="21"/>
        </w:rPr>
        <w:t>do</w:t>
      </w:r>
      <w:r>
        <w:rPr>
          <w:spacing w:val="40"/>
          <w:sz w:val="21"/>
        </w:rPr>
        <w:t> </w:t>
      </w:r>
      <w:r>
        <w:rPr>
          <w:sz w:val="21"/>
        </w:rPr>
        <w:t>not otherwise provide for Employee to receive compensation equivalent to Employee's base salary at the time of termination in a manner</w:t>
      </w:r>
      <w:r>
        <w:rPr>
          <w:spacing w:val="40"/>
          <w:sz w:val="21"/>
        </w:rPr>
        <w:t> </w:t>
      </w:r>
      <w:r>
        <w:rPr>
          <w:sz w:val="21"/>
        </w:rPr>
        <w:t>permitting</w:t>
      </w:r>
      <w:r>
        <w:rPr>
          <w:spacing w:val="40"/>
          <w:sz w:val="21"/>
        </w:rPr>
        <w:t> </w:t>
      </w:r>
      <w:r>
        <w:rPr>
          <w:sz w:val="21"/>
        </w:rPr>
        <w:t>Employer</w:t>
      </w:r>
      <w:r>
        <w:rPr>
          <w:spacing w:val="40"/>
          <w:sz w:val="21"/>
        </w:rPr>
        <w:t> </w:t>
      </w:r>
      <w:r>
        <w:rPr>
          <w:sz w:val="21"/>
        </w:rPr>
        <w:t>to</w:t>
      </w:r>
      <w:r>
        <w:rPr>
          <w:spacing w:val="40"/>
          <w:sz w:val="21"/>
        </w:rPr>
        <w:t> </w:t>
      </w:r>
      <w:r>
        <w:rPr>
          <w:sz w:val="21"/>
        </w:rPr>
        <w:t>enforce</w:t>
      </w:r>
      <w:r>
        <w:rPr>
          <w:spacing w:val="40"/>
          <w:sz w:val="21"/>
        </w:rPr>
        <w:t> </w:t>
      </w:r>
      <w:r>
        <w:rPr>
          <w:sz w:val="21"/>
        </w:rPr>
        <w:t>the</w:t>
      </w:r>
      <w:r>
        <w:rPr>
          <w:spacing w:val="40"/>
          <w:sz w:val="21"/>
        </w:rPr>
        <w:t> </w:t>
      </w:r>
      <w:r>
        <w:rPr>
          <w:sz w:val="21"/>
        </w:rPr>
        <w:t>terms</w:t>
      </w:r>
      <w:r>
        <w:rPr>
          <w:spacing w:val="40"/>
          <w:sz w:val="21"/>
        </w:rPr>
        <w:t> </w:t>
      </w:r>
      <w:r>
        <w:rPr>
          <w:sz w:val="21"/>
        </w:rPr>
        <w:t>of</w:t>
      </w:r>
      <w:r>
        <w:rPr>
          <w:spacing w:val="40"/>
          <w:sz w:val="21"/>
        </w:rPr>
        <w:t> </w:t>
      </w:r>
      <w:r>
        <w:rPr>
          <w:sz w:val="21"/>
        </w:rPr>
        <w:t>Sections</w:t>
      </w:r>
      <w:r>
        <w:rPr>
          <w:spacing w:val="40"/>
          <w:sz w:val="21"/>
        </w:rPr>
        <w:t> </w:t>
      </w:r>
      <w:r>
        <w:rPr>
          <w:sz w:val="21"/>
        </w:rPr>
        <w:t>8.1</w:t>
      </w:r>
      <w:r>
        <w:rPr>
          <w:spacing w:val="40"/>
          <w:sz w:val="21"/>
        </w:rPr>
        <w:t> </w:t>
      </w:r>
      <w:r>
        <w:rPr>
          <w:sz w:val="21"/>
        </w:rPr>
        <w:t>and/or</w:t>
      </w:r>
      <w:r>
        <w:rPr>
          <w:spacing w:val="40"/>
          <w:sz w:val="21"/>
        </w:rPr>
        <w:t> </w:t>
      </w:r>
      <w:r>
        <w:rPr>
          <w:sz w:val="21"/>
        </w:rPr>
        <w:t>8.2</w:t>
      </w:r>
      <w:r>
        <w:rPr>
          <w:spacing w:val="40"/>
          <w:sz w:val="21"/>
        </w:rPr>
        <w:t> </w:t>
      </w:r>
      <w:r>
        <w:rPr>
          <w:sz w:val="21"/>
        </w:rPr>
        <w:t>for</w:t>
      </w:r>
      <w:r>
        <w:rPr>
          <w:spacing w:val="40"/>
          <w:sz w:val="21"/>
        </w:rPr>
        <w:t> </w:t>
      </w:r>
      <w:r>
        <w:rPr>
          <w:sz w:val="21"/>
        </w:rPr>
        <w:t>the</w:t>
      </w:r>
      <w:r>
        <w:rPr>
          <w:spacing w:val="40"/>
          <w:sz w:val="21"/>
        </w:rPr>
        <w:t> </w:t>
      </w:r>
      <w:r>
        <w:rPr>
          <w:sz w:val="21"/>
        </w:rPr>
        <w:t>restricted</w:t>
      </w:r>
      <w:r>
        <w:rPr>
          <w:spacing w:val="40"/>
          <w:sz w:val="21"/>
        </w:rPr>
        <w:t> </w:t>
      </w:r>
      <w:r>
        <w:rPr>
          <w:sz w:val="21"/>
        </w:rPr>
        <w:t>periods</w:t>
      </w:r>
      <w:r>
        <w:rPr>
          <w:spacing w:val="40"/>
          <w:sz w:val="21"/>
        </w:rPr>
        <w:t> </w:t>
      </w:r>
      <w:r>
        <w:rPr>
          <w:sz w:val="21"/>
        </w:rPr>
        <w:t>set</w:t>
      </w:r>
      <w:r>
        <w:rPr>
          <w:spacing w:val="40"/>
          <w:sz w:val="21"/>
        </w:rPr>
        <w:t> </w:t>
      </w:r>
      <w:r>
        <w:rPr>
          <w:sz w:val="21"/>
        </w:rPr>
        <w:t>forth</w:t>
      </w:r>
      <w:r>
        <w:rPr>
          <w:spacing w:val="40"/>
          <w:sz w:val="21"/>
        </w:rPr>
        <w:t> </w:t>
      </w:r>
      <w:r>
        <w:rPr>
          <w:sz w:val="21"/>
        </w:rPr>
        <w:t>therein, Employer may, at its sole option, elect to pay Employee compensation equivalent to employee's base salary at the time of termination,</w:t>
      </w:r>
      <w:r>
        <w:rPr>
          <w:spacing w:val="40"/>
          <w:sz w:val="21"/>
        </w:rPr>
        <w:t> </w:t>
      </w:r>
      <w:r>
        <w:rPr>
          <w:sz w:val="21"/>
        </w:rPr>
        <w:t>less</w:t>
      </w:r>
      <w:r>
        <w:rPr>
          <w:spacing w:val="40"/>
          <w:sz w:val="21"/>
        </w:rPr>
        <w:t> </w:t>
      </w:r>
      <w:r>
        <w:rPr>
          <w:sz w:val="21"/>
        </w:rPr>
        <w:t>any</w:t>
      </w:r>
      <w:r>
        <w:rPr>
          <w:spacing w:val="40"/>
          <w:sz w:val="21"/>
        </w:rPr>
        <w:t> </w:t>
      </w:r>
      <w:r>
        <w:rPr>
          <w:sz w:val="21"/>
        </w:rPr>
        <w:t>compensation</w:t>
      </w:r>
      <w:r>
        <w:rPr>
          <w:spacing w:val="40"/>
          <w:sz w:val="21"/>
        </w:rPr>
        <w:t> </w:t>
      </w:r>
      <w:r>
        <w:rPr>
          <w:sz w:val="21"/>
        </w:rPr>
        <w:t>earned</w:t>
      </w:r>
      <w:r>
        <w:rPr>
          <w:spacing w:val="40"/>
          <w:sz w:val="21"/>
        </w:rPr>
        <w:t> </w:t>
      </w:r>
      <w:r>
        <w:rPr>
          <w:sz w:val="21"/>
        </w:rPr>
        <w:t>through</w:t>
      </w:r>
      <w:r>
        <w:rPr>
          <w:spacing w:val="40"/>
          <w:sz w:val="21"/>
        </w:rPr>
        <w:t> </w:t>
      </w:r>
      <w:r>
        <w:rPr>
          <w:sz w:val="21"/>
        </w:rPr>
        <w:t>subsequent</w:t>
      </w:r>
      <w:r>
        <w:rPr>
          <w:spacing w:val="40"/>
          <w:sz w:val="21"/>
        </w:rPr>
        <w:t> </w:t>
      </w:r>
      <w:r>
        <w:rPr>
          <w:sz w:val="21"/>
        </w:rPr>
        <w:t>employment,</w:t>
      </w:r>
      <w:r>
        <w:rPr>
          <w:spacing w:val="40"/>
          <w:sz w:val="21"/>
        </w:rPr>
        <w:t> </w:t>
      </w:r>
      <w:r>
        <w:rPr>
          <w:sz w:val="21"/>
        </w:rPr>
        <w:t>during</w:t>
      </w:r>
      <w:r>
        <w:rPr>
          <w:spacing w:val="40"/>
          <w:sz w:val="21"/>
        </w:rPr>
        <w:t> </w:t>
      </w:r>
      <w:r>
        <w:rPr>
          <w:sz w:val="21"/>
        </w:rPr>
        <w:t>the</w:t>
      </w:r>
      <w:r>
        <w:rPr>
          <w:spacing w:val="40"/>
          <w:sz w:val="21"/>
        </w:rPr>
        <w:t> </w:t>
      </w:r>
      <w:r>
        <w:rPr>
          <w:sz w:val="21"/>
        </w:rPr>
        <w:t>periods</w:t>
      </w:r>
      <w:r>
        <w:rPr>
          <w:spacing w:val="40"/>
          <w:sz w:val="21"/>
        </w:rPr>
        <w:t> </w:t>
      </w:r>
      <w:r>
        <w:rPr>
          <w:sz w:val="21"/>
        </w:rPr>
        <w:t>of</w:t>
      </w:r>
      <w:r>
        <w:rPr>
          <w:spacing w:val="40"/>
          <w:sz w:val="21"/>
        </w:rPr>
        <w:t> </w:t>
      </w:r>
      <w:r>
        <w:rPr>
          <w:sz w:val="21"/>
        </w:rPr>
        <w:t>restriction</w:t>
      </w:r>
      <w:r>
        <w:rPr>
          <w:spacing w:val="40"/>
          <w:sz w:val="21"/>
        </w:rPr>
        <w:t> </w:t>
      </w:r>
      <w:r>
        <w:rPr>
          <w:sz w:val="21"/>
        </w:rPr>
        <w:t>set</w:t>
      </w:r>
      <w:r>
        <w:rPr>
          <w:spacing w:val="40"/>
          <w:sz w:val="21"/>
        </w:rPr>
        <w:t> </w:t>
      </w:r>
      <w:r>
        <w:rPr>
          <w:sz w:val="21"/>
        </w:rPr>
        <w:t>forth</w:t>
      </w:r>
      <w:r>
        <w:rPr>
          <w:spacing w:val="40"/>
          <w:sz w:val="21"/>
        </w:rPr>
        <w:t> </w:t>
      </w:r>
      <w:r>
        <w:rPr>
          <w:sz w:val="21"/>
        </w:rPr>
        <w:t>in Sections 8.1 and/or 8.2.</w:t>
      </w:r>
    </w:p>
    <w:p>
      <w:pPr>
        <w:pStyle w:val="ListParagraph"/>
        <w:numPr>
          <w:ilvl w:val="0"/>
          <w:numId w:val="55"/>
        </w:numPr>
        <w:tabs>
          <w:tab w:pos="484" w:val="left" w:leader="none"/>
        </w:tabs>
        <w:spacing w:line="213" w:lineRule="auto" w:before="223" w:after="0"/>
        <w:ind w:left="144" w:right="220" w:firstLine="0"/>
        <w:jc w:val="left"/>
        <w:rPr>
          <w:sz w:val="21"/>
        </w:rPr>
      </w:pPr>
      <w:r>
        <w:rPr>
          <w:sz w:val="21"/>
          <w:u w:val="single"/>
        </w:rPr>
        <w:t>Arbitration</w:t>
      </w:r>
      <w:r>
        <w:rPr>
          <w:sz w:val="21"/>
        </w:rPr>
        <w:t>.</w:t>
      </w:r>
      <w:r>
        <w:rPr>
          <w:spacing w:val="40"/>
          <w:sz w:val="21"/>
        </w:rPr>
        <w:t> </w:t>
      </w:r>
      <w:r>
        <w:rPr>
          <w:sz w:val="21"/>
        </w:rPr>
        <w:t>Except</w:t>
      </w:r>
      <w:r>
        <w:rPr>
          <w:spacing w:val="40"/>
          <w:sz w:val="21"/>
        </w:rPr>
        <w:t> </w:t>
      </w:r>
      <w:r>
        <w:rPr>
          <w:sz w:val="21"/>
        </w:rPr>
        <w:t>as</w:t>
      </w:r>
      <w:r>
        <w:rPr>
          <w:spacing w:val="40"/>
          <w:sz w:val="21"/>
        </w:rPr>
        <w:t> </w:t>
      </w:r>
      <w:r>
        <w:rPr>
          <w:sz w:val="21"/>
        </w:rPr>
        <w:t>otherwise</w:t>
      </w:r>
      <w:r>
        <w:rPr>
          <w:spacing w:val="40"/>
          <w:sz w:val="21"/>
        </w:rPr>
        <w:t> </w:t>
      </w:r>
      <w:r>
        <w:rPr>
          <w:sz w:val="21"/>
        </w:rPr>
        <w:t>provided</w:t>
      </w:r>
      <w:r>
        <w:rPr>
          <w:spacing w:val="40"/>
          <w:sz w:val="21"/>
        </w:rPr>
        <w:t> </w:t>
      </w:r>
      <w:r>
        <w:rPr>
          <w:sz w:val="21"/>
        </w:rPr>
        <w:t>for</w:t>
      </w:r>
      <w:r>
        <w:rPr>
          <w:spacing w:val="40"/>
          <w:sz w:val="21"/>
        </w:rPr>
        <w:t> </w:t>
      </w:r>
      <w:r>
        <w:rPr>
          <w:sz w:val="21"/>
        </w:rPr>
        <w:t>in</w:t>
      </w:r>
      <w:r>
        <w:rPr>
          <w:spacing w:val="40"/>
          <w:sz w:val="21"/>
        </w:rPr>
        <w:t> </w:t>
      </w:r>
      <w:r>
        <w:rPr>
          <w:sz w:val="21"/>
        </w:rPr>
        <w:t>this</w:t>
      </w:r>
      <w:r>
        <w:rPr>
          <w:spacing w:val="37"/>
          <w:sz w:val="21"/>
        </w:rPr>
        <w:t> </w:t>
      </w:r>
      <w:r>
        <w:rPr>
          <w:sz w:val="21"/>
        </w:rPr>
        <w:t>Agreement,</w:t>
      </w:r>
      <w:r>
        <w:rPr>
          <w:spacing w:val="40"/>
          <w:sz w:val="21"/>
        </w:rPr>
        <w:t> </w:t>
      </w:r>
      <w:r>
        <w:rPr>
          <w:sz w:val="21"/>
        </w:rPr>
        <w:t>any</w:t>
      </w:r>
      <w:r>
        <w:rPr>
          <w:spacing w:val="40"/>
          <w:sz w:val="21"/>
        </w:rPr>
        <w:t> </w:t>
      </w:r>
      <w:r>
        <w:rPr>
          <w:sz w:val="21"/>
        </w:rPr>
        <w:t>controversy,</w:t>
      </w:r>
      <w:r>
        <w:rPr>
          <w:spacing w:val="40"/>
          <w:sz w:val="21"/>
        </w:rPr>
        <w:t> </w:t>
      </w:r>
      <w:r>
        <w:rPr>
          <w:sz w:val="21"/>
        </w:rPr>
        <w:t>dispute</w:t>
      </w:r>
      <w:r>
        <w:rPr>
          <w:spacing w:val="40"/>
          <w:sz w:val="21"/>
        </w:rPr>
        <w:t> </w:t>
      </w:r>
      <w:r>
        <w:rPr>
          <w:sz w:val="21"/>
        </w:rPr>
        <w:t>or</w:t>
      </w:r>
      <w:r>
        <w:rPr>
          <w:spacing w:val="40"/>
          <w:sz w:val="21"/>
        </w:rPr>
        <w:t> </w:t>
      </w:r>
      <w:r>
        <w:rPr>
          <w:sz w:val="21"/>
        </w:rPr>
        <w:t>claim:</w:t>
      </w:r>
      <w:r>
        <w:rPr>
          <w:spacing w:val="40"/>
          <w:sz w:val="21"/>
        </w:rPr>
        <w:t> </w:t>
      </w:r>
      <w:r>
        <w:rPr>
          <w:sz w:val="21"/>
        </w:rPr>
        <w:t>(a)</w:t>
      </w:r>
      <w:r>
        <w:rPr>
          <w:spacing w:val="40"/>
          <w:sz w:val="21"/>
        </w:rPr>
        <w:t> </w:t>
      </w:r>
      <w:r>
        <w:rPr>
          <w:sz w:val="21"/>
        </w:rPr>
        <w:t>arising</w:t>
      </w:r>
      <w:r>
        <w:rPr>
          <w:spacing w:val="40"/>
          <w:sz w:val="21"/>
        </w:rPr>
        <w:t> </w:t>
      </w:r>
      <w:r>
        <w:rPr>
          <w:sz w:val="21"/>
        </w:rPr>
        <w:t>directly</w:t>
      </w:r>
      <w:r>
        <w:rPr>
          <w:spacing w:val="40"/>
          <w:sz w:val="21"/>
        </w:rPr>
        <w:t> </w:t>
      </w:r>
      <w:r>
        <w:rPr>
          <w:sz w:val="21"/>
        </w:rPr>
        <w:t>or</w:t>
      </w:r>
      <w:r>
        <w:rPr>
          <w:spacing w:val="40"/>
          <w:sz w:val="21"/>
        </w:rPr>
        <w:t> </w:t>
      </w:r>
      <w:r>
        <w:rPr>
          <w:sz w:val="21"/>
        </w:rPr>
        <w:t>indirectly</w:t>
      </w:r>
      <w:r>
        <w:rPr>
          <w:spacing w:val="20"/>
          <w:sz w:val="21"/>
        </w:rPr>
        <w:t> </w:t>
      </w:r>
      <w:r>
        <w:rPr>
          <w:sz w:val="21"/>
        </w:rPr>
        <w:t>out</w:t>
      </w:r>
      <w:r>
        <w:rPr>
          <w:spacing w:val="20"/>
          <w:sz w:val="21"/>
        </w:rPr>
        <w:t> </w:t>
      </w:r>
      <w:r>
        <w:rPr>
          <w:sz w:val="21"/>
        </w:rPr>
        <w:t>of</w:t>
      </w:r>
      <w:r>
        <w:rPr>
          <w:spacing w:val="20"/>
          <w:sz w:val="21"/>
        </w:rPr>
        <w:t> </w:t>
      </w:r>
      <w:r>
        <w:rPr>
          <w:sz w:val="21"/>
        </w:rPr>
        <w:t>or</w:t>
      </w:r>
      <w:r>
        <w:rPr>
          <w:spacing w:val="20"/>
          <w:sz w:val="21"/>
        </w:rPr>
        <w:t> </w:t>
      </w:r>
      <w:r>
        <w:rPr>
          <w:sz w:val="21"/>
        </w:rPr>
        <w:t>relating</w:t>
      </w:r>
      <w:r>
        <w:rPr>
          <w:spacing w:val="20"/>
          <w:sz w:val="21"/>
        </w:rPr>
        <w:t> </w:t>
      </w:r>
      <w:r>
        <w:rPr>
          <w:sz w:val="21"/>
        </w:rPr>
        <w:t>to</w:t>
      </w:r>
      <w:r>
        <w:rPr>
          <w:spacing w:val="20"/>
          <w:sz w:val="21"/>
        </w:rPr>
        <w:t> </w:t>
      </w:r>
      <w:r>
        <w:rPr>
          <w:sz w:val="21"/>
        </w:rPr>
        <w:t>this Agreement,</w:t>
      </w:r>
      <w:r>
        <w:rPr>
          <w:spacing w:val="20"/>
          <w:sz w:val="21"/>
        </w:rPr>
        <w:t> </w:t>
      </w:r>
      <w:r>
        <w:rPr>
          <w:sz w:val="21"/>
        </w:rPr>
        <w:t>or</w:t>
      </w:r>
      <w:r>
        <w:rPr>
          <w:spacing w:val="20"/>
          <w:sz w:val="21"/>
        </w:rPr>
        <w:t> </w:t>
      </w:r>
      <w:r>
        <w:rPr>
          <w:sz w:val="21"/>
        </w:rPr>
        <w:t>the</w:t>
      </w:r>
      <w:r>
        <w:rPr>
          <w:spacing w:val="20"/>
          <w:sz w:val="21"/>
        </w:rPr>
        <w:t> </w:t>
      </w:r>
      <w:r>
        <w:rPr>
          <w:sz w:val="21"/>
        </w:rPr>
        <w:t>breach</w:t>
      </w:r>
      <w:r>
        <w:rPr>
          <w:spacing w:val="20"/>
          <w:sz w:val="21"/>
        </w:rPr>
        <w:t> </w:t>
      </w:r>
      <w:r>
        <w:rPr>
          <w:sz w:val="21"/>
        </w:rPr>
        <w:t>thereof;</w:t>
      </w:r>
      <w:r>
        <w:rPr>
          <w:spacing w:val="20"/>
          <w:sz w:val="21"/>
        </w:rPr>
        <w:t> </w:t>
      </w:r>
      <w:r>
        <w:rPr>
          <w:sz w:val="21"/>
        </w:rPr>
        <w:t>or,</w:t>
      </w:r>
      <w:r>
        <w:rPr>
          <w:spacing w:val="20"/>
          <w:sz w:val="21"/>
        </w:rPr>
        <w:t> </w:t>
      </w:r>
      <w:r>
        <w:rPr>
          <w:sz w:val="21"/>
        </w:rPr>
        <w:t>(b)</w:t>
      </w:r>
      <w:r>
        <w:rPr>
          <w:spacing w:val="20"/>
          <w:sz w:val="21"/>
        </w:rPr>
        <w:t> </w:t>
      </w:r>
      <w:r>
        <w:rPr>
          <w:sz w:val="21"/>
        </w:rPr>
        <w:t>arising</w:t>
      </w:r>
      <w:r>
        <w:rPr>
          <w:spacing w:val="20"/>
          <w:sz w:val="21"/>
        </w:rPr>
        <w:t> </w:t>
      </w:r>
      <w:r>
        <w:rPr>
          <w:sz w:val="21"/>
        </w:rPr>
        <w:t>out</w:t>
      </w:r>
      <w:r>
        <w:rPr>
          <w:spacing w:val="20"/>
          <w:sz w:val="21"/>
        </w:rPr>
        <w:t> </w:t>
      </w:r>
      <w:r>
        <w:rPr>
          <w:sz w:val="21"/>
        </w:rPr>
        <w:t>of</w:t>
      </w:r>
      <w:r>
        <w:rPr>
          <w:spacing w:val="20"/>
          <w:sz w:val="21"/>
        </w:rPr>
        <w:t> </w:t>
      </w:r>
      <w:r>
        <w:rPr>
          <w:sz w:val="21"/>
        </w:rPr>
        <w:t>or</w:t>
      </w:r>
      <w:r>
        <w:rPr>
          <w:spacing w:val="20"/>
          <w:sz w:val="21"/>
        </w:rPr>
        <w:t> </w:t>
      </w:r>
      <w:r>
        <w:rPr>
          <w:sz w:val="21"/>
        </w:rPr>
        <w:t>relating</w:t>
      </w:r>
      <w:r>
        <w:rPr>
          <w:spacing w:val="20"/>
          <w:sz w:val="21"/>
        </w:rPr>
        <w:t> </w:t>
      </w:r>
      <w:r>
        <w:rPr>
          <w:sz w:val="21"/>
        </w:rPr>
        <w:t>to</w:t>
      </w:r>
      <w:r>
        <w:rPr>
          <w:spacing w:val="20"/>
          <w:sz w:val="21"/>
        </w:rPr>
        <w:t> </w:t>
      </w:r>
      <w:r>
        <w:rPr>
          <w:sz w:val="21"/>
        </w:rPr>
        <w:t>the</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65"/>
        <w:rPr>
          <w:sz w:val="21"/>
        </w:rPr>
      </w:pPr>
    </w:p>
    <w:p>
      <w:pPr>
        <w:spacing w:before="0"/>
        <w:ind w:left="24" w:right="0" w:firstLine="0"/>
        <w:jc w:val="center"/>
        <w:rPr>
          <w:sz w:val="21"/>
        </w:rPr>
      </w:pPr>
      <w:r>
        <w:rPr>
          <w:spacing w:val="-5"/>
          <w:sz w:val="21"/>
        </w:rPr>
        <w:t>15</w:t>
      </w:r>
    </w:p>
    <w:p>
      <w:pPr>
        <w:pStyle w:val="BodyText"/>
        <w:spacing w:before="6"/>
        <w:rPr>
          <w:sz w:val="4"/>
        </w:rPr>
      </w:pPr>
      <w:r>
        <w:rPr/>
        <mc:AlternateContent>
          <mc:Choice Requires="wps">
            <w:drawing>
              <wp:anchor distT="0" distB="0" distL="0" distR="0" allowOverlap="1" layoutInCell="1" locked="0" behindDoc="1" simplePos="0" relativeHeight="487811072">
                <wp:simplePos x="0" y="0"/>
                <wp:positionH relativeFrom="page">
                  <wp:posOffset>231457</wp:posOffset>
                </wp:positionH>
                <wp:positionV relativeFrom="paragraph">
                  <wp:posOffset>48257</wp:posOffset>
                </wp:positionV>
                <wp:extent cx="7312659" cy="17145"/>
                <wp:effectExtent l="0" t="0" r="0" b="0"/>
                <wp:wrapTopAndBottom/>
                <wp:docPr id="1104" name="Group 1104"/>
                <wp:cNvGraphicFramePr>
                  <a:graphicFrameLocks/>
                </wp:cNvGraphicFramePr>
                <a:graphic>
                  <a:graphicData uri="http://schemas.microsoft.com/office/word/2010/wordprocessingGroup">
                    <wpg:wgp>
                      <wpg:cNvPr id="1104" name="Group 1104"/>
                      <wpg:cNvGrpSpPr/>
                      <wpg:grpSpPr>
                        <a:xfrm>
                          <a:off x="0" y="0"/>
                          <a:ext cx="7312659" cy="17145"/>
                          <a:chExt cx="7312659" cy="17145"/>
                        </a:xfrm>
                      </wpg:grpSpPr>
                      <wps:wsp>
                        <wps:cNvPr id="1105" name="Graphic 110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06" name="Graphic 1106"/>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07" name="Graphic 110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05408;mso-wrap-distance-left:0;mso-wrap-distance-right:0" id="docshapegroup1102" coordorigin="364,76" coordsize="11516,27">
                <v:rect style="position:absolute;left:364;top:76;width:11516;height:14" id="docshape1103" filled="true" fillcolor="#999999" stroked="false">
                  <v:fill type="solid"/>
                </v:rect>
                <v:shape style="position:absolute;left:364;top:75;width:11516;height:27" id="docshape1104" coordorigin="364,76" coordsize="11516,27" path="m11880,76l11866,89,364,89,364,103,11866,103,11880,103,11880,89,11880,76xe" filled="true" fillcolor="#ededed" stroked="false">
                  <v:path arrowok="t"/>
                  <v:fill type="solid"/>
                </v:shape>
                <v:shape style="position:absolute;left:364;top:76;width:14;height:27" id="docshape1105" coordorigin="364,76" coordsize="14,27" path="m364,103l364,76,378,76,378,89,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spacing w:line="213" w:lineRule="auto" w:before="138"/>
        <w:ind w:left="144" w:right="0" w:firstLine="0"/>
        <w:jc w:val="left"/>
        <w:rPr>
          <w:sz w:val="21"/>
        </w:rPr>
      </w:pPr>
      <w:r>
        <w:rPr>
          <w:sz w:val="21"/>
        </w:rPr>
        <w:t>employment</w:t>
      </w:r>
      <w:r>
        <w:rPr>
          <w:spacing w:val="40"/>
          <w:sz w:val="21"/>
        </w:rPr>
        <w:t> </w:t>
      </w:r>
      <w:r>
        <w:rPr>
          <w:sz w:val="21"/>
        </w:rPr>
        <w:t>of</w:t>
      </w:r>
      <w:r>
        <w:rPr>
          <w:spacing w:val="40"/>
          <w:sz w:val="21"/>
        </w:rPr>
        <w:t> </w:t>
      </w:r>
      <w:r>
        <w:rPr>
          <w:sz w:val="21"/>
        </w:rPr>
        <w:t>Employee,</w:t>
      </w:r>
      <w:r>
        <w:rPr>
          <w:spacing w:val="40"/>
          <w:sz w:val="21"/>
        </w:rPr>
        <w:t> </w:t>
      </w:r>
      <w:r>
        <w:rPr>
          <w:sz w:val="21"/>
        </w:rPr>
        <w:t>or</w:t>
      </w:r>
      <w:r>
        <w:rPr>
          <w:spacing w:val="40"/>
          <w:sz w:val="21"/>
        </w:rPr>
        <w:t> </w:t>
      </w:r>
      <w:r>
        <w:rPr>
          <w:sz w:val="21"/>
        </w:rPr>
        <w:t>the</w:t>
      </w:r>
      <w:r>
        <w:rPr>
          <w:spacing w:val="40"/>
          <w:sz w:val="21"/>
        </w:rPr>
        <w:t> </w:t>
      </w:r>
      <w:r>
        <w:rPr>
          <w:sz w:val="21"/>
        </w:rPr>
        <w:t>termination</w:t>
      </w:r>
      <w:r>
        <w:rPr>
          <w:spacing w:val="40"/>
          <w:sz w:val="21"/>
        </w:rPr>
        <w:t> </w:t>
      </w:r>
      <w:r>
        <w:rPr>
          <w:sz w:val="21"/>
        </w:rPr>
        <w:t>thereof,</w:t>
      </w:r>
      <w:r>
        <w:rPr>
          <w:spacing w:val="40"/>
          <w:sz w:val="21"/>
        </w:rPr>
        <w:t> </w:t>
      </w:r>
      <w:r>
        <w:rPr>
          <w:sz w:val="21"/>
          <w:u w:val="single"/>
        </w:rPr>
        <w:t>except</w:t>
      </w:r>
      <w:r>
        <w:rPr>
          <w:spacing w:val="40"/>
          <w:sz w:val="21"/>
        </w:rPr>
        <w:t> </w:t>
      </w:r>
      <w:r>
        <w:rPr>
          <w:sz w:val="21"/>
        </w:rPr>
        <w:t>for</w:t>
      </w:r>
      <w:r>
        <w:rPr>
          <w:spacing w:val="40"/>
          <w:sz w:val="21"/>
        </w:rPr>
        <w:t> </w:t>
      </w:r>
      <w:r>
        <w:rPr>
          <w:sz w:val="21"/>
        </w:rPr>
        <w:t>claims</w:t>
      </w:r>
      <w:r>
        <w:rPr>
          <w:spacing w:val="40"/>
          <w:sz w:val="21"/>
        </w:rPr>
        <w:t> </w:t>
      </w:r>
      <w:r>
        <w:rPr>
          <w:sz w:val="21"/>
        </w:rPr>
        <w:t>of</w:t>
      </w:r>
      <w:r>
        <w:rPr>
          <w:spacing w:val="40"/>
          <w:sz w:val="21"/>
        </w:rPr>
        <w:t> </w:t>
      </w:r>
      <w:r>
        <w:rPr>
          <w:sz w:val="21"/>
        </w:rPr>
        <w:t>Sex</w:t>
      </w:r>
      <w:r>
        <w:rPr>
          <w:spacing w:val="40"/>
          <w:sz w:val="21"/>
        </w:rPr>
        <w:t> </w:t>
      </w:r>
      <w:r>
        <w:rPr>
          <w:sz w:val="21"/>
        </w:rPr>
        <w:t>Discrimination/Harassment,</w:t>
      </w:r>
      <w:r>
        <w:rPr>
          <w:spacing w:val="40"/>
          <w:sz w:val="21"/>
        </w:rPr>
        <w:t> </w:t>
      </w:r>
      <w:r>
        <w:rPr>
          <w:sz w:val="21"/>
        </w:rPr>
        <w:t>shall</w:t>
      </w:r>
      <w:r>
        <w:rPr>
          <w:spacing w:val="40"/>
          <w:sz w:val="21"/>
        </w:rPr>
        <w:t> </w:t>
      </w:r>
      <w:r>
        <w:rPr>
          <w:sz w:val="21"/>
        </w:rPr>
        <w:t>be</w:t>
      </w:r>
      <w:r>
        <w:rPr>
          <w:spacing w:val="40"/>
          <w:sz w:val="21"/>
        </w:rPr>
        <w:t> </w:t>
      </w:r>
      <w:r>
        <w:rPr>
          <w:sz w:val="21"/>
        </w:rPr>
        <w:t>resolved</w:t>
      </w:r>
      <w:r>
        <w:rPr>
          <w:spacing w:val="40"/>
          <w:sz w:val="21"/>
        </w:rPr>
        <w:t> </w:t>
      </w:r>
      <w:r>
        <w:rPr>
          <w:sz w:val="21"/>
        </w:rPr>
        <w:t>by binding arbitration pursuant to </w:t>
      </w:r>
      <w:r>
        <w:rPr>
          <w:sz w:val="21"/>
          <w:u w:val="single"/>
        </w:rPr>
        <w:t>Exhibit F</w:t>
      </w:r>
      <w:r>
        <w:rPr>
          <w:sz w:val="21"/>
        </w:rPr>
        <w:t>, which is incorporated as if fully set forth herein.</w:t>
      </w:r>
    </w:p>
    <w:p>
      <w:pPr>
        <w:pStyle w:val="BodyText"/>
        <w:spacing w:before="58"/>
        <w:rPr>
          <w:sz w:val="21"/>
        </w:rPr>
      </w:pPr>
    </w:p>
    <w:p>
      <w:pPr>
        <w:pStyle w:val="ListParagraph"/>
        <w:numPr>
          <w:ilvl w:val="0"/>
          <w:numId w:val="55"/>
        </w:numPr>
        <w:tabs>
          <w:tab w:pos="499" w:val="left" w:leader="none"/>
        </w:tabs>
        <w:spacing w:line="213" w:lineRule="auto" w:before="0" w:after="0"/>
        <w:ind w:left="144" w:right="221" w:firstLine="0"/>
        <w:jc w:val="both"/>
        <w:rPr>
          <w:sz w:val="21"/>
        </w:rPr>
      </w:pPr>
      <w:r>
        <w:rPr>
          <w:sz w:val="21"/>
          <w:u w:val="single"/>
        </w:rPr>
        <w:t>Severabili</w:t>
      </w:r>
      <w:r>
        <w:rPr>
          <w:sz w:val="21"/>
        </w:rPr>
        <w:t>ty. If any section, provision, paragraph, phrase, word, and/or line (collectively, “Provision”) of this Agreement </w:t>
      </w:r>
      <w:r>
        <w:rPr>
          <w:sz w:val="21"/>
        </w:rPr>
        <w:t>is</w:t>
      </w:r>
      <w:r>
        <w:rPr>
          <w:spacing w:val="40"/>
          <w:sz w:val="21"/>
        </w:rPr>
        <w:t> </w:t>
      </w:r>
      <w:r>
        <w:rPr>
          <w:sz w:val="21"/>
        </w:rPr>
        <w:t>declared to be unenforceable, then this Agreement will be deemed retroactively modified to the extent necessary to render the</w:t>
      </w:r>
      <w:r>
        <w:rPr>
          <w:spacing w:val="40"/>
          <w:sz w:val="21"/>
        </w:rPr>
        <w:t> </w:t>
      </w:r>
      <w:r>
        <w:rPr>
          <w:sz w:val="21"/>
        </w:rPr>
        <w:t>otherwise</w:t>
      </w:r>
      <w:r>
        <w:rPr>
          <w:spacing w:val="21"/>
          <w:sz w:val="21"/>
        </w:rPr>
        <w:t> </w:t>
      </w:r>
      <w:r>
        <w:rPr>
          <w:sz w:val="21"/>
        </w:rPr>
        <w:t>unenforceable</w:t>
      </w:r>
      <w:r>
        <w:rPr>
          <w:spacing w:val="21"/>
          <w:sz w:val="21"/>
        </w:rPr>
        <w:t> </w:t>
      </w:r>
      <w:r>
        <w:rPr>
          <w:sz w:val="21"/>
        </w:rPr>
        <w:t>Provision,</w:t>
      </w:r>
      <w:r>
        <w:rPr>
          <w:spacing w:val="21"/>
          <w:sz w:val="21"/>
        </w:rPr>
        <w:t> </w:t>
      </w:r>
      <w:r>
        <w:rPr>
          <w:sz w:val="21"/>
        </w:rPr>
        <w:t>and</w:t>
      </w:r>
      <w:r>
        <w:rPr>
          <w:spacing w:val="21"/>
          <w:sz w:val="21"/>
        </w:rPr>
        <w:t> </w:t>
      </w:r>
      <w:r>
        <w:rPr>
          <w:sz w:val="21"/>
        </w:rPr>
        <w:t>the</w:t>
      </w:r>
      <w:r>
        <w:rPr>
          <w:spacing w:val="21"/>
          <w:sz w:val="21"/>
        </w:rPr>
        <w:t> </w:t>
      </w:r>
      <w:r>
        <w:rPr>
          <w:sz w:val="21"/>
        </w:rPr>
        <w:t>rest</w:t>
      </w:r>
      <w:r>
        <w:rPr>
          <w:spacing w:val="21"/>
          <w:sz w:val="21"/>
        </w:rPr>
        <w:t> </w:t>
      </w:r>
      <w:r>
        <w:rPr>
          <w:sz w:val="21"/>
        </w:rPr>
        <w:t>of</w:t>
      </w:r>
      <w:r>
        <w:rPr>
          <w:spacing w:val="21"/>
          <w:sz w:val="21"/>
        </w:rPr>
        <w:t> </w:t>
      </w:r>
      <w:r>
        <w:rPr>
          <w:sz w:val="21"/>
        </w:rPr>
        <w:t>the Agreement,</w:t>
      </w:r>
      <w:r>
        <w:rPr>
          <w:spacing w:val="21"/>
          <w:sz w:val="21"/>
        </w:rPr>
        <w:t> </w:t>
      </w:r>
      <w:r>
        <w:rPr>
          <w:sz w:val="21"/>
        </w:rPr>
        <w:t>valid</w:t>
      </w:r>
      <w:r>
        <w:rPr>
          <w:spacing w:val="21"/>
          <w:sz w:val="21"/>
        </w:rPr>
        <w:t> </w:t>
      </w:r>
      <w:r>
        <w:rPr>
          <w:sz w:val="21"/>
        </w:rPr>
        <w:t>and</w:t>
      </w:r>
      <w:r>
        <w:rPr>
          <w:spacing w:val="21"/>
          <w:sz w:val="21"/>
        </w:rPr>
        <w:t> </w:t>
      </w:r>
      <w:r>
        <w:rPr>
          <w:sz w:val="21"/>
        </w:rPr>
        <w:t>enforceable.</w:t>
      </w:r>
      <w:r>
        <w:rPr>
          <w:spacing w:val="21"/>
          <w:sz w:val="21"/>
        </w:rPr>
        <w:t> </w:t>
      </w:r>
      <w:r>
        <w:rPr>
          <w:sz w:val="21"/>
        </w:rPr>
        <w:t>If</w:t>
      </w:r>
      <w:r>
        <w:rPr>
          <w:spacing w:val="21"/>
          <w:sz w:val="21"/>
        </w:rPr>
        <w:t> </w:t>
      </w:r>
      <w:r>
        <w:rPr>
          <w:sz w:val="21"/>
        </w:rPr>
        <w:t>a</w:t>
      </w:r>
      <w:r>
        <w:rPr>
          <w:spacing w:val="21"/>
          <w:sz w:val="21"/>
        </w:rPr>
        <w:t> </w:t>
      </w:r>
      <w:r>
        <w:rPr>
          <w:sz w:val="21"/>
        </w:rPr>
        <w:t>court</w:t>
      </w:r>
      <w:r>
        <w:rPr>
          <w:spacing w:val="21"/>
          <w:sz w:val="21"/>
        </w:rPr>
        <w:t> </w:t>
      </w:r>
      <w:r>
        <w:rPr>
          <w:sz w:val="21"/>
        </w:rPr>
        <w:t>or</w:t>
      </w:r>
      <w:r>
        <w:rPr>
          <w:spacing w:val="21"/>
          <w:sz w:val="21"/>
        </w:rPr>
        <w:t> </w:t>
      </w:r>
      <w:r>
        <w:rPr>
          <w:sz w:val="21"/>
        </w:rPr>
        <w:t>arbitrator</w:t>
      </w:r>
      <w:r>
        <w:rPr>
          <w:spacing w:val="21"/>
          <w:sz w:val="21"/>
        </w:rPr>
        <w:t> </w:t>
      </w:r>
      <w:r>
        <w:rPr>
          <w:sz w:val="21"/>
        </w:rPr>
        <w:t>declines</w:t>
      </w:r>
      <w:r>
        <w:rPr>
          <w:spacing w:val="21"/>
          <w:sz w:val="21"/>
        </w:rPr>
        <w:t> </w:t>
      </w:r>
      <w:r>
        <w:rPr>
          <w:sz w:val="21"/>
        </w:rPr>
        <w:t>to</w:t>
      </w:r>
      <w:r>
        <w:rPr>
          <w:spacing w:val="21"/>
          <w:sz w:val="21"/>
        </w:rPr>
        <w:t> </w:t>
      </w:r>
      <w:r>
        <w:rPr>
          <w:sz w:val="21"/>
        </w:rPr>
        <w:t>modify this Agreement</w:t>
      </w:r>
      <w:r>
        <w:rPr>
          <w:spacing w:val="17"/>
          <w:sz w:val="21"/>
        </w:rPr>
        <w:t> </w:t>
      </w:r>
      <w:r>
        <w:rPr>
          <w:sz w:val="21"/>
        </w:rPr>
        <w:t>as</w:t>
      </w:r>
      <w:r>
        <w:rPr>
          <w:spacing w:val="17"/>
          <w:sz w:val="21"/>
        </w:rPr>
        <w:t> </w:t>
      </w:r>
      <w:r>
        <w:rPr>
          <w:sz w:val="21"/>
        </w:rPr>
        <w:t>provided</w:t>
      </w:r>
      <w:r>
        <w:rPr>
          <w:spacing w:val="17"/>
          <w:sz w:val="21"/>
        </w:rPr>
        <w:t> </w:t>
      </w:r>
      <w:r>
        <w:rPr>
          <w:sz w:val="21"/>
        </w:rPr>
        <w:t>herein,</w:t>
      </w:r>
      <w:r>
        <w:rPr>
          <w:spacing w:val="17"/>
          <w:sz w:val="21"/>
        </w:rPr>
        <w:t> </w:t>
      </w:r>
      <w:r>
        <w:rPr>
          <w:sz w:val="21"/>
        </w:rPr>
        <w:t>the</w:t>
      </w:r>
      <w:r>
        <w:rPr>
          <w:spacing w:val="17"/>
          <w:sz w:val="21"/>
        </w:rPr>
        <w:t> </w:t>
      </w:r>
      <w:r>
        <w:rPr>
          <w:sz w:val="21"/>
        </w:rPr>
        <w:t>invalidity</w:t>
      </w:r>
      <w:r>
        <w:rPr>
          <w:spacing w:val="17"/>
          <w:sz w:val="21"/>
        </w:rPr>
        <w:t> </w:t>
      </w:r>
      <w:r>
        <w:rPr>
          <w:sz w:val="21"/>
        </w:rPr>
        <w:t>or</w:t>
      </w:r>
      <w:r>
        <w:rPr>
          <w:spacing w:val="17"/>
          <w:sz w:val="21"/>
        </w:rPr>
        <w:t> </w:t>
      </w:r>
      <w:r>
        <w:rPr>
          <w:sz w:val="21"/>
        </w:rPr>
        <w:t>unenforceability</w:t>
      </w:r>
      <w:r>
        <w:rPr>
          <w:spacing w:val="17"/>
          <w:sz w:val="21"/>
        </w:rPr>
        <w:t> </w:t>
      </w:r>
      <w:r>
        <w:rPr>
          <w:sz w:val="21"/>
        </w:rPr>
        <w:t>of</w:t>
      </w:r>
      <w:r>
        <w:rPr>
          <w:spacing w:val="17"/>
          <w:sz w:val="21"/>
        </w:rPr>
        <w:t> </w:t>
      </w:r>
      <w:r>
        <w:rPr>
          <w:sz w:val="21"/>
        </w:rPr>
        <w:t>any</w:t>
      </w:r>
      <w:r>
        <w:rPr>
          <w:spacing w:val="17"/>
          <w:sz w:val="21"/>
        </w:rPr>
        <w:t> </w:t>
      </w:r>
      <w:r>
        <w:rPr>
          <w:sz w:val="21"/>
        </w:rPr>
        <w:t>Provision</w:t>
      </w:r>
      <w:r>
        <w:rPr>
          <w:spacing w:val="17"/>
          <w:sz w:val="21"/>
        </w:rPr>
        <w:t> </w:t>
      </w:r>
      <w:r>
        <w:rPr>
          <w:sz w:val="21"/>
        </w:rPr>
        <w:t>of</w:t>
      </w:r>
      <w:r>
        <w:rPr>
          <w:spacing w:val="17"/>
          <w:sz w:val="21"/>
        </w:rPr>
        <w:t> </w:t>
      </w:r>
      <w:r>
        <w:rPr>
          <w:sz w:val="21"/>
        </w:rPr>
        <w:t>this Agreement</w:t>
      </w:r>
      <w:r>
        <w:rPr>
          <w:spacing w:val="17"/>
          <w:sz w:val="21"/>
        </w:rPr>
        <w:t> </w:t>
      </w:r>
      <w:r>
        <w:rPr>
          <w:sz w:val="21"/>
        </w:rPr>
        <w:t>shall</w:t>
      </w:r>
      <w:r>
        <w:rPr>
          <w:spacing w:val="17"/>
          <w:sz w:val="21"/>
        </w:rPr>
        <w:t> </w:t>
      </w:r>
      <w:r>
        <w:rPr>
          <w:sz w:val="21"/>
        </w:rPr>
        <w:t>not</w:t>
      </w:r>
      <w:r>
        <w:rPr>
          <w:spacing w:val="17"/>
          <w:sz w:val="21"/>
        </w:rPr>
        <w:t> </w:t>
      </w:r>
      <w:r>
        <w:rPr>
          <w:sz w:val="21"/>
        </w:rPr>
        <w:t>affect</w:t>
      </w:r>
      <w:r>
        <w:rPr>
          <w:spacing w:val="17"/>
          <w:sz w:val="21"/>
        </w:rPr>
        <w:t> </w:t>
      </w:r>
      <w:r>
        <w:rPr>
          <w:sz w:val="21"/>
        </w:rPr>
        <w:t>the</w:t>
      </w:r>
      <w:r>
        <w:rPr>
          <w:spacing w:val="17"/>
          <w:sz w:val="21"/>
        </w:rPr>
        <w:t> </w:t>
      </w:r>
      <w:r>
        <w:rPr>
          <w:sz w:val="21"/>
        </w:rPr>
        <w:t>validity or enforceability of the remaining Provisions. This Section 12 does not limit either party’s rights to seek damages or such additional relief</w:t>
      </w:r>
      <w:r>
        <w:rPr>
          <w:spacing w:val="22"/>
          <w:sz w:val="21"/>
        </w:rPr>
        <w:t> </w:t>
      </w:r>
      <w:r>
        <w:rPr>
          <w:sz w:val="21"/>
        </w:rPr>
        <w:t>as</w:t>
      </w:r>
      <w:r>
        <w:rPr>
          <w:spacing w:val="22"/>
          <w:sz w:val="21"/>
        </w:rPr>
        <w:t> </w:t>
      </w:r>
      <w:r>
        <w:rPr>
          <w:sz w:val="21"/>
        </w:rPr>
        <w:t>may</w:t>
      </w:r>
      <w:r>
        <w:rPr>
          <w:spacing w:val="22"/>
          <w:sz w:val="21"/>
        </w:rPr>
        <w:t> </w:t>
      </w:r>
      <w:r>
        <w:rPr>
          <w:sz w:val="21"/>
        </w:rPr>
        <w:t>be</w:t>
      </w:r>
      <w:r>
        <w:rPr>
          <w:spacing w:val="22"/>
          <w:sz w:val="21"/>
        </w:rPr>
        <w:t> </w:t>
      </w:r>
      <w:r>
        <w:rPr>
          <w:sz w:val="21"/>
        </w:rPr>
        <w:t>allowed</w:t>
      </w:r>
      <w:r>
        <w:rPr>
          <w:spacing w:val="22"/>
          <w:sz w:val="21"/>
        </w:rPr>
        <w:t> </w:t>
      </w:r>
      <w:r>
        <w:rPr>
          <w:sz w:val="21"/>
        </w:rPr>
        <w:t>by</w:t>
      </w:r>
      <w:r>
        <w:rPr>
          <w:spacing w:val="22"/>
          <w:sz w:val="21"/>
        </w:rPr>
        <w:t> </w:t>
      </w:r>
      <w:r>
        <w:rPr>
          <w:sz w:val="21"/>
        </w:rPr>
        <w:t>law</w:t>
      </w:r>
      <w:r>
        <w:rPr>
          <w:spacing w:val="22"/>
          <w:sz w:val="21"/>
        </w:rPr>
        <w:t> </w:t>
      </w:r>
      <w:r>
        <w:rPr>
          <w:sz w:val="21"/>
        </w:rPr>
        <w:t>and/or</w:t>
      </w:r>
      <w:r>
        <w:rPr>
          <w:spacing w:val="22"/>
          <w:sz w:val="21"/>
        </w:rPr>
        <w:t> </w:t>
      </w:r>
      <w:r>
        <w:rPr>
          <w:sz w:val="21"/>
        </w:rPr>
        <w:t>equity</w:t>
      </w:r>
      <w:r>
        <w:rPr>
          <w:spacing w:val="22"/>
          <w:sz w:val="21"/>
        </w:rPr>
        <w:t> </w:t>
      </w:r>
      <w:r>
        <w:rPr>
          <w:sz w:val="21"/>
        </w:rPr>
        <w:t>in</w:t>
      </w:r>
      <w:r>
        <w:rPr>
          <w:spacing w:val="22"/>
          <w:sz w:val="21"/>
        </w:rPr>
        <w:t> </w:t>
      </w:r>
      <w:r>
        <w:rPr>
          <w:sz w:val="21"/>
        </w:rPr>
        <w:t>respect</w:t>
      </w:r>
      <w:r>
        <w:rPr>
          <w:spacing w:val="22"/>
          <w:sz w:val="21"/>
        </w:rPr>
        <w:t> </w:t>
      </w:r>
      <w:r>
        <w:rPr>
          <w:sz w:val="21"/>
        </w:rPr>
        <w:t>to</w:t>
      </w:r>
      <w:r>
        <w:rPr>
          <w:spacing w:val="22"/>
          <w:sz w:val="21"/>
        </w:rPr>
        <w:t> </w:t>
      </w:r>
      <w:r>
        <w:rPr>
          <w:sz w:val="21"/>
        </w:rPr>
        <w:t>any</w:t>
      </w:r>
      <w:r>
        <w:rPr>
          <w:spacing w:val="22"/>
          <w:sz w:val="21"/>
        </w:rPr>
        <w:t> </w:t>
      </w:r>
      <w:r>
        <w:rPr>
          <w:sz w:val="21"/>
        </w:rPr>
        <w:t>breach</w:t>
      </w:r>
      <w:r>
        <w:rPr>
          <w:spacing w:val="22"/>
          <w:sz w:val="21"/>
        </w:rPr>
        <w:t> </w:t>
      </w:r>
      <w:r>
        <w:rPr>
          <w:sz w:val="21"/>
        </w:rPr>
        <w:t>of</w:t>
      </w:r>
      <w:r>
        <w:rPr>
          <w:spacing w:val="22"/>
          <w:sz w:val="21"/>
        </w:rPr>
        <w:t> </w:t>
      </w:r>
      <w:r>
        <w:rPr>
          <w:sz w:val="21"/>
        </w:rPr>
        <w:t>the</w:t>
      </w:r>
      <w:r>
        <w:rPr>
          <w:spacing w:val="22"/>
          <w:sz w:val="21"/>
        </w:rPr>
        <w:t> </w:t>
      </w:r>
      <w:r>
        <w:rPr>
          <w:sz w:val="21"/>
        </w:rPr>
        <w:t>enforceable</w:t>
      </w:r>
      <w:r>
        <w:rPr>
          <w:spacing w:val="22"/>
          <w:sz w:val="21"/>
        </w:rPr>
        <w:t> </w:t>
      </w:r>
      <w:r>
        <w:rPr>
          <w:sz w:val="21"/>
        </w:rPr>
        <w:t>provisions</w:t>
      </w:r>
      <w:r>
        <w:rPr>
          <w:spacing w:val="22"/>
          <w:sz w:val="21"/>
        </w:rPr>
        <w:t> </w:t>
      </w:r>
      <w:r>
        <w:rPr>
          <w:sz w:val="21"/>
        </w:rPr>
        <w:t>of</w:t>
      </w:r>
      <w:r>
        <w:rPr>
          <w:spacing w:val="22"/>
          <w:sz w:val="21"/>
        </w:rPr>
        <w:t> </w:t>
      </w:r>
      <w:r>
        <w:rPr>
          <w:sz w:val="21"/>
        </w:rPr>
        <w:t>this Agreement.</w:t>
      </w:r>
    </w:p>
    <w:p>
      <w:pPr>
        <w:pStyle w:val="ListParagraph"/>
        <w:numPr>
          <w:ilvl w:val="0"/>
          <w:numId w:val="55"/>
        </w:numPr>
        <w:tabs>
          <w:tab w:pos="477" w:val="left" w:leader="none"/>
        </w:tabs>
        <w:spacing w:line="213" w:lineRule="auto" w:before="222" w:after="0"/>
        <w:ind w:left="144" w:right="221" w:firstLine="0"/>
        <w:jc w:val="both"/>
        <w:rPr>
          <w:sz w:val="21"/>
        </w:rPr>
      </w:pPr>
      <w:r>
        <w:rPr>
          <w:sz w:val="21"/>
          <w:u w:val="single"/>
        </w:rPr>
        <w:t>No Waiver of Breach or Remedies</w:t>
      </w:r>
      <w:r>
        <w:rPr>
          <w:sz w:val="21"/>
        </w:rPr>
        <w:t>. No failure or delay on the part of Employee or Employer in exercising any right, power or remedy</w:t>
      </w:r>
      <w:r>
        <w:rPr>
          <w:spacing w:val="39"/>
          <w:sz w:val="21"/>
        </w:rPr>
        <w:t> </w:t>
      </w:r>
      <w:r>
        <w:rPr>
          <w:sz w:val="21"/>
        </w:rPr>
        <w:t>hereunder</w:t>
      </w:r>
      <w:r>
        <w:rPr>
          <w:spacing w:val="39"/>
          <w:sz w:val="21"/>
        </w:rPr>
        <w:t> </w:t>
      </w:r>
      <w:r>
        <w:rPr>
          <w:sz w:val="21"/>
        </w:rPr>
        <w:t>shall</w:t>
      </w:r>
      <w:r>
        <w:rPr>
          <w:spacing w:val="39"/>
          <w:sz w:val="21"/>
        </w:rPr>
        <w:t> </w:t>
      </w:r>
      <w:r>
        <w:rPr>
          <w:sz w:val="21"/>
        </w:rPr>
        <w:t>operate</w:t>
      </w:r>
      <w:r>
        <w:rPr>
          <w:spacing w:val="39"/>
          <w:sz w:val="21"/>
        </w:rPr>
        <w:t> </w:t>
      </w:r>
      <w:r>
        <w:rPr>
          <w:sz w:val="21"/>
        </w:rPr>
        <w:t>as</w:t>
      </w:r>
      <w:r>
        <w:rPr>
          <w:spacing w:val="39"/>
          <w:sz w:val="21"/>
        </w:rPr>
        <w:t> </w:t>
      </w:r>
      <w:r>
        <w:rPr>
          <w:sz w:val="21"/>
        </w:rPr>
        <w:t>a</w:t>
      </w:r>
      <w:r>
        <w:rPr>
          <w:spacing w:val="39"/>
          <w:sz w:val="21"/>
        </w:rPr>
        <w:t> </w:t>
      </w:r>
      <w:r>
        <w:rPr>
          <w:sz w:val="21"/>
        </w:rPr>
        <w:t>waiver</w:t>
      </w:r>
      <w:r>
        <w:rPr>
          <w:spacing w:val="39"/>
          <w:sz w:val="21"/>
        </w:rPr>
        <w:t> </w:t>
      </w:r>
      <w:r>
        <w:rPr>
          <w:sz w:val="21"/>
        </w:rPr>
        <w:t>thereof</w:t>
      </w:r>
      <w:r>
        <w:rPr>
          <w:spacing w:val="39"/>
          <w:sz w:val="21"/>
        </w:rPr>
        <w:t> </w:t>
      </w:r>
      <w:r>
        <w:rPr>
          <w:sz w:val="21"/>
        </w:rPr>
        <w:t>nor</w:t>
      </w:r>
      <w:r>
        <w:rPr>
          <w:spacing w:val="39"/>
          <w:sz w:val="21"/>
        </w:rPr>
        <w:t> </w:t>
      </w:r>
      <w:r>
        <w:rPr>
          <w:sz w:val="21"/>
        </w:rPr>
        <w:t>shall</w:t>
      </w:r>
      <w:r>
        <w:rPr>
          <w:spacing w:val="39"/>
          <w:sz w:val="21"/>
        </w:rPr>
        <w:t> </w:t>
      </w:r>
      <w:r>
        <w:rPr>
          <w:sz w:val="21"/>
        </w:rPr>
        <w:t>any</w:t>
      </w:r>
      <w:r>
        <w:rPr>
          <w:spacing w:val="39"/>
          <w:sz w:val="21"/>
        </w:rPr>
        <w:t> </w:t>
      </w:r>
      <w:r>
        <w:rPr>
          <w:sz w:val="21"/>
        </w:rPr>
        <w:t>single</w:t>
      </w:r>
      <w:r>
        <w:rPr>
          <w:spacing w:val="39"/>
          <w:sz w:val="21"/>
        </w:rPr>
        <w:t> </w:t>
      </w:r>
      <w:r>
        <w:rPr>
          <w:sz w:val="21"/>
        </w:rPr>
        <w:t>or</w:t>
      </w:r>
      <w:r>
        <w:rPr>
          <w:spacing w:val="39"/>
          <w:sz w:val="21"/>
        </w:rPr>
        <w:t> </w:t>
      </w:r>
      <w:r>
        <w:rPr>
          <w:sz w:val="21"/>
        </w:rPr>
        <w:t>partial</w:t>
      </w:r>
      <w:r>
        <w:rPr>
          <w:spacing w:val="39"/>
          <w:sz w:val="21"/>
        </w:rPr>
        <w:t> </w:t>
      </w:r>
      <w:r>
        <w:rPr>
          <w:sz w:val="21"/>
        </w:rPr>
        <w:t>exercise</w:t>
      </w:r>
      <w:r>
        <w:rPr>
          <w:spacing w:val="39"/>
          <w:sz w:val="21"/>
        </w:rPr>
        <w:t> </w:t>
      </w:r>
      <w:r>
        <w:rPr>
          <w:sz w:val="21"/>
        </w:rPr>
        <w:t>of</w:t>
      </w:r>
      <w:r>
        <w:rPr>
          <w:spacing w:val="39"/>
          <w:sz w:val="21"/>
        </w:rPr>
        <w:t> </w:t>
      </w:r>
      <w:r>
        <w:rPr>
          <w:sz w:val="21"/>
        </w:rPr>
        <w:t>any</w:t>
      </w:r>
      <w:r>
        <w:rPr>
          <w:spacing w:val="39"/>
          <w:sz w:val="21"/>
        </w:rPr>
        <w:t> </w:t>
      </w:r>
      <w:r>
        <w:rPr>
          <w:sz w:val="21"/>
        </w:rPr>
        <w:t>such</w:t>
      </w:r>
      <w:r>
        <w:rPr>
          <w:spacing w:val="39"/>
          <w:sz w:val="21"/>
        </w:rPr>
        <w:t> </w:t>
      </w:r>
      <w:r>
        <w:rPr>
          <w:sz w:val="21"/>
        </w:rPr>
        <w:t>right,</w:t>
      </w:r>
      <w:r>
        <w:rPr>
          <w:spacing w:val="39"/>
          <w:sz w:val="21"/>
        </w:rPr>
        <w:t> </w:t>
      </w:r>
      <w:r>
        <w:rPr>
          <w:sz w:val="21"/>
        </w:rPr>
        <w:t>power</w:t>
      </w:r>
      <w:r>
        <w:rPr>
          <w:spacing w:val="39"/>
          <w:sz w:val="21"/>
        </w:rPr>
        <w:t> </w:t>
      </w:r>
      <w:r>
        <w:rPr>
          <w:sz w:val="21"/>
        </w:rPr>
        <w:t>or</w:t>
      </w:r>
      <w:r>
        <w:rPr>
          <w:spacing w:val="39"/>
          <w:sz w:val="21"/>
        </w:rPr>
        <w:t> </w:t>
      </w:r>
      <w:r>
        <w:rPr>
          <w:sz w:val="21"/>
        </w:rPr>
        <w:t>remedy preclude any other or further exercise thereof or the exercise of any other right, power or remedy hereunder. The remedies herein provided are cumulative and not exclusive of any remedies provided by law.</w:t>
      </w:r>
    </w:p>
    <w:p>
      <w:pPr>
        <w:pStyle w:val="ListParagraph"/>
        <w:numPr>
          <w:ilvl w:val="0"/>
          <w:numId w:val="55"/>
        </w:numPr>
        <w:tabs>
          <w:tab w:pos="467" w:val="left" w:leader="none"/>
        </w:tabs>
        <w:spacing w:line="213" w:lineRule="auto" w:before="221" w:after="0"/>
        <w:ind w:left="144" w:right="220" w:firstLine="0"/>
        <w:jc w:val="both"/>
        <w:rPr>
          <w:sz w:val="21"/>
        </w:rPr>
      </w:pPr>
      <w:r>
        <w:rPr>
          <w:sz w:val="21"/>
          <w:u w:val="single"/>
        </w:rPr>
        <w:t>Amendment or Modification</w:t>
      </w:r>
      <w:r>
        <w:rPr>
          <w:sz w:val="21"/>
        </w:rPr>
        <w:t>. No amendment, modification, termination or waiver of any provision of this Agreement shall </w:t>
      </w:r>
      <w:r>
        <w:rPr>
          <w:sz w:val="21"/>
        </w:rPr>
        <w:t>be effective</w:t>
      </w:r>
      <w:r>
        <w:rPr>
          <w:spacing w:val="40"/>
          <w:sz w:val="21"/>
        </w:rPr>
        <w:t> </w:t>
      </w:r>
      <w:r>
        <w:rPr>
          <w:sz w:val="21"/>
        </w:rPr>
        <w:t>unless</w:t>
      </w:r>
      <w:r>
        <w:rPr>
          <w:spacing w:val="40"/>
          <w:sz w:val="21"/>
        </w:rPr>
        <w:t> </w:t>
      </w:r>
      <w:r>
        <w:rPr>
          <w:sz w:val="21"/>
        </w:rPr>
        <w:t>the</w:t>
      </w:r>
      <w:r>
        <w:rPr>
          <w:spacing w:val="40"/>
          <w:sz w:val="21"/>
        </w:rPr>
        <w:t> </w:t>
      </w:r>
      <w:r>
        <w:rPr>
          <w:sz w:val="21"/>
        </w:rPr>
        <w:t>same</w:t>
      </w:r>
      <w:r>
        <w:rPr>
          <w:spacing w:val="40"/>
          <w:sz w:val="21"/>
        </w:rPr>
        <w:t> </w:t>
      </w:r>
      <w:r>
        <w:rPr>
          <w:sz w:val="21"/>
        </w:rPr>
        <w:t>shall</w:t>
      </w:r>
      <w:r>
        <w:rPr>
          <w:spacing w:val="40"/>
          <w:sz w:val="21"/>
        </w:rPr>
        <w:t> </w:t>
      </w:r>
      <w:r>
        <w:rPr>
          <w:sz w:val="21"/>
        </w:rPr>
        <w:t>be</w:t>
      </w:r>
      <w:r>
        <w:rPr>
          <w:spacing w:val="40"/>
          <w:sz w:val="21"/>
        </w:rPr>
        <w:t> </w:t>
      </w:r>
      <w:r>
        <w:rPr>
          <w:sz w:val="21"/>
        </w:rPr>
        <w:t>in</w:t>
      </w:r>
      <w:r>
        <w:rPr>
          <w:spacing w:val="40"/>
          <w:sz w:val="21"/>
        </w:rPr>
        <w:t> </w:t>
      </w:r>
      <w:r>
        <w:rPr>
          <w:sz w:val="21"/>
        </w:rPr>
        <w:t>writing</w:t>
      </w:r>
      <w:r>
        <w:rPr>
          <w:spacing w:val="40"/>
          <w:sz w:val="21"/>
        </w:rPr>
        <w:t> </w:t>
      </w:r>
      <w:r>
        <w:rPr>
          <w:sz w:val="21"/>
        </w:rPr>
        <w:t>and</w:t>
      </w:r>
      <w:r>
        <w:rPr>
          <w:spacing w:val="40"/>
          <w:sz w:val="21"/>
        </w:rPr>
        <w:t> </w:t>
      </w:r>
      <w:r>
        <w:rPr>
          <w:sz w:val="21"/>
        </w:rPr>
        <w:t>signed</w:t>
      </w:r>
      <w:r>
        <w:rPr>
          <w:spacing w:val="40"/>
          <w:sz w:val="21"/>
        </w:rPr>
        <w:t> </w:t>
      </w:r>
      <w:r>
        <w:rPr>
          <w:sz w:val="21"/>
        </w:rPr>
        <w:t>by</w:t>
      </w:r>
      <w:r>
        <w:rPr>
          <w:spacing w:val="40"/>
          <w:sz w:val="21"/>
        </w:rPr>
        <w:t> </w:t>
      </w:r>
      <w:r>
        <w:rPr>
          <w:sz w:val="21"/>
        </w:rPr>
        <w:t>Employee</w:t>
      </w:r>
      <w:r>
        <w:rPr>
          <w:spacing w:val="40"/>
          <w:sz w:val="21"/>
        </w:rPr>
        <w:t> </w:t>
      </w:r>
      <w:r>
        <w:rPr>
          <w:sz w:val="21"/>
        </w:rPr>
        <w:t>and</w:t>
      </w:r>
      <w:r>
        <w:rPr>
          <w:spacing w:val="40"/>
          <w:sz w:val="21"/>
        </w:rPr>
        <w:t> </w:t>
      </w:r>
      <w:r>
        <w:rPr>
          <w:sz w:val="21"/>
        </w:rPr>
        <w:t>a</w:t>
      </w:r>
      <w:r>
        <w:rPr>
          <w:spacing w:val="40"/>
          <w:sz w:val="21"/>
        </w:rPr>
        <w:t> </w:t>
      </w:r>
      <w:r>
        <w:rPr>
          <w:sz w:val="21"/>
        </w:rPr>
        <w:t>duly</w:t>
      </w:r>
      <w:r>
        <w:rPr>
          <w:spacing w:val="40"/>
          <w:sz w:val="21"/>
        </w:rPr>
        <w:t> </w:t>
      </w:r>
      <w:r>
        <w:rPr>
          <w:sz w:val="21"/>
        </w:rPr>
        <w:t>authorized</w:t>
      </w:r>
      <w:r>
        <w:rPr>
          <w:spacing w:val="40"/>
          <w:sz w:val="21"/>
        </w:rPr>
        <w:t> </w:t>
      </w:r>
      <w:r>
        <w:rPr>
          <w:sz w:val="21"/>
        </w:rPr>
        <w:t>member</w:t>
      </w:r>
      <w:r>
        <w:rPr>
          <w:spacing w:val="40"/>
          <w:sz w:val="21"/>
        </w:rPr>
        <w:t> </w:t>
      </w:r>
      <w:r>
        <w:rPr>
          <w:sz w:val="21"/>
        </w:rPr>
        <w:t>of</w:t>
      </w:r>
      <w:r>
        <w:rPr>
          <w:spacing w:val="40"/>
          <w:sz w:val="21"/>
        </w:rPr>
        <w:t> </w:t>
      </w:r>
      <w:r>
        <w:rPr>
          <w:sz w:val="21"/>
        </w:rPr>
        <w:t>Employer’s</w:t>
      </w:r>
      <w:r>
        <w:rPr>
          <w:spacing w:val="40"/>
          <w:sz w:val="21"/>
        </w:rPr>
        <w:t> </w:t>
      </w:r>
      <w:r>
        <w:rPr>
          <w:sz w:val="21"/>
        </w:rPr>
        <w:t>senior management</w:t>
      </w:r>
      <w:r>
        <w:rPr>
          <w:spacing w:val="40"/>
          <w:sz w:val="21"/>
        </w:rPr>
        <w:t> </w:t>
      </w:r>
      <w:r>
        <w:rPr>
          <w:sz w:val="21"/>
        </w:rPr>
        <w:t>and</w:t>
      </w:r>
      <w:r>
        <w:rPr>
          <w:spacing w:val="40"/>
          <w:sz w:val="21"/>
        </w:rPr>
        <w:t> </w:t>
      </w:r>
      <w:r>
        <w:rPr>
          <w:sz w:val="21"/>
        </w:rPr>
        <w:t>be</w:t>
      </w:r>
      <w:r>
        <w:rPr>
          <w:spacing w:val="40"/>
          <w:sz w:val="21"/>
        </w:rPr>
        <w:t> </w:t>
      </w:r>
      <w:r>
        <w:rPr>
          <w:sz w:val="21"/>
        </w:rPr>
        <w:t>approved</w:t>
      </w:r>
      <w:r>
        <w:rPr>
          <w:spacing w:val="40"/>
          <w:sz w:val="21"/>
        </w:rPr>
        <w:t> </w:t>
      </w:r>
      <w:r>
        <w:rPr>
          <w:sz w:val="21"/>
        </w:rPr>
        <w:t>by</w:t>
      </w:r>
      <w:r>
        <w:rPr>
          <w:spacing w:val="40"/>
          <w:sz w:val="21"/>
        </w:rPr>
        <w:t> </w:t>
      </w:r>
      <w:r>
        <w:rPr>
          <w:sz w:val="21"/>
        </w:rPr>
        <w:t>the</w:t>
      </w:r>
      <w:r>
        <w:rPr>
          <w:spacing w:val="40"/>
          <w:sz w:val="21"/>
        </w:rPr>
        <w:t> </w:t>
      </w:r>
      <w:r>
        <w:rPr>
          <w:sz w:val="21"/>
        </w:rPr>
        <w:t>Committee.</w:t>
      </w:r>
      <w:r>
        <w:rPr>
          <w:spacing w:val="40"/>
          <w:sz w:val="21"/>
        </w:rPr>
        <w:t> </w:t>
      </w:r>
      <w:r>
        <w:rPr>
          <w:sz w:val="21"/>
        </w:rPr>
        <w:t>No</w:t>
      </w:r>
      <w:r>
        <w:rPr>
          <w:spacing w:val="40"/>
          <w:sz w:val="21"/>
        </w:rPr>
        <w:t> </w:t>
      </w:r>
      <w:r>
        <w:rPr>
          <w:sz w:val="21"/>
        </w:rPr>
        <w:t>consent</w:t>
      </w:r>
      <w:r>
        <w:rPr>
          <w:spacing w:val="40"/>
          <w:sz w:val="21"/>
        </w:rPr>
        <w:t> </w:t>
      </w:r>
      <w:r>
        <w:rPr>
          <w:sz w:val="21"/>
        </w:rPr>
        <w:t>to</w:t>
      </w:r>
      <w:r>
        <w:rPr>
          <w:spacing w:val="40"/>
          <w:sz w:val="21"/>
        </w:rPr>
        <w:t> </w:t>
      </w:r>
      <w:r>
        <w:rPr>
          <w:sz w:val="21"/>
        </w:rPr>
        <w:t>any</w:t>
      </w:r>
      <w:r>
        <w:rPr>
          <w:spacing w:val="40"/>
          <w:sz w:val="21"/>
        </w:rPr>
        <w:t> </w:t>
      </w:r>
      <w:r>
        <w:rPr>
          <w:sz w:val="21"/>
        </w:rPr>
        <w:t>departure</w:t>
      </w:r>
      <w:r>
        <w:rPr>
          <w:spacing w:val="40"/>
          <w:sz w:val="21"/>
        </w:rPr>
        <w:t> </w:t>
      </w:r>
      <w:r>
        <w:rPr>
          <w:sz w:val="21"/>
        </w:rPr>
        <w:t>by</w:t>
      </w:r>
      <w:r>
        <w:rPr>
          <w:spacing w:val="40"/>
          <w:sz w:val="21"/>
        </w:rPr>
        <w:t> </w:t>
      </w:r>
      <w:r>
        <w:rPr>
          <w:sz w:val="21"/>
        </w:rPr>
        <w:t>Employee</w:t>
      </w:r>
      <w:r>
        <w:rPr>
          <w:spacing w:val="40"/>
          <w:sz w:val="21"/>
        </w:rPr>
        <w:t> </w:t>
      </w:r>
      <w:r>
        <w:rPr>
          <w:sz w:val="21"/>
        </w:rPr>
        <w:t>from</w:t>
      </w:r>
      <w:r>
        <w:rPr>
          <w:spacing w:val="40"/>
          <w:sz w:val="21"/>
        </w:rPr>
        <w:t> </w:t>
      </w:r>
      <w:r>
        <w:rPr>
          <w:sz w:val="21"/>
        </w:rPr>
        <w:t>any</w:t>
      </w:r>
      <w:r>
        <w:rPr>
          <w:spacing w:val="40"/>
          <w:sz w:val="21"/>
        </w:rPr>
        <w:t> </w:t>
      </w:r>
      <w:r>
        <w:rPr>
          <w:sz w:val="21"/>
        </w:rPr>
        <w:t>of</w:t>
      </w:r>
      <w:r>
        <w:rPr>
          <w:spacing w:val="40"/>
          <w:sz w:val="21"/>
        </w:rPr>
        <w:t> </w:t>
      </w:r>
      <w:r>
        <w:rPr>
          <w:sz w:val="21"/>
        </w:rPr>
        <w:t>the</w:t>
      </w:r>
      <w:r>
        <w:rPr>
          <w:spacing w:val="40"/>
          <w:sz w:val="21"/>
        </w:rPr>
        <w:t> </w:t>
      </w:r>
      <w:r>
        <w:rPr>
          <w:sz w:val="21"/>
        </w:rPr>
        <w:t>terms</w:t>
      </w:r>
      <w:r>
        <w:rPr>
          <w:spacing w:val="40"/>
          <w:sz w:val="21"/>
        </w:rPr>
        <w:t> </w:t>
      </w:r>
      <w:r>
        <w:rPr>
          <w:sz w:val="21"/>
        </w:rPr>
        <w:t>of</w:t>
      </w:r>
      <w:r>
        <w:rPr>
          <w:spacing w:val="40"/>
          <w:sz w:val="21"/>
        </w:rPr>
        <w:t> </w:t>
      </w:r>
      <w:r>
        <w:rPr>
          <w:sz w:val="21"/>
        </w:rPr>
        <w:t>this Agreement shall be effective unless the same is signed by a duly authorized member of Employer’s senior management and is</w:t>
      </w:r>
      <w:r>
        <w:rPr>
          <w:spacing w:val="40"/>
          <w:sz w:val="21"/>
        </w:rPr>
        <w:t> </w:t>
      </w:r>
      <w:r>
        <w:rPr>
          <w:sz w:val="21"/>
        </w:rPr>
        <w:t>approved</w:t>
      </w:r>
      <w:r>
        <w:rPr>
          <w:spacing w:val="15"/>
          <w:sz w:val="21"/>
        </w:rPr>
        <w:t> </w:t>
      </w:r>
      <w:r>
        <w:rPr>
          <w:sz w:val="21"/>
        </w:rPr>
        <w:t>by</w:t>
      </w:r>
      <w:r>
        <w:rPr>
          <w:spacing w:val="15"/>
          <w:sz w:val="21"/>
        </w:rPr>
        <w:t> </w:t>
      </w:r>
      <w:r>
        <w:rPr>
          <w:sz w:val="21"/>
        </w:rPr>
        <w:t>the</w:t>
      </w:r>
      <w:r>
        <w:rPr>
          <w:spacing w:val="15"/>
          <w:sz w:val="21"/>
        </w:rPr>
        <w:t> </w:t>
      </w:r>
      <w:r>
        <w:rPr>
          <w:sz w:val="21"/>
        </w:rPr>
        <w:t>Committee. Any</w:t>
      </w:r>
      <w:r>
        <w:rPr>
          <w:spacing w:val="15"/>
          <w:sz w:val="21"/>
        </w:rPr>
        <w:t> </w:t>
      </w:r>
      <w:r>
        <w:rPr>
          <w:sz w:val="21"/>
        </w:rPr>
        <w:t>such</w:t>
      </w:r>
      <w:r>
        <w:rPr>
          <w:spacing w:val="15"/>
          <w:sz w:val="21"/>
        </w:rPr>
        <w:t> </w:t>
      </w:r>
      <w:r>
        <w:rPr>
          <w:sz w:val="21"/>
        </w:rPr>
        <w:t>waiver</w:t>
      </w:r>
      <w:r>
        <w:rPr>
          <w:spacing w:val="15"/>
          <w:sz w:val="21"/>
        </w:rPr>
        <w:t> </w:t>
      </w:r>
      <w:r>
        <w:rPr>
          <w:sz w:val="21"/>
        </w:rPr>
        <w:t>or</w:t>
      </w:r>
      <w:r>
        <w:rPr>
          <w:spacing w:val="15"/>
          <w:sz w:val="21"/>
        </w:rPr>
        <w:t> </w:t>
      </w:r>
      <w:r>
        <w:rPr>
          <w:sz w:val="21"/>
        </w:rPr>
        <w:t>consent</w:t>
      </w:r>
      <w:r>
        <w:rPr>
          <w:spacing w:val="15"/>
          <w:sz w:val="21"/>
        </w:rPr>
        <w:t> </w:t>
      </w:r>
      <w:r>
        <w:rPr>
          <w:sz w:val="21"/>
        </w:rPr>
        <w:t>shall</w:t>
      </w:r>
      <w:r>
        <w:rPr>
          <w:spacing w:val="15"/>
          <w:sz w:val="21"/>
        </w:rPr>
        <w:t> </w:t>
      </w:r>
      <w:r>
        <w:rPr>
          <w:sz w:val="21"/>
        </w:rPr>
        <w:t>be</w:t>
      </w:r>
      <w:r>
        <w:rPr>
          <w:spacing w:val="15"/>
          <w:sz w:val="21"/>
        </w:rPr>
        <w:t> </w:t>
      </w:r>
      <w:r>
        <w:rPr>
          <w:sz w:val="21"/>
        </w:rPr>
        <w:t>effective</w:t>
      </w:r>
      <w:r>
        <w:rPr>
          <w:spacing w:val="15"/>
          <w:sz w:val="21"/>
        </w:rPr>
        <w:t> </w:t>
      </w:r>
      <w:r>
        <w:rPr>
          <w:sz w:val="21"/>
        </w:rPr>
        <w:t>only</w:t>
      </w:r>
      <w:r>
        <w:rPr>
          <w:spacing w:val="15"/>
          <w:sz w:val="21"/>
        </w:rPr>
        <w:t> </w:t>
      </w:r>
      <w:r>
        <w:rPr>
          <w:sz w:val="21"/>
        </w:rPr>
        <w:t>in</w:t>
      </w:r>
      <w:r>
        <w:rPr>
          <w:spacing w:val="15"/>
          <w:sz w:val="21"/>
        </w:rPr>
        <w:t> </w:t>
      </w:r>
      <w:r>
        <w:rPr>
          <w:sz w:val="21"/>
        </w:rPr>
        <w:t>the</w:t>
      </w:r>
      <w:r>
        <w:rPr>
          <w:spacing w:val="15"/>
          <w:sz w:val="21"/>
        </w:rPr>
        <w:t> </w:t>
      </w:r>
      <w:r>
        <w:rPr>
          <w:sz w:val="21"/>
        </w:rPr>
        <w:t>specific</w:t>
      </w:r>
      <w:r>
        <w:rPr>
          <w:spacing w:val="15"/>
          <w:sz w:val="21"/>
        </w:rPr>
        <w:t> </w:t>
      </w:r>
      <w:r>
        <w:rPr>
          <w:sz w:val="21"/>
        </w:rPr>
        <w:t>instance</w:t>
      </w:r>
      <w:r>
        <w:rPr>
          <w:spacing w:val="15"/>
          <w:sz w:val="21"/>
        </w:rPr>
        <w:t> </w:t>
      </w:r>
      <w:r>
        <w:rPr>
          <w:sz w:val="21"/>
        </w:rPr>
        <w:t>and</w:t>
      </w:r>
      <w:r>
        <w:rPr>
          <w:spacing w:val="15"/>
          <w:sz w:val="21"/>
        </w:rPr>
        <w:t> </w:t>
      </w:r>
      <w:r>
        <w:rPr>
          <w:sz w:val="21"/>
        </w:rPr>
        <w:t>for</w:t>
      </w:r>
      <w:r>
        <w:rPr>
          <w:spacing w:val="15"/>
          <w:sz w:val="21"/>
        </w:rPr>
        <w:t> </w:t>
      </w:r>
      <w:r>
        <w:rPr>
          <w:sz w:val="21"/>
        </w:rPr>
        <w:t>the</w:t>
      </w:r>
      <w:r>
        <w:rPr>
          <w:spacing w:val="15"/>
          <w:sz w:val="21"/>
        </w:rPr>
        <w:t> </w:t>
      </w:r>
      <w:r>
        <w:rPr>
          <w:sz w:val="21"/>
        </w:rPr>
        <w:t>specific</w:t>
      </w:r>
      <w:r>
        <w:rPr>
          <w:spacing w:val="15"/>
          <w:sz w:val="21"/>
        </w:rPr>
        <w:t> </w:t>
      </w:r>
      <w:r>
        <w:rPr>
          <w:sz w:val="21"/>
        </w:rPr>
        <w:t>purpose for which given.</w:t>
      </w:r>
    </w:p>
    <w:p>
      <w:pPr>
        <w:pStyle w:val="ListParagraph"/>
        <w:numPr>
          <w:ilvl w:val="0"/>
          <w:numId w:val="55"/>
        </w:numPr>
        <w:tabs>
          <w:tab w:pos="469" w:val="left" w:leader="none"/>
        </w:tabs>
        <w:spacing w:line="213" w:lineRule="auto" w:before="222" w:after="0"/>
        <w:ind w:left="144" w:right="223" w:firstLine="0"/>
        <w:jc w:val="both"/>
        <w:rPr>
          <w:sz w:val="21"/>
        </w:rPr>
      </w:pPr>
      <w:r>
        <w:rPr>
          <w:sz w:val="21"/>
          <w:u w:val="single"/>
        </w:rPr>
        <w:t>Governing</w:t>
      </w:r>
      <w:r>
        <w:rPr>
          <w:spacing w:val="-14"/>
          <w:sz w:val="21"/>
        </w:rPr>
        <w:t> </w:t>
      </w:r>
      <w:r>
        <w:rPr>
          <w:spacing w:val="24"/>
          <w:sz w:val="21"/>
          <w:u w:val="single"/>
        </w:rPr>
        <w:t> </w:t>
      </w:r>
      <w:r>
        <w:rPr>
          <w:sz w:val="21"/>
          <w:u w:val="single"/>
        </w:rPr>
        <w:t>Law</w:t>
      </w:r>
      <w:r>
        <w:rPr>
          <w:spacing w:val="-13"/>
          <w:sz w:val="21"/>
          <w:u w:val="single"/>
        </w:rPr>
        <w:t> </w:t>
      </w:r>
      <w:r>
        <w:rPr>
          <w:sz w:val="21"/>
          <w:u w:val="single"/>
        </w:rPr>
        <w:t>and</w:t>
      </w:r>
      <w:r>
        <w:rPr>
          <w:spacing w:val="-13"/>
          <w:sz w:val="21"/>
          <w:u w:val="single"/>
        </w:rPr>
        <w:t> </w:t>
      </w:r>
      <w:r>
        <w:rPr>
          <w:sz w:val="21"/>
          <w:u w:val="single"/>
        </w:rPr>
        <w:t>Venue</w:t>
      </w:r>
      <w:r>
        <w:rPr>
          <w:sz w:val="21"/>
        </w:rPr>
        <w:t>. The laws of the State of Washington shall govern the validity, construction and interpretation of this Agreement. Further, venue for any claim brought pursuant to this Agreement and, in accordance with the terms of the </w:t>
      </w:r>
      <w:r>
        <w:rPr>
          <w:sz w:val="21"/>
        </w:rPr>
        <w:t>Arbitration Agreement incorporated herein, shall reside exclusively in King County, Washington, and each party to this Agreement irrevocably consents</w:t>
      </w:r>
      <w:r>
        <w:rPr>
          <w:spacing w:val="18"/>
          <w:sz w:val="21"/>
        </w:rPr>
        <w:t> </w:t>
      </w:r>
      <w:r>
        <w:rPr>
          <w:sz w:val="21"/>
        </w:rPr>
        <w:t>and</w:t>
      </w:r>
      <w:r>
        <w:rPr>
          <w:spacing w:val="18"/>
          <w:sz w:val="21"/>
        </w:rPr>
        <w:t> </w:t>
      </w:r>
      <w:r>
        <w:rPr>
          <w:sz w:val="21"/>
        </w:rPr>
        <w:t>agrees</w:t>
      </w:r>
      <w:r>
        <w:rPr>
          <w:spacing w:val="18"/>
          <w:sz w:val="21"/>
        </w:rPr>
        <w:t> </w:t>
      </w:r>
      <w:r>
        <w:rPr>
          <w:sz w:val="21"/>
        </w:rPr>
        <w:t>to</w:t>
      </w:r>
      <w:r>
        <w:rPr>
          <w:spacing w:val="18"/>
          <w:sz w:val="21"/>
        </w:rPr>
        <w:t> </w:t>
      </w:r>
      <w:r>
        <w:rPr>
          <w:sz w:val="21"/>
        </w:rPr>
        <w:t>such</w:t>
      </w:r>
      <w:r>
        <w:rPr>
          <w:spacing w:val="18"/>
          <w:sz w:val="21"/>
        </w:rPr>
        <w:t> </w:t>
      </w:r>
      <w:r>
        <w:rPr>
          <w:sz w:val="21"/>
        </w:rPr>
        <w:t>venue</w:t>
      </w:r>
      <w:r>
        <w:rPr>
          <w:spacing w:val="18"/>
          <w:sz w:val="21"/>
        </w:rPr>
        <w:t> </w:t>
      </w:r>
      <w:r>
        <w:rPr>
          <w:sz w:val="21"/>
        </w:rPr>
        <w:t>and</w:t>
      </w:r>
      <w:r>
        <w:rPr>
          <w:spacing w:val="18"/>
          <w:sz w:val="21"/>
        </w:rPr>
        <w:t> </w:t>
      </w:r>
      <w:r>
        <w:rPr>
          <w:sz w:val="21"/>
        </w:rPr>
        <w:t>to</w:t>
      </w:r>
      <w:r>
        <w:rPr>
          <w:spacing w:val="18"/>
          <w:sz w:val="21"/>
        </w:rPr>
        <w:t> </w:t>
      </w:r>
      <w:r>
        <w:rPr>
          <w:sz w:val="21"/>
        </w:rPr>
        <w:t>personal</w:t>
      </w:r>
      <w:r>
        <w:rPr>
          <w:spacing w:val="18"/>
          <w:sz w:val="21"/>
        </w:rPr>
        <w:t> </w:t>
      </w:r>
      <w:r>
        <w:rPr>
          <w:sz w:val="21"/>
        </w:rPr>
        <w:t>jurisdiction</w:t>
      </w:r>
      <w:r>
        <w:rPr>
          <w:spacing w:val="18"/>
          <w:sz w:val="21"/>
        </w:rPr>
        <w:t> </w:t>
      </w:r>
      <w:r>
        <w:rPr>
          <w:sz w:val="21"/>
        </w:rPr>
        <w:t>in</w:t>
      </w:r>
      <w:r>
        <w:rPr>
          <w:spacing w:val="18"/>
          <w:sz w:val="21"/>
        </w:rPr>
        <w:t> </w:t>
      </w:r>
      <w:r>
        <w:rPr>
          <w:sz w:val="21"/>
        </w:rPr>
        <w:t>King</w:t>
      </w:r>
      <w:r>
        <w:rPr>
          <w:spacing w:val="18"/>
          <w:sz w:val="21"/>
        </w:rPr>
        <w:t> </w:t>
      </w:r>
      <w:r>
        <w:rPr>
          <w:sz w:val="21"/>
        </w:rPr>
        <w:t>County,</w:t>
      </w:r>
      <w:r>
        <w:rPr>
          <w:spacing w:val="13"/>
          <w:sz w:val="21"/>
        </w:rPr>
        <w:t> </w:t>
      </w:r>
      <w:r>
        <w:rPr>
          <w:sz w:val="21"/>
        </w:rPr>
        <w:t>Washington.</w:t>
      </w:r>
      <w:r>
        <w:rPr>
          <w:spacing w:val="18"/>
          <w:sz w:val="21"/>
        </w:rPr>
        <w:t> </w:t>
      </w:r>
      <w:r>
        <w:rPr>
          <w:sz w:val="21"/>
        </w:rPr>
        <w:t>In</w:t>
      </w:r>
      <w:r>
        <w:rPr>
          <w:spacing w:val="18"/>
          <w:sz w:val="21"/>
        </w:rPr>
        <w:t> </w:t>
      </w:r>
      <w:r>
        <w:rPr>
          <w:sz w:val="21"/>
        </w:rPr>
        <w:t>the</w:t>
      </w:r>
      <w:r>
        <w:rPr>
          <w:spacing w:val="18"/>
          <w:sz w:val="21"/>
        </w:rPr>
        <w:t> </w:t>
      </w:r>
      <w:r>
        <w:rPr>
          <w:sz w:val="21"/>
        </w:rPr>
        <w:t>event</w:t>
      </w:r>
      <w:r>
        <w:rPr>
          <w:spacing w:val="18"/>
          <w:sz w:val="21"/>
        </w:rPr>
        <w:t> </w:t>
      </w:r>
      <w:r>
        <w:rPr>
          <w:sz w:val="21"/>
        </w:rPr>
        <w:t>the</w:t>
      </w:r>
      <w:r>
        <w:rPr>
          <w:spacing w:val="18"/>
          <w:sz w:val="21"/>
        </w:rPr>
        <w:t> </w:t>
      </w:r>
      <w:r>
        <w:rPr>
          <w:sz w:val="21"/>
        </w:rPr>
        <w:t>Employer</w:t>
      </w:r>
      <w:r>
        <w:rPr>
          <w:spacing w:val="18"/>
          <w:sz w:val="21"/>
        </w:rPr>
        <w:t> </w:t>
      </w:r>
      <w:r>
        <w:rPr>
          <w:sz w:val="21"/>
        </w:rPr>
        <w:t>commences an</w:t>
      </w:r>
      <w:r>
        <w:rPr>
          <w:spacing w:val="13"/>
          <w:sz w:val="21"/>
        </w:rPr>
        <w:t> </w:t>
      </w:r>
      <w:r>
        <w:rPr>
          <w:sz w:val="21"/>
        </w:rPr>
        <w:t>action</w:t>
      </w:r>
      <w:r>
        <w:rPr>
          <w:spacing w:val="13"/>
          <w:sz w:val="21"/>
        </w:rPr>
        <w:t> </w:t>
      </w:r>
      <w:r>
        <w:rPr>
          <w:sz w:val="21"/>
        </w:rPr>
        <w:t>for</w:t>
      </w:r>
      <w:r>
        <w:rPr>
          <w:spacing w:val="13"/>
          <w:sz w:val="21"/>
        </w:rPr>
        <w:t> </w:t>
      </w:r>
      <w:r>
        <w:rPr>
          <w:sz w:val="21"/>
        </w:rPr>
        <w:t>injunctive</w:t>
      </w:r>
      <w:r>
        <w:rPr>
          <w:spacing w:val="13"/>
          <w:sz w:val="21"/>
        </w:rPr>
        <w:t> </w:t>
      </w:r>
      <w:r>
        <w:rPr>
          <w:sz w:val="21"/>
        </w:rPr>
        <w:t>relief</w:t>
      </w:r>
      <w:r>
        <w:rPr>
          <w:spacing w:val="13"/>
          <w:sz w:val="21"/>
        </w:rPr>
        <w:t> </w:t>
      </w:r>
      <w:r>
        <w:rPr>
          <w:sz w:val="21"/>
        </w:rPr>
        <w:t>to</w:t>
      </w:r>
      <w:r>
        <w:rPr>
          <w:spacing w:val="13"/>
          <w:sz w:val="21"/>
        </w:rPr>
        <w:t> </w:t>
      </w:r>
      <w:r>
        <w:rPr>
          <w:sz w:val="21"/>
        </w:rPr>
        <w:t>enforce</w:t>
      </w:r>
      <w:r>
        <w:rPr>
          <w:spacing w:val="13"/>
          <w:sz w:val="21"/>
        </w:rPr>
        <w:t> </w:t>
      </w:r>
      <w:r>
        <w:rPr>
          <w:sz w:val="21"/>
        </w:rPr>
        <w:t>the</w:t>
      </w:r>
      <w:r>
        <w:rPr>
          <w:spacing w:val="13"/>
          <w:sz w:val="21"/>
        </w:rPr>
        <w:t> </w:t>
      </w:r>
      <w:r>
        <w:rPr>
          <w:sz w:val="21"/>
        </w:rPr>
        <w:t>obligations</w:t>
      </w:r>
      <w:r>
        <w:rPr>
          <w:spacing w:val="13"/>
          <w:sz w:val="21"/>
        </w:rPr>
        <w:t> </w:t>
      </w:r>
      <w:r>
        <w:rPr>
          <w:sz w:val="21"/>
        </w:rPr>
        <w:t>set</w:t>
      </w:r>
      <w:r>
        <w:rPr>
          <w:spacing w:val="13"/>
          <w:sz w:val="21"/>
        </w:rPr>
        <w:t> </w:t>
      </w:r>
      <w:r>
        <w:rPr>
          <w:sz w:val="21"/>
        </w:rPr>
        <w:t>forth</w:t>
      </w:r>
      <w:r>
        <w:rPr>
          <w:spacing w:val="13"/>
          <w:sz w:val="21"/>
        </w:rPr>
        <w:t> </w:t>
      </w:r>
      <w:r>
        <w:rPr>
          <w:sz w:val="21"/>
        </w:rPr>
        <w:t>in</w:t>
      </w:r>
      <w:r>
        <w:rPr>
          <w:spacing w:val="13"/>
          <w:sz w:val="21"/>
        </w:rPr>
        <w:t> </w:t>
      </w:r>
      <w:r>
        <w:rPr>
          <w:sz w:val="21"/>
        </w:rPr>
        <w:t>Sections</w:t>
      </w:r>
      <w:r>
        <w:rPr>
          <w:spacing w:val="13"/>
          <w:sz w:val="21"/>
        </w:rPr>
        <w:t> </w:t>
      </w:r>
      <w:r>
        <w:rPr>
          <w:sz w:val="21"/>
        </w:rPr>
        <w:t>8.1</w:t>
      </w:r>
      <w:r>
        <w:rPr>
          <w:spacing w:val="13"/>
          <w:sz w:val="21"/>
        </w:rPr>
        <w:t> </w:t>
      </w:r>
      <w:r>
        <w:rPr>
          <w:sz w:val="21"/>
        </w:rPr>
        <w:t>through</w:t>
      </w:r>
      <w:r>
        <w:rPr>
          <w:spacing w:val="13"/>
          <w:sz w:val="21"/>
        </w:rPr>
        <w:t> </w:t>
      </w:r>
      <w:r>
        <w:rPr>
          <w:sz w:val="21"/>
        </w:rPr>
        <w:t>8.7,</w:t>
      </w:r>
      <w:r>
        <w:rPr>
          <w:spacing w:val="13"/>
          <w:sz w:val="21"/>
        </w:rPr>
        <w:t> </w:t>
      </w:r>
      <w:r>
        <w:rPr>
          <w:sz w:val="21"/>
        </w:rPr>
        <w:t>the</w:t>
      </w:r>
      <w:r>
        <w:rPr>
          <w:spacing w:val="13"/>
          <w:sz w:val="21"/>
        </w:rPr>
        <w:t> </w:t>
      </w:r>
      <w:r>
        <w:rPr>
          <w:sz w:val="21"/>
        </w:rPr>
        <w:t>parties</w:t>
      </w:r>
      <w:r>
        <w:rPr>
          <w:spacing w:val="13"/>
          <w:sz w:val="21"/>
        </w:rPr>
        <w:t> </w:t>
      </w:r>
      <w:r>
        <w:rPr>
          <w:sz w:val="21"/>
        </w:rPr>
        <w:t>expressly</w:t>
      </w:r>
      <w:r>
        <w:rPr>
          <w:spacing w:val="13"/>
          <w:sz w:val="21"/>
        </w:rPr>
        <w:t> </w:t>
      </w:r>
      <w:r>
        <w:rPr>
          <w:sz w:val="21"/>
        </w:rPr>
        <w:t>agree</w:t>
      </w:r>
      <w:r>
        <w:rPr>
          <w:spacing w:val="13"/>
          <w:sz w:val="21"/>
        </w:rPr>
        <w:t> </w:t>
      </w:r>
      <w:r>
        <w:rPr>
          <w:sz w:val="21"/>
        </w:rPr>
        <w:t>and</w:t>
      </w:r>
      <w:r>
        <w:rPr>
          <w:spacing w:val="13"/>
          <w:sz w:val="21"/>
        </w:rPr>
        <w:t> </w:t>
      </w:r>
      <w:r>
        <w:rPr>
          <w:sz w:val="21"/>
        </w:rPr>
        <w:t>consent to</w:t>
      </w:r>
      <w:r>
        <w:rPr>
          <w:spacing w:val="24"/>
          <w:sz w:val="21"/>
        </w:rPr>
        <w:t> </w:t>
      </w:r>
      <w:r>
        <w:rPr>
          <w:sz w:val="21"/>
        </w:rPr>
        <w:t>venue</w:t>
      </w:r>
      <w:r>
        <w:rPr>
          <w:spacing w:val="24"/>
          <w:sz w:val="21"/>
        </w:rPr>
        <w:t> </w:t>
      </w:r>
      <w:r>
        <w:rPr>
          <w:sz w:val="21"/>
        </w:rPr>
        <w:t>and</w:t>
      </w:r>
      <w:r>
        <w:rPr>
          <w:spacing w:val="24"/>
          <w:sz w:val="21"/>
        </w:rPr>
        <w:t> </w:t>
      </w:r>
      <w:r>
        <w:rPr>
          <w:sz w:val="21"/>
        </w:rPr>
        <w:t>personal</w:t>
      </w:r>
      <w:r>
        <w:rPr>
          <w:spacing w:val="24"/>
          <w:sz w:val="21"/>
        </w:rPr>
        <w:t> </w:t>
      </w:r>
      <w:r>
        <w:rPr>
          <w:sz w:val="21"/>
        </w:rPr>
        <w:t>jurisdiction</w:t>
      </w:r>
      <w:r>
        <w:rPr>
          <w:spacing w:val="24"/>
          <w:sz w:val="21"/>
        </w:rPr>
        <w:t> </w:t>
      </w:r>
      <w:r>
        <w:rPr>
          <w:sz w:val="21"/>
        </w:rPr>
        <w:t>in</w:t>
      </w:r>
      <w:r>
        <w:rPr>
          <w:spacing w:val="24"/>
          <w:sz w:val="21"/>
        </w:rPr>
        <w:t> </w:t>
      </w:r>
      <w:r>
        <w:rPr>
          <w:sz w:val="21"/>
        </w:rPr>
        <w:t>the</w:t>
      </w:r>
      <w:r>
        <w:rPr>
          <w:spacing w:val="24"/>
          <w:sz w:val="21"/>
        </w:rPr>
        <w:t> </w:t>
      </w:r>
      <w:r>
        <w:rPr>
          <w:sz w:val="21"/>
        </w:rPr>
        <w:t>state</w:t>
      </w:r>
      <w:r>
        <w:rPr>
          <w:spacing w:val="24"/>
          <w:sz w:val="21"/>
        </w:rPr>
        <w:t> </w:t>
      </w:r>
      <w:r>
        <w:rPr>
          <w:sz w:val="21"/>
        </w:rPr>
        <w:t>or</w:t>
      </w:r>
      <w:r>
        <w:rPr>
          <w:spacing w:val="24"/>
          <w:sz w:val="21"/>
        </w:rPr>
        <w:t> </w:t>
      </w:r>
      <w:r>
        <w:rPr>
          <w:sz w:val="21"/>
        </w:rPr>
        <w:t>federal</w:t>
      </w:r>
      <w:r>
        <w:rPr>
          <w:spacing w:val="24"/>
          <w:sz w:val="21"/>
        </w:rPr>
        <w:t> </w:t>
      </w:r>
      <w:r>
        <w:rPr>
          <w:sz w:val="21"/>
        </w:rPr>
        <w:t>courts</w:t>
      </w:r>
      <w:r>
        <w:rPr>
          <w:spacing w:val="24"/>
          <w:sz w:val="21"/>
        </w:rPr>
        <w:t> </w:t>
      </w:r>
      <w:r>
        <w:rPr>
          <w:sz w:val="21"/>
        </w:rPr>
        <w:t>located</w:t>
      </w:r>
      <w:r>
        <w:rPr>
          <w:spacing w:val="24"/>
          <w:sz w:val="21"/>
        </w:rPr>
        <w:t> </w:t>
      </w:r>
      <w:r>
        <w:rPr>
          <w:sz w:val="21"/>
        </w:rPr>
        <w:t>in</w:t>
      </w:r>
      <w:r>
        <w:rPr>
          <w:spacing w:val="24"/>
          <w:sz w:val="21"/>
        </w:rPr>
        <w:t> </w:t>
      </w:r>
      <w:r>
        <w:rPr>
          <w:sz w:val="21"/>
        </w:rPr>
        <w:t>King</w:t>
      </w:r>
      <w:r>
        <w:rPr>
          <w:spacing w:val="24"/>
          <w:sz w:val="21"/>
        </w:rPr>
        <w:t> </w:t>
      </w:r>
      <w:r>
        <w:rPr>
          <w:sz w:val="21"/>
        </w:rPr>
        <w:t>County, Washington.</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70"/>
        <w:rPr>
          <w:sz w:val="21"/>
        </w:rPr>
      </w:pPr>
    </w:p>
    <w:p>
      <w:pPr>
        <w:spacing w:before="0"/>
        <w:ind w:left="24" w:right="0" w:firstLine="0"/>
        <w:jc w:val="center"/>
        <w:rPr>
          <w:sz w:val="21"/>
        </w:rPr>
      </w:pPr>
      <w:r>
        <w:rPr>
          <w:spacing w:val="-5"/>
          <w:sz w:val="21"/>
        </w:rPr>
        <w:t>16</w:t>
      </w:r>
    </w:p>
    <w:p>
      <w:pPr>
        <w:pStyle w:val="BodyText"/>
        <w:spacing w:before="6"/>
        <w:rPr>
          <w:sz w:val="4"/>
        </w:rPr>
      </w:pPr>
      <w:r>
        <w:rPr/>
        <mc:AlternateContent>
          <mc:Choice Requires="wps">
            <w:drawing>
              <wp:anchor distT="0" distB="0" distL="0" distR="0" allowOverlap="1" layoutInCell="1" locked="0" behindDoc="1" simplePos="0" relativeHeight="487811584">
                <wp:simplePos x="0" y="0"/>
                <wp:positionH relativeFrom="page">
                  <wp:posOffset>231457</wp:posOffset>
                </wp:positionH>
                <wp:positionV relativeFrom="paragraph">
                  <wp:posOffset>48257</wp:posOffset>
                </wp:positionV>
                <wp:extent cx="7312659" cy="17145"/>
                <wp:effectExtent l="0" t="0" r="0" b="0"/>
                <wp:wrapTopAndBottom/>
                <wp:docPr id="1108" name="Group 1108"/>
                <wp:cNvGraphicFramePr>
                  <a:graphicFrameLocks/>
                </wp:cNvGraphicFramePr>
                <a:graphic>
                  <a:graphicData uri="http://schemas.microsoft.com/office/word/2010/wordprocessingGroup">
                    <wpg:wgp>
                      <wpg:cNvPr id="1108" name="Group 1108"/>
                      <wpg:cNvGrpSpPr/>
                      <wpg:grpSpPr>
                        <a:xfrm>
                          <a:off x="0" y="0"/>
                          <a:ext cx="7312659" cy="17145"/>
                          <a:chExt cx="7312659" cy="17145"/>
                        </a:xfrm>
                      </wpg:grpSpPr>
                      <wps:wsp>
                        <wps:cNvPr id="1109" name="Graphic 110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10" name="Graphic 1110"/>
                        <wps:cNvSpPr/>
                        <wps:spPr>
                          <a:xfrm>
                            <a:off x="-12" y="-2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11" name="Graphic 11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04896;mso-wrap-distance-left:0;mso-wrap-distance-right:0" id="docshapegroup1106" coordorigin="364,76" coordsize="11516,27">
                <v:rect style="position:absolute;left:364;top:76;width:11516;height:14" id="docshape1107" filled="true" fillcolor="#999999" stroked="false">
                  <v:fill type="solid"/>
                </v:rect>
                <v:shape style="position:absolute;left:364;top:75;width:11516;height:27" id="docshape1108" coordorigin="364,76" coordsize="11516,27" path="m11880,76l11866,89,364,89,364,103,11866,103,11880,103,11880,89,11880,76xe" filled="true" fillcolor="#ededed" stroked="false">
                  <v:path arrowok="t"/>
                  <v:fill type="solid"/>
                </v:shape>
                <v:shape style="position:absolute;left:364;top:76;width:14;height:27" id="docshape1109" coordorigin="364,76" coordsize="14,27" path="m364,103l364,76,378,76,378,89,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pStyle w:val="ListParagraph"/>
        <w:numPr>
          <w:ilvl w:val="0"/>
          <w:numId w:val="55"/>
        </w:numPr>
        <w:tabs>
          <w:tab w:pos="503" w:val="left" w:leader="none"/>
        </w:tabs>
        <w:spacing w:line="213" w:lineRule="auto" w:before="138" w:after="0"/>
        <w:ind w:left="144" w:right="222" w:firstLine="0"/>
        <w:jc w:val="both"/>
        <w:rPr>
          <w:sz w:val="21"/>
        </w:rPr>
      </w:pPr>
      <w:r>
        <w:rPr>
          <w:sz w:val="21"/>
          <w:u w:val="single"/>
        </w:rPr>
        <w:t>Number and Gender</w:t>
      </w:r>
      <w:r>
        <w:rPr>
          <w:sz w:val="21"/>
        </w:rPr>
        <w:t>. Where the context of this Agreement requires the singular shall mean the plural and vice versa and</w:t>
      </w:r>
      <w:r>
        <w:rPr>
          <w:spacing w:val="80"/>
          <w:sz w:val="21"/>
        </w:rPr>
        <w:t> </w:t>
      </w:r>
      <w:r>
        <w:rPr>
          <w:sz w:val="21"/>
        </w:rPr>
        <w:t>references to males shall apply equally to females and vice versa.</w:t>
      </w:r>
    </w:p>
    <w:p>
      <w:pPr>
        <w:pStyle w:val="ListParagraph"/>
        <w:numPr>
          <w:ilvl w:val="0"/>
          <w:numId w:val="55"/>
        </w:numPr>
        <w:tabs>
          <w:tab w:pos="477" w:val="left" w:leader="none"/>
        </w:tabs>
        <w:spacing w:line="213" w:lineRule="auto" w:before="218" w:after="0"/>
        <w:ind w:left="144" w:right="221" w:firstLine="0"/>
        <w:jc w:val="both"/>
        <w:rPr>
          <w:sz w:val="21"/>
        </w:rPr>
      </w:pPr>
      <w:r>
        <w:rPr/>
        <mc:AlternateContent>
          <mc:Choice Requires="wps">
            <w:drawing>
              <wp:anchor distT="0" distB="0" distL="0" distR="0" allowOverlap="1" layoutInCell="1" locked="0" behindDoc="0" simplePos="0" relativeHeight="15953408">
                <wp:simplePos x="0" y="0"/>
                <wp:positionH relativeFrom="page">
                  <wp:posOffset>918851</wp:posOffset>
                </wp:positionH>
                <wp:positionV relativeFrom="paragraph">
                  <wp:posOffset>258323</wp:posOffset>
                </wp:positionV>
                <wp:extent cx="43180" cy="8890"/>
                <wp:effectExtent l="0" t="0" r="0" b="0"/>
                <wp:wrapNone/>
                <wp:docPr id="1112" name="Graphic 1112"/>
                <wp:cNvGraphicFramePr>
                  <a:graphicFrameLocks/>
                </wp:cNvGraphicFramePr>
                <a:graphic>
                  <a:graphicData uri="http://schemas.microsoft.com/office/word/2010/wordprocessingShape">
                    <wps:wsp>
                      <wps:cNvPr id="1112" name="Graphic 1112"/>
                      <wps:cNvSpPr/>
                      <wps:spPr>
                        <a:xfrm>
                          <a:off x="0" y="0"/>
                          <a:ext cx="43180" cy="8890"/>
                        </a:xfrm>
                        <a:custGeom>
                          <a:avLst/>
                          <a:gdLst/>
                          <a:ahLst/>
                          <a:cxnLst/>
                          <a:rect l="l" t="t" r="r" b="b"/>
                          <a:pathLst>
                            <a:path w="43180" h="8890">
                              <a:moveTo>
                                <a:pt x="43009" y="8572"/>
                              </a:moveTo>
                              <a:lnTo>
                                <a:pt x="0" y="8572"/>
                              </a:lnTo>
                              <a:lnTo>
                                <a:pt x="0" y="0"/>
                              </a:lnTo>
                              <a:lnTo>
                                <a:pt x="43009" y="0"/>
                              </a:lnTo>
                              <a:lnTo>
                                <a:pt x="4300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350502pt;margin-top:20.340443pt;width:3.386596pt;height:.675pt;mso-position-horizontal-relative:page;mso-position-vertical-relative:paragraph;z-index:15953408" id="docshape1110" filled="true" fillcolor="#000000" stroked="false">
                <v:fill type="solid"/>
                <w10:wrap type="none"/>
              </v:rect>
            </w:pict>
          </mc:Fallback>
        </mc:AlternateContent>
      </w:r>
      <w:r>
        <w:rPr>
          <w:sz w:val="21"/>
          <w:u w:val="single"/>
        </w:rPr>
        <w:t>Headin</w:t>
      </w:r>
      <w:r>
        <w:rPr>
          <w:sz w:val="21"/>
        </w:rPr>
        <w:t>gs.</w:t>
      </w:r>
      <w:r>
        <w:rPr>
          <w:spacing w:val="20"/>
          <w:sz w:val="21"/>
        </w:rPr>
        <w:t> </w:t>
      </w:r>
      <w:r>
        <w:rPr>
          <w:sz w:val="21"/>
        </w:rPr>
        <w:t>The</w:t>
      </w:r>
      <w:r>
        <w:rPr>
          <w:spacing w:val="25"/>
          <w:sz w:val="21"/>
        </w:rPr>
        <w:t> </w:t>
      </w:r>
      <w:r>
        <w:rPr>
          <w:sz w:val="21"/>
        </w:rPr>
        <w:t>headings</w:t>
      </w:r>
      <w:r>
        <w:rPr>
          <w:spacing w:val="25"/>
          <w:sz w:val="21"/>
        </w:rPr>
        <w:t> </w:t>
      </w:r>
      <w:r>
        <w:rPr>
          <w:sz w:val="21"/>
        </w:rPr>
        <w:t>in</w:t>
      </w:r>
      <w:r>
        <w:rPr>
          <w:spacing w:val="25"/>
          <w:sz w:val="21"/>
        </w:rPr>
        <w:t> </w:t>
      </w:r>
      <w:r>
        <w:rPr>
          <w:sz w:val="21"/>
        </w:rPr>
        <w:t>this</w:t>
      </w:r>
      <w:r>
        <w:rPr>
          <w:spacing w:val="10"/>
          <w:sz w:val="21"/>
        </w:rPr>
        <w:t> </w:t>
      </w:r>
      <w:r>
        <w:rPr>
          <w:sz w:val="21"/>
        </w:rPr>
        <w:t>Agreement</w:t>
      </w:r>
      <w:r>
        <w:rPr>
          <w:spacing w:val="25"/>
          <w:sz w:val="21"/>
        </w:rPr>
        <w:t> </w:t>
      </w:r>
      <w:r>
        <w:rPr>
          <w:sz w:val="21"/>
        </w:rPr>
        <w:t>have</w:t>
      </w:r>
      <w:r>
        <w:rPr>
          <w:spacing w:val="25"/>
          <w:sz w:val="21"/>
        </w:rPr>
        <w:t> </w:t>
      </w:r>
      <w:r>
        <w:rPr>
          <w:sz w:val="21"/>
        </w:rPr>
        <w:t>been</w:t>
      </w:r>
      <w:r>
        <w:rPr>
          <w:spacing w:val="25"/>
          <w:sz w:val="21"/>
        </w:rPr>
        <w:t> </w:t>
      </w:r>
      <w:r>
        <w:rPr>
          <w:sz w:val="21"/>
        </w:rPr>
        <w:t>included</w:t>
      </w:r>
      <w:r>
        <w:rPr>
          <w:spacing w:val="25"/>
          <w:sz w:val="21"/>
        </w:rPr>
        <w:t> </w:t>
      </w:r>
      <w:r>
        <w:rPr>
          <w:sz w:val="21"/>
        </w:rPr>
        <w:t>solely</w:t>
      </w:r>
      <w:r>
        <w:rPr>
          <w:spacing w:val="25"/>
          <w:sz w:val="21"/>
        </w:rPr>
        <w:t> </w:t>
      </w:r>
      <w:r>
        <w:rPr>
          <w:sz w:val="21"/>
        </w:rPr>
        <w:t>for</w:t>
      </w:r>
      <w:r>
        <w:rPr>
          <w:spacing w:val="25"/>
          <w:sz w:val="21"/>
        </w:rPr>
        <w:t> </w:t>
      </w:r>
      <w:r>
        <w:rPr>
          <w:sz w:val="21"/>
        </w:rPr>
        <w:t>convenience</w:t>
      </w:r>
      <w:r>
        <w:rPr>
          <w:spacing w:val="25"/>
          <w:sz w:val="21"/>
        </w:rPr>
        <w:t> </w:t>
      </w:r>
      <w:r>
        <w:rPr>
          <w:sz w:val="21"/>
        </w:rPr>
        <w:t>of</w:t>
      </w:r>
      <w:r>
        <w:rPr>
          <w:spacing w:val="25"/>
          <w:sz w:val="21"/>
        </w:rPr>
        <w:t> </w:t>
      </w:r>
      <w:r>
        <w:rPr>
          <w:sz w:val="21"/>
        </w:rPr>
        <w:t>reference</w:t>
      </w:r>
      <w:r>
        <w:rPr>
          <w:spacing w:val="25"/>
          <w:sz w:val="21"/>
        </w:rPr>
        <w:t> </w:t>
      </w:r>
      <w:r>
        <w:rPr>
          <w:sz w:val="21"/>
        </w:rPr>
        <w:t>and</w:t>
      </w:r>
      <w:r>
        <w:rPr>
          <w:spacing w:val="25"/>
          <w:sz w:val="21"/>
        </w:rPr>
        <w:t> </w:t>
      </w:r>
      <w:r>
        <w:rPr>
          <w:sz w:val="21"/>
        </w:rPr>
        <w:t>shall</w:t>
      </w:r>
      <w:r>
        <w:rPr>
          <w:spacing w:val="25"/>
          <w:sz w:val="21"/>
        </w:rPr>
        <w:t> </w:t>
      </w:r>
      <w:r>
        <w:rPr>
          <w:sz w:val="21"/>
        </w:rPr>
        <w:t>not</w:t>
      </w:r>
      <w:r>
        <w:rPr>
          <w:spacing w:val="25"/>
          <w:sz w:val="21"/>
        </w:rPr>
        <w:t> </w:t>
      </w:r>
      <w:r>
        <w:rPr>
          <w:sz w:val="21"/>
        </w:rPr>
        <w:t>be</w:t>
      </w:r>
      <w:r>
        <w:rPr>
          <w:spacing w:val="25"/>
          <w:sz w:val="21"/>
        </w:rPr>
        <w:t> </w:t>
      </w:r>
      <w:r>
        <w:rPr>
          <w:sz w:val="21"/>
        </w:rPr>
        <w:t>considered in the interpretation or construction of this Agreement.</w:t>
      </w:r>
    </w:p>
    <w:p>
      <w:pPr>
        <w:pStyle w:val="ListParagraph"/>
        <w:numPr>
          <w:ilvl w:val="0"/>
          <w:numId w:val="55"/>
        </w:numPr>
        <w:tabs>
          <w:tab w:pos="466" w:val="left" w:leader="none"/>
        </w:tabs>
        <w:spacing w:line="213" w:lineRule="auto" w:before="219" w:after="0"/>
        <w:ind w:left="144" w:right="223" w:firstLine="0"/>
        <w:jc w:val="both"/>
        <w:rPr>
          <w:sz w:val="21"/>
        </w:rPr>
      </w:pPr>
      <w:r>
        <w:rPr>
          <w:sz w:val="21"/>
          <w:u w:val="single"/>
        </w:rPr>
        <w:t>Assignment. </w:t>
      </w:r>
      <w:r>
        <w:rPr>
          <w:sz w:val="21"/>
        </w:rPr>
        <w:t>This Agreement</w:t>
      </w:r>
      <w:r>
        <w:rPr>
          <w:spacing w:val="26"/>
          <w:sz w:val="21"/>
        </w:rPr>
        <w:t> </w:t>
      </w:r>
      <w:r>
        <w:rPr>
          <w:sz w:val="21"/>
        </w:rPr>
        <w:t>is</w:t>
      </w:r>
      <w:r>
        <w:rPr>
          <w:spacing w:val="26"/>
          <w:sz w:val="21"/>
        </w:rPr>
        <w:t> </w:t>
      </w:r>
      <w:r>
        <w:rPr>
          <w:sz w:val="21"/>
        </w:rPr>
        <w:t>personal</w:t>
      </w:r>
      <w:r>
        <w:rPr>
          <w:spacing w:val="26"/>
          <w:sz w:val="21"/>
        </w:rPr>
        <w:t> </w:t>
      </w:r>
      <w:r>
        <w:rPr>
          <w:sz w:val="21"/>
        </w:rPr>
        <w:t>to</w:t>
      </w:r>
      <w:r>
        <w:rPr>
          <w:spacing w:val="26"/>
          <w:sz w:val="21"/>
        </w:rPr>
        <w:t> </w:t>
      </w:r>
      <w:r>
        <w:rPr>
          <w:sz w:val="21"/>
        </w:rPr>
        <w:t>Employee</w:t>
      </w:r>
      <w:r>
        <w:rPr>
          <w:spacing w:val="26"/>
          <w:sz w:val="21"/>
        </w:rPr>
        <w:t> </w:t>
      </w:r>
      <w:r>
        <w:rPr>
          <w:sz w:val="21"/>
        </w:rPr>
        <w:t>and</w:t>
      </w:r>
      <w:r>
        <w:rPr>
          <w:spacing w:val="26"/>
          <w:sz w:val="21"/>
        </w:rPr>
        <w:t> </w:t>
      </w:r>
      <w:r>
        <w:rPr>
          <w:sz w:val="21"/>
        </w:rPr>
        <w:t>may</w:t>
      </w:r>
      <w:r>
        <w:rPr>
          <w:spacing w:val="26"/>
          <w:sz w:val="21"/>
        </w:rPr>
        <w:t> </w:t>
      </w:r>
      <w:r>
        <w:rPr>
          <w:sz w:val="21"/>
        </w:rPr>
        <w:t>not</w:t>
      </w:r>
      <w:r>
        <w:rPr>
          <w:spacing w:val="26"/>
          <w:sz w:val="21"/>
        </w:rPr>
        <w:t> </w:t>
      </w:r>
      <w:r>
        <w:rPr>
          <w:sz w:val="21"/>
        </w:rPr>
        <w:t>be</w:t>
      </w:r>
      <w:r>
        <w:rPr>
          <w:spacing w:val="26"/>
          <w:sz w:val="21"/>
        </w:rPr>
        <w:t> </w:t>
      </w:r>
      <w:r>
        <w:rPr>
          <w:sz w:val="21"/>
        </w:rPr>
        <w:t>assigned</w:t>
      </w:r>
      <w:r>
        <w:rPr>
          <w:spacing w:val="26"/>
          <w:sz w:val="21"/>
        </w:rPr>
        <w:t> </w:t>
      </w:r>
      <w:r>
        <w:rPr>
          <w:sz w:val="21"/>
        </w:rPr>
        <w:t>by</w:t>
      </w:r>
      <w:r>
        <w:rPr>
          <w:spacing w:val="26"/>
          <w:sz w:val="21"/>
        </w:rPr>
        <w:t> </w:t>
      </w:r>
      <w:r>
        <w:rPr>
          <w:sz w:val="21"/>
        </w:rPr>
        <w:t>Employee.</w:t>
      </w:r>
      <w:r>
        <w:rPr>
          <w:spacing w:val="26"/>
          <w:sz w:val="21"/>
        </w:rPr>
        <w:t> </w:t>
      </w:r>
      <w:r>
        <w:rPr>
          <w:sz w:val="21"/>
        </w:rPr>
        <w:t>Employee</w:t>
      </w:r>
      <w:r>
        <w:rPr>
          <w:spacing w:val="26"/>
          <w:sz w:val="21"/>
        </w:rPr>
        <w:t> </w:t>
      </w:r>
      <w:r>
        <w:rPr>
          <w:sz w:val="21"/>
        </w:rPr>
        <w:t>agrees</w:t>
      </w:r>
      <w:r>
        <w:rPr>
          <w:spacing w:val="26"/>
          <w:sz w:val="21"/>
        </w:rPr>
        <w:t> </w:t>
      </w:r>
      <w:r>
        <w:rPr>
          <w:sz w:val="21"/>
        </w:rPr>
        <w:t>that</w:t>
      </w:r>
      <w:r>
        <w:rPr>
          <w:spacing w:val="26"/>
          <w:sz w:val="21"/>
        </w:rPr>
        <w:t> </w:t>
      </w:r>
      <w:r>
        <w:rPr>
          <w:sz w:val="21"/>
        </w:rPr>
        <w:t>Employer may assign this Agreement. Without limitation of the foregoing, Employee expressly understands and agrees that Employer’s successors, affiliates and assigns may, to the extent that each have also assumed all obligations of Employer under this Agreement, enforce the provisions of Sections 4 and 8 above, and that the consideration recited above for such assignability is sufficient and valuable</w:t>
      </w:r>
      <w:r>
        <w:rPr>
          <w:spacing w:val="15"/>
          <w:sz w:val="21"/>
        </w:rPr>
        <w:t> </w:t>
      </w:r>
      <w:r>
        <w:rPr>
          <w:sz w:val="21"/>
        </w:rPr>
        <w:t>consideration</w:t>
      </w:r>
      <w:r>
        <w:rPr>
          <w:spacing w:val="15"/>
          <w:sz w:val="21"/>
        </w:rPr>
        <w:t> </w:t>
      </w:r>
      <w:r>
        <w:rPr>
          <w:sz w:val="21"/>
        </w:rPr>
        <w:t>for</w:t>
      </w:r>
      <w:r>
        <w:rPr>
          <w:spacing w:val="15"/>
          <w:sz w:val="21"/>
        </w:rPr>
        <w:t> </w:t>
      </w:r>
      <w:r>
        <w:rPr>
          <w:sz w:val="21"/>
        </w:rPr>
        <w:t>Employee’s</w:t>
      </w:r>
      <w:r>
        <w:rPr>
          <w:spacing w:val="15"/>
          <w:sz w:val="21"/>
        </w:rPr>
        <w:t> </w:t>
      </w:r>
      <w:r>
        <w:rPr>
          <w:sz w:val="21"/>
        </w:rPr>
        <w:t>consent</w:t>
      </w:r>
      <w:r>
        <w:rPr>
          <w:spacing w:val="15"/>
          <w:sz w:val="21"/>
        </w:rPr>
        <w:t> </w:t>
      </w:r>
      <w:r>
        <w:rPr>
          <w:sz w:val="21"/>
        </w:rPr>
        <w:t>to</w:t>
      </w:r>
      <w:r>
        <w:rPr>
          <w:spacing w:val="15"/>
          <w:sz w:val="21"/>
        </w:rPr>
        <w:t> </w:t>
      </w:r>
      <w:r>
        <w:rPr>
          <w:sz w:val="21"/>
        </w:rPr>
        <w:t>the</w:t>
      </w:r>
      <w:r>
        <w:rPr>
          <w:spacing w:val="15"/>
          <w:sz w:val="21"/>
        </w:rPr>
        <w:t> </w:t>
      </w:r>
      <w:r>
        <w:rPr>
          <w:sz w:val="21"/>
        </w:rPr>
        <w:t>right</w:t>
      </w:r>
      <w:r>
        <w:rPr>
          <w:spacing w:val="15"/>
          <w:sz w:val="21"/>
        </w:rPr>
        <w:t> </w:t>
      </w:r>
      <w:r>
        <w:rPr>
          <w:sz w:val="21"/>
        </w:rPr>
        <w:t>of</w:t>
      </w:r>
      <w:r>
        <w:rPr>
          <w:spacing w:val="15"/>
          <w:sz w:val="21"/>
        </w:rPr>
        <w:t> </w:t>
      </w:r>
      <w:r>
        <w:rPr>
          <w:sz w:val="21"/>
        </w:rPr>
        <w:t>Employer’s</w:t>
      </w:r>
      <w:r>
        <w:rPr>
          <w:spacing w:val="15"/>
          <w:sz w:val="21"/>
        </w:rPr>
        <w:t> </w:t>
      </w:r>
      <w:r>
        <w:rPr>
          <w:sz w:val="21"/>
        </w:rPr>
        <w:t>successors,</w:t>
      </w:r>
      <w:r>
        <w:rPr>
          <w:spacing w:val="15"/>
          <w:sz w:val="21"/>
        </w:rPr>
        <w:t> </w:t>
      </w:r>
      <w:r>
        <w:rPr>
          <w:sz w:val="21"/>
        </w:rPr>
        <w:t>affiliates</w:t>
      </w:r>
      <w:r>
        <w:rPr>
          <w:spacing w:val="15"/>
          <w:sz w:val="21"/>
        </w:rPr>
        <w:t> </w:t>
      </w:r>
      <w:r>
        <w:rPr>
          <w:sz w:val="21"/>
        </w:rPr>
        <w:t>and</w:t>
      </w:r>
      <w:r>
        <w:rPr>
          <w:spacing w:val="15"/>
          <w:sz w:val="21"/>
        </w:rPr>
        <w:t> </w:t>
      </w:r>
      <w:r>
        <w:rPr>
          <w:sz w:val="21"/>
        </w:rPr>
        <w:t>assigns</w:t>
      </w:r>
      <w:r>
        <w:rPr>
          <w:spacing w:val="15"/>
          <w:sz w:val="21"/>
        </w:rPr>
        <w:t> </w:t>
      </w:r>
      <w:r>
        <w:rPr>
          <w:sz w:val="21"/>
        </w:rPr>
        <w:t>to</w:t>
      </w:r>
      <w:r>
        <w:rPr>
          <w:spacing w:val="15"/>
          <w:sz w:val="21"/>
        </w:rPr>
        <w:t> </w:t>
      </w:r>
      <w:r>
        <w:rPr>
          <w:sz w:val="21"/>
        </w:rPr>
        <w:t>enforce</w:t>
      </w:r>
      <w:r>
        <w:rPr>
          <w:spacing w:val="15"/>
          <w:sz w:val="21"/>
        </w:rPr>
        <w:t> </w:t>
      </w:r>
      <w:r>
        <w:rPr>
          <w:sz w:val="21"/>
        </w:rPr>
        <w:t>the</w:t>
      </w:r>
      <w:r>
        <w:rPr>
          <w:spacing w:val="15"/>
          <w:sz w:val="21"/>
        </w:rPr>
        <w:t> </w:t>
      </w:r>
      <w:r>
        <w:rPr>
          <w:sz w:val="21"/>
        </w:rPr>
        <w:t>provisions of Sections 4 and 8.</w:t>
      </w:r>
    </w:p>
    <w:p>
      <w:pPr>
        <w:pStyle w:val="ListParagraph"/>
        <w:numPr>
          <w:ilvl w:val="0"/>
          <w:numId w:val="55"/>
        </w:numPr>
        <w:tabs>
          <w:tab w:pos="482" w:val="left" w:leader="none"/>
        </w:tabs>
        <w:spacing w:line="213" w:lineRule="auto" w:before="222" w:after="0"/>
        <w:ind w:left="144" w:right="223" w:firstLine="0"/>
        <w:jc w:val="both"/>
        <w:rPr>
          <w:sz w:val="21"/>
        </w:rPr>
      </w:pPr>
      <w:r>
        <w:rPr>
          <w:sz w:val="21"/>
          <w:u w:val="single"/>
        </w:rPr>
        <w:t>Successors</w:t>
      </w:r>
      <w:r>
        <w:rPr>
          <w:spacing w:val="29"/>
          <w:sz w:val="21"/>
          <w:u w:val="single"/>
        </w:rPr>
        <w:t> </w:t>
      </w:r>
      <w:r>
        <w:rPr>
          <w:sz w:val="21"/>
          <w:u w:val="single"/>
        </w:rPr>
        <w:t>and Assigns.</w:t>
      </w:r>
      <w:r>
        <w:rPr>
          <w:spacing w:val="24"/>
          <w:sz w:val="21"/>
        </w:rPr>
        <w:t> </w:t>
      </w:r>
      <w:r>
        <w:rPr>
          <w:sz w:val="21"/>
        </w:rPr>
        <w:t>This Agreement</w:t>
      </w:r>
      <w:r>
        <w:rPr>
          <w:spacing w:val="29"/>
          <w:sz w:val="21"/>
        </w:rPr>
        <w:t> </w:t>
      </w:r>
      <w:r>
        <w:rPr>
          <w:sz w:val="21"/>
        </w:rPr>
        <w:t>shall</w:t>
      </w:r>
      <w:r>
        <w:rPr>
          <w:spacing w:val="29"/>
          <w:sz w:val="21"/>
        </w:rPr>
        <w:t> </w:t>
      </w:r>
      <w:r>
        <w:rPr>
          <w:sz w:val="21"/>
        </w:rPr>
        <w:t>be</w:t>
      </w:r>
      <w:r>
        <w:rPr>
          <w:spacing w:val="29"/>
          <w:sz w:val="21"/>
        </w:rPr>
        <w:t> </w:t>
      </w:r>
      <w:r>
        <w:rPr>
          <w:sz w:val="21"/>
        </w:rPr>
        <w:t>binding</w:t>
      </w:r>
      <w:r>
        <w:rPr>
          <w:spacing w:val="29"/>
          <w:sz w:val="21"/>
        </w:rPr>
        <w:t> </w:t>
      </w:r>
      <w:r>
        <w:rPr>
          <w:sz w:val="21"/>
        </w:rPr>
        <w:t>upon</w:t>
      </w:r>
      <w:r>
        <w:rPr>
          <w:spacing w:val="29"/>
          <w:sz w:val="21"/>
        </w:rPr>
        <w:t> </w:t>
      </w:r>
      <w:r>
        <w:rPr>
          <w:sz w:val="21"/>
        </w:rPr>
        <w:t>and</w:t>
      </w:r>
      <w:r>
        <w:rPr>
          <w:spacing w:val="29"/>
          <w:sz w:val="21"/>
        </w:rPr>
        <w:t> </w:t>
      </w:r>
      <w:r>
        <w:rPr>
          <w:sz w:val="21"/>
        </w:rPr>
        <w:t>inure</w:t>
      </w:r>
      <w:r>
        <w:rPr>
          <w:spacing w:val="29"/>
          <w:sz w:val="21"/>
        </w:rPr>
        <w:t> </w:t>
      </w:r>
      <w:r>
        <w:rPr>
          <w:sz w:val="21"/>
        </w:rPr>
        <w:t>to</w:t>
      </w:r>
      <w:r>
        <w:rPr>
          <w:spacing w:val="29"/>
          <w:sz w:val="21"/>
        </w:rPr>
        <w:t> </w:t>
      </w:r>
      <w:r>
        <w:rPr>
          <w:sz w:val="21"/>
        </w:rPr>
        <w:t>the</w:t>
      </w:r>
      <w:r>
        <w:rPr>
          <w:spacing w:val="29"/>
          <w:sz w:val="21"/>
        </w:rPr>
        <w:t> </w:t>
      </w:r>
      <w:r>
        <w:rPr>
          <w:sz w:val="21"/>
        </w:rPr>
        <w:t>benefit</w:t>
      </w:r>
      <w:r>
        <w:rPr>
          <w:spacing w:val="29"/>
          <w:sz w:val="21"/>
        </w:rPr>
        <w:t> </w:t>
      </w:r>
      <w:r>
        <w:rPr>
          <w:sz w:val="21"/>
        </w:rPr>
        <w:t>of</w:t>
      </w:r>
      <w:r>
        <w:rPr>
          <w:spacing w:val="29"/>
          <w:sz w:val="21"/>
        </w:rPr>
        <w:t> </w:t>
      </w:r>
      <w:r>
        <w:rPr>
          <w:sz w:val="21"/>
        </w:rPr>
        <w:t>Employer’s</w:t>
      </w:r>
      <w:r>
        <w:rPr>
          <w:spacing w:val="29"/>
          <w:sz w:val="21"/>
        </w:rPr>
        <w:t> </w:t>
      </w:r>
      <w:r>
        <w:rPr>
          <w:sz w:val="21"/>
        </w:rPr>
        <w:t>successors</w:t>
      </w:r>
      <w:r>
        <w:rPr>
          <w:spacing w:val="29"/>
          <w:sz w:val="21"/>
        </w:rPr>
        <w:t> </w:t>
      </w:r>
      <w:r>
        <w:rPr>
          <w:sz w:val="21"/>
        </w:rPr>
        <w:t>and</w:t>
      </w:r>
      <w:r>
        <w:rPr>
          <w:spacing w:val="29"/>
          <w:sz w:val="21"/>
        </w:rPr>
        <w:t> </w:t>
      </w:r>
      <w:r>
        <w:rPr>
          <w:sz w:val="21"/>
        </w:rPr>
        <w:t>assigns and Employee’s heirs and legal successors.</w:t>
      </w:r>
    </w:p>
    <w:p>
      <w:pPr>
        <w:pStyle w:val="ListParagraph"/>
        <w:numPr>
          <w:ilvl w:val="0"/>
          <w:numId w:val="55"/>
        </w:numPr>
        <w:tabs>
          <w:tab w:pos="490" w:val="left" w:leader="none"/>
        </w:tabs>
        <w:spacing w:line="213" w:lineRule="auto" w:before="218" w:after="0"/>
        <w:ind w:left="144" w:right="224" w:firstLine="0"/>
        <w:jc w:val="both"/>
        <w:rPr>
          <w:sz w:val="21"/>
        </w:rPr>
      </w:pPr>
      <w:r>
        <w:rPr>
          <w:sz w:val="21"/>
          <w:u w:val="single"/>
        </w:rPr>
        <w:t>Prior Agreements.</w:t>
      </w:r>
      <w:r>
        <w:rPr>
          <w:spacing w:val="34"/>
          <w:sz w:val="21"/>
        </w:rPr>
        <w:t> </w:t>
      </w:r>
      <w:r>
        <w:rPr>
          <w:sz w:val="21"/>
        </w:rPr>
        <w:t>This Agreement</w:t>
      </w:r>
      <w:r>
        <w:rPr>
          <w:spacing w:val="39"/>
          <w:sz w:val="21"/>
        </w:rPr>
        <w:t> </w:t>
      </w:r>
      <w:r>
        <w:rPr>
          <w:sz w:val="21"/>
        </w:rPr>
        <w:t>constitutes</w:t>
      </w:r>
      <w:r>
        <w:rPr>
          <w:spacing w:val="39"/>
          <w:sz w:val="21"/>
        </w:rPr>
        <w:t> </w:t>
      </w:r>
      <w:r>
        <w:rPr>
          <w:sz w:val="21"/>
        </w:rPr>
        <w:t>the</w:t>
      </w:r>
      <w:r>
        <w:rPr>
          <w:spacing w:val="39"/>
          <w:sz w:val="21"/>
        </w:rPr>
        <w:t> </w:t>
      </w:r>
      <w:r>
        <w:rPr>
          <w:sz w:val="21"/>
        </w:rPr>
        <w:t>entire</w:t>
      </w:r>
      <w:r>
        <w:rPr>
          <w:spacing w:val="39"/>
          <w:sz w:val="21"/>
        </w:rPr>
        <w:t> </w:t>
      </w:r>
      <w:r>
        <w:rPr>
          <w:sz w:val="21"/>
        </w:rPr>
        <w:t>agreement</w:t>
      </w:r>
      <w:r>
        <w:rPr>
          <w:spacing w:val="39"/>
          <w:sz w:val="21"/>
        </w:rPr>
        <w:t> </w:t>
      </w:r>
      <w:r>
        <w:rPr>
          <w:sz w:val="21"/>
        </w:rPr>
        <w:t>between</w:t>
      </w:r>
      <w:r>
        <w:rPr>
          <w:spacing w:val="39"/>
          <w:sz w:val="21"/>
        </w:rPr>
        <w:t> </w:t>
      </w:r>
      <w:r>
        <w:rPr>
          <w:sz w:val="21"/>
        </w:rPr>
        <w:t>the</w:t>
      </w:r>
      <w:r>
        <w:rPr>
          <w:spacing w:val="39"/>
          <w:sz w:val="21"/>
        </w:rPr>
        <w:t> </w:t>
      </w:r>
      <w:r>
        <w:rPr>
          <w:sz w:val="21"/>
        </w:rPr>
        <w:t>parties</w:t>
      </w:r>
      <w:r>
        <w:rPr>
          <w:spacing w:val="39"/>
          <w:sz w:val="21"/>
        </w:rPr>
        <w:t> </w:t>
      </w:r>
      <w:r>
        <w:rPr>
          <w:sz w:val="21"/>
        </w:rPr>
        <w:t>on</w:t>
      </w:r>
      <w:r>
        <w:rPr>
          <w:spacing w:val="39"/>
          <w:sz w:val="21"/>
        </w:rPr>
        <w:t> </w:t>
      </w:r>
      <w:r>
        <w:rPr>
          <w:sz w:val="21"/>
        </w:rPr>
        <w:t>the</w:t>
      </w:r>
      <w:r>
        <w:rPr>
          <w:spacing w:val="39"/>
          <w:sz w:val="21"/>
        </w:rPr>
        <w:t> </w:t>
      </w:r>
      <w:r>
        <w:rPr>
          <w:sz w:val="21"/>
        </w:rPr>
        <w:t>subjects</w:t>
      </w:r>
      <w:r>
        <w:rPr>
          <w:spacing w:val="39"/>
          <w:sz w:val="21"/>
        </w:rPr>
        <w:t> </w:t>
      </w:r>
      <w:r>
        <w:rPr>
          <w:sz w:val="21"/>
        </w:rPr>
        <w:t>described</w:t>
      </w:r>
      <w:r>
        <w:rPr>
          <w:spacing w:val="39"/>
          <w:sz w:val="21"/>
        </w:rPr>
        <w:t> </w:t>
      </w:r>
      <w:r>
        <w:rPr>
          <w:sz w:val="21"/>
        </w:rPr>
        <w:t>herein</w:t>
      </w:r>
      <w:r>
        <w:rPr>
          <w:spacing w:val="39"/>
          <w:sz w:val="21"/>
        </w:rPr>
        <w:t> </w:t>
      </w:r>
      <w:r>
        <w:rPr>
          <w:sz w:val="21"/>
        </w:rPr>
        <w:t>and shall</w:t>
      </w:r>
      <w:r>
        <w:rPr>
          <w:spacing w:val="21"/>
          <w:sz w:val="21"/>
        </w:rPr>
        <w:t> </w:t>
      </w:r>
      <w:r>
        <w:rPr>
          <w:sz w:val="21"/>
        </w:rPr>
        <w:t>supersede</w:t>
      </w:r>
      <w:r>
        <w:rPr>
          <w:spacing w:val="21"/>
          <w:sz w:val="21"/>
        </w:rPr>
        <w:t> </w:t>
      </w:r>
      <w:r>
        <w:rPr>
          <w:sz w:val="21"/>
        </w:rPr>
        <w:t>and</w:t>
      </w:r>
      <w:r>
        <w:rPr>
          <w:spacing w:val="21"/>
          <w:sz w:val="21"/>
        </w:rPr>
        <w:t> </w:t>
      </w:r>
      <w:r>
        <w:rPr>
          <w:sz w:val="21"/>
        </w:rPr>
        <w:t>replace</w:t>
      </w:r>
      <w:r>
        <w:rPr>
          <w:spacing w:val="21"/>
          <w:sz w:val="21"/>
        </w:rPr>
        <w:t> </w:t>
      </w:r>
      <w:r>
        <w:rPr>
          <w:sz w:val="21"/>
        </w:rPr>
        <w:t>any</w:t>
      </w:r>
      <w:r>
        <w:rPr>
          <w:spacing w:val="21"/>
          <w:sz w:val="21"/>
        </w:rPr>
        <w:t> </w:t>
      </w:r>
      <w:r>
        <w:rPr>
          <w:sz w:val="21"/>
        </w:rPr>
        <w:t>and</w:t>
      </w:r>
      <w:r>
        <w:rPr>
          <w:spacing w:val="21"/>
          <w:sz w:val="21"/>
        </w:rPr>
        <w:t> </w:t>
      </w:r>
      <w:r>
        <w:rPr>
          <w:sz w:val="21"/>
        </w:rPr>
        <w:t>all</w:t>
      </w:r>
      <w:r>
        <w:rPr>
          <w:spacing w:val="21"/>
          <w:sz w:val="21"/>
        </w:rPr>
        <w:t> </w:t>
      </w:r>
      <w:r>
        <w:rPr>
          <w:sz w:val="21"/>
        </w:rPr>
        <w:t>other</w:t>
      </w:r>
      <w:r>
        <w:rPr>
          <w:spacing w:val="21"/>
          <w:sz w:val="21"/>
        </w:rPr>
        <w:t> </w:t>
      </w:r>
      <w:r>
        <w:rPr>
          <w:sz w:val="21"/>
        </w:rPr>
        <w:t>employment</w:t>
      </w:r>
      <w:r>
        <w:rPr>
          <w:spacing w:val="21"/>
          <w:sz w:val="21"/>
        </w:rPr>
        <w:t> </w:t>
      </w:r>
      <w:r>
        <w:rPr>
          <w:sz w:val="21"/>
        </w:rPr>
        <w:t>agreements</w:t>
      </w:r>
      <w:r>
        <w:rPr>
          <w:spacing w:val="21"/>
          <w:sz w:val="21"/>
        </w:rPr>
        <w:t> </w:t>
      </w:r>
      <w:r>
        <w:rPr>
          <w:sz w:val="21"/>
        </w:rPr>
        <w:t>that</w:t>
      </w:r>
      <w:r>
        <w:rPr>
          <w:spacing w:val="21"/>
          <w:sz w:val="21"/>
        </w:rPr>
        <w:t> </w:t>
      </w:r>
      <w:r>
        <w:rPr>
          <w:sz w:val="21"/>
        </w:rPr>
        <w:t>may</w:t>
      </w:r>
      <w:r>
        <w:rPr>
          <w:spacing w:val="21"/>
          <w:sz w:val="21"/>
        </w:rPr>
        <w:t> </w:t>
      </w:r>
      <w:r>
        <w:rPr>
          <w:sz w:val="21"/>
        </w:rPr>
        <w:t>have</w:t>
      </w:r>
      <w:r>
        <w:rPr>
          <w:spacing w:val="21"/>
          <w:sz w:val="21"/>
        </w:rPr>
        <w:t> </w:t>
      </w:r>
      <w:r>
        <w:rPr>
          <w:sz w:val="21"/>
        </w:rPr>
        <w:t>been</w:t>
      </w:r>
      <w:r>
        <w:rPr>
          <w:spacing w:val="21"/>
          <w:sz w:val="21"/>
        </w:rPr>
        <w:t> </w:t>
      </w:r>
      <w:r>
        <w:rPr>
          <w:sz w:val="21"/>
        </w:rPr>
        <w:t>entered</w:t>
      </w:r>
      <w:r>
        <w:rPr>
          <w:spacing w:val="21"/>
          <w:sz w:val="21"/>
        </w:rPr>
        <w:t> </w:t>
      </w:r>
      <w:r>
        <w:rPr>
          <w:sz w:val="21"/>
        </w:rPr>
        <w:t>into</w:t>
      </w:r>
      <w:r>
        <w:rPr>
          <w:spacing w:val="21"/>
          <w:sz w:val="21"/>
        </w:rPr>
        <w:t> </w:t>
      </w:r>
      <w:r>
        <w:rPr>
          <w:sz w:val="21"/>
        </w:rPr>
        <w:t>by</w:t>
      </w:r>
      <w:r>
        <w:rPr>
          <w:spacing w:val="21"/>
          <w:sz w:val="21"/>
        </w:rPr>
        <w:t> </w:t>
      </w:r>
      <w:r>
        <w:rPr>
          <w:sz w:val="21"/>
        </w:rPr>
        <w:t>and</w:t>
      </w:r>
      <w:r>
        <w:rPr>
          <w:spacing w:val="21"/>
          <w:sz w:val="21"/>
        </w:rPr>
        <w:t> </w:t>
      </w:r>
      <w:r>
        <w:rPr>
          <w:sz w:val="21"/>
        </w:rPr>
        <w:t>between</w:t>
      </w:r>
      <w:r>
        <w:rPr>
          <w:spacing w:val="21"/>
          <w:sz w:val="21"/>
        </w:rPr>
        <w:t> </w:t>
      </w:r>
      <w:r>
        <w:rPr>
          <w:sz w:val="21"/>
        </w:rPr>
        <w:t>the</w:t>
      </w:r>
      <w:r>
        <w:rPr>
          <w:spacing w:val="21"/>
          <w:sz w:val="21"/>
        </w:rPr>
        <w:t> </w:t>
      </w:r>
      <w:r>
        <w:rPr>
          <w:sz w:val="21"/>
        </w:rPr>
        <w:t>parties. Any such prior employment agreements shall be of no force and effect.</w:t>
      </w:r>
    </w:p>
    <w:p>
      <w:pPr>
        <w:pStyle w:val="ListParagraph"/>
        <w:numPr>
          <w:ilvl w:val="0"/>
          <w:numId w:val="55"/>
        </w:numPr>
        <w:tabs>
          <w:tab w:pos="472" w:val="left" w:leader="none"/>
        </w:tabs>
        <w:spacing w:line="213" w:lineRule="auto" w:before="219" w:after="0"/>
        <w:ind w:left="144" w:right="221" w:firstLine="0"/>
        <w:jc w:val="both"/>
        <w:rPr>
          <w:sz w:val="21"/>
        </w:rPr>
      </w:pPr>
      <w:r>
        <w:rPr>
          <w:sz w:val="21"/>
        </w:rPr>
        <w:t>Employee acknowledges that MGM Resorts International is a publicly traded company and agrees that in the event there is </w:t>
      </w:r>
      <w:r>
        <w:rPr>
          <w:sz w:val="21"/>
        </w:rPr>
        <w:t>any default</w:t>
      </w:r>
      <w:r>
        <w:rPr>
          <w:spacing w:val="25"/>
          <w:sz w:val="21"/>
        </w:rPr>
        <w:t> </w:t>
      </w:r>
      <w:r>
        <w:rPr>
          <w:sz w:val="21"/>
        </w:rPr>
        <w:t>or</w:t>
      </w:r>
      <w:r>
        <w:rPr>
          <w:spacing w:val="25"/>
          <w:sz w:val="21"/>
        </w:rPr>
        <w:t> </w:t>
      </w:r>
      <w:r>
        <w:rPr>
          <w:sz w:val="21"/>
        </w:rPr>
        <w:t>alleged</w:t>
      </w:r>
      <w:r>
        <w:rPr>
          <w:spacing w:val="25"/>
          <w:sz w:val="21"/>
        </w:rPr>
        <w:t> </w:t>
      </w:r>
      <w:r>
        <w:rPr>
          <w:sz w:val="21"/>
        </w:rPr>
        <w:t>default</w:t>
      </w:r>
      <w:r>
        <w:rPr>
          <w:spacing w:val="25"/>
          <w:sz w:val="21"/>
        </w:rPr>
        <w:t> </w:t>
      </w:r>
      <w:r>
        <w:rPr>
          <w:sz w:val="21"/>
        </w:rPr>
        <w:t>by</w:t>
      </w:r>
      <w:r>
        <w:rPr>
          <w:spacing w:val="25"/>
          <w:sz w:val="21"/>
        </w:rPr>
        <w:t> </w:t>
      </w:r>
      <w:r>
        <w:rPr>
          <w:sz w:val="21"/>
        </w:rPr>
        <w:t>Employer</w:t>
      </w:r>
      <w:r>
        <w:rPr>
          <w:spacing w:val="25"/>
          <w:sz w:val="21"/>
        </w:rPr>
        <w:t> </w:t>
      </w:r>
      <w:r>
        <w:rPr>
          <w:sz w:val="21"/>
        </w:rPr>
        <w:t>under</w:t>
      </w:r>
      <w:r>
        <w:rPr>
          <w:spacing w:val="25"/>
          <w:sz w:val="21"/>
        </w:rPr>
        <w:t> </w:t>
      </w:r>
      <w:r>
        <w:rPr>
          <w:sz w:val="21"/>
        </w:rPr>
        <w:t>the Agreement,</w:t>
      </w:r>
      <w:r>
        <w:rPr>
          <w:spacing w:val="25"/>
          <w:sz w:val="21"/>
        </w:rPr>
        <w:t> </w:t>
      </w:r>
      <w:r>
        <w:rPr>
          <w:sz w:val="21"/>
        </w:rPr>
        <w:t>or</w:t>
      </w:r>
      <w:r>
        <w:rPr>
          <w:spacing w:val="25"/>
          <w:sz w:val="21"/>
        </w:rPr>
        <w:t> </w:t>
      </w:r>
      <w:r>
        <w:rPr>
          <w:sz w:val="21"/>
        </w:rPr>
        <w:t>Employee</w:t>
      </w:r>
      <w:r>
        <w:rPr>
          <w:spacing w:val="25"/>
          <w:sz w:val="21"/>
        </w:rPr>
        <w:t> </w:t>
      </w:r>
      <w:r>
        <w:rPr>
          <w:sz w:val="21"/>
        </w:rPr>
        <w:t>has</w:t>
      </w:r>
      <w:r>
        <w:rPr>
          <w:spacing w:val="25"/>
          <w:sz w:val="21"/>
        </w:rPr>
        <w:t> </w:t>
      </w:r>
      <w:r>
        <w:rPr>
          <w:sz w:val="21"/>
        </w:rPr>
        <w:t>or</w:t>
      </w:r>
      <w:r>
        <w:rPr>
          <w:spacing w:val="25"/>
          <w:sz w:val="21"/>
        </w:rPr>
        <w:t> </w:t>
      </w:r>
      <w:r>
        <w:rPr>
          <w:sz w:val="21"/>
        </w:rPr>
        <w:t>may</w:t>
      </w:r>
      <w:r>
        <w:rPr>
          <w:spacing w:val="25"/>
          <w:sz w:val="21"/>
        </w:rPr>
        <w:t> </w:t>
      </w:r>
      <w:r>
        <w:rPr>
          <w:sz w:val="21"/>
        </w:rPr>
        <w:t>have</w:t>
      </w:r>
      <w:r>
        <w:rPr>
          <w:spacing w:val="25"/>
          <w:sz w:val="21"/>
        </w:rPr>
        <w:t> </w:t>
      </w:r>
      <w:r>
        <w:rPr>
          <w:sz w:val="21"/>
        </w:rPr>
        <w:t>any</w:t>
      </w:r>
      <w:r>
        <w:rPr>
          <w:spacing w:val="25"/>
          <w:sz w:val="21"/>
        </w:rPr>
        <w:t> </w:t>
      </w:r>
      <w:r>
        <w:rPr>
          <w:sz w:val="21"/>
        </w:rPr>
        <w:t>claims</w:t>
      </w:r>
      <w:r>
        <w:rPr>
          <w:spacing w:val="25"/>
          <w:sz w:val="21"/>
        </w:rPr>
        <w:t> </w:t>
      </w:r>
      <w:r>
        <w:rPr>
          <w:sz w:val="21"/>
        </w:rPr>
        <w:t>arising</w:t>
      </w:r>
      <w:r>
        <w:rPr>
          <w:spacing w:val="25"/>
          <w:sz w:val="21"/>
        </w:rPr>
        <w:t> </w:t>
      </w:r>
      <w:r>
        <w:rPr>
          <w:sz w:val="21"/>
        </w:rPr>
        <w:t>from</w:t>
      </w:r>
      <w:r>
        <w:rPr>
          <w:spacing w:val="25"/>
          <w:sz w:val="21"/>
        </w:rPr>
        <w:t> </w:t>
      </w:r>
      <w:r>
        <w:rPr>
          <w:sz w:val="21"/>
        </w:rPr>
        <w:t>or</w:t>
      </w:r>
      <w:r>
        <w:rPr>
          <w:spacing w:val="25"/>
          <w:sz w:val="21"/>
        </w:rPr>
        <w:t> </w:t>
      </w:r>
      <w:r>
        <w:rPr>
          <w:sz w:val="21"/>
        </w:rPr>
        <w:t>relating</w:t>
      </w:r>
      <w:r>
        <w:rPr>
          <w:spacing w:val="25"/>
          <w:sz w:val="21"/>
        </w:rPr>
        <w:t> </w:t>
      </w:r>
      <w:r>
        <w:rPr>
          <w:sz w:val="21"/>
        </w:rPr>
        <w:t>to the Agreement,</w:t>
      </w:r>
      <w:r>
        <w:rPr>
          <w:spacing w:val="25"/>
          <w:sz w:val="21"/>
        </w:rPr>
        <w:t> </w:t>
      </w:r>
      <w:r>
        <w:rPr>
          <w:sz w:val="21"/>
        </w:rPr>
        <w:t>Employee</w:t>
      </w:r>
      <w:r>
        <w:rPr>
          <w:spacing w:val="25"/>
          <w:sz w:val="21"/>
        </w:rPr>
        <w:t> </w:t>
      </w:r>
      <w:r>
        <w:rPr>
          <w:sz w:val="21"/>
        </w:rPr>
        <w:t>shall</w:t>
      </w:r>
      <w:r>
        <w:rPr>
          <w:spacing w:val="25"/>
          <w:sz w:val="21"/>
        </w:rPr>
        <w:t> </w:t>
      </w:r>
      <w:r>
        <w:rPr>
          <w:sz w:val="21"/>
        </w:rPr>
        <w:t>not</w:t>
      </w:r>
      <w:r>
        <w:rPr>
          <w:spacing w:val="25"/>
          <w:sz w:val="21"/>
        </w:rPr>
        <w:t> </w:t>
      </w:r>
      <w:r>
        <w:rPr>
          <w:sz w:val="21"/>
        </w:rPr>
        <w:t>commence</w:t>
      </w:r>
      <w:r>
        <w:rPr>
          <w:spacing w:val="25"/>
          <w:sz w:val="21"/>
        </w:rPr>
        <w:t> </w:t>
      </w:r>
      <w:r>
        <w:rPr>
          <w:sz w:val="21"/>
        </w:rPr>
        <w:t>any</w:t>
      </w:r>
      <w:r>
        <w:rPr>
          <w:spacing w:val="25"/>
          <w:sz w:val="21"/>
        </w:rPr>
        <w:t> </w:t>
      </w:r>
      <w:r>
        <w:rPr>
          <w:sz w:val="21"/>
        </w:rPr>
        <w:t>action</w:t>
      </w:r>
      <w:r>
        <w:rPr>
          <w:spacing w:val="25"/>
          <w:sz w:val="21"/>
        </w:rPr>
        <w:t> </w:t>
      </w:r>
      <w:r>
        <w:rPr>
          <w:sz w:val="21"/>
        </w:rPr>
        <w:t>or</w:t>
      </w:r>
      <w:r>
        <w:rPr>
          <w:spacing w:val="25"/>
          <w:sz w:val="21"/>
        </w:rPr>
        <w:t> </w:t>
      </w:r>
      <w:r>
        <w:rPr>
          <w:sz w:val="21"/>
        </w:rPr>
        <w:t>otherwise</w:t>
      </w:r>
      <w:r>
        <w:rPr>
          <w:spacing w:val="25"/>
          <w:sz w:val="21"/>
        </w:rPr>
        <w:t> </w:t>
      </w:r>
      <w:r>
        <w:rPr>
          <w:sz w:val="21"/>
        </w:rPr>
        <w:t>seek</w:t>
      </w:r>
      <w:r>
        <w:rPr>
          <w:spacing w:val="25"/>
          <w:sz w:val="21"/>
        </w:rPr>
        <w:t> </w:t>
      </w:r>
      <w:r>
        <w:rPr>
          <w:sz w:val="21"/>
        </w:rPr>
        <w:t>to</w:t>
      </w:r>
      <w:r>
        <w:rPr>
          <w:spacing w:val="25"/>
          <w:sz w:val="21"/>
        </w:rPr>
        <w:t> </w:t>
      </w:r>
      <w:r>
        <w:rPr>
          <w:sz w:val="21"/>
        </w:rPr>
        <w:t>impose</w:t>
      </w:r>
      <w:r>
        <w:rPr>
          <w:spacing w:val="25"/>
          <w:sz w:val="21"/>
        </w:rPr>
        <w:t> </w:t>
      </w:r>
      <w:r>
        <w:rPr>
          <w:sz w:val="21"/>
        </w:rPr>
        <w:t>any</w:t>
      </w:r>
      <w:r>
        <w:rPr>
          <w:spacing w:val="25"/>
          <w:sz w:val="21"/>
        </w:rPr>
        <w:t> </w:t>
      </w:r>
      <w:r>
        <w:rPr>
          <w:sz w:val="21"/>
        </w:rPr>
        <w:t>liability</w:t>
      </w:r>
      <w:r>
        <w:rPr>
          <w:spacing w:val="25"/>
          <w:sz w:val="21"/>
        </w:rPr>
        <w:t> </w:t>
      </w:r>
      <w:r>
        <w:rPr>
          <w:sz w:val="21"/>
        </w:rPr>
        <w:t>whatsoever</w:t>
      </w:r>
      <w:r>
        <w:rPr>
          <w:spacing w:val="25"/>
          <w:sz w:val="21"/>
        </w:rPr>
        <w:t> </w:t>
      </w:r>
      <w:r>
        <w:rPr>
          <w:sz w:val="21"/>
        </w:rPr>
        <w:t>against</w:t>
      </w:r>
      <w:r>
        <w:rPr>
          <w:spacing w:val="25"/>
          <w:sz w:val="21"/>
        </w:rPr>
        <w:t> </w:t>
      </w:r>
      <w:r>
        <w:rPr>
          <w:sz w:val="21"/>
        </w:rPr>
        <w:t>any</w:t>
      </w:r>
      <w:r>
        <w:rPr>
          <w:spacing w:val="25"/>
          <w:sz w:val="21"/>
        </w:rPr>
        <w:t> </w:t>
      </w:r>
      <w:r>
        <w:rPr>
          <w:sz w:val="21"/>
        </w:rPr>
        <w:t>person or</w:t>
      </w:r>
      <w:r>
        <w:rPr>
          <w:spacing w:val="35"/>
          <w:sz w:val="21"/>
        </w:rPr>
        <w:t> </w:t>
      </w:r>
      <w:r>
        <w:rPr>
          <w:sz w:val="21"/>
        </w:rPr>
        <w:t>entity</w:t>
      </w:r>
      <w:r>
        <w:rPr>
          <w:spacing w:val="35"/>
          <w:sz w:val="21"/>
        </w:rPr>
        <w:t> </w:t>
      </w:r>
      <w:r>
        <w:rPr>
          <w:sz w:val="21"/>
        </w:rPr>
        <w:t>in</w:t>
      </w:r>
      <w:r>
        <w:rPr>
          <w:spacing w:val="35"/>
          <w:sz w:val="21"/>
        </w:rPr>
        <w:t> </w:t>
      </w:r>
      <w:r>
        <w:rPr>
          <w:sz w:val="21"/>
        </w:rPr>
        <w:t>its</w:t>
      </w:r>
      <w:r>
        <w:rPr>
          <w:spacing w:val="35"/>
          <w:sz w:val="21"/>
        </w:rPr>
        <w:t> </w:t>
      </w:r>
      <w:r>
        <w:rPr>
          <w:sz w:val="21"/>
        </w:rPr>
        <w:t>capacity</w:t>
      </w:r>
      <w:r>
        <w:rPr>
          <w:spacing w:val="35"/>
          <w:sz w:val="21"/>
        </w:rPr>
        <w:t> </w:t>
      </w:r>
      <w:r>
        <w:rPr>
          <w:sz w:val="21"/>
        </w:rPr>
        <w:t>as</w:t>
      </w:r>
      <w:r>
        <w:rPr>
          <w:spacing w:val="35"/>
          <w:sz w:val="21"/>
        </w:rPr>
        <w:t> </w:t>
      </w:r>
      <w:r>
        <w:rPr>
          <w:sz w:val="21"/>
        </w:rPr>
        <w:t>a</w:t>
      </w:r>
      <w:r>
        <w:rPr>
          <w:spacing w:val="35"/>
          <w:sz w:val="21"/>
        </w:rPr>
        <w:t> </w:t>
      </w:r>
      <w:r>
        <w:rPr>
          <w:sz w:val="21"/>
        </w:rPr>
        <w:t>stockholder</w:t>
      </w:r>
      <w:r>
        <w:rPr>
          <w:spacing w:val="35"/>
          <w:sz w:val="21"/>
        </w:rPr>
        <w:t> </w:t>
      </w:r>
      <w:r>
        <w:rPr>
          <w:sz w:val="21"/>
        </w:rPr>
        <w:t>of</w:t>
      </w:r>
      <w:r>
        <w:rPr>
          <w:spacing w:val="35"/>
          <w:sz w:val="21"/>
        </w:rPr>
        <w:t> </w:t>
      </w:r>
      <w:r>
        <w:rPr>
          <w:sz w:val="21"/>
        </w:rPr>
        <w:t>MGM</w:t>
      </w:r>
      <w:r>
        <w:rPr>
          <w:spacing w:val="35"/>
          <w:sz w:val="21"/>
        </w:rPr>
        <w:t> </w:t>
      </w:r>
      <w:r>
        <w:rPr>
          <w:sz w:val="21"/>
        </w:rPr>
        <w:t>Resorts</w:t>
      </w:r>
      <w:r>
        <w:rPr>
          <w:spacing w:val="35"/>
          <w:sz w:val="21"/>
        </w:rPr>
        <w:t> </w:t>
      </w:r>
      <w:r>
        <w:rPr>
          <w:sz w:val="21"/>
        </w:rPr>
        <w:t>International</w:t>
      </w:r>
      <w:r>
        <w:rPr>
          <w:spacing w:val="35"/>
          <w:sz w:val="21"/>
        </w:rPr>
        <w:t> </w:t>
      </w:r>
      <w:r>
        <w:rPr>
          <w:sz w:val="21"/>
        </w:rPr>
        <w:t>(“Stockholder”).</w:t>
      </w:r>
      <w:r>
        <w:rPr>
          <w:spacing w:val="35"/>
          <w:sz w:val="21"/>
        </w:rPr>
        <w:t> </w:t>
      </w:r>
      <w:r>
        <w:rPr>
          <w:sz w:val="21"/>
        </w:rPr>
        <w:t>Employee</w:t>
      </w:r>
      <w:r>
        <w:rPr>
          <w:spacing w:val="35"/>
          <w:sz w:val="21"/>
        </w:rPr>
        <w:t> </w:t>
      </w:r>
      <w:r>
        <w:rPr>
          <w:sz w:val="21"/>
        </w:rPr>
        <w:t>further</w:t>
      </w:r>
      <w:r>
        <w:rPr>
          <w:spacing w:val="35"/>
          <w:sz w:val="21"/>
        </w:rPr>
        <w:t> </w:t>
      </w:r>
      <w:r>
        <w:rPr>
          <w:sz w:val="21"/>
        </w:rPr>
        <w:t>agrees</w:t>
      </w:r>
      <w:r>
        <w:rPr>
          <w:spacing w:val="35"/>
          <w:sz w:val="21"/>
        </w:rPr>
        <w:t> </w:t>
      </w:r>
      <w:r>
        <w:rPr>
          <w:sz w:val="21"/>
        </w:rPr>
        <w:t>that</w:t>
      </w:r>
      <w:r>
        <w:rPr>
          <w:spacing w:val="35"/>
          <w:sz w:val="21"/>
        </w:rPr>
        <w:t> </w:t>
      </w:r>
      <w:r>
        <w:rPr>
          <w:sz w:val="21"/>
        </w:rPr>
        <w:t>Employee shall</w:t>
      </w:r>
      <w:r>
        <w:rPr>
          <w:spacing w:val="40"/>
          <w:sz w:val="21"/>
        </w:rPr>
        <w:t> </w:t>
      </w:r>
      <w:r>
        <w:rPr>
          <w:sz w:val="21"/>
        </w:rPr>
        <w:t>not</w:t>
      </w:r>
      <w:r>
        <w:rPr>
          <w:spacing w:val="40"/>
          <w:sz w:val="21"/>
        </w:rPr>
        <w:t> </w:t>
      </w:r>
      <w:r>
        <w:rPr>
          <w:sz w:val="21"/>
        </w:rPr>
        <w:t>permit</w:t>
      </w:r>
      <w:r>
        <w:rPr>
          <w:spacing w:val="40"/>
          <w:sz w:val="21"/>
        </w:rPr>
        <w:t> </w:t>
      </w:r>
      <w:r>
        <w:rPr>
          <w:sz w:val="21"/>
        </w:rPr>
        <w:t>any</w:t>
      </w:r>
      <w:r>
        <w:rPr>
          <w:spacing w:val="40"/>
          <w:sz w:val="21"/>
        </w:rPr>
        <w:t> </w:t>
      </w:r>
      <w:r>
        <w:rPr>
          <w:sz w:val="21"/>
        </w:rPr>
        <w:t>party</w:t>
      </w:r>
      <w:r>
        <w:rPr>
          <w:spacing w:val="40"/>
          <w:sz w:val="21"/>
        </w:rPr>
        <w:t> </w:t>
      </w:r>
      <w:r>
        <w:rPr>
          <w:sz w:val="21"/>
        </w:rPr>
        <w:t>claiming</w:t>
      </w:r>
      <w:r>
        <w:rPr>
          <w:spacing w:val="40"/>
          <w:sz w:val="21"/>
        </w:rPr>
        <w:t> </w:t>
      </w:r>
      <w:r>
        <w:rPr>
          <w:sz w:val="21"/>
        </w:rPr>
        <w:t>through</w:t>
      </w:r>
      <w:r>
        <w:rPr>
          <w:spacing w:val="40"/>
          <w:sz w:val="21"/>
        </w:rPr>
        <w:t> </w:t>
      </w:r>
      <w:r>
        <w:rPr>
          <w:sz w:val="21"/>
        </w:rPr>
        <w:t>Employee,</w:t>
      </w:r>
      <w:r>
        <w:rPr>
          <w:spacing w:val="40"/>
          <w:sz w:val="21"/>
        </w:rPr>
        <w:t> </w:t>
      </w:r>
      <w:r>
        <w:rPr>
          <w:sz w:val="21"/>
        </w:rPr>
        <w:t>to</w:t>
      </w:r>
      <w:r>
        <w:rPr>
          <w:spacing w:val="40"/>
          <w:sz w:val="21"/>
        </w:rPr>
        <w:t> </w:t>
      </w:r>
      <w:r>
        <w:rPr>
          <w:sz w:val="21"/>
        </w:rPr>
        <w:t>assert</w:t>
      </w:r>
      <w:r>
        <w:rPr>
          <w:spacing w:val="40"/>
          <w:sz w:val="21"/>
        </w:rPr>
        <w:t> </w:t>
      </w:r>
      <w:r>
        <w:rPr>
          <w:sz w:val="21"/>
        </w:rPr>
        <w:t>a</w:t>
      </w:r>
      <w:r>
        <w:rPr>
          <w:spacing w:val="40"/>
          <w:sz w:val="21"/>
        </w:rPr>
        <w:t> </w:t>
      </w:r>
      <w:r>
        <w:rPr>
          <w:sz w:val="21"/>
        </w:rPr>
        <w:t>claim</w:t>
      </w:r>
      <w:r>
        <w:rPr>
          <w:spacing w:val="40"/>
          <w:sz w:val="21"/>
        </w:rPr>
        <w:t> </w:t>
      </w:r>
      <w:r>
        <w:rPr>
          <w:sz w:val="21"/>
        </w:rPr>
        <w:t>or</w:t>
      </w:r>
      <w:r>
        <w:rPr>
          <w:spacing w:val="40"/>
          <w:sz w:val="21"/>
        </w:rPr>
        <w:t> </w:t>
      </w:r>
      <w:r>
        <w:rPr>
          <w:sz w:val="21"/>
        </w:rPr>
        <w:t>impose</w:t>
      </w:r>
      <w:r>
        <w:rPr>
          <w:spacing w:val="40"/>
          <w:sz w:val="21"/>
        </w:rPr>
        <w:t> </w:t>
      </w:r>
      <w:r>
        <w:rPr>
          <w:sz w:val="21"/>
        </w:rPr>
        <w:t>any</w:t>
      </w:r>
      <w:r>
        <w:rPr>
          <w:spacing w:val="40"/>
          <w:sz w:val="21"/>
        </w:rPr>
        <w:t> </w:t>
      </w:r>
      <w:r>
        <w:rPr>
          <w:sz w:val="21"/>
        </w:rPr>
        <w:t>liability</w:t>
      </w:r>
      <w:r>
        <w:rPr>
          <w:spacing w:val="40"/>
          <w:sz w:val="21"/>
        </w:rPr>
        <w:t> </w:t>
      </w:r>
      <w:r>
        <w:rPr>
          <w:sz w:val="21"/>
        </w:rPr>
        <w:t>against</w:t>
      </w:r>
      <w:r>
        <w:rPr>
          <w:spacing w:val="40"/>
          <w:sz w:val="21"/>
        </w:rPr>
        <w:t> </w:t>
      </w:r>
      <w:r>
        <w:rPr>
          <w:sz w:val="21"/>
        </w:rPr>
        <w:t>any</w:t>
      </w:r>
      <w:r>
        <w:rPr>
          <w:spacing w:val="40"/>
          <w:sz w:val="21"/>
        </w:rPr>
        <w:t> </w:t>
      </w:r>
      <w:r>
        <w:rPr>
          <w:sz w:val="21"/>
        </w:rPr>
        <w:t>Stockholder</w:t>
      </w:r>
      <w:r>
        <w:rPr>
          <w:spacing w:val="40"/>
          <w:sz w:val="21"/>
        </w:rPr>
        <w:t> </w:t>
      </w:r>
      <w:r>
        <w:rPr>
          <w:sz w:val="21"/>
        </w:rPr>
        <w:t>(in</w:t>
      </w:r>
      <w:r>
        <w:rPr>
          <w:spacing w:val="40"/>
          <w:sz w:val="21"/>
        </w:rPr>
        <w:t> </w:t>
      </w:r>
      <w:r>
        <w:rPr>
          <w:sz w:val="21"/>
        </w:rPr>
        <w:t>its capacity as a Stockholder) as to any matter or thing arising out of or relating to the Agreement or any alleged breach or default by </w:t>
      </w:r>
      <w:r>
        <w:rPr>
          <w:spacing w:val="-2"/>
          <w:sz w:val="21"/>
        </w:rPr>
        <w:t>Employer.</w:t>
      </w:r>
    </w:p>
    <w:p>
      <w:pPr>
        <w:pStyle w:val="ListParagraph"/>
        <w:numPr>
          <w:ilvl w:val="0"/>
          <w:numId w:val="55"/>
        </w:numPr>
        <w:tabs>
          <w:tab w:pos="467" w:val="left" w:leader="none"/>
        </w:tabs>
        <w:spacing w:line="240" w:lineRule="auto" w:before="202" w:after="0"/>
        <w:ind w:left="467" w:right="0" w:hanging="323"/>
        <w:jc w:val="both"/>
        <w:rPr>
          <w:sz w:val="21"/>
        </w:rPr>
      </w:pPr>
      <w:r>
        <w:rPr>
          <w:sz w:val="21"/>
          <w:u w:val="single"/>
        </w:rPr>
        <w:t>Section</w:t>
      </w:r>
      <w:r>
        <w:rPr>
          <w:spacing w:val="13"/>
          <w:sz w:val="21"/>
          <w:u w:val="single"/>
        </w:rPr>
        <w:t> </w:t>
      </w:r>
      <w:r>
        <w:rPr>
          <w:spacing w:val="-2"/>
          <w:sz w:val="21"/>
          <w:u w:val="single"/>
        </w:rPr>
        <w:t>409A</w:t>
      </w:r>
      <w:r>
        <w:rPr>
          <w:spacing w:val="-2"/>
          <w:sz w:val="21"/>
        </w:rPr>
        <w:t>.</w:t>
      </w:r>
    </w:p>
    <w:p>
      <w:pPr>
        <w:pStyle w:val="BodyText"/>
        <w:spacing w:before="52"/>
        <w:rPr>
          <w:sz w:val="21"/>
        </w:rPr>
      </w:pPr>
    </w:p>
    <w:p>
      <w:pPr>
        <w:pStyle w:val="ListParagraph"/>
        <w:numPr>
          <w:ilvl w:val="1"/>
          <w:numId w:val="55"/>
        </w:numPr>
        <w:tabs>
          <w:tab w:pos="923" w:val="left" w:leader="none"/>
        </w:tabs>
        <w:spacing w:line="213" w:lineRule="auto" w:before="0" w:after="0"/>
        <w:ind w:left="468" w:right="221" w:firstLine="0"/>
        <w:jc w:val="both"/>
        <w:rPr>
          <w:sz w:val="21"/>
        </w:rPr>
      </w:pPr>
      <w:r>
        <w:rPr>
          <w:sz w:val="21"/>
        </w:rPr>
        <w:t>This</w:t>
      </w:r>
      <w:r>
        <w:rPr>
          <w:spacing w:val="28"/>
          <w:sz w:val="21"/>
        </w:rPr>
        <w:t> </w:t>
      </w:r>
      <w:r>
        <w:rPr>
          <w:sz w:val="21"/>
        </w:rPr>
        <w:t>Agreement</w:t>
      </w:r>
      <w:r>
        <w:rPr>
          <w:spacing w:val="40"/>
          <w:sz w:val="21"/>
        </w:rPr>
        <w:t> </w:t>
      </w:r>
      <w:r>
        <w:rPr>
          <w:sz w:val="21"/>
        </w:rPr>
        <w:t>is</w:t>
      </w:r>
      <w:r>
        <w:rPr>
          <w:spacing w:val="40"/>
          <w:sz w:val="21"/>
        </w:rPr>
        <w:t> </w:t>
      </w:r>
      <w:r>
        <w:rPr>
          <w:sz w:val="21"/>
        </w:rPr>
        <w:t>intended</w:t>
      </w:r>
      <w:r>
        <w:rPr>
          <w:spacing w:val="40"/>
          <w:sz w:val="21"/>
        </w:rPr>
        <w:t> </w:t>
      </w:r>
      <w:r>
        <w:rPr>
          <w:sz w:val="21"/>
        </w:rPr>
        <w:t>to</w:t>
      </w:r>
      <w:r>
        <w:rPr>
          <w:spacing w:val="40"/>
          <w:sz w:val="21"/>
        </w:rPr>
        <w:t> </w:t>
      </w:r>
      <w:r>
        <w:rPr>
          <w:sz w:val="21"/>
        </w:rPr>
        <w:t>comply</w:t>
      </w:r>
      <w:r>
        <w:rPr>
          <w:spacing w:val="40"/>
          <w:sz w:val="21"/>
        </w:rPr>
        <w:t> </w:t>
      </w:r>
      <w:r>
        <w:rPr>
          <w:sz w:val="21"/>
        </w:rPr>
        <w:t>with,</w:t>
      </w:r>
      <w:r>
        <w:rPr>
          <w:spacing w:val="40"/>
          <w:sz w:val="21"/>
        </w:rPr>
        <w:t> </w:t>
      </w:r>
      <w:r>
        <w:rPr>
          <w:sz w:val="21"/>
        </w:rPr>
        <w:t>or</w:t>
      </w:r>
      <w:r>
        <w:rPr>
          <w:spacing w:val="40"/>
          <w:sz w:val="21"/>
        </w:rPr>
        <w:t> </w:t>
      </w:r>
      <w:r>
        <w:rPr>
          <w:sz w:val="21"/>
        </w:rPr>
        <w:t>otherwise</w:t>
      </w:r>
      <w:r>
        <w:rPr>
          <w:spacing w:val="40"/>
          <w:sz w:val="21"/>
        </w:rPr>
        <w:t> </w:t>
      </w:r>
      <w:r>
        <w:rPr>
          <w:sz w:val="21"/>
        </w:rPr>
        <w:t>be</w:t>
      </w:r>
      <w:r>
        <w:rPr>
          <w:spacing w:val="40"/>
          <w:sz w:val="21"/>
        </w:rPr>
        <w:t> </w:t>
      </w:r>
      <w:r>
        <w:rPr>
          <w:sz w:val="21"/>
        </w:rPr>
        <w:t>exempt</w:t>
      </w:r>
      <w:r>
        <w:rPr>
          <w:spacing w:val="40"/>
          <w:sz w:val="21"/>
        </w:rPr>
        <w:t> </w:t>
      </w:r>
      <w:r>
        <w:rPr>
          <w:sz w:val="21"/>
        </w:rPr>
        <w:t>from,</w:t>
      </w:r>
      <w:r>
        <w:rPr>
          <w:spacing w:val="40"/>
          <w:sz w:val="21"/>
        </w:rPr>
        <w:t> </w:t>
      </w:r>
      <w:r>
        <w:rPr>
          <w:sz w:val="21"/>
        </w:rPr>
        <w:t>Section</w:t>
      </w:r>
      <w:r>
        <w:rPr>
          <w:spacing w:val="40"/>
          <w:sz w:val="21"/>
        </w:rPr>
        <w:t> </w:t>
      </w:r>
      <w:r>
        <w:rPr>
          <w:sz w:val="21"/>
        </w:rPr>
        <w:t>409A</w:t>
      </w:r>
      <w:r>
        <w:rPr>
          <w:spacing w:val="28"/>
          <w:sz w:val="21"/>
        </w:rPr>
        <w:t> </w:t>
      </w:r>
      <w:r>
        <w:rPr>
          <w:sz w:val="21"/>
        </w:rPr>
        <w:t>of</w:t>
      </w:r>
      <w:r>
        <w:rPr>
          <w:spacing w:val="40"/>
          <w:sz w:val="21"/>
        </w:rPr>
        <w:t> </w:t>
      </w:r>
      <w:r>
        <w:rPr>
          <w:sz w:val="21"/>
        </w:rPr>
        <w:t>Internal</w:t>
      </w:r>
      <w:r>
        <w:rPr>
          <w:spacing w:val="40"/>
          <w:sz w:val="21"/>
        </w:rPr>
        <w:t> </w:t>
      </w:r>
      <w:r>
        <w:rPr>
          <w:sz w:val="21"/>
        </w:rPr>
        <w:t>Revenue</w:t>
      </w:r>
      <w:r>
        <w:rPr>
          <w:spacing w:val="40"/>
          <w:sz w:val="21"/>
        </w:rPr>
        <w:t> </w:t>
      </w:r>
      <w:r>
        <w:rPr>
          <w:sz w:val="21"/>
        </w:rPr>
        <w:t>Code</w:t>
      </w:r>
      <w:r>
        <w:rPr>
          <w:spacing w:val="40"/>
          <w:sz w:val="21"/>
        </w:rPr>
        <w:t> </w:t>
      </w:r>
      <w:r>
        <w:rPr>
          <w:sz w:val="21"/>
        </w:rPr>
        <w:t>of 1986,</w:t>
      </w:r>
      <w:r>
        <w:rPr>
          <w:spacing w:val="40"/>
          <w:sz w:val="21"/>
        </w:rPr>
        <w:t> </w:t>
      </w:r>
      <w:r>
        <w:rPr>
          <w:sz w:val="21"/>
        </w:rPr>
        <w:t>as</w:t>
      </w:r>
      <w:r>
        <w:rPr>
          <w:spacing w:val="40"/>
          <w:sz w:val="21"/>
        </w:rPr>
        <w:t> </w:t>
      </w:r>
      <w:r>
        <w:rPr>
          <w:sz w:val="21"/>
        </w:rPr>
        <w:t>amended</w:t>
      </w:r>
      <w:r>
        <w:rPr>
          <w:spacing w:val="40"/>
          <w:sz w:val="21"/>
        </w:rPr>
        <w:t> </w:t>
      </w:r>
      <w:r>
        <w:rPr>
          <w:sz w:val="21"/>
        </w:rPr>
        <w:t>(the</w:t>
      </w:r>
      <w:r>
        <w:rPr>
          <w:spacing w:val="40"/>
          <w:sz w:val="21"/>
        </w:rPr>
        <w:t> </w:t>
      </w:r>
      <w:r>
        <w:rPr>
          <w:sz w:val="21"/>
        </w:rPr>
        <w:t>“Code”)</w:t>
      </w:r>
      <w:r>
        <w:rPr>
          <w:spacing w:val="40"/>
          <w:sz w:val="21"/>
        </w:rPr>
        <w:t> </w:t>
      </w:r>
      <w:r>
        <w:rPr>
          <w:sz w:val="21"/>
        </w:rPr>
        <w:t>and</w:t>
      </w:r>
      <w:r>
        <w:rPr>
          <w:spacing w:val="40"/>
          <w:sz w:val="21"/>
        </w:rPr>
        <w:t> </w:t>
      </w:r>
      <w:r>
        <w:rPr>
          <w:sz w:val="21"/>
        </w:rPr>
        <w:t>any</w:t>
      </w:r>
      <w:r>
        <w:rPr>
          <w:spacing w:val="40"/>
          <w:sz w:val="21"/>
        </w:rPr>
        <w:t> </w:t>
      </w:r>
      <w:r>
        <w:rPr>
          <w:sz w:val="21"/>
        </w:rPr>
        <w:t>regulations</w:t>
      </w:r>
      <w:r>
        <w:rPr>
          <w:spacing w:val="40"/>
          <w:sz w:val="21"/>
        </w:rPr>
        <w:t> </w:t>
      </w:r>
      <w:r>
        <w:rPr>
          <w:sz w:val="21"/>
        </w:rPr>
        <w:t>and Treasury</w:t>
      </w:r>
      <w:r>
        <w:rPr>
          <w:spacing w:val="40"/>
          <w:sz w:val="21"/>
        </w:rPr>
        <w:t> </w:t>
      </w:r>
      <w:r>
        <w:rPr>
          <w:sz w:val="21"/>
        </w:rPr>
        <w:t>guidance</w:t>
      </w:r>
      <w:r>
        <w:rPr>
          <w:spacing w:val="40"/>
          <w:sz w:val="21"/>
        </w:rPr>
        <w:t> </w:t>
      </w:r>
      <w:r>
        <w:rPr>
          <w:sz w:val="21"/>
        </w:rPr>
        <w:t>promulgated</w:t>
      </w:r>
      <w:r>
        <w:rPr>
          <w:spacing w:val="40"/>
          <w:sz w:val="21"/>
        </w:rPr>
        <w:t> </w:t>
      </w:r>
      <w:r>
        <w:rPr>
          <w:sz w:val="21"/>
        </w:rPr>
        <w:t>thereunder</w:t>
      </w:r>
      <w:r>
        <w:rPr>
          <w:spacing w:val="40"/>
          <w:sz w:val="21"/>
        </w:rPr>
        <w:t> </w:t>
      </w:r>
      <w:r>
        <w:rPr>
          <w:sz w:val="21"/>
        </w:rPr>
        <w:t>(“Section</w:t>
      </w:r>
      <w:r>
        <w:rPr>
          <w:spacing w:val="40"/>
          <w:sz w:val="21"/>
        </w:rPr>
        <w:t> </w:t>
      </w:r>
      <w:r>
        <w:rPr>
          <w:sz w:val="21"/>
        </w:rPr>
        <w:t>409A”).</w:t>
      </w:r>
      <w:r>
        <w:rPr>
          <w:spacing w:val="40"/>
          <w:sz w:val="21"/>
        </w:rPr>
        <w:t> </w:t>
      </w:r>
      <w:r>
        <w:rPr>
          <w:sz w:val="21"/>
        </w:rPr>
        <w:t>If Employer determines in good faith that any</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6"/>
        <w:rPr>
          <w:sz w:val="21"/>
        </w:rPr>
      </w:pPr>
    </w:p>
    <w:p>
      <w:pPr>
        <w:spacing w:before="0"/>
        <w:ind w:left="24" w:right="0" w:firstLine="0"/>
        <w:jc w:val="center"/>
        <w:rPr>
          <w:sz w:val="21"/>
        </w:rPr>
      </w:pPr>
      <w:r>
        <w:rPr>
          <w:spacing w:val="-5"/>
          <w:sz w:val="21"/>
        </w:rPr>
        <w:t>17</w:t>
      </w:r>
    </w:p>
    <w:p>
      <w:pPr>
        <w:pStyle w:val="BodyText"/>
        <w:spacing w:before="6"/>
        <w:rPr>
          <w:sz w:val="4"/>
        </w:rPr>
      </w:pPr>
      <w:r>
        <w:rPr/>
        <mc:AlternateContent>
          <mc:Choice Requires="wps">
            <w:drawing>
              <wp:anchor distT="0" distB="0" distL="0" distR="0" allowOverlap="1" layoutInCell="1" locked="0" behindDoc="1" simplePos="0" relativeHeight="487812096">
                <wp:simplePos x="0" y="0"/>
                <wp:positionH relativeFrom="page">
                  <wp:posOffset>231457</wp:posOffset>
                </wp:positionH>
                <wp:positionV relativeFrom="paragraph">
                  <wp:posOffset>48257</wp:posOffset>
                </wp:positionV>
                <wp:extent cx="7312659" cy="17145"/>
                <wp:effectExtent l="0" t="0" r="0" b="0"/>
                <wp:wrapTopAndBottom/>
                <wp:docPr id="1113" name="Group 1113"/>
                <wp:cNvGraphicFramePr>
                  <a:graphicFrameLocks/>
                </wp:cNvGraphicFramePr>
                <a:graphic>
                  <a:graphicData uri="http://schemas.microsoft.com/office/word/2010/wordprocessingGroup">
                    <wpg:wgp>
                      <wpg:cNvPr id="1113" name="Group 1113"/>
                      <wpg:cNvGrpSpPr/>
                      <wpg:grpSpPr>
                        <a:xfrm>
                          <a:off x="0" y="0"/>
                          <a:ext cx="7312659" cy="17145"/>
                          <a:chExt cx="7312659" cy="17145"/>
                        </a:xfrm>
                      </wpg:grpSpPr>
                      <wps:wsp>
                        <wps:cNvPr id="1114" name="Graphic 11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15" name="Graphic 1115"/>
                        <wps:cNvSpPr/>
                        <wps:spPr>
                          <a:xfrm>
                            <a:off x="-12" y="-1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16" name="Graphic 11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04384;mso-wrap-distance-left:0;mso-wrap-distance-right:0" id="docshapegroup1111" coordorigin="364,76" coordsize="11516,27">
                <v:rect style="position:absolute;left:364;top:76;width:11516;height:14" id="docshape1112" filled="true" fillcolor="#999999" stroked="false">
                  <v:fill type="solid"/>
                </v:rect>
                <v:shape style="position:absolute;left:364;top:75;width:11516;height:27" id="docshape1113" coordorigin="364,76" coordsize="11516,27" path="m11880,76l11866,89,364,89,364,103,11866,103,11880,103,11880,89,11880,76xe" filled="true" fillcolor="#ededed" stroked="false">
                  <v:path arrowok="t"/>
                  <v:fill type="solid"/>
                </v:shape>
                <v:shape style="position:absolute;left:364;top:76;width:14;height:27" id="docshape1114" coordorigin="364,76" coordsize="14,27" path="m364,103l364,76,378,76,378,89,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spacing w:line="213" w:lineRule="auto" w:before="138"/>
        <w:ind w:left="468" w:right="220" w:firstLine="0"/>
        <w:jc w:val="both"/>
        <w:rPr>
          <w:sz w:val="21"/>
        </w:rPr>
      </w:pPr>
      <w:r>
        <w:rPr>
          <w:sz w:val="21"/>
        </w:rPr>
        <w:t>provision of this Agreement would cause Employee to incur an additional tax, penalty, or interest under Section 409A, the Committee and Employee shall use reasonable efforts to reform such provision, if possible, in a mutually agreeable fashion </w:t>
      </w:r>
      <w:r>
        <w:rPr>
          <w:sz w:val="21"/>
        </w:rPr>
        <w:t>to maintain to the maximum extent practicable the original intent of the applicable provision without violating the provisions of Section 409A or causing the imposition of such additional tax, penalty, or interest under Section 409A. However, the preceding provisions</w:t>
      </w:r>
      <w:r>
        <w:rPr>
          <w:spacing w:val="23"/>
          <w:sz w:val="21"/>
        </w:rPr>
        <w:t> </w:t>
      </w:r>
      <w:r>
        <w:rPr>
          <w:sz w:val="21"/>
        </w:rPr>
        <w:t>shall</w:t>
      </w:r>
      <w:r>
        <w:rPr>
          <w:spacing w:val="23"/>
          <w:sz w:val="21"/>
        </w:rPr>
        <w:t> </w:t>
      </w:r>
      <w:r>
        <w:rPr>
          <w:sz w:val="21"/>
        </w:rPr>
        <w:t>not</w:t>
      </w:r>
      <w:r>
        <w:rPr>
          <w:spacing w:val="23"/>
          <w:sz w:val="21"/>
        </w:rPr>
        <w:t> </w:t>
      </w:r>
      <w:r>
        <w:rPr>
          <w:sz w:val="21"/>
        </w:rPr>
        <w:t>be</w:t>
      </w:r>
      <w:r>
        <w:rPr>
          <w:spacing w:val="23"/>
          <w:sz w:val="21"/>
        </w:rPr>
        <w:t> </w:t>
      </w:r>
      <w:r>
        <w:rPr>
          <w:sz w:val="21"/>
        </w:rPr>
        <w:t>construed</w:t>
      </w:r>
      <w:r>
        <w:rPr>
          <w:spacing w:val="23"/>
          <w:sz w:val="21"/>
        </w:rPr>
        <w:t> </w:t>
      </w:r>
      <w:r>
        <w:rPr>
          <w:sz w:val="21"/>
        </w:rPr>
        <w:t>as</w:t>
      </w:r>
      <w:r>
        <w:rPr>
          <w:spacing w:val="23"/>
          <w:sz w:val="21"/>
        </w:rPr>
        <w:t> </w:t>
      </w:r>
      <w:r>
        <w:rPr>
          <w:sz w:val="21"/>
        </w:rPr>
        <w:t>a</w:t>
      </w:r>
      <w:r>
        <w:rPr>
          <w:spacing w:val="23"/>
          <w:sz w:val="21"/>
        </w:rPr>
        <w:t> </w:t>
      </w:r>
      <w:r>
        <w:rPr>
          <w:sz w:val="21"/>
        </w:rPr>
        <w:t>guarantee</w:t>
      </w:r>
      <w:r>
        <w:rPr>
          <w:spacing w:val="23"/>
          <w:sz w:val="21"/>
        </w:rPr>
        <w:t> </w:t>
      </w:r>
      <w:r>
        <w:rPr>
          <w:sz w:val="21"/>
        </w:rPr>
        <w:t>by</w:t>
      </w:r>
      <w:r>
        <w:rPr>
          <w:spacing w:val="23"/>
          <w:sz w:val="21"/>
        </w:rPr>
        <w:t> </w:t>
      </w:r>
      <w:r>
        <w:rPr>
          <w:sz w:val="21"/>
        </w:rPr>
        <w:t>Employer</w:t>
      </w:r>
      <w:r>
        <w:rPr>
          <w:spacing w:val="23"/>
          <w:sz w:val="21"/>
        </w:rPr>
        <w:t> </w:t>
      </w:r>
      <w:r>
        <w:rPr>
          <w:sz w:val="21"/>
        </w:rPr>
        <w:t>of</w:t>
      </w:r>
      <w:r>
        <w:rPr>
          <w:spacing w:val="23"/>
          <w:sz w:val="21"/>
        </w:rPr>
        <w:t> </w:t>
      </w:r>
      <w:r>
        <w:rPr>
          <w:sz w:val="21"/>
        </w:rPr>
        <w:t>any</w:t>
      </w:r>
      <w:r>
        <w:rPr>
          <w:spacing w:val="23"/>
          <w:sz w:val="21"/>
        </w:rPr>
        <w:t> </w:t>
      </w:r>
      <w:r>
        <w:rPr>
          <w:sz w:val="21"/>
        </w:rPr>
        <w:t>particular</w:t>
      </w:r>
      <w:r>
        <w:rPr>
          <w:spacing w:val="23"/>
          <w:sz w:val="21"/>
        </w:rPr>
        <w:t> </w:t>
      </w:r>
      <w:r>
        <w:rPr>
          <w:sz w:val="21"/>
        </w:rPr>
        <w:t>tax</w:t>
      </w:r>
      <w:r>
        <w:rPr>
          <w:spacing w:val="23"/>
          <w:sz w:val="21"/>
        </w:rPr>
        <w:t> </w:t>
      </w:r>
      <w:r>
        <w:rPr>
          <w:sz w:val="21"/>
        </w:rPr>
        <w:t>effect</w:t>
      </w:r>
      <w:r>
        <w:rPr>
          <w:spacing w:val="23"/>
          <w:sz w:val="21"/>
        </w:rPr>
        <w:t> </w:t>
      </w:r>
      <w:r>
        <w:rPr>
          <w:sz w:val="21"/>
        </w:rPr>
        <w:t>to</w:t>
      </w:r>
      <w:r>
        <w:rPr>
          <w:spacing w:val="23"/>
          <w:sz w:val="21"/>
        </w:rPr>
        <w:t> </w:t>
      </w:r>
      <w:r>
        <w:rPr>
          <w:sz w:val="21"/>
        </w:rPr>
        <w:t>Employee</w:t>
      </w:r>
      <w:r>
        <w:rPr>
          <w:spacing w:val="23"/>
          <w:sz w:val="21"/>
        </w:rPr>
        <w:t> </w:t>
      </w:r>
      <w:r>
        <w:rPr>
          <w:sz w:val="21"/>
        </w:rPr>
        <w:t>under</w:t>
      </w:r>
      <w:r>
        <w:rPr>
          <w:spacing w:val="23"/>
          <w:sz w:val="21"/>
        </w:rPr>
        <w:t> </w:t>
      </w:r>
      <w:r>
        <w:rPr>
          <w:sz w:val="21"/>
        </w:rPr>
        <w:t>this Agreement.</w:t>
      </w:r>
    </w:p>
    <w:p>
      <w:pPr>
        <w:pStyle w:val="ListParagraph"/>
        <w:numPr>
          <w:ilvl w:val="1"/>
          <w:numId w:val="55"/>
        </w:numPr>
        <w:tabs>
          <w:tab w:pos="902" w:val="left" w:leader="none"/>
        </w:tabs>
        <w:spacing w:line="213" w:lineRule="auto" w:before="222" w:after="0"/>
        <w:ind w:left="468" w:right="221" w:firstLine="0"/>
        <w:jc w:val="both"/>
        <w:rPr>
          <w:sz w:val="21"/>
        </w:rPr>
      </w:pPr>
      <w:r>
        <w:rPr>
          <w:sz w:val="21"/>
        </w:rPr>
        <w:t>“Termination of employment,” or words of similar import, as used in this Agreement means, for purposes of any payments under</w:t>
      </w:r>
      <w:r>
        <w:rPr>
          <w:spacing w:val="40"/>
          <w:sz w:val="21"/>
        </w:rPr>
        <w:t> </w:t>
      </w:r>
      <w:r>
        <w:rPr>
          <w:sz w:val="21"/>
        </w:rPr>
        <w:t>this Agreement</w:t>
      </w:r>
      <w:r>
        <w:rPr>
          <w:spacing w:val="40"/>
          <w:sz w:val="21"/>
        </w:rPr>
        <w:t> </w:t>
      </w:r>
      <w:r>
        <w:rPr>
          <w:sz w:val="21"/>
        </w:rPr>
        <w:t>that</w:t>
      </w:r>
      <w:r>
        <w:rPr>
          <w:spacing w:val="40"/>
          <w:sz w:val="21"/>
        </w:rPr>
        <w:t> </w:t>
      </w:r>
      <w:r>
        <w:rPr>
          <w:sz w:val="21"/>
        </w:rPr>
        <w:t>are</w:t>
      </w:r>
      <w:r>
        <w:rPr>
          <w:spacing w:val="40"/>
          <w:sz w:val="21"/>
        </w:rPr>
        <w:t> </w:t>
      </w:r>
      <w:r>
        <w:rPr>
          <w:sz w:val="21"/>
        </w:rPr>
        <w:t>payments</w:t>
      </w:r>
      <w:r>
        <w:rPr>
          <w:spacing w:val="40"/>
          <w:sz w:val="21"/>
        </w:rPr>
        <w:t> </w:t>
      </w:r>
      <w:r>
        <w:rPr>
          <w:sz w:val="21"/>
        </w:rPr>
        <w:t>of</w:t>
      </w:r>
      <w:r>
        <w:rPr>
          <w:spacing w:val="40"/>
          <w:sz w:val="21"/>
        </w:rPr>
        <w:t> </w:t>
      </w:r>
      <w:r>
        <w:rPr>
          <w:sz w:val="21"/>
        </w:rPr>
        <w:t>deferred</w:t>
      </w:r>
      <w:r>
        <w:rPr>
          <w:spacing w:val="40"/>
          <w:sz w:val="21"/>
        </w:rPr>
        <w:t> </w:t>
      </w:r>
      <w:r>
        <w:rPr>
          <w:sz w:val="21"/>
        </w:rPr>
        <w:t>compensation</w:t>
      </w:r>
      <w:r>
        <w:rPr>
          <w:spacing w:val="40"/>
          <w:sz w:val="21"/>
        </w:rPr>
        <w:t> </w:t>
      </w:r>
      <w:r>
        <w:rPr>
          <w:sz w:val="21"/>
        </w:rPr>
        <w:t>subject</w:t>
      </w:r>
      <w:r>
        <w:rPr>
          <w:spacing w:val="40"/>
          <w:sz w:val="21"/>
        </w:rPr>
        <w:t> </w:t>
      </w:r>
      <w:r>
        <w:rPr>
          <w:sz w:val="21"/>
        </w:rPr>
        <w:t>to</w:t>
      </w:r>
      <w:r>
        <w:rPr>
          <w:spacing w:val="40"/>
          <w:sz w:val="21"/>
        </w:rPr>
        <w:t> </w:t>
      </w:r>
      <w:r>
        <w:rPr>
          <w:sz w:val="21"/>
        </w:rPr>
        <w:t>Section</w:t>
      </w:r>
      <w:r>
        <w:rPr>
          <w:spacing w:val="40"/>
          <w:sz w:val="21"/>
        </w:rPr>
        <w:t> </w:t>
      </w:r>
      <w:r>
        <w:rPr>
          <w:sz w:val="21"/>
        </w:rPr>
        <w:t>409A,</w:t>
      </w:r>
      <w:r>
        <w:rPr>
          <w:spacing w:val="40"/>
          <w:sz w:val="21"/>
        </w:rPr>
        <w:t> </w:t>
      </w:r>
      <w:r>
        <w:rPr>
          <w:sz w:val="21"/>
        </w:rPr>
        <w:t>Employee’s</w:t>
      </w:r>
      <w:r>
        <w:rPr>
          <w:spacing w:val="40"/>
          <w:sz w:val="21"/>
        </w:rPr>
        <w:t> </w:t>
      </w:r>
      <w:r>
        <w:rPr>
          <w:sz w:val="21"/>
        </w:rPr>
        <w:t>“separation</w:t>
      </w:r>
      <w:r>
        <w:rPr>
          <w:spacing w:val="40"/>
          <w:sz w:val="21"/>
        </w:rPr>
        <w:t> </w:t>
      </w:r>
      <w:r>
        <w:rPr>
          <w:sz w:val="21"/>
        </w:rPr>
        <w:t>from service” as defined in Section 409A.</w:t>
      </w:r>
    </w:p>
    <w:p>
      <w:pPr>
        <w:pStyle w:val="ListParagraph"/>
        <w:numPr>
          <w:ilvl w:val="1"/>
          <w:numId w:val="55"/>
        </w:numPr>
        <w:tabs>
          <w:tab w:pos="902" w:val="left" w:leader="none"/>
        </w:tabs>
        <w:spacing w:line="213" w:lineRule="auto" w:before="219" w:after="0"/>
        <w:ind w:left="468" w:right="221" w:firstLine="0"/>
        <w:jc w:val="both"/>
        <w:rPr>
          <w:sz w:val="21"/>
        </w:rPr>
      </w:pPr>
      <w:r>
        <w:rPr>
          <w:sz w:val="21"/>
        </w:rPr>
        <w:t>For</w:t>
      </w:r>
      <w:r>
        <w:rPr>
          <w:spacing w:val="15"/>
          <w:sz w:val="21"/>
        </w:rPr>
        <w:t> </w:t>
      </w:r>
      <w:r>
        <w:rPr>
          <w:sz w:val="21"/>
        </w:rPr>
        <w:t>purposes</w:t>
      </w:r>
      <w:r>
        <w:rPr>
          <w:spacing w:val="15"/>
          <w:sz w:val="21"/>
        </w:rPr>
        <w:t> </w:t>
      </w:r>
      <w:r>
        <w:rPr>
          <w:sz w:val="21"/>
        </w:rPr>
        <w:t>of</w:t>
      </w:r>
      <w:r>
        <w:rPr>
          <w:spacing w:val="15"/>
          <w:sz w:val="21"/>
        </w:rPr>
        <w:t> </w:t>
      </w:r>
      <w:r>
        <w:rPr>
          <w:sz w:val="21"/>
        </w:rPr>
        <w:t>Section</w:t>
      </w:r>
      <w:r>
        <w:rPr>
          <w:spacing w:val="15"/>
          <w:sz w:val="21"/>
        </w:rPr>
        <w:t> </w:t>
      </w:r>
      <w:r>
        <w:rPr>
          <w:sz w:val="21"/>
        </w:rPr>
        <w:t>409A,</w:t>
      </w:r>
      <w:r>
        <w:rPr>
          <w:spacing w:val="15"/>
          <w:sz w:val="21"/>
        </w:rPr>
        <w:t> </w:t>
      </w:r>
      <w:r>
        <w:rPr>
          <w:sz w:val="21"/>
        </w:rPr>
        <w:t>the</w:t>
      </w:r>
      <w:r>
        <w:rPr>
          <w:spacing w:val="15"/>
          <w:sz w:val="21"/>
        </w:rPr>
        <w:t> </w:t>
      </w:r>
      <w:r>
        <w:rPr>
          <w:sz w:val="21"/>
        </w:rPr>
        <w:t>right</w:t>
      </w:r>
      <w:r>
        <w:rPr>
          <w:spacing w:val="15"/>
          <w:sz w:val="21"/>
        </w:rPr>
        <w:t> </w:t>
      </w:r>
      <w:r>
        <w:rPr>
          <w:sz w:val="21"/>
        </w:rPr>
        <w:t>to</w:t>
      </w:r>
      <w:r>
        <w:rPr>
          <w:spacing w:val="15"/>
          <w:sz w:val="21"/>
        </w:rPr>
        <w:t> </w:t>
      </w:r>
      <w:r>
        <w:rPr>
          <w:sz w:val="21"/>
        </w:rPr>
        <w:t>a</w:t>
      </w:r>
      <w:r>
        <w:rPr>
          <w:spacing w:val="15"/>
          <w:sz w:val="21"/>
        </w:rPr>
        <w:t> </w:t>
      </w:r>
      <w:r>
        <w:rPr>
          <w:sz w:val="21"/>
        </w:rPr>
        <w:t>series</w:t>
      </w:r>
      <w:r>
        <w:rPr>
          <w:spacing w:val="15"/>
          <w:sz w:val="21"/>
        </w:rPr>
        <w:t> </w:t>
      </w:r>
      <w:r>
        <w:rPr>
          <w:sz w:val="21"/>
        </w:rPr>
        <w:t>of</w:t>
      </w:r>
      <w:r>
        <w:rPr>
          <w:spacing w:val="15"/>
          <w:sz w:val="21"/>
        </w:rPr>
        <w:t> </w:t>
      </w:r>
      <w:r>
        <w:rPr>
          <w:sz w:val="21"/>
        </w:rPr>
        <w:t>installment</w:t>
      </w:r>
      <w:r>
        <w:rPr>
          <w:spacing w:val="15"/>
          <w:sz w:val="21"/>
        </w:rPr>
        <w:t> </w:t>
      </w:r>
      <w:r>
        <w:rPr>
          <w:sz w:val="21"/>
        </w:rPr>
        <w:t>payments</w:t>
      </w:r>
      <w:r>
        <w:rPr>
          <w:spacing w:val="15"/>
          <w:sz w:val="21"/>
        </w:rPr>
        <w:t> </w:t>
      </w:r>
      <w:r>
        <w:rPr>
          <w:sz w:val="21"/>
        </w:rPr>
        <w:t>under</w:t>
      </w:r>
      <w:r>
        <w:rPr>
          <w:spacing w:val="15"/>
          <w:sz w:val="21"/>
        </w:rPr>
        <w:t> </w:t>
      </w:r>
      <w:r>
        <w:rPr>
          <w:sz w:val="21"/>
        </w:rPr>
        <w:t>this Agreement</w:t>
      </w:r>
      <w:r>
        <w:rPr>
          <w:spacing w:val="15"/>
          <w:sz w:val="21"/>
        </w:rPr>
        <w:t> </w:t>
      </w:r>
      <w:r>
        <w:rPr>
          <w:sz w:val="21"/>
        </w:rPr>
        <w:t>shall</w:t>
      </w:r>
      <w:r>
        <w:rPr>
          <w:spacing w:val="15"/>
          <w:sz w:val="21"/>
        </w:rPr>
        <w:t> </w:t>
      </w:r>
      <w:r>
        <w:rPr>
          <w:sz w:val="21"/>
        </w:rPr>
        <w:t>be</w:t>
      </w:r>
      <w:r>
        <w:rPr>
          <w:spacing w:val="15"/>
          <w:sz w:val="21"/>
        </w:rPr>
        <w:t> </w:t>
      </w:r>
      <w:r>
        <w:rPr>
          <w:sz w:val="21"/>
        </w:rPr>
        <w:t>treated</w:t>
      </w:r>
      <w:r>
        <w:rPr>
          <w:spacing w:val="15"/>
          <w:sz w:val="21"/>
        </w:rPr>
        <w:t> </w:t>
      </w:r>
      <w:r>
        <w:rPr>
          <w:sz w:val="21"/>
        </w:rPr>
        <w:t>as</w:t>
      </w:r>
      <w:r>
        <w:rPr>
          <w:spacing w:val="15"/>
          <w:sz w:val="21"/>
        </w:rPr>
        <w:t> </w:t>
      </w:r>
      <w:r>
        <w:rPr>
          <w:sz w:val="21"/>
        </w:rPr>
        <w:t>a</w:t>
      </w:r>
      <w:r>
        <w:rPr>
          <w:spacing w:val="15"/>
          <w:sz w:val="21"/>
        </w:rPr>
        <w:t> </w:t>
      </w:r>
      <w:r>
        <w:rPr>
          <w:sz w:val="21"/>
        </w:rPr>
        <w:t>right to a series of separate payments.</w:t>
      </w:r>
    </w:p>
    <w:p>
      <w:pPr>
        <w:pStyle w:val="ListParagraph"/>
        <w:numPr>
          <w:ilvl w:val="1"/>
          <w:numId w:val="55"/>
        </w:numPr>
        <w:tabs>
          <w:tab w:pos="898" w:val="left" w:leader="none"/>
        </w:tabs>
        <w:spacing w:line="213" w:lineRule="auto" w:before="218" w:after="0"/>
        <w:ind w:left="468" w:right="223" w:firstLine="0"/>
        <w:jc w:val="both"/>
        <w:rPr>
          <w:sz w:val="21"/>
        </w:rPr>
      </w:pPr>
      <w:r>
        <w:rPr>
          <w:sz w:val="21"/>
        </w:rPr>
        <w:t>With respect to any reimbursement of Employee’s expenses, or any provision of in-kind benefits to you, as specified </w:t>
      </w:r>
      <w:r>
        <w:rPr>
          <w:sz w:val="21"/>
        </w:rPr>
        <w:t>under</w:t>
      </w:r>
      <w:r>
        <w:rPr>
          <w:spacing w:val="40"/>
          <w:sz w:val="21"/>
        </w:rPr>
        <w:t> </w:t>
      </w:r>
      <w:r>
        <w:rPr>
          <w:sz w:val="21"/>
        </w:rPr>
        <w:t>this</w:t>
      </w:r>
      <w:r>
        <w:rPr>
          <w:spacing w:val="16"/>
          <w:sz w:val="21"/>
        </w:rPr>
        <w:t> </w:t>
      </w:r>
      <w:r>
        <w:rPr>
          <w:sz w:val="21"/>
        </w:rPr>
        <w:t>Agreement,</w:t>
      </w:r>
      <w:r>
        <w:rPr>
          <w:spacing w:val="31"/>
          <w:sz w:val="21"/>
        </w:rPr>
        <w:t> </w:t>
      </w:r>
      <w:r>
        <w:rPr>
          <w:sz w:val="21"/>
        </w:rPr>
        <w:t>such</w:t>
      </w:r>
      <w:r>
        <w:rPr>
          <w:spacing w:val="31"/>
          <w:sz w:val="21"/>
        </w:rPr>
        <w:t> </w:t>
      </w:r>
      <w:r>
        <w:rPr>
          <w:sz w:val="21"/>
        </w:rPr>
        <w:t>reimbursement</w:t>
      </w:r>
      <w:r>
        <w:rPr>
          <w:spacing w:val="31"/>
          <w:sz w:val="21"/>
        </w:rPr>
        <w:t> </w:t>
      </w:r>
      <w:r>
        <w:rPr>
          <w:sz w:val="21"/>
        </w:rPr>
        <w:t>of</w:t>
      </w:r>
      <w:r>
        <w:rPr>
          <w:spacing w:val="31"/>
          <w:sz w:val="21"/>
        </w:rPr>
        <w:t> </w:t>
      </w:r>
      <w:r>
        <w:rPr>
          <w:sz w:val="21"/>
        </w:rPr>
        <w:t>expenses</w:t>
      </w:r>
      <w:r>
        <w:rPr>
          <w:spacing w:val="31"/>
          <w:sz w:val="21"/>
        </w:rPr>
        <w:t> </w:t>
      </w:r>
      <w:r>
        <w:rPr>
          <w:sz w:val="21"/>
        </w:rPr>
        <w:t>or</w:t>
      </w:r>
      <w:r>
        <w:rPr>
          <w:spacing w:val="31"/>
          <w:sz w:val="21"/>
        </w:rPr>
        <w:t> </w:t>
      </w:r>
      <w:r>
        <w:rPr>
          <w:sz w:val="21"/>
        </w:rPr>
        <w:t>provision</w:t>
      </w:r>
      <w:r>
        <w:rPr>
          <w:spacing w:val="31"/>
          <w:sz w:val="21"/>
        </w:rPr>
        <w:t> </w:t>
      </w:r>
      <w:r>
        <w:rPr>
          <w:sz w:val="21"/>
        </w:rPr>
        <w:t>of</w:t>
      </w:r>
      <w:r>
        <w:rPr>
          <w:spacing w:val="31"/>
          <w:sz w:val="21"/>
        </w:rPr>
        <w:t> </w:t>
      </w:r>
      <w:r>
        <w:rPr>
          <w:sz w:val="21"/>
        </w:rPr>
        <w:t>in-kind</w:t>
      </w:r>
      <w:r>
        <w:rPr>
          <w:spacing w:val="31"/>
          <w:sz w:val="21"/>
        </w:rPr>
        <w:t> </w:t>
      </w:r>
      <w:r>
        <w:rPr>
          <w:sz w:val="21"/>
        </w:rPr>
        <w:t>benefits</w:t>
      </w:r>
      <w:r>
        <w:rPr>
          <w:spacing w:val="31"/>
          <w:sz w:val="21"/>
        </w:rPr>
        <w:t> </w:t>
      </w:r>
      <w:r>
        <w:rPr>
          <w:sz w:val="21"/>
        </w:rPr>
        <w:t>shall</w:t>
      </w:r>
      <w:r>
        <w:rPr>
          <w:spacing w:val="31"/>
          <w:sz w:val="21"/>
        </w:rPr>
        <w:t> </w:t>
      </w:r>
      <w:r>
        <w:rPr>
          <w:sz w:val="21"/>
        </w:rPr>
        <w:t>be</w:t>
      </w:r>
      <w:r>
        <w:rPr>
          <w:spacing w:val="31"/>
          <w:sz w:val="21"/>
        </w:rPr>
        <w:t> </w:t>
      </w:r>
      <w:r>
        <w:rPr>
          <w:sz w:val="21"/>
        </w:rPr>
        <w:t>subject</w:t>
      </w:r>
      <w:r>
        <w:rPr>
          <w:spacing w:val="31"/>
          <w:sz w:val="21"/>
        </w:rPr>
        <w:t> </w:t>
      </w:r>
      <w:r>
        <w:rPr>
          <w:sz w:val="21"/>
        </w:rPr>
        <w:t>to</w:t>
      </w:r>
      <w:r>
        <w:rPr>
          <w:spacing w:val="31"/>
          <w:sz w:val="21"/>
        </w:rPr>
        <w:t> </w:t>
      </w:r>
      <w:r>
        <w:rPr>
          <w:sz w:val="21"/>
        </w:rPr>
        <w:t>the</w:t>
      </w:r>
      <w:r>
        <w:rPr>
          <w:spacing w:val="31"/>
          <w:sz w:val="21"/>
        </w:rPr>
        <w:t> </w:t>
      </w:r>
      <w:r>
        <w:rPr>
          <w:sz w:val="21"/>
        </w:rPr>
        <w:t>following</w:t>
      </w:r>
      <w:r>
        <w:rPr>
          <w:spacing w:val="31"/>
          <w:sz w:val="21"/>
        </w:rPr>
        <w:t> </w:t>
      </w:r>
      <w:r>
        <w:rPr>
          <w:sz w:val="21"/>
        </w:rPr>
        <w:t>conditions:</w:t>
      </w:r>
    </w:p>
    <w:p>
      <w:pPr>
        <w:spacing w:line="213" w:lineRule="auto" w:before="2"/>
        <w:ind w:left="468" w:right="223" w:firstLine="0"/>
        <w:jc w:val="both"/>
        <w:rPr>
          <w:sz w:val="21"/>
        </w:rPr>
      </w:pPr>
      <w:r>
        <w:rPr>
          <w:sz w:val="21"/>
        </w:rPr>
        <w:t>(1) the expenses eligible for reimbursement or the amount of in-kind benefits provided in one taxable year shall not affect the expenses</w:t>
      </w:r>
      <w:r>
        <w:rPr>
          <w:spacing w:val="40"/>
          <w:sz w:val="21"/>
        </w:rPr>
        <w:t> </w:t>
      </w:r>
      <w:r>
        <w:rPr>
          <w:sz w:val="21"/>
        </w:rPr>
        <w:t>eligible</w:t>
      </w:r>
      <w:r>
        <w:rPr>
          <w:spacing w:val="40"/>
          <w:sz w:val="21"/>
        </w:rPr>
        <w:t> </w:t>
      </w:r>
      <w:r>
        <w:rPr>
          <w:sz w:val="21"/>
        </w:rPr>
        <w:t>for</w:t>
      </w:r>
      <w:r>
        <w:rPr>
          <w:spacing w:val="40"/>
          <w:sz w:val="21"/>
        </w:rPr>
        <w:t> </w:t>
      </w:r>
      <w:r>
        <w:rPr>
          <w:sz w:val="21"/>
        </w:rPr>
        <w:t>reimbursement</w:t>
      </w:r>
      <w:r>
        <w:rPr>
          <w:spacing w:val="40"/>
          <w:sz w:val="21"/>
        </w:rPr>
        <w:t> </w:t>
      </w:r>
      <w:r>
        <w:rPr>
          <w:sz w:val="21"/>
        </w:rPr>
        <w:t>or</w:t>
      </w:r>
      <w:r>
        <w:rPr>
          <w:spacing w:val="40"/>
          <w:sz w:val="21"/>
        </w:rPr>
        <w:t> </w:t>
      </w:r>
      <w:r>
        <w:rPr>
          <w:sz w:val="21"/>
        </w:rPr>
        <w:t>the</w:t>
      </w:r>
      <w:r>
        <w:rPr>
          <w:spacing w:val="40"/>
          <w:sz w:val="21"/>
        </w:rPr>
        <w:t> </w:t>
      </w:r>
      <w:r>
        <w:rPr>
          <w:sz w:val="21"/>
        </w:rPr>
        <w:t>amount</w:t>
      </w:r>
      <w:r>
        <w:rPr>
          <w:spacing w:val="40"/>
          <w:sz w:val="21"/>
        </w:rPr>
        <w:t> </w:t>
      </w:r>
      <w:r>
        <w:rPr>
          <w:sz w:val="21"/>
        </w:rPr>
        <w:t>of</w:t>
      </w:r>
      <w:r>
        <w:rPr>
          <w:spacing w:val="40"/>
          <w:sz w:val="21"/>
        </w:rPr>
        <w:t> </w:t>
      </w:r>
      <w:r>
        <w:rPr>
          <w:sz w:val="21"/>
        </w:rPr>
        <w:t>in-kind</w:t>
      </w:r>
      <w:r>
        <w:rPr>
          <w:spacing w:val="40"/>
          <w:sz w:val="21"/>
        </w:rPr>
        <w:t> </w:t>
      </w:r>
      <w:r>
        <w:rPr>
          <w:sz w:val="21"/>
        </w:rPr>
        <w:t>benefits</w:t>
      </w:r>
      <w:r>
        <w:rPr>
          <w:spacing w:val="40"/>
          <w:sz w:val="21"/>
        </w:rPr>
        <w:t> </w:t>
      </w:r>
      <w:r>
        <w:rPr>
          <w:sz w:val="21"/>
        </w:rPr>
        <w:t>provided</w:t>
      </w:r>
      <w:r>
        <w:rPr>
          <w:spacing w:val="40"/>
          <w:sz w:val="21"/>
        </w:rPr>
        <w:t> </w:t>
      </w:r>
      <w:r>
        <w:rPr>
          <w:sz w:val="21"/>
        </w:rPr>
        <w:t>in</w:t>
      </w:r>
      <w:r>
        <w:rPr>
          <w:spacing w:val="40"/>
          <w:sz w:val="21"/>
        </w:rPr>
        <w:t> </w:t>
      </w:r>
      <w:r>
        <w:rPr>
          <w:sz w:val="21"/>
        </w:rPr>
        <w:t>any</w:t>
      </w:r>
      <w:r>
        <w:rPr>
          <w:spacing w:val="40"/>
          <w:sz w:val="21"/>
        </w:rPr>
        <w:t> </w:t>
      </w:r>
      <w:r>
        <w:rPr>
          <w:sz w:val="21"/>
        </w:rPr>
        <w:t>other</w:t>
      </w:r>
      <w:r>
        <w:rPr>
          <w:spacing w:val="40"/>
          <w:sz w:val="21"/>
        </w:rPr>
        <w:t> </w:t>
      </w:r>
      <w:r>
        <w:rPr>
          <w:sz w:val="21"/>
        </w:rPr>
        <w:t>taxable</w:t>
      </w:r>
      <w:r>
        <w:rPr>
          <w:spacing w:val="40"/>
          <w:sz w:val="21"/>
        </w:rPr>
        <w:t> </w:t>
      </w:r>
      <w:r>
        <w:rPr>
          <w:sz w:val="21"/>
        </w:rPr>
        <w:t>year,</w:t>
      </w:r>
      <w:r>
        <w:rPr>
          <w:spacing w:val="40"/>
          <w:sz w:val="21"/>
        </w:rPr>
        <w:t> </w:t>
      </w:r>
      <w:r>
        <w:rPr>
          <w:sz w:val="21"/>
        </w:rPr>
        <w:t>except</w:t>
      </w:r>
      <w:r>
        <w:rPr>
          <w:spacing w:val="40"/>
          <w:sz w:val="21"/>
        </w:rPr>
        <w:t> </w:t>
      </w:r>
      <w:r>
        <w:rPr>
          <w:sz w:val="21"/>
        </w:rPr>
        <w:t>for</w:t>
      </w:r>
      <w:r>
        <w:rPr>
          <w:spacing w:val="40"/>
          <w:sz w:val="21"/>
        </w:rPr>
        <w:t> </w:t>
      </w:r>
      <w:r>
        <w:rPr>
          <w:sz w:val="21"/>
        </w:rPr>
        <w:t>any medical reimbursement arrangement providing for the reimbursement of expenses referred to in Section 105(b) of the Code; </w:t>
      </w:r>
      <w:r>
        <w:rPr>
          <w:sz w:val="21"/>
        </w:rPr>
        <w:t>(2)</w:t>
      </w:r>
      <w:r>
        <w:rPr>
          <w:spacing w:val="80"/>
          <w:w w:val="150"/>
          <w:sz w:val="21"/>
        </w:rPr>
        <w:t> </w:t>
      </w:r>
      <w:r>
        <w:rPr>
          <w:sz w:val="21"/>
        </w:rPr>
        <w:t>the</w:t>
      </w:r>
      <w:r>
        <w:rPr>
          <w:spacing w:val="20"/>
          <w:sz w:val="21"/>
        </w:rPr>
        <w:t> </w:t>
      </w:r>
      <w:r>
        <w:rPr>
          <w:sz w:val="21"/>
        </w:rPr>
        <w:t>reimbursement</w:t>
      </w:r>
      <w:r>
        <w:rPr>
          <w:spacing w:val="20"/>
          <w:sz w:val="21"/>
        </w:rPr>
        <w:t> </w:t>
      </w:r>
      <w:r>
        <w:rPr>
          <w:sz w:val="21"/>
        </w:rPr>
        <w:t>of</w:t>
      </w:r>
      <w:r>
        <w:rPr>
          <w:spacing w:val="20"/>
          <w:sz w:val="21"/>
        </w:rPr>
        <w:t> </w:t>
      </w:r>
      <w:r>
        <w:rPr>
          <w:sz w:val="21"/>
        </w:rPr>
        <w:t>an</w:t>
      </w:r>
      <w:r>
        <w:rPr>
          <w:spacing w:val="20"/>
          <w:sz w:val="21"/>
        </w:rPr>
        <w:t> </w:t>
      </w:r>
      <w:r>
        <w:rPr>
          <w:sz w:val="21"/>
        </w:rPr>
        <w:t>eligible</w:t>
      </w:r>
      <w:r>
        <w:rPr>
          <w:spacing w:val="20"/>
          <w:sz w:val="21"/>
        </w:rPr>
        <w:t> </w:t>
      </w:r>
      <w:r>
        <w:rPr>
          <w:sz w:val="21"/>
        </w:rPr>
        <w:t>expense</w:t>
      </w:r>
      <w:r>
        <w:rPr>
          <w:spacing w:val="20"/>
          <w:sz w:val="21"/>
        </w:rPr>
        <w:t> </w:t>
      </w:r>
      <w:r>
        <w:rPr>
          <w:sz w:val="21"/>
        </w:rPr>
        <w:t>shall</w:t>
      </w:r>
      <w:r>
        <w:rPr>
          <w:spacing w:val="20"/>
          <w:sz w:val="21"/>
        </w:rPr>
        <w:t> </w:t>
      </w:r>
      <w:r>
        <w:rPr>
          <w:sz w:val="21"/>
        </w:rPr>
        <w:t>be</w:t>
      </w:r>
      <w:r>
        <w:rPr>
          <w:spacing w:val="20"/>
          <w:sz w:val="21"/>
        </w:rPr>
        <w:t> </w:t>
      </w:r>
      <w:r>
        <w:rPr>
          <w:sz w:val="21"/>
        </w:rPr>
        <w:t>made</w:t>
      </w:r>
      <w:r>
        <w:rPr>
          <w:spacing w:val="20"/>
          <w:sz w:val="21"/>
        </w:rPr>
        <w:t> </w:t>
      </w:r>
      <w:r>
        <w:rPr>
          <w:sz w:val="21"/>
        </w:rPr>
        <w:t>pursuant</w:t>
      </w:r>
      <w:r>
        <w:rPr>
          <w:spacing w:val="20"/>
          <w:sz w:val="21"/>
        </w:rPr>
        <w:t> </w:t>
      </w:r>
      <w:r>
        <w:rPr>
          <w:sz w:val="21"/>
        </w:rPr>
        <w:t>to</w:t>
      </w:r>
      <w:r>
        <w:rPr>
          <w:spacing w:val="20"/>
          <w:sz w:val="21"/>
        </w:rPr>
        <w:t> </w:t>
      </w:r>
      <w:r>
        <w:rPr>
          <w:sz w:val="21"/>
        </w:rPr>
        <w:t>Employer’s</w:t>
      </w:r>
      <w:r>
        <w:rPr>
          <w:spacing w:val="20"/>
          <w:sz w:val="21"/>
        </w:rPr>
        <w:t> </w:t>
      </w:r>
      <w:r>
        <w:rPr>
          <w:sz w:val="21"/>
        </w:rPr>
        <w:t>reimbursement</w:t>
      </w:r>
      <w:r>
        <w:rPr>
          <w:spacing w:val="20"/>
          <w:sz w:val="21"/>
        </w:rPr>
        <w:t> </w:t>
      </w:r>
      <w:r>
        <w:rPr>
          <w:sz w:val="21"/>
        </w:rPr>
        <w:t>policy</w:t>
      </w:r>
      <w:r>
        <w:rPr>
          <w:spacing w:val="20"/>
          <w:sz w:val="21"/>
        </w:rPr>
        <w:t> </w:t>
      </w:r>
      <w:r>
        <w:rPr>
          <w:sz w:val="21"/>
        </w:rPr>
        <w:t>but</w:t>
      </w:r>
      <w:r>
        <w:rPr>
          <w:spacing w:val="20"/>
          <w:sz w:val="21"/>
        </w:rPr>
        <w:t> </w:t>
      </w:r>
      <w:r>
        <w:rPr>
          <w:sz w:val="21"/>
        </w:rPr>
        <w:t>no</w:t>
      </w:r>
      <w:r>
        <w:rPr>
          <w:spacing w:val="20"/>
          <w:sz w:val="21"/>
        </w:rPr>
        <w:t> </w:t>
      </w:r>
      <w:r>
        <w:rPr>
          <w:sz w:val="21"/>
        </w:rPr>
        <w:t>later</w:t>
      </w:r>
      <w:r>
        <w:rPr>
          <w:spacing w:val="20"/>
          <w:sz w:val="21"/>
        </w:rPr>
        <w:t> </w:t>
      </w:r>
      <w:r>
        <w:rPr>
          <w:sz w:val="21"/>
        </w:rPr>
        <w:t>than</w:t>
      </w:r>
      <w:r>
        <w:rPr>
          <w:spacing w:val="20"/>
          <w:sz w:val="21"/>
        </w:rPr>
        <w:t> </w:t>
      </w:r>
      <w:r>
        <w:rPr>
          <w:sz w:val="21"/>
        </w:rPr>
        <w:t>the</w:t>
      </w:r>
      <w:r>
        <w:rPr>
          <w:spacing w:val="20"/>
          <w:sz w:val="21"/>
        </w:rPr>
        <w:t> </w:t>
      </w:r>
      <w:r>
        <w:rPr>
          <w:sz w:val="21"/>
        </w:rPr>
        <w:t>end of the year after the year in which such expense was incurred; and (3) the right to reimbursement or in-kind benefits shall not be subject to liquidation or exchange for another benefit.</w:t>
      </w:r>
    </w:p>
    <w:p>
      <w:pPr>
        <w:pStyle w:val="ListParagraph"/>
        <w:numPr>
          <w:ilvl w:val="1"/>
          <w:numId w:val="55"/>
        </w:numPr>
        <w:tabs>
          <w:tab w:pos="923" w:val="left" w:leader="none"/>
        </w:tabs>
        <w:spacing w:line="213" w:lineRule="auto" w:before="223" w:after="0"/>
        <w:ind w:left="468" w:right="223" w:firstLine="0"/>
        <w:jc w:val="both"/>
        <w:rPr>
          <w:sz w:val="21"/>
        </w:rPr>
      </w:pPr>
      <w:r>
        <w:rPr>
          <w:sz w:val="21"/>
        </w:rPr>
        <w:t>If a payment obligation under this Agreement that constitutes a payment of “deferred compensation” (as defined under Treasury</w:t>
      </w:r>
      <w:r>
        <w:rPr>
          <w:spacing w:val="17"/>
          <w:sz w:val="21"/>
        </w:rPr>
        <w:t> </w:t>
      </w:r>
      <w:r>
        <w:rPr>
          <w:sz w:val="21"/>
        </w:rPr>
        <w:t>Regulation</w:t>
      </w:r>
      <w:r>
        <w:rPr>
          <w:spacing w:val="17"/>
          <w:sz w:val="21"/>
        </w:rPr>
        <w:t> </w:t>
      </w:r>
      <w:r>
        <w:rPr>
          <w:sz w:val="21"/>
        </w:rPr>
        <w:t>Section</w:t>
      </w:r>
      <w:r>
        <w:rPr>
          <w:spacing w:val="18"/>
          <w:sz w:val="21"/>
        </w:rPr>
        <w:t> </w:t>
      </w:r>
      <w:r>
        <w:rPr>
          <w:sz w:val="21"/>
        </w:rPr>
        <w:t>1.409A-1(b)(1),</w:t>
      </w:r>
      <w:r>
        <w:rPr>
          <w:spacing w:val="17"/>
          <w:sz w:val="21"/>
        </w:rPr>
        <w:t> </w:t>
      </w:r>
      <w:r>
        <w:rPr>
          <w:sz w:val="21"/>
        </w:rPr>
        <w:t>after</w:t>
      </w:r>
      <w:r>
        <w:rPr>
          <w:spacing w:val="18"/>
          <w:sz w:val="21"/>
        </w:rPr>
        <w:t> </w:t>
      </w:r>
      <w:r>
        <w:rPr>
          <w:sz w:val="21"/>
        </w:rPr>
        <w:t>giving</w:t>
      </w:r>
      <w:r>
        <w:rPr>
          <w:spacing w:val="17"/>
          <w:sz w:val="21"/>
        </w:rPr>
        <w:t> </w:t>
      </w:r>
      <w:r>
        <w:rPr>
          <w:sz w:val="21"/>
        </w:rPr>
        <w:t>effect</w:t>
      </w:r>
      <w:r>
        <w:rPr>
          <w:spacing w:val="18"/>
          <w:sz w:val="21"/>
        </w:rPr>
        <w:t> </w:t>
      </w:r>
      <w:r>
        <w:rPr>
          <w:sz w:val="21"/>
        </w:rPr>
        <w:t>to</w:t>
      </w:r>
      <w:r>
        <w:rPr>
          <w:spacing w:val="17"/>
          <w:sz w:val="21"/>
        </w:rPr>
        <w:t> </w:t>
      </w:r>
      <w:r>
        <w:rPr>
          <w:sz w:val="21"/>
        </w:rPr>
        <w:t>the</w:t>
      </w:r>
      <w:r>
        <w:rPr>
          <w:spacing w:val="17"/>
          <w:sz w:val="21"/>
        </w:rPr>
        <w:t> </w:t>
      </w:r>
      <w:r>
        <w:rPr>
          <w:sz w:val="21"/>
        </w:rPr>
        <w:t>exemptions</w:t>
      </w:r>
      <w:r>
        <w:rPr>
          <w:spacing w:val="18"/>
          <w:sz w:val="21"/>
        </w:rPr>
        <w:t> </w:t>
      </w:r>
      <w:r>
        <w:rPr>
          <w:sz w:val="21"/>
        </w:rPr>
        <w:t>in</w:t>
      </w:r>
      <w:r>
        <w:rPr>
          <w:spacing w:val="12"/>
          <w:sz w:val="21"/>
        </w:rPr>
        <w:t> </w:t>
      </w:r>
      <w:r>
        <w:rPr>
          <w:sz w:val="21"/>
        </w:rPr>
        <w:t>Treasury</w:t>
      </w:r>
      <w:r>
        <w:rPr>
          <w:spacing w:val="18"/>
          <w:sz w:val="21"/>
        </w:rPr>
        <w:t> </w:t>
      </w:r>
      <w:r>
        <w:rPr>
          <w:sz w:val="21"/>
        </w:rPr>
        <w:t>Regulation</w:t>
      </w:r>
      <w:r>
        <w:rPr>
          <w:spacing w:val="17"/>
          <w:sz w:val="21"/>
        </w:rPr>
        <w:t> </w:t>
      </w:r>
      <w:r>
        <w:rPr>
          <w:sz w:val="21"/>
        </w:rPr>
        <w:t>Sections</w:t>
      </w:r>
      <w:r>
        <w:rPr>
          <w:spacing w:val="18"/>
          <w:sz w:val="21"/>
        </w:rPr>
        <w:t> </w:t>
      </w:r>
      <w:r>
        <w:rPr>
          <w:sz w:val="21"/>
        </w:rPr>
        <w:t>1.409A-</w:t>
      </w:r>
      <w:r>
        <w:rPr>
          <w:spacing w:val="-4"/>
          <w:sz w:val="21"/>
        </w:rPr>
        <w:t>1(b)</w:t>
      </w:r>
    </w:p>
    <w:p>
      <w:pPr>
        <w:spacing w:line="213" w:lineRule="auto" w:before="2"/>
        <w:ind w:left="468" w:right="223" w:firstLine="0"/>
        <w:jc w:val="both"/>
        <w:rPr>
          <w:sz w:val="21"/>
        </w:rPr>
      </w:pPr>
      <w:r>
        <w:rPr>
          <w:sz w:val="21"/>
        </w:rPr>
        <w:t>(3) through (b)(12)) arises on account of Employee’s separation from service while Employee is a “specified employee” </w:t>
      </w:r>
      <w:r>
        <w:rPr>
          <w:sz w:val="21"/>
        </w:rPr>
        <w:t>(as</w:t>
      </w:r>
      <w:r>
        <w:rPr>
          <w:spacing w:val="80"/>
          <w:sz w:val="21"/>
        </w:rPr>
        <w:t> </w:t>
      </w:r>
      <w:r>
        <w:rPr>
          <w:sz w:val="21"/>
        </w:rPr>
        <w:t>defined under Section 409A), any payment thereof that is scheduled to be paid within six (6) months after such separation from service</w:t>
      </w:r>
      <w:r>
        <w:rPr>
          <w:spacing w:val="12"/>
          <w:sz w:val="21"/>
        </w:rPr>
        <w:t> </w:t>
      </w:r>
      <w:r>
        <w:rPr>
          <w:sz w:val="21"/>
        </w:rPr>
        <w:t>shall</w:t>
      </w:r>
      <w:r>
        <w:rPr>
          <w:spacing w:val="12"/>
          <w:sz w:val="21"/>
        </w:rPr>
        <w:t> </w:t>
      </w:r>
      <w:r>
        <w:rPr>
          <w:sz w:val="21"/>
        </w:rPr>
        <w:t>accrue</w:t>
      </w:r>
      <w:r>
        <w:rPr>
          <w:spacing w:val="12"/>
          <w:sz w:val="21"/>
        </w:rPr>
        <w:t> </w:t>
      </w:r>
      <w:r>
        <w:rPr>
          <w:sz w:val="21"/>
        </w:rPr>
        <w:t>without</w:t>
      </w:r>
      <w:r>
        <w:rPr>
          <w:spacing w:val="12"/>
          <w:sz w:val="21"/>
        </w:rPr>
        <w:t> </w:t>
      </w:r>
      <w:r>
        <w:rPr>
          <w:sz w:val="21"/>
        </w:rPr>
        <w:t>interest</w:t>
      </w:r>
      <w:r>
        <w:rPr>
          <w:spacing w:val="12"/>
          <w:sz w:val="21"/>
        </w:rPr>
        <w:t> </w:t>
      </w:r>
      <w:r>
        <w:rPr>
          <w:sz w:val="21"/>
        </w:rPr>
        <w:t>and</w:t>
      </w:r>
      <w:r>
        <w:rPr>
          <w:spacing w:val="12"/>
          <w:sz w:val="21"/>
        </w:rPr>
        <w:t> </w:t>
      </w:r>
      <w:r>
        <w:rPr>
          <w:sz w:val="21"/>
        </w:rPr>
        <w:t>shall</w:t>
      </w:r>
      <w:r>
        <w:rPr>
          <w:spacing w:val="12"/>
          <w:sz w:val="21"/>
        </w:rPr>
        <w:t> </w:t>
      </w:r>
      <w:r>
        <w:rPr>
          <w:sz w:val="21"/>
        </w:rPr>
        <w:t>be</w:t>
      </w:r>
      <w:r>
        <w:rPr>
          <w:spacing w:val="12"/>
          <w:sz w:val="21"/>
        </w:rPr>
        <w:t> </w:t>
      </w:r>
      <w:r>
        <w:rPr>
          <w:sz w:val="21"/>
        </w:rPr>
        <w:t>paid</w:t>
      </w:r>
      <w:r>
        <w:rPr>
          <w:spacing w:val="12"/>
          <w:sz w:val="21"/>
        </w:rPr>
        <w:t> </w:t>
      </w:r>
      <w:r>
        <w:rPr>
          <w:sz w:val="21"/>
        </w:rPr>
        <w:t>within</w:t>
      </w:r>
      <w:r>
        <w:rPr>
          <w:spacing w:val="12"/>
          <w:sz w:val="21"/>
        </w:rPr>
        <w:t> </w:t>
      </w:r>
      <w:r>
        <w:rPr>
          <w:sz w:val="21"/>
        </w:rPr>
        <w:t>15</w:t>
      </w:r>
      <w:r>
        <w:rPr>
          <w:spacing w:val="12"/>
          <w:sz w:val="21"/>
        </w:rPr>
        <w:t> </w:t>
      </w:r>
      <w:r>
        <w:rPr>
          <w:sz w:val="21"/>
        </w:rPr>
        <w:t>days</w:t>
      </w:r>
      <w:r>
        <w:rPr>
          <w:spacing w:val="12"/>
          <w:sz w:val="21"/>
        </w:rPr>
        <w:t> </w:t>
      </w:r>
      <w:r>
        <w:rPr>
          <w:sz w:val="21"/>
        </w:rPr>
        <w:t>after</w:t>
      </w:r>
      <w:r>
        <w:rPr>
          <w:spacing w:val="12"/>
          <w:sz w:val="21"/>
        </w:rPr>
        <w:t> </w:t>
      </w:r>
      <w:r>
        <w:rPr>
          <w:sz w:val="21"/>
        </w:rPr>
        <w:t>the</w:t>
      </w:r>
      <w:r>
        <w:rPr>
          <w:spacing w:val="12"/>
          <w:sz w:val="21"/>
        </w:rPr>
        <w:t> </w:t>
      </w:r>
      <w:r>
        <w:rPr>
          <w:sz w:val="21"/>
        </w:rPr>
        <w:t>end</w:t>
      </w:r>
      <w:r>
        <w:rPr>
          <w:spacing w:val="12"/>
          <w:sz w:val="21"/>
        </w:rPr>
        <w:t> </w:t>
      </w:r>
      <w:r>
        <w:rPr>
          <w:sz w:val="21"/>
        </w:rPr>
        <w:t>of</w:t>
      </w:r>
      <w:r>
        <w:rPr>
          <w:spacing w:val="12"/>
          <w:sz w:val="21"/>
        </w:rPr>
        <w:t> </w:t>
      </w:r>
      <w:r>
        <w:rPr>
          <w:sz w:val="21"/>
        </w:rPr>
        <w:t>the</w:t>
      </w:r>
      <w:r>
        <w:rPr>
          <w:spacing w:val="12"/>
          <w:sz w:val="21"/>
        </w:rPr>
        <w:t> </w:t>
      </w:r>
      <w:r>
        <w:rPr>
          <w:sz w:val="21"/>
        </w:rPr>
        <w:t>six-month</w:t>
      </w:r>
      <w:r>
        <w:rPr>
          <w:spacing w:val="12"/>
          <w:sz w:val="21"/>
        </w:rPr>
        <w:t> </w:t>
      </w:r>
      <w:r>
        <w:rPr>
          <w:sz w:val="21"/>
        </w:rPr>
        <w:t>period</w:t>
      </w:r>
      <w:r>
        <w:rPr>
          <w:spacing w:val="12"/>
          <w:sz w:val="21"/>
        </w:rPr>
        <w:t> </w:t>
      </w:r>
      <w:r>
        <w:rPr>
          <w:sz w:val="21"/>
        </w:rPr>
        <w:t>beginning</w:t>
      </w:r>
      <w:r>
        <w:rPr>
          <w:spacing w:val="12"/>
          <w:sz w:val="21"/>
        </w:rPr>
        <w:t> </w:t>
      </w:r>
      <w:r>
        <w:rPr>
          <w:sz w:val="21"/>
        </w:rPr>
        <w:t>on</w:t>
      </w:r>
      <w:r>
        <w:rPr>
          <w:spacing w:val="12"/>
          <w:sz w:val="21"/>
        </w:rPr>
        <w:t> </w:t>
      </w:r>
      <w:r>
        <w:rPr>
          <w:sz w:val="21"/>
        </w:rPr>
        <w:t>the</w:t>
      </w:r>
      <w:r>
        <w:rPr>
          <w:spacing w:val="12"/>
          <w:sz w:val="21"/>
        </w:rPr>
        <w:t> </w:t>
      </w:r>
      <w:r>
        <w:rPr>
          <w:sz w:val="21"/>
        </w:rPr>
        <w:t>date of such separation from service or, if earlier, within 15 days following your death.</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67"/>
        <w:rPr>
          <w:sz w:val="21"/>
        </w:rPr>
      </w:pPr>
    </w:p>
    <w:p>
      <w:pPr>
        <w:spacing w:before="0"/>
        <w:ind w:left="24" w:right="0" w:firstLine="0"/>
        <w:jc w:val="center"/>
        <w:rPr>
          <w:sz w:val="21"/>
        </w:rPr>
      </w:pPr>
      <w:r>
        <w:rPr>
          <w:spacing w:val="-5"/>
          <w:sz w:val="21"/>
        </w:rPr>
        <w:t>18</w:t>
      </w:r>
    </w:p>
    <w:p>
      <w:pPr>
        <w:pStyle w:val="BodyText"/>
        <w:spacing w:before="6"/>
        <w:rPr>
          <w:sz w:val="4"/>
        </w:rPr>
      </w:pPr>
      <w:r>
        <w:rPr/>
        <mc:AlternateContent>
          <mc:Choice Requires="wps">
            <w:drawing>
              <wp:anchor distT="0" distB="0" distL="0" distR="0" allowOverlap="1" layoutInCell="1" locked="0" behindDoc="1" simplePos="0" relativeHeight="487813120">
                <wp:simplePos x="0" y="0"/>
                <wp:positionH relativeFrom="page">
                  <wp:posOffset>231457</wp:posOffset>
                </wp:positionH>
                <wp:positionV relativeFrom="paragraph">
                  <wp:posOffset>48257</wp:posOffset>
                </wp:positionV>
                <wp:extent cx="7312659" cy="17145"/>
                <wp:effectExtent l="0" t="0" r="0" b="0"/>
                <wp:wrapTopAndBottom/>
                <wp:docPr id="1117" name="Group 1117"/>
                <wp:cNvGraphicFramePr>
                  <a:graphicFrameLocks/>
                </wp:cNvGraphicFramePr>
                <a:graphic>
                  <a:graphicData uri="http://schemas.microsoft.com/office/word/2010/wordprocessingGroup">
                    <wpg:wgp>
                      <wpg:cNvPr id="1117" name="Group 1117"/>
                      <wpg:cNvGrpSpPr/>
                      <wpg:grpSpPr>
                        <a:xfrm>
                          <a:off x="0" y="0"/>
                          <a:ext cx="7312659" cy="17145"/>
                          <a:chExt cx="7312659" cy="17145"/>
                        </a:xfrm>
                      </wpg:grpSpPr>
                      <wps:wsp>
                        <wps:cNvPr id="1118" name="Graphic 111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19" name="Graphic 1119"/>
                        <wps:cNvSpPr/>
                        <wps:spPr>
                          <a:xfrm>
                            <a:off x="-12" y="-2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20" name="Graphic 112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03360;mso-wrap-distance-left:0;mso-wrap-distance-right:0" id="docshapegroup1115" coordorigin="364,76" coordsize="11516,27">
                <v:rect style="position:absolute;left:364;top:76;width:11516;height:14" id="docshape1116" filled="true" fillcolor="#999999" stroked="false">
                  <v:fill type="solid"/>
                </v:rect>
                <v:shape style="position:absolute;left:364;top:75;width:11516;height:27" id="docshape1117" coordorigin="364,76" coordsize="11516,27" path="m11880,76l11866,89,364,89,364,103,11866,103,11880,103,11880,89,11880,76xe" filled="true" fillcolor="#ededed" stroked="false">
                  <v:path arrowok="t"/>
                  <v:fill type="solid"/>
                </v:shape>
                <v:shape style="position:absolute;left:364;top:76;width:14;height:27" id="docshape1118" coordorigin="364,76" coordsize="14,27" path="m364,103l364,76,378,76,378,89,364,103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pStyle w:val="ListParagraph"/>
        <w:numPr>
          <w:ilvl w:val="0"/>
          <w:numId w:val="55"/>
        </w:numPr>
        <w:tabs>
          <w:tab w:pos="491" w:val="left" w:leader="none"/>
        </w:tabs>
        <w:spacing w:line="213" w:lineRule="auto" w:before="138" w:after="0"/>
        <w:ind w:left="144" w:right="220" w:firstLine="0"/>
        <w:jc w:val="both"/>
        <w:rPr>
          <w:sz w:val="21"/>
        </w:rPr>
      </w:pPr>
      <w:r>
        <w:rPr>
          <w:sz w:val="21"/>
          <w:u w:val="single"/>
        </w:rPr>
        <w:t>Ownership of Intellectual Proper</w:t>
      </w:r>
      <w:r>
        <w:rPr>
          <w:sz w:val="21"/>
        </w:rPr>
        <w:t>ty. Employee expressly acknowledges that all trademarks, trade dress, copyrightable works, patentable</w:t>
      </w:r>
      <w:r>
        <w:rPr>
          <w:spacing w:val="40"/>
          <w:sz w:val="21"/>
        </w:rPr>
        <w:t> </w:t>
      </w:r>
      <w:r>
        <w:rPr>
          <w:sz w:val="21"/>
        </w:rPr>
        <w:t>inventions,</w:t>
      </w:r>
      <w:r>
        <w:rPr>
          <w:spacing w:val="40"/>
          <w:sz w:val="21"/>
        </w:rPr>
        <w:t> </w:t>
      </w:r>
      <w:r>
        <w:rPr>
          <w:sz w:val="21"/>
        </w:rPr>
        <w:t>ideas,</w:t>
      </w:r>
      <w:r>
        <w:rPr>
          <w:spacing w:val="40"/>
          <w:sz w:val="21"/>
        </w:rPr>
        <w:t> </w:t>
      </w:r>
      <w:r>
        <w:rPr>
          <w:sz w:val="21"/>
        </w:rPr>
        <w:t>new</w:t>
      </w:r>
      <w:r>
        <w:rPr>
          <w:spacing w:val="40"/>
          <w:sz w:val="21"/>
        </w:rPr>
        <w:t> </w:t>
      </w:r>
      <w:r>
        <w:rPr>
          <w:sz w:val="21"/>
        </w:rPr>
        <w:t>or</w:t>
      </w:r>
      <w:r>
        <w:rPr>
          <w:spacing w:val="40"/>
          <w:sz w:val="21"/>
        </w:rPr>
        <w:t> </w:t>
      </w:r>
      <w:r>
        <w:rPr>
          <w:sz w:val="21"/>
        </w:rPr>
        <w:t>novel</w:t>
      </w:r>
      <w:r>
        <w:rPr>
          <w:spacing w:val="40"/>
          <w:sz w:val="21"/>
        </w:rPr>
        <w:t> </w:t>
      </w:r>
      <w:r>
        <w:rPr>
          <w:sz w:val="21"/>
        </w:rPr>
        <w:t>inventions,</w:t>
      </w:r>
      <w:r>
        <w:rPr>
          <w:spacing w:val="40"/>
          <w:sz w:val="21"/>
        </w:rPr>
        <w:t> </w:t>
      </w:r>
      <w:r>
        <w:rPr>
          <w:sz w:val="21"/>
        </w:rPr>
        <w:t>concepts,</w:t>
      </w:r>
      <w:r>
        <w:rPr>
          <w:spacing w:val="40"/>
          <w:sz w:val="21"/>
        </w:rPr>
        <w:t> </w:t>
      </w:r>
      <w:r>
        <w:rPr>
          <w:sz w:val="21"/>
        </w:rPr>
        <w:t>systems,</w:t>
      </w:r>
      <w:r>
        <w:rPr>
          <w:spacing w:val="40"/>
          <w:sz w:val="21"/>
        </w:rPr>
        <w:t> </w:t>
      </w:r>
      <w:r>
        <w:rPr>
          <w:sz w:val="21"/>
        </w:rPr>
        <w:t>methods</w:t>
      </w:r>
      <w:r>
        <w:rPr>
          <w:spacing w:val="40"/>
          <w:sz w:val="21"/>
        </w:rPr>
        <w:t> </w:t>
      </w:r>
      <w:r>
        <w:rPr>
          <w:sz w:val="21"/>
        </w:rPr>
        <w:t>of</w:t>
      </w:r>
      <w:r>
        <w:rPr>
          <w:spacing w:val="40"/>
          <w:sz w:val="21"/>
        </w:rPr>
        <w:t> </w:t>
      </w:r>
      <w:r>
        <w:rPr>
          <w:sz w:val="21"/>
        </w:rPr>
        <w:t>operation,</w:t>
      </w:r>
      <w:r>
        <w:rPr>
          <w:spacing w:val="40"/>
          <w:sz w:val="21"/>
        </w:rPr>
        <w:t> </w:t>
      </w:r>
      <w:r>
        <w:rPr>
          <w:sz w:val="21"/>
        </w:rPr>
        <w:t>improvements,</w:t>
      </w:r>
      <w:r>
        <w:rPr>
          <w:spacing w:val="40"/>
          <w:sz w:val="21"/>
        </w:rPr>
        <w:t> </w:t>
      </w:r>
      <w:r>
        <w:rPr>
          <w:sz w:val="21"/>
        </w:rPr>
        <w:t>strategies, techniques,</w:t>
      </w:r>
      <w:r>
        <w:rPr>
          <w:spacing w:val="40"/>
          <w:sz w:val="21"/>
        </w:rPr>
        <w:t> </w:t>
      </w:r>
      <w:r>
        <w:rPr>
          <w:sz w:val="21"/>
        </w:rPr>
        <w:t>trade</w:t>
      </w:r>
      <w:r>
        <w:rPr>
          <w:spacing w:val="40"/>
          <w:sz w:val="21"/>
        </w:rPr>
        <w:t> </w:t>
      </w:r>
      <w:r>
        <w:rPr>
          <w:sz w:val="21"/>
        </w:rPr>
        <w:t>secrets</w:t>
      </w:r>
      <w:r>
        <w:rPr>
          <w:spacing w:val="40"/>
          <w:sz w:val="21"/>
        </w:rPr>
        <w:t> </w:t>
      </w:r>
      <w:r>
        <w:rPr>
          <w:sz w:val="21"/>
        </w:rPr>
        <w:t>including,</w:t>
      </w:r>
      <w:r>
        <w:rPr>
          <w:spacing w:val="40"/>
          <w:sz w:val="21"/>
        </w:rPr>
        <w:t> </w:t>
      </w:r>
      <w:r>
        <w:rPr>
          <w:sz w:val="21"/>
        </w:rPr>
        <w:t>but</w:t>
      </w:r>
      <w:r>
        <w:rPr>
          <w:spacing w:val="40"/>
          <w:sz w:val="21"/>
        </w:rPr>
        <w:t> </w:t>
      </w:r>
      <w:r>
        <w:rPr>
          <w:sz w:val="21"/>
        </w:rPr>
        <w:t>not</w:t>
      </w:r>
      <w:r>
        <w:rPr>
          <w:spacing w:val="40"/>
          <w:sz w:val="21"/>
        </w:rPr>
        <w:t> </w:t>
      </w:r>
      <w:r>
        <w:rPr>
          <w:sz w:val="21"/>
        </w:rPr>
        <w:t>limited</w:t>
      </w:r>
      <w:r>
        <w:rPr>
          <w:spacing w:val="40"/>
          <w:sz w:val="21"/>
        </w:rPr>
        <w:t> </w:t>
      </w:r>
      <w:r>
        <w:rPr>
          <w:sz w:val="21"/>
        </w:rPr>
        <w:t>to,</w:t>
      </w:r>
      <w:r>
        <w:rPr>
          <w:spacing w:val="40"/>
          <w:sz w:val="21"/>
        </w:rPr>
        <w:t> </w:t>
      </w:r>
      <w:r>
        <w:rPr>
          <w:sz w:val="21"/>
        </w:rPr>
        <w:t>customers</w:t>
      </w:r>
      <w:r>
        <w:rPr>
          <w:spacing w:val="40"/>
          <w:sz w:val="21"/>
        </w:rPr>
        <w:t> </w:t>
      </w:r>
      <w:r>
        <w:rPr>
          <w:sz w:val="21"/>
        </w:rPr>
        <w:t>(including,</w:t>
      </w:r>
      <w:r>
        <w:rPr>
          <w:spacing w:val="40"/>
          <w:sz w:val="21"/>
        </w:rPr>
        <w:t> </w:t>
      </w:r>
      <w:r>
        <w:rPr>
          <w:sz w:val="21"/>
        </w:rPr>
        <w:t>but</w:t>
      </w:r>
      <w:r>
        <w:rPr>
          <w:spacing w:val="40"/>
          <w:sz w:val="21"/>
        </w:rPr>
        <w:t> </w:t>
      </w:r>
      <w:r>
        <w:rPr>
          <w:sz w:val="21"/>
        </w:rPr>
        <w:t>not</w:t>
      </w:r>
      <w:r>
        <w:rPr>
          <w:spacing w:val="40"/>
          <w:sz w:val="21"/>
        </w:rPr>
        <w:t> </w:t>
      </w:r>
      <w:r>
        <w:rPr>
          <w:sz w:val="21"/>
        </w:rPr>
        <w:t>limited</w:t>
      </w:r>
      <w:r>
        <w:rPr>
          <w:spacing w:val="40"/>
          <w:sz w:val="21"/>
        </w:rPr>
        <w:t> </w:t>
      </w:r>
      <w:r>
        <w:rPr>
          <w:sz w:val="21"/>
        </w:rPr>
        <w:t>to,</w:t>
      </w:r>
      <w:r>
        <w:rPr>
          <w:spacing w:val="40"/>
          <w:sz w:val="21"/>
        </w:rPr>
        <w:t> </w:t>
      </w:r>
      <w:r>
        <w:rPr>
          <w:sz w:val="21"/>
        </w:rPr>
        <w:t>customer</w:t>
      </w:r>
      <w:r>
        <w:rPr>
          <w:spacing w:val="40"/>
          <w:sz w:val="21"/>
        </w:rPr>
        <w:t> </w:t>
      </w:r>
      <w:r>
        <w:rPr>
          <w:sz w:val="21"/>
        </w:rPr>
        <w:t>names,</w:t>
      </w:r>
      <w:r>
        <w:rPr>
          <w:spacing w:val="40"/>
          <w:sz w:val="21"/>
        </w:rPr>
        <w:t> </w:t>
      </w:r>
      <w:r>
        <w:rPr>
          <w:sz w:val="21"/>
        </w:rPr>
        <w:t>contact information, historical and/or theoretical play, or other information, and the right to market to such customers), data of any type or nature and regardless of the form or media, as well as all materials of any type of nature that comprise, reflect or embody any of the foregoing</w:t>
      </w:r>
      <w:r>
        <w:rPr>
          <w:spacing w:val="40"/>
          <w:sz w:val="21"/>
        </w:rPr>
        <w:t> </w:t>
      </w:r>
      <w:r>
        <w:rPr>
          <w:sz w:val="21"/>
        </w:rPr>
        <w:t>including,</w:t>
      </w:r>
      <w:r>
        <w:rPr>
          <w:spacing w:val="40"/>
          <w:sz w:val="21"/>
        </w:rPr>
        <w:t> </w:t>
      </w:r>
      <w:r>
        <w:rPr>
          <w:sz w:val="21"/>
        </w:rPr>
        <w:t>without</w:t>
      </w:r>
      <w:r>
        <w:rPr>
          <w:spacing w:val="40"/>
          <w:sz w:val="21"/>
        </w:rPr>
        <w:t> </w:t>
      </w:r>
      <w:r>
        <w:rPr>
          <w:sz w:val="21"/>
        </w:rPr>
        <w:t>limitation,</w:t>
      </w:r>
      <w:r>
        <w:rPr>
          <w:spacing w:val="40"/>
          <w:sz w:val="21"/>
        </w:rPr>
        <w:t> </w:t>
      </w:r>
      <w:r>
        <w:rPr>
          <w:sz w:val="21"/>
        </w:rPr>
        <w:t>databases,</w:t>
      </w:r>
      <w:r>
        <w:rPr>
          <w:spacing w:val="40"/>
          <w:sz w:val="21"/>
        </w:rPr>
        <w:t> </w:t>
      </w:r>
      <w:r>
        <w:rPr>
          <w:sz w:val="21"/>
        </w:rPr>
        <w:t>software,</w:t>
      </w:r>
      <w:r>
        <w:rPr>
          <w:spacing w:val="40"/>
          <w:sz w:val="21"/>
        </w:rPr>
        <w:t> </w:t>
      </w:r>
      <w:r>
        <w:rPr>
          <w:sz w:val="21"/>
        </w:rPr>
        <w:t>artistic</w:t>
      </w:r>
      <w:r>
        <w:rPr>
          <w:spacing w:val="40"/>
          <w:sz w:val="21"/>
        </w:rPr>
        <w:t> </w:t>
      </w:r>
      <w:r>
        <w:rPr>
          <w:sz w:val="21"/>
        </w:rPr>
        <w:t>works,</w:t>
      </w:r>
      <w:r>
        <w:rPr>
          <w:spacing w:val="40"/>
          <w:sz w:val="21"/>
        </w:rPr>
        <w:t> </w:t>
      </w:r>
      <w:r>
        <w:rPr>
          <w:sz w:val="21"/>
        </w:rPr>
        <w:t>advertisements,</w:t>
      </w:r>
      <w:r>
        <w:rPr>
          <w:spacing w:val="40"/>
          <w:sz w:val="21"/>
        </w:rPr>
        <w:t> </w:t>
      </w:r>
      <w:r>
        <w:rPr>
          <w:sz w:val="21"/>
        </w:rPr>
        <w:t>brochures,</w:t>
      </w:r>
      <w:r>
        <w:rPr>
          <w:spacing w:val="40"/>
          <w:sz w:val="21"/>
        </w:rPr>
        <w:t> </w:t>
      </w:r>
      <w:r>
        <w:rPr>
          <w:sz w:val="21"/>
        </w:rPr>
        <w:t>marketing</w:t>
      </w:r>
      <w:r>
        <w:rPr>
          <w:spacing w:val="40"/>
          <w:sz w:val="21"/>
        </w:rPr>
        <w:t> </w:t>
      </w:r>
      <w:r>
        <w:rPr>
          <w:sz w:val="21"/>
        </w:rPr>
        <w:t>plans,</w:t>
      </w:r>
      <w:r>
        <w:rPr>
          <w:spacing w:val="40"/>
          <w:sz w:val="21"/>
        </w:rPr>
        <w:t> </w:t>
      </w:r>
      <w:r>
        <w:rPr>
          <w:sz w:val="21"/>
        </w:rPr>
        <w:t>customer lists,</w:t>
      </w:r>
      <w:r>
        <w:rPr>
          <w:spacing w:val="20"/>
          <w:sz w:val="21"/>
        </w:rPr>
        <w:t> </w:t>
      </w:r>
      <w:r>
        <w:rPr>
          <w:sz w:val="21"/>
        </w:rPr>
        <w:t>memoranda,</w:t>
      </w:r>
      <w:r>
        <w:rPr>
          <w:spacing w:val="20"/>
          <w:sz w:val="21"/>
        </w:rPr>
        <w:t> </w:t>
      </w:r>
      <w:r>
        <w:rPr>
          <w:sz w:val="21"/>
        </w:rPr>
        <w:t>business</w:t>
      </w:r>
      <w:r>
        <w:rPr>
          <w:spacing w:val="20"/>
          <w:sz w:val="21"/>
        </w:rPr>
        <w:t> </w:t>
      </w:r>
      <w:r>
        <w:rPr>
          <w:sz w:val="21"/>
        </w:rPr>
        <w:t>plans,</w:t>
      </w:r>
      <w:r>
        <w:rPr>
          <w:spacing w:val="20"/>
          <w:sz w:val="21"/>
        </w:rPr>
        <w:t> </w:t>
      </w:r>
      <w:r>
        <w:rPr>
          <w:sz w:val="21"/>
        </w:rPr>
        <w:t>and</w:t>
      </w:r>
      <w:r>
        <w:rPr>
          <w:spacing w:val="20"/>
          <w:sz w:val="21"/>
        </w:rPr>
        <w:t> </w:t>
      </w:r>
      <w:r>
        <w:rPr>
          <w:sz w:val="21"/>
        </w:rPr>
        <w:t>proposals</w:t>
      </w:r>
      <w:r>
        <w:rPr>
          <w:spacing w:val="20"/>
          <w:sz w:val="21"/>
        </w:rPr>
        <w:t> </w:t>
      </w:r>
      <w:r>
        <w:rPr>
          <w:sz w:val="21"/>
        </w:rPr>
        <w:t>(collectively,</w:t>
      </w:r>
      <w:r>
        <w:rPr>
          <w:spacing w:val="20"/>
          <w:sz w:val="21"/>
        </w:rPr>
        <w:t> </w:t>
      </w:r>
      <w:r>
        <w:rPr>
          <w:sz w:val="21"/>
        </w:rPr>
        <w:t>“Intellectual</w:t>
      </w:r>
      <w:r>
        <w:rPr>
          <w:spacing w:val="20"/>
          <w:sz w:val="21"/>
        </w:rPr>
        <w:t> </w:t>
      </w:r>
      <w:r>
        <w:rPr>
          <w:sz w:val="21"/>
        </w:rPr>
        <w:t>Property”)</w:t>
      </w:r>
      <w:r>
        <w:rPr>
          <w:spacing w:val="20"/>
          <w:sz w:val="21"/>
        </w:rPr>
        <w:t> </w:t>
      </w:r>
      <w:r>
        <w:rPr>
          <w:sz w:val="21"/>
        </w:rPr>
        <w:t>created,</w:t>
      </w:r>
      <w:r>
        <w:rPr>
          <w:spacing w:val="20"/>
          <w:sz w:val="21"/>
        </w:rPr>
        <w:t> </w:t>
      </w:r>
      <w:r>
        <w:rPr>
          <w:sz w:val="21"/>
        </w:rPr>
        <w:t>conceived,</w:t>
      </w:r>
      <w:r>
        <w:rPr>
          <w:spacing w:val="20"/>
          <w:sz w:val="21"/>
        </w:rPr>
        <w:t> </w:t>
      </w:r>
      <w:r>
        <w:rPr>
          <w:sz w:val="21"/>
        </w:rPr>
        <w:t>developed,</w:t>
      </w:r>
      <w:r>
        <w:rPr>
          <w:spacing w:val="20"/>
          <w:sz w:val="21"/>
        </w:rPr>
        <w:t> </w:t>
      </w:r>
      <w:r>
        <w:rPr>
          <w:sz w:val="21"/>
        </w:rPr>
        <w:t>contributed</w:t>
      </w:r>
      <w:r>
        <w:rPr>
          <w:spacing w:val="20"/>
          <w:sz w:val="21"/>
        </w:rPr>
        <w:t> </w:t>
      </w:r>
      <w:r>
        <w:rPr>
          <w:sz w:val="21"/>
        </w:rPr>
        <w:t>to, or</w:t>
      </w:r>
      <w:r>
        <w:rPr>
          <w:spacing w:val="27"/>
          <w:sz w:val="21"/>
        </w:rPr>
        <w:t> </w:t>
      </w:r>
      <w:r>
        <w:rPr>
          <w:sz w:val="21"/>
        </w:rPr>
        <w:t>otherwise</w:t>
      </w:r>
      <w:r>
        <w:rPr>
          <w:spacing w:val="27"/>
          <w:sz w:val="21"/>
        </w:rPr>
        <w:t> </w:t>
      </w:r>
      <w:r>
        <w:rPr>
          <w:sz w:val="21"/>
        </w:rPr>
        <w:t>obtained,</w:t>
      </w:r>
      <w:r>
        <w:rPr>
          <w:spacing w:val="27"/>
          <w:sz w:val="21"/>
        </w:rPr>
        <w:t> </w:t>
      </w:r>
      <w:r>
        <w:rPr>
          <w:sz w:val="21"/>
        </w:rPr>
        <w:t>in</w:t>
      </w:r>
      <w:r>
        <w:rPr>
          <w:spacing w:val="27"/>
          <w:sz w:val="21"/>
        </w:rPr>
        <w:t> </w:t>
      </w:r>
      <w:r>
        <w:rPr>
          <w:sz w:val="21"/>
        </w:rPr>
        <w:t>whole</w:t>
      </w:r>
      <w:r>
        <w:rPr>
          <w:spacing w:val="27"/>
          <w:sz w:val="21"/>
        </w:rPr>
        <w:t> </w:t>
      </w:r>
      <w:r>
        <w:rPr>
          <w:sz w:val="21"/>
        </w:rPr>
        <w:t>or</w:t>
      </w:r>
      <w:r>
        <w:rPr>
          <w:spacing w:val="27"/>
          <w:sz w:val="21"/>
        </w:rPr>
        <w:t> </w:t>
      </w:r>
      <w:r>
        <w:rPr>
          <w:sz w:val="21"/>
        </w:rPr>
        <w:t>in</w:t>
      </w:r>
      <w:r>
        <w:rPr>
          <w:spacing w:val="27"/>
          <w:sz w:val="21"/>
        </w:rPr>
        <w:t> </w:t>
      </w:r>
      <w:r>
        <w:rPr>
          <w:sz w:val="21"/>
        </w:rPr>
        <w:t>part</w:t>
      </w:r>
      <w:r>
        <w:rPr>
          <w:spacing w:val="27"/>
          <w:sz w:val="21"/>
        </w:rPr>
        <w:t> </w:t>
      </w:r>
      <w:r>
        <w:rPr>
          <w:sz w:val="21"/>
        </w:rPr>
        <w:t>by</w:t>
      </w:r>
      <w:r>
        <w:rPr>
          <w:spacing w:val="27"/>
          <w:sz w:val="21"/>
        </w:rPr>
        <w:t> </w:t>
      </w:r>
      <w:r>
        <w:rPr>
          <w:sz w:val="21"/>
        </w:rPr>
        <w:t>the</w:t>
      </w:r>
      <w:r>
        <w:rPr>
          <w:spacing w:val="27"/>
          <w:sz w:val="21"/>
        </w:rPr>
        <w:t> </w:t>
      </w:r>
      <w:r>
        <w:rPr>
          <w:sz w:val="21"/>
        </w:rPr>
        <w:t>Employee</w:t>
      </w:r>
      <w:r>
        <w:rPr>
          <w:spacing w:val="27"/>
          <w:sz w:val="21"/>
        </w:rPr>
        <w:t> </w:t>
      </w:r>
      <w:r>
        <w:rPr>
          <w:sz w:val="21"/>
        </w:rPr>
        <w:t>during</w:t>
      </w:r>
      <w:r>
        <w:rPr>
          <w:spacing w:val="27"/>
          <w:sz w:val="21"/>
        </w:rPr>
        <w:t> </w:t>
      </w:r>
      <w:r>
        <w:rPr>
          <w:sz w:val="21"/>
        </w:rPr>
        <w:t>the</w:t>
      </w:r>
      <w:r>
        <w:rPr>
          <w:spacing w:val="27"/>
          <w:sz w:val="21"/>
        </w:rPr>
        <w:t> </w:t>
      </w:r>
      <w:r>
        <w:rPr>
          <w:sz w:val="21"/>
        </w:rPr>
        <w:t>term</w:t>
      </w:r>
      <w:r>
        <w:rPr>
          <w:spacing w:val="27"/>
          <w:sz w:val="21"/>
        </w:rPr>
        <w:t> </w:t>
      </w:r>
      <w:r>
        <w:rPr>
          <w:sz w:val="21"/>
        </w:rPr>
        <w:t>of</w:t>
      </w:r>
      <w:r>
        <w:rPr>
          <w:spacing w:val="27"/>
          <w:sz w:val="21"/>
        </w:rPr>
        <w:t> </w:t>
      </w:r>
      <w:r>
        <w:rPr>
          <w:sz w:val="21"/>
        </w:rPr>
        <w:t>his</w:t>
      </w:r>
      <w:r>
        <w:rPr>
          <w:spacing w:val="27"/>
          <w:sz w:val="21"/>
        </w:rPr>
        <w:t> </w:t>
      </w:r>
      <w:r>
        <w:rPr>
          <w:sz w:val="21"/>
        </w:rPr>
        <w:t>employment</w:t>
      </w:r>
      <w:r>
        <w:rPr>
          <w:spacing w:val="27"/>
          <w:sz w:val="21"/>
        </w:rPr>
        <w:t> </w:t>
      </w:r>
      <w:r>
        <w:rPr>
          <w:sz w:val="21"/>
        </w:rPr>
        <w:t>by</w:t>
      </w:r>
      <w:r>
        <w:rPr>
          <w:spacing w:val="27"/>
          <w:sz w:val="21"/>
        </w:rPr>
        <w:t> </w:t>
      </w:r>
      <w:r>
        <w:rPr>
          <w:sz w:val="21"/>
        </w:rPr>
        <w:t>Employer</w:t>
      </w:r>
      <w:r>
        <w:rPr>
          <w:spacing w:val="27"/>
          <w:sz w:val="21"/>
        </w:rPr>
        <w:t> </w:t>
      </w:r>
      <w:r>
        <w:rPr>
          <w:sz w:val="21"/>
        </w:rPr>
        <w:t>shall</w:t>
      </w:r>
      <w:r>
        <w:rPr>
          <w:spacing w:val="27"/>
          <w:sz w:val="21"/>
        </w:rPr>
        <w:t> </w:t>
      </w:r>
      <w:r>
        <w:rPr>
          <w:sz w:val="21"/>
        </w:rPr>
        <w:t>at</w:t>
      </w:r>
      <w:r>
        <w:rPr>
          <w:spacing w:val="27"/>
          <w:sz w:val="21"/>
        </w:rPr>
        <w:t> </w:t>
      </w:r>
      <w:r>
        <w:rPr>
          <w:sz w:val="21"/>
        </w:rPr>
        <w:t>all</w:t>
      </w:r>
      <w:r>
        <w:rPr>
          <w:spacing w:val="27"/>
          <w:sz w:val="21"/>
        </w:rPr>
        <w:t> </w:t>
      </w:r>
      <w:r>
        <w:rPr>
          <w:sz w:val="21"/>
        </w:rPr>
        <w:t>times</w:t>
      </w:r>
      <w:r>
        <w:rPr>
          <w:spacing w:val="27"/>
          <w:sz w:val="21"/>
        </w:rPr>
        <w:t> </w:t>
      </w:r>
      <w:r>
        <w:rPr>
          <w:sz w:val="21"/>
        </w:rPr>
        <w:t>be owned by Employer (and is hereby expressly assigned by Employee to Employer) if the Intellectual Property: (a) was created, conceived,</w:t>
      </w:r>
      <w:r>
        <w:rPr>
          <w:spacing w:val="39"/>
          <w:sz w:val="21"/>
        </w:rPr>
        <w:t> </w:t>
      </w:r>
      <w:r>
        <w:rPr>
          <w:sz w:val="21"/>
        </w:rPr>
        <w:t>developed,</w:t>
      </w:r>
      <w:r>
        <w:rPr>
          <w:spacing w:val="39"/>
          <w:sz w:val="21"/>
        </w:rPr>
        <w:t> </w:t>
      </w:r>
      <w:r>
        <w:rPr>
          <w:sz w:val="21"/>
        </w:rPr>
        <w:t>or</w:t>
      </w:r>
      <w:r>
        <w:rPr>
          <w:spacing w:val="39"/>
          <w:sz w:val="21"/>
        </w:rPr>
        <w:t> </w:t>
      </w:r>
      <w:r>
        <w:rPr>
          <w:sz w:val="21"/>
        </w:rPr>
        <w:t>contributed</w:t>
      </w:r>
      <w:r>
        <w:rPr>
          <w:spacing w:val="39"/>
          <w:sz w:val="21"/>
        </w:rPr>
        <w:t> </w:t>
      </w:r>
      <w:r>
        <w:rPr>
          <w:sz w:val="21"/>
        </w:rPr>
        <w:t>to:</w:t>
      </w:r>
      <w:r>
        <w:rPr>
          <w:spacing w:val="39"/>
          <w:sz w:val="21"/>
        </w:rPr>
        <w:t> </w:t>
      </w:r>
      <w:r>
        <w:rPr>
          <w:sz w:val="21"/>
        </w:rPr>
        <w:t>(1)</w:t>
      </w:r>
      <w:r>
        <w:rPr>
          <w:spacing w:val="39"/>
          <w:sz w:val="21"/>
        </w:rPr>
        <w:t> </w:t>
      </w:r>
      <w:r>
        <w:rPr>
          <w:sz w:val="21"/>
        </w:rPr>
        <w:t>using</w:t>
      </w:r>
      <w:r>
        <w:rPr>
          <w:spacing w:val="39"/>
          <w:sz w:val="21"/>
        </w:rPr>
        <w:t> </w:t>
      </w:r>
      <w:r>
        <w:rPr>
          <w:sz w:val="21"/>
        </w:rPr>
        <w:t>any</w:t>
      </w:r>
      <w:r>
        <w:rPr>
          <w:spacing w:val="39"/>
          <w:sz w:val="21"/>
        </w:rPr>
        <w:t> </w:t>
      </w:r>
      <w:r>
        <w:rPr>
          <w:sz w:val="21"/>
        </w:rPr>
        <w:t>of</w:t>
      </w:r>
      <w:r>
        <w:rPr>
          <w:spacing w:val="39"/>
          <w:sz w:val="21"/>
        </w:rPr>
        <w:t> </w:t>
      </w:r>
      <w:r>
        <w:rPr>
          <w:sz w:val="21"/>
        </w:rPr>
        <w:t>Employer’s</w:t>
      </w:r>
      <w:r>
        <w:rPr>
          <w:spacing w:val="39"/>
          <w:sz w:val="21"/>
        </w:rPr>
        <w:t> </w:t>
      </w:r>
      <w:r>
        <w:rPr>
          <w:sz w:val="21"/>
        </w:rPr>
        <w:t>property</w:t>
      </w:r>
      <w:r>
        <w:rPr>
          <w:spacing w:val="39"/>
          <w:sz w:val="21"/>
        </w:rPr>
        <w:t> </w:t>
      </w:r>
      <w:r>
        <w:rPr>
          <w:sz w:val="21"/>
        </w:rPr>
        <w:t>or</w:t>
      </w:r>
      <w:r>
        <w:rPr>
          <w:spacing w:val="39"/>
          <w:sz w:val="21"/>
        </w:rPr>
        <w:t> </w:t>
      </w:r>
      <w:r>
        <w:rPr>
          <w:sz w:val="21"/>
        </w:rPr>
        <w:t>resources;</w:t>
      </w:r>
      <w:r>
        <w:rPr>
          <w:spacing w:val="39"/>
          <w:sz w:val="21"/>
        </w:rPr>
        <w:t> </w:t>
      </w:r>
      <w:r>
        <w:rPr>
          <w:sz w:val="21"/>
        </w:rPr>
        <w:t>(2)</w:t>
      </w:r>
      <w:r>
        <w:rPr>
          <w:spacing w:val="39"/>
          <w:sz w:val="21"/>
        </w:rPr>
        <w:t> </w:t>
      </w:r>
      <w:r>
        <w:rPr>
          <w:sz w:val="21"/>
        </w:rPr>
        <w:t>on</w:t>
      </w:r>
      <w:r>
        <w:rPr>
          <w:spacing w:val="39"/>
          <w:sz w:val="21"/>
        </w:rPr>
        <w:t> </w:t>
      </w:r>
      <w:r>
        <w:rPr>
          <w:sz w:val="21"/>
        </w:rPr>
        <w:t>Employer’s</w:t>
      </w:r>
      <w:r>
        <w:rPr>
          <w:spacing w:val="39"/>
          <w:sz w:val="21"/>
        </w:rPr>
        <w:t> </w:t>
      </w:r>
      <w:r>
        <w:rPr>
          <w:sz w:val="21"/>
        </w:rPr>
        <w:t>premises;</w:t>
      </w:r>
      <w:r>
        <w:rPr>
          <w:spacing w:val="39"/>
          <w:sz w:val="21"/>
        </w:rPr>
        <w:t> </w:t>
      </w:r>
      <w:r>
        <w:rPr>
          <w:sz w:val="21"/>
        </w:rPr>
        <w:t>or</w:t>
      </w:r>
      <w:r>
        <w:rPr>
          <w:spacing w:val="39"/>
          <w:sz w:val="21"/>
        </w:rPr>
        <w:t> </w:t>
      </w:r>
      <w:r>
        <w:rPr>
          <w:sz w:val="21"/>
        </w:rPr>
        <w:t>(3) during Employee’s hours of employment; or (b) relates to Employee’s employment by Employer, even though creation of such Intellectual Property was not within the scope of Employee’s duties and responsibilities for which the Employer employs the</w:t>
      </w:r>
      <w:r>
        <w:rPr>
          <w:spacing w:val="40"/>
          <w:sz w:val="21"/>
        </w:rPr>
        <w:t> </w:t>
      </w:r>
      <w:r>
        <w:rPr>
          <w:sz w:val="21"/>
        </w:rPr>
        <w:t>Employee. All works of authorship created by Employee within the scope of this provision shall be deemed works made for hire as defined</w:t>
      </w:r>
      <w:r>
        <w:rPr>
          <w:spacing w:val="40"/>
          <w:sz w:val="21"/>
        </w:rPr>
        <w:t> </w:t>
      </w:r>
      <w:r>
        <w:rPr>
          <w:sz w:val="21"/>
        </w:rPr>
        <w:t>in</w:t>
      </w:r>
      <w:r>
        <w:rPr>
          <w:spacing w:val="40"/>
          <w:sz w:val="21"/>
        </w:rPr>
        <w:t> </w:t>
      </w:r>
      <w:r>
        <w:rPr>
          <w:sz w:val="21"/>
        </w:rPr>
        <w:t>the</w:t>
      </w:r>
      <w:r>
        <w:rPr>
          <w:spacing w:val="40"/>
          <w:sz w:val="21"/>
        </w:rPr>
        <w:t> </w:t>
      </w:r>
      <w:r>
        <w:rPr>
          <w:sz w:val="21"/>
        </w:rPr>
        <w:t>Copyright Act</w:t>
      </w:r>
      <w:r>
        <w:rPr>
          <w:spacing w:val="40"/>
          <w:sz w:val="21"/>
        </w:rPr>
        <w:t> </w:t>
      </w:r>
      <w:r>
        <w:rPr>
          <w:sz w:val="21"/>
        </w:rPr>
        <w:t>of</w:t>
      </w:r>
      <w:r>
        <w:rPr>
          <w:spacing w:val="40"/>
          <w:sz w:val="21"/>
        </w:rPr>
        <w:t> </w:t>
      </w:r>
      <w:r>
        <w:rPr>
          <w:sz w:val="21"/>
        </w:rPr>
        <w:t>1976,</w:t>
      </w:r>
      <w:r>
        <w:rPr>
          <w:spacing w:val="40"/>
          <w:sz w:val="21"/>
        </w:rPr>
        <w:t> </w:t>
      </w:r>
      <w:r>
        <w:rPr>
          <w:sz w:val="21"/>
        </w:rPr>
        <w:t>17</w:t>
      </w:r>
      <w:r>
        <w:rPr>
          <w:spacing w:val="40"/>
          <w:sz w:val="21"/>
        </w:rPr>
        <w:t> </w:t>
      </w:r>
      <w:r>
        <w:rPr>
          <w:sz w:val="21"/>
        </w:rPr>
        <w:t>U.S.C.</w:t>
      </w:r>
      <w:r>
        <w:rPr>
          <w:spacing w:val="40"/>
          <w:sz w:val="21"/>
        </w:rPr>
        <w:t> </w:t>
      </w:r>
      <w:r>
        <w:rPr>
          <w:sz w:val="21"/>
        </w:rPr>
        <w:t>§</w:t>
      </w:r>
      <w:r>
        <w:rPr>
          <w:spacing w:val="40"/>
          <w:sz w:val="21"/>
        </w:rPr>
        <w:t> </w:t>
      </w:r>
      <w:r>
        <w:rPr>
          <w:sz w:val="21"/>
        </w:rPr>
        <w:t>101.</w:t>
      </w:r>
      <w:r>
        <w:rPr>
          <w:spacing w:val="39"/>
          <w:sz w:val="21"/>
        </w:rPr>
        <w:t> </w:t>
      </w:r>
      <w:r>
        <w:rPr>
          <w:sz w:val="21"/>
        </w:rPr>
        <w:t>To</w:t>
      </w:r>
      <w:r>
        <w:rPr>
          <w:spacing w:val="40"/>
          <w:sz w:val="21"/>
        </w:rPr>
        <w:t> </w:t>
      </w:r>
      <w:r>
        <w:rPr>
          <w:sz w:val="21"/>
        </w:rPr>
        <w:t>the</w:t>
      </w:r>
      <w:r>
        <w:rPr>
          <w:spacing w:val="40"/>
          <w:sz w:val="21"/>
        </w:rPr>
        <w:t> </w:t>
      </w:r>
      <w:r>
        <w:rPr>
          <w:sz w:val="21"/>
        </w:rPr>
        <w:t>extent</w:t>
      </w:r>
      <w:r>
        <w:rPr>
          <w:spacing w:val="40"/>
          <w:sz w:val="21"/>
        </w:rPr>
        <w:t> </w:t>
      </w:r>
      <w:r>
        <w:rPr>
          <w:sz w:val="21"/>
        </w:rPr>
        <w:t>such</w:t>
      </w:r>
      <w:r>
        <w:rPr>
          <w:spacing w:val="40"/>
          <w:sz w:val="21"/>
        </w:rPr>
        <w:t> </w:t>
      </w:r>
      <w:r>
        <w:rPr>
          <w:sz w:val="21"/>
        </w:rPr>
        <w:t>works</w:t>
      </w:r>
      <w:r>
        <w:rPr>
          <w:spacing w:val="40"/>
          <w:sz w:val="21"/>
        </w:rPr>
        <w:t> </w:t>
      </w:r>
      <w:r>
        <w:rPr>
          <w:sz w:val="21"/>
        </w:rPr>
        <w:t>are</w:t>
      </w:r>
      <w:r>
        <w:rPr>
          <w:spacing w:val="40"/>
          <w:sz w:val="21"/>
        </w:rPr>
        <w:t> </w:t>
      </w:r>
      <w:r>
        <w:rPr>
          <w:sz w:val="21"/>
        </w:rPr>
        <w:t>deemed</w:t>
      </w:r>
      <w:r>
        <w:rPr>
          <w:spacing w:val="40"/>
          <w:sz w:val="21"/>
        </w:rPr>
        <w:t> </w:t>
      </w:r>
      <w:r>
        <w:rPr>
          <w:sz w:val="21"/>
        </w:rPr>
        <w:t>not</w:t>
      </w:r>
      <w:r>
        <w:rPr>
          <w:spacing w:val="40"/>
          <w:sz w:val="21"/>
        </w:rPr>
        <w:t> </w:t>
      </w:r>
      <w:r>
        <w:rPr>
          <w:sz w:val="21"/>
        </w:rPr>
        <w:t>to</w:t>
      </w:r>
      <w:r>
        <w:rPr>
          <w:spacing w:val="40"/>
          <w:sz w:val="21"/>
        </w:rPr>
        <w:t> </w:t>
      </w:r>
      <w:r>
        <w:rPr>
          <w:sz w:val="21"/>
        </w:rPr>
        <w:t>be</w:t>
      </w:r>
      <w:r>
        <w:rPr>
          <w:spacing w:val="40"/>
          <w:sz w:val="21"/>
        </w:rPr>
        <w:t> </w:t>
      </w:r>
      <w:r>
        <w:rPr>
          <w:sz w:val="21"/>
        </w:rPr>
        <w:t>works</w:t>
      </w:r>
      <w:r>
        <w:rPr>
          <w:spacing w:val="40"/>
          <w:sz w:val="21"/>
        </w:rPr>
        <w:t> </w:t>
      </w:r>
      <w:r>
        <w:rPr>
          <w:sz w:val="21"/>
        </w:rPr>
        <w:t>of</w:t>
      </w:r>
      <w:r>
        <w:rPr>
          <w:spacing w:val="40"/>
          <w:sz w:val="21"/>
        </w:rPr>
        <w:t> </w:t>
      </w:r>
      <w:r>
        <w:rPr>
          <w:sz w:val="21"/>
        </w:rPr>
        <w:t>authorship, Employee</w:t>
      </w:r>
      <w:r>
        <w:rPr>
          <w:spacing w:val="30"/>
          <w:sz w:val="21"/>
        </w:rPr>
        <w:t> </w:t>
      </w:r>
      <w:r>
        <w:rPr>
          <w:sz w:val="21"/>
        </w:rPr>
        <w:t>hereby</w:t>
      </w:r>
      <w:r>
        <w:rPr>
          <w:spacing w:val="30"/>
          <w:sz w:val="21"/>
        </w:rPr>
        <w:t> </w:t>
      </w:r>
      <w:r>
        <w:rPr>
          <w:sz w:val="21"/>
        </w:rPr>
        <w:t>irrevocably</w:t>
      </w:r>
      <w:r>
        <w:rPr>
          <w:spacing w:val="30"/>
          <w:sz w:val="21"/>
        </w:rPr>
        <w:t> </w:t>
      </w:r>
      <w:r>
        <w:rPr>
          <w:sz w:val="21"/>
        </w:rPr>
        <w:t>assigns</w:t>
      </w:r>
      <w:r>
        <w:rPr>
          <w:spacing w:val="30"/>
          <w:sz w:val="21"/>
        </w:rPr>
        <w:t> </w:t>
      </w:r>
      <w:r>
        <w:rPr>
          <w:sz w:val="21"/>
        </w:rPr>
        <w:t>(or</w:t>
      </w:r>
      <w:r>
        <w:rPr>
          <w:spacing w:val="30"/>
          <w:sz w:val="21"/>
        </w:rPr>
        <w:t> </w:t>
      </w:r>
      <w:r>
        <w:rPr>
          <w:sz w:val="21"/>
        </w:rPr>
        <w:t>authorizes</w:t>
      </w:r>
      <w:r>
        <w:rPr>
          <w:spacing w:val="30"/>
          <w:sz w:val="21"/>
        </w:rPr>
        <w:t> </w:t>
      </w:r>
      <w:r>
        <w:rPr>
          <w:sz w:val="21"/>
        </w:rPr>
        <w:t>Employer</w:t>
      </w:r>
      <w:r>
        <w:rPr>
          <w:spacing w:val="30"/>
          <w:sz w:val="21"/>
        </w:rPr>
        <w:t> </w:t>
      </w:r>
      <w:r>
        <w:rPr>
          <w:sz w:val="21"/>
        </w:rPr>
        <w:t>to</w:t>
      </w:r>
      <w:r>
        <w:rPr>
          <w:spacing w:val="30"/>
          <w:sz w:val="21"/>
        </w:rPr>
        <w:t> </w:t>
      </w:r>
      <w:r>
        <w:rPr>
          <w:sz w:val="21"/>
        </w:rPr>
        <w:t>act</w:t>
      </w:r>
      <w:r>
        <w:rPr>
          <w:spacing w:val="30"/>
          <w:sz w:val="21"/>
        </w:rPr>
        <w:t> </w:t>
      </w:r>
      <w:r>
        <w:rPr>
          <w:sz w:val="21"/>
        </w:rPr>
        <w:t>as</w:t>
      </w:r>
      <w:r>
        <w:rPr>
          <w:spacing w:val="30"/>
          <w:sz w:val="21"/>
        </w:rPr>
        <w:t> </w:t>
      </w:r>
      <w:r>
        <w:rPr>
          <w:sz w:val="21"/>
        </w:rPr>
        <w:t>Employee’s</w:t>
      </w:r>
      <w:r>
        <w:rPr>
          <w:spacing w:val="30"/>
          <w:sz w:val="21"/>
        </w:rPr>
        <w:t> </w:t>
      </w:r>
      <w:r>
        <w:rPr>
          <w:sz w:val="21"/>
        </w:rPr>
        <w:t>agent</w:t>
      </w:r>
      <w:r>
        <w:rPr>
          <w:spacing w:val="30"/>
          <w:sz w:val="21"/>
        </w:rPr>
        <w:t> </w:t>
      </w:r>
      <w:r>
        <w:rPr>
          <w:sz w:val="21"/>
        </w:rPr>
        <w:t>to</w:t>
      </w:r>
      <w:r>
        <w:rPr>
          <w:spacing w:val="30"/>
          <w:sz w:val="21"/>
        </w:rPr>
        <w:t> </w:t>
      </w:r>
      <w:r>
        <w:rPr>
          <w:sz w:val="21"/>
        </w:rPr>
        <w:t>assign)</w:t>
      </w:r>
      <w:r>
        <w:rPr>
          <w:spacing w:val="30"/>
          <w:sz w:val="21"/>
        </w:rPr>
        <w:t> </w:t>
      </w:r>
      <w:r>
        <w:rPr>
          <w:sz w:val="21"/>
        </w:rPr>
        <w:t>all</w:t>
      </w:r>
      <w:r>
        <w:rPr>
          <w:spacing w:val="30"/>
          <w:sz w:val="21"/>
        </w:rPr>
        <w:t> </w:t>
      </w:r>
      <w:r>
        <w:rPr>
          <w:sz w:val="21"/>
        </w:rPr>
        <w:t>right,</w:t>
      </w:r>
      <w:r>
        <w:rPr>
          <w:spacing w:val="30"/>
          <w:sz w:val="21"/>
        </w:rPr>
        <w:t> </w:t>
      </w:r>
      <w:r>
        <w:rPr>
          <w:sz w:val="21"/>
        </w:rPr>
        <w:t>title</w:t>
      </w:r>
      <w:r>
        <w:rPr>
          <w:spacing w:val="30"/>
          <w:sz w:val="21"/>
        </w:rPr>
        <w:t> </w:t>
      </w:r>
      <w:r>
        <w:rPr>
          <w:sz w:val="21"/>
        </w:rPr>
        <w:t>and</w:t>
      </w:r>
      <w:r>
        <w:rPr>
          <w:spacing w:val="30"/>
          <w:sz w:val="21"/>
        </w:rPr>
        <w:t> </w:t>
      </w:r>
      <w:r>
        <w:rPr>
          <w:sz w:val="21"/>
        </w:rPr>
        <w:t>interest</w:t>
      </w:r>
      <w:r>
        <w:rPr>
          <w:spacing w:val="30"/>
          <w:sz w:val="21"/>
        </w:rPr>
        <w:t> </w:t>
      </w:r>
      <w:r>
        <w:rPr>
          <w:sz w:val="21"/>
        </w:rPr>
        <w:t>in and to the copyrights in the works, including, without limitation, right of attribution and all related moral rights, to the Employer. Employee</w:t>
      </w:r>
      <w:r>
        <w:rPr>
          <w:spacing w:val="24"/>
          <w:sz w:val="21"/>
        </w:rPr>
        <w:t> </w:t>
      </w:r>
      <w:r>
        <w:rPr>
          <w:sz w:val="21"/>
        </w:rPr>
        <w:t>further</w:t>
      </w:r>
      <w:r>
        <w:rPr>
          <w:spacing w:val="24"/>
          <w:sz w:val="21"/>
        </w:rPr>
        <w:t> </w:t>
      </w:r>
      <w:r>
        <w:rPr>
          <w:sz w:val="21"/>
        </w:rPr>
        <w:t>agrees</w:t>
      </w:r>
      <w:r>
        <w:rPr>
          <w:spacing w:val="24"/>
          <w:sz w:val="21"/>
        </w:rPr>
        <w:t> </w:t>
      </w:r>
      <w:r>
        <w:rPr>
          <w:sz w:val="21"/>
        </w:rPr>
        <w:t>that</w:t>
      </w:r>
      <w:r>
        <w:rPr>
          <w:spacing w:val="24"/>
          <w:sz w:val="21"/>
        </w:rPr>
        <w:t> </w:t>
      </w:r>
      <w:r>
        <w:rPr>
          <w:sz w:val="21"/>
        </w:rPr>
        <w:t>any</w:t>
      </w:r>
      <w:r>
        <w:rPr>
          <w:spacing w:val="24"/>
          <w:sz w:val="21"/>
        </w:rPr>
        <w:t> </w:t>
      </w:r>
      <w:r>
        <w:rPr>
          <w:sz w:val="21"/>
        </w:rPr>
        <w:t>inventions</w:t>
      </w:r>
      <w:r>
        <w:rPr>
          <w:spacing w:val="24"/>
          <w:sz w:val="21"/>
        </w:rPr>
        <w:t> </w:t>
      </w:r>
      <w:r>
        <w:rPr>
          <w:sz w:val="21"/>
        </w:rPr>
        <w:t>and</w:t>
      </w:r>
      <w:r>
        <w:rPr>
          <w:spacing w:val="24"/>
          <w:sz w:val="21"/>
        </w:rPr>
        <w:t> </w:t>
      </w:r>
      <w:r>
        <w:rPr>
          <w:sz w:val="21"/>
        </w:rPr>
        <w:t>trade</w:t>
      </w:r>
      <w:r>
        <w:rPr>
          <w:spacing w:val="24"/>
          <w:sz w:val="21"/>
        </w:rPr>
        <w:t> </w:t>
      </w:r>
      <w:r>
        <w:rPr>
          <w:sz w:val="21"/>
        </w:rPr>
        <w:t>secrets</w:t>
      </w:r>
      <w:r>
        <w:rPr>
          <w:spacing w:val="24"/>
          <w:sz w:val="21"/>
        </w:rPr>
        <w:t> </w:t>
      </w:r>
      <w:r>
        <w:rPr>
          <w:sz w:val="21"/>
        </w:rPr>
        <w:t>covered</w:t>
      </w:r>
      <w:r>
        <w:rPr>
          <w:spacing w:val="24"/>
          <w:sz w:val="21"/>
        </w:rPr>
        <w:t> </w:t>
      </w:r>
      <w:r>
        <w:rPr>
          <w:sz w:val="21"/>
        </w:rPr>
        <w:t>by</w:t>
      </w:r>
      <w:r>
        <w:rPr>
          <w:spacing w:val="24"/>
          <w:sz w:val="21"/>
        </w:rPr>
        <w:t> </w:t>
      </w:r>
      <w:r>
        <w:rPr>
          <w:sz w:val="21"/>
        </w:rPr>
        <w:t>this</w:t>
      </w:r>
      <w:r>
        <w:rPr>
          <w:spacing w:val="24"/>
          <w:sz w:val="21"/>
        </w:rPr>
        <w:t> </w:t>
      </w:r>
      <w:r>
        <w:rPr>
          <w:sz w:val="21"/>
        </w:rPr>
        <w:t>provision</w:t>
      </w:r>
      <w:r>
        <w:rPr>
          <w:spacing w:val="24"/>
          <w:sz w:val="21"/>
        </w:rPr>
        <w:t> </w:t>
      </w:r>
      <w:r>
        <w:rPr>
          <w:sz w:val="21"/>
        </w:rPr>
        <w:t>shall</w:t>
      </w:r>
      <w:r>
        <w:rPr>
          <w:spacing w:val="24"/>
          <w:sz w:val="21"/>
        </w:rPr>
        <w:t> </w:t>
      </w:r>
      <w:r>
        <w:rPr>
          <w:sz w:val="21"/>
        </w:rPr>
        <w:t>be</w:t>
      </w:r>
      <w:r>
        <w:rPr>
          <w:spacing w:val="24"/>
          <w:sz w:val="21"/>
        </w:rPr>
        <w:t> </w:t>
      </w:r>
      <w:r>
        <w:rPr>
          <w:sz w:val="21"/>
        </w:rPr>
        <w:t>owned</w:t>
      </w:r>
      <w:r>
        <w:rPr>
          <w:spacing w:val="24"/>
          <w:sz w:val="21"/>
        </w:rPr>
        <w:t> </w:t>
      </w:r>
      <w:r>
        <w:rPr>
          <w:sz w:val="21"/>
        </w:rPr>
        <w:t>absolutely</w:t>
      </w:r>
      <w:r>
        <w:rPr>
          <w:spacing w:val="24"/>
          <w:sz w:val="21"/>
        </w:rPr>
        <w:t> </w:t>
      </w:r>
      <w:r>
        <w:rPr>
          <w:sz w:val="21"/>
        </w:rPr>
        <w:t>and</w:t>
      </w:r>
      <w:r>
        <w:rPr>
          <w:spacing w:val="24"/>
          <w:sz w:val="21"/>
        </w:rPr>
        <w:t> </w:t>
      </w:r>
      <w:r>
        <w:rPr>
          <w:sz w:val="21"/>
        </w:rPr>
        <w:t>exclusively by Employer, including all patent rights throughout the world. Employee acknowledges that this provision provides Employer with rights</w:t>
      </w:r>
      <w:r>
        <w:rPr>
          <w:spacing w:val="40"/>
          <w:sz w:val="21"/>
        </w:rPr>
        <w:t> </w:t>
      </w:r>
      <w:r>
        <w:rPr>
          <w:sz w:val="21"/>
        </w:rPr>
        <w:t>to</w:t>
      </w:r>
      <w:r>
        <w:rPr>
          <w:spacing w:val="40"/>
          <w:sz w:val="21"/>
        </w:rPr>
        <w:t> </w:t>
      </w:r>
      <w:r>
        <w:rPr>
          <w:sz w:val="21"/>
        </w:rPr>
        <w:t>the</w:t>
      </w:r>
      <w:r>
        <w:rPr>
          <w:spacing w:val="40"/>
          <w:sz w:val="21"/>
        </w:rPr>
        <w:t> </w:t>
      </w:r>
      <w:r>
        <w:rPr>
          <w:sz w:val="21"/>
        </w:rPr>
        <w:t>fullest</w:t>
      </w:r>
      <w:r>
        <w:rPr>
          <w:spacing w:val="40"/>
          <w:sz w:val="21"/>
        </w:rPr>
        <w:t> </w:t>
      </w:r>
      <w:r>
        <w:rPr>
          <w:sz w:val="21"/>
        </w:rPr>
        <w:t>extent</w:t>
      </w:r>
      <w:r>
        <w:rPr>
          <w:spacing w:val="40"/>
          <w:sz w:val="21"/>
        </w:rPr>
        <w:t> </w:t>
      </w:r>
      <w:r>
        <w:rPr>
          <w:sz w:val="21"/>
        </w:rPr>
        <w:t>permitted</w:t>
      </w:r>
      <w:r>
        <w:rPr>
          <w:spacing w:val="40"/>
          <w:sz w:val="21"/>
        </w:rPr>
        <w:t> </w:t>
      </w:r>
      <w:r>
        <w:rPr>
          <w:sz w:val="21"/>
        </w:rPr>
        <w:t>by</w:t>
      </w:r>
      <w:r>
        <w:rPr>
          <w:spacing w:val="40"/>
          <w:sz w:val="21"/>
        </w:rPr>
        <w:t> </w:t>
      </w:r>
      <w:r>
        <w:rPr>
          <w:sz w:val="21"/>
        </w:rPr>
        <w:t>RCW</w:t>
      </w:r>
      <w:r>
        <w:rPr>
          <w:spacing w:val="40"/>
          <w:sz w:val="21"/>
        </w:rPr>
        <w:t> </w:t>
      </w:r>
      <w:r>
        <w:rPr>
          <w:sz w:val="21"/>
        </w:rPr>
        <w:t>49.44.140.</w:t>
      </w:r>
      <w:r>
        <w:rPr>
          <w:spacing w:val="40"/>
          <w:sz w:val="21"/>
        </w:rPr>
        <w:t> </w:t>
      </w:r>
      <w:r>
        <w:rPr>
          <w:sz w:val="21"/>
        </w:rPr>
        <w:t>Employee</w:t>
      </w:r>
      <w:r>
        <w:rPr>
          <w:spacing w:val="40"/>
          <w:sz w:val="21"/>
        </w:rPr>
        <w:t> </w:t>
      </w:r>
      <w:r>
        <w:rPr>
          <w:sz w:val="21"/>
        </w:rPr>
        <w:t>shall</w:t>
      </w:r>
      <w:r>
        <w:rPr>
          <w:spacing w:val="40"/>
          <w:sz w:val="21"/>
        </w:rPr>
        <w:t> </w:t>
      </w:r>
      <w:r>
        <w:rPr>
          <w:sz w:val="21"/>
        </w:rPr>
        <w:t>promptly</w:t>
      </w:r>
      <w:r>
        <w:rPr>
          <w:spacing w:val="40"/>
          <w:sz w:val="21"/>
        </w:rPr>
        <w:t> </w:t>
      </w:r>
      <w:r>
        <w:rPr>
          <w:sz w:val="21"/>
        </w:rPr>
        <w:t>inform</w:t>
      </w:r>
      <w:r>
        <w:rPr>
          <w:spacing w:val="40"/>
          <w:sz w:val="21"/>
        </w:rPr>
        <w:t> </w:t>
      </w:r>
      <w:r>
        <w:rPr>
          <w:sz w:val="21"/>
        </w:rPr>
        <w:t>Employer</w:t>
      </w:r>
      <w:r>
        <w:rPr>
          <w:spacing w:val="40"/>
          <w:sz w:val="21"/>
        </w:rPr>
        <w:t> </w:t>
      </w:r>
      <w:r>
        <w:rPr>
          <w:sz w:val="21"/>
        </w:rPr>
        <w:t>about</w:t>
      </w:r>
      <w:r>
        <w:rPr>
          <w:spacing w:val="40"/>
          <w:sz w:val="21"/>
        </w:rPr>
        <w:t> </w:t>
      </w:r>
      <w:r>
        <w:rPr>
          <w:sz w:val="21"/>
        </w:rPr>
        <w:t>such</w:t>
      </w:r>
      <w:r>
        <w:rPr>
          <w:spacing w:val="40"/>
          <w:sz w:val="21"/>
        </w:rPr>
        <w:t> </w:t>
      </w:r>
      <w:r>
        <w:rPr>
          <w:sz w:val="21"/>
        </w:rPr>
        <w:t>patentable inventions and shall not disclose to any third parties any information about the inventions without the prior written consent of Employer.</w:t>
      </w:r>
      <w:r>
        <w:rPr>
          <w:spacing w:val="23"/>
          <w:sz w:val="21"/>
        </w:rPr>
        <w:t> </w:t>
      </w:r>
      <w:r>
        <w:rPr>
          <w:sz w:val="21"/>
        </w:rPr>
        <w:t>Employee</w:t>
      </w:r>
      <w:r>
        <w:rPr>
          <w:spacing w:val="23"/>
          <w:sz w:val="21"/>
        </w:rPr>
        <w:t> </w:t>
      </w:r>
      <w:r>
        <w:rPr>
          <w:sz w:val="21"/>
        </w:rPr>
        <w:t>agrees</w:t>
      </w:r>
      <w:r>
        <w:rPr>
          <w:spacing w:val="23"/>
          <w:sz w:val="21"/>
        </w:rPr>
        <w:t> </w:t>
      </w:r>
      <w:r>
        <w:rPr>
          <w:sz w:val="21"/>
        </w:rPr>
        <w:t>to</w:t>
      </w:r>
      <w:r>
        <w:rPr>
          <w:spacing w:val="23"/>
          <w:sz w:val="21"/>
        </w:rPr>
        <w:t> </w:t>
      </w:r>
      <w:r>
        <w:rPr>
          <w:sz w:val="21"/>
        </w:rPr>
        <w:t>execute</w:t>
      </w:r>
      <w:r>
        <w:rPr>
          <w:spacing w:val="23"/>
          <w:sz w:val="21"/>
        </w:rPr>
        <w:t> </w:t>
      </w:r>
      <w:r>
        <w:rPr>
          <w:sz w:val="21"/>
        </w:rPr>
        <w:t>and</w:t>
      </w:r>
      <w:r>
        <w:rPr>
          <w:spacing w:val="23"/>
          <w:sz w:val="21"/>
        </w:rPr>
        <w:t> </w:t>
      </w:r>
      <w:r>
        <w:rPr>
          <w:sz w:val="21"/>
        </w:rPr>
        <w:t>deliver</w:t>
      </w:r>
      <w:r>
        <w:rPr>
          <w:spacing w:val="23"/>
          <w:sz w:val="21"/>
        </w:rPr>
        <w:t> </w:t>
      </w:r>
      <w:r>
        <w:rPr>
          <w:sz w:val="21"/>
        </w:rPr>
        <w:t>to</w:t>
      </w:r>
      <w:r>
        <w:rPr>
          <w:spacing w:val="23"/>
          <w:sz w:val="21"/>
        </w:rPr>
        <w:t> </w:t>
      </w:r>
      <w:r>
        <w:rPr>
          <w:sz w:val="21"/>
        </w:rPr>
        <w:t>Employer,</w:t>
      </w:r>
      <w:r>
        <w:rPr>
          <w:spacing w:val="23"/>
          <w:sz w:val="21"/>
        </w:rPr>
        <w:t> </w:t>
      </w:r>
      <w:r>
        <w:rPr>
          <w:sz w:val="21"/>
        </w:rPr>
        <w:t>upon</w:t>
      </w:r>
      <w:r>
        <w:rPr>
          <w:spacing w:val="23"/>
          <w:sz w:val="21"/>
        </w:rPr>
        <w:t> </w:t>
      </w:r>
      <w:r>
        <w:rPr>
          <w:sz w:val="21"/>
        </w:rPr>
        <w:t>request,</w:t>
      </w:r>
      <w:r>
        <w:rPr>
          <w:spacing w:val="23"/>
          <w:sz w:val="21"/>
        </w:rPr>
        <w:t> </w:t>
      </w:r>
      <w:r>
        <w:rPr>
          <w:sz w:val="21"/>
        </w:rPr>
        <w:t>such</w:t>
      </w:r>
      <w:r>
        <w:rPr>
          <w:spacing w:val="23"/>
          <w:sz w:val="21"/>
        </w:rPr>
        <w:t> </w:t>
      </w:r>
      <w:r>
        <w:rPr>
          <w:sz w:val="21"/>
        </w:rPr>
        <w:t>documents</w:t>
      </w:r>
      <w:r>
        <w:rPr>
          <w:spacing w:val="23"/>
          <w:sz w:val="21"/>
        </w:rPr>
        <w:t> </w:t>
      </w:r>
      <w:r>
        <w:rPr>
          <w:sz w:val="21"/>
        </w:rPr>
        <w:t>as</w:t>
      </w:r>
      <w:r>
        <w:rPr>
          <w:spacing w:val="23"/>
          <w:sz w:val="21"/>
        </w:rPr>
        <w:t> </w:t>
      </w:r>
      <w:r>
        <w:rPr>
          <w:sz w:val="21"/>
        </w:rPr>
        <w:t>may</w:t>
      </w:r>
      <w:r>
        <w:rPr>
          <w:spacing w:val="23"/>
          <w:sz w:val="21"/>
        </w:rPr>
        <w:t> </w:t>
      </w:r>
      <w:r>
        <w:rPr>
          <w:sz w:val="21"/>
        </w:rPr>
        <w:t>be</w:t>
      </w:r>
      <w:r>
        <w:rPr>
          <w:spacing w:val="23"/>
          <w:sz w:val="21"/>
        </w:rPr>
        <w:t> </w:t>
      </w:r>
      <w:r>
        <w:rPr>
          <w:sz w:val="21"/>
        </w:rPr>
        <w:t>necessary</w:t>
      </w:r>
      <w:r>
        <w:rPr>
          <w:spacing w:val="23"/>
          <w:sz w:val="21"/>
        </w:rPr>
        <w:t> </w:t>
      </w:r>
      <w:r>
        <w:rPr>
          <w:sz w:val="21"/>
        </w:rPr>
        <w:t>for</w:t>
      </w:r>
      <w:r>
        <w:rPr>
          <w:spacing w:val="23"/>
          <w:sz w:val="21"/>
        </w:rPr>
        <w:t> </w:t>
      </w:r>
      <w:r>
        <w:rPr>
          <w:sz w:val="21"/>
        </w:rPr>
        <w:t>Employer to perfect its rights in any and all Intellectual Property covered by this provision. To fulfill the intent of this paragraph, Employee irrevocably appoints Employer and Employer’s authorized agents as his agent and attorney in fact to transfer, vest or confirm Employer’s</w:t>
      </w:r>
      <w:r>
        <w:rPr>
          <w:spacing w:val="40"/>
          <w:sz w:val="21"/>
        </w:rPr>
        <w:t> </w:t>
      </w:r>
      <w:r>
        <w:rPr>
          <w:sz w:val="21"/>
        </w:rPr>
        <w:t>rights</w:t>
      </w:r>
      <w:r>
        <w:rPr>
          <w:spacing w:val="40"/>
          <w:sz w:val="21"/>
        </w:rPr>
        <w:t> </w:t>
      </w:r>
      <w:r>
        <w:rPr>
          <w:sz w:val="21"/>
        </w:rPr>
        <w:t>and</w:t>
      </w:r>
      <w:r>
        <w:rPr>
          <w:spacing w:val="40"/>
          <w:sz w:val="21"/>
        </w:rPr>
        <w:t> </w:t>
      </w:r>
      <w:r>
        <w:rPr>
          <w:sz w:val="21"/>
        </w:rPr>
        <w:t>to</w:t>
      </w:r>
      <w:r>
        <w:rPr>
          <w:spacing w:val="40"/>
          <w:sz w:val="21"/>
        </w:rPr>
        <w:t> </w:t>
      </w:r>
      <w:r>
        <w:rPr>
          <w:sz w:val="21"/>
        </w:rPr>
        <w:t>execute</w:t>
      </w:r>
      <w:r>
        <w:rPr>
          <w:spacing w:val="40"/>
          <w:sz w:val="21"/>
        </w:rPr>
        <w:t> </w:t>
      </w:r>
      <w:r>
        <w:rPr>
          <w:sz w:val="21"/>
        </w:rPr>
        <w:t>and</w:t>
      </w:r>
      <w:r>
        <w:rPr>
          <w:spacing w:val="40"/>
          <w:sz w:val="21"/>
        </w:rPr>
        <w:t> </w:t>
      </w:r>
      <w:r>
        <w:rPr>
          <w:sz w:val="21"/>
        </w:rPr>
        <w:t>file</w:t>
      </w:r>
      <w:r>
        <w:rPr>
          <w:spacing w:val="40"/>
          <w:sz w:val="21"/>
        </w:rPr>
        <w:t> </w:t>
      </w:r>
      <w:r>
        <w:rPr>
          <w:sz w:val="21"/>
        </w:rPr>
        <w:t>any</w:t>
      </w:r>
      <w:r>
        <w:rPr>
          <w:spacing w:val="40"/>
          <w:sz w:val="21"/>
        </w:rPr>
        <w:t> </w:t>
      </w:r>
      <w:r>
        <w:rPr>
          <w:sz w:val="21"/>
        </w:rPr>
        <w:t>such</w:t>
      </w:r>
      <w:r>
        <w:rPr>
          <w:spacing w:val="40"/>
          <w:sz w:val="21"/>
        </w:rPr>
        <w:t> </w:t>
      </w:r>
      <w:r>
        <w:rPr>
          <w:sz w:val="21"/>
        </w:rPr>
        <w:t>applications</w:t>
      </w:r>
      <w:r>
        <w:rPr>
          <w:spacing w:val="40"/>
          <w:sz w:val="21"/>
        </w:rPr>
        <w:t> </w:t>
      </w:r>
      <w:r>
        <w:rPr>
          <w:sz w:val="21"/>
        </w:rPr>
        <w:t>and</w:t>
      </w:r>
      <w:r>
        <w:rPr>
          <w:spacing w:val="40"/>
          <w:sz w:val="21"/>
        </w:rPr>
        <w:t> </w:t>
      </w:r>
      <w:r>
        <w:rPr>
          <w:sz w:val="21"/>
        </w:rPr>
        <w:t>to</w:t>
      </w:r>
      <w:r>
        <w:rPr>
          <w:spacing w:val="40"/>
          <w:sz w:val="21"/>
        </w:rPr>
        <w:t> </w:t>
      </w:r>
      <w:r>
        <w:rPr>
          <w:sz w:val="21"/>
        </w:rPr>
        <w:t>do</w:t>
      </w:r>
      <w:r>
        <w:rPr>
          <w:spacing w:val="40"/>
          <w:sz w:val="21"/>
        </w:rPr>
        <w:t> </w:t>
      </w:r>
      <w:r>
        <w:rPr>
          <w:sz w:val="21"/>
        </w:rPr>
        <w:t>all</w:t>
      </w:r>
      <w:r>
        <w:rPr>
          <w:spacing w:val="40"/>
          <w:sz w:val="21"/>
        </w:rPr>
        <w:t> </w:t>
      </w:r>
      <w:r>
        <w:rPr>
          <w:sz w:val="21"/>
        </w:rPr>
        <w:t>other</w:t>
      </w:r>
      <w:r>
        <w:rPr>
          <w:spacing w:val="40"/>
          <w:sz w:val="21"/>
        </w:rPr>
        <w:t> </w:t>
      </w:r>
      <w:r>
        <w:rPr>
          <w:sz w:val="21"/>
        </w:rPr>
        <w:t>lawful</w:t>
      </w:r>
      <w:r>
        <w:rPr>
          <w:spacing w:val="40"/>
          <w:sz w:val="21"/>
        </w:rPr>
        <w:t> </w:t>
      </w:r>
      <w:r>
        <w:rPr>
          <w:sz w:val="21"/>
        </w:rPr>
        <w:t>acts</w:t>
      </w:r>
      <w:r>
        <w:rPr>
          <w:spacing w:val="40"/>
          <w:sz w:val="21"/>
        </w:rPr>
        <w:t> </w:t>
      </w:r>
      <w:r>
        <w:rPr>
          <w:sz w:val="21"/>
        </w:rPr>
        <w:t>to</w:t>
      </w:r>
      <w:r>
        <w:rPr>
          <w:spacing w:val="40"/>
          <w:sz w:val="21"/>
        </w:rPr>
        <w:t> </w:t>
      </w:r>
      <w:r>
        <w:rPr>
          <w:sz w:val="21"/>
        </w:rPr>
        <w:t>further</w:t>
      </w:r>
      <w:r>
        <w:rPr>
          <w:spacing w:val="40"/>
          <w:sz w:val="21"/>
        </w:rPr>
        <w:t> </w:t>
      </w:r>
      <w:r>
        <w:rPr>
          <w:sz w:val="21"/>
        </w:rPr>
        <w:t>the</w:t>
      </w:r>
      <w:r>
        <w:rPr>
          <w:spacing w:val="40"/>
          <w:sz w:val="21"/>
        </w:rPr>
        <w:t> </w:t>
      </w:r>
      <w:r>
        <w:rPr>
          <w:sz w:val="21"/>
        </w:rPr>
        <w:t>prosecution</w:t>
      </w:r>
      <w:r>
        <w:rPr>
          <w:spacing w:val="40"/>
          <w:sz w:val="21"/>
        </w:rPr>
        <w:t> </w:t>
      </w:r>
      <w:r>
        <w:rPr>
          <w:sz w:val="21"/>
        </w:rPr>
        <w:t>and issuance</w:t>
      </w:r>
      <w:r>
        <w:rPr>
          <w:spacing w:val="14"/>
          <w:sz w:val="21"/>
        </w:rPr>
        <w:t> </w:t>
      </w:r>
      <w:r>
        <w:rPr>
          <w:sz w:val="21"/>
        </w:rPr>
        <w:t>of</w:t>
      </w:r>
      <w:r>
        <w:rPr>
          <w:spacing w:val="14"/>
          <w:sz w:val="21"/>
        </w:rPr>
        <w:t> </w:t>
      </w:r>
      <w:r>
        <w:rPr>
          <w:sz w:val="21"/>
        </w:rPr>
        <w:t>letters,</w:t>
      </w:r>
      <w:r>
        <w:rPr>
          <w:spacing w:val="14"/>
          <w:sz w:val="21"/>
        </w:rPr>
        <w:t> </w:t>
      </w:r>
      <w:r>
        <w:rPr>
          <w:sz w:val="21"/>
        </w:rPr>
        <w:t>patents</w:t>
      </w:r>
      <w:r>
        <w:rPr>
          <w:spacing w:val="14"/>
          <w:sz w:val="21"/>
        </w:rPr>
        <w:t> </w:t>
      </w:r>
      <w:r>
        <w:rPr>
          <w:sz w:val="21"/>
        </w:rPr>
        <w:t>or</w:t>
      </w:r>
      <w:r>
        <w:rPr>
          <w:spacing w:val="14"/>
          <w:sz w:val="21"/>
        </w:rPr>
        <w:t> </w:t>
      </w:r>
      <w:r>
        <w:rPr>
          <w:sz w:val="21"/>
        </w:rPr>
        <w:t>trademark</w:t>
      </w:r>
      <w:r>
        <w:rPr>
          <w:spacing w:val="14"/>
          <w:sz w:val="21"/>
        </w:rPr>
        <w:t> </w:t>
      </w:r>
      <w:r>
        <w:rPr>
          <w:sz w:val="21"/>
        </w:rPr>
        <w:t>or</w:t>
      </w:r>
      <w:r>
        <w:rPr>
          <w:spacing w:val="14"/>
          <w:sz w:val="21"/>
        </w:rPr>
        <w:t> </w:t>
      </w:r>
      <w:r>
        <w:rPr>
          <w:sz w:val="21"/>
        </w:rPr>
        <w:t>copyright</w:t>
      </w:r>
      <w:r>
        <w:rPr>
          <w:spacing w:val="14"/>
          <w:sz w:val="21"/>
        </w:rPr>
        <w:t> </w:t>
      </w:r>
      <w:r>
        <w:rPr>
          <w:sz w:val="21"/>
        </w:rPr>
        <w:t>registrations</w:t>
      </w:r>
      <w:r>
        <w:rPr>
          <w:spacing w:val="14"/>
          <w:sz w:val="21"/>
        </w:rPr>
        <w:t> </w:t>
      </w:r>
      <w:r>
        <w:rPr>
          <w:sz w:val="21"/>
        </w:rPr>
        <w:t>with</w:t>
      </w:r>
      <w:r>
        <w:rPr>
          <w:spacing w:val="14"/>
          <w:sz w:val="21"/>
        </w:rPr>
        <w:t> </w:t>
      </w:r>
      <w:r>
        <w:rPr>
          <w:sz w:val="21"/>
        </w:rPr>
        <w:t>the</w:t>
      </w:r>
      <w:r>
        <w:rPr>
          <w:spacing w:val="14"/>
          <w:sz w:val="21"/>
        </w:rPr>
        <w:t> </w:t>
      </w:r>
      <w:r>
        <w:rPr>
          <w:sz w:val="21"/>
        </w:rPr>
        <w:t>same</w:t>
      </w:r>
      <w:r>
        <w:rPr>
          <w:spacing w:val="14"/>
          <w:sz w:val="21"/>
        </w:rPr>
        <w:t> </w:t>
      </w:r>
      <w:r>
        <w:rPr>
          <w:sz w:val="21"/>
        </w:rPr>
        <w:t>legal</w:t>
      </w:r>
      <w:r>
        <w:rPr>
          <w:spacing w:val="14"/>
          <w:sz w:val="21"/>
        </w:rPr>
        <w:t> </w:t>
      </w:r>
      <w:r>
        <w:rPr>
          <w:sz w:val="21"/>
        </w:rPr>
        <w:t>force</w:t>
      </w:r>
      <w:r>
        <w:rPr>
          <w:spacing w:val="14"/>
          <w:sz w:val="21"/>
        </w:rPr>
        <w:t> </w:t>
      </w:r>
      <w:r>
        <w:rPr>
          <w:sz w:val="21"/>
        </w:rPr>
        <w:t>as</w:t>
      </w:r>
      <w:r>
        <w:rPr>
          <w:spacing w:val="14"/>
          <w:sz w:val="21"/>
        </w:rPr>
        <w:t> </w:t>
      </w:r>
      <w:r>
        <w:rPr>
          <w:sz w:val="21"/>
        </w:rPr>
        <w:t>if</w:t>
      </w:r>
      <w:r>
        <w:rPr>
          <w:spacing w:val="14"/>
          <w:sz w:val="21"/>
        </w:rPr>
        <w:t> </w:t>
      </w:r>
      <w:r>
        <w:rPr>
          <w:sz w:val="21"/>
        </w:rPr>
        <w:t>done</w:t>
      </w:r>
      <w:r>
        <w:rPr>
          <w:spacing w:val="14"/>
          <w:sz w:val="21"/>
        </w:rPr>
        <w:t> </w:t>
      </w:r>
      <w:r>
        <w:rPr>
          <w:sz w:val="21"/>
        </w:rPr>
        <w:t>by</w:t>
      </w:r>
      <w:r>
        <w:rPr>
          <w:spacing w:val="14"/>
          <w:sz w:val="21"/>
        </w:rPr>
        <w:t> </w:t>
      </w:r>
      <w:r>
        <w:rPr>
          <w:sz w:val="21"/>
        </w:rPr>
        <w:t>Employee,</w:t>
      </w:r>
      <w:r>
        <w:rPr>
          <w:spacing w:val="14"/>
          <w:sz w:val="21"/>
        </w:rPr>
        <w:t> </w:t>
      </w:r>
      <w:r>
        <w:rPr>
          <w:sz w:val="21"/>
        </w:rPr>
        <w:t>in</w:t>
      </w:r>
      <w:r>
        <w:rPr>
          <w:spacing w:val="14"/>
          <w:sz w:val="21"/>
        </w:rPr>
        <w:t> </w:t>
      </w:r>
      <w:r>
        <w:rPr>
          <w:sz w:val="21"/>
        </w:rPr>
        <w:t>all</w:t>
      </w:r>
      <w:r>
        <w:rPr>
          <w:spacing w:val="14"/>
          <w:sz w:val="21"/>
        </w:rPr>
        <w:t> </w:t>
      </w:r>
      <w:r>
        <w:rPr>
          <w:sz w:val="21"/>
        </w:rPr>
        <w:t>instances in which Employer is unable for any reason to secure Employee’s personal signature. Employee shall not be entitled to any compensation</w:t>
      </w:r>
      <w:r>
        <w:rPr>
          <w:spacing w:val="34"/>
          <w:sz w:val="21"/>
        </w:rPr>
        <w:t> </w:t>
      </w:r>
      <w:r>
        <w:rPr>
          <w:sz w:val="21"/>
        </w:rPr>
        <w:t>or</w:t>
      </w:r>
      <w:r>
        <w:rPr>
          <w:spacing w:val="34"/>
          <w:sz w:val="21"/>
        </w:rPr>
        <w:t> </w:t>
      </w:r>
      <w:r>
        <w:rPr>
          <w:sz w:val="21"/>
        </w:rPr>
        <w:t>other</w:t>
      </w:r>
      <w:r>
        <w:rPr>
          <w:spacing w:val="34"/>
          <w:sz w:val="21"/>
        </w:rPr>
        <w:t> </w:t>
      </w:r>
      <w:r>
        <w:rPr>
          <w:sz w:val="21"/>
        </w:rPr>
        <w:t>consideration</w:t>
      </w:r>
      <w:r>
        <w:rPr>
          <w:spacing w:val="34"/>
          <w:sz w:val="21"/>
        </w:rPr>
        <w:t> </w:t>
      </w:r>
      <w:r>
        <w:rPr>
          <w:sz w:val="21"/>
        </w:rPr>
        <w:t>for</w:t>
      </w:r>
      <w:r>
        <w:rPr>
          <w:spacing w:val="34"/>
          <w:sz w:val="21"/>
        </w:rPr>
        <w:t> </w:t>
      </w:r>
      <w:r>
        <w:rPr>
          <w:sz w:val="21"/>
        </w:rPr>
        <w:t>any</w:t>
      </w:r>
      <w:r>
        <w:rPr>
          <w:spacing w:val="34"/>
          <w:sz w:val="21"/>
        </w:rPr>
        <w:t> </w:t>
      </w:r>
      <w:r>
        <w:rPr>
          <w:sz w:val="21"/>
        </w:rPr>
        <w:t>Intellectual</w:t>
      </w:r>
      <w:r>
        <w:rPr>
          <w:spacing w:val="34"/>
          <w:sz w:val="21"/>
        </w:rPr>
        <w:t> </w:t>
      </w:r>
      <w:r>
        <w:rPr>
          <w:sz w:val="21"/>
        </w:rPr>
        <w:t>Property</w:t>
      </w:r>
      <w:r>
        <w:rPr>
          <w:spacing w:val="34"/>
          <w:sz w:val="21"/>
        </w:rPr>
        <w:t> </w:t>
      </w:r>
      <w:r>
        <w:rPr>
          <w:sz w:val="21"/>
        </w:rPr>
        <w:t>covered</w:t>
      </w:r>
      <w:r>
        <w:rPr>
          <w:spacing w:val="34"/>
          <w:sz w:val="21"/>
        </w:rPr>
        <w:t> </w:t>
      </w:r>
      <w:r>
        <w:rPr>
          <w:sz w:val="21"/>
        </w:rPr>
        <w:t>by</w:t>
      </w:r>
      <w:r>
        <w:rPr>
          <w:spacing w:val="34"/>
          <w:sz w:val="21"/>
        </w:rPr>
        <w:t> </w:t>
      </w:r>
      <w:r>
        <w:rPr>
          <w:sz w:val="21"/>
        </w:rPr>
        <w:t>this</w:t>
      </w:r>
      <w:r>
        <w:rPr>
          <w:spacing w:val="34"/>
          <w:sz w:val="21"/>
        </w:rPr>
        <w:t> </w:t>
      </w:r>
      <w:r>
        <w:rPr>
          <w:sz w:val="21"/>
        </w:rPr>
        <w:t>provision.</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8"/>
        <w:rPr>
          <w:sz w:val="21"/>
        </w:rPr>
      </w:pPr>
    </w:p>
    <w:p>
      <w:pPr>
        <w:spacing w:before="1"/>
        <w:ind w:left="24" w:right="0" w:firstLine="0"/>
        <w:jc w:val="center"/>
        <w:rPr>
          <w:sz w:val="21"/>
        </w:rPr>
      </w:pPr>
      <w:r>
        <w:rPr>
          <w:spacing w:val="-5"/>
          <w:sz w:val="21"/>
        </w:rPr>
        <w:t>19</w:t>
      </w:r>
    </w:p>
    <w:p>
      <w:pPr>
        <w:pStyle w:val="BodyText"/>
        <w:spacing w:before="5"/>
        <w:rPr>
          <w:sz w:val="4"/>
        </w:rPr>
      </w:pPr>
      <w:r>
        <w:rPr/>
        <mc:AlternateContent>
          <mc:Choice Requires="wps">
            <w:drawing>
              <wp:anchor distT="0" distB="0" distL="0" distR="0" allowOverlap="1" layoutInCell="1" locked="0" behindDoc="1" simplePos="0" relativeHeight="487813632">
                <wp:simplePos x="0" y="0"/>
                <wp:positionH relativeFrom="page">
                  <wp:posOffset>231457</wp:posOffset>
                </wp:positionH>
                <wp:positionV relativeFrom="paragraph">
                  <wp:posOffset>47622</wp:posOffset>
                </wp:positionV>
                <wp:extent cx="7312659" cy="17145"/>
                <wp:effectExtent l="0" t="0" r="0" b="0"/>
                <wp:wrapTopAndBottom/>
                <wp:docPr id="1121" name="Group 1121"/>
                <wp:cNvGraphicFramePr>
                  <a:graphicFrameLocks/>
                </wp:cNvGraphicFramePr>
                <a:graphic>
                  <a:graphicData uri="http://schemas.microsoft.com/office/word/2010/wordprocessingGroup">
                    <wpg:wgp>
                      <wpg:cNvPr id="1121" name="Group 1121"/>
                      <wpg:cNvGrpSpPr/>
                      <wpg:grpSpPr>
                        <a:xfrm>
                          <a:off x="0" y="0"/>
                          <a:ext cx="7312659" cy="17145"/>
                          <a:chExt cx="7312659" cy="17145"/>
                        </a:xfrm>
                      </wpg:grpSpPr>
                      <wps:wsp>
                        <wps:cNvPr id="1122" name="Graphic 112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23" name="Graphic 1123"/>
                        <wps:cNvSpPr/>
                        <wps:spPr>
                          <a:xfrm>
                            <a:off x="-12" y="-2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24" name="Graphic 112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49805pt;width:575.8pt;height:1.35pt;mso-position-horizontal-relative:page;mso-position-vertical-relative:paragraph;z-index:-15502848;mso-wrap-distance-left:0;mso-wrap-distance-right:0" id="docshapegroup1119" coordorigin="364,75" coordsize="11516,27">
                <v:rect style="position:absolute;left:364;top:75;width:11516;height:14" id="docshape1120" filled="true" fillcolor="#999999" stroked="false">
                  <v:fill type="solid"/>
                </v:rect>
                <v:shape style="position:absolute;left:364;top:74;width:11516;height:27" id="docshape1121" coordorigin="364,75" coordsize="11516,27" path="m11880,75l11866,88,364,88,364,102,11866,102,11880,102,11880,88,11880,75xe" filled="true" fillcolor="#ededed" stroked="false">
                  <v:path arrowok="t"/>
                  <v:fill type="solid"/>
                </v:shape>
                <v:shape style="position:absolute;left:364;top:75;width:14;height:27" id="docshape1122" coordorigin="364,75" coordsize="14,27" path="m364,102l364,75,378,75,378,88,364,102xe" filled="true" fillcolor="#999999" stroked="false">
                  <v:path arrowok="t"/>
                  <v:fill type="solid"/>
                </v:shape>
                <w10:wrap type="topAndBottom"/>
              </v:group>
            </w:pict>
          </mc:Fallback>
        </mc:AlternateContent>
      </w:r>
    </w:p>
    <w:p>
      <w:pPr>
        <w:spacing w:after="0"/>
        <w:rPr>
          <w:sz w:val="4"/>
        </w:rPr>
        <w:sectPr>
          <w:pgSz w:w="12240" w:h="15840"/>
          <w:pgMar w:top="1820" w:bottom="280" w:left="220" w:right="240"/>
        </w:sectPr>
      </w:pPr>
    </w:p>
    <w:p>
      <w:pPr>
        <w:pStyle w:val="ListParagraph"/>
        <w:numPr>
          <w:ilvl w:val="0"/>
          <w:numId w:val="55"/>
        </w:numPr>
        <w:tabs>
          <w:tab w:pos="475" w:val="left" w:leader="none"/>
        </w:tabs>
        <w:spacing w:line="213" w:lineRule="auto" w:before="138" w:after="0"/>
        <w:ind w:left="144" w:right="221" w:firstLine="0"/>
        <w:jc w:val="both"/>
        <w:rPr>
          <w:sz w:val="21"/>
        </w:rPr>
      </w:pPr>
      <w:r>
        <w:rPr>
          <w:sz w:val="21"/>
          <w:u w:val="single"/>
        </w:rPr>
        <w:t>Indemnification</w:t>
      </w:r>
      <w:r>
        <w:rPr>
          <w:sz w:val="21"/>
        </w:rPr>
        <w:t>.</w:t>
      </w:r>
      <w:r>
        <w:rPr>
          <w:spacing w:val="23"/>
          <w:sz w:val="21"/>
        </w:rPr>
        <w:t> </w:t>
      </w:r>
      <w:r>
        <w:rPr>
          <w:sz w:val="21"/>
        </w:rPr>
        <w:t>Employer</w:t>
      </w:r>
      <w:r>
        <w:rPr>
          <w:spacing w:val="23"/>
          <w:sz w:val="21"/>
        </w:rPr>
        <w:t> </w:t>
      </w:r>
      <w:r>
        <w:rPr>
          <w:sz w:val="21"/>
        </w:rPr>
        <w:t>agrees</w:t>
      </w:r>
      <w:r>
        <w:rPr>
          <w:spacing w:val="23"/>
          <w:sz w:val="21"/>
        </w:rPr>
        <w:t> </w:t>
      </w:r>
      <w:r>
        <w:rPr>
          <w:sz w:val="21"/>
        </w:rPr>
        <w:t>that</w:t>
      </w:r>
      <w:r>
        <w:rPr>
          <w:spacing w:val="23"/>
          <w:sz w:val="21"/>
        </w:rPr>
        <w:t> </w:t>
      </w:r>
      <w:r>
        <w:rPr>
          <w:sz w:val="21"/>
        </w:rPr>
        <w:t>Employee</w:t>
      </w:r>
      <w:r>
        <w:rPr>
          <w:spacing w:val="23"/>
          <w:sz w:val="21"/>
        </w:rPr>
        <w:t> </w:t>
      </w:r>
      <w:r>
        <w:rPr>
          <w:sz w:val="21"/>
        </w:rPr>
        <w:t>will</w:t>
      </w:r>
      <w:r>
        <w:rPr>
          <w:spacing w:val="23"/>
          <w:sz w:val="21"/>
        </w:rPr>
        <w:t> </w:t>
      </w:r>
      <w:r>
        <w:rPr>
          <w:sz w:val="21"/>
        </w:rPr>
        <w:t>seek</w:t>
      </w:r>
      <w:r>
        <w:rPr>
          <w:spacing w:val="23"/>
          <w:sz w:val="21"/>
        </w:rPr>
        <w:t> </w:t>
      </w:r>
      <w:r>
        <w:rPr>
          <w:sz w:val="21"/>
        </w:rPr>
        <w:t>Board</w:t>
      </w:r>
      <w:r>
        <w:rPr>
          <w:spacing w:val="23"/>
          <w:sz w:val="21"/>
        </w:rPr>
        <w:t> </w:t>
      </w:r>
      <w:r>
        <w:rPr>
          <w:sz w:val="21"/>
        </w:rPr>
        <w:t>approval</w:t>
      </w:r>
      <w:r>
        <w:rPr>
          <w:spacing w:val="23"/>
          <w:sz w:val="21"/>
        </w:rPr>
        <w:t> </w:t>
      </w:r>
      <w:r>
        <w:rPr>
          <w:sz w:val="21"/>
        </w:rPr>
        <w:t>to</w:t>
      </w:r>
      <w:r>
        <w:rPr>
          <w:spacing w:val="23"/>
          <w:sz w:val="21"/>
        </w:rPr>
        <w:t> </w:t>
      </w:r>
      <w:r>
        <w:rPr>
          <w:sz w:val="21"/>
        </w:rPr>
        <w:t>designate</w:t>
      </w:r>
      <w:r>
        <w:rPr>
          <w:spacing w:val="23"/>
          <w:sz w:val="21"/>
        </w:rPr>
        <w:t> </w:t>
      </w:r>
      <w:r>
        <w:rPr>
          <w:sz w:val="21"/>
        </w:rPr>
        <w:t>Employee</w:t>
      </w:r>
      <w:r>
        <w:rPr>
          <w:spacing w:val="23"/>
          <w:sz w:val="21"/>
        </w:rPr>
        <w:t> </w:t>
      </w:r>
      <w:r>
        <w:rPr>
          <w:sz w:val="21"/>
        </w:rPr>
        <w:t>as</w:t>
      </w:r>
      <w:r>
        <w:rPr>
          <w:spacing w:val="23"/>
          <w:sz w:val="21"/>
        </w:rPr>
        <w:t> </w:t>
      </w:r>
      <w:r>
        <w:rPr>
          <w:sz w:val="21"/>
        </w:rPr>
        <w:t>an</w:t>
      </w:r>
      <w:r>
        <w:rPr>
          <w:spacing w:val="23"/>
          <w:sz w:val="21"/>
        </w:rPr>
        <w:t> </w:t>
      </w:r>
      <w:r>
        <w:rPr>
          <w:sz w:val="21"/>
        </w:rPr>
        <w:t>Officer</w:t>
      </w:r>
      <w:r>
        <w:rPr>
          <w:spacing w:val="23"/>
          <w:sz w:val="21"/>
        </w:rPr>
        <w:t> </w:t>
      </w:r>
      <w:r>
        <w:rPr>
          <w:sz w:val="21"/>
        </w:rPr>
        <w:t>of</w:t>
      </w:r>
      <w:r>
        <w:rPr>
          <w:spacing w:val="23"/>
          <w:sz w:val="21"/>
        </w:rPr>
        <w:t> </w:t>
      </w:r>
      <w:r>
        <w:rPr>
          <w:sz w:val="21"/>
        </w:rPr>
        <w:t>MGM</w:t>
      </w:r>
      <w:r>
        <w:rPr>
          <w:spacing w:val="23"/>
          <w:sz w:val="21"/>
        </w:rPr>
        <w:t> </w:t>
      </w:r>
      <w:r>
        <w:rPr>
          <w:sz w:val="21"/>
        </w:rPr>
        <w:t>such that</w:t>
      </w:r>
      <w:r>
        <w:rPr>
          <w:spacing w:val="17"/>
          <w:sz w:val="21"/>
        </w:rPr>
        <w:t> </w:t>
      </w:r>
      <w:r>
        <w:rPr>
          <w:sz w:val="21"/>
        </w:rPr>
        <w:t>Employee</w:t>
      </w:r>
      <w:r>
        <w:rPr>
          <w:spacing w:val="17"/>
          <w:sz w:val="21"/>
        </w:rPr>
        <w:t> </w:t>
      </w:r>
      <w:r>
        <w:rPr>
          <w:sz w:val="21"/>
        </w:rPr>
        <w:t>will</w:t>
      </w:r>
      <w:r>
        <w:rPr>
          <w:spacing w:val="17"/>
          <w:sz w:val="21"/>
        </w:rPr>
        <w:t> </w:t>
      </w:r>
      <w:r>
        <w:rPr>
          <w:sz w:val="21"/>
        </w:rPr>
        <w:t>be</w:t>
      </w:r>
      <w:r>
        <w:rPr>
          <w:spacing w:val="17"/>
          <w:sz w:val="21"/>
        </w:rPr>
        <w:t> </w:t>
      </w:r>
      <w:r>
        <w:rPr>
          <w:sz w:val="21"/>
        </w:rPr>
        <w:t>entitled</w:t>
      </w:r>
      <w:r>
        <w:rPr>
          <w:spacing w:val="17"/>
          <w:sz w:val="21"/>
        </w:rPr>
        <w:t> </w:t>
      </w:r>
      <w:r>
        <w:rPr>
          <w:sz w:val="21"/>
        </w:rPr>
        <w:t>to</w:t>
      </w:r>
      <w:r>
        <w:rPr>
          <w:spacing w:val="17"/>
          <w:sz w:val="21"/>
        </w:rPr>
        <w:t> </w:t>
      </w:r>
      <w:r>
        <w:rPr>
          <w:sz w:val="21"/>
        </w:rPr>
        <w:t>the</w:t>
      </w:r>
      <w:r>
        <w:rPr>
          <w:spacing w:val="17"/>
          <w:sz w:val="21"/>
        </w:rPr>
        <w:t> </w:t>
      </w:r>
      <w:r>
        <w:rPr>
          <w:sz w:val="21"/>
        </w:rPr>
        <w:t>indemnification</w:t>
      </w:r>
      <w:r>
        <w:rPr>
          <w:spacing w:val="17"/>
          <w:sz w:val="21"/>
        </w:rPr>
        <w:t> </w:t>
      </w:r>
      <w:r>
        <w:rPr>
          <w:sz w:val="21"/>
        </w:rPr>
        <w:t>provisions</w:t>
      </w:r>
      <w:r>
        <w:rPr>
          <w:spacing w:val="17"/>
          <w:sz w:val="21"/>
        </w:rPr>
        <w:t> </w:t>
      </w:r>
      <w:r>
        <w:rPr>
          <w:sz w:val="21"/>
        </w:rPr>
        <w:t>under</w:t>
      </w:r>
      <w:r>
        <w:rPr>
          <w:spacing w:val="17"/>
          <w:sz w:val="21"/>
        </w:rPr>
        <w:t> </w:t>
      </w:r>
      <w:r>
        <w:rPr>
          <w:sz w:val="21"/>
        </w:rPr>
        <w:t>MGM’s Amended</w:t>
      </w:r>
      <w:r>
        <w:rPr>
          <w:spacing w:val="17"/>
          <w:sz w:val="21"/>
        </w:rPr>
        <w:t> </w:t>
      </w:r>
      <w:r>
        <w:rPr>
          <w:sz w:val="21"/>
        </w:rPr>
        <w:t>and</w:t>
      </w:r>
      <w:r>
        <w:rPr>
          <w:spacing w:val="17"/>
          <w:sz w:val="21"/>
        </w:rPr>
        <w:t> </w:t>
      </w:r>
      <w:r>
        <w:rPr>
          <w:sz w:val="21"/>
        </w:rPr>
        <w:t>Restated</w:t>
      </w:r>
      <w:r>
        <w:rPr>
          <w:spacing w:val="17"/>
          <w:sz w:val="21"/>
        </w:rPr>
        <w:t> </w:t>
      </w:r>
      <w:r>
        <w:rPr>
          <w:sz w:val="21"/>
        </w:rPr>
        <w:t>Bylaws</w:t>
      </w:r>
      <w:r>
        <w:rPr>
          <w:spacing w:val="17"/>
          <w:sz w:val="21"/>
        </w:rPr>
        <w:t> </w:t>
      </w:r>
      <w:r>
        <w:rPr>
          <w:sz w:val="21"/>
        </w:rPr>
        <w:t>(as</w:t>
      </w:r>
      <w:r>
        <w:rPr>
          <w:spacing w:val="17"/>
          <w:sz w:val="21"/>
        </w:rPr>
        <w:t> </w:t>
      </w:r>
      <w:r>
        <w:rPr>
          <w:sz w:val="21"/>
        </w:rPr>
        <w:t>may</w:t>
      </w:r>
      <w:r>
        <w:rPr>
          <w:spacing w:val="17"/>
          <w:sz w:val="21"/>
        </w:rPr>
        <w:t> </w:t>
      </w:r>
      <w:r>
        <w:rPr>
          <w:sz w:val="21"/>
        </w:rPr>
        <w:t>be</w:t>
      </w:r>
      <w:r>
        <w:rPr>
          <w:spacing w:val="17"/>
          <w:sz w:val="21"/>
        </w:rPr>
        <w:t> </w:t>
      </w:r>
      <w:r>
        <w:rPr>
          <w:sz w:val="21"/>
        </w:rPr>
        <w:t>amended or amended and restated from time to time).</w:t>
      </w:r>
    </w:p>
    <w:p>
      <w:pPr>
        <w:pStyle w:val="ListParagraph"/>
        <w:numPr>
          <w:ilvl w:val="0"/>
          <w:numId w:val="55"/>
        </w:numPr>
        <w:tabs>
          <w:tab w:pos="515" w:val="left" w:leader="none"/>
        </w:tabs>
        <w:spacing w:line="213" w:lineRule="auto" w:before="219" w:after="0"/>
        <w:ind w:left="144" w:right="223" w:firstLine="0"/>
        <w:jc w:val="both"/>
        <w:rPr>
          <w:sz w:val="21"/>
        </w:rPr>
      </w:pPr>
      <w:r>
        <w:rPr>
          <w:sz w:val="21"/>
          <w:u w:val="single"/>
        </w:rPr>
        <w:t>Interpretation;</w:t>
      </w:r>
      <w:r>
        <w:rPr>
          <w:spacing w:val="40"/>
          <w:sz w:val="21"/>
          <w:u w:val="single"/>
        </w:rPr>
        <w:t> </w:t>
      </w:r>
      <w:r>
        <w:rPr>
          <w:sz w:val="21"/>
          <w:u w:val="single"/>
        </w:rPr>
        <w:t>Each</w:t>
      </w:r>
      <w:r>
        <w:rPr>
          <w:spacing w:val="40"/>
          <w:sz w:val="21"/>
          <w:u w:val="single"/>
        </w:rPr>
        <w:t> </w:t>
      </w:r>
      <w:r>
        <w:rPr>
          <w:sz w:val="21"/>
          <w:u w:val="single"/>
        </w:rPr>
        <w:t>Par</w:t>
      </w:r>
      <w:r>
        <w:rPr>
          <w:sz w:val="21"/>
        </w:rPr>
        <w:t>ty</w:t>
      </w:r>
      <w:r>
        <w:rPr>
          <w:spacing w:val="40"/>
          <w:sz w:val="21"/>
          <w:u w:val="single"/>
        </w:rPr>
        <w:t> </w:t>
      </w:r>
      <w:r>
        <w:rPr>
          <w:sz w:val="21"/>
          <w:u w:val="single"/>
        </w:rPr>
        <w:t>the</w:t>
      </w:r>
      <w:r>
        <w:rPr>
          <w:spacing w:val="40"/>
          <w:sz w:val="21"/>
          <w:u w:val="single"/>
        </w:rPr>
        <w:t> </w:t>
      </w:r>
      <w:r>
        <w:rPr>
          <w:sz w:val="21"/>
          <w:u w:val="single"/>
        </w:rPr>
        <w:t>Drafter</w:t>
      </w:r>
      <w:r>
        <w:rPr>
          <w:sz w:val="21"/>
        </w:rPr>
        <w:t>. This Agreement</w:t>
      </w:r>
      <w:r>
        <w:rPr>
          <w:spacing w:val="40"/>
          <w:sz w:val="21"/>
        </w:rPr>
        <w:t> </w:t>
      </w:r>
      <w:r>
        <w:rPr>
          <w:sz w:val="21"/>
        </w:rPr>
        <w:t>is</w:t>
      </w:r>
      <w:r>
        <w:rPr>
          <w:spacing w:val="40"/>
          <w:sz w:val="21"/>
        </w:rPr>
        <w:t> </w:t>
      </w:r>
      <w:r>
        <w:rPr>
          <w:sz w:val="21"/>
        </w:rPr>
        <w:t>the</w:t>
      </w:r>
      <w:r>
        <w:rPr>
          <w:spacing w:val="40"/>
          <w:sz w:val="21"/>
        </w:rPr>
        <w:t> </w:t>
      </w:r>
      <w:r>
        <w:rPr>
          <w:sz w:val="21"/>
        </w:rPr>
        <w:t>product</w:t>
      </w:r>
      <w:r>
        <w:rPr>
          <w:spacing w:val="40"/>
          <w:sz w:val="21"/>
        </w:rPr>
        <w:t> </w:t>
      </w:r>
      <w:r>
        <w:rPr>
          <w:sz w:val="21"/>
        </w:rPr>
        <w:t>of</w:t>
      </w:r>
      <w:r>
        <w:rPr>
          <w:spacing w:val="40"/>
          <w:sz w:val="21"/>
        </w:rPr>
        <w:t> </w:t>
      </w:r>
      <w:r>
        <w:rPr>
          <w:sz w:val="21"/>
        </w:rPr>
        <w:t>extensive</w:t>
      </w:r>
      <w:r>
        <w:rPr>
          <w:spacing w:val="40"/>
          <w:sz w:val="21"/>
        </w:rPr>
        <w:t> </w:t>
      </w:r>
      <w:r>
        <w:rPr>
          <w:sz w:val="21"/>
        </w:rPr>
        <w:t>discussions</w:t>
      </w:r>
      <w:r>
        <w:rPr>
          <w:spacing w:val="40"/>
          <w:sz w:val="21"/>
        </w:rPr>
        <w:t> </w:t>
      </w:r>
      <w:r>
        <w:rPr>
          <w:sz w:val="21"/>
        </w:rPr>
        <w:t>and</w:t>
      </w:r>
      <w:r>
        <w:rPr>
          <w:spacing w:val="40"/>
          <w:sz w:val="21"/>
        </w:rPr>
        <w:t> </w:t>
      </w:r>
      <w:r>
        <w:rPr>
          <w:sz w:val="21"/>
        </w:rPr>
        <w:t>negotiations</w:t>
      </w:r>
      <w:r>
        <w:rPr>
          <w:spacing w:val="40"/>
          <w:sz w:val="21"/>
        </w:rPr>
        <w:t> </w:t>
      </w:r>
      <w:r>
        <w:rPr>
          <w:sz w:val="21"/>
        </w:rPr>
        <w:t>between Employee and Employer. Each of these parties was represented by or had the opportunity to consult with counsel who either participated in the formulation and documentation of, or was afforded the opportunity to review and provide comments on, </w:t>
      </w:r>
      <w:r>
        <w:rPr>
          <w:sz w:val="21"/>
        </w:rPr>
        <w:t>this Agreement. Accordingly,</w:t>
      </w:r>
      <w:r>
        <w:rPr>
          <w:spacing w:val="28"/>
          <w:sz w:val="21"/>
        </w:rPr>
        <w:t> </w:t>
      </w:r>
      <w:r>
        <w:rPr>
          <w:sz w:val="21"/>
        </w:rPr>
        <w:t>this Agreement</w:t>
      </w:r>
      <w:r>
        <w:rPr>
          <w:spacing w:val="28"/>
          <w:sz w:val="21"/>
        </w:rPr>
        <w:t> </w:t>
      </w:r>
      <w:r>
        <w:rPr>
          <w:sz w:val="21"/>
        </w:rPr>
        <w:t>and</w:t>
      </w:r>
      <w:r>
        <w:rPr>
          <w:spacing w:val="28"/>
          <w:sz w:val="21"/>
        </w:rPr>
        <w:t> </w:t>
      </w:r>
      <w:r>
        <w:rPr>
          <w:sz w:val="21"/>
        </w:rPr>
        <w:t>the</w:t>
      </w:r>
      <w:r>
        <w:rPr>
          <w:spacing w:val="28"/>
          <w:sz w:val="21"/>
        </w:rPr>
        <w:t> </w:t>
      </w:r>
      <w:r>
        <w:rPr>
          <w:sz w:val="21"/>
        </w:rPr>
        <w:t>provision</w:t>
      </w:r>
      <w:r>
        <w:rPr>
          <w:spacing w:val="28"/>
          <w:sz w:val="21"/>
        </w:rPr>
        <w:t> </w:t>
      </w:r>
      <w:r>
        <w:rPr>
          <w:sz w:val="21"/>
        </w:rPr>
        <w:t>contained</w:t>
      </w:r>
      <w:r>
        <w:rPr>
          <w:spacing w:val="28"/>
          <w:sz w:val="21"/>
        </w:rPr>
        <w:t> </w:t>
      </w:r>
      <w:r>
        <w:rPr>
          <w:sz w:val="21"/>
        </w:rPr>
        <w:t>in</w:t>
      </w:r>
      <w:r>
        <w:rPr>
          <w:spacing w:val="28"/>
          <w:sz w:val="21"/>
        </w:rPr>
        <w:t> </w:t>
      </w:r>
      <w:r>
        <w:rPr>
          <w:sz w:val="21"/>
        </w:rPr>
        <w:t>it</w:t>
      </w:r>
      <w:r>
        <w:rPr>
          <w:spacing w:val="28"/>
          <w:sz w:val="21"/>
        </w:rPr>
        <w:t> </w:t>
      </w:r>
      <w:r>
        <w:rPr>
          <w:sz w:val="21"/>
        </w:rPr>
        <w:t>shall</w:t>
      </w:r>
      <w:r>
        <w:rPr>
          <w:spacing w:val="28"/>
          <w:sz w:val="21"/>
        </w:rPr>
        <w:t> </w:t>
      </w:r>
      <w:r>
        <w:rPr>
          <w:sz w:val="21"/>
        </w:rPr>
        <w:t>not</w:t>
      </w:r>
      <w:r>
        <w:rPr>
          <w:spacing w:val="28"/>
          <w:sz w:val="21"/>
        </w:rPr>
        <w:t> </w:t>
      </w:r>
      <w:r>
        <w:rPr>
          <w:sz w:val="21"/>
        </w:rPr>
        <w:t>be</w:t>
      </w:r>
      <w:r>
        <w:rPr>
          <w:spacing w:val="28"/>
          <w:sz w:val="21"/>
        </w:rPr>
        <w:t> </w:t>
      </w:r>
      <w:r>
        <w:rPr>
          <w:sz w:val="21"/>
        </w:rPr>
        <w:t>construed</w:t>
      </w:r>
      <w:r>
        <w:rPr>
          <w:spacing w:val="28"/>
          <w:sz w:val="21"/>
        </w:rPr>
        <w:t> </w:t>
      </w:r>
      <w:r>
        <w:rPr>
          <w:sz w:val="21"/>
        </w:rPr>
        <w:t>or</w:t>
      </w:r>
      <w:r>
        <w:rPr>
          <w:spacing w:val="28"/>
          <w:sz w:val="21"/>
        </w:rPr>
        <w:t> </w:t>
      </w:r>
      <w:r>
        <w:rPr>
          <w:sz w:val="21"/>
        </w:rPr>
        <w:t>interpreted</w:t>
      </w:r>
      <w:r>
        <w:rPr>
          <w:spacing w:val="28"/>
          <w:sz w:val="21"/>
        </w:rPr>
        <w:t> </w:t>
      </w:r>
      <w:r>
        <w:rPr>
          <w:sz w:val="21"/>
        </w:rPr>
        <w:t>for</w:t>
      </w:r>
      <w:r>
        <w:rPr>
          <w:spacing w:val="28"/>
          <w:sz w:val="21"/>
        </w:rPr>
        <w:t> </w:t>
      </w:r>
      <w:r>
        <w:rPr>
          <w:sz w:val="21"/>
        </w:rPr>
        <w:t>or</w:t>
      </w:r>
      <w:r>
        <w:rPr>
          <w:spacing w:val="28"/>
          <w:sz w:val="21"/>
        </w:rPr>
        <w:t> </w:t>
      </w:r>
      <w:r>
        <w:rPr>
          <w:sz w:val="21"/>
        </w:rPr>
        <w:t>against</w:t>
      </w:r>
      <w:r>
        <w:rPr>
          <w:spacing w:val="28"/>
          <w:sz w:val="21"/>
        </w:rPr>
        <w:t> </w:t>
      </w:r>
      <w:r>
        <w:rPr>
          <w:sz w:val="21"/>
        </w:rPr>
        <w:t>any party</w:t>
      </w:r>
      <w:r>
        <w:rPr>
          <w:spacing w:val="40"/>
          <w:sz w:val="21"/>
        </w:rPr>
        <w:t> </w:t>
      </w:r>
      <w:r>
        <w:rPr>
          <w:sz w:val="21"/>
        </w:rPr>
        <w:t>to</w:t>
      </w:r>
      <w:r>
        <w:rPr>
          <w:spacing w:val="40"/>
          <w:sz w:val="21"/>
        </w:rPr>
        <w:t> </w:t>
      </w:r>
      <w:r>
        <w:rPr>
          <w:sz w:val="21"/>
        </w:rPr>
        <w:t>this Agreement</w:t>
      </w:r>
      <w:r>
        <w:rPr>
          <w:spacing w:val="40"/>
          <w:sz w:val="21"/>
        </w:rPr>
        <w:t> </w:t>
      </w:r>
      <w:r>
        <w:rPr>
          <w:sz w:val="21"/>
        </w:rPr>
        <w:t>because</w:t>
      </w:r>
      <w:r>
        <w:rPr>
          <w:spacing w:val="40"/>
          <w:sz w:val="21"/>
        </w:rPr>
        <w:t> </w:t>
      </w:r>
      <w:r>
        <w:rPr>
          <w:sz w:val="21"/>
        </w:rPr>
        <w:t>that</w:t>
      </w:r>
      <w:r>
        <w:rPr>
          <w:spacing w:val="40"/>
          <w:sz w:val="21"/>
        </w:rPr>
        <w:t> </w:t>
      </w:r>
      <w:r>
        <w:rPr>
          <w:sz w:val="21"/>
        </w:rPr>
        <w:t>party</w:t>
      </w:r>
      <w:r>
        <w:rPr>
          <w:spacing w:val="40"/>
          <w:sz w:val="21"/>
        </w:rPr>
        <w:t> </w:t>
      </w:r>
      <w:r>
        <w:rPr>
          <w:sz w:val="21"/>
        </w:rPr>
        <w:t>drafted</w:t>
      </w:r>
      <w:r>
        <w:rPr>
          <w:spacing w:val="40"/>
          <w:sz w:val="21"/>
        </w:rPr>
        <w:t> </w:t>
      </w:r>
      <w:r>
        <w:rPr>
          <w:sz w:val="21"/>
        </w:rPr>
        <w:t>or</w:t>
      </w:r>
      <w:r>
        <w:rPr>
          <w:spacing w:val="40"/>
          <w:sz w:val="21"/>
        </w:rPr>
        <w:t> </w:t>
      </w:r>
      <w:r>
        <w:rPr>
          <w:sz w:val="21"/>
        </w:rPr>
        <w:t>caused</w:t>
      </w:r>
      <w:r>
        <w:rPr>
          <w:spacing w:val="40"/>
          <w:sz w:val="21"/>
        </w:rPr>
        <w:t> </w:t>
      </w:r>
      <w:r>
        <w:rPr>
          <w:sz w:val="21"/>
        </w:rPr>
        <w:t>that</w:t>
      </w:r>
      <w:r>
        <w:rPr>
          <w:spacing w:val="40"/>
          <w:sz w:val="21"/>
        </w:rPr>
        <w:t> </w:t>
      </w:r>
      <w:r>
        <w:rPr>
          <w:sz w:val="21"/>
        </w:rPr>
        <w:t>party’s</w:t>
      </w:r>
      <w:r>
        <w:rPr>
          <w:spacing w:val="40"/>
          <w:sz w:val="21"/>
        </w:rPr>
        <w:t> </w:t>
      </w:r>
      <w:r>
        <w:rPr>
          <w:sz w:val="21"/>
        </w:rPr>
        <w:t>legal</w:t>
      </w:r>
      <w:r>
        <w:rPr>
          <w:spacing w:val="40"/>
          <w:sz w:val="21"/>
        </w:rPr>
        <w:t> </w:t>
      </w:r>
      <w:r>
        <w:rPr>
          <w:sz w:val="21"/>
        </w:rPr>
        <w:t>representative</w:t>
      </w:r>
      <w:r>
        <w:rPr>
          <w:spacing w:val="40"/>
          <w:sz w:val="21"/>
        </w:rPr>
        <w:t> </w:t>
      </w:r>
      <w:r>
        <w:rPr>
          <w:sz w:val="21"/>
        </w:rPr>
        <w:t>to</w:t>
      </w:r>
      <w:r>
        <w:rPr>
          <w:spacing w:val="40"/>
          <w:sz w:val="21"/>
        </w:rPr>
        <w:t> </w:t>
      </w:r>
      <w:r>
        <w:rPr>
          <w:sz w:val="21"/>
        </w:rPr>
        <w:t>draft</w:t>
      </w:r>
      <w:r>
        <w:rPr>
          <w:spacing w:val="40"/>
          <w:sz w:val="21"/>
        </w:rPr>
        <w:t> </w:t>
      </w:r>
      <w:r>
        <w:rPr>
          <w:sz w:val="21"/>
        </w:rPr>
        <w:t>any</w:t>
      </w:r>
      <w:r>
        <w:rPr>
          <w:spacing w:val="40"/>
          <w:sz w:val="21"/>
        </w:rPr>
        <w:t> </w:t>
      </w:r>
      <w:r>
        <w:rPr>
          <w:sz w:val="21"/>
        </w:rPr>
        <w:t>of</w:t>
      </w:r>
      <w:r>
        <w:rPr>
          <w:spacing w:val="40"/>
          <w:sz w:val="21"/>
        </w:rPr>
        <w:t> </w:t>
      </w:r>
      <w:r>
        <w:rPr>
          <w:sz w:val="21"/>
        </w:rPr>
        <w:t>its</w:t>
      </w:r>
      <w:r>
        <w:rPr>
          <w:spacing w:val="40"/>
          <w:sz w:val="21"/>
        </w:rPr>
        <w:t> </w:t>
      </w:r>
      <w:r>
        <w:rPr>
          <w:sz w:val="21"/>
        </w:rPr>
        <w:t>provisions.</w:t>
      </w:r>
      <w:r>
        <w:rPr>
          <w:spacing w:val="40"/>
          <w:sz w:val="21"/>
        </w:rPr>
        <w:t> </w:t>
      </w:r>
      <w:r>
        <w:rPr>
          <w:sz w:val="21"/>
        </w:rPr>
        <w:t>In addition,</w:t>
      </w:r>
      <w:r>
        <w:rPr>
          <w:spacing w:val="35"/>
          <w:sz w:val="21"/>
        </w:rPr>
        <w:t> </w:t>
      </w:r>
      <w:r>
        <w:rPr>
          <w:sz w:val="21"/>
        </w:rPr>
        <w:t>the</w:t>
      </w:r>
      <w:r>
        <w:rPr>
          <w:spacing w:val="35"/>
          <w:sz w:val="21"/>
        </w:rPr>
        <w:t> </w:t>
      </w:r>
      <w:r>
        <w:rPr>
          <w:sz w:val="21"/>
        </w:rPr>
        <w:t>provisions</w:t>
      </w:r>
      <w:r>
        <w:rPr>
          <w:spacing w:val="35"/>
          <w:sz w:val="21"/>
        </w:rPr>
        <w:t> </w:t>
      </w:r>
      <w:r>
        <w:rPr>
          <w:sz w:val="21"/>
        </w:rPr>
        <w:t>set</w:t>
      </w:r>
      <w:r>
        <w:rPr>
          <w:spacing w:val="35"/>
          <w:sz w:val="21"/>
        </w:rPr>
        <w:t> </w:t>
      </w:r>
      <w:r>
        <w:rPr>
          <w:sz w:val="21"/>
        </w:rPr>
        <w:t>forth</w:t>
      </w:r>
      <w:r>
        <w:rPr>
          <w:spacing w:val="35"/>
          <w:sz w:val="21"/>
        </w:rPr>
        <w:t> </w:t>
      </w:r>
      <w:r>
        <w:rPr>
          <w:sz w:val="21"/>
        </w:rPr>
        <w:t>in</w:t>
      </w:r>
      <w:r>
        <w:rPr>
          <w:spacing w:val="35"/>
          <w:sz w:val="21"/>
        </w:rPr>
        <w:t> </w:t>
      </w:r>
      <w:r>
        <w:rPr>
          <w:sz w:val="21"/>
        </w:rPr>
        <w:t>Section</w:t>
      </w:r>
      <w:r>
        <w:rPr>
          <w:spacing w:val="35"/>
          <w:sz w:val="21"/>
        </w:rPr>
        <w:t> </w:t>
      </w:r>
      <w:r>
        <w:rPr>
          <w:sz w:val="21"/>
        </w:rPr>
        <w:t>8</w:t>
      </w:r>
      <w:r>
        <w:rPr>
          <w:spacing w:val="35"/>
          <w:sz w:val="21"/>
        </w:rPr>
        <w:t> </w:t>
      </w:r>
      <w:r>
        <w:rPr>
          <w:sz w:val="21"/>
        </w:rPr>
        <w:t>of</w:t>
      </w:r>
      <w:r>
        <w:rPr>
          <w:spacing w:val="35"/>
          <w:sz w:val="21"/>
        </w:rPr>
        <w:t> </w:t>
      </w:r>
      <w:r>
        <w:rPr>
          <w:sz w:val="21"/>
        </w:rPr>
        <w:t>this Agreement</w:t>
      </w:r>
      <w:r>
        <w:rPr>
          <w:spacing w:val="35"/>
          <w:sz w:val="21"/>
        </w:rPr>
        <w:t> </w:t>
      </w:r>
      <w:r>
        <w:rPr>
          <w:sz w:val="21"/>
        </w:rPr>
        <w:t>are</w:t>
      </w:r>
      <w:r>
        <w:rPr>
          <w:spacing w:val="35"/>
          <w:sz w:val="21"/>
        </w:rPr>
        <w:t> </w:t>
      </w:r>
      <w:r>
        <w:rPr>
          <w:sz w:val="21"/>
        </w:rPr>
        <w:t>intended</w:t>
      </w:r>
      <w:r>
        <w:rPr>
          <w:spacing w:val="35"/>
          <w:sz w:val="21"/>
        </w:rPr>
        <w:t> </w:t>
      </w:r>
      <w:r>
        <w:rPr>
          <w:sz w:val="21"/>
        </w:rPr>
        <w:t>to</w:t>
      </w:r>
      <w:r>
        <w:rPr>
          <w:spacing w:val="35"/>
          <w:sz w:val="21"/>
        </w:rPr>
        <w:t> </w:t>
      </w:r>
      <w:r>
        <w:rPr>
          <w:sz w:val="21"/>
        </w:rPr>
        <w:t>comply</w:t>
      </w:r>
      <w:r>
        <w:rPr>
          <w:spacing w:val="35"/>
          <w:sz w:val="21"/>
        </w:rPr>
        <w:t> </w:t>
      </w:r>
      <w:r>
        <w:rPr>
          <w:sz w:val="21"/>
        </w:rPr>
        <w:t>with</w:t>
      </w:r>
      <w:r>
        <w:rPr>
          <w:spacing w:val="35"/>
          <w:sz w:val="21"/>
        </w:rPr>
        <w:t> </w:t>
      </w:r>
      <w:r>
        <w:rPr>
          <w:sz w:val="21"/>
        </w:rPr>
        <w:t>the</w:t>
      </w:r>
      <w:r>
        <w:rPr>
          <w:spacing w:val="35"/>
          <w:sz w:val="21"/>
        </w:rPr>
        <w:t> </w:t>
      </w:r>
      <w:r>
        <w:rPr>
          <w:sz w:val="21"/>
        </w:rPr>
        <w:t>requirements</w:t>
      </w:r>
      <w:r>
        <w:rPr>
          <w:spacing w:val="35"/>
          <w:sz w:val="21"/>
        </w:rPr>
        <w:t> </w:t>
      </w:r>
      <w:r>
        <w:rPr>
          <w:sz w:val="21"/>
        </w:rPr>
        <w:t>of</w:t>
      </w:r>
      <w:r>
        <w:rPr>
          <w:spacing w:val="35"/>
          <w:sz w:val="21"/>
        </w:rPr>
        <w:t> </w:t>
      </w:r>
      <w:r>
        <w:rPr>
          <w:sz w:val="21"/>
        </w:rPr>
        <w:t>Chapter</w:t>
      </w:r>
      <w:r>
        <w:rPr>
          <w:spacing w:val="35"/>
          <w:sz w:val="21"/>
        </w:rPr>
        <w:t> </w:t>
      </w:r>
      <w:r>
        <w:rPr>
          <w:sz w:val="21"/>
        </w:rPr>
        <w:t>49.62 RCW, and to the maximum extent permitted by the language of this Agreement, Section 8 of this Agreement shall be construed and interpreted in a manner that complies with Chapter 49.62. RCW.</w:t>
      </w:r>
    </w:p>
    <w:p>
      <w:pPr>
        <w:pStyle w:val="BodyText"/>
        <w:spacing w:before="186"/>
        <w:rPr>
          <w:sz w:val="21"/>
        </w:rPr>
      </w:pPr>
    </w:p>
    <w:p>
      <w:pPr>
        <w:spacing w:line="213" w:lineRule="auto" w:before="0"/>
        <w:ind w:left="251" w:right="416" w:firstLine="648"/>
        <w:jc w:val="left"/>
        <w:rPr>
          <w:sz w:val="21"/>
        </w:rPr>
      </w:pPr>
      <w:r>
        <w:rPr>
          <w:b/>
          <w:sz w:val="21"/>
        </w:rPr>
        <w:t>IN WITNESS WHEREOF</w:t>
      </w:r>
      <w:r>
        <w:rPr>
          <w:sz w:val="21"/>
        </w:rPr>
        <w:t>, Employer and Employee have entered into this</w:t>
      </w:r>
      <w:r>
        <w:rPr>
          <w:spacing w:val="-2"/>
          <w:sz w:val="21"/>
        </w:rPr>
        <w:t> </w:t>
      </w:r>
      <w:r>
        <w:rPr>
          <w:sz w:val="21"/>
        </w:rPr>
        <w:t>Agreement in Las Vegas, Nevada, as of the</w:t>
      </w:r>
      <w:r>
        <w:rPr>
          <w:spacing w:val="40"/>
          <w:sz w:val="21"/>
        </w:rPr>
        <w:t> </w:t>
      </w:r>
      <w:r>
        <w:rPr>
          <w:sz w:val="21"/>
        </w:rPr>
        <w:t>date first written above.</w:t>
      </w:r>
    </w:p>
    <w:p>
      <w:pPr>
        <w:pStyle w:val="BodyText"/>
        <w:spacing w:before="36"/>
        <w:rPr>
          <w:sz w:val="21"/>
        </w:rPr>
      </w:pPr>
    </w:p>
    <w:p>
      <w:pPr>
        <w:pStyle w:val="Heading3"/>
        <w:ind w:left="269"/>
        <w:jc w:val="left"/>
      </w:pPr>
      <w:r>
        <w:rPr/>
        <w:t>GARY FRITZ</w:t>
      </w:r>
      <w:r>
        <w:rPr>
          <w:spacing w:val="11"/>
        </w:rPr>
        <w:t> </w:t>
      </w:r>
      <w:r>
        <w:rPr>
          <w:spacing w:val="-10"/>
        </w:rPr>
        <w:t>-</w:t>
      </w:r>
    </w:p>
    <w:p>
      <w:pPr>
        <w:spacing w:line="415" w:lineRule="auto" w:before="83"/>
        <w:ind w:left="269" w:right="9851" w:firstLine="0"/>
        <w:jc w:val="left"/>
        <w:rPr>
          <w:sz w:val="21"/>
        </w:rPr>
      </w:pPr>
      <w:r>
        <w:rPr/>
        <mc:AlternateContent>
          <mc:Choice Requires="wps">
            <w:drawing>
              <wp:anchor distT="0" distB="0" distL="0" distR="0" allowOverlap="1" layoutInCell="1" locked="0" behindDoc="0" simplePos="0" relativeHeight="15955456">
                <wp:simplePos x="0" y="0"/>
                <wp:positionH relativeFrom="page">
                  <wp:posOffset>300024</wp:posOffset>
                </wp:positionH>
                <wp:positionV relativeFrom="paragraph">
                  <wp:posOffset>237276</wp:posOffset>
                </wp:positionV>
                <wp:extent cx="3480435" cy="8890"/>
                <wp:effectExtent l="0" t="0" r="0" b="0"/>
                <wp:wrapNone/>
                <wp:docPr id="1125" name="Graphic 1125"/>
                <wp:cNvGraphicFramePr>
                  <a:graphicFrameLocks/>
                </wp:cNvGraphicFramePr>
                <a:graphic>
                  <a:graphicData uri="http://schemas.microsoft.com/office/word/2010/wordprocessingShape">
                    <wps:wsp>
                      <wps:cNvPr id="1125" name="Graphic 1125"/>
                      <wps:cNvSpPr/>
                      <wps:spPr>
                        <a:xfrm>
                          <a:off x="0" y="0"/>
                          <a:ext cx="3480435" cy="8890"/>
                        </a:xfrm>
                        <a:custGeom>
                          <a:avLst/>
                          <a:gdLst/>
                          <a:ahLst/>
                          <a:cxnLst/>
                          <a:rect l="l" t="t" r="r" b="b"/>
                          <a:pathLst>
                            <a:path w="3480435" h="8890">
                              <a:moveTo>
                                <a:pt x="3480435" y="0"/>
                              </a:moveTo>
                              <a:lnTo>
                                <a:pt x="3463290" y="0"/>
                              </a:lnTo>
                              <a:lnTo>
                                <a:pt x="34290" y="0"/>
                              </a:lnTo>
                              <a:lnTo>
                                <a:pt x="0" y="0"/>
                              </a:lnTo>
                              <a:lnTo>
                                <a:pt x="0" y="8572"/>
                              </a:lnTo>
                              <a:lnTo>
                                <a:pt x="34290" y="8572"/>
                              </a:lnTo>
                              <a:lnTo>
                                <a:pt x="3463290" y="8572"/>
                              </a:lnTo>
                              <a:lnTo>
                                <a:pt x="3480435" y="8572"/>
                              </a:lnTo>
                              <a:lnTo>
                                <a:pt x="3480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24001pt;margin-top:18.683167pt;width:274.05pt;height:.7pt;mso-position-horizontal-relative:page;mso-position-vertical-relative:paragraph;z-index:15955456" id="docshape1123" coordorigin="472,374" coordsize="5481,14" path="m5953,374l5926,374,526,374,472,374,472,387,526,387,5926,387,5953,387,5953,3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55968">
                <wp:simplePos x="0" y="0"/>
                <wp:positionH relativeFrom="page">
                  <wp:posOffset>300024</wp:posOffset>
                </wp:positionH>
                <wp:positionV relativeFrom="paragraph">
                  <wp:posOffset>503023</wp:posOffset>
                </wp:positionV>
                <wp:extent cx="3480435" cy="17145"/>
                <wp:effectExtent l="0" t="0" r="0" b="0"/>
                <wp:wrapNone/>
                <wp:docPr id="1126" name="Graphic 1126"/>
                <wp:cNvGraphicFramePr>
                  <a:graphicFrameLocks/>
                </wp:cNvGraphicFramePr>
                <a:graphic>
                  <a:graphicData uri="http://schemas.microsoft.com/office/word/2010/wordprocessingShape">
                    <wps:wsp>
                      <wps:cNvPr id="1126" name="Graphic 1126"/>
                      <wps:cNvSpPr/>
                      <wps:spPr>
                        <a:xfrm>
                          <a:off x="0" y="0"/>
                          <a:ext cx="3480435" cy="17145"/>
                        </a:xfrm>
                        <a:custGeom>
                          <a:avLst/>
                          <a:gdLst/>
                          <a:ahLst/>
                          <a:cxnLst/>
                          <a:rect l="l" t="t" r="r" b="b"/>
                          <a:pathLst>
                            <a:path w="3480435" h="17145">
                              <a:moveTo>
                                <a:pt x="3480435" y="0"/>
                              </a:moveTo>
                              <a:lnTo>
                                <a:pt x="3463290" y="0"/>
                              </a:lnTo>
                              <a:lnTo>
                                <a:pt x="34290" y="0"/>
                              </a:lnTo>
                              <a:lnTo>
                                <a:pt x="0" y="0"/>
                              </a:lnTo>
                              <a:lnTo>
                                <a:pt x="0" y="17145"/>
                              </a:lnTo>
                              <a:lnTo>
                                <a:pt x="34290" y="17145"/>
                              </a:lnTo>
                              <a:lnTo>
                                <a:pt x="3463290" y="17145"/>
                              </a:lnTo>
                              <a:lnTo>
                                <a:pt x="3480435" y="17145"/>
                              </a:lnTo>
                              <a:lnTo>
                                <a:pt x="3480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24001pt;margin-top:39.60817pt;width:274.05pt;height:1.35pt;mso-position-horizontal-relative:page;mso-position-vertical-relative:paragraph;z-index:15955968" id="docshape1124" coordorigin="472,792" coordsize="5481,27" path="m5953,792l5926,792,526,792,472,792,472,819,526,819,5926,819,5953,819,5953,792xe" filled="true" fillcolor="#000000" stroked="false">
                <v:path arrowok="t"/>
                <v:fill type="solid"/>
                <w10:wrap type="none"/>
              </v:shape>
            </w:pict>
          </mc:Fallback>
        </mc:AlternateContent>
      </w:r>
      <w:r>
        <w:rPr>
          <w:sz w:val="21"/>
        </w:rPr>
        <w:t>/s/ Gary Fritz Dated: Oct 5, </w:t>
      </w:r>
      <w:r>
        <w:rPr>
          <w:sz w:val="21"/>
        </w:rPr>
        <w:t>2022</w:t>
      </w:r>
    </w:p>
    <w:p>
      <w:pPr>
        <w:pStyle w:val="BodyText"/>
        <w:spacing w:before="219"/>
        <w:rPr>
          <w:sz w:val="21"/>
        </w:rPr>
      </w:pPr>
    </w:p>
    <w:p>
      <w:pPr>
        <w:pStyle w:val="Heading3"/>
        <w:ind w:left="269"/>
        <w:jc w:val="left"/>
      </w:pPr>
      <w:r>
        <w:rPr/>
        <w:t>MGM</w:t>
      </w:r>
      <w:r>
        <w:rPr>
          <w:spacing w:val="11"/>
        </w:rPr>
        <w:t> </w:t>
      </w:r>
      <w:r>
        <w:rPr/>
        <w:t>RESORTS</w:t>
      </w:r>
      <w:r>
        <w:rPr>
          <w:spacing w:val="11"/>
        </w:rPr>
        <w:t> </w:t>
      </w:r>
      <w:r>
        <w:rPr/>
        <w:t>SATELLITE,</w:t>
      </w:r>
      <w:r>
        <w:rPr>
          <w:spacing w:val="11"/>
        </w:rPr>
        <w:t> </w:t>
      </w:r>
      <w:r>
        <w:rPr/>
        <w:t>LLC.</w:t>
      </w:r>
      <w:r>
        <w:rPr>
          <w:spacing w:val="11"/>
        </w:rPr>
        <w:t> </w:t>
      </w:r>
      <w:r>
        <w:rPr>
          <w:spacing w:val="-10"/>
        </w:rPr>
        <w:t>-</w:t>
      </w:r>
    </w:p>
    <w:p>
      <w:pPr>
        <w:spacing w:line="336" w:lineRule="auto" w:before="82"/>
        <w:ind w:left="269" w:right="9069" w:firstLine="0"/>
        <w:jc w:val="left"/>
        <w:rPr>
          <w:sz w:val="21"/>
        </w:rPr>
      </w:pPr>
      <w:r>
        <w:rPr/>
        <mc:AlternateContent>
          <mc:Choice Requires="wps">
            <w:drawing>
              <wp:anchor distT="0" distB="0" distL="0" distR="0" allowOverlap="1" layoutInCell="1" locked="0" behindDoc="0" simplePos="0" relativeHeight="15956480">
                <wp:simplePos x="0" y="0"/>
                <wp:positionH relativeFrom="page">
                  <wp:posOffset>300024</wp:posOffset>
                </wp:positionH>
                <wp:positionV relativeFrom="paragraph">
                  <wp:posOffset>236972</wp:posOffset>
                </wp:positionV>
                <wp:extent cx="3480435" cy="8890"/>
                <wp:effectExtent l="0" t="0" r="0" b="0"/>
                <wp:wrapNone/>
                <wp:docPr id="1127" name="Graphic 1127"/>
                <wp:cNvGraphicFramePr>
                  <a:graphicFrameLocks/>
                </wp:cNvGraphicFramePr>
                <a:graphic>
                  <a:graphicData uri="http://schemas.microsoft.com/office/word/2010/wordprocessingShape">
                    <wps:wsp>
                      <wps:cNvPr id="1127" name="Graphic 1127"/>
                      <wps:cNvSpPr/>
                      <wps:spPr>
                        <a:xfrm>
                          <a:off x="0" y="0"/>
                          <a:ext cx="3480435" cy="8890"/>
                        </a:xfrm>
                        <a:custGeom>
                          <a:avLst/>
                          <a:gdLst/>
                          <a:ahLst/>
                          <a:cxnLst/>
                          <a:rect l="l" t="t" r="r" b="b"/>
                          <a:pathLst>
                            <a:path w="3480435" h="8890">
                              <a:moveTo>
                                <a:pt x="3480435" y="0"/>
                              </a:moveTo>
                              <a:lnTo>
                                <a:pt x="3463290" y="0"/>
                              </a:lnTo>
                              <a:lnTo>
                                <a:pt x="34290" y="0"/>
                              </a:lnTo>
                              <a:lnTo>
                                <a:pt x="0" y="0"/>
                              </a:lnTo>
                              <a:lnTo>
                                <a:pt x="0" y="8572"/>
                              </a:lnTo>
                              <a:lnTo>
                                <a:pt x="34290" y="8572"/>
                              </a:lnTo>
                              <a:lnTo>
                                <a:pt x="3463290" y="8572"/>
                              </a:lnTo>
                              <a:lnTo>
                                <a:pt x="3480435" y="8572"/>
                              </a:lnTo>
                              <a:lnTo>
                                <a:pt x="3480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24001pt;margin-top:18.659269pt;width:274.05pt;height:.7pt;mso-position-horizontal-relative:page;mso-position-vertical-relative:paragraph;z-index:15956480" id="docshape1125" coordorigin="472,373" coordsize="5481,14" path="m5953,373l5926,373,526,373,472,373,472,387,526,387,5926,387,5953,387,5953,373xe" filled="true" fillcolor="#000000" stroked="false">
                <v:path arrowok="t"/>
                <v:fill type="solid"/>
                <w10:wrap type="none"/>
              </v:shape>
            </w:pict>
          </mc:Fallback>
        </mc:AlternateContent>
      </w:r>
      <w:r>
        <w:rPr>
          <w:sz w:val="21"/>
        </w:rPr>
        <w:t>/s/ William J. </w:t>
      </w:r>
      <w:r>
        <w:rPr>
          <w:sz w:val="21"/>
        </w:rPr>
        <w:t>Hornbuckle </w:t>
      </w:r>
      <w:r>
        <w:rPr>
          <w:spacing w:val="-4"/>
          <w:sz w:val="21"/>
        </w:rPr>
        <w:t>By:</w:t>
      </w:r>
    </w:p>
    <w:p>
      <w:pPr>
        <w:spacing w:line="227" w:lineRule="exact" w:before="0"/>
        <w:ind w:left="269" w:right="0" w:firstLine="0"/>
        <w:jc w:val="left"/>
        <w:rPr>
          <w:sz w:val="21"/>
        </w:rPr>
      </w:pPr>
      <w:r>
        <w:rPr/>
        <mc:AlternateContent>
          <mc:Choice Requires="wps">
            <w:drawing>
              <wp:anchor distT="0" distB="0" distL="0" distR="0" allowOverlap="1" layoutInCell="1" locked="0" behindDoc="1" simplePos="0" relativeHeight="487814144">
                <wp:simplePos x="0" y="0"/>
                <wp:positionH relativeFrom="page">
                  <wp:posOffset>300024</wp:posOffset>
                </wp:positionH>
                <wp:positionV relativeFrom="paragraph">
                  <wp:posOffset>166079</wp:posOffset>
                </wp:positionV>
                <wp:extent cx="3480435" cy="17145"/>
                <wp:effectExtent l="0" t="0" r="0" b="0"/>
                <wp:wrapTopAndBottom/>
                <wp:docPr id="1128" name="Graphic 1128"/>
                <wp:cNvGraphicFramePr>
                  <a:graphicFrameLocks/>
                </wp:cNvGraphicFramePr>
                <a:graphic>
                  <a:graphicData uri="http://schemas.microsoft.com/office/word/2010/wordprocessingShape">
                    <wps:wsp>
                      <wps:cNvPr id="1128" name="Graphic 1128"/>
                      <wps:cNvSpPr/>
                      <wps:spPr>
                        <a:xfrm>
                          <a:off x="0" y="0"/>
                          <a:ext cx="3480435" cy="17145"/>
                        </a:xfrm>
                        <a:custGeom>
                          <a:avLst/>
                          <a:gdLst/>
                          <a:ahLst/>
                          <a:cxnLst/>
                          <a:rect l="l" t="t" r="r" b="b"/>
                          <a:pathLst>
                            <a:path w="3480435" h="17145">
                              <a:moveTo>
                                <a:pt x="3480435" y="0"/>
                              </a:moveTo>
                              <a:lnTo>
                                <a:pt x="3463290" y="0"/>
                              </a:lnTo>
                              <a:lnTo>
                                <a:pt x="34290" y="0"/>
                              </a:lnTo>
                              <a:lnTo>
                                <a:pt x="0" y="0"/>
                              </a:lnTo>
                              <a:lnTo>
                                <a:pt x="0" y="17145"/>
                              </a:lnTo>
                              <a:lnTo>
                                <a:pt x="34290" y="17145"/>
                              </a:lnTo>
                              <a:lnTo>
                                <a:pt x="3463290" y="17145"/>
                              </a:lnTo>
                              <a:lnTo>
                                <a:pt x="3480435" y="17145"/>
                              </a:lnTo>
                              <a:lnTo>
                                <a:pt x="3480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24001pt;margin-top:13.077143pt;width:274.05pt;height:1.35pt;mso-position-horizontal-relative:page;mso-position-vertical-relative:paragraph;z-index:-15502336;mso-wrap-distance-left:0;mso-wrap-distance-right:0" id="docshape1126" coordorigin="472,262" coordsize="5481,27" path="m5953,262l5926,262,526,262,472,262,472,289,526,289,5926,289,5953,289,5953,262xe" filled="true" fillcolor="#000000" stroked="false">
                <v:path arrowok="t"/>
                <v:fill type="solid"/>
                <w10:wrap type="topAndBottom"/>
              </v:shape>
            </w:pict>
          </mc:Fallback>
        </mc:AlternateContent>
      </w:r>
      <w:r>
        <w:rPr>
          <w:sz w:val="21"/>
        </w:rPr>
        <w:t>Dated:</w:t>
      </w:r>
      <w:r>
        <w:rPr>
          <w:spacing w:val="12"/>
          <w:sz w:val="21"/>
        </w:rPr>
        <w:t> </w:t>
      </w:r>
      <w:r>
        <w:rPr>
          <w:spacing w:val="-2"/>
          <w:sz w:val="21"/>
        </w:rPr>
        <w:t>10/10/2022</w:t>
      </w:r>
    </w:p>
    <w:p>
      <w:pPr>
        <w:spacing w:after="0" w:line="227" w:lineRule="exact"/>
        <w:jc w:val="left"/>
        <w:rPr>
          <w:sz w:val="21"/>
        </w:rPr>
        <w:sectPr>
          <w:pgSz w:w="12240" w:h="15840"/>
          <w:pgMar w:top="1820" w:bottom="280" w:left="220" w:right="240"/>
        </w:sectPr>
      </w:pPr>
    </w:p>
    <w:p>
      <w:pPr>
        <w:spacing w:line="222" w:lineRule="exact" w:before="77"/>
        <w:ind w:left="24" w:right="0" w:firstLine="0"/>
        <w:jc w:val="center"/>
        <w:rPr>
          <w:sz w:val="21"/>
        </w:rPr>
      </w:pPr>
      <w:bookmarkStart w:name="_bookmark39" w:id="40"/>
      <w:bookmarkEnd w:id="40"/>
      <w:r>
        <w:rPr/>
      </w:r>
      <w:r>
        <w:rPr>
          <w:spacing w:val="-5"/>
          <w:sz w:val="21"/>
        </w:rPr>
        <w:t>20</w:t>
      </w:r>
    </w:p>
    <w:p>
      <w:pPr>
        <w:spacing w:line="222" w:lineRule="exact" w:before="0"/>
        <w:ind w:left="10063" w:right="0" w:firstLine="0"/>
        <w:jc w:val="center"/>
        <w:rPr>
          <w:b/>
          <w:sz w:val="21"/>
        </w:rPr>
      </w:pPr>
      <w:r>
        <w:rPr>
          <w:b/>
          <w:sz w:val="21"/>
        </w:rPr>
        <w:t>Exhibit</w:t>
      </w:r>
      <w:r>
        <w:rPr>
          <w:b/>
          <w:spacing w:val="14"/>
          <w:sz w:val="21"/>
        </w:rPr>
        <w:t> </w:t>
      </w:r>
      <w:r>
        <w:rPr>
          <w:b/>
          <w:spacing w:val="-2"/>
          <w:sz w:val="21"/>
        </w:rPr>
        <w:t>10.4(22)</w:t>
      </w:r>
    </w:p>
    <w:p>
      <w:pPr>
        <w:pStyle w:val="BodyText"/>
        <w:rPr>
          <w:b/>
          <w:sz w:val="21"/>
        </w:rPr>
      </w:pPr>
    </w:p>
    <w:p>
      <w:pPr>
        <w:pStyle w:val="BodyText"/>
        <w:rPr>
          <w:b/>
          <w:sz w:val="21"/>
        </w:rPr>
      </w:pPr>
    </w:p>
    <w:p>
      <w:pPr>
        <w:pStyle w:val="BodyText"/>
        <w:rPr>
          <w:b/>
          <w:sz w:val="21"/>
        </w:rPr>
      </w:pPr>
    </w:p>
    <w:p>
      <w:pPr>
        <w:pStyle w:val="BodyText"/>
        <w:spacing w:before="110"/>
        <w:rPr>
          <w:b/>
          <w:sz w:val="21"/>
        </w:rPr>
      </w:pPr>
    </w:p>
    <w:p>
      <w:pPr>
        <w:spacing w:line="213" w:lineRule="auto" w:before="0"/>
        <w:ind w:left="4635" w:right="4674" w:firstLine="0"/>
        <w:jc w:val="center"/>
        <w:rPr>
          <w:b/>
          <w:sz w:val="21"/>
        </w:rPr>
      </w:pPr>
      <w:r>
        <w:rPr>
          <w:b/>
          <w:sz w:val="21"/>
          <w:u w:val="single"/>
        </w:rPr>
        <w:t>SECOND</w:t>
      </w:r>
      <w:r>
        <w:rPr>
          <w:b/>
          <w:spacing w:val="-10"/>
          <w:sz w:val="21"/>
          <w:u w:val="single"/>
        </w:rPr>
        <w:t> </w:t>
      </w:r>
      <w:r>
        <w:rPr>
          <w:b/>
          <w:sz w:val="21"/>
          <w:u w:val="single"/>
        </w:rPr>
        <w:t>AMENDMENT</w:t>
      </w:r>
      <w:r>
        <w:rPr>
          <w:b/>
          <w:sz w:val="21"/>
        </w:rPr>
        <w:t> </w:t>
      </w:r>
      <w:r>
        <w:rPr>
          <w:b/>
          <w:spacing w:val="-6"/>
          <w:sz w:val="21"/>
          <w:u w:val="single"/>
        </w:rPr>
        <w:t>TO</w:t>
      </w:r>
    </w:p>
    <w:p>
      <w:pPr>
        <w:spacing w:line="222" w:lineRule="exact" w:before="0"/>
        <w:ind w:left="88" w:right="126" w:firstLine="0"/>
        <w:jc w:val="center"/>
        <w:rPr>
          <w:b/>
          <w:sz w:val="21"/>
        </w:rPr>
      </w:pPr>
      <w:r>
        <w:rPr>
          <w:b/>
          <w:sz w:val="21"/>
          <w:u w:val="single"/>
        </w:rPr>
        <w:t>MGM</w:t>
      </w:r>
      <w:r>
        <w:rPr>
          <w:b/>
          <w:spacing w:val="17"/>
          <w:sz w:val="21"/>
          <w:u w:val="single"/>
        </w:rPr>
        <w:t> </w:t>
      </w:r>
      <w:r>
        <w:rPr>
          <w:b/>
          <w:sz w:val="21"/>
          <w:u w:val="single"/>
        </w:rPr>
        <w:t>RESORTS</w:t>
      </w:r>
      <w:r>
        <w:rPr>
          <w:b/>
          <w:spacing w:val="18"/>
          <w:sz w:val="21"/>
          <w:u w:val="single"/>
        </w:rPr>
        <w:t> </w:t>
      </w:r>
      <w:r>
        <w:rPr>
          <w:b/>
          <w:sz w:val="21"/>
          <w:u w:val="single"/>
        </w:rPr>
        <w:t>INTERNATIONAL</w:t>
      </w:r>
      <w:r>
        <w:rPr>
          <w:b/>
          <w:spacing w:val="2"/>
          <w:sz w:val="21"/>
          <w:u w:val="single"/>
        </w:rPr>
        <w:t> </w:t>
      </w:r>
      <w:r>
        <w:rPr>
          <w:b/>
          <w:sz w:val="21"/>
          <w:u w:val="single"/>
        </w:rPr>
        <w:t>2012</w:t>
      </w:r>
      <w:r>
        <w:rPr>
          <w:b/>
          <w:spacing w:val="17"/>
          <w:sz w:val="21"/>
          <w:u w:val="single"/>
        </w:rPr>
        <w:t> </w:t>
      </w:r>
      <w:r>
        <w:rPr>
          <w:b/>
          <w:sz w:val="21"/>
          <w:u w:val="single"/>
        </w:rPr>
        <w:t>DEFERRED</w:t>
      </w:r>
      <w:r>
        <w:rPr>
          <w:b/>
          <w:spacing w:val="18"/>
          <w:sz w:val="21"/>
          <w:u w:val="single"/>
        </w:rPr>
        <w:t> </w:t>
      </w:r>
      <w:r>
        <w:rPr>
          <w:b/>
          <w:sz w:val="21"/>
          <w:u w:val="single"/>
        </w:rPr>
        <w:t>COMPENSATION</w:t>
      </w:r>
      <w:r>
        <w:rPr>
          <w:b/>
          <w:spacing w:val="18"/>
          <w:sz w:val="21"/>
          <w:u w:val="single"/>
        </w:rPr>
        <w:t> </w:t>
      </w:r>
      <w:r>
        <w:rPr>
          <w:b/>
          <w:sz w:val="21"/>
          <w:u w:val="single"/>
        </w:rPr>
        <w:t>PLAN</w:t>
      </w:r>
      <w:r>
        <w:rPr>
          <w:b/>
          <w:spacing w:val="17"/>
          <w:sz w:val="21"/>
          <w:u w:val="single"/>
        </w:rPr>
        <w:t> </w:t>
      </w:r>
      <w:r>
        <w:rPr>
          <w:b/>
          <w:sz w:val="21"/>
          <w:u w:val="single"/>
        </w:rPr>
        <w:t>FOR</w:t>
      </w:r>
      <w:r>
        <w:rPr>
          <w:b/>
          <w:spacing w:val="18"/>
          <w:sz w:val="21"/>
          <w:u w:val="single"/>
        </w:rPr>
        <w:t> </w:t>
      </w:r>
      <w:r>
        <w:rPr>
          <w:b/>
          <w:sz w:val="21"/>
          <w:u w:val="single"/>
        </w:rPr>
        <w:t>NON-EMPLOYEE</w:t>
      </w:r>
      <w:r>
        <w:rPr>
          <w:b/>
          <w:spacing w:val="18"/>
          <w:sz w:val="21"/>
          <w:u w:val="single"/>
        </w:rPr>
        <w:t> </w:t>
      </w:r>
      <w:r>
        <w:rPr>
          <w:b/>
          <w:spacing w:val="-2"/>
          <w:sz w:val="21"/>
          <w:u w:val="single"/>
        </w:rPr>
        <w:t>DIRECTORS</w:t>
      </w:r>
    </w:p>
    <w:p>
      <w:pPr>
        <w:spacing w:line="213" w:lineRule="auto" w:before="212"/>
        <w:ind w:left="144" w:right="117" w:firstLine="262"/>
        <w:jc w:val="both"/>
        <w:rPr>
          <w:sz w:val="21"/>
        </w:rPr>
      </w:pPr>
      <w:r>
        <w:rPr>
          <w:sz w:val="21"/>
        </w:rPr>
        <w:t>This SECOND AMENDMENT, dated as of October 17, 2022 (this "</w:t>
      </w:r>
      <w:r>
        <w:rPr>
          <w:b/>
          <w:sz w:val="21"/>
        </w:rPr>
        <w:t>Second Amendment</w:t>
      </w:r>
      <w:r>
        <w:rPr>
          <w:sz w:val="21"/>
        </w:rPr>
        <w:t>"), amends the Amended and </w:t>
      </w:r>
      <w:r>
        <w:rPr>
          <w:sz w:val="21"/>
        </w:rPr>
        <w:t>Restated MGM</w:t>
      </w:r>
      <w:r>
        <w:rPr>
          <w:spacing w:val="37"/>
          <w:sz w:val="21"/>
        </w:rPr>
        <w:t> </w:t>
      </w:r>
      <w:r>
        <w:rPr>
          <w:sz w:val="21"/>
        </w:rPr>
        <w:t>Resorts</w:t>
      </w:r>
      <w:r>
        <w:rPr>
          <w:spacing w:val="37"/>
          <w:sz w:val="21"/>
        </w:rPr>
        <w:t> </w:t>
      </w:r>
      <w:r>
        <w:rPr>
          <w:sz w:val="21"/>
        </w:rPr>
        <w:t>International</w:t>
      </w:r>
      <w:r>
        <w:rPr>
          <w:spacing w:val="37"/>
          <w:sz w:val="21"/>
        </w:rPr>
        <w:t> </w:t>
      </w:r>
      <w:r>
        <w:rPr>
          <w:sz w:val="21"/>
        </w:rPr>
        <w:t>2012</w:t>
      </w:r>
      <w:r>
        <w:rPr>
          <w:spacing w:val="37"/>
          <w:sz w:val="21"/>
        </w:rPr>
        <w:t> </w:t>
      </w:r>
      <w:r>
        <w:rPr>
          <w:sz w:val="21"/>
        </w:rPr>
        <w:t>Deferred</w:t>
      </w:r>
      <w:r>
        <w:rPr>
          <w:spacing w:val="37"/>
          <w:sz w:val="21"/>
        </w:rPr>
        <w:t> </w:t>
      </w:r>
      <w:r>
        <w:rPr>
          <w:sz w:val="21"/>
        </w:rPr>
        <w:t>Compensation</w:t>
      </w:r>
      <w:r>
        <w:rPr>
          <w:spacing w:val="37"/>
          <w:sz w:val="21"/>
        </w:rPr>
        <w:t> </w:t>
      </w:r>
      <w:r>
        <w:rPr>
          <w:sz w:val="21"/>
        </w:rPr>
        <w:t>Plan</w:t>
      </w:r>
      <w:r>
        <w:rPr>
          <w:spacing w:val="37"/>
          <w:sz w:val="21"/>
        </w:rPr>
        <w:t> </w:t>
      </w:r>
      <w:r>
        <w:rPr>
          <w:sz w:val="21"/>
        </w:rPr>
        <w:t>for</w:t>
      </w:r>
      <w:r>
        <w:rPr>
          <w:spacing w:val="37"/>
          <w:sz w:val="21"/>
        </w:rPr>
        <w:t> </w:t>
      </w:r>
      <w:r>
        <w:rPr>
          <w:sz w:val="21"/>
        </w:rPr>
        <w:t>Non-Employee</w:t>
      </w:r>
      <w:r>
        <w:rPr>
          <w:spacing w:val="37"/>
          <w:sz w:val="21"/>
        </w:rPr>
        <w:t> </w:t>
      </w:r>
      <w:r>
        <w:rPr>
          <w:sz w:val="21"/>
        </w:rPr>
        <w:t>Directors</w:t>
      </w:r>
      <w:r>
        <w:rPr>
          <w:spacing w:val="37"/>
          <w:sz w:val="21"/>
        </w:rPr>
        <w:t> </w:t>
      </w:r>
      <w:r>
        <w:rPr>
          <w:sz w:val="21"/>
        </w:rPr>
        <w:t>(the</w:t>
      </w:r>
      <w:r>
        <w:rPr>
          <w:spacing w:val="37"/>
          <w:sz w:val="21"/>
        </w:rPr>
        <w:t> </w:t>
      </w:r>
      <w:r>
        <w:rPr>
          <w:sz w:val="21"/>
        </w:rPr>
        <w:t>"</w:t>
      </w:r>
      <w:r>
        <w:rPr>
          <w:b/>
          <w:sz w:val="21"/>
        </w:rPr>
        <w:t>Plan</w:t>
      </w:r>
      <w:r>
        <w:rPr>
          <w:sz w:val="21"/>
        </w:rPr>
        <w:t>").</w:t>
      </w:r>
    </w:p>
    <w:p>
      <w:pPr>
        <w:spacing w:before="197"/>
        <w:ind w:left="356" w:right="0" w:firstLine="0"/>
        <w:jc w:val="left"/>
        <w:rPr>
          <w:sz w:val="21"/>
        </w:rPr>
      </w:pPr>
      <w:r>
        <w:rPr>
          <w:sz w:val="21"/>
        </w:rPr>
        <w:t>WHEREAS,</w:t>
      </w:r>
      <w:r>
        <w:rPr>
          <w:spacing w:val="10"/>
          <w:sz w:val="21"/>
        </w:rPr>
        <w:t> </w:t>
      </w:r>
      <w:r>
        <w:rPr>
          <w:sz w:val="21"/>
        </w:rPr>
        <w:t>the</w:t>
      </w:r>
      <w:r>
        <w:rPr>
          <w:spacing w:val="11"/>
          <w:sz w:val="21"/>
        </w:rPr>
        <w:t> </w:t>
      </w:r>
      <w:r>
        <w:rPr>
          <w:sz w:val="21"/>
        </w:rPr>
        <w:t>Plan</w:t>
      </w:r>
      <w:r>
        <w:rPr>
          <w:spacing w:val="10"/>
          <w:sz w:val="21"/>
        </w:rPr>
        <w:t> </w:t>
      </w:r>
      <w:r>
        <w:rPr>
          <w:sz w:val="21"/>
        </w:rPr>
        <w:t>was</w:t>
      </w:r>
      <w:r>
        <w:rPr>
          <w:spacing w:val="11"/>
          <w:sz w:val="21"/>
        </w:rPr>
        <w:t> </w:t>
      </w:r>
      <w:r>
        <w:rPr>
          <w:sz w:val="21"/>
        </w:rPr>
        <w:t>amended</w:t>
      </w:r>
      <w:r>
        <w:rPr>
          <w:spacing w:val="11"/>
          <w:sz w:val="21"/>
        </w:rPr>
        <w:t> </w:t>
      </w:r>
      <w:r>
        <w:rPr>
          <w:sz w:val="21"/>
        </w:rPr>
        <w:t>and</w:t>
      </w:r>
      <w:r>
        <w:rPr>
          <w:spacing w:val="10"/>
          <w:sz w:val="21"/>
        </w:rPr>
        <w:t> </w:t>
      </w:r>
      <w:r>
        <w:rPr>
          <w:sz w:val="21"/>
        </w:rPr>
        <w:t>restated</w:t>
      </w:r>
      <w:r>
        <w:rPr>
          <w:spacing w:val="11"/>
          <w:sz w:val="21"/>
        </w:rPr>
        <w:t> </w:t>
      </w:r>
      <w:r>
        <w:rPr>
          <w:sz w:val="21"/>
        </w:rPr>
        <w:t>effective</w:t>
      </w:r>
      <w:r>
        <w:rPr>
          <w:spacing w:val="11"/>
          <w:sz w:val="21"/>
        </w:rPr>
        <w:t> </w:t>
      </w:r>
      <w:r>
        <w:rPr>
          <w:sz w:val="21"/>
        </w:rPr>
        <w:t>June</w:t>
      </w:r>
      <w:r>
        <w:rPr>
          <w:spacing w:val="10"/>
          <w:sz w:val="21"/>
        </w:rPr>
        <w:t> </w:t>
      </w:r>
      <w:r>
        <w:rPr>
          <w:sz w:val="21"/>
        </w:rPr>
        <w:t>5,</w:t>
      </w:r>
      <w:r>
        <w:rPr>
          <w:spacing w:val="11"/>
          <w:sz w:val="21"/>
        </w:rPr>
        <w:t> </w:t>
      </w:r>
      <w:r>
        <w:rPr>
          <w:spacing w:val="-2"/>
          <w:sz w:val="21"/>
        </w:rPr>
        <w:t>2014;</w:t>
      </w:r>
    </w:p>
    <w:p>
      <w:pPr>
        <w:spacing w:before="190"/>
        <w:ind w:left="356" w:right="0" w:firstLine="0"/>
        <w:jc w:val="left"/>
        <w:rPr>
          <w:sz w:val="21"/>
        </w:rPr>
      </w:pPr>
      <w:r>
        <w:rPr>
          <w:sz w:val="21"/>
        </w:rPr>
        <w:t>WHEREAS,</w:t>
      </w:r>
      <w:r>
        <w:rPr>
          <w:spacing w:val="11"/>
          <w:sz w:val="21"/>
        </w:rPr>
        <w:t> </w:t>
      </w:r>
      <w:r>
        <w:rPr>
          <w:sz w:val="21"/>
        </w:rPr>
        <w:t>the</w:t>
      </w:r>
      <w:r>
        <w:rPr>
          <w:spacing w:val="12"/>
          <w:sz w:val="21"/>
        </w:rPr>
        <w:t> </w:t>
      </w:r>
      <w:r>
        <w:rPr>
          <w:sz w:val="21"/>
        </w:rPr>
        <w:t>First</w:t>
      </w:r>
      <w:r>
        <w:rPr>
          <w:spacing w:val="-3"/>
          <w:sz w:val="21"/>
        </w:rPr>
        <w:t> </w:t>
      </w:r>
      <w:r>
        <w:rPr>
          <w:sz w:val="21"/>
        </w:rPr>
        <w:t>Amendment</w:t>
      </w:r>
      <w:r>
        <w:rPr>
          <w:spacing w:val="11"/>
          <w:sz w:val="21"/>
        </w:rPr>
        <w:t> </w:t>
      </w:r>
      <w:r>
        <w:rPr>
          <w:sz w:val="21"/>
        </w:rPr>
        <w:t>to</w:t>
      </w:r>
      <w:r>
        <w:rPr>
          <w:spacing w:val="12"/>
          <w:sz w:val="21"/>
        </w:rPr>
        <w:t> </w:t>
      </w:r>
      <w:r>
        <w:rPr>
          <w:sz w:val="21"/>
        </w:rPr>
        <w:t>the</w:t>
      </w:r>
      <w:r>
        <w:rPr>
          <w:spacing w:val="11"/>
          <w:sz w:val="21"/>
        </w:rPr>
        <w:t> </w:t>
      </w:r>
      <w:r>
        <w:rPr>
          <w:sz w:val="21"/>
        </w:rPr>
        <w:t>Plan</w:t>
      </w:r>
      <w:r>
        <w:rPr>
          <w:spacing w:val="12"/>
          <w:sz w:val="21"/>
        </w:rPr>
        <w:t> </w:t>
      </w:r>
      <w:r>
        <w:rPr>
          <w:sz w:val="21"/>
        </w:rPr>
        <w:t>(the</w:t>
      </w:r>
      <w:r>
        <w:rPr>
          <w:spacing w:val="12"/>
          <w:sz w:val="21"/>
        </w:rPr>
        <w:t> </w:t>
      </w:r>
      <w:r>
        <w:rPr>
          <w:sz w:val="21"/>
        </w:rPr>
        <w:t>"</w:t>
      </w:r>
      <w:r>
        <w:rPr>
          <w:b/>
          <w:sz w:val="21"/>
        </w:rPr>
        <w:t>First</w:t>
      </w:r>
      <w:r>
        <w:rPr>
          <w:b/>
          <w:spacing w:val="-3"/>
          <w:sz w:val="21"/>
        </w:rPr>
        <w:t> </w:t>
      </w:r>
      <w:r>
        <w:rPr>
          <w:b/>
          <w:sz w:val="21"/>
        </w:rPr>
        <w:t>Amendment</w:t>
      </w:r>
      <w:r>
        <w:rPr>
          <w:sz w:val="21"/>
        </w:rPr>
        <w:t>")</w:t>
      </w:r>
      <w:r>
        <w:rPr>
          <w:spacing w:val="11"/>
          <w:sz w:val="21"/>
        </w:rPr>
        <w:t> </w:t>
      </w:r>
      <w:r>
        <w:rPr>
          <w:sz w:val="21"/>
        </w:rPr>
        <w:t>was</w:t>
      </w:r>
      <w:r>
        <w:rPr>
          <w:spacing w:val="12"/>
          <w:sz w:val="21"/>
        </w:rPr>
        <w:t> </w:t>
      </w:r>
      <w:r>
        <w:rPr>
          <w:sz w:val="21"/>
        </w:rPr>
        <w:t>adopted</w:t>
      </w:r>
      <w:r>
        <w:rPr>
          <w:spacing w:val="11"/>
          <w:sz w:val="21"/>
        </w:rPr>
        <w:t> </w:t>
      </w:r>
      <w:r>
        <w:rPr>
          <w:sz w:val="21"/>
        </w:rPr>
        <w:t>on</w:t>
      </w:r>
      <w:r>
        <w:rPr>
          <w:spacing w:val="-2"/>
          <w:sz w:val="21"/>
        </w:rPr>
        <w:t> </w:t>
      </w:r>
      <w:r>
        <w:rPr>
          <w:sz w:val="21"/>
        </w:rPr>
        <w:t>April</w:t>
      </w:r>
      <w:r>
        <w:rPr>
          <w:spacing w:val="11"/>
          <w:sz w:val="21"/>
        </w:rPr>
        <w:t> </w:t>
      </w:r>
      <w:r>
        <w:rPr>
          <w:sz w:val="21"/>
        </w:rPr>
        <w:t>27,</w:t>
      </w:r>
      <w:r>
        <w:rPr>
          <w:spacing w:val="12"/>
          <w:sz w:val="21"/>
        </w:rPr>
        <w:t> </w:t>
      </w:r>
      <w:r>
        <w:rPr>
          <w:spacing w:val="-2"/>
          <w:sz w:val="21"/>
        </w:rPr>
        <w:t>2022;</w:t>
      </w:r>
    </w:p>
    <w:p>
      <w:pPr>
        <w:spacing w:line="213" w:lineRule="auto" w:before="213"/>
        <w:ind w:left="144" w:right="119" w:firstLine="304"/>
        <w:jc w:val="both"/>
        <w:rPr>
          <w:sz w:val="21"/>
        </w:rPr>
      </w:pPr>
      <w:r>
        <w:rPr>
          <w:sz w:val="21"/>
        </w:rPr>
        <w:t>WHEREAS,</w:t>
      </w:r>
      <w:r>
        <w:rPr>
          <w:spacing w:val="38"/>
          <w:sz w:val="21"/>
        </w:rPr>
        <w:t> </w:t>
      </w:r>
      <w:r>
        <w:rPr>
          <w:sz w:val="21"/>
        </w:rPr>
        <w:t>pursuant</w:t>
      </w:r>
      <w:r>
        <w:rPr>
          <w:spacing w:val="38"/>
          <w:sz w:val="21"/>
        </w:rPr>
        <w:t> </w:t>
      </w:r>
      <w:r>
        <w:rPr>
          <w:sz w:val="21"/>
        </w:rPr>
        <w:t>to</w:t>
      </w:r>
      <w:r>
        <w:rPr>
          <w:spacing w:val="38"/>
          <w:sz w:val="21"/>
        </w:rPr>
        <w:t> </w:t>
      </w:r>
      <w:r>
        <w:rPr>
          <w:sz w:val="21"/>
        </w:rPr>
        <w:t>Section</w:t>
      </w:r>
      <w:r>
        <w:rPr>
          <w:spacing w:val="38"/>
          <w:sz w:val="21"/>
        </w:rPr>
        <w:t> </w:t>
      </w:r>
      <w:r>
        <w:rPr>
          <w:sz w:val="21"/>
        </w:rPr>
        <w:t>6.1</w:t>
      </w:r>
      <w:r>
        <w:rPr>
          <w:spacing w:val="38"/>
          <w:sz w:val="21"/>
        </w:rPr>
        <w:t> </w:t>
      </w:r>
      <w:r>
        <w:rPr>
          <w:sz w:val="21"/>
        </w:rPr>
        <w:t>of</w:t>
      </w:r>
      <w:r>
        <w:rPr>
          <w:spacing w:val="38"/>
          <w:sz w:val="21"/>
        </w:rPr>
        <w:t> </w:t>
      </w:r>
      <w:r>
        <w:rPr>
          <w:sz w:val="21"/>
        </w:rPr>
        <w:t>the</w:t>
      </w:r>
      <w:r>
        <w:rPr>
          <w:spacing w:val="38"/>
          <w:sz w:val="21"/>
        </w:rPr>
        <w:t> </w:t>
      </w:r>
      <w:r>
        <w:rPr>
          <w:sz w:val="21"/>
        </w:rPr>
        <w:t>Plan,</w:t>
      </w:r>
      <w:r>
        <w:rPr>
          <w:spacing w:val="38"/>
          <w:sz w:val="21"/>
        </w:rPr>
        <w:t> </w:t>
      </w:r>
      <w:r>
        <w:rPr>
          <w:sz w:val="21"/>
        </w:rPr>
        <w:t>the</w:t>
      </w:r>
      <w:r>
        <w:rPr>
          <w:spacing w:val="38"/>
          <w:sz w:val="21"/>
        </w:rPr>
        <w:t> </w:t>
      </w:r>
      <w:r>
        <w:rPr>
          <w:sz w:val="21"/>
        </w:rPr>
        <w:t>Human</w:t>
      </w:r>
      <w:r>
        <w:rPr>
          <w:spacing w:val="38"/>
          <w:sz w:val="21"/>
        </w:rPr>
        <w:t> </w:t>
      </w:r>
      <w:r>
        <w:rPr>
          <w:sz w:val="21"/>
        </w:rPr>
        <w:t>Capital</w:t>
      </w:r>
      <w:r>
        <w:rPr>
          <w:spacing w:val="38"/>
          <w:sz w:val="21"/>
        </w:rPr>
        <w:t> </w:t>
      </w:r>
      <w:r>
        <w:rPr>
          <w:sz w:val="21"/>
        </w:rPr>
        <w:t>and</w:t>
      </w:r>
      <w:r>
        <w:rPr>
          <w:spacing w:val="38"/>
          <w:sz w:val="21"/>
        </w:rPr>
        <w:t> </w:t>
      </w:r>
      <w:r>
        <w:rPr>
          <w:sz w:val="21"/>
        </w:rPr>
        <w:t>Compensation</w:t>
      </w:r>
      <w:r>
        <w:rPr>
          <w:spacing w:val="38"/>
          <w:sz w:val="21"/>
        </w:rPr>
        <w:t> </w:t>
      </w:r>
      <w:r>
        <w:rPr>
          <w:sz w:val="21"/>
        </w:rPr>
        <w:t>Committee</w:t>
      </w:r>
      <w:r>
        <w:rPr>
          <w:spacing w:val="38"/>
          <w:sz w:val="21"/>
        </w:rPr>
        <w:t> </w:t>
      </w:r>
      <w:r>
        <w:rPr>
          <w:sz w:val="21"/>
        </w:rPr>
        <w:t>(the</w:t>
      </w:r>
      <w:r>
        <w:rPr>
          <w:spacing w:val="38"/>
          <w:sz w:val="21"/>
        </w:rPr>
        <w:t> </w:t>
      </w:r>
      <w:r>
        <w:rPr>
          <w:sz w:val="21"/>
        </w:rPr>
        <w:t>"</w:t>
      </w:r>
      <w:r>
        <w:rPr>
          <w:b/>
          <w:sz w:val="21"/>
        </w:rPr>
        <w:t>Committee</w:t>
      </w:r>
      <w:r>
        <w:rPr>
          <w:sz w:val="21"/>
        </w:rPr>
        <w:t>")</w:t>
      </w:r>
      <w:r>
        <w:rPr>
          <w:spacing w:val="38"/>
          <w:sz w:val="21"/>
        </w:rPr>
        <w:t> </w:t>
      </w:r>
      <w:r>
        <w:rPr>
          <w:sz w:val="21"/>
        </w:rPr>
        <w:t>of</w:t>
      </w:r>
      <w:r>
        <w:rPr>
          <w:spacing w:val="38"/>
          <w:sz w:val="21"/>
        </w:rPr>
        <w:t> </w:t>
      </w:r>
      <w:r>
        <w:rPr>
          <w:sz w:val="21"/>
        </w:rPr>
        <w:t>the Board of Directors (the "</w:t>
      </w:r>
      <w:r>
        <w:rPr>
          <w:b/>
          <w:sz w:val="21"/>
        </w:rPr>
        <w:t>Board</w:t>
      </w:r>
      <w:r>
        <w:rPr>
          <w:sz w:val="21"/>
        </w:rPr>
        <w:t>") of MGM Resorts International may adopt minor amendments to the Plan without prior approval by</w:t>
      </w:r>
      <w:r>
        <w:rPr>
          <w:spacing w:val="80"/>
          <w:sz w:val="21"/>
        </w:rPr>
        <w:t> </w:t>
      </w:r>
      <w:r>
        <w:rPr>
          <w:sz w:val="21"/>
        </w:rPr>
        <w:t>the Board that: (i) are necessary or advisable for purposes of complying with applicable laws and regulations, (ii) relate to</w:t>
      </w:r>
      <w:r>
        <w:rPr>
          <w:spacing w:val="80"/>
          <w:sz w:val="21"/>
        </w:rPr>
        <w:t> </w:t>
      </w:r>
      <w:r>
        <w:rPr>
          <w:sz w:val="21"/>
        </w:rPr>
        <w:t>administrative</w:t>
      </w:r>
      <w:r>
        <w:rPr>
          <w:spacing w:val="27"/>
          <w:sz w:val="21"/>
        </w:rPr>
        <w:t> </w:t>
      </w:r>
      <w:r>
        <w:rPr>
          <w:sz w:val="21"/>
        </w:rPr>
        <w:t>practices</w:t>
      </w:r>
      <w:r>
        <w:rPr>
          <w:spacing w:val="27"/>
          <w:sz w:val="21"/>
        </w:rPr>
        <w:t> </w:t>
      </w:r>
      <w:r>
        <w:rPr>
          <w:sz w:val="21"/>
        </w:rPr>
        <w:t>under</w:t>
      </w:r>
      <w:r>
        <w:rPr>
          <w:spacing w:val="27"/>
          <w:sz w:val="21"/>
        </w:rPr>
        <w:t> </w:t>
      </w:r>
      <w:r>
        <w:rPr>
          <w:sz w:val="21"/>
        </w:rPr>
        <w:t>the</w:t>
      </w:r>
      <w:r>
        <w:rPr>
          <w:spacing w:val="27"/>
          <w:sz w:val="21"/>
        </w:rPr>
        <w:t> </w:t>
      </w:r>
      <w:r>
        <w:rPr>
          <w:sz w:val="21"/>
        </w:rPr>
        <w:t>Plan,</w:t>
      </w:r>
      <w:r>
        <w:rPr>
          <w:spacing w:val="27"/>
          <w:sz w:val="21"/>
        </w:rPr>
        <w:t> </w:t>
      </w:r>
      <w:r>
        <w:rPr>
          <w:sz w:val="21"/>
        </w:rPr>
        <w:t>or</w:t>
      </w:r>
      <w:r>
        <w:rPr>
          <w:spacing w:val="27"/>
          <w:sz w:val="21"/>
        </w:rPr>
        <w:t> </w:t>
      </w:r>
      <w:r>
        <w:rPr>
          <w:sz w:val="21"/>
        </w:rPr>
        <w:t>(iii)</w:t>
      </w:r>
      <w:r>
        <w:rPr>
          <w:spacing w:val="27"/>
          <w:sz w:val="21"/>
        </w:rPr>
        <w:t> </w:t>
      </w:r>
      <w:r>
        <w:rPr>
          <w:sz w:val="21"/>
        </w:rPr>
        <w:t>have</w:t>
      </w:r>
      <w:r>
        <w:rPr>
          <w:spacing w:val="27"/>
          <w:sz w:val="21"/>
        </w:rPr>
        <w:t> </w:t>
      </w:r>
      <w:r>
        <w:rPr>
          <w:sz w:val="21"/>
        </w:rPr>
        <w:t>an</w:t>
      </w:r>
      <w:r>
        <w:rPr>
          <w:spacing w:val="27"/>
          <w:sz w:val="21"/>
        </w:rPr>
        <w:t> </w:t>
      </w:r>
      <w:r>
        <w:rPr>
          <w:sz w:val="21"/>
        </w:rPr>
        <w:t>insubstantial</w:t>
      </w:r>
      <w:r>
        <w:rPr>
          <w:spacing w:val="27"/>
          <w:sz w:val="21"/>
        </w:rPr>
        <w:t> </w:t>
      </w:r>
      <w:r>
        <w:rPr>
          <w:sz w:val="21"/>
        </w:rPr>
        <w:t>financial</w:t>
      </w:r>
      <w:r>
        <w:rPr>
          <w:spacing w:val="27"/>
          <w:sz w:val="21"/>
        </w:rPr>
        <w:t> </w:t>
      </w:r>
      <w:r>
        <w:rPr>
          <w:sz w:val="21"/>
        </w:rPr>
        <w:t>effect</w:t>
      </w:r>
      <w:r>
        <w:rPr>
          <w:spacing w:val="27"/>
          <w:sz w:val="21"/>
        </w:rPr>
        <w:t> </w:t>
      </w:r>
      <w:r>
        <w:rPr>
          <w:sz w:val="21"/>
        </w:rPr>
        <w:t>on</w:t>
      </w:r>
      <w:r>
        <w:rPr>
          <w:spacing w:val="27"/>
          <w:sz w:val="21"/>
        </w:rPr>
        <w:t> </w:t>
      </w:r>
      <w:r>
        <w:rPr>
          <w:sz w:val="21"/>
        </w:rPr>
        <w:t>the</w:t>
      </w:r>
      <w:r>
        <w:rPr>
          <w:spacing w:val="27"/>
          <w:sz w:val="21"/>
        </w:rPr>
        <w:t> </w:t>
      </w:r>
      <w:r>
        <w:rPr>
          <w:sz w:val="21"/>
        </w:rPr>
        <w:t>Plan;</w:t>
      </w:r>
    </w:p>
    <w:p>
      <w:pPr>
        <w:spacing w:line="213" w:lineRule="auto" w:before="220"/>
        <w:ind w:left="144" w:right="119" w:firstLine="228"/>
        <w:jc w:val="both"/>
        <w:rPr>
          <w:sz w:val="21"/>
        </w:rPr>
      </w:pPr>
      <w:r>
        <w:rPr>
          <w:sz w:val="21"/>
        </w:rPr>
        <w:t>WHEREAS, the Committee desires to amend the Plan to provide that (i) the Committee may delegate its authority to discontinue, substitute,</w:t>
      </w:r>
      <w:r>
        <w:rPr>
          <w:spacing w:val="40"/>
          <w:sz w:val="21"/>
        </w:rPr>
        <w:t> </w:t>
      </w:r>
      <w:r>
        <w:rPr>
          <w:sz w:val="21"/>
        </w:rPr>
        <w:t>or</w:t>
      </w:r>
      <w:r>
        <w:rPr>
          <w:spacing w:val="40"/>
          <w:sz w:val="21"/>
        </w:rPr>
        <w:t> </w:t>
      </w:r>
      <w:r>
        <w:rPr>
          <w:sz w:val="21"/>
        </w:rPr>
        <w:t>add</w:t>
      </w:r>
      <w:r>
        <w:rPr>
          <w:spacing w:val="40"/>
          <w:sz w:val="21"/>
        </w:rPr>
        <w:t> </w:t>
      </w:r>
      <w:r>
        <w:rPr>
          <w:sz w:val="21"/>
        </w:rPr>
        <w:t>Measurement</w:t>
      </w:r>
      <w:r>
        <w:rPr>
          <w:spacing w:val="40"/>
          <w:sz w:val="21"/>
        </w:rPr>
        <w:t> </w:t>
      </w:r>
      <w:r>
        <w:rPr>
          <w:sz w:val="21"/>
        </w:rPr>
        <w:t>Funds</w:t>
      </w:r>
      <w:r>
        <w:rPr>
          <w:spacing w:val="40"/>
          <w:sz w:val="21"/>
        </w:rPr>
        <w:t> </w:t>
      </w:r>
      <w:r>
        <w:rPr>
          <w:sz w:val="21"/>
        </w:rPr>
        <w:t>(as</w:t>
      </w:r>
      <w:r>
        <w:rPr>
          <w:spacing w:val="40"/>
          <w:sz w:val="21"/>
        </w:rPr>
        <w:t> </w:t>
      </w:r>
      <w:r>
        <w:rPr>
          <w:sz w:val="21"/>
        </w:rPr>
        <w:t>defined</w:t>
      </w:r>
      <w:r>
        <w:rPr>
          <w:spacing w:val="40"/>
          <w:sz w:val="21"/>
        </w:rPr>
        <w:t> </w:t>
      </w:r>
      <w:r>
        <w:rPr>
          <w:sz w:val="21"/>
        </w:rPr>
        <w:t>in</w:t>
      </w:r>
      <w:r>
        <w:rPr>
          <w:spacing w:val="40"/>
          <w:sz w:val="21"/>
        </w:rPr>
        <w:t> </w:t>
      </w:r>
      <w:r>
        <w:rPr>
          <w:sz w:val="21"/>
        </w:rPr>
        <w:t>the</w:t>
      </w:r>
      <w:r>
        <w:rPr>
          <w:spacing w:val="40"/>
          <w:sz w:val="21"/>
        </w:rPr>
        <w:t> </w:t>
      </w:r>
      <w:r>
        <w:rPr>
          <w:sz w:val="21"/>
        </w:rPr>
        <w:t>Plan)</w:t>
      </w:r>
      <w:r>
        <w:rPr>
          <w:spacing w:val="40"/>
          <w:sz w:val="21"/>
        </w:rPr>
        <w:t> </w:t>
      </w:r>
      <w:r>
        <w:rPr>
          <w:sz w:val="21"/>
        </w:rPr>
        <w:t>under</w:t>
      </w:r>
      <w:r>
        <w:rPr>
          <w:spacing w:val="40"/>
          <w:sz w:val="21"/>
        </w:rPr>
        <w:t> </w:t>
      </w:r>
      <w:r>
        <w:rPr>
          <w:sz w:val="21"/>
        </w:rPr>
        <w:t>the</w:t>
      </w:r>
      <w:r>
        <w:rPr>
          <w:spacing w:val="40"/>
          <w:sz w:val="21"/>
        </w:rPr>
        <w:t> </w:t>
      </w:r>
      <w:r>
        <w:rPr>
          <w:sz w:val="21"/>
        </w:rPr>
        <w:t>Plan</w:t>
      </w:r>
      <w:r>
        <w:rPr>
          <w:spacing w:val="40"/>
          <w:sz w:val="21"/>
        </w:rPr>
        <w:t> </w:t>
      </w:r>
      <w:r>
        <w:rPr>
          <w:sz w:val="21"/>
        </w:rPr>
        <w:t>and</w:t>
      </w:r>
      <w:r>
        <w:rPr>
          <w:spacing w:val="40"/>
          <w:sz w:val="21"/>
        </w:rPr>
        <w:t> </w:t>
      </w:r>
      <w:r>
        <w:rPr>
          <w:sz w:val="21"/>
        </w:rPr>
        <w:t>(ii)</w:t>
      </w:r>
      <w:r>
        <w:rPr>
          <w:spacing w:val="40"/>
          <w:sz w:val="21"/>
        </w:rPr>
        <w:t> </w:t>
      </w:r>
      <w:r>
        <w:rPr>
          <w:sz w:val="21"/>
        </w:rPr>
        <w:t>changes</w:t>
      </w:r>
      <w:r>
        <w:rPr>
          <w:spacing w:val="40"/>
          <w:sz w:val="21"/>
        </w:rPr>
        <w:t> </w:t>
      </w:r>
      <w:r>
        <w:rPr>
          <w:sz w:val="21"/>
        </w:rPr>
        <w:t>made</w:t>
      </w:r>
      <w:r>
        <w:rPr>
          <w:spacing w:val="40"/>
          <w:sz w:val="21"/>
        </w:rPr>
        <w:t> </w:t>
      </w:r>
      <w:r>
        <w:rPr>
          <w:sz w:val="21"/>
        </w:rPr>
        <w:t>to</w:t>
      </w:r>
      <w:r>
        <w:rPr>
          <w:spacing w:val="40"/>
          <w:sz w:val="21"/>
        </w:rPr>
        <w:t> </w:t>
      </w:r>
      <w:r>
        <w:rPr>
          <w:sz w:val="21"/>
        </w:rPr>
        <w:t>the</w:t>
      </w:r>
      <w:r>
        <w:rPr>
          <w:spacing w:val="40"/>
          <w:sz w:val="21"/>
        </w:rPr>
        <w:t> </w:t>
      </w:r>
      <w:r>
        <w:rPr>
          <w:sz w:val="21"/>
        </w:rPr>
        <w:t>Measurement</w:t>
      </w:r>
      <w:r>
        <w:rPr>
          <w:spacing w:val="40"/>
          <w:sz w:val="21"/>
        </w:rPr>
        <w:t> </w:t>
      </w:r>
      <w:r>
        <w:rPr>
          <w:sz w:val="21"/>
        </w:rPr>
        <w:t>Funds pursuant to Section 3.3(c) of the Plan shall take effect as soon as administratively practicable after the Committee provides </w:t>
      </w:r>
      <w:r>
        <w:rPr>
          <w:sz w:val="21"/>
        </w:rPr>
        <w:t>written</w:t>
      </w:r>
      <w:r>
        <w:rPr>
          <w:spacing w:val="40"/>
          <w:sz w:val="21"/>
        </w:rPr>
        <w:t> </w:t>
      </w:r>
      <w:r>
        <w:rPr>
          <w:sz w:val="21"/>
        </w:rPr>
        <w:t>notice of such change to Plan participants; and</w:t>
      </w:r>
    </w:p>
    <w:p>
      <w:pPr>
        <w:spacing w:line="213" w:lineRule="auto" w:before="220"/>
        <w:ind w:left="144" w:right="118" w:firstLine="224"/>
        <w:jc w:val="both"/>
        <w:rPr>
          <w:sz w:val="21"/>
        </w:rPr>
      </w:pPr>
      <w:r>
        <w:rPr>
          <w:sz w:val="21"/>
        </w:rPr>
        <w:t>WHEREAS, it has been determined that the changes made by this Second Amendment relate to administrative practices under the Plan and would have an insubstantial financial effect on the Plan.</w:t>
      </w:r>
    </w:p>
    <w:p>
      <w:pPr>
        <w:spacing w:before="197"/>
        <w:ind w:left="360" w:right="0" w:firstLine="0"/>
        <w:jc w:val="left"/>
        <w:rPr>
          <w:sz w:val="21"/>
        </w:rPr>
      </w:pPr>
      <w:r>
        <w:rPr>
          <w:sz w:val="21"/>
        </w:rPr>
        <w:t>NOW</w:t>
      </w:r>
      <w:r>
        <w:rPr>
          <w:spacing w:val="3"/>
          <w:sz w:val="21"/>
        </w:rPr>
        <w:t> </w:t>
      </w:r>
      <w:r>
        <w:rPr>
          <w:sz w:val="21"/>
        </w:rPr>
        <w:t>THEREFORE,</w:t>
      </w:r>
      <w:r>
        <w:rPr>
          <w:spacing w:val="13"/>
          <w:sz w:val="21"/>
        </w:rPr>
        <w:t> </w:t>
      </w:r>
      <w:r>
        <w:rPr>
          <w:sz w:val="21"/>
        </w:rPr>
        <w:t>it</w:t>
      </w:r>
      <w:r>
        <w:rPr>
          <w:spacing w:val="12"/>
          <w:sz w:val="21"/>
        </w:rPr>
        <w:t> </w:t>
      </w:r>
      <w:r>
        <w:rPr>
          <w:sz w:val="21"/>
        </w:rPr>
        <w:t>is</w:t>
      </w:r>
      <w:r>
        <w:rPr>
          <w:spacing w:val="13"/>
          <w:sz w:val="21"/>
        </w:rPr>
        <w:t> </w:t>
      </w:r>
      <w:r>
        <w:rPr>
          <w:sz w:val="21"/>
        </w:rPr>
        <w:t>hereby</w:t>
      </w:r>
      <w:r>
        <w:rPr>
          <w:spacing w:val="13"/>
          <w:sz w:val="21"/>
        </w:rPr>
        <w:t> </w:t>
      </w:r>
      <w:r>
        <w:rPr>
          <w:sz w:val="21"/>
        </w:rPr>
        <w:t>acknowledged</w:t>
      </w:r>
      <w:r>
        <w:rPr>
          <w:spacing w:val="13"/>
          <w:sz w:val="21"/>
        </w:rPr>
        <w:t> </w:t>
      </w:r>
      <w:r>
        <w:rPr>
          <w:sz w:val="21"/>
        </w:rPr>
        <w:t>and</w:t>
      </w:r>
      <w:r>
        <w:rPr>
          <w:spacing w:val="13"/>
          <w:sz w:val="21"/>
        </w:rPr>
        <w:t> </w:t>
      </w:r>
      <w:r>
        <w:rPr>
          <w:sz w:val="21"/>
        </w:rPr>
        <w:t>agreed</w:t>
      </w:r>
      <w:r>
        <w:rPr>
          <w:spacing w:val="13"/>
          <w:sz w:val="21"/>
        </w:rPr>
        <w:t> </w:t>
      </w:r>
      <w:r>
        <w:rPr>
          <w:spacing w:val="-2"/>
          <w:sz w:val="21"/>
        </w:rPr>
        <w:t>that:</w:t>
      </w:r>
    </w:p>
    <w:p>
      <w:pPr>
        <w:pStyle w:val="ListParagraph"/>
        <w:numPr>
          <w:ilvl w:val="0"/>
          <w:numId w:val="56"/>
        </w:numPr>
        <w:tabs>
          <w:tab w:pos="791" w:val="left" w:leader="none"/>
        </w:tabs>
        <w:spacing w:line="240" w:lineRule="auto" w:before="190" w:after="0"/>
        <w:ind w:left="791" w:right="0" w:hanging="323"/>
        <w:jc w:val="left"/>
        <w:rPr>
          <w:sz w:val="21"/>
        </w:rPr>
      </w:pPr>
      <w:r>
        <w:rPr>
          <w:sz w:val="21"/>
        </w:rPr>
        <w:t>The</w:t>
      </w:r>
      <w:r>
        <w:rPr>
          <w:spacing w:val="9"/>
          <w:sz w:val="21"/>
        </w:rPr>
        <w:t> </w:t>
      </w:r>
      <w:r>
        <w:rPr>
          <w:sz w:val="21"/>
        </w:rPr>
        <w:t>third</w:t>
      </w:r>
      <w:r>
        <w:rPr>
          <w:spacing w:val="9"/>
          <w:sz w:val="21"/>
        </w:rPr>
        <w:t> </w:t>
      </w:r>
      <w:r>
        <w:rPr>
          <w:sz w:val="21"/>
        </w:rPr>
        <w:t>sentence</w:t>
      </w:r>
      <w:r>
        <w:rPr>
          <w:spacing w:val="9"/>
          <w:sz w:val="21"/>
        </w:rPr>
        <w:t> </w:t>
      </w:r>
      <w:r>
        <w:rPr>
          <w:sz w:val="21"/>
        </w:rPr>
        <w:t>of</w:t>
      </w:r>
      <w:r>
        <w:rPr>
          <w:spacing w:val="9"/>
          <w:sz w:val="21"/>
        </w:rPr>
        <w:t> </w:t>
      </w:r>
      <w:r>
        <w:rPr>
          <w:sz w:val="21"/>
        </w:rPr>
        <w:t>Section</w:t>
      </w:r>
      <w:r>
        <w:rPr>
          <w:spacing w:val="9"/>
          <w:sz w:val="21"/>
        </w:rPr>
        <w:t> </w:t>
      </w:r>
      <w:r>
        <w:rPr>
          <w:sz w:val="21"/>
        </w:rPr>
        <w:t>3.3(c)</w:t>
      </w:r>
      <w:r>
        <w:rPr>
          <w:spacing w:val="9"/>
          <w:sz w:val="21"/>
        </w:rPr>
        <w:t> </w:t>
      </w:r>
      <w:r>
        <w:rPr>
          <w:sz w:val="21"/>
        </w:rPr>
        <w:t>of</w:t>
      </w:r>
      <w:r>
        <w:rPr>
          <w:spacing w:val="10"/>
          <w:sz w:val="21"/>
        </w:rPr>
        <w:t> </w:t>
      </w:r>
      <w:r>
        <w:rPr>
          <w:sz w:val="21"/>
        </w:rPr>
        <w:t>the</w:t>
      </w:r>
      <w:r>
        <w:rPr>
          <w:spacing w:val="9"/>
          <w:sz w:val="21"/>
        </w:rPr>
        <w:t> </w:t>
      </w:r>
      <w:r>
        <w:rPr>
          <w:sz w:val="21"/>
        </w:rPr>
        <w:t>Plan</w:t>
      </w:r>
      <w:r>
        <w:rPr>
          <w:spacing w:val="9"/>
          <w:sz w:val="21"/>
        </w:rPr>
        <w:t> </w:t>
      </w:r>
      <w:r>
        <w:rPr>
          <w:sz w:val="21"/>
        </w:rPr>
        <w:t>is</w:t>
      </w:r>
      <w:r>
        <w:rPr>
          <w:spacing w:val="9"/>
          <w:sz w:val="21"/>
        </w:rPr>
        <w:t> </w:t>
      </w:r>
      <w:r>
        <w:rPr>
          <w:sz w:val="21"/>
        </w:rPr>
        <w:t>hereby</w:t>
      </w:r>
      <w:r>
        <w:rPr>
          <w:spacing w:val="9"/>
          <w:sz w:val="21"/>
        </w:rPr>
        <w:t> </w:t>
      </w:r>
      <w:r>
        <w:rPr>
          <w:sz w:val="21"/>
        </w:rPr>
        <w:t>deleted</w:t>
      </w:r>
      <w:r>
        <w:rPr>
          <w:spacing w:val="9"/>
          <w:sz w:val="21"/>
        </w:rPr>
        <w:t> </w:t>
      </w:r>
      <w:r>
        <w:rPr>
          <w:sz w:val="21"/>
        </w:rPr>
        <w:t>and</w:t>
      </w:r>
      <w:r>
        <w:rPr>
          <w:spacing w:val="9"/>
          <w:sz w:val="21"/>
        </w:rPr>
        <w:t> </w:t>
      </w:r>
      <w:r>
        <w:rPr>
          <w:sz w:val="21"/>
        </w:rPr>
        <w:t>replaced</w:t>
      </w:r>
      <w:r>
        <w:rPr>
          <w:spacing w:val="9"/>
          <w:sz w:val="21"/>
        </w:rPr>
        <w:t> </w:t>
      </w:r>
      <w:r>
        <w:rPr>
          <w:sz w:val="21"/>
        </w:rPr>
        <w:t>with</w:t>
      </w:r>
      <w:r>
        <w:rPr>
          <w:spacing w:val="10"/>
          <w:sz w:val="21"/>
        </w:rPr>
        <w:t> </w:t>
      </w:r>
      <w:r>
        <w:rPr>
          <w:sz w:val="21"/>
        </w:rPr>
        <w:t>the</w:t>
      </w:r>
      <w:r>
        <w:rPr>
          <w:spacing w:val="9"/>
          <w:sz w:val="21"/>
        </w:rPr>
        <w:t> </w:t>
      </w:r>
      <w:r>
        <w:rPr>
          <w:spacing w:val="-2"/>
          <w:sz w:val="21"/>
        </w:rPr>
        <w:t>following:</w:t>
      </w:r>
    </w:p>
    <w:p>
      <w:pPr>
        <w:spacing w:line="213" w:lineRule="auto" w:before="212"/>
        <w:ind w:left="792" w:right="118" w:firstLine="0"/>
        <w:jc w:val="both"/>
        <w:rPr>
          <w:sz w:val="21"/>
        </w:rPr>
      </w:pPr>
      <w:r>
        <w:rPr>
          <w:sz w:val="21"/>
        </w:rPr>
        <w:t>"As necessary, the Committee (or its duly appointed designee) may, in its sole discretion, discontinue, substitute or add Measurement Funds."</w:t>
      </w:r>
    </w:p>
    <w:p>
      <w:pPr>
        <w:pStyle w:val="ListParagraph"/>
        <w:numPr>
          <w:ilvl w:val="0"/>
          <w:numId w:val="56"/>
        </w:numPr>
        <w:tabs>
          <w:tab w:pos="791" w:val="left" w:leader="none"/>
        </w:tabs>
        <w:spacing w:line="240" w:lineRule="auto" w:before="197" w:after="0"/>
        <w:ind w:left="791" w:right="0" w:hanging="323"/>
        <w:jc w:val="left"/>
        <w:rPr>
          <w:sz w:val="21"/>
        </w:rPr>
      </w:pPr>
      <w:r>
        <w:rPr>
          <w:sz w:val="21"/>
        </w:rPr>
        <w:t>The</w:t>
      </w:r>
      <w:r>
        <w:rPr>
          <w:spacing w:val="9"/>
          <w:sz w:val="21"/>
        </w:rPr>
        <w:t> </w:t>
      </w:r>
      <w:r>
        <w:rPr>
          <w:sz w:val="21"/>
        </w:rPr>
        <w:t>fourth</w:t>
      </w:r>
      <w:r>
        <w:rPr>
          <w:spacing w:val="9"/>
          <w:sz w:val="21"/>
        </w:rPr>
        <w:t> </w:t>
      </w:r>
      <w:r>
        <w:rPr>
          <w:sz w:val="21"/>
        </w:rPr>
        <w:t>sentence</w:t>
      </w:r>
      <w:r>
        <w:rPr>
          <w:spacing w:val="9"/>
          <w:sz w:val="21"/>
        </w:rPr>
        <w:t> </w:t>
      </w:r>
      <w:r>
        <w:rPr>
          <w:sz w:val="21"/>
        </w:rPr>
        <w:t>of</w:t>
      </w:r>
      <w:r>
        <w:rPr>
          <w:spacing w:val="10"/>
          <w:sz w:val="21"/>
        </w:rPr>
        <w:t> </w:t>
      </w:r>
      <w:r>
        <w:rPr>
          <w:sz w:val="21"/>
        </w:rPr>
        <w:t>Section</w:t>
      </w:r>
      <w:r>
        <w:rPr>
          <w:spacing w:val="9"/>
          <w:sz w:val="21"/>
        </w:rPr>
        <w:t> </w:t>
      </w:r>
      <w:r>
        <w:rPr>
          <w:sz w:val="21"/>
        </w:rPr>
        <w:t>3.3(c)</w:t>
      </w:r>
      <w:r>
        <w:rPr>
          <w:spacing w:val="9"/>
          <w:sz w:val="21"/>
        </w:rPr>
        <w:t> </w:t>
      </w:r>
      <w:r>
        <w:rPr>
          <w:sz w:val="21"/>
        </w:rPr>
        <w:t>of</w:t>
      </w:r>
      <w:r>
        <w:rPr>
          <w:spacing w:val="10"/>
          <w:sz w:val="21"/>
        </w:rPr>
        <w:t> </w:t>
      </w:r>
      <w:r>
        <w:rPr>
          <w:sz w:val="21"/>
        </w:rPr>
        <w:t>the</w:t>
      </w:r>
      <w:r>
        <w:rPr>
          <w:spacing w:val="9"/>
          <w:sz w:val="21"/>
        </w:rPr>
        <w:t> </w:t>
      </w:r>
      <w:r>
        <w:rPr>
          <w:sz w:val="21"/>
        </w:rPr>
        <w:t>Plan</w:t>
      </w:r>
      <w:r>
        <w:rPr>
          <w:spacing w:val="9"/>
          <w:sz w:val="21"/>
        </w:rPr>
        <w:t> </w:t>
      </w:r>
      <w:r>
        <w:rPr>
          <w:sz w:val="21"/>
        </w:rPr>
        <w:t>is</w:t>
      </w:r>
      <w:r>
        <w:rPr>
          <w:spacing w:val="9"/>
          <w:sz w:val="21"/>
        </w:rPr>
        <w:t> </w:t>
      </w:r>
      <w:r>
        <w:rPr>
          <w:sz w:val="21"/>
        </w:rPr>
        <w:t>hereby</w:t>
      </w:r>
      <w:r>
        <w:rPr>
          <w:spacing w:val="10"/>
          <w:sz w:val="21"/>
        </w:rPr>
        <w:t> </w:t>
      </w:r>
      <w:r>
        <w:rPr>
          <w:sz w:val="21"/>
        </w:rPr>
        <w:t>deleted</w:t>
      </w:r>
      <w:r>
        <w:rPr>
          <w:spacing w:val="9"/>
          <w:sz w:val="21"/>
        </w:rPr>
        <w:t> </w:t>
      </w:r>
      <w:r>
        <w:rPr>
          <w:sz w:val="21"/>
        </w:rPr>
        <w:t>and</w:t>
      </w:r>
      <w:r>
        <w:rPr>
          <w:spacing w:val="9"/>
          <w:sz w:val="21"/>
        </w:rPr>
        <w:t> </w:t>
      </w:r>
      <w:r>
        <w:rPr>
          <w:sz w:val="21"/>
        </w:rPr>
        <w:t>replaced</w:t>
      </w:r>
      <w:r>
        <w:rPr>
          <w:spacing w:val="10"/>
          <w:sz w:val="21"/>
        </w:rPr>
        <w:t> </w:t>
      </w:r>
      <w:r>
        <w:rPr>
          <w:sz w:val="21"/>
        </w:rPr>
        <w:t>with</w:t>
      </w:r>
      <w:r>
        <w:rPr>
          <w:spacing w:val="9"/>
          <w:sz w:val="21"/>
        </w:rPr>
        <w:t> </w:t>
      </w:r>
      <w:r>
        <w:rPr>
          <w:sz w:val="21"/>
        </w:rPr>
        <w:t>the</w:t>
      </w:r>
      <w:r>
        <w:rPr>
          <w:spacing w:val="9"/>
          <w:sz w:val="21"/>
        </w:rPr>
        <w:t> </w:t>
      </w:r>
      <w:r>
        <w:rPr>
          <w:spacing w:val="-2"/>
          <w:sz w:val="21"/>
        </w:rPr>
        <w:t>following:</w:t>
      </w:r>
    </w:p>
    <w:p>
      <w:pPr>
        <w:spacing w:line="213" w:lineRule="auto" w:before="212"/>
        <w:ind w:left="792" w:right="119" w:firstLine="0"/>
        <w:jc w:val="both"/>
        <w:rPr>
          <w:sz w:val="21"/>
        </w:rPr>
      </w:pPr>
      <w:r>
        <w:rPr>
          <w:sz w:val="21"/>
        </w:rPr>
        <w:t>"Each</w:t>
      </w:r>
      <w:r>
        <w:rPr>
          <w:spacing w:val="40"/>
          <w:sz w:val="21"/>
        </w:rPr>
        <w:t> </w:t>
      </w:r>
      <w:r>
        <w:rPr>
          <w:sz w:val="21"/>
        </w:rPr>
        <w:t>such</w:t>
      </w:r>
      <w:r>
        <w:rPr>
          <w:spacing w:val="40"/>
          <w:sz w:val="21"/>
        </w:rPr>
        <w:t> </w:t>
      </w:r>
      <w:r>
        <w:rPr>
          <w:sz w:val="21"/>
        </w:rPr>
        <w:t>action</w:t>
      </w:r>
      <w:r>
        <w:rPr>
          <w:spacing w:val="40"/>
          <w:sz w:val="21"/>
        </w:rPr>
        <w:t> </w:t>
      </w:r>
      <w:r>
        <w:rPr>
          <w:sz w:val="21"/>
        </w:rPr>
        <w:t>will</w:t>
      </w:r>
      <w:r>
        <w:rPr>
          <w:spacing w:val="40"/>
          <w:sz w:val="21"/>
        </w:rPr>
        <w:t> </w:t>
      </w:r>
      <w:r>
        <w:rPr>
          <w:sz w:val="21"/>
        </w:rPr>
        <w:t>take</w:t>
      </w:r>
      <w:r>
        <w:rPr>
          <w:spacing w:val="40"/>
          <w:sz w:val="21"/>
        </w:rPr>
        <w:t> </w:t>
      </w:r>
      <w:r>
        <w:rPr>
          <w:sz w:val="21"/>
        </w:rPr>
        <w:t>effect</w:t>
      </w:r>
      <w:r>
        <w:rPr>
          <w:spacing w:val="40"/>
          <w:sz w:val="21"/>
        </w:rPr>
        <w:t> </w:t>
      </w:r>
      <w:r>
        <w:rPr>
          <w:sz w:val="21"/>
        </w:rPr>
        <w:t>as</w:t>
      </w:r>
      <w:r>
        <w:rPr>
          <w:spacing w:val="40"/>
          <w:sz w:val="21"/>
        </w:rPr>
        <w:t> </w:t>
      </w:r>
      <w:r>
        <w:rPr>
          <w:sz w:val="21"/>
        </w:rPr>
        <w:t>soon</w:t>
      </w:r>
      <w:r>
        <w:rPr>
          <w:spacing w:val="40"/>
          <w:sz w:val="21"/>
        </w:rPr>
        <w:t> </w:t>
      </w:r>
      <w:r>
        <w:rPr>
          <w:sz w:val="21"/>
        </w:rPr>
        <w:t>as</w:t>
      </w:r>
      <w:r>
        <w:rPr>
          <w:spacing w:val="40"/>
          <w:sz w:val="21"/>
        </w:rPr>
        <w:t> </w:t>
      </w:r>
      <w:r>
        <w:rPr>
          <w:sz w:val="21"/>
        </w:rPr>
        <w:t>administratively</w:t>
      </w:r>
      <w:r>
        <w:rPr>
          <w:spacing w:val="40"/>
          <w:sz w:val="21"/>
        </w:rPr>
        <w:t> </w:t>
      </w:r>
      <w:r>
        <w:rPr>
          <w:sz w:val="21"/>
        </w:rPr>
        <w:t>practicable</w:t>
      </w:r>
      <w:r>
        <w:rPr>
          <w:spacing w:val="40"/>
          <w:sz w:val="21"/>
        </w:rPr>
        <w:t> </w:t>
      </w:r>
      <w:r>
        <w:rPr>
          <w:sz w:val="21"/>
        </w:rPr>
        <w:t>after</w:t>
      </w:r>
      <w:r>
        <w:rPr>
          <w:spacing w:val="40"/>
          <w:sz w:val="21"/>
        </w:rPr>
        <w:t> </w:t>
      </w:r>
      <w:r>
        <w:rPr>
          <w:sz w:val="21"/>
        </w:rPr>
        <w:t>the</w:t>
      </w:r>
      <w:r>
        <w:rPr>
          <w:spacing w:val="40"/>
          <w:sz w:val="21"/>
        </w:rPr>
        <w:t> </w:t>
      </w:r>
      <w:r>
        <w:rPr>
          <w:sz w:val="21"/>
        </w:rPr>
        <w:t>Committee</w:t>
      </w:r>
      <w:r>
        <w:rPr>
          <w:spacing w:val="40"/>
          <w:sz w:val="21"/>
        </w:rPr>
        <w:t> </w:t>
      </w:r>
      <w:r>
        <w:rPr>
          <w:sz w:val="21"/>
        </w:rPr>
        <w:t>gives</w:t>
      </w:r>
      <w:r>
        <w:rPr>
          <w:spacing w:val="40"/>
          <w:sz w:val="21"/>
        </w:rPr>
        <w:t> </w:t>
      </w:r>
      <w:r>
        <w:rPr>
          <w:sz w:val="21"/>
        </w:rPr>
        <w:t>Participants</w:t>
      </w:r>
      <w:r>
        <w:rPr>
          <w:spacing w:val="40"/>
          <w:sz w:val="21"/>
        </w:rPr>
        <w:t> </w:t>
      </w:r>
      <w:r>
        <w:rPr>
          <w:sz w:val="21"/>
        </w:rPr>
        <w:t>advance written</w:t>
      </w:r>
      <w:r>
        <w:rPr>
          <w:spacing w:val="40"/>
          <w:sz w:val="21"/>
        </w:rPr>
        <w:t> </w:t>
      </w:r>
      <w:r>
        <w:rPr>
          <w:sz w:val="21"/>
        </w:rPr>
        <w:t>notice</w:t>
      </w:r>
      <w:r>
        <w:rPr>
          <w:spacing w:val="40"/>
          <w:sz w:val="21"/>
        </w:rPr>
        <w:t> </w:t>
      </w:r>
      <w:r>
        <w:rPr>
          <w:sz w:val="21"/>
        </w:rPr>
        <w:t>of</w:t>
      </w:r>
      <w:r>
        <w:rPr>
          <w:spacing w:val="40"/>
          <w:sz w:val="21"/>
        </w:rPr>
        <w:t> </w:t>
      </w:r>
      <w:r>
        <w:rPr>
          <w:sz w:val="21"/>
        </w:rPr>
        <w:t>such</w:t>
      </w:r>
      <w:r>
        <w:rPr>
          <w:spacing w:val="40"/>
          <w:sz w:val="21"/>
        </w:rPr>
        <w:t> </w:t>
      </w:r>
      <w:r>
        <w:rPr>
          <w:sz w:val="21"/>
        </w:rPr>
        <w:t>change,</w:t>
      </w:r>
      <w:r>
        <w:rPr>
          <w:spacing w:val="40"/>
          <w:sz w:val="21"/>
        </w:rPr>
        <w:t> </w:t>
      </w:r>
      <w:r>
        <w:rPr>
          <w:sz w:val="21"/>
        </w:rPr>
        <w:t>unless</w:t>
      </w:r>
      <w:r>
        <w:rPr>
          <w:spacing w:val="40"/>
          <w:sz w:val="21"/>
        </w:rPr>
        <w:t> </w:t>
      </w:r>
      <w:r>
        <w:rPr>
          <w:sz w:val="21"/>
        </w:rPr>
        <w:t>such</w:t>
      </w:r>
      <w:r>
        <w:rPr>
          <w:spacing w:val="40"/>
          <w:sz w:val="21"/>
        </w:rPr>
        <w:t> </w:t>
      </w:r>
      <w:r>
        <w:rPr>
          <w:sz w:val="21"/>
        </w:rPr>
        <w:t>advance</w:t>
      </w:r>
      <w:r>
        <w:rPr>
          <w:spacing w:val="40"/>
          <w:sz w:val="21"/>
        </w:rPr>
        <w:t> </w:t>
      </w:r>
      <w:r>
        <w:rPr>
          <w:sz w:val="21"/>
        </w:rPr>
        <w:t>notice</w:t>
      </w:r>
      <w:r>
        <w:rPr>
          <w:spacing w:val="40"/>
          <w:sz w:val="21"/>
        </w:rPr>
        <w:t> </w:t>
      </w:r>
      <w:r>
        <w:rPr>
          <w:sz w:val="21"/>
        </w:rPr>
        <w:t>cannot</w:t>
      </w:r>
      <w:r>
        <w:rPr>
          <w:spacing w:val="40"/>
          <w:sz w:val="21"/>
        </w:rPr>
        <w:t> </w:t>
      </w:r>
      <w:r>
        <w:rPr>
          <w:sz w:val="21"/>
        </w:rPr>
        <w:t>be</w:t>
      </w:r>
      <w:r>
        <w:rPr>
          <w:spacing w:val="40"/>
          <w:sz w:val="21"/>
        </w:rPr>
        <w:t> </w:t>
      </w:r>
      <w:r>
        <w:rPr>
          <w:sz w:val="21"/>
        </w:rPr>
        <w:t>given</w:t>
      </w:r>
      <w:r>
        <w:rPr>
          <w:spacing w:val="40"/>
          <w:sz w:val="21"/>
        </w:rPr>
        <w:t> </w:t>
      </w:r>
      <w:r>
        <w:rPr>
          <w:sz w:val="21"/>
        </w:rPr>
        <w:t>due</w:t>
      </w:r>
      <w:r>
        <w:rPr>
          <w:spacing w:val="40"/>
          <w:sz w:val="21"/>
        </w:rPr>
        <w:t> </w:t>
      </w:r>
      <w:r>
        <w:rPr>
          <w:sz w:val="21"/>
        </w:rPr>
        <w:t>to</w:t>
      </w:r>
      <w:r>
        <w:rPr>
          <w:spacing w:val="40"/>
          <w:sz w:val="21"/>
        </w:rPr>
        <w:t> </w:t>
      </w:r>
      <w:r>
        <w:rPr>
          <w:sz w:val="21"/>
        </w:rPr>
        <w:t>reasons</w:t>
      </w:r>
      <w:r>
        <w:rPr>
          <w:spacing w:val="40"/>
          <w:sz w:val="21"/>
        </w:rPr>
        <w:t> </w:t>
      </w:r>
      <w:r>
        <w:rPr>
          <w:sz w:val="21"/>
        </w:rPr>
        <w:t>beyond</w:t>
      </w:r>
      <w:r>
        <w:rPr>
          <w:spacing w:val="40"/>
          <w:sz w:val="21"/>
        </w:rPr>
        <w:t> </w:t>
      </w:r>
      <w:r>
        <w:rPr>
          <w:sz w:val="21"/>
        </w:rPr>
        <w:t>the</w:t>
      </w:r>
      <w:r>
        <w:rPr>
          <w:spacing w:val="40"/>
          <w:sz w:val="21"/>
        </w:rPr>
        <w:t> </w:t>
      </w:r>
      <w:r>
        <w:rPr>
          <w:sz w:val="21"/>
        </w:rPr>
        <w:t>control</w:t>
      </w:r>
      <w:r>
        <w:rPr>
          <w:spacing w:val="40"/>
          <w:sz w:val="21"/>
        </w:rPr>
        <w:t> </w:t>
      </w:r>
      <w:r>
        <w:rPr>
          <w:sz w:val="21"/>
        </w:rPr>
        <w:t>of</w:t>
      </w:r>
      <w:r>
        <w:rPr>
          <w:spacing w:val="40"/>
          <w:sz w:val="21"/>
        </w:rPr>
        <w:t> </w:t>
      </w:r>
      <w:r>
        <w:rPr>
          <w:sz w:val="21"/>
        </w:rPr>
        <w:t>the Committee,</w:t>
      </w:r>
      <w:r>
        <w:rPr>
          <w:spacing w:val="26"/>
          <w:sz w:val="21"/>
        </w:rPr>
        <w:t> </w:t>
      </w:r>
      <w:r>
        <w:rPr>
          <w:sz w:val="21"/>
        </w:rPr>
        <w:t>in</w:t>
      </w:r>
      <w:r>
        <w:rPr>
          <w:spacing w:val="26"/>
          <w:sz w:val="21"/>
        </w:rPr>
        <w:t> </w:t>
      </w:r>
      <w:r>
        <w:rPr>
          <w:sz w:val="21"/>
        </w:rPr>
        <w:t>which</w:t>
      </w:r>
      <w:r>
        <w:rPr>
          <w:spacing w:val="26"/>
          <w:sz w:val="21"/>
        </w:rPr>
        <w:t> </w:t>
      </w:r>
      <w:r>
        <w:rPr>
          <w:sz w:val="21"/>
        </w:rPr>
        <w:t>case</w:t>
      </w:r>
      <w:r>
        <w:rPr>
          <w:spacing w:val="26"/>
          <w:sz w:val="21"/>
        </w:rPr>
        <w:t> </w:t>
      </w:r>
      <w:r>
        <w:rPr>
          <w:sz w:val="21"/>
        </w:rPr>
        <w:t>notice</w:t>
      </w:r>
      <w:r>
        <w:rPr>
          <w:spacing w:val="26"/>
          <w:sz w:val="21"/>
        </w:rPr>
        <w:t> </w:t>
      </w:r>
      <w:r>
        <w:rPr>
          <w:sz w:val="21"/>
        </w:rPr>
        <w:t>of</w:t>
      </w:r>
      <w:r>
        <w:rPr>
          <w:spacing w:val="26"/>
          <w:sz w:val="21"/>
        </w:rPr>
        <w:t> </w:t>
      </w:r>
      <w:r>
        <w:rPr>
          <w:sz w:val="21"/>
        </w:rPr>
        <w:t>the</w:t>
      </w:r>
      <w:r>
        <w:rPr>
          <w:spacing w:val="26"/>
          <w:sz w:val="21"/>
        </w:rPr>
        <w:t> </w:t>
      </w:r>
      <w:r>
        <w:rPr>
          <w:sz w:val="21"/>
        </w:rPr>
        <w:t>change</w:t>
      </w:r>
      <w:r>
        <w:rPr>
          <w:spacing w:val="26"/>
          <w:sz w:val="21"/>
        </w:rPr>
        <w:t> </w:t>
      </w:r>
      <w:r>
        <w:rPr>
          <w:sz w:val="21"/>
        </w:rPr>
        <w:t>shall</w:t>
      </w:r>
      <w:r>
        <w:rPr>
          <w:spacing w:val="26"/>
          <w:sz w:val="21"/>
        </w:rPr>
        <w:t> </w:t>
      </w:r>
      <w:r>
        <w:rPr>
          <w:sz w:val="21"/>
        </w:rPr>
        <w:t>be</w:t>
      </w:r>
      <w:r>
        <w:rPr>
          <w:spacing w:val="26"/>
          <w:sz w:val="21"/>
        </w:rPr>
        <w:t> </w:t>
      </w:r>
      <w:r>
        <w:rPr>
          <w:sz w:val="21"/>
        </w:rPr>
        <w:t>given</w:t>
      </w:r>
      <w:r>
        <w:rPr>
          <w:spacing w:val="26"/>
          <w:sz w:val="21"/>
        </w:rPr>
        <w:t> </w:t>
      </w:r>
      <w:r>
        <w:rPr>
          <w:sz w:val="21"/>
        </w:rPr>
        <w:t>as</w:t>
      </w:r>
      <w:r>
        <w:rPr>
          <w:spacing w:val="26"/>
          <w:sz w:val="21"/>
        </w:rPr>
        <w:t> </w:t>
      </w:r>
      <w:r>
        <w:rPr>
          <w:sz w:val="21"/>
        </w:rPr>
        <w:t>soon</w:t>
      </w:r>
      <w:r>
        <w:rPr>
          <w:spacing w:val="26"/>
          <w:sz w:val="21"/>
        </w:rPr>
        <w:t> </w:t>
      </w:r>
      <w:r>
        <w:rPr>
          <w:sz w:val="21"/>
        </w:rPr>
        <w:t>as</w:t>
      </w:r>
      <w:r>
        <w:rPr>
          <w:spacing w:val="26"/>
          <w:sz w:val="21"/>
        </w:rPr>
        <w:t> </w:t>
      </w:r>
      <w:r>
        <w:rPr>
          <w:sz w:val="21"/>
        </w:rPr>
        <w:t>administratively</w:t>
      </w:r>
      <w:r>
        <w:rPr>
          <w:spacing w:val="26"/>
          <w:sz w:val="21"/>
        </w:rPr>
        <w:t> </w:t>
      </w:r>
      <w:r>
        <w:rPr>
          <w:sz w:val="21"/>
        </w:rPr>
        <w:t>practicable."</w:t>
      </w:r>
    </w:p>
    <w:p>
      <w:pPr>
        <w:pStyle w:val="ListParagraph"/>
        <w:numPr>
          <w:ilvl w:val="0"/>
          <w:numId w:val="56"/>
        </w:numPr>
        <w:tabs>
          <w:tab w:pos="792" w:val="left" w:leader="none"/>
        </w:tabs>
        <w:spacing w:line="213" w:lineRule="auto" w:before="219" w:after="0"/>
        <w:ind w:left="792" w:right="119" w:hanging="324"/>
        <w:jc w:val="both"/>
        <w:rPr>
          <w:sz w:val="21"/>
        </w:rPr>
      </w:pPr>
      <w:r>
        <w:rPr>
          <w:sz w:val="21"/>
          <w:u w:val="single"/>
        </w:rPr>
        <w:t>Reference</w:t>
      </w:r>
      <w:r>
        <w:rPr>
          <w:spacing w:val="17"/>
          <w:sz w:val="21"/>
          <w:u w:val="single"/>
        </w:rPr>
        <w:t> </w:t>
      </w:r>
      <w:r>
        <w:rPr>
          <w:sz w:val="21"/>
          <w:u w:val="single"/>
        </w:rPr>
        <w:t>to</w:t>
      </w:r>
      <w:r>
        <w:rPr>
          <w:spacing w:val="17"/>
          <w:sz w:val="21"/>
          <w:u w:val="single"/>
        </w:rPr>
        <w:t> </w:t>
      </w:r>
      <w:r>
        <w:rPr>
          <w:sz w:val="21"/>
          <w:u w:val="single"/>
        </w:rPr>
        <w:t>and</w:t>
      </w:r>
      <w:r>
        <w:rPr>
          <w:spacing w:val="17"/>
          <w:sz w:val="21"/>
          <w:u w:val="single"/>
        </w:rPr>
        <w:t> </w:t>
      </w:r>
      <w:r>
        <w:rPr>
          <w:sz w:val="21"/>
          <w:u w:val="single"/>
        </w:rPr>
        <w:t>Effect</w:t>
      </w:r>
      <w:r>
        <w:rPr>
          <w:spacing w:val="17"/>
          <w:sz w:val="21"/>
          <w:u w:val="single"/>
        </w:rPr>
        <w:t> </w:t>
      </w:r>
      <w:r>
        <w:rPr>
          <w:sz w:val="21"/>
          <w:u w:val="single"/>
        </w:rPr>
        <w:t>on</w:t>
      </w:r>
      <w:r>
        <w:rPr>
          <w:spacing w:val="17"/>
          <w:sz w:val="21"/>
          <w:u w:val="single"/>
        </w:rPr>
        <w:t> </w:t>
      </w:r>
      <w:r>
        <w:rPr>
          <w:sz w:val="21"/>
          <w:u w:val="single"/>
        </w:rPr>
        <w:t>the</w:t>
      </w:r>
      <w:r>
        <w:rPr>
          <w:spacing w:val="17"/>
          <w:sz w:val="21"/>
          <w:u w:val="single"/>
        </w:rPr>
        <w:t> </w:t>
      </w:r>
      <w:r>
        <w:rPr>
          <w:sz w:val="21"/>
          <w:u w:val="single"/>
        </w:rPr>
        <w:t>Plan</w:t>
      </w:r>
      <w:r>
        <w:rPr>
          <w:sz w:val="21"/>
        </w:rPr>
        <w:t>.</w:t>
      </w:r>
      <w:r>
        <w:rPr>
          <w:spacing w:val="17"/>
          <w:sz w:val="21"/>
        </w:rPr>
        <w:t> </w:t>
      </w:r>
      <w:r>
        <w:rPr>
          <w:sz w:val="21"/>
        </w:rPr>
        <w:t>Except</w:t>
      </w:r>
      <w:r>
        <w:rPr>
          <w:spacing w:val="17"/>
          <w:sz w:val="21"/>
        </w:rPr>
        <w:t> </w:t>
      </w:r>
      <w:r>
        <w:rPr>
          <w:sz w:val="21"/>
        </w:rPr>
        <w:t>as</w:t>
      </w:r>
      <w:r>
        <w:rPr>
          <w:spacing w:val="17"/>
          <w:sz w:val="21"/>
        </w:rPr>
        <w:t> </w:t>
      </w:r>
      <w:r>
        <w:rPr>
          <w:sz w:val="21"/>
        </w:rPr>
        <w:t>specifically</w:t>
      </w:r>
      <w:r>
        <w:rPr>
          <w:spacing w:val="17"/>
          <w:sz w:val="21"/>
        </w:rPr>
        <w:t> </w:t>
      </w:r>
      <w:r>
        <w:rPr>
          <w:sz w:val="21"/>
        </w:rPr>
        <w:t>amended</w:t>
      </w:r>
      <w:r>
        <w:rPr>
          <w:spacing w:val="17"/>
          <w:sz w:val="21"/>
        </w:rPr>
        <w:t> </w:t>
      </w:r>
      <w:r>
        <w:rPr>
          <w:sz w:val="21"/>
        </w:rPr>
        <w:t>herein,</w:t>
      </w:r>
      <w:r>
        <w:rPr>
          <w:spacing w:val="17"/>
          <w:sz w:val="21"/>
        </w:rPr>
        <w:t> </w:t>
      </w:r>
      <w:r>
        <w:rPr>
          <w:sz w:val="21"/>
        </w:rPr>
        <w:t>the</w:t>
      </w:r>
      <w:r>
        <w:rPr>
          <w:spacing w:val="17"/>
          <w:sz w:val="21"/>
        </w:rPr>
        <w:t> </w:t>
      </w:r>
      <w:r>
        <w:rPr>
          <w:sz w:val="21"/>
        </w:rPr>
        <w:t>Plan</w:t>
      </w:r>
      <w:r>
        <w:rPr>
          <w:spacing w:val="17"/>
          <w:sz w:val="21"/>
        </w:rPr>
        <w:t> </w:t>
      </w:r>
      <w:r>
        <w:rPr>
          <w:sz w:val="21"/>
        </w:rPr>
        <w:t>shall</w:t>
      </w:r>
      <w:r>
        <w:rPr>
          <w:spacing w:val="17"/>
          <w:sz w:val="21"/>
        </w:rPr>
        <w:t> </w:t>
      </w:r>
      <w:r>
        <w:rPr>
          <w:sz w:val="21"/>
        </w:rPr>
        <w:t>remain</w:t>
      </w:r>
      <w:r>
        <w:rPr>
          <w:spacing w:val="17"/>
          <w:sz w:val="21"/>
        </w:rPr>
        <w:t> </w:t>
      </w:r>
      <w:r>
        <w:rPr>
          <w:sz w:val="21"/>
        </w:rPr>
        <w:t>in</w:t>
      </w:r>
      <w:r>
        <w:rPr>
          <w:spacing w:val="17"/>
          <w:sz w:val="21"/>
        </w:rPr>
        <w:t> </w:t>
      </w:r>
      <w:r>
        <w:rPr>
          <w:sz w:val="21"/>
        </w:rPr>
        <w:t>full</w:t>
      </w:r>
      <w:r>
        <w:rPr>
          <w:spacing w:val="17"/>
          <w:sz w:val="21"/>
        </w:rPr>
        <w:t> </w:t>
      </w:r>
      <w:r>
        <w:rPr>
          <w:sz w:val="21"/>
        </w:rPr>
        <w:t>force</w:t>
      </w:r>
      <w:r>
        <w:rPr>
          <w:spacing w:val="17"/>
          <w:sz w:val="21"/>
        </w:rPr>
        <w:t> </w:t>
      </w:r>
      <w:r>
        <w:rPr>
          <w:sz w:val="21"/>
        </w:rPr>
        <w:t>and</w:t>
      </w:r>
      <w:r>
        <w:rPr>
          <w:spacing w:val="17"/>
          <w:sz w:val="21"/>
        </w:rPr>
        <w:t> </w:t>
      </w:r>
      <w:r>
        <w:rPr>
          <w:sz w:val="21"/>
        </w:rPr>
        <w:t>effect</w:t>
      </w:r>
      <w:r>
        <w:rPr>
          <w:spacing w:val="17"/>
          <w:sz w:val="21"/>
        </w:rPr>
        <w:t> </w:t>
      </w:r>
      <w:r>
        <w:rPr>
          <w:sz w:val="21"/>
        </w:rPr>
        <w:t>and is hereby ratified and confirmed. All references in the Plan to the "Plan" shall mean the Plan as amended by the </w:t>
      </w:r>
      <w:r>
        <w:rPr>
          <w:sz w:val="21"/>
        </w:rPr>
        <w:t>First</w:t>
      </w:r>
      <w:r>
        <w:rPr>
          <w:spacing w:val="40"/>
          <w:sz w:val="21"/>
        </w:rPr>
        <w:t> </w:t>
      </w:r>
      <w:r>
        <w:rPr>
          <w:sz w:val="21"/>
        </w:rPr>
        <w:t>Amendment and this Second Amendment.</w:t>
      </w:r>
    </w:p>
    <w:p>
      <w:pPr>
        <w:pStyle w:val="ListParagraph"/>
        <w:numPr>
          <w:ilvl w:val="0"/>
          <w:numId w:val="56"/>
        </w:numPr>
        <w:tabs>
          <w:tab w:pos="791" w:val="left" w:leader="none"/>
        </w:tabs>
        <w:spacing w:line="240" w:lineRule="auto" w:before="198" w:after="0"/>
        <w:ind w:left="791" w:right="0" w:hanging="323"/>
        <w:jc w:val="left"/>
        <w:rPr>
          <w:sz w:val="21"/>
        </w:rPr>
      </w:pPr>
      <w:r>
        <w:rPr>
          <w:sz w:val="21"/>
          <w:u w:val="single"/>
        </w:rPr>
        <w:t>Adoption</w:t>
      </w:r>
      <w:r>
        <w:rPr>
          <w:spacing w:val="12"/>
          <w:sz w:val="21"/>
          <w:u w:val="single"/>
        </w:rPr>
        <w:t> </w:t>
      </w:r>
      <w:r>
        <w:rPr>
          <w:sz w:val="21"/>
          <w:u w:val="single"/>
        </w:rPr>
        <w:t>and</w:t>
      </w:r>
      <w:r>
        <w:rPr>
          <w:spacing w:val="-2"/>
          <w:sz w:val="21"/>
          <w:u w:val="single"/>
        </w:rPr>
        <w:t> </w:t>
      </w:r>
      <w:r>
        <w:rPr>
          <w:sz w:val="21"/>
          <w:u w:val="single"/>
        </w:rPr>
        <w:t>Approval</w:t>
      </w:r>
      <w:r>
        <w:rPr>
          <w:sz w:val="21"/>
        </w:rPr>
        <w:t>.</w:t>
      </w:r>
      <w:r>
        <w:rPr>
          <w:spacing w:val="8"/>
          <w:sz w:val="21"/>
        </w:rPr>
        <w:t> </w:t>
      </w:r>
      <w:r>
        <w:rPr>
          <w:sz w:val="21"/>
        </w:rPr>
        <w:t>The</w:t>
      </w:r>
      <w:r>
        <w:rPr>
          <w:spacing w:val="13"/>
          <w:sz w:val="21"/>
        </w:rPr>
        <w:t> </w:t>
      </w:r>
      <w:r>
        <w:rPr>
          <w:sz w:val="21"/>
        </w:rPr>
        <w:t>Committee</w:t>
      </w:r>
      <w:r>
        <w:rPr>
          <w:spacing w:val="12"/>
          <w:sz w:val="21"/>
        </w:rPr>
        <w:t> </w:t>
      </w:r>
      <w:r>
        <w:rPr>
          <w:sz w:val="21"/>
        </w:rPr>
        <w:t>duly</w:t>
      </w:r>
      <w:r>
        <w:rPr>
          <w:spacing w:val="13"/>
          <w:sz w:val="21"/>
        </w:rPr>
        <w:t> </w:t>
      </w:r>
      <w:r>
        <w:rPr>
          <w:sz w:val="21"/>
        </w:rPr>
        <w:t>adopted</w:t>
      </w:r>
      <w:r>
        <w:rPr>
          <w:spacing w:val="13"/>
          <w:sz w:val="21"/>
        </w:rPr>
        <w:t> </w:t>
      </w:r>
      <w:r>
        <w:rPr>
          <w:sz w:val="21"/>
        </w:rPr>
        <w:t>and</w:t>
      </w:r>
      <w:r>
        <w:rPr>
          <w:spacing w:val="12"/>
          <w:sz w:val="21"/>
        </w:rPr>
        <w:t> </w:t>
      </w:r>
      <w:r>
        <w:rPr>
          <w:sz w:val="21"/>
        </w:rPr>
        <w:t>approved</w:t>
      </w:r>
      <w:r>
        <w:rPr>
          <w:spacing w:val="13"/>
          <w:sz w:val="21"/>
        </w:rPr>
        <w:t> </w:t>
      </w:r>
      <w:r>
        <w:rPr>
          <w:sz w:val="21"/>
        </w:rPr>
        <w:t>this</w:t>
      </w:r>
      <w:r>
        <w:rPr>
          <w:spacing w:val="13"/>
          <w:sz w:val="21"/>
        </w:rPr>
        <w:t> </w:t>
      </w:r>
      <w:r>
        <w:rPr>
          <w:sz w:val="21"/>
        </w:rPr>
        <w:t>Second</w:t>
      </w:r>
      <w:r>
        <w:rPr>
          <w:spacing w:val="-2"/>
          <w:sz w:val="21"/>
        </w:rPr>
        <w:t> </w:t>
      </w:r>
      <w:r>
        <w:rPr>
          <w:sz w:val="21"/>
        </w:rPr>
        <w:t>Amendment</w:t>
      </w:r>
      <w:r>
        <w:rPr>
          <w:spacing w:val="12"/>
          <w:sz w:val="21"/>
        </w:rPr>
        <w:t> </w:t>
      </w:r>
      <w:r>
        <w:rPr>
          <w:sz w:val="21"/>
        </w:rPr>
        <w:t>on</w:t>
      </w:r>
      <w:r>
        <w:rPr>
          <w:spacing w:val="13"/>
          <w:sz w:val="21"/>
        </w:rPr>
        <w:t> </w:t>
      </w:r>
      <w:r>
        <w:rPr>
          <w:sz w:val="21"/>
        </w:rPr>
        <w:t>October</w:t>
      </w:r>
      <w:r>
        <w:rPr>
          <w:spacing w:val="13"/>
          <w:sz w:val="21"/>
        </w:rPr>
        <w:t> </w:t>
      </w:r>
      <w:r>
        <w:rPr>
          <w:sz w:val="21"/>
        </w:rPr>
        <w:t>17,</w:t>
      </w:r>
      <w:r>
        <w:rPr>
          <w:spacing w:val="12"/>
          <w:sz w:val="21"/>
        </w:rPr>
        <w:t> </w:t>
      </w:r>
      <w:r>
        <w:rPr>
          <w:spacing w:val="-2"/>
          <w:sz w:val="21"/>
        </w:rPr>
        <w:t>2022.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r>
        <w:rPr/>
        <mc:AlternateContent>
          <mc:Choice Requires="wps">
            <w:drawing>
              <wp:anchor distT="0" distB="0" distL="0" distR="0" allowOverlap="1" layoutInCell="1" locked="0" behindDoc="1" simplePos="0" relativeHeight="487816192">
                <wp:simplePos x="0" y="0"/>
                <wp:positionH relativeFrom="page">
                  <wp:posOffset>231457</wp:posOffset>
                </wp:positionH>
                <wp:positionV relativeFrom="paragraph">
                  <wp:posOffset>287107</wp:posOffset>
                </wp:positionV>
                <wp:extent cx="7312659" cy="17145"/>
                <wp:effectExtent l="0" t="0" r="0" b="0"/>
                <wp:wrapTopAndBottom/>
                <wp:docPr id="1129" name="Group 1129"/>
                <wp:cNvGraphicFramePr>
                  <a:graphicFrameLocks/>
                </wp:cNvGraphicFramePr>
                <a:graphic>
                  <a:graphicData uri="http://schemas.microsoft.com/office/word/2010/wordprocessingGroup">
                    <wpg:wgp>
                      <wpg:cNvPr id="1129" name="Group 1129"/>
                      <wpg:cNvGrpSpPr/>
                      <wpg:grpSpPr>
                        <a:xfrm>
                          <a:off x="0" y="0"/>
                          <a:ext cx="7312659" cy="17145"/>
                          <a:chExt cx="7312659" cy="17145"/>
                        </a:xfrm>
                      </wpg:grpSpPr>
                      <wps:wsp>
                        <wps:cNvPr id="1130" name="Graphic 113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31" name="Graphic 1131"/>
                        <wps:cNvSpPr/>
                        <wps:spPr>
                          <a:xfrm>
                            <a:off x="-12" y="-2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32" name="Graphic 113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2.606903pt;width:575.8pt;height:1.35pt;mso-position-horizontal-relative:page;mso-position-vertical-relative:paragraph;z-index:-15500288;mso-wrap-distance-left:0;mso-wrap-distance-right:0" id="docshapegroup1127" coordorigin="364,452" coordsize="11516,27">
                <v:rect style="position:absolute;left:364;top:452;width:11516;height:14" id="docshape1128" filled="true" fillcolor="#999999" stroked="false">
                  <v:fill type="solid"/>
                </v:rect>
                <v:shape style="position:absolute;left:364;top:452;width:11516;height:27" id="docshape1129" coordorigin="364,452" coordsize="11516,27" path="m11880,452l11866,466,364,466,364,479,11866,479,11880,479,11880,466,11880,452xe" filled="true" fillcolor="#ededed" stroked="false">
                  <v:path arrowok="t"/>
                  <v:fill type="solid"/>
                </v:shape>
                <v:shape style="position:absolute;left:364;top:452;width:14;height:27" id="docshape1130" coordorigin="364,452" coordsize="14,27" path="m364,479l364,452,378,452,378,466,364,479xe" filled="true" fillcolor="#999999" stroked="false">
                  <v:path arrowok="t"/>
                  <v:fill type="solid"/>
                </v:shape>
                <w10:wrap type="topAndBottom"/>
              </v:group>
            </w:pict>
          </mc:Fallback>
        </mc:AlternateContent>
      </w:r>
    </w:p>
    <w:p>
      <w:pPr>
        <w:spacing w:after="0"/>
        <w:rPr>
          <w:sz w:val="20"/>
        </w:rPr>
        <w:sectPr>
          <w:pgSz w:w="12240" w:h="15840"/>
          <w:pgMar w:top="280" w:bottom="280" w:left="220" w:right="240"/>
        </w:sectPr>
      </w:pPr>
    </w:p>
    <w:p>
      <w:pPr>
        <w:pStyle w:val="ListParagraph"/>
        <w:numPr>
          <w:ilvl w:val="0"/>
          <w:numId w:val="56"/>
        </w:numPr>
        <w:tabs>
          <w:tab w:pos="791" w:val="left" w:leader="none"/>
        </w:tabs>
        <w:spacing w:line="240" w:lineRule="auto" w:before="81" w:after="0"/>
        <w:ind w:left="791" w:right="0" w:hanging="323"/>
        <w:jc w:val="left"/>
        <w:rPr>
          <w:sz w:val="21"/>
        </w:rPr>
      </w:pPr>
      <w:r>
        <w:rPr>
          <w:sz w:val="21"/>
          <w:u w:val="single"/>
        </w:rPr>
        <w:t>Effectiveness</w:t>
      </w:r>
      <w:r>
        <w:rPr>
          <w:sz w:val="21"/>
        </w:rPr>
        <w:t>.</w:t>
      </w:r>
      <w:r>
        <w:rPr>
          <w:spacing w:val="7"/>
          <w:sz w:val="21"/>
        </w:rPr>
        <w:t> </w:t>
      </w:r>
      <w:r>
        <w:rPr>
          <w:sz w:val="21"/>
        </w:rPr>
        <w:t>This</w:t>
      </w:r>
      <w:r>
        <w:rPr>
          <w:spacing w:val="12"/>
          <w:sz w:val="21"/>
        </w:rPr>
        <w:t> </w:t>
      </w:r>
      <w:r>
        <w:rPr>
          <w:sz w:val="21"/>
        </w:rPr>
        <w:t>Second</w:t>
      </w:r>
      <w:r>
        <w:rPr>
          <w:spacing w:val="-3"/>
          <w:sz w:val="21"/>
        </w:rPr>
        <w:t> </w:t>
      </w:r>
      <w:r>
        <w:rPr>
          <w:sz w:val="21"/>
        </w:rPr>
        <w:t>Amendment</w:t>
      </w:r>
      <w:r>
        <w:rPr>
          <w:spacing w:val="12"/>
          <w:sz w:val="21"/>
        </w:rPr>
        <w:t> </w:t>
      </w:r>
      <w:r>
        <w:rPr>
          <w:sz w:val="21"/>
        </w:rPr>
        <w:t>shall</w:t>
      </w:r>
      <w:r>
        <w:rPr>
          <w:spacing w:val="12"/>
          <w:sz w:val="21"/>
        </w:rPr>
        <w:t> </w:t>
      </w:r>
      <w:r>
        <w:rPr>
          <w:sz w:val="21"/>
        </w:rPr>
        <w:t>become</w:t>
      </w:r>
      <w:r>
        <w:rPr>
          <w:spacing w:val="12"/>
          <w:sz w:val="21"/>
        </w:rPr>
        <w:t> </w:t>
      </w:r>
      <w:r>
        <w:rPr>
          <w:sz w:val="21"/>
        </w:rPr>
        <w:t>effective</w:t>
      </w:r>
      <w:r>
        <w:rPr>
          <w:spacing w:val="12"/>
          <w:sz w:val="21"/>
        </w:rPr>
        <w:t> </w:t>
      </w:r>
      <w:r>
        <w:rPr>
          <w:sz w:val="21"/>
        </w:rPr>
        <w:t>as</w:t>
      </w:r>
      <w:r>
        <w:rPr>
          <w:spacing w:val="12"/>
          <w:sz w:val="21"/>
        </w:rPr>
        <w:t> </w:t>
      </w:r>
      <w:r>
        <w:rPr>
          <w:sz w:val="21"/>
        </w:rPr>
        <w:t>of</w:t>
      </w:r>
      <w:r>
        <w:rPr>
          <w:spacing w:val="12"/>
          <w:sz w:val="21"/>
        </w:rPr>
        <w:t> </w:t>
      </w:r>
      <w:r>
        <w:rPr>
          <w:sz w:val="21"/>
        </w:rPr>
        <w:t>October</w:t>
      </w:r>
      <w:r>
        <w:rPr>
          <w:spacing w:val="12"/>
          <w:sz w:val="21"/>
        </w:rPr>
        <w:t> </w:t>
      </w:r>
      <w:r>
        <w:rPr>
          <w:sz w:val="21"/>
        </w:rPr>
        <w:t>17,</w:t>
      </w:r>
      <w:r>
        <w:rPr>
          <w:spacing w:val="12"/>
          <w:sz w:val="21"/>
        </w:rPr>
        <w:t> </w:t>
      </w:r>
      <w:r>
        <w:rPr>
          <w:spacing w:val="-2"/>
          <w:sz w:val="21"/>
        </w:rPr>
        <w:t>2022.</w:t>
      </w:r>
    </w:p>
    <w:p>
      <w:pPr>
        <w:spacing w:before="190"/>
        <w:ind w:left="24" w:right="0" w:firstLine="0"/>
        <w:jc w:val="center"/>
        <w:rPr>
          <w:sz w:val="21"/>
        </w:rPr>
      </w:pPr>
      <w:r>
        <w:rPr>
          <w:spacing w:val="-2"/>
          <w:sz w:val="21"/>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2"/>
        <w:rPr>
          <w:sz w:val="20"/>
        </w:rPr>
      </w:pPr>
      <w:r>
        <w:rPr/>
        <mc:AlternateContent>
          <mc:Choice Requires="wps">
            <w:drawing>
              <wp:anchor distT="0" distB="0" distL="0" distR="0" allowOverlap="1" layoutInCell="1" locked="0" behindDoc="1" simplePos="0" relativeHeight="487816704">
                <wp:simplePos x="0" y="0"/>
                <wp:positionH relativeFrom="page">
                  <wp:posOffset>231457</wp:posOffset>
                </wp:positionH>
                <wp:positionV relativeFrom="paragraph">
                  <wp:posOffset>295897</wp:posOffset>
                </wp:positionV>
                <wp:extent cx="7312659" cy="17145"/>
                <wp:effectExtent l="0" t="0" r="0" b="0"/>
                <wp:wrapTopAndBottom/>
                <wp:docPr id="1133" name="Group 1133"/>
                <wp:cNvGraphicFramePr>
                  <a:graphicFrameLocks/>
                </wp:cNvGraphicFramePr>
                <a:graphic>
                  <a:graphicData uri="http://schemas.microsoft.com/office/word/2010/wordprocessingGroup">
                    <wpg:wgp>
                      <wpg:cNvPr id="1133" name="Group 1133"/>
                      <wpg:cNvGrpSpPr/>
                      <wpg:grpSpPr>
                        <a:xfrm>
                          <a:off x="0" y="0"/>
                          <a:ext cx="7312659" cy="17145"/>
                          <a:chExt cx="7312659" cy="17145"/>
                        </a:xfrm>
                      </wpg:grpSpPr>
                      <wps:wsp>
                        <wps:cNvPr id="1134" name="Graphic 113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35" name="Graphic 1135"/>
                        <wps:cNvSpPr/>
                        <wps:spPr>
                          <a:xfrm>
                            <a:off x="-12" y="-2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36" name="Graphic 113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3.299023pt;width:575.8pt;height:1.35pt;mso-position-horizontal-relative:page;mso-position-vertical-relative:paragraph;z-index:-15499776;mso-wrap-distance-left:0;mso-wrap-distance-right:0" id="docshapegroup1131" coordorigin="364,466" coordsize="11516,27">
                <v:rect style="position:absolute;left:364;top:465;width:11516;height:14" id="docshape1132" filled="true" fillcolor="#999999" stroked="false">
                  <v:fill type="solid"/>
                </v:rect>
                <v:shape style="position:absolute;left:364;top:465;width:11516;height:27" id="docshape1133" coordorigin="364,466" coordsize="11516,27" path="m11880,466l11866,479,364,479,364,493,11866,493,11880,493,11880,479,11880,466xe" filled="true" fillcolor="#ededed" stroked="false">
                  <v:path arrowok="t"/>
                  <v:fill type="solid"/>
                </v:shape>
                <v:shape style="position:absolute;left:364;top:465;width:14;height:27" id="docshape1134" coordorigin="364,466" coordsize="14,27" path="m364,493l364,466,378,466,378,479,364,493xe" filled="true" fillcolor="#999999" stroked="false">
                  <v:path arrowok="t"/>
                  <v:fill type="solid"/>
                </v:shape>
                <w10:wrap type="topAndBottom"/>
              </v:group>
            </w:pict>
          </mc:Fallback>
        </mc:AlternateContent>
      </w:r>
    </w:p>
    <w:p>
      <w:pPr>
        <w:spacing w:after="0"/>
        <w:rPr>
          <w:sz w:val="20"/>
        </w:rPr>
        <w:sectPr>
          <w:pgSz w:w="12240" w:h="15840"/>
          <w:pgMar w:top="1640" w:bottom="280" w:left="220" w:right="240"/>
        </w:sectPr>
      </w:pPr>
    </w:p>
    <w:p>
      <w:pPr>
        <w:spacing w:line="254" w:lineRule="auto" w:before="81"/>
        <w:ind w:left="792" w:right="370" w:firstLine="1296"/>
        <w:jc w:val="left"/>
        <w:rPr>
          <w:sz w:val="21"/>
        </w:rPr>
      </w:pPr>
      <w:r>
        <w:rPr>
          <w:sz w:val="21"/>
        </w:rPr>
        <w:t>IN WITNESS WHEREOF, MGM Resorts International has executed this Second</w:t>
      </w:r>
      <w:r>
        <w:rPr>
          <w:spacing w:val="-1"/>
          <w:sz w:val="21"/>
        </w:rPr>
        <w:t> </w:t>
      </w:r>
      <w:r>
        <w:rPr>
          <w:sz w:val="21"/>
        </w:rPr>
        <w:t>Amendment to the Plan on</w:t>
      </w:r>
      <w:r>
        <w:rPr>
          <w:spacing w:val="40"/>
          <w:sz w:val="21"/>
        </w:rPr>
        <w:t> </w:t>
      </w:r>
      <w:r>
        <w:rPr>
          <w:sz w:val="21"/>
        </w:rPr>
        <w:t>this </w:t>
      </w:r>
      <w:r>
        <w:rPr>
          <w:sz w:val="21"/>
          <w:u w:val="single"/>
        </w:rPr>
        <w:t>17</w:t>
      </w:r>
      <w:r>
        <w:rPr>
          <w:sz w:val="21"/>
        </w:rPr>
        <w:t> day of October, 2022.</w:t>
      </w:r>
    </w:p>
    <w:p>
      <w:pPr>
        <w:pStyle w:val="BodyText"/>
        <w:spacing w:before="30"/>
        <w:rPr>
          <w:sz w:val="21"/>
        </w:rPr>
      </w:pPr>
    </w:p>
    <w:p>
      <w:pPr>
        <w:spacing w:before="0"/>
        <w:ind w:left="6224" w:right="0" w:firstLine="0"/>
        <w:jc w:val="left"/>
        <w:rPr>
          <w:sz w:val="21"/>
        </w:rPr>
      </w:pPr>
      <w:r>
        <w:rPr>
          <w:sz w:val="21"/>
        </w:rPr>
        <w:t>MGM</w:t>
      </w:r>
      <w:r>
        <w:rPr>
          <w:spacing w:val="12"/>
          <w:sz w:val="21"/>
        </w:rPr>
        <w:t> </w:t>
      </w:r>
      <w:r>
        <w:rPr>
          <w:sz w:val="21"/>
        </w:rPr>
        <w:t>Resorts</w:t>
      </w:r>
      <w:r>
        <w:rPr>
          <w:spacing w:val="13"/>
          <w:sz w:val="21"/>
        </w:rPr>
        <w:t> </w:t>
      </w:r>
      <w:r>
        <w:rPr>
          <w:spacing w:val="-2"/>
          <w:sz w:val="21"/>
        </w:rPr>
        <w:t>International</w:t>
      </w:r>
    </w:p>
    <w:p>
      <w:pPr>
        <w:pStyle w:val="BodyText"/>
        <w:spacing w:before="126"/>
        <w:rPr>
          <w:sz w:val="20"/>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2"/>
        <w:gridCol w:w="3591"/>
        <w:gridCol w:w="2349"/>
        <w:gridCol w:w="4036"/>
      </w:tblGrid>
      <w:tr>
        <w:trPr>
          <w:trHeight w:val="286" w:hRule="atLeast"/>
        </w:trPr>
        <w:tc>
          <w:tcPr>
            <w:tcW w:w="1362" w:type="dxa"/>
          </w:tcPr>
          <w:p>
            <w:pPr>
              <w:pStyle w:val="TableParagraph"/>
              <w:spacing w:before="10"/>
              <w:ind w:left="50"/>
              <w:rPr>
                <w:sz w:val="21"/>
              </w:rPr>
            </w:pPr>
            <w:r>
              <w:rPr>
                <w:spacing w:val="-2"/>
                <w:sz w:val="21"/>
              </w:rPr>
              <w:t>ATTEST:</w:t>
            </w:r>
          </w:p>
        </w:tc>
        <w:tc>
          <w:tcPr>
            <w:tcW w:w="3591" w:type="dxa"/>
            <w:tcBorders>
              <w:bottom w:val="single" w:sz="6" w:space="0" w:color="000000"/>
            </w:tcBorders>
          </w:tcPr>
          <w:p>
            <w:pPr>
              <w:pStyle w:val="TableParagraph"/>
              <w:spacing w:line="238" w:lineRule="exact" w:before="0"/>
              <w:ind w:left="14"/>
              <w:rPr>
                <w:sz w:val="21"/>
              </w:rPr>
            </w:pPr>
            <w:r>
              <w:rPr>
                <w:sz w:val="21"/>
              </w:rPr>
              <w:t>/s/</w:t>
            </w:r>
            <w:r>
              <w:rPr>
                <w:spacing w:val="1"/>
                <w:sz w:val="21"/>
              </w:rPr>
              <w:t> </w:t>
            </w:r>
            <w:r>
              <w:rPr>
                <w:sz w:val="21"/>
              </w:rPr>
              <w:t>Shawn</w:t>
            </w:r>
            <w:r>
              <w:rPr>
                <w:spacing w:val="-2"/>
                <w:sz w:val="21"/>
              </w:rPr>
              <w:t> </w:t>
            </w:r>
            <w:r>
              <w:rPr>
                <w:sz w:val="21"/>
              </w:rPr>
              <w:t>T.</w:t>
            </w:r>
            <w:r>
              <w:rPr>
                <w:spacing w:val="2"/>
                <w:sz w:val="21"/>
              </w:rPr>
              <w:t> </w:t>
            </w:r>
            <w:r>
              <w:rPr>
                <w:spacing w:val="-4"/>
                <w:sz w:val="21"/>
              </w:rPr>
              <w:t>Sani</w:t>
            </w:r>
          </w:p>
        </w:tc>
        <w:tc>
          <w:tcPr>
            <w:tcW w:w="2349" w:type="dxa"/>
          </w:tcPr>
          <w:p>
            <w:pPr>
              <w:pStyle w:val="TableParagraph"/>
              <w:spacing w:before="10"/>
              <w:ind w:left="1152"/>
              <w:rPr>
                <w:sz w:val="21"/>
              </w:rPr>
            </w:pPr>
            <w:r>
              <w:rPr>
                <w:spacing w:val="-5"/>
                <w:sz w:val="21"/>
              </w:rPr>
              <w:t>By:</w:t>
            </w:r>
          </w:p>
        </w:tc>
        <w:tc>
          <w:tcPr>
            <w:tcW w:w="4036" w:type="dxa"/>
            <w:tcBorders>
              <w:bottom w:val="single" w:sz="6" w:space="0" w:color="000000"/>
            </w:tcBorders>
          </w:tcPr>
          <w:p>
            <w:pPr>
              <w:pStyle w:val="TableParagraph"/>
              <w:spacing w:line="238" w:lineRule="exact" w:before="0"/>
              <w:ind w:left="14"/>
              <w:rPr>
                <w:sz w:val="21"/>
              </w:rPr>
            </w:pPr>
            <w:r>
              <w:rPr>
                <w:sz w:val="21"/>
              </w:rPr>
              <w:t>Shawn</w:t>
            </w:r>
            <w:r>
              <w:rPr>
                <w:spacing w:val="-4"/>
                <w:sz w:val="21"/>
              </w:rPr>
              <w:t> </w:t>
            </w:r>
            <w:r>
              <w:rPr>
                <w:sz w:val="21"/>
              </w:rPr>
              <w:t>T. </w:t>
            </w:r>
            <w:r>
              <w:rPr>
                <w:spacing w:val="-4"/>
                <w:sz w:val="21"/>
              </w:rPr>
              <w:t>Sani</w:t>
            </w:r>
          </w:p>
        </w:tc>
      </w:tr>
      <w:tr>
        <w:trPr>
          <w:trHeight w:val="321" w:hRule="atLeast"/>
        </w:trPr>
        <w:tc>
          <w:tcPr>
            <w:tcW w:w="1362" w:type="dxa"/>
          </w:tcPr>
          <w:p>
            <w:pPr>
              <w:pStyle w:val="TableParagraph"/>
              <w:spacing w:before="0"/>
              <w:rPr>
                <w:sz w:val="20"/>
              </w:rPr>
            </w:pPr>
          </w:p>
        </w:tc>
        <w:tc>
          <w:tcPr>
            <w:tcW w:w="3591" w:type="dxa"/>
            <w:tcBorders>
              <w:top w:val="single" w:sz="6" w:space="0" w:color="000000"/>
            </w:tcBorders>
          </w:tcPr>
          <w:p>
            <w:pPr>
              <w:pStyle w:val="TableParagraph"/>
              <w:spacing w:before="0"/>
              <w:rPr>
                <w:sz w:val="20"/>
              </w:rPr>
            </w:pPr>
          </w:p>
        </w:tc>
        <w:tc>
          <w:tcPr>
            <w:tcW w:w="2349" w:type="dxa"/>
          </w:tcPr>
          <w:p>
            <w:pPr>
              <w:pStyle w:val="TableParagraph"/>
              <w:spacing w:before="46"/>
              <w:ind w:left="1152"/>
              <w:rPr>
                <w:sz w:val="21"/>
              </w:rPr>
            </w:pPr>
            <w:r>
              <w:rPr>
                <w:spacing w:val="-2"/>
                <w:sz w:val="21"/>
              </w:rPr>
              <w:t>Title:</w:t>
            </w:r>
          </w:p>
        </w:tc>
        <w:tc>
          <w:tcPr>
            <w:tcW w:w="4036" w:type="dxa"/>
            <w:tcBorders>
              <w:top w:val="single" w:sz="6" w:space="0" w:color="000000"/>
              <w:bottom w:val="single" w:sz="12" w:space="0" w:color="000000"/>
            </w:tcBorders>
          </w:tcPr>
          <w:p>
            <w:pPr>
              <w:pStyle w:val="TableParagraph"/>
              <w:spacing w:before="32"/>
              <w:ind w:left="14"/>
              <w:rPr>
                <w:sz w:val="21"/>
              </w:rPr>
            </w:pPr>
            <w:r>
              <w:rPr>
                <w:sz w:val="21"/>
              </w:rPr>
              <w:t>Chief</w:t>
            </w:r>
            <w:r>
              <w:rPr>
                <w:spacing w:val="-4"/>
                <w:sz w:val="21"/>
              </w:rPr>
              <w:t> </w:t>
            </w:r>
            <w:r>
              <w:rPr>
                <w:sz w:val="21"/>
              </w:rPr>
              <w:t>Tax</w:t>
            </w:r>
            <w:r>
              <w:rPr>
                <w:spacing w:val="1"/>
                <w:sz w:val="21"/>
              </w:rPr>
              <w:t> </w:t>
            </w:r>
            <w:r>
              <w:rPr>
                <w:spacing w:val="-2"/>
                <w:sz w:val="21"/>
              </w:rPr>
              <w:t>Officer</w:t>
            </w:r>
          </w:p>
        </w:tc>
      </w:tr>
    </w:tbl>
    <w:p>
      <w:pPr>
        <w:spacing w:after="0"/>
        <w:rPr>
          <w:sz w:val="21"/>
        </w:rPr>
        <w:sectPr>
          <w:pgSz w:w="12240" w:h="15840"/>
          <w:pgMar w:top="1680" w:bottom="280" w:left="220" w:right="240"/>
        </w:sectPr>
      </w:pPr>
    </w:p>
    <w:p>
      <w:pPr>
        <w:pStyle w:val="Heading5"/>
        <w:spacing w:before="65"/>
        <w:ind w:left="0" w:right="118"/>
        <w:jc w:val="right"/>
      </w:pPr>
      <w:bookmarkStart w:name="_bookmark40" w:id="41"/>
      <w:bookmarkEnd w:id="41"/>
      <w:r>
        <w:rPr>
          <w:b w:val="0"/>
        </w:rPr>
      </w:r>
      <w:r>
        <w:rPr/>
        <w:t>Exhibit</w:t>
      </w:r>
      <w:r>
        <w:rPr>
          <w:spacing w:val="-1"/>
        </w:rPr>
        <w:t> </w:t>
      </w:r>
      <w:r>
        <w:rPr>
          <w:spacing w:val="-5"/>
        </w:rPr>
        <w:t>21</w:t>
      </w:r>
    </w:p>
    <w:p>
      <w:pPr>
        <w:pStyle w:val="BodyText"/>
        <w:rPr>
          <w:b/>
        </w:rPr>
      </w:pPr>
    </w:p>
    <w:p>
      <w:pPr>
        <w:pStyle w:val="BodyText"/>
        <w:rPr>
          <w:b/>
        </w:rPr>
      </w:pPr>
    </w:p>
    <w:p>
      <w:pPr>
        <w:pStyle w:val="BodyText"/>
        <w:rPr>
          <w:b/>
        </w:rPr>
      </w:pPr>
    </w:p>
    <w:p>
      <w:pPr>
        <w:pStyle w:val="BodyText"/>
        <w:spacing w:before="85"/>
        <w:rPr>
          <w:b/>
        </w:rPr>
      </w:pPr>
    </w:p>
    <w:p>
      <w:pPr>
        <w:spacing w:before="0"/>
        <w:ind w:left="24" w:right="0" w:firstLine="0"/>
        <w:jc w:val="center"/>
        <w:rPr>
          <w:b/>
          <w:sz w:val="18"/>
        </w:rPr>
      </w:pPr>
      <w:r>
        <w:rPr>
          <w:b/>
          <w:sz w:val="18"/>
        </w:rPr>
        <w:t>Subsidiaries</w:t>
      </w:r>
      <w:r>
        <w:rPr>
          <w:b/>
          <w:spacing w:val="-1"/>
          <w:sz w:val="18"/>
        </w:rPr>
        <w:t> </w:t>
      </w:r>
      <w:r>
        <w:rPr>
          <w:b/>
          <w:sz w:val="18"/>
        </w:rPr>
        <w:t>of</w:t>
      </w:r>
      <w:r>
        <w:rPr>
          <w:b/>
          <w:spacing w:val="-1"/>
          <w:sz w:val="18"/>
        </w:rPr>
        <w:t> </w:t>
      </w:r>
      <w:r>
        <w:rPr>
          <w:b/>
          <w:sz w:val="18"/>
        </w:rPr>
        <w:t>MGM</w:t>
      </w:r>
      <w:r>
        <w:rPr>
          <w:b/>
          <w:spacing w:val="-1"/>
          <w:sz w:val="18"/>
        </w:rPr>
        <w:t> </w:t>
      </w:r>
      <w:r>
        <w:rPr>
          <w:b/>
          <w:sz w:val="18"/>
        </w:rPr>
        <w:t>Resorts</w:t>
      </w:r>
      <w:r>
        <w:rPr>
          <w:b/>
          <w:spacing w:val="-1"/>
          <w:sz w:val="18"/>
        </w:rPr>
        <w:t> </w:t>
      </w:r>
      <w:r>
        <w:rPr>
          <w:b/>
          <w:spacing w:val="-2"/>
          <w:sz w:val="18"/>
        </w:rPr>
        <w:t>International</w:t>
      </w:r>
    </w:p>
    <w:p>
      <w:pPr>
        <w:pStyle w:val="BodyText"/>
        <w:spacing w:before="3"/>
        <w:rPr>
          <w:b/>
        </w:rPr>
      </w:pPr>
    </w:p>
    <w:p>
      <w:pPr>
        <w:pStyle w:val="BodyText"/>
        <w:spacing w:line="204" w:lineRule="auto"/>
        <w:ind w:left="144"/>
      </w:pPr>
      <w:r>
        <w:rPr/>
        <w:t>Listed</w:t>
      </w:r>
      <w:r>
        <w:rPr>
          <w:spacing w:val="-2"/>
        </w:rPr>
        <w:t> </w:t>
      </w:r>
      <w:r>
        <w:rPr/>
        <w:t>below</w:t>
      </w:r>
      <w:r>
        <w:rPr>
          <w:spacing w:val="-2"/>
        </w:rPr>
        <w:t> </w:t>
      </w:r>
      <w:r>
        <w:rPr/>
        <w:t>are</w:t>
      </w:r>
      <w:r>
        <w:rPr>
          <w:spacing w:val="-2"/>
        </w:rPr>
        <w:t> </w:t>
      </w:r>
      <w:r>
        <w:rPr/>
        <w:t>the</w:t>
      </w:r>
      <w:r>
        <w:rPr>
          <w:spacing w:val="-2"/>
        </w:rPr>
        <w:t> </w:t>
      </w:r>
      <w:r>
        <w:rPr/>
        <w:t>majority-owned</w:t>
      </w:r>
      <w:r>
        <w:rPr>
          <w:spacing w:val="-2"/>
        </w:rPr>
        <w:t> </w:t>
      </w:r>
      <w:r>
        <w:rPr/>
        <w:t>subsidiaries</w:t>
      </w:r>
      <w:r>
        <w:rPr>
          <w:spacing w:val="-2"/>
        </w:rPr>
        <w:t> </w:t>
      </w:r>
      <w:r>
        <w:rPr/>
        <w:t>of</w:t>
      </w:r>
      <w:r>
        <w:rPr>
          <w:spacing w:val="-2"/>
        </w:rPr>
        <w:t> </w:t>
      </w:r>
      <w:r>
        <w:rPr/>
        <w:t>MGM</w:t>
      </w:r>
      <w:r>
        <w:rPr>
          <w:spacing w:val="-2"/>
        </w:rPr>
        <w:t> </w:t>
      </w:r>
      <w:r>
        <w:rPr/>
        <w:t>Resorts</w:t>
      </w:r>
      <w:r>
        <w:rPr>
          <w:spacing w:val="-2"/>
        </w:rPr>
        <w:t> </w:t>
      </w:r>
      <w:r>
        <w:rPr/>
        <w:t>International</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5"/>
        </w:rPr>
        <w:t> </w:t>
      </w:r>
      <w:r>
        <w:rPr/>
        <w:t>The</w:t>
      </w:r>
      <w:r>
        <w:rPr>
          <w:spacing w:val="-2"/>
        </w:rPr>
        <w:t> </w:t>
      </w:r>
      <w:r>
        <w:rPr/>
        <w:t>names</w:t>
      </w:r>
      <w:r>
        <w:rPr>
          <w:spacing w:val="-2"/>
        </w:rPr>
        <w:t> </w:t>
      </w:r>
      <w:r>
        <w:rPr/>
        <w:t>of</w:t>
      </w:r>
      <w:r>
        <w:rPr>
          <w:spacing w:val="-2"/>
        </w:rPr>
        <w:t> </w:t>
      </w:r>
      <w:r>
        <w:rPr/>
        <w:t>certain</w:t>
      </w:r>
      <w:r>
        <w:rPr>
          <w:spacing w:val="-2"/>
        </w:rPr>
        <w:t> </w:t>
      </w:r>
      <w:r>
        <w:rPr/>
        <w:t>subsidiaries</w:t>
      </w:r>
      <w:r>
        <w:rPr>
          <w:spacing w:val="-2"/>
        </w:rPr>
        <w:t> </w:t>
      </w:r>
      <w:r>
        <w:rPr/>
        <w:t>have</w:t>
      </w:r>
      <w:r>
        <w:rPr>
          <w:spacing w:val="-2"/>
        </w:rPr>
        <w:t> </w:t>
      </w:r>
      <w:r>
        <w:rPr/>
        <w:t>been</w:t>
      </w:r>
      <w:r>
        <w:rPr>
          <w:spacing w:val="-2"/>
        </w:rPr>
        <w:t> </w:t>
      </w:r>
      <w:r>
        <w:rPr/>
        <w:t>omitted because considered in the aggregate as a single subsidiary they would not constitute a significant subsidiary.</w:t>
      </w:r>
    </w:p>
    <w:p>
      <w:pPr>
        <w:pStyle w:val="BodyText"/>
        <w:spacing w:before="7"/>
        <w:rPr>
          <w:sz w:val="19"/>
        </w:rPr>
      </w:pPr>
      <w:r>
        <w:rPr/>
        <mc:AlternateContent>
          <mc:Choice Requires="wps">
            <w:drawing>
              <wp:anchor distT="0" distB="0" distL="0" distR="0" allowOverlap="1" layoutInCell="1" locked="0" behindDoc="1" simplePos="0" relativeHeight="487817216">
                <wp:simplePos x="0" y="0"/>
                <wp:positionH relativeFrom="page">
                  <wp:posOffset>231444</wp:posOffset>
                </wp:positionH>
                <wp:positionV relativeFrom="paragraph">
                  <wp:posOffset>158922</wp:posOffset>
                </wp:positionV>
                <wp:extent cx="6746875" cy="17145"/>
                <wp:effectExtent l="0" t="0" r="0" b="0"/>
                <wp:wrapTopAndBottom/>
                <wp:docPr id="1137" name="Graphic 1137"/>
                <wp:cNvGraphicFramePr>
                  <a:graphicFrameLocks/>
                </wp:cNvGraphicFramePr>
                <a:graphic>
                  <a:graphicData uri="http://schemas.microsoft.com/office/word/2010/wordprocessingShape">
                    <wps:wsp>
                      <wps:cNvPr id="1137" name="Graphic 1137"/>
                      <wps:cNvSpPr/>
                      <wps:spPr>
                        <a:xfrm>
                          <a:off x="0" y="0"/>
                          <a:ext cx="6746875" cy="17145"/>
                        </a:xfrm>
                        <a:custGeom>
                          <a:avLst/>
                          <a:gdLst/>
                          <a:ahLst/>
                          <a:cxnLst/>
                          <a:rect l="l" t="t" r="r" b="b"/>
                          <a:pathLst>
                            <a:path w="6746875" h="17145">
                              <a:moveTo>
                                <a:pt x="6746557" y="0"/>
                              </a:moveTo>
                              <a:lnTo>
                                <a:pt x="6746557" y="0"/>
                              </a:lnTo>
                              <a:lnTo>
                                <a:pt x="0" y="0"/>
                              </a:lnTo>
                              <a:lnTo>
                                <a:pt x="0" y="17145"/>
                              </a:lnTo>
                              <a:lnTo>
                                <a:pt x="6746557" y="17145"/>
                              </a:lnTo>
                              <a:lnTo>
                                <a:pt x="67465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2.513615pt;width:531.225025pt;height:1.35pt;mso-position-horizontal-relative:page;mso-position-vertical-relative:paragraph;z-index:-15499264;mso-wrap-distance-left:0;mso-wrap-distance-right:0" id="docshape1135" filled="true" fillcolor="#000000" stroked="false">
                <v:fill type="solid"/>
                <w10:wrap type="topAndBottom"/>
              </v:rect>
            </w:pict>
          </mc:Fallback>
        </mc:AlternateContent>
      </w:r>
    </w:p>
    <w:p>
      <w:pPr>
        <w:pStyle w:val="BodyText"/>
        <w:tabs>
          <w:tab w:pos="9299" w:val="left" w:leader="none"/>
        </w:tabs>
        <w:spacing w:before="7"/>
        <w:ind w:left="212"/>
      </w:pPr>
      <w:r>
        <w:rPr/>
        <w:t>Beau</w:t>
      </w:r>
      <w:r>
        <w:rPr>
          <w:spacing w:val="-1"/>
        </w:rPr>
        <w:t> </w:t>
      </w:r>
      <w:r>
        <w:rPr/>
        <w:t>Rivage</w:t>
      </w:r>
      <w:r>
        <w:rPr>
          <w:spacing w:val="-1"/>
        </w:rPr>
        <w:t> </w:t>
      </w:r>
      <w:r>
        <w:rPr/>
        <w:t>Resorts,</w:t>
      </w:r>
      <w:r>
        <w:rPr>
          <w:spacing w:val="-1"/>
        </w:rPr>
        <w:t> </w:t>
      </w:r>
      <w:r>
        <w:rPr>
          <w:spacing w:val="-5"/>
        </w:rPr>
        <w:t>LLC</w:t>
      </w:r>
      <w:r>
        <w:rPr/>
        <w:tab/>
      </w:r>
      <w:r>
        <w:rPr>
          <w:spacing w:val="-2"/>
        </w:rPr>
        <w:t>Mississippi</w:t>
      </w:r>
    </w:p>
    <w:p>
      <w:pPr>
        <w:pStyle w:val="BodyText"/>
        <w:tabs>
          <w:tab w:pos="9190" w:val="left" w:leader="none"/>
        </w:tabs>
        <w:spacing w:before="23"/>
        <w:ind w:left="212"/>
      </w:pPr>
      <w:r>
        <w:rPr/>
        <w:t>Blue</w:t>
      </w:r>
      <w:r>
        <w:rPr>
          <w:spacing w:val="-9"/>
        </w:rPr>
        <w:t> </w:t>
      </w:r>
      <w:r>
        <w:rPr/>
        <w:t>Tarp</w:t>
      </w:r>
      <w:r>
        <w:rPr>
          <w:spacing w:val="-5"/>
        </w:rPr>
        <w:t> </w:t>
      </w:r>
      <w:r>
        <w:rPr/>
        <w:t>reDevelopment,</w:t>
      </w:r>
      <w:r>
        <w:rPr>
          <w:spacing w:val="-5"/>
        </w:rPr>
        <w:t> LLC</w:t>
      </w:r>
      <w:r>
        <w:rPr/>
        <w:tab/>
      </w:r>
      <w:r>
        <w:rPr>
          <w:spacing w:val="-2"/>
        </w:rPr>
        <w:t>Massachusetts</w:t>
      </w:r>
    </w:p>
    <w:p>
      <w:pPr>
        <w:pStyle w:val="BodyText"/>
        <w:tabs>
          <w:tab w:pos="9434" w:val="left" w:leader="none"/>
        </w:tabs>
        <w:spacing w:before="22"/>
        <w:ind w:left="212"/>
      </w:pPr>
      <w:r>
        <w:rPr/>
        <w:t>Destron,</w:t>
      </w:r>
      <w:r>
        <w:rPr>
          <w:spacing w:val="-1"/>
        </w:rPr>
        <w:t> </w:t>
      </w:r>
      <w:r>
        <w:rPr>
          <w:spacing w:val="-4"/>
        </w:rPr>
        <w:t>Inc.</w:t>
      </w:r>
      <w:r>
        <w:rPr/>
        <w:tab/>
      </w:r>
      <w:r>
        <w:rPr>
          <w:spacing w:val="-2"/>
        </w:rPr>
        <w:t>Nevada</w:t>
      </w:r>
    </w:p>
    <w:p>
      <w:pPr>
        <w:pStyle w:val="BodyText"/>
        <w:tabs>
          <w:tab w:pos="9304" w:val="left" w:leader="none"/>
        </w:tabs>
        <w:spacing w:before="36"/>
        <w:ind w:left="536"/>
      </w:pPr>
      <w:r>
        <w:rPr/>
        <w:t>Destron</w:t>
      </w:r>
      <w:r>
        <w:rPr>
          <w:spacing w:val="-1"/>
        </w:rPr>
        <w:t> </w:t>
      </w:r>
      <w:r>
        <w:rPr/>
        <w:t>International</w:t>
      </w:r>
      <w:r>
        <w:rPr>
          <w:spacing w:val="-1"/>
        </w:rPr>
        <w:t> </w:t>
      </w:r>
      <w:r>
        <w:rPr>
          <w:spacing w:val="-2"/>
        </w:rPr>
        <w:t>Corp.</w:t>
      </w:r>
      <w:r>
        <w:rPr/>
        <w:tab/>
      </w:r>
      <w:r>
        <w:rPr>
          <w:spacing w:val="-2"/>
        </w:rPr>
        <w:t>Philippines</w:t>
      </w:r>
    </w:p>
    <w:p>
      <w:pPr>
        <w:pStyle w:val="BodyText"/>
        <w:tabs>
          <w:tab w:pos="9344" w:val="left" w:leader="none"/>
        </w:tabs>
        <w:spacing w:before="23"/>
        <w:ind w:left="536"/>
      </w:pPr>
      <w:r>
        <w:rPr/>
        <w:t>MGM</w:t>
      </w:r>
      <w:r>
        <w:rPr>
          <w:spacing w:val="-1"/>
        </w:rPr>
        <w:t> </w:t>
      </w:r>
      <w:r>
        <w:rPr/>
        <w:t>Grand</w:t>
      </w:r>
      <w:r>
        <w:rPr>
          <w:spacing w:val="-1"/>
        </w:rPr>
        <w:t> </w:t>
      </w:r>
      <w:r>
        <w:rPr/>
        <w:t>(International),</w:t>
      </w:r>
      <w:r>
        <w:rPr>
          <w:spacing w:val="-1"/>
        </w:rPr>
        <w:t> </w:t>
      </w:r>
      <w:r>
        <w:rPr/>
        <w:t>Pte</w:t>
      </w:r>
      <w:r>
        <w:rPr>
          <w:spacing w:val="-1"/>
        </w:rPr>
        <w:t> </w:t>
      </w:r>
      <w:r>
        <w:rPr>
          <w:spacing w:val="-4"/>
        </w:rPr>
        <w:t>Ltd.</w:t>
      </w:r>
      <w:r>
        <w:rPr/>
        <w:tab/>
      </w:r>
      <w:r>
        <w:rPr>
          <w:spacing w:val="-2"/>
        </w:rPr>
        <w:t>Singapore</w:t>
      </w:r>
    </w:p>
    <w:p>
      <w:pPr>
        <w:pStyle w:val="BodyText"/>
        <w:tabs>
          <w:tab w:pos="9434" w:val="left" w:leader="none"/>
        </w:tabs>
        <w:spacing w:before="22"/>
        <w:ind w:left="536"/>
      </w:pPr>
      <w:r>
        <w:rPr/>
        <w:t>MGM</w:t>
      </w:r>
      <w:r>
        <w:rPr>
          <w:spacing w:val="-1"/>
        </w:rPr>
        <w:t> </w:t>
      </w:r>
      <w:r>
        <w:rPr/>
        <w:t>Resorts</w:t>
      </w:r>
      <w:r>
        <w:rPr>
          <w:spacing w:val="-1"/>
        </w:rPr>
        <w:t> </w:t>
      </w:r>
      <w:r>
        <w:rPr/>
        <w:t>International</w:t>
      </w:r>
      <w:r>
        <w:rPr>
          <w:spacing w:val="-1"/>
        </w:rPr>
        <w:t> </w:t>
      </w:r>
      <w:r>
        <w:rPr/>
        <w:t>Marketing,</w:t>
      </w:r>
      <w:r>
        <w:rPr>
          <w:spacing w:val="-1"/>
        </w:rPr>
        <w:t> </w:t>
      </w:r>
      <w:r>
        <w:rPr>
          <w:spacing w:val="-4"/>
        </w:rPr>
        <w:t>Inc.</w:t>
      </w:r>
      <w:r>
        <w:rPr/>
        <w:tab/>
      </w:r>
      <w:r>
        <w:rPr>
          <w:spacing w:val="-2"/>
        </w:rPr>
        <w:t>Nevada</w:t>
      </w:r>
    </w:p>
    <w:p>
      <w:pPr>
        <w:pStyle w:val="BodyText"/>
        <w:tabs>
          <w:tab w:pos="9287" w:val="left" w:leader="none"/>
        </w:tabs>
        <w:spacing w:before="36"/>
        <w:ind w:left="536"/>
      </w:pPr>
      <w:r>
        <w:rPr/>
        <w:t>MGM</w:t>
      </w:r>
      <w:r>
        <w:rPr>
          <w:spacing w:val="-1"/>
        </w:rPr>
        <w:t> </w:t>
      </w:r>
      <w:r>
        <w:rPr/>
        <w:t>Resorts</w:t>
      </w:r>
      <w:r>
        <w:rPr>
          <w:spacing w:val="-1"/>
        </w:rPr>
        <w:t> </w:t>
      </w:r>
      <w:r>
        <w:rPr/>
        <w:t>International</w:t>
      </w:r>
      <w:r>
        <w:rPr>
          <w:spacing w:val="-1"/>
        </w:rPr>
        <w:t> </w:t>
      </w:r>
      <w:r>
        <w:rPr/>
        <w:t>Marketing,</w:t>
      </w:r>
      <w:r>
        <w:rPr>
          <w:spacing w:val="-1"/>
        </w:rPr>
        <w:t> </w:t>
      </w:r>
      <w:r>
        <w:rPr>
          <w:spacing w:val="-4"/>
        </w:rPr>
        <w:t>Ltd.</w:t>
      </w:r>
      <w:r>
        <w:rPr/>
        <w:tab/>
        <w:t>Hong</w:t>
      </w:r>
      <w:r>
        <w:rPr>
          <w:spacing w:val="-3"/>
        </w:rPr>
        <w:t> </w:t>
      </w:r>
      <w:r>
        <w:rPr>
          <w:spacing w:val="-4"/>
        </w:rPr>
        <w:t>Kong</w:t>
      </w:r>
    </w:p>
    <w:p>
      <w:pPr>
        <w:pStyle w:val="BodyText"/>
        <w:tabs>
          <w:tab w:pos="9222" w:val="left" w:leader="none"/>
        </w:tabs>
        <w:spacing w:before="23"/>
        <w:ind w:right="1793"/>
        <w:jc w:val="right"/>
      </w:pPr>
      <w:r>
        <w:rPr/>
        <w:t>Grand</w:t>
      </w:r>
      <w:r>
        <w:rPr>
          <w:spacing w:val="-1"/>
        </w:rPr>
        <w:t> </w:t>
      </w:r>
      <w:r>
        <w:rPr/>
        <w:t>Garden</w:t>
      </w:r>
      <w:r>
        <w:rPr>
          <w:spacing w:val="-10"/>
        </w:rPr>
        <w:t> </w:t>
      </w:r>
      <w:r>
        <w:rPr/>
        <w:t>Arena</w:t>
      </w:r>
      <w:r>
        <w:rPr>
          <w:spacing w:val="-1"/>
        </w:rPr>
        <w:t> </w:t>
      </w:r>
      <w:r>
        <w:rPr/>
        <w:t>Management,</w:t>
      </w:r>
      <w:r>
        <w:rPr>
          <w:spacing w:val="-1"/>
        </w:rPr>
        <w:t> </w:t>
      </w:r>
      <w:r>
        <w:rPr>
          <w:spacing w:val="-5"/>
        </w:rPr>
        <w:t>LLC</w:t>
      </w:r>
      <w:r>
        <w:rPr/>
        <w:tab/>
      </w:r>
      <w:r>
        <w:rPr>
          <w:spacing w:val="-2"/>
        </w:rPr>
        <w:t>Nevada</w:t>
      </w:r>
    </w:p>
    <w:p>
      <w:pPr>
        <w:pStyle w:val="BodyText"/>
        <w:tabs>
          <w:tab w:pos="9222" w:val="left" w:leader="none"/>
        </w:tabs>
        <w:spacing w:before="22"/>
        <w:ind w:right="1793"/>
        <w:jc w:val="right"/>
      </w:pPr>
      <w:r>
        <w:rPr/>
        <w:t>Grand</w:t>
      </w:r>
      <w:r>
        <w:rPr>
          <w:spacing w:val="-7"/>
        </w:rPr>
        <w:t> </w:t>
      </w:r>
      <w:r>
        <w:rPr/>
        <w:t>Laundry,</w:t>
      </w:r>
      <w:r>
        <w:rPr>
          <w:spacing w:val="-7"/>
        </w:rPr>
        <w:t> </w:t>
      </w:r>
      <w:r>
        <w:rPr>
          <w:spacing w:val="-4"/>
        </w:rPr>
        <w:t>Inc.</w:t>
      </w:r>
      <w:r>
        <w:rPr/>
        <w:tab/>
      </w:r>
      <w:r>
        <w:rPr>
          <w:spacing w:val="-2"/>
        </w:rPr>
        <w:t>Nevada</w:t>
      </w:r>
    </w:p>
    <w:p>
      <w:pPr>
        <w:pStyle w:val="BodyText"/>
        <w:tabs>
          <w:tab w:pos="9222" w:val="left" w:leader="none"/>
        </w:tabs>
        <w:spacing w:before="36"/>
        <w:ind w:right="1793"/>
        <w:jc w:val="right"/>
      </w:pPr>
      <w:r>
        <w:rPr/>
        <w:t>Las</w:t>
      </w:r>
      <w:r>
        <w:rPr>
          <w:spacing w:val="-12"/>
        </w:rPr>
        <w:t> </w:t>
      </w:r>
      <w:r>
        <w:rPr/>
        <w:t>Vegas</w:t>
      </w:r>
      <w:r>
        <w:rPr>
          <w:spacing w:val="-11"/>
        </w:rPr>
        <w:t> </w:t>
      </w:r>
      <w:r>
        <w:rPr/>
        <w:t>Arena</w:t>
      </w:r>
      <w:r>
        <w:rPr>
          <w:spacing w:val="-7"/>
        </w:rPr>
        <w:t> </w:t>
      </w:r>
      <w:r>
        <w:rPr/>
        <w:t>Management,</w:t>
      </w:r>
      <w:r>
        <w:rPr>
          <w:spacing w:val="-6"/>
        </w:rPr>
        <w:t> </w:t>
      </w:r>
      <w:r>
        <w:rPr>
          <w:spacing w:val="-5"/>
        </w:rPr>
        <w:t>LLC</w:t>
      </w:r>
      <w:r>
        <w:rPr/>
        <w:tab/>
      </w:r>
      <w:r>
        <w:rPr>
          <w:spacing w:val="-2"/>
        </w:rPr>
        <w:t>Nevada</w:t>
      </w:r>
    </w:p>
    <w:p>
      <w:pPr>
        <w:pStyle w:val="BodyText"/>
        <w:tabs>
          <w:tab w:pos="9222" w:val="left" w:leader="none"/>
        </w:tabs>
        <w:spacing w:before="23"/>
        <w:ind w:right="1793"/>
        <w:jc w:val="right"/>
      </w:pPr>
      <w:r>
        <w:rPr/>
        <w:t>Mandalay</w:t>
      </w:r>
      <w:r>
        <w:rPr>
          <w:spacing w:val="-1"/>
        </w:rPr>
        <w:t> </w:t>
      </w:r>
      <w:r>
        <w:rPr/>
        <w:t>Resort</w:t>
      </w:r>
      <w:r>
        <w:rPr>
          <w:spacing w:val="-1"/>
        </w:rPr>
        <w:t> </w:t>
      </w:r>
      <w:r>
        <w:rPr/>
        <w:t>Group,</w:t>
      </w:r>
      <w:r>
        <w:rPr>
          <w:spacing w:val="-1"/>
        </w:rPr>
        <w:t> </w:t>
      </w:r>
      <w:r>
        <w:rPr>
          <w:spacing w:val="-5"/>
        </w:rPr>
        <w:t>LLC</w:t>
      </w:r>
      <w:r>
        <w:rPr/>
        <w:tab/>
      </w:r>
      <w:r>
        <w:rPr>
          <w:spacing w:val="-2"/>
        </w:rPr>
        <w:t>Nevada</w:t>
      </w:r>
    </w:p>
    <w:p>
      <w:pPr>
        <w:pStyle w:val="BodyText"/>
        <w:tabs>
          <w:tab w:pos="8898" w:val="left" w:leader="none"/>
        </w:tabs>
        <w:spacing w:before="22"/>
        <w:ind w:right="1793"/>
        <w:jc w:val="right"/>
      </w:pPr>
      <w:r>
        <w:rPr/>
        <w:t>550</w:t>
      </w:r>
      <w:r>
        <w:rPr>
          <w:spacing w:val="-1"/>
        </w:rPr>
        <w:t> </w:t>
      </w:r>
      <w:r>
        <w:rPr/>
        <w:t>Leasing</w:t>
      </w:r>
      <w:r>
        <w:rPr>
          <w:spacing w:val="-1"/>
        </w:rPr>
        <w:t> </w:t>
      </w:r>
      <w:r>
        <w:rPr/>
        <w:t>Company</w:t>
      </w:r>
      <w:r>
        <w:rPr>
          <w:spacing w:val="-1"/>
        </w:rPr>
        <w:t> </w:t>
      </w:r>
      <w:r>
        <w:rPr/>
        <w:t>II,</w:t>
      </w:r>
      <w:r>
        <w:rPr>
          <w:spacing w:val="-1"/>
        </w:rPr>
        <w:t> </w:t>
      </w:r>
      <w:r>
        <w:rPr>
          <w:spacing w:val="-5"/>
        </w:rPr>
        <w:t>LLC</w:t>
      </w:r>
      <w:r>
        <w:rPr/>
        <w:tab/>
      </w:r>
      <w:r>
        <w:rPr>
          <w:spacing w:val="-2"/>
        </w:rPr>
        <w:t>Nevada</w:t>
      </w:r>
    </w:p>
    <w:p>
      <w:pPr>
        <w:pStyle w:val="BodyText"/>
        <w:tabs>
          <w:tab w:pos="8898" w:val="left" w:leader="none"/>
        </w:tabs>
        <w:spacing w:before="36"/>
        <w:ind w:right="1793"/>
        <w:jc w:val="right"/>
      </w:pPr>
      <w:r>
        <w:rPr/>
        <w:t>Circus</w:t>
      </w:r>
      <w:r>
        <w:rPr>
          <w:spacing w:val="-1"/>
        </w:rPr>
        <w:t> </w:t>
      </w:r>
      <w:r>
        <w:rPr/>
        <w:t>Circus</w:t>
      </w:r>
      <w:r>
        <w:rPr>
          <w:spacing w:val="-1"/>
        </w:rPr>
        <w:t> </w:t>
      </w:r>
      <w:r>
        <w:rPr/>
        <w:t>Casinos,</w:t>
      </w:r>
      <w:r>
        <w:rPr>
          <w:spacing w:val="-1"/>
        </w:rPr>
        <w:t> </w:t>
      </w:r>
      <w:r>
        <w:rPr>
          <w:spacing w:val="-4"/>
        </w:rPr>
        <w:t>Inc.</w:t>
      </w:r>
      <w:r>
        <w:rPr/>
        <w:tab/>
      </w:r>
      <w:r>
        <w:rPr>
          <w:spacing w:val="-2"/>
        </w:rPr>
        <w:t>Nevada</w:t>
      </w:r>
    </w:p>
    <w:p>
      <w:pPr>
        <w:pStyle w:val="BodyText"/>
        <w:tabs>
          <w:tab w:pos="8898" w:val="left" w:leader="none"/>
        </w:tabs>
        <w:spacing w:before="23"/>
        <w:ind w:right="1793"/>
        <w:jc w:val="right"/>
      </w:pPr>
      <w:r>
        <w:rPr/>
        <w:t>Circus</w:t>
      </w:r>
      <w:r>
        <w:rPr>
          <w:spacing w:val="-1"/>
        </w:rPr>
        <w:t> </w:t>
      </w:r>
      <w:r>
        <w:rPr/>
        <w:t>Circus</w:t>
      </w:r>
      <w:r>
        <w:rPr>
          <w:spacing w:val="-1"/>
        </w:rPr>
        <w:t> </w:t>
      </w:r>
      <w:r>
        <w:rPr/>
        <w:t>Holdings,</w:t>
      </w:r>
      <w:r>
        <w:rPr>
          <w:spacing w:val="-1"/>
        </w:rPr>
        <w:t> </w:t>
      </w:r>
      <w:r>
        <w:rPr>
          <w:spacing w:val="-4"/>
        </w:rPr>
        <w:t>Inc.</w:t>
      </w:r>
      <w:r>
        <w:rPr/>
        <w:tab/>
      </w:r>
      <w:r>
        <w:rPr>
          <w:spacing w:val="-2"/>
        </w:rPr>
        <w:t>Nevada</w:t>
      </w:r>
    </w:p>
    <w:p>
      <w:pPr>
        <w:pStyle w:val="BodyText"/>
        <w:tabs>
          <w:tab w:pos="8574" w:val="left" w:leader="none"/>
        </w:tabs>
        <w:spacing w:before="22"/>
        <w:ind w:right="1793"/>
        <w:jc w:val="right"/>
      </w:pPr>
      <w:r>
        <w:rPr/>
        <w:t>Vintage</w:t>
      </w:r>
      <w:r>
        <w:rPr>
          <w:spacing w:val="-5"/>
        </w:rPr>
        <w:t> </w:t>
      </w:r>
      <w:r>
        <w:rPr/>
        <w:t>Land</w:t>
      </w:r>
      <w:r>
        <w:rPr>
          <w:spacing w:val="-5"/>
        </w:rPr>
        <w:t> </w:t>
      </w:r>
      <w:r>
        <w:rPr/>
        <w:t>Holdings,</w:t>
      </w:r>
      <w:r>
        <w:rPr>
          <w:spacing w:val="-4"/>
        </w:rPr>
        <w:t> </w:t>
      </w:r>
      <w:r>
        <w:rPr>
          <w:spacing w:val="-5"/>
        </w:rPr>
        <w:t>LLC</w:t>
      </w:r>
      <w:r>
        <w:rPr/>
        <w:tab/>
      </w:r>
      <w:r>
        <w:rPr>
          <w:spacing w:val="-2"/>
        </w:rPr>
        <w:t>Nevada</w:t>
      </w:r>
    </w:p>
    <w:p>
      <w:pPr>
        <w:pStyle w:val="BodyText"/>
        <w:tabs>
          <w:tab w:pos="8898" w:val="left" w:leader="none"/>
        </w:tabs>
        <w:spacing w:before="36"/>
        <w:ind w:right="1793"/>
        <w:jc w:val="right"/>
      </w:pPr>
      <w:r>
        <w:rPr/>
        <w:t>Mandalay</w:t>
      </w:r>
      <w:r>
        <w:rPr>
          <w:spacing w:val="-7"/>
        </w:rPr>
        <w:t> </w:t>
      </w:r>
      <w:r>
        <w:rPr/>
        <w:t>Bay,</w:t>
      </w:r>
      <w:r>
        <w:rPr>
          <w:spacing w:val="-7"/>
        </w:rPr>
        <w:t> </w:t>
      </w:r>
      <w:r>
        <w:rPr>
          <w:spacing w:val="-5"/>
        </w:rPr>
        <w:t>LLC</w:t>
      </w:r>
      <w:r>
        <w:rPr/>
        <w:tab/>
      </w:r>
      <w:r>
        <w:rPr>
          <w:spacing w:val="-2"/>
        </w:rPr>
        <w:t>Nevada</w:t>
      </w:r>
    </w:p>
    <w:p>
      <w:pPr>
        <w:pStyle w:val="BodyText"/>
        <w:tabs>
          <w:tab w:pos="8898" w:val="left" w:leader="none"/>
        </w:tabs>
        <w:spacing w:before="23"/>
        <w:ind w:right="1793"/>
        <w:jc w:val="right"/>
      </w:pPr>
      <w:r>
        <w:rPr/>
        <w:t>Mandalay</w:t>
      </w:r>
      <w:r>
        <w:rPr>
          <w:spacing w:val="-1"/>
        </w:rPr>
        <w:t> </w:t>
      </w:r>
      <w:r>
        <w:rPr/>
        <w:t>Employment,</w:t>
      </w:r>
      <w:r>
        <w:rPr>
          <w:spacing w:val="-1"/>
        </w:rPr>
        <w:t> </w:t>
      </w:r>
      <w:r>
        <w:rPr>
          <w:spacing w:val="-5"/>
        </w:rPr>
        <w:t>LLC</w:t>
      </w:r>
      <w:r>
        <w:rPr/>
        <w:tab/>
      </w:r>
      <w:r>
        <w:rPr>
          <w:spacing w:val="-2"/>
        </w:rPr>
        <w:t>Nevada</w:t>
      </w:r>
    </w:p>
    <w:p>
      <w:pPr>
        <w:pStyle w:val="BodyText"/>
        <w:tabs>
          <w:tab w:pos="8898" w:val="left" w:leader="none"/>
        </w:tabs>
        <w:spacing w:before="22"/>
        <w:ind w:right="1793"/>
        <w:jc w:val="right"/>
      </w:pPr>
      <w:r>
        <w:rPr/>
        <w:t>Mandalay</w:t>
      </w:r>
      <w:r>
        <w:rPr>
          <w:spacing w:val="-1"/>
        </w:rPr>
        <w:t> </w:t>
      </w:r>
      <w:r>
        <w:rPr/>
        <w:t>Place</w:t>
      </w:r>
      <w:r>
        <w:rPr>
          <w:spacing w:val="-1"/>
        </w:rPr>
        <w:t> </w:t>
      </w:r>
      <w:r>
        <w:rPr>
          <w:spacing w:val="-5"/>
        </w:rPr>
        <w:t>LLC</w:t>
      </w:r>
      <w:r>
        <w:rPr/>
        <w:tab/>
      </w:r>
      <w:r>
        <w:rPr>
          <w:spacing w:val="-2"/>
        </w:rPr>
        <w:t>Nevada</w:t>
      </w:r>
    </w:p>
    <w:p>
      <w:pPr>
        <w:pStyle w:val="BodyText"/>
        <w:tabs>
          <w:tab w:pos="8898" w:val="left" w:leader="none"/>
        </w:tabs>
        <w:spacing w:before="36"/>
        <w:ind w:right="1793"/>
        <w:jc w:val="right"/>
      </w:pPr>
      <w:r>
        <w:rPr/>
        <w:t>MGM</w:t>
      </w:r>
      <w:r>
        <w:rPr>
          <w:spacing w:val="-1"/>
        </w:rPr>
        <w:t> </w:t>
      </w:r>
      <w:r>
        <w:rPr/>
        <w:t>Resorts</w:t>
      </w:r>
      <w:r>
        <w:rPr>
          <w:spacing w:val="-1"/>
        </w:rPr>
        <w:t> </w:t>
      </w:r>
      <w:r>
        <w:rPr/>
        <w:t>Festival</w:t>
      </w:r>
      <w:r>
        <w:rPr>
          <w:spacing w:val="-1"/>
        </w:rPr>
        <w:t> </w:t>
      </w:r>
      <w:r>
        <w:rPr/>
        <w:t>Grounds,</w:t>
      </w:r>
      <w:r>
        <w:rPr>
          <w:spacing w:val="-1"/>
        </w:rPr>
        <w:t> </w:t>
      </w:r>
      <w:r>
        <w:rPr>
          <w:spacing w:val="-5"/>
        </w:rPr>
        <w:t>LLC</w:t>
      </w:r>
      <w:r>
        <w:rPr/>
        <w:tab/>
      </w:r>
      <w:r>
        <w:rPr>
          <w:spacing w:val="-2"/>
        </w:rPr>
        <w:t>Nevada</w:t>
      </w:r>
    </w:p>
    <w:p>
      <w:pPr>
        <w:pStyle w:val="BodyText"/>
        <w:tabs>
          <w:tab w:pos="8898" w:val="left" w:leader="none"/>
        </w:tabs>
        <w:spacing w:before="23"/>
        <w:ind w:right="1793"/>
        <w:jc w:val="right"/>
      </w:pPr>
      <w:r>
        <w:rPr/>
        <w:t>MGM</w:t>
      </w:r>
      <w:r>
        <w:rPr>
          <w:spacing w:val="-1"/>
        </w:rPr>
        <w:t> </w:t>
      </w:r>
      <w:r>
        <w:rPr/>
        <w:t>Resorts</w:t>
      </w:r>
      <w:r>
        <w:rPr>
          <w:spacing w:val="-1"/>
        </w:rPr>
        <w:t> </w:t>
      </w:r>
      <w:r>
        <w:rPr/>
        <w:t>Festival</w:t>
      </w:r>
      <w:r>
        <w:rPr>
          <w:spacing w:val="-1"/>
        </w:rPr>
        <w:t> </w:t>
      </w:r>
      <w:r>
        <w:rPr/>
        <w:t>Grounds</w:t>
      </w:r>
      <w:r>
        <w:rPr>
          <w:spacing w:val="-1"/>
        </w:rPr>
        <w:t> </w:t>
      </w:r>
      <w:r>
        <w:rPr/>
        <w:t>II,</w:t>
      </w:r>
      <w:r>
        <w:rPr>
          <w:spacing w:val="-1"/>
        </w:rPr>
        <w:t> </w:t>
      </w:r>
      <w:r>
        <w:rPr>
          <w:spacing w:val="-5"/>
        </w:rPr>
        <w:t>LLC</w:t>
      </w:r>
      <w:r>
        <w:rPr/>
        <w:tab/>
      </w:r>
      <w:r>
        <w:rPr>
          <w:spacing w:val="-2"/>
        </w:rPr>
        <w:t>Nevada</w:t>
      </w:r>
    </w:p>
    <w:p>
      <w:pPr>
        <w:pStyle w:val="BodyText"/>
        <w:tabs>
          <w:tab w:pos="9299" w:val="left" w:leader="none"/>
        </w:tabs>
        <w:spacing w:before="22"/>
        <w:ind w:left="536"/>
      </w:pPr>
      <w:r>
        <w:rPr/>
        <w:t>MGM</w:t>
      </w:r>
      <w:r>
        <w:rPr>
          <w:spacing w:val="-1"/>
        </w:rPr>
        <w:t> </w:t>
      </w:r>
      <w:r>
        <w:rPr/>
        <w:t>Resorts</w:t>
      </w:r>
      <w:r>
        <w:rPr>
          <w:spacing w:val="-1"/>
        </w:rPr>
        <w:t> </w:t>
      </w:r>
      <w:r>
        <w:rPr/>
        <w:t>Mississippi,</w:t>
      </w:r>
      <w:r>
        <w:rPr>
          <w:spacing w:val="-1"/>
        </w:rPr>
        <w:t> </w:t>
      </w:r>
      <w:r>
        <w:rPr>
          <w:spacing w:val="-5"/>
        </w:rPr>
        <w:t>LLC</w:t>
      </w:r>
      <w:r>
        <w:rPr/>
        <w:tab/>
      </w:r>
      <w:r>
        <w:rPr>
          <w:spacing w:val="-2"/>
        </w:rPr>
        <w:t>Mississippi</w:t>
      </w:r>
    </w:p>
    <w:p>
      <w:pPr>
        <w:pStyle w:val="BodyText"/>
        <w:tabs>
          <w:tab w:pos="8898" w:val="left" w:leader="none"/>
        </w:tabs>
        <w:spacing w:before="36"/>
        <w:ind w:right="1793"/>
        <w:jc w:val="right"/>
      </w:pPr>
      <w:r>
        <w:rPr/>
        <w:t>New</w:t>
      </w:r>
      <w:r>
        <w:rPr>
          <w:spacing w:val="-1"/>
        </w:rPr>
        <w:t> </w:t>
      </w:r>
      <w:r>
        <w:rPr/>
        <w:t>Castle,</w:t>
      </w:r>
      <w:r>
        <w:rPr>
          <w:spacing w:val="-1"/>
        </w:rPr>
        <w:t> </w:t>
      </w:r>
      <w:r>
        <w:rPr>
          <w:spacing w:val="-5"/>
        </w:rPr>
        <w:t>LLC</w:t>
      </w:r>
      <w:r>
        <w:rPr/>
        <w:tab/>
      </w:r>
      <w:r>
        <w:rPr>
          <w:spacing w:val="-2"/>
        </w:rPr>
        <w:t>Nevada</w:t>
      </w:r>
    </w:p>
    <w:p>
      <w:pPr>
        <w:pStyle w:val="BodyText"/>
        <w:tabs>
          <w:tab w:pos="8993" w:val="left" w:leader="none"/>
        </w:tabs>
        <w:spacing w:before="23"/>
        <w:ind w:right="1888"/>
        <w:jc w:val="right"/>
      </w:pPr>
      <w:r>
        <w:rPr/>
        <w:t>Northfield</w:t>
      </w:r>
      <w:r>
        <w:rPr>
          <w:spacing w:val="-1"/>
        </w:rPr>
        <w:t> </w:t>
      </w:r>
      <w:r>
        <w:rPr/>
        <w:t>Park</w:t>
      </w:r>
      <w:r>
        <w:rPr>
          <w:spacing w:val="-10"/>
        </w:rPr>
        <w:t> </w:t>
      </w:r>
      <w:r>
        <w:rPr/>
        <w:t>Associates</w:t>
      </w:r>
      <w:r>
        <w:rPr>
          <w:spacing w:val="-1"/>
        </w:rPr>
        <w:t> </w:t>
      </w:r>
      <w:r>
        <w:rPr>
          <w:spacing w:val="-5"/>
        </w:rPr>
        <w:t>LLC</w:t>
      </w:r>
      <w:r>
        <w:rPr/>
        <w:tab/>
      </w:r>
      <w:r>
        <w:rPr>
          <w:spacing w:val="-4"/>
        </w:rPr>
        <w:t>Ohio</w:t>
      </w:r>
    </w:p>
    <w:p>
      <w:pPr>
        <w:pStyle w:val="BodyText"/>
        <w:tabs>
          <w:tab w:pos="8669" w:val="left" w:leader="none"/>
        </w:tabs>
        <w:spacing w:before="22"/>
        <w:ind w:right="1888"/>
        <w:jc w:val="right"/>
      </w:pPr>
      <w:r>
        <w:rPr/>
        <w:t>Cedar</w:t>
      </w:r>
      <w:r>
        <w:rPr>
          <w:spacing w:val="-1"/>
        </w:rPr>
        <w:t> </w:t>
      </w:r>
      <w:r>
        <w:rPr/>
        <w:t>Downs</w:t>
      </w:r>
      <w:r>
        <w:rPr>
          <w:spacing w:val="-1"/>
        </w:rPr>
        <w:t> </w:t>
      </w:r>
      <w:r>
        <w:rPr/>
        <w:t>OTB,</w:t>
      </w:r>
      <w:r>
        <w:rPr>
          <w:spacing w:val="-1"/>
        </w:rPr>
        <w:t> </w:t>
      </w:r>
      <w:r>
        <w:rPr>
          <w:spacing w:val="-5"/>
        </w:rPr>
        <w:t>LLC</w:t>
      </w:r>
      <w:r>
        <w:rPr/>
        <w:tab/>
      </w:r>
      <w:r>
        <w:rPr>
          <w:spacing w:val="-4"/>
        </w:rPr>
        <w:t>Ohio</w:t>
      </w:r>
    </w:p>
    <w:p>
      <w:pPr>
        <w:pStyle w:val="BodyText"/>
        <w:tabs>
          <w:tab w:pos="8898" w:val="left" w:leader="none"/>
        </w:tabs>
        <w:spacing w:before="36"/>
        <w:ind w:right="1793"/>
        <w:jc w:val="right"/>
      </w:pPr>
      <w:r>
        <w:rPr/>
        <w:t>Park</w:t>
      </w:r>
      <w:r>
        <w:rPr>
          <w:spacing w:val="-3"/>
        </w:rPr>
        <w:t> </w:t>
      </w:r>
      <w:r>
        <w:rPr/>
        <w:t>MGM,</w:t>
      </w:r>
      <w:r>
        <w:rPr>
          <w:spacing w:val="-3"/>
        </w:rPr>
        <w:t> </w:t>
      </w:r>
      <w:r>
        <w:rPr/>
        <w:t>LLC</w:t>
      </w:r>
      <w:r>
        <w:rPr>
          <w:spacing w:val="-3"/>
        </w:rPr>
        <w:t> </w:t>
      </w:r>
      <w:r>
        <w:rPr/>
        <w:t>(f/k/a</w:t>
      </w:r>
      <w:r>
        <w:rPr>
          <w:spacing w:val="-6"/>
        </w:rPr>
        <w:t> </w:t>
      </w:r>
      <w:r>
        <w:rPr/>
        <w:t>Victoria</w:t>
      </w:r>
      <w:r>
        <w:rPr>
          <w:spacing w:val="-3"/>
        </w:rPr>
        <w:t> </w:t>
      </w:r>
      <w:r>
        <w:rPr/>
        <w:t>Partners,</w:t>
      </w:r>
      <w:r>
        <w:rPr>
          <w:spacing w:val="-2"/>
        </w:rPr>
        <w:t> </w:t>
      </w:r>
      <w:r>
        <w:rPr>
          <w:spacing w:val="-4"/>
        </w:rPr>
        <w:t>LLC)</w:t>
      </w:r>
      <w:r>
        <w:rPr/>
        <w:tab/>
      </w:r>
      <w:r>
        <w:rPr>
          <w:spacing w:val="-2"/>
        </w:rPr>
        <w:t>Nevada</w:t>
      </w:r>
    </w:p>
    <w:p>
      <w:pPr>
        <w:pStyle w:val="BodyText"/>
        <w:tabs>
          <w:tab w:pos="8574" w:val="left" w:leader="none"/>
        </w:tabs>
        <w:spacing w:before="23"/>
        <w:ind w:right="1793"/>
        <w:jc w:val="right"/>
      </w:pPr>
      <w:r>
        <w:rPr/>
        <w:t>Arena</w:t>
      </w:r>
      <w:r>
        <w:rPr>
          <w:spacing w:val="-1"/>
        </w:rPr>
        <w:t> </w:t>
      </w:r>
      <w:r>
        <w:rPr/>
        <w:t>Land</w:t>
      </w:r>
      <w:r>
        <w:rPr>
          <w:spacing w:val="-1"/>
        </w:rPr>
        <w:t> </w:t>
      </w:r>
      <w:r>
        <w:rPr/>
        <w:t>Holdings,</w:t>
      </w:r>
      <w:r>
        <w:rPr>
          <w:spacing w:val="-1"/>
        </w:rPr>
        <w:t> </w:t>
      </w:r>
      <w:r>
        <w:rPr>
          <w:spacing w:val="-5"/>
        </w:rPr>
        <w:t>LLC</w:t>
      </w:r>
      <w:r>
        <w:rPr/>
        <w:tab/>
      </w:r>
      <w:r>
        <w:rPr>
          <w:spacing w:val="-2"/>
        </w:rPr>
        <w:t>Nevada</w:t>
      </w:r>
    </w:p>
    <w:p>
      <w:pPr>
        <w:pStyle w:val="BodyText"/>
        <w:tabs>
          <w:tab w:pos="8574" w:val="left" w:leader="none"/>
        </w:tabs>
        <w:spacing w:before="23"/>
        <w:ind w:right="1793"/>
        <w:jc w:val="right"/>
      </w:pPr>
      <w:r>
        <w:rPr>
          <w:spacing w:val="-2"/>
        </w:rPr>
        <w:t>New</w:t>
      </w:r>
      <w:r>
        <w:rPr>
          <w:spacing w:val="-10"/>
        </w:rPr>
        <w:t> </w:t>
      </w:r>
      <w:r>
        <w:rPr>
          <w:spacing w:val="-2"/>
        </w:rPr>
        <w:t>York-New</w:t>
      </w:r>
      <w:r>
        <w:rPr>
          <w:spacing w:val="-9"/>
        </w:rPr>
        <w:t> </w:t>
      </w:r>
      <w:r>
        <w:rPr>
          <w:spacing w:val="-2"/>
        </w:rPr>
        <w:t>York</w:t>
      </w:r>
      <w:r>
        <w:rPr>
          <w:spacing w:val="-9"/>
        </w:rPr>
        <w:t> </w:t>
      </w:r>
      <w:r>
        <w:rPr>
          <w:spacing w:val="-2"/>
        </w:rPr>
        <w:t>Tower,</w:t>
      </w:r>
      <w:r>
        <w:rPr>
          <w:spacing w:val="-8"/>
        </w:rPr>
        <w:t> </w:t>
      </w:r>
      <w:r>
        <w:rPr>
          <w:spacing w:val="-5"/>
        </w:rPr>
        <w:t>LLC</w:t>
      </w:r>
      <w:r>
        <w:rPr/>
        <w:tab/>
      </w:r>
      <w:r>
        <w:rPr>
          <w:spacing w:val="-2"/>
        </w:rPr>
        <w:t>Nevada</w:t>
      </w:r>
    </w:p>
    <w:p>
      <w:pPr>
        <w:pStyle w:val="BodyText"/>
        <w:tabs>
          <w:tab w:pos="8574" w:val="left" w:leader="none"/>
        </w:tabs>
        <w:spacing w:before="36"/>
        <w:ind w:right="1793"/>
        <w:jc w:val="right"/>
      </w:pPr>
      <w:r>
        <w:rPr/>
        <w:t>Park</w:t>
      </w:r>
      <w:r>
        <w:rPr>
          <w:spacing w:val="-1"/>
        </w:rPr>
        <w:t> </w:t>
      </w:r>
      <w:r>
        <w:rPr/>
        <w:t>District</w:t>
      </w:r>
      <w:r>
        <w:rPr>
          <w:spacing w:val="-1"/>
        </w:rPr>
        <w:t> </w:t>
      </w:r>
      <w:r>
        <w:rPr/>
        <w:t>Holdings,</w:t>
      </w:r>
      <w:r>
        <w:rPr>
          <w:spacing w:val="-1"/>
        </w:rPr>
        <w:t> </w:t>
      </w:r>
      <w:r>
        <w:rPr>
          <w:spacing w:val="-5"/>
        </w:rPr>
        <w:t>LLC</w:t>
      </w:r>
      <w:r>
        <w:rPr/>
        <w:tab/>
      </w:r>
      <w:r>
        <w:rPr>
          <w:spacing w:val="-2"/>
        </w:rPr>
        <w:t>Nevada</w:t>
      </w:r>
    </w:p>
    <w:p>
      <w:pPr>
        <w:pStyle w:val="BodyText"/>
        <w:tabs>
          <w:tab w:pos="8898" w:val="left" w:leader="none"/>
        </w:tabs>
        <w:spacing w:before="22"/>
        <w:ind w:right="1793"/>
        <w:jc w:val="right"/>
      </w:pPr>
      <w:r>
        <w:rPr/>
        <w:t>Ramparts,</w:t>
      </w:r>
      <w:r>
        <w:rPr>
          <w:spacing w:val="-1"/>
        </w:rPr>
        <w:t> </w:t>
      </w:r>
      <w:r>
        <w:rPr>
          <w:spacing w:val="-5"/>
        </w:rPr>
        <w:t>LLC</w:t>
      </w:r>
      <w:r>
        <w:rPr/>
        <w:tab/>
      </w:r>
      <w:r>
        <w:rPr>
          <w:spacing w:val="-2"/>
        </w:rPr>
        <w:t>Nevada</w:t>
      </w:r>
    </w:p>
    <w:p>
      <w:pPr>
        <w:pStyle w:val="BodyText"/>
        <w:tabs>
          <w:tab w:pos="9222" w:val="left" w:leader="none"/>
        </w:tabs>
        <w:spacing w:before="23"/>
        <w:ind w:right="1793"/>
        <w:jc w:val="right"/>
      </w:pPr>
      <w:r>
        <w:rPr/>
        <w:t>Metropolitan</w:t>
      </w:r>
      <w:r>
        <w:rPr>
          <w:spacing w:val="-1"/>
        </w:rPr>
        <w:t> </w:t>
      </w:r>
      <w:r>
        <w:rPr/>
        <w:t>Marketing,</w:t>
      </w:r>
      <w:r>
        <w:rPr>
          <w:spacing w:val="-1"/>
        </w:rPr>
        <w:t> </w:t>
      </w:r>
      <w:r>
        <w:rPr>
          <w:spacing w:val="-5"/>
        </w:rPr>
        <w:t>LLC</w:t>
      </w:r>
      <w:r>
        <w:rPr/>
        <w:tab/>
      </w:r>
      <w:r>
        <w:rPr>
          <w:spacing w:val="-2"/>
        </w:rPr>
        <w:t>Nevada</w:t>
      </w:r>
    </w:p>
    <w:p>
      <w:pPr>
        <w:pStyle w:val="BodyText"/>
        <w:tabs>
          <w:tab w:pos="8808" w:val="left" w:leader="none"/>
        </w:tabs>
        <w:spacing w:before="36"/>
        <w:ind w:right="1703"/>
        <w:jc w:val="right"/>
      </w:pPr>
      <w:r>
        <w:rPr/>
        <w:t>MMNY</w:t>
      </w:r>
      <w:r>
        <w:rPr>
          <w:spacing w:val="-11"/>
        </w:rPr>
        <w:t> </w:t>
      </w:r>
      <w:r>
        <w:rPr/>
        <w:t>Land</w:t>
      </w:r>
      <w:r>
        <w:rPr>
          <w:spacing w:val="-5"/>
        </w:rPr>
        <w:t> </w:t>
      </w:r>
      <w:r>
        <w:rPr/>
        <w:t>Company,</w:t>
      </w:r>
      <w:r>
        <w:rPr>
          <w:spacing w:val="-5"/>
        </w:rPr>
        <w:t> </w:t>
      </w:r>
      <w:r>
        <w:rPr>
          <w:spacing w:val="-4"/>
        </w:rPr>
        <w:t>Inc.</w:t>
      </w:r>
      <w:r>
        <w:rPr/>
        <w:tab/>
        <w:t>New</w:t>
      </w:r>
      <w:r>
        <w:rPr>
          <w:spacing w:val="-9"/>
        </w:rPr>
        <w:t> </w:t>
      </w:r>
      <w:r>
        <w:rPr>
          <w:spacing w:val="-4"/>
        </w:rPr>
        <w:t>York</w:t>
      </w:r>
    </w:p>
    <w:p>
      <w:pPr>
        <w:pStyle w:val="BodyText"/>
        <w:tabs>
          <w:tab w:pos="9222" w:val="left" w:leader="none"/>
        </w:tabs>
        <w:spacing w:before="22"/>
        <w:ind w:right="1793"/>
        <w:jc w:val="right"/>
      </w:pPr>
      <w:r>
        <w:rPr/>
        <w:t>MGM</w:t>
      </w:r>
      <w:r>
        <w:rPr>
          <w:spacing w:val="-1"/>
        </w:rPr>
        <w:t> </w:t>
      </w:r>
      <w:r>
        <w:rPr/>
        <w:t>CEE</w:t>
      </w:r>
      <w:r>
        <w:rPr>
          <w:spacing w:val="-1"/>
        </w:rPr>
        <w:t> </w:t>
      </w:r>
      <w:r>
        <w:rPr/>
        <w:t>Holdco,</w:t>
      </w:r>
      <w:r>
        <w:rPr>
          <w:spacing w:val="-1"/>
        </w:rPr>
        <w:t> </w:t>
      </w:r>
      <w:r>
        <w:rPr>
          <w:spacing w:val="-5"/>
        </w:rPr>
        <w:t>LLC</w:t>
      </w:r>
      <w:r>
        <w:rPr/>
        <w:tab/>
      </w:r>
      <w:r>
        <w:rPr>
          <w:spacing w:val="-2"/>
        </w:rPr>
        <w:t>Nevada</w:t>
      </w:r>
    </w:p>
    <w:p>
      <w:pPr>
        <w:pStyle w:val="BodyText"/>
        <w:tabs>
          <w:tab w:pos="8898" w:val="left" w:leader="none"/>
        </w:tabs>
        <w:spacing w:before="23"/>
        <w:ind w:right="1793"/>
        <w:jc w:val="right"/>
      </w:pPr>
      <w:r>
        <w:rPr/>
        <w:t>MGM</w:t>
      </w:r>
      <w:r>
        <w:rPr>
          <w:spacing w:val="-1"/>
        </w:rPr>
        <w:t> </w:t>
      </w:r>
      <w:r>
        <w:rPr/>
        <w:t>CEE,</w:t>
      </w:r>
      <w:r>
        <w:rPr>
          <w:spacing w:val="-1"/>
        </w:rPr>
        <w:t> </w:t>
      </w:r>
      <w:r>
        <w:rPr>
          <w:spacing w:val="-5"/>
        </w:rPr>
        <w:t>LLC</w:t>
      </w:r>
      <w:r>
        <w:rPr/>
        <w:tab/>
      </w:r>
      <w:r>
        <w:rPr>
          <w:spacing w:val="-2"/>
        </w:rPr>
        <w:t>Nevada</w:t>
      </w:r>
    </w:p>
    <w:p>
      <w:pPr>
        <w:pStyle w:val="BodyText"/>
        <w:tabs>
          <w:tab w:pos="8574" w:val="left" w:leader="none"/>
        </w:tabs>
        <w:spacing w:before="36"/>
        <w:ind w:right="1793"/>
        <w:jc w:val="right"/>
      </w:pPr>
      <w:r>
        <w:rPr/>
        <w:t>MGM</w:t>
      </w:r>
      <w:r>
        <w:rPr>
          <w:spacing w:val="-1"/>
        </w:rPr>
        <w:t> </w:t>
      </w:r>
      <w:r>
        <w:rPr/>
        <w:t>Games</w:t>
      </w:r>
      <w:r>
        <w:rPr>
          <w:spacing w:val="-1"/>
        </w:rPr>
        <w:t> </w:t>
      </w:r>
      <w:r>
        <w:rPr/>
        <w:t>and</w:t>
      </w:r>
      <w:r>
        <w:rPr>
          <w:spacing w:val="-1"/>
        </w:rPr>
        <w:t> </w:t>
      </w:r>
      <w:r>
        <w:rPr>
          <w:spacing w:val="-2"/>
        </w:rPr>
        <w:t>Metaverse</w:t>
      </w:r>
      <w:r>
        <w:rPr/>
        <w:tab/>
      </w:r>
      <w:r>
        <w:rPr>
          <w:spacing w:val="-2"/>
        </w:rPr>
        <w:t>Nevada</w:t>
      </w:r>
    </w:p>
    <w:p>
      <w:pPr>
        <w:pStyle w:val="BodyText"/>
        <w:tabs>
          <w:tab w:pos="8574" w:val="left" w:leader="none"/>
        </w:tabs>
        <w:spacing w:before="22"/>
        <w:ind w:right="1793"/>
        <w:jc w:val="right"/>
      </w:pPr>
      <w:r>
        <w:rPr/>
        <w:t>MGM</w:t>
      </w:r>
      <w:r>
        <w:rPr>
          <w:spacing w:val="-1"/>
        </w:rPr>
        <w:t> </w:t>
      </w:r>
      <w:r>
        <w:rPr/>
        <w:t>Revolution,</w:t>
      </w:r>
      <w:r>
        <w:rPr>
          <w:spacing w:val="-1"/>
        </w:rPr>
        <w:t> </w:t>
      </w:r>
      <w:r>
        <w:rPr>
          <w:spacing w:val="-5"/>
        </w:rPr>
        <w:t>LLC</w:t>
      </w:r>
      <w:r>
        <w:rPr/>
        <w:tab/>
      </w:r>
      <w:r>
        <w:rPr>
          <w:spacing w:val="-2"/>
        </w:rPr>
        <w:t>Nevada</w:t>
      </w:r>
    </w:p>
    <w:p>
      <w:pPr>
        <w:pStyle w:val="BodyText"/>
        <w:tabs>
          <w:tab w:pos="8574" w:val="left" w:leader="none"/>
        </w:tabs>
        <w:spacing w:before="23"/>
        <w:ind w:right="1793"/>
        <w:jc w:val="right"/>
      </w:pPr>
      <w:r>
        <w:rPr/>
        <w:t>MGM</w:t>
      </w:r>
      <w:r>
        <w:rPr>
          <w:spacing w:val="-1"/>
        </w:rPr>
        <w:t> </w:t>
      </w:r>
      <w:r>
        <w:rPr/>
        <w:t>Casino</w:t>
      </w:r>
      <w:r>
        <w:rPr>
          <w:spacing w:val="-1"/>
        </w:rPr>
        <w:t> </w:t>
      </w:r>
      <w:r>
        <w:rPr/>
        <w:t>Next,</w:t>
      </w:r>
      <w:r>
        <w:rPr>
          <w:spacing w:val="-1"/>
        </w:rPr>
        <w:t> </w:t>
      </w:r>
      <w:r>
        <w:rPr>
          <w:spacing w:val="-5"/>
        </w:rPr>
        <w:t>LLC</w:t>
      </w:r>
      <w:r>
        <w:rPr/>
        <w:tab/>
      </w:r>
      <w:r>
        <w:rPr>
          <w:spacing w:val="-2"/>
        </w:rPr>
        <w:t>Nevada</w:t>
      </w:r>
    </w:p>
    <w:p>
      <w:pPr>
        <w:pStyle w:val="BodyText"/>
        <w:tabs>
          <w:tab w:pos="8250" w:val="left" w:leader="none"/>
        </w:tabs>
        <w:spacing w:before="36"/>
        <w:ind w:right="1793"/>
        <w:jc w:val="right"/>
      </w:pPr>
      <w:r>
        <w:rPr/>
        <w:t>MGM</w:t>
      </w:r>
      <w:r>
        <w:rPr>
          <w:spacing w:val="-1"/>
        </w:rPr>
        <w:t> </w:t>
      </w:r>
      <w:r>
        <w:rPr/>
        <w:t>Casino</w:t>
      </w:r>
      <w:r>
        <w:rPr>
          <w:spacing w:val="-1"/>
        </w:rPr>
        <w:t> </w:t>
      </w:r>
      <w:r>
        <w:rPr/>
        <w:t>Next</w:t>
      </w:r>
      <w:r>
        <w:rPr>
          <w:spacing w:val="-1"/>
        </w:rPr>
        <w:t> </w:t>
      </w:r>
      <w:r>
        <w:rPr/>
        <w:t>Lion,</w:t>
      </w:r>
      <w:r>
        <w:rPr>
          <w:spacing w:val="-1"/>
        </w:rPr>
        <w:t> </w:t>
      </w:r>
      <w:r>
        <w:rPr>
          <w:spacing w:val="-5"/>
        </w:rPr>
        <w:t>LLC</w:t>
      </w:r>
      <w:r>
        <w:rPr/>
        <w:tab/>
      </w:r>
      <w:r>
        <w:rPr>
          <w:spacing w:val="-2"/>
        </w:rPr>
        <w:t>Nevada</w:t>
      </w:r>
    </w:p>
    <w:p>
      <w:pPr>
        <w:pStyle w:val="BodyText"/>
        <w:tabs>
          <w:tab w:pos="7916" w:val="left" w:leader="none"/>
        </w:tabs>
        <w:spacing w:before="22"/>
        <w:ind w:right="1783"/>
        <w:jc w:val="right"/>
      </w:pPr>
      <w:r>
        <w:rPr>
          <w:spacing w:val="-2"/>
        </w:rPr>
        <w:t>LeoVegas</w:t>
      </w:r>
      <w:r>
        <w:rPr>
          <w:spacing w:val="-7"/>
        </w:rPr>
        <w:t> </w:t>
      </w:r>
      <w:r>
        <w:rPr>
          <w:spacing w:val="-4"/>
        </w:rPr>
        <w:t>(AB)</w:t>
      </w:r>
      <w:r>
        <w:rPr/>
        <w:tab/>
      </w:r>
      <w:r>
        <w:rPr>
          <w:spacing w:val="-2"/>
        </w:rPr>
        <w:t>Sweden</w:t>
      </w:r>
    </w:p>
    <w:p>
      <w:pPr>
        <w:pStyle w:val="BodyText"/>
        <w:tabs>
          <w:tab w:pos="7592" w:val="left" w:leader="none"/>
        </w:tabs>
        <w:spacing w:before="23"/>
        <w:ind w:right="1783"/>
        <w:jc w:val="right"/>
      </w:pPr>
      <w:r>
        <w:rPr>
          <w:spacing w:val="-2"/>
        </w:rPr>
        <w:t>LeoVegas</w:t>
      </w:r>
      <w:r>
        <w:rPr>
          <w:spacing w:val="4"/>
        </w:rPr>
        <w:t> </w:t>
      </w:r>
      <w:r>
        <w:rPr>
          <w:spacing w:val="-2"/>
        </w:rPr>
        <w:t>Holding</w:t>
      </w:r>
      <w:r>
        <w:rPr>
          <w:spacing w:val="-5"/>
        </w:rPr>
        <w:t> AB</w:t>
      </w:r>
      <w:r>
        <w:rPr/>
        <w:tab/>
      </w:r>
      <w:r>
        <w:rPr>
          <w:spacing w:val="-2"/>
        </w:rPr>
        <w:t>Sweden</w:t>
      </w:r>
    </w:p>
    <w:p>
      <w:pPr>
        <w:pStyle w:val="BodyText"/>
        <w:tabs>
          <w:tab w:pos="7667" w:val="left" w:leader="none"/>
        </w:tabs>
        <w:spacing w:before="22"/>
        <w:ind w:right="1858"/>
        <w:jc w:val="right"/>
      </w:pPr>
      <w:r>
        <w:rPr/>
        <w:t>LeoVegas</w:t>
      </w:r>
      <w:r>
        <w:rPr>
          <w:spacing w:val="-11"/>
        </w:rPr>
        <w:t> </w:t>
      </w:r>
      <w:r>
        <w:rPr/>
        <w:t>International</w:t>
      </w:r>
      <w:r>
        <w:rPr>
          <w:spacing w:val="-11"/>
        </w:rPr>
        <w:t> </w:t>
      </w:r>
      <w:r>
        <w:rPr>
          <w:spacing w:val="-4"/>
        </w:rPr>
        <w:t>Ltd.</w:t>
      </w:r>
      <w:r>
        <w:rPr/>
        <w:tab/>
      </w:r>
      <w:r>
        <w:rPr>
          <w:spacing w:val="-2"/>
        </w:rPr>
        <w:t>Malta</w:t>
      </w:r>
    </w:p>
    <w:p>
      <w:pPr>
        <w:pStyle w:val="BodyText"/>
        <w:tabs>
          <w:tab w:pos="7343" w:val="left" w:leader="none"/>
        </w:tabs>
        <w:spacing w:before="36"/>
        <w:ind w:right="1858"/>
        <w:jc w:val="right"/>
      </w:pPr>
      <w:r>
        <w:rPr/>
        <w:t>Cloudy</w:t>
      </w:r>
      <w:r>
        <w:rPr>
          <w:spacing w:val="-1"/>
        </w:rPr>
        <w:t> </w:t>
      </w:r>
      <w:r>
        <w:rPr/>
        <w:t>Hills</w:t>
      </w:r>
      <w:r>
        <w:rPr>
          <w:spacing w:val="-1"/>
        </w:rPr>
        <w:t> </w:t>
      </w:r>
      <w:r>
        <w:rPr>
          <w:spacing w:val="-2"/>
        </w:rPr>
        <w:t>Limited</w:t>
      </w:r>
      <w:r>
        <w:rPr/>
        <w:tab/>
      </w:r>
      <w:r>
        <w:rPr>
          <w:spacing w:val="-2"/>
        </w:rPr>
        <w:t>Malta</w:t>
      </w:r>
    </w:p>
    <w:p>
      <w:pPr>
        <w:pStyle w:val="BodyText"/>
        <w:tabs>
          <w:tab w:pos="7343" w:val="left" w:leader="none"/>
        </w:tabs>
        <w:spacing w:before="23"/>
        <w:ind w:right="1858"/>
        <w:jc w:val="right"/>
      </w:pPr>
      <w:r>
        <w:rPr/>
        <w:t>Expekt</w:t>
      </w:r>
      <w:r>
        <w:rPr>
          <w:spacing w:val="-1"/>
        </w:rPr>
        <w:t> </w:t>
      </w:r>
      <w:r>
        <w:rPr/>
        <w:t>Nordics</w:t>
      </w:r>
      <w:r>
        <w:rPr>
          <w:spacing w:val="-1"/>
        </w:rPr>
        <w:t> </w:t>
      </w:r>
      <w:r>
        <w:rPr>
          <w:spacing w:val="-4"/>
        </w:rPr>
        <w:t>Ltd.</w:t>
      </w:r>
      <w:r>
        <w:rPr/>
        <w:tab/>
      </w:r>
      <w:r>
        <w:rPr>
          <w:spacing w:val="-2"/>
        </w:rPr>
        <w:t>Malta</w:t>
      </w:r>
    </w:p>
    <w:p>
      <w:pPr>
        <w:pStyle w:val="BodyText"/>
        <w:tabs>
          <w:tab w:pos="7228" w:val="left" w:leader="none"/>
        </w:tabs>
        <w:spacing w:before="22"/>
        <w:ind w:right="1743"/>
        <w:jc w:val="right"/>
      </w:pPr>
      <w:r>
        <w:rPr/>
        <w:t>GameTech</w:t>
      </w:r>
      <w:r>
        <w:rPr>
          <w:spacing w:val="-8"/>
        </w:rPr>
        <w:t> </w:t>
      </w:r>
      <w:r>
        <w:rPr/>
        <w:t>Marketing</w:t>
      </w:r>
      <w:r>
        <w:rPr>
          <w:spacing w:val="-7"/>
        </w:rPr>
        <w:t> </w:t>
      </w:r>
      <w:r>
        <w:rPr>
          <w:spacing w:val="-2"/>
        </w:rPr>
        <w:t>Limited</w:t>
      </w:r>
      <w:r>
        <w:rPr/>
        <w:tab/>
      </w:r>
      <w:r>
        <w:rPr>
          <w:spacing w:val="-2"/>
        </w:rPr>
        <w:t>Gibraltar</w:t>
      </w:r>
    </w:p>
    <w:p>
      <w:pPr>
        <w:pStyle w:val="BodyText"/>
        <w:tabs>
          <w:tab w:pos="7639" w:val="left" w:leader="none"/>
        </w:tabs>
        <w:spacing w:before="36"/>
        <w:ind w:left="295"/>
        <w:jc w:val="center"/>
      </w:pPr>
      <w:r>
        <w:rPr/>
        <w:t>Gaming</w:t>
      </w:r>
      <w:r>
        <w:rPr>
          <w:spacing w:val="-1"/>
        </w:rPr>
        <w:t> </w:t>
      </w:r>
      <w:r>
        <w:rPr/>
        <w:t>Momentum</w:t>
      </w:r>
      <w:r>
        <w:rPr>
          <w:spacing w:val="-1"/>
        </w:rPr>
        <w:t> </w:t>
      </w:r>
      <w:r>
        <w:rPr>
          <w:spacing w:val="-4"/>
        </w:rPr>
        <w:t>Ltd.</w:t>
      </w:r>
      <w:r>
        <w:rPr/>
        <w:tab/>
      </w:r>
      <w:r>
        <w:rPr>
          <w:spacing w:val="-4"/>
        </w:rPr>
        <w:t>Malta</w:t>
      </w:r>
    </w:p>
    <w:p>
      <w:pPr>
        <w:pStyle w:val="BodyText"/>
        <w:rPr>
          <w:sz w:val="20"/>
        </w:rPr>
      </w:pP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817728">
                <wp:simplePos x="0" y="0"/>
                <wp:positionH relativeFrom="page">
                  <wp:posOffset>231457</wp:posOffset>
                </wp:positionH>
                <wp:positionV relativeFrom="paragraph">
                  <wp:posOffset>197472</wp:posOffset>
                </wp:positionV>
                <wp:extent cx="7312659" cy="17145"/>
                <wp:effectExtent l="0" t="0" r="0" b="0"/>
                <wp:wrapTopAndBottom/>
                <wp:docPr id="1138" name="Group 1138"/>
                <wp:cNvGraphicFramePr>
                  <a:graphicFrameLocks/>
                </wp:cNvGraphicFramePr>
                <a:graphic>
                  <a:graphicData uri="http://schemas.microsoft.com/office/word/2010/wordprocessingGroup">
                    <wpg:wgp>
                      <wpg:cNvPr id="1138" name="Group 1138"/>
                      <wpg:cNvGrpSpPr/>
                      <wpg:grpSpPr>
                        <a:xfrm>
                          <a:off x="0" y="0"/>
                          <a:ext cx="7312659" cy="17145"/>
                          <a:chExt cx="7312659" cy="17145"/>
                        </a:xfrm>
                      </wpg:grpSpPr>
                      <wps:wsp>
                        <wps:cNvPr id="1139" name="Graphic 113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40" name="Graphic 1140"/>
                        <wps:cNvSpPr/>
                        <wps:spPr>
                          <a:xfrm>
                            <a:off x="-12" y="-2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41" name="Graphic 114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549024pt;width:575.8pt;height:1.35pt;mso-position-horizontal-relative:page;mso-position-vertical-relative:paragraph;z-index:-15498752;mso-wrap-distance-left:0;mso-wrap-distance-right:0" id="docshapegroup1136" coordorigin="364,311" coordsize="11516,27">
                <v:rect style="position:absolute;left:364;top:310;width:11516;height:14" id="docshape1137" filled="true" fillcolor="#999999" stroked="false">
                  <v:fill type="solid"/>
                </v:rect>
                <v:shape style="position:absolute;left:364;top:310;width:11516;height:27" id="docshape1138" coordorigin="364,311" coordsize="11516,27" path="m11880,311l11866,324,364,324,364,338,11866,338,11880,338,11880,324,11880,311xe" filled="true" fillcolor="#ededed" stroked="false">
                  <v:path arrowok="t"/>
                  <v:fill type="solid"/>
                </v:shape>
                <v:shape style="position:absolute;left:364;top:310;width:14;height:27" id="docshape1139" coordorigin="364,311" coordsize="14,27" path="m364,338l364,311,378,311,378,324,364,338xe" filled="true" fillcolor="#999999" stroked="false">
                  <v:path arrowok="t"/>
                  <v:fill type="solid"/>
                </v:shape>
                <w10:wrap type="topAndBottom"/>
              </v:group>
            </w:pict>
          </mc:Fallback>
        </mc:AlternateContent>
      </w:r>
    </w:p>
    <w:p>
      <w:pPr>
        <w:spacing w:after="0"/>
        <w:rPr>
          <w:sz w:val="20"/>
        </w:rPr>
        <w:sectPr>
          <w:pgSz w:w="12240" w:h="15840"/>
          <w:pgMar w:top="280" w:bottom="280" w:left="220" w:right="240"/>
        </w:sectPr>
      </w:pPr>
    </w:p>
    <w:p>
      <w:pPr>
        <w:pStyle w:val="BodyText"/>
        <w:tabs>
          <w:tab w:pos="7344" w:val="left" w:leader="none"/>
        </w:tabs>
        <w:spacing w:before="80"/>
        <w:ind w:right="1857"/>
        <w:jc w:val="right"/>
      </w:pPr>
      <w:r>
        <w:rPr/>
        <w:t>Gazelle</w:t>
      </w:r>
      <w:r>
        <w:rPr>
          <w:spacing w:val="-1"/>
        </w:rPr>
        <w:t> </w:t>
      </w:r>
      <w:r>
        <w:rPr/>
        <w:t>Co.</w:t>
      </w:r>
      <w:r>
        <w:rPr>
          <w:spacing w:val="-1"/>
        </w:rPr>
        <w:t> </w:t>
      </w:r>
      <w:r>
        <w:rPr>
          <w:spacing w:val="-2"/>
        </w:rPr>
        <w:t>Limited</w:t>
      </w:r>
      <w:r>
        <w:rPr/>
        <w:tab/>
      </w:r>
      <w:r>
        <w:rPr>
          <w:spacing w:val="-4"/>
        </w:rPr>
        <w:t>Malta</w:t>
      </w:r>
    </w:p>
    <w:p>
      <w:pPr>
        <w:pStyle w:val="BodyText"/>
        <w:tabs>
          <w:tab w:pos="7269" w:val="left" w:leader="none"/>
        </w:tabs>
        <w:spacing w:before="23"/>
        <w:ind w:right="1782"/>
        <w:jc w:val="right"/>
      </w:pPr>
      <w:r>
        <w:rPr/>
        <w:t>Gears</w:t>
      </w:r>
      <w:r>
        <w:rPr>
          <w:spacing w:val="-1"/>
        </w:rPr>
        <w:t> </w:t>
      </w:r>
      <w:r>
        <w:rPr/>
        <w:t>of</w:t>
      </w:r>
      <w:r>
        <w:rPr>
          <w:spacing w:val="-1"/>
        </w:rPr>
        <w:t> </w:t>
      </w:r>
      <w:r>
        <w:rPr/>
        <w:t>Leo</w:t>
      </w:r>
      <w:r>
        <w:rPr>
          <w:spacing w:val="-10"/>
        </w:rPr>
        <w:t> </w:t>
      </w:r>
      <w:r>
        <w:rPr>
          <w:spacing w:val="-5"/>
        </w:rPr>
        <w:t>AB</w:t>
      </w:r>
      <w:r>
        <w:rPr/>
        <w:tab/>
      </w:r>
      <w:r>
        <w:rPr>
          <w:spacing w:val="-2"/>
        </w:rPr>
        <w:t>Sweden</w:t>
      </w:r>
    </w:p>
    <w:p>
      <w:pPr>
        <w:pStyle w:val="BodyText"/>
        <w:tabs>
          <w:tab w:pos="6980" w:val="left" w:leader="none"/>
        </w:tabs>
        <w:spacing w:before="36"/>
        <w:ind w:right="1817"/>
        <w:jc w:val="right"/>
      </w:pPr>
      <w:r>
        <w:rPr/>
        <w:t>LeoVegas</w:t>
      </w:r>
      <w:r>
        <w:rPr>
          <w:spacing w:val="-11"/>
        </w:rPr>
        <w:t> </w:t>
      </w:r>
      <w:r>
        <w:rPr/>
        <w:t>Polska</w:t>
      </w:r>
      <w:r>
        <w:rPr>
          <w:spacing w:val="-11"/>
        </w:rPr>
        <w:t> </w:t>
      </w:r>
      <w:r>
        <w:rPr>
          <w:spacing w:val="-2"/>
        </w:rPr>
        <w:t>sp.zo.o</w:t>
      </w:r>
      <w:r>
        <w:rPr/>
        <w:tab/>
      </w:r>
      <w:r>
        <w:rPr>
          <w:spacing w:val="-2"/>
        </w:rPr>
        <w:t>Poland</w:t>
      </w:r>
    </w:p>
    <w:p>
      <w:pPr>
        <w:pStyle w:val="BodyText"/>
        <w:tabs>
          <w:tab w:pos="7024" w:val="left" w:leader="none"/>
        </w:tabs>
        <w:spacing w:before="22"/>
        <w:ind w:right="1862"/>
        <w:jc w:val="right"/>
      </w:pPr>
      <w:r>
        <w:rPr/>
        <w:t>LeoVegas</w:t>
      </w:r>
      <w:r>
        <w:rPr>
          <w:spacing w:val="-11"/>
        </w:rPr>
        <w:t> </w:t>
      </w:r>
      <w:r>
        <w:rPr/>
        <w:t>Spain</w:t>
      </w:r>
      <w:r>
        <w:rPr>
          <w:spacing w:val="-11"/>
        </w:rPr>
        <w:t> </w:t>
      </w:r>
      <w:r>
        <w:rPr>
          <w:spacing w:val="-4"/>
        </w:rPr>
        <w:t>S.L.</w:t>
      </w:r>
      <w:r>
        <w:rPr/>
        <w:tab/>
      </w:r>
      <w:r>
        <w:rPr>
          <w:spacing w:val="-4"/>
        </w:rPr>
        <w:t>Spain</w:t>
      </w:r>
    </w:p>
    <w:p>
      <w:pPr>
        <w:pStyle w:val="BodyText"/>
        <w:tabs>
          <w:tab w:pos="7344" w:val="left" w:leader="none"/>
        </w:tabs>
        <w:spacing w:before="23"/>
        <w:ind w:right="1857"/>
        <w:jc w:val="right"/>
      </w:pPr>
      <w:r>
        <w:rPr/>
        <w:t>Green</w:t>
      </w:r>
      <w:r>
        <w:rPr>
          <w:spacing w:val="-1"/>
        </w:rPr>
        <w:t> </w:t>
      </w:r>
      <w:r>
        <w:rPr/>
        <w:t>Backyard</w:t>
      </w:r>
      <w:r>
        <w:rPr>
          <w:spacing w:val="-1"/>
        </w:rPr>
        <w:t> </w:t>
      </w:r>
      <w:r>
        <w:rPr>
          <w:spacing w:val="-2"/>
        </w:rPr>
        <w:t>Limited</w:t>
      </w:r>
      <w:r>
        <w:rPr/>
        <w:tab/>
      </w:r>
      <w:r>
        <w:rPr>
          <w:spacing w:val="-4"/>
        </w:rPr>
        <w:t>Malta</w:t>
      </w:r>
    </w:p>
    <w:p>
      <w:pPr>
        <w:pStyle w:val="BodyText"/>
        <w:tabs>
          <w:tab w:pos="9102" w:val="left" w:leader="none"/>
        </w:tabs>
        <w:spacing w:before="36"/>
        <w:ind w:left="2156"/>
      </w:pPr>
      <w:r>
        <w:rPr/>
        <w:t>LeoVegas</w:t>
      </w:r>
      <w:r>
        <w:rPr>
          <w:spacing w:val="-11"/>
        </w:rPr>
        <w:t> </w:t>
      </w:r>
      <w:r>
        <w:rPr/>
        <w:t>UK</w:t>
      </w:r>
      <w:r>
        <w:rPr>
          <w:spacing w:val="-11"/>
        </w:rPr>
        <w:t> </w:t>
      </w:r>
      <w:r>
        <w:rPr>
          <w:spacing w:val="-4"/>
        </w:rPr>
        <w:t>Ltd.</w:t>
      </w:r>
      <w:r>
        <w:rPr/>
        <w:tab/>
        <w:t>United</w:t>
      </w:r>
      <w:r>
        <w:rPr>
          <w:spacing w:val="-1"/>
        </w:rPr>
        <w:t> </w:t>
      </w:r>
      <w:r>
        <w:rPr>
          <w:spacing w:val="-2"/>
        </w:rPr>
        <w:t>Kingdom</w:t>
      </w:r>
    </w:p>
    <w:p>
      <w:pPr>
        <w:pStyle w:val="BodyText"/>
        <w:tabs>
          <w:tab w:pos="9365" w:val="left" w:leader="none"/>
        </w:tabs>
        <w:spacing w:before="22"/>
        <w:ind w:left="2156"/>
      </w:pPr>
      <w:r>
        <w:rPr/>
        <w:t>LeoVegas</w:t>
      </w:r>
      <w:r>
        <w:rPr>
          <w:spacing w:val="-11"/>
        </w:rPr>
        <w:t> </w:t>
      </w:r>
      <w:r>
        <w:rPr/>
        <w:t>US</w:t>
      </w:r>
      <w:r>
        <w:rPr>
          <w:spacing w:val="-11"/>
        </w:rPr>
        <w:t> </w:t>
      </w:r>
      <w:r>
        <w:rPr>
          <w:spacing w:val="-4"/>
        </w:rPr>
        <w:t>Inc.</w:t>
      </w:r>
      <w:r>
        <w:rPr/>
        <w:tab/>
      </w:r>
      <w:r>
        <w:rPr>
          <w:spacing w:val="-2"/>
        </w:rPr>
        <w:t>Delaware</w:t>
      </w:r>
    </w:p>
    <w:p>
      <w:pPr>
        <w:pStyle w:val="BodyText"/>
        <w:tabs>
          <w:tab w:pos="9292" w:val="left" w:leader="none"/>
        </w:tabs>
        <w:spacing w:before="23"/>
        <w:ind w:left="2480"/>
      </w:pPr>
      <w:r>
        <w:rPr/>
        <w:t>LeoVegas</w:t>
      </w:r>
      <w:r>
        <w:rPr>
          <w:spacing w:val="-11"/>
        </w:rPr>
        <w:t> </w:t>
      </w:r>
      <w:r>
        <w:rPr/>
        <w:t>NJ,</w:t>
      </w:r>
      <w:r>
        <w:rPr>
          <w:spacing w:val="-11"/>
        </w:rPr>
        <w:t> </w:t>
      </w:r>
      <w:r>
        <w:rPr>
          <w:spacing w:val="-5"/>
        </w:rPr>
        <w:t>LLC</w:t>
      </w:r>
      <w:r>
        <w:rPr/>
        <w:tab/>
        <w:t>New</w:t>
      </w:r>
      <w:r>
        <w:rPr>
          <w:spacing w:val="-3"/>
        </w:rPr>
        <w:t> </w:t>
      </w:r>
      <w:r>
        <w:rPr>
          <w:spacing w:val="-2"/>
        </w:rPr>
        <w:t>Jersey</w:t>
      </w:r>
    </w:p>
    <w:p>
      <w:pPr>
        <w:pStyle w:val="BodyText"/>
        <w:tabs>
          <w:tab w:pos="9500" w:val="left" w:leader="none"/>
        </w:tabs>
        <w:spacing w:before="36"/>
        <w:ind w:left="2156"/>
      </w:pPr>
      <w:r>
        <w:rPr/>
        <w:t>LV</w:t>
      </w:r>
      <w:r>
        <w:rPr>
          <w:spacing w:val="-12"/>
        </w:rPr>
        <w:t> </w:t>
      </w:r>
      <w:r>
        <w:rPr/>
        <w:t>Sports</w:t>
      </w:r>
      <w:r>
        <w:rPr>
          <w:spacing w:val="-10"/>
        </w:rPr>
        <w:t> </w:t>
      </w:r>
      <w:r>
        <w:rPr>
          <w:spacing w:val="-4"/>
        </w:rPr>
        <w:t>Ltd.</w:t>
      </w:r>
      <w:r>
        <w:rPr/>
        <w:tab/>
      </w:r>
      <w:r>
        <w:rPr>
          <w:spacing w:val="-4"/>
        </w:rPr>
        <w:t>Malta</w:t>
      </w:r>
    </w:p>
    <w:p>
      <w:pPr>
        <w:pStyle w:val="BodyText"/>
        <w:tabs>
          <w:tab w:pos="9500" w:val="left" w:leader="none"/>
        </w:tabs>
        <w:spacing w:before="22"/>
        <w:ind w:left="2156"/>
      </w:pPr>
      <w:r>
        <w:rPr/>
        <w:t>Web</w:t>
      </w:r>
      <w:r>
        <w:rPr>
          <w:spacing w:val="-9"/>
        </w:rPr>
        <w:t> </w:t>
      </w:r>
      <w:r>
        <w:rPr/>
        <w:t>Investments</w:t>
      </w:r>
      <w:r>
        <w:rPr>
          <w:spacing w:val="-8"/>
        </w:rPr>
        <w:t> </w:t>
      </w:r>
      <w:r>
        <w:rPr>
          <w:spacing w:val="-4"/>
        </w:rPr>
        <w:t>Ltd.</w:t>
      </w:r>
      <w:r>
        <w:rPr/>
        <w:tab/>
      </w:r>
      <w:r>
        <w:rPr>
          <w:spacing w:val="-4"/>
        </w:rPr>
        <w:t>Malta</w:t>
      </w:r>
    </w:p>
    <w:p>
      <w:pPr>
        <w:pStyle w:val="BodyText"/>
        <w:tabs>
          <w:tab w:pos="9275" w:val="left" w:leader="none"/>
        </w:tabs>
        <w:spacing w:before="23"/>
        <w:ind w:left="2480"/>
      </w:pPr>
      <w:r>
        <w:rPr/>
        <w:t>Dynamic</w:t>
      </w:r>
      <w:r>
        <w:rPr>
          <w:spacing w:val="-11"/>
        </w:rPr>
        <w:t> </w:t>
      </w:r>
      <w:r>
        <w:rPr/>
        <w:t>Web</w:t>
      </w:r>
      <w:r>
        <w:rPr>
          <w:spacing w:val="-6"/>
        </w:rPr>
        <w:t> </w:t>
      </w:r>
      <w:r>
        <w:rPr/>
        <w:t>Marketing</w:t>
      </w:r>
      <w:r>
        <w:rPr>
          <w:spacing w:val="-6"/>
        </w:rPr>
        <w:t> </w:t>
      </w:r>
      <w:r>
        <w:rPr>
          <w:spacing w:val="-4"/>
        </w:rPr>
        <w:t>B.V.</w:t>
      </w:r>
      <w:r>
        <w:rPr/>
        <w:tab/>
      </w:r>
      <w:r>
        <w:rPr>
          <w:spacing w:val="-2"/>
        </w:rPr>
        <w:t>Netherlands</w:t>
      </w:r>
    </w:p>
    <w:p>
      <w:pPr>
        <w:pStyle w:val="BodyText"/>
        <w:tabs>
          <w:tab w:pos="9500" w:val="left" w:leader="none"/>
        </w:tabs>
        <w:spacing w:before="36"/>
        <w:ind w:left="2480"/>
      </w:pPr>
      <w:r>
        <w:rPr/>
        <w:t>I-Promotions</w:t>
      </w:r>
      <w:r>
        <w:rPr>
          <w:spacing w:val="-1"/>
        </w:rPr>
        <w:t> </w:t>
      </w:r>
      <w:r>
        <w:rPr>
          <w:spacing w:val="-2"/>
        </w:rPr>
        <w:t>Limited</w:t>
      </w:r>
      <w:r>
        <w:rPr/>
        <w:tab/>
      </w:r>
      <w:r>
        <w:rPr>
          <w:spacing w:val="-2"/>
        </w:rPr>
        <w:t>Malta</w:t>
      </w:r>
    </w:p>
    <w:p>
      <w:pPr>
        <w:pStyle w:val="BodyText"/>
        <w:tabs>
          <w:tab w:pos="9500" w:val="left" w:leader="none"/>
        </w:tabs>
        <w:spacing w:before="22"/>
        <w:ind w:left="2480"/>
      </w:pPr>
      <w:r>
        <w:rPr/>
        <w:t>Royal</w:t>
      </w:r>
      <w:r>
        <w:rPr>
          <w:spacing w:val="-1"/>
        </w:rPr>
        <w:t> </w:t>
      </w:r>
      <w:r>
        <w:rPr/>
        <w:t>Panda</w:t>
      </w:r>
      <w:r>
        <w:rPr>
          <w:spacing w:val="-1"/>
        </w:rPr>
        <w:t> </w:t>
      </w:r>
      <w:r>
        <w:rPr>
          <w:spacing w:val="-2"/>
        </w:rPr>
        <w:t>Limited</w:t>
      </w:r>
      <w:r>
        <w:rPr/>
        <w:tab/>
      </w:r>
      <w:r>
        <w:rPr>
          <w:spacing w:val="-2"/>
        </w:rPr>
        <w:t>Malta</w:t>
      </w:r>
    </w:p>
    <w:p>
      <w:pPr>
        <w:pStyle w:val="BodyText"/>
        <w:tabs>
          <w:tab w:pos="7074" w:val="left" w:leader="none"/>
        </w:tabs>
        <w:spacing w:before="23"/>
        <w:ind w:right="1912"/>
        <w:jc w:val="right"/>
      </w:pPr>
      <w:r>
        <w:rPr/>
        <w:t>RP</w:t>
      </w:r>
      <w:r>
        <w:rPr>
          <w:spacing w:val="-7"/>
        </w:rPr>
        <w:t> </w:t>
      </w:r>
      <w:r>
        <w:rPr/>
        <w:t>Marketing</w:t>
      </w:r>
      <w:r>
        <w:rPr>
          <w:spacing w:val="-1"/>
        </w:rPr>
        <w:t> </w:t>
      </w:r>
      <w:r>
        <w:rPr/>
        <w:t>Services</w:t>
      </w:r>
      <w:r>
        <w:rPr>
          <w:spacing w:val="-1"/>
        </w:rPr>
        <w:t> </w:t>
      </w:r>
      <w:r>
        <w:rPr>
          <w:spacing w:val="-4"/>
        </w:rPr>
        <w:t>Ltd.</w:t>
      </w:r>
      <w:r>
        <w:rPr/>
        <w:tab/>
      </w:r>
      <w:r>
        <w:rPr>
          <w:spacing w:val="-5"/>
        </w:rPr>
        <w:t>BVI</w:t>
      </w:r>
    </w:p>
    <w:p>
      <w:pPr>
        <w:pStyle w:val="BodyText"/>
        <w:tabs>
          <w:tab w:pos="7389" w:val="left" w:leader="none"/>
        </w:tabs>
        <w:spacing w:before="36"/>
        <w:ind w:right="1902"/>
        <w:jc w:val="right"/>
      </w:pPr>
      <w:r>
        <w:rPr/>
        <w:t>Winga</w:t>
      </w:r>
      <w:r>
        <w:rPr>
          <w:spacing w:val="-9"/>
        </w:rPr>
        <w:t> </w:t>
      </w:r>
      <w:r>
        <w:rPr>
          <w:spacing w:val="-5"/>
        </w:rPr>
        <w:t>SRL</w:t>
      </w:r>
      <w:r>
        <w:rPr/>
        <w:tab/>
      </w:r>
      <w:r>
        <w:rPr>
          <w:spacing w:val="-2"/>
        </w:rPr>
        <w:t>Italy</w:t>
      </w:r>
    </w:p>
    <w:p>
      <w:pPr>
        <w:pStyle w:val="BodyText"/>
        <w:tabs>
          <w:tab w:pos="7344" w:val="left" w:leader="none"/>
        </w:tabs>
        <w:spacing w:before="22"/>
        <w:ind w:right="1857"/>
        <w:jc w:val="right"/>
      </w:pPr>
      <w:r>
        <w:rPr/>
        <w:t>World</w:t>
      </w:r>
      <w:r>
        <w:rPr>
          <w:spacing w:val="-6"/>
        </w:rPr>
        <w:t> </w:t>
      </w:r>
      <w:r>
        <w:rPr/>
        <w:t>of</w:t>
      </w:r>
      <w:r>
        <w:rPr>
          <w:spacing w:val="-6"/>
        </w:rPr>
        <w:t> </w:t>
      </w:r>
      <w:r>
        <w:rPr/>
        <w:t>Sportsbetting</w:t>
      </w:r>
      <w:r>
        <w:rPr>
          <w:spacing w:val="-6"/>
        </w:rPr>
        <w:t> </w:t>
      </w:r>
      <w:r>
        <w:rPr>
          <w:spacing w:val="-2"/>
        </w:rPr>
        <w:t>Limited</w:t>
      </w:r>
      <w:r>
        <w:rPr/>
        <w:tab/>
      </w:r>
      <w:r>
        <w:rPr>
          <w:spacing w:val="-2"/>
        </w:rPr>
        <w:t>Malta</w:t>
      </w:r>
    </w:p>
    <w:p>
      <w:pPr>
        <w:pStyle w:val="BodyText"/>
        <w:tabs>
          <w:tab w:pos="7668" w:val="left" w:leader="none"/>
        </w:tabs>
        <w:spacing w:before="23"/>
        <w:ind w:right="1857"/>
        <w:jc w:val="right"/>
      </w:pPr>
      <w:r>
        <w:rPr>
          <w:spacing w:val="-2"/>
        </w:rPr>
        <w:t>LeoVentures</w:t>
      </w:r>
      <w:r>
        <w:rPr>
          <w:spacing w:val="1"/>
        </w:rPr>
        <w:t> </w:t>
      </w:r>
      <w:r>
        <w:rPr>
          <w:spacing w:val="-2"/>
        </w:rPr>
        <w:t>Limited</w:t>
      </w:r>
      <w:r>
        <w:rPr/>
        <w:tab/>
      </w:r>
      <w:r>
        <w:rPr>
          <w:spacing w:val="-2"/>
        </w:rPr>
        <w:t>Malta</w:t>
      </w:r>
    </w:p>
    <w:p>
      <w:pPr>
        <w:pStyle w:val="BodyText"/>
        <w:tabs>
          <w:tab w:pos="7344" w:val="left" w:leader="none"/>
        </w:tabs>
        <w:spacing w:before="36"/>
        <w:ind w:right="1857"/>
        <w:jc w:val="right"/>
      </w:pPr>
      <w:r>
        <w:rPr/>
        <w:t>21</w:t>
      </w:r>
      <w:r>
        <w:rPr>
          <w:spacing w:val="-1"/>
        </w:rPr>
        <w:t> </w:t>
      </w:r>
      <w:r>
        <w:rPr/>
        <w:t>Heads</w:t>
      </w:r>
      <w:r>
        <w:rPr>
          <w:spacing w:val="-1"/>
        </w:rPr>
        <w:t> </w:t>
      </w:r>
      <w:r>
        <w:rPr/>
        <w:t>Up</w:t>
      </w:r>
      <w:r>
        <w:rPr>
          <w:spacing w:val="-1"/>
        </w:rPr>
        <w:t> </w:t>
      </w:r>
      <w:r>
        <w:rPr>
          <w:spacing w:val="-2"/>
        </w:rPr>
        <w:t>Limited</w:t>
      </w:r>
      <w:r>
        <w:rPr/>
        <w:tab/>
      </w:r>
      <w:r>
        <w:rPr>
          <w:spacing w:val="-2"/>
        </w:rPr>
        <w:t>Malta</w:t>
      </w:r>
    </w:p>
    <w:p>
      <w:pPr>
        <w:pStyle w:val="BodyText"/>
        <w:tabs>
          <w:tab w:pos="7344" w:val="left" w:leader="none"/>
        </w:tabs>
        <w:spacing w:before="22"/>
        <w:ind w:right="1857"/>
        <w:jc w:val="right"/>
      </w:pPr>
      <w:r>
        <w:rPr/>
        <w:t>LeoStudios</w:t>
      </w:r>
      <w:r>
        <w:rPr>
          <w:spacing w:val="-1"/>
        </w:rPr>
        <w:t> </w:t>
      </w:r>
      <w:r>
        <w:rPr>
          <w:spacing w:val="-4"/>
        </w:rPr>
        <w:t>Ltd.</w:t>
      </w:r>
      <w:r>
        <w:rPr/>
        <w:tab/>
      </w:r>
      <w:r>
        <w:rPr>
          <w:spacing w:val="-2"/>
        </w:rPr>
        <w:t>Malta</w:t>
      </w:r>
    </w:p>
    <w:p>
      <w:pPr>
        <w:pStyle w:val="BodyText"/>
        <w:tabs>
          <w:tab w:pos="7020" w:val="left" w:leader="none"/>
        </w:tabs>
        <w:spacing w:before="23"/>
        <w:ind w:right="1857"/>
        <w:jc w:val="right"/>
      </w:pPr>
      <w:r>
        <w:rPr/>
        <w:t>Blue</w:t>
      </w:r>
      <w:r>
        <w:rPr>
          <w:spacing w:val="-1"/>
        </w:rPr>
        <w:t> </w:t>
      </w:r>
      <w:r>
        <w:rPr/>
        <w:t>Guru</w:t>
      </w:r>
      <w:r>
        <w:rPr>
          <w:spacing w:val="-1"/>
        </w:rPr>
        <w:t> </w:t>
      </w:r>
      <w:r>
        <w:rPr/>
        <w:t>Games</w:t>
      </w:r>
      <w:r>
        <w:rPr>
          <w:spacing w:val="-1"/>
        </w:rPr>
        <w:t> </w:t>
      </w:r>
      <w:r>
        <w:rPr>
          <w:spacing w:val="-2"/>
        </w:rPr>
        <w:t>Limited</w:t>
      </w:r>
      <w:r>
        <w:rPr/>
        <w:tab/>
      </w:r>
      <w:r>
        <w:rPr>
          <w:spacing w:val="-2"/>
        </w:rPr>
        <w:t>Malta</w:t>
      </w:r>
    </w:p>
    <w:p>
      <w:pPr>
        <w:pStyle w:val="BodyText"/>
        <w:tabs>
          <w:tab w:pos="7344" w:val="left" w:leader="none"/>
        </w:tabs>
        <w:spacing w:before="36"/>
        <w:ind w:right="1857"/>
        <w:jc w:val="right"/>
      </w:pPr>
      <w:r>
        <w:rPr/>
        <w:t>Pixel</w:t>
      </w:r>
      <w:r>
        <w:rPr>
          <w:spacing w:val="-1"/>
        </w:rPr>
        <w:t> </w:t>
      </w:r>
      <w:r>
        <w:rPr/>
        <w:t>Holding</w:t>
      </w:r>
      <w:r>
        <w:rPr>
          <w:spacing w:val="-1"/>
        </w:rPr>
        <w:t> </w:t>
      </w:r>
      <w:r>
        <w:rPr/>
        <w:t>Group</w:t>
      </w:r>
      <w:r>
        <w:rPr>
          <w:spacing w:val="-1"/>
        </w:rPr>
        <w:t> </w:t>
      </w:r>
      <w:r>
        <w:rPr>
          <w:spacing w:val="-4"/>
        </w:rPr>
        <w:t>Ltd.</w:t>
      </w:r>
      <w:r>
        <w:rPr/>
        <w:tab/>
      </w:r>
      <w:r>
        <w:rPr>
          <w:spacing w:val="-2"/>
        </w:rPr>
        <w:t>Malta</w:t>
      </w:r>
    </w:p>
    <w:p>
      <w:pPr>
        <w:pStyle w:val="BodyText"/>
        <w:tabs>
          <w:tab w:pos="7020" w:val="left" w:leader="none"/>
        </w:tabs>
        <w:spacing w:before="23"/>
        <w:ind w:right="1857"/>
        <w:jc w:val="right"/>
      </w:pPr>
      <w:r>
        <w:rPr/>
        <w:t>Pixel</w:t>
      </w:r>
      <w:r>
        <w:rPr>
          <w:spacing w:val="-1"/>
        </w:rPr>
        <w:t> </w:t>
      </w:r>
      <w:r>
        <w:rPr/>
        <w:t>Digital</w:t>
      </w:r>
      <w:r>
        <w:rPr>
          <w:spacing w:val="-1"/>
        </w:rPr>
        <w:t> </w:t>
      </w:r>
      <w:r>
        <w:rPr>
          <w:spacing w:val="-4"/>
        </w:rPr>
        <w:t>Ltd.</w:t>
      </w:r>
      <w:r>
        <w:rPr/>
        <w:tab/>
      </w:r>
      <w:r>
        <w:rPr>
          <w:spacing w:val="-2"/>
        </w:rPr>
        <w:t>Malta</w:t>
      </w:r>
    </w:p>
    <w:p>
      <w:pPr>
        <w:pStyle w:val="BodyText"/>
        <w:tabs>
          <w:tab w:pos="7668" w:val="left" w:leader="none"/>
        </w:tabs>
        <w:spacing w:before="22"/>
        <w:ind w:right="1857"/>
        <w:jc w:val="right"/>
      </w:pPr>
      <w:r>
        <w:rPr/>
        <w:t>HippoGO</w:t>
      </w:r>
      <w:r>
        <w:rPr>
          <w:spacing w:val="-1"/>
        </w:rPr>
        <w:t> </w:t>
      </w:r>
      <w:r>
        <w:rPr/>
        <w:t>Holding</w:t>
      </w:r>
      <w:r>
        <w:rPr>
          <w:spacing w:val="-1"/>
        </w:rPr>
        <w:t> </w:t>
      </w:r>
      <w:r>
        <w:rPr>
          <w:spacing w:val="-2"/>
        </w:rPr>
        <w:t>Limited</w:t>
      </w:r>
      <w:r>
        <w:rPr/>
        <w:tab/>
      </w:r>
      <w:r>
        <w:rPr>
          <w:spacing w:val="-2"/>
        </w:rPr>
        <w:t>Malta</w:t>
      </w:r>
    </w:p>
    <w:p>
      <w:pPr>
        <w:pStyle w:val="BodyText"/>
        <w:tabs>
          <w:tab w:pos="7293" w:val="left" w:leader="none"/>
        </w:tabs>
        <w:spacing w:before="36"/>
        <w:ind w:right="1807"/>
        <w:jc w:val="right"/>
      </w:pPr>
      <w:r>
        <w:rPr/>
        <w:t>PLF</w:t>
      </w:r>
      <w:r>
        <w:rPr>
          <w:spacing w:val="-1"/>
        </w:rPr>
        <w:t> </w:t>
      </w:r>
      <w:r>
        <w:rPr/>
        <w:t>Hippogo</w:t>
      </w:r>
      <w:r>
        <w:rPr>
          <w:spacing w:val="-1"/>
        </w:rPr>
        <w:t> </w:t>
      </w:r>
      <w:r>
        <w:rPr/>
        <w:t>Solutions</w:t>
      </w:r>
      <w:r>
        <w:rPr>
          <w:spacing w:val="-1"/>
        </w:rPr>
        <w:t> </w:t>
      </w:r>
      <w:r>
        <w:rPr>
          <w:spacing w:val="-4"/>
        </w:rPr>
        <w:t>Ltd.</w:t>
      </w:r>
      <w:r>
        <w:rPr/>
        <w:tab/>
      </w:r>
      <w:r>
        <w:rPr>
          <w:spacing w:val="-2"/>
        </w:rPr>
        <w:t>Cyprus</w:t>
      </w:r>
    </w:p>
    <w:p>
      <w:pPr>
        <w:pStyle w:val="BodyText"/>
        <w:tabs>
          <w:tab w:pos="7020" w:val="left" w:leader="none"/>
        </w:tabs>
        <w:spacing w:before="23"/>
        <w:ind w:right="1857"/>
        <w:jc w:val="right"/>
      </w:pPr>
      <w:r>
        <w:rPr/>
        <w:t>Hippogo</w:t>
      </w:r>
      <w:r>
        <w:rPr>
          <w:spacing w:val="-1"/>
        </w:rPr>
        <w:t> </w:t>
      </w:r>
      <w:r>
        <w:rPr/>
        <w:t>Services</w:t>
      </w:r>
      <w:r>
        <w:rPr>
          <w:spacing w:val="-1"/>
        </w:rPr>
        <w:t> </w:t>
      </w:r>
      <w:r>
        <w:rPr>
          <w:spacing w:val="-2"/>
        </w:rPr>
        <w:t>Limited</w:t>
      </w:r>
      <w:r>
        <w:rPr/>
        <w:tab/>
      </w:r>
      <w:r>
        <w:rPr>
          <w:spacing w:val="-2"/>
        </w:rPr>
        <w:t>Malta</w:t>
      </w:r>
    </w:p>
    <w:p>
      <w:pPr>
        <w:pStyle w:val="BodyText"/>
        <w:tabs>
          <w:tab w:pos="7344" w:val="left" w:leader="none"/>
        </w:tabs>
        <w:spacing w:before="22"/>
        <w:ind w:right="1857"/>
        <w:jc w:val="right"/>
      </w:pPr>
      <w:r>
        <w:rPr/>
        <w:t>Tumbledoor</w:t>
      </w:r>
      <w:r>
        <w:rPr>
          <w:spacing w:val="-8"/>
        </w:rPr>
        <w:t> </w:t>
      </w:r>
      <w:r>
        <w:rPr>
          <w:spacing w:val="-2"/>
        </w:rPr>
        <w:t>Limited</w:t>
      </w:r>
      <w:r>
        <w:rPr/>
        <w:tab/>
      </w:r>
      <w:r>
        <w:rPr>
          <w:spacing w:val="-2"/>
        </w:rPr>
        <w:t>Malta</w:t>
      </w:r>
    </w:p>
    <w:p>
      <w:pPr>
        <w:pStyle w:val="BodyText"/>
        <w:tabs>
          <w:tab w:pos="9365" w:val="left" w:leader="none"/>
        </w:tabs>
        <w:spacing w:line="266" w:lineRule="auto" w:before="36"/>
        <w:ind w:left="536" w:right="1723" w:hanging="324"/>
        <w:jc w:val="right"/>
      </w:pPr>
      <w:r>
        <w:rPr/>
        <w:t>MGM Detroit Holdings, LLC (f/k/a MGM Grand Detroit, Inc.)</w:t>
        <w:tab/>
      </w:r>
      <w:r>
        <w:rPr>
          <w:spacing w:val="-2"/>
        </w:rPr>
        <w:t>Delaware </w:t>
      </w:r>
      <w:r>
        <w:rPr/>
        <w:t>MGM</w:t>
      </w:r>
      <w:r>
        <w:rPr>
          <w:spacing w:val="-1"/>
        </w:rPr>
        <w:t> </w:t>
      </w:r>
      <w:r>
        <w:rPr/>
        <w:t>Grand</w:t>
      </w:r>
      <w:r>
        <w:rPr>
          <w:spacing w:val="-1"/>
        </w:rPr>
        <w:t> </w:t>
      </w:r>
      <w:r>
        <w:rPr/>
        <w:t>Detroit,</w:t>
      </w:r>
      <w:r>
        <w:rPr>
          <w:spacing w:val="-1"/>
        </w:rPr>
        <w:t> </w:t>
      </w:r>
      <w:r>
        <w:rPr>
          <w:spacing w:val="-5"/>
        </w:rPr>
        <w:t>LLC</w:t>
      </w:r>
      <w:r>
        <w:rPr/>
        <w:tab/>
      </w:r>
      <w:r>
        <w:rPr>
          <w:spacing w:val="-2"/>
        </w:rPr>
        <w:t>Delaware</w:t>
      </w:r>
    </w:p>
    <w:p>
      <w:pPr>
        <w:pStyle w:val="BodyText"/>
        <w:tabs>
          <w:tab w:pos="9153" w:val="left" w:leader="none"/>
        </w:tabs>
        <w:spacing w:line="206" w:lineRule="exact"/>
        <w:ind w:right="1723"/>
        <w:jc w:val="right"/>
      </w:pPr>
      <w:r>
        <w:rPr/>
        <w:t>MGM</w:t>
      </w:r>
      <w:r>
        <w:rPr>
          <w:spacing w:val="-7"/>
        </w:rPr>
        <w:t> </w:t>
      </w:r>
      <w:r>
        <w:rPr/>
        <w:t>Dev,</w:t>
      </w:r>
      <w:r>
        <w:rPr>
          <w:spacing w:val="-7"/>
        </w:rPr>
        <w:t> </w:t>
      </w:r>
      <w:r>
        <w:rPr>
          <w:spacing w:val="-5"/>
        </w:rPr>
        <w:t>LLC</w:t>
      </w:r>
      <w:r>
        <w:rPr/>
        <w:tab/>
      </w:r>
      <w:r>
        <w:rPr>
          <w:spacing w:val="-2"/>
        </w:rPr>
        <w:t>Delaware</w:t>
      </w:r>
    </w:p>
    <w:p>
      <w:pPr>
        <w:pStyle w:val="BodyText"/>
        <w:tabs>
          <w:tab w:pos="9223" w:val="left" w:leader="none"/>
        </w:tabs>
        <w:spacing w:before="23"/>
        <w:ind w:right="1793"/>
        <w:jc w:val="right"/>
      </w:pPr>
      <w:r>
        <w:rPr/>
        <w:t>MGM</w:t>
      </w:r>
      <w:r>
        <w:rPr>
          <w:spacing w:val="-1"/>
        </w:rPr>
        <w:t> </w:t>
      </w:r>
      <w:r>
        <w:rPr/>
        <w:t>Grand</w:t>
      </w:r>
      <w:r>
        <w:rPr>
          <w:spacing w:val="-1"/>
        </w:rPr>
        <w:t> </w:t>
      </w:r>
      <w:r>
        <w:rPr/>
        <w:t>Hotel,</w:t>
      </w:r>
      <w:r>
        <w:rPr>
          <w:spacing w:val="-1"/>
        </w:rPr>
        <w:t> </w:t>
      </w:r>
      <w:r>
        <w:rPr>
          <w:spacing w:val="-5"/>
        </w:rPr>
        <w:t>LLC</w:t>
      </w:r>
      <w:r>
        <w:rPr/>
        <w:tab/>
      </w:r>
      <w:r>
        <w:rPr>
          <w:spacing w:val="-2"/>
        </w:rPr>
        <w:t>Nevada</w:t>
      </w:r>
    </w:p>
    <w:p>
      <w:pPr>
        <w:pStyle w:val="BodyText"/>
        <w:tabs>
          <w:tab w:pos="8899" w:val="left" w:leader="none"/>
        </w:tabs>
        <w:spacing w:before="36"/>
        <w:ind w:right="1793"/>
        <w:jc w:val="right"/>
      </w:pPr>
      <w:r>
        <w:rPr/>
        <w:t>The</w:t>
      </w:r>
      <w:r>
        <w:rPr>
          <w:spacing w:val="-1"/>
        </w:rPr>
        <w:t> </w:t>
      </w:r>
      <w:r>
        <w:rPr/>
        <w:t>Signature</w:t>
      </w:r>
      <w:r>
        <w:rPr>
          <w:spacing w:val="-1"/>
        </w:rPr>
        <w:t> </w:t>
      </w:r>
      <w:r>
        <w:rPr/>
        <w:t>Condominiums,</w:t>
      </w:r>
      <w:r>
        <w:rPr>
          <w:spacing w:val="-1"/>
        </w:rPr>
        <w:t> </w:t>
      </w:r>
      <w:r>
        <w:rPr>
          <w:spacing w:val="-5"/>
        </w:rPr>
        <w:t>LLC</w:t>
      </w:r>
      <w:r>
        <w:rPr/>
        <w:tab/>
      </w:r>
      <w:r>
        <w:rPr>
          <w:spacing w:val="-2"/>
        </w:rPr>
        <w:t>Nevada</w:t>
      </w:r>
    </w:p>
    <w:p>
      <w:pPr>
        <w:pStyle w:val="BodyText"/>
        <w:tabs>
          <w:tab w:pos="8575" w:val="left" w:leader="none"/>
        </w:tabs>
        <w:spacing w:before="22"/>
        <w:ind w:right="1793"/>
        <w:jc w:val="right"/>
      </w:pPr>
      <w:r>
        <w:rPr/>
        <w:t>Signature</w:t>
      </w:r>
      <w:r>
        <w:rPr>
          <w:spacing w:val="-9"/>
        </w:rPr>
        <w:t> </w:t>
      </w:r>
      <w:r>
        <w:rPr/>
        <w:t>Tower</w:t>
      </w:r>
      <w:r>
        <w:rPr>
          <w:spacing w:val="-5"/>
        </w:rPr>
        <w:t> </w:t>
      </w:r>
      <w:r>
        <w:rPr/>
        <w:t>I,</w:t>
      </w:r>
      <w:r>
        <w:rPr>
          <w:spacing w:val="-5"/>
        </w:rPr>
        <w:t> LLC</w:t>
      </w:r>
      <w:r>
        <w:rPr/>
        <w:tab/>
      </w:r>
      <w:r>
        <w:rPr>
          <w:spacing w:val="-2"/>
        </w:rPr>
        <w:t>Nevada</w:t>
      </w:r>
    </w:p>
    <w:p>
      <w:pPr>
        <w:pStyle w:val="BodyText"/>
        <w:tabs>
          <w:tab w:pos="8575" w:val="left" w:leader="none"/>
        </w:tabs>
        <w:spacing w:before="23"/>
        <w:ind w:right="1793"/>
        <w:jc w:val="right"/>
      </w:pPr>
      <w:r>
        <w:rPr/>
        <w:t>Signature</w:t>
      </w:r>
      <w:r>
        <w:rPr>
          <w:spacing w:val="-9"/>
        </w:rPr>
        <w:t> </w:t>
      </w:r>
      <w:r>
        <w:rPr/>
        <w:t>Tower</w:t>
      </w:r>
      <w:r>
        <w:rPr>
          <w:spacing w:val="-5"/>
        </w:rPr>
        <w:t> </w:t>
      </w:r>
      <w:r>
        <w:rPr/>
        <w:t>2,</w:t>
      </w:r>
      <w:r>
        <w:rPr>
          <w:spacing w:val="-5"/>
        </w:rPr>
        <w:t> LLC</w:t>
      </w:r>
      <w:r>
        <w:rPr/>
        <w:tab/>
      </w:r>
      <w:r>
        <w:rPr>
          <w:spacing w:val="-2"/>
        </w:rPr>
        <w:t>Nevada</w:t>
      </w:r>
    </w:p>
    <w:p>
      <w:pPr>
        <w:pStyle w:val="BodyText"/>
        <w:tabs>
          <w:tab w:pos="8575" w:val="left" w:leader="none"/>
        </w:tabs>
        <w:spacing w:before="36"/>
        <w:ind w:right="1793"/>
        <w:jc w:val="right"/>
      </w:pPr>
      <w:r>
        <w:rPr/>
        <w:t>Signature</w:t>
      </w:r>
      <w:r>
        <w:rPr>
          <w:spacing w:val="-9"/>
        </w:rPr>
        <w:t> </w:t>
      </w:r>
      <w:r>
        <w:rPr/>
        <w:t>Tower</w:t>
      </w:r>
      <w:r>
        <w:rPr>
          <w:spacing w:val="-5"/>
        </w:rPr>
        <w:t> </w:t>
      </w:r>
      <w:r>
        <w:rPr/>
        <w:t>3,</w:t>
      </w:r>
      <w:r>
        <w:rPr>
          <w:spacing w:val="-5"/>
        </w:rPr>
        <w:t> LLC</w:t>
      </w:r>
      <w:r>
        <w:rPr/>
        <w:tab/>
      </w:r>
      <w:r>
        <w:rPr>
          <w:spacing w:val="-2"/>
        </w:rPr>
        <w:t>Nevada</w:t>
      </w:r>
    </w:p>
    <w:p>
      <w:pPr>
        <w:pStyle w:val="BodyText"/>
        <w:tabs>
          <w:tab w:pos="9223" w:val="left" w:leader="none"/>
        </w:tabs>
        <w:spacing w:before="22"/>
        <w:ind w:right="1793"/>
        <w:jc w:val="right"/>
      </w:pPr>
      <w:r>
        <w:rPr/>
        <w:t>MGM</w:t>
      </w:r>
      <w:r>
        <w:rPr>
          <w:spacing w:val="-7"/>
        </w:rPr>
        <w:t> </w:t>
      </w:r>
      <w:r>
        <w:rPr/>
        <w:t>Hospitality,</w:t>
      </w:r>
      <w:r>
        <w:rPr>
          <w:spacing w:val="-7"/>
        </w:rPr>
        <w:t> </w:t>
      </w:r>
      <w:r>
        <w:rPr>
          <w:spacing w:val="-5"/>
        </w:rPr>
        <w:t>LLC</w:t>
      </w:r>
      <w:r>
        <w:rPr/>
        <w:tab/>
      </w:r>
      <w:r>
        <w:rPr>
          <w:spacing w:val="-2"/>
        </w:rPr>
        <w:t>Nevada</w:t>
      </w:r>
    </w:p>
    <w:p>
      <w:pPr>
        <w:spacing w:after="0"/>
        <w:jc w:val="right"/>
        <w:sectPr>
          <w:pgSz w:w="12240" w:h="15840"/>
          <w:pgMar w:top="1520" w:bottom="280" w:left="220" w:right="240"/>
        </w:sectPr>
      </w:pPr>
    </w:p>
    <w:p>
      <w:pPr>
        <w:pStyle w:val="BodyText"/>
        <w:spacing w:line="235" w:lineRule="auto" w:before="26"/>
        <w:ind w:left="535" w:right="294"/>
      </w:pPr>
      <w:r>
        <w:rPr/>
        <w:t>MGM Hospitality Global, LLC MGM</w:t>
      </w:r>
      <w:r>
        <w:rPr>
          <w:spacing w:val="-12"/>
        </w:rPr>
        <w:t> </w:t>
      </w:r>
      <w:r>
        <w:rPr/>
        <w:t>Hospitality</w:t>
      </w:r>
      <w:r>
        <w:rPr>
          <w:spacing w:val="-11"/>
        </w:rPr>
        <w:t> </w:t>
      </w:r>
      <w:r>
        <w:rPr/>
        <w:t>International,</w:t>
      </w:r>
      <w:r>
        <w:rPr>
          <w:spacing w:val="-11"/>
        </w:rPr>
        <w:t> </w:t>
      </w:r>
      <w:r>
        <w:rPr/>
        <w:t>LP</w:t>
      </w:r>
    </w:p>
    <w:p>
      <w:pPr>
        <w:pStyle w:val="BodyText"/>
        <w:spacing w:line="203" w:lineRule="exact"/>
        <w:ind w:left="535"/>
      </w:pPr>
      <w:r>
        <w:rPr/>
        <w:t>MGM</w:t>
      </w:r>
      <w:r>
        <w:rPr>
          <w:spacing w:val="-6"/>
        </w:rPr>
        <w:t> </w:t>
      </w:r>
      <w:r>
        <w:rPr/>
        <w:t>Hospitality</w:t>
      </w:r>
      <w:r>
        <w:rPr>
          <w:spacing w:val="-6"/>
        </w:rPr>
        <w:t> </w:t>
      </w:r>
      <w:r>
        <w:rPr/>
        <w:t>International,</w:t>
      </w:r>
      <w:r>
        <w:rPr>
          <w:spacing w:val="-6"/>
        </w:rPr>
        <w:t> </w:t>
      </w:r>
      <w:r>
        <w:rPr/>
        <w:t>GP,</w:t>
      </w:r>
      <w:r>
        <w:rPr>
          <w:spacing w:val="-6"/>
        </w:rPr>
        <w:t> </w:t>
      </w:r>
      <w:r>
        <w:rPr>
          <w:spacing w:val="-4"/>
        </w:rPr>
        <w:t>Ltd.</w:t>
      </w:r>
    </w:p>
    <w:p>
      <w:pPr>
        <w:pStyle w:val="BodyText"/>
        <w:spacing w:line="235" w:lineRule="auto" w:before="26"/>
        <w:ind w:left="535" w:right="1490" w:firstLine="302"/>
      </w:pPr>
      <w:r>
        <w:rPr/>
        <w:br w:type="column"/>
      </w:r>
      <w:r>
        <w:rPr>
          <w:spacing w:val="-2"/>
        </w:rPr>
        <w:t>Nevada </w:t>
      </w:r>
      <w:r>
        <w:rPr/>
        <w:t>Cayman</w:t>
      </w:r>
      <w:r>
        <w:rPr>
          <w:spacing w:val="-12"/>
        </w:rPr>
        <w:t> </w:t>
      </w:r>
      <w:r>
        <w:rPr/>
        <w:t>Islands Cayman</w:t>
      </w:r>
      <w:r>
        <w:rPr>
          <w:spacing w:val="-1"/>
        </w:rPr>
        <w:t> </w:t>
      </w:r>
      <w:r>
        <w:rPr>
          <w:spacing w:val="-2"/>
        </w:rPr>
        <w:t>Islands</w:t>
      </w:r>
    </w:p>
    <w:p>
      <w:pPr>
        <w:spacing w:after="0" w:line="235" w:lineRule="auto"/>
        <w:sectPr>
          <w:type w:val="continuous"/>
          <w:pgSz w:w="12240" w:h="15840"/>
          <w:pgMar w:top="1040" w:bottom="280" w:left="220" w:right="240"/>
          <w:cols w:num="2" w:equalWidth="0">
            <w:col w:w="3520" w:space="5077"/>
            <w:col w:w="3183"/>
          </w:cols>
        </w:sectPr>
      </w:pPr>
    </w:p>
    <w:p>
      <w:pPr>
        <w:pStyle w:val="BodyText"/>
        <w:tabs>
          <w:tab w:pos="8953" w:val="left" w:leader="none"/>
        </w:tabs>
        <w:spacing w:before="36"/>
        <w:ind w:right="1847"/>
        <w:jc w:val="right"/>
      </w:pPr>
      <w:r>
        <w:rPr/>
        <w:t>MGM</w:t>
      </w:r>
      <w:r>
        <w:rPr>
          <w:spacing w:val="-1"/>
        </w:rPr>
        <w:t> </w:t>
      </w:r>
      <w:r>
        <w:rPr/>
        <w:t>Hospitality</w:t>
      </w:r>
      <w:r>
        <w:rPr>
          <w:spacing w:val="-1"/>
        </w:rPr>
        <w:t> </w:t>
      </w:r>
      <w:r>
        <w:rPr/>
        <w:t>Holdings,</w:t>
      </w:r>
      <w:r>
        <w:rPr>
          <w:spacing w:val="-1"/>
        </w:rPr>
        <w:t> </w:t>
      </w:r>
      <w:r>
        <w:rPr>
          <w:spacing w:val="-5"/>
        </w:rPr>
        <w:t>LLC</w:t>
      </w:r>
      <w:r>
        <w:rPr/>
        <w:tab/>
      </w:r>
      <w:r>
        <w:rPr>
          <w:spacing w:val="-2"/>
        </w:rPr>
        <w:t>Dubai</w:t>
      </w:r>
    </w:p>
    <w:p>
      <w:pPr>
        <w:pStyle w:val="BodyText"/>
        <w:tabs>
          <w:tab w:pos="8629" w:val="left" w:leader="none"/>
        </w:tabs>
        <w:spacing w:before="36"/>
        <w:ind w:right="1847"/>
        <w:jc w:val="right"/>
      </w:pPr>
      <w:r>
        <w:rPr/>
        <w:t>MGM</w:t>
      </w:r>
      <w:r>
        <w:rPr>
          <w:spacing w:val="-1"/>
        </w:rPr>
        <w:t> </w:t>
      </w:r>
      <w:r>
        <w:rPr/>
        <w:t>Hospitality</w:t>
      </w:r>
      <w:r>
        <w:rPr>
          <w:spacing w:val="-1"/>
        </w:rPr>
        <w:t> </w:t>
      </w:r>
      <w:r>
        <w:rPr/>
        <w:t>Development,</w:t>
      </w:r>
      <w:r>
        <w:rPr>
          <w:spacing w:val="-1"/>
        </w:rPr>
        <w:t> </w:t>
      </w:r>
      <w:r>
        <w:rPr>
          <w:spacing w:val="-5"/>
        </w:rPr>
        <w:t>LLC</w:t>
      </w:r>
      <w:r>
        <w:rPr/>
        <w:tab/>
      </w:r>
      <w:r>
        <w:rPr>
          <w:spacing w:val="-2"/>
        </w:rPr>
        <w:t>Dubai</w:t>
      </w:r>
    </w:p>
    <w:p>
      <w:pPr>
        <w:pStyle w:val="BodyText"/>
        <w:tabs>
          <w:tab w:pos="8759" w:val="left" w:leader="none"/>
        </w:tabs>
        <w:spacing w:before="23"/>
        <w:ind w:right="1653"/>
        <w:jc w:val="right"/>
      </w:pPr>
      <w:r>
        <w:rPr/>
        <w:t>MGM</w:t>
      </w:r>
      <w:r>
        <w:rPr>
          <w:spacing w:val="-1"/>
        </w:rPr>
        <w:t> </w:t>
      </w:r>
      <w:r>
        <w:rPr/>
        <w:t>Hospitality</w:t>
      </w:r>
      <w:r>
        <w:rPr>
          <w:spacing w:val="-1"/>
        </w:rPr>
        <w:t> </w:t>
      </w:r>
      <w:r>
        <w:rPr/>
        <w:t>International</w:t>
      </w:r>
      <w:r>
        <w:rPr>
          <w:spacing w:val="-1"/>
        </w:rPr>
        <w:t> </w:t>
      </w:r>
      <w:r>
        <w:rPr/>
        <w:t>Holdings,</w:t>
      </w:r>
      <w:r>
        <w:rPr>
          <w:spacing w:val="-1"/>
        </w:rPr>
        <w:t> </w:t>
      </w:r>
      <w:r>
        <w:rPr>
          <w:spacing w:val="-4"/>
        </w:rPr>
        <w:t>Ltd.</w:t>
      </w:r>
      <w:r>
        <w:rPr/>
        <w:tab/>
        <w:t>Isle</w:t>
      </w:r>
      <w:r>
        <w:rPr>
          <w:spacing w:val="-3"/>
        </w:rPr>
        <w:t> </w:t>
      </w:r>
      <w:r>
        <w:rPr/>
        <w:t>of</w:t>
      </w:r>
      <w:r>
        <w:rPr>
          <w:spacing w:val="-1"/>
        </w:rPr>
        <w:t> </w:t>
      </w:r>
      <w:r>
        <w:rPr>
          <w:spacing w:val="-5"/>
        </w:rPr>
        <w:t>Man</w:t>
      </w:r>
    </w:p>
    <w:p>
      <w:pPr>
        <w:pStyle w:val="BodyText"/>
        <w:tabs>
          <w:tab w:pos="8427" w:val="left" w:leader="none"/>
        </w:tabs>
        <w:spacing w:before="22"/>
        <w:ind w:right="1645"/>
        <w:jc w:val="right"/>
      </w:pPr>
      <w:r>
        <w:rPr/>
        <w:t>MGM</w:t>
      </w:r>
      <w:r>
        <w:rPr>
          <w:spacing w:val="-10"/>
        </w:rPr>
        <w:t> </w:t>
      </w:r>
      <w:r>
        <w:rPr/>
        <w:t>Asia</w:t>
      </w:r>
      <w:r>
        <w:rPr>
          <w:spacing w:val="-1"/>
        </w:rPr>
        <w:t> </w:t>
      </w:r>
      <w:r>
        <w:rPr/>
        <w:t>Pacific</w:t>
      </w:r>
      <w:r>
        <w:rPr>
          <w:spacing w:val="-1"/>
        </w:rPr>
        <w:t> </w:t>
      </w:r>
      <w:r>
        <w:rPr/>
        <w:t>Limited</w:t>
      </w:r>
      <w:r>
        <w:rPr>
          <w:spacing w:val="-1"/>
        </w:rPr>
        <w:t> </w:t>
      </w:r>
      <w:r>
        <w:rPr/>
        <w:t>(f/k/a</w:t>
      </w:r>
      <w:r>
        <w:rPr>
          <w:spacing w:val="-1"/>
        </w:rPr>
        <w:t> </w:t>
      </w:r>
      <w:r>
        <w:rPr/>
        <w:t>MGM</w:t>
      </w:r>
      <w:r>
        <w:rPr>
          <w:spacing w:val="-1"/>
        </w:rPr>
        <w:t> </w:t>
      </w:r>
      <w:r>
        <w:rPr/>
        <w:t>Resorts</w:t>
      </w:r>
      <w:r>
        <w:rPr>
          <w:spacing w:val="-1"/>
        </w:rPr>
        <w:t> </w:t>
      </w:r>
      <w:r>
        <w:rPr/>
        <w:t>China</w:t>
      </w:r>
      <w:r>
        <w:rPr>
          <w:spacing w:val="-1"/>
        </w:rPr>
        <w:t> </w:t>
      </w:r>
      <w:r>
        <w:rPr/>
        <w:t>Holdings</w:t>
      </w:r>
      <w:r>
        <w:rPr>
          <w:spacing w:val="-1"/>
        </w:rPr>
        <w:t> </w:t>
      </w:r>
      <w:r>
        <w:rPr>
          <w:spacing w:val="-2"/>
        </w:rPr>
        <w:t>Limited)</w:t>
      </w:r>
      <w:r>
        <w:rPr/>
        <w:tab/>
        <w:t>Hong</w:t>
      </w:r>
      <w:r>
        <w:rPr>
          <w:spacing w:val="-3"/>
        </w:rPr>
        <w:t> </w:t>
      </w:r>
      <w:r>
        <w:rPr>
          <w:spacing w:val="-4"/>
        </w:rPr>
        <w:t>Kong</w:t>
      </w:r>
    </w:p>
    <w:p>
      <w:pPr>
        <w:pStyle w:val="BodyText"/>
        <w:tabs>
          <w:tab w:pos="9445" w:val="left" w:leader="none"/>
        </w:tabs>
        <w:spacing w:before="36"/>
        <w:ind w:left="860"/>
      </w:pPr>
      <w:r>
        <w:rPr/>
        <w:t>MGM</w:t>
      </w:r>
      <w:r>
        <w:rPr>
          <w:spacing w:val="-1"/>
        </w:rPr>
        <w:t> </w:t>
      </w:r>
      <w:r>
        <w:rPr/>
        <w:t>(Beijing)</w:t>
      </w:r>
      <w:r>
        <w:rPr>
          <w:spacing w:val="-1"/>
        </w:rPr>
        <w:t> </w:t>
      </w:r>
      <w:r>
        <w:rPr/>
        <w:t>Hospitality</w:t>
      </w:r>
      <w:r>
        <w:rPr>
          <w:spacing w:val="-1"/>
        </w:rPr>
        <w:t> </w:t>
      </w:r>
      <w:r>
        <w:rPr/>
        <w:t>Services</w:t>
      </w:r>
      <w:r>
        <w:rPr>
          <w:spacing w:val="-1"/>
        </w:rPr>
        <w:t> </w:t>
      </w:r>
      <w:r>
        <w:rPr/>
        <w:t>Co.,</w:t>
      </w:r>
      <w:r>
        <w:rPr>
          <w:spacing w:val="-1"/>
        </w:rPr>
        <w:t> </w:t>
      </w:r>
      <w:r>
        <w:rPr>
          <w:spacing w:val="-4"/>
        </w:rPr>
        <w:t>Ltd.</w:t>
      </w:r>
      <w:r>
        <w:rPr/>
        <w:tab/>
      </w:r>
      <w:r>
        <w:rPr>
          <w:spacing w:val="-2"/>
        </w:rPr>
        <w:t>Beijing</w:t>
      </w:r>
    </w:p>
    <w:p>
      <w:pPr>
        <w:pStyle w:val="BodyText"/>
        <w:tabs>
          <w:tab w:pos="9525" w:val="left" w:leader="none"/>
        </w:tabs>
        <w:spacing w:before="23"/>
        <w:ind w:left="860"/>
      </w:pPr>
      <w:r>
        <w:rPr/>
        <w:t>MGM</w:t>
      </w:r>
      <w:r>
        <w:rPr>
          <w:spacing w:val="-1"/>
        </w:rPr>
        <w:t> </w:t>
      </w:r>
      <w:r>
        <w:rPr/>
        <w:t>Hospitality</w:t>
      </w:r>
      <w:r>
        <w:rPr>
          <w:spacing w:val="-1"/>
        </w:rPr>
        <w:t> </w:t>
      </w:r>
      <w:r>
        <w:rPr/>
        <w:t>India</w:t>
      </w:r>
      <w:r>
        <w:rPr>
          <w:spacing w:val="-1"/>
        </w:rPr>
        <w:t> </w:t>
      </w:r>
      <w:r>
        <w:rPr/>
        <w:t>Private,</w:t>
      </w:r>
      <w:r>
        <w:rPr>
          <w:spacing w:val="-1"/>
        </w:rPr>
        <w:t> </w:t>
      </w:r>
      <w:r>
        <w:rPr>
          <w:spacing w:val="-4"/>
        </w:rPr>
        <w:t>Ltd.</w:t>
      </w:r>
      <w:r>
        <w:rPr/>
        <w:tab/>
      </w:r>
      <w:r>
        <w:rPr>
          <w:spacing w:val="-2"/>
        </w:rPr>
        <w:t>India</w:t>
      </w:r>
    </w:p>
    <w:p>
      <w:pPr>
        <w:pStyle w:val="BodyText"/>
        <w:tabs>
          <w:tab w:pos="9223" w:val="left" w:leader="none"/>
        </w:tabs>
        <w:spacing w:before="22"/>
        <w:ind w:right="1793"/>
        <w:jc w:val="right"/>
      </w:pPr>
      <w:r>
        <w:rPr/>
        <w:t>MGM</w:t>
      </w:r>
      <w:r>
        <w:rPr>
          <w:spacing w:val="-1"/>
        </w:rPr>
        <w:t> </w:t>
      </w:r>
      <w:r>
        <w:rPr/>
        <w:t>International,</w:t>
      </w:r>
      <w:r>
        <w:rPr>
          <w:spacing w:val="-1"/>
        </w:rPr>
        <w:t> </w:t>
      </w:r>
      <w:r>
        <w:rPr>
          <w:spacing w:val="-5"/>
        </w:rPr>
        <w:t>LLC</w:t>
      </w:r>
      <w:r>
        <w:rPr/>
        <w:tab/>
      </w:r>
      <w:r>
        <w:rPr>
          <w:spacing w:val="-2"/>
        </w:rPr>
        <w:t>Nevada</w:t>
      </w:r>
    </w:p>
    <w:p>
      <w:pPr>
        <w:pStyle w:val="BodyText"/>
        <w:tabs>
          <w:tab w:pos="9295" w:val="left" w:leader="none"/>
        </w:tabs>
        <w:spacing w:before="36"/>
        <w:ind w:left="536"/>
      </w:pPr>
      <w:r>
        <w:rPr/>
        <w:t>MGM</w:t>
      </w:r>
      <w:r>
        <w:rPr>
          <w:spacing w:val="-1"/>
        </w:rPr>
        <w:t> </w:t>
      </w:r>
      <w:r>
        <w:rPr/>
        <w:t>Resorts</w:t>
      </w:r>
      <w:r>
        <w:rPr>
          <w:spacing w:val="-1"/>
        </w:rPr>
        <w:t> </w:t>
      </w:r>
      <w:r>
        <w:rPr/>
        <w:t>International</w:t>
      </w:r>
      <w:r>
        <w:rPr>
          <w:spacing w:val="-1"/>
        </w:rPr>
        <w:t> </w:t>
      </w:r>
      <w:r>
        <w:rPr/>
        <w:t>Holdings,</w:t>
      </w:r>
      <w:r>
        <w:rPr>
          <w:spacing w:val="-1"/>
        </w:rPr>
        <w:t> </w:t>
      </w:r>
      <w:r>
        <w:rPr>
          <w:spacing w:val="-4"/>
        </w:rPr>
        <w:t>Ltd.</w:t>
      </w:r>
      <w:r>
        <w:rPr/>
        <w:tab/>
        <w:t>Isle</w:t>
      </w:r>
      <w:r>
        <w:rPr>
          <w:spacing w:val="-3"/>
        </w:rPr>
        <w:t> </w:t>
      </w:r>
      <w:r>
        <w:rPr/>
        <w:t>of</w:t>
      </w:r>
      <w:r>
        <w:rPr>
          <w:spacing w:val="-1"/>
        </w:rPr>
        <w:t> </w:t>
      </w:r>
      <w:r>
        <w:rPr>
          <w:spacing w:val="-5"/>
        </w:rPr>
        <w:t>Man</w:t>
      </w:r>
    </w:p>
    <w:p>
      <w:pPr>
        <w:pStyle w:val="BodyText"/>
        <w:tabs>
          <w:tab w:pos="9132" w:val="left" w:leader="none"/>
        </w:tabs>
        <w:spacing w:before="23"/>
        <w:ind w:left="860"/>
      </w:pPr>
      <w:r>
        <w:rPr/>
        <w:t>MGM</w:t>
      </w:r>
      <w:r>
        <w:rPr>
          <w:spacing w:val="-1"/>
        </w:rPr>
        <w:t> </w:t>
      </w:r>
      <w:r>
        <w:rPr/>
        <w:t>China</w:t>
      </w:r>
      <w:r>
        <w:rPr>
          <w:spacing w:val="-1"/>
        </w:rPr>
        <w:t> </w:t>
      </w:r>
      <w:r>
        <w:rPr/>
        <w:t>Holdings,</w:t>
      </w:r>
      <w:r>
        <w:rPr>
          <w:spacing w:val="-1"/>
        </w:rPr>
        <w:t> </w:t>
      </w:r>
      <w:r>
        <w:rPr>
          <w:spacing w:val="-4"/>
        </w:rPr>
        <w:t>Ltd.</w:t>
      </w:r>
      <w:r>
        <w:rPr/>
        <w:tab/>
        <w:t>Cayman</w:t>
      </w:r>
      <w:r>
        <w:rPr>
          <w:spacing w:val="-1"/>
        </w:rPr>
        <w:t> </w:t>
      </w:r>
      <w:r>
        <w:rPr>
          <w:spacing w:val="-2"/>
        </w:rPr>
        <w:t>Islands</w:t>
      </w:r>
    </w:p>
    <w:p>
      <w:pPr>
        <w:pStyle w:val="BodyText"/>
        <w:tabs>
          <w:tab w:pos="8644" w:val="left" w:leader="none"/>
        </w:tabs>
        <w:spacing w:before="22"/>
        <w:ind w:right="1864"/>
        <w:jc w:val="right"/>
      </w:pPr>
      <w:r>
        <w:rPr/>
        <w:t>MGM</w:t>
      </w:r>
      <w:r>
        <w:rPr>
          <w:spacing w:val="-5"/>
        </w:rPr>
        <w:t> </w:t>
      </w:r>
      <w:r>
        <w:rPr/>
        <w:t>Resorts</w:t>
      </w:r>
      <w:r>
        <w:rPr>
          <w:spacing w:val="-8"/>
        </w:rPr>
        <w:t> </w:t>
      </w:r>
      <w:r>
        <w:rPr/>
        <w:t>West</w:t>
      </w:r>
      <w:r>
        <w:rPr>
          <w:spacing w:val="-5"/>
        </w:rPr>
        <w:t> </w:t>
      </w:r>
      <w:r>
        <w:rPr/>
        <w:t>Japan,</w:t>
      </w:r>
      <w:r>
        <w:rPr>
          <w:spacing w:val="-4"/>
        </w:rPr>
        <w:t> </w:t>
      </w:r>
      <w:r>
        <w:rPr>
          <w:spacing w:val="-5"/>
        </w:rPr>
        <w:t>LLC</w:t>
      </w:r>
      <w:r>
        <w:rPr/>
        <w:tab/>
      </w:r>
      <w:r>
        <w:rPr>
          <w:spacing w:val="-4"/>
        </w:rPr>
        <w:t>Japan</w:t>
      </w:r>
    </w:p>
    <w:p>
      <w:pPr>
        <w:pStyle w:val="BodyText"/>
        <w:tabs>
          <w:tab w:pos="9223" w:val="left" w:leader="none"/>
        </w:tabs>
        <w:spacing w:before="36"/>
        <w:ind w:right="1793"/>
        <w:jc w:val="right"/>
      </w:pPr>
      <w:r>
        <w:rPr/>
        <w:t>MGM</w:t>
      </w:r>
      <w:r>
        <w:rPr>
          <w:spacing w:val="-1"/>
        </w:rPr>
        <w:t> </w:t>
      </w:r>
      <w:r>
        <w:rPr/>
        <w:t>Japan</w:t>
      </w:r>
      <w:r>
        <w:rPr>
          <w:spacing w:val="-1"/>
        </w:rPr>
        <w:t> </w:t>
      </w:r>
      <w:r>
        <w:rPr/>
        <w:t>Indirect</w:t>
      </w:r>
      <w:r>
        <w:rPr>
          <w:spacing w:val="-1"/>
        </w:rPr>
        <w:t> </w:t>
      </w:r>
      <w:r>
        <w:rPr/>
        <w:t>Holdco</w:t>
      </w:r>
      <w:r>
        <w:rPr>
          <w:spacing w:val="-1"/>
        </w:rPr>
        <w:t> </w:t>
      </w:r>
      <w:r>
        <w:rPr/>
        <w:t>I,</w:t>
      </w:r>
      <w:r>
        <w:rPr>
          <w:spacing w:val="-1"/>
        </w:rPr>
        <w:t> </w:t>
      </w:r>
      <w:r>
        <w:rPr>
          <w:spacing w:val="-5"/>
        </w:rPr>
        <w:t>LLC</w:t>
      </w:r>
      <w:r>
        <w:rPr/>
        <w:tab/>
      </w:r>
      <w:r>
        <w:rPr>
          <w:spacing w:val="-2"/>
        </w:rPr>
        <w:t>Nevada</w:t>
      </w:r>
    </w:p>
    <w:p>
      <w:pPr>
        <w:pStyle w:val="BodyText"/>
        <w:rPr>
          <w:sz w:val="20"/>
        </w:rPr>
      </w:pP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818240">
                <wp:simplePos x="0" y="0"/>
                <wp:positionH relativeFrom="page">
                  <wp:posOffset>231457</wp:posOffset>
                </wp:positionH>
                <wp:positionV relativeFrom="paragraph">
                  <wp:posOffset>197472</wp:posOffset>
                </wp:positionV>
                <wp:extent cx="7312659" cy="17145"/>
                <wp:effectExtent l="0" t="0" r="0" b="0"/>
                <wp:wrapTopAndBottom/>
                <wp:docPr id="1142" name="Group 1142"/>
                <wp:cNvGraphicFramePr>
                  <a:graphicFrameLocks/>
                </wp:cNvGraphicFramePr>
                <a:graphic>
                  <a:graphicData uri="http://schemas.microsoft.com/office/word/2010/wordprocessingGroup">
                    <wpg:wgp>
                      <wpg:cNvPr id="1142" name="Group 1142"/>
                      <wpg:cNvGrpSpPr/>
                      <wpg:grpSpPr>
                        <a:xfrm>
                          <a:off x="0" y="0"/>
                          <a:ext cx="7312659" cy="17145"/>
                          <a:chExt cx="7312659" cy="17145"/>
                        </a:xfrm>
                      </wpg:grpSpPr>
                      <wps:wsp>
                        <wps:cNvPr id="1143" name="Graphic 114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44" name="Graphic 1144"/>
                        <wps:cNvSpPr/>
                        <wps:spPr>
                          <a:xfrm>
                            <a:off x="-12" y="-2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45" name="Graphic 114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549024pt;width:575.8pt;height:1.35pt;mso-position-horizontal-relative:page;mso-position-vertical-relative:paragraph;z-index:-15498240;mso-wrap-distance-left:0;mso-wrap-distance-right:0" id="docshapegroup1140" coordorigin="364,311" coordsize="11516,27">
                <v:rect style="position:absolute;left:364;top:310;width:11516;height:14" id="docshape1141" filled="true" fillcolor="#999999" stroked="false">
                  <v:fill type="solid"/>
                </v:rect>
                <v:shape style="position:absolute;left:364;top:310;width:11516;height:27" id="docshape1142" coordorigin="364,311" coordsize="11516,27" path="m11880,311l11866,324,364,324,364,338,11866,338,11880,338,11880,324,11880,311xe" filled="true" fillcolor="#ededed" stroked="false">
                  <v:path arrowok="t"/>
                  <v:fill type="solid"/>
                </v:shape>
                <v:shape style="position:absolute;left:364;top:310;width:14;height:27" id="docshape1143" coordorigin="364,311" coordsize="14,27" path="m364,338l364,311,378,311,378,324,364,338xe" filled="true" fillcolor="#999999" stroked="false">
                  <v:path arrowok="t"/>
                  <v:fill type="solid"/>
                </v:shape>
                <w10:wrap type="topAndBottom"/>
              </v:group>
            </w:pict>
          </mc:Fallback>
        </mc:AlternateContent>
      </w:r>
    </w:p>
    <w:p>
      <w:pPr>
        <w:spacing w:after="0"/>
        <w:rPr>
          <w:sz w:val="20"/>
        </w:rPr>
        <w:sectPr>
          <w:type w:val="continuous"/>
          <w:pgSz w:w="12240" w:h="15840"/>
          <w:pgMar w:top="1040" w:bottom="280" w:left="220" w:right="240"/>
        </w:sectPr>
      </w:pPr>
    </w:p>
    <w:p>
      <w:pPr>
        <w:pStyle w:val="BodyText"/>
        <w:tabs>
          <w:tab w:pos="8898" w:val="left" w:leader="none"/>
        </w:tabs>
        <w:spacing w:before="80"/>
        <w:ind w:right="1794"/>
        <w:jc w:val="right"/>
      </w:pPr>
      <w:r>
        <w:rPr/>
        <w:t>MGM</w:t>
      </w:r>
      <w:r>
        <w:rPr>
          <w:spacing w:val="-1"/>
        </w:rPr>
        <w:t> </w:t>
      </w:r>
      <w:r>
        <w:rPr/>
        <w:t>Japan</w:t>
      </w:r>
      <w:r>
        <w:rPr>
          <w:spacing w:val="-1"/>
        </w:rPr>
        <w:t> </w:t>
      </w:r>
      <w:r>
        <w:rPr/>
        <w:t>Holdco</w:t>
      </w:r>
      <w:r>
        <w:rPr>
          <w:spacing w:val="-1"/>
        </w:rPr>
        <w:t> </w:t>
      </w:r>
      <w:r>
        <w:rPr>
          <w:spacing w:val="-5"/>
        </w:rPr>
        <w:t>LP</w:t>
      </w:r>
      <w:r>
        <w:rPr/>
        <w:tab/>
      </w:r>
      <w:r>
        <w:rPr>
          <w:spacing w:val="-2"/>
        </w:rPr>
        <w:t>Nevada</w:t>
      </w:r>
    </w:p>
    <w:p>
      <w:pPr>
        <w:pStyle w:val="BodyText"/>
        <w:tabs>
          <w:tab w:pos="8644" w:val="left" w:leader="none"/>
        </w:tabs>
        <w:spacing w:before="23"/>
        <w:ind w:right="1863"/>
        <w:jc w:val="right"/>
      </w:pPr>
      <w:r>
        <w:rPr/>
        <w:t>MGM</w:t>
      </w:r>
      <w:r>
        <w:rPr>
          <w:spacing w:val="-1"/>
        </w:rPr>
        <w:t> </w:t>
      </w:r>
      <w:r>
        <w:rPr/>
        <w:t>Resorts</w:t>
      </w:r>
      <w:r>
        <w:rPr>
          <w:spacing w:val="-1"/>
        </w:rPr>
        <w:t> </w:t>
      </w:r>
      <w:r>
        <w:rPr/>
        <w:t>Japan,</w:t>
      </w:r>
      <w:r>
        <w:rPr>
          <w:spacing w:val="-1"/>
        </w:rPr>
        <w:t> </w:t>
      </w:r>
      <w:r>
        <w:rPr>
          <w:spacing w:val="-5"/>
        </w:rPr>
        <w:t>LLC</w:t>
      </w:r>
      <w:r>
        <w:rPr/>
        <w:tab/>
      </w:r>
      <w:r>
        <w:rPr>
          <w:spacing w:val="-2"/>
        </w:rPr>
        <w:t>Japan</w:t>
      </w:r>
    </w:p>
    <w:p>
      <w:pPr>
        <w:pStyle w:val="BodyText"/>
        <w:tabs>
          <w:tab w:pos="9222" w:val="left" w:leader="none"/>
        </w:tabs>
        <w:spacing w:before="36"/>
        <w:ind w:right="1794"/>
        <w:jc w:val="right"/>
      </w:pPr>
      <w:r>
        <w:rPr/>
        <w:t>MGM</w:t>
      </w:r>
      <w:r>
        <w:rPr>
          <w:spacing w:val="-1"/>
        </w:rPr>
        <w:t> </w:t>
      </w:r>
      <w:r>
        <w:rPr/>
        <w:t>Japan</w:t>
      </w:r>
      <w:r>
        <w:rPr>
          <w:spacing w:val="-1"/>
        </w:rPr>
        <w:t> </w:t>
      </w:r>
      <w:r>
        <w:rPr/>
        <w:t>Indirect</w:t>
      </w:r>
      <w:r>
        <w:rPr>
          <w:spacing w:val="-1"/>
        </w:rPr>
        <w:t> </w:t>
      </w:r>
      <w:r>
        <w:rPr/>
        <w:t>Holdco</w:t>
      </w:r>
      <w:r>
        <w:rPr>
          <w:spacing w:val="-1"/>
        </w:rPr>
        <w:t> </w:t>
      </w:r>
      <w:r>
        <w:rPr/>
        <w:t>II,</w:t>
      </w:r>
      <w:r>
        <w:rPr>
          <w:spacing w:val="-1"/>
        </w:rPr>
        <w:t> </w:t>
      </w:r>
      <w:r>
        <w:rPr>
          <w:spacing w:val="-5"/>
        </w:rPr>
        <w:t>LLC</w:t>
      </w:r>
      <w:r>
        <w:rPr/>
        <w:tab/>
      </w:r>
      <w:r>
        <w:rPr>
          <w:spacing w:val="-2"/>
        </w:rPr>
        <w:t>Nevada</w:t>
      </w:r>
    </w:p>
    <w:p>
      <w:pPr>
        <w:pStyle w:val="BodyText"/>
        <w:tabs>
          <w:tab w:pos="9152" w:val="left" w:leader="none"/>
        </w:tabs>
        <w:spacing w:before="22"/>
        <w:ind w:right="1724"/>
        <w:jc w:val="right"/>
      </w:pPr>
      <w:r>
        <w:rPr/>
        <w:t>MGM</w:t>
      </w:r>
      <w:r>
        <w:rPr>
          <w:spacing w:val="-1"/>
        </w:rPr>
        <w:t> </w:t>
      </w:r>
      <w:r>
        <w:rPr/>
        <w:t>Lessee,</w:t>
      </w:r>
      <w:r>
        <w:rPr>
          <w:spacing w:val="-1"/>
        </w:rPr>
        <w:t> </w:t>
      </w:r>
      <w:r>
        <w:rPr>
          <w:spacing w:val="-5"/>
        </w:rPr>
        <w:t>LLC</w:t>
      </w:r>
      <w:r>
        <w:rPr/>
        <w:tab/>
      </w:r>
      <w:r>
        <w:rPr>
          <w:spacing w:val="-2"/>
        </w:rPr>
        <w:t>Delaware</w:t>
      </w:r>
    </w:p>
    <w:p>
      <w:pPr>
        <w:pStyle w:val="BodyText"/>
        <w:tabs>
          <w:tab w:pos="9152" w:val="left" w:leader="none"/>
        </w:tabs>
        <w:spacing w:before="23"/>
        <w:ind w:right="1724"/>
        <w:jc w:val="right"/>
      </w:pPr>
      <w:r>
        <w:rPr/>
        <w:t>MGM</w:t>
      </w:r>
      <w:r>
        <w:rPr>
          <w:spacing w:val="-1"/>
        </w:rPr>
        <w:t> </w:t>
      </w:r>
      <w:r>
        <w:rPr/>
        <w:t>Lessee</w:t>
      </w:r>
      <w:r>
        <w:rPr>
          <w:spacing w:val="-1"/>
        </w:rPr>
        <w:t> </w:t>
      </w:r>
      <w:r>
        <w:rPr/>
        <w:t>II,</w:t>
      </w:r>
      <w:r>
        <w:rPr>
          <w:spacing w:val="-1"/>
        </w:rPr>
        <w:t> </w:t>
      </w:r>
      <w:r>
        <w:rPr>
          <w:spacing w:val="-5"/>
        </w:rPr>
        <w:t>LLC</w:t>
      </w:r>
      <w:r>
        <w:rPr/>
        <w:tab/>
      </w:r>
      <w:r>
        <w:rPr>
          <w:spacing w:val="-2"/>
        </w:rPr>
        <w:t>Delaware</w:t>
      </w:r>
    </w:p>
    <w:p>
      <w:pPr>
        <w:pStyle w:val="BodyText"/>
        <w:tabs>
          <w:tab w:pos="9222" w:val="left" w:leader="none"/>
        </w:tabs>
        <w:spacing w:before="36"/>
        <w:ind w:right="1794"/>
        <w:jc w:val="right"/>
      </w:pPr>
      <w:r>
        <w:rPr/>
        <w:t>MGM</w:t>
      </w:r>
      <w:r>
        <w:rPr>
          <w:spacing w:val="-7"/>
        </w:rPr>
        <w:t> </w:t>
      </w:r>
      <w:r>
        <w:rPr/>
        <w:t>Live</w:t>
      </w:r>
      <w:r>
        <w:rPr>
          <w:spacing w:val="-6"/>
        </w:rPr>
        <w:t> </w:t>
      </w:r>
      <w:r>
        <w:rPr/>
        <w:t>Event</w:t>
      </w:r>
      <w:r>
        <w:rPr>
          <w:spacing w:val="-8"/>
        </w:rPr>
        <w:t> </w:t>
      </w:r>
      <w:r>
        <w:rPr/>
        <w:t>Ventures,</w:t>
      </w:r>
      <w:r>
        <w:rPr>
          <w:spacing w:val="-6"/>
        </w:rPr>
        <w:t> </w:t>
      </w:r>
      <w:r>
        <w:rPr>
          <w:spacing w:val="-5"/>
        </w:rPr>
        <w:t>LLC</w:t>
      </w:r>
      <w:r>
        <w:rPr/>
        <w:tab/>
      </w:r>
      <w:r>
        <w:rPr>
          <w:spacing w:val="-2"/>
        </w:rPr>
        <w:t>Nevada</w:t>
      </w:r>
    </w:p>
    <w:p>
      <w:pPr>
        <w:pStyle w:val="BodyText"/>
        <w:tabs>
          <w:tab w:pos="9189" w:val="left" w:leader="none"/>
        </w:tabs>
        <w:spacing w:before="22"/>
        <w:ind w:left="212"/>
      </w:pPr>
      <w:r>
        <w:rPr/>
        <w:t>MGM</w:t>
      </w:r>
      <w:r>
        <w:rPr>
          <w:spacing w:val="-1"/>
        </w:rPr>
        <w:t> </w:t>
      </w:r>
      <w:r>
        <w:rPr/>
        <w:t>MA</w:t>
      </w:r>
      <w:r>
        <w:rPr>
          <w:spacing w:val="-10"/>
        </w:rPr>
        <w:t> </w:t>
      </w:r>
      <w:r>
        <w:rPr/>
        <w:t>Sub,</w:t>
      </w:r>
      <w:r>
        <w:rPr>
          <w:spacing w:val="-1"/>
        </w:rPr>
        <w:t> </w:t>
      </w:r>
      <w:r>
        <w:rPr>
          <w:spacing w:val="-5"/>
        </w:rPr>
        <w:t>LLC</w:t>
      </w:r>
      <w:r>
        <w:rPr/>
        <w:tab/>
      </w:r>
      <w:r>
        <w:rPr>
          <w:spacing w:val="-2"/>
        </w:rPr>
        <w:t>Massachusetts</w:t>
      </w:r>
    </w:p>
    <w:p>
      <w:pPr>
        <w:pStyle w:val="BodyText"/>
        <w:tabs>
          <w:tab w:pos="9434" w:val="left" w:leader="none"/>
        </w:tabs>
        <w:spacing w:before="23"/>
        <w:ind w:left="212"/>
      </w:pPr>
      <w:r>
        <w:rPr/>
        <w:t>MGM</w:t>
      </w:r>
      <w:r>
        <w:rPr>
          <w:spacing w:val="-4"/>
        </w:rPr>
        <w:t> </w:t>
      </w:r>
      <w:r>
        <w:rPr/>
        <w:t>National</w:t>
      </w:r>
      <w:r>
        <w:rPr>
          <w:spacing w:val="-4"/>
        </w:rPr>
        <w:t> </w:t>
      </w:r>
      <w:r>
        <w:rPr/>
        <w:t>Harbor,</w:t>
      </w:r>
      <w:r>
        <w:rPr>
          <w:spacing w:val="-3"/>
        </w:rPr>
        <w:t> </w:t>
      </w:r>
      <w:r>
        <w:rPr>
          <w:spacing w:val="-5"/>
        </w:rPr>
        <w:t>LLC</w:t>
      </w:r>
      <w:r>
        <w:rPr/>
        <w:tab/>
      </w:r>
      <w:r>
        <w:rPr>
          <w:spacing w:val="-2"/>
        </w:rPr>
        <w:t>Nevada</w:t>
      </w:r>
    </w:p>
    <w:p>
      <w:pPr>
        <w:pStyle w:val="BodyText"/>
        <w:tabs>
          <w:tab w:pos="9434" w:val="left" w:leader="none"/>
        </w:tabs>
        <w:spacing w:before="36"/>
        <w:ind w:left="212"/>
      </w:pPr>
      <w:r>
        <w:rPr/>
        <w:t>MGM</w:t>
      </w:r>
      <w:r>
        <w:rPr>
          <w:spacing w:val="-5"/>
        </w:rPr>
        <w:t> </w:t>
      </w:r>
      <w:r>
        <w:rPr/>
        <w:t>Public</w:t>
      </w:r>
      <w:r>
        <w:rPr>
          <w:spacing w:val="-5"/>
        </w:rPr>
        <w:t> </w:t>
      </w:r>
      <w:r>
        <w:rPr/>
        <w:t>Policy,</w:t>
      </w:r>
      <w:r>
        <w:rPr>
          <w:spacing w:val="-5"/>
        </w:rPr>
        <w:t> LLC</w:t>
      </w:r>
      <w:r>
        <w:rPr/>
        <w:tab/>
      </w:r>
      <w:r>
        <w:rPr>
          <w:spacing w:val="-2"/>
        </w:rPr>
        <w:t>Nevada</w:t>
      </w:r>
    </w:p>
    <w:p>
      <w:pPr>
        <w:pStyle w:val="BodyText"/>
        <w:tabs>
          <w:tab w:pos="9222" w:val="left" w:leader="none"/>
        </w:tabs>
        <w:spacing w:before="22"/>
        <w:ind w:right="1794"/>
        <w:jc w:val="right"/>
      </w:pPr>
      <w:r>
        <w:rPr/>
        <w:t>MGM</w:t>
      </w:r>
      <w:r>
        <w:rPr>
          <w:spacing w:val="-1"/>
        </w:rPr>
        <w:t> </w:t>
      </w:r>
      <w:r>
        <w:rPr/>
        <w:t>Resorts</w:t>
      </w:r>
      <w:r>
        <w:rPr>
          <w:spacing w:val="-10"/>
        </w:rPr>
        <w:t> </w:t>
      </w:r>
      <w:r>
        <w:rPr/>
        <w:t>Advertising,</w:t>
      </w:r>
      <w:r>
        <w:rPr>
          <w:spacing w:val="-1"/>
        </w:rPr>
        <w:t> </w:t>
      </w:r>
      <w:r>
        <w:rPr>
          <w:spacing w:val="-4"/>
        </w:rPr>
        <w:t>Inc.</w:t>
      </w:r>
      <w:r>
        <w:rPr/>
        <w:tab/>
      </w:r>
      <w:r>
        <w:rPr>
          <w:spacing w:val="-2"/>
        </w:rPr>
        <w:t>Nevada</w:t>
      </w:r>
    </w:p>
    <w:p>
      <w:pPr>
        <w:pStyle w:val="BodyText"/>
        <w:tabs>
          <w:tab w:pos="8898" w:val="left" w:leader="none"/>
        </w:tabs>
        <w:spacing w:before="23"/>
        <w:ind w:right="1794"/>
        <w:jc w:val="right"/>
      </w:pPr>
      <w:r>
        <w:rPr>
          <w:spacing w:val="-2"/>
        </w:rPr>
        <w:t>VidiAd</w:t>
      </w:r>
      <w:r>
        <w:rPr/>
        <w:tab/>
      </w:r>
      <w:r>
        <w:rPr>
          <w:spacing w:val="-2"/>
        </w:rPr>
        <w:t>Nevada</w:t>
      </w:r>
    </w:p>
    <w:p>
      <w:pPr>
        <w:pStyle w:val="BodyText"/>
        <w:tabs>
          <w:tab w:pos="9434" w:val="left" w:leader="none"/>
        </w:tabs>
        <w:spacing w:before="22"/>
        <w:ind w:left="212"/>
      </w:pPr>
      <w:r>
        <w:rPr/>
        <w:t>MGM</w:t>
      </w:r>
      <w:r>
        <w:rPr>
          <w:spacing w:val="-1"/>
        </w:rPr>
        <w:t> </w:t>
      </w:r>
      <w:r>
        <w:rPr/>
        <w:t>Resorts</w:t>
      </w:r>
      <w:r>
        <w:rPr>
          <w:spacing w:val="-10"/>
        </w:rPr>
        <w:t> </w:t>
      </w:r>
      <w:r>
        <w:rPr/>
        <w:t>Arena</w:t>
      </w:r>
      <w:r>
        <w:rPr>
          <w:spacing w:val="-1"/>
        </w:rPr>
        <w:t> </w:t>
      </w:r>
      <w:r>
        <w:rPr/>
        <w:t>Holdings,</w:t>
      </w:r>
      <w:r>
        <w:rPr>
          <w:spacing w:val="-1"/>
        </w:rPr>
        <w:t> </w:t>
      </w:r>
      <w:r>
        <w:rPr>
          <w:spacing w:val="-5"/>
        </w:rPr>
        <w:t>LLC</w:t>
      </w:r>
      <w:r>
        <w:rPr/>
        <w:tab/>
      </w:r>
      <w:r>
        <w:rPr>
          <w:spacing w:val="-2"/>
        </w:rPr>
        <w:t>Nevada</w:t>
      </w:r>
    </w:p>
    <w:p>
      <w:pPr>
        <w:pStyle w:val="BodyText"/>
        <w:tabs>
          <w:tab w:pos="9434" w:val="left" w:leader="none"/>
        </w:tabs>
        <w:spacing w:before="36"/>
        <w:ind w:left="212"/>
      </w:pPr>
      <w:r>
        <w:rPr/>
        <w:t>MGM</w:t>
      </w:r>
      <w:r>
        <w:rPr>
          <w:spacing w:val="-1"/>
        </w:rPr>
        <w:t> </w:t>
      </w:r>
      <w:r>
        <w:rPr/>
        <w:t>Resorts</w:t>
      </w:r>
      <w:r>
        <w:rPr>
          <w:spacing w:val="-1"/>
        </w:rPr>
        <w:t> </w:t>
      </w:r>
      <w:r>
        <w:rPr/>
        <w:t>Development,</w:t>
      </w:r>
      <w:r>
        <w:rPr>
          <w:spacing w:val="-1"/>
        </w:rPr>
        <w:t> </w:t>
      </w:r>
      <w:r>
        <w:rPr>
          <w:spacing w:val="-5"/>
        </w:rPr>
        <w:t>LLC</w:t>
      </w:r>
      <w:r>
        <w:rPr/>
        <w:tab/>
      </w:r>
      <w:r>
        <w:rPr>
          <w:spacing w:val="-2"/>
        </w:rPr>
        <w:t>Nevada</w:t>
      </w:r>
    </w:p>
    <w:p>
      <w:pPr>
        <w:pStyle w:val="BodyText"/>
        <w:tabs>
          <w:tab w:pos="9434" w:val="left" w:leader="none"/>
        </w:tabs>
        <w:spacing w:before="23"/>
        <w:ind w:left="212"/>
      </w:pPr>
      <w:r>
        <w:rPr/>
        <w:t>MGM</w:t>
      </w:r>
      <w:r>
        <w:rPr>
          <w:spacing w:val="-1"/>
        </w:rPr>
        <w:t> </w:t>
      </w:r>
      <w:r>
        <w:rPr/>
        <w:t>Resorts</w:t>
      </w:r>
      <w:r>
        <w:rPr>
          <w:spacing w:val="-1"/>
        </w:rPr>
        <w:t> </w:t>
      </w:r>
      <w:r>
        <w:rPr/>
        <w:t>Global</w:t>
      </w:r>
      <w:r>
        <w:rPr>
          <w:spacing w:val="-1"/>
        </w:rPr>
        <w:t> </w:t>
      </w:r>
      <w:r>
        <w:rPr/>
        <w:t>Development,</w:t>
      </w:r>
      <w:r>
        <w:rPr>
          <w:spacing w:val="-1"/>
        </w:rPr>
        <w:t> </w:t>
      </w:r>
      <w:r>
        <w:rPr>
          <w:spacing w:val="-5"/>
        </w:rPr>
        <w:t>LLC</w:t>
      </w:r>
      <w:r>
        <w:rPr/>
        <w:tab/>
      </w:r>
      <w:r>
        <w:rPr>
          <w:spacing w:val="-2"/>
        </w:rPr>
        <w:t>Nevada</w:t>
      </w:r>
    </w:p>
    <w:p>
      <w:pPr>
        <w:pStyle w:val="BodyText"/>
        <w:tabs>
          <w:tab w:pos="9434" w:val="left" w:leader="none"/>
        </w:tabs>
        <w:spacing w:before="22"/>
        <w:ind w:left="212"/>
      </w:pPr>
      <w:r>
        <w:rPr/>
        <w:t>MGM</w:t>
      </w:r>
      <w:r>
        <w:rPr>
          <w:spacing w:val="-1"/>
        </w:rPr>
        <w:t> </w:t>
      </w:r>
      <w:r>
        <w:rPr/>
        <w:t>Resorts</w:t>
      </w:r>
      <w:r>
        <w:rPr>
          <w:spacing w:val="-1"/>
        </w:rPr>
        <w:t> </w:t>
      </w:r>
      <w:r>
        <w:rPr/>
        <w:t>Interactive,</w:t>
      </w:r>
      <w:r>
        <w:rPr>
          <w:spacing w:val="-1"/>
        </w:rPr>
        <w:t> </w:t>
      </w:r>
      <w:r>
        <w:rPr>
          <w:spacing w:val="-5"/>
        </w:rPr>
        <w:t>LLC</w:t>
      </w:r>
      <w:r>
        <w:rPr/>
        <w:tab/>
      </w:r>
      <w:r>
        <w:rPr>
          <w:spacing w:val="-2"/>
        </w:rPr>
        <w:t>Nevada</w:t>
      </w:r>
    </w:p>
    <w:p>
      <w:pPr>
        <w:pStyle w:val="BodyText"/>
        <w:tabs>
          <w:tab w:pos="9434" w:val="left" w:leader="none"/>
        </w:tabs>
        <w:spacing w:before="36"/>
        <w:ind w:left="212"/>
      </w:pPr>
      <w:r>
        <w:rPr/>
        <w:t>MGM</w:t>
      </w:r>
      <w:r>
        <w:rPr>
          <w:spacing w:val="-1"/>
        </w:rPr>
        <w:t> </w:t>
      </w:r>
      <w:r>
        <w:rPr/>
        <w:t>Resorts</w:t>
      </w:r>
      <w:r>
        <w:rPr>
          <w:spacing w:val="-1"/>
        </w:rPr>
        <w:t> </w:t>
      </w:r>
      <w:r>
        <w:rPr/>
        <w:t>International</w:t>
      </w:r>
      <w:r>
        <w:rPr>
          <w:spacing w:val="-1"/>
        </w:rPr>
        <w:t> </w:t>
      </w:r>
      <w:r>
        <w:rPr/>
        <w:t>Operations,</w:t>
      </w:r>
      <w:r>
        <w:rPr>
          <w:spacing w:val="-1"/>
        </w:rPr>
        <w:t> </w:t>
      </w:r>
      <w:r>
        <w:rPr>
          <w:spacing w:val="-4"/>
        </w:rPr>
        <w:t>Inc.</w:t>
      </w:r>
      <w:r>
        <w:rPr/>
        <w:tab/>
      </w:r>
      <w:r>
        <w:rPr>
          <w:spacing w:val="-2"/>
        </w:rPr>
        <w:t>Nevada</w:t>
      </w:r>
    </w:p>
    <w:p>
      <w:pPr>
        <w:pStyle w:val="BodyText"/>
        <w:tabs>
          <w:tab w:pos="9434" w:val="left" w:leader="none"/>
        </w:tabs>
        <w:spacing w:before="23"/>
        <w:ind w:left="212"/>
      </w:pPr>
      <w:r>
        <w:rPr/>
        <w:t>MGM</w:t>
      </w:r>
      <w:r>
        <w:rPr>
          <w:spacing w:val="-1"/>
        </w:rPr>
        <w:t> </w:t>
      </w:r>
      <w:r>
        <w:rPr/>
        <w:t>Resorts</w:t>
      </w:r>
      <w:r>
        <w:rPr>
          <w:spacing w:val="-1"/>
        </w:rPr>
        <w:t> </w:t>
      </w:r>
      <w:r>
        <w:rPr/>
        <w:t>Land</w:t>
      </w:r>
      <w:r>
        <w:rPr>
          <w:spacing w:val="-1"/>
        </w:rPr>
        <w:t> </w:t>
      </w:r>
      <w:r>
        <w:rPr/>
        <w:t>Holdings,</w:t>
      </w:r>
      <w:r>
        <w:rPr>
          <w:spacing w:val="-1"/>
        </w:rPr>
        <w:t> </w:t>
      </w:r>
      <w:r>
        <w:rPr>
          <w:spacing w:val="-5"/>
        </w:rPr>
        <w:t>LLC</w:t>
      </w:r>
      <w:r>
        <w:rPr/>
        <w:tab/>
      </w:r>
      <w:r>
        <w:rPr>
          <w:spacing w:val="-2"/>
        </w:rPr>
        <w:t>Nevada</w:t>
      </w:r>
    </w:p>
    <w:p>
      <w:pPr>
        <w:pStyle w:val="BodyText"/>
        <w:tabs>
          <w:tab w:pos="9434" w:val="left" w:leader="none"/>
        </w:tabs>
        <w:spacing w:before="22"/>
        <w:ind w:left="212"/>
      </w:pPr>
      <w:r>
        <w:rPr/>
        <w:t>MGM</w:t>
      </w:r>
      <w:r>
        <w:rPr>
          <w:spacing w:val="-1"/>
        </w:rPr>
        <w:t> </w:t>
      </w:r>
      <w:r>
        <w:rPr/>
        <w:t>Resorts</w:t>
      </w:r>
      <w:r>
        <w:rPr>
          <w:spacing w:val="-1"/>
        </w:rPr>
        <w:t> </w:t>
      </w:r>
      <w:r>
        <w:rPr/>
        <w:t>Oasis</w:t>
      </w:r>
      <w:r>
        <w:rPr>
          <w:spacing w:val="-1"/>
        </w:rPr>
        <w:t> </w:t>
      </w:r>
      <w:r>
        <w:rPr/>
        <w:t>Holdco,</w:t>
      </w:r>
      <w:r>
        <w:rPr>
          <w:spacing w:val="-1"/>
        </w:rPr>
        <w:t> </w:t>
      </w:r>
      <w:r>
        <w:rPr>
          <w:spacing w:val="-5"/>
        </w:rPr>
        <w:t>LLC</w:t>
      </w:r>
      <w:r>
        <w:rPr/>
        <w:tab/>
      </w:r>
      <w:r>
        <w:rPr>
          <w:spacing w:val="-2"/>
        </w:rPr>
        <w:t>Nevada</w:t>
      </w:r>
    </w:p>
    <w:p>
      <w:pPr>
        <w:pStyle w:val="BodyText"/>
        <w:tabs>
          <w:tab w:pos="9311" w:val="left" w:leader="none"/>
        </w:tabs>
        <w:spacing w:line="266" w:lineRule="auto" w:before="36"/>
        <w:ind w:left="536" w:right="1671" w:hanging="50"/>
      </w:pPr>
      <w:r>
        <w:rPr/>
        <w:t>MGM Resorts Commercial Enterprises Investment, Institution and Management - Sole Proprietorship L.L.C</w:t>
        <w:tab/>
        <w:t>Abu</w:t>
      </w:r>
      <w:r>
        <w:rPr>
          <w:spacing w:val="-12"/>
        </w:rPr>
        <w:t> </w:t>
      </w:r>
      <w:r>
        <w:rPr/>
        <w:t>Dhabi MGM</w:t>
      </w:r>
      <w:r>
        <w:rPr>
          <w:spacing w:val="-1"/>
        </w:rPr>
        <w:t> </w:t>
      </w:r>
      <w:r>
        <w:rPr/>
        <w:t>Resorts</w:t>
      </w:r>
      <w:r>
        <w:rPr>
          <w:spacing w:val="-1"/>
        </w:rPr>
        <w:t> </w:t>
      </w:r>
      <w:r>
        <w:rPr/>
        <w:t>Oasis</w:t>
      </w:r>
      <w:r>
        <w:rPr>
          <w:spacing w:val="-1"/>
        </w:rPr>
        <w:t> </w:t>
      </w:r>
      <w:r>
        <w:rPr/>
        <w:t>Holdco,</w:t>
      </w:r>
      <w:r>
        <w:rPr>
          <w:spacing w:val="-1"/>
        </w:rPr>
        <w:t> </w:t>
      </w:r>
      <w:r>
        <w:rPr>
          <w:spacing w:val="-4"/>
        </w:rPr>
        <w:t>Ltd.</w:t>
      </w:r>
      <w:r>
        <w:rPr/>
        <w:tab/>
        <w:t>Abu</w:t>
      </w:r>
      <w:r>
        <w:rPr>
          <w:spacing w:val="-3"/>
        </w:rPr>
        <w:t> </w:t>
      </w:r>
      <w:r>
        <w:rPr>
          <w:spacing w:val="-2"/>
        </w:rPr>
        <w:t>Dhabi</w:t>
      </w:r>
    </w:p>
    <w:p>
      <w:pPr>
        <w:spacing w:after="0" w:line="266" w:lineRule="auto"/>
        <w:sectPr>
          <w:pgSz w:w="12240" w:h="15840"/>
          <w:pgMar w:top="1520" w:bottom="280" w:left="220" w:right="240"/>
        </w:sectPr>
      </w:pPr>
    </w:p>
    <w:p>
      <w:pPr>
        <w:pStyle w:val="BodyText"/>
        <w:spacing w:line="235" w:lineRule="auto" w:before="3"/>
        <w:ind w:left="211" w:right="38"/>
      </w:pPr>
      <w:r>
        <w:rPr/>
        <w:t>MGM</w:t>
      </w:r>
      <w:r>
        <w:rPr>
          <w:spacing w:val="-10"/>
        </w:rPr>
        <w:t> </w:t>
      </w:r>
      <w:r>
        <w:rPr/>
        <w:t>Resorts</w:t>
      </w:r>
      <w:r>
        <w:rPr>
          <w:spacing w:val="-10"/>
        </w:rPr>
        <w:t> </w:t>
      </w:r>
      <w:r>
        <w:rPr/>
        <w:t>Regional</w:t>
      </w:r>
      <w:r>
        <w:rPr>
          <w:spacing w:val="-10"/>
        </w:rPr>
        <w:t> </w:t>
      </w:r>
      <w:r>
        <w:rPr/>
        <w:t>Operations,</w:t>
      </w:r>
      <w:r>
        <w:rPr>
          <w:spacing w:val="-10"/>
        </w:rPr>
        <w:t> </w:t>
      </w:r>
      <w:r>
        <w:rPr/>
        <w:t>LLC MGM Resorts Retail</w:t>
      </w:r>
    </w:p>
    <w:p>
      <w:pPr>
        <w:pStyle w:val="BodyText"/>
        <w:spacing w:line="235" w:lineRule="auto" w:before="3"/>
        <w:ind w:left="211" w:right="1794"/>
      </w:pPr>
      <w:r>
        <w:rPr/>
        <w:br w:type="column"/>
      </w:r>
      <w:r>
        <w:rPr>
          <w:spacing w:val="-2"/>
        </w:rPr>
        <w:t>Nevada Nevada</w:t>
      </w:r>
    </w:p>
    <w:p>
      <w:pPr>
        <w:spacing w:after="0" w:line="235" w:lineRule="auto"/>
        <w:sectPr>
          <w:type w:val="continuous"/>
          <w:pgSz w:w="12240" w:h="15840"/>
          <w:pgMar w:top="1040" w:bottom="280" w:left="220" w:right="240"/>
          <w:cols w:num="2" w:equalWidth="0">
            <w:col w:w="3246" w:space="5976"/>
            <w:col w:w="2558"/>
          </w:cols>
        </w:sectPr>
      </w:pPr>
    </w:p>
    <w:p>
      <w:pPr>
        <w:pStyle w:val="BodyText"/>
        <w:tabs>
          <w:tab w:pos="9434" w:val="left" w:leader="none"/>
        </w:tabs>
        <w:spacing w:before="50"/>
        <w:ind w:left="212"/>
      </w:pPr>
      <w:r>
        <w:rPr/>
        <w:t>MGM</w:t>
      </w:r>
      <w:r>
        <w:rPr>
          <w:spacing w:val="-1"/>
        </w:rPr>
        <w:t> </w:t>
      </w:r>
      <w:r>
        <w:rPr/>
        <w:t>Resorts</w:t>
      </w:r>
      <w:r>
        <w:rPr>
          <w:spacing w:val="-1"/>
        </w:rPr>
        <w:t> </w:t>
      </w:r>
      <w:r>
        <w:rPr/>
        <w:t>Satellite,</w:t>
      </w:r>
      <w:r>
        <w:rPr>
          <w:spacing w:val="-1"/>
        </w:rPr>
        <w:t> </w:t>
      </w:r>
      <w:r>
        <w:rPr>
          <w:spacing w:val="-5"/>
        </w:rPr>
        <w:t>LLC</w:t>
      </w:r>
      <w:r>
        <w:rPr/>
        <w:tab/>
      </w:r>
      <w:r>
        <w:rPr>
          <w:spacing w:val="-2"/>
        </w:rPr>
        <w:t>Nevada</w:t>
      </w:r>
    </w:p>
    <w:p>
      <w:pPr>
        <w:pStyle w:val="BodyText"/>
        <w:tabs>
          <w:tab w:pos="9434" w:val="left" w:leader="none"/>
        </w:tabs>
        <w:spacing w:before="23"/>
        <w:ind w:left="212"/>
      </w:pPr>
      <w:r>
        <w:rPr/>
        <w:t>MGM</w:t>
      </w:r>
      <w:r>
        <w:rPr>
          <w:spacing w:val="-1"/>
        </w:rPr>
        <w:t> </w:t>
      </w:r>
      <w:r>
        <w:rPr/>
        <w:t>Resorts</w:t>
      </w:r>
      <w:r>
        <w:rPr>
          <w:spacing w:val="-1"/>
        </w:rPr>
        <w:t> </w:t>
      </w:r>
      <w:r>
        <w:rPr/>
        <w:t>Sub</w:t>
      </w:r>
      <w:r>
        <w:rPr>
          <w:spacing w:val="-1"/>
        </w:rPr>
        <w:t> </w:t>
      </w:r>
      <w:r>
        <w:rPr/>
        <w:t>1,</w:t>
      </w:r>
      <w:r>
        <w:rPr>
          <w:spacing w:val="-1"/>
        </w:rPr>
        <w:t> </w:t>
      </w:r>
      <w:r>
        <w:rPr>
          <w:spacing w:val="-5"/>
        </w:rPr>
        <w:t>LLC</w:t>
      </w:r>
      <w:r>
        <w:rPr/>
        <w:tab/>
      </w:r>
      <w:r>
        <w:rPr>
          <w:spacing w:val="-2"/>
        </w:rPr>
        <w:t>Nevada</w:t>
      </w:r>
    </w:p>
    <w:p>
      <w:pPr>
        <w:pStyle w:val="BodyText"/>
        <w:tabs>
          <w:tab w:pos="8898" w:val="left" w:leader="none"/>
        </w:tabs>
        <w:spacing w:before="22"/>
        <w:ind w:right="1794"/>
        <w:jc w:val="right"/>
      </w:pPr>
      <w:r>
        <w:rPr>
          <w:spacing w:val="-2"/>
        </w:rPr>
        <w:t>Las</w:t>
      </w:r>
      <w:r>
        <w:rPr>
          <w:spacing w:val="-1"/>
        </w:rPr>
        <w:t> </w:t>
      </w:r>
      <w:r>
        <w:rPr>
          <w:spacing w:val="-2"/>
        </w:rPr>
        <w:t>Vegas</w:t>
      </w:r>
      <w:r>
        <w:rPr>
          <w:spacing w:val="3"/>
        </w:rPr>
        <w:t> </w:t>
      </w:r>
      <w:r>
        <w:rPr>
          <w:spacing w:val="-2"/>
        </w:rPr>
        <w:t>Basketball</w:t>
      </w:r>
      <w:r>
        <w:rPr>
          <w:spacing w:val="-1"/>
        </w:rPr>
        <w:t> </w:t>
      </w:r>
      <w:r>
        <w:rPr>
          <w:spacing w:val="-2"/>
        </w:rPr>
        <w:t>Ventures,</w:t>
      </w:r>
      <w:r>
        <w:rPr>
          <w:spacing w:val="3"/>
        </w:rPr>
        <w:t> </w:t>
      </w:r>
      <w:r>
        <w:rPr>
          <w:spacing w:val="-5"/>
        </w:rPr>
        <w:t>LLC</w:t>
      </w:r>
      <w:r>
        <w:rPr/>
        <w:tab/>
      </w:r>
      <w:r>
        <w:rPr>
          <w:spacing w:val="-2"/>
        </w:rPr>
        <w:t>Nevada</w:t>
      </w:r>
    </w:p>
    <w:p>
      <w:pPr>
        <w:pStyle w:val="BodyText"/>
        <w:tabs>
          <w:tab w:pos="9222" w:val="left" w:leader="none"/>
        </w:tabs>
        <w:spacing w:before="36"/>
        <w:ind w:right="1794"/>
        <w:jc w:val="right"/>
      </w:pPr>
      <w:r>
        <w:rPr/>
        <w:t>MGM</w:t>
      </w:r>
      <w:r>
        <w:rPr>
          <w:spacing w:val="-1"/>
        </w:rPr>
        <w:t> </w:t>
      </w:r>
      <w:r>
        <w:rPr/>
        <w:t>Resorts</w:t>
      </w:r>
      <w:r>
        <w:rPr>
          <w:spacing w:val="-1"/>
        </w:rPr>
        <w:t> </w:t>
      </w:r>
      <w:r>
        <w:rPr/>
        <w:t>Sub</w:t>
      </w:r>
      <w:r>
        <w:rPr>
          <w:spacing w:val="-1"/>
        </w:rPr>
        <w:t> </w:t>
      </w:r>
      <w:r>
        <w:rPr/>
        <w:t>B,</w:t>
      </w:r>
      <w:r>
        <w:rPr>
          <w:spacing w:val="-1"/>
        </w:rPr>
        <w:t> </w:t>
      </w:r>
      <w:r>
        <w:rPr>
          <w:spacing w:val="-5"/>
        </w:rPr>
        <w:t>LLC</w:t>
      </w:r>
      <w:r>
        <w:rPr/>
        <w:tab/>
      </w:r>
      <w:r>
        <w:rPr>
          <w:spacing w:val="-2"/>
        </w:rPr>
        <w:t>Nevada</w:t>
      </w:r>
    </w:p>
    <w:p>
      <w:pPr>
        <w:pStyle w:val="BodyText"/>
        <w:tabs>
          <w:tab w:pos="9152" w:val="left" w:leader="none"/>
        </w:tabs>
        <w:spacing w:before="23"/>
        <w:ind w:right="1724"/>
        <w:jc w:val="right"/>
      </w:pPr>
      <w:r>
        <w:rPr/>
        <w:t>MGM</w:t>
      </w:r>
      <w:r>
        <w:rPr>
          <w:spacing w:val="-1"/>
        </w:rPr>
        <w:t> </w:t>
      </w:r>
      <w:r>
        <w:rPr/>
        <w:t>Resorts</w:t>
      </w:r>
      <w:r>
        <w:rPr>
          <w:spacing w:val="-1"/>
        </w:rPr>
        <w:t> </w:t>
      </w:r>
      <w:r>
        <w:rPr/>
        <w:t>Sub</w:t>
      </w:r>
      <w:r>
        <w:rPr>
          <w:spacing w:val="-1"/>
        </w:rPr>
        <w:t> </w:t>
      </w:r>
      <w:r>
        <w:rPr/>
        <w:t>X,</w:t>
      </w:r>
      <w:r>
        <w:rPr>
          <w:spacing w:val="-1"/>
        </w:rPr>
        <w:t> </w:t>
      </w:r>
      <w:r>
        <w:rPr>
          <w:spacing w:val="-5"/>
        </w:rPr>
        <w:t>LLC</w:t>
      </w:r>
      <w:r>
        <w:rPr/>
        <w:tab/>
      </w:r>
      <w:r>
        <w:rPr>
          <w:spacing w:val="-2"/>
        </w:rPr>
        <w:t>Delaware</w:t>
      </w:r>
    </w:p>
    <w:p>
      <w:pPr>
        <w:pStyle w:val="BodyText"/>
        <w:tabs>
          <w:tab w:pos="8828" w:val="left" w:leader="none"/>
        </w:tabs>
        <w:spacing w:before="22"/>
        <w:ind w:right="1724"/>
        <w:jc w:val="right"/>
      </w:pPr>
      <w:r>
        <w:rPr/>
        <w:t>MGM</w:t>
      </w:r>
      <w:r>
        <w:rPr>
          <w:spacing w:val="-9"/>
        </w:rPr>
        <w:t> </w:t>
      </w:r>
      <w:r>
        <w:rPr/>
        <w:t>Resorts</w:t>
      </w:r>
      <w:r>
        <w:rPr>
          <w:spacing w:val="-7"/>
        </w:rPr>
        <w:t> </w:t>
      </w:r>
      <w:r>
        <w:rPr/>
        <w:t>Sub</w:t>
      </w:r>
      <w:r>
        <w:rPr>
          <w:spacing w:val="-11"/>
        </w:rPr>
        <w:t> </w:t>
      </w:r>
      <w:r>
        <w:rPr/>
        <w:t>Y,</w:t>
      </w:r>
      <w:r>
        <w:rPr>
          <w:spacing w:val="-7"/>
        </w:rPr>
        <w:t> </w:t>
      </w:r>
      <w:r>
        <w:rPr>
          <w:spacing w:val="-5"/>
        </w:rPr>
        <w:t>LLC</w:t>
      </w:r>
      <w:r>
        <w:rPr/>
        <w:tab/>
      </w:r>
      <w:r>
        <w:rPr>
          <w:spacing w:val="-2"/>
        </w:rPr>
        <w:t>Delaware</w:t>
      </w:r>
    </w:p>
    <w:p>
      <w:pPr>
        <w:pStyle w:val="BodyText"/>
        <w:tabs>
          <w:tab w:pos="8504" w:val="left" w:leader="none"/>
        </w:tabs>
        <w:spacing w:before="36"/>
        <w:ind w:right="1724"/>
        <w:jc w:val="right"/>
      </w:pPr>
      <w:r>
        <w:rPr/>
        <w:t>MGM</w:t>
      </w:r>
      <w:r>
        <w:rPr>
          <w:spacing w:val="-1"/>
        </w:rPr>
        <w:t> </w:t>
      </w:r>
      <w:r>
        <w:rPr/>
        <w:t>Resorts</w:t>
      </w:r>
      <w:r>
        <w:rPr>
          <w:spacing w:val="-1"/>
        </w:rPr>
        <w:t> </w:t>
      </w:r>
      <w:r>
        <w:rPr/>
        <w:t>Sub</w:t>
      </w:r>
      <w:r>
        <w:rPr>
          <w:spacing w:val="-1"/>
        </w:rPr>
        <w:t> </w:t>
      </w:r>
      <w:r>
        <w:rPr/>
        <w:t>Z,</w:t>
      </w:r>
      <w:r>
        <w:rPr>
          <w:spacing w:val="-1"/>
        </w:rPr>
        <w:t> </w:t>
      </w:r>
      <w:r>
        <w:rPr>
          <w:spacing w:val="-5"/>
        </w:rPr>
        <w:t>LLC</w:t>
      </w:r>
      <w:r>
        <w:rPr/>
        <w:tab/>
      </w:r>
      <w:r>
        <w:rPr>
          <w:spacing w:val="-2"/>
        </w:rPr>
        <w:t>Delaware</w:t>
      </w:r>
    </w:p>
    <w:p>
      <w:pPr>
        <w:pStyle w:val="BodyText"/>
        <w:tabs>
          <w:tab w:pos="9434" w:val="left" w:leader="none"/>
        </w:tabs>
        <w:spacing w:before="23"/>
        <w:ind w:left="212"/>
      </w:pPr>
      <w:r>
        <w:rPr/>
        <w:t>MGM</w:t>
      </w:r>
      <w:r>
        <w:rPr>
          <w:spacing w:val="-7"/>
        </w:rPr>
        <w:t> </w:t>
      </w:r>
      <w:r>
        <w:rPr/>
        <w:t>Resorts</w:t>
      </w:r>
      <w:r>
        <w:rPr>
          <w:spacing w:val="-8"/>
        </w:rPr>
        <w:t> </w:t>
      </w:r>
      <w:r>
        <w:rPr/>
        <w:t>Venue</w:t>
      </w:r>
      <w:r>
        <w:rPr>
          <w:spacing w:val="-6"/>
        </w:rPr>
        <w:t> </w:t>
      </w:r>
      <w:r>
        <w:rPr/>
        <w:t>Management,</w:t>
      </w:r>
      <w:r>
        <w:rPr>
          <w:spacing w:val="-6"/>
        </w:rPr>
        <w:t> </w:t>
      </w:r>
      <w:r>
        <w:rPr>
          <w:spacing w:val="-5"/>
        </w:rPr>
        <w:t>LLC</w:t>
      </w:r>
      <w:r>
        <w:rPr/>
        <w:tab/>
      </w:r>
      <w:r>
        <w:rPr>
          <w:spacing w:val="-2"/>
        </w:rPr>
        <w:t>Nevada</w:t>
      </w:r>
    </w:p>
    <w:p>
      <w:pPr>
        <w:pStyle w:val="BodyText"/>
        <w:tabs>
          <w:tab w:pos="9364" w:val="left" w:leader="none"/>
        </w:tabs>
        <w:spacing w:before="22"/>
        <w:ind w:left="212"/>
      </w:pPr>
      <w:r>
        <w:rPr/>
        <w:t>MGM</w:t>
      </w:r>
      <w:r>
        <w:rPr>
          <w:spacing w:val="-1"/>
        </w:rPr>
        <w:t> </w:t>
      </w:r>
      <w:r>
        <w:rPr/>
        <w:t>Sports</w:t>
      </w:r>
      <w:r>
        <w:rPr>
          <w:spacing w:val="-1"/>
        </w:rPr>
        <w:t> </w:t>
      </w:r>
      <w:r>
        <w:rPr/>
        <w:t>&amp;</w:t>
      </w:r>
      <w:r>
        <w:rPr>
          <w:spacing w:val="-1"/>
        </w:rPr>
        <w:t> </w:t>
      </w:r>
      <w:r>
        <w:rPr/>
        <w:t>Interactive</w:t>
      </w:r>
      <w:r>
        <w:rPr>
          <w:spacing w:val="-1"/>
        </w:rPr>
        <w:t> </w:t>
      </w:r>
      <w:r>
        <w:rPr/>
        <w:t>Gaming,</w:t>
      </w:r>
      <w:r>
        <w:rPr>
          <w:spacing w:val="-1"/>
        </w:rPr>
        <w:t> </w:t>
      </w:r>
      <w:r>
        <w:rPr>
          <w:spacing w:val="-5"/>
        </w:rPr>
        <w:t>LLC</w:t>
      </w:r>
      <w:r>
        <w:rPr/>
        <w:tab/>
      </w:r>
      <w:r>
        <w:rPr>
          <w:spacing w:val="-2"/>
        </w:rPr>
        <w:t>Delaware</w:t>
      </w:r>
    </w:p>
    <w:p>
      <w:pPr>
        <w:pStyle w:val="BodyText"/>
        <w:tabs>
          <w:tab w:pos="9132" w:val="left" w:leader="none"/>
        </w:tabs>
        <w:spacing w:before="36"/>
        <w:ind w:right="1703"/>
        <w:jc w:val="right"/>
      </w:pPr>
      <w:r>
        <w:rPr>
          <w:spacing w:val="-2"/>
        </w:rPr>
        <w:t>MGM</w:t>
      </w:r>
      <w:r>
        <w:rPr>
          <w:spacing w:val="-6"/>
        </w:rPr>
        <w:t> </w:t>
      </w:r>
      <w:r>
        <w:rPr>
          <w:spacing w:val="-2"/>
        </w:rPr>
        <w:t>Yonkers,</w:t>
      </w:r>
      <w:r>
        <w:rPr>
          <w:spacing w:val="1"/>
        </w:rPr>
        <w:t> </w:t>
      </w:r>
      <w:r>
        <w:rPr>
          <w:spacing w:val="-4"/>
        </w:rPr>
        <w:t>Inc.</w:t>
      </w:r>
      <w:r>
        <w:rPr/>
        <w:tab/>
        <w:t>New</w:t>
      </w:r>
      <w:r>
        <w:rPr>
          <w:spacing w:val="-9"/>
        </w:rPr>
        <w:t> </w:t>
      </w:r>
      <w:r>
        <w:rPr>
          <w:spacing w:val="-4"/>
        </w:rPr>
        <w:t>York</w:t>
      </w:r>
    </w:p>
    <w:p>
      <w:pPr>
        <w:pStyle w:val="BodyText"/>
        <w:tabs>
          <w:tab w:pos="9222" w:val="left" w:leader="none"/>
        </w:tabs>
        <w:spacing w:before="23"/>
        <w:ind w:right="1794"/>
        <w:jc w:val="right"/>
      </w:pPr>
      <w:r>
        <w:rPr/>
        <w:t>MGMM</w:t>
      </w:r>
      <w:r>
        <w:rPr>
          <w:spacing w:val="-1"/>
        </w:rPr>
        <w:t> </w:t>
      </w:r>
      <w:r>
        <w:rPr/>
        <w:t>Insurance</w:t>
      </w:r>
      <w:r>
        <w:rPr>
          <w:spacing w:val="-1"/>
        </w:rPr>
        <w:t> </w:t>
      </w:r>
      <w:r>
        <w:rPr>
          <w:spacing w:val="-2"/>
        </w:rPr>
        <w:t>Company</w:t>
      </w:r>
      <w:r>
        <w:rPr/>
        <w:tab/>
      </w:r>
      <w:r>
        <w:rPr>
          <w:spacing w:val="-2"/>
        </w:rPr>
        <w:t>Nevada</w:t>
      </w:r>
    </w:p>
    <w:p>
      <w:pPr>
        <w:pStyle w:val="BodyText"/>
        <w:tabs>
          <w:tab w:pos="9222" w:val="left" w:leader="none"/>
        </w:tabs>
        <w:spacing w:before="22"/>
        <w:ind w:right="1794"/>
        <w:jc w:val="right"/>
      </w:pPr>
      <w:r>
        <w:rPr/>
        <w:t>Mirage</w:t>
      </w:r>
      <w:r>
        <w:rPr>
          <w:spacing w:val="-1"/>
        </w:rPr>
        <w:t> </w:t>
      </w:r>
      <w:r>
        <w:rPr/>
        <w:t>Resorts,</w:t>
      </w:r>
      <w:r>
        <w:rPr>
          <w:spacing w:val="-1"/>
        </w:rPr>
        <w:t> </w:t>
      </w:r>
      <w:r>
        <w:rPr>
          <w:spacing w:val="-5"/>
        </w:rPr>
        <w:t>LLC</w:t>
      </w:r>
      <w:r>
        <w:rPr/>
        <w:tab/>
      </w:r>
      <w:r>
        <w:rPr>
          <w:spacing w:val="-2"/>
        </w:rPr>
        <w:t>Nevada</w:t>
      </w:r>
    </w:p>
    <w:p>
      <w:pPr>
        <w:pStyle w:val="BodyText"/>
        <w:tabs>
          <w:tab w:pos="8898" w:val="left" w:leader="none"/>
        </w:tabs>
        <w:spacing w:before="36"/>
        <w:ind w:right="1794"/>
        <w:jc w:val="right"/>
      </w:pPr>
      <w:r>
        <w:rPr/>
        <w:t>AC</w:t>
      </w:r>
      <w:r>
        <w:rPr>
          <w:spacing w:val="-1"/>
        </w:rPr>
        <w:t> </w:t>
      </w:r>
      <w:r>
        <w:rPr/>
        <w:t>Holding</w:t>
      </w:r>
      <w:r>
        <w:rPr>
          <w:spacing w:val="-1"/>
        </w:rPr>
        <w:t> </w:t>
      </w:r>
      <w:r>
        <w:rPr>
          <w:spacing w:val="-2"/>
        </w:rPr>
        <w:t>Corp.</w:t>
      </w:r>
      <w:r>
        <w:rPr/>
        <w:tab/>
      </w:r>
      <w:r>
        <w:rPr>
          <w:spacing w:val="-2"/>
        </w:rPr>
        <w:t>Nevada</w:t>
      </w:r>
    </w:p>
    <w:p>
      <w:pPr>
        <w:pStyle w:val="BodyText"/>
        <w:tabs>
          <w:tab w:pos="8898" w:val="left" w:leader="none"/>
        </w:tabs>
        <w:spacing w:before="23"/>
        <w:ind w:right="1794"/>
        <w:jc w:val="right"/>
      </w:pPr>
      <w:r>
        <w:rPr/>
        <w:t>AC</w:t>
      </w:r>
      <w:r>
        <w:rPr>
          <w:spacing w:val="-1"/>
        </w:rPr>
        <w:t> </w:t>
      </w:r>
      <w:r>
        <w:rPr/>
        <w:t>Holding</w:t>
      </w:r>
      <w:r>
        <w:rPr>
          <w:spacing w:val="-1"/>
        </w:rPr>
        <w:t> </w:t>
      </w:r>
      <w:r>
        <w:rPr/>
        <w:t>Corp.</w:t>
      </w:r>
      <w:r>
        <w:rPr>
          <w:spacing w:val="-1"/>
        </w:rPr>
        <w:t> </w:t>
      </w:r>
      <w:r>
        <w:rPr>
          <w:spacing w:val="-5"/>
        </w:rPr>
        <w:t>II</w:t>
      </w:r>
      <w:r>
        <w:rPr/>
        <w:tab/>
      </w:r>
      <w:r>
        <w:rPr>
          <w:spacing w:val="-2"/>
        </w:rPr>
        <w:t>Nevada</w:t>
      </w:r>
    </w:p>
    <w:p>
      <w:pPr>
        <w:pStyle w:val="BodyText"/>
        <w:tabs>
          <w:tab w:pos="9434" w:val="left" w:leader="none"/>
        </w:tabs>
        <w:spacing w:before="23"/>
        <w:ind w:left="536"/>
      </w:pPr>
      <w:r>
        <w:rPr/>
        <w:t>Bellagio,</w:t>
      </w:r>
      <w:r>
        <w:rPr>
          <w:spacing w:val="-1"/>
        </w:rPr>
        <w:t> </w:t>
      </w:r>
      <w:r>
        <w:rPr>
          <w:spacing w:val="-5"/>
        </w:rPr>
        <w:t>LLC</w:t>
      </w:r>
      <w:r>
        <w:rPr/>
        <w:tab/>
      </w:r>
      <w:r>
        <w:rPr>
          <w:spacing w:val="-2"/>
        </w:rPr>
        <w:t>Nevada</w:t>
      </w:r>
    </w:p>
    <w:p>
      <w:pPr>
        <w:pStyle w:val="BodyText"/>
        <w:tabs>
          <w:tab w:pos="9434" w:val="left" w:leader="none"/>
        </w:tabs>
        <w:spacing w:before="36"/>
        <w:ind w:left="536"/>
      </w:pPr>
      <w:r>
        <w:rPr/>
        <w:t>LV</w:t>
      </w:r>
      <w:r>
        <w:rPr>
          <w:spacing w:val="-12"/>
        </w:rPr>
        <w:t> </w:t>
      </w:r>
      <w:r>
        <w:rPr/>
        <w:t>Concrete</w:t>
      </w:r>
      <w:r>
        <w:rPr>
          <w:spacing w:val="-10"/>
        </w:rPr>
        <w:t> </w:t>
      </w:r>
      <w:r>
        <w:rPr>
          <w:spacing w:val="-2"/>
        </w:rPr>
        <w:t>Corp.</w:t>
      </w:r>
      <w:r>
        <w:rPr/>
        <w:tab/>
      </w:r>
      <w:r>
        <w:rPr>
          <w:spacing w:val="-2"/>
        </w:rPr>
        <w:t>Nevada</w:t>
      </w:r>
    </w:p>
    <w:p>
      <w:pPr>
        <w:pStyle w:val="BodyText"/>
        <w:tabs>
          <w:tab w:pos="8755" w:val="left" w:leader="none"/>
        </w:tabs>
        <w:spacing w:before="22"/>
        <w:ind w:right="1651"/>
        <w:jc w:val="right"/>
      </w:pPr>
      <w:r>
        <w:rPr/>
        <w:t>MAC,</w:t>
      </w:r>
      <w:r>
        <w:rPr>
          <w:spacing w:val="-1"/>
        </w:rPr>
        <w:t> </w:t>
      </w:r>
      <w:r>
        <w:rPr>
          <w:spacing w:val="-2"/>
        </w:rPr>
        <w:t>CORP.</w:t>
      </w:r>
      <w:r>
        <w:rPr/>
        <w:tab/>
        <w:t>New</w:t>
      </w:r>
      <w:r>
        <w:rPr>
          <w:spacing w:val="-3"/>
        </w:rPr>
        <w:t> </w:t>
      </w:r>
      <w:r>
        <w:rPr>
          <w:spacing w:val="-2"/>
        </w:rPr>
        <w:t>Jersey</w:t>
      </w:r>
    </w:p>
    <w:p>
      <w:pPr>
        <w:pStyle w:val="BodyText"/>
        <w:tabs>
          <w:tab w:pos="9291" w:val="left" w:leader="none"/>
        </w:tabs>
        <w:spacing w:before="23"/>
        <w:ind w:left="860"/>
      </w:pPr>
      <w:r>
        <w:rPr/>
        <w:t>Marina</w:t>
      </w:r>
      <w:r>
        <w:rPr>
          <w:spacing w:val="-1"/>
        </w:rPr>
        <w:t> </w:t>
      </w:r>
      <w:r>
        <w:rPr/>
        <w:t>District</w:t>
      </w:r>
      <w:r>
        <w:rPr>
          <w:spacing w:val="-1"/>
        </w:rPr>
        <w:t> </w:t>
      </w:r>
      <w:r>
        <w:rPr/>
        <w:t>Development</w:t>
      </w:r>
      <w:r>
        <w:rPr>
          <w:spacing w:val="-1"/>
        </w:rPr>
        <w:t> </w:t>
      </w:r>
      <w:r>
        <w:rPr/>
        <w:t>Holding</w:t>
      </w:r>
      <w:r>
        <w:rPr>
          <w:spacing w:val="-1"/>
        </w:rPr>
        <w:t> </w:t>
      </w:r>
      <w:r>
        <w:rPr/>
        <w:t>Co.,</w:t>
      </w:r>
      <w:r>
        <w:rPr>
          <w:spacing w:val="-1"/>
        </w:rPr>
        <w:t> </w:t>
      </w:r>
      <w:r>
        <w:rPr>
          <w:spacing w:val="-5"/>
        </w:rPr>
        <w:t>LLC</w:t>
      </w:r>
      <w:r>
        <w:rPr/>
        <w:tab/>
        <w:t>New</w:t>
      </w:r>
      <w:r>
        <w:rPr>
          <w:spacing w:val="-3"/>
        </w:rPr>
        <w:t> </w:t>
      </w:r>
      <w:r>
        <w:rPr>
          <w:spacing w:val="-2"/>
        </w:rPr>
        <w:t>Jersey</w:t>
      </w:r>
    </w:p>
    <w:p>
      <w:pPr>
        <w:pStyle w:val="BodyText"/>
        <w:tabs>
          <w:tab w:pos="9291" w:val="left" w:leader="none"/>
          <w:tab w:pos="9434" w:val="left" w:leader="none"/>
        </w:tabs>
        <w:spacing w:line="266" w:lineRule="auto" w:before="36"/>
        <w:ind w:left="536" w:right="1651" w:firstLine="648"/>
      </w:pPr>
      <w:r>
        <w:rPr/>
        <w:t>Marina District Development Company, LLC (dba Borgata)</w:t>
        <w:tab/>
        <w:t>New</w:t>
      </w:r>
      <w:r>
        <w:rPr>
          <w:spacing w:val="-12"/>
        </w:rPr>
        <w:t> </w:t>
      </w:r>
      <w:r>
        <w:rPr/>
        <w:t>Jersey MGM Resorts Aviation Corp.</w:t>
        <w:tab/>
        <w:tab/>
      </w:r>
      <w:r>
        <w:rPr>
          <w:spacing w:val="-2"/>
        </w:rPr>
        <w:t>Nevada</w:t>
      </w:r>
    </w:p>
    <w:p>
      <w:pPr>
        <w:pStyle w:val="BodyText"/>
        <w:tabs>
          <w:tab w:pos="9434" w:val="left" w:leader="none"/>
        </w:tabs>
        <w:spacing w:line="206" w:lineRule="exact"/>
        <w:ind w:left="536"/>
      </w:pPr>
      <w:r>
        <w:rPr/>
        <w:t>MGM</w:t>
      </w:r>
      <w:r>
        <w:rPr>
          <w:spacing w:val="-3"/>
        </w:rPr>
        <w:t> </w:t>
      </w:r>
      <w:r>
        <w:rPr/>
        <w:t>Resorts</w:t>
      </w:r>
      <w:r>
        <w:rPr>
          <w:spacing w:val="-1"/>
        </w:rPr>
        <w:t> </w:t>
      </w:r>
      <w:r>
        <w:rPr/>
        <w:t>Corporate</w:t>
      </w:r>
      <w:r>
        <w:rPr>
          <w:spacing w:val="-1"/>
        </w:rPr>
        <w:t> </w:t>
      </w:r>
      <w:r>
        <w:rPr>
          <w:spacing w:val="-2"/>
        </w:rPr>
        <w:t>Services</w:t>
      </w:r>
      <w:r>
        <w:rPr/>
        <w:tab/>
      </w:r>
      <w:r>
        <w:rPr>
          <w:spacing w:val="-2"/>
        </w:rPr>
        <w:t>Nevada</w:t>
      </w:r>
    </w:p>
    <w:p>
      <w:pPr>
        <w:pStyle w:val="BodyText"/>
        <w:tabs>
          <w:tab w:pos="9434" w:val="left" w:leader="none"/>
        </w:tabs>
        <w:spacing w:before="36"/>
        <w:ind w:left="536"/>
      </w:pPr>
      <w:r>
        <w:rPr/>
        <w:t>MGM</w:t>
      </w:r>
      <w:r>
        <w:rPr>
          <w:spacing w:val="-1"/>
        </w:rPr>
        <w:t> </w:t>
      </w:r>
      <w:r>
        <w:rPr/>
        <w:t>Resorts</w:t>
      </w:r>
      <w:r>
        <w:rPr>
          <w:spacing w:val="-1"/>
        </w:rPr>
        <w:t> </w:t>
      </w:r>
      <w:r>
        <w:rPr/>
        <w:t>Design</w:t>
      </w:r>
      <w:r>
        <w:rPr>
          <w:spacing w:val="-1"/>
        </w:rPr>
        <w:t> </w:t>
      </w:r>
      <w:r>
        <w:rPr/>
        <w:t>&amp;</w:t>
      </w:r>
      <w:r>
        <w:rPr>
          <w:spacing w:val="-1"/>
        </w:rPr>
        <w:t> </w:t>
      </w:r>
      <w:r>
        <w:rPr>
          <w:spacing w:val="-2"/>
        </w:rPr>
        <w:t>Development</w:t>
      </w:r>
      <w:r>
        <w:rPr/>
        <w:tab/>
      </w:r>
      <w:r>
        <w:rPr>
          <w:spacing w:val="-2"/>
        </w:rPr>
        <w:t>Nevada</w:t>
      </w:r>
    </w:p>
    <w:p>
      <w:pPr>
        <w:pStyle w:val="BodyText"/>
        <w:tabs>
          <w:tab w:pos="9434" w:val="left" w:leader="none"/>
        </w:tabs>
        <w:spacing w:before="22"/>
        <w:ind w:left="536"/>
      </w:pPr>
      <w:r>
        <w:rPr/>
        <w:t>MGM</w:t>
      </w:r>
      <w:r>
        <w:rPr>
          <w:spacing w:val="-1"/>
        </w:rPr>
        <w:t> </w:t>
      </w:r>
      <w:r>
        <w:rPr/>
        <w:t>Resorts</w:t>
      </w:r>
      <w:r>
        <w:rPr>
          <w:spacing w:val="-1"/>
        </w:rPr>
        <w:t> </w:t>
      </w:r>
      <w:r>
        <w:rPr/>
        <w:t>Manufacturing</w:t>
      </w:r>
      <w:r>
        <w:rPr>
          <w:spacing w:val="-1"/>
        </w:rPr>
        <w:t> </w:t>
      </w:r>
      <w:r>
        <w:rPr>
          <w:spacing w:val="-4"/>
        </w:rPr>
        <w:t>Corp.</w:t>
      </w:r>
      <w:r>
        <w:rPr/>
        <w:tab/>
      </w:r>
      <w:r>
        <w:rPr>
          <w:spacing w:val="-2"/>
        </w:rPr>
        <w:t>Nevada</w:t>
      </w:r>
    </w:p>
    <w:p>
      <w:pPr>
        <w:pStyle w:val="BodyText"/>
        <w:tabs>
          <w:tab w:pos="8898" w:val="left" w:leader="none"/>
        </w:tabs>
        <w:spacing w:before="23"/>
        <w:ind w:right="1794"/>
        <w:jc w:val="right"/>
      </w:pPr>
      <w:r>
        <w:rPr/>
        <w:t>MH,</w:t>
      </w:r>
      <w:r>
        <w:rPr>
          <w:spacing w:val="-1"/>
        </w:rPr>
        <w:t> </w:t>
      </w:r>
      <w:r>
        <w:rPr>
          <w:spacing w:val="-4"/>
        </w:rPr>
        <w:t>Inc.</w:t>
      </w:r>
      <w:r>
        <w:rPr/>
        <w:tab/>
      </w:r>
      <w:r>
        <w:rPr>
          <w:spacing w:val="-2"/>
        </w:rPr>
        <w:t>Nevada</w:t>
      </w:r>
    </w:p>
    <w:p>
      <w:pPr>
        <w:pStyle w:val="BodyText"/>
        <w:tabs>
          <w:tab w:pos="9434" w:val="left" w:leader="none"/>
        </w:tabs>
        <w:spacing w:before="36"/>
        <w:ind w:left="536"/>
      </w:pPr>
      <w:r>
        <w:rPr/>
        <w:t>Mirage</w:t>
      </w:r>
      <w:r>
        <w:rPr>
          <w:spacing w:val="-1"/>
        </w:rPr>
        <w:t> </w:t>
      </w:r>
      <w:r>
        <w:rPr/>
        <w:t>Laundry</w:t>
      </w:r>
      <w:r>
        <w:rPr>
          <w:spacing w:val="-1"/>
        </w:rPr>
        <w:t> </w:t>
      </w:r>
      <w:r>
        <w:rPr/>
        <w:t>Services</w:t>
      </w:r>
      <w:r>
        <w:rPr>
          <w:spacing w:val="-1"/>
        </w:rPr>
        <w:t> </w:t>
      </w:r>
      <w:r>
        <w:rPr>
          <w:spacing w:val="-2"/>
        </w:rPr>
        <w:t>Corp.</w:t>
      </w:r>
      <w:r>
        <w:rPr/>
        <w:tab/>
      </w:r>
      <w:r>
        <w:rPr>
          <w:spacing w:val="-2"/>
        </w:rPr>
        <w:t>Nevada</w:t>
      </w:r>
    </w:p>
    <w:p>
      <w:pPr>
        <w:pStyle w:val="BodyText"/>
        <w:tabs>
          <w:tab w:pos="9222" w:val="left" w:leader="none"/>
        </w:tabs>
        <w:spacing w:before="22"/>
        <w:ind w:right="1794"/>
        <w:jc w:val="right"/>
      </w:pPr>
      <w:r>
        <w:rPr/>
        <w:t>MGM</w:t>
      </w:r>
      <w:r>
        <w:rPr>
          <w:spacing w:val="-1"/>
        </w:rPr>
        <w:t> </w:t>
      </w:r>
      <w:r>
        <w:rPr/>
        <w:t>CC,</w:t>
      </w:r>
      <w:r>
        <w:rPr>
          <w:spacing w:val="-1"/>
        </w:rPr>
        <w:t> </w:t>
      </w:r>
      <w:r>
        <w:rPr>
          <w:spacing w:val="-5"/>
        </w:rPr>
        <w:t>LLC</w:t>
      </w:r>
      <w:r>
        <w:rPr/>
        <w:tab/>
      </w:r>
      <w:r>
        <w:rPr>
          <w:spacing w:val="-2"/>
        </w:rPr>
        <w:t>Nevada</w:t>
      </w:r>
    </w:p>
    <w:p>
      <w:pPr>
        <w:pStyle w:val="BodyText"/>
        <w:rPr>
          <w:sz w:val="20"/>
        </w:rPr>
      </w:pP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818752">
                <wp:simplePos x="0" y="0"/>
                <wp:positionH relativeFrom="page">
                  <wp:posOffset>231457</wp:posOffset>
                </wp:positionH>
                <wp:positionV relativeFrom="paragraph">
                  <wp:posOffset>197472</wp:posOffset>
                </wp:positionV>
                <wp:extent cx="7312659" cy="17145"/>
                <wp:effectExtent l="0" t="0" r="0" b="0"/>
                <wp:wrapTopAndBottom/>
                <wp:docPr id="1146" name="Group 1146"/>
                <wp:cNvGraphicFramePr>
                  <a:graphicFrameLocks/>
                </wp:cNvGraphicFramePr>
                <a:graphic>
                  <a:graphicData uri="http://schemas.microsoft.com/office/word/2010/wordprocessingGroup">
                    <wpg:wgp>
                      <wpg:cNvPr id="1146" name="Group 1146"/>
                      <wpg:cNvGrpSpPr/>
                      <wpg:grpSpPr>
                        <a:xfrm>
                          <a:off x="0" y="0"/>
                          <a:ext cx="7312659" cy="17145"/>
                          <a:chExt cx="7312659" cy="17145"/>
                        </a:xfrm>
                      </wpg:grpSpPr>
                      <wps:wsp>
                        <wps:cNvPr id="1147" name="Graphic 114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48" name="Graphic 1148"/>
                        <wps:cNvSpPr/>
                        <wps:spPr>
                          <a:xfrm>
                            <a:off x="-12" y="-2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49" name="Graphic 114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549024pt;width:575.8pt;height:1.35pt;mso-position-horizontal-relative:page;mso-position-vertical-relative:paragraph;z-index:-15497728;mso-wrap-distance-left:0;mso-wrap-distance-right:0" id="docshapegroup1144" coordorigin="364,311" coordsize="11516,27">
                <v:rect style="position:absolute;left:364;top:310;width:11516;height:14" id="docshape1145" filled="true" fillcolor="#999999" stroked="false">
                  <v:fill type="solid"/>
                </v:rect>
                <v:shape style="position:absolute;left:364;top:310;width:11516;height:27" id="docshape1146" coordorigin="364,311" coordsize="11516,27" path="m11880,311l11866,324,364,324,364,338,11866,338,11880,338,11880,324,11880,311xe" filled="true" fillcolor="#ededed" stroked="false">
                  <v:path arrowok="t"/>
                  <v:fill type="solid"/>
                </v:shape>
                <v:shape style="position:absolute;left:364;top:310;width:14;height:27" id="docshape1147" coordorigin="364,311" coordsize="14,27" path="m364,338l364,311,378,311,378,324,364,338xe" filled="true" fillcolor="#999999" stroked="false">
                  <v:path arrowok="t"/>
                  <v:fill type="solid"/>
                </v:shape>
                <w10:wrap type="topAndBottom"/>
              </v:group>
            </w:pict>
          </mc:Fallback>
        </mc:AlternateContent>
      </w:r>
    </w:p>
    <w:p>
      <w:pPr>
        <w:spacing w:after="0"/>
        <w:rPr>
          <w:sz w:val="20"/>
        </w:rPr>
        <w:sectPr>
          <w:type w:val="continuous"/>
          <w:pgSz w:w="12240" w:h="15840"/>
          <w:pgMar w:top="1040" w:bottom="280" w:left="220" w:right="240"/>
        </w:sectPr>
      </w:pPr>
    </w:p>
    <w:p>
      <w:pPr>
        <w:pStyle w:val="BodyText"/>
        <w:tabs>
          <w:tab w:pos="8899" w:val="left" w:leader="none"/>
        </w:tabs>
        <w:spacing w:before="80"/>
        <w:ind w:right="1792"/>
        <w:jc w:val="right"/>
      </w:pPr>
      <w:r>
        <w:rPr/>
        <w:t>Project</w:t>
      </w:r>
      <w:r>
        <w:rPr>
          <w:spacing w:val="-1"/>
        </w:rPr>
        <w:t> </w:t>
      </w:r>
      <w:r>
        <w:rPr/>
        <w:t>CC,</w:t>
      </w:r>
      <w:r>
        <w:rPr>
          <w:spacing w:val="-1"/>
        </w:rPr>
        <w:t> </w:t>
      </w:r>
      <w:r>
        <w:rPr>
          <w:spacing w:val="-5"/>
        </w:rPr>
        <w:t>LLC</w:t>
      </w:r>
      <w:r>
        <w:rPr/>
        <w:tab/>
      </w:r>
      <w:r>
        <w:rPr>
          <w:spacing w:val="-2"/>
        </w:rPr>
        <w:t>Nevada</w:t>
      </w:r>
    </w:p>
    <w:p>
      <w:pPr>
        <w:pStyle w:val="BodyText"/>
        <w:tabs>
          <w:tab w:pos="9436" w:val="left" w:leader="none"/>
        </w:tabs>
        <w:spacing w:before="23"/>
        <w:ind w:left="860"/>
      </w:pPr>
      <w:r>
        <w:rPr/>
        <w:t>Aria</w:t>
      </w:r>
      <w:r>
        <w:rPr>
          <w:spacing w:val="-1"/>
        </w:rPr>
        <w:t> </w:t>
      </w:r>
      <w:r>
        <w:rPr/>
        <w:t>Resort</w:t>
      </w:r>
      <w:r>
        <w:rPr>
          <w:spacing w:val="-1"/>
        </w:rPr>
        <w:t> </w:t>
      </w:r>
      <w:r>
        <w:rPr/>
        <w:t>&amp;</w:t>
      </w:r>
      <w:r>
        <w:rPr>
          <w:spacing w:val="-1"/>
        </w:rPr>
        <w:t> </w:t>
      </w:r>
      <w:r>
        <w:rPr/>
        <w:t>Casino,</w:t>
      </w:r>
      <w:r>
        <w:rPr>
          <w:spacing w:val="-1"/>
        </w:rPr>
        <w:t> </w:t>
      </w:r>
      <w:r>
        <w:rPr>
          <w:spacing w:val="-5"/>
        </w:rPr>
        <w:t>LLC</w:t>
      </w:r>
      <w:r>
        <w:rPr/>
        <w:tab/>
      </w:r>
      <w:r>
        <w:rPr>
          <w:spacing w:val="-2"/>
        </w:rPr>
        <w:t>Nevada</w:t>
      </w:r>
    </w:p>
    <w:p>
      <w:pPr>
        <w:pStyle w:val="BodyText"/>
        <w:tabs>
          <w:tab w:pos="9436" w:val="left" w:leader="none"/>
        </w:tabs>
        <w:spacing w:before="36"/>
        <w:ind w:left="860"/>
      </w:pPr>
      <w:r>
        <w:rPr/>
        <w:t>CityCenter</w:t>
      </w:r>
      <w:r>
        <w:rPr>
          <w:spacing w:val="-1"/>
        </w:rPr>
        <w:t> </w:t>
      </w:r>
      <w:r>
        <w:rPr/>
        <w:t>Facilities</w:t>
      </w:r>
      <w:r>
        <w:rPr>
          <w:spacing w:val="-1"/>
        </w:rPr>
        <w:t> </w:t>
      </w:r>
      <w:r>
        <w:rPr/>
        <w:t>Management,</w:t>
      </w:r>
      <w:r>
        <w:rPr>
          <w:spacing w:val="-1"/>
        </w:rPr>
        <w:t> </w:t>
      </w:r>
      <w:r>
        <w:rPr>
          <w:spacing w:val="-5"/>
        </w:rPr>
        <w:t>LLC</w:t>
      </w:r>
      <w:r>
        <w:rPr/>
        <w:tab/>
      </w:r>
      <w:r>
        <w:rPr>
          <w:spacing w:val="-2"/>
        </w:rPr>
        <w:t>Nevada</w:t>
      </w:r>
    </w:p>
    <w:p>
      <w:pPr>
        <w:pStyle w:val="BodyText"/>
        <w:tabs>
          <w:tab w:pos="9436" w:val="left" w:leader="none"/>
        </w:tabs>
        <w:spacing w:before="22"/>
        <w:ind w:left="860"/>
      </w:pPr>
      <w:r>
        <w:rPr/>
        <w:t>CityCenter</w:t>
      </w:r>
      <w:r>
        <w:rPr>
          <w:spacing w:val="-1"/>
        </w:rPr>
        <w:t> </w:t>
      </w:r>
      <w:r>
        <w:rPr/>
        <w:t>Realty</w:t>
      </w:r>
      <w:r>
        <w:rPr>
          <w:spacing w:val="-1"/>
        </w:rPr>
        <w:t> </w:t>
      </w:r>
      <w:r>
        <w:rPr>
          <w:spacing w:val="-2"/>
        </w:rPr>
        <w:t>Corporation</w:t>
      </w:r>
      <w:r>
        <w:rPr/>
        <w:tab/>
      </w:r>
      <w:r>
        <w:rPr>
          <w:spacing w:val="-2"/>
        </w:rPr>
        <w:t>Nevada</w:t>
      </w:r>
    </w:p>
    <w:p>
      <w:pPr>
        <w:pStyle w:val="BodyText"/>
        <w:tabs>
          <w:tab w:pos="9436" w:val="left" w:leader="none"/>
        </w:tabs>
        <w:spacing w:before="23"/>
        <w:ind w:left="860"/>
      </w:pPr>
      <w:r>
        <w:rPr/>
        <w:t>CityCenter</w:t>
      </w:r>
      <w:r>
        <w:rPr>
          <w:spacing w:val="-1"/>
        </w:rPr>
        <w:t> </w:t>
      </w:r>
      <w:r>
        <w:rPr/>
        <w:t>Retail</w:t>
      </w:r>
      <w:r>
        <w:rPr>
          <w:spacing w:val="-1"/>
        </w:rPr>
        <w:t> </w:t>
      </w:r>
      <w:r>
        <w:rPr/>
        <w:t>Holdings</w:t>
      </w:r>
      <w:r>
        <w:rPr>
          <w:spacing w:val="-1"/>
        </w:rPr>
        <w:t> </w:t>
      </w:r>
      <w:r>
        <w:rPr/>
        <w:t>Management,</w:t>
      </w:r>
      <w:r>
        <w:rPr>
          <w:spacing w:val="-1"/>
        </w:rPr>
        <w:t> </w:t>
      </w:r>
      <w:r>
        <w:rPr>
          <w:spacing w:val="-5"/>
        </w:rPr>
        <w:t>LLC</w:t>
      </w:r>
      <w:r>
        <w:rPr/>
        <w:tab/>
      </w:r>
      <w:r>
        <w:rPr>
          <w:spacing w:val="-2"/>
        </w:rPr>
        <w:t>Nevada</w:t>
      </w:r>
    </w:p>
    <w:p>
      <w:pPr>
        <w:pStyle w:val="BodyText"/>
        <w:tabs>
          <w:tab w:pos="9436" w:val="left" w:leader="none"/>
        </w:tabs>
        <w:spacing w:before="36"/>
        <w:ind w:left="860"/>
      </w:pPr>
      <w:r>
        <w:rPr/>
        <w:t>Vdara</w:t>
      </w:r>
      <w:r>
        <w:rPr>
          <w:spacing w:val="-1"/>
        </w:rPr>
        <w:t> </w:t>
      </w:r>
      <w:r>
        <w:rPr/>
        <w:t>Condo</w:t>
      </w:r>
      <w:r>
        <w:rPr>
          <w:spacing w:val="-1"/>
        </w:rPr>
        <w:t> </w:t>
      </w:r>
      <w:r>
        <w:rPr/>
        <w:t>Hotel,</w:t>
      </w:r>
      <w:r>
        <w:rPr>
          <w:spacing w:val="-1"/>
        </w:rPr>
        <w:t> </w:t>
      </w:r>
      <w:r>
        <w:rPr>
          <w:spacing w:val="-5"/>
        </w:rPr>
        <w:t>LLC</w:t>
      </w:r>
      <w:r>
        <w:rPr/>
        <w:tab/>
      </w:r>
      <w:r>
        <w:rPr>
          <w:spacing w:val="-2"/>
        </w:rPr>
        <w:t>Nevada</w:t>
      </w:r>
    </w:p>
    <w:p>
      <w:pPr>
        <w:pStyle w:val="BodyText"/>
        <w:tabs>
          <w:tab w:pos="9366" w:val="left" w:leader="none"/>
        </w:tabs>
        <w:spacing w:before="22"/>
        <w:ind w:left="860"/>
      </w:pPr>
      <w:r>
        <w:rPr/>
        <w:t>CityCenter</w:t>
      </w:r>
      <w:r>
        <w:rPr>
          <w:spacing w:val="-1"/>
        </w:rPr>
        <w:t> </w:t>
      </w:r>
      <w:r>
        <w:rPr/>
        <w:t>Holdings,</w:t>
      </w:r>
      <w:r>
        <w:rPr>
          <w:spacing w:val="-1"/>
        </w:rPr>
        <w:t> </w:t>
      </w:r>
      <w:r>
        <w:rPr>
          <w:spacing w:val="-5"/>
        </w:rPr>
        <w:t>LLC</w:t>
      </w:r>
      <w:r>
        <w:rPr/>
        <w:tab/>
      </w:r>
      <w:r>
        <w:rPr>
          <w:spacing w:val="-2"/>
        </w:rPr>
        <w:t>Delaware</w:t>
      </w:r>
    </w:p>
    <w:p>
      <w:pPr>
        <w:pStyle w:val="BodyText"/>
        <w:tabs>
          <w:tab w:pos="8182" w:val="left" w:leader="none"/>
        </w:tabs>
        <w:spacing w:before="23"/>
        <w:ind w:right="1722"/>
        <w:jc w:val="right"/>
      </w:pPr>
      <w:r>
        <w:rPr/>
        <w:t>MGM</w:t>
      </w:r>
      <w:r>
        <w:rPr>
          <w:spacing w:val="-1"/>
        </w:rPr>
        <w:t> </w:t>
      </w:r>
      <w:r>
        <w:rPr/>
        <w:t>Lessee</w:t>
      </w:r>
      <w:r>
        <w:rPr>
          <w:spacing w:val="-1"/>
        </w:rPr>
        <w:t> </w:t>
      </w:r>
      <w:r>
        <w:rPr/>
        <w:t>III,</w:t>
      </w:r>
      <w:r>
        <w:rPr>
          <w:spacing w:val="-1"/>
        </w:rPr>
        <w:t> </w:t>
      </w:r>
      <w:r>
        <w:rPr>
          <w:spacing w:val="-5"/>
        </w:rPr>
        <w:t>LLC</w:t>
      </w:r>
      <w:r>
        <w:rPr/>
        <w:tab/>
      </w:r>
      <w:r>
        <w:rPr>
          <w:spacing w:val="-2"/>
        </w:rPr>
        <w:t>Delaware</w:t>
      </w:r>
    </w:p>
    <w:p>
      <w:pPr>
        <w:pStyle w:val="BodyText"/>
        <w:tabs>
          <w:tab w:pos="8251" w:val="left" w:leader="none"/>
        </w:tabs>
        <w:spacing w:before="36"/>
        <w:ind w:right="1792"/>
        <w:jc w:val="right"/>
      </w:pPr>
      <w:r>
        <w:rPr/>
        <w:t>CityCenter</w:t>
      </w:r>
      <w:r>
        <w:rPr>
          <w:spacing w:val="-1"/>
        </w:rPr>
        <w:t> </w:t>
      </w:r>
      <w:r>
        <w:rPr/>
        <w:t>Land,</w:t>
      </w:r>
      <w:r>
        <w:rPr>
          <w:spacing w:val="-1"/>
        </w:rPr>
        <w:t> </w:t>
      </w:r>
      <w:r>
        <w:rPr>
          <w:spacing w:val="-5"/>
        </w:rPr>
        <w:t>LLC</w:t>
      </w:r>
      <w:r>
        <w:rPr/>
        <w:tab/>
      </w:r>
      <w:r>
        <w:rPr>
          <w:spacing w:val="-2"/>
        </w:rPr>
        <w:t>Nevada</w:t>
      </w:r>
    </w:p>
    <w:p>
      <w:pPr>
        <w:pStyle w:val="BodyText"/>
        <w:tabs>
          <w:tab w:pos="7927" w:val="left" w:leader="none"/>
        </w:tabs>
        <w:spacing w:before="22"/>
        <w:ind w:right="1792"/>
        <w:jc w:val="right"/>
      </w:pPr>
      <w:r>
        <w:rPr/>
        <w:t>CityCenter</w:t>
      </w:r>
      <w:r>
        <w:rPr>
          <w:spacing w:val="-1"/>
        </w:rPr>
        <w:t> </w:t>
      </w:r>
      <w:r>
        <w:rPr/>
        <w:t>Boutique</w:t>
      </w:r>
      <w:r>
        <w:rPr>
          <w:spacing w:val="-1"/>
        </w:rPr>
        <w:t> </w:t>
      </w:r>
      <w:r>
        <w:rPr/>
        <w:t>Hotel</w:t>
      </w:r>
      <w:r>
        <w:rPr>
          <w:spacing w:val="-1"/>
        </w:rPr>
        <w:t> </w:t>
      </w:r>
      <w:r>
        <w:rPr/>
        <w:t>Holdings,</w:t>
      </w:r>
      <w:r>
        <w:rPr>
          <w:spacing w:val="-1"/>
        </w:rPr>
        <w:t> </w:t>
      </w:r>
      <w:r>
        <w:rPr>
          <w:spacing w:val="-5"/>
        </w:rPr>
        <w:t>LLC</w:t>
      </w:r>
      <w:r>
        <w:rPr/>
        <w:tab/>
      </w:r>
      <w:r>
        <w:rPr>
          <w:spacing w:val="-2"/>
        </w:rPr>
        <w:t>Nevada</w:t>
      </w:r>
    </w:p>
    <w:p>
      <w:pPr>
        <w:pStyle w:val="BodyText"/>
        <w:tabs>
          <w:tab w:pos="7927" w:val="left" w:leader="none"/>
        </w:tabs>
        <w:spacing w:before="23"/>
        <w:ind w:right="1792"/>
        <w:jc w:val="right"/>
      </w:pPr>
      <w:r>
        <w:rPr/>
        <w:t>CityCenter</w:t>
      </w:r>
      <w:r>
        <w:rPr>
          <w:spacing w:val="-1"/>
        </w:rPr>
        <w:t> </w:t>
      </w:r>
      <w:r>
        <w:rPr/>
        <w:t>Boutique</w:t>
      </w:r>
      <w:r>
        <w:rPr>
          <w:spacing w:val="-1"/>
        </w:rPr>
        <w:t> </w:t>
      </w:r>
      <w:r>
        <w:rPr/>
        <w:t>Residential</w:t>
      </w:r>
      <w:r>
        <w:rPr>
          <w:spacing w:val="-1"/>
        </w:rPr>
        <w:t> </w:t>
      </w:r>
      <w:r>
        <w:rPr/>
        <w:t>Development,</w:t>
      </w:r>
      <w:r>
        <w:rPr>
          <w:spacing w:val="-1"/>
        </w:rPr>
        <w:t> </w:t>
      </w:r>
      <w:r>
        <w:rPr>
          <w:spacing w:val="-5"/>
        </w:rPr>
        <w:t>LLC</w:t>
      </w:r>
      <w:r>
        <w:rPr/>
        <w:tab/>
      </w:r>
      <w:r>
        <w:rPr>
          <w:spacing w:val="-2"/>
        </w:rPr>
        <w:t>Nevada</w:t>
      </w:r>
    </w:p>
    <w:p>
      <w:pPr>
        <w:pStyle w:val="BodyText"/>
        <w:tabs>
          <w:tab w:pos="7927" w:val="left" w:leader="none"/>
        </w:tabs>
        <w:spacing w:before="36"/>
        <w:ind w:right="1792"/>
        <w:jc w:val="right"/>
      </w:pPr>
      <w:r>
        <w:rPr/>
        <w:t>CityCenter</w:t>
      </w:r>
      <w:r>
        <w:rPr>
          <w:spacing w:val="-1"/>
        </w:rPr>
        <w:t> </w:t>
      </w:r>
      <w:r>
        <w:rPr/>
        <w:t>Harmon</w:t>
      </w:r>
      <w:r>
        <w:rPr>
          <w:spacing w:val="-1"/>
        </w:rPr>
        <w:t> </w:t>
      </w:r>
      <w:r>
        <w:rPr/>
        <w:t>Development,</w:t>
      </w:r>
      <w:r>
        <w:rPr>
          <w:spacing w:val="-1"/>
        </w:rPr>
        <w:t> </w:t>
      </w:r>
      <w:r>
        <w:rPr>
          <w:spacing w:val="-5"/>
        </w:rPr>
        <w:t>LLC</w:t>
      </w:r>
      <w:r>
        <w:rPr/>
        <w:tab/>
      </w:r>
      <w:r>
        <w:rPr>
          <w:spacing w:val="-2"/>
        </w:rPr>
        <w:t>Nevada</w:t>
      </w:r>
    </w:p>
    <w:p>
      <w:pPr>
        <w:pStyle w:val="BodyText"/>
        <w:tabs>
          <w:tab w:pos="7927" w:val="left" w:leader="none"/>
        </w:tabs>
        <w:spacing w:before="22"/>
        <w:ind w:right="1792"/>
        <w:jc w:val="right"/>
      </w:pPr>
      <w:r>
        <w:rPr/>
        <w:t>CityCenter</w:t>
      </w:r>
      <w:r>
        <w:rPr>
          <w:spacing w:val="-1"/>
        </w:rPr>
        <w:t> </w:t>
      </w:r>
      <w:r>
        <w:rPr/>
        <w:t>Harmon</w:t>
      </w:r>
      <w:r>
        <w:rPr>
          <w:spacing w:val="-1"/>
        </w:rPr>
        <w:t> </w:t>
      </w:r>
      <w:r>
        <w:rPr/>
        <w:t>Hotel</w:t>
      </w:r>
      <w:r>
        <w:rPr>
          <w:spacing w:val="-1"/>
        </w:rPr>
        <w:t> </w:t>
      </w:r>
      <w:r>
        <w:rPr/>
        <w:t>Holdings,</w:t>
      </w:r>
      <w:r>
        <w:rPr>
          <w:spacing w:val="-1"/>
        </w:rPr>
        <w:t> </w:t>
      </w:r>
      <w:r>
        <w:rPr>
          <w:spacing w:val="-5"/>
        </w:rPr>
        <w:t>LLC</w:t>
      </w:r>
      <w:r>
        <w:rPr/>
        <w:tab/>
      </w:r>
      <w:r>
        <w:rPr>
          <w:spacing w:val="-2"/>
        </w:rPr>
        <w:t>Nevada</w:t>
      </w:r>
    </w:p>
    <w:p>
      <w:pPr>
        <w:pStyle w:val="BodyText"/>
        <w:tabs>
          <w:tab w:pos="7927" w:val="left" w:leader="none"/>
        </w:tabs>
        <w:spacing w:before="23"/>
        <w:ind w:right="1792"/>
        <w:jc w:val="right"/>
      </w:pPr>
      <w:r>
        <w:rPr/>
        <w:t>CityCenter</w:t>
      </w:r>
      <w:r>
        <w:rPr>
          <w:spacing w:val="-14"/>
        </w:rPr>
        <w:t> </w:t>
      </w:r>
      <w:r>
        <w:rPr/>
        <w:t>Veer</w:t>
      </w:r>
      <w:r>
        <w:rPr>
          <w:spacing w:val="-11"/>
        </w:rPr>
        <w:t> </w:t>
      </w:r>
      <w:r>
        <w:rPr/>
        <w:t>Towers</w:t>
      </w:r>
      <w:r>
        <w:rPr>
          <w:spacing w:val="-11"/>
        </w:rPr>
        <w:t> </w:t>
      </w:r>
      <w:r>
        <w:rPr/>
        <w:t>Development,</w:t>
      </w:r>
      <w:r>
        <w:rPr>
          <w:spacing w:val="-9"/>
        </w:rPr>
        <w:t> </w:t>
      </w:r>
      <w:r>
        <w:rPr>
          <w:spacing w:val="-5"/>
        </w:rPr>
        <w:t>LLC</w:t>
      </w:r>
      <w:r>
        <w:rPr/>
        <w:tab/>
      </w:r>
      <w:r>
        <w:rPr>
          <w:spacing w:val="-2"/>
        </w:rPr>
        <w:t>Nevada</w:t>
      </w:r>
    </w:p>
    <w:p>
      <w:pPr>
        <w:pStyle w:val="BodyText"/>
        <w:tabs>
          <w:tab w:pos="7927" w:val="left" w:leader="none"/>
        </w:tabs>
        <w:spacing w:before="36"/>
        <w:ind w:right="1792"/>
        <w:jc w:val="right"/>
      </w:pPr>
      <w:r>
        <w:rPr/>
        <w:t>CityCenter</w:t>
      </w:r>
      <w:r>
        <w:rPr>
          <w:spacing w:val="-1"/>
        </w:rPr>
        <w:t> </w:t>
      </w:r>
      <w:r>
        <w:rPr/>
        <w:t>Retail</w:t>
      </w:r>
      <w:r>
        <w:rPr>
          <w:spacing w:val="-1"/>
        </w:rPr>
        <w:t> </w:t>
      </w:r>
      <w:r>
        <w:rPr/>
        <w:t>Holdings,</w:t>
      </w:r>
      <w:r>
        <w:rPr>
          <w:spacing w:val="-1"/>
        </w:rPr>
        <w:t> </w:t>
      </w:r>
      <w:r>
        <w:rPr>
          <w:spacing w:val="-5"/>
        </w:rPr>
        <w:t>LLC</w:t>
      </w:r>
      <w:r>
        <w:rPr/>
        <w:tab/>
      </w:r>
      <w:r>
        <w:rPr>
          <w:spacing w:val="-2"/>
        </w:rPr>
        <w:t>Nevada</w:t>
      </w:r>
    </w:p>
    <w:p>
      <w:pPr>
        <w:pStyle w:val="BodyText"/>
        <w:tabs>
          <w:tab w:pos="7927" w:val="left" w:leader="none"/>
        </w:tabs>
        <w:spacing w:before="22"/>
        <w:ind w:right="1792"/>
        <w:jc w:val="right"/>
      </w:pPr>
      <w:r>
        <w:rPr/>
        <w:t>Aria</w:t>
      </w:r>
      <w:r>
        <w:rPr>
          <w:spacing w:val="-1"/>
        </w:rPr>
        <w:t> </w:t>
      </w:r>
      <w:r>
        <w:rPr/>
        <w:t>Resort</w:t>
      </w:r>
      <w:r>
        <w:rPr>
          <w:spacing w:val="-1"/>
        </w:rPr>
        <w:t> </w:t>
      </w:r>
      <w:r>
        <w:rPr/>
        <w:t>&amp;</w:t>
      </w:r>
      <w:r>
        <w:rPr>
          <w:spacing w:val="-1"/>
        </w:rPr>
        <w:t> </w:t>
      </w:r>
      <w:r>
        <w:rPr/>
        <w:t>Casino</w:t>
      </w:r>
      <w:r>
        <w:rPr>
          <w:spacing w:val="-1"/>
        </w:rPr>
        <w:t> </w:t>
      </w:r>
      <w:r>
        <w:rPr/>
        <w:t>Holdings,</w:t>
      </w:r>
      <w:r>
        <w:rPr>
          <w:spacing w:val="-1"/>
        </w:rPr>
        <w:t> </w:t>
      </w:r>
      <w:r>
        <w:rPr>
          <w:spacing w:val="-5"/>
        </w:rPr>
        <w:t>LLC</w:t>
      </w:r>
      <w:r>
        <w:rPr/>
        <w:tab/>
      </w:r>
      <w:r>
        <w:rPr>
          <w:spacing w:val="-2"/>
        </w:rPr>
        <w:t>Nevada</w:t>
      </w:r>
    </w:p>
    <w:p>
      <w:pPr>
        <w:pStyle w:val="BodyText"/>
        <w:tabs>
          <w:tab w:pos="7927" w:val="left" w:leader="none"/>
        </w:tabs>
        <w:spacing w:before="23"/>
        <w:ind w:right="1792"/>
        <w:jc w:val="right"/>
      </w:pPr>
      <w:r>
        <w:rPr/>
        <w:t>CityCenter</w:t>
      </w:r>
      <w:r>
        <w:rPr>
          <w:spacing w:val="-4"/>
        </w:rPr>
        <w:t> </w:t>
      </w:r>
      <w:r>
        <w:rPr/>
        <w:t>Vdara</w:t>
      </w:r>
      <w:r>
        <w:rPr>
          <w:spacing w:val="-1"/>
        </w:rPr>
        <w:t> </w:t>
      </w:r>
      <w:r>
        <w:rPr/>
        <w:t>Development,</w:t>
      </w:r>
      <w:r>
        <w:rPr>
          <w:spacing w:val="-1"/>
        </w:rPr>
        <w:t> </w:t>
      </w:r>
      <w:r>
        <w:rPr>
          <w:spacing w:val="-5"/>
        </w:rPr>
        <w:t>LLC</w:t>
      </w:r>
      <w:r>
        <w:rPr/>
        <w:tab/>
      </w:r>
      <w:r>
        <w:rPr>
          <w:spacing w:val="-2"/>
        </w:rPr>
        <w:t>Nevada</w:t>
      </w:r>
    </w:p>
    <w:p>
      <w:pPr>
        <w:pStyle w:val="BodyText"/>
        <w:tabs>
          <w:tab w:pos="9223" w:val="left" w:leader="none"/>
        </w:tabs>
        <w:spacing w:before="36"/>
        <w:ind w:right="1792"/>
        <w:jc w:val="right"/>
      </w:pPr>
      <w:r>
        <w:rPr/>
        <w:t>MGM</w:t>
      </w:r>
      <w:r>
        <w:rPr>
          <w:spacing w:val="-1"/>
        </w:rPr>
        <w:t> </w:t>
      </w:r>
      <w:r>
        <w:rPr/>
        <w:t>CC</w:t>
      </w:r>
      <w:r>
        <w:rPr>
          <w:spacing w:val="-1"/>
        </w:rPr>
        <w:t> </w:t>
      </w:r>
      <w:r>
        <w:rPr/>
        <w:t>Holdings,</w:t>
      </w:r>
      <w:r>
        <w:rPr>
          <w:spacing w:val="-1"/>
        </w:rPr>
        <w:t> </w:t>
      </w:r>
      <w:r>
        <w:rPr>
          <w:spacing w:val="-4"/>
        </w:rPr>
        <w:t>Inc.</w:t>
      </w:r>
      <w:r>
        <w:rPr/>
        <w:tab/>
      </w:r>
      <w:r>
        <w:rPr>
          <w:spacing w:val="-2"/>
        </w:rPr>
        <w:t>Nevada</w:t>
      </w:r>
    </w:p>
    <w:p>
      <w:pPr>
        <w:pStyle w:val="BodyText"/>
        <w:tabs>
          <w:tab w:pos="9154" w:val="left" w:leader="none"/>
        </w:tabs>
        <w:spacing w:before="22"/>
        <w:ind w:right="1722"/>
        <w:jc w:val="right"/>
      </w:pPr>
      <w:r>
        <w:rPr/>
        <w:t>Nevada</w:t>
      </w:r>
      <w:r>
        <w:rPr>
          <w:spacing w:val="-1"/>
        </w:rPr>
        <w:t> </w:t>
      </w:r>
      <w:r>
        <w:rPr/>
        <w:t>Property</w:t>
      </w:r>
      <w:r>
        <w:rPr>
          <w:spacing w:val="-1"/>
        </w:rPr>
        <w:t> </w:t>
      </w:r>
      <w:r>
        <w:rPr/>
        <w:t>1</w:t>
      </w:r>
      <w:r>
        <w:rPr>
          <w:spacing w:val="-1"/>
        </w:rPr>
        <w:t> </w:t>
      </w:r>
      <w:r>
        <w:rPr>
          <w:spacing w:val="-5"/>
        </w:rPr>
        <w:t>LLC</w:t>
      </w:r>
      <w:r>
        <w:rPr/>
        <w:tab/>
      </w:r>
      <w:r>
        <w:rPr>
          <w:spacing w:val="-2"/>
        </w:rPr>
        <w:t>Delaware</w:t>
      </w:r>
    </w:p>
    <w:p>
      <w:pPr>
        <w:pStyle w:val="BodyText"/>
        <w:tabs>
          <w:tab w:pos="8830" w:val="left" w:leader="none"/>
        </w:tabs>
        <w:spacing w:before="23"/>
        <w:ind w:right="1722"/>
        <w:jc w:val="right"/>
      </w:pPr>
      <w:r>
        <w:rPr/>
        <w:t>Nevada</w:t>
      </w:r>
      <w:r>
        <w:rPr>
          <w:spacing w:val="-7"/>
        </w:rPr>
        <w:t> </w:t>
      </w:r>
      <w:r>
        <w:rPr/>
        <w:t>Restaurant</w:t>
      </w:r>
      <w:r>
        <w:rPr>
          <w:spacing w:val="-8"/>
        </w:rPr>
        <w:t> </w:t>
      </w:r>
      <w:r>
        <w:rPr/>
        <w:t>Venture</w:t>
      </w:r>
      <w:r>
        <w:rPr>
          <w:spacing w:val="-6"/>
        </w:rPr>
        <w:t> </w:t>
      </w:r>
      <w:r>
        <w:rPr/>
        <w:t>1</w:t>
      </w:r>
      <w:r>
        <w:rPr>
          <w:spacing w:val="-6"/>
        </w:rPr>
        <w:t> </w:t>
      </w:r>
      <w:r>
        <w:rPr>
          <w:spacing w:val="-5"/>
        </w:rPr>
        <w:t>LLC</w:t>
      </w:r>
      <w:r>
        <w:rPr/>
        <w:tab/>
      </w:r>
      <w:r>
        <w:rPr>
          <w:spacing w:val="-2"/>
        </w:rPr>
        <w:t>Delaware</w:t>
      </w:r>
    </w:p>
    <w:p>
      <w:pPr>
        <w:pStyle w:val="BodyText"/>
        <w:tabs>
          <w:tab w:pos="8830" w:val="left" w:leader="none"/>
        </w:tabs>
        <w:spacing w:before="36"/>
        <w:ind w:right="1722"/>
        <w:jc w:val="right"/>
      </w:pPr>
      <w:r>
        <w:rPr/>
        <w:t>Nevada</w:t>
      </w:r>
      <w:r>
        <w:rPr>
          <w:spacing w:val="-7"/>
        </w:rPr>
        <w:t> </w:t>
      </w:r>
      <w:r>
        <w:rPr/>
        <w:t>Retail</w:t>
      </w:r>
      <w:r>
        <w:rPr>
          <w:spacing w:val="-8"/>
        </w:rPr>
        <w:t> </w:t>
      </w:r>
      <w:r>
        <w:rPr/>
        <w:t>Venture</w:t>
      </w:r>
      <w:r>
        <w:rPr>
          <w:spacing w:val="-6"/>
        </w:rPr>
        <w:t> </w:t>
      </w:r>
      <w:r>
        <w:rPr/>
        <w:t>1</w:t>
      </w:r>
      <w:r>
        <w:rPr>
          <w:spacing w:val="-6"/>
        </w:rPr>
        <w:t> </w:t>
      </w:r>
      <w:r>
        <w:rPr>
          <w:spacing w:val="-5"/>
        </w:rPr>
        <w:t>LLC</w:t>
      </w:r>
      <w:r>
        <w:rPr/>
        <w:tab/>
      </w:r>
      <w:r>
        <w:rPr>
          <w:spacing w:val="-2"/>
        </w:rPr>
        <w:t>Delaware</w:t>
      </w:r>
    </w:p>
    <w:p>
      <w:pPr>
        <w:pStyle w:val="BodyText"/>
        <w:tabs>
          <w:tab w:pos="9154" w:val="left" w:leader="none"/>
        </w:tabs>
        <w:spacing w:before="22"/>
        <w:ind w:right="1722"/>
        <w:jc w:val="right"/>
      </w:pPr>
      <w:r>
        <w:rPr/>
        <w:t>NP1</w:t>
      </w:r>
      <w:r>
        <w:rPr>
          <w:spacing w:val="-1"/>
        </w:rPr>
        <w:t> </w:t>
      </w:r>
      <w:r>
        <w:rPr/>
        <w:t>Pegasus</w:t>
      </w:r>
      <w:r>
        <w:rPr>
          <w:spacing w:val="-1"/>
        </w:rPr>
        <w:t> </w:t>
      </w:r>
      <w:r>
        <w:rPr>
          <w:spacing w:val="-5"/>
        </w:rPr>
        <w:t>LLC</w:t>
      </w:r>
      <w:r>
        <w:rPr/>
        <w:tab/>
      </w:r>
      <w:r>
        <w:rPr>
          <w:spacing w:val="-2"/>
        </w:rPr>
        <w:t>Delaware</w:t>
      </w:r>
    </w:p>
    <w:p>
      <w:pPr>
        <w:pStyle w:val="BodyText"/>
        <w:tabs>
          <w:tab w:pos="9288" w:val="left" w:leader="none"/>
        </w:tabs>
        <w:spacing w:before="23"/>
        <w:ind w:left="212"/>
      </w:pPr>
      <w:r>
        <w:rPr/>
        <w:t>NP1</w:t>
      </w:r>
      <w:r>
        <w:rPr>
          <w:spacing w:val="-1"/>
        </w:rPr>
        <w:t> </w:t>
      </w:r>
      <w:r>
        <w:rPr/>
        <w:t>Hong</w:t>
      </w:r>
      <w:r>
        <w:rPr>
          <w:spacing w:val="-1"/>
        </w:rPr>
        <w:t> </w:t>
      </w:r>
      <w:r>
        <w:rPr/>
        <w:t>Kong</w:t>
      </w:r>
      <w:r>
        <w:rPr>
          <w:spacing w:val="-1"/>
        </w:rPr>
        <w:t> </w:t>
      </w:r>
      <w:r>
        <w:rPr>
          <w:spacing w:val="-2"/>
        </w:rPr>
        <w:t>Limited</w:t>
      </w:r>
      <w:r>
        <w:rPr/>
        <w:tab/>
        <w:t>Hong</w:t>
      </w:r>
      <w:r>
        <w:rPr>
          <w:spacing w:val="-3"/>
        </w:rPr>
        <w:t> </w:t>
      </w:r>
      <w:r>
        <w:rPr>
          <w:spacing w:val="-4"/>
        </w:rPr>
        <w:t>Kong</w:t>
      </w:r>
    </w:p>
    <w:p>
      <w:pPr>
        <w:pStyle w:val="BodyText"/>
        <w:tabs>
          <w:tab w:pos="9436" w:val="left" w:leader="none"/>
        </w:tabs>
        <w:spacing w:before="36"/>
        <w:ind w:left="212"/>
      </w:pPr>
      <w:r>
        <w:rPr/>
        <w:t>New</w:t>
      </w:r>
      <w:r>
        <w:rPr>
          <w:spacing w:val="-14"/>
        </w:rPr>
        <w:t> </w:t>
      </w:r>
      <w:r>
        <w:rPr/>
        <w:t>York-New</w:t>
      </w:r>
      <w:r>
        <w:rPr>
          <w:spacing w:val="-11"/>
        </w:rPr>
        <w:t> </w:t>
      </w:r>
      <w:r>
        <w:rPr/>
        <w:t>York</w:t>
      </w:r>
      <w:r>
        <w:rPr>
          <w:spacing w:val="-11"/>
        </w:rPr>
        <w:t> </w:t>
      </w:r>
      <w:r>
        <w:rPr/>
        <w:t>Hotel</w:t>
      </w:r>
      <w:r>
        <w:rPr>
          <w:spacing w:val="-7"/>
        </w:rPr>
        <w:t> </w:t>
      </w:r>
      <w:r>
        <w:rPr/>
        <w:t>&amp;</w:t>
      </w:r>
      <w:r>
        <w:rPr>
          <w:spacing w:val="-8"/>
        </w:rPr>
        <w:t> </w:t>
      </w:r>
      <w:r>
        <w:rPr/>
        <w:t>Casino,</w:t>
      </w:r>
      <w:r>
        <w:rPr>
          <w:spacing w:val="-7"/>
        </w:rPr>
        <w:t> </w:t>
      </w:r>
      <w:r>
        <w:rPr>
          <w:spacing w:val="-5"/>
        </w:rPr>
        <w:t>LLC</w:t>
      </w:r>
      <w:r>
        <w:rPr/>
        <w:tab/>
      </w:r>
      <w:r>
        <w:rPr>
          <w:spacing w:val="-2"/>
        </w:rPr>
        <w:t>Nevada</w:t>
      </w:r>
    </w:p>
    <w:p>
      <w:pPr>
        <w:pStyle w:val="BodyText"/>
        <w:tabs>
          <w:tab w:pos="9436" w:val="left" w:leader="none"/>
        </w:tabs>
        <w:spacing w:before="23"/>
        <w:ind w:left="212"/>
      </w:pPr>
      <w:r>
        <w:rPr/>
        <w:t>Park</w:t>
      </w:r>
      <w:r>
        <w:rPr>
          <w:spacing w:val="-8"/>
        </w:rPr>
        <w:t> </w:t>
      </w:r>
      <w:r>
        <w:rPr/>
        <w:t>Theater,</w:t>
      </w:r>
      <w:r>
        <w:rPr>
          <w:spacing w:val="-5"/>
        </w:rPr>
        <w:t> LLC</w:t>
      </w:r>
      <w:r>
        <w:rPr/>
        <w:tab/>
      </w:r>
      <w:r>
        <w:rPr>
          <w:spacing w:val="-2"/>
        </w:rPr>
        <w:t>Nevada</w:t>
      </w:r>
    </w:p>
    <w:p>
      <w:pPr>
        <w:pStyle w:val="BodyText"/>
        <w:tabs>
          <w:tab w:pos="9223" w:val="left" w:leader="none"/>
        </w:tabs>
        <w:spacing w:before="22"/>
        <w:ind w:right="1792"/>
        <w:jc w:val="right"/>
      </w:pPr>
      <w:r>
        <w:rPr/>
        <w:t>PRMA,</w:t>
      </w:r>
      <w:r>
        <w:rPr>
          <w:spacing w:val="-1"/>
        </w:rPr>
        <w:t> </w:t>
      </w:r>
      <w:r>
        <w:rPr>
          <w:spacing w:val="-5"/>
        </w:rPr>
        <w:t>LLC</w:t>
      </w:r>
      <w:r>
        <w:rPr/>
        <w:tab/>
      </w:r>
      <w:r>
        <w:rPr>
          <w:spacing w:val="-2"/>
        </w:rPr>
        <w:t>Nevada</w:t>
      </w:r>
    </w:p>
    <w:p>
      <w:pPr>
        <w:pStyle w:val="BodyText"/>
        <w:tabs>
          <w:tab w:pos="8899" w:val="left" w:leader="none"/>
        </w:tabs>
        <w:spacing w:before="36"/>
        <w:ind w:right="1792"/>
        <w:jc w:val="right"/>
      </w:pPr>
      <w:r>
        <w:rPr/>
        <w:t>PRMA</w:t>
      </w:r>
      <w:r>
        <w:rPr>
          <w:spacing w:val="-10"/>
        </w:rPr>
        <w:t> </w:t>
      </w:r>
      <w:r>
        <w:rPr/>
        <w:t>Land</w:t>
      </w:r>
      <w:r>
        <w:rPr>
          <w:spacing w:val="-1"/>
        </w:rPr>
        <w:t> </w:t>
      </w:r>
      <w:r>
        <w:rPr/>
        <w:t>Development</w:t>
      </w:r>
      <w:r>
        <w:rPr>
          <w:spacing w:val="-1"/>
        </w:rPr>
        <w:t> </w:t>
      </w:r>
      <w:r>
        <w:rPr>
          <w:spacing w:val="-2"/>
        </w:rPr>
        <w:t>Company</w:t>
      </w:r>
      <w:r>
        <w:rPr/>
        <w:tab/>
      </w:r>
      <w:r>
        <w:rPr>
          <w:spacing w:val="-2"/>
        </w:rPr>
        <w:t>Nevada</w:t>
      </w:r>
    </w:p>
    <w:p>
      <w:pPr>
        <w:pStyle w:val="BodyText"/>
        <w:tabs>
          <w:tab w:pos="9436" w:val="left" w:leader="none"/>
        </w:tabs>
        <w:spacing w:before="23"/>
        <w:ind w:left="212"/>
      </w:pPr>
      <w:r>
        <w:rPr/>
        <w:t>Tower</w:t>
      </w:r>
      <w:r>
        <w:rPr>
          <w:spacing w:val="-8"/>
        </w:rPr>
        <w:t> </w:t>
      </w:r>
      <w:r>
        <w:rPr/>
        <w:t>B,</w:t>
      </w:r>
      <w:r>
        <w:rPr>
          <w:spacing w:val="-7"/>
        </w:rPr>
        <w:t> </w:t>
      </w:r>
      <w:r>
        <w:rPr>
          <w:spacing w:val="-5"/>
        </w:rPr>
        <w:t>LLC</w:t>
      </w:r>
      <w:r>
        <w:rPr/>
        <w:tab/>
      </w:r>
      <w:r>
        <w:rPr>
          <w:spacing w:val="-2"/>
        </w:rPr>
        <w:t>Nevada</w:t>
      </w:r>
    </w:p>
    <w:p>
      <w:pPr>
        <w:pStyle w:val="BodyText"/>
        <w:tabs>
          <w:tab w:pos="9436" w:val="left" w:leader="none"/>
        </w:tabs>
        <w:spacing w:before="22"/>
        <w:ind w:left="212"/>
      </w:pPr>
      <w:r>
        <w:rPr/>
        <w:t>Tower</w:t>
      </w:r>
      <w:r>
        <w:rPr>
          <w:spacing w:val="-8"/>
        </w:rPr>
        <w:t> </w:t>
      </w:r>
      <w:r>
        <w:rPr/>
        <w:t>C,</w:t>
      </w:r>
      <w:r>
        <w:rPr>
          <w:spacing w:val="-7"/>
        </w:rPr>
        <w:t> </w:t>
      </w:r>
      <w:r>
        <w:rPr>
          <w:spacing w:val="-5"/>
        </w:rPr>
        <w:t>LLC</w:t>
      </w:r>
      <w:r>
        <w:rPr/>
        <w:tab/>
      </w:r>
      <w:r>
        <w:rPr>
          <w:spacing w:val="-2"/>
        </w:rPr>
        <w:t>Nevada</w:t>
      </w:r>
    </w:p>
    <w:p>
      <w:pPr>
        <w:pStyle w:val="BodyText"/>
        <w:tabs>
          <w:tab w:pos="9436" w:val="left" w:leader="none"/>
        </w:tabs>
        <w:spacing w:before="36"/>
        <w:ind w:left="212"/>
      </w:pPr>
      <w:r>
        <w:rPr>
          <w:spacing w:val="-2"/>
        </w:rPr>
        <w:t>Vendido,</w:t>
      </w:r>
      <w:r>
        <w:rPr>
          <w:spacing w:val="-5"/>
        </w:rPr>
        <w:t> LLC</w:t>
      </w:r>
      <w:r>
        <w:rPr/>
        <w:tab/>
      </w:r>
      <w:r>
        <w:rPr>
          <w:spacing w:val="-2"/>
        </w:rPr>
        <w:t>Nevada</w:t>
      </w:r>
    </w:p>
    <w:p>
      <w:pPr>
        <w:spacing w:after="0"/>
        <w:sectPr>
          <w:pgSz w:w="12240" w:h="15840"/>
          <w:pgMar w:top="1520" w:bottom="280" w:left="220" w:right="240"/>
        </w:sectPr>
      </w:pPr>
    </w:p>
    <w:p>
      <w:pPr>
        <w:pStyle w:val="Heading5"/>
        <w:spacing w:before="74"/>
        <w:ind w:left="0" w:right="118"/>
        <w:jc w:val="right"/>
      </w:pPr>
      <w:bookmarkStart w:name="_bookmark41" w:id="42"/>
      <w:bookmarkEnd w:id="42"/>
      <w:r>
        <w:rPr>
          <w:b w:val="0"/>
        </w:rPr>
      </w:r>
      <w:r>
        <w:rPr/>
        <w:t>Exhibit</w:t>
      </w:r>
      <w:r>
        <w:rPr>
          <w:spacing w:val="-1"/>
        </w:rPr>
        <w:t> </w:t>
      </w:r>
      <w:r>
        <w:rPr>
          <w:spacing w:val="-5"/>
        </w:rPr>
        <w:t>22</w:t>
      </w:r>
    </w:p>
    <w:p>
      <w:pPr>
        <w:pStyle w:val="BodyText"/>
        <w:spacing w:before="18"/>
        <w:rPr>
          <w:b/>
        </w:rPr>
      </w:pPr>
    </w:p>
    <w:p>
      <w:pPr>
        <w:spacing w:before="0"/>
        <w:ind w:left="24" w:right="0" w:firstLine="0"/>
        <w:jc w:val="center"/>
        <w:rPr>
          <w:b/>
          <w:sz w:val="18"/>
        </w:rPr>
      </w:pPr>
      <w:r>
        <w:rPr>
          <w:b/>
          <w:sz w:val="18"/>
        </w:rPr>
        <w:t>List</w:t>
      </w:r>
      <w:r>
        <w:rPr>
          <w:b/>
          <w:spacing w:val="-1"/>
          <w:sz w:val="18"/>
        </w:rPr>
        <w:t> </w:t>
      </w:r>
      <w:r>
        <w:rPr>
          <w:b/>
          <w:sz w:val="18"/>
        </w:rPr>
        <w:t>of</w:t>
      </w:r>
      <w:r>
        <w:rPr>
          <w:b/>
          <w:spacing w:val="-1"/>
          <w:sz w:val="18"/>
        </w:rPr>
        <w:t> </w:t>
      </w:r>
      <w:r>
        <w:rPr>
          <w:b/>
          <w:sz w:val="18"/>
        </w:rPr>
        <w:t>Guarantor</w:t>
      </w:r>
      <w:r>
        <w:rPr>
          <w:b/>
          <w:spacing w:val="-4"/>
          <w:sz w:val="18"/>
        </w:rPr>
        <w:t> </w:t>
      </w:r>
      <w:r>
        <w:rPr>
          <w:b/>
          <w:sz w:val="18"/>
        </w:rPr>
        <w:t>Subsidiaries</w:t>
      </w:r>
      <w:r>
        <w:rPr>
          <w:b/>
          <w:spacing w:val="-1"/>
          <w:sz w:val="18"/>
        </w:rPr>
        <w:t> </w:t>
      </w:r>
      <w:r>
        <w:rPr>
          <w:b/>
          <w:sz w:val="18"/>
        </w:rPr>
        <w:t>of</w:t>
      </w:r>
      <w:r>
        <w:rPr>
          <w:b/>
          <w:spacing w:val="-1"/>
          <w:sz w:val="18"/>
        </w:rPr>
        <w:t> </w:t>
      </w:r>
      <w:r>
        <w:rPr>
          <w:b/>
          <w:sz w:val="18"/>
        </w:rPr>
        <w:t>MGM</w:t>
      </w:r>
      <w:r>
        <w:rPr>
          <w:b/>
          <w:spacing w:val="-1"/>
          <w:sz w:val="18"/>
        </w:rPr>
        <w:t> </w:t>
      </w:r>
      <w:r>
        <w:rPr>
          <w:b/>
          <w:sz w:val="18"/>
        </w:rPr>
        <w:t>Resorts</w:t>
      </w:r>
      <w:r>
        <w:rPr>
          <w:b/>
          <w:spacing w:val="-1"/>
          <w:sz w:val="18"/>
        </w:rPr>
        <w:t> </w:t>
      </w:r>
      <w:r>
        <w:rPr>
          <w:b/>
          <w:spacing w:val="-2"/>
          <w:sz w:val="18"/>
        </w:rPr>
        <w:t>International</w:t>
      </w:r>
    </w:p>
    <w:p>
      <w:pPr>
        <w:pStyle w:val="BodyText"/>
        <w:spacing w:before="18"/>
        <w:rPr>
          <w:b/>
        </w:rPr>
      </w:pPr>
    </w:p>
    <w:p>
      <w:pPr>
        <w:pStyle w:val="BodyText"/>
        <w:spacing w:line="249" w:lineRule="auto"/>
        <w:ind w:left="144" w:right="118" w:firstLine="505"/>
      </w:pPr>
      <w:r>
        <w:rPr/>
        <w:t>The subsidiaries of MGM Resorts International (the “Company”) listed below have fully and unconditionally guaranteed the Company’s (i) 6.000% senior</w:t>
      </w:r>
      <w:r>
        <w:rPr>
          <w:spacing w:val="-2"/>
        </w:rPr>
        <w:t> </w:t>
      </w:r>
      <w:r>
        <w:rPr/>
        <w:t>notes</w:t>
      </w:r>
      <w:r>
        <w:rPr>
          <w:spacing w:val="-2"/>
        </w:rPr>
        <w:t> </w:t>
      </w:r>
      <w:r>
        <w:rPr/>
        <w:t>due</w:t>
      </w:r>
      <w:r>
        <w:rPr>
          <w:spacing w:val="-2"/>
        </w:rPr>
        <w:t> </w:t>
      </w:r>
      <w:r>
        <w:rPr/>
        <w:t>2023,</w:t>
      </w:r>
      <w:r>
        <w:rPr>
          <w:spacing w:val="-2"/>
        </w:rPr>
        <w:t> </w:t>
      </w:r>
      <w:r>
        <w:rPr/>
        <w:t>(ii)</w:t>
      </w:r>
      <w:r>
        <w:rPr>
          <w:spacing w:val="-2"/>
        </w:rPr>
        <w:t> </w:t>
      </w:r>
      <w:r>
        <w:rPr/>
        <w:t>5.750%</w:t>
      </w:r>
      <w:r>
        <w:rPr>
          <w:spacing w:val="-2"/>
        </w:rPr>
        <w:t> </w:t>
      </w:r>
      <w:r>
        <w:rPr/>
        <w:t>senior</w:t>
      </w:r>
      <w:r>
        <w:rPr>
          <w:spacing w:val="-2"/>
        </w:rPr>
        <w:t> </w:t>
      </w:r>
      <w:r>
        <w:rPr/>
        <w:t>notes</w:t>
      </w:r>
      <w:r>
        <w:rPr>
          <w:spacing w:val="-2"/>
        </w:rPr>
        <w:t> </w:t>
      </w:r>
      <w:r>
        <w:rPr/>
        <w:t>due</w:t>
      </w:r>
      <w:r>
        <w:rPr>
          <w:spacing w:val="-2"/>
        </w:rPr>
        <w:t> </w:t>
      </w:r>
      <w:r>
        <w:rPr/>
        <w:t>2025,</w:t>
      </w:r>
      <w:r>
        <w:rPr>
          <w:spacing w:val="-2"/>
        </w:rPr>
        <w:t> </w:t>
      </w:r>
      <w:r>
        <w:rPr/>
        <w:t>(iii)</w:t>
      </w:r>
      <w:r>
        <w:rPr>
          <w:spacing w:val="-2"/>
        </w:rPr>
        <w:t> </w:t>
      </w:r>
      <w:r>
        <w:rPr/>
        <w:t>6.75%</w:t>
      </w:r>
      <w:r>
        <w:rPr>
          <w:spacing w:val="-2"/>
        </w:rPr>
        <w:t> </w:t>
      </w:r>
      <w:r>
        <w:rPr/>
        <w:t>senior</w:t>
      </w:r>
      <w:r>
        <w:rPr>
          <w:spacing w:val="-2"/>
        </w:rPr>
        <w:t> </w:t>
      </w:r>
      <w:r>
        <w:rPr/>
        <w:t>notes</w:t>
      </w:r>
      <w:r>
        <w:rPr>
          <w:spacing w:val="-2"/>
        </w:rPr>
        <w:t> </w:t>
      </w:r>
      <w:r>
        <w:rPr/>
        <w:t>due</w:t>
      </w:r>
      <w:r>
        <w:rPr>
          <w:spacing w:val="-2"/>
        </w:rPr>
        <w:t> </w:t>
      </w:r>
      <w:r>
        <w:rPr/>
        <w:t>2025,</w:t>
      </w:r>
      <w:r>
        <w:rPr>
          <w:spacing w:val="-2"/>
        </w:rPr>
        <w:t> </w:t>
      </w:r>
      <w:r>
        <w:rPr/>
        <w:t>(iv)</w:t>
      </w:r>
      <w:r>
        <w:rPr>
          <w:spacing w:val="-2"/>
        </w:rPr>
        <w:t> </w:t>
      </w:r>
      <w:r>
        <w:rPr/>
        <w:t>4.625%</w:t>
      </w:r>
      <w:r>
        <w:rPr>
          <w:spacing w:val="-2"/>
        </w:rPr>
        <w:t> </w:t>
      </w:r>
      <w:r>
        <w:rPr/>
        <w:t>senior</w:t>
      </w:r>
      <w:r>
        <w:rPr>
          <w:spacing w:val="-2"/>
        </w:rPr>
        <w:t> </w:t>
      </w:r>
      <w:r>
        <w:rPr/>
        <w:t>notes</w:t>
      </w:r>
      <w:r>
        <w:rPr>
          <w:spacing w:val="-2"/>
        </w:rPr>
        <w:t> </w:t>
      </w:r>
      <w:r>
        <w:rPr/>
        <w:t>due</w:t>
      </w:r>
      <w:r>
        <w:rPr>
          <w:spacing w:val="-2"/>
        </w:rPr>
        <w:t> </w:t>
      </w:r>
      <w:r>
        <w:rPr/>
        <w:t>2026,</w:t>
      </w:r>
      <w:r>
        <w:rPr>
          <w:spacing w:val="-2"/>
        </w:rPr>
        <w:t> </w:t>
      </w:r>
      <w:r>
        <w:rPr/>
        <w:t>(v)</w:t>
      </w:r>
      <w:r>
        <w:rPr>
          <w:spacing w:val="-2"/>
        </w:rPr>
        <w:t> </w:t>
      </w:r>
      <w:r>
        <w:rPr/>
        <w:t>5.500%</w:t>
      </w:r>
      <w:r>
        <w:rPr>
          <w:spacing w:val="-2"/>
        </w:rPr>
        <w:t> </w:t>
      </w:r>
      <w:r>
        <w:rPr/>
        <w:t>senior</w:t>
      </w:r>
      <w:r>
        <w:rPr>
          <w:spacing w:val="-2"/>
        </w:rPr>
        <w:t> </w:t>
      </w:r>
      <w:r>
        <w:rPr/>
        <w:t>notes</w:t>
      </w:r>
      <w:r>
        <w:rPr>
          <w:spacing w:val="-2"/>
        </w:rPr>
        <w:t> </w:t>
      </w:r>
      <w:r>
        <w:rPr/>
        <w:t>due 2027, and (vi) 4.75% senior notes due 2028 (collectively, the “MGM Notes”). In addition, Mandalay Resort Group, LLC, a wholly owned subsidiary of the Company,</w:t>
      </w:r>
      <w:r>
        <w:rPr>
          <w:spacing w:val="-3"/>
        </w:rPr>
        <w:t> </w:t>
      </w:r>
      <w:r>
        <w:rPr/>
        <w:t>is</w:t>
      </w:r>
      <w:r>
        <w:rPr>
          <w:spacing w:val="-3"/>
        </w:rPr>
        <w:t> </w:t>
      </w:r>
      <w:r>
        <w:rPr/>
        <w:t>the</w:t>
      </w:r>
      <w:r>
        <w:rPr>
          <w:spacing w:val="-3"/>
        </w:rPr>
        <w:t> </w:t>
      </w:r>
      <w:r>
        <w:rPr/>
        <w:t>issuer</w:t>
      </w:r>
      <w:r>
        <w:rPr>
          <w:spacing w:val="-3"/>
        </w:rPr>
        <w:t> </w:t>
      </w:r>
      <w:r>
        <w:rPr/>
        <w:t>of</w:t>
      </w:r>
      <w:r>
        <w:rPr>
          <w:spacing w:val="-3"/>
        </w:rPr>
        <w:t> </w:t>
      </w:r>
      <w:r>
        <w:rPr/>
        <w:t>7.0%</w:t>
      </w:r>
      <w:r>
        <w:rPr>
          <w:spacing w:val="-3"/>
        </w:rPr>
        <w:t> </w:t>
      </w:r>
      <w:r>
        <w:rPr/>
        <w:t>Debentures</w:t>
      </w:r>
      <w:r>
        <w:rPr>
          <w:spacing w:val="-3"/>
        </w:rPr>
        <w:t> </w:t>
      </w:r>
      <w:r>
        <w:rPr/>
        <w:t>due</w:t>
      </w:r>
      <w:r>
        <w:rPr>
          <w:spacing w:val="-3"/>
        </w:rPr>
        <w:t> </w:t>
      </w:r>
      <w:r>
        <w:rPr/>
        <w:t>2036</w:t>
      </w:r>
      <w:r>
        <w:rPr>
          <w:spacing w:val="-3"/>
        </w:rPr>
        <w:t> </w:t>
      </w:r>
      <w:r>
        <w:rPr/>
        <w:t>(the</w:t>
      </w:r>
      <w:r>
        <w:rPr>
          <w:spacing w:val="-3"/>
        </w:rPr>
        <w:t> </w:t>
      </w:r>
      <w:r>
        <w:rPr/>
        <w:t>“Mandalay</w:t>
      </w:r>
      <w:r>
        <w:rPr>
          <w:spacing w:val="-3"/>
        </w:rPr>
        <w:t> </w:t>
      </w:r>
      <w:r>
        <w:rPr/>
        <w:t>Notes”),</w:t>
      </w:r>
      <w:r>
        <w:rPr>
          <w:spacing w:val="-3"/>
        </w:rPr>
        <w:t> </w:t>
      </w:r>
      <w:r>
        <w:rPr/>
        <w:t>and</w:t>
      </w:r>
      <w:r>
        <w:rPr>
          <w:spacing w:val="-3"/>
        </w:rPr>
        <w:t> </w:t>
      </w:r>
      <w:r>
        <w:rPr/>
        <w:t>the</w:t>
      </w:r>
      <w:r>
        <w:rPr>
          <w:spacing w:val="-3"/>
        </w:rPr>
        <w:t> </w:t>
      </w:r>
      <w:r>
        <w:rPr/>
        <w:t>Company</w:t>
      </w:r>
      <w:r>
        <w:rPr>
          <w:spacing w:val="-3"/>
        </w:rPr>
        <w:t> </w:t>
      </w:r>
      <w:r>
        <w:rPr/>
        <w:t>and</w:t>
      </w:r>
      <w:r>
        <w:rPr>
          <w:spacing w:val="-3"/>
        </w:rPr>
        <w:t> </w:t>
      </w:r>
      <w:r>
        <w:rPr/>
        <w:t>the</w:t>
      </w:r>
      <w:r>
        <w:rPr>
          <w:spacing w:val="-3"/>
        </w:rPr>
        <w:t> </w:t>
      </w:r>
      <w:r>
        <w:rPr/>
        <w:t>other</w:t>
      </w:r>
      <w:r>
        <w:rPr>
          <w:spacing w:val="-3"/>
        </w:rPr>
        <w:t> </w:t>
      </w:r>
      <w:r>
        <w:rPr/>
        <w:t>subsidiaries</w:t>
      </w:r>
      <w:r>
        <w:rPr>
          <w:spacing w:val="-3"/>
        </w:rPr>
        <w:t> </w:t>
      </w:r>
      <w:r>
        <w:rPr/>
        <w:t>listed</w:t>
      </w:r>
      <w:r>
        <w:rPr>
          <w:spacing w:val="-3"/>
        </w:rPr>
        <w:t> </w:t>
      </w:r>
      <w:r>
        <w:rPr/>
        <w:t>below</w:t>
      </w:r>
      <w:r>
        <w:rPr>
          <w:spacing w:val="-3"/>
        </w:rPr>
        <w:t> </w:t>
      </w:r>
      <w:r>
        <w:rPr/>
        <w:t>are</w:t>
      </w:r>
      <w:r>
        <w:rPr>
          <w:spacing w:val="-3"/>
        </w:rPr>
        <w:t> </w:t>
      </w:r>
      <w:r>
        <w:rPr/>
        <w:t>guarantors</w:t>
      </w:r>
      <w:r>
        <w:rPr>
          <w:spacing w:val="-3"/>
        </w:rPr>
        <w:t> </w:t>
      </w:r>
      <w:r>
        <w:rPr/>
        <w:t>of</w:t>
      </w:r>
      <w:r>
        <w:rPr>
          <w:spacing w:val="-3"/>
        </w:rPr>
        <w:t> </w:t>
      </w:r>
      <w:r>
        <w:rPr/>
        <w:t>the Mandalay Notes.</w:t>
      </w:r>
    </w:p>
    <w:p>
      <w:pPr>
        <w:pStyle w:val="BodyText"/>
        <w:spacing w:before="43"/>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9"/>
        <w:gridCol w:w="256"/>
        <w:gridCol w:w="2659"/>
      </w:tblGrid>
      <w:tr>
        <w:trPr>
          <w:trHeight w:val="208" w:hRule="atLeast"/>
        </w:trPr>
        <w:tc>
          <w:tcPr>
            <w:tcW w:w="8599" w:type="dxa"/>
            <w:tcBorders>
              <w:bottom w:val="single" w:sz="6" w:space="0" w:color="000000"/>
            </w:tcBorders>
          </w:tcPr>
          <w:p>
            <w:pPr>
              <w:pStyle w:val="TableParagraph"/>
              <w:spacing w:line="159" w:lineRule="exact" w:before="0"/>
              <w:jc w:val="center"/>
              <w:rPr>
                <w:b/>
                <w:sz w:val="14"/>
              </w:rPr>
            </w:pPr>
            <w:r>
              <w:rPr>
                <w:b/>
                <w:sz w:val="14"/>
              </w:rPr>
              <w:t>Name</w:t>
            </w:r>
            <w:r>
              <w:rPr>
                <w:b/>
                <w:spacing w:val="4"/>
                <w:sz w:val="14"/>
              </w:rPr>
              <w:t> </w:t>
            </w:r>
            <w:r>
              <w:rPr>
                <w:b/>
                <w:sz w:val="14"/>
              </w:rPr>
              <w:t>of</w:t>
            </w:r>
            <w:r>
              <w:rPr>
                <w:b/>
                <w:spacing w:val="5"/>
                <w:sz w:val="14"/>
              </w:rPr>
              <w:t> </w:t>
            </w:r>
            <w:r>
              <w:rPr>
                <w:b/>
                <w:spacing w:val="-2"/>
                <w:sz w:val="14"/>
              </w:rPr>
              <w:t>Subsidiary</w:t>
            </w:r>
          </w:p>
        </w:tc>
        <w:tc>
          <w:tcPr>
            <w:tcW w:w="256" w:type="dxa"/>
          </w:tcPr>
          <w:p>
            <w:pPr>
              <w:pStyle w:val="TableParagraph"/>
              <w:spacing w:before="0"/>
              <w:rPr>
                <w:sz w:val="14"/>
              </w:rPr>
            </w:pPr>
          </w:p>
        </w:tc>
        <w:tc>
          <w:tcPr>
            <w:tcW w:w="2659" w:type="dxa"/>
            <w:tcBorders>
              <w:bottom w:val="single" w:sz="6" w:space="0" w:color="000000"/>
            </w:tcBorders>
          </w:tcPr>
          <w:p>
            <w:pPr>
              <w:pStyle w:val="TableParagraph"/>
              <w:spacing w:line="159" w:lineRule="exact" w:before="0"/>
              <w:ind w:right="1"/>
              <w:jc w:val="center"/>
              <w:rPr>
                <w:b/>
                <w:sz w:val="14"/>
              </w:rPr>
            </w:pPr>
            <w:r>
              <w:rPr>
                <w:b/>
                <w:sz w:val="14"/>
              </w:rPr>
              <w:t>Issuer/Guarantor</w:t>
            </w:r>
            <w:r>
              <w:rPr>
                <w:b/>
                <w:spacing w:val="19"/>
                <w:sz w:val="14"/>
              </w:rPr>
              <w:t> </w:t>
            </w:r>
            <w:r>
              <w:rPr>
                <w:b/>
                <w:spacing w:val="-2"/>
                <w:sz w:val="14"/>
              </w:rPr>
              <w:t>Status</w:t>
            </w:r>
          </w:p>
        </w:tc>
      </w:tr>
      <w:tr>
        <w:trPr>
          <w:trHeight w:val="241" w:hRule="atLeast"/>
        </w:trPr>
        <w:tc>
          <w:tcPr>
            <w:tcW w:w="8599" w:type="dxa"/>
            <w:tcBorders>
              <w:top w:val="single" w:sz="6" w:space="0" w:color="000000"/>
            </w:tcBorders>
          </w:tcPr>
          <w:p>
            <w:pPr>
              <w:pStyle w:val="TableParagraph"/>
              <w:spacing w:before="25"/>
              <w:ind w:left="17"/>
              <w:rPr>
                <w:sz w:val="16"/>
              </w:rPr>
            </w:pPr>
            <w:r>
              <w:rPr>
                <w:sz w:val="16"/>
              </w:rPr>
              <w:t>550</w:t>
            </w:r>
            <w:r>
              <w:rPr>
                <w:spacing w:val="3"/>
                <w:sz w:val="16"/>
              </w:rPr>
              <w:t> </w:t>
            </w:r>
            <w:r>
              <w:rPr>
                <w:sz w:val="16"/>
              </w:rPr>
              <w:t>Leasing</w:t>
            </w:r>
            <w:r>
              <w:rPr>
                <w:spacing w:val="4"/>
                <w:sz w:val="16"/>
              </w:rPr>
              <w:t> </w:t>
            </w:r>
            <w:r>
              <w:rPr>
                <w:sz w:val="16"/>
              </w:rPr>
              <w:t>Company</w:t>
            </w:r>
            <w:r>
              <w:rPr>
                <w:spacing w:val="4"/>
                <w:sz w:val="16"/>
              </w:rPr>
              <w:t> </w:t>
            </w:r>
            <w:r>
              <w:rPr>
                <w:sz w:val="16"/>
              </w:rPr>
              <w:t>II,</w:t>
            </w:r>
            <w:r>
              <w:rPr>
                <w:spacing w:val="4"/>
                <w:sz w:val="16"/>
              </w:rPr>
              <w:t> </w:t>
            </w:r>
            <w:r>
              <w:rPr>
                <w:spacing w:val="-5"/>
                <w:sz w:val="16"/>
              </w:rPr>
              <w:t>LLC</w:t>
            </w:r>
          </w:p>
        </w:tc>
        <w:tc>
          <w:tcPr>
            <w:tcW w:w="256" w:type="dxa"/>
          </w:tcPr>
          <w:p>
            <w:pPr>
              <w:pStyle w:val="TableParagraph"/>
              <w:spacing w:before="0"/>
              <w:rPr>
                <w:sz w:val="16"/>
              </w:rPr>
            </w:pPr>
          </w:p>
        </w:tc>
        <w:tc>
          <w:tcPr>
            <w:tcW w:w="2659" w:type="dxa"/>
            <w:tcBorders>
              <w:top w:val="single" w:sz="6" w:space="0" w:color="000000"/>
            </w:tcBorders>
          </w:tcPr>
          <w:p>
            <w:pPr>
              <w:pStyle w:val="TableParagraph"/>
              <w:spacing w:before="25"/>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AC</w:t>
            </w:r>
            <w:r>
              <w:rPr>
                <w:spacing w:val="3"/>
                <w:sz w:val="16"/>
              </w:rPr>
              <w:t> </w:t>
            </w:r>
            <w:r>
              <w:rPr>
                <w:sz w:val="16"/>
              </w:rPr>
              <w:t>Holding</w:t>
            </w:r>
            <w:r>
              <w:rPr>
                <w:spacing w:val="4"/>
                <w:sz w:val="16"/>
              </w:rPr>
              <w:t> </w:t>
            </w:r>
            <w:r>
              <w:rPr>
                <w:spacing w:val="-2"/>
                <w:sz w:val="16"/>
              </w:rPr>
              <w:t>Corp.</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AC</w:t>
            </w:r>
            <w:r>
              <w:rPr>
                <w:spacing w:val="3"/>
                <w:sz w:val="16"/>
              </w:rPr>
              <w:t> </w:t>
            </w:r>
            <w:r>
              <w:rPr>
                <w:sz w:val="16"/>
              </w:rPr>
              <w:t>Holding</w:t>
            </w:r>
            <w:r>
              <w:rPr>
                <w:spacing w:val="4"/>
                <w:sz w:val="16"/>
              </w:rPr>
              <w:t> </w:t>
            </w:r>
            <w:r>
              <w:rPr>
                <w:sz w:val="16"/>
              </w:rPr>
              <w:t>Corp.</w:t>
            </w:r>
            <w:r>
              <w:rPr>
                <w:spacing w:val="4"/>
                <w:sz w:val="16"/>
              </w:rPr>
              <w:t> </w:t>
            </w:r>
            <w:r>
              <w:rPr>
                <w:spacing w:val="-5"/>
                <w:sz w:val="16"/>
              </w:rPr>
              <w:t>II</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Arena</w:t>
            </w:r>
            <w:r>
              <w:rPr>
                <w:spacing w:val="4"/>
                <w:sz w:val="16"/>
              </w:rPr>
              <w:t> </w:t>
            </w:r>
            <w:r>
              <w:rPr>
                <w:sz w:val="16"/>
              </w:rPr>
              <w:t>Land</w:t>
            </w:r>
            <w:r>
              <w:rPr>
                <w:spacing w:val="4"/>
                <w:sz w:val="16"/>
              </w:rPr>
              <w:t> </w:t>
            </w:r>
            <w:r>
              <w:rPr>
                <w:sz w:val="16"/>
              </w:rPr>
              <w:t>Holdings,</w:t>
            </w:r>
            <w:r>
              <w:rPr>
                <w:spacing w:val="5"/>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Aria</w:t>
            </w:r>
            <w:r>
              <w:rPr>
                <w:spacing w:val="3"/>
                <w:sz w:val="16"/>
              </w:rPr>
              <w:t> </w:t>
            </w:r>
            <w:r>
              <w:rPr>
                <w:sz w:val="16"/>
              </w:rPr>
              <w:t>Resort</w:t>
            </w:r>
            <w:r>
              <w:rPr>
                <w:spacing w:val="3"/>
                <w:sz w:val="16"/>
              </w:rPr>
              <w:t> </w:t>
            </w:r>
            <w:r>
              <w:rPr>
                <w:sz w:val="16"/>
              </w:rPr>
              <w:t>&amp;</w:t>
            </w:r>
            <w:r>
              <w:rPr>
                <w:spacing w:val="4"/>
                <w:sz w:val="16"/>
              </w:rPr>
              <w:t> </w:t>
            </w:r>
            <w:r>
              <w:rPr>
                <w:sz w:val="16"/>
              </w:rPr>
              <w:t>Casino</w:t>
            </w:r>
            <w:r>
              <w:rPr>
                <w:spacing w:val="3"/>
                <w:sz w:val="16"/>
              </w:rPr>
              <w:t> </w:t>
            </w:r>
            <w:r>
              <w:rPr>
                <w:sz w:val="16"/>
              </w:rPr>
              <w:t>Holdings,</w:t>
            </w:r>
            <w:r>
              <w:rPr>
                <w:spacing w:val="3"/>
                <w:sz w:val="16"/>
              </w:rPr>
              <w:t> </w:t>
            </w:r>
            <w:r>
              <w:rPr>
                <w:sz w:val="16"/>
              </w:rPr>
              <w:t>LLC,</w:t>
            </w:r>
            <w:r>
              <w:rPr>
                <w:spacing w:val="4"/>
                <w:sz w:val="16"/>
              </w:rPr>
              <w:t> </w:t>
            </w:r>
            <w:r>
              <w:rPr>
                <w:sz w:val="16"/>
              </w:rPr>
              <w:t>dba</w:t>
            </w:r>
            <w:r>
              <w:rPr>
                <w:spacing w:val="-7"/>
                <w:sz w:val="16"/>
              </w:rPr>
              <w:t> </w:t>
            </w:r>
            <w:r>
              <w:rPr>
                <w:sz w:val="16"/>
              </w:rPr>
              <w:t>Aria</w:t>
            </w:r>
            <w:r>
              <w:rPr>
                <w:spacing w:val="4"/>
                <w:sz w:val="16"/>
              </w:rPr>
              <w:t> </w:t>
            </w:r>
            <w:r>
              <w:rPr>
                <w:sz w:val="16"/>
              </w:rPr>
              <w:t>Resort</w:t>
            </w:r>
            <w:r>
              <w:rPr>
                <w:spacing w:val="3"/>
                <w:sz w:val="16"/>
              </w:rPr>
              <w:t> </w:t>
            </w:r>
            <w:r>
              <w:rPr>
                <w:sz w:val="16"/>
              </w:rPr>
              <w:t>&amp;</w:t>
            </w:r>
            <w:r>
              <w:rPr>
                <w:spacing w:val="3"/>
                <w:sz w:val="16"/>
              </w:rPr>
              <w:t> </w:t>
            </w:r>
            <w:r>
              <w:rPr>
                <w:spacing w:val="-2"/>
                <w:sz w:val="16"/>
              </w:rPr>
              <w:t>Casino</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Aria</w:t>
            </w:r>
            <w:r>
              <w:rPr>
                <w:spacing w:val="3"/>
                <w:sz w:val="16"/>
              </w:rPr>
              <w:t> </w:t>
            </w:r>
            <w:r>
              <w:rPr>
                <w:sz w:val="16"/>
              </w:rPr>
              <w:t>Resort</w:t>
            </w:r>
            <w:r>
              <w:rPr>
                <w:spacing w:val="3"/>
                <w:sz w:val="16"/>
              </w:rPr>
              <w:t> </w:t>
            </w:r>
            <w:r>
              <w:rPr>
                <w:sz w:val="16"/>
              </w:rPr>
              <w:t>&amp;</w:t>
            </w:r>
            <w:r>
              <w:rPr>
                <w:spacing w:val="3"/>
                <w:sz w:val="16"/>
              </w:rPr>
              <w:t> </w:t>
            </w:r>
            <w:r>
              <w:rPr>
                <w:sz w:val="16"/>
              </w:rPr>
              <w:t>Casino,</w:t>
            </w:r>
            <w:r>
              <w:rPr>
                <w:spacing w:val="4"/>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Beau</w:t>
            </w:r>
            <w:r>
              <w:rPr>
                <w:spacing w:val="1"/>
                <w:sz w:val="16"/>
              </w:rPr>
              <w:t> </w:t>
            </w:r>
            <w:r>
              <w:rPr>
                <w:sz w:val="16"/>
              </w:rPr>
              <w:t>Rivage</w:t>
            </w:r>
            <w:r>
              <w:rPr>
                <w:spacing w:val="4"/>
                <w:sz w:val="16"/>
              </w:rPr>
              <w:t> </w:t>
            </w:r>
            <w:r>
              <w:rPr>
                <w:sz w:val="16"/>
              </w:rPr>
              <w:t>Resorts,</w:t>
            </w:r>
            <w:r>
              <w:rPr>
                <w:spacing w:val="3"/>
                <w:sz w:val="16"/>
              </w:rPr>
              <w:t> </w:t>
            </w:r>
            <w:r>
              <w:rPr>
                <w:sz w:val="16"/>
              </w:rPr>
              <w:t>LLC,</w:t>
            </w:r>
            <w:r>
              <w:rPr>
                <w:spacing w:val="4"/>
                <w:sz w:val="16"/>
              </w:rPr>
              <w:t> </w:t>
            </w:r>
            <w:r>
              <w:rPr>
                <w:sz w:val="16"/>
              </w:rPr>
              <w:t>dba</w:t>
            </w:r>
            <w:r>
              <w:rPr>
                <w:spacing w:val="3"/>
                <w:sz w:val="16"/>
              </w:rPr>
              <w:t> </w:t>
            </w:r>
            <w:r>
              <w:rPr>
                <w:sz w:val="16"/>
              </w:rPr>
              <w:t>Beau</w:t>
            </w:r>
            <w:r>
              <w:rPr>
                <w:spacing w:val="4"/>
                <w:sz w:val="16"/>
              </w:rPr>
              <w:t> </w:t>
            </w:r>
            <w:r>
              <w:rPr>
                <w:sz w:val="16"/>
              </w:rPr>
              <w:t>Rivage</w:t>
            </w:r>
            <w:r>
              <w:rPr>
                <w:spacing w:val="3"/>
                <w:sz w:val="16"/>
              </w:rPr>
              <w:t> </w:t>
            </w:r>
            <w:r>
              <w:rPr>
                <w:sz w:val="16"/>
              </w:rPr>
              <w:t>Resort</w:t>
            </w:r>
            <w:r>
              <w:rPr>
                <w:spacing w:val="4"/>
                <w:sz w:val="16"/>
              </w:rPr>
              <w:t> </w:t>
            </w:r>
            <w:r>
              <w:rPr>
                <w:sz w:val="16"/>
              </w:rPr>
              <w:t>&amp;</w:t>
            </w:r>
            <w:r>
              <w:rPr>
                <w:spacing w:val="4"/>
                <w:sz w:val="16"/>
              </w:rPr>
              <w:t> </w:t>
            </w:r>
            <w:r>
              <w:rPr>
                <w:spacing w:val="-2"/>
                <w:sz w:val="16"/>
              </w:rPr>
              <w:t>Casino</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Bellagio,</w:t>
            </w:r>
            <w:r>
              <w:rPr>
                <w:spacing w:val="3"/>
                <w:sz w:val="16"/>
              </w:rPr>
              <w:t> </w:t>
            </w:r>
            <w:r>
              <w:rPr>
                <w:sz w:val="16"/>
              </w:rPr>
              <w:t>LLC,</w:t>
            </w:r>
            <w:r>
              <w:rPr>
                <w:spacing w:val="4"/>
                <w:sz w:val="16"/>
              </w:rPr>
              <w:t> </w:t>
            </w:r>
            <w:r>
              <w:rPr>
                <w:sz w:val="16"/>
              </w:rPr>
              <w:t>dba</w:t>
            </w:r>
            <w:r>
              <w:rPr>
                <w:spacing w:val="4"/>
                <w:sz w:val="16"/>
              </w:rPr>
              <w:t> </w:t>
            </w:r>
            <w:r>
              <w:rPr>
                <w:sz w:val="16"/>
              </w:rPr>
              <w:t>Bellagio</w:t>
            </w:r>
            <w:r>
              <w:rPr>
                <w:spacing w:val="4"/>
                <w:sz w:val="16"/>
              </w:rPr>
              <w:t> </w:t>
            </w:r>
            <w:r>
              <w:rPr>
                <w:sz w:val="16"/>
              </w:rPr>
              <w:t>Resorts</w:t>
            </w:r>
            <w:r>
              <w:rPr>
                <w:spacing w:val="4"/>
                <w:sz w:val="16"/>
              </w:rPr>
              <w:t> </w:t>
            </w:r>
            <w:r>
              <w:rPr>
                <w:sz w:val="16"/>
              </w:rPr>
              <w:t>&amp;</w:t>
            </w:r>
            <w:r>
              <w:rPr>
                <w:spacing w:val="4"/>
                <w:sz w:val="16"/>
              </w:rPr>
              <w:t> </w:t>
            </w:r>
            <w:r>
              <w:rPr>
                <w:spacing w:val="-2"/>
                <w:sz w:val="16"/>
              </w:rPr>
              <w:t>Casino</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Cedar</w:t>
            </w:r>
            <w:r>
              <w:rPr>
                <w:spacing w:val="3"/>
                <w:sz w:val="16"/>
              </w:rPr>
              <w:t> </w:t>
            </w:r>
            <w:r>
              <w:rPr>
                <w:sz w:val="16"/>
              </w:rPr>
              <w:t>Downs</w:t>
            </w:r>
            <w:r>
              <w:rPr>
                <w:spacing w:val="4"/>
                <w:sz w:val="16"/>
              </w:rPr>
              <w:t> </w:t>
            </w:r>
            <w:r>
              <w:rPr>
                <w:sz w:val="16"/>
              </w:rPr>
              <w:t>OTB,</w:t>
            </w:r>
            <w:r>
              <w:rPr>
                <w:spacing w:val="4"/>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Circus</w:t>
            </w:r>
            <w:r>
              <w:rPr>
                <w:spacing w:val="4"/>
                <w:sz w:val="16"/>
              </w:rPr>
              <w:t> </w:t>
            </w:r>
            <w:r>
              <w:rPr>
                <w:sz w:val="16"/>
              </w:rPr>
              <w:t>Circus</w:t>
            </w:r>
            <w:r>
              <w:rPr>
                <w:spacing w:val="5"/>
                <w:sz w:val="16"/>
              </w:rPr>
              <w:t> </w:t>
            </w:r>
            <w:r>
              <w:rPr>
                <w:sz w:val="16"/>
              </w:rPr>
              <w:t>Casinos,</w:t>
            </w:r>
            <w:r>
              <w:rPr>
                <w:spacing w:val="4"/>
                <w:sz w:val="16"/>
              </w:rPr>
              <w:t> </w:t>
            </w:r>
            <w:r>
              <w:rPr>
                <w:spacing w:val="-4"/>
                <w:sz w:val="16"/>
              </w:rPr>
              <w:t>Inc.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Circus</w:t>
            </w:r>
            <w:r>
              <w:rPr>
                <w:spacing w:val="4"/>
                <w:sz w:val="16"/>
              </w:rPr>
              <w:t> </w:t>
            </w:r>
            <w:r>
              <w:rPr>
                <w:sz w:val="16"/>
              </w:rPr>
              <w:t>Circus</w:t>
            </w:r>
            <w:r>
              <w:rPr>
                <w:spacing w:val="5"/>
                <w:sz w:val="16"/>
              </w:rPr>
              <w:t> </w:t>
            </w:r>
            <w:r>
              <w:rPr>
                <w:sz w:val="16"/>
              </w:rPr>
              <w:t>Holdings,</w:t>
            </w:r>
            <w:r>
              <w:rPr>
                <w:spacing w:val="5"/>
                <w:sz w:val="16"/>
              </w:rPr>
              <w:t> </w:t>
            </w:r>
            <w:r>
              <w:rPr>
                <w:spacing w:val="-4"/>
                <w:sz w:val="16"/>
              </w:rPr>
              <w:t>Inc.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5"/>
                <w:sz w:val="16"/>
              </w:rPr>
              <w:t> </w:t>
            </w:r>
            <w:r>
              <w:rPr>
                <w:sz w:val="16"/>
              </w:rPr>
              <w:t>Boutique</w:t>
            </w:r>
            <w:r>
              <w:rPr>
                <w:spacing w:val="6"/>
                <w:sz w:val="16"/>
              </w:rPr>
              <w:t> </w:t>
            </w:r>
            <w:r>
              <w:rPr>
                <w:sz w:val="16"/>
              </w:rPr>
              <w:t>Hotel</w:t>
            </w:r>
            <w:r>
              <w:rPr>
                <w:spacing w:val="6"/>
                <w:sz w:val="16"/>
              </w:rPr>
              <w:t> </w:t>
            </w:r>
            <w:r>
              <w:rPr>
                <w:sz w:val="16"/>
              </w:rPr>
              <w:t>Holdings,</w:t>
            </w:r>
            <w:r>
              <w:rPr>
                <w:spacing w:val="5"/>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7"/>
                <w:sz w:val="16"/>
              </w:rPr>
              <w:t> </w:t>
            </w:r>
            <w:r>
              <w:rPr>
                <w:sz w:val="16"/>
              </w:rPr>
              <w:t>Boutique</w:t>
            </w:r>
            <w:r>
              <w:rPr>
                <w:spacing w:val="7"/>
                <w:sz w:val="16"/>
              </w:rPr>
              <w:t> </w:t>
            </w:r>
            <w:r>
              <w:rPr>
                <w:sz w:val="16"/>
              </w:rPr>
              <w:t>Residential</w:t>
            </w:r>
            <w:r>
              <w:rPr>
                <w:spacing w:val="7"/>
                <w:sz w:val="16"/>
              </w:rPr>
              <w:t> </w:t>
            </w:r>
            <w:r>
              <w:rPr>
                <w:sz w:val="16"/>
              </w:rPr>
              <w:t>Development,</w:t>
            </w:r>
            <w:r>
              <w:rPr>
                <w:spacing w:val="8"/>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7"/>
                <w:sz w:val="16"/>
              </w:rPr>
              <w:t> </w:t>
            </w:r>
            <w:r>
              <w:rPr>
                <w:sz w:val="16"/>
              </w:rPr>
              <w:t>Facilities</w:t>
            </w:r>
            <w:r>
              <w:rPr>
                <w:spacing w:val="7"/>
                <w:sz w:val="16"/>
              </w:rPr>
              <w:t> </w:t>
            </w:r>
            <w:r>
              <w:rPr>
                <w:sz w:val="16"/>
              </w:rPr>
              <w:t>Management,</w:t>
            </w:r>
            <w:r>
              <w:rPr>
                <w:spacing w:val="7"/>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7"/>
                <w:sz w:val="16"/>
              </w:rPr>
              <w:t> </w:t>
            </w:r>
            <w:r>
              <w:rPr>
                <w:sz w:val="16"/>
              </w:rPr>
              <w:t>Harmon</w:t>
            </w:r>
            <w:r>
              <w:rPr>
                <w:spacing w:val="7"/>
                <w:sz w:val="16"/>
              </w:rPr>
              <w:t> </w:t>
            </w:r>
            <w:r>
              <w:rPr>
                <w:sz w:val="16"/>
              </w:rPr>
              <w:t>Development,</w:t>
            </w:r>
            <w:r>
              <w:rPr>
                <w:spacing w:val="7"/>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CityCenter</w:t>
            </w:r>
            <w:r>
              <w:rPr>
                <w:spacing w:val="5"/>
                <w:sz w:val="16"/>
              </w:rPr>
              <w:t> </w:t>
            </w:r>
            <w:r>
              <w:rPr>
                <w:sz w:val="16"/>
              </w:rPr>
              <w:t>Harmon</w:t>
            </w:r>
            <w:r>
              <w:rPr>
                <w:spacing w:val="6"/>
                <w:sz w:val="16"/>
              </w:rPr>
              <w:t> </w:t>
            </w:r>
            <w:r>
              <w:rPr>
                <w:sz w:val="16"/>
              </w:rPr>
              <w:t>Hotel</w:t>
            </w:r>
            <w:r>
              <w:rPr>
                <w:spacing w:val="5"/>
                <w:sz w:val="16"/>
              </w:rPr>
              <w:t> </w:t>
            </w:r>
            <w:r>
              <w:rPr>
                <w:sz w:val="16"/>
              </w:rPr>
              <w:t>Holdings,</w:t>
            </w:r>
            <w:r>
              <w:rPr>
                <w:spacing w:val="6"/>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6"/>
                <w:sz w:val="16"/>
              </w:rPr>
              <w:t> </w:t>
            </w:r>
            <w:r>
              <w:rPr>
                <w:sz w:val="16"/>
              </w:rPr>
              <w:t>Holdings,</w:t>
            </w:r>
            <w:r>
              <w:rPr>
                <w:spacing w:val="7"/>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5"/>
                <w:sz w:val="16"/>
              </w:rPr>
              <w:t> </w:t>
            </w:r>
            <w:r>
              <w:rPr>
                <w:sz w:val="16"/>
              </w:rPr>
              <w:t>Land,</w:t>
            </w:r>
            <w:r>
              <w:rPr>
                <w:spacing w:val="5"/>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5"/>
                <w:sz w:val="16"/>
              </w:rPr>
              <w:t> </w:t>
            </w:r>
            <w:r>
              <w:rPr>
                <w:sz w:val="16"/>
              </w:rPr>
              <w:t>Realty</w:t>
            </w:r>
            <w:r>
              <w:rPr>
                <w:spacing w:val="6"/>
                <w:sz w:val="16"/>
              </w:rPr>
              <w:t> </w:t>
            </w:r>
            <w:r>
              <w:rPr>
                <w:spacing w:val="-2"/>
                <w:sz w:val="16"/>
              </w:rPr>
              <w:t>Corporation</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5"/>
                <w:sz w:val="16"/>
              </w:rPr>
              <w:t> </w:t>
            </w:r>
            <w:r>
              <w:rPr>
                <w:sz w:val="16"/>
              </w:rPr>
              <w:t>Retail</w:t>
            </w:r>
            <w:r>
              <w:rPr>
                <w:spacing w:val="6"/>
                <w:sz w:val="16"/>
              </w:rPr>
              <w:t> </w:t>
            </w:r>
            <w:r>
              <w:rPr>
                <w:sz w:val="16"/>
              </w:rPr>
              <w:t>Holdings,</w:t>
            </w:r>
            <w:r>
              <w:rPr>
                <w:spacing w:val="6"/>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CityCenter</w:t>
            </w:r>
            <w:r>
              <w:rPr>
                <w:spacing w:val="6"/>
                <w:sz w:val="16"/>
              </w:rPr>
              <w:t> </w:t>
            </w:r>
            <w:r>
              <w:rPr>
                <w:sz w:val="16"/>
              </w:rPr>
              <w:t>Retail</w:t>
            </w:r>
            <w:r>
              <w:rPr>
                <w:spacing w:val="6"/>
                <w:sz w:val="16"/>
              </w:rPr>
              <w:t> </w:t>
            </w:r>
            <w:r>
              <w:rPr>
                <w:sz w:val="16"/>
              </w:rPr>
              <w:t>Holdings</w:t>
            </w:r>
            <w:r>
              <w:rPr>
                <w:spacing w:val="7"/>
                <w:sz w:val="16"/>
              </w:rPr>
              <w:t> </w:t>
            </w:r>
            <w:r>
              <w:rPr>
                <w:sz w:val="16"/>
              </w:rPr>
              <w:t>Management,</w:t>
            </w:r>
            <w:r>
              <w:rPr>
                <w:spacing w:val="6"/>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3"/>
                <w:sz w:val="16"/>
              </w:rPr>
              <w:t> </w:t>
            </w:r>
            <w:r>
              <w:rPr>
                <w:sz w:val="16"/>
              </w:rPr>
              <w:t>Vdara</w:t>
            </w:r>
            <w:r>
              <w:rPr>
                <w:spacing w:val="7"/>
                <w:sz w:val="16"/>
              </w:rPr>
              <w:t> </w:t>
            </w:r>
            <w:r>
              <w:rPr>
                <w:sz w:val="16"/>
              </w:rPr>
              <w:t>Development,</w:t>
            </w:r>
            <w:r>
              <w:rPr>
                <w:spacing w:val="6"/>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5"/>
                <w:sz w:val="16"/>
              </w:rPr>
              <w:t> </w:t>
            </w:r>
            <w:r>
              <w:rPr>
                <w:sz w:val="16"/>
              </w:rPr>
              <w:t>Veer</w:t>
            </w:r>
            <w:r>
              <w:rPr>
                <w:spacing w:val="-4"/>
                <w:sz w:val="16"/>
              </w:rPr>
              <w:t> </w:t>
            </w:r>
            <w:r>
              <w:rPr>
                <w:sz w:val="16"/>
              </w:rPr>
              <w:t>Towers</w:t>
            </w:r>
            <w:r>
              <w:rPr>
                <w:spacing w:val="-2"/>
                <w:sz w:val="16"/>
              </w:rPr>
              <w:t> </w:t>
            </w:r>
            <w:r>
              <w:rPr>
                <w:sz w:val="16"/>
              </w:rPr>
              <w:t>Development,</w:t>
            </w:r>
            <w:r>
              <w:rPr>
                <w:spacing w:val="-2"/>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Destron,</w:t>
            </w:r>
            <w:r>
              <w:rPr>
                <w:spacing w:val="5"/>
                <w:sz w:val="16"/>
              </w:rPr>
              <w:t> </w:t>
            </w:r>
            <w:r>
              <w:rPr>
                <w:spacing w:val="-4"/>
                <w:sz w:val="16"/>
              </w:rPr>
              <w:t>Inc.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Grand</w:t>
            </w:r>
            <w:r>
              <w:rPr>
                <w:spacing w:val="5"/>
                <w:sz w:val="16"/>
              </w:rPr>
              <w:t> </w:t>
            </w:r>
            <w:r>
              <w:rPr>
                <w:sz w:val="16"/>
              </w:rPr>
              <w:t>Garden</w:t>
            </w:r>
            <w:r>
              <w:rPr>
                <w:spacing w:val="-4"/>
                <w:sz w:val="16"/>
              </w:rPr>
              <w:t> </w:t>
            </w:r>
            <w:r>
              <w:rPr>
                <w:sz w:val="16"/>
              </w:rPr>
              <w:t>Arena</w:t>
            </w:r>
            <w:r>
              <w:rPr>
                <w:spacing w:val="5"/>
                <w:sz w:val="16"/>
              </w:rPr>
              <w:t> </w:t>
            </w:r>
            <w:r>
              <w:rPr>
                <w:sz w:val="16"/>
              </w:rPr>
              <w:t>Management,</w:t>
            </w:r>
            <w:r>
              <w:rPr>
                <w:spacing w:val="6"/>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Grand</w:t>
            </w:r>
            <w:r>
              <w:rPr>
                <w:spacing w:val="-1"/>
                <w:sz w:val="16"/>
              </w:rPr>
              <w:t> </w:t>
            </w:r>
            <w:r>
              <w:rPr>
                <w:sz w:val="16"/>
              </w:rPr>
              <w:t>Laundry,</w:t>
            </w:r>
            <w:r>
              <w:rPr>
                <w:spacing w:val="-1"/>
                <w:sz w:val="16"/>
              </w:rPr>
              <w:t> </w:t>
            </w:r>
            <w:r>
              <w:rPr>
                <w:spacing w:val="-4"/>
                <w:sz w:val="16"/>
              </w:rPr>
              <w:t>Inc.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Las</w:t>
            </w:r>
            <w:r>
              <w:rPr>
                <w:spacing w:val="-3"/>
                <w:sz w:val="16"/>
              </w:rPr>
              <w:t> </w:t>
            </w:r>
            <w:r>
              <w:rPr>
                <w:sz w:val="16"/>
              </w:rPr>
              <w:t>Vegas</w:t>
            </w:r>
            <w:r>
              <w:rPr>
                <w:spacing w:val="-9"/>
                <w:sz w:val="16"/>
              </w:rPr>
              <w:t> </w:t>
            </w:r>
            <w:r>
              <w:rPr>
                <w:sz w:val="16"/>
              </w:rPr>
              <w:t>Arena Management,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LV</w:t>
            </w:r>
            <w:r>
              <w:rPr>
                <w:spacing w:val="-7"/>
                <w:sz w:val="16"/>
              </w:rPr>
              <w:t> </w:t>
            </w:r>
            <w:r>
              <w:rPr>
                <w:sz w:val="16"/>
              </w:rPr>
              <w:t>Concrete</w:t>
            </w:r>
            <w:r>
              <w:rPr>
                <w:spacing w:val="-4"/>
                <w:sz w:val="16"/>
              </w:rPr>
              <w:t> </w:t>
            </w:r>
            <w:r>
              <w:rPr>
                <w:spacing w:val="-2"/>
                <w:sz w:val="16"/>
              </w:rPr>
              <w:t>Corp.</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MAC,</w:t>
            </w:r>
            <w:r>
              <w:rPr>
                <w:spacing w:val="4"/>
                <w:sz w:val="16"/>
              </w:rPr>
              <w:t> </w:t>
            </w:r>
            <w:r>
              <w:rPr>
                <w:spacing w:val="-2"/>
                <w:sz w:val="16"/>
              </w:rPr>
              <w:t>CORP.</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Mandalay</w:t>
            </w:r>
            <w:r>
              <w:rPr>
                <w:spacing w:val="2"/>
                <w:sz w:val="16"/>
              </w:rPr>
              <w:t> </w:t>
            </w:r>
            <w:r>
              <w:rPr>
                <w:sz w:val="16"/>
              </w:rPr>
              <w:t>Bay,</w:t>
            </w:r>
            <w:r>
              <w:rPr>
                <w:spacing w:val="2"/>
                <w:sz w:val="16"/>
              </w:rPr>
              <w:t> </w:t>
            </w:r>
            <w:r>
              <w:rPr>
                <w:sz w:val="16"/>
              </w:rPr>
              <w:t>LLC,</w:t>
            </w:r>
            <w:r>
              <w:rPr>
                <w:spacing w:val="2"/>
                <w:sz w:val="16"/>
              </w:rPr>
              <w:t> </w:t>
            </w:r>
            <w:r>
              <w:rPr>
                <w:sz w:val="16"/>
              </w:rPr>
              <w:t>dba</w:t>
            </w:r>
            <w:r>
              <w:rPr>
                <w:spacing w:val="3"/>
                <w:sz w:val="16"/>
              </w:rPr>
              <w:t> </w:t>
            </w:r>
            <w:r>
              <w:rPr>
                <w:sz w:val="16"/>
              </w:rPr>
              <w:t>Mandalay</w:t>
            </w:r>
            <w:r>
              <w:rPr>
                <w:spacing w:val="2"/>
                <w:sz w:val="16"/>
              </w:rPr>
              <w:t> </w:t>
            </w:r>
            <w:r>
              <w:rPr>
                <w:sz w:val="16"/>
              </w:rPr>
              <w:t>Bay</w:t>
            </w:r>
            <w:r>
              <w:rPr>
                <w:spacing w:val="2"/>
                <w:sz w:val="16"/>
              </w:rPr>
              <w:t> </w:t>
            </w:r>
            <w:r>
              <w:rPr>
                <w:sz w:val="16"/>
              </w:rPr>
              <w:t>Resort</w:t>
            </w:r>
            <w:r>
              <w:rPr>
                <w:spacing w:val="3"/>
                <w:sz w:val="16"/>
              </w:rPr>
              <w:t> </w:t>
            </w:r>
            <w:r>
              <w:rPr>
                <w:sz w:val="16"/>
              </w:rPr>
              <w:t>&amp;</w:t>
            </w:r>
            <w:r>
              <w:rPr>
                <w:spacing w:val="2"/>
                <w:sz w:val="16"/>
              </w:rPr>
              <w:t> </w:t>
            </w:r>
            <w:r>
              <w:rPr>
                <w:spacing w:val="-2"/>
                <w:sz w:val="16"/>
              </w:rPr>
              <w:t>Casino</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Mandalay</w:t>
            </w:r>
            <w:r>
              <w:rPr>
                <w:spacing w:val="7"/>
                <w:sz w:val="16"/>
              </w:rPr>
              <w:t> </w:t>
            </w:r>
            <w:r>
              <w:rPr>
                <w:sz w:val="16"/>
              </w:rPr>
              <w:t>Employment,</w:t>
            </w:r>
            <w:r>
              <w:rPr>
                <w:spacing w:val="8"/>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Mandalay</w:t>
            </w:r>
            <w:r>
              <w:rPr>
                <w:spacing w:val="5"/>
                <w:sz w:val="16"/>
              </w:rPr>
              <w:t> </w:t>
            </w:r>
            <w:r>
              <w:rPr>
                <w:sz w:val="16"/>
              </w:rPr>
              <w:t>Place,</w:t>
            </w:r>
            <w:r>
              <w:rPr>
                <w:spacing w:val="5"/>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Mandalay</w:t>
            </w:r>
            <w:r>
              <w:rPr>
                <w:spacing w:val="5"/>
                <w:sz w:val="16"/>
              </w:rPr>
              <w:t> </w:t>
            </w:r>
            <w:r>
              <w:rPr>
                <w:sz w:val="16"/>
              </w:rPr>
              <w:t>Resort</w:t>
            </w:r>
            <w:r>
              <w:rPr>
                <w:spacing w:val="5"/>
                <w:sz w:val="16"/>
              </w:rPr>
              <w:t> </w:t>
            </w:r>
            <w:r>
              <w:rPr>
                <w:sz w:val="16"/>
              </w:rPr>
              <w:t>Group,</w:t>
            </w:r>
            <w:r>
              <w:rPr>
                <w:spacing w:val="5"/>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(2)</w:t>
            </w:r>
          </w:p>
        </w:tc>
      </w:tr>
      <w:tr>
        <w:trPr>
          <w:trHeight w:val="242" w:hRule="atLeast"/>
        </w:trPr>
        <w:tc>
          <w:tcPr>
            <w:tcW w:w="8599" w:type="dxa"/>
          </w:tcPr>
          <w:p>
            <w:pPr>
              <w:pStyle w:val="TableParagraph"/>
              <w:spacing w:before="26"/>
              <w:ind w:left="17"/>
              <w:rPr>
                <w:sz w:val="16"/>
              </w:rPr>
            </w:pPr>
            <w:r>
              <w:rPr>
                <w:sz w:val="16"/>
              </w:rPr>
              <w:t>Marina</w:t>
            </w:r>
            <w:r>
              <w:rPr>
                <w:spacing w:val="3"/>
                <w:sz w:val="16"/>
              </w:rPr>
              <w:t> </w:t>
            </w:r>
            <w:r>
              <w:rPr>
                <w:sz w:val="16"/>
              </w:rPr>
              <w:t>District</w:t>
            </w:r>
            <w:r>
              <w:rPr>
                <w:spacing w:val="3"/>
                <w:sz w:val="16"/>
              </w:rPr>
              <w:t> </w:t>
            </w:r>
            <w:r>
              <w:rPr>
                <w:sz w:val="16"/>
              </w:rPr>
              <w:t>Development</w:t>
            </w:r>
            <w:r>
              <w:rPr>
                <w:spacing w:val="3"/>
                <w:sz w:val="16"/>
              </w:rPr>
              <w:t> </w:t>
            </w:r>
            <w:r>
              <w:rPr>
                <w:sz w:val="16"/>
              </w:rPr>
              <w:t>Company,</w:t>
            </w:r>
            <w:r>
              <w:rPr>
                <w:spacing w:val="3"/>
                <w:sz w:val="16"/>
              </w:rPr>
              <w:t> </w:t>
            </w:r>
            <w:r>
              <w:rPr>
                <w:sz w:val="16"/>
              </w:rPr>
              <w:t>LLC,</w:t>
            </w:r>
            <w:r>
              <w:rPr>
                <w:spacing w:val="3"/>
                <w:sz w:val="16"/>
              </w:rPr>
              <w:t> </w:t>
            </w:r>
            <w:r>
              <w:rPr>
                <w:sz w:val="16"/>
              </w:rPr>
              <w:t>dba The</w:t>
            </w:r>
            <w:r>
              <w:rPr>
                <w:spacing w:val="3"/>
                <w:sz w:val="16"/>
              </w:rPr>
              <w:t> </w:t>
            </w:r>
            <w:r>
              <w:rPr>
                <w:sz w:val="16"/>
              </w:rPr>
              <w:t>Borgata</w:t>
            </w:r>
            <w:r>
              <w:rPr>
                <w:spacing w:val="3"/>
                <w:sz w:val="16"/>
              </w:rPr>
              <w:t> </w:t>
            </w:r>
            <w:r>
              <w:rPr>
                <w:sz w:val="16"/>
              </w:rPr>
              <w:t>Hotel</w:t>
            </w:r>
            <w:r>
              <w:rPr>
                <w:spacing w:val="3"/>
                <w:sz w:val="16"/>
              </w:rPr>
              <w:t> </w:t>
            </w:r>
            <w:r>
              <w:rPr>
                <w:sz w:val="16"/>
              </w:rPr>
              <w:t>Casino</w:t>
            </w:r>
            <w:r>
              <w:rPr>
                <w:spacing w:val="3"/>
                <w:sz w:val="16"/>
              </w:rPr>
              <w:t> </w:t>
            </w:r>
            <w:r>
              <w:rPr>
                <w:sz w:val="16"/>
              </w:rPr>
              <w:t>&amp;</w:t>
            </w:r>
            <w:r>
              <w:rPr>
                <w:spacing w:val="3"/>
                <w:sz w:val="16"/>
              </w:rPr>
              <w:t> </w:t>
            </w:r>
            <w:r>
              <w:rPr>
                <w:spacing w:val="-5"/>
                <w:sz w:val="16"/>
              </w:rPr>
              <w:t>Spa</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Marina</w:t>
            </w:r>
            <w:r>
              <w:rPr>
                <w:spacing w:val="5"/>
                <w:sz w:val="16"/>
              </w:rPr>
              <w:t> </w:t>
            </w:r>
            <w:r>
              <w:rPr>
                <w:sz w:val="16"/>
              </w:rPr>
              <w:t>District</w:t>
            </w:r>
            <w:r>
              <w:rPr>
                <w:spacing w:val="5"/>
                <w:sz w:val="16"/>
              </w:rPr>
              <w:t> </w:t>
            </w:r>
            <w:r>
              <w:rPr>
                <w:sz w:val="16"/>
              </w:rPr>
              <w:t>Development</w:t>
            </w:r>
            <w:r>
              <w:rPr>
                <w:spacing w:val="5"/>
                <w:sz w:val="16"/>
              </w:rPr>
              <w:t> </w:t>
            </w:r>
            <w:r>
              <w:rPr>
                <w:sz w:val="16"/>
              </w:rPr>
              <w:t>Holding</w:t>
            </w:r>
            <w:r>
              <w:rPr>
                <w:spacing w:val="5"/>
                <w:sz w:val="16"/>
              </w:rPr>
              <w:t> </w:t>
            </w:r>
            <w:r>
              <w:rPr>
                <w:sz w:val="16"/>
              </w:rPr>
              <w:t>Co.,</w:t>
            </w:r>
            <w:r>
              <w:rPr>
                <w:spacing w:val="5"/>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Metropolitan</w:t>
            </w:r>
            <w:r>
              <w:rPr>
                <w:spacing w:val="7"/>
                <w:sz w:val="16"/>
              </w:rPr>
              <w:t> </w:t>
            </w:r>
            <w:r>
              <w:rPr>
                <w:sz w:val="16"/>
              </w:rPr>
              <w:t>Marketing,</w:t>
            </w:r>
            <w:r>
              <w:rPr>
                <w:spacing w:val="8"/>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MGM</w:t>
            </w:r>
            <w:r>
              <w:rPr>
                <w:spacing w:val="3"/>
                <w:sz w:val="16"/>
              </w:rPr>
              <w:t> </w:t>
            </w:r>
            <w:r>
              <w:rPr>
                <w:sz w:val="16"/>
              </w:rPr>
              <w:t>CC,</w:t>
            </w:r>
            <w:r>
              <w:rPr>
                <w:spacing w:val="3"/>
                <w:sz w:val="16"/>
              </w:rPr>
              <w:t> </w:t>
            </w:r>
            <w:r>
              <w:rPr>
                <w:spacing w:val="-5"/>
                <w:sz w:val="16"/>
              </w:rPr>
              <w:t>LLC</w:t>
            </w:r>
          </w:p>
        </w:tc>
        <w:tc>
          <w:tcPr>
            <w:tcW w:w="256" w:type="dxa"/>
          </w:tcPr>
          <w:p>
            <w:pPr>
              <w:pStyle w:val="TableParagraph"/>
              <w:spacing w:before="0"/>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MGM</w:t>
            </w:r>
            <w:r>
              <w:rPr>
                <w:spacing w:val="4"/>
                <w:sz w:val="16"/>
              </w:rPr>
              <w:t> </w:t>
            </w:r>
            <w:r>
              <w:rPr>
                <w:sz w:val="16"/>
              </w:rPr>
              <w:t>CC</w:t>
            </w:r>
            <w:r>
              <w:rPr>
                <w:spacing w:val="4"/>
                <w:sz w:val="16"/>
              </w:rPr>
              <w:t> </w:t>
            </w:r>
            <w:r>
              <w:rPr>
                <w:sz w:val="16"/>
              </w:rPr>
              <w:t>Holdings,</w:t>
            </w:r>
            <w:r>
              <w:rPr>
                <w:spacing w:val="4"/>
                <w:sz w:val="16"/>
              </w:rPr>
              <w:t> </w:t>
            </w:r>
            <w:r>
              <w:rPr>
                <w:spacing w:val="-4"/>
                <w:sz w:val="16"/>
              </w:rPr>
              <w:t>Inc.</w:t>
            </w:r>
          </w:p>
        </w:tc>
        <w:tc>
          <w:tcPr>
            <w:tcW w:w="256" w:type="dxa"/>
          </w:tcPr>
          <w:p>
            <w:pPr>
              <w:pStyle w:val="TableParagraph"/>
              <w:spacing w:before="0"/>
              <w:rPr>
                <w:sz w:val="16"/>
              </w:rPr>
            </w:pPr>
          </w:p>
        </w:tc>
        <w:tc>
          <w:tcPr>
            <w:tcW w:w="2659" w:type="dxa"/>
          </w:tcPr>
          <w:p>
            <w:pPr>
              <w:pStyle w:val="TableParagraph"/>
              <w:spacing w:before="33"/>
              <w:ind w:right="1"/>
              <w:jc w:val="center"/>
              <w:rPr>
                <w:sz w:val="16"/>
              </w:rPr>
            </w:pPr>
            <w:r>
              <w:rPr>
                <w:spacing w:val="-5"/>
                <w:sz w:val="16"/>
              </w:rPr>
              <w:t>(1)</w:t>
            </w:r>
          </w:p>
        </w:tc>
      </w:tr>
      <w:tr>
        <w:trPr>
          <w:trHeight w:val="211" w:hRule="atLeast"/>
        </w:trPr>
        <w:tc>
          <w:tcPr>
            <w:tcW w:w="8599" w:type="dxa"/>
          </w:tcPr>
          <w:p>
            <w:pPr>
              <w:pStyle w:val="TableParagraph"/>
              <w:spacing w:line="164" w:lineRule="exact" w:before="26"/>
              <w:ind w:left="17"/>
              <w:rPr>
                <w:sz w:val="16"/>
              </w:rPr>
            </w:pPr>
            <w:r>
              <w:rPr>
                <w:sz w:val="16"/>
              </w:rPr>
              <w:t>MGM</w:t>
            </w:r>
            <w:r>
              <w:rPr>
                <w:spacing w:val="-2"/>
                <w:sz w:val="16"/>
              </w:rPr>
              <w:t> </w:t>
            </w:r>
            <w:r>
              <w:rPr>
                <w:sz w:val="16"/>
              </w:rPr>
              <w:t>Dev,</w:t>
            </w:r>
            <w:r>
              <w:rPr>
                <w:spacing w:val="-2"/>
                <w:sz w:val="16"/>
              </w:rPr>
              <w:t> </w:t>
            </w:r>
            <w:r>
              <w:rPr>
                <w:spacing w:val="-5"/>
                <w:sz w:val="16"/>
              </w:rPr>
              <w:t>LLC</w:t>
            </w:r>
          </w:p>
        </w:tc>
        <w:tc>
          <w:tcPr>
            <w:tcW w:w="256" w:type="dxa"/>
          </w:tcPr>
          <w:p>
            <w:pPr>
              <w:pStyle w:val="TableParagraph"/>
              <w:spacing w:before="0"/>
              <w:rPr>
                <w:sz w:val="14"/>
              </w:rPr>
            </w:pPr>
          </w:p>
        </w:tc>
        <w:tc>
          <w:tcPr>
            <w:tcW w:w="2659" w:type="dxa"/>
          </w:tcPr>
          <w:p>
            <w:pPr>
              <w:pStyle w:val="TableParagraph"/>
              <w:spacing w:line="164" w:lineRule="exact" w:before="26"/>
              <w:ind w:right="1"/>
              <w:jc w:val="center"/>
              <w:rPr>
                <w:sz w:val="16"/>
              </w:rPr>
            </w:pPr>
            <w:r>
              <w:rPr>
                <w:spacing w:val="-5"/>
                <w:sz w:val="16"/>
              </w:rPr>
              <w:t>(1)</w:t>
            </w:r>
          </w:p>
        </w:tc>
      </w:tr>
    </w:tbl>
    <w:p>
      <w:pPr>
        <w:pStyle w:val="BodyText"/>
      </w:pPr>
    </w:p>
    <w:p>
      <w:pPr>
        <w:pStyle w:val="BodyText"/>
      </w:pPr>
    </w:p>
    <w:p>
      <w:pPr>
        <w:pStyle w:val="BodyText"/>
      </w:pPr>
    </w:p>
    <w:p>
      <w:pPr>
        <w:pStyle w:val="BodyText"/>
      </w:pPr>
    </w:p>
    <w:p>
      <w:pPr>
        <w:pStyle w:val="BodyText"/>
        <w:spacing w:before="196"/>
      </w:pPr>
    </w:p>
    <w:p>
      <w:pPr>
        <w:pStyle w:val="BodyText"/>
        <w:ind w:left="24"/>
        <w:jc w:val="center"/>
      </w:pPr>
      <w:r>
        <w:rPr/>
        <w:t>-</w:t>
      </w:r>
      <w:r>
        <w:rPr>
          <w:spacing w:val="-1"/>
        </w:rPr>
        <w:t> </w:t>
      </w:r>
      <w:r>
        <w:rPr/>
        <w:t>1</w:t>
      </w:r>
      <w:r>
        <w:rPr>
          <w:spacing w:val="-1"/>
        </w:rPr>
        <w:t> </w:t>
      </w:r>
      <w:r>
        <w:rPr>
          <w:spacing w:val="-10"/>
        </w:rPr>
        <w:t>-</w:t>
      </w:r>
    </w:p>
    <w:p>
      <w:pPr>
        <w:pStyle w:val="BodyText"/>
        <w:spacing w:before="10"/>
        <w:rPr>
          <w:sz w:val="16"/>
        </w:rPr>
      </w:pPr>
      <w:r>
        <w:rPr/>
        <mc:AlternateContent>
          <mc:Choice Requires="wps">
            <w:drawing>
              <wp:anchor distT="0" distB="0" distL="0" distR="0" allowOverlap="1" layoutInCell="1" locked="0" behindDoc="1" simplePos="0" relativeHeight="487819264">
                <wp:simplePos x="0" y="0"/>
                <wp:positionH relativeFrom="page">
                  <wp:posOffset>231457</wp:posOffset>
                </wp:positionH>
                <wp:positionV relativeFrom="paragraph">
                  <wp:posOffset>138420</wp:posOffset>
                </wp:positionV>
                <wp:extent cx="7312659" cy="17145"/>
                <wp:effectExtent l="0" t="0" r="0" b="0"/>
                <wp:wrapTopAndBottom/>
                <wp:docPr id="1150" name="Group 1150"/>
                <wp:cNvGraphicFramePr>
                  <a:graphicFrameLocks/>
                </wp:cNvGraphicFramePr>
                <a:graphic>
                  <a:graphicData uri="http://schemas.microsoft.com/office/word/2010/wordprocessingGroup">
                    <wpg:wgp>
                      <wpg:cNvPr id="1150" name="Group 1150"/>
                      <wpg:cNvGrpSpPr/>
                      <wpg:grpSpPr>
                        <a:xfrm>
                          <a:off x="0" y="0"/>
                          <a:ext cx="7312659" cy="17145"/>
                          <a:chExt cx="7312659" cy="17145"/>
                        </a:xfrm>
                      </wpg:grpSpPr>
                      <wps:wsp>
                        <wps:cNvPr id="1151" name="Graphic 115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52" name="Graphic 1152"/>
                        <wps:cNvSpPr/>
                        <wps:spPr>
                          <a:xfrm>
                            <a:off x="-12" y="-2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53" name="Graphic 115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0.899219pt;width:575.8pt;height:1.35pt;mso-position-horizontal-relative:page;mso-position-vertical-relative:paragraph;z-index:-15497216;mso-wrap-distance-left:0;mso-wrap-distance-right:0" id="docshapegroup1148" coordorigin="364,218" coordsize="11516,27">
                <v:rect style="position:absolute;left:364;top:217;width:11516;height:14" id="docshape1149" filled="true" fillcolor="#999999" stroked="false">
                  <v:fill type="solid"/>
                </v:rect>
                <v:shape style="position:absolute;left:364;top:217;width:11516;height:27" id="docshape1150" coordorigin="364,218" coordsize="11516,27" path="m11880,218l11866,231,364,231,364,245,11866,245,11880,245,11880,231,11880,218xe" filled="true" fillcolor="#ededed" stroked="false">
                  <v:path arrowok="t"/>
                  <v:fill type="solid"/>
                </v:shape>
                <v:shape style="position:absolute;left:364;top:217;width:14;height:27" id="docshape1151" coordorigin="364,218" coordsize="14,27" path="m364,245l364,218,378,218,378,231,364,245xe" filled="true" fillcolor="#999999" stroked="false">
                  <v:path arrowok="t"/>
                  <v:fill type="solid"/>
                </v:shape>
                <w10:wrap type="topAndBottom"/>
              </v:group>
            </w:pict>
          </mc:Fallback>
        </mc:AlternateContent>
      </w:r>
    </w:p>
    <w:p>
      <w:pPr>
        <w:spacing w:after="0"/>
        <w:rPr>
          <w:sz w:val="16"/>
        </w:rPr>
        <w:sectPr>
          <w:pgSz w:w="12240" w:h="15840"/>
          <w:pgMar w:top="1580" w:bottom="280" w:left="220" w:right="240"/>
        </w:sectPr>
      </w:pPr>
    </w:p>
    <w:p>
      <w:pPr>
        <w:tabs>
          <w:tab w:pos="10236" w:val="left" w:leader="none"/>
        </w:tabs>
        <w:spacing w:before="74"/>
        <w:ind w:left="162" w:right="0" w:firstLine="0"/>
        <w:jc w:val="left"/>
        <w:rPr>
          <w:sz w:val="16"/>
        </w:rPr>
      </w:pPr>
      <w:r>
        <w:rPr>
          <w:sz w:val="16"/>
        </w:rPr>
        <w:t>MGM</w:t>
      </w:r>
      <w:r>
        <w:rPr>
          <w:spacing w:val="4"/>
          <w:sz w:val="16"/>
        </w:rPr>
        <w:t> </w:t>
      </w:r>
      <w:r>
        <w:rPr>
          <w:sz w:val="16"/>
        </w:rPr>
        <w:t>Detroit</w:t>
      </w:r>
      <w:r>
        <w:rPr>
          <w:spacing w:val="5"/>
          <w:sz w:val="16"/>
        </w:rPr>
        <w:t> </w:t>
      </w:r>
      <w:r>
        <w:rPr>
          <w:sz w:val="16"/>
        </w:rPr>
        <w:t>Holdings,</w:t>
      </w:r>
      <w:r>
        <w:rPr>
          <w:spacing w:val="5"/>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3"/>
          <w:sz w:val="16"/>
        </w:rPr>
        <w:t> </w:t>
      </w:r>
      <w:r>
        <w:rPr>
          <w:sz w:val="16"/>
        </w:rPr>
        <w:t>Grand</w:t>
      </w:r>
      <w:r>
        <w:rPr>
          <w:spacing w:val="3"/>
          <w:sz w:val="16"/>
        </w:rPr>
        <w:t> </w:t>
      </w:r>
      <w:r>
        <w:rPr>
          <w:sz w:val="16"/>
        </w:rPr>
        <w:t>Hotel,</w:t>
      </w:r>
      <w:r>
        <w:rPr>
          <w:spacing w:val="4"/>
          <w:sz w:val="16"/>
        </w:rPr>
        <w:t> </w:t>
      </w:r>
      <w:r>
        <w:rPr>
          <w:sz w:val="16"/>
        </w:rPr>
        <w:t>LLC,</w:t>
      </w:r>
      <w:r>
        <w:rPr>
          <w:spacing w:val="3"/>
          <w:sz w:val="16"/>
        </w:rPr>
        <w:t> </w:t>
      </w:r>
      <w:r>
        <w:rPr>
          <w:sz w:val="16"/>
        </w:rPr>
        <w:t>dba</w:t>
      </w:r>
      <w:r>
        <w:rPr>
          <w:spacing w:val="3"/>
          <w:sz w:val="16"/>
        </w:rPr>
        <w:t> </w:t>
      </w:r>
      <w:r>
        <w:rPr>
          <w:sz w:val="16"/>
        </w:rPr>
        <w:t>MGM</w:t>
      </w:r>
      <w:r>
        <w:rPr>
          <w:spacing w:val="4"/>
          <w:sz w:val="16"/>
        </w:rPr>
        <w:t> </w:t>
      </w:r>
      <w:r>
        <w:rPr>
          <w:sz w:val="16"/>
        </w:rPr>
        <w:t>Grand</w:t>
      </w:r>
      <w:r>
        <w:rPr>
          <w:spacing w:val="3"/>
          <w:sz w:val="16"/>
        </w:rPr>
        <w:t> </w:t>
      </w:r>
      <w:r>
        <w:rPr>
          <w:sz w:val="16"/>
        </w:rPr>
        <w:t>Hotel</w:t>
      </w:r>
      <w:r>
        <w:rPr>
          <w:spacing w:val="4"/>
          <w:sz w:val="16"/>
        </w:rPr>
        <w:t> </w:t>
      </w:r>
      <w:r>
        <w:rPr>
          <w:sz w:val="16"/>
        </w:rPr>
        <w:t>&amp;</w:t>
      </w:r>
      <w:r>
        <w:rPr>
          <w:spacing w:val="3"/>
          <w:sz w:val="16"/>
        </w:rPr>
        <w:t> </w:t>
      </w:r>
      <w:r>
        <w:rPr>
          <w:spacing w:val="-2"/>
          <w:sz w:val="16"/>
        </w:rPr>
        <w:t>Casino</w:t>
      </w:r>
      <w:r>
        <w:rPr>
          <w:sz w:val="16"/>
        </w:rPr>
        <w:tab/>
      </w:r>
      <w:r>
        <w:rPr>
          <w:spacing w:val="-5"/>
          <w:sz w:val="16"/>
        </w:rPr>
        <w:t>(1)</w:t>
      </w:r>
    </w:p>
    <w:p>
      <w:pPr>
        <w:tabs>
          <w:tab w:pos="10236" w:val="left" w:leader="none"/>
        </w:tabs>
        <w:spacing w:before="59"/>
        <w:ind w:left="162" w:right="0" w:firstLine="0"/>
        <w:jc w:val="left"/>
        <w:rPr>
          <w:sz w:val="16"/>
        </w:rPr>
      </w:pPr>
      <w:r>
        <w:rPr>
          <w:sz w:val="16"/>
        </w:rPr>
        <w:t>MGM Hospitality,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MGM</w:t>
      </w:r>
      <w:r>
        <w:rPr>
          <w:spacing w:val="6"/>
          <w:sz w:val="16"/>
        </w:rPr>
        <w:t> </w:t>
      </w:r>
      <w:r>
        <w:rPr>
          <w:sz w:val="16"/>
        </w:rPr>
        <w:t>International,</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4"/>
          <w:sz w:val="16"/>
        </w:rPr>
        <w:t> </w:t>
      </w:r>
      <w:r>
        <w:rPr>
          <w:sz w:val="16"/>
        </w:rPr>
        <w:t>Lessee,</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Lessee</w:t>
      </w:r>
      <w:r>
        <w:rPr>
          <w:spacing w:val="3"/>
          <w:sz w:val="16"/>
        </w:rPr>
        <w:t> </w:t>
      </w:r>
      <w:r>
        <w:rPr>
          <w:sz w:val="16"/>
        </w:rPr>
        <w:t>II,</w:t>
      </w:r>
      <w:r>
        <w:rPr>
          <w:spacing w:val="3"/>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3"/>
          <w:sz w:val="16"/>
        </w:rPr>
        <w:t> </w:t>
      </w:r>
      <w:r>
        <w:rPr>
          <w:sz w:val="16"/>
        </w:rPr>
        <w:t>Lessee</w:t>
      </w:r>
      <w:r>
        <w:rPr>
          <w:spacing w:val="3"/>
          <w:sz w:val="16"/>
        </w:rPr>
        <w:t> </w:t>
      </w:r>
      <w:r>
        <w:rPr>
          <w:sz w:val="16"/>
        </w:rPr>
        <w:t>III,</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MA</w:t>
      </w:r>
      <w:r>
        <w:rPr>
          <w:spacing w:val="-6"/>
          <w:sz w:val="16"/>
        </w:rPr>
        <w:t> </w:t>
      </w:r>
      <w:r>
        <w:rPr>
          <w:sz w:val="16"/>
        </w:rPr>
        <w:t>Sub,</w:t>
      </w:r>
      <w:r>
        <w:rPr>
          <w:spacing w:val="3"/>
          <w:sz w:val="16"/>
        </w:rPr>
        <w:t>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MGM Public</w:t>
      </w:r>
      <w:r>
        <w:rPr>
          <w:spacing w:val="1"/>
          <w:sz w:val="16"/>
        </w:rPr>
        <w:t> </w:t>
      </w:r>
      <w:r>
        <w:rPr>
          <w:sz w:val="16"/>
        </w:rPr>
        <w:t>Policy,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6"/>
          <w:sz w:val="16"/>
        </w:rPr>
        <w:t> </w:t>
      </w:r>
      <w:r>
        <w:rPr>
          <w:sz w:val="16"/>
        </w:rPr>
        <w:t>Resorts</w:t>
      </w:r>
      <w:r>
        <w:rPr>
          <w:spacing w:val="-5"/>
          <w:sz w:val="16"/>
        </w:rPr>
        <w:t> </w:t>
      </w:r>
      <w:r>
        <w:rPr>
          <w:sz w:val="16"/>
        </w:rPr>
        <w:t>Advertising,</w:t>
      </w:r>
      <w:r>
        <w:rPr>
          <w:spacing w:val="6"/>
          <w:sz w:val="16"/>
        </w:rPr>
        <w:t> </w:t>
      </w:r>
      <w:r>
        <w:rPr>
          <w:spacing w:val="-4"/>
          <w:sz w:val="16"/>
        </w:rPr>
        <w:t>Inc.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5"/>
          <w:sz w:val="16"/>
        </w:rPr>
        <w:t> </w:t>
      </w:r>
      <w:r>
        <w:rPr>
          <w:sz w:val="16"/>
        </w:rPr>
        <w:t>Resorts</w:t>
      </w:r>
      <w:r>
        <w:rPr>
          <w:spacing w:val="-6"/>
          <w:sz w:val="16"/>
        </w:rPr>
        <w:t> </w:t>
      </w:r>
      <w:r>
        <w:rPr>
          <w:sz w:val="16"/>
        </w:rPr>
        <w:t>Arena</w:t>
      </w:r>
      <w:r>
        <w:rPr>
          <w:spacing w:val="5"/>
          <w:sz w:val="16"/>
        </w:rPr>
        <w:t> </w:t>
      </w:r>
      <w:r>
        <w:rPr>
          <w:sz w:val="16"/>
        </w:rPr>
        <w:t>Holdings,</w:t>
      </w:r>
      <w:r>
        <w:rPr>
          <w:spacing w:val="5"/>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MGM Resorts</w:t>
      </w:r>
      <w:r>
        <w:rPr>
          <w:spacing w:val="-9"/>
          <w:sz w:val="16"/>
        </w:rPr>
        <w:t> </w:t>
      </w:r>
      <w:r>
        <w:rPr>
          <w:sz w:val="16"/>
        </w:rPr>
        <w:t>Aviation</w:t>
      </w:r>
      <w:r>
        <w:rPr>
          <w:spacing w:val="1"/>
          <w:sz w:val="16"/>
        </w:rPr>
        <w:t> </w:t>
      </w:r>
      <w:r>
        <w:rPr>
          <w:spacing w:val="-2"/>
          <w:sz w:val="16"/>
        </w:rPr>
        <w:t>Corp.</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5"/>
          <w:sz w:val="16"/>
        </w:rPr>
        <w:t> </w:t>
      </w:r>
      <w:r>
        <w:rPr>
          <w:sz w:val="16"/>
        </w:rPr>
        <w:t>Resorts</w:t>
      </w:r>
      <w:r>
        <w:rPr>
          <w:spacing w:val="5"/>
          <w:sz w:val="16"/>
        </w:rPr>
        <w:t> </w:t>
      </w:r>
      <w:r>
        <w:rPr>
          <w:sz w:val="16"/>
        </w:rPr>
        <w:t>Corporate</w:t>
      </w:r>
      <w:r>
        <w:rPr>
          <w:spacing w:val="5"/>
          <w:sz w:val="16"/>
        </w:rPr>
        <w:t> </w:t>
      </w:r>
      <w:r>
        <w:rPr>
          <w:spacing w:val="-2"/>
          <w:sz w:val="16"/>
        </w:rPr>
        <w:t>Services</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Resorts</w:t>
      </w:r>
      <w:r>
        <w:rPr>
          <w:spacing w:val="4"/>
          <w:sz w:val="16"/>
        </w:rPr>
        <w:t> </w:t>
      </w:r>
      <w:r>
        <w:rPr>
          <w:sz w:val="16"/>
        </w:rPr>
        <w:t>Design</w:t>
      </w:r>
      <w:r>
        <w:rPr>
          <w:spacing w:val="3"/>
          <w:sz w:val="16"/>
        </w:rPr>
        <w:t> </w:t>
      </w:r>
      <w:r>
        <w:rPr>
          <w:sz w:val="16"/>
        </w:rPr>
        <w:t>&amp;</w:t>
      </w:r>
      <w:r>
        <w:rPr>
          <w:spacing w:val="4"/>
          <w:sz w:val="16"/>
        </w:rPr>
        <w:t> </w:t>
      </w:r>
      <w:r>
        <w:rPr>
          <w:spacing w:val="-2"/>
          <w:sz w:val="16"/>
        </w:rPr>
        <w:t>Development</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5"/>
          <w:sz w:val="16"/>
        </w:rPr>
        <w:t> </w:t>
      </w:r>
      <w:r>
        <w:rPr>
          <w:sz w:val="16"/>
        </w:rPr>
        <w:t>Resorts</w:t>
      </w:r>
      <w:r>
        <w:rPr>
          <w:spacing w:val="6"/>
          <w:sz w:val="16"/>
        </w:rPr>
        <w:t> </w:t>
      </w:r>
      <w:r>
        <w:rPr>
          <w:sz w:val="16"/>
        </w:rPr>
        <w:t>Development,</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4"/>
          <w:sz w:val="16"/>
        </w:rPr>
        <w:t> </w:t>
      </w:r>
      <w:r>
        <w:rPr>
          <w:sz w:val="16"/>
        </w:rPr>
        <w:t>Resorts</w:t>
      </w:r>
      <w:r>
        <w:rPr>
          <w:spacing w:val="5"/>
          <w:sz w:val="16"/>
        </w:rPr>
        <w:t> </w:t>
      </w:r>
      <w:r>
        <w:rPr>
          <w:sz w:val="16"/>
        </w:rPr>
        <w:t>Festival</w:t>
      </w:r>
      <w:r>
        <w:rPr>
          <w:spacing w:val="5"/>
          <w:sz w:val="16"/>
        </w:rPr>
        <w:t> </w:t>
      </w:r>
      <w:r>
        <w:rPr>
          <w:sz w:val="16"/>
        </w:rPr>
        <w:t>Grounds,</w:t>
      </w:r>
      <w:r>
        <w:rPr>
          <w:spacing w:val="5"/>
          <w:sz w:val="16"/>
        </w:rPr>
        <w:t>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MGM</w:t>
      </w:r>
      <w:r>
        <w:rPr>
          <w:spacing w:val="4"/>
          <w:sz w:val="16"/>
        </w:rPr>
        <w:t> </w:t>
      </w:r>
      <w:r>
        <w:rPr>
          <w:sz w:val="16"/>
        </w:rPr>
        <w:t>Resorts</w:t>
      </w:r>
      <w:r>
        <w:rPr>
          <w:spacing w:val="4"/>
          <w:sz w:val="16"/>
        </w:rPr>
        <w:t> </w:t>
      </w:r>
      <w:r>
        <w:rPr>
          <w:sz w:val="16"/>
        </w:rPr>
        <w:t>Festival</w:t>
      </w:r>
      <w:r>
        <w:rPr>
          <w:spacing w:val="4"/>
          <w:sz w:val="16"/>
        </w:rPr>
        <w:t> </w:t>
      </w:r>
      <w:r>
        <w:rPr>
          <w:sz w:val="16"/>
        </w:rPr>
        <w:t>Grounds</w:t>
      </w:r>
      <w:r>
        <w:rPr>
          <w:spacing w:val="4"/>
          <w:sz w:val="16"/>
        </w:rPr>
        <w:t> </w:t>
      </w:r>
      <w:r>
        <w:rPr>
          <w:sz w:val="16"/>
        </w:rPr>
        <w:t>II,</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5"/>
          <w:sz w:val="16"/>
        </w:rPr>
        <w:t> </w:t>
      </w:r>
      <w:r>
        <w:rPr>
          <w:sz w:val="16"/>
        </w:rPr>
        <w:t>Resorts</w:t>
      </w:r>
      <w:r>
        <w:rPr>
          <w:spacing w:val="6"/>
          <w:sz w:val="16"/>
        </w:rPr>
        <w:t> </w:t>
      </w:r>
      <w:r>
        <w:rPr>
          <w:sz w:val="16"/>
        </w:rPr>
        <w:t>Global</w:t>
      </w:r>
      <w:r>
        <w:rPr>
          <w:spacing w:val="5"/>
          <w:sz w:val="16"/>
        </w:rPr>
        <w:t> </w:t>
      </w:r>
      <w:r>
        <w:rPr>
          <w:sz w:val="16"/>
        </w:rPr>
        <w:t>Development,</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5"/>
          <w:sz w:val="16"/>
        </w:rPr>
        <w:t> </w:t>
      </w:r>
      <w:r>
        <w:rPr>
          <w:sz w:val="16"/>
        </w:rPr>
        <w:t>Resorts</w:t>
      </w:r>
      <w:r>
        <w:rPr>
          <w:spacing w:val="5"/>
          <w:sz w:val="16"/>
        </w:rPr>
        <w:t> </w:t>
      </w:r>
      <w:r>
        <w:rPr>
          <w:sz w:val="16"/>
        </w:rPr>
        <w:t>Interactive,</w:t>
      </w:r>
      <w:r>
        <w:rPr>
          <w:spacing w:val="6"/>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6"/>
          <w:sz w:val="16"/>
        </w:rPr>
        <w:t> </w:t>
      </w:r>
      <w:r>
        <w:rPr>
          <w:sz w:val="16"/>
        </w:rPr>
        <w:t>Resorts</w:t>
      </w:r>
      <w:r>
        <w:rPr>
          <w:spacing w:val="6"/>
          <w:sz w:val="16"/>
        </w:rPr>
        <w:t> </w:t>
      </w:r>
      <w:r>
        <w:rPr>
          <w:sz w:val="16"/>
        </w:rPr>
        <w:t>International</w:t>
      </w:r>
      <w:r>
        <w:rPr>
          <w:spacing w:val="6"/>
          <w:sz w:val="16"/>
        </w:rPr>
        <w:t> </w:t>
      </w:r>
      <w:r>
        <w:rPr>
          <w:sz w:val="16"/>
        </w:rPr>
        <w:t>Marketing,</w:t>
      </w:r>
      <w:r>
        <w:rPr>
          <w:spacing w:val="6"/>
          <w:sz w:val="16"/>
        </w:rPr>
        <w:t> </w:t>
      </w:r>
      <w:r>
        <w:rPr>
          <w:spacing w:val="-4"/>
          <w:sz w:val="16"/>
        </w:rPr>
        <w:t>Inc.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6"/>
          <w:sz w:val="16"/>
        </w:rPr>
        <w:t> </w:t>
      </w:r>
      <w:r>
        <w:rPr>
          <w:sz w:val="16"/>
        </w:rPr>
        <w:t>Resorts</w:t>
      </w:r>
      <w:r>
        <w:rPr>
          <w:spacing w:val="6"/>
          <w:sz w:val="16"/>
        </w:rPr>
        <w:t> </w:t>
      </w:r>
      <w:r>
        <w:rPr>
          <w:sz w:val="16"/>
        </w:rPr>
        <w:t>International</w:t>
      </w:r>
      <w:r>
        <w:rPr>
          <w:spacing w:val="6"/>
          <w:sz w:val="16"/>
        </w:rPr>
        <w:t> </w:t>
      </w:r>
      <w:r>
        <w:rPr>
          <w:sz w:val="16"/>
        </w:rPr>
        <w:t>Operations,</w:t>
      </w:r>
      <w:r>
        <w:rPr>
          <w:spacing w:val="6"/>
          <w:sz w:val="16"/>
        </w:rPr>
        <w:t> </w:t>
      </w:r>
      <w:r>
        <w:rPr>
          <w:spacing w:val="-4"/>
          <w:sz w:val="16"/>
        </w:rPr>
        <w:t>Inc.</w:t>
      </w:r>
      <w:r>
        <w:rPr>
          <w:sz w:val="16"/>
        </w:rPr>
        <w:tab/>
      </w:r>
      <w:r>
        <w:rPr>
          <w:spacing w:val="-5"/>
          <w:sz w:val="16"/>
        </w:rPr>
        <w:t>(1)</w:t>
      </w:r>
    </w:p>
    <w:p>
      <w:pPr>
        <w:tabs>
          <w:tab w:pos="10236" w:val="left" w:leader="none"/>
        </w:tabs>
        <w:spacing w:before="72"/>
        <w:ind w:left="162" w:right="0" w:firstLine="0"/>
        <w:jc w:val="left"/>
        <w:rPr>
          <w:sz w:val="16"/>
        </w:rPr>
      </w:pPr>
      <w:r>
        <w:rPr>
          <w:sz w:val="16"/>
        </w:rPr>
        <w:t>MGM</w:t>
      </w:r>
      <w:r>
        <w:rPr>
          <w:spacing w:val="4"/>
          <w:sz w:val="16"/>
        </w:rPr>
        <w:t> </w:t>
      </w:r>
      <w:r>
        <w:rPr>
          <w:sz w:val="16"/>
        </w:rPr>
        <w:t>Resorts</w:t>
      </w:r>
      <w:r>
        <w:rPr>
          <w:spacing w:val="5"/>
          <w:sz w:val="16"/>
        </w:rPr>
        <w:t> </w:t>
      </w:r>
      <w:r>
        <w:rPr>
          <w:sz w:val="16"/>
        </w:rPr>
        <w:t>Land</w:t>
      </w:r>
      <w:r>
        <w:rPr>
          <w:spacing w:val="4"/>
          <w:sz w:val="16"/>
        </w:rPr>
        <w:t> </w:t>
      </w:r>
      <w:r>
        <w:rPr>
          <w:sz w:val="16"/>
        </w:rPr>
        <w:t>Holdings,</w:t>
      </w:r>
      <w:r>
        <w:rPr>
          <w:spacing w:val="5"/>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6"/>
          <w:sz w:val="16"/>
        </w:rPr>
        <w:t> </w:t>
      </w:r>
      <w:r>
        <w:rPr>
          <w:sz w:val="16"/>
        </w:rPr>
        <w:t>Resorts</w:t>
      </w:r>
      <w:r>
        <w:rPr>
          <w:spacing w:val="6"/>
          <w:sz w:val="16"/>
        </w:rPr>
        <w:t> </w:t>
      </w:r>
      <w:r>
        <w:rPr>
          <w:sz w:val="16"/>
        </w:rPr>
        <w:t>Manufacturing</w:t>
      </w:r>
      <w:r>
        <w:rPr>
          <w:spacing w:val="6"/>
          <w:sz w:val="16"/>
        </w:rPr>
        <w:t> </w:t>
      </w:r>
      <w:r>
        <w:rPr>
          <w:spacing w:val="-2"/>
          <w:sz w:val="16"/>
        </w:rPr>
        <w:t>Corp.</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4"/>
          <w:sz w:val="16"/>
        </w:rPr>
        <w:t> </w:t>
      </w:r>
      <w:r>
        <w:rPr>
          <w:sz w:val="16"/>
        </w:rPr>
        <w:t>Resorts</w:t>
      </w:r>
      <w:r>
        <w:rPr>
          <w:spacing w:val="4"/>
          <w:sz w:val="16"/>
        </w:rPr>
        <w:t> </w:t>
      </w:r>
      <w:r>
        <w:rPr>
          <w:sz w:val="16"/>
        </w:rPr>
        <w:t>Mississippi,</w:t>
      </w:r>
      <w:r>
        <w:rPr>
          <w:spacing w:val="4"/>
          <w:sz w:val="16"/>
        </w:rPr>
        <w:t> </w:t>
      </w:r>
      <w:r>
        <w:rPr>
          <w:sz w:val="16"/>
        </w:rPr>
        <w:t>LLC,</w:t>
      </w:r>
      <w:r>
        <w:rPr>
          <w:spacing w:val="4"/>
          <w:sz w:val="16"/>
        </w:rPr>
        <w:t> </w:t>
      </w:r>
      <w:r>
        <w:rPr>
          <w:sz w:val="16"/>
        </w:rPr>
        <w:t>dba</w:t>
      </w:r>
      <w:r>
        <w:rPr>
          <w:spacing w:val="5"/>
          <w:sz w:val="16"/>
        </w:rPr>
        <w:t> </w:t>
      </w:r>
      <w:r>
        <w:rPr>
          <w:sz w:val="16"/>
        </w:rPr>
        <w:t>Gold</w:t>
      </w:r>
      <w:r>
        <w:rPr>
          <w:spacing w:val="4"/>
          <w:sz w:val="16"/>
        </w:rPr>
        <w:t> </w:t>
      </w:r>
      <w:r>
        <w:rPr>
          <w:sz w:val="16"/>
        </w:rPr>
        <w:t>Strike</w:t>
      </w:r>
      <w:r>
        <w:rPr>
          <w:spacing w:val="1"/>
          <w:sz w:val="16"/>
        </w:rPr>
        <w:t> </w:t>
      </w:r>
      <w:r>
        <w:rPr>
          <w:spacing w:val="-2"/>
          <w:sz w:val="16"/>
        </w:rPr>
        <w:t>Tunica</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3"/>
          <w:sz w:val="16"/>
        </w:rPr>
        <w:t> </w:t>
      </w:r>
      <w:r>
        <w:rPr>
          <w:sz w:val="16"/>
        </w:rPr>
        <w:t>Resorts</w:t>
      </w:r>
      <w:r>
        <w:rPr>
          <w:spacing w:val="6"/>
          <w:sz w:val="16"/>
        </w:rPr>
        <w:t> </w:t>
      </w:r>
      <w:r>
        <w:rPr>
          <w:sz w:val="16"/>
        </w:rPr>
        <w:t>Regional</w:t>
      </w:r>
      <w:r>
        <w:rPr>
          <w:spacing w:val="5"/>
          <w:sz w:val="16"/>
        </w:rPr>
        <w:t> </w:t>
      </w:r>
      <w:r>
        <w:rPr>
          <w:sz w:val="16"/>
        </w:rPr>
        <w:t>Operations,</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4"/>
          <w:sz w:val="16"/>
        </w:rPr>
        <w:t> </w:t>
      </w:r>
      <w:r>
        <w:rPr>
          <w:sz w:val="16"/>
        </w:rPr>
        <w:t>Resorts</w:t>
      </w:r>
      <w:r>
        <w:rPr>
          <w:spacing w:val="4"/>
          <w:sz w:val="16"/>
        </w:rPr>
        <w:t> </w:t>
      </w:r>
      <w:r>
        <w:rPr>
          <w:spacing w:val="-2"/>
          <w:sz w:val="16"/>
        </w:rPr>
        <w:t>Retail</w:t>
      </w:r>
      <w:r>
        <w:rPr>
          <w:sz w:val="16"/>
        </w:rPr>
        <w:tab/>
      </w:r>
      <w:r>
        <w:rPr>
          <w:spacing w:val="-5"/>
          <w:sz w:val="16"/>
        </w:rPr>
        <w:t>(1)</w:t>
      </w:r>
    </w:p>
    <w:p>
      <w:pPr>
        <w:tabs>
          <w:tab w:pos="10236" w:val="left" w:leader="none"/>
        </w:tabs>
        <w:spacing w:before="72"/>
        <w:ind w:left="162" w:right="0" w:firstLine="0"/>
        <w:jc w:val="left"/>
        <w:rPr>
          <w:sz w:val="16"/>
        </w:rPr>
      </w:pPr>
      <w:r>
        <w:rPr>
          <w:sz w:val="16"/>
        </w:rPr>
        <w:t>MGM</w:t>
      </w:r>
      <w:r>
        <w:rPr>
          <w:spacing w:val="4"/>
          <w:sz w:val="16"/>
        </w:rPr>
        <w:t> </w:t>
      </w:r>
      <w:r>
        <w:rPr>
          <w:sz w:val="16"/>
        </w:rPr>
        <w:t>Resorts</w:t>
      </w:r>
      <w:r>
        <w:rPr>
          <w:spacing w:val="5"/>
          <w:sz w:val="16"/>
        </w:rPr>
        <w:t> </w:t>
      </w:r>
      <w:r>
        <w:rPr>
          <w:sz w:val="16"/>
        </w:rPr>
        <w:t>Satellite,</w:t>
      </w:r>
      <w:r>
        <w:rPr>
          <w:spacing w:val="5"/>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Resorts</w:t>
      </w:r>
      <w:r>
        <w:rPr>
          <w:spacing w:val="3"/>
          <w:sz w:val="16"/>
        </w:rPr>
        <w:t> </w:t>
      </w:r>
      <w:r>
        <w:rPr>
          <w:sz w:val="16"/>
        </w:rPr>
        <w:t>Sub</w:t>
      </w:r>
      <w:r>
        <w:rPr>
          <w:spacing w:val="3"/>
          <w:sz w:val="16"/>
        </w:rPr>
        <w:t> </w:t>
      </w:r>
      <w:r>
        <w:rPr>
          <w:sz w:val="16"/>
        </w:rPr>
        <w:t>1,</w:t>
      </w:r>
      <w:r>
        <w:rPr>
          <w:spacing w:val="3"/>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Resorts</w:t>
      </w:r>
      <w:r>
        <w:rPr>
          <w:spacing w:val="3"/>
          <w:sz w:val="16"/>
        </w:rPr>
        <w:t> </w:t>
      </w:r>
      <w:r>
        <w:rPr>
          <w:sz w:val="16"/>
        </w:rPr>
        <w:t>Sub</w:t>
      </w:r>
      <w:r>
        <w:rPr>
          <w:spacing w:val="3"/>
          <w:sz w:val="16"/>
        </w:rPr>
        <w:t> </w:t>
      </w:r>
      <w:r>
        <w:rPr>
          <w:sz w:val="16"/>
        </w:rPr>
        <w:t>B,</w:t>
      </w:r>
      <w:r>
        <w:rPr>
          <w:spacing w:val="3"/>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MGM Resorts</w:t>
      </w:r>
      <w:r>
        <w:rPr>
          <w:spacing w:val="-2"/>
          <w:sz w:val="16"/>
        </w:rPr>
        <w:t> </w:t>
      </w:r>
      <w:r>
        <w:rPr>
          <w:sz w:val="16"/>
        </w:rPr>
        <w:t>Venue</w:t>
      </w:r>
      <w:r>
        <w:rPr>
          <w:spacing w:val="1"/>
          <w:sz w:val="16"/>
        </w:rPr>
        <w:t> </w:t>
      </w:r>
      <w:r>
        <w:rPr>
          <w:sz w:val="16"/>
        </w:rPr>
        <w:t>Management,</w:t>
      </w:r>
      <w:r>
        <w:rPr>
          <w:spacing w:val="1"/>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6"/>
          <w:sz w:val="16"/>
        </w:rPr>
        <w:t> </w:t>
      </w:r>
      <w:r>
        <w:rPr>
          <w:sz w:val="16"/>
        </w:rPr>
        <w:t>Yonkers,</w:t>
      </w:r>
      <w:r>
        <w:rPr>
          <w:spacing w:val="1"/>
          <w:sz w:val="16"/>
        </w:rPr>
        <w:t> </w:t>
      </w:r>
      <w:r>
        <w:rPr>
          <w:sz w:val="16"/>
        </w:rPr>
        <w:t>Inc.,</w:t>
      </w:r>
      <w:r>
        <w:rPr>
          <w:spacing w:val="1"/>
          <w:sz w:val="16"/>
        </w:rPr>
        <w:t> </w:t>
      </w:r>
      <w:r>
        <w:rPr>
          <w:sz w:val="16"/>
        </w:rPr>
        <w:t>dba</w:t>
      </w:r>
      <w:r>
        <w:rPr>
          <w:spacing w:val="1"/>
          <w:sz w:val="16"/>
        </w:rPr>
        <w:t> </w:t>
      </w:r>
      <w:r>
        <w:rPr>
          <w:sz w:val="16"/>
        </w:rPr>
        <w:t>Empire</w:t>
      </w:r>
      <w:r>
        <w:rPr>
          <w:spacing w:val="1"/>
          <w:sz w:val="16"/>
        </w:rPr>
        <w:t> </w:t>
      </w:r>
      <w:r>
        <w:rPr>
          <w:sz w:val="16"/>
        </w:rPr>
        <w:t>City</w:t>
      </w:r>
      <w:r>
        <w:rPr>
          <w:spacing w:val="1"/>
          <w:sz w:val="16"/>
        </w:rPr>
        <w:t> </w:t>
      </w:r>
      <w:r>
        <w:rPr>
          <w:spacing w:val="-2"/>
          <w:sz w:val="16"/>
        </w:rPr>
        <w:t>Casino</w:t>
      </w:r>
      <w:r>
        <w:rPr>
          <w:sz w:val="16"/>
        </w:rPr>
        <w:tab/>
      </w:r>
      <w:r>
        <w:rPr>
          <w:spacing w:val="-5"/>
          <w:sz w:val="16"/>
        </w:rPr>
        <w:t>(1)</w:t>
      </w:r>
    </w:p>
    <w:p>
      <w:pPr>
        <w:tabs>
          <w:tab w:pos="10236" w:val="left" w:leader="none"/>
        </w:tabs>
        <w:spacing w:before="72"/>
        <w:ind w:left="162" w:right="0" w:firstLine="0"/>
        <w:jc w:val="left"/>
        <w:rPr>
          <w:sz w:val="16"/>
        </w:rPr>
      </w:pPr>
      <w:r>
        <w:rPr>
          <w:sz w:val="16"/>
        </w:rPr>
        <w:t>MH,</w:t>
      </w:r>
      <w:r>
        <w:rPr>
          <w:spacing w:val="3"/>
          <w:sz w:val="16"/>
        </w:rPr>
        <w:t> </w:t>
      </w:r>
      <w:r>
        <w:rPr>
          <w:sz w:val="16"/>
        </w:rPr>
        <w:t>Inc.,</w:t>
      </w:r>
      <w:r>
        <w:rPr>
          <w:spacing w:val="3"/>
          <w:sz w:val="16"/>
        </w:rPr>
        <w:t> </w:t>
      </w:r>
      <w:r>
        <w:rPr>
          <w:sz w:val="16"/>
        </w:rPr>
        <w:t>dba</w:t>
      </w:r>
      <w:r>
        <w:rPr>
          <w:spacing w:val="3"/>
          <w:sz w:val="16"/>
        </w:rPr>
        <w:t> </w:t>
      </w:r>
      <w:r>
        <w:rPr>
          <w:sz w:val="16"/>
        </w:rPr>
        <w:t>Shadow</w:t>
      </w:r>
      <w:r>
        <w:rPr>
          <w:spacing w:val="4"/>
          <w:sz w:val="16"/>
        </w:rPr>
        <w:t> </w:t>
      </w:r>
      <w:r>
        <w:rPr>
          <w:spacing w:val="-2"/>
          <w:sz w:val="16"/>
        </w:rPr>
        <w:t>Creek</w:t>
      </w:r>
      <w:r>
        <w:rPr>
          <w:sz w:val="16"/>
        </w:rPr>
        <w:tab/>
      </w:r>
      <w:r>
        <w:rPr>
          <w:spacing w:val="-5"/>
          <w:sz w:val="16"/>
        </w:rPr>
        <w:t>(1)</w:t>
      </w:r>
    </w:p>
    <w:p>
      <w:pPr>
        <w:tabs>
          <w:tab w:pos="10236" w:val="left" w:leader="none"/>
        </w:tabs>
        <w:spacing w:before="59"/>
        <w:ind w:left="162" w:right="0" w:firstLine="0"/>
        <w:jc w:val="left"/>
        <w:rPr>
          <w:sz w:val="16"/>
        </w:rPr>
      </w:pPr>
      <w:r>
        <w:rPr>
          <w:sz w:val="16"/>
        </w:rPr>
        <w:t>Mirage</w:t>
      </w:r>
      <w:r>
        <w:rPr>
          <w:spacing w:val="5"/>
          <w:sz w:val="16"/>
        </w:rPr>
        <w:t> </w:t>
      </w:r>
      <w:r>
        <w:rPr>
          <w:sz w:val="16"/>
        </w:rPr>
        <w:t>Laundry</w:t>
      </w:r>
      <w:r>
        <w:rPr>
          <w:spacing w:val="5"/>
          <w:sz w:val="16"/>
        </w:rPr>
        <w:t> </w:t>
      </w:r>
      <w:r>
        <w:rPr>
          <w:sz w:val="16"/>
        </w:rPr>
        <w:t>Services</w:t>
      </w:r>
      <w:r>
        <w:rPr>
          <w:spacing w:val="5"/>
          <w:sz w:val="16"/>
        </w:rPr>
        <w:t> </w:t>
      </w:r>
      <w:r>
        <w:rPr>
          <w:spacing w:val="-2"/>
          <w:sz w:val="16"/>
        </w:rPr>
        <w:t>Corp.</w:t>
      </w:r>
      <w:r>
        <w:rPr>
          <w:sz w:val="16"/>
        </w:rPr>
        <w:tab/>
      </w:r>
      <w:r>
        <w:rPr>
          <w:spacing w:val="-5"/>
          <w:sz w:val="16"/>
        </w:rPr>
        <w:t>(1)</w:t>
      </w:r>
    </w:p>
    <w:p>
      <w:pPr>
        <w:tabs>
          <w:tab w:pos="10236" w:val="left" w:leader="none"/>
        </w:tabs>
        <w:spacing w:before="59"/>
        <w:ind w:left="162" w:right="0" w:firstLine="0"/>
        <w:jc w:val="left"/>
        <w:rPr>
          <w:sz w:val="16"/>
        </w:rPr>
      </w:pPr>
      <w:r>
        <w:rPr>
          <w:sz w:val="16"/>
        </w:rPr>
        <w:t>Mirage</w:t>
      </w:r>
      <w:r>
        <w:rPr>
          <w:spacing w:val="4"/>
          <w:sz w:val="16"/>
        </w:rPr>
        <w:t> </w:t>
      </w:r>
      <w:r>
        <w:rPr>
          <w:sz w:val="16"/>
        </w:rPr>
        <w:t>Resorts,</w:t>
      </w:r>
      <w:r>
        <w:rPr>
          <w:spacing w:val="5"/>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MMNY</w:t>
      </w:r>
      <w:r>
        <w:rPr>
          <w:spacing w:val="-5"/>
          <w:sz w:val="16"/>
        </w:rPr>
        <w:t> </w:t>
      </w:r>
      <w:r>
        <w:rPr>
          <w:sz w:val="16"/>
        </w:rPr>
        <w:t>Land</w:t>
      </w:r>
      <w:r>
        <w:rPr>
          <w:spacing w:val="1"/>
          <w:sz w:val="16"/>
        </w:rPr>
        <w:t> </w:t>
      </w:r>
      <w:r>
        <w:rPr>
          <w:sz w:val="16"/>
        </w:rPr>
        <w:t>Company,</w:t>
      </w:r>
      <w:r>
        <w:rPr>
          <w:spacing w:val="2"/>
          <w:sz w:val="16"/>
        </w:rPr>
        <w:t> </w:t>
      </w:r>
      <w:r>
        <w:rPr>
          <w:spacing w:val="-4"/>
          <w:sz w:val="16"/>
        </w:rPr>
        <w:t>Inc.</w:t>
      </w:r>
      <w:r>
        <w:rPr>
          <w:sz w:val="16"/>
        </w:rPr>
        <w:tab/>
      </w:r>
      <w:r>
        <w:rPr>
          <w:spacing w:val="-5"/>
          <w:sz w:val="16"/>
        </w:rPr>
        <w:t>(1)</w:t>
      </w:r>
    </w:p>
    <w:p>
      <w:pPr>
        <w:tabs>
          <w:tab w:pos="10236" w:val="left" w:leader="none"/>
        </w:tabs>
        <w:spacing w:before="59"/>
        <w:ind w:left="162" w:right="0" w:firstLine="0"/>
        <w:jc w:val="left"/>
        <w:rPr>
          <w:sz w:val="16"/>
        </w:rPr>
      </w:pPr>
      <w:r>
        <w:rPr>
          <w:sz w:val="16"/>
        </w:rPr>
        <w:t>Nevada</w:t>
      </w:r>
      <w:r>
        <w:rPr>
          <w:spacing w:val="3"/>
          <w:sz w:val="16"/>
        </w:rPr>
        <w:t> </w:t>
      </w:r>
      <w:r>
        <w:rPr>
          <w:sz w:val="16"/>
        </w:rPr>
        <w:t>Property</w:t>
      </w:r>
      <w:r>
        <w:rPr>
          <w:spacing w:val="4"/>
          <w:sz w:val="16"/>
        </w:rPr>
        <w:t> </w:t>
      </w:r>
      <w:r>
        <w:rPr>
          <w:sz w:val="16"/>
        </w:rPr>
        <w:t>1</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Nevada</w:t>
      </w:r>
      <w:r>
        <w:rPr>
          <w:spacing w:val="-1"/>
          <w:sz w:val="16"/>
        </w:rPr>
        <w:t> </w:t>
      </w:r>
      <w:r>
        <w:rPr>
          <w:sz w:val="16"/>
        </w:rPr>
        <w:t>Restaurant</w:t>
      </w:r>
      <w:r>
        <w:rPr>
          <w:spacing w:val="-3"/>
          <w:sz w:val="16"/>
        </w:rPr>
        <w:t> </w:t>
      </w:r>
      <w:r>
        <w:rPr>
          <w:sz w:val="16"/>
        </w:rPr>
        <w:t>Venture 1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Nevada</w:t>
      </w:r>
      <w:r>
        <w:rPr>
          <w:spacing w:val="-1"/>
          <w:sz w:val="16"/>
        </w:rPr>
        <w:t> </w:t>
      </w:r>
      <w:r>
        <w:rPr>
          <w:sz w:val="16"/>
        </w:rPr>
        <w:t>Retail</w:t>
      </w:r>
      <w:r>
        <w:rPr>
          <w:spacing w:val="-4"/>
          <w:sz w:val="16"/>
        </w:rPr>
        <w:t> </w:t>
      </w:r>
      <w:r>
        <w:rPr>
          <w:sz w:val="16"/>
        </w:rPr>
        <w:t>Venture</w:t>
      </w:r>
      <w:r>
        <w:rPr>
          <w:spacing w:val="-1"/>
          <w:sz w:val="16"/>
        </w:rPr>
        <w:t> </w:t>
      </w:r>
      <w:r>
        <w:rPr>
          <w:sz w:val="16"/>
        </w:rPr>
        <w:t>1</w:t>
      </w:r>
      <w:r>
        <w:rPr>
          <w:spacing w:val="-1"/>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New</w:t>
      </w:r>
      <w:r>
        <w:rPr>
          <w:spacing w:val="3"/>
          <w:sz w:val="16"/>
        </w:rPr>
        <w:t> </w:t>
      </w:r>
      <w:r>
        <w:rPr>
          <w:sz w:val="16"/>
        </w:rPr>
        <w:t>Castle,</w:t>
      </w:r>
      <w:r>
        <w:rPr>
          <w:spacing w:val="3"/>
          <w:sz w:val="16"/>
        </w:rPr>
        <w:t> </w:t>
      </w:r>
      <w:r>
        <w:rPr>
          <w:sz w:val="16"/>
        </w:rPr>
        <w:t>LLC,</w:t>
      </w:r>
      <w:r>
        <w:rPr>
          <w:spacing w:val="4"/>
          <w:sz w:val="16"/>
        </w:rPr>
        <w:t> </w:t>
      </w:r>
      <w:r>
        <w:rPr>
          <w:sz w:val="16"/>
        </w:rPr>
        <w:t>dba</w:t>
      </w:r>
      <w:r>
        <w:rPr>
          <w:spacing w:val="3"/>
          <w:sz w:val="16"/>
        </w:rPr>
        <w:t> </w:t>
      </w:r>
      <w:r>
        <w:rPr>
          <w:sz w:val="16"/>
        </w:rPr>
        <w:t>Excalibur</w:t>
      </w:r>
      <w:r>
        <w:rPr>
          <w:spacing w:val="4"/>
          <w:sz w:val="16"/>
        </w:rPr>
        <w:t> </w:t>
      </w:r>
      <w:r>
        <w:rPr>
          <w:sz w:val="16"/>
        </w:rPr>
        <w:t>Hotel</w:t>
      </w:r>
      <w:r>
        <w:rPr>
          <w:spacing w:val="3"/>
          <w:sz w:val="16"/>
        </w:rPr>
        <w:t> </w:t>
      </w:r>
      <w:r>
        <w:rPr>
          <w:sz w:val="16"/>
        </w:rPr>
        <w:t>&amp;</w:t>
      </w:r>
      <w:r>
        <w:rPr>
          <w:spacing w:val="4"/>
          <w:sz w:val="16"/>
        </w:rPr>
        <w:t> </w:t>
      </w:r>
      <w:r>
        <w:rPr>
          <w:spacing w:val="-2"/>
          <w:sz w:val="16"/>
        </w:rPr>
        <w:t>Casino</w:t>
      </w:r>
      <w:r>
        <w:rPr>
          <w:sz w:val="16"/>
        </w:rPr>
        <w:tab/>
      </w:r>
      <w:r>
        <w:rPr>
          <w:spacing w:val="-5"/>
          <w:sz w:val="16"/>
        </w:rPr>
        <w:t>(1)</w:t>
      </w:r>
    </w:p>
    <w:p>
      <w:pPr>
        <w:tabs>
          <w:tab w:pos="10236" w:val="left" w:leader="none"/>
        </w:tabs>
        <w:spacing w:before="73"/>
        <w:ind w:left="162" w:right="0" w:firstLine="0"/>
        <w:jc w:val="left"/>
        <w:rPr>
          <w:sz w:val="16"/>
        </w:rPr>
      </w:pPr>
      <w:r>
        <w:rPr>
          <w:sz w:val="16"/>
        </w:rPr>
        <w:t>New</w:t>
      </w:r>
      <w:r>
        <w:rPr>
          <w:spacing w:val="-8"/>
          <w:sz w:val="16"/>
        </w:rPr>
        <w:t> </w:t>
      </w:r>
      <w:r>
        <w:rPr>
          <w:sz w:val="16"/>
        </w:rPr>
        <w:t>York-New</w:t>
      </w:r>
      <w:r>
        <w:rPr>
          <w:spacing w:val="-7"/>
          <w:sz w:val="16"/>
        </w:rPr>
        <w:t> </w:t>
      </w:r>
      <w:r>
        <w:rPr>
          <w:sz w:val="16"/>
        </w:rPr>
        <w:t>York</w:t>
      </w:r>
      <w:r>
        <w:rPr>
          <w:spacing w:val="-2"/>
          <w:sz w:val="16"/>
        </w:rPr>
        <w:t> </w:t>
      </w:r>
      <w:r>
        <w:rPr>
          <w:sz w:val="16"/>
        </w:rPr>
        <w:t>Hotel</w:t>
      </w:r>
      <w:r>
        <w:rPr>
          <w:spacing w:val="-2"/>
          <w:sz w:val="16"/>
        </w:rPr>
        <w:t> </w:t>
      </w:r>
      <w:r>
        <w:rPr>
          <w:sz w:val="16"/>
        </w:rPr>
        <w:t>&amp;</w:t>
      </w:r>
      <w:r>
        <w:rPr>
          <w:spacing w:val="-2"/>
          <w:sz w:val="16"/>
        </w:rPr>
        <w:t> </w:t>
      </w:r>
      <w:r>
        <w:rPr>
          <w:sz w:val="16"/>
        </w:rPr>
        <w:t>Casino,</w:t>
      </w:r>
      <w:r>
        <w:rPr>
          <w:spacing w:val="-1"/>
          <w:sz w:val="16"/>
        </w:rPr>
        <w:t> </w:t>
      </w:r>
      <w:r>
        <w:rPr>
          <w:sz w:val="16"/>
        </w:rPr>
        <w:t>LLC,</w:t>
      </w:r>
      <w:r>
        <w:rPr>
          <w:spacing w:val="-2"/>
          <w:sz w:val="16"/>
        </w:rPr>
        <w:t> </w:t>
      </w:r>
      <w:r>
        <w:rPr>
          <w:sz w:val="16"/>
        </w:rPr>
        <w:t>dba</w:t>
      </w:r>
      <w:r>
        <w:rPr>
          <w:spacing w:val="-2"/>
          <w:sz w:val="16"/>
        </w:rPr>
        <w:t> </w:t>
      </w:r>
      <w:r>
        <w:rPr>
          <w:sz w:val="16"/>
        </w:rPr>
        <w:t>New</w:t>
      </w:r>
      <w:r>
        <w:rPr>
          <w:spacing w:val="-7"/>
          <w:sz w:val="16"/>
        </w:rPr>
        <w:t> </w:t>
      </w:r>
      <w:r>
        <w:rPr>
          <w:sz w:val="16"/>
        </w:rPr>
        <w:t>York-New</w:t>
      </w:r>
      <w:r>
        <w:rPr>
          <w:spacing w:val="-8"/>
          <w:sz w:val="16"/>
        </w:rPr>
        <w:t> </w:t>
      </w:r>
      <w:r>
        <w:rPr>
          <w:sz w:val="16"/>
        </w:rPr>
        <w:t>York</w:t>
      </w:r>
      <w:r>
        <w:rPr>
          <w:spacing w:val="-2"/>
          <w:sz w:val="16"/>
        </w:rPr>
        <w:t> </w:t>
      </w:r>
      <w:r>
        <w:rPr>
          <w:sz w:val="16"/>
        </w:rPr>
        <w:t>Hotel</w:t>
      </w:r>
      <w:r>
        <w:rPr>
          <w:spacing w:val="-1"/>
          <w:sz w:val="16"/>
        </w:rPr>
        <w:t> </w:t>
      </w:r>
      <w:r>
        <w:rPr>
          <w:sz w:val="16"/>
        </w:rPr>
        <w:t>&amp;</w:t>
      </w:r>
      <w:r>
        <w:rPr>
          <w:spacing w:val="-2"/>
          <w:sz w:val="16"/>
        </w:rPr>
        <w:t> Casino</w:t>
      </w:r>
      <w:r>
        <w:rPr>
          <w:sz w:val="16"/>
        </w:rPr>
        <w:tab/>
      </w:r>
      <w:r>
        <w:rPr>
          <w:spacing w:val="-5"/>
          <w:sz w:val="16"/>
        </w:rPr>
        <w:t>(1)</w:t>
      </w:r>
    </w:p>
    <w:p>
      <w:pPr>
        <w:tabs>
          <w:tab w:pos="10236" w:val="left" w:leader="none"/>
        </w:tabs>
        <w:spacing w:before="59"/>
        <w:ind w:left="162" w:right="0" w:firstLine="0"/>
        <w:jc w:val="left"/>
        <w:rPr>
          <w:sz w:val="16"/>
        </w:rPr>
      </w:pPr>
      <w:r>
        <w:rPr>
          <w:spacing w:val="-2"/>
          <w:sz w:val="16"/>
        </w:rPr>
        <w:t>New</w:t>
      </w:r>
      <w:r>
        <w:rPr>
          <w:spacing w:val="-5"/>
          <w:sz w:val="16"/>
        </w:rPr>
        <w:t> </w:t>
      </w:r>
      <w:r>
        <w:rPr>
          <w:spacing w:val="-2"/>
          <w:sz w:val="16"/>
        </w:rPr>
        <w:t>York-New</w:t>
      </w:r>
      <w:r>
        <w:rPr>
          <w:spacing w:val="-4"/>
          <w:sz w:val="16"/>
        </w:rPr>
        <w:t> </w:t>
      </w:r>
      <w:r>
        <w:rPr>
          <w:spacing w:val="-2"/>
          <w:sz w:val="16"/>
        </w:rPr>
        <w:t>York Tower,</w:t>
      </w:r>
      <w:r>
        <w:rPr>
          <w:spacing w:val="2"/>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Northfield</w:t>
      </w:r>
      <w:r>
        <w:rPr>
          <w:spacing w:val="4"/>
          <w:sz w:val="16"/>
        </w:rPr>
        <w:t> </w:t>
      </w:r>
      <w:r>
        <w:rPr>
          <w:sz w:val="16"/>
        </w:rPr>
        <w:t>Park</w:t>
      </w:r>
      <w:r>
        <w:rPr>
          <w:spacing w:val="-5"/>
          <w:sz w:val="16"/>
        </w:rPr>
        <w:t> </w:t>
      </w:r>
      <w:r>
        <w:rPr>
          <w:sz w:val="16"/>
        </w:rPr>
        <w:t>Associates</w:t>
      </w:r>
      <w:r>
        <w:rPr>
          <w:spacing w:val="5"/>
          <w:sz w:val="16"/>
        </w:rPr>
        <w:t> </w:t>
      </w:r>
      <w:r>
        <w:rPr>
          <w:sz w:val="16"/>
        </w:rPr>
        <w:t>LLC,</w:t>
      </w:r>
      <w:r>
        <w:rPr>
          <w:spacing w:val="5"/>
          <w:sz w:val="16"/>
        </w:rPr>
        <w:t> </w:t>
      </w:r>
      <w:r>
        <w:rPr>
          <w:sz w:val="16"/>
        </w:rPr>
        <w:t>dba</w:t>
      </w:r>
      <w:r>
        <w:rPr>
          <w:spacing w:val="5"/>
          <w:sz w:val="16"/>
        </w:rPr>
        <w:t> </w:t>
      </w:r>
      <w:r>
        <w:rPr>
          <w:sz w:val="16"/>
        </w:rPr>
        <w:t>MGM</w:t>
      </w:r>
      <w:r>
        <w:rPr>
          <w:spacing w:val="5"/>
          <w:sz w:val="16"/>
        </w:rPr>
        <w:t> </w:t>
      </w:r>
      <w:r>
        <w:rPr>
          <w:sz w:val="16"/>
        </w:rPr>
        <w:t>Northfield</w:t>
      </w:r>
      <w:r>
        <w:rPr>
          <w:spacing w:val="4"/>
          <w:sz w:val="16"/>
        </w:rPr>
        <w:t> </w:t>
      </w:r>
      <w:r>
        <w:rPr>
          <w:spacing w:val="-4"/>
          <w:sz w:val="16"/>
        </w:rPr>
        <w:t>Park</w:t>
      </w:r>
      <w:r>
        <w:rPr>
          <w:sz w:val="16"/>
        </w:rPr>
        <w:tab/>
      </w:r>
      <w:r>
        <w:rPr>
          <w:spacing w:val="-5"/>
          <w:sz w:val="16"/>
        </w:rPr>
        <w:t>(1)</w:t>
      </w:r>
    </w:p>
    <w:p>
      <w:pPr>
        <w:tabs>
          <w:tab w:pos="10236" w:val="left" w:leader="none"/>
        </w:tabs>
        <w:spacing w:before="72"/>
        <w:ind w:left="162" w:right="0" w:firstLine="0"/>
        <w:jc w:val="left"/>
        <w:rPr>
          <w:sz w:val="16"/>
        </w:rPr>
      </w:pPr>
      <w:r>
        <w:rPr>
          <w:sz w:val="16"/>
        </w:rPr>
        <w:t>NP1</w:t>
      </w:r>
      <w:r>
        <w:rPr>
          <w:spacing w:val="4"/>
          <w:sz w:val="16"/>
        </w:rPr>
        <w:t> </w:t>
      </w:r>
      <w:r>
        <w:rPr>
          <w:sz w:val="16"/>
        </w:rPr>
        <w:t>Pegasus</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Park</w:t>
      </w:r>
      <w:r>
        <w:rPr>
          <w:spacing w:val="2"/>
          <w:sz w:val="16"/>
        </w:rPr>
        <w:t> </w:t>
      </w:r>
      <w:r>
        <w:rPr>
          <w:sz w:val="16"/>
        </w:rPr>
        <w:t>District</w:t>
      </w:r>
      <w:r>
        <w:rPr>
          <w:spacing w:val="5"/>
          <w:sz w:val="16"/>
        </w:rPr>
        <w:t> </w:t>
      </w:r>
      <w:r>
        <w:rPr>
          <w:sz w:val="16"/>
        </w:rPr>
        <w:t>Holdings,</w:t>
      </w:r>
      <w:r>
        <w:rPr>
          <w:spacing w:val="5"/>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Park</w:t>
      </w:r>
      <w:r>
        <w:rPr>
          <w:spacing w:val="3"/>
          <w:sz w:val="16"/>
        </w:rPr>
        <w:t> </w:t>
      </w:r>
      <w:r>
        <w:rPr>
          <w:sz w:val="16"/>
        </w:rPr>
        <w:t>MGM,</w:t>
      </w:r>
      <w:r>
        <w:rPr>
          <w:spacing w:val="3"/>
          <w:sz w:val="16"/>
        </w:rPr>
        <w:t> </w:t>
      </w:r>
      <w:r>
        <w:rPr>
          <w:sz w:val="16"/>
        </w:rPr>
        <w:t>LLC,</w:t>
      </w:r>
      <w:r>
        <w:rPr>
          <w:spacing w:val="3"/>
          <w:sz w:val="16"/>
        </w:rPr>
        <w:t> </w:t>
      </w:r>
      <w:r>
        <w:rPr>
          <w:sz w:val="16"/>
        </w:rPr>
        <w:t>dba</w:t>
      </w:r>
      <w:r>
        <w:rPr>
          <w:spacing w:val="3"/>
          <w:sz w:val="16"/>
        </w:rPr>
        <w:t> </w:t>
      </w:r>
      <w:r>
        <w:rPr>
          <w:sz w:val="16"/>
        </w:rPr>
        <w:t>Park</w:t>
      </w:r>
      <w:r>
        <w:rPr>
          <w:spacing w:val="4"/>
          <w:sz w:val="16"/>
        </w:rPr>
        <w:t> </w:t>
      </w:r>
      <w:r>
        <w:rPr>
          <w:sz w:val="16"/>
        </w:rPr>
        <w:t>MGM</w:t>
      </w:r>
      <w:r>
        <w:rPr>
          <w:spacing w:val="3"/>
          <w:sz w:val="16"/>
        </w:rPr>
        <w:t> </w:t>
      </w:r>
      <w:r>
        <w:rPr>
          <w:sz w:val="16"/>
        </w:rPr>
        <w:t>Las </w:t>
      </w:r>
      <w:r>
        <w:rPr>
          <w:spacing w:val="-2"/>
          <w:sz w:val="16"/>
        </w:rPr>
        <w:t>Vegas</w:t>
      </w:r>
      <w:r>
        <w:rPr>
          <w:sz w:val="16"/>
        </w:rPr>
        <w:tab/>
      </w:r>
      <w:r>
        <w:rPr>
          <w:spacing w:val="-5"/>
          <w:sz w:val="16"/>
        </w:rPr>
        <w:t>(1)</w:t>
      </w:r>
    </w:p>
    <w:p>
      <w:pPr>
        <w:tabs>
          <w:tab w:pos="10236" w:val="left" w:leader="none"/>
        </w:tabs>
        <w:spacing w:before="59"/>
        <w:ind w:left="162" w:right="0" w:firstLine="0"/>
        <w:jc w:val="left"/>
        <w:rPr>
          <w:sz w:val="16"/>
        </w:rPr>
      </w:pPr>
      <w:r>
        <w:rPr>
          <w:sz w:val="16"/>
        </w:rPr>
        <w:t>Park</w:t>
      </w:r>
      <w:r>
        <w:rPr>
          <w:spacing w:val="-3"/>
          <w:sz w:val="16"/>
        </w:rPr>
        <w:t> </w:t>
      </w:r>
      <w:r>
        <w:rPr>
          <w:sz w:val="16"/>
        </w:rPr>
        <w:t>Theater,</w:t>
      </w:r>
      <w:r>
        <w:rPr>
          <w:spacing w:val="1"/>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PRMA,</w:t>
      </w:r>
      <w:r>
        <w:rPr>
          <w:spacing w:val="4"/>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PRMA</w:t>
      </w:r>
      <w:r>
        <w:rPr>
          <w:spacing w:val="-5"/>
          <w:sz w:val="16"/>
        </w:rPr>
        <w:t> </w:t>
      </w:r>
      <w:r>
        <w:rPr>
          <w:sz w:val="16"/>
        </w:rPr>
        <w:t>Land</w:t>
      </w:r>
      <w:r>
        <w:rPr>
          <w:spacing w:val="6"/>
          <w:sz w:val="16"/>
        </w:rPr>
        <w:t> </w:t>
      </w:r>
      <w:r>
        <w:rPr>
          <w:sz w:val="16"/>
        </w:rPr>
        <w:t>Development</w:t>
      </w:r>
      <w:r>
        <w:rPr>
          <w:spacing w:val="6"/>
          <w:sz w:val="16"/>
        </w:rPr>
        <w:t> </w:t>
      </w:r>
      <w:r>
        <w:rPr>
          <w:spacing w:val="-2"/>
          <w:sz w:val="16"/>
        </w:rPr>
        <w:t>Company</w:t>
      </w:r>
      <w:r>
        <w:rPr>
          <w:sz w:val="16"/>
        </w:rPr>
        <w:tab/>
      </w:r>
      <w:r>
        <w:rPr>
          <w:spacing w:val="-5"/>
          <w:sz w:val="16"/>
        </w:rPr>
        <w:t>(1)</w:t>
      </w:r>
    </w:p>
    <w:p>
      <w:pPr>
        <w:tabs>
          <w:tab w:pos="10236" w:val="left" w:leader="none"/>
        </w:tabs>
        <w:spacing w:before="59"/>
        <w:ind w:left="162" w:right="0" w:firstLine="0"/>
        <w:jc w:val="left"/>
        <w:rPr>
          <w:sz w:val="16"/>
        </w:rPr>
      </w:pPr>
      <w:r>
        <w:rPr>
          <w:sz w:val="16"/>
        </w:rPr>
        <w:t>Project</w:t>
      </w:r>
      <w:r>
        <w:rPr>
          <w:spacing w:val="3"/>
          <w:sz w:val="16"/>
        </w:rPr>
        <w:t> </w:t>
      </w:r>
      <w:r>
        <w:rPr>
          <w:sz w:val="16"/>
        </w:rPr>
        <w:t>CC,</w:t>
      </w:r>
      <w:r>
        <w:rPr>
          <w:spacing w:val="4"/>
          <w:sz w:val="16"/>
        </w:rPr>
        <w:t>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Ramparts,</w:t>
      </w:r>
      <w:r>
        <w:rPr>
          <w:spacing w:val="3"/>
          <w:sz w:val="16"/>
        </w:rPr>
        <w:t> </w:t>
      </w:r>
      <w:r>
        <w:rPr>
          <w:sz w:val="16"/>
        </w:rPr>
        <w:t>LLC,</w:t>
      </w:r>
      <w:r>
        <w:rPr>
          <w:spacing w:val="4"/>
          <w:sz w:val="16"/>
        </w:rPr>
        <w:t> </w:t>
      </w:r>
      <w:r>
        <w:rPr>
          <w:sz w:val="16"/>
        </w:rPr>
        <w:t>dba</w:t>
      </w:r>
      <w:r>
        <w:rPr>
          <w:spacing w:val="3"/>
          <w:sz w:val="16"/>
        </w:rPr>
        <w:t> </w:t>
      </w:r>
      <w:r>
        <w:rPr>
          <w:sz w:val="16"/>
        </w:rPr>
        <w:t>Luxor</w:t>
      </w:r>
      <w:r>
        <w:rPr>
          <w:spacing w:val="3"/>
          <w:sz w:val="16"/>
        </w:rPr>
        <w:t> </w:t>
      </w:r>
      <w:r>
        <w:rPr>
          <w:sz w:val="16"/>
        </w:rPr>
        <w:t>Hotel</w:t>
      </w:r>
      <w:r>
        <w:rPr>
          <w:spacing w:val="4"/>
          <w:sz w:val="16"/>
        </w:rPr>
        <w:t> </w:t>
      </w:r>
      <w:r>
        <w:rPr>
          <w:sz w:val="16"/>
        </w:rPr>
        <w:t>&amp;</w:t>
      </w:r>
      <w:r>
        <w:rPr>
          <w:spacing w:val="3"/>
          <w:sz w:val="16"/>
        </w:rPr>
        <w:t> </w:t>
      </w:r>
      <w:r>
        <w:rPr>
          <w:spacing w:val="-2"/>
          <w:sz w:val="16"/>
        </w:rPr>
        <w:t>Casino</w:t>
      </w:r>
      <w:r>
        <w:rPr>
          <w:sz w:val="16"/>
        </w:rPr>
        <w:tab/>
      </w:r>
      <w:r>
        <w:rPr>
          <w:spacing w:val="-5"/>
          <w:sz w:val="16"/>
        </w:rPr>
        <w:t>(1)</w:t>
      </w:r>
    </w:p>
    <w:p>
      <w:pPr>
        <w:spacing w:after="0"/>
        <w:jc w:val="left"/>
        <w:rPr>
          <w:sz w:val="16"/>
        </w:rPr>
        <w:sectPr>
          <w:pgSz w:w="12240" w:h="15840"/>
          <w:pgMar w:top="1720" w:bottom="280" w:left="220" w:right="240"/>
        </w:sectPr>
      </w:pPr>
    </w:p>
    <w:p>
      <w:pPr>
        <w:pStyle w:val="BodyText"/>
        <w:spacing w:before="78"/>
        <w:ind w:left="24"/>
        <w:jc w:val="center"/>
      </w:pPr>
      <w:r>
        <w:rPr/>
        <w:t>-</w:t>
      </w:r>
      <w:r>
        <w:rPr>
          <w:spacing w:val="-1"/>
        </w:rPr>
        <w:t> </w:t>
      </w:r>
      <w:r>
        <w:rPr/>
        <w:t>2</w:t>
      </w:r>
      <w:r>
        <w:rPr>
          <w:spacing w:val="-1"/>
        </w:rPr>
        <w:t> </w:t>
      </w:r>
      <w:r>
        <w:rPr>
          <w:spacing w:val="-10"/>
        </w:rPr>
        <w:t>-</w:t>
      </w:r>
    </w:p>
    <w:p>
      <w:pPr>
        <w:pStyle w:val="BodyText"/>
        <w:spacing w:before="8"/>
        <w:rPr>
          <w:sz w:val="15"/>
        </w:rPr>
      </w:pPr>
      <w:r>
        <w:rPr/>
        <mc:AlternateContent>
          <mc:Choice Requires="wps">
            <w:drawing>
              <wp:anchor distT="0" distB="0" distL="0" distR="0" allowOverlap="1" layoutInCell="1" locked="0" behindDoc="1" simplePos="0" relativeHeight="487819776">
                <wp:simplePos x="0" y="0"/>
                <wp:positionH relativeFrom="page">
                  <wp:posOffset>231457</wp:posOffset>
                </wp:positionH>
                <wp:positionV relativeFrom="paragraph">
                  <wp:posOffset>129907</wp:posOffset>
                </wp:positionV>
                <wp:extent cx="7312659" cy="17145"/>
                <wp:effectExtent l="0" t="0" r="0" b="0"/>
                <wp:wrapTopAndBottom/>
                <wp:docPr id="1154" name="Group 1154"/>
                <wp:cNvGraphicFramePr>
                  <a:graphicFrameLocks/>
                </wp:cNvGraphicFramePr>
                <a:graphic>
                  <a:graphicData uri="http://schemas.microsoft.com/office/word/2010/wordprocessingGroup">
                    <wpg:wgp>
                      <wpg:cNvPr id="1154" name="Group 1154"/>
                      <wpg:cNvGrpSpPr/>
                      <wpg:grpSpPr>
                        <a:xfrm>
                          <a:off x="0" y="0"/>
                          <a:ext cx="7312659" cy="17145"/>
                          <a:chExt cx="7312659" cy="17145"/>
                        </a:xfrm>
                      </wpg:grpSpPr>
                      <wps:wsp>
                        <wps:cNvPr id="1155" name="Graphic 115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56" name="Graphic 1156"/>
                        <wps:cNvSpPr/>
                        <wps:spPr>
                          <a:xfrm>
                            <a:off x="-12" y="-2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57" name="Graphic 115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0.228969pt;width:575.8pt;height:1.35pt;mso-position-horizontal-relative:page;mso-position-vertical-relative:paragraph;z-index:-15496704;mso-wrap-distance-left:0;mso-wrap-distance-right:0" id="docshapegroup1152" coordorigin="364,205" coordsize="11516,27">
                <v:rect style="position:absolute;left:364;top:204;width:11516;height:14" id="docshape1153" filled="true" fillcolor="#999999" stroked="false">
                  <v:fill type="solid"/>
                </v:rect>
                <v:shape style="position:absolute;left:364;top:204;width:11516;height:27" id="docshape1154" coordorigin="364,205" coordsize="11516,27" path="m11880,205l11866,218,364,218,364,232,11866,232,11880,232,11880,218,11880,205xe" filled="true" fillcolor="#ededed" stroked="false">
                  <v:path arrowok="t"/>
                  <v:fill type="solid"/>
                </v:shape>
                <v:shape style="position:absolute;left:364;top:204;width:14;height:27" id="docshape1155" coordorigin="364,205" coordsize="14,27" path="m364,232l364,205,378,205,378,218,364,232xe" filled="true" fillcolor="#999999" stroked="false">
                  <v:path arrowok="t"/>
                  <v:fill type="solid"/>
                </v:shape>
                <w10:wrap type="topAndBottom"/>
              </v:group>
            </w:pict>
          </mc:Fallback>
        </mc:AlternateContent>
      </w:r>
    </w:p>
    <w:p>
      <w:pPr>
        <w:spacing w:after="0"/>
        <w:rPr>
          <w:sz w:val="15"/>
        </w:rPr>
        <w:sectPr>
          <w:pgSz w:w="12240" w:h="15840"/>
          <w:pgMar w:top="280" w:bottom="280" w:left="220" w:right="240"/>
        </w:sectPr>
      </w:pPr>
    </w:p>
    <w:p>
      <w:pPr>
        <w:tabs>
          <w:tab w:pos="10236" w:val="left" w:leader="none"/>
        </w:tabs>
        <w:spacing w:before="68"/>
        <w:ind w:left="162" w:right="0" w:firstLine="0"/>
        <w:jc w:val="left"/>
        <w:rPr>
          <w:sz w:val="16"/>
        </w:rPr>
      </w:pPr>
      <w:r>
        <w:rPr>
          <w:sz w:val="16"/>
        </w:rPr>
        <w:t>Signature</w:t>
      </w:r>
      <w:r>
        <w:rPr>
          <w:spacing w:val="-4"/>
          <w:sz w:val="16"/>
        </w:rPr>
        <w:t> </w:t>
      </w:r>
      <w:r>
        <w:rPr>
          <w:sz w:val="16"/>
        </w:rPr>
        <w:t>Tower I,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Signature</w:t>
      </w:r>
      <w:r>
        <w:rPr>
          <w:spacing w:val="-4"/>
          <w:sz w:val="16"/>
        </w:rPr>
        <w:t> </w:t>
      </w:r>
      <w:r>
        <w:rPr>
          <w:sz w:val="16"/>
        </w:rPr>
        <w:t>Tower 2,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Signature</w:t>
      </w:r>
      <w:r>
        <w:rPr>
          <w:spacing w:val="-4"/>
          <w:sz w:val="16"/>
        </w:rPr>
        <w:t> </w:t>
      </w:r>
      <w:r>
        <w:rPr>
          <w:sz w:val="16"/>
        </w:rPr>
        <w:t>Tower 3,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The</w:t>
      </w:r>
      <w:r>
        <w:rPr>
          <w:spacing w:val="6"/>
          <w:sz w:val="16"/>
        </w:rPr>
        <w:t> </w:t>
      </w:r>
      <w:r>
        <w:rPr>
          <w:sz w:val="16"/>
        </w:rPr>
        <w:t>Signature</w:t>
      </w:r>
      <w:r>
        <w:rPr>
          <w:spacing w:val="6"/>
          <w:sz w:val="16"/>
        </w:rPr>
        <w:t> </w:t>
      </w:r>
      <w:r>
        <w:rPr>
          <w:sz w:val="16"/>
        </w:rPr>
        <w:t>Condominiums,</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Tower</w:t>
      </w:r>
      <w:r>
        <w:rPr>
          <w:spacing w:val="-4"/>
          <w:sz w:val="16"/>
        </w:rPr>
        <w:t> </w:t>
      </w:r>
      <w:r>
        <w:rPr>
          <w:sz w:val="16"/>
        </w:rPr>
        <w:t>B,</w:t>
      </w:r>
      <w:r>
        <w:rPr>
          <w:spacing w:val="-3"/>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Tower</w:t>
      </w:r>
      <w:r>
        <w:rPr>
          <w:spacing w:val="-4"/>
          <w:sz w:val="16"/>
        </w:rPr>
        <w:t> </w:t>
      </w:r>
      <w:r>
        <w:rPr>
          <w:sz w:val="16"/>
        </w:rPr>
        <w:t>C,</w:t>
      </w:r>
      <w:r>
        <w:rPr>
          <w:spacing w:val="-3"/>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Vdara</w:t>
      </w:r>
      <w:r>
        <w:rPr>
          <w:spacing w:val="4"/>
          <w:sz w:val="16"/>
        </w:rPr>
        <w:t> </w:t>
      </w:r>
      <w:r>
        <w:rPr>
          <w:sz w:val="16"/>
        </w:rPr>
        <w:t>Condo</w:t>
      </w:r>
      <w:r>
        <w:rPr>
          <w:spacing w:val="4"/>
          <w:sz w:val="16"/>
        </w:rPr>
        <w:t> </w:t>
      </w:r>
      <w:r>
        <w:rPr>
          <w:sz w:val="16"/>
        </w:rPr>
        <w:t>Hotel,</w:t>
      </w:r>
      <w:r>
        <w:rPr>
          <w:spacing w:val="4"/>
          <w:sz w:val="16"/>
        </w:rPr>
        <w:t>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pacing w:val="-2"/>
          <w:sz w:val="16"/>
        </w:rPr>
        <w:t>Vendido,</w:t>
      </w:r>
      <w:r>
        <w:rPr>
          <w:spacing w:val="3"/>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pacing w:val="-2"/>
          <w:sz w:val="16"/>
        </w:rPr>
        <w:t>VidiAd</w:t>
      </w:r>
      <w:r>
        <w:rPr>
          <w:sz w:val="16"/>
        </w:rPr>
        <w:tab/>
      </w:r>
      <w:r>
        <w:rPr>
          <w:spacing w:val="-5"/>
          <w:sz w:val="16"/>
        </w:rPr>
        <w:t>(1)</w:t>
      </w:r>
    </w:p>
    <w:p>
      <w:pPr>
        <w:tabs>
          <w:tab w:pos="10236" w:val="left" w:leader="none"/>
        </w:tabs>
        <w:spacing w:before="59"/>
        <w:ind w:left="162" w:right="0" w:firstLine="0"/>
        <w:jc w:val="left"/>
        <w:rPr>
          <w:sz w:val="16"/>
        </w:rPr>
      </w:pPr>
      <w:r>
        <w:rPr>
          <w:sz w:val="16"/>
        </w:rPr>
        <w:t>Vintage</w:t>
      </w:r>
      <w:r>
        <w:rPr>
          <w:spacing w:val="1"/>
          <w:sz w:val="16"/>
        </w:rPr>
        <w:t> </w:t>
      </w:r>
      <w:r>
        <w:rPr>
          <w:sz w:val="16"/>
        </w:rPr>
        <w:t>Land</w:t>
      </w:r>
      <w:r>
        <w:rPr>
          <w:spacing w:val="2"/>
          <w:sz w:val="16"/>
        </w:rPr>
        <w:t> </w:t>
      </w:r>
      <w:r>
        <w:rPr>
          <w:sz w:val="16"/>
        </w:rPr>
        <w:t>Holdings,</w:t>
      </w:r>
      <w:r>
        <w:rPr>
          <w:spacing w:val="1"/>
          <w:sz w:val="16"/>
        </w:rPr>
        <w:t> </w:t>
      </w:r>
      <w:r>
        <w:rPr>
          <w:spacing w:val="-5"/>
          <w:sz w:val="16"/>
        </w:rPr>
        <w:t>LLC</w:t>
      </w:r>
      <w:r>
        <w:rPr>
          <w:sz w:val="16"/>
        </w:rPr>
        <w:tab/>
      </w:r>
      <w:r>
        <w:rPr>
          <w:spacing w:val="-5"/>
          <w:sz w:val="16"/>
        </w:rPr>
        <w:t>(1)</w:t>
      </w:r>
    </w:p>
    <w:p>
      <w:pPr>
        <w:pStyle w:val="BodyText"/>
        <w:spacing w:before="131"/>
        <w:rPr>
          <w:sz w:val="20"/>
        </w:rPr>
      </w:pPr>
      <w:r>
        <w:rPr/>
        <mc:AlternateContent>
          <mc:Choice Requires="wps">
            <w:drawing>
              <wp:anchor distT="0" distB="0" distL="0" distR="0" allowOverlap="1" layoutInCell="1" locked="0" behindDoc="1" simplePos="0" relativeHeight="487820288">
                <wp:simplePos x="0" y="0"/>
                <wp:positionH relativeFrom="page">
                  <wp:posOffset>231457</wp:posOffset>
                </wp:positionH>
                <wp:positionV relativeFrom="paragraph">
                  <wp:posOffset>244996</wp:posOffset>
                </wp:positionV>
                <wp:extent cx="1416685" cy="1270"/>
                <wp:effectExtent l="0" t="0" r="0" b="0"/>
                <wp:wrapTopAndBottom/>
                <wp:docPr id="1158" name="Graphic 1158"/>
                <wp:cNvGraphicFramePr>
                  <a:graphicFrameLocks/>
                </wp:cNvGraphicFramePr>
                <a:graphic>
                  <a:graphicData uri="http://schemas.microsoft.com/office/word/2010/wordprocessingShape">
                    <wps:wsp>
                      <wps:cNvPr id="1158" name="Graphic 1158"/>
                      <wps:cNvSpPr/>
                      <wps:spPr>
                        <a:xfrm>
                          <a:off x="0" y="0"/>
                          <a:ext cx="1416685" cy="1270"/>
                        </a:xfrm>
                        <a:custGeom>
                          <a:avLst/>
                          <a:gdLst/>
                          <a:ahLst/>
                          <a:cxnLst/>
                          <a:rect l="l" t="t" r="r" b="b"/>
                          <a:pathLst>
                            <a:path w="1416685" h="0">
                              <a:moveTo>
                                <a:pt x="0" y="0"/>
                              </a:moveTo>
                              <a:lnTo>
                                <a:pt x="1416430" y="0"/>
                              </a:lnTo>
                            </a:path>
                          </a:pathLst>
                        </a:custGeom>
                        <a:ln w="36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24997pt;margin-top:19.291067pt;width:111.55pt;height:.1pt;mso-position-horizontal-relative:page;mso-position-vertical-relative:paragraph;z-index:-15496192;mso-wrap-distance-left:0;mso-wrap-distance-right:0" id="docshape1156" coordorigin="364,386" coordsize="2231,0" path="m364,386l2595,386e" filled="false" stroked="true" strokeweight=".287820pt" strokecolor="#000000">
                <v:path arrowok="t"/>
                <v:stroke dashstyle="solid"/>
                <w10:wrap type="topAndBottom"/>
              </v:shape>
            </w:pict>
          </mc:Fallback>
        </mc:AlternateContent>
      </w:r>
    </w:p>
    <w:p>
      <w:pPr>
        <w:pStyle w:val="ListParagraph"/>
        <w:numPr>
          <w:ilvl w:val="0"/>
          <w:numId w:val="57"/>
        </w:numPr>
        <w:tabs>
          <w:tab w:pos="656" w:val="left" w:leader="none"/>
        </w:tabs>
        <w:spacing w:line="240" w:lineRule="auto" w:before="62" w:after="0"/>
        <w:ind w:left="656" w:right="0" w:hanging="350"/>
        <w:jc w:val="left"/>
        <w:rPr>
          <w:sz w:val="16"/>
        </w:rPr>
      </w:pPr>
      <w:r>
        <w:rPr>
          <w:sz w:val="16"/>
        </w:rPr>
        <w:t>Guarantor</w:t>
      </w:r>
      <w:r>
        <w:rPr>
          <w:spacing w:val="3"/>
          <w:sz w:val="16"/>
        </w:rPr>
        <w:t> </w:t>
      </w:r>
      <w:r>
        <w:rPr>
          <w:sz w:val="16"/>
        </w:rPr>
        <w:t>of</w:t>
      </w:r>
      <w:r>
        <w:rPr>
          <w:spacing w:val="4"/>
          <w:sz w:val="16"/>
        </w:rPr>
        <w:t> </w:t>
      </w:r>
      <w:r>
        <w:rPr>
          <w:sz w:val="16"/>
        </w:rPr>
        <w:t>the</w:t>
      </w:r>
      <w:r>
        <w:rPr>
          <w:spacing w:val="3"/>
          <w:sz w:val="16"/>
        </w:rPr>
        <w:t> </w:t>
      </w:r>
      <w:r>
        <w:rPr>
          <w:sz w:val="16"/>
        </w:rPr>
        <w:t>MGM</w:t>
      </w:r>
      <w:r>
        <w:rPr>
          <w:spacing w:val="4"/>
          <w:sz w:val="16"/>
        </w:rPr>
        <w:t> </w:t>
      </w:r>
      <w:r>
        <w:rPr>
          <w:sz w:val="16"/>
        </w:rPr>
        <w:t>Notes</w:t>
      </w:r>
      <w:r>
        <w:rPr>
          <w:spacing w:val="3"/>
          <w:sz w:val="16"/>
        </w:rPr>
        <w:t> </w:t>
      </w:r>
      <w:r>
        <w:rPr>
          <w:sz w:val="16"/>
        </w:rPr>
        <w:t>and</w:t>
      </w:r>
      <w:r>
        <w:rPr>
          <w:spacing w:val="4"/>
          <w:sz w:val="16"/>
        </w:rPr>
        <w:t> </w:t>
      </w:r>
      <w:r>
        <w:rPr>
          <w:sz w:val="16"/>
        </w:rPr>
        <w:t>the</w:t>
      </w:r>
      <w:r>
        <w:rPr>
          <w:spacing w:val="3"/>
          <w:sz w:val="16"/>
        </w:rPr>
        <w:t> </w:t>
      </w:r>
      <w:r>
        <w:rPr>
          <w:sz w:val="16"/>
        </w:rPr>
        <w:t>Mandalay</w:t>
      </w:r>
      <w:r>
        <w:rPr>
          <w:spacing w:val="4"/>
          <w:sz w:val="16"/>
        </w:rPr>
        <w:t> </w:t>
      </w:r>
      <w:r>
        <w:rPr>
          <w:spacing w:val="-2"/>
          <w:sz w:val="16"/>
        </w:rPr>
        <w:t>Notes.</w:t>
      </w:r>
    </w:p>
    <w:p>
      <w:pPr>
        <w:pStyle w:val="ListParagraph"/>
        <w:numPr>
          <w:ilvl w:val="0"/>
          <w:numId w:val="57"/>
        </w:numPr>
        <w:tabs>
          <w:tab w:pos="656" w:val="left" w:leader="none"/>
        </w:tabs>
        <w:spacing w:line="240" w:lineRule="auto" w:before="5" w:after="0"/>
        <w:ind w:left="656" w:right="0" w:hanging="350"/>
        <w:jc w:val="left"/>
        <w:rPr>
          <w:sz w:val="16"/>
        </w:rPr>
      </w:pPr>
      <w:r>
        <w:rPr>
          <w:sz w:val="16"/>
        </w:rPr>
        <w:t>Issuer</w:t>
      </w:r>
      <w:r>
        <w:rPr>
          <w:spacing w:val="3"/>
          <w:sz w:val="16"/>
        </w:rPr>
        <w:t> </w:t>
      </w:r>
      <w:r>
        <w:rPr>
          <w:sz w:val="16"/>
        </w:rPr>
        <w:t>of</w:t>
      </w:r>
      <w:r>
        <w:rPr>
          <w:spacing w:val="3"/>
          <w:sz w:val="16"/>
        </w:rPr>
        <w:t> </w:t>
      </w:r>
      <w:r>
        <w:rPr>
          <w:sz w:val="16"/>
        </w:rPr>
        <w:t>the</w:t>
      </w:r>
      <w:r>
        <w:rPr>
          <w:spacing w:val="3"/>
          <w:sz w:val="16"/>
        </w:rPr>
        <w:t> </w:t>
      </w:r>
      <w:r>
        <w:rPr>
          <w:sz w:val="16"/>
        </w:rPr>
        <w:t>Mandalay</w:t>
      </w:r>
      <w:r>
        <w:rPr>
          <w:spacing w:val="4"/>
          <w:sz w:val="16"/>
        </w:rPr>
        <w:t> </w:t>
      </w:r>
      <w:r>
        <w:rPr>
          <w:sz w:val="16"/>
        </w:rPr>
        <w:t>Notes</w:t>
      </w:r>
      <w:r>
        <w:rPr>
          <w:spacing w:val="3"/>
          <w:sz w:val="16"/>
        </w:rPr>
        <w:t> </w:t>
      </w:r>
      <w:r>
        <w:rPr>
          <w:sz w:val="16"/>
        </w:rPr>
        <w:t>and</w:t>
      </w:r>
      <w:r>
        <w:rPr>
          <w:spacing w:val="3"/>
          <w:sz w:val="16"/>
        </w:rPr>
        <w:t> </w:t>
      </w:r>
      <w:r>
        <w:rPr>
          <w:sz w:val="16"/>
        </w:rPr>
        <w:t>guarantor</w:t>
      </w:r>
      <w:r>
        <w:rPr>
          <w:spacing w:val="4"/>
          <w:sz w:val="16"/>
        </w:rPr>
        <w:t> </w:t>
      </w:r>
      <w:r>
        <w:rPr>
          <w:sz w:val="16"/>
        </w:rPr>
        <w:t>of</w:t>
      </w:r>
      <w:r>
        <w:rPr>
          <w:spacing w:val="3"/>
          <w:sz w:val="16"/>
        </w:rPr>
        <w:t> </w:t>
      </w:r>
      <w:r>
        <w:rPr>
          <w:sz w:val="16"/>
        </w:rPr>
        <w:t>the</w:t>
      </w:r>
      <w:r>
        <w:rPr>
          <w:spacing w:val="3"/>
          <w:sz w:val="16"/>
        </w:rPr>
        <w:t> </w:t>
      </w:r>
      <w:r>
        <w:rPr>
          <w:sz w:val="16"/>
        </w:rPr>
        <w:t>MGM</w:t>
      </w:r>
      <w:r>
        <w:rPr>
          <w:spacing w:val="3"/>
          <w:sz w:val="16"/>
        </w:rPr>
        <w:t> </w:t>
      </w:r>
      <w:r>
        <w:rPr>
          <w:spacing w:val="-2"/>
          <w:sz w:val="16"/>
        </w:rPr>
        <w:t>Notes.</w:t>
      </w:r>
    </w:p>
    <w:p>
      <w:pPr>
        <w:pStyle w:val="BodyText"/>
      </w:pPr>
    </w:p>
    <w:p>
      <w:pPr>
        <w:pStyle w:val="BodyText"/>
      </w:pPr>
    </w:p>
    <w:p>
      <w:pPr>
        <w:pStyle w:val="BodyText"/>
      </w:pPr>
    </w:p>
    <w:p>
      <w:pPr>
        <w:pStyle w:val="BodyText"/>
      </w:pPr>
    </w:p>
    <w:p>
      <w:pPr>
        <w:pStyle w:val="BodyText"/>
        <w:spacing w:before="166"/>
      </w:pPr>
    </w:p>
    <w:p>
      <w:pPr>
        <w:pStyle w:val="BodyText"/>
        <w:spacing w:before="1"/>
        <w:ind w:left="24"/>
        <w:jc w:val="center"/>
      </w:pPr>
      <w:r>
        <w:rPr/>
        <w:t>-</w:t>
      </w:r>
      <w:r>
        <w:rPr>
          <w:spacing w:val="-1"/>
        </w:rPr>
        <w:t> </w:t>
      </w:r>
      <w:r>
        <w:rPr/>
        <w:t>3</w:t>
      </w:r>
      <w:r>
        <w:rPr>
          <w:spacing w:val="-1"/>
        </w:rPr>
        <w:t> </w:t>
      </w:r>
      <w:r>
        <w:rPr>
          <w:spacing w:val="-10"/>
        </w:rPr>
        <w:t>-</w:t>
      </w:r>
    </w:p>
    <w:p>
      <w:pPr>
        <w:spacing w:after="0"/>
        <w:jc w:val="center"/>
        <w:sectPr>
          <w:pgSz w:w="12240" w:h="15840"/>
          <w:pgMar w:top="1740" w:bottom="280" w:left="220" w:right="240"/>
        </w:sectPr>
      </w:pPr>
    </w:p>
    <w:p>
      <w:pPr>
        <w:spacing w:before="76"/>
        <w:ind w:left="0" w:right="118" w:firstLine="0"/>
        <w:jc w:val="right"/>
        <w:rPr>
          <w:b/>
          <w:sz w:val="19"/>
        </w:rPr>
      </w:pPr>
      <w:bookmarkStart w:name="_bookmark42" w:id="43"/>
      <w:bookmarkEnd w:id="43"/>
      <w:r>
        <w:rPr/>
      </w:r>
      <w:r>
        <w:rPr>
          <w:b/>
          <w:w w:val="105"/>
          <w:sz w:val="19"/>
        </w:rPr>
        <w:t>Exhibit</w:t>
      </w:r>
      <w:r>
        <w:rPr>
          <w:b/>
          <w:spacing w:val="-8"/>
          <w:w w:val="105"/>
          <w:sz w:val="19"/>
        </w:rPr>
        <w:t> </w:t>
      </w:r>
      <w:r>
        <w:rPr>
          <w:b/>
          <w:spacing w:val="-4"/>
          <w:w w:val="105"/>
          <w:sz w:val="19"/>
        </w:rPr>
        <w:t>23.1</w:t>
      </w:r>
    </w:p>
    <w:p>
      <w:pPr>
        <w:pStyle w:val="BodyText"/>
        <w:rPr>
          <w:b/>
          <w:sz w:val="19"/>
        </w:rPr>
      </w:pPr>
    </w:p>
    <w:p>
      <w:pPr>
        <w:pStyle w:val="BodyText"/>
        <w:rPr>
          <w:b/>
          <w:sz w:val="19"/>
        </w:rPr>
      </w:pPr>
    </w:p>
    <w:p>
      <w:pPr>
        <w:pStyle w:val="BodyText"/>
        <w:rPr>
          <w:b/>
          <w:sz w:val="19"/>
        </w:rPr>
      </w:pPr>
    </w:p>
    <w:p>
      <w:pPr>
        <w:pStyle w:val="BodyText"/>
        <w:spacing w:before="176"/>
        <w:rPr>
          <w:b/>
          <w:sz w:val="19"/>
        </w:rPr>
      </w:pPr>
    </w:p>
    <w:p>
      <w:pPr>
        <w:spacing w:before="0"/>
        <w:ind w:left="144" w:right="0" w:firstLine="0"/>
        <w:jc w:val="both"/>
        <w:rPr>
          <w:b/>
          <w:sz w:val="19"/>
        </w:rPr>
      </w:pPr>
      <w:r>
        <w:rPr>
          <w:b/>
          <w:sz w:val="19"/>
        </w:rPr>
        <w:t>CONSENT</w:t>
      </w:r>
      <w:r>
        <w:rPr>
          <w:b/>
          <w:spacing w:val="37"/>
          <w:sz w:val="19"/>
        </w:rPr>
        <w:t> </w:t>
      </w:r>
      <w:r>
        <w:rPr>
          <w:b/>
          <w:sz w:val="19"/>
        </w:rPr>
        <w:t>OF</w:t>
      </w:r>
      <w:r>
        <w:rPr>
          <w:b/>
          <w:spacing w:val="30"/>
          <w:sz w:val="19"/>
        </w:rPr>
        <w:t> </w:t>
      </w:r>
      <w:r>
        <w:rPr>
          <w:b/>
          <w:sz w:val="19"/>
        </w:rPr>
        <w:t>INDEPENDENT</w:t>
      </w:r>
      <w:r>
        <w:rPr>
          <w:b/>
          <w:spacing w:val="38"/>
          <w:sz w:val="19"/>
        </w:rPr>
        <w:t> </w:t>
      </w:r>
      <w:r>
        <w:rPr>
          <w:b/>
          <w:sz w:val="19"/>
        </w:rPr>
        <w:t>REGISTERED</w:t>
      </w:r>
      <w:r>
        <w:rPr>
          <w:b/>
          <w:spacing w:val="44"/>
          <w:sz w:val="19"/>
        </w:rPr>
        <w:t> </w:t>
      </w:r>
      <w:r>
        <w:rPr>
          <w:b/>
          <w:sz w:val="19"/>
        </w:rPr>
        <w:t>PUBLIC</w:t>
      </w:r>
      <w:r>
        <w:rPr>
          <w:b/>
          <w:spacing w:val="24"/>
          <w:sz w:val="19"/>
        </w:rPr>
        <w:t> </w:t>
      </w:r>
      <w:r>
        <w:rPr>
          <w:b/>
          <w:sz w:val="19"/>
        </w:rPr>
        <w:t>ACCOUNTING</w:t>
      </w:r>
      <w:r>
        <w:rPr>
          <w:b/>
          <w:spacing w:val="43"/>
          <w:sz w:val="19"/>
        </w:rPr>
        <w:t> </w:t>
      </w:r>
      <w:r>
        <w:rPr>
          <w:b/>
          <w:spacing w:val="-4"/>
          <w:sz w:val="19"/>
        </w:rPr>
        <w:t>FIRM</w:t>
      </w:r>
    </w:p>
    <w:p>
      <w:pPr>
        <w:spacing w:line="223" w:lineRule="auto" w:before="199"/>
        <w:ind w:left="144" w:right="118" w:firstLine="0"/>
        <w:jc w:val="both"/>
        <w:rPr>
          <w:sz w:val="19"/>
        </w:rPr>
      </w:pPr>
      <w:r>
        <w:rPr>
          <w:w w:val="105"/>
          <w:sz w:val="19"/>
        </w:rPr>
        <w:t>We</w:t>
      </w:r>
      <w:r>
        <w:rPr>
          <w:w w:val="105"/>
          <w:sz w:val="19"/>
        </w:rPr>
        <w:t> consent</w:t>
      </w:r>
      <w:r>
        <w:rPr>
          <w:w w:val="105"/>
          <w:sz w:val="19"/>
        </w:rPr>
        <w:t> to</w:t>
      </w:r>
      <w:r>
        <w:rPr>
          <w:w w:val="105"/>
          <w:sz w:val="19"/>
        </w:rPr>
        <w:t> the</w:t>
      </w:r>
      <w:r>
        <w:rPr>
          <w:w w:val="105"/>
          <w:sz w:val="19"/>
        </w:rPr>
        <w:t> incorporation</w:t>
      </w:r>
      <w:r>
        <w:rPr>
          <w:w w:val="105"/>
          <w:sz w:val="19"/>
        </w:rPr>
        <w:t> by</w:t>
      </w:r>
      <w:r>
        <w:rPr>
          <w:w w:val="105"/>
          <w:sz w:val="19"/>
        </w:rPr>
        <w:t> reference</w:t>
      </w:r>
      <w:r>
        <w:rPr>
          <w:w w:val="105"/>
          <w:sz w:val="19"/>
        </w:rPr>
        <w:t> in</w:t>
      </w:r>
      <w:r>
        <w:rPr>
          <w:w w:val="105"/>
          <w:sz w:val="19"/>
        </w:rPr>
        <w:t> Registration</w:t>
      </w:r>
      <w:r>
        <w:rPr>
          <w:w w:val="105"/>
          <w:sz w:val="19"/>
        </w:rPr>
        <w:t> Statement</w:t>
      </w:r>
      <w:r>
        <w:rPr>
          <w:w w:val="105"/>
          <w:sz w:val="19"/>
        </w:rPr>
        <w:t> No.</w:t>
      </w:r>
      <w:r>
        <w:rPr>
          <w:w w:val="105"/>
          <w:sz w:val="19"/>
        </w:rPr>
        <w:t> 333-253680</w:t>
      </w:r>
      <w:r>
        <w:rPr>
          <w:w w:val="105"/>
          <w:sz w:val="19"/>
        </w:rPr>
        <w:t> on</w:t>
      </w:r>
      <w:r>
        <w:rPr>
          <w:w w:val="105"/>
          <w:sz w:val="19"/>
        </w:rPr>
        <w:t> Form</w:t>
      </w:r>
      <w:r>
        <w:rPr>
          <w:w w:val="105"/>
          <w:sz w:val="19"/>
        </w:rPr>
        <w:t> S-3</w:t>
      </w:r>
      <w:r>
        <w:rPr>
          <w:w w:val="105"/>
          <w:sz w:val="19"/>
        </w:rPr>
        <w:t> and</w:t>
      </w:r>
      <w:r>
        <w:rPr>
          <w:w w:val="105"/>
          <w:sz w:val="19"/>
        </w:rPr>
        <w:t> Registration</w:t>
      </w:r>
      <w:r>
        <w:rPr>
          <w:w w:val="105"/>
          <w:sz w:val="19"/>
        </w:rPr>
        <w:t> Statement</w:t>
      </w:r>
      <w:r>
        <w:rPr>
          <w:w w:val="105"/>
          <w:sz w:val="19"/>
        </w:rPr>
        <w:t> Nos.</w:t>
      </w:r>
      <w:r>
        <w:rPr>
          <w:w w:val="105"/>
          <w:sz w:val="19"/>
        </w:rPr>
        <w:t> 333- 00187,</w:t>
      </w:r>
      <w:r>
        <w:rPr>
          <w:spacing w:val="22"/>
          <w:w w:val="105"/>
          <w:sz w:val="19"/>
        </w:rPr>
        <w:t> </w:t>
      </w:r>
      <w:r>
        <w:rPr>
          <w:w w:val="105"/>
          <w:sz w:val="19"/>
        </w:rPr>
        <w:t>333-22957,</w:t>
      </w:r>
      <w:r>
        <w:rPr>
          <w:spacing w:val="22"/>
          <w:w w:val="105"/>
          <w:sz w:val="19"/>
        </w:rPr>
        <w:t> </w:t>
      </w:r>
      <w:r>
        <w:rPr>
          <w:w w:val="105"/>
          <w:sz w:val="19"/>
        </w:rPr>
        <w:t>333-42729,</w:t>
      </w:r>
      <w:r>
        <w:rPr>
          <w:spacing w:val="22"/>
          <w:w w:val="105"/>
          <w:sz w:val="19"/>
        </w:rPr>
        <w:t> </w:t>
      </w:r>
      <w:r>
        <w:rPr>
          <w:w w:val="105"/>
          <w:sz w:val="19"/>
        </w:rPr>
        <w:t>333-73155,</w:t>
      </w:r>
      <w:r>
        <w:rPr>
          <w:spacing w:val="22"/>
          <w:w w:val="105"/>
          <w:sz w:val="19"/>
        </w:rPr>
        <w:t> </w:t>
      </w:r>
      <w:r>
        <w:rPr>
          <w:w w:val="105"/>
          <w:sz w:val="19"/>
        </w:rPr>
        <w:t>333-77061,</w:t>
      </w:r>
      <w:r>
        <w:rPr>
          <w:spacing w:val="22"/>
          <w:w w:val="105"/>
          <w:sz w:val="19"/>
        </w:rPr>
        <w:t> </w:t>
      </w:r>
      <w:r>
        <w:rPr>
          <w:w w:val="105"/>
          <w:sz w:val="19"/>
        </w:rPr>
        <w:t>333-50880,</w:t>
      </w:r>
      <w:r>
        <w:rPr>
          <w:spacing w:val="22"/>
          <w:w w:val="105"/>
          <w:sz w:val="19"/>
        </w:rPr>
        <w:t> </w:t>
      </w:r>
      <w:r>
        <w:rPr>
          <w:w w:val="105"/>
          <w:sz w:val="19"/>
        </w:rPr>
        <w:t>333-105964,</w:t>
      </w:r>
      <w:r>
        <w:rPr>
          <w:spacing w:val="22"/>
          <w:w w:val="105"/>
          <w:sz w:val="19"/>
        </w:rPr>
        <w:t> </w:t>
      </w:r>
      <w:r>
        <w:rPr>
          <w:w w:val="105"/>
          <w:sz w:val="19"/>
        </w:rPr>
        <w:t>333-124864,</w:t>
      </w:r>
      <w:r>
        <w:rPr>
          <w:spacing w:val="22"/>
          <w:w w:val="105"/>
          <w:sz w:val="19"/>
        </w:rPr>
        <w:t> </w:t>
      </w:r>
      <w:r>
        <w:rPr>
          <w:w w:val="105"/>
          <w:sz w:val="19"/>
        </w:rPr>
        <w:t>333-160117,</w:t>
      </w:r>
      <w:r>
        <w:rPr>
          <w:spacing w:val="22"/>
          <w:w w:val="105"/>
          <w:sz w:val="19"/>
        </w:rPr>
        <w:t> </w:t>
      </w:r>
      <w:r>
        <w:rPr>
          <w:w w:val="105"/>
          <w:sz w:val="19"/>
        </w:rPr>
        <w:t>333-198011,</w:t>
      </w:r>
      <w:r>
        <w:rPr>
          <w:spacing w:val="22"/>
          <w:w w:val="105"/>
          <w:sz w:val="19"/>
        </w:rPr>
        <w:t> </w:t>
      </w:r>
      <w:r>
        <w:rPr>
          <w:w w:val="105"/>
          <w:sz w:val="19"/>
        </w:rPr>
        <w:t>and</w:t>
      </w:r>
      <w:r>
        <w:rPr>
          <w:spacing w:val="22"/>
          <w:w w:val="105"/>
          <w:sz w:val="19"/>
        </w:rPr>
        <w:t> </w:t>
      </w:r>
      <w:r>
        <w:rPr>
          <w:w w:val="105"/>
          <w:sz w:val="19"/>
        </w:rPr>
        <w:t>333-264680</w:t>
      </w:r>
      <w:r>
        <w:rPr>
          <w:spacing w:val="22"/>
          <w:w w:val="105"/>
          <w:sz w:val="19"/>
        </w:rPr>
        <w:t> </w:t>
      </w:r>
      <w:r>
        <w:rPr>
          <w:spacing w:val="-5"/>
          <w:w w:val="105"/>
          <w:sz w:val="19"/>
        </w:rPr>
        <w:t>on</w:t>
      </w:r>
    </w:p>
    <w:p>
      <w:pPr>
        <w:spacing w:line="216" w:lineRule="auto" w:before="4"/>
        <w:ind w:left="144" w:right="118" w:firstLine="0"/>
        <w:jc w:val="both"/>
        <w:rPr>
          <w:sz w:val="19"/>
        </w:rPr>
      </w:pPr>
      <w:r>
        <w:rPr>
          <w:w w:val="105"/>
          <w:sz w:val="19"/>
        </w:rPr>
        <w:t>Form S-8, of our reports dated February 24, 2023, relating to the financial statements of MGM Resorts International and the effectiveness of MGM</w:t>
      </w:r>
      <w:r>
        <w:rPr>
          <w:w w:val="105"/>
          <w:sz w:val="19"/>
        </w:rPr>
        <w:t> Resorts</w:t>
      </w:r>
      <w:r>
        <w:rPr>
          <w:w w:val="105"/>
          <w:sz w:val="19"/>
        </w:rPr>
        <w:t> International’s</w:t>
      </w:r>
      <w:r>
        <w:rPr>
          <w:w w:val="105"/>
          <w:sz w:val="19"/>
        </w:rPr>
        <w:t> internal</w:t>
      </w:r>
      <w:r>
        <w:rPr>
          <w:w w:val="105"/>
          <w:sz w:val="19"/>
        </w:rPr>
        <w:t> control</w:t>
      </w:r>
      <w:r>
        <w:rPr>
          <w:w w:val="105"/>
          <w:sz w:val="19"/>
        </w:rPr>
        <w:t> over</w:t>
      </w:r>
      <w:r>
        <w:rPr>
          <w:w w:val="105"/>
          <w:sz w:val="19"/>
        </w:rPr>
        <w:t> financial</w:t>
      </w:r>
      <w:r>
        <w:rPr>
          <w:w w:val="105"/>
          <w:sz w:val="19"/>
        </w:rPr>
        <w:t> reporting,</w:t>
      </w:r>
      <w:r>
        <w:rPr>
          <w:w w:val="105"/>
          <w:sz w:val="19"/>
        </w:rPr>
        <w:t> appearing</w:t>
      </w:r>
      <w:r>
        <w:rPr>
          <w:w w:val="105"/>
          <w:sz w:val="19"/>
        </w:rPr>
        <w:t> in</w:t>
      </w:r>
      <w:r>
        <w:rPr>
          <w:w w:val="105"/>
          <w:sz w:val="19"/>
        </w:rPr>
        <w:t> this</w:t>
      </w:r>
      <w:r>
        <w:rPr>
          <w:w w:val="105"/>
          <w:sz w:val="19"/>
        </w:rPr>
        <w:t> Annual</w:t>
      </w:r>
      <w:r>
        <w:rPr>
          <w:w w:val="105"/>
          <w:sz w:val="19"/>
        </w:rPr>
        <w:t> Report</w:t>
      </w:r>
      <w:r>
        <w:rPr>
          <w:w w:val="105"/>
          <w:sz w:val="19"/>
        </w:rPr>
        <w:t> on</w:t>
      </w:r>
      <w:r>
        <w:rPr>
          <w:w w:val="105"/>
          <w:sz w:val="19"/>
        </w:rPr>
        <w:t> Form</w:t>
      </w:r>
      <w:r>
        <w:rPr>
          <w:w w:val="105"/>
          <w:sz w:val="19"/>
        </w:rPr>
        <w:t> 10-K</w:t>
      </w:r>
      <w:r>
        <w:rPr>
          <w:w w:val="105"/>
          <w:sz w:val="19"/>
        </w:rPr>
        <w:t> of</w:t>
      </w:r>
      <w:r>
        <w:rPr>
          <w:w w:val="105"/>
          <w:sz w:val="19"/>
        </w:rPr>
        <w:t> MGM</w:t>
      </w:r>
      <w:r>
        <w:rPr>
          <w:w w:val="105"/>
          <w:sz w:val="19"/>
        </w:rPr>
        <w:t> Resorts International for the year ended December 31, 2022.</w:t>
      </w:r>
    </w:p>
    <w:p>
      <w:pPr>
        <w:spacing w:before="203"/>
        <w:ind w:left="144" w:right="0" w:firstLine="0"/>
        <w:jc w:val="both"/>
        <w:rPr>
          <w:sz w:val="19"/>
        </w:rPr>
      </w:pPr>
      <w:r>
        <w:rPr>
          <w:w w:val="105"/>
          <w:sz w:val="19"/>
        </w:rPr>
        <w:t>/s/</w:t>
      </w:r>
      <w:r>
        <w:rPr>
          <w:spacing w:val="-9"/>
          <w:w w:val="105"/>
          <w:sz w:val="19"/>
        </w:rPr>
        <w:t> </w:t>
      </w:r>
      <w:r>
        <w:rPr>
          <w:w w:val="105"/>
          <w:sz w:val="19"/>
        </w:rPr>
        <w:t>Deloitte</w:t>
      </w:r>
      <w:r>
        <w:rPr>
          <w:spacing w:val="-9"/>
          <w:w w:val="105"/>
          <w:sz w:val="19"/>
        </w:rPr>
        <w:t> </w:t>
      </w:r>
      <w:r>
        <w:rPr>
          <w:w w:val="105"/>
          <w:sz w:val="19"/>
        </w:rPr>
        <w:t>&amp;</w:t>
      </w:r>
      <w:r>
        <w:rPr>
          <w:spacing w:val="-11"/>
          <w:w w:val="105"/>
          <w:sz w:val="19"/>
        </w:rPr>
        <w:t> </w:t>
      </w:r>
      <w:r>
        <w:rPr>
          <w:w w:val="105"/>
          <w:sz w:val="19"/>
        </w:rPr>
        <w:t>Touche</w:t>
      </w:r>
      <w:r>
        <w:rPr>
          <w:spacing w:val="-9"/>
          <w:w w:val="105"/>
          <w:sz w:val="19"/>
        </w:rPr>
        <w:t> </w:t>
      </w:r>
      <w:r>
        <w:rPr>
          <w:spacing w:val="-5"/>
          <w:w w:val="105"/>
          <w:sz w:val="19"/>
        </w:rPr>
        <w:t>LLP</w:t>
      </w:r>
    </w:p>
    <w:p>
      <w:pPr>
        <w:pStyle w:val="BodyText"/>
        <w:spacing w:before="8"/>
        <w:rPr>
          <w:sz w:val="19"/>
        </w:rPr>
      </w:pPr>
    </w:p>
    <w:p>
      <w:pPr>
        <w:spacing w:line="280" w:lineRule="auto" w:before="0"/>
        <w:ind w:left="144" w:right="10121" w:firstLine="0"/>
        <w:jc w:val="left"/>
        <w:rPr>
          <w:sz w:val="19"/>
        </w:rPr>
      </w:pPr>
      <w:r>
        <w:rPr>
          <w:spacing w:val="-2"/>
          <w:w w:val="105"/>
          <w:sz w:val="19"/>
        </w:rPr>
        <w:t>Las</w:t>
      </w:r>
      <w:r>
        <w:rPr>
          <w:spacing w:val="-11"/>
          <w:w w:val="105"/>
          <w:sz w:val="19"/>
        </w:rPr>
        <w:t> </w:t>
      </w:r>
      <w:r>
        <w:rPr>
          <w:spacing w:val="-2"/>
          <w:w w:val="105"/>
          <w:sz w:val="19"/>
        </w:rPr>
        <w:t>Vegas,</w:t>
      </w:r>
      <w:r>
        <w:rPr>
          <w:spacing w:val="-10"/>
          <w:w w:val="105"/>
          <w:sz w:val="19"/>
        </w:rPr>
        <w:t> </w:t>
      </w:r>
      <w:r>
        <w:rPr>
          <w:spacing w:val="-2"/>
          <w:w w:val="105"/>
          <w:sz w:val="19"/>
        </w:rPr>
        <w:t>Nevada </w:t>
      </w:r>
      <w:r>
        <w:rPr>
          <w:w w:val="105"/>
          <w:sz w:val="19"/>
        </w:rPr>
        <w:t>February</w:t>
      </w:r>
      <w:r>
        <w:rPr>
          <w:spacing w:val="-6"/>
          <w:w w:val="105"/>
          <w:sz w:val="19"/>
        </w:rPr>
        <w:t> </w:t>
      </w:r>
      <w:r>
        <w:rPr>
          <w:w w:val="105"/>
          <w:sz w:val="19"/>
        </w:rPr>
        <w:t>24,</w:t>
      </w:r>
      <w:r>
        <w:rPr>
          <w:spacing w:val="-6"/>
          <w:w w:val="105"/>
          <w:sz w:val="19"/>
        </w:rPr>
        <w:t> </w:t>
      </w:r>
      <w:r>
        <w:rPr>
          <w:spacing w:val="-4"/>
          <w:w w:val="105"/>
          <w:sz w:val="19"/>
        </w:rPr>
        <w:t>2023</w:t>
      </w:r>
    </w:p>
    <w:p>
      <w:pPr>
        <w:spacing w:after="0" w:line="280" w:lineRule="auto"/>
        <w:jc w:val="left"/>
        <w:rPr>
          <w:sz w:val="19"/>
        </w:rPr>
        <w:sectPr>
          <w:pgSz w:w="12240" w:h="15840"/>
          <w:pgMar w:top="300" w:bottom="280" w:left="220" w:right="240"/>
        </w:sectPr>
      </w:pPr>
    </w:p>
    <w:p>
      <w:pPr>
        <w:spacing w:before="66"/>
        <w:ind w:left="0" w:right="118" w:firstLine="0"/>
        <w:jc w:val="right"/>
        <w:rPr>
          <w:b/>
          <w:sz w:val="18"/>
        </w:rPr>
      </w:pPr>
      <w:bookmarkStart w:name="_bookmark43" w:id="44"/>
      <w:bookmarkEnd w:id="44"/>
      <w:r>
        <w:rPr/>
      </w:r>
      <w:r>
        <w:rPr>
          <w:b/>
          <w:sz w:val="18"/>
        </w:rPr>
        <w:t>Exhibit</w:t>
      </w:r>
      <w:r>
        <w:rPr>
          <w:b/>
          <w:spacing w:val="-1"/>
          <w:sz w:val="18"/>
        </w:rPr>
        <w:t> </w:t>
      </w:r>
      <w:r>
        <w:rPr>
          <w:b/>
          <w:spacing w:val="-4"/>
          <w:sz w:val="18"/>
        </w:rPr>
        <w:t>31.1</w:t>
      </w:r>
    </w:p>
    <w:p>
      <w:pPr>
        <w:pStyle w:val="BodyText"/>
        <w:spacing w:before="18"/>
        <w:rPr>
          <w:b/>
        </w:rPr>
      </w:pPr>
    </w:p>
    <w:p>
      <w:pPr>
        <w:pStyle w:val="Heading4"/>
        <w:ind w:left="24"/>
        <w:jc w:val="center"/>
      </w:pPr>
      <w:r>
        <w:rPr>
          <w:spacing w:val="-2"/>
        </w:rPr>
        <w:t>CERTIFICATION</w:t>
      </w:r>
    </w:p>
    <w:p>
      <w:pPr>
        <w:pStyle w:val="BodyText"/>
        <w:spacing w:before="18"/>
        <w:rPr>
          <w:b/>
        </w:rPr>
      </w:pPr>
    </w:p>
    <w:p>
      <w:pPr>
        <w:pStyle w:val="BodyText"/>
        <w:ind w:left="144"/>
      </w:pPr>
      <w:r>
        <w:rPr/>
        <w:t>I,</w:t>
      </w:r>
      <w:r>
        <w:rPr>
          <w:spacing w:val="-6"/>
        </w:rPr>
        <w:t> </w:t>
      </w:r>
      <w:r>
        <w:rPr/>
        <w:t>William</w:t>
      </w:r>
      <w:r>
        <w:rPr>
          <w:spacing w:val="-3"/>
        </w:rPr>
        <w:t> </w:t>
      </w:r>
      <w:r>
        <w:rPr/>
        <w:t>J.</w:t>
      </w:r>
      <w:r>
        <w:rPr>
          <w:spacing w:val="-2"/>
        </w:rPr>
        <w:t> </w:t>
      </w:r>
      <w:r>
        <w:rPr/>
        <w:t>Hornbuckle,</w:t>
      </w:r>
      <w:r>
        <w:rPr>
          <w:spacing w:val="-3"/>
        </w:rPr>
        <w:t> </w:t>
      </w:r>
      <w:r>
        <w:rPr/>
        <w:t>certify</w:t>
      </w:r>
      <w:r>
        <w:rPr>
          <w:spacing w:val="-2"/>
        </w:rPr>
        <w:t> that:</w:t>
      </w:r>
    </w:p>
    <w:p>
      <w:pPr>
        <w:pStyle w:val="BodyText"/>
        <w:spacing w:before="18"/>
      </w:pPr>
    </w:p>
    <w:p>
      <w:pPr>
        <w:pStyle w:val="ListParagraph"/>
        <w:numPr>
          <w:ilvl w:val="0"/>
          <w:numId w:val="58"/>
        </w:numPr>
        <w:tabs>
          <w:tab w:pos="458" w:val="left" w:leader="none"/>
        </w:tabs>
        <w:spacing w:line="240" w:lineRule="auto" w:before="0" w:after="0"/>
        <w:ind w:left="458" w:right="0" w:hanging="314"/>
        <w:jc w:val="left"/>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
          <w:sz w:val="18"/>
        </w:rPr>
        <w:t> </w:t>
      </w:r>
      <w:r>
        <w:rPr>
          <w:sz w:val="18"/>
        </w:rPr>
        <w:t>annual</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10-K</w:t>
      </w:r>
      <w:r>
        <w:rPr>
          <w:spacing w:val="-1"/>
          <w:sz w:val="18"/>
        </w:rPr>
        <w:t> </w:t>
      </w:r>
      <w:r>
        <w:rPr>
          <w:sz w:val="18"/>
        </w:rPr>
        <w:t>of</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p>
      <w:pPr>
        <w:pStyle w:val="BodyText"/>
        <w:spacing w:before="18"/>
      </w:pPr>
    </w:p>
    <w:p>
      <w:pPr>
        <w:pStyle w:val="ListParagraph"/>
        <w:numPr>
          <w:ilvl w:val="0"/>
          <w:numId w:val="58"/>
        </w:numPr>
        <w:tabs>
          <w:tab w:pos="458" w:val="left" w:leader="none"/>
          <w:tab w:pos="585" w:val="left" w:leader="none"/>
        </w:tabs>
        <w:spacing w:line="249" w:lineRule="auto" w:before="0" w:after="0"/>
        <w:ind w:left="585" w:right="223" w:hanging="441"/>
        <w:jc w:val="left"/>
        <w:rPr>
          <w:sz w:val="18"/>
        </w:rPr>
      </w:pPr>
      <w:r>
        <w:rPr>
          <w:sz w:val="18"/>
        </w:rPr>
        <w:t>Based on my knowledge, this report does not contain any untrue statement of a material fact or omit to state a material fact necessary to make the statements</w:t>
      </w:r>
      <w:r>
        <w:rPr>
          <w:spacing w:val="-2"/>
          <w:sz w:val="18"/>
        </w:rPr>
        <w:t> </w:t>
      </w:r>
      <w:r>
        <w:rPr>
          <w:sz w:val="18"/>
        </w:rPr>
        <w:t>made,</w:t>
      </w:r>
      <w:r>
        <w:rPr>
          <w:spacing w:val="-2"/>
          <w:sz w:val="18"/>
        </w:rPr>
        <w:t> </w:t>
      </w:r>
      <w:r>
        <w:rPr>
          <w:sz w:val="18"/>
        </w:rPr>
        <w:t>in</w:t>
      </w:r>
      <w:r>
        <w:rPr>
          <w:spacing w:val="-2"/>
          <w:sz w:val="18"/>
        </w:rPr>
        <w:t> </w:t>
      </w:r>
      <w:r>
        <w:rPr>
          <w:sz w:val="18"/>
        </w:rPr>
        <w:t>light</w:t>
      </w:r>
      <w:r>
        <w:rPr>
          <w:spacing w:val="-2"/>
          <w:sz w:val="18"/>
        </w:rPr>
        <w:t> </w:t>
      </w:r>
      <w:r>
        <w:rPr>
          <w:sz w:val="18"/>
        </w:rPr>
        <w:t>of</w:t>
      </w:r>
      <w:r>
        <w:rPr>
          <w:spacing w:val="-2"/>
          <w:sz w:val="18"/>
        </w:rPr>
        <w:t> </w:t>
      </w:r>
      <w:r>
        <w:rPr>
          <w:sz w:val="18"/>
        </w:rPr>
        <w:t>the</w:t>
      </w:r>
      <w:r>
        <w:rPr>
          <w:spacing w:val="-2"/>
          <w:sz w:val="18"/>
        </w:rPr>
        <w:t> </w:t>
      </w:r>
      <w:r>
        <w:rPr>
          <w:sz w:val="18"/>
        </w:rPr>
        <w:t>circumstances</w:t>
      </w:r>
      <w:r>
        <w:rPr>
          <w:spacing w:val="-2"/>
          <w:sz w:val="18"/>
        </w:rPr>
        <w:t> </w:t>
      </w:r>
      <w:r>
        <w:rPr>
          <w:sz w:val="18"/>
        </w:rPr>
        <w:t>under</w:t>
      </w:r>
      <w:r>
        <w:rPr>
          <w:spacing w:val="-2"/>
          <w:sz w:val="18"/>
        </w:rPr>
        <w:t> </w:t>
      </w:r>
      <w:r>
        <w:rPr>
          <w:sz w:val="18"/>
        </w:rPr>
        <w:t>which</w:t>
      </w:r>
      <w:r>
        <w:rPr>
          <w:spacing w:val="-2"/>
          <w:sz w:val="18"/>
        </w:rPr>
        <w:t> </w:t>
      </w:r>
      <w:r>
        <w:rPr>
          <w:sz w:val="18"/>
        </w:rPr>
        <w:t>such</w:t>
      </w:r>
      <w:r>
        <w:rPr>
          <w:spacing w:val="-2"/>
          <w:sz w:val="18"/>
        </w:rPr>
        <w:t> </w:t>
      </w:r>
      <w:r>
        <w:rPr>
          <w:sz w:val="18"/>
        </w:rPr>
        <w:t>statements</w:t>
      </w:r>
      <w:r>
        <w:rPr>
          <w:spacing w:val="-2"/>
          <w:sz w:val="18"/>
        </w:rPr>
        <w:t> </w:t>
      </w:r>
      <w:r>
        <w:rPr>
          <w:sz w:val="18"/>
        </w:rPr>
        <w:t>were</w:t>
      </w:r>
      <w:r>
        <w:rPr>
          <w:spacing w:val="-2"/>
          <w:sz w:val="18"/>
        </w:rPr>
        <w:t> </w:t>
      </w:r>
      <w:r>
        <w:rPr>
          <w:sz w:val="18"/>
        </w:rPr>
        <w:t>made,</w:t>
      </w:r>
      <w:r>
        <w:rPr>
          <w:spacing w:val="-2"/>
          <w:sz w:val="18"/>
        </w:rPr>
        <w:t> </w:t>
      </w:r>
      <w:r>
        <w:rPr>
          <w:sz w:val="18"/>
        </w:rPr>
        <w:t>not</w:t>
      </w:r>
      <w:r>
        <w:rPr>
          <w:spacing w:val="-2"/>
          <w:sz w:val="18"/>
        </w:rPr>
        <w:t> </w:t>
      </w:r>
      <w:r>
        <w:rPr>
          <w:sz w:val="18"/>
        </w:rPr>
        <w:t>misleading</w:t>
      </w:r>
      <w:r>
        <w:rPr>
          <w:spacing w:val="-2"/>
          <w:sz w:val="18"/>
        </w:rPr>
        <w:t> </w:t>
      </w:r>
      <w:r>
        <w:rPr>
          <w:sz w:val="18"/>
        </w:rPr>
        <w:t>with</w:t>
      </w:r>
      <w:r>
        <w:rPr>
          <w:spacing w:val="-2"/>
          <w:sz w:val="18"/>
        </w:rPr>
        <w:t> </w:t>
      </w:r>
      <w:r>
        <w:rPr>
          <w:sz w:val="18"/>
        </w:rPr>
        <w:t>respect</w:t>
      </w:r>
      <w:r>
        <w:rPr>
          <w:spacing w:val="-2"/>
          <w:sz w:val="18"/>
        </w:rPr>
        <w:t> </w:t>
      </w:r>
      <w:r>
        <w:rPr>
          <w:sz w:val="18"/>
        </w:rPr>
        <w:t>to</w:t>
      </w:r>
      <w:r>
        <w:rPr>
          <w:spacing w:val="-2"/>
          <w:sz w:val="18"/>
        </w:rPr>
        <w:t> </w:t>
      </w:r>
      <w:r>
        <w:rPr>
          <w:sz w:val="18"/>
        </w:rPr>
        <w:t>the</w:t>
      </w:r>
      <w:r>
        <w:rPr>
          <w:spacing w:val="-2"/>
          <w:sz w:val="18"/>
        </w:rPr>
        <w:t> </w:t>
      </w:r>
      <w:r>
        <w:rPr>
          <w:sz w:val="18"/>
        </w:rPr>
        <w:t>period</w:t>
      </w:r>
      <w:r>
        <w:rPr>
          <w:spacing w:val="-2"/>
          <w:sz w:val="18"/>
        </w:rPr>
        <w:t> </w:t>
      </w:r>
      <w:r>
        <w:rPr>
          <w:sz w:val="18"/>
        </w:rPr>
        <w:t>covered</w:t>
      </w:r>
      <w:r>
        <w:rPr>
          <w:spacing w:val="-2"/>
          <w:sz w:val="18"/>
        </w:rPr>
        <w:t> </w:t>
      </w:r>
      <w:r>
        <w:rPr>
          <w:sz w:val="18"/>
        </w:rPr>
        <w:t>by</w:t>
      </w:r>
      <w:r>
        <w:rPr>
          <w:spacing w:val="-2"/>
          <w:sz w:val="18"/>
        </w:rPr>
        <w:t> </w:t>
      </w:r>
      <w:r>
        <w:rPr>
          <w:sz w:val="18"/>
        </w:rPr>
        <w:t>this</w:t>
      </w:r>
      <w:r>
        <w:rPr>
          <w:spacing w:val="-2"/>
          <w:sz w:val="18"/>
        </w:rPr>
        <w:t> </w:t>
      </w:r>
      <w:r>
        <w:rPr>
          <w:sz w:val="18"/>
        </w:rPr>
        <w:t>report;</w:t>
      </w:r>
    </w:p>
    <w:p>
      <w:pPr>
        <w:pStyle w:val="BodyText"/>
        <w:spacing w:before="11"/>
      </w:pPr>
    </w:p>
    <w:p>
      <w:pPr>
        <w:pStyle w:val="ListParagraph"/>
        <w:numPr>
          <w:ilvl w:val="0"/>
          <w:numId w:val="58"/>
        </w:numPr>
        <w:tabs>
          <w:tab w:pos="458" w:val="left" w:leader="none"/>
          <w:tab w:pos="585" w:val="left" w:leader="none"/>
        </w:tabs>
        <w:spacing w:line="249" w:lineRule="auto" w:before="0" w:after="0"/>
        <w:ind w:left="585" w:right="140" w:hanging="441"/>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the</w:t>
      </w:r>
      <w:r>
        <w:rPr>
          <w:spacing w:val="-2"/>
          <w:sz w:val="18"/>
        </w:rPr>
        <w:t> </w:t>
      </w:r>
      <w:r>
        <w:rPr>
          <w:sz w:val="18"/>
        </w:rPr>
        <w:t>financial</w:t>
      </w:r>
      <w:r>
        <w:rPr>
          <w:spacing w:val="-2"/>
          <w:sz w:val="18"/>
        </w:rPr>
        <w:t> </w:t>
      </w:r>
      <w:r>
        <w:rPr>
          <w:sz w:val="18"/>
        </w:rPr>
        <w:t>statements,</w:t>
      </w:r>
      <w:r>
        <w:rPr>
          <w:spacing w:val="-2"/>
          <w:sz w:val="18"/>
        </w:rPr>
        <w:t> </w:t>
      </w:r>
      <w:r>
        <w:rPr>
          <w:sz w:val="18"/>
        </w:rPr>
        <w:t>and</w:t>
      </w:r>
      <w:r>
        <w:rPr>
          <w:spacing w:val="-2"/>
          <w:sz w:val="18"/>
        </w:rPr>
        <w:t> </w:t>
      </w:r>
      <w:r>
        <w:rPr>
          <w:sz w:val="18"/>
        </w:rPr>
        <w:t>other</w:t>
      </w:r>
      <w:r>
        <w:rPr>
          <w:spacing w:val="-2"/>
          <w:sz w:val="18"/>
        </w:rPr>
        <w:t> </w:t>
      </w:r>
      <w:r>
        <w:rPr>
          <w:sz w:val="18"/>
        </w:rPr>
        <w:t>financial</w:t>
      </w:r>
      <w:r>
        <w:rPr>
          <w:spacing w:val="-2"/>
          <w:sz w:val="18"/>
        </w:rPr>
        <w:t> </w:t>
      </w:r>
      <w:r>
        <w:rPr>
          <w:sz w:val="18"/>
        </w:rPr>
        <w:t>information</w:t>
      </w:r>
      <w:r>
        <w:rPr>
          <w:spacing w:val="-2"/>
          <w:sz w:val="18"/>
        </w:rPr>
        <w:t> </w:t>
      </w:r>
      <w:r>
        <w:rPr>
          <w:sz w:val="18"/>
        </w:rPr>
        <w:t>included</w:t>
      </w:r>
      <w:r>
        <w:rPr>
          <w:spacing w:val="-2"/>
          <w:sz w:val="18"/>
        </w:rPr>
        <w:t> </w:t>
      </w:r>
      <w:r>
        <w:rPr>
          <w:sz w:val="18"/>
        </w:rPr>
        <w:t>in</w:t>
      </w:r>
      <w:r>
        <w:rPr>
          <w:spacing w:val="-2"/>
          <w:sz w:val="18"/>
        </w:rPr>
        <w:t> </w:t>
      </w:r>
      <w:r>
        <w:rPr>
          <w:sz w:val="18"/>
        </w:rPr>
        <w:t>this</w:t>
      </w:r>
      <w:r>
        <w:rPr>
          <w:spacing w:val="-2"/>
          <w:sz w:val="18"/>
        </w:rPr>
        <w:t> </w:t>
      </w:r>
      <w:r>
        <w:rPr>
          <w:sz w:val="18"/>
        </w:rPr>
        <w:t>report,</w:t>
      </w:r>
      <w:r>
        <w:rPr>
          <w:spacing w:val="-2"/>
          <w:sz w:val="18"/>
        </w:rPr>
        <w:t> </w:t>
      </w:r>
      <w:r>
        <w:rPr>
          <w:sz w:val="18"/>
        </w:rPr>
        <w:t>fairly</w:t>
      </w:r>
      <w:r>
        <w:rPr>
          <w:spacing w:val="-2"/>
          <w:sz w:val="18"/>
        </w:rPr>
        <w:t> </w:t>
      </w:r>
      <w:r>
        <w:rPr>
          <w:sz w:val="18"/>
        </w:rPr>
        <w:t>present</w:t>
      </w:r>
      <w:r>
        <w:rPr>
          <w:spacing w:val="-2"/>
          <w:sz w:val="18"/>
        </w:rPr>
        <w:t> </w:t>
      </w:r>
      <w:r>
        <w:rPr>
          <w:sz w:val="18"/>
        </w:rPr>
        <w:t>in</w:t>
      </w:r>
      <w:r>
        <w:rPr>
          <w:spacing w:val="-2"/>
          <w:sz w:val="18"/>
        </w:rPr>
        <w:t> </w:t>
      </w:r>
      <w:r>
        <w:rPr>
          <w:sz w:val="18"/>
        </w:rPr>
        <w:t>all</w:t>
      </w:r>
      <w:r>
        <w:rPr>
          <w:spacing w:val="-2"/>
          <w:sz w:val="18"/>
        </w:rPr>
        <w:t> </w:t>
      </w:r>
      <w:r>
        <w:rPr>
          <w:sz w:val="18"/>
        </w:rPr>
        <w:t>material</w:t>
      </w:r>
      <w:r>
        <w:rPr>
          <w:spacing w:val="-2"/>
          <w:sz w:val="18"/>
        </w:rPr>
        <w:t> </w:t>
      </w:r>
      <w:r>
        <w:rPr>
          <w:sz w:val="18"/>
        </w:rPr>
        <w:t>respects</w:t>
      </w:r>
      <w:r>
        <w:rPr>
          <w:spacing w:val="-2"/>
          <w:sz w:val="18"/>
        </w:rPr>
        <w:t> </w:t>
      </w:r>
      <w:r>
        <w:rPr>
          <w:sz w:val="18"/>
        </w:rPr>
        <w:t>the</w:t>
      </w:r>
      <w:r>
        <w:rPr>
          <w:spacing w:val="-2"/>
          <w:sz w:val="18"/>
        </w:rPr>
        <w:t> </w:t>
      </w:r>
      <w:r>
        <w:rPr>
          <w:sz w:val="18"/>
        </w:rPr>
        <w:t>financial condition, results of operations and cash flows of the registrant as of, and for, the periods presented in this report;</w:t>
      </w:r>
    </w:p>
    <w:p>
      <w:pPr>
        <w:pStyle w:val="BodyText"/>
        <w:spacing w:before="10"/>
      </w:pPr>
    </w:p>
    <w:p>
      <w:pPr>
        <w:pStyle w:val="ListParagraph"/>
        <w:numPr>
          <w:ilvl w:val="0"/>
          <w:numId w:val="58"/>
        </w:numPr>
        <w:tabs>
          <w:tab w:pos="455" w:val="left" w:leader="none"/>
          <w:tab w:pos="585" w:val="left" w:leader="none"/>
        </w:tabs>
        <w:spacing w:line="249" w:lineRule="auto" w:before="0" w:after="0"/>
        <w:ind w:left="585" w:right="291" w:hanging="441"/>
        <w:jc w:val="left"/>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are</w:t>
      </w:r>
      <w:r>
        <w:rPr>
          <w:spacing w:val="-3"/>
          <w:sz w:val="18"/>
        </w:rPr>
        <w:t> </w:t>
      </w:r>
      <w:r>
        <w:rPr>
          <w:sz w:val="18"/>
        </w:rPr>
        <w:t>responsible</w:t>
      </w:r>
      <w:r>
        <w:rPr>
          <w:spacing w:val="-3"/>
          <w:sz w:val="18"/>
        </w:rPr>
        <w:t> </w:t>
      </w:r>
      <w:r>
        <w:rPr>
          <w:sz w:val="18"/>
        </w:rPr>
        <w:t>for</w:t>
      </w:r>
      <w:r>
        <w:rPr>
          <w:spacing w:val="-3"/>
          <w:sz w:val="18"/>
        </w:rPr>
        <w:t> </w:t>
      </w:r>
      <w:r>
        <w:rPr>
          <w:sz w:val="18"/>
        </w:rPr>
        <w:t>establishing</w:t>
      </w:r>
      <w:r>
        <w:rPr>
          <w:spacing w:val="-3"/>
          <w:sz w:val="18"/>
        </w:rPr>
        <w:t> </w:t>
      </w:r>
      <w:r>
        <w:rPr>
          <w:sz w:val="18"/>
        </w:rPr>
        <w:t>and</w:t>
      </w:r>
      <w:r>
        <w:rPr>
          <w:spacing w:val="-3"/>
          <w:sz w:val="18"/>
        </w:rPr>
        <w:t> </w:t>
      </w:r>
      <w:r>
        <w:rPr>
          <w:sz w:val="18"/>
        </w:rPr>
        <w:t>maintaining</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(as</w:t>
      </w:r>
      <w:r>
        <w:rPr>
          <w:spacing w:val="-3"/>
          <w:sz w:val="18"/>
        </w:rPr>
        <w:t> </w:t>
      </w:r>
      <w:r>
        <w:rPr>
          <w:sz w:val="18"/>
        </w:rPr>
        <w:t>defined</w:t>
      </w:r>
      <w:r>
        <w:rPr>
          <w:spacing w:val="-3"/>
          <w:sz w:val="18"/>
        </w:rPr>
        <w:t> </w:t>
      </w:r>
      <w:r>
        <w:rPr>
          <w:sz w:val="18"/>
        </w:rPr>
        <w:t>in</w:t>
      </w:r>
      <w:r>
        <w:rPr>
          <w:spacing w:val="-3"/>
          <w:sz w:val="18"/>
        </w:rPr>
        <w:t> </w:t>
      </w:r>
      <w:r>
        <w:rPr>
          <w:sz w:val="18"/>
        </w:rPr>
        <w:t>Exchange Act Rules 13a-15(e) and 15d-15(e)) and internal control over financial reporting (as defined in Exchange</w:t>
      </w:r>
      <w:r>
        <w:rPr>
          <w:spacing w:val="-4"/>
          <w:sz w:val="18"/>
        </w:rPr>
        <w:t> </w:t>
      </w:r>
      <w:r>
        <w:rPr>
          <w:sz w:val="18"/>
        </w:rPr>
        <w:t>Act Rules 13a-15(f) and 15d-15(f)) for the registrant and have:</w:t>
      </w:r>
    </w:p>
    <w:p>
      <w:pPr>
        <w:pStyle w:val="BodyText"/>
        <w:spacing w:before="11"/>
      </w:pPr>
    </w:p>
    <w:p>
      <w:pPr>
        <w:pStyle w:val="ListParagraph"/>
        <w:numPr>
          <w:ilvl w:val="1"/>
          <w:numId w:val="58"/>
        </w:numPr>
        <w:tabs>
          <w:tab w:pos="903" w:val="left" w:leader="none"/>
          <w:tab w:pos="1026" w:val="left" w:leader="none"/>
        </w:tabs>
        <w:spacing w:line="249" w:lineRule="auto" w:before="0" w:after="0"/>
        <w:ind w:left="1026" w:right="188" w:hanging="441"/>
        <w:jc w:val="left"/>
        <w:rPr>
          <w:sz w:val="18"/>
        </w:rPr>
      </w:pPr>
      <w:r>
        <w:rPr>
          <w:sz w:val="18"/>
        </w:rPr>
        <w:t>designed</w:t>
      </w:r>
      <w:r>
        <w:rPr>
          <w:spacing w:val="-2"/>
          <w:sz w:val="18"/>
        </w:rPr>
        <w:t> </w:t>
      </w:r>
      <w:r>
        <w:rPr>
          <w:sz w:val="18"/>
        </w:rPr>
        <w:t>such</w:t>
      </w:r>
      <w:r>
        <w:rPr>
          <w:spacing w:val="-2"/>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w:t>
      </w:r>
      <w:r>
        <w:rPr>
          <w:spacing w:val="-2"/>
          <w:sz w:val="18"/>
        </w:rPr>
        <w:t> </w:t>
      </w:r>
      <w:r>
        <w:rPr>
          <w:sz w:val="18"/>
        </w:rPr>
        <w:t>supervision,</w:t>
      </w:r>
      <w:r>
        <w:rPr>
          <w:spacing w:val="-2"/>
          <w:sz w:val="18"/>
        </w:rPr>
        <w:t> </w:t>
      </w:r>
      <w:r>
        <w:rPr>
          <w:sz w:val="18"/>
        </w:rPr>
        <w:t>to</w:t>
      </w:r>
      <w:r>
        <w:rPr>
          <w:spacing w:val="-2"/>
          <w:sz w:val="18"/>
        </w:rPr>
        <w:t> </w:t>
      </w:r>
      <w:r>
        <w:rPr>
          <w:sz w:val="18"/>
        </w:rPr>
        <w:t>ensure that material information relating to the registrant, including its consolidated subsidiaries, is made known to us by others within those entities, particularly during the period in which this report is being prepared;</w:t>
      </w:r>
    </w:p>
    <w:p>
      <w:pPr>
        <w:pStyle w:val="BodyText"/>
        <w:spacing w:before="12"/>
      </w:pPr>
    </w:p>
    <w:p>
      <w:pPr>
        <w:pStyle w:val="ListParagraph"/>
        <w:numPr>
          <w:ilvl w:val="1"/>
          <w:numId w:val="58"/>
        </w:numPr>
        <w:tabs>
          <w:tab w:pos="913" w:val="left" w:leader="none"/>
          <w:tab w:pos="1026" w:val="left" w:leader="none"/>
        </w:tabs>
        <w:spacing w:line="249" w:lineRule="auto" w:before="0" w:after="0"/>
        <w:ind w:left="1026" w:right="168" w:hanging="441"/>
        <w:jc w:val="left"/>
        <w:rPr>
          <w:sz w:val="18"/>
        </w:rPr>
      </w:pPr>
      <w:r>
        <w:rPr>
          <w:sz w:val="18"/>
        </w:rPr>
        <w:t>designed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w:t>
      </w:r>
      <w:r>
        <w:rPr>
          <w:spacing w:val="-2"/>
          <w:sz w:val="18"/>
        </w:rPr>
        <w:t> </w:t>
      </w:r>
      <w:r>
        <w:rPr>
          <w:sz w:val="18"/>
        </w:rPr>
        <w:t>supervision, to provide reasonable assurance regarding the reliability of financial reporting and the preparation of financial statements for external purposes in accordance with generally accepted accounting principles;</w:t>
      </w:r>
    </w:p>
    <w:p>
      <w:pPr>
        <w:pStyle w:val="BodyText"/>
        <w:spacing w:before="11"/>
      </w:pPr>
    </w:p>
    <w:p>
      <w:pPr>
        <w:pStyle w:val="ListParagraph"/>
        <w:numPr>
          <w:ilvl w:val="1"/>
          <w:numId w:val="58"/>
        </w:numPr>
        <w:tabs>
          <w:tab w:pos="903" w:val="left" w:leader="none"/>
          <w:tab w:pos="1026" w:val="left" w:leader="none"/>
        </w:tabs>
        <w:spacing w:line="249" w:lineRule="auto" w:before="0" w:after="0"/>
        <w:ind w:left="1026" w:right="220" w:hanging="441"/>
        <w:jc w:val="left"/>
        <w:rPr>
          <w:sz w:val="18"/>
        </w:rPr>
      </w:pPr>
      <w:r>
        <w:rPr>
          <w:sz w:val="18"/>
        </w:rPr>
        <w:t>evaluated</w:t>
      </w:r>
      <w:r>
        <w:rPr>
          <w:spacing w:val="-3"/>
          <w:sz w:val="18"/>
        </w:rPr>
        <w:t> </w:t>
      </w:r>
      <w:r>
        <w:rPr>
          <w:sz w:val="18"/>
        </w:rPr>
        <w:t>the</w:t>
      </w:r>
      <w:r>
        <w:rPr>
          <w:spacing w:val="-3"/>
          <w:sz w:val="18"/>
        </w:rPr>
        <w:t> </w:t>
      </w:r>
      <w:r>
        <w:rPr>
          <w:sz w:val="18"/>
        </w:rPr>
        <w:t>effectiveness</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and</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our</w:t>
      </w:r>
      <w:r>
        <w:rPr>
          <w:spacing w:val="-3"/>
          <w:sz w:val="18"/>
        </w:rPr>
        <w:t> </w:t>
      </w:r>
      <w:r>
        <w:rPr>
          <w:sz w:val="18"/>
        </w:rPr>
        <w:t>conclusions</w:t>
      </w:r>
      <w:r>
        <w:rPr>
          <w:spacing w:val="-3"/>
          <w:sz w:val="18"/>
        </w:rPr>
        <w:t> </w:t>
      </w:r>
      <w:r>
        <w:rPr>
          <w:sz w:val="18"/>
        </w:rPr>
        <w:t>about</w:t>
      </w:r>
      <w:r>
        <w:rPr>
          <w:spacing w:val="-3"/>
          <w:sz w:val="18"/>
        </w:rPr>
        <w:t> </w:t>
      </w:r>
      <w:r>
        <w:rPr>
          <w:sz w:val="18"/>
        </w:rPr>
        <w:t>the</w:t>
      </w:r>
      <w:r>
        <w:rPr>
          <w:spacing w:val="-3"/>
          <w:sz w:val="18"/>
        </w:rPr>
        <w:t> </w:t>
      </w:r>
      <w:r>
        <w:rPr>
          <w:sz w:val="18"/>
        </w:rPr>
        <w:t>effectiveness of the disclosure controls and procedures, as of the end of the period covered by this report based on such evaluation; and</w:t>
      </w:r>
    </w:p>
    <w:p>
      <w:pPr>
        <w:pStyle w:val="BodyText"/>
        <w:spacing w:before="10"/>
      </w:pPr>
    </w:p>
    <w:p>
      <w:pPr>
        <w:pStyle w:val="ListParagraph"/>
        <w:numPr>
          <w:ilvl w:val="1"/>
          <w:numId w:val="58"/>
        </w:numPr>
        <w:tabs>
          <w:tab w:pos="913" w:val="left" w:leader="none"/>
          <w:tab w:pos="1026" w:val="left" w:leader="none"/>
        </w:tabs>
        <w:spacing w:line="249" w:lineRule="auto" w:before="0" w:after="0"/>
        <w:ind w:left="1026" w:right="190" w:hanging="441"/>
        <w:jc w:val="left"/>
        <w:rPr>
          <w:sz w:val="18"/>
        </w:rPr>
      </w:pPr>
      <w:r>
        <w:rPr>
          <w:sz w:val="18"/>
        </w:rPr>
        <w:t>disclosed in this report any change in the registrant’s internal control over financial reporting that occurred during the registrant’s most recent fiscal quarter</w:t>
      </w:r>
      <w:r>
        <w:rPr>
          <w:spacing w:val="-3"/>
          <w:sz w:val="18"/>
        </w:rPr>
        <w:t> </w:t>
      </w:r>
      <w:r>
        <w:rPr>
          <w:sz w:val="18"/>
        </w:rPr>
        <w:t>(the</w:t>
      </w:r>
      <w:r>
        <w:rPr>
          <w:spacing w:val="-3"/>
          <w:sz w:val="18"/>
        </w:rPr>
        <w:t> </w:t>
      </w:r>
      <w:r>
        <w:rPr>
          <w:sz w:val="18"/>
        </w:rPr>
        <w:t>registrant’s</w:t>
      </w:r>
      <w:r>
        <w:rPr>
          <w:spacing w:val="-3"/>
          <w:sz w:val="18"/>
        </w:rPr>
        <w:t> </w:t>
      </w:r>
      <w:r>
        <w:rPr>
          <w:sz w:val="18"/>
        </w:rPr>
        <w:t>fourth</w:t>
      </w:r>
      <w:r>
        <w:rPr>
          <w:spacing w:val="-3"/>
          <w:sz w:val="18"/>
        </w:rPr>
        <w:t> </w:t>
      </w:r>
      <w:r>
        <w:rPr>
          <w:sz w:val="18"/>
        </w:rPr>
        <w:t>fiscal</w:t>
      </w:r>
      <w:r>
        <w:rPr>
          <w:spacing w:val="-3"/>
          <w:sz w:val="18"/>
        </w:rPr>
        <w:t> </w:t>
      </w:r>
      <w:r>
        <w:rPr>
          <w:sz w:val="18"/>
        </w:rPr>
        <w:t>quarter</w:t>
      </w:r>
      <w:r>
        <w:rPr>
          <w:spacing w:val="-3"/>
          <w:sz w:val="18"/>
        </w:rPr>
        <w:t> </w:t>
      </w:r>
      <w:r>
        <w:rPr>
          <w:sz w:val="18"/>
        </w:rPr>
        <w:t>in</w:t>
      </w:r>
      <w:r>
        <w:rPr>
          <w:spacing w:val="-3"/>
          <w:sz w:val="18"/>
        </w:rPr>
        <w:t> </w:t>
      </w:r>
      <w:r>
        <w:rPr>
          <w:sz w:val="18"/>
        </w:rPr>
        <w:t>the</w:t>
      </w:r>
      <w:r>
        <w:rPr>
          <w:spacing w:val="-3"/>
          <w:sz w:val="18"/>
        </w:rPr>
        <w:t> </w:t>
      </w:r>
      <w:r>
        <w:rPr>
          <w:sz w:val="18"/>
        </w:rPr>
        <w:t>case</w:t>
      </w:r>
      <w:r>
        <w:rPr>
          <w:spacing w:val="-3"/>
          <w:sz w:val="18"/>
        </w:rPr>
        <w:t> </w:t>
      </w:r>
      <w:r>
        <w:rPr>
          <w:sz w:val="18"/>
        </w:rPr>
        <w:t>of</w:t>
      </w:r>
      <w:r>
        <w:rPr>
          <w:spacing w:val="-3"/>
          <w:sz w:val="18"/>
        </w:rPr>
        <w:t> </w:t>
      </w:r>
      <w:r>
        <w:rPr>
          <w:sz w:val="18"/>
        </w:rPr>
        <w:t>an</w:t>
      </w:r>
      <w:r>
        <w:rPr>
          <w:spacing w:val="-3"/>
          <w:sz w:val="18"/>
        </w:rPr>
        <w:t> </w:t>
      </w:r>
      <w:r>
        <w:rPr>
          <w:sz w:val="18"/>
        </w:rPr>
        <w:t>annual</w:t>
      </w:r>
      <w:r>
        <w:rPr>
          <w:spacing w:val="-3"/>
          <w:sz w:val="18"/>
        </w:rPr>
        <w:t> </w:t>
      </w:r>
      <w:r>
        <w:rPr>
          <w:sz w:val="18"/>
        </w:rPr>
        <w:t>report)</w:t>
      </w:r>
      <w:r>
        <w:rPr>
          <w:spacing w:val="-3"/>
          <w:sz w:val="18"/>
        </w:rPr>
        <w:t> </w:t>
      </w:r>
      <w:r>
        <w:rPr>
          <w:sz w:val="18"/>
        </w:rPr>
        <w:t>that</w:t>
      </w:r>
      <w:r>
        <w:rPr>
          <w:spacing w:val="-3"/>
          <w:sz w:val="18"/>
        </w:rPr>
        <w:t> </w:t>
      </w:r>
      <w:r>
        <w:rPr>
          <w:sz w:val="18"/>
        </w:rPr>
        <w:t>has</w:t>
      </w:r>
      <w:r>
        <w:rPr>
          <w:spacing w:val="-3"/>
          <w:sz w:val="18"/>
        </w:rPr>
        <w:t> </w:t>
      </w:r>
      <w:r>
        <w:rPr>
          <w:sz w:val="18"/>
        </w:rPr>
        <w:t>materially</w:t>
      </w:r>
      <w:r>
        <w:rPr>
          <w:spacing w:val="-3"/>
          <w:sz w:val="18"/>
        </w:rPr>
        <w:t> </w:t>
      </w:r>
      <w:r>
        <w:rPr>
          <w:sz w:val="18"/>
        </w:rPr>
        <w:t>affected,</w:t>
      </w:r>
      <w:r>
        <w:rPr>
          <w:spacing w:val="-3"/>
          <w:sz w:val="18"/>
        </w:rPr>
        <w:t> </w:t>
      </w:r>
      <w:r>
        <w:rPr>
          <w:sz w:val="18"/>
        </w:rPr>
        <w:t>or</w:t>
      </w:r>
      <w:r>
        <w:rPr>
          <w:spacing w:val="-3"/>
          <w:sz w:val="18"/>
        </w:rPr>
        <w:t> </w:t>
      </w:r>
      <w:r>
        <w:rPr>
          <w:sz w:val="18"/>
        </w:rPr>
        <w:t>is</w:t>
      </w:r>
      <w:r>
        <w:rPr>
          <w:spacing w:val="-3"/>
          <w:sz w:val="18"/>
        </w:rPr>
        <w:t> </w:t>
      </w:r>
      <w:r>
        <w:rPr>
          <w:sz w:val="18"/>
        </w:rPr>
        <w:t>reasonably</w:t>
      </w:r>
      <w:r>
        <w:rPr>
          <w:spacing w:val="-3"/>
          <w:sz w:val="18"/>
        </w:rPr>
        <w:t> </w:t>
      </w:r>
      <w:r>
        <w:rPr>
          <w:sz w:val="18"/>
        </w:rPr>
        <w:t>likely</w:t>
      </w:r>
      <w:r>
        <w:rPr>
          <w:spacing w:val="-3"/>
          <w:sz w:val="18"/>
        </w:rPr>
        <w:t> </w:t>
      </w:r>
      <w:r>
        <w:rPr>
          <w:sz w:val="18"/>
        </w:rPr>
        <w:t>to</w:t>
      </w:r>
      <w:r>
        <w:rPr>
          <w:spacing w:val="-3"/>
          <w:sz w:val="18"/>
        </w:rPr>
        <w:t> </w:t>
      </w:r>
      <w:r>
        <w:rPr>
          <w:sz w:val="18"/>
        </w:rPr>
        <w:t>materially</w:t>
      </w:r>
      <w:r>
        <w:rPr>
          <w:spacing w:val="-3"/>
          <w:sz w:val="18"/>
        </w:rPr>
        <w:t> </w:t>
      </w:r>
      <w:r>
        <w:rPr>
          <w:sz w:val="18"/>
        </w:rPr>
        <w:t>affect, the registrant’s internal control over financial reporting; and</w:t>
      </w:r>
    </w:p>
    <w:p>
      <w:pPr>
        <w:pStyle w:val="BodyText"/>
        <w:spacing w:before="11"/>
      </w:pPr>
    </w:p>
    <w:p>
      <w:pPr>
        <w:pStyle w:val="ListParagraph"/>
        <w:numPr>
          <w:ilvl w:val="0"/>
          <w:numId w:val="58"/>
        </w:numPr>
        <w:tabs>
          <w:tab w:pos="455" w:val="left" w:leader="none"/>
          <w:tab w:pos="585" w:val="left" w:leader="none"/>
        </w:tabs>
        <w:spacing w:line="249" w:lineRule="auto" w:before="1" w:after="0"/>
        <w:ind w:left="585" w:right="741" w:hanging="441"/>
        <w:jc w:val="left"/>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have</w:t>
      </w:r>
      <w:r>
        <w:rPr>
          <w:spacing w:val="-3"/>
          <w:sz w:val="18"/>
        </w:rPr>
        <w:t> </w:t>
      </w:r>
      <w:r>
        <w:rPr>
          <w:sz w:val="18"/>
        </w:rPr>
        <w:t>disclosed,</w:t>
      </w:r>
      <w:r>
        <w:rPr>
          <w:spacing w:val="-3"/>
          <w:sz w:val="18"/>
        </w:rPr>
        <w:t> </w:t>
      </w:r>
      <w:r>
        <w:rPr>
          <w:sz w:val="18"/>
        </w:rPr>
        <w:t>based</w:t>
      </w:r>
      <w:r>
        <w:rPr>
          <w:spacing w:val="-3"/>
          <w:sz w:val="18"/>
        </w:rPr>
        <w:t> </w:t>
      </w:r>
      <w:r>
        <w:rPr>
          <w:sz w:val="18"/>
        </w:rPr>
        <w:t>on</w:t>
      </w:r>
      <w:r>
        <w:rPr>
          <w:spacing w:val="-3"/>
          <w:sz w:val="18"/>
        </w:rPr>
        <w:t> </w:t>
      </w:r>
      <w:r>
        <w:rPr>
          <w:sz w:val="18"/>
        </w:rPr>
        <w:t>our</w:t>
      </w:r>
      <w:r>
        <w:rPr>
          <w:spacing w:val="-3"/>
          <w:sz w:val="18"/>
        </w:rPr>
        <w:t> </w:t>
      </w:r>
      <w:r>
        <w:rPr>
          <w:sz w:val="18"/>
        </w:rPr>
        <w:t>most</w:t>
      </w:r>
      <w:r>
        <w:rPr>
          <w:spacing w:val="-3"/>
          <w:sz w:val="18"/>
        </w:rPr>
        <w:t> </w:t>
      </w:r>
      <w:r>
        <w:rPr>
          <w:sz w:val="18"/>
        </w:rPr>
        <w:t>recent</w:t>
      </w:r>
      <w:r>
        <w:rPr>
          <w:spacing w:val="-3"/>
          <w:sz w:val="18"/>
        </w:rPr>
        <w:t> </w:t>
      </w:r>
      <w:r>
        <w:rPr>
          <w:sz w:val="18"/>
        </w:rPr>
        <w:t>evaluation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to</w:t>
      </w:r>
      <w:r>
        <w:rPr>
          <w:spacing w:val="-3"/>
          <w:sz w:val="18"/>
        </w:rPr>
        <w:t> </w:t>
      </w:r>
      <w:r>
        <w:rPr>
          <w:sz w:val="18"/>
        </w:rPr>
        <w:t>the registrant’s auditors and the audit committee of registrant’s board of directors (or persons performing the equivalent functions):</w:t>
      </w:r>
    </w:p>
    <w:p>
      <w:pPr>
        <w:pStyle w:val="BodyText"/>
        <w:spacing w:before="10"/>
      </w:pPr>
    </w:p>
    <w:p>
      <w:pPr>
        <w:pStyle w:val="ListParagraph"/>
        <w:numPr>
          <w:ilvl w:val="1"/>
          <w:numId w:val="58"/>
        </w:numPr>
        <w:tabs>
          <w:tab w:pos="903" w:val="left" w:leader="none"/>
          <w:tab w:pos="1026" w:val="left" w:leader="none"/>
        </w:tabs>
        <w:spacing w:line="249" w:lineRule="auto" w:before="0" w:after="0"/>
        <w:ind w:left="1026" w:right="159" w:hanging="441"/>
        <w:jc w:val="left"/>
        <w:rPr>
          <w:sz w:val="18"/>
        </w:rPr>
      </w:pPr>
      <w:r>
        <w:rPr>
          <w:sz w:val="18"/>
        </w:rPr>
        <w:t>all</w:t>
      </w:r>
      <w:r>
        <w:rPr>
          <w:spacing w:val="-2"/>
          <w:sz w:val="18"/>
        </w:rPr>
        <w:t> </w:t>
      </w:r>
      <w:r>
        <w:rPr>
          <w:sz w:val="18"/>
        </w:rPr>
        <w:t>significant</w:t>
      </w:r>
      <w:r>
        <w:rPr>
          <w:spacing w:val="-2"/>
          <w:sz w:val="18"/>
        </w:rPr>
        <w:t> </w:t>
      </w:r>
      <w:r>
        <w:rPr>
          <w:sz w:val="18"/>
        </w:rPr>
        <w:t>deficiencies</w:t>
      </w:r>
      <w:r>
        <w:rPr>
          <w:spacing w:val="-2"/>
          <w:sz w:val="18"/>
        </w:rPr>
        <w:t> </w:t>
      </w:r>
      <w:r>
        <w:rPr>
          <w:sz w:val="18"/>
        </w:rPr>
        <w:t>and</w:t>
      </w:r>
      <w:r>
        <w:rPr>
          <w:spacing w:val="-2"/>
          <w:sz w:val="18"/>
        </w:rPr>
        <w:t> </w:t>
      </w:r>
      <w:r>
        <w:rPr>
          <w:sz w:val="18"/>
        </w:rPr>
        <w:t>material</w:t>
      </w:r>
      <w:r>
        <w:rPr>
          <w:spacing w:val="-2"/>
          <w:sz w:val="18"/>
        </w:rPr>
        <w:t> </w:t>
      </w:r>
      <w:r>
        <w:rPr>
          <w:sz w:val="18"/>
        </w:rPr>
        <w:t>weaknesses</w:t>
      </w:r>
      <w:r>
        <w:rPr>
          <w:spacing w:val="-2"/>
          <w:sz w:val="18"/>
        </w:rPr>
        <w:t> </w:t>
      </w:r>
      <w:r>
        <w:rPr>
          <w:sz w:val="18"/>
        </w:rPr>
        <w:t>in</w:t>
      </w:r>
      <w:r>
        <w:rPr>
          <w:spacing w:val="-2"/>
          <w:sz w:val="18"/>
        </w:rPr>
        <w:t> </w:t>
      </w:r>
      <w:r>
        <w:rPr>
          <w:sz w:val="18"/>
        </w:rPr>
        <w:t>the</w:t>
      </w:r>
      <w:r>
        <w:rPr>
          <w:spacing w:val="-2"/>
          <w:sz w:val="18"/>
        </w:rPr>
        <w:t> </w:t>
      </w:r>
      <w:r>
        <w:rPr>
          <w:sz w:val="18"/>
        </w:rPr>
        <w:t>design</w:t>
      </w:r>
      <w:r>
        <w:rPr>
          <w:spacing w:val="-2"/>
          <w:sz w:val="18"/>
        </w:rPr>
        <w:t> </w:t>
      </w:r>
      <w:r>
        <w:rPr>
          <w:sz w:val="18"/>
        </w:rPr>
        <w:t>or</w:t>
      </w:r>
      <w:r>
        <w:rPr>
          <w:spacing w:val="-2"/>
          <w:sz w:val="18"/>
        </w:rPr>
        <w:t> </w:t>
      </w:r>
      <w:r>
        <w:rPr>
          <w:sz w:val="18"/>
        </w:rPr>
        <w:t>operation</w:t>
      </w:r>
      <w:r>
        <w:rPr>
          <w:spacing w:val="-2"/>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which</w:t>
      </w:r>
      <w:r>
        <w:rPr>
          <w:spacing w:val="-2"/>
          <w:sz w:val="18"/>
        </w:rPr>
        <w:t> </w:t>
      </w:r>
      <w:r>
        <w:rPr>
          <w:sz w:val="18"/>
        </w:rPr>
        <w:t>are</w:t>
      </w:r>
      <w:r>
        <w:rPr>
          <w:spacing w:val="-2"/>
          <w:sz w:val="18"/>
        </w:rPr>
        <w:t> </w:t>
      </w:r>
      <w:r>
        <w:rPr>
          <w:sz w:val="18"/>
        </w:rPr>
        <w:t>reasonably</w:t>
      </w:r>
      <w:r>
        <w:rPr>
          <w:spacing w:val="-2"/>
          <w:sz w:val="18"/>
        </w:rPr>
        <w:t> </w:t>
      </w:r>
      <w:r>
        <w:rPr>
          <w:sz w:val="18"/>
        </w:rPr>
        <w:t>likely to adversely affect the registrant’s ability to record, process, summarize and report financial information; and</w:t>
      </w:r>
    </w:p>
    <w:p>
      <w:pPr>
        <w:pStyle w:val="BodyText"/>
        <w:spacing w:before="10"/>
      </w:pPr>
    </w:p>
    <w:p>
      <w:pPr>
        <w:pStyle w:val="ListParagraph"/>
        <w:numPr>
          <w:ilvl w:val="1"/>
          <w:numId w:val="58"/>
        </w:numPr>
        <w:tabs>
          <w:tab w:pos="913" w:val="left" w:leader="none"/>
          <w:tab w:pos="1026" w:val="left" w:leader="none"/>
        </w:tabs>
        <w:spacing w:line="249" w:lineRule="auto" w:before="1" w:after="0"/>
        <w:ind w:left="1026" w:right="198" w:hanging="441"/>
        <w:jc w:val="left"/>
        <w:rPr>
          <w:sz w:val="18"/>
        </w:rPr>
      </w:pPr>
      <w:r>
        <w:rPr>
          <w:sz w:val="18"/>
        </w:rPr>
        <w:t>any</w:t>
      </w:r>
      <w:r>
        <w:rPr>
          <w:spacing w:val="-3"/>
          <w:sz w:val="18"/>
        </w:rPr>
        <w:t> </w:t>
      </w:r>
      <w:r>
        <w:rPr>
          <w:sz w:val="18"/>
        </w:rPr>
        <w:t>fraud,</w:t>
      </w:r>
      <w:r>
        <w:rPr>
          <w:spacing w:val="-3"/>
          <w:sz w:val="18"/>
        </w:rPr>
        <w:t> </w:t>
      </w:r>
      <w:r>
        <w:rPr>
          <w:sz w:val="18"/>
        </w:rPr>
        <w:t>whether</w:t>
      </w:r>
      <w:r>
        <w:rPr>
          <w:spacing w:val="-3"/>
          <w:sz w:val="18"/>
        </w:rPr>
        <w:t> </w:t>
      </w:r>
      <w:r>
        <w:rPr>
          <w:sz w:val="18"/>
        </w:rPr>
        <w:t>or</w:t>
      </w:r>
      <w:r>
        <w:rPr>
          <w:spacing w:val="-3"/>
          <w:sz w:val="18"/>
        </w:rPr>
        <w:t> </w:t>
      </w:r>
      <w:r>
        <w:rPr>
          <w:sz w:val="18"/>
        </w:rPr>
        <w:t>not</w:t>
      </w:r>
      <w:r>
        <w:rPr>
          <w:spacing w:val="-3"/>
          <w:sz w:val="18"/>
        </w:rPr>
        <w:t> </w:t>
      </w:r>
      <w:r>
        <w:rPr>
          <w:sz w:val="18"/>
        </w:rPr>
        <w:t>material,</w:t>
      </w:r>
      <w:r>
        <w:rPr>
          <w:spacing w:val="-3"/>
          <w:sz w:val="18"/>
        </w:rPr>
        <w:t> </w:t>
      </w:r>
      <w:r>
        <w:rPr>
          <w:sz w:val="18"/>
        </w:rPr>
        <w:t>that</w:t>
      </w:r>
      <w:r>
        <w:rPr>
          <w:spacing w:val="-3"/>
          <w:sz w:val="18"/>
        </w:rPr>
        <w:t> </w:t>
      </w:r>
      <w:r>
        <w:rPr>
          <w:sz w:val="18"/>
        </w:rPr>
        <w:t>involves</w:t>
      </w:r>
      <w:r>
        <w:rPr>
          <w:spacing w:val="-3"/>
          <w:sz w:val="18"/>
        </w:rPr>
        <w:t> </w:t>
      </w:r>
      <w:r>
        <w:rPr>
          <w:sz w:val="18"/>
        </w:rPr>
        <w:t>management</w:t>
      </w:r>
      <w:r>
        <w:rPr>
          <w:spacing w:val="-3"/>
          <w:sz w:val="18"/>
        </w:rPr>
        <w:t> </w:t>
      </w:r>
      <w:r>
        <w:rPr>
          <w:sz w:val="18"/>
        </w:rPr>
        <w:t>or</w:t>
      </w:r>
      <w:r>
        <w:rPr>
          <w:spacing w:val="-3"/>
          <w:sz w:val="18"/>
        </w:rPr>
        <w:t> </w:t>
      </w:r>
      <w:r>
        <w:rPr>
          <w:sz w:val="18"/>
        </w:rPr>
        <w:t>other</w:t>
      </w:r>
      <w:r>
        <w:rPr>
          <w:spacing w:val="-3"/>
          <w:sz w:val="18"/>
        </w:rPr>
        <w:t> </w:t>
      </w:r>
      <w:r>
        <w:rPr>
          <w:sz w:val="18"/>
        </w:rPr>
        <w:t>employees</w:t>
      </w:r>
      <w:r>
        <w:rPr>
          <w:spacing w:val="-3"/>
          <w:sz w:val="18"/>
        </w:rPr>
        <w:t> </w:t>
      </w:r>
      <w:r>
        <w:rPr>
          <w:sz w:val="18"/>
        </w:rPr>
        <w:t>who</w:t>
      </w:r>
      <w:r>
        <w:rPr>
          <w:spacing w:val="-3"/>
          <w:sz w:val="18"/>
        </w:rPr>
        <w:t> </w:t>
      </w:r>
      <w:r>
        <w:rPr>
          <w:sz w:val="18"/>
        </w:rPr>
        <w:t>have</w:t>
      </w:r>
      <w:r>
        <w:rPr>
          <w:spacing w:val="-3"/>
          <w:sz w:val="18"/>
        </w:rPr>
        <w:t> </w:t>
      </w:r>
      <w:r>
        <w:rPr>
          <w:sz w:val="18"/>
        </w:rPr>
        <w:t>a</w:t>
      </w:r>
      <w:r>
        <w:rPr>
          <w:spacing w:val="-3"/>
          <w:sz w:val="18"/>
        </w:rPr>
        <w:t> </w:t>
      </w:r>
      <w:r>
        <w:rPr>
          <w:sz w:val="18"/>
        </w:rPr>
        <w:t>significant</w:t>
      </w:r>
      <w:r>
        <w:rPr>
          <w:spacing w:val="-3"/>
          <w:sz w:val="18"/>
        </w:rPr>
        <w:t> </w:t>
      </w:r>
      <w:r>
        <w:rPr>
          <w:sz w:val="18"/>
        </w:rPr>
        <w:t>role</w:t>
      </w:r>
      <w:r>
        <w:rPr>
          <w:spacing w:val="-3"/>
          <w:sz w:val="18"/>
        </w:rPr>
        <w:t> </w:t>
      </w:r>
      <w:r>
        <w:rPr>
          <w:sz w:val="18"/>
        </w:rPr>
        <w:t>in</w:t>
      </w:r>
      <w:r>
        <w:rPr>
          <w:spacing w:val="-3"/>
          <w:sz w:val="18"/>
        </w:rPr>
        <w:t> </w:t>
      </w:r>
      <w:r>
        <w:rPr>
          <w:sz w:val="18"/>
        </w:rPr>
        <w:t>the</w:t>
      </w:r>
      <w:r>
        <w:rPr>
          <w:spacing w:val="-3"/>
          <w:sz w:val="18"/>
        </w:rPr>
        <w:t> </w:t>
      </w:r>
      <w:r>
        <w:rPr>
          <w:sz w:val="18"/>
        </w:rPr>
        <w:t>registrant’s</w:t>
      </w:r>
      <w:r>
        <w:rPr>
          <w:spacing w:val="-3"/>
          <w:sz w:val="18"/>
        </w:rPr>
        <w:t> </w:t>
      </w:r>
      <w:r>
        <w:rPr>
          <w:sz w:val="18"/>
        </w:rPr>
        <w:t>internal</w:t>
      </w:r>
      <w:r>
        <w:rPr>
          <w:spacing w:val="-3"/>
          <w:sz w:val="18"/>
        </w:rPr>
        <w:t> </w:t>
      </w:r>
      <w:r>
        <w:rPr>
          <w:sz w:val="18"/>
        </w:rPr>
        <w:t>control</w:t>
      </w:r>
      <w:r>
        <w:rPr>
          <w:spacing w:val="-3"/>
          <w:sz w:val="18"/>
        </w:rPr>
        <w:t> </w:t>
      </w:r>
      <w:r>
        <w:rPr>
          <w:sz w:val="18"/>
        </w:rPr>
        <w:t>over financial reporting.</w:t>
      </w:r>
    </w:p>
    <w:p>
      <w:pPr>
        <w:pStyle w:val="BodyText"/>
        <w:spacing w:before="10"/>
      </w:pPr>
    </w:p>
    <w:p>
      <w:pPr>
        <w:pStyle w:val="BodyText"/>
        <w:ind w:left="144"/>
      </w:pPr>
      <w:r>
        <w:rPr/>
        <w:t>February</w:t>
      </w:r>
      <w:r>
        <w:rPr>
          <w:spacing w:val="-1"/>
        </w:rPr>
        <w:t> </w:t>
      </w:r>
      <w:r>
        <w:rPr/>
        <w:t>24,</w:t>
      </w:r>
      <w:r>
        <w:rPr>
          <w:spacing w:val="-1"/>
        </w:rPr>
        <w:t> </w:t>
      </w:r>
      <w:r>
        <w:rPr>
          <w:spacing w:val="-4"/>
        </w:rPr>
        <w:t>2023</w:t>
      </w:r>
    </w:p>
    <w:p>
      <w:pPr>
        <w:pStyle w:val="BodyText"/>
        <w:spacing w:before="112"/>
      </w:pPr>
    </w:p>
    <w:p>
      <w:pPr>
        <w:pStyle w:val="BodyText"/>
        <w:spacing w:line="249" w:lineRule="auto" w:before="1"/>
        <w:ind w:left="5994" w:right="3497"/>
      </w:pPr>
      <w:r>
        <w:rPr/>
        <mc:AlternateContent>
          <mc:Choice Requires="wps">
            <w:drawing>
              <wp:anchor distT="0" distB="0" distL="0" distR="0" allowOverlap="1" layoutInCell="1" locked="0" behindDoc="1" simplePos="0" relativeHeight="487820800">
                <wp:simplePos x="0" y="0"/>
                <wp:positionH relativeFrom="page">
                  <wp:posOffset>3934764</wp:posOffset>
                </wp:positionH>
                <wp:positionV relativeFrom="paragraph">
                  <wp:posOffset>295967</wp:posOffset>
                </wp:positionV>
                <wp:extent cx="1440180" cy="8890"/>
                <wp:effectExtent l="0" t="0" r="0" b="0"/>
                <wp:wrapTopAndBottom/>
                <wp:docPr id="1159" name="Graphic 1159"/>
                <wp:cNvGraphicFramePr>
                  <a:graphicFrameLocks/>
                </wp:cNvGraphicFramePr>
                <a:graphic>
                  <a:graphicData uri="http://schemas.microsoft.com/office/word/2010/wordprocessingShape">
                    <wps:wsp>
                      <wps:cNvPr id="1159" name="Graphic 1159"/>
                      <wps:cNvSpPr/>
                      <wps:spPr>
                        <a:xfrm>
                          <a:off x="0" y="0"/>
                          <a:ext cx="1440180" cy="8890"/>
                        </a:xfrm>
                        <a:custGeom>
                          <a:avLst/>
                          <a:gdLst/>
                          <a:ahLst/>
                          <a:cxnLst/>
                          <a:rect l="l" t="t" r="r" b="b"/>
                          <a:pathLst>
                            <a:path w="1440180" h="8890">
                              <a:moveTo>
                                <a:pt x="1440180" y="0"/>
                              </a:moveTo>
                              <a:lnTo>
                                <a:pt x="1423035" y="0"/>
                              </a:lnTo>
                              <a:lnTo>
                                <a:pt x="17145" y="0"/>
                              </a:lnTo>
                              <a:lnTo>
                                <a:pt x="0" y="0"/>
                              </a:lnTo>
                              <a:lnTo>
                                <a:pt x="0" y="8572"/>
                              </a:lnTo>
                              <a:lnTo>
                                <a:pt x="17145" y="8572"/>
                              </a:lnTo>
                              <a:lnTo>
                                <a:pt x="1423035" y="8572"/>
                              </a:lnTo>
                              <a:lnTo>
                                <a:pt x="1440180" y="8572"/>
                              </a:lnTo>
                              <a:lnTo>
                                <a:pt x="14401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824005pt;margin-top:23.304504pt;width:113.4pt;height:.7pt;mso-position-horizontal-relative:page;mso-position-vertical-relative:paragraph;z-index:-15495680;mso-wrap-distance-left:0;mso-wrap-distance-right:0" id="docshape1157" coordorigin="6196,466" coordsize="2268,14" path="m8464,466l8437,466,6223,466,6196,466,6196,480,6223,480,8437,480,8464,480,8464,466xe" filled="true" fillcolor="#000000" stroked="false">
                <v:path arrowok="t"/>
                <v:fill type="solid"/>
                <w10:wrap type="topAndBottom"/>
              </v:shape>
            </w:pict>
          </mc:Fallback>
        </mc:AlternateContent>
      </w:r>
      <w:r>
        <w:rPr/>
        <w:t>/s/ WILLIAM J. </w:t>
      </w:r>
      <w:r>
        <w:rPr>
          <w:spacing w:val="-2"/>
        </w:rPr>
        <w:t>HORNBUCKLE</w:t>
      </w:r>
    </w:p>
    <w:p>
      <w:pPr>
        <w:pStyle w:val="BodyText"/>
        <w:spacing w:before="21"/>
        <w:ind w:left="5994"/>
      </w:pPr>
      <w:r>
        <w:rPr/>
        <w:t>William</w:t>
      </w:r>
      <w:r>
        <w:rPr>
          <w:spacing w:val="-5"/>
        </w:rPr>
        <w:t> </w:t>
      </w:r>
      <w:r>
        <w:rPr/>
        <w:t>J.</w:t>
      </w:r>
      <w:r>
        <w:rPr>
          <w:spacing w:val="-5"/>
        </w:rPr>
        <w:t> </w:t>
      </w:r>
      <w:r>
        <w:rPr>
          <w:spacing w:val="-2"/>
        </w:rPr>
        <w:t>Hornbuckle</w:t>
      </w:r>
    </w:p>
    <w:p>
      <w:pPr>
        <w:pStyle w:val="BodyText"/>
        <w:spacing w:line="249" w:lineRule="auto" w:before="63"/>
        <w:ind w:left="5994" w:right="3497"/>
      </w:pPr>
      <w:r>
        <w:rPr/>
        <w:t>Chief</w:t>
      </w:r>
      <w:r>
        <w:rPr>
          <w:spacing w:val="-12"/>
        </w:rPr>
        <w:t> </w:t>
      </w:r>
      <w:r>
        <w:rPr/>
        <w:t>Executive</w:t>
      </w:r>
      <w:r>
        <w:rPr>
          <w:spacing w:val="-11"/>
        </w:rPr>
        <w:t> </w:t>
      </w:r>
      <w:r>
        <w:rPr/>
        <w:t>Officer</w:t>
      </w:r>
      <w:r>
        <w:rPr>
          <w:spacing w:val="-11"/>
        </w:rPr>
        <w:t> </w:t>
      </w:r>
      <w:r>
        <w:rPr/>
        <w:t>and </w:t>
      </w:r>
      <w:r>
        <w:rPr>
          <w:spacing w:val="-2"/>
        </w:rPr>
        <w:t>President</w:t>
      </w:r>
    </w:p>
    <w:p>
      <w:pPr>
        <w:spacing w:after="0" w:line="249" w:lineRule="auto"/>
        <w:sectPr>
          <w:pgSz w:w="12240" w:h="15840"/>
          <w:pgMar w:top="940" w:bottom="280" w:left="220" w:right="240"/>
        </w:sectPr>
      </w:pPr>
    </w:p>
    <w:p>
      <w:pPr>
        <w:spacing w:before="66"/>
        <w:ind w:left="0" w:right="118" w:firstLine="0"/>
        <w:jc w:val="right"/>
        <w:rPr>
          <w:b/>
          <w:sz w:val="18"/>
        </w:rPr>
      </w:pPr>
      <w:bookmarkStart w:name="_bookmark44" w:id="45"/>
      <w:bookmarkEnd w:id="45"/>
      <w:r>
        <w:rPr/>
      </w:r>
      <w:r>
        <w:rPr>
          <w:b/>
          <w:sz w:val="18"/>
        </w:rPr>
        <w:t>Exhibit</w:t>
      </w:r>
      <w:r>
        <w:rPr>
          <w:b/>
          <w:spacing w:val="-1"/>
          <w:sz w:val="18"/>
        </w:rPr>
        <w:t> </w:t>
      </w:r>
      <w:r>
        <w:rPr>
          <w:b/>
          <w:spacing w:val="-4"/>
          <w:sz w:val="18"/>
        </w:rPr>
        <w:t>31.2</w:t>
      </w:r>
    </w:p>
    <w:p>
      <w:pPr>
        <w:pStyle w:val="BodyText"/>
        <w:spacing w:before="18"/>
        <w:rPr>
          <w:b/>
        </w:rPr>
      </w:pPr>
    </w:p>
    <w:p>
      <w:pPr>
        <w:pStyle w:val="Heading4"/>
        <w:ind w:left="24"/>
        <w:jc w:val="center"/>
      </w:pPr>
      <w:r>
        <w:rPr>
          <w:spacing w:val="-2"/>
        </w:rPr>
        <w:t>CERTIFICATION</w:t>
      </w:r>
    </w:p>
    <w:p>
      <w:pPr>
        <w:pStyle w:val="BodyText"/>
        <w:spacing w:before="18"/>
        <w:rPr>
          <w:b/>
        </w:rPr>
      </w:pPr>
    </w:p>
    <w:p>
      <w:pPr>
        <w:pStyle w:val="BodyText"/>
        <w:ind w:left="144"/>
      </w:pPr>
      <w:r>
        <w:rPr/>
        <w:t>I,</w:t>
      </w:r>
      <w:r>
        <w:rPr>
          <w:spacing w:val="-3"/>
        </w:rPr>
        <w:t> </w:t>
      </w:r>
      <w:r>
        <w:rPr/>
        <w:t>Jonathan</w:t>
      </w:r>
      <w:r>
        <w:rPr>
          <w:spacing w:val="-1"/>
        </w:rPr>
        <w:t> </w:t>
      </w:r>
      <w:r>
        <w:rPr/>
        <w:t>S.</w:t>
      </w:r>
      <w:r>
        <w:rPr>
          <w:spacing w:val="-1"/>
        </w:rPr>
        <w:t> </w:t>
      </w:r>
      <w:r>
        <w:rPr/>
        <w:t>Halkyard,</w:t>
      </w:r>
      <w:r>
        <w:rPr>
          <w:spacing w:val="-1"/>
        </w:rPr>
        <w:t> </w:t>
      </w:r>
      <w:r>
        <w:rPr/>
        <w:t>certify</w:t>
      </w:r>
      <w:r>
        <w:rPr>
          <w:spacing w:val="-1"/>
        </w:rPr>
        <w:t> </w:t>
      </w:r>
      <w:r>
        <w:rPr>
          <w:spacing w:val="-2"/>
        </w:rPr>
        <w:t>that:</w:t>
      </w:r>
    </w:p>
    <w:p>
      <w:pPr>
        <w:pStyle w:val="BodyText"/>
        <w:spacing w:before="18"/>
      </w:pPr>
    </w:p>
    <w:p>
      <w:pPr>
        <w:pStyle w:val="ListParagraph"/>
        <w:numPr>
          <w:ilvl w:val="0"/>
          <w:numId w:val="59"/>
        </w:numPr>
        <w:tabs>
          <w:tab w:pos="458" w:val="left" w:leader="none"/>
        </w:tabs>
        <w:spacing w:line="240" w:lineRule="auto" w:before="0" w:after="0"/>
        <w:ind w:left="458" w:right="0" w:hanging="314"/>
        <w:jc w:val="left"/>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
          <w:sz w:val="18"/>
        </w:rPr>
        <w:t> </w:t>
      </w:r>
      <w:r>
        <w:rPr>
          <w:sz w:val="18"/>
        </w:rPr>
        <w:t>annual</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10-K</w:t>
      </w:r>
      <w:r>
        <w:rPr>
          <w:spacing w:val="-1"/>
          <w:sz w:val="18"/>
        </w:rPr>
        <w:t> </w:t>
      </w:r>
      <w:r>
        <w:rPr>
          <w:sz w:val="18"/>
        </w:rPr>
        <w:t>of</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p>
      <w:pPr>
        <w:pStyle w:val="BodyText"/>
        <w:spacing w:before="18"/>
      </w:pPr>
    </w:p>
    <w:p>
      <w:pPr>
        <w:pStyle w:val="ListParagraph"/>
        <w:numPr>
          <w:ilvl w:val="0"/>
          <w:numId w:val="59"/>
        </w:numPr>
        <w:tabs>
          <w:tab w:pos="458" w:val="left" w:leader="none"/>
          <w:tab w:pos="585" w:val="left" w:leader="none"/>
        </w:tabs>
        <w:spacing w:line="249" w:lineRule="auto" w:before="0" w:after="0"/>
        <w:ind w:left="585" w:right="223" w:hanging="441"/>
        <w:jc w:val="left"/>
        <w:rPr>
          <w:sz w:val="18"/>
        </w:rPr>
      </w:pPr>
      <w:r>
        <w:rPr>
          <w:sz w:val="18"/>
        </w:rPr>
        <w:t>Based on my knowledge, this report does not contain any untrue statement of a material fact or omit to state a material fact necessary to make the statements</w:t>
      </w:r>
      <w:r>
        <w:rPr>
          <w:spacing w:val="-2"/>
          <w:sz w:val="18"/>
        </w:rPr>
        <w:t> </w:t>
      </w:r>
      <w:r>
        <w:rPr>
          <w:sz w:val="18"/>
        </w:rPr>
        <w:t>made,</w:t>
      </w:r>
      <w:r>
        <w:rPr>
          <w:spacing w:val="-2"/>
          <w:sz w:val="18"/>
        </w:rPr>
        <w:t> </w:t>
      </w:r>
      <w:r>
        <w:rPr>
          <w:sz w:val="18"/>
        </w:rPr>
        <w:t>in</w:t>
      </w:r>
      <w:r>
        <w:rPr>
          <w:spacing w:val="-2"/>
          <w:sz w:val="18"/>
        </w:rPr>
        <w:t> </w:t>
      </w:r>
      <w:r>
        <w:rPr>
          <w:sz w:val="18"/>
        </w:rPr>
        <w:t>light</w:t>
      </w:r>
      <w:r>
        <w:rPr>
          <w:spacing w:val="-2"/>
          <w:sz w:val="18"/>
        </w:rPr>
        <w:t> </w:t>
      </w:r>
      <w:r>
        <w:rPr>
          <w:sz w:val="18"/>
        </w:rPr>
        <w:t>of</w:t>
      </w:r>
      <w:r>
        <w:rPr>
          <w:spacing w:val="-2"/>
          <w:sz w:val="18"/>
        </w:rPr>
        <w:t> </w:t>
      </w:r>
      <w:r>
        <w:rPr>
          <w:sz w:val="18"/>
        </w:rPr>
        <w:t>the</w:t>
      </w:r>
      <w:r>
        <w:rPr>
          <w:spacing w:val="-2"/>
          <w:sz w:val="18"/>
        </w:rPr>
        <w:t> </w:t>
      </w:r>
      <w:r>
        <w:rPr>
          <w:sz w:val="18"/>
        </w:rPr>
        <w:t>circumstances</w:t>
      </w:r>
      <w:r>
        <w:rPr>
          <w:spacing w:val="-2"/>
          <w:sz w:val="18"/>
        </w:rPr>
        <w:t> </w:t>
      </w:r>
      <w:r>
        <w:rPr>
          <w:sz w:val="18"/>
        </w:rPr>
        <w:t>under</w:t>
      </w:r>
      <w:r>
        <w:rPr>
          <w:spacing w:val="-2"/>
          <w:sz w:val="18"/>
        </w:rPr>
        <w:t> </w:t>
      </w:r>
      <w:r>
        <w:rPr>
          <w:sz w:val="18"/>
        </w:rPr>
        <w:t>which</w:t>
      </w:r>
      <w:r>
        <w:rPr>
          <w:spacing w:val="-2"/>
          <w:sz w:val="18"/>
        </w:rPr>
        <w:t> </w:t>
      </w:r>
      <w:r>
        <w:rPr>
          <w:sz w:val="18"/>
        </w:rPr>
        <w:t>such</w:t>
      </w:r>
      <w:r>
        <w:rPr>
          <w:spacing w:val="-2"/>
          <w:sz w:val="18"/>
        </w:rPr>
        <w:t> </w:t>
      </w:r>
      <w:r>
        <w:rPr>
          <w:sz w:val="18"/>
        </w:rPr>
        <w:t>statements</w:t>
      </w:r>
      <w:r>
        <w:rPr>
          <w:spacing w:val="-2"/>
          <w:sz w:val="18"/>
        </w:rPr>
        <w:t> </w:t>
      </w:r>
      <w:r>
        <w:rPr>
          <w:sz w:val="18"/>
        </w:rPr>
        <w:t>were</w:t>
      </w:r>
      <w:r>
        <w:rPr>
          <w:spacing w:val="-2"/>
          <w:sz w:val="18"/>
        </w:rPr>
        <w:t> </w:t>
      </w:r>
      <w:r>
        <w:rPr>
          <w:sz w:val="18"/>
        </w:rPr>
        <w:t>made,</w:t>
      </w:r>
      <w:r>
        <w:rPr>
          <w:spacing w:val="-2"/>
          <w:sz w:val="18"/>
        </w:rPr>
        <w:t> </w:t>
      </w:r>
      <w:r>
        <w:rPr>
          <w:sz w:val="18"/>
        </w:rPr>
        <w:t>not</w:t>
      </w:r>
      <w:r>
        <w:rPr>
          <w:spacing w:val="-2"/>
          <w:sz w:val="18"/>
        </w:rPr>
        <w:t> </w:t>
      </w:r>
      <w:r>
        <w:rPr>
          <w:sz w:val="18"/>
        </w:rPr>
        <w:t>misleading</w:t>
      </w:r>
      <w:r>
        <w:rPr>
          <w:spacing w:val="-2"/>
          <w:sz w:val="18"/>
        </w:rPr>
        <w:t> </w:t>
      </w:r>
      <w:r>
        <w:rPr>
          <w:sz w:val="18"/>
        </w:rPr>
        <w:t>with</w:t>
      </w:r>
      <w:r>
        <w:rPr>
          <w:spacing w:val="-2"/>
          <w:sz w:val="18"/>
        </w:rPr>
        <w:t> </w:t>
      </w:r>
      <w:r>
        <w:rPr>
          <w:sz w:val="18"/>
        </w:rPr>
        <w:t>respect</w:t>
      </w:r>
      <w:r>
        <w:rPr>
          <w:spacing w:val="-2"/>
          <w:sz w:val="18"/>
        </w:rPr>
        <w:t> </w:t>
      </w:r>
      <w:r>
        <w:rPr>
          <w:sz w:val="18"/>
        </w:rPr>
        <w:t>to</w:t>
      </w:r>
      <w:r>
        <w:rPr>
          <w:spacing w:val="-2"/>
          <w:sz w:val="18"/>
        </w:rPr>
        <w:t> </w:t>
      </w:r>
      <w:r>
        <w:rPr>
          <w:sz w:val="18"/>
        </w:rPr>
        <w:t>the</w:t>
      </w:r>
      <w:r>
        <w:rPr>
          <w:spacing w:val="-2"/>
          <w:sz w:val="18"/>
        </w:rPr>
        <w:t> </w:t>
      </w:r>
      <w:r>
        <w:rPr>
          <w:sz w:val="18"/>
        </w:rPr>
        <w:t>period</w:t>
      </w:r>
      <w:r>
        <w:rPr>
          <w:spacing w:val="-2"/>
          <w:sz w:val="18"/>
        </w:rPr>
        <w:t> </w:t>
      </w:r>
      <w:r>
        <w:rPr>
          <w:sz w:val="18"/>
        </w:rPr>
        <w:t>covered</w:t>
      </w:r>
      <w:r>
        <w:rPr>
          <w:spacing w:val="-2"/>
          <w:sz w:val="18"/>
        </w:rPr>
        <w:t> </w:t>
      </w:r>
      <w:r>
        <w:rPr>
          <w:sz w:val="18"/>
        </w:rPr>
        <w:t>by</w:t>
      </w:r>
      <w:r>
        <w:rPr>
          <w:spacing w:val="-2"/>
          <w:sz w:val="18"/>
        </w:rPr>
        <w:t> </w:t>
      </w:r>
      <w:r>
        <w:rPr>
          <w:sz w:val="18"/>
        </w:rPr>
        <w:t>this</w:t>
      </w:r>
      <w:r>
        <w:rPr>
          <w:spacing w:val="-2"/>
          <w:sz w:val="18"/>
        </w:rPr>
        <w:t> </w:t>
      </w:r>
      <w:r>
        <w:rPr>
          <w:sz w:val="18"/>
        </w:rPr>
        <w:t>report;</w:t>
      </w:r>
    </w:p>
    <w:p>
      <w:pPr>
        <w:pStyle w:val="BodyText"/>
        <w:spacing w:before="11"/>
      </w:pPr>
    </w:p>
    <w:p>
      <w:pPr>
        <w:pStyle w:val="ListParagraph"/>
        <w:numPr>
          <w:ilvl w:val="0"/>
          <w:numId w:val="59"/>
        </w:numPr>
        <w:tabs>
          <w:tab w:pos="458" w:val="left" w:leader="none"/>
          <w:tab w:pos="585" w:val="left" w:leader="none"/>
        </w:tabs>
        <w:spacing w:line="249" w:lineRule="auto" w:before="0" w:after="0"/>
        <w:ind w:left="585" w:right="140" w:hanging="441"/>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the</w:t>
      </w:r>
      <w:r>
        <w:rPr>
          <w:spacing w:val="-2"/>
          <w:sz w:val="18"/>
        </w:rPr>
        <w:t> </w:t>
      </w:r>
      <w:r>
        <w:rPr>
          <w:sz w:val="18"/>
        </w:rPr>
        <w:t>financial</w:t>
      </w:r>
      <w:r>
        <w:rPr>
          <w:spacing w:val="-2"/>
          <w:sz w:val="18"/>
        </w:rPr>
        <w:t> </w:t>
      </w:r>
      <w:r>
        <w:rPr>
          <w:sz w:val="18"/>
        </w:rPr>
        <w:t>statements,</w:t>
      </w:r>
      <w:r>
        <w:rPr>
          <w:spacing w:val="-2"/>
          <w:sz w:val="18"/>
        </w:rPr>
        <w:t> </w:t>
      </w:r>
      <w:r>
        <w:rPr>
          <w:sz w:val="18"/>
        </w:rPr>
        <w:t>and</w:t>
      </w:r>
      <w:r>
        <w:rPr>
          <w:spacing w:val="-2"/>
          <w:sz w:val="18"/>
        </w:rPr>
        <w:t> </w:t>
      </w:r>
      <w:r>
        <w:rPr>
          <w:sz w:val="18"/>
        </w:rPr>
        <w:t>other</w:t>
      </w:r>
      <w:r>
        <w:rPr>
          <w:spacing w:val="-2"/>
          <w:sz w:val="18"/>
        </w:rPr>
        <w:t> </w:t>
      </w:r>
      <w:r>
        <w:rPr>
          <w:sz w:val="18"/>
        </w:rPr>
        <w:t>financial</w:t>
      </w:r>
      <w:r>
        <w:rPr>
          <w:spacing w:val="-2"/>
          <w:sz w:val="18"/>
        </w:rPr>
        <w:t> </w:t>
      </w:r>
      <w:r>
        <w:rPr>
          <w:sz w:val="18"/>
        </w:rPr>
        <w:t>information</w:t>
      </w:r>
      <w:r>
        <w:rPr>
          <w:spacing w:val="-2"/>
          <w:sz w:val="18"/>
        </w:rPr>
        <w:t> </w:t>
      </w:r>
      <w:r>
        <w:rPr>
          <w:sz w:val="18"/>
        </w:rPr>
        <w:t>included</w:t>
      </w:r>
      <w:r>
        <w:rPr>
          <w:spacing w:val="-2"/>
          <w:sz w:val="18"/>
        </w:rPr>
        <w:t> </w:t>
      </w:r>
      <w:r>
        <w:rPr>
          <w:sz w:val="18"/>
        </w:rPr>
        <w:t>in</w:t>
      </w:r>
      <w:r>
        <w:rPr>
          <w:spacing w:val="-2"/>
          <w:sz w:val="18"/>
        </w:rPr>
        <w:t> </w:t>
      </w:r>
      <w:r>
        <w:rPr>
          <w:sz w:val="18"/>
        </w:rPr>
        <w:t>this</w:t>
      </w:r>
      <w:r>
        <w:rPr>
          <w:spacing w:val="-2"/>
          <w:sz w:val="18"/>
        </w:rPr>
        <w:t> </w:t>
      </w:r>
      <w:r>
        <w:rPr>
          <w:sz w:val="18"/>
        </w:rPr>
        <w:t>report,</w:t>
      </w:r>
      <w:r>
        <w:rPr>
          <w:spacing w:val="-2"/>
          <w:sz w:val="18"/>
        </w:rPr>
        <w:t> </w:t>
      </w:r>
      <w:r>
        <w:rPr>
          <w:sz w:val="18"/>
        </w:rPr>
        <w:t>fairly</w:t>
      </w:r>
      <w:r>
        <w:rPr>
          <w:spacing w:val="-2"/>
          <w:sz w:val="18"/>
        </w:rPr>
        <w:t> </w:t>
      </w:r>
      <w:r>
        <w:rPr>
          <w:sz w:val="18"/>
        </w:rPr>
        <w:t>present</w:t>
      </w:r>
      <w:r>
        <w:rPr>
          <w:spacing w:val="-2"/>
          <w:sz w:val="18"/>
        </w:rPr>
        <w:t> </w:t>
      </w:r>
      <w:r>
        <w:rPr>
          <w:sz w:val="18"/>
        </w:rPr>
        <w:t>in</w:t>
      </w:r>
      <w:r>
        <w:rPr>
          <w:spacing w:val="-2"/>
          <w:sz w:val="18"/>
        </w:rPr>
        <w:t> </w:t>
      </w:r>
      <w:r>
        <w:rPr>
          <w:sz w:val="18"/>
        </w:rPr>
        <w:t>all</w:t>
      </w:r>
      <w:r>
        <w:rPr>
          <w:spacing w:val="-2"/>
          <w:sz w:val="18"/>
        </w:rPr>
        <w:t> </w:t>
      </w:r>
      <w:r>
        <w:rPr>
          <w:sz w:val="18"/>
        </w:rPr>
        <w:t>material</w:t>
      </w:r>
      <w:r>
        <w:rPr>
          <w:spacing w:val="-2"/>
          <w:sz w:val="18"/>
        </w:rPr>
        <w:t> </w:t>
      </w:r>
      <w:r>
        <w:rPr>
          <w:sz w:val="18"/>
        </w:rPr>
        <w:t>respects</w:t>
      </w:r>
      <w:r>
        <w:rPr>
          <w:spacing w:val="-2"/>
          <w:sz w:val="18"/>
        </w:rPr>
        <w:t> </w:t>
      </w:r>
      <w:r>
        <w:rPr>
          <w:sz w:val="18"/>
        </w:rPr>
        <w:t>the</w:t>
      </w:r>
      <w:r>
        <w:rPr>
          <w:spacing w:val="-2"/>
          <w:sz w:val="18"/>
        </w:rPr>
        <w:t> </w:t>
      </w:r>
      <w:r>
        <w:rPr>
          <w:sz w:val="18"/>
        </w:rPr>
        <w:t>financial condition, results of operations and cash flows of the registrant as of, and for, the periods presented in this report;</w:t>
      </w:r>
    </w:p>
    <w:p>
      <w:pPr>
        <w:pStyle w:val="BodyText"/>
        <w:spacing w:before="10"/>
      </w:pPr>
    </w:p>
    <w:p>
      <w:pPr>
        <w:pStyle w:val="ListParagraph"/>
        <w:numPr>
          <w:ilvl w:val="0"/>
          <w:numId w:val="59"/>
        </w:numPr>
        <w:tabs>
          <w:tab w:pos="455" w:val="left" w:leader="none"/>
          <w:tab w:pos="585" w:val="left" w:leader="none"/>
        </w:tabs>
        <w:spacing w:line="249" w:lineRule="auto" w:before="0" w:after="0"/>
        <w:ind w:left="585" w:right="291" w:hanging="441"/>
        <w:jc w:val="left"/>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are</w:t>
      </w:r>
      <w:r>
        <w:rPr>
          <w:spacing w:val="-3"/>
          <w:sz w:val="18"/>
        </w:rPr>
        <w:t> </w:t>
      </w:r>
      <w:r>
        <w:rPr>
          <w:sz w:val="18"/>
        </w:rPr>
        <w:t>responsible</w:t>
      </w:r>
      <w:r>
        <w:rPr>
          <w:spacing w:val="-3"/>
          <w:sz w:val="18"/>
        </w:rPr>
        <w:t> </w:t>
      </w:r>
      <w:r>
        <w:rPr>
          <w:sz w:val="18"/>
        </w:rPr>
        <w:t>for</w:t>
      </w:r>
      <w:r>
        <w:rPr>
          <w:spacing w:val="-3"/>
          <w:sz w:val="18"/>
        </w:rPr>
        <w:t> </w:t>
      </w:r>
      <w:r>
        <w:rPr>
          <w:sz w:val="18"/>
        </w:rPr>
        <w:t>establishing</w:t>
      </w:r>
      <w:r>
        <w:rPr>
          <w:spacing w:val="-3"/>
          <w:sz w:val="18"/>
        </w:rPr>
        <w:t> </w:t>
      </w:r>
      <w:r>
        <w:rPr>
          <w:sz w:val="18"/>
        </w:rPr>
        <w:t>and</w:t>
      </w:r>
      <w:r>
        <w:rPr>
          <w:spacing w:val="-3"/>
          <w:sz w:val="18"/>
        </w:rPr>
        <w:t> </w:t>
      </w:r>
      <w:r>
        <w:rPr>
          <w:sz w:val="18"/>
        </w:rPr>
        <w:t>maintaining</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(as</w:t>
      </w:r>
      <w:r>
        <w:rPr>
          <w:spacing w:val="-3"/>
          <w:sz w:val="18"/>
        </w:rPr>
        <w:t> </w:t>
      </w:r>
      <w:r>
        <w:rPr>
          <w:sz w:val="18"/>
        </w:rPr>
        <w:t>defined</w:t>
      </w:r>
      <w:r>
        <w:rPr>
          <w:spacing w:val="-3"/>
          <w:sz w:val="18"/>
        </w:rPr>
        <w:t> </w:t>
      </w:r>
      <w:r>
        <w:rPr>
          <w:sz w:val="18"/>
        </w:rPr>
        <w:t>in</w:t>
      </w:r>
      <w:r>
        <w:rPr>
          <w:spacing w:val="-3"/>
          <w:sz w:val="18"/>
        </w:rPr>
        <w:t> </w:t>
      </w:r>
      <w:r>
        <w:rPr>
          <w:sz w:val="18"/>
        </w:rPr>
        <w:t>Exchange Act Rules 13a-15(e) and 15d-15(e)) and internal control over financial reporting (as defined in Exchange</w:t>
      </w:r>
      <w:r>
        <w:rPr>
          <w:spacing w:val="-4"/>
          <w:sz w:val="18"/>
        </w:rPr>
        <w:t> </w:t>
      </w:r>
      <w:r>
        <w:rPr>
          <w:sz w:val="18"/>
        </w:rPr>
        <w:t>Act Rules 13a-15(f) and 15d-15(f)) for the registrant and have:</w:t>
      </w:r>
    </w:p>
    <w:p>
      <w:pPr>
        <w:pStyle w:val="BodyText"/>
        <w:spacing w:before="11"/>
      </w:pPr>
    </w:p>
    <w:p>
      <w:pPr>
        <w:pStyle w:val="ListParagraph"/>
        <w:numPr>
          <w:ilvl w:val="1"/>
          <w:numId w:val="59"/>
        </w:numPr>
        <w:tabs>
          <w:tab w:pos="903" w:val="left" w:leader="none"/>
          <w:tab w:pos="1026" w:val="left" w:leader="none"/>
        </w:tabs>
        <w:spacing w:line="249" w:lineRule="auto" w:before="0" w:after="0"/>
        <w:ind w:left="1026" w:right="188" w:hanging="441"/>
        <w:jc w:val="left"/>
        <w:rPr>
          <w:sz w:val="18"/>
        </w:rPr>
      </w:pPr>
      <w:r>
        <w:rPr>
          <w:sz w:val="18"/>
        </w:rPr>
        <w:t>designed</w:t>
      </w:r>
      <w:r>
        <w:rPr>
          <w:spacing w:val="-2"/>
          <w:sz w:val="18"/>
        </w:rPr>
        <w:t> </w:t>
      </w:r>
      <w:r>
        <w:rPr>
          <w:sz w:val="18"/>
        </w:rPr>
        <w:t>such</w:t>
      </w:r>
      <w:r>
        <w:rPr>
          <w:spacing w:val="-2"/>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w:t>
      </w:r>
      <w:r>
        <w:rPr>
          <w:spacing w:val="-2"/>
          <w:sz w:val="18"/>
        </w:rPr>
        <w:t> </w:t>
      </w:r>
      <w:r>
        <w:rPr>
          <w:sz w:val="18"/>
        </w:rPr>
        <w:t>supervision,</w:t>
      </w:r>
      <w:r>
        <w:rPr>
          <w:spacing w:val="-2"/>
          <w:sz w:val="18"/>
        </w:rPr>
        <w:t> </w:t>
      </w:r>
      <w:r>
        <w:rPr>
          <w:sz w:val="18"/>
        </w:rPr>
        <w:t>to</w:t>
      </w:r>
      <w:r>
        <w:rPr>
          <w:spacing w:val="-2"/>
          <w:sz w:val="18"/>
        </w:rPr>
        <w:t> </w:t>
      </w:r>
      <w:r>
        <w:rPr>
          <w:sz w:val="18"/>
        </w:rPr>
        <w:t>ensure that material information relating to the registrant, including its consolidated subsidiaries, is made known to us by others within those entities, particularly during the period in which this report is being prepared;</w:t>
      </w:r>
    </w:p>
    <w:p>
      <w:pPr>
        <w:pStyle w:val="BodyText"/>
        <w:spacing w:before="12"/>
      </w:pPr>
    </w:p>
    <w:p>
      <w:pPr>
        <w:pStyle w:val="ListParagraph"/>
        <w:numPr>
          <w:ilvl w:val="1"/>
          <w:numId w:val="59"/>
        </w:numPr>
        <w:tabs>
          <w:tab w:pos="913" w:val="left" w:leader="none"/>
          <w:tab w:pos="1026" w:val="left" w:leader="none"/>
        </w:tabs>
        <w:spacing w:line="249" w:lineRule="auto" w:before="0" w:after="0"/>
        <w:ind w:left="1026" w:right="168" w:hanging="441"/>
        <w:jc w:val="left"/>
        <w:rPr>
          <w:sz w:val="18"/>
        </w:rPr>
      </w:pPr>
      <w:r>
        <w:rPr>
          <w:sz w:val="18"/>
        </w:rPr>
        <w:t>designed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w:t>
      </w:r>
      <w:r>
        <w:rPr>
          <w:spacing w:val="-2"/>
          <w:sz w:val="18"/>
        </w:rPr>
        <w:t> </w:t>
      </w:r>
      <w:r>
        <w:rPr>
          <w:sz w:val="18"/>
        </w:rPr>
        <w:t>supervision, to provide reasonable assurance regarding the reliability of financial reporting and the preparation of financial statements for external purposes in accordance with generally accepted accounting principles;</w:t>
      </w:r>
    </w:p>
    <w:p>
      <w:pPr>
        <w:pStyle w:val="BodyText"/>
        <w:spacing w:before="11"/>
      </w:pPr>
    </w:p>
    <w:p>
      <w:pPr>
        <w:pStyle w:val="ListParagraph"/>
        <w:numPr>
          <w:ilvl w:val="1"/>
          <w:numId w:val="59"/>
        </w:numPr>
        <w:tabs>
          <w:tab w:pos="903" w:val="left" w:leader="none"/>
          <w:tab w:pos="1026" w:val="left" w:leader="none"/>
        </w:tabs>
        <w:spacing w:line="249" w:lineRule="auto" w:before="0" w:after="0"/>
        <w:ind w:left="1026" w:right="220" w:hanging="441"/>
        <w:jc w:val="left"/>
        <w:rPr>
          <w:sz w:val="18"/>
        </w:rPr>
      </w:pPr>
      <w:r>
        <w:rPr>
          <w:sz w:val="18"/>
        </w:rPr>
        <w:t>evaluated</w:t>
      </w:r>
      <w:r>
        <w:rPr>
          <w:spacing w:val="-3"/>
          <w:sz w:val="18"/>
        </w:rPr>
        <w:t> </w:t>
      </w:r>
      <w:r>
        <w:rPr>
          <w:sz w:val="18"/>
        </w:rPr>
        <w:t>the</w:t>
      </w:r>
      <w:r>
        <w:rPr>
          <w:spacing w:val="-3"/>
          <w:sz w:val="18"/>
        </w:rPr>
        <w:t> </w:t>
      </w:r>
      <w:r>
        <w:rPr>
          <w:sz w:val="18"/>
        </w:rPr>
        <w:t>effectiveness</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and</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our</w:t>
      </w:r>
      <w:r>
        <w:rPr>
          <w:spacing w:val="-3"/>
          <w:sz w:val="18"/>
        </w:rPr>
        <w:t> </w:t>
      </w:r>
      <w:r>
        <w:rPr>
          <w:sz w:val="18"/>
        </w:rPr>
        <w:t>conclusions</w:t>
      </w:r>
      <w:r>
        <w:rPr>
          <w:spacing w:val="-3"/>
          <w:sz w:val="18"/>
        </w:rPr>
        <w:t> </w:t>
      </w:r>
      <w:r>
        <w:rPr>
          <w:sz w:val="18"/>
        </w:rPr>
        <w:t>about</w:t>
      </w:r>
      <w:r>
        <w:rPr>
          <w:spacing w:val="-3"/>
          <w:sz w:val="18"/>
        </w:rPr>
        <w:t> </w:t>
      </w:r>
      <w:r>
        <w:rPr>
          <w:sz w:val="18"/>
        </w:rPr>
        <w:t>the</w:t>
      </w:r>
      <w:r>
        <w:rPr>
          <w:spacing w:val="-3"/>
          <w:sz w:val="18"/>
        </w:rPr>
        <w:t> </w:t>
      </w:r>
      <w:r>
        <w:rPr>
          <w:sz w:val="18"/>
        </w:rPr>
        <w:t>effectiveness of the disclosure controls and procedures, as of the end of the period covered by this report based on such evaluation; and</w:t>
      </w:r>
    </w:p>
    <w:p>
      <w:pPr>
        <w:pStyle w:val="BodyText"/>
        <w:spacing w:before="10"/>
      </w:pPr>
    </w:p>
    <w:p>
      <w:pPr>
        <w:pStyle w:val="ListParagraph"/>
        <w:numPr>
          <w:ilvl w:val="1"/>
          <w:numId w:val="59"/>
        </w:numPr>
        <w:tabs>
          <w:tab w:pos="913" w:val="left" w:leader="none"/>
          <w:tab w:pos="1026" w:val="left" w:leader="none"/>
        </w:tabs>
        <w:spacing w:line="249" w:lineRule="auto" w:before="0" w:after="0"/>
        <w:ind w:left="1026" w:right="190" w:hanging="441"/>
        <w:jc w:val="left"/>
        <w:rPr>
          <w:sz w:val="18"/>
        </w:rPr>
      </w:pPr>
      <w:r>
        <w:rPr>
          <w:sz w:val="18"/>
        </w:rPr>
        <w:t>disclosed in this report any change in the registrant’s internal control over financial reporting that occurred during the registrant’s most recent fiscal quarter</w:t>
      </w:r>
      <w:r>
        <w:rPr>
          <w:spacing w:val="-3"/>
          <w:sz w:val="18"/>
        </w:rPr>
        <w:t> </w:t>
      </w:r>
      <w:r>
        <w:rPr>
          <w:sz w:val="18"/>
        </w:rPr>
        <w:t>(the</w:t>
      </w:r>
      <w:r>
        <w:rPr>
          <w:spacing w:val="-3"/>
          <w:sz w:val="18"/>
        </w:rPr>
        <w:t> </w:t>
      </w:r>
      <w:r>
        <w:rPr>
          <w:sz w:val="18"/>
        </w:rPr>
        <w:t>registrant’s</w:t>
      </w:r>
      <w:r>
        <w:rPr>
          <w:spacing w:val="-3"/>
          <w:sz w:val="18"/>
        </w:rPr>
        <w:t> </w:t>
      </w:r>
      <w:r>
        <w:rPr>
          <w:sz w:val="18"/>
        </w:rPr>
        <w:t>fourth</w:t>
      </w:r>
      <w:r>
        <w:rPr>
          <w:spacing w:val="-3"/>
          <w:sz w:val="18"/>
        </w:rPr>
        <w:t> </w:t>
      </w:r>
      <w:r>
        <w:rPr>
          <w:sz w:val="18"/>
        </w:rPr>
        <w:t>fiscal</w:t>
      </w:r>
      <w:r>
        <w:rPr>
          <w:spacing w:val="-3"/>
          <w:sz w:val="18"/>
        </w:rPr>
        <w:t> </w:t>
      </w:r>
      <w:r>
        <w:rPr>
          <w:sz w:val="18"/>
        </w:rPr>
        <w:t>quarter</w:t>
      </w:r>
      <w:r>
        <w:rPr>
          <w:spacing w:val="-3"/>
          <w:sz w:val="18"/>
        </w:rPr>
        <w:t> </w:t>
      </w:r>
      <w:r>
        <w:rPr>
          <w:sz w:val="18"/>
        </w:rPr>
        <w:t>in</w:t>
      </w:r>
      <w:r>
        <w:rPr>
          <w:spacing w:val="-3"/>
          <w:sz w:val="18"/>
        </w:rPr>
        <w:t> </w:t>
      </w:r>
      <w:r>
        <w:rPr>
          <w:sz w:val="18"/>
        </w:rPr>
        <w:t>the</w:t>
      </w:r>
      <w:r>
        <w:rPr>
          <w:spacing w:val="-3"/>
          <w:sz w:val="18"/>
        </w:rPr>
        <w:t> </w:t>
      </w:r>
      <w:r>
        <w:rPr>
          <w:sz w:val="18"/>
        </w:rPr>
        <w:t>case</w:t>
      </w:r>
      <w:r>
        <w:rPr>
          <w:spacing w:val="-3"/>
          <w:sz w:val="18"/>
        </w:rPr>
        <w:t> </w:t>
      </w:r>
      <w:r>
        <w:rPr>
          <w:sz w:val="18"/>
        </w:rPr>
        <w:t>of</w:t>
      </w:r>
      <w:r>
        <w:rPr>
          <w:spacing w:val="-3"/>
          <w:sz w:val="18"/>
        </w:rPr>
        <w:t> </w:t>
      </w:r>
      <w:r>
        <w:rPr>
          <w:sz w:val="18"/>
        </w:rPr>
        <w:t>an</w:t>
      </w:r>
      <w:r>
        <w:rPr>
          <w:spacing w:val="-3"/>
          <w:sz w:val="18"/>
        </w:rPr>
        <w:t> </w:t>
      </w:r>
      <w:r>
        <w:rPr>
          <w:sz w:val="18"/>
        </w:rPr>
        <w:t>annual</w:t>
      </w:r>
      <w:r>
        <w:rPr>
          <w:spacing w:val="-3"/>
          <w:sz w:val="18"/>
        </w:rPr>
        <w:t> </w:t>
      </w:r>
      <w:r>
        <w:rPr>
          <w:sz w:val="18"/>
        </w:rPr>
        <w:t>report)</w:t>
      </w:r>
      <w:r>
        <w:rPr>
          <w:spacing w:val="-3"/>
          <w:sz w:val="18"/>
        </w:rPr>
        <w:t> </w:t>
      </w:r>
      <w:r>
        <w:rPr>
          <w:sz w:val="18"/>
        </w:rPr>
        <w:t>that</w:t>
      </w:r>
      <w:r>
        <w:rPr>
          <w:spacing w:val="-3"/>
          <w:sz w:val="18"/>
        </w:rPr>
        <w:t> </w:t>
      </w:r>
      <w:r>
        <w:rPr>
          <w:sz w:val="18"/>
        </w:rPr>
        <w:t>has</w:t>
      </w:r>
      <w:r>
        <w:rPr>
          <w:spacing w:val="-3"/>
          <w:sz w:val="18"/>
        </w:rPr>
        <w:t> </w:t>
      </w:r>
      <w:r>
        <w:rPr>
          <w:sz w:val="18"/>
        </w:rPr>
        <w:t>materially</w:t>
      </w:r>
      <w:r>
        <w:rPr>
          <w:spacing w:val="-3"/>
          <w:sz w:val="18"/>
        </w:rPr>
        <w:t> </w:t>
      </w:r>
      <w:r>
        <w:rPr>
          <w:sz w:val="18"/>
        </w:rPr>
        <w:t>affected,</w:t>
      </w:r>
      <w:r>
        <w:rPr>
          <w:spacing w:val="-3"/>
          <w:sz w:val="18"/>
        </w:rPr>
        <w:t> </w:t>
      </w:r>
      <w:r>
        <w:rPr>
          <w:sz w:val="18"/>
        </w:rPr>
        <w:t>or</w:t>
      </w:r>
      <w:r>
        <w:rPr>
          <w:spacing w:val="-3"/>
          <w:sz w:val="18"/>
        </w:rPr>
        <w:t> </w:t>
      </w:r>
      <w:r>
        <w:rPr>
          <w:sz w:val="18"/>
        </w:rPr>
        <w:t>is</w:t>
      </w:r>
      <w:r>
        <w:rPr>
          <w:spacing w:val="-3"/>
          <w:sz w:val="18"/>
        </w:rPr>
        <w:t> </w:t>
      </w:r>
      <w:r>
        <w:rPr>
          <w:sz w:val="18"/>
        </w:rPr>
        <w:t>reasonably</w:t>
      </w:r>
      <w:r>
        <w:rPr>
          <w:spacing w:val="-3"/>
          <w:sz w:val="18"/>
        </w:rPr>
        <w:t> </w:t>
      </w:r>
      <w:r>
        <w:rPr>
          <w:sz w:val="18"/>
        </w:rPr>
        <w:t>likely</w:t>
      </w:r>
      <w:r>
        <w:rPr>
          <w:spacing w:val="-3"/>
          <w:sz w:val="18"/>
        </w:rPr>
        <w:t> </w:t>
      </w:r>
      <w:r>
        <w:rPr>
          <w:sz w:val="18"/>
        </w:rPr>
        <w:t>to</w:t>
      </w:r>
      <w:r>
        <w:rPr>
          <w:spacing w:val="-3"/>
          <w:sz w:val="18"/>
        </w:rPr>
        <w:t> </w:t>
      </w:r>
      <w:r>
        <w:rPr>
          <w:sz w:val="18"/>
        </w:rPr>
        <w:t>materially</w:t>
      </w:r>
      <w:r>
        <w:rPr>
          <w:spacing w:val="-3"/>
          <w:sz w:val="18"/>
        </w:rPr>
        <w:t> </w:t>
      </w:r>
      <w:r>
        <w:rPr>
          <w:sz w:val="18"/>
        </w:rPr>
        <w:t>affect, the registrant’s internal control over financial reporting; and</w:t>
      </w:r>
    </w:p>
    <w:p>
      <w:pPr>
        <w:pStyle w:val="BodyText"/>
        <w:spacing w:before="11"/>
      </w:pPr>
    </w:p>
    <w:p>
      <w:pPr>
        <w:pStyle w:val="ListParagraph"/>
        <w:numPr>
          <w:ilvl w:val="0"/>
          <w:numId w:val="59"/>
        </w:numPr>
        <w:tabs>
          <w:tab w:pos="455" w:val="left" w:leader="none"/>
          <w:tab w:pos="585" w:val="left" w:leader="none"/>
        </w:tabs>
        <w:spacing w:line="249" w:lineRule="auto" w:before="1" w:after="0"/>
        <w:ind w:left="585" w:right="741" w:hanging="441"/>
        <w:jc w:val="left"/>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have</w:t>
      </w:r>
      <w:r>
        <w:rPr>
          <w:spacing w:val="-3"/>
          <w:sz w:val="18"/>
        </w:rPr>
        <w:t> </w:t>
      </w:r>
      <w:r>
        <w:rPr>
          <w:sz w:val="18"/>
        </w:rPr>
        <w:t>disclosed,</w:t>
      </w:r>
      <w:r>
        <w:rPr>
          <w:spacing w:val="-3"/>
          <w:sz w:val="18"/>
        </w:rPr>
        <w:t> </w:t>
      </w:r>
      <w:r>
        <w:rPr>
          <w:sz w:val="18"/>
        </w:rPr>
        <w:t>based</w:t>
      </w:r>
      <w:r>
        <w:rPr>
          <w:spacing w:val="-3"/>
          <w:sz w:val="18"/>
        </w:rPr>
        <w:t> </w:t>
      </w:r>
      <w:r>
        <w:rPr>
          <w:sz w:val="18"/>
        </w:rPr>
        <w:t>on</w:t>
      </w:r>
      <w:r>
        <w:rPr>
          <w:spacing w:val="-3"/>
          <w:sz w:val="18"/>
        </w:rPr>
        <w:t> </w:t>
      </w:r>
      <w:r>
        <w:rPr>
          <w:sz w:val="18"/>
        </w:rPr>
        <w:t>our</w:t>
      </w:r>
      <w:r>
        <w:rPr>
          <w:spacing w:val="-3"/>
          <w:sz w:val="18"/>
        </w:rPr>
        <w:t> </w:t>
      </w:r>
      <w:r>
        <w:rPr>
          <w:sz w:val="18"/>
        </w:rPr>
        <w:t>most</w:t>
      </w:r>
      <w:r>
        <w:rPr>
          <w:spacing w:val="-3"/>
          <w:sz w:val="18"/>
        </w:rPr>
        <w:t> </w:t>
      </w:r>
      <w:r>
        <w:rPr>
          <w:sz w:val="18"/>
        </w:rPr>
        <w:t>recent</w:t>
      </w:r>
      <w:r>
        <w:rPr>
          <w:spacing w:val="-3"/>
          <w:sz w:val="18"/>
        </w:rPr>
        <w:t> </w:t>
      </w:r>
      <w:r>
        <w:rPr>
          <w:sz w:val="18"/>
        </w:rPr>
        <w:t>evaluation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to</w:t>
      </w:r>
      <w:r>
        <w:rPr>
          <w:spacing w:val="-3"/>
          <w:sz w:val="18"/>
        </w:rPr>
        <w:t> </w:t>
      </w:r>
      <w:r>
        <w:rPr>
          <w:sz w:val="18"/>
        </w:rPr>
        <w:t>the registrant’s auditors and the audit committee of registrant’s board of directors (or persons performing the equivalent functions):</w:t>
      </w:r>
    </w:p>
    <w:p>
      <w:pPr>
        <w:pStyle w:val="BodyText"/>
        <w:spacing w:before="10"/>
      </w:pPr>
    </w:p>
    <w:p>
      <w:pPr>
        <w:pStyle w:val="ListParagraph"/>
        <w:numPr>
          <w:ilvl w:val="1"/>
          <w:numId w:val="59"/>
        </w:numPr>
        <w:tabs>
          <w:tab w:pos="903" w:val="left" w:leader="none"/>
          <w:tab w:pos="1026" w:val="left" w:leader="none"/>
        </w:tabs>
        <w:spacing w:line="249" w:lineRule="auto" w:before="0" w:after="0"/>
        <w:ind w:left="1026" w:right="159" w:hanging="441"/>
        <w:jc w:val="left"/>
        <w:rPr>
          <w:sz w:val="18"/>
        </w:rPr>
      </w:pPr>
      <w:r>
        <w:rPr>
          <w:sz w:val="18"/>
        </w:rPr>
        <w:t>all</w:t>
      </w:r>
      <w:r>
        <w:rPr>
          <w:spacing w:val="-2"/>
          <w:sz w:val="18"/>
        </w:rPr>
        <w:t> </w:t>
      </w:r>
      <w:r>
        <w:rPr>
          <w:sz w:val="18"/>
        </w:rPr>
        <w:t>significant</w:t>
      </w:r>
      <w:r>
        <w:rPr>
          <w:spacing w:val="-2"/>
          <w:sz w:val="18"/>
        </w:rPr>
        <w:t> </w:t>
      </w:r>
      <w:r>
        <w:rPr>
          <w:sz w:val="18"/>
        </w:rPr>
        <w:t>deficiencies</w:t>
      </w:r>
      <w:r>
        <w:rPr>
          <w:spacing w:val="-2"/>
          <w:sz w:val="18"/>
        </w:rPr>
        <w:t> </w:t>
      </w:r>
      <w:r>
        <w:rPr>
          <w:sz w:val="18"/>
        </w:rPr>
        <w:t>and</w:t>
      </w:r>
      <w:r>
        <w:rPr>
          <w:spacing w:val="-2"/>
          <w:sz w:val="18"/>
        </w:rPr>
        <w:t> </w:t>
      </w:r>
      <w:r>
        <w:rPr>
          <w:sz w:val="18"/>
        </w:rPr>
        <w:t>material</w:t>
      </w:r>
      <w:r>
        <w:rPr>
          <w:spacing w:val="-2"/>
          <w:sz w:val="18"/>
        </w:rPr>
        <w:t> </w:t>
      </w:r>
      <w:r>
        <w:rPr>
          <w:sz w:val="18"/>
        </w:rPr>
        <w:t>weaknesses</w:t>
      </w:r>
      <w:r>
        <w:rPr>
          <w:spacing w:val="-2"/>
          <w:sz w:val="18"/>
        </w:rPr>
        <w:t> </w:t>
      </w:r>
      <w:r>
        <w:rPr>
          <w:sz w:val="18"/>
        </w:rPr>
        <w:t>in</w:t>
      </w:r>
      <w:r>
        <w:rPr>
          <w:spacing w:val="-2"/>
          <w:sz w:val="18"/>
        </w:rPr>
        <w:t> </w:t>
      </w:r>
      <w:r>
        <w:rPr>
          <w:sz w:val="18"/>
        </w:rPr>
        <w:t>the</w:t>
      </w:r>
      <w:r>
        <w:rPr>
          <w:spacing w:val="-2"/>
          <w:sz w:val="18"/>
        </w:rPr>
        <w:t> </w:t>
      </w:r>
      <w:r>
        <w:rPr>
          <w:sz w:val="18"/>
        </w:rPr>
        <w:t>design</w:t>
      </w:r>
      <w:r>
        <w:rPr>
          <w:spacing w:val="-2"/>
          <w:sz w:val="18"/>
        </w:rPr>
        <w:t> </w:t>
      </w:r>
      <w:r>
        <w:rPr>
          <w:sz w:val="18"/>
        </w:rPr>
        <w:t>or</w:t>
      </w:r>
      <w:r>
        <w:rPr>
          <w:spacing w:val="-2"/>
          <w:sz w:val="18"/>
        </w:rPr>
        <w:t> </w:t>
      </w:r>
      <w:r>
        <w:rPr>
          <w:sz w:val="18"/>
        </w:rPr>
        <w:t>operation</w:t>
      </w:r>
      <w:r>
        <w:rPr>
          <w:spacing w:val="-2"/>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which</w:t>
      </w:r>
      <w:r>
        <w:rPr>
          <w:spacing w:val="-2"/>
          <w:sz w:val="18"/>
        </w:rPr>
        <w:t> </w:t>
      </w:r>
      <w:r>
        <w:rPr>
          <w:sz w:val="18"/>
        </w:rPr>
        <w:t>are</w:t>
      </w:r>
      <w:r>
        <w:rPr>
          <w:spacing w:val="-2"/>
          <w:sz w:val="18"/>
        </w:rPr>
        <w:t> </w:t>
      </w:r>
      <w:r>
        <w:rPr>
          <w:sz w:val="18"/>
        </w:rPr>
        <w:t>reasonably</w:t>
      </w:r>
      <w:r>
        <w:rPr>
          <w:spacing w:val="-2"/>
          <w:sz w:val="18"/>
        </w:rPr>
        <w:t> </w:t>
      </w:r>
      <w:r>
        <w:rPr>
          <w:sz w:val="18"/>
        </w:rPr>
        <w:t>likely to adversely affect the registrant’s ability to record, process, summarize and report financial information; and</w:t>
      </w:r>
    </w:p>
    <w:p>
      <w:pPr>
        <w:pStyle w:val="BodyText"/>
        <w:spacing w:before="10"/>
      </w:pPr>
    </w:p>
    <w:p>
      <w:pPr>
        <w:pStyle w:val="ListParagraph"/>
        <w:numPr>
          <w:ilvl w:val="1"/>
          <w:numId w:val="59"/>
        </w:numPr>
        <w:tabs>
          <w:tab w:pos="913" w:val="left" w:leader="none"/>
          <w:tab w:pos="1026" w:val="left" w:leader="none"/>
        </w:tabs>
        <w:spacing w:line="249" w:lineRule="auto" w:before="1" w:after="0"/>
        <w:ind w:left="1026" w:right="198" w:hanging="441"/>
        <w:jc w:val="left"/>
        <w:rPr>
          <w:sz w:val="18"/>
        </w:rPr>
      </w:pPr>
      <w:r>
        <w:rPr>
          <w:sz w:val="18"/>
        </w:rPr>
        <w:t>any</w:t>
      </w:r>
      <w:r>
        <w:rPr>
          <w:spacing w:val="-3"/>
          <w:sz w:val="18"/>
        </w:rPr>
        <w:t> </w:t>
      </w:r>
      <w:r>
        <w:rPr>
          <w:sz w:val="18"/>
        </w:rPr>
        <w:t>fraud,</w:t>
      </w:r>
      <w:r>
        <w:rPr>
          <w:spacing w:val="-3"/>
          <w:sz w:val="18"/>
        </w:rPr>
        <w:t> </w:t>
      </w:r>
      <w:r>
        <w:rPr>
          <w:sz w:val="18"/>
        </w:rPr>
        <w:t>whether</w:t>
      </w:r>
      <w:r>
        <w:rPr>
          <w:spacing w:val="-3"/>
          <w:sz w:val="18"/>
        </w:rPr>
        <w:t> </w:t>
      </w:r>
      <w:r>
        <w:rPr>
          <w:sz w:val="18"/>
        </w:rPr>
        <w:t>or</w:t>
      </w:r>
      <w:r>
        <w:rPr>
          <w:spacing w:val="-3"/>
          <w:sz w:val="18"/>
        </w:rPr>
        <w:t> </w:t>
      </w:r>
      <w:r>
        <w:rPr>
          <w:sz w:val="18"/>
        </w:rPr>
        <w:t>not</w:t>
      </w:r>
      <w:r>
        <w:rPr>
          <w:spacing w:val="-3"/>
          <w:sz w:val="18"/>
        </w:rPr>
        <w:t> </w:t>
      </w:r>
      <w:r>
        <w:rPr>
          <w:sz w:val="18"/>
        </w:rPr>
        <w:t>material,</w:t>
      </w:r>
      <w:r>
        <w:rPr>
          <w:spacing w:val="-3"/>
          <w:sz w:val="18"/>
        </w:rPr>
        <w:t> </w:t>
      </w:r>
      <w:r>
        <w:rPr>
          <w:sz w:val="18"/>
        </w:rPr>
        <w:t>that</w:t>
      </w:r>
      <w:r>
        <w:rPr>
          <w:spacing w:val="-3"/>
          <w:sz w:val="18"/>
        </w:rPr>
        <w:t> </w:t>
      </w:r>
      <w:r>
        <w:rPr>
          <w:sz w:val="18"/>
        </w:rPr>
        <w:t>involves</w:t>
      </w:r>
      <w:r>
        <w:rPr>
          <w:spacing w:val="-3"/>
          <w:sz w:val="18"/>
        </w:rPr>
        <w:t> </w:t>
      </w:r>
      <w:r>
        <w:rPr>
          <w:sz w:val="18"/>
        </w:rPr>
        <w:t>management</w:t>
      </w:r>
      <w:r>
        <w:rPr>
          <w:spacing w:val="-3"/>
          <w:sz w:val="18"/>
        </w:rPr>
        <w:t> </w:t>
      </w:r>
      <w:r>
        <w:rPr>
          <w:sz w:val="18"/>
        </w:rPr>
        <w:t>or</w:t>
      </w:r>
      <w:r>
        <w:rPr>
          <w:spacing w:val="-3"/>
          <w:sz w:val="18"/>
        </w:rPr>
        <w:t> </w:t>
      </w:r>
      <w:r>
        <w:rPr>
          <w:sz w:val="18"/>
        </w:rPr>
        <w:t>other</w:t>
      </w:r>
      <w:r>
        <w:rPr>
          <w:spacing w:val="-3"/>
          <w:sz w:val="18"/>
        </w:rPr>
        <w:t> </w:t>
      </w:r>
      <w:r>
        <w:rPr>
          <w:sz w:val="18"/>
        </w:rPr>
        <w:t>employees</w:t>
      </w:r>
      <w:r>
        <w:rPr>
          <w:spacing w:val="-3"/>
          <w:sz w:val="18"/>
        </w:rPr>
        <w:t> </w:t>
      </w:r>
      <w:r>
        <w:rPr>
          <w:sz w:val="18"/>
        </w:rPr>
        <w:t>who</w:t>
      </w:r>
      <w:r>
        <w:rPr>
          <w:spacing w:val="-3"/>
          <w:sz w:val="18"/>
        </w:rPr>
        <w:t> </w:t>
      </w:r>
      <w:r>
        <w:rPr>
          <w:sz w:val="18"/>
        </w:rPr>
        <w:t>have</w:t>
      </w:r>
      <w:r>
        <w:rPr>
          <w:spacing w:val="-3"/>
          <w:sz w:val="18"/>
        </w:rPr>
        <w:t> </w:t>
      </w:r>
      <w:r>
        <w:rPr>
          <w:sz w:val="18"/>
        </w:rPr>
        <w:t>a</w:t>
      </w:r>
      <w:r>
        <w:rPr>
          <w:spacing w:val="-3"/>
          <w:sz w:val="18"/>
        </w:rPr>
        <w:t> </w:t>
      </w:r>
      <w:r>
        <w:rPr>
          <w:sz w:val="18"/>
        </w:rPr>
        <w:t>significant</w:t>
      </w:r>
      <w:r>
        <w:rPr>
          <w:spacing w:val="-3"/>
          <w:sz w:val="18"/>
        </w:rPr>
        <w:t> </w:t>
      </w:r>
      <w:r>
        <w:rPr>
          <w:sz w:val="18"/>
        </w:rPr>
        <w:t>role</w:t>
      </w:r>
      <w:r>
        <w:rPr>
          <w:spacing w:val="-3"/>
          <w:sz w:val="18"/>
        </w:rPr>
        <w:t> </w:t>
      </w:r>
      <w:r>
        <w:rPr>
          <w:sz w:val="18"/>
        </w:rPr>
        <w:t>in</w:t>
      </w:r>
      <w:r>
        <w:rPr>
          <w:spacing w:val="-3"/>
          <w:sz w:val="18"/>
        </w:rPr>
        <w:t> </w:t>
      </w:r>
      <w:r>
        <w:rPr>
          <w:sz w:val="18"/>
        </w:rPr>
        <w:t>the</w:t>
      </w:r>
      <w:r>
        <w:rPr>
          <w:spacing w:val="-3"/>
          <w:sz w:val="18"/>
        </w:rPr>
        <w:t> </w:t>
      </w:r>
      <w:r>
        <w:rPr>
          <w:sz w:val="18"/>
        </w:rPr>
        <w:t>registrant’s</w:t>
      </w:r>
      <w:r>
        <w:rPr>
          <w:spacing w:val="-3"/>
          <w:sz w:val="18"/>
        </w:rPr>
        <w:t> </w:t>
      </w:r>
      <w:r>
        <w:rPr>
          <w:sz w:val="18"/>
        </w:rPr>
        <w:t>internal</w:t>
      </w:r>
      <w:r>
        <w:rPr>
          <w:spacing w:val="-3"/>
          <w:sz w:val="18"/>
        </w:rPr>
        <w:t> </w:t>
      </w:r>
      <w:r>
        <w:rPr>
          <w:sz w:val="18"/>
        </w:rPr>
        <w:t>control</w:t>
      </w:r>
      <w:r>
        <w:rPr>
          <w:spacing w:val="-3"/>
          <w:sz w:val="18"/>
        </w:rPr>
        <w:t> </w:t>
      </w:r>
      <w:r>
        <w:rPr>
          <w:sz w:val="18"/>
        </w:rPr>
        <w:t>over financial reporting.</w:t>
      </w:r>
    </w:p>
    <w:p>
      <w:pPr>
        <w:pStyle w:val="BodyText"/>
        <w:spacing w:before="10"/>
      </w:pPr>
    </w:p>
    <w:p>
      <w:pPr>
        <w:pStyle w:val="BodyText"/>
        <w:ind w:left="144"/>
      </w:pPr>
      <w:r>
        <w:rPr/>
        <w:t>February</w:t>
      </w:r>
      <w:r>
        <w:rPr>
          <w:spacing w:val="-1"/>
        </w:rPr>
        <w:t> </w:t>
      </w:r>
      <w:r>
        <w:rPr/>
        <w:t>24,</w:t>
      </w:r>
      <w:r>
        <w:rPr>
          <w:spacing w:val="-1"/>
        </w:rPr>
        <w:t> </w:t>
      </w:r>
      <w:r>
        <w:rPr>
          <w:spacing w:val="-4"/>
        </w:rPr>
        <w:t>2023</w:t>
      </w:r>
    </w:p>
    <w:p>
      <w:pPr>
        <w:pStyle w:val="BodyText"/>
        <w:spacing w:before="113"/>
      </w:pPr>
    </w:p>
    <w:p>
      <w:pPr>
        <w:pStyle w:val="BodyText"/>
        <w:spacing w:line="249" w:lineRule="auto"/>
        <w:ind w:left="5988" w:right="3497"/>
      </w:pPr>
      <w:r>
        <w:rPr/>
        <mc:AlternateContent>
          <mc:Choice Requires="wps">
            <w:drawing>
              <wp:anchor distT="0" distB="0" distL="0" distR="0" allowOverlap="1" layoutInCell="1" locked="0" behindDoc="1" simplePos="0" relativeHeight="487821312">
                <wp:simplePos x="0" y="0"/>
                <wp:positionH relativeFrom="page">
                  <wp:posOffset>3934764</wp:posOffset>
                </wp:positionH>
                <wp:positionV relativeFrom="paragraph">
                  <wp:posOffset>295344</wp:posOffset>
                </wp:positionV>
                <wp:extent cx="1449070" cy="17145"/>
                <wp:effectExtent l="0" t="0" r="0" b="0"/>
                <wp:wrapTopAndBottom/>
                <wp:docPr id="1160" name="Graphic 1160"/>
                <wp:cNvGraphicFramePr>
                  <a:graphicFrameLocks/>
                </wp:cNvGraphicFramePr>
                <a:graphic>
                  <a:graphicData uri="http://schemas.microsoft.com/office/word/2010/wordprocessingShape">
                    <wps:wsp>
                      <wps:cNvPr id="1160" name="Graphic 1160"/>
                      <wps:cNvSpPr/>
                      <wps:spPr>
                        <a:xfrm>
                          <a:off x="0" y="0"/>
                          <a:ext cx="1449070" cy="17145"/>
                        </a:xfrm>
                        <a:custGeom>
                          <a:avLst/>
                          <a:gdLst/>
                          <a:ahLst/>
                          <a:cxnLst/>
                          <a:rect l="l" t="t" r="r" b="b"/>
                          <a:pathLst>
                            <a:path w="1449070" h="17145">
                              <a:moveTo>
                                <a:pt x="1448752" y="0"/>
                              </a:moveTo>
                              <a:lnTo>
                                <a:pt x="1431607" y="0"/>
                              </a:lnTo>
                              <a:lnTo>
                                <a:pt x="17145" y="0"/>
                              </a:lnTo>
                              <a:lnTo>
                                <a:pt x="0" y="0"/>
                              </a:lnTo>
                              <a:lnTo>
                                <a:pt x="0" y="17145"/>
                              </a:lnTo>
                              <a:lnTo>
                                <a:pt x="17145" y="17145"/>
                              </a:lnTo>
                              <a:lnTo>
                                <a:pt x="1431607" y="17145"/>
                              </a:lnTo>
                              <a:lnTo>
                                <a:pt x="1448752" y="17145"/>
                              </a:lnTo>
                              <a:lnTo>
                                <a:pt x="1448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824005pt;margin-top:23.255505pt;width:114.1pt;height:1.35pt;mso-position-horizontal-relative:page;mso-position-vertical-relative:paragraph;z-index:-15495168;mso-wrap-distance-left:0;mso-wrap-distance-right:0" id="docshape1158" coordorigin="6196,465" coordsize="2282,27" path="m8478,465l8451,465,6223,465,6196,465,6196,492,6223,492,8451,492,8478,492,8478,465xe" filled="true" fillcolor="#000000" stroked="false">
                <v:path arrowok="t"/>
                <v:fill type="solid"/>
                <w10:wrap type="topAndBottom"/>
              </v:shape>
            </w:pict>
          </mc:Fallback>
        </mc:AlternateContent>
      </w:r>
      <w:r>
        <w:rPr>
          <w:spacing w:val="-2"/>
        </w:rPr>
        <w:t>/s/</w:t>
      </w:r>
      <w:r>
        <w:rPr>
          <w:spacing w:val="-10"/>
        </w:rPr>
        <w:t> </w:t>
      </w:r>
      <w:r>
        <w:rPr>
          <w:spacing w:val="-2"/>
        </w:rPr>
        <w:t>JONATHAN</w:t>
      </w:r>
      <w:r>
        <w:rPr>
          <w:spacing w:val="-9"/>
        </w:rPr>
        <w:t> </w:t>
      </w:r>
      <w:r>
        <w:rPr>
          <w:spacing w:val="-2"/>
        </w:rPr>
        <w:t>S. HALKYARD</w:t>
      </w:r>
    </w:p>
    <w:p>
      <w:pPr>
        <w:pStyle w:val="BodyText"/>
        <w:spacing w:before="21"/>
        <w:ind w:left="5988"/>
      </w:pPr>
      <w:r>
        <w:rPr/>
        <w:t>Jonathan</w:t>
      </w:r>
      <w:r>
        <w:rPr>
          <w:spacing w:val="-1"/>
        </w:rPr>
        <w:t> </w:t>
      </w:r>
      <w:r>
        <w:rPr/>
        <w:t>S.</w:t>
      </w:r>
      <w:r>
        <w:rPr>
          <w:spacing w:val="-1"/>
        </w:rPr>
        <w:t> </w:t>
      </w:r>
      <w:r>
        <w:rPr>
          <w:spacing w:val="-2"/>
        </w:rPr>
        <w:t>Halkyard</w:t>
      </w:r>
    </w:p>
    <w:p>
      <w:pPr>
        <w:pStyle w:val="BodyText"/>
        <w:spacing w:line="249" w:lineRule="auto" w:before="63"/>
        <w:ind w:left="5988" w:right="3497"/>
      </w:pPr>
      <w:r>
        <w:rPr/>
        <w:t>Chief</w:t>
      </w:r>
      <w:r>
        <w:rPr>
          <w:spacing w:val="-12"/>
        </w:rPr>
        <w:t> </w:t>
      </w:r>
      <w:r>
        <w:rPr/>
        <w:t>Financial</w:t>
      </w:r>
      <w:r>
        <w:rPr>
          <w:spacing w:val="-11"/>
        </w:rPr>
        <w:t> </w:t>
      </w:r>
      <w:r>
        <w:rPr/>
        <w:t>Officer</w:t>
      </w:r>
      <w:r>
        <w:rPr>
          <w:spacing w:val="-11"/>
        </w:rPr>
        <w:t> </w:t>
      </w:r>
      <w:r>
        <w:rPr/>
        <w:t>and </w:t>
      </w:r>
      <w:r>
        <w:rPr>
          <w:spacing w:val="-2"/>
        </w:rPr>
        <w:t>Treasurer</w:t>
      </w:r>
    </w:p>
    <w:p>
      <w:pPr>
        <w:spacing w:after="0" w:line="249" w:lineRule="auto"/>
        <w:sectPr>
          <w:pgSz w:w="12240" w:h="15840"/>
          <w:pgMar w:top="940" w:bottom="280" w:left="220" w:right="240"/>
        </w:sectPr>
      </w:pPr>
    </w:p>
    <w:p>
      <w:pPr>
        <w:spacing w:before="66"/>
        <w:ind w:left="0" w:right="118" w:firstLine="0"/>
        <w:jc w:val="right"/>
        <w:rPr>
          <w:b/>
          <w:sz w:val="18"/>
        </w:rPr>
      </w:pPr>
      <w:bookmarkStart w:name="_bookmark45" w:id="46"/>
      <w:bookmarkEnd w:id="46"/>
      <w:r>
        <w:rPr/>
      </w:r>
      <w:r>
        <w:rPr>
          <w:b/>
          <w:sz w:val="18"/>
        </w:rPr>
        <w:t>Exhibit</w:t>
      </w:r>
      <w:r>
        <w:rPr>
          <w:b/>
          <w:spacing w:val="-1"/>
          <w:sz w:val="18"/>
        </w:rPr>
        <w:t> </w:t>
      </w:r>
      <w:r>
        <w:rPr>
          <w:b/>
          <w:spacing w:val="-4"/>
          <w:sz w:val="18"/>
        </w:rPr>
        <w:t>32.1</w:t>
      </w:r>
    </w:p>
    <w:p>
      <w:pPr>
        <w:pStyle w:val="BodyText"/>
        <w:spacing w:before="18"/>
        <w:rPr>
          <w:b/>
        </w:rPr>
      </w:pPr>
    </w:p>
    <w:p>
      <w:pPr>
        <w:pStyle w:val="Heading4"/>
        <w:ind w:left="24"/>
        <w:jc w:val="center"/>
      </w:pPr>
      <w:r>
        <w:rPr/>
        <w:t>CERTIFICATION</w:t>
      </w:r>
      <w:r>
        <w:rPr>
          <w:spacing w:val="-8"/>
        </w:rPr>
        <w:t> </w:t>
      </w:r>
      <w:r>
        <w:rPr/>
        <w:t>PURSUANT</w:t>
      </w:r>
      <w:r>
        <w:rPr>
          <w:spacing w:val="-10"/>
        </w:rPr>
        <w:t> </w:t>
      </w:r>
      <w:r>
        <w:rPr/>
        <w:t>TO</w:t>
      </w:r>
      <w:r>
        <w:rPr>
          <w:spacing w:val="-6"/>
        </w:rPr>
        <w:t> </w:t>
      </w:r>
      <w:r>
        <w:rPr/>
        <w:t>18</w:t>
      </w:r>
      <w:r>
        <w:rPr>
          <w:spacing w:val="-5"/>
        </w:rPr>
        <w:t> </w:t>
      </w:r>
      <w:r>
        <w:rPr/>
        <w:t>U.S.C.</w:t>
      </w:r>
      <w:r>
        <w:rPr>
          <w:spacing w:val="-5"/>
        </w:rPr>
        <w:t> </w:t>
      </w:r>
      <w:r>
        <w:rPr/>
        <w:t>SECTION</w:t>
      </w:r>
      <w:r>
        <w:rPr>
          <w:spacing w:val="-5"/>
        </w:rPr>
        <w:t> </w:t>
      </w:r>
      <w:r>
        <w:rPr>
          <w:spacing w:val="-4"/>
        </w:rPr>
        <w:t>1350</w:t>
      </w:r>
    </w:p>
    <w:p>
      <w:pPr>
        <w:pStyle w:val="BodyText"/>
        <w:spacing w:before="18"/>
        <w:rPr>
          <w:b/>
        </w:rPr>
      </w:pPr>
    </w:p>
    <w:p>
      <w:pPr>
        <w:pStyle w:val="BodyText"/>
        <w:spacing w:line="249" w:lineRule="auto"/>
        <w:ind w:left="144" w:right="218"/>
      </w:pPr>
      <w:r>
        <w:rPr/>
        <w:t>In connection with the</w:t>
      </w:r>
      <w:r>
        <w:rPr>
          <w:spacing w:val="-8"/>
        </w:rPr>
        <w:t> </w:t>
      </w:r>
      <w:r>
        <w:rPr/>
        <w:t>Annual Report of MGM Resorts International (the “Company”) on Form 10-K for the period ending December 31, 2022 as filed with the</w:t>
      </w:r>
      <w:r>
        <w:rPr>
          <w:spacing w:val="-3"/>
        </w:rPr>
        <w:t> </w:t>
      </w:r>
      <w:r>
        <w:rPr/>
        <w:t>Securities</w:t>
      </w:r>
      <w:r>
        <w:rPr>
          <w:spacing w:val="-3"/>
        </w:rPr>
        <w:t> </w:t>
      </w:r>
      <w:r>
        <w:rPr/>
        <w:t>and</w:t>
      </w:r>
      <w:r>
        <w:rPr>
          <w:spacing w:val="-3"/>
        </w:rPr>
        <w:t> </w:t>
      </w:r>
      <w:r>
        <w:rPr/>
        <w:t>Exchange</w:t>
      </w:r>
      <w:r>
        <w:rPr>
          <w:spacing w:val="-3"/>
        </w:rPr>
        <w:t> </w:t>
      </w:r>
      <w:r>
        <w:rPr/>
        <w:t>Commission</w:t>
      </w:r>
      <w:r>
        <w:rPr>
          <w:spacing w:val="-3"/>
        </w:rPr>
        <w:t> </w:t>
      </w:r>
      <w:r>
        <w:rPr/>
        <w:t>on</w:t>
      </w:r>
      <w:r>
        <w:rPr>
          <w:spacing w:val="-3"/>
        </w:rPr>
        <w:t> </w:t>
      </w:r>
      <w:r>
        <w:rPr/>
        <w:t>the</w:t>
      </w:r>
      <w:r>
        <w:rPr>
          <w:spacing w:val="-3"/>
        </w:rPr>
        <w:t> </w:t>
      </w:r>
      <w:r>
        <w:rPr/>
        <w:t>date</w:t>
      </w:r>
      <w:r>
        <w:rPr>
          <w:spacing w:val="-3"/>
        </w:rPr>
        <w:t> </w:t>
      </w:r>
      <w:r>
        <w:rPr/>
        <w:t>hereof</w:t>
      </w:r>
      <w:r>
        <w:rPr>
          <w:spacing w:val="-3"/>
        </w:rPr>
        <w:t> </w:t>
      </w:r>
      <w:r>
        <w:rPr/>
        <w:t>(the</w:t>
      </w:r>
      <w:r>
        <w:rPr>
          <w:spacing w:val="-3"/>
        </w:rPr>
        <w:t> </w:t>
      </w:r>
      <w:r>
        <w:rPr/>
        <w:t>“Report”),</w:t>
      </w:r>
      <w:r>
        <w:rPr>
          <w:spacing w:val="-3"/>
        </w:rPr>
        <w:t> </w:t>
      </w:r>
      <w:r>
        <w:rPr/>
        <w:t>I,</w:t>
      </w:r>
      <w:r>
        <w:rPr>
          <w:spacing w:val="-6"/>
        </w:rPr>
        <w:t> </w:t>
      </w:r>
      <w:r>
        <w:rPr/>
        <w:t>William</w:t>
      </w:r>
      <w:r>
        <w:rPr>
          <w:spacing w:val="-3"/>
        </w:rPr>
        <w:t> </w:t>
      </w:r>
      <w:r>
        <w:rPr/>
        <w:t>J.</w:t>
      </w:r>
      <w:r>
        <w:rPr>
          <w:spacing w:val="-3"/>
        </w:rPr>
        <w:t> </w:t>
      </w:r>
      <w:r>
        <w:rPr/>
        <w:t>Hornbuckle,</w:t>
      </w:r>
      <w:r>
        <w:rPr>
          <w:spacing w:val="-3"/>
        </w:rPr>
        <w:t> </w:t>
      </w:r>
      <w:r>
        <w:rPr/>
        <w:t>Chief</w:t>
      </w:r>
      <w:r>
        <w:rPr>
          <w:spacing w:val="-3"/>
        </w:rPr>
        <w:t> </w:t>
      </w:r>
      <w:r>
        <w:rPr/>
        <w:t>Executive</w:t>
      </w:r>
      <w:r>
        <w:rPr>
          <w:spacing w:val="-3"/>
        </w:rPr>
        <w:t> </w:t>
      </w:r>
      <w:r>
        <w:rPr/>
        <w:t>Officer</w:t>
      </w:r>
      <w:r>
        <w:rPr>
          <w:spacing w:val="-3"/>
        </w:rPr>
        <w:t> </w:t>
      </w:r>
      <w:r>
        <w:rPr/>
        <w:t>and</w:t>
      </w:r>
      <w:r>
        <w:rPr>
          <w:spacing w:val="-3"/>
        </w:rPr>
        <w:t> </w:t>
      </w:r>
      <w:r>
        <w:rPr/>
        <w:t>President</w:t>
      </w:r>
      <w:r>
        <w:rPr>
          <w:spacing w:val="-3"/>
        </w:rPr>
        <w:t> </w:t>
      </w:r>
      <w:r>
        <w:rPr/>
        <w:t>of</w:t>
      </w:r>
      <w:r>
        <w:rPr>
          <w:spacing w:val="-3"/>
        </w:rPr>
        <w:t> </w:t>
      </w:r>
      <w:r>
        <w:rPr/>
        <w:t>the</w:t>
      </w:r>
      <w:r>
        <w:rPr>
          <w:spacing w:val="-3"/>
        </w:rPr>
        <w:t> </w:t>
      </w:r>
      <w:r>
        <w:rPr/>
        <w:t>Company, certify, pursuant to 18 U.S.C. § 1350, as adopted pursuant to § 906 of the Sarbanes-Oxley</w:t>
      </w:r>
      <w:r>
        <w:rPr>
          <w:spacing w:val="-6"/>
        </w:rPr>
        <w:t> </w:t>
      </w:r>
      <w:r>
        <w:rPr/>
        <w:t>Act of 2002, to the best of my knowledge, that:</w:t>
      </w:r>
    </w:p>
    <w:p>
      <w:pPr>
        <w:pStyle w:val="BodyText"/>
        <w:spacing w:before="11"/>
      </w:pPr>
    </w:p>
    <w:p>
      <w:pPr>
        <w:pStyle w:val="ListParagraph"/>
        <w:numPr>
          <w:ilvl w:val="0"/>
          <w:numId w:val="60"/>
        </w:numPr>
        <w:tabs>
          <w:tab w:pos="529" w:val="left" w:leader="none"/>
        </w:tabs>
        <w:spacing w:line="240" w:lineRule="auto" w:before="0" w:after="0"/>
        <w:ind w:left="529" w:right="0" w:hanging="385"/>
        <w:jc w:val="left"/>
        <w:rPr>
          <w:sz w:val="18"/>
        </w:rPr>
      </w:pPr>
      <w:r>
        <w:rPr>
          <w:sz w:val="18"/>
        </w:rPr>
        <w:t>The</w:t>
      </w:r>
      <w:r>
        <w:rPr>
          <w:spacing w:val="-1"/>
          <w:sz w:val="18"/>
        </w:rPr>
        <w:t> </w:t>
      </w:r>
      <w:r>
        <w:rPr>
          <w:sz w:val="18"/>
        </w:rPr>
        <w:t>Report</w:t>
      </w:r>
      <w:r>
        <w:rPr>
          <w:spacing w:val="-1"/>
          <w:sz w:val="18"/>
        </w:rPr>
        <w:t> </w:t>
      </w:r>
      <w:r>
        <w:rPr>
          <w:sz w:val="18"/>
        </w:rPr>
        <w:t>fully</w:t>
      </w:r>
      <w:r>
        <w:rPr>
          <w:spacing w:val="-1"/>
          <w:sz w:val="18"/>
        </w:rPr>
        <w:t> </w:t>
      </w:r>
      <w:r>
        <w:rPr>
          <w:sz w:val="18"/>
        </w:rPr>
        <w:t>complies</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1"/>
          <w:sz w:val="18"/>
        </w:rPr>
        <w:t> </w:t>
      </w:r>
      <w:r>
        <w:rPr>
          <w:sz w:val="18"/>
        </w:rPr>
        <w:t>of</w:t>
      </w:r>
      <w:r>
        <w:rPr>
          <w:spacing w:val="-1"/>
          <w:sz w:val="18"/>
        </w:rPr>
        <w:t> </w:t>
      </w:r>
      <w:r>
        <w:rPr>
          <w:sz w:val="18"/>
        </w:rPr>
        <w:t>section</w:t>
      </w:r>
      <w:r>
        <w:rPr>
          <w:spacing w:val="-1"/>
          <w:sz w:val="18"/>
        </w:rPr>
        <w:t> </w:t>
      </w:r>
      <w:r>
        <w:rPr>
          <w:sz w:val="18"/>
        </w:rPr>
        <w:t>13(a)</w:t>
      </w:r>
      <w:r>
        <w:rPr>
          <w:spacing w:val="-1"/>
          <w:sz w:val="18"/>
        </w:rPr>
        <w:t> </w:t>
      </w:r>
      <w:r>
        <w:rPr>
          <w:sz w:val="18"/>
        </w:rPr>
        <w:t>or</w:t>
      </w:r>
      <w:r>
        <w:rPr>
          <w:spacing w:val="-1"/>
          <w:sz w:val="18"/>
        </w:rPr>
        <w:t> </w:t>
      </w:r>
      <w:r>
        <w:rPr>
          <w:sz w:val="18"/>
        </w:rPr>
        <w:t>15(d)</w:t>
      </w:r>
      <w:r>
        <w:rPr>
          <w:spacing w:val="-1"/>
          <w:sz w:val="18"/>
        </w:rPr>
        <w:t> </w:t>
      </w:r>
      <w:r>
        <w:rPr>
          <w:sz w:val="18"/>
        </w:rPr>
        <w:t>of</w:t>
      </w:r>
      <w:r>
        <w:rPr>
          <w:spacing w:val="-1"/>
          <w:sz w:val="18"/>
        </w:rPr>
        <w:t> </w:t>
      </w:r>
      <w:r>
        <w:rPr>
          <w:sz w:val="18"/>
        </w:rPr>
        <w:t>the</w:t>
      </w:r>
      <w:r>
        <w:rPr>
          <w:spacing w:val="-1"/>
          <w:sz w:val="18"/>
        </w:rPr>
        <w:t> </w:t>
      </w:r>
      <w:r>
        <w:rPr>
          <w:sz w:val="18"/>
        </w:rPr>
        <w:t>Securities</w:t>
      </w:r>
      <w:r>
        <w:rPr>
          <w:spacing w:val="-1"/>
          <w:sz w:val="18"/>
        </w:rPr>
        <w:t> </w:t>
      </w:r>
      <w:r>
        <w:rPr>
          <w:sz w:val="18"/>
        </w:rPr>
        <w:t>Exchange</w:t>
      </w:r>
      <w:r>
        <w:rPr>
          <w:spacing w:val="-10"/>
          <w:sz w:val="18"/>
        </w:rPr>
        <w:t> </w:t>
      </w:r>
      <w:r>
        <w:rPr>
          <w:sz w:val="18"/>
        </w:rPr>
        <w:t>Act</w:t>
      </w:r>
      <w:r>
        <w:rPr>
          <w:spacing w:val="-1"/>
          <w:sz w:val="18"/>
        </w:rPr>
        <w:t> </w:t>
      </w:r>
      <w:r>
        <w:rPr>
          <w:sz w:val="18"/>
        </w:rPr>
        <w:t>of</w:t>
      </w:r>
      <w:r>
        <w:rPr>
          <w:spacing w:val="-1"/>
          <w:sz w:val="18"/>
        </w:rPr>
        <w:t> </w:t>
      </w:r>
      <w:r>
        <w:rPr>
          <w:sz w:val="18"/>
        </w:rPr>
        <w:t>1934;</w:t>
      </w:r>
      <w:r>
        <w:rPr>
          <w:spacing w:val="-1"/>
          <w:sz w:val="18"/>
        </w:rPr>
        <w:t> </w:t>
      </w:r>
      <w:r>
        <w:rPr>
          <w:spacing w:val="-5"/>
          <w:sz w:val="18"/>
        </w:rPr>
        <w:t>and</w:t>
      </w:r>
    </w:p>
    <w:p>
      <w:pPr>
        <w:pStyle w:val="BodyText"/>
        <w:spacing w:before="18"/>
      </w:pPr>
    </w:p>
    <w:p>
      <w:pPr>
        <w:pStyle w:val="ListParagraph"/>
        <w:numPr>
          <w:ilvl w:val="0"/>
          <w:numId w:val="60"/>
        </w:numPr>
        <w:tabs>
          <w:tab w:pos="529" w:val="left" w:leader="none"/>
        </w:tabs>
        <w:spacing w:line="240" w:lineRule="auto" w:before="0" w:after="0"/>
        <w:ind w:left="529" w:right="0" w:hanging="385"/>
        <w:jc w:val="left"/>
        <w:rPr>
          <w:sz w:val="18"/>
        </w:rPr>
      </w:pPr>
      <w:r>
        <w:rPr>
          <w:sz w:val="18"/>
        </w:rPr>
        <w:t>The</w:t>
      </w:r>
      <w:r>
        <w:rPr>
          <w:spacing w:val="-3"/>
          <w:sz w:val="18"/>
        </w:rPr>
        <w:t> </w:t>
      </w:r>
      <w:r>
        <w:rPr>
          <w:sz w:val="18"/>
        </w:rPr>
        <w:t>information</w:t>
      </w:r>
      <w:r>
        <w:rPr>
          <w:spacing w:val="-1"/>
          <w:sz w:val="18"/>
        </w:rPr>
        <w:t> </w:t>
      </w:r>
      <w:r>
        <w:rPr>
          <w:sz w:val="18"/>
        </w:rPr>
        <w:t>contained</w:t>
      </w:r>
      <w:r>
        <w:rPr>
          <w:spacing w:val="-1"/>
          <w:sz w:val="18"/>
        </w:rPr>
        <w:t> </w:t>
      </w:r>
      <w:r>
        <w:rPr>
          <w:sz w:val="18"/>
        </w:rPr>
        <w:t>in</w:t>
      </w:r>
      <w:r>
        <w:rPr>
          <w:spacing w:val="-1"/>
          <w:sz w:val="18"/>
        </w:rPr>
        <w:t> </w:t>
      </w:r>
      <w:r>
        <w:rPr>
          <w:sz w:val="18"/>
        </w:rPr>
        <w:t>the</w:t>
      </w:r>
      <w:r>
        <w:rPr>
          <w:spacing w:val="-1"/>
          <w:sz w:val="18"/>
        </w:rPr>
        <w:t> </w:t>
      </w:r>
      <w:r>
        <w:rPr>
          <w:sz w:val="18"/>
        </w:rPr>
        <w:t>Report</w:t>
      </w:r>
      <w:r>
        <w:rPr>
          <w:spacing w:val="-1"/>
          <w:sz w:val="18"/>
        </w:rPr>
        <w:t> </w:t>
      </w:r>
      <w:r>
        <w:rPr>
          <w:sz w:val="18"/>
        </w:rPr>
        <w:t>fairly</w:t>
      </w:r>
      <w:r>
        <w:rPr>
          <w:spacing w:val="-1"/>
          <w:sz w:val="18"/>
        </w:rPr>
        <w:t> </w:t>
      </w:r>
      <w:r>
        <w:rPr>
          <w:sz w:val="18"/>
        </w:rPr>
        <w:t>presents,</w:t>
      </w:r>
      <w:r>
        <w:rPr>
          <w:spacing w:val="-1"/>
          <w:sz w:val="18"/>
        </w:rPr>
        <w:t> </w:t>
      </w:r>
      <w:r>
        <w:rPr>
          <w:sz w:val="18"/>
        </w:rPr>
        <w:t>in</w:t>
      </w:r>
      <w:r>
        <w:rPr>
          <w:spacing w:val="-1"/>
          <w:sz w:val="18"/>
        </w:rPr>
        <w:t> </w:t>
      </w:r>
      <w:r>
        <w:rPr>
          <w:sz w:val="18"/>
        </w:rPr>
        <w:t>all</w:t>
      </w:r>
      <w:r>
        <w:rPr>
          <w:spacing w:val="-1"/>
          <w:sz w:val="18"/>
        </w:rPr>
        <w:t> </w:t>
      </w:r>
      <w:r>
        <w:rPr>
          <w:sz w:val="18"/>
        </w:rPr>
        <w:t>material</w:t>
      </w:r>
      <w:r>
        <w:rPr>
          <w:spacing w:val="-1"/>
          <w:sz w:val="18"/>
        </w:rPr>
        <w:t> </w:t>
      </w:r>
      <w:r>
        <w:rPr>
          <w:sz w:val="18"/>
        </w:rPr>
        <w:t>respects,</w:t>
      </w:r>
      <w:r>
        <w:rPr>
          <w:spacing w:val="-1"/>
          <w:sz w:val="18"/>
        </w:rPr>
        <w:t> </w:t>
      </w:r>
      <w:r>
        <w:rPr>
          <w:sz w:val="18"/>
        </w:rPr>
        <w:t>the</w:t>
      </w:r>
      <w:r>
        <w:rPr>
          <w:spacing w:val="-1"/>
          <w:sz w:val="18"/>
        </w:rPr>
        <w:t> </w:t>
      </w:r>
      <w:r>
        <w:rPr>
          <w:sz w:val="18"/>
        </w:rPr>
        <w:t>financial</w:t>
      </w:r>
      <w:r>
        <w:rPr>
          <w:spacing w:val="-1"/>
          <w:sz w:val="18"/>
        </w:rPr>
        <w:t> </w:t>
      </w:r>
      <w:r>
        <w:rPr>
          <w:sz w:val="18"/>
        </w:rPr>
        <w:t>condition</w:t>
      </w:r>
      <w:r>
        <w:rPr>
          <w:spacing w:val="-1"/>
          <w:sz w:val="18"/>
        </w:rPr>
        <w:t> </w:t>
      </w:r>
      <w:r>
        <w:rPr>
          <w:sz w:val="18"/>
        </w:rPr>
        <w:t>and</w:t>
      </w:r>
      <w:r>
        <w:rPr>
          <w:spacing w:val="-1"/>
          <w:sz w:val="18"/>
        </w:rPr>
        <w:t> </w:t>
      </w:r>
      <w:r>
        <w:rPr>
          <w:sz w:val="18"/>
        </w:rPr>
        <w:t>results</w:t>
      </w:r>
      <w:r>
        <w:rPr>
          <w:spacing w:val="-1"/>
          <w:sz w:val="18"/>
        </w:rPr>
        <w:t> </w:t>
      </w:r>
      <w:r>
        <w:rPr>
          <w:sz w:val="18"/>
        </w:rPr>
        <w:t>of</w:t>
      </w:r>
      <w:r>
        <w:rPr>
          <w:spacing w:val="-1"/>
          <w:sz w:val="18"/>
        </w:rPr>
        <w:t> </w:t>
      </w:r>
      <w:r>
        <w:rPr>
          <w:sz w:val="18"/>
        </w:rPr>
        <w:t>operations</w:t>
      </w:r>
      <w:r>
        <w:rPr>
          <w:spacing w:val="-1"/>
          <w:sz w:val="18"/>
        </w:rPr>
        <w:t> </w:t>
      </w:r>
      <w:r>
        <w:rPr>
          <w:sz w:val="18"/>
        </w:rPr>
        <w:t>of</w:t>
      </w:r>
      <w:r>
        <w:rPr>
          <w:spacing w:val="-1"/>
          <w:sz w:val="18"/>
        </w:rPr>
        <w:t> </w:t>
      </w:r>
      <w:r>
        <w:rPr>
          <w:sz w:val="18"/>
        </w:rPr>
        <w:t>the</w:t>
      </w:r>
      <w:r>
        <w:rPr>
          <w:spacing w:val="-1"/>
          <w:sz w:val="18"/>
        </w:rPr>
        <w:t> </w:t>
      </w:r>
      <w:r>
        <w:rPr>
          <w:spacing w:val="-2"/>
          <w:sz w:val="18"/>
        </w:rPr>
        <w:t>Company.</w:t>
      </w:r>
    </w:p>
    <w:p>
      <w:pPr>
        <w:pStyle w:val="BodyText"/>
        <w:spacing w:before="126"/>
      </w:pPr>
    </w:p>
    <w:p>
      <w:pPr>
        <w:pStyle w:val="BodyText"/>
        <w:spacing w:before="1"/>
        <w:ind w:left="162"/>
      </w:pPr>
      <w:r>
        <w:rPr/>
        <mc:AlternateContent>
          <mc:Choice Requires="wps">
            <w:drawing>
              <wp:anchor distT="0" distB="0" distL="0" distR="0" allowOverlap="1" layoutInCell="1" locked="0" behindDoc="1" simplePos="0" relativeHeight="487821824">
                <wp:simplePos x="0" y="0"/>
                <wp:positionH relativeFrom="page">
                  <wp:posOffset>231444</wp:posOffset>
                </wp:positionH>
                <wp:positionV relativeFrom="paragraph">
                  <wp:posOffset>158694</wp:posOffset>
                </wp:positionV>
                <wp:extent cx="2923540" cy="8890"/>
                <wp:effectExtent l="0" t="0" r="0" b="0"/>
                <wp:wrapTopAndBottom/>
                <wp:docPr id="1161" name="Graphic 1161"/>
                <wp:cNvGraphicFramePr>
                  <a:graphicFrameLocks/>
                </wp:cNvGraphicFramePr>
                <a:graphic>
                  <a:graphicData uri="http://schemas.microsoft.com/office/word/2010/wordprocessingShape">
                    <wps:wsp>
                      <wps:cNvPr id="1161" name="Graphic 1161"/>
                      <wps:cNvSpPr/>
                      <wps:spPr>
                        <a:xfrm>
                          <a:off x="0" y="0"/>
                          <a:ext cx="2923540" cy="8890"/>
                        </a:xfrm>
                        <a:custGeom>
                          <a:avLst/>
                          <a:gdLst/>
                          <a:ahLst/>
                          <a:cxnLst/>
                          <a:rect l="l" t="t" r="r" b="b"/>
                          <a:pathLst>
                            <a:path w="2923540" h="8890">
                              <a:moveTo>
                                <a:pt x="2923222" y="0"/>
                              </a:moveTo>
                              <a:lnTo>
                                <a:pt x="2906077" y="0"/>
                              </a:lnTo>
                              <a:lnTo>
                                <a:pt x="25717" y="0"/>
                              </a:lnTo>
                              <a:lnTo>
                                <a:pt x="0" y="0"/>
                              </a:lnTo>
                              <a:lnTo>
                                <a:pt x="0" y="8572"/>
                              </a:lnTo>
                              <a:lnTo>
                                <a:pt x="25717" y="8572"/>
                              </a:lnTo>
                              <a:lnTo>
                                <a:pt x="2906077" y="8572"/>
                              </a:lnTo>
                              <a:lnTo>
                                <a:pt x="2923222" y="8572"/>
                              </a:lnTo>
                              <a:lnTo>
                                <a:pt x="292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495625pt;width:230.2pt;height:.7pt;mso-position-horizontal-relative:page;mso-position-vertical-relative:paragraph;z-index:-15494656;mso-wrap-distance-left:0;mso-wrap-distance-right:0" id="docshape1159" coordorigin="364,250" coordsize="4604,14" path="m4968,250l4941,250,405,250,364,250,364,263,405,263,4941,263,4968,263,4968,250xe" filled="true" fillcolor="#000000" stroked="false">
                <v:path arrowok="t"/>
                <v:fill type="solid"/>
                <w10:wrap type="topAndBottom"/>
              </v:shape>
            </w:pict>
          </mc:Fallback>
        </mc:AlternateContent>
      </w:r>
      <w:r>
        <w:rPr/>
        <w:t>/s/</w:t>
      </w:r>
      <w:r>
        <w:rPr>
          <w:spacing w:val="-4"/>
        </w:rPr>
        <w:t> </w:t>
      </w:r>
      <w:r>
        <w:rPr/>
        <w:t>WILLIAM</w:t>
      </w:r>
      <w:r>
        <w:rPr>
          <w:spacing w:val="-1"/>
        </w:rPr>
        <w:t> </w:t>
      </w:r>
      <w:r>
        <w:rPr/>
        <w:t>J.</w:t>
      </w:r>
      <w:r>
        <w:rPr>
          <w:spacing w:val="-1"/>
        </w:rPr>
        <w:t> </w:t>
      </w:r>
      <w:r>
        <w:rPr>
          <w:spacing w:val="-2"/>
        </w:rPr>
        <w:t>HORNBUCKLE</w:t>
      </w:r>
    </w:p>
    <w:p>
      <w:pPr>
        <w:pStyle w:val="BodyText"/>
        <w:spacing w:before="21"/>
        <w:ind w:left="162"/>
      </w:pPr>
      <w:r>
        <w:rPr/>
        <w:t>William</w:t>
      </w:r>
      <w:r>
        <w:rPr>
          <w:spacing w:val="-5"/>
        </w:rPr>
        <w:t> </w:t>
      </w:r>
      <w:r>
        <w:rPr/>
        <w:t>J.</w:t>
      </w:r>
      <w:r>
        <w:rPr>
          <w:spacing w:val="-5"/>
        </w:rPr>
        <w:t> </w:t>
      </w:r>
      <w:r>
        <w:rPr>
          <w:spacing w:val="-2"/>
        </w:rPr>
        <w:t>Hornbuckle</w:t>
      </w:r>
    </w:p>
    <w:p>
      <w:pPr>
        <w:pStyle w:val="BodyText"/>
        <w:spacing w:line="312" w:lineRule="auto" w:before="63"/>
        <w:ind w:left="162" w:right="8704"/>
      </w:pPr>
      <w:r>
        <w:rPr/>
        <w:t>Chief</w:t>
      </w:r>
      <w:r>
        <w:rPr>
          <w:spacing w:val="-11"/>
        </w:rPr>
        <w:t> </w:t>
      </w:r>
      <w:r>
        <w:rPr/>
        <w:t>Executive</w:t>
      </w:r>
      <w:r>
        <w:rPr>
          <w:spacing w:val="-11"/>
        </w:rPr>
        <w:t> </w:t>
      </w:r>
      <w:r>
        <w:rPr/>
        <w:t>Officer</w:t>
      </w:r>
      <w:r>
        <w:rPr>
          <w:spacing w:val="-11"/>
        </w:rPr>
        <w:t> </w:t>
      </w:r>
      <w:r>
        <w:rPr/>
        <w:t>and</w:t>
      </w:r>
      <w:r>
        <w:rPr>
          <w:spacing w:val="-11"/>
        </w:rPr>
        <w:t> </w:t>
      </w:r>
      <w:r>
        <w:rPr/>
        <w:t>President February 24, 2023</w:t>
      </w:r>
    </w:p>
    <w:p>
      <w:pPr>
        <w:pStyle w:val="BodyText"/>
      </w:pPr>
    </w:p>
    <w:p>
      <w:pPr>
        <w:pStyle w:val="BodyText"/>
        <w:spacing w:before="9"/>
      </w:pPr>
    </w:p>
    <w:p>
      <w:pPr>
        <w:pStyle w:val="BodyText"/>
        <w:spacing w:line="235" w:lineRule="auto"/>
        <w:ind w:left="144" w:right="218"/>
      </w:pPr>
      <w:r>
        <w:rPr/>
        <w:t>A</w:t>
      </w:r>
      <w:r>
        <w:rPr>
          <w:spacing w:val="-11"/>
        </w:rPr>
        <w:t> </w:t>
      </w:r>
      <w:r>
        <w:rPr/>
        <w:t>signed</w:t>
      </w:r>
      <w:r>
        <w:rPr>
          <w:spacing w:val="-2"/>
        </w:rPr>
        <w:t> </w:t>
      </w:r>
      <w:r>
        <w:rPr/>
        <w:t>original</w:t>
      </w:r>
      <w:r>
        <w:rPr>
          <w:spacing w:val="-2"/>
        </w:rPr>
        <w:t> </w:t>
      </w:r>
      <w:r>
        <w:rPr/>
        <w:t>of</w:t>
      </w:r>
      <w:r>
        <w:rPr>
          <w:spacing w:val="-2"/>
        </w:rPr>
        <w:t> </w:t>
      </w:r>
      <w:r>
        <w:rPr/>
        <w:t>this</w:t>
      </w:r>
      <w:r>
        <w:rPr>
          <w:spacing w:val="-2"/>
        </w:rPr>
        <w:t> </w:t>
      </w:r>
      <w:r>
        <w:rPr/>
        <w:t>written</w:t>
      </w:r>
      <w:r>
        <w:rPr>
          <w:spacing w:val="-2"/>
        </w:rPr>
        <w:t> </w:t>
      </w:r>
      <w:r>
        <w:rPr/>
        <w:t>statement</w:t>
      </w:r>
      <w:r>
        <w:rPr>
          <w:spacing w:val="-2"/>
        </w:rPr>
        <w:t> </w:t>
      </w:r>
      <w:r>
        <w:rPr/>
        <w:t>required</w:t>
      </w:r>
      <w:r>
        <w:rPr>
          <w:spacing w:val="-2"/>
        </w:rPr>
        <w:t> </w:t>
      </w:r>
      <w:r>
        <w:rPr/>
        <w:t>by</w:t>
      </w:r>
      <w:r>
        <w:rPr>
          <w:spacing w:val="-2"/>
        </w:rPr>
        <w:t> </w:t>
      </w:r>
      <w:r>
        <w:rPr/>
        <w:t>Section</w:t>
      </w:r>
      <w:r>
        <w:rPr>
          <w:spacing w:val="-2"/>
        </w:rPr>
        <w:t> </w:t>
      </w:r>
      <w:r>
        <w:rPr/>
        <w:t>906,</w:t>
      </w:r>
      <w:r>
        <w:rPr>
          <w:spacing w:val="-2"/>
        </w:rPr>
        <w:t> </w:t>
      </w:r>
      <w:r>
        <w:rPr/>
        <w:t>or</w:t>
      </w:r>
      <w:r>
        <w:rPr>
          <w:spacing w:val="-2"/>
        </w:rPr>
        <w:t> </w:t>
      </w:r>
      <w:r>
        <w:rPr/>
        <w:t>other</w:t>
      </w:r>
      <w:r>
        <w:rPr>
          <w:spacing w:val="-2"/>
        </w:rPr>
        <w:t> </w:t>
      </w:r>
      <w:r>
        <w:rPr/>
        <w:t>document</w:t>
      </w:r>
      <w:r>
        <w:rPr>
          <w:spacing w:val="-2"/>
        </w:rPr>
        <w:t> </w:t>
      </w:r>
      <w:r>
        <w:rPr/>
        <w:t>authenticating,</w:t>
      </w:r>
      <w:r>
        <w:rPr>
          <w:spacing w:val="-2"/>
        </w:rPr>
        <w:t> </w:t>
      </w:r>
      <w:r>
        <w:rPr/>
        <w:t>acknowledging,</w:t>
      </w:r>
      <w:r>
        <w:rPr>
          <w:spacing w:val="-2"/>
        </w:rPr>
        <w:t> </w:t>
      </w:r>
      <w:r>
        <w:rPr/>
        <w:t>or</w:t>
      </w:r>
      <w:r>
        <w:rPr>
          <w:spacing w:val="-2"/>
        </w:rPr>
        <w:t> </w:t>
      </w:r>
      <w:r>
        <w:rPr/>
        <w:t>otherwise</w:t>
      </w:r>
      <w:r>
        <w:rPr>
          <w:spacing w:val="-2"/>
        </w:rPr>
        <w:t> </w:t>
      </w:r>
      <w:r>
        <w:rPr/>
        <w:t>adopting</w:t>
      </w:r>
      <w:r>
        <w:rPr>
          <w:spacing w:val="-2"/>
        </w:rPr>
        <w:t> </w:t>
      </w:r>
      <w:r>
        <w:rPr/>
        <w:t>the</w:t>
      </w:r>
      <w:r>
        <w:rPr>
          <w:spacing w:val="-2"/>
        </w:rPr>
        <w:t> </w:t>
      </w:r>
      <w:r>
        <w:rPr/>
        <w:t>signature</w:t>
      </w:r>
      <w:r>
        <w:rPr>
          <w:spacing w:val="-2"/>
        </w:rPr>
        <w:t> </w:t>
      </w:r>
      <w:r>
        <w:rPr/>
        <w:t>that appears in typed form within the electronic version of this written statement required by Section 906, has been provided to the Company and will be retained by the Company and furnished to the Securities and Exchange Commission or its staff upon request.</w:t>
      </w:r>
    </w:p>
    <w:p>
      <w:pPr>
        <w:spacing w:after="0" w:line="235" w:lineRule="auto"/>
        <w:sectPr>
          <w:pgSz w:w="12240" w:h="15840"/>
          <w:pgMar w:top="940" w:bottom="280" w:left="220" w:right="240"/>
        </w:sectPr>
      </w:pPr>
    </w:p>
    <w:p>
      <w:pPr>
        <w:spacing w:before="66"/>
        <w:ind w:left="0" w:right="118" w:firstLine="0"/>
        <w:jc w:val="right"/>
        <w:rPr>
          <w:b/>
          <w:sz w:val="18"/>
        </w:rPr>
      </w:pPr>
      <w:bookmarkStart w:name="_bookmark46" w:id="47"/>
      <w:bookmarkEnd w:id="47"/>
      <w:r>
        <w:rPr/>
      </w:r>
      <w:r>
        <w:rPr>
          <w:b/>
          <w:sz w:val="18"/>
        </w:rPr>
        <w:t>Exhibit</w:t>
      </w:r>
      <w:r>
        <w:rPr>
          <w:b/>
          <w:spacing w:val="-1"/>
          <w:sz w:val="18"/>
        </w:rPr>
        <w:t> </w:t>
      </w:r>
      <w:r>
        <w:rPr>
          <w:b/>
          <w:spacing w:val="-4"/>
          <w:sz w:val="18"/>
        </w:rPr>
        <w:t>32.2</w:t>
      </w:r>
    </w:p>
    <w:p>
      <w:pPr>
        <w:pStyle w:val="BodyText"/>
        <w:spacing w:before="18"/>
        <w:rPr>
          <w:b/>
        </w:rPr>
      </w:pPr>
    </w:p>
    <w:p>
      <w:pPr>
        <w:pStyle w:val="Heading4"/>
        <w:ind w:left="24"/>
        <w:jc w:val="center"/>
      </w:pPr>
      <w:r>
        <w:rPr/>
        <w:t>CERTIFICATION</w:t>
      </w:r>
      <w:r>
        <w:rPr>
          <w:spacing w:val="-8"/>
        </w:rPr>
        <w:t> </w:t>
      </w:r>
      <w:r>
        <w:rPr/>
        <w:t>PURSUANT</w:t>
      </w:r>
      <w:r>
        <w:rPr>
          <w:spacing w:val="-10"/>
        </w:rPr>
        <w:t> </w:t>
      </w:r>
      <w:r>
        <w:rPr/>
        <w:t>TO</w:t>
      </w:r>
      <w:r>
        <w:rPr>
          <w:spacing w:val="-6"/>
        </w:rPr>
        <w:t> </w:t>
      </w:r>
      <w:r>
        <w:rPr/>
        <w:t>18</w:t>
      </w:r>
      <w:r>
        <w:rPr>
          <w:spacing w:val="-5"/>
        </w:rPr>
        <w:t> </w:t>
      </w:r>
      <w:r>
        <w:rPr/>
        <w:t>U.S.C.</w:t>
      </w:r>
      <w:r>
        <w:rPr>
          <w:spacing w:val="-5"/>
        </w:rPr>
        <w:t> </w:t>
      </w:r>
      <w:r>
        <w:rPr/>
        <w:t>SECTION</w:t>
      </w:r>
      <w:r>
        <w:rPr>
          <w:spacing w:val="-5"/>
        </w:rPr>
        <w:t> </w:t>
      </w:r>
      <w:r>
        <w:rPr>
          <w:spacing w:val="-4"/>
        </w:rPr>
        <w:t>1350</w:t>
      </w:r>
    </w:p>
    <w:p>
      <w:pPr>
        <w:pStyle w:val="BodyText"/>
        <w:spacing w:before="18"/>
        <w:rPr>
          <w:b/>
        </w:rPr>
      </w:pPr>
    </w:p>
    <w:p>
      <w:pPr>
        <w:pStyle w:val="BodyText"/>
        <w:spacing w:line="249" w:lineRule="auto"/>
        <w:ind w:left="144" w:right="363"/>
        <w:jc w:val="both"/>
      </w:pPr>
      <w:r>
        <w:rPr/>
        <w:t>In</w:t>
      </w:r>
      <w:r>
        <w:rPr>
          <w:spacing w:val="-2"/>
        </w:rPr>
        <w:t> </w:t>
      </w:r>
      <w:r>
        <w:rPr/>
        <w:t>connection</w:t>
      </w:r>
      <w:r>
        <w:rPr>
          <w:spacing w:val="-2"/>
        </w:rPr>
        <w:t> </w:t>
      </w:r>
      <w:r>
        <w:rPr/>
        <w:t>with</w:t>
      </w:r>
      <w:r>
        <w:rPr>
          <w:spacing w:val="-2"/>
        </w:rPr>
        <w:t> </w:t>
      </w:r>
      <w:r>
        <w:rPr/>
        <w:t>the</w:t>
      </w:r>
      <w:r>
        <w:rPr>
          <w:spacing w:val="-11"/>
        </w:rPr>
        <w:t> </w:t>
      </w:r>
      <w:r>
        <w:rPr/>
        <w:t>Annual</w:t>
      </w:r>
      <w:r>
        <w:rPr>
          <w:spacing w:val="-2"/>
        </w:rPr>
        <w:t> </w:t>
      </w:r>
      <w:r>
        <w:rPr/>
        <w:t>Report</w:t>
      </w:r>
      <w:r>
        <w:rPr>
          <w:spacing w:val="-2"/>
        </w:rPr>
        <w:t> </w:t>
      </w:r>
      <w:r>
        <w:rPr/>
        <w:t>of</w:t>
      </w:r>
      <w:r>
        <w:rPr>
          <w:spacing w:val="-2"/>
        </w:rPr>
        <w:t> </w:t>
      </w:r>
      <w:r>
        <w:rPr/>
        <w:t>MGM</w:t>
      </w:r>
      <w:r>
        <w:rPr>
          <w:spacing w:val="-2"/>
        </w:rPr>
        <w:t> </w:t>
      </w:r>
      <w:r>
        <w:rPr/>
        <w:t>Resorts</w:t>
      </w:r>
      <w:r>
        <w:rPr>
          <w:spacing w:val="-2"/>
        </w:rPr>
        <w:t> </w:t>
      </w:r>
      <w:r>
        <w:rPr/>
        <w:t>International</w:t>
      </w:r>
      <w:r>
        <w:rPr>
          <w:spacing w:val="-2"/>
        </w:rPr>
        <w:t> </w:t>
      </w:r>
      <w:r>
        <w:rPr/>
        <w:t>(the</w:t>
      </w:r>
      <w:r>
        <w:rPr>
          <w:spacing w:val="-2"/>
        </w:rPr>
        <w:t> </w:t>
      </w:r>
      <w:r>
        <w:rPr/>
        <w:t>“Company”)</w:t>
      </w:r>
      <w:r>
        <w:rPr>
          <w:spacing w:val="-2"/>
        </w:rPr>
        <w:t> </w:t>
      </w:r>
      <w:r>
        <w:rPr/>
        <w:t>on</w:t>
      </w:r>
      <w:r>
        <w:rPr>
          <w:spacing w:val="-2"/>
        </w:rPr>
        <w:t> </w:t>
      </w:r>
      <w:r>
        <w:rPr/>
        <w:t>Form</w:t>
      </w:r>
      <w:r>
        <w:rPr>
          <w:spacing w:val="-2"/>
        </w:rPr>
        <w:t> </w:t>
      </w:r>
      <w:r>
        <w:rPr/>
        <w:t>10-K</w:t>
      </w:r>
      <w:r>
        <w:rPr>
          <w:spacing w:val="-2"/>
        </w:rPr>
        <w:t> </w:t>
      </w:r>
      <w:r>
        <w:rPr/>
        <w:t>for</w:t>
      </w:r>
      <w:r>
        <w:rPr>
          <w:spacing w:val="-2"/>
        </w:rPr>
        <w:t> </w:t>
      </w:r>
      <w:r>
        <w:rPr/>
        <w:t>the</w:t>
      </w:r>
      <w:r>
        <w:rPr>
          <w:spacing w:val="-2"/>
        </w:rPr>
        <w:t> </w:t>
      </w:r>
      <w:r>
        <w:rPr/>
        <w:t>period</w:t>
      </w:r>
      <w:r>
        <w:rPr>
          <w:spacing w:val="-2"/>
        </w:rPr>
        <w:t> </w:t>
      </w:r>
      <w:r>
        <w:rPr/>
        <w:t>ending</w:t>
      </w:r>
      <w:r>
        <w:rPr>
          <w:spacing w:val="-2"/>
        </w:rPr>
        <w:t> </w:t>
      </w:r>
      <w:r>
        <w:rPr/>
        <w:t>December</w:t>
      </w:r>
      <w:r>
        <w:rPr>
          <w:spacing w:val="-2"/>
        </w:rPr>
        <w:t> </w:t>
      </w:r>
      <w:r>
        <w:rPr/>
        <w:t>31,</w:t>
      </w:r>
      <w:r>
        <w:rPr>
          <w:spacing w:val="-2"/>
        </w:rPr>
        <w:t> </w:t>
      </w:r>
      <w:r>
        <w:rPr/>
        <w:t>2022</w:t>
      </w:r>
      <w:r>
        <w:rPr>
          <w:spacing w:val="-2"/>
        </w:rPr>
        <w:t> </w:t>
      </w:r>
      <w:r>
        <w:rPr/>
        <w:t>as</w:t>
      </w:r>
      <w:r>
        <w:rPr>
          <w:spacing w:val="-2"/>
        </w:rPr>
        <w:t> </w:t>
      </w:r>
      <w:r>
        <w:rPr/>
        <w:t>filed</w:t>
      </w:r>
      <w:r>
        <w:rPr>
          <w:spacing w:val="-2"/>
        </w:rPr>
        <w:t> </w:t>
      </w:r>
      <w:r>
        <w:rPr/>
        <w:t>with the</w:t>
      </w:r>
      <w:r>
        <w:rPr>
          <w:spacing w:val="-1"/>
        </w:rPr>
        <w:t> </w:t>
      </w:r>
      <w:r>
        <w:rPr/>
        <w:t>Securities</w:t>
      </w:r>
      <w:r>
        <w:rPr>
          <w:spacing w:val="-1"/>
        </w:rPr>
        <w:t> </w:t>
      </w:r>
      <w:r>
        <w:rPr/>
        <w:t>and</w:t>
      </w:r>
      <w:r>
        <w:rPr>
          <w:spacing w:val="-1"/>
        </w:rPr>
        <w:t> </w:t>
      </w:r>
      <w:r>
        <w:rPr/>
        <w:t>Exchange</w:t>
      </w:r>
      <w:r>
        <w:rPr>
          <w:spacing w:val="-1"/>
        </w:rPr>
        <w:t> </w:t>
      </w:r>
      <w:r>
        <w:rPr/>
        <w:t>Commission</w:t>
      </w:r>
      <w:r>
        <w:rPr>
          <w:spacing w:val="-1"/>
        </w:rPr>
        <w:t> </w:t>
      </w:r>
      <w:r>
        <w:rPr/>
        <w:t>on</w:t>
      </w:r>
      <w:r>
        <w:rPr>
          <w:spacing w:val="-1"/>
        </w:rPr>
        <w:t> </w:t>
      </w:r>
      <w:r>
        <w:rPr/>
        <w:t>the</w:t>
      </w:r>
      <w:r>
        <w:rPr>
          <w:spacing w:val="-1"/>
        </w:rPr>
        <w:t> </w:t>
      </w:r>
      <w:r>
        <w:rPr/>
        <w:t>date</w:t>
      </w:r>
      <w:r>
        <w:rPr>
          <w:spacing w:val="-1"/>
        </w:rPr>
        <w:t> </w:t>
      </w:r>
      <w:r>
        <w:rPr/>
        <w:t>hereof</w:t>
      </w:r>
      <w:r>
        <w:rPr>
          <w:spacing w:val="-1"/>
        </w:rPr>
        <w:t> </w:t>
      </w:r>
      <w:r>
        <w:rPr/>
        <w:t>(the</w:t>
      </w:r>
      <w:r>
        <w:rPr>
          <w:spacing w:val="-1"/>
        </w:rPr>
        <w:t> </w:t>
      </w:r>
      <w:r>
        <w:rPr/>
        <w:t>“Report”),</w:t>
      </w:r>
      <w:r>
        <w:rPr>
          <w:spacing w:val="-1"/>
        </w:rPr>
        <w:t> </w:t>
      </w:r>
      <w:r>
        <w:rPr/>
        <w:t>I,</w:t>
      </w:r>
      <w:r>
        <w:rPr>
          <w:spacing w:val="-1"/>
        </w:rPr>
        <w:t> </w:t>
      </w:r>
      <w:r>
        <w:rPr/>
        <w:t>Jonathan</w:t>
      </w:r>
      <w:r>
        <w:rPr>
          <w:spacing w:val="-1"/>
        </w:rPr>
        <w:t> </w:t>
      </w:r>
      <w:r>
        <w:rPr/>
        <w:t>S.</w:t>
      </w:r>
      <w:r>
        <w:rPr>
          <w:spacing w:val="-1"/>
        </w:rPr>
        <w:t> </w:t>
      </w:r>
      <w:r>
        <w:rPr/>
        <w:t>Halkyard,</w:t>
      </w:r>
      <w:r>
        <w:rPr>
          <w:spacing w:val="-1"/>
        </w:rPr>
        <w:t> </w:t>
      </w:r>
      <w:r>
        <w:rPr/>
        <w:t>Chief</w:t>
      </w:r>
      <w:r>
        <w:rPr>
          <w:spacing w:val="-1"/>
        </w:rPr>
        <w:t> </w:t>
      </w:r>
      <w:r>
        <w:rPr/>
        <w:t>Financial</w:t>
      </w:r>
      <w:r>
        <w:rPr>
          <w:spacing w:val="-1"/>
        </w:rPr>
        <w:t> </w:t>
      </w:r>
      <w:r>
        <w:rPr/>
        <w:t>Officer</w:t>
      </w:r>
      <w:r>
        <w:rPr>
          <w:spacing w:val="-1"/>
        </w:rPr>
        <w:t> </w:t>
      </w:r>
      <w:r>
        <w:rPr/>
        <w:t>and</w:t>
      </w:r>
      <w:r>
        <w:rPr>
          <w:spacing w:val="-4"/>
        </w:rPr>
        <w:t> </w:t>
      </w:r>
      <w:r>
        <w:rPr/>
        <w:t>Treasurer</w:t>
      </w:r>
      <w:r>
        <w:rPr>
          <w:spacing w:val="-1"/>
        </w:rPr>
        <w:t> </w:t>
      </w:r>
      <w:r>
        <w:rPr/>
        <w:t>of</w:t>
      </w:r>
      <w:r>
        <w:rPr>
          <w:spacing w:val="-1"/>
        </w:rPr>
        <w:t> </w:t>
      </w:r>
      <w:r>
        <w:rPr/>
        <w:t>the</w:t>
      </w:r>
      <w:r>
        <w:rPr>
          <w:spacing w:val="-1"/>
        </w:rPr>
        <w:t> </w:t>
      </w:r>
      <w:r>
        <w:rPr/>
        <w:t>Company, certify, pursuant to 18 U.S.C. § 1350, as adopted pursuant to § 906 of the Sarbanes-Oxley</w:t>
      </w:r>
      <w:r>
        <w:rPr>
          <w:spacing w:val="-6"/>
        </w:rPr>
        <w:t> </w:t>
      </w:r>
      <w:r>
        <w:rPr/>
        <w:t>Act of 2002, to the best of my knowledge, that:</w:t>
      </w:r>
    </w:p>
    <w:p>
      <w:pPr>
        <w:pStyle w:val="BodyText"/>
        <w:spacing w:before="11"/>
      </w:pPr>
    </w:p>
    <w:p>
      <w:pPr>
        <w:pStyle w:val="ListParagraph"/>
        <w:numPr>
          <w:ilvl w:val="0"/>
          <w:numId w:val="61"/>
        </w:numPr>
        <w:tabs>
          <w:tab w:pos="529" w:val="left" w:leader="none"/>
        </w:tabs>
        <w:spacing w:line="240" w:lineRule="auto" w:before="0" w:after="0"/>
        <w:ind w:left="529" w:right="0" w:hanging="385"/>
        <w:jc w:val="left"/>
        <w:rPr>
          <w:sz w:val="18"/>
        </w:rPr>
      </w:pPr>
      <w:r>
        <w:rPr>
          <w:sz w:val="18"/>
        </w:rPr>
        <w:t>The</w:t>
      </w:r>
      <w:r>
        <w:rPr>
          <w:spacing w:val="-1"/>
          <w:sz w:val="18"/>
        </w:rPr>
        <w:t> </w:t>
      </w:r>
      <w:r>
        <w:rPr>
          <w:sz w:val="18"/>
        </w:rPr>
        <w:t>Report</w:t>
      </w:r>
      <w:r>
        <w:rPr>
          <w:spacing w:val="-1"/>
          <w:sz w:val="18"/>
        </w:rPr>
        <w:t> </w:t>
      </w:r>
      <w:r>
        <w:rPr>
          <w:sz w:val="18"/>
        </w:rPr>
        <w:t>fully</w:t>
      </w:r>
      <w:r>
        <w:rPr>
          <w:spacing w:val="-1"/>
          <w:sz w:val="18"/>
        </w:rPr>
        <w:t> </w:t>
      </w:r>
      <w:r>
        <w:rPr>
          <w:sz w:val="18"/>
        </w:rPr>
        <w:t>complies</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1"/>
          <w:sz w:val="18"/>
        </w:rPr>
        <w:t> </w:t>
      </w:r>
      <w:r>
        <w:rPr>
          <w:sz w:val="18"/>
        </w:rPr>
        <w:t>of</w:t>
      </w:r>
      <w:r>
        <w:rPr>
          <w:spacing w:val="-1"/>
          <w:sz w:val="18"/>
        </w:rPr>
        <w:t> </w:t>
      </w:r>
      <w:r>
        <w:rPr>
          <w:sz w:val="18"/>
        </w:rPr>
        <w:t>section</w:t>
      </w:r>
      <w:r>
        <w:rPr>
          <w:spacing w:val="-1"/>
          <w:sz w:val="18"/>
        </w:rPr>
        <w:t> </w:t>
      </w:r>
      <w:r>
        <w:rPr>
          <w:sz w:val="18"/>
        </w:rPr>
        <w:t>13(a)</w:t>
      </w:r>
      <w:r>
        <w:rPr>
          <w:spacing w:val="-1"/>
          <w:sz w:val="18"/>
        </w:rPr>
        <w:t> </w:t>
      </w:r>
      <w:r>
        <w:rPr>
          <w:sz w:val="18"/>
        </w:rPr>
        <w:t>or</w:t>
      </w:r>
      <w:r>
        <w:rPr>
          <w:spacing w:val="-1"/>
          <w:sz w:val="18"/>
        </w:rPr>
        <w:t> </w:t>
      </w:r>
      <w:r>
        <w:rPr>
          <w:sz w:val="18"/>
        </w:rPr>
        <w:t>15(d)</w:t>
      </w:r>
      <w:r>
        <w:rPr>
          <w:spacing w:val="-1"/>
          <w:sz w:val="18"/>
        </w:rPr>
        <w:t> </w:t>
      </w:r>
      <w:r>
        <w:rPr>
          <w:sz w:val="18"/>
        </w:rPr>
        <w:t>of</w:t>
      </w:r>
      <w:r>
        <w:rPr>
          <w:spacing w:val="-1"/>
          <w:sz w:val="18"/>
        </w:rPr>
        <w:t> </w:t>
      </w:r>
      <w:r>
        <w:rPr>
          <w:sz w:val="18"/>
        </w:rPr>
        <w:t>the</w:t>
      </w:r>
      <w:r>
        <w:rPr>
          <w:spacing w:val="-1"/>
          <w:sz w:val="18"/>
        </w:rPr>
        <w:t> </w:t>
      </w:r>
      <w:r>
        <w:rPr>
          <w:sz w:val="18"/>
        </w:rPr>
        <w:t>Securities</w:t>
      </w:r>
      <w:r>
        <w:rPr>
          <w:spacing w:val="-1"/>
          <w:sz w:val="18"/>
        </w:rPr>
        <w:t> </w:t>
      </w:r>
      <w:r>
        <w:rPr>
          <w:sz w:val="18"/>
        </w:rPr>
        <w:t>Exchange</w:t>
      </w:r>
      <w:r>
        <w:rPr>
          <w:spacing w:val="-10"/>
          <w:sz w:val="18"/>
        </w:rPr>
        <w:t> </w:t>
      </w:r>
      <w:r>
        <w:rPr>
          <w:sz w:val="18"/>
        </w:rPr>
        <w:t>Act</w:t>
      </w:r>
      <w:r>
        <w:rPr>
          <w:spacing w:val="-1"/>
          <w:sz w:val="18"/>
        </w:rPr>
        <w:t> </w:t>
      </w:r>
      <w:r>
        <w:rPr>
          <w:sz w:val="18"/>
        </w:rPr>
        <w:t>of</w:t>
      </w:r>
      <w:r>
        <w:rPr>
          <w:spacing w:val="-1"/>
          <w:sz w:val="18"/>
        </w:rPr>
        <w:t> </w:t>
      </w:r>
      <w:r>
        <w:rPr>
          <w:sz w:val="18"/>
        </w:rPr>
        <w:t>1934;</w:t>
      </w:r>
      <w:r>
        <w:rPr>
          <w:spacing w:val="-1"/>
          <w:sz w:val="18"/>
        </w:rPr>
        <w:t> </w:t>
      </w:r>
      <w:r>
        <w:rPr>
          <w:spacing w:val="-5"/>
          <w:sz w:val="18"/>
        </w:rPr>
        <w:t>and</w:t>
      </w:r>
    </w:p>
    <w:p>
      <w:pPr>
        <w:pStyle w:val="BodyText"/>
        <w:spacing w:before="18"/>
      </w:pPr>
    </w:p>
    <w:p>
      <w:pPr>
        <w:pStyle w:val="ListParagraph"/>
        <w:numPr>
          <w:ilvl w:val="0"/>
          <w:numId w:val="61"/>
        </w:numPr>
        <w:tabs>
          <w:tab w:pos="529" w:val="left" w:leader="none"/>
        </w:tabs>
        <w:spacing w:line="240" w:lineRule="auto" w:before="0" w:after="0"/>
        <w:ind w:left="529" w:right="0" w:hanging="385"/>
        <w:jc w:val="left"/>
        <w:rPr>
          <w:sz w:val="18"/>
        </w:rPr>
      </w:pPr>
      <w:r>
        <w:rPr>
          <w:sz w:val="18"/>
        </w:rPr>
        <w:t>The</w:t>
      </w:r>
      <w:r>
        <w:rPr>
          <w:spacing w:val="-3"/>
          <w:sz w:val="18"/>
        </w:rPr>
        <w:t> </w:t>
      </w:r>
      <w:r>
        <w:rPr>
          <w:sz w:val="18"/>
        </w:rPr>
        <w:t>information</w:t>
      </w:r>
      <w:r>
        <w:rPr>
          <w:spacing w:val="-1"/>
          <w:sz w:val="18"/>
        </w:rPr>
        <w:t> </w:t>
      </w:r>
      <w:r>
        <w:rPr>
          <w:sz w:val="18"/>
        </w:rPr>
        <w:t>contained</w:t>
      </w:r>
      <w:r>
        <w:rPr>
          <w:spacing w:val="-1"/>
          <w:sz w:val="18"/>
        </w:rPr>
        <w:t> </w:t>
      </w:r>
      <w:r>
        <w:rPr>
          <w:sz w:val="18"/>
        </w:rPr>
        <w:t>in</w:t>
      </w:r>
      <w:r>
        <w:rPr>
          <w:spacing w:val="-1"/>
          <w:sz w:val="18"/>
        </w:rPr>
        <w:t> </w:t>
      </w:r>
      <w:r>
        <w:rPr>
          <w:sz w:val="18"/>
        </w:rPr>
        <w:t>the</w:t>
      </w:r>
      <w:r>
        <w:rPr>
          <w:spacing w:val="-1"/>
          <w:sz w:val="18"/>
        </w:rPr>
        <w:t> </w:t>
      </w:r>
      <w:r>
        <w:rPr>
          <w:sz w:val="18"/>
        </w:rPr>
        <w:t>Report</w:t>
      </w:r>
      <w:r>
        <w:rPr>
          <w:spacing w:val="-1"/>
          <w:sz w:val="18"/>
        </w:rPr>
        <w:t> </w:t>
      </w:r>
      <w:r>
        <w:rPr>
          <w:sz w:val="18"/>
        </w:rPr>
        <w:t>fairly</w:t>
      </w:r>
      <w:r>
        <w:rPr>
          <w:spacing w:val="-1"/>
          <w:sz w:val="18"/>
        </w:rPr>
        <w:t> </w:t>
      </w:r>
      <w:r>
        <w:rPr>
          <w:sz w:val="18"/>
        </w:rPr>
        <w:t>presents,</w:t>
      </w:r>
      <w:r>
        <w:rPr>
          <w:spacing w:val="-1"/>
          <w:sz w:val="18"/>
        </w:rPr>
        <w:t> </w:t>
      </w:r>
      <w:r>
        <w:rPr>
          <w:sz w:val="18"/>
        </w:rPr>
        <w:t>in</w:t>
      </w:r>
      <w:r>
        <w:rPr>
          <w:spacing w:val="-1"/>
          <w:sz w:val="18"/>
        </w:rPr>
        <w:t> </w:t>
      </w:r>
      <w:r>
        <w:rPr>
          <w:sz w:val="18"/>
        </w:rPr>
        <w:t>all</w:t>
      </w:r>
      <w:r>
        <w:rPr>
          <w:spacing w:val="-1"/>
          <w:sz w:val="18"/>
        </w:rPr>
        <w:t> </w:t>
      </w:r>
      <w:r>
        <w:rPr>
          <w:sz w:val="18"/>
        </w:rPr>
        <w:t>material</w:t>
      </w:r>
      <w:r>
        <w:rPr>
          <w:spacing w:val="-1"/>
          <w:sz w:val="18"/>
        </w:rPr>
        <w:t> </w:t>
      </w:r>
      <w:r>
        <w:rPr>
          <w:sz w:val="18"/>
        </w:rPr>
        <w:t>respects,</w:t>
      </w:r>
      <w:r>
        <w:rPr>
          <w:spacing w:val="-1"/>
          <w:sz w:val="18"/>
        </w:rPr>
        <w:t> </w:t>
      </w:r>
      <w:r>
        <w:rPr>
          <w:sz w:val="18"/>
        </w:rPr>
        <w:t>the</w:t>
      </w:r>
      <w:r>
        <w:rPr>
          <w:spacing w:val="-1"/>
          <w:sz w:val="18"/>
        </w:rPr>
        <w:t> </w:t>
      </w:r>
      <w:r>
        <w:rPr>
          <w:sz w:val="18"/>
        </w:rPr>
        <w:t>financial</w:t>
      </w:r>
      <w:r>
        <w:rPr>
          <w:spacing w:val="-1"/>
          <w:sz w:val="18"/>
        </w:rPr>
        <w:t> </w:t>
      </w:r>
      <w:r>
        <w:rPr>
          <w:sz w:val="18"/>
        </w:rPr>
        <w:t>condition</w:t>
      </w:r>
      <w:r>
        <w:rPr>
          <w:spacing w:val="-1"/>
          <w:sz w:val="18"/>
        </w:rPr>
        <w:t> </w:t>
      </w:r>
      <w:r>
        <w:rPr>
          <w:sz w:val="18"/>
        </w:rPr>
        <w:t>and</w:t>
      </w:r>
      <w:r>
        <w:rPr>
          <w:spacing w:val="-1"/>
          <w:sz w:val="18"/>
        </w:rPr>
        <w:t> </w:t>
      </w:r>
      <w:r>
        <w:rPr>
          <w:sz w:val="18"/>
        </w:rPr>
        <w:t>results</w:t>
      </w:r>
      <w:r>
        <w:rPr>
          <w:spacing w:val="-1"/>
          <w:sz w:val="18"/>
        </w:rPr>
        <w:t> </w:t>
      </w:r>
      <w:r>
        <w:rPr>
          <w:sz w:val="18"/>
        </w:rPr>
        <w:t>of</w:t>
      </w:r>
      <w:r>
        <w:rPr>
          <w:spacing w:val="-1"/>
          <w:sz w:val="18"/>
        </w:rPr>
        <w:t> </w:t>
      </w:r>
      <w:r>
        <w:rPr>
          <w:sz w:val="18"/>
        </w:rPr>
        <w:t>operations</w:t>
      </w:r>
      <w:r>
        <w:rPr>
          <w:spacing w:val="-1"/>
          <w:sz w:val="18"/>
        </w:rPr>
        <w:t> </w:t>
      </w:r>
      <w:r>
        <w:rPr>
          <w:sz w:val="18"/>
        </w:rPr>
        <w:t>of</w:t>
      </w:r>
      <w:r>
        <w:rPr>
          <w:spacing w:val="-1"/>
          <w:sz w:val="18"/>
        </w:rPr>
        <w:t> </w:t>
      </w:r>
      <w:r>
        <w:rPr>
          <w:sz w:val="18"/>
        </w:rPr>
        <w:t>the</w:t>
      </w:r>
      <w:r>
        <w:rPr>
          <w:spacing w:val="-1"/>
          <w:sz w:val="18"/>
        </w:rPr>
        <w:t> </w:t>
      </w:r>
      <w:r>
        <w:rPr>
          <w:spacing w:val="-2"/>
          <w:sz w:val="18"/>
        </w:rPr>
        <w:t>Company.</w:t>
      </w:r>
    </w:p>
    <w:p>
      <w:pPr>
        <w:pStyle w:val="BodyText"/>
        <w:spacing w:before="113"/>
      </w:pPr>
    </w:p>
    <w:p>
      <w:pPr>
        <w:pStyle w:val="BodyText"/>
        <w:ind w:left="162"/>
      </w:pPr>
      <w:r>
        <w:rPr/>
        <mc:AlternateContent>
          <mc:Choice Requires="wps">
            <w:drawing>
              <wp:anchor distT="0" distB="0" distL="0" distR="0" allowOverlap="1" layoutInCell="1" locked="0" behindDoc="1" simplePos="0" relativeHeight="487822336">
                <wp:simplePos x="0" y="0"/>
                <wp:positionH relativeFrom="page">
                  <wp:posOffset>231444</wp:posOffset>
                </wp:positionH>
                <wp:positionV relativeFrom="paragraph">
                  <wp:posOffset>158364</wp:posOffset>
                </wp:positionV>
                <wp:extent cx="2923540" cy="8890"/>
                <wp:effectExtent l="0" t="0" r="0" b="0"/>
                <wp:wrapTopAndBottom/>
                <wp:docPr id="1162" name="Graphic 1162"/>
                <wp:cNvGraphicFramePr>
                  <a:graphicFrameLocks/>
                </wp:cNvGraphicFramePr>
                <a:graphic>
                  <a:graphicData uri="http://schemas.microsoft.com/office/word/2010/wordprocessingShape">
                    <wps:wsp>
                      <wps:cNvPr id="1162" name="Graphic 1162"/>
                      <wps:cNvSpPr/>
                      <wps:spPr>
                        <a:xfrm>
                          <a:off x="0" y="0"/>
                          <a:ext cx="2923540" cy="8890"/>
                        </a:xfrm>
                        <a:custGeom>
                          <a:avLst/>
                          <a:gdLst/>
                          <a:ahLst/>
                          <a:cxnLst/>
                          <a:rect l="l" t="t" r="r" b="b"/>
                          <a:pathLst>
                            <a:path w="2923540" h="8890">
                              <a:moveTo>
                                <a:pt x="2923222" y="0"/>
                              </a:moveTo>
                              <a:lnTo>
                                <a:pt x="2906077" y="0"/>
                              </a:lnTo>
                              <a:lnTo>
                                <a:pt x="25717" y="0"/>
                              </a:lnTo>
                              <a:lnTo>
                                <a:pt x="0" y="0"/>
                              </a:lnTo>
                              <a:lnTo>
                                <a:pt x="0" y="8572"/>
                              </a:lnTo>
                              <a:lnTo>
                                <a:pt x="25717" y="8572"/>
                              </a:lnTo>
                              <a:lnTo>
                                <a:pt x="2906077" y="8572"/>
                              </a:lnTo>
                              <a:lnTo>
                                <a:pt x="2923222" y="8572"/>
                              </a:lnTo>
                              <a:lnTo>
                                <a:pt x="292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469625pt;width:230.2pt;height:.7pt;mso-position-horizontal-relative:page;mso-position-vertical-relative:paragraph;z-index:-15494144;mso-wrap-distance-left:0;mso-wrap-distance-right:0" id="docshape1160" coordorigin="364,249" coordsize="4604,14" path="m4968,249l4941,249,405,249,364,249,364,263,405,263,4941,263,4968,263,4968,249xe" filled="true" fillcolor="#000000" stroked="false">
                <v:path arrowok="t"/>
                <v:fill type="solid"/>
                <w10:wrap type="topAndBottom"/>
              </v:shape>
            </w:pict>
          </mc:Fallback>
        </mc:AlternateContent>
      </w:r>
      <w:r>
        <w:rPr/>
        <w:t>/s/</w:t>
      </w:r>
      <w:r>
        <w:rPr>
          <w:spacing w:val="-8"/>
        </w:rPr>
        <w:t> </w:t>
      </w:r>
      <w:r>
        <w:rPr/>
        <w:t>JONATHAN</w:t>
      </w:r>
      <w:r>
        <w:rPr>
          <w:spacing w:val="-8"/>
        </w:rPr>
        <w:t> </w:t>
      </w:r>
      <w:r>
        <w:rPr/>
        <w:t>S.</w:t>
      </w:r>
      <w:r>
        <w:rPr>
          <w:spacing w:val="-7"/>
        </w:rPr>
        <w:t> </w:t>
      </w:r>
      <w:r>
        <w:rPr>
          <w:spacing w:val="-2"/>
        </w:rPr>
        <w:t>HALKYARD</w:t>
      </w:r>
    </w:p>
    <w:p>
      <w:pPr>
        <w:pStyle w:val="BodyText"/>
        <w:spacing w:before="21"/>
        <w:ind w:left="162"/>
      </w:pPr>
      <w:r>
        <w:rPr/>
        <w:t>Jonathan</w:t>
      </w:r>
      <w:r>
        <w:rPr>
          <w:spacing w:val="-1"/>
        </w:rPr>
        <w:t> </w:t>
      </w:r>
      <w:r>
        <w:rPr/>
        <w:t>S.</w:t>
      </w:r>
      <w:r>
        <w:rPr>
          <w:spacing w:val="-1"/>
        </w:rPr>
        <w:t> </w:t>
      </w:r>
      <w:r>
        <w:rPr>
          <w:spacing w:val="-2"/>
        </w:rPr>
        <w:t>Halkyard</w:t>
      </w:r>
    </w:p>
    <w:p>
      <w:pPr>
        <w:pStyle w:val="BodyText"/>
        <w:spacing w:line="312" w:lineRule="auto" w:before="63"/>
        <w:ind w:left="162" w:right="8704"/>
      </w:pPr>
      <w:r>
        <w:rPr/>
        <w:t>Chief</w:t>
      </w:r>
      <w:r>
        <w:rPr>
          <w:spacing w:val="-12"/>
        </w:rPr>
        <w:t> </w:t>
      </w:r>
      <w:r>
        <w:rPr/>
        <w:t>Financial</w:t>
      </w:r>
      <w:r>
        <w:rPr>
          <w:spacing w:val="-11"/>
        </w:rPr>
        <w:t> </w:t>
      </w:r>
      <w:r>
        <w:rPr/>
        <w:t>Officer</w:t>
      </w:r>
      <w:r>
        <w:rPr>
          <w:spacing w:val="-11"/>
        </w:rPr>
        <w:t> </w:t>
      </w:r>
      <w:r>
        <w:rPr/>
        <w:t>and</w:t>
      </w:r>
      <w:r>
        <w:rPr>
          <w:spacing w:val="-11"/>
        </w:rPr>
        <w:t> </w:t>
      </w:r>
      <w:r>
        <w:rPr/>
        <w:t>Treasurer February 24, 2023</w:t>
      </w:r>
    </w:p>
    <w:p>
      <w:pPr>
        <w:pStyle w:val="BodyText"/>
      </w:pPr>
    </w:p>
    <w:p>
      <w:pPr>
        <w:pStyle w:val="BodyText"/>
        <w:spacing w:before="9"/>
      </w:pPr>
    </w:p>
    <w:p>
      <w:pPr>
        <w:pStyle w:val="BodyText"/>
        <w:spacing w:line="235" w:lineRule="auto"/>
        <w:ind w:left="144" w:right="118"/>
        <w:jc w:val="both"/>
      </w:pPr>
      <w:r>
        <w:rPr/>
        <w:t>A</w:t>
      </w:r>
      <w:r>
        <w:rPr>
          <w:spacing w:val="-7"/>
        </w:rPr>
        <w:t> </w:t>
      </w:r>
      <w:r>
        <w:rPr/>
        <w:t>signed original of this written statement required by Section 906, or other document authenticating, acknowledging, or otherwise adopting the signature </w:t>
      </w:r>
      <w:r>
        <w:rPr/>
        <w:t>that appears in typed form within the electronic version of this written statement required by Section 906, has been provided to the Company and will be retained</w:t>
      </w:r>
      <w:r>
        <w:rPr>
          <w:spacing w:val="40"/>
        </w:rPr>
        <w:t> </w:t>
      </w:r>
      <w:r>
        <w:rPr/>
        <w:t>by the Company and furnished to the Securities and Exchange Commission or its staff upon request.</w:t>
      </w:r>
    </w:p>
    <w:p>
      <w:pPr>
        <w:spacing w:after="0" w:line="235" w:lineRule="auto"/>
        <w:jc w:val="both"/>
        <w:sectPr>
          <w:pgSz w:w="12240" w:h="15840"/>
          <w:pgMar w:top="940" w:bottom="280" w:left="220" w:right="240"/>
        </w:sectPr>
      </w:pPr>
    </w:p>
    <w:p>
      <w:pPr>
        <w:spacing w:before="75"/>
        <w:ind w:left="0" w:right="118" w:firstLine="0"/>
        <w:jc w:val="right"/>
        <w:rPr>
          <w:b/>
          <w:sz w:val="18"/>
        </w:rPr>
      </w:pPr>
      <w:bookmarkStart w:name="_bookmark47" w:id="48"/>
      <w:bookmarkEnd w:id="48"/>
      <w:r>
        <w:rPr/>
      </w:r>
      <w:r>
        <w:rPr>
          <w:b/>
          <w:sz w:val="18"/>
        </w:rPr>
        <w:t>Exhibit</w:t>
      </w:r>
      <w:r>
        <w:rPr>
          <w:b/>
          <w:spacing w:val="-1"/>
          <w:sz w:val="18"/>
        </w:rPr>
        <w:t> </w:t>
      </w:r>
      <w:r>
        <w:rPr>
          <w:b/>
          <w:spacing w:val="-4"/>
          <w:sz w:val="18"/>
        </w:rPr>
        <w:t>99.1</w:t>
      </w:r>
    </w:p>
    <w:p>
      <w:pPr>
        <w:pStyle w:val="Heading4"/>
        <w:spacing w:before="185"/>
        <w:ind w:left="24"/>
        <w:jc w:val="center"/>
      </w:pPr>
      <w:r>
        <w:rPr/>
        <w:t>DESCRIPTION</w:t>
      </w:r>
      <w:r>
        <w:rPr>
          <w:spacing w:val="-9"/>
        </w:rPr>
        <w:t> </w:t>
      </w:r>
      <w:r>
        <w:rPr/>
        <w:t>OF</w:t>
      </w:r>
      <w:r>
        <w:rPr>
          <w:spacing w:val="-10"/>
        </w:rPr>
        <w:t> </w:t>
      </w:r>
      <w:r>
        <w:rPr/>
        <w:t>REGULATION</w:t>
      </w:r>
      <w:r>
        <w:rPr>
          <w:spacing w:val="-12"/>
        </w:rPr>
        <w:t> </w:t>
      </w:r>
      <w:r>
        <w:rPr/>
        <w:t>AND</w:t>
      </w:r>
      <w:r>
        <w:rPr>
          <w:spacing w:val="-4"/>
        </w:rPr>
        <w:t> </w:t>
      </w:r>
      <w:r>
        <w:rPr>
          <w:spacing w:val="-2"/>
        </w:rPr>
        <w:t>LICENSING</w:t>
      </w:r>
    </w:p>
    <w:p>
      <w:pPr>
        <w:pStyle w:val="BodyText"/>
        <w:spacing w:before="14"/>
        <w:rPr>
          <w:b/>
        </w:rPr>
      </w:pPr>
    </w:p>
    <w:p>
      <w:pPr>
        <w:pStyle w:val="BodyText"/>
        <w:spacing w:line="206" w:lineRule="auto"/>
        <w:ind w:left="144" w:right="118" w:firstLine="440"/>
        <w:jc w:val="both"/>
      </w:pPr>
      <w:r>
        <w:rPr/>
        <w:t>The gaming industry is highly regulated, and we must maintain our licenses and pay gaming taxes to continue our operations. Each of our casinos </w:t>
      </w:r>
      <w:r>
        <w:rPr/>
        <w:t>is subject to extensive regulation under the laws and regulations of the jurisdiction in which it is located. These laws and regulations generally concern the responsibility, financial stability and character of the owners, managers, and persons with financial interest in the gaming operations.</w:t>
      </w:r>
      <w:r>
        <w:rPr>
          <w:spacing w:val="-1"/>
        </w:rPr>
        <w:t> </w:t>
      </w:r>
      <w:r>
        <w:rPr/>
        <w:t>Violations of laws in one jurisdiction could result in disciplinary action in other jurisdictions.</w:t>
      </w:r>
      <w:r>
        <w:rPr>
          <w:spacing w:val="-10"/>
        </w:rPr>
        <w:t> </w:t>
      </w:r>
      <w:r>
        <w:rPr/>
        <w:t>Any material changes, new laws or regulations, or material differences in interpretations by courts or governmental authorities could adversely affect our business and operating results.</w:t>
      </w:r>
    </w:p>
    <w:p>
      <w:pPr>
        <w:pStyle w:val="BodyText"/>
        <w:spacing w:line="208" w:lineRule="auto" w:before="188"/>
        <w:ind w:left="144" w:right="118" w:firstLine="440"/>
        <w:jc w:val="both"/>
      </w:pPr>
      <w:r>
        <w:rPr/>
        <w:t>In addition to gaming regulations, our businesses are subject to various federal, state, and local laws and regulations of the countries and states in </w:t>
      </w:r>
      <w:r>
        <w:rPr/>
        <w:t>which we operate. These laws and regulations include, but are not limited to, restrictions and conditions concerning alcoholic beverages, smoking, environmental matters, employment and immigration, currency transactions, taxation, zoning and building codes, land use, marketing and advertising, lending, privacy, telemarketing, regulations applicable under the Office of Foreign Asset Control, the Foreign Corrupt Practices Act and the various reporting and anti-money laundering regulations. Such laws and regulations could change or could be interpreted differently in the future, or new laws and regulations could be enacted. Any material changes, new laws or regulations, or material differences in interpretations by courts or governmental authorities could adversely affect our business and operating results.</w:t>
      </w:r>
    </w:p>
    <w:p>
      <w:pPr>
        <w:spacing w:before="149"/>
        <w:ind w:left="144" w:right="0" w:firstLine="0"/>
        <w:jc w:val="left"/>
        <w:rPr>
          <w:i/>
          <w:sz w:val="18"/>
        </w:rPr>
      </w:pPr>
      <w:r>
        <w:rPr>
          <w:i/>
          <w:sz w:val="18"/>
        </w:rPr>
        <w:t>Gaming</w:t>
      </w:r>
      <w:r>
        <w:rPr>
          <w:i/>
          <w:spacing w:val="-1"/>
          <w:sz w:val="18"/>
        </w:rPr>
        <w:t> </w:t>
      </w:r>
      <w:r>
        <w:rPr>
          <w:i/>
          <w:sz w:val="18"/>
        </w:rPr>
        <w:t>Regulation</w:t>
      </w:r>
      <w:r>
        <w:rPr>
          <w:i/>
          <w:spacing w:val="-1"/>
          <w:sz w:val="18"/>
        </w:rPr>
        <w:t> </w:t>
      </w:r>
      <w:r>
        <w:rPr>
          <w:i/>
          <w:spacing w:val="-2"/>
          <w:sz w:val="18"/>
        </w:rPr>
        <w:t>Overview</w:t>
      </w:r>
    </w:p>
    <w:p>
      <w:pPr>
        <w:pStyle w:val="BodyText"/>
        <w:spacing w:before="158"/>
        <w:ind w:left="585"/>
      </w:pPr>
      <w:r>
        <w:rPr/>
        <w:t>In</w:t>
      </w:r>
      <w:r>
        <w:rPr>
          <w:spacing w:val="-1"/>
        </w:rPr>
        <w:t> </w:t>
      </w:r>
      <w:r>
        <w:rPr/>
        <w:t>the</w:t>
      </w:r>
      <w:r>
        <w:rPr>
          <w:spacing w:val="-1"/>
        </w:rPr>
        <w:t> </w:t>
      </w:r>
      <w:r>
        <w:rPr/>
        <w:t>jurisdictions</w:t>
      </w:r>
      <w:r>
        <w:rPr>
          <w:spacing w:val="-1"/>
        </w:rPr>
        <w:t> </w:t>
      </w:r>
      <w:r>
        <w:rPr/>
        <w:t>in</w:t>
      </w:r>
      <w:r>
        <w:rPr>
          <w:spacing w:val="-1"/>
        </w:rPr>
        <w:t> </w:t>
      </w:r>
      <w:r>
        <w:rPr/>
        <w:t>which</w:t>
      </w:r>
      <w:r>
        <w:rPr>
          <w:spacing w:val="-1"/>
        </w:rPr>
        <w:t> </w:t>
      </w:r>
      <w:r>
        <w:rPr/>
        <w:t>we</w:t>
      </w:r>
      <w:r>
        <w:rPr>
          <w:spacing w:val="-1"/>
        </w:rPr>
        <w:t> </w:t>
      </w:r>
      <w:r>
        <w:rPr/>
        <w:t>operate,</w:t>
      </w:r>
      <w:r>
        <w:rPr>
          <w:spacing w:val="-1"/>
        </w:rPr>
        <w:t> </w:t>
      </w:r>
      <w:r>
        <w:rPr/>
        <w:t>gaming</w:t>
      </w:r>
      <w:r>
        <w:rPr>
          <w:spacing w:val="-1"/>
        </w:rPr>
        <w:t> </w:t>
      </w:r>
      <w:r>
        <w:rPr/>
        <w:t>laws</w:t>
      </w:r>
      <w:r>
        <w:rPr>
          <w:spacing w:val="-1"/>
        </w:rPr>
        <w:t> </w:t>
      </w:r>
      <w:r>
        <w:rPr/>
        <w:t>and</w:t>
      </w:r>
      <w:r>
        <w:rPr>
          <w:spacing w:val="-1"/>
        </w:rPr>
        <w:t> </w:t>
      </w:r>
      <w:r>
        <w:rPr/>
        <w:t>regulations</w:t>
      </w:r>
      <w:r>
        <w:rPr>
          <w:spacing w:val="-1"/>
        </w:rPr>
        <w:t> </w:t>
      </w:r>
      <w:r>
        <w:rPr/>
        <w:t>require,</w:t>
      </w:r>
      <w:r>
        <w:rPr>
          <w:spacing w:val="-1"/>
        </w:rPr>
        <w:t> </w:t>
      </w:r>
      <w:r>
        <w:rPr/>
        <w:t>among</w:t>
      </w:r>
      <w:r>
        <w:rPr>
          <w:spacing w:val="-1"/>
        </w:rPr>
        <w:t> </w:t>
      </w:r>
      <w:r>
        <w:rPr/>
        <w:t>other</w:t>
      </w:r>
      <w:r>
        <w:rPr>
          <w:spacing w:val="-1"/>
        </w:rPr>
        <w:t> </w:t>
      </w:r>
      <w:r>
        <w:rPr>
          <w:spacing w:val="-2"/>
        </w:rPr>
        <w:t>things:</w:t>
      </w:r>
    </w:p>
    <w:p>
      <w:pPr>
        <w:pStyle w:val="ListParagraph"/>
        <w:numPr>
          <w:ilvl w:val="0"/>
          <w:numId w:val="62"/>
        </w:numPr>
        <w:tabs>
          <w:tab w:pos="1116" w:val="left" w:leader="none"/>
        </w:tabs>
        <w:spacing w:line="240" w:lineRule="auto" w:before="184" w:after="0"/>
        <w:ind w:left="1116" w:right="0" w:hanging="324"/>
        <w:jc w:val="left"/>
        <w:rPr>
          <w:sz w:val="18"/>
        </w:rPr>
      </w:pPr>
      <w:r>
        <w:rPr>
          <w:sz w:val="18"/>
        </w:rPr>
        <w:t>the</w:t>
      </w:r>
      <w:r>
        <w:rPr>
          <w:spacing w:val="-1"/>
          <w:sz w:val="18"/>
        </w:rPr>
        <w:t> </w:t>
      </w:r>
      <w:r>
        <w:rPr>
          <w:sz w:val="18"/>
        </w:rPr>
        <w:t>prevention</w:t>
      </w:r>
      <w:r>
        <w:rPr>
          <w:spacing w:val="-1"/>
          <w:sz w:val="18"/>
        </w:rPr>
        <w:t> </w:t>
      </w:r>
      <w:r>
        <w:rPr>
          <w:sz w:val="18"/>
        </w:rPr>
        <w:t>of</w:t>
      </w:r>
      <w:r>
        <w:rPr>
          <w:spacing w:val="-1"/>
          <w:sz w:val="18"/>
        </w:rPr>
        <w:t> </w:t>
      </w:r>
      <w:r>
        <w:rPr>
          <w:sz w:val="18"/>
        </w:rPr>
        <w:t>unsavory</w:t>
      </w:r>
      <w:r>
        <w:rPr>
          <w:spacing w:val="-1"/>
          <w:sz w:val="18"/>
        </w:rPr>
        <w:t> </w:t>
      </w:r>
      <w:r>
        <w:rPr>
          <w:sz w:val="18"/>
        </w:rPr>
        <w:t>or</w:t>
      </w:r>
      <w:r>
        <w:rPr>
          <w:spacing w:val="-1"/>
          <w:sz w:val="18"/>
        </w:rPr>
        <w:t> </w:t>
      </w:r>
      <w:r>
        <w:rPr>
          <w:sz w:val="18"/>
        </w:rPr>
        <w:t>unsuitable</w:t>
      </w:r>
      <w:r>
        <w:rPr>
          <w:spacing w:val="-1"/>
          <w:sz w:val="18"/>
        </w:rPr>
        <w:t> </w:t>
      </w:r>
      <w:r>
        <w:rPr>
          <w:sz w:val="18"/>
        </w:rPr>
        <w:t>persons</w:t>
      </w:r>
      <w:r>
        <w:rPr>
          <w:spacing w:val="-1"/>
          <w:sz w:val="18"/>
        </w:rPr>
        <w:t> </w:t>
      </w:r>
      <w:r>
        <w:rPr>
          <w:sz w:val="18"/>
        </w:rPr>
        <w:t>from</w:t>
      </w:r>
      <w:r>
        <w:rPr>
          <w:spacing w:val="-1"/>
          <w:sz w:val="18"/>
        </w:rPr>
        <w:t> </w:t>
      </w:r>
      <w:r>
        <w:rPr>
          <w:sz w:val="18"/>
        </w:rPr>
        <w:t>having</w:t>
      </w:r>
      <w:r>
        <w:rPr>
          <w:spacing w:val="-1"/>
          <w:sz w:val="18"/>
        </w:rPr>
        <w:t> </w:t>
      </w:r>
      <w:r>
        <w:rPr>
          <w:sz w:val="18"/>
        </w:rPr>
        <w:t>direct</w:t>
      </w:r>
      <w:r>
        <w:rPr>
          <w:spacing w:val="-1"/>
          <w:sz w:val="18"/>
        </w:rPr>
        <w:t> </w:t>
      </w:r>
      <w:r>
        <w:rPr>
          <w:sz w:val="18"/>
        </w:rPr>
        <w:t>or</w:t>
      </w:r>
      <w:r>
        <w:rPr>
          <w:spacing w:val="-1"/>
          <w:sz w:val="18"/>
        </w:rPr>
        <w:t> </w:t>
      </w:r>
      <w:r>
        <w:rPr>
          <w:sz w:val="18"/>
        </w:rPr>
        <w:t>indirect</w:t>
      </w:r>
      <w:r>
        <w:rPr>
          <w:spacing w:val="-1"/>
          <w:sz w:val="18"/>
        </w:rPr>
        <w:t> </w:t>
      </w:r>
      <w:r>
        <w:rPr>
          <w:sz w:val="18"/>
        </w:rPr>
        <w:t>involvement</w:t>
      </w:r>
      <w:r>
        <w:rPr>
          <w:spacing w:val="-1"/>
          <w:sz w:val="18"/>
        </w:rPr>
        <w:t> </w:t>
      </w:r>
      <w:r>
        <w:rPr>
          <w:sz w:val="18"/>
        </w:rPr>
        <w:t>with</w:t>
      </w:r>
      <w:r>
        <w:rPr>
          <w:spacing w:val="-1"/>
          <w:sz w:val="18"/>
        </w:rPr>
        <w:t> </w:t>
      </w:r>
      <w:r>
        <w:rPr>
          <w:sz w:val="18"/>
        </w:rPr>
        <w:t>gaming</w:t>
      </w:r>
      <w:r>
        <w:rPr>
          <w:spacing w:val="-1"/>
          <w:sz w:val="18"/>
        </w:rPr>
        <w:t> </w:t>
      </w:r>
      <w:r>
        <w:rPr>
          <w:sz w:val="18"/>
        </w:rPr>
        <w:t>at</w:t>
      </w:r>
      <w:r>
        <w:rPr>
          <w:spacing w:val="-1"/>
          <w:sz w:val="18"/>
        </w:rPr>
        <w:t> </w:t>
      </w:r>
      <w:r>
        <w:rPr>
          <w:sz w:val="18"/>
        </w:rPr>
        <w:t>any</w:t>
      </w:r>
      <w:r>
        <w:rPr>
          <w:spacing w:val="-1"/>
          <w:sz w:val="18"/>
        </w:rPr>
        <w:t> </w:t>
      </w:r>
      <w:r>
        <w:rPr>
          <w:sz w:val="18"/>
        </w:rPr>
        <w:t>time</w:t>
      </w:r>
      <w:r>
        <w:rPr>
          <w:spacing w:val="-1"/>
          <w:sz w:val="18"/>
        </w:rPr>
        <w:t> </w:t>
      </w:r>
      <w:r>
        <w:rPr>
          <w:sz w:val="18"/>
        </w:rPr>
        <w:t>or</w:t>
      </w:r>
      <w:r>
        <w:rPr>
          <w:spacing w:val="-1"/>
          <w:sz w:val="18"/>
        </w:rPr>
        <w:t> </w:t>
      </w:r>
      <w:r>
        <w:rPr>
          <w:sz w:val="18"/>
        </w:rPr>
        <w:t>in</w:t>
      </w:r>
      <w:r>
        <w:rPr>
          <w:spacing w:val="-1"/>
          <w:sz w:val="18"/>
        </w:rPr>
        <w:t> </w:t>
      </w:r>
      <w:r>
        <w:rPr>
          <w:sz w:val="18"/>
        </w:rPr>
        <w:t>any</w:t>
      </w:r>
      <w:r>
        <w:rPr>
          <w:spacing w:val="-1"/>
          <w:sz w:val="18"/>
        </w:rPr>
        <w:t> </w:t>
      </w:r>
      <w:r>
        <w:rPr>
          <w:spacing w:val="-2"/>
          <w:sz w:val="18"/>
        </w:rPr>
        <w:t>capacity;</w:t>
      </w:r>
    </w:p>
    <w:p>
      <w:pPr>
        <w:pStyle w:val="ListParagraph"/>
        <w:numPr>
          <w:ilvl w:val="0"/>
          <w:numId w:val="62"/>
        </w:numPr>
        <w:tabs>
          <w:tab w:pos="1116" w:val="left" w:leader="none"/>
        </w:tabs>
        <w:spacing w:line="240" w:lineRule="auto" w:before="198" w:after="0"/>
        <w:ind w:left="1116" w:right="0" w:hanging="324"/>
        <w:jc w:val="left"/>
        <w:rPr>
          <w:sz w:val="18"/>
        </w:rPr>
      </w:pPr>
      <w:r>
        <w:rPr>
          <w:sz w:val="18"/>
        </w:rPr>
        <w:t>the</w:t>
      </w:r>
      <w:r>
        <w:rPr>
          <w:spacing w:val="-1"/>
          <w:sz w:val="18"/>
        </w:rPr>
        <w:t> </w:t>
      </w:r>
      <w:r>
        <w:rPr>
          <w:sz w:val="18"/>
        </w:rPr>
        <w:t>establishment</w:t>
      </w:r>
      <w:r>
        <w:rPr>
          <w:spacing w:val="-1"/>
          <w:sz w:val="18"/>
        </w:rPr>
        <w:t> </w:t>
      </w:r>
      <w:r>
        <w:rPr>
          <w:sz w:val="18"/>
        </w:rPr>
        <w:t>and</w:t>
      </w:r>
      <w:r>
        <w:rPr>
          <w:spacing w:val="-1"/>
          <w:sz w:val="18"/>
        </w:rPr>
        <w:t> </w:t>
      </w:r>
      <w:r>
        <w:rPr>
          <w:sz w:val="18"/>
        </w:rPr>
        <w:t>maintenance</w:t>
      </w:r>
      <w:r>
        <w:rPr>
          <w:spacing w:val="-1"/>
          <w:sz w:val="18"/>
        </w:rPr>
        <w:t> </w:t>
      </w:r>
      <w:r>
        <w:rPr>
          <w:sz w:val="18"/>
        </w:rPr>
        <w:t>of</w:t>
      </w:r>
      <w:r>
        <w:rPr>
          <w:spacing w:val="-1"/>
          <w:sz w:val="18"/>
        </w:rPr>
        <w:t> </w:t>
      </w:r>
      <w:r>
        <w:rPr>
          <w:sz w:val="18"/>
        </w:rPr>
        <w:t>responsible</w:t>
      </w:r>
      <w:r>
        <w:rPr>
          <w:spacing w:val="-1"/>
          <w:sz w:val="18"/>
        </w:rPr>
        <w:t> </w:t>
      </w:r>
      <w:r>
        <w:rPr>
          <w:sz w:val="18"/>
        </w:rPr>
        <w:t>accounting</w:t>
      </w:r>
      <w:r>
        <w:rPr>
          <w:spacing w:val="-1"/>
          <w:sz w:val="18"/>
        </w:rPr>
        <w:t> </w:t>
      </w:r>
      <w:r>
        <w:rPr>
          <w:sz w:val="18"/>
        </w:rPr>
        <w:t>practices</w:t>
      </w:r>
      <w:r>
        <w:rPr>
          <w:spacing w:val="-1"/>
          <w:sz w:val="18"/>
        </w:rPr>
        <w:t> </w:t>
      </w:r>
      <w:r>
        <w:rPr>
          <w:sz w:val="18"/>
        </w:rPr>
        <w:t>and</w:t>
      </w:r>
      <w:r>
        <w:rPr>
          <w:spacing w:val="-1"/>
          <w:sz w:val="18"/>
        </w:rPr>
        <w:t> </w:t>
      </w:r>
      <w:r>
        <w:rPr>
          <w:spacing w:val="-2"/>
          <w:sz w:val="18"/>
        </w:rPr>
        <w:t>procedures;</w:t>
      </w:r>
    </w:p>
    <w:p>
      <w:pPr>
        <w:pStyle w:val="BodyText"/>
        <w:spacing w:before="3"/>
      </w:pPr>
    </w:p>
    <w:p>
      <w:pPr>
        <w:pStyle w:val="ListParagraph"/>
        <w:numPr>
          <w:ilvl w:val="0"/>
          <w:numId w:val="62"/>
        </w:numPr>
        <w:tabs>
          <w:tab w:pos="1116" w:val="left" w:leader="none"/>
        </w:tabs>
        <w:spacing w:line="204" w:lineRule="auto" w:before="0" w:after="0"/>
        <w:ind w:left="1116" w:right="118" w:hanging="324"/>
        <w:jc w:val="left"/>
        <w:rPr>
          <w:sz w:val="18"/>
        </w:rPr>
      </w:pPr>
      <w:r>
        <w:rPr>
          <w:sz w:val="18"/>
        </w:rPr>
        <w:t>the</w:t>
      </w:r>
      <w:r>
        <w:rPr>
          <w:spacing w:val="-2"/>
          <w:sz w:val="18"/>
        </w:rPr>
        <w:t> </w:t>
      </w:r>
      <w:r>
        <w:rPr>
          <w:sz w:val="18"/>
        </w:rPr>
        <w:t>maintenance</w:t>
      </w:r>
      <w:r>
        <w:rPr>
          <w:spacing w:val="-2"/>
          <w:sz w:val="18"/>
        </w:rPr>
        <w:t> </w:t>
      </w:r>
      <w:r>
        <w:rPr>
          <w:sz w:val="18"/>
        </w:rPr>
        <w:t>of</w:t>
      </w:r>
      <w:r>
        <w:rPr>
          <w:spacing w:val="-2"/>
          <w:sz w:val="18"/>
        </w:rPr>
        <w:t> </w:t>
      </w:r>
      <w:r>
        <w:rPr>
          <w:sz w:val="18"/>
        </w:rPr>
        <w:t>effective</w:t>
      </w:r>
      <w:r>
        <w:rPr>
          <w:spacing w:val="-2"/>
          <w:sz w:val="18"/>
        </w:rPr>
        <w:t> </w:t>
      </w:r>
      <w:r>
        <w:rPr>
          <w:sz w:val="18"/>
        </w:rPr>
        <w:t>controls</w:t>
      </w:r>
      <w:r>
        <w:rPr>
          <w:spacing w:val="-2"/>
          <w:sz w:val="18"/>
        </w:rPr>
        <w:t> </w:t>
      </w:r>
      <w:r>
        <w:rPr>
          <w:sz w:val="18"/>
        </w:rPr>
        <w:t>over</w:t>
      </w:r>
      <w:r>
        <w:rPr>
          <w:spacing w:val="-2"/>
          <w:sz w:val="18"/>
        </w:rPr>
        <w:t> </w:t>
      </w:r>
      <w:r>
        <w:rPr>
          <w:sz w:val="18"/>
        </w:rPr>
        <w:t>the</w:t>
      </w:r>
      <w:r>
        <w:rPr>
          <w:spacing w:val="-2"/>
          <w:sz w:val="18"/>
        </w:rPr>
        <w:t> </w:t>
      </w:r>
      <w:r>
        <w:rPr>
          <w:sz w:val="18"/>
        </w:rPr>
        <w:t>financial</w:t>
      </w:r>
      <w:r>
        <w:rPr>
          <w:spacing w:val="-2"/>
          <w:sz w:val="18"/>
        </w:rPr>
        <w:t> </w:t>
      </w:r>
      <w:r>
        <w:rPr>
          <w:sz w:val="18"/>
        </w:rPr>
        <w:t>practices</w:t>
      </w:r>
      <w:r>
        <w:rPr>
          <w:spacing w:val="-2"/>
          <w:sz w:val="18"/>
        </w:rPr>
        <w:t> </w:t>
      </w:r>
      <w:r>
        <w:rPr>
          <w:sz w:val="18"/>
        </w:rPr>
        <w:t>of</w:t>
      </w:r>
      <w:r>
        <w:rPr>
          <w:spacing w:val="-2"/>
          <w:sz w:val="18"/>
        </w:rPr>
        <w:t> </w:t>
      </w:r>
      <w:r>
        <w:rPr>
          <w:sz w:val="18"/>
        </w:rPr>
        <w:t>licensees,</w:t>
      </w:r>
      <w:r>
        <w:rPr>
          <w:spacing w:val="-2"/>
          <w:sz w:val="18"/>
        </w:rPr>
        <w:t> </w:t>
      </w:r>
      <w:r>
        <w:rPr>
          <w:sz w:val="18"/>
        </w:rPr>
        <w:t>including</w:t>
      </w:r>
      <w:r>
        <w:rPr>
          <w:spacing w:val="-2"/>
          <w:sz w:val="18"/>
        </w:rPr>
        <w:t> </w:t>
      </w:r>
      <w:r>
        <w:rPr>
          <w:sz w:val="18"/>
        </w:rPr>
        <w:t>the</w:t>
      </w:r>
      <w:r>
        <w:rPr>
          <w:spacing w:val="-2"/>
          <w:sz w:val="18"/>
        </w:rPr>
        <w:t> </w:t>
      </w:r>
      <w:r>
        <w:rPr>
          <w:sz w:val="18"/>
        </w:rPr>
        <w:t>establishment</w:t>
      </w:r>
      <w:r>
        <w:rPr>
          <w:spacing w:val="-2"/>
          <w:sz w:val="18"/>
        </w:rPr>
        <w:t> </w:t>
      </w:r>
      <w:r>
        <w:rPr>
          <w:sz w:val="18"/>
        </w:rPr>
        <w:t>of</w:t>
      </w:r>
      <w:r>
        <w:rPr>
          <w:spacing w:val="-2"/>
          <w:sz w:val="18"/>
        </w:rPr>
        <w:t> </w:t>
      </w:r>
      <w:r>
        <w:rPr>
          <w:sz w:val="18"/>
        </w:rPr>
        <w:t>minimum</w:t>
      </w:r>
      <w:r>
        <w:rPr>
          <w:spacing w:val="-2"/>
          <w:sz w:val="18"/>
        </w:rPr>
        <w:t> </w:t>
      </w:r>
      <w:r>
        <w:rPr>
          <w:sz w:val="18"/>
        </w:rPr>
        <w:t>internal</w:t>
      </w:r>
      <w:r>
        <w:rPr>
          <w:spacing w:val="-2"/>
          <w:sz w:val="18"/>
        </w:rPr>
        <w:t> </w:t>
      </w:r>
      <w:r>
        <w:rPr>
          <w:sz w:val="18"/>
        </w:rPr>
        <w:t>control</w:t>
      </w:r>
      <w:r>
        <w:rPr>
          <w:spacing w:val="-2"/>
          <w:sz w:val="18"/>
        </w:rPr>
        <w:t> </w:t>
      </w:r>
      <w:r>
        <w:rPr>
          <w:sz w:val="18"/>
        </w:rPr>
        <w:t>procedures for internal fiscal affairs and the safeguarding of assets and revenues;</w:t>
      </w:r>
    </w:p>
    <w:p>
      <w:pPr>
        <w:pStyle w:val="ListParagraph"/>
        <w:numPr>
          <w:ilvl w:val="0"/>
          <w:numId w:val="62"/>
        </w:numPr>
        <w:tabs>
          <w:tab w:pos="1116" w:val="left" w:leader="none"/>
        </w:tabs>
        <w:spacing w:line="240" w:lineRule="auto" w:before="203" w:after="0"/>
        <w:ind w:left="1116" w:right="0" w:hanging="324"/>
        <w:jc w:val="left"/>
        <w:rPr>
          <w:sz w:val="18"/>
        </w:rPr>
      </w:pPr>
      <w:r>
        <w:rPr>
          <w:sz w:val="18"/>
        </w:rPr>
        <w:t>reliable</w:t>
      </w:r>
      <w:r>
        <w:rPr>
          <w:spacing w:val="-1"/>
          <w:sz w:val="18"/>
        </w:rPr>
        <w:t> </w:t>
      </w:r>
      <w:r>
        <w:rPr>
          <w:sz w:val="18"/>
        </w:rPr>
        <w:t>record</w:t>
      </w:r>
      <w:r>
        <w:rPr>
          <w:spacing w:val="-1"/>
          <w:sz w:val="18"/>
        </w:rPr>
        <w:t> </w:t>
      </w:r>
      <w:r>
        <w:rPr>
          <w:sz w:val="18"/>
        </w:rPr>
        <w:t>keeping</w:t>
      </w:r>
      <w:r>
        <w:rPr>
          <w:spacing w:val="-1"/>
          <w:sz w:val="18"/>
        </w:rPr>
        <w:t> </w:t>
      </w:r>
      <w:r>
        <w:rPr>
          <w:sz w:val="18"/>
        </w:rPr>
        <w:t>and</w:t>
      </w:r>
      <w:r>
        <w:rPr>
          <w:spacing w:val="-1"/>
          <w:sz w:val="18"/>
        </w:rPr>
        <w:t> </w:t>
      </w:r>
      <w:r>
        <w:rPr>
          <w:sz w:val="18"/>
        </w:rPr>
        <w:t>the</w:t>
      </w:r>
      <w:r>
        <w:rPr>
          <w:spacing w:val="-1"/>
          <w:sz w:val="18"/>
        </w:rPr>
        <w:t> </w:t>
      </w:r>
      <w:r>
        <w:rPr>
          <w:sz w:val="18"/>
        </w:rPr>
        <w:t>filing</w:t>
      </w:r>
      <w:r>
        <w:rPr>
          <w:spacing w:val="-1"/>
          <w:sz w:val="18"/>
        </w:rPr>
        <w:t> </w:t>
      </w:r>
      <w:r>
        <w:rPr>
          <w:sz w:val="18"/>
        </w:rPr>
        <w:t>of</w:t>
      </w:r>
      <w:r>
        <w:rPr>
          <w:spacing w:val="-1"/>
          <w:sz w:val="18"/>
        </w:rPr>
        <w:t> </w:t>
      </w:r>
      <w:r>
        <w:rPr>
          <w:sz w:val="18"/>
        </w:rPr>
        <w:t>periodic</w:t>
      </w:r>
      <w:r>
        <w:rPr>
          <w:spacing w:val="-1"/>
          <w:sz w:val="18"/>
        </w:rPr>
        <w:t> </w:t>
      </w:r>
      <w:r>
        <w:rPr>
          <w:sz w:val="18"/>
        </w:rPr>
        <w:t>reports</w:t>
      </w:r>
      <w:r>
        <w:rPr>
          <w:spacing w:val="-1"/>
          <w:sz w:val="18"/>
        </w:rPr>
        <w:t> </w:t>
      </w:r>
      <w:r>
        <w:rPr>
          <w:sz w:val="18"/>
        </w:rPr>
        <w:t>with</w:t>
      </w:r>
      <w:r>
        <w:rPr>
          <w:spacing w:val="-1"/>
          <w:sz w:val="18"/>
        </w:rPr>
        <w:t> </w:t>
      </w:r>
      <w:r>
        <w:rPr>
          <w:sz w:val="18"/>
        </w:rPr>
        <w:t>our</w:t>
      </w:r>
      <w:r>
        <w:rPr>
          <w:spacing w:val="-1"/>
          <w:sz w:val="18"/>
        </w:rPr>
        <w:t> </w:t>
      </w:r>
      <w:r>
        <w:rPr>
          <w:sz w:val="18"/>
        </w:rPr>
        <w:t>gaming</w:t>
      </w:r>
      <w:r>
        <w:rPr>
          <w:spacing w:val="-1"/>
          <w:sz w:val="18"/>
        </w:rPr>
        <w:t> </w:t>
      </w:r>
      <w:r>
        <w:rPr>
          <w:spacing w:val="-2"/>
          <w:sz w:val="18"/>
        </w:rPr>
        <w:t>regulators;</w:t>
      </w:r>
    </w:p>
    <w:p>
      <w:pPr>
        <w:pStyle w:val="ListParagraph"/>
        <w:numPr>
          <w:ilvl w:val="0"/>
          <w:numId w:val="62"/>
        </w:numPr>
        <w:tabs>
          <w:tab w:pos="1116" w:val="left" w:leader="none"/>
        </w:tabs>
        <w:spacing w:line="240" w:lineRule="auto" w:before="185" w:after="0"/>
        <w:ind w:left="1116" w:right="0" w:hanging="324"/>
        <w:jc w:val="left"/>
        <w:rPr>
          <w:sz w:val="18"/>
        </w:rPr>
      </w:pPr>
      <w:r>
        <w:rPr>
          <w:sz w:val="18"/>
        </w:rPr>
        <w:t>the</w:t>
      </w:r>
      <w:r>
        <w:rPr>
          <w:spacing w:val="-1"/>
          <w:sz w:val="18"/>
        </w:rPr>
        <w:t> </w:t>
      </w:r>
      <w:r>
        <w:rPr>
          <w:sz w:val="18"/>
        </w:rPr>
        <w:t>prevention</w:t>
      </w:r>
      <w:r>
        <w:rPr>
          <w:spacing w:val="-1"/>
          <w:sz w:val="18"/>
        </w:rPr>
        <w:t> </w:t>
      </w:r>
      <w:r>
        <w:rPr>
          <w:sz w:val="18"/>
        </w:rPr>
        <w:t>of</w:t>
      </w:r>
      <w:r>
        <w:rPr>
          <w:spacing w:val="-1"/>
          <w:sz w:val="18"/>
        </w:rPr>
        <w:t> </w:t>
      </w:r>
      <w:r>
        <w:rPr>
          <w:sz w:val="18"/>
        </w:rPr>
        <w:t>cheating</w:t>
      </w:r>
      <w:r>
        <w:rPr>
          <w:spacing w:val="-1"/>
          <w:sz w:val="18"/>
        </w:rPr>
        <w:t> </w:t>
      </w:r>
      <w:r>
        <w:rPr>
          <w:sz w:val="18"/>
        </w:rPr>
        <w:t>and</w:t>
      </w:r>
      <w:r>
        <w:rPr>
          <w:spacing w:val="-1"/>
          <w:sz w:val="18"/>
        </w:rPr>
        <w:t> </w:t>
      </w:r>
      <w:r>
        <w:rPr>
          <w:sz w:val="18"/>
        </w:rPr>
        <w:t>fraudulent</w:t>
      </w:r>
      <w:r>
        <w:rPr>
          <w:spacing w:val="-1"/>
          <w:sz w:val="18"/>
        </w:rPr>
        <w:t> </w:t>
      </w:r>
      <w:r>
        <w:rPr>
          <w:spacing w:val="-2"/>
          <w:sz w:val="18"/>
        </w:rPr>
        <w:t>practices;</w:t>
      </w:r>
    </w:p>
    <w:p>
      <w:pPr>
        <w:pStyle w:val="ListParagraph"/>
        <w:numPr>
          <w:ilvl w:val="0"/>
          <w:numId w:val="62"/>
        </w:numPr>
        <w:tabs>
          <w:tab w:pos="1116" w:val="left" w:leader="none"/>
        </w:tabs>
        <w:spacing w:line="218" w:lineRule="auto" w:before="200" w:after="0"/>
        <w:ind w:left="1116" w:right="118" w:hanging="324"/>
        <w:jc w:val="left"/>
        <w:rPr>
          <w:sz w:val="18"/>
        </w:rPr>
      </w:pPr>
      <w:r>
        <w:rPr>
          <w:sz w:val="18"/>
        </w:rPr>
        <w:t>the qualification, licensing or registration of certain employees, vendors and other persons with a financial interest in or control or influence over gaming operations;</w:t>
      </w:r>
    </w:p>
    <w:p>
      <w:pPr>
        <w:pStyle w:val="ListParagraph"/>
        <w:numPr>
          <w:ilvl w:val="0"/>
          <w:numId w:val="62"/>
        </w:numPr>
        <w:tabs>
          <w:tab w:pos="1116" w:val="left" w:leader="none"/>
        </w:tabs>
        <w:spacing w:line="240" w:lineRule="auto" w:before="188" w:after="0"/>
        <w:ind w:left="1116" w:right="0" w:hanging="324"/>
        <w:jc w:val="left"/>
        <w:rPr>
          <w:sz w:val="18"/>
        </w:rPr>
      </w:pPr>
      <w:r>
        <w:rPr>
          <w:sz w:val="18"/>
        </w:rPr>
        <w:t>the</w:t>
      </w:r>
      <w:r>
        <w:rPr>
          <w:spacing w:val="-1"/>
          <w:sz w:val="18"/>
        </w:rPr>
        <w:t> </w:t>
      </w:r>
      <w:r>
        <w:rPr>
          <w:sz w:val="18"/>
        </w:rPr>
        <w:t>payment</w:t>
      </w:r>
      <w:r>
        <w:rPr>
          <w:spacing w:val="-1"/>
          <w:sz w:val="18"/>
        </w:rPr>
        <w:t> </w:t>
      </w:r>
      <w:r>
        <w:rPr>
          <w:sz w:val="18"/>
        </w:rPr>
        <w:t>of</w:t>
      </w:r>
      <w:r>
        <w:rPr>
          <w:spacing w:val="-1"/>
          <w:sz w:val="18"/>
        </w:rPr>
        <w:t> </w:t>
      </w:r>
      <w:r>
        <w:rPr>
          <w:sz w:val="18"/>
        </w:rPr>
        <w:t>gaming</w:t>
      </w:r>
      <w:r>
        <w:rPr>
          <w:spacing w:val="-1"/>
          <w:sz w:val="18"/>
        </w:rPr>
        <w:t> </w:t>
      </w:r>
      <w:r>
        <w:rPr>
          <w:sz w:val="18"/>
        </w:rPr>
        <w:t>taxes,</w:t>
      </w:r>
      <w:r>
        <w:rPr>
          <w:spacing w:val="-1"/>
          <w:sz w:val="18"/>
        </w:rPr>
        <w:t> </w:t>
      </w:r>
      <w:r>
        <w:rPr>
          <w:sz w:val="18"/>
        </w:rPr>
        <w:t>licensing</w:t>
      </w:r>
      <w:r>
        <w:rPr>
          <w:spacing w:val="-1"/>
          <w:sz w:val="18"/>
        </w:rPr>
        <w:t> </w:t>
      </w:r>
      <w:r>
        <w:rPr>
          <w:sz w:val="18"/>
        </w:rPr>
        <w:t>fees</w:t>
      </w:r>
      <w:r>
        <w:rPr>
          <w:spacing w:val="-1"/>
          <w:sz w:val="18"/>
        </w:rPr>
        <w:t> </w:t>
      </w:r>
      <w:r>
        <w:rPr>
          <w:sz w:val="18"/>
        </w:rPr>
        <w:t>and</w:t>
      </w:r>
      <w:r>
        <w:rPr>
          <w:spacing w:val="-1"/>
          <w:sz w:val="18"/>
        </w:rPr>
        <w:t> </w:t>
      </w:r>
      <w:r>
        <w:rPr>
          <w:sz w:val="18"/>
        </w:rPr>
        <w:t>other</w:t>
      </w:r>
      <w:r>
        <w:rPr>
          <w:spacing w:val="-1"/>
          <w:sz w:val="18"/>
        </w:rPr>
        <w:t> </w:t>
      </w:r>
      <w:r>
        <w:rPr>
          <w:sz w:val="18"/>
        </w:rPr>
        <w:t>regulatory</w:t>
      </w:r>
      <w:r>
        <w:rPr>
          <w:spacing w:val="-1"/>
          <w:sz w:val="18"/>
        </w:rPr>
        <w:t> </w:t>
      </w:r>
      <w:r>
        <w:rPr>
          <w:spacing w:val="-2"/>
          <w:sz w:val="18"/>
        </w:rPr>
        <w:t>fees;</w:t>
      </w:r>
    </w:p>
    <w:p>
      <w:pPr>
        <w:pStyle w:val="ListParagraph"/>
        <w:numPr>
          <w:ilvl w:val="0"/>
          <w:numId w:val="62"/>
        </w:numPr>
        <w:tabs>
          <w:tab w:pos="1116" w:val="left" w:leader="none"/>
        </w:tabs>
        <w:spacing w:line="240" w:lineRule="auto" w:before="185" w:after="0"/>
        <w:ind w:left="1116" w:right="0" w:hanging="324"/>
        <w:jc w:val="left"/>
        <w:rPr>
          <w:sz w:val="18"/>
        </w:rPr>
      </w:pPr>
      <w:r>
        <w:rPr>
          <w:sz w:val="18"/>
        </w:rPr>
        <w:t>maintenance</w:t>
      </w:r>
      <w:r>
        <w:rPr>
          <w:spacing w:val="-1"/>
          <w:sz w:val="18"/>
        </w:rPr>
        <w:t> </w:t>
      </w:r>
      <w:r>
        <w:rPr>
          <w:sz w:val="18"/>
        </w:rPr>
        <w:t>of</w:t>
      </w:r>
      <w:r>
        <w:rPr>
          <w:spacing w:val="-1"/>
          <w:sz w:val="18"/>
        </w:rPr>
        <w:t> </w:t>
      </w:r>
      <w:r>
        <w:rPr>
          <w:sz w:val="18"/>
        </w:rPr>
        <w:t>responsible</w:t>
      </w:r>
      <w:r>
        <w:rPr>
          <w:spacing w:val="-1"/>
          <w:sz w:val="18"/>
        </w:rPr>
        <w:t> </w:t>
      </w:r>
      <w:r>
        <w:rPr>
          <w:sz w:val="18"/>
        </w:rPr>
        <w:t>gaming</w:t>
      </w:r>
      <w:r>
        <w:rPr>
          <w:spacing w:val="-1"/>
          <w:sz w:val="18"/>
        </w:rPr>
        <w:t> </w:t>
      </w:r>
      <w:r>
        <w:rPr>
          <w:sz w:val="18"/>
        </w:rPr>
        <w:t>programs;</w:t>
      </w:r>
      <w:r>
        <w:rPr>
          <w:spacing w:val="-1"/>
          <w:sz w:val="18"/>
        </w:rPr>
        <w:t> </w:t>
      </w:r>
      <w:r>
        <w:rPr>
          <w:spacing w:val="-5"/>
          <w:sz w:val="18"/>
        </w:rPr>
        <w:t>and</w:t>
      </w:r>
    </w:p>
    <w:p>
      <w:pPr>
        <w:pStyle w:val="ListParagraph"/>
        <w:numPr>
          <w:ilvl w:val="0"/>
          <w:numId w:val="62"/>
        </w:numPr>
        <w:tabs>
          <w:tab w:pos="1116" w:val="left" w:leader="none"/>
        </w:tabs>
        <w:spacing w:line="240" w:lineRule="auto" w:before="198" w:after="0"/>
        <w:ind w:left="1116" w:right="0" w:hanging="324"/>
        <w:jc w:val="left"/>
        <w:rPr>
          <w:sz w:val="18"/>
        </w:rPr>
      </w:pPr>
      <w:r>
        <w:rPr>
          <w:sz w:val="18"/>
        </w:rPr>
        <w:t>compliance</w:t>
      </w:r>
      <w:r>
        <w:rPr>
          <w:spacing w:val="-1"/>
          <w:sz w:val="18"/>
        </w:rPr>
        <w:t> </w:t>
      </w:r>
      <w:r>
        <w:rPr>
          <w:sz w:val="18"/>
        </w:rPr>
        <w:t>with</w:t>
      </w:r>
      <w:r>
        <w:rPr>
          <w:spacing w:val="-1"/>
          <w:sz w:val="18"/>
        </w:rPr>
        <w:t> </w:t>
      </w:r>
      <w:r>
        <w:rPr>
          <w:sz w:val="18"/>
        </w:rPr>
        <w:t>community</w:t>
      </w:r>
      <w:r>
        <w:rPr>
          <w:spacing w:val="-1"/>
          <w:sz w:val="18"/>
        </w:rPr>
        <w:t> </w:t>
      </w:r>
      <w:r>
        <w:rPr>
          <w:sz w:val="18"/>
        </w:rPr>
        <w:t>benefits</w:t>
      </w:r>
      <w:r>
        <w:rPr>
          <w:spacing w:val="-1"/>
          <w:sz w:val="18"/>
        </w:rPr>
        <w:t> </w:t>
      </w:r>
      <w:r>
        <w:rPr>
          <w:sz w:val="18"/>
        </w:rPr>
        <w:t>agreements</w:t>
      </w:r>
      <w:r>
        <w:rPr>
          <w:spacing w:val="-1"/>
          <w:sz w:val="18"/>
        </w:rPr>
        <w:t> </w:t>
      </w:r>
      <w:r>
        <w:rPr>
          <w:sz w:val="18"/>
        </w:rPr>
        <w:t>in</w:t>
      </w:r>
      <w:r>
        <w:rPr>
          <w:spacing w:val="-1"/>
          <w:sz w:val="18"/>
        </w:rPr>
        <w:t> </w:t>
      </w:r>
      <w:r>
        <w:rPr>
          <w:sz w:val="18"/>
        </w:rPr>
        <w:t>our</w:t>
      </w:r>
      <w:r>
        <w:rPr>
          <w:spacing w:val="-1"/>
          <w:sz w:val="18"/>
        </w:rPr>
        <w:t> </w:t>
      </w:r>
      <w:r>
        <w:rPr>
          <w:sz w:val="18"/>
        </w:rPr>
        <w:t>host</w:t>
      </w:r>
      <w:r>
        <w:rPr>
          <w:spacing w:val="-1"/>
          <w:sz w:val="18"/>
        </w:rPr>
        <w:t> </w:t>
      </w:r>
      <w:r>
        <w:rPr>
          <w:sz w:val="18"/>
        </w:rPr>
        <w:t>and</w:t>
      </w:r>
      <w:r>
        <w:rPr>
          <w:spacing w:val="-1"/>
          <w:sz w:val="18"/>
        </w:rPr>
        <w:t> </w:t>
      </w:r>
      <w:r>
        <w:rPr>
          <w:sz w:val="18"/>
        </w:rPr>
        <w:t>surrounding</w:t>
      </w:r>
      <w:r>
        <w:rPr>
          <w:spacing w:val="-1"/>
          <w:sz w:val="18"/>
        </w:rPr>
        <w:t> </w:t>
      </w:r>
      <w:r>
        <w:rPr>
          <w:sz w:val="18"/>
        </w:rPr>
        <w:t>communities,</w:t>
      </w:r>
      <w:r>
        <w:rPr>
          <w:spacing w:val="-1"/>
          <w:sz w:val="18"/>
        </w:rPr>
        <w:t> </w:t>
      </w:r>
      <w:r>
        <w:rPr>
          <w:sz w:val="18"/>
        </w:rPr>
        <w:t>where</w:t>
      </w:r>
      <w:r>
        <w:rPr>
          <w:spacing w:val="-1"/>
          <w:sz w:val="18"/>
        </w:rPr>
        <w:t> </w:t>
      </w:r>
      <w:r>
        <w:rPr>
          <w:spacing w:val="-2"/>
          <w:sz w:val="18"/>
        </w:rPr>
        <w:t>applicable.</w:t>
      </w:r>
    </w:p>
    <w:p>
      <w:pPr>
        <w:pStyle w:val="BodyText"/>
        <w:spacing w:line="208" w:lineRule="auto" w:before="206"/>
        <w:ind w:left="144" w:right="118" w:firstLine="440"/>
        <w:jc w:val="both"/>
      </w:pPr>
      <w:r>
        <w:rPr/>
        <w:t>Typically, regulatory environments in the jurisdictions in which we operate are established by legislation and are administered by a regulatory agency or agencies with the authority to interpret their gaming enabling legislation and regulations promulgated thereunder and have broad discretion and authority to regulate the affairs of owners, managers, and persons with financial interests in gaming operations. Gaming regulators in the various jurisdictions in which we operate, among other things:</w:t>
      </w:r>
    </w:p>
    <w:p>
      <w:pPr>
        <w:pStyle w:val="ListParagraph"/>
        <w:numPr>
          <w:ilvl w:val="0"/>
          <w:numId w:val="62"/>
        </w:numPr>
        <w:tabs>
          <w:tab w:pos="1116" w:val="left" w:leader="none"/>
        </w:tabs>
        <w:spacing w:line="240" w:lineRule="auto" w:before="189" w:after="0"/>
        <w:ind w:left="1116" w:right="0" w:hanging="324"/>
        <w:jc w:val="left"/>
        <w:rPr>
          <w:sz w:val="18"/>
        </w:rPr>
      </w:pPr>
      <w:r>
        <w:rPr>
          <w:sz w:val="18"/>
        </w:rPr>
        <w:t>adopt</w:t>
      </w:r>
      <w:r>
        <w:rPr>
          <w:spacing w:val="-1"/>
          <w:sz w:val="18"/>
        </w:rPr>
        <w:t> </w:t>
      </w:r>
      <w:r>
        <w:rPr>
          <w:sz w:val="18"/>
        </w:rPr>
        <w:t>regulations</w:t>
      </w:r>
      <w:r>
        <w:rPr>
          <w:spacing w:val="-1"/>
          <w:sz w:val="18"/>
        </w:rPr>
        <w:t> </w:t>
      </w:r>
      <w:r>
        <w:rPr>
          <w:sz w:val="18"/>
        </w:rPr>
        <w:t>under</w:t>
      </w:r>
      <w:r>
        <w:rPr>
          <w:spacing w:val="-1"/>
          <w:sz w:val="18"/>
        </w:rPr>
        <w:t> </w:t>
      </w:r>
      <w:r>
        <w:rPr>
          <w:sz w:val="18"/>
        </w:rPr>
        <w:t>their</w:t>
      </w:r>
      <w:r>
        <w:rPr>
          <w:spacing w:val="-1"/>
          <w:sz w:val="18"/>
        </w:rPr>
        <w:t> </w:t>
      </w:r>
      <w:r>
        <w:rPr>
          <w:sz w:val="18"/>
        </w:rPr>
        <w:t>gaming</w:t>
      </w:r>
      <w:r>
        <w:rPr>
          <w:spacing w:val="-1"/>
          <w:sz w:val="18"/>
        </w:rPr>
        <w:t> </w:t>
      </w:r>
      <w:r>
        <w:rPr>
          <w:sz w:val="18"/>
        </w:rPr>
        <w:t>enabling</w:t>
      </w:r>
      <w:r>
        <w:rPr>
          <w:spacing w:val="-1"/>
          <w:sz w:val="18"/>
        </w:rPr>
        <w:t> </w:t>
      </w:r>
      <w:r>
        <w:rPr>
          <w:spacing w:val="-2"/>
          <w:sz w:val="18"/>
        </w:rPr>
        <w:t>legislation;</w:t>
      </w:r>
    </w:p>
    <w:p>
      <w:pPr>
        <w:pStyle w:val="ListParagraph"/>
        <w:numPr>
          <w:ilvl w:val="0"/>
          <w:numId w:val="62"/>
        </w:numPr>
        <w:tabs>
          <w:tab w:pos="1116" w:val="left" w:leader="none"/>
        </w:tabs>
        <w:spacing w:line="240" w:lineRule="auto" w:before="198" w:after="0"/>
        <w:ind w:left="1116" w:right="0" w:hanging="324"/>
        <w:jc w:val="left"/>
        <w:rPr>
          <w:sz w:val="18"/>
        </w:rPr>
      </w:pPr>
      <w:r>
        <w:rPr>
          <w:sz w:val="18"/>
        </w:rPr>
        <w:t>investigate</w:t>
      </w:r>
      <w:r>
        <w:rPr>
          <w:spacing w:val="-1"/>
          <w:sz w:val="18"/>
        </w:rPr>
        <w:t> </w:t>
      </w:r>
      <w:r>
        <w:rPr>
          <w:sz w:val="18"/>
        </w:rPr>
        <w:t>and</w:t>
      </w:r>
      <w:r>
        <w:rPr>
          <w:spacing w:val="-1"/>
          <w:sz w:val="18"/>
        </w:rPr>
        <w:t> </w:t>
      </w:r>
      <w:r>
        <w:rPr>
          <w:sz w:val="18"/>
        </w:rPr>
        <w:t>enforce</w:t>
      </w:r>
      <w:r>
        <w:rPr>
          <w:spacing w:val="-1"/>
          <w:sz w:val="18"/>
        </w:rPr>
        <w:t> </w:t>
      </w:r>
      <w:r>
        <w:rPr>
          <w:sz w:val="18"/>
        </w:rPr>
        <w:t>gaming</w:t>
      </w:r>
      <w:r>
        <w:rPr>
          <w:spacing w:val="-1"/>
          <w:sz w:val="18"/>
        </w:rPr>
        <w:t> </w:t>
      </w:r>
      <w:r>
        <w:rPr>
          <w:sz w:val="18"/>
        </w:rPr>
        <w:t>laws</w:t>
      </w:r>
      <w:r>
        <w:rPr>
          <w:spacing w:val="-1"/>
          <w:sz w:val="18"/>
        </w:rPr>
        <w:t> </w:t>
      </w:r>
      <w:r>
        <w:rPr>
          <w:sz w:val="18"/>
        </w:rPr>
        <w:t>and</w:t>
      </w:r>
      <w:r>
        <w:rPr>
          <w:spacing w:val="-1"/>
          <w:sz w:val="18"/>
        </w:rPr>
        <w:t> </w:t>
      </w:r>
      <w:r>
        <w:rPr>
          <w:spacing w:val="-2"/>
          <w:sz w:val="18"/>
        </w:rPr>
        <w:t>regulations;</w:t>
      </w:r>
    </w:p>
    <w:p>
      <w:pPr>
        <w:pStyle w:val="ListParagraph"/>
        <w:numPr>
          <w:ilvl w:val="0"/>
          <w:numId w:val="62"/>
        </w:numPr>
        <w:tabs>
          <w:tab w:pos="1116" w:val="left" w:leader="none"/>
        </w:tabs>
        <w:spacing w:line="240" w:lineRule="auto" w:before="185" w:after="0"/>
        <w:ind w:left="1116" w:right="0" w:hanging="324"/>
        <w:jc w:val="left"/>
        <w:rPr>
          <w:sz w:val="18"/>
        </w:rPr>
      </w:pPr>
      <w:r>
        <w:rPr>
          <w:sz w:val="18"/>
        </w:rPr>
        <w:t>impose</w:t>
      </w:r>
      <w:r>
        <w:rPr>
          <w:spacing w:val="-1"/>
          <w:sz w:val="18"/>
        </w:rPr>
        <w:t> </w:t>
      </w:r>
      <w:r>
        <w:rPr>
          <w:sz w:val="18"/>
        </w:rPr>
        <w:t>disciplinary</w:t>
      </w:r>
      <w:r>
        <w:rPr>
          <w:spacing w:val="-1"/>
          <w:sz w:val="18"/>
        </w:rPr>
        <w:t> </w:t>
      </w:r>
      <w:r>
        <w:rPr>
          <w:sz w:val="18"/>
        </w:rPr>
        <w:t>sanctions</w:t>
      </w:r>
      <w:r>
        <w:rPr>
          <w:spacing w:val="-1"/>
          <w:sz w:val="18"/>
        </w:rPr>
        <w:t> </w:t>
      </w:r>
      <w:r>
        <w:rPr>
          <w:sz w:val="18"/>
        </w:rPr>
        <w:t>for</w:t>
      </w:r>
      <w:r>
        <w:rPr>
          <w:spacing w:val="-1"/>
          <w:sz w:val="18"/>
        </w:rPr>
        <w:t> </w:t>
      </w:r>
      <w:r>
        <w:rPr>
          <w:sz w:val="18"/>
        </w:rPr>
        <w:t>violations,</w:t>
      </w:r>
      <w:r>
        <w:rPr>
          <w:spacing w:val="-1"/>
          <w:sz w:val="18"/>
        </w:rPr>
        <w:t> </w:t>
      </w:r>
      <w:r>
        <w:rPr>
          <w:sz w:val="18"/>
        </w:rPr>
        <w:t>including</w:t>
      </w:r>
      <w:r>
        <w:rPr>
          <w:spacing w:val="-1"/>
          <w:sz w:val="18"/>
        </w:rPr>
        <w:t> </w:t>
      </w:r>
      <w:r>
        <w:rPr>
          <w:sz w:val="18"/>
        </w:rPr>
        <w:t>fines</w:t>
      </w:r>
      <w:r>
        <w:rPr>
          <w:spacing w:val="-1"/>
          <w:sz w:val="18"/>
        </w:rPr>
        <w:t> </w:t>
      </w:r>
      <w:r>
        <w:rPr>
          <w:sz w:val="18"/>
        </w:rPr>
        <w:t>and</w:t>
      </w:r>
      <w:r>
        <w:rPr>
          <w:spacing w:val="-1"/>
          <w:sz w:val="18"/>
        </w:rPr>
        <w:t> </w:t>
      </w:r>
      <w:r>
        <w:rPr>
          <w:spacing w:val="-2"/>
          <w:sz w:val="18"/>
        </w:rPr>
        <w:t>penalties;</w:t>
      </w:r>
    </w:p>
    <w:p>
      <w:pPr>
        <w:pStyle w:val="ListParagraph"/>
        <w:numPr>
          <w:ilvl w:val="0"/>
          <w:numId w:val="62"/>
        </w:numPr>
        <w:tabs>
          <w:tab w:pos="1116" w:val="left" w:leader="none"/>
        </w:tabs>
        <w:spacing w:line="218" w:lineRule="auto" w:before="200" w:after="0"/>
        <w:ind w:left="1116" w:right="118" w:hanging="324"/>
        <w:jc w:val="left"/>
        <w:rPr>
          <w:sz w:val="18"/>
        </w:rPr>
      </w:pPr>
      <w:r>
        <w:rPr>
          <w:sz w:val="18"/>
        </w:rPr>
        <w:t>review</w:t>
      </w:r>
      <w:r>
        <w:rPr>
          <w:spacing w:val="24"/>
          <w:sz w:val="18"/>
        </w:rPr>
        <w:t> </w:t>
      </w:r>
      <w:r>
        <w:rPr>
          <w:sz w:val="18"/>
        </w:rPr>
        <w:t>the</w:t>
      </w:r>
      <w:r>
        <w:rPr>
          <w:spacing w:val="24"/>
          <w:sz w:val="18"/>
        </w:rPr>
        <w:t> </w:t>
      </w:r>
      <w:r>
        <w:rPr>
          <w:sz w:val="18"/>
        </w:rPr>
        <w:t>character</w:t>
      </w:r>
      <w:r>
        <w:rPr>
          <w:spacing w:val="24"/>
          <w:sz w:val="18"/>
        </w:rPr>
        <w:t> </w:t>
      </w:r>
      <w:r>
        <w:rPr>
          <w:sz w:val="18"/>
        </w:rPr>
        <w:t>and</w:t>
      </w:r>
      <w:r>
        <w:rPr>
          <w:spacing w:val="24"/>
          <w:sz w:val="18"/>
        </w:rPr>
        <w:t> </w:t>
      </w:r>
      <w:r>
        <w:rPr>
          <w:sz w:val="18"/>
        </w:rPr>
        <w:t>fitness</w:t>
      </w:r>
      <w:r>
        <w:rPr>
          <w:spacing w:val="24"/>
          <w:sz w:val="18"/>
        </w:rPr>
        <w:t> </w:t>
      </w:r>
      <w:r>
        <w:rPr>
          <w:sz w:val="18"/>
        </w:rPr>
        <w:t>of</w:t>
      </w:r>
      <w:r>
        <w:rPr>
          <w:spacing w:val="24"/>
          <w:sz w:val="18"/>
        </w:rPr>
        <w:t> </w:t>
      </w:r>
      <w:r>
        <w:rPr>
          <w:sz w:val="18"/>
        </w:rPr>
        <w:t>participants</w:t>
      </w:r>
      <w:r>
        <w:rPr>
          <w:spacing w:val="24"/>
          <w:sz w:val="18"/>
        </w:rPr>
        <w:t> </w:t>
      </w:r>
      <w:r>
        <w:rPr>
          <w:sz w:val="18"/>
        </w:rPr>
        <w:t>in</w:t>
      </w:r>
      <w:r>
        <w:rPr>
          <w:spacing w:val="24"/>
          <w:sz w:val="18"/>
        </w:rPr>
        <w:t> </w:t>
      </w:r>
      <w:r>
        <w:rPr>
          <w:sz w:val="18"/>
        </w:rPr>
        <w:t>gaming</w:t>
      </w:r>
      <w:r>
        <w:rPr>
          <w:spacing w:val="24"/>
          <w:sz w:val="18"/>
        </w:rPr>
        <w:t> </w:t>
      </w:r>
      <w:r>
        <w:rPr>
          <w:sz w:val="18"/>
        </w:rPr>
        <w:t>operations</w:t>
      </w:r>
      <w:r>
        <w:rPr>
          <w:spacing w:val="24"/>
          <w:sz w:val="18"/>
        </w:rPr>
        <w:t> </w:t>
      </w:r>
      <w:r>
        <w:rPr>
          <w:sz w:val="18"/>
        </w:rPr>
        <w:t>and</w:t>
      </w:r>
      <w:r>
        <w:rPr>
          <w:spacing w:val="24"/>
          <w:sz w:val="18"/>
        </w:rPr>
        <w:t> </w:t>
      </w:r>
      <w:r>
        <w:rPr>
          <w:sz w:val="18"/>
        </w:rPr>
        <w:t>make</w:t>
      </w:r>
      <w:r>
        <w:rPr>
          <w:spacing w:val="24"/>
          <w:sz w:val="18"/>
        </w:rPr>
        <w:t> </w:t>
      </w:r>
      <w:r>
        <w:rPr>
          <w:sz w:val="18"/>
        </w:rPr>
        <w:t>determinations</w:t>
      </w:r>
      <w:r>
        <w:rPr>
          <w:spacing w:val="24"/>
          <w:sz w:val="18"/>
        </w:rPr>
        <w:t> </w:t>
      </w:r>
      <w:r>
        <w:rPr>
          <w:sz w:val="18"/>
        </w:rPr>
        <w:t>regarding</w:t>
      </w:r>
      <w:r>
        <w:rPr>
          <w:spacing w:val="24"/>
          <w:sz w:val="18"/>
        </w:rPr>
        <w:t> </w:t>
      </w:r>
      <w:r>
        <w:rPr>
          <w:sz w:val="18"/>
        </w:rPr>
        <w:t>their</w:t>
      </w:r>
      <w:r>
        <w:rPr>
          <w:spacing w:val="24"/>
          <w:sz w:val="18"/>
        </w:rPr>
        <w:t> </w:t>
      </w:r>
      <w:r>
        <w:rPr>
          <w:sz w:val="18"/>
        </w:rPr>
        <w:t>suitability</w:t>
      </w:r>
      <w:r>
        <w:rPr>
          <w:spacing w:val="24"/>
          <w:sz w:val="18"/>
        </w:rPr>
        <w:t> </w:t>
      </w:r>
      <w:r>
        <w:rPr>
          <w:sz w:val="18"/>
        </w:rPr>
        <w:t>or</w:t>
      </w:r>
      <w:r>
        <w:rPr>
          <w:spacing w:val="24"/>
          <w:sz w:val="18"/>
        </w:rPr>
        <w:t> </w:t>
      </w:r>
      <w:r>
        <w:rPr>
          <w:sz w:val="18"/>
        </w:rPr>
        <w:t>qualification</w:t>
      </w:r>
      <w:r>
        <w:rPr>
          <w:spacing w:val="24"/>
          <w:sz w:val="18"/>
        </w:rPr>
        <w:t> </w:t>
      </w:r>
      <w:r>
        <w:rPr>
          <w:sz w:val="18"/>
        </w:rPr>
        <w:t>for </w:t>
      </w:r>
      <w:r>
        <w:rPr>
          <w:spacing w:val="-2"/>
          <w:sz w:val="18"/>
        </w:rPr>
        <w:t>licensure;</w:t>
      </w:r>
    </w:p>
    <w:p>
      <w:pPr>
        <w:pStyle w:val="ListParagraph"/>
        <w:numPr>
          <w:ilvl w:val="0"/>
          <w:numId w:val="62"/>
        </w:numPr>
        <w:tabs>
          <w:tab w:pos="1116" w:val="left" w:leader="none"/>
        </w:tabs>
        <w:spacing w:line="240" w:lineRule="auto" w:before="188" w:after="0"/>
        <w:ind w:left="1116" w:right="0" w:hanging="324"/>
        <w:jc w:val="left"/>
        <w:rPr>
          <w:sz w:val="18"/>
        </w:rPr>
      </w:pPr>
      <w:r>
        <w:rPr>
          <w:sz w:val="18"/>
        </w:rPr>
        <w:t>grant</w:t>
      </w:r>
      <w:r>
        <w:rPr>
          <w:spacing w:val="-1"/>
          <w:sz w:val="18"/>
        </w:rPr>
        <w:t> </w:t>
      </w:r>
      <w:r>
        <w:rPr>
          <w:sz w:val="18"/>
        </w:rPr>
        <w:t>licenses</w:t>
      </w:r>
      <w:r>
        <w:rPr>
          <w:spacing w:val="-1"/>
          <w:sz w:val="18"/>
        </w:rPr>
        <w:t> </w:t>
      </w:r>
      <w:r>
        <w:rPr>
          <w:sz w:val="18"/>
        </w:rPr>
        <w:t>for</w:t>
      </w:r>
      <w:r>
        <w:rPr>
          <w:spacing w:val="-1"/>
          <w:sz w:val="18"/>
        </w:rPr>
        <w:t> </w:t>
      </w:r>
      <w:r>
        <w:rPr>
          <w:sz w:val="18"/>
        </w:rPr>
        <w:t>participation</w:t>
      </w:r>
      <w:r>
        <w:rPr>
          <w:spacing w:val="-1"/>
          <w:sz w:val="18"/>
        </w:rPr>
        <w:t> </w:t>
      </w:r>
      <w:r>
        <w:rPr>
          <w:sz w:val="18"/>
        </w:rPr>
        <w:t>in</w:t>
      </w:r>
      <w:r>
        <w:rPr>
          <w:spacing w:val="-1"/>
          <w:sz w:val="18"/>
        </w:rPr>
        <w:t> </w:t>
      </w:r>
      <w:r>
        <w:rPr>
          <w:sz w:val="18"/>
        </w:rPr>
        <w:t>gaming</w:t>
      </w:r>
      <w:r>
        <w:rPr>
          <w:spacing w:val="-1"/>
          <w:sz w:val="18"/>
        </w:rPr>
        <w:t> </w:t>
      </w:r>
      <w:r>
        <w:rPr>
          <w:spacing w:val="-2"/>
          <w:sz w:val="18"/>
        </w:rPr>
        <w:t>operations;</w:t>
      </w:r>
    </w:p>
    <w:p>
      <w:pPr>
        <w:pStyle w:val="ListParagraph"/>
        <w:numPr>
          <w:ilvl w:val="0"/>
          <w:numId w:val="62"/>
        </w:numPr>
        <w:tabs>
          <w:tab w:pos="1116" w:val="left" w:leader="none"/>
        </w:tabs>
        <w:spacing w:line="240" w:lineRule="auto" w:before="185" w:after="0"/>
        <w:ind w:left="1116" w:right="0" w:hanging="324"/>
        <w:jc w:val="left"/>
        <w:rPr>
          <w:sz w:val="18"/>
        </w:rPr>
      </w:pPr>
      <w:r>
        <w:rPr>
          <w:sz w:val="18"/>
        </w:rPr>
        <w:t>collect</w:t>
      </w:r>
      <w:r>
        <w:rPr>
          <w:spacing w:val="-1"/>
          <w:sz w:val="18"/>
        </w:rPr>
        <w:t> </w:t>
      </w:r>
      <w:r>
        <w:rPr>
          <w:sz w:val="18"/>
        </w:rPr>
        <w:t>and</w:t>
      </w:r>
      <w:r>
        <w:rPr>
          <w:spacing w:val="-1"/>
          <w:sz w:val="18"/>
        </w:rPr>
        <w:t> </w:t>
      </w:r>
      <w:r>
        <w:rPr>
          <w:sz w:val="18"/>
        </w:rPr>
        <w:t>review</w:t>
      </w:r>
      <w:r>
        <w:rPr>
          <w:spacing w:val="-1"/>
          <w:sz w:val="18"/>
        </w:rPr>
        <w:t> </w:t>
      </w:r>
      <w:r>
        <w:rPr>
          <w:sz w:val="18"/>
        </w:rPr>
        <w:t>reports</w:t>
      </w:r>
      <w:r>
        <w:rPr>
          <w:spacing w:val="-1"/>
          <w:sz w:val="18"/>
        </w:rPr>
        <w:t> </w:t>
      </w:r>
      <w:r>
        <w:rPr>
          <w:sz w:val="18"/>
        </w:rPr>
        <w:t>and</w:t>
      </w:r>
      <w:r>
        <w:rPr>
          <w:spacing w:val="-1"/>
          <w:sz w:val="18"/>
        </w:rPr>
        <w:t> </w:t>
      </w:r>
      <w:r>
        <w:rPr>
          <w:sz w:val="18"/>
        </w:rPr>
        <w:t>information</w:t>
      </w:r>
      <w:r>
        <w:rPr>
          <w:spacing w:val="-1"/>
          <w:sz w:val="18"/>
        </w:rPr>
        <w:t> </w:t>
      </w:r>
      <w:r>
        <w:rPr>
          <w:sz w:val="18"/>
        </w:rPr>
        <w:t>submitted</w:t>
      </w:r>
      <w:r>
        <w:rPr>
          <w:spacing w:val="-1"/>
          <w:sz w:val="18"/>
        </w:rPr>
        <w:t> </w:t>
      </w:r>
      <w:r>
        <w:rPr>
          <w:sz w:val="18"/>
        </w:rPr>
        <w:t>by</w:t>
      </w:r>
      <w:r>
        <w:rPr>
          <w:spacing w:val="-1"/>
          <w:sz w:val="18"/>
        </w:rPr>
        <w:t> </w:t>
      </w:r>
      <w:r>
        <w:rPr>
          <w:sz w:val="18"/>
        </w:rPr>
        <w:t>participants</w:t>
      </w:r>
      <w:r>
        <w:rPr>
          <w:spacing w:val="-1"/>
          <w:sz w:val="18"/>
        </w:rPr>
        <w:t> </w:t>
      </w:r>
      <w:r>
        <w:rPr>
          <w:sz w:val="18"/>
        </w:rPr>
        <w:t>in</w:t>
      </w:r>
      <w:r>
        <w:rPr>
          <w:spacing w:val="-1"/>
          <w:sz w:val="18"/>
        </w:rPr>
        <w:t> </w:t>
      </w:r>
      <w:r>
        <w:rPr>
          <w:sz w:val="18"/>
        </w:rPr>
        <w:t>gaming</w:t>
      </w:r>
      <w:r>
        <w:rPr>
          <w:spacing w:val="-1"/>
          <w:sz w:val="18"/>
        </w:rPr>
        <w:t> </w:t>
      </w:r>
      <w:r>
        <w:rPr>
          <w:spacing w:val="-2"/>
          <w:sz w:val="18"/>
        </w:rPr>
        <w:t>operations;</w:t>
      </w:r>
    </w:p>
    <w:p>
      <w:pPr>
        <w:pStyle w:val="BodyText"/>
        <w:spacing w:before="16"/>
      </w:pPr>
    </w:p>
    <w:p>
      <w:pPr>
        <w:pStyle w:val="ListParagraph"/>
        <w:numPr>
          <w:ilvl w:val="0"/>
          <w:numId w:val="62"/>
        </w:numPr>
        <w:tabs>
          <w:tab w:pos="1116" w:val="left" w:leader="none"/>
        </w:tabs>
        <w:spacing w:line="204" w:lineRule="auto" w:before="0" w:after="0"/>
        <w:ind w:left="1116" w:right="118" w:hanging="324"/>
        <w:jc w:val="left"/>
        <w:rPr>
          <w:sz w:val="18"/>
        </w:rPr>
      </w:pPr>
      <w:r>
        <w:rPr>
          <w:sz w:val="18"/>
        </w:rPr>
        <w:t>review and approve transactions, such as acquisitions or change-of-control transactions of gaming industry participants, securities offerings and debt transactions engaged in by such participants; and</w:t>
      </w:r>
    </w:p>
    <w:p>
      <w:pPr>
        <w:pStyle w:val="ListParagraph"/>
        <w:numPr>
          <w:ilvl w:val="0"/>
          <w:numId w:val="62"/>
        </w:numPr>
        <w:tabs>
          <w:tab w:pos="1116" w:val="left" w:leader="none"/>
        </w:tabs>
        <w:spacing w:line="240" w:lineRule="auto" w:before="190" w:after="0"/>
        <w:ind w:left="1116" w:right="0" w:hanging="324"/>
        <w:jc w:val="left"/>
        <w:rPr>
          <w:sz w:val="18"/>
        </w:rPr>
      </w:pPr>
      <w:r>
        <w:rPr>
          <w:sz w:val="18"/>
        </w:rPr>
        <w:t>establish</w:t>
      </w:r>
      <w:r>
        <w:rPr>
          <w:spacing w:val="-1"/>
          <w:sz w:val="18"/>
        </w:rPr>
        <w:t> </w:t>
      </w:r>
      <w:r>
        <w:rPr>
          <w:sz w:val="18"/>
        </w:rPr>
        <w:t>and</w:t>
      </w:r>
      <w:r>
        <w:rPr>
          <w:spacing w:val="-1"/>
          <w:sz w:val="18"/>
        </w:rPr>
        <w:t> </w:t>
      </w:r>
      <w:r>
        <w:rPr>
          <w:sz w:val="18"/>
        </w:rPr>
        <w:t>collect</w:t>
      </w:r>
      <w:r>
        <w:rPr>
          <w:spacing w:val="-1"/>
          <w:sz w:val="18"/>
        </w:rPr>
        <w:t> </w:t>
      </w:r>
      <w:r>
        <w:rPr>
          <w:sz w:val="18"/>
        </w:rPr>
        <w:t>taxes</w:t>
      </w:r>
      <w:r>
        <w:rPr>
          <w:spacing w:val="-1"/>
          <w:sz w:val="18"/>
        </w:rPr>
        <w:t> </w:t>
      </w:r>
      <w:r>
        <w:rPr>
          <w:sz w:val="18"/>
        </w:rPr>
        <w:t>and</w:t>
      </w:r>
      <w:r>
        <w:rPr>
          <w:spacing w:val="-1"/>
          <w:sz w:val="18"/>
        </w:rPr>
        <w:t> </w:t>
      </w:r>
      <w:r>
        <w:rPr>
          <w:spacing w:val="-4"/>
          <w:sz w:val="18"/>
        </w:rPr>
        <w:t>fees.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1"/>
        <w:rPr>
          <w:sz w:val="20"/>
        </w:rPr>
      </w:pPr>
      <w:r>
        <w:rPr/>
        <mc:AlternateContent>
          <mc:Choice Requires="wps">
            <w:drawing>
              <wp:anchor distT="0" distB="0" distL="0" distR="0" allowOverlap="1" layoutInCell="1" locked="0" behindDoc="1" simplePos="0" relativeHeight="487822848">
                <wp:simplePos x="0" y="0"/>
                <wp:positionH relativeFrom="page">
                  <wp:posOffset>231457</wp:posOffset>
                </wp:positionH>
                <wp:positionV relativeFrom="paragraph">
                  <wp:posOffset>282562</wp:posOffset>
                </wp:positionV>
                <wp:extent cx="7312659" cy="17145"/>
                <wp:effectExtent l="0" t="0" r="0" b="0"/>
                <wp:wrapTopAndBottom/>
                <wp:docPr id="1163" name="Group 1163"/>
                <wp:cNvGraphicFramePr>
                  <a:graphicFrameLocks/>
                </wp:cNvGraphicFramePr>
                <a:graphic>
                  <a:graphicData uri="http://schemas.microsoft.com/office/word/2010/wordprocessingGroup">
                    <wpg:wgp>
                      <wpg:cNvPr id="1163" name="Group 1163"/>
                      <wpg:cNvGrpSpPr/>
                      <wpg:grpSpPr>
                        <a:xfrm>
                          <a:off x="0" y="0"/>
                          <a:ext cx="7312659" cy="17145"/>
                          <a:chExt cx="7312659" cy="17145"/>
                        </a:xfrm>
                      </wpg:grpSpPr>
                      <wps:wsp>
                        <wps:cNvPr id="1164" name="Graphic 116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65" name="Graphic 1165"/>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66" name="Graphic 116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2.249023pt;width:575.8pt;height:1.35pt;mso-position-horizontal-relative:page;mso-position-vertical-relative:paragraph;z-index:-15493632;mso-wrap-distance-left:0;mso-wrap-distance-right:0" id="docshapegroup1161" coordorigin="364,445" coordsize="11516,27">
                <v:rect style="position:absolute;left:364;top:444;width:11516;height:14" id="docshape1162" filled="true" fillcolor="#999999" stroked="false">
                  <v:fill type="solid"/>
                </v:rect>
                <v:shape style="position:absolute;left:364;top:444;width:11516;height:27" id="docshape1163" coordorigin="364,445" coordsize="11516,27" path="m11880,445l11866,458,364,458,364,472,11866,472,11880,472,11880,458,11880,445xe" filled="true" fillcolor="#ededed" stroked="false">
                  <v:path arrowok="t"/>
                  <v:fill type="solid"/>
                </v:shape>
                <v:shape style="position:absolute;left:364;top:444;width:14;height:27" id="docshape1164" coordorigin="364,445" coordsize="14,27" path="m364,472l364,445,378,445,378,458,364,472xe" filled="true" fillcolor="#999999" stroked="false">
                  <v:path arrowok="t"/>
                  <v:fill type="solid"/>
                </v:shape>
                <w10:wrap type="topAndBottom"/>
              </v:group>
            </w:pict>
          </mc:Fallback>
        </mc:AlternateContent>
      </w:r>
    </w:p>
    <w:p>
      <w:pPr>
        <w:spacing w:after="0"/>
        <w:rPr>
          <w:sz w:val="20"/>
        </w:rPr>
        <w:sectPr>
          <w:pgSz w:w="12240" w:h="15840"/>
          <w:pgMar w:top="1120" w:bottom="280" w:left="220" w:right="240"/>
        </w:sectPr>
      </w:pPr>
    </w:p>
    <w:p>
      <w:pPr>
        <w:pStyle w:val="BodyText"/>
        <w:spacing w:line="218" w:lineRule="auto" w:before="85"/>
        <w:ind w:left="144" w:right="118" w:firstLine="440"/>
        <w:jc w:val="both"/>
      </w:pPr>
      <w:r>
        <w:rPr/>
        <w:t>Any changes in the laws, regulations, and supervisory procedures of a gaming jurisdiction in which we operate could have an adverse effect on </w:t>
      </w:r>
      <w:r>
        <w:rPr/>
        <w:t>our business and operating results.</w:t>
      </w:r>
    </w:p>
    <w:p>
      <w:pPr>
        <w:spacing w:before="188"/>
        <w:ind w:left="144" w:right="0" w:firstLine="0"/>
        <w:jc w:val="left"/>
        <w:rPr>
          <w:i/>
          <w:sz w:val="18"/>
        </w:rPr>
      </w:pPr>
      <w:r>
        <w:rPr>
          <w:i/>
          <w:sz w:val="18"/>
        </w:rPr>
        <w:t>Licensing,</w:t>
      </w:r>
      <w:r>
        <w:rPr>
          <w:i/>
          <w:spacing w:val="-1"/>
          <w:sz w:val="18"/>
        </w:rPr>
        <w:t> </w:t>
      </w:r>
      <w:r>
        <w:rPr>
          <w:i/>
          <w:sz w:val="18"/>
        </w:rPr>
        <w:t>Suitability</w:t>
      </w:r>
      <w:r>
        <w:rPr>
          <w:i/>
          <w:spacing w:val="-1"/>
          <w:sz w:val="18"/>
        </w:rPr>
        <w:t> </w:t>
      </w:r>
      <w:r>
        <w:rPr>
          <w:i/>
          <w:sz w:val="18"/>
        </w:rPr>
        <w:t>and</w:t>
      </w:r>
      <w:r>
        <w:rPr>
          <w:i/>
          <w:spacing w:val="-1"/>
          <w:sz w:val="18"/>
        </w:rPr>
        <w:t> </w:t>
      </w:r>
      <w:r>
        <w:rPr>
          <w:i/>
          <w:sz w:val="18"/>
        </w:rPr>
        <w:t>Qualification</w:t>
      </w:r>
      <w:r>
        <w:rPr>
          <w:i/>
          <w:spacing w:val="-1"/>
          <w:sz w:val="18"/>
        </w:rPr>
        <w:t> </w:t>
      </w:r>
      <w:r>
        <w:rPr>
          <w:i/>
          <w:spacing w:val="-2"/>
          <w:sz w:val="18"/>
        </w:rPr>
        <w:t>Determinations</w:t>
      </w:r>
    </w:p>
    <w:p>
      <w:pPr>
        <w:pStyle w:val="BodyText"/>
        <w:spacing w:line="211" w:lineRule="auto" w:before="205"/>
        <w:ind w:left="144" w:right="118" w:firstLine="440"/>
        <w:jc w:val="both"/>
      </w:pPr>
      <w:r>
        <w:rPr/>
        <w:t>Gaming laws and regulations require us, each of our subsidiaries engaged in gaming operations, certain of our directors, officers and employees, and </w:t>
      </w:r>
      <w:r>
        <w:rPr/>
        <w:t>in some cases, certain of our shareholders and holders of our debt securities, to obtain licenses or findings of suitability or qualification from gaming regulators. Licenses</w:t>
      </w:r>
      <w:r>
        <w:rPr>
          <w:spacing w:val="-1"/>
        </w:rPr>
        <w:t> </w:t>
      </w:r>
      <w:r>
        <w:rPr/>
        <w:t>or</w:t>
      </w:r>
      <w:r>
        <w:rPr>
          <w:spacing w:val="-1"/>
        </w:rPr>
        <w:t> </w:t>
      </w:r>
      <w:r>
        <w:rPr/>
        <w:t>findings</w:t>
      </w:r>
      <w:r>
        <w:rPr>
          <w:spacing w:val="-1"/>
        </w:rPr>
        <w:t> </w:t>
      </w:r>
      <w:r>
        <w:rPr/>
        <w:t>of</w:t>
      </w:r>
      <w:r>
        <w:rPr>
          <w:spacing w:val="-1"/>
        </w:rPr>
        <w:t> </w:t>
      </w:r>
      <w:r>
        <w:rPr/>
        <w:t>suitability</w:t>
      </w:r>
      <w:r>
        <w:rPr>
          <w:spacing w:val="-1"/>
        </w:rPr>
        <w:t> </w:t>
      </w:r>
      <w:r>
        <w:rPr/>
        <w:t>or</w:t>
      </w:r>
      <w:r>
        <w:rPr>
          <w:spacing w:val="-1"/>
        </w:rPr>
        <w:t> </w:t>
      </w:r>
      <w:r>
        <w:rPr/>
        <w:t>qualification</w:t>
      </w:r>
      <w:r>
        <w:rPr>
          <w:spacing w:val="-1"/>
        </w:rPr>
        <w:t> </w:t>
      </w:r>
      <w:r>
        <w:rPr/>
        <w:t>typically</w:t>
      </w:r>
      <w:r>
        <w:rPr>
          <w:spacing w:val="-1"/>
        </w:rPr>
        <w:t> </w:t>
      </w:r>
      <w:r>
        <w:rPr/>
        <w:t>require</w:t>
      </w:r>
      <w:r>
        <w:rPr>
          <w:spacing w:val="-1"/>
        </w:rPr>
        <w:t> </w:t>
      </w:r>
      <w:r>
        <w:rPr/>
        <w:t>a</w:t>
      </w:r>
      <w:r>
        <w:rPr>
          <w:spacing w:val="-1"/>
        </w:rPr>
        <w:t> </w:t>
      </w:r>
      <w:r>
        <w:rPr/>
        <w:t>determination</w:t>
      </w:r>
      <w:r>
        <w:rPr>
          <w:spacing w:val="-1"/>
        </w:rPr>
        <w:t> </w:t>
      </w:r>
      <w:r>
        <w:rPr/>
        <w:t>that</w:t>
      </w:r>
      <w:r>
        <w:rPr>
          <w:spacing w:val="-1"/>
        </w:rPr>
        <w:t> </w:t>
      </w:r>
      <w:r>
        <w:rPr/>
        <w:t>the</w:t>
      </w:r>
      <w:r>
        <w:rPr>
          <w:spacing w:val="-1"/>
        </w:rPr>
        <w:t> </w:t>
      </w:r>
      <w:r>
        <w:rPr/>
        <w:t>applicant</w:t>
      </w:r>
      <w:r>
        <w:rPr>
          <w:spacing w:val="-1"/>
        </w:rPr>
        <w:t> </w:t>
      </w:r>
      <w:r>
        <w:rPr/>
        <w:t>satisfies</w:t>
      </w:r>
      <w:r>
        <w:rPr>
          <w:spacing w:val="-1"/>
        </w:rPr>
        <w:t> </w:t>
      </w:r>
      <w:r>
        <w:rPr/>
        <w:t>specific</w:t>
      </w:r>
      <w:r>
        <w:rPr>
          <w:spacing w:val="-1"/>
        </w:rPr>
        <w:t> </w:t>
      </w:r>
      <w:r>
        <w:rPr/>
        <w:t>criteria</w:t>
      </w:r>
      <w:r>
        <w:rPr>
          <w:spacing w:val="-1"/>
        </w:rPr>
        <w:t> </w:t>
      </w:r>
      <w:r>
        <w:rPr/>
        <w:t>set</w:t>
      </w:r>
      <w:r>
        <w:rPr>
          <w:spacing w:val="-1"/>
        </w:rPr>
        <w:t> </w:t>
      </w:r>
      <w:r>
        <w:rPr/>
        <w:t>forth</w:t>
      </w:r>
      <w:r>
        <w:rPr>
          <w:spacing w:val="-1"/>
        </w:rPr>
        <w:t> </w:t>
      </w:r>
      <w:r>
        <w:rPr/>
        <w:t>in</w:t>
      </w:r>
      <w:r>
        <w:rPr>
          <w:spacing w:val="-1"/>
        </w:rPr>
        <w:t> </w:t>
      </w:r>
      <w:r>
        <w:rPr/>
        <w:t>the</w:t>
      </w:r>
      <w:r>
        <w:rPr>
          <w:spacing w:val="-1"/>
        </w:rPr>
        <w:t> </w:t>
      </w:r>
      <w:r>
        <w:rPr/>
        <w:t>applicable</w:t>
      </w:r>
      <w:r>
        <w:rPr>
          <w:spacing w:val="-1"/>
        </w:rPr>
        <w:t> </w:t>
      </w:r>
      <w:r>
        <w:rPr/>
        <w:t>gaming laws and regulations. Gaming regulators have broad discretion in determining whether an applicant qualifies for licensing or should be deemed suitable or qualified. Subject to certain administrative proceeding requirements, gaming regulators have the authority to deny any application or limit, condition, restrict, revoke or suspend any license, registration, finding of suitability, qualification or approval, or fine any person licensed, registered or found suitable or</w:t>
      </w:r>
      <w:r>
        <w:rPr>
          <w:spacing w:val="40"/>
        </w:rPr>
        <w:t> </w:t>
      </w:r>
      <w:r>
        <w:rPr/>
        <w:t>approved, for any cause deemed reasonable by the gaming regulator. The criteria used in determining whether to grant or renew a license or finding of suitability or qualification vary from jurisdiction-to-jurisdiction but generally include such factors as:</w:t>
      </w:r>
    </w:p>
    <w:p>
      <w:pPr>
        <w:pStyle w:val="ListParagraph"/>
        <w:numPr>
          <w:ilvl w:val="0"/>
          <w:numId w:val="62"/>
        </w:numPr>
        <w:tabs>
          <w:tab w:pos="1116" w:val="left" w:leader="none"/>
        </w:tabs>
        <w:spacing w:line="240" w:lineRule="auto" w:before="183" w:after="0"/>
        <w:ind w:left="1116" w:right="0" w:hanging="324"/>
        <w:jc w:val="left"/>
        <w:rPr>
          <w:sz w:val="18"/>
        </w:rPr>
      </w:pPr>
      <w:r>
        <w:rPr>
          <w:sz w:val="18"/>
        </w:rPr>
        <w:t>the</w:t>
      </w:r>
      <w:r>
        <w:rPr>
          <w:spacing w:val="-4"/>
          <w:sz w:val="18"/>
        </w:rPr>
        <w:t> </w:t>
      </w:r>
      <w:r>
        <w:rPr>
          <w:sz w:val="18"/>
        </w:rPr>
        <w:t>good</w:t>
      </w:r>
      <w:r>
        <w:rPr>
          <w:spacing w:val="-2"/>
          <w:sz w:val="18"/>
        </w:rPr>
        <w:t> </w:t>
      </w:r>
      <w:r>
        <w:rPr>
          <w:sz w:val="18"/>
        </w:rPr>
        <w:t>character,</w:t>
      </w:r>
      <w:r>
        <w:rPr>
          <w:spacing w:val="-2"/>
          <w:sz w:val="18"/>
        </w:rPr>
        <w:t> </w:t>
      </w:r>
      <w:r>
        <w:rPr>
          <w:sz w:val="18"/>
        </w:rPr>
        <w:t>honesty</w:t>
      </w:r>
      <w:r>
        <w:rPr>
          <w:spacing w:val="-2"/>
          <w:sz w:val="18"/>
        </w:rPr>
        <w:t> </w:t>
      </w:r>
      <w:r>
        <w:rPr>
          <w:sz w:val="18"/>
        </w:rPr>
        <w:t>and</w:t>
      </w:r>
      <w:r>
        <w:rPr>
          <w:spacing w:val="-2"/>
          <w:sz w:val="18"/>
        </w:rPr>
        <w:t> </w:t>
      </w:r>
      <w:r>
        <w:rPr>
          <w:sz w:val="18"/>
        </w:rPr>
        <w:t>integrity</w:t>
      </w:r>
      <w:r>
        <w:rPr>
          <w:spacing w:val="-2"/>
          <w:sz w:val="18"/>
        </w:rPr>
        <w:t> </w:t>
      </w:r>
      <w:r>
        <w:rPr>
          <w:sz w:val="18"/>
        </w:rPr>
        <w:t>of</w:t>
      </w:r>
      <w:r>
        <w:rPr>
          <w:spacing w:val="-2"/>
          <w:sz w:val="18"/>
        </w:rPr>
        <w:t> </w:t>
      </w:r>
      <w:r>
        <w:rPr>
          <w:sz w:val="18"/>
        </w:rPr>
        <w:t>the</w:t>
      </w:r>
      <w:r>
        <w:rPr>
          <w:spacing w:val="-2"/>
          <w:sz w:val="18"/>
        </w:rPr>
        <w:t> applicant;</w:t>
      </w:r>
    </w:p>
    <w:p>
      <w:pPr>
        <w:pStyle w:val="ListParagraph"/>
        <w:numPr>
          <w:ilvl w:val="0"/>
          <w:numId w:val="62"/>
        </w:numPr>
        <w:tabs>
          <w:tab w:pos="1116" w:val="left" w:leader="none"/>
        </w:tabs>
        <w:spacing w:line="208" w:lineRule="auto" w:before="207" w:after="0"/>
        <w:ind w:left="1116" w:right="118" w:hanging="324"/>
        <w:jc w:val="both"/>
        <w:rPr>
          <w:sz w:val="18"/>
        </w:rPr>
      </w:pPr>
      <w:r>
        <w:rPr>
          <w:sz w:val="18"/>
        </w:rPr>
        <w:t>the financial stability, integrity and responsibility of the applicant, including whether the gaming operation in the jurisdiction is adequately capitalized to pay winning wagers as and when due, meet ongoing operating expenses, pay all local, state and federal taxes as and when </w:t>
      </w:r>
      <w:r>
        <w:rPr>
          <w:sz w:val="18"/>
        </w:rPr>
        <w:t>due,</w:t>
      </w:r>
      <w:r>
        <w:rPr>
          <w:spacing w:val="40"/>
          <w:sz w:val="18"/>
        </w:rPr>
        <w:t> </w:t>
      </w:r>
      <w:r>
        <w:rPr>
          <w:sz w:val="18"/>
        </w:rPr>
        <w:t>make necessary capital and maintenance expenditures in a timely manner, and make all long-term and short-term debt payments and satisfy</w:t>
      </w:r>
      <w:r>
        <w:rPr>
          <w:spacing w:val="40"/>
          <w:sz w:val="18"/>
        </w:rPr>
        <w:t> </w:t>
      </w:r>
      <w:r>
        <w:rPr>
          <w:sz w:val="18"/>
        </w:rPr>
        <w:t>capital lease obligations as and when due;</w:t>
      </w:r>
    </w:p>
    <w:p>
      <w:pPr>
        <w:pStyle w:val="ListParagraph"/>
        <w:numPr>
          <w:ilvl w:val="0"/>
          <w:numId w:val="62"/>
        </w:numPr>
        <w:tabs>
          <w:tab w:pos="1116" w:val="left" w:leader="none"/>
        </w:tabs>
        <w:spacing w:line="194" w:lineRule="exact" w:before="0" w:after="0"/>
        <w:ind w:left="1116" w:right="0" w:hanging="324"/>
        <w:jc w:val="both"/>
        <w:rPr>
          <w:sz w:val="18"/>
        </w:rPr>
      </w:pPr>
      <w:r>
        <w:rPr>
          <w:sz w:val="18"/>
        </w:rPr>
        <w:t>the</w:t>
      </w:r>
      <w:r>
        <w:rPr>
          <w:spacing w:val="-5"/>
          <w:sz w:val="18"/>
        </w:rPr>
        <w:t> </w:t>
      </w:r>
      <w:r>
        <w:rPr>
          <w:sz w:val="18"/>
        </w:rPr>
        <w:t>quality</w:t>
      </w:r>
      <w:r>
        <w:rPr>
          <w:spacing w:val="-2"/>
          <w:sz w:val="18"/>
        </w:rPr>
        <w:t> </w:t>
      </w:r>
      <w:r>
        <w:rPr>
          <w:sz w:val="18"/>
        </w:rPr>
        <w:t>of</w:t>
      </w:r>
      <w:r>
        <w:rPr>
          <w:spacing w:val="-2"/>
          <w:sz w:val="18"/>
        </w:rPr>
        <w:t> </w:t>
      </w:r>
      <w:r>
        <w:rPr>
          <w:sz w:val="18"/>
        </w:rPr>
        <w:t>the</w:t>
      </w:r>
      <w:r>
        <w:rPr>
          <w:spacing w:val="-2"/>
          <w:sz w:val="18"/>
        </w:rPr>
        <w:t> </w:t>
      </w:r>
      <w:r>
        <w:rPr>
          <w:sz w:val="18"/>
        </w:rPr>
        <w:t>applicant’s</w:t>
      </w:r>
      <w:r>
        <w:rPr>
          <w:spacing w:val="-2"/>
          <w:sz w:val="18"/>
        </w:rPr>
        <w:t> </w:t>
      </w:r>
      <w:r>
        <w:rPr>
          <w:sz w:val="18"/>
        </w:rPr>
        <w:t>gaming</w:t>
      </w:r>
      <w:r>
        <w:rPr>
          <w:spacing w:val="-2"/>
          <w:sz w:val="18"/>
        </w:rPr>
        <w:t> </w:t>
      </w:r>
      <w:r>
        <w:rPr>
          <w:sz w:val="18"/>
        </w:rPr>
        <w:t>facility</w:t>
      </w:r>
      <w:r>
        <w:rPr>
          <w:spacing w:val="-2"/>
          <w:sz w:val="18"/>
        </w:rPr>
        <w:t> </w:t>
      </w:r>
      <w:r>
        <w:rPr>
          <w:sz w:val="18"/>
        </w:rPr>
        <w:t>and</w:t>
      </w:r>
      <w:r>
        <w:rPr>
          <w:spacing w:val="-2"/>
          <w:sz w:val="18"/>
        </w:rPr>
        <w:t> </w:t>
      </w:r>
      <w:r>
        <w:rPr>
          <w:sz w:val="18"/>
        </w:rPr>
        <w:t>non-gaming</w:t>
      </w:r>
      <w:r>
        <w:rPr>
          <w:spacing w:val="-2"/>
          <w:sz w:val="18"/>
        </w:rPr>
        <w:t> amenities;</w:t>
      </w:r>
    </w:p>
    <w:p>
      <w:pPr>
        <w:pStyle w:val="ListParagraph"/>
        <w:numPr>
          <w:ilvl w:val="0"/>
          <w:numId w:val="62"/>
        </w:numPr>
        <w:tabs>
          <w:tab w:pos="1116" w:val="left" w:leader="none"/>
        </w:tabs>
        <w:spacing w:line="240" w:lineRule="auto" w:before="184" w:after="0"/>
        <w:ind w:left="1116" w:right="0" w:hanging="324"/>
        <w:jc w:val="left"/>
        <w:rPr>
          <w:sz w:val="18"/>
        </w:rPr>
      </w:pPr>
      <w:r>
        <w:rPr>
          <w:sz w:val="18"/>
        </w:rPr>
        <w:t>the</w:t>
      </w:r>
      <w:r>
        <w:rPr>
          <w:spacing w:val="-4"/>
          <w:sz w:val="18"/>
        </w:rPr>
        <w:t> </w:t>
      </w:r>
      <w:r>
        <w:rPr>
          <w:sz w:val="18"/>
        </w:rPr>
        <w:t>total</w:t>
      </w:r>
      <w:r>
        <w:rPr>
          <w:spacing w:val="-2"/>
          <w:sz w:val="18"/>
        </w:rPr>
        <w:t> </w:t>
      </w:r>
      <w:r>
        <w:rPr>
          <w:sz w:val="18"/>
        </w:rPr>
        <w:t>amount</w:t>
      </w:r>
      <w:r>
        <w:rPr>
          <w:spacing w:val="-2"/>
          <w:sz w:val="18"/>
        </w:rPr>
        <w:t> </w:t>
      </w:r>
      <w:r>
        <w:rPr>
          <w:sz w:val="18"/>
        </w:rPr>
        <w:t>of</w:t>
      </w:r>
      <w:r>
        <w:rPr>
          <w:spacing w:val="-2"/>
          <w:sz w:val="18"/>
        </w:rPr>
        <w:t> </w:t>
      </w:r>
      <w:r>
        <w:rPr>
          <w:sz w:val="18"/>
        </w:rPr>
        <w:t>the</w:t>
      </w:r>
      <w:r>
        <w:rPr>
          <w:spacing w:val="-1"/>
          <w:sz w:val="18"/>
        </w:rPr>
        <w:t> </w:t>
      </w:r>
      <w:r>
        <w:rPr>
          <w:sz w:val="18"/>
        </w:rPr>
        <w:t>investment</w:t>
      </w:r>
      <w:r>
        <w:rPr>
          <w:spacing w:val="-2"/>
          <w:sz w:val="18"/>
        </w:rPr>
        <w:t> </w:t>
      </w:r>
      <w:r>
        <w:rPr>
          <w:sz w:val="18"/>
        </w:rPr>
        <w:t>in</w:t>
      </w:r>
      <w:r>
        <w:rPr>
          <w:spacing w:val="-2"/>
          <w:sz w:val="18"/>
        </w:rPr>
        <w:t> </w:t>
      </w:r>
      <w:r>
        <w:rPr>
          <w:sz w:val="18"/>
        </w:rPr>
        <w:t>the</w:t>
      </w:r>
      <w:r>
        <w:rPr>
          <w:spacing w:val="-2"/>
          <w:sz w:val="18"/>
        </w:rPr>
        <w:t> </w:t>
      </w:r>
      <w:r>
        <w:rPr>
          <w:sz w:val="18"/>
        </w:rPr>
        <w:t>applicant’s</w:t>
      </w:r>
      <w:r>
        <w:rPr>
          <w:spacing w:val="-1"/>
          <w:sz w:val="18"/>
        </w:rPr>
        <w:t> </w:t>
      </w:r>
      <w:r>
        <w:rPr>
          <w:sz w:val="18"/>
        </w:rPr>
        <w:t>gaming</w:t>
      </w:r>
      <w:r>
        <w:rPr>
          <w:spacing w:val="-2"/>
          <w:sz w:val="18"/>
        </w:rPr>
        <w:t> </w:t>
      </w:r>
      <w:r>
        <w:rPr>
          <w:sz w:val="18"/>
        </w:rPr>
        <w:t>facility</w:t>
      </w:r>
      <w:r>
        <w:rPr>
          <w:spacing w:val="-2"/>
          <w:sz w:val="18"/>
        </w:rPr>
        <w:t> </w:t>
      </w:r>
      <w:r>
        <w:rPr>
          <w:sz w:val="18"/>
        </w:rPr>
        <w:t>and</w:t>
      </w:r>
      <w:r>
        <w:rPr>
          <w:spacing w:val="-2"/>
          <w:sz w:val="18"/>
        </w:rPr>
        <w:t> </w:t>
      </w:r>
      <w:r>
        <w:rPr>
          <w:sz w:val="18"/>
        </w:rPr>
        <w:t>non-gaming</w:t>
      </w:r>
      <w:r>
        <w:rPr>
          <w:spacing w:val="-1"/>
          <w:sz w:val="18"/>
        </w:rPr>
        <w:t> </w:t>
      </w:r>
      <w:r>
        <w:rPr>
          <w:spacing w:val="-2"/>
          <w:sz w:val="18"/>
        </w:rPr>
        <w:t>amenities;</w:t>
      </w:r>
    </w:p>
    <w:p>
      <w:pPr>
        <w:pStyle w:val="ListParagraph"/>
        <w:numPr>
          <w:ilvl w:val="0"/>
          <w:numId w:val="62"/>
        </w:numPr>
        <w:tabs>
          <w:tab w:pos="1116" w:val="left" w:leader="none"/>
        </w:tabs>
        <w:spacing w:line="240" w:lineRule="auto" w:before="185" w:after="0"/>
        <w:ind w:left="1116" w:right="0" w:hanging="324"/>
        <w:jc w:val="left"/>
        <w:rPr>
          <w:sz w:val="18"/>
        </w:rPr>
      </w:pPr>
      <w:r>
        <w:rPr>
          <w:sz w:val="18"/>
        </w:rPr>
        <w:t>the</w:t>
      </w:r>
      <w:r>
        <w:rPr>
          <w:spacing w:val="-4"/>
          <w:sz w:val="18"/>
        </w:rPr>
        <w:t> </w:t>
      </w:r>
      <w:r>
        <w:rPr>
          <w:sz w:val="18"/>
        </w:rPr>
        <w:t>effect</w:t>
      </w:r>
      <w:r>
        <w:rPr>
          <w:spacing w:val="-1"/>
          <w:sz w:val="18"/>
        </w:rPr>
        <w:t> </w:t>
      </w:r>
      <w:r>
        <w:rPr>
          <w:sz w:val="18"/>
        </w:rPr>
        <w:t>on</w:t>
      </w:r>
      <w:r>
        <w:rPr>
          <w:spacing w:val="-1"/>
          <w:sz w:val="18"/>
        </w:rPr>
        <w:t> </w:t>
      </w:r>
      <w:r>
        <w:rPr>
          <w:sz w:val="18"/>
        </w:rPr>
        <w:t>competition</w:t>
      </w:r>
      <w:r>
        <w:rPr>
          <w:spacing w:val="-2"/>
          <w:sz w:val="18"/>
        </w:rPr>
        <w:t> </w:t>
      </w:r>
      <w:r>
        <w:rPr>
          <w:sz w:val="18"/>
        </w:rPr>
        <w:t>and</w:t>
      </w:r>
      <w:r>
        <w:rPr>
          <w:spacing w:val="-1"/>
          <w:sz w:val="18"/>
        </w:rPr>
        <w:t> </w:t>
      </w:r>
      <w:r>
        <w:rPr>
          <w:sz w:val="18"/>
        </w:rPr>
        <w:t>the</w:t>
      </w:r>
      <w:r>
        <w:rPr>
          <w:spacing w:val="-1"/>
          <w:sz w:val="18"/>
        </w:rPr>
        <w:t> </w:t>
      </w:r>
      <w:r>
        <w:rPr>
          <w:sz w:val="18"/>
        </w:rPr>
        <w:t>general</w:t>
      </w:r>
      <w:r>
        <w:rPr>
          <w:spacing w:val="-2"/>
          <w:sz w:val="18"/>
        </w:rPr>
        <w:t> </w:t>
      </w:r>
      <w:r>
        <w:rPr>
          <w:sz w:val="18"/>
        </w:rPr>
        <w:t>impact</w:t>
      </w:r>
      <w:r>
        <w:rPr>
          <w:spacing w:val="-1"/>
          <w:sz w:val="18"/>
        </w:rPr>
        <w:t> </w:t>
      </w:r>
      <w:r>
        <w:rPr>
          <w:sz w:val="18"/>
        </w:rPr>
        <w:t>on</w:t>
      </w:r>
      <w:r>
        <w:rPr>
          <w:spacing w:val="-1"/>
          <w:sz w:val="18"/>
        </w:rPr>
        <w:t> </w:t>
      </w:r>
      <w:r>
        <w:rPr>
          <w:sz w:val="18"/>
        </w:rPr>
        <w:t>the</w:t>
      </w:r>
      <w:r>
        <w:rPr>
          <w:spacing w:val="-2"/>
          <w:sz w:val="18"/>
        </w:rPr>
        <w:t> </w:t>
      </w:r>
      <w:r>
        <w:rPr>
          <w:sz w:val="18"/>
        </w:rPr>
        <w:t>host</w:t>
      </w:r>
      <w:r>
        <w:rPr>
          <w:spacing w:val="-1"/>
          <w:sz w:val="18"/>
        </w:rPr>
        <w:t> </w:t>
      </w:r>
      <w:r>
        <w:rPr>
          <w:sz w:val="18"/>
        </w:rPr>
        <w:t>and</w:t>
      </w:r>
      <w:r>
        <w:rPr>
          <w:spacing w:val="-1"/>
          <w:sz w:val="18"/>
        </w:rPr>
        <w:t> </w:t>
      </w:r>
      <w:r>
        <w:rPr>
          <w:sz w:val="18"/>
        </w:rPr>
        <w:t>surrounding</w:t>
      </w:r>
      <w:r>
        <w:rPr>
          <w:spacing w:val="-1"/>
          <w:sz w:val="18"/>
        </w:rPr>
        <w:t> </w:t>
      </w:r>
      <w:r>
        <w:rPr>
          <w:spacing w:val="-2"/>
          <w:sz w:val="18"/>
        </w:rPr>
        <w:t>communities;</w:t>
      </w:r>
    </w:p>
    <w:p>
      <w:pPr>
        <w:pStyle w:val="ListParagraph"/>
        <w:numPr>
          <w:ilvl w:val="0"/>
          <w:numId w:val="62"/>
        </w:numPr>
        <w:tabs>
          <w:tab w:pos="1116" w:val="left" w:leader="none"/>
        </w:tabs>
        <w:spacing w:line="240" w:lineRule="auto" w:before="198" w:after="0"/>
        <w:ind w:left="1116" w:right="0" w:hanging="324"/>
        <w:jc w:val="left"/>
        <w:rPr>
          <w:sz w:val="18"/>
        </w:rPr>
      </w:pPr>
      <w:r>
        <w:rPr>
          <w:sz w:val="18"/>
        </w:rPr>
        <w:t>the</w:t>
      </w:r>
      <w:r>
        <w:rPr>
          <w:spacing w:val="-2"/>
          <w:sz w:val="18"/>
        </w:rPr>
        <w:t> </w:t>
      </w:r>
      <w:r>
        <w:rPr>
          <w:sz w:val="18"/>
        </w:rPr>
        <w:t>amount</w:t>
      </w:r>
      <w:r>
        <w:rPr>
          <w:spacing w:val="-2"/>
          <w:sz w:val="18"/>
        </w:rPr>
        <w:t> </w:t>
      </w:r>
      <w:r>
        <w:rPr>
          <w:sz w:val="18"/>
        </w:rPr>
        <w:t>of</w:t>
      </w:r>
      <w:r>
        <w:rPr>
          <w:spacing w:val="-1"/>
          <w:sz w:val="18"/>
        </w:rPr>
        <w:t> </w:t>
      </w:r>
      <w:r>
        <w:rPr>
          <w:sz w:val="18"/>
        </w:rPr>
        <w:t>revenue</w:t>
      </w:r>
      <w:r>
        <w:rPr>
          <w:spacing w:val="-2"/>
          <w:sz w:val="18"/>
        </w:rPr>
        <w:t> </w:t>
      </w:r>
      <w:r>
        <w:rPr>
          <w:sz w:val="18"/>
        </w:rPr>
        <w:t>to</w:t>
      </w:r>
      <w:r>
        <w:rPr>
          <w:spacing w:val="-1"/>
          <w:sz w:val="18"/>
        </w:rPr>
        <w:t> </w:t>
      </w:r>
      <w:r>
        <w:rPr>
          <w:sz w:val="18"/>
        </w:rPr>
        <w:t>be</w:t>
      </w:r>
      <w:r>
        <w:rPr>
          <w:spacing w:val="-2"/>
          <w:sz w:val="18"/>
        </w:rPr>
        <w:t> </w:t>
      </w:r>
      <w:r>
        <w:rPr>
          <w:sz w:val="18"/>
        </w:rPr>
        <w:t>derived</w:t>
      </w:r>
      <w:r>
        <w:rPr>
          <w:spacing w:val="-1"/>
          <w:sz w:val="18"/>
        </w:rPr>
        <w:t> </w:t>
      </w:r>
      <w:r>
        <w:rPr>
          <w:sz w:val="18"/>
        </w:rPr>
        <w:t>by</w:t>
      </w:r>
      <w:r>
        <w:rPr>
          <w:spacing w:val="-2"/>
          <w:sz w:val="18"/>
        </w:rPr>
        <w:t> </w:t>
      </w:r>
      <w:r>
        <w:rPr>
          <w:sz w:val="18"/>
        </w:rPr>
        <w:t>the</w:t>
      </w:r>
      <w:r>
        <w:rPr>
          <w:spacing w:val="-1"/>
          <w:sz w:val="18"/>
        </w:rPr>
        <w:t> </w:t>
      </w:r>
      <w:r>
        <w:rPr>
          <w:sz w:val="18"/>
        </w:rPr>
        <w:t>applicable</w:t>
      </w:r>
      <w:r>
        <w:rPr>
          <w:spacing w:val="-2"/>
          <w:sz w:val="18"/>
        </w:rPr>
        <w:t> </w:t>
      </w:r>
      <w:r>
        <w:rPr>
          <w:sz w:val="18"/>
        </w:rPr>
        <w:t>jurisdiction</w:t>
      </w:r>
      <w:r>
        <w:rPr>
          <w:spacing w:val="-1"/>
          <w:sz w:val="18"/>
        </w:rPr>
        <w:t> </w:t>
      </w:r>
      <w:r>
        <w:rPr>
          <w:sz w:val="18"/>
        </w:rPr>
        <w:t>through</w:t>
      </w:r>
      <w:r>
        <w:rPr>
          <w:spacing w:val="-2"/>
          <w:sz w:val="18"/>
        </w:rPr>
        <w:t> </w:t>
      </w:r>
      <w:r>
        <w:rPr>
          <w:sz w:val="18"/>
        </w:rPr>
        <w:t>the</w:t>
      </w:r>
      <w:r>
        <w:rPr>
          <w:spacing w:val="-1"/>
          <w:sz w:val="18"/>
        </w:rPr>
        <w:t> </w:t>
      </w:r>
      <w:r>
        <w:rPr>
          <w:sz w:val="18"/>
        </w:rPr>
        <w:t>operation</w:t>
      </w:r>
      <w:r>
        <w:rPr>
          <w:spacing w:val="-2"/>
          <w:sz w:val="18"/>
        </w:rPr>
        <w:t> </w:t>
      </w:r>
      <w:r>
        <w:rPr>
          <w:sz w:val="18"/>
        </w:rPr>
        <w:t>of</w:t>
      </w:r>
      <w:r>
        <w:rPr>
          <w:spacing w:val="-1"/>
          <w:sz w:val="18"/>
        </w:rPr>
        <w:t> </w:t>
      </w:r>
      <w:r>
        <w:rPr>
          <w:sz w:val="18"/>
        </w:rPr>
        <w:t>the</w:t>
      </w:r>
      <w:r>
        <w:rPr>
          <w:spacing w:val="-2"/>
          <w:sz w:val="18"/>
        </w:rPr>
        <w:t> </w:t>
      </w:r>
      <w:r>
        <w:rPr>
          <w:sz w:val="18"/>
        </w:rPr>
        <w:t>applicant’s</w:t>
      </w:r>
      <w:r>
        <w:rPr>
          <w:spacing w:val="-1"/>
          <w:sz w:val="18"/>
        </w:rPr>
        <w:t> </w:t>
      </w:r>
      <w:r>
        <w:rPr>
          <w:sz w:val="18"/>
        </w:rPr>
        <w:t>gaming</w:t>
      </w:r>
      <w:r>
        <w:rPr>
          <w:spacing w:val="-2"/>
          <w:sz w:val="18"/>
        </w:rPr>
        <w:t> </w:t>
      </w:r>
      <w:r>
        <w:rPr>
          <w:sz w:val="18"/>
        </w:rPr>
        <w:t>facility;</w:t>
      </w:r>
      <w:r>
        <w:rPr>
          <w:spacing w:val="-1"/>
          <w:sz w:val="18"/>
        </w:rPr>
        <w:t> </w:t>
      </w:r>
      <w:r>
        <w:rPr>
          <w:spacing w:val="-5"/>
          <w:sz w:val="18"/>
        </w:rPr>
        <w:t>and</w:t>
      </w:r>
    </w:p>
    <w:p>
      <w:pPr>
        <w:pStyle w:val="ListParagraph"/>
        <w:numPr>
          <w:ilvl w:val="0"/>
          <w:numId w:val="62"/>
        </w:numPr>
        <w:tabs>
          <w:tab w:pos="1116" w:val="left" w:leader="none"/>
        </w:tabs>
        <w:spacing w:line="240" w:lineRule="auto" w:before="184" w:after="0"/>
        <w:ind w:left="1116" w:right="0" w:hanging="324"/>
        <w:jc w:val="left"/>
        <w:rPr>
          <w:sz w:val="18"/>
        </w:rPr>
      </w:pPr>
      <w:r>
        <w:rPr>
          <w:sz w:val="18"/>
        </w:rPr>
        <w:t>the</w:t>
      </w:r>
      <w:r>
        <w:rPr>
          <w:spacing w:val="-4"/>
          <w:sz w:val="18"/>
        </w:rPr>
        <w:t> </w:t>
      </w:r>
      <w:r>
        <w:rPr>
          <w:sz w:val="18"/>
        </w:rPr>
        <w:t>applicant’s</w:t>
      </w:r>
      <w:r>
        <w:rPr>
          <w:spacing w:val="-2"/>
          <w:sz w:val="18"/>
        </w:rPr>
        <w:t> </w:t>
      </w:r>
      <w:r>
        <w:rPr>
          <w:sz w:val="18"/>
        </w:rPr>
        <w:t>practices</w:t>
      </w:r>
      <w:r>
        <w:rPr>
          <w:spacing w:val="-2"/>
          <w:sz w:val="18"/>
        </w:rPr>
        <w:t> </w:t>
      </w:r>
      <w:r>
        <w:rPr>
          <w:sz w:val="18"/>
        </w:rPr>
        <w:t>with</w:t>
      </w:r>
      <w:r>
        <w:rPr>
          <w:spacing w:val="-1"/>
          <w:sz w:val="18"/>
        </w:rPr>
        <w:t> </w:t>
      </w:r>
      <w:r>
        <w:rPr>
          <w:sz w:val="18"/>
        </w:rPr>
        <w:t>respect</w:t>
      </w:r>
      <w:r>
        <w:rPr>
          <w:spacing w:val="-2"/>
          <w:sz w:val="18"/>
        </w:rPr>
        <w:t> </w:t>
      </w:r>
      <w:r>
        <w:rPr>
          <w:sz w:val="18"/>
        </w:rPr>
        <w:t>to</w:t>
      </w:r>
      <w:r>
        <w:rPr>
          <w:spacing w:val="-2"/>
          <w:sz w:val="18"/>
        </w:rPr>
        <w:t> </w:t>
      </w:r>
      <w:r>
        <w:rPr>
          <w:sz w:val="18"/>
        </w:rPr>
        <w:t>minority</w:t>
      </w:r>
      <w:r>
        <w:rPr>
          <w:spacing w:val="-1"/>
          <w:sz w:val="18"/>
        </w:rPr>
        <w:t> </w:t>
      </w:r>
      <w:r>
        <w:rPr>
          <w:sz w:val="18"/>
        </w:rPr>
        <w:t>and</w:t>
      </w:r>
      <w:r>
        <w:rPr>
          <w:spacing w:val="-2"/>
          <w:sz w:val="18"/>
        </w:rPr>
        <w:t> </w:t>
      </w:r>
      <w:r>
        <w:rPr>
          <w:sz w:val="18"/>
        </w:rPr>
        <w:t>local</w:t>
      </w:r>
      <w:r>
        <w:rPr>
          <w:spacing w:val="-2"/>
          <w:sz w:val="18"/>
        </w:rPr>
        <w:t> </w:t>
      </w:r>
      <w:r>
        <w:rPr>
          <w:sz w:val="18"/>
        </w:rPr>
        <w:t>hiring</w:t>
      </w:r>
      <w:r>
        <w:rPr>
          <w:spacing w:val="-2"/>
          <w:sz w:val="18"/>
        </w:rPr>
        <w:t> </w:t>
      </w:r>
      <w:r>
        <w:rPr>
          <w:sz w:val="18"/>
        </w:rPr>
        <w:t>and</w:t>
      </w:r>
      <w:r>
        <w:rPr>
          <w:spacing w:val="-1"/>
          <w:sz w:val="18"/>
        </w:rPr>
        <w:t> </w:t>
      </w:r>
      <w:r>
        <w:rPr>
          <w:sz w:val="18"/>
        </w:rPr>
        <w:t>training</w:t>
      </w:r>
      <w:r>
        <w:rPr>
          <w:spacing w:val="-2"/>
          <w:sz w:val="18"/>
        </w:rPr>
        <w:t> </w:t>
      </w:r>
      <w:r>
        <w:rPr>
          <w:sz w:val="18"/>
        </w:rPr>
        <w:t>of</w:t>
      </w:r>
      <w:r>
        <w:rPr>
          <w:spacing w:val="-2"/>
          <w:sz w:val="18"/>
        </w:rPr>
        <w:t> </w:t>
      </w:r>
      <w:r>
        <w:rPr>
          <w:sz w:val="18"/>
        </w:rPr>
        <w:t>its</w:t>
      </w:r>
      <w:r>
        <w:rPr>
          <w:spacing w:val="-1"/>
          <w:sz w:val="18"/>
        </w:rPr>
        <w:t> </w:t>
      </w:r>
      <w:r>
        <w:rPr>
          <w:spacing w:val="-2"/>
          <w:sz w:val="18"/>
        </w:rPr>
        <w:t>workforce.</w:t>
      </w:r>
    </w:p>
    <w:p>
      <w:pPr>
        <w:pStyle w:val="BodyText"/>
        <w:spacing w:line="218" w:lineRule="auto" w:before="200"/>
        <w:ind w:left="144" w:right="118" w:firstLine="440"/>
        <w:jc w:val="both"/>
      </w:pPr>
      <w:r>
        <w:rPr/>
        <w:t>In evaluating individual applicants, gaming regulators consider, among other things, the individual’s good character, honesty and integrity, financial stability, criminal and financial history, and the character of those with whom the individual associates.</w:t>
      </w:r>
    </w:p>
    <w:p>
      <w:pPr>
        <w:pStyle w:val="BodyText"/>
        <w:spacing w:line="211" w:lineRule="auto" w:before="168"/>
        <w:ind w:left="144" w:right="118" w:firstLine="440"/>
        <w:jc w:val="both"/>
      </w:pPr>
      <w:r>
        <w:rPr/>
        <w:t>Many jurisdictions limit the number of licenses granted to operate gaming facilities within the jurisdiction, and some jurisdictions limit the number of licenses granted to any one gaming operator. For example, in Maryland, state law allows us to hold an interest in only one video lottery operation. Licenses under</w:t>
      </w:r>
      <w:r>
        <w:rPr>
          <w:spacing w:val="-2"/>
        </w:rPr>
        <w:t> </w:t>
      </w:r>
      <w:r>
        <w:rPr/>
        <w:t>gaming</w:t>
      </w:r>
      <w:r>
        <w:rPr>
          <w:spacing w:val="-2"/>
        </w:rPr>
        <w:t> </w:t>
      </w:r>
      <w:r>
        <w:rPr/>
        <w:t>laws</w:t>
      </w:r>
      <w:r>
        <w:rPr>
          <w:spacing w:val="-2"/>
        </w:rPr>
        <w:t> </w:t>
      </w:r>
      <w:r>
        <w:rPr/>
        <w:t>are</w:t>
      </w:r>
      <w:r>
        <w:rPr>
          <w:spacing w:val="-2"/>
        </w:rPr>
        <w:t> </w:t>
      </w:r>
      <w:r>
        <w:rPr/>
        <w:t>generally</w:t>
      </w:r>
      <w:r>
        <w:rPr>
          <w:spacing w:val="-2"/>
        </w:rPr>
        <w:t> </w:t>
      </w:r>
      <w:r>
        <w:rPr/>
        <w:t>not</w:t>
      </w:r>
      <w:r>
        <w:rPr>
          <w:spacing w:val="-2"/>
        </w:rPr>
        <w:t> </w:t>
      </w:r>
      <w:r>
        <w:rPr/>
        <w:t>transferable,</w:t>
      </w:r>
      <w:r>
        <w:rPr>
          <w:spacing w:val="-2"/>
        </w:rPr>
        <w:t> </w:t>
      </w:r>
      <w:r>
        <w:rPr/>
        <w:t>although</w:t>
      </w:r>
      <w:r>
        <w:rPr>
          <w:spacing w:val="-2"/>
        </w:rPr>
        <w:t> </w:t>
      </w:r>
      <w:r>
        <w:rPr/>
        <w:t>some</w:t>
      </w:r>
      <w:r>
        <w:rPr>
          <w:spacing w:val="-2"/>
        </w:rPr>
        <w:t> </w:t>
      </w:r>
      <w:r>
        <w:rPr/>
        <w:t>jurisdictions</w:t>
      </w:r>
      <w:r>
        <w:rPr>
          <w:spacing w:val="-2"/>
        </w:rPr>
        <w:t> </w:t>
      </w:r>
      <w:r>
        <w:rPr/>
        <w:t>permit</w:t>
      </w:r>
      <w:r>
        <w:rPr>
          <w:spacing w:val="-2"/>
        </w:rPr>
        <w:t> </w:t>
      </w:r>
      <w:r>
        <w:rPr/>
        <w:t>a</w:t>
      </w:r>
      <w:r>
        <w:rPr>
          <w:spacing w:val="-2"/>
        </w:rPr>
        <w:t> </w:t>
      </w:r>
      <w:r>
        <w:rPr/>
        <w:t>transfer</w:t>
      </w:r>
      <w:r>
        <w:rPr>
          <w:spacing w:val="-2"/>
        </w:rPr>
        <w:t> </w:t>
      </w:r>
      <w:r>
        <w:rPr/>
        <w:t>with</w:t>
      </w:r>
      <w:r>
        <w:rPr>
          <w:spacing w:val="-2"/>
        </w:rPr>
        <w:t> </w:t>
      </w:r>
      <w:r>
        <w:rPr/>
        <w:t>the</w:t>
      </w:r>
      <w:r>
        <w:rPr>
          <w:spacing w:val="-2"/>
        </w:rPr>
        <w:t> </w:t>
      </w:r>
      <w:r>
        <w:rPr/>
        <w:t>prior</w:t>
      </w:r>
      <w:r>
        <w:rPr>
          <w:spacing w:val="-2"/>
        </w:rPr>
        <w:t> </w:t>
      </w:r>
      <w:r>
        <w:rPr/>
        <w:t>approval</w:t>
      </w:r>
      <w:r>
        <w:rPr>
          <w:spacing w:val="-2"/>
        </w:rPr>
        <w:t> </w:t>
      </w:r>
      <w:r>
        <w:rPr/>
        <w:t>of</w:t>
      </w:r>
      <w:r>
        <w:rPr>
          <w:spacing w:val="-2"/>
        </w:rPr>
        <w:t> </w:t>
      </w:r>
      <w:r>
        <w:rPr/>
        <w:t>the</w:t>
      </w:r>
      <w:r>
        <w:rPr>
          <w:spacing w:val="-2"/>
        </w:rPr>
        <w:t> </w:t>
      </w:r>
      <w:r>
        <w:rPr/>
        <w:t>jurisdiction’s</w:t>
      </w:r>
      <w:r>
        <w:rPr>
          <w:spacing w:val="-2"/>
        </w:rPr>
        <w:t> </w:t>
      </w:r>
      <w:r>
        <w:rPr/>
        <w:t>gaming</w:t>
      </w:r>
      <w:r>
        <w:rPr>
          <w:spacing w:val="-2"/>
        </w:rPr>
        <w:t> </w:t>
      </w:r>
      <w:r>
        <w:rPr/>
        <w:t>regulator(s). Licenses in many of the jurisdictions in which we conduct gaming operations are granted for limited durations and require renewal from time to time. There</w:t>
      </w:r>
      <w:r>
        <w:rPr>
          <w:spacing w:val="40"/>
        </w:rPr>
        <w:t> </w:t>
      </w:r>
      <w:r>
        <w:rPr/>
        <w:t>can be no assurance that any of our licenses will be renewed.</w:t>
      </w:r>
    </w:p>
    <w:p>
      <w:pPr>
        <w:pStyle w:val="BodyText"/>
        <w:spacing w:before="4"/>
      </w:pPr>
    </w:p>
    <w:p>
      <w:pPr>
        <w:pStyle w:val="BodyText"/>
        <w:spacing w:line="208" w:lineRule="auto" w:before="1"/>
        <w:ind w:left="144" w:right="118" w:firstLine="440"/>
        <w:jc w:val="both"/>
      </w:pPr>
      <w:r>
        <w:rPr/>
        <w:t>A</w:t>
      </w:r>
      <w:r>
        <w:rPr>
          <w:spacing w:val="-3"/>
        </w:rPr>
        <w:t> </w:t>
      </w:r>
      <w:r>
        <w:rPr/>
        <w:t>gaming license is generally a revocable privilege. Many jurisdictions have statutory or regulatory provisions that govern the required action that </w:t>
      </w:r>
      <w:r>
        <w:rPr/>
        <w:t>may</w:t>
      </w:r>
      <w:r>
        <w:rPr>
          <w:spacing w:val="40"/>
        </w:rPr>
        <w:t> </w:t>
      </w:r>
      <w:r>
        <w:rPr/>
        <w:t>be taken in the event that a license is revoked or not renewed. For example, under New Jersey gaming laws, a conservator may be appointed by the New Jersey Casino Control Commission (“NJCCC”) to assume complete operational control of the casino and the approved hotel facility upon the revocation of a casino license, and the conservator may, at the direction of the NJCCC and after appropriate prior consultation with the former licensee as to the reasonableness of such terms and conditions, endeavor to and be authorized to sell, assign, convey or otherwise dispose of in bulk, subject to any and all valid liens, claims, and encumbrances, all the property of a former licensee relating to the casino and the approved hotel.</w:t>
      </w:r>
    </w:p>
    <w:p>
      <w:pPr>
        <w:pStyle w:val="BodyText"/>
        <w:spacing w:line="208" w:lineRule="auto" w:before="175"/>
        <w:ind w:left="144" w:right="118" w:firstLine="440"/>
        <w:jc w:val="both"/>
      </w:pPr>
      <w:r>
        <w:rPr/>
        <w:t>In</w:t>
      </w:r>
      <w:r>
        <w:rPr>
          <w:spacing w:val="-2"/>
        </w:rPr>
        <w:t> </w:t>
      </w:r>
      <w:r>
        <w:rPr/>
        <w:t>addition</w:t>
      </w:r>
      <w:r>
        <w:rPr>
          <w:spacing w:val="-2"/>
        </w:rPr>
        <w:t> </w:t>
      </w:r>
      <w:r>
        <w:rPr/>
        <w:t>to</w:t>
      </w:r>
      <w:r>
        <w:rPr>
          <w:spacing w:val="-2"/>
        </w:rPr>
        <w:t> </w:t>
      </w:r>
      <w:r>
        <w:rPr/>
        <w:t>us</w:t>
      </w:r>
      <w:r>
        <w:rPr>
          <w:spacing w:val="-2"/>
        </w:rPr>
        <w:t> </w:t>
      </w:r>
      <w:r>
        <w:rPr/>
        <w:t>and</w:t>
      </w:r>
      <w:r>
        <w:rPr>
          <w:spacing w:val="-2"/>
        </w:rPr>
        <w:t> </w:t>
      </w:r>
      <w:r>
        <w:rPr/>
        <w:t>our</w:t>
      </w:r>
      <w:r>
        <w:rPr>
          <w:spacing w:val="-2"/>
        </w:rPr>
        <w:t> </w:t>
      </w:r>
      <w:r>
        <w:rPr/>
        <w:t>direct</w:t>
      </w:r>
      <w:r>
        <w:rPr>
          <w:spacing w:val="-2"/>
        </w:rPr>
        <w:t> </w:t>
      </w:r>
      <w:r>
        <w:rPr/>
        <w:t>and</w:t>
      </w:r>
      <w:r>
        <w:rPr>
          <w:spacing w:val="-2"/>
        </w:rPr>
        <w:t> </w:t>
      </w:r>
      <w:r>
        <w:rPr/>
        <w:t>indirect</w:t>
      </w:r>
      <w:r>
        <w:rPr>
          <w:spacing w:val="-2"/>
        </w:rPr>
        <w:t> </w:t>
      </w:r>
      <w:r>
        <w:rPr/>
        <w:t>subsidiaries</w:t>
      </w:r>
      <w:r>
        <w:rPr>
          <w:spacing w:val="-2"/>
        </w:rPr>
        <w:t> </w:t>
      </w:r>
      <w:r>
        <w:rPr/>
        <w:t>engaged</w:t>
      </w:r>
      <w:r>
        <w:rPr>
          <w:spacing w:val="-2"/>
        </w:rPr>
        <w:t> </w:t>
      </w:r>
      <w:r>
        <w:rPr/>
        <w:t>in</w:t>
      </w:r>
      <w:r>
        <w:rPr>
          <w:spacing w:val="-2"/>
        </w:rPr>
        <w:t> </w:t>
      </w:r>
      <w:r>
        <w:rPr/>
        <w:t>gaming</w:t>
      </w:r>
      <w:r>
        <w:rPr>
          <w:spacing w:val="-2"/>
        </w:rPr>
        <w:t> </w:t>
      </w:r>
      <w:r>
        <w:rPr/>
        <w:t>operations,</w:t>
      </w:r>
      <w:r>
        <w:rPr>
          <w:spacing w:val="-2"/>
        </w:rPr>
        <w:t> </w:t>
      </w:r>
      <w:r>
        <w:rPr/>
        <w:t>gaming</w:t>
      </w:r>
      <w:r>
        <w:rPr>
          <w:spacing w:val="-2"/>
        </w:rPr>
        <w:t> </w:t>
      </w:r>
      <w:r>
        <w:rPr/>
        <w:t>regulators</w:t>
      </w:r>
      <w:r>
        <w:rPr>
          <w:spacing w:val="-2"/>
        </w:rPr>
        <w:t> </w:t>
      </w:r>
      <w:r>
        <w:rPr/>
        <w:t>may</w:t>
      </w:r>
      <w:r>
        <w:rPr>
          <w:spacing w:val="-2"/>
        </w:rPr>
        <w:t> </w:t>
      </w:r>
      <w:r>
        <w:rPr/>
        <w:t>investigate</w:t>
      </w:r>
      <w:r>
        <w:rPr>
          <w:spacing w:val="-2"/>
        </w:rPr>
        <w:t> </w:t>
      </w:r>
      <w:r>
        <w:rPr/>
        <w:t>any</w:t>
      </w:r>
      <w:r>
        <w:rPr>
          <w:spacing w:val="-2"/>
        </w:rPr>
        <w:t> </w:t>
      </w:r>
      <w:r>
        <w:rPr/>
        <w:t>individual</w:t>
      </w:r>
      <w:r>
        <w:rPr>
          <w:spacing w:val="-2"/>
        </w:rPr>
        <w:t> </w:t>
      </w:r>
      <w:r>
        <w:rPr/>
        <w:t>or</w:t>
      </w:r>
      <w:r>
        <w:rPr>
          <w:spacing w:val="-2"/>
        </w:rPr>
        <w:t> </w:t>
      </w:r>
      <w:r>
        <w:rPr/>
        <w:t>entity</w:t>
      </w:r>
      <w:r>
        <w:rPr>
          <w:spacing w:val="-2"/>
        </w:rPr>
        <w:t> </w:t>
      </w:r>
      <w:r>
        <w:rPr/>
        <w:t>having a material relationship to, or material involvement with, any of these entities to determine whether such individual is suitable or should be licensed as </w:t>
      </w:r>
      <w:r>
        <w:rPr/>
        <w:t>a</w:t>
      </w:r>
      <w:r>
        <w:rPr>
          <w:spacing w:val="40"/>
        </w:rPr>
        <w:t> </w:t>
      </w:r>
      <w:r>
        <w:rPr/>
        <w:t>business associate of a gaming licensee. Certain jurisdictions require that any change in our directors or officers, including the directors or officers of our subsidiaries, must be approved by the requisite gaming regulator(s). Our officers, directors and certain key employees must also file applications with gaming regulators and may be required to be licensed or be found suitable or qualified in many jurisdictions. Gaming regulators have broad discretion to deny an application for licensing. Qualification and suitability determinations require submission of detailed personal and financial information followed by a thorough background investigation. The applicant has the burden of demonstrating suitability or qualification for licensure, and the applicant ordinarily must pay all the costs of the investigation. In addition to a gaming regulator’s authority to deny an application for licensure or a finding of suitability or qualification, gaming regulators also generally have the authority to condition or limit licensure or a finding of suitability or qualification, or disapprove of a change in an</w:t>
      </w:r>
      <w:r>
        <w:rPr>
          <w:spacing w:val="40"/>
        </w:rPr>
        <w:t> </w:t>
      </w:r>
      <w:r>
        <w:rPr/>
        <w:t>individual’s corporate position.</w:t>
      </w:r>
    </w:p>
    <w:p>
      <w:pPr>
        <w:pStyle w:val="BodyText"/>
        <w:spacing w:line="211" w:lineRule="auto" w:before="182"/>
        <w:ind w:left="144" w:right="118" w:firstLine="440"/>
        <w:jc w:val="both"/>
      </w:pPr>
      <w:r>
        <w:rPr/>
        <w:t>If a gaming regulator finds that an officer, director or key employee fails to qualify or is unsuitable for licensing or unsuitable to continue having </w:t>
      </w:r>
      <w:r>
        <w:rPr/>
        <w:t>a relationship with us, we would ordinarily have to sever all relationships with such person. In addition, gaming regulators may require us to terminate the employment of any person who refuses to file appropriate applications.</w:t>
      </w:r>
    </w:p>
    <w:p>
      <w:pPr>
        <w:pStyle w:val="BodyText"/>
      </w:pPr>
    </w:p>
    <w:p>
      <w:pPr>
        <w:pStyle w:val="BodyText"/>
      </w:pPr>
    </w:p>
    <w:p>
      <w:pPr>
        <w:pStyle w:val="BodyText"/>
      </w:pPr>
    </w:p>
    <w:p>
      <w:pPr>
        <w:pStyle w:val="BodyText"/>
        <w:spacing w:before="36"/>
      </w:pPr>
    </w:p>
    <w:p>
      <w:pPr>
        <w:pStyle w:val="BodyText"/>
        <w:ind w:left="24"/>
        <w:jc w:val="center"/>
      </w:pPr>
      <w:r>
        <w:rPr>
          <w:spacing w:val="-10"/>
        </w:rPr>
        <w:t>2</w:t>
      </w:r>
    </w:p>
    <w:p>
      <w:pPr>
        <w:pStyle w:val="BodyText"/>
        <w:spacing w:before="1"/>
        <w:rPr>
          <w:sz w:val="5"/>
        </w:rPr>
      </w:pPr>
      <w:r>
        <w:rPr/>
        <mc:AlternateContent>
          <mc:Choice Requires="wps">
            <w:drawing>
              <wp:anchor distT="0" distB="0" distL="0" distR="0" allowOverlap="1" layoutInCell="1" locked="0" behindDoc="1" simplePos="0" relativeHeight="487823360">
                <wp:simplePos x="0" y="0"/>
                <wp:positionH relativeFrom="page">
                  <wp:posOffset>231457</wp:posOffset>
                </wp:positionH>
                <wp:positionV relativeFrom="paragraph">
                  <wp:posOffset>52384</wp:posOffset>
                </wp:positionV>
                <wp:extent cx="7312659" cy="17145"/>
                <wp:effectExtent l="0" t="0" r="0" b="0"/>
                <wp:wrapTopAndBottom/>
                <wp:docPr id="1167" name="Group 1167"/>
                <wp:cNvGraphicFramePr>
                  <a:graphicFrameLocks/>
                </wp:cNvGraphicFramePr>
                <a:graphic>
                  <a:graphicData uri="http://schemas.microsoft.com/office/word/2010/wordprocessingGroup">
                    <wpg:wgp>
                      <wpg:cNvPr id="1167" name="Group 1167"/>
                      <wpg:cNvGrpSpPr/>
                      <wpg:grpSpPr>
                        <a:xfrm>
                          <a:off x="0" y="0"/>
                          <a:ext cx="7312659" cy="17145"/>
                          <a:chExt cx="7312659" cy="17145"/>
                        </a:xfrm>
                      </wpg:grpSpPr>
                      <wps:wsp>
                        <wps:cNvPr id="1168" name="Graphic 11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69" name="Graphic 1169"/>
                        <wps:cNvSpPr/>
                        <wps:spPr>
                          <a:xfrm>
                            <a:off x="-12" y="-2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70" name="Graphic 11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124756pt;width:575.8pt;height:1.35pt;mso-position-horizontal-relative:page;mso-position-vertical-relative:paragraph;z-index:-15493120;mso-wrap-distance-left:0;mso-wrap-distance-right:0" id="docshapegroup1165" coordorigin="364,82" coordsize="11516,27">
                <v:rect style="position:absolute;left:364;top:82;width:11516;height:14" id="docshape1166" filled="true" fillcolor="#999999" stroked="false">
                  <v:fill type="solid"/>
                </v:rect>
                <v:shape style="position:absolute;left:364;top:82;width:11516;height:27" id="docshape1167" coordorigin="364,82" coordsize="11516,27" path="m11880,82l11866,96,364,96,364,109,11866,109,11880,109,11880,96,11880,82xe" filled="true" fillcolor="#ededed" stroked="false">
                  <v:path arrowok="t"/>
                  <v:fill type="solid"/>
                </v:shape>
                <v:shape style="position:absolute;left:364;top:82;width:14;height:27" id="docshape1168" coordorigin="364,82" coordsize="14,27" path="m364,109l364,82,378,82,378,96,364,109xe" filled="true" fillcolor="#999999" stroked="false">
                  <v:path arrowok="t"/>
                  <v:fill type="solid"/>
                </v:shape>
                <w10:wrap type="topAndBottom"/>
              </v:group>
            </w:pict>
          </mc:Fallback>
        </mc:AlternateContent>
      </w:r>
    </w:p>
    <w:p>
      <w:pPr>
        <w:spacing w:after="0"/>
        <w:rPr>
          <w:sz w:val="5"/>
        </w:rPr>
        <w:sectPr>
          <w:pgSz w:w="12240" w:h="15840"/>
          <w:pgMar w:top="1220" w:bottom="280" w:left="220" w:right="240"/>
        </w:sectPr>
      </w:pPr>
    </w:p>
    <w:p>
      <w:pPr>
        <w:pStyle w:val="BodyText"/>
        <w:spacing w:line="208" w:lineRule="auto" w:before="87"/>
        <w:ind w:left="144" w:right="118" w:firstLine="440"/>
        <w:jc w:val="both"/>
      </w:pPr>
      <w:r>
        <w:rPr/>
        <w:t>In</w:t>
      </w:r>
      <w:r>
        <w:rPr>
          <w:spacing w:val="-1"/>
        </w:rPr>
        <w:t> </w:t>
      </w:r>
      <w:r>
        <w:rPr/>
        <w:t>many</w:t>
      </w:r>
      <w:r>
        <w:rPr>
          <w:spacing w:val="-1"/>
        </w:rPr>
        <w:t> </w:t>
      </w:r>
      <w:r>
        <w:rPr/>
        <w:t>jurisdictions,</w:t>
      </w:r>
      <w:r>
        <w:rPr>
          <w:spacing w:val="-1"/>
        </w:rPr>
        <w:t> </w:t>
      </w:r>
      <w:r>
        <w:rPr/>
        <w:t>any</w:t>
      </w:r>
      <w:r>
        <w:rPr>
          <w:spacing w:val="-1"/>
        </w:rPr>
        <w:t> </w:t>
      </w:r>
      <w:r>
        <w:rPr/>
        <w:t>of</w:t>
      </w:r>
      <w:r>
        <w:rPr>
          <w:spacing w:val="-1"/>
        </w:rPr>
        <w:t> </w:t>
      </w:r>
      <w:r>
        <w:rPr/>
        <w:t>our</w:t>
      </w:r>
      <w:r>
        <w:rPr>
          <w:spacing w:val="-1"/>
        </w:rPr>
        <w:t> </w:t>
      </w:r>
      <w:r>
        <w:rPr/>
        <w:t>shareholders</w:t>
      </w:r>
      <w:r>
        <w:rPr>
          <w:spacing w:val="-1"/>
        </w:rPr>
        <w:t> </w:t>
      </w:r>
      <w:r>
        <w:rPr/>
        <w:t>or</w:t>
      </w:r>
      <w:r>
        <w:rPr>
          <w:spacing w:val="-1"/>
        </w:rPr>
        <w:t> </w:t>
      </w:r>
      <w:r>
        <w:rPr/>
        <w:t>holders</w:t>
      </w:r>
      <w:r>
        <w:rPr>
          <w:spacing w:val="-1"/>
        </w:rPr>
        <w:t> </w:t>
      </w:r>
      <w:r>
        <w:rPr/>
        <w:t>of</w:t>
      </w:r>
      <w:r>
        <w:rPr>
          <w:spacing w:val="-1"/>
        </w:rPr>
        <w:t> </w:t>
      </w:r>
      <w:r>
        <w:rPr/>
        <w:t>our</w:t>
      </w:r>
      <w:r>
        <w:rPr>
          <w:spacing w:val="-1"/>
        </w:rPr>
        <w:t> </w:t>
      </w:r>
      <w:r>
        <w:rPr/>
        <w:t>debt</w:t>
      </w:r>
      <w:r>
        <w:rPr>
          <w:spacing w:val="-1"/>
        </w:rPr>
        <w:t> </w:t>
      </w:r>
      <w:r>
        <w:rPr/>
        <w:t>securities</w:t>
      </w:r>
      <w:r>
        <w:rPr>
          <w:spacing w:val="-1"/>
        </w:rPr>
        <w:t> </w:t>
      </w:r>
      <w:r>
        <w:rPr/>
        <w:t>may</w:t>
      </w:r>
      <w:r>
        <w:rPr>
          <w:spacing w:val="-1"/>
        </w:rPr>
        <w:t> </w:t>
      </w:r>
      <w:r>
        <w:rPr/>
        <w:t>be</w:t>
      </w:r>
      <w:r>
        <w:rPr>
          <w:spacing w:val="-1"/>
        </w:rPr>
        <w:t> </w:t>
      </w:r>
      <w:r>
        <w:rPr/>
        <w:t>required</w:t>
      </w:r>
      <w:r>
        <w:rPr>
          <w:spacing w:val="-1"/>
        </w:rPr>
        <w:t> </w:t>
      </w:r>
      <w:r>
        <w:rPr/>
        <w:t>to</w:t>
      </w:r>
      <w:r>
        <w:rPr>
          <w:spacing w:val="-1"/>
        </w:rPr>
        <w:t> </w:t>
      </w:r>
      <w:r>
        <w:rPr/>
        <w:t>file</w:t>
      </w:r>
      <w:r>
        <w:rPr>
          <w:spacing w:val="-1"/>
        </w:rPr>
        <w:t> </w:t>
      </w:r>
      <w:r>
        <w:rPr/>
        <w:t>an</w:t>
      </w:r>
      <w:r>
        <w:rPr>
          <w:spacing w:val="-1"/>
        </w:rPr>
        <w:t> </w:t>
      </w:r>
      <w:r>
        <w:rPr/>
        <w:t>application,</w:t>
      </w:r>
      <w:r>
        <w:rPr>
          <w:spacing w:val="-1"/>
        </w:rPr>
        <w:t> </w:t>
      </w:r>
      <w:r>
        <w:rPr/>
        <w:t>be</w:t>
      </w:r>
      <w:r>
        <w:rPr>
          <w:spacing w:val="-1"/>
        </w:rPr>
        <w:t> </w:t>
      </w:r>
      <w:r>
        <w:rPr/>
        <w:t>investigated,</w:t>
      </w:r>
      <w:r>
        <w:rPr>
          <w:spacing w:val="-1"/>
        </w:rPr>
        <w:t> </w:t>
      </w:r>
      <w:r>
        <w:rPr/>
        <w:t>and</w:t>
      </w:r>
      <w:r>
        <w:rPr>
          <w:spacing w:val="-1"/>
        </w:rPr>
        <w:t> </w:t>
      </w:r>
      <w:r>
        <w:rPr/>
        <w:t>qualify</w:t>
      </w:r>
      <w:r>
        <w:rPr>
          <w:spacing w:val="-1"/>
        </w:rPr>
        <w:t> </w:t>
      </w:r>
      <w:r>
        <w:rPr/>
        <w:t>or</w:t>
      </w:r>
      <w:r>
        <w:rPr>
          <w:spacing w:val="-1"/>
        </w:rPr>
        <w:t> </w:t>
      </w:r>
      <w:r>
        <w:rPr/>
        <w:t>have his,</w:t>
      </w:r>
      <w:r>
        <w:rPr>
          <w:spacing w:val="-1"/>
        </w:rPr>
        <w:t> </w:t>
      </w:r>
      <w:r>
        <w:rPr/>
        <w:t>her</w:t>
      </w:r>
      <w:r>
        <w:rPr>
          <w:spacing w:val="-1"/>
        </w:rPr>
        <w:t> </w:t>
      </w:r>
      <w:r>
        <w:rPr/>
        <w:t>or</w:t>
      </w:r>
      <w:r>
        <w:rPr>
          <w:spacing w:val="-1"/>
        </w:rPr>
        <w:t> </w:t>
      </w:r>
      <w:r>
        <w:rPr/>
        <w:t>its</w:t>
      </w:r>
      <w:r>
        <w:rPr>
          <w:spacing w:val="-1"/>
        </w:rPr>
        <w:t> </w:t>
      </w:r>
      <w:r>
        <w:rPr/>
        <w:t>suitability</w:t>
      </w:r>
      <w:r>
        <w:rPr>
          <w:spacing w:val="-1"/>
        </w:rPr>
        <w:t> </w:t>
      </w:r>
      <w:r>
        <w:rPr/>
        <w:t>determined.</w:t>
      </w:r>
      <w:r>
        <w:rPr>
          <w:spacing w:val="-1"/>
        </w:rPr>
        <w:t> </w:t>
      </w:r>
      <w:r>
        <w:rPr/>
        <w:t>For</w:t>
      </w:r>
      <w:r>
        <w:rPr>
          <w:spacing w:val="-1"/>
        </w:rPr>
        <w:t> </w:t>
      </w:r>
      <w:r>
        <w:rPr/>
        <w:t>example,</w:t>
      </w:r>
      <w:r>
        <w:rPr>
          <w:spacing w:val="-1"/>
        </w:rPr>
        <w:t> </w:t>
      </w:r>
      <w:r>
        <w:rPr/>
        <w:t>under</w:t>
      </w:r>
      <w:r>
        <w:rPr>
          <w:spacing w:val="-1"/>
        </w:rPr>
        <w:t> </w:t>
      </w:r>
      <w:r>
        <w:rPr/>
        <w:t>Nevada</w:t>
      </w:r>
      <w:r>
        <w:rPr>
          <w:spacing w:val="-1"/>
        </w:rPr>
        <w:t> </w:t>
      </w:r>
      <w:r>
        <w:rPr/>
        <w:t>gaming</w:t>
      </w:r>
      <w:r>
        <w:rPr>
          <w:spacing w:val="-1"/>
        </w:rPr>
        <w:t> </w:t>
      </w:r>
      <w:r>
        <w:rPr/>
        <w:t>laws,</w:t>
      </w:r>
      <w:r>
        <w:rPr>
          <w:spacing w:val="-1"/>
        </w:rPr>
        <w:t> </w:t>
      </w:r>
      <w:r>
        <w:rPr/>
        <w:t>any</w:t>
      </w:r>
      <w:r>
        <w:rPr>
          <w:spacing w:val="-1"/>
        </w:rPr>
        <w:t> </w:t>
      </w:r>
      <w:r>
        <w:rPr/>
        <w:t>beneficial</w:t>
      </w:r>
      <w:r>
        <w:rPr>
          <w:spacing w:val="-1"/>
        </w:rPr>
        <w:t> </w:t>
      </w:r>
      <w:r>
        <w:rPr/>
        <w:t>holder</w:t>
      </w:r>
      <w:r>
        <w:rPr>
          <w:spacing w:val="-1"/>
        </w:rPr>
        <w:t> </w:t>
      </w:r>
      <w:r>
        <w:rPr/>
        <w:t>of</w:t>
      </w:r>
      <w:r>
        <w:rPr>
          <w:spacing w:val="-1"/>
        </w:rPr>
        <w:t> </w:t>
      </w:r>
      <w:r>
        <w:rPr/>
        <w:t>our</w:t>
      </w:r>
      <w:r>
        <w:rPr>
          <w:spacing w:val="-1"/>
        </w:rPr>
        <w:t> </w:t>
      </w:r>
      <w:r>
        <w:rPr/>
        <w:t>voting</w:t>
      </w:r>
      <w:r>
        <w:rPr>
          <w:spacing w:val="-1"/>
        </w:rPr>
        <w:t> </w:t>
      </w:r>
      <w:r>
        <w:rPr/>
        <w:t>securities,</w:t>
      </w:r>
      <w:r>
        <w:rPr>
          <w:spacing w:val="-1"/>
        </w:rPr>
        <w:t> </w:t>
      </w:r>
      <w:r>
        <w:rPr/>
        <w:t>regardless</w:t>
      </w:r>
      <w:r>
        <w:rPr>
          <w:spacing w:val="-1"/>
        </w:rPr>
        <w:t> </w:t>
      </w:r>
      <w:r>
        <w:rPr/>
        <w:t>of</w:t>
      </w:r>
      <w:r>
        <w:rPr>
          <w:spacing w:val="-1"/>
        </w:rPr>
        <w:t> </w:t>
      </w:r>
      <w:r>
        <w:rPr/>
        <w:t>the</w:t>
      </w:r>
      <w:r>
        <w:rPr>
          <w:spacing w:val="-1"/>
        </w:rPr>
        <w:t> </w:t>
      </w:r>
      <w:r>
        <w:rPr/>
        <w:t>number</w:t>
      </w:r>
      <w:r>
        <w:rPr>
          <w:spacing w:val="-1"/>
        </w:rPr>
        <w:t> </w:t>
      </w:r>
      <w:r>
        <w:rPr/>
        <w:t>of</w:t>
      </w:r>
      <w:r>
        <w:rPr>
          <w:spacing w:val="-1"/>
        </w:rPr>
        <w:t> </w:t>
      </w:r>
      <w:r>
        <w:rPr/>
        <w:t>shares owned, may be required to file an application, be investigated, and have his or her suitability as a beneficial holder of the voting securities determined if either the</w:t>
      </w:r>
      <w:r>
        <w:rPr>
          <w:spacing w:val="-2"/>
        </w:rPr>
        <w:t> </w:t>
      </w:r>
      <w:r>
        <w:rPr/>
        <w:t>Nevada</w:t>
      </w:r>
      <w:r>
        <w:rPr>
          <w:spacing w:val="-2"/>
        </w:rPr>
        <w:t> </w:t>
      </w:r>
      <w:r>
        <w:rPr/>
        <w:t>Gaming</w:t>
      </w:r>
      <w:r>
        <w:rPr>
          <w:spacing w:val="-2"/>
        </w:rPr>
        <w:t> </w:t>
      </w:r>
      <w:r>
        <w:rPr/>
        <w:t>Commission</w:t>
      </w:r>
      <w:r>
        <w:rPr>
          <w:spacing w:val="-2"/>
        </w:rPr>
        <w:t> </w:t>
      </w:r>
      <w:r>
        <w:rPr/>
        <w:t>(the</w:t>
      </w:r>
      <w:r>
        <w:rPr>
          <w:spacing w:val="-2"/>
        </w:rPr>
        <w:t> </w:t>
      </w:r>
      <w:r>
        <w:rPr/>
        <w:t>“NGC”)</w:t>
      </w:r>
      <w:r>
        <w:rPr>
          <w:spacing w:val="-2"/>
        </w:rPr>
        <w:t> </w:t>
      </w:r>
      <w:r>
        <w:rPr/>
        <w:t>has</w:t>
      </w:r>
      <w:r>
        <w:rPr>
          <w:spacing w:val="-2"/>
        </w:rPr>
        <w:t> </w:t>
      </w:r>
      <w:r>
        <w:rPr/>
        <w:t>reason</w:t>
      </w:r>
      <w:r>
        <w:rPr>
          <w:spacing w:val="-2"/>
        </w:rPr>
        <w:t> </w:t>
      </w:r>
      <w:r>
        <w:rPr/>
        <w:t>to</w:t>
      </w:r>
      <w:r>
        <w:rPr>
          <w:spacing w:val="-2"/>
        </w:rPr>
        <w:t> </w:t>
      </w:r>
      <w:r>
        <w:rPr/>
        <w:t>believe</w:t>
      </w:r>
      <w:r>
        <w:rPr>
          <w:spacing w:val="-2"/>
        </w:rPr>
        <w:t> </w:t>
      </w:r>
      <w:r>
        <w:rPr/>
        <w:t>that</w:t>
      </w:r>
      <w:r>
        <w:rPr>
          <w:spacing w:val="-2"/>
        </w:rPr>
        <w:t> </w:t>
      </w:r>
      <w:r>
        <w:rPr/>
        <w:t>such</w:t>
      </w:r>
      <w:r>
        <w:rPr>
          <w:spacing w:val="-2"/>
        </w:rPr>
        <w:t> </w:t>
      </w:r>
      <w:r>
        <w:rPr/>
        <w:t>ownership</w:t>
      </w:r>
      <w:r>
        <w:rPr>
          <w:spacing w:val="-2"/>
        </w:rPr>
        <w:t> </w:t>
      </w:r>
      <w:r>
        <w:rPr/>
        <w:t>would</w:t>
      </w:r>
      <w:r>
        <w:rPr>
          <w:spacing w:val="-2"/>
        </w:rPr>
        <w:t> </w:t>
      </w:r>
      <w:r>
        <w:rPr/>
        <w:t>otherwise</w:t>
      </w:r>
      <w:r>
        <w:rPr>
          <w:spacing w:val="-2"/>
        </w:rPr>
        <w:t> </w:t>
      </w:r>
      <w:r>
        <w:rPr/>
        <w:t>be</w:t>
      </w:r>
      <w:r>
        <w:rPr>
          <w:spacing w:val="-2"/>
        </w:rPr>
        <w:t> </w:t>
      </w:r>
      <w:r>
        <w:rPr/>
        <w:t>inconsistent</w:t>
      </w:r>
      <w:r>
        <w:rPr>
          <w:spacing w:val="-2"/>
        </w:rPr>
        <w:t> </w:t>
      </w:r>
      <w:r>
        <w:rPr/>
        <w:t>with</w:t>
      </w:r>
      <w:r>
        <w:rPr>
          <w:spacing w:val="-2"/>
        </w:rPr>
        <w:t> </w:t>
      </w:r>
      <w:r>
        <w:rPr/>
        <w:t>the</w:t>
      </w:r>
      <w:r>
        <w:rPr>
          <w:spacing w:val="-2"/>
        </w:rPr>
        <w:t> </w:t>
      </w:r>
      <w:r>
        <w:rPr/>
        <w:t>declared</w:t>
      </w:r>
      <w:r>
        <w:rPr>
          <w:spacing w:val="-2"/>
        </w:rPr>
        <w:t> </w:t>
      </w:r>
      <w:r>
        <w:rPr/>
        <w:t>policies</w:t>
      </w:r>
      <w:r>
        <w:rPr>
          <w:spacing w:val="-2"/>
        </w:rPr>
        <w:t> </w:t>
      </w:r>
      <w:r>
        <w:rPr/>
        <w:t>of</w:t>
      </w:r>
      <w:r>
        <w:rPr>
          <w:spacing w:val="-2"/>
        </w:rPr>
        <w:t> </w:t>
      </w:r>
      <w:r>
        <w:rPr/>
        <w:t>the</w:t>
      </w:r>
      <w:r>
        <w:rPr>
          <w:spacing w:val="-2"/>
        </w:rPr>
        <w:t> </w:t>
      </w:r>
      <w:r>
        <w:rPr/>
        <w:t>State of Nevada, or the person engages in certain statutorily proscribed activities which influence or affect the affairs of a holding company of a Nevada gaming licensee. The applicant must pay all costs of investigation incurred by the NGC and the Nevada Gaming Control Board (“NGCB”) in conducting any such </w:t>
      </w:r>
      <w:r>
        <w:rPr>
          <w:spacing w:val="-2"/>
        </w:rPr>
        <w:t>investigation.</w:t>
      </w:r>
    </w:p>
    <w:p>
      <w:pPr>
        <w:pStyle w:val="BodyText"/>
        <w:spacing w:before="4"/>
      </w:pPr>
    </w:p>
    <w:p>
      <w:pPr>
        <w:pStyle w:val="BodyText"/>
        <w:spacing w:line="208" w:lineRule="auto"/>
        <w:ind w:left="144" w:right="118" w:firstLine="440"/>
        <w:jc w:val="both"/>
      </w:pPr>
      <w:r>
        <w:rPr/>
        <w:t>Furthermore, any person required by a gaming regulator to be found suitable, who is found unsuitable by the gaming regulator, shall not be able to hold directly</w:t>
      </w:r>
      <w:r>
        <w:rPr>
          <w:spacing w:val="-1"/>
        </w:rPr>
        <w:t> </w:t>
      </w:r>
      <w:r>
        <w:rPr/>
        <w:t>or</w:t>
      </w:r>
      <w:r>
        <w:rPr>
          <w:spacing w:val="-1"/>
        </w:rPr>
        <w:t> </w:t>
      </w:r>
      <w:r>
        <w:rPr/>
        <w:t>indirectly</w:t>
      </w:r>
      <w:r>
        <w:rPr>
          <w:spacing w:val="-1"/>
        </w:rPr>
        <w:t> </w:t>
      </w:r>
      <w:r>
        <w:rPr/>
        <w:t>the</w:t>
      </w:r>
      <w:r>
        <w:rPr>
          <w:spacing w:val="-1"/>
        </w:rPr>
        <w:t> </w:t>
      </w:r>
      <w:r>
        <w:rPr/>
        <w:t>beneficial</w:t>
      </w:r>
      <w:r>
        <w:rPr>
          <w:spacing w:val="-1"/>
        </w:rPr>
        <w:t> </w:t>
      </w:r>
      <w:r>
        <w:rPr/>
        <w:t>ownership</w:t>
      </w:r>
      <w:r>
        <w:rPr>
          <w:spacing w:val="-1"/>
        </w:rPr>
        <w:t> </w:t>
      </w:r>
      <w:r>
        <w:rPr/>
        <w:t>of</w:t>
      </w:r>
      <w:r>
        <w:rPr>
          <w:spacing w:val="-1"/>
        </w:rPr>
        <w:t> </w:t>
      </w:r>
      <w:r>
        <w:rPr/>
        <w:t>any</w:t>
      </w:r>
      <w:r>
        <w:rPr>
          <w:spacing w:val="-1"/>
        </w:rPr>
        <w:t> </w:t>
      </w:r>
      <w:r>
        <w:rPr/>
        <w:t>voting</w:t>
      </w:r>
      <w:r>
        <w:rPr>
          <w:spacing w:val="-1"/>
        </w:rPr>
        <w:t> </w:t>
      </w:r>
      <w:r>
        <w:rPr/>
        <w:t>security</w:t>
      </w:r>
      <w:r>
        <w:rPr>
          <w:spacing w:val="-1"/>
        </w:rPr>
        <w:t> </w:t>
      </w:r>
      <w:r>
        <w:rPr/>
        <w:t>or</w:t>
      </w:r>
      <w:r>
        <w:rPr>
          <w:spacing w:val="-1"/>
        </w:rPr>
        <w:t> </w:t>
      </w:r>
      <w:r>
        <w:rPr/>
        <w:t>the</w:t>
      </w:r>
      <w:r>
        <w:rPr>
          <w:spacing w:val="-1"/>
        </w:rPr>
        <w:t> </w:t>
      </w:r>
      <w:r>
        <w:rPr/>
        <w:t>beneficial</w:t>
      </w:r>
      <w:r>
        <w:rPr>
          <w:spacing w:val="-1"/>
        </w:rPr>
        <w:t> </w:t>
      </w:r>
      <w:r>
        <w:rPr/>
        <w:t>or</w:t>
      </w:r>
      <w:r>
        <w:rPr>
          <w:spacing w:val="-1"/>
        </w:rPr>
        <w:t> </w:t>
      </w:r>
      <w:r>
        <w:rPr/>
        <w:t>record</w:t>
      </w:r>
      <w:r>
        <w:rPr>
          <w:spacing w:val="-1"/>
        </w:rPr>
        <w:t> </w:t>
      </w:r>
      <w:r>
        <w:rPr/>
        <w:t>ownership</w:t>
      </w:r>
      <w:r>
        <w:rPr>
          <w:spacing w:val="-1"/>
        </w:rPr>
        <w:t> </w:t>
      </w:r>
      <w:r>
        <w:rPr/>
        <w:t>of</w:t>
      </w:r>
      <w:r>
        <w:rPr>
          <w:spacing w:val="-1"/>
        </w:rPr>
        <w:t> </w:t>
      </w:r>
      <w:r>
        <w:rPr/>
        <w:t>any</w:t>
      </w:r>
      <w:r>
        <w:rPr>
          <w:spacing w:val="-1"/>
        </w:rPr>
        <w:t> </w:t>
      </w:r>
      <w:r>
        <w:rPr/>
        <w:t>nonvoting</w:t>
      </w:r>
      <w:r>
        <w:rPr>
          <w:spacing w:val="-1"/>
        </w:rPr>
        <w:t> </w:t>
      </w:r>
      <w:r>
        <w:rPr/>
        <w:t>security</w:t>
      </w:r>
      <w:r>
        <w:rPr>
          <w:spacing w:val="-1"/>
        </w:rPr>
        <w:t> </w:t>
      </w:r>
      <w:r>
        <w:rPr/>
        <w:t>or</w:t>
      </w:r>
      <w:r>
        <w:rPr>
          <w:spacing w:val="-1"/>
        </w:rPr>
        <w:t> </w:t>
      </w:r>
      <w:r>
        <w:rPr/>
        <w:t>any</w:t>
      </w:r>
      <w:r>
        <w:rPr>
          <w:spacing w:val="-1"/>
        </w:rPr>
        <w:t> </w:t>
      </w:r>
      <w:r>
        <w:rPr/>
        <w:t>debt</w:t>
      </w:r>
      <w:r>
        <w:rPr>
          <w:spacing w:val="-1"/>
        </w:rPr>
        <w:t> </w:t>
      </w:r>
      <w:r>
        <w:rPr/>
        <w:t>security</w:t>
      </w:r>
      <w:r>
        <w:rPr>
          <w:spacing w:val="-1"/>
        </w:rPr>
        <w:t> </w:t>
      </w:r>
      <w:r>
        <w:rPr/>
        <w:t>of</w:t>
      </w:r>
      <w:r>
        <w:rPr>
          <w:spacing w:val="-1"/>
        </w:rPr>
        <w:t> </w:t>
      </w:r>
      <w:r>
        <w:rPr/>
        <w:t>any public corporation which is registered with the gaming regulator (or otherwise subject to a finding of suitability or qualification as holding company of a gaming licensee), such as MGM Resorts International, beyond the time prescribed by the gaming regulator.</w:t>
      </w:r>
      <w:r>
        <w:rPr>
          <w:spacing w:val="-1"/>
        </w:rPr>
        <w:t> </w:t>
      </w:r>
      <w:r>
        <w:rPr/>
        <w:t>A</w:t>
      </w:r>
      <w:r>
        <w:rPr>
          <w:spacing w:val="-1"/>
        </w:rPr>
        <w:t> </w:t>
      </w:r>
      <w:r>
        <w:rPr/>
        <w:t>finding of unsuitability by a particular gaming regulator impacts that person’s ability to associate or affiliate with gaming licensees in that particular jurisdiction and could impact the person’s ability to associate or affiliate with gaming licensees in other jurisdictions.</w:t>
      </w:r>
    </w:p>
    <w:p>
      <w:pPr>
        <w:pStyle w:val="BodyText"/>
        <w:spacing w:line="211" w:lineRule="auto" w:before="174"/>
        <w:ind w:left="144" w:right="118" w:firstLine="440"/>
        <w:jc w:val="both"/>
      </w:pPr>
      <w:r>
        <w:rPr/>
        <w:t>Many jurisdictions also require any person who acquires beneficial ownership of more than a certain percentage of our voting securities and, in </w:t>
      </w:r>
      <w:r>
        <w:rPr/>
        <w:t>some jurisdictions, our non-voting securities, typically 5%, to report the acquisition to gaming regulators, and gaming regulators may require such holders to apply for qualification or a finding of suitability. For example, Nevada gaming laws require any person who acquires more than 5% of any class of our voting securities to report the acquisition to the NGC.</w:t>
      </w:r>
      <w:r>
        <w:rPr>
          <w:spacing w:val="-4"/>
        </w:rPr>
        <w:t> </w:t>
      </w:r>
      <w:r>
        <w:rPr/>
        <w:t>Additionally, Nevada gaming laws require that beneficial owners of more than 10% of any class of our voting securities apply to the NGC for a finding of suitability within 30 days after the Chair of the NGCB mails the written notice requiring such filing.</w:t>
      </w:r>
    </w:p>
    <w:p>
      <w:pPr>
        <w:pStyle w:val="BodyText"/>
        <w:spacing w:line="208" w:lineRule="auto" w:before="171"/>
        <w:ind w:left="144" w:right="118" w:firstLine="440"/>
        <w:jc w:val="both"/>
      </w:pPr>
      <w:r>
        <w:rPr/>
        <w:t>However, many jurisdictions permit an “institutional investor” to apply for a waiver that allows the “institutional investor” to acquire, in many cases, up to 15% of our voting securities without applying for qualification or a finding of suitability. The gaming laws and regulations of a particular jurisdiction typically define who may be considered an “institutional investor,” and typically provide particular categories of persons who may be considered such </w:t>
      </w:r>
      <w:r>
        <w:rPr/>
        <w:t>an investor, e.g., a retirement fund administered by a public agency for the exclusive benefit of federal, state, or local public employees; investment company registered under the Investment Company Act of 1940 (15 U.S.C. § 80a-1 et seq.); licensed life insurance company or property and casualty insurance company;</w:t>
      </w:r>
      <w:r>
        <w:rPr>
          <w:spacing w:val="1"/>
        </w:rPr>
        <w:t> </w:t>
      </w:r>
      <w:r>
        <w:rPr/>
        <w:t>banking</w:t>
      </w:r>
      <w:r>
        <w:rPr>
          <w:spacing w:val="1"/>
        </w:rPr>
        <w:t> </w:t>
      </w:r>
      <w:r>
        <w:rPr/>
        <w:t>and</w:t>
      </w:r>
      <w:r>
        <w:rPr>
          <w:spacing w:val="1"/>
        </w:rPr>
        <w:t> </w:t>
      </w:r>
      <w:r>
        <w:rPr/>
        <w:t>other</w:t>
      </w:r>
      <w:r>
        <w:rPr>
          <w:spacing w:val="1"/>
        </w:rPr>
        <w:t> </w:t>
      </w:r>
      <w:r>
        <w:rPr/>
        <w:t>chartered</w:t>
      </w:r>
      <w:r>
        <w:rPr>
          <w:spacing w:val="1"/>
        </w:rPr>
        <w:t> </w:t>
      </w:r>
      <w:r>
        <w:rPr/>
        <w:t>or</w:t>
      </w:r>
      <w:r>
        <w:rPr>
          <w:spacing w:val="1"/>
        </w:rPr>
        <w:t> </w:t>
      </w:r>
      <w:r>
        <w:rPr/>
        <w:t>licensed</w:t>
      </w:r>
      <w:r>
        <w:rPr>
          <w:spacing w:val="1"/>
        </w:rPr>
        <w:t> </w:t>
      </w:r>
      <w:r>
        <w:rPr/>
        <w:t>lending</w:t>
      </w:r>
      <w:r>
        <w:rPr>
          <w:spacing w:val="1"/>
        </w:rPr>
        <w:t> </w:t>
      </w:r>
      <w:r>
        <w:rPr/>
        <w:t>institution;</w:t>
      </w:r>
      <w:r>
        <w:rPr>
          <w:spacing w:val="1"/>
        </w:rPr>
        <w:t> </w:t>
      </w:r>
      <w:r>
        <w:rPr/>
        <w:t>and</w:t>
      </w:r>
      <w:r>
        <w:rPr>
          <w:spacing w:val="1"/>
        </w:rPr>
        <w:t> </w:t>
      </w:r>
      <w:r>
        <w:rPr/>
        <w:t>investment</w:t>
      </w:r>
      <w:r>
        <w:rPr>
          <w:spacing w:val="1"/>
        </w:rPr>
        <w:t> </w:t>
      </w:r>
      <w:r>
        <w:rPr/>
        <w:t>advisor</w:t>
      </w:r>
      <w:r>
        <w:rPr>
          <w:spacing w:val="1"/>
        </w:rPr>
        <w:t> </w:t>
      </w:r>
      <w:r>
        <w:rPr/>
        <w:t>registered</w:t>
      </w:r>
      <w:r>
        <w:rPr>
          <w:spacing w:val="1"/>
        </w:rPr>
        <w:t> </w:t>
      </w:r>
      <w:r>
        <w:rPr/>
        <w:t>under</w:t>
      </w:r>
      <w:r>
        <w:rPr>
          <w:spacing w:val="-3"/>
        </w:rPr>
        <w:t> </w:t>
      </w:r>
      <w:r>
        <w:rPr/>
        <w:t>The</w:t>
      </w:r>
      <w:r>
        <w:rPr>
          <w:spacing w:val="1"/>
        </w:rPr>
        <w:t> </w:t>
      </w:r>
      <w:r>
        <w:rPr/>
        <w:t>Investment</w:t>
      </w:r>
      <w:r>
        <w:rPr>
          <w:spacing w:val="-9"/>
        </w:rPr>
        <w:t> </w:t>
      </w:r>
      <w:r>
        <w:rPr/>
        <w:t>Advisors</w:t>
      </w:r>
      <w:r>
        <w:rPr>
          <w:spacing w:val="-9"/>
        </w:rPr>
        <w:t> </w:t>
      </w:r>
      <w:r>
        <w:rPr/>
        <w:t>Act</w:t>
      </w:r>
      <w:r>
        <w:rPr>
          <w:spacing w:val="1"/>
        </w:rPr>
        <w:t> </w:t>
      </w:r>
      <w:r>
        <w:rPr/>
        <w:t>of</w:t>
      </w:r>
      <w:r>
        <w:rPr>
          <w:spacing w:val="1"/>
        </w:rPr>
        <w:t> </w:t>
      </w:r>
      <w:r>
        <w:rPr/>
        <w:t>1940</w:t>
      </w:r>
      <w:r>
        <w:rPr>
          <w:spacing w:val="1"/>
        </w:rPr>
        <w:t> </w:t>
      </w:r>
      <w:r>
        <w:rPr/>
        <w:t>(15</w:t>
      </w:r>
      <w:r>
        <w:rPr>
          <w:spacing w:val="1"/>
        </w:rPr>
        <w:t> </w:t>
      </w:r>
      <w:r>
        <w:rPr>
          <w:spacing w:val="-2"/>
        </w:rPr>
        <w:t>U.S.C.</w:t>
      </w:r>
    </w:p>
    <w:p>
      <w:pPr>
        <w:pStyle w:val="BodyText"/>
        <w:spacing w:line="208" w:lineRule="auto"/>
        <w:ind w:left="144" w:right="118"/>
        <w:jc w:val="both"/>
      </w:pPr>
      <w:r>
        <w:rPr/>
        <w:t>§ 80b-1 et seq.).</w:t>
      </w:r>
      <w:r>
        <w:rPr>
          <w:spacing w:val="-5"/>
        </w:rPr>
        <w:t> </w:t>
      </w:r>
      <w:r>
        <w:rPr/>
        <w:t>Additionally, a person satisfying the applicable “institutional investor” definition must also generally have acquired and hold the securities </w:t>
      </w:r>
      <w:r>
        <w:rPr/>
        <w:t>in the ordinary course of business as an institutional investor, and not for the purpose of causing, directly or indirectly, the election of a majority of the members</w:t>
      </w:r>
      <w:r>
        <w:rPr>
          <w:spacing w:val="40"/>
        </w:rPr>
        <w:t> </w:t>
      </w:r>
      <w:r>
        <w:rPr/>
        <w:t>of our board of directors, any change in our corporate charter, bylaws, management, policies or operations, or those of any of our gaming affiliates, or the</w:t>
      </w:r>
      <w:r>
        <w:rPr>
          <w:spacing w:val="40"/>
        </w:rPr>
        <w:t> </w:t>
      </w:r>
      <w:r>
        <w:rPr/>
        <w:t>taking of any other action which gaming regulators find to be inconsistent with holding our voting securities for investment purposes only.</w:t>
      </w:r>
      <w:r>
        <w:rPr>
          <w:spacing w:val="-10"/>
        </w:rPr>
        <w:t> </w:t>
      </w:r>
      <w:r>
        <w:rPr/>
        <w:t>An application for a waiver as an institutional investor generally requires the submission of detailed information about the company and its regulatory filings, the name of each person that beneficially owns more than 5% of the institutional investor’s securities or other equivalent and a certification made under oath or penalty for perjury,</w:t>
      </w:r>
      <w:r>
        <w:rPr>
          <w:spacing w:val="-1"/>
        </w:rPr>
        <w:t> </w:t>
      </w:r>
      <w:r>
        <w:rPr/>
        <w:t>that</w:t>
      </w:r>
      <w:r>
        <w:rPr>
          <w:spacing w:val="-1"/>
        </w:rPr>
        <w:t> </w:t>
      </w:r>
      <w:r>
        <w:rPr/>
        <w:t>the</w:t>
      </w:r>
      <w:r>
        <w:rPr>
          <w:spacing w:val="-1"/>
        </w:rPr>
        <w:t> </w:t>
      </w:r>
      <w:r>
        <w:rPr/>
        <w:t>securities</w:t>
      </w:r>
      <w:r>
        <w:rPr>
          <w:spacing w:val="-1"/>
        </w:rPr>
        <w:t> </w:t>
      </w:r>
      <w:r>
        <w:rPr/>
        <w:t>were</w:t>
      </w:r>
      <w:r>
        <w:rPr>
          <w:spacing w:val="-1"/>
        </w:rPr>
        <w:t> </w:t>
      </w:r>
      <w:r>
        <w:rPr/>
        <w:t>acquired</w:t>
      </w:r>
      <w:r>
        <w:rPr>
          <w:spacing w:val="-1"/>
        </w:rPr>
        <w:t> </w:t>
      </w:r>
      <w:r>
        <w:rPr/>
        <w:t>and</w:t>
      </w:r>
      <w:r>
        <w:rPr>
          <w:spacing w:val="-1"/>
        </w:rPr>
        <w:t> </w:t>
      </w:r>
      <w:r>
        <w:rPr/>
        <w:t>are</w:t>
      </w:r>
      <w:r>
        <w:rPr>
          <w:spacing w:val="-1"/>
        </w:rPr>
        <w:t> </w:t>
      </w:r>
      <w:r>
        <w:rPr/>
        <w:t>held</w:t>
      </w:r>
      <w:r>
        <w:rPr>
          <w:spacing w:val="-1"/>
        </w:rPr>
        <w:t> </w:t>
      </w:r>
      <w:r>
        <w:rPr/>
        <w:t>for</w:t>
      </w:r>
      <w:r>
        <w:rPr>
          <w:spacing w:val="-1"/>
        </w:rPr>
        <w:t> </w:t>
      </w:r>
      <w:r>
        <w:rPr/>
        <w:t>investment</w:t>
      </w:r>
      <w:r>
        <w:rPr>
          <w:spacing w:val="-1"/>
        </w:rPr>
        <w:t> </w:t>
      </w:r>
      <w:r>
        <w:rPr/>
        <w:t>purposes</w:t>
      </w:r>
      <w:r>
        <w:rPr>
          <w:spacing w:val="-1"/>
        </w:rPr>
        <w:t> </w:t>
      </w:r>
      <w:r>
        <w:rPr/>
        <w:t>only.</w:t>
      </w:r>
      <w:r>
        <w:rPr>
          <w:spacing w:val="-1"/>
        </w:rPr>
        <w:t> </w:t>
      </w:r>
      <w:r>
        <w:rPr/>
        <w:t>Even</w:t>
      </w:r>
      <w:r>
        <w:rPr>
          <w:spacing w:val="-1"/>
        </w:rPr>
        <w:t> </w:t>
      </w:r>
      <w:r>
        <w:rPr/>
        <w:t>if</w:t>
      </w:r>
      <w:r>
        <w:rPr>
          <w:spacing w:val="-1"/>
        </w:rPr>
        <w:t> </w:t>
      </w:r>
      <w:r>
        <w:rPr/>
        <w:t>a</w:t>
      </w:r>
      <w:r>
        <w:rPr>
          <w:spacing w:val="-1"/>
        </w:rPr>
        <w:t> </w:t>
      </w:r>
      <w:r>
        <w:rPr/>
        <w:t>waiver</w:t>
      </w:r>
      <w:r>
        <w:rPr>
          <w:spacing w:val="-1"/>
        </w:rPr>
        <w:t> </w:t>
      </w:r>
      <w:r>
        <w:rPr/>
        <w:t>is</w:t>
      </w:r>
      <w:r>
        <w:rPr>
          <w:spacing w:val="-1"/>
        </w:rPr>
        <w:t> </w:t>
      </w:r>
      <w:r>
        <w:rPr/>
        <w:t>granted,</w:t>
      </w:r>
      <w:r>
        <w:rPr>
          <w:spacing w:val="-1"/>
        </w:rPr>
        <w:t> </w:t>
      </w:r>
      <w:r>
        <w:rPr/>
        <w:t>an</w:t>
      </w:r>
      <w:r>
        <w:rPr>
          <w:spacing w:val="-1"/>
        </w:rPr>
        <w:t> </w:t>
      </w:r>
      <w:r>
        <w:rPr/>
        <w:t>institutional</w:t>
      </w:r>
      <w:r>
        <w:rPr>
          <w:spacing w:val="-1"/>
        </w:rPr>
        <w:t> </w:t>
      </w:r>
      <w:r>
        <w:rPr/>
        <w:t>investor</w:t>
      </w:r>
      <w:r>
        <w:rPr>
          <w:spacing w:val="-1"/>
        </w:rPr>
        <w:t> </w:t>
      </w:r>
      <w:r>
        <w:rPr/>
        <w:t>generally</w:t>
      </w:r>
      <w:r>
        <w:rPr>
          <w:spacing w:val="-1"/>
        </w:rPr>
        <w:t> </w:t>
      </w:r>
      <w:r>
        <w:rPr/>
        <w:t>may</w:t>
      </w:r>
      <w:r>
        <w:rPr>
          <w:spacing w:val="-1"/>
        </w:rPr>
        <w:t> </w:t>
      </w:r>
      <w:r>
        <w:rPr/>
        <w:t>not</w:t>
      </w:r>
      <w:r>
        <w:rPr>
          <w:spacing w:val="-1"/>
        </w:rPr>
        <w:t> </w:t>
      </w:r>
      <w:r>
        <w:rPr/>
        <w:t>take any</w:t>
      </w:r>
      <w:r>
        <w:rPr>
          <w:spacing w:val="-1"/>
        </w:rPr>
        <w:t> </w:t>
      </w:r>
      <w:r>
        <w:rPr/>
        <w:t>action</w:t>
      </w:r>
      <w:r>
        <w:rPr>
          <w:spacing w:val="-1"/>
        </w:rPr>
        <w:t> </w:t>
      </w:r>
      <w:r>
        <w:rPr/>
        <w:t>inconsistent</w:t>
      </w:r>
      <w:r>
        <w:rPr>
          <w:spacing w:val="-1"/>
        </w:rPr>
        <w:t> </w:t>
      </w:r>
      <w:r>
        <w:rPr/>
        <w:t>with</w:t>
      </w:r>
      <w:r>
        <w:rPr>
          <w:spacing w:val="-1"/>
        </w:rPr>
        <w:t> </w:t>
      </w:r>
      <w:r>
        <w:rPr/>
        <w:t>its</w:t>
      </w:r>
      <w:r>
        <w:rPr>
          <w:spacing w:val="-1"/>
        </w:rPr>
        <w:t> </w:t>
      </w:r>
      <w:r>
        <w:rPr/>
        <w:t>status</w:t>
      </w:r>
      <w:r>
        <w:rPr>
          <w:spacing w:val="-1"/>
        </w:rPr>
        <w:t> </w:t>
      </w:r>
      <w:r>
        <w:rPr/>
        <w:t>when</w:t>
      </w:r>
      <w:r>
        <w:rPr>
          <w:spacing w:val="-1"/>
        </w:rPr>
        <w:t> </w:t>
      </w:r>
      <w:r>
        <w:rPr/>
        <w:t>the</w:t>
      </w:r>
      <w:r>
        <w:rPr>
          <w:spacing w:val="-1"/>
        </w:rPr>
        <w:t> </w:t>
      </w:r>
      <w:r>
        <w:rPr/>
        <w:t>waiver</w:t>
      </w:r>
      <w:r>
        <w:rPr>
          <w:spacing w:val="-1"/>
        </w:rPr>
        <w:t> </w:t>
      </w:r>
      <w:r>
        <w:rPr/>
        <w:t>was</w:t>
      </w:r>
      <w:r>
        <w:rPr>
          <w:spacing w:val="-1"/>
        </w:rPr>
        <w:t> </w:t>
      </w:r>
      <w:r>
        <w:rPr/>
        <w:t>granted</w:t>
      </w:r>
      <w:r>
        <w:rPr>
          <w:spacing w:val="-1"/>
        </w:rPr>
        <w:t> </w:t>
      </w:r>
      <w:r>
        <w:rPr/>
        <w:t>without</w:t>
      </w:r>
      <w:r>
        <w:rPr>
          <w:spacing w:val="-1"/>
        </w:rPr>
        <w:t> </w:t>
      </w:r>
      <w:r>
        <w:rPr/>
        <w:t>once</w:t>
      </w:r>
      <w:r>
        <w:rPr>
          <w:spacing w:val="-1"/>
        </w:rPr>
        <w:t> </w:t>
      </w:r>
      <w:r>
        <w:rPr/>
        <w:t>again</w:t>
      </w:r>
      <w:r>
        <w:rPr>
          <w:spacing w:val="-1"/>
        </w:rPr>
        <w:t> </w:t>
      </w:r>
      <w:r>
        <w:rPr/>
        <w:t>becoming</w:t>
      </w:r>
      <w:r>
        <w:rPr>
          <w:spacing w:val="-1"/>
        </w:rPr>
        <w:t> </w:t>
      </w:r>
      <w:r>
        <w:rPr/>
        <w:t>subject</w:t>
      </w:r>
      <w:r>
        <w:rPr>
          <w:spacing w:val="-1"/>
        </w:rPr>
        <w:t> </w:t>
      </w:r>
      <w:r>
        <w:rPr/>
        <w:t>to</w:t>
      </w:r>
      <w:r>
        <w:rPr>
          <w:spacing w:val="-1"/>
        </w:rPr>
        <w:t> </w:t>
      </w:r>
      <w:r>
        <w:rPr/>
        <w:t>the</w:t>
      </w:r>
      <w:r>
        <w:rPr>
          <w:spacing w:val="-1"/>
        </w:rPr>
        <w:t> </w:t>
      </w:r>
      <w:r>
        <w:rPr/>
        <w:t>foregoing</w:t>
      </w:r>
      <w:r>
        <w:rPr>
          <w:spacing w:val="-1"/>
        </w:rPr>
        <w:t> </w:t>
      </w:r>
      <w:r>
        <w:rPr/>
        <w:t>reporting</w:t>
      </w:r>
      <w:r>
        <w:rPr>
          <w:spacing w:val="-1"/>
        </w:rPr>
        <w:t> </w:t>
      </w:r>
      <w:r>
        <w:rPr/>
        <w:t>and</w:t>
      </w:r>
      <w:r>
        <w:rPr>
          <w:spacing w:val="-1"/>
        </w:rPr>
        <w:t> </w:t>
      </w:r>
      <w:r>
        <w:rPr/>
        <w:t>application</w:t>
      </w:r>
      <w:r>
        <w:rPr>
          <w:spacing w:val="-1"/>
        </w:rPr>
        <w:t> </w:t>
      </w:r>
      <w:r>
        <w:rPr/>
        <w:t>obligations. A</w:t>
      </w:r>
      <w:r>
        <w:rPr>
          <w:spacing w:val="-5"/>
        </w:rPr>
        <w:t> </w:t>
      </w:r>
      <w:r>
        <w:rPr/>
        <w:t>change in the investment intent of an institutional investor must be reported to certain gaming regulators immediately if such investment intent changes.</w:t>
      </w:r>
    </w:p>
    <w:p>
      <w:pPr>
        <w:pStyle w:val="BodyText"/>
        <w:spacing w:before="8"/>
      </w:pPr>
    </w:p>
    <w:p>
      <w:pPr>
        <w:pStyle w:val="BodyText"/>
        <w:spacing w:line="208" w:lineRule="auto"/>
        <w:ind w:left="144" w:right="118" w:firstLine="440"/>
        <w:jc w:val="both"/>
      </w:pPr>
      <w:r>
        <w:rPr/>
        <w:t>Generally, any person who beneficially owns our voting securities and fails or refuses to apply for a finding of suitability or qualification within the time prescribed by applicable law after being ordered to do so, or who refuses or fails to cooperate with any regulatory investigation or fails to pay the investigative costs incurred in connection with investigation of its application, may be found unsuitable or not qualified.</w:t>
      </w:r>
      <w:r>
        <w:rPr>
          <w:spacing w:val="-3"/>
        </w:rPr>
        <w:t> </w:t>
      </w:r>
      <w:r>
        <w:rPr/>
        <w:t>The same restrictions apply to a record owner if </w:t>
      </w:r>
      <w:r>
        <w:rPr/>
        <w:t>the record owner, after request, fails to identify the beneficial owner. Any security holder found unsuitable and who holds, directly or indirectly, any beneficial ownership of our common stock beyond such period of time as may be prescribed by the applicable gaming regulators may be guilty of a criminal offense.</w:t>
      </w:r>
      <w:r>
        <w:rPr>
          <w:spacing w:val="-2"/>
        </w:rPr>
        <w:t> </w:t>
      </w:r>
      <w:r>
        <w:rPr/>
        <w:t>We will be subject to disciplinary action if, after we receive notice that a person is unsuitable to be a shareholder or to have any other relationship with us or any of our subsidiaries, we or any of our subsidiaries:</w:t>
      </w:r>
    </w:p>
    <w:p>
      <w:pPr>
        <w:pStyle w:val="ListParagraph"/>
        <w:numPr>
          <w:ilvl w:val="1"/>
          <w:numId w:val="61"/>
        </w:numPr>
        <w:tabs>
          <w:tab w:pos="909" w:val="left" w:leader="none"/>
        </w:tabs>
        <w:spacing w:line="240" w:lineRule="auto" w:before="189" w:after="0"/>
        <w:ind w:left="909" w:right="0" w:hanging="324"/>
        <w:jc w:val="left"/>
        <w:rPr>
          <w:sz w:val="18"/>
        </w:rPr>
      </w:pPr>
      <w:r>
        <w:rPr>
          <w:sz w:val="18"/>
        </w:rPr>
        <w:t>pay</w:t>
      </w:r>
      <w:r>
        <w:rPr>
          <w:spacing w:val="-1"/>
          <w:sz w:val="18"/>
        </w:rPr>
        <w:t> </w:t>
      </w:r>
      <w:r>
        <w:rPr>
          <w:sz w:val="18"/>
        </w:rPr>
        <w:t>that</w:t>
      </w:r>
      <w:r>
        <w:rPr>
          <w:spacing w:val="-1"/>
          <w:sz w:val="18"/>
        </w:rPr>
        <w:t> </w:t>
      </w:r>
      <w:r>
        <w:rPr>
          <w:sz w:val="18"/>
        </w:rPr>
        <w:t>person</w:t>
      </w:r>
      <w:r>
        <w:rPr>
          <w:spacing w:val="-1"/>
          <w:sz w:val="18"/>
        </w:rPr>
        <w:t> </w:t>
      </w:r>
      <w:r>
        <w:rPr>
          <w:sz w:val="18"/>
        </w:rPr>
        <w:t>any</w:t>
      </w:r>
      <w:r>
        <w:rPr>
          <w:spacing w:val="-1"/>
          <w:sz w:val="18"/>
        </w:rPr>
        <w:t> </w:t>
      </w:r>
      <w:r>
        <w:rPr>
          <w:sz w:val="18"/>
        </w:rPr>
        <w:t>dividend</w:t>
      </w:r>
      <w:r>
        <w:rPr>
          <w:spacing w:val="-1"/>
          <w:sz w:val="18"/>
        </w:rPr>
        <w:t> </w:t>
      </w:r>
      <w:r>
        <w:rPr>
          <w:sz w:val="18"/>
        </w:rPr>
        <w:t>or</w:t>
      </w:r>
      <w:r>
        <w:rPr>
          <w:spacing w:val="-1"/>
          <w:sz w:val="18"/>
        </w:rPr>
        <w:t> </w:t>
      </w:r>
      <w:r>
        <w:rPr>
          <w:sz w:val="18"/>
        </w:rPr>
        <w:t>interest</w:t>
      </w:r>
      <w:r>
        <w:rPr>
          <w:spacing w:val="-1"/>
          <w:sz w:val="18"/>
        </w:rPr>
        <w:t> </w:t>
      </w:r>
      <w:r>
        <w:rPr>
          <w:sz w:val="18"/>
        </w:rPr>
        <w:t>upon</w:t>
      </w:r>
      <w:r>
        <w:rPr>
          <w:spacing w:val="-1"/>
          <w:sz w:val="18"/>
        </w:rPr>
        <w:t> </w:t>
      </w:r>
      <w:r>
        <w:rPr>
          <w:sz w:val="18"/>
        </w:rPr>
        <w:t>any</w:t>
      </w:r>
      <w:r>
        <w:rPr>
          <w:spacing w:val="-1"/>
          <w:sz w:val="18"/>
        </w:rPr>
        <w:t> </w:t>
      </w:r>
      <w:r>
        <w:rPr>
          <w:sz w:val="18"/>
        </w:rPr>
        <w:t>of</w:t>
      </w:r>
      <w:r>
        <w:rPr>
          <w:spacing w:val="-1"/>
          <w:sz w:val="18"/>
        </w:rPr>
        <w:t> </w:t>
      </w:r>
      <w:r>
        <w:rPr>
          <w:sz w:val="18"/>
        </w:rPr>
        <w:t>our</w:t>
      </w:r>
      <w:r>
        <w:rPr>
          <w:spacing w:val="-1"/>
          <w:sz w:val="18"/>
        </w:rPr>
        <w:t> </w:t>
      </w:r>
      <w:r>
        <w:rPr>
          <w:sz w:val="18"/>
        </w:rPr>
        <w:t>voting</w:t>
      </w:r>
      <w:r>
        <w:rPr>
          <w:spacing w:val="-1"/>
          <w:sz w:val="18"/>
        </w:rPr>
        <w:t> </w:t>
      </w:r>
      <w:r>
        <w:rPr>
          <w:spacing w:val="-2"/>
          <w:sz w:val="18"/>
        </w:rPr>
        <w:t>securities;</w:t>
      </w:r>
    </w:p>
    <w:p>
      <w:pPr>
        <w:pStyle w:val="ListParagraph"/>
        <w:numPr>
          <w:ilvl w:val="1"/>
          <w:numId w:val="61"/>
        </w:numPr>
        <w:tabs>
          <w:tab w:pos="909" w:val="left" w:leader="none"/>
        </w:tabs>
        <w:spacing w:line="240" w:lineRule="auto" w:before="198" w:after="0"/>
        <w:ind w:left="909" w:right="0" w:hanging="324"/>
        <w:jc w:val="left"/>
        <w:rPr>
          <w:sz w:val="18"/>
        </w:rPr>
      </w:pPr>
      <w:r>
        <w:rPr>
          <w:sz w:val="18"/>
        </w:rPr>
        <w:t>allow</w:t>
      </w:r>
      <w:r>
        <w:rPr>
          <w:spacing w:val="-4"/>
          <w:sz w:val="18"/>
        </w:rPr>
        <w:t> </w:t>
      </w:r>
      <w:r>
        <w:rPr>
          <w:sz w:val="18"/>
        </w:rPr>
        <w:t>that</w:t>
      </w:r>
      <w:r>
        <w:rPr>
          <w:spacing w:val="-2"/>
          <w:sz w:val="18"/>
        </w:rPr>
        <w:t> </w:t>
      </w:r>
      <w:r>
        <w:rPr>
          <w:sz w:val="18"/>
        </w:rPr>
        <w:t>person</w:t>
      </w:r>
      <w:r>
        <w:rPr>
          <w:spacing w:val="-2"/>
          <w:sz w:val="18"/>
        </w:rPr>
        <w:t> </w:t>
      </w:r>
      <w:r>
        <w:rPr>
          <w:sz w:val="18"/>
        </w:rPr>
        <w:t>to</w:t>
      </w:r>
      <w:r>
        <w:rPr>
          <w:spacing w:val="-1"/>
          <w:sz w:val="18"/>
        </w:rPr>
        <w:t> </w:t>
      </w:r>
      <w:r>
        <w:rPr>
          <w:sz w:val="18"/>
        </w:rPr>
        <w:t>exercise,</w:t>
      </w:r>
      <w:r>
        <w:rPr>
          <w:spacing w:val="-2"/>
          <w:sz w:val="18"/>
        </w:rPr>
        <w:t> </w:t>
      </w:r>
      <w:r>
        <w:rPr>
          <w:sz w:val="18"/>
        </w:rPr>
        <w:t>directly</w:t>
      </w:r>
      <w:r>
        <w:rPr>
          <w:spacing w:val="-2"/>
          <w:sz w:val="18"/>
        </w:rPr>
        <w:t> </w:t>
      </w:r>
      <w:r>
        <w:rPr>
          <w:sz w:val="18"/>
        </w:rPr>
        <w:t>or</w:t>
      </w:r>
      <w:r>
        <w:rPr>
          <w:spacing w:val="-1"/>
          <w:sz w:val="18"/>
        </w:rPr>
        <w:t> </w:t>
      </w:r>
      <w:r>
        <w:rPr>
          <w:sz w:val="18"/>
        </w:rPr>
        <w:t>indirectly,</w:t>
      </w:r>
      <w:r>
        <w:rPr>
          <w:spacing w:val="-2"/>
          <w:sz w:val="18"/>
        </w:rPr>
        <w:t> </w:t>
      </w:r>
      <w:r>
        <w:rPr>
          <w:sz w:val="18"/>
        </w:rPr>
        <w:t>any</w:t>
      </w:r>
      <w:r>
        <w:rPr>
          <w:spacing w:val="-2"/>
          <w:sz w:val="18"/>
        </w:rPr>
        <w:t> </w:t>
      </w:r>
      <w:r>
        <w:rPr>
          <w:sz w:val="18"/>
        </w:rPr>
        <w:t>voting</w:t>
      </w:r>
      <w:r>
        <w:rPr>
          <w:spacing w:val="-2"/>
          <w:sz w:val="18"/>
        </w:rPr>
        <w:t> </w:t>
      </w:r>
      <w:r>
        <w:rPr>
          <w:sz w:val="18"/>
        </w:rPr>
        <w:t>right</w:t>
      </w:r>
      <w:r>
        <w:rPr>
          <w:spacing w:val="-1"/>
          <w:sz w:val="18"/>
        </w:rPr>
        <w:t> </w:t>
      </w:r>
      <w:r>
        <w:rPr>
          <w:sz w:val="18"/>
        </w:rPr>
        <w:t>conferred</w:t>
      </w:r>
      <w:r>
        <w:rPr>
          <w:spacing w:val="-2"/>
          <w:sz w:val="18"/>
        </w:rPr>
        <w:t> </w:t>
      </w:r>
      <w:r>
        <w:rPr>
          <w:sz w:val="18"/>
        </w:rPr>
        <w:t>through</w:t>
      </w:r>
      <w:r>
        <w:rPr>
          <w:spacing w:val="-2"/>
          <w:sz w:val="18"/>
        </w:rPr>
        <w:t> </w:t>
      </w:r>
      <w:r>
        <w:rPr>
          <w:sz w:val="18"/>
        </w:rPr>
        <w:t>securities</w:t>
      </w:r>
      <w:r>
        <w:rPr>
          <w:spacing w:val="-1"/>
          <w:sz w:val="18"/>
        </w:rPr>
        <w:t> </w:t>
      </w:r>
      <w:r>
        <w:rPr>
          <w:sz w:val="18"/>
        </w:rPr>
        <w:t>held</w:t>
      </w:r>
      <w:r>
        <w:rPr>
          <w:spacing w:val="-2"/>
          <w:sz w:val="18"/>
        </w:rPr>
        <w:t> </w:t>
      </w:r>
      <w:r>
        <w:rPr>
          <w:sz w:val="18"/>
        </w:rPr>
        <w:t>by</w:t>
      </w:r>
      <w:r>
        <w:rPr>
          <w:spacing w:val="-2"/>
          <w:sz w:val="18"/>
        </w:rPr>
        <w:t> </w:t>
      </w:r>
      <w:r>
        <w:rPr>
          <w:sz w:val="18"/>
        </w:rPr>
        <w:t>that</w:t>
      </w:r>
      <w:r>
        <w:rPr>
          <w:spacing w:val="-1"/>
          <w:sz w:val="18"/>
        </w:rPr>
        <w:t> </w:t>
      </w:r>
      <w:r>
        <w:rPr>
          <w:spacing w:val="-2"/>
          <w:sz w:val="18"/>
        </w:rPr>
        <w:t>person;</w:t>
      </w:r>
    </w:p>
    <w:p>
      <w:pPr>
        <w:pStyle w:val="ListParagraph"/>
        <w:numPr>
          <w:ilvl w:val="1"/>
          <w:numId w:val="61"/>
        </w:numPr>
        <w:tabs>
          <w:tab w:pos="909" w:val="left" w:leader="none"/>
        </w:tabs>
        <w:spacing w:line="240" w:lineRule="auto" w:before="184" w:after="0"/>
        <w:ind w:left="909" w:right="0" w:hanging="324"/>
        <w:jc w:val="left"/>
        <w:rPr>
          <w:sz w:val="18"/>
        </w:rPr>
      </w:pPr>
      <w:r>
        <w:rPr>
          <w:sz w:val="18"/>
        </w:rPr>
        <w:t>pay</w:t>
      </w:r>
      <w:r>
        <w:rPr>
          <w:spacing w:val="-1"/>
          <w:sz w:val="18"/>
        </w:rPr>
        <w:t> </w:t>
      </w:r>
      <w:r>
        <w:rPr>
          <w:sz w:val="18"/>
        </w:rPr>
        <w:t>remuneration</w:t>
      </w:r>
      <w:r>
        <w:rPr>
          <w:spacing w:val="-1"/>
          <w:sz w:val="18"/>
        </w:rPr>
        <w:t> </w:t>
      </w:r>
      <w:r>
        <w:rPr>
          <w:sz w:val="18"/>
        </w:rPr>
        <w:t>in</w:t>
      </w:r>
      <w:r>
        <w:rPr>
          <w:spacing w:val="-1"/>
          <w:sz w:val="18"/>
        </w:rPr>
        <w:t> </w:t>
      </w:r>
      <w:r>
        <w:rPr>
          <w:sz w:val="18"/>
        </w:rPr>
        <w:t>any</w:t>
      </w:r>
      <w:r>
        <w:rPr>
          <w:spacing w:val="-1"/>
          <w:sz w:val="18"/>
        </w:rPr>
        <w:t> </w:t>
      </w:r>
      <w:r>
        <w:rPr>
          <w:sz w:val="18"/>
        </w:rPr>
        <w:t>form</w:t>
      </w:r>
      <w:r>
        <w:rPr>
          <w:spacing w:val="-1"/>
          <w:sz w:val="18"/>
        </w:rPr>
        <w:t> </w:t>
      </w:r>
      <w:r>
        <w:rPr>
          <w:sz w:val="18"/>
        </w:rPr>
        <w:t>to</w:t>
      </w:r>
      <w:r>
        <w:rPr>
          <w:spacing w:val="-1"/>
          <w:sz w:val="18"/>
        </w:rPr>
        <w:t> </w:t>
      </w:r>
      <w:r>
        <w:rPr>
          <w:sz w:val="18"/>
        </w:rPr>
        <w:t>that</w:t>
      </w:r>
      <w:r>
        <w:rPr>
          <w:spacing w:val="-1"/>
          <w:sz w:val="18"/>
        </w:rPr>
        <w:t> </w:t>
      </w:r>
      <w:r>
        <w:rPr>
          <w:sz w:val="18"/>
        </w:rPr>
        <w:t>person</w:t>
      </w:r>
      <w:r>
        <w:rPr>
          <w:spacing w:val="-1"/>
          <w:sz w:val="18"/>
        </w:rPr>
        <w:t> </w:t>
      </w:r>
      <w:r>
        <w:rPr>
          <w:sz w:val="18"/>
        </w:rPr>
        <w:t>for</w:t>
      </w:r>
      <w:r>
        <w:rPr>
          <w:spacing w:val="-1"/>
          <w:sz w:val="18"/>
        </w:rPr>
        <w:t> </w:t>
      </w:r>
      <w:r>
        <w:rPr>
          <w:sz w:val="18"/>
        </w:rPr>
        <w:t>services</w:t>
      </w:r>
      <w:r>
        <w:rPr>
          <w:spacing w:val="-1"/>
          <w:sz w:val="18"/>
        </w:rPr>
        <w:t> </w:t>
      </w:r>
      <w:r>
        <w:rPr>
          <w:sz w:val="18"/>
        </w:rPr>
        <w:t>rendered</w:t>
      </w:r>
      <w:r>
        <w:rPr>
          <w:spacing w:val="-1"/>
          <w:sz w:val="18"/>
        </w:rPr>
        <w:t> </w:t>
      </w:r>
      <w:r>
        <w:rPr>
          <w:sz w:val="18"/>
        </w:rPr>
        <w:t>or</w:t>
      </w:r>
      <w:r>
        <w:rPr>
          <w:spacing w:val="-1"/>
          <w:sz w:val="18"/>
        </w:rPr>
        <w:t> </w:t>
      </w:r>
      <w:r>
        <w:rPr>
          <w:sz w:val="18"/>
        </w:rPr>
        <w:t>otherwise;</w:t>
      </w:r>
      <w:r>
        <w:rPr>
          <w:spacing w:val="-1"/>
          <w:sz w:val="18"/>
        </w:rPr>
        <w:t> </w:t>
      </w:r>
      <w:r>
        <w:rPr>
          <w:spacing w:val="-5"/>
          <w:sz w:val="18"/>
        </w:rPr>
        <w:t>or</w:t>
      </w:r>
    </w:p>
    <w:p>
      <w:pPr>
        <w:pStyle w:val="ListParagraph"/>
        <w:numPr>
          <w:ilvl w:val="1"/>
          <w:numId w:val="61"/>
        </w:numPr>
        <w:tabs>
          <w:tab w:pos="909" w:val="left" w:leader="none"/>
        </w:tabs>
        <w:spacing w:line="218" w:lineRule="auto" w:before="200" w:after="0"/>
        <w:ind w:left="909" w:right="118" w:hanging="324"/>
        <w:jc w:val="left"/>
        <w:rPr>
          <w:sz w:val="18"/>
        </w:rPr>
      </w:pPr>
      <w:r>
        <w:rPr>
          <w:sz w:val="18"/>
        </w:rPr>
        <w:t>fail</w:t>
      </w:r>
      <w:r>
        <w:rPr>
          <w:spacing w:val="20"/>
          <w:sz w:val="18"/>
        </w:rPr>
        <w:t> </w:t>
      </w:r>
      <w:r>
        <w:rPr>
          <w:sz w:val="18"/>
        </w:rPr>
        <w:t>to</w:t>
      </w:r>
      <w:r>
        <w:rPr>
          <w:spacing w:val="20"/>
          <w:sz w:val="18"/>
        </w:rPr>
        <w:t> </w:t>
      </w:r>
      <w:r>
        <w:rPr>
          <w:sz w:val="18"/>
        </w:rPr>
        <w:t>pursue</w:t>
      </w:r>
      <w:r>
        <w:rPr>
          <w:spacing w:val="20"/>
          <w:sz w:val="18"/>
        </w:rPr>
        <w:t> </w:t>
      </w:r>
      <w:r>
        <w:rPr>
          <w:sz w:val="18"/>
        </w:rPr>
        <w:t>all</w:t>
      </w:r>
      <w:r>
        <w:rPr>
          <w:spacing w:val="20"/>
          <w:sz w:val="18"/>
        </w:rPr>
        <w:t> </w:t>
      </w:r>
      <w:r>
        <w:rPr>
          <w:sz w:val="18"/>
        </w:rPr>
        <w:t>lawful</w:t>
      </w:r>
      <w:r>
        <w:rPr>
          <w:spacing w:val="20"/>
          <w:sz w:val="18"/>
        </w:rPr>
        <w:t> </w:t>
      </w:r>
      <w:r>
        <w:rPr>
          <w:sz w:val="18"/>
        </w:rPr>
        <w:t>efforts</w:t>
      </w:r>
      <w:r>
        <w:rPr>
          <w:spacing w:val="20"/>
          <w:sz w:val="18"/>
        </w:rPr>
        <w:t> </w:t>
      </w:r>
      <w:r>
        <w:rPr>
          <w:sz w:val="18"/>
        </w:rPr>
        <w:t>to</w:t>
      </w:r>
      <w:r>
        <w:rPr>
          <w:spacing w:val="20"/>
          <w:sz w:val="18"/>
        </w:rPr>
        <w:t> </w:t>
      </w:r>
      <w:r>
        <w:rPr>
          <w:sz w:val="18"/>
        </w:rPr>
        <w:t>require</w:t>
      </w:r>
      <w:r>
        <w:rPr>
          <w:spacing w:val="20"/>
          <w:sz w:val="18"/>
        </w:rPr>
        <w:t> </w:t>
      </w:r>
      <w:r>
        <w:rPr>
          <w:sz w:val="18"/>
        </w:rPr>
        <w:t>such</w:t>
      </w:r>
      <w:r>
        <w:rPr>
          <w:spacing w:val="20"/>
          <w:sz w:val="18"/>
        </w:rPr>
        <w:t> </w:t>
      </w:r>
      <w:r>
        <w:rPr>
          <w:sz w:val="18"/>
        </w:rPr>
        <w:t>unsuitable</w:t>
      </w:r>
      <w:r>
        <w:rPr>
          <w:spacing w:val="20"/>
          <w:sz w:val="18"/>
        </w:rPr>
        <w:t> </w:t>
      </w:r>
      <w:r>
        <w:rPr>
          <w:sz w:val="18"/>
        </w:rPr>
        <w:t>person</w:t>
      </w:r>
      <w:r>
        <w:rPr>
          <w:spacing w:val="20"/>
          <w:sz w:val="18"/>
        </w:rPr>
        <w:t> </w:t>
      </w:r>
      <w:r>
        <w:rPr>
          <w:sz w:val="18"/>
        </w:rPr>
        <w:t>to</w:t>
      </w:r>
      <w:r>
        <w:rPr>
          <w:spacing w:val="20"/>
          <w:sz w:val="18"/>
        </w:rPr>
        <w:t> </w:t>
      </w:r>
      <w:r>
        <w:rPr>
          <w:sz w:val="18"/>
        </w:rPr>
        <w:t>relinquish</w:t>
      </w:r>
      <w:r>
        <w:rPr>
          <w:spacing w:val="20"/>
          <w:sz w:val="18"/>
        </w:rPr>
        <w:t> </w:t>
      </w:r>
      <w:r>
        <w:rPr>
          <w:sz w:val="18"/>
        </w:rPr>
        <w:t>his</w:t>
      </w:r>
      <w:r>
        <w:rPr>
          <w:spacing w:val="20"/>
          <w:sz w:val="18"/>
        </w:rPr>
        <w:t> </w:t>
      </w:r>
      <w:r>
        <w:rPr>
          <w:sz w:val="18"/>
        </w:rPr>
        <w:t>or</w:t>
      </w:r>
      <w:r>
        <w:rPr>
          <w:spacing w:val="20"/>
          <w:sz w:val="18"/>
        </w:rPr>
        <w:t> </w:t>
      </w:r>
      <w:r>
        <w:rPr>
          <w:sz w:val="18"/>
        </w:rPr>
        <w:t>her</w:t>
      </w:r>
      <w:r>
        <w:rPr>
          <w:spacing w:val="20"/>
          <w:sz w:val="18"/>
        </w:rPr>
        <w:t> </w:t>
      </w:r>
      <w:r>
        <w:rPr>
          <w:sz w:val="18"/>
        </w:rPr>
        <w:t>voting</w:t>
      </w:r>
      <w:r>
        <w:rPr>
          <w:spacing w:val="20"/>
          <w:sz w:val="18"/>
        </w:rPr>
        <w:t> </w:t>
      </w:r>
      <w:r>
        <w:rPr>
          <w:sz w:val="18"/>
        </w:rPr>
        <w:t>securities</w:t>
      </w:r>
      <w:r>
        <w:rPr>
          <w:spacing w:val="20"/>
          <w:sz w:val="18"/>
        </w:rPr>
        <w:t> </w:t>
      </w:r>
      <w:r>
        <w:rPr>
          <w:sz w:val="18"/>
        </w:rPr>
        <w:t>including</w:t>
      </w:r>
      <w:r>
        <w:rPr>
          <w:spacing w:val="20"/>
          <w:sz w:val="18"/>
        </w:rPr>
        <w:t> </w:t>
      </w:r>
      <w:r>
        <w:rPr>
          <w:sz w:val="18"/>
        </w:rPr>
        <w:t>if</w:t>
      </w:r>
      <w:r>
        <w:rPr>
          <w:spacing w:val="20"/>
          <w:sz w:val="18"/>
        </w:rPr>
        <w:t> </w:t>
      </w:r>
      <w:r>
        <w:rPr>
          <w:sz w:val="18"/>
        </w:rPr>
        <w:t>necessary,</w:t>
      </w:r>
      <w:r>
        <w:rPr>
          <w:spacing w:val="20"/>
          <w:sz w:val="18"/>
        </w:rPr>
        <w:t> </w:t>
      </w:r>
      <w:r>
        <w:rPr>
          <w:sz w:val="18"/>
        </w:rPr>
        <w:t>the</w:t>
      </w:r>
      <w:r>
        <w:rPr>
          <w:spacing w:val="20"/>
          <w:sz w:val="18"/>
        </w:rPr>
        <w:t> </w:t>
      </w:r>
      <w:r>
        <w:rPr>
          <w:sz w:val="18"/>
        </w:rPr>
        <w:t>immediate purchase of the voting securities for cash at fair market value.</w:t>
      </w:r>
    </w:p>
    <w:p>
      <w:pPr>
        <w:pStyle w:val="BodyText"/>
        <w:spacing w:before="5"/>
      </w:pPr>
    </w:p>
    <w:p>
      <w:pPr>
        <w:pStyle w:val="BodyText"/>
        <w:spacing w:line="206" w:lineRule="auto"/>
        <w:ind w:left="144" w:right="118" w:firstLine="440"/>
        <w:jc w:val="both"/>
      </w:pPr>
      <w:r>
        <w:rPr/>
        <w:t>Gaming regulators may, either as required by applicable law or in their discretion, also require the holder of any debt security to file an application, be investigated, and be found suitable or qualified to hold the debt security. In such cases, some jurisdictions permit the holder to seek an institutional </w:t>
      </w:r>
      <w:r>
        <w:rPr/>
        <w:t>investor waiver in accordance with applicable law. If a gaming regulator determines that a person is unsuitable or not qualified to own the debt security, the gaming regulator may, either as required by applicable law or in its discretion, limit the ability of the issuer to pay any dividend, interest, or any other distribution whatsoever to the unsuitable or not qualified person.</w:t>
      </w:r>
    </w:p>
    <w:p>
      <w:pPr>
        <w:pStyle w:val="BodyText"/>
      </w:pPr>
    </w:p>
    <w:p>
      <w:pPr>
        <w:pStyle w:val="BodyText"/>
      </w:pPr>
    </w:p>
    <w:p>
      <w:pPr>
        <w:pStyle w:val="BodyText"/>
      </w:pPr>
    </w:p>
    <w:p>
      <w:pPr>
        <w:pStyle w:val="BodyText"/>
        <w:spacing w:before="41"/>
      </w:pPr>
    </w:p>
    <w:p>
      <w:pPr>
        <w:pStyle w:val="BodyText"/>
        <w:ind w:left="24"/>
        <w:jc w:val="center"/>
      </w:pPr>
      <w:r>
        <w:rPr>
          <w:spacing w:val="-10"/>
        </w:rPr>
        <w:t>3</w:t>
      </w:r>
    </w:p>
    <w:p>
      <w:pPr>
        <w:pStyle w:val="BodyText"/>
        <w:spacing w:before="1"/>
        <w:rPr>
          <w:sz w:val="5"/>
        </w:rPr>
      </w:pPr>
      <w:r>
        <w:rPr/>
        <mc:AlternateContent>
          <mc:Choice Requires="wps">
            <w:drawing>
              <wp:anchor distT="0" distB="0" distL="0" distR="0" allowOverlap="1" layoutInCell="1" locked="0" behindDoc="1" simplePos="0" relativeHeight="487823872">
                <wp:simplePos x="0" y="0"/>
                <wp:positionH relativeFrom="page">
                  <wp:posOffset>231457</wp:posOffset>
                </wp:positionH>
                <wp:positionV relativeFrom="paragraph">
                  <wp:posOffset>52384</wp:posOffset>
                </wp:positionV>
                <wp:extent cx="7312659" cy="17145"/>
                <wp:effectExtent l="0" t="0" r="0" b="0"/>
                <wp:wrapTopAndBottom/>
                <wp:docPr id="1171" name="Group 1171"/>
                <wp:cNvGraphicFramePr>
                  <a:graphicFrameLocks/>
                </wp:cNvGraphicFramePr>
                <a:graphic>
                  <a:graphicData uri="http://schemas.microsoft.com/office/word/2010/wordprocessingGroup">
                    <wpg:wgp>
                      <wpg:cNvPr id="1171" name="Group 1171"/>
                      <wpg:cNvGrpSpPr/>
                      <wpg:grpSpPr>
                        <a:xfrm>
                          <a:off x="0" y="0"/>
                          <a:ext cx="7312659" cy="17145"/>
                          <a:chExt cx="7312659" cy="17145"/>
                        </a:xfrm>
                      </wpg:grpSpPr>
                      <wps:wsp>
                        <wps:cNvPr id="1172" name="Graphic 117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73" name="Graphic 1173"/>
                        <wps:cNvSpPr/>
                        <wps:spPr>
                          <a:xfrm>
                            <a:off x="-12" y="-2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74" name="Graphic 117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124756pt;width:575.8pt;height:1.35pt;mso-position-horizontal-relative:page;mso-position-vertical-relative:paragraph;z-index:-15492608;mso-wrap-distance-left:0;mso-wrap-distance-right:0" id="docshapegroup1169" coordorigin="364,82" coordsize="11516,27">
                <v:rect style="position:absolute;left:364;top:82;width:11516;height:14" id="docshape1170" filled="true" fillcolor="#999999" stroked="false">
                  <v:fill type="solid"/>
                </v:rect>
                <v:shape style="position:absolute;left:364;top:82;width:11516;height:27" id="docshape1171" coordorigin="364,82" coordsize="11516,27" path="m11880,82l11866,96,364,96,364,109,11866,109,11880,109,11880,96,11880,82xe" filled="true" fillcolor="#ededed" stroked="false">
                  <v:path arrowok="t"/>
                  <v:fill type="solid"/>
                </v:shape>
                <v:shape style="position:absolute;left:364;top:82;width:14;height:27" id="docshape1172" coordorigin="364,82" coordsize="14,27" path="m364,109l364,82,378,82,378,96,364,109xe" filled="true" fillcolor="#999999" stroked="false">
                  <v:path arrowok="t"/>
                  <v:fill type="solid"/>
                </v:shape>
                <w10:wrap type="topAndBottom"/>
              </v:group>
            </w:pict>
          </mc:Fallback>
        </mc:AlternateContent>
      </w:r>
    </w:p>
    <w:p>
      <w:pPr>
        <w:spacing w:after="0"/>
        <w:rPr>
          <w:sz w:val="5"/>
        </w:rPr>
        <w:sectPr>
          <w:pgSz w:w="12240" w:h="15840"/>
          <w:pgMar w:top="1440" w:bottom="280" w:left="220" w:right="240"/>
        </w:sectPr>
      </w:pPr>
    </w:p>
    <w:p>
      <w:pPr>
        <w:pStyle w:val="BodyText"/>
        <w:spacing w:line="204" w:lineRule="auto" w:before="104"/>
        <w:ind w:left="144" w:right="118" w:firstLine="440"/>
        <w:jc w:val="both"/>
      </w:pPr>
      <w:r>
        <w:rPr/>
        <mc:AlternateContent>
          <mc:Choice Requires="wps">
            <w:drawing>
              <wp:anchor distT="0" distB="0" distL="0" distR="0" allowOverlap="1" layoutInCell="1" locked="0" behindDoc="1" simplePos="0" relativeHeight="477865984">
                <wp:simplePos x="0" y="0"/>
                <wp:positionH relativeFrom="page">
                  <wp:posOffset>231444</wp:posOffset>
                </wp:positionH>
                <wp:positionV relativeFrom="paragraph">
                  <wp:posOffset>165759</wp:posOffset>
                </wp:positionV>
                <wp:extent cx="7312659" cy="240029"/>
                <wp:effectExtent l="0" t="0" r="0" b="0"/>
                <wp:wrapNone/>
                <wp:docPr id="1175" name="Graphic 1175"/>
                <wp:cNvGraphicFramePr>
                  <a:graphicFrameLocks/>
                </wp:cNvGraphicFramePr>
                <a:graphic>
                  <a:graphicData uri="http://schemas.microsoft.com/office/word/2010/wordprocessingShape">
                    <wps:wsp>
                      <wps:cNvPr id="1175" name="Graphic 1175"/>
                      <wps:cNvSpPr/>
                      <wps:spPr>
                        <a:xfrm>
                          <a:off x="0" y="0"/>
                          <a:ext cx="7312659" cy="240029"/>
                        </a:xfrm>
                        <a:custGeom>
                          <a:avLst/>
                          <a:gdLst/>
                          <a:ahLst/>
                          <a:cxnLst/>
                          <a:rect l="l" t="t" r="r" b="b"/>
                          <a:pathLst>
                            <a:path w="7312659" h="240029">
                              <a:moveTo>
                                <a:pt x="7312342" y="0"/>
                              </a:moveTo>
                              <a:lnTo>
                                <a:pt x="0" y="0"/>
                              </a:lnTo>
                              <a:lnTo>
                                <a:pt x="0" y="111442"/>
                              </a:lnTo>
                              <a:lnTo>
                                <a:pt x="0" y="128587"/>
                              </a:lnTo>
                              <a:lnTo>
                                <a:pt x="0" y="240030"/>
                              </a:lnTo>
                              <a:lnTo>
                                <a:pt x="437197" y="240030"/>
                              </a:lnTo>
                              <a:lnTo>
                                <a:pt x="437197" y="128587"/>
                              </a:lnTo>
                              <a:lnTo>
                                <a:pt x="7312342" y="128587"/>
                              </a:lnTo>
                              <a:lnTo>
                                <a:pt x="731234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8.224001pt;margin-top:13.051967pt;width:575.8pt;height:18.9pt;mso-position-horizontal-relative:page;mso-position-vertical-relative:paragraph;z-index:-25450496" id="docshape1173" coordorigin="364,261" coordsize="11516,378" path="m11880,261l364,261,364,437,364,464,364,639,1053,639,1053,464,11880,464,11880,261xe" filled="true" fillcolor="#ffffff" stroked="false">
                <v:path arrowok="t"/>
                <v:fill type="solid"/>
                <w10:wrap type="none"/>
              </v:shape>
            </w:pict>
          </mc:Fallback>
        </mc:AlternateContent>
      </w:r>
      <w:r>
        <w:rPr/>
        <w:t>Many jurisdictions also require that manufacturers and distributors of gaming equipment and suppliers of certain goods and services to gaming industry participants be registered or licensed and require us to purchase and lease gaming equipment, supplies and services only from properly registered or licensed </w:t>
      </w:r>
      <w:r>
        <w:rPr>
          <w:spacing w:val="-2"/>
        </w:rPr>
        <w:t>suppliers.</w:t>
      </w:r>
    </w:p>
    <w:p>
      <w:pPr>
        <w:pStyle w:val="BodyText"/>
        <w:spacing w:before="20"/>
      </w:pPr>
    </w:p>
    <w:p>
      <w:pPr>
        <w:pStyle w:val="BodyText"/>
        <w:spacing w:line="206" w:lineRule="auto"/>
        <w:ind w:left="144" w:right="118" w:firstLine="440"/>
        <w:jc w:val="both"/>
      </w:pPr>
      <w:r>
        <w:rPr/>
        <w:t>Additionally, the ability of a lender to foreclose on pledged assets, including gaming equipment, is subject to compliance with applicable gaming </w:t>
      </w:r>
      <w:r>
        <w:rPr/>
        <w:t>laws. For example, under New Jersey gaming laws, generally, no person is permitted to hold an ownership interest in or manage a casino or own any gaming assets, including gaming devices, without being licensed. Consequently, any lender who desires to enforce a security interest must file the necessary applications for licensure,</w:t>
      </w:r>
      <w:r>
        <w:rPr>
          <w:spacing w:val="-2"/>
        </w:rPr>
        <w:t> </w:t>
      </w:r>
      <w:r>
        <w:rPr/>
        <w:t>be</w:t>
      </w:r>
      <w:r>
        <w:rPr>
          <w:spacing w:val="-2"/>
        </w:rPr>
        <w:t> </w:t>
      </w:r>
      <w:r>
        <w:rPr/>
        <w:t>investigated,</w:t>
      </w:r>
      <w:r>
        <w:rPr>
          <w:spacing w:val="-2"/>
        </w:rPr>
        <w:t> </w:t>
      </w:r>
      <w:r>
        <w:rPr/>
        <w:t>and</w:t>
      </w:r>
      <w:r>
        <w:rPr>
          <w:spacing w:val="-2"/>
        </w:rPr>
        <w:t> </w:t>
      </w:r>
      <w:r>
        <w:rPr/>
        <w:t>either</w:t>
      </w:r>
      <w:r>
        <w:rPr>
          <w:spacing w:val="-2"/>
        </w:rPr>
        <w:t> </w:t>
      </w:r>
      <w:r>
        <w:rPr/>
        <w:t>be</w:t>
      </w:r>
      <w:r>
        <w:rPr>
          <w:spacing w:val="-2"/>
        </w:rPr>
        <w:t> </w:t>
      </w:r>
      <w:r>
        <w:rPr/>
        <w:t>found</w:t>
      </w:r>
      <w:r>
        <w:rPr>
          <w:spacing w:val="-2"/>
        </w:rPr>
        <w:t> </w:t>
      </w:r>
      <w:r>
        <w:rPr/>
        <w:t>qualified</w:t>
      </w:r>
      <w:r>
        <w:rPr>
          <w:spacing w:val="-2"/>
        </w:rPr>
        <w:t> </w:t>
      </w:r>
      <w:r>
        <w:rPr/>
        <w:t>by</w:t>
      </w:r>
      <w:r>
        <w:rPr>
          <w:spacing w:val="-2"/>
        </w:rPr>
        <w:t> </w:t>
      </w:r>
      <w:r>
        <w:rPr/>
        <w:t>the</w:t>
      </w:r>
      <w:r>
        <w:rPr>
          <w:spacing w:val="-2"/>
        </w:rPr>
        <w:t> </w:t>
      </w:r>
      <w:r>
        <w:rPr/>
        <w:t>NJCCC</w:t>
      </w:r>
      <w:r>
        <w:rPr>
          <w:spacing w:val="-2"/>
        </w:rPr>
        <w:t> </w:t>
      </w:r>
      <w:r>
        <w:rPr/>
        <w:t>or</w:t>
      </w:r>
      <w:r>
        <w:rPr>
          <w:spacing w:val="-2"/>
        </w:rPr>
        <w:t> </w:t>
      </w:r>
      <w:r>
        <w:rPr/>
        <w:t>obtain</w:t>
      </w:r>
      <w:r>
        <w:rPr>
          <w:spacing w:val="-2"/>
        </w:rPr>
        <w:t> </w:t>
      </w:r>
      <w:r>
        <w:rPr/>
        <w:t>interim</w:t>
      </w:r>
      <w:r>
        <w:rPr>
          <w:spacing w:val="-2"/>
        </w:rPr>
        <w:t> </w:t>
      </w:r>
      <w:r>
        <w:rPr/>
        <w:t>casino</w:t>
      </w:r>
      <w:r>
        <w:rPr>
          <w:spacing w:val="-2"/>
        </w:rPr>
        <w:t> </w:t>
      </w:r>
      <w:r>
        <w:rPr/>
        <w:t>authorization</w:t>
      </w:r>
      <w:r>
        <w:rPr>
          <w:spacing w:val="-2"/>
        </w:rPr>
        <w:t> </w:t>
      </w:r>
      <w:r>
        <w:rPr/>
        <w:t>(“ICA”)</w:t>
      </w:r>
      <w:r>
        <w:rPr>
          <w:spacing w:val="-2"/>
        </w:rPr>
        <w:t> </w:t>
      </w:r>
      <w:r>
        <w:rPr/>
        <w:t>prior</w:t>
      </w:r>
      <w:r>
        <w:rPr>
          <w:spacing w:val="-2"/>
        </w:rPr>
        <w:t> </w:t>
      </w:r>
      <w:r>
        <w:rPr/>
        <w:t>to</w:t>
      </w:r>
      <w:r>
        <w:rPr>
          <w:spacing w:val="-2"/>
        </w:rPr>
        <w:t> </w:t>
      </w:r>
      <w:r>
        <w:rPr/>
        <w:t>obtaining</w:t>
      </w:r>
      <w:r>
        <w:rPr>
          <w:spacing w:val="-2"/>
        </w:rPr>
        <w:t> </w:t>
      </w:r>
      <w:r>
        <w:rPr/>
        <w:t>any</w:t>
      </w:r>
      <w:r>
        <w:rPr>
          <w:spacing w:val="-2"/>
        </w:rPr>
        <w:t> </w:t>
      </w:r>
      <w:r>
        <w:rPr/>
        <w:t>ownership</w:t>
      </w:r>
      <w:r>
        <w:rPr>
          <w:spacing w:val="-2"/>
        </w:rPr>
        <w:t> </w:t>
      </w:r>
      <w:r>
        <w:rPr/>
        <w:t>interest. Similarly, any prospective purchaser of an ownership interest in a casino or of gaming assets must file the necessary applications for licensure, be investigated, and either found qualified by the NJCCC or obtain ICA</w:t>
      </w:r>
      <w:r>
        <w:rPr>
          <w:spacing w:val="-3"/>
        </w:rPr>
        <w:t> </w:t>
      </w:r>
      <w:r>
        <w:rPr/>
        <w:t>prior to obtaining any ownership interest or gaming assets.</w:t>
      </w:r>
    </w:p>
    <w:p>
      <w:pPr>
        <w:spacing w:before="204"/>
        <w:ind w:left="144" w:right="0" w:firstLine="0"/>
        <w:jc w:val="left"/>
        <w:rPr>
          <w:i/>
          <w:sz w:val="18"/>
        </w:rPr>
      </w:pPr>
      <w:r>
        <w:rPr>
          <w:i/>
          <w:sz w:val="18"/>
        </w:rPr>
        <w:t>Violations</w:t>
      </w:r>
      <w:r>
        <w:rPr>
          <w:i/>
          <w:spacing w:val="-6"/>
          <w:sz w:val="18"/>
        </w:rPr>
        <w:t> </w:t>
      </w:r>
      <w:r>
        <w:rPr>
          <w:i/>
          <w:sz w:val="18"/>
        </w:rPr>
        <w:t>of</w:t>
      </w:r>
      <w:r>
        <w:rPr>
          <w:i/>
          <w:spacing w:val="-6"/>
          <w:sz w:val="18"/>
        </w:rPr>
        <w:t> </w:t>
      </w:r>
      <w:r>
        <w:rPr>
          <w:i/>
          <w:sz w:val="18"/>
        </w:rPr>
        <w:t>Gaming</w:t>
      </w:r>
      <w:r>
        <w:rPr>
          <w:i/>
          <w:spacing w:val="-5"/>
          <w:sz w:val="18"/>
        </w:rPr>
        <w:t> </w:t>
      </w:r>
      <w:r>
        <w:rPr>
          <w:i/>
          <w:spacing w:val="-4"/>
          <w:sz w:val="18"/>
        </w:rPr>
        <w:t>Laws</w:t>
      </w:r>
    </w:p>
    <w:p>
      <w:pPr>
        <w:pStyle w:val="BodyText"/>
        <w:spacing w:line="208" w:lineRule="auto" w:before="166"/>
        <w:ind w:left="144" w:right="118" w:firstLine="440"/>
        <w:jc w:val="both"/>
      </w:pPr>
      <w:r>
        <w:rPr/>
        <w:t>If we or our subsidiaries violate applicable gaming laws or regulations, our gaming licenses could be limited, conditioned, suspended or revoked by gaming regulators, and we and any other persons involved could be subject to substantial fines. Additionally, a trustee, conservator or other person can be appointed by gaming regulators to operate our gaming properties, or in some jurisdictions, take title to our gaming assets in the jurisdiction, and under certain circumstances, earnings generated during such appointment could be forfeited to the applicable jurisdictions, or even sell the gaming assets if the </w:t>
      </w:r>
      <w:r>
        <w:rPr/>
        <w:t>gaming license for that property is revoked or not renewed. Violations of gaming laws or regulations in one jurisdiction could result in disciplinary action in other jurisdictions.</w:t>
      </w:r>
      <w:r>
        <w:rPr>
          <w:spacing w:val="-1"/>
        </w:rPr>
        <w:t> </w:t>
      </w:r>
      <w:r>
        <w:rPr/>
        <w:t>As a result, violations by us of applicable gaming laws or regulations could have a material adverse effect on our financial condition, prospects and results of operations.</w:t>
      </w:r>
    </w:p>
    <w:p>
      <w:pPr>
        <w:spacing w:before="162"/>
        <w:ind w:left="144" w:right="0" w:firstLine="0"/>
        <w:jc w:val="left"/>
        <w:rPr>
          <w:i/>
          <w:sz w:val="18"/>
        </w:rPr>
      </w:pPr>
      <w:r>
        <w:rPr>
          <w:i/>
          <w:sz w:val="18"/>
        </w:rPr>
        <w:t>Reporting</w:t>
      </w:r>
      <w:r>
        <w:rPr>
          <w:i/>
          <w:spacing w:val="-4"/>
          <w:sz w:val="18"/>
        </w:rPr>
        <w:t> </w:t>
      </w:r>
      <w:r>
        <w:rPr>
          <w:i/>
          <w:sz w:val="18"/>
        </w:rPr>
        <w:t>and</w:t>
      </w:r>
      <w:r>
        <w:rPr>
          <w:i/>
          <w:spacing w:val="-3"/>
          <w:sz w:val="18"/>
        </w:rPr>
        <w:t> </w:t>
      </w:r>
      <w:r>
        <w:rPr>
          <w:i/>
          <w:sz w:val="18"/>
        </w:rPr>
        <w:t>Recordkeeping</w:t>
      </w:r>
      <w:r>
        <w:rPr>
          <w:i/>
          <w:spacing w:val="-3"/>
          <w:sz w:val="18"/>
        </w:rPr>
        <w:t> </w:t>
      </w:r>
      <w:r>
        <w:rPr>
          <w:i/>
          <w:spacing w:val="-2"/>
          <w:sz w:val="18"/>
        </w:rPr>
        <w:t>Requirements</w:t>
      </w:r>
    </w:p>
    <w:p>
      <w:pPr>
        <w:pStyle w:val="BodyText"/>
        <w:spacing w:line="208" w:lineRule="auto" w:before="207"/>
        <w:ind w:left="144" w:right="118" w:firstLine="440"/>
        <w:jc w:val="both"/>
      </w:pPr>
      <w:r>
        <w:rPr/>
        <w:t>We are required periodically to submit detailed financial and operating reports and furnish any other information about us and our subsidiaries which gaming regulators may require. In some jurisdictions, regulators have authority to compel the production of documents or inspect records maintained on the premises of the casino. Under federal law, we are required to record and submit detailed reports of currency transactions involving greater than $10,000 at our casinos and Suspicious</w:t>
      </w:r>
      <w:r>
        <w:rPr>
          <w:spacing w:val="-5"/>
        </w:rPr>
        <w:t> </w:t>
      </w:r>
      <w:r>
        <w:rPr/>
        <w:t>Activity Reports if the facts presented so warrant. Some jurisdictions also require the maintenance of a log that records aggregate cash transactions in particular amounts. We are required to maintain a current stock ledger which may be examined by gaming regulators at any time. We may also be required to disclose to gaming regulators upon request the identities of the holders of our equity, debt or other securities. If any securities are held in trust by an agent or by a nominee, the record holder may be required to disclose the identity of the beneficial owner to gaming regulators. Failure to make such disclosure may be grounds for finding the record holder unsuitable. Gaming regulators may also require certificates for our stock or that of one or more of </w:t>
      </w:r>
      <w:r>
        <w:rPr/>
        <w:t>our subsidiaries</w:t>
      </w:r>
      <w:r>
        <w:rPr>
          <w:spacing w:val="-2"/>
        </w:rPr>
        <w:t> </w:t>
      </w:r>
      <w:r>
        <w:rPr/>
        <w:t>to</w:t>
      </w:r>
      <w:r>
        <w:rPr>
          <w:spacing w:val="-2"/>
        </w:rPr>
        <w:t> </w:t>
      </w:r>
      <w:r>
        <w:rPr/>
        <w:t>bear</w:t>
      </w:r>
      <w:r>
        <w:rPr>
          <w:spacing w:val="-2"/>
        </w:rPr>
        <w:t> </w:t>
      </w:r>
      <w:r>
        <w:rPr/>
        <w:t>a</w:t>
      </w:r>
      <w:r>
        <w:rPr>
          <w:spacing w:val="-2"/>
        </w:rPr>
        <w:t> </w:t>
      </w:r>
      <w:r>
        <w:rPr/>
        <w:t>legend</w:t>
      </w:r>
      <w:r>
        <w:rPr>
          <w:spacing w:val="-2"/>
        </w:rPr>
        <w:t> </w:t>
      </w:r>
      <w:r>
        <w:rPr/>
        <w:t>indicating</w:t>
      </w:r>
      <w:r>
        <w:rPr>
          <w:spacing w:val="-2"/>
        </w:rPr>
        <w:t> </w:t>
      </w:r>
      <w:r>
        <w:rPr/>
        <w:t>that</w:t>
      </w:r>
      <w:r>
        <w:rPr>
          <w:spacing w:val="-2"/>
        </w:rPr>
        <w:t> </w:t>
      </w:r>
      <w:r>
        <w:rPr/>
        <w:t>the</w:t>
      </w:r>
      <w:r>
        <w:rPr>
          <w:spacing w:val="-2"/>
        </w:rPr>
        <w:t> </w:t>
      </w:r>
      <w:r>
        <w:rPr/>
        <w:t>securities</w:t>
      </w:r>
      <w:r>
        <w:rPr>
          <w:spacing w:val="-2"/>
        </w:rPr>
        <w:t> </w:t>
      </w:r>
      <w:r>
        <w:rPr/>
        <w:t>are</w:t>
      </w:r>
      <w:r>
        <w:rPr>
          <w:spacing w:val="-2"/>
        </w:rPr>
        <w:t> </w:t>
      </w:r>
      <w:r>
        <w:rPr/>
        <w:t>subject</w:t>
      </w:r>
      <w:r>
        <w:rPr>
          <w:spacing w:val="-2"/>
        </w:rPr>
        <w:t> </w:t>
      </w:r>
      <w:r>
        <w:rPr/>
        <w:t>to</w:t>
      </w:r>
      <w:r>
        <w:rPr>
          <w:spacing w:val="-2"/>
        </w:rPr>
        <w:t> </w:t>
      </w:r>
      <w:r>
        <w:rPr/>
        <w:t>specified</w:t>
      </w:r>
      <w:r>
        <w:rPr>
          <w:spacing w:val="-2"/>
        </w:rPr>
        <w:t> </w:t>
      </w:r>
      <w:r>
        <w:rPr/>
        <w:t>gaming</w:t>
      </w:r>
      <w:r>
        <w:rPr>
          <w:spacing w:val="-2"/>
        </w:rPr>
        <w:t> </w:t>
      </w:r>
      <w:r>
        <w:rPr/>
        <w:t>laws</w:t>
      </w:r>
      <w:r>
        <w:rPr>
          <w:spacing w:val="-2"/>
        </w:rPr>
        <w:t> </w:t>
      </w:r>
      <w:r>
        <w:rPr/>
        <w:t>or</w:t>
      </w:r>
      <w:r>
        <w:rPr>
          <w:spacing w:val="-2"/>
        </w:rPr>
        <w:t> </w:t>
      </w:r>
      <w:r>
        <w:rPr/>
        <w:t>transfer</w:t>
      </w:r>
      <w:r>
        <w:rPr>
          <w:spacing w:val="-2"/>
        </w:rPr>
        <w:t> </w:t>
      </w:r>
      <w:r>
        <w:rPr/>
        <w:t>restrictions.</w:t>
      </w:r>
      <w:r>
        <w:rPr>
          <w:spacing w:val="-2"/>
        </w:rPr>
        <w:t> </w:t>
      </w:r>
      <w:r>
        <w:rPr/>
        <w:t>In</w:t>
      </w:r>
      <w:r>
        <w:rPr>
          <w:spacing w:val="-2"/>
        </w:rPr>
        <w:t> </w:t>
      </w:r>
      <w:r>
        <w:rPr/>
        <w:t>certain</w:t>
      </w:r>
      <w:r>
        <w:rPr>
          <w:spacing w:val="-2"/>
        </w:rPr>
        <w:t> </w:t>
      </w:r>
      <w:r>
        <w:rPr/>
        <w:t>jurisdictions,</w:t>
      </w:r>
      <w:r>
        <w:rPr>
          <w:spacing w:val="-2"/>
        </w:rPr>
        <w:t> </w:t>
      </w:r>
      <w:r>
        <w:rPr/>
        <w:t>gaming</w:t>
      </w:r>
      <w:r>
        <w:rPr>
          <w:spacing w:val="-2"/>
        </w:rPr>
        <w:t> </w:t>
      </w:r>
      <w:r>
        <w:rPr/>
        <w:t>regulators have the power to impose additional restrictions on the holders of our securities at any time.</w:t>
      </w:r>
    </w:p>
    <w:p>
      <w:pPr>
        <w:spacing w:before="162"/>
        <w:ind w:left="144" w:right="0" w:firstLine="0"/>
        <w:jc w:val="left"/>
        <w:rPr>
          <w:i/>
          <w:sz w:val="18"/>
        </w:rPr>
      </w:pPr>
      <w:r>
        <w:rPr>
          <w:i/>
          <w:sz w:val="18"/>
        </w:rPr>
        <w:t>Review</w:t>
      </w:r>
      <w:r>
        <w:rPr>
          <w:i/>
          <w:spacing w:val="-3"/>
          <w:sz w:val="18"/>
        </w:rPr>
        <w:t> </w:t>
      </w:r>
      <w:r>
        <w:rPr>
          <w:i/>
          <w:sz w:val="18"/>
        </w:rPr>
        <w:t>and</w:t>
      </w:r>
      <w:r>
        <w:rPr>
          <w:i/>
          <w:spacing w:val="-6"/>
          <w:sz w:val="18"/>
        </w:rPr>
        <w:t> </w:t>
      </w:r>
      <w:r>
        <w:rPr>
          <w:i/>
          <w:sz w:val="18"/>
        </w:rPr>
        <w:t>Approval</w:t>
      </w:r>
      <w:r>
        <w:rPr>
          <w:i/>
          <w:spacing w:val="-3"/>
          <w:sz w:val="18"/>
        </w:rPr>
        <w:t> </w:t>
      </w:r>
      <w:r>
        <w:rPr>
          <w:i/>
          <w:sz w:val="18"/>
        </w:rPr>
        <w:t>of</w:t>
      </w:r>
      <w:r>
        <w:rPr>
          <w:i/>
          <w:spacing w:val="-2"/>
          <w:sz w:val="18"/>
        </w:rPr>
        <w:t> Transactions</w:t>
      </w:r>
    </w:p>
    <w:p>
      <w:pPr>
        <w:pStyle w:val="BodyText"/>
        <w:spacing w:line="208" w:lineRule="auto" w:before="206"/>
        <w:ind w:left="144" w:right="118" w:firstLine="440"/>
        <w:jc w:val="both"/>
      </w:pPr>
      <w:r>
        <w:rPr/>
        <w:t>Substantially all material loans, leases, sales of securities and similar financing transactions by us and our subsidiaries must be reported to, or </w:t>
      </w:r>
      <w:r>
        <w:rPr/>
        <w:t>approved by, gaming regulators. Neither we nor any of our subsidiaries may make a public offering of securities without the prior approval of certain gaming regulators</w:t>
      </w:r>
      <w:r>
        <w:rPr>
          <w:spacing w:val="40"/>
        </w:rPr>
        <w:t> </w:t>
      </w:r>
      <w:r>
        <w:rPr/>
        <w:t>if the securities or the proceeds therefrom are intended to be used to construct, acquire or finance gaming facilities in such jurisdictions, or to retire or extend obligations incurred for such purposes. Such approval, if given, does not constitute a recommendation or approval of the investment merits of the securities subject to the offering. Changes in control through merger, consolidation, stock or asset acquisitions, management or consulting agreements, or otherwise, require prior approval of gaming regulators in certain jurisdictions. Entities seeking to acquire control of us or one of our subsidiaries must satisfy gaming regulators with respect to a variety of stringent standards prior to assuming control. Gaming regulators may also require controlling stockholders, officers, directors and other persons having a material relationship or involvement with the entity proposing to acquire control to be investigated and licensed as part of the approval process relating to the transaction.</w:t>
      </w:r>
    </w:p>
    <w:p>
      <w:pPr>
        <w:pStyle w:val="BodyText"/>
        <w:spacing w:line="208" w:lineRule="auto" w:before="175"/>
        <w:ind w:left="144" w:right="118" w:firstLine="440"/>
        <w:jc w:val="both"/>
      </w:pPr>
      <w:r>
        <w:rPr/>
        <w:t>Certain gaming laws and regulations in jurisdictions we operate in establish that certain corporate acquisitions opposed by management, repurchases of voting securities and corporate defensive tactics affecting us or our subsidiaries may be injurious to stable and productive corporate gaming, and as a result, prior approval may be required before we may make exceptional repurchases of voting securities (such as repurchases which treat holders differently) above</w:t>
      </w:r>
      <w:r>
        <w:rPr>
          <w:spacing w:val="40"/>
        </w:rPr>
        <w:t> </w:t>
      </w:r>
      <w:r>
        <w:rPr/>
        <w:t>the current market price and before a corporate acquisition opposed by management can be consummated. In certain jurisdictions, the gaming regulators also require prior approval of a plan of recapitalization proposed by the board of directors of a publicly traded corporation which is registered with the gaming authority in response to a tender offer made directly to the registered corporation’s stockholders for the purpose of acquiring control of the registered </w:t>
      </w:r>
      <w:r>
        <w:rPr>
          <w:spacing w:val="-2"/>
        </w:rPr>
        <w:t>corporation.</w:t>
      </w:r>
    </w:p>
    <w:p>
      <w:pPr>
        <w:pStyle w:val="BodyText"/>
        <w:spacing w:line="208" w:lineRule="auto" w:before="184"/>
        <w:ind w:left="144" w:right="118" w:firstLine="440"/>
        <w:jc w:val="both"/>
      </w:pPr>
      <w:r>
        <w:rPr/>
        <w:t>Because licenses under gaming laws are generally not transferable, we may not grant a security interest in our gaming licenses, and our ability to grant </w:t>
      </w:r>
      <w:r>
        <w:rPr/>
        <w:t>a security interest in any of our gaming assets is limited and may be subject to receipt of prior approval from gaming regulators.</w:t>
      </w:r>
      <w:r>
        <w:rPr>
          <w:spacing w:val="-3"/>
        </w:rPr>
        <w:t> </w:t>
      </w:r>
      <w:r>
        <w:rPr/>
        <w:t>A</w:t>
      </w:r>
      <w:r>
        <w:rPr>
          <w:spacing w:val="-3"/>
        </w:rPr>
        <w:t> </w:t>
      </w:r>
      <w:r>
        <w:rPr/>
        <w:t>pledge of the stock or other equity interest in a subsidiary holding a gaming license and the foreclosure of such a pledge may be ineffective without the prior approval of gaming regulators in certain jurisdictions. Moreover, our subsidiaries holding gaming licenses may be unable to guarantee a security issued by an affiliated or parent company pursuant to a public offering, or pledge their assets to secure payment of the obligations evidenced by the security issued by an affiliated or parent company, without the prior approval of certain gaming regulators.</w:t>
      </w:r>
    </w:p>
    <w:p>
      <w:pPr>
        <w:pStyle w:val="BodyText"/>
      </w:pPr>
    </w:p>
    <w:p>
      <w:pPr>
        <w:pStyle w:val="BodyText"/>
      </w:pPr>
    </w:p>
    <w:p>
      <w:pPr>
        <w:pStyle w:val="BodyText"/>
      </w:pPr>
    </w:p>
    <w:p>
      <w:pPr>
        <w:pStyle w:val="BodyText"/>
      </w:pPr>
    </w:p>
    <w:p>
      <w:pPr>
        <w:pStyle w:val="BodyText"/>
        <w:spacing w:before="9"/>
      </w:pPr>
    </w:p>
    <w:p>
      <w:pPr>
        <w:pStyle w:val="BodyText"/>
        <w:ind w:left="24"/>
        <w:jc w:val="center"/>
      </w:pPr>
      <w:r>
        <w:rPr>
          <w:spacing w:val="-10"/>
        </w:rPr>
        <w:t>4</w:t>
      </w:r>
    </w:p>
    <w:p>
      <w:pPr>
        <w:pStyle w:val="BodyText"/>
        <w:spacing w:before="1"/>
        <w:rPr>
          <w:sz w:val="5"/>
        </w:rPr>
      </w:pPr>
      <w:r>
        <w:rPr/>
        <mc:AlternateContent>
          <mc:Choice Requires="wps">
            <w:drawing>
              <wp:anchor distT="0" distB="0" distL="0" distR="0" allowOverlap="1" layoutInCell="1" locked="0" behindDoc="1" simplePos="0" relativeHeight="487824384">
                <wp:simplePos x="0" y="0"/>
                <wp:positionH relativeFrom="page">
                  <wp:posOffset>231457</wp:posOffset>
                </wp:positionH>
                <wp:positionV relativeFrom="paragraph">
                  <wp:posOffset>52384</wp:posOffset>
                </wp:positionV>
                <wp:extent cx="7312659" cy="17145"/>
                <wp:effectExtent l="0" t="0" r="0" b="0"/>
                <wp:wrapTopAndBottom/>
                <wp:docPr id="1176" name="Group 1176"/>
                <wp:cNvGraphicFramePr>
                  <a:graphicFrameLocks/>
                </wp:cNvGraphicFramePr>
                <a:graphic>
                  <a:graphicData uri="http://schemas.microsoft.com/office/word/2010/wordprocessingGroup">
                    <wpg:wgp>
                      <wpg:cNvPr id="1176" name="Group 1176"/>
                      <wpg:cNvGrpSpPr/>
                      <wpg:grpSpPr>
                        <a:xfrm>
                          <a:off x="0" y="0"/>
                          <a:ext cx="7312659" cy="17145"/>
                          <a:chExt cx="7312659" cy="17145"/>
                        </a:xfrm>
                      </wpg:grpSpPr>
                      <wps:wsp>
                        <wps:cNvPr id="1177" name="Graphic 117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78" name="Graphic 1178"/>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79" name="Graphic 117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124756pt;width:575.8pt;height:1.35pt;mso-position-horizontal-relative:page;mso-position-vertical-relative:paragraph;z-index:-15492096;mso-wrap-distance-left:0;mso-wrap-distance-right:0" id="docshapegroup1174" coordorigin="364,82" coordsize="11516,27">
                <v:rect style="position:absolute;left:364;top:82;width:11516;height:14" id="docshape1175" filled="true" fillcolor="#999999" stroked="false">
                  <v:fill type="solid"/>
                </v:rect>
                <v:shape style="position:absolute;left:364;top:82;width:11516;height:27" id="docshape1176" coordorigin="364,82" coordsize="11516,27" path="m11880,82l11866,96,364,96,364,109,11866,109,11880,109,11880,96,11880,82xe" filled="true" fillcolor="#ededed" stroked="false">
                  <v:path arrowok="t"/>
                  <v:fill type="solid"/>
                </v:shape>
                <v:shape style="position:absolute;left:364;top:82;width:14;height:27" id="docshape1177" coordorigin="364,82" coordsize="14,27" path="m364,109l364,82,378,82,378,96,364,109xe" filled="true" fillcolor="#999999" stroked="false">
                  <v:path arrowok="t"/>
                  <v:fill type="solid"/>
                </v:shape>
                <w10:wrap type="topAndBottom"/>
              </v:group>
            </w:pict>
          </mc:Fallback>
        </mc:AlternateContent>
      </w:r>
    </w:p>
    <w:p>
      <w:pPr>
        <w:spacing w:after="0"/>
        <w:rPr>
          <w:sz w:val="5"/>
        </w:rPr>
        <w:sectPr>
          <w:pgSz w:w="12240" w:h="15840"/>
          <w:pgMar w:top="1440" w:bottom="280" w:left="220" w:right="240"/>
        </w:sectPr>
      </w:pPr>
    </w:p>
    <w:p>
      <w:pPr>
        <w:pStyle w:val="BodyText"/>
        <w:spacing w:line="211" w:lineRule="auto" w:before="90"/>
        <w:ind w:left="144" w:right="118" w:firstLine="440"/>
        <w:jc w:val="both"/>
      </w:pPr>
      <w:r>
        <w:rPr/>
        <w:t>Some jurisdictions also require us to file a report or notice with the gaming regulator within a prescribed period of time following certain </w:t>
      </w:r>
      <w:r>
        <w:rPr/>
        <w:t>financial transactions or the transfer or offering of certain securities. Were they to deem it appropriate, certain gaming regulators reserve the right to order such transactions rescinded.</w:t>
      </w:r>
    </w:p>
    <w:p>
      <w:pPr>
        <w:pStyle w:val="BodyText"/>
        <w:spacing w:line="204" w:lineRule="auto" w:before="188"/>
        <w:ind w:left="144" w:right="118" w:firstLine="440"/>
        <w:jc w:val="both"/>
      </w:pPr>
      <w:r>
        <w:rPr/>
        <w:t>Certain jurisdictions require the establishment of a compliance committee with one or more independent members and the implementation of </w:t>
      </w:r>
      <w:r>
        <w:rPr/>
        <w:t>a compliance review and reporting system or plan created for the purpose of monitoring activities related to our continuing qualification. These plans generally require periodic reports to senior management of our company and to our gaming regulators.</w:t>
      </w:r>
    </w:p>
    <w:p>
      <w:pPr>
        <w:pStyle w:val="BodyText"/>
        <w:spacing w:before="162"/>
        <w:ind w:left="64"/>
        <w:jc w:val="center"/>
      </w:pPr>
      <w:r>
        <w:rPr/>
        <w:t>Certain</w:t>
      </w:r>
      <w:r>
        <w:rPr>
          <w:spacing w:val="-1"/>
        </w:rPr>
        <w:t> </w:t>
      </w:r>
      <w:r>
        <w:rPr/>
        <w:t>jurisdictions</w:t>
      </w:r>
      <w:r>
        <w:rPr>
          <w:spacing w:val="-1"/>
        </w:rPr>
        <w:t> </w:t>
      </w:r>
      <w:r>
        <w:rPr/>
        <w:t>require</w:t>
      </w:r>
      <w:r>
        <w:rPr>
          <w:spacing w:val="-1"/>
        </w:rPr>
        <w:t> </w:t>
      </w:r>
      <w:r>
        <w:rPr/>
        <w:t>that</w:t>
      </w:r>
      <w:r>
        <w:rPr>
          <w:spacing w:val="-1"/>
        </w:rPr>
        <w:t> </w:t>
      </w:r>
      <w:r>
        <w:rPr/>
        <w:t>an</w:t>
      </w:r>
      <w:r>
        <w:rPr>
          <w:spacing w:val="-1"/>
        </w:rPr>
        <w:t> </w:t>
      </w:r>
      <w:r>
        <w:rPr/>
        <w:t>independent</w:t>
      </w:r>
      <w:r>
        <w:rPr>
          <w:spacing w:val="-1"/>
        </w:rPr>
        <w:t> </w:t>
      </w:r>
      <w:r>
        <w:rPr/>
        <w:t>audit</w:t>
      </w:r>
      <w:r>
        <w:rPr>
          <w:spacing w:val="-1"/>
        </w:rPr>
        <w:t> </w:t>
      </w:r>
      <w:r>
        <w:rPr/>
        <w:t>committee</w:t>
      </w:r>
      <w:r>
        <w:rPr>
          <w:spacing w:val="-1"/>
        </w:rPr>
        <w:t> </w:t>
      </w:r>
      <w:r>
        <w:rPr/>
        <w:t>oversee</w:t>
      </w:r>
      <w:r>
        <w:rPr>
          <w:spacing w:val="-1"/>
        </w:rPr>
        <w:t> </w:t>
      </w:r>
      <w:r>
        <w:rPr/>
        <w:t>the</w:t>
      </w:r>
      <w:r>
        <w:rPr>
          <w:spacing w:val="-1"/>
        </w:rPr>
        <w:t> </w:t>
      </w:r>
      <w:r>
        <w:rPr/>
        <w:t>functions</w:t>
      </w:r>
      <w:r>
        <w:rPr>
          <w:spacing w:val="-1"/>
        </w:rPr>
        <w:t> </w:t>
      </w:r>
      <w:r>
        <w:rPr/>
        <w:t>of</w:t>
      </w:r>
      <w:r>
        <w:rPr>
          <w:spacing w:val="-1"/>
        </w:rPr>
        <w:t> </w:t>
      </w:r>
      <w:r>
        <w:rPr/>
        <w:t>surveillance</w:t>
      </w:r>
      <w:r>
        <w:rPr>
          <w:spacing w:val="-1"/>
        </w:rPr>
        <w:t> </w:t>
      </w:r>
      <w:r>
        <w:rPr/>
        <w:t>and</w:t>
      </w:r>
      <w:r>
        <w:rPr>
          <w:spacing w:val="-1"/>
        </w:rPr>
        <w:t> </w:t>
      </w:r>
      <w:r>
        <w:rPr/>
        <w:t>internal</w:t>
      </w:r>
      <w:r>
        <w:rPr>
          <w:spacing w:val="-1"/>
        </w:rPr>
        <w:t> </w:t>
      </w:r>
      <w:r>
        <w:rPr/>
        <w:t>audit</w:t>
      </w:r>
      <w:r>
        <w:rPr>
          <w:spacing w:val="-1"/>
        </w:rPr>
        <w:t> </w:t>
      </w:r>
      <w:r>
        <w:rPr/>
        <w:t>departments</w:t>
      </w:r>
      <w:r>
        <w:rPr>
          <w:spacing w:val="-1"/>
        </w:rPr>
        <w:t> </w:t>
      </w:r>
      <w:r>
        <w:rPr/>
        <w:t>at</w:t>
      </w:r>
      <w:r>
        <w:rPr>
          <w:spacing w:val="-1"/>
        </w:rPr>
        <w:t> </w:t>
      </w:r>
      <w:r>
        <w:rPr/>
        <w:t>our</w:t>
      </w:r>
      <w:r>
        <w:rPr>
          <w:spacing w:val="-1"/>
        </w:rPr>
        <w:t> </w:t>
      </w:r>
      <w:r>
        <w:rPr>
          <w:spacing w:val="-2"/>
        </w:rPr>
        <w:t>casinos.</w:t>
      </w:r>
    </w:p>
    <w:p>
      <w:pPr>
        <w:spacing w:before="144"/>
        <w:ind w:left="144" w:right="0" w:firstLine="0"/>
        <w:jc w:val="left"/>
        <w:rPr>
          <w:i/>
          <w:sz w:val="18"/>
        </w:rPr>
      </w:pPr>
      <w:r>
        <w:rPr>
          <w:i/>
          <w:sz w:val="18"/>
        </w:rPr>
        <w:t>License</w:t>
      </w:r>
      <w:r>
        <w:rPr>
          <w:i/>
          <w:spacing w:val="-1"/>
          <w:sz w:val="18"/>
        </w:rPr>
        <w:t> </w:t>
      </w:r>
      <w:r>
        <w:rPr>
          <w:i/>
          <w:sz w:val="18"/>
        </w:rPr>
        <w:t>Fees</w:t>
      </w:r>
      <w:r>
        <w:rPr>
          <w:i/>
          <w:spacing w:val="-1"/>
          <w:sz w:val="18"/>
        </w:rPr>
        <w:t> </w:t>
      </w:r>
      <w:r>
        <w:rPr>
          <w:i/>
          <w:sz w:val="18"/>
        </w:rPr>
        <w:t>and</w:t>
      </w:r>
      <w:r>
        <w:rPr>
          <w:i/>
          <w:spacing w:val="-1"/>
          <w:sz w:val="18"/>
        </w:rPr>
        <w:t> </w:t>
      </w:r>
      <w:r>
        <w:rPr>
          <w:i/>
          <w:sz w:val="18"/>
        </w:rPr>
        <w:t>Gaming</w:t>
      </w:r>
      <w:r>
        <w:rPr>
          <w:i/>
          <w:spacing w:val="-1"/>
          <w:sz w:val="18"/>
        </w:rPr>
        <w:t> </w:t>
      </w:r>
      <w:r>
        <w:rPr>
          <w:i/>
          <w:spacing w:val="-2"/>
          <w:sz w:val="18"/>
        </w:rPr>
        <w:t>Taxes</w:t>
      </w:r>
    </w:p>
    <w:p>
      <w:pPr>
        <w:pStyle w:val="BodyText"/>
        <w:spacing w:line="208" w:lineRule="auto" w:before="179"/>
        <w:ind w:left="144" w:right="118" w:firstLine="440"/>
        <w:jc w:val="both"/>
      </w:pPr>
      <w:r>
        <w:rPr/>
        <w:t>We pay substantial license fees, contributions to responsible gaming programs, and taxes in many jurisdictions, including the counties, cities, and any related agencies, boards, commissions, or authorities, in which our operations are conducted, in connection with our casino gaming operations, computed in various ways depending on the type of gaming or activity involved. Depending upon the particular fee or tax involved, these fees and taxes are payable </w:t>
      </w:r>
      <w:r>
        <w:rPr/>
        <w:t>either daily, monthly, quarterly or annually. License fees and taxes are based upon such factors as:</w:t>
      </w:r>
    </w:p>
    <w:p>
      <w:pPr>
        <w:pStyle w:val="ListParagraph"/>
        <w:numPr>
          <w:ilvl w:val="1"/>
          <w:numId w:val="61"/>
        </w:numPr>
        <w:tabs>
          <w:tab w:pos="827" w:val="left" w:leader="none"/>
        </w:tabs>
        <w:spacing w:line="240" w:lineRule="auto" w:before="163" w:after="0"/>
        <w:ind w:left="827" w:right="0" w:hanging="242"/>
        <w:jc w:val="left"/>
        <w:rPr>
          <w:sz w:val="18"/>
        </w:rPr>
      </w:pPr>
      <w:r>
        <w:rPr>
          <w:sz w:val="18"/>
        </w:rPr>
        <w:t>a</w:t>
      </w:r>
      <w:r>
        <w:rPr>
          <w:spacing w:val="-1"/>
          <w:sz w:val="18"/>
        </w:rPr>
        <w:t> </w:t>
      </w:r>
      <w:r>
        <w:rPr>
          <w:sz w:val="18"/>
        </w:rPr>
        <w:t>percentage</w:t>
      </w:r>
      <w:r>
        <w:rPr>
          <w:spacing w:val="-1"/>
          <w:sz w:val="18"/>
        </w:rPr>
        <w:t> </w:t>
      </w:r>
      <w:r>
        <w:rPr>
          <w:sz w:val="18"/>
        </w:rPr>
        <w:t>of</w:t>
      </w:r>
      <w:r>
        <w:rPr>
          <w:spacing w:val="-1"/>
          <w:sz w:val="18"/>
        </w:rPr>
        <w:t> </w:t>
      </w:r>
      <w:r>
        <w:rPr>
          <w:sz w:val="18"/>
        </w:rPr>
        <w:t>the</w:t>
      </w:r>
      <w:r>
        <w:rPr>
          <w:spacing w:val="-1"/>
          <w:sz w:val="18"/>
        </w:rPr>
        <w:t> </w:t>
      </w:r>
      <w:r>
        <w:rPr>
          <w:sz w:val="18"/>
        </w:rPr>
        <w:t>gross</w:t>
      </w:r>
      <w:r>
        <w:rPr>
          <w:spacing w:val="-1"/>
          <w:sz w:val="18"/>
        </w:rPr>
        <w:t> </w:t>
      </w:r>
      <w:r>
        <w:rPr>
          <w:sz w:val="18"/>
        </w:rPr>
        <w:t>revenues</w:t>
      </w:r>
      <w:r>
        <w:rPr>
          <w:spacing w:val="-1"/>
          <w:sz w:val="18"/>
        </w:rPr>
        <w:t> </w:t>
      </w:r>
      <w:r>
        <w:rPr>
          <w:spacing w:val="-2"/>
          <w:sz w:val="18"/>
        </w:rPr>
        <w:t>received;</w:t>
      </w:r>
    </w:p>
    <w:p>
      <w:pPr>
        <w:pStyle w:val="ListParagraph"/>
        <w:numPr>
          <w:ilvl w:val="1"/>
          <w:numId w:val="61"/>
        </w:numPr>
        <w:tabs>
          <w:tab w:pos="827" w:val="left" w:leader="none"/>
        </w:tabs>
        <w:spacing w:line="240" w:lineRule="auto" w:before="144" w:after="0"/>
        <w:ind w:left="827" w:right="0" w:hanging="242"/>
        <w:jc w:val="left"/>
        <w:rPr>
          <w:sz w:val="18"/>
        </w:rPr>
      </w:pPr>
      <w:r>
        <w:rPr>
          <w:sz w:val="18"/>
        </w:rPr>
        <w:t>the</w:t>
      </w:r>
      <w:r>
        <w:rPr>
          <w:spacing w:val="-1"/>
          <w:sz w:val="18"/>
        </w:rPr>
        <w:t> </w:t>
      </w:r>
      <w:r>
        <w:rPr>
          <w:sz w:val="18"/>
        </w:rPr>
        <w:t>number</w:t>
      </w:r>
      <w:r>
        <w:rPr>
          <w:spacing w:val="-1"/>
          <w:sz w:val="18"/>
        </w:rPr>
        <w:t> </w:t>
      </w:r>
      <w:r>
        <w:rPr>
          <w:sz w:val="18"/>
        </w:rPr>
        <w:t>of</w:t>
      </w:r>
      <w:r>
        <w:rPr>
          <w:spacing w:val="-1"/>
          <w:sz w:val="18"/>
        </w:rPr>
        <w:t> </w:t>
      </w:r>
      <w:r>
        <w:rPr>
          <w:sz w:val="18"/>
        </w:rPr>
        <w:t>gaming</w:t>
      </w:r>
      <w:r>
        <w:rPr>
          <w:spacing w:val="-1"/>
          <w:sz w:val="18"/>
        </w:rPr>
        <w:t> </w:t>
      </w:r>
      <w:r>
        <w:rPr>
          <w:sz w:val="18"/>
        </w:rPr>
        <w:t>devices</w:t>
      </w:r>
      <w:r>
        <w:rPr>
          <w:spacing w:val="-1"/>
          <w:sz w:val="18"/>
        </w:rPr>
        <w:t> </w:t>
      </w:r>
      <w:r>
        <w:rPr>
          <w:sz w:val="18"/>
        </w:rPr>
        <w:t>and</w:t>
      </w:r>
      <w:r>
        <w:rPr>
          <w:spacing w:val="-1"/>
          <w:sz w:val="18"/>
        </w:rPr>
        <w:t> </w:t>
      </w:r>
      <w:r>
        <w:rPr>
          <w:sz w:val="18"/>
        </w:rPr>
        <w:t>table</w:t>
      </w:r>
      <w:r>
        <w:rPr>
          <w:spacing w:val="-1"/>
          <w:sz w:val="18"/>
        </w:rPr>
        <w:t> </w:t>
      </w:r>
      <w:r>
        <w:rPr>
          <w:sz w:val="18"/>
        </w:rPr>
        <w:t>games</w:t>
      </w:r>
      <w:r>
        <w:rPr>
          <w:spacing w:val="-1"/>
          <w:sz w:val="18"/>
        </w:rPr>
        <w:t> </w:t>
      </w:r>
      <w:r>
        <w:rPr>
          <w:sz w:val="18"/>
        </w:rPr>
        <w:t>operated;</w:t>
      </w:r>
      <w:r>
        <w:rPr>
          <w:spacing w:val="-1"/>
          <w:sz w:val="18"/>
        </w:rPr>
        <w:t> </w:t>
      </w:r>
      <w:r>
        <w:rPr>
          <w:spacing w:val="-5"/>
          <w:sz w:val="18"/>
        </w:rPr>
        <w:t>and</w:t>
      </w:r>
    </w:p>
    <w:p>
      <w:pPr>
        <w:pStyle w:val="ListParagraph"/>
        <w:numPr>
          <w:ilvl w:val="1"/>
          <w:numId w:val="61"/>
        </w:numPr>
        <w:tabs>
          <w:tab w:pos="827" w:val="left" w:leader="none"/>
        </w:tabs>
        <w:spacing w:line="240" w:lineRule="auto" w:before="157" w:after="0"/>
        <w:ind w:left="827" w:right="0" w:hanging="242"/>
        <w:jc w:val="left"/>
        <w:rPr>
          <w:sz w:val="18"/>
        </w:rPr>
      </w:pPr>
      <w:r>
        <w:rPr>
          <w:sz w:val="18"/>
        </w:rPr>
        <w:t>the</w:t>
      </w:r>
      <w:r>
        <w:rPr>
          <w:spacing w:val="-1"/>
          <w:sz w:val="18"/>
        </w:rPr>
        <w:t> </w:t>
      </w:r>
      <w:r>
        <w:rPr>
          <w:sz w:val="18"/>
        </w:rPr>
        <w:t>particular</w:t>
      </w:r>
      <w:r>
        <w:rPr>
          <w:spacing w:val="-1"/>
          <w:sz w:val="18"/>
        </w:rPr>
        <w:t> </w:t>
      </w:r>
      <w:r>
        <w:rPr>
          <w:sz w:val="18"/>
        </w:rPr>
        <w:t>county</w:t>
      </w:r>
      <w:r>
        <w:rPr>
          <w:spacing w:val="-1"/>
          <w:sz w:val="18"/>
        </w:rPr>
        <w:t> </w:t>
      </w:r>
      <w:r>
        <w:rPr>
          <w:sz w:val="18"/>
        </w:rPr>
        <w:t>in</w:t>
      </w:r>
      <w:r>
        <w:rPr>
          <w:spacing w:val="-1"/>
          <w:sz w:val="18"/>
        </w:rPr>
        <w:t> </w:t>
      </w:r>
      <w:r>
        <w:rPr>
          <w:sz w:val="18"/>
        </w:rPr>
        <w:t>which</w:t>
      </w:r>
      <w:r>
        <w:rPr>
          <w:spacing w:val="-1"/>
          <w:sz w:val="18"/>
        </w:rPr>
        <w:t> </w:t>
      </w:r>
      <w:r>
        <w:rPr>
          <w:sz w:val="18"/>
        </w:rPr>
        <w:t>the</w:t>
      </w:r>
      <w:r>
        <w:rPr>
          <w:spacing w:val="-1"/>
          <w:sz w:val="18"/>
        </w:rPr>
        <w:t> </w:t>
      </w:r>
      <w:r>
        <w:rPr>
          <w:sz w:val="18"/>
        </w:rPr>
        <w:t>casino</w:t>
      </w:r>
      <w:r>
        <w:rPr>
          <w:spacing w:val="-1"/>
          <w:sz w:val="18"/>
        </w:rPr>
        <w:t> </w:t>
      </w:r>
      <w:r>
        <w:rPr>
          <w:sz w:val="18"/>
        </w:rPr>
        <w:t>is</w:t>
      </w:r>
      <w:r>
        <w:rPr>
          <w:spacing w:val="-1"/>
          <w:sz w:val="18"/>
        </w:rPr>
        <w:t> </w:t>
      </w:r>
      <w:r>
        <w:rPr>
          <w:spacing w:val="-2"/>
          <w:sz w:val="18"/>
        </w:rPr>
        <w:t>located.</w:t>
      </w:r>
    </w:p>
    <w:p>
      <w:pPr>
        <w:pStyle w:val="BodyText"/>
        <w:spacing w:line="204" w:lineRule="auto" w:before="183"/>
        <w:ind w:left="144" w:right="118" w:firstLine="440"/>
        <w:jc w:val="both"/>
      </w:pPr>
      <w:r>
        <w:rPr/>
        <w:t>A live entertainment tax is also paid in certain jurisdictions by casino operations where entertainment is furnished in connection with the selling </w:t>
      </w:r>
      <w:r>
        <w:rPr/>
        <w:t>or serving of food or refreshments or the selling of merchandise. The tax rates applicable to our business and operations are subject to change.</w:t>
      </w:r>
    </w:p>
    <w:p>
      <w:pPr>
        <w:spacing w:before="190"/>
        <w:ind w:left="144" w:right="0" w:firstLine="0"/>
        <w:jc w:val="left"/>
        <w:rPr>
          <w:i/>
          <w:sz w:val="18"/>
        </w:rPr>
      </w:pPr>
      <w:r>
        <w:rPr>
          <w:i/>
          <w:sz w:val="18"/>
        </w:rPr>
        <w:t>Operational</w:t>
      </w:r>
      <w:r>
        <w:rPr>
          <w:i/>
          <w:spacing w:val="-1"/>
          <w:sz w:val="18"/>
        </w:rPr>
        <w:t> </w:t>
      </w:r>
      <w:r>
        <w:rPr>
          <w:i/>
          <w:spacing w:val="-2"/>
          <w:sz w:val="18"/>
        </w:rPr>
        <w:t>Requirements</w:t>
      </w:r>
    </w:p>
    <w:p>
      <w:pPr>
        <w:pStyle w:val="BodyText"/>
        <w:spacing w:line="211" w:lineRule="auto" w:before="178"/>
        <w:ind w:left="144" w:right="118" w:firstLine="440"/>
        <w:jc w:val="both"/>
      </w:pPr>
      <w:r>
        <w:rPr/>
        <w:t>In many jurisdictions, we are subject to certain requirements and restrictions on how we must conduct our gaming operations. In some jurisdictions, we are required to make a good faith effort to procure goods and services from local suppliers and minority-owned, women-owned and veteran-owned businesses in connection with our construction projects.</w:t>
      </w:r>
    </w:p>
    <w:p>
      <w:pPr>
        <w:pStyle w:val="BodyText"/>
        <w:spacing w:line="218" w:lineRule="auto" w:before="164"/>
        <w:ind w:left="144" w:right="118" w:firstLine="440"/>
        <w:jc w:val="both"/>
      </w:pPr>
      <w:r>
        <w:rPr/>
        <w:t>Some jurisdictions also require us to make a good faith effort to meet workforce diversity and local labor participation goals in our operations and to procure goods and services from local suppliers and minority-owned, women-owned and veteran-owned businesses.</w:t>
      </w:r>
    </w:p>
    <w:p>
      <w:pPr>
        <w:pStyle w:val="BodyText"/>
        <w:spacing w:line="218" w:lineRule="auto" w:before="163"/>
        <w:ind w:left="144" w:right="118" w:firstLine="440"/>
        <w:jc w:val="both"/>
      </w:pPr>
      <w:r>
        <w:rPr/>
        <w:t>Some of our gaming operations are subject to hours of operations restrictions. Additionally, some of our operations are subject to restrictions on the number of gaming positions we may have.</w:t>
      </w:r>
    </w:p>
    <w:p>
      <w:pPr>
        <w:pStyle w:val="BodyText"/>
        <w:spacing w:line="208" w:lineRule="auto" w:before="170"/>
        <w:ind w:left="144" w:right="118" w:firstLine="440"/>
        <w:jc w:val="both"/>
      </w:pPr>
      <w:r>
        <w:rPr/>
        <w:t>In 1994, the Mississippi Gaming Commission adopted a regulation requiring as a condition of licensure or license renewal that a gaming establishment’s plan include a 500-car parking facility in close proximity to the casino complex and infrastructure facilities which will amount to at least 25% of the casino cost.</w:t>
      </w:r>
      <w:r>
        <w:rPr>
          <w:spacing w:val="-3"/>
        </w:rPr>
        <w:t> </w:t>
      </w:r>
      <w:r>
        <w:rPr/>
        <w:t>Amendments to the Mississippi gaming regulations impose additional non-gaming infrastructure requirements on new casino projects in Mississippi. </w:t>
      </w:r>
      <w:r>
        <w:rPr/>
        <w:t>To the extent applicable, our Mississippi casinos are in compliance with these regulations.</w:t>
      </w:r>
    </w:p>
    <w:p>
      <w:pPr>
        <w:pStyle w:val="BodyText"/>
        <w:spacing w:line="206" w:lineRule="auto" w:before="186"/>
        <w:ind w:left="144" w:right="118" w:firstLine="440"/>
        <w:jc w:val="both"/>
      </w:pPr>
      <w:r>
        <w:rPr/>
        <w:t>In addition, our gaming operations are subject to cybersecurity requirements in some jurisdictions. For example, the Nevada Gaming Commission</w:t>
      </w:r>
      <w:r>
        <w:rPr>
          <w:spacing w:val="40"/>
        </w:rPr>
        <w:t> </w:t>
      </w:r>
      <w:r>
        <w:rPr/>
        <w:t>enacted</w:t>
      </w:r>
      <w:r>
        <w:rPr>
          <w:spacing w:val="-1"/>
        </w:rPr>
        <w:t> </w:t>
      </w:r>
      <w:r>
        <w:rPr/>
        <w:t>a</w:t>
      </w:r>
      <w:r>
        <w:rPr>
          <w:spacing w:val="-1"/>
        </w:rPr>
        <w:t> </w:t>
      </w:r>
      <w:r>
        <w:rPr/>
        <w:t>cybersecurity</w:t>
      </w:r>
      <w:r>
        <w:rPr>
          <w:spacing w:val="-1"/>
        </w:rPr>
        <w:t> </w:t>
      </w:r>
      <w:r>
        <w:rPr/>
        <w:t>regulation</w:t>
      </w:r>
      <w:r>
        <w:rPr>
          <w:spacing w:val="-1"/>
        </w:rPr>
        <w:t> </w:t>
      </w:r>
      <w:r>
        <w:rPr/>
        <w:t>in</w:t>
      </w:r>
      <w:r>
        <w:rPr>
          <w:spacing w:val="-1"/>
        </w:rPr>
        <w:t> </w:t>
      </w:r>
      <w:r>
        <w:rPr/>
        <w:t>December</w:t>
      </w:r>
      <w:r>
        <w:rPr>
          <w:spacing w:val="-1"/>
        </w:rPr>
        <w:t> </w:t>
      </w:r>
      <w:r>
        <w:rPr/>
        <w:t>2022,</w:t>
      </w:r>
      <w:r>
        <w:rPr>
          <w:spacing w:val="-1"/>
        </w:rPr>
        <w:t> </w:t>
      </w:r>
      <w:r>
        <w:rPr/>
        <w:t>which</w:t>
      </w:r>
      <w:r>
        <w:rPr>
          <w:spacing w:val="-1"/>
        </w:rPr>
        <w:t> </w:t>
      </w:r>
      <w:r>
        <w:rPr/>
        <w:t>requires</w:t>
      </w:r>
      <w:r>
        <w:rPr>
          <w:spacing w:val="-1"/>
        </w:rPr>
        <w:t> </w:t>
      </w:r>
      <w:r>
        <w:rPr/>
        <w:t>us</w:t>
      </w:r>
      <w:r>
        <w:rPr>
          <w:spacing w:val="-1"/>
        </w:rPr>
        <w:t> </w:t>
      </w:r>
      <w:r>
        <w:rPr/>
        <w:t>to</w:t>
      </w:r>
      <w:r>
        <w:rPr>
          <w:spacing w:val="-1"/>
        </w:rPr>
        <w:t> </w:t>
      </w:r>
      <w:r>
        <w:rPr/>
        <w:t>conduct</w:t>
      </w:r>
      <w:r>
        <w:rPr>
          <w:spacing w:val="-1"/>
        </w:rPr>
        <w:t> </w:t>
      </w:r>
      <w:r>
        <w:rPr/>
        <w:t>a</w:t>
      </w:r>
      <w:r>
        <w:rPr>
          <w:spacing w:val="-1"/>
        </w:rPr>
        <w:t> </w:t>
      </w:r>
      <w:r>
        <w:rPr/>
        <w:t>risk</w:t>
      </w:r>
      <w:r>
        <w:rPr>
          <w:spacing w:val="-1"/>
        </w:rPr>
        <w:t> </w:t>
      </w:r>
      <w:r>
        <w:rPr/>
        <w:t>assessment</w:t>
      </w:r>
      <w:r>
        <w:rPr>
          <w:spacing w:val="-1"/>
        </w:rPr>
        <w:t> </w:t>
      </w:r>
      <w:r>
        <w:rPr/>
        <w:t>to</w:t>
      </w:r>
      <w:r>
        <w:rPr>
          <w:spacing w:val="-1"/>
        </w:rPr>
        <w:t> </w:t>
      </w:r>
      <w:r>
        <w:rPr/>
        <w:t>development</w:t>
      </w:r>
      <w:r>
        <w:rPr>
          <w:spacing w:val="-1"/>
        </w:rPr>
        <w:t> </w:t>
      </w:r>
      <w:r>
        <w:rPr/>
        <w:t>cybersecurity</w:t>
      </w:r>
      <w:r>
        <w:rPr>
          <w:spacing w:val="-1"/>
        </w:rPr>
        <w:t> </w:t>
      </w:r>
      <w:r>
        <w:rPr/>
        <w:t>best</w:t>
      </w:r>
      <w:r>
        <w:rPr>
          <w:spacing w:val="-1"/>
        </w:rPr>
        <w:t> </w:t>
      </w:r>
      <w:r>
        <w:rPr/>
        <w:t>practices</w:t>
      </w:r>
      <w:r>
        <w:rPr>
          <w:spacing w:val="-1"/>
        </w:rPr>
        <w:t> </w:t>
      </w:r>
      <w:r>
        <w:rPr/>
        <w:t>by</w:t>
      </w:r>
      <w:r>
        <w:rPr>
          <w:spacing w:val="-1"/>
        </w:rPr>
        <w:t> </w:t>
      </w:r>
      <w:r>
        <w:rPr/>
        <w:t>December 31, 2023 and designate an individual to be responsible for cybersecurity, as well as to have our independent accountant annually review of the </w:t>
      </w:r>
      <w:r>
        <w:rPr/>
        <w:t>cybersecurity best practices we develop. The Nevada regulation also provides for reporting obligations to the Nevada Gaming Control Board in the event we experience a cyber attack.</w:t>
      </w:r>
    </w:p>
    <w:p>
      <w:pPr>
        <w:pStyle w:val="BodyText"/>
      </w:pPr>
    </w:p>
    <w:p>
      <w:pPr>
        <w:spacing w:before="0"/>
        <w:ind w:left="144" w:right="0" w:firstLine="0"/>
        <w:jc w:val="left"/>
        <w:rPr>
          <w:i/>
          <w:sz w:val="18"/>
        </w:rPr>
      </w:pPr>
      <w:r>
        <w:rPr>
          <w:i/>
          <w:spacing w:val="-2"/>
          <w:sz w:val="18"/>
        </w:rPr>
        <w:t>Racetracks</w:t>
      </w:r>
    </w:p>
    <w:p>
      <w:pPr>
        <w:pStyle w:val="BodyText"/>
        <w:spacing w:line="206" w:lineRule="auto" w:before="181"/>
        <w:ind w:left="144" w:right="118" w:firstLine="440"/>
        <w:jc w:val="both"/>
      </w:pPr>
      <w:r>
        <w:rPr/>
        <w:t>We</w:t>
      </w:r>
      <w:r>
        <w:rPr>
          <w:spacing w:val="-6"/>
        </w:rPr>
        <w:t> </w:t>
      </w:r>
      <w:r>
        <w:rPr/>
        <w:t>operate</w:t>
      </w:r>
      <w:r>
        <w:rPr>
          <w:spacing w:val="-12"/>
        </w:rPr>
        <w:t> </w:t>
      </w:r>
      <w:r>
        <w:rPr/>
        <w:t>Yonkers</w:t>
      </w:r>
      <w:r>
        <w:rPr>
          <w:spacing w:val="-5"/>
        </w:rPr>
        <w:t> </w:t>
      </w:r>
      <w:r>
        <w:rPr/>
        <w:t>Raceway,</w:t>
      </w:r>
      <w:r>
        <w:rPr>
          <w:spacing w:val="-6"/>
        </w:rPr>
        <w:t> </w:t>
      </w:r>
      <w:r>
        <w:rPr/>
        <w:t>a</w:t>
      </w:r>
      <w:r>
        <w:rPr>
          <w:spacing w:val="-6"/>
        </w:rPr>
        <w:t> </w:t>
      </w:r>
      <w:r>
        <w:rPr/>
        <w:t>standardbred</w:t>
      </w:r>
      <w:r>
        <w:rPr>
          <w:spacing w:val="-6"/>
        </w:rPr>
        <w:t> </w:t>
      </w:r>
      <w:r>
        <w:rPr/>
        <w:t>harness</w:t>
      </w:r>
      <w:r>
        <w:rPr>
          <w:spacing w:val="-6"/>
        </w:rPr>
        <w:t> </w:t>
      </w:r>
      <w:r>
        <w:rPr/>
        <w:t>racing</w:t>
      </w:r>
      <w:r>
        <w:rPr>
          <w:spacing w:val="-6"/>
        </w:rPr>
        <w:t> </w:t>
      </w:r>
      <w:r>
        <w:rPr/>
        <w:t>track,</w:t>
      </w:r>
      <w:r>
        <w:rPr>
          <w:spacing w:val="-6"/>
        </w:rPr>
        <w:t> </w:t>
      </w:r>
      <w:r>
        <w:rPr/>
        <w:t>and</w:t>
      </w:r>
      <w:r>
        <w:rPr>
          <w:spacing w:val="-6"/>
        </w:rPr>
        <w:t> </w:t>
      </w:r>
      <w:r>
        <w:rPr/>
        <w:t>Empire</w:t>
      </w:r>
      <w:r>
        <w:rPr>
          <w:spacing w:val="-6"/>
        </w:rPr>
        <w:t> </w:t>
      </w:r>
      <w:r>
        <w:rPr/>
        <w:t>City</w:t>
      </w:r>
      <w:r>
        <w:rPr>
          <w:spacing w:val="-6"/>
        </w:rPr>
        <w:t> </w:t>
      </w:r>
      <w:r>
        <w:rPr/>
        <w:t>Casino,</w:t>
      </w:r>
      <w:r>
        <w:rPr>
          <w:spacing w:val="-6"/>
        </w:rPr>
        <w:t> </w:t>
      </w:r>
      <w:r>
        <w:rPr/>
        <w:t>a</w:t>
      </w:r>
      <w:r>
        <w:rPr>
          <w:spacing w:val="-6"/>
        </w:rPr>
        <w:t> </w:t>
      </w:r>
      <w:r>
        <w:rPr/>
        <w:t>video</w:t>
      </w:r>
      <w:r>
        <w:rPr>
          <w:spacing w:val="-6"/>
        </w:rPr>
        <w:t> </w:t>
      </w:r>
      <w:r>
        <w:rPr/>
        <w:t>lottery</w:t>
      </w:r>
      <w:r>
        <w:rPr>
          <w:spacing w:val="-6"/>
        </w:rPr>
        <w:t> </w:t>
      </w:r>
      <w:r>
        <w:rPr/>
        <w:t>gaming</w:t>
      </w:r>
      <w:r>
        <w:rPr>
          <w:spacing w:val="-6"/>
        </w:rPr>
        <w:t> </w:t>
      </w:r>
      <w:r>
        <w:rPr/>
        <w:t>operation,</w:t>
      </w:r>
      <w:r>
        <w:rPr>
          <w:spacing w:val="-6"/>
        </w:rPr>
        <w:t> </w:t>
      </w:r>
      <w:r>
        <w:rPr/>
        <w:t>in</w:t>
      </w:r>
      <w:r>
        <w:rPr>
          <w:spacing w:val="-12"/>
        </w:rPr>
        <w:t> </w:t>
      </w:r>
      <w:r>
        <w:rPr/>
        <w:t>Yonkers,</w:t>
      </w:r>
      <w:r>
        <w:rPr>
          <w:spacing w:val="-5"/>
        </w:rPr>
        <w:t> </w:t>
      </w:r>
      <w:r>
        <w:rPr/>
        <w:t>New</w:t>
      </w:r>
      <w:r>
        <w:rPr>
          <w:spacing w:val="-12"/>
        </w:rPr>
        <w:t> </w:t>
      </w:r>
      <w:r>
        <w:rPr/>
        <w:t>York.</w:t>
      </w:r>
      <w:r>
        <w:rPr>
          <w:spacing w:val="-9"/>
        </w:rPr>
        <w:t> </w:t>
      </w:r>
      <w:r>
        <w:rPr/>
        <w:t>The operations are regulated by the New York State Gaming Commission. We also operate Northfield Park, a standardbred harness racing track, and MGM Northfield Park, a video lottery gaming operation, in Northfield, Ohio. The racing operations are regulated by the Ohio State Racing Commission, and </w:t>
      </w:r>
      <w:r>
        <w:rPr/>
        <w:t>the</w:t>
      </w:r>
      <w:r>
        <w:rPr>
          <w:spacing w:val="40"/>
        </w:rPr>
        <w:t> </w:t>
      </w:r>
      <w:r>
        <w:rPr/>
        <w:t>video lottery gaming operations are regulated by the Ohio Lottery Commission. In addition to laws and regulations affecting the video lottery operations at these tracks, there exist extensive laws and regulations governing the operation of racetracks, the horse races that are run at those tracks, and pari-mutuel wagering conducted at the tracks. Regulation of horse racing is typically administered separately from our other gaming operations, with separate licenses and license fee structures. Racing regulations may limit or dictate the number of days on which races may be or must</w:t>
      </w:r>
    </w:p>
    <w:p>
      <w:pPr>
        <w:pStyle w:val="BodyText"/>
      </w:pPr>
    </w:p>
    <w:p>
      <w:pPr>
        <w:pStyle w:val="BodyText"/>
      </w:pPr>
    </w:p>
    <w:p>
      <w:pPr>
        <w:pStyle w:val="BodyText"/>
      </w:pPr>
    </w:p>
    <w:p>
      <w:pPr>
        <w:pStyle w:val="BodyText"/>
      </w:pPr>
    </w:p>
    <w:p>
      <w:pPr>
        <w:pStyle w:val="BodyText"/>
        <w:spacing w:before="17"/>
      </w:pPr>
    </w:p>
    <w:p>
      <w:pPr>
        <w:pStyle w:val="BodyText"/>
        <w:ind w:left="24"/>
        <w:jc w:val="center"/>
      </w:pPr>
      <w:r>
        <w:rPr>
          <w:spacing w:val="-10"/>
        </w:rPr>
        <w:t>5</w:t>
      </w:r>
    </w:p>
    <w:p>
      <w:pPr>
        <w:pStyle w:val="BodyText"/>
        <w:spacing w:before="1"/>
        <w:rPr>
          <w:sz w:val="5"/>
        </w:rPr>
      </w:pPr>
      <w:r>
        <w:rPr/>
        <mc:AlternateContent>
          <mc:Choice Requires="wps">
            <w:drawing>
              <wp:anchor distT="0" distB="0" distL="0" distR="0" allowOverlap="1" layoutInCell="1" locked="0" behindDoc="1" simplePos="0" relativeHeight="487825408">
                <wp:simplePos x="0" y="0"/>
                <wp:positionH relativeFrom="page">
                  <wp:posOffset>231457</wp:posOffset>
                </wp:positionH>
                <wp:positionV relativeFrom="paragraph">
                  <wp:posOffset>52384</wp:posOffset>
                </wp:positionV>
                <wp:extent cx="7312659" cy="17145"/>
                <wp:effectExtent l="0" t="0" r="0" b="0"/>
                <wp:wrapTopAndBottom/>
                <wp:docPr id="1180" name="Group 1180"/>
                <wp:cNvGraphicFramePr>
                  <a:graphicFrameLocks/>
                </wp:cNvGraphicFramePr>
                <a:graphic>
                  <a:graphicData uri="http://schemas.microsoft.com/office/word/2010/wordprocessingGroup">
                    <wpg:wgp>
                      <wpg:cNvPr id="1180" name="Group 1180"/>
                      <wpg:cNvGrpSpPr/>
                      <wpg:grpSpPr>
                        <a:xfrm>
                          <a:off x="0" y="0"/>
                          <a:ext cx="7312659" cy="17145"/>
                          <a:chExt cx="7312659" cy="17145"/>
                        </a:xfrm>
                      </wpg:grpSpPr>
                      <wps:wsp>
                        <wps:cNvPr id="1181" name="Graphic 118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82" name="Graphic 1182"/>
                        <wps:cNvSpPr/>
                        <wps:spPr>
                          <a:xfrm>
                            <a:off x="-12" y="-2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83" name="Graphic 118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124756pt;width:575.8pt;height:1.35pt;mso-position-horizontal-relative:page;mso-position-vertical-relative:paragraph;z-index:-15491072;mso-wrap-distance-left:0;mso-wrap-distance-right:0" id="docshapegroup1178" coordorigin="364,82" coordsize="11516,27">
                <v:rect style="position:absolute;left:364;top:82;width:11516;height:14" id="docshape1179" filled="true" fillcolor="#999999" stroked="false">
                  <v:fill type="solid"/>
                </v:rect>
                <v:shape style="position:absolute;left:364;top:82;width:11516;height:27" id="docshape1180" coordorigin="364,82" coordsize="11516,27" path="m11880,82l11866,96,364,96,364,109,11866,109,11880,109,11880,96,11880,82xe" filled="true" fillcolor="#ededed" stroked="false">
                  <v:path arrowok="t"/>
                  <v:fill type="solid"/>
                </v:shape>
                <v:shape style="position:absolute;left:364;top:82;width:14;height:27" id="docshape1181" coordorigin="364,82" coordsize="14,27" path="m364,109l364,82,378,82,378,96,364,109xe" filled="true" fillcolor="#999999" stroked="false">
                  <v:path arrowok="t"/>
                  <v:fill type="solid"/>
                </v:shape>
                <w10:wrap type="topAndBottom"/>
              </v:group>
            </w:pict>
          </mc:Fallback>
        </mc:AlternateContent>
      </w:r>
    </w:p>
    <w:p>
      <w:pPr>
        <w:spacing w:after="0"/>
        <w:rPr>
          <w:sz w:val="5"/>
        </w:rPr>
        <w:sectPr>
          <w:pgSz w:w="12240" w:h="15840"/>
          <w:pgMar w:top="1220" w:bottom="280" w:left="220" w:right="240"/>
        </w:sectPr>
      </w:pPr>
    </w:p>
    <w:p>
      <w:pPr>
        <w:pStyle w:val="BodyText"/>
        <w:spacing w:line="204" w:lineRule="auto" w:before="95"/>
        <w:ind w:left="144"/>
      </w:pPr>
      <w:r>
        <w:rPr/>
        <w:t>be held.</w:t>
      </w:r>
      <w:r>
        <w:rPr>
          <w:spacing w:val="-9"/>
        </w:rPr>
        <w:t> </w:t>
      </w:r>
      <w:r>
        <w:rPr/>
        <w:t>Additionally, in both New</w:t>
      </w:r>
      <w:r>
        <w:rPr>
          <w:spacing w:val="-7"/>
        </w:rPr>
        <w:t> </w:t>
      </w:r>
      <w:r>
        <w:rPr/>
        <w:t>York and Ohio, the video lottery operations are contingent upon us holding a valid license to hold live horse racing meets </w:t>
      </w:r>
      <w:r>
        <w:rPr/>
        <w:t>at each racing track.</w:t>
      </w:r>
    </w:p>
    <w:p>
      <w:pPr>
        <w:spacing w:before="163"/>
        <w:ind w:left="144" w:right="0" w:firstLine="0"/>
        <w:jc w:val="left"/>
        <w:rPr>
          <w:i/>
          <w:sz w:val="18"/>
        </w:rPr>
      </w:pPr>
      <w:r>
        <w:rPr>
          <w:i/>
          <w:sz w:val="18"/>
        </w:rPr>
        <w:t>Online</w:t>
      </w:r>
      <w:r>
        <w:rPr>
          <w:i/>
          <w:spacing w:val="-1"/>
          <w:sz w:val="18"/>
        </w:rPr>
        <w:t> </w:t>
      </w:r>
      <w:r>
        <w:rPr>
          <w:i/>
          <w:sz w:val="18"/>
        </w:rPr>
        <w:t>Gaming</w:t>
      </w:r>
      <w:r>
        <w:rPr>
          <w:i/>
          <w:spacing w:val="-1"/>
          <w:sz w:val="18"/>
        </w:rPr>
        <w:t> </w:t>
      </w:r>
      <w:r>
        <w:rPr>
          <w:i/>
          <w:sz w:val="18"/>
        </w:rPr>
        <w:t>and</w:t>
      </w:r>
      <w:r>
        <w:rPr>
          <w:i/>
          <w:spacing w:val="-1"/>
          <w:sz w:val="18"/>
        </w:rPr>
        <w:t> </w:t>
      </w:r>
      <w:r>
        <w:rPr>
          <w:i/>
          <w:sz w:val="18"/>
        </w:rPr>
        <w:t>Sports</w:t>
      </w:r>
      <w:r>
        <w:rPr>
          <w:i/>
          <w:spacing w:val="-1"/>
          <w:sz w:val="18"/>
        </w:rPr>
        <w:t> </w:t>
      </w:r>
      <w:r>
        <w:rPr>
          <w:i/>
          <w:spacing w:val="-2"/>
          <w:sz w:val="18"/>
        </w:rPr>
        <w:t>Betting</w:t>
      </w:r>
    </w:p>
    <w:p>
      <w:pPr>
        <w:pStyle w:val="BodyText"/>
        <w:spacing w:line="206" w:lineRule="auto" w:before="181"/>
        <w:ind w:left="144" w:right="118" w:firstLine="440"/>
        <w:jc w:val="both"/>
      </w:pPr>
      <w:r>
        <w:rPr/>
        <w:t>In 2013, Nevada legalized real money online poker within the State. The NGC then adopted regulations and established licensing requirements for </w:t>
      </w:r>
      <w:r>
        <w:rPr/>
        <w:t>the operation of real money online poker within the State. In 2013, New Jersey also legalized real money online casino gaming within the State. The New Jersey Division of Gaming Enforcement (“NJDGE”) then adopted regulations and established licensing requirements for the operation of real money online casino gaming</w:t>
      </w:r>
      <w:r>
        <w:rPr>
          <w:spacing w:val="-2"/>
        </w:rPr>
        <w:t> </w:t>
      </w:r>
      <w:r>
        <w:rPr/>
        <w:t>in</w:t>
      </w:r>
      <w:r>
        <w:rPr>
          <w:spacing w:val="-2"/>
        </w:rPr>
        <w:t> </w:t>
      </w:r>
      <w:r>
        <w:rPr/>
        <w:t>the</w:t>
      </w:r>
      <w:r>
        <w:rPr>
          <w:spacing w:val="-2"/>
        </w:rPr>
        <w:t> </w:t>
      </w:r>
      <w:r>
        <w:rPr/>
        <w:t>State.</w:t>
      </w:r>
      <w:r>
        <w:rPr>
          <w:spacing w:val="-2"/>
        </w:rPr>
        <w:t> </w:t>
      </w:r>
      <w:r>
        <w:rPr/>
        <w:t>Marina</w:t>
      </w:r>
      <w:r>
        <w:rPr>
          <w:spacing w:val="-2"/>
        </w:rPr>
        <w:t> </w:t>
      </w:r>
      <w:r>
        <w:rPr/>
        <w:t>District</w:t>
      </w:r>
      <w:r>
        <w:rPr>
          <w:spacing w:val="-2"/>
        </w:rPr>
        <w:t> </w:t>
      </w:r>
      <w:r>
        <w:rPr/>
        <w:t>Development</w:t>
      </w:r>
      <w:r>
        <w:rPr>
          <w:spacing w:val="-2"/>
        </w:rPr>
        <w:t> </w:t>
      </w:r>
      <w:r>
        <w:rPr/>
        <w:t>Company,</w:t>
      </w:r>
      <w:r>
        <w:rPr>
          <w:spacing w:val="-2"/>
        </w:rPr>
        <w:t> </w:t>
      </w:r>
      <w:r>
        <w:rPr/>
        <w:t>LLC</w:t>
      </w:r>
      <w:r>
        <w:rPr>
          <w:spacing w:val="-2"/>
        </w:rPr>
        <w:t> </w:t>
      </w:r>
      <w:r>
        <w:rPr/>
        <w:t>(“MDDC”),</w:t>
      </w:r>
      <w:r>
        <w:rPr>
          <w:spacing w:val="-2"/>
        </w:rPr>
        <w:t> </w:t>
      </w:r>
      <w:r>
        <w:rPr/>
        <w:t>our</w:t>
      </w:r>
      <w:r>
        <w:rPr>
          <w:spacing w:val="-2"/>
        </w:rPr>
        <w:t> </w:t>
      </w:r>
      <w:r>
        <w:rPr/>
        <w:t>New</w:t>
      </w:r>
      <w:r>
        <w:rPr>
          <w:spacing w:val="-2"/>
        </w:rPr>
        <w:t> </w:t>
      </w:r>
      <w:r>
        <w:rPr/>
        <w:t>Jersey</w:t>
      </w:r>
      <w:r>
        <w:rPr>
          <w:spacing w:val="-2"/>
        </w:rPr>
        <w:t> </w:t>
      </w:r>
      <w:r>
        <w:rPr/>
        <w:t>subsidiary</w:t>
      </w:r>
      <w:r>
        <w:rPr>
          <w:spacing w:val="-2"/>
        </w:rPr>
        <w:t> </w:t>
      </w:r>
      <w:r>
        <w:rPr/>
        <w:t>that</w:t>
      </w:r>
      <w:r>
        <w:rPr>
          <w:spacing w:val="-2"/>
        </w:rPr>
        <w:t> </w:t>
      </w:r>
      <w:r>
        <w:rPr/>
        <w:t>operates</w:t>
      </w:r>
      <w:r>
        <w:rPr>
          <w:spacing w:val="-2"/>
        </w:rPr>
        <w:t> </w:t>
      </w:r>
      <w:r>
        <w:rPr/>
        <w:t>Borgata</w:t>
      </w:r>
      <w:r>
        <w:rPr>
          <w:spacing w:val="-2"/>
        </w:rPr>
        <w:t> </w:t>
      </w:r>
      <w:r>
        <w:rPr/>
        <w:t>Hotel</w:t>
      </w:r>
      <w:r>
        <w:rPr>
          <w:spacing w:val="-2"/>
        </w:rPr>
        <w:t> </w:t>
      </w:r>
      <w:r>
        <w:rPr/>
        <w:t>Casino</w:t>
      </w:r>
      <w:r>
        <w:rPr>
          <w:spacing w:val="-2"/>
        </w:rPr>
        <w:t> </w:t>
      </w:r>
      <w:r>
        <w:rPr/>
        <w:t>&amp;</w:t>
      </w:r>
      <w:r>
        <w:rPr>
          <w:spacing w:val="-2"/>
        </w:rPr>
        <w:t> </w:t>
      </w:r>
      <w:r>
        <w:rPr/>
        <w:t>Spa</w:t>
      </w:r>
      <w:r>
        <w:rPr>
          <w:spacing w:val="-2"/>
        </w:rPr>
        <w:t> </w:t>
      </w:r>
      <w:r>
        <w:rPr/>
        <w:t>in</w:t>
      </w:r>
      <w:r>
        <w:rPr>
          <w:spacing w:val="-11"/>
        </w:rPr>
        <w:t> </w:t>
      </w:r>
      <w:r>
        <w:rPr/>
        <w:t>Atlantic City, has been issued an Internet Gaming Permit for real money online gaming in New Jersey.</w:t>
      </w:r>
    </w:p>
    <w:p>
      <w:pPr>
        <w:pStyle w:val="BodyText"/>
        <w:spacing w:line="206" w:lineRule="auto" w:before="190"/>
        <w:ind w:left="144" w:right="118" w:firstLine="440"/>
        <w:jc w:val="both"/>
      </w:pPr>
      <w:r>
        <w:rPr/>
        <w:t>In 2017, Mississippi legalized on-premises sports betting at licensed casinos subject to the prior approval of the Executive Director of the </w:t>
      </w:r>
      <w:r>
        <w:rPr/>
        <w:t>Mississippi Gaming Commission (“MGC”). In June 2018, the MGC adopted regulations for the operation of sports books at licensed casinos in Mississippi. The</w:t>
      </w:r>
      <w:r>
        <w:rPr>
          <w:spacing w:val="40"/>
        </w:rPr>
        <w:t> </w:t>
      </w:r>
      <w:r>
        <w:rPr/>
        <w:t>regulations</w:t>
      </w:r>
      <w:r>
        <w:rPr>
          <w:spacing w:val="-1"/>
        </w:rPr>
        <w:t> </w:t>
      </w:r>
      <w:r>
        <w:rPr/>
        <w:t>also</w:t>
      </w:r>
      <w:r>
        <w:rPr>
          <w:spacing w:val="-1"/>
        </w:rPr>
        <w:t> </w:t>
      </w:r>
      <w:r>
        <w:rPr/>
        <w:t>permit</w:t>
      </w:r>
      <w:r>
        <w:rPr>
          <w:spacing w:val="-1"/>
        </w:rPr>
        <w:t> </w:t>
      </w:r>
      <w:r>
        <w:rPr/>
        <w:t>mobile</w:t>
      </w:r>
      <w:r>
        <w:rPr>
          <w:spacing w:val="-1"/>
        </w:rPr>
        <w:t> </w:t>
      </w:r>
      <w:r>
        <w:rPr/>
        <w:t>betting</w:t>
      </w:r>
      <w:r>
        <w:rPr>
          <w:spacing w:val="-1"/>
        </w:rPr>
        <w:t> </w:t>
      </w:r>
      <w:r>
        <w:rPr/>
        <w:t>if</w:t>
      </w:r>
      <w:r>
        <w:rPr>
          <w:spacing w:val="-1"/>
        </w:rPr>
        <w:t> </w:t>
      </w:r>
      <w:r>
        <w:rPr/>
        <w:t>the</w:t>
      </w:r>
      <w:r>
        <w:rPr>
          <w:spacing w:val="-1"/>
        </w:rPr>
        <w:t> </w:t>
      </w:r>
      <w:r>
        <w:rPr/>
        <w:t>player</w:t>
      </w:r>
      <w:r>
        <w:rPr>
          <w:spacing w:val="-1"/>
        </w:rPr>
        <w:t> </w:t>
      </w:r>
      <w:r>
        <w:rPr/>
        <w:t>is</w:t>
      </w:r>
      <w:r>
        <w:rPr>
          <w:spacing w:val="-1"/>
        </w:rPr>
        <w:t> </w:t>
      </w:r>
      <w:r>
        <w:rPr/>
        <w:t>physically</w:t>
      </w:r>
      <w:r>
        <w:rPr>
          <w:spacing w:val="-1"/>
        </w:rPr>
        <w:t> </w:t>
      </w:r>
      <w:r>
        <w:rPr/>
        <w:t>located</w:t>
      </w:r>
      <w:r>
        <w:rPr>
          <w:spacing w:val="-1"/>
        </w:rPr>
        <w:t> </w:t>
      </w:r>
      <w:r>
        <w:rPr/>
        <w:t>within</w:t>
      </w:r>
      <w:r>
        <w:rPr>
          <w:spacing w:val="-1"/>
        </w:rPr>
        <w:t> </w:t>
      </w:r>
      <w:r>
        <w:rPr/>
        <w:t>a</w:t>
      </w:r>
      <w:r>
        <w:rPr>
          <w:spacing w:val="-1"/>
        </w:rPr>
        <w:t> </w:t>
      </w:r>
      <w:r>
        <w:rPr/>
        <w:t>casino</w:t>
      </w:r>
      <w:r>
        <w:rPr>
          <w:spacing w:val="-1"/>
        </w:rPr>
        <w:t> </w:t>
      </w:r>
      <w:r>
        <w:rPr/>
        <w:t>and</w:t>
      </w:r>
      <w:r>
        <w:rPr>
          <w:spacing w:val="-1"/>
        </w:rPr>
        <w:t> </w:t>
      </w:r>
      <w:r>
        <w:rPr/>
        <w:t>hotel</w:t>
      </w:r>
      <w:r>
        <w:rPr>
          <w:spacing w:val="-1"/>
        </w:rPr>
        <w:t> </w:t>
      </w:r>
      <w:r>
        <w:rPr/>
        <w:t>facility</w:t>
      </w:r>
      <w:r>
        <w:rPr>
          <w:spacing w:val="-1"/>
        </w:rPr>
        <w:t> </w:t>
      </w:r>
      <w:r>
        <w:rPr/>
        <w:t>approved</w:t>
      </w:r>
      <w:r>
        <w:rPr>
          <w:spacing w:val="-1"/>
        </w:rPr>
        <w:t> </w:t>
      </w:r>
      <w:r>
        <w:rPr/>
        <w:t>by</w:t>
      </w:r>
      <w:r>
        <w:rPr>
          <w:spacing w:val="-1"/>
        </w:rPr>
        <w:t> </w:t>
      </w:r>
      <w:r>
        <w:rPr/>
        <w:t>the</w:t>
      </w:r>
      <w:r>
        <w:rPr>
          <w:spacing w:val="-1"/>
        </w:rPr>
        <w:t> </w:t>
      </w:r>
      <w:r>
        <w:rPr/>
        <w:t>Executive</w:t>
      </w:r>
      <w:r>
        <w:rPr>
          <w:spacing w:val="-1"/>
        </w:rPr>
        <w:t> </w:t>
      </w:r>
      <w:r>
        <w:rPr/>
        <w:t>Director.</w:t>
      </w:r>
      <w:r>
        <w:rPr>
          <w:spacing w:val="-1"/>
        </w:rPr>
        <w:t> </w:t>
      </w:r>
      <w:r>
        <w:rPr/>
        <w:t>In</w:t>
      </w:r>
      <w:r>
        <w:rPr>
          <w:spacing w:val="-1"/>
        </w:rPr>
        <w:t> </w:t>
      </w:r>
      <w:r>
        <w:rPr/>
        <w:t>July</w:t>
      </w:r>
      <w:r>
        <w:rPr>
          <w:spacing w:val="-1"/>
        </w:rPr>
        <w:t> </w:t>
      </w:r>
      <w:r>
        <w:rPr/>
        <w:t>2018,</w:t>
      </w:r>
      <w:r>
        <w:rPr>
          <w:spacing w:val="-1"/>
        </w:rPr>
        <w:t> </w:t>
      </w:r>
      <w:r>
        <w:rPr/>
        <w:t>our Mississippi operating subsidiary, Beau Rivage Resorts, LLC, obtained approval from the Executive Director to offer sports betting at the casino property, and its sports book began operations on August 1, 2018.</w:t>
      </w:r>
    </w:p>
    <w:p>
      <w:pPr>
        <w:pStyle w:val="BodyText"/>
        <w:spacing w:line="206" w:lineRule="auto" w:before="190"/>
        <w:ind w:left="144" w:right="118" w:firstLine="440"/>
        <w:jc w:val="both"/>
      </w:pPr>
      <w:r>
        <w:rPr/>
        <w:t>In</w:t>
      </w:r>
      <w:r>
        <w:rPr>
          <w:spacing w:val="-1"/>
        </w:rPr>
        <w:t> </w:t>
      </w:r>
      <w:r>
        <w:rPr/>
        <w:t>2018,</w:t>
      </w:r>
      <w:r>
        <w:rPr>
          <w:spacing w:val="-1"/>
        </w:rPr>
        <w:t> </w:t>
      </w:r>
      <w:r>
        <w:rPr/>
        <w:t>New</w:t>
      </w:r>
      <w:r>
        <w:rPr>
          <w:spacing w:val="-1"/>
        </w:rPr>
        <w:t> </w:t>
      </w:r>
      <w:r>
        <w:rPr/>
        <w:t>Jersey</w:t>
      </w:r>
      <w:r>
        <w:rPr>
          <w:spacing w:val="-1"/>
        </w:rPr>
        <w:t> </w:t>
      </w:r>
      <w:r>
        <w:rPr/>
        <w:t>legalized</w:t>
      </w:r>
      <w:r>
        <w:rPr>
          <w:spacing w:val="-1"/>
        </w:rPr>
        <w:t> </w:t>
      </w:r>
      <w:r>
        <w:rPr/>
        <w:t>on-premises</w:t>
      </w:r>
      <w:r>
        <w:rPr>
          <w:spacing w:val="-1"/>
        </w:rPr>
        <w:t> </w:t>
      </w:r>
      <w:r>
        <w:rPr/>
        <w:t>and</w:t>
      </w:r>
      <w:r>
        <w:rPr>
          <w:spacing w:val="-1"/>
        </w:rPr>
        <w:t> </w:t>
      </w:r>
      <w:r>
        <w:rPr/>
        <w:t>online</w:t>
      </w:r>
      <w:r>
        <w:rPr>
          <w:spacing w:val="-1"/>
        </w:rPr>
        <w:t> </w:t>
      </w:r>
      <w:r>
        <w:rPr/>
        <w:t>sports</w:t>
      </w:r>
      <w:r>
        <w:rPr>
          <w:spacing w:val="-1"/>
        </w:rPr>
        <w:t> </w:t>
      </w:r>
      <w:r>
        <w:rPr/>
        <w:t>betting</w:t>
      </w:r>
      <w:r>
        <w:rPr>
          <w:spacing w:val="-1"/>
        </w:rPr>
        <w:t> </w:t>
      </w:r>
      <w:r>
        <w:rPr/>
        <w:t>conducted</w:t>
      </w:r>
      <w:r>
        <w:rPr>
          <w:spacing w:val="-1"/>
        </w:rPr>
        <w:t> </w:t>
      </w:r>
      <w:r>
        <w:rPr/>
        <w:t>by</w:t>
      </w:r>
      <w:r>
        <w:rPr>
          <w:spacing w:val="-1"/>
        </w:rPr>
        <w:t> </w:t>
      </w:r>
      <w:r>
        <w:rPr/>
        <w:t>licensed</w:t>
      </w:r>
      <w:r>
        <w:rPr>
          <w:spacing w:val="-1"/>
        </w:rPr>
        <w:t> </w:t>
      </w:r>
      <w:r>
        <w:rPr/>
        <w:t>casinos</w:t>
      </w:r>
      <w:r>
        <w:rPr>
          <w:spacing w:val="-1"/>
        </w:rPr>
        <w:t> </w:t>
      </w:r>
      <w:r>
        <w:rPr/>
        <w:t>and</w:t>
      </w:r>
      <w:r>
        <w:rPr>
          <w:spacing w:val="-1"/>
        </w:rPr>
        <w:t> </w:t>
      </w:r>
      <w:r>
        <w:rPr/>
        <w:t>existing</w:t>
      </w:r>
      <w:r>
        <w:rPr>
          <w:spacing w:val="-1"/>
        </w:rPr>
        <w:t> </w:t>
      </w:r>
      <w:r>
        <w:rPr/>
        <w:t>and</w:t>
      </w:r>
      <w:r>
        <w:rPr>
          <w:spacing w:val="-1"/>
        </w:rPr>
        <w:t> </w:t>
      </w:r>
      <w:r>
        <w:rPr/>
        <w:t>certain</w:t>
      </w:r>
      <w:r>
        <w:rPr>
          <w:spacing w:val="-1"/>
        </w:rPr>
        <w:t> </w:t>
      </w:r>
      <w:r>
        <w:rPr/>
        <w:t>former</w:t>
      </w:r>
      <w:r>
        <w:rPr>
          <w:spacing w:val="-1"/>
        </w:rPr>
        <w:t> </w:t>
      </w:r>
      <w:r>
        <w:rPr/>
        <w:t>horse</w:t>
      </w:r>
      <w:r>
        <w:rPr>
          <w:spacing w:val="-1"/>
        </w:rPr>
        <w:t> </w:t>
      </w:r>
      <w:r>
        <w:rPr/>
        <w:t>race</w:t>
      </w:r>
      <w:r>
        <w:rPr>
          <w:spacing w:val="-1"/>
        </w:rPr>
        <w:t> </w:t>
      </w:r>
      <w:r>
        <w:rPr/>
        <w:t>tracks.</w:t>
      </w:r>
      <w:r>
        <w:rPr>
          <w:spacing w:val="-5"/>
        </w:rPr>
        <w:t> </w:t>
      </w:r>
      <w:r>
        <w:rPr/>
        <w:t>The regulation of sports betting in New Jersey is similar to the manner in which the NJDGE regulates online casino gaming and casinos. The NJDGE regulates the types of wagers that may be placed, but in-play wagering may be permitted. However, wagering on certain events, such as collegiate events in which New Jersey colleges participate, is prohibited.</w:t>
      </w:r>
      <w:r>
        <w:rPr>
          <w:spacing w:val="-7"/>
        </w:rPr>
        <w:t> </w:t>
      </w:r>
      <w:r>
        <w:rPr/>
        <w:t>A</w:t>
      </w:r>
      <w:r>
        <w:rPr>
          <w:spacing w:val="-7"/>
        </w:rPr>
        <w:t> </w:t>
      </w:r>
      <w:r>
        <w:rPr/>
        <w:t>casino licensed to offer online sports betting currently may offer no more than three individually branded websites. MDDC has been issued a Sports Wagering License for on-premises sports betting at Borgata Hotel Casino &amp; Spa and online sports betting in New Jersey.</w:t>
      </w:r>
    </w:p>
    <w:p>
      <w:pPr>
        <w:pStyle w:val="BodyText"/>
        <w:spacing w:line="204" w:lineRule="auto" w:before="192"/>
        <w:ind w:left="144" w:right="118" w:firstLine="440"/>
        <w:jc w:val="both"/>
      </w:pPr>
      <w:r>
        <w:rPr/>
        <w:t>In 2019, Michigan legalized real money online casino gaming and online sports betting for commercial and Indian casinos within the State. On-premises sports</w:t>
      </w:r>
      <w:r>
        <w:rPr>
          <w:spacing w:val="-1"/>
        </w:rPr>
        <w:t> </w:t>
      </w:r>
      <w:r>
        <w:rPr/>
        <w:t>betting</w:t>
      </w:r>
      <w:r>
        <w:rPr>
          <w:spacing w:val="-1"/>
        </w:rPr>
        <w:t> </w:t>
      </w:r>
      <w:r>
        <w:rPr/>
        <w:t>commenced</w:t>
      </w:r>
      <w:r>
        <w:rPr>
          <w:spacing w:val="-1"/>
        </w:rPr>
        <w:t> </w:t>
      </w:r>
      <w:r>
        <w:rPr/>
        <w:t>on</w:t>
      </w:r>
      <w:r>
        <w:rPr>
          <w:spacing w:val="-1"/>
        </w:rPr>
        <w:t> </w:t>
      </w:r>
      <w:r>
        <w:rPr/>
        <w:t>March</w:t>
      </w:r>
      <w:r>
        <w:rPr>
          <w:spacing w:val="-1"/>
        </w:rPr>
        <w:t> </w:t>
      </w:r>
      <w:r>
        <w:rPr/>
        <w:t>11,</w:t>
      </w:r>
      <w:r>
        <w:rPr>
          <w:spacing w:val="-1"/>
        </w:rPr>
        <w:t> </w:t>
      </w:r>
      <w:r>
        <w:rPr/>
        <w:t>2020</w:t>
      </w:r>
      <w:r>
        <w:rPr>
          <w:spacing w:val="-1"/>
        </w:rPr>
        <w:t> </w:t>
      </w:r>
      <w:r>
        <w:rPr/>
        <w:t>under</w:t>
      </w:r>
      <w:r>
        <w:rPr>
          <w:spacing w:val="-1"/>
        </w:rPr>
        <w:t> </w:t>
      </w:r>
      <w:r>
        <w:rPr/>
        <w:t>regulations</w:t>
      </w:r>
      <w:r>
        <w:rPr>
          <w:spacing w:val="-1"/>
        </w:rPr>
        <w:t> </w:t>
      </w:r>
      <w:r>
        <w:rPr/>
        <w:t>promulgated</w:t>
      </w:r>
      <w:r>
        <w:rPr>
          <w:spacing w:val="-1"/>
        </w:rPr>
        <w:t> </w:t>
      </w:r>
      <w:r>
        <w:rPr/>
        <w:t>by</w:t>
      </w:r>
      <w:r>
        <w:rPr>
          <w:spacing w:val="-1"/>
        </w:rPr>
        <w:t> </w:t>
      </w:r>
      <w:r>
        <w:rPr/>
        <w:t>the</w:t>
      </w:r>
      <w:r>
        <w:rPr>
          <w:spacing w:val="-1"/>
        </w:rPr>
        <w:t> </w:t>
      </w:r>
      <w:r>
        <w:rPr/>
        <w:t>Michigan</w:t>
      </w:r>
      <w:r>
        <w:rPr>
          <w:spacing w:val="-1"/>
        </w:rPr>
        <w:t> </w:t>
      </w:r>
      <w:r>
        <w:rPr/>
        <w:t>Gaming</w:t>
      </w:r>
      <w:r>
        <w:rPr>
          <w:spacing w:val="-1"/>
        </w:rPr>
        <w:t> </w:t>
      </w:r>
      <w:r>
        <w:rPr/>
        <w:t>Control</w:t>
      </w:r>
      <w:r>
        <w:rPr>
          <w:spacing w:val="-1"/>
        </w:rPr>
        <w:t> </w:t>
      </w:r>
      <w:r>
        <w:rPr/>
        <w:t>Board.</w:t>
      </w:r>
      <w:r>
        <w:rPr>
          <w:spacing w:val="-1"/>
        </w:rPr>
        <w:t> </w:t>
      </w:r>
      <w:r>
        <w:rPr/>
        <w:t>Online</w:t>
      </w:r>
      <w:r>
        <w:rPr>
          <w:spacing w:val="-1"/>
        </w:rPr>
        <w:t> </w:t>
      </w:r>
      <w:r>
        <w:rPr/>
        <w:t>sports</w:t>
      </w:r>
      <w:r>
        <w:rPr>
          <w:spacing w:val="-1"/>
        </w:rPr>
        <w:t> </w:t>
      </w:r>
      <w:r>
        <w:rPr/>
        <w:t>betting</w:t>
      </w:r>
      <w:r>
        <w:rPr>
          <w:spacing w:val="-1"/>
        </w:rPr>
        <w:t> </w:t>
      </w:r>
      <w:r>
        <w:rPr/>
        <w:t>and</w:t>
      </w:r>
      <w:r>
        <w:rPr>
          <w:spacing w:val="-1"/>
        </w:rPr>
        <w:t> </w:t>
      </w:r>
      <w:r>
        <w:rPr/>
        <w:t>casino</w:t>
      </w:r>
      <w:r>
        <w:rPr>
          <w:spacing w:val="-1"/>
        </w:rPr>
        <w:t> </w:t>
      </w:r>
      <w:r>
        <w:rPr/>
        <w:t>gaming commenced on January 22, 2021.</w:t>
      </w:r>
    </w:p>
    <w:p>
      <w:pPr>
        <w:pStyle w:val="BodyText"/>
        <w:spacing w:before="196"/>
      </w:pPr>
    </w:p>
    <w:p>
      <w:pPr>
        <w:pStyle w:val="BodyText"/>
        <w:spacing w:line="204" w:lineRule="auto"/>
        <w:ind w:left="144" w:right="118" w:firstLine="440"/>
        <w:jc w:val="both"/>
      </w:pPr>
      <w:r>
        <w:rPr/>
        <w:t>In November 2020, Maryland legalized on-premises sports betting to be conducted by licensed casinos and authorized licensees. On-premises </w:t>
      </w:r>
      <w:r>
        <w:rPr/>
        <w:t>sports betting commenced on December 9, 2021, pursuant to regulations promulgated by the Maryland Lottery and Gaming Control Commission.</w:t>
      </w:r>
    </w:p>
    <w:p>
      <w:pPr>
        <w:pStyle w:val="BodyText"/>
        <w:spacing w:before="17"/>
      </w:pPr>
    </w:p>
    <w:p>
      <w:pPr>
        <w:pStyle w:val="BodyText"/>
        <w:spacing w:line="211" w:lineRule="auto"/>
        <w:ind w:left="144" w:right="118" w:firstLine="440"/>
        <w:jc w:val="both"/>
      </w:pPr>
      <w:r>
        <w:rPr/>
        <w:t>In December 2021, Ohio legalized on-premises and online sports betting to be conducted by licensed casinos, racinos, authorized licensees and online platform sports betting providers. On-premises and online sports betting commenced on January 1, 2023, pursuant to regulations promulgated by the </w:t>
      </w:r>
      <w:r>
        <w:rPr/>
        <w:t>Ohio Casino Control Commission.</w:t>
      </w:r>
    </w:p>
    <w:p>
      <w:pPr>
        <w:pStyle w:val="BodyText"/>
        <w:spacing w:before="2"/>
      </w:pPr>
    </w:p>
    <w:p>
      <w:pPr>
        <w:pStyle w:val="BodyText"/>
        <w:spacing w:line="211" w:lineRule="auto"/>
        <w:ind w:left="144" w:right="118" w:firstLine="440"/>
        <w:jc w:val="both"/>
      </w:pPr>
      <w:r>
        <w:rPr/>
        <w:t>In</w:t>
      </w:r>
      <w:r>
        <w:rPr>
          <w:spacing w:val="-1"/>
        </w:rPr>
        <w:t> </w:t>
      </w:r>
      <w:r>
        <w:rPr/>
        <w:t>August 2022, Massachusetts legalized on-premises and online sports betting to be conducted by licensed casinos, racinos and online platform sports betting providers. On-premises sports betting commenced on January 31, 2023 pursuant to regulations promulgated by the Massachusetts </w:t>
      </w:r>
      <w:r>
        <w:rPr/>
        <w:t>Gaming</w:t>
      </w:r>
      <w:r>
        <w:rPr>
          <w:spacing w:val="40"/>
        </w:rPr>
        <w:t> </w:t>
      </w:r>
      <w:r>
        <w:rPr/>
        <w:t>Commission. Online sports betting is tentatively scheduled to commence in early March 2023.</w:t>
      </w:r>
    </w:p>
    <w:p>
      <w:pPr>
        <w:pStyle w:val="BodyText"/>
        <w:spacing w:before="5"/>
      </w:pPr>
    </w:p>
    <w:p>
      <w:pPr>
        <w:pStyle w:val="BodyText"/>
        <w:spacing w:line="208" w:lineRule="auto"/>
        <w:ind w:left="144" w:right="118" w:firstLine="440"/>
        <w:jc w:val="both"/>
      </w:pPr>
      <w:r>
        <w:rPr/>
        <w:t>The gaming and other laws and regulations to which we are subject could change or could be interpreted differently in the future, or new laws </w:t>
      </w:r>
      <w:r>
        <w:rPr/>
        <w:t>and regulations could be enacted. Any such material changes, new laws or regulations, or material differences in interpretations by courts or governmental authorities could adversely affect our business and operating results. For example, in 2018, the U.S. Department of Justice (“DOJ”) reversed its previously- issued opinion published in 2011, which stated that interstate transmissions of wire communications that do not relate to a “sporting event or contest” fall outside</w:t>
      </w:r>
      <w:r>
        <w:rPr>
          <w:spacing w:val="-5"/>
        </w:rPr>
        <w:t> </w:t>
      </w:r>
      <w:r>
        <w:rPr/>
        <w:t>the</w:t>
      </w:r>
      <w:r>
        <w:rPr>
          <w:spacing w:val="-3"/>
        </w:rPr>
        <w:t> </w:t>
      </w:r>
      <w:r>
        <w:rPr/>
        <w:t>purview</w:t>
      </w:r>
      <w:r>
        <w:rPr>
          <w:spacing w:val="-3"/>
        </w:rPr>
        <w:t> </w:t>
      </w:r>
      <w:r>
        <w:rPr/>
        <w:t>of</w:t>
      </w:r>
      <w:r>
        <w:rPr>
          <w:spacing w:val="-3"/>
        </w:rPr>
        <w:t> </w:t>
      </w:r>
      <w:r>
        <w:rPr/>
        <w:t>the</w:t>
      </w:r>
      <w:r>
        <w:rPr>
          <w:spacing w:val="-6"/>
        </w:rPr>
        <w:t> </w:t>
      </w:r>
      <w:r>
        <w:rPr/>
        <w:t>Wire</w:t>
      </w:r>
      <w:r>
        <w:rPr>
          <w:spacing w:val="-12"/>
        </w:rPr>
        <w:t> </w:t>
      </w:r>
      <w:r>
        <w:rPr/>
        <w:t>Act</w:t>
      </w:r>
      <w:r>
        <w:rPr>
          <w:spacing w:val="-2"/>
        </w:rPr>
        <w:t> </w:t>
      </w:r>
      <w:r>
        <w:rPr/>
        <w:t>of</w:t>
      </w:r>
      <w:r>
        <w:rPr>
          <w:spacing w:val="-3"/>
        </w:rPr>
        <w:t> </w:t>
      </w:r>
      <w:r>
        <w:rPr/>
        <w:t>1961</w:t>
      </w:r>
      <w:r>
        <w:rPr>
          <w:spacing w:val="-3"/>
        </w:rPr>
        <w:t> </w:t>
      </w:r>
      <w:r>
        <w:rPr/>
        <w:t>(“Wire</w:t>
      </w:r>
      <w:r>
        <w:rPr>
          <w:spacing w:val="-12"/>
        </w:rPr>
        <w:t> </w:t>
      </w:r>
      <w:r>
        <w:rPr/>
        <w:t>Act”).</w:t>
      </w:r>
      <w:r>
        <w:rPr>
          <w:spacing w:val="-5"/>
        </w:rPr>
        <w:t> </w:t>
      </w:r>
      <w:r>
        <w:rPr/>
        <w:t>The</w:t>
      </w:r>
      <w:r>
        <w:rPr>
          <w:spacing w:val="-3"/>
        </w:rPr>
        <w:t> </w:t>
      </w:r>
      <w:r>
        <w:rPr/>
        <w:t>DOJ’s</w:t>
      </w:r>
      <w:r>
        <w:rPr>
          <w:spacing w:val="-3"/>
        </w:rPr>
        <w:t> </w:t>
      </w:r>
      <w:r>
        <w:rPr/>
        <w:t>updated</w:t>
      </w:r>
      <w:r>
        <w:rPr>
          <w:spacing w:val="-3"/>
        </w:rPr>
        <w:t> </w:t>
      </w:r>
      <w:r>
        <w:rPr/>
        <w:t>opinion</w:t>
      </w:r>
      <w:r>
        <w:rPr>
          <w:spacing w:val="-3"/>
        </w:rPr>
        <w:t> </w:t>
      </w:r>
      <w:r>
        <w:rPr/>
        <w:t>concluded</w:t>
      </w:r>
      <w:r>
        <w:rPr>
          <w:spacing w:val="-3"/>
        </w:rPr>
        <w:t> </w:t>
      </w:r>
      <w:r>
        <w:rPr/>
        <w:t>instead</w:t>
      </w:r>
      <w:r>
        <w:rPr>
          <w:spacing w:val="-3"/>
        </w:rPr>
        <w:t> </w:t>
      </w:r>
      <w:r>
        <w:rPr/>
        <w:t>that</w:t>
      </w:r>
      <w:r>
        <w:rPr>
          <w:spacing w:val="-3"/>
        </w:rPr>
        <w:t> </w:t>
      </w:r>
      <w:r>
        <w:rPr/>
        <w:t>the</w:t>
      </w:r>
      <w:r>
        <w:rPr>
          <w:spacing w:val="-6"/>
        </w:rPr>
        <w:t> </w:t>
      </w:r>
      <w:r>
        <w:rPr/>
        <w:t>Wire</w:t>
      </w:r>
      <w:r>
        <w:rPr>
          <w:spacing w:val="-12"/>
        </w:rPr>
        <w:t> </w:t>
      </w:r>
      <w:r>
        <w:rPr/>
        <w:t>Act</w:t>
      </w:r>
      <w:r>
        <w:rPr>
          <w:spacing w:val="-2"/>
        </w:rPr>
        <w:t> </w:t>
      </w:r>
      <w:r>
        <w:rPr/>
        <w:t>was</w:t>
      </w:r>
      <w:r>
        <w:rPr>
          <w:spacing w:val="-3"/>
        </w:rPr>
        <w:t> </w:t>
      </w:r>
      <w:r>
        <w:rPr/>
        <w:t>not</w:t>
      </w:r>
      <w:r>
        <w:rPr>
          <w:spacing w:val="-3"/>
        </w:rPr>
        <w:t> </w:t>
      </w:r>
      <w:r>
        <w:rPr/>
        <w:t>uniformly</w:t>
      </w:r>
      <w:r>
        <w:rPr>
          <w:spacing w:val="-3"/>
        </w:rPr>
        <w:t> </w:t>
      </w:r>
      <w:r>
        <w:rPr/>
        <w:t>limited</w:t>
      </w:r>
      <w:r>
        <w:rPr>
          <w:spacing w:val="-3"/>
        </w:rPr>
        <w:t> </w:t>
      </w:r>
      <w:r>
        <w:rPr/>
        <w:t>to</w:t>
      </w:r>
      <w:r>
        <w:rPr>
          <w:spacing w:val="-3"/>
        </w:rPr>
        <w:t> </w:t>
      </w:r>
      <w:r>
        <w:rPr/>
        <w:t>gaming relating to sporting events or contests and that certain of its provisions apply to non-sports-related wagering activity. In June 2019, a federal district court in New Hampshire ruled that the DOJ’s new interpretation of the</w:t>
      </w:r>
      <w:r>
        <w:rPr>
          <w:spacing w:val="-1"/>
        </w:rPr>
        <w:t> </w:t>
      </w:r>
      <w:r>
        <w:rPr/>
        <w:t>Wire</w:t>
      </w:r>
      <w:r>
        <w:rPr>
          <w:spacing w:val="-7"/>
        </w:rPr>
        <w:t> </w:t>
      </w:r>
      <w:r>
        <w:rPr/>
        <w:t>Act was erroneous and vacated the DOJ’s new opinion.</w:t>
      </w:r>
      <w:r>
        <w:rPr>
          <w:spacing w:val="-1"/>
        </w:rPr>
        <w:t> </w:t>
      </w:r>
      <w:r>
        <w:rPr/>
        <w:t>The DOJ appealed the decision of the district court to the U.S. Court of</w:t>
      </w:r>
      <w:r>
        <w:rPr>
          <w:spacing w:val="-4"/>
        </w:rPr>
        <w:t> </w:t>
      </w:r>
      <w:r>
        <w:rPr/>
        <w:t>Appeals for the First Circuit. In January 2021, the Court of</w:t>
      </w:r>
      <w:r>
        <w:rPr>
          <w:spacing w:val="-4"/>
        </w:rPr>
        <w:t> </w:t>
      </w:r>
      <w:r>
        <w:rPr/>
        <w:t>Appeals largely affirmed the district court’s decision finding that the Wire</w:t>
      </w:r>
      <w:r>
        <w:rPr>
          <w:spacing w:val="-2"/>
        </w:rPr>
        <w:t> </w:t>
      </w:r>
      <w:r>
        <w:rPr/>
        <w:t>Act applies only to interstate wire communications related to “sporting events or contests”.</w:t>
      </w:r>
    </w:p>
    <w:p>
      <w:pPr>
        <w:spacing w:before="166"/>
        <w:ind w:left="338" w:right="0" w:firstLine="0"/>
        <w:jc w:val="left"/>
        <w:rPr>
          <w:i/>
          <w:sz w:val="18"/>
        </w:rPr>
      </w:pPr>
      <w:r>
        <w:rPr>
          <w:i/>
          <w:sz w:val="18"/>
        </w:rPr>
        <w:t>Macau</w:t>
      </w:r>
      <w:r>
        <w:rPr>
          <w:i/>
          <w:spacing w:val="-1"/>
          <w:sz w:val="18"/>
        </w:rPr>
        <w:t> </w:t>
      </w:r>
      <w:r>
        <w:rPr>
          <w:i/>
          <w:sz w:val="18"/>
        </w:rPr>
        <w:t>S.A.R.</w:t>
      </w:r>
      <w:r>
        <w:rPr>
          <w:i/>
          <w:spacing w:val="-1"/>
          <w:sz w:val="18"/>
        </w:rPr>
        <w:t> </w:t>
      </w:r>
      <w:r>
        <w:rPr>
          <w:i/>
          <w:sz w:val="18"/>
        </w:rPr>
        <w:t>Laws</w:t>
      </w:r>
      <w:r>
        <w:rPr>
          <w:i/>
          <w:spacing w:val="-1"/>
          <w:sz w:val="18"/>
        </w:rPr>
        <w:t> </w:t>
      </w:r>
      <w:r>
        <w:rPr>
          <w:i/>
          <w:sz w:val="18"/>
        </w:rPr>
        <w:t>and</w:t>
      </w:r>
      <w:r>
        <w:rPr>
          <w:i/>
          <w:spacing w:val="-1"/>
          <w:sz w:val="18"/>
        </w:rPr>
        <w:t> </w:t>
      </w:r>
      <w:r>
        <w:rPr>
          <w:i/>
          <w:spacing w:val="-2"/>
          <w:sz w:val="18"/>
        </w:rPr>
        <w:t>Regulations</w:t>
      </w:r>
    </w:p>
    <w:p>
      <w:pPr>
        <w:pStyle w:val="BodyText"/>
        <w:spacing w:before="1"/>
        <w:rPr>
          <w:i/>
        </w:rPr>
      </w:pPr>
    </w:p>
    <w:p>
      <w:pPr>
        <w:pStyle w:val="BodyText"/>
        <w:spacing w:line="206" w:lineRule="auto"/>
        <w:ind w:left="144" w:right="118" w:firstLine="440"/>
        <w:jc w:val="both"/>
      </w:pPr>
      <w:r>
        <w:rPr/>
        <w:t>MGM Grand Paradise is regulated as a gaming operator under applicable Macau law and our ownership interest in MGM Grand Paradise is subject to continuing regulatory scrutiny. We are required to be approved by the Macau government (gaming authorities) to own an interest in a gaming </w:t>
      </w:r>
      <w:r>
        <w:rPr/>
        <w:t>operator. Authorized gaming operators must pay periodic fees and taxes, and gaming rights are not transferable, unless approved by the Macau government. MGM</w:t>
      </w:r>
      <w:r>
        <w:rPr>
          <w:spacing w:val="40"/>
        </w:rPr>
        <w:t> </w:t>
      </w:r>
      <w:r>
        <w:rPr/>
        <w:t>Grand Paradise must periodically submit detailed financial and operating reports to the Macau gaming authorities and furnish any other information that the Macau gaming authorities may require.</w:t>
      </w:r>
    </w:p>
    <w:p>
      <w:pPr>
        <w:pStyle w:val="BodyText"/>
        <w:spacing w:before="22"/>
      </w:pPr>
    </w:p>
    <w:p>
      <w:pPr>
        <w:pStyle w:val="BodyText"/>
        <w:spacing w:line="208" w:lineRule="auto"/>
        <w:ind w:left="144" w:right="118" w:firstLine="440"/>
        <w:jc w:val="both"/>
      </w:pPr>
      <w:r>
        <w:rPr/>
        <w:t>On April 19, 2005, MGM Grand Paradise, was granted a 15-year gaming subconcession, commencing on April 20, 2005 and expiring on March 31,</w:t>
      </w:r>
      <w:r>
        <w:rPr>
          <w:spacing w:val="40"/>
        </w:rPr>
        <w:t> </w:t>
      </w:r>
      <w:r>
        <w:rPr/>
        <w:t>2020.</w:t>
      </w:r>
      <w:r>
        <w:rPr>
          <w:spacing w:val="-4"/>
        </w:rPr>
        <w:t> </w:t>
      </w:r>
      <w:r>
        <w:rPr/>
        <w:t>The</w:t>
      </w:r>
      <w:r>
        <w:rPr>
          <w:spacing w:val="-1"/>
        </w:rPr>
        <w:t> </w:t>
      </w:r>
      <w:r>
        <w:rPr/>
        <w:t>subconcession</w:t>
      </w:r>
      <w:r>
        <w:rPr>
          <w:spacing w:val="-1"/>
        </w:rPr>
        <w:t> </w:t>
      </w:r>
      <w:r>
        <w:rPr/>
        <w:t>was</w:t>
      </w:r>
      <w:r>
        <w:rPr>
          <w:spacing w:val="-1"/>
        </w:rPr>
        <w:t> </w:t>
      </w:r>
      <w:r>
        <w:rPr/>
        <w:t>successively</w:t>
      </w:r>
      <w:r>
        <w:rPr>
          <w:spacing w:val="-1"/>
        </w:rPr>
        <w:t> </w:t>
      </w:r>
      <w:r>
        <w:rPr/>
        <w:t>extended</w:t>
      </w:r>
      <w:r>
        <w:rPr>
          <w:spacing w:val="-1"/>
        </w:rPr>
        <w:t> </w:t>
      </w:r>
      <w:r>
        <w:rPr/>
        <w:t>to</w:t>
      </w:r>
      <w:r>
        <w:rPr>
          <w:spacing w:val="-1"/>
        </w:rPr>
        <w:t> </w:t>
      </w:r>
      <w:r>
        <w:rPr/>
        <w:t>June</w:t>
      </w:r>
      <w:r>
        <w:rPr>
          <w:spacing w:val="-1"/>
        </w:rPr>
        <w:t> </w:t>
      </w:r>
      <w:r>
        <w:rPr/>
        <w:t>26,</w:t>
      </w:r>
      <w:r>
        <w:rPr>
          <w:spacing w:val="-1"/>
        </w:rPr>
        <w:t> </w:t>
      </w:r>
      <w:r>
        <w:rPr/>
        <w:t>2022</w:t>
      </w:r>
      <w:r>
        <w:rPr>
          <w:spacing w:val="-1"/>
        </w:rPr>
        <w:t> </w:t>
      </w:r>
      <w:r>
        <w:rPr/>
        <w:t>and</w:t>
      </w:r>
      <w:r>
        <w:rPr>
          <w:spacing w:val="-1"/>
        </w:rPr>
        <w:t> </w:t>
      </w:r>
      <w:r>
        <w:rPr/>
        <w:t>December</w:t>
      </w:r>
      <w:r>
        <w:rPr>
          <w:spacing w:val="-1"/>
        </w:rPr>
        <w:t> </w:t>
      </w:r>
      <w:r>
        <w:rPr/>
        <w:t>31,</w:t>
      </w:r>
      <w:r>
        <w:rPr>
          <w:spacing w:val="-1"/>
        </w:rPr>
        <w:t> </w:t>
      </w:r>
      <w:r>
        <w:rPr/>
        <w:t>2022.</w:t>
      </w:r>
      <w:r>
        <w:rPr>
          <w:spacing w:val="-1"/>
        </w:rPr>
        <w:t> </w:t>
      </w:r>
      <w:r>
        <w:rPr/>
        <w:t>In</w:t>
      </w:r>
      <w:r>
        <w:rPr>
          <w:spacing w:val="-1"/>
        </w:rPr>
        <w:t> </w:t>
      </w:r>
      <w:r>
        <w:rPr/>
        <w:t>the</w:t>
      </w:r>
      <w:r>
        <w:rPr>
          <w:spacing w:val="-1"/>
        </w:rPr>
        <w:t> </w:t>
      </w:r>
      <w:r>
        <w:rPr/>
        <w:t>second</w:t>
      </w:r>
      <w:r>
        <w:rPr>
          <w:spacing w:val="-1"/>
        </w:rPr>
        <w:t> </w:t>
      </w:r>
      <w:r>
        <w:rPr/>
        <w:t>half</w:t>
      </w:r>
      <w:r>
        <w:rPr>
          <w:spacing w:val="-1"/>
        </w:rPr>
        <w:t> </w:t>
      </w:r>
      <w:r>
        <w:rPr/>
        <w:t>of</w:t>
      </w:r>
      <w:r>
        <w:rPr>
          <w:spacing w:val="-1"/>
        </w:rPr>
        <w:t> </w:t>
      </w:r>
      <w:r>
        <w:rPr/>
        <w:t>2022,</w:t>
      </w:r>
      <w:r>
        <w:rPr>
          <w:spacing w:val="-1"/>
        </w:rPr>
        <w:t> </w:t>
      </w:r>
      <w:r>
        <w:rPr/>
        <w:t>the</w:t>
      </w:r>
      <w:r>
        <w:rPr>
          <w:spacing w:val="-1"/>
        </w:rPr>
        <w:t> </w:t>
      </w:r>
      <w:r>
        <w:rPr/>
        <w:t>Macau</w:t>
      </w:r>
      <w:r>
        <w:rPr>
          <w:spacing w:val="-1"/>
        </w:rPr>
        <w:t> </w:t>
      </w:r>
      <w:r>
        <w:rPr/>
        <w:t>government</w:t>
      </w:r>
      <w:r>
        <w:rPr>
          <w:spacing w:val="-1"/>
        </w:rPr>
        <w:t> </w:t>
      </w:r>
      <w:r>
        <w:rPr/>
        <w:t>conducted</w:t>
      </w:r>
      <w:r>
        <w:rPr>
          <w:spacing w:val="-1"/>
        </w:rPr>
        <w:t> </w:t>
      </w:r>
      <w:r>
        <w:rPr/>
        <w:t>an international tender process for gaming concessions in Macau to which MGM Grand Paradise submitted its tender and on November 26, 2022, MGM Grand Paradise was provisionally awarded a gaming</w:t>
      </w:r>
    </w:p>
    <w:p>
      <w:pPr>
        <w:pStyle w:val="BodyText"/>
      </w:pPr>
    </w:p>
    <w:p>
      <w:pPr>
        <w:pStyle w:val="BodyText"/>
      </w:pPr>
    </w:p>
    <w:p>
      <w:pPr>
        <w:pStyle w:val="BodyText"/>
      </w:pPr>
    </w:p>
    <w:p>
      <w:pPr>
        <w:pStyle w:val="BodyText"/>
        <w:spacing w:before="36"/>
      </w:pPr>
    </w:p>
    <w:p>
      <w:pPr>
        <w:pStyle w:val="BodyText"/>
        <w:ind w:left="24"/>
        <w:jc w:val="center"/>
      </w:pPr>
      <w:r>
        <w:rPr>
          <w:spacing w:val="-10"/>
        </w:rPr>
        <w:t>6</w:t>
      </w:r>
    </w:p>
    <w:p>
      <w:pPr>
        <w:pStyle w:val="BodyText"/>
        <w:spacing w:before="1"/>
        <w:rPr>
          <w:sz w:val="5"/>
        </w:rPr>
      </w:pPr>
      <w:r>
        <w:rPr/>
        <mc:AlternateContent>
          <mc:Choice Requires="wps">
            <w:drawing>
              <wp:anchor distT="0" distB="0" distL="0" distR="0" allowOverlap="1" layoutInCell="1" locked="0" behindDoc="1" simplePos="0" relativeHeight="487825920">
                <wp:simplePos x="0" y="0"/>
                <wp:positionH relativeFrom="page">
                  <wp:posOffset>231457</wp:posOffset>
                </wp:positionH>
                <wp:positionV relativeFrom="paragraph">
                  <wp:posOffset>52384</wp:posOffset>
                </wp:positionV>
                <wp:extent cx="7312659" cy="17145"/>
                <wp:effectExtent l="0" t="0" r="0" b="0"/>
                <wp:wrapTopAndBottom/>
                <wp:docPr id="1184" name="Group 1184"/>
                <wp:cNvGraphicFramePr>
                  <a:graphicFrameLocks/>
                </wp:cNvGraphicFramePr>
                <a:graphic>
                  <a:graphicData uri="http://schemas.microsoft.com/office/word/2010/wordprocessingGroup">
                    <wpg:wgp>
                      <wpg:cNvPr id="1184" name="Group 1184"/>
                      <wpg:cNvGrpSpPr/>
                      <wpg:grpSpPr>
                        <a:xfrm>
                          <a:off x="0" y="0"/>
                          <a:ext cx="7312659" cy="17145"/>
                          <a:chExt cx="7312659" cy="17145"/>
                        </a:xfrm>
                      </wpg:grpSpPr>
                      <wps:wsp>
                        <wps:cNvPr id="1185" name="Graphic 118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86" name="Graphic 1186"/>
                        <wps:cNvSpPr/>
                        <wps:spPr>
                          <a:xfrm>
                            <a:off x="-12" y="-2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87" name="Graphic 118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124756pt;width:575.8pt;height:1.35pt;mso-position-horizontal-relative:page;mso-position-vertical-relative:paragraph;z-index:-15490560;mso-wrap-distance-left:0;mso-wrap-distance-right:0" id="docshapegroup1182" coordorigin="364,82" coordsize="11516,27">
                <v:rect style="position:absolute;left:364;top:82;width:11516;height:14" id="docshape1183" filled="true" fillcolor="#999999" stroked="false">
                  <v:fill type="solid"/>
                </v:rect>
                <v:shape style="position:absolute;left:364;top:82;width:11516;height:27" id="docshape1184" coordorigin="364,82" coordsize="11516,27" path="m11880,82l11866,96,364,96,364,109,11866,109,11880,109,11880,96,11880,82xe" filled="true" fillcolor="#ededed" stroked="false">
                  <v:path arrowok="t"/>
                  <v:fill type="solid"/>
                </v:shape>
                <v:shape style="position:absolute;left:364;top:82;width:14;height:27" id="docshape1185" coordorigin="364,82" coordsize="14,27" path="m364,109l364,82,378,82,378,96,364,109xe" filled="true" fillcolor="#999999" stroked="false">
                  <v:path arrowok="t"/>
                  <v:fill type="solid"/>
                </v:shape>
                <w10:wrap type="topAndBottom"/>
              </v:group>
            </w:pict>
          </mc:Fallback>
        </mc:AlternateContent>
      </w:r>
    </w:p>
    <w:p>
      <w:pPr>
        <w:spacing w:after="0"/>
        <w:rPr>
          <w:sz w:val="5"/>
        </w:rPr>
        <w:sectPr>
          <w:pgSz w:w="12240" w:h="15840"/>
          <w:pgMar w:top="1220" w:bottom="280" w:left="220" w:right="240"/>
        </w:sectPr>
      </w:pPr>
    </w:p>
    <w:p>
      <w:pPr>
        <w:pStyle w:val="BodyText"/>
        <w:spacing w:line="211" w:lineRule="auto" w:before="90"/>
        <w:ind w:left="144" w:right="118"/>
        <w:jc w:val="both"/>
      </w:pPr>
      <w:r>
        <w:rPr/>
        <w:t>concession, commencing on January 1, 2023 and expiring on December 31, 2032. On December 16, 2022, MGM Grand Paradise received the final award of</w:t>
      </w:r>
      <w:r>
        <w:rPr>
          <w:spacing w:val="40"/>
        </w:rPr>
        <w:t> </w:t>
      </w:r>
      <w:r>
        <w:rPr/>
        <w:t>the gaming concession and the concession contract was executed between the Macau government and MGM Grand Paradise. The gaming subconcession </w:t>
      </w:r>
      <w:r>
        <w:rPr/>
        <w:t>of MGM Grand Paradise expired on December 31, 2022.</w:t>
      </w:r>
    </w:p>
    <w:p>
      <w:pPr>
        <w:pStyle w:val="BodyText"/>
        <w:spacing w:before="4"/>
      </w:pPr>
    </w:p>
    <w:p>
      <w:pPr>
        <w:pStyle w:val="BodyText"/>
        <w:spacing w:line="208" w:lineRule="auto"/>
        <w:ind w:left="144" w:right="118" w:firstLine="440"/>
        <w:jc w:val="both"/>
      </w:pPr>
      <w:r>
        <w:rPr/>
        <w:t>Under</w:t>
      </w:r>
      <w:r>
        <w:rPr>
          <w:spacing w:val="-2"/>
        </w:rPr>
        <w:t> </w:t>
      </w:r>
      <w:r>
        <w:rPr/>
        <w:t>the</w:t>
      </w:r>
      <w:r>
        <w:rPr>
          <w:spacing w:val="-2"/>
        </w:rPr>
        <w:t> </w:t>
      </w:r>
      <w:r>
        <w:rPr/>
        <w:t>concession</w:t>
      </w:r>
      <w:r>
        <w:rPr>
          <w:spacing w:val="-2"/>
        </w:rPr>
        <w:t> </w:t>
      </w:r>
      <w:r>
        <w:rPr/>
        <w:t>contract,</w:t>
      </w:r>
      <w:r>
        <w:rPr>
          <w:spacing w:val="-2"/>
        </w:rPr>
        <w:t> </w:t>
      </w:r>
      <w:r>
        <w:rPr/>
        <w:t>no</w:t>
      </w:r>
      <w:r>
        <w:rPr>
          <w:spacing w:val="-2"/>
        </w:rPr>
        <w:t> </w:t>
      </w:r>
      <w:r>
        <w:rPr/>
        <w:t>person</w:t>
      </w:r>
      <w:r>
        <w:rPr>
          <w:spacing w:val="-2"/>
        </w:rPr>
        <w:t> </w:t>
      </w:r>
      <w:r>
        <w:rPr/>
        <w:t>may</w:t>
      </w:r>
      <w:r>
        <w:rPr>
          <w:spacing w:val="-2"/>
        </w:rPr>
        <w:t> </w:t>
      </w:r>
      <w:r>
        <w:rPr/>
        <w:t>acquire</w:t>
      </w:r>
      <w:r>
        <w:rPr>
          <w:spacing w:val="-2"/>
        </w:rPr>
        <w:t> </w:t>
      </w:r>
      <w:r>
        <w:rPr/>
        <w:t>any</w:t>
      </w:r>
      <w:r>
        <w:rPr>
          <w:spacing w:val="-2"/>
        </w:rPr>
        <w:t> </w:t>
      </w:r>
      <w:r>
        <w:rPr/>
        <w:t>rights</w:t>
      </w:r>
      <w:r>
        <w:rPr>
          <w:spacing w:val="-2"/>
        </w:rPr>
        <w:t> </w:t>
      </w:r>
      <w:r>
        <w:rPr/>
        <w:t>over</w:t>
      </w:r>
      <w:r>
        <w:rPr>
          <w:spacing w:val="-2"/>
        </w:rPr>
        <w:t> </w:t>
      </w:r>
      <w:r>
        <w:rPr/>
        <w:t>the</w:t>
      </w:r>
      <w:r>
        <w:rPr>
          <w:spacing w:val="-2"/>
        </w:rPr>
        <w:t> </w:t>
      </w:r>
      <w:r>
        <w:rPr/>
        <w:t>shares</w:t>
      </w:r>
      <w:r>
        <w:rPr>
          <w:spacing w:val="-2"/>
        </w:rPr>
        <w:t> </w:t>
      </w:r>
      <w:r>
        <w:rPr/>
        <w:t>or</w:t>
      </w:r>
      <w:r>
        <w:rPr>
          <w:spacing w:val="-2"/>
        </w:rPr>
        <w:t> </w:t>
      </w:r>
      <w:r>
        <w:rPr/>
        <w:t>assets</w:t>
      </w:r>
      <w:r>
        <w:rPr>
          <w:spacing w:val="-2"/>
        </w:rPr>
        <w:t> </w:t>
      </w:r>
      <w:r>
        <w:rPr/>
        <w:t>of</w:t>
      </w:r>
      <w:r>
        <w:rPr>
          <w:spacing w:val="-2"/>
        </w:rPr>
        <w:t> </w:t>
      </w:r>
      <w:r>
        <w:rPr/>
        <w:t>MGM</w:t>
      </w:r>
      <w:r>
        <w:rPr>
          <w:spacing w:val="-2"/>
        </w:rPr>
        <w:t> </w:t>
      </w:r>
      <w:r>
        <w:rPr/>
        <w:t>Grand</w:t>
      </w:r>
      <w:r>
        <w:rPr>
          <w:spacing w:val="-2"/>
        </w:rPr>
        <w:t> </w:t>
      </w:r>
      <w:r>
        <w:rPr/>
        <w:t>Paradise</w:t>
      </w:r>
      <w:r>
        <w:rPr>
          <w:spacing w:val="-2"/>
        </w:rPr>
        <w:t> </w:t>
      </w:r>
      <w:r>
        <w:rPr/>
        <w:t>without</w:t>
      </w:r>
      <w:r>
        <w:rPr>
          <w:spacing w:val="-2"/>
        </w:rPr>
        <w:t> </w:t>
      </w:r>
      <w:r>
        <w:rPr/>
        <w:t>first</w:t>
      </w:r>
      <w:r>
        <w:rPr>
          <w:spacing w:val="-2"/>
        </w:rPr>
        <w:t> </w:t>
      </w:r>
      <w:r>
        <w:rPr/>
        <w:t>obtaining</w:t>
      </w:r>
      <w:r>
        <w:rPr>
          <w:spacing w:val="-2"/>
        </w:rPr>
        <w:t> </w:t>
      </w:r>
      <w:r>
        <w:rPr/>
        <w:t>the</w:t>
      </w:r>
      <w:r>
        <w:rPr>
          <w:spacing w:val="-2"/>
        </w:rPr>
        <w:t> </w:t>
      </w:r>
      <w:r>
        <w:rPr/>
        <w:t>approval</w:t>
      </w:r>
      <w:r>
        <w:rPr>
          <w:spacing w:val="-2"/>
        </w:rPr>
        <w:t> </w:t>
      </w:r>
      <w:r>
        <w:rPr/>
        <w:t>of the Macau gaming authorities. The transfer or creation of encumbrances over ownership of shares representing the share capital of MGM Grand Paradise or other rights relating to such shares, and any act involving the granting of voting rights or other stockholders’</w:t>
      </w:r>
      <w:r>
        <w:rPr>
          <w:spacing w:val="-11"/>
        </w:rPr>
        <w:t> </w:t>
      </w:r>
      <w:r>
        <w:rPr/>
        <w:t>rights to persons or entities other than the original owners, would require the approval of the Macau government and the subsequent report of such acts and transactions to the Macau gaming authorities. The stock of MGM Grand Paradise and its casinos, assets and equipment shall not be subject to any liens or encumbrances, except under authorization by the</w:t>
      </w:r>
      <w:r>
        <w:rPr>
          <w:spacing w:val="40"/>
        </w:rPr>
        <w:t> </w:t>
      </w:r>
      <w:r>
        <w:rPr/>
        <w:t>Macau government.</w:t>
      </w:r>
    </w:p>
    <w:p>
      <w:pPr>
        <w:pStyle w:val="BodyText"/>
        <w:spacing w:before="9"/>
      </w:pPr>
    </w:p>
    <w:p>
      <w:pPr>
        <w:pStyle w:val="BodyText"/>
        <w:spacing w:line="208" w:lineRule="auto"/>
        <w:ind w:left="144" w:right="118" w:firstLine="440"/>
        <w:jc w:val="both"/>
      </w:pPr>
      <w:r>
        <w:rPr/>
        <w:t>MGM Grand Paradise’s concession contract requires approval of the Macau government for transfers of shares, or of any rights over such shares, in any of the direct or indirect stockholders in MGM Grand Paradise, including us, holding shares or rights that are directly or indirectly equivalent to an amount that is equal to or higher than 5% of the share capital in MGM Grand Paradise. Under the concession contract, this approval requirement does not apply to</w:t>
      </w:r>
      <w:r>
        <w:rPr>
          <w:spacing w:val="40"/>
        </w:rPr>
        <w:t> </w:t>
      </w:r>
      <w:r>
        <w:rPr/>
        <w:t>securities that are listed and tradable on a stock market.</w:t>
      </w:r>
    </w:p>
    <w:p>
      <w:pPr>
        <w:pStyle w:val="BodyText"/>
        <w:spacing w:before="21"/>
      </w:pPr>
    </w:p>
    <w:p>
      <w:pPr>
        <w:pStyle w:val="BodyText"/>
        <w:spacing w:line="204" w:lineRule="auto"/>
        <w:ind w:left="144" w:right="118" w:firstLine="440"/>
        <w:jc w:val="both"/>
      </w:pPr>
      <w:r>
        <w:rPr/>
        <w:t>The</w:t>
      </w:r>
      <w:r>
        <w:rPr>
          <w:spacing w:val="-1"/>
        </w:rPr>
        <w:t> </w:t>
      </w:r>
      <w:r>
        <w:rPr/>
        <w:t>Macau</w:t>
      </w:r>
      <w:r>
        <w:rPr>
          <w:spacing w:val="-1"/>
        </w:rPr>
        <w:t> </w:t>
      </w:r>
      <w:r>
        <w:rPr/>
        <w:t>government</w:t>
      </w:r>
      <w:r>
        <w:rPr>
          <w:spacing w:val="-1"/>
        </w:rPr>
        <w:t> </w:t>
      </w:r>
      <w:r>
        <w:rPr/>
        <w:t>must</w:t>
      </w:r>
      <w:r>
        <w:rPr>
          <w:spacing w:val="-1"/>
        </w:rPr>
        <w:t> </w:t>
      </w:r>
      <w:r>
        <w:rPr/>
        <w:t>also</w:t>
      </w:r>
      <w:r>
        <w:rPr>
          <w:spacing w:val="-1"/>
        </w:rPr>
        <w:t> </w:t>
      </w:r>
      <w:r>
        <w:rPr/>
        <w:t>give</w:t>
      </w:r>
      <w:r>
        <w:rPr>
          <w:spacing w:val="-1"/>
        </w:rPr>
        <w:t> </w:t>
      </w:r>
      <w:r>
        <w:rPr/>
        <w:t>their</w:t>
      </w:r>
      <w:r>
        <w:rPr>
          <w:spacing w:val="-1"/>
        </w:rPr>
        <w:t> </w:t>
      </w:r>
      <w:r>
        <w:rPr/>
        <w:t>prior</w:t>
      </w:r>
      <w:r>
        <w:rPr>
          <w:spacing w:val="-1"/>
        </w:rPr>
        <w:t> </w:t>
      </w:r>
      <w:r>
        <w:rPr/>
        <w:t>approval</w:t>
      </w:r>
      <w:r>
        <w:rPr>
          <w:spacing w:val="-1"/>
        </w:rPr>
        <w:t> </w:t>
      </w:r>
      <w:r>
        <w:rPr/>
        <w:t>to</w:t>
      </w:r>
      <w:r>
        <w:rPr>
          <w:spacing w:val="-1"/>
        </w:rPr>
        <w:t> </w:t>
      </w:r>
      <w:r>
        <w:rPr/>
        <w:t>changes</w:t>
      </w:r>
      <w:r>
        <w:rPr>
          <w:spacing w:val="-1"/>
        </w:rPr>
        <w:t> </w:t>
      </w:r>
      <w:r>
        <w:rPr/>
        <w:t>in</w:t>
      </w:r>
      <w:r>
        <w:rPr>
          <w:spacing w:val="-1"/>
        </w:rPr>
        <w:t> </w:t>
      </w:r>
      <w:r>
        <w:rPr/>
        <w:t>control</w:t>
      </w:r>
      <w:r>
        <w:rPr>
          <w:spacing w:val="-1"/>
        </w:rPr>
        <w:t> </w:t>
      </w:r>
      <w:r>
        <w:rPr/>
        <w:t>of</w:t>
      </w:r>
      <w:r>
        <w:rPr>
          <w:spacing w:val="-1"/>
        </w:rPr>
        <w:t> </w:t>
      </w:r>
      <w:r>
        <w:rPr/>
        <w:t>MGM</w:t>
      </w:r>
      <w:r>
        <w:rPr>
          <w:spacing w:val="-1"/>
        </w:rPr>
        <w:t> </w:t>
      </w:r>
      <w:r>
        <w:rPr/>
        <w:t>Grand</w:t>
      </w:r>
      <w:r>
        <w:rPr>
          <w:spacing w:val="-1"/>
        </w:rPr>
        <w:t> </w:t>
      </w:r>
      <w:r>
        <w:rPr/>
        <w:t>Paradise</w:t>
      </w:r>
      <w:r>
        <w:rPr>
          <w:spacing w:val="-1"/>
        </w:rPr>
        <w:t> </w:t>
      </w:r>
      <w:r>
        <w:rPr/>
        <w:t>through</w:t>
      </w:r>
      <w:r>
        <w:rPr>
          <w:spacing w:val="-1"/>
        </w:rPr>
        <w:t> </w:t>
      </w:r>
      <w:r>
        <w:rPr/>
        <w:t>a</w:t>
      </w:r>
      <w:r>
        <w:rPr>
          <w:spacing w:val="-1"/>
        </w:rPr>
        <w:t> </w:t>
      </w:r>
      <w:r>
        <w:rPr/>
        <w:t>merger,</w:t>
      </w:r>
      <w:r>
        <w:rPr>
          <w:spacing w:val="-1"/>
        </w:rPr>
        <w:t> </w:t>
      </w:r>
      <w:r>
        <w:rPr/>
        <w:t>consolidation,</w:t>
      </w:r>
      <w:r>
        <w:rPr>
          <w:spacing w:val="-1"/>
        </w:rPr>
        <w:t> </w:t>
      </w:r>
      <w:r>
        <w:rPr/>
        <w:t>stock</w:t>
      </w:r>
      <w:r>
        <w:rPr>
          <w:spacing w:val="-1"/>
        </w:rPr>
        <w:t> </w:t>
      </w:r>
      <w:r>
        <w:rPr/>
        <w:t>or</w:t>
      </w:r>
      <w:r>
        <w:rPr>
          <w:spacing w:val="-1"/>
        </w:rPr>
        <w:t> </w:t>
      </w:r>
      <w:r>
        <w:rPr/>
        <w:t>asset acquisition, management or consulting agreement or any act or conduct by any person whereby he or she obtains control. Entities seeking to acquire control of</w:t>
      </w:r>
      <w:r>
        <w:rPr>
          <w:spacing w:val="40"/>
        </w:rPr>
        <w:t> </w:t>
      </w:r>
      <w:r>
        <w:rPr/>
        <w:t>a registered corporation must satisfy the Macau government concerning a variety of stringent standards prior to assuming control.</w:t>
      </w:r>
    </w:p>
    <w:p>
      <w:pPr>
        <w:pStyle w:val="BodyText"/>
        <w:spacing w:before="17"/>
      </w:pPr>
    </w:p>
    <w:p>
      <w:pPr>
        <w:pStyle w:val="BodyText"/>
        <w:spacing w:line="208" w:lineRule="auto" w:before="1"/>
        <w:ind w:left="144" w:right="118" w:firstLine="440"/>
        <w:jc w:val="both"/>
      </w:pPr>
      <w:r>
        <w:rPr/>
        <w:t>The concession contract requires the Macau government's prior approval of any recapitalization plan, any increase of the capital stock by public subscription, any issue of preferential shares or any creation, issue or transformation of types or series of shares representative of MGM Grand Paradise capital stock, as well as any change in the constituent documents (i.e., articles of association) of MGM Grand Paradise. The Chief Executive of Macau could also require MGM Grand Paradise to increase its share capital if he deemed it necessary.</w:t>
      </w:r>
    </w:p>
    <w:p>
      <w:pPr>
        <w:pStyle w:val="BodyText"/>
        <w:spacing w:before="4"/>
      </w:pPr>
    </w:p>
    <w:p>
      <w:pPr>
        <w:pStyle w:val="BodyText"/>
        <w:spacing w:line="208" w:lineRule="auto"/>
        <w:ind w:left="144" w:right="118" w:firstLine="440"/>
        <w:jc w:val="both"/>
      </w:pPr>
      <w:r>
        <w:rPr/>
        <w:t>The Macau gaming authorities may investigate any individual who has a material relationship to, or material involvement with, MGM Grand Paradise to determine whether MGM Grand Paradise’s suitability and/or financial capacity is affected by that individual. MGM Grand Paradise shareholders with 5% or more of the share capital and directors must apply for and undergo a finding of suitability process and maintain due qualification during the concession </w:t>
      </w:r>
      <w:r>
        <w:rPr/>
        <w:t>term, and accept the persistent and long-term inspection and supervision exercised by the Macau government. MGM Grand Paradise is required to immediately</w:t>
      </w:r>
      <w:r>
        <w:rPr>
          <w:spacing w:val="40"/>
        </w:rPr>
        <w:t> </w:t>
      </w:r>
      <w:r>
        <w:rPr/>
        <w:t>notify the Macau government should MGM Grand Paradise become aware of any fact that may be material to the appropriate qualification of any shareholder who owns 5% or more of the share capital, or any director or key employee. Changes in approved corporate positions must be reported to the Macau gaming authorities. The Macau gaming authorities have jurisdiction to deny an application for a finding of suitability.</w:t>
      </w:r>
    </w:p>
    <w:p>
      <w:pPr>
        <w:pStyle w:val="BodyText"/>
        <w:spacing w:line="218" w:lineRule="auto" w:before="204"/>
        <w:ind w:left="144" w:right="118" w:firstLine="440"/>
        <w:jc w:val="both"/>
      </w:pPr>
      <w:r>
        <w:rPr/>
        <w:t>The Macau gaming authorities also have the power to supervise gaming operators in order to assure the financial stability of corporate gaming </w:t>
      </w:r>
      <w:r>
        <w:rPr/>
        <w:t>operators and their affiliates.</w:t>
      </w:r>
    </w:p>
    <w:p>
      <w:pPr>
        <w:pStyle w:val="BodyText"/>
        <w:spacing w:before="4"/>
      </w:pPr>
    </w:p>
    <w:p>
      <w:pPr>
        <w:pStyle w:val="BodyText"/>
        <w:spacing w:line="208" w:lineRule="auto"/>
        <w:ind w:left="144" w:right="118" w:firstLine="440"/>
        <w:jc w:val="both"/>
      </w:pPr>
      <w:r>
        <w:rPr/>
        <w:t>MGM Macau and MGM Cotai were constructed by MGM Grand Paradise and are operated under MGM Grand Paradise’s concession contract. The concession excludes the following gaming activities: mutual bets, gaming activities provided to the public, interactive gaming and games of chance or other gaming, betting or gambling activities on ships or planes. MGM Grand Paradise’s concession is exclusively governed by Macau law. MGM Grand Paradise </w:t>
      </w:r>
      <w:r>
        <w:rPr/>
        <w:t>is subject to the exclusive jurisdiction of the courts of Macau in case of any potential dispute or conflict relating to our concession.</w:t>
      </w:r>
    </w:p>
    <w:p>
      <w:pPr>
        <w:pStyle w:val="BodyText"/>
        <w:spacing w:line="235" w:lineRule="auto" w:before="192"/>
        <w:ind w:left="144" w:right="118" w:firstLine="440"/>
        <w:jc w:val="both"/>
      </w:pPr>
      <w:r>
        <w:rPr/>
        <w:t>MGM</w:t>
      </w:r>
      <w:r>
        <w:rPr>
          <w:spacing w:val="-1"/>
        </w:rPr>
        <w:t> </w:t>
      </w:r>
      <w:r>
        <w:rPr/>
        <w:t>Grand</w:t>
      </w:r>
      <w:r>
        <w:rPr>
          <w:spacing w:val="-1"/>
        </w:rPr>
        <w:t> </w:t>
      </w:r>
      <w:r>
        <w:rPr/>
        <w:t>Paradise’s</w:t>
      </w:r>
      <w:r>
        <w:rPr>
          <w:spacing w:val="-1"/>
        </w:rPr>
        <w:t> </w:t>
      </w:r>
      <w:r>
        <w:rPr/>
        <w:t>concession</w:t>
      </w:r>
      <w:r>
        <w:rPr>
          <w:spacing w:val="-1"/>
        </w:rPr>
        <w:t> </w:t>
      </w:r>
      <w:r>
        <w:rPr/>
        <w:t>contract</w:t>
      </w:r>
      <w:r>
        <w:rPr>
          <w:spacing w:val="-1"/>
        </w:rPr>
        <w:t> </w:t>
      </w:r>
      <w:r>
        <w:rPr/>
        <w:t>expires</w:t>
      </w:r>
      <w:r>
        <w:rPr>
          <w:spacing w:val="-1"/>
        </w:rPr>
        <w:t> </w:t>
      </w:r>
      <w:r>
        <w:rPr/>
        <w:t>on</w:t>
      </w:r>
      <w:r>
        <w:rPr>
          <w:spacing w:val="-1"/>
        </w:rPr>
        <w:t> </w:t>
      </w:r>
      <w:r>
        <w:rPr/>
        <w:t>December</w:t>
      </w:r>
      <w:r>
        <w:rPr>
          <w:spacing w:val="-1"/>
        </w:rPr>
        <w:t> </w:t>
      </w:r>
      <w:r>
        <w:rPr/>
        <w:t>31,</w:t>
      </w:r>
      <w:r>
        <w:rPr>
          <w:spacing w:val="-1"/>
        </w:rPr>
        <w:t> </w:t>
      </w:r>
      <w:r>
        <w:rPr/>
        <w:t>2032.</w:t>
      </w:r>
      <w:r>
        <w:rPr>
          <w:spacing w:val="-1"/>
        </w:rPr>
        <w:t> </w:t>
      </w:r>
      <w:r>
        <w:rPr/>
        <w:t>Unless</w:t>
      </w:r>
      <w:r>
        <w:rPr>
          <w:spacing w:val="-1"/>
        </w:rPr>
        <w:t> </w:t>
      </w:r>
      <w:r>
        <w:rPr/>
        <w:t>the</w:t>
      </w:r>
      <w:r>
        <w:rPr>
          <w:spacing w:val="-1"/>
        </w:rPr>
        <w:t> </w:t>
      </w:r>
      <w:r>
        <w:rPr/>
        <w:t>concession</w:t>
      </w:r>
      <w:r>
        <w:rPr>
          <w:spacing w:val="-1"/>
        </w:rPr>
        <w:t> </w:t>
      </w:r>
      <w:r>
        <w:rPr/>
        <w:t>is</w:t>
      </w:r>
      <w:r>
        <w:rPr>
          <w:spacing w:val="-1"/>
        </w:rPr>
        <w:t> </w:t>
      </w:r>
      <w:r>
        <w:rPr/>
        <w:t>extended,</w:t>
      </w:r>
      <w:r>
        <w:rPr>
          <w:spacing w:val="-1"/>
        </w:rPr>
        <w:t> </w:t>
      </w:r>
      <w:r>
        <w:rPr/>
        <w:t>on</w:t>
      </w:r>
      <w:r>
        <w:rPr>
          <w:spacing w:val="-1"/>
        </w:rPr>
        <w:t> </w:t>
      </w:r>
      <w:r>
        <w:rPr/>
        <w:t>that</w:t>
      </w:r>
      <w:r>
        <w:rPr>
          <w:spacing w:val="-1"/>
        </w:rPr>
        <w:t> </w:t>
      </w:r>
      <w:r>
        <w:rPr/>
        <w:t>date,</w:t>
      </w:r>
      <w:r>
        <w:rPr>
          <w:spacing w:val="-1"/>
        </w:rPr>
        <w:t> </w:t>
      </w:r>
      <w:r>
        <w:rPr/>
        <w:t>the</w:t>
      </w:r>
      <w:r>
        <w:rPr>
          <w:spacing w:val="-1"/>
        </w:rPr>
        <w:t> </w:t>
      </w:r>
      <w:r>
        <w:rPr/>
        <w:t>casino</w:t>
      </w:r>
      <w:r>
        <w:rPr>
          <w:spacing w:val="-1"/>
        </w:rPr>
        <w:t> </w:t>
      </w:r>
      <w:r>
        <w:rPr/>
        <w:t>area</w:t>
      </w:r>
      <w:r>
        <w:rPr>
          <w:spacing w:val="-1"/>
        </w:rPr>
        <w:t> </w:t>
      </w:r>
      <w:r>
        <w:rPr/>
        <w:t>premises</w:t>
      </w:r>
      <w:r>
        <w:rPr>
          <w:spacing w:val="-1"/>
        </w:rPr>
        <w:t> </w:t>
      </w:r>
      <w:r>
        <w:rPr/>
        <w:t>and gaming related equipment in MGM Macau and MGM Cotai, excluding the casino area premises and gaming related equipment previously reverted to the Macau government at the end of the subconcession, on December 31, 2022, of which the right of use was granted to MGM Grand Paradise for its operation under the concession contract, effective from January 1, 2023, will automatically be transferred to the Macau government without compensation to MGM Grand Paradise and MGM Resorts International will cease to generate any revenues from these operations.</w:t>
      </w:r>
    </w:p>
    <w:p>
      <w:pPr>
        <w:pStyle w:val="BodyText"/>
        <w:spacing w:before="8"/>
      </w:pPr>
    </w:p>
    <w:p>
      <w:pPr>
        <w:pStyle w:val="BodyText"/>
        <w:spacing w:line="235" w:lineRule="auto"/>
        <w:ind w:left="144" w:right="118" w:firstLine="440"/>
        <w:jc w:val="both"/>
      </w:pPr>
      <w:r>
        <w:rPr/>
        <w:t>Beginning on January 1, 2030, the Macau government may redeem the concession by giving MGM Grand Paradise at least one year prior notice and by paying</w:t>
      </w:r>
      <w:r>
        <w:rPr>
          <w:spacing w:val="-1"/>
        </w:rPr>
        <w:t> </w:t>
      </w:r>
      <w:r>
        <w:rPr/>
        <w:t>fair</w:t>
      </w:r>
      <w:r>
        <w:rPr>
          <w:spacing w:val="-1"/>
        </w:rPr>
        <w:t> </w:t>
      </w:r>
      <w:r>
        <w:rPr/>
        <w:t>compensation</w:t>
      </w:r>
      <w:r>
        <w:rPr>
          <w:spacing w:val="-1"/>
        </w:rPr>
        <w:t> </w:t>
      </w:r>
      <w:r>
        <w:rPr/>
        <w:t>or</w:t>
      </w:r>
      <w:r>
        <w:rPr>
          <w:spacing w:val="-1"/>
        </w:rPr>
        <w:t> </w:t>
      </w:r>
      <w:r>
        <w:rPr/>
        <w:t>indemnity.</w:t>
      </w:r>
      <w:r>
        <w:rPr>
          <w:spacing w:val="-1"/>
        </w:rPr>
        <w:t> </w:t>
      </w:r>
      <w:r>
        <w:rPr/>
        <w:t>In</w:t>
      </w:r>
      <w:r>
        <w:rPr>
          <w:spacing w:val="-1"/>
        </w:rPr>
        <w:t> </w:t>
      </w:r>
      <w:r>
        <w:rPr/>
        <w:t>the</w:t>
      </w:r>
      <w:r>
        <w:rPr>
          <w:spacing w:val="-1"/>
        </w:rPr>
        <w:t> </w:t>
      </w:r>
      <w:r>
        <w:rPr/>
        <w:t>event</w:t>
      </w:r>
      <w:r>
        <w:rPr>
          <w:spacing w:val="-1"/>
        </w:rPr>
        <w:t> </w:t>
      </w:r>
      <w:r>
        <w:rPr/>
        <w:t>the</w:t>
      </w:r>
      <w:r>
        <w:rPr>
          <w:spacing w:val="-1"/>
        </w:rPr>
        <w:t> </w:t>
      </w:r>
      <w:r>
        <w:rPr/>
        <w:t>Macau</w:t>
      </w:r>
      <w:r>
        <w:rPr>
          <w:spacing w:val="-1"/>
        </w:rPr>
        <w:t> </w:t>
      </w:r>
      <w:r>
        <w:rPr/>
        <w:t>Government</w:t>
      </w:r>
      <w:r>
        <w:rPr>
          <w:spacing w:val="-1"/>
        </w:rPr>
        <w:t> </w:t>
      </w:r>
      <w:r>
        <w:rPr/>
        <w:t>exercises</w:t>
      </w:r>
      <w:r>
        <w:rPr>
          <w:spacing w:val="-1"/>
        </w:rPr>
        <w:t> </w:t>
      </w:r>
      <w:r>
        <w:rPr/>
        <w:t>this</w:t>
      </w:r>
      <w:r>
        <w:rPr>
          <w:spacing w:val="-1"/>
        </w:rPr>
        <w:t> </w:t>
      </w:r>
      <w:r>
        <w:rPr/>
        <w:t>redemption</w:t>
      </w:r>
      <w:r>
        <w:rPr>
          <w:spacing w:val="-1"/>
        </w:rPr>
        <w:t> </w:t>
      </w:r>
      <w:r>
        <w:rPr/>
        <w:t>right,</w:t>
      </w:r>
      <w:r>
        <w:rPr>
          <w:spacing w:val="-1"/>
        </w:rPr>
        <w:t> </w:t>
      </w:r>
      <w:r>
        <w:rPr/>
        <w:t>MGM</w:t>
      </w:r>
      <w:r>
        <w:rPr>
          <w:spacing w:val="-1"/>
        </w:rPr>
        <w:t> </w:t>
      </w:r>
      <w:r>
        <w:rPr/>
        <w:t>Grand</w:t>
      </w:r>
      <w:r>
        <w:rPr>
          <w:spacing w:val="-1"/>
        </w:rPr>
        <w:t> </w:t>
      </w:r>
      <w:r>
        <w:rPr/>
        <w:t>Paradise</w:t>
      </w:r>
      <w:r>
        <w:rPr>
          <w:spacing w:val="-1"/>
        </w:rPr>
        <w:t> </w:t>
      </w:r>
      <w:r>
        <w:rPr/>
        <w:t>is</w:t>
      </w:r>
      <w:r>
        <w:rPr>
          <w:spacing w:val="-1"/>
        </w:rPr>
        <w:t> </w:t>
      </w:r>
      <w:r>
        <w:rPr/>
        <w:t>entitled</w:t>
      </w:r>
      <w:r>
        <w:rPr>
          <w:spacing w:val="-1"/>
        </w:rPr>
        <w:t> </w:t>
      </w:r>
      <w:r>
        <w:rPr/>
        <w:t>to</w:t>
      </w:r>
      <w:r>
        <w:rPr>
          <w:spacing w:val="-1"/>
        </w:rPr>
        <w:t> </w:t>
      </w:r>
      <w:r>
        <w:rPr/>
        <w:t>reasonable</w:t>
      </w:r>
      <w:r>
        <w:rPr>
          <w:spacing w:val="-1"/>
        </w:rPr>
        <w:t> </w:t>
      </w:r>
      <w:r>
        <w:rPr/>
        <w:t>and fair damages or indemnity. Pursuant to the concession contract, the amount of such compensation or indemnity shall correspond to the benefits that </w:t>
      </w:r>
      <w:r>
        <w:rPr/>
        <w:t>MGM Grand</w:t>
      </w:r>
      <w:r>
        <w:rPr>
          <w:spacing w:val="-2"/>
        </w:rPr>
        <w:t> </w:t>
      </w:r>
      <w:r>
        <w:rPr/>
        <w:t>Paradise</w:t>
      </w:r>
      <w:r>
        <w:rPr>
          <w:spacing w:val="-2"/>
        </w:rPr>
        <w:t> </w:t>
      </w:r>
      <w:r>
        <w:rPr/>
        <w:t>no</w:t>
      </w:r>
      <w:r>
        <w:rPr>
          <w:spacing w:val="-2"/>
        </w:rPr>
        <w:t> </w:t>
      </w:r>
      <w:r>
        <w:rPr/>
        <w:t>longer</w:t>
      </w:r>
      <w:r>
        <w:rPr>
          <w:spacing w:val="-2"/>
        </w:rPr>
        <w:t> </w:t>
      </w:r>
      <w:r>
        <w:rPr/>
        <w:t>receives</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redemption</w:t>
      </w:r>
      <w:r>
        <w:rPr>
          <w:spacing w:val="-2"/>
        </w:rPr>
        <w:t> </w:t>
      </w:r>
      <w:r>
        <w:rPr/>
        <w:t>from</w:t>
      </w:r>
      <w:r>
        <w:rPr>
          <w:spacing w:val="-2"/>
        </w:rPr>
        <w:t> </w:t>
      </w:r>
      <w:r>
        <w:rPr/>
        <w:t>the</w:t>
      </w:r>
      <w:r>
        <w:rPr>
          <w:spacing w:val="-2"/>
        </w:rPr>
        <w:t> </w:t>
      </w:r>
      <w:r>
        <w:rPr/>
        <w:t>projects</w:t>
      </w:r>
      <w:r>
        <w:rPr>
          <w:spacing w:val="-2"/>
        </w:rPr>
        <w:t> </w:t>
      </w:r>
      <w:r>
        <w:rPr/>
        <w:t>included</w:t>
      </w:r>
      <w:r>
        <w:rPr>
          <w:spacing w:val="-2"/>
        </w:rPr>
        <w:t> </w:t>
      </w:r>
      <w:r>
        <w:rPr/>
        <w:t>in</w:t>
      </w:r>
      <w:r>
        <w:rPr>
          <w:spacing w:val="-2"/>
        </w:rPr>
        <w:t> </w:t>
      </w:r>
      <w:r>
        <w:rPr/>
        <w:t>the</w:t>
      </w:r>
      <w:r>
        <w:rPr>
          <w:spacing w:val="-2"/>
        </w:rPr>
        <w:t> </w:t>
      </w:r>
      <w:r>
        <w:rPr/>
        <w:t>investment</w:t>
      </w:r>
      <w:r>
        <w:rPr>
          <w:spacing w:val="-2"/>
        </w:rPr>
        <w:t> </w:t>
      </w:r>
      <w:r>
        <w:rPr/>
        <w:t>plan</w:t>
      </w:r>
      <w:r>
        <w:rPr>
          <w:spacing w:val="-2"/>
        </w:rPr>
        <w:t> </w:t>
      </w:r>
      <w:r>
        <w:rPr/>
        <w:t>under</w:t>
      </w:r>
      <w:r>
        <w:rPr>
          <w:spacing w:val="-2"/>
        </w:rPr>
        <w:t> </w:t>
      </w:r>
      <w:r>
        <w:rPr/>
        <w:t>the</w:t>
      </w:r>
      <w:r>
        <w:rPr>
          <w:spacing w:val="-2"/>
        </w:rPr>
        <w:t> </w:t>
      </w:r>
      <w:r>
        <w:rPr/>
        <w:t>concession</w:t>
      </w:r>
      <w:r>
        <w:rPr>
          <w:spacing w:val="-2"/>
        </w:rPr>
        <w:t> </w:t>
      </w:r>
      <w:r>
        <w:rPr/>
        <w:t>contract.</w:t>
      </w:r>
      <w:r>
        <w:rPr>
          <w:spacing w:val="-6"/>
        </w:rPr>
        <w:t> </w:t>
      </w:r>
      <w:r>
        <w:rPr/>
        <w:t>With</w:t>
      </w:r>
      <w:r>
        <w:rPr>
          <w:spacing w:val="-2"/>
        </w:rPr>
        <w:t> </w:t>
      </w:r>
      <w:r>
        <w:rPr/>
        <w:t>regards</w:t>
      </w:r>
      <w:r>
        <w:rPr>
          <w:spacing w:val="-2"/>
        </w:rPr>
        <w:t> </w:t>
      </w:r>
      <w:r>
        <w:rPr/>
        <w:t>to construction</w:t>
      </w:r>
      <w:r>
        <w:rPr>
          <w:spacing w:val="-2"/>
        </w:rPr>
        <w:t> </w:t>
      </w:r>
      <w:r>
        <w:rPr/>
        <w:t>investments,</w:t>
      </w:r>
      <w:r>
        <w:rPr>
          <w:spacing w:val="-2"/>
        </w:rPr>
        <w:t> </w:t>
      </w:r>
      <w:r>
        <w:rPr/>
        <w:t>the</w:t>
      </w:r>
      <w:r>
        <w:rPr>
          <w:spacing w:val="-2"/>
        </w:rPr>
        <w:t> </w:t>
      </w:r>
      <w:r>
        <w:rPr/>
        <w:t>compensation</w:t>
      </w:r>
      <w:r>
        <w:rPr>
          <w:spacing w:val="-2"/>
        </w:rPr>
        <w:t> </w:t>
      </w:r>
      <w:r>
        <w:rPr/>
        <w:t>shall</w:t>
      </w:r>
      <w:r>
        <w:rPr>
          <w:spacing w:val="-2"/>
        </w:rPr>
        <w:t> </w:t>
      </w:r>
      <w:r>
        <w:rPr/>
        <w:t>correspond</w:t>
      </w:r>
      <w:r>
        <w:rPr>
          <w:spacing w:val="-2"/>
        </w:rPr>
        <w:t> </w:t>
      </w:r>
      <w:r>
        <w:rPr/>
        <w:t>to</w:t>
      </w:r>
      <w:r>
        <w:rPr>
          <w:spacing w:val="-2"/>
        </w:rPr>
        <w:t> </w:t>
      </w:r>
      <w:r>
        <w:rPr/>
        <w:t>the</w:t>
      </w:r>
      <w:r>
        <w:rPr>
          <w:spacing w:val="-2"/>
        </w:rPr>
        <w:t> </w:t>
      </w:r>
      <w:r>
        <w:rPr/>
        <w:t>income</w:t>
      </w:r>
      <w:r>
        <w:rPr>
          <w:spacing w:val="-2"/>
        </w:rPr>
        <w:t> </w:t>
      </w:r>
      <w:r>
        <w:rPr/>
        <w:t>generated</w:t>
      </w:r>
      <w:r>
        <w:rPr>
          <w:spacing w:val="-2"/>
        </w:rPr>
        <w:t> </w:t>
      </w:r>
      <w:r>
        <w:rPr/>
        <w:t>by</w:t>
      </w:r>
      <w:r>
        <w:rPr>
          <w:spacing w:val="-2"/>
        </w:rPr>
        <w:t> </w:t>
      </w:r>
      <w:r>
        <w:rPr/>
        <w:t>such</w:t>
      </w:r>
      <w:r>
        <w:rPr>
          <w:spacing w:val="-2"/>
        </w:rPr>
        <w:t> </w:t>
      </w:r>
      <w:r>
        <w:rPr/>
        <w:t>construction</w:t>
      </w:r>
      <w:r>
        <w:rPr>
          <w:spacing w:val="-2"/>
        </w:rPr>
        <w:t> </w:t>
      </w:r>
      <w:r>
        <w:rPr/>
        <w:t>investments</w:t>
      </w:r>
      <w:r>
        <w:rPr>
          <w:spacing w:val="-2"/>
        </w:rPr>
        <w:t> </w:t>
      </w:r>
      <w:r>
        <w:rPr/>
        <w:t>in</w:t>
      </w:r>
      <w:r>
        <w:rPr>
          <w:spacing w:val="-2"/>
        </w:rPr>
        <w:t> </w:t>
      </w:r>
      <w:r>
        <w:rPr/>
        <w:t>the</w:t>
      </w:r>
      <w:r>
        <w:rPr>
          <w:spacing w:val="-2"/>
        </w:rPr>
        <w:t> </w:t>
      </w:r>
      <w:r>
        <w:rPr/>
        <w:t>previous</w:t>
      </w:r>
      <w:r>
        <w:rPr>
          <w:spacing w:val="-2"/>
        </w:rPr>
        <w:t> </w:t>
      </w:r>
      <w:r>
        <w:rPr/>
        <w:t>year</w:t>
      </w:r>
      <w:r>
        <w:rPr>
          <w:spacing w:val="-2"/>
        </w:rPr>
        <w:t> </w:t>
      </w:r>
      <w:r>
        <w:rPr/>
        <w:t>before</w:t>
      </w:r>
      <w:r>
        <w:rPr>
          <w:spacing w:val="-2"/>
        </w:rPr>
        <w:t> </w:t>
      </w:r>
      <w:r>
        <w:rPr/>
        <w:t>deduction</w:t>
      </w:r>
      <w:r>
        <w:rPr>
          <w:spacing w:val="-2"/>
        </w:rPr>
        <w:t> </w:t>
      </w:r>
      <w:r>
        <w:rPr/>
        <w:t>of interest, depreciation and amortization, and multiplied by the number of remaining years until the end of the term of the concession contract.</w:t>
      </w:r>
    </w:p>
    <w:p>
      <w:pPr>
        <w:pStyle w:val="BodyText"/>
        <w:spacing w:before="25"/>
      </w:pPr>
    </w:p>
    <w:p>
      <w:pPr>
        <w:pStyle w:val="BodyText"/>
        <w:spacing w:line="208" w:lineRule="auto"/>
        <w:ind w:left="144" w:right="118" w:firstLine="440"/>
        <w:jc w:val="both"/>
      </w:pPr>
      <w:r>
        <w:rPr/>
        <w:t>The Macau government also has the right to unilaterally terminate, without compensation to MGM Grand Paradise, the concession at any time upon </w:t>
      </w:r>
      <w:r>
        <w:rPr/>
        <w:t>the occurrence of fundamental non-compliance by MGM Grand Paradise with applicable Macau laws or MGM Grand Paradise’s basic obligations under the concession contract. If the default is curable, the Macau gaming authorities are required to give MGM Grand Paradise prior notice to cure the default, though</w:t>
      </w:r>
      <w:r>
        <w:rPr>
          <w:spacing w:val="40"/>
        </w:rPr>
        <w:t> </w:t>
      </w:r>
      <w:r>
        <w:rPr/>
        <w:t>no specific cure period for that purpose is provided.</w:t>
      </w:r>
    </w:p>
    <w:p>
      <w:pPr>
        <w:pStyle w:val="BodyText"/>
      </w:pPr>
    </w:p>
    <w:p>
      <w:pPr>
        <w:pStyle w:val="BodyText"/>
      </w:pPr>
    </w:p>
    <w:p>
      <w:pPr>
        <w:pStyle w:val="BodyText"/>
      </w:pPr>
    </w:p>
    <w:p>
      <w:pPr>
        <w:pStyle w:val="BodyText"/>
        <w:spacing w:before="36"/>
      </w:pPr>
    </w:p>
    <w:p>
      <w:pPr>
        <w:pStyle w:val="BodyText"/>
        <w:spacing w:before="1"/>
        <w:ind w:left="24"/>
        <w:jc w:val="center"/>
      </w:pPr>
      <w:r>
        <w:rPr>
          <w:spacing w:val="-10"/>
        </w:rPr>
        <w:t>7</w:t>
      </w:r>
    </w:p>
    <w:p>
      <w:pPr>
        <w:pStyle w:val="BodyText"/>
        <w:spacing w:before="1"/>
        <w:rPr>
          <w:sz w:val="5"/>
        </w:rPr>
      </w:pPr>
      <w:r>
        <w:rPr/>
        <mc:AlternateContent>
          <mc:Choice Requires="wps">
            <w:drawing>
              <wp:anchor distT="0" distB="0" distL="0" distR="0" allowOverlap="1" layoutInCell="1" locked="0" behindDoc="1" simplePos="0" relativeHeight="487826432">
                <wp:simplePos x="0" y="0"/>
                <wp:positionH relativeFrom="page">
                  <wp:posOffset>231457</wp:posOffset>
                </wp:positionH>
                <wp:positionV relativeFrom="paragraph">
                  <wp:posOffset>52424</wp:posOffset>
                </wp:positionV>
                <wp:extent cx="7312659" cy="17145"/>
                <wp:effectExtent l="0" t="0" r="0" b="0"/>
                <wp:wrapTopAndBottom/>
                <wp:docPr id="1188" name="Group 1188"/>
                <wp:cNvGraphicFramePr>
                  <a:graphicFrameLocks/>
                </wp:cNvGraphicFramePr>
                <a:graphic>
                  <a:graphicData uri="http://schemas.microsoft.com/office/word/2010/wordprocessingGroup">
                    <wpg:wgp>
                      <wpg:cNvPr id="1188" name="Group 1188"/>
                      <wpg:cNvGrpSpPr/>
                      <wpg:grpSpPr>
                        <a:xfrm>
                          <a:off x="0" y="0"/>
                          <a:ext cx="7312659" cy="17145"/>
                          <a:chExt cx="7312659" cy="17145"/>
                        </a:xfrm>
                      </wpg:grpSpPr>
                      <wps:wsp>
                        <wps:cNvPr id="1189" name="Graphic 118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90" name="Graphic 1190"/>
                        <wps:cNvSpPr/>
                        <wps:spPr>
                          <a:xfrm>
                            <a:off x="-12" y="-2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91" name="Graphic 119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127891pt;width:575.8pt;height:1.35pt;mso-position-horizontal-relative:page;mso-position-vertical-relative:paragraph;z-index:-15490048;mso-wrap-distance-left:0;mso-wrap-distance-right:0" id="docshapegroup1186" coordorigin="364,83" coordsize="11516,27">
                <v:rect style="position:absolute;left:364;top:82;width:11516;height:14" id="docshape1187" filled="true" fillcolor="#999999" stroked="false">
                  <v:fill type="solid"/>
                </v:rect>
                <v:shape style="position:absolute;left:364;top:82;width:11516;height:27" id="docshape1188" coordorigin="364,83" coordsize="11516,27" path="m11880,83l11866,96,364,96,364,110,11866,110,11880,110,11880,96,11880,83xe" filled="true" fillcolor="#ededed" stroked="false">
                  <v:path arrowok="t"/>
                  <v:fill type="solid"/>
                </v:shape>
                <v:shape style="position:absolute;left:364;top:82;width:14;height:27" id="docshape1189" coordorigin="364,83" coordsize="14,27" path="m364,110l364,83,378,83,378,96,364,110xe" filled="true" fillcolor="#999999" stroked="false">
                  <v:path arrowok="t"/>
                  <v:fill type="solid"/>
                </v:shape>
                <w10:wrap type="topAndBottom"/>
              </v:group>
            </w:pict>
          </mc:Fallback>
        </mc:AlternateContent>
      </w:r>
    </w:p>
    <w:p>
      <w:pPr>
        <w:spacing w:after="0"/>
        <w:rPr>
          <w:sz w:val="5"/>
        </w:rPr>
        <w:sectPr>
          <w:pgSz w:w="12240" w:h="15840"/>
          <w:pgMar w:top="1220" w:bottom="280" w:left="220" w:right="240"/>
        </w:sectPr>
      </w:pPr>
    </w:p>
    <w:p>
      <w:pPr>
        <w:pStyle w:val="BodyText"/>
        <w:spacing w:line="232" w:lineRule="auto" w:before="71"/>
        <w:ind w:left="144" w:right="118" w:firstLine="440"/>
        <w:jc w:val="both"/>
      </w:pPr>
      <w:r>
        <w:rPr/>
        <w:t>Under the concession, MGM Grand Paradise Limited is obligated to pay to the Macau S.A.R. an annual premium with a fixed portion and a variable portion</w:t>
      </w:r>
      <w:r>
        <w:rPr>
          <w:spacing w:val="-1"/>
        </w:rPr>
        <w:t> </w:t>
      </w:r>
      <w:r>
        <w:rPr/>
        <w:t>based</w:t>
      </w:r>
      <w:r>
        <w:rPr>
          <w:spacing w:val="-1"/>
        </w:rPr>
        <w:t> </w:t>
      </w:r>
      <w:r>
        <w:rPr/>
        <w:t>on</w:t>
      </w:r>
      <w:r>
        <w:rPr>
          <w:spacing w:val="-1"/>
        </w:rPr>
        <w:t> </w:t>
      </w:r>
      <w:r>
        <w:rPr/>
        <w:t>the</w:t>
      </w:r>
      <w:r>
        <w:rPr>
          <w:spacing w:val="-1"/>
        </w:rPr>
        <w:t> </w:t>
      </w:r>
      <w:r>
        <w:rPr/>
        <w:t>number</w:t>
      </w:r>
      <w:r>
        <w:rPr>
          <w:spacing w:val="-1"/>
        </w:rPr>
        <w:t> </w:t>
      </w:r>
      <w:r>
        <w:rPr/>
        <w:t>and</w:t>
      </w:r>
      <w:r>
        <w:rPr>
          <w:spacing w:val="-1"/>
        </w:rPr>
        <w:t> </w:t>
      </w:r>
      <w:r>
        <w:rPr/>
        <w:t>type</w:t>
      </w:r>
      <w:r>
        <w:rPr>
          <w:spacing w:val="-1"/>
        </w:rPr>
        <w:t> </w:t>
      </w:r>
      <w:r>
        <w:rPr/>
        <w:t>of</w:t>
      </w:r>
      <w:r>
        <w:rPr>
          <w:spacing w:val="-1"/>
        </w:rPr>
        <w:t> </w:t>
      </w:r>
      <w:r>
        <w:rPr/>
        <w:t>gaming</w:t>
      </w:r>
      <w:r>
        <w:rPr>
          <w:spacing w:val="-1"/>
        </w:rPr>
        <w:t> </w:t>
      </w:r>
      <w:r>
        <w:rPr/>
        <w:t>tables</w:t>
      </w:r>
      <w:r>
        <w:rPr>
          <w:spacing w:val="-1"/>
        </w:rPr>
        <w:t> </w:t>
      </w:r>
      <w:r>
        <w:rPr/>
        <w:t>employed</w:t>
      </w:r>
      <w:r>
        <w:rPr>
          <w:spacing w:val="-1"/>
        </w:rPr>
        <w:t> </w:t>
      </w:r>
      <w:r>
        <w:rPr/>
        <w:t>and</w:t>
      </w:r>
      <w:r>
        <w:rPr>
          <w:spacing w:val="-1"/>
        </w:rPr>
        <w:t> </w:t>
      </w:r>
      <w:r>
        <w:rPr/>
        <w:t>gaming</w:t>
      </w:r>
      <w:r>
        <w:rPr>
          <w:spacing w:val="-1"/>
        </w:rPr>
        <w:t> </w:t>
      </w:r>
      <w:r>
        <w:rPr/>
        <w:t>machines</w:t>
      </w:r>
      <w:r>
        <w:rPr>
          <w:spacing w:val="-1"/>
        </w:rPr>
        <w:t> </w:t>
      </w:r>
      <w:r>
        <w:rPr/>
        <w:t>operated.</w:t>
      </w:r>
      <w:r>
        <w:rPr>
          <w:spacing w:val="-4"/>
        </w:rPr>
        <w:t> </w:t>
      </w:r>
      <w:r>
        <w:rPr/>
        <w:t>The</w:t>
      </w:r>
      <w:r>
        <w:rPr>
          <w:spacing w:val="-1"/>
        </w:rPr>
        <w:t> </w:t>
      </w:r>
      <w:r>
        <w:rPr/>
        <w:t>fixed</w:t>
      </w:r>
      <w:r>
        <w:rPr>
          <w:spacing w:val="-1"/>
        </w:rPr>
        <w:t> </w:t>
      </w:r>
      <w:r>
        <w:rPr/>
        <w:t>portion</w:t>
      </w:r>
      <w:r>
        <w:rPr>
          <w:spacing w:val="-1"/>
        </w:rPr>
        <w:t> </w:t>
      </w:r>
      <w:r>
        <w:rPr/>
        <w:t>of</w:t>
      </w:r>
      <w:r>
        <w:rPr>
          <w:spacing w:val="-1"/>
        </w:rPr>
        <w:t> </w:t>
      </w:r>
      <w:r>
        <w:rPr/>
        <w:t>the</w:t>
      </w:r>
      <w:r>
        <w:rPr>
          <w:spacing w:val="-1"/>
        </w:rPr>
        <w:t> </w:t>
      </w:r>
      <w:r>
        <w:rPr/>
        <w:t>premium</w:t>
      </w:r>
      <w:r>
        <w:rPr>
          <w:spacing w:val="-1"/>
        </w:rPr>
        <w:t> </w:t>
      </w:r>
      <w:r>
        <w:rPr/>
        <w:t>is</w:t>
      </w:r>
      <w:r>
        <w:rPr>
          <w:spacing w:val="-1"/>
        </w:rPr>
        <w:t> </w:t>
      </w:r>
      <w:r>
        <w:rPr/>
        <w:t>equal</w:t>
      </w:r>
      <w:r>
        <w:rPr>
          <w:spacing w:val="-1"/>
        </w:rPr>
        <w:t> </w:t>
      </w:r>
      <w:r>
        <w:rPr/>
        <w:t>to</w:t>
      </w:r>
      <w:r>
        <w:rPr>
          <w:spacing w:val="-1"/>
        </w:rPr>
        <w:t> </w:t>
      </w:r>
      <w:r>
        <w:rPr/>
        <w:t>MOP</w:t>
      </w:r>
      <w:r>
        <w:rPr>
          <w:spacing w:val="-8"/>
        </w:rPr>
        <w:t> </w:t>
      </w:r>
      <w:r>
        <w:rPr/>
        <w:t>30</w:t>
      </w:r>
      <w:r>
        <w:rPr>
          <w:spacing w:val="-1"/>
        </w:rPr>
        <w:t> </w:t>
      </w:r>
      <w:r>
        <w:rPr/>
        <w:t>million (approximately $3.7 million, based on exchange rates at December 31, 2022). The variable portion is equal to MOP 300,000 per gaming table reserved exclusively</w:t>
      </w:r>
      <w:r>
        <w:rPr>
          <w:spacing w:val="-2"/>
        </w:rPr>
        <w:t> </w:t>
      </w:r>
      <w:r>
        <w:rPr/>
        <w:t>for</w:t>
      </w:r>
      <w:r>
        <w:rPr>
          <w:spacing w:val="-2"/>
        </w:rPr>
        <w:t> </w:t>
      </w:r>
      <w:r>
        <w:rPr/>
        <w:t>certain</w:t>
      </w:r>
      <w:r>
        <w:rPr>
          <w:spacing w:val="-2"/>
        </w:rPr>
        <w:t> </w:t>
      </w:r>
      <w:r>
        <w:rPr/>
        <w:t>kinds</w:t>
      </w:r>
      <w:r>
        <w:rPr>
          <w:spacing w:val="-2"/>
        </w:rPr>
        <w:t> </w:t>
      </w:r>
      <w:r>
        <w:rPr/>
        <w:t>of</w:t>
      </w:r>
      <w:r>
        <w:rPr>
          <w:spacing w:val="-2"/>
        </w:rPr>
        <w:t> </w:t>
      </w:r>
      <w:r>
        <w:rPr/>
        <w:t>games</w:t>
      </w:r>
      <w:r>
        <w:rPr>
          <w:spacing w:val="-2"/>
        </w:rPr>
        <w:t> </w:t>
      </w:r>
      <w:r>
        <w:rPr/>
        <w:t>or</w:t>
      </w:r>
      <w:r>
        <w:rPr>
          <w:spacing w:val="-2"/>
        </w:rPr>
        <w:t> </w:t>
      </w:r>
      <w:r>
        <w:rPr/>
        <w:t>players,</w:t>
      </w:r>
      <w:r>
        <w:rPr>
          <w:spacing w:val="-2"/>
        </w:rPr>
        <w:t> </w:t>
      </w:r>
      <w:r>
        <w:rPr/>
        <w:t>MOP</w:t>
      </w:r>
      <w:r>
        <w:rPr>
          <w:spacing w:val="-8"/>
        </w:rPr>
        <w:t> </w:t>
      </w:r>
      <w:r>
        <w:rPr/>
        <w:t>150,000</w:t>
      </w:r>
      <w:r>
        <w:rPr>
          <w:spacing w:val="-2"/>
        </w:rPr>
        <w:t> </w:t>
      </w:r>
      <w:r>
        <w:rPr/>
        <w:t>per</w:t>
      </w:r>
      <w:r>
        <w:rPr>
          <w:spacing w:val="-2"/>
        </w:rPr>
        <w:t> </w:t>
      </w:r>
      <w:r>
        <w:rPr/>
        <w:t>gaming</w:t>
      </w:r>
      <w:r>
        <w:rPr>
          <w:spacing w:val="-2"/>
        </w:rPr>
        <w:t> </w:t>
      </w:r>
      <w:r>
        <w:rPr/>
        <w:t>table</w:t>
      </w:r>
      <w:r>
        <w:rPr>
          <w:spacing w:val="-2"/>
        </w:rPr>
        <w:t> </w:t>
      </w:r>
      <w:r>
        <w:rPr/>
        <w:t>not</w:t>
      </w:r>
      <w:r>
        <w:rPr>
          <w:spacing w:val="-2"/>
        </w:rPr>
        <w:t> </w:t>
      </w:r>
      <w:r>
        <w:rPr/>
        <w:t>so</w:t>
      </w:r>
      <w:r>
        <w:rPr>
          <w:spacing w:val="-2"/>
        </w:rPr>
        <w:t> </w:t>
      </w:r>
      <w:r>
        <w:rPr/>
        <w:t>reserved</w:t>
      </w:r>
      <w:r>
        <w:rPr>
          <w:spacing w:val="-2"/>
        </w:rPr>
        <w:t> </w:t>
      </w:r>
      <w:r>
        <w:rPr/>
        <w:t>and</w:t>
      </w:r>
      <w:r>
        <w:rPr>
          <w:spacing w:val="-2"/>
        </w:rPr>
        <w:t> </w:t>
      </w:r>
      <w:r>
        <w:rPr/>
        <w:t>MOP</w:t>
      </w:r>
      <w:r>
        <w:rPr>
          <w:spacing w:val="-8"/>
        </w:rPr>
        <w:t> </w:t>
      </w:r>
      <w:r>
        <w:rPr/>
        <w:t>1,000</w:t>
      </w:r>
      <w:r>
        <w:rPr>
          <w:spacing w:val="-2"/>
        </w:rPr>
        <w:t> </w:t>
      </w:r>
      <w:r>
        <w:rPr/>
        <w:t>per</w:t>
      </w:r>
      <w:r>
        <w:rPr>
          <w:spacing w:val="-2"/>
        </w:rPr>
        <w:t> </w:t>
      </w:r>
      <w:r>
        <w:rPr/>
        <w:t>electrical</w:t>
      </w:r>
      <w:r>
        <w:rPr>
          <w:spacing w:val="-2"/>
        </w:rPr>
        <w:t> </w:t>
      </w:r>
      <w:r>
        <w:rPr/>
        <w:t>or</w:t>
      </w:r>
      <w:r>
        <w:rPr>
          <w:spacing w:val="-2"/>
        </w:rPr>
        <w:t> </w:t>
      </w:r>
      <w:r>
        <w:rPr/>
        <w:t>mechanical</w:t>
      </w:r>
      <w:r>
        <w:rPr>
          <w:spacing w:val="-2"/>
        </w:rPr>
        <w:t> </w:t>
      </w:r>
      <w:r>
        <w:rPr/>
        <w:t>gaming</w:t>
      </w:r>
      <w:r>
        <w:rPr>
          <w:spacing w:val="-2"/>
        </w:rPr>
        <w:t> </w:t>
      </w:r>
      <w:r>
        <w:rPr/>
        <w:t>machine, including slot machines (approximately $37,334, $18,667 and $124, respectively, based on exchange rates at December 31, 2022).</w:t>
      </w:r>
      <w:r>
        <w:rPr>
          <w:spacing w:val="-2"/>
        </w:rPr>
        <w:t> </w:t>
      </w:r>
      <w:r>
        <w:rPr/>
        <w:t>The variable premium </w:t>
      </w:r>
      <w:r>
        <w:rPr/>
        <w:t>shall not be less than the amount payable with respect to the operation of 500 gaming tables and 1,000 electrical or mechanical gaming machines, including slot </w:t>
      </w:r>
      <w:r>
        <w:rPr>
          <w:spacing w:val="-2"/>
        </w:rPr>
        <w:t>machines.</w:t>
      </w:r>
    </w:p>
    <w:p>
      <w:pPr>
        <w:pStyle w:val="BodyText"/>
        <w:spacing w:before="6"/>
      </w:pPr>
    </w:p>
    <w:p>
      <w:pPr>
        <w:pStyle w:val="BodyText"/>
        <w:spacing w:line="235" w:lineRule="auto"/>
        <w:ind w:left="144" w:right="118" w:firstLine="440"/>
        <w:jc w:val="both"/>
      </w:pPr>
      <w:r>
        <w:rPr/>
        <w:t>MGM Grand Paradise Limited also has to pay a special gaming tax of 35% of gross gaming revenues and applicable withholding taxes. The Macau government determined that the minimum annual gross gaming revenue per gaming table is MOP 7 million (approximately $0.9 million, based on exchange rates at December 31, 2022); the minimum annual gross gaming revenue per electric or mechanical gaming machines, including slot machines, is </w:t>
      </w:r>
      <w:r>
        <w:rPr/>
        <w:t>MOP</w:t>
      </w:r>
      <w:r>
        <w:rPr>
          <w:spacing w:val="40"/>
        </w:rPr>
        <w:t> </w:t>
      </w:r>
      <w:r>
        <w:rPr/>
        <w:t>300,000 (approximately $37,334, based on exchange rates at December 31, 2022). If the average gross revenue arising from the operation of gaming tables or electric or mechanical gaming machines, including slot machines, do not reach the minimum limit fixed by order of the Macau government, the concessionaire will have to pay a special premium, in the amount corresponding to the difference between the amounts of the special gaming tax payable on the average gross revenue, and the one that would be payable if this minimum limit had been achieved. The average gross revenue is calculated according to the maximum number</w:t>
      </w:r>
      <w:r>
        <w:rPr>
          <w:spacing w:val="-1"/>
        </w:rPr>
        <w:t> </w:t>
      </w:r>
      <w:r>
        <w:rPr/>
        <w:t>of</w:t>
      </w:r>
      <w:r>
        <w:rPr>
          <w:spacing w:val="-1"/>
        </w:rPr>
        <w:t> </w:t>
      </w:r>
      <w:r>
        <w:rPr/>
        <w:t>gaming</w:t>
      </w:r>
      <w:r>
        <w:rPr>
          <w:spacing w:val="-1"/>
        </w:rPr>
        <w:t> </w:t>
      </w:r>
      <w:r>
        <w:rPr/>
        <w:t>tables</w:t>
      </w:r>
      <w:r>
        <w:rPr>
          <w:spacing w:val="-1"/>
        </w:rPr>
        <w:t> </w:t>
      </w:r>
      <w:r>
        <w:rPr/>
        <w:t>and</w:t>
      </w:r>
      <w:r>
        <w:rPr>
          <w:spacing w:val="-1"/>
        </w:rPr>
        <w:t> </w:t>
      </w:r>
      <w:r>
        <w:rPr/>
        <w:t>electric</w:t>
      </w:r>
      <w:r>
        <w:rPr>
          <w:spacing w:val="-1"/>
        </w:rPr>
        <w:t> </w:t>
      </w:r>
      <w:r>
        <w:rPr/>
        <w:t>or</w:t>
      </w:r>
      <w:r>
        <w:rPr>
          <w:spacing w:val="-1"/>
        </w:rPr>
        <w:t> </w:t>
      </w:r>
      <w:r>
        <w:rPr/>
        <w:t>mechanical</w:t>
      </w:r>
      <w:r>
        <w:rPr>
          <w:spacing w:val="-1"/>
        </w:rPr>
        <w:t> </w:t>
      </w:r>
      <w:r>
        <w:rPr/>
        <w:t>gaming</w:t>
      </w:r>
      <w:r>
        <w:rPr>
          <w:spacing w:val="-1"/>
        </w:rPr>
        <w:t> </w:t>
      </w:r>
      <w:r>
        <w:rPr/>
        <w:t>machines,</w:t>
      </w:r>
      <w:r>
        <w:rPr>
          <w:spacing w:val="-1"/>
        </w:rPr>
        <w:t> </w:t>
      </w:r>
      <w:r>
        <w:rPr/>
        <w:t>including</w:t>
      </w:r>
      <w:r>
        <w:rPr>
          <w:spacing w:val="-1"/>
        </w:rPr>
        <w:t> </w:t>
      </w:r>
      <w:r>
        <w:rPr/>
        <w:t>slot</w:t>
      </w:r>
      <w:r>
        <w:rPr>
          <w:spacing w:val="-1"/>
        </w:rPr>
        <w:t> </w:t>
      </w:r>
      <w:r>
        <w:rPr/>
        <w:t>machines,</w:t>
      </w:r>
      <w:r>
        <w:rPr>
          <w:spacing w:val="-1"/>
        </w:rPr>
        <w:t> </w:t>
      </w:r>
      <w:r>
        <w:rPr/>
        <w:t>authorized</w:t>
      </w:r>
      <w:r>
        <w:rPr>
          <w:spacing w:val="-1"/>
        </w:rPr>
        <w:t> </w:t>
      </w:r>
      <w:r>
        <w:rPr/>
        <w:t>for</w:t>
      </w:r>
      <w:r>
        <w:rPr>
          <w:spacing w:val="-1"/>
        </w:rPr>
        <w:t> </w:t>
      </w:r>
      <w:r>
        <w:rPr/>
        <w:t>the</w:t>
      </w:r>
      <w:r>
        <w:rPr>
          <w:spacing w:val="-1"/>
        </w:rPr>
        <w:t> </w:t>
      </w:r>
      <w:r>
        <w:rPr/>
        <w:t>concessionaire</w:t>
      </w:r>
      <w:r>
        <w:rPr>
          <w:spacing w:val="-1"/>
        </w:rPr>
        <w:t> </w:t>
      </w:r>
      <w:r>
        <w:rPr/>
        <w:t>in</w:t>
      </w:r>
      <w:r>
        <w:rPr>
          <w:spacing w:val="-1"/>
        </w:rPr>
        <w:t> </w:t>
      </w:r>
      <w:r>
        <w:rPr/>
        <w:t>the</w:t>
      </w:r>
      <w:r>
        <w:rPr>
          <w:spacing w:val="-1"/>
        </w:rPr>
        <w:t> </w:t>
      </w:r>
      <w:r>
        <w:rPr/>
        <w:t>year</w:t>
      </w:r>
      <w:r>
        <w:rPr>
          <w:spacing w:val="-1"/>
        </w:rPr>
        <w:t> </w:t>
      </w:r>
      <w:r>
        <w:rPr/>
        <w:t>to</w:t>
      </w:r>
      <w:r>
        <w:rPr>
          <w:spacing w:val="-1"/>
        </w:rPr>
        <w:t> </w:t>
      </w:r>
      <w:r>
        <w:rPr/>
        <w:t>which</w:t>
      </w:r>
      <w:r>
        <w:rPr>
          <w:spacing w:val="-1"/>
        </w:rPr>
        <w:t> </w:t>
      </w:r>
      <w:r>
        <w:rPr/>
        <w:t>it</w:t>
      </w:r>
      <w:r>
        <w:rPr>
          <w:spacing w:val="-1"/>
        </w:rPr>
        <w:t> </w:t>
      </w:r>
      <w:r>
        <w:rPr/>
        <w:t>relates, with the exception of the number of gaming tables and electric or mechanical gaming machines, including slot machines authorized to operate temporarily.</w:t>
      </w:r>
    </w:p>
    <w:p>
      <w:pPr>
        <w:pStyle w:val="BodyText"/>
        <w:spacing w:before="26"/>
      </w:pPr>
    </w:p>
    <w:p>
      <w:pPr>
        <w:pStyle w:val="BodyText"/>
        <w:spacing w:line="206" w:lineRule="auto"/>
        <w:ind w:left="144" w:right="118" w:firstLine="440"/>
        <w:jc w:val="both"/>
      </w:pPr>
      <w:r>
        <w:rPr/>
        <w:t>MGM Grand Paradise Limited is also subject to the following additional levies: annual payment in an amount corresponding to 2% of gross gaming revenue which will be given to a public foundation whose object is the promotion, development or study of cultural, social, economic, educational, </w:t>
      </w:r>
      <w:r>
        <w:rPr/>
        <w:t>scientific, academic, and charity activities; and annual payment in an amount corresponding to 3% of gross gaming revenue which will be used for urban development</w:t>
      </w:r>
      <w:r>
        <w:rPr>
          <w:spacing w:val="40"/>
        </w:rPr>
        <w:t> </w:t>
      </w:r>
      <w:r>
        <w:rPr/>
        <w:t>and construction, promotion of tourism and social security. The Macau Government may grant a reduction or exemption from the payment of the additional levies for reasons of public interest, namely for expansion of overseas customer markets, pursuant to terms to be defined under supplementary regulations.</w:t>
      </w:r>
    </w:p>
    <w:p>
      <w:pPr>
        <w:pStyle w:val="BodyText"/>
        <w:spacing w:before="25"/>
      </w:pPr>
    </w:p>
    <w:p>
      <w:pPr>
        <w:pStyle w:val="BodyText"/>
        <w:spacing w:line="204" w:lineRule="auto"/>
        <w:ind w:left="144" w:right="118" w:firstLine="440"/>
        <w:jc w:val="both"/>
      </w:pPr>
      <w:r>
        <w:rPr/>
        <w:t>Currently, the gaming tax in Macau is calculated as a percentage of gross gaming revenue. However, gross gaming revenue does not include </w:t>
      </w:r>
      <w:r>
        <w:rPr/>
        <w:t>deductions for credit losses.</w:t>
      </w:r>
      <w:r>
        <w:rPr>
          <w:spacing w:val="-8"/>
        </w:rPr>
        <w:t> </w:t>
      </w:r>
      <w:r>
        <w:rPr/>
        <w:t>As a result, if MGM Grand Paradise issues markers to its customers in Macau and is unable to collect on the related receivables from them, it has to pay taxes on its winnings from these customers even though it was unable to collect the related receivables.</w:t>
      </w:r>
    </w:p>
    <w:p>
      <w:pPr>
        <w:pStyle w:val="BodyText"/>
        <w:spacing w:before="19"/>
      </w:pPr>
    </w:p>
    <w:p>
      <w:pPr>
        <w:pStyle w:val="BodyText"/>
        <w:spacing w:line="206" w:lineRule="auto" w:before="1"/>
        <w:ind w:left="144" w:right="117" w:firstLine="440"/>
        <w:jc w:val="both"/>
      </w:pPr>
      <w:r>
        <w:rPr/>
        <mc:AlternateContent>
          <mc:Choice Requires="wps">
            <w:drawing>
              <wp:anchor distT="0" distB="0" distL="0" distR="0" allowOverlap="1" layoutInCell="1" locked="0" behindDoc="1" simplePos="0" relativeHeight="477868032">
                <wp:simplePos x="0" y="0"/>
                <wp:positionH relativeFrom="page">
                  <wp:posOffset>2348864</wp:posOffset>
                </wp:positionH>
                <wp:positionV relativeFrom="paragraph">
                  <wp:posOffset>212381</wp:posOffset>
                </wp:positionV>
                <wp:extent cx="1560195" cy="128905"/>
                <wp:effectExtent l="0" t="0" r="0" b="0"/>
                <wp:wrapNone/>
                <wp:docPr id="1192" name="Graphic 1192"/>
                <wp:cNvGraphicFramePr>
                  <a:graphicFrameLocks/>
                </wp:cNvGraphicFramePr>
                <a:graphic>
                  <a:graphicData uri="http://schemas.microsoft.com/office/word/2010/wordprocessingShape">
                    <wps:wsp>
                      <wps:cNvPr id="1192" name="Graphic 1192"/>
                      <wps:cNvSpPr/>
                      <wps:spPr>
                        <a:xfrm>
                          <a:off x="0" y="0"/>
                          <a:ext cx="1560195" cy="128905"/>
                        </a:xfrm>
                        <a:custGeom>
                          <a:avLst/>
                          <a:gdLst/>
                          <a:ahLst/>
                          <a:cxnLst/>
                          <a:rect l="l" t="t" r="r" b="b"/>
                          <a:pathLst>
                            <a:path w="1560195" h="128905">
                              <a:moveTo>
                                <a:pt x="1560194" y="128587"/>
                              </a:moveTo>
                              <a:lnTo>
                                <a:pt x="0" y="128587"/>
                              </a:lnTo>
                              <a:lnTo>
                                <a:pt x="0" y="0"/>
                              </a:lnTo>
                              <a:lnTo>
                                <a:pt x="1560194" y="0"/>
                              </a:lnTo>
                              <a:lnTo>
                                <a:pt x="1560194" y="128587"/>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84.949982pt;margin-top:16.722914pt;width:122.849991pt;height:10.124999pt;mso-position-horizontal-relative:page;mso-position-vertical-relative:paragraph;z-index:-25448448" id="docshape1190" filled="true" fillcolor="#ffffff" stroked="false">
                <v:fill type="solid"/>
                <w10:wrap type="none"/>
              </v:rect>
            </w:pict>
          </mc:Fallback>
        </mc:AlternateContent>
      </w:r>
      <w:r>
        <w:rPr/>
        <w:t>MGM Grand Paradise has received from the Macau government a concession to use a 10.67 acre parcel of land for MGM Macau (the “MGM Macau Land Contract”), and a concession to use an approximately 17.75 acre site parcel of land for MGM Cotai (the “MGM Cotai Land Contract”). The </w:t>
      </w:r>
      <w:r>
        <w:rPr/>
        <w:t>land concessions will expire on</w:t>
      </w:r>
      <w:r>
        <w:rPr>
          <w:spacing w:val="-3"/>
        </w:rPr>
        <w:t> </w:t>
      </w:r>
      <w:r>
        <w:rPr/>
        <w:t>April 6, 2031 and on January 8, 2038, respectively, and are renewable. MGM Grand Paradise is obligated to pay rent annually for</w:t>
      </w:r>
      <w:r>
        <w:rPr>
          <w:spacing w:val="40"/>
        </w:rPr>
        <w:t> </w:t>
      </w:r>
      <w:r>
        <w:rPr/>
        <w:t>the term of the MGM Macau Land Contract and of the MGM Cotai Land Contract. The rent amounts may be revised every five years by the Macau government, according to the provisions of the Macau Land law.</w:t>
      </w:r>
    </w:p>
    <w:p>
      <w:pPr>
        <w:pStyle w:val="BodyText"/>
        <w:spacing w:line="235" w:lineRule="auto" w:before="196"/>
        <w:ind w:left="144" w:right="118" w:firstLine="440"/>
        <w:jc w:val="both"/>
      </w:pPr>
      <w:r>
        <w:rPr/>
        <w:t>MGM Grand Paradise received an exemption from Macau’s corporate income tax on profits generated by the operation of casino games of chance for </w:t>
      </w:r>
      <w:r>
        <w:rPr/>
        <w:t>a period</w:t>
      </w:r>
      <w:r>
        <w:rPr>
          <w:spacing w:val="-2"/>
        </w:rPr>
        <w:t> </w:t>
      </w:r>
      <w:r>
        <w:rPr/>
        <w:t>of</w:t>
      </w:r>
      <w:r>
        <w:rPr>
          <w:spacing w:val="-2"/>
        </w:rPr>
        <w:t> </w:t>
      </w:r>
      <w:r>
        <w:rPr/>
        <w:t>five-years</w:t>
      </w:r>
      <w:r>
        <w:rPr>
          <w:spacing w:val="-2"/>
        </w:rPr>
        <w:t> </w:t>
      </w:r>
      <w:r>
        <w:rPr/>
        <w:t>starting</w:t>
      </w:r>
      <w:r>
        <w:rPr>
          <w:spacing w:val="-2"/>
        </w:rPr>
        <w:t> </w:t>
      </w:r>
      <w:r>
        <w:rPr/>
        <w:t>at</w:t>
      </w:r>
      <w:r>
        <w:rPr>
          <w:spacing w:val="-2"/>
        </w:rPr>
        <w:t> </w:t>
      </w:r>
      <w:r>
        <w:rPr/>
        <w:t>January</w:t>
      </w:r>
      <w:r>
        <w:rPr>
          <w:spacing w:val="-2"/>
        </w:rPr>
        <w:t> </w:t>
      </w:r>
      <w:r>
        <w:rPr/>
        <w:t>1,</w:t>
      </w:r>
      <w:r>
        <w:rPr>
          <w:spacing w:val="-2"/>
        </w:rPr>
        <w:t> </w:t>
      </w:r>
      <w:r>
        <w:rPr/>
        <w:t>2007.</w:t>
      </w:r>
      <w:r>
        <w:rPr>
          <w:spacing w:val="-2"/>
        </w:rPr>
        <w:t> </w:t>
      </w:r>
      <w:r>
        <w:rPr/>
        <w:t>In</w:t>
      </w:r>
      <w:r>
        <w:rPr>
          <w:spacing w:val="-2"/>
        </w:rPr>
        <w:t> </w:t>
      </w:r>
      <w:r>
        <w:rPr/>
        <w:t>October</w:t>
      </w:r>
      <w:r>
        <w:rPr>
          <w:spacing w:val="-2"/>
        </w:rPr>
        <w:t> </w:t>
      </w:r>
      <w:r>
        <w:rPr/>
        <w:t>2011,</w:t>
      </w:r>
      <w:r>
        <w:rPr>
          <w:spacing w:val="-2"/>
        </w:rPr>
        <w:t> </w:t>
      </w:r>
      <w:r>
        <w:rPr/>
        <w:t>MGM</w:t>
      </w:r>
      <w:r>
        <w:rPr>
          <w:spacing w:val="-2"/>
        </w:rPr>
        <w:t> </w:t>
      </w:r>
      <w:r>
        <w:rPr/>
        <w:t>Grand</w:t>
      </w:r>
      <w:r>
        <w:rPr>
          <w:spacing w:val="-2"/>
        </w:rPr>
        <w:t> </w:t>
      </w:r>
      <w:r>
        <w:rPr/>
        <w:t>Paradise</w:t>
      </w:r>
      <w:r>
        <w:rPr>
          <w:spacing w:val="-2"/>
        </w:rPr>
        <w:t> </w:t>
      </w:r>
      <w:r>
        <w:rPr/>
        <w:t>was</w:t>
      </w:r>
      <w:r>
        <w:rPr>
          <w:spacing w:val="-2"/>
        </w:rPr>
        <w:t> </w:t>
      </w:r>
      <w:r>
        <w:rPr/>
        <w:t>granted</w:t>
      </w:r>
      <w:r>
        <w:rPr>
          <w:spacing w:val="-2"/>
        </w:rPr>
        <w:t> </w:t>
      </w:r>
      <w:r>
        <w:rPr/>
        <w:t>an</w:t>
      </w:r>
      <w:r>
        <w:rPr>
          <w:spacing w:val="-2"/>
        </w:rPr>
        <w:t> </w:t>
      </w:r>
      <w:r>
        <w:rPr/>
        <w:t>extension</w:t>
      </w:r>
      <w:r>
        <w:rPr>
          <w:spacing w:val="-2"/>
        </w:rPr>
        <w:t> </w:t>
      </w:r>
      <w:r>
        <w:rPr/>
        <w:t>of</w:t>
      </w:r>
      <w:r>
        <w:rPr>
          <w:spacing w:val="-2"/>
        </w:rPr>
        <w:t> </w:t>
      </w:r>
      <w:r>
        <w:rPr/>
        <w:t>this</w:t>
      </w:r>
      <w:r>
        <w:rPr>
          <w:spacing w:val="-2"/>
        </w:rPr>
        <w:t> </w:t>
      </w:r>
      <w:r>
        <w:rPr/>
        <w:t>exemption</w:t>
      </w:r>
      <w:r>
        <w:rPr>
          <w:spacing w:val="-2"/>
        </w:rPr>
        <w:t> </w:t>
      </w:r>
      <w:r>
        <w:rPr/>
        <w:t>for</w:t>
      </w:r>
      <w:r>
        <w:rPr>
          <w:spacing w:val="-2"/>
        </w:rPr>
        <w:t> </w:t>
      </w:r>
      <w:r>
        <w:rPr/>
        <w:t>an</w:t>
      </w:r>
      <w:r>
        <w:rPr>
          <w:spacing w:val="-2"/>
        </w:rPr>
        <w:t> </w:t>
      </w:r>
      <w:r>
        <w:rPr/>
        <w:t>additional</w:t>
      </w:r>
      <w:r>
        <w:rPr>
          <w:spacing w:val="-2"/>
        </w:rPr>
        <w:t> </w:t>
      </w:r>
      <w:r>
        <w:rPr/>
        <w:t>five</w:t>
      </w:r>
      <w:r>
        <w:rPr>
          <w:spacing w:val="-2"/>
        </w:rPr>
        <w:t> </w:t>
      </w:r>
      <w:r>
        <w:rPr/>
        <w:t>years. The exemption was further extended on September 7, 2016 through March 31, 2020, and further extended again on March 24, 2020 effective from April 1, 2020 through June 26, 2022 and further extended on September 1, 2022 through December 31, 2022.</w:t>
      </w:r>
    </w:p>
    <w:p>
      <w:pPr>
        <w:pStyle w:val="BodyText"/>
      </w:pPr>
    </w:p>
    <w:p>
      <w:pPr>
        <w:pStyle w:val="BodyText"/>
      </w:pPr>
    </w:p>
    <w:p>
      <w:pPr>
        <w:pStyle w:val="BodyText"/>
      </w:pPr>
    </w:p>
    <w:p>
      <w:pPr>
        <w:pStyle w:val="BodyText"/>
        <w:spacing w:before="58"/>
      </w:pPr>
    </w:p>
    <w:p>
      <w:pPr>
        <w:pStyle w:val="BodyText"/>
        <w:spacing w:before="1"/>
        <w:ind w:left="24"/>
        <w:jc w:val="center"/>
      </w:pPr>
      <w:r>
        <w:rPr>
          <w:spacing w:val="-10"/>
        </w:rPr>
        <w:t>8</w:t>
      </w:r>
    </w:p>
    <w:sectPr>
      <w:pgSz w:w="12240" w:h="15840"/>
      <w:pgMar w:top="1440" w:bottom="280" w:left="2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Lucida Sans Unicode">
    <w:altName w:val="Lucida Sans Unicode"/>
    <w:charset w:val="1"/>
    <w:family w:val="swiss"/>
    <w:pitch w:val="variable"/>
  </w:font>
  <w:font w:name="Palatino Linotype">
    <w:altName w:val="Palatino Linotype"/>
    <w:charset w:val="1"/>
    <w:family w:val="roman"/>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1">
    <w:multiLevelType w:val="hybridMultilevel"/>
    <w:lvl w:ilvl="0">
      <w:start w:val="0"/>
      <w:numFmt w:val="bullet"/>
      <w:lvlText w:val="•"/>
      <w:lvlJc w:val="left"/>
      <w:pPr>
        <w:ind w:left="1116"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186" w:hanging="324"/>
      </w:pPr>
      <w:rPr>
        <w:rFonts w:hint="default"/>
        <w:lang w:val="en-US" w:eastAsia="en-US" w:bidi="ar-SA"/>
      </w:rPr>
    </w:lvl>
    <w:lvl w:ilvl="2">
      <w:start w:val="0"/>
      <w:numFmt w:val="bullet"/>
      <w:lvlText w:val="•"/>
      <w:lvlJc w:val="left"/>
      <w:pPr>
        <w:ind w:left="3252" w:hanging="324"/>
      </w:pPr>
      <w:rPr>
        <w:rFonts w:hint="default"/>
        <w:lang w:val="en-US" w:eastAsia="en-US" w:bidi="ar-SA"/>
      </w:rPr>
    </w:lvl>
    <w:lvl w:ilvl="3">
      <w:start w:val="0"/>
      <w:numFmt w:val="bullet"/>
      <w:lvlText w:val="•"/>
      <w:lvlJc w:val="left"/>
      <w:pPr>
        <w:ind w:left="4318" w:hanging="324"/>
      </w:pPr>
      <w:rPr>
        <w:rFonts w:hint="default"/>
        <w:lang w:val="en-US" w:eastAsia="en-US" w:bidi="ar-SA"/>
      </w:rPr>
    </w:lvl>
    <w:lvl w:ilvl="4">
      <w:start w:val="0"/>
      <w:numFmt w:val="bullet"/>
      <w:lvlText w:val="•"/>
      <w:lvlJc w:val="left"/>
      <w:pPr>
        <w:ind w:left="5384" w:hanging="324"/>
      </w:pPr>
      <w:rPr>
        <w:rFonts w:hint="default"/>
        <w:lang w:val="en-US" w:eastAsia="en-US" w:bidi="ar-SA"/>
      </w:rPr>
    </w:lvl>
    <w:lvl w:ilvl="5">
      <w:start w:val="0"/>
      <w:numFmt w:val="bullet"/>
      <w:lvlText w:val="•"/>
      <w:lvlJc w:val="left"/>
      <w:pPr>
        <w:ind w:left="6450" w:hanging="324"/>
      </w:pPr>
      <w:rPr>
        <w:rFonts w:hint="default"/>
        <w:lang w:val="en-US" w:eastAsia="en-US" w:bidi="ar-SA"/>
      </w:rPr>
    </w:lvl>
    <w:lvl w:ilvl="6">
      <w:start w:val="0"/>
      <w:numFmt w:val="bullet"/>
      <w:lvlText w:val="•"/>
      <w:lvlJc w:val="left"/>
      <w:pPr>
        <w:ind w:left="7516" w:hanging="324"/>
      </w:pPr>
      <w:rPr>
        <w:rFonts w:hint="default"/>
        <w:lang w:val="en-US" w:eastAsia="en-US" w:bidi="ar-SA"/>
      </w:rPr>
    </w:lvl>
    <w:lvl w:ilvl="7">
      <w:start w:val="0"/>
      <w:numFmt w:val="bullet"/>
      <w:lvlText w:val="•"/>
      <w:lvlJc w:val="left"/>
      <w:pPr>
        <w:ind w:left="8582" w:hanging="324"/>
      </w:pPr>
      <w:rPr>
        <w:rFonts w:hint="default"/>
        <w:lang w:val="en-US" w:eastAsia="en-US" w:bidi="ar-SA"/>
      </w:rPr>
    </w:lvl>
    <w:lvl w:ilvl="8">
      <w:start w:val="0"/>
      <w:numFmt w:val="bullet"/>
      <w:lvlText w:val="•"/>
      <w:lvlJc w:val="left"/>
      <w:pPr>
        <w:ind w:left="9648" w:hanging="324"/>
      </w:pPr>
      <w:rPr>
        <w:rFonts w:hint="default"/>
        <w:lang w:val="en-US" w:eastAsia="en-US" w:bidi="ar-SA"/>
      </w:rPr>
    </w:lvl>
  </w:abstractNum>
  <w:abstractNum w:abstractNumId="60">
    <w:multiLevelType w:val="hybridMultilevel"/>
    <w:lvl w:ilvl="0">
      <w:start w:val="1"/>
      <w:numFmt w:val="decimal"/>
      <w:lvlText w:val="(%1)"/>
      <w:lvlJc w:val="left"/>
      <w:pPr>
        <w:ind w:left="531" w:hanging="38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909"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108" w:hanging="324"/>
      </w:pPr>
      <w:rPr>
        <w:rFonts w:hint="default"/>
        <w:lang w:val="en-US" w:eastAsia="en-US" w:bidi="ar-SA"/>
      </w:rPr>
    </w:lvl>
    <w:lvl w:ilvl="3">
      <w:start w:val="0"/>
      <w:numFmt w:val="bullet"/>
      <w:lvlText w:val="•"/>
      <w:lvlJc w:val="left"/>
      <w:pPr>
        <w:ind w:left="3317" w:hanging="324"/>
      </w:pPr>
      <w:rPr>
        <w:rFonts w:hint="default"/>
        <w:lang w:val="en-US" w:eastAsia="en-US" w:bidi="ar-SA"/>
      </w:rPr>
    </w:lvl>
    <w:lvl w:ilvl="4">
      <w:start w:val="0"/>
      <w:numFmt w:val="bullet"/>
      <w:lvlText w:val="•"/>
      <w:lvlJc w:val="left"/>
      <w:pPr>
        <w:ind w:left="4526" w:hanging="324"/>
      </w:pPr>
      <w:rPr>
        <w:rFonts w:hint="default"/>
        <w:lang w:val="en-US" w:eastAsia="en-US" w:bidi="ar-SA"/>
      </w:rPr>
    </w:lvl>
    <w:lvl w:ilvl="5">
      <w:start w:val="0"/>
      <w:numFmt w:val="bullet"/>
      <w:lvlText w:val="•"/>
      <w:lvlJc w:val="left"/>
      <w:pPr>
        <w:ind w:left="5735" w:hanging="324"/>
      </w:pPr>
      <w:rPr>
        <w:rFonts w:hint="default"/>
        <w:lang w:val="en-US" w:eastAsia="en-US" w:bidi="ar-SA"/>
      </w:rPr>
    </w:lvl>
    <w:lvl w:ilvl="6">
      <w:start w:val="0"/>
      <w:numFmt w:val="bullet"/>
      <w:lvlText w:val="•"/>
      <w:lvlJc w:val="left"/>
      <w:pPr>
        <w:ind w:left="6944" w:hanging="324"/>
      </w:pPr>
      <w:rPr>
        <w:rFonts w:hint="default"/>
        <w:lang w:val="en-US" w:eastAsia="en-US" w:bidi="ar-SA"/>
      </w:rPr>
    </w:lvl>
    <w:lvl w:ilvl="7">
      <w:start w:val="0"/>
      <w:numFmt w:val="bullet"/>
      <w:lvlText w:val="•"/>
      <w:lvlJc w:val="left"/>
      <w:pPr>
        <w:ind w:left="8153" w:hanging="324"/>
      </w:pPr>
      <w:rPr>
        <w:rFonts w:hint="default"/>
        <w:lang w:val="en-US" w:eastAsia="en-US" w:bidi="ar-SA"/>
      </w:rPr>
    </w:lvl>
    <w:lvl w:ilvl="8">
      <w:start w:val="0"/>
      <w:numFmt w:val="bullet"/>
      <w:lvlText w:val="•"/>
      <w:lvlJc w:val="left"/>
      <w:pPr>
        <w:ind w:left="9362" w:hanging="324"/>
      </w:pPr>
      <w:rPr>
        <w:rFonts w:hint="default"/>
        <w:lang w:val="en-US" w:eastAsia="en-US" w:bidi="ar-SA"/>
      </w:rPr>
    </w:lvl>
  </w:abstractNum>
  <w:abstractNum w:abstractNumId="59">
    <w:multiLevelType w:val="hybridMultilevel"/>
    <w:lvl w:ilvl="0">
      <w:start w:val="1"/>
      <w:numFmt w:val="decimal"/>
      <w:lvlText w:val="(%1)"/>
      <w:lvlJc w:val="left"/>
      <w:pPr>
        <w:ind w:left="531" w:hanging="38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664" w:hanging="387"/>
      </w:pPr>
      <w:rPr>
        <w:rFonts w:hint="default"/>
        <w:lang w:val="en-US" w:eastAsia="en-US" w:bidi="ar-SA"/>
      </w:rPr>
    </w:lvl>
    <w:lvl w:ilvl="2">
      <w:start w:val="0"/>
      <w:numFmt w:val="bullet"/>
      <w:lvlText w:val="•"/>
      <w:lvlJc w:val="left"/>
      <w:pPr>
        <w:ind w:left="2788" w:hanging="387"/>
      </w:pPr>
      <w:rPr>
        <w:rFonts w:hint="default"/>
        <w:lang w:val="en-US" w:eastAsia="en-US" w:bidi="ar-SA"/>
      </w:rPr>
    </w:lvl>
    <w:lvl w:ilvl="3">
      <w:start w:val="0"/>
      <w:numFmt w:val="bullet"/>
      <w:lvlText w:val="•"/>
      <w:lvlJc w:val="left"/>
      <w:pPr>
        <w:ind w:left="3912" w:hanging="387"/>
      </w:pPr>
      <w:rPr>
        <w:rFonts w:hint="default"/>
        <w:lang w:val="en-US" w:eastAsia="en-US" w:bidi="ar-SA"/>
      </w:rPr>
    </w:lvl>
    <w:lvl w:ilvl="4">
      <w:start w:val="0"/>
      <w:numFmt w:val="bullet"/>
      <w:lvlText w:val="•"/>
      <w:lvlJc w:val="left"/>
      <w:pPr>
        <w:ind w:left="5036" w:hanging="387"/>
      </w:pPr>
      <w:rPr>
        <w:rFonts w:hint="default"/>
        <w:lang w:val="en-US" w:eastAsia="en-US" w:bidi="ar-SA"/>
      </w:rPr>
    </w:lvl>
    <w:lvl w:ilvl="5">
      <w:start w:val="0"/>
      <w:numFmt w:val="bullet"/>
      <w:lvlText w:val="•"/>
      <w:lvlJc w:val="left"/>
      <w:pPr>
        <w:ind w:left="6160" w:hanging="387"/>
      </w:pPr>
      <w:rPr>
        <w:rFonts w:hint="default"/>
        <w:lang w:val="en-US" w:eastAsia="en-US" w:bidi="ar-SA"/>
      </w:rPr>
    </w:lvl>
    <w:lvl w:ilvl="6">
      <w:start w:val="0"/>
      <w:numFmt w:val="bullet"/>
      <w:lvlText w:val="•"/>
      <w:lvlJc w:val="left"/>
      <w:pPr>
        <w:ind w:left="7284" w:hanging="387"/>
      </w:pPr>
      <w:rPr>
        <w:rFonts w:hint="default"/>
        <w:lang w:val="en-US" w:eastAsia="en-US" w:bidi="ar-SA"/>
      </w:rPr>
    </w:lvl>
    <w:lvl w:ilvl="7">
      <w:start w:val="0"/>
      <w:numFmt w:val="bullet"/>
      <w:lvlText w:val="•"/>
      <w:lvlJc w:val="left"/>
      <w:pPr>
        <w:ind w:left="8408" w:hanging="387"/>
      </w:pPr>
      <w:rPr>
        <w:rFonts w:hint="default"/>
        <w:lang w:val="en-US" w:eastAsia="en-US" w:bidi="ar-SA"/>
      </w:rPr>
    </w:lvl>
    <w:lvl w:ilvl="8">
      <w:start w:val="0"/>
      <w:numFmt w:val="bullet"/>
      <w:lvlText w:val="•"/>
      <w:lvlJc w:val="left"/>
      <w:pPr>
        <w:ind w:left="9532" w:hanging="387"/>
      </w:pPr>
      <w:rPr>
        <w:rFonts w:hint="default"/>
        <w:lang w:val="en-US" w:eastAsia="en-US" w:bidi="ar-SA"/>
      </w:rPr>
    </w:lvl>
  </w:abstractNum>
  <w:abstractNum w:abstractNumId="58">
    <w:multiLevelType w:val="hybridMultilevel"/>
    <w:lvl w:ilvl="0">
      <w:start w:val="1"/>
      <w:numFmt w:val="decimal"/>
      <w:lvlText w:val="%1."/>
      <w:lvlJc w:val="left"/>
      <w:pPr>
        <w:ind w:left="459" w:hanging="315"/>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1026" w:hanging="3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215" w:hanging="320"/>
      </w:pPr>
      <w:rPr>
        <w:rFonts w:hint="default"/>
        <w:lang w:val="en-US" w:eastAsia="en-US" w:bidi="ar-SA"/>
      </w:rPr>
    </w:lvl>
    <w:lvl w:ilvl="3">
      <w:start w:val="0"/>
      <w:numFmt w:val="bullet"/>
      <w:lvlText w:val="•"/>
      <w:lvlJc w:val="left"/>
      <w:pPr>
        <w:ind w:left="3411" w:hanging="320"/>
      </w:pPr>
      <w:rPr>
        <w:rFonts w:hint="default"/>
        <w:lang w:val="en-US" w:eastAsia="en-US" w:bidi="ar-SA"/>
      </w:rPr>
    </w:lvl>
    <w:lvl w:ilvl="4">
      <w:start w:val="0"/>
      <w:numFmt w:val="bullet"/>
      <w:lvlText w:val="•"/>
      <w:lvlJc w:val="left"/>
      <w:pPr>
        <w:ind w:left="4606" w:hanging="320"/>
      </w:pPr>
      <w:rPr>
        <w:rFonts w:hint="default"/>
        <w:lang w:val="en-US" w:eastAsia="en-US" w:bidi="ar-SA"/>
      </w:rPr>
    </w:lvl>
    <w:lvl w:ilvl="5">
      <w:start w:val="0"/>
      <w:numFmt w:val="bullet"/>
      <w:lvlText w:val="•"/>
      <w:lvlJc w:val="left"/>
      <w:pPr>
        <w:ind w:left="5802" w:hanging="320"/>
      </w:pPr>
      <w:rPr>
        <w:rFonts w:hint="default"/>
        <w:lang w:val="en-US" w:eastAsia="en-US" w:bidi="ar-SA"/>
      </w:rPr>
    </w:lvl>
    <w:lvl w:ilvl="6">
      <w:start w:val="0"/>
      <w:numFmt w:val="bullet"/>
      <w:lvlText w:val="•"/>
      <w:lvlJc w:val="left"/>
      <w:pPr>
        <w:ind w:left="6997" w:hanging="320"/>
      </w:pPr>
      <w:rPr>
        <w:rFonts w:hint="default"/>
        <w:lang w:val="en-US" w:eastAsia="en-US" w:bidi="ar-SA"/>
      </w:rPr>
    </w:lvl>
    <w:lvl w:ilvl="7">
      <w:start w:val="0"/>
      <w:numFmt w:val="bullet"/>
      <w:lvlText w:val="•"/>
      <w:lvlJc w:val="left"/>
      <w:pPr>
        <w:ind w:left="8193" w:hanging="320"/>
      </w:pPr>
      <w:rPr>
        <w:rFonts w:hint="default"/>
        <w:lang w:val="en-US" w:eastAsia="en-US" w:bidi="ar-SA"/>
      </w:rPr>
    </w:lvl>
    <w:lvl w:ilvl="8">
      <w:start w:val="0"/>
      <w:numFmt w:val="bullet"/>
      <w:lvlText w:val="•"/>
      <w:lvlJc w:val="left"/>
      <w:pPr>
        <w:ind w:left="9388" w:hanging="320"/>
      </w:pPr>
      <w:rPr>
        <w:rFonts w:hint="default"/>
        <w:lang w:val="en-US" w:eastAsia="en-US" w:bidi="ar-SA"/>
      </w:rPr>
    </w:lvl>
  </w:abstractNum>
  <w:abstractNum w:abstractNumId="57">
    <w:multiLevelType w:val="hybridMultilevel"/>
    <w:lvl w:ilvl="0">
      <w:start w:val="1"/>
      <w:numFmt w:val="decimal"/>
      <w:lvlText w:val="%1."/>
      <w:lvlJc w:val="left"/>
      <w:pPr>
        <w:ind w:left="459" w:hanging="315"/>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1026" w:hanging="3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215" w:hanging="320"/>
      </w:pPr>
      <w:rPr>
        <w:rFonts w:hint="default"/>
        <w:lang w:val="en-US" w:eastAsia="en-US" w:bidi="ar-SA"/>
      </w:rPr>
    </w:lvl>
    <w:lvl w:ilvl="3">
      <w:start w:val="0"/>
      <w:numFmt w:val="bullet"/>
      <w:lvlText w:val="•"/>
      <w:lvlJc w:val="left"/>
      <w:pPr>
        <w:ind w:left="3411" w:hanging="320"/>
      </w:pPr>
      <w:rPr>
        <w:rFonts w:hint="default"/>
        <w:lang w:val="en-US" w:eastAsia="en-US" w:bidi="ar-SA"/>
      </w:rPr>
    </w:lvl>
    <w:lvl w:ilvl="4">
      <w:start w:val="0"/>
      <w:numFmt w:val="bullet"/>
      <w:lvlText w:val="•"/>
      <w:lvlJc w:val="left"/>
      <w:pPr>
        <w:ind w:left="4606" w:hanging="320"/>
      </w:pPr>
      <w:rPr>
        <w:rFonts w:hint="default"/>
        <w:lang w:val="en-US" w:eastAsia="en-US" w:bidi="ar-SA"/>
      </w:rPr>
    </w:lvl>
    <w:lvl w:ilvl="5">
      <w:start w:val="0"/>
      <w:numFmt w:val="bullet"/>
      <w:lvlText w:val="•"/>
      <w:lvlJc w:val="left"/>
      <w:pPr>
        <w:ind w:left="5802" w:hanging="320"/>
      </w:pPr>
      <w:rPr>
        <w:rFonts w:hint="default"/>
        <w:lang w:val="en-US" w:eastAsia="en-US" w:bidi="ar-SA"/>
      </w:rPr>
    </w:lvl>
    <w:lvl w:ilvl="6">
      <w:start w:val="0"/>
      <w:numFmt w:val="bullet"/>
      <w:lvlText w:val="•"/>
      <w:lvlJc w:val="left"/>
      <w:pPr>
        <w:ind w:left="6997" w:hanging="320"/>
      </w:pPr>
      <w:rPr>
        <w:rFonts w:hint="default"/>
        <w:lang w:val="en-US" w:eastAsia="en-US" w:bidi="ar-SA"/>
      </w:rPr>
    </w:lvl>
    <w:lvl w:ilvl="7">
      <w:start w:val="0"/>
      <w:numFmt w:val="bullet"/>
      <w:lvlText w:val="•"/>
      <w:lvlJc w:val="left"/>
      <w:pPr>
        <w:ind w:left="8193" w:hanging="320"/>
      </w:pPr>
      <w:rPr>
        <w:rFonts w:hint="default"/>
        <w:lang w:val="en-US" w:eastAsia="en-US" w:bidi="ar-SA"/>
      </w:rPr>
    </w:lvl>
    <w:lvl w:ilvl="8">
      <w:start w:val="0"/>
      <w:numFmt w:val="bullet"/>
      <w:lvlText w:val="•"/>
      <w:lvlJc w:val="left"/>
      <w:pPr>
        <w:ind w:left="9388" w:hanging="320"/>
      </w:pPr>
      <w:rPr>
        <w:rFonts w:hint="default"/>
        <w:lang w:val="en-US" w:eastAsia="en-US" w:bidi="ar-SA"/>
      </w:rPr>
    </w:lvl>
  </w:abstractNum>
  <w:abstractNum w:abstractNumId="56">
    <w:multiLevelType w:val="hybridMultilevel"/>
    <w:lvl w:ilvl="0">
      <w:start w:val="1"/>
      <w:numFmt w:val="decimal"/>
      <w:lvlText w:val="(%1)"/>
      <w:lvlJc w:val="left"/>
      <w:pPr>
        <w:ind w:left="657" w:hanging="351"/>
        <w:jc w:val="left"/>
      </w:pPr>
      <w:rPr>
        <w:rFonts w:hint="default" w:ascii="Times New Roman" w:hAnsi="Times New Roman" w:eastAsia="Times New Roman" w:cs="Times New Roman"/>
        <w:b w:val="0"/>
        <w:bCs w:val="0"/>
        <w:i w:val="0"/>
        <w:iCs w:val="0"/>
        <w:spacing w:val="0"/>
        <w:w w:val="101"/>
        <w:sz w:val="16"/>
        <w:szCs w:val="16"/>
        <w:lang w:val="en-US" w:eastAsia="en-US" w:bidi="ar-SA"/>
      </w:rPr>
    </w:lvl>
    <w:lvl w:ilvl="1">
      <w:start w:val="0"/>
      <w:numFmt w:val="bullet"/>
      <w:lvlText w:val="•"/>
      <w:lvlJc w:val="left"/>
      <w:pPr>
        <w:ind w:left="1772" w:hanging="351"/>
      </w:pPr>
      <w:rPr>
        <w:rFonts w:hint="default"/>
        <w:lang w:val="en-US" w:eastAsia="en-US" w:bidi="ar-SA"/>
      </w:rPr>
    </w:lvl>
    <w:lvl w:ilvl="2">
      <w:start w:val="0"/>
      <w:numFmt w:val="bullet"/>
      <w:lvlText w:val="•"/>
      <w:lvlJc w:val="left"/>
      <w:pPr>
        <w:ind w:left="2884" w:hanging="351"/>
      </w:pPr>
      <w:rPr>
        <w:rFonts w:hint="default"/>
        <w:lang w:val="en-US" w:eastAsia="en-US" w:bidi="ar-SA"/>
      </w:rPr>
    </w:lvl>
    <w:lvl w:ilvl="3">
      <w:start w:val="0"/>
      <w:numFmt w:val="bullet"/>
      <w:lvlText w:val="•"/>
      <w:lvlJc w:val="left"/>
      <w:pPr>
        <w:ind w:left="3996" w:hanging="351"/>
      </w:pPr>
      <w:rPr>
        <w:rFonts w:hint="default"/>
        <w:lang w:val="en-US" w:eastAsia="en-US" w:bidi="ar-SA"/>
      </w:rPr>
    </w:lvl>
    <w:lvl w:ilvl="4">
      <w:start w:val="0"/>
      <w:numFmt w:val="bullet"/>
      <w:lvlText w:val="•"/>
      <w:lvlJc w:val="left"/>
      <w:pPr>
        <w:ind w:left="5108" w:hanging="351"/>
      </w:pPr>
      <w:rPr>
        <w:rFonts w:hint="default"/>
        <w:lang w:val="en-US" w:eastAsia="en-US" w:bidi="ar-SA"/>
      </w:rPr>
    </w:lvl>
    <w:lvl w:ilvl="5">
      <w:start w:val="0"/>
      <w:numFmt w:val="bullet"/>
      <w:lvlText w:val="•"/>
      <w:lvlJc w:val="left"/>
      <w:pPr>
        <w:ind w:left="6220" w:hanging="351"/>
      </w:pPr>
      <w:rPr>
        <w:rFonts w:hint="default"/>
        <w:lang w:val="en-US" w:eastAsia="en-US" w:bidi="ar-SA"/>
      </w:rPr>
    </w:lvl>
    <w:lvl w:ilvl="6">
      <w:start w:val="0"/>
      <w:numFmt w:val="bullet"/>
      <w:lvlText w:val="•"/>
      <w:lvlJc w:val="left"/>
      <w:pPr>
        <w:ind w:left="7332" w:hanging="351"/>
      </w:pPr>
      <w:rPr>
        <w:rFonts w:hint="default"/>
        <w:lang w:val="en-US" w:eastAsia="en-US" w:bidi="ar-SA"/>
      </w:rPr>
    </w:lvl>
    <w:lvl w:ilvl="7">
      <w:start w:val="0"/>
      <w:numFmt w:val="bullet"/>
      <w:lvlText w:val="•"/>
      <w:lvlJc w:val="left"/>
      <w:pPr>
        <w:ind w:left="8444" w:hanging="351"/>
      </w:pPr>
      <w:rPr>
        <w:rFonts w:hint="default"/>
        <w:lang w:val="en-US" w:eastAsia="en-US" w:bidi="ar-SA"/>
      </w:rPr>
    </w:lvl>
    <w:lvl w:ilvl="8">
      <w:start w:val="0"/>
      <w:numFmt w:val="bullet"/>
      <w:lvlText w:val="•"/>
      <w:lvlJc w:val="left"/>
      <w:pPr>
        <w:ind w:left="9556" w:hanging="351"/>
      </w:pPr>
      <w:rPr>
        <w:rFonts w:hint="default"/>
        <w:lang w:val="en-US" w:eastAsia="en-US" w:bidi="ar-SA"/>
      </w:rPr>
    </w:lvl>
  </w:abstractNum>
  <w:abstractNum w:abstractNumId="55">
    <w:multiLevelType w:val="hybridMultilevel"/>
    <w:lvl w:ilvl="0">
      <w:start w:val="1"/>
      <w:numFmt w:val="decimal"/>
      <w:lvlText w:val="%1."/>
      <w:lvlJc w:val="left"/>
      <w:pPr>
        <w:ind w:left="792" w:hanging="32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54">
    <w:multiLevelType w:val="hybridMultilevel"/>
    <w:lvl w:ilvl="0">
      <w:start w:val="10"/>
      <w:numFmt w:val="decimal"/>
      <w:lvlText w:val="%1."/>
      <w:lvlJc w:val="left"/>
      <w:pPr>
        <w:ind w:left="144" w:hanging="35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decimal"/>
      <w:lvlText w:val="%1.%2"/>
      <w:lvlJc w:val="left"/>
      <w:pPr>
        <w:ind w:left="468" w:hanging="447"/>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1"/>
      <w:numFmt w:val="decimal"/>
      <w:lvlText w:val="%1.%2.%3"/>
      <w:lvlJc w:val="left"/>
      <w:pPr>
        <w:ind w:left="792" w:hanging="617"/>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1380" w:hanging="617"/>
      </w:pPr>
      <w:rPr>
        <w:rFonts w:hint="default"/>
        <w:lang w:val="en-US" w:eastAsia="en-US" w:bidi="ar-SA"/>
      </w:rPr>
    </w:lvl>
    <w:lvl w:ilvl="4">
      <w:start w:val="0"/>
      <w:numFmt w:val="bullet"/>
      <w:lvlText w:val="•"/>
      <w:lvlJc w:val="left"/>
      <w:pPr>
        <w:ind w:left="2865" w:hanging="617"/>
      </w:pPr>
      <w:rPr>
        <w:rFonts w:hint="default"/>
        <w:lang w:val="en-US" w:eastAsia="en-US" w:bidi="ar-SA"/>
      </w:rPr>
    </w:lvl>
    <w:lvl w:ilvl="5">
      <w:start w:val="0"/>
      <w:numFmt w:val="bullet"/>
      <w:lvlText w:val="•"/>
      <w:lvlJc w:val="left"/>
      <w:pPr>
        <w:ind w:left="4351" w:hanging="617"/>
      </w:pPr>
      <w:rPr>
        <w:rFonts w:hint="default"/>
        <w:lang w:val="en-US" w:eastAsia="en-US" w:bidi="ar-SA"/>
      </w:rPr>
    </w:lvl>
    <w:lvl w:ilvl="6">
      <w:start w:val="0"/>
      <w:numFmt w:val="bullet"/>
      <w:lvlText w:val="•"/>
      <w:lvlJc w:val="left"/>
      <w:pPr>
        <w:ind w:left="5837" w:hanging="617"/>
      </w:pPr>
      <w:rPr>
        <w:rFonts w:hint="default"/>
        <w:lang w:val="en-US" w:eastAsia="en-US" w:bidi="ar-SA"/>
      </w:rPr>
    </w:lvl>
    <w:lvl w:ilvl="7">
      <w:start w:val="0"/>
      <w:numFmt w:val="bullet"/>
      <w:lvlText w:val="•"/>
      <w:lvlJc w:val="left"/>
      <w:pPr>
        <w:ind w:left="7322" w:hanging="617"/>
      </w:pPr>
      <w:rPr>
        <w:rFonts w:hint="default"/>
        <w:lang w:val="en-US" w:eastAsia="en-US" w:bidi="ar-SA"/>
      </w:rPr>
    </w:lvl>
    <w:lvl w:ilvl="8">
      <w:start w:val="0"/>
      <w:numFmt w:val="bullet"/>
      <w:lvlText w:val="•"/>
      <w:lvlJc w:val="left"/>
      <w:pPr>
        <w:ind w:left="8808" w:hanging="617"/>
      </w:pPr>
      <w:rPr>
        <w:rFonts w:hint="default"/>
        <w:lang w:val="en-US" w:eastAsia="en-US" w:bidi="ar-SA"/>
      </w:rPr>
    </w:lvl>
  </w:abstractNum>
  <w:abstractNum w:abstractNumId="53">
    <w:multiLevelType w:val="hybridMultilevel"/>
    <w:lvl w:ilvl="0">
      <w:start w:val="9"/>
      <w:numFmt w:val="decimal"/>
      <w:lvlText w:val="%1"/>
      <w:lvlJc w:val="left"/>
      <w:pPr>
        <w:ind w:left="144" w:hanging="162"/>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decimal"/>
      <w:lvlText w:val="%1.%2"/>
      <w:lvlJc w:val="left"/>
      <w:pPr>
        <w:ind w:left="468" w:hanging="329"/>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1717" w:hanging="329"/>
      </w:pPr>
      <w:rPr>
        <w:rFonts w:hint="default"/>
        <w:lang w:val="en-US" w:eastAsia="en-US" w:bidi="ar-SA"/>
      </w:rPr>
    </w:lvl>
    <w:lvl w:ilvl="3">
      <w:start w:val="0"/>
      <w:numFmt w:val="bullet"/>
      <w:lvlText w:val="•"/>
      <w:lvlJc w:val="left"/>
      <w:pPr>
        <w:ind w:left="2975" w:hanging="329"/>
      </w:pPr>
      <w:rPr>
        <w:rFonts w:hint="default"/>
        <w:lang w:val="en-US" w:eastAsia="en-US" w:bidi="ar-SA"/>
      </w:rPr>
    </w:lvl>
    <w:lvl w:ilvl="4">
      <w:start w:val="0"/>
      <w:numFmt w:val="bullet"/>
      <w:lvlText w:val="•"/>
      <w:lvlJc w:val="left"/>
      <w:pPr>
        <w:ind w:left="4233" w:hanging="329"/>
      </w:pPr>
      <w:rPr>
        <w:rFonts w:hint="default"/>
        <w:lang w:val="en-US" w:eastAsia="en-US" w:bidi="ar-SA"/>
      </w:rPr>
    </w:lvl>
    <w:lvl w:ilvl="5">
      <w:start w:val="0"/>
      <w:numFmt w:val="bullet"/>
      <w:lvlText w:val="•"/>
      <w:lvlJc w:val="left"/>
      <w:pPr>
        <w:ind w:left="5491" w:hanging="329"/>
      </w:pPr>
      <w:rPr>
        <w:rFonts w:hint="default"/>
        <w:lang w:val="en-US" w:eastAsia="en-US" w:bidi="ar-SA"/>
      </w:rPr>
    </w:lvl>
    <w:lvl w:ilvl="6">
      <w:start w:val="0"/>
      <w:numFmt w:val="bullet"/>
      <w:lvlText w:val="•"/>
      <w:lvlJc w:val="left"/>
      <w:pPr>
        <w:ind w:left="6748" w:hanging="329"/>
      </w:pPr>
      <w:rPr>
        <w:rFonts w:hint="default"/>
        <w:lang w:val="en-US" w:eastAsia="en-US" w:bidi="ar-SA"/>
      </w:rPr>
    </w:lvl>
    <w:lvl w:ilvl="7">
      <w:start w:val="0"/>
      <w:numFmt w:val="bullet"/>
      <w:lvlText w:val="•"/>
      <w:lvlJc w:val="left"/>
      <w:pPr>
        <w:ind w:left="8006" w:hanging="329"/>
      </w:pPr>
      <w:rPr>
        <w:rFonts w:hint="default"/>
        <w:lang w:val="en-US" w:eastAsia="en-US" w:bidi="ar-SA"/>
      </w:rPr>
    </w:lvl>
    <w:lvl w:ilvl="8">
      <w:start w:val="0"/>
      <w:numFmt w:val="bullet"/>
      <w:lvlText w:val="•"/>
      <w:lvlJc w:val="left"/>
      <w:pPr>
        <w:ind w:left="9264" w:hanging="329"/>
      </w:pPr>
      <w:rPr>
        <w:rFonts w:hint="default"/>
        <w:lang w:val="en-US" w:eastAsia="en-US" w:bidi="ar-SA"/>
      </w:rPr>
    </w:lvl>
  </w:abstractNum>
  <w:abstractNum w:abstractNumId="52">
    <w:multiLevelType w:val="hybridMultilevel"/>
    <w:lvl w:ilvl="0">
      <w:start w:val="8"/>
      <w:numFmt w:val="decimal"/>
      <w:lvlText w:val="%1"/>
      <w:lvlJc w:val="left"/>
      <w:pPr>
        <w:ind w:left="792" w:hanging="497"/>
        <w:jc w:val="left"/>
      </w:pPr>
      <w:rPr>
        <w:rFonts w:hint="default"/>
        <w:lang w:val="en-US" w:eastAsia="en-US" w:bidi="ar-SA"/>
      </w:rPr>
    </w:lvl>
    <w:lvl w:ilvl="1">
      <w:start w:val="3"/>
      <w:numFmt w:val="decimal"/>
      <w:lvlText w:val="%1.%2"/>
      <w:lvlJc w:val="left"/>
      <w:pPr>
        <w:ind w:left="792" w:hanging="497"/>
        <w:jc w:val="left"/>
      </w:pPr>
      <w:rPr>
        <w:rFonts w:hint="default"/>
        <w:lang w:val="en-US" w:eastAsia="en-US" w:bidi="ar-SA"/>
      </w:rPr>
    </w:lvl>
    <w:lvl w:ilvl="2">
      <w:start w:val="1"/>
      <w:numFmt w:val="decimal"/>
      <w:lvlText w:val="%1.%2.%3"/>
      <w:lvlJc w:val="left"/>
      <w:pPr>
        <w:ind w:left="792" w:hanging="497"/>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1"/>
      <w:numFmt w:val="decimal"/>
      <w:lvlText w:val="%1.%2.%3.%4"/>
      <w:lvlJc w:val="left"/>
      <w:pPr>
        <w:ind w:left="1116" w:hanging="65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4">
      <w:start w:val="0"/>
      <w:numFmt w:val="bullet"/>
      <w:lvlText w:val="•"/>
      <w:lvlJc w:val="left"/>
      <w:pPr>
        <w:ind w:left="4673" w:hanging="651"/>
      </w:pPr>
      <w:rPr>
        <w:rFonts w:hint="default"/>
        <w:lang w:val="en-US" w:eastAsia="en-US" w:bidi="ar-SA"/>
      </w:rPr>
    </w:lvl>
    <w:lvl w:ilvl="5">
      <w:start w:val="0"/>
      <w:numFmt w:val="bullet"/>
      <w:lvlText w:val="•"/>
      <w:lvlJc w:val="left"/>
      <w:pPr>
        <w:ind w:left="5857" w:hanging="651"/>
      </w:pPr>
      <w:rPr>
        <w:rFonts w:hint="default"/>
        <w:lang w:val="en-US" w:eastAsia="en-US" w:bidi="ar-SA"/>
      </w:rPr>
    </w:lvl>
    <w:lvl w:ilvl="6">
      <w:start w:val="0"/>
      <w:numFmt w:val="bullet"/>
      <w:lvlText w:val="•"/>
      <w:lvlJc w:val="left"/>
      <w:pPr>
        <w:ind w:left="7042" w:hanging="651"/>
      </w:pPr>
      <w:rPr>
        <w:rFonts w:hint="default"/>
        <w:lang w:val="en-US" w:eastAsia="en-US" w:bidi="ar-SA"/>
      </w:rPr>
    </w:lvl>
    <w:lvl w:ilvl="7">
      <w:start w:val="0"/>
      <w:numFmt w:val="bullet"/>
      <w:lvlText w:val="•"/>
      <w:lvlJc w:val="left"/>
      <w:pPr>
        <w:ind w:left="8226" w:hanging="651"/>
      </w:pPr>
      <w:rPr>
        <w:rFonts w:hint="default"/>
        <w:lang w:val="en-US" w:eastAsia="en-US" w:bidi="ar-SA"/>
      </w:rPr>
    </w:lvl>
    <w:lvl w:ilvl="8">
      <w:start w:val="0"/>
      <w:numFmt w:val="bullet"/>
      <w:lvlText w:val="•"/>
      <w:lvlJc w:val="left"/>
      <w:pPr>
        <w:ind w:left="9411" w:hanging="651"/>
      </w:pPr>
      <w:rPr>
        <w:rFonts w:hint="default"/>
        <w:lang w:val="en-US" w:eastAsia="en-US" w:bidi="ar-SA"/>
      </w:rPr>
    </w:lvl>
  </w:abstractNum>
  <w:abstractNum w:abstractNumId="51">
    <w:multiLevelType w:val="hybridMultilevel"/>
    <w:lvl w:ilvl="0">
      <w:start w:val="8"/>
      <w:numFmt w:val="decimal"/>
      <w:lvlText w:val="%1"/>
      <w:lvlJc w:val="left"/>
      <w:pPr>
        <w:ind w:left="792" w:hanging="497"/>
        <w:jc w:val="left"/>
      </w:pPr>
      <w:rPr>
        <w:rFonts w:hint="default"/>
        <w:lang w:val="en-US" w:eastAsia="en-US" w:bidi="ar-SA"/>
      </w:rPr>
    </w:lvl>
    <w:lvl w:ilvl="1">
      <w:start w:val="2"/>
      <w:numFmt w:val="decimal"/>
      <w:lvlText w:val="%1.%2"/>
      <w:lvlJc w:val="left"/>
      <w:pPr>
        <w:ind w:left="792" w:hanging="497"/>
        <w:jc w:val="left"/>
      </w:pPr>
      <w:rPr>
        <w:rFonts w:hint="default"/>
        <w:lang w:val="en-US" w:eastAsia="en-US" w:bidi="ar-SA"/>
      </w:rPr>
    </w:lvl>
    <w:lvl w:ilvl="2">
      <w:start w:val="1"/>
      <w:numFmt w:val="decimal"/>
      <w:lvlText w:val="%1.%2.%3"/>
      <w:lvlJc w:val="left"/>
      <w:pPr>
        <w:ind w:left="792" w:hanging="497"/>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4094" w:hanging="497"/>
      </w:pPr>
      <w:rPr>
        <w:rFonts w:hint="default"/>
        <w:lang w:val="en-US" w:eastAsia="en-US" w:bidi="ar-SA"/>
      </w:rPr>
    </w:lvl>
    <w:lvl w:ilvl="4">
      <w:start w:val="0"/>
      <w:numFmt w:val="bullet"/>
      <w:lvlText w:val="•"/>
      <w:lvlJc w:val="left"/>
      <w:pPr>
        <w:ind w:left="5192" w:hanging="497"/>
      </w:pPr>
      <w:rPr>
        <w:rFonts w:hint="default"/>
        <w:lang w:val="en-US" w:eastAsia="en-US" w:bidi="ar-SA"/>
      </w:rPr>
    </w:lvl>
    <w:lvl w:ilvl="5">
      <w:start w:val="0"/>
      <w:numFmt w:val="bullet"/>
      <w:lvlText w:val="•"/>
      <w:lvlJc w:val="left"/>
      <w:pPr>
        <w:ind w:left="6290" w:hanging="497"/>
      </w:pPr>
      <w:rPr>
        <w:rFonts w:hint="default"/>
        <w:lang w:val="en-US" w:eastAsia="en-US" w:bidi="ar-SA"/>
      </w:rPr>
    </w:lvl>
    <w:lvl w:ilvl="6">
      <w:start w:val="0"/>
      <w:numFmt w:val="bullet"/>
      <w:lvlText w:val="•"/>
      <w:lvlJc w:val="left"/>
      <w:pPr>
        <w:ind w:left="7388" w:hanging="497"/>
      </w:pPr>
      <w:rPr>
        <w:rFonts w:hint="default"/>
        <w:lang w:val="en-US" w:eastAsia="en-US" w:bidi="ar-SA"/>
      </w:rPr>
    </w:lvl>
    <w:lvl w:ilvl="7">
      <w:start w:val="0"/>
      <w:numFmt w:val="bullet"/>
      <w:lvlText w:val="•"/>
      <w:lvlJc w:val="left"/>
      <w:pPr>
        <w:ind w:left="8486" w:hanging="497"/>
      </w:pPr>
      <w:rPr>
        <w:rFonts w:hint="default"/>
        <w:lang w:val="en-US" w:eastAsia="en-US" w:bidi="ar-SA"/>
      </w:rPr>
    </w:lvl>
    <w:lvl w:ilvl="8">
      <w:start w:val="0"/>
      <w:numFmt w:val="bullet"/>
      <w:lvlText w:val="•"/>
      <w:lvlJc w:val="left"/>
      <w:pPr>
        <w:ind w:left="9584" w:hanging="497"/>
      </w:pPr>
      <w:rPr>
        <w:rFonts w:hint="default"/>
        <w:lang w:val="en-US" w:eastAsia="en-US" w:bidi="ar-SA"/>
      </w:rPr>
    </w:lvl>
  </w:abstractNum>
  <w:abstractNum w:abstractNumId="50">
    <w:multiLevelType w:val="hybridMultilevel"/>
    <w:lvl w:ilvl="0">
      <w:start w:val="1"/>
      <w:numFmt w:val="decimal"/>
      <w:lvlText w:val="%1."/>
      <w:lvlJc w:val="left"/>
      <w:pPr>
        <w:ind w:left="151" w:hanging="24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decimal"/>
      <w:lvlText w:val="%1.%2"/>
      <w:lvlJc w:val="left"/>
      <w:pPr>
        <w:ind w:left="468" w:hanging="325"/>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1"/>
      <w:numFmt w:val="decimal"/>
      <w:lvlText w:val="%1.%2.%3."/>
      <w:lvlJc w:val="left"/>
      <w:pPr>
        <w:ind w:left="792" w:hanging="57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2172" w:hanging="571"/>
      </w:pPr>
      <w:rPr>
        <w:rFonts w:hint="default"/>
        <w:lang w:val="en-US" w:eastAsia="en-US" w:bidi="ar-SA"/>
      </w:rPr>
    </w:lvl>
    <w:lvl w:ilvl="4">
      <w:start w:val="0"/>
      <w:numFmt w:val="bullet"/>
      <w:lvlText w:val="•"/>
      <w:lvlJc w:val="left"/>
      <w:pPr>
        <w:ind w:left="3545" w:hanging="571"/>
      </w:pPr>
      <w:rPr>
        <w:rFonts w:hint="default"/>
        <w:lang w:val="en-US" w:eastAsia="en-US" w:bidi="ar-SA"/>
      </w:rPr>
    </w:lvl>
    <w:lvl w:ilvl="5">
      <w:start w:val="0"/>
      <w:numFmt w:val="bullet"/>
      <w:lvlText w:val="•"/>
      <w:lvlJc w:val="left"/>
      <w:pPr>
        <w:ind w:left="4917" w:hanging="571"/>
      </w:pPr>
      <w:rPr>
        <w:rFonts w:hint="default"/>
        <w:lang w:val="en-US" w:eastAsia="en-US" w:bidi="ar-SA"/>
      </w:rPr>
    </w:lvl>
    <w:lvl w:ilvl="6">
      <w:start w:val="0"/>
      <w:numFmt w:val="bullet"/>
      <w:lvlText w:val="•"/>
      <w:lvlJc w:val="left"/>
      <w:pPr>
        <w:ind w:left="6290" w:hanging="571"/>
      </w:pPr>
      <w:rPr>
        <w:rFonts w:hint="default"/>
        <w:lang w:val="en-US" w:eastAsia="en-US" w:bidi="ar-SA"/>
      </w:rPr>
    </w:lvl>
    <w:lvl w:ilvl="7">
      <w:start w:val="0"/>
      <w:numFmt w:val="bullet"/>
      <w:lvlText w:val="•"/>
      <w:lvlJc w:val="left"/>
      <w:pPr>
        <w:ind w:left="7662" w:hanging="571"/>
      </w:pPr>
      <w:rPr>
        <w:rFonts w:hint="default"/>
        <w:lang w:val="en-US" w:eastAsia="en-US" w:bidi="ar-SA"/>
      </w:rPr>
    </w:lvl>
    <w:lvl w:ilvl="8">
      <w:start w:val="0"/>
      <w:numFmt w:val="bullet"/>
      <w:lvlText w:val="•"/>
      <w:lvlJc w:val="left"/>
      <w:pPr>
        <w:ind w:left="9035" w:hanging="571"/>
      </w:pPr>
      <w:rPr>
        <w:rFonts w:hint="default"/>
        <w:lang w:val="en-US" w:eastAsia="en-US" w:bidi="ar-SA"/>
      </w:rPr>
    </w:lvl>
  </w:abstractNum>
  <w:abstractNum w:abstractNumId="49">
    <w:multiLevelType w:val="hybridMultilevel"/>
    <w:lvl w:ilvl="0">
      <w:start w:val="1"/>
      <w:numFmt w:val="decimal"/>
      <w:lvlText w:val="%1."/>
      <w:lvlJc w:val="left"/>
      <w:pPr>
        <w:ind w:left="792" w:hanging="325"/>
        <w:jc w:val="left"/>
      </w:pPr>
      <w:rPr>
        <w:rFonts w:hint="default" w:ascii="Arial" w:hAnsi="Arial" w:eastAsia="Arial" w:cs="Arial"/>
        <w:b w:val="0"/>
        <w:bCs w:val="0"/>
        <w:i w:val="0"/>
        <w:iCs w:val="0"/>
        <w:spacing w:val="0"/>
        <w:w w:val="104"/>
        <w:sz w:val="19"/>
        <w:szCs w:val="19"/>
        <w:lang w:val="en-US" w:eastAsia="en-US" w:bidi="ar-SA"/>
      </w:rPr>
    </w:lvl>
    <w:lvl w:ilvl="1">
      <w:start w:val="1"/>
      <w:numFmt w:val="lowerLetter"/>
      <w:lvlText w:val="%2."/>
      <w:lvlJc w:val="left"/>
      <w:pPr>
        <w:ind w:left="1116" w:hanging="325"/>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2304" w:hanging="325"/>
      </w:pPr>
      <w:rPr>
        <w:rFonts w:hint="default"/>
        <w:lang w:val="en-US" w:eastAsia="en-US" w:bidi="ar-SA"/>
      </w:rPr>
    </w:lvl>
    <w:lvl w:ilvl="3">
      <w:start w:val="0"/>
      <w:numFmt w:val="bullet"/>
      <w:lvlText w:val="•"/>
      <w:lvlJc w:val="left"/>
      <w:pPr>
        <w:ind w:left="3488" w:hanging="325"/>
      </w:pPr>
      <w:rPr>
        <w:rFonts w:hint="default"/>
        <w:lang w:val="en-US" w:eastAsia="en-US" w:bidi="ar-SA"/>
      </w:rPr>
    </w:lvl>
    <w:lvl w:ilvl="4">
      <w:start w:val="0"/>
      <w:numFmt w:val="bullet"/>
      <w:lvlText w:val="•"/>
      <w:lvlJc w:val="left"/>
      <w:pPr>
        <w:ind w:left="4673" w:hanging="325"/>
      </w:pPr>
      <w:rPr>
        <w:rFonts w:hint="default"/>
        <w:lang w:val="en-US" w:eastAsia="en-US" w:bidi="ar-SA"/>
      </w:rPr>
    </w:lvl>
    <w:lvl w:ilvl="5">
      <w:start w:val="0"/>
      <w:numFmt w:val="bullet"/>
      <w:lvlText w:val="•"/>
      <w:lvlJc w:val="left"/>
      <w:pPr>
        <w:ind w:left="5857" w:hanging="325"/>
      </w:pPr>
      <w:rPr>
        <w:rFonts w:hint="default"/>
        <w:lang w:val="en-US" w:eastAsia="en-US" w:bidi="ar-SA"/>
      </w:rPr>
    </w:lvl>
    <w:lvl w:ilvl="6">
      <w:start w:val="0"/>
      <w:numFmt w:val="bullet"/>
      <w:lvlText w:val="•"/>
      <w:lvlJc w:val="left"/>
      <w:pPr>
        <w:ind w:left="7042" w:hanging="325"/>
      </w:pPr>
      <w:rPr>
        <w:rFonts w:hint="default"/>
        <w:lang w:val="en-US" w:eastAsia="en-US" w:bidi="ar-SA"/>
      </w:rPr>
    </w:lvl>
    <w:lvl w:ilvl="7">
      <w:start w:val="0"/>
      <w:numFmt w:val="bullet"/>
      <w:lvlText w:val="•"/>
      <w:lvlJc w:val="left"/>
      <w:pPr>
        <w:ind w:left="8226" w:hanging="325"/>
      </w:pPr>
      <w:rPr>
        <w:rFonts w:hint="default"/>
        <w:lang w:val="en-US" w:eastAsia="en-US" w:bidi="ar-SA"/>
      </w:rPr>
    </w:lvl>
    <w:lvl w:ilvl="8">
      <w:start w:val="0"/>
      <w:numFmt w:val="bullet"/>
      <w:lvlText w:val="•"/>
      <w:lvlJc w:val="left"/>
      <w:pPr>
        <w:ind w:left="9411" w:hanging="325"/>
      </w:pPr>
      <w:rPr>
        <w:rFonts w:hint="default"/>
        <w:lang w:val="en-US" w:eastAsia="en-US" w:bidi="ar-SA"/>
      </w:rPr>
    </w:lvl>
  </w:abstractNum>
  <w:abstractNum w:abstractNumId="48">
    <w:multiLevelType w:val="hybridMultilevel"/>
    <w:lvl w:ilvl="0">
      <w:start w:val="1"/>
      <w:numFmt w:val="decimal"/>
      <w:lvlText w:val="%1."/>
      <w:lvlJc w:val="left"/>
      <w:pPr>
        <w:ind w:left="792" w:hanging="325"/>
        <w:jc w:val="left"/>
      </w:pPr>
      <w:rPr>
        <w:rFonts w:hint="default" w:ascii="Arial" w:hAnsi="Arial" w:eastAsia="Arial" w:cs="Arial"/>
        <w:b w:val="0"/>
        <w:bCs w:val="0"/>
        <w:i w:val="0"/>
        <w:iCs w:val="0"/>
        <w:spacing w:val="0"/>
        <w:w w:val="104"/>
        <w:sz w:val="19"/>
        <w:szCs w:val="19"/>
        <w:lang w:val="en-US" w:eastAsia="en-US" w:bidi="ar-SA"/>
      </w:rPr>
    </w:lvl>
    <w:lvl w:ilvl="1">
      <w:start w:val="1"/>
      <w:numFmt w:val="lowerLetter"/>
      <w:lvlText w:val="%2."/>
      <w:lvlJc w:val="left"/>
      <w:pPr>
        <w:ind w:left="1116" w:hanging="325"/>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2304" w:hanging="325"/>
      </w:pPr>
      <w:rPr>
        <w:rFonts w:hint="default"/>
        <w:lang w:val="en-US" w:eastAsia="en-US" w:bidi="ar-SA"/>
      </w:rPr>
    </w:lvl>
    <w:lvl w:ilvl="3">
      <w:start w:val="0"/>
      <w:numFmt w:val="bullet"/>
      <w:lvlText w:val="•"/>
      <w:lvlJc w:val="left"/>
      <w:pPr>
        <w:ind w:left="3488" w:hanging="325"/>
      </w:pPr>
      <w:rPr>
        <w:rFonts w:hint="default"/>
        <w:lang w:val="en-US" w:eastAsia="en-US" w:bidi="ar-SA"/>
      </w:rPr>
    </w:lvl>
    <w:lvl w:ilvl="4">
      <w:start w:val="0"/>
      <w:numFmt w:val="bullet"/>
      <w:lvlText w:val="•"/>
      <w:lvlJc w:val="left"/>
      <w:pPr>
        <w:ind w:left="4673" w:hanging="325"/>
      </w:pPr>
      <w:rPr>
        <w:rFonts w:hint="default"/>
        <w:lang w:val="en-US" w:eastAsia="en-US" w:bidi="ar-SA"/>
      </w:rPr>
    </w:lvl>
    <w:lvl w:ilvl="5">
      <w:start w:val="0"/>
      <w:numFmt w:val="bullet"/>
      <w:lvlText w:val="•"/>
      <w:lvlJc w:val="left"/>
      <w:pPr>
        <w:ind w:left="5857" w:hanging="325"/>
      </w:pPr>
      <w:rPr>
        <w:rFonts w:hint="default"/>
        <w:lang w:val="en-US" w:eastAsia="en-US" w:bidi="ar-SA"/>
      </w:rPr>
    </w:lvl>
    <w:lvl w:ilvl="6">
      <w:start w:val="0"/>
      <w:numFmt w:val="bullet"/>
      <w:lvlText w:val="•"/>
      <w:lvlJc w:val="left"/>
      <w:pPr>
        <w:ind w:left="7042" w:hanging="325"/>
      </w:pPr>
      <w:rPr>
        <w:rFonts w:hint="default"/>
        <w:lang w:val="en-US" w:eastAsia="en-US" w:bidi="ar-SA"/>
      </w:rPr>
    </w:lvl>
    <w:lvl w:ilvl="7">
      <w:start w:val="0"/>
      <w:numFmt w:val="bullet"/>
      <w:lvlText w:val="•"/>
      <w:lvlJc w:val="left"/>
      <w:pPr>
        <w:ind w:left="8226" w:hanging="325"/>
      </w:pPr>
      <w:rPr>
        <w:rFonts w:hint="default"/>
        <w:lang w:val="en-US" w:eastAsia="en-US" w:bidi="ar-SA"/>
      </w:rPr>
    </w:lvl>
    <w:lvl w:ilvl="8">
      <w:start w:val="0"/>
      <w:numFmt w:val="bullet"/>
      <w:lvlText w:val="•"/>
      <w:lvlJc w:val="left"/>
      <w:pPr>
        <w:ind w:left="9411" w:hanging="325"/>
      </w:pPr>
      <w:rPr>
        <w:rFonts w:hint="default"/>
        <w:lang w:val="en-US" w:eastAsia="en-US" w:bidi="ar-SA"/>
      </w:rPr>
    </w:lvl>
  </w:abstractNum>
  <w:abstractNum w:abstractNumId="47">
    <w:multiLevelType w:val="hybridMultilevel"/>
    <w:lvl w:ilvl="0">
      <w:start w:val="1"/>
      <w:numFmt w:val="decimal"/>
      <w:lvlText w:val="%1."/>
      <w:lvlJc w:val="left"/>
      <w:pPr>
        <w:ind w:left="792" w:hanging="325"/>
        <w:jc w:val="left"/>
      </w:pPr>
      <w:rPr>
        <w:rFonts w:hint="default" w:ascii="Arial" w:hAnsi="Arial" w:eastAsia="Arial" w:cs="Arial"/>
        <w:b w:val="0"/>
        <w:bCs w:val="0"/>
        <w:i w:val="0"/>
        <w:iCs w:val="0"/>
        <w:spacing w:val="0"/>
        <w:w w:val="104"/>
        <w:sz w:val="19"/>
        <w:szCs w:val="19"/>
        <w:lang w:val="en-US" w:eastAsia="en-US" w:bidi="ar-SA"/>
      </w:rPr>
    </w:lvl>
    <w:lvl w:ilvl="1">
      <w:start w:val="1"/>
      <w:numFmt w:val="lowerLetter"/>
      <w:lvlText w:val="%2."/>
      <w:lvlJc w:val="left"/>
      <w:pPr>
        <w:ind w:left="1116" w:hanging="325"/>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2304" w:hanging="325"/>
      </w:pPr>
      <w:rPr>
        <w:rFonts w:hint="default"/>
        <w:lang w:val="en-US" w:eastAsia="en-US" w:bidi="ar-SA"/>
      </w:rPr>
    </w:lvl>
    <w:lvl w:ilvl="3">
      <w:start w:val="0"/>
      <w:numFmt w:val="bullet"/>
      <w:lvlText w:val="•"/>
      <w:lvlJc w:val="left"/>
      <w:pPr>
        <w:ind w:left="3488" w:hanging="325"/>
      </w:pPr>
      <w:rPr>
        <w:rFonts w:hint="default"/>
        <w:lang w:val="en-US" w:eastAsia="en-US" w:bidi="ar-SA"/>
      </w:rPr>
    </w:lvl>
    <w:lvl w:ilvl="4">
      <w:start w:val="0"/>
      <w:numFmt w:val="bullet"/>
      <w:lvlText w:val="•"/>
      <w:lvlJc w:val="left"/>
      <w:pPr>
        <w:ind w:left="4673" w:hanging="325"/>
      </w:pPr>
      <w:rPr>
        <w:rFonts w:hint="default"/>
        <w:lang w:val="en-US" w:eastAsia="en-US" w:bidi="ar-SA"/>
      </w:rPr>
    </w:lvl>
    <w:lvl w:ilvl="5">
      <w:start w:val="0"/>
      <w:numFmt w:val="bullet"/>
      <w:lvlText w:val="•"/>
      <w:lvlJc w:val="left"/>
      <w:pPr>
        <w:ind w:left="5857" w:hanging="325"/>
      </w:pPr>
      <w:rPr>
        <w:rFonts w:hint="default"/>
        <w:lang w:val="en-US" w:eastAsia="en-US" w:bidi="ar-SA"/>
      </w:rPr>
    </w:lvl>
    <w:lvl w:ilvl="6">
      <w:start w:val="0"/>
      <w:numFmt w:val="bullet"/>
      <w:lvlText w:val="•"/>
      <w:lvlJc w:val="left"/>
      <w:pPr>
        <w:ind w:left="7042" w:hanging="325"/>
      </w:pPr>
      <w:rPr>
        <w:rFonts w:hint="default"/>
        <w:lang w:val="en-US" w:eastAsia="en-US" w:bidi="ar-SA"/>
      </w:rPr>
    </w:lvl>
    <w:lvl w:ilvl="7">
      <w:start w:val="0"/>
      <w:numFmt w:val="bullet"/>
      <w:lvlText w:val="•"/>
      <w:lvlJc w:val="left"/>
      <w:pPr>
        <w:ind w:left="8226" w:hanging="325"/>
      </w:pPr>
      <w:rPr>
        <w:rFonts w:hint="default"/>
        <w:lang w:val="en-US" w:eastAsia="en-US" w:bidi="ar-SA"/>
      </w:rPr>
    </w:lvl>
    <w:lvl w:ilvl="8">
      <w:start w:val="0"/>
      <w:numFmt w:val="bullet"/>
      <w:lvlText w:val="•"/>
      <w:lvlJc w:val="left"/>
      <w:pPr>
        <w:ind w:left="9411" w:hanging="325"/>
      </w:pPr>
      <w:rPr>
        <w:rFonts w:hint="default"/>
        <w:lang w:val="en-US" w:eastAsia="en-US" w:bidi="ar-SA"/>
      </w:rPr>
    </w:lvl>
  </w:abstractNum>
  <w:abstractNum w:abstractNumId="46">
    <w:multiLevelType w:val="hybridMultilevel"/>
    <w:lvl w:ilvl="0">
      <w:start w:val="1"/>
      <w:numFmt w:val="decimal"/>
      <w:lvlText w:val="%1."/>
      <w:lvlJc w:val="left"/>
      <w:pPr>
        <w:ind w:left="792" w:hanging="325"/>
        <w:jc w:val="left"/>
      </w:pPr>
      <w:rPr>
        <w:rFonts w:hint="default" w:ascii="Arial" w:hAnsi="Arial" w:eastAsia="Arial" w:cs="Arial"/>
        <w:b w:val="0"/>
        <w:bCs w:val="0"/>
        <w:i w:val="0"/>
        <w:iCs w:val="0"/>
        <w:spacing w:val="0"/>
        <w:w w:val="104"/>
        <w:sz w:val="19"/>
        <w:szCs w:val="19"/>
        <w:lang w:val="en-US" w:eastAsia="en-US" w:bidi="ar-SA"/>
      </w:rPr>
    </w:lvl>
    <w:lvl w:ilvl="1">
      <w:start w:val="1"/>
      <w:numFmt w:val="lowerLetter"/>
      <w:lvlText w:val="%2."/>
      <w:lvlJc w:val="left"/>
      <w:pPr>
        <w:ind w:left="1116" w:hanging="325"/>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2304" w:hanging="325"/>
      </w:pPr>
      <w:rPr>
        <w:rFonts w:hint="default"/>
        <w:lang w:val="en-US" w:eastAsia="en-US" w:bidi="ar-SA"/>
      </w:rPr>
    </w:lvl>
    <w:lvl w:ilvl="3">
      <w:start w:val="0"/>
      <w:numFmt w:val="bullet"/>
      <w:lvlText w:val="•"/>
      <w:lvlJc w:val="left"/>
      <w:pPr>
        <w:ind w:left="3488" w:hanging="325"/>
      </w:pPr>
      <w:rPr>
        <w:rFonts w:hint="default"/>
        <w:lang w:val="en-US" w:eastAsia="en-US" w:bidi="ar-SA"/>
      </w:rPr>
    </w:lvl>
    <w:lvl w:ilvl="4">
      <w:start w:val="0"/>
      <w:numFmt w:val="bullet"/>
      <w:lvlText w:val="•"/>
      <w:lvlJc w:val="left"/>
      <w:pPr>
        <w:ind w:left="4673" w:hanging="325"/>
      </w:pPr>
      <w:rPr>
        <w:rFonts w:hint="default"/>
        <w:lang w:val="en-US" w:eastAsia="en-US" w:bidi="ar-SA"/>
      </w:rPr>
    </w:lvl>
    <w:lvl w:ilvl="5">
      <w:start w:val="0"/>
      <w:numFmt w:val="bullet"/>
      <w:lvlText w:val="•"/>
      <w:lvlJc w:val="left"/>
      <w:pPr>
        <w:ind w:left="5857" w:hanging="325"/>
      </w:pPr>
      <w:rPr>
        <w:rFonts w:hint="default"/>
        <w:lang w:val="en-US" w:eastAsia="en-US" w:bidi="ar-SA"/>
      </w:rPr>
    </w:lvl>
    <w:lvl w:ilvl="6">
      <w:start w:val="0"/>
      <w:numFmt w:val="bullet"/>
      <w:lvlText w:val="•"/>
      <w:lvlJc w:val="left"/>
      <w:pPr>
        <w:ind w:left="7042" w:hanging="325"/>
      </w:pPr>
      <w:rPr>
        <w:rFonts w:hint="default"/>
        <w:lang w:val="en-US" w:eastAsia="en-US" w:bidi="ar-SA"/>
      </w:rPr>
    </w:lvl>
    <w:lvl w:ilvl="7">
      <w:start w:val="0"/>
      <w:numFmt w:val="bullet"/>
      <w:lvlText w:val="•"/>
      <w:lvlJc w:val="left"/>
      <w:pPr>
        <w:ind w:left="8226" w:hanging="325"/>
      </w:pPr>
      <w:rPr>
        <w:rFonts w:hint="default"/>
        <w:lang w:val="en-US" w:eastAsia="en-US" w:bidi="ar-SA"/>
      </w:rPr>
    </w:lvl>
    <w:lvl w:ilvl="8">
      <w:start w:val="0"/>
      <w:numFmt w:val="bullet"/>
      <w:lvlText w:val="•"/>
      <w:lvlJc w:val="left"/>
      <w:pPr>
        <w:ind w:left="9411" w:hanging="325"/>
      </w:pPr>
      <w:rPr>
        <w:rFonts w:hint="default"/>
        <w:lang w:val="en-US" w:eastAsia="en-US" w:bidi="ar-SA"/>
      </w:rPr>
    </w:lvl>
  </w:abstractNum>
  <w:abstractNum w:abstractNumId="45">
    <w:multiLevelType w:val="hybridMultilevel"/>
    <w:lvl w:ilvl="0">
      <w:start w:val="1"/>
      <w:numFmt w:val="decimal"/>
      <w:lvlText w:val="%1)"/>
      <w:lvlJc w:val="left"/>
      <w:pPr>
        <w:ind w:left="888"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4"/>
      </w:pPr>
      <w:rPr>
        <w:rFonts w:hint="default"/>
        <w:lang w:val="en-US" w:eastAsia="en-US" w:bidi="ar-SA"/>
      </w:rPr>
    </w:lvl>
    <w:lvl w:ilvl="2">
      <w:start w:val="0"/>
      <w:numFmt w:val="bullet"/>
      <w:lvlText w:val="•"/>
      <w:lvlJc w:val="left"/>
      <w:pPr>
        <w:ind w:left="3060" w:hanging="234"/>
      </w:pPr>
      <w:rPr>
        <w:rFonts w:hint="default"/>
        <w:lang w:val="en-US" w:eastAsia="en-US" w:bidi="ar-SA"/>
      </w:rPr>
    </w:lvl>
    <w:lvl w:ilvl="3">
      <w:start w:val="0"/>
      <w:numFmt w:val="bullet"/>
      <w:lvlText w:val="•"/>
      <w:lvlJc w:val="left"/>
      <w:pPr>
        <w:ind w:left="4150" w:hanging="234"/>
      </w:pPr>
      <w:rPr>
        <w:rFonts w:hint="default"/>
        <w:lang w:val="en-US" w:eastAsia="en-US" w:bidi="ar-SA"/>
      </w:rPr>
    </w:lvl>
    <w:lvl w:ilvl="4">
      <w:start w:val="0"/>
      <w:numFmt w:val="bullet"/>
      <w:lvlText w:val="•"/>
      <w:lvlJc w:val="left"/>
      <w:pPr>
        <w:ind w:left="5240" w:hanging="234"/>
      </w:pPr>
      <w:rPr>
        <w:rFonts w:hint="default"/>
        <w:lang w:val="en-US" w:eastAsia="en-US" w:bidi="ar-SA"/>
      </w:rPr>
    </w:lvl>
    <w:lvl w:ilvl="5">
      <w:start w:val="0"/>
      <w:numFmt w:val="bullet"/>
      <w:lvlText w:val="•"/>
      <w:lvlJc w:val="left"/>
      <w:pPr>
        <w:ind w:left="6330" w:hanging="234"/>
      </w:pPr>
      <w:rPr>
        <w:rFonts w:hint="default"/>
        <w:lang w:val="en-US" w:eastAsia="en-US" w:bidi="ar-SA"/>
      </w:rPr>
    </w:lvl>
    <w:lvl w:ilvl="6">
      <w:start w:val="0"/>
      <w:numFmt w:val="bullet"/>
      <w:lvlText w:val="•"/>
      <w:lvlJc w:val="left"/>
      <w:pPr>
        <w:ind w:left="7420" w:hanging="234"/>
      </w:pPr>
      <w:rPr>
        <w:rFonts w:hint="default"/>
        <w:lang w:val="en-US" w:eastAsia="en-US" w:bidi="ar-SA"/>
      </w:rPr>
    </w:lvl>
    <w:lvl w:ilvl="7">
      <w:start w:val="0"/>
      <w:numFmt w:val="bullet"/>
      <w:lvlText w:val="•"/>
      <w:lvlJc w:val="left"/>
      <w:pPr>
        <w:ind w:left="8510" w:hanging="234"/>
      </w:pPr>
      <w:rPr>
        <w:rFonts w:hint="default"/>
        <w:lang w:val="en-US" w:eastAsia="en-US" w:bidi="ar-SA"/>
      </w:rPr>
    </w:lvl>
    <w:lvl w:ilvl="8">
      <w:start w:val="0"/>
      <w:numFmt w:val="bullet"/>
      <w:lvlText w:val="•"/>
      <w:lvlJc w:val="left"/>
      <w:pPr>
        <w:ind w:left="9600" w:hanging="234"/>
      </w:pPr>
      <w:rPr>
        <w:rFonts w:hint="default"/>
        <w:lang w:val="en-US" w:eastAsia="en-US" w:bidi="ar-SA"/>
      </w:rPr>
    </w:lvl>
  </w:abstractNum>
  <w:abstractNum w:abstractNumId="44">
    <w:multiLevelType w:val="hybridMultilevel"/>
    <w:lvl w:ilvl="0">
      <w:start w:val="1"/>
      <w:numFmt w:val="decimal"/>
      <w:lvlText w:val="%1)"/>
      <w:lvlJc w:val="left"/>
      <w:pPr>
        <w:ind w:left="910" w:hanging="260"/>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006" w:hanging="260"/>
      </w:pPr>
      <w:rPr>
        <w:rFonts w:hint="default"/>
        <w:lang w:val="en-US" w:eastAsia="en-US" w:bidi="ar-SA"/>
      </w:rPr>
    </w:lvl>
    <w:lvl w:ilvl="2">
      <w:start w:val="0"/>
      <w:numFmt w:val="bullet"/>
      <w:lvlText w:val="•"/>
      <w:lvlJc w:val="left"/>
      <w:pPr>
        <w:ind w:left="3092" w:hanging="260"/>
      </w:pPr>
      <w:rPr>
        <w:rFonts w:hint="default"/>
        <w:lang w:val="en-US" w:eastAsia="en-US" w:bidi="ar-SA"/>
      </w:rPr>
    </w:lvl>
    <w:lvl w:ilvl="3">
      <w:start w:val="0"/>
      <w:numFmt w:val="bullet"/>
      <w:lvlText w:val="•"/>
      <w:lvlJc w:val="left"/>
      <w:pPr>
        <w:ind w:left="4178" w:hanging="260"/>
      </w:pPr>
      <w:rPr>
        <w:rFonts w:hint="default"/>
        <w:lang w:val="en-US" w:eastAsia="en-US" w:bidi="ar-SA"/>
      </w:rPr>
    </w:lvl>
    <w:lvl w:ilvl="4">
      <w:start w:val="0"/>
      <w:numFmt w:val="bullet"/>
      <w:lvlText w:val="•"/>
      <w:lvlJc w:val="left"/>
      <w:pPr>
        <w:ind w:left="5264" w:hanging="260"/>
      </w:pPr>
      <w:rPr>
        <w:rFonts w:hint="default"/>
        <w:lang w:val="en-US" w:eastAsia="en-US" w:bidi="ar-SA"/>
      </w:rPr>
    </w:lvl>
    <w:lvl w:ilvl="5">
      <w:start w:val="0"/>
      <w:numFmt w:val="bullet"/>
      <w:lvlText w:val="•"/>
      <w:lvlJc w:val="left"/>
      <w:pPr>
        <w:ind w:left="6350" w:hanging="260"/>
      </w:pPr>
      <w:rPr>
        <w:rFonts w:hint="default"/>
        <w:lang w:val="en-US" w:eastAsia="en-US" w:bidi="ar-SA"/>
      </w:rPr>
    </w:lvl>
    <w:lvl w:ilvl="6">
      <w:start w:val="0"/>
      <w:numFmt w:val="bullet"/>
      <w:lvlText w:val="•"/>
      <w:lvlJc w:val="left"/>
      <w:pPr>
        <w:ind w:left="7436" w:hanging="260"/>
      </w:pPr>
      <w:rPr>
        <w:rFonts w:hint="default"/>
        <w:lang w:val="en-US" w:eastAsia="en-US" w:bidi="ar-SA"/>
      </w:rPr>
    </w:lvl>
    <w:lvl w:ilvl="7">
      <w:start w:val="0"/>
      <w:numFmt w:val="bullet"/>
      <w:lvlText w:val="•"/>
      <w:lvlJc w:val="left"/>
      <w:pPr>
        <w:ind w:left="8522" w:hanging="260"/>
      </w:pPr>
      <w:rPr>
        <w:rFonts w:hint="default"/>
        <w:lang w:val="en-US" w:eastAsia="en-US" w:bidi="ar-SA"/>
      </w:rPr>
    </w:lvl>
    <w:lvl w:ilvl="8">
      <w:start w:val="0"/>
      <w:numFmt w:val="bullet"/>
      <w:lvlText w:val="•"/>
      <w:lvlJc w:val="left"/>
      <w:pPr>
        <w:ind w:left="9608" w:hanging="260"/>
      </w:pPr>
      <w:rPr>
        <w:rFonts w:hint="default"/>
        <w:lang w:val="en-US" w:eastAsia="en-US" w:bidi="ar-SA"/>
      </w:rPr>
    </w:lvl>
  </w:abstractNum>
  <w:abstractNum w:abstractNumId="43">
    <w:multiLevelType w:val="hybridMultilevel"/>
    <w:lvl w:ilvl="0">
      <w:start w:val="1"/>
      <w:numFmt w:val="decimal"/>
      <w:lvlText w:val="%1)"/>
      <w:lvlJc w:val="left"/>
      <w:pPr>
        <w:ind w:left="884" w:hanging="23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1"/>
      </w:pPr>
      <w:rPr>
        <w:rFonts w:hint="default"/>
        <w:lang w:val="en-US" w:eastAsia="en-US" w:bidi="ar-SA"/>
      </w:rPr>
    </w:lvl>
    <w:lvl w:ilvl="2">
      <w:start w:val="0"/>
      <w:numFmt w:val="bullet"/>
      <w:lvlText w:val="•"/>
      <w:lvlJc w:val="left"/>
      <w:pPr>
        <w:ind w:left="3060" w:hanging="231"/>
      </w:pPr>
      <w:rPr>
        <w:rFonts w:hint="default"/>
        <w:lang w:val="en-US" w:eastAsia="en-US" w:bidi="ar-SA"/>
      </w:rPr>
    </w:lvl>
    <w:lvl w:ilvl="3">
      <w:start w:val="0"/>
      <w:numFmt w:val="bullet"/>
      <w:lvlText w:val="•"/>
      <w:lvlJc w:val="left"/>
      <w:pPr>
        <w:ind w:left="4150" w:hanging="231"/>
      </w:pPr>
      <w:rPr>
        <w:rFonts w:hint="default"/>
        <w:lang w:val="en-US" w:eastAsia="en-US" w:bidi="ar-SA"/>
      </w:rPr>
    </w:lvl>
    <w:lvl w:ilvl="4">
      <w:start w:val="0"/>
      <w:numFmt w:val="bullet"/>
      <w:lvlText w:val="•"/>
      <w:lvlJc w:val="left"/>
      <w:pPr>
        <w:ind w:left="5240" w:hanging="231"/>
      </w:pPr>
      <w:rPr>
        <w:rFonts w:hint="default"/>
        <w:lang w:val="en-US" w:eastAsia="en-US" w:bidi="ar-SA"/>
      </w:rPr>
    </w:lvl>
    <w:lvl w:ilvl="5">
      <w:start w:val="0"/>
      <w:numFmt w:val="bullet"/>
      <w:lvlText w:val="•"/>
      <w:lvlJc w:val="left"/>
      <w:pPr>
        <w:ind w:left="6330" w:hanging="231"/>
      </w:pPr>
      <w:rPr>
        <w:rFonts w:hint="default"/>
        <w:lang w:val="en-US" w:eastAsia="en-US" w:bidi="ar-SA"/>
      </w:rPr>
    </w:lvl>
    <w:lvl w:ilvl="6">
      <w:start w:val="0"/>
      <w:numFmt w:val="bullet"/>
      <w:lvlText w:val="•"/>
      <w:lvlJc w:val="left"/>
      <w:pPr>
        <w:ind w:left="7420" w:hanging="231"/>
      </w:pPr>
      <w:rPr>
        <w:rFonts w:hint="default"/>
        <w:lang w:val="en-US" w:eastAsia="en-US" w:bidi="ar-SA"/>
      </w:rPr>
    </w:lvl>
    <w:lvl w:ilvl="7">
      <w:start w:val="0"/>
      <w:numFmt w:val="bullet"/>
      <w:lvlText w:val="•"/>
      <w:lvlJc w:val="left"/>
      <w:pPr>
        <w:ind w:left="8510" w:hanging="231"/>
      </w:pPr>
      <w:rPr>
        <w:rFonts w:hint="default"/>
        <w:lang w:val="en-US" w:eastAsia="en-US" w:bidi="ar-SA"/>
      </w:rPr>
    </w:lvl>
    <w:lvl w:ilvl="8">
      <w:start w:val="0"/>
      <w:numFmt w:val="bullet"/>
      <w:lvlText w:val="•"/>
      <w:lvlJc w:val="left"/>
      <w:pPr>
        <w:ind w:left="9600" w:hanging="231"/>
      </w:pPr>
      <w:rPr>
        <w:rFonts w:hint="default"/>
        <w:lang w:val="en-US" w:eastAsia="en-US" w:bidi="ar-SA"/>
      </w:rPr>
    </w:lvl>
  </w:abstractNum>
  <w:abstractNum w:abstractNumId="42">
    <w:multiLevelType w:val="hybridMultilevel"/>
    <w:lvl w:ilvl="0">
      <w:start w:val="0"/>
      <w:numFmt w:val="bullet"/>
      <w:lvlText w:val="-"/>
      <w:lvlJc w:val="left"/>
      <w:pPr>
        <w:ind w:left="776" w:hanging="123"/>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880" w:hanging="123"/>
      </w:pPr>
      <w:rPr>
        <w:rFonts w:hint="default"/>
        <w:lang w:val="en-US" w:eastAsia="en-US" w:bidi="ar-SA"/>
      </w:rPr>
    </w:lvl>
    <w:lvl w:ilvl="2">
      <w:start w:val="0"/>
      <w:numFmt w:val="bullet"/>
      <w:lvlText w:val="•"/>
      <w:lvlJc w:val="left"/>
      <w:pPr>
        <w:ind w:left="2980" w:hanging="123"/>
      </w:pPr>
      <w:rPr>
        <w:rFonts w:hint="default"/>
        <w:lang w:val="en-US" w:eastAsia="en-US" w:bidi="ar-SA"/>
      </w:rPr>
    </w:lvl>
    <w:lvl w:ilvl="3">
      <w:start w:val="0"/>
      <w:numFmt w:val="bullet"/>
      <w:lvlText w:val="•"/>
      <w:lvlJc w:val="left"/>
      <w:pPr>
        <w:ind w:left="4080" w:hanging="123"/>
      </w:pPr>
      <w:rPr>
        <w:rFonts w:hint="default"/>
        <w:lang w:val="en-US" w:eastAsia="en-US" w:bidi="ar-SA"/>
      </w:rPr>
    </w:lvl>
    <w:lvl w:ilvl="4">
      <w:start w:val="0"/>
      <w:numFmt w:val="bullet"/>
      <w:lvlText w:val="•"/>
      <w:lvlJc w:val="left"/>
      <w:pPr>
        <w:ind w:left="5180" w:hanging="123"/>
      </w:pPr>
      <w:rPr>
        <w:rFonts w:hint="default"/>
        <w:lang w:val="en-US" w:eastAsia="en-US" w:bidi="ar-SA"/>
      </w:rPr>
    </w:lvl>
    <w:lvl w:ilvl="5">
      <w:start w:val="0"/>
      <w:numFmt w:val="bullet"/>
      <w:lvlText w:val="•"/>
      <w:lvlJc w:val="left"/>
      <w:pPr>
        <w:ind w:left="6280" w:hanging="123"/>
      </w:pPr>
      <w:rPr>
        <w:rFonts w:hint="default"/>
        <w:lang w:val="en-US" w:eastAsia="en-US" w:bidi="ar-SA"/>
      </w:rPr>
    </w:lvl>
    <w:lvl w:ilvl="6">
      <w:start w:val="0"/>
      <w:numFmt w:val="bullet"/>
      <w:lvlText w:val="•"/>
      <w:lvlJc w:val="left"/>
      <w:pPr>
        <w:ind w:left="7380" w:hanging="123"/>
      </w:pPr>
      <w:rPr>
        <w:rFonts w:hint="default"/>
        <w:lang w:val="en-US" w:eastAsia="en-US" w:bidi="ar-SA"/>
      </w:rPr>
    </w:lvl>
    <w:lvl w:ilvl="7">
      <w:start w:val="0"/>
      <w:numFmt w:val="bullet"/>
      <w:lvlText w:val="•"/>
      <w:lvlJc w:val="left"/>
      <w:pPr>
        <w:ind w:left="8480" w:hanging="123"/>
      </w:pPr>
      <w:rPr>
        <w:rFonts w:hint="default"/>
        <w:lang w:val="en-US" w:eastAsia="en-US" w:bidi="ar-SA"/>
      </w:rPr>
    </w:lvl>
    <w:lvl w:ilvl="8">
      <w:start w:val="0"/>
      <w:numFmt w:val="bullet"/>
      <w:lvlText w:val="•"/>
      <w:lvlJc w:val="left"/>
      <w:pPr>
        <w:ind w:left="9580" w:hanging="123"/>
      </w:pPr>
      <w:rPr>
        <w:rFonts w:hint="default"/>
        <w:lang w:val="en-US" w:eastAsia="en-US" w:bidi="ar-SA"/>
      </w:rPr>
    </w:lvl>
  </w:abstractNum>
  <w:abstractNum w:abstractNumId="41">
    <w:multiLevelType w:val="hybridMultilevel"/>
    <w:lvl w:ilvl="0">
      <w:start w:val="1"/>
      <w:numFmt w:val="decimal"/>
      <w:lvlText w:val="%1)"/>
      <w:lvlJc w:val="left"/>
      <w:pPr>
        <w:ind w:left="910" w:hanging="25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006" w:hanging="256"/>
      </w:pPr>
      <w:rPr>
        <w:rFonts w:hint="default"/>
        <w:lang w:val="en-US" w:eastAsia="en-US" w:bidi="ar-SA"/>
      </w:rPr>
    </w:lvl>
    <w:lvl w:ilvl="2">
      <w:start w:val="0"/>
      <w:numFmt w:val="bullet"/>
      <w:lvlText w:val="•"/>
      <w:lvlJc w:val="left"/>
      <w:pPr>
        <w:ind w:left="3092" w:hanging="256"/>
      </w:pPr>
      <w:rPr>
        <w:rFonts w:hint="default"/>
        <w:lang w:val="en-US" w:eastAsia="en-US" w:bidi="ar-SA"/>
      </w:rPr>
    </w:lvl>
    <w:lvl w:ilvl="3">
      <w:start w:val="0"/>
      <w:numFmt w:val="bullet"/>
      <w:lvlText w:val="•"/>
      <w:lvlJc w:val="left"/>
      <w:pPr>
        <w:ind w:left="4178" w:hanging="256"/>
      </w:pPr>
      <w:rPr>
        <w:rFonts w:hint="default"/>
        <w:lang w:val="en-US" w:eastAsia="en-US" w:bidi="ar-SA"/>
      </w:rPr>
    </w:lvl>
    <w:lvl w:ilvl="4">
      <w:start w:val="0"/>
      <w:numFmt w:val="bullet"/>
      <w:lvlText w:val="•"/>
      <w:lvlJc w:val="left"/>
      <w:pPr>
        <w:ind w:left="5264" w:hanging="256"/>
      </w:pPr>
      <w:rPr>
        <w:rFonts w:hint="default"/>
        <w:lang w:val="en-US" w:eastAsia="en-US" w:bidi="ar-SA"/>
      </w:rPr>
    </w:lvl>
    <w:lvl w:ilvl="5">
      <w:start w:val="0"/>
      <w:numFmt w:val="bullet"/>
      <w:lvlText w:val="•"/>
      <w:lvlJc w:val="left"/>
      <w:pPr>
        <w:ind w:left="6350" w:hanging="256"/>
      </w:pPr>
      <w:rPr>
        <w:rFonts w:hint="default"/>
        <w:lang w:val="en-US" w:eastAsia="en-US" w:bidi="ar-SA"/>
      </w:rPr>
    </w:lvl>
    <w:lvl w:ilvl="6">
      <w:start w:val="0"/>
      <w:numFmt w:val="bullet"/>
      <w:lvlText w:val="•"/>
      <w:lvlJc w:val="left"/>
      <w:pPr>
        <w:ind w:left="7436" w:hanging="256"/>
      </w:pPr>
      <w:rPr>
        <w:rFonts w:hint="default"/>
        <w:lang w:val="en-US" w:eastAsia="en-US" w:bidi="ar-SA"/>
      </w:rPr>
    </w:lvl>
    <w:lvl w:ilvl="7">
      <w:start w:val="0"/>
      <w:numFmt w:val="bullet"/>
      <w:lvlText w:val="•"/>
      <w:lvlJc w:val="left"/>
      <w:pPr>
        <w:ind w:left="8522" w:hanging="256"/>
      </w:pPr>
      <w:rPr>
        <w:rFonts w:hint="default"/>
        <w:lang w:val="en-US" w:eastAsia="en-US" w:bidi="ar-SA"/>
      </w:rPr>
    </w:lvl>
    <w:lvl w:ilvl="8">
      <w:start w:val="0"/>
      <w:numFmt w:val="bullet"/>
      <w:lvlText w:val="•"/>
      <w:lvlJc w:val="left"/>
      <w:pPr>
        <w:ind w:left="9608" w:hanging="256"/>
      </w:pPr>
      <w:rPr>
        <w:rFonts w:hint="default"/>
        <w:lang w:val="en-US" w:eastAsia="en-US" w:bidi="ar-SA"/>
      </w:rPr>
    </w:lvl>
  </w:abstractNum>
  <w:abstractNum w:abstractNumId="40">
    <w:multiLevelType w:val="hybridMultilevel"/>
    <w:lvl w:ilvl="0">
      <w:start w:val="1"/>
      <w:numFmt w:val="decimal"/>
      <w:lvlText w:val="%1)"/>
      <w:lvlJc w:val="left"/>
      <w:pPr>
        <w:ind w:left="888"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4"/>
      </w:pPr>
      <w:rPr>
        <w:rFonts w:hint="default"/>
        <w:lang w:val="en-US" w:eastAsia="en-US" w:bidi="ar-SA"/>
      </w:rPr>
    </w:lvl>
    <w:lvl w:ilvl="2">
      <w:start w:val="0"/>
      <w:numFmt w:val="bullet"/>
      <w:lvlText w:val="•"/>
      <w:lvlJc w:val="left"/>
      <w:pPr>
        <w:ind w:left="3060" w:hanging="234"/>
      </w:pPr>
      <w:rPr>
        <w:rFonts w:hint="default"/>
        <w:lang w:val="en-US" w:eastAsia="en-US" w:bidi="ar-SA"/>
      </w:rPr>
    </w:lvl>
    <w:lvl w:ilvl="3">
      <w:start w:val="0"/>
      <w:numFmt w:val="bullet"/>
      <w:lvlText w:val="•"/>
      <w:lvlJc w:val="left"/>
      <w:pPr>
        <w:ind w:left="4150" w:hanging="234"/>
      </w:pPr>
      <w:rPr>
        <w:rFonts w:hint="default"/>
        <w:lang w:val="en-US" w:eastAsia="en-US" w:bidi="ar-SA"/>
      </w:rPr>
    </w:lvl>
    <w:lvl w:ilvl="4">
      <w:start w:val="0"/>
      <w:numFmt w:val="bullet"/>
      <w:lvlText w:val="•"/>
      <w:lvlJc w:val="left"/>
      <w:pPr>
        <w:ind w:left="5240" w:hanging="234"/>
      </w:pPr>
      <w:rPr>
        <w:rFonts w:hint="default"/>
        <w:lang w:val="en-US" w:eastAsia="en-US" w:bidi="ar-SA"/>
      </w:rPr>
    </w:lvl>
    <w:lvl w:ilvl="5">
      <w:start w:val="0"/>
      <w:numFmt w:val="bullet"/>
      <w:lvlText w:val="•"/>
      <w:lvlJc w:val="left"/>
      <w:pPr>
        <w:ind w:left="6330" w:hanging="234"/>
      </w:pPr>
      <w:rPr>
        <w:rFonts w:hint="default"/>
        <w:lang w:val="en-US" w:eastAsia="en-US" w:bidi="ar-SA"/>
      </w:rPr>
    </w:lvl>
    <w:lvl w:ilvl="6">
      <w:start w:val="0"/>
      <w:numFmt w:val="bullet"/>
      <w:lvlText w:val="•"/>
      <w:lvlJc w:val="left"/>
      <w:pPr>
        <w:ind w:left="7420" w:hanging="234"/>
      </w:pPr>
      <w:rPr>
        <w:rFonts w:hint="default"/>
        <w:lang w:val="en-US" w:eastAsia="en-US" w:bidi="ar-SA"/>
      </w:rPr>
    </w:lvl>
    <w:lvl w:ilvl="7">
      <w:start w:val="0"/>
      <w:numFmt w:val="bullet"/>
      <w:lvlText w:val="•"/>
      <w:lvlJc w:val="left"/>
      <w:pPr>
        <w:ind w:left="8510" w:hanging="234"/>
      </w:pPr>
      <w:rPr>
        <w:rFonts w:hint="default"/>
        <w:lang w:val="en-US" w:eastAsia="en-US" w:bidi="ar-SA"/>
      </w:rPr>
    </w:lvl>
    <w:lvl w:ilvl="8">
      <w:start w:val="0"/>
      <w:numFmt w:val="bullet"/>
      <w:lvlText w:val="•"/>
      <w:lvlJc w:val="left"/>
      <w:pPr>
        <w:ind w:left="9600" w:hanging="234"/>
      </w:pPr>
      <w:rPr>
        <w:rFonts w:hint="default"/>
        <w:lang w:val="en-US" w:eastAsia="en-US" w:bidi="ar-SA"/>
      </w:rPr>
    </w:lvl>
  </w:abstractNum>
  <w:abstractNum w:abstractNumId="39">
    <w:multiLevelType w:val="hybridMultilevel"/>
    <w:lvl w:ilvl="0">
      <w:start w:val="1"/>
      <w:numFmt w:val="decimal"/>
      <w:lvlText w:val="%1)"/>
      <w:lvlJc w:val="left"/>
      <w:pPr>
        <w:ind w:left="884" w:hanging="23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1"/>
      </w:pPr>
      <w:rPr>
        <w:rFonts w:hint="default"/>
        <w:lang w:val="en-US" w:eastAsia="en-US" w:bidi="ar-SA"/>
      </w:rPr>
    </w:lvl>
    <w:lvl w:ilvl="2">
      <w:start w:val="0"/>
      <w:numFmt w:val="bullet"/>
      <w:lvlText w:val="•"/>
      <w:lvlJc w:val="left"/>
      <w:pPr>
        <w:ind w:left="3060" w:hanging="231"/>
      </w:pPr>
      <w:rPr>
        <w:rFonts w:hint="default"/>
        <w:lang w:val="en-US" w:eastAsia="en-US" w:bidi="ar-SA"/>
      </w:rPr>
    </w:lvl>
    <w:lvl w:ilvl="3">
      <w:start w:val="0"/>
      <w:numFmt w:val="bullet"/>
      <w:lvlText w:val="•"/>
      <w:lvlJc w:val="left"/>
      <w:pPr>
        <w:ind w:left="4150" w:hanging="231"/>
      </w:pPr>
      <w:rPr>
        <w:rFonts w:hint="default"/>
        <w:lang w:val="en-US" w:eastAsia="en-US" w:bidi="ar-SA"/>
      </w:rPr>
    </w:lvl>
    <w:lvl w:ilvl="4">
      <w:start w:val="0"/>
      <w:numFmt w:val="bullet"/>
      <w:lvlText w:val="•"/>
      <w:lvlJc w:val="left"/>
      <w:pPr>
        <w:ind w:left="5240" w:hanging="231"/>
      </w:pPr>
      <w:rPr>
        <w:rFonts w:hint="default"/>
        <w:lang w:val="en-US" w:eastAsia="en-US" w:bidi="ar-SA"/>
      </w:rPr>
    </w:lvl>
    <w:lvl w:ilvl="5">
      <w:start w:val="0"/>
      <w:numFmt w:val="bullet"/>
      <w:lvlText w:val="•"/>
      <w:lvlJc w:val="left"/>
      <w:pPr>
        <w:ind w:left="6330" w:hanging="231"/>
      </w:pPr>
      <w:rPr>
        <w:rFonts w:hint="default"/>
        <w:lang w:val="en-US" w:eastAsia="en-US" w:bidi="ar-SA"/>
      </w:rPr>
    </w:lvl>
    <w:lvl w:ilvl="6">
      <w:start w:val="0"/>
      <w:numFmt w:val="bullet"/>
      <w:lvlText w:val="•"/>
      <w:lvlJc w:val="left"/>
      <w:pPr>
        <w:ind w:left="7420" w:hanging="231"/>
      </w:pPr>
      <w:rPr>
        <w:rFonts w:hint="default"/>
        <w:lang w:val="en-US" w:eastAsia="en-US" w:bidi="ar-SA"/>
      </w:rPr>
    </w:lvl>
    <w:lvl w:ilvl="7">
      <w:start w:val="0"/>
      <w:numFmt w:val="bullet"/>
      <w:lvlText w:val="•"/>
      <w:lvlJc w:val="left"/>
      <w:pPr>
        <w:ind w:left="8510" w:hanging="231"/>
      </w:pPr>
      <w:rPr>
        <w:rFonts w:hint="default"/>
        <w:lang w:val="en-US" w:eastAsia="en-US" w:bidi="ar-SA"/>
      </w:rPr>
    </w:lvl>
    <w:lvl w:ilvl="8">
      <w:start w:val="0"/>
      <w:numFmt w:val="bullet"/>
      <w:lvlText w:val="•"/>
      <w:lvlJc w:val="left"/>
      <w:pPr>
        <w:ind w:left="9600" w:hanging="231"/>
      </w:pPr>
      <w:rPr>
        <w:rFonts w:hint="default"/>
        <w:lang w:val="en-US" w:eastAsia="en-US" w:bidi="ar-SA"/>
      </w:rPr>
    </w:lvl>
  </w:abstractNum>
  <w:abstractNum w:abstractNumId="38">
    <w:multiLevelType w:val="hybridMultilevel"/>
    <w:lvl w:ilvl="0">
      <w:start w:val="1"/>
      <w:numFmt w:val="decimal"/>
      <w:lvlText w:val="%1)"/>
      <w:lvlJc w:val="left"/>
      <w:pPr>
        <w:ind w:left="884" w:hanging="23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1"/>
      </w:pPr>
      <w:rPr>
        <w:rFonts w:hint="default"/>
        <w:lang w:val="en-US" w:eastAsia="en-US" w:bidi="ar-SA"/>
      </w:rPr>
    </w:lvl>
    <w:lvl w:ilvl="2">
      <w:start w:val="0"/>
      <w:numFmt w:val="bullet"/>
      <w:lvlText w:val="•"/>
      <w:lvlJc w:val="left"/>
      <w:pPr>
        <w:ind w:left="3060" w:hanging="231"/>
      </w:pPr>
      <w:rPr>
        <w:rFonts w:hint="default"/>
        <w:lang w:val="en-US" w:eastAsia="en-US" w:bidi="ar-SA"/>
      </w:rPr>
    </w:lvl>
    <w:lvl w:ilvl="3">
      <w:start w:val="0"/>
      <w:numFmt w:val="bullet"/>
      <w:lvlText w:val="•"/>
      <w:lvlJc w:val="left"/>
      <w:pPr>
        <w:ind w:left="4150" w:hanging="231"/>
      </w:pPr>
      <w:rPr>
        <w:rFonts w:hint="default"/>
        <w:lang w:val="en-US" w:eastAsia="en-US" w:bidi="ar-SA"/>
      </w:rPr>
    </w:lvl>
    <w:lvl w:ilvl="4">
      <w:start w:val="0"/>
      <w:numFmt w:val="bullet"/>
      <w:lvlText w:val="•"/>
      <w:lvlJc w:val="left"/>
      <w:pPr>
        <w:ind w:left="5240" w:hanging="231"/>
      </w:pPr>
      <w:rPr>
        <w:rFonts w:hint="default"/>
        <w:lang w:val="en-US" w:eastAsia="en-US" w:bidi="ar-SA"/>
      </w:rPr>
    </w:lvl>
    <w:lvl w:ilvl="5">
      <w:start w:val="0"/>
      <w:numFmt w:val="bullet"/>
      <w:lvlText w:val="•"/>
      <w:lvlJc w:val="left"/>
      <w:pPr>
        <w:ind w:left="6330" w:hanging="231"/>
      </w:pPr>
      <w:rPr>
        <w:rFonts w:hint="default"/>
        <w:lang w:val="en-US" w:eastAsia="en-US" w:bidi="ar-SA"/>
      </w:rPr>
    </w:lvl>
    <w:lvl w:ilvl="6">
      <w:start w:val="0"/>
      <w:numFmt w:val="bullet"/>
      <w:lvlText w:val="•"/>
      <w:lvlJc w:val="left"/>
      <w:pPr>
        <w:ind w:left="7420" w:hanging="231"/>
      </w:pPr>
      <w:rPr>
        <w:rFonts w:hint="default"/>
        <w:lang w:val="en-US" w:eastAsia="en-US" w:bidi="ar-SA"/>
      </w:rPr>
    </w:lvl>
    <w:lvl w:ilvl="7">
      <w:start w:val="0"/>
      <w:numFmt w:val="bullet"/>
      <w:lvlText w:val="•"/>
      <w:lvlJc w:val="left"/>
      <w:pPr>
        <w:ind w:left="8510" w:hanging="231"/>
      </w:pPr>
      <w:rPr>
        <w:rFonts w:hint="default"/>
        <w:lang w:val="en-US" w:eastAsia="en-US" w:bidi="ar-SA"/>
      </w:rPr>
    </w:lvl>
    <w:lvl w:ilvl="8">
      <w:start w:val="0"/>
      <w:numFmt w:val="bullet"/>
      <w:lvlText w:val="•"/>
      <w:lvlJc w:val="left"/>
      <w:pPr>
        <w:ind w:left="9600" w:hanging="231"/>
      </w:pPr>
      <w:rPr>
        <w:rFonts w:hint="default"/>
        <w:lang w:val="en-US" w:eastAsia="en-US" w:bidi="ar-SA"/>
      </w:rPr>
    </w:lvl>
  </w:abstractNum>
  <w:abstractNum w:abstractNumId="37">
    <w:multiLevelType w:val="hybridMultilevel"/>
    <w:lvl w:ilvl="0">
      <w:start w:val="1"/>
      <w:numFmt w:val="decimal"/>
      <w:lvlText w:val="%1)"/>
      <w:lvlJc w:val="left"/>
      <w:pPr>
        <w:ind w:left="884" w:hanging="23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1"/>
      </w:pPr>
      <w:rPr>
        <w:rFonts w:hint="default"/>
        <w:lang w:val="en-US" w:eastAsia="en-US" w:bidi="ar-SA"/>
      </w:rPr>
    </w:lvl>
    <w:lvl w:ilvl="2">
      <w:start w:val="0"/>
      <w:numFmt w:val="bullet"/>
      <w:lvlText w:val="•"/>
      <w:lvlJc w:val="left"/>
      <w:pPr>
        <w:ind w:left="3060" w:hanging="231"/>
      </w:pPr>
      <w:rPr>
        <w:rFonts w:hint="default"/>
        <w:lang w:val="en-US" w:eastAsia="en-US" w:bidi="ar-SA"/>
      </w:rPr>
    </w:lvl>
    <w:lvl w:ilvl="3">
      <w:start w:val="0"/>
      <w:numFmt w:val="bullet"/>
      <w:lvlText w:val="•"/>
      <w:lvlJc w:val="left"/>
      <w:pPr>
        <w:ind w:left="4150" w:hanging="231"/>
      </w:pPr>
      <w:rPr>
        <w:rFonts w:hint="default"/>
        <w:lang w:val="en-US" w:eastAsia="en-US" w:bidi="ar-SA"/>
      </w:rPr>
    </w:lvl>
    <w:lvl w:ilvl="4">
      <w:start w:val="0"/>
      <w:numFmt w:val="bullet"/>
      <w:lvlText w:val="•"/>
      <w:lvlJc w:val="left"/>
      <w:pPr>
        <w:ind w:left="5240" w:hanging="231"/>
      </w:pPr>
      <w:rPr>
        <w:rFonts w:hint="default"/>
        <w:lang w:val="en-US" w:eastAsia="en-US" w:bidi="ar-SA"/>
      </w:rPr>
    </w:lvl>
    <w:lvl w:ilvl="5">
      <w:start w:val="0"/>
      <w:numFmt w:val="bullet"/>
      <w:lvlText w:val="•"/>
      <w:lvlJc w:val="left"/>
      <w:pPr>
        <w:ind w:left="6330" w:hanging="231"/>
      </w:pPr>
      <w:rPr>
        <w:rFonts w:hint="default"/>
        <w:lang w:val="en-US" w:eastAsia="en-US" w:bidi="ar-SA"/>
      </w:rPr>
    </w:lvl>
    <w:lvl w:ilvl="6">
      <w:start w:val="0"/>
      <w:numFmt w:val="bullet"/>
      <w:lvlText w:val="•"/>
      <w:lvlJc w:val="left"/>
      <w:pPr>
        <w:ind w:left="7420" w:hanging="231"/>
      </w:pPr>
      <w:rPr>
        <w:rFonts w:hint="default"/>
        <w:lang w:val="en-US" w:eastAsia="en-US" w:bidi="ar-SA"/>
      </w:rPr>
    </w:lvl>
    <w:lvl w:ilvl="7">
      <w:start w:val="0"/>
      <w:numFmt w:val="bullet"/>
      <w:lvlText w:val="•"/>
      <w:lvlJc w:val="left"/>
      <w:pPr>
        <w:ind w:left="8510" w:hanging="231"/>
      </w:pPr>
      <w:rPr>
        <w:rFonts w:hint="default"/>
        <w:lang w:val="en-US" w:eastAsia="en-US" w:bidi="ar-SA"/>
      </w:rPr>
    </w:lvl>
    <w:lvl w:ilvl="8">
      <w:start w:val="0"/>
      <w:numFmt w:val="bullet"/>
      <w:lvlText w:val="•"/>
      <w:lvlJc w:val="left"/>
      <w:pPr>
        <w:ind w:left="9600" w:hanging="231"/>
      </w:pPr>
      <w:rPr>
        <w:rFonts w:hint="default"/>
        <w:lang w:val="en-US" w:eastAsia="en-US" w:bidi="ar-SA"/>
      </w:rPr>
    </w:lvl>
  </w:abstractNum>
  <w:abstractNum w:abstractNumId="36">
    <w:multiLevelType w:val="hybridMultilevel"/>
    <w:lvl w:ilvl="0">
      <w:start w:val="1"/>
      <w:numFmt w:val="decimal"/>
      <w:lvlText w:val="%1)"/>
      <w:lvlJc w:val="left"/>
      <w:pPr>
        <w:ind w:left="910" w:hanging="249"/>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006" w:hanging="249"/>
      </w:pPr>
      <w:rPr>
        <w:rFonts w:hint="default"/>
        <w:lang w:val="en-US" w:eastAsia="en-US" w:bidi="ar-SA"/>
      </w:rPr>
    </w:lvl>
    <w:lvl w:ilvl="2">
      <w:start w:val="0"/>
      <w:numFmt w:val="bullet"/>
      <w:lvlText w:val="•"/>
      <w:lvlJc w:val="left"/>
      <w:pPr>
        <w:ind w:left="3092" w:hanging="249"/>
      </w:pPr>
      <w:rPr>
        <w:rFonts w:hint="default"/>
        <w:lang w:val="en-US" w:eastAsia="en-US" w:bidi="ar-SA"/>
      </w:rPr>
    </w:lvl>
    <w:lvl w:ilvl="3">
      <w:start w:val="0"/>
      <w:numFmt w:val="bullet"/>
      <w:lvlText w:val="•"/>
      <w:lvlJc w:val="left"/>
      <w:pPr>
        <w:ind w:left="4178" w:hanging="249"/>
      </w:pPr>
      <w:rPr>
        <w:rFonts w:hint="default"/>
        <w:lang w:val="en-US" w:eastAsia="en-US" w:bidi="ar-SA"/>
      </w:rPr>
    </w:lvl>
    <w:lvl w:ilvl="4">
      <w:start w:val="0"/>
      <w:numFmt w:val="bullet"/>
      <w:lvlText w:val="•"/>
      <w:lvlJc w:val="left"/>
      <w:pPr>
        <w:ind w:left="5264" w:hanging="249"/>
      </w:pPr>
      <w:rPr>
        <w:rFonts w:hint="default"/>
        <w:lang w:val="en-US" w:eastAsia="en-US" w:bidi="ar-SA"/>
      </w:rPr>
    </w:lvl>
    <w:lvl w:ilvl="5">
      <w:start w:val="0"/>
      <w:numFmt w:val="bullet"/>
      <w:lvlText w:val="•"/>
      <w:lvlJc w:val="left"/>
      <w:pPr>
        <w:ind w:left="6350" w:hanging="249"/>
      </w:pPr>
      <w:rPr>
        <w:rFonts w:hint="default"/>
        <w:lang w:val="en-US" w:eastAsia="en-US" w:bidi="ar-SA"/>
      </w:rPr>
    </w:lvl>
    <w:lvl w:ilvl="6">
      <w:start w:val="0"/>
      <w:numFmt w:val="bullet"/>
      <w:lvlText w:val="•"/>
      <w:lvlJc w:val="left"/>
      <w:pPr>
        <w:ind w:left="7436" w:hanging="249"/>
      </w:pPr>
      <w:rPr>
        <w:rFonts w:hint="default"/>
        <w:lang w:val="en-US" w:eastAsia="en-US" w:bidi="ar-SA"/>
      </w:rPr>
    </w:lvl>
    <w:lvl w:ilvl="7">
      <w:start w:val="0"/>
      <w:numFmt w:val="bullet"/>
      <w:lvlText w:val="•"/>
      <w:lvlJc w:val="left"/>
      <w:pPr>
        <w:ind w:left="8522" w:hanging="249"/>
      </w:pPr>
      <w:rPr>
        <w:rFonts w:hint="default"/>
        <w:lang w:val="en-US" w:eastAsia="en-US" w:bidi="ar-SA"/>
      </w:rPr>
    </w:lvl>
    <w:lvl w:ilvl="8">
      <w:start w:val="0"/>
      <w:numFmt w:val="bullet"/>
      <w:lvlText w:val="•"/>
      <w:lvlJc w:val="left"/>
      <w:pPr>
        <w:ind w:left="9608" w:hanging="249"/>
      </w:pPr>
      <w:rPr>
        <w:rFonts w:hint="default"/>
        <w:lang w:val="en-US" w:eastAsia="en-US" w:bidi="ar-SA"/>
      </w:rPr>
    </w:lvl>
  </w:abstractNum>
  <w:abstractNum w:abstractNumId="35">
    <w:multiLevelType w:val="hybridMultilevel"/>
    <w:lvl w:ilvl="0">
      <w:start w:val="1"/>
      <w:numFmt w:val="decimal"/>
      <w:lvlText w:val="%1)"/>
      <w:lvlJc w:val="left"/>
      <w:pPr>
        <w:ind w:left="888"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4"/>
      </w:pPr>
      <w:rPr>
        <w:rFonts w:hint="default"/>
        <w:lang w:val="en-US" w:eastAsia="en-US" w:bidi="ar-SA"/>
      </w:rPr>
    </w:lvl>
    <w:lvl w:ilvl="2">
      <w:start w:val="0"/>
      <w:numFmt w:val="bullet"/>
      <w:lvlText w:val="•"/>
      <w:lvlJc w:val="left"/>
      <w:pPr>
        <w:ind w:left="3060" w:hanging="234"/>
      </w:pPr>
      <w:rPr>
        <w:rFonts w:hint="default"/>
        <w:lang w:val="en-US" w:eastAsia="en-US" w:bidi="ar-SA"/>
      </w:rPr>
    </w:lvl>
    <w:lvl w:ilvl="3">
      <w:start w:val="0"/>
      <w:numFmt w:val="bullet"/>
      <w:lvlText w:val="•"/>
      <w:lvlJc w:val="left"/>
      <w:pPr>
        <w:ind w:left="4150" w:hanging="234"/>
      </w:pPr>
      <w:rPr>
        <w:rFonts w:hint="default"/>
        <w:lang w:val="en-US" w:eastAsia="en-US" w:bidi="ar-SA"/>
      </w:rPr>
    </w:lvl>
    <w:lvl w:ilvl="4">
      <w:start w:val="0"/>
      <w:numFmt w:val="bullet"/>
      <w:lvlText w:val="•"/>
      <w:lvlJc w:val="left"/>
      <w:pPr>
        <w:ind w:left="5240" w:hanging="234"/>
      </w:pPr>
      <w:rPr>
        <w:rFonts w:hint="default"/>
        <w:lang w:val="en-US" w:eastAsia="en-US" w:bidi="ar-SA"/>
      </w:rPr>
    </w:lvl>
    <w:lvl w:ilvl="5">
      <w:start w:val="0"/>
      <w:numFmt w:val="bullet"/>
      <w:lvlText w:val="•"/>
      <w:lvlJc w:val="left"/>
      <w:pPr>
        <w:ind w:left="6330" w:hanging="234"/>
      </w:pPr>
      <w:rPr>
        <w:rFonts w:hint="default"/>
        <w:lang w:val="en-US" w:eastAsia="en-US" w:bidi="ar-SA"/>
      </w:rPr>
    </w:lvl>
    <w:lvl w:ilvl="6">
      <w:start w:val="0"/>
      <w:numFmt w:val="bullet"/>
      <w:lvlText w:val="•"/>
      <w:lvlJc w:val="left"/>
      <w:pPr>
        <w:ind w:left="7420" w:hanging="234"/>
      </w:pPr>
      <w:rPr>
        <w:rFonts w:hint="default"/>
        <w:lang w:val="en-US" w:eastAsia="en-US" w:bidi="ar-SA"/>
      </w:rPr>
    </w:lvl>
    <w:lvl w:ilvl="7">
      <w:start w:val="0"/>
      <w:numFmt w:val="bullet"/>
      <w:lvlText w:val="•"/>
      <w:lvlJc w:val="left"/>
      <w:pPr>
        <w:ind w:left="8510" w:hanging="234"/>
      </w:pPr>
      <w:rPr>
        <w:rFonts w:hint="default"/>
        <w:lang w:val="en-US" w:eastAsia="en-US" w:bidi="ar-SA"/>
      </w:rPr>
    </w:lvl>
    <w:lvl w:ilvl="8">
      <w:start w:val="0"/>
      <w:numFmt w:val="bullet"/>
      <w:lvlText w:val="•"/>
      <w:lvlJc w:val="left"/>
      <w:pPr>
        <w:ind w:left="9600" w:hanging="234"/>
      </w:pPr>
      <w:rPr>
        <w:rFonts w:hint="default"/>
        <w:lang w:val="en-US" w:eastAsia="en-US" w:bidi="ar-SA"/>
      </w:rPr>
    </w:lvl>
  </w:abstractNum>
  <w:abstractNum w:abstractNumId="34">
    <w:multiLevelType w:val="hybridMultilevel"/>
    <w:lvl w:ilvl="0">
      <w:start w:val="1"/>
      <w:numFmt w:val="decimal"/>
      <w:lvlText w:val="%1)"/>
      <w:lvlJc w:val="left"/>
      <w:pPr>
        <w:ind w:left="888"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4"/>
      </w:pPr>
      <w:rPr>
        <w:rFonts w:hint="default"/>
        <w:lang w:val="en-US" w:eastAsia="en-US" w:bidi="ar-SA"/>
      </w:rPr>
    </w:lvl>
    <w:lvl w:ilvl="2">
      <w:start w:val="0"/>
      <w:numFmt w:val="bullet"/>
      <w:lvlText w:val="•"/>
      <w:lvlJc w:val="left"/>
      <w:pPr>
        <w:ind w:left="3060" w:hanging="234"/>
      </w:pPr>
      <w:rPr>
        <w:rFonts w:hint="default"/>
        <w:lang w:val="en-US" w:eastAsia="en-US" w:bidi="ar-SA"/>
      </w:rPr>
    </w:lvl>
    <w:lvl w:ilvl="3">
      <w:start w:val="0"/>
      <w:numFmt w:val="bullet"/>
      <w:lvlText w:val="•"/>
      <w:lvlJc w:val="left"/>
      <w:pPr>
        <w:ind w:left="4150" w:hanging="234"/>
      </w:pPr>
      <w:rPr>
        <w:rFonts w:hint="default"/>
        <w:lang w:val="en-US" w:eastAsia="en-US" w:bidi="ar-SA"/>
      </w:rPr>
    </w:lvl>
    <w:lvl w:ilvl="4">
      <w:start w:val="0"/>
      <w:numFmt w:val="bullet"/>
      <w:lvlText w:val="•"/>
      <w:lvlJc w:val="left"/>
      <w:pPr>
        <w:ind w:left="5240" w:hanging="234"/>
      </w:pPr>
      <w:rPr>
        <w:rFonts w:hint="default"/>
        <w:lang w:val="en-US" w:eastAsia="en-US" w:bidi="ar-SA"/>
      </w:rPr>
    </w:lvl>
    <w:lvl w:ilvl="5">
      <w:start w:val="0"/>
      <w:numFmt w:val="bullet"/>
      <w:lvlText w:val="•"/>
      <w:lvlJc w:val="left"/>
      <w:pPr>
        <w:ind w:left="6330" w:hanging="234"/>
      </w:pPr>
      <w:rPr>
        <w:rFonts w:hint="default"/>
        <w:lang w:val="en-US" w:eastAsia="en-US" w:bidi="ar-SA"/>
      </w:rPr>
    </w:lvl>
    <w:lvl w:ilvl="6">
      <w:start w:val="0"/>
      <w:numFmt w:val="bullet"/>
      <w:lvlText w:val="•"/>
      <w:lvlJc w:val="left"/>
      <w:pPr>
        <w:ind w:left="7420" w:hanging="234"/>
      </w:pPr>
      <w:rPr>
        <w:rFonts w:hint="default"/>
        <w:lang w:val="en-US" w:eastAsia="en-US" w:bidi="ar-SA"/>
      </w:rPr>
    </w:lvl>
    <w:lvl w:ilvl="7">
      <w:start w:val="0"/>
      <w:numFmt w:val="bullet"/>
      <w:lvlText w:val="•"/>
      <w:lvlJc w:val="left"/>
      <w:pPr>
        <w:ind w:left="8510" w:hanging="234"/>
      </w:pPr>
      <w:rPr>
        <w:rFonts w:hint="default"/>
        <w:lang w:val="en-US" w:eastAsia="en-US" w:bidi="ar-SA"/>
      </w:rPr>
    </w:lvl>
    <w:lvl w:ilvl="8">
      <w:start w:val="0"/>
      <w:numFmt w:val="bullet"/>
      <w:lvlText w:val="•"/>
      <w:lvlJc w:val="left"/>
      <w:pPr>
        <w:ind w:left="9600" w:hanging="234"/>
      </w:pPr>
      <w:rPr>
        <w:rFonts w:hint="default"/>
        <w:lang w:val="en-US" w:eastAsia="en-US" w:bidi="ar-SA"/>
      </w:rPr>
    </w:lvl>
  </w:abstractNum>
  <w:abstractNum w:abstractNumId="33">
    <w:multiLevelType w:val="hybridMultilevel"/>
    <w:lvl w:ilvl="0">
      <w:start w:val="1"/>
      <w:numFmt w:val="decimal"/>
      <w:lvlText w:val="%1)"/>
      <w:lvlJc w:val="left"/>
      <w:pPr>
        <w:ind w:left="888"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4"/>
      </w:pPr>
      <w:rPr>
        <w:rFonts w:hint="default"/>
        <w:lang w:val="en-US" w:eastAsia="en-US" w:bidi="ar-SA"/>
      </w:rPr>
    </w:lvl>
    <w:lvl w:ilvl="2">
      <w:start w:val="0"/>
      <w:numFmt w:val="bullet"/>
      <w:lvlText w:val="•"/>
      <w:lvlJc w:val="left"/>
      <w:pPr>
        <w:ind w:left="3060" w:hanging="234"/>
      </w:pPr>
      <w:rPr>
        <w:rFonts w:hint="default"/>
        <w:lang w:val="en-US" w:eastAsia="en-US" w:bidi="ar-SA"/>
      </w:rPr>
    </w:lvl>
    <w:lvl w:ilvl="3">
      <w:start w:val="0"/>
      <w:numFmt w:val="bullet"/>
      <w:lvlText w:val="•"/>
      <w:lvlJc w:val="left"/>
      <w:pPr>
        <w:ind w:left="4150" w:hanging="234"/>
      </w:pPr>
      <w:rPr>
        <w:rFonts w:hint="default"/>
        <w:lang w:val="en-US" w:eastAsia="en-US" w:bidi="ar-SA"/>
      </w:rPr>
    </w:lvl>
    <w:lvl w:ilvl="4">
      <w:start w:val="0"/>
      <w:numFmt w:val="bullet"/>
      <w:lvlText w:val="•"/>
      <w:lvlJc w:val="left"/>
      <w:pPr>
        <w:ind w:left="5240" w:hanging="234"/>
      </w:pPr>
      <w:rPr>
        <w:rFonts w:hint="default"/>
        <w:lang w:val="en-US" w:eastAsia="en-US" w:bidi="ar-SA"/>
      </w:rPr>
    </w:lvl>
    <w:lvl w:ilvl="5">
      <w:start w:val="0"/>
      <w:numFmt w:val="bullet"/>
      <w:lvlText w:val="•"/>
      <w:lvlJc w:val="left"/>
      <w:pPr>
        <w:ind w:left="6330" w:hanging="234"/>
      </w:pPr>
      <w:rPr>
        <w:rFonts w:hint="default"/>
        <w:lang w:val="en-US" w:eastAsia="en-US" w:bidi="ar-SA"/>
      </w:rPr>
    </w:lvl>
    <w:lvl w:ilvl="6">
      <w:start w:val="0"/>
      <w:numFmt w:val="bullet"/>
      <w:lvlText w:val="•"/>
      <w:lvlJc w:val="left"/>
      <w:pPr>
        <w:ind w:left="7420" w:hanging="234"/>
      </w:pPr>
      <w:rPr>
        <w:rFonts w:hint="default"/>
        <w:lang w:val="en-US" w:eastAsia="en-US" w:bidi="ar-SA"/>
      </w:rPr>
    </w:lvl>
    <w:lvl w:ilvl="7">
      <w:start w:val="0"/>
      <w:numFmt w:val="bullet"/>
      <w:lvlText w:val="•"/>
      <w:lvlJc w:val="left"/>
      <w:pPr>
        <w:ind w:left="8510" w:hanging="234"/>
      </w:pPr>
      <w:rPr>
        <w:rFonts w:hint="default"/>
        <w:lang w:val="en-US" w:eastAsia="en-US" w:bidi="ar-SA"/>
      </w:rPr>
    </w:lvl>
    <w:lvl w:ilvl="8">
      <w:start w:val="0"/>
      <w:numFmt w:val="bullet"/>
      <w:lvlText w:val="•"/>
      <w:lvlJc w:val="left"/>
      <w:pPr>
        <w:ind w:left="9600" w:hanging="234"/>
      </w:pPr>
      <w:rPr>
        <w:rFonts w:hint="default"/>
        <w:lang w:val="en-US" w:eastAsia="en-US" w:bidi="ar-SA"/>
      </w:rPr>
    </w:lvl>
  </w:abstractNum>
  <w:abstractNum w:abstractNumId="32">
    <w:multiLevelType w:val="hybridMultilevel"/>
    <w:lvl w:ilvl="0">
      <w:start w:val="1"/>
      <w:numFmt w:val="decimal"/>
      <w:lvlText w:val="%1)"/>
      <w:lvlJc w:val="left"/>
      <w:pPr>
        <w:ind w:left="884" w:hanging="23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1"/>
      </w:pPr>
      <w:rPr>
        <w:rFonts w:hint="default"/>
        <w:lang w:val="en-US" w:eastAsia="en-US" w:bidi="ar-SA"/>
      </w:rPr>
    </w:lvl>
    <w:lvl w:ilvl="2">
      <w:start w:val="0"/>
      <w:numFmt w:val="bullet"/>
      <w:lvlText w:val="•"/>
      <w:lvlJc w:val="left"/>
      <w:pPr>
        <w:ind w:left="3060" w:hanging="231"/>
      </w:pPr>
      <w:rPr>
        <w:rFonts w:hint="default"/>
        <w:lang w:val="en-US" w:eastAsia="en-US" w:bidi="ar-SA"/>
      </w:rPr>
    </w:lvl>
    <w:lvl w:ilvl="3">
      <w:start w:val="0"/>
      <w:numFmt w:val="bullet"/>
      <w:lvlText w:val="•"/>
      <w:lvlJc w:val="left"/>
      <w:pPr>
        <w:ind w:left="4150" w:hanging="231"/>
      </w:pPr>
      <w:rPr>
        <w:rFonts w:hint="default"/>
        <w:lang w:val="en-US" w:eastAsia="en-US" w:bidi="ar-SA"/>
      </w:rPr>
    </w:lvl>
    <w:lvl w:ilvl="4">
      <w:start w:val="0"/>
      <w:numFmt w:val="bullet"/>
      <w:lvlText w:val="•"/>
      <w:lvlJc w:val="left"/>
      <w:pPr>
        <w:ind w:left="5240" w:hanging="231"/>
      </w:pPr>
      <w:rPr>
        <w:rFonts w:hint="default"/>
        <w:lang w:val="en-US" w:eastAsia="en-US" w:bidi="ar-SA"/>
      </w:rPr>
    </w:lvl>
    <w:lvl w:ilvl="5">
      <w:start w:val="0"/>
      <w:numFmt w:val="bullet"/>
      <w:lvlText w:val="•"/>
      <w:lvlJc w:val="left"/>
      <w:pPr>
        <w:ind w:left="6330" w:hanging="231"/>
      </w:pPr>
      <w:rPr>
        <w:rFonts w:hint="default"/>
        <w:lang w:val="en-US" w:eastAsia="en-US" w:bidi="ar-SA"/>
      </w:rPr>
    </w:lvl>
    <w:lvl w:ilvl="6">
      <w:start w:val="0"/>
      <w:numFmt w:val="bullet"/>
      <w:lvlText w:val="•"/>
      <w:lvlJc w:val="left"/>
      <w:pPr>
        <w:ind w:left="7420" w:hanging="231"/>
      </w:pPr>
      <w:rPr>
        <w:rFonts w:hint="default"/>
        <w:lang w:val="en-US" w:eastAsia="en-US" w:bidi="ar-SA"/>
      </w:rPr>
    </w:lvl>
    <w:lvl w:ilvl="7">
      <w:start w:val="0"/>
      <w:numFmt w:val="bullet"/>
      <w:lvlText w:val="•"/>
      <w:lvlJc w:val="left"/>
      <w:pPr>
        <w:ind w:left="8510" w:hanging="231"/>
      </w:pPr>
      <w:rPr>
        <w:rFonts w:hint="default"/>
        <w:lang w:val="en-US" w:eastAsia="en-US" w:bidi="ar-SA"/>
      </w:rPr>
    </w:lvl>
    <w:lvl w:ilvl="8">
      <w:start w:val="0"/>
      <w:numFmt w:val="bullet"/>
      <w:lvlText w:val="•"/>
      <w:lvlJc w:val="left"/>
      <w:pPr>
        <w:ind w:left="9600" w:hanging="231"/>
      </w:pPr>
      <w:rPr>
        <w:rFonts w:hint="default"/>
        <w:lang w:val="en-US" w:eastAsia="en-US" w:bidi="ar-SA"/>
      </w:rPr>
    </w:lvl>
  </w:abstractNum>
  <w:abstractNum w:abstractNumId="31">
    <w:multiLevelType w:val="hybridMultilevel"/>
    <w:lvl w:ilvl="0">
      <w:start w:val="1"/>
      <w:numFmt w:val="decimal"/>
      <w:lvlText w:val="%1)"/>
      <w:lvlJc w:val="left"/>
      <w:pPr>
        <w:ind w:left="884" w:hanging="23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1"/>
      </w:pPr>
      <w:rPr>
        <w:rFonts w:hint="default"/>
        <w:lang w:val="en-US" w:eastAsia="en-US" w:bidi="ar-SA"/>
      </w:rPr>
    </w:lvl>
    <w:lvl w:ilvl="2">
      <w:start w:val="0"/>
      <w:numFmt w:val="bullet"/>
      <w:lvlText w:val="•"/>
      <w:lvlJc w:val="left"/>
      <w:pPr>
        <w:ind w:left="3060" w:hanging="231"/>
      </w:pPr>
      <w:rPr>
        <w:rFonts w:hint="default"/>
        <w:lang w:val="en-US" w:eastAsia="en-US" w:bidi="ar-SA"/>
      </w:rPr>
    </w:lvl>
    <w:lvl w:ilvl="3">
      <w:start w:val="0"/>
      <w:numFmt w:val="bullet"/>
      <w:lvlText w:val="•"/>
      <w:lvlJc w:val="left"/>
      <w:pPr>
        <w:ind w:left="4150" w:hanging="231"/>
      </w:pPr>
      <w:rPr>
        <w:rFonts w:hint="default"/>
        <w:lang w:val="en-US" w:eastAsia="en-US" w:bidi="ar-SA"/>
      </w:rPr>
    </w:lvl>
    <w:lvl w:ilvl="4">
      <w:start w:val="0"/>
      <w:numFmt w:val="bullet"/>
      <w:lvlText w:val="•"/>
      <w:lvlJc w:val="left"/>
      <w:pPr>
        <w:ind w:left="5240" w:hanging="231"/>
      </w:pPr>
      <w:rPr>
        <w:rFonts w:hint="default"/>
        <w:lang w:val="en-US" w:eastAsia="en-US" w:bidi="ar-SA"/>
      </w:rPr>
    </w:lvl>
    <w:lvl w:ilvl="5">
      <w:start w:val="0"/>
      <w:numFmt w:val="bullet"/>
      <w:lvlText w:val="•"/>
      <w:lvlJc w:val="left"/>
      <w:pPr>
        <w:ind w:left="6330" w:hanging="231"/>
      </w:pPr>
      <w:rPr>
        <w:rFonts w:hint="default"/>
        <w:lang w:val="en-US" w:eastAsia="en-US" w:bidi="ar-SA"/>
      </w:rPr>
    </w:lvl>
    <w:lvl w:ilvl="6">
      <w:start w:val="0"/>
      <w:numFmt w:val="bullet"/>
      <w:lvlText w:val="•"/>
      <w:lvlJc w:val="left"/>
      <w:pPr>
        <w:ind w:left="7420" w:hanging="231"/>
      </w:pPr>
      <w:rPr>
        <w:rFonts w:hint="default"/>
        <w:lang w:val="en-US" w:eastAsia="en-US" w:bidi="ar-SA"/>
      </w:rPr>
    </w:lvl>
    <w:lvl w:ilvl="7">
      <w:start w:val="0"/>
      <w:numFmt w:val="bullet"/>
      <w:lvlText w:val="•"/>
      <w:lvlJc w:val="left"/>
      <w:pPr>
        <w:ind w:left="8510" w:hanging="231"/>
      </w:pPr>
      <w:rPr>
        <w:rFonts w:hint="default"/>
        <w:lang w:val="en-US" w:eastAsia="en-US" w:bidi="ar-SA"/>
      </w:rPr>
    </w:lvl>
    <w:lvl w:ilvl="8">
      <w:start w:val="0"/>
      <w:numFmt w:val="bullet"/>
      <w:lvlText w:val="•"/>
      <w:lvlJc w:val="left"/>
      <w:pPr>
        <w:ind w:left="9600" w:hanging="231"/>
      </w:pPr>
      <w:rPr>
        <w:rFonts w:hint="default"/>
        <w:lang w:val="en-US" w:eastAsia="en-US" w:bidi="ar-SA"/>
      </w:rPr>
    </w:lvl>
  </w:abstractNum>
  <w:abstractNum w:abstractNumId="30">
    <w:multiLevelType w:val="hybridMultilevel"/>
    <w:lvl w:ilvl="0">
      <w:start w:val="1"/>
      <w:numFmt w:val="decimal"/>
      <w:lvlText w:val="%1)"/>
      <w:lvlJc w:val="left"/>
      <w:pPr>
        <w:ind w:left="864"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52" w:hanging="234"/>
      </w:pPr>
      <w:rPr>
        <w:rFonts w:hint="default"/>
        <w:lang w:val="en-US" w:eastAsia="en-US" w:bidi="ar-SA"/>
      </w:rPr>
    </w:lvl>
    <w:lvl w:ilvl="2">
      <w:start w:val="0"/>
      <w:numFmt w:val="bullet"/>
      <w:lvlText w:val="•"/>
      <w:lvlJc w:val="left"/>
      <w:pPr>
        <w:ind w:left="3044" w:hanging="234"/>
      </w:pPr>
      <w:rPr>
        <w:rFonts w:hint="default"/>
        <w:lang w:val="en-US" w:eastAsia="en-US" w:bidi="ar-SA"/>
      </w:rPr>
    </w:lvl>
    <w:lvl w:ilvl="3">
      <w:start w:val="0"/>
      <w:numFmt w:val="bullet"/>
      <w:lvlText w:val="•"/>
      <w:lvlJc w:val="left"/>
      <w:pPr>
        <w:ind w:left="4136" w:hanging="234"/>
      </w:pPr>
      <w:rPr>
        <w:rFonts w:hint="default"/>
        <w:lang w:val="en-US" w:eastAsia="en-US" w:bidi="ar-SA"/>
      </w:rPr>
    </w:lvl>
    <w:lvl w:ilvl="4">
      <w:start w:val="0"/>
      <w:numFmt w:val="bullet"/>
      <w:lvlText w:val="•"/>
      <w:lvlJc w:val="left"/>
      <w:pPr>
        <w:ind w:left="5228" w:hanging="234"/>
      </w:pPr>
      <w:rPr>
        <w:rFonts w:hint="default"/>
        <w:lang w:val="en-US" w:eastAsia="en-US" w:bidi="ar-SA"/>
      </w:rPr>
    </w:lvl>
    <w:lvl w:ilvl="5">
      <w:start w:val="0"/>
      <w:numFmt w:val="bullet"/>
      <w:lvlText w:val="•"/>
      <w:lvlJc w:val="left"/>
      <w:pPr>
        <w:ind w:left="6320" w:hanging="234"/>
      </w:pPr>
      <w:rPr>
        <w:rFonts w:hint="default"/>
        <w:lang w:val="en-US" w:eastAsia="en-US" w:bidi="ar-SA"/>
      </w:rPr>
    </w:lvl>
    <w:lvl w:ilvl="6">
      <w:start w:val="0"/>
      <w:numFmt w:val="bullet"/>
      <w:lvlText w:val="•"/>
      <w:lvlJc w:val="left"/>
      <w:pPr>
        <w:ind w:left="7412" w:hanging="234"/>
      </w:pPr>
      <w:rPr>
        <w:rFonts w:hint="default"/>
        <w:lang w:val="en-US" w:eastAsia="en-US" w:bidi="ar-SA"/>
      </w:rPr>
    </w:lvl>
    <w:lvl w:ilvl="7">
      <w:start w:val="0"/>
      <w:numFmt w:val="bullet"/>
      <w:lvlText w:val="•"/>
      <w:lvlJc w:val="left"/>
      <w:pPr>
        <w:ind w:left="8504" w:hanging="234"/>
      </w:pPr>
      <w:rPr>
        <w:rFonts w:hint="default"/>
        <w:lang w:val="en-US" w:eastAsia="en-US" w:bidi="ar-SA"/>
      </w:rPr>
    </w:lvl>
    <w:lvl w:ilvl="8">
      <w:start w:val="0"/>
      <w:numFmt w:val="bullet"/>
      <w:lvlText w:val="•"/>
      <w:lvlJc w:val="left"/>
      <w:pPr>
        <w:ind w:left="9596" w:hanging="234"/>
      </w:pPr>
      <w:rPr>
        <w:rFonts w:hint="default"/>
        <w:lang w:val="en-US" w:eastAsia="en-US" w:bidi="ar-SA"/>
      </w:rPr>
    </w:lvl>
  </w:abstractNum>
  <w:abstractNum w:abstractNumId="29">
    <w:multiLevelType w:val="hybridMultilevel"/>
    <w:lvl w:ilvl="0">
      <w:start w:val="1"/>
      <w:numFmt w:val="decimal"/>
      <w:lvlText w:val="%1)"/>
      <w:lvlJc w:val="left"/>
      <w:pPr>
        <w:ind w:left="910" w:hanging="258"/>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006" w:hanging="258"/>
      </w:pPr>
      <w:rPr>
        <w:rFonts w:hint="default"/>
        <w:lang w:val="en-US" w:eastAsia="en-US" w:bidi="ar-SA"/>
      </w:rPr>
    </w:lvl>
    <w:lvl w:ilvl="2">
      <w:start w:val="0"/>
      <w:numFmt w:val="bullet"/>
      <w:lvlText w:val="•"/>
      <w:lvlJc w:val="left"/>
      <w:pPr>
        <w:ind w:left="3092" w:hanging="258"/>
      </w:pPr>
      <w:rPr>
        <w:rFonts w:hint="default"/>
        <w:lang w:val="en-US" w:eastAsia="en-US" w:bidi="ar-SA"/>
      </w:rPr>
    </w:lvl>
    <w:lvl w:ilvl="3">
      <w:start w:val="0"/>
      <w:numFmt w:val="bullet"/>
      <w:lvlText w:val="•"/>
      <w:lvlJc w:val="left"/>
      <w:pPr>
        <w:ind w:left="4178" w:hanging="258"/>
      </w:pPr>
      <w:rPr>
        <w:rFonts w:hint="default"/>
        <w:lang w:val="en-US" w:eastAsia="en-US" w:bidi="ar-SA"/>
      </w:rPr>
    </w:lvl>
    <w:lvl w:ilvl="4">
      <w:start w:val="0"/>
      <w:numFmt w:val="bullet"/>
      <w:lvlText w:val="•"/>
      <w:lvlJc w:val="left"/>
      <w:pPr>
        <w:ind w:left="5264" w:hanging="258"/>
      </w:pPr>
      <w:rPr>
        <w:rFonts w:hint="default"/>
        <w:lang w:val="en-US" w:eastAsia="en-US" w:bidi="ar-SA"/>
      </w:rPr>
    </w:lvl>
    <w:lvl w:ilvl="5">
      <w:start w:val="0"/>
      <w:numFmt w:val="bullet"/>
      <w:lvlText w:val="•"/>
      <w:lvlJc w:val="left"/>
      <w:pPr>
        <w:ind w:left="6350" w:hanging="258"/>
      </w:pPr>
      <w:rPr>
        <w:rFonts w:hint="default"/>
        <w:lang w:val="en-US" w:eastAsia="en-US" w:bidi="ar-SA"/>
      </w:rPr>
    </w:lvl>
    <w:lvl w:ilvl="6">
      <w:start w:val="0"/>
      <w:numFmt w:val="bullet"/>
      <w:lvlText w:val="•"/>
      <w:lvlJc w:val="left"/>
      <w:pPr>
        <w:ind w:left="7436" w:hanging="258"/>
      </w:pPr>
      <w:rPr>
        <w:rFonts w:hint="default"/>
        <w:lang w:val="en-US" w:eastAsia="en-US" w:bidi="ar-SA"/>
      </w:rPr>
    </w:lvl>
    <w:lvl w:ilvl="7">
      <w:start w:val="0"/>
      <w:numFmt w:val="bullet"/>
      <w:lvlText w:val="•"/>
      <w:lvlJc w:val="left"/>
      <w:pPr>
        <w:ind w:left="8522" w:hanging="258"/>
      </w:pPr>
      <w:rPr>
        <w:rFonts w:hint="default"/>
        <w:lang w:val="en-US" w:eastAsia="en-US" w:bidi="ar-SA"/>
      </w:rPr>
    </w:lvl>
    <w:lvl w:ilvl="8">
      <w:start w:val="0"/>
      <w:numFmt w:val="bullet"/>
      <w:lvlText w:val="•"/>
      <w:lvlJc w:val="left"/>
      <w:pPr>
        <w:ind w:left="9608" w:hanging="258"/>
      </w:pPr>
      <w:rPr>
        <w:rFonts w:hint="default"/>
        <w:lang w:val="en-US" w:eastAsia="en-US" w:bidi="ar-SA"/>
      </w:rPr>
    </w:lvl>
  </w:abstractNum>
  <w:abstractNum w:abstractNumId="28">
    <w:multiLevelType w:val="hybridMultilevel"/>
    <w:lvl w:ilvl="0">
      <w:start w:val="1"/>
      <w:numFmt w:val="decimal"/>
      <w:lvlText w:val="%1)"/>
      <w:lvlJc w:val="left"/>
      <w:pPr>
        <w:ind w:left="910" w:hanging="259"/>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decimal"/>
      <w:lvlText w:val="(%2)"/>
      <w:lvlJc w:val="left"/>
      <w:pPr>
        <w:ind w:left="1420" w:hanging="309"/>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1420" w:hanging="309"/>
      </w:pPr>
      <w:rPr>
        <w:rFonts w:hint="default"/>
        <w:lang w:val="en-US" w:eastAsia="en-US" w:bidi="ar-SA"/>
      </w:rPr>
    </w:lvl>
    <w:lvl w:ilvl="3">
      <w:start w:val="0"/>
      <w:numFmt w:val="bullet"/>
      <w:lvlText w:val="•"/>
      <w:lvlJc w:val="left"/>
      <w:pPr>
        <w:ind w:left="2715" w:hanging="309"/>
      </w:pPr>
      <w:rPr>
        <w:rFonts w:hint="default"/>
        <w:lang w:val="en-US" w:eastAsia="en-US" w:bidi="ar-SA"/>
      </w:rPr>
    </w:lvl>
    <w:lvl w:ilvl="4">
      <w:start w:val="0"/>
      <w:numFmt w:val="bullet"/>
      <w:lvlText w:val="•"/>
      <w:lvlJc w:val="left"/>
      <w:pPr>
        <w:ind w:left="4010" w:hanging="309"/>
      </w:pPr>
      <w:rPr>
        <w:rFonts w:hint="default"/>
        <w:lang w:val="en-US" w:eastAsia="en-US" w:bidi="ar-SA"/>
      </w:rPr>
    </w:lvl>
    <w:lvl w:ilvl="5">
      <w:start w:val="0"/>
      <w:numFmt w:val="bullet"/>
      <w:lvlText w:val="•"/>
      <w:lvlJc w:val="left"/>
      <w:pPr>
        <w:ind w:left="5305" w:hanging="309"/>
      </w:pPr>
      <w:rPr>
        <w:rFonts w:hint="default"/>
        <w:lang w:val="en-US" w:eastAsia="en-US" w:bidi="ar-SA"/>
      </w:rPr>
    </w:lvl>
    <w:lvl w:ilvl="6">
      <w:start w:val="0"/>
      <w:numFmt w:val="bullet"/>
      <w:lvlText w:val="•"/>
      <w:lvlJc w:val="left"/>
      <w:pPr>
        <w:ind w:left="6600" w:hanging="309"/>
      </w:pPr>
      <w:rPr>
        <w:rFonts w:hint="default"/>
        <w:lang w:val="en-US" w:eastAsia="en-US" w:bidi="ar-SA"/>
      </w:rPr>
    </w:lvl>
    <w:lvl w:ilvl="7">
      <w:start w:val="0"/>
      <w:numFmt w:val="bullet"/>
      <w:lvlText w:val="•"/>
      <w:lvlJc w:val="left"/>
      <w:pPr>
        <w:ind w:left="7895" w:hanging="309"/>
      </w:pPr>
      <w:rPr>
        <w:rFonts w:hint="default"/>
        <w:lang w:val="en-US" w:eastAsia="en-US" w:bidi="ar-SA"/>
      </w:rPr>
    </w:lvl>
    <w:lvl w:ilvl="8">
      <w:start w:val="0"/>
      <w:numFmt w:val="bullet"/>
      <w:lvlText w:val="•"/>
      <w:lvlJc w:val="left"/>
      <w:pPr>
        <w:ind w:left="9190" w:hanging="309"/>
      </w:pPr>
      <w:rPr>
        <w:rFonts w:hint="default"/>
        <w:lang w:val="en-US" w:eastAsia="en-US" w:bidi="ar-SA"/>
      </w:rPr>
    </w:lvl>
  </w:abstractNum>
  <w:abstractNum w:abstractNumId="27">
    <w:multiLevelType w:val="hybridMultilevel"/>
    <w:lvl w:ilvl="0">
      <w:start w:val="1"/>
      <w:numFmt w:val="decimal"/>
      <w:lvlText w:val="%1)"/>
      <w:lvlJc w:val="left"/>
      <w:pPr>
        <w:ind w:left="888"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4"/>
      </w:pPr>
      <w:rPr>
        <w:rFonts w:hint="default"/>
        <w:lang w:val="en-US" w:eastAsia="en-US" w:bidi="ar-SA"/>
      </w:rPr>
    </w:lvl>
    <w:lvl w:ilvl="2">
      <w:start w:val="0"/>
      <w:numFmt w:val="bullet"/>
      <w:lvlText w:val="•"/>
      <w:lvlJc w:val="left"/>
      <w:pPr>
        <w:ind w:left="3060" w:hanging="234"/>
      </w:pPr>
      <w:rPr>
        <w:rFonts w:hint="default"/>
        <w:lang w:val="en-US" w:eastAsia="en-US" w:bidi="ar-SA"/>
      </w:rPr>
    </w:lvl>
    <w:lvl w:ilvl="3">
      <w:start w:val="0"/>
      <w:numFmt w:val="bullet"/>
      <w:lvlText w:val="•"/>
      <w:lvlJc w:val="left"/>
      <w:pPr>
        <w:ind w:left="4150" w:hanging="234"/>
      </w:pPr>
      <w:rPr>
        <w:rFonts w:hint="default"/>
        <w:lang w:val="en-US" w:eastAsia="en-US" w:bidi="ar-SA"/>
      </w:rPr>
    </w:lvl>
    <w:lvl w:ilvl="4">
      <w:start w:val="0"/>
      <w:numFmt w:val="bullet"/>
      <w:lvlText w:val="•"/>
      <w:lvlJc w:val="left"/>
      <w:pPr>
        <w:ind w:left="5240" w:hanging="234"/>
      </w:pPr>
      <w:rPr>
        <w:rFonts w:hint="default"/>
        <w:lang w:val="en-US" w:eastAsia="en-US" w:bidi="ar-SA"/>
      </w:rPr>
    </w:lvl>
    <w:lvl w:ilvl="5">
      <w:start w:val="0"/>
      <w:numFmt w:val="bullet"/>
      <w:lvlText w:val="•"/>
      <w:lvlJc w:val="left"/>
      <w:pPr>
        <w:ind w:left="6330" w:hanging="234"/>
      </w:pPr>
      <w:rPr>
        <w:rFonts w:hint="default"/>
        <w:lang w:val="en-US" w:eastAsia="en-US" w:bidi="ar-SA"/>
      </w:rPr>
    </w:lvl>
    <w:lvl w:ilvl="6">
      <w:start w:val="0"/>
      <w:numFmt w:val="bullet"/>
      <w:lvlText w:val="•"/>
      <w:lvlJc w:val="left"/>
      <w:pPr>
        <w:ind w:left="7420" w:hanging="234"/>
      </w:pPr>
      <w:rPr>
        <w:rFonts w:hint="default"/>
        <w:lang w:val="en-US" w:eastAsia="en-US" w:bidi="ar-SA"/>
      </w:rPr>
    </w:lvl>
    <w:lvl w:ilvl="7">
      <w:start w:val="0"/>
      <w:numFmt w:val="bullet"/>
      <w:lvlText w:val="•"/>
      <w:lvlJc w:val="left"/>
      <w:pPr>
        <w:ind w:left="8510" w:hanging="234"/>
      </w:pPr>
      <w:rPr>
        <w:rFonts w:hint="default"/>
        <w:lang w:val="en-US" w:eastAsia="en-US" w:bidi="ar-SA"/>
      </w:rPr>
    </w:lvl>
    <w:lvl w:ilvl="8">
      <w:start w:val="0"/>
      <w:numFmt w:val="bullet"/>
      <w:lvlText w:val="•"/>
      <w:lvlJc w:val="left"/>
      <w:pPr>
        <w:ind w:left="9600" w:hanging="234"/>
      </w:pPr>
      <w:rPr>
        <w:rFonts w:hint="default"/>
        <w:lang w:val="en-US" w:eastAsia="en-US" w:bidi="ar-SA"/>
      </w:rPr>
    </w:lvl>
  </w:abstractNum>
  <w:abstractNum w:abstractNumId="26">
    <w:multiLevelType w:val="hybridMultilevel"/>
    <w:lvl w:ilvl="0">
      <w:start w:val="1"/>
      <w:numFmt w:val="decimal"/>
      <w:lvlText w:val="%1)"/>
      <w:lvlJc w:val="left"/>
      <w:pPr>
        <w:ind w:left="888"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4"/>
      </w:pPr>
      <w:rPr>
        <w:rFonts w:hint="default"/>
        <w:lang w:val="en-US" w:eastAsia="en-US" w:bidi="ar-SA"/>
      </w:rPr>
    </w:lvl>
    <w:lvl w:ilvl="2">
      <w:start w:val="0"/>
      <w:numFmt w:val="bullet"/>
      <w:lvlText w:val="•"/>
      <w:lvlJc w:val="left"/>
      <w:pPr>
        <w:ind w:left="3060" w:hanging="234"/>
      </w:pPr>
      <w:rPr>
        <w:rFonts w:hint="default"/>
        <w:lang w:val="en-US" w:eastAsia="en-US" w:bidi="ar-SA"/>
      </w:rPr>
    </w:lvl>
    <w:lvl w:ilvl="3">
      <w:start w:val="0"/>
      <w:numFmt w:val="bullet"/>
      <w:lvlText w:val="•"/>
      <w:lvlJc w:val="left"/>
      <w:pPr>
        <w:ind w:left="4150" w:hanging="234"/>
      </w:pPr>
      <w:rPr>
        <w:rFonts w:hint="default"/>
        <w:lang w:val="en-US" w:eastAsia="en-US" w:bidi="ar-SA"/>
      </w:rPr>
    </w:lvl>
    <w:lvl w:ilvl="4">
      <w:start w:val="0"/>
      <w:numFmt w:val="bullet"/>
      <w:lvlText w:val="•"/>
      <w:lvlJc w:val="left"/>
      <w:pPr>
        <w:ind w:left="5240" w:hanging="234"/>
      </w:pPr>
      <w:rPr>
        <w:rFonts w:hint="default"/>
        <w:lang w:val="en-US" w:eastAsia="en-US" w:bidi="ar-SA"/>
      </w:rPr>
    </w:lvl>
    <w:lvl w:ilvl="5">
      <w:start w:val="0"/>
      <w:numFmt w:val="bullet"/>
      <w:lvlText w:val="•"/>
      <w:lvlJc w:val="left"/>
      <w:pPr>
        <w:ind w:left="6330" w:hanging="234"/>
      </w:pPr>
      <w:rPr>
        <w:rFonts w:hint="default"/>
        <w:lang w:val="en-US" w:eastAsia="en-US" w:bidi="ar-SA"/>
      </w:rPr>
    </w:lvl>
    <w:lvl w:ilvl="6">
      <w:start w:val="0"/>
      <w:numFmt w:val="bullet"/>
      <w:lvlText w:val="•"/>
      <w:lvlJc w:val="left"/>
      <w:pPr>
        <w:ind w:left="7420" w:hanging="234"/>
      </w:pPr>
      <w:rPr>
        <w:rFonts w:hint="default"/>
        <w:lang w:val="en-US" w:eastAsia="en-US" w:bidi="ar-SA"/>
      </w:rPr>
    </w:lvl>
    <w:lvl w:ilvl="7">
      <w:start w:val="0"/>
      <w:numFmt w:val="bullet"/>
      <w:lvlText w:val="•"/>
      <w:lvlJc w:val="left"/>
      <w:pPr>
        <w:ind w:left="8510" w:hanging="234"/>
      </w:pPr>
      <w:rPr>
        <w:rFonts w:hint="default"/>
        <w:lang w:val="en-US" w:eastAsia="en-US" w:bidi="ar-SA"/>
      </w:rPr>
    </w:lvl>
    <w:lvl w:ilvl="8">
      <w:start w:val="0"/>
      <w:numFmt w:val="bullet"/>
      <w:lvlText w:val="•"/>
      <w:lvlJc w:val="left"/>
      <w:pPr>
        <w:ind w:left="9600" w:hanging="234"/>
      </w:pPr>
      <w:rPr>
        <w:rFonts w:hint="default"/>
        <w:lang w:val="en-US" w:eastAsia="en-US" w:bidi="ar-SA"/>
      </w:rPr>
    </w:lvl>
  </w:abstractNum>
  <w:abstractNum w:abstractNumId="25">
    <w:multiLevelType w:val="hybridMultilevel"/>
    <w:lvl w:ilvl="0">
      <w:start w:val="1"/>
      <w:numFmt w:val="decimal"/>
      <w:lvlText w:val="%1)"/>
      <w:lvlJc w:val="left"/>
      <w:pPr>
        <w:ind w:left="888"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4"/>
      </w:pPr>
      <w:rPr>
        <w:rFonts w:hint="default"/>
        <w:lang w:val="en-US" w:eastAsia="en-US" w:bidi="ar-SA"/>
      </w:rPr>
    </w:lvl>
    <w:lvl w:ilvl="2">
      <w:start w:val="0"/>
      <w:numFmt w:val="bullet"/>
      <w:lvlText w:val="•"/>
      <w:lvlJc w:val="left"/>
      <w:pPr>
        <w:ind w:left="3060" w:hanging="234"/>
      </w:pPr>
      <w:rPr>
        <w:rFonts w:hint="default"/>
        <w:lang w:val="en-US" w:eastAsia="en-US" w:bidi="ar-SA"/>
      </w:rPr>
    </w:lvl>
    <w:lvl w:ilvl="3">
      <w:start w:val="0"/>
      <w:numFmt w:val="bullet"/>
      <w:lvlText w:val="•"/>
      <w:lvlJc w:val="left"/>
      <w:pPr>
        <w:ind w:left="4150" w:hanging="234"/>
      </w:pPr>
      <w:rPr>
        <w:rFonts w:hint="default"/>
        <w:lang w:val="en-US" w:eastAsia="en-US" w:bidi="ar-SA"/>
      </w:rPr>
    </w:lvl>
    <w:lvl w:ilvl="4">
      <w:start w:val="0"/>
      <w:numFmt w:val="bullet"/>
      <w:lvlText w:val="•"/>
      <w:lvlJc w:val="left"/>
      <w:pPr>
        <w:ind w:left="5240" w:hanging="234"/>
      </w:pPr>
      <w:rPr>
        <w:rFonts w:hint="default"/>
        <w:lang w:val="en-US" w:eastAsia="en-US" w:bidi="ar-SA"/>
      </w:rPr>
    </w:lvl>
    <w:lvl w:ilvl="5">
      <w:start w:val="0"/>
      <w:numFmt w:val="bullet"/>
      <w:lvlText w:val="•"/>
      <w:lvlJc w:val="left"/>
      <w:pPr>
        <w:ind w:left="6330" w:hanging="234"/>
      </w:pPr>
      <w:rPr>
        <w:rFonts w:hint="default"/>
        <w:lang w:val="en-US" w:eastAsia="en-US" w:bidi="ar-SA"/>
      </w:rPr>
    </w:lvl>
    <w:lvl w:ilvl="6">
      <w:start w:val="0"/>
      <w:numFmt w:val="bullet"/>
      <w:lvlText w:val="•"/>
      <w:lvlJc w:val="left"/>
      <w:pPr>
        <w:ind w:left="7420" w:hanging="234"/>
      </w:pPr>
      <w:rPr>
        <w:rFonts w:hint="default"/>
        <w:lang w:val="en-US" w:eastAsia="en-US" w:bidi="ar-SA"/>
      </w:rPr>
    </w:lvl>
    <w:lvl w:ilvl="7">
      <w:start w:val="0"/>
      <w:numFmt w:val="bullet"/>
      <w:lvlText w:val="•"/>
      <w:lvlJc w:val="left"/>
      <w:pPr>
        <w:ind w:left="8510" w:hanging="234"/>
      </w:pPr>
      <w:rPr>
        <w:rFonts w:hint="default"/>
        <w:lang w:val="en-US" w:eastAsia="en-US" w:bidi="ar-SA"/>
      </w:rPr>
    </w:lvl>
    <w:lvl w:ilvl="8">
      <w:start w:val="0"/>
      <w:numFmt w:val="bullet"/>
      <w:lvlText w:val="•"/>
      <w:lvlJc w:val="left"/>
      <w:pPr>
        <w:ind w:left="9600" w:hanging="234"/>
      </w:pPr>
      <w:rPr>
        <w:rFonts w:hint="default"/>
        <w:lang w:val="en-US" w:eastAsia="en-US" w:bidi="ar-SA"/>
      </w:rPr>
    </w:lvl>
  </w:abstractNum>
  <w:abstractNum w:abstractNumId="24">
    <w:multiLevelType w:val="hybridMultilevel"/>
    <w:lvl w:ilvl="0">
      <w:start w:val="1"/>
      <w:numFmt w:val="decimal"/>
      <w:lvlText w:val="%1)"/>
      <w:lvlJc w:val="left"/>
      <w:pPr>
        <w:ind w:left="910" w:hanging="25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006" w:hanging="256"/>
      </w:pPr>
      <w:rPr>
        <w:rFonts w:hint="default"/>
        <w:lang w:val="en-US" w:eastAsia="en-US" w:bidi="ar-SA"/>
      </w:rPr>
    </w:lvl>
    <w:lvl w:ilvl="2">
      <w:start w:val="0"/>
      <w:numFmt w:val="bullet"/>
      <w:lvlText w:val="•"/>
      <w:lvlJc w:val="left"/>
      <w:pPr>
        <w:ind w:left="3092" w:hanging="256"/>
      </w:pPr>
      <w:rPr>
        <w:rFonts w:hint="default"/>
        <w:lang w:val="en-US" w:eastAsia="en-US" w:bidi="ar-SA"/>
      </w:rPr>
    </w:lvl>
    <w:lvl w:ilvl="3">
      <w:start w:val="0"/>
      <w:numFmt w:val="bullet"/>
      <w:lvlText w:val="•"/>
      <w:lvlJc w:val="left"/>
      <w:pPr>
        <w:ind w:left="4178" w:hanging="256"/>
      </w:pPr>
      <w:rPr>
        <w:rFonts w:hint="default"/>
        <w:lang w:val="en-US" w:eastAsia="en-US" w:bidi="ar-SA"/>
      </w:rPr>
    </w:lvl>
    <w:lvl w:ilvl="4">
      <w:start w:val="0"/>
      <w:numFmt w:val="bullet"/>
      <w:lvlText w:val="•"/>
      <w:lvlJc w:val="left"/>
      <w:pPr>
        <w:ind w:left="5264" w:hanging="256"/>
      </w:pPr>
      <w:rPr>
        <w:rFonts w:hint="default"/>
        <w:lang w:val="en-US" w:eastAsia="en-US" w:bidi="ar-SA"/>
      </w:rPr>
    </w:lvl>
    <w:lvl w:ilvl="5">
      <w:start w:val="0"/>
      <w:numFmt w:val="bullet"/>
      <w:lvlText w:val="•"/>
      <w:lvlJc w:val="left"/>
      <w:pPr>
        <w:ind w:left="6350" w:hanging="256"/>
      </w:pPr>
      <w:rPr>
        <w:rFonts w:hint="default"/>
        <w:lang w:val="en-US" w:eastAsia="en-US" w:bidi="ar-SA"/>
      </w:rPr>
    </w:lvl>
    <w:lvl w:ilvl="6">
      <w:start w:val="0"/>
      <w:numFmt w:val="bullet"/>
      <w:lvlText w:val="•"/>
      <w:lvlJc w:val="left"/>
      <w:pPr>
        <w:ind w:left="7436" w:hanging="256"/>
      </w:pPr>
      <w:rPr>
        <w:rFonts w:hint="default"/>
        <w:lang w:val="en-US" w:eastAsia="en-US" w:bidi="ar-SA"/>
      </w:rPr>
    </w:lvl>
    <w:lvl w:ilvl="7">
      <w:start w:val="0"/>
      <w:numFmt w:val="bullet"/>
      <w:lvlText w:val="•"/>
      <w:lvlJc w:val="left"/>
      <w:pPr>
        <w:ind w:left="8522" w:hanging="256"/>
      </w:pPr>
      <w:rPr>
        <w:rFonts w:hint="default"/>
        <w:lang w:val="en-US" w:eastAsia="en-US" w:bidi="ar-SA"/>
      </w:rPr>
    </w:lvl>
    <w:lvl w:ilvl="8">
      <w:start w:val="0"/>
      <w:numFmt w:val="bullet"/>
      <w:lvlText w:val="•"/>
      <w:lvlJc w:val="left"/>
      <w:pPr>
        <w:ind w:left="9608" w:hanging="256"/>
      </w:pPr>
      <w:rPr>
        <w:rFonts w:hint="default"/>
        <w:lang w:val="en-US" w:eastAsia="en-US" w:bidi="ar-SA"/>
      </w:rPr>
    </w:lvl>
  </w:abstractNum>
  <w:abstractNum w:abstractNumId="23">
    <w:multiLevelType w:val="hybridMultilevel"/>
    <w:lvl w:ilvl="0">
      <w:start w:val="1"/>
      <w:numFmt w:val="decimal"/>
      <w:lvlText w:val="%1)"/>
      <w:lvlJc w:val="left"/>
      <w:pPr>
        <w:ind w:left="888" w:hanging="23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970" w:hanging="234"/>
      </w:pPr>
      <w:rPr>
        <w:rFonts w:hint="default"/>
        <w:lang w:val="en-US" w:eastAsia="en-US" w:bidi="ar-SA"/>
      </w:rPr>
    </w:lvl>
    <w:lvl w:ilvl="2">
      <w:start w:val="0"/>
      <w:numFmt w:val="bullet"/>
      <w:lvlText w:val="•"/>
      <w:lvlJc w:val="left"/>
      <w:pPr>
        <w:ind w:left="3060" w:hanging="234"/>
      </w:pPr>
      <w:rPr>
        <w:rFonts w:hint="default"/>
        <w:lang w:val="en-US" w:eastAsia="en-US" w:bidi="ar-SA"/>
      </w:rPr>
    </w:lvl>
    <w:lvl w:ilvl="3">
      <w:start w:val="0"/>
      <w:numFmt w:val="bullet"/>
      <w:lvlText w:val="•"/>
      <w:lvlJc w:val="left"/>
      <w:pPr>
        <w:ind w:left="4150" w:hanging="234"/>
      </w:pPr>
      <w:rPr>
        <w:rFonts w:hint="default"/>
        <w:lang w:val="en-US" w:eastAsia="en-US" w:bidi="ar-SA"/>
      </w:rPr>
    </w:lvl>
    <w:lvl w:ilvl="4">
      <w:start w:val="0"/>
      <w:numFmt w:val="bullet"/>
      <w:lvlText w:val="•"/>
      <w:lvlJc w:val="left"/>
      <w:pPr>
        <w:ind w:left="5240" w:hanging="234"/>
      </w:pPr>
      <w:rPr>
        <w:rFonts w:hint="default"/>
        <w:lang w:val="en-US" w:eastAsia="en-US" w:bidi="ar-SA"/>
      </w:rPr>
    </w:lvl>
    <w:lvl w:ilvl="5">
      <w:start w:val="0"/>
      <w:numFmt w:val="bullet"/>
      <w:lvlText w:val="•"/>
      <w:lvlJc w:val="left"/>
      <w:pPr>
        <w:ind w:left="6330" w:hanging="234"/>
      </w:pPr>
      <w:rPr>
        <w:rFonts w:hint="default"/>
        <w:lang w:val="en-US" w:eastAsia="en-US" w:bidi="ar-SA"/>
      </w:rPr>
    </w:lvl>
    <w:lvl w:ilvl="6">
      <w:start w:val="0"/>
      <w:numFmt w:val="bullet"/>
      <w:lvlText w:val="•"/>
      <w:lvlJc w:val="left"/>
      <w:pPr>
        <w:ind w:left="7420" w:hanging="234"/>
      </w:pPr>
      <w:rPr>
        <w:rFonts w:hint="default"/>
        <w:lang w:val="en-US" w:eastAsia="en-US" w:bidi="ar-SA"/>
      </w:rPr>
    </w:lvl>
    <w:lvl w:ilvl="7">
      <w:start w:val="0"/>
      <w:numFmt w:val="bullet"/>
      <w:lvlText w:val="•"/>
      <w:lvlJc w:val="left"/>
      <w:pPr>
        <w:ind w:left="8510" w:hanging="234"/>
      </w:pPr>
      <w:rPr>
        <w:rFonts w:hint="default"/>
        <w:lang w:val="en-US" w:eastAsia="en-US" w:bidi="ar-SA"/>
      </w:rPr>
    </w:lvl>
    <w:lvl w:ilvl="8">
      <w:start w:val="0"/>
      <w:numFmt w:val="bullet"/>
      <w:lvlText w:val="•"/>
      <w:lvlJc w:val="left"/>
      <w:pPr>
        <w:ind w:left="9600" w:hanging="234"/>
      </w:pPr>
      <w:rPr>
        <w:rFonts w:hint="default"/>
        <w:lang w:val="en-US" w:eastAsia="en-US" w:bidi="ar-SA"/>
      </w:rPr>
    </w:lvl>
  </w:abstractNum>
  <w:abstractNum w:abstractNumId="22">
    <w:multiLevelType w:val="hybridMultilevel"/>
    <w:lvl w:ilvl="0">
      <w:start w:val="99"/>
      <w:numFmt w:val="decimal"/>
      <w:lvlText w:val="%1"/>
      <w:lvlJc w:val="left"/>
      <w:pPr>
        <w:ind w:left="1433" w:hanging="1272"/>
        <w:jc w:val="left"/>
      </w:pPr>
      <w:rPr>
        <w:rFonts w:hint="default"/>
        <w:lang w:val="en-US" w:eastAsia="en-US" w:bidi="ar-SA"/>
      </w:rPr>
    </w:lvl>
    <w:lvl w:ilvl="1">
      <w:start w:val="1"/>
      <w:numFmt w:val="decimal"/>
      <w:lvlText w:val="%1.%2"/>
      <w:lvlJc w:val="left"/>
      <w:pPr>
        <w:ind w:left="1433" w:hanging="1272"/>
        <w:jc w:val="left"/>
      </w:pPr>
      <w:rPr>
        <w:rFonts w:hint="default" w:ascii="Times New Roman" w:hAnsi="Times New Roman" w:eastAsia="Times New Roman" w:cs="Times New Roman"/>
        <w:b w:val="0"/>
        <w:bCs w:val="0"/>
        <w:i w:val="0"/>
        <w:iCs w:val="0"/>
        <w:spacing w:val="0"/>
        <w:w w:val="100"/>
        <w:position w:val="1"/>
        <w:sz w:val="18"/>
        <w:szCs w:val="18"/>
        <w:lang w:val="en-US" w:eastAsia="en-US" w:bidi="ar-SA"/>
      </w:rPr>
    </w:lvl>
    <w:lvl w:ilvl="2">
      <w:start w:val="0"/>
      <w:numFmt w:val="bullet"/>
      <w:lvlText w:val="•"/>
      <w:lvlJc w:val="left"/>
      <w:pPr>
        <w:ind w:left="3508" w:hanging="1272"/>
      </w:pPr>
      <w:rPr>
        <w:rFonts w:hint="default"/>
        <w:lang w:val="en-US" w:eastAsia="en-US" w:bidi="ar-SA"/>
      </w:rPr>
    </w:lvl>
    <w:lvl w:ilvl="3">
      <w:start w:val="0"/>
      <w:numFmt w:val="bullet"/>
      <w:lvlText w:val="•"/>
      <w:lvlJc w:val="left"/>
      <w:pPr>
        <w:ind w:left="4542" w:hanging="1272"/>
      </w:pPr>
      <w:rPr>
        <w:rFonts w:hint="default"/>
        <w:lang w:val="en-US" w:eastAsia="en-US" w:bidi="ar-SA"/>
      </w:rPr>
    </w:lvl>
    <w:lvl w:ilvl="4">
      <w:start w:val="0"/>
      <w:numFmt w:val="bullet"/>
      <w:lvlText w:val="•"/>
      <w:lvlJc w:val="left"/>
      <w:pPr>
        <w:ind w:left="5576" w:hanging="1272"/>
      </w:pPr>
      <w:rPr>
        <w:rFonts w:hint="default"/>
        <w:lang w:val="en-US" w:eastAsia="en-US" w:bidi="ar-SA"/>
      </w:rPr>
    </w:lvl>
    <w:lvl w:ilvl="5">
      <w:start w:val="0"/>
      <w:numFmt w:val="bullet"/>
      <w:lvlText w:val="•"/>
      <w:lvlJc w:val="left"/>
      <w:pPr>
        <w:ind w:left="6610" w:hanging="1272"/>
      </w:pPr>
      <w:rPr>
        <w:rFonts w:hint="default"/>
        <w:lang w:val="en-US" w:eastAsia="en-US" w:bidi="ar-SA"/>
      </w:rPr>
    </w:lvl>
    <w:lvl w:ilvl="6">
      <w:start w:val="0"/>
      <w:numFmt w:val="bullet"/>
      <w:lvlText w:val="•"/>
      <w:lvlJc w:val="left"/>
      <w:pPr>
        <w:ind w:left="7644" w:hanging="1272"/>
      </w:pPr>
      <w:rPr>
        <w:rFonts w:hint="default"/>
        <w:lang w:val="en-US" w:eastAsia="en-US" w:bidi="ar-SA"/>
      </w:rPr>
    </w:lvl>
    <w:lvl w:ilvl="7">
      <w:start w:val="0"/>
      <w:numFmt w:val="bullet"/>
      <w:lvlText w:val="•"/>
      <w:lvlJc w:val="left"/>
      <w:pPr>
        <w:ind w:left="8678" w:hanging="1272"/>
      </w:pPr>
      <w:rPr>
        <w:rFonts w:hint="default"/>
        <w:lang w:val="en-US" w:eastAsia="en-US" w:bidi="ar-SA"/>
      </w:rPr>
    </w:lvl>
    <w:lvl w:ilvl="8">
      <w:start w:val="0"/>
      <w:numFmt w:val="bullet"/>
      <w:lvlText w:val="•"/>
      <w:lvlJc w:val="left"/>
      <w:pPr>
        <w:ind w:left="9712" w:hanging="1272"/>
      </w:pPr>
      <w:rPr>
        <w:rFonts w:hint="default"/>
        <w:lang w:val="en-US" w:eastAsia="en-US" w:bidi="ar-SA"/>
      </w:rPr>
    </w:lvl>
  </w:abstractNum>
  <w:abstractNum w:abstractNumId="21">
    <w:multiLevelType w:val="hybridMultilevel"/>
    <w:lvl w:ilvl="0">
      <w:start w:val="31"/>
      <w:numFmt w:val="decimal"/>
      <w:lvlText w:val="%1"/>
      <w:lvlJc w:val="left"/>
      <w:pPr>
        <w:ind w:left="1433" w:hanging="1272"/>
        <w:jc w:val="left"/>
      </w:pPr>
      <w:rPr>
        <w:rFonts w:hint="default"/>
        <w:lang w:val="en-US" w:eastAsia="en-US" w:bidi="ar-SA"/>
      </w:rPr>
    </w:lvl>
    <w:lvl w:ilvl="1">
      <w:start w:val="1"/>
      <w:numFmt w:val="decimal"/>
      <w:lvlText w:val="%1.%2"/>
      <w:lvlJc w:val="left"/>
      <w:pPr>
        <w:ind w:left="1433" w:hanging="1272"/>
        <w:jc w:val="left"/>
      </w:pPr>
      <w:rPr>
        <w:rFonts w:hint="default" w:ascii="Times New Roman" w:hAnsi="Times New Roman" w:eastAsia="Times New Roman" w:cs="Times New Roman"/>
        <w:b w:val="0"/>
        <w:bCs w:val="0"/>
        <w:i w:val="0"/>
        <w:iCs w:val="0"/>
        <w:spacing w:val="0"/>
        <w:w w:val="100"/>
        <w:position w:val="1"/>
        <w:sz w:val="18"/>
        <w:szCs w:val="18"/>
        <w:lang w:val="en-US" w:eastAsia="en-US" w:bidi="ar-SA"/>
      </w:rPr>
    </w:lvl>
    <w:lvl w:ilvl="2">
      <w:start w:val="0"/>
      <w:numFmt w:val="bullet"/>
      <w:lvlText w:val="•"/>
      <w:lvlJc w:val="left"/>
      <w:pPr>
        <w:ind w:left="3508" w:hanging="1272"/>
      </w:pPr>
      <w:rPr>
        <w:rFonts w:hint="default"/>
        <w:lang w:val="en-US" w:eastAsia="en-US" w:bidi="ar-SA"/>
      </w:rPr>
    </w:lvl>
    <w:lvl w:ilvl="3">
      <w:start w:val="0"/>
      <w:numFmt w:val="bullet"/>
      <w:lvlText w:val="•"/>
      <w:lvlJc w:val="left"/>
      <w:pPr>
        <w:ind w:left="4542" w:hanging="1272"/>
      </w:pPr>
      <w:rPr>
        <w:rFonts w:hint="default"/>
        <w:lang w:val="en-US" w:eastAsia="en-US" w:bidi="ar-SA"/>
      </w:rPr>
    </w:lvl>
    <w:lvl w:ilvl="4">
      <w:start w:val="0"/>
      <w:numFmt w:val="bullet"/>
      <w:lvlText w:val="•"/>
      <w:lvlJc w:val="left"/>
      <w:pPr>
        <w:ind w:left="5576" w:hanging="1272"/>
      </w:pPr>
      <w:rPr>
        <w:rFonts w:hint="default"/>
        <w:lang w:val="en-US" w:eastAsia="en-US" w:bidi="ar-SA"/>
      </w:rPr>
    </w:lvl>
    <w:lvl w:ilvl="5">
      <w:start w:val="0"/>
      <w:numFmt w:val="bullet"/>
      <w:lvlText w:val="•"/>
      <w:lvlJc w:val="left"/>
      <w:pPr>
        <w:ind w:left="6610" w:hanging="1272"/>
      </w:pPr>
      <w:rPr>
        <w:rFonts w:hint="default"/>
        <w:lang w:val="en-US" w:eastAsia="en-US" w:bidi="ar-SA"/>
      </w:rPr>
    </w:lvl>
    <w:lvl w:ilvl="6">
      <w:start w:val="0"/>
      <w:numFmt w:val="bullet"/>
      <w:lvlText w:val="•"/>
      <w:lvlJc w:val="left"/>
      <w:pPr>
        <w:ind w:left="7644" w:hanging="1272"/>
      </w:pPr>
      <w:rPr>
        <w:rFonts w:hint="default"/>
        <w:lang w:val="en-US" w:eastAsia="en-US" w:bidi="ar-SA"/>
      </w:rPr>
    </w:lvl>
    <w:lvl w:ilvl="7">
      <w:start w:val="0"/>
      <w:numFmt w:val="bullet"/>
      <w:lvlText w:val="•"/>
      <w:lvlJc w:val="left"/>
      <w:pPr>
        <w:ind w:left="8678" w:hanging="1272"/>
      </w:pPr>
      <w:rPr>
        <w:rFonts w:hint="default"/>
        <w:lang w:val="en-US" w:eastAsia="en-US" w:bidi="ar-SA"/>
      </w:rPr>
    </w:lvl>
    <w:lvl w:ilvl="8">
      <w:start w:val="0"/>
      <w:numFmt w:val="bullet"/>
      <w:lvlText w:val="•"/>
      <w:lvlJc w:val="left"/>
      <w:pPr>
        <w:ind w:left="9712" w:hanging="1272"/>
      </w:pPr>
      <w:rPr>
        <w:rFonts w:hint="default"/>
        <w:lang w:val="en-US" w:eastAsia="en-US" w:bidi="ar-SA"/>
      </w:rPr>
    </w:lvl>
  </w:abstractNum>
  <w:abstractNum w:abstractNumId="20">
    <w:multiLevelType w:val="hybridMultilevel"/>
    <w:lvl w:ilvl="0">
      <w:start w:val="23"/>
      <w:numFmt w:val="decimal"/>
      <w:lvlText w:val="%1"/>
      <w:lvlJc w:val="left"/>
      <w:pPr>
        <w:ind w:left="1432" w:hanging="1271"/>
        <w:jc w:val="left"/>
      </w:pPr>
      <w:rPr>
        <w:rFonts w:hint="default"/>
        <w:lang w:val="en-US" w:eastAsia="en-US" w:bidi="ar-SA"/>
      </w:rPr>
    </w:lvl>
    <w:lvl w:ilvl="1">
      <w:start w:val="1"/>
      <w:numFmt w:val="decimal"/>
      <w:lvlText w:val="%1.%2"/>
      <w:lvlJc w:val="left"/>
      <w:pPr>
        <w:ind w:left="1432" w:hanging="1271"/>
        <w:jc w:val="left"/>
      </w:pPr>
      <w:rPr>
        <w:rFonts w:hint="default" w:ascii="Times New Roman" w:hAnsi="Times New Roman" w:eastAsia="Times New Roman" w:cs="Times New Roman"/>
        <w:b w:val="0"/>
        <w:bCs w:val="0"/>
        <w:i w:val="0"/>
        <w:iCs w:val="0"/>
        <w:spacing w:val="0"/>
        <w:w w:val="100"/>
        <w:position w:val="1"/>
        <w:sz w:val="18"/>
        <w:szCs w:val="18"/>
        <w:lang w:val="en-US" w:eastAsia="en-US" w:bidi="ar-SA"/>
      </w:rPr>
    </w:lvl>
    <w:lvl w:ilvl="2">
      <w:start w:val="0"/>
      <w:numFmt w:val="bullet"/>
      <w:lvlText w:val="•"/>
      <w:lvlJc w:val="left"/>
      <w:pPr>
        <w:ind w:left="3508" w:hanging="1271"/>
      </w:pPr>
      <w:rPr>
        <w:rFonts w:hint="default"/>
        <w:lang w:val="en-US" w:eastAsia="en-US" w:bidi="ar-SA"/>
      </w:rPr>
    </w:lvl>
    <w:lvl w:ilvl="3">
      <w:start w:val="0"/>
      <w:numFmt w:val="bullet"/>
      <w:lvlText w:val="•"/>
      <w:lvlJc w:val="left"/>
      <w:pPr>
        <w:ind w:left="4542" w:hanging="1271"/>
      </w:pPr>
      <w:rPr>
        <w:rFonts w:hint="default"/>
        <w:lang w:val="en-US" w:eastAsia="en-US" w:bidi="ar-SA"/>
      </w:rPr>
    </w:lvl>
    <w:lvl w:ilvl="4">
      <w:start w:val="0"/>
      <w:numFmt w:val="bullet"/>
      <w:lvlText w:val="•"/>
      <w:lvlJc w:val="left"/>
      <w:pPr>
        <w:ind w:left="5576" w:hanging="1271"/>
      </w:pPr>
      <w:rPr>
        <w:rFonts w:hint="default"/>
        <w:lang w:val="en-US" w:eastAsia="en-US" w:bidi="ar-SA"/>
      </w:rPr>
    </w:lvl>
    <w:lvl w:ilvl="5">
      <w:start w:val="0"/>
      <w:numFmt w:val="bullet"/>
      <w:lvlText w:val="•"/>
      <w:lvlJc w:val="left"/>
      <w:pPr>
        <w:ind w:left="6610" w:hanging="1271"/>
      </w:pPr>
      <w:rPr>
        <w:rFonts w:hint="default"/>
        <w:lang w:val="en-US" w:eastAsia="en-US" w:bidi="ar-SA"/>
      </w:rPr>
    </w:lvl>
    <w:lvl w:ilvl="6">
      <w:start w:val="0"/>
      <w:numFmt w:val="bullet"/>
      <w:lvlText w:val="•"/>
      <w:lvlJc w:val="left"/>
      <w:pPr>
        <w:ind w:left="7644" w:hanging="1271"/>
      </w:pPr>
      <w:rPr>
        <w:rFonts w:hint="default"/>
        <w:lang w:val="en-US" w:eastAsia="en-US" w:bidi="ar-SA"/>
      </w:rPr>
    </w:lvl>
    <w:lvl w:ilvl="7">
      <w:start w:val="0"/>
      <w:numFmt w:val="bullet"/>
      <w:lvlText w:val="•"/>
      <w:lvlJc w:val="left"/>
      <w:pPr>
        <w:ind w:left="8678" w:hanging="1271"/>
      </w:pPr>
      <w:rPr>
        <w:rFonts w:hint="default"/>
        <w:lang w:val="en-US" w:eastAsia="en-US" w:bidi="ar-SA"/>
      </w:rPr>
    </w:lvl>
    <w:lvl w:ilvl="8">
      <w:start w:val="0"/>
      <w:numFmt w:val="bullet"/>
      <w:lvlText w:val="•"/>
      <w:lvlJc w:val="left"/>
      <w:pPr>
        <w:ind w:left="9712" w:hanging="1271"/>
      </w:pPr>
      <w:rPr>
        <w:rFonts w:hint="default"/>
        <w:lang w:val="en-US" w:eastAsia="en-US" w:bidi="ar-SA"/>
      </w:rPr>
    </w:lvl>
  </w:abstractNum>
  <w:abstractNum w:abstractNumId="19">
    <w:multiLevelType w:val="hybridMultilevel"/>
    <w:lvl w:ilvl="0">
      <w:start w:val="21"/>
      <w:numFmt w:val="decimal"/>
      <w:lvlText w:val="%1"/>
      <w:lvlJc w:val="left"/>
      <w:pPr>
        <w:ind w:left="1432" w:hanging="1271"/>
        <w:jc w:val="left"/>
      </w:pPr>
      <w:rPr>
        <w:rFonts w:hint="default" w:ascii="Times New Roman" w:hAnsi="Times New Roman" w:eastAsia="Times New Roman" w:cs="Times New Roman"/>
        <w:b w:val="0"/>
        <w:bCs w:val="0"/>
        <w:i w:val="0"/>
        <w:iCs w:val="0"/>
        <w:spacing w:val="0"/>
        <w:w w:val="100"/>
        <w:position w:val="1"/>
        <w:sz w:val="18"/>
        <w:szCs w:val="18"/>
        <w:lang w:val="en-US" w:eastAsia="en-US" w:bidi="ar-SA"/>
      </w:rPr>
    </w:lvl>
    <w:lvl w:ilvl="1">
      <w:start w:val="0"/>
      <w:numFmt w:val="bullet"/>
      <w:lvlText w:val="•"/>
      <w:lvlJc w:val="left"/>
      <w:pPr>
        <w:ind w:left="2474" w:hanging="1271"/>
      </w:pPr>
      <w:rPr>
        <w:rFonts w:hint="default"/>
        <w:lang w:val="en-US" w:eastAsia="en-US" w:bidi="ar-SA"/>
      </w:rPr>
    </w:lvl>
    <w:lvl w:ilvl="2">
      <w:start w:val="0"/>
      <w:numFmt w:val="bullet"/>
      <w:lvlText w:val="•"/>
      <w:lvlJc w:val="left"/>
      <w:pPr>
        <w:ind w:left="3508" w:hanging="1271"/>
      </w:pPr>
      <w:rPr>
        <w:rFonts w:hint="default"/>
        <w:lang w:val="en-US" w:eastAsia="en-US" w:bidi="ar-SA"/>
      </w:rPr>
    </w:lvl>
    <w:lvl w:ilvl="3">
      <w:start w:val="0"/>
      <w:numFmt w:val="bullet"/>
      <w:lvlText w:val="•"/>
      <w:lvlJc w:val="left"/>
      <w:pPr>
        <w:ind w:left="4542" w:hanging="1271"/>
      </w:pPr>
      <w:rPr>
        <w:rFonts w:hint="default"/>
        <w:lang w:val="en-US" w:eastAsia="en-US" w:bidi="ar-SA"/>
      </w:rPr>
    </w:lvl>
    <w:lvl w:ilvl="4">
      <w:start w:val="0"/>
      <w:numFmt w:val="bullet"/>
      <w:lvlText w:val="•"/>
      <w:lvlJc w:val="left"/>
      <w:pPr>
        <w:ind w:left="5576" w:hanging="1271"/>
      </w:pPr>
      <w:rPr>
        <w:rFonts w:hint="default"/>
        <w:lang w:val="en-US" w:eastAsia="en-US" w:bidi="ar-SA"/>
      </w:rPr>
    </w:lvl>
    <w:lvl w:ilvl="5">
      <w:start w:val="0"/>
      <w:numFmt w:val="bullet"/>
      <w:lvlText w:val="•"/>
      <w:lvlJc w:val="left"/>
      <w:pPr>
        <w:ind w:left="6610" w:hanging="1271"/>
      </w:pPr>
      <w:rPr>
        <w:rFonts w:hint="default"/>
        <w:lang w:val="en-US" w:eastAsia="en-US" w:bidi="ar-SA"/>
      </w:rPr>
    </w:lvl>
    <w:lvl w:ilvl="6">
      <w:start w:val="0"/>
      <w:numFmt w:val="bullet"/>
      <w:lvlText w:val="•"/>
      <w:lvlJc w:val="left"/>
      <w:pPr>
        <w:ind w:left="7644" w:hanging="1271"/>
      </w:pPr>
      <w:rPr>
        <w:rFonts w:hint="default"/>
        <w:lang w:val="en-US" w:eastAsia="en-US" w:bidi="ar-SA"/>
      </w:rPr>
    </w:lvl>
    <w:lvl w:ilvl="7">
      <w:start w:val="0"/>
      <w:numFmt w:val="bullet"/>
      <w:lvlText w:val="•"/>
      <w:lvlJc w:val="left"/>
      <w:pPr>
        <w:ind w:left="8678" w:hanging="1271"/>
      </w:pPr>
      <w:rPr>
        <w:rFonts w:hint="default"/>
        <w:lang w:val="en-US" w:eastAsia="en-US" w:bidi="ar-SA"/>
      </w:rPr>
    </w:lvl>
    <w:lvl w:ilvl="8">
      <w:start w:val="0"/>
      <w:numFmt w:val="bullet"/>
      <w:lvlText w:val="•"/>
      <w:lvlJc w:val="left"/>
      <w:pPr>
        <w:ind w:left="9712" w:hanging="1271"/>
      </w:pPr>
      <w:rPr>
        <w:rFonts w:hint="default"/>
        <w:lang w:val="en-US" w:eastAsia="en-US" w:bidi="ar-SA"/>
      </w:rPr>
    </w:lvl>
  </w:abstractNum>
  <w:abstractNum w:abstractNumId="18">
    <w:multiLevelType w:val="hybridMultilevel"/>
    <w:lvl w:ilvl="0">
      <w:start w:val="4"/>
      <w:numFmt w:val="decimal"/>
      <w:lvlText w:val="%1"/>
      <w:lvlJc w:val="left"/>
      <w:pPr>
        <w:ind w:left="1430" w:hanging="1268"/>
        <w:jc w:val="left"/>
      </w:pPr>
      <w:rPr>
        <w:rFonts w:hint="default"/>
        <w:lang w:val="en-US" w:eastAsia="en-US" w:bidi="ar-SA"/>
      </w:rPr>
    </w:lvl>
    <w:lvl w:ilvl="1">
      <w:start w:val="2"/>
      <w:numFmt w:val="decimal"/>
      <w:lvlText w:val="%1.%2"/>
      <w:lvlJc w:val="left"/>
      <w:pPr>
        <w:ind w:left="1430" w:hanging="1268"/>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508" w:hanging="1268"/>
      </w:pPr>
      <w:rPr>
        <w:rFonts w:hint="default"/>
        <w:lang w:val="en-US" w:eastAsia="en-US" w:bidi="ar-SA"/>
      </w:rPr>
    </w:lvl>
    <w:lvl w:ilvl="3">
      <w:start w:val="0"/>
      <w:numFmt w:val="bullet"/>
      <w:lvlText w:val="•"/>
      <w:lvlJc w:val="left"/>
      <w:pPr>
        <w:ind w:left="4542" w:hanging="1268"/>
      </w:pPr>
      <w:rPr>
        <w:rFonts w:hint="default"/>
        <w:lang w:val="en-US" w:eastAsia="en-US" w:bidi="ar-SA"/>
      </w:rPr>
    </w:lvl>
    <w:lvl w:ilvl="4">
      <w:start w:val="0"/>
      <w:numFmt w:val="bullet"/>
      <w:lvlText w:val="•"/>
      <w:lvlJc w:val="left"/>
      <w:pPr>
        <w:ind w:left="5576" w:hanging="1268"/>
      </w:pPr>
      <w:rPr>
        <w:rFonts w:hint="default"/>
        <w:lang w:val="en-US" w:eastAsia="en-US" w:bidi="ar-SA"/>
      </w:rPr>
    </w:lvl>
    <w:lvl w:ilvl="5">
      <w:start w:val="0"/>
      <w:numFmt w:val="bullet"/>
      <w:lvlText w:val="•"/>
      <w:lvlJc w:val="left"/>
      <w:pPr>
        <w:ind w:left="6610" w:hanging="1268"/>
      </w:pPr>
      <w:rPr>
        <w:rFonts w:hint="default"/>
        <w:lang w:val="en-US" w:eastAsia="en-US" w:bidi="ar-SA"/>
      </w:rPr>
    </w:lvl>
    <w:lvl w:ilvl="6">
      <w:start w:val="0"/>
      <w:numFmt w:val="bullet"/>
      <w:lvlText w:val="•"/>
      <w:lvlJc w:val="left"/>
      <w:pPr>
        <w:ind w:left="7644" w:hanging="1268"/>
      </w:pPr>
      <w:rPr>
        <w:rFonts w:hint="default"/>
        <w:lang w:val="en-US" w:eastAsia="en-US" w:bidi="ar-SA"/>
      </w:rPr>
    </w:lvl>
    <w:lvl w:ilvl="7">
      <w:start w:val="0"/>
      <w:numFmt w:val="bullet"/>
      <w:lvlText w:val="•"/>
      <w:lvlJc w:val="left"/>
      <w:pPr>
        <w:ind w:left="8678" w:hanging="1268"/>
      </w:pPr>
      <w:rPr>
        <w:rFonts w:hint="default"/>
        <w:lang w:val="en-US" w:eastAsia="en-US" w:bidi="ar-SA"/>
      </w:rPr>
    </w:lvl>
    <w:lvl w:ilvl="8">
      <w:start w:val="0"/>
      <w:numFmt w:val="bullet"/>
      <w:lvlText w:val="•"/>
      <w:lvlJc w:val="left"/>
      <w:pPr>
        <w:ind w:left="9712" w:hanging="1268"/>
      </w:pPr>
      <w:rPr>
        <w:rFonts w:hint="default"/>
        <w:lang w:val="en-US" w:eastAsia="en-US" w:bidi="ar-SA"/>
      </w:rPr>
    </w:lvl>
  </w:abstractNum>
  <w:abstractNum w:abstractNumId="17">
    <w:multiLevelType w:val="hybridMultilevel"/>
    <w:lvl w:ilvl="0">
      <w:start w:val="3"/>
      <w:numFmt w:val="decimal"/>
      <w:lvlText w:val="%1"/>
      <w:lvlJc w:val="left"/>
      <w:pPr>
        <w:ind w:left="1430" w:hanging="1269"/>
        <w:jc w:val="left"/>
      </w:pPr>
      <w:rPr>
        <w:rFonts w:hint="default"/>
        <w:lang w:val="en-US" w:eastAsia="en-US" w:bidi="ar-SA"/>
      </w:rPr>
    </w:lvl>
    <w:lvl w:ilvl="1">
      <w:start w:val="1"/>
      <w:numFmt w:val="decimal"/>
      <w:lvlText w:val="%1.%2"/>
      <w:lvlJc w:val="left"/>
      <w:pPr>
        <w:ind w:left="1430" w:hanging="1269"/>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508" w:hanging="1269"/>
      </w:pPr>
      <w:rPr>
        <w:rFonts w:hint="default"/>
        <w:lang w:val="en-US" w:eastAsia="en-US" w:bidi="ar-SA"/>
      </w:rPr>
    </w:lvl>
    <w:lvl w:ilvl="3">
      <w:start w:val="0"/>
      <w:numFmt w:val="bullet"/>
      <w:lvlText w:val="•"/>
      <w:lvlJc w:val="left"/>
      <w:pPr>
        <w:ind w:left="4542" w:hanging="1269"/>
      </w:pPr>
      <w:rPr>
        <w:rFonts w:hint="default"/>
        <w:lang w:val="en-US" w:eastAsia="en-US" w:bidi="ar-SA"/>
      </w:rPr>
    </w:lvl>
    <w:lvl w:ilvl="4">
      <w:start w:val="0"/>
      <w:numFmt w:val="bullet"/>
      <w:lvlText w:val="•"/>
      <w:lvlJc w:val="left"/>
      <w:pPr>
        <w:ind w:left="5576" w:hanging="1269"/>
      </w:pPr>
      <w:rPr>
        <w:rFonts w:hint="default"/>
        <w:lang w:val="en-US" w:eastAsia="en-US" w:bidi="ar-SA"/>
      </w:rPr>
    </w:lvl>
    <w:lvl w:ilvl="5">
      <w:start w:val="0"/>
      <w:numFmt w:val="bullet"/>
      <w:lvlText w:val="•"/>
      <w:lvlJc w:val="left"/>
      <w:pPr>
        <w:ind w:left="6610" w:hanging="1269"/>
      </w:pPr>
      <w:rPr>
        <w:rFonts w:hint="default"/>
        <w:lang w:val="en-US" w:eastAsia="en-US" w:bidi="ar-SA"/>
      </w:rPr>
    </w:lvl>
    <w:lvl w:ilvl="6">
      <w:start w:val="0"/>
      <w:numFmt w:val="bullet"/>
      <w:lvlText w:val="•"/>
      <w:lvlJc w:val="left"/>
      <w:pPr>
        <w:ind w:left="7644" w:hanging="1269"/>
      </w:pPr>
      <w:rPr>
        <w:rFonts w:hint="default"/>
        <w:lang w:val="en-US" w:eastAsia="en-US" w:bidi="ar-SA"/>
      </w:rPr>
    </w:lvl>
    <w:lvl w:ilvl="7">
      <w:start w:val="0"/>
      <w:numFmt w:val="bullet"/>
      <w:lvlText w:val="•"/>
      <w:lvlJc w:val="left"/>
      <w:pPr>
        <w:ind w:left="8678" w:hanging="1269"/>
      </w:pPr>
      <w:rPr>
        <w:rFonts w:hint="default"/>
        <w:lang w:val="en-US" w:eastAsia="en-US" w:bidi="ar-SA"/>
      </w:rPr>
    </w:lvl>
    <w:lvl w:ilvl="8">
      <w:start w:val="0"/>
      <w:numFmt w:val="bullet"/>
      <w:lvlText w:val="•"/>
      <w:lvlJc w:val="left"/>
      <w:pPr>
        <w:ind w:left="9712" w:hanging="1269"/>
      </w:pPr>
      <w:rPr>
        <w:rFonts w:hint="default"/>
        <w:lang w:val="en-US" w:eastAsia="en-US" w:bidi="ar-SA"/>
      </w:rPr>
    </w:lvl>
  </w:abstractNum>
  <w:abstractNum w:abstractNumId="16">
    <w:multiLevelType w:val="hybridMultilevel"/>
    <w:lvl w:ilvl="0">
      <w:start w:val="2"/>
      <w:numFmt w:val="decimal"/>
      <w:lvlText w:val="%1"/>
      <w:lvlJc w:val="left"/>
      <w:pPr>
        <w:ind w:left="1430" w:hanging="1269"/>
        <w:jc w:val="left"/>
      </w:pPr>
      <w:rPr>
        <w:rFonts w:hint="default"/>
        <w:lang w:val="en-US" w:eastAsia="en-US" w:bidi="ar-SA"/>
      </w:rPr>
    </w:lvl>
    <w:lvl w:ilvl="1">
      <w:start w:val="1"/>
      <w:numFmt w:val="decimal"/>
      <w:lvlText w:val="%1.%2"/>
      <w:lvlJc w:val="left"/>
      <w:pPr>
        <w:ind w:left="1430" w:hanging="1269"/>
        <w:jc w:val="left"/>
      </w:pPr>
      <w:rPr>
        <w:rFonts w:hint="default"/>
        <w:spacing w:val="0"/>
        <w:w w:val="100"/>
        <w:lang w:val="en-US" w:eastAsia="en-US" w:bidi="ar-SA"/>
      </w:rPr>
    </w:lvl>
    <w:lvl w:ilvl="2">
      <w:start w:val="0"/>
      <w:numFmt w:val="bullet"/>
      <w:lvlText w:val="•"/>
      <w:lvlJc w:val="left"/>
      <w:pPr>
        <w:ind w:left="3508" w:hanging="1269"/>
      </w:pPr>
      <w:rPr>
        <w:rFonts w:hint="default"/>
        <w:lang w:val="en-US" w:eastAsia="en-US" w:bidi="ar-SA"/>
      </w:rPr>
    </w:lvl>
    <w:lvl w:ilvl="3">
      <w:start w:val="0"/>
      <w:numFmt w:val="bullet"/>
      <w:lvlText w:val="•"/>
      <w:lvlJc w:val="left"/>
      <w:pPr>
        <w:ind w:left="4542" w:hanging="1269"/>
      </w:pPr>
      <w:rPr>
        <w:rFonts w:hint="default"/>
        <w:lang w:val="en-US" w:eastAsia="en-US" w:bidi="ar-SA"/>
      </w:rPr>
    </w:lvl>
    <w:lvl w:ilvl="4">
      <w:start w:val="0"/>
      <w:numFmt w:val="bullet"/>
      <w:lvlText w:val="•"/>
      <w:lvlJc w:val="left"/>
      <w:pPr>
        <w:ind w:left="5576" w:hanging="1269"/>
      </w:pPr>
      <w:rPr>
        <w:rFonts w:hint="default"/>
        <w:lang w:val="en-US" w:eastAsia="en-US" w:bidi="ar-SA"/>
      </w:rPr>
    </w:lvl>
    <w:lvl w:ilvl="5">
      <w:start w:val="0"/>
      <w:numFmt w:val="bullet"/>
      <w:lvlText w:val="•"/>
      <w:lvlJc w:val="left"/>
      <w:pPr>
        <w:ind w:left="6610" w:hanging="1269"/>
      </w:pPr>
      <w:rPr>
        <w:rFonts w:hint="default"/>
        <w:lang w:val="en-US" w:eastAsia="en-US" w:bidi="ar-SA"/>
      </w:rPr>
    </w:lvl>
    <w:lvl w:ilvl="6">
      <w:start w:val="0"/>
      <w:numFmt w:val="bullet"/>
      <w:lvlText w:val="•"/>
      <w:lvlJc w:val="left"/>
      <w:pPr>
        <w:ind w:left="7644" w:hanging="1269"/>
      </w:pPr>
      <w:rPr>
        <w:rFonts w:hint="default"/>
        <w:lang w:val="en-US" w:eastAsia="en-US" w:bidi="ar-SA"/>
      </w:rPr>
    </w:lvl>
    <w:lvl w:ilvl="7">
      <w:start w:val="0"/>
      <w:numFmt w:val="bullet"/>
      <w:lvlText w:val="•"/>
      <w:lvlJc w:val="left"/>
      <w:pPr>
        <w:ind w:left="8678" w:hanging="1269"/>
      </w:pPr>
      <w:rPr>
        <w:rFonts w:hint="default"/>
        <w:lang w:val="en-US" w:eastAsia="en-US" w:bidi="ar-SA"/>
      </w:rPr>
    </w:lvl>
    <w:lvl w:ilvl="8">
      <w:start w:val="0"/>
      <w:numFmt w:val="bullet"/>
      <w:lvlText w:val="•"/>
      <w:lvlJc w:val="left"/>
      <w:pPr>
        <w:ind w:left="9712" w:hanging="1269"/>
      </w:pPr>
      <w:rPr>
        <w:rFonts w:hint="default"/>
        <w:lang w:val="en-US" w:eastAsia="en-US" w:bidi="ar-SA"/>
      </w:rPr>
    </w:lvl>
  </w:abstractNum>
  <w:abstractNum w:abstractNumId="15">
    <w:multiLevelType w:val="hybridMultilevel"/>
    <w:lvl w:ilvl="0">
      <w:start w:val="0"/>
      <w:numFmt w:val="bullet"/>
      <w:lvlText w:val="•"/>
      <w:lvlJc w:val="left"/>
      <w:pPr>
        <w:ind w:left="79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14">
    <w:multiLevelType w:val="hybridMultilevel"/>
    <w:lvl w:ilvl="0">
      <w:start w:val="1"/>
      <w:numFmt w:val="decimal"/>
      <w:lvlText w:val="(%1)"/>
      <w:lvlJc w:val="left"/>
      <w:pPr>
        <w:ind w:left="468" w:hanging="324"/>
        <w:jc w:val="left"/>
      </w:pPr>
      <w:rPr>
        <w:rFonts w:hint="default" w:ascii="Times New Roman" w:hAnsi="Times New Roman" w:eastAsia="Times New Roman" w:cs="Times New Roman"/>
        <w:b w:val="0"/>
        <w:bCs w:val="0"/>
        <w:i w:val="0"/>
        <w:iCs w:val="0"/>
        <w:spacing w:val="0"/>
        <w:w w:val="102"/>
        <w:sz w:val="14"/>
        <w:szCs w:val="14"/>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13">
    <w:multiLevelType w:val="hybridMultilevel"/>
    <w:lvl w:ilvl="0">
      <w:start w:val="1"/>
      <w:numFmt w:val="decimal"/>
      <w:lvlText w:val="(%1)"/>
      <w:lvlJc w:val="left"/>
      <w:pPr>
        <w:ind w:left="468" w:hanging="325"/>
        <w:jc w:val="left"/>
      </w:pPr>
      <w:rPr>
        <w:rFonts w:hint="default" w:ascii="Arial" w:hAnsi="Arial" w:eastAsia="Arial" w:cs="Arial"/>
        <w:b w:val="0"/>
        <w:bCs w:val="0"/>
        <w:i w:val="0"/>
        <w:iCs w:val="0"/>
        <w:spacing w:val="0"/>
        <w:w w:val="102"/>
        <w:sz w:val="14"/>
        <w:szCs w:val="14"/>
        <w:lang w:val="en-US" w:eastAsia="en-US" w:bidi="ar-SA"/>
      </w:rPr>
    </w:lvl>
    <w:lvl w:ilvl="1">
      <w:start w:val="1"/>
      <w:numFmt w:val="lowerLetter"/>
      <w:lvlText w:val="%2)"/>
      <w:lvlJc w:val="left"/>
      <w:pPr>
        <w:ind w:left="819" w:hanging="175"/>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037" w:hanging="175"/>
      </w:pPr>
      <w:rPr>
        <w:rFonts w:hint="default"/>
        <w:lang w:val="en-US" w:eastAsia="en-US" w:bidi="ar-SA"/>
      </w:rPr>
    </w:lvl>
    <w:lvl w:ilvl="3">
      <w:start w:val="0"/>
      <w:numFmt w:val="bullet"/>
      <w:lvlText w:val="•"/>
      <w:lvlJc w:val="left"/>
      <w:pPr>
        <w:ind w:left="3255" w:hanging="175"/>
      </w:pPr>
      <w:rPr>
        <w:rFonts w:hint="default"/>
        <w:lang w:val="en-US" w:eastAsia="en-US" w:bidi="ar-SA"/>
      </w:rPr>
    </w:lvl>
    <w:lvl w:ilvl="4">
      <w:start w:val="0"/>
      <w:numFmt w:val="bullet"/>
      <w:lvlText w:val="•"/>
      <w:lvlJc w:val="left"/>
      <w:pPr>
        <w:ind w:left="4473" w:hanging="175"/>
      </w:pPr>
      <w:rPr>
        <w:rFonts w:hint="default"/>
        <w:lang w:val="en-US" w:eastAsia="en-US" w:bidi="ar-SA"/>
      </w:rPr>
    </w:lvl>
    <w:lvl w:ilvl="5">
      <w:start w:val="0"/>
      <w:numFmt w:val="bullet"/>
      <w:lvlText w:val="•"/>
      <w:lvlJc w:val="left"/>
      <w:pPr>
        <w:ind w:left="5691" w:hanging="175"/>
      </w:pPr>
      <w:rPr>
        <w:rFonts w:hint="default"/>
        <w:lang w:val="en-US" w:eastAsia="en-US" w:bidi="ar-SA"/>
      </w:rPr>
    </w:lvl>
    <w:lvl w:ilvl="6">
      <w:start w:val="0"/>
      <w:numFmt w:val="bullet"/>
      <w:lvlText w:val="•"/>
      <w:lvlJc w:val="left"/>
      <w:pPr>
        <w:ind w:left="6908" w:hanging="175"/>
      </w:pPr>
      <w:rPr>
        <w:rFonts w:hint="default"/>
        <w:lang w:val="en-US" w:eastAsia="en-US" w:bidi="ar-SA"/>
      </w:rPr>
    </w:lvl>
    <w:lvl w:ilvl="7">
      <w:start w:val="0"/>
      <w:numFmt w:val="bullet"/>
      <w:lvlText w:val="•"/>
      <w:lvlJc w:val="left"/>
      <w:pPr>
        <w:ind w:left="8126" w:hanging="175"/>
      </w:pPr>
      <w:rPr>
        <w:rFonts w:hint="default"/>
        <w:lang w:val="en-US" w:eastAsia="en-US" w:bidi="ar-SA"/>
      </w:rPr>
    </w:lvl>
    <w:lvl w:ilvl="8">
      <w:start w:val="0"/>
      <w:numFmt w:val="bullet"/>
      <w:lvlText w:val="•"/>
      <w:lvlJc w:val="left"/>
      <w:pPr>
        <w:ind w:left="9344" w:hanging="175"/>
      </w:pPr>
      <w:rPr>
        <w:rFonts w:hint="default"/>
        <w:lang w:val="en-US" w:eastAsia="en-US" w:bidi="ar-SA"/>
      </w:rPr>
    </w:lvl>
  </w:abstractNum>
  <w:abstractNum w:abstractNumId="12">
    <w:multiLevelType w:val="hybridMultilevel"/>
    <w:lvl w:ilvl="0">
      <w:start w:val="1"/>
      <w:numFmt w:val="decimal"/>
      <w:lvlText w:val="(%1)"/>
      <w:lvlJc w:val="left"/>
      <w:pPr>
        <w:ind w:left="468" w:hanging="324"/>
        <w:jc w:val="left"/>
      </w:pPr>
      <w:rPr>
        <w:rFonts w:hint="default" w:ascii="Times New Roman" w:hAnsi="Times New Roman" w:eastAsia="Times New Roman" w:cs="Times New Roman"/>
        <w:b w:val="0"/>
        <w:bCs w:val="0"/>
        <w:i w:val="0"/>
        <w:iCs w:val="0"/>
        <w:spacing w:val="0"/>
        <w:w w:val="102"/>
        <w:sz w:val="14"/>
        <w:szCs w:val="14"/>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11">
    <w:multiLevelType w:val="hybridMultilevel"/>
    <w:lvl w:ilvl="0">
      <w:start w:val="1"/>
      <w:numFmt w:val="decimal"/>
      <w:lvlText w:val="(%1)"/>
      <w:lvlJc w:val="left"/>
      <w:pPr>
        <w:ind w:left="468" w:hanging="324"/>
        <w:jc w:val="left"/>
      </w:pPr>
      <w:rPr>
        <w:rFonts w:hint="default" w:ascii="Times New Roman" w:hAnsi="Times New Roman" w:eastAsia="Times New Roman" w:cs="Times New Roman"/>
        <w:b w:val="0"/>
        <w:bCs w:val="0"/>
        <w:i w:val="0"/>
        <w:iCs w:val="0"/>
        <w:spacing w:val="0"/>
        <w:w w:val="102"/>
        <w:sz w:val="14"/>
        <w:szCs w:val="14"/>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10">
    <w:multiLevelType w:val="hybridMultilevel"/>
    <w:lvl w:ilvl="0">
      <w:start w:val="0"/>
      <w:numFmt w:val="bullet"/>
      <w:lvlText w:val="•"/>
      <w:lvlJc w:val="left"/>
      <w:pPr>
        <w:ind w:left="79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9">
    <w:multiLevelType w:val="hybridMultilevel"/>
    <w:lvl w:ilvl="0">
      <w:start w:val="0"/>
      <w:numFmt w:val="bullet"/>
      <w:lvlText w:val="•"/>
      <w:lvlJc w:val="left"/>
      <w:pPr>
        <w:ind w:left="79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440" w:hanging="337"/>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88" w:hanging="337"/>
      </w:pPr>
      <w:rPr>
        <w:rFonts w:hint="default"/>
        <w:lang w:val="en-US" w:eastAsia="en-US" w:bidi="ar-SA"/>
      </w:rPr>
    </w:lvl>
    <w:lvl w:ilvl="3">
      <w:start w:val="0"/>
      <w:numFmt w:val="bullet"/>
      <w:lvlText w:val="•"/>
      <w:lvlJc w:val="left"/>
      <w:pPr>
        <w:ind w:left="3737" w:hanging="337"/>
      </w:pPr>
      <w:rPr>
        <w:rFonts w:hint="default"/>
        <w:lang w:val="en-US" w:eastAsia="en-US" w:bidi="ar-SA"/>
      </w:rPr>
    </w:lvl>
    <w:lvl w:ilvl="4">
      <w:start w:val="0"/>
      <w:numFmt w:val="bullet"/>
      <w:lvlText w:val="•"/>
      <w:lvlJc w:val="left"/>
      <w:pPr>
        <w:ind w:left="4886" w:hanging="337"/>
      </w:pPr>
      <w:rPr>
        <w:rFonts w:hint="default"/>
        <w:lang w:val="en-US" w:eastAsia="en-US" w:bidi="ar-SA"/>
      </w:rPr>
    </w:lvl>
    <w:lvl w:ilvl="5">
      <w:start w:val="0"/>
      <w:numFmt w:val="bullet"/>
      <w:lvlText w:val="•"/>
      <w:lvlJc w:val="left"/>
      <w:pPr>
        <w:ind w:left="6035" w:hanging="337"/>
      </w:pPr>
      <w:rPr>
        <w:rFonts w:hint="default"/>
        <w:lang w:val="en-US" w:eastAsia="en-US" w:bidi="ar-SA"/>
      </w:rPr>
    </w:lvl>
    <w:lvl w:ilvl="6">
      <w:start w:val="0"/>
      <w:numFmt w:val="bullet"/>
      <w:lvlText w:val="•"/>
      <w:lvlJc w:val="left"/>
      <w:pPr>
        <w:ind w:left="7184" w:hanging="337"/>
      </w:pPr>
      <w:rPr>
        <w:rFonts w:hint="default"/>
        <w:lang w:val="en-US" w:eastAsia="en-US" w:bidi="ar-SA"/>
      </w:rPr>
    </w:lvl>
    <w:lvl w:ilvl="7">
      <w:start w:val="0"/>
      <w:numFmt w:val="bullet"/>
      <w:lvlText w:val="•"/>
      <w:lvlJc w:val="left"/>
      <w:pPr>
        <w:ind w:left="8333" w:hanging="337"/>
      </w:pPr>
      <w:rPr>
        <w:rFonts w:hint="default"/>
        <w:lang w:val="en-US" w:eastAsia="en-US" w:bidi="ar-SA"/>
      </w:rPr>
    </w:lvl>
    <w:lvl w:ilvl="8">
      <w:start w:val="0"/>
      <w:numFmt w:val="bullet"/>
      <w:lvlText w:val="•"/>
      <w:lvlJc w:val="left"/>
      <w:pPr>
        <w:ind w:left="9482" w:hanging="337"/>
      </w:pPr>
      <w:rPr>
        <w:rFonts w:hint="default"/>
        <w:lang w:val="en-US" w:eastAsia="en-US" w:bidi="ar-SA"/>
      </w:rPr>
    </w:lvl>
  </w:abstractNum>
  <w:abstractNum w:abstractNumId="8">
    <w:multiLevelType w:val="hybridMultilevel"/>
    <w:lvl w:ilvl="0">
      <w:start w:val="0"/>
      <w:numFmt w:val="bullet"/>
      <w:lvlText w:val="•"/>
      <w:lvlJc w:val="left"/>
      <w:pPr>
        <w:ind w:left="79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7">
    <w:multiLevelType w:val="hybridMultilevel"/>
    <w:lvl w:ilvl="0">
      <w:start w:val="1"/>
      <w:numFmt w:val="decimal"/>
      <w:lvlText w:val="(%1)"/>
      <w:lvlJc w:val="left"/>
      <w:pPr>
        <w:ind w:left="792" w:hanging="487"/>
        <w:jc w:val="left"/>
      </w:pPr>
      <w:rPr>
        <w:rFonts w:hint="default" w:ascii="Times New Roman" w:hAnsi="Times New Roman" w:eastAsia="Times New Roman" w:cs="Times New Roman"/>
        <w:b w:val="0"/>
        <w:bCs w:val="0"/>
        <w:i w:val="0"/>
        <w:iCs w:val="0"/>
        <w:spacing w:val="0"/>
        <w:w w:val="103"/>
        <w:sz w:val="13"/>
        <w:szCs w:val="13"/>
        <w:lang w:val="en-US" w:eastAsia="en-US" w:bidi="ar-SA"/>
      </w:rPr>
    </w:lvl>
    <w:lvl w:ilvl="1">
      <w:start w:val="0"/>
      <w:numFmt w:val="bullet"/>
      <w:lvlText w:val="•"/>
      <w:lvlJc w:val="left"/>
      <w:pPr>
        <w:ind w:left="1898" w:hanging="487"/>
      </w:pPr>
      <w:rPr>
        <w:rFonts w:hint="default"/>
        <w:lang w:val="en-US" w:eastAsia="en-US" w:bidi="ar-SA"/>
      </w:rPr>
    </w:lvl>
    <w:lvl w:ilvl="2">
      <w:start w:val="0"/>
      <w:numFmt w:val="bullet"/>
      <w:lvlText w:val="•"/>
      <w:lvlJc w:val="left"/>
      <w:pPr>
        <w:ind w:left="2996" w:hanging="487"/>
      </w:pPr>
      <w:rPr>
        <w:rFonts w:hint="default"/>
        <w:lang w:val="en-US" w:eastAsia="en-US" w:bidi="ar-SA"/>
      </w:rPr>
    </w:lvl>
    <w:lvl w:ilvl="3">
      <w:start w:val="0"/>
      <w:numFmt w:val="bullet"/>
      <w:lvlText w:val="•"/>
      <w:lvlJc w:val="left"/>
      <w:pPr>
        <w:ind w:left="4094" w:hanging="487"/>
      </w:pPr>
      <w:rPr>
        <w:rFonts w:hint="default"/>
        <w:lang w:val="en-US" w:eastAsia="en-US" w:bidi="ar-SA"/>
      </w:rPr>
    </w:lvl>
    <w:lvl w:ilvl="4">
      <w:start w:val="0"/>
      <w:numFmt w:val="bullet"/>
      <w:lvlText w:val="•"/>
      <w:lvlJc w:val="left"/>
      <w:pPr>
        <w:ind w:left="5192" w:hanging="487"/>
      </w:pPr>
      <w:rPr>
        <w:rFonts w:hint="default"/>
        <w:lang w:val="en-US" w:eastAsia="en-US" w:bidi="ar-SA"/>
      </w:rPr>
    </w:lvl>
    <w:lvl w:ilvl="5">
      <w:start w:val="0"/>
      <w:numFmt w:val="bullet"/>
      <w:lvlText w:val="•"/>
      <w:lvlJc w:val="left"/>
      <w:pPr>
        <w:ind w:left="6290" w:hanging="487"/>
      </w:pPr>
      <w:rPr>
        <w:rFonts w:hint="default"/>
        <w:lang w:val="en-US" w:eastAsia="en-US" w:bidi="ar-SA"/>
      </w:rPr>
    </w:lvl>
    <w:lvl w:ilvl="6">
      <w:start w:val="0"/>
      <w:numFmt w:val="bullet"/>
      <w:lvlText w:val="•"/>
      <w:lvlJc w:val="left"/>
      <w:pPr>
        <w:ind w:left="7388" w:hanging="487"/>
      </w:pPr>
      <w:rPr>
        <w:rFonts w:hint="default"/>
        <w:lang w:val="en-US" w:eastAsia="en-US" w:bidi="ar-SA"/>
      </w:rPr>
    </w:lvl>
    <w:lvl w:ilvl="7">
      <w:start w:val="0"/>
      <w:numFmt w:val="bullet"/>
      <w:lvlText w:val="•"/>
      <w:lvlJc w:val="left"/>
      <w:pPr>
        <w:ind w:left="8486" w:hanging="487"/>
      </w:pPr>
      <w:rPr>
        <w:rFonts w:hint="default"/>
        <w:lang w:val="en-US" w:eastAsia="en-US" w:bidi="ar-SA"/>
      </w:rPr>
    </w:lvl>
    <w:lvl w:ilvl="8">
      <w:start w:val="0"/>
      <w:numFmt w:val="bullet"/>
      <w:lvlText w:val="•"/>
      <w:lvlJc w:val="left"/>
      <w:pPr>
        <w:ind w:left="9584" w:hanging="487"/>
      </w:pPr>
      <w:rPr>
        <w:rFonts w:hint="default"/>
        <w:lang w:val="en-US" w:eastAsia="en-US" w:bidi="ar-SA"/>
      </w:rPr>
    </w:lvl>
  </w:abstractNum>
  <w:abstractNum w:abstractNumId="6">
    <w:multiLevelType w:val="hybridMultilevel"/>
    <w:lvl w:ilvl="0">
      <w:start w:val="0"/>
      <w:numFmt w:val="bullet"/>
      <w:lvlText w:val="•"/>
      <w:lvlJc w:val="left"/>
      <w:pPr>
        <w:ind w:left="104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114" w:hanging="324"/>
      </w:pPr>
      <w:rPr>
        <w:rFonts w:hint="default"/>
        <w:lang w:val="en-US" w:eastAsia="en-US" w:bidi="ar-SA"/>
      </w:rPr>
    </w:lvl>
    <w:lvl w:ilvl="2">
      <w:start w:val="0"/>
      <w:numFmt w:val="bullet"/>
      <w:lvlText w:val="•"/>
      <w:lvlJc w:val="left"/>
      <w:pPr>
        <w:ind w:left="3188" w:hanging="324"/>
      </w:pPr>
      <w:rPr>
        <w:rFonts w:hint="default"/>
        <w:lang w:val="en-US" w:eastAsia="en-US" w:bidi="ar-SA"/>
      </w:rPr>
    </w:lvl>
    <w:lvl w:ilvl="3">
      <w:start w:val="0"/>
      <w:numFmt w:val="bullet"/>
      <w:lvlText w:val="•"/>
      <w:lvlJc w:val="left"/>
      <w:pPr>
        <w:ind w:left="4262" w:hanging="324"/>
      </w:pPr>
      <w:rPr>
        <w:rFonts w:hint="default"/>
        <w:lang w:val="en-US" w:eastAsia="en-US" w:bidi="ar-SA"/>
      </w:rPr>
    </w:lvl>
    <w:lvl w:ilvl="4">
      <w:start w:val="0"/>
      <w:numFmt w:val="bullet"/>
      <w:lvlText w:val="•"/>
      <w:lvlJc w:val="left"/>
      <w:pPr>
        <w:ind w:left="5336" w:hanging="324"/>
      </w:pPr>
      <w:rPr>
        <w:rFonts w:hint="default"/>
        <w:lang w:val="en-US" w:eastAsia="en-US" w:bidi="ar-SA"/>
      </w:rPr>
    </w:lvl>
    <w:lvl w:ilvl="5">
      <w:start w:val="0"/>
      <w:numFmt w:val="bullet"/>
      <w:lvlText w:val="•"/>
      <w:lvlJc w:val="left"/>
      <w:pPr>
        <w:ind w:left="6410" w:hanging="324"/>
      </w:pPr>
      <w:rPr>
        <w:rFonts w:hint="default"/>
        <w:lang w:val="en-US" w:eastAsia="en-US" w:bidi="ar-SA"/>
      </w:rPr>
    </w:lvl>
    <w:lvl w:ilvl="6">
      <w:start w:val="0"/>
      <w:numFmt w:val="bullet"/>
      <w:lvlText w:val="•"/>
      <w:lvlJc w:val="left"/>
      <w:pPr>
        <w:ind w:left="7484" w:hanging="324"/>
      </w:pPr>
      <w:rPr>
        <w:rFonts w:hint="default"/>
        <w:lang w:val="en-US" w:eastAsia="en-US" w:bidi="ar-SA"/>
      </w:rPr>
    </w:lvl>
    <w:lvl w:ilvl="7">
      <w:start w:val="0"/>
      <w:numFmt w:val="bullet"/>
      <w:lvlText w:val="•"/>
      <w:lvlJc w:val="left"/>
      <w:pPr>
        <w:ind w:left="8558" w:hanging="324"/>
      </w:pPr>
      <w:rPr>
        <w:rFonts w:hint="default"/>
        <w:lang w:val="en-US" w:eastAsia="en-US" w:bidi="ar-SA"/>
      </w:rPr>
    </w:lvl>
    <w:lvl w:ilvl="8">
      <w:start w:val="0"/>
      <w:numFmt w:val="bullet"/>
      <w:lvlText w:val="•"/>
      <w:lvlJc w:val="left"/>
      <w:pPr>
        <w:ind w:left="9632" w:hanging="324"/>
      </w:pPr>
      <w:rPr>
        <w:rFonts w:hint="default"/>
        <w:lang w:val="en-US" w:eastAsia="en-US" w:bidi="ar-SA"/>
      </w:rPr>
    </w:lvl>
  </w:abstractNum>
  <w:abstractNum w:abstractNumId="5">
    <w:multiLevelType w:val="hybridMultilevel"/>
    <w:lvl w:ilvl="0">
      <w:start w:val="0"/>
      <w:numFmt w:val="bullet"/>
      <w:lvlText w:val="•"/>
      <w:lvlJc w:val="left"/>
      <w:pPr>
        <w:ind w:left="79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4">
    <w:multiLevelType w:val="hybridMultilevel"/>
    <w:lvl w:ilvl="0">
      <w:start w:val="1"/>
      <w:numFmt w:val="decimal"/>
      <w:lvlText w:val="(%1)"/>
      <w:lvlJc w:val="left"/>
      <w:pPr>
        <w:ind w:left="792" w:hanging="324"/>
        <w:jc w:val="left"/>
      </w:pPr>
      <w:rPr>
        <w:rFonts w:hint="default" w:ascii="Times New Roman" w:hAnsi="Times New Roman" w:eastAsia="Times New Roman" w:cs="Times New Roman"/>
        <w:b w:val="0"/>
        <w:bCs w:val="0"/>
        <w:i w:val="0"/>
        <w:iCs w:val="0"/>
        <w:spacing w:val="0"/>
        <w:w w:val="102"/>
        <w:sz w:val="14"/>
        <w:szCs w:val="14"/>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3">
    <w:multiLevelType w:val="hybridMultilevel"/>
    <w:lvl w:ilvl="0">
      <w:start w:val="0"/>
      <w:numFmt w:val="bullet"/>
      <w:lvlText w:val="•"/>
      <w:lvlJc w:val="left"/>
      <w:pPr>
        <w:ind w:left="79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2">
    <w:multiLevelType w:val="hybridMultilevel"/>
    <w:lvl w:ilvl="0">
      <w:start w:val="0"/>
      <w:numFmt w:val="bullet"/>
      <w:lvlText w:val="•"/>
      <w:lvlJc w:val="left"/>
      <w:pPr>
        <w:ind w:left="79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1">
    <w:multiLevelType w:val="hybridMultilevel"/>
    <w:lvl w:ilvl="0">
      <w:start w:val="0"/>
      <w:numFmt w:val="bullet"/>
      <w:lvlText w:val="•"/>
      <w:lvlJc w:val="left"/>
      <w:pPr>
        <w:ind w:left="792" w:hanging="324"/>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0">
    <w:multiLevelType w:val="hybridMultilevel"/>
    <w:lvl w:ilvl="0">
      <w:start w:val="0"/>
      <w:numFmt w:val="bullet"/>
      <w:lvlText w:val="•"/>
      <w:lvlJc w:val="left"/>
      <w:pPr>
        <w:ind w:left="792" w:hanging="324"/>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24"/>
      <w:jc w:val="center"/>
      <w:outlineLvl w:val="1"/>
    </w:pPr>
    <w:rPr>
      <w:rFonts w:ascii="Times New Roman" w:hAnsi="Times New Roman" w:eastAsia="Times New Roman" w:cs="Times New Roman"/>
      <w:b/>
      <w:bCs/>
      <w:sz w:val="25"/>
      <w:szCs w:val="25"/>
      <w:lang w:val="en-US" w:eastAsia="en-US" w:bidi="ar-SA"/>
    </w:rPr>
  </w:style>
  <w:style w:styleId="Heading2" w:type="paragraph">
    <w:name w:val="Heading 2"/>
    <w:basedOn w:val="Normal"/>
    <w:uiPriority w:val="1"/>
    <w:qFormat/>
    <w:pPr>
      <w:spacing w:before="50"/>
      <w:ind w:left="24"/>
      <w:jc w:val="center"/>
      <w:outlineLvl w:val="2"/>
    </w:pPr>
    <w:rPr>
      <w:rFonts w:ascii="Times New Roman" w:hAnsi="Times New Roman" w:eastAsia="Times New Roman" w:cs="Times New Roman"/>
      <w:b/>
      <w:bCs/>
      <w:sz w:val="25"/>
      <w:szCs w:val="25"/>
      <w:lang w:val="en-US" w:eastAsia="en-US" w:bidi="ar-SA"/>
    </w:rPr>
  </w:style>
  <w:style w:styleId="Heading3" w:type="paragraph">
    <w:name w:val="Heading 3"/>
    <w:basedOn w:val="Normal"/>
    <w:uiPriority w:val="1"/>
    <w:qFormat/>
    <w:pPr>
      <w:ind w:left="24"/>
      <w:jc w:val="center"/>
      <w:outlineLvl w:val="3"/>
    </w:pPr>
    <w:rPr>
      <w:rFonts w:ascii="Times New Roman" w:hAnsi="Times New Roman" w:eastAsia="Times New Roman" w:cs="Times New Roman"/>
      <w:b/>
      <w:bCs/>
      <w:sz w:val="21"/>
      <w:szCs w:val="21"/>
      <w:lang w:val="en-US" w:eastAsia="en-US" w:bidi="ar-SA"/>
    </w:rPr>
  </w:style>
  <w:style w:styleId="Heading4" w:type="paragraph">
    <w:name w:val="Heading 4"/>
    <w:basedOn w:val="Normal"/>
    <w:uiPriority w:val="1"/>
    <w:qFormat/>
    <w:pPr>
      <w:ind w:left="144"/>
      <w:outlineLvl w:val="4"/>
    </w:pPr>
    <w:rPr>
      <w:rFonts w:ascii="Times New Roman" w:hAnsi="Times New Roman" w:eastAsia="Times New Roman" w:cs="Times New Roman"/>
      <w:b/>
      <w:bCs/>
      <w:sz w:val="18"/>
      <w:szCs w:val="18"/>
      <w:lang w:val="en-US" w:eastAsia="en-US" w:bidi="ar-SA"/>
    </w:rPr>
  </w:style>
  <w:style w:styleId="Heading5" w:type="paragraph">
    <w:name w:val="Heading 5"/>
    <w:basedOn w:val="Normal"/>
    <w:uiPriority w:val="1"/>
    <w:qFormat/>
    <w:pPr>
      <w:ind w:left="144"/>
      <w:jc w:val="center"/>
      <w:outlineLvl w:val="5"/>
    </w:pPr>
    <w:rPr>
      <w:rFonts w:ascii="Times New Roman" w:hAnsi="Times New Roman" w:eastAsia="Times New Roman" w:cs="Times New Roman"/>
      <w:b/>
      <w:bCs/>
      <w:sz w:val="18"/>
      <w:szCs w:val="18"/>
      <w:lang w:val="en-US" w:eastAsia="en-US" w:bidi="ar-SA"/>
    </w:rPr>
  </w:style>
  <w:style w:styleId="Heading6" w:type="paragraph">
    <w:name w:val="Heading 6"/>
    <w:basedOn w:val="Normal"/>
    <w:uiPriority w:val="1"/>
    <w:qFormat/>
    <w:pPr>
      <w:ind w:left="24"/>
      <w:jc w:val="center"/>
      <w:outlineLvl w:val="6"/>
    </w:pPr>
    <w:rPr>
      <w:rFonts w:ascii="Times New Roman" w:hAnsi="Times New Roman" w:eastAsia="Times New Roman" w:cs="Times New Roman"/>
      <w:b/>
      <w:bCs/>
      <w:i/>
      <w:iCs/>
      <w:sz w:val="18"/>
      <w:szCs w:val="18"/>
      <w:lang w:val="en-US" w:eastAsia="en-US" w:bidi="ar-SA"/>
    </w:rPr>
  </w:style>
  <w:style w:styleId="Title" w:type="paragraph">
    <w:name w:val="Title"/>
    <w:basedOn w:val="Normal"/>
    <w:uiPriority w:val="1"/>
    <w:qFormat/>
    <w:pPr>
      <w:spacing w:before="103"/>
      <w:ind w:left="24"/>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92" w:hanging="3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mgmresorts.com/" TargetMode="External"/><Relationship Id="rId7" Type="http://schemas.openxmlformats.org/officeDocument/2006/relationships/hyperlink" Target="http://www.sec.gov/" TargetMode="External"/><Relationship Id="rId8" Type="http://schemas.openxmlformats.org/officeDocument/2006/relationships/image" Target="media/image2.jpeg"/><Relationship Id="rId9" Type="http://schemas.openxmlformats.org/officeDocument/2006/relationships/hyperlink" Target="https://content.edgar-online.com/ExternalLink/EDGAR/0001193125-21-206516.html?hash=41c259134288c472515004fac6d1cead2f60637a4d8a13a7079e7a9c52f755c1&amp;dest=d199453dex21_htm" TargetMode="External"/><Relationship Id="rId10" Type="http://schemas.openxmlformats.org/officeDocument/2006/relationships/hyperlink" Target="https://content.edgar-online.com/ExternalLink/EDGAR/0001193125-21-206516.html?hash=41c259134288c472515004fac6d1cead2f60637a4d8a13a7079e7a9c52f755c1&amp;dest=d199453dex22_htm" TargetMode="External"/><Relationship Id="rId11" Type="http://schemas.openxmlformats.org/officeDocument/2006/relationships/hyperlink" Target="https://content.edgar-online.com/ExternalLink/EDGAR/0001193125-21-236897.html?hash=d23f5a98064b3da5bbd1a6a456e7827b40f80d35b58c33b3b1163f23055617eb&amp;dest=d182935dex21_htm" TargetMode="External"/><Relationship Id="rId12" Type="http://schemas.openxmlformats.org/officeDocument/2006/relationships/hyperlink" Target="https://content.edgar-online.com/ExternalLink/EDGAR/0001193125-21-284622.html?hash=7863e601ce839e7c9ed24285929e7c000605f2b62d436634f6baac9b1c8816a0&amp;dest=d94072dex21_htm" TargetMode="External"/><Relationship Id="rId13" Type="http://schemas.openxmlformats.org/officeDocument/2006/relationships/hyperlink" Target="https://content.edgar-online.com/ExternalLink/EDGAR/0001193125-21-356910.html?hash=6e4ee267fde860b971be039ad64b286af87125f007bfd63699b3a90824b14c55&amp;dest=d267180dex21_htm" TargetMode="External"/><Relationship Id="rId14" Type="http://schemas.openxmlformats.org/officeDocument/2006/relationships/hyperlink" Target="https://content.edgar-online.com/ExternalLink/EDGAR/0001193125-11-214750.html?hash=fe6cfbb47ec8529a2b64f5b47d49af9374a85902b91b844f61bd74b0720e84df&amp;dest=dex31_htm" TargetMode="External"/><Relationship Id="rId15" Type="http://schemas.openxmlformats.org/officeDocument/2006/relationships/hyperlink" Target="https://content.edgar-online.com/ExternalLink/EDGAR/0001193125-22-260090.html?hash=05a4fff7e2b3a73b00985aa4f503704964373fe96cd83080e5d32752a019612d&amp;dest=d351849dex31_htm" TargetMode="External"/><Relationship Id="rId16" Type="http://schemas.openxmlformats.org/officeDocument/2006/relationships/hyperlink" Target="https://content.edgar-online.com/ExternalLink/EDGAR/0000725549-96-000011.html?hash=97bacb024fc6cf3abd9addee607efa41270114a10360c385328bc6bba6ece7bd" TargetMode="External"/><Relationship Id="rId17" Type="http://schemas.openxmlformats.org/officeDocument/2006/relationships/hyperlink" Target="https://content.edgar-online.com/ExternalLink/EDGAR/0001104659-12-020213.html?hash=b9c7f55831d679272284585c826138c59be668b4c2b6b5bf9b60ee47b38e0140&amp;dest=a12-7106_7ex4d1_htm" TargetMode="External"/><Relationship Id="rId18" Type="http://schemas.openxmlformats.org/officeDocument/2006/relationships/hyperlink" Target="https://content.edgar-online.com/ExternalLink/EDGAR/0001193125-14-425205.html?hash=d2df56b5812a821471adba801f115b8222f96d0446d7f5b629036cd069f60fdd&amp;dest=d825313dex41_htm" TargetMode="External"/><Relationship Id="rId19" Type="http://schemas.openxmlformats.org/officeDocument/2006/relationships/hyperlink" Target="https://content.edgar-online.com/ExternalLink/EDGAR/0001193125-16-686496.html?hash=1882d807cdd9f1733c411ca3a9e36397aca356d084035c7106c126b14ac9e3e2&amp;dest=d237038dex41_htm" TargetMode="External"/><Relationship Id="rId20" Type="http://schemas.openxmlformats.org/officeDocument/2006/relationships/hyperlink" Target="https://content.edgar-online.com/ExternalLink/EDGAR/0001193125-18-195761.html?hash=bb116702556815209d93687c763c920ab6c41d145165a3197fe4cac2f7733d62&amp;dest=d206849dex41_htm" TargetMode="External"/><Relationship Id="rId21" Type="http://schemas.openxmlformats.org/officeDocument/2006/relationships/hyperlink" Target="https://content.edgar-online.com/ExternalLink/EDGAR/0001193125-19-102912.html?hash=0ff4b20bf69c365332cb46d32eb3d13a19409c34c066adb3d7e0400732168aad&amp;dest=d883637dex41_htm" TargetMode="External"/><Relationship Id="rId22" Type="http://schemas.openxmlformats.org/officeDocument/2006/relationships/hyperlink" Target="https://content.edgar-online.com/ExternalLink/EDGAR/0001193125-20-132417.html?hash=430ad3a11a33c822b6c169defd609bd60db11db6ca6a6679b506dcf3342f1152&amp;dest=d924955dex41_htm" TargetMode="External"/><Relationship Id="rId23" Type="http://schemas.openxmlformats.org/officeDocument/2006/relationships/hyperlink" Target="https://content.edgar-online.com/ExternalLink/EDGAR/0001193125-20-268537.html?hash=680b000f0a6bfc06c827548f776d4b1ee6c5fa34d6834279a9dba4128fbbf20e&amp;dest=d205040dex41_htm" TargetMode="External"/><Relationship Id="rId24" Type="http://schemas.openxmlformats.org/officeDocument/2006/relationships/hyperlink" Target="https://content.edgar-online.com/ExternalLink/EDGAR/0001193125-19-149526.html?hash=6a60be959a326a5330649aeede31a50f15575e8e163fa0c53d734544d2541ab4&amp;dest=d746400dex41_htm" TargetMode="External"/><Relationship Id="rId25" Type="http://schemas.openxmlformats.org/officeDocument/2006/relationships/hyperlink" Target="https://content.edgar-online.com/ExternalLink/EDGAR/0001193125-19-149526.html?hash=6a60be959a326a5330649aeede31a50f15575e8e163fa0c53d734544d2541ab4&amp;dest=d746400dex42_htm" TargetMode="External"/><Relationship Id="rId26" Type="http://schemas.openxmlformats.org/officeDocument/2006/relationships/hyperlink" Target="https://content.edgar-online.com/ExternalLink/EDGAR/0001564590-20-030137.html?hash=466f3d63ace167262a5491dfde2bd5b39fd5607f34e480636c6980ad6e090d06&amp;dest=mgm-ex41_6_htm" TargetMode="External"/><Relationship Id="rId27" Type="http://schemas.openxmlformats.org/officeDocument/2006/relationships/hyperlink" Target="https://content.edgar-online.com/ExternalLink/EDGAR/0001193125-21-102230.html?hash=b7751574ead6aca01da423204f3731034df6b75c64c98b8b80c1fa36c847c581&amp;dest=d120302dex41_htm" TargetMode="External"/><Relationship Id="rId28" Type="http://schemas.openxmlformats.org/officeDocument/2006/relationships/hyperlink" Target="https://content.edgar-online.com/ExternalLink/EDGAR/0000950153-05-002853.html?hash=6888154f7e0cb776a8d9417075b99d042bd7614307f1157098dfb6b3c8106a22&amp;dest=p71436exv10w10_txt" TargetMode="External"/><Relationship Id="rId29" Type="http://schemas.openxmlformats.org/officeDocument/2006/relationships/hyperlink" Target="https://content.edgar-online.com/ExternalLink/EDGAR/0001564590-21-009205.html?hash=1df1a761154fcfb3bd34cf4ca59f8dc90bd927d3e6117091ffd73282d0920e2b&amp;dest=mgm-ex44_10_htm" TargetMode="External"/><Relationship Id="rId30" Type="http://schemas.openxmlformats.org/officeDocument/2006/relationships/hyperlink" Target="https://content.edgar-online.com/ExternalLink/EDGAR/0001193125-21-341290.html?hash=4c503a534a0ea4065c801ba816eb4be0dc074eed8ca8bcf27dd4ce9f544db72c&amp;dest=d260983dex101_htm" TargetMode="External"/><Relationship Id="rId31" Type="http://schemas.openxmlformats.org/officeDocument/2006/relationships/hyperlink" Target="https://content.edgar-online.com/ExternalLink/EDGAR/0001193125-19-220072.html?hash=496e57ed255946dc41df4ae26dca1eddbfd5f159b1759fedb844360479fb7567&amp;dest=d764268dex101_htm" TargetMode="External"/><Relationship Id="rId32" Type="http://schemas.openxmlformats.org/officeDocument/2006/relationships/hyperlink" Target="https://content.edgar-online.com/ExternalLink/EDGAR/0001564590-20-020518.html?hash=a2fc59dce8e42d7dbaf963fff738eb84ffb01f56aa82322fd87b1dca267b0b11&amp;dest=mgm-ex101_132_htm" TargetMode="External"/><Relationship Id="rId33" Type="http://schemas.openxmlformats.org/officeDocument/2006/relationships/hyperlink" Target="https://content.edgar-online.com/ExternalLink/EDGAR/0001564590-20-035299.html?hash=f459af6b0e7fc038309e9f9da5ead3d597c6a8967c4063ae5e7a459ac79b65a8&amp;dest=mgm-ex103_42_htm" TargetMode="External"/><Relationship Id="rId34" Type="http://schemas.openxmlformats.org/officeDocument/2006/relationships/hyperlink" Target="https://content.edgar-online.com/ExternalLink/EDGAR/0001193125-20-155922.html?hash=a276f869c501002635ba24c8df1de3f39d8300bd32d5b479b8a6db7b4e510740&amp;dest=d893837dex101_htm" TargetMode="External"/><Relationship Id="rId35" Type="http://schemas.openxmlformats.org/officeDocument/2006/relationships/hyperlink" Target="https://content.edgar-online.com/ExternalLink/EDGAR/0001564590-21-009205.html?hash=1df1a761154fcfb3bd34cf4ca59f8dc90bd927d3e6117091ffd73282d0920e2b&amp;dest=mgm-ex10_202_htm" TargetMode="External"/><Relationship Id="rId36" Type="http://schemas.openxmlformats.org/officeDocument/2006/relationships/hyperlink" Target="https://content.edgar-online.com/ExternalLink/EDGAR/0001564590-21-009205.html?hash=1df1a761154fcfb3bd34cf4ca59f8dc90bd927d3e6117091ffd73282d0920e2b&amp;dest=mgm-ex10_16_htm" TargetMode="External"/><Relationship Id="rId37" Type="http://schemas.openxmlformats.org/officeDocument/2006/relationships/hyperlink" Target="https://content.edgar-online.com/ExternalLink/EDGAR/0001564590-21-009205.html?hash=1df1a761154fcfb3bd34cf4ca59f8dc90bd927d3e6117091ffd73282d0920e2b&amp;dest=mgm-ex10_7_htm" TargetMode="External"/><Relationship Id="rId38" Type="http://schemas.openxmlformats.org/officeDocument/2006/relationships/hyperlink" Target="https://content.edgar-online.com/ExternalLink/EDGAR/0001564590-21-022697.html?hash=c0bd6e1fbd35286e1a1987945b79112d58ac88af60c4dccaa8219980fe1570f0&amp;dest=mgm-ex103_31_htm" TargetMode="External"/><Relationship Id="rId39" Type="http://schemas.openxmlformats.org/officeDocument/2006/relationships/hyperlink" Target="https://content.edgar-online.com/ExternalLink/EDGAR/0001564590-21-022697.html?hash=c0bd6e1fbd35286e1a1987945b79112d58ac88af60c4dccaa8219980fe1570f0&amp;dest=mgm-ex104_30_htm" TargetMode="External"/><Relationship Id="rId40" Type="http://schemas.openxmlformats.org/officeDocument/2006/relationships/hyperlink" Target="https://content.edgar-online.com/ExternalLink/EDGAR/0000789570-22-000017.html?hash=c5382d543422d3476b0bf72234515d719faa2bceb79d61aa522ea3a234df30aa&amp;dest=exhibit101q12022_htm" TargetMode="External"/><Relationship Id="rId41" Type="http://schemas.openxmlformats.org/officeDocument/2006/relationships/hyperlink" Target="https://content.edgar-online.com/ExternalLink/EDGAR/0000789570-22-000017.html?hash=c5382d543422d3476b0bf72234515d719faa2bceb79d61aa522ea3a234df30aa&amp;dest=exhibit102q12022_htm" TargetMode="External"/><Relationship Id="rId42" Type="http://schemas.openxmlformats.org/officeDocument/2006/relationships/hyperlink" Target="https://content.edgar-online.com/ExternalLink/EDGAR/0001193125-19-294790.html?hash=a62437768ccec4658dbab6470340531ac0005e922d3d6124c13bda17f700a4f4&amp;dest=d832650dex103_htm" TargetMode="External"/><Relationship Id="rId43" Type="http://schemas.openxmlformats.org/officeDocument/2006/relationships/hyperlink" Target="https://content.edgar-online.com/ExternalLink/EDGAR/0001564590-20-020518.html?hash=a2fc59dce8e42d7dbaf963fff738eb84ffb01f56aa82322fd87b1dca267b0b11&amp;dest=mgm-ex102_131_htm" TargetMode="External"/><Relationship Id="rId44" Type="http://schemas.openxmlformats.org/officeDocument/2006/relationships/hyperlink" Target="https://content.edgar-online.com/ExternalLink/EDGAR/0001193125-11-214750.html?hash=fe6cfbb47ec8529a2b64f5b47d49af9374a85902b91b844f61bd74b0720e84df&amp;dest=dex102_htm" TargetMode="External"/><Relationship Id="rId45" Type="http://schemas.openxmlformats.org/officeDocument/2006/relationships/hyperlink" Target="https://content.edgar-online.com/ExternalLink/EDGAR/0001047469-13-001980.html?hash=9e7c66caec77c377039856a9d76377efb03b16879caadad960ab4b682dc229d6&amp;dest=a2212780zex-10_24_htm" TargetMode="External"/><Relationship Id="rId46" Type="http://schemas.openxmlformats.org/officeDocument/2006/relationships/hyperlink" Target="https://content.edgar-online.com/ExternalLink/EDGAR/0001193125-22-134261.html?hash=d4185a03beb2a4c55215a248ff572e33b38e94ca9510f4b4d341bdeec439b39b&amp;dest=d339198dex101_htm" TargetMode="External"/><Relationship Id="rId47" Type="http://schemas.openxmlformats.org/officeDocument/2006/relationships/hyperlink" Target="https://content.edgar-online.com/ExternalLink/EDGAR/0001193125-22-308342.html?hash=29ec12bd638fba0741b028650c0df253ca17c204736033b162b86ee282678351&amp;dest=d424358dex101_htm" TargetMode="External"/><Relationship Id="rId48" Type="http://schemas.openxmlformats.org/officeDocument/2006/relationships/hyperlink" Target="https://content.edgar-online.com/ExternalLink/EDGAR/0001193125-19-294790.html?hash=a62437768ccec4658dbab6470340531ac0005e922d3d6124c13bda17f700a4f4&amp;dest=d832650dex101_htm" TargetMode="External"/><Relationship Id="rId49" Type="http://schemas.openxmlformats.org/officeDocument/2006/relationships/hyperlink" Target="https://content.edgar-online.com/ExternalLink/EDGAR/0001564590-21-041935.html?hash=40a52644f611e496dc85fef39808b9d1fe9b38d820e6dcd155ab4994770b15bd&amp;dest=mgm-ex101_45_htm" TargetMode="External"/><Relationship Id="rId50" Type="http://schemas.openxmlformats.org/officeDocument/2006/relationships/hyperlink" Target="https://content.edgar-online.com/ExternalLink/EDGAR/0000789570-22-000017.html?hash=c5382d543422d3476b0bf72234515d719faa2bceb79d61aa522ea3a234df30aa&amp;dest=exhibit103q12022_htm" TargetMode="External"/><Relationship Id="rId51" Type="http://schemas.openxmlformats.org/officeDocument/2006/relationships/hyperlink" Target="https://content.edgar-online.com/ExternalLink/EDGAR/0001193125-20-040601.html?hash=9b567c555d8cce1a082e86887c2451b66b94bede6d58396c88e79541efef955e&amp;dest=d882756dex101_htm" TargetMode="External"/><Relationship Id="rId52" Type="http://schemas.openxmlformats.org/officeDocument/2006/relationships/hyperlink" Target="https://content.edgar-online.com/ExternalLink/EDGAR/0001193125-21-285510.html?hash=cda4951d48892d5e10bc8967c2b3c50278befbc2cbf0c318ca42e3bc2caacbaf&amp;dest=d207497dex101_htm" TargetMode="External"/><Relationship Id="rId53" Type="http://schemas.openxmlformats.org/officeDocument/2006/relationships/hyperlink" Target="https://content.edgar-online.com/ExternalLink/EDGAR/0001193125-22-153120.html?hash=f6ea714695a10a7f6a5898e1a20800c75d166c8d052a8bf0886ca2c1e8f1177e&amp;dest=d467458dex101_htm" TargetMode="External"/><Relationship Id="rId54" Type="http://schemas.openxmlformats.org/officeDocument/2006/relationships/hyperlink" Target="https://content.edgar-online.com/ExternalLink/EDGAR/0001193125-19-294790.html?hash=a62437768ccec4658dbab6470340531ac0005e922d3d6124c13bda17f700a4f4&amp;dest=d832650dex102_htm" TargetMode="External"/><Relationship Id="rId55" Type="http://schemas.openxmlformats.org/officeDocument/2006/relationships/hyperlink" Target="https://content.edgar-online.com/ExternalLink/EDGAR/0001193125-20-040601.html?hash=9b567c555d8cce1a082e86887c2451b66b94bede6d58396c88e79541efef955e&amp;dest=d882756dex103_htm" TargetMode="External"/><Relationship Id="rId56" Type="http://schemas.openxmlformats.org/officeDocument/2006/relationships/hyperlink" Target="https://content.edgar-online.com/ExternalLink/EDGAR/0001193125-22-134261.html?hash=d4185a03beb2a4c55215a248ff572e33b38e94ca9510f4b4d341bdeec439b39b&amp;dest=d339198dex102_htm" TargetMode="External"/><Relationship Id="rId57" Type="http://schemas.openxmlformats.org/officeDocument/2006/relationships/hyperlink" Target="https://content.edgar-online.com/ExternalLink/EDGAR/0001193125-14-232128.html?hash=ecd1327680ea8f6be12168331952077a1921e709a88fc400067915463b2f71aa&amp;dest=d740145dex101_htm" TargetMode="External"/><Relationship Id="rId58" Type="http://schemas.openxmlformats.org/officeDocument/2006/relationships/hyperlink" Target="https://content.edgar-online.com/ExternalLink/EDGAR/0001193125-22-145101.html?hash=fda0a250deddb642b9dd9ffc7709a276bf0afee6204fb6c7bdc413ef170cf700&amp;dest=d276126dex101_htm" TargetMode="External"/><Relationship Id="rId59" Type="http://schemas.openxmlformats.org/officeDocument/2006/relationships/hyperlink" Target="https://content.edgar-online.com/ExternalLink/EDGAR/0001193125-16-548398.html?hash=6d756b79825099c6059a6b52e3f53690ac2204d3c1432192375bcaa6c0c1c02b&amp;dest=d137007ddef14a_htm_toc137007_65" TargetMode="External"/><Relationship Id="rId60" Type="http://schemas.openxmlformats.org/officeDocument/2006/relationships/hyperlink" Target="https://content.edgar-online.com/ExternalLink/EDGAR/0001564590-15-001180.html?hash=d5adec9a64351ad81b6b80d3a4cab135e99d67778bab646f0dde02a79332273d&amp;dest=mgm-ex1046_20141231540_htm" TargetMode="External"/><Relationship Id="rId61" Type="http://schemas.openxmlformats.org/officeDocument/2006/relationships/hyperlink" Target="https://content.edgar-online.com/ExternalLink/EDGAR/0000950124-05-000107.html?hash=6dbc08d38efd9365c64329a919b6cf1b873502148474daa4cd3b211f11a8cc77&amp;dest=p70070exv10w1_htm" TargetMode="External"/><Relationship Id="rId62" Type="http://schemas.openxmlformats.org/officeDocument/2006/relationships/hyperlink" Target="https://content.edgar-online.com/ExternalLink/EDGAR/0000950153-08-000421.html?hash=6d649cd9bedebd0554cfb7d5d933c58c0226d8b8cd78a0a4b85b47a000ae7e57&amp;dest=p75046exv10w3x12y_htm" TargetMode="External"/><Relationship Id="rId63" Type="http://schemas.openxmlformats.org/officeDocument/2006/relationships/hyperlink" Target="https://content.edgar-online.com/ExternalLink/EDGAR/0000950153-08-000421.html?hash=6d649cd9bedebd0554cfb7d5d933c58c0226d8b8cd78a0a4b85b47a000ae7e57&amp;dest=p75046exv10w3x14y_htm" TargetMode="External"/><Relationship Id="rId64" Type="http://schemas.openxmlformats.org/officeDocument/2006/relationships/hyperlink" Target="https://content.edgar-online.com/ExternalLink/EDGAR/0000950153-08-001881.html?hash=6bf7aa4b03ae40e065b864fb58dee30600d797837210fe2fbe16524eaae30fab&amp;dest=p13500exv10w2_htm" TargetMode="External"/><Relationship Id="rId65" Type="http://schemas.openxmlformats.org/officeDocument/2006/relationships/hyperlink" Target="https://content.edgar-online.com/ExternalLink/EDGAR/0001193125-22-226494.html?hash=6dee22faedb6a395d2f42032429aba7067b78a2403a2c3368a1fca2dd8c365db&amp;dest=d337126dex101_htm" TargetMode="External"/><Relationship Id="rId66" Type="http://schemas.openxmlformats.org/officeDocument/2006/relationships/hyperlink" Target="https://content.edgar-online.com/ExternalLink/EDGAR/0001193125-22-226494.html?hash=6dee22faedb6a395d2f42032429aba7067b78a2403a2c3368a1fca2dd8c365db&amp;dest=d337126dex102_htm" TargetMode="External"/><Relationship Id="rId67" Type="http://schemas.openxmlformats.org/officeDocument/2006/relationships/hyperlink" Target="https://content.edgar-online.com/ExternalLink/EDGAR/0001193125-22-226494.html?hash=6dee22faedb6a395d2f42032429aba7067b78a2403a2c3368a1fca2dd8c365db&amp;dest=d337126dex103_htm" TargetMode="External"/><Relationship Id="rId68" Type="http://schemas.openxmlformats.org/officeDocument/2006/relationships/hyperlink" Target="https://content.edgar-online.com/ExternalLink/EDGAR/0001193125-22-226494.html?hash=6dee22faedb6a395d2f42032429aba7067b78a2403a2c3368a1fca2dd8c365db&amp;dest=d337126dex104_htm" TargetMode="External"/><Relationship Id="rId69" Type="http://schemas.openxmlformats.org/officeDocument/2006/relationships/hyperlink" Target="https://content.edgar-online.com/ExternalLink/EDGAR/0001193125-14-303368.html?hash=ce882ee457e772fe6dad7fb9c025949c45364fdc7a48648563cd786776793823&amp;dest=d747986dex101_htm" TargetMode="External"/><Relationship Id="rId70" Type="http://schemas.openxmlformats.org/officeDocument/2006/relationships/hyperlink" Target="https://content.edgar-online.com/ExternalLink/EDGAR/0000789570-22-000027.html?hash=f68d6b88a70319a124f807e1e90475da6d56c1b1168ffdc84e7b31031eda931c&amp;dest=exhibit106-q22022_htm" TargetMode="External"/><Relationship Id="rId71" Type="http://schemas.openxmlformats.org/officeDocument/2006/relationships/hyperlink" Target="https://content.edgar-online.com/ExternalLink/EDGAR/0001564590-15-009822.html?hash=89983304ac5fa7d7a5dc4d61ac6b63a61920729a933556798bc93d7d591ca187&amp;dest=mgm-ex104_95_htm" TargetMode="External"/><Relationship Id="rId72" Type="http://schemas.openxmlformats.org/officeDocument/2006/relationships/hyperlink" Target="https://content.edgar-online.com/ExternalLink/EDGAR/0001564590-15-009822.html?hash=89983304ac5fa7d7a5dc4d61ac6b63a61920729a933556798bc93d7d591ca187&amp;dest=mgm-ex105_99_htm" TargetMode="External"/><Relationship Id="rId73" Type="http://schemas.openxmlformats.org/officeDocument/2006/relationships/hyperlink" Target="https://content.edgar-online.com/ExternalLink/EDGAR/0001564590-20-014548.html?hash=3ddafbe6ea54a273163616b5c7800dd96a5ed77d4e4c3021638e13071dd3ec07&amp;dest=mgm-ex104_8_htm" TargetMode="External"/><Relationship Id="rId74" Type="http://schemas.openxmlformats.org/officeDocument/2006/relationships/hyperlink" Target="https://content.edgar-online.com/ExternalLink/EDGAR/0001564590-20-014548.html?hash=3ddafbe6ea54a273163616b5c7800dd96a5ed77d4e4c3021638e13071dd3ec07&amp;dest=mgm-ex105_7_htm" TargetMode="External"/><Relationship Id="rId75" Type="http://schemas.openxmlformats.org/officeDocument/2006/relationships/hyperlink" Target="https://content.edgar-online.com/ExternalLink/EDGAR/0001564590-15-009822.html?hash=89983304ac5fa7d7a5dc4d61ac6b63a61920729a933556798bc93d7d591ca187&amp;dest=mgm-ex106_98_htm" TargetMode="External"/><Relationship Id="rId76" Type="http://schemas.openxmlformats.org/officeDocument/2006/relationships/hyperlink" Target="https://content.edgar-online.com/ExternalLink/EDGAR/0001564590-16-018330.html?hash=3b65f1ef9f92a5b1fbc13788e8356d3a84f583f0116a4ae873be936e1d28e6fc&amp;dest=mgm-ex103_372_htm" TargetMode="External"/><Relationship Id="rId77" Type="http://schemas.openxmlformats.org/officeDocument/2006/relationships/hyperlink" Target="https://content.edgar-online.com/ExternalLink/EDGAR/0001193125-22-226494.html?hash=6dee22faedb6a395d2f42032429aba7067b78a2403a2c3368a1fca2dd8c365db&amp;dest=d337126dex105_htm" TargetMode="External"/><Relationship Id="rId78" Type="http://schemas.openxmlformats.org/officeDocument/2006/relationships/hyperlink" Target="https://content.edgar-online.com/ExternalLink/EDGAR/0001104659-12-076023.html?hash=c28f2332abdb30008497aaff00c1236490df7a391bb388729905c7c574effc37&amp;dest=a12-26515_1ex10d7_htm" TargetMode="External"/><Relationship Id="rId79" Type="http://schemas.openxmlformats.org/officeDocument/2006/relationships/hyperlink" Target="https://content.edgar-online.com/ExternalLink/EDGAR/0001193125-17-078865.html?hash=df90608793dec7af5f4f51cbabdd8d4a2fac60baed3d7b74a2868c668503ecf5&amp;dest=d358570dex101_htm" TargetMode="External"/><Relationship Id="rId80" Type="http://schemas.openxmlformats.org/officeDocument/2006/relationships/hyperlink" Target="https://content.edgar-online.com/ExternalLink/EDGAR/0001193125-17-078865.html?hash=df90608793dec7af5f4f51cbabdd8d4a2fac60baed3d7b74a2868c668503ecf5&amp;dest=d358570dex103_htm" TargetMode="External"/><Relationship Id="rId81" Type="http://schemas.openxmlformats.org/officeDocument/2006/relationships/hyperlink" Target="https://content.edgar-online.com/ExternalLink/EDGAR/0001193125-17-078865.html?hash=df90608793dec7af5f4f51cbabdd8d4a2fac60baed3d7b74a2868c668503ecf5&amp;dest=d358570dex104_htm" TargetMode="External"/><Relationship Id="rId82" Type="http://schemas.openxmlformats.org/officeDocument/2006/relationships/hyperlink" Target="https://content.edgar-online.com/ExternalLink/EDGAR/0001193125-17-078865.html?hash=df90608793dec7af5f4f51cbabdd8d4a2fac60baed3d7b74a2868c668503ecf5&amp;dest=d358570dex106_htm" TargetMode="External"/><Relationship Id="rId83" Type="http://schemas.openxmlformats.org/officeDocument/2006/relationships/hyperlink" Target="https://content.edgar-online.com/ExternalLink/EDGAR/0001564590-18-011065.html?hash=0cf8cf9832978d0979fdfd5389bc6306d0f97d538be41f8b10c33d9692651acc&amp;dest=mgm-ex101_39_htm" TargetMode="External"/><Relationship Id="rId84" Type="http://schemas.openxmlformats.org/officeDocument/2006/relationships/hyperlink" Target="https://content.edgar-online.com/ExternalLink/EDGAR/0001564590-18-003942.html?hash=5bb012a46c674fa0c02afd1a0fa304a178cbc6dfa73e566b4bed4ddcb96fe6bc&amp;dest=mgm-ex10541_955_htm" TargetMode="External"/><Relationship Id="rId85" Type="http://schemas.openxmlformats.org/officeDocument/2006/relationships/hyperlink" Target="https://content.edgar-online.com/ExternalLink/EDGAR/0001564590-20-007393.html?hash=f901a768c8f22fa37f1f4d2f0c43a0ff0813ce0aee750f08c487b71fbfa1f72b&amp;dest=mgm-ex10541_440_htm" TargetMode="External"/><Relationship Id="rId86" Type="http://schemas.openxmlformats.org/officeDocument/2006/relationships/hyperlink" Target="https://content.edgar-online.com/ExternalLink/EDGAR/0001564590-20-007393.html?hash=f901a768c8f22fa37f1f4d2f0c43a0ff0813ce0aee750f08c487b71fbfa1f72b&amp;dest=mgm-ex10542_442_htm" TargetMode="External"/><Relationship Id="rId87" Type="http://schemas.openxmlformats.org/officeDocument/2006/relationships/hyperlink" Target="https://content.edgar-online.com/ExternalLink/EDGAR/0001564590-20-007393.html?hash=f901a768c8f22fa37f1f4d2f0c43a0ff0813ce0aee750f08c487b71fbfa1f72b&amp;dest=mgm-ex10544_441_htm" TargetMode="External"/><Relationship Id="rId88" Type="http://schemas.openxmlformats.org/officeDocument/2006/relationships/hyperlink" Target="https://content.edgar-online.com/ExternalLink/EDGAR/0001564590-20-007393.html?hash=f901a768c8f22fa37f1f4d2f0c43a0ff0813ce0aee750f08c487b71fbfa1f72b&amp;dest=mgm-ex10545_439_htm" TargetMode="External"/><Relationship Id="rId89" Type="http://schemas.openxmlformats.org/officeDocument/2006/relationships/hyperlink" Target="https://content.edgar-online.com/ExternalLink/EDGAR/0001564590-20-007393.html?hash=f901a768c8f22fa37f1f4d2f0c43a0ff0813ce0aee750f08c487b71fbfa1f72b&amp;dest=mgm-ex10546_443_htm" TargetMode="External"/><Relationship Id="rId90" Type="http://schemas.openxmlformats.org/officeDocument/2006/relationships/hyperlink" Target="https://content.edgar-online.com/ExternalLink/EDGAR/0001564590-21-022697.html?hash=c0bd6e1fbd35286e1a1987945b79112d58ac88af60c4dccaa8219980fe1570f0&amp;dest=mgm-ex105_127_htm" TargetMode="External"/><Relationship Id="rId91" Type="http://schemas.openxmlformats.org/officeDocument/2006/relationships/hyperlink" Target="https://content.edgar-online.com/ExternalLink/EDGAR/0000789570-22-000005.html?hash=1c37b6686a3aa4dab75201153dc732a836ca8ff1c35fe6454ed3fffcfaac838b&amp;dest=exhibit10544_htm" TargetMode="External"/><Relationship Id="rId92" Type="http://schemas.openxmlformats.org/officeDocument/2006/relationships/hyperlink" Target="https://content.edgar-online.com/ExternalLink/EDGAR/0000789570-22-000005.html?hash=1c37b6686a3aa4dab75201153dc732a836ca8ff1c35fe6454ed3fffcfaac838b&amp;dest=exhibit10545_htm" TargetMode="External"/><Relationship Id="rId9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0000789570-23-000008; ; 10-K</cp:keywords>
  <dc:subject>Form 10-K filed on 2023-02-24 for the period ending 2022-12-31</dc:subject>
  <dc:title>0000789570-23-000008</dc:title>
  <dcterms:created xsi:type="dcterms:W3CDTF">2024-04-02T15:06:46Z</dcterms:created>
  <dcterms:modified xsi:type="dcterms:W3CDTF">2024-04-02T15:06:46Z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EDGAR Filing HTML Converter</vt:lpwstr>
  </property>
  <property fmtid="{D5CDD505-2E9C-101B-9397-08002B2CF9AE}" pid="4" name="LastSaved">
    <vt:filetime>2024-04-02T00:00:00Z</vt:filetime>
  </property>
  <property fmtid="{D5CDD505-2E9C-101B-9397-08002B2CF9AE}" pid="5" name="Producer">
    <vt:lpwstr>EDGRpdf Service w/ EO.Pdf 22.0.40.0</vt:lpwstr>
  </property>
</Properties>
</file>